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9C4612" w:rsidRDefault="009B1678" w:rsidP="00F37D7B">
      <w:pPr>
        <w:pStyle w:val="af5"/>
        <w:rPr>
          <w:rFonts w:hAnsi="標楷體"/>
        </w:rPr>
      </w:pPr>
      <w:r>
        <w:rPr>
          <w:rFonts w:hAnsi="標楷體" w:hint="eastAsia"/>
        </w:rPr>
        <w:t>調查報告</w:t>
      </w:r>
    </w:p>
    <w:p w:rsidR="00E25849" w:rsidRPr="009C4612"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C4612">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D136A" w:rsidRPr="00ED136A">
        <w:rPr>
          <w:rFonts w:hAnsi="標楷體"/>
        </w:rPr>
        <w:t>據審計部</w:t>
      </w:r>
      <w:proofErr w:type="gramStart"/>
      <w:r w:rsidR="00ED136A" w:rsidRPr="00ED136A">
        <w:rPr>
          <w:rFonts w:hAnsi="標楷體"/>
        </w:rPr>
        <w:t>112</w:t>
      </w:r>
      <w:proofErr w:type="gramEnd"/>
      <w:r w:rsidR="00ED136A" w:rsidRPr="00ED136A">
        <w:rPr>
          <w:rFonts w:hAnsi="標楷體"/>
        </w:rPr>
        <w:t>年度中央政府總決算審核報告，我國已</w:t>
      </w:r>
      <w:proofErr w:type="gramStart"/>
      <w:r w:rsidR="00ED136A" w:rsidRPr="00ED136A">
        <w:rPr>
          <w:rFonts w:hAnsi="標楷體"/>
        </w:rPr>
        <w:t>將淨零轉</w:t>
      </w:r>
      <w:proofErr w:type="gramEnd"/>
      <w:r w:rsidR="00ED136A" w:rsidRPr="00ED136A">
        <w:rPr>
          <w:rFonts w:hAnsi="標楷體"/>
        </w:rPr>
        <w:t>型納入關鍵戰略，且順應國際趨勢，一定規模事業需符合國際永續揭露準則，然</w:t>
      </w:r>
      <w:r w:rsidR="006D63A5">
        <w:rPr>
          <w:rFonts w:hAnsi="標楷體" w:hint="eastAsia"/>
        </w:rPr>
        <w:t>部分</w:t>
      </w:r>
      <w:r w:rsidR="00ED136A" w:rsidRPr="00ED136A">
        <w:rPr>
          <w:rFonts w:hAnsi="標楷體"/>
        </w:rPr>
        <w:t>國營事業疑尚未規劃導入該準則</w:t>
      </w:r>
      <w:proofErr w:type="gramStart"/>
      <w:r w:rsidR="00ED136A" w:rsidRPr="00ED136A">
        <w:rPr>
          <w:rFonts w:hAnsi="標楷體"/>
        </w:rPr>
        <w:t>等情</w:t>
      </w:r>
      <w:proofErr w:type="gramEnd"/>
      <w:r w:rsidR="00BC2A30" w:rsidRPr="009C4612">
        <w:rPr>
          <w:rFonts w:hAnsi="標楷體"/>
        </w:rPr>
        <w:t>案。</w:t>
      </w:r>
    </w:p>
    <w:p w:rsidR="004244AD" w:rsidRDefault="008C0232" w:rsidP="001F3FAB">
      <w:pPr>
        <w:pStyle w:val="1"/>
        <w:numPr>
          <w:ilvl w:val="0"/>
          <w:numId w:val="11"/>
        </w:numPr>
        <w:rPr>
          <w:rFonts w:hAnsi="標楷體"/>
        </w:rPr>
      </w:pPr>
      <w:r>
        <w:rPr>
          <w:rFonts w:hAnsi="標楷體" w:hint="eastAsia"/>
        </w:rPr>
        <w:t>調查意見</w:t>
      </w:r>
      <w:r w:rsidR="004244AD">
        <w:rPr>
          <w:rFonts w:hAnsi="標楷體" w:hint="eastAsia"/>
        </w:rPr>
        <w:t>：</w:t>
      </w:r>
    </w:p>
    <w:p w:rsidR="004244AD" w:rsidRDefault="002D2DD6" w:rsidP="00F332A2">
      <w:pPr>
        <w:pStyle w:val="11"/>
        <w:spacing w:beforeLines="30" w:before="137"/>
        <w:ind w:left="680" w:firstLine="680"/>
        <w:rPr>
          <w:rFonts w:hAnsi="標楷體"/>
        </w:rPr>
      </w:pPr>
      <w:r w:rsidRPr="00ED136A">
        <w:rPr>
          <w:rFonts w:hAnsi="標楷體"/>
        </w:rPr>
        <w:t>據審計部</w:t>
      </w:r>
      <w:r w:rsidR="004E2511">
        <w:rPr>
          <w:rFonts w:hAnsi="標楷體" w:hint="eastAsia"/>
        </w:rPr>
        <w:t>民國(下同)</w:t>
      </w:r>
      <w:r w:rsidRPr="00ED136A">
        <w:rPr>
          <w:rFonts w:hAnsi="標楷體"/>
        </w:rPr>
        <w:t>112年度中央政府總決算審核報告，我國已將淨零轉型納入關鍵戰略，且順應國際趨勢，一定規模事業需符合國際永續揭露準則，然</w:t>
      </w:r>
      <w:r w:rsidR="006D1AE5">
        <w:rPr>
          <w:rFonts w:hAnsi="標楷體" w:hint="eastAsia"/>
        </w:rPr>
        <w:t>部分</w:t>
      </w:r>
      <w:r w:rsidRPr="00ED136A">
        <w:rPr>
          <w:rFonts w:hAnsi="標楷體"/>
        </w:rPr>
        <w:t>國營事業疑尚未規劃導入該準則等情</w:t>
      </w:r>
      <w:r w:rsidR="00F8476E">
        <w:rPr>
          <w:rFonts w:hAnsi="標楷體" w:hint="eastAsia"/>
        </w:rPr>
        <w:t>，</w:t>
      </w:r>
      <w:r w:rsidR="00577452" w:rsidRPr="009C4612">
        <w:rPr>
          <w:rFonts w:hAnsi="標楷體" w:hint="eastAsia"/>
        </w:rPr>
        <w:t>案經審計部到院簡報並提供審核卷證資料，及</w:t>
      </w:r>
      <w:r w:rsidR="00577452">
        <w:rPr>
          <w:rFonts w:hAnsi="標楷體" w:hint="eastAsia"/>
        </w:rPr>
        <w:t>2次</w:t>
      </w:r>
      <w:r w:rsidR="00577452" w:rsidRPr="009C4612">
        <w:rPr>
          <w:rFonts w:hAnsi="標楷體" w:hint="eastAsia"/>
        </w:rPr>
        <w:t>函請</w:t>
      </w:r>
      <w:r w:rsidR="00577452">
        <w:rPr>
          <w:rFonts w:hAnsi="標楷體" w:hint="eastAsia"/>
        </w:rPr>
        <w:t>行政院</w:t>
      </w:r>
      <w:r w:rsidR="00577452" w:rsidRPr="009C4612">
        <w:rPr>
          <w:rFonts w:hAnsi="標楷體" w:hint="eastAsia"/>
        </w:rPr>
        <w:t>說明並提供相關卷證資料</w:t>
      </w:r>
      <w:r w:rsidR="00577452">
        <w:rPr>
          <w:rFonts w:hAnsi="標楷體" w:hint="eastAsia"/>
        </w:rPr>
        <w:t>，</w:t>
      </w:r>
      <w:r w:rsidR="004E2511">
        <w:rPr>
          <w:rFonts w:hAnsi="標楷體" w:hint="eastAsia"/>
        </w:rPr>
        <w:t>再</w:t>
      </w:r>
      <w:r w:rsidR="00577452">
        <w:rPr>
          <w:rFonts w:hAnsi="標楷體" w:hint="eastAsia"/>
        </w:rPr>
        <w:t>於1</w:t>
      </w:r>
      <w:r w:rsidR="00577452">
        <w:rPr>
          <w:rFonts w:hAnsi="標楷體"/>
        </w:rPr>
        <w:t>14</w:t>
      </w:r>
      <w:r w:rsidR="00577452">
        <w:rPr>
          <w:rFonts w:hAnsi="標楷體" w:hint="eastAsia"/>
        </w:rPr>
        <w:t>年3月2</w:t>
      </w:r>
      <w:r w:rsidR="00577452">
        <w:rPr>
          <w:rFonts w:hAnsi="標楷體"/>
        </w:rPr>
        <w:t>1</w:t>
      </w:r>
      <w:r w:rsidR="00577452">
        <w:rPr>
          <w:rFonts w:hAnsi="標楷體" w:hint="eastAsia"/>
        </w:rPr>
        <w:t>日詢問交通部陳次長彥伯、劉科</w:t>
      </w:r>
      <w:r w:rsidR="00577452" w:rsidRPr="00B96876">
        <w:rPr>
          <w:rFonts w:hAnsi="標楷體" w:hint="eastAsia"/>
        </w:rPr>
        <w:t>長</w:t>
      </w:r>
      <w:r w:rsidR="001F6E26">
        <w:rPr>
          <w:rFonts w:hAnsi="標楷體" w:hint="eastAsia"/>
        </w:rPr>
        <w:t>○</w:t>
      </w:r>
      <w:r w:rsidR="00577452">
        <w:rPr>
          <w:rFonts w:hAnsi="標楷體" w:hint="eastAsia"/>
        </w:rPr>
        <w:t>言、</w:t>
      </w:r>
      <w:r w:rsidR="00577452" w:rsidRPr="00B96876">
        <w:rPr>
          <w:rFonts w:hAnsi="標楷體" w:hint="eastAsia"/>
        </w:rPr>
        <w:t>臺灣港務股份有限公司</w:t>
      </w:r>
      <w:r w:rsidR="00577452">
        <w:rPr>
          <w:rFonts w:hAnsi="標楷體" w:hint="eastAsia"/>
        </w:rPr>
        <w:t>(下稱</w:t>
      </w:r>
      <w:r w:rsidR="00FE5164">
        <w:rPr>
          <w:rFonts w:hAnsi="標楷體" w:hint="eastAsia"/>
        </w:rPr>
        <w:t>港務公司</w:t>
      </w:r>
      <w:r w:rsidR="00577452">
        <w:rPr>
          <w:rFonts w:hAnsi="標楷體" w:hint="eastAsia"/>
        </w:rPr>
        <w:t>)</w:t>
      </w:r>
      <w:r w:rsidR="00577452" w:rsidRPr="00B96876">
        <w:rPr>
          <w:rFonts w:hAnsi="標楷體" w:hint="eastAsia"/>
        </w:rPr>
        <w:t>蘇技術長</w:t>
      </w:r>
      <w:r w:rsidR="001F6E26">
        <w:rPr>
          <w:rFonts w:hAnsi="標楷體" w:hint="eastAsia"/>
        </w:rPr>
        <w:t>○</w:t>
      </w:r>
      <w:r w:rsidR="00577452" w:rsidRPr="00B96876">
        <w:rPr>
          <w:rFonts w:hAnsi="標楷體" w:hint="eastAsia"/>
        </w:rPr>
        <w:t>榮</w:t>
      </w:r>
      <w:r w:rsidR="00577452">
        <w:rPr>
          <w:rFonts w:hAnsi="標楷體" w:hint="eastAsia"/>
        </w:rPr>
        <w:t>、</w:t>
      </w:r>
      <w:r w:rsidR="00577452" w:rsidRPr="00B96876">
        <w:rPr>
          <w:rFonts w:hAnsi="標楷體" w:hint="eastAsia"/>
        </w:rPr>
        <w:t>中華郵政股份有限公司</w:t>
      </w:r>
      <w:r w:rsidR="00577452">
        <w:rPr>
          <w:rFonts w:hAnsi="標楷體" w:hint="eastAsia"/>
        </w:rPr>
        <w:t>(下稱</w:t>
      </w:r>
      <w:r w:rsidR="00FE5164">
        <w:rPr>
          <w:rFonts w:hAnsi="標楷體" w:hint="eastAsia"/>
        </w:rPr>
        <w:t>郵政公司</w:t>
      </w:r>
      <w:r w:rsidR="00577452">
        <w:rPr>
          <w:rFonts w:hAnsi="標楷體" w:hint="eastAsia"/>
        </w:rPr>
        <w:t>)</w:t>
      </w:r>
      <w:r w:rsidR="00577452" w:rsidRPr="00B96876">
        <w:rPr>
          <w:rFonts w:hAnsi="標楷體" w:hint="eastAsia"/>
        </w:rPr>
        <w:t>王業務長</w:t>
      </w:r>
      <w:r w:rsidR="001F6E26">
        <w:rPr>
          <w:rFonts w:hAnsi="標楷體" w:hint="eastAsia"/>
        </w:rPr>
        <w:t>○</w:t>
      </w:r>
      <w:r w:rsidR="00577452" w:rsidRPr="00B96876">
        <w:rPr>
          <w:rFonts w:hAnsi="標楷體" w:hint="eastAsia"/>
        </w:rPr>
        <w:t>如</w:t>
      </w:r>
      <w:r w:rsidR="00577452">
        <w:rPr>
          <w:rFonts w:hAnsi="標楷體" w:hint="eastAsia"/>
        </w:rPr>
        <w:t>、</w:t>
      </w:r>
      <w:r w:rsidR="00577452" w:rsidRPr="00B96876">
        <w:rPr>
          <w:rFonts w:hAnsi="標楷體" w:hint="eastAsia"/>
        </w:rPr>
        <w:t>金融監督管理委員會</w:t>
      </w:r>
      <w:r w:rsidR="00577452">
        <w:rPr>
          <w:rFonts w:hAnsi="標楷體" w:hint="eastAsia"/>
        </w:rPr>
        <w:t>(下稱金管會)</w:t>
      </w:r>
      <w:r w:rsidR="00577452" w:rsidRPr="00B96876">
        <w:rPr>
          <w:rFonts w:hAnsi="標楷體" w:hint="eastAsia"/>
        </w:rPr>
        <w:t>莊副主委琇媛</w:t>
      </w:r>
      <w:r w:rsidR="00577452">
        <w:rPr>
          <w:rFonts w:hAnsi="標楷體" w:hint="eastAsia"/>
        </w:rPr>
        <w:t>、</w:t>
      </w:r>
      <w:r w:rsidR="00577452" w:rsidRPr="00B96876">
        <w:rPr>
          <w:rFonts w:hAnsi="標楷體" w:hint="eastAsia"/>
        </w:rPr>
        <w:t>證券期貨局林組長</w:t>
      </w:r>
      <w:r w:rsidR="001F6E26">
        <w:rPr>
          <w:rFonts w:hAnsi="標楷體" w:hint="eastAsia"/>
        </w:rPr>
        <w:t>○</w:t>
      </w:r>
      <w:r w:rsidR="00577452" w:rsidRPr="00B96876">
        <w:rPr>
          <w:rFonts w:hAnsi="標楷體" w:hint="eastAsia"/>
        </w:rPr>
        <w:t>美</w:t>
      </w:r>
      <w:r w:rsidR="00577452">
        <w:rPr>
          <w:rFonts w:hAnsi="標楷體" w:hint="eastAsia"/>
        </w:rPr>
        <w:t>、</w:t>
      </w:r>
      <w:r w:rsidR="00577452" w:rsidRPr="00F0416D">
        <w:rPr>
          <w:rFonts w:hAnsi="標楷體" w:hint="eastAsia"/>
        </w:rPr>
        <w:t>中央銀行秘書處盧副處長</w:t>
      </w:r>
      <w:r w:rsidR="001F6E26">
        <w:rPr>
          <w:rFonts w:hAnsi="標楷體" w:hint="eastAsia"/>
        </w:rPr>
        <w:t>○</w:t>
      </w:r>
      <w:r w:rsidR="00577452" w:rsidRPr="00F0416D">
        <w:rPr>
          <w:rFonts w:hAnsi="標楷體" w:hint="eastAsia"/>
        </w:rPr>
        <w:t>祥</w:t>
      </w:r>
      <w:r w:rsidR="00577452">
        <w:rPr>
          <w:rFonts w:hAnsi="標楷體" w:hint="eastAsia"/>
        </w:rPr>
        <w:t>、</w:t>
      </w:r>
      <w:r w:rsidR="00577452" w:rsidRPr="00F0416D">
        <w:rPr>
          <w:rFonts w:hAnsi="標楷體" w:hint="eastAsia"/>
        </w:rPr>
        <w:t>會計處林科長</w:t>
      </w:r>
      <w:r w:rsidR="001F6E26">
        <w:rPr>
          <w:rFonts w:hAnsi="標楷體" w:hint="eastAsia"/>
        </w:rPr>
        <w:t>○</w:t>
      </w:r>
      <w:r w:rsidR="00577452" w:rsidRPr="00F0416D">
        <w:rPr>
          <w:rFonts w:hAnsi="標楷體" w:hint="eastAsia"/>
        </w:rPr>
        <w:t>瑛</w:t>
      </w:r>
      <w:r w:rsidR="00577452">
        <w:rPr>
          <w:rFonts w:hAnsi="標楷體" w:hint="eastAsia"/>
        </w:rPr>
        <w:t>、</w:t>
      </w:r>
      <w:r w:rsidR="00577452" w:rsidRPr="00B96876">
        <w:rPr>
          <w:rFonts w:hAnsi="標楷體" w:hint="eastAsia"/>
        </w:rPr>
        <w:t>國營臺鐵</w:t>
      </w:r>
      <w:r w:rsidR="00577452">
        <w:rPr>
          <w:rFonts w:hAnsi="標楷體" w:hint="eastAsia"/>
        </w:rPr>
        <w:t>股份有限</w:t>
      </w:r>
      <w:r w:rsidR="00577452" w:rsidRPr="00B96876">
        <w:rPr>
          <w:rFonts w:hAnsi="標楷體" w:hint="eastAsia"/>
        </w:rPr>
        <w:t>公司</w:t>
      </w:r>
      <w:r w:rsidR="00577452">
        <w:rPr>
          <w:rFonts w:hAnsi="標楷體" w:hint="eastAsia"/>
        </w:rPr>
        <w:t>(下稱臺鐵公司)</w:t>
      </w:r>
      <w:r w:rsidR="00577452" w:rsidRPr="00B96876">
        <w:rPr>
          <w:rFonts w:hAnsi="標楷體" w:hint="eastAsia"/>
        </w:rPr>
        <w:t>馮總經理輝昇</w:t>
      </w:r>
      <w:r w:rsidR="00577452">
        <w:rPr>
          <w:rFonts w:hAnsi="標楷體" w:hint="eastAsia"/>
        </w:rPr>
        <w:t>、</w:t>
      </w:r>
      <w:r w:rsidR="00577452" w:rsidRPr="00B96876">
        <w:rPr>
          <w:rFonts w:hAnsi="標楷體" w:hint="eastAsia"/>
        </w:rPr>
        <w:t>企劃處林副處長</w:t>
      </w:r>
      <w:r w:rsidR="001F6E26">
        <w:rPr>
          <w:rFonts w:hAnsi="標楷體" w:hint="eastAsia"/>
        </w:rPr>
        <w:t>○</w:t>
      </w:r>
      <w:r w:rsidR="00577452" w:rsidRPr="00B96876">
        <w:rPr>
          <w:rFonts w:hAnsi="標楷體" w:hint="eastAsia"/>
        </w:rPr>
        <w:t>瑋</w:t>
      </w:r>
      <w:r w:rsidR="00577452">
        <w:rPr>
          <w:rFonts w:hAnsi="標楷體" w:hint="eastAsia"/>
        </w:rPr>
        <w:t>、</w:t>
      </w:r>
      <w:r w:rsidR="00577452" w:rsidRPr="00827EB5">
        <w:rPr>
          <w:rFonts w:hAnsi="標楷體"/>
        </w:rPr>
        <w:t>中央印製廠勞工安全衛生室黃主任</w:t>
      </w:r>
      <w:r w:rsidR="001F6E26">
        <w:rPr>
          <w:rFonts w:hAnsi="標楷體" w:hint="eastAsia"/>
        </w:rPr>
        <w:t>○</w:t>
      </w:r>
      <w:r w:rsidR="00577452" w:rsidRPr="00827EB5">
        <w:rPr>
          <w:rFonts w:hAnsi="標楷體"/>
        </w:rPr>
        <w:t>燐</w:t>
      </w:r>
      <w:r w:rsidR="00577452">
        <w:rPr>
          <w:rFonts w:hAnsi="標楷體" w:hint="eastAsia"/>
        </w:rPr>
        <w:t>、</w:t>
      </w:r>
      <w:r w:rsidR="00577452" w:rsidRPr="00827EB5">
        <w:rPr>
          <w:rFonts w:hAnsi="標楷體"/>
        </w:rPr>
        <w:t>陳副主任</w:t>
      </w:r>
      <w:r w:rsidR="001F6E26">
        <w:rPr>
          <w:rFonts w:hAnsi="標楷體" w:hint="eastAsia"/>
        </w:rPr>
        <w:t>○</w:t>
      </w:r>
      <w:r w:rsidR="00577452" w:rsidRPr="00827EB5">
        <w:rPr>
          <w:rFonts w:hAnsi="標楷體"/>
        </w:rPr>
        <w:t>翰</w:t>
      </w:r>
      <w:r w:rsidR="00577452">
        <w:rPr>
          <w:rFonts w:hAnsi="標楷體" w:hint="eastAsia"/>
        </w:rPr>
        <w:t>、</w:t>
      </w:r>
      <w:r w:rsidR="00577452" w:rsidRPr="00B96876">
        <w:rPr>
          <w:rFonts w:hAnsi="標楷體" w:hint="eastAsia"/>
        </w:rPr>
        <w:t>中央造幣廠勞工安全衛生室蔣主任</w:t>
      </w:r>
      <w:r w:rsidR="001F6E26">
        <w:rPr>
          <w:rFonts w:hAnsi="標楷體" w:hint="eastAsia"/>
        </w:rPr>
        <w:t>○</w:t>
      </w:r>
      <w:r w:rsidR="00577452" w:rsidRPr="00B96876">
        <w:rPr>
          <w:rFonts w:hAnsi="標楷體" w:hint="eastAsia"/>
        </w:rPr>
        <w:t>宗</w:t>
      </w:r>
      <w:r w:rsidR="00577452">
        <w:rPr>
          <w:rFonts w:hAnsi="標楷體" w:hint="eastAsia"/>
        </w:rPr>
        <w:t>、</w:t>
      </w:r>
      <w:r w:rsidR="00577452" w:rsidRPr="00B96876">
        <w:rPr>
          <w:rFonts w:hAnsi="標楷體" w:hint="eastAsia"/>
        </w:rPr>
        <w:t>邱工業安全衛生師</w:t>
      </w:r>
      <w:r w:rsidR="001F6E26">
        <w:rPr>
          <w:rFonts w:hAnsi="標楷體" w:hint="eastAsia"/>
        </w:rPr>
        <w:t>○</w:t>
      </w:r>
      <w:r w:rsidR="00577452" w:rsidRPr="00B96876">
        <w:rPr>
          <w:rFonts w:hAnsi="標楷體" w:hint="eastAsia"/>
        </w:rPr>
        <w:t>軒</w:t>
      </w:r>
      <w:r w:rsidR="00577452">
        <w:rPr>
          <w:rFonts w:hAnsi="標楷體" w:hint="eastAsia"/>
        </w:rPr>
        <w:t>、</w:t>
      </w:r>
      <w:r w:rsidR="00577452" w:rsidRPr="00CF4B7D">
        <w:rPr>
          <w:rFonts w:hAnsi="標楷體" w:hint="eastAsia"/>
        </w:rPr>
        <w:t>財政部印刷廠曾副廠長</w:t>
      </w:r>
      <w:r w:rsidR="001F6E26">
        <w:rPr>
          <w:rFonts w:hAnsi="標楷體" w:hint="eastAsia"/>
        </w:rPr>
        <w:t>○</w:t>
      </w:r>
      <w:r w:rsidR="00577452" w:rsidRPr="00CF4B7D">
        <w:rPr>
          <w:rFonts w:hAnsi="標楷體" w:hint="eastAsia"/>
        </w:rPr>
        <w:t>維</w:t>
      </w:r>
      <w:r w:rsidR="00577452">
        <w:rPr>
          <w:rFonts w:hAnsi="標楷體" w:hint="eastAsia"/>
        </w:rPr>
        <w:t>、李書記</w:t>
      </w:r>
      <w:r w:rsidR="001F6E26">
        <w:rPr>
          <w:rFonts w:hAnsi="標楷體" w:hint="eastAsia"/>
        </w:rPr>
        <w:t>○</w:t>
      </w:r>
      <w:r w:rsidR="00577452">
        <w:rPr>
          <w:rFonts w:hAnsi="標楷體" w:hint="eastAsia"/>
        </w:rPr>
        <w:t>雯等，復於同年4月2</w:t>
      </w:r>
      <w:r w:rsidR="00577452">
        <w:rPr>
          <w:rFonts w:hAnsi="標楷體"/>
        </w:rPr>
        <w:t>1</w:t>
      </w:r>
      <w:r w:rsidR="00577452">
        <w:rPr>
          <w:rFonts w:hAnsi="標楷體" w:hint="eastAsia"/>
        </w:rPr>
        <w:t>日詢問</w:t>
      </w:r>
      <w:r w:rsidR="00577452" w:rsidRPr="00B96876">
        <w:rPr>
          <w:rFonts w:hAnsi="標楷體" w:hint="eastAsia"/>
        </w:rPr>
        <w:t>臺鐵公司馮總經理輝昇</w:t>
      </w:r>
      <w:r w:rsidR="00577452">
        <w:rPr>
          <w:rFonts w:hAnsi="標楷體" w:hint="eastAsia"/>
        </w:rPr>
        <w:t>、</w:t>
      </w:r>
      <w:r w:rsidR="00577452" w:rsidRPr="00B96876">
        <w:rPr>
          <w:rFonts w:hAnsi="標楷體" w:hint="eastAsia"/>
        </w:rPr>
        <w:t>企劃處</w:t>
      </w:r>
      <w:r w:rsidR="00577452">
        <w:rPr>
          <w:rFonts w:hAnsi="標楷體" w:hint="eastAsia"/>
        </w:rPr>
        <w:t>江</w:t>
      </w:r>
      <w:r w:rsidR="00577452" w:rsidRPr="00B96876">
        <w:rPr>
          <w:rFonts w:hAnsi="標楷體" w:hint="eastAsia"/>
        </w:rPr>
        <w:t>處長</w:t>
      </w:r>
      <w:r w:rsidR="001F6E26">
        <w:rPr>
          <w:rFonts w:hAnsi="標楷體" w:hint="eastAsia"/>
        </w:rPr>
        <w:t>○</w:t>
      </w:r>
      <w:r w:rsidR="00577452">
        <w:rPr>
          <w:rFonts w:hAnsi="標楷體" w:hint="eastAsia"/>
        </w:rPr>
        <w:t>宜、周助理事務員</w:t>
      </w:r>
      <w:r w:rsidR="001F6E26">
        <w:rPr>
          <w:rFonts w:hAnsi="標楷體" w:hint="eastAsia"/>
        </w:rPr>
        <w:t>○</w:t>
      </w:r>
      <w:bookmarkStart w:id="25" w:name="_GoBack"/>
      <w:bookmarkEnd w:id="25"/>
      <w:r w:rsidR="00577452">
        <w:rPr>
          <w:rFonts w:hAnsi="標楷體" w:hint="eastAsia"/>
        </w:rPr>
        <w:t>宇等，以釐清案情疑點</w:t>
      </w:r>
      <w:r w:rsidR="00F8476E" w:rsidRPr="00067D31">
        <w:rPr>
          <w:rFonts w:hAnsi="標楷體" w:hint="eastAsia"/>
        </w:rPr>
        <w:t>。</w:t>
      </w:r>
      <w:r w:rsidR="004E428E">
        <w:rPr>
          <w:rFonts w:hAnsi="標楷體" w:hint="eastAsia"/>
        </w:rPr>
        <w:t>業經</w:t>
      </w:r>
      <w:proofErr w:type="gramStart"/>
      <w:r w:rsidR="004E428E">
        <w:rPr>
          <w:rFonts w:hAnsi="標楷體" w:hint="eastAsia"/>
        </w:rPr>
        <w:t>調查竣事，</w:t>
      </w:r>
      <w:r w:rsidR="00F8476E" w:rsidRPr="00067D31">
        <w:rPr>
          <w:rFonts w:hAnsi="標楷體" w:hint="eastAsia"/>
        </w:rPr>
        <w:t>茲綜整</w:t>
      </w:r>
      <w:proofErr w:type="gramEnd"/>
      <w:r w:rsidR="00F8476E" w:rsidRPr="00067D31">
        <w:rPr>
          <w:rFonts w:hAnsi="標楷體" w:hint="eastAsia"/>
        </w:rPr>
        <w:t>調查意見如下：</w:t>
      </w:r>
    </w:p>
    <w:p w:rsidR="00E5700F" w:rsidRPr="00704FEA" w:rsidRDefault="00EA586A" w:rsidP="00F332A2">
      <w:pPr>
        <w:pStyle w:val="20"/>
        <w:spacing w:beforeLines="30" w:before="137"/>
        <w:rPr>
          <w:rFonts w:hAnsi="標楷體" w:cstheme="minorBidi"/>
          <w:b/>
          <w:szCs w:val="32"/>
        </w:rPr>
      </w:pPr>
      <w:r w:rsidRPr="00704FEA">
        <w:rPr>
          <w:rFonts w:hint="eastAsia"/>
          <w:b/>
          <w:szCs w:val="36"/>
        </w:rPr>
        <w:t>截至1</w:t>
      </w:r>
      <w:r w:rsidRPr="00704FEA">
        <w:rPr>
          <w:b/>
          <w:szCs w:val="36"/>
        </w:rPr>
        <w:t>13</w:t>
      </w:r>
      <w:r w:rsidRPr="00704FEA">
        <w:rPr>
          <w:rFonts w:hint="eastAsia"/>
          <w:b/>
          <w:szCs w:val="36"/>
        </w:rPr>
        <w:t>年止，</w:t>
      </w:r>
      <w:r w:rsidRPr="00704FEA">
        <w:rPr>
          <w:rFonts w:hint="eastAsia"/>
          <w:b/>
        </w:rPr>
        <w:t>1</w:t>
      </w:r>
      <w:r w:rsidRPr="00704FEA">
        <w:rPr>
          <w:b/>
        </w:rPr>
        <w:t>7</w:t>
      </w:r>
      <w:r w:rsidRPr="00704FEA">
        <w:rPr>
          <w:rFonts w:hint="eastAsia"/>
          <w:b/>
        </w:rPr>
        <w:t>家國營事業</w:t>
      </w:r>
      <w:r w:rsidR="00A94505" w:rsidRPr="00704FEA">
        <w:rPr>
          <w:rFonts w:hint="eastAsia"/>
          <w:b/>
        </w:rPr>
        <w:t>中，除</w:t>
      </w:r>
      <w:proofErr w:type="gramStart"/>
      <w:r w:rsidRPr="00704FEA">
        <w:rPr>
          <w:rFonts w:hint="eastAsia"/>
          <w:b/>
        </w:rPr>
        <w:t>臺</w:t>
      </w:r>
      <w:proofErr w:type="gramEnd"/>
      <w:r w:rsidRPr="00704FEA">
        <w:rPr>
          <w:rFonts w:hint="eastAsia"/>
          <w:b/>
        </w:rPr>
        <w:t>鐵公司、中央銀行、中央印製廠、中央造幣廠、財政部印刷廠等</w:t>
      </w:r>
      <w:r w:rsidR="00710E26" w:rsidRPr="00704FEA">
        <w:rPr>
          <w:rFonts w:hint="eastAsia"/>
          <w:b/>
        </w:rPr>
        <w:t>5家</w:t>
      </w:r>
      <w:r w:rsidRPr="00704FEA">
        <w:rPr>
          <w:rFonts w:hint="eastAsia"/>
          <w:b/>
        </w:rPr>
        <w:t>，</w:t>
      </w:r>
      <w:r w:rsidR="00A94505" w:rsidRPr="00704FEA">
        <w:rPr>
          <w:rFonts w:hint="eastAsia"/>
          <w:b/>
        </w:rPr>
        <w:lastRenderedPageBreak/>
        <w:t>仍</w:t>
      </w:r>
      <w:r w:rsidRPr="00704FEA">
        <w:rPr>
          <w:rFonts w:hint="eastAsia"/>
          <w:b/>
        </w:rPr>
        <w:t>未</w:t>
      </w:r>
      <w:proofErr w:type="gramStart"/>
      <w:r w:rsidRPr="00704FEA">
        <w:rPr>
          <w:rFonts w:hint="eastAsia"/>
          <w:b/>
        </w:rPr>
        <w:t>依循</w:t>
      </w:r>
      <w:r w:rsidR="00D93009" w:rsidRPr="00704FEA">
        <w:rPr>
          <w:rFonts w:hint="eastAsia"/>
          <w:b/>
        </w:rPr>
        <w:t>永</w:t>
      </w:r>
      <w:proofErr w:type="gramEnd"/>
      <w:r w:rsidR="00D93009" w:rsidRPr="00704FEA">
        <w:rPr>
          <w:rFonts w:hint="eastAsia"/>
          <w:b/>
        </w:rPr>
        <w:t>續性報導準則(下稱</w:t>
      </w:r>
      <w:r w:rsidR="00D93009" w:rsidRPr="00704FEA">
        <w:rPr>
          <w:b/>
        </w:rPr>
        <w:t>GRI</w:t>
      </w:r>
      <w:r w:rsidR="00D93009" w:rsidRPr="00704FEA">
        <w:rPr>
          <w:rFonts w:hint="eastAsia"/>
          <w:b/>
        </w:rPr>
        <w:t>準則</w:t>
      </w:r>
      <w:r w:rsidR="002F787F">
        <w:rPr>
          <w:rStyle w:val="aff4"/>
          <w:b/>
        </w:rPr>
        <w:footnoteReference w:id="1"/>
      </w:r>
      <w:r w:rsidR="00D93009" w:rsidRPr="00704FEA">
        <w:rPr>
          <w:b/>
        </w:rPr>
        <w:t>)</w:t>
      </w:r>
      <w:proofErr w:type="gramStart"/>
      <w:r w:rsidRPr="00704FEA">
        <w:rPr>
          <w:rFonts w:hint="eastAsia"/>
          <w:b/>
        </w:rPr>
        <w:t>編製永</w:t>
      </w:r>
      <w:proofErr w:type="gramEnd"/>
      <w:r w:rsidRPr="00704FEA">
        <w:rPr>
          <w:rFonts w:hint="eastAsia"/>
          <w:b/>
        </w:rPr>
        <w:t>續報告書</w:t>
      </w:r>
      <w:r w:rsidR="00A94505" w:rsidRPr="00704FEA">
        <w:rPr>
          <w:rFonts w:hint="eastAsia"/>
          <w:b/>
        </w:rPr>
        <w:t>外，其餘1</w:t>
      </w:r>
      <w:r w:rsidR="00A94505" w:rsidRPr="00704FEA">
        <w:rPr>
          <w:b/>
        </w:rPr>
        <w:t>2</w:t>
      </w:r>
      <w:r w:rsidR="00A94505" w:rsidRPr="00704FEA">
        <w:rPr>
          <w:rFonts w:hint="eastAsia"/>
          <w:b/>
        </w:rPr>
        <w:t>家國營事業自103年起，已陸續導入GRI準則</w:t>
      </w:r>
      <w:proofErr w:type="gramStart"/>
      <w:r w:rsidR="00A94505" w:rsidRPr="00704FEA">
        <w:rPr>
          <w:rFonts w:hint="eastAsia"/>
          <w:b/>
        </w:rPr>
        <w:t>編製永</w:t>
      </w:r>
      <w:proofErr w:type="gramEnd"/>
      <w:r w:rsidR="00A94505" w:rsidRPr="00704FEA">
        <w:rPr>
          <w:rFonts w:hint="eastAsia"/>
          <w:b/>
        </w:rPr>
        <w:t>續報告書，惟</w:t>
      </w:r>
      <w:r w:rsidR="004422D2">
        <w:rPr>
          <w:rFonts w:hint="eastAsia"/>
          <w:b/>
        </w:rPr>
        <w:t>目前</w:t>
      </w:r>
      <w:r w:rsidR="001E0844" w:rsidRPr="001E0844">
        <w:rPr>
          <w:rFonts w:hint="eastAsia"/>
          <w:b/>
        </w:rPr>
        <w:t>僅見經濟部要求所屬國營事業規劃自</w:t>
      </w:r>
      <w:proofErr w:type="gramStart"/>
      <w:r w:rsidR="001E0844" w:rsidRPr="001E0844">
        <w:rPr>
          <w:rFonts w:hint="eastAsia"/>
          <w:b/>
        </w:rPr>
        <w:t>11</w:t>
      </w:r>
      <w:proofErr w:type="gramEnd"/>
      <w:r w:rsidR="001E0844" w:rsidRPr="001E0844">
        <w:rPr>
          <w:rFonts w:hint="eastAsia"/>
          <w:b/>
        </w:rPr>
        <w:t>6年度導入</w:t>
      </w:r>
      <w:r w:rsidR="00ED773A" w:rsidRPr="00ED773A">
        <w:rPr>
          <w:rFonts w:hint="eastAsia"/>
          <w:b/>
        </w:rPr>
        <w:t>國際財務報導準則(</w:t>
      </w:r>
      <w:r w:rsidR="00ED773A" w:rsidRPr="00ED773A">
        <w:rPr>
          <w:b/>
        </w:rPr>
        <w:t>International Financial Reporting Standards</w:t>
      </w:r>
      <w:r w:rsidR="00ED773A" w:rsidRPr="00ED773A">
        <w:rPr>
          <w:rFonts w:hint="eastAsia"/>
          <w:b/>
        </w:rPr>
        <w:t>，下稱IFRS)</w:t>
      </w:r>
      <w:r w:rsidR="00A94505" w:rsidRPr="00704FEA">
        <w:rPr>
          <w:rFonts w:hint="eastAsia"/>
          <w:b/>
        </w:rPr>
        <w:t>第S</w:t>
      </w:r>
      <w:r w:rsidR="00A94505" w:rsidRPr="00704FEA">
        <w:rPr>
          <w:b/>
        </w:rPr>
        <w:t>1</w:t>
      </w:r>
      <w:r w:rsidR="00A94505" w:rsidRPr="00704FEA">
        <w:rPr>
          <w:rFonts w:hint="eastAsia"/>
          <w:b/>
        </w:rPr>
        <w:t>號「永續相關財務資訊揭露之一般規定」及第S</w:t>
      </w:r>
      <w:r w:rsidR="00A94505" w:rsidRPr="00704FEA">
        <w:rPr>
          <w:b/>
        </w:rPr>
        <w:t>2</w:t>
      </w:r>
      <w:r w:rsidR="00A94505" w:rsidRPr="00704FEA">
        <w:rPr>
          <w:rFonts w:hint="eastAsia"/>
          <w:b/>
        </w:rPr>
        <w:t>號「氣候相關揭露」</w:t>
      </w:r>
      <w:r w:rsidR="00A94505" w:rsidRPr="00704FEA">
        <w:rPr>
          <w:b/>
        </w:rPr>
        <w:t>(</w:t>
      </w:r>
      <w:r w:rsidR="00A94505" w:rsidRPr="00704FEA">
        <w:rPr>
          <w:rFonts w:hint="eastAsia"/>
          <w:b/>
        </w:rPr>
        <w:t xml:space="preserve">下稱IFRS </w:t>
      </w:r>
      <w:r w:rsidR="0053427E">
        <w:rPr>
          <w:rFonts w:hint="eastAsia"/>
          <w:b/>
        </w:rPr>
        <w:t>S1/S2</w:t>
      </w:r>
      <w:r w:rsidR="00A94505" w:rsidRPr="00704FEA">
        <w:rPr>
          <w:rFonts w:hint="eastAsia"/>
          <w:b/>
        </w:rPr>
        <w:t>)</w:t>
      </w:r>
      <w:r w:rsidR="006A10A0" w:rsidRPr="00704FEA">
        <w:rPr>
          <w:rFonts w:hint="eastAsia"/>
          <w:b/>
        </w:rPr>
        <w:t>之具體進程</w:t>
      </w:r>
      <w:r w:rsidR="00A94505" w:rsidRPr="00704FEA">
        <w:rPr>
          <w:rFonts w:hint="eastAsia"/>
          <w:b/>
        </w:rPr>
        <w:t>。</w:t>
      </w:r>
      <w:r w:rsidR="00704FEA" w:rsidRPr="00704FEA">
        <w:rPr>
          <w:rFonts w:hint="eastAsia"/>
          <w:b/>
        </w:rPr>
        <w:t>足見</w:t>
      </w:r>
      <w:r w:rsidR="00704FEA" w:rsidRPr="00704FEA">
        <w:rPr>
          <w:b/>
        </w:rPr>
        <w:t>部分</w:t>
      </w:r>
      <w:r w:rsidR="00704FEA" w:rsidRPr="00704FEA">
        <w:rPr>
          <w:rFonts w:hint="eastAsia"/>
          <w:b/>
        </w:rPr>
        <w:t>國營</w:t>
      </w:r>
      <w:r w:rsidR="00704FEA" w:rsidRPr="00704FEA">
        <w:rPr>
          <w:b/>
        </w:rPr>
        <w:t>事業在永續治理上仍有落差，資訊透明度亦不足</w:t>
      </w:r>
      <w:r w:rsidR="00704FEA" w:rsidRPr="00704FEA">
        <w:rPr>
          <w:rFonts w:hint="eastAsia"/>
          <w:b/>
        </w:rPr>
        <w:t>，</w:t>
      </w:r>
      <w:r w:rsidR="00704FEA" w:rsidRPr="00704FEA">
        <w:rPr>
          <w:b/>
        </w:rPr>
        <w:t>揭露層次</w:t>
      </w:r>
      <w:r w:rsidR="004422D2" w:rsidRPr="004422D2">
        <w:rPr>
          <w:b/>
        </w:rPr>
        <w:t>仍與國際實務存有顯著落差</w:t>
      </w:r>
      <w:r w:rsidR="00704FEA" w:rsidRPr="00704FEA">
        <w:rPr>
          <w:rFonts w:hint="eastAsia"/>
          <w:b/>
        </w:rPr>
        <w:t>。各界對氣候變遷及永續發展等議題日益關注，</w:t>
      </w:r>
      <w:r w:rsidR="00704FEA" w:rsidRPr="00704FEA">
        <w:rPr>
          <w:b/>
        </w:rPr>
        <w:t>國營事業</w:t>
      </w:r>
      <w:r w:rsidR="00AD23C0">
        <w:rPr>
          <w:rFonts w:hint="eastAsia"/>
          <w:b/>
        </w:rPr>
        <w:t>雖非</w:t>
      </w:r>
      <w:r w:rsidR="00DB18FE">
        <w:rPr>
          <w:rFonts w:hint="eastAsia"/>
          <w:b/>
        </w:rPr>
        <w:t>上市櫃公司</w:t>
      </w:r>
      <w:r w:rsidR="00AD23C0">
        <w:rPr>
          <w:rFonts w:hint="eastAsia"/>
          <w:b/>
        </w:rPr>
        <w:t>，然</w:t>
      </w:r>
      <w:r w:rsidR="00704FEA" w:rsidRPr="00704FEA">
        <w:rPr>
          <w:rFonts w:hint="eastAsia"/>
          <w:b/>
        </w:rPr>
        <w:t>資本額多數達</w:t>
      </w:r>
      <w:r w:rsidR="00E67532">
        <w:rPr>
          <w:rFonts w:hint="eastAsia"/>
          <w:b/>
        </w:rPr>
        <w:t>新</w:t>
      </w:r>
      <w:r w:rsidR="00311516">
        <w:rPr>
          <w:rFonts w:hint="eastAsia"/>
          <w:b/>
        </w:rPr>
        <w:t>臺</w:t>
      </w:r>
      <w:r w:rsidR="00E67532">
        <w:rPr>
          <w:rFonts w:hint="eastAsia"/>
          <w:b/>
        </w:rPr>
        <w:t>幣(下同)</w:t>
      </w:r>
      <w:r w:rsidR="00704FEA" w:rsidRPr="00704FEA">
        <w:rPr>
          <w:rFonts w:hint="eastAsia"/>
          <w:b/>
        </w:rPr>
        <w:t>100億元以上，</w:t>
      </w:r>
      <w:r w:rsidR="00704FEA" w:rsidRPr="00704FEA">
        <w:rPr>
          <w:b/>
        </w:rPr>
        <w:t>不僅代表政府對永續發展</w:t>
      </w:r>
      <w:r w:rsidR="00704FEA" w:rsidRPr="00704FEA">
        <w:rPr>
          <w:rFonts w:hint="eastAsia"/>
          <w:b/>
        </w:rPr>
        <w:t>之</w:t>
      </w:r>
      <w:r w:rsidR="00704FEA" w:rsidRPr="00704FEA">
        <w:rPr>
          <w:b/>
        </w:rPr>
        <w:t>實踐意</w:t>
      </w:r>
      <w:r w:rsidR="004E2511">
        <w:rPr>
          <w:rFonts w:hint="eastAsia"/>
          <w:b/>
        </w:rPr>
        <w:t>志</w:t>
      </w:r>
      <w:r w:rsidR="00704FEA" w:rsidRPr="00704FEA">
        <w:rPr>
          <w:b/>
        </w:rPr>
        <w:t>，更在國際綠色</w:t>
      </w:r>
      <w:r w:rsidR="00704FEA" w:rsidRPr="00704FEA">
        <w:rPr>
          <w:rFonts w:hint="eastAsia"/>
          <w:b/>
        </w:rPr>
        <w:t>政府</w:t>
      </w:r>
      <w:r w:rsidR="00704FEA" w:rsidRPr="00704FEA">
        <w:rPr>
          <w:b/>
        </w:rPr>
        <w:t>發展趨勢下，</w:t>
      </w:r>
      <w:r w:rsidR="00704FEA" w:rsidRPr="00704FEA">
        <w:rPr>
          <w:rFonts w:hint="eastAsia"/>
          <w:b/>
        </w:rPr>
        <w:t>肩負</w:t>
      </w:r>
      <w:proofErr w:type="gramStart"/>
      <w:r w:rsidR="00704FEA" w:rsidRPr="00704FEA">
        <w:rPr>
          <w:rFonts w:hint="eastAsia"/>
          <w:b/>
        </w:rPr>
        <w:t>政府淨零轉型</w:t>
      </w:r>
      <w:proofErr w:type="gramEnd"/>
      <w:r w:rsidR="00704FEA" w:rsidRPr="00704FEA">
        <w:rPr>
          <w:rFonts w:hint="eastAsia"/>
          <w:b/>
        </w:rPr>
        <w:t>等重</w:t>
      </w:r>
      <w:r w:rsidR="00704FEA" w:rsidRPr="00704FEA">
        <w:rPr>
          <w:rFonts w:hAnsi="標楷體" w:cstheme="minorBidi" w:hint="eastAsia"/>
          <w:b/>
          <w:szCs w:val="32"/>
        </w:rPr>
        <w:t>大政策任務</w:t>
      </w:r>
      <w:r w:rsidR="00704FEA" w:rsidRPr="00704FEA">
        <w:rPr>
          <w:b/>
        </w:rPr>
        <w:t>，具備引領民間企業典範之責</w:t>
      </w:r>
      <w:r w:rsidR="00704FEA" w:rsidRPr="00704FEA">
        <w:rPr>
          <w:rFonts w:hint="eastAsia"/>
          <w:b/>
        </w:rPr>
        <w:t>，</w:t>
      </w:r>
      <w:r w:rsidR="00704FEA" w:rsidRPr="00704FEA">
        <w:rPr>
          <w:b/>
        </w:rPr>
        <w:t>理應主動超前部署</w:t>
      </w:r>
      <w:r w:rsidR="00704FEA" w:rsidRPr="00704FEA">
        <w:rPr>
          <w:rFonts w:hint="eastAsia"/>
          <w:b/>
        </w:rPr>
        <w:t>，</w:t>
      </w:r>
      <w:r w:rsidR="00704FEA" w:rsidRPr="00704FEA">
        <w:rPr>
          <w:b/>
        </w:rPr>
        <w:t>率先導入國際標準、建立盤查驗證機制、整合年報揭露永續風險與機會，</w:t>
      </w:r>
      <w:r w:rsidR="00327BFF">
        <w:rPr>
          <w:rFonts w:hint="eastAsia"/>
          <w:b/>
        </w:rPr>
        <w:t>各國營事業</w:t>
      </w:r>
      <w:r w:rsidR="00704FEA" w:rsidRPr="00704FEA">
        <w:rPr>
          <w:rFonts w:hint="eastAsia"/>
          <w:b/>
        </w:rPr>
        <w:t>卻一再以</w:t>
      </w:r>
      <w:r w:rsidR="00704FEA" w:rsidRPr="00704FEA">
        <w:rPr>
          <w:b/>
        </w:rPr>
        <w:t>金管會公布推動我國接軌-國際財務報導準則永續揭露準則藍圖，目前僅規範</w:t>
      </w:r>
      <w:r w:rsidR="00DB18FE">
        <w:rPr>
          <w:b/>
        </w:rPr>
        <w:t>上市櫃公司</w:t>
      </w:r>
      <w:r w:rsidR="00704FEA" w:rsidRPr="00704FEA">
        <w:rPr>
          <w:b/>
        </w:rPr>
        <w:t>為由，未</w:t>
      </w:r>
      <w:r w:rsidR="001E0844">
        <w:rPr>
          <w:rFonts w:hint="eastAsia"/>
          <w:b/>
        </w:rPr>
        <w:t>自主</w:t>
      </w:r>
      <w:r w:rsidR="00704FEA" w:rsidRPr="00704FEA">
        <w:rPr>
          <w:rFonts w:hint="eastAsia"/>
          <w:b/>
        </w:rPr>
        <w:t>積極規劃接軌國際永續揭露準則進程</w:t>
      </w:r>
      <w:r w:rsidR="00704FEA" w:rsidRPr="00704FEA">
        <w:rPr>
          <w:b/>
        </w:rPr>
        <w:t>，</w:t>
      </w:r>
      <w:r w:rsidR="00704FEA" w:rsidRPr="00704FEA">
        <w:rPr>
          <w:rFonts w:hint="eastAsia"/>
          <w:b/>
        </w:rPr>
        <w:t>顯示其</w:t>
      </w:r>
      <w:r w:rsidR="00704FEA" w:rsidRPr="00704FEA">
        <w:rPr>
          <w:b/>
        </w:rPr>
        <w:t>過度仰賴外部規範，缺乏主動治理與風險揭露意識</w:t>
      </w:r>
      <w:r w:rsidR="00704FEA" w:rsidRPr="00704FEA">
        <w:rPr>
          <w:rFonts w:hint="eastAsia"/>
          <w:b/>
        </w:rPr>
        <w:t>，實有未當</w:t>
      </w:r>
      <w:r w:rsidR="00EC1E43" w:rsidRPr="00704FEA">
        <w:rPr>
          <w:rFonts w:hAnsi="標楷體" w:cstheme="minorBidi" w:hint="eastAsia"/>
          <w:b/>
          <w:szCs w:val="32"/>
        </w:rPr>
        <w:t>：</w:t>
      </w:r>
    </w:p>
    <w:p w:rsidR="0079263F" w:rsidRDefault="00FE0B94" w:rsidP="00F332A2">
      <w:pPr>
        <w:pStyle w:val="3"/>
        <w:spacing w:beforeLines="30" w:before="137"/>
        <w:rPr>
          <w:rFonts w:hAnsi="標楷體"/>
        </w:rPr>
      </w:pPr>
      <w:r>
        <w:rPr>
          <w:rFonts w:hint="eastAsia"/>
        </w:rPr>
        <w:t>為</w:t>
      </w:r>
      <w:r w:rsidRPr="004536D4">
        <w:rPr>
          <w:rFonts w:hint="eastAsia"/>
        </w:rPr>
        <w:t>回應財務報導使用者對於獲取具完整性、一致性與可比較性之永續與氣候相關資訊需求</w:t>
      </w:r>
      <w:r>
        <w:rPr>
          <w:rFonts w:hint="eastAsia"/>
        </w:rPr>
        <w:t>，</w:t>
      </w:r>
      <w:r w:rsidR="00C77C58" w:rsidRPr="00DF4DA6">
        <w:rPr>
          <w:rFonts w:hint="eastAsia"/>
          <w:szCs w:val="48"/>
        </w:rPr>
        <w:t>國際財務報導準則基金會</w:t>
      </w:r>
      <w:r w:rsidR="00C77C58">
        <w:rPr>
          <w:rFonts w:hint="eastAsia"/>
        </w:rPr>
        <w:t>(</w:t>
      </w:r>
      <w:r w:rsidR="007232FD" w:rsidRPr="0079263F">
        <w:rPr>
          <w:rFonts w:ascii="Times New Roman" w:hAnsi="Times New Roman"/>
          <w:spacing w:val="2"/>
          <w:szCs w:val="32"/>
        </w:rPr>
        <w:t>International Financial Reporting Standards Foundation</w:t>
      </w:r>
      <w:r w:rsidR="007232FD">
        <w:rPr>
          <w:rFonts w:hAnsi="標楷體" w:hint="eastAsia"/>
          <w:spacing w:val="2"/>
          <w:szCs w:val="32"/>
        </w:rPr>
        <w:t>，</w:t>
      </w:r>
      <w:r w:rsidR="007232FD">
        <w:rPr>
          <w:rFonts w:hint="eastAsia"/>
        </w:rPr>
        <w:t>下稱</w:t>
      </w:r>
      <w:r w:rsidR="00C77C58" w:rsidRPr="0079263F">
        <w:rPr>
          <w:rFonts w:ascii="Times New Roman" w:hAnsi="Times New Roman"/>
          <w:szCs w:val="48"/>
        </w:rPr>
        <w:t>IFRS</w:t>
      </w:r>
      <w:r w:rsidR="00C77C58" w:rsidRPr="00DF4DA6">
        <w:rPr>
          <w:rFonts w:hint="eastAsia"/>
          <w:szCs w:val="48"/>
        </w:rPr>
        <w:t>基金會</w:t>
      </w:r>
      <w:r w:rsidR="00C77C58">
        <w:rPr>
          <w:rFonts w:hint="eastAsia"/>
        </w:rPr>
        <w:t>)</w:t>
      </w:r>
      <w:r w:rsidR="00C77C58" w:rsidRPr="00DF4DA6">
        <w:rPr>
          <w:rFonts w:hint="eastAsia"/>
          <w:szCs w:val="48"/>
        </w:rPr>
        <w:t>成立之國際永續準則理事會</w:t>
      </w:r>
      <w:r w:rsidR="00C77C58">
        <w:rPr>
          <w:rFonts w:hint="eastAsia"/>
        </w:rPr>
        <w:t>(</w:t>
      </w:r>
      <w:r w:rsidR="00C77C58" w:rsidRPr="0079263F">
        <w:rPr>
          <w:rFonts w:ascii="Times New Roman" w:hAnsi="Times New Roman"/>
          <w:szCs w:val="48"/>
        </w:rPr>
        <w:t>International Sustainability Standards Board</w:t>
      </w:r>
      <w:r w:rsidR="00C77C58" w:rsidRPr="0079263F">
        <w:rPr>
          <w:rFonts w:ascii="Times New Roman" w:hAnsi="Times New Roman"/>
          <w:szCs w:val="48"/>
        </w:rPr>
        <w:t>，</w:t>
      </w:r>
      <w:r w:rsidR="00C77C58" w:rsidRPr="0079263F">
        <w:rPr>
          <w:rFonts w:ascii="Times New Roman" w:hAnsi="Times New Roman"/>
          <w:szCs w:val="48"/>
        </w:rPr>
        <w:t>ISSB</w:t>
      </w:r>
      <w:r w:rsidR="00C77C58">
        <w:rPr>
          <w:rFonts w:hint="eastAsia"/>
        </w:rPr>
        <w:t>)</w:t>
      </w:r>
      <w:r w:rsidR="00C77C58" w:rsidRPr="00DF4DA6">
        <w:rPr>
          <w:rFonts w:hint="eastAsia"/>
          <w:szCs w:val="48"/>
        </w:rPr>
        <w:t>於</w:t>
      </w:r>
      <w:r w:rsidR="00D065C2">
        <w:rPr>
          <w:rFonts w:hint="eastAsia"/>
          <w:szCs w:val="48"/>
        </w:rPr>
        <w:t>西元(下同)</w:t>
      </w:r>
      <w:r w:rsidR="00C77C58" w:rsidRPr="00DF4DA6">
        <w:rPr>
          <w:rFonts w:hint="eastAsia"/>
          <w:szCs w:val="48"/>
        </w:rPr>
        <w:t>2023年6月26日發布</w:t>
      </w:r>
      <w:r w:rsidR="007232FD" w:rsidRPr="0079263F">
        <w:rPr>
          <w:rFonts w:ascii="Times New Roman" w:hAnsi="Times New Roman"/>
          <w:spacing w:val="2"/>
          <w:szCs w:val="32"/>
        </w:rPr>
        <w:t>IFRS</w:t>
      </w:r>
      <w:r w:rsidR="007232FD" w:rsidRPr="000A5FAB">
        <w:rPr>
          <w:rFonts w:hAnsi="標楷體" w:hint="eastAsia"/>
          <w:spacing w:val="2"/>
          <w:szCs w:val="32"/>
        </w:rPr>
        <w:t xml:space="preserve"> </w:t>
      </w:r>
      <w:r w:rsidR="007232FD" w:rsidRPr="0079263F">
        <w:rPr>
          <w:rFonts w:ascii="Times New Roman" w:hAnsi="Times New Roman"/>
          <w:spacing w:val="2"/>
          <w:szCs w:val="32"/>
        </w:rPr>
        <w:t>S1/S2</w:t>
      </w:r>
      <w:r w:rsidR="00C77C58" w:rsidRPr="0079263F">
        <w:rPr>
          <w:rFonts w:ascii="Times New Roman" w:hAnsi="Times New Roman"/>
          <w:szCs w:val="48"/>
        </w:rPr>
        <w:t>。</w:t>
      </w:r>
      <w:r w:rsidR="00C77C58" w:rsidRPr="0079263F">
        <w:rPr>
          <w:rFonts w:ascii="Times New Roman" w:hAnsi="Times New Roman"/>
        </w:rPr>
        <w:t>IFRS S1/S2</w:t>
      </w:r>
      <w:r w:rsidR="00C77C58" w:rsidRPr="004536D4">
        <w:rPr>
          <w:rFonts w:hint="eastAsia"/>
        </w:rPr>
        <w:t>之編寫架構參考了</w:t>
      </w:r>
      <w:r w:rsidR="00C77C58" w:rsidRPr="00DF4DA6">
        <w:rPr>
          <w:rFonts w:hint="eastAsia"/>
          <w:szCs w:val="48"/>
        </w:rPr>
        <w:lastRenderedPageBreak/>
        <w:t>氣候相關財務揭露</w:t>
      </w:r>
      <w:r w:rsidR="00C77C58">
        <w:rPr>
          <w:rFonts w:hint="eastAsia"/>
        </w:rPr>
        <w:t>(</w:t>
      </w:r>
      <w:r w:rsidR="00C77C58" w:rsidRPr="0079263F">
        <w:rPr>
          <w:rFonts w:ascii="Times New Roman" w:hAnsi="Times New Roman"/>
          <w:szCs w:val="48"/>
        </w:rPr>
        <w:t>Task Force on Climate-related Financial Disclosures</w:t>
      </w:r>
      <w:r w:rsidR="00C77C58" w:rsidRPr="0079263F">
        <w:rPr>
          <w:rFonts w:ascii="Times New Roman" w:hAnsi="Times New Roman"/>
        </w:rPr>
        <w:t>，下稱</w:t>
      </w:r>
      <w:r w:rsidR="00C77C58" w:rsidRPr="0079263F">
        <w:rPr>
          <w:rFonts w:ascii="Times New Roman" w:hAnsi="Times New Roman"/>
          <w:szCs w:val="48"/>
        </w:rPr>
        <w:t>TCFD</w:t>
      </w:r>
      <w:r w:rsidR="00C77C58">
        <w:rPr>
          <w:rFonts w:hint="eastAsia"/>
        </w:rPr>
        <w:t>)</w:t>
      </w:r>
      <w:r w:rsidR="00C77C58" w:rsidRPr="004536D4">
        <w:rPr>
          <w:rFonts w:hint="eastAsia"/>
        </w:rPr>
        <w:t>之四大核心揭露架構</w:t>
      </w:r>
      <w:r w:rsidR="00C77C58">
        <w:rPr>
          <w:rFonts w:hint="eastAsia"/>
        </w:rPr>
        <w:t>，並</w:t>
      </w:r>
      <w:r w:rsidR="00C77C58" w:rsidRPr="004536D4">
        <w:rPr>
          <w:rFonts w:hint="eastAsia"/>
        </w:rPr>
        <w:t>與</w:t>
      </w:r>
      <w:r w:rsidR="00C77C58" w:rsidRPr="00F14E40">
        <w:rPr>
          <w:rFonts w:hint="eastAsia"/>
          <w:szCs w:val="48"/>
        </w:rPr>
        <w:t>永續會計準則</w:t>
      </w:r>
      <w:r w:rsidR="00DA7152" w:rsidRPr="00F14E40">
        <w:rPr>
          <w:rFonts w:hint="eastAsia"/>
        </w:rPr>
        <w:t>(</w:t>
      </w:r>
      <w:r w:rsidR="00DA7152">
        <w:rPr>
          <w:rFonts w:hint="eastAsia"/>
        </w:rPr>
        <w:t>由永續會計準則委員會</w:t>
      </w:r>
      <w:r w:rsidR="00DA7152" w:rsidRPr="0079263F">
        <w:rPr>
          <w:rFonts w:ascii="Times New Roman" w:hAnsi="Times New Roman"/>
        </w:rPr>
        <w:t>Sustainability Accounting Standard Board</w:t>
      </w:r>
      <w:r w:rsidR="00DA7152" w:rsidRPr="0079263F">
        <w:rPr>
          <w:rFonts w:ascii="Times New Roman" w:hAnsi="Times New Roman"/>
        </w:rPr>
        <w:t>制定，</w:t>
      </w:r>
      <w:r w:rsidR="00C77C58" w:rsidRPr="0079263F">
        <w:rPr>
          <w:rFonts w:ascii="Times New Roman" w:hAnsi="Times New Roman"/>
        </w:rPr>
        <w:t>下稱</w:t>
      </w:r>
      <w:r w:rsidR="00C77C58" w:rsidRPr="0079263F">
        <w:rPr>
          <w:rFonts w:ascii="Times New Roman" w:hAnsi="Times New Roman"/>
          <w:szCs w:val="48"/>
        </w:rPr>
        <w:t>SASB</w:t>
      </w:r>
      <w:r w:rsidR="006D1AE5">
        <w:rPr>
          <w:rFonts w:hint="eastAsia"/>
          <w:szCs w:val="48"/>
        </w:rPr>
        <w:t>準則</w:t>
      </w:r>
      <w:r w:rsidR="00C77C58">
        <w:rPr>
          <w:rFonts w:hint="eastAsia"/>
        </w:rPr>
        <w:t>，其與GRI</w:t>
      </w:r>
      <w:r w:rsidR="003C75D6">
        <w:rPr>
          <w:rFonts w:hint="eastAsia"/>
        </w:rPr>
        <w:t>準則</w:t>
      </w:r>
      <w:r w:rsidR="006D1AE5">
        <w:rPr>
          <w:rFonts w:hint="eastAsia"/>
        </w:rPr>
        <w:t>比較</w:t>
      </w:r>
      <w:r w:rsidR="00C77C58">
        <w:rPr>
          <w:rFonts w:hint="eastAsia"/>
        </w:rPr>
        <w:t>詳</w:t>
      </w:r>
      <w:r w:rsidR="003C75D6">
        <w:rPr>
          <w:rFonts w:hint="eastAsia"/>
        </w:rPr>
        <w:t>下</w:t>
      </w:r>
      <w:r w:rsidR="00C77C58">
        <w:rPr>
          <w:rFonts w:hint="eastAsia"/>
        </w:rPr>
        <w:t>表</w:t>
      </w:r>
      <w:r w:rsidR="00C77C58" w:rsidRPr="00F14E40">
        <w:rPr>
          <w:szCs w:val="48"/>
        </w:rPr>
        <w:t>)</w:t>
      </w:r>
      <w:r w:rsidR="00C77C58" w:rsidRPr="004536D4">
        <w:rPr>
          <w:rFonts w:hint="eastAsia"/>
        </w:rPr>
        <w:t>高度相容，確保各種行業之公司在指標之揭露能保持一致性與可比較性</w:t>
      </w:r>
      <w:r w:rsidR="00C77C58">
        <w:rPr>
          <w:rStyle w:val="aff4"/>
        </w:rPr>
        <w:footnoteReference w:id="2"/>
      </w:r>
      <w:r w:rsidR="00C77C58">
        <w:rPr>
          <w:rFonts w:hint="eastAsia"/>
        </w:rPr>
        <w:t>。</w:t>
      </w:r>
    </w:p>
    <w:p w:rsidR="009B7592" w:rsidRPr="005A08D8" w:rsidRDefault="009B7592" w:rsidP="009B7592">
      <w:pPr>
        <w:pStyle w:val="a5"/>
        <w:keepLines/>
        <w:numPr>
          <w:ilvl w:val="0"/>
          <w:numId w:val="0"/>
        </w:numPr>
        <w:jc w:val="center"/>
      </w:pPr>
      <w:r w:rsidRPr="00C62506">
        <w:rPr>
          <w:noProof/>
        </w:rPr>
        <w:lastRenderedPageBreak/>
        <mc:AlternateContent>
          <mc:Choice Requires="wps">
            <w:drawing>
              <wp:anchor distT="45720" distB="45720" distL="114300" distR="114300" simplePos="0" relativeHeight="251699200" behindDoc="1" locked="0" layoutInCell="1" allowOverlap="1" wp14:anchorId="4C1E4756" wp14:editId="40A38130">
                <wp:simplePos x="0" y="0"/>
                <wp:positionH relativeFrom="column">
                  <wp:posOffset>12790170</wp:posOffset>
                </wp:positionH>
                <wp:positionV relativeFrom="paragraph">
                  <wp:posOffset>-401955</wp:posOffset>
                </wp:positionV>
                <wp:extent cx="518160" cy="441960"/>
                <wp:effectExtent l="0" t="0" r="15240" b="1524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441960"/>
                        </a:xfrm>
                        <a:prstGeom prst="rect">
                          <a:avLst/>
                        </a:prstGeom>
                        <a:solidFill>
                          <a:srgbClr val="FFFFFF"/>
                        </a:solidFill>
                        <a:ln w="9525">
                          <a:solidFill>
                            <a:srgbClr val="000000"/>
                          </a:solidFill>
                          <a:miter lim="800000"/>
                          <a:headEnd/>
                          <a:tailEnd/>
                        </a:ln>
                      </wps:spPr>
                      <wps:txbx>
                        <w:txbxContent>
                          <w:p w:rsidR="00952461" w:rsidRPr="00C62506" w:rsidRDefault="00952461" w:rsidP="009B7592">
                            <w:pPr>
                              <w:rPr>
                                <w:rFonts w:hAnsi="標楷體"/>
                                <w:szCs w:val="32"/>
                              </w:rPr>
                            </w:pPr>
                            <w:r w:rsidRPr="00C62506">
                              <w:rPr>
                                <w:rFonts w:hAnsi="標楷體" w:hint="eastAsia"/>
                                <w:szCs w:val="32"/>
                              </w:rPr>
                              <w:t>附表</w:t>
                            </w:r>
                          </w:p>
                        </w:txbxContent>
                      </wps:txbx>
                      <wps:bodyPr rot="0" vert="horz" wrap="square" lIns="46800" tIns="0" rIns="4680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1E4756" id="_x0000_t202" coordsize="21600,21600" o:spt="202" path="m,l,21600r21600,l21600,xe">
                <v:stroke joinstyle="miter"/>
                <v:path gradientshapeok="t" o:connecttype="rect"/>
              </v:shapetype>
              <v:shape id="文字方塊 11" o:spid="_x0000_s1026" type="#_x0000_t202" style="position:absolute;left:0;text-align:left;margin-left:1007.1pt;margin-top:-31.65pt;width:40.8pt;height:34.8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">
                <v:textbox inset="1.3mm,0,1.3mm">
                  <w:txbxContent>
                    <w:p w:rsidR="00952461" w:rsidRPr="00C62506" w:rsidRDefault="00952461" w:rsidP="009B7592">
                      <w:pPr>
                        <w:rPr>
                          <w:rFonts w:hAnsi="標楷體"/>
                          <w:szCs w:val="32"/>
                        </w:rPr>
                      </w:pPr>
                      <w:r w:rsidRPr="00C62506">
                        <w:rPr>
                          <w:rFonts w:hAnsi="標楷體" w:hint="eastAsia"/>
                          <w:szCs w:val="32"/>
                        </w:rPr>
                        <w:t>附表</w:t>
                      </w:r>
                    </w:p>
                  </w:txbxContent>
                </v:textbox>
              </v:shape>
            </w:pict>
          </mc:Fallback>
        </mc:AlternateContent>
      </w:r>
      <w:r>
        <w:rPr>
          <w:rFonts w:hint="eastAsia"/>
          <w:noProof/>
        </w:rPr>
        <w:t>GRI、SASB國際通用準則比較</w:t>
      </w:r>
      <w:r w:rsidRPr="006E41D5">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29"/>
        <w:gridCol w:w="4111"/>
        <w:gridCol w:w="3594"/>
      </w:tblGrid>
      <w:tr w:rsidR="009B7592" w:rsidRPr="008A21DA" w:rsidTr="007624EA">
        <w:trPr>
          <w:tblHeader/>
        </w:trPr>
        <w:tc>
          <w:tcPr>
            <w:tcW w:w="639" w:type="pct"/>
            <w:shd w:val="clear" w:color="auto" w:fill="FFFFFF"/>
            <w:tcMar>
              <w:top w:w="28" w:type="dxa"/>
              <w:left w:w="28" w:type="dxa"/>
              <w:bottom w:w="28" w:type="dxa"/>
              <w:right w:w="28" w:type="dxa"/>
            </w:tcMar>
            <w:vAlign w:val="center"/>
          </w:tcPr>
          <w:p w:rsidR="009B7592" w:rsidRPr="008A21DA" w:rsidRDefault="009B7592" w:rsidP="007624EA">
            <w:pPr>
              <w:keepNext/>
              <w:keepLines/>
              <w:widowControl/>
              <w:overflowPunct/>
              <w:autoSpaceDE/>
              <w:autoSpaceDN/>
              <w:adjustRightInd w:val="0"/>
              <w:snapToGrid w:val="0"/>
              <w:spacing w:line="400" w:lineRule="exact"/>
              <w:jc w:val="center"/>
              <w:rPr>
                <w:rFonts w:hAnsi="標楷體" w:cs="Arial"/>
                <w:color w:val="2F2F2F"/>
                <w:spacing w:val="-20"/>
                <w:kern w:val="0"/>
                <w:sz w:val="28"/>
                <w:szCs w:val="28"/>
              </w:rPr>
            </w:pPr>
            <w:r w:rsidRPr="008A21DA">
              <w:rPr>
                <w:rFonts w:hAnsi="標楷體" w:cs="Arial" w:hint="eastAsia"/>
                <w:color w:val="2F2F2F"/>
                <w:spacing w:val="-20"/>
                <w:kern w:val="0"/>
                <w:sz w:val="28"/>
                <w:szCs w:val="28"/>
              </w:rPr>
              <w:t>準則</w:t>
            </w:r>
            <w:r w:rsidRPr="008A21DA">
              <w:rPr>
                <w:rFonts w:hAnsi="標楷體" w:cs="Arial"/>
                <w:color w:val="2F2F2F"/>
                <w:spacing w:val="-20"/>
                <w:kern w:val="0"/>
                <w:sz w:val="28"/>
                <w:szCs w:val="28"/>
              </w:rPr>
              <w:t>名稱</w:t>
            </w:r>
          </w:p>
        </w:tc>
        <w:tc>
          <w:tcPr>
            <w:tcW w:w="2327" w:type="pct"/>
            <w:shd w:val="clear" w:color="auto" w:fill="FFFFFF"/>
            <w:tcMar>
              <w:top w:w="28" w:type="dxa"/>
              <w:left w:w="28" w:type="dxa"/>
              <w:bottom w:w="28" w:type="dxa"/>
              <w:right w:w="28" w:type="dxa"/>
            </w:tcMar>
            <w:vAlign w:val="center"/>
          </w:tcPr>
          <w:p w:rsidR="009B7592" w:rsidRPr="008A21DA" w:rsidRDefault="009B7592" w:rsidP="007624EA">
            <w:pPr>
              <w:keepNext/>
              <w:keepLines/>
              <w:widowControl/>
              <w:overflowPunct/>
              <w:autoSpaceDE/>
              <w:autoSpaceDN/>
              <w:adjustRightInd w:val="0"/>
              <w:snapToGrid w:val="0"/>
              <w:spacing w:line="400" w:lineRule="exact"/>
              <w:jc w:val="center"/>
              <w:rPr>
                <w:rFonts w:hAnsi="標楷體" w:cs="Arial"/>
                <w:spacing w:val="-20"/>
                <w:kern w:val="0"/>
                <w:sz w:val="28"/>
                <w:szCs w:val="28"/>
              </w:rPr>
            </w:pPr>
            <w:r w:rsidRPr="008A21DA">
              <w:rPr>
                <w:rFonts w:hAnsi="標楷體" w:cs="Arial"/>
                <w:bCs/>
                <w:spacing w:val="-20"/>
                <w:kern w:val="0"/>
                <w:sz w:val="28"/>
                <w:szCs w:val="28"/>
              </w:rPr>
              <w:t>GRI</w:t>
            </w:r>
          </w:p>
        </w:tc>
        <w:tc>
          <w:tcPr>
            <w:tcW w:w="2034" w:type="pct"/>
            <w:shd w:val="clear" w:color="auto" w:fill="FFFFFF"/>
            <w:tcMar>
              <w:top w:w="28" w:type="dxa"/>
              <w:left w:w="28" w:type="dxa"/>
              <w:bottom w:w="28" w:type="dxa"/>
              <w:right w:w="28" w:type="dxa"/>
            </w:tcMar>
            <w:vAlign w:val="center"/>
          </w:tcPr>
          <w:p w:rsidR="009B7592" w:rsidRPr="008A21DA" w:rsidRDefault="009B7592" w:rsidP="007624EA">
            <w:pPr>
              <w:keepNext/>
              <w:keepLines/>
              <w:widowControl/>
              <w:overflowPunct/>
              <w:autoSpaceDE/>
              <w:autoSpaceDN/>
              <w:adjustRightInd w:val="0"/>
              <w:snapToGrid w:val="0"/>
              <w:spacing w:line="400" w:lineRule="exact"/>
              <w:jc w:val="center"/>
              <w:rPr>
                <w:rFonts w:hAnsi="標楷體" w:cs="Arial"/>
                <w:spacing w:val="-20"/>
                <w:kern w:val="0"/>
                <w:sz w:val="28"/>
                <w:szCs w:val="28"/>
              </w:rPr>
            </w:pPr>
            <w:r w:rsidRPr="008A21DA">
              <w:rPr>
                <w:rFonts w:hAnsi="標楷體" w:cs="Arial"/>
                <w:bCs/>
                <w:spacing w:val="-20"/>
                <w:kern w:val="0"/>
                <w:sz w:val="28"/>
                <w:szCs w:val="28"/>
              </w:rPr>
              <w:t>SASB</w:t>
            </w:r>
          </w:p>
        </w:tc>
      </w:tr>
      <w:tr w:rsidR="009B7592" w:rsidRPr="008A21DA" w:rsidTr="007624EA">
        <w:trPr>
          <w:trHeight w:val="1085"/>
        </w:trPr>
        <w:tc>
          <w:tcPr>
            <w:tcW w:w="639" w:type="pct"/>
            <w:shd w:val="clear" w:color="auto" w:fill="FFFFFF"/>
            <w:tcMar>
              <w:top w:w="28" w:type="dxa"/>
              <w:left w:w="28" w:type="dxa"/>
              <w:bottom w:w="28" w:type="dxa"/>
              <w:right w:w="28" w:type="dxa"/>
            </w:tcMar>
            <w:vAlign w:val="center"/>
            <w:hideMark/>
          </w:tcPr>
          <w:p w:rsidR="009B7592" w:rsidRPr="008A21DA" w:rsidRDefault="009B7592" w:rsidP="007624EA">
            <w:pPr>
              <w:keepNext/>
              <w:keepLines/>
              <w:widowControl/>
              <w:overflowPunct/>
              <w:autoSpaceDE/>
              <w:autoSpaceDN/>
              <w:adjustRightInd w:val="0"/>
              <w:snapToGrid w:val="0"/>
              <w:spacing w:line="400" w:lineRule="exact"/>
              <w:jc w:val="center"/>
              <w:rPr>
                <w:rFonts w:hAnsi="標楷體" w:cs="Arial"/>
                <w:color w:val="2F2F2F"/>
                <w:spacing w:val="-20"/>
                <w:kern w:val="0"/>
                <w:sz w:val="28"/>
                <w:szCs w:val="28"/>
              </w:rPr>
            </w:pPr>
            <w:r w:rsidRPr="008A21DA">
              <w:rPr>
                <w:rFonts w:hAnsi="標楷體" w:cs="Arial"/>
                <w:color w:val="2F2F2F"/>
                <w:spacing w:val="-20"/>
                <w:kern w:val="0"/>
                <w:sz w:val="28"/>
                <w:szCs w:val="28"/>
              </w:rPr>
              <w:t>主要溝通對象</w:t>
            </w:r>
          </w:p>
        </w:tc>
        <w:tc>
          <w:tcPr>
            <w:tcW w:w="2327" w:type="pct"/>
            <w:shd w:val="clear" w:color="auto" w:fill="FFFFFF"/>
            <w:tcMar>
              <w:top w:w="28" w:type="dxa"/>
              <w:left w:w="28" w:type="dxa"/>
              <w:bottom w:w="28" w:type="dxa"/>
              <w:right w:w="28" w:type="dxa"/>
            </w:tcMar>
            <w:vAlign w:val="center"/>
            <w:hideMark/>
          </w:tcPr>
          <w:p w:rsidR="009B7592" w:rsidRPr="008A21DA" w:rsidRDefault="009B7592" w:rsidP="007624EA">
            <w:pPr>
              <w:keepNext/>
              <w:keepLines/>
              <w:widowControl/>
              <w:overflowPunct/>
              <w:autoSpaceDE/>
              <w:autoSpaceDN/>
              <w:adjustRightInd w:val="0"/>
              <w:snapToGrid w:val="0"/>
              <w:spacing w:line="400" w:lineRule="exact"/>
              <w:jc w:val="center"/>
              <w:rPr>
                <w:rFonts w:hAnsi="標楷體" w:cs="Arial"/>
                <w:color w:val="2F2F2F"/>
                <w:spacing w:val="-20"/>
                <w:kern w:val="0"/>
                <w:sz w:val="28"/>
                <w:szCs w:val="28"/>
              </w:rPr>
            </w:pPr>
            <w:r w:rsidRPr="008A21DA">
              <w:rPr>
                <w:rFonts w:hAnsi="標楷體" w:cs="Arial"/>
                <w:color w:val="2F2F2F"/>
                <w:spacing w:val="-20"/>
                <w:kern w:val="0"/>
                <w:sz w:val="28"/>
                <w:szCs w:val="28"/>
              </w:rPr>
              <w:t>利害關係人</w:t>
            </w:r>
            <w:r>
              <w:rPr>
                <w:rFonts w:hAnsi="標楷體" w:cs="Arial"/>
                <w:color w:val="2F2F2F"/>
                <w:spacing w:val="-20"/>
                <w:kern w:val="0"/>
                <w:sz w:val="28"/>
                <w:szCs w:val="28"/>
              </w:rPr>
              <w:t>(</w:t>
            </w:r>
            <w:r w:rsidRPr="008A21DA">
              <w:rPr>
                <w:rFonts w:hAnsi="標楷體" w:cs="Arial"/>
                <w:color w:val="2F2F2F"/>
                <w:spacing w:val="-20"/>
                <w:kern w:val="0"/>
                <w:sz w:val="28"/>
                <w:szCs w:val="28"/>
              </w:rPr>
              <w:t>包括員工、客戶、供應商、政府、股東</w:t>
            </w:r>
            <w:r>
              <w:rPr>
                <w:rFonts w:hAnsi="標楷體" w:cs="Arial"/>
                <w:color w:val="2F2F2F"/>
                <w:spacing w:val="-20"/>
                <w:kern w:val="0"/>
                <w:sz w:val="28"/>
                <w:szCs w:val="28"/>
              </w:rPr>
              <w:t>)</w:t>
            </w:r>
            <w:proofErr w:type="gramStart"/>
            <w:r w:rsidRPr="008A21DA">
              <w:rPr>
                <w:rFonts w:hAnsi="標楷體" w:cs="Arial" w:hint="eastAsia"/>
                <w:color w:val="2F2F2F"/>
                <w:spacing w:val="-20"/>
                <w:kern w:val="0"/>
                <w:sz w:val="28"/>
                <w:szCs w:val="28"/>
              </w:rPr>
              <w:t>導向議合</w:t>
            </w:r>
            <w:proofErr w:type="gramEnd"/>
          </w:p>
        </w:tc>
        <w:tc>
          <w:tcPr>
            <w:tcW w:w="2034" w:type="pct"/>
            <w:shd w:val="clear" w:color="auto" w:fill="FFFFFF"/>
            <w:tcMar>
              <w:top w:w="28" w:type="dxa"/>
              <w:left w:w="28" w:type="dxa"/>
              <w:bottom w:w="28" w:type="dxa"/>
              <w:right w:w="28" w:type="dxa"/>
            </w:tcMar>
            <w:vAlign w:val="center"/>
            <w:hideMark/>
          </w:tcPr>
          <w:p w:rsidR="009B7592" w:rsidRPr="008A21DA" w:rsidRDefault="009B7592" w:rsidP="007624EA">
            <w:pPr>
              <w:keepNext/>
              <w:keepLines/>
              <w:widowControl/>
              <w:overflowPunct/>
              <w:autoSpaceDE/>
              <w:autoSpaceDN/>
              <w:adjustRightInd w:val="0"/>
              <w:snapToGrid w:val="0"/>
              <w:spacing w:line="400" w:lineRule="exact"/>
              <w:jc w:val="center"/>
              <w:rPr>
                <w:rFonts w:hAnsi="標楷體" w:cs="Arial"/>
                <w:color w:val="2F2F2F"/>
                <w:spacing w:val="-20"/>
                <w:kern w:val="0"/>
                <w:sz w:val="28"/>
                <w:szCs w:val="28"/>
              </w:rPr>
            </w:pPr>
            <w:r w:rsidRPr="008A21DA">
              <w:rPr>
                <w:rFonts w:hAnsi="標楷體" w:cs="Arial"/>
                <w:color w:val="2F2F2F"/>
                <w:spacing w:val="-20"/>
                <w:kern w:val="0"/>
                <w:sz w:val="28"/>
                <w:szCs w:val="28"/>
              </w:rPr>
              <w:t>投資人</w:t>
            </w:r>
            <w:r w:rsidRPr="008A21DA">
              <w:rPr>
                <w:rFonts w:hAnsi="標楷體" w:cs="Arial" w:hint="eastAsia"/>
                <w:color w:val="2F2F2F"/>
                <w:spacing w:val="-20"/>
                <w:kern w:val="0"/>
                <w:sz w:val="28"/>
                <w:szCs w:val="28"/>
              </w:rPr>
              <w:t>需求溝通</w:t>
            </w:r>
          </w:p>
        </w:tc>
      </w:tr>
      <w:tr w:rsidR="009B7592" w:rsidRPr="008A21DA" w:rsidTr="007624EA">
        <w:trPr>
          <w:trHeight w:val="2334"/>
        </w:trPr>
        <w:tc>
          <w:tcPr>
            <w:tcW w:w="639" w:type="pct"/>
            <w:vMerge w:val="restart"/>
            <w:shd w:val="clear" w:color="auto" w:fill="FFFFFF"/>
            <w:tcMar>
              <w:top w:w="28" w:type="dxa"/>
              <w:left w:w="28" w:type="dxa"/>
              <w:bottom w:w="28" w:type="dxa"/>
              <w:right w:w="28" w:type="dxa"/>
            </w:tcMar>
            <w:vAlign w:val="center"/>
            <w:hideMark/>
          </w:tcPr>
          <w:p w:rsidR="009B7592" w:rsidRPr="008A21DA" w:rsidRDefault="009B7592" w:rsidP="007624EA">
            <w:pPr>
              <w:keepNext/>
              <w:keepLines/>
              <w:widowControl/>
              <w:overflowPunct/>
              <w:autoSpaceDE/>
              <w:autoSpaceDN/>
              <w:adjustRightInd w:val="0"/>
              <w:snapToGrid w:val="0"/>
              <w:spacing w:line="400" w:lineRule="exact"/>
              <w:jc w:val="center"/>
              <w:rPr>
                <w:rFonts w:hAnsi="標楷體" w:cs="Arial"/>
                <w:color w:val="2F2F2F"/>
                <w:spacing w:val="-20"/>
                <w:kern w:val="0"/>
                <w:sz w:val="28"/>
                <w:szCs w:val="28"/>
              </w:rPr>
            </w:pPr>
            <w:r w:rsidRPr="008A21DA">
              <w:rPr>
                <w:rFonts w:hAnsi="標楷體" w:cs="Arial"/>
                <w:color w:val="2F2F2F"/>
                <w:spacing w:val="-20"/>
                <w:kern w:val="0"/>
                <w:sz w:val="28"/>
                <w:szCs w:val="28"/>
              </w:rPr>
              <w:t>內容</w:t>
            </w:r>
          </w:p>
        </w:tc>
        <w:tc>
          <w:tcPr>
            <w:tcW w:w="2327" w:type="pct"/>
            <w:shd w:val="clear" w:color="auto" w:fill="FFFFFF"/>
            <w:tcMar>
              <w:top w:w="28" w:type="dxa"/>
              <w:left w:w="28" w:type="dxa"/>
              <w:bottom w:w="28" w:type="dxa"/>
              <w:right w:w="28" w:type="dxa"/>
            </w:tcMar>
            <w:hideMark/>
          </w:tcPr>
          <w:p w:rsidR="009B7592" w:rsidRDefault="009B7592"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p>
          <w:p w:rsidR="009B7592" w:rsidRPr="008A21DA" w:rsidRDefault="009B7592"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r w:rsidRPr="008A21DA">
              <w:rPr>
                <w:rFonts w:hAnsi="標楷體" w:cs="Arial" w:hint="eastAsia"/>
                <w:color w:val="2F2F2F"/>
                <w:spacing w:val="-20"/>
                <w:kern w:val="0"/>
                <w:sz w:val="28"/>
                <w:szCs w:val="28"/>
              </w:rPr>
              <w:t>GRI凖則：</w:t>
            </w:r>
          </w:p>
          <w:p w:rsidR="009B7592" w:rsidRPr="008A21DA" w:rsidRDefault="009B7592"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r w:rsidRPr="008A21DA">
              <w:rPr>
                <w:rFonts w:hAnsi="標楷體" w:cs="Arial"/>
                <w:color w:val="2F2F2F"/>
                <w:spacing w:val="-20"/>
                <w:kern w:val="0"/>
                <w:sz w:val="28"/>
                <w:szCs w:val="28"/>
              </w:rPr>
              <w:t>適用於所有組織的GRI通用準則</w:t>
            </w:r>
            <w:r w:rsidRPr="008A21DA">
              <w:rPr>
                <w:rFonts w:hAnsi="標楷體" w:cs="Arial" w:hint="eastAsia"/>
                <w:color w:val="2F2F2F"/>
                <w:spacing w:val="-20"/>
                <w:kern w:val="0"/>
                <w:sz w:val="28"/>
                <w:szCs w:val="28"/>
              </w:rPr>
              <w:t>，</w:t>
            </w:r>
          </w:p>
          <w:p w:rsidR="009B7592" w:rsidRPr="008A21DA" w:rsidRDefault="009B7592"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r w:rsidRPr="008A21DA">
              <w:rPr>
                <w:rFonts w:hAnsi="標楷體" w:cs="Arial"/>
                <w:color w:val="2F2F2F"/>
                <w:spacing w:val="-20"/>
                <w:kern w:val="0"/>
                <w:sz w:val="28"/>
                <w:szCs w:val="28"/>
              </w:rPr>
              <w:t>適用於特定行業的GRI行業準則</w:t>
            </w:r>
            <w:r w:rsidRPr="008A21DA">
              <w:rPr>
                <w:rFonts w:hAnsi="標楷體" w:cs="Arial" w:hint="eastAsia"/>
                <w:color w:val="2F2F2F"/>
                <w:spacing w:val="-20"/>
                <w:kern w:val="0"/>
                <w:sz w:val="28"/>
                <w:szCs w:val="28"/>
              </w:rPr>
              <w:t>，</w:t>
            </w:r>
          </w:p>
          <w:p w:rsidR="009B7592" w:rsidRPr="008A21DA" w:rsidRDefault="009B7592"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r w:rsidRPr="008A21DA">
              <w:rPr>
                <w:rFonts w:hAnsi="標楷體" w:cs="Arial"/>
                <w:color w:val="2F2F2F"/>
                <w:spacing w:val="-20"/>
                <w:kern w:val="0"/>
                <w:sz w:val="28"/>
                <w:szCs w:val="28"/>
              </w:rPr>
              <w:t>包括特定主題內容</w:t>
            </w:r>
            <w:r w:rsidRPr="008A21DA">
              <w:rPr>
                <w:rFonts w:hAnsi="標楷體" w:cs="Arial" w:hint="eastAsia"/>
                <w:color w:val="2F2F2F"/>
                <w:spacing w:val="-20"/>
                <w:kern w:val="0"/>
                <w:sz w:val="28"/>
                <w:szCs w:val="28"/>
              </w:rPr>
              <w:t>之</w:t>
            </w:r>
            <w:r w:rsidRPr="008A21DA">
              <w:rPr>
                <w:rFonts w:hAnsi="標楷體" w:cs="Arial"/>
                <w:color w:val="2F2F2F"/>
                <w:spacing w:val="-20"/>
                <w:kern w:val="0"/>
                <w:sz w:val="28"/>
                <w:szCs w:val="28"/>
              </w:rPr>
              <w:t>GRI主題準則</w:t>
            </w:r>
            <w:r w:rsidRPr="008A21DA">
              <w:rPr>
                <w:rFonts w:hAnsi="標楷體" w:cs="Arial" w:hint="eastAsia"/>
                <w:color w:val="2F2F2F"/>
                <w:spacing w:val="-20"/>
                <w:kern w:val="0"/>
                <w:sz w:val="28"/>
                <w:szCs w:val="28"/>
              </w:rPr>
              <w:t>。</w:t>
            </w:r>
          </w:p>
        </w:tc>
        <w:tc>
          <w:tcPr>
            <w:tcW w:w="2034" w:type="pct"/>
            <w:shd w:val="clear" w:color="auto" w:fill="FFFFFF"/>
            <w:tcMar>
              <w:top w:w="28" w:type="dxa"/>
              <w:left w:w="28" w:type="dxa"/>
              <w:bottom w:w="28" w:type="dxa"/>
              <w:right w:w="28" w:type="dxa"/>
            </w:tcMar>
            <w:hideMark/>
          </w:tcPr>
          <w:p w:rsidR="009B7592" w:rsidRDefault="009B7592"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p>
          <w:p w:rsidR="009B7592" w:rsidRPr="008A21DA" w:rsidRDefault="009B7592"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proofErr w:type="gramStart"/>
            <w:r w:rsidRPr="008A21DA">
              <w:rPr>
                <w:rFonts w:hAnsi="標楷體" w:cs="Arial" w:hint="eastAsia"/>
                <w:color w:val="2F2F2F"/>
                <w:spacing w:val="-20"/>
                <w:kern w:val="0"/>
                <w:sz w:val="28"/>
                <w:szCs w:val="28"/>
              </w:rPr>
              <w:t>採</w:t>
            </w:r>
            <w:proofErr w:type="gramEnd"/>
            <w:r w:rsidRPr="008A21DA">
              <w:rPr>
                <w:rFonts w:hAnsi="標楷體" w:cs="Arial"/>
                <w:color w:val="2F2F2F"/>
                <w:spacing w:val="-20"/>
                <w:kern w:val="0"/>
                <w:sz w:val="28"/>
                <w:szCs w:val="28"/>
              </w:rPr>
              <w:t>產業別作為內容</w:t>
            </w:r>
            <w:r>
              <w:rPr>
                <w:rFonts w:hAnsi="標楷體" w:cs="Arial" w:hint="eastAsia"/>
                <w:color w:val="2F2F2F"/>
                <w:spacing w:val="-20"/>
                <w:kern w:val="0"/>
                <w:sz w:val="28"/>
                <w:szCs w:val="28"/>
              </w:rPr>
              <w:t>之</w:t>
            </w:r>
            <w:r w:rsidRPr="008A21DA">
              <w:rPr>
                <w:rFonts w:hAnsi="標楷體" w:cs="Arial"/>
                <w:color w:val="2F2F2F"/>
                <w:spacing w:val="-20"/>
                <w:kern w:val="0"/>
                <w:sz w:val="28"/>
                <w:szCs w:val="28"/>
              </w:rPr>
              <w:t>區分，分成11</w:t>
            </w:r>
            <w:r>
              <w:rPr>
                <w:rFonts w:hAnsi="標楷體" w:cs="Arial" w:hint="eastAsia"/>
                <w:color w:val="2F2F2F"/>
                <w:spacing w:val="-20"/>
                <w:kern w:val="0"/>
                <w:sz w:val="28"/>
                <w:szCs w:val="28"/>
              </w:rPr>
              <w:t>項</w:t>
            </w:r>
            <w:r w:rsidRPr="008A21DA">
              <w:rPr>
                <w:rFonts w:hAnsi="標楷體" w:cs="Arial"/>
                <w:color w:val="2F2F2F"/>
                <w:spacing w:val="-20"/>
                <w:kern w:val="0"/>
                <w:sz w:val="28"/>
                <w:szCs w:val="28"/>
              </w:rPr>
              <w:t>產業別</w:t>
            </w:r>
            <w:r>
              <w:rPr>
                <w:rFonts w:hAnsi="標楷體" w:cs="Arial" w:hint="eastAsia"/>
                <w:color w:val="2F2F2F"/>
                <w:spacing w:val="-20"/>
                <w:kern w:val="0"/>
                <w:sz w:val="28"/>
                <w:szCs w:val="28"/>
              </w:rPr>
              <w:t>特定準則</w:t>
            </w:r>
            <w:r w:rsidRPr="008A21DA">
              <w:rPr>
                <w:rFonts w:hAnsi="標楷體" w:cs="Arial"/>
                <w:color w:val="2F2F2F"/>
                <w:spacing w:val="-20"/>
                <w:kern w:val="0"/>
                <w:sz w:val="28"/>
                <w:szCs w:val="28"/>
              </w:rPr>
              <w:t>、77</w:t>
            </w:r>
            <w:r>
              <w:rPr>
                <w:rFonts w:hAnsi="標楷體" w:cs="Arial" w:hint="eastAsia"/>
                <w:color w:val="2F2F2F"/>
                <w:spacing w:val="-20"/>
                <w:kern w:val="0"/>
                <w:sz w:val="28"/>
                <w:szCs w:val="28"/>
              </w:rPr>
              <w:t>項</w:t>
            </w:r>
            <w:r w:rsidRPr="008A21DA">
              <w:rPr>
                <w:rFonts w:hAnsi="標楷體" w:cs="Arial"/>
                <w:color w:val="2F2F2F"/>
                <w:spacing w:val="-20"/>
                <w:kern w:val="0"/>
                <w:sz w:val="28"/>
                <w:szCs w:val="28"/>
              </w:rPr>
              <w:t>行業</w:t>
            </w:r>
            <w:r>
              <w:rPr>
                <w:rFonts w:hAnsi="標楷體" w:cs="Arial" w:hint="eastAsia"/>
                <w:color w:val="2F2F2F"/>
                <w:spacing w:val="-20"/>
                <w:kern w:val="0"/>
                <w:sz w:val="28"/>
                <w:szCs w:val="28"/>
              </w:rPr>
              <w:t>準則</w:t>
            </w:r>
            <w:r w:rsidRPr="008A21DA">
              <w:rPr>
                <w:rFonts w:hAnsi="標楷體" w:cs="Arial"/>
                <w:color w:val="2F2F2F"/>
                <w:spacing w:val="-20"/>
                <w:kern w:val="0"/>
                <w:sz w:val="28"/>
                <w:szCs w:val="28"/>
              </w:rPr>
              <w:t>及26項主題</w:t>
            </w:r>
            <w:r>
              <w:rPr>
                <w:rFonts w:hAnsi="標楷體" w:cs="Arial" w:hint="eastAsia"/>
                <w:color w:val="2F2F2F"/>
                <w:spacing w:val="-20"/>
                <w:kern w:val="0"/>
                <w:sz w:val="28"/>
                <w:szCs w:val="28"/>
              </w:rPr>
              <w:t>準則，聚焦於財務重大性</w:t>
            </w:r>
            <w:r w:rsidRPr="008A21DA">
              <w:rPr>
                <w:rFonts w:hAnsi="標楷體" w:cs="Arial" w:hint="eastAsia"/>
                <w:color w:val="2F2F2F"/>
                <w:spacing w:val="-20"/>
                <w:kern w:val="0"/>
                <w:sz w:val="28"/>
                <w:szCs w:val="28"/>
              </w:rPr>
              <w:t>。</w:t>
            </w:r>
          </w:p>
        </w:tc>
      </w:tr>
      <w:tr w:rsidR="009B7592" w:rsidRPr="008A21DA" w:rsidTr="007624EA">
        <w:trPr>
          <w:trHeight w:val="3062"/>
        </w:trPr>
        <w:tc>
          <w:tcPr>
            <w:tcW w:w="639" w:type="pct"/>
            <w:vMerge/>
            <w:shd w:val="clear" w:color="auto" w:fill="FFFFFF"/>
            <w:tcMar>
              <w:top w:w="28" w:type="dxa"/>
              <w:left w:w="28" w:type="dxa"/>
              <w:bottom w:w="28" w:type="dxa"/>
              <w:right w:w="28" w:type="dxa"/>
            </w:tcMar>
            <w:vAlign w:val="center"/>
          </w:tcPr>
          <w:p w:rsidR="009B7592" w:rsidRPr="008A21DA" w:rsidRDefault="009B7592" w:rsidP="007624EA">
            <w:pPr>
              <w:keepNext/>
              <w:keepLines/>
              <w:widowControl/>
              <w:overflowPunct/>
              <w:autoSpaceDE/>
              <w:autoSpaceDN/>
              <w:adjustRightInd w:val="0"/>
              <w:snapToGrid w:val="0"/>
              <w:spacing w:line="400" w:lineRule="exact"/>
              <w:jc w:val="center"/>
              <w:rPr>
                <w:rFonts w:hAnsi="標楷體" w:cs="Arial"/>
                <w:color w:val="2F2F2F"/>
                <w:spacing w:val="-20"/>
                <w:kern w:val="0"/>
                <w:sz w:val="28"/>
                <w:szCs w:val="28"/>
              </w:rPr>
            </w:pPr>
          </w:p>
        </w:tc>
        <w:tc>
          <w:tcPr>
            <w:tcW w:w="2327" w:type="pct"/>
            <w:shd w:val="clear" w:color="auto" w:fill="FFFFFF"/>
            <w:tcMar>
              <w:top w:w="28" w:type="dxa"/>
              <w:left w:w="28" w:type="dxa"/>
              <w:bottom w:w="28" w:type="dxa"/>
              <w:right w:w="28" w:type="dxa"/>
            </w:tcMar>
          </w:tcPr>
          <w:p w:rsidR="009B7592" w:rsidRDefault="009B7592"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p>
          <w:p w:rsidR="009B7592" w:rsidRPr="008A21DA" w:rsidRDefault="009B7592"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r w:rsidRPr="008A21DA">
              <w:rPr>
                <w:rFonts w:hAnsi="標楷體" w:cs="Arial" w:hint="eastAsia"/>
                <w:color w:val="2F2F2F"/>
                <w:spacing w:val="-20"/>
                <w:kern w:val="0"/>
                <w:sz w:val="28"/>
                <w:szCs w:val="28"/>
              </w:rPr>
              <w:t>涵蓋範圍較廣泛：</w:t>
            </w:r>
          </w:p>
          <w:p w:rsidR="009B7592" w:rsidRPr="008A21DA" w:rsidRDefault="009B7592"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r w:rsidRPr="008A21DA">
              <w:rPr>
                <w:rFonts w:hAnsi="標楷體" w:cs="Arial" w:hint="eastAsia"/>
                <w:color w:val="2F2F2F"/>
                <w:spacing w:val="-20"/>
                <w:kern w:val="0"/>
                <w:sz w:val="28"/>
                <w:szCs w:val="28"/>
              </w:rPr>
              <w:t>a</w:t>
            </w:r>
            <w:r w:rsidRPr="008A21DA">
              <w:rPr>
                <w:rFonts w:hAnsi="標楷體" w:cs="Arial"/>
                <w:color w:val="2F2F2F"/>
                <w:spacing w:val="-20"/>
                <w:kern w:val="0"/>
                <w:sz w:val="28"/>
                <w:szCs w:val="28"/>
              </w:rPr>
              <w:t>.</w:t>
            </w:r>
            <w:r w:rsidRPr="008A21DA">
              <w:rPr>
                <w:rFonts w:hAnsi="標楷體" w:cs="Arial" w:hint="eastAsia"/>
                <w:color w:val="2F2F2F"/>
                <w:spacing w:val="-20"/>
                <w:kern w:val="0"/>
                <w:sz w:val="28"/>
                <w:szCs w:val="28"/>
              </w:rPr>
              <w:t>經濟面向；</w:t>
            </w:r>
          </w:p>
          <w:p w:rsidR="009B7592" w:rsidRPr="008A21DA" w:rsidRDefault="009B7592"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r w:rsidRPr="008A21DA">
              <w:rPr>
                <w:rFonts w:hAnsi="標楷體" w:cs="Arial" w:hint="eastAsia"/>
                <w:color w:val="2F2F2F"/>
                <w:spacing w:val="-20"/>
                <w:kern w:val="0"/>
                <w:sz w:val="28"/>
                <w:szCs w:val="28"/>
              </w:rPr>
              <w:t>b</w:t>
            </w:r>
            <w:r w:rsidRPr="008A21DA">
              <w:rPr>
                <w:rFonts w:hAnsi="標楷體" w:cs="Arial"/>
                <w:color w:val="2F2F2F"/>
                <w:spacing w:val="-20"/>
                <w:kern w:val="0"/>
                <w:sz w:val="28"/>
                <w:szCs w:val="28"/>
              </w:rPr>
              <w:t>.</w:t>
            </w:r>
            <w:r w:rsidRPr="008A21DA">
              <w:rPr>
                <w:rFonts w:hAnsi="標楷體" w:cs="Arial" w:hint="eastAsia"/>
                <w:color w:val="2F2F2F"/>
                <w:spacing w:val="-20"/>
                <w:kern w:val="0"/>
                <w:sz w:val="28"/>
                <w:szCs w:val="28"/>
              </w:rPr>
              <w:t>環境面向；</w:t>
            </w:r>
          </w:p>
          <w:p w:rsidR="009B7592" w:rsidRPr="008A21DA" w:rsidRDefault="009B7592"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r w:rsidRPr="008A21DA">
              <w:rPr>
                <w:rFonts w:hAnsi="標楷體" w:cs="Arial" w:hint="eastAsia"/>
                <w:color w:val="2F2F2F"/>
                <w:spacing w:val="-20"/>
                <w:kern w:val="0"/>
                <w:sz w:val="28"/>
                <w:szCs w:val="28"/>
              </w:rPr>
              <w:t>c</w:t>
            </w:r>
            <w:r w:rsidRPr="008A21DA">
              <w:rPr>
                <w:rFonts w:hAnsi="標楷體" w:cs="Arial"/>
                <w:color w:val="2F2F2F"/>
                <w:spacing w:val="-20"/>
                <w:kern w:val="0"/>
                <w:sz w:val="28"/>
                <w:szCs w:val="28"/>
              </w:rPr>
              <w:t>.</w:t>
            </w:r>
            <w:r w:rsidRPr="008A21DA">
              <w:rPr>
                <w:rFonts w:hAnsi="標楷體" w:cs="Arial" w:hint="eastAsia"/>
                <w:color w:val="2F2F2F"/>
                <w:spacing w:val="-20"/>
                <w:kern w:val="0"/>
                <w:sz w:val="28"/>
                <w:szCs w:val="28"/>
              </w:rPr>
              <w:t>社會面向。</w:t>
            </w:r>
          </w:p>
        </w:tc>
        <w:tc>
          <w:tcPr>
            <w:tcW w:w="2034" w:type="pct"/>
            <w:shd w:val="clear" w:color="auto" w:fill="FFFFFF"/>
            <w:tcMar>
              <w:top w:w="28" w:type="dxa"/>
              <w:left w:w="28" w:type="dxa"/>
              <w:bottom w:w="28" w:type="dxa"/>
              <w:right w:w="28" w:type="dxa"/>
            </w:tcMar>
          </w:tcPr>
          <w:p w:rsidR="009B7592" w:rsidRDefault="009B7592"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p>
          <w:p w:rsidR="009B7592" w:rsidRPr="008A21DA" w:rsidRDefault="009B45FD"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r w:rsidRPr="008A21DA">
              <w:rPr>
                <w:rFonts w:hAnsi="標楷體" w:cs="Arial" w:hint="eastAsia"/>
                <w:color w:val="2F2F2F"/>
                <w:spacing w:val="-20"/>
                <w:kern w:val="0"/>
                <w:sz w:val="28"/>
                <w:szCs w:val="28"/>
              </w:rPr>
              <w:t>涵蓋</w:t>
            </w:r>
            <w:r w:rsidR="009B7592" w:rsidRPr="008A21DA">
              <w:rPr>
                <w:rFonts w:hAnsi="標楷體" w:cs="Arial" w:hint="eastAsia"/>
                <w:color w:val="2F2F2F"/>
                <w:spacing w:val="-20"/>
                <w:kern w:val="0"/>
                <w:sz w:val="28"/>
                <w:szCs w:val="28"/>
              </w:rPr>
              <w:t>5</w:t>
            </w:r>
            <w:r w:rsidR="009B7592">
              <w:rPr>
                <w:rFonts w:hAnsi="標楷體" w:cs="Arial" w:hint="eastAsia"/>
                <w:color w:val="2F2F2F"/>
                <w:spacing w:val="-20"/>
                <w:kern w:val="0"/>
                <w:sz w:val="28"/>
                <w:szCs w:val="28"/>
              </w:rPr>
              <w:t>大永續</w:t>
            </w:r>
            <w:r w:rsidR="009B7592" w:rsidRPr="008A21DA">
              <w:rPr>
                <w:rFonts w:hAnsi="標楷體" w:cs="Arial"/>
                <w:color w:val="2F2F2F"/>
                <w:spacing w:val="-20"/>
                <w:kern w:val="0"/>
                <w:sz w:val="28"/>
                <w:szCs w:val="28"/>
              </w:rPr>
              <w:t>面向</w:t>
            </w:r>
            <w:r w:rsidR="009B7592" w:rsidRPr="008A21DA">
              <w:rPr>
                <w:rFonts w:hAnsi="標楷體" w:cs="Arial" w:hint="eastAsia"/>
                <w:color w:val="2F2F2F"/>
                <w:spacing w:val="-20"/>
                <w:kern w:val="0"/>
                <w:sz w:val="28"/>
                <w:szCs w:val="28"/>
              </w:rPr>
              <w:t>：</w:t>
            </w:r>
          </w:p>
          <w:p w:rsidR="009B7592" w:rsidRPr="008A21DA" w:rsidRDefault="009B7592"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r w:rsidRPr="008A21DA">
              <w:rPr>
                <w:rFonts w:hAnsi="標楷體" w:cs="Arial" w:hint="eastAsia"/>
                <w:color w:val="2F2F2F"/>
                <w:spacing w:val="-20"/>
                <w:kern w:val="0"/>
                <w:sz w:val="28"/>
                <w:szCs w:val="28"/>
              </w:rPr>
              <w:t>a</w:t>
            </w:r>
            <w:r w:rsidRPr="008A21DA">
              <w:rPr>
                <w:rFonts w:hAnsi="標楷體" w:cs="Arial"/>
                <w:color w:val="2F2F2F"/>
                <w:spacing w:val="-20"/>
                <w:kern w:val="0"/>
                <w:sz w:val="28"/>
                <w:szCs w:val="28"/>
              </w:rPr>
              <w:t>.環境</w:t>
            </w:r>
            <w:r w:rsidRPr="008A21DA">
              <w:rPr>
                <w:rFonts w:hAnsi="標楷體" w:cs="Arial" w:hint="eastAsia"/>
                <w:color w:val="2F2F2F"/>
                <w:spacing w:val="-20"/>
                <w:kern w:val="0"/>
                <w:sz w:val="28"/>
                <w:szCs w:val="28"/>
              </w:rPr>
              <w:t>；</w:t>
            </w:r>
            <w:r w:rsidRPr="008A21DA">
              <w:rPr>
                <w:rFonts w:hAnsi="標楷體" w:cs="Arial"/>
                <w:color w:val="2F2F2F"/>
                <w:spacing w:val="-20"/>
                <w:kern w:val="0"/>
                <w:sz w:val="28"/>
                <w:szCs w:val="28"/>
              </w:rPr>
              <w:br/>
            </w:r>
            <w:r w:rsidRPr="008A21DA">
              <w:rPr>
                <w:rFonts w:hAnsi="標楷體" w:cs="Arial" w:hint="eastAsia"/>
                <w:color w:val="2F2F2F"/>
                <w:spacing w:val="-20"/>
                <w:kern w:val="0"/>
                <w:sz w:val="28"/>
                <w:szCs w:val="28"/>
              </w:rPr>
              <w:t>b</w:t>
            </w:r>
            <w:r w:rsidRPr="008A21DA">
              <w:rPr>
                <w:rFonts w:hAnsi="標楷體" w:cs="Arial"/>
                <w:color w:val="2F2F2F"/>
                <w:spacing w:val="-20"/>
                <w:kern w:val="0"/>
                <w:sz w:val="28"/>
                <w:szCs w:val="28"/>
              </w:rPr>
              <w:t>.社會資源</w:t>
            </w:r>
            <w:r w:rsidRPr="008A21DA">
              <w:rPr>
                <w:rFonts w:hAnsi="標楷體" w:cs="Arial" w:hint="eastAsia"/>
                <w:color w:val="2F2F2F"/>
                <w:spacing w:val="-20"/>
                <w:kern w:val="0"/>
                <w:sz w:val="28"/>
                <w:szCs w:val="28"/>
              </w:rPr>
              <w:t>；</w:t>
            </w:r>
            <w:r w:rsidRPr="008A21DA">
              <w:rPr>
                <w:rFonts w:hAnsi="標楷體" w:cs="Arial"/>
                <w:color w:val="2F2F2F"/>
                <w:spacing w:val="-20"/>
                <w:kern w:val="0"/>
                <w:sz w:val="28"/>
                <w:szCs w:val="28"/>
              </w:rPr>
              <w:br/>
            </w:r>
            <w:r w:rsidRPr="008A21DA">
              <w:rPr>
                <w:rFonts w:hAnsi="標楷體" w:cs="Arial" w:hint="eastAsia"/>
                <w:color w:val="2F2F2F"/>
                <w:spacing w:val="-20"/>
                <w:kern w:val="0"/>
                <w:sz w:val="28"/>
                <w:szCs w:val="28"/>
              </w:rPr>
              <w:t>c</w:t>
            </w:r>
            <w:r w:rsidRPr="008A21DA">
              <w:rPr>
                <w:rFonts w:hAnsi="標楷體" w:cs="Arial"/>
                <w:color w:val="2F2F2F"/>
                <w:spacing w:val="-20"/>
                <w:kern w:val="0"/>
                <w:sz w:val="28"/>
                <w:szCs w:val="28"/>
              </w:rPr>
              <w:t>.人力資源</w:t>
            </w:r>
            <w:r w:rsidRPr="008A21DA">
              <w:rPr>
                <w:rFonts w:hAnsi="標楷體" w:cs="Arial" w:hint="eastAsia"/>
                <w:color w:val="2F2F2F"/>
                <w:spacing w:val="-20"/>
                <w:kern w:val="0"/>
                <w:sz w:val="28"/>
                <w:szCs w:val="28"/>
              </w:rPr>
              <w:t>；</w:t>
            </w:r>
            <w:r w:rsidRPr="008A21DA">
              <w:rPr>
                <w:rFonts w:hAnsi="標楷體" w:cs="Arial"/>
                <w:color w:val="2F2F2F"/>
                <w:spacing w:val="-20"/>
                <w:kern w:val="0"/>
                <w:sz w:val="28"/>
                <w:szCs w:val="28"/>
              </w:rPr>
              <w:br/>
            </w:r>
            <w:r w:rsidRPr="008A21DA">
              <w:rPr>
                <w:rFonts w:hAnsi="標楷體" w:cs="Arial" w:hint="eastAsia"/>
                <w:color w:val="2F2F2F"/>
                <w:spacing w:val="-20"/>
                <w:kern w:val="0"/>
                <w:sz w:val="28"/>
                <w:szCs w:val="28"/>
              </w:rPr>
              <w:t>d</w:t>
            </w:r>
            <w:r w:rsidRPr="008A21DA">
              <w:rPr>
                <w:rFonts w:hAnsi="標楷體" w:cs="Arial"/>
                <w:color w:val="2F2F2F"/>
                <w:spacing w:val="-20"/>
                <w:kern w:val="0"/>
                <w:sz w:val="28"/>
                <w:szCs w:val="28"/>
              </w:rPr>
              <w:t>.商業模式與創新</w:t>
            </w:r>
            <w:r w:rsidRPr="008A21DA">
              <w:rPr>
                <w:rFonts w:hAnsi="標楷體" w:cs="Arial" w:hint="eastAsia"/>
                <w:color w:val="2F2F2F"/>
                <w:spacing w:val="-20"/>
                <w:kern w:val="0"/>
                <w:sz w:val="28"/>
                <w:szCs w:val="28"/>
              </w:rPr>
              <w:t>；</w:t>
            </w:r>
            <w:r w:rsidRPr="008A21DA">
              <w:rPr>
                <w:rFonts w:hAnsi="標楷體" w:cs="Arial"/>
                <w:color w:val="2F2F2F"/>
                <w:spacing w:val="-20"/>
                <w:kern w:val="0"/>
                <w:sz w:val="28"/>
                <w:szCs w:val="28"/>
              </w:rPr>
              <w:br/>
            </w:r>
            <w:r w:rsidRPr="008A21DA">
              <w:rPr>
                <w:rFonts w:hAnsi="標楷體" w:cs="Arial" w:hint="eastAsia"/>
                <w:color w:val="2F2F2F"/>
                <w:spacing w:val="-20"/>
                <w:kern w:val="0"/>
                <w:sz w:val="28"/>
                <w:szCs w:val="28"/>
              </w:rPr>
              <w:t>e</w:t>
            </w:r>
            <w:r w:rsidRPr="008A21DA">
              <w:rPr>
                <w:rFonts w:hAnsi="標楷體" w:cs="Arial"/>
                <w:color w:val="2F2F2F"/>
                <w:spacing w:val="-20"/>
                <w:kern w:val="0"/>
                <w:sz w:val="28"/>
                <w:szCs w:val="28"/>
              </w:rPr>
              <w:t>.領導力及公司治理。</w:t>
            </w:r>
          </w:p>
        </w:tc>
      </w:tr>
      <w:tr w:rsidR="009B7592" w:rsidRPr="008A21DA" w:rsidTr="007624EA">
        <w:trPr>
          <w:trHeight w:val="2625"/>
        </w:trPr>
        <w:tc>
          <w:tcPr>
            <w:tcW w:w="639" w:type="pct"/>
            <w:shd w:val="clear" w:color="auto" w:fill="FFFFFF"/>
            <w:tcMar>
              <w:top w:w="28" w:type="dxa"/>
              <w:left w:w="28" w:type="dxa"/>
              <w:bottom w:w="28" w:type="dxa"/>
              <w:right w:w="28" w:type="dxa"/>
            </w:tcMar>
            <w:vAlign w:val="center"/>
            <w:hideMark/>
          </w:tcPr>
          <w:p w:rsidR="009B7592" w:rsidRPr="008A21DA" w:rsidRDefault="009B7592" w:rsidP="007624EA">
            <w:pPr>
              <w:keepNext/>
              <w:keepLines/>
              <w:widowControl/>
              <w:overflowPunct/>
              <w:autoSpaceDE/>
              <w:autoSpaceDN/>
              <w:adjustRightInd w:val="0"/>
              <w:snapToGrid w:val="0"/>
              <w:spacing w:line="400" w:lineRule="exact"/>
              <w:jc w:val="center"/>
              <w:rPr>
                <w:rFonts w:hAnsi="標楷體" w:cs="Arial"/>
                <w:color w:val="2F2F2F"/>
                <w:spacing w:val="-20"/>
                <w:kern w:val="0"/>
                <w:sz w:val="28"/>
                <w:szCs w:val="28"/>
              </w:rPr>
            </w:pPr>
            <w:r w:rsidRPr="008A21DA">
              <w:rPr>
                <w:rFonts w:hAnsi="標楷體" w:cs="Arial"/>
                <w:color w:val="2F2F2F"/>
                <w:spacing w:val="-20"/>
                <w:kern w:val="0"/>
                <w:sz w:val="28"/>
                <w:szCs w:val="28"/>
              </w:rPr>
              <w:t>特點</w:t>
            </w:r>
          </w:p>
        </w:tc>
        <w:tc>
          <w:tcPr>
            <w:tcW w:w="2327" w:type="pct"/>
            <w:shd w:val="clear" w:color="auto" w:fill="FFFFFF"/>
            <w:tcMar>
              <w:top w:w="28" w:type="dxa"/>
              <w:left w:w="28" w:type="dxa"/>
              <w:bottom w:w="28" w:type="dxa"/>
              <w:right w:w="28" w:type="dxa"/>
            </w:tcMar>
            <w:hideMark/>
          </w:tcPr>
          <w:p w:rsidR="009B7592" w:rsidRDefault="009B7592"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p>
          <w:p w:rsidR="009B7592" w:rsidRPr="008A21DA" w:rsidRDefault="009B7592"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r w:rsidRPr="008A21DA">
              <w:rPr>
                <w:rFonts w:hAnsi="標楷體" w:cs="Arial" w:hint="eastAsia"/>
                <w:color w:val="2F2F2F"/>
                <w:spacing w:val="-20"/>
                <w:kern w:val="0"/>
                <w:sz w:val="28"/>
                <w:szCs w:val="28"/>
              </w:rPr>
              <w:t>為目前最多企業採用之準則，其涵蓋範圍大，也保留相當彈性，</w:t>
            </w:r>
            <w:r w:rsidRPr="008A21DA">
              <w:rPr>
                <w:rFonts w:hAnsi="標楷體" w:cs="Arial"/>
                <w:color w:val="2F2F2F"/>
                <w:spacing w:val="-20"/>
                <w:kern w:val="0"/>
                <w:sz w:val="28"/>
                <w:szCs w:val="28"/>
              </w:rPr>
              <w:t>資訊兼顧</w:t>
            </w:r>
            <w:r w:rsidRPr="008A21DA">
              <w:rPr>
                <w:rFonts w:hAnsi="標楷體" w:cs="Arial" w:hint="eastAsia"/>
                <w:color w:val="2F2F2F"/>
                <w:spacing w:val="-20"/>
                <w:kern w:val="0"/>
                <w:sz w:val="28"/>
                <w:szCs w:val="28"/>
              </w:rPr>
              <w:t>多方</w:t>
            </w:r>
            <w:r w:rsidRPr="008A21DA">
              <w:rPr>
                <w:rFonts w:hAnsi="標楷體" w:cs="Arial"/>
                <w:color w:val="2F2F2F"/>
                <w:spacing w:val="-20"/>
                <w:kern w:val="0"/>
                <w:sz w:val="28"/>
                <w:szCs w:val="28"/>
              </w:rPr>
              <w:t>利益關係人。</w:t>
            </w:r>
          </w:p>
        </w:tc>
        <w:tc>
          <w:tcPr>
            <w:tcW w:w="2034" w:type="pct"/>
            <w:shd w:val="clear" w:color="auto" w:fill="FFFFFF"/>
            <w:tcMar>
              <w:top w:w="28" w:type="dxa"/>
              <w:left w:w="28" w:type="dxa"/>
              <w:bottom w:w="28" w:type="dxa"/>
              <w:right w:w="28" w:type="dxa"/>
            </w:tcMar>
            <w:hideMark/>
          </w:tcPr>
          <w:p w:rsidR="009B7592" w:rsidRDefault="009B7592"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p>
          <w:p w:rsidR="009B7592" w:rsidRPr="008A21DA" w:rsidRDefault="009B7592" w:rsidP="007624EA">
            <w:pPr>
              <w:keepNext/>
              <w:keepLines/>
              <w:widowControl/>
              <w:overflowPunct/>
              <w:autoSpaceDE/>
              <w:autoSpaceDN/>
              <w:adjustRightInd w:val="0"/>
              <w:snapToGrid w:val="0"/>
              <w:spacing w:line="400" w:lineRule="exact"/>
              <w:rPr>
                <w:rFonts w:hAnsi="標楷體" w:cs="Arial"/>
                <w:color w:val="2F2F2F"/>
                <w:spacing w:val="-20"/>
                <w:kern w:val="0"/>
                <w:sz w:val="28"/>
                <w:szCs w:val="28"/>
              </w:rPr>
            </w:pPr>
            <w:r w:rsidRPr="008A21DA">
              <w:rPr>
                <w:rFonts w:hAnsi="標楷體" w:cs="Arial"/>
                <w:color w:val="2F2F2F"/>
                <w:spacing w:val="-20"/>
                <w:kern w:val="0"/>
                <w:sz w:val="28"/>
                <w:szCs w:val="28"/>
              </w:rPr>
              <w:t>出發點為幫助投資人減少對企業認識</w:t>
            </w:r>
            <w:r>
              <w:rPr>
                <w:rFonts w:hAnsi="標楷體" w:cs="Arial" w:hint="eastAsia"/>
                <w:color w:val="2F2F2F"/>
                <w:spacing w:val="-20"/>
                <w:kern w:val="0"/>
                <w:sz w:val="28"/>
                <w:szCs w:val="28"/>
              </w:rPr>
              <w:t>之</w:t>
            </w:r>
            <w:r w:rsidRPr="008A21DA">
              <w:rPr>
                <w:rFonts w:hAnsi="標楷體" w:cs="Arial"/>
                <w:color w:val="2F2F2F"/>
                <w:spacing w:val="-20"/>
                <w:kern w:val="0"/>
                <w:sz w:val="28"/>
                <w:szCs w:val="28"/>
              </w:rPr>
              <w:t>資訊落差，強調可比較的量化指標。</w:t>
            </w:r>
            <w:r w:rsidRPr="008A21DA">
              <w:rPr>
                <w:rFonts w:hAnsi="標楷體" w:cs="Arial"/>
                <w:color w:val="2F2F2F"/>
                <w:spacing w:val="-20"/>
                <w:kern w:val="0"/>
                <w:sz w:val="28"/>
                <w:szCs w:val="28"/>
              </w:rPr>
              <w:br/>
              <w:t>可依據一致產業指標、衡量方式評估個別產業。</w:t>
            </w:r>
          </w:p>
        </w:tc>
      </w:tr>
    </w:tbl>
    <w:p w:rsidR="009B7592" w:rsidRPr="00DE30D9" w:rsidRDefault="009B7592" w:rsidP="009B7592">
      <w:pPr>
        <w:pStyle w:val="3"/>
        <w:numPr>
          <w:ilvl w:val="0"/>
          <w:numId w:val="0"/>
        </w:numPr>
        <w:ind w:left="1361"/>
      </w:pPr>
    </w:p>
    <w:p w:rsidR="00C77C58" w:rsidRPr="00C77C58" w:rsidRDefault="007232FD" w:rsidP="00F332A2">
      <w:pPr>
        <w:pStyle w:val="3"/>
        <w:spacing w:beforeLines="30" w:before="137"/>
        <w:rPr>
          <w:rFonts w:hAnsi="標楷體"/>
        </w:rPr>
      </w:pPr>
      <w:r>
        <w:rPr>
          <w:rFonts w:hint="eastAsia"/>
        </w:rPr>
        <w:t>我國</w:t>
      </w:r>
      <w:r w:rsidR="0066404C" w:rsidRPr="0086567E">
        <w:t>金管會於112年3月28日發布之「上市櫃公司永續發展行動方案」已要求全體上市櫃公司</w:t>
      </w:r>
      <w:r w:rsidR="0006383F">
        <w:t>114</w:t>
      </w:r>
      <w:r w:rsidR="0066404C" w:rsidRPr="0086567E">
        <w:t>年起</w:t>
      </w:r>
      <w:proofErr w:type="gramStart"/>
      <w:r w:rsidR="0066404C" w:rsidRPr="0086567E">
        <w:t>均應編製永</w:t>
      </w:r>
      <w:proofErr w:type="gramEnd"/>
      <w:r w:rsidR="0066404C" w:rsidRPr="0086567E">
        <w:t>續報告書，並於114年8月底完成申報</w:t>
      </w:r>
      <w:r w:rsidR="00FC4854">
        <w:rPr>
          <w:rFonts w:hint="eastAsia"/>
        </w:rPr>
        <w:t>(詳下圖)</w:t>
      </w:r>
      <w:r w:rsidR="0066404C">
        <w:rPr>
          <w:rFonts w:hint="eastAsia"/>
        </w:rPr>
        <w:t>。</w:t>
      </w:r>
      <w:r w:rsidR="00FA3A78">
        <w:rPr>
          <w:rFonts w:hint="eastAsia"/>
        </w:rPr>
        <w:t>復</w:t>
      </w:r>
      <w:r w:rsidR="0066404C" w:rsidRPr="00531DDA">
        <w:rPr>
          <w:rFonts w:hint="eastAsia"/>
        </w:rPr>
        <w:t>依</w:t>
      </w:r>
      <w:r w:rsidR="0066404C">
        <w:rPr>
          <w:rFonts w:hint="eastAsia"/>
        </w:rPr>
        <w:t>該</w:t>
      </w:r>
      <w:r w:rsidR="0066404C" w:rsidRPr="00531DDA">
        <w:rPr>
          <w:rFonts w:hint="eastAsia"/>
        </w:rPr>
        <w:t>會</w:t>
      </w:r>
      <w:r w:rsidR="00C77C58" w:rsidRPr="00ED773A">
        <w:rPr>
          <w:rFonts w:hAnsi="標楷體" w:hint="eastAsia"/>
        </w:rPr>
        <w:t>112年8月17日公布推動我國接軌-國際財務報導準則(IFRS)永續揭露準則藍圖，規劃</w:t>
      </w:r>
      <w:r w:rsidR="00C77C58">
        <w:rPr>
          <w:rFonts w:hAnsi="標楷體" w:hint="eastAsia"/>
        </w:rPr>
        <w:t>上市櫃公司</w:t>
      </w:r>
      <w:r w:rsidR="00C77C58" w:rsidRPr="00ED773A">
        <w:rPr>
          <w:rFonts w:hAnsi="標楷體" w:hint="eastAsia"/>
        </w:rPr>
        <w:t>自</w:t>
      </w:r>
      <w:proofErr w:type="gramStart"/>
      <w:r w:rsidR="00C77C58" w:rsidRPr="00ED773A">
        <w:rPr>
          <w:rFonts w:hAnsi="標楷體" w:hint="eastAsia"/>
        </w:rPr>
        <w:t>115</w:t>
      </w:r>
      <w:proofErr w:type="gramEnd"/>
      <w:r w:rsidR="00C77C58" w:rsidRPr="00ED773A">
        <w:rPr>
          <w:rFonts w:hAnsi="標楷體" w:hint="eastAsia"/>
        </w:rPr>
        <w:t>年度起分三階段適用</w:t>
      </w:r>
      <w:r w:rsidR="00C77C58" w:rsidRPr="00ED773A">
        <w:rPr>
          <w:rFonts w:hAnsi="標楷體" w:hint="eastAsia"/>
          <w:spacing w:val="2"/>
          <w:szCs w:val="32"/>
        </w:rPr>
        <w:t xml:space="preserve">IFRS </w:t>
      </w:r>
      <w:r w:rsidR="00C77C58" w:rsidRPr="00ED773A">
        <w:rPr>
          <w:rFonts w:hAnsi="標楷體" w:hint="eastAsia"/>
          <w:spacing w:val="2"/>
          <w:szCs w:val="32"/>
        </w:rPr>
        <w:lastRenderedPageBreak/>
        <w:t>S1/S2</w:t>
      </w:r>
      <w:r w:rsidR="00C77C58" w:rsidRPr="00ED773A">
        <w:rPr>
          <w:rFonts w:hAnsi="標楷體" w:hint="eastAsia"/>
        </w:rPr>
        <w:t>，其中</w:t>
      </w:r>
      <w:proofErr w:type="gramStart"/>
      <w:r w:rsidR="00C77C58" w:rsidRPr="00ED773A">
        <w:rPr>
          <w:rFonts w:hAnsi="標楷體" w:hint="eastAsia"/>
        </w:rPr>
        <w:t>11</w:t>
      </w:r>
      <w:proofErr w:type="gramEnd"/>
      <w:r w:rsidR="00C77C58" w:rsidRPr="00ED773A">
        <w:rPr>
          <w:rFonts w:hAnsi="標楷體" w:hint="eastAsia"/>
        </w:rPr>
        <w:t>5年度係資本額達100億元以上之</w:t>
      </w:r>
      <w:r w:rsidR="00C77C58">
        <w:rPr>
          <w:rFonts w:hAnsi="標楷體" w:hint="eastAsia"/>
        </w:rPr>
        <w:t>上市櫃公司</w:t>
      </w:r>
      <w:r w:rsidR="00C77C58" w:rsidRPr="00ED773A">
        <w:rPr>
          <w:rFonts w:hAnsi="標楷體" w:hint="eastAsia"/>
        </w:rPr>
        <w:t>適用；</w:t>
      </w:r>
      <w:proofErr w:type="gramStart"/>
      <w:r w:rsidR="00C77C58" w:rsidRPr="00ED773A">
        <w:rPr>
          <w:rFonts w:hAnsi="標楷體" w:hint="eastAsia"/>
        </w:rPr>
        <w:t>116</w:t>
      </w:r>
      <w:proofErr w:type="gramEnd"/>
      <w:r w:rsidR="00C77C58" w:rsidRPr="00ED773A">
        <w:rPr>
          <w:rFonts w:hAnsi="標楷體" w:hint="eastAsia"/>
        </w:rPr>
        <w:t>年度係資本額達50億元以上未達100億元之</w:t>
      </w:r>
      <w:r w:rsidR="00C77C58">
        <w:rPr>
          <w:rFonts w:hAnsi="標楷體" w:hint="eastAsia"/>
        </w:rPr>
        <w:t>上市櫃公司</w:t>
      </w:r>
      <w:r w:rsidR="00C77C58" w:rsidRPr="00ED773A">
        <w:rPr>
          <w:rFonts w:hAnsi="標楷體" w:hint="eastAsia"/>
        </w:rPr>
        <w:t>適用；</w:t>
      </w:r>
      <w:proofErr w:type="gramStart"/>
      <w:r w:rsidR="00C77C58" w:rsidRPr="00ED773A">
        <w:rPr>
          <w:rFonts w:hAnsi="標楷體" w:hint="eastAsia"/>
        </w:rPr>
        <w:t>117</w:t>
      </w:r>
      <w:proofErr w:type="gramEnd"/>
      <w:r w:rsidR="00C77C58" w:rsidRPr="00ED773A">
        <w:rPr>
          <w:rFonts w:hAnsi="標楷體" w:hint="eastAsia"/>
        </w:rPr>
        <w:t>年度起所有</w:t>
      </w:r>
      <w:r w:rsidR="00C77C58">
        <w:rPr>
          <w:rFonts w:hAnsi="標楷體" w:hint="eastAsia"/>
        </w:rPr>
        <w:t>上市櫃公司</w:t>
      </w:r>
      <w:r w:rsidR="00C77C58" w:rsidRPr="00ED773A">
        <w:rPr>
          <w:rFonts w:hAnsi="標楷體" w:hint="eastAsia"/>
        </w:rPr>
        <w:t>適用。</w:t>
      </w:r>
      <w:r w:rsidR="00C77C58" w:rsidRPr="00ED773A">
        <w:rPr>
          <w:rFonts w:hAnsi="標楷體" w:hint="eastAsia"/>
          <w:szCs w:val="32"/>
        </w:rPr>
        <w:t>依上開推動時程，資本額100億元以上之</w:t>
      </w:r>
      <w:r w:rsidR="00C77C58">
        <w:rPr>
          <w:rFonts w:hAnsi="標楷體" w:hint="eastAsia"/>
          <w:szCs w:val="32"/>
        </w:rPr>
        <w:t>上市櫃公司</w:t>
      </w:r>
      <w:r w:rsidR="00C77C58" w:rsidRPr="00ED773A">
        <w:rPr>
          <w:rFonts w:hAnsi="標楷體" w:hint="eastAsia"/>
          <w:szCs w:val="32"/>
        </w:rPr>
        <w:t>須於116年3月前同時公告申報年報及財報。</w:t>
      </w:r>
    </w:p>
    <w:p w:rsidR="006D1AE5" w:rsidRDefault="006D1AE5" w:rsidP="006D1AE5">
      <w:pPr>
        <w:pStyle w:val="3"/>
        <w:numPr>
          <w:ilvl w:val="0"/>
          <w:numId w:val="0"/>
        </w:numPr>
      </w:pPr>
      <w:r>
        <w:rPr>
          <w:rFonts w:hAnsi="標楷體" w:hint="eastAsia"/>
          <w:noProof/>
          <w:szCs w:val="32"/>
        </w:rPr>
        <w:drawing>
          <wp:inline distT="0" distB="0" distL="0" distR="0" wp14:anchorId="12AC6F13" wp14:editId="7C2DDCC1">
            <wp:extent cx="5600700" cy="428625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4286250"/>
                    </a:xfrm>
                    <a:prstGeom prst="rect">
                      <a:avLst/>
                    </a:prstGeom>
                    <a:noFill/>
                    <a:ln>
                      <a:noFill/>
                    </a:ln>
                  </pic:spPr>
                </pic:pic>
              </a:graphicData>
            </a:graphic>
          </wp:inline>
        </w:drawing>
      </w:r>
    </w:p>
    <w:p w:rsidR="006D1AE5" w:rsidRDefault="006D1AE5" w:rsidP="00FC4854">
      <w:pPr>
        <w:pStyle w:val="a5"/>
        <w:numPr>
          <w:ilvl w:val="0"/>
          <w:numId w:val="0"/>
        </w:numPr>
        <w:spacing w:before="0" w:after="240"/>
        <w:ind w:left="482"/>
        <w:jc w:val="center"/>
      </w:pPr>
      <w:r>
        <w:rPr>
          <w:rFonts w:hint="eastAsia"/>
        </w:rPr>
        <w:t>金管會落實上市櫃公司</w:t>
      </w:r>
      <w:proofErr w:type="gramStart"/>
      <w:r>
        <w:rPr>
          <w:rFonts w:hint="eastAsia"/>
        </w:rPr>
        <w:t>編製永續</w:t>
      </w:r>
      <w:proofErr w:type="gramEnd"/>
      <w:r>
        <w:rPr>
          <w:rFonts w:hint="eastAsia"/>
        </w:rPr>
        <w:t>報告書之時程</w:t>
      </w:r>
      <w:r w:rsidR="00FC4854">
        <w:rPr>
          <w:rFonts w:hint="eastAsia"/>
        </w:rPr>
        <w:t>圖</w:t>
      </w:r>
    </w:p>
    <w:p w:rsidR="00E617AF" w:rsidRPr="00E617AF" w:rsidRDefault="00023B41" w:rsidP="00F332A2">
      <w:pPr>
        <w:pStyle w:val="3"/>
        <w:spacing w:beforeLines="30" w:before="137"/>
      </w:pPr>
      <w:r>
        <w:rPr>
          <w:rFonts w:hint="eastAsia"/>
        </w:rPr>
        <w:t>按上開金管會</w:t>
      </w:r>
      <w:r w:rsidRPr="00531DDA">
        <w:rPr>
          <w:rFonts w:hint="eastAsia"/>
        </w:rPr>
        <w:t>公布</w:t>
      </w:r>
      <w:r w:rsidR="004E2511">
        <w:rPr>
          <w:rFonts w:hint="eastAsia"/>
        </w:rPr>
        <w:t>之</w:t>
      </w:r>
      <w:r w:rsidRPr="00531DDA">
        <w:rPr>
          <w:rFonts w:hint="eastAsia"/>
        </w:rPr>
        <w:t>推動我國接軌</w:t>
      </w:r>
      <w:r>
        <w:rPr>
          <w:rFonts w:hint="eastAsia"/>
        </w:rPr>
        <w:t>-國際財務報導準則</w:t>
      </w:r>
      <w:r w:rsidRPr="00531DDA">
        <w:rPr>
          <w:rFonts w:hint="eastAsia"/>
        </w:rPr>
        <w:t>永續揭露準則藍圖</w:t>
      </w:r>
      <w:r>
        <w:rPr>
          <w:rFonts w:hint="eastAsia"/>
        </w:rPr>
        <w:t>，</w:t>
      </w:r>
      <w:r w:rsidRPr="00531DDA">
        <w:rPr>
          <w:rFonts w:hint="eastAsia"/>
        </w:rPr>
        <w:t>目前僅規範</w:t>
      </w:r>
      <w:r w:rsidR="00DB18FE">
        <w:rPr>
          <w:rFonts w:hint="eastAsia"/>
        </w:rPr>
        <w:t>上市櫃公司</w:t>
      </w:r>
      <w:r w:rsidRPr="00531DDA">
        <w:rPr>
          <w:rFonts w:hint="eastAsia"/>
        </w:rPr>
        <w:t>應每年參考GRI發布之通用準則、行業準則及重大主題準則編製前一年度之永續報告書，</w:t>
      </w:r>
      <w:r w:rsidR="00E91423" w:rsidRPr="005E6C6D">
        <w:rPr>
          <w:rFonts w:hAnsi="標楷體" w:hint="eastAsia"/>
          <w:shd w:val="clear" w:color="auto" w:fill="FFFFFF"/>
        </w:rPr>
        <w:t>於</w:t>
      </w:r>
      <w:r w:rsidR="00E91423" w:rsidRPr="005E6C6D">
        <w:rPr>
          <w:rFonts w:hAnsi="標楷體"/>
          <w:shd w:val="clear" w:color="auto" w:fill="FFFFFF"/>
        </w:rPr>
        <w:t>111</w:t>
      </w:r>
      <w:r w:rsidR="00E91423" w:rsidRPr="005E6C6D">
        <w:rPr>
          <w:rFonts w:hAnsi="標楷體" w:hint="eastAsia"/>
          <w:shd w:val="clear" w:color="auto" w:fill="FFFFFF"/>
        </w:rPr>
        <w:t>年3月發布「上市櫃</w:t>
      </w:r>
      <w:r w:rsidR="00E91423" w:rsidRPr="005E6C6D">
        <w:rPr>
          <w:rFonts w:hint="eastAsia"/>
        </w:rPr>
        <w:t>公司</w:t>
      </w:r>
      <w:r w:rsidR="00E91423" w:rsidRPr="005E6C6D">
        <w:rPr>
          <w:rFonts w:hAnsi="標楷體" w:hint="eastAsia"/>
          <w:shd w:val="clear" w:color="auto" w:fill="FFFFFF"/>
        </w:rPr>
        <w:t>永續發展路徑圖」，推動上市櫃公司應進行溫室氣體資訊揭露，以協助企業建構溫室氣體盤查能力</w:t>
      </w:r>
      <w:r w:rsidR="00E91423">
        <w:rPr>
          <w:rFonts w:hAnsi="標楷體" w:hint="eastAsia"/>
          <w:shd w:val="clear" w:color="auto" w:fill="FFFFFF"/>
        </w:rPr>
        <w:t>。查</w:t>
      </w:r>
      <w:r w:rsidR="00040AEA">
        <w:rPr>
          <w:rFonts w:hint="eastAsia"/>
        </w:rPr>
        <w:t>1</w:t>
      </w:r>
      <w:r w:rsidR="00040AEA">
        <w:t>7</w:t>
      </w:r>
      <w:r w:rsidR="00040AEA">
        <w:rPr>
          <w:rFonts w:hint="eastAsia"/>
        </w:rPr>
        <w:t>家</w:t>
      </w:r>
      <w:r w:rsidRPr="00531DDA">
        <w:rPr>
          <w:rFonts w:hint="eastAsia"/>
        </w:rPr>
        <w:t>國營事業</w:t>
      </w:r>
      <w:r w:rsidR="00D3178C">
        <w:rPr>
          <w:rFonts w:hint="eastAsia"/>
        </w:rPr>
        <w:t>(</w:t>
      </w:r>
      <w:proofErr w:type="gramStart"/>
      <w:r w:rsidR="00D3178C">
        <w:rPr>
          <w:rFonts w:hint="eastAsia"/>
        </w:rPr>
        <w:t>詳表</w:t>
      </w:r>
      <w:proofErr w:type="gramEnd"/>
      <w:r w:rsidR="00951D46">
        <w:t>1</w:t>
      </w:r>
      <w:r w:rsidR="00D3178C">
        <w:t>)</w:t>
      </w:r>
      <w:r w:rsidR="00AD23C0">
        <w:rPr>
          <w:rFonts w:hint="eastAsia"/>
        </w:rPr>
        <w:t>皆</w:t>
      </w:r>
      <w:r w:rsidRPr="00531DDA">
        <w:rPr>
          <w:rFonts w:hint="eastAsia"/>
        </w:rPr>
        <w:t>非</w:t>
      </w:r>
      <w:r w:rsidR="00DB18FE">
        <w:rPr>
          <w:rFonts w:hint="eastAsia"/>
        </w:rPr>
        <w:t>上市櫃</w:t>
      </w:r>
      <w:r w:rsidR="00DB18FE">
        <w:rPr>
          <w:rFonts w:hint="eastAsia"/>
        </w:rPr>
        <w:lastRenderedPageBreak/>
        <w:t>公司</w:t>
      </w:r>
      <w:r w:rsidRPr="00531DDA">
        <w:rPr>
          <w:rFonts w:hint="eastAsia"/>
        </w:rPr>
        <w:t>，</w:t>
      </w:r>
      <w:r w:rsidR="00040AEA">
        <w:rPr>
          <w:rFonts w:hint="eastAsia"/>
        </w:rPr>
        <w:t>尚</w:t>
      </w:r>
      <w:r w:rsidRPr="00531DDA">
        <w:rPr>
          <w:rFonts w:hint="eastAsia"/>
        </w:rPr>
        <w:t>非屬上開金管會推動時程規範對象</w:t>
      </w:r>
      <w:r w:rsidR="00BC7E90">
        <w:rPr>
          <w:rFonts w:hint="eastAsia"/>
        </w:rPr>
        <w:t>。經查</w:t>
      </w:r>
      <w:r>
        <w:rPr>
          <w:rFonts w:hint="eastAsia"/>
        </w:rPr>
        <w:t>截至1</w:t>
      </w:r>
      <w:r>
        <w:t>13</w:t>
      </w:r>
      <w:r>
        <w:rPr>
          <w:rFonts w:hint="eastAsia"/>
        </w:rPr>
        <w:t>年止</w:t>
      </w:r>
      <w:r w:rsidR="00BC7E90">
        <w:rPr>
          <w:rFonts w:hint="eastAsia"/>
        </w:rPr>
        <w:t>，</w:t>
      </w:r>
      <w:r w:rsidRPr="00531DDA">
        <w:rPr>
          <w:rFonts w:hint="eastAsia"/>
        </w:rPr>
        <w:t>除</w:t>
      </w:r>
      <w:proofErr w:type="gramStart"/>
      <w:r w:rsidRPr="00A574B9">
        <w:rPr>
          <w:rFonts w:hint="eastAsia"/>
        </w:rPr>
        <w:t>臺</w:t>
      </w:r>
      <w:proofErr w:type="gramEnd"/>
      <w:r w:rsidRPr="00A574B9">
        <w:rPr>
          <w:rFonts w:hint="eastAsia"/>
        </w:rPr>
        <w:t>鐵公司、中央銀行、中央印製廠、中央造幣廠、財政部印刷廠等，</w:t>
      </w:r>
      <w:r w:rsidR="00A94505">
        <w:rPr>
          <w:rFonts w:hint="eastAsia"/>
        </w:rPr>
        <w:t>仍</w:t>
      </w:r>
      <w:r w:rsidRPr="00A574B9">
        <w:rPr>
          <w:rFonts w:hint="eastAsia"/>
        </w:rPr>
        <w:t>未完全依循GRI準則</w:t>
      </w:r>
      <w:proofErr w:type="gramStart"/>
      <w:r w:rsidRPr="00A574B9">
        <w:rPr>
          <w:rFonts w:hint="eastAsia"/>
        </w:rPr>
        <w:t>編製永</w:t>
      </w:r>
      <w:proofErr w:type="gramEnd"/>
      <w:r w:rsidRPr="00A574B9">
        <w:rPr>
          <w:rFonts w:hint="eastAsia"/>
        </w:rPr>
        <w:t>續報告書</w:t>
      </w:r>
      <w:r w:rsidRPr="00531DDA">
        <w:rPr>
          <w:rFonts w:hint="eastAsia"/>
        </w:rPr>
        <w:t>外，其餘</w:t>
      </w:r>
      <w:r w:rsidR="00A94505">
        <w:rPr>
          <w:rFonts w:hint="eastAsia"/>
        </w:rPr>
        <w:t>1</w:t>
      </w:r>
      <w:r w:rsidR="00A94505">
        <w:t>2</w:t>
      </w:r>
      <w:r w:rsidR="00A94505">
        <w:rPr>
          <w:rFonts w:hint="eastAsia"/>
        </w:rPr>
        <w:t>家</w:t>
      </w:r>
      <w:r w:rsidRPr="00531DDA">
        <w:rPr>
          <w:rFonts w:hint="eastAsia"/>
        </w:rPr>
        <w:t>國營事業自103年起，已陸續導入GRI準則</w:t>
      </w:r>
      <w:proofErr w:type="gramStart"/>
      <w:r w:rsidRPr="00531DDA">
        <w:rPr>
          <w:rFonts w:hint="eastAsia"/>
        </w:rPr>
        <w:t>編製永</w:t>
      </w:r>
      <w:proofErr w:type="gramEnd"/>
      <w:r w:rsidRPr="00531DDA">
        <w:rPr>
          <w:rFonts w:hint="eastAsia"/>
        </w:rPr>
        <w:t>續報告書</w:t>
      </w:r>
      <w:r>
        <w:rPr>
          <w:rFonts w:hint="eastAsia"/>
        </w:rPr>
        <w:t>。</w:t>
      </w:r>
      <w:r w:rsidR="00E617AF">
        <w:rPr>
          <w:rFonts w:hint="eastAsia"/>
        </w:rPr>
        <w:t>復據行政院</w:t>
      </w:r>
      <w:proofErr w:type="gramStart"/>
      <w:r w:rsidR="00E617AF">
        <w:rPr>
          <w:rFonts w:hint="eastAsia"/>
        </w:rPr>
        <w:t>查復</w:t>
      </w:r>
      <w:r w:rsidR="00E617AF" w:rsidRPr="00E617AF">
        <w:rPr>
          <w:rFonts w:hint="eastAsia"/>
        </w:rPr>
        <w:t>各主管機關</w:t>
      </w:r>
      <w:proofErr w:type="gramEnd"/>
      <w:r w:rsidR="00E617AF" w:rsidRPr="00E617AF">
        <w:rPr>
          <w:rFonts w:hint="eastAsia"/>
        </w:rPr>
        <w:t>督導所屬國營事業導入國際永續揭露準則辦理情形</w:t>
      </w:r>
      <w:r w:rsidR="00E617AF">
        <w:rPr>
          <w:rFonts w:hint="eastAsia"/>
        </w:rPr>
        <w:t>如下</w:t>
      </w:r>
      <w:r w:rsidR="00E617AF" w:rsidRPr="00E617AF">
        <w:rPr>
          <w:rFonts w:hint="eastAsia"/>
        </w:rPr>
        <w:t>：</w:t>
      </w:r>
    </w:p>
    <w:p w:rsidR="00E617AF" w:rsidRPr="00E617AF" w:rsidRDefault="00E617AF" w:rsidP="00F332A2">
      <w:pPr>
        <w:pStyle w:val="4"/>
        <w:spacing w:beforeLines="30" w:before="137"/>
      </w:pPr>
      <w:r w:rsidRPr="00E617AF">
        <w:rPr>
          <w:rFonts w:hint="eastAsia"/>
        </w:rPr>
        <w:t>交通部</w:t>
      </w:r>
      <w:r w:rsidRPr="00E617AF">
        <w:t>所管4家國營事業</w:t>
      </w:r>
      <w:r w:rsidRPr="00E617AF">
        <w:rPr>
          <w:rFonts w:hint="eastAsia"/>
        </w:rPr>
        <w:t>雖</w:t>
      </w:r>
      <w:r w:rsidRPr="00E617AF">
        <w:t>非</w:t>
      </w:r>
      <w:r w:rsidRPr="00E617AF">
        <w:rPr>
          <w:rFonts w:hint="eastAsia"/>
        </w:rPr>
        <w:t>屬</w:t>
      </w:r>
      <w:r w:rsidRPr="00E617AF">
        <w:t>上</w:t>
      </w:r>
      <w:proofErr w:type="gramStart"/>
      <w:r w:rsidRPr="00E617AF">
        <w:t>開應編製永</w:t>
      </w:r>
      <w:proofErr w:type="gramEnd"/>
      <w:r w:rsidRPr="00E617AF">
        <w:t>續報告書之</w:t>
      </w:r>
      <w:r w:rsidR="00DB18FE">
        <w:t>上市櫃公司</w:t>
      </w:r>
      <w:r w:rsidRPr="00E617AF">
        <w:t>，然為落實企業社會責任，與國際永續趨勢接軌，</w:t>
      </w:r>
      <w:r w:rsidRPr="00E617AF">
        <w:rPr>
          <w:rFonts w:hint="eastAsia"/>
        </w:rPr>
        <w:t>該部所屬</w:t>
      </w:r>
      <w:r w:rsidRPr="00E617AF">
        <w:t>郵政公司、港務公司及</w:t>
      </w:r>
      <w:r w:rsidR="004E2511">
        <w:rPr>
          <w:rFonts w:hint="eastAsia"/>
        </w:rPr>
        <w:t>桃園國際機場股份有限公司(下</w:t>
      </w:r>
      <w:proofErr w:type="gramStart"/>
      <w:r w:rsidR="004E2511">
        <w:rPr>
          <w:rFonts w:hint="eastAsia"/>
        </w:rPr>
        <w:t>稱</w:t>
      </w:r>
      <w:r w:rsidRPr="00E617AF">
        <w:t>桃機公</w:t>
      </w:r>
      <w:proofErr w:type="gramEnd"/>
      <w:r w:rsidRPr="00E617AF">
        <w:t>司</w:t>
      </w:r>
      <w:r w:rsidR="004E2511">
        <w:rPr>
          <w:rFonts w:hint="eastAsia"/>
        </w:rPr>
        <w:t>)</w:t>
      </w:r>
      <w:r w:rsidRPr="00E617AF">
        <w:t>等3家國營事業</w:t>
      </w:r>
      <w:r w:rsidRPr="00E617AF">
        <w:rPr>
          <w:rFonts w:hint="eastAsia"/>
        </w:rPr>
        <w:t>，</w:t>
      </w:r>
      <w:proofErr w:type="gramStart"/>
      <w:r w:rsidRPr="00E617AF">
        <w:t>均已</w:t>
      </w:r>
      <w:proofErr w:type="gramEnd"/>
      <w:r w:rsidRPr="00E617AF">
        <w:t>依循GRI準則</w:t>
      </w:r>
      <w:proofErr w:type="gramStart"/>
      <w:r w:rsidRPr="00E617AF">
        <w:t>編製永</w:t>
      </w:r>
      <w:proofErr w:type="gramEnd"/>
      <w:r w:rsidRPr="00E617AF">
        <w:t>續報告書，並取得第三方驗證。而</w:t>
      </w:r>
      <w:proofErr w:type="gramStart"/>
      <w:r w:rsidRPr="00E617AF">
        <w:t>甫</w:t>
      </w:r>
      <w:proofErr w:type="gramEnd"/>
      <w:r w:rsidRPr="00E617AF">
        <w:t>於113年改制為公司的臺鐵公司，亦積極規劃導入GRI準則，刻正編製</w:t>
      </w:r>
      <w:proofErr w:type="gramStart"/>
      <w:r w:rsidRPr="00E617AF">
        <w:t>11</w:t>
      </w:r>
      <w:proofErr w:type="gramEnd"/>
      <w:r w:rsidRPr="00E617AF">
        <w:t>3年度永續報告書，預計於</w:t>
      </w:r>
      <w:r>
        <w:rPr>
          <w:rFonts w:hint="eastAsia"/>
        </w:rPr>
        <w:t>1</w:t>
      </w:r>
      <w:r>
        <w:t>14</w:t>
      </w:r>
      <w:r w:rsidRPr="00E617AF">
        <w:t>年完成。交通部已透過官派董事在</w:t>
      </w:r>
      <w:proofErr w:type="gramStart"/>
      <w:r w:rsidRPr="00E617AF">
        <w:t>臺</w:t>
      </w:r>
      <w:proofErr w:type="gramEnd"/>
      <w:r w:rsidRPr="00E617AF">
        <w:t>鐵公司董事會督責該公司加速辦理導入GRI準則事宜。</w:t>
      </w:r>
    </w:p>
    <w:p w:rsidR="00E617AF" w:rsidRPr="00E617AF" w:rsidRDefault="00E617AF" w:rsidP="00F332A2">
      <w:pPr>
        <w:pStyle w:val="4"/>
        <w:spacing w:beforeLines="30" w:before="137"/>
      </w:pPr>
      <w:r w:rsidRPr="00E617AF">
        <w:rPr>
          <w:rFonts w:hint="eastAsia"/>
        </w:rPr>
        <w:t>財政部所屬</w:t>
      </w:r>
      <w:proofErr w:type="gramStart"/>
      <w:r w:rsidRPr="00E617AF">
        <w:rPr>
          <w:rFonts w:hint="eastAsia"/>
        </w:rPr>
        <w:t>國營事業均已於</w:t>
      </w:r>
      <w:r w:rsidR="001E0844">
        <w:rPr>
          <w:rFonts w:hint="eastAsia"/>
        </w:rPr>
        <w:t>11</w:t>
      </w:r>
      <w:proofErr w:type="gramEnd"/>
      <w:r w:rsidR="001E0844">
        <w:rPr>
          <w:rFonts w:hint="eastAsia"/>
        </w:rPr>
        <w:t>4年</w:t>
      </w:r>
      <w:r w:rsidRPr="00E617AF">
        <w:rPr>
          <w:rFonts w:hint="eastAsia"/>
        </w:rPr>
        <w:t>度預算書新增「事業永續發展計畫」內容，並揭露國際永續揭露準則相關資訊。另臺灣金融控股</w:t>
      </w:r>
      <w:r w:rsidR="00F87B15">
        <w:rPr>
          <w:rFonts w:hint="eastAsia"/>
        </w:rPr>
        <w:t>股份有限</w:t>
      </w:r>
      <w:r w:rsidRPr="00E617AF">
        <w:rPr>
          <w:rFonts w:hint="eastAsia"/>
        </w:rPr>
        <w:t>公司</w:t>
      </w:r>
      <w:r w:rsidR="001E0844">
        <w:rPr>
          <w:rFonts w:hint="eastAsia"/>
        </w:rPr>
        <w:t>(下稱</w:t>
      </w:r>
      <w:proofErr w:type="gramStart"/>
      <w:r w:rsidR="001E0844">
        <w:rPr>
          <w:rFonts w:hint="eastAsia"/>
        </w:rPr>
        <w:t>臺</w:t>
      </w:r>
      <w:proofErr w:type="gramEnd"/>
      <w:r w:rsidR="001E0844">
        <w:rPr>
          <w:rFonts w:hint="eastAsia"/>
        </w:rPr>
        <w:t>金公司)</w:t>
      </w:r>
      <w:r w:rsidRPr="00E617AF">
        <w:rPr>
          <w:rFonts w:hint="eastAsia"/>
        </w:rPr>
        <w:t>、臺灣土地銀行</w:t>
      </w:r>
      <w:r w:rsidR="00F87B15">
        <w:rPr>
          <w:rFonts w:hint="eastAsia"/>
        </w:rPr>
        <w:t>股份有限公司</w:t>
      </w:r>
      <w:r w:rsidR="001E0844">
        <w:rPr>
          <w:rFonts w:hint="eastAsia"/>
        </w:rPr>
        <w:t>(下稱土銀公司)</w:t>
      </w:r>
      <w:r w:rsidRPr="00E617AF">
        <w:rPr>
          <w:rFonts w:hint="eastAsia"/>
        </w:rPr>
        <w:t>、中國輸出入銀行</w:t>
      </w:r>
      <w:r w:rsidR="004E2511">
        <w:rPr>
          <w:rFonts w:hint="eastAsia"/>
        </w:rPr>
        <w:t>(下稱中輸銀)</w:t>
      </w:r>
      <w:r w:rsidRPr="00E617AF">
        <w:rPr>
          <w:rFonts w:hint="eastAsia"/>
        </w:rPr>
        <w:t>及臺灣菸酒</w:t>
      </w:r>
      <w:r w:rsidR="00F87B15">
        <w:rPr>
          <w:rFonts w:hint="eastAsia"/>
        </w:rPr>
        <w:t>股份有限</w:t>
      </w:r>
      <w:r w:rsidRPr="00E617AF">
        <w:rPr>
          <w:rFonts w:hint="eastAsia"/>
        </w:rPr>
        <w:t>公司</w:t>
      </w:r>
      <w:r w:rsidR="004E2511">
        <w:rPr>
          <w:rFonts w:hint="eastAsia"/>
        </w:rPr>
        <w:t>(下稱菸酒公司)</w:t>
      </w:r>
      <w:r w:rsidRPr="00E617AF">
        <w:rPr>
          <w:rFonts w:hint="eastAsia"/>
        </w:rPr>
        <w:t>4家國營事業，已依循GRI準則</w:t>
      </w:r>
      <w:proofErr w:type="gramStart"/>
      <w:r w:rsidRPr="00E617AF">
        <w:rPr>
          <w:rFonts w:hint="eastAsia"/>
        </w:rPr>
        <w:t>編製永</w:t>
      </w:r>
      <w:proofErr w:type="gramEnd"/>
      <w:r w:rsidRPr="00E617AF">
        <w:rPr>
          <w:rFonts w:hint="eastAsia"/>
        </w:rPr>
        <w:t>續報告書。推動永續金融事項為財政部主管各國營事業經營考成事項，各事業配合該部ESG倡議平</w:t>
      </w:r>
      <w:proofErr w:type="gramStart"/>
      <w:r w:rsidRPr="00E617AF">
        <w:rPr>
          <w:rFonts w:hint="eastAsia"/>
        </w:rPr>
        <w:t>臺</w:t>
      </w:r>
      <w:proofErr w:type="gramEnd"/>
      <w:r w:rsidRPr="00E617AF">
        <w:rPr>
          <w:rFonts w:hint="eastAsia"/>
        </w:rPr>
        <w:t>完成具體執行方案，並將ESG/CSR</w:t>
      </w:r>
      <w:r w:rsidR="00E71B9F">
        <w:rPr>
          <w:rStyle w:val="aff4"/>
        </w:rPr>
        <w:footnoteReference w:id="3"/>
      </w:r>
      <w:r w:rsidRPr="00E617AF">
        <w:rPr>
          <w:rFonts w:hint="eastAsia"/>
        </w:rPr>
        <w:t>執行成效納入事業績效考</w:t>
      </w:r>
      <w:r w:rsidRPr="00E617AF">
        <w:rPr>
          <w:rFonts w:hint="eastAsia"/>
        </w:rPr>
        <w:lastRenderedPageBreak/>
        <w:t>核。</w:t>
      </w:r>
      <w:r w:rsidR="001E0844">
        <w:rPr>
          <w:rFonts w:hint="eastAsia"/>
        </w:rPr>
        <w:t>另</w:t>
      </w:r>
      <w:r w:rsidRPr="001A767B">
        <w:rPr>
          <w:rFonts w:hint="eastAsia"/>
        </w:rPr>
        <w:t>財政部印刷廠非公司組織且規模較小，又目前尚無相關規範可供依</w:t>
      </w:r>
      <w:proofErr w:type="gramStart"/>
      <w:r w:rsidRPr="001A767B">
        <w:rPr>
          <w:rFonts w:hint="eastAsia"/>
        </w:rPr>
        <w:t>循編製永</w:t>
      </w:r>
      <w:proofErr w:type="gramEnd"/>
      <w:r w:rsidRPr="001A767B">
        <w:rPr>
          <w:rFonts w:hint="eastAsia"/>
        </w:rPr>
        <w:t>續報告書，惟該廠已於</w:t>
      </w:r>
      <w:proofErr w:type="gramStart"/>
      <w:r>
        <w:rPr>
          <w:rFonts w:hint="eastAsia"/>
        </w:rPr>
        <w:t>11</w:t>
      </w:r>
      <w:proofErr w:type="gramEnd"/>
      <w:r>
        <w:rPr>
          <w:rFonts w:hint="eastAsia"/>
        </w:rPr>
        <w:t>4年</w:t>
      </w:r>
      <w:r w:rsidRPr="001A767B">
        <w:rPr>
          <w:rFonts w:hint="eastAsia"/>
        </w:rPr>
        <w:t>度預算書新增「事業永續發展計畫」內容，並揭露包含永續揭露項目</w:t>
      </w:r>
      <w:proofErr w:type="gramStart"/>
      <w:r w:rsidRPr="001A767B">
        <w:rPr>
          <w:rFonts w:hint="eastAsia"/>
        </w:rPr>
        <w:t>及淨零轉</w:t>
      </w:r>
      <w:proofErr w:type="gramEnd"/>
      <w:r w:rsidRPr="001A767B">
        <w:rPr>
          <w:rFonts w:hint="eastAsia"/>
        </w:rPr>
        <w:t>型關鍵戰略行動計畫等國</w:t>
      </w:r>
      <w:r w:rsidRPr="002A4892">
        <w:rPr>
          <w:rFonts w:hint="eastAsia"/>
        </w:rPr>
        <w:t>際永續揭露準則相關資訊。</w:t>
      </w:r>
    </w:p>
    <w:p w:rsidR="00E617AF" w:rsidRPr="00E617AF" w:rsidRDefault="00E617AF" w:rsidP="00F332A2">
      <w:pPr>
        <w:pStyle w:val="4"/>
        <w:spacing w:beforeLines="30" w:before="137"/>
      </w:pPr>
      <w:r w:rsidRPr="00E617AF">
        <w:rPr>
          <w:rFonts w:hint="eastAsia"/>
        </w:rPr>
        <w:t>經濟部為傳達企業在永續經營上的規劃與成果，以及讓利害關係人檢視企業的永續政策推動與管理成效，</w:t>
      </w:r>
      <w:r>
        <w:rPr>
          <w:rFonts w:hint="eastAsia"/>
        </w:rPr>
        <w:t>該</w:t>
      </w:r>
      <w:r w:rsidRPr="00E617AF">
        <w:rPr>
          <w:rFonts w:hint="eastAsia"/>
        </w:rPr>
        <w:t>部所屬國營事業皆已依循GRI準則發行永續報告書，以提高資訊透明度。為確保企業透明揭露永續議題對其財務狀況與經營成果的影響，並說明永續相關風險與機會如何影響其資本配置、現金流量及長期發展潛力，以及揭露與量化氣候變遷風險與機會對其財務狀況的影響，</w:t>
      </w:r>
      <w:proofErr w:type="gramStart"/>
      <w:r w:rsidRPr="00E617AF">
        <w:rPr>
          <w:rFonts w:hint="eastAsia"/>
        </w:rPr>
        <w:t>該部已要求</w:t>
      </w:r>
      <w:proofErr w:type="gramEnd"/>
      <w:r w:rsidRPr="00E617AF">
        <w:rPr>
          <w:rFonts w:hint="eastAsia"/>
        </w:rPr>
        <w:t>所屬國營事業規劃導入國際永續揭露準則IFRS S1/S2，並預計自</w:t>
      </w:r>
      <w:proofErr w:type="gramStart"/>
      <w:r w:rsidRPr="00E617AF">
        <w:rPr>
          <w:rFonts w:hint="eastAsia"/>
        </w:rPr>
        <w:t>11</w:t>
      </w:r>
      <w:proofErr w:type="gramEnd"/>
      <w:r w:rsidRPr="00E617AF">
        <w:rPr>
          <w:rFonts w:hint="eastAsia"/>
        </w:rPr>
        <w:t>6年度財務報告、年報或永續報告書揭露相關資訊。</w:t>
      </w:r>
    </w:p>
    <w:p w:rsidR="00E617AF" w:rsidRPr="00E617AF" w:rsidRDefault="00E617AF" w:rsidP="00F332A2">
      <w:pPr>
        <w:pStyle w:val="4"/>
        <w:spacing w:beforeLines="30" w:before="137"/>
      </w:pPr>
      <w:r w:rsidRPr="00E617AF">
        <w:rPr>
          <w:rFonts w:hint="eastAsia"/>
        </w:rPr>
        <w:t>金管會所</w:t>
      </w:r>
      <w:proofErr w:type="gramStart"/>
      <w:r w:rsidRPr="00E617AF">
        <w:rPr>
          <w:rFonts w:hint="eastAsia"/>
        </w:rPr>
        <w:t>轄</w:t>
      </w:r>
      <w:proofErr w:type="gramEnd"/>
      <w:r w:rsidRPr="00E617AF">
        <w:rPr>
          <w:rFonts w:hint="eastAsia"/>
        </w:rPr>
        <w:t>國營事業為中央存款保險</w:t>
      </w:r>
      <w:r w:rsidR="004E2511">
        <w:rPr>
          <w:rFonts w:hint="eastAsia"/>
        </w:rPr>
        <w:t>股份有限</w:t>
      </w:r>
      <w:r w:rsidRPr="00E617AF">
        <w:rPr>
          <w:rFonts w:hint="eastAsia"/>
        </w:rPr>
        <w:t>公司(下稱存保公司)，依金管會發布之「我國接軌IFRS永續揭露準則藍圖」，該公司非屬該藍圖所列之適用對象，爰無導入國際永續揭露準則實施計畫，該公司目前係自主推動及辦理永續發展相關揭露事項。存保公司刻逐步評估既有資源，積極推動永續發展，未來將端視其永續揭露成熟程度，適時評估導入IFRS永續揭露準則之可行性。</w:t>
      </w:r>
    </w:p>
    <w:p w:rsidR="00E617AF" w:rsidRPr="00E617AF" w:rsidRDefault="00E617AF" w:rsidP="00F332A2">
      <w:pPr>
        <w:pStyle w:val="4"/>
        <w:spacing w:beforeLines="30" w:before="137"/>
      </w:pPr>
      <w:r w:rsidRPr="00E617AF">
        <w:rPr>
          <w:rFonts w:hint="eastAsia"/>
        </w:rPr>
        <w:t>中央銀行及所屬中央印製廠、中央造幣廠預</w:t>
      </w:r>
      <w:proofErr w:type="gramStart"/>
      <w:r w:rsidRPr="00E617AF">
        <w:rPr>
          <w:rFonts w:hint="eastAsia"/>
        </w:rPr>
        <w:t>決算書均依行政院</w:t>
      </w:r>
      <w:proofErr w:type="gramEnd"/>
      <w:r w:rsidRPr="00E617AF">
        <w:rPr>
          <w:rFonts w:hint="eastAsia"/>
        </w:rPr>
        <w:t>主計總處規定編製，自</w:t>
      </w:r>
      <w:proofErr w:type="gramStart"/>
      <w:r>
        <w:rPr>
          <w:rFonts w:hint="eastAsia"/>
        </w:rPr>
        <w:t>1</w:t>
      </w:r>
      <w:r>
        <w:t>1</w:t>
      </w:r>
      <w:proofErr w:type="gramEnd"/>
      <w:r>
        <w:t>4</w:t>
      </w:r>
      <w:r w:rsidRPr="00E617AF">
        <w:rPr>
          <w:rFonts w:hint="eastAsia"/>
        </w:rPr>
        <w:t>年度起預算書已於業務計畫項下新增事業永續發展計</w:t>
      </w:r>
      <w:r w:rsidRPr="00E617AF">
        <w:rPr>
          <w:rFonts w:hint="eastAsia"/>
        </w:rPr>
        <w:lastRenderedPageBreak/>
        <w:t>畫，以揭露國際永續揭露準則相關資訊，包括永續揭露項目(含治理、策略、風險管理、指標與目標)</w:t>
      </w:r>
      <w:proofErr w:type="gramStart"/>
      <w:r w:rsidRPr="00E617AF">
        <w:rPr>
          <w:rFonts w:hint="eastAsia"/>
        </w:rPr>
        <w:t>及淨零轉</w:t>
      </w:r>
      <w:proofErr w:type="gramEnd"/>
      <w:r w:rsidRPr="00E617AF">
        <w:rPr>
          <w:rFonts w:hint="eastAsia"/>
        </w:rPr>
        <w:t>型關鍵戰略行動計畫；後續將持續檢視導入國際永續揭露準則實施。</w:t>
      </w:r>
    </w:p>
    <w:p w:rsidR="00D3178C" w:rsidRDefault="00D3178C" w:rsidP="00D3178C">
      <w:pPr>
        <w:pStyle w:val="a5"/>
      </w:pPr>
      <w:r w:rsidRPr="00C62506">
        <w:rPr>
          <w:noProof/>
        </w:rPr>
        <mc:AlternateContent>
          <mc:Choice Requires="wps">
            <w:drawing>
              <wp:anchor distT="45720" distB="45720" distL="114300" distR="114300" simplePos="0" relativeHeight="251661312" behindDoc="1" locked="0" layoutInCell="1" allowOverlap="1" wp14:anchorId="6D599802" wp14:editId="212978DE">
                <wp:simplePos x="0" y="0"/>
                <wp:positionH relativeFrom="column">
                  <wp:posOffset>12790170</wp:posOffset>
                </wp:positionH>
                <wp:positionV relativeFrom="paragraph">
                  <wp:posOffset>-401955</wp:posOffset>
                </wp:positionV>
                <wp:extent cx="518160" cy="441960"/>
                <wp:effectExtent l="0" t="0" r="15240" b="1524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441960"/>
                        </a:xfrm>
                        <a:prstGeom prst="rect">
                          <a:avLst/>
                        </a:prstGeom>
                        <a:solidFill>
                          <a:srgbClr val="FFFFFF"/>
                        </a:solidFill>
                        <a:ln w="9525">
                          <a:solidFill>
                            <a:srgbClr val="000000"/>
                          </a:solidFill>
                          <a:miter lim="800000"/>
                          <a:headEnd/>
                          <a:tailEnd/>
                        </a:ln>
                      </wps:spPr>
                      <wps:txbx>
                        <w:txbxContent>
                          <w:p w:rsidR="00952461" w:rsidRPr="00C62506" w:rsidRDefault="00952461" w:rsidP="00D3178C">
                            <w:pPr>
                              <w:rPr>
                                <w:rFonts w:hAnsi="標楷體"/>
                                <w:szCs w:val="32"/>
                              </w:rPr>
                            </w:pPr>
                            <w:r w:rsidRPr="00C62506">
                              <w:rPr>
                                <w:rFonts w:hAnsi="標楷體" w:hint="eastAsia"/>
                                <w:szCs w:val="32"/>
                              </w:rPr>
                              <w:t>附表</w:t>
                            </w:r>
                          </w:p>
                        </w:txbxContent>
                      </wps:txbx>
                      <wps:bodyPr rot="0" vert="horz" wrap="square" lIns="46800" tIns="0" rIns="468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599802" id="文字方塊 2" o:spid="_x0000_s1027" type="#_x0000_t202" style="position:absolute;left:0;text-align:left;margin-left:1007.1pt;margin-top:-31.65pt;width:40.8pt;height:34.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">
                <v:textbox inset="1.3mm,0,1.3mm">
                  <w:txbxContent>
                    <w:p w:rsidR="00952461" w:rsidRPr="00C62506" w:rsidRDefault="00952461" w:rsidP="00D3178C">
                      <w:pPr>
                        <w:rPr>
                          <w:rFonts w:hAnsi="標楷體"/>
                          <w:szCs w:val="32"/>
                        </w:rPr>
                      </w:pPr>
                      <w:r w:rsidRPr="00C62506">
                        <w:rPr>
                          <w:rFonts w:hAnsi="標楷體" w:hint="eastAsia"/>
                          <w:szCs w:val="32"/>
                        </w:rPr>
                        <w:t>附表</w:t>
                      </w:r>
                    </w:p>
                  </w:txbxContent>
                </v:textbox>
              </v:shape>
            </w:pict>
          </mc:Fallback>
        </mc:AlternateContent>
      </w:r>
      <w:r w:rsidRPr="006E41D5">
        <w:t>國營事業導入國際永續揭露準則情形</w:t>
      </w:r>
      <w:r w:rsidR="0006383F">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5"/>
        <w:gridCol w:w="1133"/>
        <w:gridCol w:w="1419"/>
        <w:gridCol w:w="1134"/>
        <w:gridCol w:w="1421"/>
        <w:gridCol w:w="1322"/>
      </w:tblGrid>
      <w:tr w:rsidR="00B329AC" w:rsidRPr="00D3178C" w:rsidTr="00E61E0B">
        <w:trPr>
          <w:trHeight w:val="510"/>
          <w:tblHeader/>
        </w:trPr>
        <w:tc>
          <w:tcPr>
            <w:tcW w:w="1361" w:type="pct"/>
            <w:vMerge w:val="restart"/>
            <w:shd w:val="clear" w:color="FFF2CC" w:fill="FFF2CC"/>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國營事業</w:t>
            </w:r>
            <w:r>
              <w:rPr>
                <w:rFonts w:hAnsi="標楷體"/>
                <w:color w:val="000000"/>
                <w:spacing w:val="-20"/>
                <w:kern w:val="0"/>
                <w:sz w:val="28"/>
                <w:szCs w:val="28"/>
              </w:rPr>
              <w:br/>
            </w:r>
            <w:r w:rsidRPr="00D3178C">
              <w:rPr>
                <w:rFonts w:hAnsi="標楷體"/>
                <w:color w:val="000000"/>
                <w:spacing w:val="-20"/>
                <w:kern w:val="0"/>
                <w:sz w:val="28"/>
                <w:szCs w:val="28"/>
              </w:rPr>
              <w:t>名稱</w:t>
            </w:r>
          </w:p>
        </w:tc>
        <w:tc>
          <w:tcPr>
            <w:tcW w:w="641" w:type="pct"/>
            <w:vMerge w:val="restart"/>
            <w:shd w:val="clear" w:color="FFF2CC" w:fill="FFF2CC"/>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主管</w:t>
            </w:r>
            <w:r>
              <w:rPr>
                <w:rFonts w:hAnsi="標楷體"/>
                <w:color w:val="000000"/>
                <w:spacing w:val="-20"/>
                <w:kern w:val="0"/>
                <w:sz w:val="28"/>
                <w:szCs w:val="28"/>
              </w:rPr>
              <w:br/>
            </w:r>
            <w:r w:rsidRPr="00D3178C">
              <w:rPr>
                <w:rFonts w:hAnsi="標楷體"/>
                <w:color w:val="000000"/>
                <w:spacing w:val="-20"/>
                <w:kern w:val="0"/>
                <w:sz w:val="28"/>
                <w:szCs w:val="28"/>
              </w:rPr>
              <w:t>機關</w:t>
            </w:r>
          </w:p>
        </w:tc>
        <w:tc>
          <w:tcPr>
            <w:tcW w:w="803" w:type="pct"/>
            <w:vMerge w:val="restart"/>
            <w:shd w:val="clear" w:color="FFF2CC" w:fill="FFF2CC"/>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資本額</w:t>
            </w:r>
          </w:p>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w:t>
            </w:r>
            <w:r w:rsidR="00D5342E">
              <w:rPr>
                <w:rFonts w:hAnsi="標楷體" w:hint="eastAsia"/>
                <w:color w:val="000000"/>
                <w:spacing w:val="-20"/>
                <w:kern w:val="0"/>
                <w:sz w:val="28"/>
                <w:szCs w:val="28"/>
              </w:rPr>
              <w:t>元</w:t>
            </w:r>
            <w:r w:rsidRPr="00D3178C">
              <w:rPr>
                <w:rFonts w:hAnsi="標楷體"/>
                <w:color w:val="000000"/>
                <w:spacing w:val="-20"/>
                <w:kern w:val="0"/>
                <w:sz w:val="28"/>
                <w:szCs w:val="28"/>
              </w:rPr>
              <w:t>)</w:t>
            </w:r>
          </w:p>
        </w:tc>
        <w:tc>
          <w:tcPr>
            <w:tcW w:w="1446" w:type="pct"/>
            <w:gridSpan w:val="2"/>
            <w:shd w:val="clear" w:color="FFF2CC" w:fill="FFF2CC"/>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事業組織性質</w:t>
            </w:r>
          </w:p>
        </w:tc>
        <w:tc>
          <w:tcPr>
            <w:tcW w:w="748" w:type="pct"/>
            <w:vMerge w:val="restart"/>
            <w:shd w:val="clear" w:color="FFF2CC" w:fill="FFF2CC"/>
            <w:noWrap/>
            <w:vAlign w:val="center"/>
            <w:hideMark/>
          </w:tcPr>
          <w:p w:rsidR="00D3178C" w:rsidRPr="00D3178C" w:rsidRDefault="00D3178C" w:rsidP="00E81B36">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依循GRI</w:t>
            </w:r>
            <w:proofErr w:type="gramStart"/>
            <w:r w:rsidR="00B329AC">
              <w:rPr>
                <w:rFonts w:hAnsi="標楷體" w:hint="eastAsia"/>
                <w:color w:val="000000"/>
                <w:spacing w:val="-20"/>
                <w:kern w:val="0"/>
                <w:sz w:val="28"/>
                <w:szCs w:val="28"/>
              </w:rPr>
              <w:t>編製永續</w:t>
            </w:r>
            <w:proofErr w:type="gramEnd"/>
            <w:r w:rsidR="00B329AC">
              <w:rPr>
                <w:rFonts w:hAnsi="標楷體" w:hint="eastAsia"/>
                <w:color w:val="000000"/>
                <w:spacing w:val="-20"/>
                <w:kern w:val="0"/>
                <w:sz w:val="28"/>
                <w:szCs w:val="28"/>
              </w:rPr>
              <w:t>報告書之時間</w:t>
            </w:r>
          </w:p>
        </w:tc>
      </w:tr>
      <w:tr w:rsidR="00B329AC" w:rsidRPr="00D3178C" w:rsidTr="00E61E0B">
        <w:trPr>
          <w:trHeight w:val="510"/>
        </w:trPr>
        <w:tc>
          <w:tcPr>
            <w:tcW w:w="1361" w:type="pct"/>
            <w:vMerge/>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p>
        </w:tc>
        <w:tc>
          <w:tcPr>
            <w:tcW w:w="641" w:type="pct"/>
            <w:vMerge/>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p>
        </w:tc>
        <w:tc>
          <w:tcPr>
            <w:tcW w:w="803" w:type="pct"/>
            <w:vMerge/>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p>
        </w:tc>
        <w:tc>
          <w:tcPr>
            <w:tcW w:w="642" w:type="pct"/>
            <w:shd w:val="clear" w:color="FFF2CC" w:fill="FFF2CC"/>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是否為</w:t>
            </w:r>
            <w:r>
              <w:rPr>
                <w:rFonts w:hAnsi="標楷體"/>
                <w:color w:val="000000"/>
                <w:spacing w:val="-20"/>
                <w:kern w:val="0"/>
                <w:sz w:val="28"/>
                <w:szCs w:val="28"/>
              </w:rPr>
              <w:br/>
            </w:r>
            <w:r w:rsidRPr="00D3178C">
              <w:rPr>
                <w:rFonts w:hAnsi="標楷體"/>
                <w:color w:val="000000"/>
                <w:spacing w:val="-20"/>
                <w:kern w:val="0"/>
                <w:sz w:val="28"/>
                <w:szCs w:val="28"/>
              </w:rPr>
              <w:t>公司組織</w:t>
            </w:r>
          </w:p>
        </w:tc>
        <w:tc>
          <w:tcPr>
            <w:tcW w:w="804" w:type="pct"/>
            <w:shd w:val="clear" w:color="FFF2CC" w:fill="FFF2CC"/>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是否為公開發行公司</w:t>
            </w:r>
          </w:p>
        </w:tc>
        <w:tc>
          <w:tcPr>
            <w:tcW w:w="748" w:type="pct"/>
            <w:vMerge/>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p>
        </w:tc>
      </w:tr>
      <w:tr w:rsidR="00B329AC" w:rsidRPr="00D3178C" w:rsidTr="00E61E0B">
        <w:trPr>
          <w:trHeight w:val="510"/>
        </w:trPr>
        <w:tc>
          <w:tcPr>
            <w:tcW w:w="1361"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proofErr w:type="gramStart"/>
            <w:r w:rsidRPr="00D3178C">
              <w:rPr>
                <w:rFonts w:hAnsi="標楷體" w:hint="eastAsia"/>
                <w:color w:val="000000"/>
                <w:spacing w:val="-20"/>
                <w:kern w:val="0"/>
                <w:sz w:val="28"/>
                <w:szCs w:val="28"/>
              </w:rPr>
              <w:t>臺</w:t>
            </w:r>
            <w:proofErr w:type="gramEnd"/>
            <w:r w:rsidRPr="00D3178C">
              <w:rPr>
                <w:rFonts w:hAnsi="標楷體" w:hint="eastAsia"/>
                <w:color w:val="000000"/>
                <w:spacing w:val="-20"/>
                <w:kern w:val="0"/>
                <w:sz w:val="28"/>
                <w:szCs w:val="28"/>
              </w:rPr>
              <w:t>金公司</w:t>
            </w:r>
          </w:p>
        </w:tc>
        <w:tc>
          <w:tcPr>
            <w:tcW w:w="641"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財政部</w:t>
            </w:r>
          </w:p>
        </w:tc>
        <w:tc>
          <w:tcPr>
            <w:tcW w:w="803"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1,031.25億</w:t>
            </w:r>
          </w:p>
        </w:tc>
        <w:tc>
          <w:tcPr>
            <w:tcW w:w="642"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w:t>
            </w:r>
          </w:p>
        </w:tc>
        <w:tc>
          <w:tcPr>
            <w:tcW w:w="804"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w:t>
            </w:r>
          </w:p>
        </w:tc>
        <w:tc>
          <w:tcPr>
            <w:tcW w:w="748"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110年起</w:t>
            </w:r>
          </w:p>
        </w:tc>
      </w:tr>
      <w:tr w:rsidR="00B329AC" w:rsidRPr="00D3178C" w:rsidTr="00E61E0B">
        <w:trPr>
          <w:trHeight w:val="510"/>
        </w:trPr>
        <w:tc>
          <w:tcPr>
            <w:tcW w:w="1361"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hint="eastAsia"/>
                <w:color w:val="000000"/>
                <w:spacing w:val="-20"/>
                <w:kern w:val="0"/>
                <w:sz w:val="28"/>
                <w:szCs w:val="28"/>
              </w:rPr>
              <w:t>土銀公司</w:t>
            </w:r>
          </w:p>
        </w:tc>
        <w:tc>
          <w:tcPr>
            <w:tcW w:w="641"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財政部</w:t>
            </w:r>
          </w:p>
        </w:tc>
        <w:tc>
          <w:tcPr>
            <w:tcW w:w="803"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862億</w:t>
            </w:r>
          </w:p>
        </w:tc>
        <w:tc>
          <w:tcPr>
            <w:tcW w:w="642"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w:t>
            </w:r>
          </w:p>
        </w:tc>
        <w:tc>
          <w:tcPr>
            <w:tcW w:w="804"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w:t>
            </w:r>
          </w:p>
        </w:tc>
        <w:tc>
          <w:tcPr>
            <w:tcW w:w="748"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105年起</w:t>
            </w:r>
          </w:p>
        </w:tc>
      </w:tr>
      <w:tr w:rsidR="00B329AC" w:rsidRPr="00D3178C" w:rsidTr="00E61E0B">
        <w:trPr>
          <w:trHeight w:val="510"/>
        </w:trPr>
        <w:tc>
          <w:tcPr>
            <w:tcW w:w="1361"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hint="eastAsia"/>
                <w:color w:val="000000"/>
                <w:spacing w:val="-20"/>
                <w:kern w:val="0"/>
                <w:sz w:val="28"/>
                <w:szCs w:val="28"/>
              </w:rPr>
              <w:t>中</w:t>
            </w:r>
            <w:r w:rsidRPr="00D3178C">
              <w:rPr>
                <w:rFonts w:hAnsi="標楷體"/>
                <w:color w:val="000000"/>
                <w:spacing w:val="-20"/>
                <w:kern w:val="0"/>
                <w:sz w:val="28"/>
                <w:szCs w:val="28"/>
              </w:rPr>
              <w:t>輸銀</w:t>
            </w:r>
          </w:p>
        </w:tc>
        <w:tc>
          <w:tcPr>
            <w:tcW w:w="641"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財政部</w:t>
            </w:r>
          </w:p>
        </w:tc>
        <w:tc>
          <w:tcPr>
            <w:tcW w:w="803"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360億</w:t>
            </w:r>
          </w:p>
        </w:tc>
        <w:tc>
          <w:tcPr>
            <w:tcW w:w="642"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否</w:t>
            </w:r>
          </w:p>
        </w:tc>
        <w:tc>
          <w:tcPr>
            <w:tcW w:w="804"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否</w:t>
            </w:r>
          </w:p>
        </w:tc>
        <w:tc>
          <w:tcPr>
            <w:tcW w:w="748"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110年起</w:t>
            </w:r>
          </w:p>
        </w:tc>
      </w:tr>
      <w:tr w:rsidR="00B329AC" w:rsidRPr="00D3178C" w:rsidTr="00E61E0B">
        <w:trPr>
          <w:trHeight w:val="510"/>
        </w:trPr>
        <w:tc>
          <w:tcPr>
            <w:tcW w:w="1361"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菸酒公司</w:t>
            </w:r>
          </w:p>
        </w:tc>
        <w:tc>
          <w:tcPr>
            <w:tcW w:w="641"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財政部</w:t>
            </w:r>
          </w:p>
        </w:tc>
        <w:tc>
          <w:tcPr>
            <w:tcW w:w="803"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438.55億</w:t>
            </w:r>
          </w:p>
        </w:tc>
        <w:tc>
          <w:tcPr>
            <w:tcW w:w="642"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w:t>
            </w:r>
          </w:p>
        </w:tc>
        <w:tc>
          <w:tcPr>
            <w:tcW w:w="804"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w:t>
            </w:r>
          </w:p>
        </w:tc>
        <w:tc>
          <w:tcPr>
            <w:tcW w:w="748"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103年起</w:t>
            </w:r>
          </w:p>
        </w:tc>
      </w:tr>
      <w:tr w:rsidR="00B329AC" w:rsidRPr="00D3178C" w:rsidTr="00E61E0B">
        <w:trPr>
          <w:trHeight w:val="510"/>
        </w:trPr>
        <w:tc>
          <w:tcPr>
            <w:tcW w:w="1361"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財政部印刷廠</w:t>
            </w:r>
          </w:p>
        </w:tc>
        <w:tc>
          <w:tcPr>
            <w:tcW w:w="641"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財政部</w:t>
            </w:r>
          </w:p>
        </w:tc>
        <w:tc>
          <w:tcPr>
            <w:tcW w:w="803"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7.15億</w:t>
            </w:r>
          </w:p>
        </w:tc>
        <w:tc>
          <w:tcPr>
            <w:tcW w:w="642"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否</w:t>
            </w:r>
          </w:p>
        </w:tc>
        <w:tc>
          <w:tcPr>
            <w:tcW w:w="804"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否</w:t>
            </w:r>
          </w:p>
        </w:tc>
        <w:tc>
          <w:tcPr>
            <w:tcW w:w="748"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b/>
                <w:color w:val="000000"/>
                <w:spacing w:val="-20"/>
                <w:kern w:val="0"/>
                <w:sz w:val="28"/>
                <w:szCs w:val="28"/>
              </w:rPr>
            </w:pPr>
            <w:r w:rsidRPr="00D3178C">
              <w:rPr>
                <w:rFonts w:hAnsi="標楷體"/>
                <w:b/>
                <w:color w:val="000000"/>
                <w:spacing w:val="-20"/>
                <w:kern w:val="0"/>
                <w:sz w:val="28"/>
                <w:szCs w:val="28"/>
              </w:rPr>
              <w:t>尚未</w:t>
            </w:r>
          </w:p>
        </w:tc>
      </w:tr>
      <w:tr w:rsidR="00B329AC" w:rsidRPr="00D3178C" w:rsidTr="00E61E0B">
        <w:trPr>
          <w:trHeight w:val="510"/>
        </w:trPr>
        <w:tc>
          <w:tcPr>
            <w:tcW w:w="1361"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台</w:t>
            </w:r>
            <w:r w:rsidR="00E61E0B">
              <w:rPr>
                <w:rFonts w:hAnsi="標楷體" w:hint="eastAsia"/>
                <w:color w:val="000000"/>
                <w:spacing w:val="-20"/>
                <w:kern w:val="0"/>
                <w:sz w:val="28"/>
                <w:szCs w:val="28"/>
              </w:rPr>
              <w:t>灣</w:t>
            </w:r>
            <w:r w:rsidRPr="00D3178C">
              <w:rPr>
                <w:rFonts w:hAnsi="標楷體"/>
                <w:color w:val="000000"/>
                <w:spacing w:val="-20"/>
                <w:kern w:val="0"/>
                <w:sz w:val="28"/>
                <w:szCs w:val="28"/>
              </w:rPr>
              <w:t>電</w:t>
            </w:r>
            <w:r w:rsidR="00E61E0B">
              <w:rPr>
                <w:rFonts w:hAnsi="標楷體" w:hint="eastAsia"/>
                <w:color w:val="000000"/>
                <w:spacing w:val="-20"/>
                <w:kern w:val="0"/>
                <w:sz w:val="28"/>
                <w:szCs w:val="28"/>
              </w:rPr>
              <w:t>力股份有限</w:t>
            </w:r>
            <w:r w:rsidRPr="00D3178C">
              <w:rPr>
                <w:rFonts w:hAnsi="標楷體"/>
                <w:color w:val="000000"/>
                <w:spacing w:val="-20"/>
                <w:kern w:val="0"/>
                <w:sz w:val="28"/>
                <w:szCs w:val="28"/>
              </w:rPr>
              <w:t>公司</w:t>
            </w:r>
            <w:r w:rsidR="00E61E0B">
              <w:rPr>
                <w:rFonts w:hAnsi="標楷體" w:hint="eastAsia"/>
                <w:color w:val="000000"/>
                <w:spacing w:val="-20"/>
                <w:kern w:val="0"/>
                <w:sz w:val="28"/>
                <w:szCs w:val="28"/>
              </w:rPr>
              <w:t>(下稱台電公司)</w:t>
            </w:r>
          </w:p>
        </w:tc>
        <w:tc>
          <w:tcPr>
            <w:tcW w:w="641"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經濟部</w:t>
            </w:r>
          </w:p>
        </w:tc>
        <w:tc>
          <w:tcPr>
            <w:tcW w:w="803"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5,800億</w:t>
            </w:r>
          </w:p>
        </w:tc>
        <w:tc>
          <w:tcPr>
            <w:tcW w:w="642"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w:t>
            </w:r>
          </w:p>
        </w:tc>
        <w:tc>
          <w:tcPr>
            <w:tcW w:w="804"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w:t>
            </w:r>
          </w:p>
        </w:tc>
        <w:tc>
          <w:tcPr>
            <w:tcW w:w="748"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106年起</w:t>
            </w:r>
          </w:p>
        </w:tc>
      </w:tr>
      <w:tr w:rsidR="00B329AC" w:rsidRPr="00D3178C" w:rsidTr="00E61E0B">
        <w:trPr>
          <w:trHeight w:val="510"/>
        </w:trPr>
        <w:tc>
          <w:tcPr>
            <w:tcW w:w="1361"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中</w:t>
            </w:r>
            <w:r w:rsidR="00B96D7C">
              <w:rPr>
                <w:rFonts w:hAnsi="標楷體" w:hint="eastAsia"/>
                <w:color w:val="000000"/>
                <w:spacing w:val="-20"/>
                <w:kern w:val="0"/>
                <w:sz w:val="28"/>
                <w:szCs w:val="28"/>
              </w:rPr>
              <w:t>國石</w:t>
            </w:r>
            <w:r w:rsidRPr="00D3178C">
              <w:rPr>
                <w:rFonts w:hAnsi="標楷體"/>
                <w:color w:val="000000"/>
                <w:spacing w:val="-20"/>
                <w:kern w:val="0"/>
                <w:sz w:val="28"/>
                <w:szCs w:val="28"/>
              </w:rPr>
              <w:t>油</w:t>
            </w:r>
            <w:r w:rsidR="00E61E0B">
              <w:rPr>
                <w:rFonts w:hAnsi="標楷體" w:hint="eastAsia"/>
                <w:color w:val="000000"/>
                <w:spacing w:val="-20"/>
                <w:kern w:val="0"/>
                <w:sz w:val="28"/>
                <w:szCs w:val="28"/>
              </w:rPr>
              <w:t>股份有限</w:t>
            </w:r>
            <w:r w:rsidRPr="00D3178C">
              <w:rPr>
                <w:rFonts w:hAnsi="標楷體"/>
                <w:color w:val="000000"/>
                <w:spacing w:val="-20"/>
                <w:kern w:val="0"/>
                <w:sz w:val="28"/>
                <w:szCs w:val="28"/>
              </w:rPr>
              <w:t>公司</w:t>
            </w:r>
            <w:r w:rsidR="00E61E0B">
              <w:rPr>
                <w:rFonts w:hAnsi="標楷體" w:hint="eastAsia"/>
                <w:color w:val="000000"/>
                <w:spacing w:val="-20"/>
                <w:kern w:val="0"/>
                <w:sz w:val="28"/>
                <w:szCs w:val="28"/>
              </w:rPr>
              <w:t>(下稱中油公司)</w:t>
            </w:r>
          </w:p>
        </w:tc>
        <w:tc>
          <w:tcPr>
            <w:tcW w:w="641"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經濟部</w:t>
            </w:r>
          </w:p>
        </w:tc>
        <w:tc>
          <w:tcPr>
            <w:tcW w:w="803"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1301億</w:t>
            </w:r>
          </w:p>
        </w:tc>
        <w:tc>
          <w:tcPr>
            <w:tcW w:w="642"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w:t>
            </w:r>
          </w:p>
        </w:tc>
        <w:tc>
          <w:tcPr>
            <w:tcW w:w="804"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w:t>
            </w:r>
          </w:p>
        </w:tc>
        <w:tc>
          <w:tcPr>
            <w:tcW w:w="748"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106年起</w:t>
            </w:r>
          </w:p>
        </w:tc>
      </w:tr>
      <w:tr w:rsidR="00B329AC" w:rsidRPr="00D3178C" w:rsidTr="00E61E0B">
        <w:trPr>
          <w:trHeight w:val="510"/>
        </w:trPr>
        <w:tc>
          <w:tcPr>
            <w:tcW w:w="1361"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台</w:t>
            </w:r>
            <w:r>
              <w:rPr>
                <w:rFonts w:hAnsi="標楷體" w:hint="eastAsia"/>
                <w:color w:val="000000"/>
                <w:spacing w:val="-20"/>
                <w:kern w:val="0"/>
                <w:sz w:val="28"/>
                <w:szCs w:val="28"/>
              </w:rPr>
              <w:t>灣</w:t>
            </w:r>
            <w:r w:rsidRPr="00D3178C">
              <w:rPr>
                <w:rFonts w:hAnsi="標楷體"/>
                <w:color w:val="000000"/>
                <w:spacing w:val="-20"/>
                <w:kern w:val="0"/>
                <w:sz w:val="28"/>
                <w:szCs w:val="28"/>
              </w:rPr>
              <w:t>糖</w:t>
            </w:r>
            <w:r>
              <w:rPr>
                <w:rFonts w:hAnsi="標楷體" w:hint="eastAsia"/>
                <w:color w:val="000000"/>
                <w:spacing w:val="-20"/>
                <w:kern w:val="0"/>
                <w:sz w:val="28"/>
                <w:szCs w:val="28"/>
              </w:rPr>
              <w:t>業</w:t>
            </w:r>
            <w:r w:rsidR="00E61E0B">
              <w:rPr>
                <w:rFonts w:hAnsi="標楷體" w:hint="eastAsia"/>
                <w:color w:val="000000"/>
                <w:spacing w:val="-20"/>
                <w:kern w:val="0"/>
                <w:sz w:val="28"/>
                <w:szCs w:val="28"/>
              </w:rPr>
              <w:t>股份有限</w:t>
            </w:r>
            <w:r w:rsidRPr="00D3178C">
              <w:rPr>
                <w:rFonts w:hAnsi="標楷體"/>
                <w:color w:val="000000"/>
                <w:spacing w:val="-20"/>
                <w:kern w:val="0"/>
                <w:sz w:val="28"/>
                <w:szCs w:val="28"/>
              </w:rPr>
              <w:t>公司</w:t>
            </w:r>
            <w:r w:rsidR="00E61E0B">
              <w:rPr>
                <w:rFonts w:hAnsi="標楷體" w:hint="eastAsia"/>
                <w:color w:val="000000"/>
                <w:spacing w:val="-20"/>
                <w:kern w:val="0"/>
                <w:sz w:val="28"/>
                <w:szCs w:val="28"/>
              </w:rPr>
              <w:t>(下稱台糖公司)</w:t>
            </w:r>
          </w:p>
        </w:tc>
        <w:tc>
          <w:tcPr>
            <w:tcW w:w="641"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經濟部</w:t>
            </w:r>
          </w:p>
        </w:tc>
        <w:tc>
          <w:tcPr>
            <w:tcW w:w="803"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566億</w:t>
            </w:r>
          </w:p>
        </w:tc>
        <w:tc>
          <w:tcPr>
            <w:tcW w:w="642"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w:t>
            </w:r>
          </w:p>
        </w:tc>
        <w:tc>
          <w:tcPr>
            <w:tcW w:w="804"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w:t>
            </w:r>
          </w:p>
        </w:tc>
        <w:tc>
          <w:tcPr>
            <w:tcW w:w="748"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109年起</w:t>
            </w:r>
          </w:p>
        </w:tc>
      </w:tr>
      <w:tr w:rsidR="00B329AC" w:rsidRPr="00D3178C" w:rsidTr="00E61E0B">
        <w:trPr>
          <w:trHeight w:val="510"/>
        </w:trPr>
        <w:tc>
          <w:tcPr>
            <w:tcW w:w="1361"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台</w:t>
            </w:r>
            <w:r>
              <w:rPr>
                <w:rFonts w:hAnsi="標楷體" w:hint="eastAsia"/>
                <w:color w:val="000000"/>
                <w:spacing w:val="-20"/>
                <w:kern w:val="0"/>
                <w:sz w:val="28"/>
                <w:szCs w:val="28"/>
              </w:rPr>
              <w:t>灣自來</w:t>
            </w:r>
            <w:r w:rsidRPr="00D3178C">
              <w:rPr>
                <w:rFonts w:hAnsi="標楷體"/>
                <w:color w:val="000000"/>
                <w:spacing w:val="-20"/>
                <w:kern w:val="0"/>
                <w:sz w:val="28"/>
                <w:szCs w:val="28"/>
              </w:rPr>
              <w:t>水</w:t>
            </w:r>
            <w:r w:rsidR="00E61E0B">
              <w:rPr>
                <w:rFonts w:hAnsi="標楷體" w:hint="eastAsia"/>
                <w:color w:val="000000"/>
                <w:spacing w:val="-20"/>
                <w:kern w:val="0"/>
                <w:sz w:val="28"/>
                <w:szCs w:val="28"/>
              </w:rPr>
              <w:t>股份有限</w:t>
            </w:r>
            <w:r w:rsidRPr="00D3178C">
              <w:rPr>
                <w:rFonts w:hAnsi="標楷體"/>
                <w:color w:val="000000"/>
                <w:spacing w:val="-20"/>
                <w:kern w:val="0"/>
                <w:sz w:val="28"/>
                <w:szCs w:val="28"/>
              </w:rPr>
              <w:t>公司</w:t>
            </w:r>
            <w:r w:rsidR="00E61E0B">
              <w:rPr>
                <w:rFonts w:hAnsi="標楷體" w:hint="eastAsia"/>
                <w:color w:val="000000"/>
                <w:spacing w:val="-20"/>
                <w:kern w:val="0"/>
                <w:sz w:val="28"/>
                <w:szCs w:val="28"/>
              </w:rPr>
              <w:t>(下</w:t>
            </w:r>
            <w:proofErr w:type="gramStart"/>
            <w:r w:rsidR="00E61E0B">
              <w:rPr>
                <w:rFonts w:hAnsi="標楷體" w:hint="eastAsia"/>
                <w:color w:val="000000"/>
                <w:spacing w:val="-20"/>
                <w:kern w:val="0"/>
                <w:sz w:val="28"/>
                <w:szCs w:val="28"/>
              </w:rPr>
              <w:t>稱台水公司</w:t>
            </w:r>
            <w:proofErr w:type="gramEnd"/>
            <w:r w:rsidR="00E61E0B">
              <w:rPr>
                <w:rFonts w:hAnsi="標楷體" w:hint="eastAsia"/>
                <w:color w:val="000000"/>
                <w:spacing w:val="-20"/>
                <w:kern w:val="0"/>
                <w:sz w:val="28"/>
                <w:szCs w:val="28"/>
              </w:rPr>
              <w:t>)</w:t>
            </w:r>
          </w:p>
        </w:tc>
        <w:tc>
          <w:tcPr>
            <w:tcW w:w="641"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經濟部</w:t>
            </w:r>
          </w:p>
        </w:tc>
        <w:tc>
          <w:tcPr>
            <w:tcW w:w="803"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1,575億</w:t>
            </w:r>
          </w:p>
        </w:tc>
        <w:tc>
          <w:tcPr>
            <w:tcW w:w="642"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w:t>
            </w:r>
          </w:p>
        </w:tc>
        <w:tc>
          <w:tcPr>
            <w:tcW w:w="804"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否</w:t>
            </w:r>
          </w:p>
        </w:tc>
        <w:tc>
          <w:tcPr>
            <w:tcW w:w="748"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104年起</w:t>
            </w:r>
          </w:p>
        </w:tc>
      </w:tr>
      <w:tr w:rsidR="00B329AC" w:rsidRPr="00D3178C" w:rsidTr="00E61E0B">
        <w:trPr>
          <w:trHeight w:val="510"/>
        </w:trPr>
        <w:tc>
          <w:tcPr>
            <w:tcW w:w="1361" w:type="pct"/>
            <w:shd w:val="clear" w:color="auto" w:fill="auto"/>
            <w:vAlign w:val="center"/>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proofErr w:type="gramStart"/>
            <w:r w:rsidRPr="00D3178C">
              <w:rPr>
                <w:rFonts w:hAnsi="標楷體"/>
                <w:color w:val="000000"/>
                <w:spacing w:val="-20"/>
                <w:kern w:val="0"/>
                <w:sz w:val="28"/>
                <w:szCs w:val="28"/>
              </w:rPr>
              <w:t>臺</w:t>
            </w:r>
            <w:proofErr w:type="gramEnd"/>
            <w:r w:rsidRPr="00D3178C">
              <w:rPr>
                <w:rFonts w:hAnsi="標楷體"/>
                <w:color w:val="000000"/>
                <w:spacing w:val="-20"/>
                <w:kern w:val="0"/>
                <w:sz w:val="28"/>
                <w:szCs w:val="28"/>
              </w:rPr>
              <w:t>鐵公司</w:t>
            </w:r>
          </w:p>
        </w:tc>
        <w:tc>
          <w:tcPr>
            <w:tcW w:w="641" w:type="pct"/>
            <w:shd w:val="clear" w:color="auto" w:fill="auto"/>
            <w:vAlign w:val="center"/>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交通部</w:t>
            </w:r>
          </w:p>
        </w:tc>
        <w:tc>
          <w:tcPr>
            <w:tcW w:w="803" w:type="pct"/>
            <w:shd w:val="clear" w:color="auto" w:fill="auto"/>
            <w:vAlign w:val="center"/>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800億</w:t>
            </w:r>
          </w:p>
        </w:tc>
        <w:tc>
          <w:tcPr>
            <w:tcW w:w="642" w:type="pct"/>
            <w:shd w:val="clear" w:color="auto" w:fill="auto"/>
            <w:vAlign w:val="center"/>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w:t>
            </w:r>
          </w:p>
        </w:tc>
        <w:tc>
          <w:tcPr>
            <w:tcW w:w="804" w:type="pct"/>
            <w:shd w:val="clear" w:color="auto" w:fill="auto"/>
            <w:vAlign w:val="center"/>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否</w:t>
            </w:r>
          </w:p>
        </w:tc>
        <w:tc>
          <w:tcPr>
            <w:tcW w:w="748" w:type="pct"/>
            <w:shd w:val="clear" w:color="auto" w:fill="auto"/>
            <w:vAlign w:val="center"/>
          </w:tcPr>
          <w:p w:rsidR="00D3178C" w:rsidRPr="00D3178C" w:rsidRDefault="00D3178C" w:rsidP="00D07A04">
            <w:pPr>
              <w:widowControl/>
              <w:adjustRightInd w:val="0"/>
              <w:snapToGrid w:val="0"/>
              <w:spacing w:line="260" w:lineRule="exact"/>
              <w:jc w:val="center"/>
              <w:rPr>
                <w:rFonts w:hAnsi="標楷體"/>
                <w:b/>
                <w:color w:val="000000"/>
                <w:spacing w:val="-20"/>
                <w:kern w:val="0"/>
                <w:sz w:val="28"/>
                <w:szCs w:val="28"/>
              </w:rPr>
            </w:pPr>
            <w:r w:rsidRPr="00D3178C">
              <w:rPr>
                <w:rFonts w:hAnsi="標楷體"/>
                <w:b/>
                <w:color w:val="000000"/>
                <w:spacing w:val="-20"/>
                <w:kern w:val="0"/>
                <w:sz w:val="28"/>
                <w:szCs w:val="28"/>
              </w:rPr>
              <w:t>尚未</w:t>
            </w:r>
          </w:p>
        </w:tc>
      </w:tr>
      <w:tr w:rsidR="00B329AC" w:rsidRPr="00D3178C" w:rsidTr="00E61E0B">
        <w:trPr>
          <w:trHeight w:val="510"/>
        </w:trPr>
        <w:tc>
          <w:tcPr>
            <w:tcW w:w="1361"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proofErr w:type="gramStart"/>
            <w:r w:rsidRPr="00D3178C">
              <w:rPr>
                <w:rFonts w:hAnsi="標楷體"/>
                <w:color w:val="000000"/>
                <w:spacing w:val="-20"/>
                <w:kern w:val="0"/>
                <w:sz w:val="28"/>
                <w:szCs w:val="28"/>
              </w:rPr>
              <w:t>桃機公司</w:t>
            </w:r>
            <w:proofErr w:type="gramEnd"/>
          </w:p>
        </w:tc>
        <w:tc>
          <w:tcPr>
            <w:tcW w:w="641"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交通部</w:t>
            </w:r>
          </w:p>
        </w:tc>
        <w:tc>
          <w:tcPr>
            <w:tcW w:w="803"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518.76億</w:t>
            </w:r>
          </w:p>
        </w:tc>
        <w:tc>
          <w:tcPr>
            <w:tcW w:w="642"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w:t>
            </w:r>
          </w:p>
        </w:tc>
        <w:tc>
          <w:tcPr>
            <w:tcW w:w="804"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否</w:t>
            </w:r>
          </w:p>
        </w:tc>
        <w:tc>
          <w:tcPr>
            <w:tcW w:w="748"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109年起</w:t>
            </w:r>
          </w:p>
        </w:tc>
      </w:tr>
      <w:tr w:rsidR="00B329AC" w:rsidRPr="00D3178C" w:rsidTr="00E61E0B">
        <w:trPr>
          <w:trHeight w:val="510"/>
        </w:trPr>
        <w:tc>
          <w:tcPr>
            <w:tcW w:w="1361"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港務公司</w:t>
            </w:r>
          </w:p>
        </w:tc>
        <w:tc>
          <w:tcPr>
            <w:tcW w:w="641"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交通部</w:t>
            </w:r>
          </w:p>
        </w:tc>
        <w:tc>
          <w:tcPr>
            <w:tcW w:w="803"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664.57億</w:t>
            </w:r>
          </w:p>
        </w:tc>
        <w:tc>
          <w:tcPr>
            <w:tcW w:w="642"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w:t>
            </w:r>
          </w:p>
        </w:tc>
        <w:tc>
          <w:tcPr>
            <w:tcW w:w="804"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否</w:t>
            </w:r>
          </w:p>
        </w:tc>
        <w:tc>
          <w:tcPr>
            <w:tcW w:w="748"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111年起</w:t>
            </w:r>
          </w:p>
        </w:tc>
      </w:tr>
      <w:tr w:rsidR="00B329AC" w:rsidRPr="00D3178C" w:rsidTr="00E61E0B">
        <w:trPr>
          <w:trHeight w:val="510"/>
        </w:trPr>
        <w:tc>
          <w:tcPr>
            <w:tcW w:w="1361"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郵政公司</w:t>
            </w:r>
          </w:p>
        </w:tc>
        <w:tc>
          <w:tcPr>
            <w:tcW w:w="641"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交通部</w:t>
            </w:r>
          </w:p>
        </w:tc>
        <w:tc>
          <w:tcPr>
            <w:tcW w:w="803"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1,000億</w:t>
            </w:r>
          </w:p>
        </w:tc>
        <w:tc>
          <w:tcPr>
            <w:tcW w:w="642"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w:t>
            </w:r>
          </w:p>
        </w:tc>
        <w:tc>
          <w:tcPr>
            <w:tcW w:w="804"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否</w:t>
            </w:r>
          </w:p>
        </w:tc>
        <w:tc>
          <w:tcPr>
            <w:tcW w:w="748"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109年起</w:t>
            </w:r>
          </w:p>
        </w:tc>
      </w:tr>
      <w:tr w:rsidR="00B329AC" w:rsidRPr="00D3178C" w:rsidTr="00E61E0B">
        <w:trPr>
          <w:trHeight w:val="510"/>
        </w:trPr>
        <w:tc>
          <w:tcPr>
            <w:tcW w:w="1361"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中央銀行</w:t>
            </w:r>
          </w:p>
        </w:tc>
        <w:tc>
          <w:tcPr>
            <w:tcW w:w="641"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行政院</w:t>
            </w:r>
          </w:p>
        </w:tc>
        <w:tc>
          <w:tcPr>
            <w:tcW w:w="803"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800億</w:t>
            </w:r>
          </w:p>
        </w:tc>
        <w:tc>
          <w:tcPr>
            <w:tcW w:w="642"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否</w:t>
            </w:r>
          </w:p>
        </w:tc>
        <w:tc>
          <w:tcPr>
            <w:tcW w:w="804"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否</w:t>
            </w:r>
          </w:p>
        </w:tc>
        <w:tc>
          <w:tcPr>
            <w:tcW w:w="748"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b/>
                <w:color w:val="000000"/>
                <w:spacing w:val="-20"/>
                <w:kern w:val="0"/>
                <w:sz w:val="28"/>
                <w:szCs w:val="28"/>
              </w:rPr>
            </w:pPr>
            <w:r w:rsidRPr="00D3178C">
              <w:rPr>
                <w:rFonts w:hAnsi="標楷體"/>
                <w:b/>
                <w:color w:val="000000"/>
                <w:spacing w:val="-20"/>
                <w:kern w:val="0"/>
                <w:sz w:val="28"/>
                <w:szCs w:val="28"/>
              </w:rPr>
              <w:t>尚未</w:t>
            </w:r>
          </w:p>
        </w:tc>
      </w:tr>
      <w:tr w:rsidR="00B329AC" w:rsidRPr="00D3178C" w:rsidTr="00E61E0B">
        <w:trPr>
          <w:trHeight w:val="510"/>
        </w:trPr>
        <w:tc>
          <w:tcPr>
            <w:tcW w:w="1361"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中央印製廠</w:t>
            </w:r>
          </w:p>
        </w:tc>
        <w:tc>
          <w:tcPr>
            <w:tcW w:w="641"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中央銀行</w:t>
            </w:r>
          </w:p>
        </w:tc>
        <w:tc>
          <w:tcPr>
            <w:tcW w:w="803"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14億</w:t>
            </w:r>
          </w:p>
        </w:tc>
        <w:tc>
          <w:tcPr>
            <w:tcW w:w="642"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否</w:t>
            </w:r>
          </w:p>
        </w:tc>
        <w:tc>
          <w:tcPr>
            <w:tcW w:w="804"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否</w:t>
            </w:r>
          </w:p>
        </w:tc>
        <w:tc>
          <w:tcPr>
            <w:tcW w:w="748"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b/>
                <w:color w:val="000000"/>
                <w:spacing w:val="-20"/>
                <w:kern w:val="0"/>
                <w:sz w:val="28"/>
                <w:szCs w:val="28"/>
              </w:rPr>
            </w:pPr>
            <w:r w:rsidRPr="00D3178C">
              <w:rPr>
                <w:rFonts w:hAnsi="標楷體"/>
                <w:b/>
                <w:color w:val="000000"/>
                <w:spacing w:val="-20"/>
                <w:kern w:val="0"/>
                <w:sz w:val="28"/>
                <w:szCs w:val="28"/>
              </w:rPr>
              <w:t>尚未</w:t>
            </w:r>
          </w:p>
        </w:tc>
      </w:tr>
      <w:tr w:rsidR="00B329AC" w:rsidRPr="00D3178C" w:rsidTr="00E61E0B">
        <w:trPr>
          <w:trHeight w:val="510"/>
        </w:trPr>
        <w:tc>
          <w:tcPr>
            <w:tcW w:w="1361"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中央造幣廠</w:t>
            </w:r>
          </w:p>
        </w:tc>
        <w:tc>
          <w:tcPr>
            <w:tcW w:w="641"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中央銀行</w:t>
            </w:r>
          </w:p>
        </w:tc>
        <w:tc>
          <w:tcPr>
            <w:tcW w:w="803"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6億</w:t>
            </w:r>
          </w:p>
        </w:tc>
        <w:tc>
          <w:tcPr>
            <w:tcW w:w="642"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否</w:t>
            </w:r>
          </w:p>
        </w:tc>
        <w:tc>
          <w:tcPr>
            <w:tcW w:w="804"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否</w:t>
            </w:r>
          </w:p>
        </w:tc>
        <w:tc>
          <w:tcPr>
            <w:tcW w:w="748"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b/>
                <w:color w:val="000000"/>
                <w:spacing w:val="-20"/>
                <w:kern w:val="0"/>
                <w:sz w:val="28"/>
                <w:szCs w:val="28"/>
              </w:rPr>
            </w:pPr>
            <w:r w:rsidRPr="00D3178C">
              <w:rPr>
                <w:rFonts w:hAnsi="標楷體"/>
                <w:b/>
                <w:color w:val="000000"/>
                <w:spacing w:val="-20"/>
                <w:kern w:val="0"/>
                <w:sz w:val="28"/>
                <w:szCs w:val="28"/>
              </w:rPr>
              <w:t>尚未</w:t>
            </w:r>
          </w:p>
        </w:tc>
      </w:tr>
      <w:tr w:rsidR="00B329AC" w:rsidRPr="00D3178C" w:rsidTr="00E61E0B">
        <w:trPr>
          <w:trHeight w:val="510"/>
        </w:trPr>
        <w:tc>
          <w:tcPr>
            <w:tcW w:w="1361"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存保公司</w:t>
            </w:r>
          </w:p>
        </w:tc>
        <w:tc>
          <w:tcPr>
            <w:tcW w:w="641"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金管會</w:t>
            </w:r>
          </w:p>
        </w:tc>
        <w:tc>
          <w:tcPr>
            <w:tcW w:w="803"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100億</w:t>
            </w:r>
          </w:p>
        </w:tc>
        <w:tc>
          <w:tcPr>
            <w:tcW w:w="642"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是</w:t>
            </w:r>
          </w:p>
        </w:tc>
        <w:tc>
          <w:tcPr>
            <w:tcW w:w="804" w:type="pct"/>
            <w:shd w:val="clear" w:color="auto" w:fill="auto"/>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否</w:t>
            </w:r>
          </w:p>
        </w:tc>
        <w:tc>
          <w:tcPr>
            <w:tcW w:w="748" w:type="pct"/>
            <w:shd w:val="clear" w:color="auto" w:fill="auto"/>
            <w:noWrap/>
            <w:vAlign w:val="center"/>
            <w:hideMark/>
          </w:tcPr>
          <w:p w:rsidR="00D3178C" w:rsidRPr="00D3178C" w:rsidRDefault="00D3178C" w:rsidP="00D07A04">
            <w:pPr>
              <w:widowControl/>
              <w:adjustRightInd w:val="0"/>
              <w:snapToGrid w:val="0"/>
              <w:spacing w:line="260" w:lineRule="exact"/>
              <w:jc w:val="center"/>
              <w:rPr>
                <w:rFonts w:hAnsi="標楷體"/>
                <w:color w:val="000000"/>
                <w:spacing w:val="-20"/>
                <w:kern w:val="0"/>
                <w:sz w:val="28"/>
                <w:szCs w:val="28"/>
              </w:rPr>
            </w:pPr>
            <w:r w:rsidRPr="00D3178C">
              <w:rPr>
                <w:rFonts w:hAnsi="標楷體"/>
                <w:color w:val="000000"/>
                <w:spacing w:val="-20"/>
                <w:kern w:val="0"/>
                <w:sz w:val="28"/>
                <w:szCs w:val="28"/>
              </w:rPr>
              <w:t>111年起</w:t>
            </w:r>
          </w:p>
        </w:tc>
      </w:tr>
    </w:tbl>
    <w:p w:rsidR="00D3178C" w:rsidRDefault="00D3178C" w:rsidP="00FA404C">
      <w:pPr>
        <w:pStyle w:val="af8"/>
        <w:spacing w:afterLines="50" w:after="228"/>
        <w:rPr>
          <w:rFonts w:hAnsi="標楷體"/>
          <w:szCs w:val="28"/>
        </w:rPr>
      </w:pPr>
      <w:r w:rsidRPr="009C4612">
        <w:rPr>
          <w:rFonts w:hAnsi="標楷體" w:hint="eastAsia"/>
          <w:szCs w:val="28"/>
        </w:rPr>
        <w:t>資料來源：</w:t>
      </w:r>
      <w:r>
        <w:rPr>
          <w:rFonts w:hAnsi="標楷體" w:hint="eastAsia"/>
          <w:szCs w:val="28"/>
        </w:rPr>
        <w:t>本案整</w:t>
      </w:r>
      <w:r w:rsidRPr="00D3178C">
        <w:rPr>
          <w:rFonts w:hAnsi="標楷體" w:hint="eastAsia"/>
          <w:szCs w:val="28"/>
        </w:rPr>
        <w:t>理自</w:t>
      </w:r>
      <w:r>
        <w:rPr>
          <w:rFonts w:hAnsi="標楷體" w:hint="eastAsia"/>
          <w:szCs w:val="28"/>
        </w:rPr>
        <w:t>行政院</w:t>
      </w:r>
      <w:proofErr w:type="gramStart"/>
      <w:r>
        <w:rPr>
          <w:rFonts w:hAnsi="標楷體" w:hint="eastAsia"/>
          <w:szCs w:val="28"/>
        </w:rPr>
        <w:t>函復本院</w:t>
      </w:r>
      <w:proofErr w:type="gramEnd"/>
      <w:r w:rsidRPr="009C4612">
        <w:rPr>
          <w:rFonts w:hAnsi="標楷體" w:hint="eastAsia"/>
          <w:szCs w:val="28"/>
        </w:rPr>
        <w:t>資料。</w:t>
      </w:r>
    </w:p>
    <w:p w:rsidR="00E91423" w:rsidRDefault="005818F5" w:rsidP="006D1AE5">
      <w:pPr>
        <w:pStyle w:val="3"/>
        <w:spacing w:beforeLines="30" w:before="137"/>
        <w:ind w:left="1360" w:hanging="680"/>
      </w:pPr>
      <w:r>
        <w:rPr>
          <w:rFonts w:hint="eastAsia"/>
        </w:rPr>
        <w:t>據上，</w:t>
      </w:r>
      <w:r w:rsidR="00CA3284" w:rsidRPr="00040AEA">
        <w:rPr>
          <w:rFonts w:hint="eastAsia"/>
        </w:rPr>
        <w:t>截至1</w:t>
      </w:r>
      <w:r w:rsidR="00CA3284" w:rsidRPr="00040AEA">
        <w:t>13</w:t>
      </w:r>
      <w:r w:rsidR="00CA3284" w:rsidRPr="00040AEA">
        <w:rPr>
          <w:rFonts w:hint="eastAsia"/>
        </w:rPr>
        <w:t>年止，</w:t>
      </w:r>
      <w:r w:rsidR="00CA3284">
        <w:rPr>
          <w:rFonts w:hint="eastAsia"/>
        </w:rPr>
        <w:t>1</w:t>
      </w:r>
      <w:r w:rsidR="00CA3284">
        <w:t>7</w:t>
      </w:r>
      <w:r w:rsidR="00CA3284">
        <w:rPr>
          <w:rFonts w:hint="eastAsia"/>
        </w:rPr>
        <w:t>家</w:t>
      </w:r>
      <w:r w:rsidR="00CA3284" w:rsidRPr="00040AEA">
        <w:rPr>
          <w:rFonts w:hint="eastAsia"/>
        </w:rPr>
        <w:t>國營事業</w:t>
      </w:r>
      <w:r w:rsidR="00CA3284">
        <w:rPr>
          <w:rFonts w:hint="eastAsia"/>
        </w:rPr>
        <w:t>中</w:t>
      </w:r>
      <w:r w:rsidR="00ED32B8">
        <w:rPr>
          <w:rFonts w:hint="eastAsia"/>
        </w:rPr>
        <w:t>，</w:t>
      </w:r>
      <w:r w:rsidR="00ED32B8" w:rsidRPr="00531DDA">
        <w:rPr>
          <w:rFonts w:hint="eastAsia"/>
        </w:rPr>
        <w:t>除</w:t>
      </w:r>
      <w:proofErr w:type="gramStart"/>
      <w:r w:rsidR="00ED32B8" w:rsidRPr="00A574B9">
        <w:rPr>
          <w:rFonts w:hint="eastAsia"/>
        </w:rPr>
        <w:t>臺</w:t>
      </w:r>
      <w:proofErr w:type="gramEnd"/>
      <w:r w:rsidR="00ED32B8" w:rsidRPr="00A574B9">
        <w:rPr>
          <w:rFonts w:hint="eastAsia"/>
        </w:rPr>
        <w:t>鐵公司、</w:t>
      </w:r>
      <w:r w:rsidR="00ED32B8" w:rsidRPr="00A574B9">
        <w:rPr>
          <w:rFonts w:hint="eastAsia"/>
        </w:rPr>
        <w:lastRenderedPageBreak/>
        <w:t>中央銀行、中央印製廠、中央造幣廠、財政部印刷廠等</w:t>
      </w:r>
      <w:r w:rsidR="00ED32B8">
        <w:rPr>
          <w:rFonts w:hint="eastAsia"/>
        </w:rPr>
        <w:t>5家</w:t>
      </w:r>
      <w:r w:rsidR="00ED32B8" w:rsidRPr="00A574B9">
        <w:rPr>
          <w:rFonts w:hint="eastAsia"/>
        </w:rPr>
        <w:t>，</w:t>
      </w:r>
      <w:r w:rsidR="00ED32B8">
        <w:rPr>
          <w:rFonts w:hint="eastAsia"/>
        </w:rPr>
        <w:t>仍</w:t>
      </w:r>
      <w:r w:rsidR="00ED32B8" w:rsidRPr="00A574B9">
        <w:rPr>
          <w:rFonts w:hint="eastAsia"/>
        </w:rPr>
        <w:t>未完全依循GRI準則</w:t>
      </w:r>
      <w:proofErr w:type="gramStart"/>
      <w:r w:rsidR="00ED32B8" w:rsidRPr="00A574B9">
        <w:rPr>
          <w:rFonts w:hint="eastAsia"/>
        </w:rPr>
        <w:t>編製永</w:t>
      </w:r>
      <w:proofErr w:type="gramEnd"/>
      <w:r w:rsidR="00ED32B8" w:rsidRPr="00A574B9">
        <w:rPr>
          <w:rFonts w:hint="eastAsia"/>
        </w:rPr>
        <w:t>續報告書</w:t>
      </w:r>
      <w:r w:rsidR="00ED32B8" w:rsidRPr="00531DDA">
        <w:rPr>
          <w:rFonts w:hint="eastAsia"/>
        </w:rPr>
        <w:t>外，其餘</w:t>
      </w:r>
      <w:r w:rsidR="00ED32B8">
        <w:rPr>
          <w:rFonts w:hint="eastAsia"/>
        </w:rPr>
        <w:t>1</w:t>
      </w:r>
      <w:r w:rsidR="00ED32B8">
        <w:t>2</w:t>
      </w:r>
      <w:r w:rsidR="00ED32B8">
        <w:rPr>
          <w:rFonts w:hint="eastAsia"/>
        </w:rPr>
        <w:t>家</w:t>
      </w:r>
      <w:r w:rsidR="00ED32B8" w:rsidRPr="00531DDA">
        <w:rPr>
          <w:rFonts w:hint="eastAsia"/>
        </w:rPr>
        <w:t>國營事業自103年起，已陸續導入GRI準則</w:t>
      </w:r>
      <w:proofErr w:type="gramStart"/>
      <w:r w:rsidR="00ED32B8" w:rsidRPr="00531DDA">
        <w:rPr>
          <w:rFonts w:hint="eastAsia"/>
        </w:rPr>
        <w:t>編製永</w:t>
      </w:r>
      <w:proofErr w:type="gramEnd"/>
      <w:r w:rsidR="00ED32B8" w:rsidRPr="00531DDA">
        <w:rPr>
          <w:rFonts w:hint="eastAsia"/>
        </w:rPr>
        <w:t>續報告書</w:t>
      </w:r>
      <w:r w:rsidR="00ED32B8">
        <w:rPr>
          <w:rFonts w:hint="eastAsia"/>
        </w:rPr>
        <w:t>，</w:t>
      </w:r>
      <w:r w:rsidR="00ED32B8" w:rsidRPr="00A94505">
        <w:rPr>
          <w:rFonts w:hint="eastAsia"/>
        </w:rPr>
        <w:t>惟</w:t>
      </w:r>
      <w:r w:rsidR="004422D2">
        <w:rPr>
          <w:rFonts w:hint="eastAsia"/>
        </w:rPr>
        <w:t>目前</w:t>
      </w:r>
      <w:r w:rsidR="001E0844">
        <w:rPr>
          <w:rFonts w:hint="eastAsia"/>
        </w:rPr>
        <w:t>僅見經濟</w:t>
      </w:r>
      <w:r w:rsidR="001E0844" w:rsidRPr="00E617AF">
        <w:rPr>
          <w:rFonts w:hint="eastAsia"/>
        </w:rPr>
        <w:t>部</w:t>
      </w:r>
      <w:r w:rsidR="001E0844">
        <w:rPr>
          <w:rFonts w:hint="eastAsia"/>
        </w:rPr>
        <w:t>要</w:t>
      </w:r>
      <w:r w:rsidR="001E0844" w:rsidRPr="00E617AF">
        <w:rPr>
          <w:rFonts w:hint="eastAsia"/>
        </w:rPr>
        <w:t>求所屬國營事業規劃自</w:t>
      </w:r>
      <w:proofErr w:type="gramStart"/>
      <w:r w:rsidR="001E0844" w:rsidRPr="00E617AF">
        <w:rPr>
          <w:rFonts w:hint="eastAsia"/>
        </w:rPr>
        <w:t>11</w:t>
      </w:r>
      <w:proofErr w:type="gramEnd"/>
      <w:r w:rsidR="001E0844" w:rsidRPr="00E617AF">
        <w:rPr>
          <w:rFonts w:hint="eastAsia"/>
        </w:rPr>
        <w:t xml:space="preserve">6年度導入IFRS </w:t>
      </w:r>
      <w:r w:rsidR="0053427E">
        <w:rPr>
          <w:rFonts w:hint="eastAsia"/>
        </w:rPr>
        <w:t>S1/S2</w:t>
      </w:r>
      <w:r w:rsidR="00E24A6F">
        <w:rPr>
          <w:rFonts w:hint="eastAsia"/>
        </w:rPr>
        <w:t>，足見</w:t>
      </w:r>
      <w:r w:rsidR="00E24A6F">
        <w:t>部分</w:t>
      </w:r>
      <w:r w:rsidR="00E24A6F">
        <w:rPr>
          <w:rFonts w:hint="eastAsia"/>
        </w:rPr>
        <w:t>國營</w:t>
      </w:r>
      <w:r w:rsidR="00E24A6F">
        <w:t>事業在永續治理上仍有落差，資訊透明度亦不足</w:t>
      </w:r>
      <w:r w:rsidR="00E24A6F">
        <w:rPr>
          <w:rFonts w:hint="eastAsia"/>
        </w:rPr>
        <w:t>，</w:t>
      </w:r>
      <w:r w:rsidR="00E24A6F">
        <w:t>揭露層次與國際實務仍存在明顯差距</w:t>
      </w:r>
      <w:r w:rsidR="00E24A6F">
        <w:rPr>
          <w:rFonts w:hint="eastAsia"/>
        </w:rPr>
        <w:t>。</w:t>
      </w:r>
      <w:r w:rsidR="006A10A0" w:rsidRPr="00040AEA">
        <w:rPr>
          <w:rFonts w:hint="eastAsia"/>
        </w:rPr>
        <w:t>各界對氣候變遷及永續發展等議題日益關注，</w:t>
      </w:r>
      <w:r w:rsidR="00E24A6F">
        <w:t>國營事業</w:t>
      </w:r>
      <w:r w:rsidR="00AD23C0" w:rsidRPr="00AD23C0">
        <w:rPr>
          <w:rFonts w:hint="eastAsia"/>
        </w:rPr>
        <w:t>雖非</w:t>
      </w:r>
      <w:r w:rsidR="00DB18FE">
        <w:rPr>
          <w:rFonts w:hint="eastAsia"/>
        </w:rPr>
        <w:t>上市櫃公司</w:t>
      </w:r>
      <w:r w:rsidR="00AD23C0" w:rsidRPr="00AD23C0">
        <w:rPr>
          <w:rFonts w:hint="eastAsia"/>
        </w:rPr>
        <w:t>，然</w:t>
      </w:r>
      <w:r w:rsidR="00E24A6F" w:rsidRPr="00040AEA">
        <w:rPr>
          <w:rFonts w:hint="eastAsia"/>
        </w:rPr>
        <w:t>資本額多數達100億元以上，</w:t>
      </w:r>
      <w:r w:rsidR="00E24A6F">
        <w:t>不僅代表政府對永續發展</w:t>
      </w:r>
      <w:r w:rsidR="006A10A0">
        <w:rPr>
          <w:rFonts w:hint="eastAsia"/>
        </w:rPr>
        <w:t>之</w:t>
      </w:r>
      <w:r w:rsidR="00E24A6F">
        <w:t>實踐意</w:t>
      </w:r>
      <w:r w:rsidR="00E61E0B">
        <w:rPr>
          <w:rFonts w:hint="eastAsia"/>
        </w:rPr>
        <w:t>志</w:t>
      </w:r>
      <w:r w:rsidR="00E24A6F">
        <w:t>，更在國際綠色</w:t>
      </w:r>
      <w:r w:rsidR="00E24A6F">
        <w:rPr>
          <w:rFonts w:hint="eastAsia"/>
        </w:rPr>
        <w:t>政府</w:t>
      </w:r>
      <w:r w:rsidR="00E24A6F">
        <w:t>發展趨勢下，</w:t>
      </w:r>
      <w:r w:rsidR="00E24A6F" w:rsidRPr="00040AEA">
        <w:rPr>
          <w:rFonts w:hint="eastAsia"/>
        </w:rPr>
        <w:t>肩負</w:t>
      </w:r>
      <w:proofErr w:type="gramStart"/>
      <w:r w:rsidR="00E24A6F" w:rsidRPr="00040AEA">
        <w:rPr>
          <w:rFonts w:hint="eastAsia"/>
        </w:rPr>
        <w:t>政府淨零轉型</w:t>
      </w:r>
      <w:proofErr w:type="gramEnd"/>
      <w:r w:rsidR="00E24A6F" w:rsidRPr="00040AEA">
        <w:rPr>
          <w:rFonts w:hint="eastAsia"/>
        </w:rPr>
        <w:t>等重</w:t>
      </w:r>
      <w:r w:rsidR="00E24A6F" w:rsidRPr="00AD23C0">
        <w:rPr>
          <w:rFonts w:hint="eastAsia"/>
        </w:rPr>
        <w:t>大政策任務</w:t>
      </w:r>
      <w:r w:rsidR="00E24A6F">
        <w:t>，具備引領民間企業典範之責</w:t>
      </w:r>
      <w:r w:rsidR="00E24A6F">
        <w:rPr>
          <w:rFonts w:hint="eastAsia"/>
        </w:rPr>
        <w:t>，</w:t>
      </w:r>
      <w:r w:rsidR="00E24A6F">
        <w:t>理應主動超前部署</w:t>
      </w:r>
      <w:r w:rsidR="00E24A6F">
        <w:rPr>
          <w:rFonts w:hint="eastAsia"/>
        </w:rPr>
        <w:t>，</w:t>
      </w:r>
      <w:r w:rsidR="006A10A0">
        <w:t>率先導入國際標準、建立盤查驗證機制、整合年報揭露永續風險與機會，</w:t>
      </w:r>
      <w:r w:rsidR="00327BFF">
        <w:rPr>
          <w:rFonts w:hint="eastAsia"/>
        </w:rPr>
        <w:t>各國營事業</w:t>
      </w:r>
      <w:r w:rsidR="006A10A0">
        <w:rPr>
          <w:rFonts w:hint="eastAsia"/>
        </w:rPr>
        <w:t>卻一再以</w:t>
      </w:r>
      <w:r w:rsidR="00704FEA">
        <w:t>金管會公布推動我國接軌-國際財務報導準則永續揭露準則藍圖，目前僅規範</w:t>
      </w:r>
      <w:r w:rsidR="00DB18FE">
        <w:t>上市櫃公司</w:t>
      </w:r>
      <w:r w:rsidR="00704FEA">
        <w:t>為由，未</w:t>
      </w:r>
      <w:r w:rsidR="001E0844">
        <w:rPr>
          <w:rFonts w:hint="eastAsia"/>
        </w:rPr>
        <w:t>自主</w:t>
      </w:r>
      <w:r w:rsidR="00704FEA">
        <w:rPr>
          <w:rFonts w:hint="eastAsia"/>
        </w:rPr>
        <w:t>積極規劃接軌國際永續揭露準則進程</w:t>
      </w:r>
      <w:r w:rsidR="00E24A6F">
        <w:t>，</w:t>
      </w:r>
      <w:r w:rsidR="006A10A0">
        <w:rPr>
          <w:rFonts w:hint="eastAsia"/>
        </w:rPr>
        <w:t>顯示</w:t>
      </w:r>
      <w:r w:rsidR="00704FEA">
        <w:rPr>
          <w:rFonts w:hint="eastAsia"/>
        </w:rPr>
        <w:t>其</w:t>
      </w:r>
      <w:r w:rsidR="00E24A6F">
        <w:t>過度仰賴外部規範，缺乏主動治理與風險揭露意識</w:t>
      </w:r>
      <w:r w:rsidR="006A10A0">
        <w:rPr>
          <w:rFonts w:hint="eastAsia"/>
        </w:rPr>
        <w:t>，</w:t>
      </w:r>
      <w:r w:rsidR="00704FEA">
        <w:rPr>
          <w:rFonts w:hint="eastAsia"/>
        </w:rPr>
        <w:t>實</w:t>
      </w:r>
      <w:r w:rsidR="006A10A0" w:rsidRPr="005818F5">
        <w:rPr>
          <w:rFonts w:hint="eastAsia"/>
        </w:rPr>
        <w:t>有未當</w:t>
      </w:r>
      <w:r w:rsidR="006A10A0">
        <w:rPr>
          <w:rFonts w:hint="eastAsia"/>
        </w:rPr>
        <w:t>。</w:t>
      </w:r>
    </w:p>
    <w:p w:rsidR="004D3ECE" w:rsidRPr="004D3ECE" w:rsidRDefault="00327BFF" w:rsidP="00C572D5">
      <w:pPr>
        <w:pStyle w:val="20"/>
        <w:spacing w:beforeLines="30" w:before="137"/>
        <w:ind w:hanging="680"/>
        <w:rPr>
          <w:b/>
        </w:rPr>
      </w:pPr>
      <w:r w:rsidRPr="00327BFF">
        <w:rPr>
          <w:rFonts w:hAnsi="標楷體"/>
          <w:b/>
          <w:szCs w:val="32"/>
        </w:rPr>
        <w:t>自2023年IFRS永續揭露準則正式發布以來，</w:t>
      </w:r>
      <w:r w:rsidRPr="00327BFF">
        <w:rPr>
          <w:b/>
        </w:rPr>
        <w:t xml:space="preserve">IFRS </w:t>
      </w:r>
      <w:r w:rsidR="0053427E">
        <w:rPr>
          <w:b/>
        </w:rPr>
        <w:t>S1/S2</w:t>
      </w:r>
      <w:r w:rsidRPr="00327BFF">
        <w:rPr>
          <w:b/>
        </w:rPr>
        <w:t>係全球最新標準，強調永續資訊與財務報表整合揭露，涵蓋企業對氣候變遷風險之財務影響分析，對投資者與利害關係人具高度參考價值</w:t>
      </w:r>
      <w:r w:rsidRPr="00327BFF">
        <w:rPr>
          <w:rFonts w:hint="eastAsia"/>
          <w:b/>
        </w:rPr>
        <w:t>，</w:t>
      </w:r>
      <w:r w:rsidRPr="00327BFF">
        <w:rPr>
          <w:rFonts w:hAnsi="標楷體"/>
          <w:b/>
          <w:szCs w:val="32"/>
        </w:rPr>
        <w:t>全球主要</w:t>
      </w:r>
      <w:proofErr w:type="gramStart"/>
      <w:r w:rsidRPr="00327BFF">
        <w:rPr>
          <w:rFonts w:hAnsi="標楷體"/>
          <w:b/>
          <w:szCs w:val="32"/>
        </w:rPr>
        <w:t>經濟體均已展開</w:t>
      </w:r>
      <w:proofErr w:type="gramEnd"/>
      <w:r w:rsidRPr="00327BFF">
        <w:rPr>
          <w:rFonts w:hAnsi="標楷體"/>
          <w:b/>
          <w:szCs w:val="32"/>
        </w:rPr>
        <w:t>接軌作業，特別針對氣候相關財務資訊揭露</w:t>
      </w:r>
      <w:r w:rsidR="006D1AE5">
        <w:rPr>
          <w:rFonts w:hAnsi="標楷體" w:hint="eastAsia"/>
          <w:b/>
          <w:szCs w:val="32"/>
        </w:rPr>
        <w:t>以TCFD四大核心架構</w:t>
      </w:r>
      <w:r w:rsidRPr="00327BFF">
        <w:rPr>
          <w:rFonts w:hAnsi="標楷體"/>
          <w:b/>
          <w:szCs w:val="32"/>
        </w:rPr>
        <w:t>提出強化要求，強調企業應揭示其如何受氣候變遷影響及應對措施的財務意涵。</w:t>
      </w:r>
    </w:p>
    <w:p w:rsidR="004D3ECE" w:rsidRPr="00021743" w:rsidRDefault="004D3ECE" w:rsidP="00FC4854">
      <w:pPr>
        <w:pStyle w:val="a5"/>
        <w:keepLines/>
        <w:numPr>
          <w:ilvl w:val="0"/>
          <w:numId w:val="0"/>
        </w:numPr>
        <w:ind w:left="480"/>
        <w:jc w:val="center"/>
      </w:pPr>
      <w:r w:rsidRPr="00C62506">
        <w:rPr>
          <w:noProof/>
        </w:rPr>
        <w:lastRenderedPageBreak/>
        <mc:AlternateContent>
          <mc:Choice Requires="wps">
            <w:drawing>
              <wp:anchor distT="45720" distB="45720" distL="114300" distR="114300" simplePos="0" relativeHeight="251694080" behindDoc="1" locked="0" layoutInCell="1" allowOverlap="1" wp14:anchorId="76A43BB0" wp14:editId="1592B43E">
                <wp:simplePos x="0" y="0"/>
                <wp:positionH relativeFrom="column">
                  <wp:posOffset>12790170</wp:posOffset>
                </wp:positionH>
                <wp:positionV relativeFrom="paragraph">
                  <wp:posOffset>-401955</wp:posOffset>
                </wp:positionV>
                <wp:extent cx="518160" cy="441960"/>
                <wp:effectExtent l="0" t="0" r="15240" b="1524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441960"/>
                        </a:xfrm>
                        <a:prstGeom prst="rect">
                          <a:avLst/>
                        </a:prstGeom>
                        <a:solidFill>
                          <a:srgbClr val="FFFFFF"/>
                        </a:solidFill>
                        <a:ln w="9525">
                          <a:solidFill>
                            <a:srgbClr val="000000"/>
                          </a:solidFill>
                          <a:miter lim="800000"/>
                          <a:headEnd/>
                          <a:tailEnd/>
                        </a:ln>
                      </wps:spPr>
                      <wps:txbx>
                        <w:txbxContent>
                          <w:p w:rsidR="00952461" w:rsidRPr="00C62506" w:rsidRDefault="00952461" w:rsidP="004D3ECE">
                            <w:pPr>
                              <w:rPr>
                                <w:rFonts w:hAnsi="標楷體"/>
                                <w:szCs w:val="32"/>
                              </w:rPr>
                            </w:pPr>
                            <w:r w:rsidRPr="00C62506">
                              <w:rPr>
                                <w:rFonts w:hAnsi="標楷體" w:hint="eastAsia"/>
                                <w:szCs w:val="32"/>
                              </w:rPr>
                              <w:t>附表</w:t>
                            </w:r>
                          </w:p>
                        </w:txbxContent>
                      </wps:txbx>
                      <wps:bodyPr rot="0" vert="horz" wrap="square" lIns="46800" tIns="0" rIns="468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A43BB0" id="文字方塊 13" o:spid="_x0000_s1028" type="#_x0000_t202" style="position:absolute;left:0;text-align:left;margin-left:1007.1pt;margin-top:-31.65pt;width:40.8pt;height:34.8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">
                <v:textbox inset="1.3mm,0,1.3mm">
                  <w:txbxContent>
                    <w:p w:rsidR="00952461" w:rsidRPr="00C62506" w:rsidRDefault="00952461" w:rsidP="004D3ECE">
                      <w:pPr>
                        <w:rPr>
                          <w:rFonts w:hAnsi="標楷體"/>
                          <w:szCs w:val="32"/>
                        </w:rPr>
                      </w:pPr>
                      <w:r w:rsidRPr="00C62506">
                        <w:rPr>
                          <w:rFonts w:hAnsi="標楷體" w:hint="eastAsia"/>
                          <w:szCs w:val="32"/>
                        </w:rPr>
                        <w:t>附表</w:t>
                      </w:r>
                    </w:p>
                  </w:txbxContent>
                </v:textbox>
              </v:shape>
            </w:pict>
          </mc:Fallback>
        </mc:AlternateContent>
      </w:r>
      <w:r>
        <w:rPr>
          <w:rFonts w:hint="eastAsia"/>
          <w:noProof/>
        </w:rPr>
        <w:t>TCFD</w:t>
      </w:r>
      <w:r w:rsidRPr="005A08D8">
        <w:rPr>
          <w:rFonts w:hAnsi="標楷體" w:hint="eastAsia"/>
        </w:rPr>
        <w:t>工作小組建議</w:t>
      </w:r>
      <w:r>
        <w:rPr>
          <w:rFonts w:hAnsi="標楷體" w:hint="eastAsia"/>
        </w:rPr>
        <w:t>核心</w:t>
      </w:r>
      <w:r w:rsidRPr="005A08D8">
        <w:rPr>
          <w:rFonts w:hAnsi="標楷體" w:hint="eastAsia"/>
        </w:rPr>
        <w:t>和建議揭露事項</w:t>
      </w:r>
      <w:r w:rsidRPr="006E41D5">
        <w:t>表</w:t>
      </w:r>
    </w:p>
    <w:tbl>
      <w:tblPr>
        <w:tblStyle w:val="af9"/>
        <w:tblW w:w="5000" w:type="pct"/>
        <w:tblBorders>
          <w:insideH w:val="none" w:sz="0" w:space="0" w:color="auto"/>
          <w:insideV w:val="none" w:sz="0" w:space="0" w:color="auto"/>
        </w:tblBorders>
        <w:tblLayout w:type="fixed"/>
        <w:tblCellMar>
          <w:top w:w="113" w:type="dxa"/>
          <w:left w:w="170" w:type="dxa"/>
          <w:bottom w:w="113" w:type="dxa"/>
          <w:right w:w="170" w:type="dxa"/>
        </w:tblCellMar>
        <w:tblLook w:val="04A0" w:firstRow="1" w:lastRow="0" w:firstColumn="1" w:lastColumn="0" w:noHBand="0" w:noVBand="1"/>
      </w:tblPr>
      <w:tblGrid>
        <w:gridCol w:w="2208"/>
        <w:gridCol w:w="2208"/>
        <w:gridCol w:w="2209"/>
        <w:gridCol w:w="2209"/>
      </w:tblGrid>
      <w:tr w:rsidR="0090641C" w:rsidRPr="003D7CD2" w:rsidTr="00E81B36">
        <w:trPr>
          <w:tblHeader/>
        </w:trPr>
        <w:tc>
          <w:tcPr>
            <w:tcW w:w="1250" w:type="pct"/>
            <w:tcBorders>
              <w:top w:val="single" w:sz="4" w:space="0" w:color="auto"/>
              <w:bottom w:val="nil"/>
              <w:right w:val="single" w:sz="4" w:space="0" w:color="auto"/>
            </w:tcBorders>
            <w:noWrap/>
            <w:tcMar>
              <w:top w:w="28" w:type="dxa"/>
              <w:left w:w="113" w:type="dxa"/>
              <w:bottom w:w="28" w:type="dxa"/>
              <w:right w:w="113" w:type="dxa"/>
            </w:tcMar>
            <w:vAlign w:val="center"/>
          </w:tcPr>
          <w:p w:rsidR="004D3ECE" w:rsidRPr="0090641C" w:rsidRDefault="004D3ECE" w:rsidP="004E2511">
            <w:pPr>
              <w:pStyle w:val="20"/>
              <w:keepNext/>
              <w:keepLines/>
              <w:numPr>
                <w:ilvl w:val="0"/>
                <w:numId w:val="0"/>
              </w:numPr>
              <w:adjustRightInd w:val="0"/>
              <w:snapToGrid w:val="0"/>
              <w:spacing w:line="360" w:lineRule="exact"/>
              <w:jc w:val="center"/>
              <w:rPr>
                <w:rFonts w:hAnsi="標楷體"/>
                <w:spacing w:val="-20"/>
                <w:sz w:val="28"/>
                <w:szCs w:val="28"/>
                <w:u w:val="single"/>
              </w:rPr>
            </w:pPr>
            <w:r w:rsidRPr="0090641C">
              <w:rPr>
                <w:rFonts w:hAnsi="標楷體" w:hint="eastAsia"/>
                <w:spacing w:val="-20"/>
                <w:sz w:val="28"/>
                <w:szCs w:val="28"/>
                <w:u w:val="single"/>
              </w:rPr>
              <w:t>治理</w:t>
            </w:r>
          </w:p>
        </w:tc>
        <w:tc>
          <w:tcPr>
            <w:tcW w:w="1250" w:type="pct"/>
            <w:tcBorders>
              <w:top w:val="single" w:sz="4" w:space="0" w:color="auto"/>
              <w:left w:val="single" w:sz="4" w:space="0" w:color="auto"/>
              <w:bottom w:val="nil"/>
              <w:right w:val="single" w:sz="4" w:space="0" w:color="auto"/>
            </w:tcBorders>
            <w:noWrap/>
            <w:tcMar>
              <w:top w:w="28" w:type="dxa"/>
              <w:left w:w="113" w:type="dxa"/>
              <w:bottom w:w="28" w:type="dxa"/>
              <w:right w:w="113" w:type="dxa"/>
            </w:tcMar>
            <w:vAlign w:val="center"/>
          </w:tcPr>
          <w:p w:rsidR="004D3ECE" w:rsidRPr="0090641C" w:rsidRDefault="004D3ECE" w:rsidP="004E2511">
            <w:pPr>
              <w:pStyle w:val="20"/>
              <w:keepNext/>
              <w:keepLines/>
              <w:numPr>
                <w:ilvl w:val="0"/>
                <w:numId w:val="0"/>
              </w:numPr>
              <w:adjustRightInd w:val="0"/>
              <w:snapToGrid w:val="0"/>
              <w:spacing w:line="360" w:lineRule="exact"/>
              <w:jc w:val="center"/>
              <w:rPr>
                <w:rFonts w:hAnsi="標楷體"/>
                <w:spacing w:val="-20"/>
                <w:sz w:val="28"/>
                <w:szCs w:val="28"/>
                <w:u w:val="single"/>
              </w:rPr>
            </w:pPr>
            <w:r w:rsidRPr="0090641C">
              <w:rPr>
                <w:rFonts w:hAnsi="標楷體" w:hint="eastAsia"/>
                <w:spacing w:val="-20"/>
                <w:sz w:val="28"/>
                <w:szCs w:val="28"/>
                <w:u w:val="single"/>
              </w:rPr>
              <w:t>策略</w:t>
            </w:r>
          </w:p>
        </w:tc>
        <w:tc>
          <w:tcPr>
            <w:tcW w:w="1250" w:type="pct"/>
            <w:tcBorders>
              <w:top w:val="single" w:sz="4" w:space="0" w:color="auto"/>
              <w:left w:val="single" w:sz="4" w:space="0" w:color="auto"/>
              <w:bottom w:val="nil"/>
              <w:right w:val="single" w:sz="4" w:space="0" w:color="auto"/>
            </w:tcBorders>
            <w:noWrap/>
            <w:tcMar>
              <w:top w:w="28" w:type="dxa"/>
              <w:left w:w="113" w:type="dxa"/>
              <w:bottom w:w="28" w:type="dxa"/>
              <w:right w:w="113" w:type="dxa"/>
            </w:tcMar>
            <w:vAlign w:val="center"/>
          </w:tcPr>
          <w:p w:rsidR="004D3ECE" w:rsidRPr="0090641C" w:rsidRDefault="004D3ECE" w:rsidP="004E2511">
            <w:pPr>
              <w:pStyle w:val="20"/>
              <w:keepNext/>
              <w:keepLines/>
              <w:numPr>
                <w:ilvl w:val="0"/>
                <w:numId w:val="0"/>
              </w:numPr>
              <w:adjustRightInd w:val="0"/>
              <w:snapToGrid w:val="0"/>
              <w:spacing w:line="360" w:lineRule="exact"/>
              <w:jc w:val="center"/>
              <w:rPr>
                <w:rFonts w:hAnsi="標楷體"/>
                <w:spacing w:val="-20"/>
                <w:sz w:val="28"/>
                <w:szCs w:val="28"/>
                <w:u w:val="single"/>
              </w:rPr>
            </w:pPr>
            <w:r w:rsidRPr="0090641C">
              <w:rPr>
                <w:rFonts w:hAnsi="標楷體" w:hint="eastAsia"/>
                <w:spacing w:val="-20"/>
                <w:sz w:val="28"/>
                <w:szCs w:val="28"/>
                <w:u w:val="single"/>
              </w:rPr>
              <w:t>風險管理</w:t>
            </w:r>
          </w:p>
        </w:tc>
        <w:tc>
          <w:tcPr>
            <w:tcW w:w="1250" w:type="pct"/>
            <w:tcBorders>
              <w:left w:val="single" w:sz="4" w:space="0" w:color="auto"/>
            </w:tcBorders>
            <w:noWrap/>
            <w:tcMar>
              <w:top w:w="28" w:type="dxa"/>
              <w:left w:w="113" w:type="dxa"/>
              <w:bottom w:w="28" w:type="dxa"/>
              <w:right w:w="113" w:type="dxa"/>
            </w:tcMar>
            <w:vAlign w:val="center"/>
          </w:tcPr>
          <w:p w:rsidR="004D3ECE" w:rsidRPr="0090641C" w:rsidRDefault="004D3ECE" w:rsidP="004E2511">
            <w:pPr>
              <w:pStyle w:val="20"/>
              <w:keepNext/>
              <w:keepLines/>
              <w:numPr>
                <w:ilvl w:val="0"/>
                <w:numId w:val="0"/>
              </w:numPr>
              <w:adjustRightInd w:val="0"/>
              <w:snapToGrid w:val="0"/>
              <w:spacing w:line="360" w:lineRule="exact"/>
              <w:jc w:val="center"/>
              <w:rPr>
                <w:rFonts w:hAnsi="標楷體"/>
                <w:spacing w:val="-20"/>
                <w:sz w:val="28"/>
                <w:szCs w:val="28"/>
                <w:u w:val="single"/>
              </w:rPr>
            </w:pPr>
            <w:r w:rsidRPr="0090641C">
              <w:rPr>
                <w:rFonts w:hAnsi="標楷體" w:hint="eastAsia"/>
                <w:spacing w:val="-20"/>
                <w:sz w:val="28"/>
                <w:szCs w:val="28"/>
                <w:u w:val="single"/>
              </w:rPr>
              <w:t>指標和目標</w:t>
            </w:r>
          </w:p>
        </w:tc>
      </w:tr>
      <w:tr w:rsidR="0090641C" w:rsidRPr="003D7CD2" w:rsidTr="00E81B36">
        <w:trPr>
          <w:trHeight w:val="2229"/>
        </w:trPr>
        <w:tc>
          <w:tcPr>
            <w:tcW w:w="1250" w:type="pct"/>
            <w:tcBorders>
              <w:top w:val="nil"/>
              <w:bottom w:val="nil"/>
              <w:right w:val="single" w:sz="4" w:space="0" w:color="auto"/>
            </w:tcBorders>
            <w:noWrap/>
            <w:tcMar>
              <w:top w:w="28" w:type="dxa"/>
              <w:left w:w="113" w:type="dxa"/>
              <w:bottom w:w="28" w:type="dxa"/>
              <w:right w:w="113" w:type="dxa"/>
            </w:tcMar>
          </w:tcPr>
          <w:p w:rsidR="004D3ECE" w:rsidRPr="003D7CD2" w:rsidRDefault="004D3ECE" w:rsidP="004E2511">
            <w:pPr>
              <w:pStyle w:val="20"/>
              <w:keepNext/>
              <w:keepLines/>
              <w:numPr>
                <w:ilvl w:val="0"/>
                <w:numId w:val="0"/>
              </w:numPr>
              <w:adjustRightInd w:val="0"/>
              <w:snapToGrid w:val="0"/>
              <w:spacing w:line="360" w:lineRule="exact"/>
              <w:rPr>
                <w:rFonts w:hAnsi="標楷體"/>
                <w:spacing w:val="-20"/>
                <w:sz w:val="28"/>
                <w:szCs w:val="28"/>
              </w:rPr>
            </w:pPr>
            <w:r w:rsidRPr="003D7CD2">
              <w:rPr>
                <w:rFonts w:hAnsi="標楷體" w:hint="eastAsia"/>
                <w:spacing w:val="-20"/>
                <w:sz w:val="28"/>
                <w:szCs w:val="28"/>
              </w:rPr>
              <w:t>揭露組織與氣候相關風險與機會的治理情況</w:t>
            </w:r>
          </w:p>
        </w:tc>
        <w:tc>
          <w:tcPr>
            <w:tcW w:w="1250" w:type="pct"/>
            <w:tcBorders>
              <w:top w:val="nil"/>
              <w:left w:val="single" w:sz="4" w:space="0" w:color="auto"/>
              <w:bottom w:val="nil"/>
              <w:right w:val="single" w:sz="4" w:space="0" w:color="auto"/>
            </w:tcBorders>
            <w:noWrap/>
            <w:tcMar>
              <w:top w:w="28" w:type="dxa"/>
              <w:left w:w="113" w:type="dxa"/>
              <w:bottom w:w="28" w:type="dxa"/>
              <w:right w:w="113" w:type="dxa"/>
            </w:tcMar>
          </w:tcPr>
          <w:p w:rsidR="004D3ECE" w:rsidRPr="003D7CD2" w:rsidRDefault="004D3ECE" w:rsidP="004E2511">
            <w:pPr>
              <w:pStyle w:val="20"/>
              <w:keepNext/>
              <w:keepLines/>
              <w:numPr>
                <w:ilvl w:val="0"/>
                <w:numId w:val="0"/>
              </w:numPr>
              <w:adjustRightInd w:val="0"/>
              <w:snapToGrid w:val="0"/>
              <w:spacing w:line="360" w:lineRule="exact"/>
              <w:rPr>
                <w:rFonts w:hAnsi="標楷體"/>
                <w:spacing w:val="-20"/>
                <w:sz w:val="28"/>
                <w:szCs w:val="28"/>
              </w:rPr>
            </w:pPr>
            <w:r w:rsidRPr="003D7CD2">
              <w:rPr>
                <w:rFonts w:hAnsi="標楷體" w:hint="eastAsia"/>
                <w:spacing w:val="-20"/>
                <w:sz w:val="28"/>
                <w:szCs w:val="28"/>
              </w:rPr>
              <w:t>針對組織業務、策略和財務規劃，揭露實際及潛在與氣候相關的衝擊</w:t>
            </w:r>
          </w:p>
        </w:tc>
        <w:tc>
          <w:tcPr>
            <w:tcW w:w="1250" w:type="pct"/>
            <w:tcBorders>
              <w:top w:val="nil"/>
              <w:left w:val="single" w:sz="4" w:space="0" w:color="auto"/>
              <w:bottom w:val="nil"/>
              <w:right w:val="single" w:sz="4" w:space="0" w:color="auto"/>
            </w:tcBorders>
            <w:noWrap/>
            <w:tcMar>
              <w:top w:w="28" w:type="dxa"/>
              <w:left w:w="113" w:type="dxa"/>
              <w:bottom w:w="28" w:type="dxa"/>
              <w:right w:w="113" w:type="dxa"/>
            </w:tcMar>
          </w:tcPr>
          <w:p w:rsidR="004D3ECE" w:rsidRPr="003D7CD2" w:rsidRDefault="004D3ECE" w:rsidP="004E2511">
            <w:pPr>
              <w:pStyle w:val="20"/>
              <w:keepNext/>
              <w:keepLines/>
              <w:numPr>
                <w:ilvl w:val="0"/>
                <w:numId w:val="0"/>
              </w:numPr>
              <w:adjustRightInd w:val="0"/>
              <w:snapToGrid w:val="0"/>
              <w:spacing w:line="360" w:lineRule="exact"/>
              <w:rPr>
                <w:rFonts w:hAnsi="標楷體"/>
                <w:spacing w:val="-20"/>
                <w:sz w:val="28"/>
                <w:szCs w:val="28"/>
              </w:rPr>
            </w:pPr>
            <w:r w:rsidRPr="003D7CD2">
              <w:rPr>
                <w:rFonts w:hAnsi="標楷體" w:hint="eastAsia"/>
                <w:spacing w:val="-20"/>
                <w:sz w:val="28"/>
                <w:szCs w:val="28"/>
              </w:rPr>
              <w:t>揭露組織如何鑑別、評估和管理氣候相關風險</w:t>
            </w:r>
          </w:p>
        </w:tc>
        <w:tc>
          <w:tcPr>
            <w:tcW w:w="1250" w:type="pct"/>
            <w:tcBorders>
              <w:left w:val="single" w:sz="4" w:space="0" w:color="auto"/>
            </w:tcBorders>
            <w:noWrap/>
            <w:tcMar>
              <w:top w:w="28" w:type="dxa"/>
              <w:left w:w="113" w:type="dxa"/>
              <w:bottom w:w="28" w:type="dxa"/>
              <w:right w:w="113" w:type="dxa"/>
            </w:tcMar>
          </w:tcPr>
          <w:p w:rsidR="004D3ECE" w:rsidRPr="003D7CD2" w:rsidRDefault="004D3ECE" w:rsidP="004E2511">
            <w:pPr>
              <w:pStyle w:val="20"/>
              <w:keepNext/>
              <w:keepLines/>
              <w:numPr>
                <w:ilvl w:val="0"/>
                <w:numId w:val="0"/>
              </w:numPr>
              <w:adjustRightInd w:val="0"/>
              <w:snapToGrid w:val="0"/>
              <w:spacing w:line="360" w:lineRule="exact"/>
              <w:rPr>
                <w:rFonts w:hAnsi="標楷體"/>
                <w:spacing w:val="-20"/>
                <w:sz w:val="28"/>
                <w:szCs w:val="28"/>
              </w:rPr>
            </w:pPr>
            <w:r w:rsidRPr="003D7CD2">
              <w:rPr>
                <w:rFonts w:hAnsi="標楷體" w:hint="eastAsia"/>
                <w:spacing w:val="-20"/>
                <w:sz w:val="28"/>
                <w:szCs w:val="28"/>
              </w:rPr>
              <w:t>針對重大性的資訊，揭露用於評估和管理氣候相關議題的指標和目標</w:t>
            </w:r>
          </w:p>
        </w:tc>
      </w:tr>
      <w:tr w:rsidR="0090641C" w:rsidRPr="003D7CD2" w:rsidTr="00E81B36">
        <w:tc>
          <w:tcPr>
            <w:tcW w:w="1250" w:type="pct"/>
            <w:tcBorders>
              <w:top w:val="nil"/>
              <w:bottom w:val="nil"/>
              <w:right w:val="single" w:sz="4" w:space="0" w:color="auto"/>
            </w:tcBorders>
            <w:noWrap/>
            <w:tcMar>
              <w:top w:w="28" w:type="dxa"/>
              <w:left w:w="113" w:type="dxa"/>
              <w:bottom w:w="28" w:type="dxa"/>
              <w:right w:w="113" w:type="dxa"/>
            </w:tcMar>
          </w:tcPr>
          <w:p w:rsidR="004D3ECE" w:rsidRPr="0090641C" w:rsidRDefault="004D3ECE" w:rsidP="004E2511">
            <w:pPr>
              <w:pStyle w:val="20"/>
              <w:keepNext/>
              <w:keepLines/>
              <w:numPr>
                <w:ilvl w:val="0"/>
                <w:numId w:val="0"/>
              </w:numPr>
              <w:adjustRightInd w:val="0"/>
              <w:snapToGrid w:val="0"/>
              <w:spacing w:line="360" w:lineRule="exact"/>
              <w:jc w:val="center"/>
              <w:rPr>
                <w:rFonts w:hAnsi="標楷體"/>
                <w:spacing w:val="-20"/>
                <w:sz w:val="28"/>
                <w:szCs w:val="28"/>
                <w:u w:val="single"/>
              </w:rPr>
            </w:pPr>
            <w:r w:rsidRPr="0090641C">
              <w:rPr>
                <w:rFonts w:hAnsi="標楷體" w:hint="eastAsia"/>
                <w:spacing w:val="-20"/>
                <w:sz w:val="28"/>
                <w:szCs w:val="28"/>
                <w:u w:val="single"/>
              </w:rPr>
              <w:t>建議揭露事項</w:t>
            </w:r>
          </w:p>
        </w:tc>
        <w:tc>
          <w:tcPr>
            <w:tcW w:w="1250" w:type="pct"/>
            <w:tcBorders>
              <w:top w:val="nil"/>
              <w:left w:val="single" w:sz="4" w:space="0" w:color="auto"/>
              <w:bottom w:val="nil"/>
              <w:right w:val="single" w:sz="4" w:space="0" w:color="auto"/>
            </w:tcBorders>
            <w:noWrap/>
            <w:tcMar>
              <w:top w:w="28" w:type="dxa"/>
              <w:left w:w="113" w:type="dxa"/>
              <w:bottom w:w="28" w:type="dxa"/>
              <w:right w:w="113" w:type="dxa"/>
            </w:tcMar>
          </w:tcPr>
          <w:p w:rsidR="004D3ECE" w:rsidRPr="0090641C" w:rsidRDefault="004D3ECE" w:rsidP="004E2511">
            <w:pPr>
              <w:pStyle w:val="20"/>
              <w:keepNext/>
              <w:keepLines/>
              <w:numPr>
                <w:ilvl w:val="0"/>
                <w:numId w:val="0"/>
              </w:numPr>
              <w:adjustRightInd w:val="0"/>
              <w:snapToGrid w:val="0"/>
              <w:spacing w:line="360" w:lineRule="exact"/>
              <w:jc w:val="center"/>
              <w:rPr>
                <w:rFonts w:hAnsi="標楷體"/>
                <w:spacing w:val="-20"/>
                <w:sz w:val="28"/>
                <w:szCs w:val="28"/>
                <w:u w:val="single"/>
              </w:rPr>
            </w:pPr>
            <w:r w:rsidRPr="0090641C">
              <w:rPr>
                <w:rFonts w:hAnsi="標楷體" w:hint="eastAsia"/>
                <w:spacing w:val="-20"/>
                <w:sz w:val="28"/>
                <w:szCs w:val="28"/>
                <w:u w:val="single"/>
              </w:rPr>
              <w:t>建議揭露事項</w:t>
            </w:r>
          </w:p>
        </w:tc>
        <w:tc>
          <w:tcPr>
            <w:tcW w:w="1250" w:type="pct"/>
            <w:tcBorders>
              <w:top w:val="nil"/>
              <w:left w:val="single" w:sz="4" w:space="0" w:color="auto"/>
              <w:bottom w:val="nil"/>
              <w:right w:val="single" w:sz="4" w:space="0" w:color="auto"/>
            </w:tcBorders>
            <w:noWrap/>
            <w:tcMar>
              <w:top w:w="28" w:type="dxa"/>
              <w:left w:w="113" w:type="dxa"/>
              <w:bottom w:w="28" w:type="dxa"/>
              <w:right w:w="113" w:type="dxa"/>
            </w:tcMar>
          </w:tcPr>
          <w:p w:rsidR="004D3ECE" w:rsidRPr="0090641C" w:rsidRDefault="004D3ECE" w:rsidP="004E2511">
            <w:pPr>
              <w:pStyle w:val="20"/>
              <w:keepNext/>
              <w:keepLines/>
              <w:numPr>
                <w:ilvl w:val="0"/>
                <w:numId w:val="0"/>
              </w:numPr>
              <w:adjustRightInd w:val="0"/>
              <w:snapToGrid w:val="0"/>
              <w:spacing w:line="360" w:lineRule="exact"/>
              <w:jc w:val="center"/>
              <w:rPr>
                <w:rFonts w:hAnsi="標楷體"/>
                <w:spacing w:val="-20"/>
                <w:sz w:val="28"/>
                <w:szCs w:val="28"/>
                <w:u w:val="single"/>
              </w:rPr>
            </w:pPr>
            <w:r w:rsidRPr="0090641C">
              <w:rPr>
                <w:rFonts w:hAnsi="標楷體" w:hint="eastAsia"/>
                <w:spacing w:val="-20"/>
                <w:sz w:val="28"/>
                <w:szCs w:val="28"/>
                <w:u w:val="single"/>
              </w:rPr>
              <w:t>建議揭露事項</w:t>
            </w:r>
          </w:p>
        </w:tc>
        <w:tc>
          <w:tcPr>
            <w:tcW w:w="1250" w:type="pct"/>
            <w:tcBorders>
              <w:left w:val="single" w:sz="4" w:space="0" w:color="auto"/>
            </w:tcBorders>
            <w:noWrap/>
            <w:tcMar>
              <w:top w:w="28" w:type="dxa"/>
              <w:left w:w="113" w:type="dxa"/>
              <w:bottom w:w="28" w:type="dxa"/>
              <w:right w:w="113" w:type="dxa"/>
            </w:tcMar>
          </w:tcPr>
          <w:p w:rsidR="004D3ECE" w:rsidRPr="0090641C" w:rsidRDefault="004D3ECE" w:rsidP="004E2511">
            <w:pPr>
              <w:pStyle w:val="20"/>
              <w:keepNext/>
              <w:keepLines/>
              <w:numPr>
                <w:ilvl w:val="0"/>
                <w:numId w:val="0"/>
              </w:numPr>
              <w:adjustRightInd w:val="0"/>
              <w:snapToGrid w:val="0"/>
              <w:spacing w:line="360" w:lineRule="exact"/>
              <w:jc w:val="center"/>
              <w:rPr>
                <w:rFonts w:hAnsi="標楷體"/>
                <w:spacing w:val="-20"/>
                <w:sz w:val="28"/>
                <w:szCs w:val="28"/>
                <w:u w:val="single"/>
              </w:rPr>
            </w:pPr>
            <w:r w:rsidRPr="0090641C">
              <w:rPr>
                <w:rFonts w:hAnsi="標楷體" w:hint="eastAsia"/>
                <w:spacing w:val="-20"/>
                <w:sz w:val="28"/>
                <w:szCs w:val="28"/>
                <w:u w:val="single"/>
              </w:rPr>
              <w:t>建議揭露事項</w:t>
            </w:r>
          </w:p>
        </w:tc>
      </w:tr>
      <w:tr w:rsidR="0090641C" w:rsidRPr="003D7CD2" w:rsidTr="00E81B36">
        <w:tc>
          <w:tcPr>
            <w:tcW w:w="1250" w:type="pct"/>
            <w:tcBorders>
              <w:top w:val="nil"/>
              <w:bottom w:val="nil"/>
              <w:right w:val="single" w:sz="4" w:space="0" w:color="auto"/>
            </w:tcBorders>
            <w:noWrap/>
            <w:tcMar>
              <w:top w:w="28" w:type="dxa"/>
              <w:left w:w="113" w:type="dxa"/>
              <w:bottom w:w="28" w:type="dxa"/>
              <w:right w:w="113" w:type="dxa"/>
            </w:tcMar>
          </w:tcPr>
          <w:p w:rsidR="004D3ECE" w:rsidRPr="003D7CD2" w:rsidRDefault="004D3ECE" w:rsidP="004E2511">
            <w:pPr>
              <w:pStyle w:val="20"/>
              <w:keepNext/>
              <w:keepLines/>
              <w:numPr>
                <w:ilvl w:val="0"/>
                <w:numId w:val="0"/>
              </w:numPr>
              <w:adjustRightInd w:val="0"/>
              <w:snapToGrid w:val="0"/>
              <w:spacing w:line="360" w:lineRule="exact"/>
              <w:ind w:left="265" w:hangingChars="102" w:hanging="265"/>
              <w:rPr>
                <w:rFonts w:hAnsi="標楷體"/>
                <w:spacing w:val="-20"/>
                <w:sz w:val="28"/>
                <w:szCs w:val="28"/>
              </w:rPr>
            </w:pPr>
            <w:r w:rsidRPr="003D7CD2">
              <w:rPr>
                <w:rFonts w:hAnsi="標楷體" w:hint="eastAsia"/>
                <w:spacing w:val="-20"/>
                <w:sz w:val="28"/>
                <w:szCs w:val="28"/>
              </w:rPr>
              <w:t>a.描述董事會對氣候相關風險與機會的監督情況。</w:t>
            </w:r>
            <w:r w:rsidR="0090641C">
              <w:rPr>
                <w:rFonts w:hAnsi="標楷體"/>
                <w:spacing w:val="-20"/>
                <w:sz w:val="28"/>
                <w:szCs w:val="28"/>
              </w:rPr>
              <w:br/>
            </w:r>
          </w:p>
        </w:tc>
        <w:tc>
          <w:tcPr>
            <w:tcW w:w="1250" w:type="pct"/>
            <w:tcBorders>
              <w:top w:val="nil"/>
              <w:left w:val="single" w:sz="4" w:space="0" w:color="auto"/>
              <w:bottom w:val="nil"/>
              <w:right w:val="single" w:sz="4" w:space="0" w:color="auto"/>
            </w:tcBorders>
            <w:noWrap/>
            <w:tcMar>
              <w:top w:w="28" w:type="dxa"/>
              <w:left w:w="113" w:type="dxa"/>
              <w:bottom w:w="28" w:type="dxa"/>
              <w:right w:w="113" w:type="dxa"/>
            </w:tcMar>
          </w:tcPr>
          <w:p w:rsidR="004D3ECE" w:rsidRPr="003D7CD2" w:rsidRDefault="004D3ECE" w:rsidP="004E2511">
            <w:pPr>
              <w:pStyle w:val="20"/>
              <w:keepNext/>
              <w:keepLines/>
              <w:numPr>
                <w:ilvl w:val="0"/>
                <w:numId w:val="0"/>
              </w:numPr>
              <w:adjustRightInd w:val="0"/>
              <w:snapToGrid w:val="0"/>
              <w:spacing w:line="360" w:lineRule="exact"/>
              <w:ind w:left="265" w:hangingChars="102" w:hanging="265"/>
              <w:rPr>
                <w:rFonts w:hAnsi="標楷體"/>
                <w:spacing w:val="-20"/>
                <w:sz w:val="28"/>
                <w:szCs w:val="28"/>
              </w:rPr>
            </w:pPr>
            <w:r w:rsidRPr="003D7CD2">
              <w:rPr>
                <w:rFonts w:hAnsi="標楷體"/>
                <w:spacing w:val="-20"/>
                <w:sz w:val="28"/>
                <w:szCs w:val="28"/>
              </w:rPr>
              <w:t>a</w:t>
            </w:r>
            <w:r w:rsidRPr="003D7CD2">
              <w:rPr>
                <w:rFonts w:hAnsi="標楷體" w:hint="eastAsia"/>
                <w:spacing w:val="-20"/>
                <w:sz w:val="28"/>
                <w:szCs w:val="28"/>
              </w:rPr>
              <w:t>.描述組織所鑑別的短、中、長期氣候相關風險與機會。</w:t>
            </w:r>
          </w:p>
        </w:tc>
        <w:tc>
          <w:tcPr>
            <w:tcW w:w="1250" w:type="pct"/>
            <w:tcBorders>
              <w:top w:val="nil"/>
              <w:left w:val="single" w:sz="4" w:space="0" w:color="auto"/>
              <w:bottom w:val="nil"/>
              <w:right w:val="single" w:sz="4" w:space="0" w:color="auto"/>
            </w:tcBorders>
            <w:noWrap/>
            <w:tcMar>
              <w:top w:w="28" w:type="dxa"/>
              <w:left w:w="113" w:type="dxa"/>
              <w:bottom w:w="28" w:type="dxa"/>
              <w:right w:w="113" w:type="dxa"/>
            </w:tcMar>
          </w:tcPr>
          <w:p w:rsidR="004D3ECE" w:rsidRPr="003D7CD2" w:rsidRDefault="004D3ECE" w:rsidP="004E2511">
            <w:pPr>
              <w:pStyle w:val="20"/>
              <w:keepNext/>
              <w:keepLines/>
              <w:numPr>
                <w:ilvl w:val="0"/>
                <w:numId w:val="0"/>
              </w:numPr>
              <w:adjustRightInd w:val="0"/>
              <w:snapToGrid w:val="0"/>
              <w:spacing w:line="360" w:lineRule="exact"/>
              <w:ind w:left="265" w:hangingChars="102" w:hanging="265"/>
              <w:rPr>
                <w:rFonts w:hAnsi="標楷體"/>
                <w:spacing w:val="-20"/>
                <w:sz w:val="28"/>
                <w:szCs w:val="28"/>
              </w:rPr>
            </w:pPr>
            <w:r w:rsidRPr="003D7CD2">
              <w:rPr>
                <w:rFonts w:hAnsi="標楷體" w:hint="eastAsia"/>
                <w:spacing w:val="-20"/>
                <w:sz w:val="28"/>
                <w:szCs w:val="28"/>
              </w:rPr>
              <w:t>a.描述組織在氣候相關風險的鑑別和評估流程。</w:t>
            </w:r>
          </w:p>
        </w:tc>
        <w:tc>
          <w:tcPr>
            <w:tcW w:w="1250" w:type="pct"/>
            <w:tcBorders>
              <w:left w:val="single" w:sz="4" w:space="0" w:color="auto"/>
            </w:tcBorders>
            <w:noWrap/>
            <w:tcMar>
              <w:top w:w="28" w:type="dxa"/>
              <w:left w:w="113" w:type="dxa"/>
              <w:bottom w:w="28" w:type="dxa"/>
              <w:right w:w="113" w:type="dxa"/>
            </w:tcMar>
          </w:tcPr>
          <w:p w:rsidR="004D3ECE" w:rsidRDefault="004D3ECE" w:rsidP="004E2511">
            <w:pPr>
              <w:pStyle w:val="20"/>
              <w:keepNext/>
              <w:keepLines/>
              <w:numPr>
                <w:ilvl w:val="0"/>
                <w:numId w:val="0"/>
              </w:numPr>
              <w:adjustRightInd w:val="0"/>
              <w:snapToGrid w:val="0"/>
              <w:spacing w:line="360" w:lineRule="exact"/>
              <w:ind w:left="265" w:hangingChars="102" w:hanging="265"/>
              <w:rPr>
                <w:rFonts w:hAnsi="標楷體"/>
                <w:spacing w:val="-20"/>
                <w:sz w:val="28"/>
                <w:szCs w:val="28"/>
              </w:rPr>
            </w:pPr>
            <w:r w:rsidRPr="003D7CD2">
              <w:rPr>
                <w:rFonts w:hAnsi="標楷體" w:hint="eastAsia"/>
                <w:spacing w:val="-20"/>
                <w:sz w:val="28"/>
                <w:szCs w:val="28"/>
              </w:rPr>
              <w:t>a.揭露組織依循策略和風險管理流程進行評估氣候相關風險與機會所使用的指標。</w:t>
            </w:r>
          </w:p>
          <w:p w:rsidR="00E81B36" w:rsidRPr="003D7CD2" w:rsidRDefault="00E81B36" w:rsidP="004E2511">
            <w:pPr>
              <w:pStyle w:val="20"/>
              <w:keepNext/>
              <w:keepLines/>
              <w:numPr>
                <w:ilvl w:val="0"/>
                <w:numId w:val="0"/>
              </w:numPr>
              <w:adjustRightInd w:val="0"/>
              <w:snapToGrid w:val="0"/>
              <w:spacing w:line="360" w:lineRule="exact"/>
              <w:ind w:left="265" w:hangingChars="102" w:hanging="265"/>
              <w:rPr>
                <w:rFonts w:hAnsi="標楷體"/>
                <w:spacing w:val="-20"/>
                <w:sz w:val="28"/>
                <w:szCs w:val="28"/>
              </w:rPr>
            </w:pPr>
          </w:p>
        </w:tc>
      </w:tr>
      <w:tr w:rsidR="0090641C" w:rsidRPr="003D7CD2" w:rsidTr="00E81B36">
        <w:tc>
          <w:tcPr>
            <w:tcW w:w="1250" w:type="pct"/>
            <w:tcBorders>
              <w:top w:val="nil"/>
              <w:bottom w:val="nil"/>
              <w:right w:val="single" w:sz="4" w:space="0" w:color="auto"/>
            </w:tcBorders>
            <w:noWrap/>
            <w:tcMar>
              <w:top w:w="28" w:type="dxa"/>
              <w:left w:w="113" w:type="dxa"/>
              <w:bottom w:w="28" w:type="dxa"/>
              <w:right w:w="113" w:type="dxa"/>
            </w:tcMar>
          </w:tcPr>
          <w:p w:rsidR="004D3ECE" w:rsidRPr="003D7CD2" w:rsidRDefault="004D3ECE" w:rsidP="004E2511">
            <w:pPr>
              <w:pStyle w:val="20"/>
              <w:keepNext/>
              <w:keepLines/>
              <w:numPr>
                <w:ilvl w:val="0"/>
                <w:numId w:val="0"/>
              </w:numPr>
              <w:adjustRightInd w:val="0"/>
              <w:snapToGrid w:val="0"/>
              <w:spacing w:line="360" w:lineRule="exact"/>
              <w:ind w:left="265" w:hangingChars="102" w:hanging="265"/>
              <w:rPr>
                <w:rFonts w:hAnsi="標楷體"/>
                <w:spacing w:val="-20"/>
                <w:sz w:val="28"/>
                <w:szCs w:val="28"/>
              </w:rPr>
            </w:pPr>
            <w:r w:rsidRPr="003D7CD2">
              <w:rPr>
                <w:rFonts w:hAnsi="標楷體" w:hint="eastAsia"/>
                <w:spacing w:val="-20"/>
                <w:sz w:val="28"/>
                <w:szCs w:val="28"/>
              </w:rPr>
              <w:t>b</w:t>
            </w:r>
            <w:r w:rsidRPr="003D7CD2">
              <w:rPr>
                <w:rFonts w:hAnsi="標楷體"/>
                <w:spacing w:val="-20"/>
                <w:sz w:val="28"/>
                <w:szCs w:val="28"/>
              </w:rPr>
              <w:t>.</w:t>
            </w:r>
            <w:r w:rsidRPr="003D7CD2">
              <w:rPr>
                <w:rFonts w:hAnsi="標楷體" w:hint="eastAsia"/>
                <w:spacing w:val="-20"/>
                <w:sz w:val="28"/>
                <w:szCs w:val="28"/>
              </w:rPr>
              <w:t>描述管理階層在評估和管理氣候相關風險與機會的角色。</w:t>
            </w:r>
            <w:r w:rsidR="0090641C">
              <w:rPr>
                <w:rFonts w:hAnsi="標楷體"/>
                <w:spacing w:val="-20"/>
                <w:sz w:val="28"/>
                <w:szCs w:val="28"/>
              </w:rPr>
              <w:br/>
            </w:r>
          </w:p>
        </w:tc>
        <w:tc>
          <w:tcPr>
            <w:tcW w:w="1250" w:type="pct"/>
            <w:tcBorders>
              <w:top w:val="nil"/>
              <w:left w:val="single" w:sz="4" w:space="0" w:color="auto"/>
              <w:bottom w:val="nil"/>
              <w:right w:val="single" w:sz="4" w:space="0" w:color="auto"/>
            </w:tcBorders>
            <w:noWrap/>
            <w:tcMar>
              <w:top w:w="28" w:type="dxa"/>
              <w:left w:w="113" w:type="dxa"/>
              <w:bottom w:w="28" w:type="dxa"/>
              <w:right w:w="113" w:type="dxa"/>
            </w:tcMar>
          </w:tcPr>
          <w:p w:rsidR="004D3ECE" w:rsidRPr="003D7CD2" w:rsidRDefault="004D3ECE" w:rsidP="004E2511">
            <w:pPr>
              <w:pStyle w:val="20"/>
              <w:keepNext/>
              <w:keepLines/>
              <w:numPr>
                <w:ilvl w:val="0"/>
                <w:numId w:val="0"/>
              </w:numPr>
              <w:adjustRightInd w:val="0"/>
              <w:snapToGrid w:val="0"/>
              <w:spacing w:line="360" w:lineRule="exact"/>
              <w:ind w:left="265" w:hangingChars="102" w:hanging="265"/>
              <w:rPr>
                <w:rFonts w:hAnsi="標楷體"/>
                <w:spacing w:val="-20"/>
                <w:sz w:val="28"/>
                <w:szCs w:val="28"/>
              </w:rPr>
            </w:pPr>
            <w:r w:rsidRPr="003D7CD2">
              <w:rPr>
                <w:rFonts w:hAnsi="標楷體"/>
                <w:spacing w:val="-20"/>
                <w:sz w:val="28"/>
                <w:szCs w:val="28"/>
              </w:rPr>
              <w:t>b.</w:t>
            </w:r>
            <w:r w:rsidRPr="003D7CD2">
              <w:rPr>
                <w:rFonts w:hAnsi="標楷體" w:hint="eastAsia"/>
                <w:spacing w:val="-20"/>
                <w:sz w:val="28"/>
                <w:szCs w:val="28"/>
              </w:rPr>
              <w:t>描述組織在業務、策略和財務規劃上與氣候相關風險與機會的衝擊。</w:t>
            </w:r>
          </w:p>
          <w:p w:rsidR="004D3ECE" w:rsidRPr="004D3ECE" w:rsidRDefault="004D3ECE" w:rsidP="004E2511">
            <w:pPr>
              <w:pStyle w:val="20"/>
              <w:keepNext/>
              <w:keepLines/>
              <w:numPr>
                <w:ilvl w:val="0"/>
                <w:numId w:val="0"/>
              </w:numPr>
              <w:adjustRightInd w:val="0"/>
              <w:snapToGrid w:val="0"/>
              <w:spacing w:line="360" w:lineRule="exact"/>
              <w:ind w:left="265" w:hangingChars="102" w:hanging="265"/>
              <w:rPr>
                <w:rFonts w:hAnsi="標楷體"/>
                <w:spacing w:val="-20"/>
                <w:sz w:val="28"/>
                <w:szCs w:val="28"/>
              </w:rPr>
            </w:pPr>
          </w:p>
        </w:tc>
        <w:tc>
          <w:tcPr>
            <w:tcW w:w="1250" w:type="pct"/>
            <w:tcBorders>
              <w:top w:val="nil"/>
              <w:left w:val="single" w:sz="4" w:space="0" w:color="auto"/>
              <w:bottom w:val="nil"/>
              <w:right w:val="single" w:sz="4" w:space="0" w:color="auto"/>
            </w:tcBorders>
            <w:noWrap/>
            <w:tcMar>
              <w:top w:w="28" w:type="dxa"/>
              <w:left w:w="113" w:type="dxa"/>
              <w:bottom w:w="28" w:type="dxa"/>
              <w:right w:w="113" w:type="dxa"/>
            </w:tcMar>
          </w:tcPr>
          <w:p w:rsidR="004D3ECE" w:rsidRPr="003D7CD2" w:rsidRDefault="004D3ECE" w:rsidP="004E2511">
            <w:pPr>
              <w:pStyle w:val="20"/>
              <w:keepNext/>
              <w:keepLines/>
              <w:numPr>
                <w:ilvl w:val="0"/>
                <w:numId w:val="0"/>
              </w:numPr>
              <w:adjustRightInd w:val="0"/>
              <w:snapToGrid w:val="0"/>
              <w:spacing w:line="360" w:lineRule="exact"/>
              <w:ind w:left="265" w:hangingChars="102" w:hanging="265"/>
              <w:rPr>
                <w:rFonts w:hAnsi="標楷體"/>
                <w:spacing w:val="-20"/>
                <w:sz w:val="28"/>
                <w:szCs w:val="28"/>
              </w:rPr>
            </w:pPr>
            <w:r w:rsidRPr="003D7CD2">
              <w:rPr>
                <w:rFonts w:hAnsi="標楷體" w:hint="eastAsia"/>
                <w:spacing w:val="-20"/>
                <w:sz w:val="28"/>
                <w:szCs w:val="28"/>
              </w:rPr>
              <w:t>b</w:t>
            </w:r>
            <w:r w:rsidRPr="003D7CD2">
              <w:rPr>
                <w:rFonts w:hAnsi="標楷體"/>
                <w:spacing w:val="-20"/>
                <w:sz w:val="28"/>
                <w:szCs w:val="28"/>
              </w:rPr>
              <w:t>.</w:t>
            </w:r>
            <w:r w:rsidRPr="003D7CD2">
              <w:rPr>
                <w:rFonts w:hAnsi="標楷體" w:hint="eastAsia"/>
                <w:spacing w:val="-20"/>
                <w:sz w:val="28"/>
                <w:szCs w:val="28"/>
              </w:rPr>
              <w:t>描述組織在氣候相關風險的管理流程。</w:t>
            </w:r>
          </w:p>
          <w:p w:rsidR="004D3ECE" w:rsidRPr="004D3ECE" w:rsidRDefault="004D3ECE" w:rsidP="004E2511">
            <w:pPr>
              <w:pStyle w:val="20"/>
              <w:keepNext/>
              <w:keepLines/>
              <w:numPr>
                <w:ilvl w:val="0"/>
                <w:numId w:val="0"/>
              </w:numPr>
              <w:adjustRightInd w:val="0"/>
              <w:snapToGrid w:val="0"/>
              <w:spacing w:line="360" w:lineRule="exact"/>
              <w:ind w:left="265" w:hangingChars="102" w:hanging="265"/>
              <w:rPr>
                <w:rFonts w:hAnsi="標楷體"/>
                <w:spacing w:val="-20"/>
                <w:sz w:val="28"/>
                <w:szCs w:val="28"/>
              </w:rPr>
            </w:pPr>
          </w:p>
        </w:tc>
        <w:tc>
          <w:tcPr>
            <w:tcW w:w="1250" w:type="pct"/>
            <w:tcBorders>
              <w:left w:val="single" w:sz="4" w:space="0" w:color="auto"/>
            </w:tcBorders>
            <w:noWrap/>
            <w:tcMar>
              <w:top w:w="28" w:type="dxa"/>
              <w:left w:w="113" w:type="dxa"/>
              <w:bottom w:w="28" w:type="dxa"/>
              <w:right w:w="113" w:type="dxa"/>
            </w:tcMar>
          </w:tcPr>
          <w:p w:rsidR="004D3ECE" w:rsidRPr="003D7CD2" w:rsidRDefault="004D3ECE" w:rsidP="004E2511">
            <w:pPr>
              <w:pStyle w:val="20"/>
              <w:keepNext/>
              <w:keepLines/>
              <w:numPr>
                <w:ilvl w:val="0"/>
                <w:numId w:val="0"/>
              </w:numPr>
              <w:adjustRightInd w:val="0"/>
              <w:snapToGrid w:val="0"/>
              <w:spacing w:line="360" w:lineRule="exact"/>
              <w:ind w:left="265" w:hangingChars="102" w:hanging="265"/>
              <w:rPr>
                <w:rFonts w:hAnsi="標楷體"/>
                <w:spacing w:val="-20"/>
                <w:sz w:val="28"/>
                <w:szCs w:val="28"/>
              </w:rPr>
            </w:pPr>
            <w:r w:rsidRPr="003D7CD2">
              <w:rPr>
                <w:rFonts w:hAnsi="標楷體" w:hint="eastAsia"/>
                <w:spacing w:val="-20"/>
                <w:sz w:val="28"/>
                <w:szCs w:val="28"/>
              </w:rPr>
              <w:t>b</w:t>
            </w:r>
            <w:r w:rsidRPr="003D7CD2">
              <w:rPr>
                <w:rFonts w:hAnsi="標楷體"/>
                <w:spacing w:val="-20"/>
                <w:sz w:val="28"/>
                <w:szCs w:val="28"/>
              </w:rPr>
              <w:t>.</w:t>
            </w:r>
            <w:r w:rsidRPr="003D7CD2">
              <w:rPr>
                <w:rFonts w:hAnsi="標楷體" w:hint="eastAsia"/>
                <w:spacing w:val="-20"/>
                <w:sz w:val="28"/>
                <w:szCs w:val="28"/>
              </w:rPr>
              <w:t>揭露範疇1、範疇2和範疇3</w:t>
            </w:r>
            <w:r>
              <w:rPr>
                <w:rFonts w:hAnsi="標楷體" w:hint="eastAsia"/>
                <w:spacing w:val="-20"/>
                <w:sz w:val="28"/>
                <w:szCs w:val="28"/>
              </w:rPr>
              <w:t>(</w:t>
            </w:r>
            <w:r w:rsidRPr="003D7CD2">
              <w:rPr>
                <w:rFonts w:hAnsi="標楷體" w:hint="eastAsia"/>
                <w:spacing w:val="-20"/>
                <w:sz w:val="28"/>
                <w:szCs w:val="28"/>
              </w:rPr>
              <w:t>如適用</w:t>
            </w:r>
            <w:r>
              <w:rPr>
                <w:rFonts w:hAnsi="標楷體" w:hint="eastAsia"/>
                <w:spacing w:val="-20"/>
                <w:sz w:val="28"/>
                <w:szCs w:val="28"/>
              </w:rPr>
              <w:t>)</w:t>
            </w:r>
            <w:r w:rsidRPr="003D7CD2">
              <w:rPr>
                <w:rFonts w:hAnsi="標楷體" w:hint="eastAsia"/>
                <w:spacing w:val="-20"/>
                <w:sz w:val="28"/>
                <w:szCs w:val="28"/>
              </w:rPr>
              <w:t>溫室氣體排放和相關風險。</w:t>
            </w:r>
          </w:p>
          <w:p w:rsidR="004D3ECE" w:rsidRPr="004D3ECE" w:rsidRDefault="004D3ECE" w:rsidP="004E2511">
            <w:pPr>
              <w:pStyle w:val="20"/>
              <w:keepNext/>
              <w:keepLines/>
              <w:numPr>
                <w:ilvl w:val="0"/>
                <w:numId w:val="0"/>
              </w:numPr>
              <w:adjustRightInd w:val="0"/>
              <w:snapToGrid w:val="0"/>
              <w:spacing w:line="360" w:lineRule="exact"/>
              <w:ind w:left="265" w:hangingChars="102" w:hanging="265"/>
              <w:rPr>
                <w:rFonts w:hAnsi="標楷體"/>
                <w:spacing w:val="-20"/>
                <w:sz w:val="28"/>
                <w:szCs w:val="28"/>
              </w:rPr>
            </w:pPr>
          </w:p>
        </w:tc>
      </w:tr>
      <w:tr w:rsidR="0090641C" w:rsidRPr="003D7CD2" w:rsidTr="00E81B36">
        <w:trPr>
          <w:trHeight w:val="2689"/>
        </w:trPr>
        <w:tc>
          <w:tcPr>
            <w:tcW w:w="1250" w:type="pct"/>
            <w:tcBorders>
              <w:top w:val="nil"/>
              <w:bottom w:val="single" w:sz="4" w:space="0" w:color="auto"/>
              <w:right w:val="single" w:sz="4" w:space="0" w:color="auto"/>
            </w:tcBorders>
            <w:noWrap/>
            <w:tcMar>
              <w:top w:w="28" w:type="dxa"/>
              <w:left w:w="113" w:type="dxa"/>
              <w:bottom w:w="28" w:type="dxa"/>
              <w:right w:w="113" w:type="dxa"/>
            </w:tcMar>
          </w:tcPr>
          <w:p w:rsidR="004D3ECE" w:rsidRPr="003D7CD2" w:rsidRDefault="004D3ECE" w:rsidP="004E2511">
            <w:pPr>
              <w:pStyle w:val="20"/>
              <w:keepNext/>
              <w:keepLines/>
              <w:numPr>
                <w:ilvl w:val="0"/>
                <w:numId w:val="0"/>
              </w:numPr>
              <w:adjustRightInd w:val="0"/>
              <w:snapToGrid w:val="0"/>
              <w:spacing w:line="360" w:lineRule="exact"/>
              <w:ind w:left="265" w:hangingChars="102" w:hanging="265"/>
              <w:rPr>
                <w:rFonts w:hAnsi="標楷體"/>
                <w:spacing w:val="-20"/>
                <w:sz w:val="28"/>
                <w:szCs w:val="28"/>
              </w:rPr>
            </w:pPr>
          </w:p>
        </w:tc>
        <w:tc>
          <w:tcPr>
            <w:tcW w:w="1250" w:type="pct"/>
            <w:tcBorders>
              <w:top w:val="nil"/>
              <w:left w:val="single" w:sz="4" w:space="0" w:color="auto"/>
              <w:bottom w:val="single" w:sz="4" w:space="0" w:color="auto"/>
              <w:right w:val="single" w:sz="4" w:space="0" w:color="auto"/>
            </w:tcBorders>
            <w:noWrap/>
            <w:tcMar>
              <w:top w:w="28" w:type="dxa"/>
              <w:left w:w="113" w:type="dxa"/>
              <w:bottom w:w="28" w:type="dxa"/>
              <w:right w:w="113" w:type="dxa"/>
            </w:tcMar>
          </w:tcPr>
          <w:p w:rsidR="004D3ECE" w:rsidRPr="003D7CD2" w:rsidRDefault="004D3ECE" w:rsidP="004E2511">
            <w:pPr>
              <w:pStyle w:val="20"/>
              <w:keepNext/>
              <w:keepLines/>
              <w:numPr>
                <w:ilvl w:val="0"/>
                <w:numId w:val="0"/>
              </w:numPr>
              <w:adjustRightInd w:val="0"/>
              <w:snapToGrid w:val="0"/>
              <w:spacing w:line="360" w:lineRule="exact"/>
              <w:ind w:left="265" w:hangingChars="102" w:hanging="265"/>
              <w:rPr>
                <w:rFonts w:hAnsi="標楷體"/>
                <w:spacing w:val="-20"/>
                <w:sz w:val="28"/>
                <w:szCs w:val="28"/>
              </w:rPr>
            </w:pPr>
            <w:r w:rsidRPr="003D7CD2">
              <w:rPr>
                <w:rFonts w:hAnsi="標楷體"/>
                <w:spacing w:val="-20"/>
                <w:sz w:val="28"/>
                <w:szCs w:val="28"/>
              </w:rPr>
              <w:t>c.</w:t>
            </w:r>
            <w:r w:rsidRPr="003D7CD2">
              <w:rPr>
                <w:rFonts w:hAnsi="標楷體" w:hint="eastAsia"/>
                <w:spacing w:val="-20"/>
                <w:sz w:val="28"/>
                <w:szCs w:val="28"/>
              </w:rPr>
              <w:t>描述組織在策略上的韌性，並考慮不同氣候相關情境</w:t>
            </w:r>
            <w:r>
              <w:rPr>
                <w:rFonts w:hAnsi="標楷體" w:hint="eastAsia"/>
                <w:spacing w:val="-20"/>
                <w:sz w:val="28"/>
                <w:szCs w:val="28"/>
              </w:rPr>
              <w:t>(</w:t>
            </w:r>
            <w:r w:rsidRPr="003D7CD2">
              <w:rPr>
                <w:rFonts w:hAnsi="標楷體" w:hint="eastAsia"/>
                <w:spacing w:val="-20"/>
                <w:sz w:val="28"/>
                <w:szCs w:val="28"/>
              </w:rPr>
              <w:t>包括</w:t>
            </w:r>
            <w:r w:rsidRPr="003D7CD2">
              <w:rPr>
                <w:rFonts w:hAnsi="標楷體"/>
                <w:spacing w:val="-20"/>
                <w:sz w:val="28"/>
                <w:szCs w:val="28"/>
              </w:rPr>
              <w:t>2˚C</w:t>
            </w:r>
            <w:r w:rsidRPr="003D7CD2">
              <w:rPr>
                <w:rFonts w:hAnsi="標楷體" w:hint="eastAsia"/>
                <w:spacing w:val="-20"/>
                <w:sz w:val="28"/>
                <w:szCs w:val="28"/>
              </w:rPr>
              <w:t>或更嚴苛的情境</w:t>
            </w:r>
            <w:r>
              <w:rPr>
                <w:rFonts w:hAnsi="標楷體" w:hint="eastAsia"/>
                <w:spacing w:val="-20"/>
                <w:sz w:val="28"/>
                <w:szCs w:val="28"/>
              </w:rPr>
              <w:t>)</w:t>
            </w:r>
            <w:r w:rsidRPr="003D7CD2">
              <w:rPr>
                <w:rFonts w:hAnsi="標楷體" w:hint="eastAsia"/>
                <w:spacing w:val="-20"/>
                <w:sz w:val="28"/>
                <w:szCs w:val="28"/>
              </w:rPr>
              <w:t>。</w:t>
            </w:r>
          </w:p>
        </w:tc>
        <w:tc>
          <w:tcPr>
            <w:tcW w:w="1250" w:type="pct"/>
            <w:tcBorders>
              <w:top w:val="nil"/>
              <w:left w:val="single" w:sz="4" w:space="0" w:color="auto"/>
              <w:bottom w:val="single" w:sz="4" w:space="0" w:color="auto"/>
              <w:right w:val="single" w:sz="4" w:space="0" w:color="auto"/>
            </w:tcBorders>
            <w:noWrap/>
            <w:tcMar>
              <w:top w:w="28" w:type="dxa"/>
              <w:left w:w="113" w:type="dxa"/>
              <w:bottom w:w="28" w:type="dxa"/>
              <w:right w:w="113" w:type="dxa"/>
            </w:tcMar>
          </w:tcPr>
          <w:p w:rsidR="004D3ECE" w:rsidRPr="003D7CD2" w:rsidRDefault="004D3ECE" w:rsidP="004E2511">
            <w:pPr>
              <w:pStyle w:val="20"/>
              <w:keepNext/>
              <w:keepLines/>
              <w:numPr>
                <w:ilvl w:val="0"/>
                <w:numId w:val="0"/>
              </w:numPr>
              <w:adjustRightInd w:val="0"/>
              <w:snapToGrid w:val="0"/>
              <w:spacing w:line="360" w:lineRule="exact"/>
              <w:ind w:left="265" w:hangingChars="102" w:hanging="265"/>
              <w:rPr>
                <w:rFonts w:hAnsi="標楷體"/>
                <w:spacing w:val="-20"/>
                <w:sz w:val="28"/>
                <w:szCs w:val="28"/>
              </w:rPr>
            </w:pPr>
            <w:r w:rsidRPr="003D7CD2">
              <w:rPr>
                <w:rFonts w:hAnsi="標楷體" w:hint="eastAsia"/>
                <w:spacing w:val="-20"/>
                <w:sz w:val="28"/>
                <w:szCs w:val="28"/>
              </w:rPr>
              <w:t>c</w:t>
            </w:r>
            <w:r w:rsidRPr="003D7CD2">
              <w:rPr>
                <w:rFonts w:hAnsi="標楷體"/>
                <w:spacing w:val="-20"/>
                <w:sz w:val="28"/>
                <w:szCs w:val="28"/>
              </w:rPr>
              <w:t>.</w:t>
            </w:r>
            <w:r w:rsidRPr="003D7CD2">
              <w:rPr>
                <w:rFonts w:hAnsi="標楷體" w:hint="eastAsia"/>
                <w:spacing w:val="-20"/>
                <w:sz w:val="28"/>
                <w:szCs w:val="28"/>
              </w:rPr>
              <w:t>描述氣候相關風險的鑑別、評估和管理流程如何整合在組織的整體風險管理制度。</w:t>
            </w:r>
          </w:p>
        </w:tc>
        <w:tc>
          <w:tcPr>
            <w:tcW w:w="1250" w:type="pct"/>
            <w:tcBorders>
              <w:left w:val="single" w:sz="4" w:space="0" w:color="auto"/>
            </w:tcBorders>
            <w:noWrap/>
            <w:tcMar>
              <w:top w:w="28" w:type="dxa"/>
              <w:left w:w="113" w:type="dxa"/>
              <w:bottom w:w="28" w:type="dxa"/>
              <w:right w:w="113" w:type="dxa"/>
            </w:tcMar>
          </w:tcPr>
          <w:p w:rsidR="004D3ECE" w:rsidRPr="003D7CD2" w:rsidRDefault="004D3ECE" w:rsidP="004E2511">
            <w:pPr>
              <w:pStyle w:val="20"/>
              <w:keepNext/>
              <w:keepLines/>
              <w:numPr>
                <w:ilvl w:val="0"/>
                <w:numId w:val="0"/>
              </w:numPr>
              <w:adjustRightInd w:val="0"/>
              <w:snapToGrid w:val="0"/>
              <w:spacing w:line="360" w:lineRule="exact"/>
              <w:ind w:left="265" w:hangingChars="102" w:hanging="265"/>
              <w:rPr>
                <w:rFonts w:hAnsi="標楷體"/>
                <w:spacing w:val="-20"/>
                <w:sz w:val="28"/>
                <w:szCs w:val="28"/>
              </w:rPr>
            </w:pPr>
            <w:r>
              <w:rPr>
                <w:rFonts w:hAnsi="標楷體" w:hint="eastAsia"/>
                <w:spacing w:val="-20"/>
                <w:sz w:val="28"/>
                <w:szCs w:val="28"/>
              </w:rPr>
              <w:t>c</w:t>
            </w:r>
            <w:r>
              <w:rPr>
                <w:rFonts w:hAnsi="標楷體"/>
                <w:spacing w:val="-20"/>
                <w:sz w:val="28"/>
                <w:szCs w:val="28"/>
              </w:rPr>
              <w:t>.</w:t>
            </w:r>
            <w:r w:rsidRPr="003D7CD2">
              <w:rPr>
                <w:rFonts w:hAnsi="標楷體" w:hint="eastAsia"/>
                <w:spacing w:val="-20"/>
                <w:sz w:val="28"/>
                <w:szCs w:val="28"/>
              </w:rPr>
              <w:t>描述組織在管理氣候相關風險與機會所使用的目標，以及落實該目標的表現。</w:t>
            </w:r>
          </w:p>
        </w:tc>
      </w:tr>
    </w:tbl>
    <w:p w:rsidR="004D3ECE" w:rsidRDefault="004D3ECE" w:rsidP="004D3ECE">
      <w:pPr>
        <w:pStyle w:val="3"/>
        <w:numPr>
          <w:ilvl w:val="0"/>
          <w:numId w:val="0"/>
        </w:numPr>
        <w:ind w:left="1361"/>
      </w:pPr>
    </w:p>
    <w:p w:rsidR="001C4B91" w:rsidRPr="00327BFF" w:rsidRDefault="00327BFF" w:rsidP="00FC4854">
      <w:pPr>
        <w:pStyle w:val="20"/>
        <w:numPr>
          <w:ilvl w:val="0"/>
          <w:numId w:val="0"/>
        </w:numPr>
        <w:spacing w:beforeLines="30" w:before="137"/>
        <w:ind w:left="851"/>
        <w:rPr>
          <w:b/>
        </w:rPr>
      </w:pPr>
      <w:r w:rsidRPr="00327BFF">
        <w:rPr>
          <w:rFonts w:hAnsi="標楷體"/>
          <w:b/>
          <w:szCs w:val="32"/>
        </w:rPr>
        <w:t>我國金管會</w:t>
      </w:r>
      <w:r w:rsidRPr="00327BFF">
        <w:rPr>
          <w:rFonts w:hAnsi="標楷體" w:hint="eastAsia"/>
          <w:b/>
          <w:szCs w:val="32"/>
        </w:rPr>
        <w:t>亦</w:t>
      </w:r>
      <w:r w:rsidRPr="00327BFF">
        <w:rPr>
          <w:rFonts w:hAnsi="標楷體"/>
          <w:b/>
          <w:szCs w:val="32"/>
        </w:rPr>
        <w:t>已發布推動藍圖，要求</w:t>
      </w:r>
      <w:r w:rsidR="00DB18FE">
        <w:rPr>
          <w:rFonts w:hAnsi="標楷體"/>
          <w:b/>
          <w:szCs w:val="32"/>
        </w:rPr>
        <w:t>上市櫃公司</w:t>
      </w:r>
      <w:r w:rsidRPr="00327BFF">
        <w:rPr>
          <w:rFonts w:hAnsi="標楷體"/>
          <w:b/>
          <w:szCs w:val="32"/>
        </w:rPr>
        <w:t>逐步導入，然而行政院</w:t>
      </w:r>
      <w:r w:rsidRPr="00327BFF">
        <w:rPr>
          <w:rFonts w:hAnsi="標楷體" w:hint="eastAsia"/>
          <w:b/>
          <w:szCs w:val="32"/>
        </w:rPr>
        <w:t>及各國營事業</w:t>
      </w:r>
      <w:r w:rsidRPr="00327BFF">
        <w:rPr>
          <w:rFonts w:hAnsi="標楷體"/>
          <w:b/>
          <w:szCs w:val="32"/>
        </w:rPr>
        <w:t>主管機關在面對審計部建議下，對</w:t>
      </w:r>
      <w:r w:rsidRPr="00327BFF">
        <w:rPr>
          <w:rFonts w:hAnsi="標楷體" w:hint="eastAsia"/>
          <w:b/>
          <w:szCs w:val="32"/>
        </w:rPr>
        <w:t>於</w:t>
      </w:r>
      <w:r w:rsidRPr="00327BFF">
        <w:rPr>
          <w:rFonts w:hAnsi="標楷體"/>
          <w:b/>
          <w:szCs w:val="32"/>
        </w:rPr>
        <w:t>國營事業永續資訊揭露</w:t>
      </w:r>
      <w:r w:rsidR="00AF7612">
        <w:rPr>
          <w:rFonts w:hAnsi="標楷體" w:hint="eastAsia"/>
          <w:b/>
          <w:szCs w:val="32"/>
        </w:rPr>
        <w:t>之</w:t>
      </w:r>
      <w:r w:rsidRPr="00327BFF">
        <w:rPr>
          <w:rFonts w:hAnsi="標楷體"/>
          <w:b/>
          <w:szCs w:val="32"/>
        </w:rPr>
        <w:t>品質與一致性方面存在落差</w:t>
      </w:r>
      <w:r w:rsidRPr="00327BFF">
        <w:rPr>
          <w:rFonts w:hAnsi="標楷體" w:hint="eastAsia"/>
          <w:b/>
          <w:szCs w:val="32"/>
        </w:rPr>
        <w:t>情形，</w:t>
      </w:r>
      <w:r w:rsidR="001355A7">
        <w:rPr>
          <w:rFonts w:hAnsi="標楷體" w:hint="eastAsia"/>
          <w:b/>
          <w:szCs w:val="32"/>
        </w:rPr>
        <w:t>除經濟部外，</w:t>
      </w:r>
      <w:r w:rsidRPr="00327BFF">
        <w:rPr>
          <w:rFonts w:hAnsi="標楷體" w:hint="eastAsia"/>
          <w:b/>
          <w:szCs w:val="32"/>
        </w:rPr>
        <w:t>仍尚未積極</w:t>
      </w:r>
      <w:proofErr w:type="gramStart"/>
      <w:r w:rsidRPr="00327BFF">
        <w:rPr>
          <w:rFonts w:hAnsi="標楷體" w:hint="eastAsia"/>
          <w:b/>
          <w:szCs w:val="32"/>
        </w:rPr>
        <w:t>研</w:t>
      </w:r>
      <w:proofErr w:type="gramEnd"/>
      <w:r w:rsidRPr="00327BFF">
        <w:rPr>
          <w:rFonts w:hAnsi="標楷體" w:hint="eastAsia"/>
          <w:b/>
          <w:szCs w:val="32"/>
        </w:rPr>
        <w:t>擬具</w:t>
      </w:r>
      <w:r w:rsidRPr="00327BFF">
        <w:rPr>
          <w:rFonts w:hAnsi="標楷體" w:hint="eastAsia"/>
          <w:b/>
          <w:szCs w:val="32"/>
        </w:rPr>
        <w:lastRenderedPageBreak/>
        <w:t>體進程計畫，恐難以</w:t>
      </w:r>
      <w:r w:rsidRPr="00327BFF">
        <w:rPr>
          <w:rFonts w:hAnsi="標楷體"/>
          <w:b/>
          <w:szCs w:val="32"/>
        </w:rPr>
        <w:t>公部門</w:t>
      </w:r>
      <w:r w:rsidR="00E61E0B">
        <w:rPr>
          <w:rFonts w:hAnsi="標楷體" w:hint="eastAsia"/>
          <w:b/>
          <w:szCs w:val="32"/>
        </w:rPr>
        <w:t>作為</w:t>
      </w:r>
      <w:r w:rsidRPr="00327BFF">
        <w:rPr>
          <w:rFonts w:hAnsi="標楷體"/>
          <w:b/>
          <w:szCs w:val="32"/>
        </w:rPr>
        <w:t>標竿引領民間企業轉型</w:t>
      </w:r>
      <w:proofErr w:type="gramStart"/>
      <w:r w:rsidRPr="00327BFF">
        <w:rPr>
          <w:rFonts w:hAnsi="標楷體"/>
          <w:b/>
          <w:szCs w:val="32"/>
        </w:rPr>
        <w:t>邁向淨</w:t>
      </w:r>
      <w:proofErr w:type="gramEnd"/>
      <w:r w:rsidRPr="00327BFF">
        <w:rPr>
          <w:rFonts w:hAnsi="標楷體"/>
          <w:b/>
          <w:szCs w:val="32"/>
        </w:rPr>
        <w:t>零</w:t>
      </w:r>
      <w:r w:rsidRPr="00327BFF">
        <w:rPr>
          <w:rFonts w:hAnsi="標楷體" w:hint="eastAsia"/>
          <w:b/>
          <w:szCs w:val="32"/>
        </w:rPr>
        <w:t>，</w:t>
      </w:r>
      <w:r w:rsidRPr="00327BFF">
        <w:rPr>
          <w:rFonts w:hAnsi="標楷體"/>
          <w:b/>
          <w:szCs w:val="32"/>
        </w:rPr>
        <w:t>展現政府落實綠色轉型決心，</w:t>
      </w:r>
      <w:r w:rsidRPr="00327BFF">
        <w:rPr>
          <w:rFonts w:hAnsi="標楷體" w:hint="eastAsia"/>
          <w:b/>
          <w:szCs w:val="32"/>
        </w:rPr>
        <w:t>洵</w:t>
      </w:r>
      <w:proofErr w:type="gramStart"/>
      <w:r w:rsidRPr="00327BFF">
        <w:rPr>
          <w:rFonts w:hAnsi="標楷體" w:hint="eastAsia"/>
          <w:b/>
          <w:szCs w:val="32"/>
        </w:rPr>
        <w:t>有未</w:t>
      </w:r>
      <w:proofErr w:type="gramEnd"/>
      <w:r w:rsidRPr="00327BFF">
        <w:rPr>
          <w:rFonts w:hAnsi="標楷體" w:hint="eastAsia"/>
          <w:b/>
          <w:szCs w:val="32"/>
        </w:rPr>
        <w:t>洽</w:t>
      </w:r>
      <w:r w:rsidR="00575C33" w:rsidRPr="00327BFF">
        <w:rPr>
          <w:rFonts w:hint="eastAsia"/>
          <w:b/>
        </w:rPr>
        <w:t>：</w:t>
      </w:r>
    </w:p>
    <w:p w:rsidR="00ED32B8" w:rsidRPr="00B96D7C" w:rsidRDefault="00ED32B8" w:rsidP="00C572D5">
      <w:pPr>
        <w:pStyle w:val="3"/>
        <w:spacing w:beforeLines="30" w:before="137"/>
        <w:ind w:hanging="680"/>
        <w:rPr>
          <w:spacing w:val="2"/>
          <w:szCs w:val="32"/>
        </w:rPr>
      </w:pPr>
      <w:r>
        <w:rPr>
          <w:rFonts w:hint="eastAsia"/>
        </w:rPr>
        <w:t>據</w:t>
      </w:r>
      <w:r w:rsidRPr="000A5FAB">
        <w:rPr>
          <w:rFonts w:hint="eastAsia"/>
        </w:rPr>
        <w:t>審計部</w:t>
      </w:r>
      <w:proofErr w:type="gramStart"/>
      <w:r w:rsidRPr="00ED32B8">
        <w:rPr>
          <w:rFonts w:hint="eastAsia"/>
        </w:rPr>
        <w:t>1</w:t>
      </w:r>
      <w:r w:rsidRPr="00ED32B8">
        <w:t>1</w:t>
      </w:r>
      <w:r w:rsidRPr="00ED32B8">
        <w:rPr>
          <w:rFonts w:hint="eastAsia"/>
        </w:rPr>
        <w:t>2</w:t>
      </w:r>
      <w:proofErr w:type="gramEnd"/>
      <w:r w:rsidRPr="00ED32B8">
        <w:rPr>
          <w:rFonts w:hint="eastAsia"/>
        </w:rPr>
        <w:t>年度中央政府總決算審核通知</w:t>
      </w:r>
      <w:r w:rsidR="00B96D7C">
        <w:rPr>
          <w:rFonts w:hint="eastAsia"/>
        </w:rPr>
        <w:t>略以</w:t>
      </w:r>
      <w:r w:rsidRPr="000A5FAB">
        <w:rPr>
          <w:rFonts w:hint="eastAsia"/>
        </w:rPr>
        <w:t>：</w:t>
      </w:r>
      <w:r w:rsidRPr="00B96D7C">
        <w:rPr>
          <w:rFonts w:hint="eastAsia"/>
          <w:spacing w:val="2"/>
          <w:szCs w:val="32"/>
        </w:rPr>
        <w:t>經濟部、財政部及交通部所屬之台電公司等</w:t>
      </w:r>
      <w:r w:rsidRPr="00B96D7C">
        <w:rPr>
          <w:spacing w:val="2"/>
          <w:szCs w:val="32"/>
        </w:rPr>
        <w:t>11</w:t>
      </w:r>
      <w:r w:rsidRPr="00B96D7C">
        <w:rPr>
          <w:rFonts w:hint="eastAsia"/>
          <w:spacing w:val="2"/>
          <w:szCs w:val="32"/>
        </w:rPr>
        <w:t>家公司組織之國營事業，</w:t>
      </w:r>
      <w:proofErr w:type="gramStart"/>
      <w:r w:rsidRPr="00B96D7C">
        <w:rPr>
          <w:rFonts w:hint="eastAsia"/>
          <w:spacing w:val="2"/>
          <w:szCs w:val="32"/>
        </w:rPr>
        <w:t>1</w:t>
      </w:r>
      <w:r w:rsidRPr="00B96D7C">
        <w:rPr>
          <w:spacing w:val="2"/>
          <w:szCs w:val="32"/>
        </w:rPr>
        <w:t>12</w:t>
      </w:r>
      <w:r w:rsidRPr="00B96D7C">
        <w:rPr>
          <w:rFonts w:hint="eastAsia"/>
          <w:spacing w:val="2"/>
          <w:szCs w:val="32"/>
        </w:rPr>
        <w:t>年度均係</w:t>
      </w:r>
      <w:proofErr w:type="gramEnd"/>
      <w:r w:rsidRPr="00B96D7C">
        <w:rPr>
          <w:rFonts w:hint="eastAsia"/>
          <w:spacing w:val="2"/>
          <w:szCs w:val="32"/>
        </w:rPr>
        <w:t>依循</w:t>
      </w:r>
      <w:r w:rsidRPr="00B96D7C">
        <w:rPr>
          <w:spacing w:val="2"/>
          <w:szCs w:val="32"/>
        </w:rPr>
        <w:t>GRI</w:t>
      </w:r>
      <w:r w:rsidRPr="00B96D7C">
        <w:rPr>
          <w:rFonts w:hint="eastAsia"/>
          <w:spacing w:val="2"/>
          <w:szCs w:val="32"/>
        </w:rPr>
        <w:t>準則</w:t>
      </w:r>
      <w:proofErr w:type="gramStart"/>
      <w:r w:rsidRPr="00B96D7C">
        <w:rPr>
          <w:rFonts w:hint="eastAsia"/>
          <w:spacing w:val="2"/>
          <w:szCs w:val="32"/>
        </w:rPr>
        <w:t>編製永</w:t>
      </w:r>
      <w:proofErr w:type="gramEnd"/>
      <w:r w:rsidRPr="00B96D7C">
        <w:rPr>
          <w:rFonts w:hint="eastAsia"/>
          <w:spacing w:val="2"/>
          <w:szCs w:val="32"/>
        </w:rPr>
        <w:t>續報告書，惟未來若導入</w:t>
      </w:r>
      <w:r w:rsidR="00DB18FE">
        <w:rPr>
          <w:rFonts w:hint="eastAsia"/>
          <w:spacing w:val="2"/>
          <w:szCs w:val="32"/>
        </w:rPr>
        <w:t>IFRS S1/S2</w:t>
      </w:r>
      <w:r w:rsidRPr="00B96D7C">
        <w:rPr>
          <w:rFonts w:hint="eastAsia"/>
          <w:spacing w:val="2"/>
          <w:szCs w:val="32"/>
        </w:rPr>
        <w:t>，其差異事項包含：永續資訊之</w:t>
      </w:r>
      <w:proofErr w:type="gramStart"/>
      <w:r w:rsidRPr="00B96D7C">
        <w:rPr>
          <w:rFonts w:hint="eastAsia"/>
          <w:spacing w:val="2"/>
          <w:szCs w:val="32"/>
        </w:rPr>
        <w:t>攸</w:t>
      </w:r>
      <w:proofErr w:type="gramEnd"/>
      <w:r w:rsidRPr="00B96D7C">
        <w:rPr>
          <w:rFonts w:hint="eastAsia"/>
          <w:spacing w:val="2"/>
          <w:szCs w:val="32"/>
        </w:rPr>
        <w:t>關性及可驗證性、應公允表達可合理預期將影響事業未來展望之永續相關風險與機會、應辨認與永續相關財務揭露有關之財務報表等項，又其須揭露與永續相關風險與機會資訊，可能影響事業現金流或籌資成本等資訊，亦與各該事業現行年度決算書等財務報告係側重歷史財務資訊之表達有所不同；又檢視現有國營事業，如台電公司須配合政府2</w:t>
      </w:r>
      <w:r w:rsidRPr="00B96D7C">
        <w:rPr>
          <w:spacing w:val="2"/>
          <w:szCs w:val="32"/>
        </w:rPr>
        <w:t>050</w:t>
      </w:r>
      <w:proofErr w:type="gramStart"/>
      <w:r w:rsidRPr="00B96D7C">
        <w:rPr>
          <w:rFonts w:hint="eastAsia"/>
          <w:spacing w:val="2"/>
          <w:szCs w:val="32"/>
        </w:rPr>
        <w:t>淨零排放</w:t>
      </w:r>
      <w:proofErr w:type="gramEnd"/>
      <w:r w:rsidRPr="00B96D7C">
        <w:rPr>
          <w:rFonts w:hint="eastAsia"/>
          <w:spacing w:val="2"/>
          <w:szCs w:val="32"/>
        </w:rPr>
        <w:t>政策，推動「</w:t>
      </w:r>
      <w:proofErr w:type="gramStart"/>
      <w:r w:rsidRPr="00B96D7C">
        <w:rPr>
          <w:rFonts w:hint="eastAsia"/>
          <w:spacing w:val="2"/>
          <w:szCs w:val="32"/>
        </w:rPr>
        <w:t>增氣、減</w:t>
      </w:r>
      <w:proofErr w:type="gramEnd"/>
      <w:r w:rsidRPr="00B96D7C">
        <w:rPr>
          <w:rFonts w:hint="eastAsia"/>
          <w:spacing w:val="2"/>
          <w:szCs w:val="32"/>
        </w:rPr>
        <w:t>煤、展綠、非核」為主軸之能源轉型，並為籌募風力、水力、地熱等再生能源發電計畫所需經費，發行綠色債券，且據環境部登錄資料，該公司1</w:t>
      </w:r>
      <w:r w:rsidRPr="00B96D7C">
        <w:rPr>
          <w:spacing w:val="2"/>
          <w:szCs w:val="32"/>
        </w:rPr>
        <w:t>12</w:t>
      </w:r>
      <w:r w:rsidRPr="00B96D7C">
        <w:rPr>
          <w:rFonts w:hint="eastAsia"/>
          <w:spacing w:val="2"/>
          <w:szCs w:val="32"/>
        </w:rPr>
        <w:t>年溫室氣體排放量</w:t>
      </w:r>
      <w:r w:rsidR="00352F57">
        <w:rPr>
          <w:rFonts w:hint="eastAsia"/>
          <w:spacing w:val="2"/>
          <w:szCs w:val="32"/>
        </w:rPr>
        <w:t>仍</w:t>
      </w:r>
      <w:r w:rsidRPr="00B96D7C">
        <w:rPr>
          <w:rFonts w:hint="eastAsia"/>
          <w:spacing w:val="2"/>
          <w:szCs w:val="32"/>
        </w:rPr>
        <w:t>高達</w:t>
      </w:r>
      <w:r w:rsidRPr="00B96D7C">
        <w:rPr>
          <w:spacing w:val="2"/>
          <w:szCs w:val="32"/>
        </w:rPr>
        <w:t>7.56</w:t>
      </w:r>
      <w:r w:rsidRPr="00B96D7C">
        <w:rPr>
          <w:rFonts w:hint="eastAsia"/>
          <w:spacing w:val="2"/>
          <w:szCs w:val="32"/>
        </w:rPr>
        <w:t>億公噸</w:t>
      </w:r>
      <w:r w:rsidR="00352F57">
        <w:rPr>
          <w:rFonts w:hint="eastAsia"/>
          <w:spacing w:val="2"/>
          <w:szCs w:val="32"/>
        </w:rPr>
        <w:t>，2</w:t>
      </w:r>
      <w:r w:rsidR="00352F57">
        <w:rPr>
          <w:spacing w:val="2"/>
          <w:szCs w:val="32"/>
        </w:rPr>
        <w:t>050</w:t>
      </w:r>
      <w:r w:rsidR="00352F57">
        <w:rPr>
          <w:rFonts w:hint="eastAsia"/>
          <w:spacing w:val="2"/>
          <w:szCs w:val="32"/>
        </w:rPr>
        <w:t>年能否達標，</w:t>
      </w:r>
      <w:proofErr w:type="gramStart"/>
      <w:r w:rsidR="00352F57">
        <w:rPr>
          <w:rFonts w:hint="eastAsia"/>
          <w:spacing w:val="2"/>
          <w:szCs w:val="32"/>
        </w:rPr>
        <w:t>實足</w:t>
      </w:r>
      <w:proofErr w:type="gramEnd"/>
      <w:r w:rsidR="00352F57">
        <w:rPr>
          <w:rFonts w:hint="eastAsia"/>
          <w:spacing w:val="2"/>
          <w:szCs w:val="32"/>
        </w:rPr>
        <w:t>堪慮</w:t>
      </w:r>
      <w:r w:rsidRPr="00B96D7C">
        <w:rPr>
          <w:rFonts w:hint="eastAsia"/>
          <w:spacing w:val="2"/>
          <w:szCs w:val="32"/>
        </w:rPr>
        <w:t>；國內石化產業龍頭之中油公司，亦面臨</w:t>
      </w:r>
      <w:proofErr w:type="gramStart"/>
      <w:r w:rsidRPr="00B96D7C">
        <w:rPr>
          <w:rFonts w:hint="eastAsia"/>
          <w:spacing w:val="2"/>
          <w:szCs w:val="32"/>
        </w:rPr>
        <w:t>全球減碳意識</w:t>
      </w:r>
      <w:proofErr w:type="gramEnd"/>
      <w:r w:rsidRPr="00B96D7C">
        <w:rPr>
          <w:rFonts w:hint="eastAsia"/>
          <w:spacing w:val="2"/>
          <w:szCs w:val="32"/>
        </w:rPr>
        <w:t>抬頭驅動能源需求結構改變之壓力；</w:t>
      </w:r>
      <w:proofErr w:type="gramStart"/>
      <w:r w:rsidRPr="00B96D7C">
        <w:rPr>
          <w:rFonts w:hint="eastAsia"/>
          <w:spacing w:val="2"/>
          <w:szCs w:val="32"/>
        </w:rPr>
        <w:t>台水公司</w:t>
      </w:r>
      <w:proofErr w:type="gramEnd"/>
      <w:r w:rsidRPr="00B96D7C">
        <w:rPr>
          <w:rFonts w:hint="eastAsia"/>
          <w:spacing w:val="2"/>
          <w:szCs w:val="32"/>
        </w:rPr>
        <w:t>之穩定供水、輸水效率及管線韌性及集水區保育，</w:t>
      </w:r>
      <w:proofErr w:type="gramStart"/>
      <w:r w:rsidRPr="00B96D7C">
        <w:rPr>
          <w:rFonts w:hint="eastAsia"/>
          <w:spacing w:val="2"/>
          <w:szCs w:val="32"/>
        </w:rPr>
        <w:t>均與氣</w:t>
      </w:r>
      <w:proofErr w:type="gramEnd"/>
      <w:r w:rsidRPr="00B96D7C">
        <w:rPr>
          <w:rFonts w:hint="eastAsia"/>
          <w:spacing w:val="2"/>
          <w:szCs w:val="32"/>
        </w:rPr>
        <w:t>候變遷息息相關；</w:t>
      </w:r>
      <w:proofErr w:type="gramStart"/>
      <w:r w:rsidRPr="00B96D7C">
        <w:rPr>
          <w:rFonts w:hint="eastAsia"/>
          <w:spacing w:val="2"/>
          <w:szCs w:val="32"/>
        </w:rPr>
        <w:t>臺</w:t>
      </w:r>
      <w:proofErr w:type="gramEnd"/>
      <w:r w:rsidRPr="00B96D7C">
        <w:rPr>
          <w:rFonts w:hint="eastAsia"/>
          <w:spacing w:val="2"/>
          <w:szCs w:val="32"/>
        </w:rPr>
        <w:t>金公司及土銀公司等金融國營事業，透過投、融資等方式引導資金</w:t>
      </w:r>
      <w:proofErr w:type="gramStart"/>
      <w:r w:rsidRPr="00B96D7C">
        <w:rPr>
          <w:rFonts w:hint="eastAsia"/>
          <w:spacing w:val="2"/>
          <w:szCs w:val="32"/>
        </w:rPr>
        <w:t>挹注綠</w:t>
      </w:r>
      <w:proofErr w:type="gramEnd"/>
      <w:r w:rsidRPr="00B96D7C">
        <w:rPr>
          <w:rFonts w:hint="eastAsia"/>
          <w:spacing w:val="2"/>
          <w:szCs w:val="32"/>
        </w:rPr>
        <w:t>能產業；</w:t>
      </w:r>
      <w:proofErr w:type="gramStart"/>
      <w:r w:rsidRPr="00B96D7C">
        <w:rPr>
          <w:rFonts w:hint="eastAsia"/>
          <w:spacing w:val="2"/>
          <w:szCs w:val="32"/>
        </w:rPr>
        <w:t>桃機公司</w:t>
      </w:r>
      <w:proofErr w:type="gramEnd"/>
      <w:r w:rsidRPr="00B96D7C">
        <w:rPr>
          <w:rFonts w:hint="eastAsia"/>
          <w:spacing w:val="2"/>
          <w:szCs w:val="32"/>
        </w:rPr>
        <w:t>亦須帶領航空公司共同推動</w:t>
      </w:r>
      <w:proofErr w:type="gramStart"/>
      <w:r w:rsidRPr="00B96D7C">
        <w:rPr>
          <w:rFonts w:hint="eastAsia"/>
          <w:spacing w:val="2"/>
          <w:szCs w:val="32"/>
        </w:rPr>
        <w:t>減碳</w:t>
      </w:r>
      <w:proofErr w:type="gramEnd"/>
      <w:r w:rsidRPr="00B96D7C">
        <w:rPr>
          <w:rFonts w:hint="eastAsia"/>
          <w:spacing w:val="2"/>
          <w:szCs w:val="32"/>
        </w:rPr>
        <w:t>永續行動目標。考量永續相關風險及機會與各事業主要營運項目、產銷計畫未來展望相關，並因部分事業發行永續債券或辦理永續投、融資業務，將可能影響事業之現金流量或籌資成本</w:t>
      </w:r>
      <w:r w:rsidRPr="00B96D7C">
        <w:rPr>
          <w:rFonts w:cstheme="minorBidi" w:hint="eastAsia"/>
          <w:szCs w:val="32"/>
        </w:rPr>
        <w:t>，經函請行政院督促各主管機關妥為規</w:t>
      </w:r>
      <w:r w:rsidRPr="00B96D7C">
        <w:rPr>
          <w:rFonts w:cstheme="minorBidi" w:hint="eastAsia"/>
          <w:szCs w:val="32"/>
        </w:rPr>
        <w:lastRenderedPageBreak/>
        <w:t>劃國營事業導入國際永續揭露準則實施計畫，以提升國營事業永續資訊揭露品質。據復：財政部、經濟部、交通部等主管機關將持續督導所屬國營事業依循國際永續揭露準則，及金管會推動接軌</w:t>
      </w:r>
      <w:r w:rsidRPr="00B96D7C">
        <w:rPr>
          <w:rFonts w:cstheme="minorBidi"/>
          <w:szCs w:val="32"/>
        </w:rPr>
        <w:t>IFRS永續揭露準則期程，持續</w:t>
      </w:r>
      <w:proofErr w:type="gramStart"/>
      <w:r w:rsidRPr="00B96D7C">
        <w:rPr>
          <w:rFonts w:cstheme="minorBidi"/>
          <w:szCs w:val="32"/>
        </w:rPr>
        <w:t>優化永</w:t>
      </w:r>
      <w:proofErr w:type="gramEnd"/>
      <w:r w:rsidRPr="00B96D7C">
        <w:rPr>
          <w:rFonts w:cstheme="minorBidi"/>
          <w:szCs w:val="32"/>
        </w:rPr>
        <w:t>續資訊揭露品質</w:t>
      </w:r>
      <w:r w:rsidRPr="00B96D7C">
        <w:rPr>
          <w:rFonts w:hint="eastAsia"/>
          <w:spacing w:val="2"/>
          <w:szCs w:val="32"/>
        </w:rPr>
        <w:t>。</w:t>
      </w:r>
    </w:p>
    <w:p w:rsidR="00782787" w:rsidRPr="006A649E" w:rsidRDefault="005F43C8" w:rsidP="00C572D5">
      <w:pPr>
        <w:pStyle w:val="3"/>
        <w:spacing w:beforeLines="30" w:before="137"/>
        <w:ind w:hanging="680"/>
        <w:rPr>
          <w:rFonts w:hAnsi="標楷體" w:cstheme="minorBidi"/>
          <w:szCs w:val="32"/>
        </w:rPr>
      </w:pPr>
      <w:proofErr w:type="gramStart"/>
      <w:r>
        <w:rPr>
          <w:rFonts w:hint="eastAsia"/>
        </w:rPr>
        <w:t>嗣</w:t>
      </w:r>
      <w:proofErr w:type="gramEnd"/>
      <w:r>
        <w:rPr>
          <w:rFonts w:hint="eastAsia"/>
        </w:rPr>
        <w:t>經本院函詢行政院</w:t>
      </w:r>
      <w:r w:rsidRPr="00531DDA">
        <w:rPr>
          <w:rFonts w:hint="eastAsia"/>
        </w:rPr>
        <w:t>主計總處</w:t>
      </w:r>
      <w:r>
        <w:rPr>
          <w:rFonts w:hint="eastAsia"/>
        </w:rPr>
        <w:t>回復，該處</w:t>
      </w:r>
      <w:r w:rsidRPr="00531DDA">
        <w:rPr>
          <w:rFonts w:hint="eastAsia"/>
        </w:rPr>
        <w:t>未來將參考金管會規劃時程及</w:t>
      </w:r>
      <w:r w:rsidR="00DB18FE">
        <w:rPr>
          <w:rFonts w:hint="eastAsia"/>
        </w:rPr>
        <w:t>上市櫃公司</w:t>
      </w:r>
      <w:r w:rsidRPr="00531DDA">
        <w:rPr>
          <w:rFonts w:hint="eastAsia"/>
        </w:rPr>
        <w:t>年報永續資訊揭露項目與內容，分階段檢討國營事業預</w:t>
      </w:r>
      <w:r>
        <w:rPr>
          <w:rFonts w:hint="eastAsia"/>
        </w:rPr>
        <w:t>(</w:t>
      </w:r>
      <w:r w:rsidRPr="00531DDA">
        <w:rPr>
          <w:rFonts w:hint="eastAsia"/>
        </w:rPr>
        <w:t>決</w:t>
      </w:r>
      <w:r>
        <w:rPr>
          <w:rFonts w:hint="eastAsia"/>
        </w:rPr>
        <w:t>)</w:t>
      </w:r>
      <w:r w:rsidRPr="00531DDA">
        <w:rPr>
          <w:rFonts w:hint="eastAsia"/>
        </w:rPr>
        <w:t>算書表格式，依重要性原則，督促國營事業主管機關強化揭露各事業與財務攸關之永續發展資訊</w:t>
      </w:r>
      <w:r w:rsidRPr="002A4892">
        <w:rPr>
          <w:rFonts w:hAnsi="標楷體" w:hint="eastAsia"/>
          <w:szCs w:val="32"/>
        </w:rPr>
        <w:t>。</w:t>
      </w:r>
      <w:r>
        <w:rPr>
          <w:rFonts w:hAnsi="標楷體" w:hint="eastAsia"/>
          <w:szCs w:val="32"/>
        </w:rPr>
        <w:t>復據行政院函復，</w:t>
      </w:r>
      <w:r w:rsidRPr="002A4892">
        <w:rPr>
          <w:rFonts w:hAnsi="標楷體" w:hint="eastAsia"/>
          <w:szCs w:val="32"/>
        </w:rPr>
        <w:t>部分事業已設有永續發展委員會，負責監督及管理氣候相關風險與機會對公司營運之影響，並就治理、策略、風險管理、指標與目標等面向適時揭露相關資訊，以提升永續資訊揭露品質</w:t>
      </w:r>
      <w:r w:rsidRPr="00531DDA">
        <w:rPr>
          <w:rFonts w:hint="eastAsia"/>
        </w:rPr>
        <w:t>。</w:t>
      </w:r>
      <w:proofErr w:type="gramStart"/>
      <w:r>
        <w:rPr>
          <w:rFonts w:hint="eastAsia"/>
        </w:rPr>
        <w:t>惟</w:t>
      </w:r>
      <w:proofErr w:type="gramEnd"/>
      <w:r w:rsidR="00327BFF">
        <w:rPr>
          <w:rFonts w:hint="eastAsia"/>
        </w:rPr>
        <w:t>誠</w:t>
      </w:r>
      <w:r w:rsidR="006A649E">
        <w:rPr>
          <w:rFonts w:hint="eastAsia"/>
        </w:rPr>
        <w:t>如本案調查意見</w:t>
      </w:r>
      <w:proofErr w:type="gramStart"/>
      <w:r w:rsidR="006A649E">
        <w:rPr>
          <w:rFonts w:hint="eastAsia"/>
        </w:rPr>
        <w:t>一所</w:t>
      </w:r>
      <w:proofErr w:type="gramEnd"/>
      <w:r w:rsidR="006A649E">
        <w:rPr>
          <w:rFonts w:hint="eastAsia"/>
        </w:rPr>
        <w:t>述，</w:t>
      </w:r>
      <w:r w:rsidR="006A649E" w:rsidRPr="00040AEA">
        <w:rPr>
          <w:rFonts w:hint="eastAsia"/>
        </w:rPr>
        <w:t>截至1</w:t>
      </w:r>
      <w:r w:rsidR="006A649E" w:rsidRPr="00040AEA">
        <w:t>13</w:t>
      </w:r>
      <w:r w:rsidR="006A649E" w:rsidRPr="00040AEA">
        <w:rPr>
          <w:rFonts w:hint="eastAsia"/>
        </w:rPr>
        <w:t>年止，</w:t>
      </w:r>
      <w:r w:rsidR="006A649E">
        <w:rPr>
          <w:rFonts w:hint="eastAsia"/>
        </w:rPr>
        <w:t>1</w:t>
      </w:r>
      <w:r w:rsidR="006A649E">
        <w:t>7</w:t>
      </w:r>
      <w:r w:rsidR="006A649E">
        <w:rPr>
          <w:rFonts w:hint="eastAsia"/>
        </w:rPr>
        <w:t>家</w:t>
      </w:r>
      <w:r w:rsidR="006A649E" w:rsidRPr="00040AEA">
        <w:rPr>
          <w:rFonts w:hint="eastAsia"/>
        </w:rPr>
        <w:t>國營事業</w:t>
      </w:r>
      <w:r w:rsidR="006A649E">
        <w:rPr>
          <w:rFonts w:hint="eastAsia"/>
        </w:rPr>
        <w:t>中，</w:t>
      </w:r>
      <w:r w:rsidR="006A649E" w:rsidRPr="00531DDA">
        <w:rPr>
          <w:rFonts w:hint="eastAsia"/>
        </w:rPr>
        <w:t>除</w:t>
      </w:r>
      <w:r w:rsidR="006A649E" w:rsidRPr="00A574B9">
        <w:rPr>
          <w:rFonts w:hint="eastAsia"/>
        </w:rPr>
        <w:t>臺鐵公司、中央銀行、中央印製廠、中央造幣廠、財政部印刷廠等</w:t>
      </w:r>
      <w:r w:rsidR="006A649E">
        <w:rPr>
          <w:rFonts w:hint="eastAsia"/>
        </w:rPr>
        <w:t>5家</w:t>
      </w:r>
      <w:r w:rsidR="006A649E" w:rsidRPr="00A574B9">
        <w:rPr>
          <w:rFonts w:hint="eastAsia"/>
        </w:rPr>
        <w:t>，</w:t>
      </w:r>
      <w:r w:rsidR="006A649E">
        <w:rPr>
          <w:rFonts w:hint="eastAsia"/>
        </w:rPr>
        <w:t>仍</w:t>
      </w:r>
      <w:r w:rsidR="006A649E" w:rsidRPr="00A574B9">
        <w:rPr>
          <w:rFonts w:hint="eastAsia"/>
        </w:rPr>
        <w:t>未完全依循GRI準則</w:t>
      </w:r>
      <w:proofErr w:type="gramStart"/>
      <w:r w:rsidR="006A649E" w:rsidRPr="00A574B9">
        <w:rPr>
          <w:rFonts w:hint="eastAsia"/>
        </w:rPr>
        <w:t>編製永</w:t>
      </w:r>
      <w:proofErr w:type="gramEnd"/>
      <w:r w:rsidR="006A649E" w:rsidRPr="00A574B9">
        <w:rPr>
          <w:rFonts w:hint="eastAsia"/>
        </w:rPr>
        <w:t>續報告書</w:t>
      </w:r>
      <w:r w:rsidR="006A649E" w:rsidRPr="00531DDA">
        <w:rPr>
          <w:rFonts w:hint="eastAsia"/>
        </w:rPr>
        <w:t>外，其餘</w:t>
      </w:r>
      <w:r w:rsidR="006A649E">
        <w:rPr>
          <w:rFonts w:hint="eastAsia"/>
        </w:rPr>
        <w:t>1</w:t>
      </w:r>
      <w:r w:rsidR="006A649E">
        <w:t>2</w:t>
      </w:r>
      <w:r w:rsidR="006A649E">
        <w:rPr>
          <w:rFonts w:hint="eastAsia"/>
        </w:rPr>
        <w:t>家</w:t>
      </w:r>
      <w:r w:rsidR="006A649E" w:rsidRPr="00531DDA">
        <w:rPr>
          <w:rFonts w:hint="eastAsia"/>
        </w:rPr>
        <w:t>國營事業自103年起，已陸續導入GRI準則</w:t>
      </w:r>
      <w:proofErr w:type="gramStart"/>
      <w:r w:rsidR="006A649E" w:rsidRPr="00531DDA">
        <w:rPr>
          <w:rFonts w:hint="eastAsia"/>
        </w:rPr>
        <w:t>編製永</w:t>
      </w:r>
      <w:proofErr w:type="gramEnd"/>
      <w:r w:rsidR="006A649E" w:rsidRPr="00531DDA">
        <w:rPr>
          <w:rFonts w:hint="eastAsia"/>
        </w:rPr>
        <w:t>續報告書</w:t>
      </w:r>
      <w:r w:rsidR="006A649E">
        <w:rPr>
          <w:rFonts w:hint="eastAsia"/>
        </w:rPr>
        <w:t>，</w:t>
      </w:r>
      <w:r w:rsidR="006A649E" w:rsidRPr="00A94505">
        <w:rPr>
          <w:rFonts w:hint="eastAsia"/>
        </w:rPr>
        <w:t>惟</w:t>
      </w:r>
      <w:r w:rsidR="006A649E">
        <w:rPr>
          <w:rFonts w:hint="eastAsia"/>
        </w:rPr>
        <w:t>僅見經濟</w:t>
      </w:r>
      <w:r w:rsidR="006A649E" w:rsidRPr="00E617AF">
        <w:rPr>
          <w:rFonts w:hint="eastAsia"/>
        </w:rPr>
        <w:t>部</w:t>
      </w:r>
      <w:r w:rsidR="006A649E">
        <w:rPr>
          <w:rFonts w:hint="eastAsia"/>
        </w:rPr>
        <w:t>要</w:t>
      </w:r>
      <w:r w:rsidR="006A649E" w:rsidRPr="00E617AF">
        <w:rPr>
          <w:rFonts w:hint="eastAsia"/>
        </w:rPr>
        <w:t>求所屬國營事業規劃自</w:t>
      </w:r>
      <w:proofErr w:type="gramStart"/>
      <w:r w:rsidR="006A649E" w:rsidRPr="00E617AF">
        <w:rPr>
          <w:rFonts w:hint="eastAsia"/>
        </w:rPr>
        <w:t>11</w:t>
      </w:r>
      <w:proofErr w:type="gramEnd"/>
      <w:r w:rsidR="006A649E" w:rsidRPr="00E617AF">
        <w:rPr>
          <w:rFonts w:hint="eastAsia"/>
        </w:rPr>
        <w:t xml:space="preserve">6年度導入IFRS </w:t>
      </w:r>
      <w:r w:rsidR="0053427E">
        <w:rPr>
          <w:rFonts w:hint="eastAsia"/>
        </w:rPr>
        <w:t>S1/S2</w:t>
      </w:r>
      <w:r w:rsidR="006A649E">
        <w:rPr>
          <w:rFonts w:hint="eastAsia"/>
        </w:rPr>
        <w:t>，足見</w:t>
      </w:r>
      <w:r w:rsidR="006A649E">
        <w:t>部分</w:t>
      </w:r>
      <w:r w:rsidR="006A649E">
        <w:rPr>
          <w:rFonts w:hint="eastAsia"/>
        </w:rPr>
        <w:t>國營</w:t>
      </w:r>
      <w:r w:rsidR="006A649E">
        <w:t>事業在永續治理上仍有落差，資訊透明度亦不足</w:t>
      </w:r>
      <w:r w:rsidR="006A649E">
        <w:rPr>
          <w:rFonts w:hint="eastAsia"/>
        </w:rPr>
        <w:t>，</w:t>
      </w:r>
      <w:r w:rsidR="006A649E">
        <w:t>揭露層次與國際實務仍存在明顯差距</w:t>
      </w:r>
      <w:r w:rsidR="006A649E">
        <w:rPr>
          <w:rFonts w:hint="eastAsia"/>
        </w:rPr>
        <w:t>。</w:t>
      </w:r>
    </w:p>
    <w:p w:rsidR="00AD032B" w:rsidRDefault="00F44E3F" w:rsidP="00C572D5">
      <w:pPr>
        <w:pStyle w:val="3"/>
        <w:spacing w:beforeLines="30" w:before="137"/>
        <w:ind w:hanging="680"/>
        <w:rPr>
          <w:rFonts w:hAnsi="標楷體"/>
          <w:szCs w:val="32"/>
        </w:rPr>
      </w:pPr>
      <w:r>
        <w:rPr>
          <w:rFonts w:hAnsi="標楷體" w:hint="eastAsia"/>
          <w:szCs w:val="32"/>
        </w:rPr>
        <w:t>基</w:t>
      </w:r>
      <w:r w:rsidR="006A649E" w:rsidRPr="006A649E">
        <w:rPr>
          <w:rFonts w:hAnsi="標楷體" w:hint="eastAsia"/>
          <w:szCs w:val="32"/>
        </w:rPr>
        <w:t>上，</w:t>
      </w:r>
      <w:r w:rsidR="006A649E" w:rsidRPr="006A649E">
        <w:rPr>
          <w:rFonts w:hAnsi="標楷體"/>
          <w:szCs w:val="32"/>
        </w:rPr>
        <w:t>自2023年IFRS永續揭露準則正式發布以來，</w:t>
      </w:r>
      <w:r w:rsidR="006A649E">
        <w:t xml:space="preserve">IFRS </w:t>
      </w:r>
      <w:r w:rsidR="0053427E">
        <w:t>S1/S2</w:t>
      </w:r>
      <w:r w:rsidR="006A649E">
        <w:t>係全球最新標準，強調永續資訊與財務報表整合揭露，涵蓋企業對氣候變遷風險之財務影響分析，對投資者與利害關係人具高度參考價值</w:t>
      </w:r>
      <w:r w:rsidR="006A649E">
        <w:rPr>
          <w:rFonts w:hint="eastAsia"/>
        </w:rPr>
        <w:t>，</w:t>
      </w:r>
      <w:r w:rsidR="006A649E" w:rsidRPr="006A649E">
        <w:rPr>
          <w:rFonts w:hAnsi="標楷體"/>
          <w:szCs w:val="32"/>
        </w:rPr>
        <w:t>全球主要</w:t>
      </w:r>
      <w:proofErr w:type="gramStart"/>
      <w:r w:rsidR="006A649E" w:rsidRPr="006A649E">
        <w:rPr>
          <w:rFonts w:hAnsi="標楷體"/>
          <w:szCs w:val="32"/>
        </w:rPr>
        <w:t>經濟體均已展開</w:t>
      </w:r>
      <w:proofErr w:type="gramEnd"/>
      <w:r w:rsidR="006A649E" w:rsidRPr="006A649E">
        <w:rPr>
          <w:rFonts w:hAnsi="標楷體"/>
          <w:szCs w:val="32"/>
        </w:rPr>
        <w:t>接軌作業，特別針對氣候相關財務資訊揭露提出強化要求，強調企業應揭示</w:t>
      </w:r>
      <w:r w:rsidR="006A649E" w:rsidRPr="006A649E">
        <w:rPr>
          <w:rFonts w:hAnsi="標楷體"/>
          <w:szCs w:val="32"/>
        </w:rPr>
        <w:lastRenderedPageBreak/>
        <w:t>其如何受氣候變遷影響及應對措施的財務意涵。我國金管會</w:t>
      </w:r>
      <w:r w:rsidR="006A649E" w:rsidRPr="006A649E">
        <w:rPr>
          <w:rFonts w:hAnsi="標楷體" w:hint="eastAsia"/>
          <w:szCs w:val="32"/>
        </w:rPr>
        <w:t>亦</w:t>
      </w:r>
      <w:r w:rsidR="006A649E" w:rsidRPr="006A649E">
        <w:rPr>
          <w:rFonts w:hAnsi="標楷體"/>
          <w:szCs w:val="32"/>
        </w:rPr>
        <w:t>已發布推動藍圖，要求</w:t>
      </w:r>
      <w:r w:rsidR="00DB18FE">
        <w:rPr>
          <w:rFonts w:hAnsi="標楷體"/>
          <w:szCs w:val="32"/>
        </w:rPr>
        <w:t>上市櫃公司</w:t>
      </w:r>
      <w:r w:rsidR="006A649E" w:rsidRPr="006A649E">
        <w:rPr>
          <w:rFonts w:hAnsi="標楷體"/>
          <w:szCs w:val="32"/>
        </w:rPr>
        <w:t>逐步導入，然而行政院</w:t>
      </w:r>
      <w:r w:rsidR="006A649E" w:rsidRPr="006A649E">
        <w:rPr>
          <w:rFonts w:hAnsi="標楷體" w:hint="eastAsia"/>
          <w:szCs w:val="32"/>
        </w:rPr>
        <w:t>及各國營事業</w:t>
      </w:r>
      <w:r w:rsidR="006A649E" w:rsidRPr="006A649E">
        <w:rPr>
          <w:rFonts w:hAnsi="標楷體"/>
          <w:szCs w:val="32"/>
        </w:rPr>
        <w:t>主管機關在面對審計部建議下，對</w:t>
      </w:r>
      <w:r w:rsidR="006A649E" w:rsidRPr="006A649E">
        <w:rPr>
          <w:rFonts w:hAnsi="標楷體" w:hint="eastAsia"/>
          <w:szCs w:val="32"/>
        </w:rPr>
        <w:t>於</w:t>
      </w:r>
      <w:r w:rsidR="006A649E" w:rsidRPr="006A649E">
        <w:rPr>
          <w:rFonts w:hAnsi="標楷體"/>
          <w:szCs w:val="32"/>
        </w:rPr>
        <w:t>國營事業永續資訊揭露</w:t>
      </w:r>
      <w:r w:rsidR="00AF7612">
        <w:rPr>
          <w:rFonts w:hAnsi="標楷體" w:hint="eastAsia"/>
          <w:szCs w:val="32"/>
        </w:rPr>
        <w:t>之</w:t>
      </w:r>
      <w:r w:rsidR="006A649E" w:rsidRPr="006A649E">
        <w:rPr>
          <w:rFonts w:hAnsi="標楷體"/>
          <w:szCs w:val="32"/>
        </w:rPr>
        <w:t>品質與一致性方面存在落差</w:t>
      </w:r>
      <w:r w:rsidR="006A649E" w:rsidRPr="006A649E">
        <w:rPr>
          <w:rFonts w:hAnsi="標楷體" w:hint="eastAsia"/>
          <w:szCs w:val="32"/>
        </w:rPr>
        <w:t>情形，</w:t>
      </w:r>
      <w:r w:rsidR="001355A7">
        <w:rPr>
          <w:rFonts w:hAnsi="標楷體" w:hint="eastAsia"/>
          <w:szCs w:val="32"/>
        </w:rPr>
        <w:t>除經濟部外，</w:t>
      </w:r>
      <w:r w:rsidR="006A649E" w:rsidRPr="006A649E">
        <w:rPr>
          <w:rFonts w:hAnsi="標楷體" w:hint="eastAsia"/>
          <w:szCs w:val="32"/>
        </w:rPr>
        <w:t>仍尚未積極</w:t>
      </w:r>
      <w:proofErr w:type="gramStart"/>
      <w:r w:rsidR="006A649E" w:rsidRPr="006A649E">
        <w:rPr>
          <w:rFonts w:hAnsi="標楷體" w:hint="eastAsia"/>
          <w:szCs w:val="32"/>
        </w:rPr>
        <w:t>研</w:t>
      </w:r>
      <w:proofErr w:type="gramEnd"/>
      <w:r w:rsidR="006A649E" w:rsidRPr="006A649E">
        <w:rPr>
          <w:rFonts w:hAnsi="標楷體" w:hint="eastAsia"/>
          <w:szCs w:val="32"/>
        </w:rPr>
        <w:t>擬具體進程計畫，恐難以</w:t>
      </w:r>
      <w:r w:rsidR="006A649E" w:rsidRPr="006A649E">
        <w:rPr>
          <w:rFonts w:hAnsi="標楷體"/>
          <w:szCs w:val="32"/>
        </w:rPr>
        <w:t>公部門</w:t>
      </w:r>
      <w:r w:rsidR="00346423">
        <w:rPr>
          <w:rFonts w:hAnsi="標楷體" w:hint="eastAsia"/>
          <w:szCs w:val="32"/>
        </w:rPr>
        <w:t>作為</w:t>
      </w:r>
      <w:r w:rsidR="006A649E" w:rsidRPr="006A649E">
        <w:rPr>
          <w:rFonts w:hAnsi="標楷體"/>
          <w:szCs w:val="32"/>
        </w:rPr>
        <w:t>標竿引領民間企業轉型</w:t>
      </w:r>
      <w:proofErr w:type="gramStart"/>
      <w:r w:rsidR="006A649E" w:rsidRPr="006A649E">
        <w:rPr>
          <w:rFonts w:hAnsi="標楷體"/>
          <w:szCs w:val="32"/>
        </w:rPr>
        <w:t>邁向淨</w:t>
      </w:r>
      <w:proofErr w:type="gramEnd"/>
      <w:r w:rsidR="006A649E" w:rsidRPr="006A649E">
        <w:rPr>
          <w:rFonts w:hAnsi="標楷體"/>
          <w:szCs w:val="32"/>
        </w:rPr>
        <w:t>零</w:t>
      </w:r>
      <w:r w:rsidR="006A649E" w:rsidRPr="006A649E">
        <w:rPr>
          <w:rFonts w:hAnsi="標楷體" w:hint="eastAsia"/>
          <w:szCs w:val="32"/>
        </w:rPr>
        <w:t>，</w:t>
      </w:r>
      <w:r w:rsidR="006A649E" w:rsidRPr="006A649E">
        <w:rPr>
          <w:rFonts w:hAnsi="標楷體"/>
          <w:szCs w:val="32"/>
        </w:rPr>
        <w:t>展現政府落實綠色轉型決心，</w:t>
      </w:r>
      <w:r w:rsidR="00327BFF">
        <w:rPr>
          <w:rFonts w:hAnsi="標楷體" w:hint="eastAsia"/>
          <w:szCs w:val="32"/>
        </w:rPr>
        <w:t>洵</w:t>
      </w:r>
      <w:proofErr w:type="gramStart"/>
      <w:r w:rsidR="006A649E" w:rsidRPr="006A649E">
        <w:rPr>
          <w:rFonts w:hAnsi="標楷體" w:hint="eastAsia"/>
          <w:szCs w:val="32"/>
        </w:rPr>
        <w:t>有未</w:t>
      </w:r>
      <w:proofErr w:type="gramEnd"/>
      <w:r w:rsidR="006A649E" w:rsidRPr="006A649E">
        <w:rPr>
          <w:rFonts w:hAnsi="標楷體" w:hint="eastAsia"/>
          <w:szCs w:val="32"/>
        </w:rPr>
        <w:t>洽</w:t>
      </w:r>
      <w:r w:rsidR="006A649E">
        <w:rPr>
          <w:rFonts w:hAnsi="標楷體" w:hint="eastAsia"/>
          <w:szCs w:val="32"/>
        </w:rPr>
        <w:t>。</w:t>
      </w:r>
    </w:p>
    <w:p w:rsidR="00895864" w:rsidRPr="00895864" w:rsidRDefault="007F584A" w:rsidP="00C572D5">
      <w:pPr>
        <w:pStyle w:val="20"/>
        <w:spacing w:beforeLines="30" w:before="137"/>
        <w:ind w:hanging="680"/>
        <w:rPr>
          <w:b/>
        </w:rPr>
      </w:pPr>
      <w:r w:rsidRPr="007F584A">
        <w:rPr>
          <w:b/>
          <w:bCs w:val="0"/>
          <w:szCs w:val="36"/>
        </w:rPr>
        <w:t>金管會於202</w:t>
      </w:r>
      <w:r w:rsidR="009D60F2">
        <w:rPr>
          <w:b/>
          <w:bCs w:val="0"/>
          <w:szCs w:val="36"/>
        </w:rPr>
        <w:t>4</w:t>
      </w:r>
      <w:r w:rsidRPr="007F584A">
        <w:rPr>
          <w:b/>
          <w:bCs w:val="0"/>
          <w:szCs w:val="36"/>
        </w:rPr>
        <w:t>年12月</w:t>
      </w:r>
      <w:r w:rsidRPr="007F584A">
        <w:rPr>
          <w:rFonts w:hint="eastAsia"/>
          <w:b/>
          <w:bCs w:val="0"/>
          <w:szCs w:val="36"/>
        </w:rPr>
        <w:t>3</w:t>
      </w:r>
      <w:r w:rsidRPr="007F584A">
        <w:rPr>
          <w:b/>
          <w:bCs w:val="0"/>
          <w:szCs w:val="36"/>
        </w:rPr>
        <w:t>1日</w:t>
      </w:r>
      <w:r w:rsidRPr="007F584A">
        <w:rPr>
          <w:rFonts w:hint="eastAsia"/>
          <w:b/>
          <w:bCs w:val="0"/>
          <w:szCs w:val="36"/>
        </w:rPr>
        <w:t>與環境部、經濟部、交通部、內政部</w:t>
      </w:r>
      <w:r w:rsidRPr="007F584A">
        <w:rPr>
          <w:rFonts w:hint="eastAsia"/>
          <w:b/>
          <w:szCs w:val="36"/>
        </w:rPr>
        <w:t>及</w:t>
      </w:r>
      <w:r w:rsidRPr="007F584A">
        <w:rPr>
          <w:rFonts w:hint="eastAsia"/>
          <w:b/>
          <w:bCs w:val="0"/>
          <w:szCs w:val="36"/>
        </w:rPr>
        <w:t>農業部</w:t>
      </w:r>
      <w:r w:rsidRPr="003B64F4">
        <w:rPr>
          <w:rFonts w:hint="eastAsia"/>
          <w:b/>
          <w:bCs w:val="0"/>
          <w:szCs w:val="36"/>
        </w:rPr>
        <w:t>正式</w:t>
      </w:r>
      <w:r w:rsidRPr="007F584A">
        <w:rPr>
          <w:rFonts w:hint="eastAsia"/>
          <w:b/>
          <w:bCs w:val="0"/>
          <w:szCs w:val="36"/>
        </w:rPr>
        <w:t>共同</w:t>
      </w:r>
      <w:r w:rsidRPr="003B64F4">
        <w:rPr>
          <w:rFonts w:hint="eastAsia"/>
          <w:b/>
          <w:bCs w:val="0"/>
          <w:szCs w:val="36"/>
        </w:rPr>
        <w:t>公告</w:t>
      </w:r>
      <w:r w:rsidRPr="007F584A">
        <w:rPr>
          <w:b/>
          <w:bCs w:val="0"/>
          <w:szCs w:val="36"/>
        </w:rPr>
        <w:t>第</w:t>
      </w:r>
      <w:r w:rsidRPr="007F584A">
        <w:rPr>
          <w:rFonts w:hint="eastAsia"/>
          <w:b/>
          <w:bCs w:val="0"/>
          <w:szCs w:val="36"/>
        </w:rPr>
        <w:t>2</w:t>
      </w:r>
      <w:r w:rsidRPr="007F584A">
        <w:rPr>
          <w:b/>
          <w:bCs w:val="0"/>
          <w:szCs w:val="36"/>
        </w:rPr>
        <w:t>版「永續經濟活動認定參考指引」</w:t>
      </w:r>
      <w:r w:rsidRPr="003B64F4">
        <w:rPr>
          <w:rFonts w:hint="eastAsia"/>
          <w:b/>
          <w:bCs w:val="0"/>
          <w:szCs w:val="36"/>
        </w:rPr>
        <w:t>，擴大適用產業範圍(包含軌道運輸業</w:t>
      </w:r>
      <w:r w:rsidRPr="003B64F4">
        <w:rPr>
          <w:b/>
          <w:bCs w:val="0"/>
          <w:szCs w:val="36"/>
        </w:rPr>
        <w:t>)</w:t>
      </w:r>
      <w:r w:rsidRPr="007F584A">
        <w:rPr>
          <w:rFonts w:hint="eastAsia"/>
          <w:b/>
          <w:bCs w:val="0"/>
          <w:szCs w:val="36"/>
        </w:rPr>
        <w:t>，</w:t>
      </w:r>
      <w:r w:rsidR="009D60F2">
        <w:rPr>
          <w:rFonts w:hint="eastAsia"/>
          <w:b/>
          <w:bCs w:val="0"/>
          <w:szCs w:val="36"/>
        </w:rPr>
        <w:t>並</w:t>
      </w:r>
      <w:r w:rsidRPr="003B64F4">
        <w:rPr>
          <w:b/>
          <w:bCs w:val="0"/>
          <w:szCs w:val="36"/>
        </w:rPr>
        <w:t>強化金融業</w:t>
      </w:r>
      <w:proofErr w:type="gramStart"/>
      <w:r w:rsidRPr="003B64F4">
        <w:rPr>
          <w:b/>
          <w:bCs w:val="0"/>
          <w:szCs w:val="36"/>
        </w:rPr>
        <w:t>在淨零轉型</w:t>
      </w:r>
      <w:proofErr w:type="gramEnd"/>
      <w:r w:rsidRPr="003B64F4">
        <w:rPr>
          <w:b/>
          <w:bCs w:val="0"/>
          <w:szCs w:val="36"/>
        </w:rPr>
        <w:t>中的角色</w:t>
      </w:r>
      <w:r w:rsidR="009D60F2">
        <w:rPr>
          <w:rFonts w:hint="eastAsia"/>
          <w:b/>
          <w:bCs w:val="0"/>
          <w:szCs w:val="36"/>
        </w:rPr>
        <w:t>。</w:t>
      </w:r>
      <w:r w:rsidRPr="00C572D5">
        <w:rPr>
          <w:rFonts w:hint="eastAsia"/>
          <w:b/>
          <w:bCs w:val="0"/>
          <w:szCs w:val="36"/>
        </w:rPr>
        <w:t>另</w:t>
      </w:r>
      <w:proofErr w:type="gramStart"/>
      <w:r w:rsidRPr="00C572D5">
        <w:rPr>
          <w:rFonts w:hint="eastAsia"/>
          <w:b/>
          <w:bCs w:val="0"/>
          <w:szCs w:val="36"/>
        </w:rPr>
        <w:t>環境部於2</w:t>
      </w:r>
      <w:r w:rsidRPr="00C572D5">
        <w:rPr>
          <w:b/>
          <w:bCs w:val="0"/>
          <w:szCs w:val="36"/>
        </w:rPr>
        <w:t>025</w:t>
      </w:r>
      <w:r w:rsidRPr="00C572D5">
        <w:rPr>
          <w:rFonts w:hint="eastAsia"/>
          <w:b/>
          <w:bCs w:val="0"/>
          <w:szCs w:val="36"/>
        </w:rPr>
        <w:t>年3月4日</w:t>
      </w:r>
      <w:proofErr w:type="gramEnd"/>
      <w:r w:rsidRPr="00C572D5">
        <w:rPr>
          <w:rFonts w:hint="eastAsia"/>
          <w:b/>
          <w:bCs w:val="0"/>
          <w:szCs w:val="36"/>
        </w:rPr>
        <w:t>公告「事業應盤查登錄溫室氣體排放量之排放源」</w:t>
      </w:r>
      <w:r w:rsidR="006675C1">
        <w:rPr>
          <w:rFonts w:hint="eastAsia"/>
          <w:b/>
          <w:bCs w:val="0"/>
          <w:szCs w:val="36"/>
        </w:rPr>
        <w:t>，</w:t>
      </w:r>
      <w:r w:rsidRPr="00C572D5">
        <w:rPr>
          <w:rFonts w:hint="eastAsia"/>
          <w:b/>
          <w:bCs w:val="0"/>
          <w:szCs w:val="36"/>
        </w:rPr>
        <w:t>鐵路運輸業</w:t>
      </w:r>
      <w:r w:rsidR="009D60F2">
        <w:rPr>
          <w:rFonts w:hint="eastAsia"/>
          <w:b/>
          <w:bCs w:val="0"/>
          <w:szCs w:val="36"/>
        </w:rPr>
        <w:t>已</w:t>
      </w:r>
      <w:r w:rsidR="003B64F4" w:rsidRPr="002C582E">
        <w:rPr>
          <w:rFonts w:hint="eastAsia"/>
          <w:b/>
          <w:bCs w:val="0"/>
          <w:szCs w:val="36"/>
        </w:rPr>
        <w:t>納入溫室氣體排放量盤查登錄</w:t>
      </w:r>
      <w:r w:rsidRPr="002C582E">
        <w:rPr>
          <w:rFonts w:hint="eastAsia"/>
          <w:b/>
          <w:bCs w:val="0"/>
          <w:szCs w:val="36"/>
        </w:rPr>
        <w:t>。</w:t>
      </w:r>
      <w:r w:rsidR="00E961D3">
        <w:rPr>
          <w:rFonts w:hint="eastAsia"/>
          <w:b/>
          <w:bCs w:val="0"/>
          <w:szCs w:val="36"/>
        </w:rPr>
        <w:t>然</w:t>
      </w:r>
      <w:proofErr w:type="gramStart"/>
      <w:r w:rsidRPr="007F584A">
        <w:rPr>
          <w:rFonts w:hint="eastAsia"/>
          <w:b/>
          <w:bCs w:val="0"/>
          <w:szCs w:val="36"/>
        </w:rPr>
        <w:t>臺</w:t>
      </w:r>
      <w:proofErr w:type="gramEnd"/>
      <w:r w:rsidRPr="007F584A">
        <w:rPr>
          <w:rFonts w:hint="eastAsia"/>
          <w:b/>
          <w:bCs w:val="0"/>
          <w:szCs w:val="36"/>
        </w:rPr>
        <w:t>鐵公司</w:t>
      </w:r>
      <w:r w:rsidR="002C582E">
        <w:rPr>
          <w:rFonts w:hint="eastAsia"/>
          <w:b/>
          <w:bCs w:val="0"/>
          <w:szCs w:val="36"/>
        </w:rPr>
        <w:t>遲至</w:t>
      </w:r>
      <w:r w:rsidR="002C582E">
        <w:rPr>
          <w:b/>
          <w:bCs w:val="0"/>
          <w:szCs w:val="36"/>
        </w:rPr>
        <w:t>2025</w:t>
      </w:r>
      <w:r w:rsidR="002C582E" w:rsidRPr="002C582E">
        <w:rPr>
          <w:b/>
          <w:bCs w:val="0"/>
          <w:szCs w:val="36"/>
        </w:rPr>
        <w:t>年</w:t>
      </w:r>
      <w:r w:rsidR="009D60F2">
        <w:rPr>
          <w:rFonts w:hint="eastAsia"/>
          <w:b/>
          <w:bCs w:val="0"/>
          <w:szCs w:val="36"/>
        </w:rPr>
        <w:t>方</w:t>
      </w:r>
      <w:r w:rsidR="002C582E" w:rsidRPr="002C582E">
        <w:rPr>
          <w:b/>
          <w:bCs w:val="0"/>
          <w:szCs w:val="36"/>
        </w:rPr>
        <w:t>啟動全面溫室氣體盤查</w:t>
      </w:r>
      <w:r w:rsidR="00E961D3" w:rsidRPr="00E961D3">
        <w:rPr>
          <w:b/>
          <w:bCs w:val="0"/>
          <w:szCs w:val="36"/>
        </w:rPr>
        <w:t>，</w:t>
      </w:r>
      <w:proofErr w:type="gramStart"/>
      <w:r w:rsidR="009D60F2">
        <w:rPr>
          <w:rFonts w:hint="eastAsia"/>
          <w:b/>
          <w:bCs w:val="0"/>
          <w:szCs w:val="36"/>
        </w:rPr>
        <w:t>至今</w:t>
      </w:r>
      <w:proofErr w:type="gramEnd"/>
      <w:r w:rsidR="00163417">
        <w:rPr>
          <w:rFonts w:hint="eastAsia"/>
          <w:b/>
          <w:bCs w:val="0"/>
          <w:szCs w:val="36"/>
        </w:rPr>
        <w:t>迄</w:t>
      </w:r>
      <w:r w:rsidR="00E961D3" w:rsidRPr="00E961D3">
        <w:rPr>
          <w:b/>
          <w:bCs w:val="0"/>
          <w:szCs w:val="36"/>
        </w:rPr>
        <w:t>未依GRI準則</w:t>
      </w:r>
      <w:proofErr w:type="gramStart"/>
      <w:r w:rsidR="00E961D3" w:rsidRPr="00E961D3">
        <w:rPr>
          <w:b/>
          <w:bCs w:val="0"/>
          <w:szCs w:val="36"/>
        </w:rPr>
        <w:t>編製</w:t>
      </w:r>
      <w:r w:rsidRPr="002C582E">
        <w:rPr>
          <w:b/>
          <w:bCs w:val="0"/>
          <w:szCs w:val="36"/>
        </w:rPr>
        <w:t>永</w:t>
      </w:r>
      <w:proofErr w:type="gramEnd"/>
      <w:r w:rsidRPr="002C582E">
        <w:rPr>
          <w:b/>
          <w:bCs w:val="0"/>
          <w:szCs w:val="36"/>
        </w:rPr>
        <w:t>續報告書</w:t>
      </w:r>
      <w:r w:rsidR="00A00177">
        <w:rPr>
          <w:rFonts w:hint="eastAsia"/>
          <w:b/>
          <w:bCs w:val="0"/>
          <w:szCs w:val="36"/>
        </w:rPr>
        <w:t>，</w:t>
      </w:r>
      <w:r w:rsidR="00E961D3">
        <w:rPr>
          <w:rFonts w:hint="eastAsia"/>
          <w:b/>
          <w:bCs w:val="0"/>
          <w:szCs w:val="36"/>
        </w:rPr>
        <w:t>足見其</w:t>
      </w:r>
      <w:r w:rsidR="00A00177">
        <w:rPr>
          <w:rFonts w:hint="eastAsia"/>
          <w:b/>
          <w:bCs w:val="0"/>
          <w:szCs w:val="36"/>
        </w:rPr>
        <w:t>進度落後民間企業甚遠</w:t>
      </w:r>
      <w:r w:rsidRPr="002C582E">
        <w:rPr>
          <w:rFonts w:hint="eastAsia"/>
          <w:b/>
          <w:bCs w:val="0"/>
          <w:szCs w:val="36"/>
        </w:rPr>
        <w:t>，</w:t>
      </w:r>
      <w:r w:rsidR="00FF3BCE">
        <w:rPr>
          <w:rFonts w:hint="eastAsia"/>
          <w:b/>
          <w:bCs w:val="0"/>
          <w:szCs w:val="36"/>
        </w:rPr>
        <w:t>且</w:t>
      </w:r>
      <w:r w:rsidR="00FF3BCE" w:rsidRPr="007F584A">
        <w:rPr>
          <w:rFonts w:hint="eastAsia"/>
          <w:b/>
          <w:bCs w:val="0"/>
          <w:szCs w:val="36"/>
        </w:rPr>
        <w:t>未全面</w:t>
      </w:r>
      <w:r w:rsidR="00FF3BCE" w:rsidRPr="007F584A">
        <w:rPr>
          <w:b/>
          <w:bCs w:val="0"/>
          <w:szCs w:val="36"/>
        </w:rPr>
        <w:t>設置列車</w:t>
      </w:r>
      <w:r w:rsidR="00FF3BCE" w:rsidRPr="002C582E">
        <w:rPr>
          <w:b/>
          <w:bCs w:val="0"/>
          <w:szCs w:val="36"/>
        </w:rPr>
        <w:t>之無障礙設施</w:t>
      </w:r>
      <w:r w:rsidR="00266DD6">
        <w:rPr>
          <w:rFonts w:hint="eastAsia"/>
          <w:b/>
          <w:bCs w:val="0"/>
          <w:szCs w:val="36"/>
        </w:rPr>
        <w:t>，明顯</w:t>
      </w:r>
      <w:r w:rsidR="00AB11EA" w:rsidRPr="002C582E">
        <w:rPr>
          <w:b/>
          <w:bCs w:val="0"/>
          <w:szCs w:val="36"/>
        </w:rPr>
        <w:t>忽視對障礙者權益，違反</w:t>
      </w:r>
      <w:r w:rsidR="00180194" w:rsidRPr="002C582E">
        <w:rPr>
          <w:rFonts w:hint="eastAsia"/>
          <w:b/>
          <w:bCs w:val="0"/>
          <w:szCs w:val="36"/>
        </w:rPr>
        <w:t>聯合國</w:t>
      </w:r>
      <w:r w:rsidR="00AB11EA" w:rsidRPr="002C582E">
        <w:rPr>
          <w:b/>
          <w:bCs w:val="0"/>
          <w:szCs w:val="36"/>
        </w:rPr>
        <w:t>永續發展目標</w:t>
      </w:r>
      <w:r w:rsidR="00432CEA" w:rsidRPr="002C582E">
        <w:rPr>
          <w:b/>
          <w:bCs w:val="0"/>
          <w:szCs w:val="36"/>
        </w:rPr>
        <w:t>(</w:t>
      </w:r>
      <w:r w:rsidR="00AB11EA" w:rsidRPr="00E160D5">
        <w:rPr>
          <w:rFonts w:ascii="Times New Roman" w:hAnsi="Times New Roman"/>
          <w:b/>
          <w:bCs w:val="0"/>
          <w:szCs w:val="36"/>
        </w:rPr>
        <w:t>Sustainable Development Goals</w:t>
      </w:r>
      <w:r w:rsidR="00AB11EA" w:rsidRPr="00E160D5">
        <w:rPr>
          <w:rFonts w:ascii="Times New Roman" w:hAnsi="Times New Roman"/>
          <w:b/>
          <w:bCs w:val="0"/>
          <w:szCs w:val="36"/>
        </w:rPr>
        <w:t>，下稱</w:t>
      </w:r>
      <w:r w:rsidR="00AB11EA" w:rsidRPr="00E160D5">
        <w:rPr>
          <w:rFonts w:ascii="Times New Roman" w:hAnsi="Times New Roman"/>
          <w:b/>
          <w:bCs w:val="0"/>
          <w:szCs w:val="36"/>
        </w:rPr>
        <w:t>SDGs</w:t>
      </w:r>
      <w:r w:rsidR="00432CEA" w:rsidRPr="002C582E">
        <w:rPr>
          <w:b/>
          <w:bCs w:val="0"/>
          <w:szCs w:val="36"/>
        </w:rPr>
        <w:t>)</w:t>
      </w:r>
      <w:r w:rsidR="00AB11EA" w:rsidRPr="002C582E">
        <w:rPr>
          <w:b/>
          <w:bCs w:val="0"/>
          <w:szCs w:val="36"/>
        </w:rPr>
        <w:t>核心目標</w:t>
      </w:r>
      <w:r w:rsidR="00AB11EA" w:rsidRPr="002C582E">
        <w:rPr>
          <w:rFonts w:hint="eastAsia"/>
          <w:b/>
          <w:bCs w:val="0"/>
          <w:szCs w:val="36"/>
        </w:rPr>
        <w:t>，</w:t>
      </w:r>
      <w:r w:rsidR="00AB11EA" w:rsidRPr="002C582E">
        <w:rPr>
          <w:b/>
          <w:bCs w:val="0"/>
          <w:szCs w:val="36"/>
        </w:rPr>
        <w:t>損</w:t>
      </w:r>
      <w:r w:rsidR="00610C38" w:rsidRPr="002C582E">
        <w:rPr>
          <w:rFonts w:hint="eastAsia"/>
          <w:b/>
          <w:bCs w:val="0"/>
          <w:szCs w:val="36"/>
        </w:rPr>
        <w:t>及</w:t>
      </w:r>
      <w:r w:rsidR="00AB11EA" w:rsidRPr="002C582E">
        <w:rPr>
          <w:b/>
          <w:bCs w:val="0"/>
          <w:szCs w:val="36"/>
        </w:rPr>
        <w:t>政府永續發展政策整體一致性與國際形象</w:t>
      </w:r>
      <w:r w:rsidR="00266DD6">
        <w:rPr>
          <w:rFonts w:hint="eastAsia"/>
          <w:b/>
          <w:bCs w:val="0"/>
          <w:szCs w:val="36"/>
        </w:rPr>
        <w:t>。</w:t>
      </w:r>
    </w:p>
    <w:p w:rsidR="003607F7" w:rsidRDefault="003607F7" w:rsidP="003607F7">
      <w:pPr>
        <w:pStyle w:val="20"/>
        <w:numPr>
          <w:ilvl w:val="0"/>
          <w:numId w:val="0"/>
        </w:numPr>
        <w:spacing w:beforeLines="30" w:before="137"/>
        <w:rPr>
          <w:b/>
        </w:rPr>
      </w:pPr>
    </w:p>
    <w:p w:rsidR="003607F7" w:rsidRPr="003607F7" w:rsidRDefault="009B7592" w:rsidP="00E274DD">
      <w:pPr>
        <w:pStyle w:val="a5"/>
        <w:keepLines/>
        <w:numPr>
          <w:ilvl w:val="0"/>
          <w:numId w:val="0"/>
        </w:numPr>
        <w:spacing w:beforeLines="50" w:before="228" w:after="360"/>
        <w:ind w:left="482"/>
        <w:jc w:val="center"/>
        <w:rPr>
          <w:rFonts w:hAnsi="標楷體"/>
        </w:rPr>
      </w:pPr>
      <w:r w:rsidRPr="009B7592">
        <w:rPr>
          <w:rFonts w:hAnsi="標楷體"/>
          <w:noProof/>
        </w:rPr>
        <w:lastRenderedPageBreak/>
        <w:drawing>
          <wp:anchor distT="0" distB="0" distL="114300" distR="114300" simplePos="0" relativeHeight="251697152" behindDoc="0" locked="0" layoutInCell="1" allowOverlap="1" wp14:anchorId="1B665FA3">
            <wp:simplePos x="0" y="0"/>
            <wp:positionH relativeFrom="margin">
              <wp:align>right</wp:align>
            </wp:positionH>
            <wp:positionV relativeFrom="paragraph">
              <wp:posOffset>0</wp:posOffset>
            </wp:positionV>
            <wp:extent cx="5615940" cy="4943475"/>
            <wp:effectExtent l="0" t="0" r="3810" b="9525"/>
            <wp:wrapTopAndBottom/>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615940" cy="4943475"/>
                    </a:xfrm>
                    <a:prstGeom prst="rect">
                      <a:avLst/>
                    </a:prstGeom>
                  </pic:spPr>
                </pic:pic>
              </a:graphicData>
            </a:graphic>
            <wp14:sizeRelH relativeFrom="page">
              <wp14:pctWidth>0</wp14:pctWidth>
            </wp14:sizeRelH>
            <wp14:sizeRelV relativeFrom="page">
              <wp14:pctHeight>0</wp14:pctHeight>
            </wp14:sizeRelV>
          </wp:anchor>
        </w:drawing>
      </w:r>
      <w:r w:rsidR="003607F7" w:rsidRPr="003607F7">
        <w:rPr>
          <w:rFonts w:hAnsi="標楷體" w:hint="eastAsia"/>
        </w:rPr>
        <w:t>聯合國永續發展目標圖</w:t>
      </w:r>
    </w:p>
    <w:p w:rsidR="00AB11EA" w:rsidRPr="007F584A" w:rsidRDefault="00346423" w:rsidP="00FC4854">
      <w:pPr>
        <w:pStyle w:val="20"/>
        <w:numPr>
          <w:ilvl w:val="0"/>
          <w:numId w:val="0"/>
        </w:numPr>
        <w:spacing w:beforeLines="30" w:before="137"/>
        <w:ind w:left="993"/>
        <w:rPr>
          <w:b/>
        </w:rPr>
      </w:pPr>
      <w:r>
        <w:rPr>
          <w:rFonts w:hint="eastAsia"/>
          <w:b/>
        </w:rPr>
        <w:t>又，</w:t>
      </w:r>
      <w:proofErr w:type="gramStart"/>
      <w:r w:rsidR="00895864">
        <w:rPr>
          <w:rFonts w:hint="eastAsia"/>
          <w:b/>
        </w:rPr>
        <w:t>臺</w:t>
      </w:r>
      <w:proofErr w:type="gramEnd"/>
      <w:r w:rsidR="00895864">
        <w:rPr>
          <w:rFonts w:hint="eastAsia"/>
          <w:b/>
        </w:rPr>
        <w:t>鐵公司</w:t>
      </w:r>
      <w:r w:rsidR="003B64F4">
        <w:rPr>
          <w:rFonts w:hint="eastAsia"/>
          <w:b/>
        </w:rPr>
        <w:t>仍未</w:t>
      </w:r>
      <w:r w:rsidR="00AB11EA" w:rsidRPr="007F584A">
        <w:rPr>
          <w:b/>
        </w:rPr>
        <w:t>以系統性方式揭露其在</w:t>
      </w:r>
      <w:r w:rsidR="003E696D" w:rsidRPr="007F584A">
        <w:rPr>
          <w:rFonts w:hint="eastAsia"/>
          <w:b/>
        </w:rPr>
        <w:t>ESG</w:t>
      </w:r>
      <w:r w:rsidR="00AB11EA" w:rsidRPr="007F584A">
        <w:rPr>
          <w:b/>
        </w:rPr>
        <w:t>等面向之作為與影響，</w:t>
      </w:r>
      <w:r w:rsidR="00610C38" w:rsidRPr="007F584A">
        <w:rPr>
          <w:rFonts w:hint="eastAsia"/>
          <w:b/>
        </w:rPr>
        <w:t>已</w:t>
      </w:r>
      <w:r w:rsidR="00AB11EA" w:rsidRPr="007F584A">
        <w:rPr>
          <w:b/>
        </w:rPr>
        <w:t>與政府所倡導之永續發展政策及</w:t>
      </w:r>
      <w:r w:rsidR="00610C38" w:rsidRPr="007F584A">
        <w:rPr>
          <w:rFonts w:hint="eastAsia"/>
          <w:b/>
        </w:rPr>
        <w:t>臺灣</w:t>
      </w:r>
      <w:r w:rsidR="00AB11EA" w:rsidRPr="007F584A">
        <w:rPr>
          <w:b/>
        </w:rPr>
        <w:t>SDGs施政精神存有明顯落差，不僅無助於</w:t>
      </w:r>
      <w:r w:rsidR="003E696D" w:rsidRPr="007F584A">
        <w:rPr>
          <w:rFonts w:hint="eastAsia"/>
          <w:b/>
        </w:rPr>
        <w:t>國營</w:t>
      </w:r>
      <w:r w:rsidR="00AB11EA" w:rsidRPr="007F584A">
        <w:rPr>
          <w:b/>
        </w:rPr>
        <w:t>事業推動透明</w:t>
      </w:r>
      <w:proofErr w:type="gramStart"/>
      <w:r w:rsidR="00AB11EA" w:rsidRPr="007F584A">
        <w:rPr>
          <w:b/>
        </w:rPr>
        <w:t>與責信原</w:t>
      </w:r>
      <w:proofErr w:type="gramEnd"/>
      <w:r w:rsidR="00AB11EA" w:rsidRPr="007F584A">
        <w:rPr>
          <w:b/>
        </w:rPr>
        <w:t>則，亦易</w:t>
      </w:r>
      <w:r w:rsidR="00610C38" w:rsidRPr="007F584A">
        <w:rPr>
          <w:rFonts w:hint="eastAsia"/>
          <w:b/>
        </w:rPr>
        <w:t>引發</w:t>
      </w:r>
      <w:r w:rsidR="00AB11EA" w:rsidRPr="007F584A">
        <w:rPr>
          <w:b/>
        </w:rPr>
        <w:t>社會大眾對我國永續政策推動成效</w:t>
      </w:r>
      <w:r w:rsidR="00610C38" w:rsidRPr="007F584A">
        <w:rPr>
          <w:rFonts w:hint="eastAsia"/>
          <w:b/>
        </w:rPr>
        <w:t>之質疑</w:t>
      </w:r>
      <w:r w:rsidR="00AB11EA" w:rsidRPr="007F584A">
        <w:rPr>
          <w:b/>
        </w:rPr>
        <w:t>，實非良善</w:t>
      </w:r>
      <w:proofErr w:type="gramStart"/>
      <w:r w:rsidR="00AB11EA" w:rsidRPr="007F584A">
        <w:rPr>
          <w:b/>
        </w:rPr>
        <w:t>治理所</w:t>
      </w:r>
      <w:proofErr w:type="gramEnd"/>
      <w:r w:rsidR="00AB11EA" w:rsidRPr="007F584A">
        <w:rPr>
          <w:b/>
        </w:rPr>
        <w:t>宜。</w:t>
      </w:r>
      <w:proofErr w:type="gramStart"/>
      <w:r w:rsidR="00E3330A" w:rsidRPr="007F584A">
        <w:rPr>
          <w:rFonts w:hint="eastAsia"/>
          <w:b/>
        </w:rPr>
        <w:t>爰</w:t>
      </w:r>
      <w:proofErr w:type="gramEnd"/>
      <w:r w:rsidR="00180194" w:rsidRPr="007F584A">
        <w:rPr>
          <w:rFonts w:hint="eastAsia"/>
          <w:b/>
        </w:rPr>
        <w:t>臺鐵公司</w:t>
      </w:r>
      <w:r w:rsidR="00AB11EA" w:rsidRPr="007F584A">
        <w:rPr>
          <w:b/>
        </w:rPr>
        <w:t>未依企業社會責任原則主動揭露其永續作為，亦未檢討與SDGs不符之事項，顯示其內部對於永續發展及資訊揭露意識尚待提升，</w:t>
      </w:r>
      <w:r w:rsidR="00180194" w:rsidRPr="007F584A">
        <w:rPr>
          <w:rFonts w:hint="eastAsia"/>
          <w:b/>
        </w:rPr>
        <w:t>交通部</w:t>
      </w:r>
      <w:r w:rsidR="00AB11EA" w:rsidRPr="007F584A">
        <w:rPr>
          <w:b/>
        </w:rPr>
        <w:t>實應正視並</w:t>
      </w:r>
      <w:r w:rsidR="00B846EF">
        <w:rPr>
          <w:rFonts w:hint="eastAsia"/>
          <w:b/>
        </w:rPr>
        <w:t>積極</w:t>
      </w:r>
      <w:r w:rsidR="00AB11EA" w:rsidRPr="007F584A">
        <w:rPr>
          <w:b/>
        </w:rPr>
        <w:t>督促</w:t>
      </w:r>
      <w:r w:rsidR="00B846EF">
        <w:rPr>
          <w:rFonts w:hint="eastAsia"/>
          <w:b/>
        </w:rPr>
        <w:t>其</w:t>
      </w:r>
      <w:r w:rsidR="00AB11EA" w:rsidRPr="007F584A">
        <w:rPr>
          <w:b/>
        </w:rPr>
        <w:t>改善，以符國營事業應有之社會責任與治理標準</w:t>
      </w:r>
      <w:r w:rsidR="00180194" w:rsidRPr="007F584A">
        <w:rPr>
          <w:rFonts w:hint="eastAsia"/>
          <w:b/>
        </w:rPr>
        <w:t>：</w:t>
      </w:r>
    </w:p>
    <w:p w:rsidR="003256FC" w:rsidRPr="007F584A" w:rsidRDefault="003256FC" w:rsidP="003256FC">
      <w:pPr>
        <w:pStyle w:val="3"/>
        <w:spacing w:beforeLines="30" w:before="137"/>
        <w:rPr>
          <w:bCs w:val="0"/>
        </w:rPr>
      </w:pPr>
      <w:r w:rsidRPr="007F584A">
        <w:rPr>
          <w:rFonts w:hint="eastAsia"/>
          <w:bCs w:val="0"/>
        </w:rPr>
        <w:t>配合國家2050</w:t>
      </w:r>
      <w:proofErr w:type="gramStart"/>
      <w:r w:rsidRPr="007F584A">
        <w:rPr>
          <w:rFonts w:hint="eastAsia"/>
          <w:bCs w:val="0"/>
        </w:rPr>
        <w:t>淨零轉型</w:t>
      </w:r>
      <w:proofErr w:type="gramEnd"/>
      <w:r w:rsidRPr="007F584A">
        <w:rPr>
          <w:rFonts w:hint="eastAsia"/>
          <w:bCs w:val="0"/>
        </w:rPr>
        <w:t>目標，並鼓勵金融業協助企</w:t>
      </w:r>
      <w:r w:rsidRPr="007F584A">
        <w:rPr>
          <w:rFonts w:hint="eastAsia"/>
          <w:bCs w:val="0"/>
        </w:rPr>
        <w:lastRenderedPageBreak/>
        <w:t>業朝永</w:t>
      </w:r>
      <w:proofErr w:type="gramStart"/>
      <w:r w:rsidRPr="007F584A">
        <w:rPr>
          <w:rFonts w:hint="eastAsia"/>
          <w:bCs w:val="0"/>
        </w:rPr>
        <w:t>續減碳轉</w:t>
      </w:r>
      <w:proofErr w:type="gramEnd"/>
      <w:r w:rsidRPr="007F584A">
        <w:rPr>
          <w:rFonts w:hint="eastAsia"/>
          <w:bCs w:val="0"/>
        </w:rPr>
        <w:t>型，</w:t>
      </w:r>
      <w:r w:rsidRPr="007F584A">
        <w:rPr>
          <w:bCs w:val="0"/>
        </w:rPr>
        <w:t>金管會於202</w:t>
      </w:r>
      <w:r w:rsidR="009D60F2">
        <w:rPr>
          <w:bCs w:val="0"/>
        </w:rPr>
        <w:t>4</w:t>
      </w:r>
      <w:r w:rsidRPr="007F584A">
        <w:rPr>
          <w:bCs w:val="0"/>
        </w:rPr>
        <w:t>年12月</w:t>
      </w:r>
      <w:r w:rsidRPr="007F584A">
        <w:rPr>
          <w:rFonts w:hint="eastAsia"/>
          <w:bCs w:val="0"/>
        </w:rPr>
        <w:t>3</w:t>
      </w:r>
      <w:r w:rsidRPr="007F584A">
        <w:rPr>
          <w:bCs w:val="0"/>
        </w:rPr>
        <w:t>1日</w:t>
      </w:r>
      <w:r w:rsidRPr="007F584A">
        <w:rPr>
          <w:rFonts w:hint="eastAsia"/>
          <w:bCs w:val="0"/>
        </w:rPr>
        <w:t>與環境部、經濟部、交通部、內政部</w:t>
      </w:r>
      <w:r w:rsidRPr="007F584A">
        <w:rPr>
          <w:rFonts w:hint="eastAsia"/>
        </w:rPr>
        <w:t>及</w:t>
      </w:r>
      <w:r w:rsidRPr="007F584A">
        <w:rPr>
          <w:rFonts w:hint="eastAsia"/>
          <w:bCs w:val="0"/>
        </w:rPr>
        <w:t>農業部</w:t>
      </w:r>
      <w:r w:rsidRPr="007F584A">
        <w:rPr>
          <w:rFonts w:hint="eastAsia"/>
        </w:rPr>
        <w:t>正式</w:t>
      </w:r>
      <w:r w:rsidRPr="007F584A">
        <w:rPr>
          <w:rFonts w:hint="eastAsia"/>
          <w:bCs w:val="0"/>
        </w:rPr>
        <w:t>共同</w:t>
      </w:r>
      <w:r w:rsidRPr="007F584A">
        <w:rPr>
          <w:rFonts w:hint="eastAsia"/>
        </w:rPr>
        <w:t>公告</w:t>
      </w:r>
      <w:r w:rsidRPr="007F584A">
        <w:rPr>
          <w:bCs w:val="0"/>
        </w:rPr>
        <w:t>第</w:t>
      </w:r>
      <w:r w:rsidRPr="007F584A">
        <w:rPr>
          <w:rFonts w:hint="eastAsia"/>
          <w:bCs w:val="0"/>
        </w:rPr>
        <w:t>2</w:t>
      </w:r>
      <w:r w:rsidRPr="007F584A">
        <w:rPr>
          <w:bCs w:val="0"/>
        </w:rPr>
        <w:t>版「永續經濟活動認定參考指引」</w:t>
      </w:r>
      <w:r w:rsidRPr="007F584A">
        <w:rPr>
          <w:rFonts w:hint="eastAsia"/>
        </w:rPr>
        <w:t>，擴大適用產業範圍(包含軌道運輸業</w:t>
      </w:r>
      <w:r w:rsidRPr="007F584A">
        <w:t>)</w:t>
      </w:r>
      <w:r w:rsidRPr="007F584A">
        <w:rPr>
          <w:rFonts w:hint="eastAsia"/>
          <w:bCs w:val="0"/>
        </w:rPr>
        <w:t>，鼓勵公司自願揭露營運主要經濟活動符合指引的情形，並鼓勵金融機構參考該指引進行投融資評估，積極與</w:t>
      </w:r>
      <w:proofErr w:type="gramStart"/>
      <w:r w:rsidRPr="007F584A">
        <w:rPr>
          <w:rFonts w:hint="eastAsia"/>
          <w:bCs w:val="0"/>
        </w:rPr>
        <w:t>企業議</w:t>
      </w:r>
      <w:proofErr w:type="gramEnd"/>
      <w:r w:rsidRPr="007F584A">
        <w:rPr>
          <w:rFonts w:hint="eastAsia"/>
          <w:bCs w:val="0"/>
        </w:rPr>
        <w:t>合。該指引先就「氣候變遷減緩」環境目的訂定「具實質貢獻之技術篩選標準」，且以未對其他環境目的(如氣候變遷調適、水資源保護等)及社會保障造成重大危害為判斷原則。</w:t>
      </w:r>
      <w:r w:rsidRPr="007F584A">
        <w:rPr>
          <w:rFonts w:hint="eastAsia"/>
        </w:rPr>
        <w:t>另</w:t>
      </w:r>
      <w:proofErr w:type="gramStart"/>
      <w:r w:rsidRPr="007F584A">
        <w:rPr>
          <w:rFonts w:hint="eastAsia"/>
        </w:rPr>
        <w:t>環境部於2</w:t>
      </w:r>
      <w:r w:rsidRPr="007F584A">
        <w:t>025</w:t>
      </w:r>
      <w:r w:rsidRPr="007F584A">
        <w:rPr>
          <w:rFonts w:hint="eastAsia"/>
        </w:rPr>
        <w:t>年3月4日</w:t>
      </w:r>
      <w:proofErr w:type="gramEnd"/>
      <w:r w:rsidRPr="007F584A">
        <w:rPr>
          <w:rFonts w:hint="eastAsia"/>
        </w:rPr>
        <w:t>公告「事業應盤查登錄溫室氣體排放量之排放源」</w:t>
      </w:r>
      <w:r>
        <w:rPr>
          <w:rFonts w:hint="eastAsia"/>
        </w:rPr>
        <w:t>，宣布</w:t>
      </w:r>
      <w:r w:rsidRPr="007F584A">
        <w:rPr>
          <w:rFonts w:hint="eastAsia"/>
        </w:rPr>
        <w:t>擴大盤查，從原本能源、製造部門擴大到住商及運輸部門</w:t>
      </w:r>
      <w:r w:rsidR="00F761FC">
        <w:rPr>
          <w:rFonts w:hint="eastAsia"/>
        </w:rPr>
        <w:t>，即包含</w:t>
      </w:r>
      <w:r w:rsidR="00F761FC" w:rsidRPr="00C572D5">
        <w:rPr>
          <w:rFonts w:hint="eastAsia"/>
        </w:rPr>
        <w:t>鐵路運輸業</w:t>
      </w:r>
      <w:r w:rsidRPr="007F584A">
        <w:rPr>
          <w:rFonts w:hint="eastAsia"/>
        </w:rPr>
        <w:t>，</w:t>
      </w:r>
      <w:r w:rsidR="00F761FC">
        <w:rPr>
          <w:rFonts w:hint="eastAsia"/>
        </w:rPr>
        <w:t>以</w:t>
      </w:r>
      <w:r w:rsidRPr="007F584A">
        <w:rPr>
          <w:rFonts w:hint="eastAsia"/>
        </w:rPr>
        <w:t>結合各項輔導措施及深度節能，加速加大</w:t>
      </w:r>
      <w:proofErr w:type="gramStart"/>
      <w:r w:rsidRPr="007F584A">
        <w:rPr>
          <w:rFonts w:hint="eastAsia"/>
        </w:rPr>
        <w:t>減碳</w:t>
      </w:r>
      <w:proofErr w:type="gramEnd"/>
      <w:r w:rsidRPr="007F584A">
        <w:rPr>
          <w:rFonts w:hint="eastAsia"/>
        </w:rPr>
        <w:t>力道</w:t>
      </w:r>
      <w:r w:rsidRPr="002C582E">
        <w:rPr>
          <w:rFonts w:hint="eastAsia"/>
        </w:rPr>
        <w:t>。</w:t>
      </w:r>
      <w:r w:rsidR="00BE42EE">
        <w:rPr>
          <w:rFonts w:hint="eastAsia"/>
        </w:rPr>
        <w:t>然</w:t>
      </w:r>
      <w:proofErr w:type="gramStart"/>
      <w:r w:rsidRPr="002C582E">
        <w:rPr>
          <w:rFonts w:hint="eastAsia"/>
        </w:rPr>
        <w:t>臺</w:t>
      </w:r>
      <w:proofErr w:type="gramEnd"/>
      <w:r w:rsidRPr="002C582E">
        <w:rPr>
          <w:rFonts w:hint="eastAsia"/>
        </w:rPr>
        <w:t>鐵公司遲至</w:t>
      </w:r>
      <w:r w:rsidRPr="002C582E">
        <w:t>2025年</w:t>
      </w:r>
      <w:r w:rsidR="00346423">
        <w:rPr>
          <w:rFonts w:hint="eastAsia"/>
        </w:rPr>
        <w:t>方</w:t>
      </w:r>
      <w:r w:rsidRPr="002C582E">
        <w:t>啟動全面溫室氣體盤查</w:t>
      </w:r>
      <w:r w:rsidR="00671D1C" w:rsidRPr="002C23CC">
        <w:t>，</w:t>
      </w:r>
      <w:proofErr w:type="gramStart"/>
      <w:r w:rsidR="002C23CC" w:rsidRPr="002C23CC">
        <w:rPr>
          <w:rFonts w:hint="eastAsia"/>
        </w:rPr>
        <w:t>至今</w:t>
      </w:r>
      <w:proofErr w:type="gramEnd"/>
      <w:r w:rsidR="00163417">
        <w:t>迄未依</w:t>
      </w:r>
      <w:r w:rsidR="00671D1C" w:rsidRPr="00671D1C">
        <w:t>GRI準則</w:t>
      </w:r>
      <w:proofErr w:type="gramStart"/>
      <w:r w:rsidR="00671D1C" w:rsidRPr="00671D1C">
        <w:t>編製</w:t>
      </w:r>
      <w:r w:rsidRPr="002C582E">
        <w:t>永</w:t>
      </w:r>
      <w:proofErr w:type="gramEnd"/>
      <w:r w:rsidRPr="002C582E">
        <w:t>續報告書</w:t>
      </w:r>
      <w:r w:rsidR="002C23CC">
        <w:rPr>
          <w:rFonts w:hint="eastAsia"/>
        </w:rPr>
        <w:t>，</w:t>
      </w:r>
      <w:r w:rsidRPr="007F584A">
        <w:rPr>
          <w:rFonts w:hint="eastAsia"/>
          <w:bCs w:val="0"/>
        </w:rPr>
        <w:t>尚未</w:t>
      </w:r>
      <w:r w:rsidRPr="007F584A">
        <w:rPr>
          <w:bCs w:val="0"/>
        </w:rPr>
        <w:t>揭露具體ESG治理結構、目標與績效</w:t>
      </w:r>
      <w:r w:rsidRPr="007F584A">
        <w:rPr>
          <w:rFonts w:hint="eastAsia"/>
          <w:bCs w:val="0"/>
        </w:rPr>
        <w:t>，</w:t>
      </w:r>
      <w:r w:rsidRPr="007F584A">
        <w:rPr>
          <w:bCs w:val="0"/>
        </w:rPr>
        <w:t>導致其運輸服務對環境目標貢獻程度無從評估，亦影響主管機關與社會大眾之知情權，違反永續經濟活動應具</w:t>
      </w:r>
      <w:r w:rsidR="00671D1C">
        <w:rPr>
          <w:rFonts w:hint="eastAsia"/>
          <w:bCs w:val="0"/>
        </w:rPr>
        <w:t>備</w:t>
      </w:r>
      <w:r w:rsidRPr="007F584A">
        <w:rPr>
          <w:bCs w:val="0"/>
        </w:rPr>
        <w:t>之揭露標準</w:t>
      </w:r>
      <w:r w:rsidR="002C23CC">
        <w:rPr>
          <w:rFonts w:hint="eastAsia"/>
          <w:bCs w:val="0"/>
        </w:rPr>
        <w:t>。且該公司</w:t>
      </w:r>
      <w:r w:rsidR="002C23CC" w:rsidRPr="002C582E">
        <w:rPr>
          <w:rFonts w:hint="eastAsia"/>
        </w:rPr>
        <w:t>未全面</w:t>
      </w:r>
      <w:r w:rsidR="002C23CC" w:rsidRPr="002C582E">
        <w:t>設置列車之無障礙設施</w:t>
      </w:r>
      <w:r w:rsidR="002C23CC">
        <w:rPr>
          <w:rStyle w:val="aff4"/>
        </w:rPr>
        <w:footnoteReference w:id="4"/>
      </w:r>
      <w:r w:rsidR="002C23CC" w:rsidRPr="002C582E">
        <w:t>、對身心障礙者及行動不便者造成使用限制，涉有不符社會公平與交通人權保障原則之虞，與上述「社會包容性」原則不符</w:t>
      </w:r>
      <w:r w:rsidRPr="007F584A">
        <w:rPr>
          <w:rFonts w:hint="eastAsia"/>
          <w:bCs w:val="0"/>
        </w:rPr>
        <w:t>。</w:t>
      </w:r>
    </w:p>
    <w:p w:rsidR="0028639B" w:rsidRDefault="0028639B" w:rsidP="00C572D5">
      <w:pPr>
        <w:pStyle w:val="3"/>
        <w:spacing w:beforeLines="30" w:before="137"/>
        <w:ind w:hanging="680"/>
        <w:rPr>
          <w:rFonts w:hAnsi="標楷體"/>
          <w:szCs w:val="32"/>
        </w:rPr>
      </w:pPr>
      <w:r>
        <w:t>聯合國於1987年</w:t>
      </w:r>
      <w:r w:rsidR="00180194">
        <w:t>提出「永續發展」概念，定義為「在不損及未來世代需求下，滿足當代需求」。2015年193個會員國通過</w:t>
      </w:r>
      <w:r>
        <w:t>2030年永續發展議程，</w:t>
      </w:r>
      <w:r w:rsidR="00180194">
        <w:rPr>
          <w:rFonts w:hint="eastAsia"/>
        </w:rPr>
        <w:t>制定</w:t>
      </w:r>
      <w:r>
        <w:t>17項SDGs與169項子目標，並</w:t>
      </w:r>
      <w:r w:rsidR="00180194">
        <w:t>自2016年起實施，強調涵蓋</w:t>
      </w:r>
      <w:r>
        <w:t>ESG三大框架，涵蓋貧窮、飢餓、健康、教育、人權</w:t>
      </w:r>
      <w:r>
        <w:lastRenderedPageBreak/>
        <w:t>及各項環境議題，呼籲各國政府</w:t>
      </w:r>
      <w:r w:rsidR="00180194">
        <w:t>依「5P原則」</w:t>
      </w:r>
      <w:r w:rsidR="00432CEA">
        <w:t>(</w:t>
      </w:r>
      <w:r w:rsidR="00180194" w:rsidRPr="00E160D5">
        <w:rPr>
          <w:rFonts w:ascii="Times New Roman" w:hAnsi="Times New Roman"/>
        </w:rPr>
        <w:t>People</w:t>
      </w:r>
      <w:r w:rsidR="00736890" w:rsidRPr="00E160D5">
        <w:rPr>
          <w:rFonts w:ascii="Times New Roman" w:hAnsi="Times New Roman"/>
        </w:rPr>
        <w:t xml:space="preserve">, </w:t>
      </w:r>
      <w:r w:rsidR="00180194" w:rsidRPr="00E160D5">
        <w:rPr>
          <w:rFonts w:ascii="Times New Roman" w:hAnsi="Times New Roman"/>
        </w:rPr>
        <w:t>Planet</w:t>
      </w:r>
      <w:r w:rsidR="00736890" w:rsidRPr="00E160D5">
        <w:rPr>
          <w:rFonts w:ascii="Times New Roman" w:hAnsi="Times New Roman"/>
        </w:rPr>
        <w:t xml:space="preserve">, </w:t>
      </w:r>
      <w:r w:rsidR="00180194" w:rsidRPr="00E160D5">
        <w:rPr>
          <w:rFonts w:ascii="Times New Roman" w:hAnsi="Times New Roman"/>
        </w:rPr>
        <w:t>Prosperity</w:t>
      </w:r>
      <w:r w:rsidR="00736890" w:rsidRPr="00E160D5">
        <w:rPr>
          <w:rFonts w:ascii="Times New Roman" w:hAnsi="Times New Roman"/>
        </w:rPr>
        <w:t xml:space="preserve">, </w:t>
      </w:r>
      <w:r w:rsidR="00180194" w:rsidRPr="00E160D5">
        <w:rPr>
          <w:rFonts w:ascii="Times New Roman" w:hAnsi="Times New Roman"/>
        </w:rPr>
        <w:t>Peace</w:t>
      </w:r>
      <w:r w:rsidR="00736890" w:rsidRPr="00E160D5">
        <w:rPr>
          <w:rFonts w:ascii="Times New Roman" w:hAnsi="Times New Roman"/>
        </w:rPr>
        <w:t xml:space="preserve">, </w:t>
      </w:r>
      <w:r w:rsidR="00180194" w:rsidRPr="00E160D5">
        <w:rPr>
          <w:rFonts w:ascii="Times New Roman" w:hAnsi="Times New Roman"/>
        </w:rPr>
        <w:t>Partnership</w:t>
      </w:r>
      <w:r w:rsidR="00432CEA">
        <w:t>)</w:t>
      </w:r>
      <w:r w:rsidR="00180194">
        <w:t>調整政策與設立推動機制。除國家層級行動外，聯合國亦鼓勵企業與非政府組織參與，企業更被視為SDGs實現之關鍵</w:t>
      </w:r>
      <w:r w:rsidR="00180194" w:rsidRPr="00432CEA">
        <w:rPr>
          <w:rFonts w:hAnsi="標楷體"/>
          <w:szCs w:val="32"/>
        </w:rPr>
        <w:t>推動者。國際倡議組織所發展的SDGs報導指引，目的在協助企業在既有永續報告基礎上，辨識價值鏈中的SDGs風險與機會，篩選優先目標並說明相關作為，透過如GRI等指標，實踐4C</w:t>
      </w:r>
      <w:r w:rsidR="00432CEA" w:rsidRPr="00432CEA">
        <w:rPr>
          <w:rFonts w:hAnsi="標楷體"/>
          <w:szCs w:val="32"/>
        </w:rPr>
        <w:t>(</w:t>
      </w:r>
      <w:r w:rsidR="00736890" w:rsidRPr="00E160D5">
        <w:rPr>
          <w:rFonts w:ascii="Times New Roman" w:hAnsi="Times New Roman"/>
          <w:szCs w:val="32"/>
        </w:rPr>
        <w:t>C</w:t>
      </w:r>
      <w:r w:rsidR="00180194" w:rsidRPr="00E160D5">
        <w:rPr>
          <w:rFonts w:ascii="Times New Roman" w:hAnsi="Times New Roman"/>
          <w:szCs w:val="32"/>
        </w:rPr>
        <w:t xml:space="preserve">oncise, </w:t>
      </w:r>
      <w:r w:rsidR="00736890" w:rsidRPr="00E160D5">
        <w:rPr>
          <w:rFonts w:ascii="Times New Roman" w:hAnsi="Times New Roman"/>
          <w:szCs w:val="32"/>
        </w:rPr>
        <w:t>C</w:t>
      </w:r>
      <w:r w:rsidR="00180194" w:rsidRPr="00E160D5">
        <w:rPr>
          <w:rFonts w:ascii="Times New Roman" w:hAnsi="Times New Roman"/>
          <w:szCs w:val="32"/>
        </w:rPr>
        <w:t xml:space="preserve">onsistent, </w:t>
      </w:r>
      <w:r w:rsidR="00736890" w:rsidRPr="00E160D5">
        <w:rPr>
          <w:rFonts w:ascii="Times New Roman" w:hAnsi="Times New Roman"/>
          <w:szCs w:val="32"/>
        </w:rPr>
        <w:t>C</w:t>
      </w:r>
      <w:r w:rsidR="00180194" w:rsidRPr="00E160D5">
        <w:rPr>
          <w:rFonts w:ascii="Times New Roman" w:hAnsi="Times New Roman"/>
          <w:szCs w:val="32"/>
        </w:rPr>
        <w:t xml:space="preserve">urrent and </w:t>
      </w:r>
      <w:r w:rsidR="00736890" w:rsidRPr="00E160D5">
        <w:rPr>
          <w:rFonts w:ascii="Times New Roman" w:hAnsi="Times New Roman"/>
          <w:szCs w:val="32"/>
        </w:rPr>
        <w:t>C</w:t>
      </w:r>
      <w:r w:rsidR="00180194" w:rsidRPr="00E160D5">
        <w:rPr>
          <w:rFonts w:ascii="Times New Roman" w:hAnsi="Times New Roman"/>
          <w:szCs w:val="32"/>
        </w:rPr>
        <w:t>omparable</w:t>
      </w:r>
      <w:r w:rsidR="00432CEA" w:rsidRPr="00432CEA">
        <w:rPr>
          <w:rFonts w:hAnsi="標楷體"/>
          <w:szCs w:val="32"/>
        </w:rPr>
        <w:t>)</w:t>
      </w:r>
      <w:r w:rsidR="00180194" w:rsidRPr="00432CEA">
        <w:rPr>
          <w:rFonts w:hAnsi="標楷體"/>
          <w:szCs w:val="32"/>
        </w:rPr>
        <w:t>原則，產出具社會影響力的報告內容。</w:t>
      </w:r>
      <w:proofErr w:type="gramStart"/>
      <w:r w:rsidR="00736890">
        <w:rPr>
          <w:rFonts w:hAnsi="標楷體" w:hint="eastAsia"/>
          <w:szCs w:val="32"/>
        </w:rPr>
        <w:t>按</w:t>
      </w:r>
      <w:r w:rsidR="00432CEA" w:rsidRPr="00432CEA">
        <w:rPr>
          <w:rFonts w:hAnsi="標楷體"/>
          <w:szCs w:val="32"/>
        </w:rPr>
        <w:t>永續</w:t>
      </w:r>
      <w:proofErr w:type="gramEnd"/>
      <w:r w:rsidR="00432CEA" w:rsidRPr="00432CEA">
        <w:rPr>
          <w:rFonts w:hAnsi="標楷體"/>
          <w:szCs w:val="32"/>
        </w:rPr>
        <w:t>報告書係企業或政府部門就其在ESG面向之作為與績效進行揭露的工具，主要目的包括：提升資訊透明度</w:t>
      </w:r>
      <w:r w:rsidR="00432CEA" w:rsidRPr="00432CEA">
        <w:rPr>
          <w:rFonts w:hAnsi="標楷體" w:hint="eastAsia"/>
          <w:szCs w:val="32"/>
        </w:rPr>
        <w:t>、</w:t>
      </w:r>
      <w:r w:rsidR="00432CEA" w:rsidRPr="00432CEA">
        <w:rPr>
          <w:rFonts w:hAnsi="標楷體"/>
          <w:szCs w:val="32"/>
        </w:rPr>
        <w:t>回應利害關係人關切</w:t>
      </w:r>
      <w:r w:rsidR="00432CEA" w:rsidRPr="00432CEA">
        <w:rPr>
          <w:rFonts w:hAnsi="標楷體" w:hint="eastAsia"/>
          <w:szCs w:val="32"/>
        </w:rPr>
        <w:t>、</w:t>
      </w:r>
      <w:r w:rsidR="00432CEA" w:rsidRPr="00432CEA">
        <w:rPr>
          <w:rFonts w:hAnsi="標楷體"/>
          <w:szCs w:val="32"/>
        </w:rPr>
        <w:t>檢視自身風險與機會</w:t>
      </w:r>
      <w:r w:rsidR="00432CEA" w:rsidRPr="00432CEA">
        <w:rPr>
          <w:rFonts w:hAnsi="標楷體" w:hint="eastAsia"/>
          <w:szCs w:val="32"/>
        </w:rPr>
        <w:t>、</w:t>
      </w:r>
      <w:r w:rsidR="00432CEA" w:rsidRPr="00432CEA">
        <w:rPr>
          <w:rFonts w:hAnsi="標楷體"/>
          <w:szCs w:val="32"/>
        </w:rPr>
        <w:t>展現對永續責任的承諾與績效</w:t>
      </w:r>
      <w:r w:rsidR="00432CEA" w:rsidRPr="00432CEA">
        <w:rPr>
          <w:rFonts w:hAnsi="標楷體" w:hint="eastAsia"/>
          <w:szCs w:val="32"/>
        </w:rPr>
        <w:t>。</w:t>
      </w:r>
      <w:r w:rsidR="00432CEA" w:rsidRPr="00432CEA">
        <w:rPr>
          <w:rFonts w:hAnsi="標楷體"/>
          <w:szCs w:val="32"/>
        </w:rPr>
        <w:t>SDGs提供永續報告內容的指引方向，許多永續報告書會明確揭示其各項策略或行動與SDGs對應之目標編號與指標，以具體說明組織對國際永續議程的貢獻。SDGs提供可量化之目標與指標，有助於企業或政府衡量自身作為的成效，並作為追蹤與評估永續策略成效之依據。將永續報告與SDGs對齊，可展現組織對全球性議題</w:t>
      </w:r>
      <w:r w:rsidR="003F37E8">
        <w:rPr>
          <w:rFonts w:hAnsi="標楷體"/>
          <w:szCs w:val="32"/>
        </w:rPr>
        <w:t>(</w:t>
      </w:r>
      <w:r w:rsidR="00432CEA" w:rsidRPr="00432CEA">
        <w:rPr>
          <w:rFonts w:hAnsi="標楷體"/>
          <w:szCs w:val="32"/>
        </w:rPr>
        <w:t>如貧窮、不平等、氣候變遷等</w:t>
      </w:r>
      <w:r w:rsidR="003F37E8">
        <w:rPr>
          <w:rFonts w:hAnsi="標楷體"/>
          <w:szCs w:val="32"/>
        </w:rPr>
        <w:t>)</w:t>
      </w:r>
      <w:r w:rsidR="00432CEA" w:rsidRPr="00432CEA">
        <w:rPr>
          <w:rFonts w:hAnsi="標楷體"/>
          <w:szCs w:val="32"/>
        </w:rPr>
        <w:t>之關注與責任，有助於強化利害關係人</w:t>
      </w:r>
      <w:r w:rsidR="003F37E8">
        <w:rPr>
          <w:rFonts w:hAnsi="標楷體"/>
          <w:szCs w:val="32"/>
        </w:rPr>
        <w:t>(</w:t>
      </w:r>
      <w:r w:rsidR="00432CEA" w:rsidRPr="00432CEA">
        <w:rPr>
          <w:rFonts w:hAnsi="標楷體"/>
          <w:szCs w:val="32"/>
        </w:rPr>
        <w:t>投資人、民眾、政府機關等</w:t>
      </w:r>
      <w:r w:rsidR="003F37E8">
        <w:rPr>
          <w:rFonts w:hAnsi="標楷體"/>
          <w:szCs w:val="32"/>
        </w:rPr>
        <w:t>)</w:t>
      </w:r>
      <w:r w:rsidR="00432CEA" w:rsidRPr="00432CEA">
        <w:rPr>
          <w:rFonts w:hAnsi="標楷體"/>
          <w:szCs w:val="32"/>
        </w:rPr>
        <w:t>對組織的信任與支持。多數永續報告</w:t>
      </w:r>
      <w:r w:rsidR="00DA7152">
        <w:rPr>
          <w:rFonts w:hAnsi="標楷體" w:hint="eastAsia"/>
          <w:szCs w:val="32"/>
        </w:rPr>
        <w:t>書</w:t>
      </w:r>
      <w:r w:rsidR="00432CEA" w:rsidRPr="00432CEA">
        <w:rPr>
          <w:rFonts w:hAnsi="標楷體"/>
          <w:szCs w:val="32"/>
        </w:rPr>
        <w:t>撰寫會採用如GRI</w:t>
      </w:r>
      <w:r w:rsidR="00DA7152">
        <w:rPr>
          <w:rFonts w:hAnsi="標楷體" w:hint="eastAsia"/>
          <w:szCs w:val="32"/>
        </w:rPr>
        <w:t>準則</w:t>
      </w:r>
      <w:r w:rsidR="00432CEA" w:rsidRPr="00432CEA">
        <w:rPr>
          <w:rFonts w:hAnsi="標楷體"/>
          <w:szCs w:val="32"/>
        </w:rPr>
        <w:t>、SASB</w:t>
      </w:r>
      <w:r w:rsidR="00DA7152">
        <w:rPr>
          <w:rFonts w:hAnsi="標楷體" w:hint="eastAsia"/>
          <w:szCs w:val="32"/>
        </w:rPr>
        <w:t>準則</w:t>
      </w:r>
      <w:r w:rsidR="00432CEA" w:rsidRPr="00432CEA">
        <w:rPr>
          <w:rFonts w:hAnsi="標楷體"/>
          <w:szCs w:val="32"/>
        </w:rPr>
        <w:t>等，而GRI準則本身已與SDGs相容並提供對應參照表，使組織可更容易將實際作為與SDGs連結。</w:t>
      </w:r>
    </w:p>
    <w:p w:rsidR="0028639B" w:rsidRPr="00531DDA" w:rsidRDefault="00525F82" w:rsidP="00895864">
      <w:pPr>
        <w:pStyle w:val="3"/>
        <w:spacing w:beforeLines="30" w:before="137"/>
      </w:pPr>
      <w:r w:rsidRPr="000B48E5">
        <w:rPr>
          <w:rFonts w:hAnsi="標楷體"/>
          <w:szCs w:val="32"/>
        </w:rPr>
        <w:t>永續發展向為我國所重視的核心價值之一，為追求我國積極邁向永續發展，並回應全球永續發展行動與國際接軌，同時兼顧在地化的發展需要，行政院國家永續發展委員會</w:t>
      </w:r>
      <w:r w:rsidRPr="000B48E5">
        <w:rPr>
          <w:rFonts w:hAnsi="標楷體" w:hint="eastAsia"/>
          <w:szCs w:val="32"/>
        </w:rPr>
        <w:t>(下</w:t>
      </w:r>
      <w:r w:rsidRPr="000B48E5">
        <w:rPr>
          <w:rFonts w:hAnsi="標楷體"/>
          <w:szCs w:val="32"/>
        </w:rPr>
        <w:t>稱永續會</w:t>
      </w:r>
      <w:r w:rsidRPr="000B48E5">
        <w:rPr>
          <w:rFonts w:hAnsi="標楷體" w:hint="eastAsia"/>
          <w:szCs w:val="32"/>
        </w:rPr>
        <w:t>)</w:t>
      </w:r>
      <w:r w:rsidRPr="000B48E5">
        <w:rPr>
          <w:rFonts w:hAnsi="標楷體"/>
          <w:szCs w:val="32"/>
        </w:rPr>
        <w:t>於2016年</w:t>
      </w:r>
      <w:r>
        <w:rPr>
          <w:rFonts w:hAnsi="標楷體" w:hint="eastAsia"/>
          <w:szCs w:val="32"/>
        </w:rPr>
        <w:t>啟動</w:t>
      </w:r>
      <w:r w:rsidRPr="000B48E5">
        <w:rPr>
          <w:rFonts w:hAnsi="標楷體"/>
          <w:szCs w:val="32"/>
        </w:rPr>
        <w:lastRenderedPageBreak/>
        <w:t>研訂「臺灣永續發展目標」</w:t>
      </w:r>
      <w:r>
        <w:rPr>
          <w:rFonts w:hAnsi="標楷體" w:hint="eastAsia"/>
          <w:szCs w:val="32"/>
        </w:rPr>
        <w:t>(下稱</w:t>
      </w:r>
      <w:r w:rsidRPr="00331487">
        <w:rPr>
          <w:rFonts w:hAnsi="標楷體" w:hint="eastAsia"/>
          <w:szCs w:val="32"/>
        </w:rPr>
        <w:t>臺</w:t>
      </w:r>
      <w:r w:rsidRPr="00331487">
        <w:rPr>
          <w:rFonts w:hAnsi="標楷體"/>
          <w:szCs w:val="32"/>
        </w:rPr>
        <w:t>灣SDGs</w:t>
      </w:r>
      <w:r>
        <w:rPr>
          <w:rFonts w:hAnsi="標楷體"/>
          <w:szCs w:val="32"/>
        </w:rPr>
        <w:t>)</w:t>
      </w:r>
      <w:r>
        <w:rPr>
          <w:rFonts w:hAnsi="標楷體" w:hint="eastAsia"/>
          <w:szCs w:val="32"/>
        </w:rPr>
        <w:t>作業，</w:t>
      </w:r>
      <w:r w:rsidRPr="00840F4E">
        <w:rPr>
          <w:rFonts w:hAnsi="標楷體"/>
          <w:szCs w:val="32"/>
        </w:rPr>
        <w:t>2018年完成，隔年再訂定對應指標。</w:t>
      </w:r>
      <w:r w:rsidRPr="00331487">
        <w:rPr>
          <w:rFonts w:hAnsi="標楷體" w:hint="eastAsia"/>
          <w:szCs w:val="32"/>
        </w:rPr>
        <w:t>臺</w:t>
      </w:r>
      <w:r w:rsidRPr="00331487">
        <w:rPr>
          <w:rFonts w:hAnsi="標楷體"/>
          <w:szCs w:val="32"/>
        </w:rPr>
        <w:t>灣SDGs</w:t>
      </w:r>
      <w:r w:rsidRPr="00840F4E">
        <w:rPr>
          <w:rFonts w:hAnsi="標楷體"/>
          <w:szCs w:val="32"/>
        </w:rPr>
        <w:t>計有18項核心目標、143項具體目標及336項對應指標</w:t>
      </w:r>
      <w:r>
        <w:rPr>
          <w:rFonts w:hAnsi="標楷體" w:hint="eastAsia"/>
          <w:szCs w:val="32"/>
        </w:rPr>
        <w:t>，</w:t>
      </w:r>
      <w:proofErr w:type="gramStart"/>
      <w:r>
        <w:rPr>
          <w:rFonts w:hAnsi="標楷體" w:hint="eastAsia"/>
          <w:szCs w:val="32"/>
        </w:rPr>
        <w:t>嗣</w:t>
      </w:r>
      <w:proofErr w:type="gramEnd"/>
      <w:r w:rsidRPr="00840F4E">
        <w:rPr>
          <w:rFonts w:hAnsi="標楷體"/>
          <w:szCs w:val="32"/>
        </w:rPr>
        <w:t>由行政院核定修正後計有337項對應指標</w:t>
      </w:r>
      <w:r>
        <w:rPr>
          <w:rFonts w:hAnsi="標楷體" w:hint="eastAsia"/>
          <w:szCs w:val="32"/>
        </w:rPr>
        <w:t>，乃</w:t>
      </w:r>
      <w:r w:rsidRPr="00064C8E">
        <w:rPr>
          <w:rFonts w:hAnsi="標楷體"/>
          <w:szCs w:val="32"/>
        </w:rPr>
        <w:t>結合本國情境訂出具體目標與行動方案，涵蓋環境永續、社會包容、經濟轉型與良善治理等面向。</w:t>
      </w:r>
      <w:proofErr w:type="gramStart"/>
      <w:r>
        <w:rPr>
          <w:rFonts w:hAnsi="標楷體" w:hint="eastAsia"/>
          <w:szCs w:val="32"/>
        </w:rPr>
        <w:t>此外，</w:t>
      </w:r>
      <w:proofErr w:type="gramEnd"/>
      <w:r w:rsidRPr="00064C8E">
        <w:rPr>
          <w:rFonts w:hAnsi="標楷體"/>
          <w:szCs w:val="32"/>
        </w:rPr>
        <w:t>行政院</w:t>
      </w:r>
      <w:r>
        <w:rPr>
          <w:rFonts w:hAnsi="標楷體" w:hint="eastAsia"/>
          <w:szCs w:val="32"/>
        </w:rPr>
        <w:t>於</w:t>
      </w:r>
      <w:r w:rsidRPr="00064C8E">
        <w:rPr>
          <w:rFonts w:hAnsi="標楷體"/>
          <w:szCs w:val="32"/>
        </w:rPr>
        <w:t>推動企業社會責任及永續報導制度</w:t>
      </w:r>
      <w:r>
        <w:rPr>
          <w:rFonts w:hAnsi="標楷體" w:hint="eastAsia"/>
          <w:szCs w:val="32"/>
        </w:rPr>
        <w:t>之際</w:t>
      </w:r>
      <w:r w:rsidRPr="00064C8E">
        <w:rPr>
          <w:rFonts w:hAnsi="標楷體"/>
          <w:szCs w:val="32"/>
        </w:rPr>
        <w:t>，</w:t>
      </w:r>
      <w:r>
        <w:rPr>
          <w:rFonts w:hAnsi="標楷體" w:hint="eastAsia"/>
          <w:szCs w:val="32"/>
        </w:rPr>
        <w:t>允應</w:t>
      </w:r>
      <w:r w:rsidRPr="00331487">
        <w:rPr>
          <w:rFonts w:hAnsi="標楷體"/>
          <w:szCs w:val="32"/>
        </w:rPr>
        <w:t>強調政府機構及公營事業</w:t>
      </w:r>
      <w:r w:rsidRPr="00064C8E">
        <w:rPr>
          <w:rFonts w:hAnsi="標楷體"/>
          <w:szCs w:val="32"/>
        </w:rPr>
        <w:t>依「公司治理3.0」</w:t>
      </w:r>
      <w:r>
        <w:rPr>
          <w:rFonts w:hAnsi="標楷體" w:hint="eastAsia"/>
          <w:szCs w:val="32"/>
        </w:rPr>
        <w:t>、</w:t>
      </w:r>
      <w:r w:rsidRPr="00064C8E">
        <w:rPr>
          <w:rFonts w:hAnsi="標楷體"/>
          <w:szCs w:val="32"/>
        </w:rPr>
        <w:t>GRI</w:t>
      </w:r>
      <w:r w:rsidRPr="00432CEA">
        <w:rPr>
          <w:rFonts w:hAnsi="標楷體"/>
          <w:szCs w:val="32"/>
        </w:rPr>
        <w:t>、SASB或TCFD</w:t>
      </w:r>
      <w:r>
        <w:rPr>
          <w:rFonts w:hAnsi="標楷體" w:hint="eastAsia"/>
          <w:szCs w:val="32"/>
        </w:rPr>
        <w:t>等國際通用</w:t>
      </w:r>
      <w:r w:rsidRPr="00064C8E">
        <w:rPr>
          <w:rFonts w:hAnsi="標楷體"/>
          <w:szCs w:val="32"/>
        </w:rPr>
        <w:t>準則揭露ESG資訊，</w:t>
      </w:r>
      <w:r w:rsidRPr="00331487">
        <w:rPr>
          <w:rFonts w:hAnsi="標楷體"/>
          <w:szCs w:val="32"/>
        </w:rPr>
        <w:t>比照</w:t>
      </w:r>
      <w:r>
        <w:rPr>
          <w:rFonts w:hAnsi="標楷體" w:hint="eastAsia"/>
          <w:szCs w:val="32"/>
        </w:rPr>
        <w:t>民間</w:t>
      </w:r>
      <w:r w:rsidRPr="00331487">
        <w:rPr>
          <w:rFonts w:hAnsi="標楷體"/>
          <w:szCs w:val="32"/>
        </w:rPr>
        <w:t>企業撰寫永續報告書</w:t>
      </w:r>
      <w:r>
        <w:rPr>
          <w:rFonts w:hAnsi="標楷體" w:hint="eastAsia"/>
          <w:szCs w:val="32"/>
        </w:rPr>
        <w:t>，</w:t>
      </w:r>
      <w:r w:rsidRPr="00064C8E">
        <w:rPr>
          <w:rFonts w:hAnsi="標楷體"/>
          <w:szCs w:val="32"/>
        </w:rPr>
        <w:t>以提升政策透明度與社會責任實踐。</w:t>
      </w:r>
      <w:r>
        <w:rPr>
          <w:rFonts w:hAnsi="標楷體" w:hint="eastAsia"/>
          <w:szCs w:val="32"/>
        </w:rPr>
        <w:t>另</w:t>
      </w:r>
      <w:r w:rsidRPr="00064C8E">
        <w:rPr>
          <w:rFonts w:hAnsi="標楷體"/>
          <w:szCs w:val="32"/>
        </w:rPr>
        <w:t>針對弱勢族群與障礙者權益，政府訂有相關政策工具，如通用設計、無障礙環境指引、身心障礙者權益保障法等，以實踐SDG 10「</w:t>
      </w:r>
      <w:r w:rsidR="00E81B36">
        <w:rPr>
          <w:rFonts w:hAnsi="標楷體" w:hint="eastAsia"/>
          <w:szCs w:val="32"/>
        </w:rPr>
        <w:t>促進均</w:t>
      </w:r>
      <w:r w:rsidRPr="00064C8E">
        <w:rPr>
          <w:rFonts w:hAnsi="標楷體"/>
          <w:szCs w:val="32"/>
        </w:rPr>
        <w:t>等」、SDG 11「永續城</w:t>
      </w:r>
      <w:r w:rsidR="00E81B36">
        <w:rPr>
          <w:rFonts w:hAnsi="標楷體" w:hint="eastAsia"/>
          <w:szCs w:val="32"/>
        </w:rPr>
        <w:t>市與社區</w:t>
      </w:r>
      <w:r w:rsidRPr="00064C8E">
        <w:rPr>
          <w:rFonts w:hAnsi="標楷體"/>
          <w:szCs w:val="32"/>
        </w:rPr>
        <w:t>」</w:t>
      </w:r>
      <w:r>
        <w:rPr>
          <w:rFonts w:hAnsi="標楷體" w:hint="eastAsia"/>
          <w:szCs w:val="32"/>
        </w:rPr>
        <w:t>、</w:t>
      </w:r>
      <w:r w:rsidRPr="000B0868">
        <w:rPr>
          <w:rStyle w:val="aff"/>
          <w:rFonts w:hint="eastAsia"/>
          <w:b w:val="0"/>
        </w:rPr>
        <w:t>臺灣SDG</w:t>
      </w:r>
      <w:r w:rsidRPr="000B0868">
        <w:rPr>
          <w:rStyle w:val="aff"/>
          <w:b w:val="0"/>
        </w:rPr>
        <w:t xml:space="preserve"> 11</w:t>
      </w:r>
      <w:r>
        <w:rPr>
          <w:rStyle w:val="aff"/>
          <w:rFonts w:hint="eastAsia"/>
          <w:b w:val="0"/>
        </w:rPr>
        <w:t>「</w:t>
      </w:r>
      <w:r w:rsidRPr="000B0868">
        <w:rPr>
          <w:rStyle w:val="aff"/>
          <w:rFonts w:hint="eastAsia"/>
          <w:b w:val="0"/>
        </w:rPr>
        <w:t>建構具包容、安全、韌性及永續特質的城市與鄉村</w:t>
      </w:r>
      <w:r>
        <w:rPr>
          <w:rStyle w:val="aff"/>
          <w:rFonts w:hint="eastAsia"/>
          <w:b w:val="0"/>
        </w:rPr>
        <w:t>」</w:t>
      </w:r>
      <w:r w:rsidRPr="00064C8E">
        <w:rPr>
          <w:rFonts w:hAnsi="標楷體"/>
          <w:szCs w:val="32"/>
        </w:rPr>
        <w:t>等目標。</w:t>
      </w:r>
    </w:p>
    <w:p w:rsidR="005873AB" w:rsidRDefault="00AB38C2" w:rsidP="00C572D5">
      <w:pPr>
        <w:pStyle w:val="3"/>
        <w:spacing w:beforeLines="30" w:before="137"/>
      </w:pPr>
      <w:r>
        <w:rPr>
          <w:rFonts w:hAnsi="標楷體" w:hint="eastAsia"/>
          <w:szCs w:val="32"/>
        </w:rPr>
        <w:t>查</w:t>
      </w:r>
      <w:r w:rsidR="005873AB">
        <w:rPr>
          <w:rFonts w:hAnsi="標楷體" w:hint="eastAsia"/>
          <w:szCs w:val="32"/>
        </w:rPr>
        <w:t>臺</w:t>
      </w:r>
      <w:r w:rsidR="005873AB">
        <w:t>鐵公司</w:t>
      </w:r>
      <w:r w:rsidR="00183774" w:rsidRPr="00183774">
        <w:t>未全面設置列車之無障礙設施，</w:t>
      </w:r>
      <w:r w:rsidR="00183774" w:rsidRPr="00183774">
        <w:rPr>
          <w:rFonts w:hint="eastAsia"/>
        </w:rPr>
        <w:t>於</w:t>
      </w:r>
      <w:r w:rsidR="00183774" w:rsidRPr="00183774">
        <w:t>內部建議提出後</w:t>
      </w:r>
      <w:r w:rsidR="00346423">
        <w:rPr>
          <w:rFonts w:hint="eastAsia"/>
        </w:rPr>
        <w:t>，仍</w:t>
      </w:r>
      <w:r w:rsidR="000F5EBA">
        <w:rPr>
          <w:rFonts w:hint="eastAsia"/>
        </w:rPr>
        <w:t>遲</w:t>
      </w:r>
      <w:r w:rsidR="00346423">
        <w:rPr>
          <w:rFonts w:hint="eastAsia"/>
        </w:rPr>
        <w:t>未見改善</w:t>
      </w:r>
      <w:r w:rsidR="005873AB">
        <w:rPr>
          <w:rFonts w:hint="eastAsia"/>
        </w:rPr>
        <w:t>等</w:t>
      </w:r>
      <w:r w:rsidR="005873AB">
        <w:t>情，</w:t>
      </w:r>
      <w:r w:rsidR="00C348D4">
        <w:rPr>
          <w:rFonts w:hint="eastAsia"/>
        </w:rPr>
        <w:t>實</w:t>
      </w:r>
      <w:r w:rsidR="005873AB">
        <w:t>與SDGs背道而馳</w:t>
      </w:r>
      <w:r w:rsidR="001E7E4C">
        <w:rPr>
          <w:rFonts w:hint="eastAsia"/>
        </w:rPr>
        <w:t>，其</w:t>
      </w:r>
      <w:r w:rsidR="005873AB">
        <w:t>涉及違反或落實不全的</w:t>
      </w:r>
      <w:r w:rsidR="0003627A">
        <w:rPr>
          <w:rFonts w:hint="eastAsia"/>
        </w:rPr>
        <w:t>聯合國</w:t>
      </w:r>
      <w:r w:rsidR="005873AB">
        <w:t>SDGs</w:t>
      </w:r>
      <w:r w:rsidR="0003627A">
        <w:rPr>
          <w:rFonts w:hint="eastAsia"/>
        </w:rPr>
        <w:t>及臺灣SDGs</w:t>
      </w:r>
      <w:r w:rsidR="005873AB">
        <w:t>目標如下：</w:t>
      </w:r>
    </w:p>
    <w:p w:rsidR="00127493" w:rsidRPr="00567B33" w:rsidRDefault="00127493" w:rsidP="00C572D5">
      <w:pPr>
        <w:pStyle w:val="4"/>
        <w:spacing w:beforeLines="30" w:before="137"/>
        <w:rPr>
          <w:rStyle w:val="aff"/>
          <w:b w:val="0"/>
        </w:rPr>
      </w:pPr>
      <w:r w:rsidRPr="00BB0A8A">
        <w:rPr>
          <w:rStyle w:val="aff"/>
          <w:rFonts w:hint="eastAsia"/>
          <w:b w:val="0"/>
        </w:rPr>
        <w:t>聯合國SDG</w:t>
      </w:r>
      <w:r w:rsidRPr="00BB0A8A">
        <w:rPr>
          <w:rStyle w:val="aff"/>
          <w:b w:val="0"/>
        </w:rPr>
        <w:t xml:space="preserve"> 9</w:t>
      </w:r>
      <w:r w:rsidR="00BB0A8A" w:rsidRPr="00BB0A8A">
        <w:rPr>
          <w:rStyle w:val="aff"/>
          <w:rFonts w:hint="eastAsia"/>
          <w:b w:val="0"/>
        </w:rPr>
        <w:t>「</w:t>
      </w:r>
      <w:r w:rsidR="009B7592">
        <w:rPr>
          <w:rStyle w:val="aff"/>
          <w:rFonts w:hint="eastAsia"/>
          <w:b w:val="0"/>
        </w:rPr>
        <w:t>產業</w:t>
      </w:r>
      <w:r w:rsidR="002C23CC">
        <w:rPr>
          <w:rStyle w:val="aff"/>
          <w:rFonts w:hint="eastAsia"/>
          <w:b w:val="0"/>
        </w:rPr>
        <w:t>創新</w:t>
      </w:r>
      <w:r w:rsidR="009B7592">
        <w:rPr>
          <w:rStyle w:val="aff"/>
          <w:rFonts w:hint="eastAsia"/>
          <w:b w:val="0"/>
        </w:rPr>
        <w:t>與</w:t>
      </w:r>
      <w:r w:rsidR="00BB0A8A" w:rsidRPr="00BB0A8A">
        <w:rPr>
          <w:rStyle w:val="aff"/>
          <w:rFonts w:hint="eastAsia"/>
          <w:b w:val="0"/>
        </w:rPr>
        <w:t>基礎建設」(</w:t>
      </w:r>
      <w:r w:rsidR="00BB0A8A" w:rsidRPr="00E160D5">
        <w:rPr>
          <w:rStyle w:val="aff"/>
          <w:rFonts w:ascii="Times New Roman" w:hAnsi="Times New Roman"/>
          <w:b w:val="0"/>
        </w:rPr>
        <w:t>Industry ,Innovation and Infrastructure</w:t>
      </w:r>
      <w:r w:rsidR="00BB0A8A" w:rsidRPr="00BB0A8A">
        <w:rPr>
          <w:rStyle w:val="aff"/>
          <w:b w:val="0"/>
        </w:rPr>
        <w:t>)</w:t>
      </w:r>
      <w:r w:rsidR="00BB0A8A" w:rsidRPr="00BB0A8A">
        <w:rPr>
          <w:rStyle w:val="aff"/>
          <w:rFonts w:hint="eastAsia"/>
          <w:b w:val="0"/>
        </w:rPr>
        <w:t>之子目標9</w:t>
      </w:r>
      <w:r w:rsidR="00BB0A8A" w:rsidRPr="00BB0A8A">
        <w:rPr>
          <w:rStyle w:val="aff"/>
          <w:b w:val="0"/>
        </w:rPr>
        <w:t>.1</w:t>
      </w:r>
      <w:r w:rsidR="00BB0A8A" w:rsidRPr="00BB0A8A">
        <w:rPr>
          <w:rStyle w:val="aff"/>
          <w:rFonts w:hint="eastAsia"/>
          <w:b w:val="0"/>
        </w:rPr>
        <w:t>：</w:t>
      </w:r>
      <w:r w:rsidR="00BB0A8A" w:rsidRPr="00BB0A8A">
        <w:rPr>
          <w:rStyle w:val="aff"/>
          <w:b w:val="0"/>
        </w:rPr>
        <w:t>發展具品質、可靠、</w:t>
      </w:r>
      <w:proofErr w:type="gramStart"/>
      <w:r w:rsidR="00BB0A8A" w:rsidRPr="00BB0A8A">
        <w:rPr>
          <w:rStyle w:val="aff"/>
          <w:b w:val="0"/>
        </w:rPr>
        <w:t>永續且具</w:t>
      </w:r>
      <w:proofErr w:type="gramEnd"/>
      <w:r w:rsidR="00BB0A8A" w:rsidRPr="00BB0A8A">
        <w:rPr>
          <w:rStyle w:val="aff"/>
          <w:b w:val="0"/>
        </w:rPr>
        <w:t>韌性的基礎建設，聚焦於可負擔與公平存取，特別是對弱勢族群。</w:t>
      </w:r>
      <w:r w:rsidR="00BB0A8A" w:rsidRPr="00BB0A8A">
        <w:rPr>
          <w:rStyle w:val="aff"/>
          <w:rFonts w:hint="eastAsia"/>
          <w:b w:val="0"/>
        </w:rPr>
        <w:t>臺灣SDG</w:t>
      </w:r>
      <w:r w:rsidR="00BB0A8A" w:rsidRPr="00BB0A8A">
        <w:rPr>
          <w:rStyle w:val="aff"/>
          <w:b w:val="0"/>
        </w:rPr>
        <w:t xml:space="preserve"> 9</w:t>
      </w:r>
      <w:r w:rsidR="00BB0A8A" w:rsidRPr="00BB0A8A">
        <w:rPr>
          <w:rStyle w:val="aff"/>
          <w:rFonts w:hint="eastAsia"/>
          <w:b w:val="0"/>
        </w:rPr>
        <w:t>「</w:t>
      </w:r>
      <w:r w:rsidR="00BB0A8A" w:rsidRPr="00BB0A8A">
        <w:rPr>
          <w:rStyle w:val="aff"/>
          <w:b w:val="0"/>
        </w:rPr>
        <w:t>建構民眾可負擔、安全、對環境友善，且具韌性及可永續發展的運輸</w:t>
      </w:r>
      <w:r w:rsidR="00BB0A8A" w:rsidRPr="00BB0A8A">
        <w:rPr>
          <w:rStyle w:val="aff"/>
          <w:rFonts w:hint="eastAsia"/>
          <w:b w:val="0"/>
        </w:rPr>
        <w:t>」之子</w:t>
      </w:r>
      <w:r w:rsidR="00BB0A8A" w:rsidRPr="00BB0A8A">
        <w:rPr>
          <w:rStyle w:val="aff"/>
          <w:b w:val="0"/>
        </w:rPr>
        <w:t>目標9.3：提</w:t>
      </w:r>
      <w:r w:rsidR="00BB0A8A" w:rsidRPr="00567B33">
        <w:rPr>
          <w:rStyle w:val="aff"/>
          <w:b w:val="0"/>
        </w:rPr>
        <w:t>高無障礙的公共交通工具、設備與設施設置比例。</w:t>
      </w:r>
      <w:proofErr w:type="gramStart"/>
      <w:r w:rsidR="00291D34">
        <w:rPr>
          <w:rStyle w:val="aff"/>
          <w:rFonts w:hint="eastAsia"/>
          <w:b w:val="0"/>
        </w:rPr>
        <w:t>臺</w:t>
      </w:r>
      <w:proofErr w:type="gramEnd"/>
      <w:r w:rsidR="00291D34">
        <w:rPr>
          <w:rStyle w:val="aff"/>
          <w:rFonts w:hint="eastAsia"/>
          <w:b w:val="0"/>
        </w:rPr>
        <w:t>鐵公司</w:t>
      </w:r>
      <w:r w:rsidR="00567B33" w:rsidRPr="00567B33">
        <w:rPr>
          <w:rStyle w:val="aff"/>
          <w:rFonts w:hint="eastAsia"/>
          <w:b w:val="0"/>
        </w:rPr>
        <w:t>列車未</w:t>
      </w:r>
      <w:r w:rsidR="00567B33" w:rsidRPr="00567B33">
        <w:rPr>
          <w:rStyle w:val="aff"/>
          <w:b w:val="0"/>
        </w:rPr>
        <w:t>普及無障礙設施即違背「公平存取（</w:t>
      </w:r>
      <w:r w:rsidR="00567B33" w:rsidRPr="00E160D5">
        <w:rPr>
          <w:rStyle w:val="aff"/>
          <w:rFonts w:ascii="Times New Roman" w:hAnsi="Times New Roman"/>
          <w:b w:val="0"/>
        </w:rPr>
        <w:t>equitable access</w:t>
      </w:r>
      <w:r w:rsidR="00567B33" w:rsidRPr="00567B33">
        <w:rPr>
          <w:rStyle w:val="aff"/>
          <w:b w:val="0"/>
        </w:rPr>
        <w:t>）」精神，形成系統</w:t>
      </w:r>
      <w:r w:rsidR="00567B33" w:rsidRPr="00567B33">
        <w:rPr>
          <w:rStyle w:val="aff"/>
          <w:b w:val="0"/>
        </w:rPr>
        <w:lastRenderedPageBreak/>
        <w:t>性排除</w:t>
      </w:r>
      <w:r w:rsidR="00567B33">
        <w:rPr>
          <w:rStyle w:val="aff"/>
          <w:rFonts w:hint="eastAsia"/>
          <w:b w:val="0"/>
        </w:rPr>
        <w:t>，不符包容性交通基礎建設。</w:t>
      </w:r>
    </w:p>
    <w:p w:rsidR="005873AB" w:rsidRPr="007869BC" w:rsidRDefault="001828CA" w:rsidP="00C572D5">
      <w:pPr>
        <w:pStyle w:val="4"/>
        <w:spacing w:beforeLines="30" w:before="137"/>
        <w:rPr>
          <w:rStyle w:val="aff"/>
          <w:b w:val="0"/>
        </w:rPr>
      </w:pPr>
      <w:r>
        <w:rPr>
          <w:rStyle w:val="aff"/>
          <w:rFonts w:hint="eastAsia"/>
          <w:b w:val="0"/>
        </w:rPr>
        <w:t>聯合國</w:t>
      </w:r>
      <w:r w:rsidR="005873AB" w:rsidRPr="007869BC">
        <w:rPr>
          <w:rStyle w:val="aff"/>
          <w:b w:val="0"/>
        </w:rPr>
        <w:t>SDG 10</w:t>
      </w:r>
      <w:r w:rsidR="000675E6">
        <w:rPr>
          <w:rStyle w:val="aff"/>
          <w:rFonts w:hint="eastAsia"/>
          <w:b w:val="0"/>
        </w:rPr>
        <w:t>「</w:t>
      </w:r>
      <w:r w:rsidR="009B7592">
        <w:rPr>
          <w:rStyle w:val="aff"/>
          <w:rFonts w:hint="eastAsia"/>
          <w:b w:val="0"/>
        </w:rPr>
        <w:t>促進均</w:t>
      </w:r>
      <w:r w:rsidR="005873AB" w:rsidRPr="000B0868">
        <w:rPr>
          <w:rStyle w:val="aff"/>
          <w:b w:val="0"/>
        </w:rPr>
        <w:t>等</w:t>
      </w:r>
      <w:r w:rsidR="000675E6">
        <w:rPr>
          <w:rStyle w:val="aff"/>
          <w:rFonts w:hint="eastAsia"/>
          <w:b w:val="0"/>
        </w:rPr>
        <w:t>」</w:t>
      </w:r>
      <w:r w:rsidR="00064C8E" w:rsidRPr="000B0868">
        <w:rPr>
          <w:rStyle w:val="aff"/>
          <w:b w:val="0"/>
        </w:rPr>
        <w:t>(</w:t>
      </w:r>
      <w:r w:rsidR="005873AB" w:rsidRPr="00E160D5">
        <w:rPr>
          <w:rStyle w:val="aff"/>
          <w:rFonts w:ascii="Times New Roman" w:hAnsi="Times New Roman"/>
          <w:b w:val="0"/>
        </w:rPr>
        <w:t>Reduced Inequalities</w:t>
      </w:r>
      <w:r w:rsidR="00064C8E" w:rsidRPr="000B0868">
        <w:rPr>
          <w:rStyle w:val="aff"/>
          <w:b w:val="0"/>
        </w:rPr>
        <w:t>)</w:t>
      </w:r>
      <w:r w:rsidR="000B0868" w:rsidRPr="000B0868">
        <w:rPr>
          <w:rStyle w:val="aff"/>
          <w:rFonts w:hint="eastAsia"/>
          <w:b w:val="0"/>
        </w:rPr>
        <w:t>之</w:t>
      </w:r>
      <w:r w:rsidR="00A05774">
        <w:rPr>
          <w:rStyle w:val="aff"/>
          <w:rFonts w:hint="eastAsia"/>
          <w:b w:val="0"/>
        </w:rPr>
        <w:t>子</w:t>
      </w:r>
      <w:r w:rsidR="005873AB" w:rsidRPr="000B0868">
        <w:rPr>
          <w:rStyle w:val="aff"/>
          <w:b w:val="0"/>
        </w:rPr>
        <w:t>目標10.2：</w:t>
      </w:r>
      <w:r w:rsidR="000B0868" w:rsidRPr="000B0868">
        <w:rPr>
          <w:rStyle w:val="aff"/>
          <w:rFonts w:hint="eastAsia"/>
          <w:b w:val="0"/>
        </w:rPr>
        <w:t>2030年前，增強並促進所有人的社會、經濟和政治包容性，無論其年齡、性別、身心障礙、種族、族群、族裔、宗教、經濟或其他任何區別。</w:t>
      </w:r>
      <w:r w:rsidR="000B0868">
        <w:rPr>
          <w:rStyle w:val="aff"/>
          <w:rFonts w:hint="eastAsia"/>
          <w:b w:val="0"/>
        </w:rPr>
        <w:t>惟</w:t>
      </w:r>
      <w:proofErr w:type="gramStart"/>
      <w:r w:rsidR="007869BC" w:rsidRPr="000B0868">
        <w:rPr>
          <w:rStyle w:val="aff"/>
          <w:rFonts w:hint="eastAsia"/>
          <w:b w:val="0"/>
        </w:rPr>
        <w:t>臺</w:t>
      </w:r>
      <w:proofErr w:type="gramEnd"/>
      <w:r w:rsidR="007869BC" w:rsidRPr="000B0868">
        <w:rPr>
          <w:rStyle w:val="aff"/>
          <w:rFonts w:hint="eastAsia"/>
          <w:b w:val="0"/>
        </w:rPr>
        <w:t>鐵公司</w:t>
      </w:r>
      <w:r w:rsidR="005873AB" w:rsidRPr="000B0868">
        <w:rPr>
          <w:rStyle w:val="aff"/>
          <w:b w:val="0"/>
        </w:rPr>
        <w:t>未設置無障礙設施之列車，直接排除身心障礙者之使用權與行動自由，導</w:t>
      </w:r>
      <w:r w:rsidR="005873AB" w:rsidRPr="007869BC">
        <w:rPr>
          <w:rStyle w:val="aff"/>
          <w:b w:val="0"/>
        </w:rPr>
        <w:t>致其無法公平參與活動或享有與一般人同等之交通服務，構成結構性不平等。</w:t>
      </w:r>
    </w:p>
    <w:p w:rsidR="005873AB" w:rsidRPr="000B0868" w:rsidRDefault="001828CA" w:rsidP="00C572D5">
      <w:pPr>
        <w:pStyle w:val="4"/>
        <w:spacing w:beforeLines="30" w:before="137"/>
        <w:rPr>
          <w:rStyle w:val="aff"/>
          <w:b w:val="0"/>
        </w:rPr>
      </w:pPr>
      <w:r>
        <w:rPr>
          <w:rStyle w:val="aff"/>
          <w:rFonts w:hint="eastAsia"/>
          <w:b w:val="0"/>
        </w:rPr>
        <w:t>聯合國</w:t>
      </w:r>
      <w:r w:rsidR="005873AB" w:rsidRPr="000B0868">
        <w:rPr>
          <w:rStyle w:val="aff"/>
          <w:b w:val="0"/>
        </w:rPr>
        <w:t>SDG 11</w:t>
      </w:r>
      <w:r w:rsidR="000675E6">
        <w:rPr>
          <w:rStyle w:val="aff"/>
          <w:rFonts w:hint="eastAsia"/>
          <w:b w:val="0"/>
        </w:rPr>
        <w:t>「</w:t>
      </w:r>
      <w:r w:rsidR="005873AB" w:rsidRPr="000B0868">
        <w:rPr>
          <w:rStyle w:val="aff"/>
          <w:b w:val="0"/>
        </w:rPr>
        <w:t>永續城</w:t>
      </w:r>
      <w:r w:rsidR="00E81B36">
        <w:rPr>
          <w:rStyle w:val="aff"/>
          <w:rFonts w:hint="eastAsia"/>
          <w:b w:val="0"/>
        </w:rPr>
        <w:t>市與社區</w:t>
      </w:r>
      <w:r w:rsidR="000675E6">
        <w:rPr>
          <w:rStyle w:val="aff"/>
          <w:rFonts w:hint="eastAsia"/>
          <w:b w:val="0"/>
        </w:rPr>
        <w:t>」</w:t>
      </w:r>
      <w:r w:rsidR="00064C8E" w:rsidRPr="000B0868">
        <w:rPr>
          <w:rStyle w:val="aff"/>
          <w:b w:val="0"/>
        </w:rPr>
        <w:t>(</w:t>
      </w:r>
      <w:r w:rsidR="005873AB" w:rsidRPr="00E160D5">
        <w:rPr>
          <w:rStyle w:val="aff"/>
          <w:rFonts w:ascii="Times New Roman" w:hAnsi="Times New Roman"/>
          <w:b w:val="0"/>
        </w:rPr>
        <w:t>Sustainable Cities and Communities</w:t>
      </w:r>
      <w:r w:rsidR="00064C8E" w:rsidRPr="000B0868">
        <w:rPr>
          <w:rStyle w:val="aff"/>
          <w:b w:val="0"/>
        </w:rPr>
        <w:t>)</w:t>
      </w:r>
      <w:r w:rsidR="000B0868" w:rsidRPr="000B0868">
        <w:rPr>
          <w:rStyle w:val="aff"/>
          <w:rFonts w:hint="eastAsia"/>
          <w:b w:val="0"/>
        </w:rPr>
        <w:t>之</w:t>
      </w:r>
      <w:r w:rsidR="00A05774">
        <w:rPr>
          <w:rStyle w:val="aff"/>
          <w:rFonts w:hint="eastAsia"/>
          <w:b w:val="0"/>
        </w:rPr>
        <w:t>子</w:t>
      </w:r>
      <w:r w:rsidR="005873AB" w:rsidRPr="000B0868">
        <w:rPr>
          <w:rStyle w:val="aff"/>
          <w:b w:val="0"/>
        </w:rPr>
        <w:t>目標11.2：</w:t>
      </w:r>
      <w:r w:rsidR="000B0868" w:rsidRPr="000B0868">
        <w:rPr>
          <w:rStyle w:val="aff"/>
          <w:rFonts w:hint="eastAsia"/>
          <w:b w:val="0"/>
        </w:rPr>
        <w:t>2030年前，為所有人提供安全、可負擔、易於使用及永續的交通運輸系統，改善道路安全，尤其是擴大公共運輸，特別注意弱勢族群、婦女、兒童、身心障礙者及老年人的需求。</w:t>
      </w:r>
      <w:r w:rsidR="000B0868">
        <w:rPr>
          <w:rStyle w:val="aff"/>
          <w:rFonts w:hint="eastAsia"/>
          <w:b w:val="0"/>
        </w:rPr>
        <w:t>另</w:t>
      </w:r>
      <w:r w:rsidR="004D4F92" w:rsidRPr="000B0868">
        <w:rPr>
          <w:rStyle w:val="aff"/>
          <w:rFonts w:hint="eastAsia"/>
          <w:b w:val="0"/>
        </w:rPr>
        <w:t>臺灣SDG</w:t>
      </w:r>
      <w:r w:rsidR="004D4F92" w:rsidRPr="000B0868">
        <w:rPr>
          <w:rStyle w:val="aff"/>
          <w:b w:val="0"/>
        </w:rPr>
        <w:t xml:space="preserve"> 11</w:t>
      </w:r>
      <w:r w:rsidR="000675E6">
        <w:rPr>
          <w:rStyle w:val="aff"/>
          <w:rFonts w:hint="eastAsia"/>
          <w:b w:val="0"/>
        </w:rPr>
        <w:t>「</w:t>
      </w:r>
      <w:r w:rsidR="004D4F92" w:rsidRPr="000B0868">
        <w:rPr>
          <w:rStyle w:val="aff"/>
          <w:rFonts w:hint="eastAsia"/>
          <w:b w:val="0"/>
        </w:rPr>
        <w:t>建構具包容、安全、韌性及永續特質的城市與鄉村</w:t>
      </w:r>
      <w:r w:rsidR="000675E6">
        <w:rPr>
          <w:rStyle w:val="aff"/>
          <w:rFonts w:hint="eastAsia"/>
          <w:b w:val="0"/>
        </w:rPr>
        <w:t>」</w:t>
      </w:r>
      <w:r w:rsidR="000B0868" w:rsidRPr="000B0868">
        <w:rPr>
          <w:rStyle w:val="aff"/>
          <w:rFonts w:hint="eastAsia"/>
          <w:b w:val="0"/>
        </w:rPr>
        <w:t>之</w:t>
      </w:r>
      <w:r w:rsidR="00A05774">
        <w:rPr>
          <w:rStyle w:val="aff"/>
          <w:rFonts w:hint="eastAsia"/>
          <w:b w:val="0"/>
        </w:rPr>
        <w:t>子</w:t>
      </w:r>
      <w:r w:rsidR="004D4F92" w:rsidRPr="000B0868">
        <w:rPr>
          <w:rStyle w:val="aff"/>
          <w:rFonts w:hint="eastAsia"/>
          <w:b w:val="0"/>
        </w:rPr>
        <w:t>目標1</w:t>
      </w:r>
      <w:r w:rsidR="004D4F92" w:rsidRPr="000B0868">
        <w:rPr>
          <w:rStyle w:val="aff"/>
          <w:b w:val="0"/>
        </w:rPr>
        <w:t>1.2</w:t>
      </w:r>
      <w:r w:rsidR="004D4F92" w:rsidRPr="000B0868">
        <w:rPr>
          <w:rStyle w:val="aff"/>
          <w:rFonts w:hint="eastAsia"/>
          <w:b w:val="0"/>
        </w:rPr>
        <w:t>：為所有的人提供安全、可負擔、可及性高，且符合永續發展的交通運輸系統。包含改善道路安全、擴大公共運輸及滿足身障及老弱婦孺的運輸需求。</w:t>
      </w:r>
      <w:proofErr w:type="gramStart"/>
      <w:r w:rsidR="000B0868">
        <w:rPr>
          <w:rStyle w:val="aff"/>
          <w:rFonts w:hint="eastAsia"/>
          <w:b w:val="0"/>
        </w:rPr>
        <w:t>詎</w:t>
      </w:r>
      <w:proofErr w:type="gramEnd"/>
      <w:r w:rsidR="007869BC" w:rsidRPr="000B0868">
        <w:rPr>
          <w:rStyle w:val="aff"/>
          <w:rFonts w:hint="eastAsia"/>
          <w:b w:val="0"/>
        </w:rPr>
        <w:t>臺</w:t>
      </w:r>
      <w:r w:rsidR="005873AB" w:rsidRPr="000B0868">
        <w:rPr>
          <w:rStyle w:val="aff"/>
          <w:b w:val="0"/>
        </w:rPr>
        <w:t>鐵</w:t>
      </w:r>
      <w:r w:rsidR="007869BC" w:rsidRPr="000B0868">
        <w:rPr>
          <w:rStyle w:val="aff"/>
          <w:rFonts w:hint="eastAsia"/>
          <w:b w:val="0"/>
        </w:rPr>
        <w:t>公司</w:t>
      </w:r>
      <w:r w:rsidR="005873AB" w:rsidRPr="000B0868">
        <w:rPr>
          <w:rStyle w:val="aff"/>
          <w:b w:val="0"/>
        </w:rPr>
        <w:t>未依據該目標推動全面性之無障礙公共運輸，導致障礙者無法享有永續與包容性的交通服務，顯示政策與落</w:t>
      </w:r>
      <w:r w:rsidR="00F761FC">
        <w:rPr>
          <w:rStyle w:val="aff"/>
          <w:rFonts w:hint="eastAsia"/>
          <w:b w:val="0"/>
        </w:rPr>
        <w:t>實情形存有差異</w:t>
      </w:r>
      <w:r w:rsidR="005873AB" w:rsidRPr="000B0868">
        <w:rPr>
          <w:rStyle w:val="aff"/>
          <w:b w:val="0"/>
        </w:rPr>
        <w:t>。</w:t>
      </w:r>
    </w:p>
    <w:p w:rsidR="005873AB" w:rsidRPr="007869BC" w:rsidRDefault="001828CA" w:rsidP="00C572D5">
      <w:pPr>
        <w:pStyle w:val="4"/>
        <w:spacing w:beforeLines="30" w:before="137"/>
        <w:rPr>
          <w:rStyle w:val="aff"/>
          <w:b w:val="0"/>
        </w:rPr>
      </w:pPr>
      <w:r>
        <w:rPr>
          <w:rStyle w:val="aff"/>
          <w:rFonts w:hint="eastAsia"/>
          <w:b w:val="0"/>
        </w:rPr>
        <w:t>聯合國</w:t>
      </w:r>
      <w:r w:rsidR="005873AB" w:rsidRPr="000B0868">
        <w:rPr>
          <w:rStyle w:val="aff"/>
          <w:b w:val="0"/>
        </w:rPr>
        <w:t>SDG 16</w:t>
      </w:r>
      <w:r w:rsidR="000675E6">
        <w:rPr>
          <w:rStyle w:val="aff"/>
          <w:rFonts w:hint="eastAsia"/>
          <w:b w:val="0"/>
        </w:rPr>
        <w:t>「</w:t>
      </w:r>
      <w:r w:rsidR="005873AB" w:rsidRPr="000B0868">
        <w:rPr>
          <w:rStyle w:val="aff"/>
          <w:b w:val="0"/>
        </w:rPr>
        <w:t>和平正義與健全制度</w:t>
      </w:r>
      <w:r w:rsidR="000675E6">
        <w:rPr>
          <w:rStyle w:val="aff"/>
          <w:rFonts w:hint="eastAsia"/>
          <w:b w:val="0"/>
        </w:rPr>
        <w:t>」</w:t>
      </w:r>
      <w:r w:rsidR="00064C8E" w:rsidRPr="000B0868">
        <w:rPr>
          <w:rStyle w:val="aff"/>
          <w:b w:val="0"/>
        </w:rPr>
        <w:t>(</w:t>
      </w:r>
      <w:r w:rsidR="005873AB" w:rsidRPr="00E160D5">
        <w:rPr>
          <w:rStyle w:val="aff"/>
          <w:rFonts w:ascii="Times New Roman" w:hAnsi="Times New Roman"/>
          <w:b w:val="0"/>
        </w:rPr>
        <w:t>Peace, Justice and Strong Institutions</w:t>
      </w:r>
      <w:r w:rsidR="00064C8E" w:rsidRPr="000B0868">
        <w:rPr>
          <w:rStyle w:val="aff"/>
          <w:b w:val="0"/>
        </w:rPr>
        <w:t>)</w:t>
      </w:r>
      <w:r w:rsidR="000B0868">
        <w:rPr>
          <w:rStyle w:val="aff"/>
          <w:rFonts w:hint="eastAsia"/>
          <w:b w:val="0"/>
        </w:rPr>
        <w:t>之</w:t>
      </w:r>
      <w:r w:rsidR="00A05774">
        <w:rPr>
          <w:rStyle w:val="aff"/>
          <w:rFonts w:hint="eastAsia"/>
          <w:b w:val="0"/>
        </w:rPr>
        <w:t>子</w:t>
      </w:r>
      <w:r w:rsidR="005873AB" w:rsidRPr="000B0868">
        <w:rPr>
          <w:rStyle w:val="aff"/>
          <w:b w:val="0"/>
        </w:rPr>
        <w:t>目標16.</w:t>
      </w:r>
      <w:r w:rsidR="000B0868" w:rsidRPr="000B0868">
        <w:rPr>
          <w:rStyle w:val="aff"/>
          <w:rFonts w:hint="eastAsia"/>
          <w:b w:val="0"/>
        </w:rPr>
        <w:t>b</w:t>
      </w:r>
      <w:r w:rsidR="005873AB" w:rsidRPr="000B0868">
        <w:rPr>
          <w:rStyle w:val="aff"/>
          <w:b w:val="0"/>
        </w:rPr>
        <w:t>：</w:t>
      </w:r>
      <w:r w:rsidR="000B0868" w:rsidRPr="000B0868">
        <w:rPr>
          <w:rStyle w:val="aff"/>
          <w:rFonts w:hint="eastAsia"/>
          <w:b w:val="0"/>
        </w:rPr>
        <w:t>促進及落實沒有歧視的法律與政策，以實現永續發展。</w:t>
      </w:r>
      <w:r w:rsidR="001C5789">
        <w:rPr>
          <w:rStyle w:val="aff"/>
          <w:rFonts w:hint="eastAsia"/>
          <w:b w:val="0"/>
        </w:rPr>
        <w:t>按</w:t>
      </w:r>
      <w:r w:rsidR="005873AB" w:rsidRPr="000B0868">
        <w:rPr>
          <w:rStyle w:val="aff"/>
          <w:b w:val="0"/>
        </w:rPr>
        <w:t>交通部身為主管機關，未落實制度監督責任、未執行既有會議建議，反而容許</w:t>
      </w:r>
      <w:proofErr w:type="gramStart"/>
      <w:r w:rsidR="00F761FC">
        <w:rPr>
          <w:rStyle w:val="aff"/>
          <w:rFonts w:hint="eastAsia"/>
          <w:b w:val="0"/>
        </w:rPr>
        <w:t>臺</w:t>
      </w:r>
      <w:proofErr w:type="gramEnd"/>
      <w:r w:rsidR="00F761FC">
        <w:rPr>
          <w:rStyle w:val="aff"/>
          <w:rFonts w:hint="eastAsia"/>
          <w:b w:val="0"/>
        </w:rPr>
        <w:t>鐵公司</w:t>
      </w:r>
      <w:r w:rsidR="00346423">
        <w:rPr>
          <w:rStyle w:val="aff"/>
          <w:rFonts w:hint="eastAsia"/>
          <w:b w:val="0"/>
        </w:rPr>
        <w:t>新規劃</w:t>
      </w:r>
      <w:r w:rsidR="005873AB" w:rsidRPr="000B0868">
        <w:rPr>
          <w:rStyle w:val="aff"/>
          <w:b w:val="0"/>
        </w:rPr>
        <w:t>列車持續排除障礙者權</w:t>
      </w:r>
      <w:r w:rsidR="005873AB" w:rsidRPr="007869BC">
        <w:rPr>
          <w:rStyle w:val="aff"/>
          <w:b w:val="0"/>
        </w:rPr>
        <w:t>益，形同縱容政策性</w:t>
      </w:r>
      <w:r w:rsidR="005873AB" w:rsidRPr="007869BC">
        <w:rPr>
          <w:rStyle w:val="aff"/>
          <w:b w:val="0"/>
        </w:rPr>
        <w:lastRenderedPageBreak/>
        <w:t>歧視，</w:t>
      </w:r>
      <w:proofErr w:type="gramStart"/>
      <w:r w:rsidR="005873AB" w:rsidRPr="007869BC">
        <w:rPr>
          <w:rStyle w:val="aff"/>
          <w:b w:val="0"/>
        </w:rPr>
        <w:t>與善治</w:t>
      </w:r>
      <w:proofErr w:type="gramEnd"/>
      <w:r w:rsidR="005873AB" w:rsidRPr="007869BC">
        <w:rPr>
          <w:rStyle w:val="aff"/>
          <w:b w:val="0"/>
        </w:rPr>
        <w:t>及公平原則不符。</w:t>
      </w:r>
    </w:p>
    <w:p w:rsidR="00AB404E" w:rsidRPr="00AB404E" w:rsidRDefault="00C348D4" w:rsidP="00C572D5">
      <w:pPr>
        <w:pStyle w:val="3"/>
        <w:spacing w:beforeLines="30" w:before="137"/>
        <w:rPr>
          <w:bCs w:val="0"/>
        </w:rPr>
      </w:pPr>
      <w:r w:rsidRPr="00AB404E">
        <w:rPr>
          <w:rFonts w:hint="eastAsia"/>
          <w:bCs w:val="0"/>
        </w:rPr>
        <w:t>GRI和世界基準聯盟(</w:t>
      </w:r>
      <w:r w:rsidRPr="00E160D5">
        <w:rPr>
          <w:rFonts w:ascii="Times New Roman" w:hAnsi="Times New Roman"/>
          <w:bCs w:val="0"/>
        </w:rPr>
        <w:t>World Benchmarking Alliance</w:t>
      </w:r>
      <w:r w:rsidRPr="00E160D5">
        <w:rPr>
          <w:rFonts w:ascii="Times New Roman" w:hAnsi="Times New Roman"/>
          <w:bCs w:val="0"/>
        </w:rPr>
        <w:t>，下稱</w:t>
      </w:r>
      <w:r w:rsidRPr="00E160D5">
        <w:rPr>
          <w:rFonts w:ascii="Times New Roman" w:hAnsi="Times New Roman"/>
          <w:bCs w:val="0"/>
        </w:rPr>
        <w:t>WBA</w:t>
      </w:r>
      <w:r w:rsidRPr="00AB404E">
        <w:rPr>
          <w:bCs w:val="0"/>
        </w:rPr>
        <w:t>)</w:t>
      </w:r>
      <w:r w:rsidRPr="00AB404E">
        <w:rPr>
          <w:rFonts w:hint="eastAsia"/>
          <w:bCs w:val="0"/>
        </w:rPr>
        <w:t>近期發布共同報告指出，根據統計，使用GRI準則進行報告揭露的企業，在WBA的核心社會指標(</w:t>
      </w:r>
      <w:r w:rsidRPr="00E160D5">
        <w:rPr>
          <w:rFonts w:ascii="Times New Roman" w:hAnsi="Times New Roman"/>
          <w:bCs w:val="0"/>
        </w:rPr>
        <w:t>Core Social Indicators</w:t>
      </w:r>
      <w:r w:rsidRPr="00AB404E">
        <w:rPr>
          <w:bCs w:val="0"/>
        </w:rPr>
        <w:t>)</w:t>
      </w:r>
      <w:r w:rsidRPr="00AB404E">
        <w:rPr>
          <w:rFonts w:hint="eastAsia"/>
          <w:bCs w:val="0"/>
        </w:rPr>
        <w:t>上得分相對較高。WBA對SDGs社會面績效之貢獻，分別就尊重人權、提供及促進尊嚴勞動</w:t>
      </w:r>
      <w:r w:rsidRPr="00E160D5">
        <w:rPr>
          <w:rFonts w:ascii="Times New Roman" w:hAnsi="Times New Roman"/>
          <w:bCs w:val="0"/>
        </w:rPr>
        <w:t>(Decent Work</w:t>
      </w:r>
      <w:r w:rsidRPr="00AB404E">
        <w:rPr>
          <w:bCs w:val="0"/>
        </w:rPr>
        <w:t>)</w:t>
      </w:r>
      <w:r w:rsidRPr="00AB404E">
        <w:rPr>
          <w:rFonts w:hint="eastAsia"/>
          <w:bCs w:val="0"/>
        </w:rPr>
        <w:t>、道德行為</w:t>
      </w:r>
      <w:proofErr w:type="gramStart"/>
      <w:r w:rsidRPr="00AB404E">
        <w:rPr>
          <w:rFonts w:hint="eastAsia"/>
          <w:bCs w:val="0"/>
        </w:rPr>
        <w:t>三</w:t>
      </w:r>
      <w:proofErr w:type="gramEnd"/>
      <w:r w:rsidRPr="00AB404E">
        <w:rPr>
          <w:rFonts w:hint="eastAsia"/>
          <w:bCs w:val="0"/>
        </w:rPr>
        <w:t>面向進行評分</w:t>
      </w:r>
      <w:r w:rsidR="003256FC" w:rsidRPr="003256FC">
        <w:rPr>
          <w:bCs w:val="0"/>
        </w:rPr>
        <w:t>，為國際主流永續標準中具代表性之社會責任衡量架構</w:t>
      </w:r>
      <w:r w:rsidRPr="00AB404E">
        <w:rPr>
          <w:rFonts w:hint="eastAsia"/>
          <w:bCs w:val="0"/>
        </w:rPr>
        <w:t>。</w:t>
      </w:r>
      <w:r w:rsidR="007869BC" w:rsidRPr="00AB404E">
        <w:rPr>
          <w:rFonts w:hint="eastAsia"/>
          <w:bCs w:val="0"/>
        </w:rPr>
        <w:t>綜上，</w:t>
      </w:r>
      <w:r w:rsidR="00AB404E" w:rsidRPr="00AB404E">
        <w:rPr>
          <w:bCs w:val="0"/>
        </w:rPr>
        <w:t>金管會於202</w:t>
      </w:r>
      <w:r w:rsidR="00895864">
        <w:rPr>
          <w:bCs w:val="0"/>
        </w:rPr>
        <w:t>4</w:t>
      </w:r>
      <w:r w:rsidR="00AB404E" w:rsidRPr="00AB404E">
        <w:rPr>
          <w:bCs w:val="0"/>
        </w:rPr>
        <w:t>年12月</w:t>
      </w:r>
      <w:r w:rsidR="00AB404E" w:rsidRPr="00AB404E">
        <w:rPr>
          <w:rFonts w:hint="eastAsia"/>
          <w:bCs w:val="0"/>
        </w:rPr>
        <w:t>3</w:t>
      </w:r>
      <w:r w:rsidR="00AB404E" w:rsidRPr="00AB404E">
        <w:rPr>
          <w:bCs w:val="0"/>
        </w:rPr>
        <w:t>1日</w:t>
      </w:r>
      <w:r w:rsidR="00AB404E" w:rsidRPr="00AB404E">
        <w:rPr>
          <w:rFonts w:hint="eastAsia"/>
          <w:bCs w:val="0"/>
        </w:rPr>
        <w:t>與環境部、經濟部、交通部、內政部</w:t>
      </w:r>
      <w:r w:rsidR="00AB404E" w:rsidRPr="00AB404E">
        <w:rPr>
          <w:rFonts w:hint="eastAsia"/>
        </w:rPr>
        <w:t>及</w:t>
      </w:r>
      <w:r w:rsidR="00AB404E" w:rsidRPr="00AB404E">
        <w:rPr>
          <w:rFonts w:hint="eastAsia"/>
          <w:bCs w:val="0"/>
        </w:rPr>
        <w:t>農業部正式共同公告</w:t>
      </w:r>
      <w:r w:rsidR="00AB404E" w:rsidRPr="00AB404E">
        <w:rPr>
          <w:bCs w:val="0"/>
        </w:rPr>
        <w:t>第</w:t>
      </w:r>
      <w:r w:rsidR="00AB404E" w:rsidRPr="00AB404E">
        <w:rPr>
          <w:rFonts w:hint="eastAsia"/>
          <w:bCs w:val="0"/>
        </w:rPr>
        <w:t>2</w:t>
      </w:r>
      <w:r w:rsidR="00AB404E" w:rsidRPr="00AB404E">
        <w:rPr>
          <w:bCs w:val="0"/>
        </w:rPr>
        <w:t>版「永續經濟活動認定參考指引」</w:t>
      </w:r>
      <w:r w:rsidR="00AB404E" w:rsidRPr="00AB404E">
        <w:rPr>
          <w:rFonts w:hint="eastAsia"/>
          <w:bCs w:val="0"/>
        </w:rPr>
        <w:t>，擴大適用產業範圍(包含軌道運輸業</w:t>
      </w:r>
      <w:r w:rsidR="00AB404E" w:rsidRPr="00AB404E">
        <w:rPr>
          <w:bCs w:val="0"/>
        </w:rPr>
        <w:t>)</w:t>
      </w:r>
      <w:r w:rsidR="00AB404E" w:rsidRPr="00AB404E">
        <w:rPr>
          <w:rFonts w:hint="eastAsia"/>
          <w:bCs w:val="0"/>
        </w:rPr>
        <w:t>，</w:t>
      </w:r>
      <w:r w:rsidR="006675C1">
        <w:rPr>
          <w:rFonts w:hint="eastAsia"/>
          <w:bCs w:val="0"/>
        </w:rPr>
        <w:t>並</w:t>
      </w:r>
      <w:r w:rsidR="00AB404E" w:rsidRPr="00AB404E">
        <w:rPr>
          <w:bCs w:val="0"/>
        </w:rPr>
        <w:t>強化金融業</w:t>
      </w:r>
      <w:proofErr w:type="gramStart"/>
      <w:r w:rsidR="00AB404E" w:rsidRPr="00AB404E">
        <w:rPr>
          <w:bCs w:val="0"/>
        </w:rPr>
        <w:t>在淨零轉型</w:t>
      </w:r>
      <w:proofErr w:type="gramEnd"/>
      <w:r w:rsidR="00AB404E" w:rsidRPr="00AB404E">
        <w:rPr>
          <w:bCs w:val="0"/>
        </w:rPr>
        <w:t>中的角色</w:t>
      </w:r>
      <w:r w:rsidR="006675C1">
        <w:rPr>
          <w:rFonts w:hint="eastAsia"/>
          <w:bCs w:val="0"/>
        </w:rPr>
        <w:t>。</w:t>
      </w:r>
      <w:r w:rsidR="00AB404E" w:rsidRPr="00AB404E">
        <w:rPr>
          <w:rFonts w:hint="eastAsia"/>
        </w:rPr>
        <w:t>另</w:t>
      </w:r>
      <w:proofErr w:type="gramStart"/>
      <w:r w:rsidR="00AB404E" w:rsidRPr="00AB404E">
        <w:rPr>
          <w:rFonts w:hint="eastAsia"/>
        </w:rPr>
        <w:t>環境部於2</w:t>
      </w:r>
      <w:r w:rsidR="00AB404E" w:rsidRPr="00AB404E">
        <w:t>025</w:t>
      </w:r>
      <w:r w:rsidR="00AB404E" w:rsidRPr="00AB404E">
        <w:rPr>
          <w:rFonts w:hint="eastAsia"/>
        </w:rPr>
        <w:t>年3月4日</w:t>
      </w:r>
      <w:proofErr w:type="gramEnd"/>
      <w:r w:rsidR="00AB404E" w:rsidRPr="00AB404E">
        <w:rPr>
          <w:rFonts w:hint="eastAsia"/>
        </w:rPr>
        <w:t>公告「事業應盤查登錄溫室氣體排放量之排放源」</w:t>
      </w:r>
      <w:r w:rsidR="006675C1">
        <w:rPr>
          <w:rFonts w:hint="eastAsia"/>
        </w:rPr>
        <w:t>，</w:t>
      </w:r>
      <w:r w:rsidR="00AB404E" w:rsidRPr="00AB404E">
        <w:rPr>
          <w:rFonts w:hint="eastAsia"/>
        </w:rPr>
        <w:t>鐵路運輸業</w:t>
      </w:r>
      <w:r w:rsidR="006675C1">
        <w:rPr>
          <w:rFonts w:hint="eastAsia"/>
        </w:rPr>
        <w:t>已</w:t>
      </w:r>
      <w:r w:rsidR="00AB404E" w:rsidRPr="00AB404E">
        <w:rPr>
          <w:rFonts w:hint="eastAsia"/>
        </w:rPr>
        <w:t>納入溫室氣體排放量盤查登錄。</w:t>
      </w:r>
      <w:r w:rsidR="00E961D3">
        <w:rPr>
          <w:rFonts w:hint="eastAsia"/>
        </w:rPr>
        <w:t>然</w:t>
      </w:r>
      <w:proofErr w:type="gramStart"/>
      <w:r w:rsidR="00AB404E" w:rsidRPr="00AB404E">
        <w:rPr>
          <w:rFonts w:hint="eastAsia"/>
          <w:bCs w:val="0"/>
        </w:rPr>
        <w:t>臺</w:t>
      </w:r>
      <w:proofErr w:type="gramEnd"/>
      <w:r w:rsidR="00AB404E" w:rsidRPr="00AB404E">
        <w:rPr>
          <w:rFonts w:hint="eastAsia"/>
          <w:bCs w:val="0"/>
        </w:rPr>
        <w:t>鐵公司</w:t>
      </w:r>
      <w:r w:rsidR="002C582E" w:rsidRPr="006675C1">
        <w:rPr>
          <w:rFonts w:hint="eastAsia"/>
          <w:bCs w:val="0"/>
        </w:rPr>
        <w:t>遲至</w:t>
      </w:r>
      <w:r w:rsidR="002C582E" w:rsidRPr="006675C1">
        <w:rPr>
          <w:bCs w:val="0"/>
        </w:rPr>
        <w:t>2025年</w:t>
      </w:r>
      <w:r w:rsidR="00F761FC">
        <w:rPr>
          <w:rFonts w:hint="eastAsia"/>
          <w:bCs w:val="0"/>
        </w:rPr>
        <w:t>方</w:t>
      </w:r>
      <w:r w:rsidR="002C582E" w:rsidRPr="006675C1">
        <w:rPr>
          <w:bCs w:val="0"/>
        </w:rPr>
        <w:t>啟動全</w:t>
      </w:r>
      <w:r w:rsidR="002C582E" w:rsidRPr="00286481">
        <w:rPr>
          <w:bCs w:val="0"/>
        </w:rPr>
        <w:t>面溫室氣體盤查</w:t>
      </w:r>
      <w:r w:rsidR="00E961D3" w:rsidRPr="006675C1">
        <w:rPr>
          <w:bCs w:val="0"/>
        </w:rPr>
        <w:t>，</w:t>
      </w:r>
      <w:proofErr w:type="gramStart"/>
      <w:r w:rsidR="006675C1" w:rsidRPr="006675C1">
        <w:rPr>
          <w:rFonts w:hint="eastAsia"/>
          <w:bCs w:val="0"/>
        </w:rPr>
        <w:t>至今</w:t>
      </w:r>
      <w:proofErr w:type="gramEnd"/>
      <w:r w:rsidR="006675C1" w:rsidRPr="006675C1">
        <w:rPr>
          <w:rFonts w:hint="eastAsia"/>
          <w:bCs w:val="0"/>
        </w:rPr>
        <w:t>迄</w:t>
      </w:r>
      <w:r w:rsidR="006675C1" w:rsidRPr="006675C1">
        <w:rPr>
          <w:bCs w:val="0"/>
        </w:rPr>
        <w:t>未依GRI準則</w:t>
      </w:r>
      <w:proofErr w:type="gramStart"/>
      <w:r w:rsidR="006675C1" w:rsidRPr="006675C1">
        <w:rPr>
          <w:bCs w:val="0"/>
        </w:rPr>
        <w:t>編製永</w:t>
      </w:r>
      <w:proofErr w:type="gramEnd"/>
      <w:r w:rsidR="006675C1" w:rsidRPr="006675C1">
        <w:rPr>
          <w:bCs w:val="0"/>
        </w:rPr>
        <w:t>續報告書</w:t>
      </w:r>
      <w:r w:rsidR="006675C1" w:rsidRPr="006675C1">
        <w:rPr>
          <w:rFonts w:hint="eastAsia"/>
          <w:bCs w:val="0"/>
        </w:rPr>
        <w:t>，足見其進度落後民間企業甚遠，且未全面</w:t>
      </w:r>
      <w:r w:rsidR="006675C1" w:rsidRPr="006675C1">
        <w:rPr>
          <w:bCs w:val="0"/>
        </w:rPr>
        <w:t>設置列車之無障礙設施</w:t>
      </w:r>
      <w:r w:rsidR="006675C1" w:rsidRPr="006675C1">
        <w:rPr>
          <w:rFonts w:hint="eastAsia"/>
          <w:bCs w:val="0"/>
        </w:rPr>
        <w:t>，</w:t>
      </w:r>
      <w:r w:rsidR="006675C1" w:rsidRPr="006675C1">
        <w:rPr>
          <w:bCs w:val="0"/>
        </w:rPr>
        <w:t>不符</w:t>
      </w:r>
      <w:r w:rsidR="006675C1" w:rsidRPr="006675C1">
        <w:rPr>
          <w:rFonts w:hint="eastAsia"/>
          <w:bCs w:val="0"/>
        </w:rPr>
        <w:t>WBA所倡</w:t>
      </w:r>
      <w:r w:rsidR="006675C1" w:rsidRPr="006675C1">
        <w:rPr>
          <w:bCs w:val="0"/>
        </w:rPr>
        <w:t>「尊重人權」及「尊嚴勞動」原則要求，</w:t>
      </w:r>
      <w:r w:rsidR="006675C1" w:rsidRPr="006675C1">
        <w:rPr>
          <w:rFonts w:hint="eastAsia"/>
          <w:bCs w:val="0"/>
        </w:rPr>
        <w:t>明顯</w:t>
      </w:r>
      <w:r w:rsidR="006675C1" w:rsidRPr="006675C1">
        <w:rPr>
          <w:bCs w:val="0"/>
        </w:rPr>
        <w:t>忽視對障礙者權益，違反SDGs核心目標</w:t>
      </w:r>
      <w:r w:rsidR="006675C1" w:rsidRPr="006675C1">
        <w:rPr>
          <w:rFonts w:hint="eastAsia"/>
          <w:bCs w:val="0"/>
        </w:rPr>
        <w:t>，</w:t>
      </w:r>
      <w:r w:rsidR="006675C1" w:rsidRPr="006675C1">
        <w:rPr>
          <w:bCs w:val="0"/>
        </w:rPr>
        <w:t>損</w:t>
      </w:r>
      <w:r w:rsidR="006675C1" w:rsidRPr="006675C1">
        <w:rPr>
          <w:rFonts w:hint="eastAsia"/>
          <w:bCs w:val="0"/>
        </w:rPr>
        <w:t>及</w:t>
      </w:r>
      <w:r w:rsidR="006675C1" w:rsidRPr="006675C1">
        <w:rPr>
          <w:bCs w:val="0"/>
        </w:rPr>
        <w:t>政府永續發展政策整體一致性與國際形象</w:t>
      </w:r>
      <w:r w:rsidR="006675C1" w:rsidRPr="006675C1">
        <w:rPr>
          <w:rFonts w:hint="eastAsia"/>
          <w:bCs w:val="0"/>
        </w:rPr>
        <w:t>。</w:t>
      </w:r>
      <w:r w:rsidR="006675C1">
        <w:rPr>
          <w:rFonts w:hint="eastAsia"/>
          <w:bCs w:val="0"/>
        </w:rPr>
        <w:t>該公司</w:t>
      </w:r>
      <w:r w:rsidR="00AB404E" w:rsidRPr="00AB404E">
        <w:rPr>
          <w:rFonts w:hint="eastAsia"/>
          <w:szCs w:val="48"/>
        </w:rPr>
        <w:t>仍未</w:t>
      </w:r>
      <w:r w:rsidR="00AB404E" w:rsidRPr="00AB404E">
        <w:rPr>
          <w:szCs w:val="48"/>
        </w:rPr>
        <w:t>以</w:t>
      </w:r>
      <w:r w:rsidR="00AB404E" w:rsidRPr="00AB404E">
        <w:t>系統性方式揭露其在</w:t>
      </w:r>
      <w:r w:rsidR="00AB404E" w:rsidRPr="00AB404E">
        <w:rPr>
          <w:rFonts w:hint="eastAsia"/>
        </w:rPr>
        <w:t>ESG</w:t>
      </w:r>
      <w:r w:rsidR="00AB404E" w:rsidRPr="00AB404E">
        <w:t>等面向之作為與影響，</w:t>
      </w:r>
      <w:r w:rsidR="00E961D3">
        <w:rPr>
          <w:rFonts w:hint="eastAsia"/>
        </w:rPr>
        <w:t>難以回應</w:t>
      </w:r>
      <w:r w:rsidR="003256FC">
        <w:t>「道德行為」中對企業積極減緩氣候變遷之期待</w:t>
      </w:r>
      <w:r w:rsidR="00E961D3">
        <w:rPr>
          <w:rFonts w:hint="eastAsia"/>
        </w:rPr>
        <w:t>，</w:t>
      </w:r>
      <w:r w:rsidR="00AB404E" w:rsidRPr="00AB404E">
        <w:rPr>
          <w:rFonts w:hint="eastAsia"/>
        </w:rPr>
        <w:t>已</w:t>
      </w:r>
      <w:r w:rsidR="00AB404E" w:rsidRPr="00AB404E">
        <w:t>與政府所倡導之永續發展政策及</w:t>
      </w:r>
      <w:r w:rsidR="00AB404E" w:rsidRPr="00AB404E">
        <w:rPr>
          <w:rFonts w:hint="eastAsia"/>
        </w:rPr>
        <w:t>臺灣</w:t>
      </w:r>
      <w:r w:rsidR="00AB404E" w:rsidRPr="00AB404E">
        <w:t>SDGs施政精神存有明顯落差，不僅無助於</w:t>
      </w:r>
      <w:r w:rsidR="00AB404E" w:rsidRPr="00AB404E">
        <w:rPr>
          <w:rFonts w:hint="eastAsia"/>
        </w:rPr>
        <w:t>國營</w:t>
      </w:r>
      <w:r w:rsidR="00AB404E" w:rsidRPr="00AB404E">
        <w:t>事業推動透明</w:t>
      </w:r>
      <w:proofErr w:type="gramStart"/>
      <w:r w:rsidR="00AB404E" w:rsidRPr="00AB404E">
        <w:t>與責信原則</w:t>
      </w:r>
      <w:proofErr w:type="gramEnd"/>
      <w:r w:rsidR="00AB404E" w:rsidRPr="00AB404E">
        <w:t>，亦易</w:t>
      </w:r>
      <w:r w:rsidR="00AB404E" w:rsidRPr="00AB404E">
        <w:rPr>
          <w:rFonts w:hint="eastAsia"/>
        </w:rPr>
        <w:t>引發</w:t>
      </w:r>
      <w:r w:rsidR="00AB404E" w:rsidRPr="00AB404E">
        <w:t>社會大眾對我國永續政策推動成效</w:t>
      </w:r>
      <w:r w:rsidR="00AB404E" w:rsidRPr="00AB404E">
        <w:rPr>
          <w:rFonts w:hint="eastAsia"/>
        </w:rPr>
        <w:t>之質疑</w:t>
      </w:r>
      <w:r w:rsidR="00AB404E" w:rsidRPr="00AB404E">
        <w:t>，實非良善</w:t>
      </w:r>
      <w:proofErr w:type="gramStart"/>
      <w:r w:rsidR="00AB404E" w:rsidRPr="00AB404E">
        <w:t>治理所</w:t>
      </w:r>
      <w:proofErr w:type="gramEnd"/>
      <w:r w:rsidR="00AB404E" w:rsidRPr="00AB404E">
        <w:t>宜。</w:t>
      </w:r>
      <w:proofErr w:type="gramStart"/>
      <w:r w:rsidR="00AB404E" w:rsidRPr="00AB404E">
        <w:rPr>
          <w:rFonts w:hint="eastAsia"/>
        </w:rPr>
        <w:t>爰</w:t>
      </w:r>
      <w:proofErr w:type="gramEnd"/>
      <w:r w:rsidR="00AB404E" w:rsidRPr="00AB404E">
        <w:rPr>
          <w:rFonts w:hint="eastAsia"/>
        </w:rPr>
        <w:t>臺鐵公司</w:t>
      </w:r>
      <w:r w:rsidR="00AB404E" w:rsidRPr="00AB404E">
        <w:t>未依企業社會責任原則主動揭露其永續作為，亦未檢討與SDGs不符之事項，顯示其內部對於</w:t>
      </w:r>
      <w:r w:rsidR="00AB404E" w:rsidRPr="00AB404E">
        <w:lastRenderedPageBreak/>
        <w:t>永續發展及資訊揭露意識尚待提升，</w:t>
      </w:r>
      <w:r w:rsidR="00AB404E" w:rsidRPr="00AB404E">
        <w:rPr>
          <w:rFonts w:hint="eastAsia"/>
        </w:rPr>
        <w:t>交通部</w:t>
      </w:r>
      <w:r w:rsidR="00AB404E" w:rsidRPr="00AB404E">
        <w:t>實應正視並</w:t>
      </w:r>
      <w:r w:rsidR="0065482B">
        <w:rPr>
          <w:rFonts w:hint="eastAsia"/>
        </w:rPr>
        <w:t>積極</w:t>
      </w:r>
      <w:r w:rsidR="00AB404E" w:rsidRPr="00AB404E">
        <w:t>督促</w:t>
      </w:r>
      <w:r w:rsidR="0065482B">
        <w:rPr>
          <w:rFonts w:hint="eastAsia"/>
        </w:rPr>
        <w:t>其</w:t>
      </w:r>
      <w:r w:rsidR="00AB404E" w:rsidRPr="00AB404E">
        <w:t>改善，以符國營事業應有之社會責任與治理標準</w:t>
      </w:r>
      <w:r w:rsidR="00AB404E" w:rsidRPr="00AB404E">
        <w:rPr>
          <w:rFonts w:hint="eastAsia"/>
        </w:rPr>
        <w:t>。</w:t>
      </w:r>
    </w:p>
    <w:p w:rsidR="00CA06DE" w:rsidRDefault="00CA06DE" w:rsidP="00AB38C2">
      <w:pPr>
        <w:pStyle w:val="a3"/>
        <w:numPr>
          <w:ilvl w:val="0"/>
          <w:numId w:val="0"/>
        </w:numPr>
        <w:ind w:left="697"/>
        <w:jc w:val="both"/>
      </w:pPr>
    </w:p>
    <w:p w:rsidR="00AB38C2" w:rsidRDefault="00AB38C2" w:rsidP="0094372B">
      <w:pPr>
        <w:pStyle w:val="a3"/>
        <w:numPr>
          <w:ilvl w:val="0"/>
          <w:numId w:val="0"/>
        </w:numPr>
        <w:ind w:left="697"/>
        <w:jc w:val="both"/>
      </w:pPr>
    </w:p>
    <w:p w:rsidR="00AD032B" w:rsidRDefault="00AD032B">
      <w:pPr>
        <w:widowControl/>
        <w:overflowPunct/>
        <w:autoSpaceDE/>
        <w:autoSpaceDN/>
        <w:jc w:val="left"/>
        <w:rPr>
          <w:rFonts w:hAnsi="標楷體"/>
          <w:bCs/>
          <w:kern w:val="32"/>
          <w:szCs w:val="32"/>
        </w:rPr>
      </w:pPr>
      <w:r>
        <w:rPr>
          <w:rFonts w:hAnsi="標楷體"/>
          <w:szCs w:val="32"/>
        </w:rPr>
        <w:br w:type="page"/>
      </w:r>
    </w:p>
    <w:p w:rsidR="00AD032B" w:rsidRPr="00067D31" w:rsidRDefault="00AD032B" w:rsidP="00AD032B">
      <w:pPr>
        <w:pStyle w:val="1"/>
        <w:ind w:left="2380" w:hanging="2380"/>
        <w:rPr>
          <w:rFonts w:hAnsi="標楷體"/>
        </w:rPr>
      </w:pPr>
      <w:bookmarkStart w:id="26" w:name="_Toc529222689"/>
      <w:bookmarkStart w:id="27" w:name="_Toc529223111"/>
      <w:bookmarkStart w:id="28" w:name="_Toc529223862"/>
      <w:bookmarkStart w:id="29" w:name="_Toc529228265"/>
      <w:bookmarkStart w:id="30" w:name="_Toc2400395"/>
      <w:bookmarkStart w:id="31" w:name="_Toc4316189"/>
      <w:bookmarkStart w:id="32" w:name="_Toc4473330"/>
      <w:bookmarkStart w:id="33" w:name="_Toc69556897"/>
      <w:bookmarkStart w:id="34" w:name="_Toc69556946"/>
      <w:bookmarkStart w:id="35" w:name="_Toc69609820"/>
      <w:bookmarkStart w:id="36" w:name="_Toc70241816"/>
      <w:bookmarkStart w:id="37" w:name="_Toc70242205"/>
      <w:bookmarkStart w:id="38" w:name="_Toc421794875"/>
      <w:bookmarkStart w:id="39" w:name="_Toc422834160"/>
      <w:bookmarkStart w:id="40" w:name="_Toc190357361"/>
      <w:r w:rsidRPr="00067D31">
        <w:rPr>
          <w:rFonts w:hAnsi="標楷體" w:hint="eastAsia"/>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121E85" w:rsidRDefault="00121E85" w:rsidP="00121E85">
      <w:pPr>
        <w:pStyle w:val="20"/>
        <w:spacing w:afterLines="20" w:after="91"/>
        <w:ind w:left="1020" w:hanging="680"/>
        <w:rPr>
          <w:rFonts w:hAnsi="標楷體"/>
        </w:rPr>
      </w:pPr>
      <w:bookmarkStart w:id="41" w:name="_Toc524895649"/>
      <w:bookmarkStart w:id="42" w:name="_Toc524896195"/>
      <w:bookmarkStart w:id="43" w:name="_Toc524896225"/>
      <w:bookmarkStart w:id="44" w:name="_Toc190357362"/>
      <w:bookmarkStart w:id="45" w:name="_Toc70241820"/>
      <w:bookmarkStart w:id="46" w:name="_Toc70242209"/>
      <w:bookmarkStart w:id="47" w:name="_Toc421794876"/>
      <w:bookmarkStart w:id="48" w:name="_Toc421795442"/>
      <w:bookmarkStart w:id="49" w:name="_Toc421796023"/>
      <w:bookmarkStart w:id="50" w:name="_Toc422728958"/>
      <w:bookmarkStart w:id="51" w:name="_Toc422834161"/>
      <w:bookmarkStart w:id="52" w:name="_Toc2400396"/>
      <w:bookmarkStart w:id="53" w:name="_Toc4316190"/>
      <w:bookmarkStart w:id="54" w:name="_Toc4473331"/>
      <w:bookmarkStart w:id="55" w:name="_Toc69556898"/>
      <w:bookmarkStart w:id="56" w:name="_Toc69556947"/>
      <w:bookmarkStart w:id="57" w:name="_Toc69609821"/>
      <w:bookmarkStart w:id="58" w:name="_Toc70241817"/>
      <w:bookmarkStart w:id="59" w:name="_Toc70242206"/>
      <w:bookmarkStart w:id="60" w:name="_Toc524902735"/>
      <w:bookmarkStart w:id="61" w:name="_Toc525066149"/>
      <w:bookmarkStart w:id="62" w:name="_Toc525070840"/>
      <w:bookmarkStart w:id="63" w:name="_Toc525938380"/>
      <w:bookmarkStart w:id="64" w:name="_Toc525939228"/>
      <w:bookmarkStart w:id="65" w:name="_Toc525939733"/>
      <w:bookmarkStart w:id="66" w:name="_Toc529218273"/>
      <w:bookmarkStart w:id="67" w:name="_Toc529222690"/>
      <w:bookmarkStart w:id="68" w:name="_Toc529223112"/>
      <w:bookmarkStart w:id="69" w:name="_Toc529223863"/>
      <w:bookmarkStart w:id="70" w:name="_Toc529228266"/>
      <w:bookmarkEnd w:id="41"/>
      <w:bookmarkEnd w:id="42"/>
      <w:bookmarkEnd w:id="43"/>
      <w:r>
        <w:rPr>
          <w:rFonts w:hAnsi="標楷體" w:hint="eastAsia"/>
        </w:rPr>
        <w:t>抄</w:t>
      </w:r>
      <w:r w:rsidRPr="00AD032B">
        <w:rPr>
          <w:rFonts w:hAnsi="標楷體" w:hint="eastAsia"/>
        </w:rPr>
        <w:t>調查意見</w:t>
      </w:r>
      <w:bookmarkStart w:id="71" w:name="_Toc190357363"/>
      <w:bookmarkStart w:id="72" w:name="_Toc421794877"/>
      <w:bookmarkStart w:id="73" w:name="_Toc421795443"/>
      <w:bookmarkStart w:id="74" w:name="_Toc421796024"/>
      <w:bookmarkStart w:id="75" w:name="_Toc422728959"/>
      <w:bookmarkStart w:id="76" w:name="_Toc422834162"/>
      <w:bookmarkEnd w:id="44"/>
      <w:bookmarkEnd w:id="45"/>
      <w:bookmarkEnd w:id="46"/>
      <w:bookmarkEnd w:id="47"/>
      <w:bookmarkEnd w:id="48"/>
      <w:bookmarkEnd w:id="49"/>
      <w:bookmarkEnd w:id="50"/>
      <w:bookmarkEnd w:id="51"/>
      <w:r>
        <w:rPr>
          <w:rFonts w:hAnsi="標楷體" w:hint="eastAsia"/>
        </w:rPr>
        <w:t>一、二</w:t>
      </w:r>
      <w:r w:rsidRPr="00AD032B">
        <w:rPr>
          <w:rFonts w:hAnsi="標楷體" w:hint="eastAsia"/>
        </w:rPr>
        <w:t>，函請</w:t>
      </w:r>
      <w:r>
        <w:rPr>
          <w:rFonts w:hAnsi="標楷體" w:hint="eastAsia"/>
        </w:rPr>
        <w:t>行政院</w:t>
      </w:r>
      <w:r w:rsidRPr="00AD032B">
        <w:rPr>
          <w:rFonts w:hAnsi="標楷體" w:hint="eastAsia"/>
        </w:rPr>
        <w:t>督</w:t>
      </w:r>
      <w:r>
        <w:rPr>
          <w:rFonts w:hAnsi="標楷體" w:hint="eastAsia"/>
        </w:rPr>
        <w:t>促各國營事業主管機關及各國營事業(除經濟部及所屬國營事業外</w:t>
      </w:r>
      <w:r>
        <w:rPr>
          <w:rFonts w:hAnsi="標楷體"/>
        </w:rPr>
        <w:t>)</w:t>
      </w:r>
      <w:r w:rsidRPr="00AD032B">
        <w:rPr>
          <w:rFonts w:hAnsi="標楷體" w:hint="eastAsia"/>
        </w:rPr>
        <w:t>確實檢討改進</w:t>
      </w:r>
      <w:proofErr w:type="gramStart"/>
      <w:r w:rsidRPr="00AD032B">
        <w:rPr>
          <w:rFonts w:hAnsi="標楷體" w:hint="eastAsia"/>
        </w:rPr>
        <w:t>見復。</w:t>
      </w:r>
      <w:bookmarkEnd w:id="52"/>
      <w:bookmarkEnd w:id="53"/>
      <w:bookmarkEnd w:id="54"/>
      <w:bookmarkEnd w:id="55"/>
      <w:bookmarkEnd w:id="56"/>
      <w:bookmarkEnd w:id="57"/>
      <w:bookmarkEnd w:id="58"/>
      <w:bookmarkEnd w:id="59"/>
      <w:bookmarkEnd w:id="71"/>
      <w:bookmarkEnd w:id="72"/>
      <w:bookmarkEnd w:id="73"/>
      <w:bookmarkEnd w:id="74"/>
      <w:bookmarkEnd w:id="75"/>
      <w:bookmarkEnd w:id="76"/>
      <w:proofErr w:type="gramEnd"/>
    </w:p>
    <w:p w:rsidR="00121E85" w:rsidRPr="00AD032B" w:rsidRDefault="00121E85" w:rsidP="00121E85">
      <w:pPr>
        <w:pStyle w:val="20"/>
        <w:spacing w:afterLines="20" w:after="91"/>
        <w:ind w:left="1020" w:hanging="680"/>
        <w:rPr>
          <w:rFonts w:hAnsi="標楷體"/>
        </w:rPr>
      </w:pPr>
      <w:r>
        <w:rPr>
          <w:rFonts w:hAnsi="標楷體" w:hint="eastAsia"/>
        </w:rPr>
        <w:t>抄調查意見</w:t>
      </w:r>
      <w:proofErr w:type="gramStart"/>
      <w:r>
        <w:rPr>
          <w:rFonts w:hAnsi="標楷體" w:hint="eastAsia"/>
        </w:rPr>
        <w:t>三</w:t>
      </w:r>
      <w:proofErr w:type="gramEnd"/>
      <w:r>
        <w:rPr>
          <w:rFonts w:hAnsi="標楷體" w:hint="eastAsia"/>
        </w:rPr>
        <w:t>，函請交通部督促所屬</w:t>
      </w:r>
      <w:r w:rsidRPr="00B96876">
        <w:rPr>
          <w:rFonts w:hAnsi="標楷體" w:hint="eastAsia"/>
        </w:rPr>
        <w:t>國營臺</w:t>
      </w:r>
      <w:r>
        <w:rPr>
          <w:rFonts w:hAnsi="標楷體" w:hint="eastAsia"/>
        </w:rPr>
        <w:t>灣</w:t>
      </w:r>
      <w:r w:rsidRPr="00B96876">
        <w:rPr>
          <w:rFonts w:hAnsi="標楷體" w:hint="eastAsia"/>
        </w:rPr>
        <w:t>鐵</w:t>
      </w:r>
      <w:r>
        <w:rPr>
          <w:rFonts w:hAnsi="標楷體" w:hint="eastAsia"/>
        </w:rPr>
        <w:t>路股份有限</w:t>
      </w:r>
      <w:r w:rsidRPr="00B96876">
        <w:rPr>
          <w:rFonts w:hAnsi="標楷體" w:hint="eastAsia"/>
        </w:rPr>
        <w:t>公司</w:t>
      </w:r>
      <w:r>
        <w:rPr>
          <w:rFonts w:hAnsi="標楷體" w:hint="eastAsia"/>
        </w:rPr>
        <w:t>確實檢討改進</w:t>
      </w:r>
      <w:proofErr w:type="gramStart"/>
      <w:r>
        <w:rPr>
          <w:rFonts w:hAnsi="標楷體" w:hint="eastAsia"/>
        </w:rPr>
        <w:t>見復</w:t>
      </w:r>
      <w:proofErr w:type="gramEnd"/>
      <w:r>
        <w:rPr>
          <w:rFonts w:hAnsi="標楷體" w:hint="eastAsia"/>
        </w:rPr>
        <w:t>。</w:t>
      </w:r>
    </w:p>
    <w:p w:rsidR="00121E85" w:rsidRPr="00067D31" w:rsidRDefault="00121E85" w:rsidP="00121E85">
      <w:pPr>
        <w:pStyle w:val="20"/>
        <w:spacing w:afterLines="20" w:after="91"/>
        <w:ind w:left="1020" w:hanging="680"/>
        <w:rPr>
          <w:rFonts w:hAnsi="標楷體"/>
        </w:rPr>
      </w:pPr>
      <w:bookmarkStart w:id="77" w:name="_Toc190357365"/>
      <w:bookmarkStart w:id="78" w:name="_Toc2400397"/>
      <w:bookmarkStart w:id="79" w:name="_Toc4316191"/>
      <w:bookmarkStart w:id="80" w:name="_Toc4473332"/>
      <w:bookmarkStart w:id="81" w:name="_Toc69556901"/>
      <w:bookmarkStart w:id="82" w:name="_Toc69556950"/>
      <w:bookmarkStart w:id="83" w:name="_Toc69609824"/>
      <w:bookmarkStart w:id="84" w:name="_Toc70241822"/>
      <w:bookmarkStart w:id="85" w:name="_Toc70242211"/>
      <w:bookmarkStart w:id="86" w:name="_Toc421794881"/>
      <w:bookmarkStart w:id="87" w:name="_Toc421795447"/>
      <w:bookmarkStart w:id="88" w:name="_Toc421796028"/>
      <w:bookmarkStart w:id="89" w:name="_Toc422728963"/>
      <w:bookmarkStart w:id="90" w:name="_Toc422834166"/>
      <w:bookmarkEnd w:id="60"/>
      <w:bookmarkEnd w:id="61"/>
      <w:bookmarkEnd w:id="62"/>
      <w:bookmarkEnd w:id="63"/>
      <w:bookmarkEnd w:id="64"/>
      <w:bookmarkEnd w:id="65"/>
      <w:bookmarkEnd w:id="66"/>
      <w:bookmarkEnd w:id="67"/>
      <w:bookmarkEnd w:id="68"/>
      <w:bookmarkEnd w:id="69"/>
      <w:bookmarkEnd w:id="70"/>
      <w:r>
        <w:rPr>
          <w:rFonts w:hAnsi="標楷體" w:hint="eastAsia"/>
        </w:rPr>
        <w:t>抄</w:t>
      </w:r>
      <w:r w:rsidRPr="00067D31">
        <w:rPr>
          <w:rFonts w:hAnsi="標楷體" w:hint="eastAsia"/>
        </w:rPr>
        <w:t>調查</w:t>
      </w:r>
      <w:r>
        <w:rPr>
          <w:rFonts w:hAnsi="標楷體" w:hint="eastAsia"/>
        </w:rPr>
        <w:t>意見及處理辦法，</w:t>
      </w:r>
      <w:r w:rsidRPr="00067D31">
        <w:rPr>
          <w:rFonts w:hAnsi="標楷體" w:hint="eastAsia"/>
        </w:rPr>
        <w:t>送審計部參考。</w:t>
      </w:r>
      <w:bookmarkEnd w:id="77"/>
    </w:p>
    <w:p w:rsidR="00121E85" w:rsidRPr="00067D31" w:rsidRDefault="00121E85" w:rsidP="00121E85">
      <w:pPr>
        <w:pStyle w:val="20"/>
        <w:spacing w:afterLines="20" w:after="91"/>
        <w:ind w:left="1020" w:hanging="680"/>
        <w:rPr>
          <w:rFonts w:hAnsi="標楷體"/>
        </w:rPr>
      </w:pPr>
      <w:bookmarkStart w:id="91" w:name="_Toc190357366"/>
      <w:r>
        <w:rPr>
          <w:rFonts w:hAnsi="標楷體" w:hint="eastAsia"/>
        </w:rPr>
        <w:t>調查報告之案由、</w:t>
      </w:r>
      <w:r w:rsidRPr="00067D31">
        <w:rPr>
          <w:rFonts w:hAnsi="標楷體" w:hint="eastAsia"/>
        </w:rPr>
        <w:t>調查意見(含</w:t>
      </w:r>
      <w:r>
        <w:rPr>
          <w:rFonts w:hAnsi="標楷體" w:hint="eastAsia"/>
        </w:rPr>
        <w:t>圖、</w:t>
      </w:r>
      <w:r w:rsidRPr="00067D31">
        <w:rPr>
          <w:rFonts w:hAnsi="標楷體" w:hint="eastAsia"/>
        </w:rPr>
        <w:t>表)</w:t>
      </w:r>
      <w:r>
        <w:rPr>
          <w:rFonts w:hAnsi="標楷體" w:hint="eastAsia"/>
        </w:rPr>
        <w:t>及處理辦法上網公布</w:t>
      </w:r>
      <w:r w:rsidRPr="00067D31">
        <w:rPr>
          <w:rFonts w:hAnsi="標楷體" w:hint="eastAsia"/>
        </w:rPr>
        <w:t>。</w:t>
      </w:r>
      <w:bookmarkEnd w:id="91"/>
    </w:p>
    <w:bookmarkEnd w:id="78"/>
    <w:bookmarkEnd w:id="79"/>
    <w:bookmarkEnd w:id="80"/>
    <w:bookmarkEnd w:id="81"/>
    <w:bookmarkEnd w:id="82"/>
    <w:bookmarkEnd w:id="83"/>
    <w:bookmarkEnd w:id="84"/>
    <w:bookmarkEnd w:id="85"/>
    <w:bookmarkEnd w:id="86"/>
    <w:bookmarkEnd w:id="87"/>
    <w:bookmarkEnd w:id="88"/>
    <w:bookmarkEnd w:id="89"/>
    <w:bookmarkEnd w:id="90"/>
    <w:p w:rsidR="00121E85" w:rsidRPr="00067D31" w:rsidRDefault="00121E85" w:rsidP="00121E85">
      <w:pPr>
        <w:pStyle w:val="ad"/>
        <w:spacing w:beforeLines="50" w:before="228" w:afterLines="100" w:after="457"/>
        <w:ind w:leftChars="1100" w:left="3742"/>
        <w:rPr>
          <w:rFonts w:hAnsi="標楷體"/>
          <w:b w:val="0"/>
          <w:bCs/>
          <w:snapToGrid/>
          <w:spacing w:val="12"/>
          <w:kern w:val="0"/>
          <w:sz w:val="40"/>
        </w:rPr>
      </w:pPr>
    </w:p>
    <w:p w:rsidR="00121E85" w:rsidRPr="00067D31" w:rsidRDefault="00121E85" w:rsidP="00121E85">
      <w:pPr>
        <w:pStyle w:val="ad"/>
        <w:spacing w:beforeLines="50" w:before="228" w:after="0"/>
        <w:ind w:leftChars="1100" w:left="3742"/>
        <w:rPr>
          <w:rFonts w:hAnsi="標楷體"/>
          <w:b w:val="0"/>
          <w:bCs/>
          <w:snapToGrid/>
          <w:spacing w:val="12"/>
          <w:kern w:val="0"/>
          <w:sz w:val="40"/>
        </w:rPr>
      </w:pPr>
      <w:r w:rsidRPr="00067D31">
        <w:rPr>
          <w:rFonts w:hAnsi="標楷體" w:hint="eastAsia"/>
          <w:b w:val="0"/>
          <w:bCs/>
          <w:snapToGrid/>
          <w:spacing w:val="12"/>
          <w:kern w:val="0"/>
          <w:sz w:val="40"/>
        </w:rPr>
        <w:t>調查委員：</w:t>
      </w:r>
      <w:r>
        <w:rPr>
          <w:rFonts w:hAnsi="標楷體" w:hint="eastAsia"/>
          <w:b w:val="0"/>
          <w:bCs/>
          <w:snapToGrid/>
          <w:spacing w:val="12"/>
          <w:kern w:val="0"/>
          <w:sz w:val="40"/>
        </w:rPr>
        <w:t>葉宜津</w:t>
      </w:r>
    </w:p>
    <w:p w:rsidR="00121E85" w:rsidRDefault="00121E85" w:rsidP="00121E85">
      <w:pPr>
        <w:pStyle w:val="ad"/>
        <w:spacing w:before="0" w:after="0"/>
        <w:ind w:leftChars="1760" w:left="5987"/>
        <w:rPr>
          <w:rFonts w:hAnsi="標楷體"/>
          <w:b w:val="0"/>
          <w:bCs/>
          <w:snapToGrid/>
          <w:spacing w:val="0"/>
          <w:kern w:val="0"/>
          <w:sz w:val="40"/>
        </w:rPr>
      </w:pPr>
      <w:r>
        <w:rPr>
          <w:rFonts w:hAnsi="標楷體" w:hint="eastAsia"/>
          <w:b w:val="0"/>
          <w:bCs/>
          <w:snapToGrid/>
          <w:spacing w:val="0"/>
          <w:kern w:val="0"/>
          <w:sz w:val="40"/>
        </w:rPr>
        <w:t>王美玉</w:t>
      </w:r>
    </w:p>
    <w:p w:rsidR="00121E85" w:rsidRPr="00067D31" w:rsidRDefault="00121E85" w:rsidP="00121E85">
      <w:pPr>
        <w:pStyle w:val="ad"/>
        <w:spacing w:before="0" w:after="0"/>
        <w:ind w:leftChars="1760" w:left="5987"/>
        <w:rPr>
          <w:rFonts w:hAnsi="標楷體"/>
          <w:b w:val="0"/>
          <w:bCs/>
          <w:snapToGrid/>
          <w:spacing w:val="0"/>
          <w:kern w:val="0"/>
          <w:sz w:val="40"/>
        </w:rPr>
      </w:pPr>
      <w:r>
        <w:rPr>
          <w:rFonts w:hAnsi="標楷體" w:hint="eastAsia"/>
          <w:b w:val="0"/>
          <w:bCs/>
          <w:snapToGrid/>
          <w:spacing w:val="0"/>
          <w:kern w:val="0"/>
          <w:sz w:val="40"/>
        </w:rPr>
        <w:t>賴振昌</w:t>
      </w:r>
    </w:p>
    <w:p w:rsidR="00121E85" w:rsidRPr="00067D31" w:rsidRDefault="00121E85" w:rsidP="00121E85">
      <w:pPr>
        <w:pStyle w:val="ad"/>
        <w:spacing w:before="0" w:after="0"/>
        <w:ind w:leftChars="1100" w:left="3742"/>
        <w:rPr>
          <w:rFonts w:hAnsi="標楷體"/>
          <w:b w:val="0"/>
          <w:bCs/>
          <w:snapToGrid/>
          <w:spacing w:val="0"/>
          <w:kern w:val="0"/>
          <w:sz w:val="40"/>
        </w:rPr>
      </w:pPr>
    </w:p>
    <w:p w:rsidR="00121E85" w:rsidRPr="00067D31" w:rsidRDefault="00121E85" w:rsidP="00121E85">
      <w:pPr>
        <w:pStyle w:val="af2"/>
        <w:rPr>
          <w:rFonts w:hAnsi="標楷體"/>
          <w:bCs/>
        </w:rPr>
      </w:pPr>
      <w:r w:rsidRPr="00067D31">
        <w:rPr>
          <w:rFonts w:hAnsi="標楷體" w:hint="eastAsia"/>
          <w:bCs/>
        </w:rPr>
        <w:t>中  華  民  國　1</w:t>
      </w:r>
      <w:r w:rsidRPr="00067D31">
        <w:rPr>
          <w:rFonts w:hAnsi="標楷體"/>
          <w:bCs/>
        </w:rPr>
        <w:t>1</w:t>
      </w:r>
      <w:r>
        <w:rPr>
          <w:rFonts w:hAnsi="標楷體"/>
          <w:bCs/>
        </w:rPr>
        <w:t>4</w:t>
      </w:r>
      <w:r w:rsidRPr="00067D31">
        <w:rPr>
          <w:rFonts w:hAnsi="標楷體" w:hint="eastAsia"/>
          <w:bCs/>
        </w:rPr>
        <w:t xml:space="preserve">　年　</w:t>
      </w:r>
      <w:r w:rsidRPr="00067D31">
        <w:rPr>
          <w:rFonts w:hAnsi="標楷體"/>
          <w:bCs/>
        </w:rPr>
        <w:t xml:space="preserve"> </w:t>
      </w:r>
      <w:r>
        <w:rPr>
          <w:rFonts w:hAnsi="標楷體" w:hint="eastAsia"/>
          <w:bCs/>
        </w:rPr>
        <w:t>6</w:t>
      </w:r>
      <w:r w:rsidRPr="00067D31">
        <w:rPr>
          <w:rFonts w:hAnsi="標楷體"/>
          <w:bCs/>
        </w:rPr>
        <w:t xml:space="preserve"> </w:t>
      </w:r>
      <w:r w:rsidRPr="00067D31">
        <w:rPr>
          <w:rFonts w:hAnsi="標楷體" w:hint="eastAsia"/>
          <w:bCs/>
        </w:rPr>
        <w:t xml:space="preserve">　月 </w:t>
      </w:r>
      <w:r w:rsidRPr="00067D31">
        <w:rPr>
          <w:rFonts w:hAnsi="標楷體"/>
          <w:bCs/>
        </w:rPr>
        <w:t xml:space="preserve">  </w:t>
      </w:r>
      <w:r>
        <w:rPr>
          <w:rFonts w:hAnsi="標楷體" w:hint="eastAsia"/>
          <w:bCs/>
        </w:rPr>
        <w:t>4</w:t>
      </w:r>
      <w:r w:rsidRPr="00067D31">
        <w:rPr>
          <w:rFonts w:hAnsi="標楷體" w:hint="eastAsia"/>
          <w:bCs/>
        </w:rPr>
        <w:t xml:space="preserve">　　日</w:t>
      </w:r>
    </w:p>
    <w:p w:rsidR="00121E85" w:rsidRPr="00067D31" w:rsidRDefault="00121E85" w:rsidP="00121E85">
      <w:pPr>
        <w:pStyle w:val="af3"/>
        <w:kinsoku/>
        <w:autoSpaceDE w:val="0"/>
        <w:spacing w:beforeLines="50" w:before="228"/>
        <w:ind w:left="1020" w:hanging="1020"/>
        <w:rPr>
          <w:rFonts w:hAnsi="標楷體"/>
          <w:bCs/>
        </w:rPr>
      </w:pPr>
    </w:p>
    <w:p w:rsidR="00121E85" w:rsidRPr="00067D31" w:rsidRDefault="00121E85" w:rsidP="00121E85">
      <w:pPr>
        <w:pStyle w:val="af3"/>
        <w:kinsoku/>
        <w:autoSpaceDE w:val="0"/>
        <w:spacing w:beforeLines="50" w:before="228"/>
        <w:ind w:left="1020" w:hanging="1020"/>
        <w:rPr>
          <w:rFonts w:hAnsi="標楷體"/>
          <w:bCs/>
        </w:rPr>
      </w:pPr>
      <w:proofErr w:type="gramStart"/>
      <w:r w:rsidRPr="00067D31">
        <w:rPr>
          <w:rFonts w:hAnsi="標楷體" w:hint="eastAsia"/>
          <w:bCs/>
        </w:rPr>
        <w:t>案名</w:t>
      </w:r>
      <w:proofErr w:type="gramEnd"/>
      <w:r w:rsidRPr="00067D31">
        <w:rPr>
          <w:rFonts w:hAnsi="標楷體" w:hint="eastAsia"/>
          <w:bCs/>
        </w:rPr>
        <w:t>：</w:t>
      </w:r>
      <w:r w:rsidRPr="00ED136A">
        <w:rPr>
          <w:rFonts w:hAnsi="標楷體"/>
        </w:rPr>
        <w:t>國營事業尚未規劃導入</w:t>
      </w:r>
      <w:r>
        <w:rPr>
          <w:rFonts w:hAnsi="標楷體" w:hint="eastAsia"/>
        </w:rPr>
        <w:t>國際永續揭露</w:t>
      </w:r>
      <w:r w:rsidRPr="00ED136A">
        <w:rPr>
          <w:rFonts w:hAnsi="標楷體"/>
        </w:rPr>
        <w:t>準則</w:t>
      </w:r>
      <w:r>
        <w:rPr>
          <w:rFonts w:hAnsi="標楷體" w:hint="eastAsia"/>
        </w:rPr>
        <w:t>案</w:t>
      </w:r>
      <w:r w:rsidRPr="00067D31">
        <w:rPr>
          <w:rFonts w:hAnsi="標楷體" w:hint="eastAsia"/>
          <w:bCs/>
        </w:rPr>
        <w:t>。</w:t>
      </w:r>
    </w:p>
    <w:p w:rsidR="00121E85" w:rsidRPr="00AD032B" w:rsidRDefault="00121E85" w:rsidP="00121E85">
      <w:pPr>
        <w:pStyle w:val="af3"/>
        <w:kinsoku/>
        <w:autoSpaceDE w:val="0"/>
        <w:spacing w:beforeLines="50" w:before="228"/>
        <w:ind w:left="1276" w:hangingChars="375" w:hanging="1276"/>
        <w:rPr>
          <w:rFonts w:hAnsi="標楷體"/>
          <w:szCs w:val="32"/>
        </w:rPr>
      </w:pPr>
      <w:r w:rsidRPr="00067D31">
        <w:rPr>
          <w:rFonts w:hAnsi="標楷體" w:hint="eastAsia"/>
          <w:bCs/>
        </w:rPr>
        <w:t>關鍵字：</w:t>
      </w:r>
      <w:r>
        <w:rPr>
          <w:rFonts w:hAnsi="標楷體" w:hint="eastAsia"/>
          <w:bCs/>
        </w:rPr>
        <w:t>GRI、</w:t>
      </w:r>
      <w:r w:rsidRPr="00217916">
        <w:rPr>
          <w:rFonts w:hAnsi="標楷體" w:hint="eastAsia"/>
          <w:szCs w:val="32"/>
        </w:rPr>
        <w:t>IFRS</w:t>
      </w:r>
      <w:r>
        <w:rPr>
          <w:rFonts w:hAnsi="標楷體" w:hint="eastAsia"/>
          <w:szCs w:val="32"/>
        </w:rPr>
        <w:t xml:space="preserve"> S1/S2、</w:t>
      </w:r>
      <w:r w:rsidRPr="00432CEA">
        <w:rPr>
          <w:rFonts w:hAnsi="標楷體"/>
          <w:kern w:val="32"/>
          <w:szCs w:val="32"/>
        </w:rPr>
        <w:t>SASB</w:t>
      </w:r>
      <w:r>
        <w:rPr>
          <w:rFonts w:hAnsi="標楷體" w:hint="eastAsia"/>
          <w:kern w:val="32"/>
          <w:szCs w:val="32"/>
        </w:rPr>
        <w:t>、</w:t>
      </w:r>
      <w:r w:rsidRPr="00432CEA">
        <w:rPr>
          <w:rFonts w:hAnsi="標楷體"/>
          <w:kern w:val="32"/>
          <w:szCs w:val="32"/>
        </w:rPr>
        <w:t>TCFD</w:t>
      </w:r>
      <w:r>
        <w:rPr>
          <w:rFonts w:hAnsi="標楷體" w:hint="eastAsia"/>
          <w:szCs w:val="32"/>
        </w:rPr>
        <w:t>、ESG、永續報告書、2</w:t>
      </w:r>
      <w:r>
        <w:rPr>
          <w:rFonts w:hAnsi="標楷體"/>
          <w:szCs w:val="32"/>
        </w:rPr>
        <w:t>050</w:t>
      </w:r>
      <w:proofErr w:type="gramStart"/>
      <w:r>
        <w:rPr>
          <w:rFonts w:hAnsi="標楷體" w:hint="eastAsia"/>
          <w:szCs w:val="32"/>
        </w:rPr>
        <w:t>淨零排放</w:t>
      </w:r>
      <w:proofErr w:type="gramEnd"/>
      <w:r>
        <w:rPr>
          <w:rFonts w:hAnsi="標楷體" w:hint="eastAsia"/>
          <w:szCs w:val="32"/>
        </w:rPr>
        <w:t>、SDG</w:t>
      </w:r>
      <w:r>
        <w:rPr>
          <w:rFonts w:hAnsi="標楷體"/>
          <w:szCs w:val="32"/>
        </w:rPr>
        <w:t>s</w:t>
      </w:r>
    </w:p>
    <w:sectPr w:rsidR="00121E85" w:rsidRPr="00AD032B"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151" w:rsidRDefault="00C34151">
      <w:r>
        <w:separator/>
      </w:r>
    </w:p>
  </w:endnote>
  <w:endnote w:type="continuationSeparator" w:id="0">
    <w:p w:rsidR="00C34151" w:rsidRDefault="00C3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Arial Unicode MS"/>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461" w:rsidRDefault="00952461">
    <w:pPr>
      <w:pStyle w:val="af6"/>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Pr>
        <w:rStyle w:val="af"/>
        <w:noProof/>
        <w:sz w:val="24"/>
      </w:rPr>
      <w:t>1</w:t>
    </w:r>
    <w:r>
      <w:rPr>
        <w:rStyle w:val="af"/>
        <w:sz w:val="24"/>
      </w:rPr>
      <w:fldChar w:fldCharType="end"/>
    </w:r>
  </w:p>
  <w:p w:rsidR="00952461" w:rsidRDefault="0095246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151" w:rsidRDefault="00C34151">
      <w:r>
        <w:separator/>
      </w:r>
    </w:p>
  </w:footnote>
  <w:footnote w:type="continuationSeparator" w:id="0">
    <w:p w:rsidR="00C34151" w:rsidRDefault="00C34151">
      <w:r>
        <w:continuationSeparator/>
      </w:r>
    </w:p>
  </w:footnote>
  <w:footnote w:id="1">
    <w:p w:rsidR="00952461" w:rsidRDefault="00952461">
      <w:pPr>
        <w:pStyle w:val="aff2"/>
      </w:pPr>
      <w:r w:rsidRPr="002F787F">
        <w:rPr>
          <w:rFonts w:hAnsi="標楷體"/>
        </w:rPr>
        <w:footnoteRef/>
      </w:r>
      <w:r>
        <w:rPr>
          <w:rFonts w:hAnsi="標楷體"/>
        </w:rPr>
        <w:t>.</w:t>
      </w:r>
      <w:r w:rsidRPr="002F787F">
        <w:rPr>
          <w:rFonts w:hAnsi="標楷體" w:hint="eastAsia"/>
        </w:rPr>
        <w:t>由</w:t>
      </w:r>
      <w:r>
        <w:rPr>
          <w:rFonts w:hAnsi="標楷體"/>
        </w:rPr>
        <w:t>全球永續性報告協會</w:t>
      </w:r>
      <w:r w:rsidRPr="002F787F">
        <w:rPr>
          <w:rFonts w:hAnsi="標楷體"/>
        </w:rPr>
        <w:t>Global Reporting Initiative</w:t>
      </w:r>
      <w:r w:rsidRPr="002F787F">
        <w:rPr>
          <w:rFonts w:hAnsi="標楷體" w:hint="eastAsia"/>
        </w:rPr>
        <w:t>制定。</w:t>
      </w:r>
    </w:p>
  </w:footnote>
  <w:footnote w:id="2">
    <w:p w:rsidR="00952461" w:rsidRDefault="00952461" w:rsidP="00C77C58">
      <w:pPr>
        <w:pStyle w:val="aff2"/>
      </w:pPr>
      <w:r w:rsidRPr="004536D4">
        <w:footnoteRef/>
      </w:r>
      <w:r>
        <w:t>.</w:t>
      </w:r>
      <w:r>
        <w:rPr>
          <w:rFonts w:hint="eastAsia"/>
        </w:rPr>
        <w:t>參考資料來源：安永聯合會計師事務所</w:t>
      </w:r>
      <w:r w:rsidRPr="004536D4">
        <w:t>chrome-extension://efaidnbmnnnibpcajpcglclefindmkaj/https://www.twse.com.tw/staticFiles/listed/ifrsActvity/ff80808184bbf88801852986289f01c8.pdf</w:t>
      </w:r>
      <w:r>
        <w:rPr>
          <w:rFonts w:hint="eastAsia"/>
        </w:rPr>
        <w:t>。</w:t>
      </w:r>
    </w:p>
  </w:footnote>
  <w:footnote w:id="3">
    <w:p w:rsidR="00952461" w:rsidRDefault="00952461">
      <w:pPr>
        <w:pStyle w:val="aff2"/>
      </w:pPr>
      <w:r w:rsidRPr="00E71B9F">
        <w:footnoteRef/>
      </w:r>
      <w:r>
        <w:t>.</w:t>
      </w:r>
      <w:r w:rsidRPr="00E71B9F">
        <w:rPr>
          <w:rFonts w:hint="eastAsia"/>
        </w:rPr>
        <w:t>企業社會責任Corporate Social Responsibility,簡稱CSR</w:t>
      </w:r>
      <w:r>
        <w:rPr>
          <w:rFonts w:hint="eastAsia"/>
        </w:rPr>
        <w:t>。</w:t>
      </w:r>
    </w:p>
  </w:footnote>
  <w:footnote w:id="4">
    <w:p w:rsidR="00952461" w:rsidRDefault="00952461" w:rsidP="002C23CC">
      <w:pPr>
        <w:pStyle w:val="aff2"/>
      </w:pPr>
      <w:r w:rsidRPr="00671D1C">
        <w:rPr>
          <w:rFonts w:hAnsi="標楷體"/>
          <w:szCs w:val="32"/>
        </w:rPr>
        <w:footnoteRef/>
      </w:r>
      <w:r>
        <w:rPr>
          <w:rFonts w:hAnsi="標楷體"/>
          <w:szCs w:val="32"/>
        </w:rPr>
        <w:t>.</w:t>
      </w:r>
      <w:r w:rsidRPr="00671D1C">
        <w:rPr>
          <w:rFonts w:hAnsi="標楷體" w:hint="eastAsia"/>
          <w:szCs w:val="32"/>
        </w:rPr>
        <w:t>詳見</w:t>
      </w:r>
      <w:r>
        <w:rPr>
          <w:rFonts w:hAnsi="標楷體" w:hint="eastAsia"/>
          <w:szCs w:val="32"/>
        </w:rPr>
        <w:t>本院派查字號：</w:t>
      </w:r>
      <w:r w:rsidRPr="00064C8E">
        <w:rPr>
          <w:rFonts w:hAnsi="標楷體"/>
          <w:szCs w:val="32"/>
        </w:rPr>
        <w:t>1130800128</w:t>
      </w:r>
      <w:r>
        <w:rPr>
          <w:rFonts w:hAnsi="標楷體" w:hint="eastAsia"/>
          <w:szCs w:val="32"/>
        </w:rPr>
        <w:t>號調查案調查意見。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22EF"/>
    <w:multiLevelType w:val="hybridMultilevel"/>
    <w:tmpl w:val="461AAF18"/>
    <w:lvl w:ilvl="0" w:tplc="BEB00D02">
      <w:start w:val="1"/>
      <w:numFmt w:val="decimal"/>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CB439E"/>
    <w:multiLevelType w:val="hybridMultilevel"/>
    <w:tmpl w:val="A2F880CA"/>
    <w:lvl w:ilvl="0" w:tplc="0409001B">
      <w:start w:val="1"/>
      <w:numFmt w:val="lowerRoman"/>
      <w:lvlText w:val="%1."/>
      <w:lvlJc w:val="righ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15:restartNumberingAfterBreak="0">
    <w:nsid w:val="139B5C52"/>
    <w:multiLevelType w:val="multilevel"/>
    <w:tmpl w:val="9A0E7DB6"/>
    <w:lvl w:ilvl="0">
      <w:start w:val="1"/>
      <w:numFmt w:val="ideographTraditional"/>
      <w:pStyle w:val="2"/>
      <w:suff w:val="nothing"/>
      <w:lvlText w:val="%1、"/>
      <w:lvlJc w:val="left"/>
      <w:pPr>
        <w:ind w:left="425" w:hanging="425"/>
      </w:pPr>
      <w:rPr>
        <w:rFonts w:hint="eastAsia"/>
      </w:rPr>
    </w:lvl>
    <w:lvl w:ilvl="1">
      <w:start w:val="1"/>
      <w:numFmt w:val="ideographLegalTraditional"/>
      <w:suff w:val="nothing"/>
      <w:lvlText w:val="%2、"/>
      <w:lvlJc w:val="left"/>
      <w:pPr>
        <w:ind w:left="454" w:hanging="454"/>
      </w:pPr>
      <w:rPr>
        <w:rFonts w:hint="eastAsia"/>
        <w:color w:val="auto"/>
      </w:rPr>
    </w:lvl>
    <w:lvl w:ilvl="2">
      <w:start w:val="1"/>
      <w:numFmt w:val="taiwaneseCountingThousand"/>
      <w:pStyle w:val="a0"/>
      <w:suff w:val="nothing"/>
      <w:lvlText w:val="%3、"/>
      <w:lvlJc w:val="left"/>
      <w:pPr>
        <w:ind w:left="1658" w:hanging="1418"/>
      </w:pPr>
      <w:rPr>
        <w:rFonts w:hint="eastAsia"/>
        <w:lang w:val="en-US"/>
      </w:rPr>
    </w:lvl>
    <w:lvl w:ilvl="3">
      <w:start w:val="1"/>
      <w:numFmt w:val="taiwaneseCountingThousand"/>
      <w:pStyle w:val="2"/>
      <w:suff w:val="nothing"/>
      <w:lvlText w:val="(%4)"/>
      <w:lvlJc w:val="left"/>
      <w:pPr>
        <w:ind w:left="1985" w:hanging="1985"/>
      </w:pPr>
      <w:rPr>
        <w:rFonts w:hint="eastAsia"/>
      </w:rPr>
    </w:lvl>
    <w:lvl w:ilvl="4">
      <w:start w:val="1"/>
      <w:numFmt w:val="decimal"/>
      <w:pStyle w:val="a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40E010C"/>
    <w:multiLevelType w:val="multilevel"/>
    <w:tmpl w:val="36D0585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0"/>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68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2"/>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CFE143F"/>
    <w:multiLevelType w:val="hybridMultilevel"/>
    <w:tmpl w:val="59847926"/>
    <w:lvl w:ilvl="0" w:tplc="A1A269AC">
      <w:start w:val="1"/>
      <w:numFmt w:val="decimal"/>
      <w:pStyle w:val="a3"/>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5"/>
      <w:lvlText w:val="表%1　"/>
      <w:lvlJc w:val="left"/>
      <w:pPr>
        <w:ind w:left="2466"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B24710"/>
    <w:multiLevelType w:val="hybridMultilevel"/>
    <w:tmpl w:val="68C838B8"/>
    <w:lvl w:ilvl="0" w:tplc="F7089518">
      <w:start w:val="1"/>
      <w:numFmt w:val="ideographLegalTraditional"/>
      <w:pStyle w:val="a8"/>
      <w:lvlText w:val="%1、"/>
      <w:lvlJc w:val="left"/>
      <w:pPr>
        <w:tabs>
          <w:tab w:val="num" w:pos="810"/>
        </w:tabs>
        <w:ind w:left="810" w:hanging="810"/>
      </w:pPr>
      <w:rPr>
        <w:rFonts w:hint="eastAsia"/>
      </w:rPr>
    </w:lvl>
    <w:lvl w:ilvl="1" w:tplc="5DD2A0D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1"/>
  </w:num>
  <w:num w:numId="3">
    <w:abstractNumId w:val="8"/>
  </w:num>
  <w:num w:numId="4">
    <w:abstractNumId w:val="6"/>
  </w:num>
  <w:num w:numId="5">
    <w:abstractNumId w:val="9"/>
  </w:num>
  <w:num w:numId="6">
    <w:abstractNumId w:val="4"/>
  </w:num>
  <w:num w:numId="7">
    <w:abstractNumId w:val="10"/>
  </w:num>
  <w:num w:numId="8">
    <w:abstractNumId w:val="7"/>
  </w:num>
  <w:num w:numId="9">
    <w:abstractNumId w:val="3"/>
  </w:num>
  <w:num w:numId="10">
    <w:abstractNumId w:val="11"/>
  </w:num>
  <w:num w:numId="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num>
  <w:num w:numId="21">
    <w:abstractNumId w:val="4"/>
  </w:num>
  <w:num w:numId="22">
    <w:abstractNumId w:val="2"/>
  </w:num>
  <w:num w:numId="23">
    <w:abstractNumId w:val="0"/>
  </w:num>
  <w:num w:numId="24">
    <w:abstractNumId w:val="4"/>
  </w:num>
  <w:num w:numId="25">
    <w:abstractNumId w:val="6"/>
  </w:num>
  <w:num w:numId="2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54CE"/>
    <w:rsid w:val="00015630"/>
    <w:rsid w:val="00017318"/>
    <w:rsid w:val="00021743"/>
    <w:rsid w:val="000229AD"/>
    <w:rsid w:val="00023B41"/>
    <w:rsid w:val="000246F7"/>
    <w:rsid w:val="00027961"/>
    <w:rsid w:val="0003114D"/>
    <w:rsid w:val="000349FA"/>
    <w:rsid w:val="0003627A"/>
    <w:rsid w:val="00036D76"/>
    <w:rsid w:val="00040AEA"/>
    <w:rsid w:val="00042EE7"/>
    <w:rsid w:val="0004588D"/>
    <w:rsid w:val="0005140C"/>
    <w:rsid w:val="0005378D"/>
    <w:rsid w:val="00053A26"/>
    <w:rsid w:val="00054065"/>
    <w:rsid w:val="000545B3"/>
    <w:rsid w:val="00056858"/>
    <w:rsid w:val="00057742"/>
    <w:rsid w:val="00057F32"/>
    <w:rsid w:val="00062A25"/>
    <w:rsid w:val="0006383F"/>
    <w:rsid w:val="00064C8E"/>
    <w:rsid w:val="0006676F"/>
    <w:rsid w:val="000675E6"/>
    <w:rsid w:val="00073CB5"/>
    <w:rsid w:val="0007425C"/>
    <w:rsid w:val="00077553"/>
    <w:rsid w:val="000851A2"/>
    <w:rsid w:val="00086272"/>
    <w:rsid w:val="00086963"/>
    <w:rsid w:val="00086BF1"/>
    <w:rsid w:val="00087A8C"/>
    <w:rsid w:val="00091190"/>
    <w:rsid w:val="0009352E"/>
    <w:rsid w:val="00094CDB"/>
    <w:rsid w:val="00096B96"/>
    <w:rsid w:val="0009772B"/>
    <w:rsid w:val="000A1AF9"/>
    <w:rsid w:val="000A2F3F"/>
    <w:rsid w:val="000A3E1A"/>
    <w:rsid w:val="000A5AEE"/>
    <w:rsid w:val="000A5FAB"/>
    <w:rsid w:val="000B0868"/>
    <w:rsid w:val="000B0B4A"/>
    <w:rsid w:val="000B0FB7"/>
    <w:rsid w:val="000B1B54"/>
    <w:rsid w:val="000B279A"/>
    <w:rsid w:val="000B48E5"/>
    <w:rsid w:val="000B5FE7"/>
    <w:rsid w:val="000B61D2"/>
    <w:rsid w:val="000B6E1B"/>
    <w:rsid w:val="000B70A7"/>
    <w:rsid w:val="000B73DD"/>
    <w:rsid w:val="000C495F"/>
    <w:rsid w:val="000D1D29"/>
    <w:rsid w:val="000D23B9"/>
    <w:rsid w:val="000D45CF"/>
    <w:rsid w:val="000D596C"/>
    <w:rsid w:val="000D66D9"/>
    <w:rsid w:val="000D68F5"/>
    <w:rsid w:val="000E44D0"/>
    <w:rsid w:val="000E6431"/>
    <w:rsid w:val="000F0E21"/>
    <w:rsid w:val="000F21A5"/>
    <w:rsid w:val="000F4A62"/>
    <w:rsid w:val="000F5EBA"/>
    <w:rsid w:val="00102B9F"/>
    <w:rsid w:val="00112637"/>
    <w:rsid w:val="00112ABC"/>
    <w:rsid w:val="001161D8"/>
    <w:rsid w:val="0012001E"/>
    <w:rsid w:val="00121E85"/>
    <w:rsid w:val="001262BE"/>
    <w:rsid w:val="00126A55"/>
    <w:rsid w:val="00127280"/>
    <w:rsid w:val="00127493"/>
    <w:rsid w:val="00127AFF"/>
    <w:rsid w:val="0013071E"/>
    <w:rsid w:val="00133F08"/>
    <w:rsid w:val="001345E6"/>
    <w:rsid w:val="001355A7"/>
    <w:rsid w:val="00136EA6"/>
    <w:rsid w:val="001378B0"/>
    <w:rsid w:val="001412DA"/>
    <w:rsid w:val="00142E00"/>
    <w:rsid w:val="0014783A"/>
    <w:rsid w:val="00152793"/>
    <w:rsid w:val="00153B7E"/>
    <w:rsid w:val="001540D2"/>
    <w:rsid w:val="001545A9"/>
    <w:rsid w:val="001575AF"/>
    <w:rsid w:val="00163417"/>
    <w:rsid w:val="001637C7"/>
    <w:rsid w:val="0016480E"/>
    <w:rsid w:val="00171F8D"/>
    <w:rsid w:val="00174297"/>
    <w:rsid w:val="00176AFD"/>
    <w:rsid w:val="00176D00"/>
    <w:rsid w:val="00177CAF"/>
    <w:rsid w:val="00180194"/>
    <w:rsid w:val="00180E06"/>
    <w:rsid w:val="001817B3"/>
    <w:rsid w:val="001828CA"/>
    <w:rsid w:val="00183014"/>
    <w:rsid w:val="00183774"/>
    <w:rsid w:val="00187A4E"/>
    <w:rsid w:val="00187B13"/>
    <w:rsid w:val="0019084D"/>
    <w:rsid w:val="001910A3"/>
    <w:rsid w:val="001959C2"/>
    <w:rsid w:val="00195C9F"/>
    <w:rsid w:val="00196DCE"/>
    <w:rsid w:val="00197C5B"/>
    <w:rsid w:val="001A0E07"/>
    <w:rsid w:val="001A51E3"/>
    <w:rsid w:val="001A7968"/>
    <w:rsid w:val="001A7BD5"/>
    <w:rsid w:val="001B02A1"/>
    <w:rsid w:val="001B150B"/>
    <w:rsid w:val="001B1E14"/>
    <w:rsid w:val="001B2E98"/>
    <w:rsid w:val="001B2F3E"/>
    <w:rsid w:val="001B3483"/>
    <w:rsid w:val="001B3C1E"/>
    <w:rsid w:val="001B4494"/>
    <w:rsid w:val="001B64D1"/>
    <w:rsid w:val="001C0D8B"/>
    <w:rsid w:val="001C0DA8"/>
    <w:rsid w:val="001C3409"/>
    <w:rsid w:val="001C3C02"/>
    <w:rsid w:val="001C3E8F"/>
    <w:rsid w:val="001C491A"/>
    <w:rsid w:val="001C4B91"/>
    <w:rsid w:val="001C5789"/>
    <w:rsid w:val="001C7ADE"/>
    <w:rsid w:val="001D4AD7"/>
    <w:rsid w:val="001E0844"/>
    <w:rsid w:val="001E0D8A"/>
    <w:rsid w:val="001E2740"/>
    <w:rsid w:val="001E67BA"/>
    <w:rsid w:val="001E74C2"/>
    <w:rsid w:val="001E7E4C"/>
    <w:rsid w:val="001F1393"/>
    <w:rsid w:val="001F3FAB"/>
    <w:rsid w:val="001F4331"/>
    <w:rsid w:val="001F4F82"/>
    <w:rsid w:val="001F5A48"/>
    <w:rsid w:val="001F6260"/>
    <w:rsid w:val="001F6E26"/>
    <w:rsid w:val="00200007"/>
    <w:rsid w:val="002030A5"/>
    <w:rsid w:val="00203131"/>
    <w:rsid w:val="002033E1"/>
    <w:rsid w:val="00210DD2"/>
    <w:rsid w:val="00212E88"/>
    <w:rsid w:val="002136C2"/>
    <w:rsid w:val="00213C9C"/>
    <w:rsid w:val="002154CE"/>
    <w:rsid w:val="002173D9"/>
    <w:rsid w:val="002179EA"/>
    <w:rsid w:val="0022009E"/>
    <w:rsid w:val="002211FB"/>
    <w:rsid w:val="00221405"/>
    <w:rsid w:val="00222866"/>
    <w:rsid w:val="00222ECF"/>
    <w:rsid w:val="00223241"/>
    <w:rsid w:val="0022425C"/>
    <w:rsid w:val="002246DE"/>
    <w:rsid w:val="00225850"/>
    <w:rsid w:val="00225E96"/>
    <w:rsid w:val="00227736"/>
    <w:rsid w:val="0024121F"/>
    <w:rsid w:val="002429E2"/>
    <w:rsid w:val="002431E7"/>
    <w:rsid w:val="002446A4"/>
    <w:rsid w:val="00245EEB"/>
    <w:rsid w:val="002522DB"/>
    <w:rsid w:val="00252BC4"/>
    <w:rsid w:val="00254014"/>
    <w:rsid w:val="00254B39"/>
    <w:rsid w:val="0026504D"/>
    <w:rsid w:val="00266DD6"/>
    <w:rsid w:val="00273A2F"/>
    <w:rsid w:val="0027681D"/>
    <w:rsid w:val="00280986"/>
    <w:rsid w:val="00281D32"/>
    <w:rsid w:val="00281ECE"/>
    <w:rsid w:val="0028200E"/>
    <w:rsid w:val="002831C7"/>
    <w:rsid w:val="002840C6"/>
    <w:rsid w:val="002842B5"/>
    <w:rsid w:val="00284E40"/>
    <w:rsid w:val="0028639B"/>
    <w:rsid w:val="00286481"/>
    <w:rsid w:val="00291D34"/>
    <w:rsid w:val="00292503"/>
    <w:rsid w:val="00295174"/>
    <w:rsid w:val="00296172"/>
    <w:rsid w:val="00296B92"/>
    <w:rsid w:val="002A2C22"/>
    <w:rsid w:val="002B02EB"/>
    <w:rsid w:val="002B36A3"/>
    <w:rsid w:val="002C048E"/>
    <w:rsid w:val="002C0602"/>
    <w:rsid w:val="002C23CC"/>
    <w:rsid w:val="002C582E"/>
    <w:rsid w:val="002D2DD6"/>
    <w:rsid w:val="002D475E"/>
    <w:rsid w:val="002D5C16"/>
    <w:rsid w:val="002D5FA3"/>
    <w:rsid w:val="002E2ED4"/>
    <w:rsid w:val="002E3592"/>
    <w:rsid w:val="002F2304"/>
    <w:rsid w:val="002F2476"/>
    <w:rsid w:val="002F3C50"/>
    <w:rsid w:val="002F3DFF"/>
    <w:rsid w:val="002F4559"/>
    <w:rsid w:val="002F5E05"/>
    <w:rsid w:val="002F711A"/>
    <w:rsid w:val="002F787F"/>
    <w:rsid w:val="002F7D38"/>
    <w:rsid w:val="00301955"/>
    <w:rsid w:val="0030338F"/>
    <w:rsid w:val="00304E1C"/>
    <w:rsid w:val="00307A76"/>
    <w:rsid w:val="00311516"/>
    <w:rsid w:val="0031455E"/>
    <w:rsid w:val="00315A16"/>
    <w:rsid w:val="00316B2A"/>
    <w:rsid w:val="00317053"/>
    <w:rsid w:val="0032109C"/>
    <w:rsid w:val="003223DA"/>
    <w:rsid w:val="00322B45"/>
    <w:rsid w:val="00323809"/>
    <w:rsid w:val="00323D41"/>
    <w:rsid w:val="00325414"/>
    <w:rsid w:val="003256FC"/>
    <w:rsid w:val="00327BFF"/>
    <w:rsid w:val="003302F1"/>
    <w:rsid w:val="00330438"/>
    <w:rsid w:val="00331487"/>
    <w:rsid w:val="00332BE4"/>
    <w:rsid w:val="00333FEE"/>
    <w:rsid w:val="00334C5E"/>
    <w:rsid w:val="00335723"/>
    <w:rsid w:val="0034470E"/>
    <w:rsid w:val="0034499C"/>
    <w:rsid w:val="003463DA"/>
    <w:rsid w:val="00346423"/>
    <w:rsid w:val="00346FD6"/>
    <w:rsid w:val="003479C1"/>
    <w:rsid w:val="00350C9E"/>
    <w:rsid w:val="00352DB0"/>
    <w:rsid w:val="00352F57"/>
    <w:rsid w:val="003607F7"/>
    <w:rsid w:val="00360943"/>
    <w:rsid w:val="00361063"/>
    <w:rsid w:val="00365203"/>
    <w:rsid w:val="0037094A"/>
    <w:rsid w:val="0037171A"/>
    <w:rsid w:val="00371ED3"/>
    <w:rsid w:val="00372659"/>
    <w:rsid w:val="00372FFC"/>
    <w:rsid w:val="0037728A"/>
    <w:rsid w:val="003809EB"/>
    <w:rsid w:val="00380B7D"/>
    <w:rsid w:val="00381A99"/>
    <w:rsid w:val="003829C2"/>
    <w:rsid w:val="003830B2"/>
    <w:rsid w:val="00383D23"/>
    <w:rsid w:val="00384724"/>
    <w:rsid w:val="003919B7"/>
    <w:rsid w:val="00391D57"/>
    <w:rsid w:val="00392292"/>
    <w:rsid w:val="00394F45"/>
    <w:rsid w:val="003A5927"/>
    <w:rsid w:val="003A5D05"/>
    <w:rsid w:val="003B1017"/>
    <w:rsid w:val="003B294D"/>
    <w:rsid w:val="003B3C07"/>
    <w:rsid w:val="003B5723"/>
    <w:rsid w:val="003B6081"/>
    <w:rsid w:val="003B64F4"/>
    <w:rsid w:val="003B6775"/>
    <w:rsid w:val="003B7D0A"/>
    <w:rsid w:val="003C03FE"/>
    <w:rsid w:val="003C06EB"/>
    <w:rsid w:val="003C5FE2"/>
    <w:rsid w:val="003C75D6"/>
    <w:rsid w:val="003D05FB"/>
    <w:rsid w:val="003D1415"/>
    <w:rsid w:val="003D1B16"/>
    <w:rsid w:val="003D45BF"/>
    <w:rsid w:val="003D508A"/>
    <w:rsid w:val="003D537F"/>
    <w:rsid w:val="003D73B9"/>
    <w:rsid w:val="003D7B75"/>
    <w:rsid w:val="003D7CD2"/>
    <w:rsid w:val="003E0208"/>
    <w:rsid w:val="003E4B57"/>
    <w:rsid w:val="003E5164"/>
    <w:rsid w:val="003E696D"/>
    <w:rsid w:val="003F0F22"/>
    <w:rsid w:val="003F27E1"/>
    <w:rsid w:val="003F37E8"/>
    <w:rsid w:val="003F3C3E"/>
    <w:rsid w:val="003F437A"/>
    <w:rsid w:val="003F5C2B"/>
    <w:rsid w:val="003F6F9E"/>
    <w:rsid w:val="0040141D"/>
    <w:rsid w:val="00401EE6"/>
    <w:rsid w:val="00402240"/>
    <w:rsid w:val="004023E9"/>
    <w:rsid w:val="004037F8"/>
    <w:rsid w:val="00403B2F"/>
    <w:rsid w:val="0040454A"/>
    <w:rsid w:val="00404ED6"/>
    <w:rsid w:val="00405984"/>
    <w:rsid w:val="00406B90"/>
    <w:rsid w:val="004138E6"/>
    <w:rsid w:val="00413F83"/>
    <w:rsid w:val="004142B5"/>
    <w:rsid w:val="0041447B"/>
    <w:rsid w:val="0041490C"/>
    <w:rsid w:val="00416191"/>
    <w:rsid w:val="00416721"/>
    <w:rsid w:val="0041734A"/>
    <w:rsid w:val="004205CE"/>
    <w:rsid w:val="00421EF0"/>
    <w:rsid w:val="004224FA"/>
    <w:rsid w:val="00423906"/>
    <w:rsid w:val="00423AFB"/>
    <w:rsid w:val="00423D07"/>
    <w:rsid w:val="004244AD"/>
    <w:rsid w:val="00425102"/>
    <w:rsid w:val="00427936"/>
    <w:rsid w:val="00431E1E"/>
    <w:rsid w:val="00432CEA"/>
    <w:rsid w:val="00433C9A"/>
    <w:rsid w:val="00437DE0"/>
    <w:rsid w:val="004408EA"/>
    <w:rsid w:val="004422D2"/>
    <w:rsid w:val="0044346F"/>
    <w:rsid w:val="004536D4"/>
    <w:rsid w:val="00453FF6"/>
    <w:rsid w:val="00455CA7"/>
    <w:rsid w:val="00457A34"/>
    <w:rsid w:val="004610DF"/>
    <w:rsid w:val="00461B13"/>
    <w:rsid w:val="00463B54"/>
    <w:rsid w:val="00463CBE"/>
    <w:rsid w:val="0046520A"/>
    <w:rsid w:val="004671C7"/>
    <w:rsid w:val="004672AB"/>
    <w:rsid w:val="00467BBB"/>
    <w:rsid w:val="00470B90"/>
    <w:rsid w:val="004714FE"/>
    <w:rsid w:val="004764F8"/>
    <w:rsid w:val="004776C5"/>
    <w:rsid w:val="00477BAA"/>
    <w:rsid w:val="00481EED"/>
    <w:rsid w:val="00485354"/>
    <w:rsid w:val="00486950"/>
    <w:rsid w:val="00490864"/>
    <w:rsid w:val="0049106A"/>
    <w:rsid w:val="00491BE0"/>
    <w:rsid w:val="00495053"/>
    <w:rsid w:val="00495139"/>
    <w:rsid w:val="004968A5"/>
    <w:rsid w:val="004A1F59"/>
    <w:rsid w:val="004A29BE"/>
    <w:rsid w:val="004A3225"/>
    <w:rsid w:val="004A33EE"/>
    <w:rsid w:val="004A3AA8"/>
    <w:rsid w:val="004B13C7"/>
    <w:rsid w:val="004B3A53"/>
    <w:rsid w:val="004B778F"/>
    <w:rsid w:val="004C0609"/>
    <w:rsid w:val="004C475D"/>
    <w:rsid w:val="004C639F"/>
    <w:rsid w:val="004C7C92"/>
    <w:rsid w:val="004D141F"/>
    <w:rsid w:val="004D23C3"/>
    <w:rsid w:val="004D2742"/>
    <w:rsid w:val="004D3ECE"/>
    <w:rsid w:val="004D4F92"/>
    <w:rsid w:val="004D6310"/>
    <w:rsid w:val="004E0062"/>
    <w:rsid w:val="004E05A1"/>
    <w:rsid w:val="004E1A8D"/>
    <w:rsid w:val="004E2511"/>
    <w:rsid w:val="004E317A"/>
    <w:rsid w:val="004E428E"/>
    <w:rsid w:val="004E7BCE"/>
    <w:rsid w:val="004E7F21"/>
    <w:rsid w:val="004F3979"/>
    <w:rsid w:val="004F472A"/>
    <w:rsid w:val="004F57CC"/>
    <w:rsid w:val="004F5E57"/>
    <w:rsid w:val="004F6710"/>
    <w:rsid w:val="004F6778"/>
    <w:rsid w:val="00500C3E"/>
    <w:rsid w:val="00501E55"/>
    <w:rsid w:val="00502849"/>
    <w:rsid w:val="00503CB0"/>
    <w:rsid w:val="00504334"/>
    <w:rsid w:val="0050498D"/>
    <w:rsid w:val="00507D2A"/>
    <w:rsid w:val="005104D7"/>
    <w:rsid w:val="00510B9E"/>
    <w:rsid w:val="0051153F"/>
    <w:rsid w:val="00512BC2"/>
    <w:rsid w:val="00514F95"/>
    <w:rsid w:val="0051688A"/>
    <w:rsid w:val="00523A62"/>
    <w:rsid w:val="00525C54"/>
    <w:rsid w:val="00525D58"/>
    <w:rsid w:val="00525F82"/>
    <w:rsid w:val="00526473"/>
    <w:rsid w:val="005313CB"/>
    <w:rsid w:val="00532CE3"/>
    <w:rsid w:val="0053427E"/>
    <w:rsid w:val="00536BC2"/>
    <w:rsid w:val="00540628"/>
    <w:rsid w:val="00541E54"/>
    <w:rsid w:val="005425E1"/>
    <w:rsid w:val="005427C5"/>
    <w:rsid w:val="00542CF6"/>
    <w:rsid w:val="005456B5"/>
    <w:rsid w:val="00546925"/>
    <w:rsid w:val="00546AA5"/>
    <w:rsid w:val="00553C03"/>
    <w:rsid w:val="0055705E"/>
    <w:rsid w:val="00560DDA"/>
    <w:rsid w:val="0056129F"/>
    <w:rsid w:val="0056348E"/>
    <w:rsid w:val="00563692"/>
    <w:rsid w:val="00567B33"/>
    <w:rsid w:val="005709BF"/>
    <w:rsid w:val="005715B7"/>
    <w:rsid w:val="00571679"/>
    <w:rsid w:val="00572794"/>
    <w:rsid w:val="00575C33"/>
    <w:rsid w:val="005764B8"/>
    <w:rsid w:val="00577452"/>
    <w:rsid w:val="00580785"/>
    <w:rsid w:val="005818F5"/>
    <w:rsid w:val="0058196B"/>
    <w:rsid w:val="00584235"/>
    <w:rsid w:val="005844E7"/>
    <w:rsid w:val="005863AC"/>
    <w:rsid w:val="005873AB"/>
    <w:rsid w:val="005908B8"/>
    <w:rsid w:val="00591A74"/>
    <w:rsid w:val="0059512E"/>
    <w:rsid w:val="0059718A"/>
    <w:rsid w:val="005A08D8"/>
    <w:rsid w:val="005A169C"/>
    <w:rsid w:val="005A5C37"/>
    <w:rsid w:val="005A601D"/>
    <w:rsid w:val="005A68F4"/>
    <w:rsid w:val="005A6DD2"/>
    <w:rsid w:val="005C385D"/>
    <w:rsid w:val="005C6BC9"/>
    <w:rsid w:val="005D3B20"/>
    <w:rsid w:val="005D44C8"/>
    <w:rsid w:val="005D71B7"/>
    <w:rsid w:val="005E14E5"/>
    <w:rsid w:val="005E16C2"/>
    <w:rsid w:val="005E4759"/>
    <w:rsid w:val="005E522E"/>
    <w:rsid w:val="005E5B2F"/>
    <w:rsid w:val="005E5C68"/>
    <w:rsid w:val="005E65C0"/>
    <w:rsid w:val="005E6C6D"/>
    <w:rsid w:val="005F0390"/>
    <w:rsid w:val="005F2780"/>
    <w:rsid w:val="005F43C8"/>
    <w:rsid w:val="005F533E"/>
    <w:rsid w:val="005F57C5"/>
    <w:rsid w:val="006017A5"/>
    <w:rsid w:val="006042A0"/>
    <w:rsid w:val="00604EE8"/>
    <w:rsid w:val="0060542A"/>
    <w:rsid w:val="00605C0D"/>
    <w:rsid w:val="006072CD"/>
    <w:rsid w:val="00610C38"/>
    <w:rsid w:val="00612023"/>
    <w:rsid w:val="00614190"/>
    <w:rsid w:val="00622A99"/>
    <w:rsid w:val="00622E67"/>
    <w:rsid w:val="006255C0"/>
    <w:rsid w:val="00626B57"/>
    <w:rsid w:val="00626EDC"/>
    <w:rsid w:val="00634A8A"/>
    <w:rsid w:val="00635BD8"/>
    <w:rsid w:val="006452D3"/>
    <w:rsid w:val="006470EC"/>
    <w:rsid w:val="00652DC0"/>
    <w:rsid w:val="0065379F"/>
    <w:rsid w:val="0065409E"/>
    <w:rsid w:val="006542D6"/>
    <w:rsid w:val="006546D6"/>
    <w:rsid w:val="0065482B"/>
    <w:rsid w:val="0065598E"/>
    <w:rsid w:val="00655AF2"/>
    <w:rsid w:val="00655BC5"/>
    <w:rsid w:val="006568BE"/>
    <w:rsid w:val="00656C13"/>
    <w:rsid w:val="0066025D"/>
    <w:rsid w:val="0066091A"/>
    <w:rsid w:val="0066404C"/>
    <w:rsid w:val="006675C1"/>
    <w:rsid w:val="00670256"/>
    <w:rsid w:val="006709AD"/>
    <w:rsid w:val="00671D1C"/>
    <w:rsid w:val="00676CA7"/>
    <w:rsid w:val="006770B4"/>
    <w:rsid w:val="006773EC"/>
    <w:rsid w:val="00680504"/>
    <w:rsid w:val="00680789"/>
    <w:rsid w:val="00681CD9"/>
    <w:rsid w:val="00683E30"/>
    <w:rsid w:val="00687024"/>
    <w:rsid w:val="006879BE"/>
    <w:rsid w:val="00694F41"/>
    <w:rsid w:val="00695320"/>
    <w:rsid w:val="006958C1"/>
    <w:rsid w:val="00695E22"/>
    <w:rsid w:val="00695EDE"/>
    <w:rsid w:val="006A10A0"/>
    <w:rsid w:val="006A1E78"/>
    <w:rsid w:val="006A218C"/>
    <w:rsid w:val="006A291A"/>
    <w:rsid w:val="006A649E"/>
    <w:rsid w:val="006B2AF4"/>
    <w:rsid w:val="006B2CF7"/>
    <w:rsid w:val="006B7093"/>
    <w:rsid w:val="006B7417"/>
    <w:rsid w:val="006C2486"/>
    <w:rsid w:val="006C2864"/>
    <w:rsid w:val="006C4D0B"/>
    <w:rsid w:val="006D1AE5"/>
    <w:rsid w:val="006D31F9"/>
    <w:rsid w:val="006D3691"/>
    <w:rsid w:val="006D58E0"/>
    <w:rsid w:val="006D63A5"/>
    <w:rsid w:val="006D6C27"/>
    <w:rsid w:val="006E2B2F"/>
    <w:rsid w:val="006E5907"/>
    <w:rsid w:val="006E5EF0"/>
    <w:rsid w:val="006F2185"/>
    <w:rsid w:val="006F3117"/>
    <w:rsid w:val="006F3563"/>
    <w:rsid w:val="006F3792"/>
    <w:rsid w:val="006F42B9"/>
    <w:rsid w:val="006F6103"/>
    <w:rsid w:val="006F714E"/>
    <w:rsid w:val="0070245C"/>
    <w:rsid w:val="00704E00"/>
    <w:rsid w:val="00704FEA"/>
    <w:rsid w:val="00706638"/>
    <w:rsid w:val="00710AD7"/>
    <w:rsid w:val="00710E26"/>
    <w:rsid w:val="007119F6"/>
    <w:rsid w:val="00717873"/>
    <w:rsid w:val="007209E7"/>
    <w:rsid w:val="00720A28"/>
    <w:rsid w:val="007232FD"/>
    <w:rsid w:val="00726182"/>
    <w:rsid w:val="00727635"/>
    <w:rsid w:val="00732329"/>
    <w:rsid w:val="00732D00"/>
    <w:rsid w:val="007337CA"/>
    <w:rsid w:val="00734CE4"/>
    <w:rsid w:val="00735123"/>
    <w:rsid w:val="0073560F"/>
    <w:rsid w:val="0073671D"/>
    <w:rsid w:val="00736890"/>
    <w:rsid w:val="00740AD2"/>
    <w:rsid w:val="00741837"/>
    <w:rsid w:val="007425B2"/>
    <w:rsid w:val="007429BA"/>
    <w:rsid w:val="00742C9E"/>
    <w:rsid w:val="007453E6"/>
    <w:rsid w:val="00746B20"/>
    <w:rsid w:val="00746E8D"/>
    <w:rsid w:val="0074769D"/>
    <w:rsid w:val="00752559"/>
    <w:rsid w:val="00754789"/>
    <w:rsid w:val="00755014"/>
    <w:rsid w:val="00755521"/>
    <w:rsid w:val="007624EA"/>
    <w:rsid w:val="00762AA4"/>
    <w:rsid w:val="00762F24"/>
    <w:rsid w:val="0076324E"/>
    <w:rsid w:val="00770453"/>
    <w:rsid w:val="0077309D"/>
    <w:rsid w:val="00775D84"/>
    <w:rsid w:val="007774EE"/>
    <w:rsid w:val="00781822"/>
    <w:rsid w:val="00782787"/>
    <w:rsid w:val="00782F56"/>
    <w:rsid w:val="00783F21"/>
    <w:rsid w:val="00784786"/>
    <w:rsid w:val="007869BC"/>
    <w:rsid w:val="00786AE0"/>
    <w:rsid w:val="00787159"/>
    <w:rsid w:val="0079043A"/>
    <w:rsid w:val="00790F58"/>
    <w:rsid w:val="00791668"/>
    <w:rsid w:val="00791AA1"/>
    <w:rsid w:val="00792356"/>
    <w:rsid w:val="00792407"/>
    <w:rsid w:val="0079263F"/>
    <w:rsid w:val="007962F9"/>
    <w:rsid w:val="007A065C"/>
    <w:rsid w:val="007A3793"/>
    <w:rsid w:val="007B112A"/>
    <w:rsid w:val="007B23DB"/>
    <w:rsid w:val="007B3110"/>
    <w:rsid w:val="007B4CBB"/>
    <w:rsid w:val="007C1BA2"/>
    <w:rsid w:val="007C2B48"/>
    <w:rsid w:val="007C388A"/>
    <w:rsid w:val="007C5033"/>
    <w:rsid w:val="007D11D3"/>
    <w:rsid w:val="007D20E9"/>
    <w:rsid w:val="007D7881"/>
    <w:rsid w:val="007D7E3A"/>
    <w:rsid w:val="007E0E10"/>
    <w:rsid w:val="007E15D7"/>
    <w:rsid w:val="007E1BBD"/>
    <w:rsid w:val="007E4768"/>
    <w:rsid w:val="007E777B"/>
    <w:rsid w:val="007E77E3"/>
    <w:rsid w:val="007F2070"/>
    <w:rsid w:val="007F2570"/>
    <w:rsid w:val="007F38BA"/>
    <w:rsid w:val="007F584A"/>
    <w:rsid w:val="007F5E7B"/>
    <w:rsid w:val="007F63C1"/>
    <w:rsid w:val="007F646B"/>
    <w:rsid w:val="0080081A"/>
    <w:rsid w:val="008053F5"/>
    <w:rsid w:val="00806DDF"/>
    <w:rsid w:val="00807AF7"/>
    <w:rsid w:val="00810198"/>
    <w:rsid w:val="00810B11"/>
    <w:rsid w:val="00815DA8"/>
    <w:rsid w:val="00815F8B"/>
    <w:rsid w:val="0082194D"/>
    <w:rsid w:val="00821E18"/>
    <w:rsid w:val="008221F9"/>
    <w:rsid w:val="008258BA"/>
    <w:rsid w:val="00826EF5"/>
    <w:rsid w:val="00831693"/>
    <w:rsid w:val="00832E7A"/>
    <w:rsid w:val="00833A44"/>
    <w:rsid w:val="00840104"/>
    <w:rsid w:val="00840C1F"/>
    <w:rsid w:val="00840F4E"/>
    <w:rsid w:val="008411C9"/>
    <w:rsid w:val="00841FC5"/>
    <w:rsid w:val="0084293C"/>
    <w:rsid w:val="00843D0F"/>
    <w:rsid w:val="00845709"/>
    <w:rsid w:val="00852D1E"/>
    <w:rsid w:val="008576BD"/>
    <w:rsid w:val="00860463"/>
    <w:rsid w:val="00861F1E"/>
    <w:rsid w:val="008652DA"/>
    <w:rsid w:val="0086567E"/>
    <w:rsid w:val="008657CD"/>
    <w:rsid w:val="008669A0"/>
    <w:rsid w:val="00872E93"/>
    <w:rsid w:val="008733DA"/>
    <w:rsid w:val="00876744"/>
    <w:rsid w:val="00876FB9"/>
    <w:rsid w:val="00877DC4"/>
    <w:rsid w:val="00880E7C"/>
    <w:rsid w:val="00881A8F"/>
    <w:rsid w:val="00881D5E"/>
    <w:rsid w:val="00882F22"/>
    <w:rsid w:val="008850E4"/>
    <w:rsid w:val="00885282"/>
    <w:rsid w:val="008860A7"/>
    <w:rsid w:val="0089084F"/>
    <w:rsid w:val="008928A4"/>
    <w:rsid w:val="008939AB"/>
    <w:rsid w:val="00895864"/>
    <w:rsid w:val="008979E3"/>
    <w:rsid w:val="008A12F5"/>
    <w:rsid w:val="008A21DA"/>
    <w:rsid w:val="008A3B98"/>
    <w:rsid w:val="008A5933"/>
    <w:rsid w:val="008A6253"/>
    <w:rsid w:val="008A7B43"/>
    <w:rsid w:val="008B08E2"/>
    <w:rsid w:val="008B1587"/>
    <w:rsid w:val="008B1B01"/>
    <w:rsid w:val="008B23CB"/>
    <w:rsid w:val="008B3BCD"/>
    <w:rsid w:val="008B4AC7"/>
    <w:rsid w:val="008B6DF8"/>
    <w:rsid w:val="008C0232"/>
    <w:rsid w:val="008C106C"/>
    <w:rsid w:val="008C10F1"/>
    <w:rsid w:val="008C1926"/>
    <w:rsid w:val="008C1E99"/>
    <w:rsid w:val="008C5770"/>
    <w:rsid w:val="008C7AF7"/>
    <w:rsid w:val="008D0501"/>
    <w:rsid w:val="008D4FE5"/>
    <w:rsid w:val="008D5D81"/>
    <w:rsid w:val="008E0085"/>
    <w:rsid w:val="008E2AA6"/>
    <w:rsid w:val="008E2E2B"/>
    <w:rsid w:val="008E311B"/>
    <w:rsid w:val="008F15D0"/>
    <w:rsid w:val="008F46E7"/>
    <w:rsid w:val="008F64CA"/>
    <w:rsid w:val="008F6F0B"/>
    <w:rsid w:val="008F7A0A"/>
    <w:rsid w:val="008F7E4B"/>
    <w:rsid w:val="0090641C"/>
    <w:rsid w:val="0090776C"/>
    <w:rsid w:val="00907BA7"/>
    <w:rsid w:val="0091024E"/>
    <w:rsid w:val="0091064E"/>
    <w:rsid w:val="00911FC5"/>
    <w:rsid w:val="0091742E"/>
    <w:rsid w:val="00920E7B"/>
    <w:rsid w:val="00923922"/>
    <w:rsid w:val="00924580"/>
    <w:rsid w:val="00925AFA"/>
    <w:rsid w:val="00926082"/>
    <w:rsid w:val="00927CE3"/>
    <w:rsid w:val="00931A10"/>
    <w:rsid w:val="00931C2E"/>
    <w:rsid w:val="00934FC7"/>
    <w:rsid w:val="00935E4A"/>
    <w:rsid w:val="0093735E"/>
    <w:rsid w:val="00943728"/>
    <w:rsid w:val="0094372B"/>
    <w:rsid w:val="00944AEE"/>
    <w:rsid w:val="0094548C"/>
    <w:rsid w:val="009460AB"/>
    <w:rsid w:val="00947967"/>
    <w:rsid w:val="00951D46"/>
    <w:rsid w:val="00952461"/>
    <w:rsid w:val="00955201"/>
    <w:rsid w:val="009608CB"/>
    <w:rsid w:val="00960DA4"/>
    <w:rsid w:val="00965200"/>
    <w:rsid w:val="009668B3"/>
    <w:rsid w:val="009706E0"/>
    <w:rsid w:val="00971471"/>
    <w:rsid w:val="0097196F"/>
    <w:rsid w:val="009730B6"/>
    <w:rsid w:val="009821BB"/>
    <w:rsid w:val="009845B6"/>
    <w:rsid w:val="009849C2"/>
    <w:rsid w:val="00984D24"/>
    <w:rsid w:val="009858EB"/>
    <w:rsid w:val="00990E49"/>
    <w:rsid w:val="009926F3"/>
    <w:rsid w:val="00994353"/>
    <w:rsid w:val="00995D47"/>
    <w:rsid w:val="009A0DA5"/>
    <w:rsid w:val="009A2332"/>
    <w:rsid w:val="009A3F47"/>
    <w:rsid w:val="009A78C2"/>
    <w:rsid w:val="009B0046"/>
    <w:rsid w:val="009B02C4"/>
    <w:rsid w:val="009B1678"/>
    <w:rsid w:val="009B293B"/>
    <w:rsid w:val="009B3108"/>
    <w:rsid w:val="009B45FD"/>
    <w:rsid w:val="009B4946"/>
    <w:rsid w:val="009B7508"/>
    <w:rsid w:val="009B7592"/>
    <w:rsid w:val="009C1440"/>
    <w:rsid w:val="009C2107"/>
    <w:rsid w:val="009C4612"/>
    <w:rsid w:val="009C5D9E"/>
    <w:rsid w:val="009D2012"/>
    <w:rsid w:val="009D2C3E"/>
    <w:rsid w:val="009D60F2"/>
    <w:rsid w:val="009D7869"/>
    <w:rsid w:val="009E0625"/>
    <w:rsid w:val="009E111F"/>
    <w:rsid w:val="009E2F72"/>
    <w:rsid w:val="009E3034"/>
    <w:rsid w:val="009E549F"/>
    <w:rsid w:val="009F03C1"/>
    <w:rsid w:val="009F0768"/>
    <w:rsid w:val="009F28A8"/>
    <w:rsid w:val="009F473E"/>
    <w:rsid w:val="009F5247"/>
    <w:rsid w:val="009F682A"/>
    <w:rsid w:val="009F75B3"/>
    <w:rsid w:val="00A00177"/>
    <w:rsid w:val="00A00A64"/>
    <w:rsid w:val="00A022BE"/>
    <w:rsid w:val="00A03727"/>
    <w:rsid w:val="00A05774"/>
    <w:rsid w:val="00A07B4B"/>
    <w:rsid w:val="00A1335A"/>
    <w:rsid w:val="00A14D6B"/>
    <w:rsid w:val="00A213CD"/>
    <w:rsid w:val="00A23DF3"/>
    <w:rsid w:val="00A23E81"/>
    <w:rsid w:val="00A24C95"/>
    <w:rsid w:val="00A25526"/>
    <w:rsid w:val="00A2599A"/>
    <w:rsid w:val="00A26094"/>
    <w:rsid w:val="00A2788E"/>
    <w:rsid w:val="00A301BF"/>
    <w:rsid w:val="00A302B2"/>
    <w:rsid w:val="00A317DD"/>
    <w:rsid w:val="00A331B4"/>
    <w:rsid w:val="00A3484E"/>
    <w:rsid w:val="00A356D3"/>
    <w:rsid w:val="00A35E6A"/>
    <w:rsid w:val="00A367D0"/>
    <w:rsid w:val="00A36ADA"/>
    <w:rsid w:val="00A37C4D"/>
    <w:rsid w:val="00A40E02"/>
    <w:rsid w:val="00A438D8"/>
    <w:rsid w:val="00A4432A"/>
    <w:rsid w:val="00A45CFB"/>
    <w:rsid w:val="00A473F5"/>
    <w:rsid w:val="00A51F9D"/>
    <w:rsid w:val="00A5416A"/>
    <w:rsid w:val="00A54DF4"/>
    <w:rsid w:val="00A574B9"/>
    <w:rsid w:val="00A639F4"/>
    <w:rsid w:val="00A65864"/>
    <w:rsid w:val="00A65FAE"/>
    <w:rsid w:val="00A66A3E"/>
    <w:rsid w:val="00A66E8B"/>
    <w:rsid w:val="00A758E6"/>
    <w:rsid w:val="00A777E7"/>
    <w:rsid w:val="00A81A32"/>
    <w:rsid w:val="00A835BD"/>
    <w:rsid w:val="00A85833"/>
    <w:rsid w:val="00A87D99"/>
    <w:rsid w:val="00A928AA"/>
    <w:rsid w:val="00A94505"/>
    <w:rsid w:val="00A94C63"/>
    <w:rsid w:val="00A97B15"/>
    <w:rsid w:val="00AA0B74"/>
    <w:rsid w:val="00AA42D5"/>
    <w:rsid w:val="00AA49B6"/>
    <w:rsid w:val="00AB11EA"/>
    <w:rsid w:val="00AB2FAB"/>
    <w:rsid w:val="00AB3128"/>
    <w:rsid w:val="00AB38C2"/>
    <w:rsid w:val="00AB404E"/>
    <w:rsid w:val="00AB5C14"/>
    <w:rsid w:val="00AB5CEC"/>
    <w:rsid w:val="00AC1343"/>
    <w:rsid w:val="00AC1EE7"/>
    <w:rsid w:val="00AC2C20"/>
    <w:rsid w:val="00AC333F"/>
    <w:rsid w:val="00AC585C"/>
    <w:rsid w:val="00AC7BF3"/>
    <w:rsid w:val="00AD032B"/>
    <w:rsid w:val="00AD1925"/>
    <w:rsid w:val="00AD23C0"/>
    <w:rsid w:val="00AD49BA"/>
    <w:rsid w:val="00AD51AA"/>
    <w:rsid w:val="00AD5377"/>
    <w:rsid w:val="00AD6634"/>
    <w:rsid w:val="00AE067D"/>
    <w:rsid w:val="00AE5649"/>
    <w:rsid w:val="00AF1181"/>
    <w:rsid w:val="00AF2CE3"/>
    <w:rsid w:val="00AF2F79"/>
    <w:rsid w:val="00AF4653"/>
    <w:rsid w:val="00AF7612"/>
    <w:rsid w:val="00AF7DB7"/>
    <w:rsid w:val="00B00875"/>
    <w:rsid w:val="00B10D02"/>
    <w:rsid w:val="00B1195D"/>
    <w:rsid w:val="00B17838"/>
    <w:rsid w:val="00B17FB3"/>
    <w:rsid w:val="00B201E2"/>
    <w:rsid w:val="00B213FD"/>
    <w:rsid w:val="00B241CD"/>
    <w:rsid w:val="00B25AB2"/>
    <w:rsid w:val="00B3171D"/>
    <w:rsid w:val="00B317AD"/>
    <w:rsid w:val="00B31B9B"/>
    <w:rsid w:val="00B329AC"/>
    <w:rsid w:val="00B33324"/>
    <w:rsid w:val="00B359E6"/>
    <w:rsid w:val="00B41852"/>
    <w:rsid w:val="00B41FAC"/>
    <w:rsid w:val="00B443E4"/>
    <w:rsid w:val="00B46CFA"/>
    <w:rsid w:val="00B51F70"/>
    <w:rsid w:val="00B529EC"/>
    <w:rsid w:val="00B5484D"/>
    <w:rsid w:val="00B563EA"/>
    <w:rsid w:val="00B56CDF"/>
    <w:rsid w:val="00B60E51"/>
    <w:rsid w:val="00B62401"/>
    <w:rsid w:val="00B62579"/>
    <w:rsid w:val="00B63A54"/>
    <w:rsid w:val="00B70FA0"/>
    <w:rsid w:val="00B72637"/>
    <w:rsid w:val="00B77D18"/>
    <w:rsid w:val="00B805E3"/>
    <w:rsid w:val="00B813AC"/>
    <w:rsid w:val="00B8313A"/>
    <w:rsid w:val="00B846EF"/>
    <w:rsid w:val="00B86D5E"/>
    <w:rsid w:val="00B92E0B"/>
    <w:rsid w:val="00B93503"/>
    <w:rsid w:val="00B93B0B"/>
    <w:rsid w:val="00B96AD8"/>
    <w:rsid w:val="00B96D7C"/>
    <w:rsid w:val="00BA31E8"/>
    <w:rsid w:val="00BA4E44"/>
    <w:rsid w:val="00BA55E0"/>
    <w:rsid w:val="00BA6BD4"/>
    <w:rsid w:val="00BA6C7A"/>
    <w:rsid w:val="00BB0A8A"/>
    <w:rsid w:val="00BB17D1"/>
    <w:rsid w:val="00BB3752"/>
    <w:rsid w:val="00BB6688"/>
    <w:rsid w:val="00BB7852"/>
    <w:rsid w:val="00BC0FA7"/>
    <w:rsid w:val="00BC26D4"/>
    <w:rsid w:val="00BC2A30"/>
    <w:rsid w:val="00BC7E90"/>
    <w:rsid w:val="00BD32F2"/>
    <w:rsid w:val="00BE0C80"/>
    <w:rsid w:val="00BE1F8B"/>
    <w:rsid w:val="00BE32B1"/>
    <w:rsid w:val="00BE3624"/>
    <w:rsid w:val="00BE42EE"/>
    <w:rsid w:val="00BE42F5"/>
    <w:rsid w:val="00BE460E"/>
    <w:rsid w:val="00BF2A42"/>
    <w:rsid w:val="00C03D8C"/>
    <w:rsid w:val="00C055EC"/>
    <w:rsid w:val="00C05F74"/>
    <w:rsid w:val="00C10DC9"/>
    <w:rsid w:val="00C12FB3"/>
    <w:rsid w:val="00C137CD"/>
    <w:rsid w:val="00C14432"/>
    <w:rsid w:val="00C14FDE"/>
    <w:rsid w:val="00C17341"/>
    <w:rsid w:val="00C21EDC"/>
    <w:rsid w:val="00C22500"/>
    <w:rsid w:val="00C24EEF"/>
    <w:rsid w:val="00C25CF6"/>
    <w:rsid w:val="00C26C36"/>
    <w:rsid w:val="00C32768"/>
    <w:rsid w:val="00C34151"/>
    <w:rsid w:val="00C348D4"/>
    <w:rsid w:val="00C35E60"/>
    <w:rsid w:val="00C41903"/>
    <w:rsid w:val="00C431DF"/>
    <w:rsid w:val="00C456BD"/>
    <w:rsid w:val="00C460B3"/>
    <w:rsid w:val="00C46B35"/>
    <w:rsid w:val="00C51410"/>
    <w:rsid w:val="00C530DC"/>
    <w:rsid w:val="00C5350D"/>
    <w:rsid w:val="00C572D5"/>
    <w:rsid w:val="00C57ADF"/>
    <w:rsid w:val="00C600EB"/>
    <w:rsid w:val="00C6123C"/>
    <w:rsid w:val="00C6311A"/>
    <w:rsid w:val="00C7084D"/>
    <w:rsid w:val="00C71682"/>
    <w:rsid w:val="00C71EA9"/>
    <w:rsid w:val="00C7315E"/>
    <w:rsid w:val="00C7465C"/>
    <w:rsid w:val="00C75895"/>
    <w:rsid w:val="00C775B0"/>
    <w:rsid w:val="00C77C58"/>
    <w:rsid w:val="00C80FD7"/>
    <w:rsid w:val="00C8223E"/>
    <w:rsid w:val="00C83C9F"/>
    <w:rsid w:val="00C866AC"/>
    <w:rsid w:val="00C87C25"/>
    <w:rsid w:val="00C94519"/>
    <w:rsid w:val="00C94840"/>
    <w:rsid w:val="00C94920"/>
    <w:rsid w:val="00CA06DE"/>
    <w:rsid w:val="00CA18F0"/>
    <w:rsid w:val="00CA3284"/>
    <w:rsid w:val="00CA4C3B"/>
    <w:rsid w:val="00CA4EE3"/>
    <w:rsid w:val="00CB027F"/>
    <w:rsid w:val="00CB1796"/>
    <w:rsid w:val="00CB744D"/>
    <w:rsid w:val="00CB75E5"/>
    <w:rsid w:val="00CC0EBB"/>
    <w:rsid w:val="00CC1C1C"/>
    <w:rsid w:val="00CC61B6"/>
    <w:rsid w:val="00CC6297"/>
    <w:rsid w:val="00CC7690"/>
    <w:rsid w:val="00CC76D3"/>
    <w:rsid w:val="00CD1986"/>
    <w:rsid w:val="00CD54BF"/>
    <w:rsid w:val="00CD7A4B"/>
    <w:rsid w:val="00CE3CE3"/>
    <w:rsid w:val="00CE4D5C"/>
    <w:rsid w:val="00CE7810"/>
    <w:rsid w:val="00CF05DA"/>
    <w:rsid w:val="00CF2CDC"/>
    <w:rsid w:val="00CF55D8"/>
    <w:rsid w:val="00CF58EB"/>
    <w:rsid w:val="00CF6FEC"/>
    <w:rsid w:val="00D00FA8"/>
    <w:rsid w:val="00D0106E"/>
    <w:rsid w:val="00D02058"/>
    <w:rsid w:val="00D06383"/>
    <w:rsid w:val="00D065C2"/>
    <w:rsid w:val="00D07A04"/>
    <w:rsid w:val="00D1352D"/>
    <w:rsid w:val="00D20D26"/>
    <w:rsid w:val="00D20E85"/>
    <w:rsid w:val="00D24615"/>
    <w:rsid w:val="00D3178C"/>
    <w:rsid w:val="00D37842"/>
    <w:rsid w:val="00D40C62"/>
    <w:rsid w:val="00D4201F"/>
    <w:rsid w:val="00D42DC2"/>
    <w:rsid w:val="00D4302B"/>
    <w:rsid w:val="00D448FA"/>
    <w:rsid w:val="00D4718D"/>
    <w:rsid w:val="00D531E8"/>
    <w:rsid w:val="00D5342E"/>
    <w:rsid w:val="00D537E1"/>
    <w:rsid w:val="00D55ACF"/>
    <w:rsid w:val="00D55BB2"/>
    <w:rsid w:val="00D6091A"/>
    <w:rsid w:val="00D6605A"/>
    <w:rsid w:val="00D6695F"/>
    <w:rsid w:val="00D705C8"/>
    <w:rsid w:val="00D75644"/>
    <w:rsid w:val="00D77BB9"/>
    <w:rsid w:val="00D80925"/>
    <w:rsid w:val="00D81656"/>
    <w:rsid w:val="00D83D87"/>
    <w:rsid w:val="00D84A6D"/>
    <w:rsid w:val="00D853C8"/>
    <w:rsid w:val="00D85D34"/>
    <w:rsid w:val="00D86A30"/>
    <w:rsid w:val="00D903CD"/>
    <w:rsid w:val="00D90E14"/>
    <w:rsid w:val="00D92F66"/>
    <w:rsid w:val="00D93009"/>
    <w:rsid w:val="00D935FB"/>
    <w:rsid w:val="00D937E4"/>
    <w:rsid w:val="00D97B0E"/>
    <w:rsid w:val="00D97CB4"/>
    <w:rsid w:val="00D97DD4"/>
    <w:rsid w:val="00DA5A8A"/>
    <w:rsid w:val="00DA7152"/>
    <w:rsid w:val="00DB1170"/>
    <w:rsid w:val="00DB18FE"/>
    <w:rsid w:val="00DB26CD"/>
    <w:rsid w:val="00DB441C"/>
    <w:rsid w:val="00DB44AF"/>
    <w:rsid w:val="00DB6652"/>
    <w:rsid w:val="00DC18E8"/>
    <w:rsid w:val="00DC1C38"/>
    <w:rsid w:val="00DC1E1B"/>
    <w:rsid w:val="00DC1F58"/>
    <w:rsid w:val="00DC339B"/>
    <w:rsid w:val="00DC5D40"/>
    <w:rsid w:val="00DC69A7"/>
    <w:rsid w:val="00DD30E9"/>
    <w:rsid w:val="00DD4F47"/>
    <w:rsid w:val="00DD7FBB"/>
    <w:rsid w:val="00DE0B9F"/>
    <w:rsid w:val="00DE2A9E"/>
    <w:rsid w:val="00DE30D9"/>
    <w:rsid w:val="00DE4238"/>
    <w:rsid w:val="00DE4A40"/>
    <w:rsid w:val="00DE657F"/>
    <w:rsid w:val="00DF1218"/>
    <w:rsid w:val="00DF12C0"/>
    <w:rsid w:val="00DF2CFC"/>
    <w:rsid w:val="00DF42D5"/>
    <w:rsid w:val="00DF43C3"/>
    <w:rsid w:val="00DF4B5F"/>
    <w:rsid w:val="00DF4DA6"/>
    <w:rsid w:val="00DF6462"/>
    <w:rsid w:val="00E02FA0"/>
    <w:rsid w:val="00E036DC"/>
    <w:rsid w:val="00E0450B"/>
    <w:rsid w:val="00E04546"/>
    <w:rsid w:val="00E04E77"/>
    <w:rsid w:val="00E065FD"/>
    <w:rsid w:val="00E10454"/>
    <w:rsid w:val="00E105E2"/>
    <w:rsid w:val="00E112E5"/>
    <w:rsid w:val="00E122D8"/>
    <w:rsid w:val="00E12CC8"/>
    <w:rsid w:val="00E140D9"/>
    <w:rsid w:val="00E15352"/>
    <w:rsid w:val="00E160D5"/>
    <w:rsid w:val="00E21CC7"/>
    <w:rsid w:val="00E24A6F"/>
    <w:rsid w:val="00E24D9E"/>
    <w:rsid w:val="00E25849"/>
    <w:rsid w:val="00E274DD"/>
    <w:rsid w:val="00E27E47"/>
    <w:rsid w:val="00E3197E"/>
    <w:rsid w:val="00E3330A"/>
    <w:rsid w:val="00E342F8"/>
    <w:rsid w:val="00E34968"/>
    <w:rsid w:val="00E351ED"/>
    <w:rsid w:val="00E353D3"/>
    <w:rsid w:val="00E42B19"/>
    <w:rsid w:val="00E5700F"/>
    <w:rsid w:val="00E6034B"/>
    <w:rsid w:val="00E617AF"/>
    <w:rsid w:val="00E61E0B"/>
    <w:rsid w:val="00E6549E"/>
    <w:rsid w:val="00E65EDE"/>
    <w:rsid w:val="00E67532"/>
    <w:rsid w:val="00E70BCF"/>
    <w:rsid w:val="00E70F81"/>
    <w:rsid w:val="00E71B9F"/>
    <w:rsid w:val="00E77055"/>
    <w:rsid w:val="00E77460"/>
    <w:rsid w:val="00E81B36"/>
    <w:rsid w:val="00E83ABC"/>
    <w:rsid w:val="00E844F2"/>
    <w:rsid w:val="00E871FB"/>
    <w:rsid w:val="00E90AD0"/>
    <w:rsid w:val="00E91423"/>
    <w:rsid w:val="00E92FCB"/>
    <w:rsid w:val="00E94FA6"/>
    <w:rsid w:val="00E95CB6"/>
    <w:rsid w:val="00E96056"/>
    <w:rsid w:val="00E961D3"/>
    <w:rsid w:val="00E97D25"/>
    <w:rsid w:val="00EA015B"/>
    <w:rsid w:val="00EA147F"/>
    <w:rsid w:val="00EA4A27"/>
    <w:rsid w:val="00EA4FA6"/>
    <w:rsid w:val="00EA586A"/>
    <w:rsid w:val="00EA71F7"/>
    <w:rsid w:val="00EB1A25"/>
    <w:rsid w:val="00EC1E43"/>
    <w:rsid w:val="00EC63E6"/>
    <w:rsid w:val="00EC7363"/>
    <w:rsid w:val="00ED03AB"/>
    <w:rsid w:val="00ED136A"/>
    <w:rsid w:val="00ED1963"/>
    <w:rsid w:val="00ED1CD4"/>
    <w:rsid w:val="00ED1D2B"/>
    <w:rsid w:val="00ED32B8"/>
    <w:rsid w:val="00ED64B5"/>
    <w:rsid w:val="00ED773A"/>
    <w:rsid w:val="00EE35D3"/>
    <w:rsid w:val="00EE7CCA"/>
    <w:rsid w:val="00EF3222"/>
    <w:rsid w:val="00EF417A"/>
    <w:rsid w:val="00EF45DD"/>
    <w:rsid w:val="00EF61A4"/>
    <w:rsid w:val="00F06E53"/>
    <w:rsid w:val="00F14E40"/>
    <w:rsid w:val="00F16A14"/>
    <w:rsid w:val="00F17E0D"/>
    <w:rsid w:val="00F20170"/>
    <w:rsid w:val="00F2478B"/>
    <w:rsid w:val="00F27810"/>
    <w:rsid w:val="00F30C15"/>
    <w:rsid w:val="00F31E1E"/>
    <w:rsid w:val="00F32EA1"/>
    <w:rsid w:val="00F332A2"/>
    <w:rsid w:val="00F362D7"/>
    <w:rsid w:val="00F37D7B"/>
    <w:rsid w:val="00F429D8"/>
    <w:rsid w:val="00F44E3F"/>
    <w:rsid w:val="00F52113"/>
    <w:rsid w:val="00F5314C"/>
    <w:rsid w:val="00F532A8"/>
    <w:rsid w:val="00F5688C"/>
    <w:rsid w:val="00F60048"/>
    <w:rsid w:val="00F618F4"/>
    <w:rsid w:val="00F635DD"/>
    <w:rsid w:val="00F65DE4"/>
    <w:rsid w:val="00F6627B"/>
    <w:rsid w:val="00F67424"/>
    <w:rsid w:val="00F728A6"/>
    <w:rsid w:val="00F7336E"/>
    <w:rsid w:val="00F734F2"/>
    <w:rsid w:val="00F75052"/>
    <w:rsid w:val="00F75284"/>
    <w:rsid w:val="00F761FC"/>
    <w:rsid w:val="00F804D3"/>
    <w:rsid w:val="00F806A7"/>
    <w:rsid w:val="00F816CB"/>
    <w:rsid w:val="00F81CD2"/>
    <w:rsid w:val="00F82641"/>
    <w:rsid w:val="00F8476E"/>
    <w:rsid w:val="00F87B15"/>
    <w:rsid w:val="00F90F18"/>
    <w:rsid w:val="00F920C0"/>
    <w:rsid w:val="00F937E4"/>
    <w:rsid w:val="00F94B46"/>
    <w:rsid w:val="00F95BFF"/>
    <w:rsid w:val="00F95EE7"/>
    <w:rsid w:val="00F97C2D"/>
    <w:rsid w:val="00FA1229"/>
    <w:rsid w:val="00FA39E6"/>
    <w:rsid w:val="00FA3A78"/>
    <w:rsid w:val="00FA404C"/>
    <w:rsid w:val="00FA525F"/>
    <w:rsid w:val="00FA7BC9"/>
    <w:rsid w:val="00FB19B5"/>
    <w:rsid w:val="00FB2355"/>
    <w:rsid w:val="00FB31EC"/>
    <w:rsid w:val="00FB378E"/>
    <w:rsid w:val="00FB37F1"/>
    <w:rsid w:val="00FB47C0"/>
    <w:rsid w:val="00FB487F"/>
    <w:rsid w:val="00FB501B"/>
    <w:rsid w:val="00FB719A"/>
    <w:rsid w:val="00FB7770"/>
    <w:rsid w:val="00FC2204"/>
    <w:rsid w:val="00FC4854"/>
    <w:rsid w:val="00FD3B91"/>
    <w:rsid w:val="00FD576B"/>
    <w:rsid w:val="00FD579E"/>
    <w:rsid w:val="00FD6845"/>
    <w:rsid w:val="00FD7D8F"/>
    <w:rsid w:val="00FE0B94"/>
    <w:rsid w:val="00FE277F"/>
    <w:rsid w:val="00FE4516"/>
    <w:rsid w:val="00FE5164"/>
    <w:rsid w:val="00FE6217"/>
    <w:rsid w:val="00FE64C8"/>
    <w:rsid w:val="00FE676D"/>
    <w:rsid w:val="00FF30A5"/>
    <w:rsid w:val="00FF3B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9">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9"/>
    <w:link w:val="10"/>
    <w:uiPriority w:val="9"/>
    <w:qFormat/>
    <w:rsid w:val="004F5E57"/>
    <w:pPr>
      <w:numPr>
        <w:numId w:val="6"/>
      </w:numPr>
      <w:outlineLvl w:val="0"/>
    </w:pPr>
    <w:rPr>
      <w:rFonts w:hAnsi="Arial"/>
      <w:bCs/>
      <w:kern w:val="32"/>
      <w:szCs w:val="52"/>
    </w:rPr>
  </w:style>
  <w:style w:type="paragraph" w:styleId="20">
    <w:name w:val="heading 2"/>
    <w:aliases w:val="標題110/111,節,節1"/>
    <w:basedOn w:val="a9"/>
    <w:link w:val="21"/>
    <w:uiPriority w:val="9"/>
    <w:qFormat/>
    <w:rsid w:val="004F5E57"/>
    <w:pPr>
      <w:numPr>
        <w:ilvl w:val="1"/>
        <w:numId w:val="6"/>
      </w:numPr>
      <w:outlineLvl w:val="1"/>
    </w:pPr>
    <w:rPr>
      <w:rFonts w:hAnsi="Arial"/>
      <w:bCs/>
      <w:kern w:val="32"/>
      <w:szCs w:val="48"/>
    </w:rPr>
  </w:style>
  <w:style w:type="paragraph" w:styleId="3">
    <w:name w:val="heading 3"/>
    <w:basedOn w:val="a9"/>
    <w:uiPriority w:val="9"/>
    <w:qFormat/>
    <w:rsid w:val="004F5E57"/>
    <w:pPr>
      <w:numPr>
        <w:ilvl w:val="2"/>
        <w:numId w:val="6"/>
      </w:numPr>
      <w:ind w:left="1361"/>
      <w:outlineLvl w:val="2"/>
    </w:pPr>
    <w:rPr>
      <w:rFonts w:hAnsi="Arial"/>
      <w:bCs/>
      <w:kern w:val="32"/>
      <w:szCs w:val="36"/>
    </w:rPr>
  </w:style>
  <w:style w:type="paragraph" w:styleId="4">
    <w:name w:val="heading 4"/>
    <w:aliases w:val="表格,一"/>
    <w:basedOn w:val="a9"/>
    <w:qFormat/>
    <w:rsid w:val="004F5E57"/>
    <w:pPr>
      <w:numPr>
        <w:ilvl w:val="3"/>
        <w:numId w:val="6"/>
      </w:numPr>
      <w:outlineLvl w:val="3"/>
    </w:pPr>
    <w:rPr>
      <w:rFonts w:hAnsi="Arial"/>
      <w:kern w:val="32"/>
      <w:szCs w:val="36"/>
    </w:rPr>
  </w:style>
  <w:style w:type="paragraph" w:styleId="5">
    <w:name w:val="heading 5"/>
    <w:basedOn w:val="a9"/>
    <w:qFormat/>
    <w:rsid w:val="004F5E57"/>
    <w:pPr>
      <w:numPr>
        <w:ilvl w:val="4"/>
        <w:numId w:val="6"/>
      </w:numPr>
      <w:outlineLvl w:val="4"/>
    </w:pPr>
    <w:rPr>
      <w:rFonts w:hAnsi="Arial"/>
      <w:bCs/>
      <w:kern w:val="32"/>
      <w:szCs w:val="36"/>
    </w:rPr>
  </w:style>
  <w:style w:type="paragraph" w:styleId="6">
    <w:name w:val="heading 6"/>
    <w:basedOn w:val="a9"/>
    <w:qFormat/>
    <w:rsid w:val="004F5E57"/>
    <w:pPr>
      <w:numPr>
        <w:ilvl w:val="5"/>
        <w:numId w:val="6"/>
      </w:numPr>
      <w:tabs>
        <w:tab w:val="left" w:pos="2094"/>
      </w:tabs>
      <w:outlineLvl w:val="5"/>
    </w:pPr>
    <w:rPr>
      <w:rFonts w:hAnsi="Arial"/>
      <w:kern w:val="32"/>
      <w:szCs w:val="36"/>
    </w:rPr>
  </w:style>
  <w:style w:type="paragraph" w:styleId="7">
    <w:name w:val="heading 7"/>
    <w:aliases w:val="(1)"/>
    <w:basedOn w:val="a9"/>
    <w:link w:val="70"/>
    <w:qFormat/>
    <w:rsid w:val="004F5E57"/>
    <w:pPr>
      <w:numPr>
        <w:ilvl w:val="6"/>
        <w:numId w:val="6"/>
      </w:numPr>
      <w:outlineLvl w:val="6"/>
    </w:pPr>
    <w:rPr>
      <w:rFonts w:hAnsi="Arial"/>
      <w:bCs/>
      <w:kern w:val="32"/>
      <w:szCs w:val="36"/>
    </w:rPr>
  </w:style>
  <w:style w:type="paragraph" w:styleId="8">
    <w:name w:val="heading 8"/>
    <w:basedOn w:val="a9"/>
    <w:qFormat/>
    <w:rsid w:val="004F5E57"/>
    <w:pPr>
      <w:numPr>
        <w:ilvl w:val="7"/>
        <w:numId w:val="6"/>
      </w:numPr>
      <w:outlineLvl w:val="7"/>
    </w:pPr>
    <w:rPr>
      <w:rFonts w:hAnsi="Arial"/>
      <w:kern w:val="32"/>
      <w:szCs w:val="36"/>
    </w:rPr>
  </w:style>
  <w:style w:type="paragraph" w:styleId="9">
    <w:name w:val="heading 9"/>
    <w:basedOn w:val="a9"/>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Signature"/>
    <w:basedOn w:val="a9"/>
    <w:semiHidden/>
    <w:rsid w:val="004E0062"/>
    <w:pPr>
      <w:spacing w:before="720" w:after="720"/>
      <w:ind w:left="7371"/>
    </w:pPr>
    <w:rPr>
      <w:b/>
      <w:snapToGrid w:val="0"/>
      <w:spacing w:val="10"/>
      <w:sz w:val="36"/>
    </w:rPr>
  </w:style>
  <w:style w:type="paragraph" w:styleId="ae">
    <w:name w:val="endnote text"/>
    <w:basedOn w:val="a9"/>
    <w:semiHidden/>
    <w:rsid w:val="004E0062"/>
    <w:pPr>
      <w:kinsoku w:val="0"/>
      <w:autoSpaceDE/>
      <w:spacing w:before="240"/>
      <w:ind w:left="1021" w:hanging="1021"/>
    </w:pPr>
    <w:rPr>
      <w:snapToGrid w:val="0"/>
      <w:spacing w:val="10"/>
    </w:rPr>
  </w:style>
  <w:style w:type="paragraph" w:styleId="50">
    <w:name w:val="toc 5"/>
    <w:basedOn w:val="a9"/>
    <w:next w:val="a9"/>
    <w:autoRedefine/>
    <w:semiHidden/>
    <w:rsid w:val="004E0062"/>
    <w:pPr>
      <w:ind w:leftChars="400" w:left="600" w:rightChars="200" w:right="200" w:hangingChars="200" w:hanging="200"/>
    </w:pPr>
  </w:style>
  <w:style w:type="character" w:styleId="af">
    <w:name w:val="page number"/>
    <w:basedOn w:val="aa"/>
    <w:semiHidden/>
    <w:rsid w:val="004E0062"/>
    <w:rPr>
      <w:rFonts w:ascii="標楷體" w:eastAsia="標楷體"/>
      <w:sz w:val="20"/>
    </w:rPr>
  </w:style>
  <w:style w:type="paragraph" w:styleId="60">
    <w:name w:val="toc 6"/>
    <w:basedOn w:val="a9"/>
    <w:next w:val="a9"/>
    <w:autoRedefine/>
    <w:semiHidden/>
    <w:rsid w:val="004E0062"/>
    <w:pPr>
      <w:ind w:leftChars="500" w:left="500"/>
    </w:pPr>
  </w:style>
  <w:style w:type="paragraph" w:customStyle="1" w:styleId="11">
    <w:name w:val="段落樣式1"/>
    <w:basedOn w:val="a9"/>
    <w:qFormat/>
    <w:rsid w:val="004F5E57"/>
    <w:pPr>
      <w:tabs>
        <w:tab w:val="left" w:pos="567"/>
      </w:tabs>
      <w:ind w:leftChars="200" w:left="200" w:firstLineChars="200" w:firstLine="200"/>
    </w:pPr>
    <w:rPr>
      <w:kern w:val="32"/>
    </w:rPr>
  </w:style>
  <w:style w:type="paragraph" w:customStyle="1" w:styleId="22">
    <w:name w:val="段落樣式2"/>
    <w:basedOn w:val="a9"/>
    <w:qFormat/>
    <w:rsid w:val="004F5E57"/>
    <w:pPr>
      <w:tabs>
        <w:tab w:val="left" w:pos="567"/>
      </w:tabs>
      <w:ind w:leftChars="300" w:left="300" w:firstLineChars="200" w:firstLine="200"/>
    </w:pPr>
    <w:rPr>
      <w:kern w:val="32"/>
    </w:rPr>
  </w:style>
  <w:style w:type="paragraph" w:styleId="12">
    <w:name w:val="toc 1"/>
    <w:basedOn w:val="a9"/>
    <w:next w:val="a9"/>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9"/>
    <w:next w:val="a9"/>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9"/>
    <w:next w:val="a9"/>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9"/>
    <w:next w:val="a9"/>
    <w:autoRedefine/>
    <w:semiHidden/>
    <w:rsid w:val="004E0062"/>
    <w:pPr>
      <w:kinsoku w:val="0"/>
      <w:ind w:leftChars="300" w:left="500" w:rightChars="200" w:right="200" w:hangingChars="200" w:hanging="200"/>
    </w:pPr>
  </w:style>
  <w:style w:type="paragraph" w:styleId="71">
    <w:name w:val="toc 7"/>
    <w:basedOn w:val="a9"/>
    <w:next w:val="a9"/>
    <w:autoRedefine/>
    <w:semiHidden/>
    <w:rsid w:val="004E0062"/>
    <w:pPr>
      <w:ind w:leftChars="600" w:left="800" w:hangingChars="200" w:hanging="200"/>
    </w:pPr>
  </w:style>
  <w:style w:type="paragraph" w:styleId="80">
    <w:name w:val="toc 8"/>
    <w:basedOn w:val="a9"/>
    <w:next w:val="a9"/>
    <w:autoRedefine/>
    <w:semiHidden/>
    <w:rsid w:val="004E0062"/>
    <w:pPr>
      <w:ind w:leftChars="700" w:left="900" w:hangingChars="200" w:hanging="200"/>
    </w:pPr>
  </w:style>
  <w:style w:type="paragraph" w:styleId="91">
    <w:name w:val="toc 9"/>
    <w:basedOn w:val="a9"/>
    <w:next w:val="a9"/>
    <w:autoRedefine/>
    <w:semiHidden/>
    <w:rsid w:val="004E0062"/>
    <w:pPr>
      <w:ind w:leftChars="1600" w:left="3840"/>
    </w:pPr>
  </w:style>
  <w:style w:type="paragraph" w:styleId="af0">
    <w:name w:val="header"/>
    <w:basedOn w:val="a9"/>
    <w:semiHidden/>
    <w:rsid w:val="004E0062"/>
    <w:pPr>
      <w:tabs>
        <w:tab w:val="center" w:pos="4153"/>
        <w:tab w:val="right" w:pos="8306"/>
      </w:tabs>
      <w:snapToGrid w:val="0"/>
    </w:pPr>
    <w:rPr>
      <w:sz w:val="20"/>
    </w:rPr>
  </w:style>
  <w:style w:type="paragraph" w:customStyle="1" w:styleId="31">
    <w:name w:val="段落樣式3"/>
    <w:basedOn w:val="22"/>
    <w:qFormat/>
    <w:rsid w:val="004F5E57"/>
    <w:pPr>
      <w:ind w:leftChars="400" w:left="400"/>
    </w:pPr>
  </w:style>
  <w:style w:type="character" w:styleId="af1">
    <w:name w:val="Hyperlink"/>
    <w:basedOn w:val="aa"/>
    <w:uiPriority w:val="99"/>
    <w:rsid w:val="004E0062"/>
    <w:rPr>
      <w:color w:val="0000FF"/>
      <w:u w:val="single"/>
    </w:rPr>
  </w:style>
  <w:style w:type="paragraph" w:customStyle="1" w:styleId="af2">
    <w:name w:val="簽名日期"/>
    <w:basedOn w:val="a9"/>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3">
    <w:name w:val="附件"/>
    <w:basedOn w:val="ae"/>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2">
    <w:name w:val="附表樣式"/>
    <w:basedOn w:val="a9"/>
    <w:qFormat/>
    <w:rsid w:val="00B77D18"/>
    <w:pPr>
      <w:keepNext/>
      <w:numPr>
        <w:numId w:val="1"/>
      </w:numPr>
      <w:tabs>
        <w:tab w:val="clear" w:pos="1440"/>
      </w:tabs>
      <w:ind w:left="400" w:hangingChars="400" w:hanging="400"/>
      <w:outlineLvl w:val="0"/>
    </w:pPr>
    <w:rPr>
      <w:kern w:val="32"/>
    </w:rPr>
  </w:style>
  <w:style w:type="paragraph" w:styleId="af4">
    <w:name w:val="Body Text Indent"/>
    <w:basedOn w:val="a9"/>
    <w:semiHidden/>
    <w:rsid w:val="004E0062"/>
    <w:pPr>
      <w:ind w:left="698" w:hangingChars="200" w:hanging="698"/>
    </w:pPr>
  </w:style>
  <w:style w:type="paragraph" w:customStyle="1" w:styleId="af5">
    <w:name w:val="調查報告"/>
    <w:basedOn w:val="ae"/>
    <w:rsid w:val="00D75644"/>
    <w:pPr>
      <w:adjustRightInd w:val="0"/>
      <w:spacing w:before="0"/>
      <w:ind w:left="0" w:firstLine="0"/>
      <w:jc w:val="center"/>
    </w:pPr>
    <w:rPr>
      <w:b/>
      <w:snapToGrid/>
      <w:spacing w:val="200"/>
      <w:kern w:val="0"/>
      <w:sz w:val="40"/>
    </w:rPr>
  </w:style>
  <w:style w:type="paragraph" w:customStyle="1" w:styleId="14">
    <w:name w:val="表格14"/>
    <w:basedOn w:val="a9"/>
    <w:rsid w:val="006072CD"/>
    <w:pPr>
      <w:adjustRightInd w:val="0"/>
      <w:snapToGrid w:val="0"/>
      <w:spacing w:line="360" w:lineRule="exact"/>
    </w:pPr>
    <w:rPr>
      <w:snapToGrid w:val="0"/>
      <w:spacing w:val="-14"/>
      <w:kern w:val="0"/>
      <w:sz w:val="28"/>
    </w:rPr>
  </w:style>
  <w:style w:type="paragraph" w:customStyle="1" w:styleId="a">
    <w:name w:val="附圖樣式"/>
    <w:basedOn w:val="a9"/>
    <w:qFormat/>
    <w:rsid w:val="00B77D18"/>
    <w:pPr>
      <w:keepNext/>
      <w:numPr>
        <w:numId w:val="2"/>
      </w:numPr>
      <w:tabs>
        <w:tab w:val="clear" w:pos="1440"/>
      </w:tabs>
      <w:ind w:left="400" w:hangingChars="400" w:hanging="400"/>
      <w:outlineLvl w:val="0"/>
    </w:pPr>
    <w:rPr>
      <w:kern w:val="32"/>
    </w:rPr>
  </w:style>
  <w:style w:type="paragraph" w:styleId="af6">
    <w:name w:val="footer"/>
    <w:basedOn w:val="a9"/>
    <w:semiHidden/>
    <w:rsid w:val="004E0062"/>
    <w:pPr>
      <w:tabs>
        <w:tab w:val="center" w:pos="4153"/>
        <w:tab w:val="right" w:pos="8306"/>
      </w:tabs>
      <w:snapToGrid w:val="0"/>
    </w:pPr>
    <w:rPr>
      <w:sz w:val="20"/>
    </w:rPr>
  </w:style>
  <w:style w:type="paragraph" w:styleId="af7">
    <w:name w:val="table of figures"/>
    <w:basedOn w:val="a9"/>
    <w:next w:val="a9"/>
    <w:semiHidden/>
    <w:rsid w:val="004E0062"/>
    <w:pPr>
      <w:ind w:left="400" w:hangingChars="400" w:hanging="400"/>
    </w:pPr>
  </w:style>
  <w:style w:type="paragraph" w:customStyle="1" w:styleId="140">
    <w:name w:val="表格標題14"/>
    <w:basedOn w:val="a9"/>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9"/>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9"/>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9">
    <w:name w:val="Table Grid"/>
    <w:basedOn w:val="ab"/>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6">
    <w:name w:val="附錄"/>
    <w:basedOn w:val="a9"/>
    <w:qFormat/>
    <w:rsid w:val="00B77D18"/>
    <w:pPr>
      <w:keepNext/>
      <w:numPr>
        <w:numId w:val="5"/>
      </w:numPr>
      <w:ind w:left="350" w:hangingChars="350" w:hanging="350"/>
      <w:outlineLvl w:val="0"/>
    </w:pPr>
    <w:rPr>
      <w:kern w:val="32"/>
    </w:rPr>
  </w:style>
  <w:style w:type="paragraph" w:styleId="afa">
    <w:name w:val="List Paragraph"/>
    <w:aliases w:val="(二)"/>
    <w:basedOn w:val="a9"/>
    <w:qFormat/>
    <w:rsid w:val="00687024"/>
    <w:pPr>
      <w:ind w:leftChars="200" w:left="480"/>
    </w:pPr>
  </w:style>
  <w:style w:type="paragraph" w:styleId="afb">
    <w:name w:val="Balloon Text"/>
    <w:basedOn w:val="a9"/>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a"/>
    <w:link w:val="afb"/>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9"/>
    <w:qFormat/>
    <w:rsid w:val="00B77D18"/>
    <w:pPr>
      <w:keepNext/>
      <w:numPr>
        <w:numId w:val="8"/>
      </w:numPr>
      <w:ind w:left="400" w:hangingChars="400" w:hanging="400"/>
      <w:outlineLvl w:val="0"/>
    </w:pPr>
    <w:rPr>
      <w:kern w:val="32"/>
    </w:rPr>
  </w:style>
  <w:style w:type="character" w:customStyle="1" w:styleId="90">
    <w:name w:val="標題 9 字元"/>
    <w:basedOn w:val="aa"/>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9"/>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a"/>
    <w:link w:val="afd"/>
    <w:uiPriority w:val="99"/>
    <w:semiHidden/>
    <w:rsid w:val="004F472A"/>
    <w:rPr>
      <w:rFonts w:ascii="Calibri" w:eastAsia="標楷體" w:hAnsi="Courier New" w:cs="Courier New"/>
      <w:color w:val="244061" w:themeColor="accent1" w:themeShade="80"/>
      <w:sz w:val="28"/>
      <w:szCs w:val="24"/>
    </w:rPr>
  </w:style>
  <w:style w:type="character" w:customStyle="1" w:styleId="21">
    <w:name w:val="標題 2 字元"/>
    <w:aliases w:val="標題110/111 字元,節 字元,節1 字元"/>
    <w:basedOn w:val="aa"/>
    <w:link w:val="20"/>
    <w:uiPriority w:val="9"/>
    <w:rsid w:val="0031455E"/>
    <w:rPr>
      <w:rFonts w:ascii="標楷體" w:eastAsia="標楷體" w:hAnsi="Arial"/>
      <w:bCs/>
      <w:kern w:val="32"/>
      <w:sz w:val="32"/>
      <w:szCs w:val="48"/>
    </w:rPr>
  </w:style>
  <w:style w:type="paragraph" w:styleId="Web">
    <w:name w:val="Normal (Web)"/>
    <w:basedOn w:val="a9"/>
    <w:uiPriority w:val="99"/>
    <w:unhideWhenUsed/>
    <w:rsid w:val="00463B5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題號1 字元"/>
    <w:link w:val="1"/>
    <w:rsid w:val="00927CE3"/>
    <w:rPr>
      <w:rFonts w:ascii="標楷體" w:eastAsia="標楷體" w:hAnsi="Arial"/>
      <w:bCs/>
      <w:kern w:val="32"/>
      <w:sz w:val="32"/>
      <w:szCs w:val="52"/>
    </w:rPr>
  </w:style>
  <w:style w:type="character" w:styleId="aff">
    <w:name w:val="Strong"/>
    <w:basedOn w:val="aa"/>
    <w:uiPriority w:val="22"/>
    <w:qFormat/>
    <w:rsid w:val="00F2478B"/>
    <w:rPr>
      <w:b/>
      <w:bCs/>
    </w:rPr>
  </w:style>
  <w:style w:type="character" w:customStyle="1" w:styleId="13">
    <w:name w:val="註解文字 字元1"/>
    <w:link w:val="aff0"/>
    <w:semiHidden/>
    <w:rsid w:val="000A3E1A"/>
    <w:rPr>
      <w:rFonts w:eastAsia="標楷體"/>
      <w:kern w:val="2"/>
      <w:sz w:val="32"/>
    </w:rPr>
  </w:style>
  <w:style w:type="paragraph" w:styleId="aff0">
    <w:name w:val="annotation text"/>
    <w:basedOn w:val="a9"/>
    <w:link w:val="13"/>
    <w:semiHidden/>
    <w:unhideWhenUsed/>
    <w:rsid w:val="000A3E1A"/>
    <w:pPr>
      <w:jc w:val="left"/>
    </w:pPr>
    <w:rPr>
      <w:rFonts w:ascii="Times New Roman"/>
    </w:rPr>
  </w:style>
  <w:style w:type="character" w:customStyle="1" w:styleId="aff1">
    <w:name w:val="註解文字 字元"/>
    <w:basedOn w:val="aa"/>
    <w:uiPriority w:val="99"/>
    <w:semiHidden/>
    <w:rsid w:val="000A3E1A"/>
    <w:rPr>
      <w:rFonts w:ascii="標楷體" w:eastAsia="標楷體"/>
      <w:kern w:val="2"/>
      <w:sz w:val="32"/>
    </w:rPr>
  </w:style>
  <w:style w:type="paragraph" w:styleId="2">
    <w:name w:val="Body Text 2"/>
    <w:basedOn w:val="a9"/>
    <w:link w:val="24"/>
    <w:rsid w:val="00405984"/>
    <w:pPr>
      <w:numPr>
        <w:ilvl w:val="3"/>
        <w:numId w:val="9"/>
      </w:numPr>
      <w:overflowPunct/>
      <w:autoSpaceDE/>
      <w:autoSpaceDN/>
      <w:spacing w:after="120" w:line="480" w:lineRule="auto"/>
      <w:ind w:left="0" w:firstLine="0"/>
      <w:jc w:val="left"/>
    </w:pPr>
    <w:rPr>
      <w:rFonts w:ascii="Times New Roman"/>
      <w:sz w:val="28"/>
      <w:szCs w:val="24"/>
    </w:rPr>
  </w:style>
  <w:style w:type="character" w:customStyle="1" w:styleId="24">
    <w:name w:val="本文 2 字元"/>
    <w:basedOn w:val="aa"/>
    <w:link w:val="2"/>
    <w:rsid w:val="00405984"/>
    <w:rPr>
      <w:rFonts w:eastAsia="標楷體"/>
      <w:kern w:val="2"/>
      <w:sz w:val="28"/>
      <w:szCs w:val="24"/>
    </w:rPr>
  </w:style>
  <w:style w:type="paragraph" w:customStyle="1" w:styleId="a0">
    <w:name w:val="審核通知甲層"/>
    <w:basedOn w:val="1"/>
    <w:rsid w:val="00405984"/>
    <w:pPr>
      <w:keepNext/>
      <w:numPr>
        <w:ilvl w:val="2"/>
        <w:numId w:val="9"/>
      </w:numPr>
      <w:overflowPunct/>
      <w:autoSpaceDE/>
      <w:autoSpaceDN/>
      <w:snapToGrid w:val="0"/>
      <w:spacing w:beforeLines="50"/>
      <w:ind w:left="425" w:hanging="425"/>
      <w:jc w:val="center"/>
    </w:pPr>
    <w:rPr>
      <w:rFonts w:hAnsi="標楷體"/>
      <w:b/>
      <w:kern w:val="52"/>
      <w:sz w:val="36"/>
    </w:rPr>
  </w:style>
  <w:style w:type="paragraph" w:customStyle="1" w:styleId="a1">
    <w:name w:val="審核通知一層"/>
    <w:basedOn w:val="a9"/>
    <w:next w:val="a9"/>
    <w:rsid w:val="00405984"/>
    <w:pPr>
      <w:numPr>
        <w:ilvl w:val="4"/>
        <w:numId w:val="9"/>
      </w:numPr>
      <w:tabs>
        <w:tab w:val="clear" w:pos="426"/>
      </w:tabs>
      <w:overflowPunct/>
      <w:autoSpaceDE/>
      <w:autoSpaceDN/>
      <w:snapToGrid w:val="0"/>
      <w:spacing w:line="560" w:lineRule="atLeast"/>
      <w:ind w:left="1658" w:hanging="1418"/>
    </w:pPr>
    <w:rPr>
      <w:rFonts w:ascii="Times New Roman"/>
      <w:lang w:val="x-none" w:eastAsia="x-none"/>
    </w:rPr>
  </w:style>
  <w:style w:type="paragraph" w:styleId="a8">
    <w:name w:val="Block Text"/>
    <w:basedOn w:val="a9"/>
    <w:rsid w:val="002F3C50"/>
    <w:pPr>
      <w:numPr>
        <w:numId w:val="10"/>
      </w:numPr>
      <w:tabs>
        <w:tab w:val="clear" w:pos="810"/>
      </w:tabs>
      <w:overflowPunct/>
      <w:autoSpaceDE/>
      <w:autoSpaceDN/>
      <w:spacing w:line="560" w:lineRule="exact"/>
      <w:ind w:leftChars="546" w:left="1310" w:rightChars="25" w:right="60" w:firstLineChars="202" w:firstLine="646"/>
      <w:jc w:val="left"/>
    </w:pPr>
    <w:rPr>
      <w:rFonts w:ascii="Times New Roman"/>
      <w:szCs w:val="24"/>
    </w:rPr>
  </w:style>
  <w:style w:type="paragraph" w:styleId="aff2">
    <w:name w:val="footnote text"/>
    <w:aliases w:val=" 字元, 字元 字元 字元,字元 字元 字元,字元"/>
    <w:basedOn w:val="a9"/>
    <w:link w:val="aff3"/>
    <w:uiPriority w:val="99"/>
    <w:unhideWhenUsed/>
    <w:qFormat/>
    <w:rsid w:val="00A25526"/>
    <w:pPr>
      <w:snapToGrid w:val="0"/>
      <w:jc w:val="left"/>
    </w:pPr>
    <w:rPr>
      <w:sz w:val="20"/>
    </w:rPr>
  </w:style>
  <w:style w:type="character" w:customStyle="1" w:styleId="aff3">
    <w:name w:val="註腳文字 字元"/>
    <w:aliases w:val=" 字元 字元, 字元 字元 字元 字元,字元 字元 字元 字元,字元 字元"/>
    <w:basedOn w:val="aa"/>
    <w:link w:val="aff2"/>
    <w:uiPriority w:val="99"/>
    <w:qFormat/>
    <w:rsid w:val="00A25526"/>
    <w:rPr>
      <w:rFonts w:ascii="標楷體" w:eastAsia="標楷體"/>
      <w:kern w:val="2"/>
    </w:rPr>
  </w:style>
  <w:style w:type="character" w:styleId="aff4">
    <w:name w:val="footnote reference"/>
    <w:aliases w:val="FR,Ref,de nota al pie,註腳內容,Error-Fußnotenzeichen5,Error-Fußnotenzeichen6,Error-Fußnotenzeichen3,Error-Fusnotßnotenzeichen5,Error-Fußnotenzeic"/>
    <w:basedOn w:val="aa"/>
    <w:unhideWhenUsed/>
    <w:qFormat/>
    <w:rsid w:val="00A25526"/>
    <w:rPr>
      <w:vertAlign w:val="superscript"/>
    </w:rPr>
  </w:style>
  <w:style w:type="paragraph" w:customStyle="1" w:styleId="15">
    <w:name w:val="款1"/>
    <w:basedOn w:val="a9"/>
    <w:rsid w:val="00D55ACF"/>
    <w:pPr>
      <w:overflowPunct/>
      <w:autoSpaceDE/>
      <w:autoSpaceDN/>
      <w:ind w:leftChars="223" w:left="1114" w:hangingChars="181" w:hanging="579"/>
    </w:pPr>
    <w:rPr>
      <w:rFonts w:ascii="Times New Roman"/>
      <w:szCs w:val="24"/>
    </w:rPr>
  </w:style>
  <w:style w:type="table" w:customStyle="1" w:styleId="210">
    <w:name w:val="表格格線21"/>
    <w:basedOn w:val="ab"/>
    <w:next w:val="af9"/>
    <w:uiPriority w:val="39"/>
    <w:rsid w:val="00D55AC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b"/>
    <w:next w:val="af9"/>
    <w:uiPriority w:val="39"/>
    <w:rsid w:val="00D55AC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b"/>
    <w:next w:val="af9"/>
    <w:uiPriority w:val="39"/>
    <w:rsid w:val="00B625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一 )"/>
    <w:basedOn w:val="1"/>
    <w:link w:val="aff6"/>
    <w:qFormat/>
    <w:rsid w:val="000A5AEE"/>
    <w:pPr>
      <w:numPr>
        <w:numId w:val="0"/>
      </w:numPr>
      <w:kinsoku w:val="0"/>
      <w:overflowPunct/>
      <w:autoSpaceDE/>
      <w:autoSpaceDN/>
      <w:spacing w:line="0" w:lineRule="atLeast"/>
      <w:ind w:leftChars="60" w:left="687" w:hangingChars="194" w:hanging="543"/>
    </w:pPr>
    <w:rPr>
      <w:sz w:val="28"/>
    </w:rPr>
  </w:style>
  <w:style w:type="paragraph" w:customStyle="1" w:styleId="16">
    <w:name w:val="1."/>
    <w:basedOn w:val="20"/>
    <w:link w:val="17"/>
    <w:qFormat/>
    <w:rsid w:val="000A5AEE"/>
    <w:pPr>
      <w:keepNext/>
      <w:numPr>
        <w:ilvl w:val="0"/>
        <w:numId w:val="0"/>
      </w:numPr>
      <w:overflowPunct/>
      <w:autoSpaceDE/>
      <w:autoSpaceDN/>
      <w:spacing w:line="0" w:lineRule="atLeast"/>
      <w:ind w:leftChars="227" w:left="828" w:rightChars="57" w:right="137" w:hangingChars="101" w:hanging="283"/>
    </w:pPr>
    <w:rPr>
      <w:rFonts w:hAnsi="標楷體" w:cstheme="majorBidi"/>
      <w:kern w:val="2"/>
      <w:sz w:val="28"/>
    </w:rPr>
  </w:style>
  <w:style w:type="character" w:customStyle="1" w:styleId="aff6">
    <w:name w:val="(一 ) 字元"/>
    <w:basedOn w:val="10"/>
    <w:link w:val="aff5"/>
    <w:rsid w:val="000A5AEE"/>
    <w:rPr>
      <w:rFonts w:ascii="標楷體" w:eastAsia="標楷體" w:hAnsi="Arial"/>
      <w:bCs/>
      <w:kern w:val="32"/>
      <w:sz w:val="28"/>
      <w:szCs w:val="52"/>
    </w:rPr>
  </w:style>
  <w:style w:type="paragraph" w:customStyle="1" w:styleId="aff7">
    <w:name w:val="甲"/>
    <w:basedOn w:val="4"/>
    <w:link w:val="aff8"/>
    <w:qFormat/>
    <w:rsid w:val="000A5AEE"/>
    <w:pPr>
      <w:numPr>
        <w:ilvl w:val="0"/>
        <w:numId w:val="0"/>
      </w:numPr>
      <w:overflowPunct/>
      <w:autoSpaceDE/>
      <w:autoSpaceDN/>
      <w:spacing w:line="0" w:lineRule="atLeast"/>
      <w:ind w:leftChars="346" w:left="1396" w:hangingChars="202" w:hanging="566"/>
    </w:pPr>
    <w:rPr>
      <w:kern w:val="2"/>
      <w:sz w:val="28"/>
    </w:rPr>
  </w:style>
  <w:style w:type="character" w:customStyle="1" w:styleId="17">
    <w:name w:val="1. 字元"/>
    <w:basedOn w:val="21"/>
    <w:link w:val="16"/>
    <w:rsid w:val="000A5AEE"/>
    <w:rPr>
      <w:rFonts w:ascii="標楷體" w:eastAsia="標楷體" w:hAnsi="標楷體" w:cstheme="majorBidi"/>
      <w:bCs/>
      <w:kern w:val="2"/>
      <w:sz w:val="28"/>
      <w:szCs w:val="48"/>
    </w:rPr>
  </w:style>
  <w:style w:type="character" w:customStyle="1" w:styleId="aff8">
    <w:name w:val="甲 字元"/>
    <w:basedOn w:val="aa"/>
    <w:link w:val="aff7"/>
    <w:rsid w:val="000A5AEE"/>
    <w:rPr>
      <w:rFonts w:ascii="標楷體" w:eastAsia="標楷體" w:hAnsi="Arial"/>
      <w:kern w:val="2"/>
      <w:sz w:val="28"/>
      <w:szCs w:val="36"/>
    </w:rPr>
  </w:style>
  <w:style w:type="paragraph" w:customStyle="1" w:styleId="aff9">
    <w:name w:val="一、"/>
    <w:basedOn w:val="1"/>
    <w:link w:val="affa"/>
    <w:qFormat/>
    <w:rsid w:val="000A5AEE"/>
    <w:pPr>
      <w:numPr>
        <w:numId w:val="0"/>
      </w:numPr>
      <w:kinsoku w:val="0"/>
      <w:overflowPunct/>
      <w:autoSpaceDE/>
      <w:autoSpaceDN/>
      <w:spacing w:line="0" w:lineRule="atLeast"/>
      <w:ind w:leftChars="-8" w:left="547" w:hangingChars="202" w:hanging="566"/>
    </w:pPr>
    <w:rPr>
      <w:sz w:val="28"/>
    </w:rPr>
  </w:style>
  <w:style w:type="character" w:customStyle="1" w:styleId="70">
    <w:name w:val="標題 7 字元"/>
    <w:aliases w:val="(1) 字元"/>
    <w:basedOn w:val="aa"/>
    <w:link w:val="7"/>
    <w:rsid w:val="000A5AEE"/>
    <w:rPr>
      <w:rFonts w:ascii="標楷體" w:eastAsia="標楷體" w:hAnsi="Arial"/>
      <w:bCs/>
      <w:kern w:val="32"/>
      <w:sz w:val="32"/>
      <w:szCs w:val="36"/>
    </w:rPr>
  </w:style>
  <w:style w:type="character" w:customStyle="1" w:styleId="affa">
    <w:name w:val="一、 字元"/>
    <w:basedOn w:val="10"/>
    <w:link w:val="aff9"/>
    <w:rsid w:val="000A5AEE"/>
    <w:rPr>
      <w:rFonts w:ascii="標楷體" w:eastAsia="標楷體" w:hAnsi="Arial"/>
      <w:bCs/>
      <w:kern w:val="32"/>
      <w:sz w:val="28"/>
      <w:szCs w:val="52"/>
    </w:rPr>
  </w:style>
  <w:style w:type="paragraph" w:customStyle="1" w:styleId="affb">
    <w:name w:val="分項段落"/>
    <w:basedOn w:val="a9"/>
    <w:rsid w:val="00FC2204"/>
    <w:pPr>
      <w:overflowPunct/>
      <w:autoSpaceDE/>
      <w:autoSpaceDN/>
      <w:jc w:val="left"/>
    </w:pPr>
    <w:rPr>
      <w:rFonts w:ascii="Times New Roman" w:eastAsia="新細明體"/>
      <w:sz w:val="24"/>
    </w:rPr>
  </w:style>
  <w:style w:type="table" w:customStyle="1" w:styleId="42">
    <w:name w:val="表格格線4"/>
    <w:basedOn w:val="ab"/>
    <w:next w:val="af9"/>
    <w:uiPriority w:val="39"/>
    <w:qFormat/>
    <w:rsid w:val="009C461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2016">
      <w:bodyDiv w:val="1"/>
      <w:marLeft w:val="0"/>
      <w:marRight w:val="0"/>
      <w:marTop w:val="0"/>
      <w:marBottom w:val="0"/>
      <w:divBdr>
        <w:top w:val="none" w:sz="0" w:space="0" w:color="auto"/>
        <w:left w:val="none" w:sz="0" w:space="0" w:color="auto"/>
        <w:bottom w:val="none" w:sz="0" w:space="0" w:color="auto"/>
        <w:right w:val="none" w:sz="0" w:space="0" w:color="auto"/>
      </w:divBdr>
    </w:div>
    <w:div w:id="142309745">
      <w:bodyDiv w:val="1"/>
      <w:marLeft w:val="0"/>
      <w:marRight w:val="0"/>
      <w:marTop w:val="0"/>
      <w:marBottom w:val="0"/>
      <w:divBdr>
        <w:top w:val="none" w:sz="0" w:space="0" w:color="auto"/>
        <w:left w:val="none" w:sz="0" w:space="0" w:color="auto"/>
        <w:bottom w:val="none" w:sz="0" w:space="0" w:color="auto"/>
        <w:right w:val="none" w:sz="0" w:space="0" w:color="auto"/>
      </w:divBdr>
    </w:div>
    <w:div w:id="242641432">
      <w:bodyDiv w:val="1"/>
      <w:marLeft w:val="0"/>
      <w:marRight w:val="0"/>
      <w:marTop w:val="0"/>
      <w:marBottom w:val="0"/>
      <w:divBdr>
        <w:top w:val="none" w:sz="0" w:space="0" w:color="auto"/>
        <w:left w:val="none" w:sz="0" w:space="0" w:color="auto"/>
        <w:bottom w:val="none" w:sz="0" w:space="0" w:color="auto"/>
        <w:right w:val="none" w:sz="0" w:space="0" w:color="auto"/>
      </w:divBdr>
    </w:div>
    <w:div w:id="244072475">
      <w:bodyDiv w:val="1"/>
      <w:marLeft w:val="0"/>
      <w:marRight w:val="0"/>
      <w:marTop w:val="0"/>
      <w:marBottom w:val="0"/>
      <w:divBdr>
        <w:top w:val="none" w:sz="0" w:space="0" w:color="auto"/>
        <w:left w:val="none" w:sz="0" w:space="0" w:color="auto"/>
        <w:bottom w:val="none" w:sz="0" w:space="0" w:color="auto"/>
        <w:right w:val="none" w:sz="0" w:space="0" w:color="auto"/>
      </w:divBdr>
    </w:div>
    <w:div w:id="280843825">
      <w:bodyDiv w:val="1"/>
      <w:marLeft w:val="0"/>
      <w:marRight w:val="0"/>
      <w:marTop w:val="0"/>
      <w:marBottom w:val="0"/>
      <w:divBdr>
        <w:top w:val="none" w:sz="0" w:space="0" w:color="auto"/>
        <w:left w:val="none" w:sz="0" w:space="0" w:color="auto"/>
        <w:bottom w:val="none" w:sz="0" w:space="0" w:color="auto"/>
        <w:right w:val="none" w:sz="0" w:space="0" w:color="auto"/>
      </w:divBdr>
    </w:div>
    <w:div w:id="305622902">
      <w:bodyDiv w:val="1"/>
      <w:marLeft w:val="0"/>
      <w:marRight w:val="0"/>
      <w:marTop w:val="0"/>
      <w:marBottom w:val="0"/>
      <w:divBdr>
        <w:top w:val="none" w:sz="0" w:space="0" w:color="auto"/>
        <w:left w:val="none" w:sz="0" w:space="0" w:color="auto"/>
        <w:bottom w:val="none" w:sz="0" w:space="0" w:color="auto"/>
        <w:right w:val="none" w:sz="0" w:space="0" w:color="auto"/>
      </w:divBdr>
    </w:div>
    <w:div w:id="359623450">
      <w:bodyDiv w:val="1"/>
      <w:marLeft w:val="0"/>
      <w:marRight w:val="0"/>
      <w:marTop w:val="0"/>
      <w:marBottom w:val="0"/>
      <w:divBdr>
        <w:top w:val="none" w:sz="0" w:space="0" w:color="auto"/>
        <w:left w:val="none" w:sz="0" w:space="0" w:color="auto"/>
        <w:bottom w:val="none" w:sz="0" w:space="0" w:color="auto"/>
        <w:right w:val="none" w:sz="0" w:space="0" w:color="auto"/>
      </w:divBdr>
    </w:div>
    <w:div w:id="426928427">
      <w:bodyDiv w:val="1"/>
      <w:marLeft w:val="0"/>
      <w:marRight w:val="0"/>
      <w:marTop w:val="0"/>
      <w:marBottom w:val="0"/>
      <w:divBdr>
        <w:top w:val="none" w:sz="0" w:space="0" w:color="auto"/>
        <w:left w:val="none" w:sz="0" w:space="0" w:color="auto"/>
        <w:bottom w:val="none" w:sz="0" w:space="0" w:color="auto"/>
        <w:right w:val="none" w:sz="0" w:space="0" w:color="auto"/>
      </w:divBdr>
    </w:div>
    <w:div w:id="431367128">
      <w:bodyDiv w:val="1"/>
      <w:marLeft w:val="0"/>
      <w:marRight w:val="0"/>
      <w:marTop w:val="0"/>
      <w:marBottom w:val="0"/>
      <w:divBdr>
        <w:top w:val="none" w:sz="0" w:space="0" w:color="auto"/>
        <w:left w:val="none" w:sz="0" w:space="0" w:color="auto"/>
        <w:bottom w:val="none" w:sz="0" w:space="0" w:color="auto"/>
        <w:right w:val="none" w:sz="0" w:space="0" w:color="auto"/>
      </w:divBdr>
    </w:div>
    <w:div w:id="451292687">
      <w:bodyDiv w:val="1"/>
      <w:marLeft w:val="0"/>
      <w:marRight w:val="0"/>
      <w:marTop w:val="0"/>
      <w:marBottom w:val="0"/>
      <w:divBdr>
        <w:top w:val="none" w:sz="0" w:space="0" w:color="auto"/>
        <w:left w:val="none" w:sz="0" w:space="0" w:color="auto"/>
        <w:bottom w:val="none" w:sz="0" w:space="0" w:color="auto"/>
        <w:right w:val="none" w:sz="0" w:space="0" w:color="auto"/>
      </w:divBdr>
    </w:div>
    <w:div w:id="465009258">
      <w:bodyDiv w:val="1"/>
      <w:marLeft w:val="0"/>
      <w:marRight w:val="0"/>
      <w:marTop w:val="0"/>
      <w:marBottom w:val="0"/>
      <w:divBdr>
        <w:top w:val="none" w:sz="0" w:space="0" w:color="auto"/>
        <w:left w:val="none" w:sz="0" w:space="0" w:color="auto"/>
        <w:bottom w:val="none" w:sz="0" w:space="0" w:color="auto"/>
        <w:right w:val="none" w:sz="0" w:space="0" w:color="auto"/>
      </w:divBdr>
    </w:div>
    <w:div w:id="562327541">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21303760">
      <w:bodyDiv w:val="1"/>
      <w:marLeft w:val="0"/>
      <w:marRight w:val="0"/>
      <w:marTop w:val="0"/>
      <w:marBottom w:val="0"/>
      <w:divBdr>
        <w:top w:val="none" w:sz="0" w:space="0" w:color="auto"/>
        <w:left w:val="none" w:sz="0" w:space="0" w:color="auto"/>
        <w:bottom w:val="none" w:sz="0" w:space="0" w:color="auto"/>
        <w:right w:val="none" w:sz="0" w:space="0" w:color="auto"/>
      </w:divBdr>
    </w:div>
    <w:div w:id="636105525">
      <w:bodyDiv w:val="1"/>
      <w:marLeft w:val="0"/>
      <w:marRight w:val="0"/>
      <w:marTop w:val="0"/>
      <w:marBottom w:val="0"/>
      <w:divBdr>
        <w:top w:val="none" w:sz="0" w:space="0" w:color="auto"/>
        <w:left w:val="none" w:sz="0" w:space="0" w:color="auto"/>
        <w:bottom w:val="none" w:sz="0" w:space="0" w:color="auto"/>
        <w:right w:val="none" w:sz="0" w:space="0" w:color="auto"/>
      </w:divBdr>
    </w:div>
    <w:div w:id="728191293">
      <w:bodyDiv w:val="1"/>
      <w:marLeft w:val="0"/>
      <w:marRight w:val="0"/>
      <w:marTop w:val="0"/>
      <w:marBottom w:val="0"/>
      <w:divBdr>
        <w:top w:val="none" w:sz="0" w:space="0" w:color="auto"/>
        <w:left w:val="none" w:sz="0" w:space="0" w:color="auto"/>
        <w:bottom w:val="none" w:sz="0" w:space="0" w:color="auto"/>
        <w:right w:val="none" w:sz="0" w:space="0" w:color="auto"/>
      </w:divBdr>
    </w:div>
    <w:div w:id="778841681">
      <w:bodyDiv w:val="1"/>
      <w:marLeft w:val="0"/>
      <w:marRight w:val="0"/>
      <w:marTop w:val="0"/>
      <w:marBottom w:val="0"/>
      <w:divBdr>
        <w:top w:val="none" w:sz="0" w:space="0" w:color="auto"/>
        <w:left w:val="none" w:sz="0" w:space="0" w:color="auto"/>
        <w:bottom w:val="none" w:sz="0" w:space="0" w:color="auto"/>
        <w:right w:val="none" w:sz="0" w:space="0" w:color="auto"/>
      </w:divBdr>
    </w:div>
    <w:div w:id="782186737">
      <w:bodyDiv w:val="1"/>
      <w:marLeft w:val="0"/>
      <w:marRight w:val="0"/>
      <w:marTop w:val="0"/>
      <w:marBottom w:val="0"/>
      <w:divBdr>
        <w:top w:val="none" w:sz="0" w:space="0" w:color="auto"/>
        <w:left w:val="none" w:sz="0" w:space="0" w:color="auto"/>
        <w:bottom w:val="none" w:sz="0" w:space="0" w:color="auto"/>
        <w:right w:val="none" w:sz="0" w:space="0" w:color="auto"/>
      </w:divBdr>
      <w:divsChild>
        <w:div w:id="1665549620">
          <w:marLeft w:val="480"/>
          <w:marRight w:val="0"/>
          <w:marTop w:val="0"/>
          <w:marBottom w:val="120"/>
          <w:divBdr>
            <w:top w:val="none" w:sz="0" w:space="0" w:color="auto"/>
            <w:left w:val="none" w:sz="0" w:space="0" w:color="auto"/>
            <w:bottom w:val="none" w:sz="0" w:space="0" w:color="auto"/>
            <w:right w:val="none" w:sz="0" w:space="0" w:color="auto"/>
          </w:divBdr>
        </w:div>
        <w:div w:id="167522984">
          <w:marLeft w:val="480"/>
          <w:marRight w:val="0"/>
          <w:marTop w:val="0"/>
          <w:marBottom w:val="120"/>
          <w:divBdr>
            <w:top w:val="none" w:sz="0" w:space="0" w:color="auto"/>
            <w:left w:val="none" w:sz="0" w:space="0" w:color="auto"/>
            <w:bottom w:val="none" w:sz="0" w:space="0" w:color="auto"/>
            <w:right w:val="none" w:sz="0" w:space="0" w:color="auto"/>
          </w:divBdr>
        </w:div>
        <w:div w:id="1645700495">
          <w:marLeft w:val="480"/>
          <w:marRight w:val="0"/>
          <w:marTop w:val="0"/>
          <w:marBottom w:val="120"/>
          <w:divBdr>
            <w:top w:val="none" w:sz="0" w:space="0" w:color="auto"/>
            <w:left w:val="none" w:sz="0" w:space="0" w:color="auto"/>
            <w:bottom w:val="none" w:sz="0" w:space="0" w:color="auto"/>
            <w:right w:val="none" w:sz="0" w:space="0" w:color="auto"/>
          </w:divBdr>
        </w:div>
        <w:div w:id="1401901716">
          <w:marLeft w:val="480"/>
          <w:marRight w:val="0"/>
          <w:marTop w:val="0"/>
          <w:marBottom w:val="120"/>
          <w:divBdr>
            <w:top w:val="none" w:sz="0" w:space="0" w:color="auto"/>
            <w:left w:val="none" w:sz="0" w:space="0" w:color="auto"/>
            <w:bottom w:val="none" w:sz="0" w:space="0" w:color="auto"/>
            <w:right w:val="none" w:sz="0" w:space="0" w:color="auto"/>
          </w:divBdr>
        </w:div>
        <w:div w:id="473186100">
          <w:marLeft w:val="480"/>
          <w:marRight w:val="0"/>
          <w:marTop w:val="0"/>
          <w:marBottom w:val="120"/>
          <w:divBdr>
            <w:top w:val="none" w:sz="0" w:space="0" w:color="auto"/>
            <w:left w:val="none" w:sz="0" w:space="0" w:color="auto"/>
            <w:bottom w:val="none" w:sz="0" w:space="0" w:color="auto"/>
            <w:right w:val="none" w:sz="0" w:space="0" w:color="auto"/>
          </w:divBdr>
        </w:div>
        <w:div w:id="1310406469">
          <w:marLeft w:val="480"/>
          <w:marRight w:val="0"/>
          <w:marTop w:val="0"/>
          <w:marBottom w:val="120"/>
          <w:divBdr>
            <w:top w:val="none" w:sz="0" w:space="0" w:color="auto"/>
            <w:left w:val="none" w:sz="0" w:space="0" w:color="auto"/>
            <w:bottom w:val="none" w:sz="0" w:space="0" w:color="auto"/>
            <w:right w:val="none" w:sz="0" w:space="0" w:color="auto"/>
          </w:divBdr>
        </w:div>
        <w:div w:id="1891189572">
          <w:marLeft w:val="480"/>
          <w:marRight w:val="0"/>
          <w:marTop w:val="0"/>
          <w:marBottom w:val="120"/>
          <w:divBdr>
            <w:top w:val="none" w:sz="0" w:space="0" w:color="auto"/>
            <w:left w:val="none" w:sz="0" w:space="0" w:color="auto"/>
            <w:bottom w:val="none" w:sz="0" w:space="0" w:color="auto"/>
            <w:right w:val="none" w:sz="0" w:space="0" w:color="auto"/>
          </w:divBdr>
        </w:div>
      </w:divsChild>
    </w:div>
    <w:div w:id="793712079">
      <w:bodyDiv w:val="1"/>
      <w:marLeft w:val="0"/>
      <w:marRight w:val="0"/>
      <w:marTop w:val="0"/>
      <w:marBottom w:val="0"/>
      <w:divBdr>
        <w:top w:val="none" w:sz="0" w:space="0" w:color="auto"/>
        <w:left w:val="none" w:sz="0" w:space="0" w:color="auto"/>
        <w:bottom w:val="none" w:sz="0" w:space="0" w:color="auto"/>
        <w:right w:val="none" w:sz="0" w:space="0" w:color="auto"/>
      </w:divBdr>
    </w:div>
    <w:div w:id="813060886">
      <w:bodyDiv w:val="1"/>
      <w:marLeft w:val="0"/>
      <w:marRight w:val="0"/>
      <w:marTop w:val="0"/>
      <w:marBottom w:val="0"/>
      <w:divBdr>
        <w:top w:val="none" w:sz="0" w:space="0" w:color="auto"/>
        <w:left w:val="none" w:sz="0" w:space="0" w:color="auto"/>
        <w:bottom w:val="none" w:sz="0" w:space="0" w:color="auto"/>
        <w:right w:val="none" w:sz="0" w:space="0" w:color="auto"/>
      </w:divBdr>
      <w:divsChild>
        <w:div w:id="832065526">
          <w:marLeft w:val="0"/>
          <w:marRight w:val="0"/>
          <w:marTop w:val="0"/>
          <w:marBottom w:val="300"/>
          <w:divBdr>
            <w:top w:val="single" w:sz="6" w:space="14" w:color="95C7F6"/>
            <w:left w:val="single" w:sz="6" w:space="14" w:color="95C7F6"/>
            <w:bottom w:val="single" w:sz="6" w:space="14" w:color="95C7F6"/>
            <w:right w:val="single" w:sz="6" w:space="14" w:color="95C7F6"/>
          </w:divBdr>
          <w:divsChild>
            <w:div w:id="227420995">
              <w:marLeft w:val="0"/>
              <w:marRight w:val="0"/>
              <w:marTop w:val="100"/>
              <w:marBottom w:val="100"/>
              <w:divBdr>
                <w:top w:val="none" w:sz="0" w:space="0" w:color="auto"/>
                <w:left w:val="none" w:sz="0" w:space="0" w:color="auto"/>
                <w:bottom w:val="none" w:sz="0" w:space="0" w:color="auto"/>
                <w:right w:val="none" w:sz="0" w:space="0" w:color="auto"/>
              </w:divBdr>
              <w:divsChild>
                <w:div w:id="1318607819">
                  <w:marLeft w:val="0"/>
                  <w:marRight w:val="0"/>
                  <w:marTop w:val="0"/>
                  <w:marBottom w:val="0"/>
                  <w:divBdr>
                    <w:top w:val="none" w:sz="0" w:space="0" w:color="auto"/>
                    <w:left w:val="none" w:sz="0" w:space="0" w:color="auto"/>
                    <w:bottom w:val="none" w:sz="0" w:space="0" w:color="auto"/>
                    <w:right w:val="none" w:sz="0" w:space="0" w:color="auto"/>
                  </w:divBdr>
                  <w:divsChild>
                    <w:div w:id="870798277">
                      <w:marLeft w:val="0"/>
                      <w:marRight w:val="0"/>
                      <w:marTop w:val="0"/>
                      <w:marBottom w:val="0"/>
                      <w:divBdr>
                        <w:top w:val="none" w:sz="0" w:space="0" w:color="auto"/>
                        <w:left w:val="none" w:sz="0" w:space="0" w:color="auto"/>
                        <w:bottom w:val="none" w:sz="0" w:space="0" w:color="auto"/>
                        <w:right w:val="none" w:sz="0" w:space="0" w:color="auto"/>
                      </w:divBdr>
                    </w:div>
                    <w:div w:id="142876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1801456">
      <w:bodyDiv w:val="1"/>
      <w:marLeft w:val="0"/>
      <w:marRight w:val="0"/>
      <w:marTop w:val="0"/>
      <w:marBottom w:val="0"/>
      <w:divBdr>
        <w:top w:val="none" w:sz="0" w:space="0" w:color="auto"/>
        <w:left w:val="none" w:sz="0" w:space="0" w:color="auto"/>
        <w:bottom w:val="none" w:sz="0" w:space="0" w:color="auto"/>
        <w:right w:val="none" w:sz="0" w:space="0" w:color="auto"/>
      </w:divBdr>
    </w:div>
    <w:div w:id="861481263">
      <w:bodyDiv w:val="1"/>
      <w:marLeft w:val="0"/>
      <w:marRight w:val="0"/>
      <w:marTop w:val="0"/>
      <w:marBottom w:val="0"/>
      <w:divBdr>
        <w:top w:val="none" w:sz="0" w:space="0" w:color="auto"/>
        <w:left w:val="none" w:sz="0" w:space="0" w:color="auto"/>
        <w:bottom w:val="none" w:sz="0" w:space="0" w:color="auto"/>
        <w:right w:val="none" w:sz="0" w:space="0" w:color="auto"/>
      </w:divBdr>
    </w:div>
    <w:div w:id="956716786">
      <w:bodyDiv w:val="1"/>
      <w:marLeft w:val="0"/>
      <w:marRight w:val="0"/>
      <w:marTop w:val="0"/>
      <w:marBottom w:val="0"/>
      <w:divBdr>
        <w:top w:val="none" w:sz="0" w:space="0" w:color="auto"/>
        <w:left w:val="none" w:sz="0" w:space="0" w:color="auto"/>
        <w:bottom w:val="none" w:sz="0" w:space="0" w:color="auto"/>
        <w:right w:val="none" w:sz="0" w:space="0" w:color="auto"/>
      </w:divBdr>
    </w:div>
    <w:div w:id="997030551">
      <w:bodyDiv w:val="1"/>
      <w:marLeft w:val="0"/>
      <w:marRight w:val="0"/>
      <w:marTop w:val="0"/>
      <w:marBottom w:val="0"/>
      <w:divBdr>
        <w:top w:val="none" w:sz="0" w:space="0" w:color="auto"/>
        <w:left w:val="none" w:sz="0" w:space="0" w:color="auto"/>
        <w:bottom w:val="none" w:sz="0" w:space="0" w:color="auto"/>
        <w:right w:val="none" w:sz="0" w:space="0" w:color="auto"/>
      </w:divBdr>
    </w:div>
    <w:div w:id="1194149164">
      <w:bodyDiv w:val="1"/>
      <w:marLeft w:val="0"/>
      <w:marRight w:val="0"/>
      <w:marTop w:val="0"/>
      <w:marBottom w:val="0"/>
      <w:divBdr>
        <w:top w:val="none" w:sz="0" w:space="0" w:color="auto"/>
        <w:left w:val="none" w:sz="0" w:space="0" w:color="auto"/>
        <w:bottom w:val="none" w:sz="0" w:space="0" w:color="auto"/>
        <w:right w:val="none" w:sz="0" w:space="0" w:color="auto"/>
      </w:divBdr>
    </w:div>
    <w:div w:id="1249198071">
      <w:bodyDiv w:val="1"/>
      <w:marLeft w:val="0"/>
      <w:marRight w:val="0"/>
      <w:marTop w:val="0"/>
      <w:marBottom w:val="0"/>
      <w:divBdr>
        <w:top w:val="none" w:sz="0" w:space="0" w:color="auto"/>
        <w:left w:val="none" w:sz="0" w:space="0" w:color="auto"/>
        <w:bottom w:val="none" w:sz="0" w:space="0" w:color="auto"/>
        <w:right w:val="none" w:sz="0" w:space="0" w:color="auto"/>
      </w:divBdr>
    </w:div>
    <w:div w:id="1345129858">
      <w:bodyDiv w:val="1"/>
      <w:marLeft w:val="0"/>
      <w:marRight w:val="0"/>
      <w:marTop w:val="0"/>
      <w:marBottom w:val="0"/>
      <w:divBdr>
        <w:top w:val="none" w:sz="0" w:space="0" w:color="auto"/>
        <w:left w:val="none" w:sz="0" w:space="0" w:color="auto"/>
        <w:bottom w:val="none" w:sz="0" w:space="0" w:color="auto"/>
        <w:right w:val="none" w:sz="0" w:space="0" w:color="auto"/>
      </w:divBdr>
    </w:div>
    <w:div w:id="1382634331">
      <w:bodyDiv w:val="1"/>
      <w:marLeft w:val="0"/>
      <w:marRight w:val="0"/>
      <w:marTop w:val="0"/>
      <w:marBottom w:val="0"/>
      <w:divBdr>
        <w:top w:val="none" w:sz="0" w:space="0" w:color="auto"/>
        <w:left w:val="none" w:sz="0" w:space="0" w:color="auto"/>
        <w:bottom w:val="none" w:sz="0" w:space="0" w:color="auto"/>
        <w:right w:val="none" w:sz="0" w:space="0" w:color="auto"/>
      </w:divBdr>
      <w:divsChild>
        <w:div w:id="706757722">
          <w:marLeft w:val="480"/>
          <w:marRight w:val="0"/>
          <w:marTop w:val="0"/>
          <w:marBottom w:val="120"/>
          <w:divBdr>
            <w:top w:val="none" w:sz="0" w:space="0" w:color="auto"/>
            <w:left w:val="none" w:sz="0" w:space="0" w:color="auto"/>
            <w:bottom w:val="none" w:sz="0" w:space="0" w:color="auto"/>
            <w:right w:val="none" w:sz="0" w:space="0" w:color="auto"/>
          </w:divBdr>
        </w:div>
        <w:div w:id="1225024031">
          <w:marLeft w:val="480"/>
          <w:marRight w:val="0"/>
          <w:marTop w:val="0"/>
          <w:marBottom w:val="120"/>
          <w:divBdr>
            <w:top w:val="none" w:sz="0" w:space="0" w:color="auto"/>
            <w:left w:val="none" w:sz="0" w:space="0" w:color="auto"/>
            <w:bottom w:val="none" w:sz="0" w:space="0" w:color="auto"/>
            <w:right w:val="none" w:sz="0" w:space="0" w:color="auto"/>
          </w:divBdr>
        </w:div>
        <w:div w:id="1438646737">
          <w:marLeft w:val="480"/>
          <w:marRight w:val="0"/>
          <w:marTop w:val="0"/>
          <w:marBottom w:val="120"/>
          <w:divBdr>
            <w:top w:val="none" w:sz="0" w:space="0" w:color="auto"/>
            <w:left w:val="none" w:sz="0" w:space="0" w:color="auto"/>
            <w:bottom w:val="none" w:sz="0" w:space="0" w:color="auto"/>
            <w:right w:val="none" w:sz="0" w:space="0" w:color="auto"/>
          </w:divBdr>
        </w:div>
        <w:div w:id="642781324">
          <w:marLeft w:val="480"/>
          <w:marRight w:val="0"/>
          <w:marTop w:val="0"/>
          <w:marBottom w:val="120"/>
          <w:divBdr>
            <w:top w:val="none" w:sz="0" w:space="0" w:color="auto"/>
            <w:left w:val="none" w:sz="0" w:space="0" w:color="auto"/>
            <w:bottom w:val="none" w:sz="0" w:space="0" w:color="auto"/>
            <w:right w:val="none" w:sz="0" w:space="0" w:color="auto"/>
          </w:divBdr>
        </w:div>
        <w:div w:id="1173030435">
          <w:marLeft w:val="480"/>
          <w:marRight w:val="0"/>
          <w:marTop w:val="0"/>
          <w:marBottom w:val="120"/>
          <w:divBdr>
            <w:top w:val="none" w:sz="0" w:space="0" w:color="auto"/>
            <w:left w:val="none" w:sz="0" w:space="0" w:color="auto"/>
            <w:bottom w:val="none" w:sz="0" w:space="0" w:color="auto"/>
            <w:right w:val="none" w:sz="0" w:space="0" w:color="auto"/>
          </w:divBdr>
        </w:div>
        <w:div w:id="1925457882">
          <w:marLeft w:val="480"/>
          <w:marRight w:val="0"/>
          <w:marTop w:val="0"/>
          <w:marBottom w:val="120"/>
          <w:divBdr>
            <w:top w:val="none" w:sz="0" w:space="0" w:color="auto"/>
            <w:left w:val="none" w:sz="0" w:space="0" w:color="auto"/>
            <w:bottom w:val="none" w:sz="0" w:space="0" w:color="auto"/>
            <w:right w:val="none" w:sz="0" w:space="0" w:color="auto"/>
          </w:divBdr>
        </w:div>
        <w:div w:id="1753431910">
          <w:marLeft w:val="480"/>
          <w:marRight w:val="0"/>
          <w:marTop w:val="0"/>
          <w:marBottom w:val="120"/>
          <w:divBdr>
            <w:top w:val="none" w:sz="0" w:space="0" w:color="auto"/>
            <w:left w:val="none" w:sz="0" w:space="0" w:color="auto"/>
            <w:bottom w:val="none" w:sz="0" w:space="0" w:color="auto"/>
            <w:right w:val="none" w:sz="0" w:space="0" w:color="auto"/>
          </w:divBdr>
        </w:div>
      </w:divsChild>
    </w:div>
    <w:div w:id="1395808766">
      <w:bodyDiv w:val="1"/>
      <w:marLeft w:val="0"/>
      <w:marRight w:val="0"/>
      <w:marTop w:val="0"/>
      <w:marBottom w:val="0"/>
      <w:divBdr>
        <w:top w:val="none" w:sz="0" w:space="0" w:color="auto"/>
        <w:left w:val="none" w:sz="0" w:space="0" w:color="auto"/>
        <w:bottom w:val="none" w:sz="0" w:space="0" w:color="auto"/>
        <w:right w:val="none" w:sz="0" w:space="0" w:color="auto"/>
      </w:divBdr>
    </w:div>
    <w:div w:id="1416050349">
      <w:bodyDiv w:val="1"/>
      <w:marLeft w:val="0"/>
      <w:marRight w:val="0"/>
      <w:marTop w:val="0"/>
      <w:marBottom w:val="0"/>
      <w:divBdr>
        <w:top w:val="none" w:sz="0" w:space="0" w:color="auto"/>
        <w:left w:val="none" w:sz="0" w:space="0" w:color="auto"/>
        <w:bottom w:val="none" w:sz="0" w:space="0" w:color="auto"/>
        <w:right w:val="none" w:sz="0" w:space="0" w:color="auto"/>
      </w:divBdr>
    </w:div>
    <w:div w:id="1423449832">
      <w:bodyDiv w:val="1"/>
      <w:marLeft w:val="0"/>
      <w:marRight w:val="0"/>
      <w:marTop w:val="0"/>
      <w:marBottom w:val="0"/>
      <w:divBdr>
        <w:top w:val="none" w:sz="0" w:space="0" w:color="auto"/>
        <w:left w:val="none" w:sz="0" w:space="0" w:color="auto"/>
        <w:bottom w:val="none" w:sz="0" w:space="0" w:color="auto"/>
        <w:right w:val="none" w:sz="0" w:space="0" w:color="auto"/>
      </w:divBdr>
    </w:div>
    <w:div w:id="1660227570">
      <w:bodyDiv w:val="1"/>
      <w:marLeft w:val="0"/>
      <w:marRight w:val="0"/>
      <w:marTop w:val="0"/>
      <w:marBottom w:val="0"/>
      <w:divBdr>
        <w:top w:val="none" w:sz="0" w:space="0" w:color="auto"/>
        <w:left w:val="none" w:sz="0" w:space="0" w:color="auto"/>
        <w:bottom w:val="none" w:sz="0" w:space="0" w:color="auto"/>
        <w:right w:val="none" w:sz="0" w:space="0" w:color="auto"/>
      </w:divBdr>
      <w:divsChild>
        <w:div w:id="1165972478">
          <w:marLeft w:val="0"/>
          <w:marRight w:val="0"/>
          <w:marTop w:val="0"/>
          <w:marBottom w:val="0"/>
          <w:divBdr>
            <w:top w:val="none" w:sz="0" w:space="0" w:color="auto"/>
            <w:left w:val="none" w:sz="0" w:space="0" w:color="auto"/>
            <w:bottom w:val="none" w:sz="0" w:space="0" w:color="auto"/>
            <w:right w:val="none" w:sz="0" w:space="0" w:color="auto"/>
          </w:divBdr>
          <w:divsChild>
            <w:div w:id="4408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7091">
      <w:bodyDiv w:val="1"/>
      <w:marLeft w:val="0"/>
      <w:marRight w:val="0"/>
      <w:marTop w:val="0"/>
      <w:marBottom w:val="0"/>
      <w:divBdr>
        <w:top w:val="none" w:sz="0" w:space="0" w:color="auto"/>
        <w:left w:val="none" w:sz="0" w:space="0" w:color="auto"/>
        <w:bottom w:val="none" w:sz="0" w:space="0" w:color="auto"/>
        <w:right w:val="none" w:sz="0" w:space="0" w:color="auto"/>
      </w:divBdr>
    </w:div>
    <w:div w:id="2003317894">
      <w:bodyDiv w:val="1"/>
      <w:marLeft w:val="0"/>
      <w:marRight w:val="0"/>
      <w:marTop w:val="0"/>
      <w:marBottom w:val="0"/>
      <w:divBdr>
        <w:top w:val="none" w:sz="0" w:space="0" w:color="auto"/>
        <w:left w:val="none" w:sz="0" w:space="0" w:color="auto"/>
        <w:bottom w:val="none" w:sz="0" w:space="0" w:color="auto"/>
        <w:right w:val="none" w:sz="0" w:space="0" w:color="auto"/>
      </w:divBdr>
    </w:div>
    <w:div w:id="2048791921">
      <w:bodyDiv w:val="1"/>
      <w:marLeft w:val="0"/>
      <w:marRight w:val="0"/>
      <w:marTop w:val="0"/>
      <w:marBottom w:val="0"/>
      <w:divBdr>
        <w:top w:val="none" w:sz="0" w:space="0" w:color="auto"/>
        <w:left w:val="none" w:sz="0" w:space="0" w:color="auto"/>
        <w:bottom w:val="none" w:sz="0" w:space="0" w:color="auto"/>
        <w:right w:val="none" w:sz="0" w:space="0" w:color="auto"/>
      </w:divBdr>
    </w:div>
    <w:div w:id="205553742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176AF-CF44-4714-B9F2-6B496C5C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1669</Words>
  <Characters>9516</Characters>
  <Application>Microsoft Office Word</Application>
  <DocSecurity>0</DocSecurity>
  <Lines>79</Lines>
  <Paragraphs>22</Paragraphs>
  <ScaleCrop>false</ScaleCrop>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2025-06-05T06:14:00Z</dcterms:created>
  <dcterms:modified xsi:type="dcterms:W3CDTF">2025-06-06T06:42:00Z</dcterms:modified>
  <cp:contentStatus/>
</cp:coreProperties>
</file>