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27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9"/>
        <w:gridCol w:w="9919"/>
        <w:gridCol w:w="3415"/>
      </w:tblGrid>
      <w:tr w:rsidR="00FF343B" w:rsidTr="00605E93">
        <w:trPr>
          <w:tblHeader/>
        </w:trPr>
        <w:tc>
          <w:tcPr>
            <w:tcW w:w="545" w:type="dxa"/>
            <w:vAlign w:val="center"/>
          </w:tcPr>
          <w:p w:rsidR="00FF343B" w:rsidRDefault="00FF343B">
            <w:pPr>
              <w:snapToGrid w:val="0"/>
              <w:spacing w:line="340" w:lineRule="atLeast"/>
              <w:jc w:val="center"/>
              <w:rPr>
                <w:rFonts w:eastAsia="標楷體"/>
                <w:b/>
              </w:rPr>
            </w:pPr>
            <w:bookmarkStart w:id="0" w:name="_GoBack"/>
            <w:bookmarkEnd w:id="0"/>
            <w:r>
              <w:rPr>
                <w:rFonts w:eastAsia="標楷體" w:hint="eastAsia"/>
                <w:b/>
              </w:rPr>
              <w:t>案號</w:t>
            </w:r>
          </w:p>
        </w:tc>
        <w:tc>
          <w:tcPr>
            <w:tcW w:w="5762" w:type="dxa"/>
            <w:vAlign w:val="center"/>
          </w:tcPr>
          <w:p w:rsidR="00FF343B" w:rsidRDefault="00FF343B">
            <w:pPr>
              <w:snapToGrid w:val="0"/>
              <w:spacing w:line="340" w:lineRule="atLeast"/>
              <w:jc w:val="center"/>
              <w:rPr>
                <w:rFonts w:eastAsia="標楷體"/>
                <w:b/>
                <w:spacing w:val="60"/>
              </w:rPr>
            </w:pPr>
            <w:r>
              <w:rPr>
                <w:rFonts w:eastAsia="標楷體" w:hint="eastAsia"/>
                <w:b/>
                <w:spacing w:val="60"/>
              </w:rPr>
              <w:t>機關改善與處置情形</w:t>
            </w:r>
          </w:p>
        </w:tc>
        <w:tc>
          <w:tcPr>
            <w:tcW w:w="1984" w:type="dxa"/>
            <w:vAlign w:val="center"/>
          </w:tcPr>
          <w:p w:rsidR="00FF343B" w:rsidRDefault="00FF343B">
            <w:pPr>
              <w:snapToGrid w:val="0"/>
              <w:spacing w:line="340" w:lineRule="atLeast"/>
              <w:jc w:val="center"/>
              <w:rPr>
                <w:rFonts w:eastAsia="標楷體"/>
                <w:b/>
              </w:rPr>
            </w:pPr>
            <w:r>
              <w:rPr>
                <w:rFonts w:eastAsia="標楷體" w:hint="eastAsia"/>
                <w:b/>
              </w:rPr>
              <w:t>結案情形</w:t>
            </w:r>
          </w:p>
        </w:tc>
      </w:tr>
      <w:tr w:rsidR="00FF343B" w:rsidRPr="00203463" w:rsidTr="00605E93">
        <w:trPr>
          <w:trHeight w:val="468"/>
        </w:trPr>
        <w:tc>
          <w:tcPr>
            <w:tcW w:w="545" w:type="dxa"/>
            <w:vAlign w:val="center"/>
          </w:tcPr>
          <w:p w:rsidR="00FF343B" w:rsidRDefault="007336A7" w:rsidP="00720393">
            <w:pPr>
              <w:spacing w:line="360" w:lineRule="atLeast"/>
              <w:ind w:leftChars="50" w:left="120" w:rightChars="50" w:right="120"/>
              <w:jc w:val="center"/>
              <w:rPr>
                <w:rFonts w:eastAsia="標楷體"/>
                <w:bCs/>
                <w:szCs w:val="28"/>
              </w:rPr>
            </w:pPr>
            <w:r>
              <w:rPr>
                <w:rFonts w:eastAsia="標楷體" w:hint="eastAsia"/>
                <w:bCs/>
                <w:szCs w:val="28"/>
              </w:rPr>
              <w:t>112</w:t>
            </w:r>
            <w:r>
              <w:rPr>
                <w:rFonts w:eastAsia="標楷體" w:hint="eastAsia"/>
                <w:bCs/>
                <w:szCs w:val="28"/>
              </w:rPr>
              <w:t>內調</w:t>
            </w:r>
            <w:r>
              <w:rPr>
                <w:rFonts w:eastAsia="標楷體" w:hint="eastAsia"/>
                <w:bCs/>
                <w:szCs w:val="28"/>
              </w:rPr>
              <w:t>0056</w:t>
            </w:r>
          </w:p>
        </w:tc>
        <w:tc>
          <w:tcPr>
            <w:tcW w:w="5762" w:type="dxa"/>
          </w:tcPr>
          <w:p w:rsidR="00FF343B" w:rsidRPr="0078237E" w:rsidRDefault="007336A7" w:rsidP="00440949">
            <w:pPr>
              <w:spacing w:line="360" w:lineRule="atLeast"/>
              <w:jc w:val="both"/>
              <w:rPr>
                <w:rFonts w:eastAsia="標楷體"/>
                <w:bCs/>
                <w:szCs w:val="28"/>
              </w:rPr>
            </w:pPr>
            <w:r>
              <w:rPr>
                <w:rFonts w:eastAsia="標楷體" w:hint="eastAsia"/>
                <w:bCs/>
              </w:rPr>
              <w:t>◆其他績效</w:t>
            </w:r>
          </w:p>
          <w:p w:rsidR="00FF343B" w:rsidRPr="0078237E" w:rsidRDefault="007336A7" w:rsidP="00440949">
            <w:pPr>
              <w:spacing w:line="360" w:lineRule="atLeast"/>
              <w:jc w:val="both"/>
              <w:rPr>
                <w:rFonts w:eastAsia="標楷體"/>
                <w:bCs/>
                <w:szCs w:val="28"/>
              </w:rPr>
            </w:pPr>
            <w:r>
              <w:rPr>
                <w:rFonts w:eastAsia="標楷體" w:hint="eastAsia"/>
                <w:bCs/>
              </w:rPr>
              <w:t>針對本案報告產生績效如下：</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w:t>
            </w:r>
            <w:r>
              <w:rPr>
                <w:rFonts w:eastAsia="標楷體" w:hint="eastAsia"/>
                <w:bCs/>
              </w:rPr>
              <w:t>一</w:t>
            </w:r>
            <w:r>
              <w:rPr>
                <w:rFonts w:eastAsia="標楷體" w:hint="eastAsia"/>
                <w:bCs/>
              </w:rPr>
              <w:t>)</w:t>
            </w:r>
            <w:r>
              <w:rPr>
                <w:rFonts w:eastAsia="標楷體" w:hint="eastAsia"/>
                <w:bCs/>
              </w:rPr>
              <w:t>關於槍砲彈藥刀械管制條例</w:t>
            </w:r>
            <w:r>
              <w:rPr>
                <w:rFonts w:eastAsia="標楷體" w:hint="eastAsia"/>
                <w:bCs/>
              </w:rPr>
              <w:t>(</w:t>
            </w:r>
            <w:r>
              <w:rPr>
                <w:rFonts w:eastAsia="標楷體" w:hint="eastAsia"/>
                <w:bCs/>
              </w:rPr>
              <w:t>下稱槍砲條例</w:t>
            </w:r>
            <w:r>
              <w:rPr>
                <w:rFonts w:eastAsia="標楷體" w:hint="eastAsia"/>
                <w:bCs/>
              </w:rPr>
              <w:t>)</w:t>
            </w:r>
            <w:r>
              <w:rPr>
                <w:rFonts w:eastAsia="標楷體" w:hint="eastAsia"/>
                <w:bCs/>
              </w:rPr>
              <w:t>修正前持有未報備而無法追蹤列管之模擬槍部分：</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１、內政部：</w:t>
            </w:r>
            <w:r>
              <w:rPr>
                <w:rFonts w:eastAsia="標楷體" w:hint="eastAsia"/>
                <w:bCs/>
              </w:rPr>
              <w:t>(</w:t>
            </w:r>
            <w:r>
              <w:rPr>
                <w:rFonts w:eastAsia="標楷體" w:hint="eastAsia"/>
                <w:bCs/>
              </w:rPr>
              <w:t>１</w:t>
            </w:r>
            <w:r>
              <w:rPr>
                <w:rFonts w:eastAsia="標楷體" w:hint="eastAsia"/>
                <w:bCs/>
              </w:rPr>
              <w:t>)</w:t>
            </w:r>
            <w:r>
              <w:rPr>
                <w:rFonts w:eastAsia="標楷體" w:hint="eastAsia"/>
                <w:bCs/>
              </w:rPr>
              <w:t>本於維護治安之權責，將持續加強槍枝管制措施，並依治安狀況不定期辦理全國同步肅槍專案，動員全國警力積極查緝各式非法槍械；與各地方政府合力加強查</w:t>
            </w:r>
            <w:r>
              <w:rPr>
                <w:rFonts w:eastAsia="標楷體" w:hint="eastAsia"/>
                <w:bCs/>
              </w:rPr>
              <w:t xml:space="preserve"> </w:t>
            </w:r>
            <w:r>
              <w:rPr>
                <w:rFonts w:eastAsia="標楷體" w:hint="eastAsia"/>
                <w:bCs/>
              </w:rPr>
              <w:t>緝改造槍械場所，落實非法槍枝零件溯源管理，防止不法分子將模擬槍改造為具殺傷力之槍械。</w:t>
            </w:r>
            <w:r>
              <w:rPr>
                <w:rFonts w:eastAsia="標楷體" w:hint="eastAsia"/>
                <w:bCs/>
              </w:rPr>
              <w:t>(</w:t>
            </w:r>
            <w:r>
              <w:rPr>
                <w:rFonts w:eastAsia="標楷體" w:hint="eastAsia"/>
                <w:bCs/>
              </w:rPr>
              <w:t>２邀集相關機關、專家學者研議增訂「模擬槍主要組成零件」公告，並辦理模擬槍主要組成零件報繳作業，以阻斷不法槍枝改造基材之來源。</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２、經濟部：</w:t>
            </w:r>
            <w:r>
              <w:rPr>
                <w:rFonts w:eastAsia="標楷體" w:hint="eastAsia"/>
                <w:bCs/>
              </w:rPr>
              <w:t>(</w:t>
            </w:r>
            <w:r>
              <w:rPr>
                <w:rFonts w:eastAsia="標楷體" w:hint="eastAsia"/>
                <w:bCs/>
              </w:rPr>
              <w:t>１</w:t>
            </w:r>
            <w:r>
              <w:rPr>
                <w:rFonts w:eastAsia="標楷體" w:hint="eastAsia"/>
                <w:bCs/>
              </w:rPr>
              <w:t>)</w:t>
            </w:r>
            <w:r>
              <w:rPr>
                <w:rFonts w:eastAsia="標楷體" w:hint="eastAsia"/>
                <w:bCs/>
              </w:rPr>
              <w:t>經濟部</w:t>
            </w:r>
            <w:r>
              <w:rPr>
                <w:rFonts w:eastAsia="標楷體" w:hint="eastAsia"/>
                <w:bCs/>
              </w:rPr>
              <w:t>(</w:t>
            </w:r>
            <w:r>
              <w:rPr>
                <w:rFonts w:eastAsia="標楷體" w:hint="eastAsia"/>
                <w:bCs/>
              </w:rPr>
              <w:t>產業發展署、商業發展署、標準檢驗局</w:t>
            </w:r>
            <w:r>
              <w:rPr>
                <w:rFonts w:eastAsia="標楷體" w:hint="eastAsia"/>
                <w:bCs/>
              </w:rPr>
              <w:t>)</w:t>
            </w:r>
            <w:r>
              <w:rPr>
                <w:rFonts w:eastAsia="標楷體" w:hint="eastAsia"/>
                <w:bCs/>
              </w:rPr>
              <w:t>持續配合內政部警政署對模擬槍廠商執行不預警查察作業。</w:t>
            </w:r>
            <w:r>
              <w:rPr>
                <w:rFonts w:eastAsia="標楷體" w:hint="eastAsia"/>
                <w:bCs/>
              </w:rPr>
              <w:t>(</w:t>
            </w:r>
            <w:r>
              <w:rPr>
                <w:rFonts w:eastAsia="標楷體" w:hint="eastAsia"/>
                <w:bCs/>
              </w:rPr>
              <w:t>２</w:t>
            </w:r>
            <w:r>
              <w:rPr>
                <w:rFonts w:eastAsia="標楷體" w:hint="eastAsia"/>
                <w:bCs/>
              </w:rPr>
              <w:t>)113</w:t>
            </w:r>
            <w:r>
              <w:rPr>
                <w:rFonts w:eastAsia="標楷體" w:hint="eastAsia"/>
                <w:bCs/>
              </w:rPr>
              <w:t>年</w:t>
            </w:r>
            <w:r>
              <w:rPr>
                <w:rFonts w:eastAsia="標楷體" w:hint="eastAsia"/>
                <w:bCs/>
              </w:rPr>
              <w:t>1</w:t>
            </w:r>
            <w:r>
              <w:rPr>
                <w:rFonts w:eastAsia="標楷體" w:hint="eastAsia"/>
                <w:bCs/>
              </w:rPr>
              <w:t>月</w:t>
            </w:r>
            <w:r>
              <w:rPr>
                <w:rFonts w:eastAsia="標楷體" w:hint="eastAsia"/>
                <w:bCs/>
              </w:rPr>
              <w:t>3</w:t>
            </w:r>
            <w:r>
              <w:rPr>
                <w:rFonts w:eastAsia="標楷體" w:hint="eastAsia"/>
                <w:bCs/>
              </w:rPr>
              <w:t>日總統公布修正槍砲條例，增訂得對槍砲、彈藥製造、儲存販賣場所實施行政檢查，如內政部警政署有其他對模擬槍廠商不預警查察規劃，經濟部將持續配合辦理。</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w:t>
            </w:r>
            <w:r>
              <w:rPr>
                <w:rFonts w:eastAsia="標楷體" w:hint="eastAsia"/>
                <w:bCs/>
              </w:rPr>
              <w:t>二</w:t>
            </w:r>
            <w:r>
              <w:rPr>
                <w:rFonts w:eastAsia="標楷體" w:hint="eastAsia"/>
                <w:bCs/>
              </w:rPr>
              <w:t>)</w:t>
            </w:r>
            <w:r>
              <w:rPr>
                <w:rFonts w:eastAsia="標楷體" w:hint="eastAsia"/>
                <w:bCs/>
              </w:rPr>
              <w:t>關於低動能槍枝進口管制等情部分：</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１、內政部：內政部本於維護治安之權責，將持續督導各邊境警察機關配合財政部關務署，落實將槍枝改造源頭截堵於邊境關口。</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２、財政部：海關依據槍砲條例及「內政部警政署與財政部關務署執行低動能槍枝查驗工作聯繫作業要點」，與內政部警政署航空警察局、保安警察第三總隊及各港務警察總隊等警政機關共同合作。</w:t>
            </w:r>
            <w:r>
              <w:rPr>
                <w:rFonts w:eastAsia="標楷體" w:hint="eastAsia"/>
                <w:bCs/>
              </w:rPr>
              <w:t>(</w:t>
            </w:r>
            <w:r>
              <w:rPr>
                <w:rFonts w:eastAsia="標楷體" w:hint="eastAsia"/>
                <w:bCs/>
              </w:rPr>
              <w:t>１</w:t>
            </w:r>
            <w:r>
              <w:rPr>
                <w:rFonts w:eastAsia="標楷體" w:hint="eastAsia"/>
                <w:bCs/>
              </w:rPr>
              <w:t>)</w:t>
            </w:r>
            <w:r>
              <w:rPr>
                <w:rFonts w:eastAsia="標楷體" w:hint="eastAsia"/>
                <w:bCs/>
              </w:rPr>
              <w:t>全面查驗槍彈及其零件</w:t>
            </w:r>
            <w:r>
              <w:rPr>
                <w:rFonts w:eastAsia="標楷體" w:hint="eastAsia"/>
                <w:bCs/>
              </w:rPr>
              <w:t>(</w:t>
            </w:r>
            <w:r>
              <w:rPr>
                <w:rFonts w:eastAsia="標楷體" w:hint="eastAsia"/>
                <w:bCs/>
              </w:rPr>
              <w:t>２</w:t>
            </w:r>
            <w:r>
              <w:rPr>
                <w:rFonts w:eastAsia="標楷體" w:hint="eastAsia"/>
                <w:bCs/>
              </w:rPr>
              <w:t>)</w:t>
            </w:r>
            <w:r>
              <w:rPr>
                <w:rFonts w:eastAsia="標楷體" w:hint="eastAsia"/>
                <w:bCs/>
              </w:rPr>
              <w:t>建置進出口電子簽審比對系統</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w:t>
            </w:r>
            <w:r>
              <w:rPr>
                <w:rFonts w:eastAsia="標楷體" w:hint="eastAsia"/>
                <w:bCs/>
              </w:rPr>
              <w:t>三</w:t>
            </w:r>
            <w:r>
              <w:rPr>
                <w:rFonts w:eastAsia="標楷體" w:hint="eastAsia"/>
                <w:bCs/>
              </w:rPr>
              <w:t>)</w:t>
            </w:r>
            <w:r>
              <w:rPr>
                <w:rFonts w:eastAsia="標楷體" w:hint="eastAsia"/>
                <w:bCs/>
              </w:rPr>
              <w:t>關於空包彈、廢彈殼改造成非法子彈議題</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內政部研處意見</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lastRenderedPageBreak/>
              <w:t>１、因本次槍砲條例修正新增條文第</w:t>
            </w:r>
            <w:r>
              <w:rPr>
                <w:rFonts w:eastAsia="標楷體" w:hint="eastAsia"/>
                <w:bCs/>
              </w:rPr>
              <w:t>13</w:t>
            </w:r>
            <w:r>
              <w:rPr>
                <w:rFonts w:eastAsia="標楷體" w:hint="eastAsia"/>
                <w:bCs/>
              </w:rPr>
              <w:t>條之</w:t>
            </w:r>
            <w:r>
              <w:rPr>
                <w:rFonts w:eastAsia="標楷體" w:hint="eastAsia"/>
                <w:bCs/>
              </w:rPr>
              <w:t>1</w:t>
            </w:r>
            <w:r>
              <w:rPr>
                <w:rFonts w:eastAsia="標楷體" w:hint="eastAsia"/>
                <w:bCs/>
              </w:rPr>
              <w:t>，將子彈主要組成零件納管，未經許可不得製造、販賣、運輸、轉讓、出租、出借、持有、寄藏或意圖販賣而陳列，違反者將依行為樣態處相對應之刑罰。</w:t>
            </w:r>
            <w:r>
              <w:rPr>
                <w:rFonts w:eastAsia="標楷體" w:hint="eastAsia"/>
                <w:bCs/>
              </w:rPr>
              <w:t xml:space="preserve"> </w:t>
            </w:r>
          </w:p>
          <w:p w:rsidR="00FF343B" w:rsidRPr="0078237E" w:rsidRDefault="007336A7" w:rsidP="00440949">
            <w:pPr>
              <w:spacing w:line="360" w:lineRule="atLeast"/>
              <w:jc w:val="both"/>
              <w:rPr>
                <w:rFonts w:eastAsia="標楷體"/>
                <w:bCs/>
                <w:szCs w:val="28"/>
              </w:rPr>
            </w:pPr>
            <w:r>
              <w:rPr>
                <w:rFonts w:eastAsia="標楷體" w:hint="eastAsia"/>
                <w:bCs/>
              </w:rPr>
              <w:t>２、該部邀集相關機關、專家學者</w:t>
            </w:r>
            <w:proofErr w:type="gramStart"/>
            <w:r>
              <w:rPr>
                <w:rFonts w:eastAsia="標楷體" w:hint="eastAsia"/>
                <w:bCs/>
              </w:rPr>
              <w:t>研</w:t>
            </w:r>
            <w:proofErr w:type="gramEnd"/>
            <w:r>
              <w:rPr>
                <w:rFonts w:eastAsia="標楷體" w:hint="eastAsia"/>
                <w:bCs/>
              </w:rPr>
              <w:t>議修正「槍砲、彈藥主要組成零件材質及種類」公告，將「子彈主要組成零件」納入該公告，規劃制式彈殼、制式彈頭、制式中央底火空包彈及制式中央底火空包彈殼均納入管制。</w:t>
            </w:r>
            <w:r>
              <w:rPr>
                <w:rFonts w:eastAsia="標楷體" w:hint="eastAsia"/>
                <w:bCs/>
              </w:rPr>
              <w:t xml:space="preserve">    </w:t>
            </w:r>
          </w:p>
          <w:p w:rsidR="00FF343B" w:rsidRPr="0078237E" w:rsidRDefault="007336A7" w:rsidP="00EE4FA3">
            <w:pPr>
              <w:spacing w:line="360" w:lineRule="atLeast"/>
              <w:jc w:val="both"/>
              <w:rPr>
                <w:rFonts w:eastAsia="標楷體"/>
                <w:bCs/>
                <w:szCs w:val="28"/>
              </w:rPr>
            </w:pPr>
            <w:r>
              <w:rPr>
                <w:rFonts w:eastAsia="標楷體" w:hint="eastAsia"/>
                <w:bCs/>
              </w:rPr>
              <w:t>綜上，內政部、財政部及經濟部等相關部會對本案調查報告所提出檢討及精進作為，尚能符合本院所提建議要旨。</w:t>
            </w:r>
            <w:r>
              <w:rPr>
                <w:rFonts w:eastAsia="標楷體" w:hint="eastAsia"/>
                <w:bCs/>
              </w:rPr>
              <w:t xml:space="preserve"> </w:t>
            </w:r>
          </w:p>
        </w:tc>
        <w:tc>
          <w:tcPr>
            <w:tcW w:w="1984" w:type="dxa"/>
          </w:tcPr>
          <w:p w:rsidR="00FF343B" w:rsidRDefault="00364021" w:rsidP="00FD1947">
            <w:pPr>
              <w:spacing w:line="360" w:lineRule="atLeast"/>
              <w:jc w:val="both"/>
              <w:rPr>
                <w:rFonts w:eastAsia="標楷體"/>
                <w:bCs/>
                <w:szCs w:val="28"/>
              </w:rPr>
            </w:pPr>
            <w:r>
              <w:rPr>
                <w:rFonts w:ascii="標楷體" w:eastAsia="標楷體" w:hAnsi="標楷體" w:hint="eastAsia"/>
                <w:bCs/>
              </w:rPr>
              <w:lastRenderedPageBreak/>
              <w:t>內政及族群委員會113.02.27第6屆第44次會議決議 : 結案存查。</w:t>
            </w:r>
          </w:p>
        </w:tc>
      </w:tr>
    </w:tbl>
    <w:p w:rsidR="008E6A2A" w:rsidRDefault="008E6A2A" w:rsidP="001C3526">
      <w:pPr>
        <w:snapToGrid w:val="0"/>
        <w:spacing w:beforeLines="100" w:before="360" w:line="240" w:lineRule="atLeast"/>
        <w:ind w:leftChars="6" w:left="866" w:hangingChars="304" w:hanging="852"/>
        <w:rPr>
          <w:rFonts w:eastAsia="標楷體"/>
          <w:b/>
          <w:bCs/>
          <w:sz w:val="28"/>
        </w:rPr>
      </w:pPr>
    </w:p>
    <w:sectPr w:rsidR="008E6A2A" w:rsidSect="00E95086">
      <w:headerReference w:type="default" r:id="rId7"/>
      <w:footerReference w:type="even" r:id="rId8"/>
      <w:footerReference w:type="default" r:id="rId9"/>
      <w:pgSz w:w="16840" w:h="11907" w:orient="landscape" w:code="9"/>
      <w:pgMar w:top="1418" w:right="1418" w:bottom="1418"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0229" w:rsidRDefault="008A0229" w:rsidP="008E6A2A">
      <w:r>
        <w:separator/>
      </w:r>
    </w:p>
  </w:endnote>
  <w:endnote w:type="continuationSeparator" w:id="0">
    <w:p w:rsidR="008A0229" w:rsidRDefault="008A0229" w:rsidP="008E6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Default="00E40263">
    <w:pPr>
      <w:pStyle w:val="a9"/>
      <w:framePr w:wrap="around" w:vAnchor="text" w:hAnchor="margin" w:xAlign="right" w:y="1"/>
      <w:rPr>
        <w:rStyle w:val="aa"/>
      </w:rPr>
    </w:pPr>
    <w:r>
      <w:rPr>
        <w:rStyle w:val="aa"/>
      </w:rPr>
      <w:fldChar w:fldCharType="begin"/>
    </w:r>
    <w:r w:rsidR="008E6A2A">
      <w:rPr>
        <w:rStyle w:val="aa"/>
      </w:rPr>
      <w:instrText xml:space="preserve">PAGE  </w:instrText>
    </w:r>
    <w:r>
      <w:rPr>
        <w:rStyle w:val="aa"/>
      </w:rPr>
      <w:fldChar w:fldCharType="end"/>
    </w:r>
  </w:p>
  <w:p w:rsidR="008E6A2A" w:rsidRDefault="008E6A2A">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6A2A" w:rsidRPr="00530BF4" w:rsidRDefault="00530BF4" w:rsidP="00530BF4">
    <w:pPr>
      <w:pStyle w:val="a9"/>
      <w:tabs>
        <w:tab w:val="clear" w:pos="4153"/>
        <w:tab w:val="clear" w:pos="8306"/>
        <w:tab w:val="center" w:pos="7002"/>
        <w:tab w:val="right" w:pos="14004"/>
      </w:tabs>
      <w:ind w:right="360"/>
      <w:rPr>
        <w:rFonts w:eastAsia="標楷體"/>
      </w:rPr>
    </w:pPr>
    <w:r w:rsidRPr="00530BF4">
      <w:rPr>
        <w:rFonts w:eastAsia="標楷體" w:hint="eastAsia"/>
      </w:rPr>
      <w:t>報表編號：</w:t>
    </w:r>
    <w:r w:rsidRPr="00530BF4">
      <w:rPr>
        <w:rFonts w:eastAsia="標楷體" w:hint="eastAsia"/>
      </w:rPr>
      <w:t>L0607</w:t>
    </w:r>
    <w:r w:rsidRPr="00530BF4">
      <w:rPr>
        <w:rFonts w:eastAsia="標楷體" w:hint="eastAsia"/>
      </w:rPr>
      <w:tab/>
    </w:r>
    <w:r w:rsidRPr="00530BF4">
      <w:rPr>
        <w:rFonts w:eastAsia="標楷體" w:hint="eastAsia"/>
      </w:rPr>
      <w:t>第</w:t>
    </w:r>
    <w:r w:rsidR="00E40263" w:rsidRPr="00530BF4">
      <w:rPr>
        <w:rFonts w:eastAsia="標楷體"/>
      </w:rPr>
      <w:fldChar w:fldCharType="begin"/>
    </w:r>
    <w:r w:rsidRPr="00530BF4">
      <w:rPr>
        <w:rFonts w:eastAsia="標楷體"/>
      </w:rPr>
      <w:instrText xml:space="preserve"> PAGE   \* MERGEFORMAT </w:instrText>
    </w:r>
    <w:r w:rsidR="00E40263" w:rsidRPr="00530BF4">
      <w:rPr>
        <w:rFonts w:eastAsia="標楷體"/>
      </w:rPr>
      <w:fldChar w:fldCharType="separate"/>
    </w:r>
    <w:r w:rsidR="002551AA">
      <w:rPr>
        <w:rFonts w:eastAsia="標楷體"/>
        <w:noProof/>
      </w:rPr>
      <w:t>1</w:t>
    </w:r>
    <w:r w:rsidR="00E40263" w:rsidRPr="00530BF4">
      <w:rPr>
        <w:rFonts w:eastAsia="標楷體"/>
      </w:rPr>
      <w:fldChar w:fldCharType="end"/>
    </w:r>
    <w:r w:rsidRPr="00530BF4">
      <w:rPr>
        <w:rFonts w:eastAsia="標楷體" w:hint="eastAsia"/>
      </w:rPr>
      <w:t>頁，共</w:t>
    </w:r>
    <w:fldSimple w:instr=" NUMPAGES  \* Arabic  \* MERGEFORMAT ">
      <w:r w:rsidR="002551AA" w:rsidRPr="002551AA">
        <w:rPr>
          <w:rFonts w:eastAsia="標楷體"/>
          <w:noProof/>
        </w:rPr>
        <w:t>1</w:t>
      </w:r>
    </w:fldSimple>
    <w:r w:rsidRPr="00530BF4">
      <w:rPr>
        <w:rFonts w:eastAsia="標楷體" w:hint="eastAsia"/>
      </w:rPr>
      <w:t>頁</w:t>
    </w:r>
    <w:r w:rsidRPr="00530BF4">
      <w:rPr>
        <w:rFonts w:eastAsia="標楷體" w:hint="eastAsia"/>
      </w:rPr>
      <w:tab/>
    </w:r>
    <w:r w:rsidRPr="00530BF4">
      <w:rPr>
        <w:rFonts w:eastAsia="標楷體" w:hint="eastAsia"/>
      </w:rPr>
      <w:t>製表日期：</w:t>
    </w:r>
    <w:r w:rsidRPr="00530BF4">
      <w:rPr>
        <w:rFonts w:eastAsia="標楷體" w:hint="eastAsia"/>
      </w:rPr>
      <w:t>113/02/29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0229" w:rsidRDefault="008A0229" w:rsidP="008E6A2A">
      <w:r>
        <w:separator/>
      </w:r>
    </w:p>
  </w:footnote>
  <w:footnote w:type="continuationSeparator" w:id="0">
    <w:p w:rsidR="008A0229" w:rsidRDefault="008A0229" w:rsidP="008E6A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519" w:rsidRDefault="008E6A2A" w:rsidP="002551AA">
    <w:pPr>
      <w:pStyle w:val="ab"/>
      <w:spacing w:beforeLines="120" w:before="288"/>
      <w:jc w:val="center"/>
      <w:rPr>
        <w:rFonts w:eastAsia="標楷體"/>
        <w:b/>
        <w:bCs/>
        <w:sz w:val="40"/>
      </w:rPr>
    </w:pPr>
    <w:bookmarkStart w:id="1" w:name="OLE_LINK1"/>
    <w:r>
      <w:rPr>
        <w:rFonts w:eastAsia="標楷體" w:hint="eastAsia"/>
        <w:b/>
        <w:bCs/>
        <w:sz w:val="40"/>
      </w:rPr>
      <w:t>監察院內政及族群委員會調查報告結案情形一覽表</w:t>
    </w:r>
  </w:p>
  <w:bookmarkEnd w:id="1"/>
  <w:p w:rsidR="008E6A2A" w:rsidRPr="00BF6519" w:rsidRDefault="008E6A2A" w:rsidP="002551AA">
    <w:pPr>
      <w:pStyle w:val="ab"/>
      <w:spacing w:beforeLines="120" w:before="288" w:line="240" w:lineRule="exact"/>
      <w:jc w:val="right"/>
      <w:rPr>
        <w:rFonts w:ascii="標楷體" w:eastAsia="標楷體" w:hAnsi="標楷體"/>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3CA"/>
    <w:multiLevelType w:val="hybridMultilevel"/>
    <w:tmpl w:val="9EF81C50"/>
    <w:lvl w:ilvl="0" w:tplc="82126094">
      <w:start w:val="1"/>
      <w:numFmt w:val="decimal"/>
      <w:lvlText w:val="%1."/>
      <w:lvlJc w:val="left"/>
      <w:pPr>
        <w:tabs>
          <w:tab w:val="num" w:pos="2120"/>
        </w:tabs>
        <w:ind w:left="2120" w:hanging="840"/>
      </w:pPr>
      <w:rPr>
        <w:rFonts w:hint="eastAsia"/>
      </w:rPr>
    </w:lvl>
    <w:lvl w:ilvl="1" w:tplc="04090019" w:tentative="1">
      <w:start w:val="1"/>
      <w:numFmt w:val="ideographTraditional"/>
      <w:lvlText w:val="%2、"/>
      <w:lvlJc w:val="left"/>
      <w:pPr>
        <w:tabs>
          <w:tab w:val="num" w:pos="2240"/>
        </w:tabs>
        <w:ind w:left="2240" w:hanging="480"/>
      </w:pPr>
    </w:lvl>
    <w:lvl w:ilvl="2" w:tplc="0409001B" w:tentative="1">
      <w:start w:val="1"/>
      <w:numFmt w:val="lowerRoman"/>
      <w:lvlText w:val="%3."/>
      <w:lvlJc w:val="right"/>
      <w:pPr>
        <w:tabs>
          <w:tab w:val="num" w:pos="2720"/>
        </w:tabs>
        <w:ind w:left="2720" w:hanging="480"/>
      </w:pPr>
    </w:lvl>
    <w:lvl w:ilvl="3" w:tplc="0409000F" w:tentative="1">
      <w:start w:val="1"/>
      <w:numFmt w:val="decimal"/>
      <w:lvlText w:val="%4."/>
      <w:lvlJc w:val="left"/>
      <w:pPr>
        <w:tabs>
          <w:tab w:val="num" w:pos="3200"/>
        </w:tabs>
        <w:ind w:left="3200" w:hanging="480"/>
      </w:pPr>
    </w:lvl>
    <w:lvl w:ilvl="4" w:tplc="04090019" w:tentative="1">
      <w:start w:val="1"/>
      <w:numFmt w:val="ideographTraditional"/>
      <w:lvlText w:val="%5、"/>
      <w:lvlJc w:val="left"/>
      <w:pPr>
        <w:tabs>
          <w:tab w:val="num" w:pos="3680"/>
        </w:tabs>
        <w:ind w:left="3680" w:hanging="480"/>
      </w:pPr>
    </w:lvl>
    <w:lvl w:ilvl="5" w:tplc="0409001B" w:tentative="1">
      <w:start w:val="1"/>
      <w:numFmt w:val="lowerRoman"/>
      <w:lvlText w:val="%6."/>
      <w:lvlJc w:val="right"/>
      <w:pPr>
        <w:tabs>
          <w:tab w:val="num" w:pos="4160"/>
        </w:tabs>
        <w:ind w:left="4160" w:hanging="480"/>
      </w:pPr>
    </w:lvl>
    <w:lvl w:ilvl="6" w:tplc="0409000F" w:tentative="1">
      <w:start w:val="1"/>
      <w:numFmt w:val="decimal"/>
      <w:lvlText w:val="%7."/>
      <w:lvlJc w:val="left"/>
      <w:pPr>
        <w:tabs>
          <w:tab w:val="num" w:pos="4640"/>
        </w:tabs>
        <w:ind w:left="4640" w:hanging="480"/>
      </w:pPr>
    </w:lvl>
    <w:lvl w:ilvl="7" w:tplc="04090019" w:tentative="1">
      <w:start w:val="1"/>
      <w:numFmt w:val="ideographTraditional"/>
      <w:lvlText w:val="%8、"/>
      <w:lvlJc w:val="left"/>
      <w:pPr>
        <w:tabs>
          <w:tab w:val="num" w:pos="5120"/>
        </w:tabs>
        <w:ind w:left="5120" w:hanging="480"/>
      </w:pPr>
    </w:lvl>
    <w:lvl w:ilvl="8" w:tplc="0409001B" w:tentative="1">
      <w:start w:val="1"/>
      <w:numFmt w:val="lowerRoman"/>
      <w:lvlText w:val="%9."/>
      <w:lvlJc w:val="right"/>
      <w:pPr>
        <w:tabs>
          <w:tab w:val="num" w:pos="5600"/>
        </w:tabs>
        <w:ind w:left="5600" w:hanging="480"/>
      </w:pPr>
    </w:lvl>
  </w:abstractNum>
  <w:abstractNum w:abstractNumId="1" w15:restartNumberingAfterBreak="0">
    <w:nsid w:val="048B68F4"/>
    <w:multiLevelType w:val="hybridMultilevel"/>
    <w:tmpl w:val="E60AB688"/>
    <w:lvl w:ilvl="0" w:tplc="43E8AD3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7742D7"/>
    <w:multiLevelType w:val="hybridMultilevel"/>
    <w:tmpl w:val="237E18CA"/>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B56071"/>
    <w:multiLevelType w:val="hybridMultilevel"/>
    <w:tmpl w:val="376EDB66"/>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F8469A8"/>
    <w:multiLevelType w:val="hybridMultilevel"/>
    <w:tmpl w:val="1D1C2A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0E010C"/>
    <w:multiLevelType w:val="multilevel"/>
    <w:tmpl w:val="F4CCF220"/>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5"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6" w15:restartNumberingAfterBreak="0">
    <w:nsid w:val="1EA258FA"/>
    <w:multiLevelType w:val="hybridMultilevel"/>
    <w:tmpl w:val="B13CD934"/>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3693CB5"/>
    <w:multiLevelType w:val="hybridMultilevel"/>
    <w:tmpl w:val="3B7EAF7C"/>
    <w:lvl w:ilvl="0" w:tplc="66D0B39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D63EF9"/>
    <w:multiLevelType w:val="hybridMultilevel"/>
    <w:tmpl w:val="717C36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D0D0113"/>
    <w:multiLevelType w:val="hybridMultilevel"/>
    <w:tmpl w:val="BF36096A"/>
    <w:lvl w:ilvl="0" w:tplc="AC5AAAD0">
      <w:start w:val="1"/>
      <w:numFmt w:val="taiwaneseCountingThousand"/>
      <w:lvlText w:val="%1、"/>
      <w:lvlJc w:val="left"/>
      <w:pPr>
        <w:ind w:left="420" w:hanging="4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5D593A"/>
    <w:multiLevelType w:val="hybridMultilevel"/>
    <w:tmpl w:val="9AB45D32"/>
    <w:lvl w:ilvl="0" w:tplc="93DE43A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5F2C2C"/>
    <w:multiLevelType w:val="hybridMultilevel"/>
    <w:tmpl w:val="D186965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46B562C8"/>
    <w:multiLevelType w:val="hybridMultilevel"/>
    <w:tmpl w:val="C7B62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FA2E65"/>
    <w:multiLevelType w:val="hybridMultilevel"/>
    <w:tmpl w:val="594E6F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9F33A0C"/>
    <w:multiLevelType w:val="hybridMultilevel"/>
    <w:tmpl w:val="4334B1CE"/>
    <w:lvl w:ilvl="0" w:tplc="BABA2504">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D370EA"/>
    <w:multiLevelType w:val="singleLevel"/>
    <w:tmpl w:val="0122E9BC"/>
    <w:lvl w:ilvl="0">
      <w:start w:val="1"/>
      <w:numFmt w:val="taiwaneseCountingThousand"/>
      <w:lvlText w:val="%1、"/>
      <w:lvlJc w:val="left"/>
      <w:pPr>
        <w:tabs>
          <w:tab w:val="num" w:pos="1200"/>
        </w:tabs>
        <w:ind w:left="1200" w:hanging="480"/>
      </w:pPr>
      <w:rPr>
        <w:rFonts w:hint="eastAsia"/>
      </w:rPr>
    </w:lvl>
  </w:abstractNum>
  <w:abstractNum w:abstractNumId="16" w15:restartNumberingAfterBreak="0">
    <w:nsid w:val="52E310EA"/>
    <w:multiLevelType w:val="hybridMultilevel"/>
    <w:tmpl w:val="C5A293E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7634B26"/>
    <w:multiLevelType w:val="hybridMultilevel"/>
    <w:tmpl w:val="88B4E6DC"/>
    <w:lvl w:ilvl="0" w:tplc="0409000F">
      <w:start w:val="1"/>
      <w:numFmt w:val="decimal"/>
      <w:lvlText w:val="%1."/>
      <w:lvlJc w:val="left"/>
      <w:pPr>
        <w:ind w:left="766" w:hanging="480"/>
      </w:p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18" w15:restartNumberingAfterBreak="0">
    <w:nsid w:val="5784317F"/>
    <w:multiLevelType w:val="hybridMultilevel"/>
    <w:tmpl w:val="01ECFD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CE56F9"/>
    <w:multiLevelType w:val="hybridMultilevel"/>
    <w:tmpl w:val="C1846000"/>
    <w:lvl w:ilvl="0" w:tplc="CAC0AB56">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B3767BF"/>
    <w:multiLevelType w:val="hybridMultilevel"/>
    <w:tmpl w:val="9160A9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D0069D4"/>
    <w:multiLevelType w:val="hybridMultilevel"/>
    <w:tmpl w:val="409E5E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155C2D"/>
    <w:multiLevelType w:val="hybridMultilevel"/>
    <w:tmpl w:val="DF94D388"/>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839648C"/>
    <w:multiLevelType w:val="hybridMultilevel"/>
    <w:tmpl w:val="1576BF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0649B2"/>
    <w:multiLevelType w:val="hybridMultilevel"/>
    <w:tmpl w:val="9894D2E4"/>
    <w:lvl w:ilvl="0" w:tplc="156C5586">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7F6FB7"/>
    <w:multiLevelType w:val="hybridMultilevel"/>
    <w:tmpl w:val="7B0E2F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E4273C9"/>
    <w:multiLevelType w:val="hybridMultilevel"/>
    <w:tmpl w:val="7D301548"/>
    <w:lvl w:ilvl="0" w:tplc="A0DE036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F7E4D33"/>
    <w:multiLevelType w:val="hybridMultilevel"/>
    <w:tmpl w:val="A0B83530"/>
    <w:lvl w:ilvl="0" w:tplc="4704EB76">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5"/>
  </w:num>
  <w:num w:numId="3">
    <w:abstractNumId w:val="1"/>
  </w:num>
  <w:num w:numId="4">
    <w:abstractNumId w:val="0"/>
  </w:num>
  <w:num w:numId="5">
    <w:abstractNumId w:val="23"/>
  </w:num>
  <w:num w:numId="6">
    <w:abstractNumId w:val="27"/>
  </w:num>
  <w:num w:numId="7">
    <w:abstractNumId w:val="22"/>
  </w:num>
  <w:num w:numId="8">
    <w:abstractNumId w:val="2"/>
  </w:num>
  <w:num w:numId="9">
    <w:abstractNumId w:val="6"/>
  </w:num>
  <w:num w:numId="10">
    <w:abstractNumId w:val="24"/>
  </w:num>
  <w:num w:numId="11">
    <w:abstractNumId w:val="13"/>
  </w:num>
  <w:num w:numId="12">
    <w:abstractNumId w:val="21"/>
  </w:num>
  <w:num w:numId="13">
    <w:abstractNumId w:val="8"/>
  </w:num>
  <w:num w:numId="14">
    <w:abstractNumId w:val="17"/>
  </w:num>
  <w:num w:numId="15">
    <w:abstractNumId w:val="11"/>
  </w:num>
  <w:num w:numId="16">
    <w:abstractNumId w:val="12"/>
  </w:num>
  <w:num w:numId="17">
    <w:abstractNumId w:val="25"/>
  </w:num>
  <w:num w:numId="18">
    <w:abstractNumId w:val="9"/>
  </w:num>
  <w:num w:numId="19">
    <w:abstractNumId w:val="16"/>
  </w:num>
  <w:num w:numId="20">
    <w:abstractNumId w:val="3"/>
  </w:num>
  <w:num w:numId="21">
    <w:abstractNumId w:val="20"/>
  </w:num>
  <w:num w:numId="22">
    <w:abstractNumId w:val="18"/>
  </w:num>
  <w:num w:numId="23">
    <w:abstractNumId w:val="7"/>
  </w:num>
  <w:num w:numId="24">
    <w:abstractNumId w:val="14"/>
  </w:num>
  <w:num w:numId="25">
    <w:abstractNumId w:val="19"/>
  </w:num>
  <w:num w:numId="26">
    <w:abstractNumId w:val="10"/>
  </w:num>
  <w:num w:numId="27">
    <w:abstractNumId w:val="26"/>
  </w:num>
  <w:num w:numId="2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oNotHyphenateCaps/>
  <w:drawingGridHorizontalSpacing w:val="120"/>
  <w:displayHorizontalDrawingGridEvery w:val="0"/>
  <w:displayVerticalDrawingGridEvery w:val="2"/>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86"/>
    <w:rsid w:val="000000E9"/>
    <w:rsid w:val="00012735"/>
    <w:rsid w:val="000A03B4"/>
    <w:rsid w:val="000B3010"/>
    <w:rsid w:val="000D173D"/>
    <w:rsid w:val="000D2F33"/>
    <w:rsid w:val="00107F76"/>
    <w:rsid w:val="00116C5C"/>
    <w:rsid w:val="00132E54"/>
    <w:rsid w:val="00135D2D"/>
    <w:rsid w:val="001A630D"/>
    <w:rsid w:val="001C2DB1"/>
    <w:rsid w:val="001C2FC4"/>
    <w:rsid w:val="001C3526"/>
    <w:rsid w:val="001F18D3"/>
    <w:rsid w:val="00203463"/>
    <w:rsid w:val="00252754"/>
    <w:rsid w:val="002551AA"/>
    <w:rsid w:val="00286BEE"/>
    <w:rsid w:val="00294BC3"/>
    <w:rsid w:val="002A41AF"/>
    <w:rsid w:val="002B00F5"/>
    <w:rsid w:val="00300EAE"/>
    <w:rsid w:val="00311E45"/>
    <w:rsid w:val="00323CED"/>
    <w:rsid w:val="00335C31"/>
    <w:rsid w:val="003571B8"/>
    <w:rsid w:val="00364021"/>
    <w:rsid w:val="0036733D"/>
    <w:rsid w:val="00382559"/>
    <w:rsid w:val="00382907"/>
    <w:rsid w:val="003927F4"/>
    <w:rsid w:val="003969C9"/>
    <w:rsid w:val="003D263F"/>
    <w:rsid w:val="003E3F37"/>
    <w:rsid w:val="003F4B49"/>
    <w:rsid w:val="0040231B"/>
    <w:rsid w:val="00404F55"/>
    <w:rsid w:val="00440949"/>
    <w:rsid w:val="00456CC2"/>
    <w:rsid w:val="00460450"/>
    <w:rsid w:val="00464371"/>
    <w:rsid w:val="00480207"/>
    <w:rsid w:val="00484F8A"/>
    <w:rsid w:val="0049741B"/>
    <w:rsid w:val="004A3E81"/>
    <w:rsid w:val="004A60C4"/>
    <w:rsid w:val="004B3C60"/>
    <w:rsid w:val="004D23FF"/>
    <w:rsid w:val="0050205F"/>
    <w:rsid w:val="00504CF5"/>
    <w:rsid w:val="00505F02"/>
    <w:rsid w:val="005245A8"/>
    <w:rsid w:val="00530BF4"/>
    <w:rsid w:val="00550E1F"/>
    <w:rsid w:val="00584FFF"/>
    <w:rsid w:val="005A2C83"/>
    <w:rsid w:val="005D55B3"/>
    <w:rsid w:val="006051B8"/>
    <w:rsid w:val="00605E93"/>
    <w:rsid w:val="00615817"/>
    <w:rsid w:val="006305BF"/>
    <w:rsid w:val="00662B6A"/>
    <w:rsid w:val="006B1797"/>
    <w:rsid w:val="006C264B"/>
    <w:rsid w:val="007032D2"/>
    <w:rsid w:val="00720393"/>
    <w:rsid w:val="007336A7"/>
    <w:rsid w:val="0078237E"/>
    <w:rsid w:val="00782BFE"/>
    <w:rsid w:val="00840E6E"/>
    <w:rsid w:val="00842B98"/>
    <w:rsid w:val="00851BF4"/>
    <w:rsid w:val="00851E63"/>
    <w:rsid w:val="00866C3B"/>
    <w:rsid w:val="008676B9"/>
    <w:rsid w:val="00872D71"/>
    <w:rsid w:val="00876606"/>
    <w:rsid w:val="00897D01"/>
    <w:rsid w:val="008A0229"/>
    <w:rsid w:val="008A3D0E"/>
    <w:rsid w:val="008A7EFF"/>
    <w:rsid w:val="008C6961"/>
    <w:rsid w:val="008E6A2A"/>
    <w:rsid w:val="008F1D41"/>
    <w:rsid w:val="009038BA"/>
    <w:rsid w:val="00911C3F"/>
    <w:rsid w:val="00911FB8"/>
    <w:rsid w:val="0094299B"/>
    <w:rsid w:val="0095652A"/>
    <w:rsid w:val="00965E53"/>
    <w:rsid w:val="0096785A"/>
    <w:rsid w:val="00984A86"/>
    <w:rsid w:val="00995389"/>
    <w:rsid w:val="00997EEA"/>
    <w:rsid w:val="009A1B2D"/>
    <w:rsid w:val="009A313F"/>
    <w:rsid w:val="009C1C19"/>
    <w:rsid w:val="009E4A13"/>
    <w:rsid w:val="009E6993"/>
    <w:rsid w:val="009F00F5"/>
    <w:rsid w:val="009F7F28"/>
    <w:rsid w:val="00A004DD"/>
    <w:rsid w:val="00A20EDD"/>
    <w:rsid w:val="00A275CD"/>
    <w:rsid w:val="00A37697"/>
    <w:rsid w:val="00A40DAA"/>
    <w:rsid w:val="00A712A6"/>
    <w:rsid w:val="00A9424B"/>
    <w:rsid w:val="00AB71AC"/>
    <w:rsid w:val="00AB7B64"/>
    <w:rsid w:val="00AD17AD"/>
    <w:rsid w:val="00AD34E8"/>
    <w:rsid w:val="00AE59BC"/>
    <w:rsid w:val="00AF0811"/>
    <w:rsid w:val="00AF38BC"/>
    <w:rsid w:val="00B1548D"/>
    <w:rsid w:val="00B20AC7"/>
    <w:rsid w:val="00B24DA2"/>
    <w:rsid w:val="00B46BE2"/>
    <w:rsid w:val="00B55C6A"/>
    <w:rsid w:val="00B634E3"/>
    <w:rsid w:val="00B636B4"/>
    <w:rsid w:val="00B80D60"/>
    <w:rsid w:val="00BB1798"/>
    <w:rsid w:val="00BD120E"/>
    <w:rsid w:val="00BD27F2"/>
    <w:rsid w:val="00BD5F7B"/>
    <w:rsid w:val="00BE479E"/>
    <w:rsid w:val="00BF6519"/>
    <w:rsid w:val="00C06893"/>
    <w:rsid w:val="00C20C4F"/>
    <w:rsid w:val="00C318D0"/>
    <w:rsid w:val="00C4036E"/>
    <w:rsid w:val="00C6169B"/>
    <w:rsid w:val="00C72582"/>
    <w:rsid w:val="00C744B1"/>
    <w:rsid w:val="00CB2E8C"/>
    <w:rsid w:val="00CC2941"/>
    <w:rsid w:val="00CC4AAE"/>
    <w:rsid w:val="00CD3A33"/>
    <w:rsid w:val="00D064A0"/>
    <w:rsid w:val="00D27C46"/>
    <w:rsid w:val="00D47D4D"/>
    <w:rsid w:val="00D76EC1"/>
    <w:rsid w:val="00D87FA8"/>
    <w:rsid w:val="00D97F24"/>
    <w:rsid w:val="00DA6DB5"/>
    <w:rsid w:val="00DD0571"/>
    <w:rsid w:val="00E177C9"/>
    <w:rsid w:val="00E40263"/>
    <w:rsid w:val="00E84CC0"/>
    <w:rsid w:val="00E92538"/>
    <w:rsid w:val="00E93223"/>
    <w:rsid w:val="00E95086"/>
    <w:rsid w:val="00ED5BEB"/>
    <w:rsid w:val="00EE1FB2"/>
    <w:rsid w:val="00EE3734"/>
    <w:rsid w:val="00EE4FA3"/>
    <w:rsid w:val="00F041B1"/>
    <w:rsid w:val="00F9537C"/>
    <w:rsid w:val="00F96995"/>
    <w:rsid w:val="00FD1947"/>
    <w:rsid w:val="00FF34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C1088C-8036-433D-B9D6-1D318D61E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B20AC7"/>
    <w:pPr>
      <w:widowControl w:val="0"/>
    </w:pPr>
    <w:rPr>
      <w:kern w:val="2"/>
      <w:sz w:val="24"/>
      <w:szCs w:val="24"/>
    </w:rPr>
  </w:style>
  <w:style w:type="paragraph" w:styleId="1">
    <w:name w:val="heading 1"/>
    <w:basedOn w:val="a"/>
    <w:next w:val="a"/>
    <w:qFormat/>
    <w:rsid w:val="00B20AC7"/>
    <w:pPr>
      <w:numPr>
        <w:numId w:val="2"/>
      </w:numPr>
      <w:kinsoku w:val="0"/>
      <w:jc w:val="both"/>
      <w:outlineLvl w:val="0"/>
    </w:pPr>
    <w:rPr>
      <w:rFonts w:ascii="標楷體" w:eastAsia="標楷體" w:hAnsi="Arial"/>
      <w:bCs/>
      <w:kern w:val="0"/>
      <w:sz w:val="32"/>
      <w:szCs w:val="52"/>
    </w:rPr>
  </w:style>
  <w:style w:type="paragraph" w:styleId="2">
    <w:name w:val="heading 2"/>
    <w:basedOn w:val="a"/>
    <w:next w:val="a"/>
    <w:qFormat/>
    <w:rsid w:val="00B20AC7"/>
    <w:pPr>
      <w:numPr>
        <w:ilvl w:val="1"/>
        <w:numId w:val="2"/>
      </w:numPr>
      <w:jc w:val="both"/>
      <w:outlineLvl w:val="1"/>
    </w:pPr>
    <w:rPr>
      <w:rFonts w:ascii="標楷體" w:eastAsia="標楷體" w:hAnsi="Arial"/>
      <w:bCs/>
      <w:kern w:val="0"/>
      <w:sz w:val="32"/>
      <w:szCs w:val="48"/>
    </w:rPr>
  </w:style>
  <w:style w:type="paragraph" w:styleId="3">
    <w:name w:val="heading 3"/>
    <w:basedOn w:val="a"/>
    <w:next w:val="a"/>
    <w:qFormat/>
    <w:rsid w:val="00B20AC7"/>
    <w:pPr>
      <w:numPr>
        <w:ilvl w:val="2"/>
        <w:numId w:val="2"/>
      </w:numPr>
      <w:jc w:val="both"/>
      <w:outlineLvl w:val="2"/>
    </w:pPr>
    <w:rPr>
      <w:rFonts w:ascii="標楷體" w:eastAsia="標楷體" w:hAnsi="Arial"/>
      <w:bCs/>
      <w:kern w:val="0"/>
      <w:sz w:val="32"/>
      <w:szCs w:val="36"/>
    </w:rPr>
  </w:style>
  <w:style w:type="paragraph" w:styleId="4">
    <w:name w:val="heading 4"/>
    <w:basedOn w:val="a"/>
    <w:next w:val="a"/>
    <w:qFormat/>
    <w:rsid w:val="00B20AC7"/>
    <w:pPr>
      <w:numPr>
        <w:ilvl w:val="3"/>
        <w:numId w:val="2"/>
      </w:numPr>
      <w:jc w:val="both"/>
      <w:outlineLvl w:val="3"/>
    </w:pPr>
    <w:rPr>
      <w:rFonts w:ascii="標楷體" w:eastAsia="標楷體" w:hAnsi="Arial"/>
      <w:sz w:val="32"/>
      <w:szCs w:val="36"/>
    </w:rPr>
  </w:style>
  <w:style w:type="paragraph" w:styleId="5">
    <w:name w:val="heading 5"/>
    <w:basedOn w:val="a"/>
    <w:next w:val="a"/>
    <w:qFormat/>
    <w:rsid w:val="00B20AC7"/>
    <w:pPr>
      <w:numPr>
        <w:ilvl w:val="4"/>
        <w:numId w:val="2"/>
      </w:numPr>
      <w:jc w:val="both"/>
      <w:outlineLvl w:val="4"/>
    </w:pPr>
    <w:rPr>
      <w:rFonts w:ascii="標楷體" w:eastAsia="標楷體" w:hAnsi="Arial"/>
      <w:bCs/>
      <w:sz w:val="32"/>
      <w:szCs w:val="36"/>
    </w:rPr>
  </w:style>
  <w:style w:type="paragraph" w:styleId="6">
    <w:name w:val="heading 6"/>
    <w:basedOn w:val="a"/>
    <w:next w:val="a"/>
    <w:qFormat/>
    <w:rsid w:val="00B20AC7"/>
    <w:pPr>
      <w:numPr>
        <w:ilvl w:val="5"/>
        <w:numId w:val="2"/>
      </w:numPr>
      <w:tabs>
        <w:tab w:val="left" w:pos="2094"/>
      </w:tabs>
      <w:jc w:val="both"/>
      <w:outlineLvl w:val="5"/>
    </w:pPr>
    <w:rPr>
      <w:rFonts w:ascii="標楷體" w:eastAsia="標楷體" w:hAnsi="Arial"/>
      <w:sz w:val="32"/>
      <w:szCs w:val="36"/>
    </w:rPr>
  </w:style>
  <w:style w:type="paragraph" w:styleId="7">
    <w:name w:val="heading 7"/>
    <w:basedOn w:val="a"/>
    <w:next w:val="a"/>
    <w:qFormat/>
    <w:rsid w:val="00B20AC7"/>
    <w:pPr>
      <w:numPr>
        <w:ilvl w:val="6"/>
        <w:numId w:val="2"/>
      </w:numPr>
      <w:jc w:val="both"/>
      <w:outlineLvl w:val="6"/>
    </w:pPr>
    <w:rPr>
      <w:rFonts w:ascii="標楷體" w:eastAsia="標楷體" w:hAnsi="Arial"/>
      <w:bCs/>
      <w:sz w:val="32"/>
      <w:szCs w:val="36"/>
    </w:rPr>
  </w:style>
  <w:style w:type="paragraph" w:styleId="8">
    <w:name w:val="heading 8"/>
    <w:basedOn w:val="a"/>
    <w:next w:val="a"/>
    <w:qFormat/>
    <w:rsid w:val="00B20AC7"/>
    <w:pPr>
      <w:numPr>
        <w:ilvl w:val="7"/>
        <w:numId w:val="2"/>
      </w:numPr>
      <w:jc w:val="both"/>
      <w:outlineLvl w:val="7"/>
    </w:pPr>
    <w:rPr>
      <w:rFonts w:ascii="標楷體" w:eastAsia="標楷體" w:hAnsi="Arial"/>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20AC7"/>
    <w:pPr>
      <w:spacing w:line="240" w:lineRule="atLeast"/>
      <w:jc w:val="both"/>
    </w:pPr>
    <w:rPr>
      <w:rFonts w:eastAsia="標楷體"/>
      <w:sz w:val="28"/>
      <w:szCs w:val="28"/>
    </w:rPr>
  </w:style>
  <w:style w:type="paragraph" w:styleId="20">
    <w:name w:val="Body Text Indent 2"/>
    <w:basedOn w:val="a"/>
    <w:rsid w:val="00B20AC7"/>
    <w:pPr>
      <w:ind w:leftChars="173" w:left="390" w:hangingChars="6" w:hanging="13"/>
      <w:jc w:val="both"/>
    </w:pPr>
    <w:rPr>
      <w:rFonts w:ascii="標楷體" w:eastAsia="標楷體"/>
    </w:rPr>
  </w:style>
  <w:style w:type="paragraph" w:styleId="30">
    <w:name w:val="Body Text Indent 3"/>
    <w:basedOn w:val="a"/>
    <w:rsid w:val="00B20AC7"/>
    <w:pPr>
      <w:spacing w:line="240" w:lineRule="atLeast"/>
      <w:ind w:leftChars="161" w:left="351" w:firstLineChars="51" w:firstLine="111"/>
    </w:pPr>
    <w:rPr>
      <w:rFonts w:ascii="標楷體" w:eastAsia="標楷體"/>
    </w:rPr>
  </w:style>
  <w:style w:type="paragraph" w:styleId="a4">
    <w:name w:val="Body Text Indent"/>
    <w:basedOn w:val="a"/>
    <w:rsid w:val="00B20AC7"/>
    <w:pPr>
      <w:ind w:left="280" w:hangingChars="100" w:hanging="280"/>
    </w:pPr>
    <w:rPr>
      <w:rFonts w:ascii="標楷體" w:eastAsia="標楷體"/>
      <w:sz w:val="28"/>
      <w:szCs w:val="28"/>
    </w:rPr>
  </w:style>
  <w:style w:type="paragraph" w:styleId="21">
    <w:name w:val="Body Text 2"/>
    <w:basedOn w:val="a"/>
    <w:rsid w:val="00B20AC7"/>
    <w:pPr>
      <w:spacing w:line="240" w:lineRule="atLeast"/>
      <w:jc w:val="both"/>
    </w:pPr>
    <w:rPr>
      <w:rFonts w:ascii="標楷體" w:eastAsia="標楷體"/>
      <w:b/>
      <w:sz w:val="28"/>
    </w:rPr>
  </w:style>
  <w:style w:type="paragraph" w:styleId="a5">
    <w:name w:val="Plain Text"/>
    <w:basedOn w:val="a"/>
    <w:rsid w:val="00B20AC7"/>
    <w:rPr>
      <w:rFonts w:ascii="細明體" w:eastAsia="細明體" w:hAnsi="Courier New" w:cs="Courier New"/>
    </w:rPr>
  </w:style>
  <w:style w:type="paragraph" w:styleId="a6">
    <w:name w:val="annotation text"/>
    <w:basedOn w:val="a"/>
    <w:link w:val="a7"/>
    <w:rsid w:val="00B20AC7"/>
    <w:pPr>
      <w:adjustRightInd w:val="0"/>
      <w:spacing w:line="360" w:lineRule="exact"/>
      <w:textAlignment w:val="baseline"/>
    </w:pPr>
    <w:rPr>
      <w:rFonts w:eastAsia="細明體"/>
      <w:kern w:val="0"/>
      <w:szCs w:val="20"/>
    </w:rPr>
  </w:style>
  <w:style w:type="paragraph" w:styleId="a8">
    <w:name w:val="Block Text"/>
    <w:basedOn w:val="a"/>
    <w:rsid w:val="00B20AC7"/>
    <w:pPr>
      <w:spacing w:line="300" w:lineRule="exact"/>
      <w:ind w:leftChars="100" w:left="530" w:right="57" w:hangingChars="121" w:hanging="290"/>
      <w:jc w:val="both"/>
    </w:pPr>
    <w:rPr>
      <w:rFonts w:eastAsia="標楷體"/>
    </w:rPr>
  </w:style>
  <w:style w:type="paragraph" w:styleId="a9">
    <w:name w:val="footer"/>
    <w:basedOn w:val="a"/>
    <w:rsid w:val="00B20AC7"/>
    <w:pPr>
      <w:tabs>
        <w:tab w:val="center" w:pos="4153"/>
        <w:tab w:val="right" w:pos="8306"/>
      </w:tabs>
      <w:snapToGrid w:val="0"/>
    </w:pPr>
    <w:rPr>
      <w:sz w:val="20"/>
      <w:szCs w:val="20"/>
    </w:rPr>
  </w:style>
  <w:style w:type="character" w:styleId="aa">
    <w:name w:val="page number"/>
    <w:basedOn w:val="a0"/>
    <w:rsid w:val="00B20AC7"/>
  </w:style>
  <w:style w:type="paragraph" w:styleId="31">
    <w:name w:val="Body Text 3"/>
    <w:basedOn w:val="a"/>
    <w:rsid w:val="00B20AC7"/>
    <w:pPr>
      <w:snapToGrid w:val="0"/>
      <w:spacing w:line="240" w:lineRule="atLeast"/>
    </w:pPr>
    <w:rPr>
      <w:rFonts w:ascii="標楷體" w:eastAsia="標楷體"/>
      <w:bCs/>
      <w:sz w:val="28"/>
    </w:rPr>
  </w:style>
  <w:style w:type="paragraph" w:styleId="ab">
    <w:name w:val="header"/>
    <w:basedOn w:val="a"/>
    <w:rsid w:val="00B20AC7"/>
    <w:pPr>
      <w:tabs>
        <w:tab w:val="center" w:pos="4153"/>
        <w:tab w:val="right" w:pos="8306"/>
      </w:tabs>
      <w:snapToGrid w:val="0"/>
    </w:pPr>
    <w:rPr>
      <w:sz w:val="20"/>
      <w:szCs w:val="20"/>
    </w:rPr>
  </w:style>
  <w:style w:type="character" w:styleId="ac">
    <w:name w:val="annotation reference"/>
    <w:rsid w:val="00B24DA2"/>
    <w:rPr>
      <w:sz w:val="18"/>
      <w:szCs w:val="18"/>
    </w:rPr>
  </w:style>
  <w:style w:type="paragraph" w:styleId="ad">
    <w:name w:val="annotation subject"/>
    <w:basedOn w:val="a6"/>
    <w:next w:val="a6"/>
    <w:link w:val="ae"/>
    <w:rsid w:val="00B24DA2"/>
    <w:pPr>
      <w:adjustRightInd/>
      <w:spacing w:line="240" w:lineRule="auto"/>
      <w:textAlignment w:val="auto"/>
    </w:pPr>
    <w:rPr>
      <w:rFonts w:eastAsia="新細明體"/>
      <w:b/>
      <w:bCs/>
      <w:kern w:val="2"/>
      <w:szCs w:val="24"/>
    </w:rPr>
  </w:style>
  <w:style w:type="character" w:customStyle="1" w:styleId="a7">
    <w:name w:val="註解文字 字元"/>
    <w:link w:val="a6"/>
    <w:rsid w:val="00B24DA2"/>
    <w:rPr>
      <w:rFonts w:eastAsia="細明體"/>
      <w:sz w:val="24"/>
    </w:rPr>
  </w:style>
  <w:style w:type="character" w:customStyle="1" w:styleId="ae">
    <w:name w:val="註解主旨 字元"/>
    <w:link w:val="ad"/>
    <w:rsid w:val="00B24DA2"/>
    <w:rPr>
      <w:rFonts w:eastAsia="細明體"/>
      <w:sz w:val="24"/>
    </w:rPr>
  </w:style>
  <w:style w:type="paragraph" w:styleId="af">
    <w:name w:val="Balloon Text"/>
    <w:basedOn w:val="a"/>
    <w:link w:val="af0"/>
    <w:rsid w:val="00B24DA2"/>
    <w:rPr>
      <w:rFonts w:ascii="Cambria" w:hAnsi="Cambria"/>
      <w:sz w:val="18"/>
      <w:szCs w:val="18"/>
    </w:rPr>
  </w:style>
  <w:style w:type="character" w:customStyle="1" w:styleId="af0">
    <w:name w:val="註解方塊文字 字元"/>
    <w:link w:val="af"/>
    <w:rsid w:val="00B24DA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139</Words>
  <Characters>798</Characters>
  <Application>Microsoft Office Word</Application>
  <DocSecurity>0</DocSecurity>
  <Lines>6</Lines>
  <Paragraphs>1</Paragraphs>
  <ScaleCrop>false</ScaleCrop>
  <Company>監察院</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監察院調查報告結案情形一覽表</dc:title>
  <dc:subject/>
  <dc:creator>監察院</dc:creator>
  <cp:keywords/>
  <dc:description/>
  <cp:lastModifiedBy>謝琦瑛</cp:lastModifiedBy>
  <cp:revision>2</cp:revision>
  <cp:lastPrinted>2024-03-01T02:11:00Z</cp:lastPrinted>
  <dcterms:created xsi:type="dcterms:W3CDTF">2024-03-01T06:15:00Z</dcterms:created>
  <dcterms:modified xsi:type="dcterms:W3CDTF">2024-03-01T06:15:00Z</dcterms:modified>
</cp:coreProperties>
</file>