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E6196">
        <w:trPr>
          <w:tblHeader/>
        </w:trPr>
        <w:tc>
          <w:tcPr>
            <w:tcW w:w="939"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9919"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3415"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3D25B5">
        <w:trPr>
          <w:trHeight w:val="468"/>
        </w:trPr>
        <w:tc>
          <w:tcPr>
            <w:tcW w:w="939" w:type="dxa"/>
            <w:vAlign w:val="center"/>
          </w:tcPr>
          <w:p w:rsidR="00FF343B" w:rsidRDefault="007336A7" w:rsidP="003D25B5">
            <w:pPr>
              <w:spacing w:line="360" w:lineRule="atLeast"/>
              <w:ind w:leftChars="50" w:left="120" w:rightChars="50" w:right="120"/>
              <w:jc w:val="center"/>
              <w:rPr>
                <w:rFonts w:eastAsia="標楷體"/>
                <w:bCs/>
                <w:szCs w:val="28"/>
              </w:rPr>
            </w:pPr>
            <w:r>
              <w:rPr>
                <w:rFonts w:eastAsia="標楷體" w:hint="eastAsia"/>
                <w:bCs/>
                <w:szCs w:val="28"/>
              </w:rPr>
              <w:t>11</w:t>
            </w:r>
            <w:bookmarkStart w:id="0" w:name="_GoBack"/>
            <w:bookmarkEnd w:id="0"/>
            <w:r w:rsidR="00773888">
              <w:rPr>
                <w:rFonts w:eastAsia="標楷體"/>
                <w:bCs/>
                <w:szCs w:val="28"/>
              </w:rPr>
              <w:t>2</w:t>
            </w:r>
            <w:r>
              <w:rPr>
                <w:rFonts w:eastAsia="標楷體" w:hint="eastAsia"/>
                <w:bCs/>
                <w:szCs w:val="28"/>
              </w:rPr>
              <w:t>內調</w:t>
            </w:r>
            <w:r>
              <w:rPr>
                <w:rFonts w:eastAsia="標楷體" w:hint="eastAsia"/>
                <w:bCs/>
                <w:szCs w:val="28"/>
              </w:rPr>
              <w:t>00</w:t>
            </w:r>
            <w:r w:rsidR="00773888">
              <w:rPr>
                <w:rFonts w:eastAsia="標楷體"/>
                <w:bCs/>
                <w:szCs w:val="28"/>
              </w:rPr>
              <w:t>10</w:t>
            </w:r>
          </w:p>
        </w:tc>
        <w:tc>
          <w:tcPr>
            <w:tcW w:w="9919" w:type="dxa"/>
            <w:vAlign w:val="center"/>
          </w:tcPr>
          <w:p w:rsidR="00C800E4" w:rsidRDefault="00C800E4" w:rsidP="00C800E4">
            <w:pPr>
              <w:spacing w:afterLines="50" w:after="180" w:line="340" w:lineRule="exact"/>
              <w:jc w:val="both"/>
              <w:rPr>
                <w:rFonts w:eastAsia="標楷體"/>
                <w:bCs/>
              </w:rPr>
            </w:pPr>
            <w:r w:rsidRPr="00E27345">
              <w:rPr>
                <w:rFonts w:eastAsia="標楷體" w:hint="eastAsia"/>
                <w:bCs/>
              </w:rPr>
              <w:t>◆產生行政變革績效</w:t>
            </w:r>
          </w:p>
          <w:p w:rsidR="00EF51E8" w:rsidRDefault="00C57B9B" w:rsidP="00F26F40">
            <w:pPr>
              <w:spacing w:line="360" w:lineRule="atLeast"/>
              <w:jc w:val="both"/>
              <w:rPr>
                <w:rFonts w:eastAsia="標楷體"/>
                <w:bCs/>
                <w:szCs w:val="28"/>
              </w:rPr>
            </w:pPr>
            <w:r w:rsidRPr="00C57B9B">
              <w:rPr>
                <w:rFonts w:eastAsia="標楷體" w:hint="eastAsia"/>
                <w:bCs/>
                <w:szCs w:val="28"/>
              </w:rPr>
              <w:t>(</w:t>
            </w:r>
            <w:proofErr w:type="gramStart"/>
            <w:r w:rsidRPr="00C57B9B">
              <w:rPr>
                <w:rFonts w:eastAsia="標楷體" w:hint="eastAsia"/>
                <w:bCs/>
                <w:szCs w:val="28"/>
              </w:rPr>
              <w:t>一</w:t>
            </w:r>
            <w:proofErr w:type="gramEnd"/>
            <w:r w:rsidRPr="00C57B9B">
              <w:rPr>
                <w:rFonts w:eastAsia="標楷體" w:hint="eastAsia"/>
                <w:bCs/>
                <w:szCs w:val="28"/>
              </w:rPr>
              <w:t>)</w:t>
            </w:r>
            <w:r w:rsidRPr="00C57B9B">
              <w:rPr>
                <w:rFonts w:eastAsia="標楷體" w:hint="eastAsia"/>
                <w:bCs/>
                <w:szCs w:val="28"/>
              </w:rPr>
              <w:t>針對調查意見三</w:t>
            </w:r>
            <w:r w:rsidRPr="00C57B9B">
              <w:rPr>
                <w:rFonts w:eastAsia="標楷體" w:hint="eastAsia"/>
                <w:bCs/>
                <w:szCs w:val="28"/>
              </w:rPr>
              <w:t>(</w:t>
            </w:r>
            <w:r w:rsidRPr="00C57B9B">
              <w:rPr>
                <w:rFonts w:eastAsia="標楷體" w:hint="eastAsia"/>
                <w:bCs/>
                <w:szCs w:val="28"/>
              </w:rPr>
              <w:t>有關提升第一線警察人員具備有處理家暴案件的敏感度與專業知能</w:t>
            </w:r>
            <w:r w:rsidRPr="00C57B9B">
              <w:rPr>
                <w:rFonts w:eastAsia="標楷體" w:hint="eastAsia"/>
                <w:bCs/>
                <w:szCs w:val="28"/>
              </w:rPr>
              <w:t>)</w:t>
            </w:r>
            <w:r w:rsidRPr="00C57B9B">
              <w:rPr>
                <w:rFonts w:eastAsia="標楷體" w:hint="eastAsia"/>
                <w:bCs/>
                <w:szCs w:val="28"/>
              </w:rPr>
              <w:t>部分：</w:t>
            </w:r>
            <w:r w:rsidRPr="00C57B9B">
              <w:rPr>
                <w:rFonts w:eastAsia="標楷體" w:hint="eastAsia"/>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t>1</w:t>
            </w:r>
            <w:r w:rsidR="00C57B9B" w:rsidRPr="00C57B9B">
              <w:rPr>
                <w:rFonts w:eastAsia="標楷體" w:hint="eastAsia"/>
                <w:bCs/>
                <w:szCs w:val="28"/>
              </w:rPr>
              <w:t>、警政署</w:t>
            </w:r>
            <w:r w:rsidR="00C57B9B" w:rsidRPr="00C57B9B">
              <w:rPr>
                <w:rFonts w:eastAsia="標楷體" w:hint="eastAsia"/>
                <w:bCs/>
                <w:szCs w:val="28"/>
              </w:rPr>
              <w:t>112</w:t>
            </w:r>
            <w:r w:rsidR="00C57B9B" w:rsidRPr="00C57B9B">
              <w:rPr>
                <w:rFonts w:eastAsia="標楷體" w:hint="eastAsia"/>
                <w:bCs/>
                <w:szCs w:val="28"/>
              </w:rPr>
              <w:t>年依據</w:t>
            </w:r>
            <w:r w:rsidR="00C57B9B" w:rsidRPr="00C57B9B">
              <w:rPr>
                <w:rFonts w:eastAsia="標楷體" w:hint="eastAsia"/>
                <w:bCs/>
                <w:szCs w:val="28"/>
              </w:rPr>
              <w:t>111</w:t>
            </w:r>
            <w:r w:rsidR="00C57B9B" w:rsidRPr="00C57B9B">
              <w:rPr>
                <w:rFonts w:eastAsia="標楷體" w:hint="eastAsia"/>
                <w:bCs/>
                <w:szCs w:val="28"/>
              </w:rPr>
              <w:t>年</w:t>
            </w:r>
            <w:r w:rsidR="00C57B9B" w:rsidRPr="00C57B9B">
              <w:rPr>
                <w:rFonts w:eastAsia="標楷體" w:hint="eastAsia"/>
                <w:bCs/>
                <w:szCs w:val="28"/>
              </w:rPr>
              <w:t>1</w:t>
            </w:r>
            <w:r w:rsidR="00C57B9B" w:rsidRPr="00C57B9B">
              <w:rPr>
                <w:rFonts w:eastAsia="標楷體" w:hint="eastAsia"/>
                <w:bCs/>
                <w:szCs w:val="28"/>
              </w:rPr>
              <w:t>月</w:t>
            </w:r>
            <w:r w:rsidR="00C57B9B" w:rsidRPr="00C57B9B">
              <w:rPr>
                <w:rFonts w:eastAsia="標楷體" w:hint="eastAsia"/>
                <w:bCs/>
                <w:szCs w:val="28"/>
              </w:rPr>
              <w:t>24</w:t>
            </w:r>
            <w:r w:rsidR="00C57B9B" w:rsidRPr="00C57B9B">
              <w:rPr>
                <w:rFonts w:eastAsia="標楷體" w:hint="eastAsia"/>
                <w:bCs/>
                <w:szCs w:val="28"/>
              </w:rPr>
              <w:t>日修正之「婦幼安全工作專業人員訓練計畫」，已於</w:t>
            </w:r>
            <w:r w:rsidR="00C57B9B" w:rsidRPr="00C57B9B">
              <w:rPr>
                <w:rFonts w:eastAsia="標楷體" w:hint="eastAsia"/>
                <w:bCs/>
                <w:szCs w:val="28"/>
              </w:rPr>
              <w:t>3</w:t>
            </w:r>
            <w:r w:rsidR="00C57B9B" w:rsidRPr="00C57B9B">
              <w:rPr>
                <w:rFonts w:eastAsia="標楷體" w:hint="eastAsia"/>
                <w:bCs/>
                <w:szCs w:val="28"/>
              </w:rPr>
              <w:t>月</w:t>
            </w:r>
            <w:r w:rsidR="00C57B9B" w:rsidRPr="00C57B9B">
              <w:rPr>
                <w:rFonts w:eastAsia="標楷體" w:hint="eastAsia"/>
                <w:bCs/>
                <w:szCs w:val="28"/>
              </w:rPr>
              <w:t>6</w:t>
            </w:r>
            <w:r w:rsidR="00C57B9B" w:rsidRPr="00C57B9B">
              <w:rPr>
                <w:rFonts w:eastAsia="標楷體" w:hint="eastAsia"/>
                <w:bCs/>
                <w:szCs w:val="28"/>
              </w:rPr>
              <w:t>日至</w:t>
            </w:r>
            <w:r w:rsidR="00C57B9B" w:rsidRPr="00C57B9B">
              <w:rPr>
                <w:rFonts w:eastAsia="標楷體" w:hint="eastAsia"/>
                <w:bCs/>
                <w:szCs w:val="28"/>
              </w:rPr>
              <w:t>31</w:t>
            </w:r>
            <w:r w:rsidR="00C57B9B" w:rsidRPr="00C57B9B">
              <w:rPr>
                <w:rFonts w:eastAsia="標楷體" w:hint="eastAsia"/>
                <w:bCs/>
                <w:szCs w:val="28"/>
              </w:rPr>
              <w:t>日辦理基礎訓練班</w:t>
            </w:r>
            <w:r w:rsidR="00C57B9B" w:rsidRPr="00C57B9B">
              <w:rPr>
                <w:rFonts w:eastAsia="標楷體" w:hint="eastAsia"/>
                <w:bCs/>
                <w:szCs w:val="28"/>
              </w:rPr>
              <w:t>4</w:t>
            </w:r>
            <w:r w:rsidR="00C57B9B" w:rsidRPr="00C57B9B">
              <w:rPr>
                <w:rFonts w:eastAsia="標楷體" w:hint="eastAsia"/>
                <w:bCs/>
                <w:szCs w:val="28"/>
              </w:rPr>
              <w:t>梯次，</w:t>
            </w:r>
            <w:proofErr w:type="gramStart"/>
            <w:r w:rsidR="00C57B9B" w:rsidRPr="00C57B9B">
              <w:rPr>
                <w:rFonts w:eastAsia="標楷體" w:hint="eastAsia"/>
                <w:bCs/>
                <w:szCs w:val="28"/>
              </w:rPr>
              <w:t>完訓計</w:t>
            </w:r>
            <w:proofErr w:type="gramEnd"/>
            <w:r w:rsidR="00C57B9B" w:rsidRPr="00C57B9B">
              <w:rPr>
                <w:rFonts w:eastAsia="標楷體" w:hint="eastAsia"/>
                <w:bCs/>
                <w:szCs w:val="28"/>
              </w:rPr>
              <w:t>198</w:t>
            </w:r>
            <w:r w:rsidR="00C57B9B" w:rsidRPr="00C57B9B">
              <w:rPr>
                <w:rFonts w:eastAsia="標楷體" w:hint="eastAsia"/>
                <w:bCs/>
                <w:szCs w:val="28"/>
              </w:rPr>
              <w:t>人，復於</w:t>
            </w:r>
            <w:r w:rsidR="00C57B9B" w:rsidRPr="00C57B9B">
              <w:rPr>
                <w:rFonts w:eastAsia="標楷體" w:hint="eastAsia"/>
                <w:bCs/>
                <w:szCs w:val="28"/>
              </w:rPr>
              <w:t>4</w:t>
            </w:r>
            <w:r w:rsidR="00C57B9B" w:rsidRPr="00C57B9B">
              <w:rPr>
                <w:rFonts w:eastAsia="標楷體" w:hint="eastAsia"/>
                <w:bCs/>
                <w:szCs w:val="28"/>
              </w:rPr>
              <w:t>月</w:t>
            </w:r>
            <w:r w:rsidR="00C57B9B" w:rsidRPr="00C57B9B">
              <w:rPr>
                <w:rFonts w:eastAsia="標楷體" w:hint="eastAsia"/>
                <w:bCs/>
                <w:szCs w:val="28"/>
              </w:rPr>
              <w:t>10</w:t>
            </w:r>
            <w:r w:rsidR="00C57B9B" w:rsidRPr="00C57B9B">
              <w:rPr>
                <w:rFonts w:eastAsia="標楷體" w:hint="eastAsia"/>
                <w:bCs/>
                <w:szCs w:val="28"/>
              </w:rPr>
              <w:t>日至</w:t>
            </w:r>
            <w:r w:rsidR="00C57B9B" w:rsidRPr="00C57B9B">
              <w:rPr>
                <w:rFonts w:eastAsia="標楷體" w:hint="eastAsia"/>
                <w:bCs/>
                <w:szCs w:val="28"/>
              </w:rPr>
              <w:t>19</w:t>
            </w:r>
            <w:r w:rsidR="00C57B9B" w:rsidRPr="00C57B9B">
              <w:rPr>
                <w:rFonts w:eastAsia="標楷體" w:hint="eastAsia"/>
                <w:bCs/>
                <w:szCs w:val="28"/>
              </w:rPr>
              <w:t>日辦理進階訓練班</w:t>
            </w:r>
            <w:r w:rsidR="00C57B9B" w:rsidRPr="00C57B9B">
              <w:rPr>
                <w:rFonts w:eastAsia="標楷體" w:hint="eastAsia"/>
                <w:bCs/>
                <w:szCs w:val="28"/>
              </w:rPr>
              <w:t>2</w:t>
            </w:r>
            <w:r w:rsidR="00C57B9B" w:rsidRPr="00C57B9B">
              <w:rPr>
                <w:rFonts w:eastAsia="標楷體" w:hint="eastAsia"/>
                <w:bCs/>
                <w:szCs w:val="28"/>
              </w:rPr>
              <w:t>梯次，</w:t>
            </w:r>
            <w:proofErr w:type="gramStart"/>
            <w:r w:rsidR="00C57B9B" w:rsidRPr="00C57B9B">
              <w:rPr>
                <w:rFonts w:eastAsia="標楷體" w:hint="eastAsia"/>
                <w:bCs/>
                <w:szCs w:val="28"/>
              </w:rPr>
              <w:t>完訓計</w:t>
            </w:r>
            <w:proofErr w:type="gramEnd"/>
            <w:r w:rsidR="00C57B9B" w:rsidRPr="00C57B9B">
              <w:rPr>
                <w:rFonts w:eastAsia="標楷體" w:hint="eastAsia"/>
                <w:bCs/>
                <w:szCs w:val="28"/>
              </w:rPr>
              <w:t>100</w:t>
            </w:r>
            <w:r w:rsidR="00C57B9B" w:rsidRPr="00C57B9B">
              <w:rPr>
                <w:rFonts w:eastAsia="標楷體" w:hint="eastAsia"/>
                <w:bCs/>
                <w:szCs w:val="28"/>
              </w:rPr>
              <w:t>人，以上共計</w:t>
            </w:r>
            <w:r w:rsidR="00C57B9B" w:rsidRPr="00C57B9B">
              <w:rPr>
                <w:rFonts w:eastAsia="標楷體" w:hint="eastAsia"/>
                <w:bCs/>
                <w:szCs w:val="28"/>
              </w:rPr>
              <w:t>298</w:t>
            </w:r>
            <w:r w:rsidR="00C57B9B" w:rsidRPr="00C57B9B">
              <w:rPr>
                <w:rFonts w:eastAsia="標楷體" w:hint="eastAsia"/>
                <w:bCs/>
                <w:szCs w:val="28"/>
              </w:rPr>
              <w:t>人。</w:t>
            </w:r>
            <w:r w:rsidR="00C57B9B" w:rsidRPr="00C57B9B">
              <w:rPr>
                <w:rFonts w:eastAsia="標楷體" w:hint="eastAsia"/>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t>2</w:t>
            </w:r>
            <w:r w:rsidR="00C57B9B" w:rsidRPr="00C57B9B">
              <w:rPr>
                <w:rFonts w:eastAsia="標楷體" w:hint="eastAsia"/>
                <w:bCs/>
                <w:szCs w:val="28"/>
              </w:rPr>
              <w:t>、</w:t>
            </w:r>
            <w:proofErr w:type="gramStart"/>
            <w:r w:rsidR="00C57B9B" w:rsidRPr="00C57B9B">
              <w:rPr>
                <w:rFonts w:eastAsia="標楷體" w:hint="eastAsia"/>
                <w:bCs/>
                <w:szCs w:val="28"/>
              </w:rPr>
              <w:t>警政署函復</w:t>
            </w:r>
            <w:proofErr w:type="gramEnd"/>
            <w:r w:rsidR="00C57B9B" w:rsidRPr="00C57B9B">
              <w:rPr>
                <w:rFonts w:eastAsia="標楷體" w:hint="eastAsia"/>
                <w:bCs/>
                <w:szCs w:val="28"/>
              </w:rPr>
              <w:t>完成</w:t>
            </w:r>
            <w:r w:rsidR="00C57B9B" w:rsidRPr="00C57B9B">
              <w:rPr>
                <w:rFonts w:eastAsia="標楷體" w:hint="eastAsia"/>
                <w:bCs/>
                <w:szCs w:val="28"/>
              </w:rPr>
              <w:t>112</w:t>
            </w:r>
            <w:r w:rsidR="00C57B9B" w:rsidRPr="00C57B9B">
              <w:rPr>
                <w:rFonts w:eastAsia="標楷體" w:hint="eastAsia"/>
                <w:bCs/>
                <w:szCs w:val="28"/>
              </w:rPr>
              <w:t>年評核工作，亦指出各直轄市縣</w:t>
            </w:r>
            <w:r w:rsidR="00C57B9B" w:rsidRPr="00C57B9B">
              <w:rPr>
                <w:rFonts w:eastAsia="標楷體" w:hint="eastAsia"/>
                <w:bCs/>
                <w:szCs w:val="28"/>
              </w:rPr>
              <w:t>(</w:t>
            </w:r>
            <w:r w:rsidR="00C57B9B" w:rsidRPr="00C57B9B">
              <w:rPr>
                <w:rFonts w:eastAsia="標楷體" w:hint="eastAsia"/>
                <w:bCs/>
                <w:szCs w:val="28"/>
              </w:rPr>
              <w:t>市</w:t>
            </w:r>
            <w:r w:rsidR="00C57B9B" w:rsidRPr="00C57B9B">
              <w:rPr>
                <w:rFonts w:eastAsia="標楷體" w:hint="eastAsia"/>
                <w:bCs/>
                <w:szCs w:val="28"/>
              </w:rPr>
              <w:t>)</w:t>
            </w:r>
            <w:r w:rsidR="00C57B9B" w:rsidRPr="00C57B9B">
              <w:rPr>
                <w:rFonts w:eastAsia="標楷體" w:hint="eastAsia"/>
                <w:bCs/>
                <w:szCs w:val="28"/>
              </w:rPr>
              <w:t>政府自辦教育訓練之缺點及應檢討改進之處督促檢討改善報告，已列有各地方政府警察機關自辦教育訓練之缺點及應檢討改進之處，</w:t>
            </w:r>
            <w:proofErr w:type="gramStart"/>
            <w:r w:rsidR="00C57B9B" w:rsidRPr="00C57B9B">
              <w:rPr>
                <w:rFonts w:eastAsia="標楷體" w:hint="eastAsia"/>
                <w:bCs/>
                <w:szCs w:val="28"/>
              </w:rPr>
              <w:t>並函發各</w:t>
            </w:r>
            <w:proofErr w:type="gramEnd"/>
            <w:r w:rsidR="00C57B9B" w:rsidRPr="00C57B9B">
              <w:rPr>
                <w:rFonts w:eastAsia="標楷體" w:hint="eastAsia"/>
                <w:bCs/>
                <w:szCs w:val="28"/>
              </w:rPr>
              <w:t>警察機關知照。</w:t>
            </w:r>
          </w:p>
          <w:p w:rsidR="00EF51E8" w:rsidRDefault="00C57B9B" w:rsidP="00F26F40">
            <w:pPr>
              <w:spacing w:line="360" w:lineRule="atLeast"/>
              <w:jc w:val="both"/>
              <w:rPr>
                <w:rFonts w:eastAsia="標楷體"/>
                <w:bCs/>
                <w:szCs w:val="28"/>
              </w:rPr>
            </w:pPr>
            <w:r w:rsidRPr="00C57B9B">
              <w:rPr>
                <w:rFonts w:eastAsia="標楷體" w:hint="eastAsia"/>
                <w:bCs/>
                <w:szCs w:val="28"/>
              </w:rPr>
              <w:t>(</w:t>
            </w:r>
            <w:r w:rsidRPr="00C57B9B">
              <w:rPr>
                <w:rFonts w:eastAsia="標楷體" w:hint="eastAsia"/>
                <w:bCs/>
                <w:szCs w:val="28"/>
              </w:rPr>
              <w:t>二</w:t>
            </w:r>
            <w:r w:rsidRPr="00C57B9B">
              <w:rPr>
                <w:rFonts w:eastAsia="標楷體"/>
                <w:bCs/>
                <w:szCs w:val="28"/>
              </w:rPr>
              <w:t>)</w:t>
            </w:r>
            <w:r w:rsidRPr="00C57B9B">
              <w:rPr>
                <w:rFonts w:eastAsia="標楷體" w:hint="eastAsia"/>
                <w:bCs/>
                <w:szCs w:val="28"/>
              </w:rPr>
              <w:t>針對調查意見六部分：</w:t>
            </w:r>
            <w:r w:rsidRPr="00C57B9B">
              <w:rPr>
                <w:rFonts w:eastAsia="標楷體"/>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t>1</w:t>
            </w:r>
            <w:r w:rsidR="00C57B9B" w:rsidRPr="00C57B9B">
              <w:rPr>
                <w:rFonts w:eastAsia="標楷體" w:hint="eastAsia"/>
                <w:bCs/>
                <w:szCs w:val="28"/>
              </w:rPr>
              <w:t>、教育部前已針對教保服務人員參與兒少保護相關專業知能研習訓練之涵蓋率及如何評核辦理成效，已檢討採取相關改善作為，包括：</w:t>
            </w:r>
            <w:r w:rsidR="00C57B9B" w:rsidRPr="00C57B9B">
              <w:rPr>
                <w:rFonts w:ascii="新細明體" w:hAnsi="新細明體" w:cs="新細明體" w:hint="eastAsia"/>
                <w:bCs/>
                <w:szCs w:val="28"/>
              </w:rPr>
              <w:t>①</w:t>
            </w:r>
            <w:r w:rsidR="00C57B9B" w:rsidRPr="00C57B9B">
              <w:rPr>
                <w:rFonts w:ascii="標楷體" w:eastAsia="標楷體" w:hAnsi="標楷體" w:cs="標楷體" w:hint="eastAsia"/>
                <w:bCs/>
                <w:szCs w:val="28"/>
              </w:rPr>
              <w:t>持續補助各地方政府辦理轄內教保相關人員關於幼兒輔導管教、情緒管理、兒少保護等研習主題之增能研習課程，並定期追蹤參訓人數及督導執行成效待提升之地方政府進行改善。</w:t>
            </w:r>
            <w:r w:rsidR="00C57B9B" w:rsidRPr="00C57B9B">
              <w:rPr>
                <w:rFonts w:ascii="新細明體" w:hAnsi="新細明體" w:cs="新細明體" w:hint="eastAsia"/>
                <w:bCs/>
                <w:szCs w:val="28"/>
              </w:rPr>
              <w:t>②</w:t>
            </w:r>
            <w:r w:rsidR="00C57B9B" w:rsidRPr="00C57B9B">
              <w:rPr>
                <w:rFonts w:ascii="標楷體" w:eastAsia="標楷體" w:hAnsi="標楷體" w:cs="標楷體" w:hint="eastAsia"/>
                <w:bCs/>
                <w:szCs w:val="28"/>
              </w:rPr>
              <w:t>已函請彰化縣政府應持續落實辦理兒少保護知能、兒童權利公約及家暴防治等相關法令研習，並列管追蹤研習辦理情形，以加強教保相關人員對兒虐事件之辨識與敏感度，並落實相關查處及輔導作為。</w:t>
            </w:r>
            <w:r w:rsidR="00C57B9B" w:rsidRPr="00C57B9B">
              <w:rPr>
                <w:rFonts w:ascii="新細明體" w:hAnsi="新細明體" w:cs="新細明體" w:hint="eastAsia"/>
                <w:bCs/>
                <w:szCs w:val="28"/>
              </w:rPr>
              <w:t>③</w:t>
            </w:r>
            <w:r w:rsidR="00C57B9B" w:rsidRPr="00C57B9B">
              <w:rPr>
                <w:rFonts w:eastAsia="標楷體"/>
                <w:bCs/>
                <w:szCs w:val="28"/>
              </w:rPr>
              <w:t>112</w:t>
            </w:r>
            <w:r w:rsidR="00C57B9B" w:rsidRPr="00C57B9B">
              <w:rPr>
                <w:rFonts w:eastAsia="標楷體" w:hint="eastAsia"/>
                <w:bCs/>
                <w:szCs w:val="28"/>
              </w:rPr>
              <w:t>年各縣市研習課程執行率與滿意度等資料，除</w:t>
            </w:r>
            <w:r w:rsidR="00C57B9B" w:rsidRPr="00C57B9B">
              <w:rPr>
                <w:rFonts w:eastAsia="標楷體" w:hint="eastAsia"/>
                <w:bCs/>
                <w:szCs w:val="28"/>
              </w:rPr>
              <w:t>3</w:t>
            </w:r>
            <w:r w:rsidR="00C57B9B" w:rsidRPr="00C57B9B">
              <w:rPr>
                <w:rFonts w:eastAsia="標楷體" w:hint="eastAsia"/>
                <w:bCs/>
                <w:szCs w:val="28"/>
              </w:rPr>
              <w:t>縣市之執行率外，其餘均達</w:t>
            </w:r>
            <w:r w:rsidR="00C57B9B" w:rsidRPr="00C57B9B">
              <w:rPr>
                <w:rFonts w:eastAsia="標楷體" w:hint="eastAsia"/>
                <w:bCs/>
                <w:szCs w:val="28"/>
              </w:rPr>
              <w:t>9</w:t>
            </w:r>
            <w:r w:rsidR="00C57B9B" w:rsidRPr="00C57B9B">
              <w:rPr>
                <w:rFonts w:eastAsia="標楷體" w:hint="eastAsia"/>
                <w:bCs/>
                <w:szCs w:val="28"/>
              </w:rPr>
              <w:t>成以上。</w:t>
            </w:r>
            <w:r w:rsidR="00C57B9B" w:rsidRPr="00C57B9B">
              <w:rPr>
                <w:rFonts w:eastAsia="標楷體" w:hint="eastAsia"/>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t>2</w:t>
            </w:r>
            <w:r w:rsidR="00C57B9B" w:rsidRPr="00C57B9B">
              <w:rPr>
                <w:rFonts w:eastAsia="標楷體" w:hint="eastAsia"/>
                <w:bCs/>
                <w:szCs w:val="28"/>
              </w:rPr>
              <w:t>、為保障幼兒園持續符合相關法令，各地方政府應依幼兒園評鑑辦法辦理基礎評鑑及追蹤評鑑，且第二週期</w:t>
            </w:r>
            <w:r w:rsidR="00C57B9B" w:rsidRPr="00C57B9B">
              <w:rPr>
                <w:rFonts w:eastAsia="標楷體" w:hint="eastAsia"/>
                <w:bCs/>
                <w:szCs w:val="28"/>
              </w:rPr>
              <w:t>(107</w:t>
            </w:r>
            <w:r w:rsidR="00C57B9B" w:rsidRPr="00C57B9B">
              <w:rPr>
                <w:rFonts w:eastAsia="標楷體" w:hint="eastAsia"/>
                <w:bCs/>
                <w:szCs w:val="28"/>
              </w:rPr>
              <w:t>至</w:t>
            </w:r>
            <w:r w:rsidR="00C57B9B" w:rsidRPr="00C57B9B">
              <w:rPr>
                <w:rFonts w:eastAsia="標楷體" w:hint="eastAsia"/>
                <w:bCs/>
                <w:szCs w:val="28"/>
              </w:rPr>
              <w:t>111</w:t>
            </w:r>
            <w:r w:rsidR="00C57B9B" w:rsidRPr="00C57B9B">
              <w:rPr>
                <w:rFonts w:eastAsia="標楷體" w:hint="eastAsia"/>
                <w:bCs/>
                <w:szCs w:val="28"/>
              </w:rPr>
              <w:t>學年</w:t>
            </w:r>
            <w:r w:rsidR="00C57B9B" w:rsidRPr="00C57B9B">
              <w:rPr>
                <w:rFonts w:eastAsia="標楷體" w:hint="eastAsia"/>
                <w:bCs/>
                <w:szCs w:val="28"/>
              </w:rPr>
              <w:t>)</w:t>
            </w:r>
            <w:r w:rsidR="00C57B9B" w:rsidRPr="00C57B9B">
              <w:rPr>
                <w:rFonts w:eastAsia="標楷體" w:hint="eastAsia"/>
                <w:bCs/>
                <w:szCs w:val="28"/>
              </w:rPr>
              <w:t>已完成</w:t>
            </w:r>
            <w:r w:rsidR="00C57B9B" w:rsidRPr="00C57B9B">
              <w:rPr>
                <w:rFonts w:eastAsia="標楷體" w:hint="eastAsia"/>
                <w:bCs/>
                <w:szCs w:val="28"/>
              </w:rPr>
              <w:t>6,929</w:t>
            </w:r>
            <w:r w:rsidR="00C57B9B" w:rsidRPr="00C57B9B">
              <w:rPr>
                <w:rFonts w:eastAsia="標楷體" w:hint="eastAsia"/>
                <w:bCs/>
                <w:szCs w:val="28"/>
              </w:rPr>
              <w:t>家幼兒園之基礎評鑑，其中結果為「全部指標通過」計</w:t>
            </w:r>
            <w:r w:rsidR="00C57B9B" w:rsidRPr="00C57B9B">
              <w:rPr>
                <w:rFonts w:eastAsia="標楷體" w:hint="eastAsia"/>
                <w:bCs/>
                <w:szCs w:val="28"/>
              </w:rPr>
              <w:t>5,269</w:t>
            </w:r>
            <w:r w:rsidR="00C57B9B" w:rsidRPr="00C57B9B">
              <w:rPr>
                <w:rFonts w:eastAsia="標楷體" w:hint="eastAsia"/>
                <w:bCs/>
                <w:szCs w:val="28"/>
              </w:rPr>
              <w:t>園，通過率為</w:t>
            </w:r>
            <w:r w:rsidR="00C57B9B" w:rsidRPr="00C57B9B">
              <w:rPr>
                <w:rFonts w:eastAsia="標楷體" w:hint="eastAsia"/>
                <w:bCs/>
                <w:szCs w:val="28"/>
              </w:rPr>
              <w:t>76%</w:t>
            </w:r>
            <w:r w:rsidR="00C57B9B" w:rsidRPr="00C57B9B">
              <w:rPr>
                <w:rFonts w:eastAsia="標楷體" w:hint="eastAsia"/>
                <w:bCs/>
                <w:szCs w:val="28"/>
              </w:rPr>
              <w:t>，經追蹤後</w:t>
            </w:r>
            <w:proofErr w:type="gramStart"/>
            <w:r w:rsidR="00C57B9B" w:rsidRPr="00C57B9B">
              <w:rPr>
                <w:rFonts w:eastAsia="標楷體" w:hint="eastAsia"/>
                <w:bCs/>
                <w:szCs w:val="28"/>
              </w:rPr>
              <w:t>通過率均達</w:t>
            </w:r>
            <w:proofErr w:type="gramEnd"/>
            <w:r w:rsidR="00C57B9B" w:rsidRPr="00C57B9B">
              <w:rPr>
                <w:rFonts w:eastAsia="標楷體" w:hint="eastAsia"/>
                <w:bCs/>
                <w:szCs w:val="28"/>
              </w:rPr>
              <w:t>96.6%</w:t>
            </w:r>
            <w:r w:rsidR="00C57B9B" w:rsidRPr="00C57B9B">
              <w:rPr>
                <w:rFonts w:eastAsia="標楷體" w:hint="eastAsia"/>
                <w:bCs/>
                <w:szCs w:val="28"/>
              </w:rPr>
              <w:t>以上，並已責成各地方政府督導幼兒園確實改善。</w:t>
            </w:r>
            <w:r w:rsidR="00C57B9B" w:rsidRPr="00C57B9B">
              <w:rPr>
                <w:rFonts w:eastAsia="標楷體" w:hint="eastAsia"/>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lastRenderedPageBreak/>
              <w:t>3</w:t>
            </w:r>
            <w:r w:rsidR="00C57B9B" w:rsidRPr="00C57B9B">
              <w:rPr>
                <w:rFonts w:eastAsia="標楷體" w:hint="eastAsia"/>
                <w:bCs/>
                <w:szCs w:val="28"/>
              </w:rPr>
              <w:t>、有關</w:t>
            </w:r>
            <w:r w:rsidR="00C57B9B" w:rsidRPr="00C57B9B">
              <w:rPr>
                <w:rFonts w:eastAsia="標楷體" w:hint="eastAsia"/>
                <w:bCs/>
                <w:szCs w:val="28"/>
              </w:rPr>
              <w:t>112</w:t>
            </w:r>
            <w:r w:rsidR="00C57B9B" w:rsidRPr="00C57B9B">
              <w:rPr>
                <w:rFonts w:eastAsia="標楷體" w:hint="eastAsia"/>
                <w:bCs/>
                <w:szCs w:val="28"/>
              </w:rPr>
              <w:t>年</w:t>
            </w:r>
            <w:proofErr w:type="gramStart"/>
            <w:r w:rsidR="00C57B9B" w:rsidRPr="00C57B9B">
              <w:rPr>
                <w:rFonts w:eastAsia="標楷體" w:hint="eastAsia"/>
                <w:bCs/>
                <w:szCs w:val="28"/>
              </w:rPr>
              <w:t>彰</w:t>
            </w:r>
            <w:proofErr w:type="gramEnd"/>
            <w:r w:rsidR="00C57B9B" w:rsidRPr="00C57B9B">
              <w:rPr>
                <w:rFonts w:eastAsia="標楷體" w:hint="eastAsia"/>
                <w:bCs/>
                <w:szCs w:val="28"/>
              </w:rPr>
              <w:t>縣府辦理公私立幼兒園教保服務人員研習共</w:t>
            </w:r>
            <w:r w:rsidR="00C57B9B" w:rsidRPr="00C57B9B">
              <w:rPr>
                <w:rFonts w:eastAsia="標楷體" w:hint="eastAsia"/>
                <w:bCs/>
                <w:szCs w:val="28"/>
              </w:rPr>
              <w:t>20</w:t>
            </w:r>
            <w:r w:rsidR="00C57B9B" w:rsidRPr="00C57B9B">
              <w:rPr>
                <w:rFonts w:eastAsia="標楷體" w:hint="eastAsia"/>
                <w:bCs/>
                <w:szCs w:val="28"/>
              </w:rPr>
              <w:t>場次、</w:t>
            </w:r>
            <w:r w:rsidR="00C57B9B" w:rsidRPr="00C57B9B">
              <w:rPr>
                <w:rFonts w:eastAsia="標楷體" w:hint="eastAsia"/>
                <w:bCs/>
                <w:szCs w:val="28"/>
              </w:rPr>
              <w:t>1,415</w:t>
            </w:r>
            <w:r w:rsidR="00C57B9B" w:rsidRPr="00C57B9B">
              <w:rPr>
                <w:rFonts w:eastAsia="標楷體" w:hint="eastAsia"/>
                <w:bCs/>
                <w:szCs w:val="28"/>
              </w:rPr>
              <w:t>人參訓，涵蓋率達</w:t>
            </w:r>
            <w:r w:rsidR="00C57B9B" w:rsidRPr="00C57B9B">
              <w:rPr>
                <w:rFonts w:eastAsia="標楷體" w:hint="eastAsia"/>
                <w:bCs/>
                <w:szCs w:val="28"/>
              </w:rPr>
              <w:t>44.6%</w:t>
            </w:r>
            <w:r w:rsidR="00C57B9B" w:rsidRPr="00C57B9B">
              <w:rPr>
                <w:rFonts w:eastAsia="標楷體" w:hint="eastAsia"/>
                <w:bCs/>
                <w:szCs w:val="28"/>
              </w:rPr>
              <w:t>，該府並透過問卷滿意度調查及前、</w:t>
            </w:r>
            <w:proofErr w:type="gramStart"/>
            <w:r w:rsidR="00C57B9B" w:rsidRPr="00C57B9B">
              <w:rPr>
                <w:rFonts w:eastAsia="標楷體" w:hint="eastAsia"/>
                <w:bCs/>
                <w:szCs w:val="28"/>
              </w:rPr>
              <w:t>後測之</w:t>
            </w:r>
            <w:proofErr w:type="gramEnd"/>
            <w:r w:rsidR="00C57B9B" w:rsidRPr="00C57B9B">
              <w:rPr>
                <w:rFonts w:eastAsia="標楷體" w:hint="eastAsia"/>
                <w:bCs/>
                <w:szCs w:val="28"/>
              </w:rPr>
              <w:t>評核測驗等方式，評估掌握學員參與研習之具體成效。</w:t>
            </w:r>
            <w:r w:rsidR="00C57B9B" w:rsidRPr="00C57B9B">
              <w:rPr>
                <w:rFonts w:eastAsia="標楷體" w:hint="eastAsia"/>
                <w:bCs/>
                <w:szCs w:val="28"/>
              </w:rPr>
              <w:t xml:space="preserve"> </w:t>
            </w:r>
          </w:p>
          <w:p w:rsidR="00EF51E8" w:rsidRDefault="00C57B9B" w:rsidP="00F26F40">
            <w:pPr>
              <w:spacing w:line="360" w:lineRule="atLeast"/>
              <w:jc w:val="both"/>
              <w:rPr>
                <w:rFonts w:eastAsia="標楷體"/>
                <w:bCs/>
                <w:szCs w:val="28"/>
              </w:rPr>
            </w:pPr>
            <w:r w:rsidRPr="00C57B9B">
              <w:rPr>
                <w:rFonts w:eastAsia="標楷體" w:hint="eastAsia"/>
                <w:bCs/>
                <w:szCs w:val="28"/>
              </w:rPr>
              <w:t>(</w:t>
            </w:r>
            <w:r w:rsidRPr="00C57B9B">
              <w:rPr>
                <w:rFonts w:eastAsia="標楷體" w:hint="eastAsia"/>
                <w:bCs/>
                <w:szCs w:val="28"/>
              </w:rPr>
              <w:t>四</w:t>
            </w:r>
            <w:r w:rsidRPr="00C57B9B">
              <w:rPr>
                <w:rFonts w:eastAsia="標楷體" w:hint="eastAsia"/>
                <w:bCs/>
                <w:szCs w:val="28"/>
              </w:rPr>
              <w:t>)</w:t>
            </w:r>
            <w:r w:rsidRPr="00C57B9B">
              <w:rPr>
                <w:rFonts w:eastAsia="標楷體" w:hint="eastAsia"/>
                <w:bCs/>
                <w:szCs w:val="28"/>
              </w:rPr>
              <w:t>針對有關調查意見七</w:t>
            </w:r>
            <w:r w:rsidRPr="00C57B9B">
              <w:rPr>
                <w:rFonts w:eastAsia="標楷體" w:hint="eastAsia"/>
                <w:bCs/>
                <w:szCs w:val="28"/>
              </w:rPr>
              <w:t>(</w:t>
            </w:r>
            <w:r w:rsidRPr="00C57B9B">
              <w:rPr>
                <w:rFonts w:eastAsia="標楷體" w:hint="eastAsia"/>
                <w:bCs/>
                <w:szCs w:val="28"/>
              </w:rPr>
              <w:t>有關家暴案件處理流程及審核機制等策進作為</w:t>
            </w:r>
            <w:r w:rsidRPr="00C57B9B">
              <w:rPr>
                <w:rFonts w:eastAsia="標楷體" w:hint="eastAsia"/>
                <w:bCs/>
                <w:szCs w:val="28"/>
              </w:rPr>
              <w:t>)</w:t>
            </w:r>
            <w:r w:rsidRPr="00C57B9B">
              <w:rPr>
                <w:rFonts w:eastAsia="標楷體" w:hint="eastAsia"/>
                <w:bCs/>
                <w:szCs w:val="28"/>
              </w:rPr>
              <w:t>部分：</w:t>
            </w:r>
            <w:r w:rsidRPr="00C57B9B">
              <w:rPr>
                <w:rFonts w:eastAsia="標楷體" w:hint="eastAsia"/>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t>1</w:t>
            </w:r>
            <w:r w:rsidR="00C57B9B" w:rsidRPr="00C57B9B">
              <w:rPr>
                <w:rFonts w:eastAsia="標楷體" w:hint="eastAsia"/>
                <w:bCs/>
                <w:szCs w:val="28"/>
              </w:rPr>
              <w:t>、彰縣府針對高危機會議列管決議已提出增強作為。</w:t>
            </w:r>
            <w:r w:rsidR="00C57B9B" w:rsidRPr="00C57B9B">
              <w:rPr>
                <w:rFonts w:eastAsia="標楷體" w:hint="eastAsia"/>
                <w:bCs/>
                <w:szCs w:val="28"/>
              </w:rPr>
              <w:t xml:space="preserve"> </w:t>
            </w:r>
          </w:p>
          <w:p w:rsidR="00EF51E8" w:rsidRDefault="00EF51E8" w:rsidP="00F26F40">
            <w:pPr>
              <w:spacing w:line="360" w:lineRule="atLeast"/>
              <w:jc w:val="both"/>
              <w:rPr>
                <w:rFonts w:eastAsia="標楷體"/>
                <w:bCs/>
                <w:szCs w:val="28"/>
              </w:rPr>
            </w:pPr>
            <w:r>
              <w:rPr>
                <w:rFonts w:eastAsia="標楷體" w:hint="eastAsia"/>
                <w:bCs/>
                <w:szCs w:val="28"/>
              </w:rPr>
              <w:t>2</w:t>
            </w:r>
            <w:r w:rsidR="00C57B9B" w:rsidRPr="00C57B9B">
              <w:rPr>
                <w:rFonts w:eastAsia="標楷體" w:hint="eastAsia"/>
                <w:bCs/>
                <w:szCs w:val="28"/>
              </w:rPr>
              <w:t>、彰縣府於</w:t>
            </w:r>
            <w:r w:rsidR="00C57B9B" w:rsidRPr="00C57B9B">
              <w:rPr>
                <w:rFonts w:eastAsia="標楷體" w:hint="eastAsia"/>
                <w:bCs/>
                <w:szCs w:val="28"/>
              </w:rPr>
              <w:t>112</w:t>
            </w:r>
            <w:r w:rsidR="00C57B9B" w:rsidRPr="00C57B9B">
              <w:rPr>
                <w:rFonts w:eastAsia="標楷體" w:hint="eastAsia"/>
                <w:bCs/>
                <w:szCs w:val="28"/>
              </w:rPr>
              <w:t>年</w:t>
            </w:r>
            <w:r w:rsidR="00C57B9B" w:rsidRPr="00C57B9B">
              <w:rPr>
                <w:rFonts w:eastAsia="標楷體" w:hint="eastAsia"/>
                <w:bCs/>
                <w:szCs w:val="28"/>
              </w:rPr>
              <w:t>4</w:t>
            </w:r>
            <w:r w:rsidR="00C57B9B" w:rsidRPr="00C57B9B">
              <w:rPr>
                <w:rFonts w:eastAsia="標楷體" w:hint="eastAsia"/>
                <w:bCs/>
                <w:szCs w:val="28"/>
              </w:rPr>
              <w:t>月後調整社工訓練課程，針對個案服務應以家庭為中心進行需求評估，強化社工之個案管理角色，並將本案作為案例納入訓練</w:t>
            </w:r>
            <w:proofErr w:type="gramStart"/>
            <w:r w:rsidR="00C57B9B" w:rsidRPr="00C57B9B">
              <w:rPr>
                <w:rFonts w:eastAsia="標楷體" w:hint="eastAsia"/>
                <w:bCs/>
                <w:szCs w:val="28"/>
              </w:rPr>
              <w:t>教案施訓</w:t>
            </w:r>
            <w:proofErr w:type="gramEnd"/>
            <w:r w:rsidR="00C57B9B" w:rsidRPr="00C57B9B">
              <w:rPr>
                <w:rFonts w:eastAsia="標楷體" w:hint="eastAsia"/>
                <w:bCs/>
                <w:szCs w:val="28"/>
              </w:rPr>
              <w:t>。</w:t>
            </w:r>
            <w:r w:rsidR="00C57B9B" w:rsidRPr="00C57B9B">
              <w:rPr>
                <w:rFonts w:eastAsia="標楷體" w:hint="eastAsia"/>
                <w:bCs/>
                <w:szCs w:val="28"/>
              </w:rPr>
              <w:t xml:space="preserve"> </w:t>
            </w:r>
          </w:p>
          <w:p w:rsidR="00FF343B" w:rsidRDefault="00C57B9B" w:rsidP="00F26F40">
            <w:pPr>
              <w:spacing w:line="360" w:lineRule="atLeast"/>
              <w:jc w:val="both"/>
              <w:rPr>
                <w:rFonts w:eastAsia="標楷體"/>
                <w:bCs/>
                <w:szCs w:val="28"/>
              </w:rPr>
            </w:pPr>
            <w:r w:rsidRPr="00C57B9B">
              <w:rPr>
                <w:rFonts w:eastAsia="標楷體" w:hint="eastAsia"/>
                <w:bCs/>
                <w:szCs w:val="28"/>
              </w:rPr>
              <w:t>3</w:t>
            </w:r>
            <w:r w:rsidRPr="00C57B9B">
              <w:rPr>
                <w:rFonts w:eastAsia="標楷體" w:hint="eastAsia"/>
                <w:bCs/>
                <w:szCs w:val="28"/>
              </w:rPr>
              <w:t>、另彰縣府針對被害人若拒絕接受</w:t>
            </w:r>
            <w:proofErr w:type="gramStart"/>
            <w:r w:rsidRPr="00C57B9B">
              <w:rPr>
                <w:rFonts w:eastAsia="標楷體" w:hint="eastAsia"/>
                <w:bCs/>
                <w:szCs w:val="28"/>
              </w:rPr>
              <w:t>目睹兒處遇</w:t>
            </w:r>
            <w:proofErr w:type="gramEnd"/>
            <w:r w:rsidRPr="00C57B9B">
              <w:rPr>
                <w:rFonts w:eastAsia="標楷體" w:hint="eastAsia"/>
                <w:bCs/>
                <w:szCs w:val="28"/>
              </w:rPr>
              <w:t>服務，已有相關因應作為，以強化成保與兒保</w:t>
            </w:r>
            <w:proofErr w:type="gramStart"/>
            <w:r w:rsidRPr="00C57B9B">
              <w:rPr>
                <w:rFonts w:eastAsia="標楷體" w:hint="eastAsia"/>
                <w:bCs/>
                <w:szCs w:val="28"/>
              </w:rPr>
              <w:t>社工間的合作</w:t>
            </w:r>
            <w:proofErr w:type="gramEnd"/>
            <w:r w:rsidRPr="00C57B9B">
              <w:rPr>
                <w:rFonts w:eastAsia="標楷體" w:hint="eastAsia"/>
                <w:bCs/>
                <w:szCs w:val="28"/>
              </w:rPr>
              <w:t>機制，包括啟動共訪、資訊共享及處遇分工等。</w:t>
            </w:r>
          </w:p>
          <w:p w:rsidR="00EF51E8" w:rsidRDefault="00EF51E8" w:rsidP="00EF51E8">
            <w:pPr>
              <w:spacing w:afterLines="50" w:after="180" w:line="340" w:lineRule="exact"/>
              <w:jc w:val="both"/>
              <w:rPr>
                <w:rFonts w:eastAsia="標楷體"/>
                <w:bCs/>
              </w:rPr>
            </w:pPr>
            <w:r w:rsidRPr="00E27345">
              <w:rPr>
                <w:rFonts w:eastAsia="標楷體" w:hint="eastAsia"/>
                <w:bCs/>
              </w:rPr>
              <w:t>◆</w:t>
            </w:r>
            <w:r>
              <w:rPr>
                <w:rFonts w:ascii="標楷體" w:eastAsia="標楷體" w:hAnsi="標楷體" w:hint="eastAsia"/>
                <w:b/>
                <w:color w:val="000000"/>
                <w:sz w:val="28"/>
                <w:szCs w:val="28"/>
              </w:rPr>
              <w:t>促成法令增修績效</w:t>
            </w:r>
          </w:p>
          <w:p w:rsidR="00EF51E8" w:rsidRDefault="00EF51E8" w:rsidP="00F26F40">
            <w:pPr>
              <w:spacing w:line="360" w:lineRule="atLeast"/>
              <w:jc w:val="both"/>
              <w:rPr>
                <w:rFonts w:eastAsia="標楷體"/>
                <w:bCs/>
                <w:szCs w:val="28"/>
              </w:rPr>
            </w:pPr>
            <w:r w:rsidRPr="00EF51E8">
              <w:rPr>
                <w:rFonts w:eastAsia="標楷體"/>
                <w:bCs/>
                <w:szCs w:val="28"/>
              </w:rPr>
              <w:t>(</w:t>
            </w:r>
            <w:proofErr w:type="gramStart"/>
            <w:r w:rsidRPr="00EF51E8">
              <w:rPr>
                <w:rFonts w:eastAsia="標楷體" w:hint="eastAsia"/>
                <w:bCs/>
                <w:szCs w:val="28"/>
              </w:rPr>
              <w:t>一</w:t>
            </w:r>
            <w:proofErr w:type="gramEnd"/>
            <w:r w:rsidRPr="00EF51E8">
              <w:rPr>
                <w:rFonts w:eastAsia="標楷體"/>
                <w:bCs/>
                <w:szCs w:val="28"/>
              </w:rPr>
              <w:t>)</w:t>
            </w:r>
            <w:r w:rsidRPr="00EF51E8">
              <w:rPr>
                <w:rFonts w:eastAsia="標楷體" w:hint="eastAsia"/>
                <w:bCs/>
                <w:szCs w:val="28"/>
              </w:rPr>
              <w:t>針對調查意見四</w:t>
            </w:r>
            <w:r w:rsidRPr="00EF51E8">
              <w:rPr>
                <w:rFonts w:eastAsia="標楷體"/>
                <w:bCs/>
                <w:szCs w:val="28"/>
              </w:rPr>
              <w:t>(</w:t>
            </w:r>
            <w:r w:rsidRPr="00EF51E8">
              <w:rPr>
                <w:rFonts w:eastAsia="標楷體" w:hint="eastAsia"/>
                <w:bCs/>
                <w:szCs w:val="28"/>
              </w:rPr>
              <w:t>有關警政署就王女陳訴案件未能確實查明</w:t>
            </w:r>
            <w:r w:rsidRPr="00EF51E8">
              <w:rPr>
                <w:rFonts w:eastAsia="標楷體"/>
                <w:bCs/>
                <w:szCs w:val="28"/>
              </w:rPr>
              <w:t>)</w:t>
            </w:r>
            <w:r w:rsidRPr="00EF51E8">
              <w:rPr>
                <w:rFonts w:eastAsia="標楷體" w:hint="eastAsia"/>
                <w:bCs/>
                <w:szCs w:val="28"/>
              </w:rPr>
              <w:t>部分：警政署受理民眾陳情有關婦幼安全案件部分，已採取精進作為，包括：</w:t>
            </w:r>
            <w:r w:rsidRPr="00EF51E8">
              <w:rPr>
                <w:rFonts w:ascii="新細明體" w:hAnsi="新細明體" w:cs="新細明體" w:hint="eastAsia"/>
                <w:bCs/>
                <w:szCs w:val="28"/>
              </w:rPr>
              <w:t>①</w:t>
            </w:r>
            <w:r w:rsidRPr="00EF51E8">
              <w:rPr>
                <w:rFonts w:ascii="標楷體" w:eastAsia="標楷體" w:hAnsi="標楷體" w:cs="標楷體" w:hint="eastAsia"/>
                <w:bCs/>
                <w:szCs w:val="28"/>
              </w:rPr>
              <w:t>該署於</w:t>
            </w:r>
            <w:r w:rsidRPr="00EF51E8">
              <w:rPr>
                <w:rFonts w:eastAsia="標楷體"/>
                <w:bCs/>
                <w:szCs w:val="28"/>
              </w:rPr>
              <w:t>113</w:t>
            </w:r>
            <w:r w:rsidRPr="00EF51E8">
              <w:rPr>
                <w:rFonts w:eastAsia="標楷體" w:hint="eastAsia"/>
                <w:bCs/>
                <w:szCs w:val="28"/>
              </w:rPr>
              <w:t>年</w:t>
            </w:r>
            <w:r w:rsidRPr="00EF51E8">
              <w:rPr>
                <w:rFonts w:eastAsia="標楷體"/>
                <w:bCs/>
                <w:szCs w:val="28"/>
              </w:rPr>
              <w:t>2</w:t>
            </w:r>
            <w:r w:rsidRPr="00EF51E8">
              <w:rPr>
                <w:rFonts w:eastAsia="標楷體" w:hint="eastAsia"/>
                <w:bCs/>
                <w:szCs w:val="28"/>
              </w:rPr>
              <w:t>月</w:t>
            </w:r>
            <w:r w:rsidRPr="00EF51E8">
              <w:rPr>
                <w:rFonts w:eastAsia="標楷體"/>
                <w:bCs/>
                <w:szCs w:val="28"/>
              </w:rPr>
              <w:t>5</w:t>
            </w:r>
            <w:r w:rsidRPr="00EF51E8">
              <w:rPr>
                <w:rFonts w:eastAsia="標楷體" w:hint="eastAsia"/>
                <w:bCs/>
                <w:szCs w:val="28"/>
              </w:rPr>
              <w:t>日發函各地方政府警察局及相關所屬機關，律定有關疑似婦幼案件相關定義及態樣；</w:t>
            </w:r>
            <w:r w:rsidRPr="00EF51E8">
              <w:rPr>
                <w:rFonts w:ascii="新細明體" w:hAnsi="新細明體" w:cs="新細明體" w:hint="eastAsia"/>
                <w:bCs/>
                <w:szCs w:val="28"/>
              </w:rPr>
              <w:t>②</w:t>
            </w:r>
            <w:r w:rsidRPr="00EF51E8">
              <w:rPr>
                <w:rFonts w:ascii="標楷體" w:eastAsia="標楷體" w:hAnsi="標楷體" w:cs="標楷體" w:hint="eastAsia"/>
                <w:bCs/>
                <w:szCs w:val="28"/>
              </w:rPr>
              <w:t>該署民眾服務中心受理民眾陳情案件，均依前揭函示所律定之定義及態樣，切實判斷是否</w:t>
            </w:r>
            <w:r w:rsidRPr="00EF51E8">
              <w:rPr>
                <w:rFonts w:eastAsia="標楷體" w:hint="eastAsia"/>
                <w:bCs/>
                <w:szCs w:val="28"/>
              </w:rPr>
              <w:t>屬疑似婦幼安全案件；</w:t>
            </w:r>
            <w:r w:rsidRPr="00EF51E8">
              <w:rPr>
                <w:rFonts w:ascii="新細明體" w:hAnsi="新細明體" w:cs="新細明體" w:hint="eastAsia"/>
                <w:bCs/>
                <w:szCs w:val="28"/>
              </w:rPr>
              <w:t>③</w:t>
            </w:r>
            <w:r w:rsidRPr="00EF51E8">
              <w:rPr>
                <w:rFonts w:ascii="標楷體" w:eastAsia="標楷體" w:hAnsi="標楷體" w:cs="標楷體" w:hint="eastAsia"/>
                <w:bCs/>
                <w:szCs w:val="28"/>
              </w:rPr>
              <w:t>自</w:t>
            </w:r>
            <w:r w:rsidRPr="00EF51E8">
              <w:rPr>
                <w:rFonts w:eastAsia="標楷體"/>
                <w:bCs/>
                <w:szCs w:val="28"/>
              </w:rPr>
              <w:t>113</w:t>
            </w:r>
            <w:r w:rsidRPr="00EF51E8">
              <w:rPr>
                <w:rFonts w:eastAsia="標楷體" w:hint="eastAsia"/>
                <w:bCs/>
                <w:szCs w:val="28"/>
              </w:rPr>
              <w:t>年</w:t>
            </w:r>
            <w:r w:rsidRPr="00EF51E8">
              <w:rPr>
                <w:rFonts w:eastAsia="標楷體"/>
                <w:bCs/>
                <w:szCs w:val="28"/>
              </w:rPr>
              <w:t>3</w:t>
            </w:r>
            <w:r w:rsidRPr="00EF51E8">
              <w:rPr>
                <w:rFonts w:eastAsia="標楷體" w:hint="eastAsia"/>
                <w:bCs/>
                <w:szCs w:val="28"/>
              </w:rPr>
              <w:t>月</w:t>
            </w:r>
            <w:r w:rsidRPr="00EF51E8">
              <w:rPr>
                <w:rFonts w:eastAsia="標楷體"/>
                <w:bCs/>
                <w:szCs w:val="28"/>
              </w:rPr>
              <w:t>22</w:t>
            </w:r>
            <w:r w:rsidRPr="00EF51E8">
              <w:rPr>
                <w:rFonts w:eastAsia="標楷體" w:hint="eastAsia"/>
                <w:bCs/>
                <w:szCs w:val="28"/>
              </w:rPr>
              <w:t>日起，疑似婦幼案件於受理報案階段，即透過「受理報案</w:t>
            </w:r>
            <w:r w:rsidRPr="00EF51E8">
              <w:rPr>
                <w:rFonts w:eastAsia="標楷體"/>
                <w:bCs/>
                <w:szCs w:val="28"/>
              </w:rPr>
              <w:t>e</w:t>
            </w:r>
            <w:r w:rsidRPr="00EF51E8">
              <w:rPr>
                <w:rFonts w:eastAsia="標楷體" w:hint="eastAsia"/>
                <w:bCs/>
                <w:szCs w:val="28"/>
              </w:rPr>
              <w:t>化管理平臺」同步通報「警政婦幼案件管理系統」追蹤管理；</w:t>
            </w:r>
            <w:r w:rsidRPr="00EF51E8">
              <w:rPr>
                <w:rFonts w:ascii="新細明體" w:hAnsi="新細明體" w:cs="新細明體" w:hint="eastAsia"/>
                <w:bCs/>
                <w:szCs w:val="28"/>
              </w:rPr>
              <w:t>④</w:t>
            </w:r>
            <w:r w:rsidRPr="00EF51E8">
              <w:rPr>
                <w:rFonts w:ascii="標楷體" w:eastAsia="標楷體" w:hAnsi="標楷體" w:cs="標楷體" w:hint="eastAsia"/>
                <w:bCs/>
                <w:szCs w:val="28"/>
              </w:rPr>
              <w:t>又各權責機關查處回復資料，為求慎重，仍由該中心業務人員及主管，依據相同標準逐案詳加檢視，如符合疑似婦幼案件定義及態樣，再另案簽會該署業管單位</w:t>
            </w:r>
            <w:r w:rsidRPr="00EF51E8">
              <w:rPr>
                <w:rFonts w:eastAsia="標楷體" w:hint="eastAsia"/>
                <w:bCs/>
                <w:szCs w:val="28"/>
              </w:rPr>
              <w:t>(</w:t>
            </w:r>
            <w:r w:rsidRPr="00EF51E8">
              <w:rPr>
                <w:rFonts w:eastAsia="標楷體" w:hint="eastAsia"/>
                <w:bCs/>
                <w:szCs w:val="28"/>
              </w:rPr>
              <w:t>防治組</w:t>
            </w:r>
            <w:r w:rsidRPr="00EF51E8">
              <w:rPr>
                <w:rFonts w:eastAsia="標楷體" w:hint="eastAsia"/>
                <w:bCs/>
                <w:szCs w:val="28"/>
              </w:rPr>
              <w:t>)</w:t>
            </w:r>
            <w:r w:rsidRPr="00EF51E8">
              <w:rPr>
                <w:rFonts w:eastAsia="標楷體" w:hint="eastAsia"/>
                <w:bCs/>
                <w:szCs w:val="28"/>
              </w:rPr>
              <w:t>審認，並簽奉核定後始予以結案。</w:t>
            </w:r>
            <w:r w:rsidRPr="00EF51E8">
              <w:rPr>
                <w:rFonts w:eastAsia="標楷體" w:hint="eastAsia"/>
                <w:bCs/>
                <w:szCs w:val="28"/>
              </w:rPr>
              <w:t xml:space="preserve"> </w:t>
            </w:r>
          </w:p>
          <w:p w:rsidR="00EF51E8" w:rsidRDefault="00EF51E8" w:rsidP="00F26F40">
            <w:pPr>
              <w:spacing w:line="360" w:lineRule="atLeast"/>
              <w:jc w:val="both"/>
              <w:rPr>
                <w:rFonts w:eastAsia="標楷體"/>
                <w:bCs/>
                <w:szCs w:val="28"/>
              </w:rPr>
            </w:pPr>
            <w:r w:rsidRPr="00EF51E8">
              <w:rPr>
                <w:rFonts w:eastAsia="標楷體" w:hint="eastAsia"/>
                <w:bCs/>
                <w:szCs w:val="28"/>
              </w:rPr>
              <w:t>(</w:t>
            </w:r>
            <w:r w:rsidRPr="00EF51E8">
              <w:rPr>
                <w:rFonts w:eastAsia="標楷體" w:hint="eastAsia"/>
                <w:bCs/>
                <w:szCs w:val="28"/>
              </w:rPr>
              <w:t>二</w:t>
            </w:r>
            <w:r w:rsidRPr="00EF51E8">
              <w:rPr>
                <w:rFonts w:eastAsia="標楷體" w:hint="eastAsia"/>
                <w:bCs/>
                <w:szCs w:val="28"/>
              </w:rPr>
              <w:t>)</w:t>
            </w:r>
            <w:r w:rsidRPr="00EF51E8">
              <w:rPr>
                <w:rFonts w:eastAsia="標楷體" w:hint="eastAsia"/>
                <w:bCs/>
                <w:szCs w:val="28"/>
              </w:rPr>
              <w:t>針對調查意見八</w:t>
            </w:r>
            <w:r w:rsidRPr="00EF51E8">
              <w:rPr>
                <w:rFonts w:eastAsia="標楷體" w:hint="eastAsia"/>
                <w:bCs/>
                <w:szCs w:val="28"/>
              </w:rPr>
              <w:t>(</w:t>
            </w:r>
            <w:r w:rsidRPr="00EF51E8">
              <w:rPr>
                <w:rFonts w:eastAsia="標楷體" w:hint="eastAsia"/>
                <w:bCs/>
                <w:szCs w:val="28"/>
              </w:rPr>
              <w:t>有關本案王童接受早期療育</w:t>
            </w:r>
            <w:proofErr w:type="gramStart"/>
            <w:r w:rsidRPr="00EF51E8">
              <w:rPr>
                <w:rFonts w:eastAsia="標楷體" w:hint="eastAsia"/>
                <w:bCs/>
                <w:szCs w:val="28"/>
              </w:rPr>
              <w:t>服務遭復健</w:t>
            </w:r>
            <w:proofErr w:type="gramEnd"/>
            <w:r w:rsidRPr="00EF51E8">
              <w:rPr>
                <w:rFonts w:eastAsia="標楷體" w:hint="eastAsia"/>
                <w:bCs/>
                <w:szCs w:val="28"/>
              </w:rPr>
              <w:t>師拍打大腿、</w:t>
            </w:r>
            <w:proofErr w:type="gramStart"/>
            <w:r w:rsidRPr="00EF51E8">
              <w:rPr>
                <w:rFonts w:eastAsia="標楷體" w:hint="eastAsia"/>
                <w:bCs/>
                <w:szCs w:val="28"/>
              </w:rPr>
              <w:t>捏耳、</w:t>
            </w:r>
            <w:proofErr w:type="gramEnd"/>
            <w:r w:rsidRPr="00EF51E8">
              <w:rPr>
                <w:rFonts w:eastAsia="標楷體" w:hint="eastAsia"/>
                <w:bCs/>
                <w:szCs w:val="28"/>
              </w:rPr>
              <w:t>扳頭等不當行為，該府未能詳加調查</w:t>
            </w:r>
            <w:proofErr w:type="gramStart"/>
            <w:r w:rsidRPr="00EF51E8">
              <w:rPr>
                <w:rFonts w:eastAsia="標楷體" w:hint="eastAsia"/>
                <w:bCs/>
                <w:szCs w:val="28"/>
              </w:rPr>
              <w:t>釐</w:t>
            </w:r>
            <w:proofErr w:type="gramEnd"/>
            <w:r w:rsidRPr="00EF51E8">
              <w:rPr>
                <w:rFonts w:eastAsia="標楷體" w:hint="eastAsia"/>
                <w:bCs/>
                <w:szCs w:val="28"/>
              </w:rPr>
              <w:t>清而不符合兒童最佳利益，彰縣府檢討說明與精進作為部分</w:t>
            </w:r>
            <w:r w:rsidRPr="00EF51E8">
              <w:rPr>
                <w:rFonts w:eastAsia="標楷體" w:hint="eastAsia"/>
                <w:bCs/>
                <w:szCs w:val="28"/>
              </w:rPr>
              <w:t>)</w:t>
            </w:r>
            <w:r w:rsidRPr="00EF51E8">
              <w:rPr>
                <w:rFonts w:eastAsia="標楷體" w:hint="eastAsia"/>
                <w:bCs/>
                <w:szCs w:val="28"/>
              </w:rPr>
              <w:t>部分：</w:t>
            </w:r>
            <w:proofErr w:type="gramStart"/>
            <w:r w:rsidRPr="00EF51E8">
              <w:rPr>
                <w:rFonts w:eastAsia="標楷體" w:hint="eastAsia"/>
                <w:bCs/>
                <w:szCs w:val="28"/>
              </w:rPr>
              <w:t>彰</w:t>
            </w:r>
            <w:proofErr w:type="gramEnd"/>
            <w:r w:rsidRPr="00EF51E8">
              <w:rPr>
                <w:rFonts w:eastAsia="標楷體" w:hint="eastAsia"/>
                <w:bCs/>
                <w:szCs w:val="28"/>
              </w:rPr>
              <w:t>縣府衛生局為維護及保障兒童之權益，針對本次事件重新審視有關受理</w:t>
            </w:r>
            <w:proofErr w:type="gramStart"/>
            <w:r w:rsidRPr="00EF51E8">
              <w:rPr>
                <w:rFonts w:eastAsia="標楷體" w:hint="eastAsia"/>
                <w:bCs/>
                <w:szCs w:val="28"/>
              </w:rPr>
              <w:t>醫</w:t>
            </w:r>
            <w:proofErr w:type="gramEnd"/>
            <w:r w:rsidRPr="00EF51E8">
              <w:rPr>
                <w:rFonts w:eastAsia="標楷體" w:hint="eastAsia"/>
                <w:bCs/>
                <w:szCs w:val="28"/>
              </w:rPr>
              <w:t>事人員涉及疑似兒</w:t>
            </w:r>
            <w:r w:rsidRPr="00EF51E8">
              <w:rPr>
                <w:rFonts w:eastAsia="標楷體" w:hint="eastAsia"/>
                <w:bCs/>
                <w:szCs w:val="28"/>
              </w:rPr>
              <w:lastRenderedPageBreak/>
              <w:t>少保護性案件之處理流程，訂定策進作為，於</w:t>
            </w:r>
            <w:r w:rsidRPr="00EF51E8">
              <w:rPr>
                <w:rFonts w:eastAsia="標楷體" w:hint="eastAsia"/>
                <w:bCs/>
                <w:szCs w:val="28"/>
              </w:rPr>
              <w:t>112</w:t>
            </w:r>
            <w:r w:rsidRPr="00EF51E8">
              <w:rPr>
                <w:rFonts w:eastAsia="標楷體" w:hint="eastAsia"/>
                <w:bCs/>
                <w:szCs w:val="28"/>
              </w:rPr>
              <w:t>年</w:t>
            </w:r>
            <w:r w:rsidRPr="00EF51E8">
              <w:rPr>
                <w:rFonts w:eastAsia="標楷體" w:hint="eastAsia"/>
                <w:bCs/>
                <w:szCs w:val="28"/>
              </w:rPr>
              <w:t>4</w:t>
            </w:r>
            <w:r w:rsidRPr="00EF51E8">
              <w:rPr>
                <w:rFonts w:eastAsia="標楷體" w:hint="eastAsia"/>
                <w:bCs/>
                <w:szCs w:val="28"/>
              </w:rPr>
              <w:t>月</w:t>
            </w:r>
            <w:r w:rsidRPr="00EF51E8">
              <w:rPr>
                <w:rFonts w:eastAsia="標楷體" w:hint="eastAsia"/>
                <w:bCs/>
                <w:szCs w:val="28"/>
              </w:rPr>
              <w:t>24</w:t>
            </w:r>
            <w:r w:rsidRPr="00EF51E8">
              <w:rPr>
                <w:rFonts w:eastAsia="標楷體" w:hint="eastAsia"/>
                <w:bCs/>
                <w:szCs w:val="28"/>
              </w:rPr>
              <w:t>日與該府社會處針對是類案件共同討論精進作為，包括建置通報及行政調查機制等，以及訂定「彰化縣衛生局接獲</w:t>
            </w:r>
            <w:proofErr w:type="gramStart"/>
            <w:r w:rsidRPr="00EF51E8">
              <w:rPr>
                <w:rFonts w:eastAsia="標楷體" w:hint="eastAsia"/>
                <w:bCs/>
                <w:szCs w:val="28"/>
              </w:rPr>
              <w:t>醫</w:t>
            </w:r>
            <w:proofErr w:type="gramEnd"/>
            <w:r w:rsidRPr="00EF51E8">
              <w:rPr>
                <w:rFonts w:eastAsia="標楷體" w:hint="eastAsia"/>
                <w:bCs/>
                <w:szCs w:val="28"/>
              </w:rPr>
              <w:t>事人員一事涉及兒少不當對待案件處理流程」，該處理流程已於同年</w:t>
            </w:r>
            <w:r w:rsidRPr="00EF51E8">
              <w:rPr>
                <w:rFonts w:eastAsia="標楷體" w:hint="eastAsia"/>
                <w:bCs/>
                <w:szCs w:val="28"/>
              </w:rPr>
              <w:t>5</w:t>
            </w:r>
            <w:r w:rsidRPr="00EF51E8">
              <w:rPr>
                <w:rFonts w:eastAsia="標楷體" w:hint="eastAsia"/>
                <w:bCs/>
                <w:szCs w:val="28"/>
              </w:rPr>
              <w:t>月</w:t>
            </w:r>
            <w:r w:rsidRPr="00EF51E8">
              <w:rPr>
                <w:rFonts w:eastAsia="標楷體" w:hint="eastAsia"/>
                <w:bCs/>
                <w:szCs w:val="28"/>
              </w:rPr>
              <w:t>3</w:t>
            </w:r>
            <w:r w:rsidRPr="00EF51E8">
              <w:rPr>
                <w:rFonts w:eastAsia="標楷體" w:hint="eastAsia"/>
                <w:bCs/>
                <w:szCs w:val="28"/>
              </w:rPr>
              <w:t>日簽奉核准實施，後續若接獲是類陳情將由衛生局受理，並依公文文書處理</w:t>
            </w:r>
            <w:proofErr w:type="gramStart"/>
            <w:r w:rsidRPr="00EF51E8">
              <w:rPr>
                <w:rFonts w:eastAsia="標楷體" w:hint="eastAsia"/>
                <w:bCs/>
                <w:szCs w:val="28"/>
              </w:rPr>
              <w:t>規定錄案辦理</w:t>
            </w:r>
            <w:proofErr w:type="gramEnd"/>
            <w:r w:rsidRPr="00EF51E8">
              <w:rPr>
                <w:rFonts w:eastAsia="標楷體" w:hint="eastAsia"/>
                <w:bCs/>
                <w:szCs w:val="28"/>
              </w:rPr>
              <w:t>，建立管控機制，並將處理結果函知社會處。該縣衛生局於</w:t>
            </w:r>
            <w:r w:rsidRPr="00EF51E8">
              <w:rPr>
                <w:rFonts w:eastAsia="標楷體" w:hint="eastAsia"/>
                <w:bCs/>
                <w:szCs w:val="28"/>
              </w:rPr>
              <w:t>112</w:t>
            </w:r>
            <w:r w:rsidRPr="00EF51E8">
              <w:rPr>
                <w:rFonts w:eastAsia="標楷體" w:hint="eastAsia"/>
                <w:bCs/>
                <w:szCs w:val="28"/>
              </w:rPr>
              <w:t>年已受理</w:t>
            </w:r>
            <w:r w:rsidRPr="00EF51E8">
              <w:rPr>
                <w:rFonts w:eastAsia="標楷體" w:hint="eastAsia"/>
                <w:bCs/>
                <w:szCs w:val="28"/>
              </w:rPr>
              <w:t>1</w:t>
            </w:r>
            <w:r w:rsidRPr="00EF51E8">
              <w:rPr>
                <w:rFonts w:eastAsia="標楷體" w:hint="eastAsia"/>
                <w:bCs/>
                <w:szCs w:val="28"/>
              </w:rPr>
              <w:t>案，經訪談、取得監視器影片與相關病歷資料，以及召開專家會議討論。</w:t>
            </w:r>
            <w:proofErr w:type="gramStart"/>
            <w:r w:rsidRPr="00EF51E8">
              <w:rPr>
                <w:rFonts w:eastAsia="標楷體" w:hint="eastAsia"/>
                <w:bCs/>
                <w:szCs w:val="28"/>
              </w:rPr>
              <w:t>此外，</w:t>
            </w:r>
            <w:proofErr w:type="gramEnd"/>
            <w:r w:rsidRPr="00EF51E8">
              <w:rPr>
                <w:rFonts w:eastAsia="標楷體" w:hint="eastAsia"/>
                <w:bCs/>
                <w:szCs w:val="28"/>
              </w:rPr>
              <w:t>該局亦於</w:t>
            </w:r>
            <w:r w:rsidRPr="00EF51E8">
              <w:rPr>
                <w:rFonts w:eastAsia="標楷體" w:hint="eastAsia"/>
                <w:bCs/>
                <w:szCs w:val="28"/>
              </w:rPr>
              <w:t>112</w:t>
            </w:r>
            <w:r w:rsidRPr="00EF51E8">
              <w:rPr>
                <w:rFonts w:eastAsia="標楷體" w:hint="eastAsia"/>
                <w:bCs/>
                <w:szCs w:val="28"/>
              </w:rPr>
              <w:t>年</w:t>
            </w:r>
            <w:r w:rsidRPr="00EF51E8">
              <w:rPr>
                <w:rFonts w:eastAsia="標楷體" w:hint="eastAsia"/>
                <w:bCs/>
                <w:szCs w:val="28"/>
              </w:rPr>
              <w:t>8</w:t>
            </w:r>
            <w:r w:rsidRPr="00EF51E8">
              <w:rPr>
                <w:rFonts w:eastAsia="標楷體" w:hint="eastAsia"/>
                <w:bCs/>
                <w:szCs w:val="28"/>
              </w:rPr>
              <w:t>月至</w:t>
            </w:r>
            <w:r w:rsidRPr="00EF51E8">
              <w:rPr>
                <w:rFonts w:eastAsia="標楷體" w:hint="eastAsia"/>
                <w:bCs/>
                <w:szCs w:val="28"/>
              </w:rPr>
              <w:t>11</w:t>
            </w:r>
            <w:r w:rsidRPr="00EF51E8">
              <w:rPr>
                <w:rFonts w:eastAsia="標楷體" w:hint="eastAsia"/>
                <w:bCs/>
                <w:szCs w:val="28"/>
              </w:rPr>
              <w:t>月辦理相關教育訓練。</w:t>
            </w:r>
          </w:p>
          <w:p w:rsidR="00EF51E8" w:rsidRPr="0078237E" w:rsidRDefault="00EF51E8" w:rsidP="00F26F40">
            <w:pPr>
              <w:spacing w:line="360" w:lineRule="atLeast"/>
              <w:jc w:val="both"/>
              <w:rPr>
                <w:rFonts w:eastAsia="標楷體" w:hint="eastAsia"/>
                <w:bCs/>
                <w:szCs w:val="28"/>
              </w:rPr>
            </w:pPr>
          </w:p>
        </w:tc>
        <w:tc>
          <w:tcPr>
            <w:tcW w:w="3415"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內政及族群</w:t>
            </w:r>
            <w:r w:rsidR="00F26F40">
              <w:rPr>
                <w:rFonts w:ascii="標楷體" w:eastAsia="標楷體" w:hAnsi="標楷體" w:hint="eastAsia"/>
                <w:bCs/>
              </w:rPr>
              <w:t>、</w:t>
            </w:r>
            <w:r w:rsidR="00EF51E8" w:rsidRPr="00EF51E8">
              <w:rPr>
                <w:rFonts w:ascii="標楷體" w:eastAsia="標楷體" w:hAnsi="標楷體" w:hint="eastAsia"/>
                <w:bCs/>
              </w:rPr>
              <w:t>社會福利及衛生環境</w:t>
            </w:r>
            <w:r>
              <w:rPr>
                <w:rFonts w:ascii="標楷體" w:eastAsia="標楷體" w:hAnsi="標楷體" w:hint="eastAsia"/>
                <w:bCs/>
              </w:rPr>
              <w:t>委員會11</w:t>
            </w:r>
            <w:r w:rsidR="00EF51E8">
              <w:rPr>
                <w:rFonts w:ascii="標楷體" w:eastAsia="標楷體" w:hAnsi="標楷體" w:hint="eastAsia"/>
                <w:bCs/>
              </w:rPr>
              <w:t>4</w:t>
            </w:r>
            <w:r>
              <w:rPr>
                <w:rFonts w:ascii="標楷體" w:eastAsia="標楷體" w:hAnsi="標楷體" w:hint="eastAsia"/>
                <w:bCs/>
              </w:rPr>
              <w:t>.</w:t>
            </w:r>
            <w:r w:rsidR="00EF51E8">
              <w:rPr>
                <w:rFonts w:ascii="標楷體" w:eastAsia="標楷體" w:hAnsi="標楷體" w:hint="eastAsia"/>
                <w:bCs/>
              </w:rPr>
              <w:t>3</w:t>
            </w:r>
            <w:r>
              <w:rPr>
                <w:rFonts w:ascii="標楷體" w:eastAsia="標楷體" w:hAnsi="標楷體" w:hint="eastAsia"/>
                <w:bCs/>
              </w:rPr>
              <w:t>.</w:t>
            </w:r>
            <w:r w:rsidR="00EF51E8">
              <w:rPr>
                <w:rFonts w:ascii="標楷體" w:eastAsia="標楷體" w:hAnsi="標楷體" w:hint="eastAsia"/>
                <w:bCs/>
              </w:rPr>
              <w:t>6</w:t>
            </w:r>
            <w:r>
              <w:rPr>
                <w:rFonts w:ascii="標楷體" w:eastAsia="標楷體" w:hAnsi="標楷體" w:hint="eastAsia"/>
                <w:bCs/>
              </w:rPr>
              <w:t>第6屆第</w:t>
            </w:r>
            <w:r w:rsidR="00F26F40">
              <w:rPr>
                <w:rFonts w:ascii="標楷體" w:eastAsia="標楷體" w:hAnsi="標楷體" w:hint="eastAsia"/>
                <w:bCs/>
              </w:rPr>
              <w:t>3</w:t>
            </w:r>
            <w:r w:rsidR="00EF51E8">
              <w:rPr>
                <w:rFonts w:ascii="標楷體" w:eastAsia="標楷體" w:hAnsi="標楷體" w:hint="eastAsia"/>
                <w:bCs/>
              </w:rPr>
              <w:t>0</w:t>
            </w:r>
            <w:r>
              <w:rPr>
                <w:rFonts w:ascii="標楷體" w:eastAsia="標楷體" w:hAnsi="標楷體" w:hint="eastAsia"/>
                <w:bCs/>
              </w:rPr>
              <w:t>次</w:t>
            </w:r>
            <w:r w:rsidR="00F26F40">
              <w:rPr>
                <w:rFonts w:ascii="標楷體" w:eastAsia="標楷體" w:hAnsi="標楷體" w:hint="eastAsia"/>
                <w:bCs/>
              </w:rPr>
              <w:t>聯席</w:t>
            </w:r>
            <w:r>
              <w:rPr>
                <w:rFonts w:ascii="標楷體" w:eastAsia="標楷體" w:hAnsi="標楷體" w:hint="eastAsia"/>
                <w:bCs/>
              </w:rPr>
              <w:t>會議決議:結案存查。</w:t>
            </w:r>
          </w:p>
        </w:tc>
      </w:tr>
    </w:tbl>
    <w:p w:rsidR="008E6A2A" w:rsidRPr="00464FCD" w:rsidRDefault="008E6A2A" w:rsidP="00B80D60">
      <w:pPr>
        <w:snapToGrid w:val="0"/>
        <w:spacing w:beforeLines="100" w:before="360" w:line="240" w:lineRule="atLeast"/>
        <w:ind w:leftChars="6" w:left="866" w:hangingChars="304" w:hanging="852"/>
        <w:rPr>
          <w:rFonts w:eastAsia="標楷體"/>
          <w:b/>
          <w:bCs/>
          <w:sz w:val="28"/>
        </w:rPr>
      </w:pPr>
    </w:p>
    <w:sectPr w:rsidR="008E6A2A" w:rsidRPr="00464FCD"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1D5" w:rsidRDefault="007071D5" w:rsidP="008E6A2A">
      <w:r>
        <w:separator/>
      </w:r>
    </w:p>
  </w:endnote>
  <w:endnote w:type="continuationSeparator" w:id="0">
    <w:p w:rsidR="007071D5" w:rsidRDefault="007071D5"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FF3073">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8E6A2A" w:rsidP="00530BF4">
    <w:pPr>
      <w:pStyle w:val="a9"/>
      <w:tabs>
        <w:tab w:val="clear" w:pos="4153"/>
        <w:tab w:val="clear" w:pos="8306"/>
        <w:tab w:val="center" w:pos="7002"/>
        <w:tab w:val="right" w:pos="14004"/>
      </w:tabs>
      <w:ind w:right="360"/>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1D5" w:rsidRDefault="007071D5" w:rsidP="008E6A2A">
      <w:r>
        <w:separator/>
      </w:r>
    </w:p>
  </w:footnote>
  <w:footnote w:type="continuationSeparator" w:id="0">
    <w:p w:rsidR="007071D5" w:rsidRDefault="007071D5"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86"/>
    <w:rsid w:val="000000E9"/>
    <w:rsid w:val="00012735"/>
    <w:rsid w:val="00071D8C"/>
    <w:rsid w:val="000A03B4"/>
    <w:rsid w:val="000B3010"/>
    <w:rsid w:val="000C4BA0"/>
    <w:rsid w:val="000D173D"/>
    <w:rsid w:val="000D2F33"/>
    <w:rsid w:val="00107F76"/>
    <w:rsid w:val="00116C5C"/>
    <w:rsid w:val="00132E54"/>
    <w:rsid w:val="00135D2D"/>
    <w:rsid w:val="00150AE3"/>
    <w:rsid w:val="00156BE8"/>
    <w:rsid w:val="001A630D"/>
    <w:rsid w:val="001C2DB1"/>
    <w:rsid w:val="001C2FC4"/>
    <w:rsid w:val="001F18D3"/>
    <w:rsid w:val="00203463"/>
    <w:rsid w:val="002551AA"/>
    <w:rsid w:val="00261E98"/>
    <w:rsid w:val="00286BEE"/>
    <w:rsid w:val="00294BC3"/>
    <w:rsid w:val="002A41AF"/>
    <w:rsid w:val="002B00F5"/>
    <w:rsid w:val="002F0866"/>
    <w:rsid w:val="00300EAE"/>
    <w:rsid w:val="00311E45"/>
    <w:rsid w:val="00323CED"/>
    <w:rsid w:val="00335C31"/>
    <w:rsid w:val="003571B8"/>
    <w:rsid w:val="0036733D"/>
    <w:rsid w:val="00382907"/>
    <w:rsid w:val="003927F4"/>
    <w:rsid w:val="003969C9"/>
    <w:rsid w:val="003D25B5"/>
    <w:rsid w:val="003D263F"/>
    <w:rsid w:val="003F4B49"/>
    <w:rsid w:val="0040231B"/>
    <w:rsid w:val="00404F55"/>
    <w:rsid w:val="004373AF"/>
    <w:rsid w:val="00440949"/>
    <w:rsid w:val="00456CC2"/>
    <w:rsid w:val="00460450"/>
    <w:rsid w:val="00464371"/>
    <w:rsid w:val="00464FCD"/>
    <w:rsid w:val="00480207"/>
    <w:rsid w:val="00484F8A"/>
    <w:rsid w:val="0049741B"/>
    <w:rsid w:val="004A3E81"/>
    <w:rsid w:val="004A60C4"/>
    <w:rsid w:val="004A75BC"/>
    <w:rsid w:val="004B3C60"/>
    <w:rsid w:val="004C0625"/>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35F45"/>
    <w:rsid w:val="006805D3"/>
    <w:rsid w:val="006B1797"/>
    <w:rsid w:val="006C264B"/>
    <w:rsid w:val="006E6196"/>
    <w:rsid w:val="007032D2"/>
    <w:rsid w:val="007071D5"/>
    <w:rsid w:val="00720393"/>
    <w:rsid w:val="007336A7"/>
    <w:rsid w:val="00773888"/>
    <w:rsid w:val="0078237E"/>
    <w:rsid w:val="00782BFE"/>
    <w:rsid w:val="007F175A"/>
    <w:rsid w:val="00840641"/>
    <w:rsid w:val="00840E6E"/>
    <w:rsid w:val="00842B98"/>
    <w:rsid w:val="00851BF4"/>
    <w:rsid w:val="00851E63"/>
    <w:rsid w:val="00866C3B"/>
    <w:rsid w:val="008676B9"/>
    <w:rsid w:val="00872D71"/>
    <w:rsid w:val="008763DE"/>
    <w:rsid w:val="00876606"/>
    <w:rsid w:val="00897D01"/>
    <w:rsid w:val="008A3D0E"/>
    <w:rsid w:val="008A7EFF"/>
    <w:rsid w:val="008C6961"/>
    <w:rsid w:val="008E6A2A"/>
    <w:rsid w:val="008F1D41"/>
    <w:rsid w:val="009038BA"/>
    <w:rsid w:val="00911C3F"/>
    <w:rsid w:val="00911FB8"/>
    <w:rsid w:val="0092250D"/>
    <w:rsid w:val="0094299B"/>
    <w:rsid w:val="009545CC"/>
    <w:rsid w:val="0095652A"/>
    <w:rsid w:val="00965E53"/>
    <w:rsid w:val="0096785A"/>
    <w:rsid w:val="00984A86"/>
    <w:rsid w:val="00995389"/>
    <w:rsid w:val="00997EEA"/>
    <w:rsid w:val="009A1B2D"/>
    <w:rsid w:val="009A313F"/>
    <w:rsid w:val="009C1C19"/>
    <w:rsid w:val="009E4A13"/>
    <w:rsid w:val="009E6993"/>
    <w:rsid w:val="009F00F5"/>
    <w:rsid w:val="009F135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2034"/>
    <w:rsid w:val="00B1548D"/>
    <w:rsid w:val="00B20AC7"/>
    <w:rsid w:val="00B24DA2"/>
    <w:rsid w:val="00B46BE2"/>
    <w:rsid w:val="00B55C6A"/>
    <w:rsid w:val="00B634E3"/>
    <w:rsid w:val="00B636B4"/>
    <w:rsid w:val="00B80D60"/>
    <w:rsid w:val="00B84BB6"/>
    <w:rsid w:val="00BD120E"/>
    <w:rsid w:val="00BD27F2"/>
    <w:rsid w:val="00BD5F7B"/>
    <w:rsid w:val="00BE479E"/>
    <w:rsid w:val="00BF6519"/>
    <w:rsid w:val="00C06893"/>
    <w:rsid w:val="00C20C4F"/>
    <w:rsid w:val="00C318D0"/>
    <w:rsid w:val="00C4036E"/>
    <w:rsid w:val="00C57B9B"/>
    <w:rsid w:val="00C6169B"/>
    <w:rsid w:val="00C72582"/>
    <w:rsid w:val="00C744B1"/>
    <w:rsid w:val="00C800E4"/>
    <w:rsid w:val="00C861BA"/>
    <w:rsid w:val="00CB2E8C"/>
    <w:rsid w:val="00CC2941"/>
    <w:rsid w:val="00CC4AAE"/>
    <w:rsid w:val="00CD3A33"/>
    <w:rsid w:val="00D064A0"/>
    <w:rsid w:val="00D27C46"/>
    <w:rsid w:val="00D47D4D"/>
    <w:rsid w:val="00D76EC1"/>
    <w:rsid w:val="00D87FA8"/>
    <w:rsid w:val="00D97F24"/>
    <w:rsid w:val="00DA6DB5"/>
    <w:rsid w:val="00DD0571"/>
    <w:rsid w:val="00DE7B5D"/>
    <w:rsid w:val="00E177C9"/>
    <w:rsid w:val="00E564ED"/>
    <w:rsid w:val="00E84CC0"/>
    <w:rsid w:val="00E92538"/>
    <w:rsid w:val="00E93223"/>
    <w:rsid w:val="00E95086"/>
    <w:rsid w:val="00EC07DC"/>
    <w:rsid w:val="00ED5BEB"/>
    <w:rsid w:val="00EE1FB2"/>
    <w:rsid w:val="00EE3734"/>
    <w:rsid w:val="00EF51E8"/>
    <w:rsid w:val="00F041B1"/>
    <w:rsid w:val="00F26F40"/>
    <w:rsid w:val="00F9537C"/>
    <w:rsid w:val="00F96995"/>
    <w:rsid w:val="00FD1947"/>
    <w:rsid w:val="00FD2C4F"/>
    <w:rsid w:val="00FF3073"/>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77F49"/>
  <w15:docId w15:val="{1B6D2C53-A6FF-4049-AC8D-8287C8D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264</Words>
  <Characters>1510</Characters>
  <Application>Microsoft Office Word</Application>
  <DocSecurity>0</DocSecurity>
  <Lines>12</Lines>
  <Paragraphs>3</Paragraphs>
  <ScaleCrop>false</ScaleCrop>
  <Company>監察院</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曾莉雯</cp:lastModifiedBy>
  <cp:revision>3</cp:revision>
  <cp:lastPrinted>2024-10-09T02:40:00Z</cp:lastPrinted>
  <dcterms:created xsi:type="dcterms:W3CDTF">2025-04-29T06:48:00Z</dcterms:created>
  <dcterms:modified xsi:type="dcterms:W3CDTF">2025-04-29T07:57:00Z</dcterms:modified>
</cp:coreProperties>
</file>