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C53DAC" w:rsidRDefault="007336A7" w:rsidP="00C53DAC">
            <w:pPr>
              <w:spacing w:line="360" w:lineRule="atLeast"/>
              <w:ind w:left="240" w:hangingChars="100" w:hanging="240"/>
              <w:jc w:val="center"/>
              <w:rPr>
                <w:rFonts w:eastAsia="標楷體"/>
                <w:bCs/>
                <w:szCs w:val="28"/>
              </w:rPr>
            </w:pPr>
            <w:r>
              <w:rPr>
                <w:rFonts w:eastAsia="標楷體" w:hint="eastAsia"/>
                <w:bCs/>
                <w:szCs w:val="28"/>
              </w:rPr>
              <w:t>112</w:t>
            </w:r>
          </w:p>
          <w:p w:rsidR="00FF343B" w:rsidRDefault="007336A7" w:rsidP="00C53DAC">
            <w:pPr>
              <w:spacing w:line="360" w:lineRule="atLeast"/>
              <w:ind w:left="240" w:hangingChars="100" w:hanging="240"/>
              <w:jc w:val="center"/>
              <w:rPr>
                <w:rFonts w:eastAsia="標楷體"/>
                <w:bCs/>
                <w:szCs w:val="28"/>
              </w:rPr>
            </w:pPr>
            <w:proofErr w:type="gramStart"/>
            <w:r>
              <w:rPr>
                <w:rFonts w:eastAsia="標楷體" w:hint="eastAsia"/>
                <w:bCs/>
                <w:szCs w:val="28"/>
              </w:rPr>
              <w:t>教調</w:t>
            </w:r>
            <w:proofErr w:type="gramEnd"/>
            <w:r>
              <w:rPr>
                <w:rFonts w:eastAsia="標楷體" w:hint="eastAsia"/>
                <w:bCs/>
                <w:szCs w:val="28"/>
              </w:rPr>
              <w:t>4</w:t>
            </w:r>
          </w:p>
        </w:tc>
        <w:tc>
          <w:tcPr>
            <w:tcW w:w="5762" w:type="dxa"/>
          </w:tcPr>
          <w:p w:rsidR="00FF343B" w:rsidRDefault="007336A7" w:rsidP="00C53DAC">
            <w:pPr>
              <w:spacing w:line="360" w:lineRule="atLeast"/>
              <w:ind w:left="240" w:hangingChars="100" w:hanging="240"/>
              <w:jc w:val="both"/>
              <w:rPr>
                <w:rFonts w:eastAsia="標楷體"/>
                <w:bCs/>
              </w:rPr>
            </w:pPr>
            <w:r>
              <w:rPr>
                <w:rFonts w:eastAsia="標楷體" w:hint="eastAsia"/>
                <w:bCs/>
              </w:rPr>
              <w:t>◆</w:t>
            </w:r>
            <w:r w:rsidR="00905DC3">
              <w:rPr>
                <w:rFonts w:eastAsia="標楷體" w:hint="eastAsia"/>
                <w:bCs/>
              </w:rPr>
              <w:t>增修法令</w:t>
            </w:r>
          </w:p>
          <w:p w:rsidR="00905DC3" w:rsidRPr="0078237E" w:rsidRDefault="00A65CBB" w:rsidP="00C53DAC">
            <w:pPr>
              <w:spacing w:line="360" w:lineRule="atLeast"/>
              <w:ind w:left="240" w:hangingChars="100" w:hanging="240"/>
              <w:jc w:val="both"/>
              <w:rPr>
                <w:rFonts w:eastAsia="標楷體"/>
                <w:bCs/>
                <w:szCs w:val="28"/>
              </w:rPr>
            </w:pPr>
            <w:r>
              <w:rPr>
                <w:rFonts w:eastAsia="標楷體" w:hint="eastAsia"/>
                <w:bCs/>
              </w:rPr>
              <w:t>一、</w:t>
            </w:r>
            <w:r w:rsidR="00905DC3">
              <w:rPr>
                <w:rFonts w:eastAsia="標楷體" w:hint="eastAsia"/>
                <w:bCs/>
              </w:rPr>
              <w:t>中央研究院</w:t>
            </w:r>
            <w:r w:rsidR="00905DC3">
              <w:rPr>
                <w:rFonts w:eastAsia="標楷體" w:hint="eastAsia"/>
                <w:bCs/>
              </w:rPr>
              <w:t>:</w:t>
            </w:r>
          </w:p>
          <w:p w:rsidR="00FF343B" w:rsidRPr="0078237E" w:rsidRDefault="007336A7" w:rsidP="00C53DAC">
            <w:pPr>
              <w:spacing w:line="360" w:lineRule="atLeast"/>
              <w:ind w:left="240" w:hangingChars="100" w:hanging="240"/>
              <w:jc w:val="both"/>
              <w:rPr>
                <w:rFonts w:eastAsia="標楷體"/>
                <w:bCs/>
                <w:szCs w:val="28"/>
              </w:rPr>
            </w:pPr>
            <w:r>
              <w:rPr>
                <w:rFonts w:eastAsia="標楷體" w:hint="eastAsia"/>
                <w:bCs/>
              </w:rPr>
              <w:t>1.</w:t>
            </w:r>
            <w:r w:rsidR="00905DC3">
              <w:rPr>
                <w:rFonts w:eastAsia="標楷體" w:hint="eastAsia"/>
                <w:bCs/>
              </w:rPr>
              <w:t xml:space="preserve"> </w:t>
            </w:r>
            <w:r>
              <w:rPr>
                <w:rFonts w:eastAsia="標楷體" w:hint="eastAsia"/>
                <w:bCs/>
              </w:rPr>
              <w:t>112</w:t>
            </w:r>
            <w:r>
              <w:rPr>
                <w:rFonts w:eastAsia="標楷體" w:hint="eastAsia"/>
                <w:bCs/>
              </w:rPr>
              <w:t>年</w:t>
            </w:r>
            <w:r>
              <w:rPr>
                <w:rFonts w:eastAsia="標楷體" w:hint="eastAsia"/>
                <w:bCs/>
              </w:rPr>
              <w:t>4</w:t>
            </w:r>
            <w:r>
              <w:rPr>
                <w:rFonts w:eastAsia="標楷體" w:hint="eastAsia"/>
                <w:bCs/>
              </w:rPr>
              <w:t>月</w:t>
            </w:r>
            <w:r>
              <w:rPr>
                <w:rFonts w:eastAsia="標楷體" w:hint="eastAsia"/>
                <w:bCs/>
              </w:rPr>
              <w:t>27</w:t>
            </w:r>
            <w:r>
              <w:rPr>
                <w:rFonts w:eastAsia="標楷體" w:hint="eastAsia"/>
                <w:bCs/>
              </w:rPr>
              <w:t>日訂定「中央研究院高防護實驗室生物安全內部稽核規定」，每年邀請外部專家辦理</w:t>
            </w:r>
            <w:proofErr w:type="gramStart"/>
            <w:r>
              <w:rPr>
                <w:rFonts w:eastAsia="標楷體" w:hint="eastAsia"/>
                <w:bCs/>
              </w:rPr>
              <w:t>該院高防護</w:t>
            </w:r>
            <w:proofErr w:type="gramEnd"/>
            <w:r>
              <w:rPr>
                <w:rFonts w:eastAsia="標楷體" w:hint="eastAsia"/>
                <w:bCs/>
              </w:rPr>
              <w:t>實驗室生物安全內部稽核</w:t>
            </w:r>
            <w:r>
              <w:rPr>
                <w:rFonts w:eastAsia="標楷體" w:hint="eastAsia"/>
                <w:bCs/>
              </w:rPr>
              <w:t>1</w:t>
            </w:r>
            <w:r>
              <w:rPr>
                <w:rFonts w:eastAsia="標楷體" w:hint="eastAsia"/>
                <w:bCs/>
              </w:rPr>
              <w:t>次。</w:t>
            </w:r>
            <w:r>
              <w:rPr>
                <w:rFonts w:eastAsia="標楷體" w:hint="eastAsia"/>
                <w:bCs/>
              </w:rPr>
              <w:t xml:space="preserve"> </w:t>
            </w:r>
          </w:p>
          <w:p w:rsidR="00FF343B" w:rsidRPr="0078237E" w:rsidRDefault="007336A7" w:rsidP="00C53DAC">
            <w:pPr>
              <w:spacing w:line="360" w:lineRule="atLeast"/>
              <w:ind w:left="240" w:hangingChars="100" w:hanging="240"/>
              <w:jc w:val="both"/>
              <w:rPr>
                <w:rFonts w:eastAsia="標楷體"/>
                <w:bCs/>
                <w:szCs w:val="28"/>
              </w:rPr>
            </w:pPr>
            <w:r>
              <w:rPr>
                <w:rFonts w:eastAsia="標楷體" w:hint="eastAsia"/>
                <w:bCs/>
              </w:rPr>
              <w:t>2.</w:t>
            </w:r>
            <w:r w:rsidR="00905DC3">
              <w:rPr>
                <w:rFonts w:eastAsia="標楷體" w:hint="eastAsia"/>
                <w:bCs/>
              </w:rPr>
              <w:t xml:space="preserve"> </w:t>
            </w:r>
            <w:r>
              <w:rPr>
                <w:rFonts w:eastAsia="標楷體" w:hint="eastAsia"/>
                <w:bCs/>
              </w:rPr>
              <w:t>112</w:t>
            </w:r>
            <w:r>
              <w:rPr>
                <w:rFonts w:eastAsia="標楷體" w:hint="eastAsia"/>
                <w:bCs/>
              </w:rPr>
              <w:t>年</w:t>
            </w:r>
            <w:r>
              <w:rPr>
                <w:rFonts w:eastAsia="標楷體" w:hint="eastAsia"/>
                <w:bCs/>
              </w:rPr>
              <w:t>5</w:t>
            </w:r>
            <w:r>
              <w:rPr>
                <w:rFonts w:eastAsia="標楷體" w:hint="eastAsia"/>
                <w:bCs/>
              </w:rPr>
              <w:t>月</w:t>
            </w:r>
            <w:r>
              <w:rPr>
                <w:rFonts w:eastAsia="標楷體" w:hint="eastAsia"/>
                <w:bCs/>
              </w:rPr>
              <w:t>1</w:t>
            </w:r>
            <w:r>
              <w:rPr>
                <w:rFonts w:eastAsia="標楷體" w:hint="eastAsia"/>
                <w:bCs/>
              </w:rPr>
              <w:t>日及</w:t>
            </w:r>
            <w:r>
              <w:rPr>
                <w:rFonts w:eastAsia="標楷體" w:hint="eastAsia"/>
                <w:bCs/>
              </w:rPr>
              <w:t>6</w:t>
            </w:r>
            <w:r>
              <w:rPr>
                <w:rFonts w:eastAsia="標楷體" w:hint="eastAsia"/>
                <w:bCs/>
              </w:rPr>
              <w:t>月</w:t>
            </w:r>
            <w:r>
              <w:rPr>
                <w:rFonts w:eastAsia="標楷體" w:hint="eastAsia"/>
                <w:bCs/>
              </w:rPr>
              <w:t>12</w:t>
            </w:r>
            <w:r>
              <w:rPr>
                <w:rFonts w:eastAsia="標楷體" w:hint="eastAsia"/>
                <w:bCs/>
              </w:rPr>
              <w:t>日分別訂定「中央研究院高防護實驗室人員生物安全知能評核規定」及「中央研究院高防護實驗室工作人員之生物安全訓練及考核規定」，完成實驗室人員知能評核</w:t>
            </w:r>
            <w:r w:rsidR="008F548E">
              <w:rPr>
                <w:rFonts w:eastAsia="標楷體" w:hint="eastAsia"/>
                <w:bCs/>
              </w:rPr>
              <w:t>，</w:t>
            </w:r>
            <w:r>
              <w:rPr>
                <w:rFonts w:eastAsia="標楷體" w:hint="eastAsia"/>
                <w:bCs/>
              </w:rPr>
              <w:t>並辦理相關教育訓練。</w:t>
            </w:r>
            <w:r>
              <w:rPr>
                <w:rFonts w:eastAsia="標楷體" w:hint="eastAsia"/>
                <w:bCs/>
              </w:rPr>
              <w:t xml:space="preserve"> </w:t>
            </w:r>
          </w:p>
          <w:p w:rsidR="00FF343B" w:rsidRPr="0078237E" w:rsidRDefault="007336A7" w:rsidP="00C53DAC">
            <w:pPr>
              <w:spacing w:line="360" w:lineRule="atLeast"/>
              <w:ind w:left="240" w:hangingChars="100" w:hanging="240"/>
              <w:jc w:val="both"/>
              <w:rPr>
                <w:rFonts w:eastAsia="標楷體"/>
                <w:bCs/>
                <w:szCs w:val="28"/>
              </w:rPr>
            </w:pPr>
            <w:r>
              <w:rPr>
                <w:rFonts w:eastAsia="標楷體" w:hint="eastAsia"/>
                <w:bCs/>
              </w:rPr>
              <w:t>3.</w:t>
            </w:r>
            <w:r w:rsidR="00905DC3">
              <w:rPr>
                <w:rFonts w:eastAsia="標楷體" w:hint="eastAsia"/>
                <w:bCs/>
              </w:rPr>
              <w:t xml:space="preserve"> </w:t>
            </w:r>
            <w:r>
              <w:rPr>
                <w:rFonts w:eastAsia="標楷體" w:hint="eastAsia"/>
                <w:bCs/>
              </w:rPr>
              <w:t>112</w:t>
            </w:r>
            <w:r>
              <w:rPr>
                <w:rFonts w:eastAsia="標楷體" w:hint="eastAsia"/>
                <w:bCs/>
              </w:rPr>
              <w:t>年</w:t>
            </w:r>
            <w:r>
              <w:rPr>
                <w:rFonts w:eastAsia="標楷體" w:hint="eastAsia"/>
                <w:bCs/>
              </w:rPr>
              <w:t>6</w:t>
            </w:r>
            <w:r>
              <w:rPr>
                <w:rFonts w:eastAsia="標楷體" w:hint="eastAsia"/>
                <w:bCs/>
              </w:rPr>
              <w:t>月</w:t>
            </w:r>
            <w:r>
              <w:rPr>
                <w:rFonts w:eastAsia="標楷體" w:hint="eastAsia"/>
                <w:bCs/>
              </w:rPr>
              <w:t>19</w:t>
            </w:r>
            <w:r>
              <w:rPr>
                <w:rFonts w:eastAsia="標楷體" w:hint="eastAsia"/>
                <w:bCs/>
              </w:rPr>
              <w:t>日訂定「中央研究院高防護實驗室工作人員補助要點」，截至</w:t>
            </w:r>
            <w:r>
              <w:rPr>
                <w:rFonts w:eastAsia="標楷體" w:hint="eastAsia"/>
                <w:bCs/>
              </w:rPr>
              <w:t>113</w:t>
            </w:r>
            <w:r>
              <w:rPr>
                <w:rFonts w:eastAsia="標楷體" w:hint="eastAsia"/>
                <w:bCs/>
              </w:rPr>
              <w:t>年</w:t>
            </w:r>
            <w:r>
              <w:rPr>
                <w:rFonts w:eastAsia="標楷體" w:hint="eastAsia"/>
                <w:bCs/>
              </w:rPr>
              <w:t>12</w:t>
            </w:r>
            <w:r>
              <w:rPr>
                <w:rFonts w:eastAsia="標楷體" w:hint="eastAsia"/>
                <w:bCs/>
              </w:rPr>
              <w:t>月</w:t>
            </w:r>
            <w:r w:rsidR="00A65CBB">
              <w:rPr>
                <w:rFonts w:eastAsia="標楷體" w:hint="eastAsia"/>
                <w:bCs/>
              </w:rPr>
              <w:t>底</w:t>
            </w:r>
            <w:r>
              <w:rPr>
                <w:rFonts w:eastAsia="標楷體" w:hint="eastAsia"/>
                <w:bCs/>
              </w:rPr>
              <w:t>止，共計核可</w:t>
            </w:r>
            <w:r>
              <w:rPr>
                <w:rFonts w:eastAsia="標楷體" w:hint="eastAsia"/>
                <w:bCs/>
              </w:rPr>
              <w:t>577</w:t>
            </w:r>
            <w:r>
              <w:rPr>
                <w:rFonts w:eastAsia="標楷體" w:hint="eastAsia"/>
                <w:bCs/>
              </w:rPr>
              <w:t>人次，合</w:t>
            </w:r>
            <w:bookmarkStart w:id="0" w:name="_GoBack"/>
            <w:bookmarkEnd w:id="0"/>
            <w:r>
              <w:rPr>
                <w:rFonts w:eastAsia="標楷體" w:hint="eastAsia"/>
                <w:bCs/>
              </w:rPr>
              <w:t>計核發新臺幣</w:t>
            </w:r>
            <w:r>
              <w:rPr>
                <w:rFonts w:eastAsia="標楷體" w:hint="eastAsia"/>
                <w:bCs/>
              </w:rPr>
              <w:t>45</w:t>
            </w:r>
            <w:r>
              <w:rPr>
                <w:rFonts w:eastAsia="標楷體" w:hint="eastAsia"/>
                <w:bCs/>
              </w:rPr>
              <w:t>萬</w:t>
            </w:r>
            <w:r>
              <w:rPr>
                <w:rFonts w:eastAsia="標楷體" w:hint="eastAsia"/>
                <w:bCs/>
              </w:rPr>
              <w:t>500</w:t>
            </w:r>
            <w:r>
              <w:rPr>
                <w:rFonts w:eastAsia="標楷體" w:hint="eastAsia"/>
                <w:bCs/>
              </w:rPr>
              <w:t>元。</w:t>
            </w:r>
            <w:r>
              <w:rPr>
                <w:rFonts w:eastAsia="標楷體" w:hint="eastAsia"/>
                <w:bCs/>
              </w:rPr>
              <w:t xml:space="preserve"> </w:t>
            </w:r>
          </w:p>
          <w:p w:rsidR="00FF343B" w:rsidRPr="0078237E" w:rsidRDefault="007336A7" w:rsidP="00C53DAC">
            <w:pPr>
              <w:spacing w:line="360" w:lineRule="atLeast"/>
              <w:ind w:left="240" w:hangingChars="100" w:hanging="240"/>
              <w:jc w:val="both"/>
              <w:rPr>
                <w:rFonts w:eastAsia="標楷體"/>
                <w:bCs/>
                <w:szCs w:val="28"/>
              </w:rPr>
            </w:pPr>
            <w:r>
              <w:rPr>
                <w:rFonts w:eastAsia="標楷體" w:hint="eastAsia"/>
                <w:bCs/>
              </w:rPr>
              <w:t>4.</w:t>
            </w:r>
            <w:r w:rsidR="00905DC3">
              <w:rPr>
                <w:rFonts w:eastAsia="標楷體" w:hint="eastAsia"/>
                <w:bCs/>
              </w:rPr>
              <w:t xml:space="preserve"> </w:t>
            </w:r>
            <w:r>
              <w:rPr>
                <w:rFonts w:eastAsia="標楷體" w:hint="eastAsia"/>
                <w:bCs/>
              </w:rPr>
              <w:t>113</w:t>
            </w:r>
            <w:r>
              <w:rPr>
                <w:rFonts w:eastAsia="標楷體" w:hint="eastAsia"/>
                <w:bCs/>
              </w:rPr>
              <w:t>年</w:t>
            </w:r>
            <w:r>
              <w:rPr>
                <w:rFonts w:eastAsia="標楷體" w:hint="eastAsia"/>
                <w:bCs/>
              </w:rPr>
              <w:t>9</w:t>
            </w:r>
            <w:r>
              <w:rPr>
                <w:rFonts w:eastAsia="標楷體" w:hint="eastAsia"/>
                <w:bCs/>
              </w:rPr>
              <w:t>月</w:t>
            </w:r>
            <w:r>
              <w:rPr>
                <w:rFonts w:eastAsia="標楷體" w:hint="eastAsia"/>
                <w:bCs/>
              </w:rPr>
              <w:t>26</w:t>
            </w:r>
            <w:r>
              <w:rPr>
                <w:rFonts w:eastAsia="標楷體" w:hint="eastAsia"/>
                <w:bCs/>
              </w:rPr>
              <w:t>訂定「中央研究院生物安全會高防護實驗室監視影像及門禁紀錄備份保存室管理規定」，提供該院生醫所高防護實驗室及轉譯中心高防護實驗室遵循。</w:t>
            </w:r>
            <w:r>
              <w:rPr>
                <w:rFonts w:eastAsia="標楷體" w:hint="eastAsia"/>
                <w:bCs/>
              </w:rPr>
              <w:t xml:space="preserve"> </w:t>
            </w:r>
          </w:p>
          <w:p w:rsidR="00FF343B" w:rsidRDefault="007336A7" w:rsidP="00C53DAC">
            <w:pPr>
              <w:spacing w:line="360" w:lineRule="atLeast"/>
              <w:ind w:left="240" w:hangingChars="100" w:hanging="240"/>
              <w:jc w:val="both"/>
              <w:rPr>
                <w:rFonts w:eastAsia="標楷體"/>
                <w:bCs/>
              </w:rPr>
            </w:pPr>
            <w:r>
              <w:rPr>
                <w:rFonts w:eastAsia="標楷體" w:hint="eastAsia"/>
                <w:bCs/>
              </w:rPr>
              <w:t>5.</w:t>
            </w:r>
            <w:r w:rsidR="00905DC3">
              <w:rPr>
                <w:rFonts w:eastAsia="標楷體" w:hint="eastAsia"/>
                <w:bCs/>
              </w:rPr>
              <w:t xml:space="preserve"> </w:t>
            </w:r>
            <w:r>
              <w:rPr>
                <w:rFonts w:eastAsia="標楷體" w:hint="eastAsia"/>
                <w:bCs/>
              </w:rPr>
              <w:t>112</w:t>
            </w:r>
            <w:r>
              <w:rPr>
                <w:rFonts w:eastAsia="標楷體" w:hint="eastAsia"/>
                <w:bCs/>
              </w:rPr>
              <w:t>年</w:t>
            </w:r>
            <w:r>
              <w:rPr>
                <w:rFonts w:eastAsia="標楷體" w:hint="eastAsia"/>
                <w:bCs/>
              </w:rPr>
              <w:t>7</w:t>
            </w:r>
            <w:r>
              <w:rPr>
                <w:rFonts w:eastAsia="標楷體" w:hint="eastAsia"/>
                <w:bCs/>
              </w:rPr>
              <w:t>月</w:t>
            </w:r>
            <w:r>
              <w:rPr>
                <w:rFonts w:eastAsia="標楷體" w:hint="eastAsia"/>
                <w:bCs/>
              </w:rPr>
              <w:t>18</w:t>
            </w:r>
            <w:r>
              <w:rPr>
                <w:rFonts w:eastAsia="標楷體" w:hint="eastAsia"/>
                <w:bCs/>
              </w:rPr>
              <w:t>日及</w:t>
            </w:r>
            <w:r>
              <w:rPr>
                <w:rFonts w:eastAsia="標楷體" w:hint="eastAsia"/>
                <w:bCs/>
              </w:rPr>
              <w:t>9</w:t>
            </w:r>
            <w:r>
              <w:rPr>
                <w:rFonts w:eastAsia="標楷體" w:hint="eastAsia"/>
                <w:bCs/>
              </w:rPr>
              <w:t>月</w:t>
            </w:r>
            <w:r>
              <w:rPr>
                <w:rFonts w:eastAsia="標楷體" w:hint="eastAsia"/>
                <w:bCs/>
              </w:rPr>
              <w:t>15</w:t>
            </w:r>
            <w:r>
              <w:rPr>
                <w:rFonts w:eastAsia="標楷體" w:hint="eastAsia"/>
                <w:bCs/>
              </w:rPr>
              <w:t>日分別訂定及修訂「</w:t>
            </w:r>
            <w:proofErr w:type="gramStart"/>
            <w:r>
              <w:rPr>
                <w:rFonts w:eastAsia="標楷體" w:hint="eastAsia"/>
                <w:bCs/>
              </w:rPr>
              <w:t>中央研究院生安事故</w:t>
            </w:r>
            <w:proofErr w:type="gramEnd"/>
            <w:r>
              <w:rPr>
                <w:rFonts w:eastAsia="標楷體" w:hint="eastAsia"/>
                <w:bCs/>
              </w:rPr>
              <w:t>通報及處理規定」及「中央研究院災害事故應變通報流程」，</w:t>
            </w:r>
            <w:proofErr w:type="gramStart"/>
            <w:r>
              <w:rPr>
                <w:rFonts w:eastAsia="標楷體" w:hint="eastAsia"/>
                <w:bCs/>
              </w:rPr>
              <w:t>完善生安事</w:t>
            </w:r>
            <w:proofErr w:type="gramEnd"/>
            <w:r>
              <w:rPr>
                <w:rFonts w:eastAsia="標楷體" w:hint="eastAsia"/>
                <w:bCs/>
              </w:rPr>
              <w:t>件通報處理作業之檢討改善措施。</w:t>
            </w:r>
            <w:r>
              <w:rPr>
                <w:rFonts w:eastAsia="標楷體" w:hint="eastAsia"/>
                <w:bCs/>
              </w:rPr>
              <w:t xml:space="preserve"> </w:t>
            </w:r>
          </w:p>
          <w:p w:rsidR="00905DC3" w:rsidRPr="00905DC3" w:rsidRDefault="00A65CBB" w:rsidP="00A65CBB">
            <w:pPr>
              <w:spacing w:beforeLines="50" w:before="180" w:line="360" w:lineRule="atLeast"/>
              <w:ind w:left="240" w:hangingChars="100" w:hanging="240"/>
              <w:jc w:val="both"/>
              <w:rPr>
                <w:rFonts w:eastAsia="標楷體"/>
                <w:bCs/>
              </w:rPr>
            </w:pPr>
            <w:r>
              <w:rPr>
                <w:rFonts w:eastAsia="標楷體" w:hint="eastAsia"/>
                <w:bCs/>
              </w:rPr>
              <w:t>二、</w:t>
            </w:r>
            <w:r w:rsidR="00905DC3">
              <w:rPr>
                <w:rFonts w:eastAsia="標楷體" w:hint="eastAsia"/>
                <w:bCs/>
              </w:rPr>
              <w:t>衛生福利部疾病管制署</w:t>
            </w:r>
            <w:r w:rsidR="00905DC3">
              <w:rPr>
                <w:rFonts w:eastAsia="標楷體" w:hint="eastAsia"/>
                <w:bCs/>
              </w:rPr>
              <w:t>:</w:t>
            </w:r>
          </w:p>
          <w:p w:rsidR="00FF343B" w:rsidRPr="0078237E" w:rsidRDefault="007336A7" w:rsidP="00905DC3">
            <w:pPr>
              <w:spacing w:line="360" w:lineRule="atLeast"/>
              <w:jc w:val="both"/>
              <w:rPr>
                <w:rFonts w:eastAsia="標楷體"/>
                <w:bCs/>
                <w:szCs w:val="28"/>
              </w:rPr>
            </w:pPr>
            <w:r>
              <w:rPr>
                <w:rFonts w:eastAsia="標楷體" w:hint="eastAsia"/>
                <w:bCs/>
              </w:rPr>
              <w:t>112</w:t>
            </w:r>
            <w:r>
              <w:rPr>
                <w:rFonts w:eastAsia="標楷體" w:hint="eastAsia"/>
                <w:bCs/>
              </w:rPr>
              <w:t>年</w:t>
            </w:r>
            <w:r>
              <w:rPr>
                <w:rFonts w:eastAsia="標楷體" w:hint="eastAsia"/>
                <w:bCs/>
              </w:rPr>
              <w:t>11</w:t>
            </w:r>
            <w:r>
              <w:rPr>
                <w:rFonts w:eastAsia="標楷體" w:hint="eastAsia"/>
                <w:bCs/>
              </w:rPr>
              <w:t>月</w:t>
            </w:r>
            <w:r>
              <w:rPr>
                <w:rFonts w:eastAsia="標楷體" w:hint="eastAsia"/>
                <w:bCs/>
              </w:rPr>
              <w:t>13</w:t>
            </w:r>
            <w:r>
              <w:rPr>
                <w:rFonts w:eastAsia="標楷體" w:hint="eastAsia"/>
                <w:bCs/>
              </w:rPr>
              <w:t>日修訂「高防護實驗室、使用或保存第三級危險群以上病原體或管制性病原、毒素之實驗室或保存場所生物安全查核作業規定」，將</w:t>
            </w:r>
            <w:r>
              <w:rPr>
                <w:rFonts w:eastAsia="標楷體" w:hint="eastAsia"/>
                <w:bCs/>
              </w:rPr>
              <w:t>BSL-4</w:t>
            </w:r>
            <w:r>
              <w:rPr>
                <w:rFonts w:eastAsia="標楷體" w:hint="eastAsia"/>
                <w:bCs/>
              </w:rPr>
              <w:t>、</w:t>
            </w:r>
            <w:r>
              <w:rPr>
                <w:rFonts w:eastAsia="標楷體" w:hint="eastAsia"/>
                <w:bCs/>
              </w:rPr>
              <w:t>ABSL-3</w:t>
            </w:r>
            <w:r>
              <w:rPr>
                <w:rFonts w:eastAsia="標楷體" w:hint="eastAsia"/>
                <w:bCs/>
              </w:rPr>
              <w:t>及</w:t>
            </w:r>
            <w:r>
              <w:rPr>
                <w:rFonts w:eastAsia="標楷體" w:hint="eastAsia"/>
                <w:bCs/>
              </w:rPr>
              <w:t>ABSL-4</w:t>
            </w:r>
            <w:r>
              <w:rPr>
                <w:rFonts w:eastAsia="標楷體" w:hint="eastAsia"/>
                <w:bCs/>
              </w:rPr>
              <w:t>實驗室之查核頻率，由每</w:t>
            </w:r>
            <w:r>
              <w:rPr>
                <w:rFonts w:eastAsia="標楷體" w:hint="eastAsia"/>
                <w:bCs/>
              </w:rPr>
              <w:t>3</w:t>
            </w:r>
            <w:r>
              <w:rPr>
                <w:rFonts w:eastAsia="標楷體" w:hint="eastAsia"/>
                <w:bCs/>
              </w:rPr>
              <w:t>年調整為每年辦理</w:t>
            </w:r>
            <w:r>
              <w:rPr>
                <w:rFonts w:eastAsia="標楷體" w:hint="eastAsia"/>
                <w:bCs/>
              </w:rPr>
              <w:t>1</w:t>
            </w:r>
            <w:r>
              <w:rPr>
                <w:rFonts w:eastAsia="標楷體" w:hint="eastAsia"/>
                <w:bCs/>
              </w:rPr>
              <w:t>次實地查核，並自</w:t>
            </w:r>
            <w:r>
              <w:rPr>
                <w:rFonts w:eastAsia="標楷體" w:hint="eastAsia"/>
                <w:bCs/>
              </w:rPr>
              <w:t>113</w:t>
            </w:r>
            <w:r>
              <w:rPr>
                <w:rFonts w:eastAsia="標楷體" w:hint="eastAsia"/>
                <w:bCs/>
              </w:rPr>
              <w:t>年起實施。</w:t>
            </w:r>
          </w:p>
          <w:p w:rsidR="00FF343B" w:rsidRPr="0078237E" w:rsidRDefault="00FF343B" w:rsidP="00C53DAC">
            <w:pPr>
              <w:spacing w:line="360" w:lineRule="atLeast"/>
              <w:ind w:left="240" w:hangingChars="100" w:hanging="240"/>
              <w:jc w:val="both"/>
              <w:rPr>
                <w:rFonts w:eastAsia="標楷體"/>
                <w:bCs/>
                <w:szCs w:val="28"/>
              </w:rPr>
            </w:pPr>
          </w:p>
        </w:tc>
        <w:tc>
          <w:tcPr>
            <w:tcW w:w="1984" w:type="dxa"/>
          </w:tcPr>
          <w:p w:rsidR="00FF343B" w:rsidRDefault="00C53DAC" w:rsidP="00FD1947">
            <w:pPr>
              <w:spacing w:line="360" w:lineRule="atLeast"/>
              <w:jc w:val="both"/>
              <w:rPr>
                <w:rFonts w:eastAsia="標楷體"/>
                <w:bCs/>
                <w:szCs w:val="28"/>
              </w:rPr>
            </w:pPr>
            <w:r>
              <w:rPr>
                <w:rFonts w:ascii="標楷體" w:eastAsia="標楷體" w:hAnsi="標楷體" w:hint="eastAsia"/>
                <w:bCs/>
              </w:rPr>
              <w:t>114.2.13</w:t>
            </w:r>
            <w:r w:rsidR="007336A7">
              <w:rPr>
                <w:rFonts w:ascii="標楷體" w:eastAsia="標楷體" w:hAnsi="標楷體" w:hint="eastAsia"/>
                <w:bCs/>
              </w:rPr>
              <w:t>教育及文化、社會福利及衛生環境委員會第6屆第34次聯席會議決議:</w:t>
            </w:r>
            <w:r w:rsidR="00875DC9" w:rsidRPr="00875DC9">
              <w:rPr>
                <w:rFonts w:ascii="標楷體" w:eastAsia="標楷體" w:hAnsi="標楷體" w:hint="eastAsia"/>
                <w:bCs/>
              </w:rPr>
              <w:t>函請改善案結案，調查案結</w:t>
            </w:r>
            <w:r w:rsidR="007336A7">
              <w:rPr>
                <w:rFonts w:ascii="標楷體" w:eastAsia="標楷體" w:hAnsi="標楷體" w:hint="eastAsia"/>
                <w:bCs/>
              </w:rPr>
              <w:t>案。</w:t>
            </w:r>
          </w:p>
        </w:tc>
      </w:tr>
    </w:tbl>
    <w:p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EAF" w:rsidRDefault="00961EAF" w:rsidP="008E6A2A">
      <w:r>
        <w:separator/>
      </w:r>
    </w:p>
  </w:endnote>
  <w:endnote w:type="continuationSeparator" w:id="0">
    <w:p w:rsidR="00961EAF" w:rsidRDefault="00961EAF"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AF46F9">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ab/>
    </w:r>
    <w:r w:rsidRPr="00530BF4">
      <w:rPr>
        <w:rFonts w:eastAsia="標楷體"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EAF" w:rsidRDefault="00961EAF" w:rsidP="008E6A2A">
      <w:r>
        <w:separator/>
      </w:r>
    </w:p>
  </w:footnote>
  <w:footnote w:type="continuationSeparator" w:id="0">
    <w:p w:rsidR="00961EAF" w:rsidRDefault="00961EAF"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監察院教育及文化委員會調查報告結案情形一覽表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2B1824"/>
    <w:rsid w:val="00300EAE"/>
    <w:rsid w:val="00311E45"/>
    <w:rsid w:val="0032231B"/>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86ED5"/>
    <w:rsid w:val="006B1797"/>
    <w:rsid w:val="006C264B"/>
    <w:rsid w:val="007032D2"/>
    <w:rsid w:val="00720393"/>
    <w:rsid w:val="007336A7"/>
    <w:rsid w:val="0078237E"/>
    <w:rsid w:val="00782BFE"/>
    <w:rsid w:val="00840E6E"/>
    <w:rsid w:val="00842B98"/>
    <w:rsid w:val="0085033D"/>
    <w:rsid w:val="00851BF4"/>
    <w:rsid w:val="00851E63"/>
    <w:rsid w:val="00866C3B"/>
    <w:rsid w:val="008676B9"/>
    <w:rsid w:val="00872D71"/>
    <w:rsid w:val="00875DC9"/>
    <w:rsid w:val="00876606"/>
    <w:rsid w:val="00897D01"/>
    <w:rsid w:val="008A3D0E"/>
    <w:rsid w:val="008A7EFF"/>
    <w:rsid w:val="008C6961"/>
    <w:rsid w:val="008E6A2A"/>
    <w:rsid w:val="008F1D41"/>
    <w:rsid w:val="008F548E"/>
    <w:rsid w:val="009038BA"/>
    <w:rsid w:val="00905DC3"/>
    <w:rsid w:val="00911C3F"/>
    <w:rsid w:val="00911FB8"/>
    <w:rsid w:val="0094299B"/>
    <w:rsid w:val="0095652A"/>
    <w:rsid w:val="00961EAF"/>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14F0"/>
    <w:rsid w:val="00A37697"/>
    <w:rsid w:val="00A40DAA"/>
    <w:rsid w:val="00A65CBB"/>
    <w:rsid w:val="00A712A6"/>
    <w:rsid w:val="00A9424B"/>
    <w:rsid w:val="00AB71AC"/>
    <w:rsid w:val="00AB7B64"/>
    <w:rsid w:val="00AD17AD"/>
    <w:rsid w:val="00AD34E8"/>
    <w:rsid w:val="00AE59BC"/>
    <w:rsid w:val="00AF0811"/>
    <w:rsid w:val="00AF38BC"/>
    <w:rsid w:val="00AF46F9"/>
    <w:rsid w:val="00B1548D"/>
    <w:rsid w:val="00B20AC7"/>
    <w:rsid w:val="00B24DA2"/>
    <w:rsid w:val="00B46BE2"/>
    <w:rsid w:val="00B55BDC"/>
    <w:rsid w:val="00B55C6A"/>
    <w:rsid w:val="00B634E3"/>
    <w:rsid w:val="00B636B4"/>
    <w:rsid w:val="00B80D60"/>
    <w:rsid w:val="00BD120E"/>
    <w:rsid w:val="00BD27F2"/>
    <w:rsid w:val="00BD5F7B"/>
    <w:rsid w:val="00BE479E"/>
    <w:rsid w:val="00BF6519"/>
    <w:rsid w:val="00C06893"/>
    <w:rsid w:val="00C20C4F"/>
    <w:rsid w:val="00C318D0"/>
    <w:rsid w:val="00C3764A"/>
    <w:rsid w:val="00C4036E"/>
    <w:rsid w:val="00C53DAC"/>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793E"/>
  <w15:docId w15:val="{0077DA6A-2F8B-4898-87FC-D1F6B2B5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Company>監察院</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曹錦芳</cp:lastModifiedBy>
  <cp:revision>3</cp:revision>
  <cp:lastPrinted>2025-02-24T02:28:00Z</cp:lastPrinted>
  <dcterms:created xsi:type="dcterms:W3CDTF">2025-02-24T05:43:00Z</dcterms:created>
  <dcterms:modified xsi:type="dcterms:W3CDTF">2025-02-24T07:16:00Z</dcterms:modified>
</cp:coreProperties>
</file>