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3703D2" w:rsidRDefault="00D20D26" w:rsidP="00F37D7B">
      <w:pPr>
        <w:pStyle w:val="af2"/>
      </w:pPr>
      <w:r w:rsidRPr="003703D2">
        <w:rPr>
          <w:rFonts w:hint="eastAsia"/>
        </w:rPr>
        <w:t>調查報告</w:t>
      </w:r>
    </w:p>
    <w:p w:rsidR="003703D2" w:rsidRDefault="00E25849" w:rsidP="00E211BC">
      <w:pPr>
        <w:pStyle w:val="1"/>
        <w:numPr>
          <w:ilvl w:val="0"/>
          <w:numId w:val="1"/>
        </w:numPr>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1794865"/>
      <w:bookmarkStart w:id="11" w:name="_Toc422834150"/>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3703D2">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220160" w:rsidRPr="003703D2">
        <w:rPr>
          <w:rFonts w:hint="eastAsia"/>
        </w:rPr>
        <w:t>據</w:t>
      </w:r>
      <w:bookmarkStart w:id="25" w:name="_Hlk185951526"/>
      <w:r w:rsidR="003703D2">
        <w:rPr>
          <w:rFonts w:hint="eastAsia"/>
        </w:rPr>
        <w:t>鄭○○</w:t>
      </w:r>
      <w:r w:rsidR="00220160" w:rsidRPr="003703D2">
        <w:rPr>
          <w:rFonts w:hint="eastAsia"/>
        </w:rPr>
        <w:t>君陳訴，渠因涉犯證券交易法案件，遭臺灣高等法院限制出境、出海及施以電子</w:t>
      </w:r>
      <w:r w:rsidR="00643B35" w:rsidRPr="003703D2">
        <w:rPr>
          <w:rFonts w:hint="eastAsia"/>
        </w:rPr>
        <w:t>腳鐶</w:t>
      </w:r>
      <w:r w:rsidR="00220160" w:rsidRPr="003703D2">
        <w:rPr>
          <w:rFonts w:hint="eastAsia"/>
        </w:rPr>
        <w:t>監控，致罹患憂鬱症等情。</w:t>
      </w:r>
      <w:bookmarkEnd w:id="25"/>
      <w:r w:rsidR="00220160" w:rsidRPr="003703D2">
        <w:rPr>
          <w:rFonts w:hint="eastAsia"/>
        </w:rPr>
        <w:t>究科技監控設備對受監控人的心理和生理可能產生之影響為何？如何平衡監控需要、個人隱私及心理健康之間的關係，並確保監控措施符合法律和</w:t>
      </w:r>
      <w:r w:rsidR="00126F20" w:rsidRPr="003703D2">
        <w:rPr>
          <w:rFonts w:hint="eastAsia"/>
        </w:rPr>
        <w:t>人權保障</w:t>
      </w:r>
      <w:r w:rsidR="00220160" w:rsidRPr="003703D2">
        <w:rPr>
          <w:rFonts w:hint="eastAsia"/>
        </w:rPr>
        <w:t>？均有深入瞭解之必要案</w:t>
      </w:r>
      <w:r w:rsidR="00F14C41" w:rsidRPr="003703D2">
        <w:rPr>
          <w:rFonts w:hint="eastAsia"/>
        </w:rPr>
        <w:t>。</w:t>
      </w:r>
      <w:bookmarkStart w:id="26" w:name="_Toc525070834"/>
      <w:bookmarkStart w:id="27" w:name="_Toc525938374"/>
      <w:bookmarkStart w:id="28" w:name="_Toc525939222"/>
      <w:bookmarkStart w:id="29" w:name="_Toc525939727"/>
      <w:bookmarkStart w:id="30" w:name="_Toc525066144"/>
      <w:bookmarkStart w:id="31" w:name="_Toc524892372"/>
    </w:p>
    <w:p w:rsidR="00242ECF" w:rsidRPr="003703D2" w:rsidRDefault="00242ECF" w:rsidP="00E211BC">
      <w:pPr>
        <w:pStyle w:val="1"/>
        <w:numPr>
          <w:ilvl w:val="0"/>
          <w:numId w:val="1"/>
        </w:numPr>
        <w:ind w:left="2380" w:hanging="2380"/>
      </w:pPr>
      <w:bookmarkStart w:id="32" w:name="_Toc524895646"/>
      <w:bookmarkStart w:id="33" w:name="_Toc524896192"/>
      <w:bookmarkStart w:id="34" w:name="_Toc524896222"/>
      <w:bookmarkStart w:id="35" w:name="_Toc524902729"/>
      <w:bookmarkStart w:id="36" w:name="_Toc525066145"/>
      <w:bookmarkStart w:id="37" w:name="_Toc525070836"/>
      <w:bookmarkStart w:id="38" w:name="_Toc525938376"/>
      <w:bookmarkStart w:id="39" w:name="_Toc525939224"/>
      <w:bookmarkStart w:id="40" w:name="_Toc525939729"/>
      <w:bookmarkStart w:id="41" w:name="_Toc529218269"/>
      <w:bookmarkStart w:id="42" w:name="_Toc529222686"/>
      <w:bookmarkStart w:id="43" w:name="_Toc529223108"/>
      <w:bookmarkStart w:id="44" w:name="_Toc529223859"/>
      <w:bookmarkStart w:id="45" w:name="_Toc529228262"/>
      <w:bookmarkStart w:id="46" w:name="_Toc2400392"/>
      <w:bookmarkStart w:id="47" w:name="_Toc4316186"/>
      <w:bookmarkStart w:id="48" w:name="_Toc4473327"/>
      <w:bookmarkStart w:id="49" w:name="_Toc69556894"/>
      <w:bookmarkStart w:id="50" w:name="_Toc69556943"/>
      <w:bookmarkStart w:id="51" w:name="_Toc69609817"/>
      <w:bookmarkStart w:id="52" w:name="_Toc70241813"/>
      <w:bookmarkStart w:id="53" w:name="_Toc70242202"/>
      <w:bookmarkStart w:id="54" w:name="_Toc421794872"/>
      <w:bookmarkStart w:id="55" w:name="_Toc422834157"/>
      <w:bookmarkEnd w:id="26"/>
      <w:bookmarkEnd w:id="27"/>
      <w:bookmarkEnd w:id="28"/>
      <w:bookmarkEnd w:id="29"/>
      <w:bookmarkEnd w:id="30"/>
      <w:bookmarkEnd w:id="31"/>
      <w:r w:rsidRPr="003703D2">
        <w:rPr>
          <w:rFonts w:hint="eastAsia"/>
        </w:rPr>
        <w:t>調查意見：</w:t>
      </w:r>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p>
    <w:p w:rsidR="00242ECF" w:rsidRPr="003703D2" w:rsidRDefault="00242ECF" w:rsidP="00242ECF">
      <w:pPr>
        <w:pStyle w:val="10"/>
        <w:ind w:left="680" w:firstLine="680"/>
      </w:pPr>
      <w:bookmarkStart w:id="56" w:name="_Toc524902730"/>
      <w:r w:rsidRPr="003703D2">
        <w:rPr>
          <w:rFonts w:hint="eastAsia"/>
        </w:rPr>
        <w:t>本案經調閱司法院、法務部、臺灣高等檢察署（下稱高檢署）、臺灣高等法院（下稱高院）等機關卷證資料，並於民國(下同) 113年12月26日詢問司法院</w:t>
      </w:r>
      <w:r w:rsidRPr="003703D2">
        <w:rPr>
          <w:rFonts w:hint="eastAsia"/>
        </w:rPr>
        <w:tab/>
        <w:t>刑事廳吳元曜法官、康進忠專門委員，法務部檢察司郭永發司長、調部辦事檢察官陳孟黎等機關人員，</w:t>
      </w:r>
      <w:r w:rsidR="008B61D0" w:rsidRPr="003703D2">
        <w:rPr>
          <w:rFonts w:hint="eastAsia"/>
        </w:rPr>
        <w:t>另</w:t>
      </w:r>
      <w:r w:rsidRPr="003703D2">
        <w:rPr>
          <w:rFonts w:hint="eastAsia"/>
        </w:rPr>
        <w:t>於114年1月17日諮詢國立臺北大學法律學系李榮耕教授、國立彰化師範大學公共事務與公民教育學系劉青峰助理教授、南臺科技大學財經法律所羅承宗教授，已調查竣事，茲臚列調查意見如下：</w:t>
      </w:r>
    </w:p>
    <w:p w:rsidR="00242ECF" w:rsidRPr="003703D2" w:rsidRDefault="00242ECF" w:rsidP="00242ECF">
      <w:pPr>
        <w:pStyle w:val="2"/>
        <w:numPr>
          <w:ilvl w:val="1"/>
          <w:numId w:val="1"/>
        </w:numPr>
        <w:rPr>
          <w:b/>
        </w:rPr>
      </w:pPr>
      <w:bookmarkStart w:id="57" w:name="_Hlk189669006"/>
      <w:r w:rsidRPr="003703D2">
        <w:rPr>
          <w:rFonts w:hint="eastAsia"/>
          <w:b/>
        </w:rPr>
        <w:t>陳訴人因涉嫌證券交易法案件，於107年8月30日經檢察官限制出境，偵審期間未被羈押，均按期到庭。112年9月發生國寶集團總裁朱國榮棄保潛逃事件，</w:t>
      </w:r>
      <w:r w:rsidR="004D7EDD" w:rsidRPr="003703D2">
        <w:rPr>
          <w:rFonts w:hint="eastAsia"/>
          <w:b/>
        </w:rPr>
        <w:t>各界</w:t>
      </w:r>
      <w:r w:rsidRPr="003703D2">
        <w:rPr>
          <w:rFonts w:hint="eastAsia"/>
          <w:b/>
        </w:rPr>
        <w:t>抨擊科技防逃之執行成效低落，高院雖於112年9月19日對外稱金融犯罪少以電子腳鐶監控，然司法院於112年10月4日召開科技防逃會議後，高院隨即於</w:t>
      </w:r>
      <w:r w:rsidR="00AA7BD9" w:rsidRPr="003703D2">
        <w:rPr>
          <w:rFonts w:hint="eastAsia"/>
          <w:b/>
        </w:rPr>
        <w:t>翌（</w:t>
      </w:r>
      <w:r w:rsidRPr="003703D2">
        <w:rPr>
          <w:rFonts w:hint="eastAsia"/>
          <w:b/>
        </w:rPr>
        <w:t>5</w:t>
      </w:r>
      <w:r w:rsidR="00AA7BD9" w:rsidRPr="003703D2">
        <w:rPr>
          <w:rFonts w:hint="eastAsia"/>
          <w:b/>
        </w:rPr>
        <w:t>）</w:t>
      </w:r>
      <w:r w:rsidRPr="003703D2">
        <w:rPr>
          <w:rFonts w:hint="eastAsia"/>
          <w:b/>
        </w:rPr>
        <w:t>日命陳訴人</w:t>
      </w:r>
      <w:r w:rsidR="00AA7BD9" w:rsidRPr="003703D2">
        <w:rPr>
          <w:rFonts w:hint="eastAsia"/>
          <w:b/>
        </w:rPr>
        <w:t>配戴</w:t>
      </w:r>
      <w:r w:rsidRPr="003703D2">
        <w:rPr>
          <w:rFonts w:hint="eastAsia"/>
          <w:b/>
        </w:rPr>
        <w:t>電子腳鐶施加居家監控。考量居家監控迄1</w:t>
      </w:r>
      <w:r w:rsidRPr="003703D2">
        <w:rPr>
          <w:b/>
        </w:rPr>
        <w:t>13</w:t>
      </w:r>
      <w:r w:rsidRPr="003703D2">
        <w:rPr>
          <w:rFonts w:hint="eastAsia"/>
          <w:b/>
        </w:rPr>
        <w:t>年底止僅有2件等情，無法摒除本件監控處分係受無關突發事件</w:t>
      </w:r>
      <w:r w:rsidR="000B43E4" w:rsidRPr="003703D2">
        <w:rPr>
          <w:rFonts w:hint="eastAsia"/>
          <w:b/>
        </w:rPr>
        <w:t>之</w:t>
      </w:r>
      <w:r w:rsidRPr="003703D2">
        <w:rPr>
          <w:rFonts w:hint="eastAsia"/>
          <w:b/>
        </w:rPr>
        <w:t>不當影響，難期當事人信服。惟依</w:t>
      </w:r>
      <w:r w:rsidRPr="003703D2">
        <w:rPr>
          <w:rFonts w:hint="eastAsia"/>
          <w:b/>
        </w:rPr>
        <w:lastRenderedPageBreak/>
        <w:t>憲法第8條及司法院釋字第392號解釋，羈押審查屬法官之審判核心，應由法官綜合個案情形決定。本案陳訴人一、二審均被判處重刑及追徵高額犯罪所得，上訴最高法院期間，高院以其持有外國居留證件、長年旅外、家屬均在國外、境外有豐厚財產、畏罪逃亡之可能性升高等理由，命其接受科技設備監控，自非無據。又陳訴人受監控期間，系統告警訊號頻繁，</w:t>
      </w:r>
      <w:bookmarkStart w:id="58" w:name="_Hlk192669809"/>
      <w:bookmarkStart w:id="59" w:name="_Hlk192679356"/>
      <w:r w:rsidR="00DB4772" w:rsidRPr="003703D2">
        <w:rPr>
          <w:rFonts w:hint="eastAsia"/>
          <w:b/>
        </w:rPr>
        <w:t>據</w:t>
      </w:r>
      <w:r w:rsidR="00A31F05" w:rsidRPr="003703D2">
        <w:rPr>
          <w:rFonts w:hint="eastAsia"/>
          <w:b/>
        </w:rPr>
        <w:t>法務部審視回傳之原始資料，均非系統或監控設備不穩所造成，</w:t>
      </w:r>
      <w:bookmarkEnd w:id="58"/>
      <w:r w:rsidR="00854322" w:rsidRPr="003703D2">
        <w:rPr>
          <w:rFonts w:hint="eastAsia"/>
          <w:b/>
        </w:rPr>
        <w:t>故</w:t>
      </w:r>
      <w:r w:rsidR="00E141C2" w:rsidRPr="003703D2">
        <w:rPr>
          <w:rFonts w:hint="eastAsia"/>
          <w:b/>
        </w:rPr>
        <w:t>無法</w:t>
      </w:r>
      <w:bookmarkEnd w:id="59"/>
      <w:r w:rsidRPr="003703D2">
        <w:rPr>
          <w:rFonts w:hint="eastAsia"/>
          <w:b/>
        </w:rPr>
        <w:t>排除</w:t>
      </w:r>
      <w:r w:rsidR="00A31F05" w:rsidRPr="003703D2">
        <w:rPr>
          <w:rFonts w:hint="eastAsia"/>
          <w:b/>
        </w:rPr>
        <w:t>陳訴人</w:t>
      </w:r>
      <w:r w:rsidRPr="003703D2">
        <w:rPr>
          <w:rFonts w:hint="eastAsia"/>
          <w:b/>
        </w:rPr>
        <w:t>未遵守法院所命事項所致，</w:t>
      </w:r>
      <w:r w:rsidR="00E141C2" w:rsidRPr="003703D2">
        <w:rPr>
          <w:rFonts w:hint="eastAsia"/>
          <w:b/>
        </w:rPr>
        <w:t>尚</w:t>
      </w:r>
      <w:r w:rsidRPr="003703D2">
        <w:rPr>
          <w:rFonts w:hint="eastAsia"/>
          <w:b/>
        </w:rPr>
        <w:t>難以歸責於監控人員。</w:t>
      </w:r>
      <w:bookmarkEnd w:id="57"/>
    </w:p>
    <w:p w:rsidR="00242ECF" w:rsidRPr="003703D2" w:rsidRDefault="00242ECF" w:rsidP="00242ECF">
      <w:pPr>
        <w:pStyle w:val="3"/>
        <w:numPr>
          <w:ilvl w:val="2"/>
          <w:numId w:val="1"/>
        </w:numPr>
      </w:pPr>
      <w:r w:rsidRPr="003703D2">
        <w:rPr>
          <w:rFonts w:hint="eastAsia"/>
        </w:rPr>
        <w:t>陳訴人</w:t>
      </w:r>
      <w:r w:rsidR="003703D2">
        <w:rPr>
          <w:rFonts w:hint="eastAsia"/>
        </w:rPr>
        <w:t>鄭○○</w:t>
      </w:r>
      <w:r w:rsidRPr="003703D2">
        <w:rPr>
          <w:rFonts w:hint="eastAsia"/>
        </w:rPr>
        <w:t>指稱：其涉犯證券交易法案件，偵審期</w:t>
      </w:r>
      <w:bookmarkStart w:id="60" w:name="_Hlk189550822"/>
      <w:r w:rsidRPr="003703D2">
        <w:rPr>
          <w:rFonts w:hint="eastAsia"/>
        </w:rPr>
        <w:t>間未被羈押，且均按期到庭</w:t>
      </w:r>
      <w:bookmarkEnd w:id="60"/>
      <w:r w:rsidRPr="003703D2">
        <w:rPr>
          <w:rFonts w:hint="eastAsia"/>
        </w:rPr>
        <w:t>，無逃亡之虞的客觀事證，然因112年9月朱國榮棄保潛逃，輿論歸責法院未予羈押及採取有效的防逃措施，司法院不顧金融犯罪並無隨時監控之必要，要求法官增加科技監控設備使用率，係司法行政不當干預審判。且其</w:t>
      </w:r>
      <w:r w:rsidR="00AA7BD9" w:rsidRPr="003703D2">
        <w:rPr>
          <w:rFonts w:hint="eastAsia"/>
        </w:rPr>
        <w:t>配戴</w:t>
      </w:r>
      <w:r w:rsidRPr="003703D2">
        <w:rPr>
          <w:rFonts w:hint="eastAsia"/>
        </w:rPr>
        <w:t>的電子</w:t>
      </w:r>
      <w:r w:rsidR="00643B35" w:rsidRPr="003703D2">
        <w:rPr>
          <w:rFonts w:hint="eastAsia"/>
        </w:rPr>
        <w:t>腳鐶</w:t>
      </w:r>
      <w:r w:rsidRPr="003703D2">
        <w:rPr>
          <w:rFonts w:hint="eastAsia"/>
        </w:rPr>
        <w:t>經常出現訊號異常，遭</w:t>
      </w:r>
      <w:r w:rsidR="00CF5F06" w:rsidRPr="003703D2">
        <w:rPr>
          <w:rFonts w:hint="eastAsia"/>
        </w:rPr>
        <w:t>科控中心</w:t>
      </w:r>
      <w:r w:rsidRPr="003703D2">
        <w:rPr>
          <w:rFonts w:hint="eastAsia"/>
        </w:rPr>
        <w:t>頻繁來電詢問及法院盤問，需自證未違規離開處所，違反比例原則等語。詢據司法院表示，個案是否命科技設備監控，因涉及審判核心，司法行政對法官的判斷不會有任何干涉；法務部</w:t>
      </w:r>
      <w:r w:rsidR="008B61D0" w:rsidRPr="003703D2">
        <w:rPr>
          <w:rFonts w:hint="eastAsia"/>
        </w:rPr>
        <w:t>亦</w:t>
      </w:r>
      <w:r w:rsidRPr="003703D2">
        <w:rPr>
          <w:rFonts w:hint="eastAsia"/>
        </w:rPr>
        <w:t>表示，監控系統告警多半發生在低電量、訊號不良、載具異常、失聯、離開電子圍籬等5種類型，皆可歸責於被告不配合法官或檢察官監控命令。經檢視</w:t>
      </w:r>
      <w:r w:rsidR="003703D2">
        <w:rPr>
          <w:rFonts w:hint="eastAsia"/>
        </w:rPr>
        <w:t>鄭○○</w:t>
      </w:r>
      <w:r w:rsidRPr="003703D2">
        <w:rPr>
          <w:rFonts w:hint="eastAsia"/>
        </w:rPr>
        <w:t>告警次數高的原因，應可歸責於</w:t>
      </w:r>
      <w:r w:rsidR="003703D2">
        <w:rPr>
          <w:rFonts w:hint="eastAsia"/>
        </w:rPr>
        <w:t>鄭○○</w:t>
      </w:r>
      <w:r w:rsidRPr="003703D2">
        <w:rPr>
          <w:rFonts w:hint="eastAsia"/>
        </w:rPr>
        <w:t>未遵守偵控命令</w:t>
      </w:r>
      <w:r w:rsidR="003703D2" w:rsidRPr="003703D2">
        <w:rPr>
          <w:rFonts w:hint="eastAsia"/>
        </w:rPr>
        <w:t>等語</w:t>
      </w:r>
      <w:r w:rsidRPr="003703D2">
        <w:rPr>
          <w:rFonts w:hint="eastAsia"/>
        </w:rPr>
        <w:t>。</w:t>
      </w:r>
    </w:p>
    <w:p w:rsidR="00242ECF" w:rsidRPr="003703D2" w:rsidRDefault="00242ECF" w:rsidP="00242ECF">
      <w:pPr>
        <w:pStyle w:val="3"/>
        <w:numPr>
          <w:ilvl w:val="2"/>
          <w:numId w:val="1"/>
        </w:numPr>
      </w:pPr>
      <w:bookmarkStart w:id="61" w:name="_Hlk189550925"/>
      <w:r w:rsidRPr="003703D2">
        <w:rPr>
          <w:rFonts w:hint="eastAsia"/>
        </w:rPr>
        <w:t>經查，112年9月7日爆發國寶集團總裁朱國榮於判決定讞前，棄保</w:t>
      </w:r>
      <w:r w:rsidR="00AA7BD9" w:rsidRPr="003703D2">
        <w:rPr>
          <w:rFonts w:hint="eastAsia"/>
        </w:rPr>
        <w:t>新臺幣（下周）</w:t>
      </w:r>
      <w:r w:rsidRPr="003703D2">
        <w:rPr>
          <w:rFonts w:hint="eastAsia"/>
        </w:rPr>
        <w:t>5億多元潛逃，媒體批露法院未對朱國榮進行電子監控</w:t>
      </w:r>
      <w:bookmarkEnd w:id="61"/>
      <w:r w:rsidRPr="003703D2">
        <w:rPr>
          <w:rFonts w:hint="eastAsia"/>
        </w:rPr>
        <w:t>，且科技防逃新制</w:t>
      </w:r>
      <w:r w:rsidRPr="003703D2">
        <w:rPr>
          <w:rFonts w:hint="eastAsia"/>
        </w:rPr>
        <w:lastRenderedPageBreak/>
        <w:t>上路逾3年，僅執行26案（司法院原預估每年有132件案量），一時抨擊聲浪四起。高院於1</w:t>
      </w:r>
      <w:r w:rsidRPr="003703D2">
        <w:t>12</w:t>
      </w:r>
      <w:r w:rsidRPr="003703D2">
        <w:rPr>
          <w:rFonts w:hint="eastAsia"/>
        </w:rPr>
        <w:t>年9月1</w:t>
      </w:r>
      <w:r w:rsidRPr="003703D2">
        <w:t>9</w:t>
      </w:r>
      <w:r w:rsidRPr="003703D2">
        <w:rPr>
          <w:rFonts w:hint="eastAsia"/>
        </w:rPr>
        <w:t>日表示，金融犯非如性侵犯或家暴犯等會對他人造成即時性危險，實務上很少</w:t>
      </w:r>
      <w:bookmarkStart w:id="62" w:name="_Hlk189551319"/>
      <w:r w:rsidRPr="003703D2">
        <w:rPr>
          <w:rFonts w:hint="eastAsia"/>
        </w:rPr>
        <w:t>以電子腳鐐方式施以監控</w:t>
      </w:r>
      <w:bookmarkEnd w:id="62"/>
      <w:r w:rsidRPr="003703D2">
        <w:rPr>
          <w:rFonts w:hint="eastAsia"/>
        </w:rPr>
        <w:t>，若未予羈押，通常以鉅額保金，加上限制出境、出海及定時向警局報到等語</w:t>
      </w:r>
      <w:r w:rsidRPr="003703D2">
        <w:rPr>
          <w:rStyle w:val="afe"/>
        </w:rPr>
        <w:footnoteReference w:id="1"/>
      </w:r>
      <w:r w:rsidRPr="003703D2">
        <w:rPr>
          <w:rFonts w:hint="eastAsia"/>
        </w:rPr>
        <w:t>，然司法院於112年10月4日召開「提升法院科技防逃成效行政聯繫會議」</w:t>
      </w:r>
      <w:r w:rsidRPr="003703D2">
        <w:rPr>
          <w:rStyle w:val="afe"/>
        </w:rPr>
        <w:footnoteReference w:id="2"/>
      </w:r>
      <w:r w:rsidRPr="003703D2">
        <w:rPr>
          <w:rFonts w:hint="eastAsia"/>
        </w:rPr>
        <w:t>，高院</w:t>
      </w:r>
      <w:r w:rsidR="00CB2D89" w:rsidRPr="003703D2">
        <w:rPr>
          <w:rFonts w:hint="eastAsia"/>
        </w:rPr>
        <w:t>立即</w:t>
      </w:r>
      <w:r w:rsidRPr="003703D2">
        <w:rPr>
          <w:rFonts w:hint="eastAsia"/>
        </w:rPr>
        <w:t>於翌</w:t>
      </w:r>
      <w:r w:rsidR="00AA7BD9" w:rsidRPr="003703D2">
        <w:rPr>
          <w:rFonts w:hint="eastAsia"/>
        </w:rPr>
        <w:t>（5）</w:t>
      </w:r>
      <w:r w:rsidRPr="003703D2">
        <w:rPr>
          <w:rFonts w:hint="eastAsia"/>
        </w:rPr>
        <w:t>日命陳訴人</w:t>
      </w:r>
      <w:r w:rsidR="00AA7BD9" w:rsidRPr="003703D2">
        <w:rPr>
          <w:rFonts w:hint="eastAsia"/>
        </w:rPr>
        <w:t>配戴</w:t>
      </w:r>
      <w:r w:rsidRPr="003703D2">
        <w:rPr>
          <w:rFonts w:hint="eastAsia"/>
        </w:rPr>
        <w:t>電子</w:t>
      </w:r>
      <w:r w:rsidR="00643B35" w:rsidRPr="003703D2">
        <w:rPr>
          <w:rFonts w:hint="eastAsia"/>
        </w:rPr>
        <w:t>腳鐶</w:t>
      </w:r>
      <w:r w:rsidRPr="003703D2">
        <w:rPr>
          <w:rFonts w:hint="eastAsia"/>
        </w:rPr>
        <w:t>施加科技監控。且審酌居家監控迄113年底止僅有2件（除本件外，另一件為性侵案件），客觀上無法摒除本件監控處分受無關突發事件之影響，實難期當事人信服。</w:t>
      </w:r>
    </w:p>
    <w:p w:rsidR="00242ECF" w:rsidRPr="003703D2" w:rsidRDefault="00242ECF" w:rsidP="006106A5">
      <w:pPr>
        <w:pStyle w:val="3"/>
        <w:numPr>
          <w:ilvl w:val="2"/>
          <w:numId w:val="1"/>
        </w:numPr>
      </w:pPr>
      <w:r w:rsidRPr="003703D2">
        <w:rPr>
          <w:rFonts w:hint="eastAsia"/>
        </w:rPr>
        <w:t>惟查，陳訴人</w:t>
      </w:r>
      <w:r w:rsidR="003703D2">
        <w:rPr>
          <w:rFonts w:hint="eastAsia"/>
        </w:rPr>
        <w:t>鄭○○</w:t>
      </w:r>
      <w:r w:rsidRPr="003703D2">
        <w:rPr>
          <w:rFonts w:hint="eastAsia"/>
        </w:rPr>
        <w:t>於</w:t>
      </w:r>
      <w:bookmarkStart w:id="63" w:name="_Hlk189550850"/>
      <w:r w:rsidRPr="003703D2">
        <w:rPr>
          <w:rFonts w:hint="eastAsia"/>
        </w:rPr>
        <w:t>1</w:t>
      </w:r>
      <w:r w:rsidRPr="003703D2">
        <w:t>07</w:t>
      </w:r>
      <w:r w:rsidRPr="003703D2">
        <w:rPr>
          <w:rFonts w:hint="eastAsia"/>
        </w:rPr>
        <w:t>年8月3</w:t>
      </w:r>
      <w:r w:rsidRPr="003703D2">
        <w:t>0</w:t>
      </w:r>
      <w:r w:rsidRPr="003703D2">
        <w:rPr>
          <w:rFonts w:hint="eastAsia"/>
        </w:rPr>
        <w:t>日經臺灣臺北地</w:t>
      </w:r>
      <w:r w:rsidR="00E80847" w:rsidRPr="003703D2">
        <w:rPr>
          <w:rFonts w:hint="eastAsia"/>
        </w:rPr>
        <w:t>方</w:t>
      </w:r>
      <w:r w:rsidRPr="003703D2">
        <w:rPr>
          <w:rFonts w:hint="eastAsia"/>
        </w:rPr>
        <w:t>檢</w:t>
      </w:r>
      <w:r w:rsidR="00E80847" w:rsidRPr="003703D2">
        <w:rPr>
          <w:rFonts w:hint="eastAsia"/>
        </w:rPr>
        <w:t>察</w:t>
      </w:r>
      <w:r w:rsidRPr="003703D2">
        <w:rPr>
          <w:rFonts w:hint="eastAsia"/>
        </w:rPr>
        <w:t>署以其有滅證、逃亡之虞，限制出境</w:t>
      </w:r>
      <w:bookmarkEnd w:id="63"/>
      <w:r w:rsidRPr="003703D2">
        <w:rPr>
          <w:rFonts w:hint="eastAsia"/>
        </w:rPr>
        <w:t>。該案起訴繫屬法院後，臺灣臺北地方法院於107年9月10日為限制出境、出海及限制住居之處分；嗣因刑事訴訟法修正，法院於109年2月11日重為處分；</w:t>
      </w:r>
      <w:bookmarkStart w:id="64" w:name="_Hlk188526449"/>
      <w:r w:rsidRPr="003703D2">
        <w:rPr>
          <w:rFonts w:hint="eastAsia"/>
        </w:rPr>
        <w:t>高院</w:t>
      </w:r>
      <w:bookmarkEnd w:id="64"/>
      <w:r w:rsidRPr="003703D2">
        <w:rPr>
          <w:rFonts w:hint="eastAsia"/>
        </w:rPr>
        <w:t>於110年1月14日裁定自110年2月11日起限制出境、出海8月，並先後自110年10月11日、111年6月11日、112年2月11日、112年10月11日、113年6月11日各裁定延長限制出境、出海8月至114年2月10日。全案於113年7月17日經最高法院駁回上訴確定，於113年7月26日入監執行。該案一、二審陳訴人均被判處重刑（有期徒刑13年6月，並追徵犯罪所得12億5,717萬5</w:t>
      </w:r>
      <w:r w:rsidR="00AA7BD9" w:rsidRPr="003703D2">
        <w:t>,</w:t>
      </w:r>
      <w:r w:rsidRPr="003703D2">
        <w:rPr>
          <w:rFonts w:hint="eastAsia"/>
        </w:rPr>
        <w:t>304元），上訴第三審期間，高院於112年10月5</w:t>
      </w:r>
      <w:r w:rsidRPr="003703D2">
        <w:rPr>
          <w:rFonts w:hint="eastAsia"/>
        </w:rPr>
        <w:lastRenderedPageBreak/>
        <w:t>日以陳訴人領有日本國之永久居留證，長年旅外，出入國境頻繁，配偶及子女均為日本國民，具備長期居留國外之能力，在境外尚有豐厚財產，有資力足供避居海外等情，有相當理由足認</w:t>
      </w:r>
      <w:r w:rsidR="00AA7BD9" w:rsidRPr="003703D2">
        <w:rPr>
          <w:rFonts w:hint="eastAsia"/>
        </w:rPr>
        <w:t>陳訴人</w:t>
      </w:r>
      <w:r w:rsidRPr="003703D2">
        <w:rPr>
          <w:rFonts w:hint="eastAsia"/>
        </w:rPr>
        <w:t>有逃亡之虞。隨訴訟程序之推進，經認定有罪、判處重刑，畏罪逃亡之可能性升高等事由，命陳訴人自112年10月5日起至113年6月10日（其後再裁定延長至114年2月10日止），應遵守接受電子</w:t>
      </w:r>
      <w:r w:rsidR="00643B35" w:rsidRPr="003703D2">
        <w:rPr>
          <w:rFonts w:hint="eastAsia"/>
        </w:rPr>
        <w:t>腳鐶</w:t>
      </w:r>
      <w:r w:rsidRPr="003703D2">
        <w:rPr>
          <w:rFonts w:hint="eastAsia"/>
        </w:rPr>
        <w:t>、居家讀取器之科技設備監控，以及未經法院許可，於每日晚上11時許起至翌日上午6時許，不得離開限制住居等事項之處分，迄1</w:t>
      </w:r>
      <w:r w:rsidRPr="003703D2">
        <w:t>13</w:t>
      </w:r>
      <w:r w:rsidRPr="003703D2">
        <w:rPr>
          <w:rFonts w:hint="eastAsia"/>
        </w:rPr>
        <w:t>年7月2</w:t>
      </w:r>
      <w:r w:rsidRPr="003703D2">
        <w:t>6</w:t>
      </w:r>
      <w:r w:rsidRPr="003703D2">
        <w:rPr>
          <w:rFonts w:hint="eastAsia"/>
        </w:rPr>
        <w:t>日因</w:t>
      </w:r>
      <w:r w:rsidR="00AA7BD9" w:rsidRPr="003703D2">
        <w:rPr>
          <w:rFonts w:hint="eastAsia"/>
        </w:rPr>
        <w:t>陳訴人</w:t>
      </w:r>
      <w:r w:rsidRPr="003703D2">
        <w:rPr>
          <w:rFonts w:hint="eastAsia"/>
        </w:rPr>
        <w:t>入監執行，共執行科技設備監控2</w:t>
      </w:r>
      <w:r w:rsidRPr="003703D2">
        <w:t>89</w:t>
      </w:r>
      <w:r w:rsidRPr="003703D2">
        <w:rPr>
          <w:rFonts w:hint="eastAsia"/>
        </w:rPr>
        <w:t>日。有高院109年度金上重訴字第56號裁定、112年科控字第1號、</w:t>
      </w:r>
      <w:r w:rsidR="00AA7BD9" w:rsidRPr="003703D2">
        <w:rPr>
          <w:rFonts w:hint="eastAsia"/>
        </w:rPr>
        <w:t>第</w:t>
      </w:r>
      <w:r w:rsidRPr="003703D2">
        <w:rPr>
          <w:rFonts w:hint="eastAsia"/>
        </w:rPr>
        <w:t>5號執行科技設備監控命令書在卷可稽，足認</w:t>
      </w:r>
      <w:bookmarkStart w:id="65" w:name="_Hlk188963639"/>
      <w:r w:rsidRPr="003703D2">
        <w:rPr>
          <w:rFonts w:hint="eastAsia"/>
        </w:rPr>
        <w:t>法院命陳訴人接受科技設備監控，並非無據</w:t>
      </w:r>
      <w:bookmarkEnd w:id="65"/>
      <w:r w:rsidRPr="003703D2">
        <w:rPr>
          <w:rFonts w:hint="eastAsia"/>
        </w:rPr>
        <w:t>。又陳訴人受監控期間，因系統告警訊號頻繁，致影響其身心健康</w:t>
      </w:r>
      <w:r w:rsidR="00021345" w:rsidRPr="003703D2">
        <w:rPr>
          <w:rFonts w:hint="eastAsia"/>
        </w:rPr>
        <w:t>一節</w:t>
      </w:r>
      <w:r w:rsidRPr="003703D2">
        <w:rPr>
          <w:rFonts w:hint="eastAsia"/>
        </w:rPr>
        <w:t>，</w:t>
      </w:r>
      <w:r w:rsidR="00DC57D5" w:rsidRPr="003703D2">
        <w:rPr>
          <w:rFonts w:hint="eastAsia"/>
        </w:rPr>
        <w:t>據</w:t>
      </w:r>
      <w:r w:rsidR="00A31F05" w:rsidRPr="003703D2">
        <w:rPr>
          <w:rFonts w:hint="eastAsia"/>
        </w:rPr>
        <w:t>法務部審視</w:t>
      </w:r>
      <w:r w:rsidR="00927F53" w:rsidRPr="003703D2">
        <w:rPr>
          <w:rFonts w:hint="eastAsia"/>
        </w:rPr>
        <w:t>本案</w:t>
      </w:r>
      <w:r w:rsidR="00A31F05" w:rsidRPr="003703D2">
        <w:rPr>
          <w:rFonts w:hint="eastAsia"/>
        </w:rPr>
        <w:t>回傳之原始資料，</w:t>
      </w:r>
      <w:r w:rsidR="00DB4772" w:rsidRPr="003703D2">
        <w:rPr>
          <w:rFonts w:hint="eastAsia"/>
        </w:rPr>
        <w:t>表示</w:t>
      </w:r>
      <w:r w:rsidR="00DC57D5" w:rsidRPr="003703D2">
        <w:rPr>
          <w:rFonts w:hint="eastAsia"/>
        </w:rPr>
        <w:t>陳訴人</w:t>
      </w:r>
      <w:r w:rsidR="00DB4772" w:rsidRPr="003703D2">
        <w:rPr>
          <w:rFonts w:hint="eastAsia"/>
        </w:rPr>
        <w:t>在</w:t>
      </w:r>
      <w:r w:rsidR="00DC57D5" w:rsidRPr="003703D2">
        <w:rPr>
          <w:rFonts w:hint="eastAsia"/>
        </w:rPr>
        <w:t>監控期間發生三級告警數計38次（扣除連續告警次數），其原因</w:t>
      </w:r>
      <w:r w:rsidR="00DB4772" w:rsidRPr="003703D2">
        <w:rPr>
          <w:rFonts w:hint="eastAsia"/>
        </w:rPr>
        <w:t>大多</w:t>
      </w:r>
      <w:r w:rsidR="00DC57D5" w:rsidRPr="003703D2">
        <w:rPr>
          <w:rFonts w:hint="eastAsia"/>
        </w:rPr>
        <w:t>為居家讀取器發生拆卸告警、離開電子圍籬、進入機場電子圍籬</w:t>
      </w:r>
      <w:r w:rsidR="00DB4772" w:rsidRPr="003703D2">
        <w:rPr>
          <w:rFonts w:hint="eastAsia"/>
        </w:rPr>
        <w:t>，相關告警均非系統或監控設備不穩所造成等語。</w:t>
      </w:r>
      <w:r w:rsidR="00D87DDA" w:rsidRPr="003703D2">
        <w:rPr>
          <w:rFonts w:hint="eastAsia"/>
        </w:rPr>
        <w:t>考量載具低電量、拆卸告警、失聯或觸發電子圍籬</w:t>
      </w:r>
      <w:r w:rsidR="00DB4772" w:rsidRPr="003703D2">
        <w:rPr>
          <w:rFonts w:hint="eastAsia"/>
        </w:rPr>
        <w:t>等，均屬違反監控命令之態樣，是以</w:t>
      </w:r>
      <w:r w:rsidR="00E141C2" w:rsidRPr="003703D2">
        <w:rPr>
          <w:rFonts w:hint="eastAsia"/>
        </w:rPr>
        <w:t>陳訴人受監控期間系統告警訊號頻繁，</w:t>
      </w:r>
      <w:r w:rsidR="00D87DDA" w:rsidRPr="003703D2">
        <w:rPr>
          <w:rFonts w:hint="eastAsia"/>
        </w:rPr>
        <w:t>尚</w:t>
      </w:r>
      <w:r w:rsidRPr="003703D2">
        <w:rPr>
          <w:rFonts w:hint="eastAsia"/>
        </w:rPr>
        <w:t>難以歸責於監控人員。</w:t>
      </w:r>
    </w:p>
    <w:p w:rsidR="00242ECF" w:rsidRPr="003703D2" w:rsidRDefault="00242ECF" w:rsidP="00242ECF">
      <w:pPr>
        <w:pStyle w:val="2"/>
        <w:numPr>
          <w:ilvl w:val="1"/>
          <w:numId w:val="1"/>
        </w:numPr>
        <w:rPr>
          <w:b/>
        </w:rPr>
      </w:pPr>
      <w:r w:rsidRPr="003703D2">
        <w:rPr>
          <w:rFonts w:hint="eastAsia"/>
          <w:b/>
        </w:rPr>
        <w:t>刑事被告的羈押審查，涉及人類行為的不確定性，本難依逃亡風險建立層級化的標準，故宜委由法官綜合個案情節審酌決定之。然而羈押為剝奪人身自由最嚴厲的強制處分，如賦予法院自由判斷的絕對權力而無</w:t>
      </w:r>
      <w:r w:rsidRPr="003703D2">
        <w:rPr>
          <w:rFonts w:hint="eastAsia"/>
          <w:b/>
        </w:rPr>
        <w:lastRenderedPageBreak/>
        <w:t>任何參考標準，易使法官陷入保障人權與實現刑罰權的兩難，且每每因被告逃亡的事後結果論，承受外界交相指責的龐大壓力</w:t>
      </w:r>
      <w:r w:rsidR="009933F3" w:rsidRPr="003703D2">
        <w:rPr>
          <w:rFonts w:hint="eastAsia"/>
          <w:b/>
        </w:rPr>
        <w:t>，如反向而論</w:t>
      </w:r>
      <w:r w:rsidR="00E80847" w:rsidRPr="003703D2">
        <w:rPr>
          <w:rFonts w:hint="eastAsia"/>
          <w:b/>
        </w:rPr>
        <w:t>，亦可能</w:t>
      </w:r>
      <w:r w:rsidRPr="003703D2">
        <w:rPr>
          <w:rFonts w:hint="eastAsia"/>
          <w:b/>
        </w:rPr>
        <w:t>形成司法恣意的想像空間。司法院及法務部有必要參酌學者建議及國外立法例，思考建立若干行使羈押權的框架，例如檢察官對於審判中之重罪或特定犯罪，有聲押權並負舉證之責、依罪責或偵審進度妥適設計舉證責任轉換及證明程度、檢討並充實羈押替代措施的種類、強化法官個案研討及經驗分享等，以避免司法恣意的空間，提升人民對司法信賴。</w:t>
      </w:r>
    </w:p>
    <w:p w:rsidR="00242ECF" w:rsidRPr="003703D2" w:rsidRDefault="00242ECF" w:rsidP="00242ECF">
      <w:pPr>
        <w:pStyle w:val="3"/>
        <w:numPr>
          <w:ilvl w:val="2"/>
          <w:numId w:val="1"/>
        </w:numPr>
      </w:pPr>
      <w:r w:rsidRPr="003703D2">
        <w:rPr>
          <w:rFonts w:hint="eastAsia"/>
        </w:rPr>
        <w:t>依刑事訴訟法第1</w:t>
      </w:r>
      <w:r w:rsidRPr="003703D2">
        <w:t>01</w:t>
      </w:r>
      <w:r w:rsidRPr="003703D2">
        <w:rPr>
          <w:rFonts w:hint="eastAsia"/>
        </w:rPr>
        <w:t>條、第1</w:t>
      </w:r>
      <w:r w:rsidRPr="003703D2">
        <w:t>01</w:t>
      </w:r>
      <w:r w:rsidRPr="003703D2">
        <w:rPr>
          <w:rFonts w:hint="eastAsia"/>
        </w:rPr>
        <w:t>條之1、第1</w:t>
      </w:r>
      <w:r w:rsidRPr="003703D2">
        <w:t>17</w:t>
      </w:r>
      <w:r w:rsidRPr="003703D2">
        <w:rPr>
          <w:rFonts w:hint="eastAsia"/>
        </w:rPr>
        <w:t>條規定，被告經法官訊問後，認為有所列各款羈押原因，而有羈押必要者，得羈押之或命再執行羈押；無羈押必要者，得逕命具保、責付或限制住居</w:t>
      </w:r>
      <w:r w:rsidRPr="003703D2">
        <w:rPr>
          <w:rStyle w:val="afe"/>
        </w:rPr>
        <w:footnoteReference w:id="3"/>
      </w:r>
      <w:r w:rsidRPr="003703D2">
        <w:rPr>
          <w:rFonts w:hint="eastAsia"/>
        </w:rPr>
        <w:t>。又依「法院辦理刑事訴訟案件應行注意事項」及「法院辦理停止羈押及再執行羈押注意要點」之相關規定</w:t>
      </w:r>
      <w:r w:rsidRPr="003703D2">
        <w:rPr>
          <w:rStyle w:val="afe"/>
        </w:rPr>
        <w:footnoteReference w:id="4"/>
      </w:r>
      <w:r w:rsidRPr="003703D2">
        <w:rPr>
          <w:rFonts w:hint="eastAsia"/>
        </w:rPr>
        <w:t>，羈</w:t>
      </w:r>
      <w:r w:rsidRPr="003703D2">
        <w:rPr>
          <w:rFonts w:hint="eastAsia"/>
        </w:rPr>
        <w:lastRenderedPageBreak/>
        <w:t>押屬「法官保留」事項，羈押事由之有無及必要性，應由法官依職權調查審認之，檢察官對於偵查中之被告始有向法院聲請羈押或再執行羈押之權，案件如已起訴，檢察官並無羈押聲請權。</w:t>
      </w:r>
    </w:p>
    <w:p w:rsidR="00242ECF" w:rsidRPr="003703D2" w:rsidRDefault="00242ECF" w:rsidP="00242ECF">
      <w:pPr>
        <w:pStyle w:val="3"/>
        <w:numPr>
          <w:ilvl w:val="2"/>
          <w:numId w:val="1"/>
        </w:numPr>
      </w:pPr>
      <w:r w:rsidRPr="003703D2">
        <w:rPr>
          <w:rFonts w:hint="eastAsia"/>
        </w:rPr>
        <w:t>陳訴人質疑其因朱國榮棄保潛逃，受不當牽連而遭電子監控等情。經查，國寶集團總裁朱國榮涉嫌炒股等案，於112年9月7日判決定讞前棄保5億多元潛逃，朱國榮於當日前往派出所報到後，搭遊艇逃亡至菲律賓、萬那杜、以色列、俄羅斯等地，至今下落不明。因朱國榮具有中國黑幫「大圈仔」背景，曾犯下偷渡、搶劫運鈔車及殺人案，來臺後又曾被警總管訓及違反槍砲彈藥刀械管制條例等罪遭判刑。且朱</w:t>
      </w:r>
      <w:r w:rsidR="00AA7BD9" w:rsidRPr="003703D2">
        <w:rPr>
          <w:rFonts w:hint="eastAsia"/>
        </w:rPr>
        <w:t>國榮</w:t>
      </w:r>
      <w:r w:rsidRPr="003703D2">
        <w:rPr>
          <w:rFonts w:hint="eastAsia"/>
        </w:rPr>
        <w:t>除因涉及掏空、內線交易及炒股等案，經法院分別判處8年及1</w:t>
      </w:r>
      <w:r w:rsidRPr="003703D2">
        <w:t>6</w:t>
      </w:r>
      <w:r w:rsidRPr="003703D2">
        <w:rPr>
          <w:rFonts w:hint="eastAsia"/>
        </w:rPr>
        <w:t>年徒刑外，另有多起重大經濟犯罪案件尚在法院審理中。該案起訴後，</w:t>
      </w:r>
      <w:r w:rsidR="00AA7BD9" w:rsidRPr="003703D2">
        <w:rPr>
          <w:rFonts w:hint="eastAsia"/>
        </w:rPr>
        <w:t>臺灣</w:t>
      </w:r>
      <w:r w:rsidRPr="003703D2">
        <w:rPr>
          <w:rFonts w:hint="eastAsia"/>
        </w:rPr>
        <w:t>臺北地</w:t>
      </w:r>
      <w:r w:rsidR="00AA7BD9" w:rsidRPr="003703D2">
        <w:rPr>
          <w:rFonts w:hint="eastAsia"/>
        </w:rPr>
        <w:t>方法</w:t>
      </w:r>
      <w:r w:rsidRPr="003703D2">
        <w:rPr>
          <w:rFonts w:hint="eastAsia"/>
        </w:rPr>
        <w:t>院於1</w:t>
      </w:r>
      <w:r w:rsidRPr="003703D2">
        <w:t>05</w:t>
      </w:r>
      <w:r w:rsidRPr="003703D2">
        <w:rPr>
          <w:rFonts w:hint="eastAsia"/>
        </w:rPr>
        <w:t>年1</w:t>
      </w:r>
      <w:r w:rsidRPr="003703D2">
        <w:t>0</w:t>
      </w:r>
      <w:r w:rsidRPr="003703D2">
        <w:rPr>
          <w:rFonts w:hint="eastAsia"/>
        </w:rPr>
        <w:t>月5日許可朱國榮停止羈押，命具保、限制住居、限制出境出海及每日定時向轄區派出所報到。朱</w:t>
      </w:r>
      <w:r w:rsidR="00AA7BD9" w:rsidRPr="003703D2">
        <w:rPr>
          <w:rFonts w:hint="eastAsia"/>
        </w:rPr>
        <w:t>國榮</w:t>
      </w:r>
      <w:r w:rsidRPr="003703D2">
        <w:rPr>
          <w:rFonts w:hint="eastAsia"/>
        </w:rPr>
        <w:t>交保期間，又爆發慶富造船少東陳偉志（涉軍方獵雷艦詐貸案）及立委林正二重判74年（貪污罪）棄保潛逃等事件，皆引起社會批評聲浪。且刑事訴訟法於1</w:t>
      </w:r>
      <w:r w:rsidRPr="003703D2">
        <w:t>08</w:t>
      </w:r>
      <w:r w:rsidRPr="003703D2">
        <w:rPr>
          <w:rFonts w:hint="eastAsia"/>
        </w:rPr>
        <w:t>年7月1</w:t>
      </w:r>
      <w:r w:rsidRPr="003703D2">
        <w:t>7</w:t>
      </w:r>
      <w:r w:rsidRPr="003703D2">
        <w:rPr>
          <w:rFonts w:hint="eastAsia"/>
        </w:rPr>
        <w:t>日增</w:t>
      </w:r>
      <w:r w:rsidR="00AA7BD9" w:rsidRPr="003703D2">
        <w:rPr>
          <w:rFonts w:hint="eastAsia"/>
        </w:rPr>
        <w:t>訂</w:t>
      </w:r>
      <w:r w:rsidRPr="003703D2">
        <w:rPr>
          <w:rFonts w:hint="eastAsia"/>
        </w:rPr>
        <w:t>「科技設備監控」新制，111年1月12日科控中心正式啟用，然法院卻未適用防逃新制，隨時注意朱某逃亡風險有無隨著審理進度而</w:t>
      </w:r>
      <w:r w:rsidR="00AA7BD9" w:rsidRPr="003703D2">
        <w:rPr>
          <w:rFonts w:hint="eastAsia"/>
        </w:rPr>
        <w:t>升</w:t>
      </w:r>
      <w:r w:rsidRPr="003703D2">
        <w:rPr>
          <w:rFonts w:hint="eastAsia"/>
        </w:rPr>
        <w:t>高，適時審酌是否再執行羈押或命科技監控設備處分，明顯脫離國民的法律感情。然而如何避免個案判斷流於恣意，維</w:t>
      </w:r>
      <w:r w:rsidRPr="003703D2">
        <w:rPr>
          <w:rFonts w:hint="eastAsia"/>
        </w:rPr>
        <w:lastRenderedPageBreak/>
        <w:t>護人民對司法的信賴，綜據學者諮詢意見如下：</w:t>
      </w:r>
    </w:p>
    <w:p w:rsidR="00242ECF" w:rsidRPr="003703D2" w:rsidRDefault="00242ECF" w:rsidP="00242ECF">
      <w:pPr>
        <w:pStyle w:val="4"/>
        <w:numPr>
          <w:ilvl w:val="3"/>
          <w:numId w:val="1"/>
        </w:numPr>
      </w:pPr>
      <w:r w:rsidRPr="003703D2">
        <w:rPr>
          <w:rFonts w:hint="eastAsia"/>
        </w:rPr>
        <w:t>無論依憲法第8條或</w:t>
      </w:r>
      <w:r w:rsidR="00DE4E82" w:rsidRPr="003703D2">
        <w:rPr>
          <w:rFonts w:hint="eastAsia"/>
        </w:rPr>
        <w:t>司法院</w:t>
      </w:r>
      <w:r w:rsidRPr="003703D2">
        <w:rPr>
          <w:rFonts w:hint="eastAsia"/>
        </w:rPr>
        <w:t>釋字第392號解釋，羈押屬法官的審判核心，因羈押構成對人民身體自由最大程度的剝奪，需透過中立客觀的法院審查。是否建立逃亡風險的層級化規範，理想上固然有必要，但實際操作上有困難，不同個案涉及的因素各異且複雜，會有掛一漏萬的情形，應回歸第一線法官或檢察官的專業判斷，較為妥適。</w:t>
      </w:r>
    </w:p>
    <w:p w:rsidR="00242ECF" w:rsidRPr="003703D2" w:rsidRDefault="00242ECF" w:rsidP="00242ECF">
      <w:pPr>
        <w:pStyle w:val="4"/>
        <w:numPr>
          <w:ilvl w:val="3"/>
          <w:numId w:val="1"/>
        </w:numPr>
      </w:pPr>
      <w:r w:rsidRPr="003703D2">
        <w:rPr>
          <w:rFonts w:hint="eastAsia"/>
        </w:rPr>
        <w:t>羈押的目的在於保全證據及保全被告，我國羈押被告的比率高於美國及其他先進國家，主要在於羈押替代的手段太少，導致法官因為無適於控制被告的手段可以選擇，而被迫羈押被告，壓縮法官羈押裁量的空間。</w:t>
      </w:r>
    </w:p>
    <w:p w:rsidR="00242ECF" w:rsidRPr="003703D2" w:rsidRDefault="00242ECF" w:rsidP="00242ECF">
      <w:pPr>
        <w:pStyle w:val="4"/>
        <w:numPr>
          <w:ilvl w:val="3"/>
          <w:numId w:val="1"/>
        </w:numPr>
      </w:pPr>
      <w:r w:rsidRPr="003703D2">
        <w:rPr>
          <w:rFonts w:hint="eastAsia"/>
        </w:rPr>
        <w:t>參考歐洲人權法院的判決，檢察官主張被告有逃亡之虞的舉證責任，會隨著時間經過而提高，也就是案件發生初始時間緊迫下，僅需大致上可能有此事的說服責任，但舉證程度將隨著偵查工作進行而逐漸提高。</w:t>
      </w:r>
    </w:p>
    <w:p w:rsidR="00242ECF" w:rsidRPr="003703D2" w:rsidRDefault="00242ECF" w:rsidP="00242ECF">
      <w:pPr>
        <w:pStyle w:val="4"/>
        <w:numPr>
          <w:ilvl w:val="3"/>
          <w:numId w:val="1"/>
        </w:numPr>
      </w:pPr>
      <w:r w:rsidRPr="003703D2">
        <w:rPr>
          <w:rFonts w:hint="eastAsia"/>
        </w:rPr>
        <w:t>美國經過長時間的論證，在</w:t>
      </w:r>
      <w:r w:rsidR="00E80847" w:rsidRPr="003703D2">
        <w:rPr>
          <w:rFonts w:hint="eastAsia"/>
        </w:rPr>
        <w:t>西元</w:t>
      </w:r>
      <w:r w:rsidRPr="003703D2">
        <w:rPr>
          <w:rFonts w:hint="eastAsia"/>
        </w:rPr>
        <w:t>2000年後確立原則上逃亡之虞應由檢察官負舉證責任，但被告觸犯的罪名重大，無法想像其不逃亡時，及犯特定類型犯罪，舉證責任轉置，應由被告舉證證明其不逃亡，運作情形相對良好。我國現行立法模式未予區分，全部交由法官裁決，可能出現不同法院或法官對相類似案件截然不同的判斷結果。</w:t>
      </w:r>
    </w:p>
    <w:p w:rsidR="00242ECF" w:rsidRPr="003703D2" w:rsidRDefault="00242ECF" w:rsidP="00242ECF">
      <w:pPr>
        <w:pStyle w:val="3"/>
        <w:numPr>
          <w:ilvl w:val="2"/>
          <w:numId w:val="1"/>
        </w:numPr>
      </w:pPr>
      <w:r w:rsidRPr="003703D2">
        <w:rPr>
          <w:rFonts w:hint="eastAsia"/>
        </w:rPr>
        <w:t>本院審酌認為：</w:t>
      </w:r>
    </w:p>
    <w:p w:rsidR="00242ECF" w:rsidRPr="003703D2" w:rsidRDefault="00242ECF" w:rsidP="00242ECF">
      <w:pPr>
        <w:pStyle w:val="4"/>
        <w:numPr>
          <w:ilvl w:val="3"/>
          <w:numId w:val="1"/>
        </w:numPr>
      </w:pPr>
      <w:r w:rsidRPr="003703D2">
        <w:rPr>
          <w:rFonts w:hint="eastAsia"/>
        </w:rPr>
        <w:t>參酌美國刑事犯罪及刑事訴訟程序（USCS）第3142條規定，羈押審查程序應本於檢察官聲請或</w:t>
      </w:r>
      <w:r w:rsidRPr="003703D2">
        <w:rPr>
          <w:rFonts w:hint="eastAsia"/>
        </w:rPr>
        <w:lastRenderedPageBreak/>
        <w:t>法院依職權為之。檢察官認為被告涉有第3</w:t>
      </w:r>
      <w:r w:rsidRPr="003703D2">
        <w:t>142</w:t>
      </w:r>
      <w:r w:rsidRPr="003703D2">
        <w:rPr>
          <w:rFonts w:hint="eastAsia"/>
        </w:rPr>
        <w:t>條（f）（1）（A）至(E) 罪名之案件（包括暴力犯罪、最重本刑10年以上有期徒刑之毒品犯罪及反恐犯罪、最重本刑為死刑或無期徒刑之罪、最重本刑為10年以上有期徒刑之管制物質犯罪、受有上述二項以上罪名之有罪確定之宣告之重罪者、涉及兒童被害人或持有槍枝或毀滅性武器或未依據梅根法案註冊登記之性犯罪者</w:t>
      </w:r>
      <w:r w:rsidRPr="003703D2">
        <w:rPr>
          <w:rStyle w:val="afe"/>
        </w:rPr>
        <w:footnoteReference w:id="5"/>
      </w:r>
      <w:r w:rsidRPr="003703D2">
        <w:rPr>
          <w:rFonts w:hint="eastAsia"/>
        </w:rPr>
        <w:t>），得向法院聲請羈押。此外，如被告有該條（f）（2）（A）、(</w:t>
      </w:r>
      <w:r w:rsidRPr="003703D2">
        <w:t>B</w:t>
      </w:r>
      <w:r w:rsidRPr="003703D2">
        <w:rPr>
          <w:rFonts w:hint="eastAsia"/>
        </w:rPr>
        <w:t>)所列情形（被告有逃匿或妨礙司法公正，威脅、傷害或恐嚇潛在證人或陪審員的重大風險）時，法官得依職權決定羈押與否，檢察官亦得聲請法院羈押之。</w:t>
      </w:r>
    </w:p>
    <w:p w:rsidR="00242ECF" w:rsidRPr="003703D2" w:rsidRDefault="00242ECF" w:rsidP="00242ECF">
      <w:pPr>
        <w:pStyle w:val="4"/>
        <w:numPr>
          <w:ilvl w:val="3"/>
          <w:numId w:val="1"/>
        </w:numPr>
      </w:pPr>
      <w:r w:rsidRPr="003703D2">
        <w:rPr>
          <w:rFonts w:hint="eastAsia"/>
        </w:rPr>
        <w:t>目前司法實務依刑事訴訟法第1</w:t>
      </w:r>
      <w:r w:rsidRPr="003703D2">
        <w:t>01</w:t>
      </w:r>
      <w:r w:rsidRPr="003703D2">
        <w:rPr>
          <w:rFonts w:hint="eastAsia"/>
        </w:rPr>
        <w:t>條、第1</w:t>
      </w:r>
      <w:r w:rsidRPr="003703D2">
        <w:t>01</w:t>
      </w:r>
      <w:r w:rsidRPr="003703D2">
        <w:rPr>
          <w:rFonts w:hint="eastAsia"/>
        </w:rPr>
        <w:t>條之1及</w:t>
      </w:r>
      <w:r w:rsidR="00DE4E82" w:rsidRPr="003703D2">
        <w:rPr>
          <w:rFonts w:hint="eastAsia"/>
        </w:rPr>
        <w:t>「</w:t>
      </w:r>
      <w:r w:rsidRPr="003703D2">
        <w:rPr>
          <w:rFonts w:hint="eastAsia"/>
        </w:rPr>
        <w:t>法院辦理刑事訴訟</w:t>
      </w:r>
      <w:r w:rsidR="00DE4E82" w:rsidRPr="003703D2">
        <w:rPr>
          <w:rFonts w:hint="eastAsia"/>
        </w:rPr>
        <w:t>案件</w:t>
      </w:r>
      <w:r w:rsidRPr="003703D2">
        <w:rPr>
          <w:rFonts w:hint="eastAsia"/>
        </w:rPr>
        <w:t>應行注意事項</w:t>
      </w:r>
      <w:r w:rsidR="00DE4E82" w:rsidRPr="003703D2">
        <w:rPr>
          <w:rFonts w:hint="eastAsia"/>
        </w:rPr>
        <w:t>」</w:t>
      </w:r>
      <w:r w:rsidRPr="003703D2">
        <w:rPr>
          <w:rFonts w:hint="eastAsia"/>
        </w:rPr>
        <w:t>第5</w:t>
      </w:r>
      <w:r w:rsidRPr="003703D2">
        <w:t>4</w:t>
      </w:r>
      <w:r w:rsidRPr="003703D2">
        <w:rPr>
          <w:rFonts w:hint="eastAsia"/>
        </w:rPr>
        <w:t>點等規定，認為檢察官對偵查中之被告，始有向法院聲請羈押或再執行羈押之權。案件起訴後，有無羈押事由或羈押之必要，完全由法院依職權審酌個案情節決定（檢察官縱然聲請，亦僅促使法官注意而已）。然此賦予法官絕對權力的法制設計，每每使法官陷於保障人權與維護國家司法權的兩難，且極易因個案差異、被告有無逃亡的事後結果論，使法官背負輿論交相指責的龐大壓力，甚至形成司法不公、因人而異的想像空間。前開學者有關檢察官有聲押權並負舉證之責的</w:t>
      </w:r>
      <w:r w:rsidRPr="003703D2">
        <w:rPr>
          <w:rFonts w:hint="eastAsia"/>
        </w:rPr>
        <w:lastRenderedPageBreak/>
        <w:t>建議，值得司法院審慎研究。</w:t>
      </w:r>
    </w:p>
    <w:p w:rsidR="00242ECF" w:rsidRPr="003703D2" w:rsidRDefault="00242ECF" w:rsidP="00242ECF">
      <w:pPr>
        <w:pStyle w:val="4"/>
        <w:numPr>
          <w:ilvl w:val="3"/>
          <w:numId w:val="1"/>
        </w:numPr>
      </w:pPr>
      <w:r w:rsidRPr="003703D2">
        <w:rPr>
          <w:rFonts w:hint="eastAsia"/>
        </w:rPr>
        <w:t>鑑於羈押屬於剝奪人身自由最嚴厲的強制處分，美國法認為保釋制度的精神，在於使被告在有罪判決前，維持其人身自由以保障其準備辯護、與律師接見通訊及蒐集有利證據之權利。質言之，應以附帶條件釋放之替代處分為原則，以羈押為例外</w:t>
      </w:r>
      <w:r w:rsidRPr="003703D2">
        <w:rPr>
          <w:rStyle w:val="afe"/>
        </w:rPr>
        <w:footnoteReference w:id="6"/>
      </w:r>
      <w:r w:rsidRPr="003703D2">
        <w:rPr>
          <w:rFonts w:hint="eastAsia"/>
        </w:rPr>
        <w:t>。而為達成保全被告到庭及免於造成社區或他人安全危害之目的，美國刑事犯罪及刑事訴訟程序（USCS）第3142條（a）（2）（c）規定1</w:t>
      </w:r>
      <w:r w:rsidRPr="003703D2">
        <w:t>4</w:t>
      </w:r>
      <w:r w:rsidRPr="003703D2">
        <w:rPr>
          <w:rFonts w:hint="eastAsia"/>
        </w:rPr>
        <w:t>款羈押替代處分之附條件釋放之類型</w:t>
      </w:r>
      <w:r w:rsidRPr="003703D2">
        <w:rPr>
          <w:rStyle w:val="afe"/>
        </w:rPr>
        <w:footnoteReference w:id="7"/>
      </w:r>
      <w:r w:rsidRPr="003703D2">
        <w:rPr>
          <w:rFonts w:hint="eastAsia"/>
        </w:rPr>
        <w:t>，法院得運用單一條件或複數條件釋放被告。相較之下，學者認為我國現行司法實務羈押替代措施的種類有限，有充實的必要，亦值得司法院參考。</w:t>
      </w:r>
    </w:p>
    <w:p w:rsidR="00242ECF" w:rsidRPr="003703D2" w:rsidRDefault="00242ECF" w:rsidP="00242ECF">
      <w:pPr>
        <w:pStyle w:val="3"/>
        <w:numPr>
          <w:ilvl w:val="2"/>
          <w:numId w:val="1"/>
        </w:numPr>
      </w:pPr>
      <w:r w:rsidRPr="003703D2">
        <w:rPr>
          <w:rFonts w:hint="eastAsia"/>
        </w:rPr>
        <w:t>綜據上述，司法院有必要參酌學者專家建議及國外立法例，思考建立若干行使羈押權的框架。例如，檢察官對於審判中之重罪或特定犯罪，有聲押權並</w:t>
      </w:r>
      <w:r w:rsidRPr="003703D2">
        <w:rPr>
          <w:rFonts w:hint="eastAsia"/>
        </w:rPr>
        <w:lastRenderedPageBreak/>
        <w:t>負舉證之責、依罪責程度或偵審進度妥適設計舉證責任轉換及證明程度、檢討並充實現行羈押替代措施的種類、強化法官個案研討及經驗分享等，以避免司法恣意的空間，提升人民對司法信賴。</w:t>
      </w:r>
    </w:p>
    <w:p w:rsidR="00242ECF" w:rsidRPr="003703D2" w:rsidRDefault="00242ECF" w:rsidP="00242ECF">
      <w:pPr>
        <w:pStyle w:val="2"/>
        <w:numPr>
          <w:ilvl w:val="1"/>
          <w:numId w:val="1"/>
        </w:numPr>
        <w:rPr>
          <w:b/>
        </w:rPr>
      </w:pPr>
      <w:r w:rsidRPr="003703D2">
        <w:rPr>
          <w:rFonts w:hint="eastAsia"/>
          <w:b/>
        </w:rPr>
        <w:t>刑事訴訟法於108年7月17日修正公布第116條之2，增列羈押替代處分之科技設備監控。司法院及法務部為因應新法修正，於109年8月18日會同訂頒「刑事被告科技設備監控執行辦法」（下稱執行辦法，同年9月1日施行），並委託高檢署建置科技設備</w:t>
      </w:r>
      <w:r w:rsidR="00CF5F06" w:rsidRPr="003703D2">
        <w:rPr>
          <w:rFonts w:hint="eastAsia"/>
          <w:b/>
        </w:rPr>
        <w:t>科控中心</w:t>
      </w:r>
      <w:r w:rsidR="00AC7AE3" w:rsidRPr="003703D2">
        <w:rPr>
          <w:rFonts w:hint="eastAsia"/>
          <w:b/>
        </w:rPr>
        <w:t>（下稱科控中心）</w:t>
      </w:r>
      <w:r w:rsidRPr="003703D2">
        <w:rPr>
          <w:rFonts w:hint="eastAsia"/>
          <w:b/>
        </w:rPr>
        <w:t>。然迄今各法院及檢察署實施科控處分之案量仍有待提升，又刑事訴訟法對於科技設備監控的規定過於粗略</w:t>
      </w:r>
      <w:r w:rsidR="00E80847" w:rsidRPr="003703D2">
        <w:rPr>
          <w:rFonts w:hint="eastAsia"/>
          <w:b/>
        </w:rPr>
        <w:t>，且</w:t>
      </w:r>
      <w:r w:rsidRPr="003703D2">
        <w:rPr>
          <w:rFonts w:hint="eastAsia"/>
          <w:b/>
        </w:rPr>
        <w:t>執行辦法</w:t>
      </w:r>
      <w:r w:rsidR="00E80847" w:rsidRPr="003703D2">
        <w:rPr>
          <w:rFonts w:hint="eastAsia"/>
          <w:b/>
        </w:rPr>
        <w:t>關</w:t>
      </w:r>
      <w:r w:rsidRPr="003703D2">
        <w:rPr>
          <w:rFonts w:hint="eastAsia"/>
          <w:b/>
        </w:rPr>
        <w:t>於使用何種載具、監控方式、監控期間是否需變更、撤銷或暫緩處分，均完全交由法官及檢察官自由判斷，未考量不同科控處分所涉基本權限制，妥為設計相關要件或舉證責任，容有檢討的必要。</w:t>
      </w:r>
    </w:p>
    <w:p w:rsidR="00242ECF" w:rsidRPr="003703D2" w:rsidRDefault="00242ECF" w:rsidP="00242ECF">
      <w:pPr>
        <w:pStyle w:val="3"/>
        <w:numPr>
          <w:ilvl w:val="2"/>
          <w:numId w:val="1"/>
        </w:numPr>
      </w:pPr>
      <w:r w:rsidRPr="003703D2">
        <w:rPr>
          <w:rFonts w:hint="eastAsia"/>
        </w:rPr>
        <w:t>長久以來，涉犯重大刑案的政商權責，屢屢在交保期間潛逃，使公平正義無從實現，傷害司法公信力至鉅。106年司法改革國是會議，決議「強化防逃制度」，要求政府應研議可行的羈押替代處分措施，以兼顧被告權益與防逃效果；107年慶富造船少東陳偉志涉嫌軍方獵雷艦詐貸案棄保潛逃，防逃漏洞再次受到抨擊；108年7月17日刑事訴訟法修法完成「防逃機制」立法，然而109年6月9日又發生立委林正二因貪污罪重判74年，判決定讞後失聯，外界批評聲浪再起。因高檢署具備建置「性侵假釋犯實施科技設備監控」之經驗，109年7月起司法院委託法務部轉請高檢署建置</w:t>
      </w:r>
      <w:r w:rsidR="00AC7AE3" w:rsidRPr="003703D2">
        <w:rPr>
          <w:rFonts w:hint="eastAsia"/>
        </w:rPr>
        <w:t>科控中心</w:t>
      </w:r>
      <w:r w:rsidRPr="003703D2">
        <w:rPr>
          <w:rFonts w:hint="eastAsia"/>
        </w:rPr>
        <w:t>；109年8月18日司法</w:t>
      </w:r>
      <w:r w:rsidRPr="003703D2">
        <w:rPr>
          <w:rFonts w:hint="eastAsia"/>
        </w:rPr>
        <w:lastRenderedPageBreak/>
        <w:t>院與行政院會同發布執行辦法，迄111年1月12日科控中心正式啟用，合先述明。</w:t>
      </w:r>
    </w:p>
    <w:p w:rsidR="00242ECF" w:rsidRPr="003703D2" w:rsidRDefault="00242ECF" w:rsidP="00242ECF">
      <w:pPr>
        <w:pStyle w:val="3"/>
        <w:numPr>
          <w:ilvl w:val="2"/>
          <w:numId w:val="1"/>
        </w:numPr>
      </w:pPr>
      <w:r w:rsidRPr="003703D2">
        <w:rPr>
          <w:rFonts w:hint="eastAsia"/>
        </w:rPr>
        <w:t>刑事訴訟法第1</w:t>
      </w:r>
      <w:r w:rsidRPr="003703D2">
        <w:t>16</w:t>
      </w:r>
      <w:r w:rsidRPr="003703D2">
        <w:rPr>
          <w:rFonts w:hint="eastAsia"/>
        </w:rPr>
        <w:t>條之2、第1</w:t>
      </w:r>
      <w:r w:rsidRPr="003703D2">
        <w:t>17</w:t>
      </w:r>
      <w:r w:rsidRPr="003703D2">
        <w:rPr>
          <w:rFonts w:hint="eastAsia"/>
        </w:rPr>
        <w:t>條之1規定，法院許可停止羈押，及檢察官或法院逕命具保、責付、限制住居時，得命被告遵守定期向檢審或指定機關報到、接受適當之科技設備監控、未經許可不得離開住居所或一定區域、交付護照和旅行文件、未經許可不得處分特定財產，及其他法院認為適當之事項等羈押替代處分</w:t>
      </w:r>
      <w:r w:rsidRPr="003703D2">
        <w:rPr>
          <w:rStyle w:val="afe"/>
        </w:rPr>
        <w:footnoteReference w:id="8"/>
      </w:r>
      <w:r w:rsidRPr="003703D2">
        <w:rPr>
          <w:rFonts w:hint="eastAsia"/>
        </w:rPr>
        <w:t>，執行辦法第4條、第1</w:t>
      </w:r>
      <w:r w:rsidRPr="003703D2">
        <w:t>2</w:t>
      </w:r>
      <w:r w:rsidRPr="003703D2">
        <w:rPr>
          <w:rFonts w:hint="eastAsia"/>
        </w:rPr>
        <w:t>條規定科控處分應審酌事項及比例原則</w:t>
      </w:r>
      <w:r w:rsidRPr="003703D2">
        <w:rPr>
          <w:rStyle w:val="afe"/>
        </w:rPr>
        <w:footnoteReference w:id="9"/>
      </w:r>
      <w:r w:rsidRPr="003703D2">
        <w:rPr>
          <w:rFonts w:hint="eastAsia"/>
        </w:rPr>
        <w:t>，但對於適用之案件類型、審酌標準等並無規定。詢據法務部表示：執行科技設備監控之案件類型依法並無任何限制，只要法官、檢察官認為適合之案件，有必要時，在符</w:t>
      </w:r>
      <w:r w:rsidRPr="003703D2">
        <w:rPr>
          <w:rFonts w:hint="eastAsia"/>
        </w:rPr>
        <w:lastRenderedPageBreak/>
        <w:t>合比例原則下，均可為科技設備監控。至於使用何種載具、監控方式、監控期間是否需變更、撤銷或暫緩處分</w:t>
      </w:r>
      <w:r w:rsidR="00DE4E82" w:rsidRPr="003703D2">
        <w:rPr>
          <w:rFonts w:hint="eastAsia"/>
        </w:rPr>
        <w:t>，</w:t>
      </w:r>
      <w:r w:rsidRPr="003703D2">
        <w:rPr>
          <w:rFonts w:hint="eastAsia"/>
        </w:rPr>
        <w:t>均由法官、檢察官專業判斷決定之，目前並未訂頒相關規定供法官、檢察官參酌等語</w:t>
      </w:r>
      <w:r w:rsidR="00DE4E82" w:rsidRPr="003703D2">
        <w:rPr>
          <w:rFonts w:hint="eastAsia"/>
        </w:rPr>
        <w:t>。</w:t>
      </w:r>
      <w:r w:rsidRPr="003703D2">
        <w:rPr>
          <w:rFonts w:hint="eastAsia"/>
        </w:rPr>
        <w:t>司法院則表示：被告如認為法院所為科技設備監控處分（下稱科控處分）影響其身心健康，可依執行辦法第4條、第12條規定向法院陳明，如科控處分影響被告之生活狀況、對被告產生影響，除暫緩處分外，法官亦得依規定變更為其他處分</w:t>
      </w:r>
      <w:r w:rsidR="00DE4E82" w:rsidRPr="003703D2">
        <w:rPr>
          <w:rFonts w:hint="eastAsia"/>
        </w:rPr>
        <w:t>；</w:t>
      </w:r>
      <w:r w:rsidRPr="003703D2">
        <w:rPr>
          <w:rFonts w:hint="eastAsia"/>
        </w:rPr>
        <w:t>至於是否變更或撤銷原處分，屬審判核心事項，應視個案具體情節，由承辦法官本於法律確信獨立審判等語。</w:t>
      </w:r>
    </w:p>
    <w:p w:rsidR="00242ECF" w:rsidRPr="003703D2" w:rsidRDefault="00242ECF" w:rsidP="00242ECF">
      <w:pPr>
        <w:pStyle w:val="3"/>
        <w:numPr>
          <w:ilvl w:val="2"/>
          <w:numId w:val="1"/>
        </w:numPr>
      </w:pPr>
      <w:r w:rsidRPr="003703D2">
        <w:rPr>
          <w:rFonts w:hint="eastAsia"/>
        </w:rPr>
        <w:t>科控處分之內容係隨著科技進步而發展，已從9</w:t>
      </w:r>
      <w:r w:rsidRPr="003703D2">
        <w:t>4</w:t>
      </w:r>
      <w:r w:rsidRPr="003703D2">
        <w:rPr>
          <w:rFonts w:hint="eastAsia"/>
        </w:rPr>
        <w:t>年第一代「影像電話監控系統」、第二代「R</w:t>
      </w:r>
      <w:r w:rsidRPr="003703D2">
        <w:t>FID</w:t>
      </w:r>
      <w:r w:rsidRPr="003703D2">
        <w:rPr>
          <w:rFonts w:hint="eastAsia"/>
        </w:rPr>
        <w:t>無線射頻識別電子監控系統」到目前第三代「G</w:t>
      </w:r>
      <w:r w:rsidRPr="003703D2">
        <w:t>PS</w:t>
      </w:r>
      <w:r w:rsidRPr="003703D2">
        <w:rPr>
          <w:rFonts w:hint="eastAsia"/>
        </w:rPr>
        <w:t>衛星定位系統」，未來更可能因人工智能（A</w:t>
      </w:r>
      <w:r w:rsidRPr="003703D2">
        <w:t>I</w:t>
      </w:r>
      <w:r w:rsidRPr="003703D2">
        <w:rPr>
          <w:rFonts w:hint="eastAsia"/>
        </w:rPr>
        <w:t>）發展而有更多元的變化</w:t>
      </w:r>
      <w:r w:rsidRPr="003703D2">
        <w:rPr>
          <w:rStyle w:val="afe"/>
          <w:rFonts w:ascii="Times New Roman" w:hAnsi="Times New Roman"/>
        </w:rPr>
        <w:footnoteReference w:id="10"/>
      </w:r>
      <w:r w:rsidRPr="003703D2">
        <w:rPr>
          <w:rFonts w:hint="eastAsia"/>
        </w:rPr>
        <w:t>，目前科技</w:t>
      </w:r>
      <w:r w:rsidR="00CF5F06" w:rsidRPr="003703D2">
        <w:rPr>
          <w:rFonts w:hint="eastAsia"/>
        </w:rPr>
        <w:t>科控中心</w:t>
      </w:r>
      <w:r w:rsidRPr="003703D2">
        <w:rPr>
          <w:rFonts w:hint="eastAsia"/>
        </w:rPr>
        <w:t>使用腳鐶、手鐶、監控手機及居家讀取器等4種載具，可詳盡追蹤各式軌跡、智慧顯示電子圖示、多元監控、電子圍籬預警、智慧告警、人臉辨識及活體偵測電子化報到等6大核心功能</w:t>
      </w:r>
      <w:r w:rsidRPr="003703D2">
        <w:rPr>
          <w:rStyle w:val="afe"/>
          <w:rFonts w:ascii="Times New Roman" w:hAnsi="Times New Roman"/>
        </w:rPr>
        <w:footnoteReference w:id="11"/>
      </w:r>
      <w:r w:rsidRPr="003703D2">
        <w:rPr>
          <w:rFonts w:hint="eastAsia"/>
        </w:rPr>
        <w:t>。其作業流程係由法官、檢察官對被告裁定或命應遵守事項，選擇開案之載具(手鐶、腳鐶、居家讀取器、個案手機)，開立執行科技設備監控命令書。由廠商到各該院、檢法警室為被告安裝監控載具後開始監控。監控期間個案觸發告警時，科控中心聯繫受監控人並依告警層級通報，三級告</w:t>
      </w:r>
      <w:r w:rsidRPr="003703D2">
        <w:rPr>
          <w:rFonts w:hint="eastAsia"/>
        </w:rPr>
        <w:lastRenderedPageBreak/>
        <w:t>警（排除電力不足、訊號不良等設備因素，發現被告已接近機場、海岸線、進入電子圍籬禁制區或有破壞電子監控設備等情），應立即通報院檢，並得請警察、境管、海巡機關協助。統計自1</w:t>
      </w:r>
      <w:r w:rsidRPr="003703D2">
        <w:t>11</w:t>
      </w:r>
      <w:r w:rsidRPr="003703D2">
        <w:rPr>
          <w:rFonts w:hint="eastAsia"/>
        </w:rPr>
        <w:t>年1月1</w:t>
      </w:r>
      <w:r w:rsidRPr="003703D2">
        <w:t>2</w:t>
      </w:r>
      <w:r w:rsidRPr="003703D2">
        <w:rPr>
          <w:rFonts w:hint="eastAsia"/>
        </w:rPr>
        <w:t>日成立迄1</w:t>
      </w:r>
      <w:r w:rsidRPr="003703D2">
        <w:t>13</w:t>
      </w:r>
      <w:r w:rsidRPr="003703D2">
        <w:rPr>
          <w:rFonts w:hint="eastAsia"/>
        </w:rPr>
        <w:t>年1</w:t>
      </w:r>
      <w:r w:rsidRPr="003703D2">
        <w:t>2</w:t>
      </w:r>
      <w:r w:rsidRPr="003703D2">
        <w:rPr>
          <w:rFonts w:hint="eastAsia"/>
        </w:rPr>
        <w:t>月2</w:t>
      </w:r>
      <w:r w:rsidR="00272461" w:rsidRPr="003703D2">
        <w:t>0</w:t>
      </w:r>
      <w:r w:rsidRPr="003703D2">
        <w:rPr>
          <w:rFonts w:hint="eastAsia"/>
        </w:rPr>
        <w:t>日止，科控中心共執行科控處分1</w:t>
      </w:r>
      <w:r w:rsidR="00272461" w:rsidRPr="003703D2">
        <w:t>2</w:t>
      </w:r>
      <w:r w:rsidRPr="003703D2">
        <w:t>3</w:t>
      </w:r>
      <w:r w:rsidRPr="003703D2">
        <w:rPr>
          <w:rFonts w:hint="eastAsia"/>
        </w:rPr>
        <w:t>件，目前尚在監控中4</w:t>
      </w:r>
      <w:r w:rsidRPr="003703D2">
        <w:t>7</w:t>
      </w:r>
      <w:r w:rsidRPr="003703D2">
        <w:rPr>
          <w:rFonts w:hint="eastAsia"/>
        </w:rPr>
        <w:t>件；監控內容部分，大部分為限制出境出海（8</w:t>
      </w:r>
      <w:r w:rsidRPr="003703D2">
        <w:t>7</w:t>
      </w:r>
      <w:r w:rsidRPr="003703D2">
        <w:rPr>
          <w:rFonts w:hint="eastAsia"/>
        </w:rPr>
        <w:t>件）及電子報到（7</w:t>
      </w:r>
      <w:r w:rsidRPr="003703D2">
        <w:t>9</w:t>
      </w:r>
      <w:r w:rsidRPr="003703D2">
        <w:rPr>
          <w:rFonts w:hint="eastAsia"/>
        </w:rPr>
        <w:t>件），居家監控僅有2件（即本件及妨害性自主1件），占1.5％（詳表1至3）。詢據司法院表示，該院業於112年召開2次精進防逃會議及113年辦理3場次科控教育訓練後，113年科控使用件數已較112年前使用率提升約5倍以上等語。</w:t>
      </w:r>
      <w:r w:rsidR="00CB2D89" w:rsidRPr="003703D2">
        <w:br/>
      </w:r>
    </w:p>
    <w:p w:rsidR="00242ECF" w:rsidRPr="003703D2" w:rsidRDefault="00DE4E82" w:rsidP="00DE4E82">
      <w:pPr>
        <w:pStyle w:val="a3"/>
        <w:numPr>
          <w:ilvl w:val="0"/>
          <w:numId w:val="47"/>
        </w:numPr>
        <w:jc w:val="center"/>
      </w:pPr>
      <w:bookmarkStart w:id="66" w:name="_Hlk190440837"/>
      <w:r w:rsidRPr="003703D2">
        <w:rPr>
          <w:rFonts w:hint="eastAsia"/>
        </w:rPr>
        <w:t>科控處分</w:t>
      </w:r>
      <w:r w:rsidR="00242ECF" w:rsidRPr="003703D2">
        <w:rPr>
          <w:rFonts w:hint="eastAsia"/>
        </w:rPr>
        <w:t>案件數統計（</w:t>
      </w:r>
      <w:r w:rsidRPr="003703D2">
        <w:rPr>
          <w:rFonts w:hint="eastAsia"/>
        </w:rPr>
        <w:t>1</w:t>
      </w:r>
      <w:r w:rsidRPr="003703D2">
        <w:t>11</w:t>
      </w:r>
      <w:r w:rsidRPr="003703D2">
        <w:rPr>
          <w:rFonts w:hint="eastAsia"/>
        </w:rPr>
        <w:t>年1月1</w:t>
      </w:r>
      <w:r w:rsidRPr="003703D2">
        <w:t>2</w:t>
      </w:r>
      <w:r w:rsidRPr="003703D2">
        <w:rPr>
          <w:rFonts w:hint="eastAsia"/>
        </w:rPr>
        <w:t>日</w:t>
      </w:r>
      <w:r w:rsidR="00242ECF" w:rsidRPr="003703D2">
        <w:rPr>
          <w:rFonts w:hint="eastAsia"/>
        </w:rPr>
        <w:t>至113年12月20日）</w:t>
      </w:r>
    </w:p>
    <w:tbl>
      <w:tblPr>
        <w:tblStyle w:val="af6"/>
        <w:tblW w:w="0" w:type="auto"/>
        <w:tblInd w:w="137" w:type="dxa"/>
        <w:tblLook w:val="04A0" w:firstRow="1" w:lastRow="0" w:firstColumn="1" w:lastColumn="0" w:noHBand="0" w:noVBand="1"/>
      </w:tblPr>
      <w:tblGrid>
        <w:gridCol w:w="2431"/>
        <w:gridCol w:w="2088"/>
        <w:gridCol w:w="2089"/>
        <w:gridCol w:w="2089"/>
      </w:tblGrid>
      <w:tr w:rsidR="003703D2" w:rsidRPr="003703D2" w:rsidTr="00643B35">
        <w:tc>
          <w:tcPr>
            <w:tcW w:w="2431" w:type="dxa"/>
            <w:shd w:val="clear" w:color="auto" w:fill="D9D9D9"/>
          </w:tcPr>
          <w:p w:rsidR="00242ECF" w:rsidRPr="003703D2" w:rsidRDefault="00242ECF" w:rsidP="00643B35">
            <w:pPr>
              <w:pStyle w:val="14"/>
            </w:pPr>
          </w:p>
        </w:tc>
        <w:tc>
          <w:tcPr>
            <w:tcW w:w="2088" w:type="dxa"/>
            <w:shd w:val="clear" w:color="auto" w:fill="D9D9D9"/>
          </w:tcPr>
          <w:p w:rsidR="00242ECF" w:rsidRPr="003703D2" w:rsidRDefault="00242ECF" w:rsidP="00643B35">
            <w:pPr>
              <w:pStyle w:val="14"/>
            </w:pPr>
            <w:r w:rsidRPr="003703D2">
              <w:t>法院</w:t>
            </w:r>
          </w:p>
        </w:tc>
        <w:tc>
          <w:tcPr>
            <w:tcW w:w="2089" w:type="dxa"/>
            <w:shd w:val="clear" w:color="auto" w:fill="D9D9D9"/>
          </w:tcPr>
          <w:p w:rsidR="00242ECF" w:rsidRPr="003703D2" w:rsidRDefault="00242ECF" w:rsidP="00643B35">
            <w:pPr>
              <w:pStyle w:val="14"/>
            </w:pPr>
            <w:r w:rsidRPr="003703D2">
              <w:t>檢察署</w:t>
            </w:r>
          </w:p>
        </w:tc>
        <w:tc>
          <w:tcPr>
            <w:tcW w:w="2089" w:type="dxa"/>
            <w:shd w:val="clear" w:color="auto" w:fill="D9D9D9"/>
          </w:tcPr>
          <w:p w:rsidR="00242ECF" w:rsidRPr="003703D2" w:rsidRDefault="00242ECF" w:rsidP="00643B35">
            <w:pPr>
              <w:pStyle w:val="14"/>
            </w:pPr>
            <w:r w:rsidRPr="003703D2">
              <w:t>合計</w:t>
            </w:r>
          </w:p>
        </w:tc>
      </w:tr>
      <w:tr w:rsidR="003703D2" w:rsidRPr="003703D2" w:rsidTr="00643B35">
        <w:tc>
          <w:tcPr>
            <w:tcW w:w="2431" w:type="dxa"/>
            <w:shd w:val="clear" w:color="auto" w:fill="F1F1F1"/>
          </w:tcPr>
          <w:p w:rsidR="00242ECF" w:rsidRPr="003703D2" w:rsidRDefault="00242ECF" w:rsidP="00643B35">
            <w:pPr>
              <w:pStyle w:val="14"/>
            </w:pPr>
            <w:r w:rsidRPr="003703D2">
              <w:t>開案</w:t>
            </w:r>
          </w:p>
        </w:tc>
        <w:tc>
          <w:tcPr>
            <w:tcW w:w="2088" w:type="dxa"/>
            <w:tcBorders>
              <w:top w:val="single" w:sz="4" w:space="0" w:color="auto"/>
              <w:left w:val="single" w:sz="4" w:space="0" w:color="auto"/>
              <w:bottom w:val="single" w:sz="4" w:space="0" w:color="auto"/>
              <w:right w:val="single" w:sz="4" w:space="0" w:color="auto"/>
            </w:tcBorders>
          </w:tcPr>
          <w:p w:rsidR="00242ECF" w:rsidRPr="003703D2" w:rsidRDefault="00242ECF" w:rsidP="00643B35">
            <w:pPr>
              <w:spacing w:line="520" w:lineRule="exact"/>
              <w:rPr>
                <w:rFonts w:hAnsi="標楷體"/>
                <w:sz w:val="28"/>
                <w:szCs w:val="28"/>
              </w:rPr>
            </w:pPr>
            <w:r w:rsidRPr="003703D2">
              <w:rPr>
                <w:rFonts w:hAnsi="標楷體" w:hint="eastAsia"/>
                <w:sz w:val="28"/>
                <w:szCs w:val="28"/>
              </w:rPr>
              <w:t>57</w:t>
            </w:r>
          </w:p>
        </w:tc>
        <w:tc>
          <w:tcPr>
            <w:tcW w:w="2089" w:type="dxa"/>
            <w:tcBorders>
              <w:top w:val="single" w:sz="4" w:space="0" w:color="auto"/>
              <w:left w:val="single" w:sz="4" w:space="0" w:color="auto"/>
              <w:bottom w:val="single" w:sz="4" w:space="0" w:color="auto"/>
              <w:right w:val="single" w:sz="4" w:space="0" w:color="auto"/>
            </w:tcBorders>
          </w:tcPr>
          <w:p w:rsidR="00242ECF" w:rsidRPr="003703D2" w:rsidRDefault="00242ECF" w:rsidP="00643B35">
            <w:pPr>
              <w:spacing w:line="520" w:lineRule="exact"/>
              <w:rPr>
                <w:rFonts w:hAnsi="標楷體"/>
                <w:sz w:val="28"/>
                <w:szCs w:val="28"/>
              </w:rPr>
            </w:pPr>
            <w:r w:rsidRPr="003703D2">
              <w:rPr>
                <w:rFonts w:hAnsi="標楷體" w:hint="eastAsia"/>
                <w:sz w:val="28"/>
                <w:szCs w:val="28"/>
              </w:rPr>
              <w:t>66</w:t>
            </w:r>
          </w:p>
        </w:tc>
        <w:tc>
          <w:tcPr>
            <w:tcW w:w="2089" w:type="dxa"/>
            <w:tcBorders>
              <w:top w:val="single" w:sz="4" w:space="0" w:color="auto"/>
              <w:left w:val="single" w:sz="4" w:space="0" w:color="auto"/>
              <w:bottom w:val="single" w:sz="4" w:space="0" w:color="auto"/>
              <w:right w:val="single" w:sz="4" w:space="0" w:color="auto"/>
            </w:tcBorders>
          </w:tcPr>
          <w:p w:rsidR="00242ECF" w:rsidRPr="003703D2" w:rsidRDefault="00242ECF" w:rsidP="00643B35">
            <w:pPr>
              <w:spacing w:line="520" w:lineRule="exact"/>
              <w:rPr>
                <w:rFonts w:hAnsi="標楷體"/>
                <w:sz w:val="28"/>
                <w:szCs w:val="28"/>
              </w:rPr>
            </w:pPr>
            <w:r w:rsidRPr="003703D2">
              <w:rPr>
                <w:rFonts w:hAnsi="標楷體" w:hint="eastAsia"/>
                <w:sz w:val="28"/>
                <w:szCs w:val="28"/>
              </w:rPr>
              <w:t>123</w:t>
            </w:r>
          </w:p>
        </w:tc>
      </w:tr>
      <w:tr w:rsidR="003703D2" w:rsidRPr="003703D2" w:rsidTr="00643B35">
        <w:tc>
          <w:tcPr>
            <w:tcW w:w="2431" w:type="dxa"/>
            <w:shd w:val="clear" w:color="auto" w:fill="F1F1F1"/>
          </w:tcPr>
          <w:p w:rsidR="00242ECF" w:rsidRPr="003703D2" w:rsidRDefault="00242ECF" w:rsidP="00643B35">
            <w:pPr>
              <w:pStyle w:val="14"/>
            </w:pPr>
            <w:r w:rsidRPr="003703D2">
              <w:t>尚在監控中</w:t>
            </w:r>
          </w:p>
        </w:tc>
        <w:tc>
          <w:tcPr>
            <w:tcW w:w="2088" w:type="dxa"/>
            <w:tcBorders>
              <w:top w:val="single" w:sz="4" w:space="0" w:color="auto"/>
              <w:left w:val="single" w:sz="4" w:space="0" w:color="auto"/>
              <w:bottom w:val="single" w:sz="4" w:space="0" w:color="auto"/>
              <w:right w:val="single" w:sz="4" w:space="0" w:color="auto"/>
            </w:tcBorders>
          </w:tcPr>
          <w:p w:rsidR="00242ECF" w:rsidRPr="003703D2" w:rsidRDefault="00242ECF" w:rsidP="00643B35">
            <w:pPr>
              <w:spacing w:line="520" w:lineRule="exact"/>
              <w:rPr>
                <w:rFonts w:hAnsi="標楷體"/>
                <w:sz w:val="28"/>
                <w:szCs w:val="28"/>
              </w:rPr>
            </w:pPr>
            <w:r w:rsidRPr="003703D2">
              <w:rPr>
                <w:rFonts w:hAnsi="標楷體" w:hint="eastAsia"/>
                <w:sz w:val="28"/>
                <w:szCs w:val="28"/>
              </w:rPr>
              <w:t>27</w:t>
            </w:r>
          </w:p>
        </w:tc>
        <w:tc>
          <w:tcPr>
            <w:tcW w:w="2089" w:type="dxa"/>
            <w:tcBorders>
              <w:top w:val="single" w:sz="4" w:space="0" w:color="auto"/>
              <w:left w:val="single" w:sz="4" w:space="0" w:color="auto"/>
              <w:bottom w:val="single" w:sz="4" w:space="0" w:color="auto"/>
              <w:right w:val="single" w:sz="4" w:space="0" w:color="auto"/>
            </w:tcBorders>
          </w:tcPr>
          <w:p w:rsidR="00242ECF" w:rsidRPr="003703D2" w:rsidRDefault="00242ECF" w:rsidP="00643B35">
            <w:pPr>
              <w:spacing w:line="520" w:lineRule="exact"/>
              <w:rPr>
                <w:rFonts w:hAnsi="標楷體"/>
                <w:sz w:val="28"/>
                <w:szCs w:val="28"/>
              </w:rPr>
            </w:pPr>
            <w:r w:rsidRPr="003703D2">
              <w:rPr>
                <w:rFonts w:hAnsi="標楷體" w:hint="eastAsia"/>
                <w:sz w:val="28"/>
                <w:szCs w:val="28"/>
              </w:rPr>
              <w:t>20</w:t>
            </w:r>
          </w:p>
        </w:tc>
        <w:tc>
          <w:tcPr>
            <w:tcW w:w="2089" w:type="dxa"/>
            <w:tcBorders>
              <w:top w:val="single" w:sz="4" w:space="0" w:color="auto"/>
              <w:left w:val="single" w:sz="4" w:space="0" w:color="auto"/>
              <w:bottom w:val="single" w:sz="4" w:space="0" w:color="auto"/>
              <w:right w:val="single" w:sz="4" w:space="0" w:color="auto"/>
            </w:tcBorders>
          </w:tcPr>
          <w:p w:rsidR="00242ECF" w:rsidRPr="003703D2" w:rsidRDefault="00242ECF" w:rsidP="00643B35">
            <w:pPr>
              <w:spacing w:line="520" w:lineRule="exact"/>
              <w:rPr>
                <w:rFonts w:hAnsi="標楷體"/>
                <w:sz w:val="28"/>
                <w:szCs w:val="28"/>
              </w:rPr>
            </w:pPr>
            <w:r w:rsidRPr="003703D2">
              <w:rPr>
                <w:rFonts w:hAnsi="標楷體" w:hint="eastAsia"/>
                <w:sz w:val="28"/>
                <w:szCs w:val="28"/>
              </w:rPr>
              <w:t>47</w:t>
            </w:r>
          </w:p>
        </w:tc>
      </w:tr>
      <w:tr w:rsidR="003703D2" w:rsidRPr="003703D2" w:rsidTr="00643B35">
        <w:tc>
          <w:tcPr>
            <w:tcW w:w="2431" w:type="dxa"/>
            <w:shd w:val="clear" w:color="auto" w:fill="F1F1F1"/>
          </w:tcPr>
          <w:p w:rsidR="00242ECF" w:rsidRPr="003703D2" w:rsidRDefault="00242ECF" w:rsidP="00643B35">
            <w:pPr>
              <w:pStyle w:val="14"/>
            </w:pPr>
            <w:r w:rsidRPr="003703D2">
              <w:t>已結案</w:t>
            </w:r>
          </w:p>
        </w:tc>
        <w:tc>
          <w:tcPr>
            <w:tcW w:w="2088" w:type="dxa"/>
            <w:tcBorders>
              <w:top w:val="single" w:sz="4" w:space="0" w:color="auto"/>
              <w:left w:val="single" w:sz="4" w:space="0" w:color="auto"/>
              <w:bottom w:val="single" w:sz="4" w:space="0" w:color="auto"/>
              <w:right w:val="single" w:sz="4" w:space="0" w:color="auto"/>
            </w:tcBorders>
          </w:tcPr>
          <w:p w:rsidR="00242ECF" w:rsidRPr="003703D2" w:rsidRDefault="00242ECF" w:rsidP="00643B35">
            <w:pPr>
              <w:spacing w:line="520" w:lineRule="exact"/>
              <w:rPr>
                <w:rFonts w:hAnsi="標楷體"/>
                <w:sz w:val="28"/>
                <w:szCs w:val="28"/>
              </w:rPr>
            </w:pPr>
            <w:r w:rsidRPr="003703D2">
              <w:rPr>
                <w:rFonts w:hAnsi="標楷體" w:hint="eastAsia"/>
                <w:sz w:val="28"/>
                <w:szCs w:val="28"/>
              </w:rPr>
              <w:t>30</w:t>
            </w:r>
          </w:p>
        </w:tc>
        <w:tc>
          <w:tcPr>
            <w:tcW w:w="2089" w:type="dxa"/>
            <w:tcBorders>
              <w:top w:val="single" w:sz="4" w:space="0" w:color="auto"/>
              <w:left w:val="single" w:sz="4" w:space="0" w:color="auto"/>
              <w:bottom w:val="single" w:sz="4" w:space="0" w:color="auto"/>
              <w:right w:val="single" w:sz="4" w:space="0" w:color="auto"/>
            </w:tcBorders>
          </w:tcPr>
          <w:p w:rsidR="00242ECF" w:rsidRPr="003703D2" w:rsidRDefault="00242ECF" w:rsidP="00643B35">
            <w:pPr>
              <w:spacing w:line="520" w:lineRule="exact"/>
              <w:rPr>
                <w:rFonts w:hAnsi="標楷體"/>
                <w:sz w:val="28"/>
                <w:szCs w:val="28"/>
              </w:rPr>
            </w:pPr>
            <w:r w:rsidRPr="003703D2">
              <w:rPr>
                <w:rFonts w:hAnsi="標楷體" w:hint="eastAsia"/>
                <w:sz w:val="28"/>
                <w:szCs w:val="28"/>
              </w:rPr>
              <w:t>46</w:t>
            </w:r>
          </w:p>
        </w:tc>
        <w:tc>
          <w:tcPr>
            <w:tcW w:w="2089" w:type="dxa"/>
            <w:tcBorders>
              <w:top w:val="single" w:sz="4" w:space="0" w:color="auto"/>
              <w:left w:val="single" w:sz="4" w:space="0" w:color="auto"/>
              <w:bottom w:val="single" w:sz="4" w:space="0" w:color="auto"/>
              <w:right w:val="single" w:sz="4" w:space="0" w:color="auto"/>
            </w:tcBorders>
          </w:tcPr>
          <w:p w:rsidR="00242ECF" w:rsidRPr="003703D2" w:rsidRDefault="00242ECF" w:rsidP="00643B35">
            <w:pPr>
              <w:spacing w:line="520" w:lineRule="exact"/>
              <w:rPr>
                <w:rFonts w:hAnsi="標楷體"/>
                <w:sz w:val="28"/>
                <w:szCs w:val="28"/>
              </w:rPr>
            </w:pPr>
            <w:r w:rsidRPr="003703D2">
              <w:rPr>
                <w:rFonts w:hAnsi="標楷體" w:hint="eastAsia"/>
                <w:sz w:val="28"/>
                <w:szCs w:val="28"/>
              </w:rPr>
              <w:t>76</w:t>
            </w:r>
          </w:p>
        </w:tc>
      </w:tr>
    </w:tbl>
    <w:p w:rsidR="00242ECF" w:rsidRPr="003703D2" w:rsidRDefault="00DE4E82" w:rsidP="00242ECF">
      <w:pPr>
        <w:pStyle w:val="a3"/>
        <w:jc w:val="center"/>
      </w:pPr>
      <w:r w:rsidRPr="003703D2">
        <w:rPr>
          <w:rFonts w:hint="eastAsia"/>
        </w:rPr>
        <w:t>科控處分</w:t>
      </w:r>
      <w:r w:rsidR="00242ECF" w:rsidRPr="003703D2">
        <w:rPr>
          <w:rFonts w:hint="eastAsia"/>
        </w:rPr>
        <w:t>監控內容（</w:t>
      </w:r>
      <w:r w:rsidRPr="003703D2">
        <w:rPr>
          <w:rFonts w:hint="eastAsia"/>
        </w:rPr>
        <w:t>1</w:t>
      </w:r>
      <w:r w:rsidRPr="003703D2">
        <w:t>11</w:t>
      </w:r>
      <w:r w:rsidRPr="003703D2">
        <w:rPr>
          <w:rFonts w:hint="eastAsia"/>
        </w:rPr>
        <w:t>年1月1</w:t>
      </w:r>
      <w:r w:rsidRPr="003703D2">
        <w:t>2</w:t>
      </w:r>
      <w:r w:rsidRPr="003703D2">
        <w:rPr>
          <w:rFonts w:hint="eastAsia"/>
        </w:rPr>
        <w:t>日</w:t>
      </w:r>
      <w:r w:rsidR="00242ECF" w:rsidRPr="003703D2">
        <w:rPr>
          <w:rFonts w:hint="eastAsia"/>
        </w:rPr>
        <w:t>至113年12月20日）</w:t>
      </w: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12"/>
        <w:gridCol w:w="1241"/>
        <w:gridCol w:w="1599"/>
        <w:gridCol w:w="2890"/>
      </w:tblGrid>
      <w:tr w:rsidR="003703D2" w:rsidRPr="003703D2" w:rsidTr="00643B35">
        <w:trPr>
          <w:jc w:val="center"/>
        </w:trPr>
        <w:tc>
          <w:tcPr>
            <w:tcW w:w="2912" w:type="dxa"/>
            <w:shd w:val="clear" w:color="auto" w:fill="D9D9D9"/>
          </w:tcPr>
          <w:p w:rsidR="00242ECF" w:rsidRPr="003703D2" w:rsidRDefault="00242ECF" w:rsidP="00643B35">
            <w:pPr>
              <w:pStyle w:val="14"/>
              <w:rPr>
                <w:rFonts w:hAnsi="Times New Roman" w:cs="Times New Roman"/>
                <w:szCs w:val="20"/>
                <w:lang w:eastAsia="zh-TW"/>
              </w:rPr>
            </w:pPr>
            <w:r w:rsidRPr="003703D2">
              <w:rPr>
                <w:rFonts w:hAnsi="Times New Roman" w:cs="Times New Roman"/>
                <w:szCs w:val="20"/>
                <w:lang w:eastAsia="zh-TW"/>
              </w:rPr>
              <w:t>監控內容</w:t>
            </w:r>
          </w:p>
        </w:tc>
        <w:tc>
          <w:tcPr>
            <w:tcW w:w="1241" w:type="dxa"/>
            <w:shd w:val="clear" w:color="auto" w:fill="D9D9D9"/>
          </w:tcPr>
          <w:p w:rsidR="00242ECF" w:rsidRPr="003703D2" w:rsidRDefault="00242ECF" w:rsidP="00643B35">
            <w:pPr>
              <w:pStyle w:val="14"/>
              <w:rPr>
                <w:rFonts w:hAnsi="Times New Roman" w:cs="Times New Roman"/>
                <w:szCs w:val="20"/>
                <w:lang w:eastAsia="zh-TW"/>
              </w:rPr>
            </w:pPr>
            <w:r w:rsidRPr="003703D2">
              <w:rPr>
                <w:rFonts w:hAnsi="Times New Roman" w:cs="Times New Roman"/>
                <w:szCs w:val="20"/>
                <w:lang w:eastAsia="zh-TW"/>
              </w:rPr>
              <w:t>院方</w:t>
            </w:r>
          </w:p>
        </w:tc>
        <w:tc>
          <w:tcPr>
            <w:tcW w:w="1599" w:type="dxa"/>
            <w:shd w:val="clear" w:color="auto" w:fill="D9D9D9"/>
          </w:tcPr>
          <w:p w:rsidR="00242ECF" w:rsidRPr="003703D2" w:rsidRDefault="00242ECF" w:rsidP="00643B35">
            <w:pPr>
              <w:pStyle w:val="14"/>
              <w:rPr>
                <w:rFonts w:hAnsi="Times New Roman" w:cs="Times New Roman"/>
                <w:szCs w:val="20"/>
                <w:lang w:eastAsia="zh-TW"/>
              </w:rPr>
            </w:pPr>
            <w:r w:rsidRPr="003703D2">
              <w:rPr>
                <w:rFonts w:hAnsi="Times New Roman" w:cs="Times New Roman"/>
                <w:szCs w:val="20"/>
                <w:lang w:eastAsia="zh-TW"/>
              </w:rPr>
              <w:t>檢方</w:t>
            </w:r>
          </w:p>
        </w:tc>
        <w:tc>
          <w:tcPr>
            <w:tcW w:w="2890" w:type="dxa"/>
            <w:shd w:val="clear" w:color="auto" w:fill="D9D9D9"/>
          </w:tcPr>
          <w:p w:rsidR="00242ECF" w:rsidRPr="003703D2" w:rsidRDefault="00242ECF" w:rsidP="00643B35">
            <w:pPr>
              <w:pStyle w:val="14"/>
              <w:rPr>
                <w:rFonts w:hAnsi="Times New Roman" w:cs="Times New Roman"/>
                <w:szCs w:val="20"/>
                <w:lang w:eastAsia="zh-TW"/>
              </w:rPr>
            </w:pPr>
            <w:r w:rsidRPr="003703D2">
              <w:rPr>
                <w:rFonts w:hAnsi="Times New Roman" w:cs="Times New Roman"/>
                <w:szCs w:val="20"/>
                <w:lang w:eastAsia="zh-TW"/>
              </w:rPr>
              <w:t>總數</w:t>
            </w:r>
          </w:p>
        </w:tc>
      </w:tr>
      <w:tr w:rsidR="003703D2" w:rsidRPr="003703D2" w:rsidTr="00643B35">
        <w:trPr>
          <w:jc w:val="center"/>
        </w:trPr>
        <w:tc>
          <w:tcPr>
            <w:tcW w:w="2912" w:type="dxa"/>
            <w:shd w:val="clear" w:color="auto" w:fill="F1F1F1"/>
          </w:tcPr>
          <w:p w:rsidR="00242ECF" w:rsidRPr="003703D2" w:rsidRDefault="00242ECF" w:rsidP="00643B35">
            <w:pPr>
              <w:pStyle w:val="14"/>
              <w:rPr>
                <w:rFonts w:hAnsi="Times New Roman" w:cs="Times New Roman"/>
                <w:szCs w:val="20"/>
                <w:lang w:eastAsia="zh-TW"/>
              </w:rPr>
            </w:pPr>
            <w:r w:rsidRPr="003703D2">
              <w:rPr>
                <w:rFonts w:hAnsi="Times New Roman" w:cs="Times New Roman"/>
                <w:szCs w:val="20"/>
                <w:lang w:eastAsia="zh-TW"/>
              </w:rPr>
              <w:t>限制出境出海</w:t>
            </w:r>
          </w:p>
        </w:tc>
        <w:tc>
          <w:tcPr>
            <w:tcW w:w="1241" w:type="dxa"/>
          </w:tcPr>
          <w:p w:rsidR="00242ECF" w:rsidRPr="003703D2" w:rsidRDefault="00242ECF" w:rsidP="00643B35">
            <w:pPr>
              <w:spacing w:line="520" w:lineRule="exact"/>
              <w:rPr>
                <w:rFonts w:hAnsi="標楷體"/>
                <w:sz w:val="28"/>
                <w:szCs w:val="28"/>
              </w:rPr>
            </w:pPr>
            <w:r w:rsidRPr="003703D2">
              <w:rPr>
                <w:rFonts w:hAnsi="標楷體" w:hint="eastAsia"/>
                <w:sz w:val="28"/>
                <w:szCs w:val="28"/>
              </w:rPr>
              <w:t>55</w:t>
            </w:r>
          </w:p>
        </w:tc>
        <w:tc>
          <w:tcPr>
            <w:tcW w:w="1599" w:type="dxa"/>
          </w:tcPr>
          <w:p w:rsidR="00242ECF" w:rsidRPr="003703D2" w:rsidRDefault="00242ECF" w:rsidP="00643B35">
            <w:pPr>
              <w:spacing w:line="520" w:lineRule="exact"/>
              <w:rPr>
                <w:rFonts w:hAnsi="標楷體"/>
                <w:sz w:val="28"/>
                <w:szCs w:val="28"/>
              </w:rPr>
            </w:pPr>
            <w:r w:rsidRPr="003703D2">
              <w:rPr>
                <w:rFonts w:hAnsi="標楷體" w:hint="eastAsia"/>
                <w:sz w:val="28"/>
                <w:szCs w:val="28"/>
              </w:rPr>
              <w:t>32</w:t>
            </w:r>
          </w:p>
        </w:tc>
        <w:tc>
          <w:tcPr>
            <w:tcW w:w="2890" w:type="dxa"/>
          </w:tcPr>
          <w:p w:rsidR="00242ECF" w:rsidRPr="003703D2" w:rsidRDefault="00242ECF" w:rsidP="00643B35">
            <w:pPr>
              <w:spacing w:line="520" w:lineRule="exact"/>
              <w:rPr>
                <w:rFonts w:hAnsi="標楷體"/>
                <w:sz w:val="28"/>
                <w:szCs w:val="28"/>
              </w:rPr>
            </w:pPr>
            <w:r w:rsidRPr="003703D2">
              <w:rPr>
                <w:rFonts w:hAnsi="標楷體" w:hint="eastAsia"/>
                <w:sz w:val="28"/>
                <w:szCs w:val="28"/>
              </w:rPr>
              <w:t>87</w:t>
            </w:r>
          </w:p>
        </w:tc>
      </w:tr>
      <w:tr w:rsidR="003703D2" w:rsidRPr="003703D2" w:rsidTr="00643B35">
        <w:trPr>
          <w:jc w:val="center"/>
        </w:trPr>
        <w:tc>
          <w:tcPr>
            <w:tcW w:w="2912" w:type="dxa"/>
            <w:shd w:val="clear" w:color="auto" w:fill="F1F1F1"/>
          </w:tcPr>
          <w:p w:rsidR="00242ECF" w:rsidRPr="003703D2" w:rsidRDefault="00242ECF" w:rsidP="00643B35">
            <w:pPr>
              <w:pStyle w:val="14"/>
              <w:rPr>
                <w:rFonts w:hAnsi="Times New Roman" w:cs="Times New Roman"/>
                <w:szCs w:val="20"/>
                <w:lang w:eastAsia="zh-TW"/>
              </w:rPr>
            </w:pPr>
            <w:r w:rsidRPr="003703D2">
              <w:rPr>
                <w:rFonts w:hAnsi="Times New Roman" w:cs="Times New Roman"/>
                <w:szCs w:val="20"/>
                <w:lang w:eastAsia="zh-TW"/>
              </w:rPr>
              <w:t>居家監控</w:t>
            </w:r>
          </w:p>
        </w:tc>
        <w:tc>
          <w:tcPr>
            <w:tcW w:w="1241" w:type="dxa"/>
          </w:tcPr>
          <w:p w:rsidR="00242ECF" w:rsidRPr="003703D2" w:rsidRDefault="00242ECF" w:rsidP="00643B35">
            <w:pPr>
              <w:spacing w:line="520" w:lineRule="exact"/>
              <w:rPr>
                <w:rFonts w:hAnsi="標楷體"/>
                <w:sz w:val="28"/>
                <w:szCs w:val="28"/>
              </w:rPr>
            </w:pPr>
            <w:r w:rsidRPr="003703D2">
              <w:rPr>
                <w:rFonts w:hAnsi="標楷體" w:hint="eastAsia"/>
                <w:sz w:val="28"/>
                <w:szCs w:val="28"/>
              </w:rPr>
              <w:t>2</w:t>
            </w:r>
          </w:p>
        </w:tc>
        <w:tc>
          <w:tcPr>
            <w:tcW w:w="1599" w:type="dxa"/>
          </w:tcPr>
          <w:p w:rsidR="00242ECF" w:rsidRPr="003703D2" w:rsidRDefault="00242ECF" w:rsidP="00643B35">
            <w:pPr>
              <w:spacing w:line="520" w:lineRule="exact"/>
              <w:rPr>
                <w:rFonts w:hAnsi="標楷體"/>
                <w:sz w:val="28"/>
                <w:szCs w:val="28"/>
              </w:rPr>
            </w:pPr>
            <w:r w:rsidRPr="003703D2">
              <w:rPr>
                <w:rFonts w:hAnsi="標楷體" w:hint="eastAsia"/>
                <w:sz w:val="28"/>
                <w:szCs w:val="28"/>
              </w:rPr>
              <w:t>0</w:t>
            </w:r>
          </w:p>
        </w:tc>
        <w:tc>
          <w:tcPr>
            <w:tcW w:w="2890" w:type="dxa"/>
          </w:tcPr>
          <w:p w:rsidR="00242ECF" w:rsidRPr="003703D2" w:rsidRDefault="00242ECF" w:rsidP="00643B35">
            <w:pPr>
              <w:spacing w:line="520" w:lineRule="exact"/>
              <w:rPr>
                <w:rFonts w:hAnsi="標楷體"/>
                <w:sz w:val="28"/>
                <w:szCs w:val="28"/>
              </w:rPr>
            </w:pPr>
            <w:r w:rsidRPr="003703D2">
              <w:rPr>
                <w:rFonts w:hAnsi="標楷體" w:hint="eastAsia"/>
                <w:sz w:val="28"/>
                <w:szCs w:val="28"/>
              </w:rPr>
              <w:t>2</w:t>
            </w:r>
          </w:p>
        </w:tc>
      </w:tr>
      <w:tr w:rsidR="003703D2" w:rsidRPr="003703D2" w:rsidTr="00643B35">
        <w:trPr>
          <w:jc w:val="center"/>
        </w:trPr>
        <w:tc>
          <w:tcPr>
            <w:tcW w:w="2912" w:type="dxa"/>
            <w:tcBorders>
              <w:top w:val="nil"/>
            </w:tcBorders>
            <w:shd w:val="clear" w:color="auto" w:fill="F1F1F1"/>
          </w:tcPr>
          <w:p w:rsidR="00242ECF" w:rsidRPr="003703D2" w:rsidRDefault="00242ECF" w:rsidP="00643B35">
            <w:pPr>
              <w:pStyle w:val="14"/>
              <w:rPr>
                <w:rFonts w:hAnsi="Times New Roman" w:cs="Times New Roman"/>
                <w:szCs w:val="20"/>
                <w:lang w:eastAsia="zh-TW"/>
              </w:rPr>
            </w:pPr>
            <w:r w:rsidRPr="003703D2">
              <w:rPr>
                <w:rFonts w:hAnsi="Times New Roman" w:cs="Times New Roman"/>
                <w:szCs w:val="20"/>
                <w:lang w:eastAsia="zh-TW"/>
              </w:rPr>
              <w:t>電子圍籬</w:t>
            </w:r>
          </w:p>
        </w:tc>
        <w:tc>
          <w:tcPr>
            <w:tcW w:w="1241" w:type="dxa"/>
            <w:tcBorders>
              <w:top w:val="nil"/>
            </w:tcBorders>
          </w:tcPr>
          <w:p w:rsidR="00242ECF" w:rsidRPr="003703D2" w:rsidRDefault="00242ECF" w:rsidP="00643B35">
            <w:pPr>
              <w:spacing w:line="520" w:lineRule="exact"/>
              <w:rPr>
                <w:rFonts w:hAnsi="標楷體"/>
                <w:sz w:val="28"/>
                <w:szCs w:val="28"/>
              </w:rPr>
            </w:pPr>
            <w:r w:rsidRPr="003703D2">
              <w:rPr>
                <w:rFonts w:hAnsi="標楷體" w:hint="eastAsia"/>
                <w:sz w:val="28"/>
                <w:szCs w:val="28"/>
              </w:rPr>
              <w:t>8</w:t>
            </w:r>
          </w:p>
        </w:tc>
        <w:tc>
          <w:tcPr>
            <w:tcW w:w="1599" w:type="dxa"/>
            <w:tcBorders>
              <w:top w:val="nil"/>
            </w:tcBorders>
          </w:tcPr>
          <w:p w:rsidR="00242ECF" w:rsidRPr="003703D2" w:rsidRDefault="00242ECF" w:rsidP="00643B35">
            <w:pPr>
              <w:spacing w:line="520" w:lineRule="exact"/>
              <w:rPr>
                <w:rFonts w:hAnsi="標楷體"/>
                <w:sz w:val="28"/>
                <w:szCs w:val="28"/>
              </w:rPr>
            </w:pPr>
            <w:r w:rsidRPr="003703D2">
              <w:rPr>
                <w:rFonts w:hAnsi="標楷體" w:hint="eastAsia"/>
                <w:sz w:val="28"/>
                <w:szCs w:val="28"/>
              </w:rPr>
              <w:t>16</w:t>
            </w:r>
          </w:p>
        </w:tc>
        <w:tc>
          <w:tcPr>
            <w:tcW w:w="2890" w:type="dxa"/>
            <w:tcBorders>
              <w:top w:val="nil"/>
            </w:tcBorders>
          </w:tcPr>
          <w:p w:rsidR="00242ECF" w:rsidRPr="003703D2" w:rsidRDefault="00242ECF" w:rsidP="00643B35">
            <w:pPr>
              <w:spacing w:line="520" w:lineRule="exact"/>
              <w:rPr>
                <w:rFonts w:hAnsi="標楷體"/>
                <w:sz w:val="28"/>
                <w:szCs w:val="28"/>
              </w:rPr>
            </w:pPr>
            <w:r w:rsidRPr="003703D2">
              <w:rPr>
                <w:rFonts w:hAnsi="標楷體" w:hint="eastAsia"/>
                <w:sz w:val="28"/>
                <w:szCs w:val="28"/>
              </w:rPr>
              <w:t>24</w:t>
            </w:r>
          </w:p>
        </w:tc>
      </w:tr>
      <w:tr w:rsidR="003703D2" w:rsidRPr="003703D2" w:rsidTr="00643B35">
        <w:trPr>
          <w:jc w:val="center"/>
        </w:trPr>
        <w:tc>
          <w:tcPr>
            <w:tcW w:w="2912" w:type="dxa"/>
            <w:shd w:val="clear" w:color="auto" w:fill="F1F1F1"/>
          </w:tcPr>
          <w:p w:rsidR="00242ECF" w:rsidRPr="003703D2" w:rsidRDefault="00242ECF" w:rsidP="00643B35">
            <w:pPr>
              <w:pStyle w:val="14"/>
              <w:rPr>
                <w:rFonts w:hAnsi="Times New Roman" w:cs="Times New Roman"/>
                <w:szCs w:val="20"/>
                <w:lang w:eastAsia="zh-TW"/>
              </w:rPr>
            </w:pPr>
            <w:r w:rsidRPr="003703D2">
              <w:rPr>
                <w:rFonts w:hAnsi="Times New Roman" w:cs="Times New Roman"/>
                <w:szCs w:val="20"/>
                <w:lang w:eastAsia="zh-TW"/>
              </w:rPr>
              <w:t>電子報到</w:t>
            </w:r>
          </w:p>
        </w:tc>
        <w:tc>
          <w:tcPr>
            <w:tcW w:w="1241" w:type="dxa"/>
          </w:tcPr>
          <w:p w:rsidR="00242ECF" w:rsidRPr="003703D2" w:rsidRDefault="00242ECF" w:rsidP="00643B35">
            <w:pPr>
              <w:spacing w:line="520" w:lineRule="exact"/>
              <w:rPr>
                <w:rFonts w:hAnsi="標楷體"/>
                <w:sz w:val="28"/>
                <w:szCs w:val="28"/>
              </w:rPr>
            </w:pPr>
            <w:r w:rsidRPr="003703D2">
              <w:rPr>
                <w:rFonts w:hAnsi="標楷體" w:hint="eastAsia"/>
                <w:sz w:val="28"/>
                <w:szCs w:val="28"/>
              </w:rPr>
              <w:t>36</w:t>
            </w:r>
          </w:p>
        </w:tc>
        <w:tc>
          <w:tcPr>
            <w:tcW w:w="1599" w:type="dxa"/>
          </w:tcPr>
          <w:p w:rsidR="00242ECF" w:rsidRPr="003703D2" w:rsidRDefault="00242ECF" w:rsidP="00643B35">
            <w:pPr>
              <w:spacing w:line="520" w:lineRule="exact"/>
              <w:rPr>
                <w:rFonts w:hAnsi="標楷體"/>
                <w:sz w:val="28"/>
                <w:szCs w:val="28"/>
              </w:rPr>
            </w:pPr>
            <w:r w:rsidRPr="003703D2">
              <w:rPr>
                <w:rFonts w:hAnsi="標楷體" w:hint="eastAsia"/>
                <w:sz w:val="28"/>
                <w:szCs w:val="28"/>
              </w:rPr>
              <w:t>43</w:t>
            </w:r>
          </w:p>
        </w:tc>
        <w:tc>
          <w:tcPr>
            <w:tcW w:w="2890" w:type="dxa"/>
          </w:tcPr>
          <w:p w:rsidR="00242ECF" w:rsidRPr="003703D2" w:rsidRDefault="00242ECF" w:rsidP="00643B35">
            <w:pPr>
              <w:spacing w:line="520" w:lineRule="exact"/>
              <w:rPr>
                <w:rFonts w:hAnsi="標楷體"/>
                <w:sz w:val="28"/>
                <w:szCs w:val="28"/>
              </w:rPr>
            </w:pPr>
            <w:r w:rsidRPr="003703D2">
              <w:rPr>
                <w:rFonts w:hAnsi="標楷體" w:hint="eastAsia"/>
                <w:sz w:val="28"/>
                <w:szCs w:val="28"/>
              </w:rPr>
              <w:t>79</w:t>
            </w:r>
          </w:p>
        </w:tc>
      </w:tr>
    </w:tbl>
    <w:p w:rsidR="00242ECF" w:rsidRPr="003703D2" w:rsidRDefault="00DE4E82" w:rsidP="00242ECF">
      <w:pPr>
        <w:pStyle w:val="a3"/>
        <w:jc w:val="center"/>
      </w:pPr>
      <w:r w:rsidRPr="003703D2">
        <w:rPr>
          <w:rFonts w:hint="eastAsia"/>
        </w:rPr>
        <w:t>科控處分</w:t>
      </w:r>
      <w:r w:rsidR="00242ECF" w:rsidRPr="003703D2">
        <w:rPr>
          <w:rFonts w:hint="eastAsia"/>
        </w:rPr>
        <w:t>使用載具種類（</w:t>
      </w:r>
      <w:r w:rsidRPr="003703D2">
        <w:rPr>
          <w:rFonts w:hint="eastAsia"/>
        </w:rPr>
        <w:t>1</w:t>
      </w:r>
      <w:r w:rsidRPr="003703D2">
        <w:t>11</w:t>
      </w:r>
      <w:r w:rsidRPr="003703D2">
        <w:rPr>
          <w:rFonts w:hint="eastAsia"/>
        </w:rPr>
        <w:t>年1月1</w:t>
      </w:r>
      <w:r w:rsidRPr="003703D2">
        <w:t>2</w:t>
      </w:r>
      <w:r w:rsidRPr="003703D2">
        <w:rPr>
          <w:rFonts w:hint="eastAsia"/>
        </w:rPr>
        <w:t>日</w:t>
      </w:r>
      <w:r w:rsidR="00242ECF" w:rsidRPr="003703D2">
        <w:rPr>
          <w:rFonts w:hint="eastAsia"/>
        </w:rPr>
        <w:t>至113年12月20日）</w:t>
      </w: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00"/>
        <w:gridCol w:w="1241"/>
        <w:gridCol w:w="1599"/>
        <w:gridCol w:w="2760"/>
      </w:tblGrid>
      <w:tr w:rsidR="003703D2" w:rsidRPr="003703D2" w:rsidTr="00643B35">
        <w:trPr>
          <w:jc w:val="center"/>
        </w:trPr>
        <w:tc>
          <w:tcPr>
            <w:tcW w:w="2900" w:type="dxa"/>
            <w:shd w:val="clear" w:color="auto" w:fill="D9D9D9"/>
          </w:tcPr>
          <w:p w:rsidR="00242ECF" w:rsidRPr="003703D2" w:rsidRDefault="00242ECF" w:rsidP="00643B35">
            <w:pPr>
              <w:pStyle w:val="14"/>
              <w:rPr>
                <w:rFonts w:hAnsi="Times New Roman" w:cs="Times New Roman"/>
                <w:szCs w:val="20"/>
                <w:lang w:eastAsia="zh-TW"/>
              </w:rPr>
            </w:pPr>
            <w:r w:rsidRPr="003703D2">
              <w:rPr>
                <w:rFonts w:hAnsi="Times New Roman" w:cs="Times New Roman"/>
                <w:szCs w:val="20"/>
                <w:lang w:eastAsia="zh-TW"/>
              </w:rPr>
              <w:t>載具</w:t>
            </w:r>
          </w:p>
        </w:tc>
        <w:tc>
          <w:tcPr>
            <w:tcW w:w="1241" w:type="dxa"/>
            <w:shd w:val="clear" w:color="auto" w:fill="D9D9D9"/>
          </w:tcPr>
          <w:p w:rsidR="00242ECF" w:rsidRPr="003703D2" w:rsidRDefault="00242ECF" w:rsidP="00643B35">
            <w:pPr>
              <w:pStyle w:val="14"/>
              <w:rPr>
                <w:rFonts w:hAnsi="Times New Roman" w:cs="Times New Roman"/>
                <w:szCs w:val="20"/>
                <w:lang w:eastAsia="zh-TW"/>
              </w:rPr>
            </w:pPr>
            <w:r w:rsidRPr="003703D2">
              <w:rPr>
                <w:rFonts w:hAnsi="Times New Roman" w:cs="Times New Roman"/>
                <w:szCs w:val="20"/>
                <w:lang w:eastAsia="zh-TW"/>
              </w:rPr>
              <w:t>院方</w:t>
            </w:r>
          </w:p>
        </w:tc>
        <w:tc>
          <w:tcPr>
            <w:tcW w:w="1599" w:type="dxa"/>
            <w:shd w:val="clear" w:color="auto" w:fill="D9D9D9"/>
          </w:tcPr>
          <w:p w:rsidR="00242ECF" w:rsidRPr="003703D2" w:rsidRDefault="00242ECF" w:rsidP="00643B35">
            <w:pPr>
              <w:pStyle w:val="14"/>
              <w:rPr>
                <w:rFonts w:hAnsi="Times New Roman" w:cs="Times New Roman"/>
                <w:szCs w:val="20"/>
                <w:lang w:eastAsia="zh-TW"/>
              </w:rPr>
            </w:pPr>
            <w:r w:rsidRPr="003703D2">
              <w:rPr>
                <w:rFonts w:hAnsi="Times New Roman" w:cs="Times New Roman"/>
                <w:szCs w:val="20"/>
                <w:lang w:eastAsia="zh-TW"/>
              </w:rPr>
              <w:t>檢方</w:t>
            </w:r>
          </w:p>
        </w:tc>
        <w:tc>
          <w:tcPr>
            <w:tcW w:w="2760" w:type="dxa"/>
            <w:shd w:val="clear" w:color="auto" w:fill="D9D9D9"/>
          </w:tcPr>
          <w:p w:rsidR="00242ECF" w:rsidRPr="003703D2" w:rsidRDefault="00242ECF" w:rsidP="00643B35">
            <w:pPr>
              <w:pStyle w:val="14"/>
              <w:rPr>
                <w:rFonts w:hAnsi="Times New Roman" w:cs="Times New Roman"/>
                <w:szCs w:val="20"/>
                <w:lang w:eastAsia="zh-TW"/>
              </w:rPr>
            </w:pPr>
            <w:r w:rsidRPr="003703D2">
              <w:rPr>
                <w:rFonts w:hAnsi="Times New Roman" w:cs="Times New Roman"/>
                <w:szCs w:val="20"/>
                <w:lang w:eastAsia="zh-TW"/>
              </w:rPr>
              <w:t>總數</w:t>
            </w:r>
          </w:p>
        </w:tc>
      </w:tr>
      <w:tr w:rsidR="003703D2" w:rsidRPr="003703D2" w:rsidTr="00643B35">
        <w:trPr>
          <w:jc w:val="center"/>
        </w:trPr>
        <w:tc>
          <w:tcPr>
            <w:tcW w:w="2900" w:type="dxa"/>
            <w:shd w:val="clear" w:color="auto" w:fill="F1F1F1"/>
          </w:tcPr>
          <w:p w:rsidR="00242ECF" w:rsidRPr="003703D2" w:rsidRDefault="00242ECF" w:rsidP="00643B35">
            <w:pPr>
              <w:pStyle w:val="14"/>
              <w:rPr>
                <w:rFonts w:hAnsi="Times New Roman" w:cs="Times New Roman"/>
                <w:szCs w:val="20"/>
                <w:lang w:eastAsia="zh-TW"/>
              </w:rPr>
            </w:pPr>
            <w:r w:rsidRPr="003703D2">
              <w:rPr>
                <w:rFonts w:hAnsi="Times New Roman" w:cs="Times New Roman"/>
                <w:szCs w:val="20"/>
                <w:lang w:eastAsia="zh-TW"/>
              </w:rPr>
              <w:lastRenderedPageBreak/>
              <w:t>手鐶</w:t>
            </w:r>
          </w:p>
        </w:tc>
        <w:tc>
          <w:tcPr>
            <w:tcW w:w="1241" w:type="dxa"/>
            <w:vAlign w:val="center"/>
          </w:tcPr>
          <w:p w:rsidR="00242ECF" w:rsidRPr="003703D2" w:rsidRDefault="00242ECF" w:rsidP="00643B35">
            <w:pPr>
              <w:spacing w:line="520" w:lineRule="exact"/>
              <w:rPr>
                <w:rFonts w:hAnsi="標楷體"/>
                <w:sz w:val="28"/>
                <w:szCs w:val="28"/>
              </w:rPr>
            </w:pPr>
            <w:r w:rsidRPr="003703D2">
              <w:rPr>
                <w:rFonts w:hAnsi="標楷體" w:hint="eastAsia"/>
                <w:sz w:val="28"/>
                <w:szCs w:val="28"/>
              </w:rPr>
              <w:t>22</w:t>
            </w:r>
          </w:p>
        </w:tc>
        <w:tc>
          <w:tcPr>
            <w:tcW w:w="1599" w:type="dxa"/>
            <w:vAlign w:val="center"/>
          </w:tcPr>
          <w:p w:rsidR="00242ECF" w:rsidRPr="003703D2" w:rsidRDefault="00242ECF" w:rsidP="00643B35">
            <w:pPr>
              <w:spacing w:line="520" w:lineRule="exact"/>
              <w:rPr>
                <w:rFonts w:hAnsi="標楷體"/>
                <w:sz w:val="28"/>
                <w:szCs w:val="28"/>
              </w:rPr>
            </w:pPr>
            <w:r w:rsidRPr="003703D2">
              <w:rPr>
                <w:rFonts w:hAnsi="標楷體" w:hint="eastAsia"/>
                <w:sz w:val="28"/>
                <w:szCs w:val="28"/>
              </w:rPr>
              <w:t>12</w:t>
            </w:r>
          </w:p>
        </w:tc>
        <w:tc>
          <w:tcPr>
            <w:tcW w:w="2760" w:type="dxa"/>
            <w:vAlign w:val="center"/>
          </w:tcPr>
          <w:p w:rsidR="00242ECF" w:rsidRPr="003703D2" w:rsidRDefault="00242ECF" w:rsidP="00643B35">
            <w:pPr>
              <w:spacing w:line="520" w:lineRule="exact"/>
              <w:rPr>
                <w:rFonts w:hAnsi="標楷體"/>
                <w:sz w:val="28"/>
                <w:szCs w:val="28"/>
              </w:rPr>
            </w:pPr>
            <w:r w:rsidRPr="003703D2">
              <w:rPr>
                <w:rFonts w:hAnsi="標楷體" w:hint="eastAsia"/>
                <w:sz w:val="28"/>
                <w:szCs w:val="28"/>
              </w:rPr>
              <w:t>34</w:t>
            </w:r>
          </w:p>
        </w:tc>
      </w:tr>
      <w:tr w:rsidR="003703D2" w:rsidRPr="003703D2" w:rsidTr="00643B35">
        <w:trPr>
          <w:jc w:val="center"/>
        </w:trPr>
        <w:tc>
          <w:tcPr>
            <w:tcW w:w="2900" w:type="dxa"/>
            <w:shd w:val="clear" w:color="auto" w:fill="F1F1F1"/>
          </w:tcPr>
          <w:p w:rsidR="00242ECF" w:rsidRPr="003703D2" w:rsidRDefault="00242ECF" w:rsidP="00643B35">
            <w:pPr>
              <w:pStyle w:val="14"/>
              <w:rPr>
                <w:rFonts w:hAnsi="Times New Roman" w:cs="Times New Roman"/>
                <w:szCs w:val="20"/>
                <w:lang w:eastAsia="zh-TW"/>
              </w:rPr>
            </w:pPr>
            <w:r w:rsidRPr="003703D2">
              <w:rPr>
                <w:rFonts w:hAnsi="Times New Roman" w:cs="Times New Roman"/>
                <w:szCs w:val="20"/>
                <w:lang w:eastAsia="zh-TW"/>
              </w:rPr>
              <w:t>腳鐶</w:t>
            </w:r>
          </w:p>
        </w:tc>
        <w:tc>
          <w:tcPr>
            <w:tcW w:w="1241" w:type="dxa"/>
            <w:vAlign w:val="center"/>
          </w:tcPr>
          <w:p w:rsidR="00242ECF" w:rsidRPr="003703D2" w:rsidRDefault="00242ECF" w:rsidP="00643B35">
            <w:pPr>
              <w:spacing w:line="520" w:lineRule="exact"/>
              <w:rPr>
                <w:rFonts w:hAnsi="標楷體"/>
                <w:sz w:val="28"/>
                <w:szCs w:val="28"/>
              </w:rPr>
            </w:pPr>
            <w:r w:rsidRPr="003703D2">
              <w:rPr>
                <w:rFonts w:hAnsi="標楷體" w:hint="eastAsia"/>
                <w:sz w:val="28"/>
                <w:szCs w:val="28"/>
              </w:rPr>
              <w:t>33</w:t>
            </w:r>
          </w:p>
        </w:tc>
        <w:tc>
          <w:tcPr>
            <w:tcW w:w="1599" w:type="dxa"/>
            <w:vAlign w:val="center"/>
          </w:tcPr>
          <w:p w:rsidR="00242ECF" w:rsidRPr="003703D2" w:rsidRDefault="00242ECF" w:rsidP="00643B35">
            <w:pPr>
              <w:spacing w:line="520" w:lineRule="exact"/>
              <w:rPr>
                <w:rFonts w:hAnsi="標楷體"/>
                <w:sz w:val="28"/>
                <w:szCs w:val="28"/>
              </w:rPr>
            </w:pPr>
            <w:r w:rsidRPr="003703D2">
              <w:rPr>
                <w:rFonts w:hAnsi="標楷體" w:hint="eastAsia"/>
                <w:sz w:val="28"/>
                <w:szCs w:val="28"/>
              </w:rPr>
              <w:t>31</w:t>
            </w:r>
          </w:p>
        </w:tc>
        <w:tc>
          <w:tcPr>
            <w:tcW w:w="2760" w:type="dxa"/>
            <w:vAlign w:val="center"/>
          </w:tcPr>
          <w:p w:rsidR="00242ECF" w:rsidRPr="003703D2" w:rsidRDefault="00242ECF" w:rsidP="00643B35">
            <w:pPr>
              <w:spacing w:line="520" w:lineRule="exact"/>
              <w:rPr>
                <w:rFonts w:hAnsi="標楷體"/>
                <w:sz w:val="28"/>
                <w:szCs w:val="28"/>
              </w:rPr>
            </w:pPr>
            <w:r w:rsidRPr="003703D2">
              <w:rPr>
                <w:rFonts w:hAnsi="標楷體" w:hint="eastAsia"/>
                <w:sz w:val="28"/>
                <w:szCs w:val="28"/>
              </w:rPr>
              <w:t>64</w:t>
            </w:r>
          </w:p>
        </w:tc>
      </w:tr>
      <w:tr w:rsidR="003703D2" w:rsidRPr="003703D2" w:rsidTr="00643B35">
        <w:trPr>
          <w:jc w:val="center"/>
        </w:trPr>
        <w:tc>
          <w:tcPr>
            <w:tcW w:w="2900" w:type="dxa"/>
            <w:shd w:val="clear" w:color="auto" w:fill="F1F1F1"/>
          </w:tcPr>
          <w:p w:rsidR="00242ECF" w:rsidRPr="003703D2" w:rsidRDefault="00242ECF" w:rsidP="00643B35">
            <w:pPr>
              <w:pStyle w:val="14"/>
              <w:rPr>
                <w:rFonts w:hAnsi="Times New Roman" w:cs="Times New Roman"/>
                <w:szCs w:val="20"/>
                <w:lang w:eastAsia="zh-TW"/>
              </w:rPr>
            </w:pPr>
            <w:r w:rsidRPr="003703D2">
              <w:rPr>
                <w:rFonts w:hAnsi="Times New Roman" w:cs="Times New Roman"/>
                <w:szCs w:val="20"/>
                <w:lang w:eastAsia="zh-TW"/>
              </w:rPr>
              <w:t>居家讀取器</w:t>
            </w:r>
          </w:p>
        </w:tc>
        <w:tc>
          <w:tcPr>
            <w:tcW w:w="1241" w:type="dxa"/>
            <w:vAlign w:val="center"/>
          </w:tcPr>
          <w:p w:rsidR="00242ECF" w:rsidRPr="003703D2" w:rsidRDefault="00242ECF" w:rsidP="00643B35">
            <w:pPr>
              <w:spacing w:line="520" w:lineRule="exact"/>
              <w:rPr>
                <w:rFonts w:hAnsi="標楷體"/>
                <w:sz w:val="28"/>
                <w:szCs w:val="28"/>
              </w:rPr>
            </w:pPr>
            <w:r w:rsidRPr="003703D2">
              <w:rPr>
                <w:rFonts w:hAnsi="標楷體" w:hint="eastAsia"/>
                <w:sz w:val="28"/>
                <w:szCs w:val="28"/>
              </w:rPr>
              <w:t>12</w:t>
            </w:r>
          </w:p>
        </w:tc>
        <w:tc>
          <w:tcPr>
            <w:tcW w:w="1599" w:type="dxa"/>
            <w:vAlign w:val="center"/>
          </w:tcPr>
          <w:p w:rsidR="00242ECF" w:rsidRPr="003703D2" w:rsidRDefault="00242ECF" w:rsidP="00643B35">
            <w:pPr>
              <w:spacing w:line="520" w:lineRule="exact"/>
              <w:rPr>
                <w:rFonts w:hAnsi="標楷體"/>
                <w:sz w:val="28"/>
                <w:szCs w:val="28"/>
              </w:rPr>
            </w:pPr>
            <w:r w:rsidRPr="003703D2">
              <w:rPr>
                <w:rFonts w:hAnsi="標楷體" w:hint="eastAsia"/>
                <w:sz w:val="28"/>
                <w:szCs w:val="28"/>
              </w:rPr>
              <w:t>7</w:t>
            </w:r>
          </w:p>
        </w:tc>
        <w:tc>
          <w:tcPr>
            <w:tcW w:w="2760" w:type="dxa"/>
            <w:vAlign w:val="center"/>
          </w:tcPr>
          <w:p w:rsidR="00242ECF" w:rsidRPr="003703D2" w:rsidRDefault="00242ECF" w:rsidP="00643B35">
            <w:pPr>
              <w:spacing w:line="520" w:lineRule="exact"/>
              <w:rPr>
                <w:rFonts w:hAnsi="標楷體"/>
                <w:sz w:val="28"/>
                <w:szCs w:val="28"/>
              </w:rPr>
            </w:pPr>
            <w:r w:rsidRPr="003703D2">
              <w:rPr>
                <w:rFonts w:hAnsi="標楷體" w:hint="eastAsia"/>
                <w:sz w:val="28"/>
                <w:szCs w:val="28"/>
              </w:rPr>
              <w:t>19</w:t>
            </w:r>
          </w:p>
        </w:tc>
      </w:tr>
      <w:tr w:rsidR="003703D2" w:rsidRPr="003703D2" w:rsidTr="00643B35">
        <w:trPr>
          <w:jc w:val="center"/>
        </w:trPr>
        <w:tc>
          <w:tcPr>
            <w:tcW w:w="2900" w:type="dxa"/>
            <w:shd w:val="clear" w:color="auto" w:fill="F1F1F1"/>
          </w:tcPr>
          <w:p w:rsidR="00242ECF" w:rsidRPr="003703D2" w:rsidRDefault="00242ECF" w:rsidP="00643B35">
            <w:pPr>
              <w:pStyle w:val="14"/>
              <w:rPr>
                <w:rFonts w:hAnsi="Times New Roman" w:cs="Times New Roman"/>
                <w:szCs w:val="20"/>
                <w:lang w:eastAsia="zh-TW"/>
              </w:rPr>
            </w:pPr>
            <w:r w:rsidRPr="003703D2">
              <w:rPr>
                <w:rFonts w:hAnsi="Times New Roman" w:cs="Times New Roman"/>
                <w:szCs w:val="20"/>
                <w:lang w:eastAsia="zh-TW"/>
              </w:rPr>
              <w:t>個案手機</w:t>
            </w:r>
          </w:p>
        </w:tc>
        <w:tc>
          <w:tcPr>
            <w:tcW w:w="1241" w:type="dxa"/>
            <w:vAlign w:val="center"/>
          </w:tcPr>
          <w:p w:rsidR="00242ECF" w:rsidRPr="003703D2" w:rsidRDefault="00242ECF" w:rsidP="00643B35">
            <w:pPr>
              <w:spacing w:line="520" w:lineRule="exact"/>
              <w:rPr>
                <w:rFonts w:hAnsi="標楷體"/>
                <w:sz w:val="28"/>
                <w:szCs w:val="28"/>
              </w:rPr>
            </w:pPr>
            <w:r w:rsidRPr="003703D2">
              <w:rPr>
                <w:rFonts w:hAnsi="標楷體" w:hint="eastAsia"/>
                <w:sz w:val="28"/>
                <w:szCs w:val="28"/>
              </w:rPr>
              <w:t>40</w:t>
            </w:r>
          </w:p>
        </w:tc>
        <w:tc>
          <w:tcPr>
            <w:tcW w:w="1599" w:type="dxa"/>
            <w:vAlign w:val="center"/>
          </w:tcPr>
          <w:p w:rsidR="00242ECF" w:rsidRPr="003703D2" w:rsidRDefault="00242ECF" w:rsidP="00643B35">
            <w:pPr>
              <w:spacing w:line="520" w:lineRule="exact"/>
              <w:rPr>
                <w:rFonts w:hAnsi="標楷體"/>
                <w:sz w:val="28"/>
                <w:szCs w:val="28"/>
              </w:rPr>
            </w:pPr>
            <w:r w:rsidRPr="003703D2">
              <w:rPr>
                <w:rFonts w:hAnsi="標楷體" w:hint="eastAsia"/>
                <w:sz w:val="28"/>
                <w:szCs w:val="28"/>
              </w:rPr>
              <w:t>50</w:t>
            </w:r>
          </w:p>
        </w:tc>
        <w:tc>
          <w:tcPr>
            <w:tcW w:w="2760" w:type="dxa"/>
            <w:vAlign w:val="center"/>
          </w:tcPr>
          <w:p w:rsidR="00242ECF" w:rsidRPr="003703D2" w:rsidRDefault="00242ECF" w:rsidP="00643B35">
            <w:pPr>
              <w:spacing w:line="520" w:lineRule="exact"/>
              <w:rPr>
                <w:rFonts w:hAnsi="標楷體"/>
                <w:sz w:val="28"/>
                <w:szCs w:val="28"/>
              </w:rPr>
            </w:pPr>
            <w:r w:rsidRPr="003703D2">
              <w:rPr>
                <w:rFonts w:hAnsi="標楷體" w:hint="eastAsia"/>
                <w:sz w:val="28"/>
                <w:szCs w:val="28"/>
              </w:rPr>
              <w:t>90</w:t>
            </w:r>
          </w:p>
        </w:tc>
      </w:tr>
    </w:tbl>
    <w:p w:rsidR="00242ECF" w:rsidRPr="003703D2" w:rsidRDefault="00242ECF" w:rsidP="00242ECF">
      <w:pPr>
        <w:pStyle w:val="3"/>
        <w:numPr>
          <w:ilvl w:val="0"/>
          <w:numId w:val="0"/>
        </w:numPr>
        <w:ind w:left="680"/>
        <w:jc w:val="left"/>
        <w:rPr>
          <w:sz w:val="28"/>
          <w:szCs w:val="28"/>
        </w:rPr>
      </w:pPr>
      <w:r w:rsidRPr="003703D2">
        <w:rPr>
          <w:rFonts w:hint="eastAsia"/>
          <w:sz w:val="28"/>
          <w:szCs w:val="28"/>
        </w:rPr>
        <w:t>註：</w:t>
      </w:r>
      <w:r w:rsidRPr="003703D2">
        <w:rPr>
          <w:rFonts w:hint="eastAsia"/>
          <w:sz w:val="28"/>
          <w:szCs w:val="28"/>
        </w:rPr>
        <w:tab/>
        <w:t>使用2種載具以上之案件共有64件</w:t>
      </w:r>
    </w:p>
    <w:p w:rsidR="00242ECF" w:rsidRPr="003703D2" w:rsidRDefault="00242ECF" w:rsidP="00242ECF">
      <w:pPr>
        <w:pStyle w:val="2"/>
        <w:numPr>
          <w:ilvl w:val="0"/>
          <w:numId w:val="0"/>
        </w:numPr>
        <w:ind w:left="340"/>
        <w:jc w:val="right"/>
        <w:rPr>
          <w:sz w:val="28"/>
          <w:szCs w:val="28"/>
        </w:rPr>
      </w:pPr>
      <w:r w:rsidRPr="003703D2">
        <w:rPr>
          <w:rFonts w:hint="eastAsia"/>
          <w:sz w:val="24"/>
          <w:szCs w:val="24"/>
        </w:rPr>
        <w:t>資料來源：高檢署</w:t>
      </w:r>
    </w:p>
    <w:bookmarkEnd w:id="66"/>
    <w:p w:rsidR="00242ECF" w:rsidRPr="003703D2" w:rsidRDefault="00242ECF" w:rsidP="00242ECF">
      <w:pPr>
        <w:pStyle w:val="3"/>
        <w:numPr>
          <w:ilvl w:val="2"/>
          <w:numId w:val="1"/>
        </w:numPr>
      </w:pPr>
      <w:r w:rsidRPr="003703D2">
        <w:rPr>
          <w:rFonts w:hint="eastAsia"/>
        </w:rPr>
        <w:t>本院諮詢專家學者表示：</w:t>
      </w:r>
    </w:p>
    <w:p w:rsidR="00242ECF" w:rsidRPr="003703D2" w:rsidRDefault="00242ECF" w:rsidP="00242ECF">
      <w:pPr>
        <w:pStyle w:val="4"/>
        <w:numPr>
          <w:ilvl w:val="3"/>
          <w:numId w:val="1"/>
        </w:numPr>
      </w:pPr>
      <w:r w:rsidRPr="003703D2">
        <w:rPr>
          <w:rFonts w:hint="eastAsia"/>
        </w:rPr>
        <w:t>刑事訴訟法第1</w:t>
      </w:r>
      <w:r w:rsidRPr="003703D2">
        <w:t>16</w:t>
      </w:r>
      <w:r w:rsidRPr="003703D2">
        <w:rPr>
          <w:rFonts w:hint="eastAsia"/>
        </w:rPr>
        <w:t>條之2有關科監處分的規定過於簡略，對於處分的要件、內容、範圍等涉及人民權利重大事項，皆未以法律規定，可能產生疑義。又執行辦法第2條授權偵查中檢察官於未向法院聲請羈押前，即得逕命被告接受科控處分，因科控處分係具保、責付或限制住居之外，附加侵害被告資訊自決權之基本權干預處分，執行辦法上開規定恐有逾越法律授權之虞，且為避免爭議，宜規定科控處分的相當期間，以法定得羈押或延展羈押期間作為上限。</w:t>
      </w:r>
    </w:p>
    <w:p w:rsidR="00242ECF" w:rsidRPr="003703D2" w:rsidRDefault="00242ECF" w:rsidP="00242ECF">
      <w:pPr>
        <w:pStyle w:val="4"/>
        <w:numPr>
          <w:ilvl w:val="3"/>
          <w:numId w:val="1"/>
        </w:numPr>
      </w:pPr>
      <w:r w:rsidRPr="003703D2">
        <w:rPr>
          <w:rFonts w:hint="eastAsia"/>
        </w:rPr>
        <w:t>電子監控最早是運用在妨害性自主犯罪，屬於特殊的立法例範圍，因此針對性侵罪犯採取夜間居家監控及限制其不得進入的電子圍籬空間，尚無疑義。適用到性侵以外犯罪類型時，其監控範圍應考量其合理性。</w:t>
      </w:r>
    </w:p>
    <w:p w:rsidR="00242ECF" w:rsidRPr="003703D2" w:rsidRDefault="00242ECF" w:rsidP="00242ECF">
      <w:pPr>
        <w:pStyle w:val="4"/>
        <w:numPr>
          <w:ilvl w:val="3"/>
          <w:numId w:val="1"/>
        </w:numPr>
      </w:pPr>
      <w:r w:rsidRPr="003703D2">
        <w:rPr>
          <w:rFonts w:hint="eastAsia"/>
        </w:rPr>
        <w:t>某些國家的立法例要求命科控處分前，需取得被告同意。理由在於監控對人的身心有重大影響，故需取得被監控人事先知悉並同意。但難以想像被告寧願被羈押也不同意被監控。</w:t>
      </w:r>
    </w:p>
    <w:p w:rsidR="00242ECF" w:rsidRPr="003703D2" w:rsidRDefault="00242ECF" w:rsidP="00242ECF">
      <w:pPr>
        <w:pStyle w:val="4"/>
        <w:numPr>
          <w:ilvl w:val="3"/>
          <w:numId w:val="1"/>
        </w:numPr>
      </w:pPr>
      <w:r w:rsidRPr="003703D2">
        <w:rPr>
          <w:rFonts w:hint="eastAsia"/>
        </w:rPr>
        <w:t>電子監控大致</w:t>
      </w:r>
      <w:r w:rsidR="00643B35" w:rsidRPr="003703D2">
        <w:rPr>
          <w:rFonts w:hint="eastAsia"/>
        </w:rPr>
        <w:t>可</w:t>
      </w:r>
      <w:r w:rsidRPr="003703D2">
        <w:rPr>
          <w:rFonts w:hint="eastAsia"/>
        </w:rPr>
        <w:t>區分二個類型，一是24小時即時</w:t>
      </w:r>
      <w:r w:rsidRPr="003703D2">
        <w:rPr>
          <w:rFonts w:hint="eastAsia"/>
        </w:rPr>
        <w:lastRenderedPageBreak/>
        <w:t>監控，一是觸發電子圍籬（如離開特定地域或進入海岸線）系統立即告知所在位置。前者「無時無刻監控所在位置」的要件應最為嚴格；後者「觸發特定條件」又可區分為「不得離開相對小的範圍」及「不得接近特定場所」，前者的要件又要比後者嚴格。刑事訴訟法及</w:t>
      </w:r>
      <w:r w:rsidR="00DE4E82" w:rsidRPr="003703D2">
        <w:rPr>
          <w:rFonts w:hint="eastAsia"/>
        </w:rPr>
        <w:t>執行</w:t>
      </w:r>
      <w:r w:rsidRPr="003703D2">
        <w:rPr>
          <w:rFonts w:hint="eastAsia"/>
        </w:rPr>
        <w:t>辦法中應針對不同的科控處分，要求檢察官負擔不同的舉證責任。</w:t>
      </w:r>
    </w:p>
    <w:p w:rsidR="00242ECF" w:rsidRPr="003703D2" w:rsidRDefault="00242ECF" w:rsidP="00242ECF">
      <w:pPr>
        <w:pStyle w:val="3"/>
        <w:numPr>
          <w:ilvl w:val="2"/>
          <w:numId w:val="1"/>
        </w:numPr>
      </w:pPr>
      <w:r w:rsidRPr="003703D2">
        <w:rPr>
          <w:rFonts w:hint="eastAsia"/>
        </w:rPr>
        <w:t>本院審酌認為：</w:t>
      </w:r>
    </w:p>
    <w:p w:rsidR="00242ECF" w:rsidRPr="003703D2" w:rsidRDefault="00242ECF" w:rsidP="00242ECF">
      <w:pPr>
        <w:pStyle w:val="4"/>
        <w:numPr>
          <w:ilvl w:val="3"/>
          <w:numId w:val="1"/>
        </w:numPr>
      </w:pPr>
      <w:r w:rsidRPr="003703D2">
        <w:rPr>
          <w:rFonts w:hint="eastAsia"/>
        </w:rPr>
        <w:t>司法院原預估每年使用科技監控設備之案件量132件，然目前實際情形仍與預估案量差異頗大，且科控中心採購之設備數量1,100套（包含電子</w:t>
      </w:r>
      <w:r w:rsidR="00643B35" w:rsidRPr="003703D2">
        <w:rPr>
          <w:rFonts w:hint="eastAsia"/>
        </w:rPr>
        <w:t>手鐶</w:t>
      </w:r>
      <w:r w:rsidRPr="003703D2">
        <w:rPr>
          <w:rFonts w:hint="eastAsia"/>
        </w:rPr>
        <w:t>、電子</w:t>
      </w:r>
      <w:r w:rsidR="00643B35" w:rsidRPr="003703D2">
        <w:rPr>
          <w:rFonts w:hint="eastAsia"/>
        </w:rPr>
        <w:t>腳鐶</w:t>
      </w:r>
      <w:r w:rsidRPr="003703D2">
        <w:rPr>
          <w:rFonts w:hint="eastAsia"/>
        </w:rPr>
        <w:t>、居家讀取器、監控手機等設備，不含廠商回饋贈送110套）， 113年底命被告</w:t>
      </w:r>
      <w:r w:rsidR="00AA7BD9" w:rsidRPr="003703D2">
        <w:rPr>
          <w:rFonts w:hint="eastAsia"/>
        </w:rPr>
        <w:t>配戴</w:t>
      </w:r>
      <w:r w:rsidRPr="003703D2">
        <w:rPr>
          <w:rFonts w:hint="eastAsia"/>
        </w:rPr>
        <w:t>或裝置之監控設備合計</w:t>
      </w:r>
      <w:r w:rsidRPr="003703D2">
        <w:t>207</w:t>
      </w:r>
      <w:r w:rsidRPr="003703D2">
        <w:rPr>
          <w:rFonts w:hint="eastAsia"/>
        </w:rPr>
        <w:t>套（手鐶3</w:t>
      </w:r>
      <w:r w:rsidRPr="003703D2">
        <w:t>4</w:t>
      </w:r>
      <w:r w:rsidRPr="003703D2">
        <w:rPr>
          <w:rFonts w:hint="eastAsia"/>
        </w:rPr>
        <w:t>件、腳鐶6</w:t>
      </w:r>
      <w:r w:rsidRPr="003703D2">
        <w:t>4</w:t>
      </w:r>
      <w:r w:rsidRPr="003703D2">
        <w:rPr>
          <w:rFonts w:hint="eastAsia"/>
        </w:rPr>
        <w:t>件、居家讀取器1</w:t>
      </w:r>
      <w:r w:rsidRPr="003703D2">
        <w:t>9</w:t>
      </w:r>
      <w:r w:rsidRPr="003703D2">
        <w:rPr>
          <w:rFonts w:hint="eastAsia"/>
        </w:rPr>
        <w:t>件、個案手機9</w:t>
      </w:r>
      <w:r w:rsidRPr="003703D2">
        <w:t>0</w:t>
      </w:r>
      <w:r w:rsidRPr="003703D2">
        <w:rPr>
          <w:rFonts w:hint="eastAsia"/>
        </w:rPr>
        <w:t>件），設備使用率僅1</w:t>
      </w:r>
      <w:r w:rsidRPr="003703D2">
        <w:t>8.8</w:t>
      </w:r>
      <w:r w:rsidRPr="003703D2">
        <w:rPr>
          <w:rFonts w:hint="eastAsia"/>
        </w:rPr>
        <w:t>％。此外，科控中心成立近3年期間各法院實施情形不一，全國31個法院僅13個法院有辦理經驗，除高院（11件）、</w:t>
      </w:r>
      <w:r w:rsidR="00DE4E82" w:rsidRPr="003703D2">
        <w:rPr>
          <w:rFonts w:hint="eastAsia"/>
        </w:rPr>
        <w:t>臺灣</w:t>
      </w:r>
      <w:r w:rsidRPr="003703D2">
        <w:rPr>
          <w:rFonts w:hint="eastAsia"/>
        </w:rPr>
        <w:t>臺北地</w:t>
      </w:r>
      <w:r w:rsidR="00DE4E82" w:rsidRPr="003703D2">
        <w:rPr>
          <w:rFonts w:hint="eastAsia"/>
        </w:rPr>
        <w:t>方法</w:t>
      </w:r>
      <w:r w:rsidRPr="003703D2">
        <w:rPr>
          <w:rFonts w:hint="eastAsia"/>
        </w:rPr>
        <w:t>院（7件）、</w:t>
      </w:r>
      <w:r w:rsidR="00DE4E82" w:rsidRPr="003703D2">
        <w:rPr>
          <w:rFonts w:hint="eastAsia"/>
        </w:rPr>
        <w:t>臺灣</w:t>
      </w:r>
      <w:r w:rsidRPr="003703D2">
        <w:rPr>
          <w:rFonts w:hint="eastAsia"/>
        </w:rPr>
        <w:t>基隆地</w:t>
      </w:r>
      <w:r w:rsidR="00DE4E82" w:rsidRPr="003703D2">
        <w:rPr>
          <w:rFonts w:hint="eastAsia"/>
        </w:rPr>
        <w:t>方法</w:t>
      </w:r>
      <w:r w:rsidRPr="003703D2">
        <w:rPr>
          <w:rFonts w:hint="eastAsia"/>
        </w:rPr>
        <w:t>院（10件），其他10個法院僅1至3件，仍有過半數的法院（1</w:t>
      </w:r>
      <w:r w:rsidRPr="003703D2">
        <w:t>8</w:t>
      </w:r>
      <w:r w:rsidRPr="003703D2">
        <w:rPr>
          <w:rFonts w:hint="eastAsia"/>
        </w:rPr>
        <w:t>個法院）無辦理此類案件的經驗，執行成效仍有待提升。</w:t>
      </w:r>
    </w:p>
    <w:p w:rsidR="00242ECF" w:rsidRPr="003703D2" w:rsidRDefault="00242ECF" w:rsidP="00242ECF">
      <w:pPr>
        <w:pStyle w:val="4"/>
        <w:numPr>
          <w:ilvl w:val="3"/>
          <w:numId w:val="1"/>
        </w:numPr>
      </w:pPr>
      <w:r w:rsidRPr="003703D2">
        <w:rPr>
          <w:rFonts w:hint="eastAsia"/>
        </w:rPr>
        <w:t>目前監控內容大致上可區分為限制出境出海、居家監控、電子圍籬及電子報到4類，所涉及之基本權利限制程度不一。其中居家監控之被告，其隨身</w:t>
      </w:r>
      <w:r w:rsidR="00DE4E82" w:rsidRPr="003703D2">
        <w:rPr>
          <w:rFonts w:hint="eastAsia"/>
        </w:rPr>
        <w:t>配戴</w:t>
      </w:r>
      <w:r w:rsidRPr="003703D2">
        <w:rPr>
          <w:rFonts w:hint="eastAsia"/>
        </w:rPr>
        <w:t>發訊器，住家裝設訊號設備，由科控中心系統了解其行蹤，受監控人之行動自由、遷徙自由、居住自由與個人行蹤記錄的資訊自決權，均遭受限制。然執行辦法未考量不同科控處分所涉</w:t>
      </w:r>
      <w:r w:rsidRPr="003703D2">
        <w:rPr>
          <w:rFonts w:hint="eastAsia"/>
        </w:rPr>
        <w:lastRenderedPageBreak/>
        <w:t>基本權限制，完全交由法官及檢察官自由判斷，對人權保障容有未周。考量未來科技發展趨勢及人權保障，學者建議法制面宜區分「24小時即時監控」、「觸發特定條件告知位置」、「限定特定區域」、「不得接近特定場所」等監控處分類型，妥為設計實施要件或舉證責任，應值得贊同。</w:t>
      </w:r>
    </w:p>
    <w:p w:rsidR="00242ECF" w:rsidRPr="003703D2" w:rsidRDefault="00242ECF" w:rsidP="00242ECF">
      <w:pPr>
        <w:pStyle w:val="4"/>
        <w:numPr>
          <w:ilvl w:val="3"/>
          <w:numId w:val="1"/>
        </w:numPr>
      </w:pPr>
      <w:r w:rsidRPr="003703D2">
        <w:rPr>
          <w:rFonts w:hint="eastAsia"/>
        </w:rPr>
        <w:t>適用之案件類型部分，參酌美國刑事犯罪及刑事訴訟程序（USCS）第3142條規定，法院審酌被告羈押必要及保釋條件時，暴力犯罪及涉及任何未成年被害人犯罪之被告，其保釋條件必須包括「電子監控」及該條（</w:t>
      </w:r>
      <w:r w:rsidRPr="003703D2">
        <w:t>b</w:t>
      </w:r>
      <w:r w:rsidRPr="003703D2">
        <w:rPr>
          <w:rFonts w:hint="eastAsia"/>
        </w:rPr>
        <w:t>）項第4至8款所列的條件（包括個人交往、住所、旅行之限制；不得接觸被害人及潛在證人；定期向執法機關報到；宵禁；禁止持有武器等配套措施）。另韓國針對高度再犯可能性的犯罪類型（如性侵犯、未成年人及兒童誘拐犯、殺人犯、強盜犯）實施電子腳鐐的定位監測，同時在犯人住居所設置固定式定位裝置，2</w:t>
      </w:r>
      <w:r w:rsidRPr="003703D2">
        <w:t>4</w:t>
      </w:r>
      <w:r w:rsidRPr="003703D2">
        <w:rPr>
          <w:rFonts w:hint="eastAsia"/>
        </w:rPr>
        <w:t>小時不間斷對罪</w:t>
      </w:r>
      <w:r w:rsidR="00DE4E82" w:rsidRPr="003703D2">
        <w:rPr>
          <w:rFonts w:hint="eastAsia"/>
        </w:rPr>
        <w:t>犯</w:t>
      </w:r>
      <w:r w:rsidRPr="003703D2">
        <w:rPr>
          <w:rFonts w:hint="eastAsia"/>
        </w:rPr>
        <w:t>做定位與移動路徑監測</w:t>
      </w:r>
      <w:r w:rsidRPr="003703D2">
        <w:rPr>
          <w:rStyle w:val="afe"/>
        </w:rPr>
        <w:footnoteReference w:id="12"/>
      </w:r>
      <w:r w:rsidRPr="003703D2">
        <w:rPr>
          <w:rFonts w:hint="eastAsia"/>
        </w:rPr>
        <w:t>。相較於國外將高度再犯可能性之犯罪類型，列為居家監控及電子圍籬的主要對象，本院亦曾多次建議司法院及法務部應針對妨害性自主、兒少性剝削、跟蹤騷擾、家庭暴力等案件類型，在偵審階段擴大對刑事被告科技監控的運用範圍</w:t>
      </w:r>
      <w:r w:rsidRPr="003703D2">
        <w:rPr>
          <w:rStyle w:val="afe"/>
        </w:rPr>
        <w:footnoteReference w:id="13"/>
      </w:r>
      <w:r w:rsidRPr="003703D2">
        <w:rPr>
          <w:rFonts w:hint="eastAsia"/>
        </w:rPr>
        <w:t>，然而由前開1</w:t>
      </w:r>
      <w:r w:rsidR="00EE6038" w:rsidRPr="003703D2">
        <w:t>23</w:t>
      </w:r>
      <w:r w:rsidRPr="003703D2">
        <w:rPr>
          <w:rFonts w:hint="eastAsia"/>
        </w:rPr>
        <w:t>件科控處分分析案由類型，僅有強制猥褻（1件）、跟蹤騷擾（1件）、妨害性自主</w:t>
      </w:r>
      <w:r w:rsidRPr="003703D2">
        <w:rPr>
          <w:rFonts w:hint="eastAsia"/>
        </w:rPr>
        <w:lastRenderedPageBreak/>
        <w:t>（2件），合計僅占全部案件僅3％，對於被害人、社區及婦幼群體安全的保護不周，亦有待檢討。</w:t>
      </w:r>
    </w:p>
    <w:p w:rsidR="00242ECF" w:rsidRPr="003703D2" w:rsidRDefault="00242ECF" w:rsidP="00242ECF">
      <w:pPr>
        <w:pStyle w:val="3"/>
        <w:numPr>
          <w:ilvl w:val="2"/>
          <w:numId w:val="1"/>
        </w:numPr>
      </w:pPr>
      <w:r w:rsidRPr="003703D2">
        <w:rPr>
          <w:rFonts w:hint="eastAsia"/>
        </w:rPr>
        <w:t>綜上，刑事訴訟法於108年7月17日修正公布第116條之2，增列羈押替代處分之科技設備監控。司法院及法務部為因應新法修正，於109年8月18日會同訂頒執行辦法，同年9月1日施行，並委託高檢署建置</w:t>
      </w:r>
      <w:r w:rsidR="00AC7AE3" w:rsidRPr="003703D2">
        <w:rPr>
          <w:rFonts w:hint="eastAsia"/>
        </w:rPr>
        <w:t>科控中心</w:t>
      </w:r>
      <w:r w:rsidRPr="003703D2">
        <w:rPr>
          <w:rFonts w:hint="eastAsia"/>
        </w:rPr>
        <w:t>。然迄今科控處分之案量仍有待提升，又刑事訴訟法對於科技設備監控的規定過於概括、羈押替代處分的方法有限，執行辦法未考量不同科控處分所涉基本權限制，妥為設計相關要件或舉證責任，而完全交由法官及檢察官自由判斷，</w:t>
      </w:r>
      <w:r w:rsidRPr="003703D2">
        <w:rPr>
          <w:rFonts w:ascii="Times New Roman" w:hAnsi="Times New Roman" w:hint="eastAsia"/>
        </w:rPr>
        <w:t>對基本人權之保障有欠周延，</w:t>
      </w:r>
      <w:r w:rsidRPr="003703D2">
        <w:rPr>
          <w:rFonts w:hint="eastAsia"/>
        </w:rPr>
        <w:t>有檢討的必要。</w:t>
      </w:r>
    </w:p>
    <w:p w:rsidR="00242ECF" w:rsidRPr="003703D2" w:rsidRDefault="00242ECF" w:rsidP="00242ECF">
      <w:pPr>
        <w:pStyle w:val="2"/>
        <w:numPr>
          <w:ilvl w:val="1"/>
          <w:numId w:val="1"/>
        </w:numPr>
        <w:rPr>
          <w:b/>
        </w:rPr>
      </w:pPr>
      <w:r w:rsidRPr="003703D2">
        <w:rPr>
          <w:rFonts w:hint="eastAsia"/>
          <w:b/>
        </w:rPr>
        <w:t>健康權為憲法第22條所保障之基本權利，旨在保障人民生理及心理機能之完整性不受任意侵害。以科技設備監控刑事被告，不應逾越防逃目的之合理範圍。本案陳訴人受</w:t>
      </w:r>
      <w:r w:rsidR="00643B35" w:rsidRPr="003703D2">
        <w:rPr>
          <w:rFonts w:hint="eastAsia"/>
          <w:b/>
        </w:rPr>
        <w:t>科技設備</w:t>
      </w:r>
      <w:r w:rsidRPr="003703D2">
        <w:rPr>
          <w:rFonts w:hint="eastAsia"/>
          <w:b/>
        </w:rPr>
        <w:t>監控約1</w:t>
      </w:r>
      <w:r w:rsidRPr="003703D2">
        <w:rPr>
          <w:b/>
        </w:rPr>
        <w:t>0</w:t>
      </w:r>
      <w:r w:rsidRPr="003703D2">
        <w:rPr>
          <w:rFonts w:hint="eastAsia"/>
          <w:b/>
        </w:rPr>
        <w:t>個月，告警次數高達2萬餘筆，陳訴人稱其因不堪其擾，導致</w:t>
      </w:r>
      <w:r w:rsidR="00E90430" w:rsidRPr="003703D2">
        <w:rPr>
          <w:rFonts w:hint="eastAsia"/>
          <w:b/>
        </w:rPr>
        <w:t>失眠、焦慮、</w:t>
      </w:r>
      <w:r w:rsidR="00E80847" w:rsidRPr="003703D2">
        <w:rPr>
          <w:rFonts w:hint="eastAsia"/>
          <w:b/>
        </w:rPr>
        <w:t>罹</w:t>
      </w:r>
      <w:r w:rsidRPr="003703D2">
        <w:rPr>
          <w:rFonts w:hint="eastAsia"/>
          <w:b/>
        </w:rPr>
        <w:t>患憂鬱症</w:t>
      </w:r>
      <w:r w:rsidR="00E80847" w:rsidRPr="003703D2">
        <w:rPr>
          <w:rFonts w:hint="eastAsia"/>
          <w:b/>
        </w:rPr>
        <w:t>等情，並提出醫師診斷證明建議移除電子腳鐶</w:t>
      </w:r>
      <w:r w:rsidRPr="003703D2">
        <w:rPr>
          <w:rFonts w:hint="eastAsia"/>
          <w:b/>
        </w:rPr>
        <w:t>，客觀上足</w:t>
      </w:r>
      <w:r w:rsidR="00E90430" w:rsidRPr="003703D2">
        <w:rPr>
          <w:rFonts w:hint="eastAsia"/>
          <w:b/>
        </w:rPr>
        <w:t>以</w:t>
      </w:r>
      <w:r w:rsidR="00E80847" w:rsidRPr="003703D2">
        <w:rPr>
          <w:rFonts w:hint="eastAsia"/>
          <w:b/>
        </w:rPr>
        <w:t>推</w:t>
      </w:r>
      <w:r w:rsidRPr="003703D2">
        <w:rPr>
          <w:rFonts w:hint="eastAsia"/>
          <w:b/>
        </w:rPr>
        <w:t>認受監控人</w:t>
      </w:r>
      <w:r w:rsidR="00E90430" w:rsidRPr="003703D2">
        <w:rPr>
          <w:rFonts w:hint="eastAsia"/>
          <w:b/>
        </w:rPr>
        <w:t>之</w:t>
      </w:r>
      <w:r w:rsidRPr="003703D2">
        <w:rPr>
          <w:rFonts w:hint="eastAsia"/>
          <w:b/>
        </w:rPr>
        <w:t>健康權</w:t>
      </w:r>
      <w:r w:rsidR="00E80847" w:rsidRPr="003703D2">
        <w:rPr>
          <w:rFonts w:hint="eastAsia"/>
          <w:b/>
        </w:rPr>
        <w:t>受</w:t>
      </w:r>
      <w:r w:rsidR="00E90430" w:rsidRPr="003703D2">
        <w:rPr>
          <w:rFonts w:hint="eastAsia"/>
          <w:b/>
        </w:rPr>
        <w:t>到</w:t>
      </w:r>
      <w:r w:rsidR="00E80847" w:rsidRPr="003703D2">
        <w:rPr>
          <w:rFonts w:hint="eastAsia"/>
          <w:b/>
        </w:rPr>
        <w:t>影響</w:t>
      </w:r>
      <w:r w:rsidRPr="003703D2">
        <w:rPr>
          <w:rFonts w:hint="eastAsia"/>
          <w:b/>
        </w:rPr>
        <w:t>。然目前實務上變更、撤銷及暫緩處分的案例，僅有住院開刀、醫療檢查、病危通知等生理上有重大立即危險的狀況，尚不及於長期身心影響之案例。司法院及法務部宜有更多的科學實證研究，以兼顧科技設備監控成效與刑事被告健康權之保障。</w:t>
      </w:r>
    </w:p>
    <w:p w:rsidR="00242ECF" w:rsidRPr="003703D2" w:rsidRDefault="00242ECF" w:rsidP="00242ECF">
      <w:pPr>
        <w:pStyle w:val="3"/>
        <w:numPr>
          <w:ilvl w:val="2"/>
          <w:numId w:val="1"/>
        </w:numPr>
      </w:pPr>
      <w:r w:rsidRPr="003703D2">
        <w:rPr>
          <w:rFonts w:hint="eastAsia"/>
        </w:rPr>
        <w:t>據陳訴人表示，因其</w:t>
      </w:r>
      <w:r w:rsidR="00AA7BD9" w:rsidRPr="003703D2">
        <w:rPr>
          <w:rFonts w:hint="eastAsia"/>
        </w:rPr>
        <w:t>配戴</w:t>
      </w:r>
      <w:r w:rsidRPr="003703D2">
        <w:rPr>
          <w:rFonts w:hint="eastAsia"/>
        </w:rPr>
        <w:t>的電子</w:t>
      </w:r>
      <w:r w:rsidR="00643B35" w:rsidRPr="003703D2">
        <w:rPr>
          <w:rFonts w:hint="eastAsia"/>
        </w:rPr>
        <w:t>腳鐶</w:t>
      </w:r>
      <w:r w:rsidRPr="003703D2">
        <w:rPr>
          <w:rFonts w:hint="eastAsia"/>
        </w:rPr>
        <w:t>經常出現訊號異常，不堪其擾，甚至多次在凌晨發生告警，其因服用安眠藥未接聽電話，遭</w:t>
      </w:r>
      <w:r w:rsidR="00CF5F06" w:rsidRPr="003703D2">
        <w:rPr>
          <w:rFonts w:hint="eastAsia"/>
        </w:rPr>
        <w:t>科控中心</w:t>
      </w:r>
      <w:r w:rsidRPr="003703D2">
        <w:rPr>
          <w:rFonts w:hint="eastAsia"/>
        </w:rPr>
        <w:t>及法院盤問，需自證未違規離開處所。又</w:t>
      </w:r>
      <w:r w:rsidR="00CF5F06" w:rsidRPr="003703D2">
        <w:rPr>
          <w:rFonts w:hint="eastAsia"/>
        </w:rPr>
        <w:t>科控中心</w:t>
      </w:r>
      <w:r w:rsidRPr="003703D2">
        <w:rPr>
          <w:rFonts w:hint="eastAsia"/>
        </w:rPr>
        <w:t>頻繁來電詢</w:t>
      </w:r>
      <w:r w:rsidRPr="003703D2">
        <w:rPr>
          <w:rFonts w:hint="eastAsia"/>
        </w:rPr>
        <w:lastRenderedPageBreak/>
        <w:t>問，其無時無刻需注意，於非居家監控期間，亦主動通報行程，加以法院隨時可能以其違規為由施加羈押處分，因而承受極大心理壓力，導致失眠、焦慮、情緒低落，經醫師診斷罹患憂鬱症等語。</w:t>
      </w:r>
    </w:p>
    <w:p w:rsidR="00242ECF" w:rsidRPr="003703D2" w:rsidRDefault="00242ECF" w:rsidP="00242ECF">
      <w:pPr>
        <w:pStyle w:val="3"/>
        <w:numPr>
          <w:ilvl w:val="2"/>
          <w:numId w:val="1"/>
        </w:numPr>
      </w:pPr>
      <w:r w:rsidRPr="003703D2">
        <w:rPr>
          <w:rFonts w:hint="eastAsia"/>
        </w:rPr>
        <w:t>司法院及法務部表示，科技設備監控本得依規定經聲請或依職權例外放寬容許，不致造成身體上明顯立即的危害，或影響其就醫、外宿。且刑事</w:t>
      </w:r>
      <w:bookmarkStart w:id="67" w:name="_Hlk189755317"/>
      <w:r w:rsidRPr="003703D2">
        <w:rPr>
          <w:rFonts w:hint="eastAsia"/>
        </w:rPr>
        <w:t>被告可向檢察官或法院聲請身心評估</w:t>
      </w:r>
      <w:bookmarkEnd w:id="67"/>
      <w:r w:rsidRPr="003703D2">
        <w:rPr>
          <w:rFonts w:hint="eastAsia"/>
        </w:rPr>
        <w:t>，或事後提出相關醫療需求申請改變或暫緩監控內容。法官亦得依執行辦法第4條第1項變更為其他處分，如有緊急狀況，得依執行辦法第12條處理。迄今監控個案中有變更（因住院開刀變更原</w:t>
      </w:r>
      <w:r w:rsidR="00AA7BD9" w:rsidRPr="003703D2">
        <w:rPr>
          <w:rFonts w:hint="eastAsia"/>
        </w:rPr>
        <w:t>配戴</w:t>
      </w:r>
      <w:r w:rsidRPr="003703D2">
        <w:rPr>
          <w:rFonts w:hint="eastAsia"/>
        </w:rPr>
        <w:t>之電子手鐶載具、因皮膚病由</w:t>
      </w:r>
      <w:r w:rsidR="00AA7BD9" w:rsidRPr="003703D2">
        <w:rPr>
          <w:rFonts w:hint="eastAsia"/>
        </w:rPr>
        <w:t>配戴</w:t>
      </w:r>
      <w:r w:rsidRPr="003703D2">
        <w:rPr>
          <w:rFonts w:hint="eastAsia"/>
        </w:rPr>
        <w:t>電子腳鐶改為</w:t>
      </w:r>
      <w:r w:rsidR="00AA7BD9" w:rsidRPr="003703D2">
        <w:rPr>
          <w:rFonts w:hint="eastAsia"/>
        </w:rPr>
        <w:t>配戴</w:t>
      </w:r>
      <w:r w:rsidRPr="003703D2">
        <w:rPr>
          <w:rFonts w:hint="eastAsia"/>
        </w:rPr>
        <w:t>電子手鐶）、撤銷（因醫院病危通知）、暫緩處分之案例等語。</w:t>
      </w:r>
    </w:p>
    <w:p w:rsidR="00242ECF" w:rsidRPr="003703D2" w:rsidRDefault="00242ECF" w:rsidP="00242ECF">
      <w:pPr>
        <w:pStyle w:val="3"/>
        <w:numPr>
          <w:ilvl w:val="2"/>
          <w:numId w:val="1"/>
        </w:numPr>
      </w:pPr>
      <w:r w:rsidRPr="003703D2">
        <w:rPr>
          <w:rFonts w:hint="eastAsia"/>
        </w:rPr>
        <w:t>本院審酌認為：</w:t>
      </w:r>
    </w:p>
    <w:p w:rsidR="00242ECF" w:rsidRPr="003703D2" w:rsidRDefault="00242ECF" w:rsidP="00242ECF">
      <w:pPr>
        <w:pStyle w:val="4"/>
        <w:numPr>
          <w:ilvl w:val="3"/>
          <w:numId w:val="1"/>
        </w:numPr>
      </w:pPr>
      <w:r w:rsidRPr="003703D2">
        <w:rPr>
          <w:rFonts w:hint="eastAsia"/>
        </w:rPr>
        <w:t>司法院釋字第785號解釋揭示人民健康權為憲法第22條所保障之基本權利，旨在保障人民生理及心理機能之完整性，不受任意侵害，且國家對人民身心健康亦負一定照顧義務。現行醫學領域尚無法明確找到生理與心理影響之分界線，故世界衛生組織(WHO)透過其組織法之前言，將「健康」定義為：「不僅係無疾病或衰弱，而係保持身體上、精神上與社會適應方面之良好狀態」。因此無論於何種情況下，倘國家發動措施所生之效果，將導致當事人之心理影響等同或至少接近「身體痛苦」之程度，即應認定身體完整性遭受損害。舉例言之，焦慮、高度緊張狀態或利用噪音所引起之痛苦，從而作為人民心理或精神上之疾病發</w:t>
      </w:r>
      <w:r w:rsidRPr="003703D2">
        <w:rPr>
          <w:rFonts w:hint="eastAsia"/>
        </w:rPr>
        <w:lastRenderedPageBreak/>
        <w:t>生原因，即應被理解為不健康之狀態</w:t>
      </w:r>
      <w:r w:rsidRPr="003703D2">
        <w:rPr>
          <w:rStyle w:val="afe"/>
        </w:rPr>
        <w:footnoteReference w:id="14"/>
      </w:r>
      <w:r w:rsidRPr="003703D2">
        <w:rPr>
          <w:rFonts w:hint="eastAsia"/>
        </w:rPr>
        <w:t>。</w:t>
      </w:r>
    </w:p>
    <w:p w:rsidR="00242ECF" w:rsidRPr="003703D2" w:rsidRDefault="00242ECF" w:rsidP="00242ECF">
      <w:pPr>
        <w:pStyle w:val="4"/>
        <w:numPr>
          <w:ilvl w:val="3"/>
          <w:numId w:val="1"/>
        </w:numPr>
      </w:pPr>
      <w:r w:rsidRPr="003703D2">
        <w:rPr>
          <w:rFonts w:hint="eastAsia"/>
        </w:rPr>
        <w:t>法院發動科控處分後，除涉及干預資訊自決權外，同時亦可能附隨因心理影響所導致之健康減損狀態。本案陳訴人經法院命接受居家監控，因電子</w:t>
      </w:r>
      <w:r w:rsidR="00643B35" w:rsidRPr="003703D2">
        <w:rPr>
          <w:rFonts w:hint="eastAsia"/>
        </w:rPr>
        <w:t>腳鐶</w:t>
      </w:r>
      <w:r w:rsidRPr="003703D2">
        <w:rPr>
          <w:rFonts w:hint="eastAsia"/>
        </w:rPr>
        <w:t>及居家讀取器訊號頻繁出現異常，告警次數2萬2,078次（提醒1萬6,445次、一級告警5,115次、二級告警131次、三級告警387次），最嚴重的三級告警有37次（扣除連續紀錄），其中有22次發生在深夜及凌晨，此有科控中心監控紀錄資料在卷足稽。另依陳訴人所提112年10月5日至11月30日之通話紀錄，</w:t>
      </w:r>
      <w:r w:rsidR="00CF5F06" w:rsidRPr="003703D2">
        <w:rPr>
          <w:rFonts w:hint="eastAsia"/>
        </w:rPr>
        <w:t>科控中心</w:t>
      </w:r>
      <w:r w:rsidRPr="003703D2">
        <w:rPr>
          <w:rFonts w:hint="eastAsia"/>
        </w:rPr>
        <w:t>致電陳訴人通話次數22次，陳訴人主動回報位置通話次數91次（112年10月計51次、11月計40次），共計113次。又陳訴人稱長期</w:t>
      </w:r>
      <w:r w:rsidR="00AA7BD9" w:rsidRPr="003703D2">
        <w:rPr>
          <w:rFonts w:hint="eastAsia"/>
        </w:rPr>
        <w:t>配戴</w:t>
      </w:r>
      <w:r w:rsidRPr="003703D2">
        <w:rPr>
          <w:rFonts w:hint="eastAsia"/>
        </w:rPr>
        <w:t>電子腳鐐，對其高齡且罹患各項慢性疾病造成身心危害，出現失眠、焦慮、憂鬱等情</w:t>
      </w:r>
      <w:r w:rsidR="00E80847" w:rsidRPr="003703D2">
        <w:rPr>
          <w:rFonts w:hint="eastAsia"/>
        </w:rPr>
        <w:t>，並檢附醫師診斷證明書，建議移除電子腳鐶</w:t>
      </w:r>
      <w:r w:rsidRPr="003703D2">
        <w:rPr>
          <w:rFonts w:hint="eastAsia"/>
        </w:rPr>
        <w:t>。如相關診斷證明屬實，從客觀第三人之角度觀察，科技監控處分已對陳訴人心理產生壓迫箝制之影響，從而接近甚至達到「身體痛苦」之程度。雖不能排除係應歸責於</w:t>
      </w:r>
      <w:r w:rsidR="00DE4E82" w:rsidRPr="003703D2">
        <w:rPr>
          <w:rFonts w:hint="eastAsia"/>
        </w:rPr>
        <w:t>陳訴人</w:t>
      </w:r>
      <w:r w:rsidRPr="003703D2">
        <w:rPr>
          <w:rFonts w:hint="eastAsia"/>
        </w:rPr>
        <w:t>未遵守法院所命事項，或刻意測試監控系統漏洞所致，但仍應</w:t>
      </w:r>
      <w:r w:rsidR="00E80847" w:rsidRPr="003703D2">
        <w:rPr>
          <w:rFonts w:hint="eastAsia"/>
        </w:rPr>
        <w:t>推認</w:t>
      </w:r>
      <w:r w:rsidRPr="003703D2">
        <w:rPr>
          <w:rFonts w:hint="eastAsia"/>
        </w:rPr>
        <w:t>陳訴人之心理</w:t>
      </w:r>
      <w:r w:rsidR="00E80847" w:rsidRPr="003703D2">
        <w:rPr>
          <w:rFonts w:hint="eastAsia"/>
        </w:rPr>
        <w:t>似</w:t>
      </w:r>
      <w:r w:rsidRPr="003703D2">
        <w:rPr>
          <w:rFonts w:hint="eastAsia"/>
        </w:rPr>
        <w:t>已達到不健康之狀態。</w:t>
      </w:r>
    </w:p>
    <w:p w:rsidR="00242ECF" w:rsidRPr="003703D2" w:rsidRDefault="00242ECF" w:rsidP="00242ECF">
      <w:pPr>
        <w:pStyle w:val="4"/>
        <w:numPr>
          <w:ilvl w:val="3"/>
          <w:numId w:val="1"/>
        </w:numPr>
      </w:pPr>
      <w:r w:rsidRPr="003703D2">
        <w:rPr>
          <w:rFonts w:hint="eastAsia"/>
        </w:rPr>
        <w:t>執行辦法第4條第1項雖規定，法院或檢察官命被告接受科技設備監控，或變更、延長、撤銷時，宜審酌被告之生活狀況、對被告之影響、有無較輕微之替代措施等事項。但如何審酌被告生活及身心狀況適合性，未有相關指引或具體的審酌標</w:t>
      </w:r>
      <w:r w:rsidRPr="003703D2">
        <w:rPr>
          <w:rFonts w:hint="eastAsia"/>
        </w:rPr>
        <w:lastRenderedPageBreak/>
        <w:t>準。且實務上變更、撤銷及暫緩處分的案例，僅有住院開刀、醫療檢查、病危通知等有重大立即危險的狀況，而不及於心理</w:t>
      </w:r>
      <w:r w:rsidR="00DE4E82" w:rsidRPr="003703D2">
        <w:rPr>
          <w:rFonts w:hint="eastAsia"/>
        </w:rPr>
        <w:t>層</w:t>
      </w:r>
      <w:r w:rsidRPr="003703D2">
        <w:rPr>
          <w:rFonts w:hint="eastAsia"/>
        </w:rPr>
        <w:t>面或長期影響之案例。詢據法務部坦承因受限於個人資料保護法，目前並未針對受科技監控者之生理及心理狀況進行追蹤與分析等語。囿於聲押案件的時效性（法院通常應於1天內決定），縱允許被告事後向檢察官或法院聲請身心評估，然因欠缺相關指引，醫學上對於長期</w:t>
      </w:r>
      <w:r w:rsidR="00AA7BD9" w:rsidRPr="003703D2">
        <w:rPr>
          <w:rFonts w:hint="eastAsia"/>
        </w:rPr>
        <w:t>配戴</w:t>
      </w:r>
      <w:r w:rsidRPr="003703D2">
        <w:rPr>
          <w:rFonts w:hint="eastAsia"/>
        </w:rPr>
        <w:t>電子</w:t>
      </w:r>
      <w:r w:rsidR="00643B35" w:rsidRPr="003703D2">
        <w:rPr>
          <w:rFonts w:hint="eastAsia"/>
        </w:rPr>
        <w:t>腳鐶</w:t>
      </w:r>
      <w:r w:rsidRPr="003703D2">
        <w:rPr>
          <w:rFonts w:hint="eastAsia"/>
        </w:rPr>
        <w:t>對心理層面的影響，亦缺乏明確的評估標準，且縱然加以評估，其結論又可能化約為羈押與否的變數，難認由法官或檢察官依其專業進行判斷已足。司法院及法務部宜有更多科學實證研究，以</w:t>
      </w:r>
      <w:bookmarkStart w:id="68" w:name="_Hlk188691998"/>
      <w:r w:rsidRPr="003703D2">
        <w:rPr>
          <w:rFonts w:hint="eastAsia"/>
        </w:rPr>
        <w:t>兼顧科技設備監控成效與刑事被告健康權</w:t>
      </w:r>
      <w:bookmarkEnd w:id="68"/>
      <w:r w:rsidRPr="003703D2">
        <w:rPr>
          <w:rFonts w:hint="eastAsia"/>
        </w:rPr>
        <w:t>。</w:t>
      </w:r>
    </w:p>
    <w:p w:rsidR="00242ECF" w:rsidRPr="003703D2" w:rsidRDefault="00242ECF" w:rsidP="00242ECF">
      <w:pPr>
        <w:widowControl/>
        <w:overflowPunct/>
        <w:autoSpaceDE/>
        <w:autoSpaceDN/>
        <w:jc w:val="left"/>
        <w:rPr>
          <w:rFonts w:hAnsi="Arial"/>
          <w:bCs/>
          <w:kern w:val="32"/>
          <w:szCs w:val="36"/>
        </w:rPr>
      </w:pPr>
      <w:r w:rsidRPr="003703D2">
        <w:rPr>
          <w:rFonts w:hAnsi="Arial"/>
          <w:bCs/>
          <w:szCs w:val="36"/>
        </w:rPr>
        <w:br w:type="page"/>
      </w:r>
    </w:p>
    <w:p w:rsidR="00242ECF" w:rsidRPr="003703D2" w:rsidRDefault="00242ECF" w:rsidP="00242ECF">
      <w:pPr>
        <w:pStyle w:val="1"/>
        <w:numPr>
          <w:ilvl w:val="0"/>
          <w:numId w:val="1"/>
        </w:numPr>
        <w:ind w:left="2380" w:hanging="2380"/>
      </w:pPr>
      <w:bookmarkStart w:id="69" w:name="_Toc524895648"/>
      <w:bookmarkStart w:id="70" w:name="_Toc524896194"/>
      <w:bookmarkStart w:id="71" w:name="_Toc524896224"/>
      <w:bookmarkStart w:id="72" w:name="_Toc524902734"/>
      <w:bookmarkStart w:id="73" w:name="_Toc525066148"/>
      <w:bookmarkStart w:id="74" w:name="_Toc525070839"/>
      <w:bookmarkStart w:id="75" w:name="_Toc525938379"/>
      <w:bookmarkStart w:id="76" w:name="_Toc525939227"/>
      <w:bookmarkStart w:id="77" w:name="_Toc525939732"/>
      <w:bookmarkStart w:id="78" w:name="_Toc529218272"/>
      <w:bookmarkStart w:id="79" w:name="_Toc529222689"/>
      <w:bookmarkStart w:id="80" w:name="_Toc529223111"/>
      <w:bookmarkStart w:id="81" w:name="_Toc529223862"/>
      <w:bookmarkStart w:id="82" w:name="_Toc529228265"/>
      <w:bookmarkStart w:id="83" w:name="_Toc2400395"/>
      <w:bookmarkStart w:id="84" w:name="_Toc4316189"/>
      <w:bookmarkStart w:id="85" w:name="_Toc4473330"/>
      <w:bookmarkStart w:id="86" w:name="_Toc69556897"/>
      <w:bookmarkStart w:id="87" w:name="_Toc69556946"/>
      <w:bookmarkStart w:id="88" w:name="_Toc69609820"/>
      <w:bookmarkStart w:id="89" w:name="_Toc70241816"/>
      <w:bookmarkStart w:id="90" w:name="_Toc70242205"/>
      <w:bookmarkStart w:id="91" w:name="_Toc421794875"/>
      <w:bookmarkStart w:id="92" w:name="_Toc422834160"/>
      <w:bookmarkEnd w:id="56"/>
      <w:r w:rsidRPr="003703D2">
        <w:rPr>
          <w:rFonts w:hint="eastAsia"/>
        </w:rPr>
        <w:lastRenderedPageBreak/>
        <w:t>處理辦法：</w:t>
      </w:r>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r w:rsidRPr="003703D2">
        <w:t xml:space="preserve"> </w:t>
      </w:r>
    </w:p>
    <w:p w:rsidR="009200FB" w:rsidRDefault="009200FB" w:rsidP="009200FB">
      <w:pPr>
        <w:pStyle w:val="2"/>
        <w:ind w:left="680" w:hanging="680"/>
        <w:rPr>
          <w:rFonts w:hint="eastAsia"/>
        </w:rPr>
      </w:pPr>
      <w:bookmarkStart w:id="93" w:name="_Toc524895649"/>
      <w:bookmarkStart w:id="94" w:name="_Toc524896195"/>
      <w:bookmarkStart w:id="95" w:name="_Toc524896225"/>
      <w:bookmarkEnd w:id="93"/>
      <w:bookmarkEnd w:id="94"/>
      <w:bookmarkEnd w:id="95"/>
      <w:r>
        <w:rPr>
          <w:rFonts w:hint="eastAsia"/>
        </w:rPr>
        <w:t>修正通過。</w:t>
      </w:r>
    </w:p>
    <w:p w:rsidR="009200FB" w:rsidRDefault="009200FB" w:rsidP="009200FB">
      <w:pPr>
        <w:pStyle w:val="2"/>
        <w:ind w:left="680" w:hanging="680"/>
        <w:rPr>
          <w:rFonts w:hint="eastAsia"/>
        </w:rPr>
      </w:pPr>
      <w:r>
        <w:rPr>
          <w:rFonts w:hint="eastAsia"/>
        </w:rPr>
        <w:t>調查意見一，函復陳訴人。</w:t>
      </w:r>
    </w:p>
    <w:p w:rsidR="009200FB" w:rsidRDefault="009200FB" w:rsidP="009200FB">
      <w:pPr>
        <w:pStyle w:val="2"/>
        <w:ind w:left="680" w:hanging="680"/>
        <w:rPr>
          <w:rFonts w:hint="eastAsia"/>
        </w:rPr>
      </w:pPr>
      <w:r>
        <w:rPr>
          <w:rFonts w:hint="eastAsia"/>
        </w:rPr>
        <w:t>調查意見二至四，函請司法院及法務部參處見復。</w:t>
      </w:r>
    </w:p>
    <w:p w:rsidR="00242ECF" w:rsidRPr="003703D2" w:rsidRDefault="009200FB" w:rsidP="009200FB">
      <w:pPr>
        <w:pStyle w:val="2"/>
        <w:numPr>
          <w:ilvl w:val="0"/>
          <w:numId w:val="0"/>
        </w:numPr>
        <w:ind w:left="680" w:hangingChars="200" w:hanging="680"/>
      </w:pPr>
      <w:r>
        <w:rPr>
          <w:rFonts w:hint="eastAsia"/>
        </w:rPr>
        <w:t>四、調查意見（含案由、處理辦法、調查委員姓名）上網公</w:t>
      </w:r>
      <w:r>
        <w:rPr>
          <w:rFonts w:hint="eastAsia"/>
        </w:rPr>
        <w:t>布</w:t>
      </w:r>
      <w:r>
        <w:rPr>
          <w:rFonts w:hint="eastAsia"/>
        </w:rPr>
        <w:t>。</w:t>
      </w:r>
    </w:p>
    <w:p w:rsidR="00242ECF" w:rsidRPr="003703D2" w:rsidRDefault="00242ECF" w:rsidP="00242ECF">
      <w:pPr>
        <w:pStyle w:val="aa"/>
        <w:spacing w:beforeLines="50" w:before="228" w:afterLines="100" w:after="457"/>
        <w:ind w:leftChars="1100" w:left="3742"/>
        <w:rPr>
          <w:b w:val="0"/>
          <w:bCs/>
          <w:snapToGrid/>
          <w:spacing w:val="12"/>
          <w:kern w:val="0"/>
          <w:sz w:val="40"/>
        </w:rPr>
      </w:pPr>
    </w:p>
    <w:p w:rsidR="00242ECF" w:rsidRPr="003703D2" w:rsidRDefault="00242ECF" w:rsidP="009200FB">
      <w:pPr>
        <w:pStyle w:val="aa"/>
        <w:spacing w:beforeLines="50" w:before="228" w:afterLines="100" w:after="457"/>
        <w:ind w:leftChars="1125" w:left="3827"/>
        <w:rPr>
          <w:b w:val="0"/>
          <w:bCs/>
          <w:snapToGrid/>
          <w:spacing w:val="12"/>
          <w:kern w:val="0"/>
          <w:sz w:val="40"/>
        </w:rPr>
      </w:pPr>
      <w:r w:rsidRPr="003703D2">
        <w:rPr>
          <w:rFonts w:hint="eastAsia"/>
          <w:b w:val="0"/>
          <w:bCs/>
          <w:snapToGrid/>
          <w:spacing w:val="12"/>
          <w:kern w:val="0"/>
          <w:sz w:val="40"/>
        </w:rPr>
        <w:t>調查委員：</w:t>
      </w:r>
      <w:r w:rsidR="003703D2">
        <w:rPr>
          <w:rFonts w:hint="eastAsia"/>
          <w:b w:val="0"/>
          <w:bCs/>
          <w:snapToGrid/>
          <w:spacing w:val="12"/>
          <w:kern w:val="0"/>
          <w:sz w:val="40"/>
        </w:rPr>
        <w:t>林郁</w:t>
      </w:r>
      <w:bookmarkStart w:id="96" w:name="_GoBack"/>
      <w:bookmarkEnd w:id="96"/>
      <w:r w:rsidR="003703D2">
        <w:rPr>
          <w:rFonts w:hint="eastAsia"/>
          <w:b w:val="0"/>
          <w:bCs/>
          <w:snapToGrid/>
          <w:spacing w:val="12"/>
          <w:kern w:val="0"/>
          <w:sz w:val="40"/>
        </w:rPr>
        <w:t>容</w:t>
      </w:r>
    </w:p>
    <w:p w:rsidR="00242ECF" w:rsidRPr="003703D2" w:rsidRDefault="003703D2" w:rsidP="009200FB">
      <w:pPr>
        <w:pStyle w:val="aa"/>
        <w:spacing w:before="0" w:after="0"/>
        <w:ind w:leftChars="1100" w:left="3742"/>
        <w:rPr>
          <w:rFonts w:ascii="Times New Roman"/>
          <w:b w:val="0"/>
          <w:bCs/>
          <w:snapToGrid/>
          <w:spacing w:val="0"/>
          <w:kern w:val="0"/>
          <w:sz w:val="40"/>
        </w:rPr>
      </w:pPr>
      <w:r>
        <w:rPr>
          <w:rFonts w:ascii="Times New Roman" w:hint="eastAsia"/>
          <w:b w:val="0"/>
          <w:bCs/>
          <w:snapToGrid/>
          <w:spacing w:val="0"/>
          <w:kern w:val="0"/>
          <w:sz w:val="40"/>
        </w:rPr>
        <w:t xml:space="preserve"> </w:t>
      </w:r>
      <w:r>
        <w:rPr>
          <w:rFonts w:ascii="Times New Roman"/>
          <w:b w:val="0"/>
          <w:bCs/>
          <w:snapToGrid/>
          <w:spacing w:val="0"/>
          <w:kern w:val="0"/>
          <w:sz w:val="40"/>
        </w:rPr>
        <w:t xml:space="preserve">          </w:t>
      </w:r>
      <w:r>
        <w:rPr>
          <w:rFonts w:ascii="Times New Roman" w:hint="eastAsia"/>
          <w:b w:val="0"/>
          <w:bCs/>
          <w:snapToGrid/>
          <w:spacing w:val="0"/>
          <w:kern w:val="0"/>
          <w:sz w:val="40"/>
        </w:rPr>
        <w:t>葉宜津</w:t>
      </w:r>
    </w:p>
    <w:p w:rsidR="00242ECF" w:rsidRPr="003703D2" w:rsidRDefault="00242ECF" w:rsidP="00242ECF">
      <w:pPr>
        <w:pStyle w:val="aa"/>
        <w:spacing w:before="0" w:after="0"/>
        <w:ind w:leftChars="1100" w:left="3742"/>
        <w:rPr>
          <w:rFonts w:ascii="Times New Roman"/>
          <w:b w:val="0"/>
          <w:bCs/>
          <w:snapToGrid/>
          <w:spacing w:val="0"/>
          <w:kern w:val="0"/>
          <w:sz w:val="40"/>
        </w:rPr>
      </w:pPr>
    </w:p>
    <w:p w:rsidR="00242ECF" w:rsidRPr="003703D2" w:rsidRDefault="00242ECF" w:rsidP="00242ECF">
      <w:pPr>
        <w:pStyle w:val="aa"/>
        <w:spacing w:before="0" w:after="0"/>
        <w:ind w:leftChars="1100" w:left="3742"/>
        <w:rPr>
          <w:rFonts w:ascii="Times New Roman"/>
          <w:b w:val="0"/>
          <w:bCs/>
          <w:snapToGrid/>
          <w:spacing w:val="0"/>
          <w:kern w:val="0"/>
          <w:sz w:val="40"/>
        </w:rPr>
      </w:pPr>
    </w:p>
    <w:sectPr w:rsidR="00242ECF" w:rsidRPr="003703D2"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A7DF4" w:rsidRDefault="00CA7DF4">
      <w:r>
        <w:separator/>
      </w:r>
    </w:p>
  </w:endnote>
  <w:endnote w:type="continuationSeparator" w:id="0">
    <w:p w:rsidR="00CA7DF4" w:rsidRDefault="00CA7D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altName w:val="DFKai-SB"/>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56B07" w:rsidRDefault="00156B07">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1</w:t>
    </w:r>
    <w:r>
      <w:rPr>
        <w:rStyle w:val="ac"/>
        <w:sz w:val="24"/>
      </w:rPr>
      <w:fldChar w:fldCharType="end"/>
    </w:r>
  </w:p>
  <w:p w:rsidR="00156B07" w:rsidRDefault="00156B07">
    <w:pPr>
      <w:framePr w:wrap="auto" w:hAnchor="text" w:y="-955"/>
      <w:ind w:left="640" w:right="360" w:firstLine="448"/>
      <w:jc w:val="right"/>
    </w:pPr>
  </w:p>
  <w:p w:rsidR="00156B07" w:rsidRDefault="00156B07"/>
  <w:p w:rsidR="00156B07" w:rsidRDefault="00156B07"/>
  <w:p w:rsidR="00156B07" w:rsidRDefault="00156B0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A7DF4" w:rsidRDefault="00CA7DF4">
      <w:r>
        <w:separator/>
      </w:r>
    </w:p>
  </w:footnote>
  <w:footnote w:type="continuationSeparator" w:id="0">
    <w:p w:rsidR="00CA7DF4" w:rsidRDefault="00CA7DF4">
      <w:r>
        <w:continuationSeparator/>
      </w:r>
    </w:p>
  </w:footnote>
  <w:footnote w:id="1">
    <w:p w:rsidR="00156B07" w:rsidRDefault="00156B07" w:rsidP="00242ECF">
      <w:pPr>
        <w:pStyle w:val="afc"/>
      </w:pPr>
      <w:r>
        <w:rPr>
          <w:rStyle w:val="afe"/>
        </w:rPr>
        <w:footnoteRef/>
      </w:r>
      <w:r>
        <w:t xml:space="preserve"> </w:t>
      </w:r>
      <w:r w:rsidRPr="008930A2">
        <w:rPr>
          <w:rFonts w:hint="eastAsia"/>
        </w:rPr>
        <w:t>中央社，「朱國榮疑棄5億保金潛逃，高院：金融犯很少施以電子膷鐐監控」；自由時報，「朱國榮重判疑棄5億潛逃高院說明未電子監控理由」，112年9月19日</w:t>
      </w:r>
    </w:p>
  </w:footnote>
  <w:footnote w:id="2">
    <w:p w:rsidR="00156B07" w:rsidRPr="00AA31C5" w:rsidRDefault="00156B07" w:rsidP="00242ECF">
      <w:pPr>
        <w:pStyle w:val="afc"/>
      </w:pPr>
      <w:r>
        <w:rPr>
          <w:rStyle w:val="afe"/>
        </w:rPr>
        <w:footnoteRef/>
      </w:r>
      <w:r>
        <w:t xml:space="preserve"> </w:t>
      </w:r>
      <w:r>
        <w:rPr>
          <w:rFonts w:hint="eastAsia"/>
        </w:rPr>
        <w:t>該次會議係就</w:t>
      </w:r>
      <w:r w:rsidRPr="006165D5">
        <w:rPr>
          <w:rFonts w:hint="eastAsia"/>
        </w:rPr>
        <w:t>如何提高法官使用意願，化解法官擔憂裁准科技設備監控後需長時待命等疑慮進行討論，達成「精簡告警通報，建立層級化處理機制」共識。</w:t>
      </w:r>
    </w:p>
  </w:footnote>
  <w:footnote w:id="3">
    <w:p w:rsidR="00156B07" w:rsidRPr="001C6465" w:rsidRDefault="00156B07" w:rsidP="00AA7BD9">
      <w:pPr>
        <w:pStyle w:val="afc"/>
        <w:jc w:val="both"/>
      </w:pPr>
      <w:r>
        <w:rPr>
          <w:rStyle w:val="afe"/>
        </w:rPr>
        <w:footnoteRef/>
      </w:r>
      <w:r>
        <w:t xml:space="preserve"> </w:t>
      </w:r>
      <w:r w:rsidRPr="001C6465">
        <w:rPr>
          <w:rFonts w:hint="eastAsia"/>
        </w:rPr>
        <w:t>刑事訴訟法第101條規定：「被告經法官訊問後，認為犯罪嫌疑重大，而有下列情形之一，非予羈押，顯難進行追訴、審判或執行者，得羈押之：一、逃亡或有事實足認為有逃亡之虞者。二、有事實足認為有湮滅、偽造、變造證據或勾串共犯或證人之虞者。三、所犯為死刑、無期徒刑或最輕本刑為</w:t>
      </w:r>
      <w:r>
        <w:rPr>
          <w:rFonts w:hint="eastAsia"/>
        </w:rPr>
        <w:t>5</w:t>
      </w:r>
      <w:r w:rsidRPr="001C6465">
        <w:rPr>
          <w:rFonts w:hint="eastAsia"/>
        </w:rPr>
        <w:t>年以上有期徒刑之罪，有相當理由認為有逃亡、湮滅、偽造、變造證據或勾串共犯或證人之虞者。……。」同法第101條之1規定：「被告經法官訊問後，認為犯下列各款之罪，其嫌疑重大，有事實足認為有反覆實行同一犯罪之虞，而有羈押之必要者，得羈押之。……</w:t>
      </w:r>
      <w:r>
        <w:rPr>
          <w:rFonts w:hint="eastAsia"/>
        </w:rPr>
        <w:t>。</w:t>
      </w:r>
      <w:r w:rsidRPr="001C6465">
        <w:rPr>
          <w:rFonts w:hint="eastAsia"/>
        </w:rPr>
        <w:t>」同法第117條規定：「停止羈押後有下列情形之一者，得命再執行羈押：一、經合法傳喚無正當之理由不到場者。二、受住居之限制而違背者。三、本案新發生第101條第1項、第101條之1第1項各款所定情形之一者。四、違背法院依前條所定應遵守之事項者。五、依第101條第1項第3款羈押之被告，因第114條第3款之情形停止羈押後，其停止羈押之原因已消滅，而仍有羈押之必要者。（第1項）偵查中有前項情形之一者，由檢察官聲請法院行之。（第2項）……</w:t>
      </w:r>
      <w:r>
        <w:rPr>
          <w:rFonts w:hint="eastAsia"/>
        </w:rPr>
        <w:t>。</w:t>
      </w:r>
      <w:r w:rsidRPr="001C6465">
        <w:rPr>
          <w:rFonts w:hint="eastAsia"/>
        </w:rPr>
        <w:t>」</w:t>
      </w:r>
    </w:p>
  </w:footnote>
  <w:footnote w:id="4">
    <w:p w:rsidR="00156B07" w:rsidRPr="009C4856" w:rsidRDefault="00156B07" w:rsidP="00AA7BD9">
      <w:pPr>
        <w:pStyle w:val="afc"/>
        <w:jc w:val="both"/>
      </w:pPr>
      <w:r>
        <w:rPr>
          <w:rStyle w:val="afe"/>
        </w:rPr>
        <w:footnoteRef/>
      </w:r>
      <w:r>
        <w:t xml:space="preserve"> </w:t>
      </w:r>
      <w:r w:rsidRPr="009C4856">
        <w:rPr>
          <w:rFonts w:hint="eastAsia"/>
        </w:rPr>
        <w:t>《法院辦理停止羈押及再執行羈押注意要點》</w:t>
      </w:r>
      <w:r>
        <w:rPr>
          <w:rFonts w:hint="eastAsia"/>
        </w:rPr>
        <w:t>第2點</w:t>
      </w:r>
      <w:r w:rsidRPr="009C4856">
        <w:rPr>
          <w:rFonts w:hint="eastAsia"/>
        </w:rPr>
        <w:t>：「</w:t>
      </w:r>
      <w:r w:rsidRPr="001C6465">
        <w:rPr>
          <w:rFonts w:hint="eastAsia"/>
        </w:rPr>
        <w:t>法院命被告應遵守一定之事項時，應審酌被告之身分、職業、家庭環境、涉嫌犯罪之性質、犯罪之情節、犯罪所生危害、犯罪後之態度、與被害人、證人、鑑定人之關係等一切因素，本於人權保障及公共利益之均衡維護，妥適決定之，於認有必要者，並得定相當期間</w:t>
      </w:r>
      <w:r>
        <w:rPr>
          <w:rFonts w:hint="eastAsia"/>
        </w:rPr>
        <w:t>。</w:t>
      </w:r>
      <w:r w:rsidRPr="009C4856">
        <w:rPr>
          <w:rFonts w:hint="eastAsia"/>
        </w:rPr>
        <w:t>」</w:t>
      </w:r>
      <w:r>
        <w:rPr>
          <w:rFonts w:hint="eastAsia"/>
        </w:rPr>
        <w:t>「</w:t>
      </w:r>
      <w:r w:rsidRPr="009C4856">
        <w:rPr>
          <w:rFonts w:hint="eastAsia"/>
        </w:rPr>
        <w:t>法院辦理刑事訴訟案件應行注意事項</w:t>
      </w:r>
      <w:r>
        <w:rPr>
          <w:rFonts w:hint="eastAsia"/>
        </w:rPr>
        <w:t>」第2</w:t>
      </w:r>
      <w:r>
        <w:t>8</w:t>
      </w:r>
      <w:r>
        <w:rPr>
          <w:rFonts w:hint="eastAsia"/>
        </w:rPr>
        <w:t>點：「</w:t>
      </w:r>
      <w:r w:rsidRPr="009C4856">
        <w:rPr>
          <w:rFonts w:hint="eastAsia"/>
        </w:rPr>
        <w:t>對於被告實施羈押，務須慎重將事，非確有</w:t>
      </w:r>
      <w:r>
        <w:rPr>
          <w:rFonts w:hint="eastAsia"/>
        </w:rPr>
        <w:t>刑事訴訟法</w:t>
      </w:r>
      <w:r w:rsidRPr="009C4856">
        <w:rPr>
          <w:rFonts w:hint="eastAsia"/>
        </w:rPr>
        <w:t>第101條第1項或第101條之1第1項各款所定情形，而有羈押之必要者，不得羈押。尤對第101條之1第1項之預防性羈押，須至為審慎。至上揭規定所謂『犯罪嫌疑重大』者，係指其所犯之罪確有重大嫌疑而言，與案情重大不同。（</w:t>
      </w:r>
      <w:r>
        <w:rPr>
          <w:rFonts w:hint="eastAsia"/>
        </w:rPr>
        <w:t>刑事訴訟法</w:t>
      </w:r>
      <w:r w:rsidRPr="009C4856">
        <w:rPr>
          <w:rFonts w:hint="eastAsia"/>
        </w:rPr>
        <w:t>101、101之1）</w:t>
      </w:r>
      <w:r>
        <w:rPr>
          <w:rFonts w:hint="eastAsia"/>
        </w:rPr>
        <w:t>」；第5</w:t>
      </w:r>
      <w:r>
        <w:t>4</w:t>
      </w:r>
      <w:r>
        <w:rPr>
          <w:rFonts w:hint="eastAsia"/>
        </w:rPr>
        <w:t>點：「</w:t>
      </w:r>
      <w:r w:rsidRPr="009C4856">
        <w:rPr>
          <w:rFonts w:hint="eastAsia"/>
        </w:rPr>
        <w:t>檢察官僅於偵查中始得聲請羈押、延長羈押、撤銷羈押或停止羈押。在審判中，並無為上揭各項處分之聲請權，其提出聲請者，應以聲請為不合法，予以駁回。（</w:t>
      </w:r>
      <w:r>
        <w:rPr>
          <w:rFonts w:hint="eastAsia"/>
        </w:rPr>
        <w:t>刑事訴訟法</w:t>
      </w:r>
      <w:r w:rsidRPr="009C4856">
        <w:rPr>
          <w:rFonts w:hint="eastAsia"/>
        </w:rPr>
        <w:t>93）</w:t>
      </w:r>
      <w:r>
        <w:rPr>
          <w:rFonts w:hint="eastAsia"/>
        </w:rPr>
        <w:t>」。</w:t>
      </w:r>
      <w:r w:rsidRPr="009C4856">
        <w:rPr>
          <w:rFonts w:hint="eastAsia"/>
        </w:rPr>
        <w:t xml:space="preserve"> </w:t>
      </w:r>
    </w:p>
  </w:footnote>
  <w:footnote w:id="5">
    <w:p w:rsidR="00156B07" w:rsidRPr="0090665F" w:rsidRDefault="00156B07" w:rsidP="00AA7BD9">
      <w:pPr>
        <w:pStyle w:val="afc"/>
        <w:jc w:val="both"/>
      </w:pPr>
      <w:r>
        <w:rPr>
          <w:rStyle w:val="afe"/>
        </w:rPr>
        <w:footnoteRef/>
      </w:r>
      <w:r>
        <w:t xml:space="preserve"> </w:t>
      </w:r>
      <w:r w:rsidRPr="00095194">
        <w:rPr>
          <w:rFonts w:hint="eastAsia"/>
        </w:rPr>
        <w:t>USCS</w:t>
      </w:r>
      <w:r>
        <w:rPr>
          <w:rFonts w:hint="eastAsia"/>
        </w:rPr>
        <w:t>§</w:t>
      </w:r>
      <w:r w:rsidRPr="00095194">
        <w:rPr>
          <w:rFonts w:hint="eastAsia"/>
        </w:rPr>
        <w:t>3142</w:t>
      </w:r>
      <w:r>
        <w:rPr>
          <w:rFonts w:hint="eastAsia"/>
        </w:rPr>
        <w:t>（f）（1）（A）-(</w:t>
      </w:r>
      <w:r>
        <w:t>E</w:t>
      </w:r>
      <w:r>
        <w:rPr>
          <w:rFonts w:hint="eastAsia"/>
        </w:rPr>
        <w:t>)規定：檢察官得聲請法院羈押審查之案件包括：暴力犯罪、最重本刑1</w:t>
      </w:r>
      <w:r>
        <w:t>0</w:t>
      </w:r>
      <w:r>
        <w:rPr>
          <w:rFonts w:hint="eastAsia"/>
        </w:rPr>
        <w:t>年以上有期徒刑之毒品犯罪及反恐犯罪、最重本刑為死刑或無期徒刑之罪、最重本刑為1</w:t>
      </w:r>
      <w:r>
        <w:t>0</w:t>
      </w:r>
      <w:r>
        <w:rPr>
          <w:rFonts w:hint="eastAsia"/>
        </w:rPr>
        <w:t>年以上有期徒刑之管制物質犯罪、受有上述二項以上罪名之有罪確定之宣告之重罪者、涉及兒童被害人或持有槍枝或毀滅性武器或未依據梅根法案註冊登記之性犯罪者。</w:t>
      </w:r>
    </w:p>
  </w:footnote>
  <w:footnote w:id="6">
    <w:p w:rsidR="00156B07" w:rsidRPr="00E25974" w:rsidRDefault="00156B07" w:rsidP="00242ECF">
      <w:pPr>
        <w:pStyle w:val="afc"/>
      </w:pPr>
      <w:r>
        <w:rPr>
          <w:rStyle w:val="afe"/>
        </w:rPr>
        <w:footnoteRef/>
      </w:r>
      <w:r>
        <w:t xml:space="preserve"> </w:t>
      </w:r>
      <w:r>
        <w:rPr>
          <w:rFonts w:hint="eastAsia"/>
        </w:rPr>
        <w:t>溫祖德，刑事訴訟限制出境之立法論-兼評新增限制出境之規範，政大法學評論第1</w:t>
      </w:r>
      <w:r>
        <w:t>62</w:t>
      </w:r>
      <w:r>
        <w:rPr>
          <w:rFonts w:hint="eastAsia"/>
        </w:rPr>
        <w:t>期，1</w:t>
      </w:r>
      <w:r>
        <w:t>09</w:t>
      </w:r>
      <w:r>
        <w:rPr>
          <w:rFonts w:hint="eastAsia"/>
        </w:rPr>
        <w:t>年5月。</w:t>
      </w:r>
    </w:p>
  </w:footnote>
  <w:footnote w:id="7">
    <w:p w:rsidR="00156B07" w:rsidRPr="00192781" w:rsidRDefault="00156B07" w:rsidP="00DE4E82">
      <w:pPr>
        <w:pStyle w:val="afc"/>
        <w:jc w:val="both"/>
      </w:pPr>
      <w:r>
        <w:rPr>
          <w:rStyle w:val="afe"/>
        </w:rPr>
        <w:footnoteRef/>
      </w:r>
      <w:r>
        <w:t xml:space="preserve"> </w:t>
      </w:r>
      <w:r w:rsidRPr="00095194">
        <w:rPr>
          <w:rFonts w:hint="eastAsia"/>
        </w:rPr>
        <w:t>USCS</w:t>
      </w:r>
      <w:r>
        <w:rPr>
          <w:rFonts w:hint="eastAsia"/>
        </w:rPr>
        <w:t>§</w:t>
      </w:r>
      <w:r w:rsidRPr="00095194">
        <w:rPr>
          <w:rFonts w:hint="eastAsia"/>
        </w:rPr>
        <w:t>3142</w:t>
      </w:r>
      <w:r>
        <w:rPr>
          <w:rFonts w:hint="eastAsia"/>
        </w:rPr>
        <w:t>（a）（2）（c）規定：(</w:t>
      </w:r>
      <w:proofErr w:type="spellStart"/>
      <w:r>
        <w:rPr>
          <w:rFonts w:hint="eastAsia"/>
        </w:rPr>
        <w:t>i</w:t>
      </w:r>
      <w:proofErr w:type="spellEnd"/>
      <w:r>
        <w:rPr>
          <w:rFonts w:hint="eastAsia"/>
        </w:rPr>
        <w:t>)繼續由指定人員羈押，指定人員同意承擔監督並向法院報告任何違反釋放條件的行為，前提是該指定人員能夠合理地向司法官員保證該人（即被告或犯罪嫌疑人）將按要求出庭，並且不會對任何其他人或社區的安全構成危險；(ii) 維持就業，或如果失業，積極尋找就業；(iii) 維持或開始教育計畫；(iv) 遵守個人交往、居住地點或旅行的特定限制；(v) 避免與犯罪嫌疑人以及可能就犯罪行為作證的潛在證人進行一切接觸；(vi) 定期向指定執法機構、審前服務機構或其他機構報告；(vii) 遵守指定的宵禁；(viii) 未持有槍枝、破壞性裝置或其他危險武器；(ix) 未經執業醫師處方，不得過度飲酒，或使用《管制物質法》(21 U.S.C. 802) 第 102 條所定義的麻醉藥品或其他管制物質；(x) 接受現有的醫療、心理或精神治療，包括藥物或酒精依賴治療，並在需要時留在指定機構；(xi) 簽署協議，在未按要求出庭時沒收足夠的未支配價值的財產，包括金錢，這是確保該人（即被告或犯罪嫌疑人）按要求出庭所必需的，並應向法院提供所有權證明和財產的價值以及司法辦公室可能要求的有關現有產權負擔的資訊；(xii) 與有償付能力的擔保人簽訂保釋金；簽署協議，沒收保證該人（即被告或犯罪嫌疑人）按要求出庭合理所需的金額，並應向法院提供有關擔保人的資產和負債的價值的信息（如果不是經批准的擔保人）以及擔保人的性質和性質擔保人財產負擔的程度； 該擔保人的淨資產應具有足夠的未支配價值來支付保釋金；(xiii) 因就業、上學或其他有限目的獲釋後在指定時間內返回羈押； (xiv) 滿足任何為了確保人員按要求出現並確保任何其他人和社區的安全而合理必要的其他條件。</w:t>
      </w:r>
    </w:p>
  </w:footnote>
  <w:footnote w:id="8">
    <w:p w:rsidR="00156B07" w:rsidRDefault="00156B07" w:rsidP="00DE4E82">
      <w:pPr>
        <w:pStyle w:val="afc"/>
        <w:jc w:val="both"/>
      </w:pPr>
      <w:r>
        <w:rPr>
          <w:rStyle w:val="afe"/>
        </w:rPr>
        <w:footnoteRef/>
      </w:r>
      <w:r>
        <w:t xml:space="preserve"> </w:t>
      </w:r>
      <w:r>
        <w:rPr>
          <w:rFonts w:hint="eastAsia"/>
        </w:rPr>
        <w:t>刑事訴訟法第1</w:t>
      </w:r>
      <w:r>
        <w:t>16</w:t>
      </w:r>
      <w:r>
        <w:rPr>
          <w:rFonts w:hint="eastAsia"/>
        </w:rPr>
        <w:t>條之2：「（第1項）法院許可停止羈押時，經審酌人權保障及公共利益之均衡維護，認有必要者，得定相當期間，命被告應遵守下列事項：一、定期向法院、檢察官或指定之機關報到。二、不得對被害人、證人、鑑定人、辦理本案偵查、審判之公務員或其配偶、直系血親、三親等內之旁系血親、二親等內之姻親、家長、家屬之身體或財產實施危害、恐嚇、騷擾、接觸、跟蹤之行為。三、因第1</w:t>
      </w:r>
      <w:r>
        <w:t>14</w:t>
      </w:r>
      <w:r>
        <w:rPr>
          <w:rFonts w:hint="eastAsia"/>
        </w:rPr>
        <w:t>條第3款之情形停止羈押者，除維持日常生活及職業所必需者外，未經法院或檢察官許可，不得從事與治療目的顯然無關之活動。</w:t>
      </w:r>
    </w:p>
    <w:p w:rsidR="00156B07" w:rsidRPr="00714DC3" w:rsidRDefault="00156B07" w:rsidP="00DE4E82">
      <w:pPr>
        <w:pStyle w:val="afc"/>
        <w:jc w:val="both"/>
      </w:pPr>
      <w:r>
        <w:rPr>
          <w:rFonts w:hint="eastAsia"/>
        </w:rPr>
        <w:t>四、接受適當之科技設備監控。五、未經法院或檢察官許可，不得離開住、居所或一定區域。六、交付護照、旅行文件；法院亦得通知主管機關不予核發護照、旅行文件。七、未經法院或檢察官許可，不得就特定財產為一定之處分。八、其他經法院認為適當之事項。（第2項）前項各款規定，得依聲請或依職權變更、延長或撤銷之。（第3項）法院於審判中許可停止羈押者，得命被告於宣判期日到庭。（第4項）違背法院依第1項或第3項所定應遵守之事項者，得逕行拘提。（第5項）第1項第4款科技設備監控之實施機關（構）、人員、方式及程序等事項之執行辦法，由司法院會同行政院定之。」</w:t>
      </w:r>
      <w:r>
        <w:br/>
      </w:r>
      <w:r>
        <w:rPr>
          <w:rFonts w:hint="eastAsia"/>
        </w:rPr>
        <w:t>第1</w:t>
      </w:r>
      <w:r>
        <w:t>17</w:t>
      </w:r>
      <w:r>
        <w:rPr>
          <w:rFonts w:hint="eastAsia"/>
        </w:rPr>
        <w:t>條之1第1項：「前二條之規定，於檢察官依第9</w:t>
      </w:r>
      <w:r>
        <w:t>3</w:t>
      </w:r>
      <w:r>
        <w:rPr>
          <w:rFonts w:hint="eastAsia"/>
        </w:rPr>
        <w:t>條第3項但書或第2</w:t>
      </w:r>
      <w:r>
        <w:t>28</w:t>
      </w:r>
      <w:r>
        <w:rPr>
          <w:rFonts w:hint="eastAsia"/>
        </w:rPr>
        <w:t>條第3項逕命具保、責付、限制住居，或法院依第一百零一條之二逕命具保、責付、限制住居之情形，準用之。」</w:t>
      </w:r>
    </w:p>
  </w:footnote>
  <w:footnote w:id="9">
    <w:p w:rsidR="00156B07" w:rsidRPr="00941116" w:rsidRDefault="00156B07" w:rsidP="00DE4E82">
      <w:pPr>
        <w:pStyle w:val="afc"/>
        <w:jc w:val="both"/>
      </w:pPr>
      <w:r>
        <w:rPr>
          <w:rStyle w:val="afe"/>
        </w:rPr>
        <w:footnoteRef/>
      </w:r>
      <w:r w:rsidRPr="00941116">
        <w:rPr>
          <w:rFonts w:hint="eastAsia"/>
        </w:rPr>
        <w:t>執行辦法第4條規定：「法院或檢察官定相當期間命被告接受科技設備監控，或變更、延長或撤銷時，宜確實審酌原羈押、聲請羈押或替代羈押之目的、科技設備監控之性質、功能及效果、所涉犯罪之刑度、案件情節、訴訟進行之程度、被告之生活狀況、對被告之影響、有無較輕微之替代措施等情狀，依比例原則妥適定之（第1項）。前項所稱審酌科技設備監控之性質、功能及效果，係指如為具保、責付、限制住居等羈押替代處分並命被告接受科技設備監控，能否顯著降低被告逃亡或湮滅、偽造、變造證據或勾串共犯、證人之風險，或達其他原羈押、聲請羈押或替代羈押之目的（第2項）。」第12條規定：「受監控人於受科技設備監控期間，遇有危及生命、身體安全或其他特殊緊急狀態，致未遵守第10條應遵守事項者，應於該狀態發生後，迅即以電話或其他適當方式通知法院或檢察署，並於</w:t>
      </w:r>
      <w:r>
        <w:t>3</w:t>
      </w:r>
      <w:r w:rsidRPr="00941116">
        <w:rPr>
          <w:rFonts w:hint="eastAsia"/>
        </w:rPr>
        <w:t>日內以書面陳報證明文件。」</w:t>
      </w:r>
    </w:p>
  </w:footnote>
  <w:footnote w:id="10">
    <w:p w:rsidR="00156B07" w:rsidRDefault="00156B07" w:rsidP="00242ECF">
      <w:pPr>
        <w:pStyle w:val="afc"/>
      </w:pPr>
      <w:r>
        <w:rPr>
          <w:rStyle w:val="afe"/>
        </w:rPr>
        <w:footnoteRef/>
      </w:r>
      <w:r>
        <w:t xml:space="preserve"> </w:t>
      </w:r>
      <w:r>
        <w:rPr>
          <w:rFonts w:hint="eastAsia"/>
        </w:rPr>
        <w:t>張麗卿，科技設備（電子）監控的功能與探討，收錄於施茂林教授七秩華誕祝壽論文集（下冊），2</w:t>
      </w:r>
      <w:r>
        <w:t>020</w:t>
      </w:r>
      <w:r>
        <w:rPr>
          <w:rFonts w:hint="eastAsia"/>
        </w:rPr>
        <w:t>年7月，第5</w:t>
      </w:r>
      <w:r>
        <w:t>9-86</w:t>
      </w:r>
      <w:r>
        <w:rPr>
          <w:rFonts w:hint="eastAsia"/>
        </w:rPr>
        <w:t>頁。</w:t>
      </w:r>
    </w:p>
  </w:footnote>
  <w:footnote w:id="11">
    <w:p w:rsidR="00156B07" w:rsidRPr="00FE33D3" w:rsidRDefault="00156B07" w:rsidP="00242ECF">
      <w:pPr>
        <w:pStyle w:val="afc"/>
      </w:pPr>
      <w:r>
        <w:rPr>
          <w:rStyle w:val="afe"/>
        </w:rPr>
        <w:footnoteRef/>
      </w:r>
      <w:r>
        <w:t xml:space="preserve"> </w:t>
      </w:r>
      <w:r>
        <w:rPr>
          <w:rFonts w:hint="eastAsia"/>
        </w:rPr>
        <w:t>鏡週刊M</w:t>
      </w:r>
      <w:r>
        <w:t>irror Media</w:t>
      </w:r>
      <w:r>
        <w:rPr>
          <w:rFonts w:hint="eastAsia"/>
        </w:rPr>
        <w:t>，2</w:t>
      </w:r>
      <w:r>
        <w:t>4</w:t>
      </w:r>
      <w:r>
        <w:rPr>
          <w:rFonts w:hint="eastAsia"/>
        </w:rPr>
        <w:t>小時科技防逃網來了！科技設備科控中心今揭牌，2</w:t>
      </w:r>
      <w:r>
        <w:t>022</w:t>
      </w:r>
      <w:r>
        <w:rPr>
          <w:rFonts w:hint="eastAsia"/>
        </w:rPr>
        <w:t>年1月1</w:t>
      </w:r>
      <w:r>
        <w:t>2</w:t>
      </w:r>
      <w:r>
        <w:rPr>
          <w:rFonts w:hint="eastAsia"/>
        </w:rPr>
        <w:t>日。</w:t>
      </w:r>
    </w:p>
  </w:footnote>
  <w:footnote w:id="12">
    <w:p w:rsidR="00156B07" w:rsidRDefault="00156B07" w:rsidP="00242ECF">
      <w:pPr>
        <w:pStyle w:val="afc"/>
      </w:pPr>
      <w:r>
        <w:rPr>
          <w:rStyle w:val="afe"/>
        </w:rPr>
        <w:footnoteRef/>
      </w:r>
      <w:r>
        <w:rPr>
          <w:rFonts w:hint="eastAsia"/>
        </w:rPr>
        <w:t>鄧巧羚、黃致中、周加宗、曹增晧，科技設備監控制度與科技偵查法之韓國考察，法務部1</w:t>
      </w:r>
      <w:r>
        <w:t>08</w:t>
      </w:r>
      <w:r>
        <w:rPr>
          <w:rFonts w:hint="eastAsia"/>
        </w:rPr>
        <w:t>年出國考察報告。</w:t>
      </w:r>
    </w:p>
  </w:footnote>
  <w:footnote w:id="13">
    <w:p w:rsidR="00156B07" w:rsidRDefault="00156B07" w:rsidP="00242ECF">
      <w:pPr>
        <w:pStyle w:val="afc"/>
      </w:pPr>
      <w:r>
        <w:rPr>
          <w:rStyle w:val="afe"/>
        </w:rPr>
        <w:footnoteRef/>
      </w:r>
      <w:r>
        <w:rPr>
          <w:rFonts w:hint="eastAsia"/>
        </w:rPr>
        <w:t>監察院</w:t>
      </w:r>
      <w:r w:rsidRPr="00FD4AC6">
        <w:rPr>
          <w:rFonts w:hint="eastAsia"/>
        </w:rPr>
        <w:t>110司調22</w:t>
      </w:r>
      <w:r>
        <w:rPr>
          <w:rFonts w:hint="eastAsia"/>
        </w:rPr>
        <w:t>調查報告</w:t>
      </w:r>
      <w:r w:rsidRPr="002B275E">
        <w:rPr>
          <w:rFonts w:hint="eastAsia"/>
        </w:rPr>
        <w:t>。</w:t>
      </w:r>
    </w:p>
  </w:footnote>
  <w:footnote w:id="14">
    <w:p w:rsidR="00156B07" w:rsidRDefault="00156B07" w:rsidP="00242ECF">
      <w:pPr>
        <w:pStyle w:val="afc"/>
      </w:pPr>
      <w:r>
        <w:rPr>
          <w:rStyle w:val="afe"/>
        </w:rPr>
        <w:footnoteRef/>
      </w:r>
      <w:r>
        <w:t xml:space="preserve"> </w:t>
      </w:r>
      <w:r>
        <w:rPr>
          <w:rFonts w:hint="eastAsia"/>
        </w:rPr>
        <w:t>劉責峰教授本院諮詢會議書面意見</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7385D"/>
    <w:multiLevelType w:val="hybridMultilevel"/>
    <w:tmpl w:val="5E7E646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140E010C"/>
    <w:multiLevelType w:val="multilevel"/>
    <w:tmpl w:val="A5ECE4E6"/>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964"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36A5149B"/>
    <w:multiLevelType w:val="hybridMultilevel"/>
    <w:tmpl w:val="E7A43F8E"/>
    <w:lvl w:ilvl="0" w:tplc="7F1CEE1E">
      <w:start w:val="1"/>
      <w:numFmt w:val="taiwaneseCountingThousand"/>
      <w:lvlText w:val="(%1)"/>
      <w:lvlJc w:val="left"/>
      <w:pPr>
        <w:ind w:left="1365" w:hanging="720"/>
      </w:pPr>
      <w:rPr>
        <w:rFonts w:hint="default"/>
      </w:rPr>
    </w:lvl>
    <w:lvl w:ilvl="1" w:tplc="04090019" w:tentative="1">
      <w:start w:val="1"/>
      <w:numFmt w:val="ideographTraditional"/>
      <w:lvlText w:val="%2、"/>
      <w:lvlJc w:val="left"/>
      <w:pPr>
        <w:ind w:left="1605" w:hanging="480"/>
      </w:pPr>
    </w:lvl>
    <w:lvl w:ilvl="2" w:tplc="0409001B" w:tentative="1">
      <w:start w:val="1"/>
      <w:numFmt w:val="lowerRoman"/>
      <w:lvlText w:val="%3."/>
      <w:lvlJc w:val="right"/>
      <w:pPr>
        <w:ind w:left="2085" w:hanging="480"/>
      </w:pPr>
    </w:lvl>
    <w:lvl w:ilvl="3" w:tplc="0409000F" w:tentative="1">
      <w:start w:val="1"/>
      <w:numFmt w:val="decimal"/>
      <w:lvlText w:val="%4."/>
      <w:lvlJc w:val="left"/>
      <w:pPr>
        <w:ind w:left="2565" w:hanging="480"/>
      </w:pPr>
    </w:lvl>
    <w:lvl w:ilvl="4" w:tplc="04090019" w:tentative="1">
      <w:start w:val="1"/>
      <w:numFmt w:val="ideographTraditional"/>
      <w:lvlText w:val="%5、"/>
      <w:lvlJc w:val="left"/>
      <w:pPr>
        <w:ind w:left="3045" w:hanging="480"/>
      </w:pPr>
    </w:lvl>
    <w:lvl w:ilvl="5" w:tplc="0409001B" w:tentative="1">
      <w:start w:val="1"/>
      <w:numFmt w:val="lowerRoman"/>
      <w:lvlText w:val="%6."/>
      <w:lvlJc w:val="right"/>
      <w:pPr>
        <w:ind w:left="3525" w:hanging="480"/>
      </w:pPr>
    </w:lvl>
    <w:lvl w:ilvl="6" w:tplc="0409000F" w:tentative="1">
      <w:start w:val="1"/>
      <w:numFmt w:val="decimal"/>
      <w:lvlText w:val="%7."/>
      <w:lvlJc w:val="left"/>
      <w:pPr>
        <w:ind w:left="4005" w:hanging="480"/>
      </w:pPr>
    </w:lvl>
    <w:lvl w:ilvl="7" w:tplc="04090019" w:tentative="1">
      <w:start w:val="1"/>
      <w:numFmt w:val="ideographTraditional"/>
      <w:lvlText w:val="%8、"/>
      <w:lvlJc w:val="left"/>
      <w:pPr>
        <w:ind w:left="4485" w:hanging="480"/>
      </w:pPr>
    </w:lvl>
    <w:lvl w:ilvl="8" w:tplc="0409001B" w:tentative="1">
      <w:start w:val="1"/>
      <w:numFmt w:val="lowerRoman"/>
      <w:lvlText w:val="%9."/>
      <w:lvlJc w:val="right"/>
      <w:pPr>
        <w:ind w:left="4965" w:hanging="480"/>
      </w:pPr>
    </w:lvl>
  </w:abstractNum>
  <w:abstractNum w:abstractNumId="5"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6" w15:restartNumberingAfterBreak="0">
    <w:nsid w:val="3BA856FE"/>
    <w:multiLevelType w:val="hybridMultilevel"/>
    <w:tmpl w:val="D938EE36"/>
    <w:lvl w:ilvl="0" w:tplc="9E104588">
      <w:start w:val="1"/>
      <w:numFmt w:val="decimal"/>
      <w:lvlText w:val="%1."/>
      <w:lvlJc w:val="left"/>
      <w:pPr>
        <w:ind w:left="1725" w:hanging="360"/>
      </w:pPr>
      <w:rPr>
        <w:rFonts w:hint="default"/>
      </w:rPr>
    </w:lvl>
    <w:lvl w:ilvl="1" w:tplc="04090019" w:tentative="1">
      <w:start w:val="1"/>
      <w:numFmt w:val="ideographTraditional"/>
      <w:lvlText w:val="%2、"/>
      <w:lvlJc w:val="left"/>
      <w:pPr>
        <w:ind w:left="2325" w:hanging="480"/>
      </w:pPr>
    </w:lvl>
    <w:lvl w:ilvl="2" w:tplc="0409001B" w:tentative="1">
      <w:start w:val="1"/>
      <w:numFmt w:val="lowerRoman"/>
      <w:lvlText w:val="%3."/>
      <w:lvlJc w:val="right"/>
      <w:pPr>
        <w:ind w:left="2805" w:hanging="480"/>
      </w:pPr>
    </w:lvl>
    <w:lvl w:ilvl="3" w:tplc="0409000F" w:tentative="1">
      <w:start w:val="1"/>
      <w:numFmt w:val="decimal"/>
      <w:lvlText w:val="%4."/>
      <w:lvlJc w:val="left"/>
      <w:pPr>
        <w:ind w:left="3285" w:hanging="480"/>
      </w:pPr>
    </w:lvl>
    <w:lvl w:ilvl="4" w:tplc="04090019" w:tentative="1">
      <w:start w:val="1"/>
      <w:numFmt w:val="ideographTraditional"/>
      <w:lvlText w:val="%5、"/>
      <w:lvlJc w:val="left"/>
      <w:pPr>
        <w:ind w:left="3765" w:hanging="480"/>
      </w:pPr>
    </w:lvl>
    <w:lvl w:ilvl="5" w:tplc="0409001B" w:tentative="1">
      <w:start w:val="1"/>
      <w:numFmt w:val="lowerRoman"/>
      <w:lvlText w:val="%6."/>
      <w:lvlJc w:val="right"/>
      <w:pPr>
        <w:ind w:left="4245" w:hanging="480"/>
      </w:pPr>
    </w:lvl>
    <w:lvl w:ilvl="6" w:tplc="0409000F" w:tentative="1">
      <w:start w:val="1"/>
      <w:numFmt w:val="decimal"/>
      <w:lvlText w:val="%7."/>
      <w:lvlJc w:val="left"/>
      <w:pPr>
        <w:ind w:left="4725" w:hanging="480"/>
      </w:pPr>
    </w:lvl>
    <w:lvl w:ilvl="7" w:tplc="04090019" w:tentative="1">
      <w:start w:val="1"/>
      <w:numFmt w:val="ideographTraditional"/>
      <w:lvlText w:val="%8、"/>
      <w:lvlJc w:val="left"/>
      <w:pPr>
        <w:ind w:left="5205" w:hanging="480"/>
      </w:pPr>
    </w:lvl>
    <w:lvl w:ilvl="8" w:tplc="0409001B" w:tentative="1">
      <w:start w:val="1"/>
      <w:numFmt w:val="lowerRoman"/>
      <w:lvlText w:val="%9."/>
      <w:lvlJc w:val="right"/>
      <w:pPr>
        <w:ind w:left="5685" w:hanging="480"/>
      </w:pPr>
    </w:lvl>
  </w:abstractNum>
  <w:abstractNum w:abstractNumId="7"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59990848"/>
    <w:multiLevelType w:val="hybridMultilevel"/>
    <w:tmpl w:val="BC8A9DCE"/>
    <w:lvl w:ilvl="0" w:tplc="692AE2CE">
      <w:start w:val="1"/>
      <w:numFmt w:val="taiwaneseCountingThousand"/>
      <w:lvlText w:val="(%1)"/>
      <w:lvlJc w:val="left"/>
      <w:pPr>
        <w:ind w:left="1001"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3"/>
  </w:num>
  <w:num w:numId="3">
    <w:abstractNumId w:val="1"/>
  </w:num>
  <w:num w:numId="4">
    <w:abstractNumId w:val="2"/>
  </w:num>
  <w:num w:numId="5">
    <w:abstractNumId w:val="2"/>
  </w:num>
  <w:num w:numId="6">
    <w:abstractNumId w:val="2"/>
  </w:num>
  <w:num w:numId="7">
    <w:abstractNumId w:val="2"/>
  </w:num>
  <w:num w:numId="8">
    <w:abstractNumId w:val="2"/>
  </w:num>
  <w:num w:numId="9">
    <w:abstractNumId w:val="2"/>
  </w:num>
  <w:num w:numId="10">
    <w:abstractNumId w:val="2"/>
  </w:num>
  <w:num w:numId="11">
    <w:abstractNumId w:val="2"/>
  </w:num>
  <w:num w:numId="12">
    <w:abstractNumId w:val="2"/>
  </w:num>
  <w:num w:numId="13">
    <w:abstractNumId w:val="2"/>
  </w:num>
  <w:num w:numId="14">
    <w:abstractNumId w:val="2"/>
  </w:num>
  <w:num w:numId="15">
    <w:abstractNumId w:val="2"/>
  </w:num>
  <w:num w:numId="16">
    <w:abstractNumId w:val="2"/>
  </w:num>
  <w:num w:numId="17">
    <w:abstractNumId w:val="2"/>
  </w:num>
  <w:num w:numId="18">
    <w:abstractNumId w:val="3"/>
  </w:num>
  <w:num w:numId="19">
    <w:abstractNumId w:val="3"/>
    <w:lvlOverride w:ilvl="0">
      <w:startOverride w:val="1"/>
    </w:lvlOverride>
  </w:num>
  <w:num w:numId="20">
    <w:abstractNumId w:val="2"/>
  </w:num>
  <w:num w:numId="21">
    <w:abstractNumId w:val="3"/>
  </w:num>
  <w:num w:numId="22">
    <w:abstractNumId w:val="9"/>
  </w:num>
  <w:num w:numId="23">
    <w:abstractNumId w:val="7"/>
  </w:num>
  <w:num w:numId="24">
    <w:abstractNumId w:val="10"/>
  </w:num>
  <w:num w:numId="25">
    <w:abstractNumId w:val="2"/>
  </w:num>
  <w:num w:numId="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
  </w:num>
  <w:num w:numId="28">
    <w:abstractNumId w:val="11"/>
  </w:num>
  <w:num w:numId="29">
    <w:abstractNumId w:val="11"/>
  </w:num>
  <w:num w:numId="30">
    <w:abstractNumId w:val="8"/>
  </w:num>
  <w:num w:numId="31">
    <w:abstractNumId w:val="8"/>
  </w:num>
  <w:num w:numId="32">
    <w:abstractNumId w:val="2"/>
  </w:num>
  <w:num w:numId="3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
  </w:num>
  <w:num w:numId="35">
    <w:abstractNumId w:val="0"/>
  </w:num>
  <w:num w:numId="36">
    <w:abstractNumId w:val="9"/>
  </w:num>
  <w:num w:numId="37">
    <w:abstractNumId w:val="9"/>
  </w:num>
  <w:num w:numId="3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
  </w:num>
  <w:num w:numId="41">
    <w:abstractNumId w:val="12"/>
  </w:num>
  <w:num w:numId="42">
    <w:abstractNumId w:val="4"/>
  </w:num>
  <w:num w:numId="43">
    <w:abstractNumId w:val="6"/>
  </w:num>
  <w:num w:numId="4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
  </w:num>
  <w:num w:numId="46">
    <w:abstractNumId w:val="2"/>
  </w:num>
  <w:num w:numId="47">
    <w:abstractNumId w:val="9"/>
    <w:lvlOverride w:ilvl="0">
      <w:startOverride w:val="1"/>
    </w:lvlOverride>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isplayBackgroundShape/>
  <w:mirrorMargins/>
  <w:bordersDoNotSurroundHeader/>
  <w:bordersDoNotSurroundFooter/>
  <w:proofState w:spelling="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6961"/>
    <w:rsid w:val="000112BF"/>
    <w:rsid w:val="00012233"/>
    <w:rsid w:val="00013270"/>
    <w:rsid w:val="00015711"/>
    <w:rsid w:val="00017318"/>
    <w:rsid w:val="00021345"/>
    <w:rsid w:val="000229AD"/>
    <w:rsid w:val="000246F7"/>
    <w:rsid w:val="0003114D"/>
    <w:rsid w:val="00036D76"/>
    <w:rsid w:val="00057F32"/>
    <w:rsid w:val="00062A25"/>
    <w:rsid w:val="00067019"/>
    <w:rsid w:val="00067852"/>
    <w:rsid w:val="00073CB5"/>
    <w:rsid w:val="0007425C"/>
    <w:rsid w:val="00077553"/>
    <w:rsid w:val="000851A2"/>
    <w:rsid w:val="0009352E"/>
    <w:rsid w:val="00096B96"/>
    <w:rsid w:val="000A2799"/>
    <w:rsid w:val="000A2F3F"/>
    <w:rsid w:val="000A6335"/>
    <w:rsid w:val="000B0B4A"/>
    <w:rsid w:val="000B279A"/>
    <w:rsid w:val="000B43E4"/>
    <w:rsid w:val="000B61D2"/>
    <w:rsid w:val="000B70A7"/>
    <w:rsid w:val="000B73DD"/>
    <w:rsid w:val="000C495F"/>
    <w:rsid w:val="000C5FEC"/>
    <w:rsid w:val="000D080F"/>
    <w:rsid w:val="000D66D9"/>
    <w:rsid w:val="000D6EA4"/>
    <w:rsid w:val="000E1AF0"/>
    <w:rsid w:val="000E2DBF"/>
    <w:rsid w:val="000E6431"/>
    <w:rsid w:val="000F07CE"/>
    <w:rsid w:val="000F21A5"/>
    <w:rsid w:val="00102B9F"/>
    <w:rsid w:val="00112637"/>
    <w:rsid w:val="00112ABC"/>
    <w:rsid w:val="0012001E"/>
    <w:rsid w:val="00126A55"/>
    <w:rsid w:val="00126F20"/>
    <w:rsid w:val="00133F08"/>
    <w:rsid w:val="001345E6"/>
    <w:rsid w:val="001378B0"/>
    <w:rsid w:val="00142E00"/>
    <w:rsid w:val="00152793"/>
    <w:rsid w:val="00153B7E"/>
    <w:rsid w:val="001545A9"/>
    <w:rsid w:val="00156B07"/>
    <w:rsid w:val="00160127"/>
    <w:rsid w:val="00162287"/>
    <w:rsid w:val="001637C7"/>
    <w:rsid w:val="0016480E"/>
    <w:rsid w:val="00171F66"/>
    <w:rsid w:val="00174297"/>
    <w:rsid w:val="00180E06"/>
    <w:rsid w:val="00181149"/>
    <w:rsid w:val="001817B3"/>
    <w:rsid w:val="00183014"/>
    <w:rsid w:val="001959C2"/>
    <w:rsid w:val="001A40B8"/>
    <w:rsid w:val="001A4E97"/>
    <w:rsid w:val="001A51E3"/>
    <w:rsid w:val="001A7968"/>
    <w:rsid w:val="001B02A1"/>
    <w:rsid w:val="001B2E98"/>
    <w:rsid w:val="001B3483"/>
    <w:rsid w:val="001B3C1E"/>
    <w:rsid w:val="001B4494"/>
    <w:rsid w:val="001C0D8B"/>
    <w:rsid w:val="001C0DA8"/>
    <w:rsid w:val="001C3C02"/>
    <w:rsid w:val="001C5AEF"/>
    <w:rsid w:val="001D4AD7"/>
    <w:rsid w:val="001E0D8A"/>
    <w:rsid w:val="001E67BA"/>
    <w:rsid w:val="001E74C2"/>
    <w:rsid w:val="001F30B6"/>
    <w:rsid w:val="001F4F82"/>
    <w:rsid w:val="001F5A48"/>
    <w:rsid w:val="001F6260"/>
    <w:rsid w:val="00200007"/>
    <w:rsid w:val="002030A5"/>
    <w:rsid w:val="00203131"/>
    <w:rsid w:val="00207C7C"/>
    <w:rsid w:val="00212E88"/>
    <w:rsid w:val="00213C9C"/>
    <w:rsid w:val="0022009E"/>
    <w:rsid w:val="00220160"/>
    <w:rsid w:val="00223241"/>
    <w:rsid w:val="0022425C"/>
    <w:rsid w:val="002246DE"/>
    <w:rsid w:val="00236CA6"/>
    <w:rsid w:val="002429E2"/>
    <w:rsid w:val="00242ECF"/>
    <w:rsid w:val="00244573"/>
    <w:rsid w:val="00251EFC"/>
    <w:rsid w:val="00252BC4"/>
    <w:rsid w:val="00254014"/>
    <w:rsid w:val="00254B39"/>
    <w:rsid w:val="0026504D"/>
    <w:rsid w:val="00272461"/>
    <w:rsid w:val="00273A2F"/>
    <w:rsid w:val="00280986"/>
    <w:rsid w:val="00281ECE"/>
    <w:rsid w:val="002831C7"/>
    <w:rsid w:val="002840C6"/>
    <w:rsid w:val="002870D7"/>
    <w:rsid w:val="00291867"/>
    <w:rsid w:val="00292785"/>
    <w:rsid w:val="00295174"/>
    <w:rsid w:val="00296172"/>
    <w:rsid w:val="00296B92"/>
    <w:rsid w:val="002A0886"/>
    <w:rsid w:val="002A2C22"/>
    <w:rsid w:val="002B02EB"/>
    <w:rsid w:val="002C0602"/>
    <w:rsid w:val="002C5761"/>
    <w:rsid w:val="002D5C16"/>
    <w:rsid w:val="002E7AD5"/>
    <w:rsid w:val="002E7BF6"/>
    <w:rsid w:val="002F1E0F"/>
    <w:rsid w:val="002F2476"/>
    <w:rsid w:val="002F328B"/>
    <w:rsid w:val="002F3DFF"/>
    <w:rsid w:val="002F5E05"/>
    <w:rsid w:val="002F640A"/>
    <w:rsid w:val="003024F3"/>
    <w:rsid w:val="00307A76"/>
    <w:rsid w:val="0031455E"/>
    <w:rsid w:val="00315A16"/>
    <w:rsid w:val="00317053"/>
    <w:rsid w:val="0032109C"/>
    <w:rsid w:val="00322B45"/>
    <w:rsid w:val="00323809"/>
    <w:rsid w:val="00323D41"/>
    <w:rsid w:val="00325414"/>
    <w:rsid w:val="003302F1"/>
    <w:rsid w:val="00337469"/>
    <w:rsid w:val="00337C45"/>
    <w:rsid w:val="0034470E"/>
    <w:rsid w:val="00352DB0"/>
    <w:rsid w:val="00361063"/>
    <w:rsid w:val="003703D2"/>
    <w:rsid w:val="0037094A"/>
    <w:rsid w:val="00371ED3"/>
    <w:rsid w:val="00372659"/>
    <w:rsid w:val="00372FFC"/>
    <w:rsid w:val="0037450D"/>
    <w:rsid w:val="0037728A"/>
    <w:rsid w:val="00380B7D"/>
    <w:rsid w:val="00381A99"/>
    <w:rsid w:val="003829C2"/>
    <w:rsid w:val="003830B2"/>
    <w:rsid w:val="00384724"/>
    <w:rsid w:val="00386FA7"/>
    <w:rsid w:val="00387FDA"/>
    <w:rsid w:val="003919B7"/>
    <w:rsid w:val="00391D57"/>
    <w:rsid w:val="00392292"/>
    <w:rsid w:val="00394F45"/>
    <w:rsid w:val="003A07FD"/>
    <w:rsid w:val="003A5927"/>
    <w:rsid w:val="003B1017"/>
    <w:rsid w:val="003B3C07"/>
    <w:rsid w:val="003B6081"/>
    <w:rsid w:val="003B6775"/>
    <w:rsid w:val="003C25E2"/>
    <w:rsid w:val="003C5FE2"/>
    <w:rsid w:val="003D05FB"/>
    <w:rsid w:val="003D1B16"/>
    <w:rsid w:val="003D45BF"/>
    <w:rsid w:val="003D508A"/>
    <w:rsid w:val="003D537F"/>
    <w:rsid w:val="003D7B75"/>
    <w:rsid w:val="003E0208"/>
    <w:rsid w:val="003E1958"/>
    <w:rsid w:val="003E4B57"/>
    <w:rsid w:val="003E5DBD"/>
    <w:rsid w:val="003F27E1"/>
    <w:rsid w:val="003F3296"/>
    <w:rsid w:val="003F437A"/>
    <w:rsid w:val="003F5C2B"/>
    <w:rsid w:val="003F7C28"/>
    <w:rsid w:val="00402240"/>
    <w:rsid w:val="004023E9"/>
    <w:rsid w:val="0040454A"/>
    <w:rsid w:val="00413F83"/>
    <w:rsid w:val="0041490C"/>
    <w:rsid w:val="00416191"/>
    <w:rsid w:val="00416721"/>
    <w:rsid w:val="00421EF0"/>
    <w:rsid w:val="004224FA"/>
    <w:rsid w:val="00423D07"/>
    <w:rsid w:val="004245C5"/>
    <w:rsid w:val="00425581"/>
    <w:rsid w:val="00427936"/>
    <w:rsid w:val="00430E81"/>
    <w:rsid w:val="004337A3"/>
    <w:rsid w:val="004408EA"/>
    <w:rsid w:val="0044346F"/>
    <w:rsid w:val="004466EF"/>
    <w:rsid w:val="004472C9"/>
    <w:rsid w:val="00453FF6"/>
    <w:rsid w:val="0046520A"/>
    <w:rsid w:val="004671C7"/>
    <w:rsid w:val="004672AB"/>
    <w:rsid w:val="004714FE"/>
    <w:rsid w:val="00477BAA"/>
    <w:rsid w:val="004803BE"/>
    <w:rsid w:val="00495053"/>
    <w:rsid w:val="004A0DD2"/>
    <w:rsid w:val="004A1BC1"/>
    <w:rsid w:val="004A1F59"/>
    <w:rsid w:val="004A29BE"/>
    <w:rsid w:val="004A3225"/>
    <w:rsid w:val="004A33EE"/>
    <w:rsid w:val="004A3AA8"/>
    <w:rsid w:val="004B104C"/>
    <w:rsid w:val="004B13C7"/>
    <w:rsid w:val="004B778F"/>
    <w:rsid w:val="004C0609"/>
    <w:rsid w:val="004C639F"/>
    <w:rsid w:val="004C7D0F"/>
    <w:rsid w:val="004D141F"/>
    <w:rsid w:val="004D2742"/>
    <w:rsid w:val="004D5564"/>
    <w:rsid w:val="004D6310"/>
    <w:rsid w:val="004D7EDD"/>
    <w:rsid w:val="004E0062"/>
    <w:rsid w:val="004E05A1"/>
    <w:rsid w:val="004E7F21"/>
    <w:rsid w:val="004F472A"/>
    <w:rsid w:val="004F5E57"/>
    <w:rsid w:val="004F6710"/>
    <w:rsid w:val="00500C3E"/>
    <w:rsid w:val="005022E4"/>
    <w:rsid w:val="00502610"/>
    <w:rsid w:val="00502849"/>
    <w:rsid w:val="00504334"/>
    <w:rsid w:val="0050498D"/>
    <w:rsid w:val="00507DE0"/>
    <w:rsid w:val="005104D7"/>
    <w:rsid w:val="00510B9E"/>
    <w:rsid w:val="00516ED8"/>
    <w:rsid w:val="00524C43"/>
    <w:rsid w:val="00526A70"/>
    <w:rsid w:val="00536BC2"/>
    <w:rsid w:val="005425E1"/>
    <w:rsid w:val="005427C5"/>
    <w:rsid w:val="00542CF6"/>
    <w:rsid w:val="0054421D"/>
    <w:rsid w:val="00550D5D"/>
    <w:rsid w:val="00553C03"/>
    <w:rsid w:val="005548E7"/>
    <w:rsid w:val="00560DDA"/>
    <w:rsid w:val="005629C8"/>
    <w:rsid w:val="00563692"/>
    <w:rsid w:val="00571679"/>
    <w:rsid w:val="00572794"/>
    <w:rsid w:val="00584235"/>
    <w:rsid w:val="005844E7"/>
    <w:rsid w:val="005908B8"/>
    <w:rsid w:val="0059512E"/>
    <w:rsid w:val="00595591"/>
    <w:rsid w:val="005A6DD2"/>
    <w:rsid w:val="005B159A"/>
    <w:rsid w:val="005C385D"/>
    <w:rsid w:val="005C53F9"/>
    <w:rsid w:val="005C7054"/>
    <w:rsid w:val="005D3B20"/>
    <w:rsid w:val="005D71B7"/>
    <w:rsid w:val="005E4759"/>
    <w:rsid w:val="005E5C68"/>
    <w:rsid w:val="005E65C0"/>
    <w:rsid w:val="005F0390"/>
    <w:rsid w:val="005F6178"/>
    <w:rsid w:val="006072CD"/>
    <w:rsid w:val="00612023"/>
    <w:rsid w:val="00614190"/>
    <w:rsid w:val="00616C17"/>
    <w:rsid w:val="00622A99"/>
    <w:rsid w:val="00622E67"/>
    <w:rsid w:val="00624C6F"/>
    <w:rsid w:val="00626B57"/>
    <w:rsid w:val="00626EDC"/>
    <w:rsid w:val="0063095B"/>
    <w:rsid w:val="006316D2"/>
    <w:rsid w:val="006335CC"/>
    <w:rsid w:val="0063723F"/>
    <w:rsid w:val="00643B35"/>
    <w:rsid w:val="006452D3"/>
    <w:rsid w:val="006470EC"/>
    <w:rsid w:val="006542D6"/>
    <w:rsid w:val="0065598E"/>
    <w:rsid w:val="00655AF2"/>
    <w:rsid w:val="00655BC5"/>
    <w:rsid w:val="006568BE"/>
    <w:rsid w:val="0066025D"/>
    <w:rsid w:val="0066091A"/>
    <w:rsid w:val="00666916"/>
    <w:rsid w:val="006773EC"/>
    <w:rsid w:val="00680504"/>
    <w:rsid w:val="00681CD9"/>
    <w:rsid w:val="00683E30"/>
    <w:rsid w:val="00684FFD"/>
    <w:rsid w:val="00687024"/>
    <w:rsid w:val="00695E22"/>
    <w:rsid w:val="006A243F"/>
    <w:rsid w:val="006A7CB7"/>
    <w:rsid w:val="006B7093"/>
    <w:rsid w:val="006B7417"/>
    <w:rsid w:val="006C33C0"/>
    <w:rsid w:val="006D2844"/>
    <w:rsid w:val="006D31F9"/>
    <w:rsid w:val="006D3691"/>
    <w:rsid w:val="006E5EF0"/>
    <w:rsid w:val="006F3117"/>
    <w:rsid w:val="006F3563"/>
    <w:rsid w:val="006F42B9"/>
    <w:rsid w:val="006F5AB1"/>
    <w:rsid w:val="006F6103"/>
    <w:rsid w:val="0070281C"/>
    <w:rsid w:val="00704E00"/>
    <w:rsid w:val="007209E7"/>
    <w:rsid w:val="00726182"/>
    <w:rsid w:val="00727635"/>
    <w:rsid w:val="00732329"/>
    <w:rsid w:val="007337CA"/>
    <w:rsid w:val="00734CE4"/>
    <w:rsid w:val="00735123"/>
    <w:rsid w:val="00741837"/>
    <w:rsid w:val="007453E6"/>
    <w:rsid w:val="00754789"/>
    <w:rsid w:val="00755F6F"/>
    <w:rsid w:val="00770453"/>
    <w:rsid w:val="0077309D"/>
    <w:rsid w:val="007774EE"/>
    <w:rsid w:val="007816AF"/>
    <w:rsid w:val="00781822"/>
    <w:rsid w:val="00783F21"/>
    <w:rsid w:val="00786AE0"/>
    <w:rsid w:val="00787159"/>
    <w:rsid w:val="0079043A"/>
    <w:rsid w:val="00791668"/>
    <w:rsid w:val="00791AA1"/>
    <w:rsid w:val="007975BC"/>
    <w:rsid w:val="007A3793"/>
    <w:rsid w:val="007B6037"/>
    <w:rsid w:val="007C1BA2"/>
    <w:rsid w:val="007C2B48"/>
    <w:rsid w:val="007C2F62"/>
    <w:rsid w:val="007D20E9"/>
    <w:rsid w:val="007D363D"/>
    <w:rsid w:val="007D7881"/>
    <w:rsid w:val="007D7E3A"/>
    <w:rsid w:val="007E0E10"/>
    <w:rsid w:val="007E1C25"/>
    <w:rsid w:val="007E4768"/>
    <w:rsid w:val="007E777B"/>
    <w:rsid w:val="007F2070"/>
    <w:rsid w:val="007F63C1"/>
    <w:rsid w:val="008053F5"/>
    <w:rsid w:val="00807AF7"/>
    <w:rsid w:val="00810198"/>
    <w:rsid w:val="00811555"/>
    <w:rsid w:val="00815DA8"/>
    <w:rsid w:val="0082194D"/>
    <w:rsid w:val="008221F9"/>
    <w:rsid w:val="00826EF5"/>
    <w:rsid w:val="00831693"/>
    <w:rsid w:val="00834172"/>
    <w:rsid w:val="00834872"/>
    <w:rsid w:val="00840104"/>
    <w:rsid w:val="00840C1F"/>
    <w:rsid w:val="008411C9"/>
    <w:rsid w:val="00841FC5"/>
    <w:rsid w:val="0084293C"/>
    <w:rsid w:val="00843D0F"/>
    <w:rsid w:val="00845709"/>
    <w:rsid w:val="00854322"/>
    <w:rsid w:val="008576BD"/>
    <w:rsid w:val="00860463"/>
    <w:rsid w:val="00872E93"/>
    <w:rsid w:val="008733DA"/>
    <w:rsid w:val="00874F90"/>
    <w:rsid w:val="008850E4"/>
    <w:rsid w:val="00886D5E"/>
    <w:rsid w:val="008939AB"/>
    <w:rsid w:val="00895512"/>
    <w:rsid w:val="008A0DEA"/>
    <w:rsid w:val="008A12F5"/>
    <w:rsid w:val="008A3791"/>
    <w:rsid w:val="008A74F5"/>
    <w:rsid w:val="008B0C54"/>
    <w:rsid w:val="008B1587"/>
    <w:rsid w:val="008B1B01"/>
    <w:rsid w:val="008B3BCD"/>
    <w:rsid w:val="008B61D0"/>
    <w:rsid w:val="008B6DF8"/>
    <w:rsid w:val="008C106C"/>
    <w:rsid w:val="008C10F1"/>
    <w:rsid w:val="008C1926"/>
    <w:rsid w:val="008C1D1B"/>
    <w:rsid w:val="008C1E99"/>
    <w:rsid w:val="008C44F8"/>
    <w:rsid w:val="008D34AD"/>
    <w:rsid w:val="008D611C"/>
    <w:rsid w:val="008E0085"/>
    <w:rsid w:val="008E2AA6"/>
    <w:rsid w:val="008E311B"/>
    <w:rsid w:val="008E368B"/>
    <w:rsid w:val="008F46E7"/>
    <w:rsid w:val="008F5A98"/>
    <w:rsid w:val="008F64CA"/>
    <w:rsid w:val="008F6F0B"/>
    <w:rsid w:val="008F7E4B"/>
    <w:rsid w:val="00907213"/>
    <w:rsid w:val="00907BA7"/>
    <w:rsid w:val="0091064E"/>
    <w:rsid w:val="00911FC5"/>
    <w:rsid w:val="00916B3D"/>
    <w:rsid w:val="009200FB"/>
    <w:rsid w:val="00921D06"/>
    <w:rsid w:val="00923247"/>
    <w:rsid w:val="00927F53"/>
    <w:rsid w:val="00931A10"/>
    <w:rsid w:val="00944C56"/>
    <w:rsid w:val="00947967"/>
    <w:rsid w:val="009518FD"/>
    <w:rsid w:val="00953F3F"/>
    <w:rsid w:val="00954F1C"/>
    <w:rsid w:val="00955201"/>
    <w:rsid w:val="009634B8"/>
    <w:rsid w:val="00965200"/>
    <w:rsid w:val="009668B3"/>
    <w:rsid w:val="00967631"/>
    <w:rsid w:val="00971471"/>
    <w:rsid w:val="009837E4"/>
    <w:rsid w:val="009845B6"/>
    <w:rsid w:val="009849C2"/>
    <w:rsid w:val="00984D24"/>
    <w:rsid w:val="009858EB"/>
    <w:rsid w:val="009933F3"/>
    <w:rsid w:val="00993C54"/>
    <w:rsid w:val="009A3F47"/>
    <w:rsid w:val="009B0046"/>
    <w:rsid w:val="009B52D1"/>
    <w:rsid w:val="009B5D2E"/>
    <w:rsid w:val="009C1440"/>
    <w:rsid w:val="009C2107"/>
    <w:rsid w:val="009C5D9E"/>
    <w:rsid w:val="009D1D22"/>
    <w:rsid w:val="009D2C3E"/>
    <w:rsid w:val="009E0625"/>
    <w:rsid w:val="009E3034"/>
    <w:rsid w:val="009E549F"/>
    <w:rsid w:val="009F28A8"/>
    <w:rsid w:val="009F473E"/>
    <w:rsid w:val="009F5247"/>
    <w:rsid w:val="009F682A"/>
    <w:rsid w:val="009F76B4"/>
    <w:rsid w:val="00A009EB"/>
    <w:rsid w:val="00A022BE"/>
    <w:rsid w:val="00A025DE"/>
    <w:rsid w:val="00A067D9"/>
    <w:rsid w:val="00A07B4B"/>
    <w:rsid w:val="00A15BD9"/>
    <w:rsid w:val="00A2176D"/>
    <w:rsid w:val="00A24C95"/>
    <w:rsid w:val="00A2599A"/>
    <w:rsid w:val="00A26094"/>
    <w:rsid w:val="00A301BF"/>
    <w:rsid w:val="00A302B2"/>
    <w:rsid w:val="00A31F05"/>
    <w:rsid w:val="00A331B4"/>
    <w:rsid w:val="00A3484E"/>
    <w:rsid w:val="00A356D3"/>
    <w:rsid w:val="00A36ADA"/>
    <w:rsid w:val="00A37C4D"/>
    <w:rsid w:val="00A438D8"/>
    <w:rsid w:val="00A46526"/>
    <w:rsid w:val="00A473F5"/>
    <w:rsid w:val="00A51F9D"/>
    <w:rsid w:val="00A5416A"/>
    <w:rsid w:val="00A619D5"/>
    <w:rsid w:val="00A639F4"/>
    <w:rsid w:val="00A63F35"/>
    <w:rsid w:val="00A65864"/>
    <w:rsid w:val="00A65FAE"/>
    <w:rsid w:val="00A7489D"/>
    <w:rsid w:val="00A81A32"/>
    <w:rsid w:val="00A835BD"/>
    <w:rsid w:val="00A90A4E"/>
    <w:rsid w:val="00A91819"/>
    <w:rsid w:val="00A97B15"/>
    <w:rsid w:val="00AA42D5"/>
    <w:rsid w:val="00AA7BD9"/>
    <w:rsid w:val="00AB2FAB"/>
    <w:rsid w:val="00AB456C"/>
    <w:rsid w:val="00AB5C14"/>
    <w:rsid w:val="00AC1EE7"/>
    <w:rsid w:val="00AC333F"/>
    <w:rsid w:val="00AC585C"/>
    <w:rsid w:val="00AC7AE3"/>
    <w:rsid w:val="00AD1925"/>
    <w:rsid w:val="00AE067D"/>
    <w:rsid w:val="00AE0F7F"/>
    <w:rsid w:val="00AE2CE4"/>
    <w:rsid w:val="00AF02CB"/>
    <w:rsid w:val="00AF1181"/>
    <w:rsid w:val="00AF1D81"/>
    <w:rsid w:val="00AF2F79"/>
    <w:rsid w:val="00AF4653"/>
    <w:rsid w:val="00AF7DB7"/>
    <w:rsid w:val="00B014C8"/>
    <w:rsid w:val="00B05A0F"/>
    <w:rsid w:val="00B10D02"/>
    <w:rsid w:val="00B17B70"/>
    <w:rsid w:val="00B17E24"/>
    <w:rsid w:val="00B201E2"/>
    <w:rsid w:val="00B2366F"/>
    <w:rsid w:val="00B2465D"/>
    <w:rsid w:val="00B33324"/>
    <w:rsid w:val="00B343FB"/>
    <w:rsid w:val="00B443E4"/>
    <w:rsid w:val="00B448A7"/>
    <w:rsid w:val="00B5484D"/>
    <w:rsid w:val="00B563EA"/>
    <w:rsid w:val="00B56CDF"/>
    <w:rsid w:val="00B57A7A"/>
    <w:rsid w:val="00B60E51"/>
    <w:rsid w:val="00B63A54"/>
    <w:rsid w:val="00B64B4D"/>
    <w:rsid w:val="00B77D18"/>
    <w:rsid w:val="00B8313A"/>
    <w:rsid w:val="00B83762"/>
    <w:rsid w:val="00B92C79"/>
    <w:rsid w:val="00B93503"/>
    <w:rsid w:val="00BA31E8"/>
    <w:rsid w:val="00BA55E0"/>
    <w:rsid w:val="00BA6BD4"/>
    <w:rsid w:val="00BA6C7A"/>
    <w:rsid w:val="00BB17D1"/>
    <w:rsid w:val="00BB3752"/>
    <w:rsid w:val="00BB6688"/>
    <w:rsid w:val="00BC06C9"/>
    <w:rsid w:val="00BC26D4"/>
    <w:rsid w:val="00BC5269"/>
    <w:rsid w:val="00BC567B"/>
    <w:rsid w:val="00BD2FD4"/>
    <w:rsid w:val="00BD34A9"/>
    <w:rsid w:val="00BE0C80"/>
    <w:rsid w:val="00BE3F1F"/>
    <w:rsid w:val="00BF2A42"/>
    <w:rsid w:val="00C03D8C"/>
    <w:rsid w:val="00C055EC"/>
    <w:rsid w:val="00C10DC9"/>
    <w:rsid w:val="00C12FB3"/>
    <w:rsid w:val="00C17341"/>
    <w:rsid w:val="00C21C08"/>
    <w:rsid w:val="00C222CC"/>
    <w:rsid w:val="00C22500"/>
    <w:rsid w:val="00C24EEF"/>
    <w:rsid w:val="00C25CF6"/>
    <w:rsid w:val="00C26C36"/>
    <w:rsid w:val="00C32768"/>
    <w:rsid w:val="00C40933"/>
    <w:rsid w:val="00C431DF"/>
    <w:rsid w:val="00C44DCB"/>
    <w:rsid w:val="00C45481"/>
    <w:rsid w:val="00C456BD"/>
    <w:rsid w:val="00C460B3"/>
    <w:rsid w:val="00C530DC"/>
    <w:rsid w:val="00C5350D"/>
    <w:rsid w:val="00C55158"/>
    <w:rsid w:val="00C6123C"/>
    <w:rsid w:val="00C6311A"/>
    <w:rsid w:val="00C7084D"/>
    <w:rsid w:val="00C70B45"/>
    <w:rsid w:val="00C7315E"/>
    <w:rsid w:val="00C75895"/>
    <w:rsid w:val="00C83C9F"/>
    <w:rsid w:val="00C94519"/>
    <w:rsid w:val="00C94840"/>
    <w:rsid w:val="00C96A02"/>
    <w:rsid w:val="00CA4EE3"/>
    <w:rsid w:val="00CA7DF4"/>
    <w:rsid w:val="00CB027F"/>
    <w:rsid w:val="00CB2D89"/>
    <w:rsid w:val="00CB53E4"/>
    <w:rsid w:val="00CB698C"/>
    <w:rsid w:val="00CC0EBB"/>
    <w:rsid w:val="00CC6297"/>
    <w:rsid w:val="00CC7690"/>
    <w:rsid w:val="00CD1986"/>
    <w:rsid w:val="00CD54BF"/>
    <w:rsid w:val="00CE4D5C"/>
    <w:rsid w:val="00CF05DA"/>
    <w:rsid w:val="00CF3088"/>
    <w:rsid w:val="00CF3A2B"/>
    <w:rsid w:val="00CF58EB"/>
    <w:rsid w:val="00CF5F06"/>
    <w:rsid w:val="00CF6FEC"/>
    <w:rsid w:val="00CF7D3B"/>
    <w:rsid w:val="00D0106E"/>
    <w:rsid w:val="00D06383"/>
    <w:rsid w:val="00D07F53"/>
    <w:rsid w:val="00D20D26"/>
    <w:rsid w:val="00D20E85"/>
    <w:rsid w:val="00D24615"/>
    <w:rsid w:val="00D33CEB"/>
    <w:rsid w:val="00D36C85"/>
    <w:rsid w:val="00D37842"/>
    <w:rsid w:val="00D42DC2"/>
    <w:rsid w:val="00D4302B"/>
    <w:rsid w:val="00D537E1"/>
    <w:rsid w:val="00D55A45"/>
    <w:rsid w:val="00D55BB2"/>
    <w:rsid w:val="00D6091A"/>
    <w:rsid w:val="00D6605A"/>
    <w:rsid w:val="00D6695F"/>
    <w:rsid w:val="00D75644"/>
    <w:rsid w:val="00D81656"/>
    <w:rsid w:val="00D83D87"/>
    <w:rsid w:val="00D84A6D"/>
    <w:rsid w:val="00D86A30"/>
    <w:rsid w:val="00D87DDA"/>
    <w:rsid w:val="00D97CB4"/>
    <w:rsid w:val="00D97DD4"/>
    <w:rsid w:val="00DA5A8A"/>
    <w:rsid w:val="00DB1170"/>
    <w:rsid w:val="00DB26CD"/>
    <w:rsid w:val="00DB441C"/>
    <w:rsid w:val="00DB44AF"/>
    <w:rsid w:val="00DB4772"/>
    <w:rsid w:val="00DC1F58"/>
    <w:rsid w:val="00DC339B"/>
    <w:rsid w:val="00DC57D5"/>
    <w:rsid w:val="00DC5D40"/>
    <w:rsid w:val="00DC5EB0"/>
    <w:rsid w:val="00DC69A7"/>
    <w:rsid w:val="00DD30E9"/>
    <w:rsid w:val="00DD4F47"/>
    <w:rsid w:val="00DD774F"/>
    <w:rsid w:val="00DD7FBB"/>
    <w:rsid w:val="00DE0B9F"/>
    <w:rsid w:val="00DE2A9E"/>
    <w:rsid w:val="00DE4238"/>
    <w:rsid w:val="00DE4E82"/>
    <w:rsid w:val="00DE657F"/>
    <w:rsid w:val="00DF1218"/>
    <w:rsid w:val="00DF6462"/>
    <w:rsid w:val="00E02FA0"/>
    <w:rsid w:val="00E036DC"/>
    <w:rsid w:val="00E10454"/>
    <w:rsid w:val="00E112E5"/>
    <w:rsid w:val="00E122D8"/>
    <w:rsid w:val="00E12CC8"/>
    <w:rsid w:val="00E141C2"/>
    <w:rsid w:val="00E15352"/>
    <w:rsid w:val="00E167D2"/>
    <w:rsid w:val="00E21CC7"/>
    <w:rsid w:val="00E24D9E"/>
    <w:rsid w:val="00E25849"/>
    <w:rsid w:val="00E3197E"/>
    <w:rsid w:val="00E342F8"/>
    <w:rsid w:val="00E351ED"/>
    <w:rsid w:val="00E370B7"/>
    <w:rsid w:val="00E42B19"/>
    <w:rsid w:val="00E52D9E"/>
    <w:rsid w:val="00E532C3"/>
    <w:rsid w:val="00E6034B"/>
    <w:rsid w:val="00E6549E"/>
    <w:rsid w:val="00E65EDE"/>
    <w:rsid w:val="00E70C8F"/>
    <w:rsid w:val="00E70F81"/>
    <w:rsid w:val="00E72B74"/>
    <w:rsid w:val="00E77055"/>
    <w:rsid w:val="00E77460"/>
    <w:rsid w:val="00E77C69"/>
    <w:rsid w:val="00E80847"/>
    <w:rsid w:val="00E83ABC"/>
    <w:rsid w:val="00E844F2"/>
    <w:rsid w:val="00E90430"/>
    <w:rsid w:val="00E90AD0"/>
    <w:rsid w:val="00E92FCB"/>
    <w:rsid w:val="00E945C5"/>
    <w:rsid w:val="00E94FA6"/>
    <w:rsid w:val="00E958EB"/>
    <w:rsid w:val="00EA147F"/>
    <w:rsid w:val="00EA4A27"/>
    <w:rsid w:val="00EA4FA6"/>
    <w:rsid w:val="00EB1A25"/>
    <w:rsid w:val="00EC7363"/>
    <w:rsid w:val="00ED03AB"/>
    <w:rsid w:val="00ED0841"/>
    <w:rsid w:val="00ED1963"/>
    <w:rsid w:val="00ED1CD4"/>
    <w:rsid w:val="00ED1D2B"/>
    <w:rsid w:val="00ED64B5"/>
    <w:rsid w:val="00EE21DB"/>
    <w:rsid w:val="00EE6038"/>
    <w:rsid w:val="00EE7CCA"/>
    <w:rsid w:val="00EF2136"/>
    <w:rsid w:val="00EF5D6A"/>
    <w:rsid w:val="00F06E53"/>
    <w:rsid w:val="00F07F82"/>
    <w:rsid w:val="00F14C41"/>
    <w:rsid w:val="00F15F2D"/>
    <w:rsid w:val="00F16A14"/>
    <w:rsid w:val="00F23697"/>
    <w:rsid w:val="00F32634"/>
    <w:rsid w:val="00F33A9F"/>
    <w:rsid w:val="00F362D7"/>
    <w:rsid w:val="00F37D7B"/>
    <w:rsid w:val="00F472F5"/>
    <w:rsid w:val="00F51EF9"/>
    <w:rsid w:val="00F5314C"/>
    <w:rsid w:val="00F56117"/>
    <w:rsid w:val="00F5688C"/>
    <w:rsid w:val="00F60048"/>
    <w:rsid w:val="00F635DD"/>
    <w:rsid w:val="00F637C8"/>
    <w:rsid w:val="00F6581A"/>
    <w:rsid w:val="00F6627B"/>
    <w:rsid w:val="00F71B86"/>
    <w:rsid w:val="00F7336E"/>
    <w:rsid w:val="00F734F2"/>
    <w:rsid w:val="00F75052"/>
    <w:rsid w:val="00F804D3"/>
    <w:rsid w:val="00F816CB"/>
    <w:rsid w:val="00F81CD2"/>
    <w:rsid w:val="00F82641"/>
    <w:rsid w:val="00F90F18"/>
    <w:rsid w:val="00F9369F"/>
    <w:rsid w:val="00F937E4"/>
    <w:rsid w:val="00F95DC2"/>
    <w:rsid w:val="00F95EE7"/>
    <w:rsid w:val="00F97AF0"/>
    <w:rsid w:val="00FA2D72"/>
    <w:rsid w:val="00FA39E6"/>
    <w:rsid w:val="00FA7BC9"/>
    <w:rsid w:val="00FB378E"/>
    <w:rsid w:val="00FB37F1"/>
    <w:rsid w:val="00FB47C0"/>
    <w:rsid w:val="00FB501B"/>
    <w:rsid w:val="00FB719A"/>
    <w:rsid w:val="00FB7770"/>
    <w:rsid w:val="00FB7ECF"/>
    <w:rsid w:val="00FC752F"/>
    <w:rsid w:val="00FD2E3A"/>
    <w:rsid w:val="00FD3B91"/>
    <w:rsid w:val="00FD576B"/>
    <w:rsid w:val="00FD579E"/>
    <w:rsid w:val="00FD6845"/>
    <w:rsid w:val="00FE4516"/>
    <w:rsid w:val="00FE64C8"/>
    <w:rsid w:val="00FF47B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88639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link w:val="20"/>
    <w:qFormat/>
    <w:rsid w:val="004F5E57"/>
    <w:pPr>
      <w:numPr>
        <w:ilvl w:val="1"/>
        <w:numId w:val="25"/>
      </w:numPr>
      <w:ind w:left="1021"/>
      <w:outlineLvl w:val="1"/>
    </w:pPr>
    <w:rPr>
      <w:rFonts w:hAnsi="Arial"/>
      <w:bCs/>
      <w:kern w:val="32"/>
      <w:szCs w:val="48"/>
    </w:rPr>
  </w:style>
  <w:style w:type="paragraph" w:styleId="3">
    <w:name w:val="heading 3"/>
    <w:basedOn w:val="a6"/>
    <w:link w:val="30"/>
    <w:qFormat/>
    <w:rsid w:val="004F5E57"/>
    <w:pPr>
      <w:numPr>
        <w:ilvl w:val="2"/>
        <w:numId w:val="25"/>
      </w:numPr>
      <w:outlineLvl w:val="2"/>
    </w:pPr>
    <w:rPr>
      <w:rFonts w:hAnsi="Arial"/>
      <w:bCs/>
      <w:kern w:val="32"/>
      <w:szCs w:val="36"/>
    </w:rPr>
  </w:style>
  <w:style w:type="paragraph" w:styleId="4">
    <w:name w:val="heading 4"/>
    <w:basedOn w:val="a6"/>
    <w:link w:val="40"/>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c">
    <w:name w:val="footnote text"/>
    <w:basedOn w:val="a6"/>
    <w:link w:val="afd"/>
    <w:uiPriority w:val="99"/>
    <w:semiHidden/>
    <w:unhideWhenUsed/>
    <w:rsid w:val="002F640A"/>
    <w:pPr>
      <w:snapToGrid w:val="0"/>
      <w:jc w:val="left"/>
    </w:pPr>
    <w:rPr>
      <w:sz w:val="20"/>
    </w:rPr>
  </w:style>
  <w:style w:type="character" w:customStyle="1" w:styleId="afd">
    <w:name w:val="註腳文字 字元"/>
    <w:basedOn w:val="a7"/>
    <w:link w:val="afc"/>
    <w:uiPriority w:val="99"/>
    <w:semiHidden/>
    <w:rsid w:val="002F640A"/>
    <w:rPr>
      <w:rFonts w:ascii="標楷體" w:eastAsia="標楷體"/>
      <w:kern w:val="2"/>
    </w:rPr>
  </w:style>
  <w:style w:type="character" w:styleId="afe">
    <w:name w:val="footnote reference"/>
    <w:aliases w:val="FR,Ref,de nota al pie,註腳內容,Error-Fußnotenzeichen5,Error-Fußnotenzeichen6,Error-Fußnotenzeichen3"/>
    <w:basedOn w:val="a7"/>
    <w:uiPriority w:val="99"/>
    <w:unhideWhenUsed/>
    <w:rsid w:val="002F640A"/>
    <w:rPr>
      <w:vertAlign w:val="superscript"/>
    </w:rPr>
  </w:style>
  <w:style w:type="paragraph" w:customStyle="1" w:styleId="141">
    <w:name w:val="表格內文(14行高)"/>
    <w:basedOn w:val="af4"/>
    <w:link w:val="142"/>
    <w:qFormat/>
    <w:rsid w:val="00FA2D72"/>
    <w:pPr>
      <w:overflowPunct/>
      <w:autoSpaceDE/>
      <w:autoSpaceDN/>
      <w:spacing w:line="280" w:lineRule="exact"/>
      <w:ind w:left="0" w:firstLineChars="0" w:firstLine="0"/>
      <w:jc w:val="left"/>
    </w:pPr>
    <w:rPr>
      <w:snapToGrid w:val="0"/>
      <w:sz w:val="24"/>
      <w:szCs w:val="28"/>
    </w:rPr>
  </w:style>
  <w:style w:type="character" w:customStyle="1" w:styleId="142">
    <w:name w:val="表格內文(14行高) 字元"/>
    <w:link w:val="141"/>
    <w:locked/>
    <w:rsid w:val="00FA2D72"/>
    <w:rPr>
      <w:rFonts w:ascii="標楷體" w:eastAsia="標楷體"/>
      <w:snapToGrid w:val="0"/>
      <w:kern w:val="2"/>
      <w:sz w:val="24"/>
      <w:szCs w:val="28"/>
    </w:rPr>
  </w:style>
  <w:style w:type="table" w:customStyle="1" w:styleId="13">
    <w:name w:val="表格格線1"/>
    <w:basedOn w:val="a8"/>
    <w:next w:val="af6"/>
    <w:uiPriority w:val="39"/>
    <w:rsid w:val="00A025DE"/>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6"/>
    <w:uiPriority w:val="1"/>
    <w:qFormat/>
    <w:rsid w:val="009837E4"/>
    <w:pPr>
      <w:overflowPunct/>
      <w:jc w:val="left"/>
    </w:pPr>
    <w:rPr>
      <w:rFonts w:hAnsi="標楷體" w:cs="標楷體"/>
      <w:kern w:val="0"/>
      <w:sz w:val="22"/>
      <w:szCs w:val="22"/>
      <w:lang w:eastAsia="en-US"/>
    </w:rPr>
  </w:style>
  <w:style w:type="paragraph" w:styleId="aff">
    <w:name w:val="Body Text"/>
    <w:basedOn w:val="a6"/>
    <w:link w:val="aff0"/>
    <w:uiPriority w:val="99"/>
    <w:semiHidden/>
    <w:unhideWhenUsed/>
    <w:rsid w:val="005629C8"/>
    <w:pPr>
      <w:spacing w:after="120"/>
    </w:pPr>
  </w:style>
  <w:style w:type="character" w:customStyle="1" w:styleId="aff0">
    <w:name w:val="本文 字元"/>
    <w:basedOn w:val="a7"/>
    <w:link w:val="aff"/>
    <w:uiPriority w:val="99"/>
    <w:semiHidden/>
    <w:rsid w:val="005629C8"/>
    <w:rPr>
      <w:rFonts w:ascii="標楷體" w:eastAsia="標楷體"/>
      <w:kern w:val="2"/>
      <w:sz w:val="32"/>
    </w:rPr>
  </w:style>
  <w:style w:type="table" w:customStyle="1" w:styleId="TableNormal">
    <w:name w:val="Table Normal"/>
    <w:uiPriority w:val="2"/>
    <w:semiHidden/>
    <w:unhideWhenUsed/>
    <w:qFormat/>
    <w:rsid w:val="005629C8"/>
    <w:pPr>
      <w:widowControl w:val="0"/>
      <w:autoSpaceDE w:val="0"/>
      <w:autoSpaceDN w:val="0"/>
    </w:pPr>
    <w:rPr>
      <w:rFonts w:asciiTheme="minorHAnsi" w:eastAsiaTheme="minorEastAsia" w:hAnsiTheme="minorHAnsi" w:cstheme="minorBidi"/>
      <w:sz w:val="22"/>
      <w:szCs w:val="22"/>
      <w:lang w:eastAsia="en-US"/>
    </w:rPr>
    <w:tblPr>
      <w:tblInd w:w="0" w:type="dxa"/>
      <w:tblCellMar>
        <w:top w:w="0" w:type="dxa"/>
        <w:left w:w="0" w:type="dxa"/>
        <w:bottom w:w="0" w:type="dxa"/>
        <w:right w:w="0" w:type="dxa"/>
      </w:tblCellMar>
    </w:tblPr>
  </w:style>
  <w:style w:type="character" w:customStyle="1" w:styleId="40">
    <w:name w:val="標題 4 字元"/>
    <w:basedOn w:val="a7"/>
    <w:link w:val="4"/>
    <w:rsid w:val="00616C17"/>
    <w:rPr>
      <w:rFonts w:ascii="標楷體" w:eastAsia="標楷體" w:hAnsi="Arial"/>
      <w:kern w:val="32"/>
      <w:sz w:val="32"/>
      <w:szCs w:val="36"/>
    </w:rPr>
  </w:style>
  <w:style w:type="character" w:customStyle="1" w:styleId="30">
    <w:name w:val="標題 3 字元"/>
    <w:basedOn w:val="a7"/>
    <w:link w:val="3"/>
    <w:rsid w:val="00242ECF"/>
    <w:rPr>
      <w:rFonts w:ascii="標楷體" w:eastAsia="標楷體" w:hAnsi="Arial"/>
      <w:bCs/>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5047626">
      <w:bodyDiv w:val="1"/>
      <w:marLeft w:val="0"/>
      <w:marRight w:val="0"/>
      <w:marTop w:val="0"/>
      <w:marBottom w:val="0"/>
      <w:divBdr>
        <w:top w:val="none" w:sz="0" w:space="0" w:color="auto"/>
        <w:left w:val="none" w:sz="0" w:space="0" w:color="auto"/>
        <w:bottom w:val="none" w:sz="0" w:space="0" w:color="auto"/>
        <w:right w:val="none" w:sz="0" w:space="0" w:color="auto"/>
      </w:divBdr>
    </w:div>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DEE0AD-8255-4C16-B946-A0FD4620C8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1590</Words>
  <Characters>9067</Characters>
  <Application>Microsoft Office Word</Application>
  <DocSecurity>0</DocSecurity>
  <Lines>75</Lines>
  <Paragraphs>21</Paragraphs>
  <ScaleCrop>false</ScaleCrop>
  <Company/>
  <LinksUpToDate>false</LinksUpToDate>
  <CharactersWithSpaces>10636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2025-03-19T08:43:00Z</dcterms:created>
  <dcterms:modified xsi:type="dcterms:W3CDTF">2025-03-19T08:43:00Z</dcterms:modified>
  <cp:contentStatus/>
</cp:coreProperties>
</file>