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74AB0" w14:textId="25BC6513" w:rsidR="00D75644" w:rsidRPr="00393DBB" w:rsidRDefault="00D20D26" w:rsidP="00F37D7B">
      <w:pPr>
        <w:pStyle w:val="af8"/>
      </w:pPr>
      <w:r w:rsidRPr="00393DBB">
        <w:rPr>
          <w:rFonts w:hint="eastAsia"/>
        </w:rPr>
        <w:t>調查報告</w:t>
      </w:r>
    </w:p>
    <w:p w14:paraId="568D9BFD" w14:textId="58423112" w:rsidR="00E25849" w:rsidRPr="00393DBB"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184085495"/>
      <w:r w:rsidRPr="00393DBB">
        <w:rPr>
          <w:rFonts w:hint="eastAsia"/>
        </w:rPr>
        <w:t>案　　由：</w:t>
      </w:r>
      <w:bookmarkEnd w:id="0"/>
      <w:bookmarkEnd w:id="1"/>
      <w:bookmarkEnd w:id="2"/>
      <w:bookmarkEnd w:id="3"/>
      <w:bookmarkEnd w:id="4"/>
      <w:bookmarkEnd w:id="5"/>
      <w:bookmarkEnd w:id="6"/>
      <w:bookmarkEnd w:id="7"/>
      <w:bookmarkEnd w:id="8"/>
      <w:bookmarkEnd w:id="9"/>
      <w:r w:rsidR="00425DD4" w:rsidRPr="00393DBB">
        <w:rPr>
          <w:rFonts w:hint="eastAsia"/>
        </w:rPr>
        <w:t>據</w:t>
      </w:r>
      <w:r w:rsidR="00425DD4" w:rsidRPr="00393DBB">
        <w:t>審計部</w:t>
      </w:r>
      <w:proofErr w:type="gramStart"/>
      <w:r w:rsidR="00425DD4" w:rsidRPr="00393DBB">
        <w:t>111</w:t>
      </w:r>
      <w:proofErr w:type="gramEnd"/>
      <w:r w:rsidR="00425DD4" w:rsidRPr="00393DBB">
        <w:t>年度中央政府總決算審核報告，政府推動營建剩餘土石方及營建事業廢棄物管理與再利用，疑有土石方與廢棄物認定標準未臻明確、</w:t>
      </w:r>
      <w:proofErr w:type="gramStart"/>
      <w:r w:rsidR="00425DD4" w:rsidRPr="00393DBB">
        <w:t>產源</w:t>
      </w:r>
      <w:proofErr w:type="gramEnd"/>
      <w:r w:rsidR="00425DD4" w:rsidRPr="00393DBB">
        <w:t>至最終使用欠缺全程流向管理，及去化管道</w:t>
      </w:r>
      <w:proofErr w:type="gramStart"/>
      <w:r w:rsidR="00425DD4" w:rsidRPr="00393DBB">
        <w:t>受限或</w:t>
      </w:r>
      <w:proofErr w:type="gramEnd"/>
      <w:r w:rsidR="00425DD4" w:rsidRPr="00393DBB">
        <w:t>遭排擠致棄置事件頻傳等情事。另營建剩餘土石方處理方案已訂頒施行逾30年，仍</w:t>
      </w:r>
      <w:proofErr w:type="gramStart"/>
      <w:r w:rsidR="00425DD4" w:rsidRPr="00393DBB">
        <w:t>欠缺整</w:t>
      </w:r>
      <w:proofErr w:type="gramEnd"/>
      <w:r w:rsidR="00425DD4" w:rsidRPr="00393DBB">
        <w:t>體性之專法，不利統一管控標準</w:t>
      </w:r>
      <w:proofErr w:type="gramStart"/>
      <w:r w:rsidR="00425DD4" w:rsidRPr="00393DBB">
        <w:t>等情</w:t>
      </w:r>
      <w:proofErr w:type="gramEnd"/>
      <w:r w:rsidR="00425DD4" w:rsidRPr="00393DBB">
        <w:t>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425DD4" w:rsidRPr="00393DBB">
        <w:rPr>
          <w:rFonts w:hint="eastAsia"/>
        </w:rPr>
        <w:t>。</w:t>
      </w:r>
      <w:bookmarkEnd w:id="25"/>
    </w:p>
    <w:p w14:paraId="24C9A838" w14:textId="72665129" w:rsidR="00E25849" w:rsidRPr="00393DBB" w:rsidRDefault="00E25849" w:rsidP="004E05A1">
      <w:pPr>
        <w:pStyle w:val="1"/>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bookmarkStart w:id="50" w:name="_Toc184085506"/>
      <w:r w:rsidRPr="00393DBB">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16A940CF" w14:textId="3B44071A" w:rsidR="0046706A" w:rsidRPr="00393DBB" w:rsidRDefault="0046706A" w:rsidP="00A639F4">
      <w:pPr>
        <w:pStyle w:val="10"/>
        <w:ind w:left="680" w:firstLine="680"/>
        <w:rPr>
          <w:bCs/>
        </w:rPr>
      </w:pPr>
      <w:bookmarkStart w:id="51" w:name="_Toc524902730"/>
      <w:r w:rsidRPr="00393DBB">
        <w:rPr>
          <w:rFonts w:hint="eastAsia"/>
          <w:bCs/>
        </w:rPr>
        <w:t>本案</w:t>
      </w:r>
      <w:r w:rsidR="008D48FC" w:rsidRPr="00393DBB">
        <w:rPr>
          <w:rFonts w:hint="eastAsia"/>
          <w:bCs/>
        </w:rPr>
        <w:t>係</w:t>
      </w:r>
      <w:proofErr w:type="gramStart"/>
      <w:r w:rsidR="008D48FC" w:rsidRPr="00393DBB">
        <w:rPr>
          <w:rFonts w:hint="eastAsia"/>
          <w:bCs/>
        </w:rPr>
        <w:t>審計部函報案</w:t>
      </w:r>
      <w:proofErr w:type="gramEnd"/>
      <w:r w:rsidR="008D48FC" w:rsidRPr="00393DBB">
        <w:rPr>
          <w:rFonts w:hint="eastAsia"/>
          <w:bCs/>
        </w:rPr>
        <w:t>件，</w:t>
      </w:r>
      <w:r w:rsidR="00A86461" w:rsidRPr="00393DBB">
        <w:rPr>
          <w:rFonts w:hAnsi="標楷體" w:cs="標楷體"/>
          <w:bCs/>
        </w:rPr>
        <w:t>近年來營建剩餘土石方遭非法棄置情事屢見不鮮，不僅造成環境破壞與土地及水體二次污染等生態破壞；更甚者，不肖土石資源堆置處理場以合法掩護非法，結合開挖業者</w:t>
      </w:r>
      <w:r w:rsidR="00A86461" w:rsidRPr="00393DBB">
        <w:rPr>
          <w:rFonts w:hAnsi="標楷體" w:cs="標楷體" w:hint="eastAsia"/>
          <w:bCs/>
        </w:rPr>
        <w:t>及</w:t>
      </w:r>
      <w:r w:rsidR="00A86461" w:rsidRPr="00393DBB">
        <w:rPr>
          <w:rFonts w:hAnsi="標楷體" w:cs="標楷體"/>
          <w:bCs/>
        </w:rPr>
        <w:t>回填業者、清運業者</w:t>
      </w:r>
      <w:r w:rsidR="00A86461" w:rsidRPr="00393DBB">
        <w:rPr>
          <w:rFonts w:hAnsi="標楷體" w:cs="標楷體" w:hint="eastAsia"/>
          <w:bCs/>
        </w:rPr>
        <w:t>及</w:t>
      </w:r>
      <w:r w:rsidR="00A86461" w:rsidRPr="00393DBB">
        <w:rPr>
          <w:rFonts w:hAnsi="標楷體" w:cs="標楷體"/>
          <w:bCs/>
        </w:rPr>
        <w:t>土地仲介等上下游串聯形成不法產業鏈，以</w:t>
      </w:r>
      <w:proofErr w:type="gramStart"/>
      <w:r w:rsidR="00A86461" w:rsidRPr="00393DBB">
        <w:rPr>
          <w:rFonts w:hAnsi="標楷體" w:cs="標楷體"/>
          <w:bCs/>
        </w:rPr>
        <w:t>不實清運</w:t>
      </w:r>
      <w:proofErr w:type="gramEnd"/>
      <w:r w:rsidR="00A86461" w:rsidRPr="00393DBB">
        <w:rPr>
          <w:rFonts w:hAnsi="標楷體" w:cs="標楷體"/>
          <w:bCs/>
        </w:rPr>
        <w:t>計畫書、土方聯單等文書，掩護營建廢棄物實際流向，將營建</w:t>
      </w:r>
      <w:r w:rsidR="00A86461" w:rsidRPr="00393DBB">
        <w:rPr>
          <w:rFonts w:hAnsi="標楷體" w:cs="標楷體" w:hint="eastAsia"/>
          <w:bCs/>
        </w:rPr>
        <w:t>剩餘土石方及</w:t>
      </w:r>
      <w:r w:rsidR="00A86461" w:rsidRPr="00393DBB">
        <w:rPr>
          <w:rFonts w:hAnsi="標楷體" w:cs="標楷體"/>
          <w:bCs/>
        </w:rPr>
        <w:t>廢棄物從工地直接運送至農地或魚塭進行非法掩埋，嚴重影響公共安全與國土完整</w:t>
      </w:r>
      <w:r w:rsidR="00A86461" w:rsidRPr="00393DBB">
        <w:rPr>
          <w:rFonts w:hAnsi="標楷體" w:cs="標楷體" w:hint="eastAsia"/>
          <w:bCs/>
        </w:rPr>
        <w:t>。</w:t>
      </w:r>
      <w:r w:rsidR="0012511C" w:rsidRPr="00393DBB">
        <w:rPr>
          <w:bCs/>
        </w:rPr>
        <w:t>經本院啟動調查程序，業已完成相關卷證資料之調閱、專家學者諮詢、二次現場履</w:t>
      </w:r>
      <w:proofErr w:type="gramStart"/>
      <w:r w:rsidR="0012511C" w:rsidRPr="00393DBB">
        <w:rPr>
          <w:bCs/>
        </w:rPr>
        <w:t>勘</w:t>
      </w:r>
      <w:proofErr w:type="gramEnd"/>
      <w:r w:rsidR="0012511C" w:rsidRPr="00393DBB">
        <w:rPr>
          <w:bCs/>
        </w:rPr>
        <w:t>訪查及座談會等程序</w:t>
      </w:r>
      <w:r w:rsidRPr="00393DBB">
        <w:rPr>
          <w:rFonts w:hint="eastAsia"/>
          <w:bCs/>
        </w:rPr>
        <w:t>，業經</w:t>
      </w:r>
      <w:proofErr w:type="gramStart"/>
      <w:r w:rsidRPr="00393DBB">
        <w:rPr>
          <w:rFonts w:hint="eastAsia"/>
          <w:bCs/>
        </w:rPr>
        <w:t>調查竣事，綜</w:t>
      </w:r>
      <w:proofErr w:type="gramEnd"/>
      <w:r w:rsidRPr="00393DBB">
        <w:rPr>
          <w:rFonts w:hint="eastAsia"/>
          <w:bCs/>
        </w:rPr>
        <w:t>整調查意見如下</w:t>
      </w:r>
      <w:r w:rsidR="008D48FC" w:rsidRPr="00393DBB">
        <w:rPr>
          <w:rFonts w:hint="eastAsia"/>
          <w:bCs/>
        </w:rPr>
        <w:t>：</w:t>
      </w:r>
    </w:p>
    <w:p w14:paraId="51F8ED60" w14:textId="77777777" w:rsidR="00A86461" w:rsidRPr="00393DBB" w:rsidRDefault="00A86461" w:rsidP="00A86461">
      <w:pPr>
        <w:pStyle w:val="2"/>
        <w:numPr>
          <w:ilvl w:val="1"/>
          <w:numId w:val="1"/>
        </w:numPr>
        <w:rPr>
          <w:b/>
          <w:bCs w:val="0"/>
        </w:rPr>
      </w:pPr>
      <w:bookmarkStart w:id="52" w:name="_Hlk192691130"/>
      <w:bookmarkStart w:id="53" w:name="_Hlk185510792"/>
      <w:bookmarkStart w:id="54" w:name="_Toc421794873"/>
      <w:bookmarkStart w:id="55" w:name="_Toc422834158"/>
      <w:r w:rsidRPr="00393DBB">
        <w:rPr>
          <w:b/>
          <w:bCs w:val="0"/>
        </w:rPr>
        <w:t>內政部</w:t>
      </w:r>
      <w:r w:rsidRPr="00393DBB">
        <w:rPr>
          <w:rFonts w:hint="eastAsia"/>
          <w:b/>
          <w:bCs w:val="0"/>
        </w:rPr>
        <w:t>暨所屬國土管理署</w:t>
      </w:r>
      <w:r w:rsidRPr="00393DBB">
        <w:rPr>
          <w:b/>
          <w:bCs w:val="0"/>
        </w:rPr>
        <w:t>(</w:t>
      </w:r>
      <w:r w:rsidRPr="00393DBB">
        <w:rPr>
          <w:rFonts w:hint="eastAsia"/>
          <w:b/>
          <w:bCs w:val="0"/>
        </w:rPr>
        <w:t>前營建署</w:t>
      </w:r>
      <w:r w:rsidRPr="00393DBB">
        <w:rPr>
          <w:b/>
          <w:bCs w:val="0"/>
        </w:rPr>
        <w:t>)自民國</w:t>
      </w:r>
      <w:r w:rsidRPr="00393DBB">
        <w:rPr>
          <w:rFonts w:hint="eastAsia"/>
          <w:b/>
          <w:bCs w:val="0"/>
        </w:rPr>
        <w:t>(下同)</w:t>
      </w:r>
      <w:r w:rsidRPr="00393DBB">
        <w:rPr>
          <w:b/>
          <w:bCs w:val="0"/>
        </w:rPr>
        <w:t>80年訂定「營建廢棄土處理方案」(後更名為「營建剩餘土石方處理方案」)以來，截至113年</w:t>
      </w:r>
      <w:r w:rsidRPr="00393DBB">
        <w:rPr>
          <w:rFonts w:hint="eastAsia"/>
          <w:b/>
          <w:bCs w:val="0"/>
        </w:rPr>
        <w:t>雖</w:t>
      </w:r>
      <w:r w:rsidRPr="00393DBB">
        <w:rPr>
          <w:b/>
          <w:bCs w:val="0"/>
        </w:rPr>
        <w:t>歷經1</w:t>
      </w:r>
      <w:r w:rsidRPr="00393DBB">
        <w:rPr>
          <w:rFonts w:hint="eastAsia"/>
          <w:b/>
          <w:bCs w:val="0"/>
        </w:rPr>
        <w:t>0</w:t>
      </w:r>
      <w:r w:rsidRPr="00393DBB">
        <w:rPr>
          <w:b/>
          <w:bCs w:val="0"/>
        </w:rPr>
        <w:t>次修正，</w:t>
      </w:r>
      <w:r w:rsidRPr="00393DBB">
        <w:rPr>
          <w:rFonts w:hint="eastAsia"/>
          <w:b/>
          <w:bCs w:val="0"/>
        </w:rPr>
        <w:t>惟迄今已逾33年，</w:t>
      </w:r>
      <w:r w:rsidRPr="00393DBB">
        <w:rPr>
          <w:b/>
          <w:bCs w:val="0"/>
        </w:rPr>
        <w:t>仍維持行政規則位階</w:t>
      </w:r>
      <w:r w:rsidRPr="00393DBB">
        <w:rPr>
          <w:rFonts w:hint="eastAsia"/>
          <w:b/>
          <w:bCs w:val="0"/>
        </w:rPr>
        <w:t>，亦缺乏法律授權，致使強制力不足。「方案」與相關法規範疇重疊，致主管機關權責不清，廢棄物認定標準模糊，造成第一線執法人員適用困難，</w:t>
      </w:r>
      <w:r w:rsidRPr="00393DBB">
        <w:rPr>
          <w:b/>
          <w:bCs w:val="0"/>
        </w:rPr>
        <w:t>地方</w:t>
      </w:r>
      <w:r w:rsidRPr="00393DBB">
        <w:rPr>
          <w:rFonts w:hint="eastAsia"/>
          <w:b/>
          <w:bCs w:val="0"/>
        </w:rPr>
        <w:t>政府</w:t>
      </w:r>
      <w:r w:rsidRPr="00393DBB">
        <w:rPr>
          <w:b/>
          <w:bCs w:val="0"/>
        </w:rPr>
        <w:t>自治條</w:t>
      </w:r>
      <w:r w:rsidRPr="00393DBB">
        <w:rPr>
          <w:rFonts w:hint="eastAsia"/>
          <w:b/>
          <w:bCs w:val="0"/>
        </w:rPr>
        <w:t>例亦</w:t>
      </w:r>
      <w:r w:rsidRPr="00393DBB">
        <w:rPr>
          <w:b/>
          <w:bCs w:val="0"/>
        </w:rPr>
        <w:t>標準不一，</w:t>
      </w:r>
      <w:proofErr w:type="gramStart"/>
      <w:r w:rsidRPr="00393DBB">
        <w:rPr>
          <w:rFonts w:hint="eastAsia"/>
          <w:b/>
          <w:bCs w:val="0"/>
        </w:rPr>
        <w:t>且</w:t>
      </w:r>
      <w:r w:rsidRPr="00393DBB">
        <w:rPr>
          <w:b/>
          <w:bCs w:val="0"/>
        </w:rPr>
        <w:t>跨縣市</w:t>
      </w:r>
      <w:proofErr w:type="gramEnd"/>
      <w:r w:rsidRPr="00393DBB">
        <w:rPr>
          <w:rFonts w:hint="eastAsia"/>
          <w:b/>
          <w:bCs w:val="0"/>
        </w:rPr>
        <w:t>協調</w:t>
      </w:r>
      <w:r w:rsidRPr="00393DBB">
        <w:rPr>
          <w:b/>
          <w:bCs w:val="0"/>
        </w:rPr>
        <w:t>不易，</w:t>
      </w:r>
      <w:r w:rsidRPr="00393DBB">
        <w:rPr>
          <w:rFonts w:hint="eastAsia"/>
          <w:b/>
          <w:bCs w:val="0"/>
        </w:rPr>
        <w:t>顯見現行管理機</w:t>
      </w:r>
      <w:r w:rsidRPr="00393DBB">
        <w:rPr>
          <w:rFonts w:hint="eastAsia"/>
          <w:b/>
          <w:bCs w:val="0"/>
        </w:rPr>
        <w:lastRenderedPageBreak/>
        <w:t>制缺失；另「方案」欠缺</w:t>
      </w:r>
      <w:r w:rsidRPr="00393DBB">
        <w:rPr>
          <w:b/>
          <w:bCs w:val="0"/>
        </w:rPr>
        <w:t>有效追蹤</w:t>
      </w:r>
      <w:r w:rsidRPr="00393DBB">
        <w:rPr>
          <w:rFonts w:hint="eastAsia"/>
          <w:b/>
          <w:bCs w:val="0"/>
        </w:rPr>
        <w:t>及</w:t>
      </w:r>
      <w:r w:rsidRPr="00393DBB">
        <w:rPr>
          <w:b/>
          <w:bCs w:val="0"/>
        </w:rPr>
        <w:t>科技監測土</w:t>
      </w:r>
      <w:r w:rsidRPr="00393DBB">
        <w:rPr>
          <w:rFonts w:hint="eastAsia"/>
          <w:b/>
          <w:bCs w:val="0"/>
        </w:rPr>
        <w:t>石</w:t>
      </w:r>
      <w:r w:rsidRPr="00393DBB">
        <w:rPr>
          <w:b/>
          <w:bCs w:val="0"/>
        </w:rPr>
        <w:t>方流向</w:t>
      </w:r>
      <w:r w:rsidRPr="00393DBB">
        <w:rPr>
          <w:rFonts w:hint="eastAsia"/>
          <w:b/>
          <w:bCs w:val="0"/>
        </w:rPr>
        <w:t>之</w:t>
      </w:r>
      <w:r w:rsidRPr="00393DBB">
        <w:rPr>
          <w:b/>
          <w:bCs w:val="0"/>
        </w:rPr>
        <w:t>系統，</w:t>
      </w:r>
      <w:r w:rsidRPr="00393DBB">
        <w:rPr>
          <w:rFonts w:hint="eastAsia"/>
          <w:b/>
          <w:bCs w:val="0"/>
        </w:rPr>
        <w:t>造成</w:t>
      </w:r>
      <w:r w:rsidRPr="00393DBB">
        <w:rPr>
          <w:b/>
          <w:bCs w:val="0"/>
        </w:rPr>
        <w:t>非法棄置頻傳</w:t>
      </w:r>
      <w:r w:rsidRPr="00393DBB">
        <w:rPr>
          <w:rFonts w:hint="eastAsia"/>
          <w:b/>
          <w:bCs w:val="0"/>
        </w:rPr>
        <w:t>。</w:t>
      </w:r>
      <w:r w:rsidRPr="00393DBB">
        <w:rPr>
          <w:b/>
          <w:bCs w:val="0"/>
        </w:rPr>
        <w:t>行政院</w:t>
      </w:r>
      <w:r w:rsidRPr="00393DBB">
        <w:rPr>
          <w:rFonts w:hint="eastAsia"/>
          <w:b/>
          <w:bCs w:val="0"/>
        </w:rPr>
        <w:t>雖</w:t>
      </w:r>
      <w:r w:rsidRPr="00393DBB">
        <w:rPr>
          <w:b/>
          <w:bCs w:val="0"/>
        </w:rPr>
        <w:t>於民國92年指示法制化營建剩餘土石方處理，草案</w:t>
      </w:r>
      <w:r w:rsidRPr="00393DBB">
        <w:rPr>
          <w:rFonts w:hint="eastAsia"/>
          <w:b/>
          <w:bCs w:val="0"/>
        </w:rPr>
        <w:t>自</w:t>
      </w:r>
      <w:r w:rsidRPr="00393DBB">
        <w:rPr>
          <w:b/>
          <w:bCs w:val="0"/>
        </w:rPr>
        <w:t>95年函送審議，惟迄今未完成立法。組織改造致進程延宕，</w:t>
      </w:r>
      <w:r w:rsidRPr="00393DBB">
        <w:rPr>
          <w:rFonts w:hint="eastAsia"/>
          <w:b/>
          <w:bCs w:val="0"/>
        </w:rPr>
        <w:t>行政院及</w:t>
      </w:r>
      <w:r w:rsidRPr="00393DBB">
        <w:rPr>
          <w:b/>
          <w:bCs w:val="0"/>
        </w:rPr>
        <w:t>相關部會未明確指示</w:t>
      </w:r>
      <w:r w:rsidRPr="00393DBB">
        <w:rPr>
          <w:rFonts w:hint="eastAsia"/>
          <w:b/>
          <w:bCs w:val="0"/>
        </w:rPr>
        <w:t>後續修法方向及具體時程</w:t>
      </w:r>
      <w:r w:rsidRPr="00393DBB">
        <w:rPr>
          <w:b/>
          <w:bCs w:val="0"/>
        </w:rPr>
        <w:t>，致立法遲緩，</w:t>
      </w:r>
      <w:r w:rsidRPr="00393DBB">
        <w:rPr>
          <w:rFonts w:hint="eastAsia"/>
          <w:b/>
          <w:bCs w:val="0"/>
        </w:rPr>
        <w:t>各部會間</w:t>
      </w:r>
      <w:r w:rsidRPr="00393DBB">
        <w:rPr>
          <w:b/>
          <w:bCs w:val="0"/>
        </w:rPr>
        <w:t>溝通協調不足，政策方向未明。</w:t>
      </w:r>
      <w:r w:rsidRPr="00393DBB">
        <w:rPr>
          <w:rFonts w:hint="eastAsia"/>
          <w:b/>
          <w:bCs w:val="0"/>
        </w:rPr>
        <w:t>行政院及</w:t>
      </w:r>
      <w:r w:rsidRPr="00393DBB">
        <w:rPr>
          <w:b/>
          <w:bCs w:val="0"/>
        </w:rPr>
        <w:t>內政部暨所屬國土管理署於法制化進程上，縱使</w:t>
      </w:r>
      <w:r w:rsidRPr="00393DBB">
        <w:rPr>
          <w:rFonts w:hint="eastAsia"/>
          <w:b/>
          <w:bCs w:val="0"/>
        </w:rPr>
        <w:t>辦理相關會議</w:t>
      </w:r>
      <w:proofErr w:type="gramStart"/>
      <w:r w:rsidRPr="00393DBB">
        <w:rPr>
          <w:b/>
          <w:bCs w:val="0"/>
        </w:rPr>
        <w:t>研</w:t>
      </w:r>
      <w:proofErr w:type="gramEnd"/>
      <w:r w:rsidRPr="00393DBB">
        <w:rPr>
          <w:rFonts w:hint="eastAsia"/>
          <w:b/>
          <w:bCs w:val="0"/>
        </w:rPr>
        <w:t>商，多</w:t>
      </w:r>
      <w:r w:rsidRPr="00393DBB">
        <w:rPr>
          <w:b/>
          <w:bCs w:val="0"/>
        </w:rPr>
        <w:t>流於形式，未</w:t>
      </w:r>
      <w:r w:rsidRPr="00393DBB">
        <w:rPr>
          <w:rFonts w:hint="eastAsia"/>
          <w:b/>
          <w:bCs w:val="0"/>
        </w:rPr>
        <w:t>能有效解決問題</w:t>
      </w:r>
      <w:r w:rsidRPr="00393DBB">
        <w:rPr>
          <w:b/>
          <w:bCs w:val="0"/>
        </w:rPr>
        <w:t>，嚴重影響國土資源及環境</w:t>
      </w:r>
      <w:r w:rsidRPr="00393DBB">
        <w:rPr>
          <w:rFonts w:hint="eastAsia"/>
          <w:b/>
          <w:bCs w:val="0"/>
        </w:rPr>
        <w:t>保護，</w:t>
      </w:r>
      <w:proofErr w:type="gramStart"/>
      <w:r w:rsidRPr="00393DBB">
        <w:rPr>
          <w:rFonts w:hint="eastAsia"/>
          <w:b/>
          <w:bCs w:val="0"/>
        </w:rPr>
        <w:t>均有</w:t>
      </w:r>
      <w:proofErr w:type="gramEnd"/>
      <w:r w:rsidRPr="00393DBB">
        <w:rPr>
          <w:rFonts w:hint="eastAsia"/>
          <w:b/>
          <w:bCs w:val="0"/>
        </w:rPr>
        <w:t>違失</w:t>
      </w:r>
      <w:r w:rsidRPr="00393DBB">
        <w:rPr>
          <w:b/>
          <w:bCs w:val="0"/>
        </w:rPr>
        <w:t>。</w:t>
      </w:r>
    </w:p>
    <w:p w14:paraId="55B74DEC" w14:textId="77777777" w:rsidR="00A86461" w:rsidRPr="00393DBB" w:rsidRDefault="00A86461" w:rsidP="00A86461">
      <w:pPr>
        <w:pStyle w:val="30"/>
        <w:numPr>
          <w:ilvl w:val="2"/>
          <w:numId w:val="1"/>
        </w:numPr>
      </w:pPr>
      <w:r w:rsidRPr="00393DBB">
        <w:rPr>
          <w:rFonts w:hint="eastAsia"/>
        </w:rPr>
        <w:t>內政部自80年以行政規則「營建廢棄土處理方案」（後修正為「營建剩餘土石方處理方案」）管理營建剩餘土石方，迄今已逾33年，期間雖歷經10次</w:t>
      </w:r>
      <w:r w:rsidRPr="00393DBB">
        <w:rPr>
          <w:rStyle w:val="afff4"/>
        </w:rPr>
        <w:footnoteReference w:id="1"/>
      </w:r>
      <w:r w:rsidRPr="00393DBB">
        <w:rPr>
          <w:rFonts w:hint="eastAsia"/>
        </w:rPr>
        <w:t>修正，仍未能有效解決相關管理問題。方案位階僅為行政規則，缺乏法律強制力，且與《廢棄物清理法》、《資源回收再利用法》、《土石採取法》及地方政府訂定之自治條例等多重法規範疇重疊，造成主管機關權責不清、跨縣市區域處理困難，中央公共工程主辦機關亦面臨適用法律不明之困境。</w:t>
      </w:r>
    </w:p>
    <w:p w14:paraId="74352C99" w14:textId="77777777" w:rsidR="00A86461" w:rsidRPr="00393DBB" w:rsidRDefault="00A86461" w:rsidP="00A86461">
      <w:pPr>
        <w:pStyle w:val="30"/>
        <w:numPr>
          <w:ilvl w:val="2"/>
          <w:numId w:val="1"/>
        </w:numPr>
      </w:pPr>
      <w:r w:rsidRPr="00393DBB">
        <w:rPr>
          <w:rFonts w:hint="eastAsia"/>
        </w:rPr>
        <w:t>內政部前營建署（現國土管理署）雖建置資訊服務中心，推動土方流向管控、場所設置管理及工程間交換撮合等措施，並宣稱合法收容處理場所容量足以支應產出量，然非法棄置案件仍時有所聞。處理方案中土石方與廢棄物認定標準模糊，第一線執法</w:t>
      </w:r>
      <w:r w:rsidRPr="00393DBB">
        <w:rPr>
          <w:rFonts w:hint="eastAsia"/>
        </w:rPr>
        <w:lastRenderedPageBreak/>
        <w:t>人員難以判斷，影響執法成效。地方政府公布之自治條例亦標準不一，位階及強制力不足，未能有效規範土石方處理及去化。跨縣市土石方流向管理不易，且部分公共工程執行單位對相關規定認知不足，皆加劇管理難度，顯見現行管理機制存在嚴重缺失。</w:t>
      </w:r>
    </w:p>
    <w:p w14:paraId="36FCEFEE" w14:textId="77777777" w:rsidR="00A86461" w:rsidRPr="00393DBB" w:rsidRDefault="00A86461" w:rsidP="00A86461">
      <w:pPr>
        <w:pStyle w:val="30"/>
        <w:numPr>
          <w:ilvl w:val="2"/>
          <w:numId w:val="1"/>
        </w:numPr>
      </w:pPr>
      <w:r w:rsidRPr="00393DBB">
        <w:rPr>
          <w:rFonts w:hint="eastAsia"/>
        </w:rPr>
        <w:t>行政院於92年雖指示「營建剩餘土石方處理」應予法制化，並委託學術機構</w:t>
      </w:r>
      <w:proofErr w:type="gramStart"/>
      <w:r w:rsidRPr="00393DBB">
        <w:rPr>
          <w:rFonts w:hint="eastAsia"/>
        </w:rPr>
        <w:t>研</w:t>
      </w:r>
      <w:proofErr w:type="gramEnd"/>
      <w:r w:rsidRPr="00393DBB">
        <w:rPr>
          <w:rFonts w:hint="eastAsia"/>
        </w:rPr>
        <w:t>擬草案，「營建剩餘土石方處理法」草案嗣於95年3月函送行政院審議，惟迄今已逾18年，尚未完成立法程序。行政院雖曾於95年間召開3次會議審議，前營建署及行政院公共工程委員會亦曾邀集相關機關</w:t>
      </w:r>
      <w:proofErr w:type="gramStart"/>
      <w:r w:rsidRPr="00393DBB">
        <w:rPr>
          <w:rFonts w:hint="eastAsia"/>
        </w:rPr>
        <w:t>研</w:t>
      </w:r>
      <w:proofErr w:type="gramEnd"/>
      <w:r w:rsidRPr="00393DBB">
        <w:rPr>
          <w:rFonts w:hint="eastAsia"/>
        </w:rPr>
        <w:t>商修正條文架構，然因政府組織改造而延宕。</w:t>
      </w:r>
      <w:r w:rsidRPr="00393DBB">
        <w:t>行政院及相關部會就後續修法方向及具體時程，未有明確之指示，致主管機關態度尚欠積極，立法進程因而遲緩。各部會間之溝通協調機制仍待加強，未能有效形成共識，致立法延宕，政策方向未明。另內政部雖以政府組織改造為由，一度擬將立法責任移轉予環境部，惟後續亦未能積極承擔。內政部國土</w:t>
      </w:r>
      <w:proofErr w:type="gramStart"/>
      <w:r w:rsidRPr="00393DBB">
        <w:t>管理署遲至</w:t>
      </w:r>
      <w:proofErr w:type="gramEnd"/>
      <w:r w:rsidRPr="00393DBB">
        <w:t>113年始召開專家學者座談會研擬「營建剩餘土石方最終去處規劃方案」，惟形式重於實質，未有具體進展。方案長期未予檢討更新，對資訊公開及公民參與亦未予充分重視，致公信力有待提升，不利於社會監督，</w:t>
      </w:r>
      <w:r w:rsidRPr="00393DBB">
        <w:rPr>
          <w:rFonts w:hint="eastAsia"/>
        </w:rPr>
        <w:t>行政院、</w:t>
      </w:r>
      <w:r w:rsidRPr="00393DBB">
        <w:t>內政部暨所屬國土管理署於法制化進程上，</w:t>
      </w:r>
      <w:r w:rsidRPr="00393DBB">
        <w:rPr>
          <w:rFonts w:hint="eastAsia"/>
        </w:rPr>
        <w:t>實有違失</w:t>
      </w:r>
      <w:r w:rsidRPr="00393DBB">
        <w:t>。</w:t>
      </w:r>
    </w:p>
    <w:bookmarkEnd w:id="52"/>
    <w:p w14:paraId="208D4B2A" w14:textId="77777777" w:rsidR="00A86461" w:rsidRPr="00393DBB" w:rsidRDefault="00A86461" w:rsidP="000971E2">
      <w:pPr>
        <w:pStyle w:val="a6"/>
        <w:numPr>
          <w:ilvl w:val="0"/>
          <w:numId w:val="20"/>
        </w:numPr>
      </w:pPr>
      <w:r w:rsidRPr="00393DBB">
        <w:rPr>
          <w:rFonts w:hint="eastAsia"/>
        </w:rPr>
        <w:t>營建剩餘土石方及營建事業廢棄物之比較</w:t>
      </w:r>
    </w:p>
    <w:tbl>
      <w:tblPr>
        <w:tblStyle w:val="TableNormal"/>
        <w:tblW w:w="921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3402"/>
        <w:gridCol w:w="2552"/>
        <w:gridCol w:w="1701"/>
      </w:tblGrid>
      <w:tr w:rsidR="00393DBB" w:rsidRPr="00393DBB" w14:paraId="283045C9" w14:textId="77777777" w:rsidTr="00393DBB">
        <w:trPr>
          <w:trHeight w:val="20"/>
          <w:tblHeader/>
        </w:trPr>
        <w:tc>
          <w:tcPr>
            <w:tcW w:w="1560" w:type="dxa"/>
            <w:vMerge w:val="restart"/>
            <w:tcBorders>
              <w:top w:val="single" w:sz="4" w:space="0" w:color="auto"/>
              <w:left w:val="single" w:sz="4" w:space="0" w:color="auto"/>
              <w:bottom w:val="single" w:sz="4" w:space="0" w:color="auto"/>
              <w:right w:val="single" w:sz="4" w:space="0" w:color="auto"/>
            </w:tcBorders>
            <w:vAlign w:val="center"/>
          </w:tcPr>
          <w:p w14:paraId="67894B98" w14:textId="77777777" w:rsidR="00A86461" w:rsidRPr="00393DBB" w:rsidRDefault="00A86461" w:rsidP="00393DBB">
            <w:pPr>
              <w:pStyle w:val="TableParagraph"/>
              <w:spacing w:line="360" w:lineRule="exact"/>
              <w:ind w:left="0"/>
              <w:jc w:val="center"/>
              <w:rPr>
                <w:bCs/>
                <w:sz w:val="24"/>
                <w:szCs w:val="24"/>
              </w:rPr>
            </w:pPr>
            <w:proofErr w:type="spellStart"/>
            <w:r w:rsidRPr="00393DBB">
              <w:rPr>
                <w:bCs/>
                <w:sz w:val="24"/>
                <w:szCs w:val="24"/>
              </w:rPr>
              <w:t>項目</w:t>
            </w:r>
            <w:proofErr w:type="spellEnd"/>
          </w:p>
        </w:tc>
        <w:tc>
          <w:tcPr>
            <w:tcW w:w="3402" w:type="dxa"/>
            <w:vMerge w:val="restart"/>
            <w:tcBorders>
              <w:top w:val="single" w:sz="4" w:space="0" w:color="auto"/>
              <w:left w:val="single" w:sz="4" w:space="0" w:color="auto"/>
              <w:bottom w:val="single" w:sz="4" w:space="0" w:color="auto"/>
              <w:right w:val="single" w:sz="4" w:space="0" w:color="auto"/>
            </w:tcBorders>
            <w:vAlign w:val="center"/>
          </w:tcPr>
          <w:p w14:paraId="1925EF0C" w14:textId="77777777" w:rsidR="00A86461" w:rsidRPr="00393DBB" w:rsidRDefault="00A86461" w:rsidP="00393DBB">
            <w:pPr>
              <w:pStyle w:val="TableParagraph"/>
              <w:spacing w:line="360" w:lineRule="exact"/>
              <w:ind w:left="0"/>
              <w:jc w:val="center"/>
              <w:rPr>
                <w:bCs/>
                <w:sz w:val="24"/>
                <w:szCs w:val="24"/>
              </w:rPr>
            </w:pPr>
            <w:proofErr w:type="spellStart"/>
            <w:r w:rsidRPr="00393DBB">
              <w:rPr>
                <w:bCs/>
                <w:sz w:val="24"/>
                <w:szCs w:val="24"/>
              </w:rPr>
              <w:t>營建剩餘土石方</w:t>
            </w:r>
            <w:proofErr w:type="spellEnd"/>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5F505741" w14:textId="77777777" w:rsidR="00A86461" w:rsidRPr="00393DBB" w:rsidRDefault="00A86461" w:rsidP="00393DBB">
            <w:pPr>
              <w:pStyle w:val="TableParagraph"/>
              <w:spacing w:line="360" w:lineRule="exact"/>
              <w:ind w:left="0"/>
              <w:jc w:val="center"/>
              <w:rPr>
                <w:bCs/>
                <w:sz w:val="24"/>
                <w:szCs w:val="24"/>
              </w:rPr>
            </w:pPr>
            <w:proofErr w:type="spellStart"/>
            <w:r w:rsidRPr="00393DBB">
              <w:rPr>
                <w:bCs/>
                <w:sz w:val="24"/>
                <w:szCs w:val="24"/>
              </w:rPr>
              <w:t>營建事業廢棄物</w:t>
            </w:r>
            <w:proofErr w:type="spellEnd"/>
          </w:p>
        </w:tc>
      </w:tr>
      <w:tr w:rsidR="00393DBB" w:rsidRPr="00393DBB" w14:paraId="2CEF4842" w14:textId="77777777" w:rsidTr="00393DBB">
        <w:trPr>
          <w:trHeight w:val="20"/>
          <w:tblHeader/>
        </w:trPr>
        <w:tc>
          <w:tcPr>
            <w:tcW w:w="1560" w:type="dxa"/>
            <w:vMerge/>
            <w:tcBorders>
              <w:top w:val="single" w:sz="4" w:space="0" w:color="auto"/>
              <w:left w:val="single" w:sz="4" w:space="0" w:color="auto"/>
              <w:bottom w:val="single" w:sz="4" w:space="0" w:color="auto"/>
              <w:right w:val="single" w:sz="4" w:space="0" w:color="auto"/>
            </w:tcBorders>
            <w:vAlign w:val="center"/>
          </w:tcPr>
          <w:p w14:paraId="5EF1FC72" w14:textId="77777777" w:rsidR="00A86461" w:rsidRPr="00393DBB" w:rsidRDefault="00A86461" w:rsidP="00393DBB">
            <w:pPr>
              <w:spacing w:line="360" w:lineRule="exact"/>
              <w:jc w:val="center"/>
              <w:rPr>
                <w:bCs/>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046E85BF" w14:textId="77777777" w:rsidR="00A86461" w:rsidRPr="00393DBB" w:rsidRDefault="00A86461" w:rsidP="00393DBB">
            <w:pPr>
              <w:spacing w:line="360" w:lineRule="exact"/>
              <w:jc w:val="center"/>
              <w:rPr>
                <w:bCs/>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1F0DAC2F" w14:textId="77777777" w:rsidR="00A86461" w:rsidRPr="00393DBB" w:rsidRDefault="00A86461" w:rsidP="00393DBB">
            <w:pPr>
              <w:pStyle w:val="TableParagraph"/>
              <w:spacing w:line="360" w:lineRule="exact"/>
              <w:ind w:left="0"/>
              <w:jc w:val="center"/>
              <w:rPr>
                <w:bCs/>
                <w:sz w:val="24"/>
                <w:szCs w:val="24"/>
              </w:rPr>
            </w:pPr>
            <w:proofErr w:type="spellStart"/>
            <w:r w:rsidRPr="00393DBB">
              <w:rPr>
                <w:bCs/>
                <w:sz w:val="24"/>
                <w:szCs w:val="24"/>
              </w:rPr>
              <w:t>營建混合物</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6A933899" w14:textId="77777777" w:rsidR="00A86461" w:rsidRPr="00393DBB" w:rsidRDefault="00A86461" w:rsidP="00393DBB">
            <w:pPr>
              <w:pStyle w:val="TableParagraph"/>
              <w:spacing w:line="360" w:lineRule="exact"/>
              <w:ind w:left="0"/>
              <w:jc w:val="center"/>
              <w:rPr>
                <w:bCs/>
                <w:sz w:val="24"/>
                <w:szCs w:val="24"/>
              </w:rPr>
            </w:pPr>
            <w:proofErr w:type="spellStart"/>
            <w:r w:rsidRPr="00393DBB">
              <w:rPr>
                <w:bCs/>
                <w:sz w:val="24"/>
                <w:szCs w:val="24"/>
              </w:rPr>
              <w:t>事業廢棄物</w:t>
            </w:r>
            <w:proofErr w:type="spellEnd"/>
          </w:p>
        </w:tc>
      </w:tr>
      <w:tr w:rsidR="00393DBB" w:rsidRPr="00393DBB" w14:paraId="577B7FA7" w14:textId="77777777" w:rsidTr="00393DBB">
        <w:trPr>
          <w:trHeight w:val="20"/>
        </w:trPr>
        <w:tc>
          <w:tcPr>
            <w:tcW w:w="1560" w:type="dxa"/>
            <w:tcBorders>
              <w:top w:val="single" w:sz="4" w:space="0" w:color="auto"/>
              <w:left w:val="single" w:sz="4" w:space="0" w:color="auto"/>
              <w:bottom w:val="single" w:sz="4" w:space="0" w:color="auto"/>
              <w:right w:val="single" w:sz="4" w:space="0" w:color="auto"/>
            </w:tcBorders>
            <w:vAlign w:val="center"/>
          </w:tcPr>
          <w:p w14:paraId="72B3DD6C" w14:textId="77777777" w:rsidR="00A86461" w:rsidRPr="00393DBB" w:rsidRDefault="00A86461" w:rsidP="00393DBB">
            <w:pPr>
              <w:pStyle w:val="TableParagraph"/>
              <w:spacing w:line="360" w:lineRule="exact"/>
              <w:ind w:left="0"/>
              <w:jc w:val="center"/>
              <w:rPr>
                <w:bCs/>
                <w:sz w:val="24"/>
                <w:szCs w:val="24"/>
                <w:lang w:eastAsia="zh-TW"/>
              </w:rPr>
            </w:pPr>
            <w:r w:rsidRPr="00393DBB">
              <w:rPr>
                <w:rFonts w:hint="eastAsia"/>
                <w:bCs/>
                <w:sz w:val="24"/>
                <w:szCs w:val="24"/>
                <w:lang w:eastAsia="zh-TW"/>
              </w:rPr>
              <w:t>認定標準</w:t>
            </w:r>
          </w:p>
        </w:tc>
        <w:tc>
          <w:tcPr>
            <w:tcW w:w="3402" w:type="dxa"/>
            <w:tcBorders>
              <w:top w:val="single" w:sz="4" w:space="0" w:color="auto"/>
              <w:left w:val="single" w:sz="4" w:space="0" w:color="auto"/>
              <w:bottom w:val="single" w:sz="4" w:space="0" w:color="auto"/>
              <w:right w:val="single" w:sz="4" w:space="0" w:color="auto"/>
            </w:tcBorders>
            <w:vAlign w:val="center"/>
          </w:tcPr>
          <w:p w14:paraId="79426314" w14:textId="77777777" w:rsidR="00A86461" w:rsidRPr="00393DBB" w:rsidRDefault="00A86461" w:rsidP="00393DBB">
            <w:pPr>
              <w:pStyle w:val="TableParagraph"/>
              <w:kinsoku w:val="0"/>
              <w:spacing w:line="300" w:lineRule="exact"/>
              <w:jc w:val="both"/>
              <w:rPr>
                <w:bCs/>
                <w:sz w:val="24"/>
                <w:szCs w:val="24"/>
                <w:lang w:eastAsia="zh-TW"/>
              </w:rPr>
            </w:pPr>
            <w:r w:rsidRPr="00393DBB">
              <w:rPr>
                <w:rFonts w:hint="eastAsia"/>
                <w:bCs/>
                <w:sz w:val="24"/>
                <w:szCs w:val="24"/>
                <w:lang w:eastAsia="zh-TW"/>
              </w:rPr>
              <w:t>建築工程、公共工程、其他民間工程及收容處理場所產生</w:t>
            </w:r>
            <w:r w:rsidRPr="00393DBB">
              <w:rPr>
                <w:rFonts w:hint="eastAsia"/>
                <w:bCs/>
                <w:sz w:val="24"/>
                <w:szCs w:val="24"/>
                <w:lang w:eastAsia="zh-TW"/>
              </w:rPr>
              <w:lastRenderedPageBreak/>
              <w:t>之剩餘泥、土、砂、石、磚、瓦、混凝土塊等，</w:t>
            </w:r>
            <w:proofErr w:type="gramStart"/>
            <w:r w:rsidRPr="00393DBB">
              <w:rPr>
                <w:rFonts w:hint="eastAsia"/>
                <w:bCs/>
                <w:sz w:val="24"/>
                <w:szCs w:val="24"/>
                <w:lang w:eastAsia="zh-TW"/>
              </w:rPr>
              <w:t>經暫屯</w:t>
            </w:r>
            <w:proofErr w:type="gramEnd"/>
            <w:r w:rsidRPr="00393DBB">
              <w:rPr>
                <w:rFonts w:hint="eastAsia"/>
                <w:bCs/>
                <w:sz w:val="24"/>
                <w:szCs w:val="24"/>
                <w:lang w:eastAsia="zh-TW"/>
              </w:rPr>
              <w:t>、堆置可供回收、分類、加工、轉運、處理、再生利用者，屬有用之土壤砂石資源。</w:t>
            </w:r>
          </w:p>
        </w:tc>
        <w:tc>
          <w:tcPr>
            <w:tcW w:w="2552" w:type="dxa"/>
            <w:tcBorders>
              <w:top w:val="single" w:sz="4" w:space="0" w:color="auto"/>
              <w:left w:val="single" w:sz="4" w:space="0" w:color="auto"/>
              <w:bottom w:val="single" w:sz="4" w:space="0" w:color="auto"/>
              <w:right w:val="single" w:sz="4" w:space="0" w:color="auto"/>
            </w:tcBorders>
            <w:vAlign w:val="center"/>
          </w:tcPr>
          <w:p w14:paraId="02DFF75F" w14:textId="77777777" w:rsidR="00A86461" w:rsidRPr="00393DBB" w:rsidRDefault="00A86461" w:rsidP="00393DBB">
            <w:pPr>
              <w:pStyle w:val="TableParagraph"/>
              <w:kinsoku w:val="0"/>
              <w:spacing w:line="300" w:lineRule="exact"/>
              <w:jc w:val="both"/>
              <w:rPr>
                <w:bCs/>
                <w:sz w:val="24"/>
                <w:szCs w:val="24"/>
                <w:lang w:eastAsia="zh-TW"/>
              </w:rPr>
            </w:pPr>
            <w:r w:rsidRPr="00393DBB">
              <w:rPr>
                <w:rFonts w:hint="eastAsia"/>
                <w:bCs/>
                <w:sz w:val="24"/>
                <w:szCs w:val="24"/>
                <w:lang w:eastAsia="zh-TW"/>
              </w:rPr>
              <w:lastRenderedPageBreak/>
              <w:t>內政部國土管理</w:t>
            </w:r>
            <w:r w:rsidRPr="00393DBB">
              <w:rPr>
                <w:bCs/>
                <w:sz w:val="24"/>
                <w:szCs w:val="24"/>
                <w:lang w:eastAsia="zh-TW"/>
              </w:rPr>
              <w:t>署100年6月24日函釋：</w:t>
            </w:r>
            <w:r w:rsidRPr="00393DBB">
              <w:rPr>
                <w:bCs/>
                <w:sz w:val="24"/>
                <w:szCs w:val="24"/>
                <w:lang w:eastAsia="zh-TW"/>
              </w:rPr>
              <w:lastRenderedPageBreak/>
              <w:t>營建剩餘土石方混雜營建廢棄物(廢木材、廢塑膠、廢橡膠)而未加以分類，為營建混合物，(未經妥善分類)。</w:t>
            </w:r>
          </w:p>
        </w:tc>
        <w:tc>
          <w:tcPr>
            <w:tcW w:w="1701" w:type="dxa"/>
            <w:tcBorders>
              <w:top w:val="single" w:sz="4" w:space="0" w:color="auto"/>
              <w:left w:val="single" w:sz="4" w:space="0" w:color="auto"/>
              <w:bottom w:val="single" w:sz="4" w:space="0" w:color="auto"/>
              <w:right w:val="single" w:sz="4" w:space="0" w:color="auto"/>
            </w:tcBorders>
            <w:vAlign w:val="center"/>
          </w:tcPr>
          <w:p w14:paraId="6521A9C9" w14:textId="77777777" w:rsidR="00A86461" w:rsidRPr="00393DBB" w:rsidRDefault="00A86461" w:rsidP="00393DBB">
            <w:pPr>
              <w:pStyle w:val="TableParagraph"/>
              <w:kinsoku w:val="0"/>
              <w:spacing w:line="300" w:lineRule="exact"/>
              <w:jc w:val="both"/>
              <w:rPr>
                <w:bCs/>
                <w:sz w:val="24"/>
                <w:szCs w:val="24"/>
                <w:lang w:eastAsia="zh-TW"/>
              </w:rPr>
            </w:pPr>
            <w:r w:rsidRPr="00393DBB">
              <w:rPr>
                <w:bCs/>
                <w:sz w:val="24"/>
                <w:szCs w:val="24"/>
                <w:lang w:eastAsia="zh-TW"/>
              </w:rPr>
              <w:lastRenderedPageBreak/>
              <w:t>來源為工程施工建造、建築</w:t>
            </w:r>
            <w:r w:rsidRPr="00393DBB">
              <w:rPr>
                <w:bCs/>
                <w:sz w:val="24"/>
                <w:szCs w:val="24"/>
                <w:lang w:eastAsia="zh-TW"/>
              </w:rPr>
              <w:lastRenderedPageBreak/>
              <w:t>拆除、裝修工程及整地刨除所產生之事業廢棄物</w:t>
            </w:r>
            <w:r w:rsidRPr="00393DBB">
              <w:rPr>
                <w:rFonts w:hint="eastAsia"/>
                <w:bCs/>
                <w:sz w:val="24"/>
                <w:szCs w:val="24"/>
                <w:lang w:eastAsia="zh-TW"/>
              </w:rPr>
              <w:t>。</w:t>
            </w:r>
          </w:p>
        </w:tc>
      </w:tr>
      <w:tr w:rsidR="00393DBB" w:rsidRPr="00393DBB" w14:paraId="1A2F0CFA" w14:textId="77777777" w:rsidTr="00393DBB">
        <w:trPr>
          <w:trHeight w:val="20"/>
        </w:trPr>
        <w:tc>
          <w:tcPr>
            <w:tcW w:w="1560" w:type="dxa"/>
            <w:tcBorders>
              <w:top w:val="single" w:sz="4" w:space="0" w:color="auto"/>
              <w:left w:val="single" w:sz="4" w:space="0" w:color="auto"/>
              <w:bottom w:val="single" w:sz="4" w:space="0" w:color="auto"/>
              <w:right w:val="single" w:sz="4" w:space="0" w:color="auto"/>
            </w:tcBorders>
            <w:vAlign w:val="center"/>
          </w:tcPr>
          <w:p w14:paraId="37DD0F46" w14:textId="77777777" w:rsidR="00A86461" w:rsidRPr="00393DBB" w:rsidRDefault="00A86461" w:rsidP="00393DBB">
            <w:pPr>
              <w:pStyle w:val="TableParagraph"/>
              <w:spacing w:line="360" w:lineRule="exact"/>
              <w:ind w:left="0"/>
              <w:jc w:val="center"/>
              <w:rPr>
                <w:bCs/>
                <w:sz w:val="24"/>
                <w:szCs w:val="24"/>
              </w:rPr>
            </w:pPr>
            <w:r w:rsidRPr="00393DBB">
              <w:rPr>
                <w:rFonts w:hint="eastAsia"/>
                <w:bCs/>
                <w:sz w:val="24"/>
                <w:szCs w:val="24"/>
                <w:lang w:eastAsia="zh-TW"/>
              </w:rPr>
              <w:lastRenderedPageBreak/>
              <w:t>處理方式</w:t>
            </w:r>
          </w:p>
        </w:tc>
        <w:tc>
          <w:tcPr>
            <w:tcW w:w="3402" w:type="dxa"/>
            <w:tcBorders>
              <w:top w:val="single" w:sz="4" w:space="0" w:color="auto"/>
              <w:left w:val="single" w:sz="4" w:space="0" w:color="auto"/>
              <w:bottom w:val="single" w:sz="4" w:space="0" w:color="auto"/>
              <w:right w:val="single" w:sz="4" w:space="0" w:color="auto"/>
            </w:tcBorders>
            <w:vAlign w:val="center"/>
          </w:tcPr>
          <w:p w14:paraId="369FAF98" w14:textId="77777777" w:rsidR="00A86461" w:rsidRPr="00393DBB" w:rsidRDefault="00A86461" w:rsidP="00393DBB">
            <w:pPr>
              <w:pStyle w:val="TableParagraph"/>
              <w:kinsoku w:val="0"/>
              <w:spacing w:line="300" w:lineRule="exact"/>
              <w:jc w:val="both"/>
              <w:rPr>
                <w:bCs/>
                <w:sz w:val="24"/>
                <w:szCs w:val="24"/>
                <w:lang w:eastAsia="zh-TW"/>
              </w:rPr>
            </w:pPr>
            <w:r w:rsidRPr="00393DBB">
              <w:rPr>
                <w:rFonts w:hint="eastAsia"/>
                <w:bCs/>
                <w:sz w:val="24"/>
                <w:szCs w:val="24"/>
                <w:lang w:eastAsia="zh-TW"/>
              </w:rPr>
              <w:t>營建剩餘土石方應妥善處理：一、挖填平衡。二、土方交換。三、運送至收容處理場所。</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272038C8" w14:textId="77777777" w:rsidR="00A86461" w:rsidRPr="00393DBB" w:rsidRDefault="00A86461" w:rsidP="00393DBB">
            <w:pPr>
              <w:pStyle w:val="TableParagraph"/>
              <w:spacing w:line="300" w:lineRule="exact"/>
              <w:ind w:left="0"/>
              <w:jc w:val="both"/>
              <w:rPr>
                <w:bCs/>
                <w:sz w:val="24"/>
                <w:szCs w:val="24"/>
                <w:lang w:eastAsia="zh-TW"/>
              </w:rPr>
            </w:pPr>
            <w:r w:rsidRPr="00393DBB">
              <w:rPr>
                <w:rFonts w:hint="eastAsia"/>
                <w:bCs/>
                <w:sz w:val="24"/>
                <w:szCs w:val="24"/>
                <w:lang w:eastAsia="zh-TW"/>
              </w:rPr>
              <w:t>依廢棄物清理法第28條處理或第39條再利用。</w:t>
            </w:r>
          </w:p>
        </w:tc>
      </w:tr>
      <w:tr w:rsidR="00393DBB" w:rsidRPr="00393DBB" w14:paraId="3EC3A1FF" w14:textId="77777777" w:rsidTr="00393DBB">
        <w:trPr>
          <w:trHeight w:val="20"/>
        </w:trPr>
        <w:tc>
          <w:tcPr>
            <w:tcW w:w="1560" w:type="dxa"/>
            <w:tcBorders>
              <w:top w:val="single" w:sz="4" w:space="0" w:color="auto"/>
              <w:left w:val="single" w:sz="4" w:space="0" w:color="auto"/>
              <w:bottom w:val="single" w:sz="4" w:space="0" w:color="auto"/>
              <w:right w:val="single" w:sz="4" w:space="0" w:color="auto"/>
            </w:tcBorders>
            <w:vAlign w:val="center"/>
          </w:tcPr>
          <w:p w14:paraId="1A118EC4" w14:textId="77777777" w:rsidR="00A86461" w:rsidRPr="00393DBB" w:rsidRDefault="00A86461" w:rsidP="00393DBB">
            <w:pPr>
              <w:pStyle w:val="TableParagraph"/>
              <w:spacing w:line="360" w:lineRule="exact"/>
              <w:ind w:left="0"/>
              <w:jc w:val="center"/>
              <w:rPr>
                <w:bCs/>
                <w:sz w:val="24"/>
                <w:szCs w:val="24"/>
              </w:rPr>
            </w:pPr>
            <w:r w:rsidRPr="00393DBB">
              <w:rPr>
                <w:rFonts w:hint="eastAsia"/>
                <w:bCs/>
                <w:sz w:val="24"/>
                <w:szCs w:val="24"/>
                <w:lang w:eastAsia="zh-TW"/>
              </w:rPr>
              <w:t>非法棄置之處罰</w:t>
            </w:r>
          </w:p>
        </w:tc>
        <w:tc>
          <w:tcPr>
            <w:tcW w:w="3402" w:type="dxa"/>
            <w:tcBorders>
              <w:top w:val="single" w:sz="4" w:space="0" w:color="auto"/>
              <w:left w:val="single" w:sz="4" w:space="0" w:color="auto"/>
              <w:bottom w:val="single" w:sz="4" w:space="0" w:color="auto"/>
              <w:right w:val="single" w:sz="4" w:space="0" w:color="auto"/>
            </w:tcBorders>
            <w:vAlign w:val="center"/>
          </w:tcPr>
          <w:p w14:paraId="2E9EB4AB" w14:textId="77777777" w:rsidR="00A86461" w:rsidRPr="00393DBB" w:rsidRDefault="00A86461" w:rsidP="00393DBB">
            <w:pPr>
              <w:pStyle w:val="TableParagraph"/>
              <w:kinsoku w:val="0"/>
              <w:spacing w:line="300" w:lineRule="exact"/>
              <w:jc w:val="both"/>
              <w:rPr>
                <w:bCs/>
                <w:sz w:val="24"/>
                <w:szCs w:val="24"/>
                <w:lang w:eastAsia="zh-TW"/>
              </w:rPr>
            </w:pPr>
            <w:r w:rsidRPr="00393DBB">
              <w:rPr>
                <w:rFonts w:hint="eastAsia"/>
                <w:bCs/>
                <w:sz w:val="24"/>
                <w:szCs w:val="24"/>
                <w:lang w:eastAsia="zh-TW"/>
              </w:rPr>
              <w:t>廢棄物清理法、建築法、都市計畫法、區域計畫法及地方自治法規等法規。</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1985D831" w14:textId="77777777" w:rsidR="00A86461" w:rsidRPr="00393DBB" w:rsidRDefault="00A86461" w:rsidP="00393DBB">
            <w:pPr>
              <w:pStyle w:val="TableParagraph"/>
              <w:spacing w:line="300" w:lineRule="exact"/>
              <w:ind w:left="0"/>
              <w:jc w:val="both"/>
              <w:rPr>
                <w:bCs/>
                <w:sz w:val="24"/>
                <w:szCs w:val="24"/>
                <w:lang w:eastAsia="zh-TW"/>
              </w:rPr>
            </w:pPr>
            <w:r w:rsidRPr="00393DBB">
              <w:rPr>
                <w:rFonts w:hint="eastAsia"/>
                <w:bCs/>
                <w:sz w:val="24"/>
                <w:szCs w:val="24"/>
                <w:lang w:eastAsia="zh-TW"/>
              </w:rPr>
              <w:t>廢棄物清理法、建築法、都市計畫法、區域計畫法等法規。</w:t>
            </w:r>
          </w:p>
        </w:tc>
      </w:tr>
    </w:tbl>
    <w:p w14:paraId="722A9770" w14:textId="77777777" w:rsidR="00A86461" w:rsidRPr="00393DBB" w:rsidRDefault="00A86461" w:rsidP="00A86461">
      <w:pPr>
        <w:pStyle w:val="30"/>
        <w:numPr>
          <w:ilvl w:val="2"/>
          <w:numId w:val="1"/>
        </w:numPr>
      </w:pPr>
      <w:proofErr w:type="gramStart"/>
      <w:r w:rsidRPr="00393DBB">
        <w:rPr>
          <w:rFonts w:hint="eastAsia"/>
        </w:rPr>
        <w:t>詢</w:t>
      </w:r>
      <w:proofErr w:type="gramEnd"/>
      <w:r w:rsidRPr="00393DBB">
        <w:rPr>
          <w:rFonts w:hint="eastAsia"/>
        </w:rPr>
        <w:t>據專業顧問公司、學界及相關社團協會之專家明確指出，「營建剩餘土石方處理方案」位階過低，與《廢棄物清理法》扞格，難以釐清廢棄物認定標準及副產品定義(如表1所示)。專家並建議以重量計量土石方，</w:t>
      </w:r>
      <w:proofErr w:type="gramStart"/>
      <w:r w:rsidRPr="00393DBB">
        <w:rPr>
          <w:rFonts w:hint="eastAsia"/>
        </w:rPr>
        <w:t>釐</w:t>
      </w:r>
      <w:proofErr w:type="gramEnd"/>
      <w:r w:rsidRPr="00393DBB">
        <w:rPr>
          <w:rFonts w:hint="eastAsia"/>
        </w:rPr>
        <w:t>清分類標準，強化科技執法並導入</w:t>
      </w:r>
      <w:proofErr w:type="gramStart"/>
      <w:r w:rsidRPr="00393DBB">
        <w:rPr>
          <w:rFonts w:hint="eastAsia"/>
        </w:rPr>
        <w:t>區塊鏈技</w:t>
      </w:r>
      <w:proofErr w:type="gramEnd"/>
      <w:r w:rsidRPr="00393DBB">
        <w:rPr>
          <w:rFonts w:hint="eastAsia"/>
        </w:rPr>
        <w:t>術管理土石方流向，以及參考日本「建設回收法」強制回收再利用、強化收容場所管理及跨縣市合作等措施。</w:t>
      </w:r>
    </w:p>
    <w:p w14:paraId="6700A1CA" w14:textId="77777777" w:rsidR="00A86461" w:rsidRPr="00393DBB" w:rsidRDefault="00A86461" w:rsidP="00A86461">
      <w:pPr>
        <w:pStyle w:val="30"/>
        <w:numPr>
          <w:ilvl w:val="2"/>
          <w:numId w:val="1"/>
        </w:numPr>
      </w:pPr>
      <w:r w:rsidRPr="00393DBB">
        <w:rPr>
          <w:rFonts w:hint="eastAsia"/>
        </w:rPr>
        <w:t>綜上，內政部暨所屬國土管理署在「營建剩餘土石方處理法」立法過程延宕，</w:t>
      </w:r>
      <w:r w:rsidRPr="00393DBB">
        <w:t>行政院亦未能積極督導，以致政策方向不明確，行政院</w:t>
      </w:r>
      <w:r w:rsidRPr="00393DBB">
        <w:rPr>
          <w:rFonts w:hint="eastAsia"/>
        </w:rPr>
        <w:t>、</w:t>
      </w:r>
      <w:r w:rsidRPr="00393DBB">
        <w:t>內政部</w:t>
      </w:r>
      <w:r w:rsidRPr="00393DBB">
        <w:rPr>
          <w:rFonts w:hint="eastAsia"/>
        </w:rPr>
        <w:t>暨所屬國土管理</w:t>
      </w:r>
      <w:proofErr w:type="gramStart"/>
      <w:r w:rsidRPr="00393DBB">
        <w:rPr>
          <w:rFonts w:hint="eastAsia"/>
        </w:rPr>
        <w:t>署</w:t>
      </w:r>
      <w:r w:rsidRPr="00393DBB">
        <w:t>均有</w:t>
      </w:r>
      <w:r w:rsidRPr="00393DBB">
        <w:rPr>
          <w:rFonts w:hint="eastAsia"/>
        </w:rPr>
        <w:t>違</w:t>
      </w:r>
      <w:proofErr w:type="gramEnd"/>
      <w:r w:rsidRPr="00393DBB">
        <w:rPr>
          <w:rFonts w:hint="eastAsia"/>
        </w:rPr>
        <w:t>失。</w:t>
      </w:r>
    </w:p>
    <w:p w14:paraId="3E45AEA0" w14:textId="681D096E" w:rsidR="00485C8D" w:rsidRPr="00393DBB" w:rsidRDefault="00485C8D" w:rsidP="005462B2">
      <w:pPr>
        <w:pStyle w:val="2"/>
        <w:rPr>
          <w:b/>
          <w:bCs w:val="0"/>
        </w:rPr>
      </w:pPr>
      <w:bookmarkStart w:id="56" w:name="_Hlk188514611"/>
      <w:bookmarkStart w:id="57" w:name="_Toc524895648"/>
      <w:bookmarkStart w:id="58" w:name="_Toc524896194"/>
      <w:bookmarkStart w:id="59" w:name="_Toc524896224"/>
      <w:bookmarkStart w:id="60" w:name="_Toc524902734"/>
      <w:bookmarkStart w:id="61" w:name="_Toc525066148"/>
      <w:bookmarkStart w:id="62" w:name="_Toc525070839"/>
      <w:bookmarkStart w:id="63" w:name="_Toc525938379"/>
      <w:bookmarkStart w:id="64" w:name="_Toc525939227"/>
      <w:bookmarkStart w:id="65" w:name="_Toc525939732"/>
      <w:bookmarkStart w:id="66" w:name="_Toc529218272"/>
      <w:bookmarkEnd w:id="51"/>
      <w:bookmarkEnd w:id="53"/>
      <w:bookmarkEnd w:id="54"/>
      <w:bookmarkEnd w:id="55"/>
      <w:r w:rsidRPr="00393DBB">
        <w:rPr>
          <w:rFonts w:hint="eastAsia"/>
          <w:b/>
        </w:rPr>
        <w:t>營建剩餘土石方管理與再利用，貴在疏導而非圍堵。然內政部國土</w:t>
      </w:r>
      <w:proofErr w:type="gramStart"/>
      <w:r w:rsidRPr="00393DBB">
        <w:rPr>
          <w:rFonts w:hint="eastAsia"/>
          <w:b/>
        </w:rPr>
        <w:t>管理署僅以</w:t>
      </w:r>
      <w:proofErr w:type="gramEnd"/>
      <w:r w:rsidRPr="00393DBB">
        <w:rPr>
          <w:rFonts w:hint="eastAsia"/>
          <w:b/>
        </w:rPr>
        <w:t>行政規則「營建剩餘土石方處理方案」作為管理依據，形同具文</w:t>
      </w:r>
      <w:r w:rsidR="008972ED" w:rsidRPr="00393DBB">
        <w:rPr>
          <w:rFonts w:hint="eastAsia"/>
          <w:b/>
        </w:rPr>
        <w:t>，並未有效覓妥去處，亦無處罰或強制恢復原狀之法律位階</w:t>
      </w:r>
      <w:r w:rsidRPr="00393DBB">
        <w:rPr>
          <w:rFonts w:hint="eastAsia"/>
          <w:b/>
        </w:rPr>
        <w:t>；</w:t>
      </w:r>
      <w:r w:rsidR="008972ED" w:rsidRPr="00393DBB">
        <w:rPr>
          <w:rFonts w:hint="eastAsia"/>
          <w:b/>
        </w:rPr>
        <w:t>且</w:t>
      </w:r>
      <w:r w:rsidRPr="00393DBB">
        <w:rPr>
          <w:rFonts w:hint="eastAsia"/>
          <w:b/>
        </w:rPr>
        <w:t>臺灣彰化地方檢察署</w:t>
      </w:r>
      <w:r w:rsidRPr="00393DBB">
        <w:rPr>
          <w:rFonts w:hint="eastAsia"/>
          <w:b/>
          <w:bCs w:val="0"/>
        </w:rPr>
        <w:t>偵辦非法</w:t>
      </w:r>
      <w:proofErr w:type="gramStart"/>
      <w:r w:rsidRPr="00393DBB">
        <w:rPr>
          <w:rFonts w:hint="eastAsia"/>
          <w:b/>
          <w:bCs w:val="0"/>
        </w:rPr>
        <w:t>棄置餘土或</w:t>
      </w:r>
      <w:proofErr w:type="gramEnd"/>
      <w:r w:rsidRPr="00393DBB">
        <w:rPr>
          <w:rFonts w:hint="eastAsia"/>
          <w:b/>
          <w:bCs w:val="0"/>
        </w:rPr>
        <w:t>廢土案件，累積豐富之實務經驗，</w:t>
      </w:r>
      <w:r w:rsidRPr="00393DBB">
        <w:rPr>
          <w:rFonts w:hint="eastAsia"/>
          <w:b/>
        </w:rPr>
        <w:t>揭示</w:t>
      </w:r>
      <w:r w:rsidR="003C4DCF" w:rsidRPr="00393DBB">
        <w:rPr>
          <w:rFonts w:hint="eastAsia"/>
          <w:b/>
        </w:rPr>
        <w:t>部分</w:t>
      </w:r>
      <w:proofErr w:type="gramStart"/>
      <w:r w:rsidRPr="00393DBB">
        <w:rPr>
          <w:rFonts w:hint="eastAsia"/>
          <w:b/>
        </w:rPr>
        <w:t>土資</w:t>
      </w:r>
      <w:proofErr w:type="gramEnd"/>
      <w:r w:rsidRPr="00393DBB">
        <w:rPr>
          <w:rFonts w:hint="eastAsia"/>
          <w:b/>
        </w:rPr>
        <w:t>場出具不實聯單、主管機關未訂明確認定標準</w:t>
      </w:r>
      <w:r w:rsidR="008972ED" w:rsidRPr="00393DBB">
        <w:rPr>
          <w:rFonts w:hint="eastAsia"/>
          <w:b/>
        </w:rPr>
        <w:t>等問題</w:t>
      </w:r>
      <w:r w:rsidRPr="00393DBB">
        <w:rPr>
          <w:rFonts w:hint="eastAsia"/>
          <w:b/>
        </w:rPr>
        <w:t>，不僅未能落實源頭管理，更無法追蹤營建剩餘土石方全程流向，在在顯</w:t>
      </w:r>
      <w:r w:rsidR="008972ED" w:rsidRPr="00393DBB">
        <w:rPr>
          <w:rFonts w:hint="eastAsia"/>
          <w:b/>
        </w:rPr>
        <w:lastRenderedPageBreak/>
        <w:t>示</w:t>
      </w:r>
      <w:r w:rsidRPr="00393DBB">
        <w:rPr>
          <w:rFonts w:hint="eastAsia"/>
          <w:b/>
        </w:rPr>
        <w:t>中央主管機關</w:t>
      </w:r>
      <w:r w:rsidR="00C44BBE" w:rsidRPr="00393DBB">
        <w:rPr>
          <w:rFonts w:hint="eastAsia"/>
          <w:b/>
        </w:rPr>
        <w:t>內政部暨所屬國土管理</w:t>
      </w:r>
      <w:proofErr w:type="gramStart"/>
      <w:r w:rsidR="00C44BBE" w:rsidRPr="00393DBB">
        <w:rPr>
          <w:rFonts w:hint="eastAsia"/>
          <w:b/>
        </w:rPr>
        <w:t>署</w:t>
      </w:r>
      <w:r w:rsidR="008972ED" w:rsidRPr="00393DBB">
        <w:rPr>
          <w:rFonts w:hint="eastAsia"/>
          <w:b/>
        </w:rPr>
        <w:t>均</w:t>
      </w:r>
      <w:r w:rsidRPr="00393DBB">
        <w:rPr>
          <w:rFonts w:hint="eastAsia"/>
          <w:b/>
        </w:rPr>
        <w:t>有</w:t>
      </w:r>
      <w:proofErr w:type="gramEnd"/>
      <w:r w:rsidRPr="00393DBB">
        <w:rPr>
          <w:rFonts w:hint="eastAsia"/>
          <w:b/>
        </w:rPr>
        <w:t>違失。</w:t>
      </w:r>
    </w:p>
    <w:p w14:paraId="6FA33FCF" w14:textId="049DA59C" w:rsidR="00684C5B" w:rsidRPr="00393DBB" w:rsidRDefault="004843DF" w:rsidP="00393DBB">
      <w:pPr>
        <w:pStyle w:val="30"/>
        <w:kinsoku w:val="0"/>
        <w:wordWrap w:val="0"/>
        <w:ind w:left="1360" w:hanging="680"/>
      </w:pPr>
      <w:r w:rsidRPr="00393DBB">
        <w:rPr>
          <w:rFonts w:hint="eastAsia"/>
        </w:rPr>
        <w:t>依據內政部</w:t>
      </w:r>
      <w:r w:rsidRPr="00393DBB">
        <w:rPr>
          <w:rFonts w:hint="eastAsia"/>
          <w:bCs w:val="0"/>
        </w:rPr>
        <w:t>113年5月15日內政部台內國字</w:t>
      </w:r>
      <w:proofErr w:type="gramStart"/>
      <w:r w:rsidRPr="00393DBB">
        <w:rPr>
          <w:rFonts w:hint="eastAsia"/>
          <w:bCs w:val="0"/>
        </w:rPr>
        <w:t>第1130804415號函頒修正</w:t>
      </w:r>
      <w:proofErr w:type="gramEnd"/>
      <w:r w:rsidR="001C7EC2" w:rsidRPr="00393DBB">
        <w:rPr>
          <w:rFonts w:hint="eastAsia"/>
          <w:bCs w:val="0"/>
        </w:rPr>
        <w:t>「</w:t>
      </w:r>
      <w:r w:rsidRPr="00393DBB">
        <w:rPr>
          <w:rFonts w:hint="eastAsia"/>
          <w:bCs w:val="0"/>
        </w:rPr>
        <w:t>營建剩餘土石方處理方案</w:t>
      </w:r>
      <w:r w:rsidR="001C7EC2" w:rsidRPr="00393DBB">
        <w:rPr>
          <w:rFonts w:hint="eastAsia"/>
          <w:bCs w:val="0"/>
        </w:rPr>
        <w:t>」</w:t>
      </w:r>
      <w:proofErr w:type="gramStart"/>
      <w:r w:rsidRPr="00393DBB">
        <w:rPr>
          <w:rFonts w:hint="eastAsia"/>
        </w:rPr>
        <w:t>之</w:t>
      </w:r>
      <w:proofErr w:type="gramEnd"/>
      <w:r w:rsidRPr="00393DBB">
        <w:rPr>
          <w:rFonts w:hint="eastAsia"/>
        </w:rPr>
        <w:t>貳、適用範圍：「</w:t>
      </w:r>
      <w:r w:rsidRPr="00393DBB">
        <w:rPr>
          <w:rFonts w:hint="eastAsia"/>
          <w:bCs w:val="0"/>
        </w:rPr>
        <w:t>營建剩餘土石方之種類，包括建築工程、公共工程、其他民間工程及收容處理場所產生之剩餘泥、土、砂、石、磚、瓦、混凝土塊等，</w:t>
      </w:r>
      <w:proofErr w:type="gramStart"/>
      <w:r w:rsidRPr="00393DBB">
        <w:rPr>
          <w:rFonts w:hint="eastAsia"/>
          <w:bCs w:val="0"/>
        </w:rPr>
        <w:t>經暫屯</w:t>
      </w:r>
      <w:proofErr w:type="gramEnd"/>
      <w:r w:rsidRPr="00393DBB">
        <w:rPr>
          <w:rFonts w:hint="eastAsia"/>
          <w:bCs w:val="0"/>
        </w:rPr>
        <w:t>、堆置可供回收、分類、加工、處理、再生利用者，屬有用之土壤砂石資源。</w:t>
      </w:r>
      <w:r w:rsidRPr="00393DBB">
        <w:rPr>
          <w:rFonts w:hint="eastAsia"/>
        </w:rPr>
        <w:t>」</w:t>
      </w:r>
      <w:r w:rsidR="00684C5B" w:rsidRPr="00393DBB">
        <w:rPr>
          <w:rFonts w:hint="eastAsia"/>
          <w:bCs w:val="0"/>
        </w:rPr>
        <w:t>其執行</w:t>
      </w:r>
      <w:r w:rsidR="008972ED" w:rsidRPr="00393DBB">
        <w:rPr>
          <w:rFonts w:hint="eastAsia"/>
          <w:bCs w:val="0"/>
        </w:rPr>
        <w:t>係</w:t>
      </w:r>
      <w:r w:rsidR="00684C5B" w:rsidRPr="00393DBB">
        <w:rPr>
          <w:rFonts w:hint="eastAsia"/>
          <w:bCs w:val="0"/>
        </w:rPr>
        <w:t>依「地方制度法」第18條及第19條規定，為地方自治事項，屬直轄市、縣</w:t>
      </w:r>
      <w:r w:rsidR="00C44BBE" w:rsidRPr="00393DBB">
        <w:rPr>
          <w:rFonts w:hint="eastAsia"/>
          <w:bCs w:val="0"/>
        </w:rPr>
        <w:t>(</w:t>
      </w:r>
      <w:r w:rsidR="00684C5B" w:rsidRPr="00393DBB">
        <w:rPr>
          <w:rFonts w:hint="eastAsia"/>
          <w:bCs w:val="0"/>
        </w:rPr>
        <w:t>市</w:t>
      </w:r>
      <w:r w:rsidR="00C44BBE" w:rsidRPr="00393DBB">
        <w:rPr>
          <w:rFonts w:hint="eastAsia"/>
          <w:bCs w:val="0"/>
        </w:rPr>
        <w:t>)</w:t>
      </w:r>
      <w:r w:rsidR="00684C5B" w:rsidRPr="00393DBB">
        <w:rPr>
          <w:rFonts w:hint="eastAsia"/>
          <w:bCs w:val="0"/>
        </w:rPr>
        <w:t>政府及公共工程主辦</w:t>
      </w:r>
      <w:r w:rsidR="00C44BBE" w:rsidRPr="00393DBB">
        <w:rPr>
          <w:rFonts w:hint="eastAsia"/>
          <w:bCs w:val="0"/>
        </w:rPr>
        <w:t>(</w:t>
      </w:r>
      <w:r w:rsidR="00684C5B" w:rsidRPr="00393DBB">
        <w:rPr>
          <w:rFonts w:hint="eastAsia"/>
          <w:bCs w:val="0"/>
        </w:rPr>
        <w:t>管</w:t>
      </w:r>
      <w:r w:rsidR="00C44BBE" w:rsidRPr="00393DBB">
        <w:rPr>
          <w:rFonts w:hint="eastAsia"/>
          <w:bCs w:val="0"/>
        </w:rPr>
        <w:t>)</w:t>
      </w:r>
      <w:r w:rsidR="00684C5B" w:rsidRPr="00393DBB">
        <w:rPr>
          <w:rFonts w:hint="eastAsia"/>
          <w:bCs w:val="0"/>
        </w:rPr>
        <w:t>機關主管業務。按方案係提供直轄市、縣</w:t>
      </w:r>
      <w:r w:rsidR="00C44BBE" w:rsidRPr="00393DBB">
        <w:rPr>
          <w:rFonts w:hint="eastAsia"/>
          <w:bCs w:val="0"/>
        </w:rPr>
        <w:t>(</w:t>
      </w:r>
      <w:r w:rsidR="00684C5B" w:rsidRPr="00393DBB">
        <w:rPr>
          <w:rFonts w:hint="eastAsia"/>
          <w:bCs w:val="0"/>
        </w:rPr>
        <w:t>市</w:t>
      </w:r>
      <w:r w:rsidR="00C44BBE" w:rsidRPr="00393DBB">
        <w:rPr>
          <w:rFonts w:hint="eastAsia"/>
          <w:bCs w:val="0"/>
        </w:rPr>
        <w:t>)</w:t>
      </w:r>
      <w:r w:rsidR="00684C5B" w:rsidRPr="00393DBB">
        <w:rPr>
          <w:rFonts w:hint="eastAsia"/>
          <w:bCs w:val="0"/>
        </w:rPr>
        <w:t>政府及公共工程主辦</w:t>
      </w:r>
      <w:r w:rsidR="00C44BBE" w:rsidRPr="00393DBB">
        <w:rPr>
          <w:rFonts w:hint="eastAsia"/>
          <w:bCs w:val="0"/>
        </w:rPr>
        <w:t>(</w:t>
      </w:r>
      <w:r w:rsidR="00684C5B" w:rsidRPr="00393DBB">
        <w:rPr>
          <w:rFonts w:hint="eastAsia"/>
          <w:bCs w:val="0"/>
        </w:rPr>
        <w:t>管</w:t>
      </w:r>
      <w:r w:rsidR="00C44BBE" w:rsidRPr="00393DBB">
        <w:rPr>
          <w:rFonts w:hint="eastAsia"/>
          <w:bCs w:val="0"/>
        </w:rPr>
        <w:t>)</w:t>
      </w:r>
      <w:r w:rsidR="00684C5B" w:rsidRPr="00393DBB">
        <w:rPr>
          <w:rFonts w:hint="eastAsia"/>
          <w:bCs w:val="0"/>
        </w:rPr>
        <w:t>機關執</w:t>
      </w:r>
      <w:r w:rsidR="00684C5B" w:rsidRPr="00393DBB">
        <w:rPr>
          <w:rFonts w:hint="eastAsia"/>
        </w:rPr>
        <w:t>行營建剩餘土石方處理業務相關事項之政策指導原則，作為該管機關依地方制度法訂</w:t>
      </w:r>
      <w:r w:rsidR="00C44BBE" w:rsidRPr="00393DBB">
        <w:rPr>
          <w:rFonts w:hint="eastAsia"/>
        </w:rPr>
        <w:t>(</w:t>
      </w:r>
      <w:r w:rsidR="00684C5B" w:rsidRPr="00393DBB">
        <w:rPr>
          <w:rFonts w:hint="eastAsia"/>
        </w:rPr>
        <w:t>修</w:t>
      </w:r>
      <w:r w:rsidR="00C44BBE" w:rsidRPr="00393DBB">
        <w:rPr>
          <w:rFonts w:hint="eastAsia"/>
        </w:rPr>
        <w:t>)</w:t>
      </w:r>
      <w:r w:rsidR="00684C5B" w:rsidRPr="00393DBB">
        <w:rPr>
          <w:rFonts w:hint="eastAsia"/>
        </w:rPr>
        <w:t>定自治法規或規定</w:t>
      </w:r>
      <w:proofErr w:type="gramStart"/>
      <w:r w:rsidR="00684C5B" w:rsidRPr="00393DBB">
        <w:rPr>
          <w:rFonts w:hint="eastAsia"/>
        </w:rPr>
        <w:t>之參據</w:t>
      </w:r>
      <w:proofErr w:type="gramEnd"/>
      <w:r w:rsidR="00684C5B" w:rsidRPr="00393DBB">
        <w:rPr>
          <w:rFonts w:hint="eastAsia"/>
        </w:rPr>
        <w:t>，又方案之執行如有涉及建築法、區域計畫法、都市計畫法及相關法律規定者，應依各該法律規定辦理。</w:t>
      </w:r>
    </w:p>
    <w:p w14:paraId="73CDCFAE" w14:textId="36068680" w:rsidR="001C7EC2" w:rsidRPr="00393DBB" w:rsidRDefault="00C44BBE" w:rsidP="00393DBB">
      <w:pPr>
        <w:pStyle w:val="30"/>
        <w:kinsoku w:val="0"/>
        <w:wordWrap w:val="0"/>
        <w:ind w:left="1360" w:hanging="680"/>
      </w:pPr>
      <w:r w:rsidRPr="00393DBB">
        <w:rPr>
          <w:rFonts w:hint="eastAsia"/>
        </w:rPr>
        <w:t>經查「可再利用物料」係指營建剩餘土石方中經過多元化加工回收處理後，成為可再利用之土石方資源。「營建事業廢棄物」包括建築工程、公共工程、其他民間工程所產出的廢金屬、廢玻璃、廢塑膠、廢木材、竹片、廢紙屑及廢瀝青等，尚未經分離處理前的物料。</w:t>
      </w:r>
      <w:proofErr w:type="gramStart"/>
      <w:r w:rsidR="00684C5B" w:rsidRPr="00393DBB">
        <w:rPr>
          <w:rFonts w:hint="eastAsia"/>
        </w:rPr>
        <w:t>然查</w:t>
      </w:r>
      <w:proofErr w:type="gramEnd"/>
      <w:r w:rsidRPr="00393DBB">
        <w:rPr>
          <w:rFonts w:hint="eastAsia"/>
        </w:rPr>
        <w:t>「</w:t>
      </w:r>
      <w:r w:rsidR="002E2717" w:rsidRPr="00393DBB">
        <w:rPr>
          <w:rFonts w:hint="eastAsia"/>
        </w:rPr>
        <w:t>營建剩餘土石方</w:t>
      </w:r>
      <w:r w:rsidRPr="00393DBB">
        <w:rPr>
          <w:rFonts w:hint="eastAsia"/>
        </w:rPr>
        <w:t>」</w:t>
      </w:r>
      <w:r w:rsidR="002E2717" w:rsidRPr="00393DBB">
        <w:rPr>
          <w:rFonts w:hint="eastAsia"/>
        </w:rPr>
        <w:t>目前</w:t>
      </w:r>
      <w:r w:rsidRPr="00393DBB">
        <w:rPr>
          <w:rFonts w:hint="eastAsia"/>
        </w:rPr>
        <w:t>依土質分類</w:t>
      </w:r>
      <w:r w:rsidR="002E2717" w:rsidRPr="00393DBB">
        <w:rPr>
          <w:rFonts w:hint="eastAsia"/>
        </w:rPr>
        <w:t>為七類(B1-B7</w:t>
      </w:r>
      <w:r w:rsidRPr="00393DBB">
        <w:rPr>
          <w:rFonts w:hint="eastAsia"/>
        </w:rPr>
        <w:t>，如表</w:t>
      </w:r>
      <w:r w:rsidR="00D112C6" w:rsidRPr="00393DBB">
        <w:rPr>
          <w:rFonts w:hint="eastAsia"/>
        </w:rPr>
        <w:t>2</w:t>
      </w:r>
      <w:r w:rsidRPr="00393DBB">
        <w:rPr>
          <w:rFonts w:hint="eastAsia"/>
        </w:rPr>
        <w:t>所示</w:t>
      </w:r>
      <w:r w:rsidR="002E2717" w:rsidRPr="00393DBB">
        <w:rPr>
          <w:rFonts w:hint="eastAsia"/>
        </w:rPr>
        <w:t>)。</w:t>
      </w:r>
      <w:r w:rsidR="001C7EC2" w:rsidRPr="00393DBB">
        <w:rPr>
          <w:rFonts w:hint="eastAsia"/>
        </w:rPr>
        <w:t>然</w:t>
      </w:r>
      <w:r w:rsidR="001C7EC2" w:rsidRPr="00393DBB">
        <w:t>而此</w:t>
      </w:r>
      <w:r w:rsidR="001C7EC2" w:rsidRPr="00393DBB">
        <w:rPr>
          <w:rFonts w:hint="eastAsia"/>
        </w:rPr>
        <w:t>等</w:t>
      </w:r>
      <w:r w:rsidR="001C7EC2" w:rsidRPr="00393DBB">
        <w:t>分類並非以</w:t>
      </w:r>
      <w:r w:rsidR="001C7EC2" w:rsidRPr="00393DBB">
        <w:rPr>
          <w:rFonts w:hint="eastAsia"/>
        </w:rPr>
        <w:t>其</w:t>
      </w:r>
      <w:r w:rsidR="001C7EC2" w:rsidRPr="00393DBB">
        <w:t>是否為廢棄物作為區分標準，而較著重於再利用用途</w:t>
      </w:r>
      <w:r w:rsidR="001C7EC2" w:rsidRPr="00393DBB">
        <w:rPr>
          <w:rFonts w:hint="eastAsia"/>
        </w:rPr>
        <w:t>，且處理方案</w:t>
      </w:r>
      <w:r w:rsidR="001C7EC2" w:rsidRPr="00393DBB">
        <w:t>本身並未明確規範如何判斷營建剩餘土石方是否已成為廢棄物，</w:t>
      </w:r>
      <w:r w:rsidR="008972ED" w:rsidRPr="00393DBB">
        <w:t>實務上土石方與廢棄物</w:t>
      </w:r>
      <w:r w:rsidR="008972ED" w:rsidRPr="00393DBB">
        <w:rPr>
          <w:rFonts w:hint="eastAsia"/>
        </w:rPr>
        <w:t>之分類</w:t>
      </w:r>
      <w:r w:rsidR="008972ED" w:rsidRPr="00393DBB">
        <w:t>標準模糊</w:t>
      </w:r>
      <w:r w:rsidR="008972ED" w:rsidRPr="00393DBB">
        <w:rPr>
          <w:rFonts w:hint="eastAsia"/>
        </w:rPr>
        <w:t>，且</w:t>
      </w:r>
      <w:r w:rsidR="001C7EC2" w:rsidRPr="00393DBB">
        <w:t>造成</w:t>
      </w:r>
      <w:r w:rsidR="008972ED" w:rsidRPr="00393DBB">
        <w:rPr>
          <w:rFonts w:hint="eastAsia"/>
        </w:rPr>
        <w:t>認定</w:t>
      </w:r>
      <w:r w:rsidR="0076685B" w:rsidRPr="00393DBB">
        <w:rPr>
          <w:rFonts w:hint="eastAsia"/>
        </w:rPr>
        <w:t>各類土質劃分標準及數量統計之</w:t>
      </w:r>
      <w:r w:rsidR="001C7EC2" w:rsidRPr="00393DBB">
        <w:t>困難</w:t>
      </w:r>
      <w:r w:rsidR="001C7EC2" w:rsidRPr="00393DBB">
        <w:rPr>
          <w:rFonts w:hint="eastAsia"/>
        </w:rPr>
        <w:t>，尚需</w:t>
      </w:r>
      <w:r w:rsidR="001C7EC2" w:rsidRPr="00393DBB">
        <w:t>參照</w:t>
      </w:r>
      <w:r w:rsidR="001C7EC2" w:rsidRPr="00393DBB">
        <w:rPr>
          <w:rFonts w:hint="eastAsia"/>
        </w:rPr>
        <w:t>「</w:t>
      </w:r>
      <w:r w:rsidR="001C7EC2" w:rsidRPr="00393DBB">
        <w:t>廢棄物清理法</w:t>
      </w:r>
      <w:r w:rsidR="001C7EC2" w:rsidRPr="00393DBB">
        <w:rPr>
          <w:rFonts w:hint="eastAsia"/>
        </w:rPr>
        <w:t>」</w:t>
      </w:r>
      <w:r w:rsidR="001C7EC2" w:rsidRPr="00393DBB">
        <w:t>及其相關子法，</w:t>
      </w:r>
      <w:r w:rsidR="001C7EC2" w:rsidRPr="00393DBB">
        <w:rPr>
          <w:rFonts w:hint="eastAsia"/>
        </w:rPr>
        <w:t>且</w:t>
      </w:r>
      <w:r w:rsidR="001C7EC2" w:rsidRPr="00393DBB">
        <w:t>存在適用上</w:t>
      </w:r>
      <w:r w:rsidR="0076685B" w:rsidRPr="00393DBB">
        <w:rPr>
          <w:rFonts w:hint="eastAsia"/>
        </w:rPr>
        <w:t>之</w:t>
      </w:r>
      <w:r w:rsidR="001C7EC2" w:rsidRPr="00393DBB">
        <w:t>模糊空間，</w:t>
      </w:r>
      <w:r w:rsidR="0076685B" w:rsidRPr="00393DBB">
        <w:rPr>
          <w:rFonts w:hint="eastAsia"/>
        </w:rPr>
        <w:t>均</w:t>
      </w:r>
      <w:r w:rsidR="001C7EC2" w:rsidRPr="00393DBB">
        <w:t>有待主管機關進一步</w:t>
      </w:r>
      <w:proofErr w:type="gramStart"/>
      <w:r w:rsidR="001C7EC2" w:rsidRPr="00393DBB">
        <w:t>釐</w:t>
      </w:r>
      <w:proofErr w:type="gramEnd"/>
      <w:r w:rsidR="001C7EC2" w:rsidRPr="00393DBB">
        <w:t>清。</w:t>
      </w:r>
    </w:p>
    <w:p w14:paraId="47676BAF" w14:textId="6A2800EA" w:rsidR="008458D9" w:rsidRPr="00393DBB" w:rsidRDefault="00821469" w:rsidP="00821469">
      <w:pPr>
        <w:pStyle w:val="a6"/>
        <w:numPr>
          <w:ilvl w:val="0"/>
          <w:numId w:val="0"/>
        </w:numPr>
        <w:ind w:left="480" w:hanging="480"/>
      </w:pPr>
      <w:r>
        <w:rPr>
          <w:rFonts w:hint="eastAsia"/>
        </w:rPr>
        <w:lastRenderedPageBreak/>
        <w:t xml:space="preserve">表2  </w:t>
      </w:r>
      <w:r w:rsidR="008458D9" w:rsidRPr="00393DBB">
        <w:rPr>
          <w:rFonts w:hint="eastAsia"/>
        </w:rPr>
        <w:t>營建剩餘土石方之分類</w:t>
      </w:r>
    </w:p>
    <w:tbl>
      <w:tblPr>
        <w:tblStyle w:val="TableNormal"/>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2504"/>
        <w:gridCol w:w="2504"/>
        <w:gridCol w:w="2505"/>
      </w:tblGrid>
      <w:tr w:rsidR="00393DBB" w:rsidRPr="00393DBB" w14:paraId="5104DD1E" w14:textId="77777777" w:rsidTr="00393DBB">
        <w:trPr>
          <w:trHeight w:val="20"/>
          <w:tblHeader/>
        </w:trPr>
        <w:tc>
          <w:tcPr>
            <w:tcW w:w="1276" w:type="dxa"/>
            <w:vAlign w:val="center"/>
          </w:tcPr>
          <w:p w14:paraId="659AF316" w14:textId="77777777" w:rsidR="008458D9" w:rsidRPr="00393DBB" w:rsidRDefault="008458D9" w:rsidP="00393DBB">
            <w:pPr>
              <w:pStyle w:val="TableParagraph"/>
              <w:spacing w:line="360" w:lineRule="exact"/>
              <w:ind w:left="0"/>
              <w:jc w:val="center"/>
              <w:rPr>
                <w:sz w:val="28"/>
                <w:szCs w:val="20"/>
              </w:rPr>
            </w:pPr>
            <w:r w:rsidRPr="00393DBB">
              <w:rPr>
                <w:sz w:val="28"/>
                <w:szCs w:val="20"/>
              </w:rPr>
              <w:t>土</w:t>
            </w:r>
            <w:r w:rsidRPr="00393DBB">
              <w:rPr>
                <w:rFonts w:hint="eastAsia"/>
                <w:sz w:val="28"/>
                <w:szCs w:val="20"/>
                <w:lang w:eastAsia="zh-TW"/>
              </w:rPr>
              <w:t>質</w:t>
            </w:r>
            <w:proofErr w:type="spellStart"/>
            <w:r w:rsidRPr="00393DBB">
              <w:rPr>
                <w:sz w:val="28"/>
                <w:szCs w:val="20"/>
              </w:rPr>
              <w:t>分類</w:t>
            </w:r>
            <w:proofErr w:type="spellEnd"/>
          </w:p>
        </w:tc>
        <w:tc>
          <w:tcPr>
            <w:tcW w:w="7513" w:type="dxa"/>
            <w:gridSpan w:val="3"/>
            <w:vAlign w:val="center"/>
          </w:tcPr>
          <w:p w14:paraId="046C7D05" w14:textId="77777777" w:rsidR="008458D9" w:rsidRPr="00393DBB" w:rsidRDefault="008458D9" w:rsidP="00393DBB">
            <w:pPr>
              <w:pStyle w:val="TableParagraph"/>
              <w:spacing w:line="360" w:lineRule="exact"/>
              <w:ind w:left="0"/>
              <w:jc w:val="center"/>
              <w:rPr>
                <w:sz w:val="28"/>
                <w:szCs w:val="20"/>
              </w:rPr>
            </w:pPr>
            <w:r w:rsidRPr="00393DBB">
              <w:rPr>
                <w:sz w:val="28"/>
                <w:szCs w:val="20"/>
              </w:rPr>
              <w:t>性</w:t>
            </w:r>
            <w:r w:rsidRPr="00393DBB">
              <w:rPr>
                <w:rFonts w:hint="eastAsia"/>
                <w:sz w:val="28"/>
                <w:szCs w:val="20"/>
                <w:lang w:eastAsia="zh-TW"/>
              </w:rPr>
              <w:t>質</w:t>
            </w:r>
          </w:p>
        </w:tc>
      </w:tr>
      <w:tr w:rsidR="00393DBB" w:rsidRPr="00393DBB" w14:paraId="7178934B" w14:textId="77777777" w:rsidTr="00393DBB">
        <w:trPr>
          <w:trHeight w:val="20"/>
        </w:trPr>
        <w:tc>
          <w:tcPr>
            <w:tcW w:w="1276" w:type="dxa"/>
            <w:vAlign w:val="center"/>
          </w:tcPr>
          <w:p w14:paraId="42A3997F" w14:textId="77777777" w:rsidR="008458D9" w:rsidRPr="00393DBB" w:rsidRDefault="008458D9" w:rsidP="00393DBB">
            <w:pPr>
              <w:pStyle w:val="TableParagraph"/>
              <w:spacing w:line="360" w:lineRule="exact"/>
              <w:ind w:left="0"/>
              <w:jc w:val="center"/>
              <w:rPr>
                <w:sz w:val="28"/>
                <w:szCs w:val="20"/>
              </w:rPr>
            </w:pPr>
            <w:r w:rsidRPr="00393DBB">
              <w:rPr>
                <w:sz w:val="28"/>
                <w:szCs w:val="20"/>
              </w:rPr>
              <w:t>B1</w:t>
            </w:r>
          </w:p>
        </w:tc>
        <w:tc>
          <w:tcPr>
            <w:tcW w:w="7513" w:type="dxa"/>
            <w:gridSpan w:val="3"/>
            <w:vAlign w:val="center"/>
          </w:tcPr>
          <w:p w14:paraId="19446F8F" w14:textId="77777777" w:rsidR="008458D9" w:rsidRPr="00393DBB" w:rsidRDefault="008458D9" w:rsidP="00393DBB">
            <w:pPr>
              <w:pStyle w:val="TableParagraph"/>
              <w:spacing w:line="360" w:lineRule="exact"/>
              <w:ind w:left="0"/>
              <w:rPr>
                <w:sz w:val="28"/>
                <w:szCs w:val="20"/>
                <w:lang w:eastAsia="zh-TW"/>
              </w:rPr>
            </w:pPr>
            <w:r w:rsidRPr="00393DBB">
              <w:rPr>
                <w:sz w:val="28"/>
                <w:szCs w:val="20"/>
                <w:lang w:eastAsia="zh-TW"/>
              </w:rPr>
              <w:t>岩塊、礫石、碎石或沙</w:t>
            </w:r>
          </w:p>
        </w:tc>
      </w:tr>
      <w:tr w:rsidR="00393DBB" w:rsidRPr="00393DBB" w14:paraId="092A7D04" w14:textId="77777777" w:rsidTr="00393DBB">
        <w:trPr>
          <w:trHeight w:val="20"/>
        </w:trPr>
        <w:tc>
          <w:tcPr>
            <w:tcW w:w="1276" w:type="dxa"/>
            <w:vMerge w:val="restart"/>
            <w:vAlign w:val="center"/>
          </w:tcPr>
          <w:p w14:paraId="39B795FD" w14:textId="77777777" w:rsidR="008458D9" w:rsidRPr="00393DBB" w:rsidRDefault="008458D9" w:rsidP="00393DBB">
            <w:pPr>
              <w:pStyle w:val="TableParagraph"/>
              <w:spacing w:line="360" w:lineRule="exact"/>
              <w:ind w:left="0"/>
              <w:jc w:val="center"/>
              <w:rPr>
                <w:sz w:val="28"/>
                <w:szCs w:val="20"/>
              </w:rPr>
            </w:pPr>
            <w:r w:rsidRPr="00393DBB">
              <w:rPr>
                <w:sz w:val="28"/>
                <w:szCs w:val="20"/>
              </w:rPr>
              <w:t>B2</w:t>
            </w:r>
          </w:p>
        </w:tc>
        <w:tc>
          <w:tcPr>
            <w:tcW w:w="7513" w:type="dxa"/>
            <w:gridSpan w:val="3"/>
            <w:vAlign w:val="center"/>
          </w:tcPr>
          <w:p w14:paraId="5301DA8F" w14:textId="77777777" w:rsidR="008458D9" w:rsidRPr="00393DBB" w:rsidRDefault="008458D9" w:rsidP="00393DBB">
            <w:pPr>
              <w:pStyle w:val="TableParagraph"/>
              <w:spacing w:line="360" w:lineRule="exact"/>
              <w:ind w:left="0"/>
              <w:rPr>
                <w:sz w:val="28"/>
                <w:szCs w:val="20"/>
                <w:lang w:eastAsia="zh-TW"/>
              </w:rPr>
            </w:pPr>
            <w:r w:rsidRPr="00393DBB">
              <w:rPr>
                <w:sz w:val="28"/>
                <w:szCs w:val="20"/>
                <w:lang w:eastAsia="zh-TW"/>
              </w:rPr>
              <w:t>土壤與礫石及沙混合物</w:t>
            </w:r>
          </w:p>
        </w:tc>
      </w:tr>
      <w:tr w:rsidR="00393DBB" w:rsidRPr="00393DBB" w14:paraId="459849FD" w14:textId="77777777" w:rsidTr="00393DBB">
        <w:trPr>
          <w:trHeight w:val="20"/>
        </w:trPr>
        <w:tc>
          <w:tcPr>
            <w:tcW w:w="1276" w:type="dxa"/>
            <w:vMerge/>
            <w:vAlign w:val="center"/>
          </w:tcPr>
          <w:p w14:paraId="3E0AA67E" w14:textId="77777777" w:rsidR="008458D9" w:rsidRPr="00393DBB" w:rsidRDefault="008458D9" w:rsidP="00393DBB">
            <w:pPr>
              <w:pStyle w:val="TableParagraph"/>
              <w:spacing w:line="360" w:lineRule="exact"/>
              <w:ind w:left="0"/>
              <w:jc w:val="center"/>
              <w:rPr>
                <w:sz w:val="28"/>
                <w:szCs w:val="20"/>
                <w:lang w:eastAsia="zh-TW"/>
              </w:rPr>
            </w:pPr>
          </w:p>
        </w:tc>
        <w:tc>
          <w:tcPr>
            <w:tcW w:w="2504" w:type="dxa"/>
            <w:vAlign w:val="center"/>
          </w:tcPr>
          <w:p w14:paraId="39A217C6" w14:textId="77777777" w:rsidR="008458D9" w:rsidRPr="00393DBB" w:rsidRDefault="008458D9" w:rsidP="00393DBB">
            <w:pPr>
              <w:pStyle w:val="TableParagraph"/>
              <w:spacing w:line="360" w:lineRule="exact"/>
              <w:ind w:leftChars="10" w:left="34" w:rightChars="10" w:right="34"/>
              <w:rPr>
                <w:sz w:val="28"/>
                <w:szCs w:val="20"/>
                <w:lang w:eastAsia="zh-TW"/>
              </w:rPr>
            </w:pPr>
            <w:r w:rsidRPr="00393DBB">
              <w:rPr>
                <w:sz w:val="28"/>
                <w:szCs w:val="20"/>
                <w:lang w:eastAsia="zh-TW"/>
              </w:rPr>
              <w:t>B2-1為土壤體積比例少於30%</w:t>
            </w:r>
          </w:p>
        </w:tc>
        <w:tc>
          <w:tcPr>
            <w:tcW w:w="2504" w:type="dxa"/>
            <w:vAlign w:val="center"/>
          </w:tcPr>
          <w:p w14:paraId="1A76E544" w14:textId="77777777" w:rsidR="008458D9" w:rsidRPr="00393DBB" w:rsidRDefault="008458D9" w:rsidP="00393DBB">
            <w:pPr>
              <w:pStyle w:val="TableParagraph"/>
              <w:spacing w:line="360" w:lineRule="exact"/>
              <w:ind w:leftChars="10" w:left="34" w:rightChars="10" w:right="34"/>
              <w:rPr>
                <w:sz w:val="28"/>
                <w:szCs w:val="20"/>
                <w:lang w:eastAsia="zh-TW"/>
              </w:rPr>
            </w:pPr>
            <w:r w:rsidRPr="00393DBB">
              <w:rPr>
                <w:sz w:val="28"/>
                <w:szCs w:val="20"/>
                <w:lang w:val="en-US" w:eastAsia="zh-TW"/>
              </w:rPr>
              <w:t>B2-2為土壤體積比例於30~50%</w:t>
            </w:r>
          </w:p>
        </w:tc>
        <w:tc>
          <w:tcPr>
            <w:tcW w:w="2505" w:type="dxa"/>
            <w:vAlign w:val="center"/>
          </w:tcPr>
          <w:p w14:paraId="5E462F7A" w14:textId="77777777" w:rsidR="008458D9" w:rsidRPr="00393DBB" w:rsidRDefault="008458D9" w:rsidP="00393DBB">
            <w:pPr>
              <w:pStyle w:val="TableParagraph"/>
              <w:spacing w:line="360" w:lineRule="exact"/>
              <w:ind w:leftChars="10" w:left="34" w:rightChars="10" w:right="34"/>
              <w:rPr>
                <w:sz w:val="28"/>
                <w:szCs w:val="20"/>
                <w:lang w:eastAsia="zh-TW"/>
              </w:rPr>
            </w:pPr>
            <w:r w:rsidRPr="00393DBB">
              <w:rPr>
                <w:sz w:val="28"/>
                <w:szCs w:val="20"/>
                <w:lang w:val="en-US" w:eastAsia="zh-TW"/>
              </w:rPr>
              <w:t>B2-3為土壤體積比例大於50%</w:t>
            </w:r>
          </w:p>
        </w:tc>
      </w:tr>
      <w:tr w:rsidR="00393DBB" w:rsidRPr="00393DBB" w14:paraId="6D5865D8" w14:textId="77777777" w:rsidTr="00393DBB">
        <w:trPr>
          <w:trHeight w:val="20"/>
        </w:trPr>
        <w:tc>
          <w:tcPr>
            <w:tcW w:w="1276" w:type="dxa"/>
            <w:vAlign w:val="center"/>
          </w:tcPr>
          <w:p w14:paraId="7E5B539C" w14:textId="77777777" w:rsidR="008458D9" w:rsidRPr="00393DBB" w:rsidRDefault="008458D9" w:rsidP="00393DBB">
            <w:pPr>
              <w:pStyle w:val="TableParagraph"/>
              <w:spacing w:line="360" w:lineRule="exact"/>
              <w:ind w:left="0"/>
              <w:jc w:val="center"/>
              <w:rPr>
                <w:sz w:val="28"/>
                <w:szCs w:val="20"/>
              </w:rPr>
            </w:pPr>
            <w:r w:rsidRPr="00393DBB">
              <w:rPr>
                <w:sz w:val="28"/>
                <w:szCs w:val="20"/>
              </w:rPr>
              <w:t>B3</w:t>
            </w:r>
          </w:p>
        </w:tc>
        <w:tc>
          <w:tcPr>
            <w:tcW w:w="7513" w:type="dxa"/>
            <w:gridSpan w:val="3"/>
            <w:vAlign w:val="center"/>
          </w:tcPr>
          <w:p w14:paraId="10A38CAC" w14:textId="77777777" w:rsidR="008458D9" w:rsidRPr="00393DBB" w:rsidRDefault="008458D9" w:rsidP="00393DBB">
            <w:pPr>
              <w:pStyle w:val="TableParagraph"/>
              <w:spacing w:line="360" w:lineRule="exact"/>
              <w:ind w:left="0"/>
              <w:rPr>
                <w:sz w:val="28"/>
                <w:szCs w:val="20"/>
              </w:rPr>
            </w:pPr>
            <w:proofErr w:type="spellStart"/>
            <w:proofErr w:type="gramStart"/>
            <w:r w:rsidRPr="00393DBB">
              <w:rPr>
                <w:sz w:val="28"/>
                <w:szCs w:val="20"/>
              </w:rPr>
              <w:t>粉土分</w:t>
            </w:r>
            <w:proofErr w:type="gramEnd"/>
            <w:r w:rsidRPr="00393DBB">
              <w:rPr>
                <w:sz w:val="28"/>
                <w:szCs w:val="20"/>
              </w:rPr>
              <w:t>土壤</w:t>
            </w:r>
            <w:proofErr w:type="spellEnd"/>
            <w:r w:rsidRPr="00393DBB">
              <w:rPr>
                <w:sz w:val="28"/>
                <w:szCs w:val="20"/>
              </w:rPr>
              <w:t>(</w:t>
            </w:r>
            <w:proofErr w:type="spellStart"/>
            <w:r w:rsidRPr="00393DBB">
              <w:rPr>
                <w:sz w:val="28"/>
                <w:szCs w:val="20"/>
              </w:rPr>
              <w:t>沉泥</w:t>
            </w:r>
            <w:proofErr w:type="spellEnd"/>
            <w:r w:rsidRPr="00393DBB">
              <w:rPr>
                <w:sz w:val="28"/>
                <w:szCs w:val="20"/>
              </w:rPr>
              <w:t>)</w:t>
            </w:r>
          </w:p>
        </w:tc>
      </w:tr>
      <w:tr w:rsidR="00393DBB" w:rsidRPr="00393DBB" w14:paraId="19094436" w14:textId="77777777" w:rsidTr="00393DBB">
        <w:trPr>
          <w:trHeight w:val="20"/>
        </w:trPr>
        <w:tc>
          <w:tcPr>
            <w:tcW w:w="1276" w:type="dxa"/>
            <w:vAlign w:val="center"/>
          </w:tcPr>
          <w:p w14:paraId="7347F49F" w14:textId="77777777" w:rsidR="008458D9" w:rsidRPr="00393DBB" w:rsidRDefault="008458D9" w:rsidP="00393DBB">
            <w:pPr>
              <w:pStyle w:val="TableParagraph"/>
              <w:spacing w:line="360" w:lineRule="exact"/>
              <w:ind w:left="0"/>
              <w:jc w:val="center"/>
              <w:rPr>
                <w:sz w:val="28"/>
                <w:szCs w:val="20"/>
              </w:rPr>
            </w:pPr>
            <w:r w:rsidRPr="00393DBB">
              <w:rPr>
                <w:sz w:val="28"/>
                <w:szCs w:val="20"/>
              </w:rPr>
              <w:t>B4</w:t>
            </w:r>
          </w:p>
        </w:tc>
        <w:tc>
          <w:tcPr>
            <w:tcW w:w="7513" w:type="dxa"/>
            <w:gridSpan w:val="3"/>
            <w:vAlign w:val="center"/>
          </w:tcPr>
          <w:p w14:paraId="2A8059FF" w14:textId="77777777" w:rsidR="008458D9" w:rsidRPr="00393DBB" w:rsidRDefault="008458D9" w:rsidP="00393DBB">
            <w:pPr>
              <w:pStyle w:val="TableParagraph"/>
              <w:spacing w:line="360" w:lineRule="exact"/>
              <w:ind w:left="0"/>
              <w:rPr>
                <w:sz w:val="28"/>
                <w:szCs w:val="20"/>
              </w:rPr>
            </w:pPr>
            <w:proofErr w:type="spellStart"/>
            <w:r w:rsidRPr="00393DBB">
              <w:rPr>
                <w:sz w:val="28"/>
                <w:szCs w:val="20"/>
              </w:rPr>
              <w:t>黏土分土壤</w:t>
            </w:r>
            <w:proofErr w:type="spellEnd"/>
          </w:p>
        </w:tc>
      </w:tr>
      <w:tr w:rsidR="00393DBB" w:rsidRPr="00393DBB" w14:paraId="4DD66CF4" w14:textId="77777777" w:rsidTr="00393DBB">
        <w:trPr>
          <w:trHeight w:val="20"/>
        </w:trPr>
        <w:tc>
          <w:tcPr>
            <w:tcW w:w="1276" w:type="dxa"/>
            <w:vAlign w:val="center"/>
          </w:tcPr>
          <w:p w14:paraId="138A846A" w14:textId="77777777" w:rsidR="008458D9" w:rsidRPr="00393DBB" w:rsidRDefault="008458D9" w:rsidP="00393DBB">
            <w:pPr>
              <w:pStyle w:val="TableParagraph"/>
              <w:spacing w:line="360" w:lineRule="exact"/>
              <w:ind w:left="0"/>
              <w:jc w:val="center"/>
              <w:rPr>
                <w:sz w:val="28"/>
                <w:szCs w:val="20"/>
              </w:rPr>
            </w:pPr>
            <w:r w:rsidRPr="00393DBB">
              <w:rPr>
                <w:sz w:val="28"/>
                <w:szCs w:val="20"/>
              </w:rPr>
              <w:t>B5</w:t>
            </w:r>
          </w:p>
        </w:tc>
        <w:tc>
          <w:tcPr>
            <w:tcW w:w="7513" w:type="dxa"/>
            <w:gridSpan w:val="3"/>
            <w:vAlign w:val="center"/>
          </w:tcPr>
          <w:p w14:paraId="4406A435" w14:textId="77777777" w:rsidR="008458D9" w:rsidRPr="00393DBB" w:rsidRDefault="008458D9" w:rsidP="00393DBB">
            <w:pPr>
              <w:pStyle w:val="TableParagraph"/>
              <w:spacing w:line="360" w:lineRule="exact"/>
              <w:ind w:left="0"/>
              <w:rPr>
                <w:sz w:val="28"/>
                <w:szCs w:val="20"/>
              </w:rPr>
            </w:pPr>
            <w:proofErr w:type="spellStart"/>
            <w:r w:rsidRPr="00393DBB">
              <w:rPr>
                <w:sz w:val="28"/>
                <w:szCs w:val="20"/>
              </w:rPr>
              <w:t>磚塊或混凝土塊</w:t>
            </w:r>
            <w:proofErr w:type="spellEnd"/>
          </w:p>
        </w:tc>
      </w:tr>
      <w:tr w:rsidR="00393DBB" w:rsidRPr="00393DBB" w14:paraId="3895CC95" w14:textId="77777777" w:rsidTr="00393DBB">
        <w:trPr>
          <w:trHeight w:val="20"/>
        </w:trPr>
        <w:tc>
          <w:tcPr>
            <w:tcW w:w="1276" w:type="dxa"/>
            <w:vAlign w:val="center"/>
          </w:tcPr>
          <w:p w14:paraId="361EB577" w14:textId="77777777" w:rsidR="008458D9" w:rsidRPr="00393DBB" w:rsidRDefault="008458D9" w:rsidP="00393DBB">
            <w:pPr>
              <w:pStyle w:val="TableParagraph"/>
              <w:spacing w:line="360" w:lineRule="exact"/>
              <w:ind w:left="0"/>
              <w:jc w:val="center"/>
              <w:rPr>
                <w:sz w:val="28"/>
                <w:szCs w:val="20"/>
              </w:rPr>
            </w:pPr>
            <w:r w:rsidRPr="00393DBB">
              <w:rPr>
                <w:sz w:val="28"/>
                <w:szCs w:val="20"/>
              </w:rPr>
              <w:t>B6</w:t>
            </w:r>
          </w:p>
        </w:tc>
        <w:tc>
          <w:tcPr>
            <w:tcW w:w="7513" w:type="dxa"/>
            <w:gridSpan w:val="3"/>
            <w:vAlign w:val="center"/>
          </w:tcPr>
          <w:p w14:paraId="5324747D" w14:textId="77777777" w:rsidR="008458D9" w:rsidRPr="00393DBB" w:rsidRDefault="008458D9" w:rsidP="00393DBB">
            <w:pPr>
              <w:pStyle w:val="TableParagraph"/>
              <w:spacing w:line="360" w:lineRule="exact"/>
              <w:ind w:left="0"/>
              <w:rPr>
                <w:sz w:val="28"/>
                <w:szCs w:val="20"/>
                <w:lang w:eastAsia="zh-TW"/>
              </w:rPr>
            </w:pPr>
            <w:r w:rsidRPr="00393DBB">
              <w:rPr>
                <w:sz w:val="28"/>
                <w:szCs w:val="20"/>
                <w:lang w:eastAsia="zh-TW"/>
              </w:rPr>
              <w:t>淤泥或含水量大於30%之土壤</w:t>
            </w:r>
          </w:p>
        </w:tc>
      </w:tr>
      <w:tr w:rsidR="00393DBB" w:rsidRPr="00393DBB" w14:paraId="6C7CAE29" w14:textId="77777777" w:rsidTr="00393DBB">
        <w:trPr>
          <w:trHeight w:val="20"/>
        </w:trPr>
        <w:tc>
          <w:tcPr>
            <w:tcW w:w="1276" w:type="dxa"/>
          </w:tcPr>
          <w:p w14:paraId="65D63C8E" w14:textId="77777777" w:rsidR="008458D9" w:rsidRPr="00393DBB" w:rsidRDefault="008458D9" w:rsidP="00393DBB">
            <w:pPr>
              <w:pStyle w:val="TableParagraph"/>
              <w:spacing w:line="360" w:lineRule="exact"/>
              <w:ind w:left="0"/>
              <w:jc w:val="center"/>
              <w:rPr>
                <w:sz w:val="28"/>
                <w:szCs w:val="20"/>
              </w:rPr>
            </w:pPr>
            <w:r w:rsidRPr="00393DBB">
              <w:rPr>
                <w:sz w:val="28"/>
                <w:szCs w:val="20"/>
              </w:rPr>
              <w:t>B7</w:t>
            </w:r>
          </w:p>
        </w:tc>
        <w:tc>
          <w:tcPr>
            <w:tcW w:w="7513" w:type="dxa"/>
            <w:gridSpan w:val="3"/>
          </w:tcPr>
          <w:p w14:paraId="66DDF7EA" w14:textId="77777777" w:rsidR="008458D9" w:rsidRPr="00393DBB" w:rsidRDefault="008458D9" w:rsidP="00393DBB">
            <w:pPr>
              <w:pStyle w:val="TableParagraph"/>
              <w:spacing w:line="360" w:lineRule="exact"/>
              <w:ind w:left="0"/>
              <w:rPr>
                <w:sz w:val="28"/>
                <w:szCs w:val="20"/>
              </w:rPr>
            </w:pPr>
            <w:proofErr w:type="spellStart"/>
            <w:r w:rsidRPr="00393DBB">
              <w:rPr>
                <w:sz w:val="28"/>
                <w:szCs w:val="20"/>
              </w:rPr>
              <w:t>連續壁產生之皂土</w:t>
            </w:r>
            <w:proofErr w:type="spellEnd"/>
          </w:p>
        </w:tc>
      </w:tr>
    </w:tbl>
    <w:p w14:paraId="38C90373" w14:textId="3D9EC396" w:rsidR="00104D2E" w:rsidRPr="00393DBB" w:rsidRDefault="001C7EC2" w:rsidP="00393DBB">
      <w:pPr>
        <w:pStyle w:val="30"/>
        <w:kinsoku w:val="0"/>
        <w:wordWrap w:val="0"/>
        <w:ind w:left="1360" w:hanging="680"/>
      </w:pPr>
      <w:r w:rsidRPr="00393DBB">
        <w:rPr>
          <w:rFonts w:hint="eastAsia"/>
        </w:rPr>
        <w:t>復依「</w:t>
      </w:r>
      <w:r w:rsidRPr="00393DBB">
        <w:rPr>
          <w:rFonts w:hint="eastAsia"/>
          <w:bCs w:val="0"/>
        </w:rPr>
        <w:t>營建剩餘土石方處理方案」規範，旨為</w:t>
      </w:r>
      <w:r w:rsidRPr="00393DBB">
        <w:rPr>
          <w:rFonts w:hint="eastAsia"/>
        </w:rPr>
        <w:t>維護環境衛生與公共安全，作為源頭管理的依據，並規定</w:t>
      </w:r>
      <w:r w:rsidRPr="00393DBB">
        <w:t>建築工程及民間工程剩餘土石方處理</w:t>
      </w:r>
      <w:r w:rsidRPr="00393DBB">
        <w:rPr>
          <w:rFonts w:hint="eastAsia"/>
        </w:rPr>
        <w:t>時，承造人需在申報建築施工計畫書時，一併提出剩餘土石方處理計畫</w:t>
      </w:r>
      <w:r w:rsidR="00104D2E" w:rsidRPr="00393DBB">
        <w:rPr>
          <w:rFonts w:hint="eastAsia"/>
        </w:rPr>
        <w:t>，</w:t>
      </w:r>
      <w:r w:rsidR="00104D2E" w:rsidRPr="00393DBB">
        <w:t>於工地實際產出剩餘土石方前，將擬送往之收容處理場所之地址及名稱報直轄市、縣(市)政府備查</w:t>
      </w:r>
      <w:r w:rsidR="00104D2E" w:rsidRPr="00393DBB">
        <w:rPr>
          <w:rFonts w:hint="eastAsia"/>
        </w:rPr>
        <w:t>，且</w:t>
      </w:r>
      <w:r w:rsidR="00104D2E" w:rsidRPr="00393DBB">
        <w:t>明訂清運業者責任，包含核對運送文件、運送至指定場所、文件回報等作業。</w:t>
      </w:r>
      <w:r w:rsidR="00104D2E" w:rsidRPr="00393DBB">
        <w:rPr>
          <w:rFonts w:hint="eastAsia"/>
        </w:rPr>
        <w:t>對於</w:t>
      </w:r>
      <w:r w:rsidRPr="00393DBB">
        <w:rPr>
          <w:rFonts w:hint="eastAsia"/>
        </w:rPr>
        <w:t>公共工程主辦機關</w:t>
      </w:r>
      <w:r w:rsidR="00104D2E" w:rsidRPr="00393DBB">
        <w:rPr>
          <w:rFonts w:hint="eastAsia"/>
        </w:rPr>
        <w:t>則規定</w:t>
      </w:r>
      <w:r w:rsidRPr="00393DBB">
        <w:rPr>
          <w:rFonts w:hint="eastAsia"/>
        </w:rPr>
        <w:t>在規劃設計階段應力求挖填土石方之平衡及減量，並對收容處理方式應有整體評估及規劃</w:t>
      </w:r>
      <w:r w:rsidR="00104D2E" w:rsidRPr="00393DBB">
        <w:rPr>
          <w:rFonts w:hint="eastAsia"/>
        </w:rPr>
        <w:t>。</w:t>
      </w:r>
    </w:p>
    <w:p w14:paraId="64951637" w14:textId="1A6D665E" w:rsidR="00104D2E" w:rsidRPr="00393DBB" w:rsidRDefault="00104D2E" w:rsidP="00393DBB">
      <w:pPr>
        <w:pStyle w:val="30"/>
        <w:kinsoku w:val="0"/>
        <w:wordWrap w:val="0"/>
        <w:ind w:left="1360" w:hanging="680"/>
      </w:pPr>
      <w:r w:rsidRPr="00393DBB">
        <w:rPr>
          <w:rFonts w:hint="eastAsia"/>
        </w:rPr>
        <w:t>惟「營建剩餘土石方處理方案」在土石方認定標準、源頭管理和全程流向管理方面存在多項不足，導致管理成效</w:t>
      </w:r>
      <w:proofErr w:type="gramStart"/>
      <w:r w:rsidRPr="00393DBB">
        <w:rPr>
          <w:rFonts w:hint="eastAsia"/>
        </w:rPr>
        <w:t>不</w:t>
      </w:r>
      <w:proofErr w:type="gramEnd"/>
      <w:r w:rsidRPr="00393DBB">
        <w:rPr>
          <w:rFonts w:hint="eastAsia"/>
        </w:rPr>
        <w:t>彰，並造成</w:t>
      </w:r>
      <w:proofErr w:type="gramStart"/>
      <w:r w:rsidRPr="00393DBB">
        <w:rPr>
          <w:rFonts w:hint="eastAsia"/>
        </w:rPr>
        <w:t>諸多</w:t>
      </w:r>
      <w:proofErr w:type="gramEnd"/>
      <w:r w:rsidRPr="00393DBB">
        <w:rPr>
          <w:rFonts w:hint="eastAsia"/>
        </w:rPr>
        <w:t>違失：</w:t>
      </w:r>
    </w:p>
    <w:p w14:paraId="0B2F822B" w14:textId="10707438" w:rsidR="00104D2E" w:rsidRPr="00393DBB" w:rsidRDefault="00104D2E" w:rsidP="00393DBB">
      <w:pPr>
        <w:pStyle w:val="4"/>
      </w:pPr>
      <w:r w:rsidRPr="00393DBB">
        <w:rPr>
          <w:rFonts w:hint="eastAsia"/>
        </w:rPr>
        <w:t>土石方認定標準之違失：處理方案本身並未明確區分營建剩餘土石方與營建事業廢棄物，亦缺乏明確的廢棄物認定標準，造成實務上認定困難，讓不肖業者有操作空間，容易以「再利用」之名，行非法棄置之實，更導致環保單位在現場稽查時，難以判斷傾倒的土方是否已達廢棄物標準，影響後續行政處分及刑事偵辦。</w:t>
      </w:r>
      <w:proofErr w:type="gramStart"/>
      <w:r w:rsidRPr="00393DBB">
        <w:rPr>
          <w:rFonts w:hint="eastAsia"/>
        </w:rPr>
        <w:t>再者，</w:t>
      </w:r>
      <w:proofErr w:type="gramEnd"/>
      <w:r w:rsidRPr="00393DBB">
        <w:rPr>
          <w:rFonts w:hint="eastAsia"/>
        </w:rPr>
        <w:t>處理方案</w:t>
      </w:r>
      <w:r w:rsidRPr="00393DBB">
        <w:rPr>
          <w:rFonts w:hint="eastAsia"/>
        </w:rPr>
        <w:lastRenderedPageBreak/>
        <w:t>雖將剩餘土石方依性質分為七類，但此分類主要著眼於再利用用途，而非以是否為廢棄物作為區分依據，因此未能有效防範不肖業者將廢棄物混入土石方中，規避相關環保責任。</w:t>
      </w:r>
    </w:p>
    <w:p w14:paraId="009CDC89" w14:textId="7FE19645" w:rsidR="00104D2E" w:rsidRPr="00393DBB" w:rsidRDefault="00104D2E" w:rsidP="00393DBB">
      <w:pPr>
        <w:pStyle w:val="4"/>
      </w:pPr>
      <w:r w:rsidRPr="00393DBB">
        <w:rPr>
          <w:rFonts w:hint="eastAsia"/>
        </w:rPr>
        <w:t>源頭管理之違失：誠如處理方案揭示源頭減量及規劃等源頭管理概念，惟因其</w:t>
      </w:r>
      <w:r w:rsidR="00684C5B" w:rsidRPr="00393DBB">
        <w:rPr>
          <w:rFonts w:hint="eastAsia"/>
        </w:rPr>
        <w:t>法令</w:t>
      </w:r>
      <w:r w:rsidRPr="00393DBB">
        <w:rPr>
          <w:rFonts w:hint="eastAsia"/>
        </w:rPr>
        <w:t>位階缺乏強制力，導致業者配合意願低，實際執行成效有限。且申報及查核機制不夠嚴謹，相關申報規範及備查程序流於形式，致主管機關查核和監督力道不足，未能有效掌握土石方流向，亦難以即時發現和制止違規行為；</w:t>
      </w:r>
      <w:r w:rsidR="00684C5B" w:rsidRPr="00393DBB">
        <w:rPr>
          <w:rFonts w:hint="eastAsia"/>
        </w:rPr>
        <w:t>其雖鼓勵工程單位在規劃設計階段考量挖填平衡和土方交換，但欠缺評估及獎勵機制，而實際執行成效不佳，亦未能有效減少剩餘土石方之產生，</w:t>
      </w:r>
      <w:r w:rsidRPr="00393DBB">
        <w:rPr>
          <w:rFonts w:hint="eastAsia"/>
        </w:rPr>
        <w:t>更難有效落實源頭減量。</w:t>
      </w:r>
    </w:p>
    <w:p w14:paraId="16E1C676" w14:textId="66954BFD" w:rsidR="00104D2E" w:rsidRPr="00393DBB" w:rsidRDefault="00104D2E" w:rsidP="00393DBB">
      <w:pPr>
        <w:pStyle w:val="4"/>
      </w:pPr>
      <w:r w:rsidRPr="00393DBB">
        <w:rPr>
          <w:rFonts w:hint="eastAsia"/>
        </w:rPr>
        <w:t>全程流向管理之違失：</w:t>
      </w:r>
      <w:r w:rsidR="00684C5B" w:rsidRPr="00393DBB">
        <w:rPr>
          <w:rFonts w:hint="eastAsia"/>
        </w:rPr>
        <w:t>處理</w:t>
      </w:r>
      <w:r w:rsidRPr="00393DBB">
        <w:rPr>
          <w:rFonts w:hint="eastAsia"/>
        </w:rPr>
        <w:t>方案未建立強制性</w:t>
      </w:r>
      <w:r w:rsidR="00684C5B" w:rsidRPr="00393DBB">
        <w:rPr>
          <w:rFonts w:hint="eastAsia"/>
        </w:rPr>
        <w:t>之</w:t>
      </w:r>
      <w:r w:rsidRPr="00393DBB">
        <w:rPr>
          <w:rFonts w:hint="eastAsia"/>
        </w:rPr>
        <w:t>流向管理機制，僅依靠申報和備查制度，難以有效掌握土石方</w:t>
      </w:r>
      <w:proofErr w:type="gramStart"/>
      <w:r w:rsidRPr="00393DBB">
        <w:rPr>
          <w:rFonts w:hint="eastAsia"/>
        </w:rPr>
        <w:t>從產源到</w:t>
      </w:r>
      <w:proofErr w:type="gramEnd"/>
      <w:r w:rsidRPr="00393DBB">
        <w:rPr>
          <w:rFonts w:hint="eastAsia"/>
        </w:rPr>
        <w:t>最終處置的完整流向，造成非法棄置的漏洞。</w:t>
      </w:r>
      <w:r w:rsidR="00684C5B" w:rsidRPr="00393DBB">
        <w:rPr>
          <w:rFonts w:hint="eastAsia"/>
        </w:rPr>
        <w:t>復以</w:t>
      </w:r>
      <w:r w:rsidRPr="00393DBB">
        <w:rPr>
          <w:rFonts w:hint="eastAsia"/>
        </w:rPr>
        <w:t>資訊化程度不足</w:t>
      </w:r>
      <w:r w:rsidR="00684C5B" w:rsidRPr="00393DBB">
        <w:rPr>
          <w:rFonts w:hint="eastAsia"/>
        </w:rPr>
        <w:t>，內政部國土管理署</w:t>
      </w:r>
      <w:r w:rsidRPr="00393DBB">
        <w:rPr>
          <w:rFonts w:hint="eastAsia"/>
        </w:rPr>
        <w:t>建置資訊服務中心，缺乏即時監控和追蹤</w:t>
      </w:r>
      <w:r w:rsidR="00684C5B" w:rsidRPr="00393DBB">
        <w:rPr>
          <w:rFonts w:hint="eastAsia"/>
        </w:rPr>
        <w:t>之</w:t>
      </w:r>
      <w:r w:rsidRPr="00393DBB">
        <w:rPr>
          <w:rFonts w:hint="eastAsia"/>
        </w:rPr>
        <w:t>功能，未能有效提升管理效率和透明度</w:t>
      </w:r>
      <w:r w:rsidR="00684C5B" w:rsidRPr="00393DBB">
        <w:rPr>
          <w:rFonts w:hint="eastAsia"/>
        </w:rPr>
        <w:t>，且</w:t>
      </w:r>
      <w:r w:rsidRPr="00393DBB">
        <w:rPr>
          <w:rFonts w:hint="eastAsia"/>
        </w:rPr>
        <w:t>未建立完善</w:t>
      </w:r>
      <w:r w:rsidR="00684C5B" w:rsidRPr="00393DBB">
        <w:rPr>
          <w:rFonts w:hint="eastAsia"/>
        </w:rPr>
        <w:t>之</w:t>
      </w:r>
      <w:r w:rsidRPr="00393DBB">
        <w:rPr>
          <w:rFonts w:hint="eastAsia"/>
        </w:rPr>
        <w:t>跨單位協調機制，導致各相關單位之間資訊流通不暢，難以共同打擊非法棄置。</w:t>
      </w:r>
    </w:p>
    <w:p w14:paraId="355F138F" w14:textId="4DED7CD7" w:rsidR="00D112C6" w:rsidRPr="00393DBB" w:rsidRDefault="00C44BBE" w:rsidP="00D112C6">
      <w:pPr>
        <w:pStyle w:val="30"/>
      </w:pPr>
      <w:r w:rsidRPr="00393DBB">
        <w:t>近年來，不肖業者非法棄置營建剩餘土石方案件頻傳，嚴重危害國土安全、糧食安全及環境永續。臺灣彰化地方檢察署累積豐富實務經驗，偵辦多起重大案件，發現</w:t>
      </w:r>
      <w:r w:rsidR="003C4DCF" w:rsidRPr="00393DBB">
        <w:rPr>
          <w:rFonts w:hint="eastAsia"/>
        </w:rPr>
        <w:t>部分</w:t>
      </w:r>
      <w:proofErr w:type="gramStart"/>
      <w:r w:rsidRPr="00393DBB">
        <w:t>土資場</w:t>
      </w:r>
      <w:proofErr w:type="gramEnd"/>
      <w:r w:rsidRPr="00393DBB">
        <w:t>出具</w:t>
      </w:r>
      <w:proofErr w:type="gramStart"/>
      <w:r w:rsidRPr="00393DBB">
        <w:t>不實</w:t>
      </w:r>
      <w:r w:rsidR="00D1786E" w:rsidRPr="00393DBB">
        <w:rPr>
          <w:rFonts w:hAnsi="標楷體" w:hint="eastAsia"/>
          <w:snapToGrid w:val="0"/>
          <w:szCs w:val="32"/>
        </w:rPr>
        <w:t>土石</w:t>
      </w:r>
      <w:proofErr w:type="gramEnd"/>
      <w:r w:rsidR="00D1786E" w:rsidRPr="00393DBB">
        <w:rPr>
          <w:rFonts w:hAnsi="標楷體" w:hint="eastAsia"/>
          <w:snapToGrid w:val="0"/>
          <w:szCs w:val="32"/>
        </w:rPr>
        <w:t>方運送證明文件</w:t>
      </w:r>
      <w:r w:rsidR="00FD2193" w:rsidRPr="00393DBB">
        <w:rPr>
          <w:rFonts w:hAnsi="標楷體" w:hint="eastAsia"/>
          <w:snapToGrid w:val="0"/>
          <w:szCs w:val="32"/>
        </w:rPr>
        <w:t>(</w:t>
      </w:r>
      <w:r w:rsidR="00D1786E" w:rsidRPr="00393DBB">
        <w:rPr>
          <w:rFonts w:hAnsi="標楷體" w:hint="eastAsia"/>
          <w:snapToGrid w:val="0"/>
          <w:szCs w:val="32"/>
        </w:rPr>
        <w:t>聯單</w:t>
      </w:r>
      <w:r w:rsidR="00FD2193" w:rsidRPr="00393DBB">
        <w:rPr>
          <w:rFonts w:hAnsi="標楷體" w:hint="eastAsia"/>
          <w:snapToGrid w:val="0"/>
          <w:szCs w:val="32"/>
        </w:rPr>
        <w:t>)</w:t>
      </w:r>
      <w:r w:rsidRPr="00393DBB">
        <w:t>、主管機關未訂明確認定標準等問題，導致非法棄置案件層出不窮。</w:t>
      </w:r>
      <w:proofErr w:type="gramStart"/>
      <w:r w:rsidR="00640AC8" w:rsidRPr="00393DBB">
        <w:rPr>
          <w:rFonts w:hint="eastAsia"/>
        </w:rPr>
        <w:t>參據</w:t>
      </w:r>
      <w:r w:rsidR="00640AC8" w:rsidRPr="00393DBB">
        <w:t>營建</w:t>
      </w:r>
      <w:proofErr w:type="gramEnd"/>
      <w:r w:rsidR="00640AC8" w:rsidRPr="00393DBB">
        <w:t>剩餘土石方資訊服務中心網站</w:t>
      </w:r>
      <w:r w:rsidR="00640AC8" w:rsidRPr="00393DBB">
        <w:rPr>
          <w:rFonts w:hint="eastAsia"/>
        </w:rPr>
        <w:t>公布資料所示(如表3、表4)，每年</w:t>
      </w:r>
      <w:r w:rsidR="00640AC8" w:rsidRPr="00393DBB">
        <w:rPr>
          <w:rFonts w:hint="eastAsia"/>
        </w:rPr>
        <w:lastRenderedPageBreak/>
        <w:t>營建剩餘土石方</w:t>
      </w:r>
      <w:r w:rsidR="00D112C6" w:rsidRPr="00393DBB">
        <w:rPr>
          <w:rFonts w:hint="eastAsia"/>
        </w:rPr>
        <w:t>約為4</w:t>
      </w:r>
      <w:proofErr w:type="gramStart"/>
      <w:r w:rsidR="00D112C6" w:rsidRPr="00393DBB">
        <w:rPr>
          <w:rFonts w:hint="eastAsia"/>
        </w:rPr>
        <w:t>千</w:t>
      </w:r>
      <w:proofErr w:type="gramEnd"/>
      <w:r w:rsidR="00D112C6" w:rsidRPr="00393DBB">
        <w:rPr>
          <w:rFonts w:hint="eastAsia"/>
        </w:rPr>
        <w:t>萬立方公尺以上，亦存有非法棄置之黑數。</w:t>
      </w:r>
      <w:proofErr w:type="gramStart"/>
      <w:r w:rsidR="00D112C6" w:rsidRPr="00393DBB">
        <w:rPr>
          <w:rFonts w:hint="eastAsia"/>
        </w:rPr>
        <w:t>詢</w:t>
      </w:r>
      <w:proofErr w:type="gramEnd"/>
      <w:r w:rsidR="00D112C6" w:rsidRPr="00393DBB">
        <w:rPr>
          <w:rFonts w:hint="eastAsia"/>
        </w:rPr>
        <w:t>據該</w:t>
      </w:r>
      <w:r w:rsidR="00D112C6" w:rsidRPr="00393DBB">
        <w:t>署</w:t>
      </w:r>
      <w:r w:rsidR="00D112C6" w:rsidRPr="00393DBB">
        <w:rPr>
          <w:rFonts w:hint="eastAsia"/>
        </w:rPr>
        <w:t>主要偵查人員</w:t>
      </w:r>
      <w:r w:rsidR="00D112C6" w:rsidRPr="00393DBB">
        <w:t>對於非法棄置營建剩餘土石方案件之實務見解</w:t>
      </w:r>
      <w:r w:rsidR="00D112C6" w:rsidRPr="00393DBB">
        <w:rPr>
          <w:rFonts w:hint="eastAsia"/>
        </w:rPr>
        <w:t>略以：</w:t>
      </w:r>
    </w:p>
    <w:p w14:paraId="67B1E805" w14:textId="74C16523" w:rsidR="00640AC8" w:rsidRPr="00393DBB" w:rsidRDefault="00821469" w:rsidP="00821469">
      <w:pPr>
        <w:pStyle w:val="a6"/>
        <w:numPr>
          <w:ilvl w:val="0"/>
          <w:numId w:val="0"/>
        </w:numPr>
        <w:ind w:left="480" w:hanging="480"/>
      </w:pPr>
      <w:r>
        <w:rPr>
          <w:rFonts w:hint="eastAsia"/>
        </w:rPr>
        <w:t xml:space="preserve">表3  </w:t>
      </w:r>
      <w:r w:rsidR="00640AC8" w:rsidRPr="00393DBB">
        <w:t>各區域申報之出土量與</w:t>
      </w:r>
      <w:proofErr w:type="gramStart"/>
      <w:r w:rsidR="00640AC8" w:rsidRPr="00393DBB">
        <w:t>需土量</w:t>
      </w:r>
      <w:proofErr w:type="gramEnd"/>
      <w:r w:rsidR="00640AC8" w:rsidRPr="00393DBB">
        <w:rPr>
          <w:rFonts w:hint="eastAsia"/>
        </w:rPr>
        <w:t>(單位：立方公尺)</w:t>
      </w:r>
    </w:p>
    <w:tbl>
      <w:tblPr>
        <w:tblStyle w:val="TableNormal"/>
        <w:tblW w:w="94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1418"/>
        <w:gridCol w:w="1151"/>
        <w:gridCol w:w="1152"/>
        <w:gridCol w:w="1152"/>
        <w:gridCol w:w="1151"/>
        <w:gridCol w:w="1152"/>
        <w:gridCol w:w="1152"/>
      </w:tblGrid>
      <w:tr w:rsidR="00393DBB" w:rsidRPr="00393DBB" w14:paraId="4DE2BCB8" w14:textId="77777777" w:rsidTr="00393DBB">
        <w:trPr>
          <w:trHeight w:val="20"/>
          <w:tblHeader/>
        </w:trPr>
        <w:tc>
          <w:tcPr>
            <w:tcW w:w="1134" w:type="dxa"/>
            <w:vMerge w:val="restart"/>
            <w:vAlign w:val="center"/>
          </w:tcPr>
          <w:p w14:paraId="2F1EF8BC" w14:textId="77777777" w:rsidR="00640AC8" w:rsidRPr="00393DBB" w:rsidRDefault="00640AC8" w:rsidP="00393DBB">
            <w:pPr>
              <w:pStyle w:val="TableParagraph"/>
              <w:spacing w:line="360" w:lineRule="exact"/>
              <w:ind w:left="28"/>
              <w:jc w:val="center"/>
            </w:pPr>
            <w:proofErr w:type="spellStart"/>
            <w:r w:rsidRPr="00393DBB">
              <w:t>區域</w:t>
            </w:r>
            <w:proofErr w:type="spellEnd"/>
          </w:p>
        </w:tc>
        <w:tc>
          <w:tcPr>
            <w:tcW w:w="1418" w:type="dxa"/>
            <w:vMerge w:val="restart"/>
            <w:vAlign w:val="center"/>
          </w:tcPr>
          <w:p w14:paraId="523913DF" w14:textId="77777777" w:rsidR="00640AC8" w:rsidRPr="00393DBB" w:rsidRDefault="00640AC8" w:rsidP="00393DBB">
            <w:pPr>
              <w:pStyle w:val="TableParagraph"/>
              <w:spacing w:line="360" w:lineRule="exact"/>
              <w:ind w:leftChars="-50" w:left="-170" w:rightChars="-50" w:right="-170"/>
              <w:jc w:val="center"/>
            </w:pPr>
            <w:proofErr w:type="spellStart"/>
            <w:r w:rsidRPr="00393DBB">
              <w:t>工程類別</w:t>
            </w:r>
            <w:proofErr w:type="spellEnd"/>
          </w:p>
        </w:tc>
        <w:tc>
          <w:tcPr>
            <w:tcW w:w="2303" w:type="dxa"/>
            <w:gridSpan w:val="2"/>
            <w:vAlign w:val="center"/>
          </w:tcPr>
          <w:p w14:paraId="72BC281A" w14:textId="77777777" w:rsidR="00640AC8" w:rsidRPr="00393DBB" w:rsidRDefault="00640AC8" w:rsidP="00393DBB">
            <w:pPr>
              <w:pStyle w:val="TableParagraph"/>
              <w:spacing w:line="360" w:lineRule="exact"/>
              <w:ind w:left="668" w:right="657"/>
              <w:jc w:val="center"/>
            </w:pPr>
            <w:r w:rsidRPr="00393DBB">
              <w:rPr>
                <w:rFonts w:ascii="Times New Roman" w:eastAsia="Times New Roman"/>
              </w:rPr>
              <w:t>110</w:t>
            </w:r>
            <w:r w:rsidRPr="00393DBB">
              <w:t>年</w:t>
            </w:r>
          </w:p>
        </w:tc>
        <w:tc>
          <w:tcPr>
            <w:tcW w:w="2303" w:type="dxa"/>
            <w:gridSpan w:val="2"/>
            <w:vAlign w:val="center"/>
          </w:tcPr>
          <w:p w14:paraId="375B6256" w14:textId="77777777" w:rsidR="00640AC8" w:rsidRPr="00393DBB" w:rsidRDefault="00640AC8" w:rsidP="00393DBB">
            <w:pPr>
              <w:pStyle w:val="TableParagraph"/>
              <w:spacing w:line="360" w:lineRule="exact"/>
              <w:ind w:left="0"/>
              <w:jc w:val="center"/>
            </w:pPr>
            <w:r w:rsidRPr="00393DBB">
              <w:rPr>
                <w:rFonts w:ascii="Times New Roman" w:eastAsia="Times New Roman"/>
              </w:rPr>
              <w:t>111</w:t>
            </w:r>
            <w:r w:rsidRPr="00393DBB">
              <w:t>年</w:t>
            </w:r>
          </w:p>
        </w:tc>
        <w:tc>
          <w:tcPr>
            <w:tcW w:w="2304" w:type="dxa"/>
            <w:gridSpan w:val="2"/>
            <w:vAlign w:val="center"/>
          </w:tcPr>
          <w:p w14:paraId="47D83E81" w14:textId="77777777" w:rsidR="00640AC8" w:rsidRPr="00393DBB" w:rsidRDefault="00640AC8" w:rsidP="00393DBB">
            <w:pPr>
              <w:pStyle w:val="TableParagraph"/>
              <w:spacing w:line="360" w:lineRule="exact"/>
              <w:ind w:left="0"/>
              <w:jc w:val="center"/>
            </w:pPr>
            <w:r w:rsidRPr="00393DBB">
              <w:rPr>
                <w:rFonts w:ascii="Times New Roman" w:eastAsia="Times New Roman"/>
              </w:rPr>
              <w:t>112</w:t>
            </w:r>
            <w:r w:rsidRPr="00393DBB">
              <w:t>年</w:t>
            </w:r>
          </w:p>
        </w:tc>
      </w:tr>
      <w:tr w:rsidR="00393DBB" w:rsidRPr="00393DBB" w14:paraId="6B26E3DE" w14:textId="77777777" w:rsidTr="00393DBB">
        <w:trPr>
          <w:trHeight w:val="20"/>
          <w:tblHeader/>
        </w:trPr>
        <w:tc>
          <w:tcPr>
            <w:tcW w:w="1134" w:type="dxa"/>
            <w:vMerge/>
            <w:tcBorders>
              <w:top w:val="nil"/>
            </w:tcBorders>
            <w:vAlign w:val="center"/>
          </w:tcPr>
          <w:p w14:paraId="0E6EC13A" w14:textId="77777777" w:rsidR="00640AC8" w:rsidRPr="00393DBB" w:rsidRDefault="00640AC8" w:rsidP="00393DBB">
            <w:pPr>
              <w:spacing w:line="360" w:lineRule="exact"/>
              <w:jc w:val="center"/>
              <w:rPr>
                <w:sz w:val="22"/>
              </w:rPr>
            </w:pPr>
          </w:p>
        </w:tc>
        <w:tc>
          <w:tcPr>
            <w:tcW w:w="1418" w:type="dxa"/>
            <w:vMerge/>
            <w:tcBorders>
              <w:top w:val="nil"/>
            </w:tcBorders>
            <w:vAlign w:val="center"/>
          </w:tcPr>
          <w:p w14:paraId="49F79481" w14:textId="77777777" w:rsidR="00640AC8" w:rsidRPr="00393DBB" w:rsidRDefault="00640AC8" w:rsidP="00393DBB">
            <w:pPr>
              <w:spacing w:line="360" w:lineRule="exact"/>
              <w:ind w:leftChars="-50" w:left="-170" w:rightChars="-50" w:right="-170"/>
              <w:jc w:val="center"/>
              <w:rPr>
                <w:sz w:val="22"/>
              </w:rPr>
            </w:pPr>
          </w:p>
        </w:tc>
        <w:tc>
          <w:tcPr>
            <w:tcW w:w="1151" w:type="dxa"/>
            <w:vAlign w:val="center"/>
          </w:tcPr>
          <w:p w14:paraId="3A08E8D0" w14:textId="77777777" w:rsidR="00640AC8" w:rsidRPr="00393DBB" w:rsidRDefault="00640AC8" w:rsidP="00393DBB">
            <w:pPr>
              <w:pStyle w:val="TableParagraph"/>
              <w:spacing w:line="360" w:lineRule="exact"/>
              <w:ind w:leftChars="-10" w:left="-34" w:rightChars="-10" w:right="-34"/>
              <w:jc w:val="center"/>
            </w:pPr>
            <w:proofErr w:type="spellStart"/>
            <w:r w:rsidRPr="00393DBB">
              <w:t>出土量</w:t>
            </w:r>
            <w:proofErr w:type="spellEnd"/>
          </w:p>
        </w:tc>
        <w:tc>
          <w:tcPr>
            <w:tcW w:w="1152" w:type="dxa"/>
            <w:vAlign w:val="center"/>
          </w:tcPr>
          <w:p w14:paraId="02D84623" w14:textId="77777777" w:rsidR="00640AC8" w:rsidRPr="00393DBB" w:rsidRDefault="00640AC8" w:rsidP="00393DBB">
            <w:pPr>
              <w:pStyle w:val="TableParagraph"/>
              <w:spacing w:line="360" w:lineRule="exact"/>
              <w:ind w:leftChars="-10" w:left="-34" w:rightChars="-10" w:right="-34"/>
              <w:jc w:val="center"/>
            </w:pPr>
            <w:proofErr w:type="spellStart"/>
            <w:r w:rsidRPr="00393DBB">
              <w:t>需土量</w:t>
            </w:r>
            <w:proofErr w:type="spellEnd"/>
          </w:p>
        </w:tc>
        <w:tc>
          <w:tcPr>
            <w:tcW w:w="1152" w:type="dxa"/>
            <w:vAlign w:val="center"/>
          </w:tcPr>
          <w:p w14:paraId="3E0766A3" w14:textId="77777777" w:rsidR="00640AC8" w:rsidRPr="00393DBB" w:rsidRDefault="00640AC8" w:rsidP="00393DBB">
            <w:pPr>
              <w:pStyle w:val="TableParagraph"/>
              <w:spacing w:line="360" w:lineRule="exact"/>
              <w:ind w:leftChars="-10" w:left="-34" w:rightChars="-10" w:right="-34"/>
              <w:jc w:val="center"/>
            </w:pPr>
            <w:proofErr w:type="spellStart"/>
            <w:r w:rsidRPr="00393DBB">
              <w:t>出土量</w:t>
            </w:r>
            <w:proofErr w:type="spellEnd"/>
          </w:p>
        </w:tc>
        <w:tc>
          <w:tcPr>
            <w:tcW w:w="1151" w:type="dxa"/>
            <w:vAlign w:val="center"/>
          </w:tcPr>
          <w:p w14:paraId="3CF93E5A" w14:textId="77777777" w:rsidR="00640AC8" w:rsidRPr="00393DBB" w:rsidRDefault="00640AC8" w:rsidP="00393DBB">
            <w:pPr>
              <w:pStyle w:val="TableParagraph"/>
              <w:spacing w:line="360" w:lineRule="exact"/>
              <w:ind w:leftChars="-10" w:left="-34" w:rightChars="-10" w:right="-34"/>
              <w:jc w:val="center"/>
            </w:pPr>
            <w:proofErr w:type="spellStart"/>
            <w:r w:rsidRPr="00393DBB">
              <w:t>需土量</w:t>
            </w:r>
            <w:proofErr w:type="spellEnd"/>
          </w:p>
        </w:tc>
        <w:tc>
          <w:tcPr>
            <w:tcW w:w="1152" w:type="dxa"/>
            <w:vAlign w:val="center"/>
          </w:tcPr>
          <w:p w14:paraId="40D9E9F2" w14:textId="77777777" w:rsidR="00640AC8" w:rsidRPr="00393DBB" w:rsidRDefault="00640AC8" w:rsidP="00393DBB">
            <w:pPr>
              <w:pStyle w:val="TableParagraph"/>
              <w:spacing w:line="360" w:lineRule="exact"/>
              <w:ind w:leftChars="-10" w:left="-34" w:rightChars="-10" w:right="-34"/>
              <w:jc w:val="center"/>
            </w:pPr>
            <w:proofErr w:type="spellStart"/>
            <w:r w:rsidRPr="00393DBB">
              <w:t>出土量</w:t>
            </w:r>
            <w:proofErr w:type="spellEnd"/>
          </w:p>
        </w:tc>
        <w:tc>
          <w:tcPr>
            <w:tcW w:w="1152" w:type="dxa"/>
            <w:vAlign w:val="center"/>
          </w:tcPr>
          <w:p w14:paraId="02F0CE4C" w14:textId="77777777" w:rsidR="00640AC8" w:rsidRPr="00393DBB" w:rsidRDefault="00640AC8" w:rsidP="00393DBB">
            <w:pPr>
              <w:pStyle w:val="TableParagraph"/>
              <w:spacing w:line="360" w:lineRule="exact"/>
              <w:ind w:leftChars="-10" w:left="-34" w:rightChars="-10" w:right="-34"/>
              <w:jc w:val="center"/>
            </w:pPr>
            <w:proofErr w:type="spellStart"/>
            <w:r w:rsidRPr="00393DBB">
              <w:t>需土量</w:t>
            </w:r>
            <w:proofErr w:type="spellEnd"/>
          </w:p>
        </w:tc>
      </w:tr>
      <w:tr w:rsidR="00393DBB" w:rsidRPr="00393DBB" w14:paraId="4C884969" w14:textId="77777777" w:rsidTr="00393DBB">
        <w:trPr>
          <w:trHeight w:val="20"/>
        </w:trPr>
        <w:tc>
          <w:tcPr>
            <w:tcW w:w="1134" w:type="dxa"/>
            <w:vMerge w:val="restart"/>
            <w:vAlign w:val="center"/>
          </w:tcPr>
          <w:p w14:paraId="4E00A693" w14:textId="77777777" w:rsidR="00640AC8" w:rsidRPr="00393DBB" w:rsidRDefault="00640AC8" w:rsidP="00393DBB">
            <w:pPr>
              <w:pStyle w:val="TableParagraph"/>
              <w:spacing w:line="360" w:lineRule="exact"/>
              <w:ind w:left="47" w:right="33"/>
              <w:jc w:val="center"/>
            </w:pPr>
            <w:proofErr w:type="spellStart"/>
            <w:r w:rsidRPr="00393DBB">
              <w:t>北部地區</w:t>
            </w:r>
            <w:proofErr w:type="spellEnd"/>
          </w:p>
        </w:tc>
        <w:tc>
          <w:tcPr>
            <w:tcW w:w="1418" w:type="dxa"/>
            <w:vAlign w:val="center"/>
          </w:tcPr>
          <w:p w14:paraId="0A03279A" w14:textId="77777777" w:rsidR="00640AC8" w:rsidRPr="00393DBB" w:rsidRDefault="00640AC8" w:rsidP="00393DBB">
            <w:pPr>
              <w:pStyle w:val="TableParagraph"/>
              <w:spacing w:line="360" w:lineRule="exact"/>
              <w:ind w:leftChars="-50" w:left="-170" w:rightChars="-50" w:right="-170"/>
              <w:jc w:val="center"/>
            </w:pPr>
            <w:proofErr w:type="spellStart"/>
            <w:r w:rsidRPr="00393DBB">
              <w:t>公共工程</w:t>
            </w:r>
            <w:proofErr w:type="spellEnd"/>
          </w:p>
        </w:tc>
        <w:tc>
          <w:tcPr>
            <w:tcW w:w="1151" w:type="dxa"/>
            <w:vAlign w:val="center"/>
          </w:tcPr>
          <w:p w14:paraId="3612FC63"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9,452,851</w:t>
            </w:r>
          </w:p>
        </w:tc>
        <w:tc>
          <w:tcPr>
            <w:tcW w:w="1152" w:type="dxa"/>
            <w:vAlign w:val="center"/>
          </w:tcPr>
          <w:p w14:paraId="116939B6"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5,464,081</w:t>
            </w:r>
          </w:p>
        </w:tc>
        <w:tc>
          <w:tcPr>
            <w:tcW w:w="1152" w:type="dxa"/>
            <w:vAlign w:val="center"/>
          </w:tcPr>
          <w:p w14:paraId="0CD7A322"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8,889,139</w:t>
            </w:r>
          </w:p>
        </w:tc>
        <w:tc>
          <w:tcPr>
            <w:tcW w:w="1151" w:type="dxa"/>
            <w:vAlign w:val="center"/>
          </w:tcPr>
          <w:p w14:paraId="479A02AD"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6,305,697</w:t>
            </w:r>
          </w:p>
        </w:tc>
        <w:tc>
          <w:tcPr>
            <w:tcW w:w="1152" w:type="dxa"/>
            <w:vAlign w:val="center"/>
          </w:tcPr>
          <w:p w14:paraId="7A6590F1"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7,051,909</w:t>
            </w:r>
          </w:p>
        </w:tc>
        <w:tc>
          <w:tcPr>
            <w:tcW w:w="1152" w:type="dxa"/>
            <w:vAlign w:val="center"/>
          </w:tcPr>
          <w:p w14:paraId="2576758C"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5,005,153</w:t>
            </w:r>
          </w:p>
        </w:tc>
      </w:tr>
      <w:tr w:rsidR="00393DBB" w:rsidRPr="00393DBB" w14:paraId="56B4771C" w14:textId="77777777" w:rsidTr="00393DBB">
        <w:trPr>
          <w:trHeight w:val="20"/>
        </w:trPr>
        <w:tc>
          <w:tcPr>
            <w:tcW w:w="1134" w:type="dxa"/>
            <w:vMerge/>
            <w:tcBorders>
              <w:top w:val="nil"/>
            </w:tcBorders>
            <w:vAlign w:val="center"/>
          </w:tcPr>
          <w:p w14:paraId="23751AE9" w14:textId="77777777" w:rsidR="00640AC8" w:rsidRPr="00393DBB" w:rsidRDefault="00640AC8" w:rsidP="00393DBB">
            <w:pPr>
              <w:spacing w:line="360" w:lineRule="exact"/>
              <w:jc w:val="center"/>
              <w:rPr>
                <w:sz w:val="22"/>
              </w:rPr>
            </w:pPr>
          </w:p>
        </w:tc>
        <w:tc>
          <w:tcPr>
            <w:tcW w:w="1418" w:type="dxa"/>
            <w:vAlign w:val="center"/>
          </w:tcPr>
          <w:p w14:paraId="5E962759" w14:textId="77777777" w:rsidR="00640AC8" w:rsidRPr="00393DBB" w:rsidRDefault="00640AC8" w:rsidP="00393DBB">
            <w:pPr>
              <w:pStyle w:val="TableParagraph"/>
              <w:spacing w:line="360" w:lineRule="exact"/>
              <w:ind w:leftChars="-50" w:left="-170" w:rightChars="-50" w:right="-170"/>
              <w:jc w:val="center"/>
            </w:pPr>
            <w:proofErr w:type="spellStart"/>
            <w:r w:rsidRPr="00393DBB">
              <w:t>建築工程</w:t>
            </w:r>
            <w:proofErr w:type="spellEnd"/>
          </w:p>
        </w:tc>
        <w:tc>
          <w:tcPr>
            <w:tcW w:w="1151" w:type="dxa"/>
            <w:vAlign w:val="center"/>
          </w:tcPr>
          <w:p w14:paraId="41705ED8"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17,655,667</w:t>
            </w:r>
          </w:p>
        </w:tc>
        <w:tc>
          <w:tcPr>
            <w:tcW w:w="1152" w:type="dxa"/>
            <w:vAlign w:val="center"/>
          </w:tcPr>
          <w:p w14:paraId="0EF35253"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56,015</w:t>
            </w:r>
          </w:p>
        </w:tc>
        <w:tc>
          <w:tcPr>
            <w:tcW w:w="1152" w:type="dxa"/>
            <w:vAlign w:val="center"/>
          </w:tcPr>
          <w:p w14:paraId="27A9E311"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16,551,071</w:t>
            </w:r>
          </w:p>
        </w:tc>
        <w:tc>
          <w:tcPr>
            <w:tcW w:w="1151" w:type="dxa"/>
            <w:vAlign w:val="center"/>
          </w:tcPr>
          <w:p w14:paraId="3B78BD65"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w:t>
            </w:r>
          </w:p>
        </w:tc>
        <w:tc>
          <w:tcPr>
            <w:tcW w:w="1152" w:type="dxa"/>
            <w:vAlign w:val="center"/>
          </w:tcPr>
          <w:p w14:paraId="2206AAB4"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17,889,864</w:t>
            </w:r>
          </w:p>
        </w:tc>
        <w:tc>
          <w:tcPr>
            <w:tcW w:w="1152" w:type="dxa"/>
            <w:vAlign w:val="center"/>
          </w:tcPr>
          <w:p w14:paraId="74CF7B27"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6,372</w:t>
            </w:r>
          </w:p>
        </w:tc>
      </w:tr>
      <w:tr w:rsidR="00393DBB" w:rsidRPr="00393DBB" w14:paraId="02AF9EB3" w14:textId="77777777" w:rsidTr="00393DBB">
        <w:trPr>
          <w:trHeight w:val="20"/>
        </w:trPr>
        <w:tc>
          <w:tcPr>
            <w:tcW w:w="1134" w:type="dxa"/>
            <w:vMerge w:val="restart"/>
            <w:vAlign w:val="center"/>
          </w:tcPr>
          <w:p w14:paraId="644A5565" w14:textId="77777777" w:rsidR="00640AC8" w:rsidRPr="00393DBB" w:rsidRDefault="00640AC8" w:rsidP="00393DBB">
            <w:pPr>
              <w:pStyle w:val="TableParagraph"/>
              <w:spacing w:line="360" w:lineRule="exact"/>
              <w:ind w:left="47" w:right="33"/>
              <w:jc w:val="center"/>
            </w:pPr>
            <w:proofErr w:type="spellStart"/>
            <w:r w:rsidRPr="00393DBB">
              <w:t>中部地區</w:t>
            </w:r>
            <w:proofErr w:type="spellEnd"/>
          </w:p>
        </w:tc>
        <w:tc>
          <w:tcPr>
            <w:tcW w:w="1418" w:type="dxa"/>
            <w:vAlign w:val="center"/>
          </w:tcPr>
          <w:p w14:paraId="12BAF6EF" w14:textId="77777777" w:rsidR="00640AC8" w:rsidRPr="00393DBB" w:rsidRDefault="00640AC8" w:rsidP="00393DBB">
            <w:pPr>
              <w:pStyle w:val="TableParagraph"/>
              <w:spacing w:line="360" w:lineRule="exact"/>
              <w:ind w:leftChars="-50" w:left="-170" w:rightChars="-50" w:right="-170"/>
              <w:jc w:val="center"/>
            </w:pPr>
            <w:proofErr w:type="spellStart"/>
            <w:r w:rsidRPr="00393DBB">
              <w:t>公共工程</w:t>
            </w:r>
            <w:proofErr w:type="spellEnd"/>
          </w:p>
        </w:tc>
        <w:tc>
          <w:tcPr>
            <w:tcW w:w="1151" w:type="dxa"/>
            <w:vAlign w:val="center"/>
          </w:tcPr>
          <w:p w14:paraId="299FF03D"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3,171,526</w:t>
            </w:r>
          </w:p>
        </w:tc>
        <w:tc>
          <w:tcPr>
            <w:tcW w:w="1152" w:type="dxa"/>
            <w:vAlign w:val="center"/>
          </w:tcPr>
          <w:p w14:paraId="77D01D96"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136,060</w:t>
            </w:r>
          </w:p>
        </w:tc>
        <w:tc>
          <w:tcPr>
            <w:tcW w:w="1152" w:type="dxa"/>
            <w:vAlign w:val="center"/>
          </w:tcPr>
          <w:p w14:paraId="060C0400"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2,190,698</w:t>
            </w:r>
          </w:p>
        </w:tc>
        <w:tc>
          <w:tcPr>
            <w:tcW w:w="1151" w:type="dxa"/>
            <w:vAlign w:val="center"/>
          </w:tcPr>
          <w:p w14:paraId="160214E5"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56,797</w:t>
            </w:r>
          </w:p>
        </w:tc>
        <w:tc>
          <w:tcPr>
            <w:tcW w:w="1152" w:type="dxa"/>
            <w:vAlign w:val="center"/>
          </w:tcPr>
          <w:p w14:paraId="68E86510"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2,644,145</w:t>
            </w:r>
          </w:p>
        </w:tc>
        <w:tc>
          <w:tcPr>
            <w:tcW w:w="1152" w:type="dxa"/>
            <w:vAlign w:val="center"/>
          </w:tcPr>
          <w:p w14:paraId="367A08C8"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1,848</w:t>
            </w:r>
          </w:p>
        </w:tc>
      </w:tr>
      <w:tr w:rsidR="00393DBB" w:rsidRPr="00393DBB" w14:paraId="20B5E7BB" w14:textId="77777777" w:rsidTr="00393DBB">
        <w:trPr>
          <w:trHeight w:val="20"/>
        </w:trPr>
        <w:tc>
          <w:tcPr>
            <w:tcW w:w="1134" w:type="dxa"/>
            <w:vMerge/>
            <w:tcBorders>
              <w:top w:val="nil"/>
            </w:tcBorders>
            <w:vAlign w:val="center"/>
          </w:tcPr>
          <w:p w14:paraId="2667FBCA" w14:textId="77777777" w:rsidR="00640AC8" w:rsidRPr="00393DBB" w:rsidRDefault="00640AC8" w:rsidP="00393DBB">
            <w:pPr>
              <w:spacing w:line="360" w:lineRule="exact"/>
              <w:jc w:val="center"/>
              <w:rPr>
                <w:sz w:val="22"/>
              </w:rPr>
            </w:pPr>
          </w:p>
        </w:tc>
        <w:tc>
          <w:tcPr>
            <w:tcW w:w="1418" w:type="dxa"/>
            <w:vAlign w:val="center"/>
          </w:tcPr>
          <w:p w14:paraId="7E334827" w14:textId="77777777" w:rsidR="00640AC8" w:rsidRPr="00393DBB" w:rsidRDefault="00640AC8" w:rsidP="00393DBB">
            <w:pPr>
              <w:pStyle w:val="TableParagraph"/>
              <w:spacing w:line="360" w:lineRule="exact"/>
              <w:ind w:leftChars="-50" w:left="-170" w:rightChars="-50" w:right="-170"/>
              <w:jc w:val="center"/>
            </w:pPr>
            <w:proofErr w:type="spellStart"/>
            <w:r w:rsidRPr="00393DBB">
              <w:t>建築工程</w:t>
            </w:r>
            <w:proofErr w:type="spellEnd"/>
          </w:p>
        </w:tc>
        <w:tc>
          <w:tcPr>
            <w:tcW w:w="1151" w:type="dxa"/>
            <w:vAlign w:val="center"/>
          </w:tcPr>
          <w:p w14:paraId="1063F3DC"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7,310,546</w:t>
            </w:r>
          </w:p>
        </w:tc>
        <w:tc>
          <w:tcPr>
            <w:tcW w:w="1152" w:type="dxa"/>
            <w:vAlign w:val="center"/>
          </w:tcPr>
          <w:p w14:paraId="658F03C7"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w:t>
            </w:r>
          </w:p>
        </w:tc>
        <w:tc>
          <w:tcPr>
            <w:tcW w:w="1152" w:type="dxa"/>
            <w:vAlign w:val="center"/>
          </w:tcPr>
          <w:p w14:paraId="3A90E6B9"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7,580,211</w:t>
            </w:r>
          </w:p>
        </w:tc>
        <w:tc>
          <w:tcPr>
            <w:tcW w:w="1151" w:type="dxa"/>
            <w:vAlign w:val="center"/>
          </w:tcPr>
          <w:p w14:paraId="63F02397"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w:t>
            </w:r>
          </w:p>
        </w:tc>
        <w:tc>
          <w:tcPr>
            <w:tcW w:w="1152" w:type="dxa"/>
            <w:vAlign w:val="center"/>
          </w:tcPr>
          <w:p w14:paraId="0E9256A3"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6,061,719</w:t>
            </w:r>
          </w:p>
        </w:tc>
        <w:tc>
          <w:tcPr>
            <w:tcW w:w="1152" w:type="dxa"/>
            <w:vAlign w:val="center"/>
          </w:tcPr>
          <w:p w14:paraId="1F126B95"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w:t>
            </w:r>
          </w:p>
        </w:tc>
      </w:tr>
      <w:tr w:rsidR="00393DBB" w:rsidRPr="00393DBB" w14:paraId="21A5F17E" w14:textId="77777777" w:rsidTr="00393DBB">
        <w:trPr>
          <w:trHeight w:val="20"/>
        </w:trPr>
        <w:tc>
          <w:tcPr>
            <w:tcW w:w="1134" w:type="dxa"/>
            <w:vMerge w:val="restart"/>
            <w:vAlign w:val="center"/>
          </w:tcPr>
          <w:p w14:paraId="7D87B80A" w14:textId="77777777" w:rsidR="00640AC8" w:rsidRPr="00393DBB" w:rsidRDefault="00640AC8" w:rsidP="00393DBB">
            <w:pPr>
              <w:pStyle w:val="TableParagraph"/>
              <w:spacing w:line="360" w:lineRule="exact"/>
              <w:ind w:left="47" w:right="33"/>
              <w:jc w:val="center"/>
            </w:pPr>
            <w:proofErr w:type="spellStart"/>
            <w:r w:rsidRPr="00393DBB">
              <w:t>南部地區</w:t>
            </w:r>
            <w:proofErr w:type="spellEnd"/>
          </w:p>
        </w:tc>
        <w:tc>
          <w:tcPr>
            <w:tcW w:w="1418" w:type="dxa"/>
            <w:vAlign w:val="center"/>
          </w:tcPr>
          <w:p w14:paraId="5AAC3FEF" w14:textId="77777777" w:rsidR="00640AC8" w:rsidRPr="00393DBB" w:rsidRDefault="00640AC8" w:rsidP="00393DBB">
            <w:pPr>
              <w:pStyle w:val="TableParagraph"/>
              <w:spacing w:line="360" w:lineRule="exact"/>
              <w:ind w:leftChars="-50" w:left="-170" w:rightChars="-50" w:right="-170"/>
              <w:jc w:val="center"/>
            </w:pPr>
            <w:proofErr w:type="spellStart"/>
            <w:r w:rsidRPr="00393DBB">
              <w:t>公共工程</w:t>
            </w:r>
            <w:proofErr w:type="spellEnd"/>
          </w:p>
        </w:tc>
        <w:tc>
          <w:tcPr>
            <w:tcW w:w="1151" w:type="dxa"/>
            <w:vAlign w:val="center"/>
          </w:tcPr>
          <w:p w14:paraId="1D1D87AC"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2,916,950</w:t>
            </w:r>
          </w:p>
        </w:tc>
        <w:tc>
          <w:tcPr>
            <w:tcW w:w="1152" w:type="dxa"/>
            <w:vAlign w:val="center"/>
          </w:tcPr>
          <w:p w14:paraId="10EA8EC7"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662,716</w:t>
            </w:r>
          </w:p>
        </w:tc>
        <w:tc>
          <w:tcPr>
            <w:tcW w:w="1152" w:type="dxa"/>
            <w:vAlign w:val="center"/>
          </w:tcPr>
          <w:p w14:paraId="1174321A"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2,610,810</w:t>
            </w:r>
          </w:p>
        </w:tc>
        <w:tc>
          <w:tcPr>
            <w:tcW w:w="1151" w:type="dxa"/>
            <w:vAlign w:val="center"/>
          </w:tcPr>
          <w:p w14:paraId="31B2BFB3"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854,291</w:t>
            </w:r>
          </w:p>
        </w:tc>
        <w:tc>
          <w:tcPr>
            <w:tcW w:w="1152" w:type="dxa"/>
            <w:vAlign w:val="center"/>
          </w:tcPr>
          <w:p w14:paraId="31710EF8"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3,654,554</w:t>
            </w:r>
          </w:p>
        </w:tc>
        <w:tc>
          <w:tcPr>
            <w:tcW w:w="1152" w:type="dxa"/>
            <w:vAlign w:val="center"/>
          </w:tcPr>
          <w:p w14:paraId="59580ADF"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907,706</w:t>
            </w:r>
          </w:p>
        </w:tc>
      </w:tr>
      <w:tr w:rsidR="00393DBB" w:rsidRPr="00393DBB" w14:paraId="22515786" w14:textId="77777777" w:rsidTr="00393DBB">
        <w:trPr>
          <w:trHeight w:val="20"/>
        </w:trPr>
        <w:tc>
          <w:tcPr>
            <w:tcW w:w="1134" w:type="dxa"/>
            <w:vMerge/>
            <w:tcBorders>
              <w:top w:val="nil"/>
            </w:tcBorders>
            <w:vAlign w:val="center"/>
          </w:tcPr>
          <w:p w14:paraId="762E3880" w14:textId="77777777" w:rsidR="00640AC8" w:rsidRPr="00393DBB" w:rsidRDefault="00640AC8" w:rsidP="00393DBB">
            <w:pPr>
              <w:spacing w:line="360" w:lineRule="exact"/>
              <w:jc w:val="center"/>
              <w:rPr>
                <w:sz w:val="22"/>
              </w:rPr>
            </w:pPr>
          </w:p>
        </w:tc>
        <w:tc>
          <w:tcPr>
            <w:tcW w:w="1418" w:type="dxa"/>
            <w:vAlign w:val="center"/>
          </w:tcPr>
          <w:p w14:paraId="663A7C83" w14:textId="77777777" w:rsidR="00640AC8" w:rsidRPr="00393DBB" w:rsidRDefault="00640AC8" w:rsidP="00393DBB">
            <w:pPr>
              <w:pStyle w:val="TableParagraph"/>
              <w:spacing w:line="360" w:lineRule="exact"/>
              <w:ind w:leftChars="-50" w:left="-170" w:rightChars="-50" w:right="-170"/>
              <w:jc w:val="center"/>
            </w:pPr>
            <w:proofErr w:type="spellStart"/>
            <w:r w:rsidRPr="00393DBB">
              <w:t>建築工程</w:t>
            </w:r>
            <w:proofErr w:type="spellEnd"/>
          </w:p>
        </w:tc>
        <w:tc>
          <w:tcPr>
            <w:tcW w:w="1151" w:type="dxa"/>
            <w:vAlign w:val="center"/>
          </w:tcPr>
          <w:p w14:paraId="6CC78AB9"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5,179,873</w:t>
            </w:r>
          </w:p>
        </w:tc>
        <w:tc>
          <w:tcPr>
            <w:tcW w:w="1152" w:type="dxa"/>
            <w:vAlign w:val="center"/>
          </w:tcPr>
          <w:p w14:paraId="3E21D2F1"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8,230</w:t>
            </w:r>
          </w:p>
        </w:tc>
        <w:tc>
          <w:tcPr>
            <w:tcW w:w="1152" w:type="dxa"/>
            <w:vAlign w:val="center"/>
          </w:tcPr>
          <w:p w14:paraId="32A64B95"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4,890,159</w:t>
            </w:r>
          </w:p>
        </w:tc>
        <w:tc>
          <w:tcPr>
            <w:tcW w:w="1151" w:type="dxa"/>
            <w:vAlign w:val="center"/>
          </w:tcPr>
          <w:p w14:paraId="30AE596A"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22,453</w:t>
            </w:r>
          </w:p>
        </w:tc>
        <w:tc>
          <w:tcPr>
            <w:tcW w:w="1152" w:type="dxa"/>
            <w:vAlign w:val="center"/>
          </w:tcPr>
          <w:p w14:paraId="2BA8F985"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4,912,328</w:t>
            </w:r>
          </w:p>
        </w:tc>
        <w:tc>
          <w:tcPr>
            <w:tcW w:w="1152" w:type="dxa"/>
            <w:vAlign w:val="center"/>
          </w:tcPr>
          <w:p w14:paraId="0C793E22"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w:t>
            </w:r>
          </w:p>
        </w:tc>
      </w:tr>
      <w:tr w:rsidR="00393DBB" w:rsidRPr="00393DBB" w14:paraId="74C5DD52" w14:textId="77777777" w:rsidTr="00393DBB">
        <w:trPr>
          <w:trHeight w:val="20"/>
        </w:trPr>
        <w:tc>
          <w:tcPr>
            <w:tcW w:w="1134" w:type="dxa"/>
            <w:vMerge w:val="restart"/>
            <w:vAlign w:val="center"/>
          </w:tcPr>
          <w:p w14:paraId="259779DC" w14:textId="77777777" w:rsidR="00640AC8" w:rsidRPr="00393DBB" w:rsidRDefault="00640AC8" w:rsidP="00393DBB">
            <w:pPr>
              <w:pStyle w:val="TableParagraph"/>
              <w:spacing w:line="360" w:lineRule="exact"/>
              <w:ind w:left="47" w:right="33"/>
              <w:jc w:val="center"/>
            </w:pPr>
            <w:proofErr w:type="spellStart"/>
            <w:r w:rsidRPr="00393DBB">
              <w:t>東部地區</w:t>
            </w:r>
            <w:proofErr w:type="spellEnd"/>
          </w:p>
        </w:tc>
        <w:tc>
          <w:tcPr>
            <w:tcW w:w="1418" w:type="dxa"/>
            <w:vAlign w:val="center"/>
          </w:tcPr>
          <w:p w14:paraId="3F2AC005" w14:textId="77777777" w:rsidR="00640AC8" w:rsidRPr="00393DBB" w:rsidRDefault="00640AC8" w:rsidP="00393DBB">
            <w:pPr>
              <w:pStyle w:val="TableParagraph"/>
              <w:spacing w:line="360" w:lineRule="exact"/>
              <w:ind w:leftChars="-50" w:left="-170" w:rightChars="-50" w:right="-170"/>
              <w:jc w:val="center"/>
            </w:pPr>
            <w:proofErr w:type="spellStart"/>
            <w:r w:rsidRPr="00393DBB">
              <w:t>公共工程</w:t>
            </w:r>
            <w:proofErr w:type="spellEnd"/>
          </w:p>
        </w:tc>
        <w:tc>
          <w:tcPr>
            <w:tcW w:w="1151" w:type="dxa"/>
            <w:vAlign w:val="center"/>
          </w:tcPr>
          <w:p w14:paraId="66154426"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257,101</w:t>
            </w:r>
          </w:p>
        </w:tc>
        <w:tc>
          <w:tcPr>
            <w:tcW w:w="1152" w:type="dxa"/>
            <w:vAlign w:val="center"/>
          </w:tcPr>
          <w:p w14:paraId="58E458D2"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34,044</w:t>
            </w:r>
          </w:p>
        </w:tc>
        <w:tc>
          <w:tcPr>
            <w:tcW w:w="1152" w:type="dxa"/>
            <w:vAlign w:val="center"/>
          </w:tcPr>
          <w:p w14:paraId="4B304329"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217,697</w:t>
            </w:r>
          </w:p>
        </w:tc>
        <w:tc>
          <w:tcPr>
            <w:tcW w:w="1151" w:type="dxa"/>
            <w:vAlign w:val="center"/>
          </w:tcPr>
          <w:p w14:paraId="158D51B1"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5,144</w:t>
            </w:r>
          </w:p>
        </w:tc>
        <w:tc>
          <w:tcPr>
            <w:tcW w:w="1152" w:type="dxa"/>
            <w:vAlign w:val="center"/>
          </w:tcPr>
          <w:p w14:paraId="6983A5F3"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152,399</w:t>
            </w:r>
          </w:p>
        </w:tc>
        <w:tc>
          <w:tcPr>
            <w:tcW w:w="1152" w:type="dxa"/>
            <w:vAlign w:val="center"/>
          </w:tcPr>
          <w:p w14:paraId="7A825362"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3,962</w:t>
            </w:r>
          </w:p>
        </w:tc>
      </w:tr>
      <w:tr w:rsidR="00393DBB" w:rsidRPr="00393DBB" w14:paraId="091E3CE3" w14:textId="77777777" w:rsidTr="00393DBB">
        <w:trPr>
          <w:trHeight w:val="20"/>
        </w:trPr>
        <w:tc>
          <w:tcPr>
            <w:tcW w:w="1134" w:type="dxa"/>
            <w:vMerge/>
            <w:tcBorders>
              <w:top w:val="nil"/>
            </w:tcBorders>
            <w:vAlign w:val="center"/>
          </w:tcPr>
          <w:p w14:paraId="65C88368" w14:textId="77777777" w:rsidR="00640AC8" w:rsidRPr="00393DBB" w:rsidRDefault="00640AC8" w:rsidP="00393DBB">
            <w:pPr>
              <w:spacing w:line="360" w:lineRule="exact"/>
              <w:jc w:val="center"/>
              <w:rPr>
                <w:sz w:val="22"/>
              </w:rPr>
            </w:pPr>
          </w:p>
        </w:tc>
        <w:tc>
          <w:tcPr>
            <w:tcW w:w="1418" w:type="dxa"/>
            <w:vAlign w:val="center"/>
          </w:tcPr>
          <w:p w14:paraId="586606EB" w14:textId="77777777" w:rsidR="00640AC8" w:rsidRPr="00393DBB" w:rsidRDefault="00640AC8" w:rsidP="00393DBB">
            <w:pPr>
              <w:pStyle w:val="TableParagraph"/>
              <w:spacing w:line="360" w:lineRule="exact"/>
              <w:ind w:leftChars="-50" w:left="-170" w:rightChars="-50" w:right="-170"/>
              <w:jc w:val="center"/>
            </w:pPr>
            <w:proofErr w:type="spellStart"/>
            <w:r w:rsidRPr="00393DBB">
              <w:t>建築工程</w:t>
            </w:r>
            <w:proofErr w:type="spellEnd"/>
          </w:p>
        </w:tc>
        <w:tc>
          <w:tcPr>
            <w:tcW w:w="1151" w:type="dxa"/>
            <w:vAlign w:val="center"/>
          </w:tcPr>
          <w:p w14:paraId="5D2452EA"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200,112</w:t>
            </w:r>
          </w:p>
        </w:tc>
        <w:tc>
          <w:tcPr>
            <w:tcW w:w="1152" w:type="dxa"/>
            <w:vAlign w:val="center"/>
          </w:tcPr>
          <w:p w14:paraId="558DCA46"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438</w:t>
            </w:r>
          </w:p>
        </w:tc>
        <w:tc>
          <w:tcPr>
            <w:tcW w:w="1152" w:type="dxa"/>
            <w:vAlign w:val="center"/>
          </w:tcPr>
          <w:p w14:paraId="3B95D584"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310,716</w:t>
            </w:r>
          </w:p>
        </w:tc>
        <w:tc>
          <w:tcPr>
            <w:tcW w:w="1151" w:type="dxa"/>
            <w:vAlign w:val="center"/>
          </w:tcPr>
          <w:p w14:paraId="7E2D0CFB"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1,636</w:t>
            </w:r>
          </w:p>
        </w:tc>
        <w:tc>
          <w:tcPr>
            <w:tcW w:w="1152" w:type="dxa"/>
            <w:vAlign w:val="center"/>
          </w:tcPr>
          <w:p w14:paraId="2157E5D5"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327,123</w:t>
            </w:r>
          </w:p>
        </w:tc>
        <w:tc>
          <w:tcPr>
            <w:tcW w:w="1152" w:type="dxa"/>
            <w:vAlign w:val="center"/>
          </w:tcPr>
          <w:p w14:paraId="4418DE8A"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1,849</w:t>
            </w:r>
          </w:p>
        </w:tc>
      </w:tr>
      <w:tr w:rsidR="00393DBB" w:rsidRPr="00393DBB" w14:paraId="55C1E211" w14:textId="77777777" w:rsidTr="00393DBB">
        <w:trPr>
          <w:trHeight w:val="20"/>
        </w:trPr>
        <w:tc>
          <w:tcPr>
            <w:tcW w:w="1134" w:type="dxa"/>
            <w:vMerge w:val="restart"/>
            <w:vAlign w:val="center"/>
          </w:tcPr>
          <w:p w14:paraId="68128164" w14:textId="77777777" w:rsidR="00640AC8" w:rsidRPr="00393DBB" w:rsidRDefault="00640AC8" w:rsidP="00393DBB">
            <w:pPr>
              <w:pStyle w:val="TableParagraph"/>
              <w:spacing w:line="360" w:lineRule="exact"/>
              <w:ind w:left="47" w:right="33"/>
              <w:jc w:val="center"/>
            </w:pPr>
            <w:proofErr w:type="spellStart"/>
            <w:r w:rsidRPr="00393DBB">
              <w:t>外島地區</w:t>
            </w:r>
            <w:proofErr w:type="spellEnd"/>
          </w:p>
        </w:tc>
        <w:tc>
          <w:tcPr>
            <w:tcW w:w="1418" w:type="dxa"/>
            <w:vAlign w:val="center"/>
          </w:tcPr>
          <w:p w14:paraId="28FACA9F" w14:textId="77777777" w:rsidR="00640AC8" w:rsidRPr="00393DBB" w:rsidRDefault="00640AC8" w:rsidP="00393DBB">
            <w:pPr>
              <w:pStyle w:val="TableParagraph"/>
              <w:spacing w:line="360" w:lineRule="exact"/>
              <w:ind w:leftChars="-50" w:left="-170" w:rightChars="-50" w:right="-170"/>
              <w:jc w:val="center"/>
            </w:pPr>
            <w:proofErr w:type="spellStart"/>
            <w:r w:rsidRPr="00393DBB">
              <w:t>公共工程</w:t>
            </w:r>
            <w:proofErr w:type="spellEnd"/>
          </w:p>
        </w:tc>
        <w:tc>
          <w:tcPr>
            <w:tcW w:w="1151" w:type="dxa"/>
            <w:vAlign w:val="center"/>
          </w:tcPr>
          <w:p w14:paraId="383C01D1"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215,082</w:t>
            </w:r>
          </w:p>
        </w:tc>
        <w:tc>
          <w:tcPr>
            <w:tcW w:w="1152" w:type="dxa"/>
            <w:vAlign w:val="center"/>
          </w:tcPr>
          <w:p w14:paraId="711E7069"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88,149</w:t>
            </w:r>
          </w:p>
        </w:tc>
        <w:tc>
          <w:tcPr>
            <w:tcW w:w="1152" w:type="dxa"/>
            <w:vAlign w:val="center"/>
          </w:tcPr>
          <w:p w14:paraId="37CB62E8"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196,691</w:t>
            </w:r>
          </w:p>
        </w:tc>
        <w:tc>
          <w:tcPr>
            <w:tcW w:w="1151" w:type="dxa"/>
            <w:vAlign w:val="center"/>
          </w:tcPr>
          <w:p w14:paraId="109E3461"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105,881</w:t>
            </w:r>
          </w:p>
        </w:tc>
        <w:tc>
          <w:tcPr>
            <w:tcW w:w="1152" w:type="dxa"/>
            <w:vAlign w:val="center"/>
          </w:tcPr>
          <w:p w14:paraId="204C1567"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150,951</w:t>
            </w:r>
          </w:p>
        </w:tc>
        <w:tc>
          <w:tcPr>
            <w:tcW w:w="1152" w:type="dxa"/>
            <w:vAlign w:val="center"/>
          </w:tcPr>
          <w:p w14:paraId="21DDD1AF"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112,124</w:t>
            </w:r>
          </w:p>
        </w:tc>
      </w:tr>
      <w:tr w:rsidR="00393DBB" w:rsidRPr="00393DBB" w14:paraId="716AFBE4" w14:textId="77777777" w:rsidTr="00393DBB">
        <w:trPr>
          <w:trHeight w:val="20"/>
        </w:trPr>
        <w:tc>
          <w:tcPr>
            <w:tcW w:w="1134" w:type="dxa"/>
            <w:vMerge/>
            <w:tcBorders>
              <w:top w:val="nil"/>
            </w:tcBorders>
            <w:vAlign w:val="center"/>
          </w:tcPr>
          <w:p w14:paraId="0A0A888F" w14:textId="77777777" w:rsidR="00640AC8" w:rsidRPr="00393DBB" w:rsidRDefault="00640AC8" w:rsidP="00393DBB">
            <w:pPr>
              <w:spacing w:line="360" w:lineRule="exact"/>
              <w:jc w:val="center"/>
              <w:rPr>
                <w:sz w:val="22"/>
              </w:rPr>
            </w:pPr>
          </w:p>
        </w:tc>
        <w:tc>
          <w:tcPr>
            <w:tcW w:w="1418" w:type="dxa"/>
            <w:vAlign w:val="center"/>
          </w:tcPr>
          <w:p w14:paraId="51259C62" w14:textId="77777777" w:rsidR="00640AC8" w:rsidRPr="00393DBB" w:rsidRDefault="00640AC8" w:rsidP="00393DBB">
            <w:pPr>
              <w:pStyle w:val="TableParagraph"/>
              <w:spacing w:line="360" w:lineRule="exact"/>
              <w:ind w:leftChars="-50" w:left="-170" w:rightChars="-50" w:right="-170"/>
              <w:jc w:val="center"/>
            </w:pPr>
            <w:proofErr w:type="spellStart"/>
            <w:r w:rsidRPr="00393DBB">
              <w:t>建築工程</w:t>
            </w:r>
            <w:proofErr w:type="spellEnd"/>
          </w:p>
        </w:tc>
        <w:tc>
          <w:tcPr>
            <w:tcW w:w="1151" w:type="dxa"/>
            <w:vAlign w:val="center"/>
          </w:tcPr>
          <w:p w14:paraId="2AED2B8D"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8,216</w:t>
            </w:r>
          </w:p>
        </w:tc>
        <w:tc>
          <w:tcPr>
            <w:tcW w:w="1152" w:type="dxa"/>
            <w:vAlign w:val="center"/>
          </w:tcPr>
          <w:p w14:paraId="67AC92CB"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4,036</w:t>
            </w:r>
          </w:p>
        </w:tc>
        <w:tc>
          <w:tcPr>
            <w:tcW w:w="1152" w:type="dxa"/>
            <w:vAlign w:val="center"/>
          </w:tcPr>
          <w:p w14:paraId="62885607"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3,955</w:t>
            </w:r>
          </w:p>
        </w:tc>
        <w:tc>
          <w:tcPr>
            <w:tcW w:w="1151" w:type="dxa"/>
            <w:vAlign w:val="center"/>
          </w:tcPr>
          <w:p w14:paraId="2359340B"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w:t>
            </w:r>
          </w:p>
        </w:tc>
        <w:tc>
          <w:tcPr>
            <w:tcW w:w="1152" w:type="dxa"/>
            <w:vAlign w:val="center"/>
          </w:tcPr>
          <w:p w14:paraId="302E5A3F"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7,518</w:t>
            </w:r>
          </w:p>
        </w:tc>
        <w:tc>
          <w:tcPr>
            <w:tcW w:w="1152" w:type="dxa"/>
            <w:vAlign w:val="center"/>
          </w:tcPr>
          <w:p w14:paraId="7D48EAF7"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w:t>
            </w:r>
          </w:p>
        </w:tc>
      </w:tr>
      <w:tr w:rsidR="00393DBB" w:rsidRPr="00393DBB" w14:paraId="19429C1B" w14:textId="77777777" w:rsidTr="00393DBB">
        <w:trPr>
          <w:trHeight w:val="20"/>
        </w:trPr>
        <w:tc>
          <w:tcPr>
            <w:tcW w:w="2552" w:type="dxa"/>
            <w:gridSpan w:val="2"/>
            <w:vAlign w:val="center"/>
          </w:tcPr>
          <w:p w14:paraId="304E44E7" w14:textId="77777777" w:rsidR="00640AC8" w:rsidRPr="00393DBB" w:rsidRDefault="00640AC8" w:rsidP="00393DBB">
            <w:pPr>
              <w:pStyle w:val="TableParagraph"/>
              <w:spacing w:line="360" w:lineRule="exact"/>
              <w:ind w:left="514" w:right="507"/>
              <w:jc w:val="center"/>
            </w:pPr>
            <w:proofErr w:type="spellStart"/>
            <w:r w:rsidRPr="00393DBB">
              <w:t>總計</w:t>
            </w:r>
            <w:proofErr w:type="spellEnd"/>
          </w:p>
        </w:tc>
        <w:tc>
          <w:tcPr>
            <w:tcW w:w="1151" w:type="dxa"/>
            <w:vAlign w:val="center"/>
          </w:tcPr>
          <w:p w14:paraId="45B61B1F"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46,367,924</w:t>
            </w:r>
          </w:p>
        </w:tc>
        <w:tc>
          <w:tcPr>
            <w:tcW w:w="1152" w:type="dxa"/>
            <w:vAlign w:val="center"/>
          </w:tcPr>
          <w:p w14:paraId="763B5FDB"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6,453,769</w:t>
            </w:r>
          </w:p>
        </w:tc>
        <w:tc>
          <w:tcPr>
            <w:tcW w:w="1152" w:type="dxa"/>
            <w:vAlign w:val="center"/>
          </w:tcPr>
          <w:p w14:paraId="5ED94E77"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43,441,147</w:t>
            </w:r>
          </w:p>
        </w:tc>
        <w:tc>
          <w:tcPr>
            <w:tcW w:w="1151" w:type="dxa"/>
            <w:vAlign w:val="center"/>
          </w:tcPr>
          <w:p w14:paraId="51A41973"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7,351,899</w:t>
            </w:r>
          </w:p>
        </w:tc>
        <w:tc>
          <w:tcPr>
            <w:tcW w:w="1152" w:type="dxa"/>
            <w:vAlign w:val="center"/>
          </w:tcPr>
          <w:p w14:paraId="1F713209"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42,852,510</w:t>
            </w:r>
          </w:p>
        </w:tc>
        <w:tc>
          <w:tcPr>
            <w:tcW w:w="1152" w:type="dxa"/>
            <w:vAlign w:val="center"/>
          </w:tcPr>
          <w:p w14:paraId="54995444" w14:textId="77777777" w:rsidR="00640AC8" w:rsidRPr="00393DBB" w:rsidRDefault="00640AC8" w:rsidP="00393DBB">
            <w:pPr>
              <w:pStyle w:val="TableParagraph"/>
              <w:spacing w:line="360" w:lineRule="exact"/>
              <w:ind w:left="-57" w:rightChars="-15" w:right="-51"/>
              <w:jc w:val="center"/>
              <w:rPr>
                <w:rFonts w:ascii="Times New Roman"/>
                <w:sz w:val="20"/>
                <w:szCs w:val="20"/>
              </w:rPr>
            </w:pPr>
            <w:r w:rsidRPr="00393DBB">
              <w:rPr>
                <w:rFonts w:ascii="Times New Roman"/>
                <w:sz w:val="20"/>
                <w:szCs w:val="20"/>
              </w:rPr>
              <w:t>6,039,014</w:t>
            </w:r>
          </w:p>
        </w:tc>
      </w:tr>
    </w:tbl>
    <w:p w14:paraId="5053C816" w14:textId="5A2FEF88" w:rsidR="00640AC8" w:rsidRPr="00393DBB" w:rsidRDefault="00821469" w:rsidP="00821469">
      <w:pPr>
        <w:pStyle w:val="a6"/>
        <w:numPr>
          <w:ilvl w:val="0"/>
          <w:numId w:val="0"/>
        </w:numPr>
        <w:ind w:left="480" w:hanging="480"/>
      </w:pPr>
      <w:r>
        <w:rPr>
          <w:rFonts w:hint="eastAsia"/>
        </w:rPr>
        <w:t xml:space="preserve"> 表4  </w:t>
      </w:r>
      <w:r w:rsidR="00640AC8" w:rsidRPr="00393DBB">
        <w:rPr>
          <w:rFonts w:hint="eastAsia"/>
        </w:rPr>
        <w:t>113年各區域土方交換現況(單位：立方公尺)</w:t>
      </w:r>
    </w:p>
    <w:p w14:paraId="7E2EC452" w14:textId="089622B8" w:rsidR="00640AC8" w:rsidRPr="00393DBB" w:rsidRDefault="00640AC8" w:rsidP="00640AC8">
      <w:pPr>
        <w:pStyle w:val="a6"/>
        <w:numPr>
          <w:ilvl w:val="0"/>
          <w:numId w:val="0"/>
        </w:numPr>
        <w:spacing w:before="0" w:after="0" w:line="240" w:lineRule="auto"/>
      </w:pPr>
      <w:r w:rsidRPr="00393DBB">
        <w:rPr>
          <w:noProof/>
        </w:rPr>
        <w:drawing>
          <wp:inline distT="0" distB="0" distL="0" distR="0" wp14:anchorId="02BEA98A" wp14:editId="1F2D5FAC">
            <wp:extent cx="5072743" cy="3146663"/>
            <wp:effectExtent l="0" t="0" r="0" b="0"/>
            <wp:docPr id="1994527305" name="圖片 5" descr="一張含有 文字, 螢幕擷取畫面, 數字, 字型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527305" name="圖片 5" descr="一張含有 文字, 螢幕擷取畫面, 數字, 字型 的圖片&#10;&#10;自動產生的描述"/>
                    <pic:cNvPicPr/>
                  </pic:nvPicPr>
                  <pic:blipFill rotWithShape="1">
                    <a:blip r:embed="rId9">
                      <a:extLst>
                        <a:ext uri="{28A0092B-C50C-407E-A947-70E740481C1C}">
                          <a14:useLocalDpi xmlns:a14="http://schemas.microsoft.com/office/drawing/2010/main" val="0"/>
                        </a:ext>
                      </a:extLst>
                    </a:blip>
                    <a:srcRect t="7488"/>
                    <a:stretch/>
                  </pic:blipFill>
                  <pic:spPr bwMode="auto">
                    <a:xfrm>
                      <a:off x="0" y="0"/>
                      <a:ext cx="5080624" cy="3151551"/>
                    </a:xfrm>
                    <a:prstGeom prst="rect">
                      <a:avLst/>
                    </a:prstGeom>
                    <a:ln>
                      <a:noFill/>
                    </a:ln>
                    <a:extLst>
                      <a:ext uri="{53640926-AAD7-44D8-BBD7-CCE9431645EC}">
                        <a14:shadowObscured xmlns:a14="http://schemas.microsoft.com/office/drawing/2010/main"/>
                      </a:ext>
                    </a:extLst>
                  </pic:spPr>
                </pic:pic>
              </a:graphicData>
            </a:graphic>
          </wp:inline>
        </w:drawing>
      </w:r>
    </w:p>
    <w:p w14:paraId="4986D061" w14:textId="77777777" w:rsidR="00640AC8" w:rsidRPr="00393DBB" w:rsidRDefault="00640AC8" w:rsidP="00640AC8">
      <w:pPr>
        <w:pStyle w:val="4"/>
      </w:pPr>
      <w:proofErr w:type="gramStart"/>
      <w:r w:rsidRPr="00393DBB">
        <w:rPr>
          <w:rFonts w:hint="eastAsia"/>
        </w:rPr>
        <w:t>土資場</w:t>
      </w:r>
      <w:proofErr w:type="gramEnd"/>
      <w:r w:rsidRPr="00393DBB">
        <w:rPr>
          <w:rFonts w:hint="eastAsia"/>
        </w:rPr>
        <w:t>虛設，形同犯罪集團幫兇：部分</w:t>
      </w:r>
      <w:proofErr w:type="gramStart"/>
      <w:r w:rsidRPr="00393DBB">
        <w:rPr>
          <w:rFonts w:hint="eastAsia"/>
        </w:rPr>
        <w:t>土資場</w:t>
      </w:r>
      <w:proofErr w:type="gramEnd"/>
      <w:r w:rsidRPr="00393DBB">
        <w:rPr>
          <w:rFonts w:hint="eastAsia"/>
        </w:rPr>
        <w:t>未實際收容營建剩餘土石方，僅開立不實證明文</w:t>
      </w:r>
      <w:r w:rsidRPr="00393DBB">
        <w:rPr>
          <w:rFonts w:hint="eastAsia"/>
        </w:rPr>
        <w:lastRenderedPageBreak/>
        <w:t>件，供營建業者向主管機關申報，藉此規避相關環保責任及費用，嚴重破壞營建剩餘土石方管理機制。</w:t>
      </w:r>
    </w:p>
    <w:p w14:paraId="53F5043C" w14:textId="77777777" w:rsidR="00640AC8" w:rsidRPr="00393DBB" w:rsidRDefault="00640AC8" w:rsidP="00640AC8">
      <w:pPr>
        <w:pStyle w:val="4"/>
      </w:pPr>
      <w:r w:rsidRPr="00393DBB">
        <w:rPr>
          <w:rFonts w:hint="eastAsia"/>
        </w:rPr>
        <w:t>主管機關未訂明確認定標準，執法困難：現行法規對於營建剩餘土石方之定義及認定標準不夠明確，導致環保單位現場稽查時，難以認定傾倒土方是否達到廢棄物標準，影響後續行政處分及刑事偵辦。</w:t>
      </w:r>
    </w:p>
    <w:p w14:paraId="79B05A52" w14:textId="77777777" w:rsidR="00640AC8" w:rsidRPr="00393DBB" w:rsidRDefault="00640AC8" w:rsidP="00640AC8">
      <w:pPr>
        <w:pStyle w:val="4"/>
      </w:pPr>
      <w:r w:rsidRPr="00393DBB">
        <w:rPr>
          <w:rFonts w:hint="eastAsia"/>
        </w:rPr>
        <w:t>缺乏有效管理機制，全程流向追蹤困難：主管機關內政部缺乏有效管理機制，無法追蹤營建剩餘土石方全程流向，導致不肖業者有機可乘，非法棄置案件難以遏止。</w:t>
      </w:r>
    </w:p>
    <w:p w14:paraId="1C41F791" w14:textId="71ED9286" w:rsidR="001C7EC2" w:rsidRPr="00393DBB" w:rsidRDefault="00C44BBE" w:rsidP="00393DBB">
      <w:pPr>
        <w:pStyle w:val="30"/>
      </w:pPr>
      <w:r w:rsidRPr="00393DBB">
        <w:rPr>
          <w:rFonts w:hint="eastAsia"/>
        </w:rPr>
        <w:t>綜</w:t>
      </w:r>
      <w:proofErr w:type="gramStart"/>
      <w:r w:rsidRPr="00393DBB">
        <w:rPr>
          <w:rFonts w:hint="eastAsia"/>
        </w:rPr>
        <w:t>上</w:t>
      </w:r>
      <w:r w:rsidR="000C1E8F" w:rsidRPr="00393DBB">
        <w:rPr>
          <w:rFonts w:hint="eastAsia"/>
        </w:rPr>
        <w:t>論結</w:t>
      </w:r>
      <w:proofErr w:type="gramEnd"/>
      <w:r w:rsidRPr="00393DBB">
        <w:rPr>
          <w:rFonts w:hint="eastAsia"/>
        </w:rPr>
        <w:t>，內政部未儘速釐清營建剩餘土石方定義及認定標準，並建立明確之分類分級制度，供相關單位執法依循；亦未由制度面強化</w:t>
      </w:r>
      <w:proofErr w:type="gramStart"/>
      <w:r w:rsidRPr="00393DBB">
        <w:rPr>
          <w:rFonts w:hint="eastAsia"/>
        </w:rPr>
        <w:t>土資場</w:t>
      </w:r>
      <w:proofErr w:type="gramEnd"/>
      <w:r w:rsidRPr="00393DBB">
        <w:rPr>
          <w:rFonts w:hint="eastAsia"/>
        </w:rPr>
        <w:t>管理，落實查核機制，杜絕</w:t>
      </w:r>
      <w:proofErr w:type="gramStart"/>
      <w:r w:rsidRPr="00393DBB">
        <w:rPr>
          <w:rFonts w:hint="eastAsia"/>
        </w:rPr>
        <w:t>土資</w:t>
      </w:r>
      <w:proofErr w:type="gramEnd"/>
      <w:r w:rsidRPr="00393DBB">
        <w:rPr>
          <w:rFonts w:hint="eastAsia"/>
        </w:rPr>
        <w:t>場出具不實證明文件等情事；且未建立完整之營建剩餘土石方資訊化管理系統，追蹤其產出、清運、處理及最終處置流向，提升管理效能。對於跨單位合作，亦應整合檢警環保等單位資源，共同打擊非法棄置營建剩餘土石方等環保犯罪。是</w:t>
      </w:r>
      <w:proofErr w:type="gramStart"/>
      <w:r w:rsidRPr="00393DBB">
        <w:rPr>
          <w:rFonts w:hint="eastAsia"/>
        </w:rPr>
        <w:t>以</w:t>
      </w:r>
      <w:proofErr w:type="gramEnd"/>
      <w:r w:rsidRPr="00393DBB">
        <w:rPr>
          <w:rFonts w:hint="eastAsia"/>
        </w:rPr>
        <w:t>，內政部暨所屬國土</w:t>
      </w:r>
      <w:proofErr w:type="gramStart"/>
      <w:r w:rsidRPr="00393DBB">
        <w:rPr>
          <w:rFonts w:hint="eastAsia"/>
        </w:rPr>
        <w:t>管理署頒</w:t>
      </w:r>
      <w:proofErr w:type="gramEnd"/>
      <w:r w:rsidRPr="00393DBB">
        <w:rPr>
          <w:rFonts w:hint="eastAsia"/>
        </w:rPr>
        <w:t>訂</w:t>
      </w:r>
      <w:r w:rsidR="00104D2E" w:rsidRPr="00393DBB">
        <w:rPr>
          <w:rFonts w:hint="eastAsia"/>
        </w:rPr>
        <w:t>「營建剩餘土石方處理方案」</w:t>
      </w:r>
      <w:r w:rsidRPr="00393DBB">
        <w:rPr>
          <w:rFonts w:hint="eastAsia"/>
        </w:rPr>
        <w:t>，</w:t>
      </w:r>
      <w:r w:rsidR="00104D2E" w:rsidRPr="00393DBB">
        <w:rPr>
          <w:rFonts w:hint="eastAsia"/>
        </w:rPr>
        <w:t>在土石方認定標準、源頭管理和全程流向管理方面存</w:t>
      </w:r>
      <w:r w:rsidRPr="00393DBB">
        <w:rPr>
          <w:rFonts w:hint="eastAsia"/>
        </w:rPr>
        <w:t>有</w:t>
      </w:r>
      <w:proofErr w:type="gramStart"/>
      <w:r w:rsidR="00104D2E" w:rsidRPr="00393DBB">
        <w:rPr>
          <w:rFonts w:hint="eastAsia"/>
        </w:rPr>
        <w:t>諸多</w:t>
      </w:r>
      <w:proofErr w:type="gramEnd"/>
      <w:r w:rsidR="00104D2E" w:rsidRPr="00393DBB">
        <w:rPr>
          <w:rFonts w:hint="eastAsia"/>
        </w:rPr>
        <w:t>違失，導致方案的執行成效不彰，非法棄置問題難以有效解決</w:t>
      </w:r>
      <w:r w:rsidR="00684C5B" w:rsidRPr="00393DBB">
        <w:rPr>
          <w:rFonts w:hint="eastAsia"/>
        </w:rPr>
        <w:t>，</w:t>
      </w:r>
      <w:proofErr w:type="gramStart"/>
      <w:r w:rsidR="008972ED" w:rsidRPr="00393DBB">
        <w:rPr>
          <w:rFonts w:hint="eastAsia"/>
        </w:rPr>
        <w:t>均</w:t>
      </w:r>
      <w:r w:rsidR="00684C5B" w:rsidRPr="00393DBB">
        <w:rPr>
          <w:rFonts w:hint="eastAsia"/>
        </w:rPr>
        <w:t>有</w:t>
      </w:r>
      <w:proofErr w:type="gramEnd"/>
      <w:r w:rsidR="00684C5B" w:rsidRPr="00393DBB">
        <w:rPr>
          <w:rFonts w:hint="eastAsia"/>
        </w:rPr>
        <w:t>違失</w:t>
      </w:r>
      <w:r w:rsidR="00104D2E" w:rsidRPr="00393DBB">
        <w:rPr>
          <w:rFonts w:hint="eastAsia"/>
        </w:rPr>
        <w:t>。</w:t>
      </w:r>
    </w:p>
    <w:bookmarkEnd w:id="56"/>
    <w:p w14:paraId="43EEA905" w14:textId="1BFDBF1D" w:rsidR="00485C8D" w:rsidRPr="00393DBB" w:rsidRDefault="00485C8D" w:rsidP="00485C8D">
      <w:pPr>
        <w:pStyle w:val="2"/>
        <w:rPr>
          <w:b/>
        </w:rPr>
      </w:pPr>
      <w:r w:rsidRPr="00393DBB">
        <w:rPr>
          <w:rFonts w:hint="eastAsia"/>
          <w:b/>
        </w:rPr>
        <w:t>內政部</w:t>
      </w:r>
      <w:r w:rsidR="0050297C" w:rsidRPr="00393DBB">
        <w:rPr>
          <w:rFonts w:hint="eastAsia"/>
          <w:b/>
        </w:rPr>
        <w:t>暨所屬國土</w:t>
      </w:r>
      <w:proofErr w:type="gramStart"/>
      <w:r w:rsidR="0050297C" w:rsidRPr="00393DBB">
        <w:rPr>
          <w:rFonts w:hint="eastAsia"/>
          <w:b/>
        </w:rPr>
        <w:t>管理署</w:t>
      </w:r>
      <w:r w:rsidRPr="00393DBB">
        <w:rPr>
          <w:rFonts w:hint="eastAsia"/>
          <w:b/>
        </w:rPr>
        <w:t>迄未</w:t>
      </w:r>
      <w:proofErr w:type="gramEnd"/>
      <w:r w:rsidRPr="00393DBB">
        <w:rPr>
          <w:rFonts w:hint="eastAsia"/>
          <w:b/>
        </w:rPr>
        <w:t>制定GPS車輛軌跡監控系統之</w:t>
      </w:r>
      <w:r w:rsidR="0050297C" w:rsidRPr="00393DBB">
        <w:rPr>
          <w:rFonts w:hint="eastAsia"/>
          <w:b/>
        </w:rPr>
        <w:t>機制</w:t>
      </w:r>
      <w:r w:rsidRPr="00393DBB">
        <w:rPr>
          <w:rFonts w:hint="eastAsia"/>
          <w:b/>
        </w:rPr>
        <w:t>，亦未建立跨縣市檢警環保單位合作平台，導致資訊交流和協調聯繫不足，</w:t>
      </w:r>
      <w:r w:rsidR="0060380F" w:rsidRPr="00393DBB">
        <w:rPr>
          <w:rFonts w:hint="eastAsia"/>
          <w:b/>
        </w:rPr>
        <w:t>顯有違失。</w:t>
      </w:r>
      <w:r w:rsidR="00DD4DBF" w:rsidRPr="00393DBB">
        <w:rPr>
          <w:rFonts w:hint="eastAsia"/>
          <w:b/>
        </w:rPr>
        <w:t>允</w:t>
      </w:r>
      <w:r w:rsidR="0060380F" w:rsidRPr="00393DBB">
        <w:rPr>
          <w:rFonts w:hint="eastAsia"/>
          <w:b/>
        </w:rPr>
        <w:t>應</w:t>
      </w:r>
      <w:r w:rsidR="00DD4DBF" w:rsidRPr="00393DBB">
        <w:rPr>
          <w:rFonts w:hint="eastAsia"/>
          <w:b/>
        </w:rPr>
        <w:t>正視部分土質去化管道</w:t>
      </w:r>
      <w:proofErr w:type="gramStart"/>
      <w:r w:rsidR="00DD4DBF" w:rsidRPr="00393DBB">
        <w:rPr>
          <w:rFonts w:hint="eastAsia"/>
          <w:b/>
        </w:rPr>
        <w:t>受限或遭</w:t>
      </w:r>
      <w:proofErr w:type="gramEnd"/>
      <w:r w:rsidR="00DD4DBF" w:rsidRPr="00393DBB">
        <w:rPr>
          <w:rFonts w:hint="eastAsia"/>
          <w:b/>
        </w:rPr>
        <w:t>排擠，最終去處不足問題</w:t>
      </w:r>
      <w:r w:rsidR="0060380F" w:rsidRPr="00393DBB">
        <w:rPr>
          <w:rFonts w:hint="eastAsia"/>
          <w:b/>
        </w:rPr>
        <w:t>，完善相關管理機制，並</w:t>
      </w:r>
      <w:r w:rsidR="0060380F" w:rsidRPr="00393DBB">
        <w:rPr>
          <w:b/>
        </w:rPr>
        <w:t>加強宣導及教育訓練，</w:t>
      </w:r>
      <w:r w:rsidR="0060380F" w:rsidRPr="00393DBB">
        <w:rPr>
          <w:b/>
        </w:rPr>
        <w:lastRenderedPageBreak/>
        <w:t>提升業者及民眾對營建剩餘土石方管理規範之認知，</w:t>
      </w:r>
      <w:r w:rsidR="0060380F" w:rsidRPr="00393DBB">
        <w:rPr>
          <w:rFonts w:hint="eastAsia"/>
          <w:b/>
        </w:rPr>
        <w:t>方能確保環境永續發展</w:t>
      </w:r>
      <w:r w:rsidRPr="00393DBB">
        <w:rPr>
          <w:rFonts w:hint="eastAsia"/>
          <w:b/>
        </w:rPr>
        <w:t>。</w:t>
      </w:r>
    </w:p>
    <w:p w14:paraId="4A2A96E9" w14:textId="3195BFC8" w:rsidR="000C1E8F" w:rsidRPr="00393DBB" w:rsidRDefault="000C1E8F" w:rsidP="000C1E8F">
      <w:pPr>
        <w:pStyle w:val="30"/>
      </w:pPr>
      <w:r w:rsidRPr="00393DBB">
        <w:rPr>
          <w:rFonts w:hint="eastAsia"/>
        </w:rPr>
        <w:t>依據審計部</w:t>
      </w:r>
      <w:proofErr w:type="gramStart"/>
      <w:r w:rsidRPr="00393DBB">
        <w:rPr>
          <w:rFonts w:hint="eastAsia"/>
        </w:rPr>
        <w:t>111</w:t>
      </w:r>
      <w:proofErr w:type="gramEnd"/>
      <w:r w:rsidRPr="00393DBB">
        <w:rPr>
          <w:rFonts w:hint="eastAsia"/>
        </w:rPr>
        <w:t>年度中央政府總決算審核報告，有關「政府推動營建剩餘土石方及營建事業廢棄物管理與再利用，有助減少天然砂石開採，促進營建資源循環，</w:t>
      </w:r>
      <w:proofErr w:type="gramStart"/>
      <w:r w:rsidRPr="00393DBB">
        <w:rPr>
          <w:rFonts w:hint="eastAsia"/>
        </w:rPr>
        <w:t>惟土石</w:t>
      </w:r>
      <w:proofErr w:type="gramEnd"/>
      <w:r w:rsidRPr="00393DBB">
        <w:rPr>
          <w:rFonts w:hint="eastAsia"/>
        </w:rPr>
        <w:t>方與廢棄物認定標準未臻明確、</w:t>
      </w:r>
      <w:proofErr w:type="gramStart"/>
      <w:r w:rsidRPr="00393DBB">
        <w:rPr>
          <w:rFonts w:hint="eastAsia"/>
        </w:rPr>
        <w:t>產源</w:t>
      </w:r>
      <w:proofErr w:type="gramEnd"/>
      <w:r w:rsidRPr="00393DBB">
        <w:rPr>
          <w:rFonts w:hint="eastAsia"/>
        </w:rPr>
        <w:t>至最終使用欠缺全程流向管理，去化管道</w:t>
      </w:r>
      <w:proofErr w:type="gramStart"/>
      <w:r w:rsidRPr="00393DBB">
        <w:rPr>
          <w:rFonts w:hint="eastAsia"/>
        </w:rPr>
        <w:t>受限或</w:t>
      </w:r>
      <w:proofErr w:type="gramEnd"/>
      <w:r w:rsidRPr="00393DBB">
        <w:rPr>
          <w:rFonts w:hint="eastAsia"/>
        </w:rPr>
        <w:t>遭排擠，致棄置事件頻傳，亟待協調相關部會，完備管控及去化機制，促進資源有效利用」之審核意見。</w:t>
      </w:r>
    </w:p>
    <w:p w14:paraId="376E9F94" w14:textId="09114763" w:rsidR="000C1E8F" w:rsidRPr="00393DBB" w:rsidRDefault="000C1E8F" w:rsidP="0060380F">
      <w:pPr>
        <w:pStyle w:val="30"/>
      </w:pPr>
      <w:r w:rsidRPr="00393DBB">
        <w:rPr>
          <w:rFonts w:hint="eastAsia"/>
        </w:rPr>
        <w:t>內政部國土管理署對於營建剩餘土石方之流向追蹤及管控，主要係從源頭產出至收容處理場所，未就收容處理場所之後端使用進行納管，且未建置即時追蹤系統，亦未建立跨縣市檢警環保單位合作平台，加強資訊交流及協調聯繫。</w:t>
      </w:r>
      <w:proofErr w:type="gramStart"/>
      <w:r w:rsidR="005341B5" w:rsidRPr="00393DBB">
        <w:rPr>
          <w:rFonts w:hint="eastAsia"/>
        </w:rPr>
        <w:t>詢</w:t>
      </w:r>
      <w:proofErr w:type="gramEnd"/>
      <w:r w:rsidR="005341B5" w:rsidRPr="00393DBB">
        <w:rPr>
          <w:rFonts w:hint="eastAsia"/>
        </w:rPr>
        <w:t>據</w:t>
      </w:r>
      <w:r w:rsidR="00937685" w:rsidRPr="00393DBB">
        <w:rPr>
          <w:rFonts w:hint="eastAsia"/>
        </w:rPr>
        <w:t>專家學者意見及</w:t>
      </w:r>
      <w:r w:rsidR="00937685" w:rsidRPr="00393DBB">
        <w:t>審計部審核意見</w:t>
      </w:r>
      <w:r w:rsidR="00937685" w:rsidRPr="00393DBB">
        <w:rPr>
          <w:rFonts w:hint="eastAsia"/>
        </w:rPr>
        <w:t>略謂，</w:t>
      </w:r>
      <w:r w:rsidR="00937685" w:rsidRPr="00393DBB">
        <w:t>營建剩餘土石方管理面臨諸多挑戰，尤以資訊化管理及跨單位合作不足最為關鍵。</w:t>
      </w:r>
    </w:p>
    <w:p w14:paraId="4CE42D4B" w14:textId="621B1160" w:rsidR="00937685" w:rsidRPr="00393DBB" w:rsidRDefault="005341B5" w:rsidP="00393DBB">
      <w:pPr>
        <w:pStyle w:val="4"/>
      </w:pPr>
      <w:r w:rsidRPr="00393DBB">
        <w:rPr>
          <w:rFonts w:hint="eastAsia"/>
        </w:rPr>
        <w:t>GPS車輛軌跡監控系統</w:t>
      </w:r>
      <w:r w:rsidR="00937685" w:rsidRPr="00393DBB">
        <w:rPr>
          <w:rFonts w:hint="eastAsia"/>
        </w:rPr>
        <w:t>：</w:t>
      </w:r>
      <w:r w:rsidRPr="00393DBB">
        <w:rPr>
          <w:rFonts w:hint="eastAsia"/>
        </w:rPr>
        <w:t>現行「營建剩餘土石方處理方案」缺乏有效之流向追蹤機制，僅仰賴業者申報及書面聯單，難以即時掌握土石方流向，導致非法棄置案件頻傳。</w:t>
      </w:r>
      <w:r w:rsidR="009F64D9" w:rsidRPr="00393DBB">
        <w:rPr>
          <w:rFonts w:hint="eastAsia"/>
        </w:rPr>
        <w:t>各地方政府目前規定</w:t>
      </w:r>
      <w:r w:rsidRPr="00393DBB">
        <w:rPr>
          <w:rFonts w:hint="eastAsia"/>
        </w:rPr>
        <w:t>建置GPS車輛軌跡監控系統</w:t>
      </w:r>
      <w:r w:rsidR="009F64D9" w:rsidRPr="00393DBB">
        <w:rPr>
          <w:rFonts w:hint="eastAsia"/>
        </w:rPr>
        <w:t>如表</w:t>
      </w:r>
      <w:r w:rsidR="00D112C6" w:rsidRPr="00393DBB">
        <w:rPr>
          <w:rFonts w:hint="eastAsia"/>
        </w:rPr>
        <w:t>5</w:t>
      </w:r>
      <w:r w:rsidRPr="00393DBB">
        <w:rPr>
          <w:rFonts w:hint="eastAsia"/>
        </w:rPr>
        <w:t>，</w:t>
      </w:r>
      <w:r w:rsidR="009F64D9" w:rsidRPr="00393DBB">
        <w:rPr>
          <w:rFonts w:hint="eastAsia"/>
        </w:rPr>
        <w:t>若有建置GPS監控系統</w:t>
      </w:r>
      <w:r w:rsidRPr="00393DBB">
        <w:rPr>
          <w:rFonts w:hint="eastAsia"/>
        </w:rPr>
        <w:t>可即時追蹤營建剩餘土石方之運輸路線及最終去向，有效掌握土石方流向，提升管理效能，並遏止非法棄置行為。</w:t>
      </w:r>
    </w:p>
    <w:p w14:paraId="34C2DB1A" w14:textId="38C272EB" w:rsidR="00A264F1" w:rsidRPr="00393DBB" w:rsidRDefault="00821469" w:rsidP="00821469">
      <w:pPr>
        <w:pStyle w:val="a6"/>
        <w:numPr>
          <w:ilvl w:val="0"/>
          <w:numId w:val="0"/>
        </w:numPr>
        <w:ind w:left="480" w:hanging="480"/>
      </w:pPr>
      <w:r>
        <w:rPr>
          <w:rFonts w:hint="eastAsia"/>
        </w:rPr>
        <w:lastRenderedPageBreak/>
        <w:t xml:space="preserve">  表5 </w:t>
      </w:r>
      <w:r w:rsidR="00A264F1" w:rsidRPr="00393DBB">
        <w:rPr>
          <w:rFonts w:hint="eastAsia"/>
        </w:rPr>
        <w:t>營建剩餘土石方流向追蹤系統(GPS)建置之各地方政府規定現況</w:t>
      </w:r>
      <w:r w:rsidR="00EF666A" w:rsidRPr="00393DBB">
        <w:rPr>
          <w:rStyle w:val="afff4"/>
        </w:rPr>
        <w:footnoteReference w:id="2"/>
      </w:r>
    </w:p>
    <w:tbl>
      <w:tblPr>
        <w:tblStyle w:val="afd"/>
        <w:tblW w:w="0" w:type="auto"/>
        <w:jc w:val="center"/>
        <w:tblLook w:val="04A0" w:firstRow="1" w:lastRow="0" w:firstColumn="1" w:lastColumn="0" w:noHBand="0" w:noVBand="1"/>
      </w:tblPr>
      <w:tblGrid>
        <w:gridCol w:w="1843"/>
        <w:gridCol w:w="1984"/>
        <w:gridCol w:w="4248"/>
      </w:tblGrid>
      <w:tr w:rsidR="00393DBB" w:rsidRPr="00393DBB" w14:paraId="03A83E44" w14:textId="77777777" w:rsidTr="00A264F1">
        <w:trPr>
          <w:tblHeader/>
          <w:jc w:val="center"/>
        </w:trPr>
        <w:tc>
          <w:tcPr>
            <w:tcW w:w="1843" w:type="dxa"/>
          </w:tcPr>
          <w:p w14:paraId="18E41270"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縣市</w:t>
            </w:r>
          </w:p>
        </w:tc>
        <w:tc>
          <w:tcPr>
            <w:tcW w:w="1984" w:type="dxa"/>
          </w:tcPr>
          <w:p w14:paraId="00A40E1C"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專責單位</w:t>
            </w:r>
          </w:p>
        </w:tc>
        <w:tc>
          <w:tcPr>
            <w:tcW w:w="4248" w:type="dxa"/>
          </w:tcPr>
          <w:p w14:paraId="30BDFD39"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是否訂定規定與成效</w:t>
            </w:r>
          </w:p>
        </w:tc>
      </w:tr>
      <w:tr w:rsidR="00393DBB" w:rsidRPr="00393DBB" w14:paraId="5D86D9C7" w14:textId="77777777" w:rsidTr="00A264F1">
        <w:trPr>
          <w:jc w:val="center"/>
        </w:trPr>
        <w:tc>
          <w:tcPr>
            <w:tcW w:w="1843" w:type="dxa"/>
          </w:tcPr>
          <w:p w14:paraId="68696B6A"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臺北市</w:t>
            </w:r>
          </w:p>
        </w:tc>
        <w:tc>
          <w:tcPr>
            <w:tcW w:w="1984" w:type="dxa"/>
          </w:tcPr>
          <w:p w14:paraId="2F4AA640"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都市發展局</w:t>
            </w:r>
          </w:p>
        </w:tc>
        <w:tc>
          <w:tcPr>
            <w:tcW w:w="4248" w:type="dxa"/>
          </w:tcPr>
          <w:p w14:paraId="5DD8B439"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未訂定裝置GPS規定</w:t>
            </w:r>
          </w:p>
        </w:tc>
      </w:tr>
      <w:tr w:rsidR="00393DBB" w:rsidRPr="00393DBB" w14:paraId="220FDBDE" w14:textId="77777777" w:rsidTr="00A264F1">
        <w:trPr>
          <w:jc w:val="center"/>
        </w:trPr>
        <w:tc>
          <w:tcPr>
            <w:tcW w:w="1843" w:type="dxa"/>
          </w:tcPr>
          <w:p w14:paraId="195D96CA"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新北市</w:t>
            </w:r>
          </w:p>
        </w:tc>
        <w:tc>
          <w:tcPr>
            <w:tcW w:w="1984" w:type="dxa"/>
          </w:tcPr>
          <w:p w14:paraId="366E81A6"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工務局</w:t>
            </w:r>
          </w:p>
        </w:tc>
        <w:tc>
          <w:tcPr>
            <w:tcW w:w="4248" w:type="dxa"/>
          </w:tcPr>
          <w:p w14:paraId="487094F8"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已訂定裝置GPS規定</w:t>
            </w:r>
          </w:p>
        </w:tc>
      </w:tr>
      <w:tr w:rsidR="00393DBB" w:rsidRPr="00393DBB" w14:paraId="092779FA" w14:textId="77777777" w:rsidTr="00A264F1">
        <w:trPr>
          <w:jc w:val="center"/>
        </w:trPr>
        <w:tc>
          <w:tcPr>
            <w:tcW w:w="1843" w:type="dxa"/>
          </w:tcPr>
          <w:p w14:paraId="55728B18"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桃園市</w:t>
            </w:r>
          </w:p>
        </w:tc>
        <w:tc>
          <w:tcPr>
            <w:tcW w:w="1984" w:type="dxa"/>
          </w:tcPr>
          <w:p w14:paraId="264F0172"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都市發展局</w:t>
            </w:r>
          </w:p>
        </w:tc>
        <w:tc>
          <w:tcPr>
            <w:tcW w:w="4248" w:type="dxa"/>
          </w:tcPr>
          <w:p w14:paraId="3FF73134"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已訂定裝置GPS規定</w:t>
            </w:r>
          </w:p>
        </w:tc>
      </w:tr>
      <w:tr w:rsidR="00393DBB" w:rsidRPr="00393DBB" w14:paraId="6E46EFF4" w14:textId="77777777" w:rsidTr="00A264F1">
        <w:trPr>
          <w:jc w:val="center"/>
        </w:trPr>
        <w:tc>
          <w:tcPr>
            <w:tcW w:w="1843" w:type="dxa"/>
          </w:tcPr>
          <w:p w14:paraId="4A7F1661" w14:textId="77777777" w:rsidR="00A264F1" w:rsidRPr="00393DBB" w:rsidRDefault="00A264F1" w:rsidP="00A264F1">
            <w:pPr>
              <w:spacing w:line="360" w:lineRule="exact"/>
              <w:jc w:val="center"/>
              <w:rPr>
                <w:rFonts w:hAnsi="標楷體"/>
                <w:sz w:val="28"/>
                <w:szCs w:val="28"/>
              </w:rPr>
            </w:pPr>
            <w:proofErr w:type="gramStart"/>
            <w:r w:rsidRPr="00393DBB">
              <w:rPr>
                <w:rFonts w:hAnsi="標楷體" w:hint="eastAsia"/>
                <w:sz w:val="28"/>
                <w:szCs w:val="28"/>
              </w:rPr>
              <w:t>臺</w:t>
            </w:r>
            <w:proofErr w:type="gramEnd"/>
            <w:r w:rsidRPr="00393DBB">
              <w:rPr>
                <w:rFonts w:hAnsi="標楷體" w:hint="eastAsia"/>
                <w:sz w:val="28"/>
                <w:szCs w:val="28"/>
              </w:rPr>
              <w:t>中市</w:t>
            </w:r>
          </w:p>
        </w:tc>
        <w:tc>
          <w:tcPr>
            <w:tcW w:w="1984" w:type="dxa"/>
          </w:tcPr>
          <w:p w14:paraId="088A67AD"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都市發展局</w:t>
            </w:r>
          </w:p>
        </w:tc>
        <w:tc>
          <w:tcPr>
            <w:tcW w:w="4248" w:type="dxa"/>
          </w:tcPr>
          <w:p w14:paraId="40B8028F"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已訂定裝置GPS規定</w:t>
            </w:r>
          </w:p>
        </w:tc>
      </w:tr>
      <w:tr w:rsidR="00393DBB" w:rsidRPr="00393DBB" w14:paraId="1EBCD0CB" w14:textId="77777777" w:rsidTr="00A264F1">
        <w:trPr>
          <w:jc w:val="center"/>
        </w:trPr>
        <w:tc>
          <w:tcPr>
            <w:tcW w:w="1843" w:type="dxa"/>
          </w:tcPr>
          <w:p w14:paraId="327052D6" w14:textId="77777777" w:rsidR="00A264F1" w:rsidRPr="00393DBB" w:rsidRDefault="00A264F1" w:rsidP="00A264F1">
            <w:pPr>
              <w:spacing w:line="360" w:lineRule="exact"/>
              <w:jc w:val="center"/>
              <w:rPr>
                <w:rFonts w:hAnsi="標楷體"/>
                <w:sz w:val="28"/>
                <w:szCs w:val="28"/>
              </w:rPr>
            </w:pPr>
            <w:proofErr w:type="gramStart"/>
            <w:r w:rsidRPr="00393DBB">
              <w:rPr>
                <w:rFonts w:hAnsi="標楷體" w:hint="eastAsia"/>
                <w:sz w:val="28"/>
                <w:szCs w:val="28"/>
              </w:rPr>
              <w:t>臺</w:t>
            </w:r>
            <w:proofErr w:type="gramEnd"/>
            <w:r w:rsidRPr="00393DBB">
              <w:rPr>
                <w:rFonts w:hAnsi="標楷體" w:hint="eastAsia"/>
                <w:sz w:val="28"/>
                <w:szCs w:val="28"/>
              </w:rPr>
              <w:t>南市</w:t>
            </w:r>
          </w:p>
        </w:tc>
        <w:tc>
          <w:tcPr>
            <w:tcW w:w="1984" w:type="dxa"/>
          </w:tcPr>
          <w:p w14:paraId="1A26A480"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工務局</w:t>
            </w:r>
          </w:p>
        </w:tc>
        <w:tc>
          <w:tcPr>
            <w:tcW w:w="4248" w:type="dxa"/>
          </w:tcPr>
          <w:p w14:paraId="57818449"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未訂定裝置GPS規定</w:t>
            </w:r>
          </w:p>
        </w:tc>
      </w:tr>
      <w:tr w:rsidR="00393DBB" w:rsidRPr="00393DBB" w14:paraId="2111B095" w14:textId="77777777" w:rsidTr="00A264F1">
        <w:trPr>
          <w:jc w:val="center"/>
        </w:trPr>
        <w:tc>
          <w:tcPr>
            <w:tcW w:w="1843" w:type="dxa"/>
          </w:tcPr>
          <w:p w14:paraId="4CA2C147"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高雄市</w:t>
            </w:r>
          </w:p>
        </w:tc>
        <w:tc>
          <w:tcPr>
            <w:tcW w:w="1984" w:type="dxa"/>
          </w:tcPr>
          <w:p w14:paraId="1ADDB037"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工務局</w:t>
            </w:r>
          </w:p>
        </w:tc>
        <w:tc>
          <w:tcPr>
            <w:tcW w:w="4248" w:type="dxa"/>
          </w:tcPr>
          <w:p w14:paraId="45BDE547"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已訂定裝置GPS規定</w:t>
            </w:r>
          </w:p>
        </w:tc>
      </w:tr>
      <w:tr w:rsidR="00393DBB" w:rsidRPr="00393DBB" w14:paraId="3E9CEE8D" w14:textId="77777777" w:rsidTr="00A264F1">
        <w:trPr>
          <w:jc w:val="center"/>
        </w:trPr>
        <w:tc>
          <w:tcPr>
            <w:tcW w:w="1843" w:type="dxa"/>
          </w:tcPr>
          <w:p w14:paraId="3EB00B29"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新竹縣</w:t>
            </w:r>
          </w:p>
        </w:tc>
        <w:tc>
          <w:tcPr>
            <w:tcW w:w="1984" w:type="dxa"/>
          </w:tcPr>
          <w:p w14:paraId="02A9053B"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都市發展處</w:t>
            </w:r>
          </w:p>
        </w:tc>
        <w:tc>
          <w:tcPr>
            <w:tcW w:w="4248" w:type="dxa"/>
          </w:tcPr>
          <w:p w14:paraId="293A5A0A"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未訂定裝置GPS規定</w:t>
            </w:r>
          </w:p>
        </w:tc>
      </w:tr>
      <w:tr w:rsidR="00393DBB" w:rsidRPr="00393DBB" w14:paraId="67C7CD4C" w14:textId="77777777" w:rsidTr="00A264F1">
        <w:trPr>
          <w:jc w:val="center"/>
        </w:trPr>
        <w:tc>
          <w:tcPr>
            <w:tcW w:w="1843" w:type="dxa"/>
          </w:tcPr>
          <w:p w14:paraId="25787B8E"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宜蘭縣</w:t>
            </w:r>
          </w:p>
        </w:tc>
        <w:tc>
          <w:tcPr>
            <w:tcW w:w="1984" w:type="dxa"/>
          </w:tcPr>
          <w:p w14:paraId="1A28B262"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建設處</w:t>
            </w:r>
          </w:p>
        </w:tc>
        <w:tc>
          <w:tcPr>
            <w:tcW w:w="4248" w:type="dxa"/>
          </w:tcPr>
          <w:p w14:paraId="26500B22"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已訂定裝置GPS規定</w:t>
            </w:r>
          </w:p>
        </w:tc>
      </w:tr>
      <w:tr w:rsidR="00393DBB" w:rsidRPr="00393DBB" w14:paraId="3C4DB4B2" w14:textId="77777777" w:rsidTr="00A264F1">
        <w:trPr>
          <w:jc w:val="center"/>
        </w:trPr>
        <w:tc>
          <w:tcPr>
            <w:tcW w:w="1843" w:type="dxa"/>
          </w:tcPr>
          <w:p w14:paraId="771BD46B"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苗栗縣</w:t>
            </w:r>
          </w:p>
        </w:tc>
        <w:tc>
          <w:tcPr>
            <w:tcW w:w="1984" w:type="dxa"/>
          </w:tcPr>
          <w:p w14:paraId="01B0F7B9"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水利處</w:t>
            </w:r>
          </w:p>
        </w:tc>
        <w:tc>
          <w:tcPr>
            <w:tcW w:w="4248" w:type="dxa"/>
          </w:tcPr>
          <w:p w14:paraId="7D1C2894"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未訂定裝置GPS規定</w:t>
            </w:r>
          </w:p>
        </w:tc>
      </w:tr>
      <w:tr w:rsidR="00393DBB" w:rsidRPr="00393DBB" w14:paraId="221ED759" w14:textId="77777777" w:rsidTr="00A264F1">
        <w:trPr>
          <w:jc w:val="center"/>
        </w:trPr>
        <w:tc>
          <w:tcPr>
            <w:tcW w:w="1843" w:type="dxa"/>
          </w:tcPr>
          <w:p w14:paraId="0C19F60C"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彰化縣</w:t>
            </w:r>
          </w:p>
        </w:tc>
        <w:tc>
          <w:tcPr>
            <w:tcW w:w="1984" w:type="dxa"/>
          </w:tcPr>
          <w:p w14:paraId="5B00D49E"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水利處</w:t>
            </w:r>
          </w:p>
        </w:tc>
        <w:tc>
          <w:tcPr>
            <w:tcW w:w="4248" w:type="dxa"/>
          </w:tcPr>
          <w:p w14:paraId="49E99C52"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未訂定裝置GPS規定</w:t>
            </w:r>
          </w:p>
        </w:tc>
      </w:tr>
      <w:tr w:rsidR="00393DBB" w:rsidRPr="00393DBB" w14:paraId="685C3F25" w14:textId="77777777" w:rsidTr="00A264F1">
        <w:trPr>
          <w:jc w:val="center"/>
        </w:trPr>
        <w:tc>
          <w:tcPr>
            <w:tcW w:w="1843" w:type="dxa"/>
          </w:tcPr>
          <w:p w14:paraId="143837D8"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雲林縣</w:t>
            </w:r>
          </w:p>
        </w:tc>
        <w:tc>
          <w:tcPr>
            <w:tcW w:w="1984" w:type="dxa"/>
          </w:tcPr>
          <w:p w14:paraId="4BC30A06"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水利處</w:t>
            </w:r>
          </w:p>
        </w:tc>
        <w:tc>
          <w:tcPr>
            <w:tcW w:w="4248" w:type="dxa"/>
          </w:tcPr>
          <w:p w14:paraId="146456A2"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已訂定裝置GPS規定</w:t>
            </w:r>
          </w:p>
        </w:tc>
      </w:tr>
      <w:tr w:rsidR="00393DBB" w:rsidRPr="00393DBB" w14:paraId="5DF4A5DA" w14:textId="77777777" w:rsidTr="00A264F1">
        <w:trPr>
          <w:jc w:val="center"/>
        </w:trPr>
        <w:tc>
          <w:tcPr>
            <w:tcW w:w="1843" w:type="dxa"/>
          </w:tcPr>
          <w:p w14:paraId="35EF546B"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嘉義縣</w:t>
            </w:r>
          </w:p>
        </w:tc>
        <w:tc>
          <w:tcPr>
            <w:tcW w:w="1984" w:type="dxa"/>
          </w:tcPr>
          <w:p w14:paraId="39866EE1"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水利處</w:t>
            </w:r>
          </w:p>
        </w:tc>
        <w:tc>
          <w:tcPr>
            <w:tcW w:w="4248" w:type="dxa"/>
          </w:tcPr>
          <w:p w14:paraId="755877B1"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訂定裝置GPS規定中</w:t>
            </w:r>
          </w:p>
        </w:tc>
      </w:tr>
      <w:tr w:rsidR="00393DBB" w:rsidRPr="00393DBB" w14:paraId="50636142" w14:textId="77777777" w:rsidTr="00A264F1">
        <w:trPr>
          <w:jc w:val="center"/>
        </w:trPr>
        <w:tc>
          <w:tcPr>
            <w:tcW w:w="1843" w:type="dxa"/>
          </w:tcPr>
          <w:p w14:paraId="0D8B9369"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屏東縣</w:t>
            </w:r>
          </w:p>
        </w:tc>
        <w:tc>
          <w:tcPr>
            <w:tcW w:w="1984" w:type="dxa"/>
          </w:tcPr>
          <w:p w14:paraId="3EA2D63F"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水利處</w:t>
            </w:r>
          </w:p>
        </w:tc>
        <w:tc>
          <w:tcPr>
            <w:tcW w:w="4248" w:type="dxa"/>
          </w:tcPr>
          <w:p w14:paraId="08020415"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未訂定裝置GPS規定</w:t>
            </w:r>
          </w:p>
        </w:tc>
      </w:tr>
      <w:tr w:rsidR="00393DBB" w:rsidRPr="00393DBB" w14:paraId="654E6D00" w14:textId="77777777" w:rsidTr="00A264F1">
        <w:trPr>
          <w:jc w:val="center"/>
        </w:trPr>
        <w:tc>
          <w:tcPr>
            <w:tcW w:w="1843" w:type="dxa"/>
          </w:tcPr>
          <w:p w14:paraId="0F9713B2"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南投縣</w:t>
            </w:r>
          </w:p>
        </w:tc>
        <w:tc>
          <w:tcPr>
            <w:tcW w:w="1984" w:type="dxa"/>
          </w:tcPr>
          <w:p w14:paraId="31DB4AAA"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建設處</w:t>
            </w:r>
          </w:p>
        </w:tc>
        <w:tc>
          <w:tcPr>
            <w:tcW w:w="4248" w:type="dxa"/>
          </w:tcPr>
          <w:p w14:paraId="44CC1BAC"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未訂定裝置GPS規定</w:t>
            </w:r>
          </w:p>
        </w:tc>
      </w:tr>
      <w:tr w:rsidR="00393DBB" w:rsidRPr="00393DBB" w14:paraId="728D8205" w14:textId="77777777" w:rsidTr="00A264F1">
        <w:trPr>
          <w:jc w:val="center"/>
        </w:trPr>
        <w:tc>
          <w:tcPr>
            <w:tcW w:w="1843" w:type="dxa"/>
          </w:tcPr>
          <w:p w14:paraId="0CB878D6"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花蓮縣</w:t>
            </w:r>
          </w:p>
        </w:tc>
        <w:tc>
          <w:tcPr>
            <w:tcW w:w="1984" w:type="dxa"/>
          </w:tcPr>
          <w:p w14:paraId="1C00696F"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建設處</w:t>
            </w:r>
          </w:p>
        </w:tc>
        <w:tc>
          <w:tcPr>
            <w:tcW w:w="4248" w:type="dxa"/>
          </w:tcPr>
          <w:p w14:paraId="56D989EF"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未訂定裝置GPS規定</w:t>
            </w:r>
          </w:p>
        </w:tc>
      </w:tr>
      <w:tr w:rsidR="00393DBB" w:rsidRPr="00393DBB" w14:paraId="0E2E65C9" w14:textId="77777777" w:rsidTr="00A264F1">
        <w:trPr>
          <w:jc w:val="center"/>
        </w:trPr>
        <w:tc>
          <w:tcPr>
            <w:tcW w:w="1843" w:type="dxa"/>
          </w:tcPr>
          <w:p w14:paraId="39C1DEBF" w14:textId="77777777" w:rsidR="00A264F1" w:rsidRPr="00393DBB" w:rsidRDefault="00A264F1" w:rsidP="00A264F1">
            <w:pPr>
              <w:spacing w:line="360" w:lineRule="exact"/>
              <w:jc w:val="center"/>
              <w:rPr>
                <w:rFonts w:hAnsi="標楷體"/>
                <w:sz w:val="28"/>
                <w:szCs w:val="28"/>
              </w:rPr>
            </w:pPr>
            <w:proofErr w:type="gramStart"/>
            <w:r w:rsidRPr="00393DBB">
              <w:rPr>
                <w:rFonts w:hAnsi="標楷體" w:hint="eastAsia"/>
                <w:sz w:val="28"/>
                <w:szCs w:val="28"/>
              </w:rPr>
              <w:t>臺</w:t>
            </w:r>
            <w:proofErr w:type="gramEnd"/>
            <w:r w:rsidRPr="00393DBB">
              <w:rPr>
                <w:rFonts w:hAnsi="標楷體" w:hint="eastAsia"/>
                <w:sz w:val="28"/>
                <w:szCs w:val="28"/>
              </w:rPr>
              <w:t>東縣</w:t>
            </w:r>
          </w:p>
        </w:tc>
        <w:tc>
          <w:tcPr>
            <w:tcW w:w="1984" w:type="dxa"/>
          </w:tcPr>
          <w:p w14:paraId="5D8B12A3"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建設處</w:t>
            </w:r>
          </w:p>
        </w:tc>
        <w:tc>
          <w:tcPr>
            <w:tcW w:w="4248" w:type="dxa"/>
          </w:tcPr>
          <w:p w14:paraId="3B56DB78"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未訂定裝置GPS規定</w:t>
            </w:r>
          </w:p>
        </w:tc>
      </w:tr>
      <w:tr w:rsidR="00393DBB" w:rsidRPr="00393DBB" w14:paraId="034C1AF7" w14:textId="77777777" w:rsidTr="00A264F1">
        <w:trPr>
          <w:jc w:val="center"/>
        </w:trPr>
        <w:tc>
          <w:tcPr>
            <w:tcW w:w="1843" w:type="dxa"/>
          </w:tcPr>
          <w:p w14:paraId="250385AC"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澎湖縣</w:t>
            </w:r>
          </w:p>
        </w:tc>
        <w:tc>
          <w:tcPr>
            <w:tcW w:w="1984" w:type="dxa"/>
          </w:tcPr>
          <w:p w14:paraId="132BCD10"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工務處</w:t>
            </w:r>
          </w:p>
        </w:tc>
        <w:tc>
          <w:tcPr>
            <w:tcW w:w="4248" w:type="dxa"/>
          </w:tcPr>
          <w:p w14:paraId="12668D6C"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未訂定裝置GPS規定</w:t>
            </w:r>
          </w:p>
        </w:tc>
      </w:tr>
      <w:tr w:rsidR="00393DBB" w:rsidRPr="00393DBB" w14:paraId="138736E5" w14:textId="77777777" w:rsidTr="00A264F1">
        <w:trPr>
          <w:jc w:val="center"/>
        </w:trPr>
        <w:tc>
          <w:tcPr>
            <w:tcW w:w="1843" w:type="dxa"/>
          </w:tcPr>
          <w:p w14:paraId="19B32816"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金門縣</w:t>
            </w:r>
          </w:p>
        </w:tc>
        <w:tc>
          <w:tcPr>
            <w:tcW w:w="1984" w:type="dxa"/>
          </w:tcPr>
          <w:p w14:paraId="091589DF"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建設處</w:t>
            </w:r>
          </w:p>
        </w:tc>
        <w:tc>
          <w:tcPr>
            <w:tcW w:w="4248" w:type="dxa"/>
          </w:tcPr>
          <w:p w14:paraId="1A56EB22"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未訂定裝置GPS規定</w:t>
            </w:r>
          </w:p>
        </w:tc>
      </w:tr>
      <w:tr w:rsidR="00393DBB" w:rsidRPr="00393DBB" w14:paraId="4391042F" w14:textId="77777777" w:rsidTr="00A264F1">
        <w:trPr>
          <w:jc w:val="center"/>
        </w:trPr>
        <w:tc>
          <w:tcPr>
            <w:tcW w:w="1843" w:type="dxa"/>
          </w:tcPr>
          <w:p w14:paraId="4551A3DE"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連江縣</w:t>
            </w:r>
          </w:p>
        </w:tc>
        <w:tc>
          <w:tcPr>
            <w:tcW w:w="1984" w:type="dxa"/>
          </w:tcPr>
          <w:p w14:paraId="680849B9"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工務處</w:t>
            </w:r>
          </w:p>
        </w:tc>
        <w:tc>
          <w:tcPr>
            <w:tcW w:w="4248" w:type="dxa"/>
          </w:tcPr>
          <w:p w14:paraId="21012263"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未訂定裝置GPS規定</w:t>
            </w:r>
          </w:p>
        </w:tc>
      </w:tr>
      <w:tr w:rsidR="00393DBB" w:rsidRPr="00393DBB" w14:paraId="24501948" w14:textId="77777777" w:rsidTr="00A264F1">
        <w:trPr>
          <w:jc w:val="center"/>
        </w:trPr>
        <w:tc>
          <w:tcPr>
            <w:tcW w:w="1843" w:type="dxa"/>
          </w:tcPr>
          <w:p w14:paraId="2D5A5F35"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基隆市</w:t>
            </w:r>
          </w:p>
        </w:tc>
        <w:tc>
          <w:tcPr>
            <w:tcW w:w="1984" w:type="dxa"/>
          </w:tcPr>
          <w:p w14:paraId="7F034FD0"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都市發展處</w:t>
            </w:r>
          </w:p>
        </w:tc>
        <w:tc>
          <w:tcPr>
            <w:tcW w:w="4248" w:type="dxa"/>
          </w:tcPr>
          <w:p w14:paraId="3D19DD6B"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未訂定裝置GPS規定</w:t>
            </w:r>
          </w:p>
        </w:tc>
      </w:tr>
      <w:tr w:rsidR="00393DBB" w:rsidRPr="00393DBB" w14:paraId="0A8F4384" w14:textId="77777777" w:rsidTr="00A264F1">
        <w:trPr>
          <w:jc w:val="center"/>
        </w:trPr>
        <w:tc>
          <w:tcPr>
            <w:tcW w:w="1843" w:type="dxa"/>
          </w:tcPr>
          <w:p w14:paraId="2FE6969B"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新竹市</w:t>
            </w:r>
          </w:p>
        </w:tc>
        <w:tc>
          <w:tcPr>
            <w:tcW w:w="1984" w:type="dxa"/>
          </w:tcPr>
          <w:p w14:paraId="3C2C7BAB"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都市發展處</w:t>
            </w:r>
          </w:p>
        </w:tc>
        <w:tc>
          <w:tcPr>
            <w:tcW w:w="4248" w:type="dxa"/>
          </w:tcPr>
          <w:p w14:paraId="11913447"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訂定裝置GPS規定中</w:t>
            </w:r>
          </w:p>
        </w:tc>
      </w:tr>
      <w:tr w:rsidR="00393DBB" w:rsidRPr="00393DBB" w14:paraId="3C58FF9F" w14:textId="77777777" w:rsidTr="00A264F1">
        <w:trPr>
          <w:jc w:val="center"/>
        </w:trPr>
        <w:tc>
          <w:tcPr>
            <w:tcW w:w="1843" w:type="dxa"/>
          </w:tcPr>
          <w:p w14:paraId="351DC983"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嘉義市</w:t>
            </w:r>
          </w:p>
        </w:tc>
        <w:tc>
          <w:tcPr>
            <w:tcW w:w="1984" w:type="dxa"/>
          </w:tcPr>
          <w:p w14:paraId="52C88706"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建設處</w:t>
            </w:r>
          </w:p>
        </w:tc>
        <w:tc>
          <w:tcPr>
            <w:tcW w:w="4248" w:type="dxa"/>
          </w:tcPr>
          <w:p w14:paraId="71F0C240" w14:textId="77777777" w:rsidR="00A264F1" w:rsidRPr="00393DBB" w:rsidRDefault="00A264F1" w:rsidP="00A264F1">
            <w:pPr>
              <w:spacing w:line="360" w:lineRule="exact"/>
              <w:jc w:val="center"/>
              <w:rPr>
                <w:rFonts w:hAnsi="標楷體"/>
                <w:sz w:val="28"/>
                <w:szCs w:val="28"/>
              </w:rPr>
            </w:pPr>
            <w:r w:rsidRPr="00393DBB">
              <w:rPr>
                <w:rFonts w:hAnsi="標楷體" w:hint="eastAsia"/>
                <w:sz w:val="28"/>
                <w:szCs w:val="28"/>
              </w:rPr>
              <w:t>未訂定裝置GPS規定</w:t>
            </w:r>
          </w:p>
        </w:tc>
      </w:tr>
    </w:tbl>
    <w:p w14:paraId="7DDC694F" w14:textId="77777777" w:rsidR="009F64D9" w:rsidRPr="00393DBB" w:rsidRDefault="009F64D9" w:rsidP="009F64D9">
      <w:pPr>
        <w:pStyle w:val="4"/>
      </w:pPr>
      <w:r w:rsidRPr="00393DBB">
        <w:rPr>
          <w:rFonts w:hint="eastAsia"/>
        </w:rPr>
        <w:t>跨縣市檢警環保單位合作平台：營建剩餘土石方之產出、清運及處理，常涉及跨縣市作業，惟現行缺乏跨單位合作平台，導致資訊流通不暢，影響查緝效率。允應建立跨縣市檢警環保單位合作平台，可促進資訊交流及案件協調聯繫，提升執法效率，有效打擊非法棄置等環保犯罪。</w:t>
      </w:r>
    </w:p>
    <w:p w14:paraId="23728B86" w14:textId="493E41F1" w:rsidR="00937685" w:rsidRPr="00393DBB" w:rsidRDefault="0060380F" w:rsidP="00393DBB">
      <w:pPr>
        <w:pStyle w:val="30"/>
      </w:pPr>
      <w:r w:rsidRPr="00393DBB">
        <w:rPr>
          <w:rFonts w:hint="eastAsia"/>
        </w:rPr>
        <w:t>綜上所陳，</w:t>
      </w:r>
      <w:r w:rsidR="005341B5" w:rsidRPr="00393DBB">
        <w:rPr>
          <w:rFonts w:hint="eastAsia"/>
        </w:rPr>
        <w:t>內政部國土</w:t>
      </w:r>
      <w:proofErr w:type="gramStart"/>
      <w:r w:rsidR="005341B5" w:rsidRPr="00393DBB">
        <w:rPr>
          <w:rFonts w:hint="eastAsia"/>
        </w:rPr>
        <w:t>管理署身為</w:t>
      </w:r>
      <w:proofErr w:type="gramEnd"/>
      <w:r w:rsidR="005341B5" w:rsidRPr="00393DBB">
        <w:rPr>
          <w:rFonts w:hint="eastAsia"/>
        </w:rPr>
        <w:t>營建剩餘土石方主管機關，</w:t>
      </w:r>
      <w:r w:rsidRPr="00393DBB">
        <w:rPr>
          <w:rFonts w:hint="eastAsia"/>
        </w:rPr>
        <w:t>卻未能積極任事，</w:t>
      </w:r>
      <w:r w:rsidR="005341B5" w:rsidRPr="00393DBB">
        <w:rPr>
          <w:rFonts w:hint="eastAsia"/>
        </w:rPr>
        <w:t>迄今未制定GPS車輛軌</w:t>
      </w:r>
      <w:r w:rsidR="005341B5" w:rsidRPr="00393DBB">
        <w:rPr>
          <w:rFonts w:hint="eastAsia"/>
        </w:rPr>
        <w:lastRenderedPageBreak/>
        <w:t>跡監控系統之</w:t>
      </w:r>
      <w:r w:rsidR="00937685" w:rsidRPr="00393DBB">
        <w:rPr>
          <w:rFonts w:hint="eastAsia"/>
        </w:rPr>
        <w:t>相關規範</w:t>
      </w:r>
      <w:r w:rsidR="005341B5" w:rsidRPr="00393DBB">
        <w:rPr>
          <w:rFonts w:hint="eastAsia"/>
        </w:rPr>
        <w:t>，亦未建立跨縣市檢警環保單位合作平台，導致資訊交流和協調聯繫不足，致非法棄置案件頻傳，顯有違失。</w:t>
      </w:r>
      <w:proofErr w:type="gramStart"/>
      <w:r w:rsidRPr="00393DBB">
        <w:rPr>
          <w:rFonts w:hint="eastAsia"/>
        </w:rPr>
        <w:t>該署</w:t>
      </w:r>
      <w:r w:rsidR="00937685" w:rsidRPr="00393DBB">
        <w:rPr>
          <w:rFonts w:hint="eastAsia"/>
        </w:rPr>
        <w:t>實應</w:t>
      </w:r>
      <w:proofErr w:type="gramEnd"/>
      <w:r w:rsidR="00DD4DBF" w:rsidRPr="00393DBB">
        <w:rPr>
          <w:rFonts w:hint="eastAsia"/>
        </w:rPr>
        <w:t>正視部分土質去化管道</w:t>
      </w:r>
      <w:proofErr w:type="gramStart"/>
      <w:r w:rsidR="00DD4DBF" w:rsidRPr="00393DBB">
        <w:rPr>
          <w:rFonts w:hint="eastAsia"/>
        </w:rPr>
        <w:t>受限或</w:t>
      </w:r>
      <w:proofErr w:type="gramEnd"/>
      <w:r w:rsidR="00DD4DBF" w:rsidRPr="00393DBB">
        <w:rPr>
          <w:rFonts w:hint="eastAsia"/>
        </w:rPr>
        <w:t>遭排擠，最終去處不足問題，完善相關管理機制，並</w:t>
      </w:r>
      <w:r w:rsidRPr="00393DBB">
        <w:rPr>
          <w:rFonts w:hint="eastAsia"/>
        </w:rPr>
        <w:t>儘速制定GPS車輛軌跡監控系統之機制，並建立跨縣市檢警環保單位合作之資訊交流和協調聯繫平台，提升管理效能，</w:t>
      </w:r>
      <w:r w:rsidR="00937685" w:rsidRPr="00393DBB">
        <w:rPr>
          <w:rFonts w:hint="eastAsia"/>
        </w:rPr>
        <w:t>並允應</w:t>
      </w:r>
      <w:r w:rsidR="00937685" w:rsidRPr="00393DBB">
        <w:t>加強宣導及教育訓練，提升業者及民眾對營建剩餘土石方管理規範之認知，並鼓勵業者合法處理土石方</w:t>
      </w:r>
      <w:r w:rsidR="00937685" w:rsidRPr="00393DBB">
        <w:rPr>
          <w:rFonts w:hint="eastAsia"/>
        </w:rPr>
        <w:t>，</w:t>
      </w:r>
      <w:r w:rsidRPr="00393DBB">
        <w:rPr>
          <w:rFonts w:hint="eastAsia"/>
        </w:rPr>
        <w:t>杜絕非法棄置案件完善相關管理機制，方能確保</w:t>
      </w:r>
      <w:r w:rsidR="00937685" w:rsidRPr="00393DBB">
        <w:rPr>
          <w:rFonts w:hint="eastAsia"/>
        </w:rPr>
        <w:t>環境永續</w:t>
      </w:r>
      <w:r w:rsidRPr="00393DBB">
        <w:rPr>
          <w:rFonts w:hint="eastAsia"/>
        </w:rPr>
        <w:t>發展。</w:t>
      </w:r>
    </w:p>
    <w:p w14:paraId="27CD3F0A" w14:textId="0F8FA20A" w:rsidR="00005B64" w:rsidRPr="00393DBB" w:rsidRDefault="00005B64" w:rsidP="00005B64">
      <w:pPr>
        <w:pStyle w:val="2"/>
        <w:rPr>
          <w:b/>
          <w:bCs w:val="0"/>
        </w:rPr>
      </w:pPr>
      <w:r w:rsidRPr="00393DBB">
        <w:rPr>
          <w:b/>
          <w:bCs w:val="0"/>
        </w:rPr>
        <w:t>內政部國土管理署、環境部資源循環署對於營建剩餘土石方及營建混合物收容處理場所管理</w:t>
      </w:r>
      <w:r w:rsidRPr="00393DBB">
        <w:rPr>
          <w:rFonts w:hint="eastAsia"/>
          <w:b/>
          <w:bCs w:val="0"/>
        </w:rPr>
        <w:t>，據</w:t>
      </w:r>
      <w:r w:rsidRPr="00393DBB">
        <w:rPr>
          <w:b/>
          <w:bCs w:val="0"/>
        </w:rPr>
        <w:t>審計部</w:t>
      </w:r>
      <w:r w:rsidRPr="00393DBB">
        <w:rPr>
          <w:rFonts w:hint="eastAsia"/>
          <w:b/>
          <w:bCs w:val="0"/>
        </w:rPr>
        <w:t>稽察</w:t>
      </w:r>
      <w:r w:rsidRPr="00393DBB">
        <w:rPr>
          <w:b/>
          <w:bCs w:val="0"/>
        </w:rPr>
        <w:t>發現，部分場所或機構存在超出核准土地使用範圍等缺失，顯示主管機關管理機制仍有待強化</w:t>
      </w:r>
      <w:r w:rsidRPr="00393DBB">
        <w:rPr>
          <w:rFonts w:hint="eastAsia"/>
          <w:b/>
          <w:bCs w:val="0"/>
        </w:rPr>
        <w:t>，</w:t>
      </w:r>
      <w:proofErr w:type="gramStart"/>
      <w:r w:rsidRPr="00393DBB">
        <w:rPr>
          <w:rFonts w:hint="eastAsia"/>
          <w:b/>
          <w:bCs w:val="0"/>
        </w:rPr>
        <w:t>洵</w:t>
      </w:r>
      <w:proofErr w:type="gramEnd"/>
      <w:r w:rsidRPr="00393DBB">
        <w:rPr>
          <w:rFonts w:hint="eastAsia"/>
          <w:b/>
          <w:bCs w:val="0"/>
        </w:rPr>
        <w:t>有疏失</w:t>
      </w:r>
      <w:r w:rsidRPr="00393DBB">
        <w:rPr>
          <w:b/>
          <w:bCs w:val="0"/>
        </w:rPr>
        <w:t>。</w:t>
      </w:r>
    </w:p>
    <w:p w14:paraId="1AEDD521" w14:textId="55F67167" w:rsidR="00005B64" w:rsidRPr="00393DBB" w:rsidRDefault="00005B64" w:rsidP="00005B64">
      <w:pPr>
        <w:pStyle w:val="30"/>
      </w:pPr>
      <w:r w:rsidRPr="00393DBB">
        <w:rPr>
          <w:rFonts w:hint="eastAsia"/>
        </w:rPr>
        <w:t>依據「營建剩餘土石方處理方案」、「營建事業廢棄物再利用種類及管理方式」、「營建廢棄物共同清除處理機構管理辦法」等相關法令規定，中央主管機關為內政部、地方主管機關為直轄市、縣（市）政府，分別為有效處理營建剩餘土石方，促進資源再利用，維護環境衛生及公共安全；規範營建事業廢棄物再利用種類及管理方式，促進資源回收再利用；處理營建廢棄物，並建立營建廢棄物共同清除處理機構管理制度。且收容處理場所包括：</w:t>
      </w:r>
      <w:proofErr w:type="gramStart"/>
      <w:r w:rsidRPr="00393DBB">
        <w:rPr>
          <w:rFonts w:hint="eastAsia"/>
        </w:rPr>
        <w:t>土資場</w:t>
      </w:r>
      <w:proofErr w:type="gramEnd"/>
      <w:r w:rsidRPr="00393DBB">
        <w:rPr>
          <w:rFonts w:hint="eastAsia"/>
        </w:rPr>
        <w:t>、目的事業處理場所及其他經政府機關依法核准之場所，應依規定設置相關設施，並提報營建剩餘土石方進場處理、再利用及加工處理資料。主管機關應將</w:t>
      </w:r>
      <w:proofErr w:type="gramStart"/>
      <w:r w:rsidRPr="00393DBB">
        <w:rPr>
          <w:rFonts w:hint="eastAsia"/>
        </w:rPr>
        <w:t>土資場</w:t>
      </w:r>
      <w:proofErr w:type="gramEnd"/>
      <w:r w:rsidRPr="00393DBB">
        <w:rPr>
          <w:rFonts w:hint="eastAsia"/>
        </w:rPr>
        <w:t>、目的事業處理場所及營建剩餘土石方處理等相關資訊，公開於資訊服務中心。對於作為</w:t>
      </w:r>
      <w:proofErr w:type="gramStart"/>
      <w:r w:rsidRPr="00393DBB">
        <w:rPr>
          <w:rFonts w:hint="eastAsia"/>
        </w:rPr>
        <w:lastRenderedPageBreak/>
        <w:t>再生粒料</w:t>
      </w:r>
      <w:proofErr w:type="gramEnd"/>
      <w:r w:rsidRPr="00393DBB">
        <w:rPr>
          <w:rFonts w:hint="eastAsia"/>
        </w:rPr>
        <w:t>、再生製品、路基材料、土壤改良物或其他經中央主管機關公告用途之再利用資源，營建事業應依規定辦理申報、記錄及保管相關文件，並建立獎勵及補助辦法，鼓勵民間企業及團體參與營建剩餘土石方之處理及再利用</w:t>
      </w:r>
      <w:r w:rsidR="000011A9" w:rsidRPr="00393DBB">
        <w:rPr>
          <w:rFonts w:hint="eastAsia"/>
        </w:rPr>
        <w:t>，主管機關並負有辦理共同清除處理機構之監督管理責任</w:t>
      </w:r>
      <w:r w:rsidRPr="00393DBB">
        <w:rPr>
          <w:rFonts w:hint="eastAsia"/>
        </w:rPr>
        <w:t>。</w:t>
      </w:r>
    </w:p>
    <w:p w14:paraId="21D3F1F2" w14:textId="458B8F15" w:rsidR="00005B64" w:rsidRPr="00393DBB" w:rsidRDefault="000011A9" w:rsidP="00393DBB">
      <w:pPr>
        <w:pStyle w:val="30"/>
      </w:pPr>
      <w:proofErr w:type="gramStart"/>
      <w:r w:rsidRPr="00393DBB">
        <w:rPr>
          <w:rFonts w:hint="eastAsia"/>
        </w:rPr>
        <w:t>參據</w:t>
      </w:r>
      <w:r w:rsidR="00005B64" w:rsidRPr="00393DBB">
        <w:rPr>
          <w:rFonts w:hint="eastAsia"/>
        </w:rPr>
        <w:t>審計</w:t>
      </w:r>
      <w:proofErr w:type="gramEnd"/>
      <w:r w:rsidR="00005B64" w:rsidRPr="00393DBB">
        <w:rPr>
          <w:rFonts w:hint="eastAsia"/>
        </w:rPr>
        <w:t>部</w:t>
      </w:r>
      <w:proofErr w:type="gramStart"/>
      <w:r w:rsidR="00005B64" w:rsidRPr="00393DBB">
        <w:rPr>
          <w:rFonts w:hint="eastAsia"/>
        </w:rPr>
        <w:t>11</w:t>
      </w:r>
      <w:proofErr w:type="gramEnd"/>
      <w:r w:rsidR="00005B64" w:rsidRPr="00393DBB">
        <w:rPr>
          <w:rFonts w:hint="eastAsia"/>
        </w:rPr>
        <w:t>1年度中央政府總決算審核報告指出，</w:t>
      </w:r>
      <w:r w:rsidRPr="00393DBB">
        <w:rPr>
          <w:rFonts w:hint="eastAsia"/>
        </w:rPr>
        <w:t>營建剩餘</w:t>
      </w:r>
      <w:r w:rsidR="00005B64" w:rsidRPr="00393DBB">
        <w:rPr>
          <w:rFonts w:hint="eastAsia"/>
        </w:rPr>
        <w:t>土石方與廢棄物產源至最終使用欠缺全程流向管理等問題，導致棄置事件頻傳。立法院</w:t>
      </w:r>
      <w:r w:rsidRPr="00393DBB">
        <w:rPr>
          <w:rFonts w:hint="eastAsia"/>
        </w:rPr>
        <w:t>亦</w:t>
      </w:r>
      <w:r w:rsidR="00005B64" w:rsidRPr="00393DBB">
        <w:rPr>
          <w:rFonts w:hint="eastAsia"/>
        </w:rPr>
        <w:t>於110年11月提案，要求相關部會建立土石方業者砂石土方進出量及庫存量系統，並整合違法資訊。</w:t>
      </w:r>
      <w:r w:rsidRPr="00393DBB">
        <w:rPr>
          <w:rFonts w:hint="eastAsia"/>
        </w:rPr>
        <w:t>行政院公共工</w:t>
      </w:r>
      <w:r w:rsidR="00005B64" w:rsidRPr="00393DBB">
        <w:rPr>
          <w:rFonts w:hint="eastAsia"/>
        </w:rPr>
        <w:t>程</w:t>
      </w:r>
      <w:r w:rsidRPr="00393DBB">
        <w:rPr>
          <w:rFonts w:hint="eastAsia"/>
        </w:rPr>
        <w:t>委員</w:t>
      </w:r>
      <w:r w:rsidR="00005B64" w:rsidRPr="00393DBB">
        <w:rPr>
          <w:rFonts w:hint="eastAsia"/>
        </w:rPr>
        <w:t>會於111年1月召開會議，要求各權管機關將裁處資料整合至相關系統。內政部「營建剩餘土石方資訊服務中心」</w:t>
      </w:r>
      <w:r w:rsidRPr="00393DBB">
        <w:rPr>
          <w:rFonts w:hint="eastAsia"/>
        </w:rPr>
        <w:t>雖</w:t>
      </w:r>
      <w:r w:rsidR="00005B64" w:rsidRPr="00393DBB">
        <w:rPr>
          <w:rFonts w:hint="eastAsia"/>
        </w:rPr>
        <w:t>已收錄違規資訊，</w:t>
      </w:r>
      <w:r w:rsidRPr="00393DBB">
        <w:rPr>
          <w:rFonts w:hint="eastAsia"/>
        </w:rPr>
        <w:t>惟其違規態樣</w:t>
      </w:r>
      <w:r w:rsidR="00005B64" w:rsidRPr="00393DBB">
        <w:rPr>
          <w:rFonts w:hint="eastAsia"/>
        </w:rPr>
        <w:t>主要</w:t>
      </w:r>
      <w:r w:rsidRPr="00393DBB">
        <w:rPr>
          <w:rFonts w:hint="eastAsia"/>
        </w:rPr>
        <w:t>以</w:t>
      </w:r>
      <w:r w:rsidR="00005B64" w:rsidRPr="00393DBB">
        <w:rPr>
          <w:rFonts w:hint="eastAsia"/>
        </w:rPr>
        <w:t>超收、收受來源不明土石方及違反空氣污染防制法。</w:t>
      </w:r>
      <w:r w:rsidRPr="00393DBB">
        <w:rPr>
          <w:rFonts w:hint="eastAsia"/>
        </w:rPr>
        <w:t>其中</w:t>
      </w:r>
      <w:r w:rsidR="00005B64" w:rsidRPr="00393DBB">
        <w:rPr>
          <w:rFonts w:hint="eastAsia"/>
        </w:rPr>
        <w:t>部分</w:t>
      </w:r>
      <w:proofErr w:type="gramStart"/>
      <w:r w:rsidR="00005B64" w:rsidRPr="00393DBB">
        <w:rPr>
          <w:rFonts w:hint="eastAsia"/>
        </w:rPr>
        <w:t>土資場</w:t>
      </w:r>
      <w:proofErr w:type="gramEnd"/>
      <w:r w:rsidR="00005B64" w:rsidRPr="00393DBB">
        <w:rPr>
          <w:rFonts w:hint="eastAsia"/>
        </w:rPr>
        <w:t>於地方檢察署起訴前，即有相關犯罪事實及判決紀錄，然資訊服務中心卻未見對應之違規資訊，顯示通報查處機制有待強化。</w:t>
      </w:r>
      <w:r w:rsidRPr="00393DBB">
        <w:rPr>
          <w:rFonts w:hint="eastAsia"/>
        </w:rPr>
        <w:t>又</w:t>
      </w:r>
      <w:r w:rsidR="00005B64" w:rsidRPr="00393DBB">
        <w:rPr>
          <w:rFonts w:hint="eastAsia"/>
        </w:rPr>
        <w:t>地方政府填報之調查表顯示，部分收容處理場所存在未依規定設置標示牌、清洗設施、監控設備等缺失。</w:t>
      </w:r>
    </w:p>
    <w:p w14:paraId="66D8CBAE" w14:textId="3A9257A4" w:rsidR="00005B64" w:rsidRPr="00393DBB" w:rsidRDefault="000011A9" w:rsidP="00393DBB">
      <w:pPr>
        <w:pStyle w:val="30"/>
      </w:pPr>
      <w:r w:rsidRPr="00393DBB">
        <w:rPr>
          <w:rFonts w:hint="eastAsia"/>
        </w:rPr>
        <w:t>復據</w:t>
      </w:r>
      <w:r w:rsidR="00005B64" w:rsidRPr="00393DBB">
        <w:rPr>
          <w:rFonts w:hint="eastAsia"/>
        </w:rPr>
        <w:t>審計部實地查訪發現，部分收容處理場所及營建混合物再利用機構超出核准土地使用範圍，疑似占用公有地或違反土地使用分區</w:t>
      </w:r>
      <w:r w:rsidRPr="00393DBB">
        <w:rPr>
          <w:rFonts w:hint="eastAsia"/>
        </w:rPr>
        <w:t>；</w:t>
      </w:r>
      <w:r w:rsidR="00005B64" w:rsidRPr="00393DBB">
        <w:rPr>
          <w:rFonts w:hint="eastAsia"/>
        </w:rPr>
        <w:t>部分</w:t>
      </w:r>
      <w:proofErr w:type="gramStart"/>
      <w:r w:rsidR="00005B64" w:rsidRPr="00393DBB">
        <w:rPr>
          <w:rFonts w:hint="eastAsia"/>
        </w:rPr>
        <w:t>土資場</w:t>
      </w:r>
      <w:proofErr w:type="gramEnd"/>
      <w:r w:rsidR="00005B64" w:rsidRPr="00393DBB">
        <w:rPr>
          <w:rFonts w:hint="eastAsia"/>
        </w:rPr>
        <w:t>非單一出入口，不利車輛進出管控</w:t>
      </w:r>
      <w:r w:rsidRPr="00393DBB">
        <w:rPr>
          <w:rFonts w:hint="eastAsia"/>
        </w:rPr>
        <w:t>，</w:t>
      </w:r>
      <w:r w:rsidR="00005B64" w:rsidRPr="00393DBB">
        <w:rPr>
          <w:rFonts w:hint="eastAsia"/>
        </w:rPr>
        <w:t>另有歇業</w:t>
      </w:r>
      <w:proofErr w:type="gramStart"/>
      <w:r w:rsidR="00005B64" w:rsidRPr="00393DBB">
        <w:rPr>
          <w:rFonts w:hint="eastAsia"/>
        </w:rPr>
        <w:t>土資</w:t>
      </w:r>
      <w:proofErr w:type="gramEnd"/>
      <w:r w:rsidR="00005B64" w:rsidRPr="00393DBB">
        <w:rPr>
          <w:rFonts w:hint="eastAsia"/>
        </w:rPr>
        <w:t>場超出核准範圍使用，及廢止營運許可之</w:t>
      </w:r>
      <w:proofErr w:type="gramStart"/>
      <w:r w:rsidR="00005B64" w:rsidRPr="00393DBB">
        <w:rPr>
          <w:rFonts w:hint="eastAsia"/>
        </w:rPr>
        <w:t>土資</w:t>
      </w:r>
      <w:proofErr w:type="gramEnd"/>
      <w:r w:rsidR="00005B64" w:rsidRPr="00393DBB">
        <w:rPr>
          <w:rFonts w:hint="eastAsia"/>
        </w:rPr>
        <w:t>場仍新增土石堆置等情事</w:t>
      </w:r>
      <w:r w:rsidRPr="00393DBB">
        <w:rPr>
          <w:rFonts w:hint="eastAsia"/>
        </w:rPr>
        <w:t>；或有</w:t>
      </w:r>
      <w:r w:rsidR="00005B64" w:rsidRPr="00393DBB">
        <w:rPr>
          <w:rFonts w:hint="eastAsia"/>
        </w:rPr>
        <w:t>兼營收容處理營建混合物之</w:t>
      </w:r>
      <w:proofErr w:type="gramStart"/>
      <w:r w:rsidR="00005B64" w:rsidRPr="00393DBB">
        <w:rPr>
          <w:rFonts w:hint="eastAsia"/>
        </w:rPr>
        <w:t>土資場</w:t>
      </w:r>
      <w:proofErr w:type="gramEnd"/>
      <w:r w:rsidR="00005B64" w:rsidRPr="00393DBB">
        <w:rPr>
          <w:rFonts w:hint="eastAsia"/>
        </w:rPr>
        <w:t>，常因設備共用及空間限制，導致產品混雜，影響品質。</w:t>
      </w:r>
      <w:r w:rsidRPr="00393DBB">
        <w:rPr>
          <w:rFonts w:hint="eastAsia"/>
        </w:rPr>
        <w:t>國土管理</w:t>
      </w:r>
      <w:r w:rsidR="00005B64" w:rsidRPr="00393DBB">
        <w:rPr>
          <w:rFonts w:hint="eastAsia"/>
        </w:rPr>
        <w:t>署雖預告修正「營建事業廢棄物再利用管理辦法」草案，要求分區管理，惟仍</w:t>
      </w:r>
      <w:r w:rsidRPr="00393DBB">
        <w:rPr>
          <w:rFonts w:hint="eastAsia"/>
        </w:rPr>
        <w:t>亟</w:t>
      </w:r>
      <w:r w:rsidR="00005B64" w:rsidRPr="00393DBB">
        <w:rPr>
          <w:rFonts w:hint="eastAsia"/>
        </w:rPr>
        <w:lastRenderedPageBreak/>
        <w:t>待落實執行。</w:t>
      </w:r>
      <w:r w:rsidRPr="00393DBB">
        <w:rPr>
          <w:rFonts w:hint="eastAsia"/>
        </w:rPr>
        <w:t>據此顯示，</w:t>
      </w:r>
      <w:r w:rsidR="00005B64" w:rsidRPr="00393DBB">
        <w:rPr>
          <w:rFonts w:hint="eastAsia"/>
        </w:rPr>
        <w:t>資訊服務中心網站</w:t>
      </w:r>
      <w:r w:rsidRPr="00393DBB">
        <w:rPr>
          <w:rFonts w:hint="eastAsia"/>
        </w:rPr>
        <w:t>之資訊揭露不完整，不利全民監督</w:t>
      </w:r>
      <w:r w:rsidR="00005B64" w:rsidRPr="00393DBB">
        <w:rPr>
          <w:rFonts w:hint="eastAsia"/>
        </w:rPr>
        <w:t>收容處理場所之使用範圍（地籍、圖資）及核定配置圖</w:t>
      </w:r>
      <w:r w:rsidRPr="00393DBB">
        <w:rPr>
          <w:rFonts w:hint="eastAsia"/>
        </w:rPr>
        <w:t>；且未能有效掌握轄管場所之違規判決資訊，相關通報查處機制有待強化。部分場所存在超出核准土地使用範圍、設備設置不符規定等缺失，主管機關管理查核機制鬆散，評鑑機制闕如，亦缺乏有效評鑑機制，無法確保場所運作符合規範。</w:t>
      </w:r>
    </w:p>
    <w:p w14:paraId="21301D25" w14:textId="5E18F8CC" w:rsidR="0060380F" w:rsidRPr="00393DBB" w:rsidRDefault="000011A9" w:rsidP="000011A9">
      <w:pPr>
        <w:pStyle w:val="30"/>
      </w:pPr>
      <w:r w:rsidRPr="00393DBB">
        <w:rPr>
          <w:rFonts w:hint="eastAsia"/>
        </w:rPr>
        <w:t>綜上，</w:t>
      </w:r>
      <w:r w:rsidR="00005B64" w:rsidRPr="00393DBB">
        <w:rPr>
          <w:rFonts w:hint="eastAsia"/>
        </w:rPr>
        <w:t>營建剩餘土石方及營建混合物之妥善處理，</w:t>
      </w:r>
      <w:proofErr w:type="gramStart"/>
      <w:r w:rsidR="00005B64" w:rsidRPr="00393DBB">
        <w:rPr>
          <w:rFonts w:hint="eastAsia"/>
        </w:rPr>
        <w:t>攸</w:t>
      </w:r>
      <w:proofErr w:type="gramEnd"/>
      <w:r w:rsidR="00005B64" w:rsidRPr="00393DBB">
        <w:rPr>
          <w:rFonts w:hint="eastAsia"/>
        </w:rPr>
        <w:t>關國土資源永續利用及環境保護。</w:t>
      </w:r>
      <w:r w:rsidRPr="00393DBB">
        <w:rPr>
          <w:rFonts w:hint="eastAsia"/>
        </w:rPr>
        <w:t>中央</w:t>
      </w:r>
      <w:r w:rsidR="00005B64" w:rsidRPr="00393DBB">
        <w:rPr>
          <w:rFonts w:hint="eastAsia"/>
        </w:rPr>
        <w:t>主管機關應積極改善管理機制，加強查核及落實評鑑，以減少違規情事，</w:t>
      </w:r>
      <w:r w:rsidRPr="00393DBB">
        <w:rPr>
          <w:rFonts w:hint="eastAsia"/>
        </w:rPr>
        <w:t>並確實督導地方主管機關</w:t>
      </w:r>
      <w:r w:rsidR="00005B64" w:rsidRPr="00393DBB">
        <w:rPr>
          <w:rFonts w:hint="eastAsia"/>
        </w:rPr>
        <w:t>確保場所正常運作及產品品質，促進循環經濟發展。</w:t>
      </w:r>
    </w:p>
    <w:p w14:paraId="7A233F52" w14:textId="768CB3BB" w:rsidR="001F6F84" w:rsidRPr="00393DBB" w:rsidRDefault="00AA28C2" w:rsidP="000011A9">
      <w:pPr>
        <w:pStyle w:val="2"/>
        <w:rPr>
          <w:b/>
          <w:bCs w:val="0"/>
        </w:rPr>
      </w:pPr>
      <w:r w:rsidRPr="00393DBB">
        <w:rPr>
          <w:rFonts w:hint="eastAsia"/>
          <w:b/>
          <w:bCs w:val="0"/>
        </w:rPr>
        <w:t>中央</w:t>
      </w:r>
      <w:r w:rsidR="001F6F84" w:rsidRPr="00393DBB">
        <w:rPr>
          <w:rFonts w:hint="eastAsia"/>
          <w:b/>
          <w:bCs w:val="0"/>
        </w:rPr>
        <w:t>主管機關</w:t>
      </w:r>
      <w:r w:rsidR="001F6F84" w:rsidRPr="00393DBB">
        <w:rPr>
          <w:b/>
          <w:bCs w:val="0"/>
        </w:rPr>
        <w:t>內政部國土管理署、環境部資源循環署</w:t>
      </w:r>
      <w:r w:rsidR="001F6F84" w:rsidRPr="00393DBB">
        <w:rPr>
          <w:rFonts w:hint="eastAsia"/>
          <w:b/>
          <w:bCs w:val="0"/>
        </w:rPr>
        <w:t>對於違規棄置營建剩餘土石方及營建事業廢棄物之查處，</w:t>
      </w:r>
      <w:r w:rsidRPr="00393DBB">
        <w:rPr>
          <w:rFonts w:hint="eastAsia"/>
          <w:b/>
          <w:bCs w:val="0"/>
        </w:rPr>
        <w:t>雖分別辦理相關計畫案，惟尚缺整合與分工，工作項目略有重複，允</w:t>
      </w:r>
      <w:r w:rsidR="001F6F84" w:rsidRPr="00393DBB">
        <w:rPr>
          <w:rFonts w:hint="eastAsia"/>
          <w:b/>
          <w:bCs w:val="0"/>
        </w:rPr>
        <w:t>應加強辦理有效遏止違規棄置之變異點通報，並</w:t>
      </w:r>
      <w:proofErr w:type="gramStart"/>
      <w:r w:rsidR="001F6F84" w:rsidRPr="00393DBB">
        <w:rPr>
          <w:rFonts w:hint="eastAsia"/>
          <w:b/>
          <w:bCs w:val="0"/>
        </w:rPr>
        <w:t>研</w:t>
      </w:r>
      <w:proofErr w:type="gramEnd"/>
      <w:r w:rsidR="001F6F84" w:rsidRPr="00393DBB">
        <w:rPr>
          <w:rFonts w:hint="eastAsia"/>
          <w:b/>
          <w:bCs w:val="0"/>
        </w:rPr>
        <w:t>議改善人力及經費不足之問題，且建立非法棄置土方之裁罰基準、後續處理原則措施，及揭露施工告示牌相關營建管理之資訊，以有效遏止違規棄置。</w:t>
      </w:r>
    </w:p>
    <w:p w14:paraId="72449935" w14:textId="1D771C90" w:rsidR="00BB2786" w:rsidRPr="00393DBB" w:rsidRDefault="00BB2786" w:rsidP="000011A9">
      <w:pPr>
        <w:pStyle w:val="30"/>
      </w:pPr>
      <w:r w:rsidRPr="00393DBB">
        <w:rPr>
          <w:rFonts w:hint="eastAsia"/>
        </w:rPr>
        <w:t>有關</w:t>
      </w:r>
      <w:r w:rsidRPr="00393DBB">
        <w:t>違規棄置營建剩餘土石方及營建事業廢棄物，嚴重破壞國土環境及危害民眾健康。政府雖將違規傾倒廢土納入國土利用監測，進行變異點通報，惟此屬事後查處，違法案件仍頻傳。</w:t>
      </w:r>
      <w:r w:rsidR="00074458" w:rsidRPr="00393DBB">
        <w:rPr>
          <w:rFonts w:hint="eastAsia"/>
        </w:rPr>
        <w:t>內政部國土管理署依「土地利用監測辦法」辦理變異點通報，將疑似違規棄置案件通報地方政府查處。該署自110年起並列管追蹤「傾倒廢棄物、土」類型變異點之查處情形，以督促地方政府加速辦理。</w:t>
      </w:r>
    </w:p>
    <w:p w14:paraId="12BB2B7B" w14:textId="67F558F6" w:rsidR="00074458" w:rsidRPr="00393DBB" w:rsidRDefault="00074458" w:rsidP="00393DBB">
      <w:pPr>
        <w:pStyle w:val="30"/>
      </w:pPr>
      <w:r w:rsidRPr="00393DBB">
        <w:rPr>
          <w:rFonts w:hint="eastAsia"/>
        </w:rPr>
        <w:t>經查112年第1季違規傾倒廢土案件全國平均</w:t>
      </w:r>
      <w:proofErr w:type="gramStart"/>
      <w:r w:rsidRPr="00393DBB">
        <w:rPr>
          <w:rFonts w:hint="eastAsia"/>
        </w:rPr>
        <w:t>辦結率</w:t>
      </w:r>
      <w:r w:rsidRPr="00393DBB">
        <w:rPr>
          <w:rFonts w:hint="eastAsia"/>
        </w:rPr>
        <w:lastRenderedPageBreak/>
        <w:t>為</w:t>
      </w:r>
      <w:proofErr w:type="gramEnd"/>
      <w:r w:rsidRPr="00393DBB">
        <w:rPr>
          <w:rFonts w:hint="eastAsia"/>
        </w:rPr>
        <w:t>73%，惟部分縣市</w:t>
      </w:r>
      <w:proofErr w:type="gramStart"/>
      <w:r w:rsidRPr="00393DBB">
        <w:rPr>
          <w:rFonts w:hint="eastAsia"/>
        </w:rPr>
        <w:t>辦結率</w:t>
      </w:r>
      <w:proofErr w:type="gramEnd"/>
      <w:r w:rsidRPr="00393DBB">
        <w:rPr>
          <w:rFonts w:hint="eastAsia"/>
        </w:rPr>
        <w:t>偏低，且仍有大量變異點未完成查處。又地方政府辦理廢棄物流向及非法棄置取締遭遇困難，主要為人力不足、棄置地點偏僻及地主無力負擔清除費用等。以桃園市政府為例，其依廢棄物清理法扣留違規棄置廢土車輛，並提出非法棄置案件裁罰後處理流程；</w:t>
      </w:r>
      <w:proofErr w:type="gramStart"/>
      <w:r w:rsidRPr="00393DBB">
        <w:rPr>
          <w:rFonts w:hint="eastAsia"/>
        </w:rPr>
        <w:t>參據行政院公共工程委員會</w:t>
      </w:r>
      <w:proofErr w:type="gramEnd"/>
      <w:r w:rsidRPr="00393DBB">
        <w:rPr>
          <w:rFonts w:hint="eastAsia"/>
        </w:rPr>
        <w:t>協商會議結論指出，查獲違法棄置土石方，應先由相關單位會勘確認，如有雜質，應依法處罰，並送再利用機構處理。</w:t>
      </w:r>
      <w:proofErr w:type="gramStart"/>
      <w:r w:rsidRPr="00393DBB">
        <w:rPr>
          <w:rFonts w:hint="eastAsia"/>
        </w:rPr>
        <w:t>惟</w:t>
      </w:r>
      <w:proofErr w:type="gramEnd"/>
      <w:r w:rsidR="00AA28C2" w:rsidRPr="00393DBB">
        <w:rPr>
          <w:rFonts w:hint="eastAsia"/>
        </w:rPr>
        <w:t>中央主管機關</w:t>
      </w:r>
      <w:r w:rsidR="00AA28C2" w:rsidRPr="00393DBB">
        <w:t>內政部國土管理署、環境部資源循環署</w:t>
      </w:r>
      <w:r w:rsidR="00AA28C2" w:rsidRPr="00393DBB">
        <w:rPr>
          <w:rFonts w:hint="eastAsia"/>
        </w:rPr>
        <w:t>對於違規棄置營建剩餘土石方及營建事業廢棄物之查處，雖分別辦理相關計畫案，惟尚缺整合與分工，工作項目略有重複，且</w:t>
      </w:r>
      <w:r w:rsidRPr="00393DBB">
        <w:rPr>
          <w:rFonts w:hint="eastAsia"/>
        </w:rPr>
        <w:t>國土管理署尚未就非法棄置土方之裁罰及後續處理方式發函通知相關機關，建築法亦尚未將營建剩餘土石方及營建廢棄物處理證明文件納入使用執照審查項目，故現行建築工程施工告示牌未揭露相關計畫書核准編號，不利資訊公開及全民監督。另</w:t>
      </w:r>
      <w:proofErr w:type="gramStart"/>
      <w:r w:rsidRPr="00393DBB">
        <w:rPr>
          <w:rFonts w:hint="eastAsia"/>
        </w:rPr>
        <w:t>環境部雖已</w:t>
      </w:r>
      <w:proofErr w:type="gramEnd"/>
      <w:r w:rsidRPr="00393DBB">
        <w:rPr>
          <w:rFonts w:hint="eastAsia"/>
        </w:rPr>
        <w:t>推動</w:t>
      </w:r>
      <w:proofErr w:type="gramStart"/>
      <w:r w:rsidRPr="00393DBB">
        <w:rPr>
          <w:rFonts w:hint="eastAsia"/>
        </w:rPr>
        <w:t>檢警環結</w:t>
      </w:r>
      <w:proofErr w:type="gramEnd"/>
      <w:r w:rsidRPr="00393DBB">
        <w:rPr>
          <w:rFonts w:hint="eastAsia"/>
        </w:rPr>
        <w:t>盟機制，合作查緝環保犯罪，然分析環境部資源</w:t>
      </w:r>
      <w:proofErr w:type="gramStart"/>
      <w:r w:rsidRPr="00393DBB">
        <w:rPr>
          <w:rFonts w:hint="eastAsia"/>
        </w:rPr>
        <w:t>循環署相關</w:t>
      </w:r>
      <w:proofErr w:type="gramEnd"/>
      <w:r w:rsidRPr="00393DBB">
        <w:rPr>
          <w:rFonts w:hint="eastAsia"/>
        </w:rPr>
        <w:t>聯單資料發現，部分營建廢棄物清運車輛疑似不符道路交通安全規則，且主要為特定業者所有。</w:t>
      </w:r>
    </w:p>
    <w:p w14:paraId="6DBF90AA" w14:textId="2FFE799A" w:rsidR="00BB2786" w:rsidRPr="00393DBB" w:rsidRDefault="00BB2786" w:rsidP="00074458">
      <w:pPr>
        <w:pStyle w:val="30"/>
      </w:pPr>
      <w:r w:rsidRPr="00393DBB">
        <w:rPr>
          <w:rFonts w:hint="eastAsia"/>
        </w:rPr>
        <w:t>各地方政府辦理營建剩餘土石方處理</w:t>
      </w:r>
      <w:r w:rsidR="00074458" w:rsidRPr="00393DBB">
        <w:rPr>
          <w:rFonts w:hint="eastAsia"/>
        </w:rPr>
        <w:t>及營建事業廢棄物管理府</w:t>
      </w:r>
      <w:r w:rsidRPr="00393DBB">
        <w:rPr>
          <w:rFonts w:hint="eastAsia"/>
        </w:rPr>
        <w:t>人力配置</w:t>
      </w:r>
      <w:r w:rsidR="00074458" w:rsidRPr="00393DBB">
        <w:rPr>
          <w:rFonts w:hint="eastAsia"/>
        </w:rPr>
        <w:t>如表</w:t>
      </w:r>
      <w:r w:rsidR="00D112C6" w:rsidRPr="00393DBB">
        <w:rPr>
          <w:rFonts w:hint="eastAsia"/>
        </w:rPr>
        <w:t>6</w:t>
      </w:r>
      <w:r w:rsidR="00074458" w:rsidRPr="00393DBB">
        <w:rPr>
          <w:rFonts w:hint="eastAsia"/>
        </w:rPr>
        <w:t>、表</w:t>
      </w:r>
      <w:r w:rsidR="00D112C6" w:rsidRPr="00393DBB">
        <w:rPr>
          <w:rFonts w:hint="eastAsia"/>
        </w:rPr>
        <w:t>7</w:t>
      </w:r>
      <w:r w:rsidR="00074458" w:rsidRPr="00393DBB">
        <w:rPr>
          <w:rFonts w:hint="eastAsia"/>
        </w:rPr>
        <w:t>所示</w:t>
      </w:r>
      <w:r w:rsidR="000648FA" w:rsidRPr="00393DBB">
        <w:rPr>
          <w:rFonts w:hint="eastAsia"/>
        </w:rPr>
        <w:t>。</w:t>
      </w:r>
    </w:p>
    <w:p w14:paraId="691DB6DA" w14:textId="0F400931" w:rsidR="00BB2786" w:rsidRPr="00393DBB" w:rsidRDefault="00821469" w:rsidP="00821469">
      <w:pPr>
        <w:pStyle w:val="a6"/>
        <w:numPr>
          <w:ilvl w:val="0"/>
          <w:numId w:val="0"/>
        </w:numPr>
        <w:ind w:left="480" w:hanging="480"/>
      </w:pPr>
      <w:r>
        <w:rPr>
          <w:rFonts w:hint="eastAsia"/>
        </w:rPr>
        <w:lastRenderedPageBreak/>
        <w:t xml:space="preserve">表6  </w:t>
      </w:r>
      <w:r w:rsidR="00BB2786" w:rsidRPr="00393DBB">
        <w:rPr>
          <w:rFonts w:hint="eastAsia"/>
        </w:rPr>
        <w:t>各地方政府辦理營建剩餘土石方處理之專責單位及人力配置表</w:t>
      </w:r>
    </w:p>
    <w:p w14:paraId="33FCB505" w14:textId="6AB4865B" w:rsidR="00BB2786" w:rsidRPr="00393DBB" w:rsidRDefault="00BB2786" w:rsidP="000648FA">
      <w:pPr>
        <w:pStyle w:val="4"/>
        <w:numPr>
          <w:ilvl w:val="0"/>
          <w:numId w:val="0"/>
        </w:numPr>
        <w:spacing w:line="240" w:lineRule="exact"/>
      </w:pPr>
      <w:r w:rsidRPr="00393DBB">
        <w:rPr>
          <w:noProof/>
        </w:rPr>
        <w:drawing>
          <wp:anchor distT="0" distB="0" distL="0" distR="0" simplePos="0" relativeHeight="251672576" behindDoc="0" locked="0" layoutInCell="1" allowOverlap="1" wp14:anchorId="00B942E8" wp14:editId="5E4879B3">
            <wp:simplePos x="0" y="0"/>
            <wp:positionH relativeFrom="page">
              <wp:posOffset>900430</wp:posOffset>
            </wp:positionH>
            <wp:positionV relativeFrom="paragraph">
              <wp:posOffset>54610</wp:posOffset>
            </wp:positionV>
            <wp:extent cx="5658485" cy="2661920"/>
            <wp:effectExtent l="0" t="0" r="0" b="0"/>
            <wp:wrapTopAndBottom/>
            <wp:docPr id="801492481" name="image5.jpeg" descr="一張含有 文字, 數字, 字型, 日曆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descr="一張含有 文字, 數字, 字型, 日曆 的圖片&#10;&#10;自動產生的描述"/>
                    <pic:cNvPicPr/>
                  </pic:nvPicPr>
                  <pic:blipFill>
                    <a:blip r:embed="rId10" cstate="print"/>
                    <a:stretch>
                      <a:fillRect/>
                    </a:stretch>
                  </pic:blipFill>
                  <pic:spPr>
                    <a:xfrm>
                      <a:off x="0" y="0"/>
                      <a:ext cx="5658485" cy="2661920"/>
                    </a:xfrm>
                    <a:prstGeom prst="rect">
                      <a:avLst/>
                    </a:prstGeom>
                  </pic:spPr>
                </pic:pic>
              </a:graphicData>
            </a:graphic>
          </wp:anchor>
        </w:drawing>
      </w:r>
    </w:p>
    <w:p w14:paraId="225C5797" w14:textId="18665AA6" w:rsidR="00BB2786" w:rsidRPr="00393DBB" w:rsidRDefault="00821469" w:rsidP="00821469">
      <w:pPr>
        <w:pStyle w:val="a6"/>
        <w:numPr>
          <w:ilvl w:val="0"/>
          <w:numId w:val="0"/>
        </w:numPr>
        <w:ind w:left="480" w:hanging="480"/>
      </w:pPr>
      <w:r>
        <w:rPr>
          <w:rFonts w:hint="eastAsia"/>
        </w:rPr>
        <w:t xml:space="preserve">表7  </w:t>
      </w:r>
      <w:bookmarkStart w:id="67" w:name="_GoBack"/>
      <w:bookmarkEnd w:id="67"/>
      <w:r w:rsidR="00BB2786" w:rsidRPr="00393DBB">
        <w:rPr>
          <w:rFonts w:hint="eastAsia"/>
        </w:rPr>
        <w:t>各地方政府辦理營建事業廢棄物管理之人力配置表</w:t>
      </w:r>
    </w:p>
    <w:tbl>
      <w:tblPr>
        <w:tblStyle w:val="TableNormal"/>
        <w:tblW w:w="935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2126"/>
        <w:gridCol w:w="1985"/>
        <w:gridCol w:w="1701"/>
        <w:gridCol w:w="2410"/>
      </w:tblGrid>
      <w:tr w:rsidR="00393DBB" w:rsidRPr="00393DBB" w14:paraId="4E73E1D8" w14:textId="77777777" w:rsidTr="00BB2786">
        <w:trPr>
          <w:trHeight w:val="20"/>
          <w:tblHeader/>
        </w:trPr>
        <w:tc>
          <w:tcPr>
            <w:tcW w:w="1135" w:type="dxa"/>
            <w:vAlign w:val="center"/>
          </w:tcPr>
          <w:p w14:paraId="4B990E93" w14:textId="77777777" w:rsidR="00BB2786" w:rsidRPr="00393DBB" w:rsidRDefault="00BB2786" w:rsidP="00393DBB">
            <w:pPr>
              <w:pStyle w:val="TableParagraph"/>
              <w:spacing w:line="280" w:lineRule="exact"/>
              <w:ind w:left="0"/>
              <w:jc w:val="center"/>
              <w:rPr>
                <w:spacing w:val="-6"/>
                <w:sz w:val="24"/>
                <w:lang w:eastAsia="zh-TW"/>
              </w:rPr>
            </w:pPr>
            <w:r w:rsidRPr="00393DBB">
              <w:rPr>
                <w:spacing w:val="-6"/>
                <w:sz w:val="24"/>
                <w:lang w:eastAsia="zh-TW"/>
              </w:rPr>
              <w:t>縣市別</w:t>
            </w:r>
          </w:p>
        </w:tc>
        <w:tc>
          <w:tcPr>
            <w:tcW w:w="2126" w:type="dxa"/>
            <w:vAlign w:val="center"/>
          </w:tcPr>
          <w:p w14:paraId="73B7B404" w14:textId="77777777" w:rsidR="00BB2786" w:rsidRPr="00393DBB" w:rsidRDefault="00BB2786" w:rsidP="00393DBB">
            <w:pPr>
              <w:pStyle w:val="TableParagraph"/>
              <w:spacing w:line="280" w:lineRule="exact"/>
              <w:ind w:left="0"/>
              <w:jc w:val="center"/>
              <w:rPr>
                <w:spacing w:val="-6"/>
                <w:sz w:val="24"/>
                <w:lang w:eastAsia="zh-TW"/>
              </w:rPr>
            </w:pPr>
            <w:r w:rsidRPr="00393DBB">
              <w:rPr>
                <w:spacing w:val="-6"/>
                <w:sz w:val="24"/>
                <w:lang w:eastAsia="zh-TW"/>
              </w:rPr>
              <w:t>人力</w:t>
            </w:r>
          </w:p>
        </w:tc>
        <w:tc>
          <w:tcPr>
            <w:tcW w:w="1985" w:type="dxa"/>
            <w:vAlign w:val="center"/>
          </w:tcPr>
          <w:p w14:paraId="6981F4D0" w14:textId="77777777" w:rsidR="00BB2786" w:rsidRPr="00393DBB" w:rsidRDefault="00BB2786" w:rsidP="00393DBB">
            <w:pPr>
              <w:pStyle w:val="TableParagraph"/>
              <w:spacing w:line="280" w:lineRule="exact"/>
              <w:ind w:left="0"/>
              <w:jc w:val="center"/>
              <w:rPr>
                <w:spacing w:val="-6"/>
                <w:sz w:val="24"/>
                <w:lang w:eastAsia="zh-TW"/>
              </w:rPr>
            </w:pPr>
            <w:r w:rsidRPr="00393DBB">
              <w:rPr>
                <w:spacing w:val="-6"/>
                <w:sz w:val="24"/>
                <w:lang w:eastAsia="zh-TW"/>
              </w:rPr>
              <w:t>經費</w:t>
            </w:r>
          </w:p>
        </w:tc>
        <w:tc>
          <w:tcPr>
            <w:tcW w:w="1701" w:type="dxa"/>
            <w:vAlign w:val="center"/>
          </w:tcPr>
          <w:p w14:paraId="3999B70A" w14:textId="77777777" w:rsidR="00BB2786" w:rsidRPr="00393DBB" w:rsidRDefault="00BB2786" w:rsidP="00393DBB">
            <w:pPr>
              <w:pStyle w:val="TableParagraph"/>
              <w:spacing w:line="280" w:lineRule="exact"/>
              <w:ind w:left="0"/>
              <w:jc w:val="center"/>
              <w:rPr>
                <w:spacing w:val="-6"/>
                <w:sz w:val="24"/>
                <w:lang w:eastAsia="zh-TW"/>
              </w:rPr>
            </w:pPr>
            <w:r w:rsidRPr="00393DBB">
              <w:rPr>
                <w:spacing w:val="-6"/>
                <w:sz w:val="24"/>
                <w:lang w:eastAsia="zh-TW"/>
              </w:rPr>
              <w:t>即時追蹤成效</w:t>
            </w:r>
          </w:p>
        </w:tc>
        <w:tc>
          <w:tcPr>
            <w:tcW w:w="2410" w:type="dxa"/>
            <w:vAlign w:val="center"/>
          </w:tcPr>
          <w:p w14:paraId="590FCE8D" w14:textId="77777777" w:rsidR="00BB2786" w:rsidRPr="00393DBB" w:rsidRDefault="00BB2786" w:rsidP="00393DBB">
            <w:pPr>
              <w:pStyle w:val="TableParagraph"/>
              <w:spacing w:line="280" w:lineRule="exact"/>
              <w:ind w:left="0"/>
              <w:jc w:val="center"/>
              <w:rPr>
                <w:spacing w:val="-6"/>
                <w:sz w:val="24"/>
                <w:lang w:eastAsia="zh-TW"/>
              </w:rPr>
            </w:pPr>
            <w:r w:rsidRPr="00393DBB">
              <w:rPr>
                <w:spacing w:val="-6"/>
                <w:sz w:val="24"/>
                <w:lang w:eastAsia="zh-TW"/>
              </w:rPr>
              <w:t>遭遇困難之處</w:t>
            </w:r>
          </w:p>
        </w:tc>
      </w:tr>
      <w:tr w:rsidR="00393DBB" w:rsidRPr="00393DBB" w14:paraId="4CAB927E" w14:textId="77777777" w:rsidTr="000648FA">
        <w:trPr>
          <w:trHeight w:val="20"/>
        </w:trPr>
        <w:tc>
          <w:tcPr>
            <w:tcW w:w="1135" w:type="dxa"/>
            <w:vAlign w:val="center"/>
          </w:tcPr>
          <w:p w14:paraId="4EAC0784" w14:textId="77777777" w:rsidR="00BB2786" w:rsidRPr="00393DBB" w:rsidRDefault="00BB2786" w:rsidP="00393DBB">
            <w:pPr>
              <w:pStyle w:val="TableParagraph"/>
              <w:spacing w:line="280" w:lineRule="exact"/>
              <w:ind w:left="0"/>
              <w:jc w:val="center"/>
              <w:rPr>
                <w:spacing w:val="-6"/>
                <w:sz w:val="24"/>
                <w:lang w:eastAsia="zh-TW"/>
              </w:rPr>
            </w:pPr>
            <w:r w:rsidRPr="00393DBB">
              <w:rPr>
                <w:spacing w:val="-6"/>
                <w:sz w:val="24"/>
                <w:lang w:eastAsia="zh-TW"/>
              </w:rPr>
              <w:t>基隆市</w:t>
            </w:r>
          </w:p>
        </w:tc>
        <w:tc>
          <w:tcPr>
            <w:tcW w:w="2126" w:type="dxa"/>
            <w:vAlign w:val="center"/>
          </w:tcPr>
          <w:p w14:paraId="4CBAFE55" w14:textId="77777777" w:rsidR="00BB2786" w:rsidRPr="00393DBB" w:rsidRDefault="00BB2786" w:rsidP="00393DBB">
            <w:pPr>
              <w:pStyle w:val="TableParagraph"/>
              <w:spacing w:line="280" w:lineRule="exact"/>
              <w:ind w:left="0"/>
              <w:jc w:val="center"/>
              <w:rPr>
                <w:spacing w:val="-6"/>
                <w:sz w:val="24"/>
                <w:lang w:eastAsia="zh-TW"/>
              </w:rPr>
            </w:pPr>
            <w:r w:rsidRPr="00393DBB">
              <w:rPr>
                <w:spacing w:val="-6"/>
                <w:sz w:val="24"/>
                <w:lang w:eastAsia="zh-TW"/>
              </w:rPr>
              <w:t>0.4名</w:t>
            </w:r>
          </w:p>
        </w:tc>
        <w:tc>
          <w:tcPr>
            <w:tcW w:w="1985" w:type="dxa"/>
            <w:vAlign w:val="center"/>
          </w:tcPr>
          <w:p w14:paraId="3CBBDF6A" w14:textId="77777777" w:rsidR="00BB2786" w:rsidRPr="00393DBB" w:rsidRDefault="00BB2786" w:rsidP="00393DBB">
            <w:pPr>
              <w:pStyle w:val="TableParagraph"/>
              <w:spacing w:line="280" w:lineRule="exact"/>
              <w:ind w:left="0"/>
              <w:jc w:val="center"/>
              <w:rPr>
                <w:spacing w:val="-6"/>
                <w:sz w:val="24"/>
                <w:lang w:eastAsia="zh-TW"/>
              </w:rPr>
            </w:pPr>
            <w:r w:rsidRPr="00393DBB">
              <w:rPr>
                <w:spacing w:val="-6"/>
                <w:sz w:val="24"/>
                <w:lang w:eastAsia="zh-TW"/>
              </w:rPr>
              <w:t>75萬元</w:t>
            </w:r>
          </w:p>
        </w:tc>
        <w:tc>
          <w:tcPr>
            <w:tcW w:w="1701" w:type="dxa"/>
            <w:vAlign w:val="center"/>
          </w:tcPr>
          <w:p w14:paraId="0E76CBDD" w14:textId="77777777" w:rsidR="00BB2786" w:rsidRPr="00393DBB" w:rsidRDefault="00BB2786" w:rsidP="000648FA">
            <w:pPr>
              <w:pStyle w:val="TableParagraph"/>
              <w:spacing w:before="218" w:line="280" w:lineRule="exact"/>
              <w:ind w:left="0"/>
              <w:jc w:val="both"/>
              <w:rPr>
                <w:spacing w:val="-6"/>
                <w:sz w:val="24"/>
                <w:lang w:eastAsia="zh-TW"/>
              </w:rPr>
            </w:pPr>
            <w:r w:rsidRPr="00393DBB">
              <w:rPr>
                <w:spacing w:val="-6"/>
                <w:sz w:val="24"/>
                <w:lang w:eastAsia="zh-TW"/>
              </w:rPr>
              <w:t>112年裁處27件次</w:t>
            </w:r>
          </w:p>
        </w:tc>
        <w:tc>
          <w:tcPr>
            <w:tcW w:w="2410" w:type="dxa"/>
            <w:vAlign w:val="center"/>
          </w:tcPr>
          <w:p w14:paraId="7E779567" w14:textId="77777777" w:rsidR="00BB2786" w:rsidRPr="00393DBB" w:rsidRDefault="00BB2786" w:rsidP="000648FA">
            <w:pPr>
              <w:pStyle w:val="TableParagraph"/>
              <w:spacing w:line="280" w:lineRule="exact"/>
              <w:ind w:left="0"/>
              <w:jc w:val="both"/>
              <w:rPr>
                <w:spacing w:val="-6"/>
                <w:sz w:val="24"/>
                <w:lang w:eastAsia="zh-TW"/>
              </w:rPr>
            </w:pPr>
            <w:r w:rsidRPr="00393DBB">
              <w:rPr>
                <w:spacing w:val="-6"/>
                <w:sz w:val="24"/>
                <w:lang w:eastAsia="zh-TW"/>
              </w:rPr>
              <w:t>申請開工期程與實際不同，無法有效稽核</w:t>
            </w:r>
          </w:p>
        </w:tc>
      </w:tr>
      <w:tr w:rsidR="00393DBB" w:rsidRPr="00393DBB" w14:paraId="4139FD8B" w14:textId="77777777" w:rsidTr="000648FA">
        <w:trPr>
          <w:trHeight w:val="20"/>
        </w:trPr>
        <w:tc>
          <w:tcPr>
            <w:tcW w:w="1135" w:type="dxa"/>
            <w:vAlign w:val="center"/>
          </w:tcPr>
          <w:p w14:paraId="6D1FD233" w14:textId="77777777" w:rsidR="00BB2786" w:rsidRPr="00393DBB" w:rsidRDefault="00BB2786" w:rsidP="00393DBB">
            <w:pPr>
              <w:pStyle w:val="TableParagraph"/>
              <w:spacing w:line="280" w:lineRule="exact"/>
              <w:ind w:left="0"/>
              <w:jc w:val="center"/>
              <w:rPr>
                <w:spacing w:val="-6"/>
                <w:sz w:val="24"/>
                <w:lang w:eastAsia="zh-TW"/>
              </w:rPr>
            </w:pPr>
            <w:r w:rsidRPr="00393DBB">
              <w:rPr>
                <w:spacing w:val="-6"/>
                <w:sz w:val="24"/>
                <w:lang w:eastAsia="zh-TW"/>
              </w:rPr>
              <w:t>臺北市</w:t>
            </w:r>
          </w:p>
        </w:tc>
        <w:tc>
          <w:tcPr>
            <w:tcW w:w="2126" w:type="dxa"/>
            <w:vAlign w:val="center"/>
          </w:tcPr>
          <w:p w14:paraId="58041BEC" w14:textId="77777777" w:rsidR="00BB2786" w:rsidRPr="00393DBB" w:rsidRDefault="00BB2786" w:rsidP="00393DBB">
            <w:pPr>
              <w:pStyle w:val="TableParagraph"/>
              <w:spacing w:line="280" w:lineRule="exact"/>
              <w:ind w:left="0"/>
              <w:jc w:val="center"/>
              <w:rPr>
                <w:spacing w:val="-6"/>
                <w:sz w:val="24"/>
                <w:lang w:eastAsia="zh-TW"/>
              </w:rPr>
            </w:pPr>
            <w:r w:rsidRPr="00393DBB">
              <w:rPr>
                <w:spacing w:val="-6"/>
                <w:sz w:val="24"/>
                <w:lang w:eastAsia="zh-TW"/>
              </w:rPr>
              <w:t>4名</w:t>
            </w:r>
          </w:p>
        </w:tc>
        <w:tc>
          <w:tcPr>
            <w:tcW w:w="1985" w:type="dxa"/>
            <w:vAlign w:val="center"/>
          </w:tcPr>
          <w:p w14:paraId="30B0218D" w14:textId="77777777" w:rsidR="00BB2786" w:rsidRPr="00393DBB" w:rsidRDefault="00BB2786" w:rsidP="00393DBB">
            <w:pPr>
              <w:pStyle w:val="TableParagraph"/>
              <w:spacing w:line="280" w:lineRule="exact"/>
              <w:ind w:left="0"/>
              <w:jc w:val="center"/>
              <w:rPr>
                <w:spacing w:val="-6"/>
                <w:sz w:val="24"/>
                <w:lang w:eastAsia="zh-TW"/>
              </w:rPr>
            </w:pPr>
            <w:r w:rsidRPr="00393DBB">
              <w:rPr>
                <w:spacing w:val="-6"/>
                <w:sz w:val="24"/>
                <w:lang w:eastAsia="zh-TW"/>
              </w:rPr>
              <w:t>無專款編列經費</w:t>
            </w:r>
          </w:p>
        </w:tc>
        <w:tc>
          <w:tcPr>
            <w:tcW w:w="1701" w:type="dxa"/>
            <w:vAlign w:val="center"/>
          </w:tcPr>
          <w:p w14:paraId="7003D884" w14:textId="77777777" w:rsidR="00BB2786" w:rsidRPr="00393DBB" w:rsidRDefault="00BB2786" w:rsidP="000648FA">
            <w:pPr>
              <w:pStyle w:val="TableParagraph"/>
              <w:spacing w:line="280" w:lineRule="exact"/>
              <w:ind w:left="0"/>
              <w:jc w:val="both"/>
              <w:rPr>
                <w:spacing w:val="-6"/>
                <w:sz w:val="24"/>
                <w:lang w:eastAsia="zh-TW"/>
              </w:rPr>
            </w:pPr>
            <w:r w:rsidRPr="00393DBB">
              <w:rPr>
                <w:spacing w:val="-6"/>
                <w:sz w:val="24"/>
                <w:lang w:eastAsia="zh-TW"/>
              </w:rPr>
              <w:t>112年裁罰70件次</w:t>
            </w:r>
          </w:p>
        </w:tc>
        <w:tc>
          <w:tcPr>
            <w:tcW w:w="2410" w:type="dxa"/>
            <w:vAlign w:val="center"/>
          </w:tcPr>
          <w:p w14:paraId="5E9625EE" w14:textId="77777777" w:rsidR="00BB2786" w:rsidRPr="00393DBB" w:rsidRDefault="00BB2786" w:rsidP="000648FA">
            <w:pPr>
              <w:pStyle w:val="TableParagraph"/>
              <w:spacing w:line="280" w:lineRule="exact"/>
              <w:ind w:left="0"/>
              <w:jc w:val="both"/>
              <w:rPr>
                <w:spacing w:val="-6"/>
                <w:sz w:val="24"/>
                <w:lang w:eastAsia="zh-TW"/>
              </w:rPr>
            </w:pPr>
            <w:r w:rsidRPr="00393DBB">
              <w:rPr>
                <w:spacing w:val="-6"/>
                <w:sz w:val="24"/>
                <w:lang w:eastAsia="zh-TW"/>
              </w:rPr>
              <w:t>各縣市、不同機關就廢棄物及土石方判定易有疑義</w:t>
            </w:r>
          </w:p>
        </w:tc>
      </w:tr>
      <w:tr w:rsidR="00393DBB" w:rsidRPr="00393DBB" w14:paraId="52A05D43" w14:textId="77777777" w:rsidTr="000648FA">
        <w:trPr>
          <w:trHeight w:val="20"/>
        </w:trPr>
        <w:tc>
          <w:tcPr>
            <w:tcW w:w="1135" w:type="dxa"/>
            <w:vAlign w:val="center"/>
          </w:tcPr>
          <w:p w14:paraId="68C08E6B" w14:textId="77777777" w:rsidR="00BB2786" w:rsidRPr="00393DBB" w:rsidRDefault="00BB2786" w:rsidP="00393DBB">
            <w:pPr>
              <w:pStyle w:val="TableParagraph"/>
              <w:spacing w:line="280" w:lineRule="exact"/>
              <w:ind w:left="0"/>
              <w:jc w:val="center"/>
              <w:rPr>
                <w:spacing w:val="-6"/>
                <w:sz w:val="24"/>
                <w:lang w:eastAsia="zh-TW"/>
              </w:rPr>
            </w:pPr>
            <w:r w:rsidRPr="00393DBB">
              <w:rPr>
                <w:spacing w:val="-6"/>
                <w:sz w:val="24"/>
                <w:lang w:eastAsia="zh-TW"/>
              </w:rPr>
              <w:t>新北市</w:t>
            </w:r>
          </w:p>
        </w:tc>
        <w:tc>
          <w:tcPr>
            <w:tcW w:w="2126" w:type="dxa"/>
            <w:vAlign w:val="center"/>
          </w:tcPr>
          <w:p w14:paraId="1934A469" w14:textId="77777777" w:rsidR="00BB2786" w:rsidRPr="00393DBB" w:rsidRDefault="00BB2786" w:rsidP="00393DBB">
            <w:pPr>
              <w:pStyle w:val="TableParagraph"/>
              <w:spacing w:line="280" w:lineRule="exact"/>
              <w:ind w:left="0"/>
              <w:jc w:val="both"/>
              <w:rPr>
                <w:spacing w:val="-6"/>
                <w:sz w:val="24"/>
                <w:lang w:eastAsia="zh-TW"/>
              </w:rPr>
            </w:pPr>
            <w:r w:rsidRPr="00393DBB">
              <w:rPr>
                <w:spacing w:val="-6"/>
                <w:sz w:val="24"/>
                <w:lang w:eastAsia="zh-TW"/>
              </w:rPr>
              <w:t>人力涉及事業廢棄物管理科、循環資源科及環保稽查科，業務科室依據轄區分配案件承辦人員，稽查科依據案件區域、性質、時間及重大程度分配給各分隊或專案之稽查人員</w:t>
            </w:r>
          </w:p>
        </w:tc>
        <w:tc>
          <w:tcPr>
            <w:tcW w:w="1985" w:type="dxa"/>
            <w:vAlign w:val="center"/>
          </w:tcPr>
          <w:p w14:paraId="13941827" w14:textId="77777777" w:rsidR="00BB2786" w:rsidRPr="00393DBB" w:rsidRDefault="00BB2786" w:rsidP="00393DBB">
            <w:pPr>
              <w:pStyle w:val="TableParagraph"/>
              <w:spacing w:line="280" w:lineRule="exact"/>
              <w:ind w:left="0"/>
              <w:jc w:val="both"/>
              <w:rPr>
                <w:spacing w:val="-10"/>
                <w:sz w:val="24"/>
                <w:lang w:eastAsia="zh-TW"/>
              </w:rPr>
            </w:pPr>
            <w:r w:rsidRPr="00393DBB">
              <w:rPr>
                <w:spacing w:val="-10"/>
                <w:sz w:val="24"/>
                <w:lang w:eastAsia="zh-TW"/>
              </w:rPr>
              <w:t>管理經費包含相關人員之薪資及加班費用、因應專業個案所聘請之專家委員審查管理費用，及其他配合現場所需之用具耗材費用</w:t>
            </w:r>
          </w:p>
        </w:tc>
        <w:tc>
          <w:tcPr>
            <w:tcW w:w="1701" w:type="dxa"/>
            <w:vAlign w:val="center"/>
          </w:tcPr>
          <w:p w14:paraId="336F5900" w14:textId="77777777" w:rsidR="00BB2786" w:rsidRPr="00393DBB" w:rsidRDefault="00BB2786" w:rsidP="000648FA">
            <w:pPr>
              <w:pStyle w:val="TableParagraph"/>
              <w:spacing w:line="280" w:lineRule="exact"/>
              <w:ind w:left="0"/>
              <w:jc w:val="both"/>
              <w:rPr>
                <w:spacing w:val="-6"/>
                <w:sz w:val="24"/>
                <w:lang w:eastAsia="zh-TW"/>
              </w:rPr>
            </w:pPr>
            <w:r w:rsidRPr="00393DBB">
              <w:rPr>
                <w:spacing w:val="-6"/>
                <w:sz w:val="24"/>
                <w:lang w:eastAsia="zh-TW"/>
              </w:rPr>
              <w:t>112年營造</w:t>
            </w:r>
            <w:proofErr w:type="gramStart"/>
            <w:r w:rsidRPr="00393DBB">
              <w:rPr>
                <w:spacing w:val="-6"/>
                <w:sz w:val="24"/>
                <w:lang w:eastAsia="zh-TW"/>
              </w:rPr>
              <w:t>業廢清書</w:t>
            </w:r>
            <w:proofErr w:type="gramEnd"/>
            <w:r w:rsidRPr="00393DBB">
              <w:rPr>
                <w:spacing w:val="-6"/>
                <w:sz w:val="24"/>
                <w:lang w:eastAsia="zh-TW"/>
              </w:rPr>
              <w:t>審查共1,207件</w:t>
            </w:r>
          </w:p>
        </w:tc>
        <w:tc>
          <w:tcPr>
            <w:tcW w:w="2410" w:type="dxa"/>
            <w:vAlign w:val="center"/>
          </w:tcPr>
          <w:p w14:paraId="51B61DC1" w14:textId="77777777" w:rsidR="00BB2786" w:rsidRPr="00393DBB" w:rsidRDefault="00BB2786" w:rsidP="000648FA">
            <w:pPr>
              <w:pStyle w:val="TableParagraph"/>
              <w:spacing w:line="280" w:lineRule="exact"/>
              <w:ind w:left="0"/>
              <w:jc w:val="both"/>
              <w:rPr>
                <w:spacing w:val="-6"/>
                <w:sz w:val="24"/>
                <w:lang w:eastAsia="zh-TW"/>
              </w:rPr>
            </w:pPr>
            <w:r w:rsidRPr="00393DBB">
              <w:rPr>
                <w:spacing w:val="-6"/>
                <w:sz w:val="24"/>
                <w:lang w:eastAsia="zh-TW"/>
              </w:rPr>
              <w:t>無明定營建廢棄物及土石方統一標準，稽查人員難以判定是否屬營建廢棄物</w:t>
            </w:r>
          </w:p>
        </w:tc>
      </w:tr>
      <w:tr w:rsidR="00393DBB" w:rsidRPr="00393DBB" w14:paraId="4821ED83" w14:textId="77777777" w:rsidTr="000648FA">
        <w:trPr>
          <w:trHeight w:val="20"/>
        </w:trPr>
        <w:tc>
          <w:tcPr>
            <w:tcW w:w="1135" w:type="dxa"/>
            <w:vAlign w:val="center"/>
          </w:tcPr>
          <w:p w14:paraId="6D26BF9C" w14:textId="77777777" w:rsidR="00BB2786" w:rsidRPr="00393DBB" w:rsidRDefault="00BB2786" w:rsidP="00393DBB">
            <w:pPr>
              <w:pStyle w:val="TableParagraph"/>
              <w:spacing w:line="280" w:lineRule="exact"/>
              <w:ind w:left="0"/>
              <w:jc w:val="center"/>
              <w:rPr>
                <w:spacing w:val="-6"/>
                <w:sz w:val="24"/>
                <w:lang w:eastAsia="zh-TW"/>
              </w:rPr>
            </w:pPr>
            <w:r w:rsidRPr="00393DBB">
              <w:rPr>
                <w:spacing w:val="-6"/>
                <w:sz w:val="24"/>
                <w:lang w:eastAsia="zh-TW"/>
              </w:rPr>
              <w:t>桃園市</w:t>
            </w:r>
          </w:p>
        </w:tc>
        <w:tc>
          <w:tcPr>
            <w:tcW w:w="2126" w:type="dxa"/>
            <w:vAlign w:val="center"/>
          </w:tcPr>
          <w:p w14:paraId="2A093D19" w14:textId="77777777" w:rsidR="00BB2786" w:rsidRPr="00393DBB" w:rsidRDefault="00BB2786" w:rsidP="00393DBB">
            <w:pPr>
              <w:pStyle w:val="TableParagraph"/>
              <w:spacing w:line="280" w:lineRule="exact"/>
              <w:ind w:left="0"/>
              <w:jc w:val="center"/>
              <w:rPr>
                <w:spacing w:val="-6"/>
                <w:sz w:val="24"/>
                <w:lang w:eastAsia="zh-TW"/>
              </w:rPr>
            </w:pPr>
            <w:r w:rsidRPr="00393DBB">
              <w:rPr>
                <w:spacing w:val="-6"/>
                <w:sz w:val="24"/>
                <w:lang w:eastAsia="zh-TW"/>
              </w:rPr>
              <w:t>1名</w:t>
            </w:r>
          </w:p>
        </w:tc>
        <w:tc>
          <w:tcPr>
            <w:tcW w:w="1985" w:type="dxa"/>
            <w:vAlign w:val="center"/>
          </w:tcPr>
          <w:p w14:paraId="3F799F62" w14:textId="77777777" w:rsidR="00BB2786" w:rsidRPr="00393DBB" w:rsidRDefault="00BB2786" w:rsidP="00393DBB">
            <w:pPr>
              <w:pStyle w:val="TableParagraph"/>
              <w:spacing w:line="280" w:lineRule="exact"/>
              <w:ind w:left="0"/>
              <w:jc w:val="center"/>
              <w:rPr>
                <w:spacing w:val="-6"/>
                <w:sz w:val="24"/>
                <w:lang w:eastAsia="zh-TW"/>
              </w:rPr>
            </w:pPr>
            <w:r w:rsidRPr="00393DBB">
              <w:rPr>
                <w:spacing w:val="-6"/>
                <w:sz w:val="24"/>
                <w:lang w:eastAsia="zh-TW"/>
              </w:rPr>
              <w:t>50萬元</w:t>
            </w:r>
          </w:p>
        </w:tc>
        <w:tc>
          <w:tcPr>
            <w:tcW w:w="1701" w:type="dxa"/>
            <w:vAlign w:val="center"/>
          </w:tcPr>
          <w:p w14:paraId="4A52D3DF" w14:textId="5AF6E20F" w:rsidR="00BB2786" w:rsidRPr="00393DBB" w:rsidRDefault="00BB2786" w:rsidP="00D112C6">
            <w:pPr>
              <w:pStyle w:val="TableParagraph"/>
              <w:spacing w:line="280" w:lineRule="exact"/>
              <w:ind w:left="0"/>
              <w:jc w:val="both"/>
              <w:rPr>
                <w:spacing w:val="-6"/>
                <w:sz w:val="24"/>
                <w:lang w:eastAsia="zh-TW"/>
              </w:rPr>
            </w:pPr>
            <w:r w:rsidRPr="00393DBB">
              <w:rPr>
                <w:spacing w:val="-6"/>
                <w:sz w:val="24"/>
                <w:lang w:eastAsia="zh-TW"/>
              </w:rPr>
              <w:t>112年裁處152件次</w:t>
            </w:r>
          </w:p>
        </w:tc>
        <w:tc>
          <w:tcPr>
            <w:tcW w:w="2410" w:type="dxa"/>
            <w:vAlign w:val="center"/>
          </w:tcPr>
          <w:p w14:paraId="6696F42A" w14:textId="77777777" w:rsidR="00BB2786" w:rsidRPr="00393DBB" w:rsidRDefault="00BB2786" w:rsidP="000648FA">
            <w:pPr>
              <w:pStyle w:val="TableParagraph"/>
              <w:spacing w:before="104"/>
              <w:ind w:left="144"/>
              <w:jc w:val="both"/>
              <w:rPr>
                <w:rFonts w:ascii="Times New Roman"/>
                <w:sz w:val="24"/>
              </w:rPr>
            </w:pPr>
            <w:r w:rsidRPr="00393DBB">
              <w:rPr>
                <w:rFonts w:ascii="Times New Roman"/>
                <w:w w:val="99"/>
                <w:sz w:val="24"/>
              </w:rPr>
              <w:t>-</w:t>
            </w:r>
          </w:p>
        </w:tc>
      </w:tr>
      <w:tr w:rsidR="00393DBB" w:rsidRPr="00393DBB" w14:paraId="7F63F6D2" w14:textId="77777777" w:rsidTr="000648FA">
        <w:trPr>
          <w:trHeight w:val="20"/>
        </w:trPr>
        <w:tc>
          <w:tcPr>
            <w:tcW w:w="1135" w:type="dxa"/>
            <w:vAlign w:val="center"/>
          </w:tcPr>
          <w:p w14:paraId="58A196E6" w14:textId="77777777" w:rsidR="00BB2786" w:rsidRPr="00393DBB" w:rsidRDefault="00BB2786" w:rsidP="00393DBB">
            <w:pPr>
              <w:pStyle w:val="TableParagraph"/>
              <w:spacing w:before="1"/>
              <w:ind w:right="195"/>
              <w:jc w:val="center"/>
              <w:rPr>
                <w:sz w:val="24"/>
              </w:rPr>
            </w:pPr>
            <w:proofErr w:type="spellStart"/>
            <w:r w:rsidRPr="00393DBB">
              <w:rPr>
                <w:sz w:val="24"/>
              </w:rPr>
              <w:t>新竹市</w:t>
            </w:r>
            <w:proofErr w:type="spellEnd"/>
          </w:p>
        </w:tc>
        <w:tc>
          <w:tcPr>
            <w:tcW w:w="2126" w:type="dxa"/>
            <w:vAlign w:val="center"/>
          </w:tcPr>
          <w:p w14:paraId="526CF3A2" w14:textId="77777777" w:rsidR="00BB2786" w:rsidRPr="00393DBB" w:rsidRDefault="00BB2786" w:rsidP="008458D9">
            <w:pPr>
              <w:pStyle w:val="TableParagraph"/>
              <w:spacing w:line="280" w:lineRule="exact"/>
              <w:ind w:left="0"/>
              <w:jc w:val="center"/>
              <w:rPr>
                <w:sz w:val="24"/>
              </w:rPr>
            </w:pPr>
            <w:r w:rsidRPr="00393DBB">
              <w:rPr>
                <w:rFonts w:ascii="Times New Roman" w:eastAsia="Times New Roman"/>
                <w:sz w:val="24"/>
              </w:rPr>
              <w:t>1</w:t>
            </w:r>
            <w:r w:rsidRPr="00393DBB">
              <w:rPr>
                <w:sz w:val="24"/>
              </w:rPr>
              <w:t>名</w:t>
            </w:r>
          </w:p>
        </w:tc>
        <w:tc>
          <w:tcPr>
            <w:tcW w:w="1985" w:type="dxa"/>
            <w:vAlign w:val="center"/>
          </w:tcPr>
          <w:p w14:paraId="38CB6871" w14:textId="77777777" w:rsidR="00BB2786" w:rsidRPr="00393DBB" w:rsidRDefault="00BB2786" w:rsidP="00D112C6">
            <w:pPr>
              <w:pStyle w:val="TableParagraph"/>
              <w:spacing w:line="280" w:lineRule="exact"/>
              <w:ind w:left="0"/>
              <w:jc w:val="center"/>
              <w:rPr>
                <w:sz w:val="24"/>
              </w:rPr>
            </w:pPr>
            <w:r w:rsidRPr="00393DBB">
              <w:rPr>
                <w:spacing w:val="-6"/>
                <w:sz w:val="24"/>
                <w:lang w:eastAsia="zh-TW"/>
              </w:rPr>
              <w:t>無專款編列經費</w:t>
            </w:r>
          </w:p>
        </w:tc>
        <w:tc>
          <w:tcPr>
            <w:tcW w:w="1701" w:type="dxa"/>
            <w:vAlign w:val="center"/>
          </w:tcPr>
          <w:p w14:paraId="6E7281AD" w14:textId="77777777" w:rsidR="00BB2786" w:rsidRPr="00393DBB" w:rsidRDefault="00BB2786" w:rsidP="000648FA">
            <w:pPr>
              <w:pStyle w:val="TableParagraph"/>
              <w:spacing w:line="324" w:lineRule="exact"/>
              <w:ind w:left="142"/>
              <w:jc w:val="both"/>
              <w:rPr>
                <w:sz w:val="24"/>
              </w:rPr>
            </w:pPr>
            <w:proofErr w:type="gramStart"/>
            <w:r w:rsidRPr="00393DBB">
              <w:rPr>
                <w:rFonts w:ascii="Times New Roman" w:eastAsia="Times New Roman"/>
                <w:sz w:val="24"/>
              </w:rPr>
              <w:t>112</w:t>
            </w:r>
            <w:proofErr w:type="spellStart"/>
            <w:proofErr w:type="gramEnd"/>
            <w:r w:rsidRPr="00393DBB">
              <w:rPr>
                <w:sz w:val="24"/>
              </w:rPr>
              <w:t>年度裁處件數</w:t>
            </w:r>
            <w:proofErr w:type="spellEnd"/>
            <w:r w:rsidRPr="00393DBB">
              <w:rPr>
                <w:rFonts w:ascii="Times New Roman" w:eastAsia="Times New Roman"/>
                <w:sz w:val="24"/>
              </w:rPr>
              <w:t>6</w:t>
            </w:r>
            <w:proofErr w:type="spellStart"/>
            <w:r w:rsidRPr="00393DBB">
              <w:rPr>
                <w:sz w:val="24"/>
              </w:rPr>
              <w:t>件次</w:t>
            </w:r>
            <w:proofErr w:type="spellEnd"/>
          </w:p>
        </w:tc>
        <w:tc>
          <w:tcPr>
            <w:tcW w:w="2410" w:type="dxa"/>
            <w:vAlign w:val="center"/>
          </w:tcPr>
          <w:p w14:paraId="39E5C6C1" w14:textId="77777777" w:rsidR="00BB2786" w:rsidRPr="00393DBB" w:rsidRDefault="00BB2786" w:rsidP="00D112C6">
            <w:pPr>
              <w:pStyle w:val="TableParagraph"/>
              <w:spacing w:line="280" w:lineRule="exact"/>
              <w:ind w:left="248" w:hangingChars="100" w:hanging="248"/>
              <w:jc w:val="both"/>
              <w:rPr>
                <w:spacing w:val="-6"/>
                <w:sz w:val="24"/>
                <w:lang w:eastAsia="zh-TW"/>
              </w:rPr>
            </w:pPr>
            <w:r w:rsidRPr="00393DBB">
              <w:rPr>
                <w:rFonts w:hint="eastAsia"/>
                <w:spacing w:val="-6"/>
                <w:sz w:val="24"/>
                <w:lang w:eastAsia="zh-TW"/>
              </w:rPr>
              <w:t>1.</w:t>
            </w:r>
            <w:r w:rsidRPr="00393DBB">
              <w:rPr>
                <w:spacing w:val="-6"/>
                <w:sz w:val="24"/>
                <w:lang w:eastAsia="zh-TW"/>
              </w:rPr>
              <w:t>人力不足</w:t>
            </w:r>
            <w:r w:rsidRPr="00393DBB">
              <w:rPr>
                <w:rFonts w:hint="eastAsia"/>
                <w:spacing w:val="-6"/>
                <w:sz w:val="24"/>
                <w:lang w:eastAsia="zh-TW"/>
              </w:rPr>
              <w:t>。</w:t>
            </w:r>
          </w:p>
          <w:p w14:paraId="3F06AC29" w14:textId="77777777" w:rsidR="00BB2786" w:rsidRPr="00393DBB" w:rsidRDefault="00BB2786" w:rsidP="00D112C6">
            <w:pPr>
              <w:pStyle w:val="TableParagraph"/>
              <w:spacing w:line="280" w:lineRule="exact"/>
              <w:ind w:left="248" w:hangingChars="100" w:hanging="248"/>
              <w:jc w:val="both"/>
              <w:rPr>
                <w:spacing w:val="-6"/>
                <w:sz w:val="24"/>
                <w:lang w:eastAsia="zh-TW"/>
              </w:rPr>
            </w:pPr>
            <w:r w:rsidRPr="00393DBB">
              <w:rPr>
                <w:rFonts w:hint="eastAsia"/>
                <w:spacing w:val="-6"/>
                <w:sz w:val="24"/>
                <w:lang w:eastAsia="zh-TW"/>
              </w:rPr>
              <w:t>2.</w:t>
            </w:r>
            <w:r w:rsidRPr="00393DBB">
              <w:rPr>
                <w:spacing w:val="-6"/>
                <w:sz w:val="24"/>
                <w:lang w:eastAsia="zh-TW"/>
              </w:rPr>
              <w:t>轄內土石方收容處理場所均兼營營建混合物再利用機構，無設置專人管理，管理複雜度高</w:t>
            </w:r>
            <w:r w:rsidRPr="00393DBB">
              <w:rPr>
                <w:rFonts w:hint="eastAsia"/>
                <w:spacing w:val="-6"/>
                <w:sz w:val="24"/>
                <w:lang w:eastAsia="zh-TW"/>
              </w:rPr>
              <w:t>。</w:t>
            </w:r>
          </w:p>
          <w:p w14:paraId="7E0776C2" w14:textId="77777777" w:rsidR="00BB2786" w:rsidRPr="00393DBB" w:rsidRDefault="00BB2786" w:rsidP="00D112C6">
            <w:pPr>
              <w:pStyle w:val="TableParagraph"/>
              <w:spacing w:line="280" w:lineRule="exact"/>
              <w:ind w:left="248" w:hangingChars="100" w:hanging="248"/>
              <w:jc w:val="both"/>
              <w:rPr>
                <w:sz w:val="24"/>
                <w:lang w:eastAsia="zh-TW"/>
              </w:rPr>
            </w:pPr>
            <w:r w:rsidRPr="00393DBB">
              <w:rPr>
                <w:rFonts w:hint="eastAsia"/>
                <w:spacing w:val="-6"/>
                <w:sz w:val="24"/>
                <w:lang w:eastAsia="zh-TW"/>
              </w:rPr>
              <w:t>3.</w:t>
            </w:r>
            <w:r w:rsidRPr="00393DBB">
              <w:rPr>
                <w:spacing w:val="-6"/>
                <w:sz w:val="24"/>
                <w:lang w:eastAsia="zh-TW"/>
              </w:rPr>
              <w:t>建管單位(收容處理場所之目的主管機關)管理強度不足</w:t>
            </w:r>
            <w:r w:rsidRPr="00393DBB">
              <w:rPr>
                <w:rFonts w:hint="eastAsia"/>
                <w:spacing w:val="-6"/>
                <w:sz w:val="24"/>
                <w:lang w:eastAsia="zh-TW"/>
              </w:rPr>
              <w:t>。</w:t>
            </w:r>
          </w:p>
        </w:tc>
      </w:tr>
      <w:tr w:rsidR="00393DBB" w:rsidRPr="00393DBB" w14:paraId="162F6E54" w14:textId="77777777" w:rsidTr="000648FA">
        <w:trPr>
          <w:trHeight w:val="20"/>
        </w:trPr>
        <w:tc>
          <w:tcPr>
            <w:tcW w:w="1135" w:type="dxa"/>
            <w:vAlign w:val="center"/>
          </w:tcPr>
          <w:p w14:paraId="3900CA5B" w14:textId="77777777" w:rsidR="00BB2786" w:rsidRPr="00393DBB" w:rsidRDefault="00BB2786" w:rsidP="00393DBB">
            <w:pPr>
              <w:pStyle w:val="TableParagraph"/>
              <w:spacing w:line="280" w:lineRule="exact"/>
              <w:ind w:left="0"/>
              <w:jc w:val="center"/>
              <w:rPr>
                <w:spacing w:val="-10"/>
                <w:sz w:val="24"/>
                <w:lang w:eastAsia="zh-TW"/>
              </w:rPr>
            </w:pPr>
            <w:r w:rsidRPr="00393DBB">
              <w:rPr>
                <w:spacing w:val="-10"/>
                <w:sz w:val="24"/>
                <w:lang w:eastAsia="zh-TW"/>
              </w:rPr>
              <w:t>新竹縣</w:t>
            </w:r>
          </w:p>
        </w:tc>
        <w:tc>
          <w:tcPr>
            <w:tcW w:w="2126" w:type="dxa"/>
            <w:vAlign w:val="center"/>
          </w:tcPr>
          <w:p w14:paraId="6B4DD962" w14:textId="77777777" w:rsidR="00BB2786" w:rsidRPr="00393DBB" w:rsidRDefault="00BB2786" w:rsidP="00393DBB">
            <w:pPr>
              <w:pStyle w:val="TableParagraph"/>
              <w:spacing w:line="280" w:lineRule="exact"/>
              <w:ind w:left="0"/>
              <w:jc w:val="center"/>
              <w:rPr>
                <w:spacing w:val="-10"/>
                <w:sz w:val="24"/>
                <w:lang w:eastAsia="zh-TW"/>
              </w:rPr>
            </w:pPr>
            <w:r w:rsidRPr="00393DBB">
              <w:rPr>
                <w:spacing w:val="-10"/>
                <w:sz w:val="24"/>
                <w:lang w:eastAsia="zh-TW"/>
              </w:rPr>
              <w:t>2名</w:t>
            </w:r>
          </w:p>
        </w:tc>
        <w:tc>
          <w:tcPr>
            <w:tcW w:w="1985" w:type="dxa"/>
            <w:vAlign w:val="center"/>
          </w:tcPr>
          <w:p w14:paraId="2499851B" w14:textId="77777777" w:rsidR="00BB2786" w:rsidRPr="00393DBB" w:rsidRDefault="00BB2786" w:rsidP="00393DBB">
            <w:pPr>
              <w:pStyle w:val="TableParagraph"/>
              <w:spacing w:line="280" w:lineRule="exact"/>
              <w:ind w:left="0"/>
              <w:jc w:val="center"/>
              <w:rPr>
                <w:spacing w:val="-10"/>
                <w:sz w:val="24"/>
                <w:lang w:eastAsia="zh-TW"/>
              </w:rPr>
            </w:pPr>
            <w:r w:rsidRPr="00393DBB">
              <w:rPr>
                <w:spacing w:val="-10"/>
                <w:sz w:val="24"/>
                <w:lang w:eastAsia="zh-TW"/>
              </w:rPr>
              <w:t>無專款編列經費</w:t>
            </w:r>
          </w:p>
        </w:tc>
        <w:tc>
          <w:tcPr>
            <w:tcW w:w="1701" w:type="dxa"/>
            <w:vAlign w:val="center"/>
          </w:tcPr>
          <w:p w14:paraId="30942411" w14:textId="77777777" w:rsidR="00BB2786" w:rsidRPr="00393DBB" w:rsidRDefault="00BB2786" w:rsidP="000648FA">
            <w:pPr>
              <w:pStyle w:val="TableParagraph"/>
              <w:spacing w:line="280" w:lineRule="exact"/>
              <w:ind w:left="0"/>
              <w:jc w:val="both"/>
              <w:rPr>
                <w:spacing w:val="-10"/>
                <w:sz w:val="24"/>
                <w:lang w:eastAsia="zh-TW"/>
              </w:rPr>
            </w:pPr>
            <w:r w:rsidRPr="00393DBB">
              <w:rPr>
                <w:spacing w:val="-10"/>
                <w:sz w:val="24"/>
                <w:lang w:eastAsia="zh-TW"/>
              </w:rPr>
              <w:t>無</w:t>
            </w:r>
          </w:p>
        </w:tc>
        <w:tc>
          <w:tcPr>
            <w:tcW w:w="2410" w:type="dxa"/>
            <w:vAlign w:val="center"/>
          </w:tcPr>
          <w:p w14:paraId="3E38700D" w14:textId="77777777" w:rsidR="00BB2786" w:rsidRPr="00393DBB" w:rsidRDefault="00BB2786" w:rsidP="000648FA">
            <w:pPr>
              <w:pStyle w:val="TableParagraph"/>
              <w:tabs>
                <w:tab w:val="left" w:pos="326"/>
              </w:tabs>
              <w:spacing w:line="280" w:lineRule="exact"/>
              <w:ind w:left="0"/>
              <w:jc w:val="both"/>
              <w:rPr>
                <w:spacing w:val="-10"/>
                <w:sz w:val="24"/>
                <w:lang w:eastAsia="zh-TW"/>
              </w:rPr>
            </w:pPr>
            <w:r w:rsidRPr="00393DBB">
              <w:rPr>
                <w:spacing w:val="-10"/>
                <w:sz w:val="24"/>
                <w:lang w:eastAsia="zh-TW"/>
              </w:rPr>
              <w:t>-</w:t>
            </w:r>
          </w:p>
        </w:tc>
      </w:tr>
      <w:tr w:rsidR="00393DBB" w:rsidRPr="00393DBB" w14:paraId="56C0E29A" w14:textId="77777777" w:rsidTr="000648FA">
        <w:trPr>
          <w:trHeight w:val="20"/>
        </w:trPr>
        <w:tc>
          <w:tcPr>
            <w:tcW w:w="1135" w:type="dxa"/>
            <w:vAlign w:val="center"/>
          </w:tcPr>
          <w:p w14:paraId="34A84A8F" w14:textId="77777777" w:rsidR="00BB2786" w:rsidRPr="00393DBB" w:rsidRDefault="00BB2786" w:rsidP="00393DBB">
            <w:pPr>
              <w:pStyle w:val="TableParagraph"/>
              <w:spacing w:line="280" w:lineRule="exact"/>
              <w:ind w:left="0"/>
              <w:jc w:val="center"/>
              <w:rPr>
                <w:spacing w:val="-10"/>
                <w:sz w:val="24"/>
                <w:lang w:eastAsia="zh-TW"/>
              </w:rPr>
            </w:pPr>
          </w:p>
          <w:p w14:paraId="374112B6" w14:textId="77777777" w:rsidR="00BB2786" w:rsidRPr="00393DBB" w:rsidRDefault="00BB2786" w:rsidP="00393DBB">
            <w:pPr>
              <w:pStyle w:val="TableParagraph"/>
              <w:spacing w:line="280" w:lineRule="exact"/>
              <w:ind w:left="0"/>
              <w:jc w:val="center"/>
              <w:rPr>
                <w:spacing w:val="-10"/>
                <w:sz w:val="24"/>
                <w:lang w:eastAsia="zh-TW"/>
              </w:rPr>
            </w:pPr>
            <w:r w:rsidRPr="00393DBB">
              <w:rPr>
                <w:spacing w:val="-10"/>
                <w:sz w:val="24"/>
                <w:lang w:eastAsia="zh-TW"/>
              </w:rPr>
              <w:lastRenderedPageBreak/>
              <w:t>苗栗縣</w:t>
            </w:r>
          </w:p>
        </w:tc>
        <w:tc>
          <w:tcPr>
            <w:tcW w:w="2126" w:type="dxa"/>
            <w:vAlign w:val="center"/>
          </w:tcPr>
          <w:p w14:paraId="44C65E18" w14:textId="77777777" w:rsidR="00BB2786" w:rsidRPr="00393DBB" w:rsidRDefault="00BB2786" w:rsidP="00393DBB">
            <w:pPr>
              <w:pStyle w:val="TableParagraph"/>
              <w:spacing w:line="280" w:lineRule="exact"/>
              <w:ind w:left="0"/>
              <w:jc w:val="center"/>
              <w:rPr>
                <w:spacing w:val="-10"/>
                <w:sz w:val="24"/>
                <w:lang w:eastAsia="zh-TW"/>
              </w:rPr>
            </w:pPr>
          </w:p>
          <w:p w14:paraId="091494F7" w14:textId="77777777" w:rsidR="00BB2786" w:rsidRPr="00393DBB" w:rsidRDefault="00BB2786" w:rsidP="00393DBB">
            <w:pPr>
              <w:pStyle w:val="TableParagraph"/>
              <w:spacing w:line="280" w:lineRule="exact"/>
              <w:ind w:left="0"/>
              <w:jc w:val="center"/>
              <w:rPr>
                <w:spacing w:val="-10"/>
                <w:sz w:val="24"/>
                <w:lang w:eastAsia="zh-TW"/>
              </w:rPr>
            </w:pPr>
            <w:r w:rsidRPr="00393DBB">
              <w:rPr>
                <w:spacing w:val="-10"/>
                <w:sz w:val="24"/>
                <w:lang w:eastAsia="zh-TW"/>
              </w:rPr>
              <w:lastRenderedPageBreak/>
              <w:t>2名</w:t>
            </w:r>
          </w:p>
        </w:tc>
        <w:tc>
          <w:tcPr>
            <w:tcW w:w="1985" w:type="dxa"/>
            <w:vAlign w:val="center"/>
          </w:tcPr>
          <w:p w14:paraId="75A37DD3" w14:textId="77777777" w:rsidR="00BB2786" w:rsidRPr="00393DBB" w:rsidRDefault="00BB2786" w:rsidP="00393DBB">
            <w:pPr>
              <w:pStyle w:val="TableParagraph"/>
              <w:spacing w:line="280" w:lineRule="exact"/>
              <w:ind w:left="0"/>
              <w:jc w:val="center"/>
              <w:rPr>
                <w:spacing w:val="-10"/>
                <w:sz w:val="24"/>
                <w:lang w:eastAsia="zh-TW"/>
              </w:rPr>
            </w:pPr>
            <w:r w:rsidRPr="00393DBB">
              <w:rPr>
                <w:spacing w:val="-10"/>
                <w:sz w:val="24"/>
                <w:lang w:eastAsia="zh-TW"/>
              </w:rPr>
              <w:lastRenderedPageBreak/>
              <w:t>無專款編列經費</w:t>
            </w:r>
          </w:p>
        </w:tc>
        <w:tc>
          <w:tcPr>
            <w:tcW w:w="1701" w:type="dxa"/>
            <w:vAlign w:val="center"/>
          </w:tcPr>
          <w:p w14:paraId="1C1F0D67" w14:textId="77777777" w:rsidR="00BB2786" w:rsidRPr="00393DBB" w:rsidRDefault="00BB2786" w:rsidP="000648FA">
            <w:pPr>
              <w:pStyle w:val="TableParagraph"/>
              <w:spacing w:line="280" w:lineRule="exact"/>
              <w:ind w:left="0"/>
              <w:jc w:val="both"/>
              <w:rPr>
                <w:spacing w:val="-10"/>
                <w:sz w:val="24"/>
                <w:lang w:eastAsia="zh-TW"/>
              </w:rPr>
            </w:pPr>
            <w:r w:rsidRPr="00393DBB">
              <w:rPr>
                <w:spacing w:val="-10"/>
                <w:sz w:val="24"/>
                <w:lang w:eastAsia="zh-TW"/>
              </w:rPr>
              <w:t>現場稽查及後續</w:t>
            </w:r>
            <w:r w:rsidRPr="00393DBB">
              <w:rPr>
                <w:spacing w:val="-10"/>
                <w:sz w:val="24"/>
                <w:lang w:eastAsia="zh-TW"/>
              </w:rPr>
              <w:lastRenderedPageBreak/>
              <w:t>告發、裁處</w:t>
            </w:r>
          </w:p>
        </w:tc>
        <w:tc>
          <w:tcPr>
            <w:tcW w:w="2410" w:type="dxa"/>
            <w:vAlign w:val="center"/>
          </w:tcPr>
          <w:p w14:paraId="6E51E4BC" w14:textId="77777777" w:rsidR="00BB2786" w:rsidRPr="00393DBB" w:rsidRDefault="00BB2786" w:rsidP="000648FA">
            <w:pPr>
              <w:pStyle w:val="TableParagraph"/>
              <w:tabs>
                <w:tab w:val="left" w:pos="326"/>
              </w:tabs>
              <w:spacing w:line="280" w:lineRule="exact"/>
              <w:ind w:left="0"/>
              <w:jc w:val="both"/>
              <w:rPr>
                <w:spacing w:val="-10"/>
                <w:sz w:val="24"/>
                <w:lang w:eastAsia="zh-TW"/>
              </w:rPr>
            </w:pPr>
            <w:r w:rsidRPr="00393DBB">
              <w:rPr>
                <w:spacing w:val="-10"/>
                <w:sz w:val="24"/>
                <w:lang w:eastAsia="zh-TW"/>
              </w:rPr>
              <w:lastRenderedPageBreak/>
              <w:t>人力不足</w:t>
            </w:r>
          </w:p>
        </w:tc>
      </w:tr>
      <w:tr w:rsidR="00393DBB" w:rsidRPr="00393DBB" w14:paraId="4CCA83CA" w14:textId="77777777" w:rsidTr="000648FA">
        <w:trPr>
          <w:trHeight w:val="20"/>
        </w:trPr>
        <w:tc>
          <w:tcPr>
            <w:tcW w:w="1135" w:type="dxa"/>
            <w:vAlign w:val="center"/>
          </w:tcPr>
          <w:p w14:paraId="40C213C6" w14:textId="77777777" w:rsidR="00BB2786" w:rsidRPr="00393DBB" w:rsidRDefault="00BB2786" w:rsidP="00393DBB">
            <w:pPr>
              <w:pStyle w:val="TableParagraph"/>
              <w:spacing w:line="280" w:lineRule="exact"/>
              <w:ind w:left="0"/>
              <w:jc w:val="center"/>
              <w:rPr>
                <w:spacing w:val="-10"/>
                <w:sz w:val="24"/>
                <w:lang w:eastAsia="zh-TW"/>
              </w:rPr>
            </w:pPr>
            <w:proofErr w:type="gramStart"/>
            <w:r w:rsidRPr="00393DBB">
              <w:rPr>
                <w:spacing w:val="-10"/>
                <w:sz w:val="24"/>
                <w:lang w:eastAsia="zh-TW"/>
              </w:rPr>
              <w:t>臺</w:t>
            </w:r>
            <w:proofErr w:type="gramEnd"/>
            <w:r w:rsidRPr="00393DBB">
              <w:rPr>
                <w:spacing w:val="-10"/>
                <w:sz w:val="24"/>
                <w:lang w:eastAsia="zh-TW"/>
              </w:rPr>
              <w:t>中市</w:t>
            </w:r>
          </w:p>
        </w:tc>
        <w:tc>
          <w:tcPr>
            <w:tcW w:w="2126" w:type="dxa"/>
            <w:vAlign w:val="center"/>
          </w:tcPr>
          <w:p w14:paraId="15E53D33" w14:textId="77777777" w:rsidR="00BB2786" w:rsidRPr="00393DBB" w:rsidRDefault="00BB2786" w:rsidP="00393DBB">
            <w:pPr>
              <w:pStyle w:val="TableParagraph"/>
              <w:spacing w:line="280" w:lineRule="exact"/>
              <w:ind w:left="0"/>
              <w:jc w:val="center"/>
              <w:rPr>
                <w:spacing w:val="-10"/>
                <w:sz w:val="24"/>
                <w:lang w:eastAsia="zh-TW"/>
              </w:rPr>
            </w:pPr>
            <w:r w:rsidRPr="00393DBB">
              <w:rPr>
                <w:spacing w:val="-10"/>
                <w:sz w:val="24"/>
                <w:lang w:eastAsia="zh-TW"/>
              </w:rPr>
              <w:t>9名</w:t>
            </w:r>
          </w:p>
        </w:tc>
        <w:tc>
          <w:tcPr>
            <w:tcW w:w="1985" w:type="dxa"/>
            <w:vAlign w:val="center"/>
          </w:tcPr>
          <w:p w14:paraId="16698B0C" w14:textId="77777777" w:rsidR="00BB2786" w:rsidRPr="00393DBB" w:rsidRDefault="00BB2786" w:rsidP="00393DBB">
            <w:pPr>
              <w:pStyle w:val="TableParagraph"/>
              <w:spacing w:line="280" w:lineRule="exact"/>
              <w:ind w:left="0"/>
              <w:jc w:val="center"/>
              <w:rPr>
                <w:spacing w:val="-10"/>
                <w:sz w:val="24"/>
                <w:lang w:eastAsia="zh-TW"/>
              </w:rPr>
            </w:pPr>
            <w:r w:rsidRPr="00393DBB">
              <w:rPr>
                <w:spacing w:val="-10"/>
                <w:sz w:val="24"/>
                <w:lang w:eastAsia="zh-TW"/>
              </w:rPr>
              <w:t>無專款編列經費</w:t>
            </w:r>
          </w:p>
        </w:tc>
        <w:tc>
          <w:tcPr>
            <w:tcW w:w="1701" w:type="dxa"/>
            <w:vAlign w:val="center"/>
          </w:tcPr>
          <w:p w14:paraId="6A0803B4" w14:textId="77777777" w:rsidR="00BB2786" w:rsidRPr="00393DBB" w:rsidRDefault="00BB2786" w:rsidP="000648FA">
            <w:pPr>
              <w:pStyle w:val="TableParagraph"/>
              <w:spacing w:before="54" w:line="324" w:lineRule="exact"/>
              <w:ind w:left="142"/>
              <w:jc w:val="both"/>
              <w:rPr>
                <w:spacing w:val="-10"/>
                <w:sz w:val="24"/>
                <w:lang w:eastAsia="zh-TW"/>
              </w:rPr>
            </w:pPr>
            <w:r w:rsidRPr="00393DBB">
              <w:rPr>
                <w:spacing w:val="-10"/>
                <w:sz w:val="24"/>
                <w:lang w:eastAsia="zh-TW"/>
              </w:rPr>
              <w:t>112年裁處50件次</w:t>
            </w:r>
          </w:p>
        </w:tc>
        <w:tc>
          <w:tcPr>
            <w:tcW w:w="2410" w:type="dxa"/>
            <w:vAlign w:val="center"/>
          </w:tcPr>
          <w:p w14:paraId="50830102" w14:textId="77777777" w:rsidR="00BB2786" w:rsidRPr="00393DBB" w:rsidRDefault="00BB2786" w:rsidP="000648FA">
            <w:pPr>
              <w:pStyle w:val="TableParagraph"/>
              <w:tabs>
                <w:tab w:val="left" w:pos="326"/>
              </w:tabs>
              <w:spacing w:line="280" w:lineRule="exact"/>
              <w:ind w:left="0"/>
              <w:jc w:val="both"/>
              <w:rPr>
                <w:spacing w:val="-10"/>
                <w:sz w:val="24"/>
                <w:lang w:eastAsia="zh-TW"/>
              </w:rPr>
            </w:pPr>
            <w:r w:rsidRPr="00393DBB">
              <w:rPr>
                <w:spacing w:val="-10"/>
                <w:sz w:val="24"/>
                <w:lang w:eastAsia="zh-TW"/>
              </w:rPr>
              <w:t>人力不足</w:t>
            </w:r>
          </w:p>
        </w:tc>
      </w:tr>
      <w:tr w:rsidR="00393DBB" w:rsidRPr="00393DBB" w14:paraId="0B220E47" w14:textId="77777777" w:rsidTr="000648FA">
        <w:trPr>
          <w:trHeight w:val="20"/>
        </w:trPr>
        <w:tc>
          <w:tcPr>
            <w:tcW w:w="1135" w:type="dxa"/>
            <w:vAlign w:val="center"/>
          </w:tcPr>
          <w:p w14:paraId="102EC2F6" w14:textId="77777777" w:rsidR="00BB2786" w:rsidRPr="00393DBB" w:rsidRDefault="00BB2786" w:rsidP="00393DBB">
            <w:pPr>
              <w:pStyle w:val="TableParagraph"/>
              <w:spacing w:line="280" w:lineRule="exact"/>
              <w:ind w:left="0"/>
              <w:jc w:val="center"/>
              <w:rPr>
                <w:spacing w:val="-10"/>
                <w:sz w:val="24"/>
                <w:lang w:eastAsia="zh-TW"/>
              </w:rPr>
            </w:pPr>
            <w:r w:rsidRPr="00393DBB">
              <w:rPr>
                <w:spacing w:val="-10"/>
                <w:sz w:val="24"/>
                <w:lang w:eastAsia="zh-TW"/>
              </w:rPr>
              <w:t>彰化縣</w:t>
            </w:r>
          </w:p>
        </w:tc>
        <w:tc>
          <w:tcPr>
            <w:tcW w:w="2126" w:type="dxa"/>
            <w:vAlign w:val="center"/>
          </w:tcPr>
          <w:p w14:paraId="5353060A" w14:textId="4E7EFEE0" w:rsidR="00BB2786" w:rsidRPr="00393DBB" w:rsidRDefault="00074458" w:rsidP="00393DBB">
            <w:pPr>
              <w:pStyle w:val="TableParagraph"/>
              <w:spacing w:line="280" w:lineRule="exact"/>
              <w:ind w:left="0"/>
              <w:jc w:val="center"/>
              <w:rPr>
                <w:spacing w:val="-10"/>
                <w:sz w:val="24"/>
                <w:lang w:eastAsia="zh-TW"/>
              </w:rPr>
            </w:pPr>
            <w:r w:rsidRPr="00393DBB">
              <w:rPr>
                <w:rFonts w:hint="eastAsia"/>
                <w:spacing w:val="-10"/>
                <w:sz w:val="24"/>
                <w:lang w:eastAsia="zh-TW"/>
              </w:rPr>
              <w:t>尚未函復</w:t>
            </w:r>
          </w:p>
        </w:tc>
        <w:tc>
          <w:tcPr>
            <w:tcW w:w="1985" w:type="dxa"/>
            <w:vAlign w:val="center"/>
          </w:tcPr>
          <w:p w14:paraId="331B9542" w14:textId="77777777" w:rsidR="00BB2786" w:rsidRPr="00393DBB" w:rsidRDefault="00BB2786" w:rsidP="00393DBB">
            <w:pPr>
              <w:pStyle w:val="TableParagraph"/>
              <w:spacing w:line="280" w:lineRule="exact"/>
              <w:ind w:left="0"/>
              <w:jc w:val="center"/>
              <w:rPr>
                <w:spacing w:val="-10"/>
                <w:sz w:val="24"/>
                <w:lang w:eastAsia="zh-TW"/>
              </w:rPr>
            </w:pPr>
          </w:p>
        </w:tc>
        <w:tc>
          <w:tcPr>
            <w:tcW w:w="1701" w:type="dxa"/>
            <w:vAlign w:val="center"/>
          </w:tcPr>
          <w:p w14:paraId="4439E6D5" w14:textId="77777777" w:rsidR="00BB2786" w:rsidRPr="00393DBB" w:rsidRDefault="00BB2786" w:rsidP="000648FA">
            <w:pPr>
              <w:pStyle w:val="TableParagraph"/>
              <w:spacing w:line="280" w:lineRule="exact"/>
              <w:ind w:left="0"/>
              <w:jc w:val="both"/>
              <w:rPr>
                <w:spacing w:val="-10"/>
                <w:sz w:val="24"/>
                <w:lang w:eastAsia="zh-TW"/>
              </w:rPr>
            </w:pPr>
          </w:p>
        </w:tc>
        <w:tc>
          <w:tcPr>
            <w:tcW w:w="2410" w:type="dxa"/>
            <w:vAlign w:val="center"/>
          </w:tcPr>
          <w:p w14:paraId="7C595BC2" w14:textId="77777777" w:rsidR="00BB2786" w:rsidRPr="00393DBB" w:rsidRDefault="00BB2786" w:rsidP="000648FA">
            <w:pPr>
              <w:pStyle w:val="TableParagraph"/>
              <w:tabs>
                <w:tab w:val="left" w:pos="326"/>
              </w:tabs>
              <w:spacing w:line="280" w:lineRule="exact"/>
              <w:ind w:left="0"/>
              <w:jc w:val="both"/>
              <w:rPr>
                <w:spacing w:val="-10"/>
                <w:sz w:val="24"/>
                <w:lang w:eastAsia="zh-TW"/>
              </w:rPr>
            </w:pPr>
          </w:p>
        </w:tc>
      </w:tr>
      <w:tr w:rsidR="00393DBB" w:rsidRPr="00393DBB" w14:paraId="1045AF99" w14:textId="77777777" w:rsidTr="000648FA">
        <w:trPr>
          <w:trHeight w:val="20"/>
        </w:trPr>
        <w:tc>
          <w:tcPr>
            <w:tcW w:w="1135" w:type="dxa"/>
            <w:vAlign w:val="center"/>
          </w:tcPr>
          <w:p w14:paraId="348A6361" w14:textId="77777777" w:rsidR="00BB2786" w:rsidRPr="00393DBB" w:rsidRDefault="00BB2786" w:rsidP="00393DBB">
            <w:pPr>
              <w:pStyle w:val="TableParagraph"/>
              <w:spacing w:line="280" w:lineRule="exact"/>
              <w:ind w:left="0"/>
              <w:jc w:val="center"/>
              <w:rPr>
                <w:spacing w:val="-10"/>
                <w:sz w:val="24"/>
                <w:lang w:eastAsia="zh-TW"/>
              </w:rPr>
            </w:pPr>
            <w:r w:rsidRPr="00393DBB">
              <w:rPr>
                <w:spacing w:val="-10"/>
                <w:sz w:val="24"/>
                <w:lang w:eastAsia="zh-TW"/>
              </w:rPr>
              <w:t>南投縣</w:t>
            </w:r>
          </w:p>
        </w:tc>
        <w:tc>
          <w:tcPr>
            <w:tcW w:w="2126" w:type="dxa"/>
            <w:vAlign w:val="center"/>
          </w:tcPr>
          <w:p w14:paraId="4C5CAF7B" w14:textId="77777777" w:rsidR="00BB2786" w:rsidRPr="00393DBB" w:rsidRDefault="00BB2786" w:rsidP="00393DBB">
            <w:pPr>
              <w:pStyle w:val="TableParagraph"/>
              <w:spacing w:line="280" w:lineRule="exact"/>
              <w:ind w:left="0"/>
              <w:jc w:val="center"/>
              <w:rPr>
                <w:spacing w:val="-10"/>
                <w:sz w:val="24"/>
                <w:lang w:eastAsia="zh-TW"/>
              </w:rPr>
            </w:pPr>
            <w:r w:rsidRPr="00393DBB">
              <w:rPr>
                <w:spacing w:val="-10"/>
                <w:sz w:val="24"/>
                <w:lang w:eastAsia="zh-TW"/>
              </w:rPr>
              <w:t>0.2名</w:t>
            </w:r>
          </w:p>
        </w:tc>
        <w:tc>
          <w:tcPr>
            <w:tcW w:w="1985" w:type="dxa"/>
            <w:vAlign w:val="center"/>
          </w:tcPr>
          <w:p w14:paraId="1AC4EB2F" w14:textId="04D1F911" w:rsidR="00BB2786" w:rsidRPr="00393DBB" w:rsidRDefault="008458D9" w:rsidP="00393DBB">
            <w:pPr>
              <w:pStyle w:val="TableParagraph"/>
              <w:spacing w:line="280" w:lineRule="exact"/>
              <w:ind w:left="0"/>
              <w:jc w:val="center"/>
              <w:rPr>
                <w:spacing w:val="-10"/>
                <w:sz w:val="24"/>
                <w:lang w:eastAsia="zh-TW"/>
              </w:rPr>
            </w:pPr>
            <w:r w:rsidRPr="00393DBB">
              <w:rPr>
                <w:spacing w:val="-6"/>
                <w:sz w:val="24"/>
                <w:lang w:eastAsia="zh-TW"/>
              </w:rPr>
              <w:t>無專款編列經費</w:t>
            </w:r>
          </w:p>
        </w:tc>
        <w:tc>
          <w:tcPr>
            <w:tcW w:w="1701" w:type="dxa"/>
            <w:vAlign w:val="center"/>
          </w:tcPr>
          <w:p w14:paraId="0F7F3A53" w14:textId="77777777" w:rsidR="00BB2786" w:rsidRPr="00393DBB" w:rsidRDefault="00BB2786" w:rsidP="000648FA">
            <w:pPr>
              <w:pStyle w:val="TableParagraph"/>
              <w:spacing w:line="280" w:lineRule="exact"/>
              <w:ind w:left="0"/>
              <w:jc w:val="both"/>
              <w:rPr>
                <w:spacing w:val="-10"/>
                <w:sz w:val="24"/>
                <w:lang w:eastAsia="zh-TW"/>
              </w:rPr>
            </w:pPr>
            <w:r w:rsidRPr="00393DBB">
              <w:rPr>
                <w:spacing w:val="-10"/>
                <w:sz w:val="24"/>
                <w:lang w:eastAsia="zh-TW"/>
              </w:rPr>
              <w:t>無</w:t>
            </w:r>
          </w:p>
        </w:tc>
        <w:tc>
          <w:tcPr>
            <w:tcW w:w="2410" w:type="dxa"/>
            <w:vAlign w:val="center"/>
          </w:tcPr>
          <w:p w14:paraId="1EED4A3C" w14:textId="77777777" w:rsidR="00BB2786" w:rsidRPr="00393DBB" w:rsidRDefault="00BB2786" w:rsidP="000648FA">
            <w:pPr>
              <w:pStyle w:val="TableParagraph"/>
              <w:tabs>
                <w:tab w:val="left" w:pos="326"/>
              </w:tabs>
              <w:spacing w:line="280" w:lineRule="exact"/>
              <w:ind w:left="0"/>
              <w:jc w:val="both"/>
              <w:rPr>
                <w:spacing w:val="-10"/>
                <w:sz w:val="24"/>
                <w:lang w:eastAsia="zh-TW"/>
              </w:rPr>
            </w:pPr>
            <w:r w:rsidRPr="00393DBB">
              <w:rPr>
                <w:rFonts w:hint="eastAsia"/>
                <w:spacing w:val="-10"/>
                <w:sz w:val="24"/>
                <w:lang w:eastAsia="zh-TW"/>
              </w:rPr>
              <w:t>南投</w:t>
            </w:r>
            <w:r w:rsidRPr="00393DBB">
              <w:rPr>
                <w:spacing w:val="-10"/>
                <w:sz w:val="24"/>
                <w:lang w:eastAsia="zh-TW"/>
              </w:rPr>
              <w:t>縣再利用廠或處理場不足</w:t>
            </w:r>
          </w:p>
        </w:tc>
      </w:tr>
      <w:tr w:rsidR="00393DBB" w:rsidRPr="00393DBB" w14:paraId="0490C308" w14:textId="77777777" w:rsidTr="000648FA">
        <w:trPr>
          <w:trHeight w:val="20"/>
        </w:trPr>
        <w:tc>
          <w:tcPr>
            <w:tcW w:w="1135" w:type="dxa"/>
            <w:vAlign w:val="center"/>
          </w:tcPr>
          <w:p w14:paraId="5C6E4537" w14:textId="77777777" w:rsidR="00BB2786" w:rsidRPr="00393DBB" w:rsidRDefault="00BB2786" w:rsidP="00393DBB">
            <w:pPr>
              <w:pStyle w:val="TableParagraph"/>
              <w:spacing w:line="280" w:lineRule="exact"/>
              <w:ind w:left="0"/>
              <w:jc w:val="center"/>
              <w:rPr>
                <w:spacing w:val="-10"/>
                <w:sz w:val="24"/>
                <w:lang w:eastAsia="zh-TW"/>
              </w:rPr>
            </w:pPr>
            <w:r w:rsidRPr="00393DBB">
              <w:rPr>
                <w:spacing w:val="-10"/>
                <w:sz w:val="24"/>
                <w:lang w:eastAsia="zh-TW"/>
              </w:rPr>
              <w:t>雲林縣</w:t>
            </w:r>
          </w:p>
        </w:tc>
        <w:tc>
          <w:tcPr>
            <w:tcW w:w="2126" w:type="dxa"/>
            <w:vAlign w:val="center"/>
          </w:tcPr>
          <w:p w14:paraId="0BF8389E" w14:textId="77777777" w:rsidR="00BB2786" w:rsidRPr="00393DBB" w:rsidRDefault="00BB2786" w:rsidP="00393DBB">
            <w:pPr>
              <w:pStyle w:val="TableParagraph"/>
              <w:spacing w:line="280" w:lineRule="exact"/>
              <w:ind w:left="0"/>
              <w:jc w:val="center"/>
              <w:rPr>
                <w:spacing w:val="-10"/>
                <w:sz w:val="24"/>
                <w:lang w:eastAsia="zh-TW"/>
              </w:rPr>
            </w:pPr>
            <w:r w:rsidRPr="00393DBB">
              <w:rPr>
                <w:spacing w:val="-10"/>
                <w:sz w:val="24"/>
                <w:lang w:eastAsia="zh-TW"/>
              </w:rPr>
              <w:t>1.5名</w:t>
            </w:r>
          </w:p>
        </w:tc>
        <w:tc>
          <w:tcPr>
            <w:tcW w:w="1985" w:type="dxa"/>
            <w:vAlign w:val="center"/>
          </w:tcPr>
          <w:p w14:paraId="4CA0B653" w14:textId="77777777" w:rsidR="00BB2786" w:rsidRPr="00393DBB" w:rsidRDefault="00BB2786" w:rsidP="00393DBB">
            <w:pPr>
              <w:pStyle w:val="TableParagraph"/>
              <w:spacing w:line="280" w:lineRule="exact"/>
              <w:ind w:left="0"/>
              <w:jc w:val="center"/>
              <w:rPr>
                <w:spacing w:val="-10"/>
                <w:sz w:val="24"/>
                <w:lang w:eastAsia="zh-TW"/>
              </w:rPr>
            </w:pPr>
            <w:r w:rsidRPr="00393DBB">
              <w:rPr>
                <w:spacing w:val="-10"/>
                <w:sz w:val="24"/>
                <w:lang w:eastAsia="zh-TW"/>
              </w:rPr>
              <w:t>約130萬元</w:t>
            </w:r>
          </w:p>
        </w:tc>
        <w:tc>
          <w:tcPr>
            <w:tcW w:w="1701" w:type="dxa"/>
            <w:vAlign w:val="center"/>
          </w:tcPr>
          <w:p w14:paraId="4C7F7F72" w14:textId="77777777" w:rsidR="00BB2786" w:rsidRPr="00393DBB" w:rsidRDefault="00BB2786" w:rsidP="000648FA">
            <w:pPr>
              <w:pStyle w:val="TableParagraph"/>
              <w:spacing w:line="280" w:lineRule="exact"/>
              <w:ind w:left="0"/>
              <w:jc w:val="both"/>
              <w:rPr>
                <w:spacing w:val="-10"/>
                <w:sz w:val="24"/>
                <w:lang w:eastAsia="zh-TW"/>
              </w:rPr>
            </w:pPr>
            <w:proofErr w:type="gramStart"/>
            <w:r w:rsidRPr="00393DBB">
              <w:rPr>
                <w:spacing w:val="-10"/>
                <w:sz w:val="24"/>
                <w:lang w:eastAsia="zh-TW"/>
              </w:rPr>
              <w:t>112</w:t>
            </w:r>
            <w:proofErr w:type="gramEnd"/>
            <w:r w:rsidRPr="00393DBB">
              <w:rPr>
                <w:spacing w:val="-10"/>
                <w:sz w:val="24"/>
                <w:lang w:eastAsia="zh-TW"/>
              </w:rPr>
              <w:t>年度查獲違反廢清法案件110件以上</w:t>
            </w:r>
          </w:p>
        </w:tc>
        <w:tc>
          <w:tcPr>
            <w:tcW w:w="2410" w:type="dxa"/>
            <w:vAlign w:val="center"/>
          </w:tcPr>
          <w:p w14:paraId="563D3114" w14:textId="77777777" w:rsidR="00BB2786" w:rsidRPr="00393DBB" w:rsidRDefault="00BB2786" w:rsidP="000648FA">
            <w:pPr>
              <w:pStyle w:val="TableParagraph"/>
              <w:tabs>
                <w:tab w:val="left" w:pos="326"/>
              </w:tabs>
              <w:spacing w:line="280" w:lineRule="exact"/>
              <w:ind w:left="0"/>
              <w:jc w:val="both"/>
              <w:rPr>
                <w:spacing w:val="-10"/>
                <w:sz w:val="24"/>
                <w:lang w:eastAsia="zh-TW"/>
              </w:rPr>
            </w:pPr>
            <w:r w:rsidRPr="00393DBB">
              <w:rPr>
                <w:spacing w:val="-10"/>
                <w:sz w:val="24"/>
                <w:lang w:eastAsia="zh-TW"/>
              </w:rPr>
              <w:t>稽查實務上易有認定爭議</w:t>
            </w:r>
          </w:p>
        </w:tc>
      </w:tr>
      <w:tr w:rsidR="00393DBB" w:rsidRPr="00393DBB" w14:paraId="26E1301B" w14:textId="77777777" w:rsidTr="000648FA">
        <w:trPr>
          <w:trHeight w:val="20"/>
        </w:trPr>
        <w:tc>
          <w:tcPr>
            <w:tcW w:w="1135" w:type="dxa"/>
            <w:vAlign w:val="center"/>
          </w:tcPr>
          <w:p w14:paraId="4096B990" w14:textId="77777777" w:rsidR="00BB2786" w:rsidRPr="00393DBB" w:rsidRDefault="00BB2786" w:rsidP="00393DBB">
            <w:pPr>
              <w:pStyle w:val="TableParagraph"/>
              <w:spacing w:line="280" w:lineRule="exact"/>
              <w:ind w:left="0"/>
              <w:jc w:val="center"/>
              <w:rPr>
                <w:spacing w:val="-10"/>
                <w:sz w:val="24"/>
                <w:lang w:eastAsia="zh-TW"/>
              </w:rPr>
            </w:pPr>
            <w:r w:rsidRPr="00393DBB">
              <w:rPr>
                <w:spacing w:val="-10"/>
                <w:sz w:val="24"/>
                <w:lang w:eastAsia="zh-TW"/>
              </w:rPr>
              <w:t>嘉義市</w:t>
            </w:r>
          </w:p>
        </w:tc>
        <w:tc>
          <w:tcPr>
            <w:tcW w:w="2126" w:type="dxa"/>
            <w:vAlign w:val="center"/>
          </w:tcPr>
          <w:p w14:paraId="14178066" w14:textId="77777777" w:rsidR="00BB2786" w:rsidRPr="00393DBB" w:rsidRDefault="00BB2786" w:rsidP="00393DBB">
            <w:pPr>
              <w:pStyle w:val="TableParagraph"/>
              <w:spacing w:line="280" w:lineRule="exact"/>
              <w:ind w:left="0"/>
              <w:jc w:val="center"/>
              <w:rPr>
                <w:spacing w:val="-10"/>
                <w:sz w:val="24"/>
                <w:lang w:eastAsia="zh-TW"/>
              </w:rPr>
            </w:pPr>
            <w:r w:rsidRPr="00393DBB">
              <w:rPr>
                <w:spacing w:val="-10"/>
                <w:sz w:val="24"/>
                <w:lang w:eastAsia="zh-TW"/>
              </w:rPr>
              <w:t>1名</w:t>
            </w:r>
          </w:p>
        </w:tc>
        <w:tc>
          <w:tcPr>
            <w:tcW w:w="1985" w:type="dxa"/>
            <w:vAlign w:val="center"/>
          </w:tcPr>
          <w:p w14:paraId="64A58452" w14:textId="77777777" w:rsidR="00BB2786" w:rsidRPr="00393DBB" w:rsidRDefault="00BB2786" w:rsidP="00393DBB">
            <w:pPr>
              <w:pStyle w:val="TableParagraph"/>
              <w:spacing w:line="280" w:lineRule="exact"/>
              <w:ind w:left="0"/>
              <w:jc w:val="center"/>
              <w:rPr>
                <w:spacing w:val="-10"/>
                <w:sz w:val="24"/>
                <w:lang w:eastAsia="zh-TW"/>
              </w:rPr>
            </w:pPr>
            <w:r w:rsidRPr="00393DBB">
              <w:rPr>
                <w:spacing w:val="-10"/>
                <w:sz w:val="24"/>
                <w:lang w:eastAsia="zh-TW"/>
              </w:rPr>
              <w:t>40萬元</w:t>
            </w:r>
          </w:p>
        </w:tc>
        <w:tc>
          <w:tcPr>
            <w:tcW w:w="1701" w:type="dxa"/>
            <w:vAlign w:val="center"/>
          </w:tcPr>
          <w:p w14:paraId="3CD231A1" w14:textId="77777777" w:rsidR="00BB2786" w:rsidRPr="00393DBB" w:rsidRDefault="00BB2786" w:rsidP="000648FA">
            <w:pPr>
              <w:pStyle w:val="TableParagraph"/>
              <w:spacing w:before="54" w:line="324" w:lineRule="exact"/>
              <w:ind w:left="142"/>
              <w:jc w:val="both"/>
              <w:rPr>
                <w:spacing w:val="-10"/>
                <w:sz w:val="24"/>
                <w:lang w:eastAsia="zh-TW"/>
              </w:rPr>
            </w:pPr>
            <w:r w:rsidRPr="00393DBB">
              <w:rPr>
                <w:spacing w:val="-10"/>
                <w:sz w:val="24"/>
                <w:lang w:eastAsia="zh-TW"/>
              </w:rPr>
              <w:t>113年裁處5件次</w:t>
            </w:r>
          </w:p>
        </w:tc>
        <w:tc>
          <w:tcPr>
            <w:tcW w:w="2410" w:type="dxa"/>
            <w:vAlign w:val="center"/>
          </w:tcPr>
          <w:p w14:paraId="71CB7F57" w14:textId="77777777" w:rsidR="00BB2786" w:rsidRPr="00393DBB" w:rsidRDefault="00BB2786" w:rsidP="000648FA">
            <w:pPr>
              <w:pStyle w:val="TableParagraph"/>
              <w:tabs>
                <w:tab w:val="left" w:pos="326"/>
              </w:tabs>
              <w:spacing w:line="280" w:lineRule="exact"/>
              <w:ind w:left="0"/>
              <w:jc w:val="both"/>
              <w:rPr>
                <w:spacing w:val="-10"/>
                <w:sz w:val="24"/>
                <w:lang w:eastAsia="zh-TW"/>
              </w:rPr>
            </w:pPr>
            <w:r w:rsidRPr="00393DBB">
              <w:rPr>
                <w:spacing w:val="-10"/>
                <w:sz w:val="24"/>
                <w:lang w:eastAsia="zh-TW"/>
              </w:rPr>
              <w:t>-</w:t>
            </w:r>
          </w:p>
        </w:tc>
      </w:tr>
      <w:tr w:rsidR="00393DBB" w:rsidRPr="00393DBB" w14:paraId="7F74C6A2" w14:textId="77777777" w:rsidTr="000648FA">
        <w:trPr>
          <w:trHeight w:val="20"/>
        </w:trPr>
        <w:tc>
          <w:tcPr>
            <w:tcW w:w="1135" w:type="dxa"/>
            <w:vAlign w:val="center"/>
          </w:tcPr>
          <w:p w14:paraId="27FF4D42" w14:textId="77777777" w:rsidR="00BB2786" w:rsidRPr="00393DBB" w:rsidRDefault="00BB2786" w:rsidP="00393DBB">
            <w:pPr>
              <w:pStyle w:val="TableParagraph"/>
              <w:spacing w:line="280" w:lineRule="exact"/>
              <w:ind w:left="0"/>
              <w:jc w:val="center"/>
              <w:rPr>
                <w:spacing w:val="-10"/>
                <w:sz w:val="24"/>
                <w:lang w:eastAsia="zh-TW"/>
              </w:rPr>
            </w:pPr>
            <w:r w:rsidRPr="00393DBB">
              <w:rPr>
                <w:spacing w:val="-10"/>
                <w:sz w:val="24"/>
                <w:lang w:eastAsia="zh-TW"/>
              </w:rPr>
              <w:t>嘉義縣</w:t>
            </w:r>
          </w:p>
        </w:tc>
        <w:tc>
          <w:tcPr>
            <w:tcW w:w="2126" w:type="dxa"/>
            <w:vAlign w:val="center"/>
          </w:tcPr>
          <w:p w14:paraId="25960675" w14:textId="77777777" w:rsidR="00BB2786" w:rsidRPr="00393DBB" w:rsidRDefault="00BB2786" w:rsidP="00393DBB">
            <w:pPr>
              <w:pStyle w:val="TableParagraph"/>
              <w:spacing w:line="280" w:lineRule="exact"/>
              <w:ind w:left="0"/>
              <w:jc w:val="center"/>
              <w:rPr>
                <w:spacing w:val="-10"/>
                <w:sz w:val="24"/>
                <w:lang w:eastAsia="zh-TW"/>
              </w:rPr>
            </w:pPr>
            <w:r w:rsidRPr="00393DBB">
              <w:rPr>
                <w:spacing w:val="-10"/>
                <w:sz w:val="24"/>
                <w:lang w:eastAsia="zh-TW"/>
              </w:rPr>
              <w:t>1名</w:t>
            </w:r>
          </w:p>
        </w:tc>
        <w:tc>
          <w:tcPr>
            <w:tcW w:w="1985" w:type="dxa"/>
            <w:vAlign w:val="center"/>
          </w:tcPr>
          <w:p w14:paraId="07828123" w14:textId="4362B21E" w:rsidR="00BB2786" w:rsidRPr="00393DBB" w:rsidRDefault="008458D9" w:rsidP="00393DBB">
            <w:pPr>
              <w:pStyle w:val="TableParagraph"/>
              <w:spacing w:line="280" w:lineRule="exact"/>
              <w:ind w:left="0"/>
              <w:jc w:val="center"/>
              <w:rPr>
                <w:spacing w:val="-10"/>
                <w:sz w:val="24"/>
                <w:lang w:eastAsia="zh-TW"/>
              </w:rPr>
            </w:pPr>
            <w:r w:rsidRPr="00393DBB">
              <w:rPr>
                <w:spacing w:val="-6"/>
                <w:sz w:val="24"/>
                <w:lang w:eastAsia="zh-TW"/>
              </w:rPr>
              <w:t>無專款編列經費</w:t>
            </w:r>
          </w:p>
        </w:tc>
        <w:tc>
          <w:tcPr>
            <w:tcW w:w="1701" w:type="dxa"/>
            <w:vAlign w:val="center"/>
          </w:tcPr>
          <w:p w14:paraId="34A0CBE5" w14:textId="77777777" w:rsidR="00BB2786" w:rsidRPr="00393DBB" w:rsidRDefault="00BB2786" w:rsidP="000648FA">
            <w:pPr>
              <w:pStyle w:val="TableParagraph"/>
              <w:spacing w:line="280" w:lineRule="exact"/>
              <w:ind w:left="0"/>
              <w:jc w:val="both"/>
              <w:rPr>
                <w:spacing w:val="-10"/>
                <w:sz w:val="24"/>
                <w:lang w:eastAsia="zh-TW"/>
              </w:rPr>
            </w:pPr>
            <w:proofErr w:type="gramStart"/>
            <w:r w:rsidRPr="00393DBB">
              <w:rPr>
                <w:spacing w:val="-10"/>
                <w:sz w:val="24"/>
                <w:lang w:eastAsia="zh-TW"/>
              </w:rPr>
              <w:t>無裁罰</w:t>
            </w:r>
            <w:proofErr w:type="gramEnd"/>
            <w:r w:rsidRPr="00393DBB">
              <w:rPr>
                <w:spacing w:val="-10"/>
                <w:sz w:val="24"/>
                <w:lang w:eastAsia="zh-TW"/>
              </w:rPr>
              <w:t>案件</w:t>
            </w:r>
          </w:p>
        </w:tc>
        <w:tc>
          <w:tcPr>
            <w:tcW w:w="2410" w:type="dxa"/>
            <w:vAlign w:val="center"/>
          </w:tcPr>
          <w:p w14:paraId="77833427" w14:textId="77777777" w:rsidR="00BB2786" w:rsidRPr="00393DBB" w:rsidRDefault="00BB2786" w:rsidP="000648FA">
            <w:pPr>
              <w:pStyle w:val="TableParagraph"/>
              <w:tabs>
                <w:tab w:val="left" w:pos="326"/>
              </w:tabs>
              <w:spacing w:line="280" w:lineRule="exact"/>
              <w:ind w:left="0"/>
              <w:jc w:val="both"/>
              <w:rPr>
                <w:spacing w:val="-10"/>
                <w:sz w:val="24"/>
                <w:lang w:eastAsia="zh-TW"/>
              </w:rPr>
            </w:pPr>
            <w:r w:rsidRPr="00393DBB">
              <w:rPr>
                <w:spacing w:val="-10"/>
                <w:sz w:val="24"/>
                <w:lang w:eastAsia="zh-TW"/>
              </w:rPr>
              <w:t>-</w:t>
            </w:r>
          </w:p>
        </w:tc>
      </w:tr>
      <w:tr w:rsidR="00393DBB" w:rsidRPr="00393DBB" w14:paraId="4AB6356D" w14:textId="77777777" w:rsidTr="000648FA">
        <w:trPr>
          <w:trHeight w:val="20"/>
        </w:trPr>
        <w:tc>
          <w:tcPr>
            <w:tcW w:w="1135" w:type="dxa"/>
            <w:vAlign w:val="center"/>
          </w:tcPr>
          <w:p w14:paraId="3DF52877" w14:textId="77777777" w:rsidR="00BB2786" w:rsidRPr="00393DBB" w:rsidRDefault="00BB2786" w:rsidP="00393DBB">
            <w:pPr>
              <w:pStyle w:val="TableParagraph"/>
              <w:spacing w:line="280" w:lineRule="exact"/>
              <w:ind w:left="0"/>
              <w:jc w:val="center"/>
              <w:rPr>
                <w:spacing w:val="-10"/>
                <w:sz w:val="24"/>
                <w:lang w:eastAsia="zh-TW"/>
              </w:rPr>
            </w:pPr>
            <w:proofErr w:type="gramStart"/>
            <w:r w:rsidRPr="00393DBB">
              <w:rPr>
                <w:spacing w:val="-10"/>
                <w:sz w:val="24"/>
                <w:lang w:eastAsia="zh-TW"/>
              </w:rPr>
              <w:t>臺</w:t>
            </w:r>
            <w:proofErr w:type="gramEnd"/>
            <w:r w:rsidRPr="00393DBB">
              <w:rPr>
                <w:spacing w:val="-10"/>
                <w:sz w:val="24"/>
                <w:lang w:eastAsia="zh-TW"/>
              </w:rPr>
              <w:t>南市</w:t>
            </w:r>
          </w:p>
        </w:tc>
        <w:tc>
          <w:tcPr>
            <w:tcW w:w="2126" w:type="dxa"/>
            <w:vAlign w:val="center"/>
          </w:tcPr>
          <w:p w14:paraId="00C5ED1C" w14:textId="77777777" w:rsidR="00BB2786" w:rsidRPr="00393DBB" w:rsidRDefault="00BB2786" w:rsidP="00393DBB">
            <w:pPr>
              <w:pStyle w:val="TableParagraph"/>
              <w:spacing w:line="280" w:lineRule="exact"/>
              <w:ind w:left="0"/>
              <w:jc w:val="center"/>
              <w:rPr>
                <w:spacing w:val="-10"/>
                <w:sz w:val="24"/>
                <w:lang w:eastAsia="zh-TW"/>
              </w:rPr>
            </w:pPr>
            <w:r w:rsidRPr="00393DBB">
              <w:rPr>
                <w:spacing w:val="-10"/>
                <w:sz w:val="24"/>
                <w:lang w:eastAsia="zh-TW"/>
              </w:rPr>
              <w:t>2名</w:t>
            </w:r>
          </w:p>
        </w:tc>
        <w:tc>
          <w:tcPr>
            <w:tcW w:w="1985" w:type="dxa"/>
            <w:vAlign w:val="center"/>
          </w:tcPr>
          <w:p w14:paraId="4425FCB3" w14:textId="77777777" w:rsidR="00BB2786" w:rsidRPr="00393DBB" w:rsidRDefault="00BB2786" w:rsidP="00393DBB">
            <w:pPr>
              <w:pStyle w:val="TableParagraph"/>
              <w:spacing w:line="280" w:lineRule="exact"/>
              <w:ind w:left="0"/>
              <w:jc w:val="center"/>
              <w:rPr>
                <w:spacing w:val="-10"/>
                <w:sz w:val="24"/>
                <w:lang w:eastAsia="zh-TW"/>
              </w:rPr>
            </w:pPr>
            <w:r w:rsidRPr="00393DBB">
              <w:rPr>
                <w:spacing w:val="-10"/>
                <w:sz w:val="24"/>
                <w:lang w:eastAsia="zh-TW"/>
              </w:rPr>
              <w:t>無專款編列經費(約占事業廢棄物管理計畫</w:t>
            </w:r>
            <w:r w:rsidRPr="00393DBB">
              <w:rPr>
                <w:rFonts w:hint="eastAsia"/>
                <w:spacing w:val="-10"/>
                <w:sz w:val="24"/>
                <w:lang w:eastAsia="zh-TW"/>
              </w:rPr>
              <w:t>1/3</w:t>
            </w:r>
            <w:r w:rsidRPr="00393DBB">
              <w:rPr>
                <w:spacing w:val="-10"/>
                <w:sz w:val="24"/>
                <w:lang w:eastAsia="zh-TW"/>
              </w:rPr>
              <w:t>)</w:t>
            </w:r>
          </w:p>
        </w:tc>
        <w:tc>
          <w:tcPr>
            <w:tcW w:w="1701" w:type="dxa"/>
            <w:vAlign w:val="center"/>
          </w:tcPr>
          <w:p w14:paraId="005C46D8" w14:textId="77777777" w:rsidR="00BB2786" w:rsidRPr="00393DBB" w:rsidRDefault="00BB2786" w:rsidP="000648FA">
            <w:pPr>
              <w:pStyle w:val="TableParagraph"/>
              <w:spacing w:line="280" w:lineRule="exact"/>
              <w:ind w:left="0"/>
              <w:jc w:val="both"/>
              <w:rPr>
                <w:spacing w:val="-10"/>
                <w:sz w:val="24"/>
                <w:lang w:eastAsia="zh-TW"/>
              </w:rPr>
            </w:pPr>
            <w:r w:rsidRPr="00393DBB">
              <w:rPr>
                <w:spacing w:val="-10"/>
                <w:sz w:val="24"/>
                <w:lang w:eastAsia="zh-TW"/>
              </w:rPr>
              <w:t>112年裁處114件次</w:t>
            </w:r>
          </w:p>
        </w:tc>
        <w:tc>
          <w:tcPr>
            <w:tcW w:w="2410" w:type="dxa"/>
            <w:vAlign w:val="center"/>
          </w:tcPr>
          <w:p w14:paraId="6F166F3C" w14:textId="77777777" w:rsidR="00BB2786" w:rsidRPr="00393DBB" w:rsidRDefault="00BB2786" w:rsidP="000648FA">
            <w:pPr>
              <w:pStyle w:val="TableParagraph"/>
              <w:tabs>
                <w:tab w:val="left" w:pos="326"/>
              </w:tabs>
              <w:spacing w:line="280" w:lineRule="exact"/>
              <w:ind w:left="0"/>
              <w:jc w:val="both"/>
              <w:rPr>
                <w:spacing w:val="-10"/>
                <w:sz w:val="24"/>
                <w:lang w:eastAsia="zh-TW"/>
              </w:rPr>
            </w:pPr>
            <w:r w:rsidRPr="00393DBB">
              <w:rPr>
                <w:spacing w:val="-10"/>
                <w:sz w:val="24"/>
                <w:lang w:eastAsia="zh-TW"/>
              </w:rPr>
              <w:t>-</w:t>
            </w:r>
          </w:p>
        </w:tc>
      </w:tr>
      <w:tr w:rsidR="00393DBB" w:rsidRPr="00393DBB" w14:paraId="22001C84" w14:textId="77777777" w:rsidTr="000648FA">
        <w:trPr>
          <w:trHeight w:val="20"/>
        </w:trPr>
        <w:tc>
          <w:tcPr>
            <w:tcW w:w="1135" w:type="dxa"/>
            <w:vAlign w:val="center"/>
          </w:tcPr>
          <w:p w14:paraId="4B2C7CB9" w14:textId="77777777" w:rsidR="00BB2786" w:rsidRPr="00393DBB" w:rsidRDefault="00BB2786" w:rsidP="00393DBB">
            <w:pPr>
              <w:pStyle w:val="TableParagraph"/>
              <w:spacing w:line="280" w:lineRule="exact"/>
              <w:ind w:left="0"/>
              <w:jc w:val="center"/>
              <w:rPr>
                <w:spacing w:val="-10"/>
                <w:sz w:val="24"/>
                <w:lang w:eastAsia="zh-TW"/>
              </w:rPr>
            </w:pPr>
            <w:r w:rsidRPr="00393DBB">
              <w:rPr>
                <w:spacing w:val="-10"/>
                <w:sz w:val="24"/>
                <w:lang w:eastAsia="zh-TW"/>
              </w:rPr>
              <w:t>高雄市</w:t>
            </w:r>
          </w:p>
        </w:tc>
        <w:tc>
          <w:tcPr>
            <w:tcW w:w="2126" w:type="dxa"/>
            <w:vAlign w:val="center"/>
          </w:tcPr>
          <w:p w14:paraId="63675AE1" w14:textId="77777777" w:rsidR="00BB2786" w:rsidRPr="00393DBB" w:rsidRDefault="00BB2786" w:rsidP="00393DBB">
            <w:pPr>
              <w:pStyle w:val="TableParagraph"/>
              <w:spacing w:line="280" w:lineRule="exact"/>
              <w:ind w:left="0"/>
              <w:jc w:val="center"/>
              <w:rPr>
                <w:spacing w:val="-10"/>
                <w:sz w:val="24"/>
                <w:lang w:eastAsia="zh-TW"/>
              </w:rPr>
            </w:pPr>
            <w:r w:rsidRPr="00393DBB">
              <w:rPr>
                <w:spacing w:val="-10"/>
                <w:sz w:val="24"/>
                <w:lang w:eastAsia="zh-TW"/>
              </w:rPr>
              <w:t>12名</w:t>
            </w:r>
          </w:p>
        </w:tc>
        <w:tc>
          <w:tcPr>
            <w:tcW w:w="1985" w:type="dxa"/>
            <w:vAlign w:val="center"/>
          </w:tcPr>
          <w:p w14:paraId="0F164F0B" w14:textId="77777777" w:rsidR="00BB2786" w:rsidRPr="00393DBB" w:rsidRDefault="00BB2786" w:rsidP="00393DBB">
            <w:pPr>
              <w:pStyle w:val="TableParagraph"/>
              <w:spacing w:line="280" w:lineRule="exact"/>
              <w:ind w:left="0"/>
              <w:jc w:val="center"/>
              <w:rPr>
                <w:spacing w:val="-10"/>
                <w:sz w:val="24"/>
                <w:lang w:eastAsia="zh-TW"/>
              </w:rPr>
            </w:pPr>
            <w:r w:rsidRPr="00393DBB">
              <w:rPr>
                <w:spacing w:val="-10"/>
                <w:sz w:val="24"/>
                <w:lang w:eastAsia="zh-TW"/>
              </w:rPr>
              <w:t>約460萬元</w:t>
            </w:r>
          </w:p>
        </w:tc>
        <w:tc>
          <w:tcPr>
            <w:tcW w:w="1701" w:type="dxa"/>
            <w:vAlign w:val="center"/>
          </w:tcPr>
          <w:p w14:paraId="65E322A6" w14:textId="77777777" w:rsidR="00BB2786" w:rsidRPr="00393DBB" w:rsidRDefault="00BB2786" w:rsidP="000648FA">
            <w:pPr>
              <w:pStyle w:val="TableParagraph"/>
              <w:spacing w:line="280" w:lineRule="exact"/>
              <w:ind w:left="0"/>
              <w:jc w:val="both"/>
              <w:rPr>
                <w:spacing w:val="-10"/>
                <w:sz w:val="24"/>
                <w:lang w:eastAsia="zh-TW"/>
              </w:rPr>
            </w:pPr>
            <w:r w:rsidRPr="00393DBB">
              <w:rPr>
                <w:spacing w:val="-10"/>
                <w:sz w:val="24"/>
                <w:lang w:eastAsia="zh-TW"/>
              </w:rPr>
              <w:t>112年裁處45件次</w:t>
            </w:r>
          </w:p>
        </w:tc>
        <w:tc>
          <w:tcPr>
            <w:tcW w:w="2410" w:type="dxa"/>
            <w:vAlign w:val="center"/>
          </w:tcPr>
          <w:p w14:paraId="55B52959" w14:textId="77777777" w:rsidR="00BB2786" w:rsidRPr="00393DBB" w:rsidRDefault="00BB2786" w:rsidP="000648FA">
            <w:pPr>
              <w:pStyle w:val="TableParagraph"/>
              <w:spacing w:line="280" w:lineRule="exact"/>
              <w:ind w:left="0"/>
              <w:jc w:val="both"/>
              <w:rPr>
                <w:spacing w:val="-10"/>
                <w:sz w:val="24"/>
                <w:lang w:eastAsia="zh-TW"/>
              </w:rPr>
            </w:pPr>
            <w:r w:rsidRPr="00393DBB">
              <w:rPr>
                <w:spacing w:val="-10"/>
                <w:sz w:val="24"/>
                <w:lang w:eastAsia="zh-TW"/>
              </w:rPr>
              <w:t>-</w:t>
            </w:r>
          </w:p>
        </w:tc>
      </w:tr>
      <w:tr w:rsidR="00393DBB" w:rsidRPr="00393DBB" w14:paraId="1267D80E" w14:textId="77777777" w:rsidTr="000648FA">
        <w:trPr>
          <w:trHeight w:val="20"/>
        </w:trPr>
        <w:tc>
          <w:tcPr>
            <w:tcW w:w="1135" w:type="dxa"/>
            <w:vAlign w:val="center"/>
          </w:tcPr>
          <w:p w14:paraId="7952BDFB" w14:textId="77777777" w:rsidR="00BB2786" w:rsidRPr="00393DBB" w:rsidRDefault="00BB2786" w:rsidP="00393DBB">
            <w:pPr>
              <w:pStyle w:val="TableParagraph"/>
              <w:spacing w:line="280" w:lineRule="exact"/>
              <w:ind w:left="0"/>
              <w:jc w:val="center"/>
              <w:rPr>
                <w:spacing w:val="-10"/>
                <w:sz w:val="24"/>
                <w:lang w:eastAsia="zh-TW"/>
              </w:rPr>
            </w:pPr>
            <w:r w:rsidRPr="00393DBB">
              <w:rPr>
                <w:spacing w:val="-10"/>
                <w:sz w:val="24"/>
                <w:lang w:eastAsia="zh-TW"/>
              </w:rPr>
              <w:t>屏東縣</w:t>
            </w:r>
          </w:p>
        </w:tc>
        <w:tc>
          <w:tcPr>
            <w:tcW w:w="2126" w:type="dxa"/>
            <w:vAlign w:val="center"/>
          </w:tcPr>
          <w:p w14:paraId="5732B968" w14:textId="77777777" w:rsidR="00BB2786" w:rsidRPr="00393DBB" w:rsidRDefault="00BB2786" w:rsidP="00393DBB">
            <w:pPr>
              <w:pStyle w:val="TableParagraph"/>
              <w:spacing w:line="280" w:lineRule="exact"/>
              <w:ind w:left="0"/>
              <w:jc w:val="center"/>
              <w:rPr>
                <w:spacing w:val="-10"/>
                <w:sz w:val="24"/>
                <w:lang w:eastAsia="zh-TW"/>
              </w:rPr>
            </w:pPr>
            <w:r w:rsidRPr="00393DBB">
              <w:rPr>
                <w:spacing w:val="-10"/>
                <w:sz w:val="24"/>
                <w:lang w:eastAsia="zh-TW"/>
              </w:rPr>
              <w:t>1名</w:t>
            </w:r>
          </w:p>
        </w:tc>
        <w:tc>
          <w:tcPr>
            <w:tcW w:w="1985" w:type="dxa"/>
            <w:vAlign w:val="center"/>
          </w:tcPr>
          <w:p w14:paraId="4FFF9DBA" w14:textId="77777777" w:rsidR="00BB2786" w:rsidRPr="00393DBB" w:rsidRDefault="00BB2786" w:rsidP="00393DBB">
            <w:pPr>
              <w:pStyle w:val="TableParagraph"/>
              <w:spacing w:line="280" w:lineRule="exact"/>
              <w:ind w:left="0"/>
              <w:jc w:val="center"/>
              <w:rPr>
                <w:spacing w:val="-10"/>
                <w:sz w:val="24"/>
                <w:lang w:eastAsia="zh-TW"/>
              </w:rPr>
            </w:pPr>
            <w:r w:rsidRPr="00393DBB">
              <w:rPr>
                <w:spacing w:val="-10"/>
                <w:sz w:val="24"/>
                <w:lang w:eastAsia="zh-TW"/>
              </w:rPr>
              <w:t>約50萬元</w:t>
            </w:r>
          </w:p>
        </w:tc>
        <w:tc>
          <w:tcPr>
            <w:tcW w:w="1701" w:type="dxa"/>
            <w:vAlign w:val="center"/>
          </w:tcPr>
          <w:p w14:paraId="1C52C556" w14:textId="77777777" w:rsidR="00BB2786" w:rsidRPr="00393DBB" w:rsidRDefault="00BB2786" w:rsidP="000648FA">
            <w:pPr>
              <w:pStyle w:val="TableParagraph"/>
              <w:spacing w:line="280" w:lineRule="exact"/>
              <w:ind w:left="0"/>
              <w:jc w:val="both"/>
              <w:rPr>
                <w:spacing w:val="-10"/>
                <w:sz w:val="24"/>
                <w:lang w:eastAsia="zh-TW"/>
              </w:rPr>
            </w:pPr>
            <w:r w:rsidRPr="00393DBB">
              <w:rPr>
                <w:spacing w:val="-10"/>
                <w:sz w:val="24"/>
                <w:lang w:eastAsia="zh-TW"/>
              </w:rPr>
              <w:t>113年裁處8件次</w:t>
            </w:r>
          </w:p>
        </w:tc>
        <w:tc>
          <w:tcPr>
            <w:tcW w:w="2410" w:type="dxa"/>
            <w:vAlign w:val="center"/>
          </w:tcPr>
          <w:p w14:paraId="2E6922C6" w14:textId="77777777" w:rsidR="00BB2786" w:rsidRPr="00393DBB" w:rsidRDefault="00BB2786" w:rsidP="000648FA">
            <w:pPr>
              <w:pStyle w:val="TableParagraph"/>
              <w:spacing w:line="280" w:lineRule="exact"/>
              <w:ind w:left="0"/>
              <w:jc w:val="both"/>
              <w:rPr>
                <w:spacing w:val="-10"/>
                <w:sz w:val="24"/>
                <w:lang w:eastAsia="zh-TW"/>
              </w:rPr>
            </w:pPr>
            <w:r w:rsidRPr="00393DBB">
              <w:rPr>
                <w:spacing w:val="-10"/>
                <w:sz w:val="24"/>
                <w:lang w:eastAsia="zh-TW"/>
              </w:rPr>
              <w:t>-</w:t>
            </w:r>
          </w:p>
        </w:tc>
      </w:tr>
      <w:tr w:rsidR="00393DBB" w:rsidRPr="00393DBB" w14:paraId="26B4C07D" w14:textId="77777777" w:rsidTr="000648FA">
        <w:trPr>
          <w:trHeight w:val="20"/>
        </w:trPr>
        <w:tc>
          <w:tcPr>
            <w:tcW w:w="1135" w:type="dxa"/>
            <w:vAlign w:val="center"/>
          </w:tcPr>
          <w:p w14:paraId="34D8478F" w14:textId="77777777" w:rsidR="00BB2786" w:rsidRPr="00393DBB" w:rsidRDefault="00BB2786" w:rsidP="00393DBB">
            <w:pPr>
              <w:spacing w:line="280" w:lineRule="exact"/>
              <w:jc w:val="center"/>
              <w:rPr>
                <w:rFonts w:hAnsi="標楷體" w:cs="標楷體"/>
                <w:spacing w:val="-10"/>
                <w:sz w:val="24"/>
                <w:lang w:val="zh-TW" w:eastAsia="zh-TW" w:bidi="zh-TW"/>
              </w:rPr>
            </w:pPr>
            <w:r w:rsidRPr="00393DBB">
              <w:rPr>
                <w:rFonts w:hAnsi="標楷體" w:cs="標楷體"/>
                <w:spacing w:val="-10"/>
                <w:sz w:val="24"/>
                <w:lang w:val="zh-TW" w:eastAsia="zh-TW" w:bidi="zh-TW"/>
              </w:rPr>
              <w:t>宜蘭縣</w:t>
            </w:r>
          </w:p>
        </w:tc>
        <w:tc>
          <w:tcPr>
            <w:tcW w:w="2126" w:type="dxa"/>
            <w:vAlign w:val="center"/>
          </w:tcPr>
          <w:p w14:paraId="30B13D90" w14:textId="77777777" w:rsidR="00BB2786" w:rsidRPr="00393DBB" w:rsidRDefault="00BB2786" w:rsidP="00393DBB">
            <w:pPr>
              <w:spacing w:line="280" w:lineRule="exact"/>
              <w:jc w:val="center"/>
              <w:rPr>
                <w:rFonts w:hAnsi="標楷體" w:cs="標楷體"/>
                <w:spacing w:val="-10"/>
                <w:sz w:val="24"/>
                <w:lang w:val="zh-TW" w:eastAsia="zh-TW" w:bidi="zh-TW"/>
              </w:rPr>
            </w:pPr>
            <w:r w:rsidRPr="00393DBB">
              <w:rPr>
                <w:rFonts w:hAnsi="標楷體" w:cs="標楷體"/>
                <w:spacing w:val="-10"/>
                <w:sz w:val="24"/>
                <w:lang w:val="zh-TW" w:eastAsia="zh-TW" w:bidi="zh-TW"/>
              </w:rPr>
              <w:t>2名</w:t>
            </w:r>
          </w:p>
        </w:tc>
        <w:tc>
          <w:tcPr>
            <w:tcW w:w="1985" w:type="dxa"/>
            <w:vAlign w:val="center"/>
          </w:tcPr>
          <w:p w14:paraId="1A939A87" w14:textId="77777777" w:rsidR="00BB2786" w:rsidRPr="00393DBB" w:rsidRDefault="00BB2786" w:rsidP="00393DBB">
            <w:pPr>
              <w:pStyle w:val="TableParagraph"/>
              <w:spacing w:line="280" w:lineRule="exact"/>
              <w:ind w:left="0"/>
              <w:jc w:val="center"/>
              <w:rPr>
                <w:spacing w:val="-10"/>
                <w:sz w:val="24"/>
                <w:lang w:eastAsia="zh-TW"/>
              </w:rPr>
            </w:pPr>
            <w:r w:rsidRPr="00393DBB">
              <w:rPr>
                <w:spacing w:val="-10"/>
                <w:sz w:val="24"/>
                <w:lang w:eastAsia="zh-TW"/>
              </w:rPr>
              <w:t>無專款編列經費</w:t>
            </w:r>
          </w:p>
        </w:tc>
        <w:tc>
          <w:tcPr>
            <w:tcW w:w="1701" w:type="dxa"/>
            <w:vAlign w:val="center"/>
          </w:tcPr>
          <w:p w14:paraId="2B9BDF06" w14:textId="77777777" w:rsidR="00BB2786" w:rsidRPr="00393DBB" w:rsidRDefault="00BB2786" w:rsidP="000648FA">
            <w:pPr>
              <w:pStyle w:val="TableParagraph"/>
              <w:spacing w:line="280" w:lineRule="exact"/>
              <w:ind w:left="0"/>
              <w:jc w:val="both"/>
              <w:rPr>
                <w:spacing w:val="-10"/>
                <w:sz w:val="24"/>
                <w:lang w:eastAsia="zh-TW"/>
              </w:rPr>
            </w:pPr>
            <w:r w:rsidRPr="00393DBB">
              <w:rPr>
                <w:spacing w:val="-10"/>
                <w:sz w:val="24"/>
                <w:lang w:eastAsia="zh-TW"/>
              </w:rPr>
              <w:t>112-113年裁處5件次</w:t>
            </w:r>
          </w:p>
        </w:tc>
        <w:tc>
          <w:tcPr>
            <w:tcW w:w="2410" w:type="dxa"/>
            <w:vAlign w:val="center"/>
          </w:tcPr>
          <w:p w14:paraId="15C7A294" w14:textId="77777777" w:rsidR="00BB2786" w:rsidRPr="00393DBB" w:rsidRDefault="00BB2786" w:rsidP="000648FA">
            <w:pPr>
              <w:spacing w:line="280" w:lineRule="exact"/>
              <w:rPr>
                <w:rFonts w:hAnsi="標楷體" w:cs="標楷體"/>
                <w:spacing w:val="-10"/>
                <w:sz w:val="24"/>
                <w:lang w:val="zh-TW" w:eastAsia="zh-TW" w:bidi="zh-TW"/>
              </w:rPr>
            </w:pPr>
            <w:r w:rsidRPr="00393DBB">
              <w:rPr>
                <w:rFonts w:hAnsi="標楷體" w:cs="標楷體"/>
                <w:spacing w:val="-10"/>
                <w:sz w:val="24"/>
                <w:lang w:val="zh-TW" w:eastAsia="zh-TW" w:bidi="zh-TW"/>
              </w:rPr>
              <w:t>-</w:t>
            </w:r>
          </w:p>
        </w:tc>
      </w:tr>
      <w:tr w:rsidR="00393DBB" w:rsidRPr="00393DBB" w14:paraId="43029F42" w14:textId="77777777" w:rsidTr="000648FA">
        <w:trPr>
          <w:trHeight w:val="20"/>
        </w:trPr>
        <w:tc>
          <w:tcPr>
            <w:tcW w:w="1135" w:type="dxa"/>
            <w:vAlign w:val="center"/>
          </w:tcPr>
          <w:p w14:paraId="7F494224" w14:textId="77777777" w:rsidR="00BB2786" w:rsidRPr="00393DBB" w:rsidRDefault="00BB2786" w:rsidP="00393DBB">
            <w:pPr>
              <w:spacing w:line="280" w:lineRule="exact"/>
              <w:jc w:val="center"/>
              <w:rPr>
                <w:rFonts w:hAnsi="標楷體" w:cs="標楷體"/>
                <w:spacing w:val="-10"/>
                <w:sz w:val="24"/>
                <w:lang w:val="zh-TW" w:eastAsia="zh-TW" w:bidi="zh-TW"/>
              </w:rPr>
            </w:pPr>
            <w:r w:rsidRPr="00393DBB">
              <w:rPr>
                <w:rFonts w:hAnsi="標楷體" w:cs="標楷體"/>
                <w:spacing w:val="-10"/>
                <w:sz w:val="24"/>
                <w:lang w:val="zh-TW" w:eastAsia="zh-TW" w:bidi="zh-TW"/>
              </w:rPr>
              <w:t>花蓮縣</w:t>
            </w:r>
          </w:p>
        </w:tc>
        <w:tc>
          <w:tcPr>
            <w:tcW w:w="2126" w:type="dxa"/>
            <w:vAlign w:val="center"/>
          </w:tcPr>
          <w:p w14:paraId="6CF54214" w14:textId="77777777" w:rsidR="00BB2786" w:rsidRPr="00393DBB" w:rsidRDefault="00BB2786" w:rsidP="00393DBB">
            <w:pPr>
              <w:spacing w:line="280" w:lineRule="exact"/>
              <w:jc w:val="center"/>
              <w:rPr>
                <w:rFonts w:hAnsi="標楷體" w:cs="標楷體"/>
                <w:spacing w:val="-10"/>
                <w:sz w:val="24"/>
                <w:lang w:val="zh-TW" w:eastAsia="zh-TW" w:bidi="zh-TW"/>
              </w:rPr>
            </w:pPr>
            <w:r w:rsidRPr="00393DBB">
              <w:rPr>
                <w:rFonts w:hAnsi="標楷體" w:cs="標楷體"/>
                <w:spacing w:val="-10"/>
                <w:sz w:val="24"/>
                <w:lang w:val="zh-TW" w:eastAsia="zh-TW" w:bidi="zh-TW"/>
              </w:rPr>
              <w:t>3名</w:t>
            </w:r>
          </w:p>
        </w:tc>
        <w:tc>
          <w:tcPr>
            <w:tcW w:w="1985" w:type="dxa"/>
            <w:vAlign w:val="center"/>
          </w:tcPr>
          <w:p w14:paraId="17F4E205" w14:textId="152378B8" w:rsidR="00BB2786" w:rsidRPr="00393DBB" w:rsidRDefault="008458D9" w:rsidP="00393DBB">
            <w:pPr>
              <w:spacing w:line="280" w:lineRule="exact"/>
              <w:jc w:val="center"/>
              <w:rPr>
                <w:rFonts w:hAnsi="標楷體" w:cs="標楷體"/>
                <w:spacing w:val="-10"/>
                <w:sz w:val="24"/>
                <w:lang w:val="zh-TW" w:eastAsia="zh-TW" w:bidi="zh-TW"/>
              </w:rPr>
            </w:pPr>
            <w:r w:rsidRPr="00393DBB">
              <w:rPr>
                <w:spacing w:val="-6"/>
                <w:sz w:val="24"/>
                <w:lang w:eastAsia="zh-TW"/>
              </w:rPr>
              <w:t>無專款編列經費</w:t>
            </w:r>
          </w:p>
        </w:tc>
        <w:tc>
          <w:tcPr>
            <w:tcW w:w="1701" w:type="dxa"/>
            <w:vAlign w:val="center"/>
          </w:tcPr>
          <w:p w14:paraId="288F8AE5" w14:textId="77777777" w:rsidR="00BB2786" w:rsidRPr="00393DBB" w:rsidRDefault="00BB2786" w:rsidP="000648FA">
            <w:pPr>
              <w:spacing w:line="280" w:lineRule="exact"/>
              <w:rPr>
                <w:rFonts w:hAnsi="標楷體" w:cs="標楷體"/>
                <w:spacing w:val="-10"/>
                <w:sz w:val="24"/>
                <w:lang w:val="zh-TW" w:eastAsia="zh-TW" w:bidi="zh-TW"/>
              </w:rPr>
            </w:pPr>
            <w:r w:rsidRPr="00393DBB">
              <w:rPr>
                <w:rFonts w:hAnsi="標楷體" w:cs="標楷體"/>
                <w:spacing w:val="-10"/>
                <w:sz w:val="24"/>
                <w:lang w:val="zh-TW" w:eastAsia="zh-TW" w:bidi="zh-TW"/>
              </w:rPr>
              <w:t>定期派員巡察營建工地</w:t>
            </w:r>
          </w:p>
        </w:tc>
        <w:tc>
          <w:tcPr>
            <w:tcW w:w="2410" w:type="dxa"/>
            <w:vAlign w:val="center"/>
          </w:tcPr>
          <w:p w14:paraId="25D04C0F" w14:textId="77777777" w:rsidR="00BB2786" w:rsidRPr="00393DBB" w:rsidRDefault="00BB2786" w:rsidP="000648FA">
            <w:pPr>
              <w:spacing w:line="280" w:lineRule="exact"/>
              <w:rPr>
                <w:rFonts w:hAnsi="標楷體" w:cs="標楷體"/>
                <w:spacing w:val="-10"/>
                <w:sz w:val="24"/>
                <w:lang w:val="zh-TW" w:eastAsia="zh-TW" w:bidi="zh-TW"/>
              </w:rPr>
            </w:pPr>
            <w:r w:rsidRPr="00393DBB">
              <w:rPr>
                <w:rFonts w:hAnsi="標楷體" w:cs="標楷體"/>
                <w:spacing w:val="-10"/>
                <w:sz w:val="24"/>
                <w:lang w:val="zh-TW" w:eastAsia="zh-TW" w:bidi="zh-TW"/>
              </w:rPr>
              <w:t>人力不足、經費不足</w:t>
            </w:r>
          </w:p>
        </w:tc>
      </w:tr>
      <w:tr w:rsidR="00393DBB" w:rsidRPr="00393DBB" w14:paraId="388B4785" w14:textId="77777777" w:rsidTr="000648FA">
        <w:trPr>
          <w:trHeight w:val="20"/>
        </w:trPr>
        <w:tc>
          <w:tcPr>
            <w:tcW w:w="1135" w:type="dxa"/>
            <w:vAlign w:val="center"/>
          </w:tcPr>
          <w:p w14:paraId="56A48F93" w14:textId="77777777" w:rsidR="00BB2786" w:rsidRPr="00393DBB" w:rsidRDefault="00BB2786" w:rsidP="00393DBB">
            <w:pPr>
              <w:spacing w:line="280" w:lineRule="exact"/>
              <w:jc w:val="center"/>
              <w:rPr>
                <w:rFonts w:hAnsi="標楷體" w:cs="標楷體"/>
                <w:spacing w:val="-10"/>
                <w:sz w:val="24"/>
                <w:lang w:val="zh-TW" w:eastAsia="zh-TW" w:bidi="zh-TW"/>
              </w:rPr>
            </w:pPr>
            <w:proofErr w:type="gramStart"/>
            <w:r w:rsidRPr="00393DBB">
              <w:rPr>
                <w:rFonts w:hAnsi="標楷體" w:cs="標楷體"/>
                <w:spacing w:val="-10"/>
                <w:sz w:val="24"/>
                <w:lang w:val="zh-TW" w:eastAsia="zh-TW" w:bidi="zh-TW"/>
              </w:rPr>
              <w:t>臺</w:t>
            </w:r>
            <w:proofErr w:type="gramEnd"/>
            <w:r w:rsidRPr="00393DBB">
              <w:rPr>
                <w:rFonts w:hAnsi="標楷體" w:cs="標楷體"/>
                <w:spacing w:val="-10"/>
                <w:sz w:val="24"/>
                <w:lang w:val="zh-TW" w:eastAsia="zh-TW" w:bidi="zh-TW"/>
              </w:rPr>
              <w:t>東縣</w:t>
            </w:r>
          </w:p>
        </w:tc>
        <w:tc>
          <w:tcPr>
            <w:tcW w:w="2126" w:type="dxa"/>
            <w:vAlign w:val="center"/>
          </w:tcPr>
          <w:p w14:paraId="5D367A6E" w14:textId="77777777" w:rsidR="00BB2786" w:rsidRPr="00393DBB" w:rsidRDefault="00BB2786" w:rsidP="00393DBB">
            <w:pPr>
              <w:spacing w:line="280" w:lineRule="exact"/>
              <w:jc w:val="center"/>
              <w:rPr>
                <w:rFonts w:hAnsi="標楷體" w:cs="標楷體"/>
                <w:spacing w:val="-10"/>
                <w:sz w:val="24"/>
                <w:lang w:val="zh-TW" w:eastAsia="zh-TW" w:bidi="zh-TW"/>
              </w:rPr>
            </w:pPr>
            <w:r w:rsidRPr="00393DBB">
              <w:rPr>
                <w:rFonts w:hAnsi="標楷體" w:cs="標楷體"/>
                <w:spacing w:val="-10"/>
                <w:sz w:val="24"/>
                <w:lang w:val="zh-TW" w:eastAsia="zh-TW" w:bidi="zh-TW"/>
              </w:rPr>
              <w:t>2名</w:t>
            </w:r>
          </w:p>
        </w:tc>
        <w:tc>
          <w:tcPr>
            <w:tcW w:w="1985" w:type="dxa"/>
            <w:vAlign w:val="center"/>
          </w:tcPr>
          <w:p w14:paraId="0E03BFA2" w14:textId="77777777" w:rsidR="00BB2786" w:rsidRPr="00393DBB" w:rsidRDefault="00BB2786" w:rsidP="00393DBB">
            <w:pPr>
              <w:spacing w:line="280" w:lineRule="exact"/>
              <w:jc w:val="center"/>
              <w:rPr>
                <w:rFonts w:hAnsi="標楷體" w:cs="標楷體"/>
                <w:spacing w:val="-10"/>
                <w:sz w:val="24"/>
                <w:lang w:val="zh-TW" w:eastAsia="zh-TW" w:bidi="zh-TW"/>
              </w:rPr>
            </w:pPr>
            <w:r w:rsidRPr="00393DBB">
              <w:rPr>
                <w:rFonts w:hAnsi="標楷體" w:cs="標楷體"/>
                <w:spacing w:val="-10"/>
                <w:sz w:val="24"/>
                <w:lang w:val="zh-TW" w:eastAsia="zh-TW" w:bidi="zh-TW"/>
              </w:rPr>
              <w:t>無專款編列經費，約5萬元</w:t>
            </w:r>
          </w:p>
        </w:tc>
        <w:tc>
          <w:tcPr>
            <w:tcW w:w="1701" w:type="dxa"/>
            <w:vAlign w:val="center"/>
          </w:tcPr>
          <w:p w14:paraId="40DB6306" w14:textId="77777777" w:rsidR="00BB2786" w:rsidRPr="00393DBB" w:rsidRDefault="00BB2786" w:rsidP="000648FA">
            <w:pPr>
              <w:spacing w:line="280" w:lineRule="exact"/>
              <w:rPr>
                <w:rFonts w:hAnsi="標楷體" w:cs="標楷體"/>
                <w:spacing w:val="-10"/>
                <w:sz w:val="24"/>
                <w:lang w:val="zh-TW" w:eastAsia="zh-TW" w:bidi="zh-TW"/>
              </w:rPr>
            </w:pPr>
            <w:r w:rsidRPr="00393DBB">
              <w:rPr>
                <w:rFonts w:hAnsi="標楷體" w:cs="標楷體"/>
                <w:spacing w:val="-10"/>
                <w:sz w:val="24"/>
                <w:lang w:val="zh-TW" w:eastAsia="zh-TW" w:bidi="zh-TW"/>
              </w:rPr>
              <w:t>以系統資料勾</w:t>
            </w:r>
            <w:proofErr w:type="gramStart"/>
            <w:r w:rsidRPr="00393DBB">
              <w:rPr>
                <w:rFonts w:hAnsi="標楷體" w:cs="標楷體"/>
                <w:spacing w:val="-10"/>
                <w:sz w:val="24"/>
                <w:lang w:val="zh-TW" w:eastAsia="zh-TW" w:bidi="zh-TW"/>
              </w:rPr>
              <w:t>稽</w:t>
            </w:r>
            <w:proofErr w:type="gramEnd"/>
            <w:r w:rsidRPr="00393DBB">
              <w:rPr>
                <w:rFonts w:hAnsi="標楷體" w:cs="標楷體"/>
                <w:spacing w:val="-10"/>
                <w:sz w:val="24"/>
                <w:lang w:val="zh-TW" w:eastAsia="zh-TW" w:bidi="zh-TW"/>
              </w:rPr>
              <w:t>為主</w:t>
            </w:r>
          </w:p>
        </w:tc>
        <w:tc>
          <w:tcPr>
            <w:tcW w:w="2410" w:type="dxa"/>
            <w:vAlign w:val="center"/>
          </w:tcPr>
          <w:p w14:paraId="3B72A75C" w14:textId="77777777" w:rsidR="00BB2786" w:rsidRPr="00393DBB" w:rsidRDefault="00BB2786" w:rsidP="000648FA">
            <w:pPr>
              <w:spacing w:line="280" w:lineRule="exact"/>
              <w:rPr>
                <w:rFonts w:hAnsi="標楷體" w:cs="標楷體"/>
                <w:spacing w:val="-10"/>
                <w:sz w:val="24"/>
                <w:lang w:val="zh-TW" w:eastAsia="zh-TW" w:bidi="zh-TW"/>
              </w:rPr>
            </w:pPr>
            <w:r w:rsidRPr="00393DBB">
              <w:rPr>
                <w:rFonts w:hAnsi="標楷體" w:cs="標楷體"/>
                <w:spacing w:val="-10"/>
                <w:sz w:val="24"/>
                <w:lang w:val="zh-TW" w:eastAsia="zh-TW" w:bidi="zh-TW"/>
              </w:rPr>
              <w:t>-</w:t>
            </w:r>
          </w:p>
        </w:tc>
      </w:tr>
      <w:tr w:rsidR="00393DBB" w:rsidRPr="00393DBB" w14:paraId="3DD5E902" w14:textId="77777777" w:rsidTr="000648FA">
        <w:trPr>
          <w:trHeight w:val="20"/>
        </w:trPr>
        <w:tc>
          <w:tcPr>
            <w:tcW w:w="1135" w:type="dxa"/>
            <w:vAlign w:val="center"/>
          </w:tcPr>
          <w:p w14:paraId="52437DA6" w14:textId="77777777" w:rsidR="00BB2786" w:rsidRPr="00393DBB" w:rsidRDefault="00BB2786" w:rsidP="00393DBB">
            <w:pPr>
              <w:spacing w:line="280" w:lineRule="exact"/>
              <w:jc w:val="center"/>
              <w:rPr>
                <w:rFonts w:hAnsi="標楷體" w:cs="標楷體"/>
                <w:spacing w:val="-10"/>
                <w:sz w:val="24"/>
                <w:lang w:val="zh-TW" w:eastAsia="zh-TW" w:bidi="zh-TW"/>
              </w:rPr>
            </w:pPr>
            <w:r w:rsidRPr="00393DBB">
              <w:rPr>
                <w:rFonts w:hAnsi="標楷體" w:cs="標楷體"/>
                <w:spacing w:val="-10"/>
                <w:sz w:val="24"/>
                <w:lang w:val="zh-TW" w:eastAsia="zh-TW" w:bidi="zh-TW"/>
              </w:rPr>
              <w:t>澎湖縣</w:t>
            </w:r>
          </w:p>
        </w:tc>
        <w:tc>
          <w:tcPr>
            <w:tcW w:w="2126" w:type="dxa"/>
            <w:vAlign w:val="center"/>
          </w:tcPr>
          <w:p w14:paraId="426EE8A9" w14:textId="77777777" w:rsidR="00BB2786" w:rsidRPr="00393DBB" w:rsidRDefault="00BB2786" w:rsidP="00393DBB">
            <w:pPr>
              <w:spacing w:line="280" w:lineRule="exact"/>
              <w:jc w:val="center"/>
              <w:rPr>
                <w:rFonts w:hAnsi="標楷體" w:cs="標楷體"/>
                <w:spacing w:val="-10"/>
                <w:sz w:val="24"/>
                <w:lang w:val="zh-TW" w:eastAsia="zh-TW" w:bidi="zh-TW"/>
              </w:rPr>
            </w:pPr>
            <w:r w:rsidRPr="00393DBB">
              <w:rPr>
                <w:rFonts w:hAnsi="標楷體" w:cs="標楷體"/>
                <w:spacing w:val="-10"/>
                <w:sz w:val="24"/>
                <w:lang w:val="zh-TW" w:eastAsia="zh-TW" w:bidi="zh-TW"/>
              </w:rPr>
              <w:t>1名</w:t>
            </w:r>
          </w:p>
        </w:tc>
        <w:tc>
          <w:tcPr>
            <w:tcW w:w="1985" w:type="dxa"/>
            <w:vAlign w:val="center"/>
          </w:tcPr>
          <w:p w14:paraId="33E07131" w14:textId="430007ED" w:rsidR="00BB2786" w:rsidRPr="00393DBB" w:rsidRDefault="008458D9" w:rsidP="00393DBB">
            <w:pPr>
              <w:spacing w:line="280" w:lineRule="exact"/>
              <w:jc w:val="center"/>
              <w:rPr>
                <w:rFonts w:hAnsi="標楷體" w:cs="標楷體"/>
                <w:spacing w:val="-10"/>
                <w:sz w:val="24"/>
                <w:lang w:val="zh-TW" w:eastAsia="zh-TW" w:bidi="zh-TW"/>
              </w:rPr>
            </w:pPr>
            <w:r w:rsidRPr="00393DBB">
              <w:rPr>
                <w:spacing w:val="-6"/>
                <w:sz w:val="24"/>
                <w:lang w:eastAsia="zh-TW"/>
              </w:rPr>
              <w:t>無專款編列經費</w:t>
            </w:r>
          </w:p>
        </w:tc>
        <w:tc>
          <w:tcPr>
            <w:tcW w:w="1701" w:type="dxa"/>
            <w:vAlign w:val="center"/>
          </w:tcPr>
          <w:p w14:paraId="2BFA0730" w14:textId="29FBFA53" w:rsidR="00BB2786" w:rsidRPr="00393DBB" w:rsidRDefault="00BB2786" w:rsidP="000648FA">
            <w:pPr>
              <w:spacing w:line="280" w:lineRule="exact"/>
              <w:rPr>
                <w:rFonts w:hAnsi="標楷體" w:cs="標楷體"/>
                <w:spacing w:val="-10"/>
                <w:sz w:val="24"/>
                <w:lang w:val="zh-TW" w:eastAsia="zh-TW" w:bidi="zh-TW"/>
              </w:rPr>
            </w:pPr>
            <w:r w:rsidRPr="00393DBB">
              <w:rPr>
                <w:spacing w:val="-10"/>
                <w:sz w:val="24"/>
                <w:lang w:eastAsia="zh-TW"/>
              </w:rPr>
              <w:t>112年裁處</w:t>
            </w:r>
            <w:r w:rsidRPr="00393DBB">
              <w:rPr>
                <w:rFonts w:hAnsi="標楷體" w:cs="標楷體"/>
                <w:spacing w:val="-10"/>
                <w:sz w:val="24"/>
                <w:lang w:val="zh-TW" w:eastAsia="zh-TW" w:bidi="zh-TW"/>
              </w:rPr>
              <w:t>8件次</w:t>
            </w:r>
          </w:p>
        </w:tc>
        <w:tc>
          <w:tcPr>
            <w:tcW w:w="2410" w:type="dxa"/>
            <w:vAlign w:val="center"/>
          </w:tcPr>
          <w:p w14:paraId="31F27742" w14:textId="77777777" w:rsidR="00BB2786" w:rsidRPr="00393DBB" w:rsidRDefault="00BB2786" w:rsidP="000648FA">
            <w:pPr>
              <w:spacing w:line="280" w:lineRule="exact"/>
              <w:rPr>
                <w:rFonts w:hAnsi="標楷體" w:cs="標楷體"/>
                <w:spacing w:val="-10"/>
                <w:sz w:val="24"/>
                <w:lang w:val="zh-TW" w:eastAsia="zh-TW" w:bidi="zh-TW"/>
              </w:rPr>
            </w:pPr>
            <w:r w:rsidRPr="00393DBB">
              <w:rPr>
                <w:rFonts w:hAnsi="標楷體" w:cs="標楷體"/>
                <w:spacing w:val="-10"/>
                <w:sz w:val="24"/>
                <w:lang w:val="zh-TW" w:eastAsia="zh-TW" w:bidi="zh-TW"/>
              </w:rPr>
              <w:t>人力不足</w:t>
            </w:r>
          </w:p>
        </w:tc>
      </w:tr>
      <w:tr w:rsidR="00393DBB" w:rsidRPr="00393DBB" w14:paraId="33E9425D" w14:textId="77777777" w:rsidTr="000648FA">
        <w:trPr>
          <w:trHeight w:val="20"/>
        </w:trPr>
        <w:tc>
          <w:tcPr>
            <w:tcW w:w="1135" w:type="dxa"/>
            <w:vAlign w:val="center"/>
          </w:tcPr>
          <w:p w14:paraId="5258B6E2" w14:textId="77777777" w:rsidR="00BB2786" w:rsidRPr="00393DBB" w:rsidRDefault="00BB2786" w:rsidP="00393DBB">
            <w:pPr>
              <w:spacing w:line="280" w:lineRule="exact"/>
              <w:jc w:val="center"/>
              <w:rPr>
                <w:rFonts w:hAnsi="標楷體" w:cs="標楷體"/>
                <w:spacing w:val="-10"/>
                <w:sz w:val="24"/>
                <w:lang w:val="zh-TW" w:eastAsia="zh-TW" w:bidi="zh-TW"/>
              </w:rPr>
            </w:pPr>
            <w:r w:rsidRPr="00393DBB">
              <w:rPr>
                <w:rFonts w:hAnsi="標楷體" w:cs="標楷體"/>
                <w:spacing w:val="-10"/>
                <w:sz w:val="24"/>
                <w:lang w:val="zh-TW" w:eastAsia="zh-TW" w:bidi="zh-TW"/>
              </w:rPr>
              <w:t>金門縣</w:t>
            </w:r>
          </w:p>
        </w:tc>
        <w:tc>
          <w:tcPr>
            <w:tcW w:w="2126" w:type="dxa"/>
            <w:vAlign w:val="center"/>
          </w:tcPr>
          <w:p w14:paraId="5E1B44E6" w14:textId="77777777" w:rsidR="00BB2786" w:rsidRPr="00393DBB" w:rsidRDefault="00BB2786" w:rsidP="00393DBB">
            <w:pPr>
              <w:spacing w:line="280" w:lineRule="exact"/>
              <w:jc w:val="center"/>
              <w:rPr>
                <w:rFonts w:hAnsi="標楷體" w:cs="標楷體"/>
                <w:spacing w:val="-10"/>
                <w:sz w:val="24"/>
                <w:lang w:val="zh-TW" w:eastAsia="zh-TW" w:bidi="zh-TW"/>
              </w:rPr>
            </w:pPr>
            <w:r w:rsidRPr="00393DBB">
              <w:rPr>
                <w:rFonts w:hAnsi="標楷體" w:cs="標楷體"/>
                <w:spacing w:val="-10"/>
                <w:sz w:val="24"/>
                <w:lang w:val="zh-TW" w:eastAsia="zh-TW" w:bidi="zh-TW"/>
              </w:rPr>
              <w:t>5名</w:t>
            </w:r>
          </w:p>
        </w:tc>
        <w:tc>
          <w:tcPr>
            <w:tcW w:w="1985" w:type="dxa"/>
            <w:vAlign w:val="center"/>
          </w:tcPr>
          <w:p w14:paraId="572F0578" w14:textId="77777777" w:rsidR="00BB2786" w:rsidRPr="00393DBB" w:rsidRDefault="00BB2786" w:rsidP="00393DBB">
            <w:pPr>
              <w:spacing w:line="280" w:lineRule="exact"/>
              <w:jc w:val="center"/>
              <w:rPr>
                <w:rFonts w:hAnsi="標楷體" w:cs="標楷體"/>
                <w:spacing w:val="-10"/>
                <w:sz w:val="24"/>
                <w:lang w:val="zh-TW" w:eastAsia="zh-TW" w:bidi="zh-TW"/>
              </w:rPr>
            </w:pPr>
            <w:r w:rsidRPr="00393DBB">
              <w:rPr>
                <w:rFonts w:hAnsi="標楷體" w:cs="標楷體"/>
                <w:spacing w:val="-10"/>
                <w:sz w:val="24"/>
                <w:lang w:val="zh-TW" w:eastAsia="zh-TW" w:bidi="zh-TW"/>
              </w:rPr>
              <w:t>228.5萬元</w:t>
            </w:r>
          </w:p>
        </w:tc>
        <w:tc>
          <w:tcPr>
            <w:tcW w:w="1701" w:type="dxa"/>
            <w:vAlign w:val="center"/>
          </w:tcPr>
          <w:p w14:paraId="6E5CC410" w14:textId="43EB03C2" w:rsidR="00BB2786" w:rsidRPr="00393DBB" w:rsidRDefault="00BB2786" w:rsidP="000648FA">
            <w:pPr>
              <w:spacing w:line="280" w:lineRule="exact"/>
              <w:rPr>
                <w:rFonts w:hAnsi="標楷體" w:cs="標楷體"/>
                <w:spacing w:val="-10"/>
                <w:sz w:val="24"/>
                <w:lang w:val="zh-TW" w:eastAsia="zh-TW" w:bidi="zh-TW"/>
              </w:rPr>
            </w:pPr>
            <w:r w:rsidRPr="00393DBB">
              <w:rPr>
                <w:rFonts w:hAnsi="標楷體" w:cs="標楷體"/>
                <w:spacing w:val="-10"/>
                <w:sz w:val="24"/>
                <w:lang w:val="zh-TW" w:eastAsia="zh-TW" w:bidi="zh-TW"/>
              </w:rPr>
              <w:t>113年移送1件次、裁</w:t>
            </w:r>
          </w:p>
          <w:p w14:paraId="77DA8EC6" w14:textId="77777777" w:rsidR="00BB2786" w:rsidRPr="00393DBB" w:rsidRDefault="00BB2786" w:rsidP="000648FA">
            <w:pPr>
              <w:spacing w:line="280" w:lineRule="exact"/>
              <w:rPr>
                <w:rFonts w:hAnsi="標楷體" w:cs="標楷體"/>
                <w:spacing w:val="-10"/>
                <w:sz w:val="24"/>
                <w:lang w:val="zh-TW" w:eastAsia="zh-TW" w:bidi="zh-TW"/>
              </w:rPr>
            </w:pPr>
            <w:r w:rsidRPr="00393DBB">
              <w:rPr>
                <w:rFonts w:hAnsi="標楷體" w:cs="標楷體"/>
                <w:spacing w:val="-10"/>
                <w:sz w:val="24"/>
                <w:lang w:val="zh-TW" w:eastAsia="zh-TW" w:bidi="zh-TW"/>
              </w:rPr>
              <w:t>罰5件次</w:t>
            </w:r>
          </w:p>
        </w:tc>
        <w:tc>
          <w:tcPr>
            <w:tcW w:w="2410" w:type="dxa"/>
            <w:vAlign w:val="center"/>
          </w:tcPr>
          <w:p w14:paraId="16A4309A" w14:textId="77777777" w:rsidR="00BB2786" w:rsidRPr="00393DBB" w:rsidRDefault="00BB2786" w:rsidP="000648FA">
            <w:pPr>
              <w:spacing w:line="280" w:lineRule="exact"/>
              <w:rPr>
                <w:rFonts w:hAnsi="標楷體" w:cs="標楷體"/>
                <w:spacing w:val="-10"/>
                <w:sz w:val="24"/>
                <w:lang w:val="zh-TW" w:eastAsia="zh-TW" w:bidi="zh-TW"/>
              </w:rPr>
            </w:pPr>
            <w:r w:rsidRPr="00393DBB">
              <w:rPr>
                <w:rFonts w:hAnsi="標楷體" w:cs="標楷體"/>
                <w:spacing w:val="-10"/>
                <w:sz w:val="24"/>
                <w:lang w:val="zh-TW" w:eastAsia="zh-TW" w:bidi="zh-TW"/>
              </w:rPr>
              <w:t>人力及經費不足</w:t>
            </w:r>
          </w:p>
        </w:tc>
      </w:tr>
      <w:tr w:rsidR="00393DBB" w:rsidRPr="00393DBB" w14:paraId="651CAC09" w14:textId="77777777" w:rsidTr="000648FA">
        <w:trPr>
          <w:trHeight w:val="20"/>
        </w:trPr>
        <w:tc>
          <w:tcPr>
            <w:tcW w:w="1135" w:type="dxa"/>
            <w:vAlign w:val="center"/>
          </w:tcPr>
          <w:p w14:paraId="16A3A907" w14:textId="77777777" w:rsidR="00BB2786" w:rsidRPr="00393DBB" w:rsidRDefault="00BB2786" w:rsidP="00393DBB">
            <w:pPr>
              <w:spacing w:line="280" w:lineRule="exact"/>
              <w:jc w:val="center"/>
              <w:rPr>
                <w:rFonts w:hAnsi="標楷體" w:cs="標楷體"/>
                <w:spacing w:val="-10"/>
                <w:sz w:val="24"/>
                <w:lang w:val="zh-TW" w:eastAsia="zh-TW" w:bidi="zh-TW"/>
              </w:rPr>
            </w:pPr>
            <w:r w:rsidRPr="00393DBB">
              <w:rPr>
                <w:rFonts w:hAnsi="標楷體" w:cs="標楷體"/>
                <w:spacing w:val="-10"/>
                <w:sz w:val="24"/>
                <w:lang w:val="zh-TW" w:eastAsia="zh-TW" w:bidi="zh-TW"/>
              </w:rPr>
              <w:t>連江縣</w:t>
            </w:r>
          </w:p>
        </w:tc>
        <w:tc>
          <w:tcPr>
            <w:tcW w:w="2126" w:type="dxa"/>
            <w:vAlign w:val="center"/>
          </w:tcPr>
          <w:p w14:paraId="2C916E51" w14:textId="77777777" w:rsidR="00BB2786" w:rsidRPr="00393DBB" w:rsidRDefault="00BB2786" w:rsidP="00393DBB">
            <w:pPr>
              <w:spacing w:line="280" w:lineRule="exact"/>
              <w:jc w:val="center"/>
              <w:rPr>
                <w:rFonts w:hAnsi="標楷體" w:cs="標楷體"/>
                <w:spacing w:val="-10"/>
                <w:sz w:val="24"/>
                <w:lang w:val="zh-TW" w:eastAsia="zh-TW" w:bidi="zh-TW"/>
              </w:rPr>
            </w:pPr>
            <w:r w:rsidRPr="00393DBB">
              <w:rPr>
                <w:rFonts w:hAnsi="標楷體" w:cs="標楷體"/>
                <w:spacing w:val="-10"/>
                <w:sz w:val="24"/>
                <w:lang w:val="zh-TW" w:eastAsia="zh-TW" w:bidi="zh-TW"/>
              </w:rPr>
              <w:t>1名</w:t>
            </w:r>
          </w:p>
        </w:tc>
        <w:tc>
          <w:tcPr>
            <w:tcW w:w="1985" w:type="dxa"/>
            <w:vAlign w:val="center"/>
          </w:tcPr>
          <w:p w14:paraId="6241D5BE" w14:textId="77777777" w:rsidR="00BB2786" w:rsidRPr="00393DBB" w:rsidRDefault="00BB2786" w:rsidP="00393DBB">
            <w:pPr>
              <w:spacing w:line="280" w:lineRule="exact"/>
              <w:jc w:val="center"/>
              <w:rPr>
                <w:rFonts w:hAnsi="標楷體" w:cs="標楷體"/>
                <w:spacing w:val="-10"/>
                <w:sz w:val="24"/>
                <w:lang w:val="zh-TW" w:eastAsia="zh-TW" w:bidi="zh-TW"/>
              </w:rPr>
            </w:pPr>
            <w:r w:rsidRPr="00393DBB">
              <w:rPr>
                <w:rFonts w:hAnsi="標楷體" w:cs="標楷體"/>
                <w:spacing w:val="-10"/>
                <w:sz w:val="24"/>
                <w:lang w:val="zh-TW" w:eastAsia="zh-TW" w:bidi="zh-TW"/>
              </w:rPr>
              <w:t>無專款編列經費</w:t>
            </w:r>
          </w:p>
        </w:tc>
        <w:tc>
          <w:tcPr>
            <w:tcW w:w="1701" w:type="dxa"/>
            <w:vAlign w:val="center"/>
          </w:tcPr>
          <w:p w14:paraId="12B1BC55" w14:textId="77777777" w:rsidR="00BB2786" w:rsidRPr="00393DBB" w:rsidRDefault="00BB2786" w:rsidP="000648FA">
            <w:pPr>
              <w:spacing w:line="280" w:lineRule="exact"/>
              <w:rPr>
                <w:rFonts w:hAnsi="標楷體" w:cs="標楷體"/>
                <w:spacing w:val="-10"/>
                <w:sz w:val="24"/>
                <w:lang w:val="zh-TW" w:eastAsia="zh-TW" w:bidi="zh-TW"/>
              </w:rPr>
            </w:pPr>
            <w:r w:rsidRPr="00393DBB">
              <w:rPr>
                <w:rFonts w:hAnsi="標楷體" w:cs="標楷體"/>
                <w:spacing w:val="-10"/>
                <w:sz w:val="24"/>
                <w:lang w:val="zh-TW" w:eastAsia="zh-TW" w:bidi="zh-TW"/>
              </w:rPr>
              <w:t>無</w:t>
            </w:r>
          </w:p>
        </w:tc>
        <w:tc>
          <w:tcPr>
            <w:tcW w:w="2410" w:type="dxa"/>
            <w:vAlign w:val="center"/>
          </w:tcPr>
          <w:p w14:paraId="4792C858" w14:textId="77777777" w:rsidR="00BB2786" w:rsidRPr="00393DBB" w:rsidRDefault="00BB2786" w:rsidP="009F4137">
            <w:pPr>
              <w:spacing w:line="280" w:lineRule="exact"/>
              <w:jc w:val="left"/>
              <w:rPr>
                <w:rFonts w:hAnsi="標楷體" w:cs="標楷體"/>
                <w:spacing w:val="-10"/>
                <w:sz w:val="24"/>
                <w:lang w:val="zh-TW" w:eastAsia="zh-TW" w:bidi="zh-TW"/>
              </w:rPr>
            </w:pPr>
            <w:r w:rsidRPr="00393DBB">
              <w:rPr>
                <w:rFonts w:hAnsi="標楷體" w:cs="標楷體"/>
                <w:spacing w:val="-10"/>
                <w:sz w:val="24"/>
                <w:lang w:val="zh-TW" w:eastAsia="zh-TW" w:bidi="zh-TW"/>
              </w:rPr>
              <w:t>無經費及人力管理</w:t>
            </w:r>
          </w:p>
        </w:tc>
      </w:tr>
    </w:tbl>
    <w:p w14:paraId="7B1CEA73" w14:textId="75D0095E" w:rsidR="000648FA" w:rsidRPr="00393DBB" w:rsidRDefault="000648FA" w:rsidP="000648FA">
      <w:pPr>
        <w:pStyle w:val="30"/>
      </w:pPr>
      <w:proofErr w:type="gramStart"/>
      <w:r w:rsidRPr="00393DBB">
        <w:rPr>
          <w:rFonts w:hint="eastAsia"/>
        </w:rPr>
        <w:t>參據審計</w:t>
      </w:r>
      <w:proofErr w:type="gramEnd"/>
      <w:r w:rsidRPr="00393DBB">
        <w:rPr>
          <w:rFonts w:hint="eastAsia"/>
        </w:rPr>
        <w:t>部稽察意見，有關</w:t>
      </w:r>
      <w:r w:rsidRPr="00393DBB">
        <w:t>違規棄置營建剩餘土石方及營建事業廢棄物，嚴重影響國土利用及環境品質</w:t>
      </w:r>
      <w:r w:rsidRPr="00393DBB">
        <w:rPr>
          <w:rFonts w:hint="eastAsia"/>
        </w:rPr>
        <w:t>，</w:t>
      </w:r>
      <w:r w:rsidRPr="00393DBB">
        <w:t>主管機關</w:t>
      </w:r>
      <w:r w:rsidRPr="00393DBB">
        <w:rPr>
          <w:rFonts w:hint="eastAsia"/>
        </w:rPr>
        <w:t>卻未</w:t>
      </w:r>
      <w:r w:rsidRPr="00393DBB">
        <w:t>積極</w:t>
      </w:r>
      <w:proofErr w:type="gramStart"/>
      <w:r w:rsidRPr="00393DBB">
        <w:t>研</w:t>
      </w:r>
      <w:proofErr w:type="gramEnd"/>
      <w:r w:rsidRPr="00393DBB">
        <w:t>議改善措施，完備處理程序，</w:t>
      </w:r>
      <w:r w:rsidRPr="00393DBB">
        <w:rPr>
          <w:rFonts w:hint="eastAsia"/>
        </w:rPr>
        <w:t>亦未</w:t>
      </w:r>
      <w:r w:rsidRPr="00393DBB">
        <w:t>結合全民監督，以有效遏止違規棄置</w:t>
      </w:r>
      <w:r w:rsidRPr="00393DBB">
        <w:rPr>
          <w:rFonts w:hint="eastAsia"/>
        </w:rPr>
        <w:t>。</w:t>
      </w:r>
    </w:p>
    <w:p w14:paraId="2530BEFA" w14:textId="308F370D" w:rsidR="000648FA" w:rsidRPr="00393DBB" w:rsidRDefault="000648FA" w:rsidP="000648FA">
      <w:pPr>
        <w:pStyle w:val="4"/>
      </w:pPr>
      <w:r w:rsidRPr="00393DBB">
        <w:rPr>
          <w:rFonts w:hint="eastAsia"/>
        </w:rPr>
        <w:t>事後查處，成效</w:t>
      </w:r>
      <w:proofErr w:type="gramStart"/>
      <w:r w:rsidRPr="00393DBB">
        <w:rPr>
          <w:rFonts w:hint="eastAsia"/>
        </w:rPr>
        <w:t>不</w:t>
      </w:r>
      <w:proofErr w:type="gramEnd"/>
      <w:r w:rsidRPr="00393DBB">
        <w:rPr>
          <w:rFonts w:hint="eastAsia"/>
        </w:rPr>
        <w:t>彰：變異點通報屬事後查處，未能有效遏止違規棄置，應</w:t>
      </w:r>
      <w:proofErr w:type="gramStart"/>
      <w:r w:rsidRPr="00393DBB">
        <w:rPr>
          <w:rFonts w:hint="eastAsia"/>
        </w:rPr>
        <w:t>研</w:t>
      </w:r>
      <w:proofErr w:type="gramEnd"/>
      <w:r w:rsidRPr="00393DBB">
        <w:rPr>
          <w:rFonts w:hint="eastAsia"/>
        </w:rPr>
        <w:t>議多元防範措施。</w:t>
      </w:r>
    </w:p>
    <w:p w14:paraId="61CD919F" w14:textId="5EB0D6C6" w:rsidR="000648FA" w:rsidRPr="00393DBB" w:rsidRDefault="000648FA" w:rsidP="000648FA">
      <w:pPr>
        <w:pStyle w:val="4"/>
      </w:pPr>
      <w:r w:rsidRPr="00393DBB">
        <w:rPr>
          <w:rFonts w:hint="eastAsia"/>
        </w:rPr>
        <w:t>地方政府人力及經費不足：部分縣市</w:t>
      </w:r>
      <w:proofErr w:type="gramStart"/>
      <w:r w:rsidRPr="00393DBB">
        <w:rPr>
          <w:rFonts w:hint="eastAsia"/>
        </w:rPr>
        <w:t>辦結率偏</w:t>
      </w:r>
      <w:proofErr w:type="gramEnd"/>
      <w:r w:rsidRPr="00393DBB">
        <w:rPr>
          <w:rFonts w:hint="eastAsia"/>
        </w:rPr>
        <w:t>低，且人力及經費不足，影響查處效率，實應正視此問題，研議增加人力配置或提供相關資源協助。</w:t>
      </w:r>
    </w:p>
    <w:p w14:paraId="2A642BE8" w14:textId="7304E214" w:rsidR="000648FA" w:rsidRPr="00393DBB" w:rsidRDefault="000648FA" w:rsidP="000648FA">
      <w:pPr>
        <w:pStyle w:val="4"/>
      </w:pPr>
      <w:r w:rsidRPr="00393DBB">
        <w:rPr>
          <w:rFonts w:hint="eastAsia"/>
        </w:rPr>
        <w:lastRenderedPageBreak/>
        <w:t>跨單位合作不足：</w:t>
      </w:r>
      <w:r w:rsidR="00D112C6" w:rsidRPr="00393DBB">
        <w:rPr>
          <w:rFonts w:hint="eastAsia"/>
        </w:rPr>
        <w:t>內政部</w:t>
      </w:r>
      <w:r w:rsidRPr="00393DBB">
        <w:rPr>
          <w:rFonts w:hint="eastAsia"/>
        </w:rPr>
        <w:t>國土管理署尚未發函通知相關機關，有關非法棄置土方之裁罰及後續處理原則，應儘速完備非法棄置案件處理程序，並發函通知地方政府、檢察及環保機關據以執行。</w:t>
      </w:r>
    </w:p>
    <w:p w14:paraId="056143F5" w14:textId="4A65F0DD" w:rsidR="000648FA" w:rsidRPr="00393DBB" w:rsidRDefault="000648FA" w:rsidP="000648FA">
      <w:pPr>
        <w:pStyle w:val="4"/>
      </w:pPr>
      <w:r w:rsidRPr="00393DBB">
        <w:rPr>
          <w:rFonts w:hint="eastAsia"/>
        </w:rPr>
        <w:t>全民監督機制不足：施工告示牌資訊揭露不足，不利全民監督，應將營建剩餘土石方及營建廢棄物處理資訊納入施工告示牌，並公開相關計畫書於網站，結合全民監督，有效嚇阻不法。</w:t>
      </w:r>
    </w:p>
    <w:p w14:paraId="3AE12C86" w14:textId="0DD951BB" w:rsidR="000011A9" w:rsidRPr="00393DBB" w:rsidRDefault="00D33BBB" w:rsidP="00393DBB">
      <w:pPr>
        <w:pStyle w:val="30"/>
      </w:pPr>
      <w:r w:rsidRPr="00393DBB">
        <w:rPr>
          <w:rFonts w:hint="eastAsia"/>
        </w:rPr>
        <w:t>綜上，</w:t>
      </w:r>
      <w:r w:rsidR="001F6F84" w:rsidRPr="00393DBB">
        <w:rPr>
          <w:rFonts w:hint="eastAsia"/>
        </w:rPr>
        <w:t>主管機關</w:t>
      </w:r>
      <w:r w:rsidR="001F6F84" w:rsidRPr="00393DBB">
        <w:t>內政部國土管理署、環境部資源循環署</w:t>
      </w:r>
      <w:r w:rsidR="001F6F84" w:rsidRPr="00393DBB">
        <w:rPr>
          <w:rFonts w:hint="eastAsia"/>
        </w:rPr>
        <w:t>對於違規棄置營建剩餘土石方及營建事業廢棄物之查處，應加強辦理有效遏止違規棄置之變異點通報，並</w:t>
      </w:r>
      <w:proofErr w:type="gramStart"/>
      <w:r w:rsidR="001F6F84" w:rsidRPr="00393DBB">
        <w:rPr>
          <w:rFonts w:hint="eastAsia"/>
        </w:rPr>
        <w:t>研</w:t>
      </w:r>
      <w:proofErr w:type="gramEnd"/>
      <w:r w:rsidR="001F6F84" w:rsidRPr="00393DBB">
        <w:rPr>
          <w:rFonts w:hint="eastAsia"/>
        </w:rPr>
        <w:t>議改善人力及經費不足之問題，且建立非法棄置土方之裁罰基準、後續處理原則措施，及揭露施工告示牌相關營建管理之資訊，以有效遏止違規棄置</w:t>
      </w:r>
      <w:r w:rsidRPr="00393DBB">
        <w:rPr>
          <w:rFonts w:hint="eastAsia"/>
        </w:rPr>
        <w:t>。</w:t>
      </w:r>
    </w:p>
    <w:p w14:paraId="4AC499A4" w14:textId="025107B6" w:rsidR="001F6F84" w:rsidRPr="00393DBB" w:rsidRDefault="00685608" w:rsidP="001F6F84">
      <w:pPr>
        <w:pStyle w:val="2"/>
        <w:rPr>
          <w:b/>
          <w:bCs w:val="0"/>
        </w:rPr>
      </w:pPr>
      <w:r w:rsidRPr="00393DBB">
        <w:rPr>
          <w:b/>
          <w:bCs w:val="0"/>
        </w:rPr>
        <w:t>政府推動營建事業廢棄物再利用，有助減少違法棄置，及促進資源有效利用，惟部分營建事業廢棄物清運車輛超重問題嚴重，執法取締量能有限，</w:t>
      </w:r>
      <w:proofErr w:type="gramStart"/>
      <w:r w:rsidRPr="00393DBB">
        <w:rPr>
          <w:b/>
          <w:bCs w:val="0"/>
        </w:rPr>
        <w:t>實際遭裁罰</w:t>
      </w:r>
      <w:proofErr w:type="gramEnd"/>
      <w:r w:rsidRPr="00393DBB">
        <w:rPr>
          <w:b/>
          <w:bCs w:val="0"/>
        </w:rPr>
        <w:t>比率偏低，無法有效遏止違規超載。</w:t>
      </w:r>
      <w:r w:rsidR="00272105" w:rsidRPr="00393DBB">
        <w:rPr>
          <w:rFonts w:hint="eastAsia"/>
          <w:b/>
          <w:bCs w:val="0"/>
        </w:rPr>
        <w:t>交通部</w:t>
      </w:r>
      <w:r w:rsidRPr="00393DBB">
        <w:rPr>
          <w:b/>
          <w:bCs w:val="0"/>
        </w:rPr>
        <w:t>允宜督促相關權責機關建立營建事業廢棄物申報重量管制及超載通報機制，以促使清運業者依</w:t>
      </w:r>
      <w:proofErr w:type="gramStart"/>
      <w:r w:rsidRPr="00393DBB">
        <w:rPr>
          <w:b/>
          <w:bCs w:val="0"/>
        </w:rPr>
        <w:t>規</w:t>
      </w:r>
      <w:proofErr w:type="gramEnd"/>
      <w:r w:rsidRPr="00393DBB">
        <w:rPr>
          <w:b/>
          <w:bCs w:val="0"/>
        </w:rPr>
        <w:t>載運。</w:t>
      </w:r>
    </w:p>
    <w:p w14:paraId="41A4CF38" w14:textId="1D620923" w:rsidR="00DD7B13" w:rsidRPr="00393DBB" w:rsidRDefault="00DD7B13" w:rsidP="00DD7B13">
      <w:pPr>
        <w:pStyle w:val="30"/>
      </w:pPr>
      <w:proofErr w:type="gramStart"/>
      <w:r w:rsidRPr="00393DBB">
        <w:rPr>
          <w:rFonts w:hint="eastAsia"/>
        </w:rPr>
        <w:t>環境部為有效</w:t>
      </w:r>
      <w:proofErr w:type="gramEnd"/>
      <w:r w:rsidRPr="00393DBB">
        <w:rPr>
          <w:rFonts w:hint="eastAsia"/>
        </w:rPr>
        <w:t>掌握事業廢棄物清理流向，建置事業廢棄物申報及管理資訊系統，以電子聯單管制，搭配清運車輛GPS全球定位系統，藉以掌握事業廢棄物清運數量及軌跡，避免發生違法傾倒情形。</w:t>
      </w:r>
      <w:proofErr w:type="gramStart"/>
      <w:r w:rsidRPr="00393DBB">
        <w:rPr>
          <w:rFonts w:hint="eastAsia"/>
        </w:rPr>
        <w:t>審計部於112年6月17日</w:t>
      </w:r>
      <w:proofErr w:type="gramEnd"/>
      <w:r w:rsidRPr="00393DBB">
        <w:rPr>
          <w:rFonts w:hint="eastAsia"/>
        </w:rPr>
        <w:t>函建請行政院參酌辦理營建剩餘土石方及營建事業廢棄物管理與再利用執行情形之建議意見，其中一項有關部分營建廢棄物清運業者之車輛疑不符合裝載砂石土方車輛使用專用車輛規定，交通部於112年7月28日函請內政部警政</w:t>
      </w:r>
      <w:r w:rsidRPr="00393DBB">
        <w:rPr>
          <w:rFonts w:hint="eastAsia"/>
        </w:rPr>
        <w:lastRenderedPageBreak/>
        <w:t>署轉知各警察機關，廢棄物</w:t>
      </w:r>
      <w:proofErr w:type="gramStart"/>
      <w:r w:rsidRPr="00393DBB">
        <w:rPr>
          <w:rFonts w:hint="eastAsia"/>
        </w:rPr>
        <w:t>產生源隨</w:t>
      </w:r>
      <w:proofErr w:type="gramEnd"/>
      <w:r w:rsidRPr="00393DBB">
        <w:rPr>
          <w:rFonts w:hint="eastAsia"/>
        </w:rPr>
        <w:t>車證明文件載明廢棄物種類為土木或建築物廢棄物混合物（D-0599）、營建混合物（R-0503）等營建廢棄物，得不適用道路交通管理處罰條例第29條之1規定使用砂石專用車。</w:t>
      </w:r>
    </w:p>
    <w:p w14:paraId="235398D4" w14:textId="16CC98A6" w:rsidR="00DD7B13" w:rsidRPr="00393DBB" w:rsidRDefault="009F4137" w:rsidP="00393DBB">
      <w:pPr>
        <w:pStyle w:val="30"/>
      </w:pPr>
      <w:r w:rsidRPr="00393DBB">
        <w:rPr>
          <w:rFonts w:hint="eastAsia"/>
        </w:rPr>
        <w:t>依據</w:t>
      </w:r>
      <w:proofErr w:type="gramStart"/>
      <w:r w:rsidRPr="00393DBB">
        <w:rPr>
          <w:rFonts w:hint="eastAsia"/>
        </w:rPr>
        <w:t>審計部函報</w:t>
      </w:r>
      <w:proofErr w:type="gramEnd"/>
      <w:r w:rsidRPr="00393DBB">
        <w:rPr>
          <w:rFonts w:hint="eastAsia"/>
        </w:rPr>
        <w:t>稽察事項，</w:t>
      </w:r>
      <w:r w:rsidR="00DD7B13" w:rsidRPr="00393DBB">
        <w:rPr>
          <w:rFonts w:hint="eastAsia"/>
        </w:rPr>
        <w:t>車輛超載不僅影響交通安全，行經道路橋梁容易損害橋梁結構安全及加速劣化，導致道路鋪面龜裂與車轍，甚至使路面下方排水箱涵或自來水管線產生破損。為</w:t>
      </w:r>
      <w:proofErr w:type="gramStart"/>
      <w:r w:rsidR="00DD7B13" w:rsidRPr="00393DBB">
        <w:rPr>
          <w:rFonts w:hint="eastAsia"/>
        </w:rPr>
        <w:t>釐</w:t>
      </w:r>
      <w:proofErr w:type="gramEnd"/>
      <w:r w:rsidR="00DD7B13" w:rsidRPr="00393DBB">
        <w:rPr>
          <w:rFonts w:hint="eastAsia"/>
        </w:rPr>
        <w:t>清單一車次申報廢棄物重量逾40公噸之清運車輛，監理單位實際核准之車輛總重量或總聯結重量限制，以及109至111年間因違規</w:t>
      </w:r>
      <w:proofErr w:type="gramStart"/>
      <w:r w:rsidR="00DD7B13" w:rsidRPr="00393DBB">
        <w:rPr>
          <w:rFonts w:hint="eastAsia"/>
        </w:rPr>
        <w:t>超載遭裁</w:t>
      </w:r>
      <w:proofErr w:type="gramEnd"/>
      <w:r w:rsidR="00DD7B13" w:rsidRPr="00393DBB">
        <w:rPr>
          <w:rFonts w:hint="eastAsia"/>
        </w:rPr>
        <w:t>罰之情形，經函請交通部公路局提供相關車籍資料及裁罰紀錄，以進一步分析營建事業廢棄物清運車輛實際超載情形。</w:t>
      </w:r>
      <w:proofErr w:type="gramStart"/>
      <w:r w:rsidR="00DD7B13" w:rsidRPr="00393DBB">
        <w:rPr>
          <w:rFonts w:hint="eastAsia"/>
        </w:rPr>
        <w:t>此外，</w:t>
      </w:r>
      <w:proofErr w:type="gramEnd"/>
      <w:r w:rsidR="00DD7B13" w:rsidRPr="00393DBB">
        <w:rPr>
          <w:rFonts w:hint="eastAsia"/>
        </w:rPr>
        <w:t>政府為解決載運砂石土方車輛超重肇致交通事故頻傳情事，推行砂石專用車輛制度遏止超載問題，惟道路交通管理處罰條例對砂石土方之定義未臻明確，排除對載運營建業廢棄物之適用亦未盡合理。允宜督促交通部邀集相關單位</w:t>
      </w:r>
      <w:proofErr w:type="gramStart"/>
      <w:r w:rsidR="00DD7B13" w:rsidRPr="00393DBB">
        <w:rPr>
          <w:rFonts w:hint="eastAsia"/>
        </w:rPr>
        <w:t>研</w:t>
      </w:r>
      <w:proofErr w:type="gramEnd"/>
      <w:r w:rsidR="00DD7B13" w:rsidRPr="00393DBB">
        <w:rPr>
          <w:rFonts w:hint="eastAsia"/>
        </w:rPr>
        <w:t>商，以杜爭議，符合法律明確性原則。</w:t>
      </w:r>
    </w:p>
    <w:p w14:paraId="1FFAEC15" w14:textId="46B8ED87" w:rsidR="001F6F84" w:rsidRPr="00393DBB" w:rsidRDefault="00685608" w:rsidP="00DD7B13">
      <w:pPr>
        <w:pStyle w:val="30"/>
      </w:pPr>
      <w:r w:rsidRPr="00393DBB">
        <w:rPr>
          <w:rFonts w:hint="eastAsia"/>
        </w:rPr>
        <w:t>復查</w:t>
      </w:r>
      <w:r w:rsidR="00DD7B13" w:rsidRPr="00393DBB">
        <w:rPr>
          <w:rFonts w:hint="eastAsia"/>
        </w:rPr>
        <w:t>各公路橋梁依據設計規範，</w:t>
      </w:r>
      <w:proofErr w:type="gramStart"/>
      <w:r w:rsidR="00DD7B13" w:rsidRPr="00393DBB">
        <w:rPr>
          <w:rFonts w:hint="eastAsia"/>
        </w:rPr>
        <w:t>均有原</w:t>
      </w:r>
      <w:proofErr w:type="gramEnd"/>
      <w:r w:rsidR="00DD7B13" w:rsidRPr="00393DBB">
        <w:rPr>
          <w:rFonts w:hint="eastAsia"/>
        </w:rPr>
        <w:t>設計之通行車輛載重限制，其承載力伴隨</w:t>
      </w:r>
      <w:proofErr w:type="gramStart"/>
      <w:r w:rsidR="00DD7B13" w:rsidRPr="00393DBB">
        <w:rPr>
          <w:rFonts w:hint="eastAsia"/>
        </w:rPr>
        <w:t>構件老劣</w:t>
      </w:r>
      <w:proofErr w:type="gramEnd"/>
      <w:r w:rsidR="00DD7B13" w:rsidRPr="00393DBB">
        <w:rPr>
          <w:rFonts w:hint="eastAsia"/>
        </w:rPr>
        <w:t>化持續折減，惟橋梁車輛限重資訊多未揭露及重新評估，又時有重車超載行駛，欠缺相關管制措施或取締作為。允宜督促各公路橋梁管理機關充分揭露轄管橋梁之車輛限重資訊，以利用路人遵循，另督促警政單位運用科技執法加強查緝重車違規通行，</w:t>
      </w:r>
      <w:proofErr w:type="gramStart"/>
      <w:r w:rsidR="00DD7B13" w:rsidRPr="00393DBB">
        <w:rPr>
          <w:rFonts w:hint="eastAsia"/>
        </w:rPr>
        <w:t>俾</w:t>
      </w:r>
      <w:proofErr w:type="gramEnd"/>
      <w:r w:rsidR="00DD7B13" w:rsidRPr="00393DBB">
        <w:rPr>
          <w:rFonts w:hint="eastAsia"/>
        </w:rPr>
        <w:t>維護橋梁結構及行車安全。</w:t>
      </w:r>
    </w:p>
    <w:p w14:paraId="4236E346" w14:textId="572F27E7" w:rsidR="00685608" w:rsidRPr="00393DBB" w:rsidRDefault="00685608" w:rsidP="00DD7B13">
      <w:pPr>
        <w:pStyle w:val="30"/>
      </w:pPr>
      <w:r w:rsidRPr="00393DBB">
        <w:rPr>
          <w:rFonts w:hint="eastAsia"/>
        </w:rPr>
        <w:t>是</w:t>
      </w:r>
      <w:proofErr w:type="gramStart"/>
      <w:r w:rsidRPr="00393DBB">
        <w:rPr>
          <w:rFonts w:hint="eastAsia"/>
        </w:rPr>
        <w:t>以</w:t>
      </w:r>
      <w:proofErr w:type="gramEnd"/>
      <w:r w:rsidRPr="00393DBB">
        <w:rPr>
          <w:rFonts w:hint="eastAsia"/>
        </w:rPr>
        <w:t>，</w:t>
      </w:r>
      <w:r w:rsidRPr="00393DBB">
        <w:t>政府推動營建事業廢棄物再利用，有助減少違法棄置，及促進資源有效利用，惟部分營建事業</w:t>
      </w:r>
      <w:r w:rsidRPr="00393DBB">
        <w:lastRenderedPageBreak/>
        <w:t>廢棄物清運車輛超重問題嚴重，執法取締量能有限，</w:t>
      </w:r>
      <w:proofErr w:type="gramStart"/>
      <w:r w:rsidRPr="00393DBB">
        <w:t>實際遭裁</w:t>
      </w:r>
      <w:proofErr w:type="gramEnd"/>
      <w:r w:rsidRPr="00393DBB">
        <w:t>罰比率偏低，無法有效遏止違規超載。</w:t>
      </w:r>
      <w:r w:rsidR="00272105" w:rsidRPr="00393DBB">
        <w:rPr>
          <w:rFonts w:hint="eastAsia"/>
        </w:rPr>
        <w:t>交通部</w:t>
      </w:r>
      <w:r w:rsidRPr="00393DBB">
        <w:t>允宜督促相關權責機關建立營建事業廢棄物申報重量管制及超載通報機制，以促使清運業者依</w:t>
      </w:r>
      <w:proofErr w:type="gramStart"/>
      <w:r w:rsidRPr="00393DBB">
        <w:t>規</w:t>
      </w:r>
      <w:proofErr w:type="gramEnd"/>
      <w:r w:rsidRPr="00393DBB">
        <w:t>載運</w:t>
      </w:r>
      <w:r w:rsidRPr="00393DBB">
        <w:rPr>
          <w:rFonts w:hint="eastAsia"/>
        </w:rPr>
        <w:t>。</w:t>
      </w:r>
    </w:p>
    <w:p w14:paraId="09FB83D9" w14:textId="78ACDACE" w:rsidR="001F6F84" w:rsidRPr="00393DBB" w:rsidRDefault="00933B69" w:rsidP="001F6F84">
      <w:pPr>
        <w:pStyle w:val="2"/>
        <w:rPr>
          <w:b/>
          <w:bCs w:val="0"/>
        </w:rPr>
      </w:pPr>
      <w:proofErr w:type="gramStart"/>
      <w:r w:rsidRPr="00393DBB">
        <w:rPr>
          <w:rFonts w:hint="eastAsia"/>
          <w:b/>
          <w:bCs w:val="0"/>
        </w:rPr>
        <w:t>臺</w:t>
      </w:r>
      <w:proofErr w:type="gramEnd"/>
      <w:r w:rsidRPr="00393DBB">
        <w:rPr>
          <w:rFonts w:hint="eastAsia"/>
          <w:b/>
          <w:bCs w:val="0"/>
        </w:rPr>
        <w:t>北港物流倉儲區填海造地計畫，成功體現循環經濟理念，創造建港效益，為港區發展注入新活力，值得借鏡與推廣。</w:t>
      </w:r>
    </w:p>
    <w:p w14:paraId="59DB631D" w14:textId="4DF6A669" w:rsidR="0081032E" w:rsidRPr="00393DBB" w:rsidRDefault="0081032E" w:rsidP="0081032E">
      <w:pPr>
        <w:pStyle w:val="30"/>
      </w:pPr>
      <w:r w:rsidRPr="00393DBB">
        <w:rPr>
          <w:rFonts w:hint="eastAsia"/>
        </w:rPr>
        <w:t>依據</w:t>
      </w:r>
      <w:proofErr w:type="gramStart"/>
      <w:r w:rsidRPr="00393DBB">
        <w:rPr>
          <w:rFonts w:hint="eastAsia"/>
        </w:rPr>
        <w:t>臺</w:t>
      </w:r>
      <w:proofErr w:type="gramEnd"/>
      <w:r w:rsidRPr="00393DBB">
        <w:rPr>
          <w:rFonts w:hint="eastAsia"/>
        </w:rPr>
        <w:t>北港收容公共工程營建剩餘土石方作業規定略以：</w:t>
      </w:r>
    </w:p>
    <w:p w14:paraId="7E5596FD" w14:textId="7F182213" w:rsidR="0081032E" w:rsidRPr="00393DBB" w:rsidRDefault="0081032E" w:rsidP="00393DBB">
      <w:pPr>
        <w:pStyle w:val="4"/>
      </w:pPr>
      <w:r w:rsidRPr="00393DBB">
        <w:rPr>
          <w:rFonts w:hint="eastAsia"/>
        </w:rPr>
        <w:t>收容範圍與資格：適用於基隆港務分公司</w:t>
      </w:r>
      <w:proofErr w:type="gramStart"/>
      <w:r w:rsidRPr="00393DBB">
        <w:rPr>
          <w:rFonts w:hint="eastAsia"/>
        </w:rPr>
        <w:t>轄</w:t>
      </w:r>
      <w:proofErr w:type="gramEnd"/>
      <w:r w:rsidRPr="00393DBB">
        <w:rPr>
          <w:rFonts w:hint="eastAsia"/>
        </w:rPr>
        <w:t>下臺北港收受公共工程產生之剩餘土石方，種類限於B1至B6土方，不包括營建廢棄物。營建混合物須經分類、分離處理後，篩選符合收容資格之土石方才能運入</w:t>
      </w:r>
      <w:proofErr w:type="gramStart"/>
      <w:r w:rsidRPr="00393DBB">
        <w:rPr>
          <w:rFonts w:hint="eastAsia"/>
        </w:rPr>
        <w:t>臺</w:t>
      </w:r>
      <w:proofErr w:type="gramEnd"/>
      <w:r w:rsidRPr="00393DBB">
        <w:rPr>
          <w:rFonts w:hint="eastAsia"/>
        </w:rPr>
        <w:t>北港。為避免污染，不收受來自環保單位公告之「控制場址」或「整治場址」所產出之土方，必要時得要求需符合「有害事業廢棄物認定標準」。公共工程主辦機關每次申請土方進場，須檢附土壤試驗報告，並依相關規定完成土方交換協商同意，繳交保證金後，始可載運進場。</w:t>
      </w:r>
    </w:p>
    <w:p w14:paraId="7E03DB5D" w14:textId="08073827" w:rsidR="0081032E" w:rsidRPr="00393DBB" w:rsidRDefault="0081032E" w:rsidP="00393DBB">
      <w:pPr>
        <w:pStyle w:val="4"/>
      </w:pPr>
      <w:r w:rsidRPr="00393DBB">
        <w:rPr>
          <w:rFonts w:hint="eastAsia"/>
        </w:rPr>
        <w:t>土方進場管理：進場時間為每日上午</w:t>
      </w:r>
      <w:r w:rsidR="00272105" w:rsidRPr="00393DBB">
        <w:rPr>
          <w:rFonts w:hint="eastAsia"/>
        </w:rPr>
        <w:t>7</w:t>
      </w:r>
      <w:r w:rsidRPr="00393DBB">
        <w:rPr>
          <w:rFonts w:hint="eastAsia"/>
        </w:rPr>
        <w:t>時</w:t>
      </w:r>
      <w:r w:rsidR="00272105" w:rsidRPr="00393DBB">
        <w:rPr>
          <w:rFonts w:hint="eastAsia"/>
        </w:rPr>
        <w:t>30</w:t>
      </w:r>
      <w:r w:rsidRPr="00393DBB">
        <w:rPr>
          <w:rFonts w:hint="eastAsia"/>
        </w:rPr>
        <w:t>分至下午</w:t>
      </w:r>
      <w:r w:rsidR="00272105" w:rsidRPr="00393DBB">
        <w:rPr>
          <w:rFonts w:hint="eastAsia"/>
        </w:rPr>
        <w:t>7</w:t>
      </w:r>
      <w:r w:rsidRPr="00393DBB">
        <w:rPr>
          <w:rFonts w:hint="eastAsia"/>
        </w:rPr>
        <w:t>時</w:t>
      </w:r>
      <w:r w:rsidR="00272105" w:rsidRPr="00393DBB">
        <w:rPr>
          <w:rFonts w:hint="eastAsia"/>
        </w:rPr>
        <w:t>30</w:t>
      </w:r>
      <w:r w:rsidRPr="00393DBB">
        <w:rPr>
          <w:rFonts w:hint="eastAsia"/>
        </w:rPr>
        <w:t>分，例假日除外，國定假日及民俗節日則不開放。遇施工機具故障、監控設備故障、停電、斷訊、颱風警報、主管機關處罰停工、港區演習、未繳交土方管理費或其他突發緊急情形，將暫停土方進場。土方進場需收取管理費，費用包含設備建置維護、環境維持及勞務等成本，費率將定期檢討調整。公共工程主辦機關應於接獲繳費單15日內繳交土方管理費。</w:t>
      </w:r>
    </w:p>
    <w:p w14:paraId="4866B3DA" w14:textId="77777777" w:rsidR="0081032E" w:rsidRPr="00393DBB" w:rsidRDefault="0081032E" w:rsidP="00393DBB">
      <w:pPr>
        <w:pStyle w:val="4"/>
      </w:pPr>
      <w:r w:rsidRPr="00393DBB">
        <w:rPr>
          <w:rFonts w:hint="eastAsia"/>
        </w:rPr>
        <w:lastRenderedPageBreak/>
        <w:t>車輛及人員管理：公共工程主辦機關應提送人員、車輛名冊及</w:t>
      </w:r>
      <w:proofErr w:type="gramStart"/>
      <w:r w:rsidRPr="00393DBB">
        <w:rPr>
          <w:rFonts w:hint="eastAsia"/>
        </w:rPr>
        <w:t>裝置具逐車</w:t>
      </w:r>
      <w:proofErr w:type="gramEnd"/>
      <w:r w:rsidRPr="00393DBB">
        <w:rPr>
          <w:rFonts w:hint="eastAsia"/>
        </w:rPr>
        <w:t>追蹤功能設備之證明文件，並申請港區通行證。載運土方車輛應隨車攜帶過磅單、港區通行證及土方運送證明，經查驗核實後方可進場。</w:t>
      </w:r>
    </w:p>
    <w:p w14:paraId="00EA7076" w14:textId="77777777" w:rsidR="0081032E" w:rsidRPr="00393DBB" w:rsidRDefault="0081032E" w:rsidP="00393DBB">
      <w:pPr>
        <w:pStyle w:val="4"/>
      </w:pPr>
      <w:r w:rsidRPr="00393DBB">
        <w:rPr>
          <w:rFonts w:hint="eastAsia"/>
        </w:rPr>
        <w:t>設施與監控：委託承辦機構於工區設置管制室及監控設備，包含標示牌、車輛清洗設施、污水處理沉澱池、</w:t>
      </w:r>
      <w:proofErr w:type="gramStart"/>
      <w:r w:rsidRPr="00393DBB">
        <w:rPr>
          <w:rFonts w:hint="eastAsia"/>
        </w:rPr>
        <w:t>防飛散</w:t>
      </w:r>
      <w:proofErr w:type="gramEnd"/>
      <w:r w:rsidRPr="00393DBB">
        <w:rPr>
          <w:rFonts w:hint="eastAsia"/>
        </w:rPr>
        <w:t>及導水、排水設施等。遠端監控設備需符合法規要求，錄影資料應保存備份，監控設備需保持連線，如有故障將暫停土方進場。</w:t>
      </w:r>
    </w:p>
    <w:p w14:paraId="4ADC5350" w14:textId="77777777" w:rsidR="0081032E" w:rsidRPr="00393DBB" w:rsidRDefault="0081032E" w:rsidP="00393DBB">
      <w:pPr>
        <w:pStyle w:val="4"/>
      </w:pPr>
      <w:r w:rsidRPr="00393DBB">
        <w:rPr>
          <w:rFonts w:hint="eastAsia"/>
        </w:rPr>
        <w:t>環境保護：載運土方車輛應依規定採取抑制粒狀污染物措施，如有污染應負責清理及維護。載運土方車輛應遵守場區管理規則、行車路線、車輛清洗等規定，違規者將依法處理。</w:t>
      </w:r>
    </w:p>
    <w:p w14:paraId="5FAB7AFC" w14:textId="77777777" w:rsidR="0081032E" w:rsidRPr="00393DBB" w:rsidRDefault="0081032E" w:rsidP="00393DBB">
      <w:pPr>
        <w:pStyle w:val="4"/>
      </w:pPr>
      <w:r w:rsidRPr="00393DBB">
        <w:rPr>
          <w:rFonts w:hint="eastAsia"/>
        </w:rPr>
        <w:t>土方檢查：土方進場時應進行目視檢查與落地檢查，檢查人員應每車執行。檢查程序包含</w:t>
      </w:r>
      <w:proofErr w:type="gramStart"/>
      <w:r w:rsidRPr="00393DBB">
        <w:rPr>
          <w:rFonts w:hint="eastAsia"/>
        </w:rPr>
        <w:t>入口區目視</w:t>
      </w:r>
      <w:proofErr w:type="gramEnd"/>
      <w:r w:rsidRPr="00393DBB">
        <w:rPr>
          <w:rFonts w:hint="eastAsia"/>
        </w:rPr>
        <w:t>檢查、</w:t>
      </w:r>
      <w:proofErr w:type="gramStart"/>
      <w:r w:rsidRPr="00393DBB">
        <w:rPr>
          <w:rFonts w:hint="eastAsia"/>
        </w:rPr>
        <w:t>傾卸區</w:t>
      </w:r>
      <w:proofErr w:type="gramEnd"/>
      <w:r w:rsidRPr="00393DBB">
        <w:rPr>
          <w:rFonts w:hint="eastAsia"/>
        </w:rPr>
        <w:t>目視檢查及落地檢查，若發現不得進場之廢棄物，應立即處理。</w:t>
      </w:r>
    </w:p>
    <w:p w14:paraId="3E83739C" w14:textId="2BC8A4C9" w:rsidR="0081032E" w:rsidRPr="00393DBB" w:rsidRDefault="0081032E" w:rsidP="00393DBB">
      <w:pPr>
        <w:pStyle w:val="4"/>
      </w:pPr>
      <w:r w:rsidRPr="00393DBB">
        <w:rPr>
          <w:rFonts w:hint="eastAsia"/>
        </w:rPr>
        <w:t>違規處理：載運不得進場之廢棄物，應依規定處理，必要時</w:t>
      </w:r>
      <w:proofErr w:type="gramStart"/>
      <w:r w:rsidRPr="00393DBB">
        <w:rPr>
          <w:rFonts w:hint="eastAsia"/>
        </w:rPr>
        <w:t>採</w:t>
      </w:r>
      <w:proofErr w:type="gramEnd"/>
      <w:r w:rsidRPr="00393DBB">
        <w:rPr>
          <w:rFonts w:hint="eastAsia"/>
        </w:rPr>
        <w:t>樣封存，並依法處理及處罰。公共工程主辦機關應於24小時內將廢棄物運出港區，逾期未處理者，將暫停土方交換或終止土方交換，並追究相關責任。</w:t>
      </w:r>
    </w:p>
    <w:p w14:paraId="16D9E390" w14:textId="4DBB4267" w:rsidR="0081032E" w:rsidRPr="00393DBB" w:rsidRDefault="0081032E" w:rsidP="00393DBB">
      <w:pPr>
        <w:pStyle w:val="30"/>
      </w:pPr>
      <w:proofErr w:type="gramStart"/>
      <w:r w:rsidRPr="00393DBB">
        <w:rPr>
          <w:rFonts w:hint="eastAsia"/>
        </w:rPr>
        <w:t>臺</w:t>
      </w:r>
      <w:proofErr w:type="gramEnd"/>
      <w:r w:rsidRPr="00393DBB">
        <w:rPr>
          <w:rFonts w:hint="eastAsia"/>
        </w:rPr>
        <w:t>北港收容公共工程營建剩餘土石方，</w:t>
      </w:r>
      <w:r w:rsidR="00933B69" w:rsidRPr="00393DBB">
        <w:rPr>
          <w:rFonts w:hint="eastAsia"/>
        </w:rPr>
        <w:t>係</w:t>
      </w:r>
      <w:r w:rsidRPr="00393DBB">
        <w:rPr>
          <w:rFonts w:hint="eastAsia"/>
        </w:rPr>
        <w:t>基於</w:t>
      </w:r>
      <w:r w:rsidR="00572F86" w:rsidRPr="00393DBB">
        <w:rPr>
          <w:rFonts w:hint="eastAsia"/>
        </w:rPr>
        <w:t>營</w:t>
      </w:r>
      <w:r w:rsidR="00933B69" w:rsidRPr="00393DBB">
        <w:rPr>
          <w:rFonts w:hint="eastAsia"/>
        </w:rPr>
        <w:t>建剩餘土石方經篩選分類後，仍具有再利用價值，臺北港可作為填築造地之用，將土石方資源有效再利用，避免浪費；且提供公共工程剩餘土石方合法去化管道，引導業者依循合法程序處理土石方，降低非法棄置風險，保護環境；又</w:t>
      </w:r>
      <w:proofErr w:type="gramStart"/>
      <w:r w:rsidR="00933B69" w:rsidRPr="00393DBB">
        <w:rPr>
          <w:rFonts w:hint="eastAsia"/>
        </w:rPr>
        <w:t>臺</w:t>
      </w:r>
      <w:proofErr w:type="gramEnd"/>
      <w:r w:rsidR="00933B69" w:rsidRPr="00393DBB">
        <w:rPr>
          <w:rFonts w:hint="eastAsia"/>
        </w:rPr>
        <w:t>北港鄰近北部都會</w:t>
      </w:r>
      <w:r w:rsidR="00933B69" w:rsidRPr="00393DBB">
        <w:rPr>
          <w:rFonts w:hint="eastAsia"/>
        </w:rPr>
        <w:lastRenderedPageBreak/>
        <w:t>區，公共工程產生之剩餘土石方可就近運至臺北港，縮短運輸距離，節省時間及成本，提升工程效率；</w:t>
      </w:r>
      <w:r w:rsidRPr="00393DBB">
        <w:rPr>
          <w:rFonts w:hint="eastAsia"/>
        </w:rPr>
        <w:t>收容之土石方可作為港區填築造地之用，有助於港區建設發展，提升港口營運效能</w:t>
      </w:r>
      <w:r w:rsidR="00933B69" w:rsidRPr="00393DBB">
        <w:rPr>
          <w:rFonts w:hint="eastAsia"/>
        </w:rPr>
        <w:t>，</w:t>
      </w:r>
      <w:r w:rsidRPr="00393DBB">
        <w:rPr>
          <w:rFonts w:hint="eastAsia"/>
        </w:rPr>
        <w:t>將營建剩餘土石方資源化，符合循環經濟理念，減少天然資源開採，降低環境負擔</w:t>
      </w:r>
      <w:r w:rsidR="00933B69" w:rsidRPr="00393DBB">
        <w:rPr>
          <w:rFonts w:hint="eastAsia"/>
        </w:rPr>
        <w:t>，並兼顧環境保護，以訂定嚴格之收容標準及程序，避免污染土石方進入港區，影響海洋環境</w:t>
      </w:r>
      <w:r w:rsidRPr="00393DBB">
        <w:rPr>
          <w:rFonts w:hint="eastAsia"/>
        </w:rPr>
        <w:t>。</w:t>
      </w:r>
      <w:r w:rsidR="00933B69" w:rsidRPr="00393DBB">
        <w:rPr>
          <w:rFonts w:hint="eastAsia"/>
        </w:rPr>
        <w:t>是</w:t>
      </w:r>
      <w:proofErr w:type="gramStart"/>
      <w:r w:rsidR="00933B69" w:rsidRPr="00393DBB">
        <w:rPr>
          <w:rFonts w:hint="eastAsia"/>
        </w:rPr>
        <w:t>以</w:t>
      </w:r>
      <w:proofErr w:type="gramEnd"/>
      <w:r w:rsidR="00933B69" w:rsidRPr="00393DBB">
        <w:rPr>
          <w:rFonts w:hint="eastAsia"/>
        </w:rPr>
        <w:t>，臺北港</w:t>
      </w:r>
      <w:r w:rsidR="00933B69" w:rsidRPr="00393DBB">
        <w:t>收容公共工程營建剩餘土石方</w:t>
      </w:r>
      <w:r w:rsidRPr="00393DBB">
        <w:rPr>
          <w:rFonts w:hint="eastAsia"/>
        </w:rPr>
        <w:t>建立跨機關合作機制，提升行政效率，展現政府解決問題之能力</w:t>
      </w:r>
      <w:r w:rsidR="00933B69" w:rsidRPr="00393DBB">
        <w:rPr>
          <w:rFonts w:hint="eastAsia"/>
        </w:rPr>
        <w:t>，亦有助於港區發展及提升政府效能，創造多贏局面</w:t>
      </w:r>
      <w:r w:rsidRPr="00393DBB">
        <w:rPr>
          <w:rFonts w:hint="eastAsia"/>
        </w:rPr>
        <w:t>。</w:t>
      </w:r>
    </w:p>
    <w:p w14:paraId="18FE95B7" w14:textId="756AD2DF" w:rsidR="00933B69" w:rsidRPr="00393DBB" w:rsidRDefault="00933B69" w:rsidP="00933B69">
      <w:pPr>
        <w:pStyle w:val="30"/>
      </w:pPr>
      <w:proofErr w:type="gramStart"/>
      <w:r w:rsidRPr="00393DBB">
        <w:rPr>
          <w:rFonts w:hint="eastAsia"/>
        </w:rPr>
        <w:t>臺</w:t>
      </w:r>
      <w:proofErr w:type="gramEnd"/>
      <w:r w:rsidRPr="00393DBB">
        <w:rPr>
          <w:rFonts w:hint="eastAsia"/>
        </w:rPr>
        <w:t>北港物流倉儲區填海造地計畫，成功將公共工程剩餘土石方轉化為港區發展資源，創造出顯著的經濟、環境和社會效益，堪稱提升建港效益之最佳案例。</w:t>
      </w:r>
    </w:p>
    <w:p w14:paraId="075F7DC9" w14:textId="77777777" w:rsidR="00933B69" w:rsidRPr="00393DBB" w:rsidRDefault="00933B69" w:rsidP="00393DBB">
      <w:pPr>
        <w:pStyle w:val="4"/>
      </w:pPr>
      <w:r w:rsidRPr="00393DBB">
        <w:rPr>
          <w:rFonts w:hint="eastAsia"/>
        </w:rPr>
        <w:t>節省公</w:t>
      </w:r>
      <w:proofErr w:type="gramStart"/>
      <w:r w:rsidRPr="00393DBB">
        <w:rPr>
          <w:rFonts w:hint="eastAsia"/>
        </w:rPr>
        <w:t>帑</w:t>
      </w:r>
      <w:proofErr w:type="gramEnd"/>
      <w:r w:rsidRPr="00393DBB">
        <w:rPr>
          <w:rFonts w:hint="eastAsia"/>
        </w:rPr>
        <w:t>，提升效率：原規劃採用抽砂填海造地，每立方公尺成本估計約需600元。改為收容營建剩餘土石方後，公共工程產出土方每立方公尺可收取150元，民間土方每立方公尺可收取280元，大幅降低成本。經估算，此舉為整體計畫節省約440億元公</w:t>
      </w:r>
      <w:proofErr w:type="gramStart"/>
      <w:r w:rsidRPr="00393DBB">
        <w:rPr>
          <w:rFonts w:hint="eastAsia"/>
        </w:rPr>
        <w:t>帑</w:t>
      </w:r>
      <w:proofErr w:type="gramEnd"/>
      <w:r w:rsidRPr="00393DBB">
        <w:rPr>
          <w:rFonts w:hint="eastAsia"/>
        </w:rPr>
        <w:t>，有效提升經費運用效率。</w:t>
      </w:r>
    </w:p>
    <w:p w14:paraId="4BB5AC41" w14:textId="77777777" w:rsidR="00933B69" w:rsidRPr="00393DBB" w:rsidRDefault="00933B69" w:rsidP="00393DBB">
      <w:pPr>
        <w:pStyle w:val="4"/>
      </w:pPr>
      <w:r w:rsidRPr="00393DBB">
        <w:rPr>
          <w:rFonts w:hint="eastAsia"/>
        </w:rPr>
        <w:t>節能</w:t>
      </w:r>
      <w:proofErr w:type="gramStart"/>
      <w:r w:rsidRPr="00393DBB">
        <w:rPr>
          <w:rFonts w:hint="eastAsia"/>
        </w:rPr>
        <w:t>減碳，</w:t>
      </w:r>
      <w:proofErr w:type="gramEnd"/>
      <w:r w:rsidRPr="00393DBB">
        <w:rPr>
          <w:rFonts w:hint="eastAsia"/>
        </w:rPr>
        <w:t>保護環境：以收容營建剩餘土石方取代抽砂填海造地，大幅減少</w:t>
      </w:r>
      <w:proofErr w:type="gramStart"/>
      <w:r w:rsidRPr="00393DBB">
        <w:rPr>
          <w:rFonts w:hint="eastAsia"/>
        </w:rPr>
        <w:t>浚</w:t>
      </w:r>
      <w:proofErr w:type="gramEnd"/>
      <w:r w:rsidRPr="00393DBB">
        <w:rPr>
          <w:rFonts w:hint="eastAsia"/>
        </w:rPr>
        <w:t>泥船和運輸</w:t>
      </w:r>
      <w:proofErr w:type="gramStart"/>
      <w:r w:rsidRPr="00393DBB">
        <w:rPr>
          <w:rFonts w:hint="eastAsia"/>
        </w:rPr>
        <w:t>車輛之碳排</w:t>
      </w:r>
      <w:proofErr w:type="gramEnd"/>
      <w:r w:rsidRPr="00393DBB">
        <w:rPr>
          <w:rFonts w:hint="eastAsia"/>
        </w:rPr>
        <w:t>放量。經換算，整體計畫預計可減少27.5萬公噸碳排放，有效降低環境污染。</w:t>
      </w:r>
    </w:p>
    <w:p w14:paraId="71CAFF92" w14:textId="77296DCA" w:rsidR="00933B69" w:rsidRPr="00393DBB" w:rsidRDefault="00933B69" w:rsidP="00393DBB">
      <w:pPr>
        <w:pStyle w:val="4"/>
      </w:pPr>
      <w:r w:rsidRPr="00393DBB">
        <w:rPr>
          <w:rFonts w:hint="eastAsia"/>
        </w:rPr>
        <w:t>加速開發，促進發展：原計畫預計於134年完成填海造地，透過提高</w:t>
      </w:r>
      <w:proofErr w:type="gramStart"/>
      <w:r w:rsidRPr="00393DBB">
        <w:rPr>
          <w:rFonts w:hint="eastAsia"/>
        </w:rPr>
        <w:t>年收土數量</w:t>
      </w:r>
      <w:proofErr w:type="gramEnd"/>
      <w:r w:rsidRPr="00393DBB">
        <w:rPr>
          <w:rFonts w:hint="eastAsia"/>
        </w:rPr>
        <w:t>及增加再生資源收容，預計可提前8年於126年完成339公頃造地開發。此舉不僅加速港區建設，更為港埠發展增添動能。</w:t>
      </w:r>
    </w:p>
    <w:p w14:paraId="016A77FA" w14:textId="642B1B3E" w:rsidR="001F6F84" w:rsidRPr="00393DBB" w:rsidRDefault="00933B69" w:rsidP="00393DBB">
      <w:pPr>
        <w:pStyle w:val="30"/>
      </w:pPr>
      <w:r w:rsidRPr="00393DBB">
        <w:rPr>
          <w:rFonts w:hint="eastAsia"/>
        </w:rPr>
        <w:lastRenderedPageBreak/>
        <w:t>綜上，</w:t>
      </w:r>
      <w:proofErr w:type="gramStart"/>
      <w:r w:rsidRPr="00393DBB">
        <w:rPr>
          <w:rFonts w:hint="eastAsia"/>
        </w:rPr>
        <w:t>臺</w:t>
      </w:r>
      <w:proofErr w:type="gramEnd"/>
      <w:r w:rsidRPr="00393DBB">
        <w:rPr>
          <w:rFonts w:hint="eastAsia"/>
        </w:rPr>
        <w:t>北港物流倉儲區填海造地計畫，收容公共工程營建剩餘土石方，不僅有效利用資源，減少環境污染，亦有助於港區發展及提升政府效能，成功體現循環經濟理念，創造建港效益，為港區發展注入新活力，值得借鏡與推廣，相關貢獻人員</w:t>
      </w:r>
      <w:proofErr w:type="gramStart"/>
      <w:r w:rsidRPr="00393DBB">
        <w:rPr>
          <w:rFonts w:hint="eastAsia"/>
        </w:rPr>
        <w:t>應予以肯</w:t>
      </w:r>
      <w:proofErr w:type="gramEnd"/>
      <w:r w:rsidRPr="00393DBB">
        <w:rPr>
          <w:rFonts w:hint="eastAsia"/>
        </w:rPr>
        <w:t>認。</w:t>
      </w:r>
    </w:p>
    <w:p w14:paraId="7CEDE807" w14:textId="19662AFA" w:rsidR="00E25849" w:rsidRPr="00393DBB" w:rsidRDefault="00E25849" w:rsidP="004E05A1">
      <w:pPr>
        <w:pStyle w:val="1"/>
        <w:ind w:left="2380" w:hanging="2380"/>
      </w:pPr>
      <w:r w:rsidRPr="00393DBB">
        <w:br w:type="page"/>
      </w:r>
      <w:bookmarkStart w:id="68" w:name="_Toc529222689"/>
      <w:bookmarkStart w:id="69" w:name="_Toc529223111"/>
      <w:bookmarkStart w:id="70" w:name="_Toc529223862"/>
      <w:bookmarkStart w:id="71" w:name="_Toc529228265"/>
      <w:bookmarkStart w:id="72" w:name="_Toc2400395"/>
      <w:bookmarkStart w:id="73" w:name="_Toc4316189"/>
      <w:bookmarkStart w:id="74" w:name="_Toc4473330"/>
      <w:bookmarkStart w:id="75" w:name="_Toc69556897"/>
      <w:bookmarkStart w:id="76" w:name="_Toc69556946"/>
      <w:bookmarkStart w:id="77" w:name="_Toc69609820"/>
      <w:bookmarkStart w:id="78" w:name="_Toc70241816"/>
      <w:bookmarkStart w:id="79" w:name="_Toc70242205"/>
      <w:bookmarkStart w:id="80" w:name="_Toc421794875"/>
      <w:bookmarkStart w:id="81" w:name="_Toc422834160"/>
      <w:bookmarkStart w:id="82" w:name="_Toc184085507"/>
      <w:r w:rsidRPr="00393DBB">
        <w:rPr>
          <w:rFonts w:hint="eastAsia"/>
        </w:rPr>
        <w:lastRenderedPageBreak/>
        <w:t>處理辦法：</w:t>
      </w:r>
      <w:bookmarkEnd w:id="57"/>
      <w:bookmarkEnd w:id="58"/>
      <w:bookmarkEnd w:id="59"/>
      <w:bookmarkEnd w:id="60"/>
      <w:bookmarkEnd w:id="61"/>
      <w:bookmarkEnd w:id="62"/>
      <w:bookmarkEnd w:id="63"/>
      <w:bookmarkEnd w:id="64"/>
      <w:bookmarkEnd w:id="65"/>
      <w:bookmarkEnd w:id="66"/>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4DEB56D8" w14:textId="14D3C770" w:rsidR="00FB7770" w:rsidRPr="00393DBB" w:rsidRDefault="00FB7770" w:rsidP="00770453">
      <w:pPr>
        <w:pStyle w:val="2"/>
        <w:spacing w:beforeLines="25" w:before="114"/>
        <w:ind w:left="1020" w:hanging="680"/>
      </w:pPr>
      <w:bookmarkStart w:id="83" w:name="_Toc524895649"/>
      <w:bookmarkStart w:id="84" w:name="_Toc524896195"/>
      <w:bookmarkStart w:id="85" w:name="_Toc524896225"/>
      <w:bookmarkStart w:id="86" w:name="_Toc70241820"/>
      <w:bookmarkStart w:id="87" w:name="_Toc70242209"/>
      <w:bookmarkStart w:id="88" w:name="_Toc421794876"/>
      <w:bookmarkStart w:id="89" w:name="_Toc421795442"/>
      <w:bookmarkStart w:id="90" w:name="_Toc421796023"/>
      <w:bookmarkStart w:id="91" w:name="_Toc422728958"/>
      <w:bookmarkStart w:id="92" w:name="_Toc422834161"/>
      <w:bookmarkStart w:id="93" w:name="_Toc184085508"/>
      <w:bookmarkStart w:id="94" w:name="_Toc2400396"/>
      <w:bookmarkStart w:id="95" w:name="_Toc4316190"/>
      <w:bookmarkStart w:id="96" w:name="_Toc4473331"/>
      <w:bookmarkStart w:id="97" w:name="_Toc69556898"/>
      <w:bookmarkStart w:id="98" w:name="_Toc69556947"/>
      <w:bookmarkStart w:id="99" w:name="_Toc69609821"/>
      <w:bookmarkStart w:id="100" w:name="_Toc70241817"/>
      <w:bookmarkStart w:id="101" w:name="_Toc70242206"/>
      <w:bookmarkStart w:id="102" w:name="_Toc524902735"/>
      <w:bookmarkStart w:id="103" w:name="_Toc525066149"/>
      <w:bookmarkStart w:id="104" w:name="_Toc525070840"/>
      <w:bookmarkStart w:id="105" w:name="_Toc525938380"/>
      <w:bookmarkStart w:id="106" w:name="_Toc525939228"/>
      <w:bookmarkStart w:id="107" w:name="_Toc525939733"/>
      <w:bookmarkStart w:id="108" w:name="_Toc529218273"/>
      <w:bookmarkStart w:id="109" w:name="_Toc529222690"/>
      <w:bookmarkStart w:id="110" w:name="_Toc529223112"/>
      <w:bookmarkStart w:id="111" w:name="_Toc529223863"/>
      <w:bookmarkStart w:id="112" w:name="_Toc529228266"/>
      <w:bookmarkEnd w:id="83"/>
      <w:bookmarkEnd w:id="84"/>
      <w:bookmarkEnd w:id="85"/>
      <w:r w:rsidRPr="00393DBB">
        <w:rPr>
          <w:rFonts w:hint="eastAsia"/>
        </w:rPr>
        <w:t>調查意見</w:t>
      </w:r>
      <w:r w:rsidR="00E8609E" w:rsidRPr="00393DBB">
        <w:rPr>
          <w:rFonts w:hint="eastAsia"/>
        </w:rPr>
        <w:t>一至</w:t>
      </w:r>
      <w:r w:rsidR="009E7D77" w:rsidRPr="00393DBB">
        <w:rPr>
          <w:rFonts w:hint="eastAsia"/>
        </w:rPr>
        <w:t>三</w:t>
      </w:r>
      <w:r w:rsidRPr="00393DBB">
        <w:rPr>
          <w:rFonts w:hint="eastAsia"/>
        </w:rPr>
        <w:t>，提案糾正</w:t>
      </w:r>
      <w:r w:rsidR="00E24061" w:rsidRPr="00393DBB">
        <w:rPr>
          <w:rFonts w:hint="eastAsia"/>
        </w:rPr>
        <w:t>行政院、</w:t>
      </w:r>
      <w:r w:rsidR="00E8609E" w:rsidRPr="00393DBB">
        <w:rPr>
          <w:rFonts w:hint="eastAsia"/>
        </w:rPr>
        <w:t>內政部暨所屬國土管理署</w:t>
      </w:r>
      <w:r w:rsidRPr="00393DBB">
        <w:rPr>
          <w:rFonts w:hint="eastAsia"/>
        </w:rPr>
        <w:t>。</w:t>
      </w:r>
      <w:bookmarkEnd w:id="86"/>
      <w:bookmarkEnd w:id="87"/>
      <w:bookmarkEnd w:id="88"/>
      <w:bookmarkEnd w:id="89"/>
      <w:bookmarkEnd w:id="90"/>
      <w:bookmarkEnd w:id="91"/>
      <w:bookmarkEnd w:id="92"/>
      <w:bookmarkEnd w:id="93"/>
    </w:p>
    <w:p w14:paraId="586F7183" w14:textId="74A47CDE" w:rsidR="00E25849" w:rsidRPr="00393DBB" w:rsidRDefault="00E25849" w:rsidP="00A86461">
      <w:pPr>
        <w:pStyle w:val="2"/>
        <w:spacing w:beforeLines="25" w:before="114"/>
        <w:ind w:left="1020" w:hanging="680"/>
      </w:pPr>
      <w:bookmarkStart w:id="113" w:name="_Toc421794877"/>
      <w:bookmarkStart w:id="114" w:name="_Toc421795443"/>
      <w:bookmarkStart w:id="115" w:name="_Toc421796024"/>
      <w:bookmarkStart w:id="116" w:name="_Toc422728959"/>
      <w:bookmarkStart w:id="117" w:name="_Toc422834162"/>
      <w:bookmarkStart w:id="118" w:name="_Toc184085509"/>
      <w:r w:rsidRPr="00393DBB">
        <w:rPr>
          <w:rFonts w:hint="eastAsia"/>
        </w:rPr>
        <w:t>調查意見</w:t>
      </w:r>
      <w:r w:rsidR="00D33BBB" w:rsidRPr="00393DBB">
        <w:rPr>
          <w:rFonts w:hint="eastAsia"/>
        </w:rPr>
        <w:t>四</w:t>
      </w:r>
      <w:r w:rsidR="00E8609E" w:rsidRPr="00393DBB">
        <w:rPr>
          <w:rFonts w:hint="eastAsia"/>
        </w:rPr>
        <w:t>至</w:t>
      </w:r>
      <w:r w:rsidR="00D33BBB" w:rsidRPr="00393DBB">
        <w:rPr>
          <w:rFonts w:hint="eastAsia"/>
        </w:rPr>
        <w:t>五</w:t>
      </w:r>
      <w:r w:rsidRPr="00393DBB">
        <w:rPr>
          <w:rFonts w:hint="eastAsia"/>
        </w:rPr>
        <w:t>，函請</w:t>
      </w:r>
      <w:r w:rsidR="009E7D77" w:rsidRPr="00393DBB">
        <w:rPr>
          <w:rFonts w:hint="eastAsia"/>
        </w:rPr>
        <w:t>內政部暨所屬國土管理署、</w:t>
      </w:r>
      <w:r w:rsidR="00E8609E" w:rsidRPr="00393DBB">
        <w:rPr>
          <w:rFonts w:hint="eastAsia"/>
        </w:rPr>
        <w:t>環境部</w:t>
      </w:r>
      <w:r w:rsidRPr="00393DBB">
        <w:rPr>
          <w:rFonts w:hint="eastAsia"/>
        </w:rPr>
        <w:t>確實檢討改進</w:t>
      </w:r>
      <w:proofErr w:type="gramStart"/>
      <w:r w:rsidRPr="00393DBB">
        <w:rPr>
          <w:rFonts w:hint="eastAsia"/>
        </w:rPr>
        <w:t>見復。</w:t>
      </w:r>
      <w:bookmarkEnd w:id="94"/>
      <w:bookmarkEnd w:id="95"/>
      <w:bookmarkEnd w:id="96"/>
      <w:bookmarkEnd w:id="97"/>
      <w:bookmarkEnd w:id="98"/>
      <w:bookmarkEnd w:id="99"/>
      <w:bookmarkEnd w:id="100"/>
      <w:bookmarkEnd w:id="101"/>
      <w:bookmarkEnd w:id="113"/>
      <w:bookmarkEnd w:id="114"/>
      <w:bookmarkEnd w:id="115"/>
      <w:bookmarkEnd w:id="116"/>
      <w:bookmarkEnd w:id="117"/>
      <w:bookmarkEnd w:id="118"/>
      <w:proofErr w:type="gramEnd"/>
    </w:p>
    <w:p w14:paraId="55566A3C" w14:textId="29CF3ABE" w:rsidR="00626E08" w:rsidRPr="00393DBB" w:rsidRDefault="00626E08" w:rsidP="00A86461">
      <w:pPr>
        <w:pStyle w:val="2"/>
        <w:spacing w:beforeLines="25" w:before="114"/>
        <w:ind w:left="1020" w:hanging="680"/>
      </w:pPr>
      <w:r w:rsidRPr="00393DBB">
        <w:rPr>
          <w:rFonts w:hint="eastAsia"/>
        </w:rPr>
        <w:t>調查意見</w:t>
      </w:r>
      <w:r w:rsidR="00D33BBB" w:rsidRPr="00393DBB">
        <w:rPr>
          <w:rFonts w:hint="eastAsia"/>
        </w:rPr>
        <w:t>六</w:t>
      </w:r>
      <w:r w:rsidRPr="00393DBB">
        <w:rPr>
          <w:rFonts w:hint="eastAsia"/>
        </w:rPr>
        <w:t>至</w:t>
      </w:r>
      <w:r w:rsidR="00D33BBB" w:rsidRPr="00393DBB">
        <w:rPr>
          <w:rFonts w:hint="eastAsia"/>
        </w:rPr>
        <w:t>七</w:t>
      </w:r>
      <w:r w:rsidRPr="00393DBB">
        <w:rPr>
          <w:rFonts w:hint="eastAsia"/>
        </w:rPr>
        <w:t>，</w:t>
      </w:r>
      <w:r w:rsidR="00E24061" w:rsidRPr="00393DBB">
        <w:rPr>
          <w:rFonts w:hint="eastAsia"/>
        </w:rPr>
        <w:t>分別</w:t>
      </w:r>
      <w:r w:rsidRPr="00393DBB">
        <w:rPr>
          <w:rFonts w:hint="eastAsia"/>
        </w:rPr>
        <w:t>函請交通部</w:t>
      </w:r>
      <w:r w:rsidR="001A1816" w:rsidRPr="00393DBB">
        <w:rPr>
          <w:rFonts w:hint="eastAsia"/>
        </w:rPr>
        <w:t>確實檢討改進</w:t>
      </w:r>
      <w:r w:rsidR="00E24061" w:rsidRPr="00393DBB">
        <w:rPr>
          <w:rFonts w:hint="eastAsia"/>
        </w:rPr>
        <w:t>及參處</w:t>
      </w:r>
      <w:proofErr w:type="gramStart"/>
      <w:r w:rsidR="001A1816" w:rsidRPr="00393DBB">
        <w:rPr>
          <w:rFonts w:hint="eastAsia"/>
        </w:rPr>
        <w:t>見復</w:t>
      </w:r>
      <w:r w:rsidRPr="00393DBB">
        <w:rPr>
          <w:rFonts w:hint="eastAsia"/>
        </w:rPr>
        <w:t>。</w:t>
      </w:r>
      <w:proofErr w:type="gramEnd"/>
    </w:p>
    <w:p w14:paraId="315975AD" w14:textId="086FC287" w:rsidR="00E24061" w:rsidRPr="00393DBB" w:rsidRDefault="00E24061" w:rsidP="00A86461">
      <w:pPr>
        <w:pStyle w:val="2"/>
        <w:spacing w:beforeLines="25" w:before="114"/>
        <w:ind w:left="1020" w:hanging="680"/>
      </w:pPr>
      <w:r w:rsidRPr="00393DBB">
        <w:rPr>
          <w:rFonts w:hint="eastAsia"/>
        </w:rPr>
        <w:t>調查意見函請審計部參考。</w:t>
      </w:r>
    </w:p>
    <w:p w14:paraId="69C24CB6" w14:textId="656ADFBC" w:rsidR="00E25849" w:rsidRPr="00393DBB" w:rsidRDefault="00DF3D93">
      <w:pPr>
        <w:pStyle w:val="2"/>
      </w:pPr>
      <w:bookmarkStart w:id="119" w:name="_Toc2400397"/>
      <w:bookmarkStart w:id="120" w:name="_Toc4316191"/>
      <w:bookmarkStart w:id="121" w:name="_Toc4473332"/>
      <w:bookmarkStart w:id="122" w:name="_Toc69556901"/>
      <w:bookmarkStart w:id="123" w:name="_Toc69556950"/>
      <w:bookmarkStart w:id="124" w:name="_Toc69609824"/>
      <w:bookmarkStart w:id="125" w:name="_Toc70241822"/>
      <w:bookmarkStart w:id="126" w:name="_Toc70242211"/>
      <w:bookmarkStart w:id="127" w:name="_Toc421794881"/>
      <w:bookmarkStart w:id="128" w:name="_Toc421795447"/>
      <w:bookmarkStart w:id="129" w:name="_Toc421796028"/>
      <w:bookmarkStart w:id="130" w:name="_Toc422728963"/>
      <w:bookmarkStart w:id="131" w:name="_Toc422834166"/>
      <w:bookmarkStart w:id="132" w:name="_Toc184085511"/>
      <w:bookmarkEnd w:id="102"/>
      <w:bookmarkEnd w:id="103"/>
      <w:bookmarkEnd w:id="104"/>
      <w:bookmarkEnd w:id="105"/>
      <w:bookmarkEnd w:id="106"/>
      <w:bookmarkEnd w:id="107"/>
      <w:bookmarkEnd w:id="108"/>
      <w:bookmarkEnd w:id="109"/>
      <w:bookmarkEnd w:id="110"/>
      <w:bookmarkEnd w:id="111"/>
      <w:bookmarkEnd w:id="112"/>
      <w:r w:rsidRPr="00DF3D93">
        <w:rPr>
          <w:rFonts w:hint="eastAsia"/>
        </w:rPr>
        <w:t>調查報告之案由、調查意見及處理辦法(不含附錄)，於</w:t>
      </w:r>
      <w:proofErr w:type="gramStart"/>
      <w:r w:rsidRPr="00DF3D93">
        <w:rPr>
          <w:rFonts w:hint="eastAsia"/>
        </w:rPr>
        <w:t>個</w:t>
      </w:r>
      <w:proofErr w:type="gramEnd"/>
      <w:r w:rsidRPr="00DF3D93">
        <w:rPr>
          <w:rFonts w:hint="eastAsia"/>
        </w:rPr>
        <w:t>資隱匿後，上網公布。</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5E05DE0C" w14:textId="77777777" w:rsidR="00770453" w:rsidRPr="00393DBB" w:rsidRDefault="00770453" w:rsidP="00DF3D93">
      <w:pPr>
        <w:pStyle w:val="ae"/>
        <w:spacing w:before="0" w:after="0" w:line="680" w:lineRule="exact"/>
        <w:ind w:leftChars="1100" w:left="3742"/>
        <w:rPr>
          <w:b w:val="0"/>
          <w:bCs/>
          <w:snapToGrid/>
          <w:spacing w:val="12"/>
          <w:kern w:val="0"/>
          <w:sz w:val="40"/>
        </w:rPr>
      </w:pPr>
    </w:p>
    <w:p w14:paraId="22245CD6" w14:textId="216D1A08" w:rsidR="00E25849" w:rsidRDefault="00E25849" w:rsidP="00DF3D93">
      <w:pPr>
        <w:pStyle w:val="ae"/>
        <w:spacing w:before="0" w:after="0" w:line="680" w:lineRule="exact"/>
        <w:ind w:leftChars="1100" w:left="3742"/>
        <w:rPr>
          <w:b w:val="0"/>
          <w:bCs/>
          <w:snapToGrid/>
          <w:spacing w:val="12"/>
          <w:kern w:val="0"/>
          <w:sz w:val="40"/>
        </w:rPr>
      </w:pPr>
      <w:r w:rsidRPr="00393DBB">
        <w:rPr>
          <w:rFonts w:hint="eastAsia"/>
          <w:b w:val="0"/>
          <w:bCs/>
          <w:snapToGrid/>
          <w:spacing w:val="12"/>
          <w:kern w:val="0"/>
          <w:sz w:val="40"/>
        </w:rPr>
        <w:t>調查委員：</w:t>
      </w:r>
      <w:r w:rsidR="00DF3D93">
        <w:rPr>
          <w:rFonts w:hint="eastAsia"/>
          <w:b w:val="0"/>
          <w:bCs/>
          <w:snapToGrid/>
          <w:spacing w:val="12"/>
          <w:kern w:val="0"/>
          <w:sz w:val="40"/>
        </w:rPr>
        <w:t>張菊芳</w:t>
      </w:r>
    </w:p>
    <w:p w14:paraId="718C77B3" w14:textId="3608478D" w:rsidR="00DF3D93" w:rsidRDefault="00DF3D93" w:rsidP="00DF3D93">
      <w:pPr>
        <w:pStyle w:val="ae"/>
        <w:spacing w:before="0" w:after="0" w:line="680" w:lineRule="exact"/>
        <w:ind w:leftChars="1100" w:left="3742" w:firstLineChars="503" w:firstLine="2234"/>
        <w:rPr>
          <w:b w:val="0"/>
          <w:bCs/>
          <w:snapToGrid/>
          <w:spacing w:val="12"/>
          <w:kern w:val="0"/>
          <w:sz w:val="40"/>
        </w:rPr>
      </w:pPr>
      <w:r>
        <w:rPr>
          <w:rFonts w:hint="eastAsia"/>
          <w:b w:val="0"/>
          <w:bCs/>
          <w:snapToGrid/>
          <w:spacing w:val="12"/>
          <w:kern w:val="0"/>
          <w:sz w:val="40"/>
        </w:rPr>
        <w:t>陳景峻</w:t>
      </w:r>
    </w:p>
    <w:p w14:paraId="76ADC1DD" w14:textId="3FC55714" w:rsidR="00DF3D93" w:rsidRPr="00393DBB" w:rsidRDefault="00DF3D93" w:rsidP="00DF3D93">
      <w:pPr>
        <w:pStyle w:val="ae"/>
        <w:spacing w:before="0" w:after="0" w:line="680" w:lineRule="exact"/>
        <w:ind w:leftChars="1100" w:left="3742" w:firstLineChars="503" w:firstLine="2234"/>
        <w:rPr>
          <w:b w:val="0"/>
          <w:bCs/>
          <w:snapToGrid/>
          <w:spacing w:val="12"/>
          <w:kern w:val="0"/>
          <w:sz w:val="40"/>
        </w:rPr>
      </w:pPr>
      <w:r>
        <w:rPr>
          <w:rFonts w:hint="eastAsia"/>
          <w:b w:val="0"/>
          <w:bCs/>
          <w:snapToGrid/>
          <w:spacing w:val="12"/>
          <w:kern w:val="0"/>
          <w:sz w:val="40"/>
        </w:rPr>
        <w:t>郭文東</w:t>
      </w:r>
    </w:p>
    <w:p w14:paraId="680A357D" w14:textId="77777777" w:rsidR="00770453" w:rsidRPr="00393DBB" w:rsidRDefault="00770453" w:rsidP="00770453">
      <w:pPr>
        <w:pStyle w:val="ae"/>
        <w:spacing w:before="0" w:after="0"/>
        <w:ind w:leftChars="1100" w:left="3742"/>
        <w:rPr>
          <w:rFonts w:ascii="Times New Roman"/>
          <w:b w:val="0"/>
          <w:bCs/>
          <w:snapToGrid/>
          <w:spacing w:val="0"/>
          <w:kern w:val="0"/>
          <w:sz w:val="40"/>
        </w:rPr>
      </w:pPr>
    </w:p>
    <w:p w14:paraId="2EE7ACC1" w14:textId="7A84F896" w:rsidR="00E24061" w:rsidRPr="00393DBB" w:rsidRDefault="00E24061">
      <w:pPr>
        <w:widowControl/>
        <w:overflowPunct/>
        <w:autoSpaceDE/>
        <w:autoSpaceDN/>
        <w:jc w:val="left"/>
        <w:rPr>
          <w:kern w:val="32"/>
        </w:rPr>
      </w:pPr>
      <w:bookmarkStart w:id="133" w:name="_Toc184085512"/>
      <w:bookmarkStart w:id="134" w:name="_Toc422834170"/>
      <w:bookmarkEnd w:id="133"/>
      <w:bookmarkEnd w:id="134"/>
    </w:p>
    <w:sectPr w:rsidR="00E24061" w:rsidRPr="00393DBB" w:rsidSect="00283BAF">
      <w:footerReference w:type="default" r:id="rId11"/>
      <w:footnotePr>
        <w:numRestart w:val="eachSect"/>
      </w:footnotePr>
      <w:type w:val="continuous"/>
      <w:pgSz w:w="11907" w:h="16840" w:code="9"/>
      <w:pgMar w:top="1701" w:right="1418" w:bottom="1418" w:left="1418" w:header="794" w:footer="794"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A25E4" w14:textId="77777777" w:rsidR="00D44053" w:rsidRDefault="00D44053">
      <w:r>
        <w:separator/>
      </w:r>
    </w:p>
  </w:endnote>
  <w:endnote w:type="continuationSeparator" w:id="0">
    <w:p w14:paraId="75D1B5B1" w14:textId="77777777" w:rsidR="00D44053" w:rsidRDefault="00D44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細明體">
    <w:charset w:val="88"/>
    <w:family w:val="modern"/>
    <w:pitch w:val="fixed"/>
    <w:sig w:usb0="00000001" w:usb1="08080000" w:usb2="00000010" w:usb3="00000000" w:csb0="00100000" w:csb1="00000000"/>
  </w:font>
  <w:font w:name="Arial Unicode MS">
    <w:panose1 w:val="020B0604020202020204"/>
    <w:charset w:val="88"/>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標楷體.">
    <w:altName w:val="標楷體"/>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B6DBD" w14:textId="77777777" w:rsidR="00393DBB" w:rsidRDefault="00393DBB">
    <w:pPr>
      <w:pStyle w:val="af9"/>
      <w:framePr w:wrap="around" w:vAnchor="text" w:hAnchor="margin" w:xAlign="center" w:y="1"/>
      <w:rPr>
        <w:rStyle w:val="af0"/>
        <w:sz w:val="24"/>
      </w:rPr>
    </w:pPr>
    <w:r>
      <w:rPr>
        <w:rStyle w:val="af0"/>
        <w:sz w:val="24"/>
      </w:rPr>
      <w:fldChar w:fldCharType="begin"/>
    </w:r>
    <w:r>
      <w:rPr>
        <w:rStyle w:val="af0"/>
        <w:sz w:val="24"/>
      </w:rPr>
      <w:instrText xml:space="preserve">PAGE  </w:instrText>
    </w:r>
    <w:r>
      <w:rPr>
        <w:rStyle w:val="af0"/>
        <w:sz w:val="24"/>
      </w:rPr>
      <w:fldChar w:fldCharType="separate"/>
    </w:r>
    <w:r>
      <w:rPr>
        <w:rStyle w:val="af0"/>
        <w:noProof/>
        <w:sz w:val="24"/>
      </w:rPr>
      <w:t>1</w:t>
    </w:r>
    <w:r>
      <w:rPr>
        <w:rStyle w:val="af0"/>
        <w:sz w:val="24"/>
      </w:rPr>
      <w:fldChar w:fldCharType="end"/>
    </w:r>
  </w:p>
  <w:p w14:paraId="3D883FF1" w14:textId="77777777" w:rsidR="00393DBB" w:rsidRDefault="00393D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75966" w14:textId="77777777" w:rsidR="00D44053" w:rsidRDefault="00D44053">
      <w:r>
        <w:separator/>
      </w:r>
    </w:p>
  </w:footnote>
  <w:footnote w:type="continuationSeparator" w:id="0">
    <w:p w14:paraId="3CC2FE66" w14:textId="77777777" w:rsidR="00D44053" w:rsidRDefault="00D44053">
      <w:r>
        <w:continuationSeparator/>
      </w:r>
    </w:p>
  </w:footnote>
  <w:footnote w:id="1">
    <w:p w14:paraId="1E4BB733" w14:textId="77777777" w:rsidR="00393DBB" w:rsidRDefault="00393DBB" w:rsidP="00A86461">
      <w:pPr>
        <w:pStyle w:val="afff2"/>
        <w:kinsoku w:val="0"/>
        <w:wordWrap w:val="0"/>
        <w:ind w:left="176" w:hangingChars="80" w:hanging="176"/>
        <w:jc w:val="both"/>
      </w:pPr>
      <w:r>
        <w:rPr>
          <w:rStyle w:val="afff4"/>
        </w:rPr>
        <w:footnoteRef/>
      </w:r>
      <w:r>
        <w:t xml:space="preserve"> </w:t>
      </w:r>
      <w:r w:rsidRPr="006D4024">
        <w:rPr>
          <w:rFonts w:hint="eastAsia"/>
        </w:rPr>
        <w:t>8</w:t>
      </w:r>
      <w:r>
        <w:rPr>
          <w:rFonts w:hint="eastAsia"/>
        </w:rPr>
        <w:t>0</w:t>
      </w:r>
      <w:r w:rsidRPr="006D4024">
        <w:rPr>
          <w:rFonts w:hint="eastAsia"/>
        </w:rPr>
        <w:t>年</w:t>
      </w:r>
      <w:r w:rsidRPr="006D4024">
        <w:rPr>
          <w:rFonts w:hint="eastAsia"/>
        </w:rPr>
        <w:t>5</w:t>
      </w:r>
      <w:r w:rsidRPr="006D4024">
        <w:rPr>
          <w:rFonts w:hint="eastAsia"/>
        </w:rPr>
        <w:t>月</w:t>
      </w:r>
      <w:r w:rsidRPr="006D4024">
        <w:rPr>
          <w:rFonts w:hint="eastAsia"/>
        </w:rPr>
        <w:t>2</w:t>
      </w:r>
      <w:r w:rsidRPr="006D4024">
        <w:rPr>
          <w:rFonts w:hint="eastAsia"/>
        </w:rPr>
        <w:t>日內政部台內營字第</w:t>
      </w:r>
      <w:r w:rsidRPr="006D4024">
        <w:rPr>
          <w:rFonts w:hint="eastAsia"/>
        </w:rPr>
        <w:t>914491</w:t>
      </w:r>
      <w:r w:rsidRPr="006D4024">
        <w:rPr>
          <w:rFonts w:hint="eastAsia"/>
        </w:rPr>
        <w:t>號函頒實施</w:t>
      </w:r>
      <w:r>
        <w:rPr>
          <w:rFonts w:hint="eastAsia"/>
        </w:rPr>
        <w:t>、</w:t>
      </w:r>
      <w:r w:rsidRPr="006D4024">
        <w:rPr>
          <w:rFonts w:hint="eastAsia"/>
        </w:rPr>
        <w:t>82</w:t>
      </w:r>
      <w:r w:rsidRPr="006D4024">
        <w:rPr>
          <w:rFonts w:hint="eastAsia"/>
        </w:rPr>
        <w:t>年</w:t>
      </w:r>
      <w:r w:rsidRPr="006D4024">
        <w:rPr>
          <w:rFonts w:hint="eastAsia"/>
        </w:rPr>
        <w:t>12</w:t>
      </w:r>
      <w:r w:rsidRPr="006D4024">
        <w:rPr>
          <w:rFonts w:hint="eastAsia"/>
        </w:rPr>
        <w:t>月</w:t>
      </w:r>
      <w:r w:rsidRPr="006D4024">
        <w:rPr>
          <w:rFonts w:hint="eastAsia"/>
        </w:rPr>
        <w:t>22</w:t>
      </w:r>
      <w:r w:rsidRPr="006D4024">
        <w:rPr>
          <w:rFonts w:hint="eastAsia"/>
        </w:rPr>
        <w:t>日內政部台內營字第</w:t>
      </w:r>
      <w:r w:rsidRPr="006D4024">
        <w:rPr>
          <w:rFonts w:hint="eastAsia"/>
        </w:rPr>
        <w:t>8289415</w:t>
      </w:r>
      <w:r w:rsidRPr="006D4024">
        <w:rPr>
          <w:rFonts w:hint="eastAsia"/>
        </w:rPr>
        <w:t>號函</w:t>
      </w:r>
      <w:r>
        <w:rPr>
          <w:rFonts w:hint="eastAsia"/>
        </w:rPr>
        <w:t>、</w:t>
      </w:r>
      <w:r w:rsidRPr="006D4024">
        <w:rPr>
          <w:rFonts w:hint="eastAsia"/>
        </w:rPr>
        <w:t>84</w:t>
      </w:r>
      <w:r w:rsidRPr="006D4024">
        <w:rPr>
          <w:rFonts w:hint="eastAsia"/>
        </w:rPr>
        <w:t>年</w:t>
      </w:r>
      <w:r w:rsidRPr="006D4024">
        <w:rPr>
          <w:rFonts w:hint="eastAsia"/>
        </w:rPr>
        <w:t>12</w:t>
      </w:r>
      <w:r w:rsidRPr="006D4024">
        <w:rPr>
          <w:rFonts w:hint="eastAsia"/>
        </w:rPr>
        <w:t>月</w:t>
      </w:r>
      <w:r w:rsidRPr="006D4024">
        <w:rPr>
          <w:rFonts w:hint="eastAsia"/>
        </w:rPr>
        <w:t>12</w:t>
      </w:r>
      <w:r w:rsidRPr="006D4024">
        <w:rPr>
          <w:rFonts w:hint="eastAsia"/>
        </w:rPr>
        <w:t>日內政部台內營字第</w:t>
      </w:r>
      <w:r w:rsidRPr="006D4024">
        <w:rPr>
          <w:rFonts w:hint="eastAsia"/>
        </w:rPr>
        <w:t>8486759</w:t>
      </w:r>
      <w:r w:rsidRPr="006D4024">
        <w:rPr>
          <w:rFonts w:hint="eastAsia"/>
        </w:rPr>
        <w:t>號函</w:t>
      </w:r>
      <w:r w:rsidRPr="00705359">
        <w:rPr>
          <w:rFonts w:hint="eastAsia"/>
        </w:rPr>
        <w:t>頒修正</w:t>
      </w:r>
      <w:r>
        <w:rPr>
          <w:rFonts w:hint="eastAsia"/>
        </w:rPr>
        <w:t>、</w:t>
      </w:r>
      <w:r w:rsidRPr="006D4024">
        <w:rPr>
          <w:rFonts w:hint="eastAsia"/>
        </w:rPr>
        <w:t>86</w:t>
      </w:r>
      <w:r w:rsidRPr="006D4024">
        <w:rPr>
          <w:rFonts w:hint="eastAsia"/>
        </w:rPr>
        <w:t>年</w:t>
      </w:r>
      <w:r w:rsidRPr="006D4024">
        <w:rPr>
          <w:rFonts w:hint="eastAsia"/>
        </w:rPr>
        <w:t>1</w:t>
      </w:r>
      <w:r w:rsidRPr="006D4024">
        <w:rPr>
          <w:rFonts w:hint="eastAsia"/>
        </w:rPr>
        <w:t>月</w:t>
      </w:r>
      <w:r w:rsidRPr="006D4024">
        <w:rPr>
          <w:rFonts w:hint="eastAsia"/>
        </w:rPr>
        <w:t>18</w:t>
      </w:r>
      <w:r w:rsidRPr="006D4024">
        <w:rPr>
          <w:rFonts w:hint="eastAsia"/>
        </w:rPr>
        <w:t>日內政部台內營字第</w:t>
      </w:r>
      <w:r w:rsidRPr="006D4024">
        <w:rPr>
          <w:rFonts w:hint="eastAsia"/>
        </w:rPr>
        <w:t>8601218</w:t>
      </w:r>
      <w:r w:rsidRPr="006D4024">
        <w:rPr>
          <w:rFonts w:hint="eastAsia"/>
        </w:rPr>
        <w:t>號函</w:t>
      </w:r>
      <w:r w:rsidRPr="00705359">
        <w:rPr>
          <w:rFonts w:hint="eastAsia"/>
        </w:rPr>
        <w:t>頒修正</w:t>
      </w:r>
      <w:r>
        <w:rPr>
          <w:rFonts w:hint="eastAsia"/>
        </w:rPr>
        <w:t>、</w:t>
      </w:r>
      <w:r w:rsidRPr="006D4024">
        <w:rPr>
          <w:rFonts w:hint="eastAsia"/>
        </w:rPr>
        <w:t>89</w:t>
      </w:r>
      <w:r w:rsidRPr="006D4024">
        <w:rPr>
          <w:rFonts w:hint="eastAsia"/>
        </w:rPr>
        <w:t>年</w:t>
      </w:r>
      <w:r w:rsidRPr="006D4024">
        <w:rPr>
          <w:rFonts w:hint="eastAsia"/>
        </w:rPr>
        <w:t>5</w:t>
      </w:r>
      <w:r w:rsidRPr="006D4024">
        <w:rPr>
          <w:rFonts w:hint="eastAsia"/>
        </w:rPr>
        <w:t>月</w:t>
      </w:r>
      <w:r w:rsidRPr="006D4024">
        <w:rPr>
          <w:rFonts w:hint="eastAsia"/>
        </w:rPr>
        <w:t>17</w:t>
      </w:r>
      <w:r w:rsidRPr="006D4024">
        <w:rPr>
          <w:rFonts w:hint="eastAsia"/>
        </w:rPr>
        <w:t>日內政部台內營字第</w:t>
      </w:r>
      <w:r w:rsidRPr="006D4024">
        <w:rPr>
          <w:rFonts w:hint="eastAsia"/>
        </w:rPr>
        <w:t>8983373</w:t>
      </w:r>
      <w:r w:rsidRPr="006D4024">
        <w:rPr>
          <w:rFonts w:hint="eastAsia"/>
        </w:rPr>
        <w:t>號函修正發布名稱及全文</w:t>
      </w:r>
      <w:r w:rsidRPr="006D4024">
        <w:rPr>
          <w:rFonts w:hint="eastAsia"/>
        </w:rPr>
        <w:t>8</w:t>
      </w:r>
      <w:r w:rsidRPr="006D4024">
        <w:rPr>
          <w:rFonts w:hint="eastAsia"/>
        </w:rPr>
        <w:t>點</w:t>
      </w:r>
      <w:r>
        <w:rPr>
          <w:rFonts w:hint="eastAsia"/>
        </w:rPr>
        <w:t>(</w:t>
      </w:r>
      <w:r w:rsidRPr="006D4024">
        <w:rPr>
          <w:rFonts w:hint="eastAsia"/>
        </w:rPr>
        <w:t>原名稱：營建廢棄土處理方案</w:t>
      </w:r>
      <w:r>
        <w:rPr>
          <w:rFonts w:hint="eastAsia"/>
        </w:rPr>
        <w:t>)</w:t>
      </w:r>
      <w:r>
        <w:rPr>
          <w:rFonts w:hint="eastAsia"/>
        </w:rPr>
        <w:t>、</w:t>
      </w:r>
      <w:r w:rsidRPr="006D4024">
        <w:rPr>
          <w:rFonts w:hint="eastAsia"/>
        </w:rPr>
        <w:t>90</w:t>
      </w:r>
      <w:r w:rsidRPr="006D4024">
        <w:rPr>
          <w:rFonts w:hint="eastAsia"/>
        </w:rPr>
        <w:t>年</w:t>
      </w:r>
      <w:r w:rsidRPr="006D4024">
        <w:rPr>
          <w:rFonts w:hint="eastAsia"/>
        </w:rPr>
        <w:t>10</w:t>
      </w:r>
      <w:r w:rsidRPr="006D4024">
        <w:rPr>
          <w:rFonts w:hint="eastAsia"/>
        </w:rPr>
        <w:t>月</w:t>
      </w:r>
      <w:r w:rsidRPr="006D4024">
        <w:rPr>
          <w:rFonts w:hint="eastAsia"/>
        </w:rPr>
        <w:t>19</w:t>
      </w:r>
      <w:r w:rsidRPr="006D4024">
        <w:rPr>
          <w:rFonts w:hint="eastAsia"/>
        </w:rPr>
        <w:t>日內政部台內營字第</w:t>
      </w:r>
      <w:r w:rsidRPr="006D4024">
        <w:rPr>
          <w:rFonts w:hint="eastAsia"/>
        </w:rPr>
        <w:t>9014714</w:t>
      </w:r>
      <w:r w:rsidRPr="006D4024">
        <w:rPr>
          <w:rFonts w:hint="eastAsia"/>
        </w:rPr>
        <w:t>號函修正</w:t>
      </w:r>
      <w:r>
        <w:rPr>
          <w:rFonts w:hint="eastAsia"/>
        </w:rPr>
        <w:t>、</w:t>
      </w:r>
      <w:r w:rsidRPr="006D4024">
        <w:rPr>
          <w:rFonts w:hint="eastAsia"/>
        </w:rPr>
        <w:t>92</w:t>
      </w:r>
      <w:r w:rsidRPr="006D4024">
        <w:rPr>
          <w:rFonts w:hint="eastAsia"/>
        </w:rPr>
        <w:t>年</w:t>
      </w:r>
      <w:r w:rsidRPr="006D4024">
        <w:rPr>
          <w:rFonts w:hint="eastAsia"/>
        </w:rPr>
        <w:t>9</w:t>
      </w:r>
      <w:r w:rsidRPr="006D4024">
        <w:rPr>
          <w:rFonts w:hint="eastAsia"/>
        </w:rPr>
        <w:t>月</w:t>
      </w:r>
      <w:r w:rsidRPr="006D4024">
        <w:rPr>
          <w:rFonts w:hint="eastAsia"/>
        </w:rPr>
        <w:t>16</w:t>
      </w:r>
      <w:r w:rsidRPr="006D4024">
        <w:rPr>
          <w:rFonts w:hint="eastAsia"/>
        </w:rPr>
        <w:t>日行政院台內字第</w:t>
      </w:r>
      <w:r w:rsidRPr="006D4024">
        <w:rPr>
          <w:rFonts w:hint="eastAsia"/>
        </w:rPr>
        <w:t>0920088854</w:t>
      </w:r>
      <w:r w:rsidRPr="006D4024">
        <w:rPr>
          <w:rFonts w:hint="eastAsia"/>
        </w:rPr>
        <w:t>號函修正發布</w:t>
      </w:r>
      <w:r>
        <w:rPr>
          <w:rFonts w:hint="eastAsia"/>
        </w:rPr>
        <w:t>、</w:t>
      </w:r>
      <w:r w:rsidRPr="006D4024">
        <w:rPr>
          <w:rFonts w:hint="eastAsia"/>
        </w:rPr>
        <w:t>95</w:t>
      </w:r>
      <w:r w:rsidRPr="006D4024">
        <w:rPr>
          <w:rFonts w:hint="eastAsia"/>
        </w:rPr>
        <w:t>年</w:t>
      </w:r>
      <w:r w:rsidRPr="006D4024">
        <w:rPr>
          <w:rFonts w:hint="eastAsia"/>
        </w:rPr>
        <w:t>12</w:t>
      </w:r>
      <w:r w:rsidRPr="006D4024">
        <w:rPr>
          <w:rFonts w:hint="eastAsia"/>
        </w:rPr>
        <w:t>月</w:t>
      </w:r>
      <w:r w:rsidRPr="006D4024">
        <w:rPr>
          <w:rFonts w:hint="eastAsia"/>
        </w:rPr>
        <w:t>2</w:t>
      </w:r>
      <w:r>
        <w:rPr>
          <w:rFonts w:hint="eastAsia"/>
        </w:rPr>
        <w:t>9</w:t>
      </w:r>
      <w:r w:rsidRPr="006D4024">
        <w:rPr>
          <w:rFonts w:hint="eastAsia"/>
        </w:rPr>
        <w:t>日</w:t>
      </w:r>
      <w:r w:rsidRPr="00DD30EB">
        <w:rPr>
          <w:rFonts w:hint="eastAsia"/>
        </w:rPr>
        <w:t>台內營字第</w:t>
      </w:r>
      <w:r w:rsidRPr="00DD30EB">
        <w:rPr>
          <w:rFonts w:hint="eastAsia"/>
        </w:rPr>
        <w:t>0950808145</w:t>
      </w:r>
      <w:r w:rsidRPr="00DD30EB">
        <w:rPr>
          <w:rFonts w:hint="eastAsia"/>
        </w:rPr>
        <w:t>號函頒修正</w:t>
      </w:r>
      <w:r>
        <w:rPr>
          <w:rFonts w:hint="eastAsia"/>
        </w:rPr>
        <w:t>、</w:t>
      </w:r>
      <w:r w:rsidRPr="006D4024">
        <w:rPr>
          <w:rFonts w:hint="eastAsia"/>
        </w:rPr>
        <w:t>96</w:t>
      </w:r>
      <w:r w:rsidRPr="006D4024">
        <w:rPr>
          <w:rFonts w:hint="eastAsia"/>
        </w:rPr>
        <w:t>年</w:t>
      </w:r>
      <w:r w:rsidRPr="006D4024">
        <w:rPr>
          <w:rFonts w:hint="eastAsia"/>
        </w:rPr>
        <w:t>3</w:t>
      </w:r>
      <w:r w:rsidRPr="006D4024">
        <w:rPr>
          <w:rFonts w:hint="eastAsia"/>
        </w:rPr>
        <w:t>月</w:t>
      </w:r>
      <w:r w:rsidRPr="006D4024">
        <w:rPr>
          <w:rFonts w:hint="eastAsia"/>
        </w:rPr>
        <w:t>15</w:t>
      </w:r>
      <w:r w:rsidRPr="006D4024">
        <w:rPr>
          <w:rFonts w:hint="eastAsia"/>
        </w:rPr>
        <w:t>日內政部台內營字第</w:t>
      </w:r>
      <w:r w:rsidRPr="006D4024">
        <w:rPr>
          <w:rFonts w:hint="eastAsia"/>
        </w:rPr>
        <w:t>0960035196</w:t>
      </w:r>
      <w:r w:rsidRPr="006D4024">
        <w:rPr>
          <w:rFonts w:hint="eastAsia"/>
        </w:rPr>
        <w:t>號函修正</w:t>
      </w:r>
      <w:r>
        <w:rPr>
          <w:rFonts w:hint="eastAsia"/>
        </w:rPr>
        <w:t>、</w:t>
      </w:r>
      <w:r w:rsidRPr="006D4024">
        <w:rPr>
          <w:rFonts w:hint="eastAsia"/>
        </w:rPr>
        <w:t>108</w:t>
      </w:r>
      <w:r w:rsidRPr="006D4024">
        <w:rPr>
          <w:rFonts w:hint="eastAsia"/>
        </w:rPr>
        <w:t>年</w:t>
      </w:r>
      <w:r w:rsidRPr="006D4024">
        <w:rPr>
          <w:rFonts w:hint="eastAsia"/>
        </w:rPr>
        <w:t>9</w:t>
      </w:r>
      <w:r w:rsidRPr="006D4024">
        <w:rPr>
          <w:rFonts w:hint="eastAsia"/>
        </w:rPr>
        <w:t>月</w:t>
      </w:r>
      <w:r w:rsidRPr="006D4024">
        <w:rPr>
          <w:rFonts w:hint="eastAsia"/>
        </w:rPr>
        <w:t>11</w:t>
      </w:r>
      <w:r w:rsidRPr="006D4024">
        <w:rPr>
          <w:rFonts w:hint="eastAsia"/>
        </w:rPr>
        <w:t>日內政部台內營字第</w:t>
      </w:r>
      <w:r w:rsidRPr="006D4024">
        <w:rPr>
          <w:rFonts w:hint="eastAsia"/>
        </w:rPr>
        <w:t>1080815785</w:t>
      </w:r>
      <w:r w:rsidRPr="006D4024">
        <w:rPr>
          <w:rFonts w:hint="eastAsia"/>
        </w:rPr>
        <w:t>號函頒修正</w:t>
      </w:r>
      <w:r>
        <w:rPr>
          <w:rFonts w:hint="eastAsia"/>
        </w:rPr>
        <w:t>、</w:t>
      </w:r>
      <w:r w:rsidRPr="006D4024">
        <w:rPr>
          <w:rFonts w:hint="eastAsia"/>
        </w:rPr>
        <w:t>113</w:t>
      </w:r>
      <w:r w:rsidRPr="006D4024">
        <w:rPr>
          <w:rFonts w:hint="eastAsia"/>
        </w:rPr>
        <w:t>年</w:t>
      </w:r>
      <w:r w:rsidRPr="006D4024">
        <w:rPr>
          <w:rFonts w:hint="eastAsia"/>
        </w:rPr>
        <w:t>5</w:t>
      </w:r>
      <w:r w:rsidRPr="006D4024">
        <w:rPr>
          <w:rFonts w:hint="eastAsia"/>
        </w:rPr>
        <w:t>月</w:t>
      </w:r>
      <w:r w:rsidRPr="006D4024">
        <w:rPr>
          <w:rFonts w:hint="eastAsia"/>
        </w:rPr>
        <w:t>15</w:t>
      </w:r>
      <w:r w:rsidRPr="006D4024">
        <w:rPr>
          <w:rFonts w:hint="eastAsia"/>
        </w:rPr>
        <w:t>日內政部台內國字第</w:t>
      </w:r>
      <w:r w:rsidRPr="006D4024">
        <w:rPr>
          <w:rFonts w:hint="eastAsia"/>
        </w:rPr>
        <w:t>1130804415</w:t>
      </w:r>
      <w:r w:rsidRPr="006D4024">
        <w:rPr>
          <w:rFonts w:hint="eastAsia"/>
        </w:rPr>
        <w:t>號函頒修正</w:t>
      </w:r>
      <w:r>
        <w:rPr>
          <w:rFonts w:hint="eastAsia"/>
        </w:rPr>
        <w:t>。</w:t>
      </w:r>
    </w:p>
  </w:footnote>
  <w:footnote w:id="2">
    <w:p w14:paraId="75DC1C56" w14:textId="769B7D25" w:rsidR="00393DBB" w:rsidRDefault="00393DBB" w:rsidP="00EF666A">
      <w:pPr>
        <w:pStyle w:val="afff2"/>
        <w:ind w:left="220" w:hangingChars="100" w:hanging="220"/>
        <w:rPr>
          <w:lang w:eastAsia="zh-TW"/>
        </w:rPr>
      </w:pPr>
      <w:r>
        <w:rPr>
          <w:rStyle w:val="afff4"/>
        </w:rPr>
        <w:footnoteRef/>
      </w:r>
      <w:r>
        <w:t xml:space="preserve"> </w:t>
      </w:r>
      <w:r w:rsidRPr="00EF666A">
        <w:rPr>
          <w:rFonts w:ascii="標楷體" w:eastAsia="標楷體" w:hAnsi="標楷體" w:hint="eastAsia"/>
          <w:lang w:eastAsia="zh-TW"/>
        </w:rPr>
        <w:t>資料來源：</w:t>
      </w:r>
      <w:r w:rsidRPr="00EF666A">
        <w:rPr>
          <w:rFonts w:ascii="標楷體" w:eastAsia="標楷體" w:hAnsi="標楷體" w:hint="eastAsia"/>
          <w:color w:val="000000" w:themeColor="text1"/>
        </w:rPr>
        <w:t>營建剩餘土石方</w:t>
      </w:r>
      <w:r w:rsidRPr="00EF666A">
        <w:rPr>
          <w:rFonts w:ascii="標楷體" w:eastAsia="標楷體" w:hAnsi="標楷體" w:hint="eastAsia"/>
          <w:color w:val="000000" w:themeColor="text1"/>
          <w:lang w:eastAsia="zh-TW"/>
        </w:rPr>
        <w:t>資訊服務中心</w:t>
      </w:r>
      <w:r w:rsidRPr="00EF666A">
        <w:rPr>
          <w:rFonts w:ascii="標楷體" w:eastAsia="標楷體" w:hAnsi="標楷體"/>
          <w:lang w:eastAsia="zh-TW"/>
        </w:rPr>
        <w:t>https://www.soilmove.tw/soilmove/gpsInfo</w:t>
      </w:r>
      <w:r>
        <w:rPr>
          <w:rFonts w:ascii="標楷體" w:eastAsia="標楷體" w:hAnsi="標楷體" w:hint="eastAsia"/>
          <w:lang w:eastAsia="zh-TW"/>
        </w:rPr>
        <w:t>，114年1月</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ECAF454"/>
    <w:lvl w:ilvl="0">
      <w:start w:val="1"/>
      <w:numFmt w:val="bullet"/>
      <w:pStyle w:val="a"/>
      <w:lvlText w:val=""/>
      <w:lvlJc w:val="left"/>
      <w:pPr>
        <w:tabs>
          <w:tab w:val="num" w:pos="219"/>
        </w:tabs>
        <w:ind w:leftChars="200" w:left="219" w:hangingChars="200" w:hanging="360"/>
      </w:pPr>
      <w:rPr>
        <w:rFonts w:ascii="Wingdings" w:hAnsi="Wingdings" w:hint="default"/>
      </w:rPr>
    </w:lvl>
  </w:abstractNum>
  <w:abstractNum w:abstractNumId="1" w15:restartNumberingAfterBreak="0">
    <w:nsid w:val="02F35A8C"/>
    <w:multiLevelType w:val="multilevel"/>
    <w:tmpl w:val="BCBCF06E"/>
    <w:lvl w:ilvl="0">
      <w:start w:val="1"/>
      <w:numFmt w:val="ideographLegalTraditional"/>
      <w:pStyle w:val="a0"/>
      <w:suff w:val="nothing"/>
      <w:lvlText w:val="%1、"/>
      <w:lvlJc w:val="left"/>
      <w:pPr>
        <w:ind w:left="1254" w:hanging="1134"/>
      </w:pPr>
      <w:rPr>
        <w:rFonts w:ascii="Times New Roman" w:eastAsia="標楷體" w:hAnsi="Times New Roman" w:hint="default"/>
        <w:b w:val="0"/>
        <w:i w:val="0"/>
        <w:sz w:val="32"/>
      </w:rPr>
    </w:lvl>
    <w:lvl w:ilvl="1">
      <w:start w:val="1"/>
      <w:numFmt w:val="taiwaneseCountingThousand"/>
      <w:lvlText w:val="%2、"/>
      <w:lvlJc w:val="left"/>
      <w:pPr>
        <w:tabs>
          <w:tab w:val="num" w:pos="720"/>
        </w:tabs>
        <w:ind w:left="720" w:hanging="720"/>
      </w:pPr>
      <w:rPr>
        <w:rFonts w:hint="eastAsia"/>
      </w:rPr>
    </w:lvl>
    <w:lvl w:ilvl="2">
      <w:start w:val="1"/>
      <w:numFmt w:val="taiwaneseCountingThousand"/>
      <w:suff w:val="nothing"/>
      <w:lvlText w:val="(%3)"/>
      <w:lvlJc w:val="left"/>
      <w:pPr>
        <w:ind w:left="1378" w:hanging="527"/>
      </w:pPr>
      <w:rPr>
        <w:rFonts w:ascii="Times New Roman" w:eastAsia="標楷體" w:hAnsi="Times New Roman" w:hint="default"/>
        <w:b w:val="0"/>
        <w:i w:val="0"/>
        <w:sz w:val="32"/>
      </w:rPr>
    </w:lvl>
    <w:lvl w:ilvl="3">
      <w:start w:val="1"/>
      <w:numFmt w:val="decimalFullWidth"/>
      <w:suff w:val="nothing"/>
      <w:lvlText w:val="%4、"/>
      <w:lvlJc w:val="left"/>
      <w:pPr>
        <w:ind w:left="1605" w:hanging="641"/>
      </w:pPr>
      <w:rPr>
        <w:rFonts w:ascii="Times New Roman" w:eastAsia="標楷體" w:hAnsi="Times New Roman" w:hint="default"/>
        <w:b w:val="0"/>
        <w:i w:val="0"/>
        <w:sz w:val="32"/>
      </w:rPr>
    </w:lvl>
    <w:lvl w:ilvl="4">
      <w:start w:val="1"/>
      <w:numFmt w:val="decimal"/>
      <w:lvlText w:val="%5."/>
      <w:lvlJc w:val="left"/>
      <w:pPr>
        <w:tabs>
          <w:tab w:val="num" w:pos="360"/>
        </w:tabs>
        <w:ind w:left="360" w:hanging="36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2" w15:restartNumberingAfterBreak="0">
    <w:nsid w:val="081F43FE"/>
    <w:multiLevelType w:val="hybridMultilevel"/>
    <w:tmpl w:val="58C275BC"/>
    <w:lvl w:ilvl="0" w:tplc="74685D60">
      <w:start w:val="1"/>
      <w:numFmt w:val="taiwaneseCountingThousand"/>
      <w:pStyle w:val="a1"/>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9A22A8B"/>
    <w:multiLevelType w:val="hybridMultilevel"/>
    <w:tmpl w:val="34F28458"/>
    <w:lvl w:ilvl="0" w:tplc="C8FCF8B2">
      <w:start w:val="1"/>
      <w:numFmt w:val="taiwaneseCountingThousand"/>
      <w:lvlText w:val="%1、"/>
      <w:lvlJc w:val="left"/>
      <w:pPr>
        <w:tabs>
          <w:tab w:val="num" w:pos="1571"/>
        </w:tabs>
        <w:ind w:left="1571" w:hanging="720"/>
      </w:pPr>
      <w:rPr>
        <w:rFonts w:hint="default"/>
        <w:lang w:val="en-US"/>
      </w:rPr>
    </w:lvl>
    <w:lvl w:ilvl="1" w:tplc="F264990A">
      <w:start w:val="1"/>
      <w:numFmt w:val="taiwaneseCountingThousand"/>
      <w:pStyle w:val="3"/>
      <w:lvlText w:val="(%2)"/>
      <w:lvlJc w:val="left"/>
      <w:pPr>
        <w:tabs>
          <w:tab w:val="num" w:pos="905"/>
        </w:tabs>
        <w:ind w:left="905" w:hanging="567"/>
      </w:pPr>
      <w:rPr>
        <w:rFonts w:hint="eastAsia"/>
        <w:lang w:val="en-US"/>
      </w:rPr>
    </w:lvl>
    <w:lvl w:ilvl="2" w:tplc="0409000F">
      <w:start w:val="1"/>
      <w:numFmt w:val="decimal"/>
      <w:lvlText w:val="%3."/>
      <w:lvlJc w:val="left"/>
      <w:pPr>
        <w:tabs>
          <w:tab w:val="num" w:pos="1298"/>
        </w:tabs>
        <w:ind w:left="1298" w:hanging="480"/>
      </w:pPr>
    </w:lvl>
    <w:lvl w:ilvl="3" w:tplc="0409000F">
      <w:start w:val="1"/>
      <w:numFmt w:val="decimal"/>
      <w:lvlText w:val="%4."/>
      <w:lvlJc w:val="left"/>
      <w:pPr>
        <w:tabs>
          <w:tab w:val="num" w:pos="1778"/>
        </w:tabs>
        <w:ind w:left="1778" w:hanging="480"/>
      </w:pPr>
    </w:lvl>
    <w:lvl w:ilvl="4" w:tplc="86E8038C">
      <w:start w:val="1"/>
      <w:numFmt w:val="decimal"/>
      <w:lvlText w:val="(%5)"/>
      <w:lvlJc w:val="left"/>
      <w:pPr>
        <w:ind w:left="2498" w:hanging="720"/>
      </w:pPr>
      <w:rPr>
        <w:rFonts w:hint="default"/>
      </w:rPr>
    </w:lvl>
    <w:lvl w:ilvl="5" w:tplc="0409001B" w:tentative="1">
      <w:start w:val="1"/>
      <w:numFmt w:val="lowerRoman"/>
      <w:lvlText w:val="%6."/>
      <w:lvlJc w:val="right"/>
      <w:pPr>
        <w:tabs>
          <w:tab w:val="num" w:pos="2738"/>
        </w:tabs>
        <w:ind w:left="2738" w:hanging="480"/>
      </w:pPr>
    </w:lvl>
    <w:lvl w:ilvl="6" w:tplc="0409000F" w:tentative="1">
      <w:start w:val="1"/>
      <w:numFmt w:val="decimal"/>
      <w:lvlText w:val="%7."/>
      <w:lvlJc w:val="left"/>
      <w:pPr>
        <w:tabs>
          <w:tab w:val="num" w:pos="3218"/>
        </w:tabs>
        <w:ind w:left="3218" w:hanging="480"/>
      </w:pPr>
    </w:lvl>
    <w:lvl w:ilvl="7" w:tplc="04090019" w:tentative="1">
      <w:start w:val="1"/>
      <w:numFmt w:val="ideographTraditional"/>
      <w:lvlText w:val="%8、"/>
      <w:lvlJc w:val="left"/>
      <w:pPr>
        <w:tabs>
          <w:tab w:val="num" w:pos="3698"/>
        </w:tabs>
        <w:ind w:left="3698" w:hanging="480"/>
      </w:pPr>
    </w:lvl>
    <w:lvl w:ilvl="8" w:tplc="0409001B" w:tentative="1">
      <w:start w:val="1"/>
      <w:numFmt w:val="lowerRoman"/>
      <w:lvlText w:val="%9."/>
      <w:lvlJc w:val="right"/>
      <w:pPr>
        <w:tabs>
          <w:tab w:val="num" w:pos="4178"/>
        </w:tabs>
        <w:ind w:left="4178" w:hanging="480"/>
      </w:pPr>
    </w:lvl>
  </w:abstractNum>
  <w:abstractNum w:abstractNumId="4" w15:restartNumberingAfterBreak="0">
    <w:nsid w:val="0E0047C9"/>
    <w:multiLevelType w:val="hybridMultilevel"/>
    <w:tmpl w:val="79A063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0E010C"/>
    <w:multiLevelType w:val="multilevel"/>
    <w:tmpl w:val="6FDE197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0"/>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9532EFC"/>
    <w:multiLevelType w:val="hybridMultilevel"/>
    <w:tmpl w:val="7CBA69F8"/>
    <w:lvl w:ilvl="0" w:tplc="178A5CEA">
      <w:start w:val="1"/>
      <w:numFmt w:val="taiwaneseCountingThousand"/>
      <w:pStyle w:val="a2"/>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B6A66B7"/>
    <w:multiLevelType w:val="hybridMultilevel"/>
    <w:tmpl w:val="AACE34E0"/>
    <w:lvl w:ilvl="0" w:tplc="04090001">
      <w:start w:val="1"/>
      <w:numFmt w:val="bullet"/>
      <w:lvlText w:val=""/>
      <w:lvlJc w:val="left"/>
      <w:pPr>
        <w:ind w:left="310" w:hanging="480"/>
      </w:pPr>
      <w:rPr>
        <w:rFonts w:ascii="Wingdings" w:hAnsi="Wingdings" w:hint="default"/>
      </w:rPr>
    </w:lvl>
    <w:lvl w:ilvl="1" w:tplc="04090003" w:tentative="1">
      <w:start w:val="1"/>
      <w:numFmt w:val="bullet"/>
      <w:lvlText w:val=""/>
      <w:lvlJc w:val="left"/>
      <w:pPr>
        <w:ind w:left="790" w:hanging="480"/>
      </w:pPr>
      <w:rPr>
        <w:rFonts w:ascii="Wingdings" w:hAnsi="Wingdings" w:hint="default"/>
      </w:rPr>
    </w:lvl>
    <w:lvl w:ilvl="2" w:tplc="04090005" w:tentative="1">
      <w:start w:val="1"/>
      <w:numFmt w:val="bullet"/>
      <w:lvlText w:val=""/>
      <w:lvlJc w:val="left"/>
      <w:pPr>
        <w:ind w:left="1270" w:hanging="480"/>
      </w:pPr>
      <w:rPr>
        <w:rFonts w:ascii="Wingdings" w:hAnsi="Wingdings" w:hint="default"/>
      </w:rPr>
    </w:lvl>
    <w:lvl w:ilvl="3" w:tplc="04090001" w:tentative="1">
      <w:start w:val="1"/>
      <w:numFmt w:val="bullet"/>
      <w:lvlText w:val=""/>
      <w:lvlJc w:val="left"/>
      <w:pPr>
        <w:ind w:left="1750" w:hanging="480"/>
      </w:pPr>
      <w:rPr>
        <w:rFonts w:ascii="Wingdings" w:hAnsi="Wingdings" w:hint="default"/>
      </w:rPr>
    </w:lvl>
    <w:lvl w:ilvl="4" w:tplc="04090003" w:tentative="1">
      <w:start w:val="1"/>
      <w:numFmt w:val="bullet"/>
      <w:lvlText w:val=""/>
      <w:lvlJc w:val="left"/>
      <w:pPr>
        <w:ind w:left="2230" w:hanging="480"/>
      </w:pPr>
      <w:rPr>
        <w:rFonts w:ascii="Wingdings" w:hAnsi="Wingdings" w:hint="default"/>
      </w:rPr>
    </w:lvl>
    <w:lvl w:ilvl="5" w:tplc="04090005" w:tentative="1">
      <w:start w:val="1"/>
      <w:numFmt w:val="bullet"/>
      <w:lvlText w:val=""/>
      <w:lvlJc w:val="left"/>
      <w:pPr>
        <w:ind w:left="2710" w:hanging="480"/>
      </w:pPr>
      <w:rPr>
        <w:rFonts w:ascii="Wingdings" w:hAnsi="Wingdings" w:hint="default"/>
      </w:rPr>
    </w:lvl>
    <w:lvl w:ilvl="6" w:tplc="04090001" w:tentative="1">
      <w:start w:val="1"/>
      <w:numFmt w:val="bullet"/>
      <w:lvlText w:val=""/>
      <w:lvlJc w:val="left"/>
      <w:pPr>
        <w:ind w:left="3190" w:hanging="480"/>
      </w:pPr>
      <w:rPr>
        <w:rFonts w:ascii="Wingdings" w:hAnsi="Wingdings" w:hint="default"/>
      </w:rPr>
    </w:lvl>
    <w:lvl w:ilvl="7" w:tplc="04090003" w:tentative="1">
      <w:start w:val="1"/>
      <w:numFmt w:val="bullet"/>
      <w:lvlText w:val=""/>
      <w:lvlJc w:val="left"/>
      <w:pPr>
        <w:ind w:left="3670" w:hanging="480"/>
      </w:pPr>
      <w:rPr>
        <w:rFonts w:ascii="Wingdings" w:hAnsi="Wingdings" w:hint="default"/>
      </w:rPr>
    </w:lvl>
    <w:lvl w:ilvl="8" w:tplc="04090005" w:tentative="1">
      <w:start w:val="1"/>
      <w:numFmt w:val="bullet"/>
      <w:lvlText w:val=""/>
      <w:lvlJc w:val="left"/>
      <w:pPr>
        <w:ind w:left="4150" w:hanging="480"/>
      </w:pPr>
      <w:rPr>
        <w:rFonts w:ascii="Wingdings" w:hAnsi="Wingdings" w:hint="default"/>
      </w:rPr>
    </w:lvl>
  </w:abstractNum>
  <w:abstractNum w:abstractNumId="8" w15:restartNumberingAfterBreak="0">
    <w:nsid w:val="26E569DF"/>
    <w:multiLevelType w:val="hybridMultilevel"/>
    <w:tmpl w:val="A6102604"/>
    <w:lvl w:ilvl="0" w:tplc="9CBC630E">
      <w:start w:val="1"/>
      <w:numFmt w:val="ideographLegalTraditional"/>
      <w:lvlText w:val="%1、"/>
      <w:lvlJc w:val="left"/>
      <w:pPr>
        <w:tabs>
          <w:tab w:val="num" w:pos="810"/>
        </w:tabs>
        <w:ind w:left="810" w:hanging="810"/>
      </w:pPr>
      <w:rPr>
        <w:rFonts w:hint="eastAsia"/>
      </w:rPr>
    </w:lvl>
    <w:lvl w:ilvl="1" w:tplc="D974E2DE">
      <w:start w:val="1"/>
      <w:numFmt w:val="taiwaneseCountingThousand"/>
      <w:lvlText w:val="%2、"/>
      <w:lvlJc w:val="left"/>
      <w:pPr>
        <w:tabs>
          <w:tab w:val="num" w:pos="1200"/>
        </w:tabs>
        <w:ind w:left="1200" w:hanging="720"/>
      </w:pPr>
      <w:rPr>
        <w:rFonts w:eastAsia="標楷體" w:hint="eastAsia"/>
        <w:b w:val="0"/>
        <w:i w:val="0"/>
        <w:caps w:val="0"/>
        <w:strike w:val="0"/>
        <w:dstrike w:val="0"/>
        <w:outline w:val="0"/>
        <w:shadow w:val="0"/>
        <w:emboss w:val="0"/>
        <w:imprint w:val="0"/>
        <w:vanish w:val="0"/>
        <w:sz w:val="40"/>
        <w:vertAlign w:val="baseline"/>
      </w:rPr>
    </w:lvl>
    <w:lvl w:ilvl="2" w:tplc="CC14C33A">
      <w:start w:val="1"/>
      <w:numFmt w:val="taiwaneseCountingThousand"/>
      <w:pStyle w:val="a3"/>
      <w:lvlText w:val="（%3）"/>
      <w:lvlJc w:val="left"/>
      <w:pPr>
        <w:tabs>
          <w:tab w:val="num" w:pos="2040"/>
        </w:tabs>
        <w:ind w:left="2040" w:hanging="1080"/>
      </w:pPr>
      <w:rPr>
        <w:rFonts w:hint="eastAsia"/>
      </w:rPr>
    </w:lvl>
    <w:lvl w:ilvl="3" w:tplc="04102FE0">
      <w:start w:val="1"/>
      <w:numFmt w:val="decimal"/>
      <w:lvlText w:val="%4."/>
      <w:lvlJc w:val="left"/>
      <w:pPr>
        <w:tabs>
          <w:tab w:val="num" w:pos="1800"/>
        </w:tabs>
        <w:ind w:left="1800" w:hanging="360"/>
      </w:pPr>
      <w:rPr>
        <w:rFonts w:hint="eastAsia"/>
      </w:rPr>
    </w:lvl>
    <w:lvl w:ilvl="4" w:tplc="5B1A8E0E">
      <w:start w:val="1"/>
      <w:numFmt w:val="decimal"/>
      <w:lvlText w:val="（%5）"/>
      <w:lvlJc w:val="left"/>
      <w:pPr>
        <w:tabs>
          <w:tab w:val="num" w:pos="2640"/>
        </w:tabs>
        <w:ind w:left="2640" w:hanging="72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4457B5D"/>
    <w:multiLevelType w:val="hybridMultilevel"/>
    <w:tmpl w:val="D236140E"/>
    <w:lvl w:ilvl="0" w:tplc="C6BEFC10">
      <w:start w:val="1"/>
      <w:numFmt w:val="decimal"/>
      <w:lvlText w:val="%1."/>
      <w:lvlJc w:val="left"/>
      <w:pPr>
        <w:ind w:left="1013" w:hanging="481"/>
      </w:pPr>
      <w:rPr>
        <w:rFonts w:ascii="標楷體" w:eastAsia="標楷體" w:hAnsi="標楷體" w:cs="標楷體" w:hint="default"/>
        <w:spacing w:val="0"/>
        <w:w w:val="99"/>
        <w:sz w:val="20"/>
        <w:szCs w:val="20"/>
      </w:rPr>
    </w:lvl>
    <w:lvl w:ilvl="1" w:tplc="88801142">
      <w:start w:val="1"/>
      <w:numFmt w:val="decimal"/>
      <w:lvlText w:val="%2."/>
      <w:lvlJc w:val="left"/>
      <w:pPr>
        <w:ind w:left="1565" w:hanging="322"/>
      </w:pPr>
      <w:rPr>
        <w:rFonts w:ascii="標楷體" w:eastAsia="標楷體" w:hAnsi="標楷體" w:cs="標楷體" w:hint="default"/>
        <w:spacing w:val="1"/>
        <w:w w:val="99"/>
        <w:sz w:val="30"/>
        <w:szCs w:val="30"/>
      </w:rPr>
    </w:lvl>
    <w:lvl w:ilvl="2" w:tplc="90F81BE2">
      <w:numFmt w:val="bullet"/>
      <w:lvlText w:val="•"/>
      <w:lvlJc w:val="left"/>
      <w:pPr>
        <w:ind w:left="2589" w:hanging="322"/>
      </w:pPr>
      <w:rPr>
        <w:rFonts w:hint="default"/>
      </w:rPr>
    </w:lvl>
    <w:lvl w:ilvl="3" w:tplc="248A0D3A">
      <w:numFmt w:val="bullet"/>
      <w:lvlText w:val="•"/>
      <w:lvlJc w:val="left"/>
      <w:pPr>
        <w:ind w:left="3619" w:hanging="322"/>
      </w:pPr>
      <w:rPr>
        <w:rFonts w:hint="default"/>
      </w:rPr>
    </w:lvl>
    <w:lvl w:ilvl="4" w:tplc="C7D0F732">
      <w:numFmt w:val="bullet"/>
      <w:lvlText w:val="•"/>
      <w:lvlJc w:val="left"/>
      <w:pPr>
        <w:ind w:left="4648" w:hanging="322"/>
      </w:pPr>
      <w:rPr>
        <w:rFonts w:hint="default"/>
      </w:rPr>
    </w:lvl>
    <w:lvl w:ilvl="5" w:tplc="FE06BAF8">
      <w:numFmt w:val="bullet"/>
      <w:lvlText w:val="•"/>
      <w:lvlJc w:val="left"/>
      <w:pPr>
        <w:ind w:left="5678" w:hanging="322"/>
      </w:pPr>
      <w:rPr>
        <w:rFonts w:hint="default"/>
      </w:rPr>
    </w:lvl>
    <w:lvl w:ilvl="6" w:tplc="35BAAAAE">
      <w:numFmt w:val="bullet"/>
      <w:lvlText w:val="•"/>
      <w:lvlJc w:val="left"/>
      <w:pPr>
        <w:ind w:left="6708" w:hanging="322"/>
      </w:pPr>
      <w:rPr>
        <w:rFonts w:hint="default"/>
      </w:rPr>
    </w:lvl>
    <w:lvl w:ilvl="7" w:tplc="68DE698A">
      <w:numFmt w:val="bullet"/>
      <w:lvlText w:val="•"/>
      <w:lvlJc w:val="left"/>
      <w:pPr>
        <w:ind w:left="7737" w:hanging="322"/>
      </w:pPr>
      <w:rPr>
        <w:rFonts w:hint="default"/>
      </w:rPr>
    </w:lvl>
    <w:lvl w:ilvl="8" w:tplc="3EA6F9F4">
      <w:numFmt w:val="bullet"/>
      <w:lvlText w:val="•"/>
      <w:lvlJc w:val="left"/>
      <w:pPr>
        <w:ind w:left="8767" w:hanging="322"/>
      </w:pPr>
      <w:rPr>
        <w:rFonts w:hint="default"/>
      </w:rPr>
    </w:lvl>
  </w:abstractNum>
  <w:abstractNum w:abstractNumId="10" w15:restartNumberingAfterBreak="0">
    <w:nsid w:val="3CFE143F"/>
    <w:multiLevelType w:val="hybridMultilevel"/>
    <w:tmpl w:val="59847926"/>
    <w:lvl w:ilvl="0" w:tplc="A1A269AC">
      <w:start w:val="1"/>
      <w:numFmt w:val="decimal"/>
      <w:pStyle w:val="a4"/>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1523EB"/>
    <w:multiLevelType w:val="hybridMultilevel"/>
    <w:tmpl w:val="05AE3BB2"/>
    <w:lvl w:ilvl="0" w:tplc="6DE67236">
      <w:start w:val="1"/>
      <w:numFmt w:val="taiwaneseCountingThousand"/>
      <w:pStyle w:val="a5"/>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5F5684"/>
    <w:multiLevelType w:val="hybridMultilevel"/>
    <w:tmpl w:val="69AC4E96"/>
    <w:lvl w:ilvl="0" w:tplc="68E69F56">
      <w:start w:val="1"/>
      <w:numFmt w:val="decimal"/>
      <w:pStyle w:val="a6"/>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11422BC"/>
    <w:multiLevelType w:val="singleLevel"/>
    <w:tmpl w:val="9E665860"/>
    <w:lvl w:ilvl="0">
      <w:start w:val="1"/>
      <w:numFmt w:val="taiwaneseCountingThousand"/>
      <w:pStyle w:val="a7"/>
      <w:lvlText w:val="（%1）"/>
      <w:lvlJc w:val="left"/>
      <w:pPr>
        <w:tabs>
          <w:tab w:val="num" w:pos="975"/>
        </w:tabs>
        <w:ind w:left="975" w:hanging="975"/>
      </w:pPr>
      <w:rPr>
        <w:rFonts w:hint="eastAsia"/>
      </w:rPr>
    </w:lvl>
  </w:abstractNum>
  <w:abstractNum w:abstractNumId="14" w15:restartNumberingAfterBreak="0">
    <w:nsid w:val="523E5FA4"/>
    <w:multiLevelType w:val="hybridMultilevel"/>
    <w:tmpl w:val="D11EF9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2BA770F"/>
    <w:multiLevelType w:val="hybridMultilevel"/>
    <w:tmpl w:val="F8F090FE"/>
    <w:lvl w:ilvl="0" w:tplc="E0A0E0C8">
      <w:start w:val="1"/>
      <w:numFmt w:val="upperLetter"/>
      <w:pStyle w:val="a8"/>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E54857"/>
    <w:multiLevelType w:val="hybridMultilevel"/>
    <w:tmpl w:val="DD243272"/>
    <w:lvl w:ilvl="0" w:tplc="9D2669BE">
      <w:start w:val="1"/>
      <w:numFmt w:val="decimal"/>
      <w:pStyle w:val="a9"/>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A485D93"/>
    <w:multiLevelType w:val="hybridMultilevel"/>
    <w:tmpl w:val="5B9A81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6"/>
  </w:num>
  <w:num w:numId="3">
    <w:abstractNumId w:val="2"/>
  </w:num>
  <w:num w:numId="4">
    <w:abstractNumId w:val="12"/>
  </w:num>
  <w:num w:numId="5">
    <w:abstractNumId w:val="10"/>
  </w:num>
  <w:num w:numId="6">
    <w:abstractNumId w:val="15"/>
  </w:num>
  <w:num w:numId="7">
    <w:abstractNumId w:val="5"/>
  </w:num>
  <w:num w:numId="8">
    <w:abstractNumId w:val="16"/>
  </w:num>
  <w:num w:numId="9">
    <w:abstractNumId w:val="11"/>
  </w:num>
  <w:num w:numId="10">
    <w:abstractNumId w:val="8"/>
  </w:num>
  <w:num w:numId="11">
    <w:abstractNumId w:val="13"/>
  </w:num>
  <w:num w:numId="12">
    <w:abstractNumId w:val="0"/>
  </w:num>
  <w:num w:numId="13">
    <w:abstractNumId w:val="1"/>
  </w:num>
  <w:num w:numId="14">
    <w:abstractNumId w:val="3"/>
  </w:num>
  <w:num w:numId="15">
    <w:abstractNumId w:val="4"/>
  </w:num>
  <w:num w:numId="16">
    <w:abstractNumId w:val="14"/>
  </w:num>
  <w:num w:numId="17">
    <w:abstractNumId w:val="17"/>
  </w:num>
  <w:num w:numId="18">
    <w:abstractNumId w:val="7"/>
  </w:num>
  <w:num w:numId="19">
    <w:abstractNumId w:val="9"/>
  </w:num>
  <w:num w:numId="20">
    <w:abstractNumId w:val="12"/>
    <w:lvlOverride w:ilvl="0">
      <w:startOverride w:val="1"/>
    </w:lvlOverride>
  </w:num>
  <w:num w:numId="21">
    <w:abstractNumId w:val="12"/>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1A9"/>
    <w:rsid w:val="00005B64"/>
    <w:rsid w:val="00006164"/>
    <w:rsid w:val="00006961"/>
    <w:rsid w:val="000112BF"/>
    <w:rsid w:val="00012104"/>
    <w:rsid w:val="00012233"/>
    <w:rsid w:val="00015CB8"/>
    <w:rsid w:val="00017318"/>
    <w:rsid w:val="000229AD"/>
    <w:rsid w:val="000246F7"/>
    <w:rsid w:val="0003114D"/>
    <w:rsid w:val="000341C3"/>
    <w:rsid w:val="00036D76"/>
    <w:rsid w:val="00047D69"/>
    <w:rsid w:val="000525C8"/>
    <w:rsid w:val="00057F32"/>
    <w:rsid w:val="00062A25"/>
    <w:rsid w:val="000648FA"/>
    <w:rsid w:val="00073CB5"/>
    <w:rsid w:val="0007425C"/>
    <w:rsid w:val="00074458"/>
    <w:rsid w:val="00077553"/>
    <w:rsid w:val="000851A2"/>
    <w:rsid w:val="000917CB"/>
    <w:rsid w:val="0009352E"/>
    <w:rsid w:val="00096B96"/>
    <w:rsid w:val="000971E2"/>
    <w:rsid w:val="000A2F3F"/>
    <w:rsid w:val="000A7105"/>
    <w:rsid w:val="000B0B4A"/>
    <w:rsid w:val="000B279A"/>
    <w:rsid w:val="000B495E"/>
    <w:rsid w:val="000B61D2"/>
    <w:rsid w:val="000B70A7"/>
    <w:rsid w:val="000B73DD"/>
    <w:rsid w:val="000C1E8F"/>
    <w:rsid w:val="000C495F"/>
    <w:rsid w:val="000C64EA"/>
    <w:rsid w:val="000D1CC6"/>
    <w:rsid w:val="000D66D9"/>
    <w:rsid w:val="000D6EA4"/>
    <w:rsid w:val="000E639D"/>
    <w:rsid w:val="000E6431"/>
    <w:rsid w:val="000F21A5"/>
    <w:rsid w:val="00102B9F"/>
    <w:rsid w:val="00104D2E"/>
    <w:rsid w:val="00112637"/>
    <w:rsid w:val="00112ABC"/>
    <w:rsid w:val="00116D7E"/>
    <w:rsid w:val="0012001E"/>
    <w:rsid w:val="0012511C"/>
    <w:rsid w:val="00126A55"/>
    <w:rsid w:val="00133F08"/>
    <w:rsid w:val="00133F80"/>
    <w:rsid w:val="001345E6"/>
    <w:rsid w:val="001378B0"/>
    <w:rsid w:val="00142E00"/>
    <w:rsid w:val="00152793"/>
    <w:rsid w:val="00153B7E"/>
    <w:rsid w:val="001545A9"/>
    <w:rsid w:val="00162793"/>
    <w:rsid w:val="001637AF"/>
    <w:rsid w:val="001637C7"/>
    <w:rsid w:val="0016480E"/>
    <w:rsid w:val="00174297"/>
    <w:rsid w:val="001748ED"/>
    <w:rsid w:val="00180E06"/>
    <w:rsid w:val="001817B3"/>
    <w:rsid w:val="00183014"/>
    <w:rsid w:val="001858F7"/>
    <w:rsid w:val="001959C2"/>
    <w:rsid w:val="00195F2D"/>
    <w:rsid w:val="001A1816"/>
    <w:rsid w:val="001A1E1B"/>
    <w:rsid w:val="001A51E3"/>
    <w:rsid w:val="001A7968"/>
    <w:rsid w:val="001B00D9"/>
    <w:rsid w:val="001B02A1"/>
    <w:rsid w:val="001B2E98"/>
    <w:rsid w:val="001B3483"/>
    <w:rsid w:val="001B3C1E"/>
    <w:rsid w:val="001B4494"/>
    <w:rsid w:val="001C0D8B"/>
    <w:rsid w:val="001C0DA8"/>
    <w:rsid w:val="001C3C02"/>
    <w:rsid w:val="001C7EC2"/>
    <w:rsid w:val="001D4AD7"/>
    <w:rsid w:val="001D7633"/>
    <w:rsid w:val="001E0D8A"/>
    <w:rsid w:val="001E29FD"/>
    <w:rsid w:val="001E67BA"/>
    <w:rsid w:val="001E74C2"/>
    <w:rsid w:val="001E7A4B"/>
    <w:rsid w:val="001F3BFD"/>
    <w:rsid w:val="001F4F82"/>
    <w:rsid w:val="001F5A48"/>
    <w:rsid w:val="001F6260"/>
    <w:rsid w:val="001F6F84"/>
    <w:rsid w:val="00200007"/>
    <w:rsid w:val="002030A5"/>
    <w:rsid w:val="00203131"/>
    <w:rsid w:val="00203AD3"/>
    <w:rsid w:val="00212E88"/>
    <w:rsid w:val="00213B7C"/>
    <w:rsid w:val="00213C9C"/>
    <w:rsid w:val="0022009E"/>
    <w:rsid w:val="00223241"/>
    <w:rsid w:val="0022425C"/>
    <w:rsid w:val="002246DE"/>
    <w:rsid w:val="002323C2"/>
    <w:rsid w:val="002429E2"/>
    <w:rsid w:val="00245E7C"/>
    <w:rsid w:val="00252BC4"/>
    <w:rsid w:val="00254014"/>
    <w:rsid w:val="00254B39"/>
    <w:rsid w:val="0026504D"/>
    <w:rsid w:val="00272105"/>
    <w:rsid w:val="00273A2F"/>
    <w:rsid w:val="00280986"/>
    <w:rsid w:val="00281ECE"/>
    <w:rsid w:val="002831C7"/>
    <w:rsid w:val="00283BAF"/>
    <w:rsid w:val="002840C6"/>
    <w:rsid w:val="00295174"/>
    <w:rsid w:val="00296172"/>
    <w:rsid w:val="00296B92"/>
    <w:rsid w:val="002A2C22"/>
    <w:rsid w:val="002B02EB"/>
    <w:rsid w:val="002C0602"/>
    <w:rsid w:val="002C3B35"/>
    <w:rsid w:val="002C7EA7"/>
    <w:rsid w:val="002D01F5"/>
    <w:rsid w:val="002D48FE"/>
    <w:rsid w:val="002D5C16"/>
    <w:rsid w:val="002E2717"/>
    <w:rsid w:val="002E7647"/>
    <w:rsid w:val="002F2476"/>
    <w:rsid w:val="002F3DFF"/>
    <w:rsid w:val="002F5E05"/>
    <w:rsid w:val="003057EC"/>
    <w:rsid w:val="00307A76"/>
    <w:rsid w:val="0031455E"/>
    <w:rsid w:val="00315A16"/>
    <w:rsid w:val="00317053"/>
    <w:rsid w:val="0032109C"/>
    <w:rsid w:val="00322B45"/>
    <w:rsid w:val="003234E8"/>
    <w:rsid w:val="00323809"/>
    <w:rsid w:val="00323D41"/>
    <w:rsid w:val="00325414"/>
    <w:rsid w:val="003302F1"/>
    <w:rsid w:val="0034470E"/>
    <w:rsid w:val="00352DB0"/>
    <w:rsid w:val="003545D7"/>
    <w:rsid w:val="00361063"/>
    <w:rsid w:val="0037094A"/>
    <w:rsid w:val="00370A87"/>
    <w:rsid w:val="00371692"/>
    <w:rsid w:val="00371ED3"/>
    <w:rsid w:val="00372659"/>
    <w:rsid w:val="00372FFC"/>
    <w:rsid w:val="0037728A"/>
    <w:rsid w:val="00380B7D"/>
    <w:rsid w:val="00381A99"/>
    <w:rsid w:val="003829C2"/>
    <w:rsid w:val="003830B2"/>
    <w:rsid w:val="00384654"/>
    <w:rsid w:val="00384724"/>
    <w:rsid w:val="003919B7"/>
    <w:rsid w:val="00391D57"/>
    <w:rsid w:val="00392292"/>
    <w:rsid w:val="00393DBB"/>
    <w:rsid w:val="00394F45"/>
    <w:rsid w:val="003A5927"/>
    <w:rsid w:val="003A7330"/>
    <w:rsid w:val="003B1017"/>
    <w:rsid w:val="003B3C07"/>
    <w:rsid w:val="003B6081"/>
    <w:rsid w:val="003B6775"/>
    <w:rsid w:val="003C4DCF"/>
    <w:rsid w:val="003C5FE2"/>
    <w:rsid w:val="003D05FB"/>
    <w:rsid w:val="003D1B16"/>
    <w:rsid w:val="003D45BF"/>
    <w:rsid w:val="003D508A"/>
    <w:rsid w:val="003D537F"/>
    <w:rsid w:val="003D7B75"/>
    <w:rsid w:val="003E0208"/>
    <w:rsid w:val="003E4B57"/>
    <w:rsid w:val="003F27E1"/>
    <w:rsid w:val="003F2B09"/>
    <w:rsid w:val="003F437A"/>
    <w:rsid w:val="003F5C2B"/>
    <w:rsid w:val="00400CE5"/>
    <w:rsid w:val="00402240"/>
    <w:rsid w:val="004023E9"/>
    <w:rsid w:val="0040454A"/>
    <w:rsid w:val="00413F83"/>
    <w:rsid w:val="0041490C"/>
    <w:rsid w:val="00416191"/>
    <w:rsid w:val="00416721"/>
    <w:rsid w:val="00421EF0"/>
    <w:rsid w:val="004224FA"/>
    <w:rsid w:val="00423D07"/>
    <w:rsid w:val="00425DD4"/>
    <w:rsid w:val="00427936"/>
    <w:rsid w:val="004408EA"/>
    <w:rsid w:val="0044346F"/>
    <w:rsid w:val="00453D91"/>
    <w:rsid w:val="00453FF6"/>
    <w:rsid w:val="0046520A"/>
    <w:rsid w:val="0046706A"/>
    <w:rsid w:val="004671C7"/>
    <w:rsid w:val="004672AB"/>
    <w:rsid w:val="004714FE"/>
    <w:rsid w:val="00477BAA"/>
    <w:rsid w:val="004843DF"/>
    <w:rsid w:val="00485C8D"/>
    <w:rsid w:val="00486C72"/>
    <w:rsid w:val="00495053"/>
    <w:rsid w:val="004A1F59"/>
    <w:rsid w:val="004A29BE"/>
    <w:rsid w:val="004A3225"/>
    <w:rsid w:val="004A33EE"/>
    <w:rsid w:val="004A3AA8"/>
    <w:rsid w:val="004B13C7"/>
    <w:rsid w:val="004B778F"/>
    <w:rsid w:val="004C0609"/>
    <w:rsid w:val="004C2696"/>
    <w:rsid w:val="004C639F"/>
    <w:rsid w:val="004D141F"/>
    <w:rsid w:val="004D2742"/>
    <w:rsid w:val="004D3944"/>
    <w:rsid w:val="004D6310"/>
    <w:rsid w:val="004D78DF"/>
    <w:rsid w:val="004E0062"/>
    <w:rsid w:val="004E05A1"/>
    <w:rsid w:val="004E7F21"/>
    <w:rsid w:val="004F472A"/>
    <w:rsid w:val="004F5E57"/>
    <w:rsid w:val="004F6710"/>
    <w:rsid w:val="004F6A34"/>
    <w:rsid w:val="00500C3E"/>
    <w:rsid w:val="00502849"/>
    <w:rsid w:val="0050297C"/>
    <w:rsid w:val="00504334"/>
    <w:rsid w:val="0050493C"/>
    <w:rsid w:val="0050498D"/>
    <w:rsid w:val="005055E6"/>
    <w:rsid w:val="005101D1"/>
    <w:rsid w:val="005104D7"/>
    <w:rsid w:val="00510B9E"/>
    <w:rsid w:val="00517FE7"/>
    <w:rsid w:val="005341B5"/>
    <w:rsid w:val="00536BC2"/>
    <w:rsid w:val="00537E6D"/>
    <w:rsid w:val="00540C1A"/>
    <w:rsid w:val="005425E1"/>
    <w:rsid w:val="005427C5"/>
    <w:rsid w:val="00542CF6"/>
    <w:rsid w:val="00543A43"/>
    <w:rsid w:val="005462B2"/>
    <w:rsid w:val="00553C03"/>
    <w:rsid w:val="005548E7"/>
    <w:rsid w:val="005557D8"/>
    <w:rsid w:val="00560DDA"/>
    <w:rsid w:val="00563692"/>
    <w:rsid w:val="00571679"/>
    <w:rsid w:val="00572794"/>
    <w:rsid w:val="00572F86"/>
    <w:rsid w:val="00582B08"/>
    <w:rsid w:val="00584235"/>
    <w:rsid w:val="005844E7"/>
    <w:rsid w:val="005908B8"/>
    <w:rsid w:val="0059512E"/>
    <w:rsid w:val="005A2865"/>
    <w:rsid w:val="005A6DD2"/>
    <w:rsid w:val="005B3DDF"/>
    <w:rsid w:val="005C385D"/>
    <w:rsid w:val="005D3B20"/>
    <w:rsid w:val="005D71B7"/>
    <w:rsid w:val="005E4759"/>
    <w:rsid w:val="005E5C68"/>
    <w:rsid w:val="005E65C0"/>
    <w:rsid w:val="005F0390"/>
    <w:rsid w:val="0060380F"/>
    <w:rsid w:val="006072CD"/>
    <w:rsid w:val="00612023"/>
    <w:rsid w:val="00614190"/>
    <w:rsid w:val="00622A99"/>
    <w:rsid w:val="00622E67"/>
    <w:rsid w:val="006236E2"/>
    <w:rsid w:val="00626B57"/>
    <w:rsid w:val="00626E08"/>
    <w:rsid w:val="00626EDC"/>
    <w:rsid w:val="00633029"/>
    <w:rsid w:val="00640AC8"/>
    <w:rsid w:val="006452D3"/>
    <w:rsid w:val="006470EC"/>
    <w:rsid w:val="006542D6"/>
    <w:rsid w:val="0065561D"/>
    <w:rsid w:val="0065598E"/>
    <w:rsid w:val="00655AF2"/>
    <w:rsid w:val="00655BC5"/>
    <w:rsid w:val="006568BE"/>
    <w:rsid w:val="00656F3E"/>
    <w:rsid w:val="0066025D"/>
    <w:rsid w:val="0066091A"/>
    <w:rsid w:val="006773EC"/>
    <w:rsid w:val="00680504"/>
    <w:rsid w:val="00680646"/>
    <w:rsid w:val="00681CD9"/>
    <w:rsid w:val="00683E30"/>
    <w:rsid w:val="00684C5B"/>
    <w:rsid w:val="00685608"/>
    <w:rsid w:val="00687024"/>
    <w:rsid w:val="00695E22"/>
    <w:rsid w:val="006A7DDF"/>
    <w:rsid w:val="006B7093"/>
    <w:rsid w:val="006B7417"/>
    <w:rsid w:val="006C7604"/>
    <w:rsid w:val="006D31F9"/>
    <w:rsid w:val="006D3691"/>
    <w:rsid w:val="006D4024"/>
    <w:rsid w:val="006E348E"/>
    <w:rsid w:val="006E467B"/>
    <w:rsid w:val="006E5EF0"/>
    <w:rsid w:val="006F1E08"/>
    <w:rsid w:val="006F277F"/>
    <w:rsid w:val="006F3117"/>
    <w:rsid w:val="006F3563"/>
    <w:rsid w:val="006F42B9"/>
    <w:rsid w:val="006F6103"/>
    <w:rsid w:val="00704E00"/>
    <w:rsid w:val="00705359"/>
    <w:rsid w:val="007209E7"/>
    <w:rsid w:val="00726182"/>
    <w:rsid w:val="00727635"/>
    <w:rsid w:val="00732329"/>
    <w:rsid w:val="007337CA"/>
    <w:rsid w:val="00734CE4"/>
    <w:rsid w:val="00735123"/>
    <w:rsid w:val="00741837"/>
    <w:rsid w:val="00744CDF"/>
    <w:rsid w:val="007453E6"/>
    <w:rsid w:val="00754789"/>
    <w:rsid w:val="0076685B"/>
    <w:rsid w:val="00770453"/>
    <w:rsid w:val="0077309D"/>
    <w:rsid w:val="007774EE"/>
    <w:rsid w:val="00781822"/>
    <w:rsid w:val="00783F21"/>
    <w:rsid w:val="00784979"/>
    <w:rsid w:val="00786AE0"/>
    <w:rsid w:val="00787159"/>
    <w:rsid w:val="00787748"/>
    <w:rsid w:val="0079043A"/>
    <w:rsid w:val="00790C5B"/>
    <w:rsid w:val="00791668"/>
    <w:rsid w:val="00791AA1"/>
    <w:rsid w:val="007A3793"/>
    <w:rsid w:val="007B39B5"/>
    <w:rsid w:val="007C1BA2"/>
    <w:rsid w:val="007C2B48"/>
    <w:rsid w:val="007D20E9"/>
    <w:rsid w:val="007D363D"/>
    <w:rsid w:val="007D7881"/>
    <w:rsid w:val="007D7E3A"/>
    <w:rsid w:val="007E0E10"/>
    <w:rsid w:val="007E0F21"/>
    <w:rsid w:val="007E4768"/>
    <w:rsid w:val="007E777B"/>
    <w:rsid w:val="007F2070"/>
    <w:rsid w:val="007F35A8"/>
    <w:rsid w:val="007F38F4"/>
    <w:rsid w:val="007F63C1"/>
    <w:rsid w:val="0080178A"/>
    <w:rsid w:val="008046DB"/>
    <w:rsid w:val="008053F5"/>
    <w:rsid w:val="00807AF7"/>
    <w:rsid w:val="00810198"/>
    <w:rsid w:val="0081032E"/>
    <w:rsid w:val="00815DA8"/>
    <w:rsid w:val="00821469"/>
    <w:rsid w:val="0082194D"/>
    <w:rsid w:val="008221F9"/>
    <w:rsid w:val="00826EF5"/>
    <w:rsid w:val="00830075"/>
    <w:rsid w:val="00831693"/>
    <w:rsid w:val="00840104"/>
    <w:rsid w:val="00840C1F"/>
    <w:rsid w:val="008411C9"/>
    <w:rsid w:val="00841FC5"/>
    <w:rsid w:val="0084293C"/>
    <w:rsid w:val="00843D0F"/>
    <w:rsid w:val="00845709"/>
    <w:rsid w:val="008458D9"/>
    <w:rsid w:val="008576BD"/>
    <w:rsid w:val="00860463"/>
    <w:rsid w:val="00872E93"/>
    <w:rsid w:val="008733DA"/>
    <w:rsid w:val="00881B5A"/>
    <w:rsid w:val="00884AA5"/>
    <w:rsid w:val="008850E4"/>
    <w:rsid w:val="0088787A"/>
    <w:rsid w:val="008939AB"/>
    <w:rsid w:val="008972ED"/>
    <w:rsid w:val="008A12F5"/>
    <w:rsid w:val="008A188F"/>
    <w:rsid w:val="008B126C"/>
    <w:rsid w:val="008B1587"/>
    <w:rsid w:val="008B180D"/>
    <w:rsid w:val="008B1B01"/>
    <w:rsid w:val="008B3BCD"/>
    <w:rsid w:val="008B6DF8"/>
    <w:rsid w:val="008C106C"/>
    <w:rsid w:val="008C10F1"/>
    <w:rsid w:val="008C1926"/>
    <w:rsid w:val="008C1E99"/>
    <w:rsid w:val="008D48FC"/>
    <w:rsid w:val="008E0085"/>
    <w:rsid w:val="008E2AA6"/>
    <w:rsid w:val="008E311B"/>
    <w:rsid w:val="008F46E7"/>
    <w:rsid w:val="008F64CA"/>
    <w:rsid w:val="008F6F0B"/>
    <w:rsid w:val="008F7E4B"/>
    <w:rsid w:val="009035BA"/>
    <w:rsid w:val="00907BA7"/>
    <w:rsid w:val="0091064E"/>
    <w:rsid w:val="00911FC5"/>
    <w:rsid w:val="0092211F"/>
    <w:rsid w:val="00931A10"/>
    <w:rsid w:val="00933B69"/>
    <w:rsid w:val="00937685"/>
    <w:rsid w:val="00937EA2"/>
    <w:rsid w:val="009407BF"/>
    <w:rsid w:val="0094584C"/>
    <w:rsid w:val="00947967"/>
    <w:rsid w:val="00951020"/>
    <w:rsid w:val="00955201"/>
    <w:rsid w:val="00957C3D"/>
    <w:rsid w:val="00965200"/>
    <w:rsid w:val="009668B3"/>
    <w:rsid w:val="00971471"/>
    <w:rsid w:val="009845B6"/>
    <w:rsid w:val="009849C2"/>
    <w:rsid w:val="00984D24"/>
    <w:rsid w:val="009858EB"/>
    <w:rsid w:val="0099699C"/>
    <w:rsid w:val="009A169A"/>
    <w:rsid w:val="009A3F47"/>
    <w:rsid w:val="009B0046"/>
    <w:rsid w:val="009C1440"/>
    <w:rsid w:val="009C2107"/>
    <w:rsid w:val="009C5D9E"/>
    <w:rsid w:val="009D08E0"/>
    <w:rsid w:val="009D2C3E"/>
    <w:rsid w:val="009E0625"/>
    <w:rsid w:val="009E2941"/>
    <w:rsid w:val="009E3034"/>
    <w:rsid w:val="009E549F"/>
    <w:rsid w:val="009E7D77"/>
    <w:rsid w:val="009F28A8"/>
    <w:rsid w:val="009F4137"/>
    <w:rsid w:val="009F473E"/>
    <w:rsid w:val="009F5247"/>
    <w:rsid w:val="009F64D9"/>
    <w:rsid w:val="009F6629"/>
    <w:rsid w:val="009F682A"/>
    <w:rsid w:val="009F7ED1"/>
    <w:rsid w:val="00A022BE"/>
    <w:rsid w:val="00A04773"/>
    <w:rsid w:val="00A07B4B"/>
    <w:rsid w:val="00A24C95"/>
    <w:rsid w:val="00A2599A"/>
    <w:rsid w:val="00A26094"/>
    <w:rsid w:val="00A264F1"/>
    <w:rsid w:val="00A301BF"/>
    <w:rsid w:val="00A302B2"/>
    <w:rsid w:val="00A331B4"/>
    <w:rsid w:val="00A3484E"/>
    <w:rsid w:val="00A355AD"/>
    <w:rsid w:val="00A356D3"/>
    <w:rsid w:val="00A36ADA"/>
    <w:rsid w:val="00A37C4D"/>
    <w:rsid w:val="00A43460"/>
    <w:rsid w:val="00A438D8"/>
    <w:rsid w:val="00A473F5"/>
    <w:rsid w:val="00A512CA"/>
    <w:rsid w:val="00A51ABA"/>
    <w:rsid w:val="00A51F9D"/>
    <w:rsid w:val="00A53D6C"/>
    <w:rsid w:val="00A5416A"/>
    <w:rsid w:val="00A621ED"/>
    <w:rsid w:val="00A623A5"/>
    <w:rsid w:val="00A639F4"/>
    <w:rsid w:val="00A65864"/>
    <w:rsid w:val="00A65FAE"/>
    <w:rsid w:val="00A81A32"/>
    <w:rsid w:val="00A835BD"/>
    <w:rsid w:val="00A86461"/>
    <w:rsid w:val="00A912E4"/>
    <w:rsid w:val="00A97B15"/>
    <w:rsid w:val="00AA28C2"/>
    <w:rsid w:val="00AA42D5"/>
    <w:rsid w:val="00AA49F5"/>
    <w:rsid w:val="00AB2FAB"/>
    <w:rsid w:val="00AB5C14"/>
    <w:rsid w:val="00AC1450"/>
    <w:rsid w:val="00AC1EE7"/>
    <w:rsid w:val="00AC333F"/>
    <w:rsid w:val="00AC585C"/>
    <w:rsid w:val="00AD1925"/>
    <w:rsid w:val="00AE067D"/>
    <w:rsid w:val="00AE2879"/>
    <w:rsid w:val="00AF1181"/>
    <w:rsid w:val="00AF2F79"/>
    <w:rsid w:val="00AF4653"/>
    <w:rsid w:val="00AF7DB7"/>
    <w:rsid w:val="00B006B5"/>
    <w:rsid w:val="00B05BB1"/>
    <w:rsid w:val="00B10D02"/>
    <w:rsid w:val="00B144BD"/>
    <w:rsid w:val="00B15E73"/>
    <w:rsid w:val="00B201E2"/>
    <w:rsid w:val="00B3022A"/>
    <w:rsid w:val="00B33324"/>
    <w:rsid w:val="00B42B27"/>
    <w:rsid w:val="00B443E4"/>
    <w:rsid w:val="00B44797"/>
    <w:rsid w:val="00B5484D"/>
    <w:rsid w:val="00B563EA"/>
    <w:rsid w:val="00B56CDF"/>
    <w:rsid w:val="00B60E51"/>
    <w:rsid w:val="00B63A54"/>
    <w:rsid w:val="00B65ECA"/>
    <w:rsid w:val="00B77D18"/>
    <w:rsid w:val="00B8313A"/>
    <w:rsid w:val="00B84BBA"/>
    <w:rsid w:val="00B868C3"/>
    <w:rsid w:val="00B93503"/>
    <w:rsid w:val="00BA31E8"/>
    <w:rsid w:val="00BA55E0"/>
    <w:rsid w:val="00BA6BD4"/>
    <w:rsid w:val="00BA6C7A"/>
    <w:rsid w:val="00BB17D1"/>
    <w:rsid w:val="00BB25D5"/>
    <w:rsid w:val="00BB2786"/>
    <w:rsid w:val="00BB3752"/>
    <w:rsid w:val="00BB6688"/>
    <w:rsid w:val="00BC26D4"/>
    <w:rsid w:val="00BC567B"/>
    <w:rsid w:val="00BC5EBB"/>
    <w:rsid w:val="00BC77C1"/>
    <w:rsid w:val="00BD265D"/>
    <w:rsid w:val="00BD3DFB"/>
    <w:rsid w:val="00BE0C80"/>
    <w:rsid w:val="00BE7E0F"/>
    <w:rsid w:val="00BF2A42"/>
    <w:rsid w:val="00BF3894"/>
    <w:rsid w:val="00BF780B"/>
    <w:rsid w:val="00C00698"/>
    <w:rsid w:val="00C03D8C"/>
    <w:rsid w:val="00C055EC"/>
    <w:rsid w:val="00C10DC9"/>
    <w:rsid w:val="00C12FB3"/>
    <w:rsid w:val="00C16627"/>
    <w:rsid w:val="00C17341"/>
    <w:rsid w:val="00C22500"/>
    <w:rsid w:val="00C24EEF"/>
    <w:rsid w:val="00C25CF6"/>
    <w:rsid w:val="00C26C36"/>
    <w:rsid w:val="00C32768"/>
    <w:rsid w:val="00C431DF"/>
    <w:rsid w:val="00C44BBE"/>
    <w:rsid w:val="00C456BD"/>
    <w:rsid w:val="00C460B3"/>
    <w:rsid w:val="00C51EEF"/>
    <w:rsid w:val="00C530DC"/>
    <w:rsid w:val="00C5350D"/>
    <w:rsid w:val="00C6123C"/>
    <w:rsid w:val="00C6311A"/>
    <w:rsid w:val="00C7084D"/>
    <w:rsid w:val="00C7315E"/>
    <w:rsid w:val="00C74931"/>
    <w:rsid w:val="00C75895"/>
    <w:rsid w:val="00C80916"/>
    <w:rsid w:val="00C83C9F"/>
    <w:rsid w:val="00C86E7D"/>
    <w:rsid w:val="00C8772E"/>
    <w:rsid w:val="00C92EFC"/>
    <w:rsid w:val="00C94519"/>
    <w:rsid w:val="00C94840"/>
    <w:rsid w:val="00CA2FE2"/>
    <w:rsid w:val="00CA4EE3"/>
    <w:rsid w:val="00CB027F"/>
    <w:rsid w:val="00CC0EBB"/>
    <w:rsid w:val="00CC6297"/>
    <w:rsid w:val="00CC6C25"/>
    <w:rsid w:val="00CC7690"/>
    <w:rsid w:val="00CD1986"/>
    <w:rsid w:val="00CD4CC6"/>
    <w:rsid w:val="00CD54BF"/>
    <w:rsid w:val="00CE4D5C"/>
    <w:rsid w:val="00CF05DA"/>
    <w:rsid w:val="00CF58EB"/>
    <w:rsid w:val="00CF6F59"/>
    <w:rsid w:val="00CF6FEC"/>
    <w:rsid w:val="00D0106E"/>
    <w:rsid w:val="00D06383"/>
    <w:rsid w:val="00D112C6"/>
    <w:rsid w:val="00D1786E"/>
    <w:rsid w:val="00D20D26"/>
    <w:rsid w:val="00D20E85"/>
    <w:rsid w:val="00D22EC0"/>
    <w:rsid w:val="00D24615"/>
    <w:rsid w:val="00D33BBB"/>
    <w:rsid w:val="00D36C85"/>
    <w:rsid w:val="00D37842"/>
    <w:rsid w:val="00D42DC2"/>
    <w:rsid w:val="00D4302B"/>
    <w:rsid w:val="00D44053"/>
    <w:rsid w:val="00D537E1"/>
    <w:rsid w:val="00D55BB2"/>
    <w:rsid w:val="00D6091A"/>
    <w:rsid w:val="00D6605A"/>
    <w:rsid w:val="00D6695F"/>
    <w:rsid w:val="00D75644"/>
    <w:rsid w:val="00D774AB"/>
    <w:rsid w:val="00D81656"/>
    <w:rsid w:val="00D83D87"/>
    <w:rsid w:val="00D84A6D"/>
    <w:rsid w:val="00D86A30"/>
    <w:rsid w:val="00D97CB4"/>
    <w:rsid w:val="00D97DD4"/>
    <w:rsid w:val="00DA5A8A"/>
    <w:rsid w:val="00DB05CF"/>
    <w:rsid w:val="00DB1170"/>
    <w:rsid w:val="00DB26CD"/>
    <w:rsid w:val="00DB441C"/>
    <w:rsid w:val="00DB44AF"/>
    <w:rsid w:val="00DC07B3"/>
    <w:rsid w:val="00DC1F58"/>
    <w:rsid w:val="00DC339B"/>
    <w:rsid w:val="00DC5D40"/>
    <w:rsid w:val="00DC69A7"/>
    <w:rsid w:val="00DD1C1C"/>
    <w:rsid w:val="00DD30E9"/>
    <w:rsid w:val="00DD4DBF"/>
    <w:rsid w:val="00DD4F47"/>
    <w:rsid w:val="00DD7B13"/>
    <w:rsid w:val="00DD7FBB"/>
    <w:rsid w:val="00DE0B9F"/>
    <w:rsid w:val="00DE2A9E"/>
    <w:rsid w:val="00DE4238"/>
    <w:rsid w:val="00DE657F"/>
    <w:rsid w:val="00DF1218"/>
    <w:rsid w:val="00DF3D93"/>
    <w:rsid w:val="00DF6462"/>
    <w:rsid w:val="00DF6FE1"/>
    <w:rsid w:val="00E023A2"/>
    <w:rsid w:val="00E02FA0"/>
    <w:rsid w:val="00E036DC"/>
    <w:rsid w:val="00E0520F"/>
    <w:rsid w:val="00E10454"/>
    <w:rsid w:val="00E112E5"/>
    <w:rsid w:val="00E122D8"/>
    <w:rsid w:val="00E12CC8"/>
    <w:rsid w:val="00E15352"/>
    <w:rsid w:val="00E21CC7"/>
    <w:rsid w:val="00E24061"/>
    <w:rsid w:val="00E24D9E"/>
    <w:rsid w:val="00E25849"/>
    <w:rsid w:val="00E3197E"/>
    <w:rsid w:val="00E342F8"/>
    <w:rsid w:val="00E351ED"/>
    <w:rsid w:val="00E426B1"/>
    <w:rsid w:val="00E42B19"/>
    <w:rsid w:val="00E4713F"/>
    <w:rsid w:val="00E53605"/>
    <w:rsid w:val="00E53754"/>
    <w:rsid w:val="00E6034B"/>
    <w:rsid w:val="00E6549E"/>
    <w:rsid w:val="00E65EDE"/>
    <w:rsid w:val="00E661A2"/>
    <w:rsid w:val="00E70F81"/>
    <w:rsid w:val="00E77055"/>
    <w:rsid w:val="00E77460"/>
    <w:rsid w:val="00E83ABC"/>
    <w:rsid w:val="00E844F2"/>
    <w:rsid w:val="00E8609E"/>
    <w:rsid w:val="00E90A04"/>
    <w:rsid w:val="00E90AD0"/>
    <w:rsid w:val="00E92FCB"/>
    <w:rsid w:val="00E94FA6"/>
    <w:rsid w:val="00EA147F"/>
    <w:rsid w:val="00EA4A27"/>
    <w:rsid w:val="00EA4FA6"/>
    <w:rsid w:val="00EB1A25"/>
    <w:rsid w:val="00EC7363"/>
    <w:rsid w:val="00ED03AB"/>
    <w:rsid w:val="00ED1963"/>
    <w:rsid w:val="00ED1CD4"/>
    <w:rsid w:val="00ED1D2B"/>
    <w:rsid w:val="00ED64B5"/>
    <w:rsid w:val="00EE7CCA"/>
    <w:rsid w:val="00EF4834"/>
    <w:rsid w:val="00EF666A"/>
    <w:rsid w:val="00F06E53"/>
    <w:rsid w:val="00F07F82"/>
    <w:rsid w:val="00F16A14"/>
    <w:rsid w:val="00F26FEC"/>
    <w:rsid w:val="00F362D7"/>
    <w:rsid w:val="00F37D7B"/>
    <w:rsid w:val="00F5314C"/>
    <w:rsid w:val="00F5688C"/>
    <w:rsid w:val="00F60048"/>
    <w:rsid w:val="00F61843"/>
    <w:rsid w:val="00F635DD"/>
    <w:rsid w:val="00F6627B"/>
    <w:rsid w:val="00F71FB8"/>
    <w:rsid w:val="00F7336E"/>
    <w:rsid w:val="00F734F2"/>
    <w:rsid w:val="00F75052"/>
    <w:rsid w:val="00F804D3"/>
    <w:rsid w:val="00F816CB"/>
    <w:rsid w:val="00F81CD2"/>
    <w:rsid w:val="00F82641"/>
    <w:rsid w:val="00F8546C"/>
    <w:rsid w:val="00F90F18"/>
    <w:rsid w:val="00F937E4"/>
    <w:rsid w:val="00F95EE7"/>
    <w:rsid w:val="00FA39E6"/>
    <w:rsid w:val="00FA7BC9"/>
    <w:rsid w:val="00FB378E"/>
    <w:rsid w:val="00FB37F1"/>
    <w:rsid w:val="00FB47C0"/>
    <w:rsid w:val="00FB501B"/>
    <w:rsid w:val="00FB719A"/>
    <w:rsid w:val="00FB7770"/>
    <w:rsid w:val="00FC7AD3"/>
    <w:rsid w:val="00FD2193"/>
    <w:rsid w:val="00FD3115"/>
    <w:rsid w:val="00FD3B91"/>
    <w:rsid w:val="00FD576B"/>
    <w:rsid w:val="00FD579E"/>
    <w:rsid w:val="00FD6845"/>
    <w:rsid w:val="00FE0795"/>
    <w:rsid w:val="00FE4516"/>
    <w:rsid w:val="00FE64C8"/>
    <w:rsid w:val="00FF11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9E49BF"/>
  <w15:docId w15:val="{5D39EDEB-A7DB-4D2B-9CA0-6DFAAD612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a">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a"/>
    <w:qFormat/>
    <w:rsid w:val="004F5E57"/>
    <w:pPr>
      <w:numPr>
        <w:numId w:val="7"/>
      </w:numPr>
      <w:outlineLvl w:val="0"/>
    </w:pPr>
    <w:rPr>
      <w:rFonts w:hAnsi="Arial"/>
      <w:bCs/>
      <w:kern w:val="32"/>
      <w:szCs w:val="52"/>
    </w:rPr>
  </w:style>
  <w:style w:type="paragraph" w:styleId="2">
    <w:name w:val="heading 2"/>
    <w:aliases w:val="標題110/111,一."/>
    <w:basedOn w:val="aa"/>
    <w:link w:val="20"/>
    <w:uiPriority w:val="9"/>
    <w:qFormat/>
    <w:rsid w:val="004F5E57"/>
    <w:pPr>
      <w:numPr>
        <w:ilvl w:val="1"/>
        <w:numId w:val="7"/>
      </w:numPr>
      <w:outlineLvl w:val="1"/>
    </w:pPr>
    <w:rPr>
      <w:rFonts w:hAnsi="Arial"/>
      <w:bCs/>
      <w:kern w:val="32"/>
      <w:szCs w:val="48"/>
    </w:rPr>
  </w:style>
  <w:style w:type="paragraph" w:styleId="30">
    <w:name w:val="heading 3"/>
    <w:aliases w:val="(一)"/>
    <w:basedOn w:val="aa"/>
    <w:link w:val="31"/>
    <w:qFormat/>
    <w:rsid w:val="004F5E57"/>
    <w:pPr>
      <w:numPr>
        <w:ilvl w:val="2"/>
        <w:numId w:val="7"/>
      </w:numPr>
      <w:outlineLvl w:val="2"/>
    </w:pPr>
    <w:rPr>
      <w:rFonts w:hAnsi="Arial"/>
      <w:bCs/>
      <w:kern w:val="32"/>
      <w:szCs w:val="36"/>
    </w:rPr>
  </w:style>
  <w:style w:type="paragraph" w:styleId="4">
    <w:name w:val="heading 4"/>
    <w:aliases w:val="表格,1."/>
    <w:basedOn w:val="aa"/>
    <w:qFormat/>
    <w:rsid w:val="004F5E57"/>
    <w:pPr>
      <w:numPr>
        <w:ilvl w:val="3"/>
        <w:numId w:val="7"/>
      </w:numPr>
      <w:outlineLvl w:val="3"/>
    </w:pPr>
    <w:rPr>
      <w:rFonts w:hAnsi="Arial"/>
      <w:kern w:val="32"/>
      <w:szCs w:val="36"/>
    </w:rPr>
  </w:style>
  <w:style w:type="paragraph" w:styleId="5">
    <w:name w:val="heading 5"/>
    <w:basedOn w:val="aa"/>
    <w:qFormat/>
    <w:rsid w:val="004F5E57"/>
    <w:pPr>
      <w:numPr>
        <w:ilvl w:val="4"/>
        <w:numId w:val="7"/>
      </w:numPr>
      <w:outlineLvl w:val="4"/>
    </w:pPr>
    <w:rPr>
      <w:rFonts w:hAnsi="Arial"/>
      <w:bCs/>
      <w:kern w:val="32"/>
      <w:szCs w:val="36"/>
    </w:rPr>
  </w:style>
  <w:style w:type="paragraph" w:styleId="6">
    <w:name w:val="heading 6"/>
    <w:basedOn w:val="aa"/>
    <w:qFormat/>
    <w:rsid w:val="004F5E57"/>
    <w:pPr>
      <w:numPr>
        <w:ilvl w:val="5"/>
        <w:numId w:val="7"/>
      </w:numPr>
      <w:tabs>
        <w:tab w:val="left" w:pos="2094"/>
      </w:tabs>
      <w:outlineLvl w:val="5"/>
    </w:pPr>
    <w:rPr>
      <w:rFonts w:hAnsi="Arial"/>
      <w:kern w:val="32"/>
      <w:szCs w:val="36"/>
    </w:rPr>
  </w:style>
  <w:style w:type="paragraph" w:styleId="7">
    <w:name w:val="heading 7"/>
    <w:basedOn w:val="aa"/>
    <w:qFormat/>
    <w:rsid w:val="004F5E57"/>
    <w:pPr>
      <w:numPr>
        <w:ilvl w:val="6"/>
        <w:numId w:val="7"/>
      </w:numPr>
      <w:outlineLvl w:val="6"/>
    </w:pPr>
    <w:rPr>
      <w:rFonts w:hAnsi="Arial"/>
      <w:bCs/>
      <w:kern w:val="32"/>
      <w:szCs w:val="36"/>
    </w:rPr>
  </w:style>
  <w:style w:type="paragraph" w:styleId="8">
    <w:name w:val="heading 8"/>
    <w:basedOn w:val="aa"/>
    <w:qFormat/>
    <w:rsid w:val="004F5E57"/>
    <w:pPr>
      <w:numPr>
        <w:ilvl w:val="7"/>
        <w:numId w:val="7"/>
      </w:numPr>
      <w:outlineLvl w:val="7"/>
    </w:pPr>
    <w:rPr>
      <w:rFonts w:hAnsi="Arial"/>
      <w:kern w:val="32"/>
      <w:szCs w:val="36"/>
    </w:rPr>
  </w:style>
  <w:style w:type="paragraph" w:styleId="9">
    <w:name w:val="heading 9"/>
    <w:basedOn w:val="aa"/>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Signature"/>
    <w:basedOn w:val="aa"/>
    <w:semiHidden/>
    <w:rsid w:val="004E0062"/>
    <w:pPr>
      <w:spacing w:before="720" w:after="720"/>
      <w:ind w:left="7371"/>
    </w:pPr>
    <w:rPr>
      <w:b/>
      <w:snapToGrid w:val="0"/>
      <w:spacing w:val="10"/>
      <w:sz w:val="36"/>
    </w:rPr>
  </w:style>
  <w:style w:type="paragraph" w:styleId="af">
    <w:name w:val="endnote text"/>
    <w:basedOn w:val="aa"/>
    <w:semiHidden/>
    <w:rsid w:val="004E0062"/>
    <w:pPr>
      <w:kinsoku w:val="0"/>
      <w:autoSpaceDE/>
      <w:spacing w:before="240"/>
      <w:ind w:left="1021" w:hanging="1021"/>
    </w:pPr>
    <w:rPr>
      <w:snapToGrid w:val="0"/>
      <w:spacing w:val="10"/>
    </w:rPr>
  </w:style>
  <w:style w:type="paragraph" w:styleId="50">
    <w:name w:val="toc 5"/>
    <w:basedOn w:val="aa"/>
    <w:next w:val="aa"/>
    <w:autoRedefine/>
    <w:semiHidden/>
    <w:rsid w:val="004E0062"/>
    <w:pPr>
      <w:ind w:leftChars="400" w:left="600" w:rightChars="200" w:right="200" w:hangingChars="200" w:hanging="200"/>
    </w:pPr>
  </w:style>
  <w:style w:type="character" w:styleId="af0">
    <w:name w:val="page number"/>
    <w:basedOn w:val="ab"/>
    <w:semiHidden/>
    <w:rsid w:val="004E0062"/>
    <w:rPr>
      <w:rFonts w:ascii="標楷體" w:eastAsia="標楷體"/>
      <w:sz w:val="20"/>
    </w:rPr>
  </w:style>
  <w:style w:type="paragraph" w:styleId="60">
    <w:name w:val="toc 6"/>
    <w:basedOn w:val="aa"/>
    <w:next w:val="aa"/>
    <w:autoRedefine/>
    <w:semiHidden/>
    <w:rsid w:val="004E0062"/>
    <w:pPr>
      <w:ind w:leftChars="500" w:left="500"/>
    </w:pPr>
  </w:style>
  <w:style w:type="paragraph" w:customStyle="1" w:styleId="10">
    <w:name w:val="段落樣式1"/>
    <w:basedOn w:val="aa"/>
    <w:qFormat/>
    <w:rsid w:val="004F5E57"/>
    <w:pPr>
      <w:tabs>
        <w:tab w:val="left" w:pos="567"/>
      </w:tabs>
      <w:ind w:leftChars="200" w:left="200" w:firstLineChars="200" w:firstLine="200"/>
    </w:pPr>
    <w:rPr>
      <w:kern w:val="32"/>
    </w:rPr>
  </w:style>
  <w:style w:type="paragraph" w:customStyle="1" w:styleId="21">
    <w:name w:val="段落樣式2"/>
    <w:basedOn w:val="aa"/>
    <w:qFormat/>
    <w:rsid w:val="004F5E57"/>
    <w:pPr>
      <w:tabs>
        <w:tab w:val="left" w:pos="567"/>
      </w:tabs>
      <w:ind w:leftChars="300" w:left="300" w:firstLineChars="200" w:firstLine="200"/>
    </w:pPr>
    <w:rPr>
      <w:kern w:val="32"/>
    </w:rPr>
  </w:style>
  <w:style w:type="paragraph" w:styleId="11">
    <w:name w:val="toc 1"/>
    <w:basedOn w:val="aa"/>
    <w:next w:val="aa"/>
    <w:autoRedefine/>
    <w:uiPriority w:val="39"/>
    <w:qFormat/>
    <w:rsid w:val="00CC7690"/>
    <w:pPr>
      <w:tabs>
        <w:tab w:val="right" w:leader="hyphen" w:pos="8834"/>
      </w:tabs>
      <w:kinsoku w:val="0"/>
      <w:ind w:left="400" w:rightChars="100" w:right="100" w:hangingChars="400" w:hanging="400"/>
    </w:pPr>
    <w:rPr>
      <w:noProof/>
      <w:szCs w:val="32"/>
    </w:rPr>
  </w:style>
  <w:style w:type="paragraph" w:styleId="22">
    <w:name w:val="toc 2"/>
    <w:basedOn w:val="aa"/>
    <w:next w:val="aa"/>
    <w:autoRedefine/>
    <w:uiPriority w:val="39"/>
    <w:qFormat/>
    <w:rsid w:val="00807AF7"/>
    <w:pPr>
      <w:tabs>
        <w:tab w:val="right" w:leader="hyphen" w:pos="8834"/>
      </w:tabs>
      <w:kinsoku w:val="0"/>
      <w:ind w:leftChars="100" w:left="1020" w:rightChars="100" w:right="340" w:hangingChars="200" w:hanging="680"/>
    </w:pPr>
    <w:rPr>
      <w:noProof/>
    </w:rPr>
  </w:style>
  <w:style w:type="paragraph" w:styleId="32">
    <w:name w:val="toc 3"/>
    <w:basedOn w:val="aa"/>
    <w:next w:val="aa"/>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a"/>
    <w:next w:val="aa"/>
    <w:autoRedefine/>
    <w:semiHidden/>
    <w:rsid w:val="004E0062"/>
    <w:pPr>
      <w:kinsoku w:val="0"/>
      <w:ind w:leftChars="300" w:left="500" w:rightChars="200" w:right="200" w:hangingChars="200" w:hanging="200"/>
    </w:pPr>
  </w:style>
  <w:style w:type="paragraph" w:styleId="70">
    <w:name w:val="toc 7"/>
    <w:basedOn w:val="aa"/>
    <w:next w:val="aa"/>
    <w:autoRedefine/>
    <w:semiHidden/>
    <w:rsid w:val="004E0062"/>
    <w:pPr>
      <w:ind w:leftChars="600" w:left="800" w:hangingChars="200" w:hanging="200"/>
    </w:pPr>
  </w:style>
  <w:style w:type="paragraph" w:styleId="80">
    <w:name w:val="toc 8"/>
    <w:basedOn w:val="aa"/>
    <w:next w:val="aa"/>
    <w:autoRedefine/>
    <w:semiHidden/>
    <w:rsid w:val="004E0062"/>
    <w:pPr>
      <w:ind w:leftChars="700" w:left="900" w:hangingChars="200" w:hanging="200"/>
    </w:pPr>
  </w:style>
  <w:style w:type="paragraph" w:styleId="91">
    <w:name w:val="toc 9"/>
    <w:basedOn w:val="aa"/>
    <w:next w:val="aa"/>
    <w:autoRedefine/>
    <w:semiHidden/>
    <w:rsid w:val="004E0062"/>
    <w:pPr>
      <w:ind w:leftChars="1600" w:left="3840"/>
    </w:pPr>
  </w:style>
  <w:style w:type="paragraph" w:styleId="af1">
    <w:name w:val="header"/>
    <w:basedOn w:val="aa"/>
    <w:link w:val="af2"/>
    <w:uiPriority w:val="99"/>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f3">
    <w:name w:val="Hyperlink"/>
    <w:basedOn w:val="ab"/>
    <w:uiPriority w:val="99"/>
    <w:rsid w:val="004E0062"/>
    <w:rPr>
      <w:color w:val="0000FF"/>
      <w:u w:val="single"/>
    </w:rPr>
  </w:style>
  <w:style w:type="paragraph" w:customStyle="1" w:styleId="af4">
    <w:name w:val="簽名日期"/>
    <w:basedOn w:val="aa"/>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5">
    <w:name w:val="附件"/>
    <w:basedOn w:val="af"/>
    <w:rsid w:val="004E0062"/>
    <w:pPr>
      <w:spacing w:before="0"/>
      <w:ind w:left="1047" w:hangingChars="300" w:hanging="1047"/>
    </w:pPr>
    <w:rPr>
      <w:snapToGrid/>
      <w:spacing w:val="0"/>
      <w:kern w:val="0"/>
    </w:rPr>
  </w:style>
  <w:style w:type="paragraph" w:customStyle="1" w:styleId="41">
    <w:name w:val="段落樣式4"/>
    <w:basedOn w:val="33"/>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2">
    <w:name w:val="附表樣式"/>
    <w:basedOn w:val="aa"/>
    <w:qFormat/>
    <w:rsid w:val="00B77D18"/>
    <w:pPr>
      <w:keepNext/>
      <w:numPr>
        <w:numId w:val="2"/>
      </w:numPr>
      <w:tabs>
        <w:tab w:val="clear" w:pos="1440"/>
      </w:tabs>
      <w:ind w:left="400" w:hangingChars="400" w:hanging="400"/>
      <w:outlineLvl w:val="0"/>
    </w:pPr>
    <w:rPr>
      <w:kern w:val="32"/>
    </w:rPr>
  </w:style>
  <w:style w:type="paragraph" w:styleId="af6">
    <w:name w:val="Body Text Indent"/>
    <w:basedOn w:val="aa"/>
    <w:link w:val="af7"/>
    <w:rsid w:val="004E0062"/>
    <w:pPr>
      <w:ind w:left="698" w:hangingChars="200" w:hanging="698"/>
    </w:pPr>
  </w:style>
  <w:style w:type="paragraph" w:customStyle="1" w:styleId="af8">
    <w:name w:val="調查報告"/>
    <w:basedOn w:val="af"/>
    <w:rsid w:val="00D75644"/>
    <w:pPr>
      <w:adjustRightInd w:val="0"/>
      <w:spacing w:before="0"/>
      <w:ind w:left="0" w:firstLine="0"/>
      <w:jc w:val="center"/>
    </w:pPr>
    <w:rPr>
      <w:b/>
      <w:snapToGrid/>
      <w:spacing w:val="200"/>
      <w:kern w:val="0"/>
      <w:sz w:val="40"/>
    </w:rPr>
  </w:style>
  <w:style w:type="paragraph" w:customStyle="1" w:styleId="14">
    <w:name w:val="表格14"/>
    <w:basedOn w:val="aa"/>
    <w:rsid w:val="006072CD"/>
    <w:pPr>
      <w:adjustRightInd w:val="0"/>
      <w:snapToGrid w:val="0"/>
      <w:spacing w:line="360" w:lineRule="exact"/>
    </w:pPr>
    <w:rPr>
      <w:snapToGrid w:val="0"/>
      <w:spacing w:val="-14"/>
      <w:kern w:val="0"/>
      <w:sz w:val="28"/>
    </w:rPr>
  </w:style>
  <w:style w:type="paragraph" w:customStyle="1" w:styleId="a1">
    <w:name w:val="附圖樣式"/>
    <w:basedOn w:val="aa"/>
    <w:qFormat/>
    <w:rsid w:val="00B77D18"/>
    <w:pPr>
      <w:keepNext/>
      <w:numPr>
        <w:numId w:val="3"/>
      </w:numPr>
      <w:tabs>
        <w:tab w:val="clear" w:pos="1440"/>
      </w:tabs>
      <w:ind w:left="400" w:hangingChars="400" w:hanging="400"/>
      <w:outlineLvl w:val="0"/>
    </w:pPr>
    <w:rPr>
      <w:kern w:val="32"/>
    </w:rPr>
  </w:style>
  <w:style w:type="paragraph" w:styleId="af9">
    <w:name w:val="footer"/>
    <w:basedOn w:val="aa"/>
    <w:link w:val="afa"/>
    <w:uiPriority w:val="99"/>
    <w:rsid w:val="004E0062"/>
    <w:pPr>
      <w:tabs>
        <w:tab w:val="center" w:pos="4153"/>
        <w:tab w:val="right" w:pos="8306"/>
      </w:tabs>
      <w:snapToGrid w:val="0"/>
    </w:pPr>
    <w:rPr>
      <w:sz w:val="20"/>
    </w:rPr>
  </w:style>
  <w:style w:type="paragraph" w:styleId="afb">
    <w:name w:val="table of figures"/>
    <w:basedOn w:val="aa"/>
    <w:next w:val="aa"/>
    <w:uiPriority w:val="99"/>
    <w:rsid w:val="004E0062"/>
    <w:pPr>
      <w:ind w:left="400" w:hangingChars="400" w:hanging="400"/>
    </w:pPr>
  </w:style>
  <w:style w:type="paragraph" w:customStyle="1" w:styleId="140">
    <w:name w:val="表格標題14"/>
    <w:basedOn w:val="aa"/>
    <w:rsid w:val="00E15352"/>
    <w:pPr>
      <w:keepNext/>
      <w:adjustRightInd w:val="0"/>
      <w:snapToGrid w:val="0"/>
      <w:spacing w:before="40" w:after="40" w:line="320" w:lineRule="exact"/>
      <w:jc w:val="center"/>
    </w:pPr>
    <w:rPr>
      <w:snapToGrid w:val="0"/>
      <w:spacing w:val="-10"/>
      <w:kern w:val="0"/>
      <w:sz w:val="28"/>
    </w:rPr>
  </w:style>
  <w:style w:type="paragraph" w:customStyle="1" w:styleId="a6">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c">
    <w:name w:val="資料來源"/>
    <w:basedOn w:val="aa"/>
    <w:rsid w:val="00F16A14"/>
    <w:pPr>
      <w:kinsoku w:val="0"/>
      <w:adjustRightInd w:val="0"/>
      <w:snapToGrid w:val="0"/>
      <w:spacing w:before="40" w:after="240" w:line="360" w:lineRule="exact"/>
    </w:pPr>
    <w:rPr>
      <w:spacing w:val="-10"/>
      <w:kern w:val="0"/>
      <w:sz w:val="28"/>
      <w:szCs w:val="22"/>
    </w:rPr>
  </w:style>
  <w:style w:type="paragraph" w:customStyle="1" w:styleId="a4">
    <w:name w:val="圖標題"/>
    <w:basedOn w:val="aa"/>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d">
    <w:name w:val="Table Grid"/>
    <w:basedOn w:val="ac"/>
    <w:uiPriority w:val="39"/>
    <w:qFormat/>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8">
    <w:name w:val="附錄"/>
    <w:basedOn w:val="aa"/>
    <w:qFormat/>
    <w:rsid w:val="00B77D18"/>
    <w:pPr>
      <w:keepNext/>
      <w:numPr>
        <w:numId w:val="6"/>
      </w:numPr>
      <w:outlineLvl w:val="0"/>
    </w:pPr>
    <w:rPr>
      <w:kern w:val="32"/>
    </w:rPr>
  </w:style>
  <w:style w:type="paragraph" w:styleId="afe">
    <w:name w:val="List Paragraph"/>
    <w:basedOn w:val="aa"/>
    <w:link w:val="aff"/>
    <w:uiPriority w:val="34"/>
    <w:qFormat/>
    <w:rsid w:val="00687024"/>
    <w:pPr>
      <w:ind w:leftChars="200" w:left="480"/>
    </w:pPr>
  </w:style>
  <w:style w:type="paragraph" w:styleId="aff0">
    <w:name w:val="Balloon Text"/>
    <w:basedOn w:val="aa"/>
    <w:link w:val="aff1"/>
    <w:uiPriority w:val="99"/>
    <w:semiHidden/>
    <w:unhideWhenUsed/>
    <w:rsid w:val="00C530DC"/>
    <w:rPr>
      <w:rFonts w:asciiTheme="majorHAnsi" w:eastAsiaTheme="majorEastAsia" w:hAnsiTheme="majorHAnsi" w:cstheme="majorBidi"/>
      <w:sz w:val="18"/>
      <w:szCs w:val="18"/>
    </w:rPr>
  </w:style>
  <w:style w:type="character" w:customStyle="1" w:styleId="aff1">
    <w:name w:val="註解方塊文字 字元"/>
    <w:basedOn w:val="ab"/>
    <w:link w:val="aff0"/>
    <w:uiPriority w:val="99"/>
    <w:semiHidden/>
    <w:rsid w:val="00C530DC"/>
    <w:rPr>
      <w:rFonts w:asciiTheme="majorHAnsi" w:eastAsiaTheme="majorEastAsia" w:hAnsiTheme="majorHAnsi" w:cstheme="majorBidi"/>
      <w:kern w:val="2"/>
      <w:sz w:val="18"/>
      <w:szCs w:val="18"/>
    </w:rPr>
  </w:style>
  <w:style w:type="paragraph" w:customStyle="1" w:styleId="a9">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5">
    <w:name w:val="附件樣式"/>
    <w:basedOn w:val="aa"/>
    <w:qFormat/>
    <w:rsid w:val="00B77D18"/>
    <w:pPr>
      <w:keepNext/>
      <w:numPr>
        <w:numId w:val="9"/>
      </w:numPr>
      <w:ind w:left="400" w:hangingChars="400" w:hanging="400"/>
      <w:outlineLvl w:val="0"/>
    </w:pPr>
    <w:rPr>
      <w:kern w:val="32"/>
    </w:rPr>
  </w:style>
  <w:style w:type="character" w:customStyle="1" w:styleId="90">
    <w:name w:val="標題 9 字元"/>
    <w:basedOn w:val="ab"/>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f2">
    <w:name w:val="Plain Text"/>
    <w:basedOn w:val="aa"/>
    <w:link w:val="aff3"/>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3">
    <w:name w:val="純文字 字元"/>
    <w:basedOn w:val="ab"/>
    <w:link w:val="aff2"/>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一. 字元"/>
    <w:basedOn w:val="ab"/>
    <w:link w:val="2"/>
    <w:uiPriority w:val="9"/>
    <w:rsid w:val="0031455E"/>
    <w:rPr>
      <w:rFonts w:ascii="標楷體" w:eastAsia="標楷體" w:hAnsi="Arial"/>
      <w:bCs/>
      <w:kern w:val="32"/>
      <w:sz w:val="32"/>
      <w:szCs w:val="48"/>
    </w:rPr>
  </w:style>
  <w:style w:type="paragraph" w:styleId="aff4">
    <w:name w:val="Body Text"/>
    <w:basedOn w:val="aa"/>
    <w:link w:val="aff5"/>
    <w:unhideWhenUsed/>
    <w:rsid w:val="00425DD4"/>
    <w:pPr>
      <w:spacing w:after="120"/>
    </w:pPr>
  </w:style>
  <w:style w:type="character" w:customStyle="1" w:styleId="aff5">
    <w:name w:val="本文 字元"/>
    <w:basedOn w:val="ab"/>
    <w:link w:val="aff4"/>
    <w:rsid w:val="00425DD4"/>
    <w:rPr>
      <w:rFonts w:ascii="標楷體" w:eastAsia="標楷體"/>
      <w:kern w:val="2"/>
      <w:sz w:val="32"/>
    </w:rPr>
  </w:style>
  <w:style w:type="character" w:styleId="aff6">
    <w:name w:val="Strong"/>
    <w:qFormat/>
    <w:rsid w:val="00425DD4"/>
    <w:rPr>
      <w:b/>
      <w:bCs/>
    </w:rPr>
  </w:style>
  <w:style w:type="paragraph" w:styleId="23">
    <w:name w:val="Body Text Indent 2"/>
    <w:basedOn w:val="aa"/>
    <w:link w:val="24"/>
    <w:semiHidden/>
    <w:rsid w:val="00425DD4"/>
    <w:pPr>
      <w:overflowPunct/>
      <w:autoSpaceDE/>
      <w:autoSpaceDN/>
      <w:snapToGrid w:val="0"/>
      <w:spacing w:after="180" w:line="480" w:lineRule="atLeast"/>
      <w:ind w:firstLine="618"/>
    </w:pPr>
    <w:rPr>
      <w:rFonts w:ascii="Times New Roman"/>
      <w:sz w:val="28"/>
    </w:rPr>
  </w:style>
  <w:style w:type="character" w:customStyle="1" w:styleId="24">
    <w:name w:val="本文縮排 2 字元"/>
    <w:basedOn w:val="ab"/>
    <w:link w:val="23"/>
    <w:semiHidden/>
    <w:rsid w:val="00425DD4"/>
    <w:rPr>
      <w:rFonts w:eastAsia="標楷體"/>
      <w:kern w:val="2"/>
      <w:sz w:val="28"/>
    </w:rPr>
  </w:style>
  <w:style w:type="paragraph" w:styleId="25">
    <w:name w:val="Body Text 2"/>
    <w:basedOn w:val="aa"/>
    <w:link w:val="26"/>
    <w:semiHidden/>
    <w:rsid w:val="00425DD4"/>
    <w:pPr>
      <w:overflowPunct/>
      <w:autoSpaceDE/>
      <w:autoSpaceDN/>
    </w:pPr>
    <w:rPr>
      <w:rFonts w:ascii="Times New Roman" w:eastAsia="新細明體"/>
      <w:sz w:val="24"/>
    </w:rPr>
  </w:style>
  <w:style w:type="character" w:customStyle="1" w:styleId="26">
    <w:name w:val="本文 2 字元"/>
    <w:basedOn w:val="ab"/>
    <w:link w:val="25"/>
    <w:semiHidden/>
    <w:rsid w:val="00425DD4"/>
    <w:rPr>
      <w:kern w:val="2"/>
      <w:sz w:val="24"/>
    </w:rPr>
  </w:style>
  <w:style w:type="paragraph" w:styleId="34">
    <w:name w:val="Body Text Indent 3"/>
    <w:basedOn w:val="aa"/>
    <w:link w:val="35"/>
    <w:semiHidden/>
    <w:rsid w:val="00425DD4"/>
    <w:pPr>
      <w:overflowPunct/>
      <w:autoSpaceDE/>
      <w:autoSpaceDN/>
      <w:snapToGrid w:val="0"/>
      <w:spacing w:after="180" w:line="480" w:lineRule="atLeast"/>
      <w:ind w:firstLine="618"/>
    </w:pPr>
    <w:rPr>
      <w:rFonts w:ascii="Times New Roman"/>
      <w:color w:val="FF0000"/>
      <w:sz w:val="28"/>
      <w:lang w:val="x-none" w:eastAsia="x-none"/>
    </w:rPr>
  </w:style>
  <w:style w:type="character" w:customStyle="1" w:styleId="35">
    <w:name w:val="本文縮排 3 字元"/>
    <w:basedOn w:val="ab"/>
    <w:link w:val="34"/>
    <w:semiHidden/>
    <w:rsid w:val="00425DD4"/>
    <w:rPr>
      <w:rFonts w:eastAsia="標楷體"/>
      <w:color w:val="FF0000"/>
      <w:kern w:val="2"/>
      <w:sz w:val="28"/>
      <w:lang w:val="x-none" w:eastAsia="x-none"/>
    </w:rPr>
  </w:style>
  <w:style w:type="paragraph" w:customStyle="1" w:styleId="aff7">
    <w:name w:val="內文壹"/>
    <w:rsid w:val="00425DD4"/>
    <w:pPr>
      <w:spacing w:line="400" w:lineRule="exact"/>
      <w:ind w:leftChars="300" w:left="300" w:firstLineChars="200" w:firstLine="200"/>
      <w:jc w:val="both"/>
    </w:pPr>
    <w:rPr>
      <w:rFonts w:eastAsia="標楷體"/>
      <w:sz w:val="30"/>
    </w:rPr>
  </w:style>
  <w:style w:type="paragraph" w:customStyle="1" w:styleId="a3">
    <w:name w:val="標題（一）"/>
    <w:basedOn w:val="aa"/>
    <w:next w:val="aff8"/>
    <w:rsid w:val="00425DD4"/>
    <w:pPr>
      <w:widowControl/>
      <w:numPr>
        <w:ilvl w:val="2"/>
        <w:numId w:val="10"/>
      </w:numPr>
      <w:tabs>
        <w:tab w:val="left" w:pos="1200"/>
      </w:tabs>
      <w:overflowPunct/>
      <w:autoSpaceDE/>
      <w:autoSpaceDN/>
      <w:snapToGrid w:val="0"/>
      <w:spacing w:beforeLines="50" w:before="180" w:line="400" w:lineRule="exact"/>
    </w:pPr>
    <w:rPr>
      <w:rFonts w:ascii="新細明體"/>
      <w:snapToGrid w:val="0"/>
      <w:kern w:val="0"/>
    </w:rPr>
  </w:style>
  <w:style w:type="paragraph" w:customStyle="1" w:styleId="aff8">
    <w:name w:val="內文（一）"/>
    <w:basedOn w:val="aa"/>
    <w:rsid w:val="00425DD4"/>
    <w:pPr>
      <w:overflowPunct/>
      <w:autoSpaceDE/>
      <w:autoSpaceDN/>
      <w:snapToGrid w:val="0"/>
      <w:spacing w:line="400" w:lineRule="exact"/>
      <w:ind w:leftChars="600" w:left="1920" w:firstLineChars="200" w:firstLine="600"/>
    </w:pPr>
    <w:rPr>
      <w:snapToGrid w:val="0"/>
      <w:sz w:val="30"/>
    </w:rPr>
  </w:style>
  <w:style w:type="paragraph" w:styleId="HTML">
    <w:name w:val="HTML Preformatted"/>
    <w:basedOn w:val="aa"/>
    <w:link w:val="HTML0"/>
    <w:uiPriority w:val="99"/>
    <w:rsid w:val="00425D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Courier New"/>
      <w:kern w:val="0"/>
      <w:sz w:val="20"/>
      <w:lang w:val="x-none" w:eastAsia="x-none"/>
    </w:rPr>
  </w:style>
  <w:style w:type="character" w:customStyle="1" w:styleId="HTML0">
    <w:name w:val="HTML 預設格式 字元"/>
    <w:basedOn w:val="ab"/>
    <w:link w:val="HTML"/>
    <w:uiPriority w:val="99"/>
    <w:rsid w:val="00425DD4"/>
    <w:rPr>
      <w:rFonts w:ascii="細明體" w:eastAsia="細明體" w:hAnsi="Courier New"/>
      <w:lang w:val="x-none" w:eastAsia="x-none"/>
    </w:rPr>
  </w:style>
  <w:style w:type="paragraph" w:customStyle="1" w:styleId="a7">
    <w:name w:val="（一）"/>
    <w:basedOn w:val="36"/>
    <w:rsid w:val="00425DD4"/>
    <w:pPr>
      <w:numPr>
        <w:numId w:val="11"/>
      </w:numPr>
      <w:snapToGrid w:val="0"/>
      <w:spacing w:after="0" w:line="460" w:lineRule="atLeast"/>
      <w:ind w:right="40"/>
      <w:jc w:val="both"/>
    </w:pPr>
    <w:rPr>
      <w:rFonts w:eastAsia="標楷體"/>
      <w:sz w:val="28"/>
      <w:szCs w:val="20"/>
    </w:rPr>
  </w:style>
  <w:style w:type="paragraph" w:styleId="36">
    <w:name w:val="Body Text 3"/>
    <w:basedOn w:val="aa"/>
    <w:link w:val="37"/>
    <w:semiHidden/>
    <w:rsid w:val="00425DD4"/>
    <w:pPr>
      <w:overflowPunct/>
      <w:autoSpaceDE/>
      <w:autoSpaceDN/>
      <w:spacing w:after="120"/>
      <w:jc w:val="left"/>
    </w:pPr>
    <w:rPr>
      <w:rFonts w:ascii="Times New Roman" w:eastAsia="新細明體"/>
      <w:sz w:val="16"/>
      <w:szCs w:val="16"/>
    </w:rPr>
  </w:style>
  <w:style w:type="character" w:customStyle="1" w:styleId="37">
    <w:name w:val="本文 3 字元"/>
    <w:basedOn w:val="ab"/>
    <w:link w:val="36"/>
    <w:semiHidden/>
    <w:rsid w:val="00425DD4"/>
    <w:rPr>
      <w:kern w:val="2"/>
      <w:sz w:val="16"/>
      <w:szCs w:val="16"/>
    </w:rPr>
  </w:style>
  <w:style w:type="character" w:styleId="aff9">
    <w:name w:val="FollowedHyperlink"/>
    <w:semiHidden/>
    <w:rsid w:val="00425DD4"/>
    <w:rPr>
      <w:color w:val="800080"/>
      <w:u w:val="single"/>
    </w:rPr>
  </w:style>
  <w:style w:type="paragraph" w:customStyle="1" w:styleId="affa">
    <w:name w:val="條"/>
    <w:basedOn w:val="aa"/>
    <w:rsid w:val="00425DD4"/>
    <w:pPr>
      <w:kinsoku w:val="0"/>
      <w:autoSpaceDE/>
      <w:autoSpaceDN/>
      <w:ind w:left="500" w:hanging="500"/>
    </w:pPr>
    <w:rPr>
      <w:rFonts w:ascii="華康細明體" w:eastAsia="Arial Unicode MS" w:hAnsi="細明體"/>
      <w:sz w:val="21"/>
    </w:rPr>
  </w:style>
  <w:style w:type="paragraph" w:styleId="Web">
    <w:name w:val="Normal (Web)"/>
    <w:basedOn w:val="aa"/>
    <w:uiPriority w:val="99"/>
    <w:rsid w:val="00425DD4"/>
    <w:pPr>
      <w:widowControl/>
      <w:overflowPunct/>
      <w:autoSpaceDE/>
      <w:autoSpaceDN/>
      <w:spacing w:before="100" w:beforeAutospacing="1" w:after="100" w:afterAutospacing="1"/>
      <w:jc w:val="left"/>
    </w:pPr>
    <w:rPr>
      <w:rFonts w:ascii="新細明體" w:eastAsia="新細明體" w:hAnsi="新細明體" w:hint="eastAsia"/>
      <w:kern w:val="0"/>
      <w:sz w:val="24"/>
      <w:szCs w:val="24"/>
    </w:rPr>
  </w:style>
  <w:style w:type="paragraph" w:customStyle="1" w:styleId="affb">
    <w:name w:val="小標本文"/>
    <w:basedOn w:val="aa"/>
    <w:rsid w:val="00425DD4"/>
    <w:pPr>
      <w:overflowPunct/>
      <w:autoSpaceDE/>
      <w:autoSpaceDN/>
      <w:spacing w:line="500" w:lineRule="exact"/>
      <w:ind w:leftChars="500" w:left="1200" w:firstLineChars="100" w:firstLine="240"/>
      <w:jc w:val="left"/>
    </w:pPr>
    <w:rPr>
      <w:rFonts w:hAnsi="標楷體"/>
      <w:sz w:val="28"/>
      <w:szCs w:val="28"/>
    </w:rPr>
  </w:style>
  <w:style w:type="paragraph" w:customStyle="1" w:styleId="affc">
    <w:name w:val="粗標"/>
    <w:basedOn w:val="aa"/>
    <w:rsid w:val="00425DD4"/>
    <w:pPr>
      <w:overflowPunct/>
      <w:spacing w:line="480" w:lineRule="exact"/>
      <w:ind w:left="1389" w:hanging="1389"/>
    </w:pPr>
    <w:rPr>
      <w:rFonts w:ascii="Times New Roman"/>
      <w:b/>
      <w:sz w:val="28"/>
    </w:rPr>
  </w:style>
  <w:style w:type="paragraph" w:customStyle="1" w:styleId="affd">
    <w:name w:val="標題一、"/>
    <w:basedOn w:val="aa"/>
    <w:next w:val="aa"/>
    <w:rsid w:val="00425DD4"/>
    <w:pPr>
      <w:widowControl/>
      <w:overflowPunct/>
      <w:autoSpaceDE/>
      <w:autoSpaceDN/>
      <w:snapToGrid w:val="0"/>
      <w:spacing w:beforeLines="50" w:before="180" w:after="120" w:line="520" w:lineRule="exact"/>
    </w:pPr>
    <w:rPr>
      <w:snapToGrid w:val="0"/>
      <w:kern w:val="0"/>
      <w:sz w:val="36"/>
    </w:rPr>
  </w:style>
  <w:style w:type="paragraph" w:customStyle="1" w:styleId="affe">
    <w:name w:val="大項"/>
    <w:basedOn w:val="aa"/>
    <w:rsid w:val="00425DD4"/>
    <w:pPr>
      <w:kinsoku w:val="0"/>
      <w:overflowPunct/>
      <w:autoSpaceDE/>
      <w:autoSpaceDN/>
      <w:adjustRightInd w:val="0"/>
      <w:spacing w:line="440" w:lineRule="atLeast"/>
      <w:ind w:left="1260" w:hanging="644"/>
      <w:jc w:val="left"/>
      <w:textAlignment w:val="baseline"/>
    </w:pPr>
    <w:rPr>
      <w:kern w:val="0"/>
    </w:rPr>
  </w:style>
  <w:style w:type="paragraph" w:styleId="a">
    <w:name w:val="List Bullet"/>
    <w:basedOn w:val="aa"/>
    <w:autoRedefine/>
    <w:semiHidden/>
    <w:rsid w:val="00425DD4"/>
    <w:pPr>
      <w:numPr>
        <w:numId w:val="12"/>
      </w:numPr>
      <w:overflowPunct/>
      <w:autoSpaceDE/>
      <w:autoSpaceDN/>
      <w:jc w:val="left"/>
    </w:pPr>
    <w:rPr>
      <w:rFonts w:ascii="Times New Roman" w:eastAsia="新細明體"/>
      <w:sz w:val="24"/>
    </w:rPr>
  </w:style>
  <w:style w:type="character" w:styleId="afff">
    <w:name w:val="Emphasis"/>
    <w:uiPriority w:val="20"/>
    <w:qFormat/>
    <w:rsid w:val="00425DD4"/>
    <w:rPr>
      <w:b w:val="0"/>
      <w:bCs w:val="0"/>
      <w:i w:val="0"/>
      <w:iCs w:val="0"/>
      <w:color w:val="CC0033"/>
    </w:rPr>
  </w:style>
  <w:style w:type="paragraph" w:customStyle="1" w:styleId="13">
    <w:name w:val="字元 字元1 字元 字元 字元 字元"/>
    <w:basedOn w:val="aa"/>
    <w:rsid w:val="00425DD4"/>
    <w:pPr>
      <w:widowControl/>
      <w:overflowPunct/>
      <w:autoSpaceDE/>
      <w:autoSpaceDN/>
      <w:spacing w:after="160" w:line="240" w:lineRule="exact"/>
      <w:jc w:val="left"/>
    </w:pPr>
    <w:rPr>
      <w:rFonts w:ascii="Verdana" w:eastAsia="新細明體" w:hAnsi="Verdana"/>
      <w:kern w:val="0"/>
      <w:sz w:val="20"/>
      <w:lang w:eastAsia="en-US"/>
    </w:rPr>
  </w:style>
  <w:style w:type="paragraph" w:customStyle="1" w:styleId="sheng2">
    <w:name w:val="sheng樣式2"/>
    <w:basedOn w:val="aa"/>
    <w:rsid w:val="00425DD4"/>
    <w:pPr>
      <w:overflowPunct/>
      <w:autoSpaceDE/>
      <w:spacing w:after="50" w:line="600" w:lineRule="atLeast"/>
      <w:ind w:right="-102" w:firstLineChars="105" w:firstLine="336"/>
    </w:pPr>
  </w:style>
  <w:style w:type="paragraph" w:styleId="afff0">
    <w:name w:val="Block Text"/>
    <w:basedOn w:val="aa"/>
    <w:semiHidden/>
    <w:rsid w:val="00425DD4"/>
    <w:pPr>
      <w:overflowPunct/>
      <w:adjustRightInd w:val="0"/>
      <w:spacing w:line="560" w:lineRule="exact"/>
      <w:ind w:left="360" w:right="-514" w:hanging="360"/>
    </w:pPr>
    <w:rPr>
      <w:rFonts w:ascii="新細明體" w:eastAsia="新細明體"/>
      <w:color w:val="FF0000"/>
      <w:sz w:val="28"/>
    </w:rPr>
  </w:style>
  <w:style w:type="paragraph" w:customStyle="1" w:styleId="txt02">
    <w:name w:val="txt02"/>
    <w:basedOn w:val="aa"/>
    <w:rsid w:val="00425DD4"/>
    <w:pPr>
      <w:widowControl/>
      <w:overflowPunct/>
      <w:autoSpaceDE/>
      <w:autoSpaceDN/>
      <w:spacing w:line="384" w:lineRule="atLeast"/>
      <w:jc w:val="left"/>
    </w:pPr>
    <w:rPr>
      <w:rFonts w:ascii="Arial Unicode MS" w:eastAsia="Arial Unicode MS" w:hAnsi="Arial Unicode MS" w:cs="Arial Unicode MS"/>
      <w:color w:val="575757"/>
      <w:kern w:val="0"/>
      <w:sz w:val="20"/>
    </w:rPr>
  </w:style>
  <w:style w:type="paragraph" w:customStyle="1" w:styleId="afff1">
    <w:name w:val="一、"/>
    <w:basedOn w:val="aa"/>
    <w:rsid w:val="00425DD4"/>
    <w:pPr>
      <w:overflowPunct/>
      <w:autoSpaceDE/>
      <w:autoSpaceDN/>
      <w:spacing w:line="520" w:lineRule="exact"/>
      <w:ind w:leftChars="174" w:left="1034" w:hangingChars="195" w:hanging="616"/>
      <w:jc w:val="left"/>
    </w:pPr>
    <w:rPr>
      <w:spacing w:val="-2"/>
      <w:szCs w:val="24"/>
    </w:rPr>
  </w:style>
  <w:style w:type="character" w:customStyle="1" w:styleId="st1">
    <w:name w:val="st1"/>
    <w:basedOn w:val="ab"/>
    <w:rsid w:val="00425DD4"/>
  </w:style>
  <w:style w:type="paragraph" w:customStyle="1" w:styleId="a0">
    <w:name w:val="分項段落"/>
    <w:basedOn w:val="aa"/>
    <w:rsid w:val="00425DD4"/>
    <w:pPr>
      <w:widowControl/>
      <w:numPr>
        <w:numId w:val="13"/>
      </w:numPr>
      <w:wordWrap w:val="0"/>
      <w:overflowPunct/>
      <w:autoSpaceDE/>
      <w:autoSpaceDN/>
      <w:snapToGrid w:val="0"/>
      <w:spacing w:line="500" w:lineRule="exact"/>
      <w:ind w:left="1134"/>
      <w:textAlignment w:val="baseline"/>
    </w:pPr>
    <w:rPr>
      <w:rFonts w:ascii="Times New Roman"/>
      <w:noProof/>
      <w:kern w:val="0"/>
    </w:rPr>
  </w:style>
  <w:style w:type="paragraph" w:styleId="afff2">
    <w:name w:val="footnote text"/>
    <w:aliases w:val="字元,fn,fn Char,fn Car Car,fn Car,Footnotes Car,Footnote Text Char,footnote text,Footnote ak,Footnotes"/>
    <w:basedOn w:val="aa"/>
    <w:link w:val="afff3"/>
    <w:uiPriority w:val="99"/>
    <w:rsid w:val="00425DD4"/>
    <w:pPr>
      <w:overflowPunct/>
      <w:autoSpaceDE/>
      <w:autoSpaceDN/>
      <w:snapToGrid w:val="0"/>
      <w:jc w:val="left"/>
    </w:pPr>
    <w:rPr>
      <w:rFonts w:ascii="Times New Roman" w:eastAsia="新細明體"/>
      <w:sz w:val="20"/>
      <w:lang w:val="x-none" w:eastAsia="x-none"/>
    </w:rPr>
  </w:style>
  <w:style w:type="character" w:customStyle="1" w:styleId="afff3">
    <w:name w:val="註腳文字 字元"/>
    <w:aliases w:val="字元 字元,fn 字元,fn Char 字元,fn Car Car 字元,fn Car 字元,Footnotes Car 字元,Footnote Text Char 字元,footnote text 字元,Footnote ak 字元,Footnotes 字元"/>
    <w:basedOn w:val="ab"/>
    <w:link w:val="afff2"/>
    <w:uiPriority w:val="99"/>
    <w:rsid w:val="00425DD4"/>
    <w:rPr>
      <w:kern w:val="2"/>
      <w:lang w:val="x-none" w:eastAsia="x-none"/>
    </w:rPr>
  </w:style>
  <w:style w:type="character" w:styleId="afff4">
    <w:name w:val="footnote reference"/>
    <w:aliases w:val="Ref,de nota al pie,FR,註腳內容,Error-Fußnotenzeichen5,Error-Fußnotenzeichen6,Error-Fußnotenzeichen3,Error-Fusnotßnotenzeichen5,Error-Fußnotenzeic"/>
    <w:uiPriority w:val="99"/>
    <w:qFormat/>
    <w:rsid w:val="00425DD4"/>
    <w:rPr>
      <w:vertAlign w:val="superscript"/>
    </w:rPr>
  </w:style>
  <w:style w:type="paragraph" w:styleId="afff5">
    <w:name w:val="Salutation"/>
    <w:basedOn w:val="aa"/>
    <w:next w:val="aa"/>
    <w:link w:val="afff6"/>
    <w:uiPriority w:val="99"/>
    <w:unhideWhenUsed/>
    <w:rsid w:val="00425DD4"/>
    <w:pPr>
      <w:overflowPunct/>
      <w:autoSpaceDE/>
      <w:autoSpaceDN/>
      <w:jc w:val="left"/>
    </w:pPr>
    <w:rPr>
      <w:rFonts w:ascii="Times New Roman"/>
      <w:szCs w:val="27"/>
      <w:lang w:val="x-none" w:eastAsia="x-none"/>
    </w:rPr>
  </w:style>
  <w:style w:type="character" w:customStyle="1" w:styleId="afff6">
    <w:name w:val="問候 字元"/>
    <w:basedOn w:val="ab"/>
    <w:link w:val="afff5"/>
    <w:uiPriority w:val="99"/>
    <w:rsid w:val="00425DD4"/>
    <w:rPr>
      <w:rFonts w:eastAsia="標楷體"/>
      <w:kern w:val="2"/>
      <w:sz w:val="32"/>
      <w:szCs w:val="27"/>
      <w:lang w:val="x-none" w:eastAsia="x-none"/>
    </w:rPr>
  </w:style>
  <w:style w:type="paragraph" w:styleId="afff7">
    <w:name w:val="Closing"/>
    <w:basedOn w:val="aa"/>
    <w:link w:val="afff8"/>
    <w:uiPriority w:val="99"/>
    <w:unhideWhenUsed/>
    <w:rsid w:val="00425DD4"/>
    <w:pPr>
      <w:overflowPunct/>
      <w:autoSpaceDE/>
      <w:autoSpaceDN/>
      <w:ind w:leftChars="1800" w:left="100"/>
      <w:jc w:val="left"/>
    </w:pPr>
    <w:rPr>
      <w:rFonts w:ascii="Times New Roman"/>
      <w:szCs w:val="27"/>
      <w:lang w:val="x-none" w:eastAsia="x-none"/>
    </w:rPr>
  </w:style>
  <w:style w:type="character" w:customStyle="1" w:styleId="afff8">
    <w:name w:val="結語 字元"/>
    <w:basedOn w:val="ab"/>
    <w:link w:val="afff7"/>
    <w:uiPriority w:val="99"/>
    <w:rsid w:val="00425DD4"/>
    <w:rPr>
      <w:rFonts w:eastAsia="標楷體"/>
      <w:kern w:val="2"/>
      <w:sz w:val="32"/>
      <w:szCs w:val="27"/>
      <w:lang w:val="x-none" w:eastAsia="x-none"/>
    </w:rPr>
  </w:style>
  <w:style w:type="paragraph" w:styleId="afff9">
    <w:name w:val="annotation text"/>
    <w:basedOn w:val="aa"/>
    <w:link w:val="afffa"/>
    <w:uiPriority w:val="99"/>
    <w:semiHidden/>
    <w:unhideWhenUsed/>
    <w:rsid w:val="00425DD4"/>
    <w:pPr>
      <w:overflowPunct/>
      <w:autoSpaceDE/>
      <w:autoSpaceDN/>
      <w:jc w:val="left"/>
    </w:pPr>
    <w:rPr>
      <w:rFonts w:ascii="Times New Roman" w:eastAsia="新細明體"/>
      <w:sz w:val="24"/>
      <w:lang w:val="x-none" w:eastAsia="x-none"/>
    </w:rPr>
  </w:style>
  <w:style w:type="character" w:customStyle="1" w:styleId="afffa">
    <w:name w:val="註解文字 字元"/>
    <w:basedOn w:val="ab"/>
    <w:link w:val="afff9"/>
    <w:uiPriority w:val="99"/>
    <w:semiHidden/>
    <w:rsid w:val="00425DD4"/>
    <w:rPr>
      <w:kern w:val="2"/>
      <w:sz w:val="24"/>
      <w:lang w:val="x-none" w:eastAsia="x-none"/>
    </w:rPr>
  </w:style>
  <w:style w:type="paragraph" w:styleId="afffb">
    <w:name w:val="annotation subject"/>
    <w:basedOn w:val="afff9"/>
    <w:next w:val="afff9"/>
    <w:link w:val="afffc"/>
    <w:semiHidden/>
    <w:rsid w:val="00425DD4"/>
    <w:rPr>
      <w:b/>
      <w:bCs/>
      <w:szCs w:val="24"/>
    </w:rPr>
  </w:style>
  <w:style w:type="character" w:customStyle="1" w:styleId="afffc">
    <w:name w:val="註解主旨 字元"/>
    <w:basedOn w:val="afffa"/>
    <w:link w:val="afffb"/>
    <w:semiHidden/>
    <w:rsid w:val="00425DD4"/>
    <w:rPr>
      <w:b/>
      <w:bCs/>
      <w:kern w:val="2"/>
      <w:sz w:val="24"/>
      <w:szCs w:val="24"/>
      <w:lang w:val="x-none" w:eastAsia="x-none"/>
    </w:rPr>
  </w:style>
  <w:style w:type="character" w:customStyle="1" w:styleId="af2">
    <w:name w:val="頁首 字元"/>
    <w:link w:val="af1"/>
    <w:uiPriority w:val="99"/>
    <w:rsid w:val="00425DD4"/>
    <w:rPr>
      <w:rFonts w:ascii="標楷體" w:eastAsia="標楷體"/>
      <w:kern w:val="2"/>
    </w:rPr>
  </w:style>
  <w:style w:type="character" w:customStyle="1" w:styleId="af7">
    <w:name w:val="本文縮排 字元"/>
    <w:link w:val="af6"/>
    <w:rsid w:val="00425DD4"/>
    <w:rPr>
      <w:rFonts w:ascii="標楷體" w:eastAsia="標楷體"/>
      <w:kern w:val="2"/>
      <w:sz w:val="32"/>
    </w:rPr>
  </w:style>
  <w:style w:type="character" w:styleId="afffd">
    <w:name w:val="annotation reference"/>
    <w:uiPriority w:val="99"/>
    <w:semiHidden/>
    <w:unhideWhenUsed/>
    <w:rsid w:val="00425DD4"/>
    <w:rPr>
      <w:sz w:val="18"/>
      <w:szCs w:val="18"/>
    </w:rPr>
  </w:style>
  <w:style w:type="table" w:customStyle="1" w:styleId="15">
    <w:name w:val="表格格線1"/>
    <w:basedOn w:val="ac"/>
    <w:next w:val="afd"/>
    <w:uiPriority w:val="59"/>
    <w:rsid w:val="00425DD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7">
    <w:name w:val="xl27"/>
    <w:basedOn w:val="aa"/>
    <w:rsid w:val="00425DD4"/>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Arial" w:eastAsia="Arial Unicode MS" w:hAnsi="Arial" w:cs="Arial"/>
      <w:b/>
      <w:bCs/>
      <w:color w:val="FF0000"/>
      <w:kern w:val="0"/>
      <w:sz w:val="24"/>
      <w:szCs w:val="24"/>
    </w:rPr>
  </w:style>
  <w:style w:type="paragraph" w:styleId="afffe">
    <w:name w:val="Document Map"/>
    <w:basedOn w:val="aa"/>
    <w:link w:val="affff"/>
    <w:uiPriority w:val="99"/>
    <w:semiHidden/>
    <w:unhideWhenUsed/>
    <w:rsid w:val="00425DD4"/>
    <w:pPr>
      <w:overflowPunct/>
      <w:autoSpaceDE/>
      <w:autoSpaceDN/>
      <w:jc w:val="left"/>
    </w:pPr>
    <w:rPr>
      <w:rFonts w:ascii="新細明體" w:eastAsia="新細明體"/>
      <w:sz w:val="18"/>
      <w:szCs w:val="18"/>
    </w:rPr>
  </w:style>
  <w:style w:type="character" w:customStyle="1" w:styleId="affff">
    <w:name w:val="文件引導模式 字元"/>
    <w:basedOn w:val="ab"/>
    <w:link w:val="afffe"/>
    <w:uiPriority w:val="99"/>
    <w:semiHidden/>
    <w:rsid w:val="00425DD4"/>
    <w:rPr>
      <w:rFonts w:ascii="新細明體"/>
      <w:kern w:val="2"/>
      <w:sz w:val="18"/>
      <w:szCs w:val="18"/>
    </w:rPr>
  </w:style>
  <w:style w:type="paragraph" w:customStyle="1" w:styleId="3">
    <w:name w:val="第3階"/>
    <w:basedOn w:val="30"/>
    <w:link w:val="38"/>
    <w:qFormat/>
    <w:rsid w:val="00425DD4"/>
    <w:pPr>
      <w:keepNext/>
      <w:numPr>
        <w:ilvl w:val="1"/>
        <w:numId w:val="14"/>
      </w:numPr>
      <w:overflowPunct/>
      <w:autoSpaceDE/>
      <w:autoSpaceDN/>
      <w:snapToGrid w:val="0"/>
      <w:spacing w:line="360" w:lineRule="atLeast"/>
      <w:jc w:val="center"/>
    </w:pPr>
    <w:rPr>
      <w:rFonts w:hAnsi="標楷體" w:cs="Arial"/>
      <w:b/>
      <w:kern w:val="0"/>
      <w:szCs w:val="24"/>
    </w:rPr>
  </w:style>
  <w:style w:type="table" w:customStyle="1" w:styleId="27">
    <w:name w:val="表格格線2"/>
    <w:basedOn w:val="ac"/>
    <w:next w:val="afd"/>
    <w:uiPriority w:val="59"/>
    <w:rsid w:val="00425DD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標題 3 字元"/>
    <w:aliases w:val="(一) 字元"/>
    <w:link w:val="30"/>
    <w:rsid w:val="00425DD4"/>
    <w:rPr>
      <w:rFonts w:ascii="標楷體" w:eastAsia="標楷體" w:hAnsi="Arial"/>
      <w:bCs/>
      <w:kern w:val="32"/>
      <w:sz w:val="32"/>
      <w:szCs w:val="36"/>
    </w:rPr>
  </w:style>
  <w:style w:type="character" w:customStyle="1" w:styleId="38">
    <w:name w:val="第3階 字元"/>
    <w:link w:val="3"/>
    <w:rsid w:val="00425DD4"/>
    <w:rPr>
      <w:rFonts w:ascii="標楷體" w:eastAsia="標楷體" w:hAnsi="標楷體" w:cs="Arial"/>
      <w:b/>
      <w:bCs/>
      <w:sz w:val="32"/>
      <w:szCs w:val="24"/>
    </w:rPr>
  </w:style>
  <w:style w:type="table" w:customStyle="1" w:styleId="39">
    <w:name w:val="表格格線3"/>
    <w:basedOn w:val="ac"/>
    <w:next w:val="afd"/>
    <w:uiPriority w:val="59"/>
    <w:rsid w:val="00425DD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c"/>
    <w:next w:val="afd"/>
    <w:uiPriority w:val="59"/>
    <w:rsid w:val="00425DD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1"/>
    <w:basedOn w:val="ac"/>
    <w:uiPriority w:val="60"/>
    <w:rsid w:val="00425DD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52">
    <w:name w:val="表格格線5"/>
    <w:basedOn w:val="ac"/>
    <w:next w:val="afd"/>
    <w:uiPriority w:val="59"/>
    <w:rsid w:val="00425DD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格格線6"/>
    <w:basedOn w:val="ac"/>
    <w:next w:val="afd"/>
    <w:uiPriority w:val="59"/>
    <w:rsid w:val="00425DD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格格線7"/>
    <w:basedOn w:val="ac"/>
    <w:next w:val="afd"/>
    <w:uiPriority w:val="59"/>
    <w:rsid w:val="00425DD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表格格線8"/>
    <w:basedOn w:val="ac"/>
    <w:next w:val="afd"/>
    <w:uiPriority w:val="59"/>
    <w:rsid w:val="00425DD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表格格線9"/>
    <w:basedOn w:val="ac"/>
    <w:next w:val="afd"/>
    <w:uiPriority w:val="59"/>
    <w:rsid w:val="00425DD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c"/>
    <w:next w:val="afd"/>
    <w:uiPriority w:val="59"/>
    <w:rsid w:val="00425DD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格格線22"/>
    <w:basedOn w:val="ac"/>
    <w:next w:val="afd"/>
    <w:uiPriority w:val="39"/>
    <w:rsid w:val="00425DD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格格線23"/>
    <w:basedOn w:val="ac"/>
    <w:next w:val="afd"/>
    <w:uiPriority w:val="59"/>
    <w:rsid w:val="00425DD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c"/>
    <w:next w:val="afd"/>
    <w:uiPriority w:val="59"/>
    <w:rsid w:val="00425DD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格格線25"/>
    <w:basedOn w:val="ac"/>
    <w:next w:val="afd"/>
    <w:uiPriority w:val="59"/>
    <w:rsid w:val="00425DD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0"/>
    <w:basedOn w:val="ac"/>
    <w:next w:val="afd"/>
    <w:uiPriority w:val="59"/>
    <w:rsid w:val="00425DD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表格格線27"/>
    <w:basedOn w:val="ac"/>
    <w:next w:val="afd"/>
    <w:rsid w:val="00425D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格格線28"/>
    <w:basedOn w:val="ac"/>
    <w:next w:val="afd"/>
    <w:uiPriority w:val="59"/>
    <w:rsid w:val="00425DD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新標題三"/>
    <w:basedOn w:val="aa"/>
    <w:uiPriority w:val="99"/>
    <w:qFormat/>
    <w:rsid w:val="00425DD4"/>
    <w:pPr>
      <w:overflowPunct/>
      <w:autoSpaceDE/>
      <w:autoSpaceDN/>
      <w:snapToGrid w:val="0"/>
      <w:spacing w:line="600" w:lineRule="exact"/>
      <w:ind w:leftChars="300" w:left="1360" w:hangingChars="200" w:hanging="640"/>
    </w:pPr>
    <w:rPr>
      <w:rFonts w:hAnsi="標楷體"/>
      <w:kern w:val="0"/>
    </w:rPr>
  </w:style>
  <w:style w:type="paragraph" w:customStyle="1" w:styleId="affff1">
    <w:name w:val="新標題四"/>
    <w:basedOn w:val="aa"/>
    <w:qFormat/>
    <w:rsid w:val="00425DD4"/>
    <w:pPr>
      <w:overflowPunct/>
      <w:autoSpaceDE/>
      <w:autoSpaceDN/>
      <w:spacing w:line="600" w:lineRule="exact"/>
      <w:ind w:leftChars="600" w:left="750" w:hangingChars="150" w:hanging="150"/>
    </w:pPr>
    <w:rPr>
      <w:rFonts w:hAnsi="標楷體"/>
    </w:rPr>
  </w:style>
  <w:style w:type="paragraph" w:customStyle="1" w:styleId="Default">
    <w:name w:val="Default"/>
    <w:rsid w:val="00425DD4"/>
    <w:pPr>
      <w:widowControl w:val="0"/>
      <w:autoSpaceDE w:val="0"/>
      <w:autoSpaceDN w:val="0"/>
      <w:adjustRightInd w:val="0"/>
    </w:pPr>
    <w:rPr>
      <w:rFonts w:ascii="標楷體." w:eastAsia="標楷體." w:cs="標楷體."/>
      <w:color w:val="000000"/>
      <w:sz w:val="24"/>
      <w:szCs w:val="24"/>
    </w:rPr>
  </w:style>
  <w:style w:type="character" w:customStyle="1" w:styleId="txtgray01">
    <w:name w:val="txtgray01"/>
    <w:rsid w:val="00425DD4"/>
  </w:style>
  <w:style w:type="table" w:customStyle="1" w:styleId="111">
    <w:name w:val="表格格線11"/>
    <w:basedOn w:val="ac"/>
    <w:next w:val="afd"/>
    <w:uiPriority w:val="59"/>
    <w:unhideWhenUsed/>
    <w:rsid w:val="00425DD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
    <w:basedOn w:val="ac"/>
    <w:next w:val="afd"/>
    <w:uiPriority w:val="39"/>
    <w:unhideWhenUsed/>
    <w:rsid w:val="00425DD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25DD4"/>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rsid w:val="00425DD4"/>
    <w:pPr>
      <w:overflowPunct/>
      <w:spacing w:line="334" w:lineRule="exact"/>
      <w:ind w:left="108"/>
      <w:jc w:val="left"/>
    </w:pPr>
    <w:rPr>
      <w:rFonts w:hAnsi="標楷體" w:cs="標楷體"/>
      <w:kern w:val="0"/>
      <w:sz w:val="22"/>
      <w:szCs w:val="22"/>
      <w:lang w:val="zh-TW" w:bidi="zh-TW"/>
    </w:rPr>
  </w:style>
  <w:style w:type="paragraph" w:styleId="affff2">
    <w:name w:val="Title"/>
    <w:basedOn w:val="aa"/>
    <w:next w:val="aa"/>
    <w:link w:val="affff3"/>
    <w:uiPriority w:val="10"/>
    <w:qFormat/>
    <w:rsid w:val="00425DD4"/>
    <w:pPr>
      <w:overflowPunct/>
      <w:autoSpaceDE/>
      <w:autoSpaceDN/>
      <w:spacing w:before="240" w:after="60"/>
      <w:jc w:val="center"/>
      <w:outlineLvl w:val="0"/>
    </w:pPr>
    <w:rPr>
      <w:rFonts w:ascii="Cambria" w:eastAsia="新細明體" w:hAnsi="Cambria"/>
      <w:b/>
      <w:bCs/>
      <w:szCs w:val="32"/>
    </w:rPr>
  </w:style>
  <w:style w:type="character" w:customStyle="1" w:styleId="affff3">
    <w:name w:val="標題 字元"/>
    <w:basedOn w:val="ab"/>
    <w:link w:val="affff2"/>
    <w:uiPriority w:val="10"/>
    <w:rsid w:val="00425DD4"/>
    <w:rPr>
      <w:rFonts w:ascii="Cambria" w:hAnsi="Cambria"/>
      <w:b/>
      <w:bCs/>
      <w:kern w:val="2"/>
      <w:sz w:val="32"/>
      <w:szCs w:val="32"/>
    </w:rPr>
  </w:style>
  <w:style w:type="paragraph" w:customStyle="1" w:styleId="affff4">
    <w:name w:val="一"/>
    <w:basedOn w:val="23"/>
    <w:rsid w:val="00425DD4"/>
    <w:pPr>
      <w:tabs>
        <w:tab w:val="left" w:pos="6720"/>
      </w:tabs>
      <w:spacing w:after="0" w:line="360" w:lineRule="auto"/>
      <w:ind w:leftChars="414" w:left="1314" w:hangingChars="100" w:hanging="320"/>
    </w:pPr>
    <w:rPr>
      <w:rFonts w:ascii="標楷體"/>
      <w:sz w:val="32"/>
    </w:rPr>
  </w:style>
  <w:style w:type="character" w:customStyle="1" w:styleId="afa">
    <w:name w:val="頁尾 字元"/>
    <w:link w:val="af9"/>
    <w:uiPriority w:val="99"/>
    <w:rsid w:val="00425DD4"/>
    <w:rPr>
      <w:rFonts w:ascii="標楷體" w:eastAsia="標楷體"/>
      <w:kern w:val="2"/>
    </w:rPr>
  </w:style>
  <w:style w:type="character" w:customStyle="1" w:styleId="aff">
    <w:name w:val="清單段落 字元"/>
    <w:basedOn w:val="ab"/>
    <w:link w:val="afe"/>
    <w:uiPriority w:val="34"/>
    <w:rsid w:val="00744CDF"/>
    <w:rPr>
      <w:rFonts w:ascii="標楷體" w:eastAsia="標楷體"/>
      <w:kern w:val="2"/>
      <w:sz w:val="32"/>
    </w:rPr>
  </w:style>
  <w:style w:type="paragraph" w:customStyle="1" w:styleId="affff5">
    <w:name w:val="條文二"/>
    <w:basedOn w:val="aa"/>
    <w:rsid w:val="00245E7C"/>
    <w:pPr>
      <w:overflowPunct/>
      <w:adjustRightInd w:val="0"/>
      <w:spacing w:line="360" w:lineRule="atLeast"/>
      <w:ind w:left="1178" w:hanging="480"/>
      <w:textAlignment w:val="baseline"/>
    </w:pPr>
    <w:rPr>
      <w:rFonts w:ascii="細明體" w:eastAsia="細明體"/>
      <w:kern w:val="0"/>
      <w:sz w:val="24"/>
    </w:rPr>
  </w:style>
  <w:style w:type="paragraph" w:customStyle="1" w:styleId="16">
    <w:name w:val="說明1"/>
    <w:basedOn w:val="aa"/>
    <w:rsid w:val="00245E7C"/>
    <w:pPr>
      <w:overflowPunct/>
      <w:adjustRightInd w:val="0"/>
      <w:spacing w:line="360" w:lineRule="atLeast"/>
      <w:jc w:val="left"/>
      <w:textAlignment w:val="baseline"/>
    </w:pPr>
    <w:rPr>
      <w:rFonts w:ascii="細明體" w:eastAsia="細明體"/>
      <w:kern w:val="0"/>
      <w:sz w:val="24"/>
    </w:rPr>
  </w:style>
  <w:style w:type="character" w:styleId="affff6">
    <w:name w:val="Unresolved Mention"/>
    <w:basedOn w:val="ab"/>
    <w:uiPriority w:val="99"/>
    <w:semiHidden/>
    <w:unhideWhenUsed/>
    <w:rsid w:val="00EF6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52559">
      <w:bodyDiv w:val="1"/>
      <w:marLeft w:val="0"/>
      <w:marRight w:val="0"/>
      <w:marTop w:val="0"/>
      <w:marBottom w:val="0"/>
      <w:divBdr>
        <w:top w:val="none" w:sz="0" w:space="0" w:color="auto"/>
        <w:left w:val="none" w:sz="0" w:space="0" w:color="auto"/>
        <w:bottom w:val="none" w:sz="0" w:space="0" w:color="auto"/>
        <w:right w:val="none" w:sz="0" w:space="0" w:color="auto"/>
      </w:divBdr>
    </w:div>
    <w:div w:id="96757128">
      <w:bodyDiv w:val="1"/>
      <w:marLeft w:val="0"/>
      <w:marRight w:val="0"/>
      <w:marTop w:val="0"/>
      <w:marBottom w:val="0"/>
      <w:divBdr>
        <w:top w:val="none" w:sz="0" w:space="0" w:color="auto"/>
        <w:left w:val="none" w:sz="0" w:space="0" w:color="auto"/>
        <w:bottom w:val="none" w:sz="0" w:space="0" w:color="auto"/>
        <w:right w:val="none" w:sz="0" w:space="0" w:color="auto"/>
      </w:divBdr>
      <w:divsChild>
        <w:div w:id="1574390186">
          <w:marLeft w:val="0"/>
          <w:marRight w:val="0"/>
          <w:marTop w:val="0"/>
          <w:marBottom w:val="60"/>
          <w:divBdr>
            <w:top w:val="none" w:sz="0" w:space="0" w:color="auto"/>
            <w:left w:val="none" w:sz="0" w:space="0" w:color="auto"/>
            <w:bottom w:val="none" w:sz="0" w:space="0" w:color="auto"/>
            <w:right w:val="none" w:sz="0" w:space="0" w:color="auto"/>
          </w:divBdr>
          <w:divsChild>
            <w:div w:id="1762333506">
              <w:marLeft w:val="0"/>
              <w:marRight w:val="0"/>
              <w:marTop w:val="0"/>
              <w:marBottom w:val="0"/>
              <w:divBdr>
                <w:top w:val="none" w:sz="0" w:space="0" w:color="auto"/>
                <w:left w:val="none" w:sz="0" w:space="0" w:color="auto"/>
                <w:bottom w:val="none" w:sz="0" w:space="0" w:color="auto"/>
                <w:right w:val="none" w:sz="0" w:space="0" w:color="auto"/>
              </w:divBdr>
            </w:div>
          </w:divsChild>
        </w:div>
        <w:div w:id="503207892">
          <w:marLeft w:val="0"/>
          <w:marRight w:val="0"/>
          <w:marTop w:val="0"/>
          <w:marBottom w:val="60"/>
          <w:divBdr>
            <w:top w:val="none" w:sz="0" w:space="0" w:color="auto"/>
            <w:left w:val="none" w:sz="0" w:space="0" w:color="auto"/>
            <w:bottom w:val="none" w:sz="0" w:space="0" w:color="auto"/>
            <w:right w:val="none" w:sz="0" w:space="0" w:color="auto"/>
          </w:divBdr>
          <w:divsChild>
            <w:div w:id="543443074">
              <w:marLeft w:val="0"/>
              <w:marRight w:val="0"/>
              <w:marTop w:val="0"/>
              <w:marBottom w:val="0"/>
              <w:divBdr>
                <w:top w:val="none" w:sz="0" w:space="0" w:color="auto"/>
                <w:left w:val="none" w:sz="0" w:space="0" w:color="auto"/>
                <w:bottom w:val="none" w:sz="0" w:space="0" w:color="auto"/>
                <w:right w:val="none" w:sz="0" w:space="0" w:color="auto"/>
              </w:divBdr>
              <w:divsChild>
                <w:div w:id="1313875958">
                  <w:marLeft w:val="0"/>
                  <w:marRight w:val="0"/>
                  <w:marTop w:val="0"/>
                  <w:marBottom w:val="0"/>
                  <w:divBdr>
                    <w:top w:val="none" w:sz="0" w:space="0" w:color="auto"/>
                    <w:left w:val="none" w:sz="0" w:space="0" w:color="auto"/>
                    <w:bottom w:val="none" w:sz="0" w:space="0" w:color="auto"/>
                    <w:right w:val="none" w:sz="0" w:space="0" w:color="auto"/>
                  </w:divBdr>
                  <w:divsChild>
                    <w:div w:id="594902864">
                      <w:marLeft w:val="0"/>
                      <w:marRight w:val="0"/>
                      <w:marTop w:val="0"/>
                      <w:marBottom w:val="0"/>
                      <w:divBdr>
                        <w:top w:val="none" w:sz="0" w:space="0" w:color="auto"/>
                        <w:left w:val="none" w:sz="0" w:space="0" w:color="auto"/>
                        <w:bottom w:val="none" w:sz="0" w:space="0" w:color="auto"/>
                        <w:right w:val="none" w:sz="0" w:space="0" w:color="auto"/>
                      </w:divBdr>
                    </w:div>
                  </w:divsChild>
                </w:div>
                <w:div w:id="1464537053">
                  <w:marLeft w:val="0"/>
                  <w:marRight w:val="0"/>
                  <w:marTop w:val="0"/>
                  <w:marBottom w:val="0"/>
                  <w:divBdr>
                    <w:top w:val="none" w:sz="0" w:space="0" w:color="auto"/>
                    <w:left w:val="none" w:sz="0" w:space="0" w:color="auto"/>
                    <w:bottom w:val="none" w:sz="0" w:space="0" w:color="auto"/>
                    <w:right w:val="none" w:sz="0" w:space="0" w:color="auto"/>
                  </w:divBdr>
                  <w:divsChild>
                    <w:div w:id="7509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8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68425">
      <w:bodyDiv w:val="1"/>
      <w:marLeft w:val="0"/>
      <w:marRight w:val="0"/>
      <w:marTop w:val="0"/>
      <w:marBottom w:val="0"/>
      <w:divBdr>
        <w:top w:val="none" w:sz="0" w:space="0" w:color="auto"/>
        <w:left w:val="none" w:sz="0" w:space="0" w:color="auto"/>
        <w:bottom w:val="none" w:sz="0" w:space="0" w:color="auto"/>
        <w:right w:val="none" w:sz="0" w:space="0" w:color="auto"/>
      </w:divBdr>
    </w:div>
    <w:div w:id="365447692">
      <w:bodyDiv w:val="1"/>
      <w:marLeft w:val="0"/>
      <w:marRight w:val="0"/>
      <w:marTop w:val="0"/>
      <w:marBottom w:val="0"/>
      <w:divBdr>
        <w:top w:val="none" w:sz="0" w:space="0" w:color="auto"/>
        <w:left w:val="none" w:sz="0" w:space="0" w:color="auto"/>
        <w:bottom w:val="none" w:sz="0" w:space="0" w:color="auto"/>
        <w:right w:val="none" w:sz="0" w:space="0" w:color="auto"/>
      </w:divBdr>
    </w:div>
    <w:div w:id="400562517">
      <w:bodyDiv w:val="1"/>
      <w:marLeft w:val="0"/>
      <w:marRight w:val="0"/>
      <w:marTop w:val="0"/>
      <w:marBottom w:val="0"/>
      <w:divBdr>
        <w:top w:val="none" w:sz="0" w:space="0" w:color="auto"/>
        <w:left w:val="none" w:sz="0" w:space="0" w:color="auto"/>
        <w:bottom w:val="none" w:sz="0" w:space="0" w:color="auto"/>
        <w:right w:val="none" w:sz="0" w:space="0" w:color="auto"/>
      </w:divBdr>
    </w:div>
    <w:div w:id="423960878">
      <w:bodyDiv w:val="1"/>
      <w:marLeft w:val="0"/>
      <w:marRight w:val="0"/>
      <w:marTop w:val="0"/>
      <w:marBottom w:val="0"/>
      <w:divBdr>
        <w:top w:val="none" w:sz="0" w:space="0" w:color="auto"/>
        <w:left w:val="none" w:sz="0" w:space="0" w:color="auto"/>
        <w:bottom w:val="none" w:sz="0" w:space="0" w:color="auto"/>
        <w:right w:val="none" w:sz="0" w:space="0" w:color="auto"/>
      </w:divBdr>
      <w:divsChild>
        <w:div w:id="269556898">
          <w:marLeft w:val="0"/>
          <w:marRight w:val="0"/>
          <w:marTop w:val="0"/>
          <w:marBottom w:val="60"/>
          <w:divBdr>
            <w:top w:val="none" w:sz="0" w:space="0" w:color="auto"/>
            <w:left w:val="none" w:sz="0" w:space="0" w:color="auto"/>
            <w:bottom w:val="none" w:sz="0" w:space="0" w:color="auto"/>
            <w:right w:val="none" w:sz="0" w:space="0" w:color="auto"/>
          </w:divBdr>
          <w:divsChild>
            <w:div w:id="1583374236">
              <w:marLeft w:val="0"/>
              <w:marRight w:val="0"/>
              <w:marTop w:val="0"/>
              <w:marBottom w:val="0"/>
              <w:divBdr>
                <w:top w:val="none" w:sz="0" w:space="0" w:color="auto"/>
                <w:left w:val="none" w:sz="0" w:space="0" w:color="auto"/>
                <w:bottom w:val="none" w:sz="0" w:space="0" w:color="auto"/>
                <w:right w:val="none" w:sz="0" w:space="0" w:color="auto"/>
              </w:divBdr>
            </w:div>
          </w:divsChild>
        </w:div>
        <w:div w:id="2074691326">
          <w:marLeft w:val="0"/>
          <w:marRight w:val="0"/>
          <w:marTop w:val="0"/>
          <w:marBottom w:val="60"/>
          <w:divBdr>
            <w:top w:val="none" w:sz="0" w:space="0" w:color="auto"/>
            <w:left w:val="none" w:sz="0" w:space="0" w:color="auto"/>
            <w:bottom w:val="none" w:sz="0" w:space="0" w:color="auto"/>
            <w:right w:val="none" w:sz="0" w:space="0" w:color="auto"/>
          </w:divBdr>
          <w:divsChild>
            <w:div w:id="1003314191">
              <w:marLeft w:val="0"/>
              <w:marRight w:val="0"/>
              <w:marTop w:val="0"/>
              <w:marBottom w:val="0"/>
              <w:divBdr>
                <w:top w:val="none" w:sz="0" w:space="0" w:color="auto"/>
                <w:left w:val="none" w:sz="0" w:space="0" w:color="auto"/>
                <w:bottom w:val="none" w:sz="0" w:space="0" w:color="auto"/>
                <w:right w:val="none" w:sz="0" w:space="0" w:color="auto"/>
              </w:divBdr>
              <w:divsChild>
                <w:div w:id="1373730355">
                  <w:marLeft w:val="0"/>
                  <w:marRight w:val="0"/>
                  <w:marTop w:val="0"/>
                  <w:marBottom w:val="0"/>
                  <w:divBdr>
                    <w:top w:val="none" w:sz="0" w:space="0" w:color="auto"/>
                    <w:left w:val="none" w:sz="0" w:space="0" w:color="auto"/>
                    <w:bottom w:val="none" w:sz="0" w:space="0" w:color="auto"/>
                    <w:right w:val="none" w:sz="0" w:space="0" w:color="auto"/>
                  </w:divBdr>
                  <w:divsChild>
                    <w:div w:id="1904945150">
                      <w:marLeft w:val="0"/>
                      <w:marRight w:val="0"/>
                      <w:marTop w:val="0"/>
                      <w:marBottom w:val="0"/>
                      <w:divBdr>
                        <w:top w:val="none" w:sz="0" w:space="0" w:color="auto"/>
                        <w:left w:val="none" w:sz="0" w:space="0" w:color="auto"/>
                        <w:bottom w:val="none" w:sz="0" w:space="0" w:color="auto"/>
                        <w:right w:val="none" w:sz="0" w:space="0" w:color="auto"/>
                      </w:divBdr>
                    </w:div>
                  </w:divsChild>
                </w:div>
                <w:div w:id="1883710948">
                  <w:marLeft w:val="0"/>
                  <w:marRight w:val="0"/>
                  <w:marTop w:val="0"/>
                  <w:marBottom w:val="0"/>
                  <w:divBdr>
                    <w:top w:val="none" w:sz="0" w:space="0" w:color="auto"/>
                    <w:left w:val="none" w:sz="0" w:space="0" w:color="auto"/>
                    <w:bottom w:val="none" w:sz="0" w:space="0" w:color="auto"/>
                    <w:right w:val="none" w:sz="0" w:space="0" w:color="auto"/>
                  </w:divBdr>
                  <w:divsChild>
                    <w:div w:id="71986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232547">
      <w:bodyDiv w:val="1"/>
      <w:marLeft w:val="0"/>
      <w:marRight w:val="0"/>
      <w:marTop w:val="0"/>
      <w:marBottom w:val="0"/>
      <w:divBdr>
        <w:top w:val="none" w:sz="0" w:space="0" w:color="auto"/>
        <w:left w:val="none" w:sz="0" w:space="0" w:color="auto"/>
        <w:bottom w:val="none" w:sz="0" w:space="0" w:color="auto"/>
        <w:right w:val="none" w:sz="0" w:space="0" w:color="auto"/>
      </w:divBdr>
    </w:div>
    <w:div w:id="452401742">
      <w:bodyDiv w:val="1"/>
      <w:marLeft w:val="0"/>
      <w:marRight w:val="0"/>
      <w:marTop w:val="0"/>
      <w:marBottom w:val="0"/>
      <w:divBdr>
        <w:top w:val="none" w:sz="0" w:space="0" w:color="auto"/>
        <w:left w:val="none" w:sz="0" w:space="0" w:color="auto"/>
        <w:bottom w:val="none" w:sz="0" w:space="0" w:color="auto"/>
        <w:right w:val="none" w:sz="0" w:space="0" w:color="auto"/>
      </w:divBdr>
    </w:div>
    <w:div w:id="462508260">
      <w:bodyDiv w:val="1"/>
      <w:marLeft w:val="0"/>
      <w:marRight w:val="0"/>
      <w:marTop w:val="0"/>
      <w:marBottom w:val="0"/>
      <w:divBdr>
        <w:top w:val="none" w:sz="0" w:space="0" w:color="auto"/>
        <w:left w:val="none" w:sz="0" w:space="0" w:color="auto"/>
        <w:bottom w:val="none" w:sz="0" w:space="0" w:color="auto"/>
        <w:right w:val="none" w:sz="0" w:space="0" w:color="auto"/>
      </w:divBdr>
    </w:div>
    <w:div w:id="531261562">
      <w:bodyDiv w:val="1"/>
      <w:marLeft w:val="0"/>
      <w:marRight w:val="0"/>
      <w:marTop w:val="0"/>
      <w:marBottom w:val="0"/>
      <w:divBdr>
        <w:top w:val="none" w:sz="0" w:space="0" w:color="auto"/>
        <w:left w:val="none" w:sz="0" w:space="0" w:color="auto"/>
        <w:bottom w:val="none" w:sz="0" w:space="0" w:color="auto"/>
        <w:right w:val="none" w:sz="0" w:space="0" w:color="auto"/>
      </w:divBdr>
    </w:div>
    <w:div w:id="535390886">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38724483">
      <w:bodyDiv w:val="1"/>
      <w:marLeft w:val="0"/>
      <w:marRight w:val="0"/>
      <w:marTop w:val="0"/>
      <w:marBottom w:val="0"/>
      <w:divBdr>
        <w:top w:val="none" w:sz="0" w:space="0" w:color="auto"/>
        <w:left w:val="none" w:sz="0" w:space="0" w:color="auto"/>
        <w:bottom w:val="none" w:sz="0" w:space="0" w:color="auto"/>
        <w:right w:val="none" w:sz="0" w:space="0" w:color="auto"/>
      </w:divBdr>
    </w:div>
    <w:div w:id="671958665">
      <w:bodyDiv w:val="1"/>
      <w:marLeft w:val="0"/>
      <w:marRight w:val="0"/>
      <w:marTop w:val="0"/>
      <w:marBottom w:val="0"/>
      <w:divBdr>
        <w:top w:val="none" w:sz="0" w:space="0" w:color="auto"/>
        <w:left w:val="none" w:sz="0" w:space="0" w:color="auto"/>
        <w:bottom w:val="none" w:sz="0" w:space="0" w:color="auto"/>
        <w:right w:val="none" w:sz="0" w:space="0" w:color="auto"/>
      </w:divBdr>
    </w:div>
    <w:div w:id="728111098">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64486986">
      <w:bodyDiv w:val="1"/>
      <w:marLeft w:val="0"/>
      <w:marRight w:val="0"/>
      <w:marTop w:val="0"/>
      <w:marBottom w:val="0"/>
      <w:divBdr>
        <w:top w:val="none" w:sz="0" w:space="0" w:color="auto"/>
        <w:left w:val="none" w:sz="0" w:space="0" w:color="auto"/>
        <w:bottom w:val="none" w:sz="0" w:space="0" w:color="auto"/>
        <w:right w:val="none" w:sz="0" w:space="0" w:color="auto"/>
      </w:divBdr>
    </w:div>
    <w:div w:id="926810480">
      <w:bodyDiv w:val="1"/>
      <w:marLeft w:val="0"/>
      <w:marRight w:val="0"/>
      <w:marTop w:val="0"/>
      <w:marBottom w:val="0"/>
      <w:divBdr>
        <w:top w:val="none" w:sz="0" w:space="0" w:color="auto"/>
        <w:left w:val="none" w:sz="0" w:space="0" w:color="auto"/>
        <w:bottom w:val="none" w:sz="0" w:space="0" w:color="auto"/>
        <w:right w:val="none" w:sz="0" w:space="0" w:color="auto"/>
      </w:divBdr>
    </w:div>
    <w:div w:id="974917388">
      <w:bodyDiv w:val="1"/>
      <w:marLeft w:val="0"/>
      <w:marRight w:val="0"/>
      <w:marTop w:val="0"/>
      <w:marBottom w:val="0"/>
      <w:divBdr>
        <w:top w:val="none" w:sz="0" w:space="0" w:color="auto"/>
        <w:left w:val="none" w:sz="0" w:space="0" w:color="auto"/>
        <w:bottom w:val="none" w:sz="0" w:space="0" w:color="auto"/>
        <w:right w:val="none" w:sz="0" w:space="0" w:color="auto"/>
      </w:divBdr>
    </w:div>
    <w:div w:id="1073695574">
      <w:bodyDiv w:val="1"/>
      <w:marLeft w:val="0"/>
      <w:marRight w:val="0"/>
      <w:marTop w:val="0"/>
      <w:marBottom w:val="0"/>
      <w:divBdr>
        <w:top w:val="none" w:sz="0" w:space="0" w:color="auto"/>
        <w:left w:val="none" w:sz="0" w:space="0" w:color="auto"/>
        <w:bottom w:val="none" w:sz="0" w:space="0" w:color="auto"/>
        <w:right w:val="none" w:sz="0" w:space="0" w:color="auto"/>
      </w:divBdr>
    </w:div>
    <w:div w:id="1306664753">
      <w:bodyDiv w:val="1"/>
      <w:marLeft w:val="0"/>
      <w:marRight w:val="0"/>
      <w:marTop w:val="0"/>
      <w:marBottom w:val="0"/>
      <w:divBdr>
        <w:top w:val="none" w:sz="0" w:space="0" w:color="auto"/>
        <w:left w:val="none" w:sz="0" w:space="0" w:color="auto"/>
        <w:bottom w:val="none" w:sz="0" w:space="0" w:color="auto"/>
        <w:right w:val="none" w:sz="0" w:space="0" w:color="auto"/>
      </w:divBdr>
    </w:div>
    <w:div w:id="1580362714">
      <w:bodyDiv w:val="1"/>
      <w:marLeft w:val="0"/>
      <w:marRight w:val="0"/>
      <w:marTop w:val="0"/>
      <w:marBottom w:val="0"/>
      <w:divBdr>
        <w:top w:val="none" w:sz="0" w:space="0" w:color="auto"/>
        <w:left w:val="none" w:sz="0" w:space="0" w:color="auto"/>
        <w:bottom w:val="none" w:sz="0" w:space="0" w:color="auto"/>
        <w:right w:val="none" w:sz="0" w:space="0" w:color="auto"/>
      </w:divBdr>
    </w:div>
    <w:div w:id="1593853087">
      <w:bodyDiv w:val="1"/>
      <w:marLeft w:val="0"/>
      <w:marRight w:val="0"/>
      <w:marTop w:val="0"/>
      <w:marBottom w:val="0"/>
      <w:divBdr>
        <w:top w:val="none" w:sz="0" w:space="0" w:color="auto"/>
        <w:left w:val="none" w:sz="0" w:space="0" w:color="auto"/>
        <w:bottom w:val="none" w:sz="0" w:space="0" w:color="auto"/>
        <w:right w:val="none" w:sz="0" w:space="0" w:color="auto"/>
      </w:divBdr>
    </w:div>
    <w:div w:id="1658075286">
      <w:bodyDiv w:val="1"/>
      <w:marLeft w:val="0"/>
      <w:marRight w:val="0"/>
      <w:marTop w:val="0"/>
      <w:marBottom w:val="0"/>
      <w:divBdr>
        <w:top w:val="none" w:sz="0" w:space="0" w:color="auto"/>
        <w:left w:val="none" w:sz="0" w:space="0" w:color="auto"/>
        <w:bottom w:val="none" w:sz="0" w:space="0" w:color="auto"/>
        <w:right w:val="none" w:sz="0" w:space="0" w:color="auto"/>
      </w:divBdr>
    </w:div>
    <w:div w:id="1683388862">
      <w:bodyDiv w:val="1"/>
      <w:marLeft w:val="0"/>
      <w:marRight w:val="0"/>
      <w:marTop w:val="0"/>
      <w:marBottom w:val="0"/>
      <w:divBdr>
        <w:top w:val="none" w:sz="0" w:space="0" w:color="auto"/>
        <w:left w:val="none" w:sz="0" w:space="0" w:color="auto"/>
        <w:bottom w:val="none" w:sz="0" w:space="0" w:color="auto"/>
        <w:right w:val="none" w:sz="0" w:space="0" w:color="auto"/>
      </w:divBdr>
    </w:div>
    <w:div w:id="1782725435">
      <w:bodyDiv w:val="1"/>
      <w:marLeft w:val="0"/>
      <w:marRight w:val="0"/>
      <w:marTop w:val="0"/>
      <w:marBottom w:val="0"/>
      <w:divBdr>
        <w:top w:val="none" w:sz="0" w:space="0" w:color="auto"/>
        <w:left w:val="none" w:sz="0" w:space="0" w:color="auto"/>
        <w:bottom w:val="none" w:sz="0" w:space="0" w:color="auto"/>
        <w:right w:val="none" w:sz="0" w:space="0" w:color="auto"/>
      </w:divBdr>
    </w:div>
    <w:div w:id="189715921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2DBD1-2908-4CCC-B776-0FF2AFDCF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2082</Words>
  <Characters>11869</Characters>
  <Application>Microsoft Office Word</Application>
  <DocSecurity>0</DocSecurity>
  <Lines>98</Lines>
  <Paragraphs>27</Paragraphs>
  <ScaleCrop>false</ScaleCrop>
  <Company/>
  <LinksUpToDate>false</LinksUpToDate>
  <CharactersWithSpaces>13924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陳宏彰</dc:creator>
  <cp:keywords/>
  <cp:lastModifiedBy>林宜敏</cp:lastModifiedBy>
  <cp:revision>4</cp:revision>
  <cp:lastPrinted>2025-03-13T07:25:00Z</cp:lastPrinted>
  <dcterms:created xsi:type="dcterms:W3CDTF">2025-03-14T07:51:00Z</dcterms:created>
  <dcterms:modified xsi:type="dcterms:W3CDTF">2025-03-18T07:34:00Z</dcterms:modified>
  <cp:contentStatus/>
</cp:coreProperties>
</file>