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310CA7">
        <w:rPr>
          <w:rFonts w:hint="eastAsia"/>
        </w:rPr>
        <w:t>交通部觀光署</w:t>
      </w:r>
      <w:r>
        <w:rPr>
          <w:rFonts w:hint="eastAsia"/>
        </w:rPr>
        <w:t>。</w:t>
      </w:r>
    </w:p>
    <w:p w:rsidR="003E019F" w:rsidRPr="003E019F" w:rsidRDefault="0025106C" w:rsidP="002A0569">
      <w:pPr>
        <w:pStyle w:val="1"/>
      </w:pPr>
      <w:r>
        <w:rPr>
          <w:rFonts w:hint="eastAsia"/>
        </w:rPr>
        <w:t>案　　　由：</w:t>
      </w:r>
      <w:r w:rsidR="00550EE1">
        <w:rPr>
          <w:rFonts w:hint="eastAsia"/>
        </w:rPr>
        <w:t>交通部</w:t>
      </w:r>
      <w:r w:rsidR="00D2714C" w:rsidRPr="00201B78">
        <w:rPr>
          <w:rFonts w:hint="eastAsia"/>
          <w:color w:val="000000" w:themeColor="text1"/>
        </w:rPr>
        <w:t>觀光署對於所轄13個國家風景區管理處(下稱管理處)</w:t>
      </w:r>
      <w:r w:rsidR="00D2714C" w:rsidRPr="00CA02BD">
        <w:rPr>
          <w:rFonts w:hint="eastAsia"/>
          <w:color w:val="000000" w:themeColor="text1"/>
        </w:rPr>
        <w:t>經管之橋梁、</w:t>
      </w:r>
      <w:r w:rsidR="00550EE1">
        <w:rPr>
          <w:rFonts w:hint="eastAsia"/>
          <w:color w:val="000000" w:themeColor="text1"/>
        </w:rPr>
        <w:t>補助</w:t>
      </w:r>
      <w:r w:rsidR="00D2714C" w:rsidRPr="00CA02BD">
        <w:rPr>
          <w:rFonts w:hint="eastAsia"/>
          <w:color w:val="000000" w:themeColor="text1"/>
        </w:rPr>
        <w:t>直轄市與縣(市)政府</w:t>
      </w:r>
      <w:r w:rsidR="00550EE1">
        <w:rPr>
          <w:rFonts w:hint="eastAsia"/>
          <w:color w:val="000000" w:themeColor="text1"/>
        </w:rPr>
        <w:t>興建</w:t>
      </w:r>
      <w:r w:rsidR="00D2714C" w:rsidRPr="00CA02BD">
        <w:rPr>
          <w:rFonts w:hint="eastAsia"/>
          <w:color w:val="000000" w:themeColor="text1"/>
        </w:rPr>
        <w:t>橋梁</w:t>
      </w:r>
      <w:r w:rsidR="00550EE1">
        <w:rPr>
          <w:rFonts w:hint="eastAsia"/>
          <w:color w:val="000000" w:themeColor="text1"/>
        </w:rPr>
        <w:t>之</w:t>
      </w:r>
      <w:r w:rsidR="00D2714C" w:rsidRPr="00CA02BD">
        <w:rPr>
          <w:rFonts w:hint="eastAsia"/>
          <w:color w:val="000000" w:themeColor="text1"/>
        </w:rPr>
        <w:t>養護作業</w:t>
      </w:r>
      <w:r w:rsidR="003E019F" w:rsidRPr="00123776">
        <w:rPr>
          <w:rFonts w:hint="eastAsia"/>
        </w:rPr>
        <w:t>，雖已於「風景特定區橋梁維護管理作業要點」建立相關養護及督導考核機制，</w:t>
      </w:r>
      <w:r w:rsidR="00D2714C">
        <w:rPr>
          <w:rFonts w:hint="eastAsia"/>
        </w:rPr>
        <w:t>卻未能依要點</w:t>
      </w:r>
      <w:r w:rsidR="00D2714C">
        <w:rPr>
          <w:rFonts w:hint="eastAsia"/>
          <w:color w:val="000000" w:themeColor="text1"/>
        </w:rPr>
        <w:t>善盡督導及考核責任</w:t>
      </w:r>
      <w:r w:rsidR="00123776" w:rsidRPr="00123776">
        <w:rPr>
          <w:rFonts w:hint="eastAsia"/>
        </w:rPr>
        <w:t>，</w:t>
      </w:r>
      <w:r w:rsidR="00D2714C">
        <w:rPr>
          <w:rFonts w:hint="eastAsia"/>
        </w:rPr>
        <w:t>核有</w:t>
      </w:r>
      <w:r w:rsidR="00383B21">
        <w:rPr>
          <w:rFonts w:hint="eastAsia"/>
        </w:rPr>
        <w:t>違失</w:t>
      </w:r>
      <w:r w:rsidR="00123776" w:rsidRPr="00383B21">
        <w:rPr>
          <w:rFonts w:ascii="Times New Roman" w:hAnsi="Times New Roman"/>
          <w:spacing w:val="-4"/>
        </w:rPr>
        <w:t>，</w:t>
      </w:r>
      <w:proofErr w:type="gramStart"/>
      <w:r w:rsidR="00123776" w:rsidRPr="00383B21">
        <w:rPr>
          <w:rFonts w:ascii="Times New Roman" w:hAnsi="Times New Roman"/>
          <w:spacing w:val="-4"/>
        </w:rPr>
        <w:t>爰</w:t>
      </w:r>
      <w:proofErr w:type="gramEnd"/>
      <w:r w:rsidR="00123776" w:rsidRPr="00383B21">
        <w:rPr>
          <w:rFonts w:ascii="Times New Roman" w:hAnsi="Times New Roman"/>
          <w:spacing w:val="-4"/>
        </w:rPr>
        <w:t>依法提案糾正</w:t>
      </w:r>
      <w:r w:rsidR="00123776" w:rsidRPr="00123776">
        <w:rPr>
          <w:rFonts w:hint="eastAsia"/>
        </w:rPr>
        <w:t>。</w:t>
      </w:r>
    </w:p>
    <w:p w:rsidR="00E25849" w:rsidRDefault="00DB3135" w:rsidP="002A056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47233" w:rsidRDefault="00647233" w:rsidP="002A0569">
      <w:pPr>
        <w:pStyle w:val="10"/>
        <w:ind w:left="680" w:firstLine="680"/>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color w:val="000000"/>
        </w:rPr>
        <w:t>鑒於</w:t>
      </w:r>
      <w:r w:rsidR="001619F4" w:rsidRPr="00CA02BD">
        <w:rPr>
          <w:rFonts w:hint="eastAsia"/>
          <w:color w:val="000000" w:themeColor="text1"/>
          <w:szCs w:val="32"/>
        </w:rPr>
        <w:t>民國(下同)</w:t>
      </w:r>
      <w:r w:rsidR="00B60C6F" w:rsidRPr="009E6BFE">
        <w:rPr>
          <w:rFonts w:hint="eastAsia"/>
          <w:color w:val="000000"/>
        </w:rPr>
        <w:t>108年南方澳跨港大橋斷橋事件發生，行政院為統一各部會橋梁管理制度，於1</w:t>
      </w:r>
      <w:r w:rsidR="00B60C6F" w:rsidRPr="009E6BFE">
        <w:rPr>
          <w:color w:val="000000"/>
        </w:rPr>
        <w:t>09</w:t>
      </w:r>
      <w:r w:rsidR="00B60C6F" w:rsidRPr="009E6BFE">
        <w:rPr>
          <w:rFonts w:hint="eastAsia"/>
          <w:color w:val="000000"/>
        </w:rPr>
        <w:t>年7月21日函頒「橋梁維護管理作業要點」，交通部亦授權</w:t>
      </w:r>
      <w:r w:rsidR="00550EE1">
        <w:rPr>
          <w:rFonts w:hint="eastAsia"/>
          <w:color w:val="000000"/>
        </w:rPr>
        <w:t>該部</w:t>
      </w:r>
      <w:r w:rsidR="00B60C6F" w:rsidRPr="009E6BFE">
        <w:rPr>
          <w:rFonts w:hint="eastAsia"/>
          <w:color w:val="000000"/>
        </w:rPr>
        <w:t>觀光署</w:t>
      </w:r>
      <w:r w:rsidR="00550EE1">
        <w:rPr>
          <w:rFonts w:hint="eastAsia"/>
          <w:color w:val="000000"/>
        </w:rPr>
        <w:t>(</w:t>
      </w:r>
      <w:r w:rsidR="00C81298" w:rsidRPr="007F5D45">
        <w:rPr>
          <w:rFonts w:hint="eastAsia"/>
          <w:color w:val="000000"/>
        </w:rPr>
        <w:t>前觀光局</w:t>
      </w:r>
      <w:r w:rsidR="00C81298">
        <w:rPr>
          <w:rFonts w:hint="eastAsia"/>
          <w:color w:val="000000"/>
        </w:rPr>
        <w:t>，於</w:t>
      </w:r>
      <w:r w:rsidR="00C81298">
        <w:rPr>
          <w:rFonts w:hAnsi="標楷體" w:hint="eastAsia"/>
          <w:color w:val="000000"/>
        </w:rPr>
        <w:t>1</w:t>
      </w:r>
      <w:r w:rsidR="00C81298">
        <w:rPr>
          <w:rFonts w:hAnsi="標楷體"/>
          <w:color w:val="000000"/>
        </w:rPr>
        <w:t>12</w:t>
      </w:r>
      <w:r w:rsidR="00C81298">
        <w:rPr>
          <w:rFonts w:hAnsi="標楷體" w:hint="eastAsia"/>
          <w:color w:val="000000"/>
        </w:rPr>
        <w:t>年9月15日改制為交通部觀光署，</w:t>
      </w:r>
      <w:r w:rsidR="00550EE1">
        <w:rPr>
          <w:rFonts w:hint="eastAsia"/>
          <w:color w:val="000000"/>
        </w:rPr>
        <w:t>下稱觀光署</w:t>
      </w:r>
      <w:r w:rsidR="00550EE1">
        <w:rPr>
          <w:color w:val="000000"/>
        </w:rPr>
        <w:t>)</w:t>
      </w:r>
      <w:r w:rsidR="00B60C6F" w:rsidRPr="009E6BFE">
        <w:rPr>
          <w:rFonts w:hint="eastAsia"/>
          <w:color w:val="000000"/>
        </w:rPr>
        <w:t>以該部名義於110年6月24日函頒「風景特定區橋梁維護管理作業要點」，已建立國家風景區橋梁維護管理及督導、考核規定之相關機制；同年9月內政部頒布「人行天橋檢測與維修及補強規範」，提供人行天橋養護單位施行人行天橋及其附屬設施檢測、評估、維修及補強作業之依循，</w:t>
      </w:r>
      <w:r w:rsidR="00B60C6F">
        <w:rPr>
          <w:rFonts w:hint="eastAsia"/>
          <w:color w:val="000000"/>
        </w:rPr>
        <w:t>至</w:t>
      </w:r>
      <w:r w:rsidR="00B60C6F" w:rsidRPr="009E6BFE">
        <w:rPr>
          <w:rFonts w:hint="eastAsia"/>
          <w:color w:val="000000"/>
        </w:rPr>
        <w:t>特殊性人行天橋</w:t>
      </w:r>
      <w:r w:rsidR="00B60C6F" w:rsidRPr="009E6BFE">
        <w:rPr>
          <w:rStyle w:val="afd"/>
          <w:color w:val="000000"/>
        </w:rPr>
        <w:footnoteReference w:id="1"/>
      </w:r>
      <w:r w:rsidR="00B60C6F" w:rsidRPr="009E6BFE">
        <w:rPr>
          <w:rFonts w:hint="eastAsia"/>
          <w:color w:val="000000"/>
        </w:rPr>
        <w:t>應另訂定維護管理作業計畫</w:t>
      </w:r>
      <w:r w:rsidR="00B60C6F">
        <w:rPr>
          <w:rFonts w:ascii="Times New Roman" w:hint="eastAsia"/>
          <w:color w:val="000000" w:themeColor="text1"/>
        </w:rPr>
        <w:t>。</w:t>
      </w:r>
    </w:p>
    <w:p w:rsidR="001A25E5" w:rsidRDefault="00647233" w:rsidP="002A0569">
      <w:pPr>
        <w:pStyle w:val="10"/>
        <w:ind w:left="680" w:firstLine="680"/>
        <w:rPr>
          <w:color w:val="000000" w:themeColor="text1"/>
        </w:rPr>
      </w:pPr>
      <w:r>
        <w:rPr>
          <w:rFonts w:hint="eastAsia"/>
          <w:color w:val="000000" w:themeColor="text1"/>
        </w:rPr>
        <w:t>案</w:t>
      </w:r>
      <w:r w:rsidR="007666F5" w:rsidRPr="00CA02BD">
        <w:rPr>
          <w:rFonts w:hint="eastAsia"/>
          <w:color w:val="000000" w:themeColor="text1"/>
        </w:rPr>
        <w:t>經調閱</w:t>
      </w:r>
      <w:r w:rsidR="00CA02BD" w:rsidRPr="00CA02BD">
        <w:rPr>
          <w:rFonts w:hint="eastAsia"/>
          <w:color w:val="000000" w:themeColor="text1"/>
        </w:rPr>
        <w:t>交通部暨該部觀光署、內政部、南投縣</w:t>
      </w:r>
      <w:proofErr w:type="gramStart"/>
      <w:r w:rsidR="00CA02BD" w:rsidRPr="00CA02BD">
        <w:rPr>
          <w:rFonts w:hint="eastAsia"/>
          <w:color w:val="000000" w:themeColor="text1"/>
        </w:rPr>
        <w:t>政府之卷證</w:t>
      </w:r>
      <w:proofErr w:type="gramEnd"/>
      <w:r w:rsidR="00CA02BD" w:rsidRPr="00CA02BD">
        <w:rPr>
          <w:rFonts w:hint="eastAsia"/>
          <w:color w:val="000000" w:themeColor="text1"/>
        </w:rPr>
        <w:t>資料</w:t>
      </w:r>
      <w:r w:rsidR="00CA02BD" w:rsidRPr="00CA02BD">
        <w:rPr>
          <w:rStyle w:val="afd"/>
          <w:color w:val="000000" w:themeColor="text1"/>
        </w:rPr>
        <w:footnoteReference w:id="2"/>
      </w:r>
      <w:r w:rsidR="00CA02BD" w:rsidRPr="00CA02BD">
        <w:rPr>
          <w:rFonts w:hint="eastAsia"/>
          <w:color w:val="000000" w:themeColor="text1"/>
        </w:rPr>
        <w:t>，復函請審計部提供相關審核資料</w:t>
      </w:r>
      <w:r w:rsidR="00CA02BD" w:rsidRPr="00CA02BD">
        <w:rPr>
          <w:rStyle w:val="afd"/>
          <w:color w:val="000000" w:themeColor="text1"/>
        </w:rPr>
        <w:footnoteReference w:id="3"/>
      </w:r>
      <w:r w:rsidR="007666F5" w:rsidRPr="00CA02BD">
        <w:rPr>
          <w:rFonts w:hint="eastAsia"/>
          <w:color w:val="000000" w:themeColor="text1"/>
        </w:rPr>
        <w:t>，</w:t>
      </w:r>
      <w:r w:rsidR="00CA02BD" w:rsidRPr="00CA02BD">
        <w:rPr>
          <w:rFonts w:hint="eastAsia"/>
          <w:color w:val="000000" w:themeColor="text1"/>
        </w:rPr>
        <w:t>嗣分</w:t>
      </w:r>
      <w:r w:rsidR="00CA02BD" w:rsidRPr="00CA02BD">
        <w:rPr>
          <w:rFonts w:hint="eastAsia"/>
          <w:color w:val="000000" w:themeColor="text1"/>
        </w:rPr>
        <w:lastRenderedPageBreak/>
        <w:t>別於</w:t>
      </w:r>
      <w:r w:rsidR="00CA02BD" w:rsidRPr="00CA02BD">
        <w:rPr>
          <w:color w:val="000000" w:themeColor="text1"/>
        </w:rPr>
        <w:t>113</w:t>
      </w:r>
      <w:r w:rsidR="00CA02BD" w:rsidRPr="00CA02BD">
        <w:rPr>
          <w:rFonts w:hint="eastAsia"/>
          <w:color w:val="000000" w:themeColor="text1"/>
        </w:rPr>
        <w:t>年</w:t>
      </w:r>
      <w:r w:rsidR="00CA02BD" w:rsidRPr="00CA02BD">
        <w:rPr>
          <w:color w:val="000000" w:themeColor="text1"/>
        </w:rPr>
        <w:t>4</w:t>
      </w:r>
      <w:r w:rsidR="00CA02BD" w:rsidRPr="00CA02BD">
        <w:rPr>
          <w:rFonts w:hint="eastAsia"/>
          <w:color w:val="000000" w:themeColor="text1"/>
        </w:rPr>
        <w:t>月1日履勘北海岸及觀音山(下</w:t>
      </w:r>
      <w:proofErr w:type="gramStart"/>
      <w:r w:rsidR="00CA02BD" w:rsidRPr="00CA02BD">
        <w:rPr>
          <w:rFonts w:hint="eastAsia"/>
          <w:color w:val="000000" w:themeColor="text1"/>
        </w:rPr>
        <w:t>稱北</w:t>
      </w:r>
      <w:proofErr w:type="gramEnd"/>
      <w:r w:rsidR="00CA02BD" w:rsidRPr="00CA02BD">
        <w:rPr>
          <w:rFonts w:hint="eastAsia"/>
          <w:color w:val="000000" w:themeColor="text1"/>
        </w:rPr>
        <w:t>觀)國家風景區、同年6月2</w:t>
      </w:r>
      <w:r w:rsidR="00CA02BD" w:rsidRPr="00CA02BD">
        <w:rPr>
          <w:color w:val="000000" w:themeColor="text1"/>
        </w:rPr>
        <w:t>4</w:t>
      </w:r>
      <w:r w:rsidR="00CA02BD" w:rsidRPr="00CA02BD">
        <w:rPr>
          <w:rFonts w:hint="eastAsia"/>
          <w:color w:val="000000" w:themeColor="text1"/>
        </w:rPr>
        <w:t>日履勘日月潭國家風景區內人行天橋及步道之養護作業情形，同年8月26日履勘觀光署補助南投縣建置人行天橋之養護作業情形</w:t>
      </w:r>
      <w:r w:rsidR="00341399">
        <w:rPr>
          <w:rFonts w:hint="eastAsia"/>
          <w:color w:val="000000" w:themeColor="text1"/>
        </w:rPr>
        <w:t>；</w:t>
      </w:r>
      <w:r w:rsidR="00341399" w:rsidRPr="009E6BFE">
        <w:rPr>
          <w:rFonts w:hint="eastAsia"/>
          <w:color w:val="000000"/>
        </w:rPr>
        <w:t>另就</w:t>
      </w:r>
      <w:r>
        <w:rPr>
          <w:rFonts w:hint="eastAsia"/>
          <w:color w:val="000000"/>
        </w:rPr>
        <w:t>主要</w:t>
      </w:r>
      <w:r w:rsidR="00341399" w:rsidRPr="009E6BFE">
        <w:rPr>
          <w:rFonts w:hint="eastAsia"/>
          <w:color w:val="000000"/>
        </w:rPr>
        <w:t>爭點於</w:t>
      </w:r>
      <w:r w:rsidR="009A6DDE">
        <w:rPr>
          <w:rFonts w:hint="eastAsia"/>
          <w:color w:val="000000"/>
        </w:rPr>
        <w:t>1</w:t>
      </w:r>
      <w:r w:rsidR="009A6DDE">
        <w:rPr>
          <w:color w:val="000000"/>
        </w:rPr>
        <w:t>13</w:t>
      </w:r>
      <w:r w:rsidR="009A6DDE">
        <w:rPr>
          <w:rFonts w:hint="eastAsia"/>
          <w:color w:val="000000"/>
        </w:rPr>
        <w:t>年</w:t>
      </w:r>
      <w:r w:rsidR="00CA02BD" w:rsidRPr="00CA02BD">
        <w:rPr>
          <w:rFonts w:hint="eastAsia"/>
          <w:color w:val="000000" w:themeColor="text1"/>
        </w:rPr>
        <w:t>9月1</w:t>
      </w:r>
      <w:r w:rsidR="00CA02BD" w:rsidRPr="00CA02BD">
        <w:rPr>
          <w:color w:val="000000" w:themeColor="text1"/>
        </w:rPr>
        <w:t>3</w:t>
      </w:r>
      <w:r w:rsidR="00CA02BD" w:rsidRPr="00CA02BD">
        <w:rPr>
          <w:rFonts w:hint="eastAsia"/>
          <w:color w:val="000000" w:themeColor="text1"/>
        </w:rPr>
        <w:t>日詢問交通部、觀光署、</w:t>
      </w:r>
      <w:bookmarkStart w:id="41" w:name="_Hlk188603423"/>
      <w:proofErr w:type="gramStart"/>
      <w:r w:rsidR="00341399" w:rsidRPr="009E6BFE">
        <w:rPr>
          <w:rFonts w:hint="eastAsia"/>
          <w:color w:val="000000"/>
        </w:rPr>
        <w:t>北觀管理處</w:t>
      </w:r>
      <w:bookmarkEnd w:id="41"/>
      <w:proofErr w:type="gramEnd"/>
      <w:r w:rsidR="00CA02BD" w:rsidRPr="00CA02BD">
        <w:rPr>
          <w:rFonts w:hint="eastAsia"/>
          <w:color w:val="000000" w:themeColor="text1"/>
        </w:rPr>
        <w:t>等機關業務主管人員</w:t>
      </w:r>
      <w:r w:rsidR="00CA02BD">
        <w:rPr>
          <w:rFonts w:hint="eastAsia"/>
          <w:color w:val="000000" w:themeColor="text1"/>
        </w:rPr>
        <w:t>。</w:t>
      </w:r>
      <w:r>
        <w:rPr>
          <w:rFonts w:hint="eastAsia"/>
          <w:color w:val="000000" w:themeColor="text1"/>
        </w:rPr>
        <w:t>並經觀光署提供書面說明及陸續補充資料到院，已調查完畢。</w:t>
      </w:r>
    </w:p>
    <w:p w:rsidR="00B83C6B" w:rsidRPr="001A25E5" w:rsidRDefault="00E31EF3" w:rsidP="002A0569">
      <w:pPr>
        <w:pStyle w:val="10"/>
        <w:ind w:left="680" w:firstLine="680"/>
        <w:rPr>
          <w:rFonts w:hAnsi="標楷體"/>
          <w:color w:val="000000" w:themeColor="text1"/>
          <w:spacing w:val="-6"/>
        </w:rPr>
      </w:pPr>
      <w:r w:rsidRPr="00201B78">
        <w:rPr>
          <w:rFonts w:hint="eastAsia"/>
          <w:color w:val="000000" w:themeColor="text1"/>
        </w:rPr>
        <w:t>本案經調查發現</w:t>
      </w:r>
      <w:r w:rsidR="00CA02BD" w:rsidRPr="00201B78">
        <w:rPr>
          <w:rFonts w:hint="eastAsia"/>
          <w:color w:val="000000" w:themeColor="text1"/>
        </w:rPr>
        <w:t>，</w:t>
      </w:r>
      <w:r w:rsidR="00816448" w:rsidRPr="00201B78">
        <w:rPr>
          <w:rFonts w:hint="eastAsia"/>
          <w:color w:val="000000" w:themeColor="text1"/>
        </w:rPr>
        <w:t>觀光署</w:t>
      </w:r>
      <w:bookmarkStart w:id="42" w:name="_Hlk189730943"/>
      <w:r w:rsidR="00816448" w:rsidRPr="00201B78">
        <w:rPr>
          <w:rFonts w:hint="eastAsia"/>
          <w:color w:val="000000" w:themeColor="text1"/>
        </w:rPr>
        <w:t>對於所轄13個管理處</w:t>
      </w:r>
      <w:r w:rsidR="00816448" w:rsidRPr="00CA02BD">
        <w:rPr>
          <w:rFonts w:hint="eastAsia"/>
          <w:color w:val="000000" w:themeColor="text1"/>
        </w:rPr>
        <w:t>經管之橋梁、</w:t>
      </w:r>
      <w:r w:rsidR="00C90925">
        <w:rPr>
          <w:rFonts w:hint="eastAsia"/>
          <w:color w:val="000000" w:themeColor="text1"/>
        </w:rPr>
        <w:t>補助</w:t>
      </w:r>
      <w:r w:rsidR="00816448" w:rsidRPr="00CA02BD">
        <w:rPr>
          <w:rFonts w:hint="eastAsia"/>
          <w:color w:val="000000" w:themeColor="text1"/>
        </w:rPr>
        <w:t>直轄市與縣(市)政府</w:t>
      </w:r>
      <w:r w:rsidR="00C90925">
        <w:rPr>
          <w:rFonts w:hint="eastAsia"/>
          <w:color w:val="000000" w:themeColor="text1"/>
        </w:rPr>
        <w:t>興建</w:t>
      </w:r>
      <w:r w:rsidR="00816448" w:rsidRPr="00CA02BD">
        <w:rPr>
          <w:rFonts w:hint="eastAsia"/>
          <w:color w:val="000000" w:themeColor="text1"/>
        </w:rPr>
        <w:t>橋梁</w:t>
      </w:r>
      <w:r w:rsidR="00C90925">
        <w:rPr>
          <w:rFonts w:hint="eastAsia"/>
          <w:color w:val="000000" w:themeColor="text1"/>
        </w:rPr>
        <w:t>之</w:t>
      </w:r>
      <w:r w:rsidR="00A80A14">
        <w:rPr>
          <w:rFonts w:hint="eastAsia"/>
          <w:color w:val="000000" w:themeColor="text1"/>
        </w:rPr>
        <w:t>養護作業</w:t>
      </w:r>
      <w:r w:rsidR="00816448" w:rsidRPr="00CA02BD">
        <w:rPr>
          <w:rFonts w:hint="eastAsia"/>
          <w:color w:val="000000" w:themeColor="text1"/>
        </w:rPr>
        <w:t>，</w:t>
      </w:r>
      <w:r w:rsidR="007525E8">
        <w:rPr>
          <w:rFonts w:hint="eastAsia"/>
          <w:color w:val="000000" w:themeColor="text1"/>
        </w:rPr>
        <w:t>包括</w:t>
      </w:r>
      <w:r w:rsidR="0082311F">
        <w:rPr>
          <w:rFonts w:hint="eastAsia"/>
          <w:color w:val="000000" w:themeColor="text1"/>
        </w:rPr>
        <w:t>部分管理處於</w:t>
      </w:r>
      <w:r w:rsidR="00356B03" w:rsidRPr="00356B03">
        <w:rPr>
          <w:rFonts w:hint="eastAsia"/>
          <w:color w:val="000000"/>
        </w:rPr>
        <w:t>「人行天橋管理資訊系統」登載橋梁基本資料及檢測紀錄有不一致或缺漏、未積極辦理維護管理人員之教育訓練、</w:t>
      </w:r>
      <w:r w:rsidR="00356B03">
        <w:rPr>
          <w:rFonts w:hint="eastAsia"/>
          <w:color w:val="000000"/>
        </w:rPr>
        <w:t>將</w:t>
      </w:r>
      <w:r w:rsidR="00356B03" w:rsidRPr="00356B03">
        <w:rPr>
          <w:rFonts w:hint="eastAsia"/>
          <w:color w:val="000000"/>
        </w:rPr>
        <w:t>特殊性人行天橋維護管理作業計畫</w:t>
      </w:r>
      <w:r w:rsidR="00356B03">
        <w:rPr>
          <w:rFonts w:hint="eastAsia"/>
          <w:color w:val="000000"/>
        </w:rPr>
        <w:t>委由專業團隊</w:t>
      </w:r>
      <w:r w:rsidR="00356B03" w:rsidRPr="00356B03">
        <w:rPr>
          <w:rFonts w:hint="eastAsia"/>
          <w:color w:val="000000"/>
        </w:rPr>
        <w:t>編製卻無事後確認機制</w:t>
      </w:r>
      <w:r w:rsidR="00356B03">
        <w:rPr>
          <w:rFonts w:hint="eastAsia"/>
          <w:color w:val="000000"/>
        </w:rPr>
        <w:t>，以致作業計畫</w:t>
      </w:r>
      <w:r w:rsidR="0049274C">
        <w:rPr>
          <w:rFonts w:hint="eastAsia"/>
          <w:color w:val="000000"/>
        </w:rPr>
        <w:t>部分內容不符規定</w:t>
      </w:r>
      <w:r w:rsidR="00356B03" w:rsidRPr="00356B03">
        <w:rPr>
          <w:rFonts w:hint="eastAsia"/>
          <w:color w:val="000000"/>
        </w:rPr>
        <w:t>等情事，</w:t>
      </w:r>
      <w:proofErr w:type="gramStart"/>
      <w:r w:rsidR="00A80A14" w:rsidRPr="00EF749B">
        <w:rPr>
          <w:rFonts w:hint="eastAsia"/>
          <w:color w:val="000000" w:themeColor="text1"/>
        </w:rPr>
        <w:t>迨</w:t>
      </w:r>
      <w:proofErr w:type="gramEnd"/>
      <w:r w:rsidR="00A80A14" w:rsidRPr="00EF749B">
        <w:rPr>
          <w:rFonts w:hint="eastAsia"/>
          <w:color w:val="000000" w:themeColor="text1"/>
        </w:rPr>
        <w:t>至本院調查後</w:t>
      </w:r>
      <w:r w:rsidR="00A80A14">
        <w:rPr>
          <w:rFonts w:hint="eastAsia"/>
          <w:color w:val="000000" w:themeColor="text1"/>
        </w:rPr>
        <w:t>始</w:t>
      </w:r>
      <w:r w:rsidR="0049274C">
        <w:rPr>
          <w:rFonts w:hint="eastAsia"/>
          <w:color w:val="000000" w:themeColor="text1"/>
        </w:rPr>
        <w:t>儘速趕辦，揆諸</w:t>
      </w:r>
      <w:r w:rsidR="0049274C" w:rsidRPr="007F5D45">
        <w:rPr>
          <w:rFonts w:hint="eastAsia"/>
          <w:color w:val="000000"/>
        </w:rPr>
        <w:t>上開</w:t>
      </w:r>
      <w:r w:rsidR="0049274C">
        <w:rPr>
          <w:rFonts w:hint="eastAsia"/>
          <w:color w:val="000000"/>
        </w:rPr>
        <w:t>作業</w:t>
      </w:r>
      <w:r w:rsidR="0049274C" w:rsidRPr="007F5D45">
        <w:rPr>
          <w:rFonts w:hint="eastAsia"/>
          <w:color w:val="000000"/>
        </w:rPr>
        <w:t>要點生效後近4年，</w:t>
      </w:r>
      <w:proofErr w:type="gramStart"/>
      <w:r w:rsidR="0049274C">
        <w:rPr>
          <w:rFonts w:hint="eastAsia"/>
          <w:color w:val="000000"/>
        </w:rPr>
        <w:t>該署</w:t>
      </w:r>
      <w:r w:rsidR="0049274C" w:rsidRPr="007F5D45">
        <w:rPr>
          <w:rFonts w:hint="eastAsia"/>
          <w:color w:val="000000"/>
        </w:rPr>
        <w:t>始完</w:t>
      </w:r>
      <w:proofErr w:type="gramEnd"/>
      <w:r w:rsidR="0049274C" w:rsidRPr="007F5D45">
        <w:rPr>
          <w:rFonts w:hint="eastAsia"/>
          <w:color w:val="000000"/>
        </w:rPr>
        <w:t>成轄管橋梁首次督導及考核作業，</w:t>
      </w:r>
      <w:r w:rsidR="0049274C">
        <w:rPr>
          <w:rFonts w:hint="eastAsia"/>
          <w:color w:val="000000"/>
        </w:rPr>
        <w:t>未能重視</w:t>
      </w:r>
      <w:r w:rsidR="00816448" w:rsidRPr="002B6EEB">
        <w:rPr>
          <w:color w:val="000000"/>
          <w:szCs w:val="52"/>
        </w:rPr>
        <w:t>橋梁</w:t>
      </w:r>
      <w:r w:rsidR="0049274C">
        <w:rPr>
          <w:rFonts w:hint="eastAsia"/>
          <w:color w:val="000000"/>
          <w:szCs w:val="52"/>
        </w:rPr>
        <w:t>維護的重要性，</w:t>
      </w:r>
      <w:r w:rsidR="00816448" w:rsidRPr="002B6EEB">
        <w:rPr>
          <w:color w:val="000000"/>
          <w:szCs w:val="52"/>
        </w:rPr>
        <w:t>攸關</w:t>
      </w:r>
      <w:r w:rsidR="0049274C">
        <w:rPr>
          <w:rFonts w:hint="eastAsia"/>
          <w:color w:val="000000"/>
          <w:szCs w:val="52"/>
        </w:rPr>
        <w:t>遊客</w:t>
      </w:r>
      <w:r w:rsidR="00816448" w:rsidRPr="002B6EEB">
        <w:rPr>
          <w:color w:val="000000"/>
          <w:szCs w:val="52"/>
        </w:rPr>
        <w:t>生命</w:t>
      </w:r>
      <w:r w:rsidR="00816448">
        <w:rPr>
          <w:rFonts w:hint="eastAsia"/>
          <w:color w:val="000000"/>
        </w:rPr>
        <w:t>安全，</w:t>
      </w:r>
      <w:bookmarkEnd w:id="42"/>
      <w:r w:rsidR="00816448">
        <w:rPr>
          <w:rFonts w:hint="eastAsia"/>
          <w:color w:val="000000" w:themeColor="text1"/>
        </w:rPr>
        <w:t>確有違失，</w:t>
      </w:r>
      <w:r w:rsidR="00816448" w:rsidRPr="001A25E5">
        <w:rPr>
          <w:rFonts w:hint="eastAsia"/>
          <w:bCs/>
          <w:color w:val="000000" w:themeColor="text1"/>
        </w:rPr>
        <w:t>應予糾正促其注意改善</w:t>
      </w:r>
      <w:r w:rsidR="007666F5" w:rsidRPr="001A25E5">
        <w:rPr>
          <w:rFonts w:hint="eastAsia"/>
          <w:bCs/>
          <w:color w:val="000000" w:themeColor="text1"/>
        </w:rPr>
        <w:t>。茲</w:t>
      </w:r>
      <w:proofErr w:type="gramStart"/>
      <w:r w:rsidR="007666F5" w:rsidRPr="001A25E5">
        <w:rPr>
          <w:rFonts w:hint="eastAsia"/>
          <w:bCs/>
          <w:color w:val="000000" w:themeColor="text1"/>
        </w:rPr>
        <w:t>臚</w:t>
      </w:r>
      <w:proofErr w:type="gramEnd"/>
      <w:r w:rsidR="007666F5" w:rsidRPr="001A25E5">
        <w:rPr>
          <w:rFonts w:hint="eastAsia"/>
          <w:bCs/>
          <w:color w:val="000000" w:themeColor="text1"/>
        </w:rPr>
        <w:t>列事實與理由如下</w:t>
      </w:r>
      <w:r w:rsidR="00B83C6B" w:rsidRPr="001A25E5">
        <w:rPr>
          <w:rFonts w:hAnsi="標楷體" w:hint="eastAsia"/>
          <w:color w:val="000000" w:themeColor="text1"/>
          <w:spacing w:val="-6"/>
        </w:rPr>
        <w:t>：</w:t>
      </w:r>
    </w:p>
    <w:p w:rsidR="005F7839" w:rsidRPr="00037999" w:rsidRDefault="005F7839" w:rsidP="002A0569">
      <w:pPr>
        <w:pStyle w:val="2"/>
        <w:numPr>
          <w:ilvl w:val="1"/>
          <w:numId w:val="1"/>
        </w:numPr>
        <w:ind w:left="1020" w:hanging="680"/>
        <w:rPr>
          <w:color w:val="000000"/>
        </w:rPr>
      </w:pPr>
      <w:bookmarkStart w:id="43" w:name="_Toc187742795"/>
      <w:r w:rsidRPr="00037999">
        <w:rPr>
          <w:rFonts w:hint="eastAsia"/>
          <w:color w:val="000000"/>
        </w:rPr>
        <w:t>觀光署對於所轄風景區人行天橋之養護管理作業，雖已於「風景特定區橋梁維護管理作業要點」建立相關養護及督導考核機制，惟部分管理處於</w:t>
      </w:r>
      <w:bookmarkStart w:id="44" w:name="_Hlk189730030"/>
      <w:r w:rsidRPr="00037999">
        <w:rPr>
          <w:rFonts w:hint="eastAsia"/>
          <w:color w:val="000000"/>
        </w:rPr>
        <w:t>「人行天橋管理資訊系統」登載橋梁基本資料及檢測紀錄，逾百筆內容有不一致或缺漏情形，復未積極辦理維護管理人員之教育訓練，且</w:t>
      </w:r>
      <w:proofErr w:type="gramStart"/>
      <w:r w:rsidRPr="00037999">
        <w:rPr>
          <w:rFonts w:hint="eastAsia"/>
          <w:color w:val="000000"/>
        </w:rPr>
        <w:t>該署迄未</w:t>
      </w:r>
      <w:proofErr w:type="gramEnd"/>
      <w:r w:rsidRPr="00037999">
        <w:rPr>
          <w:rFonts w:hint="eastAsia"/>
          <w:color w:val="000000"/>
        </w:rPr>
        <w:t>掌握補助地方政府建置之橋梁狀況</w:t>
      </w:r>
      <w:bookmarkEnd w:id="44"/>
      <w:r w:rsidRPr="00037999">
        <w:rPr>
          <w:rFonts w:hint="eastAsia"/>
          <w:color w:val="000000"/>
        </w:rPr>
        <w:t>，迨至上開要點生效後近4年，始完成轄管橋梁首次督導及考核作業，核有違失：</w:t>
      </w:r>
      <w:bookmarkEnd w:id="43"/>
    </w:p>
    <w:p w:rsidR="005F7839" w:rsidRPr="007F5D45" w:rsidRDefault="005F7839" w:rsidP="002A0569">
      <w:pPr>
        <w:pStyle w:val="3"/>
        <w:numPr>
          <w:ilvl w:val="2"/>
          <w:numId w:val="1"/>
        </w:numPr>
        <w:rPr>
          <w:color w:val="000000"/>
        </w:rPr>
      </w:pPr>
      <w:r w:rsidRPr="007F5D45">
        <w:rPr>
          <w:rFonts w:hint="eastAsia"/>
          <w:color w:val="000000"/>
        </w:rPr>
        <w:t>有關國家風景區相關業務，交通部已於109年4月10日授權由觀光署(前觀光局)以該部名義擔任中央</w:t>
      </w:r>
      <w:r w:rsidRPr="007F5D45">
        <w:rPr>
          <w:rFonts w:hint="eastAsia"/>
          <w:color w:val="000000"/>
        </w:rPr>
        <w:lastRenderedPageBreak/>
        <w:t>目的事業主管機關，</w:t>
      </w:r>
      <w:proofErr w:type="gramStart"/>
      <w:r w:rsidRPr="007F5D45">
        <w:rPr>
          <w:rFonts w:hint="eastAsia"/>
          <w:color w:val="000000"/>
        </w:rPr>
        <w:t>爰</w:t>
      </w:r>
      <w:proofErr w:type="gramEnd"/>
      <w:r w:rsidRPr="007F5D45">
        <w:rPr>
          <w:rFonts w:hint="eastAsia"/>
          <w:color w:val="000000"/>
        </w:rPr>
        <w:t>按「橋梁維護管理作業要點」、「風景特定區橋梁維護管理作業要點」之規定，觀光署應定期督導及考核所轄管理處執行橋梁養護作業情形：</w:t>
      </w:r>
    </w:p>
    <w:p w:rsidR="005F7839" w:rsidRPr="007F5D45" w:rsidRDefault="005F7839" w:rsidP="002A0569">
      <w:pPr>
        <w:pStyle w:val="4"/>
        <w:numPr>
          <w:ilvl w:val="3"/>
          <w:numId w:val="1"/>
        </w:numPr>
        <w:rPr>
          <w:color w:val="000000"/>
        </w:rPr>
      </w:pPr>
      <w:r w:rsidRPr="007F5D45">
        <w:rPr>
          <w:rFonts w:hint="eastAsia"/>
          <w:color w:val="000000"/>
        </w:rPr>
        <w:t>關於「人行天橋」之定義，行政院「橋梁維護管理作業要點」</w:t>
      </w:r>
      <w:r w:rsidRPr="007F5D45">
        <w:rPr>
          <w:rStyle w:val="afd"/>
          <w:color w:val="000000"/>
        </w:rPr>
        <w:footnoteReference w:id="4"/>
      </w:r>
      <w:r w:rsidRPr="007F5D45">
        <w:rPr>
          <w:rFonts w:hint="eastAsia"/>
          <w:color w:val="000000"/>
        </w:rPr>
        <w:t>定有明文，至橋梁之養護、考核及督導作業，橋梁養護單位應確實掌握所管橋梁之基本資料及檢測、維修結果，即時輸入橋梁管理資訊系統中保存並運用於橋梁維護管理；至養護管理機關應定期考核養護單位，確認橋梁養護工作落實執行、相關資料登載確實且保存</w:t>
      </w:r>
      <w:proofErr w:type="gramStart"/>
      <w:r w:rsidRPr="007F5D45">
        <w:rPr>
          <w:rFonts w:hint="eastAsia"/>
          <w:color w:val="000000"/>
        </w:rPr>
        <w:t>無虞等情形</w:t>
      </w:r>
      <w:proofErr w:type="gramEnd"/>
      <w:r w:rsidRPr="007F5D45">
        <w:rPr>
          <w:rFonts w:hint="eastAsia"/>
          <w:color w:val="000000"/>
        </w:rPr>
        <w:t>，中央主管機關亦應定期督導之，上述要點第4點第1項、第5點第1項、第6點第1項及第8點之規定至明</w:t>
      </w:r>
      <w:r w:rsidRPr="007F5D45">
        <w:rPr>
          <w:rStyle w:val="afd"/>
          <w:color w:val="000000"/>
        </w:rPr>
        <w:footnoteReference w:id="5"/>
      </w:r>
      <w:r w:rsidRPr="007F5D45">
        <w:rPr>
          <w:rFonts w:hint="eastAsia"/>
          <w:color w:val="000000"/>
        </w:rPr>
        <w:t>。</w:t>
      </w:r>
    </w:p>
    <w:p w:rsidR="005F7839" w:rsidRPr="007F5D45" w:rsidRDefault="005F7839" w:rsidP="002A0569">
      <w:pPr>
        <w:pStyle w:val="4"/>
        <w:numPr>
          <w:ilvl w:val="3"/>
          <w:numId w:val="1"/>
        </w:numPr>
        <w:rPr>
          <w:color w:val="000000"/>
        </w:rPr>
      </w:pPr>
      <w:r w:rsidRPr="007F5D45">
        <w:rPr>
          <w:rFonts w:hint="eastAsia"/>
          <w:color w:val="000000"/>
        </w:rPr>
        <w:t>有關國家風景區管理處轄管橋梁之養護作業，包括橋梁之基本資料建立、檢測、維修、維護管理人員之教育訓練、橋梁管理系統運用及相關資料之更新等。觀光署對於所轄執行橋梁養護作業之管理處，應每年至少辦理1次督導及考核。「風景特定區橋梁維護管理作業要點」第4點、第</w:t>
      </w:r>
      <w:r w:rsidRPr="007F5D45">
        <w:rPr>
          <w:color w:val="000000"/>
        </w:rPr>
        <w:t>6</w:t>
      </w:r>
      <w:r w:rsidRPr="007F5D45">
        <w:rPr>
          <w:rFonts w:hint="eastAsia"/>
          <w:color w:val="000000"/>
        </w:rPr>
        <w:t>點及第8點有明文規定</w:t>
      </w:r>
      <w:r w:rsidRPr="007F5D45">
        <w:rPr>
          <w:rStyle w:val="afd"/>
          <w:color w:val="000000"/>
        </w:rPr>
        <w:footnoteReference w:id="6"/>
      </w:r>
      <w:r w:rsidRPr="007F5D45">
        <w:rPr>
          <w:rFonts w:hint="eastAsia"/>
          <w:color w:val="000000"/>
        </w:rPr>
        <w:t>。</w:t>
      </w:r>
    </w:p>
    <w:p w:rsidR="005F7839" w:rsidRPr="007F5D45" w:rsidRDefault="005F7839" w:rsidP="002A0569">
      <w:pPr>
        <w:pStyle w:val="4"/>
        <w:numPr>
          <w:ilvl w:val="3"/>
          <w:numId w:val="1"/>
        </w:numPr>
        <w:rPr>
          <w:color w:val="000000"/>
        </w:rPr>
      </w:pPr>
      <w:r w:rsidRPr="007F5D45">
        <w:rPr>
          <w:rFonts w:hint="eastAsia"/>
          <w:color w:val="000000"/>
        </w:rPr>
        <w:lastRenderedPageBreak/>
        <w:t>復交通部已於109年4月10日授權由觀光署(前觀光局)以該部名義擔任中央目的事業主管機關，該署亦以交通部名義於1</w:t>
      </w:r>
      <w:r w:rsidRPr="007F5D45">
        <w:rPr>
          <w:color w:val="000000"/>
        </w:rPr>
        <w:t>10</w:t>
      </w:r>
      <w:r w:rsidRPr="007F5D45">
        <w:rPr>
          <w:rFonts w:hint="eastAsia"/>
          <w:color w:val="000000"/>
        </w:rPr>
        <w:t>年6月24日訂定「風景特定區橋梁維護管理作業要點」；基此，觀光署應定期督導及考核所轄管理處執行橋梁養護作業情形。</w:t>
      </w:r>
    </w:p>
    <w:p w:rsidR="005F7839" w:rsidRPr="007F5D45" w:rsidRDefault="005F7839" w:rsidP="002A0569">
      <w:pPr>
        <w:pStyle w:val="3"/>
        <w:numPr>
          <w:ilvl w:val="2"/>
          <w:numId w:val="1"/>
        </w:numPr>
        <w:rPr>
          <w:color w:val="000000"/>
        </w:rPr>
      </w:pPr>
      <w:r w:rsidRPr="007F5D45">
        <w:rPr>
          <w:rFonts w:hint="eastAsia"/>
          <w:color w:val="000000"/>
        </w:rPr>
        <w:t>經查，觀光署所轄國家風景區馬祖、</w:t>
      </w:r>
      <w:r>
        <w:rPr>
          <w:rFonts w:hint="eastAsia"/>
          <w:color w:val="000000"/>
        </w:rPr>
        <w:t>雲嘉南濱海(下稱雲嘉南</w:t>
      </w:r>
      <w:r>
        <w:rPr>
          <w:color w:val="000000"/>
        </w:rPr>
        <w:t>)</w:t>
      </w:r>
      <w:r w:rsidRPr="007F5D45">
        <w:rPr>
          <w:rFonts w:hint="eastAsia"/>
          <w:color w:val="000000"/>
        </w:rPr>
        <w:t>2個管理處轄下無橋梁，餘1</w:t>
      </w:r>
      <w:r w:rsidRPr="007F5D45">
        <w:rPr>
          <w:color w:val="000000"/>
        </w:rPr>
        <w:t>1</w:t>
      </w:r>
      <w:r w:rsidRPr="007F5D45">
        <w:rPr>
          <w:rFonts w:hint="eastAsia"/>
          <w:color w:val="000000"/>
        </w:rPr>
        <w:t>個管理處經管橋梁數總計9</w:t>
      </w:r>
      <w:r w:rsidRPr="007F5D45">
        <w:rPr>
          <w:color w:val="000000"/>
        </w:rPr>
        <w:t>4</w:t>
      </w:r>
      <w:r w:rsidRPr="007F5D45">
        <w:rPr>
          <w:rFonts w:hint="eastAsia"/>
          <w:color w:val="000000"/>
        </w:rPr>
        <w:t>座，其中88座為人行天橋</w:t>
      </w:r>
      <w:r w:rsidRPr="00965AA2">
        <w:rPr>
          <w:rFonts w:hint="eastAsia"/>
          <w:color w:val="000000"/>
          <w:szCs w:val="32"/>
        </w:rPr>
        <w:t>(不包含建築空橋</w:t>
      </w:r>
      <w:r w:rsidRPr="00965AA2">
        <w:rPr>
          <w:rStyle w:val="afd"/>
          <w:color w:val="000000"/>
          <w:szCs w:val="32"/>
        </w:rPr>
        <w:footnoteReference w:id="7"/>
      </w:r>
      <w:r w:rsidRPr="00965AA2">
        <w:rPr>
          <w:rFonts w:hint="eastAsia"/>
          <w:color w:val="000000"/>
          <w:szCs w:val="32"/>
        </w:rPr>
        <w:t>，</w:t>
      </w:r>
      <w:r w:rsidR="00965AA2">
        <w:rPr>
          <w:rFonts w:hint="eastAsia"/>
          <w:color w:val="000000"/>
        </w:rPr>
        <w:t>計</w:t>
      </w:r>
      <w:r w:rsidRPr="007F5D45">
        <w:rPr>
          <w:rFonts w:hint="eastAsia"/>
          <w:color w:val="000000"/>
        </w:rPr>
        <w:t>有6</w:t>
      </w:r>
      <w:r w:rsidRPr="007F5D45">
        <w:rPr>
          <w:color w:val="000000"/>
        </w:rPr>
        <w:t>3</w:t>
      </w:r>
      <w:r w:rsidRPr="007F5D45">
        <w:rPr>
          <w:rFonts w:hint="eastAsia"/>
          <w:color w:val="000000"/>
        </w:rPr>
        <w:t>座屬於特殊性人行天橋</w:t>
      </w:r>
      <w:r w:rsidR="00965AA2">
        <w:rPr>
          <w:rFonts w:hint="eastAsia"/>
          <w:color w:val="000000"/>
        </w:rPr>
        <w:t>)</w:t>
      </w:r>
      <w:r w:rsidRPr="007F5D45">
        <w:rPr>
          <w:rFonts w:hint="eastAsia"/>
          <w:color w:val="000000"/>
        </w:rPr>
        <w:t>，分別為阿里山、</w:t>
      </w:r>
      <w:proofErr w:type="gramStart"/>
      <w:r w:rsidRPr="007F5D45">
        <w:rPr>
          <w:rFonts w:hint="eastAsia"/>
          <w:color w:val="000000"/>
        </w:rPr>
        <w:t>北觀</w:t>
      </w:r>
      <w:proofErr w:type="gramEnd"/>
      <w:r w:rsidRPr="007F5D45">
        <w:rPr>
          <w:rFonts w:hint="eastAsia"/>
          <w:color w:val="000000"/>
        </w:rPr>
        <w:t>、東北角</w:t>
      </w:r>
      <w:r>
        <w:rPr>
          <w:rFonts w:hint="eastAsia"/>
          <w:color w:val="000000"/>
        </w:rPr>
        <w:t>及宜蘭海岸(下稱東北角</w:t>
      </w:r>
      <w:r>
        <w:rPr>
          <w:color w:val="000000"/>
        </w:rPr>
        <w:t>)</w:t>
      </w:r>
      <w:r w:rsidRPr="007F5D45">
        <w:rPr>
          <w:rFonts w:hint="eastAsia"/>
          <w:color w:val="000000"/>
        </w:rPr>
        <w:t>、日月潭、茂林、</w:t>
      </w:r>
      <w:proofErr w:type="gramStart"/>
      <w:r w:rsidRPr="007F5D45">
        <w:rPr>
          <w:rFonts w:hint="eastAsia"/>
          <w:color w:val="000000"/>
        </w:rPr>
        <w:t>參</w:t>
      </w:r>
      <w:proofErr w:type="gramEnd"/>
      <w:r w:rsidRPr="007F5D45">
        <w:rPr>
          <w:rFonts w:hint="eastAsia"/>
          <w:color w:val="000000"/>
        </w:rPr>
        <w:t>山、花東縱谷及東部海岸等管理處轄管，詳如下表。</w:t>
      </w:r>
    </w:p>
    <w:p w:rsidR="005F7839" w:rsidRDefault="005F7839" w:rsidP="005F7839">
      <w:pPr>
        <w:spacing w:line="300" w:lineRule="exact"/>
        <w:rPr>
          <w:color w:val="000000"/>
          <w:sz w:val="28"/>
        </w:rPr>
      </w:pPr>
      <w:r w:rsidRPr="007F5D45">
        <w:rPr>
          <w:rFonts w:hint="eastAsia"/>
          <w:color w:val="000000"/>
          <w:sz w:val="28"/>
        </w:rPr>
        <w:t xml:space="preserve">   表1 觀光署1</w:t>
      </w:r>
      <w:r w:rsidRPr="007F5D45">
        <w:rPr>
          <w:color w:val="000000"/>
          <w:sz w:val="28"/>
        </w:rPr>
        <w:t>3</w:t>
      </w:r>
      <w:r w:rsidRPr="007F5D45">
        <w:rPr>
          <w:rFonts w:hint="eastAsia"/>
          <w:color w:val="000000"/>
          <w:sz w:val="28"/>
        </w:rPr>
        <w:t>個管理處經營管理橋梁情形</w:t>
      </w:r>
    </w:p>
    <w:p w:rsidR="00965AA2" w:rsidRPr="007F5D45" w:rsidRDefault="00965AA2" w:rsidP="00965AA2">
      <w:pPr>
        <w:spacing w:line="300" w:lineRule="exact"/>
        <w:ind w:right="680"/>
        <w:jc w:val="right"/>
        <w:rPr>
          <w:color w:val="000000"/>
        </w:rPr>
      </w:pPr>
      <w:r w:rsidRPr="00380DCC">
        <w:rPr>
          <w:rFonts w:hint="eastAsia"/>
          <w:color w:val="000000"/>
          <w:sz w:val="24"/>
        </w:rPr>
        <w:t>單位：座</w:t>
      </w:r>
    </w:p>
    <w:tbl>
      <w:tblPr>
        <w:tblW w:w="76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567"/>
        <w:gridCol w:w="1811"/>
        <w:gridCol w:w="1134"/>
        <w:gridCol w:w="1134"/>
        <w:gridCol w:w="1222"/>
        <w:gridCol w:w="938"/>
        <w:gridCol w:w="840"/>
      </w:tblGrid>
      <w:tr w:rsidR="00965AA2" w:rsidRPr="007F5D45" w:rsidTr="008A1D1F">
        <w:trPr>
          <w:trHeight w:val="317"/>
          <w:tblHeader/>
          <w:jc w:val="center"/>
        </w:trPr>
        <w:tc>
          <w:tcPr>
            <w:tcW w:w="567" w:type="dxa"/>
            <w:vMerge w:val="restart"/>
            <w:shd w:val="clear" w:color="auto" w:fill="auto"/>
            <w:vAlign w:val="center"/>
            <w:hideMark/>
          </w:tcPr>
          <w:p w:rsidR="00965AA2" w:rsidRPr="007F5D45" w:rsidRDefault="00965AA2" w:rsidP="008A1D1F">
            <w:pPr>
              <w:widowControl/>
              <w:spacing w:line="280" w:lineRule="exact"/>
              <w:jc w:val="center"/>
              <w:rPr>
                <w:rFonts w:hAnsi="標楷體" w:cs="新細明體"/>
                <w:color w:val="000000"/>
                <w:spacing w:val="-20"/>
                <w:kern w:val="0"/>
                <w:sz w:val="26"/>
                <w:szCs w:val="26"/>
              </w:rPr>
            </w:pPr>
            <w:r w:rsidRPr="007F5D45">
              <w:rPr>
                <w:rFonts w:hAnsi="標楷體" w:cs="新細明體" w:hint="eastAsia"/>
                <w:color w:val="000000"/>
                <w:spacing w:val="-20"/>
                <w:kern w:val="0"/>
                <w:sz w:val="26"/>
                <w:szCs w:val="26"/>
              </w:rPr>
              <w:t>項次</w:t>
            </w:r>
          </w:p>
        </w:tc>
        <w:tc>
          <w:tcPr>
            <w:tcW w:w="1811" w:type="dxa"/>
            <w:vMerge w:val="restart"/>
            <w:shd w:val="clear" w:color="auto" w:fill="auto"/>
            <w:vAlign w:val="center"/>
            <w:hideMark/>
          </w:tcPr>
          <w:p w:rsidR="00965AA2" w:rsidRPr="007F5D45" w:rsidRDefault="00965AA2" w:rsidP="008A1D1F">
            <w:pPr>
              <w:widowControl/>
              <w:spacing w:line="28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管理處</w:t>
            </w:r>
          </w:p>
          <w:p w:rsidR="00965AA2" w:rsidRPr="007F5D45" w:rsidRDefault="00965AA2" w:rsidP="008A1D1F">
            <w:pPr>
              <w:widowControl/>
              <w:spacing w:line="28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名稱</w:t>
            </w:r>
          </w:p>
        </w:tc>
        <w:tc>
          <w:tcPr>
            <w:tcW w:w="2268" w:type="dxa"/>
            <w:gridSpan w:val="2"/>
            <w:shd w:val="clear" w:color="auto" w:fill="auto"/>
            <w:vAlign w:val="center"/>
          </w:tcPr>
          <w:p w:rsidR="00965AA2" w:rsidRPr="00C72058" w:rsidRDefault="00965AA2" w:rsidP="008A1D1F">
            <w:pPr>
              <w:widowControl/>
              <w:spacing w:line="280" w:lineRule="exact"/>
              <w:jc w:val="center"/>
              <w:rPr>
                <w:rFonts w:hAnsi="標楷體" w:cs="新細明體"/>
                <w:color w:val="FF0000"/>
                <w:kern w:val="0"/>
                <w:sz w:val="26"/>
                <w:szCs w:val="26"/>
              </w:rPr>
            </w:pPr>
            <w:r w:rsidRPr="00C72058">
              <w:rPr>
                <w:rFonts w:hAnsi="標楷體" w:cs="新細明體" w:hint="eastAsia"/>
                <w:color w:val="FF0000"/>
                <w:kern w:val="0"/>
                <w:sz w:val="26"/>
                <w:szCs w:val="26"/>
              </w:rPr>
              <w:t>人行天橋</w:t>
            </w:r>
          </w:p>
        </w:tc>
        <w:tc>
          <w:tcPr>
            <w:tcW w:w="3000" w:type="dxa"/>
            <w:gridSpan w:val="3"/>
            <w:vAlign w:val="center"/>
          </w:tcPr>
          <w:p w:rsidR="00965AA2" w:rsidRPr="007F5D45" w:rsidRDefault="00965AA2" w:rsidP="008A1D1F">
            <w:pPr>
              <w:widowControl/>
              <w:spacing w:line="28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人行天橋</w:t>
            </w:r>
            <w:proofErr w:type="gramStart"/>
            <w:r w:rsidRPr="007F5D45">
              <w:rPr>
                <w:rFonts w:hAnsi="標楷體" w:cs="新細明體" w:hint="eastAsia"/>
                <w:color w:val="000000"/>
                <w:kern w:val="0"/>
                <w:sz w:val="26"/>
                <w:szCs w:val="26"/>
              </w:rPr>
              <w:t>橋</w:t>
            </w:r>
            <w:proofErr w:type="gramEnd"/>
            <w:r w:rsidRPr="007F5D45">
              <w:rPr>
                <w:rFonts w:hAnsi="標楷體" w:cs="新細明體" w:hint="eastAsia"/>
                <w:color w:val="000000"/>
                <w:kern w:val="0"/>
                <w:sz w:val="26"/>
                <w:szCs w:val="26"/>
              </w:rPr>
              <w:t>齡</w:t>
            </w:r>
          </w:p>
        </w:tc>
      </w:tr>
      <w:tr w:rsidR="00965AA2" w:rsidRPr="007F5D45" w:rsidTr="008A1D1F">
        <w:trPr>
          <w:trHeight w:val="294"/>
          <w:tblHeader/>
          <w:jc w:val="center"/>
        </w:trPr>
        <w:tc>
          <w:tcPr>
            <w:tcW w:w="567" w:type="dxa"/>
            <w:vMerge/>
            <w:shd w:val="clear" w:color="auto" w:fill="auto"/>
            <w:vAlign w:val="center"/>
            <w:hideMark/>
          </w:tcPr>
          <w:p w:rsidR="00965AA2" w:rsidRPr="007F5D45" w:rsidRDefault="00965AA2" w:rsidP="008A1D1F">
            <w:pPr>
              <w:widowControl/>
              <w:spacing w:line="280" w:lineRule="exact"/>
              <w:jc w:val="center"/>
              <w:rPr>
                <w:rFonts w:hAnsi="標楷體" w:cs="新細明體"/>
                <w:color w:val="000000"/>
                <w:kern w:val="0"/>
                <w:sz w:val="26"/>
                <w:szCs w:val="26"/>
              </w:rPr>
            </w:pPr>
          </w:p>
        </w:tc>
        <w:tc>
          <w:tcPr>
            <w:tcW w:w="1811" w:type="dxa"/>
            <w:vMerge/>
            <w:shd w:val="clear" w:color="auto" w:fill="auto"/>
            <w:vAlign w:val="center"/>
            <w:hideMark/>
          </w:tcPr>
          <w:p w:rsidR="00965AA2" w:rsidRPr="007F5D45" w:rsidRDefault="00965AA2" w:rsidP="008A1D1F">
            <w:pPr>
              <w:widowControl/>
              <w:spacing w:line="280" w:lineRule="exact"/>
              <w:rPr>
                <w:rFonts w:hAnsi="標楷體" w:cs="新細明體"/>
                <w:color w:val="000000"/>
                <w:spacing w:val="-16"/>
                <w:kern w:val="0"/>
                <w:sz w:val="26"/>
                <w:szCs w:val="26"/>
              </w:rPr>
            </w:pPr>
          </w:p>
        </w:tc>
        <w:tc>
          <w:tcPr>
            <w:tcW w:w="1134" w:type="dxa"/>
            <w:shd w:val="clear" w:color="auto" w:fill="auto"/>
            <w:vAlign w:val="center"/>
          </w:tcPr>
          <w:p w:rsidR="00965AA2" w:rsidRPr="00C72058" w:rsidRDefault="00965AA2" w:rsidP="008A1D1F">
            <w:pPr>
              <w:spacing w:line="320" w:lineRule="exact"/>
              <w:jc w:val="center"/>
              <w:rPr>
                <w:rFonts w:hAnsi="標楷體" w:cs="新細明體"/>
                <w:color w:val="FF0000"/>
                <w:spacing w:val="-20"/>
                <w:kern w:val="0"/>
                <w:sz w:val="26"/>
                <w:szCs w:val="26"/>
              </w:rPr>
            </w:pPr>
            <w:r w:rsidRPr="00C72058">
              <w:rPr>
                <w:rFonts w:hAnsi="標楷體" w:cs="新細明體" w:hint="eastAsia"/>
                <w:color w:val="FF0000"/>
                <w:kern w:val="0"/>
                <w:sz w:val="26"/>
                <w:szCs w:val="26"/>
              </w:rPr>
              <w:t>一般性</w:t>
            </w:r>
          </w:p>
        </w:tc>
        <w:tc>
          <w:tcPr>
            <w:tcW w:w="1134" w:type="dxa"/>
            <w:shd w:val="clear" w:color="auto" w:fill="auto"/>
            <w:vAlign w:val="center"/>
          </w:tcPr>
          <w:p w:rsidR="00965AA2" w:rsidRPr="00C72058" w:rsidRDefault="00965AA2" w:rsidP="008A1D1F">
            <w:pPr>
              <w:spacing w:line="320" w:lineRule="exact"/>
              <w:jc w:val="center"/>
              <w:rPr>
                <w:rFonts w:hAnsi="標楷體" w:cs="新細明體"/>
                <w:color w:val="FF0000"/>
                <w:spacing w:val="-20"/>
                <w:kern w:val="0"/>
                <w:sz w:val="26"/>
                <w:szCs w:val="26"/>
              </w:rPr>
            </w:pPr>
            <w:r w:rsidRPr="00C72058">
              <w:rPr>
                <w:rFonts w:hAnsi="標楷體" w:cs="新細明體" w:hint="eastAsia"/>
                <w:color w:val="FF0000"/>
                <w:kern w:val="0"/>
                <w:sz w:val="26"/>
                <w:szCs w:val="26"/>
              </w:rPr>
              <w:t>特殊性</w:t>
            </w:r>
          </w:p>
        </w:tc>
        <w:tc>
          <w:tcPr>
            <w:tcW w:w="1222" w:type="dxa"/>
            <w:vAlign w:val="center"/>
          </w:tcPr>
          <w:p w:rsidR="00965AA2" w:rsidRPr="007F5D45" w:rsidRDefault="00965AA2" w:rsidP="008A1D1F">
            <w:pPr>
              <w:widowControl/>
              <w:spacing w:line="280" w:lineRule="exact"/>
              <w:ind w:rightChars="-9" w:right="-31"/>
              <w:jc w:val="center"/>
              <w:rPr>
                <w:rFonts w:hAnsi="標楷體" w:cs="新細明體"/>
                <w:color w:val="000000"/>
                <w:spacing w:val="-20"/>
                <w:kern w:val="0"/>
                <w:sz w:val="26"/>
                <w:szCs w:val="26"/>
              </w:rPr>
            </w:pPr>
            <w:r w:rsidRPr="007F5D45">
              <w:rPr>
                <w:rFonts w:hAnsi="標楷體" w:cs="新細明體" w:hint="eastAsia"/>
                <w:color w:val="000000"/>
                <w:spacing w:val="-20"/>
                <w:kern w:val="0"/>
                <w:sz w:val="26"/>
                <w:szCs w:val="26"/>
              </w:rPr>
              <w:t>10年(含)</w:t>
            </w:r>
          </w:p>
        </w:tc>
        <w:tc>
          <w:tcPr>
            <w:tcW w:w="938" w:type="dxa"/>
            <w:vAlign w:val="center"/>
          </w:tcPr>
          <w:p w:rsidR="00965AA2" w:rsidRPr="007F5D45" w:rsidRDefault="00965AA2" w:rsidP="008A1D1F">
            <w:pPr>
              <w:widowControl/>
              <w:spacing w:line="280" w:lineRule="exact"/>
              <w:jc w:val="center"/>
              <w:rPr>
                <w:rFonts w:hAnsi="標楷體" w:cs="新細明體"/>
                <w:color w:val="000000"/>
                <w:spacing w:val="-20"/>
                <w:kern w:val="0"/>
                <w:sz w:val="26"/>
                <w:szCs w:val="26"/>
              </w:rPr>
            </w:pPr>
            <w:r w:rsidRPr="007F5D45">
              <w:rPr>
                <w:rFonts w:hAnsi="標楷體" w:cs="新細明體" w:hint="eastAsia"/>
                <w:color w:val="000000"/>
                <w:spacing w:val="-20"/>
                <w:kern w:val="0"/>
                <w:sz w:val="26"/>
                <w:szCs w:val="26"/>
              </w:rPr>
              <w:t>逾10年</w:t>
            </w:r>
          </w:p>
        </w:tc>
        <w:tc>
          <w:tcPr>
            <w:tcW w:w="840" w:type="dxa"/>
            <w:vAlign w:val="center"/>
          </w:tcPr>
          <w:p w:rsidR="00965AA2" w:rsidRPr="007F5D45" w:rsidRDefault="00965AA2" w:rsidP="008A1D1F">
            <w:pPr>
              <w:widowControl/>
              <w:spacing w:line="280" w:lineRule="exact"/>
              <w:jc w:val="center"/>
              <w:rPr>
                <w:rFonts w:hAnsi="標楷體" w:cs="新細明體"/>
                <w:color w:val="000000"/>
                <w:spacing w:val="-20"/>
                <w:kern w:val="0"/>
                <w:sz w:val="26"/>
                <w:szCs w:val="26"/>
              </w:rPr>
            </w:pPr>
            <w:r w:rsidRPr="007F5D45">
              <w:rPr>
                <w:rFonts w:hAnsi="標楷體" w:cs="新細明體" w:hint="eastAsia"/>
                <w:color w:val="000000"/>
                <w:spacing w:val="-20"/>
                <w:kern w:val="0"/>
                <w:sz w:val="26"/>
                <w:szCs w:val="26"/>
              </w:rPr>
              <w:t>不詳</w:t>
            </w:r>
          </w:p>
        </w:tc>
      </w:tr>
      <w:tr w:rsidR="00965AA2" w:rsidRPr="007F5D45" w:rsidTr="008A1D1F">
        <w:trPr>
          <w:trHeight w:val="387"/>
          <w:jc w:val="center"/>
        </w:trPr>
        <w:tc>
          <w:tcPr>
            <w:tcW w:w="567" w:type="dxa"/>
            <w:shd w:val="clear" w:color="auto" w:fill="auto"/>
            <w:noWrap/>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阿里山</w:t>
            </w:r>
          </w:p>
        </w:tc>
        <w:tc>
          <w:tcPr>
            <w:tcW w:w="1134" w:type="dxa"/>
            <w:shd w:val="clear" w:color="auto" w:fill="auto"/>
            <w:vAlign w:val="center"/>
          </w:tcPr>
          <w:p w:rsidR="00965AA2" w:rsidRPr="00460A0A"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3</w:t>
            </w:r>
            <w:r w:rsidRPr="007F5D45">
              <w:rPr>
                <w:rFonts w:hAnsi="標楷體" w:cs="新細明體"/>
                <w:color w:val="000000"/>
                <w:kern w:val="0"/>
                <w:sz w:val="26"/>
                <w:szCs w:val="26"/>
              </w:rPr>
              <w:t>3</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7</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26</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r>
      <w:tr w:rsidR="00965AA2" w:rsidRPr="007F5D45" w:rsidTr="008A1D1F">
        <w:trPr>
          <w:trHeight w:val="276"/>
          <w:jc w:val="center"/>
        </w:trPr>
        <w:tc>
          <w:tcPr>
            <w:tcW w:w="567" w:type="dxa"/>
            <w:shd w:val="clear" w:color="auto" w:fill="auto"/>
            <w:noWrap/>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2</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proofErr w:type="gramStart"/>
            <w:r w:rsidRPr="007F5D45">
              <w:rPr>
                <w:rFonts w:hAnsi="標楷體" w:cs="新細明體" w:hint="eastAsia"/>
                <w:color w:val="000000"/>
                <w:spacing w:val="-16"/>
                <w:kern w:val="0"/>
                <w:sz w:val="26"/>
                <w:szCs w:val="26"/>
              </w:rPr>
              <w:t>北觀</w:t>
            </w:r>
            <w:proofErr w:type="gramEnd"/>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8</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6</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7</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color w:val="000000"/>
                <w:kern w:val="0"/>
                <w:sz w:val="26"/>
                <w:szCs w:val="26"/>
              </w:rPr>
              <w:t>6</w:t>
            </w:r>
          </w:p>
        </w:tc>
      </w:tr>
      <w:tr w:rsidR="00965AA2" w:rsidRPr="007F5D45" w:rsidTr="008A1D1F">
        <w:trPr>
          <w:trHeight w:val="366"/>
          <w:jc w:val="center"/>
        </w:trPr>
        <w:tc>
          <w:tcPr>
            <w:tcW w:w="567" w:type="dxa"/>
            <w:shd w:val="clear" w:color="auto" w:fill="auto"/>
            <w:noWrap/>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3</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東北角</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r>
              <w:rPr>
                <w:rFonts w:hAnsi="標楷體" w:cs="新細明體"/>
                <w:color w:val="000000"/>
                <w:kern w:val="0"/>
                <w:sz w:val="26"/>
                <w:szCs w:val="26"/>
              </w:rPr>
              <w:t>1</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11</w:t>
            </w:r>
          </w:p>
        </w:tc>
      </w:tr>
      <w:tr w:rsidR="00965AA2" w:rsidRPr="007F5D45" w:rsidTr="008A1D1F">
        <w:trPr>
          <w:trHeight w:val="259"/>
          <w:jc w:val="center"/>
        </w:trPr>
        <w:tc>
          <w:tcPr>
            <w:tcW w:w="567" w:type="dxa"/>
            <w:shd w:val="clear" w:color="auto" w:fill="auto"/>
            <w:noWrap/>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4</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日月潭</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r w:rsidRPr="007F5D45">
              <w:rPr>
                <w:rFonts w:hAnsi="標楷體" w:cs="新細明體"/>
                <w:color w:val="000000"/>
                <w:kern w:val="0"/>
                <w:sz w:val="26"/>
                <w:szCs w:val="26"/>
              </w:rPr>
              <w:t>1</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4</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7</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r>
      <w:tr w:rsidR="00965AA2" w:rsidRPr="007F5D45" w:rsidTr="008A1D1F">
        <w:trPr>
          <w:trHeight w:val="387"/>
          <w:jc w:val="center"/>
        </w:trPr>
        <w:tc>
          <w:tcPr>
            <w:tcW w:w="567"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5</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大鵬灣</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3</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3</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r>
      <w:tr w:rsidR="00965AA2" w:rsidRPr="007F5D45" w:rsidTr="008A1D1F">
        <w:trPr>
          <w:trHeight w:val="240"/>
          <w:jc w:val="center"/>
        </w:trPr>
        <w:tc>
          <w:tcPr>
            <w:tcW w:w="567"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6</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茂林</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5</w:t>
            </w:r>
          </w:p>
        </w:tc>
        <w:tc>
          <w:tcPr>
            <w:tcW w:w="1222" w:type="dxa"/>
            <w:vAlign w:val="center"/>
          </w:tcPr>
          <w:p w:rsidR="00965AA2" w:rsidRPr="007F5D45" w:rsidRDefault="00965AA2" w:rsidP="008A1D1F">
            <w:pPr>
              <w:widowControl/>
              <w:spacing w:line="320" w:lineRule="exact"/>
              <w:jc w:val="center"/>
              <w:rPr>
                <w:rFonts w:hAnsi="標楷體" w:cs="新細明體"/>
                <w:color w:val="000000"/>
                <w:spacing w:val="-14"/>
                <w:kern w:val="0"/>
                <w:sz w:val="26"/>
                <w:szCs w:val="26"/>
              </w:rPr>
            </w:pPr>
            <w:r w:rsidRPr="007F5D45">
              <w:rPr>
                <w:rFonts w:hAnsi="標楷體" w:cs="新細明體" w:hint="eastAsia"/>
                <w:color w:val="000000"/>
                <w:spacing w:val="-14"/>
                <w:kern w:val="0"/>
                <w:sz w:val="26"/>
                <w:szCs w:val="26"/>
              </w:rPr>
              <w:t>2</w:t>
            </w:r>
          </w:p>
        </w:tc>
        <w:tc>
          <w:tcPr>
            <w:tcW w:w="938" w:type="dxa"/>
            <w:vAlign w:val="center"/>
          </w:tcPr>
          <w:p w:rsidR="00965AA2" w:rsidRPr="007F5D45" w:rsidRDefault="00965AA2" w:rsidP="008A1D1F">
            <w:pPr>
              <w:widowControl/>
              <w:spacing w:line="320" w:lineRule="exact"/>
              <w:jc w:val="center"/>
              <w:rPr>
                <w:rFonts w:hAnsi="標楷體" w:cs="新細明體"/>
                <w:color w:val="000000"/>
                <w:spacing w:val="-14"/>
                <w:kern w:val="0"/>
                <w:sz w:val="26"/>
                <w:szCs w:val="26"/>
              </w:rPr>
            </w:pPr>
            <w:r>
              <w:rPr>
                <w:rFonts w:hAnsi="標楷體" w:cs="新細明體"/>
                <w:color w:val="000000"/>
                <w:spacing w:val="-14"/>
                <w:kern w:val="0"/>
                <w:sz w:val="26"/>
                <w:szCs w:val="26"/>
              </w:rPr>
              <w:t>1</w:t>
            </w:r>
          </w:p>
        </w:tc>
        <w:tc>
          <w:tcPr>
            <w:tcW w:w="840" w:type="dxa"/>
            <w:vAlign w:val="center"/>
          </w:tcPr>
          <w:p w:rsidR="00965AA2" w:rsidRPr="007F5D45" w:rsidRDefault="00965AA2" w:rsidP="008A1D1F">
            <w:pPr>
              <w:widowControl/>
              <w:spacing w:line="320" w:lineRule="exact"/>
              <w:jc w:val="center"/>
              <w:rPr>
                <w:rFonts w:hAnsi="標楷體" w:cs="新細明體"/>
                <w:color w:val="000000"/>
                <w:spacing w:val="-14"/>
                <w:kern w:val="0"/>
                <w:sz w:val="26"/>
                <w:szCs w:val="26"/>
              </w:rPr>
            </w:pPr>
            <w:r>
              <w:rPr>
                <w:rFonts w:hAnsi="標楷體" w:cs="新細明體"/>
                <w:color w:val="000000"/>
                <w:spacing w:val="-14"/>
                <w:kern w:val="0"/>
                <w:sz w:val="26"/>
                <w:szCs w:val="26"/>
              </w:rPr>
              <w:t>2</w:t>
            </w:r>
          </w:p>
        </w:tc>
      </w:tr>
      <w:tr w:rsidR="00965AA2" w:rsidRPr="007F5D45" w:rsidTr="008A1D1F">
        <w:trPr>
          <w:trHeight w:val="248"/>
          <w:jc w:val="center"/>
        </w:trPr>
        <w:tc>
          <w:tcPr>
            <w:tcW w:w="567"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7</w:t>
            </w:r>
          </w:p>
        </w:tc>
        <w:tc>
          <w:tcPr>
            <w:tcW w:w="1811"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spacing w:val="-16"/>
                <w:kern w:val="0"/>
                <w:sz w:val="26"/>
                <w:szCs w:val="26"/>
              </w:rPr>
            </w:pPr>
            <w:proofErr w:type="gramStart"/>
            <w:r w:rsidRPr="007F5D45">
              <w:rPr>
                <w:rFonts w:hAnsi="標楷體" w:cs="新細明體" w:hint="eastAsia"/>
                <w:color w:val="000000"/>
                <w:spacing w:val="-16"/>
                <w:kern w:val="0"/>
                <w:sz w:val="26"/>
                <w:szCs w:val="26"/>
              </w:rPr>
              <w:t>參山</w:t>
            </w:r>
            <w:proofErr w:type="gramEnd"/>
          </w:p>
        </w:tc>
        <w:tc>
          <w:tcPr>
            <w:tcW w:w="1134"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4</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2</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2</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r>
      <w:tr w:rsidR="00965AA2" w:rsidRPr="007F5D45" w:rsidTr="008A1D1F">
        <w:trPr>
          <w:trHeight w:val="387"/>
          <w:jc w:val="center"/>
        </w:trPr>
        <w:tc>
          <w:tcPr>
            <w:tcW w:w="567"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8</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花東縱谷</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2</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2</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2</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2</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r>
      <w:tr w:rsidR="00965AA2" w:rsidRPr="007F5D45" w:rsidTr="008A1D1F">
        <w:trPr>
          <w:trHeight w:val="288"/>
          <w:jc w:val="center"/>
        </w:trPr>
        <w:tc>
          <w:tcPr>
            <w:tcW w:w="567"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9</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西拉雅</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hint="eastAsia"/>
                <w:color w:val="000000"/>
                <w:kern w:val="0"/>
                <w:sz w:val="26"/>
                <w:szCs w:val="26"/>
              </w:rPr>
              <w:t>1</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hint="eastAsia"/>
                <w:color w:val="000000"/>
                <w:kern w:val="0"/>
                <w:sz w:val="26"/>
                <w:szCs w:val="26"/>
              </w:rPr>
              <w:t>0</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color w:val="000000"/>
                <w:kern w:val="0"/>
                <w:sz w:val="26"/>
                <w:szCs w:val="26"/>
              </w:rPr>
              <w:t>0</w:t>
            </w:r>
          </w:p>
        </w:tc>
      </w:tr>
      <w:tr w:rsidR="00965AA2" w:rsidRPr="007F5D45" w:rsidTr="008A1D1F">
        <w:trPr>
          <w:trHeight w:val="387"/>
          <w:jc w:val="center"/>
        </w:trPr>
        <w:tc>
          <w:tcPr>
            <w:tcW w:w="567"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r w:rsidRPr="007F5D45">
              <w:rPr>
                <w:rFonts w:hAnsi="標楷體" w:cs="新細明體"/>
                <w:color w:val="000000"/>
                <w:kern w:val="0"/>
                <w:sz w:val="26"/>
                <w:szCs w:val="26"/>
              </w:rPr>
              <w:t>0</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東部海岸</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Pr>
                <w:rFonts w:hAnsi="標楷體" w:cs="新細明體"/>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p>
        </w:tc>
      </w:tr>
      <w:tr w:rsidR="00965AA2" w:rsidRPr="007F5D45" w:rsidTr="008A1D1F">
        <w:trPr>
          <w:trHeight w:val="343"/>
          <w:jc w:val="center"/>
        </w:trPr>
        <w:tc>
          <w:tcPr>
            <w:tcW w:w="567"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r w:rsidRPr="007F5D45">
              <w:rPr>
                <w:rFonts w:hAnsi="標楷體" w:cs="新細明體"/>
                <w:color w:val="000000"/>
                <w:kern w:val="0"/>
                <w:sz w:val="26"/>
                <w:szCs w:val="26"/>
              </w:rPr>
              <w:t>1</w:t>
            </w:r>
          </w:p>
        </w:tc>
        <w:tc>
          <w:tcPr>
            <w:tcW w:w="1811" w:type="dxa"/>
            <w:shd w:val="clear" w:color="auto" w:fill="auto"/>
            <w:vAlign w:val="center"/>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澎湖</w:t>
            </w:r>
          </w:p>
        </w:tc>
        <w:tc>
          <w:tcPr>
            <w:tcW w:w="1134"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color w:val="000000"/>
                <w:kern w:val="0"/>
                <w:sz w:val="26"/>
                <w:szCs w:val="26"/>
              </w:rPr>
              <w:t>0</w:t>
            </w:r>
          </w:p>
        </w:tc>
      </w:tr>
      <w:tr w:rsidR="00965AA2" w:rsidRPr="007F5D45" w:rsidTr="008A1D1F">
        <w:trPr>
          <w:trHeight w:val="221"/>
          <w:jc w:val="center"/>
        </w:trPr>
        <w:tc>
          <w:tcPr>
            <w:tcW w:w="567"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1</w:t>
            </w:r>
            <w:r w:rsidRPr="007F5D45">
              <w:rPr>
                <w:rFonts w:hAnsi="標楷體" w:cs="新細明體"/>
                <w:color w:val="000000"/>
                <w:kern w:val="0"/>
                <w:sz w:val="26"/>
                <w:szCs w:val="26"/>
              </w:rPr>
              <w:t>2</w:t>
            </w:r>
          </w:p>
        </w:tc>
        <w:tc>
          <w:tcPr>
            <w:tcW w:w="1811"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馬祖</w:t>
            </w:r>
          </w:p>
        </w:tc>
        <w:tc>
          <w:tcPr>
            <w:tcW w:w="1134"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r>
      <w:tr w:rsidR="00965AA2" w:rsidRPr="007F5D45" w:rsidTr="008A1D1F">
        <w:trPr>
          <w:trHeight w:val="387"/>
          <w:jc w:val="center"/>
        </w:trPr>
        <w:tc>
          <w:tcPr>
            <w:tcW w:w="567" w:type="dxa"/>
            <w:shd w:val="clear" w:color="auto" w:fill="auto"/>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lastRenderedPageBreak/>
              <w:t>1</w:t>
            </w:r>
            <w:r w:rsidRPr="007F5D45">
              <w:rPr>
                <w:rFonts w:hAnsi="標楷體" w:cs="新細明體"/>
                <w:color w:val="000000"/>
                <w:kern w:val="0"/>
                <w:sz w:val="26"/>
                <w:szCs w:val="26"/>
              </w:rPr>
              <w:t>3</w:t>
            </w:r>
          </w:p>
        </w:tc>
        <w:tc>
          <w:tcPr>
            <w:tcW w:w="1811"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雲嘉南</w:t>
            </w:r>
          </w:p>
        </w:tc>
        <w:tc>
          <w:tcPr>
            <w:tcW w:w="1134" w:type="dxa"/>
            <w:shd w:val="clear" w:color="auto" w:fill="auto"/>
            <w:vAlign w:val="center"/>
            <w:hideMark/>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134"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1222"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0</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color w:val="000000"/>
                <w:kern w:val="0"/>
                <w:sz w:val="26"/>
                <w:szCs w:val="26"/>
              </w:rPr>
              <w:t>0</w:t>
            </w:r>
          </w:p>
        </w:tc>
      </w:tr>
      <w:tr w:rsidR="00965AA2" w:rsidRPr="007F5D45" w:rsidTr="008A1D1F">
        <w:trPr>
          <w:trHeight w:val="274"/>
          <w:jc w:val="center"/>
        </w:trPr>
        <w:tc>
          <w:tcPr>
            <w:tcW w:w="2378" w:type="dxa"/>
            <w:gridSpan w:val="2"/>
            <w:shd w:val="clear" w:color="auto" w:fill="auto"/>
            <w:noWrap/>
            <w:vAlign w:val="center"/>
            <w:hideMark/>
          </w:tcPr>
          <w:p w:rsidR="00965AA2" w:rsidRPr="007F5D45" w:rsidRDefault="00965AA2" w:rsidP="008A1D1F">
            <w:pPr>
              <w:widowControl/>
              <w:spacing w:line="320" w:lineRule="exact"/>
              <w:jc w:val="center"/>
              <w:rPr>
                <w:rFonts w:hAnsi="標楷體" w:cs="新細明體"/>
                <w:color w:val="000000"/>
                <w:spacing w:val="-16"/>
                <w:kern w:val="0"/>
                <w:sz w:val="26"/>
                <w:szCs w:val="26"/>
              </w:rPr>
            </w:pPr>
            <w:r w:rsidRPr="007F5D45">
              <w:rPr>
                <w:rFonts w:hAnsi="標楷體" w:cs="新細明體" w:hint="eastAsia"/>
                <w:color w:val="000000"/>
                <w:spacing w:val="-16"/>
                <w:kern w:val="0"/>
                <w:sz w:val="26"/>
                <w:szCs w:val="26"/>
              </w:rPr>
              <w:t>合計</w:t>
            </w:r>
          </w:p>
        </w:tc>
        <w:tc>
          <w:tcPr>
            <w:tcW w:w="1134" w:type="dxa"/>
            <w:shd w:val="clear" w:color="auto" w:fill="auto"/>
            <w:vAlign w:val="center"/>
            <w:hideMark/>
          </w:tcPr>
          <w:p w:rsidR="00965AA2" w:rsidRPr="007F5D45" w:rsidRDefault="00965AA2" w:rsidP="008A1D1F">
            <w:pPr>
              <w:widowControl/>
              <w:spacing w:line="320" w:lineRule="exact"/>
              <w:jc w:val="center"/>
              <w:rPr>
                <w:rFonts w:hAnsi="標楷體" w:cs="新細明體"/>
                <w:bCs/>
                <w:color w:val="000000"/>
                <w:kern w:val="0"/>
                <w:sz w:val="26"/>
                <w:szCs w:val="26"/>
              </w:rPr>
            </w:pPr>
            <w:r>
              <w:rPr>
                <w:rFonts w:hAnsi="標楷體" w:cs="新細明體"/>
                <w:bCs/>
                <w:color w:val="000000"/>
                <w:kern w:val="0"/>
                <w:sz w:val="26"/>
                <w:szCs w:val="26"/>
              </w:rPr>
              <w:t>25</w:t>
            </w:r>
          </w:p>
        </w:tc>
        <w:tc>
          <w:tcPr>
            <w:tcW w:w="1134" w:type="dxa"/>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6</w:t>
            </w:r>
            <w:r w:rsidRPr="007F5D45">
              <w:rPr>
                <w:rFonts w:hAnsi="標楷體" w:cs="新細明體"/>
                <w:color w:val="000000"/>
                <w:kern w:val="0"/>
                <w:sz w:val="26"/>
                <w:szCs w:val="26"/>
              </w:rPr>
              <w:t>3</w:t>
            </w:r>
          </w:p>
        </w:tc>
        <w:tc>
          <w:tcPr>
            <w:tcW w:w="1222" w:type="dxa"/>
            <w:vAlign w:val="center"/>
          </w:tcPr>
          <w:p w:rsidR="00965AA2" w:rsidRPr="007F5D45" w:rsidRDefault="00965AA2" w:rsidP="008A1D1F">
            <w:pPr>
              <w:widowControl/>
              <w:spacing w:line="320" w:lineRule="exact"/>
              <w:jc w:val="center"/>
              <w:rPr>
                <w:rFonts w:hAnsi="標楷體" w:cs="新細明體"/>
                <w:bCs/>
                <w:color w:val="000000"/>
                <w:kern w:val="0"/>
                <w:sz w:val="26"/>
                <w:szCs w:val="26"/>
              </w:rPr>
            </w:pPr>
            <w:r w:rsidRPr="007F5D45">
              <w:rPr>
                <w:rFonts w:hAnsi="標楷體" w:cs="新細明體" w:hint="eastAsia"/>
                <w:color w:val="000000"/>
                <w:kern w:val="0"/>
                <w:sz w:val="26"/>
                <w:szCs w:val="26"/>
              </w:rPr>
              <w:t>1</w:t>
            </w:r>
            <w:r w:rsidRPr="007F5D45">
              <w:rPr>
                <w:rFonts w:hAnsi="標楷體" w:cs="新細明體"/>
                <w:color w:val="000000"/>
                <w:kern w:val="0"/>
                <w:sz w:val="26"/>
                <w:szCs w:val="26"/>
              </w:rPr>
              <w:t>8</w:t>
            </w:r>
          </w:p>
        </w:tc>
        <w:tc>
          <w:tcPr>
            <w:tcW w:w="938"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5</w:t>
            </w:r>
            <w:r w:rsidRPr="007F5D45">
              <w:rPr>
                <w:rFonts w:hAnsi="標楷體" w:cs="新細明體"/>
                <w:color w:val="000000"/>
                <w:kern w:val="0"/>
                <w:sz w:val="26"/>
                <w:szCs w:val="26"/>
              </w:rPr>
              <w:t>0</w:t>
            </w:r>
          </w:p>
        </w:tc>
        <w:tc>
          <w:tcPr>
            <w:tcW w:w="840" w:type="dxa"/>
            <w:vAlign w:val="center"/>
          </w:tcPr>
          <w:p w:rsidR="00965AA2" w:rsidRPr="007F5D45" w:rsidRDefault="00965AA2" w:rsidP="008A1D1F">
            <w:pPr>
              <w:widowControl/>
              <w:spacing w:line="320" w:lineRule="exact"/>
              <w:jc w:val="center"/>
              <w:rPr>
                <w:rFonts w:hAnsi="標楷體" w:cs="新細明體"/>
                <w:color w:val="000000"/>
                <w:kern w:val="0"/>
                <w:sz w:val="26"/>
                <w:szCs w:val="26"/>
              </w:rPr>
            </w:pPr>
            <w:r w:rsidRPr="007F5D45">
              <w:rPr>
                <w:rFonts w:hAnsi="標楷體" w:cs="新細明體" w:hint="eastAsia"/>
                <w:color w:val="000000"/>
                <w:kern w:val="0"/>
                <w:sz w:val="26"/>
                <w:szCs w:val="26"/>
              </w:rPr>
              <w:t>20</w:t>
            </w:r>
          </w:p>
        </w:tc>
      </w:tr>
    </w:tbl>
    <w:p w:rsidR="00965AA2" w:rsidRPr="007F5D45" w:rsidRDefault="00965AA2" w:rsidP="00965AA2">
      <w:pPr>
        <w:spacing w:beforeLines="10" w:before="45" w:line="280" w:lineRule="exact"/>
        <w:ind w:left="1667" w:hangingChars="490" w:hanging="1667"/>
        <w:rPr>
          <w:color w:val="000000"/>
          <w:sz w:val="28"/>
        </w:rPr>
      </w:pPr>
      <w:r w:rsidRPr="007F5D45">
        <w:rPr>
          <w:rFonts w:hint="eastAsia"/>
          <w:color w:val="000000"/>
        </w:rPr>
        <w:t xml:space="preserve">   </w:t>
      </w:r>
      <w:r w:rsidRPr="007F5D45">
        <w:rPr>
          <w:rFonts w:hint="eastAsia"/>
          <w:color w:val="000000"/>
          <w:sz w:val="22"/>
        </w:rPr>
        <w:t>資料來源：觀光署113年</w:t>
      </w:r>
      <w:r w:rsidRPr="007F5D45">
        <w:rPr>
          <w:color w:val="000000"/>
          <w:sz w:val="22"/>
        </w:rPr>
        <w:t>2</w:t>
      </w:r>
      <w:r w:rsidRPr="007F5D45">
        <w:rPr>
          <w:rFonts w:hint="eastAsia"/>
          <w:color w:val="000000"/>
          <w:sz w:val="22"/>
        </w:rPr>
        <w:t>月7日函復資料及約</w:t>
      </w:r>
      <w:proofErr w:type="gramStart"/>
      <w:r w:rsidRPr="007F5D45">
        <w:rPr>
          <w:rFonts w:hint="eastAsia"/>
          <w:color w:val="000000"/>
          <w:sz w:val="22"/>
        </w:rPr>
        <w:t>詢</w:t>
      </w:r>
      <w:proofErr w:type="gramEnd"/>
      <w:r w:rsidRPr="007F5D45">
        <w:rPr>
          <w:rFonts w:hint="eastAsia"/>
          <w:color w:val="000000"/>
          <w:sz w:val="22"/>
        </w:rPr>
        <w:t>後補充說明資料，</w:t>
      </w:r>
      <w:proofErr w:type="gramStart"/>
      <w:r w:rsidRPr="007F5D45">
        <w:rPr>
          <w:rFonts w:hint="eastAsia"/>
          <w:color w:val="000000"/>
          <w:sz w:val="22"/>
        </w:rPr>
        <w:t>本院彙</w:t>
      </w:r>
      <w:proofErr w:type="gramEnd"/>
      <w:r w:rsidRPr="007F5D45">
        <w:rPr>
          <w:rFonts w:hint="eastAsia"/>
          <w:color w:val="000000"/>
          <w:sz w:val="22"/>
        </w:rPr>
        <w:t>整。</w:t>
      </w:r>
    </w:p>
    <w:p w:rsidR="00965AA2" w:rsidRDefault="00965AA2" w:rsidP="00965AA2">
      <w:pPr>
        <w:spacing w:line="280" w:lineRule="exact"/>
        <w:ind w:leftChars="-12" w:left="-41" w:firstLineChars="37" w:firstLine="111"/>
        <w:rPr>
          <w:color w:val="000000"/>
          <w:sz w:val="22"/>
          <w:szCs w:val="24"/>
        </w:rPr>
      </w:pPr>
      <w:r w:rsidRPr="007F5D45">
        <w:rPr>
          <w:rFonts w:hint="eastAsia"/>
          <w:color w:val="000000"/>
          <w:sz w:val="28"/>
        </w:rPr>
        <w:t xml:space="preserve">   </w:t>
      </w:r>
      <w:proofErr w:type="gramStart"/>
      <w:r w:rsidRPr="007F5D45">
        <w:rPr>
          <w:rFonts w:hint="eastAsia"/>
          <w:color w:val="000000"/>
          <w:sz w:val="22"/>
          <w:szCs w:val="24"/>
        </w:rPr>
        <w:t>註</w:t>
      </w:r>
      <w:proofErr w:type="gramEnd"/>
      <w:r>
        <w:rPr>
          <w:rFonts w:hint="eastAsia"/>
          <w:color w:val="000000"/>
          <w:sz w:val="22"/>
          <w:szCs w:val="24"/>
        </w:rPr>
        <w:t>1</w:t>
      </w:r>
      <w:r w:rsidRPr="007F5D45">
        <w:rPr>
          <w:rFonts w:hint="eastAsia"/>
          <w:color w:val="000000"/>
          <w:sz w:val="22"/>
          <w:szCs w:val="24"/>
        </w:rPr>
        <w:t>：花東縱谷管理處轄管橋梁經1</w:t>
      </w:r>
      <w:r w:rsidRPr="007F5D45">
        <w:rPr>
          <w:color w:val="000000"/>
          <w:sz w:val="22"/>
          <w:szCs w:val="24"/>
        </w:rPr>
        <w:t>13</w:t>
      </w:r>
      <w:r w:rsidRPr="007F5D45">
        <w:rPr>
          <w:rFonts w:hint="eastAsia"/>
          <w:color w:val="000000"/>
          <w:sz w:val="22"/>
          <w:szCs w:val="24"/>
        </w:rPr>
        <w:t>年4月3日地震後毀損嚴重。</w:t>
      </w:r>
    </w:p>
    <w:p w:rsidR="00965AA2" w:rsidRDefault="00965AA2" w:rsidP="00965AA2">
      <w:pPr>
        <w:spacing w:line="280" w:lineRule="exact"/>
        <w:ind w:leftChars="-12" w:left="-41" w:firstLineChars="37" w:firstLine="89"/>
        <w:rPr>
          <w:color w:val="FF0000"/>
          <w:sz w:val="22"/>
          <w:szCs w:val="24"/>
        </w:rPr>
      </w:pPr>
      <w:r>
        <w:rPr>
          <w:rFonts w:hint="eastAsia"/>
          <w:color w:val="000000"/>
          <w:sz w:val="22"/>
          <w:szCs w:val="24"/>
        </w:rPr>
        <w:t xml:space="preserve">    </w:t>
      </w:r>
      <w:r w:rsidRPr="005D6B75">
        <w:rPr>
          <w:rFonts w:hint="eastAsia"/>
          <w:color w:val="FF0000"/>
          <w:sz w:val="22"/>
          <w:szCs w:val="24"/>
        </w:rPr>
        <w:t>註2：6座車行橋梁，分別為大鵬灣5座、澎湖1座。</w:t>
      </w:r>
    </w:p>
    <w:p w:rsidR="005F7839" w:rsidRPr="007F5D45" w:rsidRDefault="005F7839" w:rsidP="00037999">
      <w:pPr>
        <w:spacing w:line="240" w:lineRule="exact"/>
        <w:rPr>
          <w:color w:val="000000"/>
        </w:rPr>
      </w:pPr>
    </w:p>
    <w:p w:rsidR="005F7839" w:rsidRPr="007F5D45" w:rsidRDefault="005F7839" w:rsidP="002A0569">
      <w:pPr>
        <w:pStyle w:val="3"/>
        <w:numPr>
          <w:ilvl w:val="2"/>
          <w:numId w:val="1"/>
        </w:numPr>
        <w:rPr>
          <w:color w:val="000000"/>
        </w:rPr>
      </w:pPr>
      <w:r w:rsidRPr="007F5D45">
        <w:rPr>
          <w:rFonts w:hint="eastAsia"/>
          <w:b/>
          <w:color w:val="000000"/>
        </w:rPr>
        <w:t>觀光署雖已於110年建立國家風景區橋梁維護管理相關機制，惟</w:t>
      </w:r>
      <w:proofErr w:type="gramStart"/>
      <w:r w:rsidRPr="007F5D45">
        <w:rPr>
          <w:rFonts w:hint="eastAsia"/>
          <w:b/>
          <w:color w:val="000000"/>
        </w:rPr>
        <w:t>1</w:t>
      </w:r>
      <w:r w:rsidRPr="007F5D45">
        <w:rPr>
          <w:b/>
          <w:color w:val="000000"/>
        </w:rPr>
        <w:t>12</w:t>
      </w:r>
      <w:proofErr w:type="gramEnd"/>
      <w:r w:rsidRPr="007F5D45">
        <w:rPr>
          <w:rFonts w:hint="eastAsia"/>
          <w:b/>
          <w:color w:val="000000"/>
        </w:rPr>
        <w:t>年度管理處執行橋梁養護作業相關資料及檢測紀錄，經查與「人行天橋管理資訊系統」登載內容不</w:t>
      </w:r>
      <w:proofErr w:type="gramStart"/>
      <w:r w:rsidRPr="007F5D45">
        <w:rPr>
          <w:rFonts w:hint="eastAsia"/>
          <w:b/>
          <w:color w:val="000000"/>
        </w:rPr>
        <w:t>一致及缺</w:t>
      </w:r>
      <w:proofErr w:type="gramEnd"/>
      <w:r w:rsidRPr="007F5D45">
        <w:rPr>
          <w:rFonts w:hint="eastAsia"/>
          <w:b/>
          <w:color w:val="000000"/>
        </w:rPr>
        <w:t>漏情形計1</w:t>
      </w:r>
      <w:r w:rsidRPr="007F5D45">
        <w:rPr>
          <w:b/>
          <w:color w:val="000000"/>
        </w:rPr>
        <w:t>49</w:t>
      </w:r>
      <w:r w:rsidRPr="007F5D45">
        <w:rPr>
          <w:rFonts w:hint="eastAsia"/>
          <w:b/>
          <w:color w:val="000000"/>
        </w:rPr>
        <w:t>件，顯示管理處並未落實橋梁維護管理作業：</w:t>
      </w:r>
    </w:p>
    <w:p w:rsidR="005F7839" w:rsidRPr="007F5D45" w:rsidRDefault="005F7839" w:rsidP="002A0569">
      <w:pPr>
        <w:pStyle w:val="4"/>
        <w:numPr>
          <w:ilvl w:val="3"/>
          <w:numId w:val="1"/>
        </w:numPr>
        <w:rPr>
          <w:color w:val="000000"/>
        </w:rPr>
      </w:pPr>
      <w:r w:rsidRPr="007F5D45">
        <w:rPr>
          <w:rFonts w:hint="eastAsia"/>
          <w:color w:val="000000"/>
        </w:rPr>
        <w:t>按</w:t>
      </w:r>
      <w:r>
        <w:rPr>
          <w:rFonts w:hint="eastAsia"/>
          <w:color w:val="000000"/>
        </w:rPr>
        <w:t>「</w:t>
      </w:r>
      <w:r w:rsidRPr="007F5D45">
        <w:rPr>
          <w:rFonts w:hint="eastAsia"/>
          <w:color w:val="000000"/>
        </w:rPr>
        <w:t>橋梁維護管理作業要點</w:t>
      </w:r>
      <w:r>
        <w:rPr>
          <w:rFonts w:hint="eastAsia"/>
          <w:color w:val="000000"/>
        </w:rPr>
        <w:t>」</w:t>
      </w:r>
      <w:r w:rsidRPr="007F5D45">
        <w:rPr>
          <w:rFonts w:hint="eastAsia"/>
          <w:color w:val="000000"/>
        </w:rPr>
        <w:t>第8點第2項及第9點第1項與第3項分別規定：「養護單位應將所管橋梁之基本資料及檢測、維修結果，即時輸入橋梁管理資訊系統中保存並運用於橋梁維護管理。」「中央及地方主管機關為辦理橋梁維護管理作業，應建置橋梁管理資訊系統。」及「第1項橋梁管理資訊系統，應具備橋梁維護資料建置，及維護情形預警通報等功能。」</w:t>
      </w:r>
    </w:p>
    <w:p w:rsidR="005F7839" w:rsidRPr="007F5D45" w:rsidRDefault="005F7839" w:rsidP="002A0569">
      <w:pPr>
        <w:pStyle w:val="4"/>
        <w:numPr>
          <w:ilvl w:val="3"/>
          <w:numId w:val="1"/>
        </w:numPr>
        <w:rPr>
          <w:color w:val="000000"/>
        </w:rPr>
      </w:pPr>
      <w:r w:rsidRPr="007F5D45">
        <w:rPr>
          <w:rFonts w:hint="eastAsia"/>
          <w:color w:val="000000"/>
        </w:rPr>
        <w:t>據審計部</w:t>
      </w:r>
      <w:proofErr w:type="gramStart"/>
      <w:r w:rsidRPr="007F5D45">
        <w:rPr>
          <w:rFonts w:hint="eastAsia"/>
          <w:color w:val="000000"/>
        </w:rPr>
        <w:t>1</w:t>
      </w:r>
      <w:r w:rsidRPr="007F5D45">
        <w:rPr>
          <w:color w:val="000000"/>
        </w:rPr>
        <w:t>12</w:t>
      </w:r>
      <w:proofErr w:type="gramEnd"/>
      <w:r w:rsidRPr="007F5D45">
        <w:rPr>
          <w:rFonts w:hint="eastAsia"/>
          <w:color w:val="000000"/>
        </w:rPr>
        <w:t>年度1至8月份財務收支審核通知事項審核通知事項略以：</w:t>
      </w:r>
    </w:p>
    <w:p w:rsidR="005F7839" w:rsidRPr="007F5D45" w:rsidRDefault="005F7839" w:rsidP="002A0569">
      <w:pPr>
        <w:pStyle w:val="42"/>
        <w:ind w:left="1701" w:firstLine="680"/>
        <w:rPr>
          <w:color w:val="000000"/>
        </w:rPr>
      </w:pPr>
      <w:r w:rsidRPr="007F5D45">
        <w:rPr>
          <w:rFonts w:hint="eastAsia"/>
          <w:color w:val="000000"/>
        </w:rPr>
        <w:t>該部檢視人行天橋管理資訊系統</w:t>
      </w:r>
      <w:r>
        <w:rPr>
          <w:rFonts w:hint="eastAsia"/>
          <w:color w:val="000000"/>
        </w:rPr>
        <w:t>各</w:t>
      </w:r>
      <w:r w:rsidRPr="007F5D45">
        <w:rPr>
          <w:rFonts w:hint="eastAsia"/>
          <w:color w:val="000000"/>
        </w:rPr>
        <w:t>管理處登載橋梁基本資料、檢查紀錄等情形，並與觀光署112年9月提供</w:t>
      </w:r>
      <w:r>
        <w:rPr>
          <w:rFonts w:hint="eastAsia"/>
          <w:color w:val="000000"/>
        </w:rPr>
        <w:t>各</w:t>
      </w:r>
      <w:r w:rsidRPr="007F5D45">
        <w:rPr>
          <w:rFonts w:hint="eastAsia"/>
          <w:color w:val="000000"/>
        </w:rPr>
        <w:t>管理處委由廠商辦理之橋梁檢測報告比對結果，發現部分管理處經管橋梁之基本資料(如檢測日期、竣工日期、橋面長度及檢測週期)，於人行天橋管理資訊系統與橋梁檢測報告，填列內容有不一致之情形；部分管理處未於人行天橋管理資訊系統內填列橋梁竣工日期、檢測週期、第1次檢測日期；及部分管理處未將橋梁</w:t>
      </w:r>
      <w:r w:rsidRPr="007F5D45">
        <w:rPr>
          <w:rFonts w:hint="eastAsia"/>
          <w:color w:val="000000"/>
        </w:rPr>
        <w:lastRenderedPageBreak/>
        <w:t>檢測紀錄登載於人行天橋管理資訊系統等情事。</w:t>
      </w:r>
    </w:p>
    <w:p w:rsidR="005F7839" w:rsidRPr="007F5D45" w:rsidRDefault="005F7839" w:rsidP="002A0569">
      <w:pPr>
        <w:pStyle w:val="4"/>
        <w:numPr>
          <w:ilvl w:val="3"/>
          <w:numId w:val="1"/>
        </w:numPr>
        <w:rPr>
          <w:b/>
          <w:color w:val="000000"/>
        </w:rPr>
      </w:pPr>
      <w:r w:rsidRPr="007F5D45">
        <w:rPr>
          <w:rFonts w:hint="eastAsia"/>
          <w:color w:val="000000"/>
        </w:rPr>
        <w:t>據觀光署</w:t>
      </w:r>
      <w:proofErr w:type="gramStart"/>
      <w:r w:rsidRPr="007F5D45">
        <w:rPr>
          <w:rFonts w:hint="eastAsia"/>
          <w:color w:val="000000"/>
        </w:rPr>
        <w:t>1</w:t>
      </w:r>
      <w:r w:rsidRPr="007F5D45">
        <w:rPr>
          <w:color w:val="000000"/>
        </w:rPr>
        <w:t>13</w:t>
      </w:r>
      <w:r w:rsidRPr="007F5D45">
        <w:rPr>
          <w:rFonts w:hint="eastAsia"/>
          <w:color w:val="000000"/>
        </w:rPr>
        <w:t>年5月6日聲復理由</w:t>
      </w:r>
      <w:proofErr w:type="gramEnd"/>
      <w:r w:rsidRPr="007F5D45">
        <w:rPr>
          <w:rFonts w:hint="eastAsia"/>
          <w:color w:val="000000"/>
        </w:rPr>
        <w:t>略以：有關所屬13個管理處經管橋梁之基本資料、檢測紀錄，與人行天橋管理資訊系統登載內容不</w:t>
      </w:r>
      <w:proofErr w:type="gramStart"/>
      <w:r w:rsidRPr="007F5D45">
        <w:rPr>
          <w:rFonts w:hint="eastAsia"/>
          <w:color w:val="000000"/>
        </w:rPr>
        <w:t>一致及缺漏</w:t>
      </w:r>
      <w:proofErr w:type="gramEnd"/>
      <w:r w:rsidRPr="007F5D45">
        <w:rPr>
          <w:rFonts w:hint="eastAsia"/>
          <w:color w:val="000000"/>
        </w:rPr>
        <w:t>情形計149件等情事，已請各管理處釐清並</w:t>
      </w:r>
      <w:r>
        <w:rPr>
          <w:rFonts w:hint="eastAsia"/>
          <w:color w:val="000000"/>
        </w:rPr>
        <w:t>儘速</w:t>
      </w:r>
      <w:r w:rsidRPr="007F5D45">
        <w:rPr>
          <w:rFonts w:hint="eastAsia"/>
          <w:color w:val="000000"/>
        </w:rPr>
        <w:t>修正。</w:t>
      </w:r>
    </w:p>
    <w:p w:rsidR="005F7839" w:rsidRPr="007F5D45" w:rsidRDefault="005F7839" w:rsidP="002A0569">
      <w:pPr>
        <w:pStyle w:val="3"/>
        <w:numPr>
          <w:ilvl w:val="2"/>
          <w:numId w:val="1"/>
        </w:numPr>
        <w:rPr>
          <w:b/>
          <w:color w:val="000000"/>
        </w:rPr>
      </w:pPr>
      <w:proofErr w:type="gramStart"/>
      <w:r w:rsidRPr="007F5D45">
        <w:rPr>
          <w:rFonts w:hint="eastAsia"/>
          <w:color w:val="000000"/>
        </w:rPr>
        <w:t>另</w:t>
      </w:r>
      <w:proofErr w:type="gramEnd"/>
      <w:r w:rsidRPr="007F5D45">
        <w:rPr>
          <w:rFonts w:hint="eastAsia"/>
          <w:color w:val="000000"/>
        </w:rPr>
        <w:t>，關於橋梁維護管理人員之教育訓練，從本院履勘發現，部分管理處將部分巡查工作委由未具橋梁維護相關經歷之保全人員或編制內行政人員執行，顯難以確保巡查結果符合預期。且觀光署及所轄管理處人員參與交通部運輸研究所辦理之橋梁檢測課程，取得初訓結業證書</w:t>
      </w:r>
      <w:proofErr w:type="gramStart"/>
      <w:r w:rsidRPr="007F5D45">
        <w:rPr>
          <w:rFonts w:hint="eastAsia"/>
          <w:color w:val="000000"/>
        </w:rPr>
        <w:t>或回訓證明</w:t>
      </w:r>
      <w:proofErr w:type="gramEnd"/>
      <w:r w:rsidRPr="007F5D45">
        <w:rPr>
          <w:rFonts w:hint="eastAsia"/>
          <w:color w:val="000000"/>
        </w:rPr>
        <w:t>者人數，據該署統計資料，1</w:t>
      </w:r>
      <w:r w:rsidRPr="007F5D45">
        <w:rPr>
          <w:color w:val="000000"/>
        </w:rPr>
        <w:t>09</w:t>
      </w:r>
      <w:r w:rsidRPr="007F5D45">
        <w:rPr>
          <w:rFonts w:hint="eastAsia"/>
          <w:color w:val="000000"/>
        </w:rPr>
        <w:t>至1</w:t>
      </w:r>
      <w:r w:rsidRPr="007F5D45">
        <w:rPr>
          <w:color w:val="000000"/>
        </w:rPr>
        <w:t>12</w:t>
      </w:r>
      <w:r w:rsidRPr="007F5D45">
        <w:rPr>
          <w:rFonts w:hint="eastAsia"/>
          <w:color w:val="000000"/>
        </w:rPr>
        <w:t>年僅3位，1</w:t>
      </w:r>
      <w:r w:rsidRPr="007F5D45">
        <w:rPr>
          <w:color w:val="000000"/>
        </w:rPr>
        <w:t>13</w:t>
      </w:r>
      <w:r w:rsidRPr="007F5D45">
        <w:rPr>
          <w:rFonts w:hint="eastAsia"/>
          <w:color w:val="000000"/>
        </w:rPr>
        <w:t>年計8位，足見橋梁維護管理人員之教育訓練仍待積極規劃及落實辦理。</w:t>
      </w:r>
    </w:p>
    <w:p w:rsidR="005F7839" w:rsidRPr="007F5D45" w:rsidRDefault="005F7839" w:rsidP="002A0569">
      <w:pPr>
        <w:pStyle w:val="3"/>
        <w:numPr>
          <w:ilvl w:val="2"/>
          <w:numId w:val="1"/>
        </w:numPr>
        <w:rPr>
          <w:b/>
          <w:color w:val="000000"/>
        </w:rPr>
      </w:pPr>
      <w:r w:rsidRPr="007F5D45">
        <w:rPr>
          <w:rFonts w:hint="eastAsia"/>
          <w:b/>
          <w:color w:val="000000"/>
        </w:rPr>
        <w:t>觀光署對於所轄管理處執行橋梁養護作業之督導、考核及評鑑，依</w:t>
      </w:r>
      <w:r>
        <w:rPr>
          <w:rFonts w:hint="eastAsia"/>
          <w:b/>
          <w:color w:val="000000"/>
        </w:rPr>
        <w:t>「</w:t>
      </w:r>
      <w:r w:rsidRPr="007F5D45">
        <w:rPr>
          <w:rFonts w:hint="eastAsia"/>
          <w:b/>
          <w:color w:val="000000"/>
        </w:rPr>
        <w:t>風景特定區橋梁維護管理作業要點</w:t>
      </w:r>
      <w:r>
        <w:rPr>
          <w:rFonts w:hint="eastAsia"/>
          <w:b/>
          <w:color w:val="000000"/>
        </w:rPr>
        <w:t>」</w:t>
      </w:r>
      <w:r w:rsidRPr="007F5D45">
        <w:rPr>
          <w:rFonts w:hint="eastAsia"/>
          <w:b/>
          <w:color w:val="000000"/>
        </w:rPr>
        <w:t>規定應每年至少辦理1次，但1</w:t>
      </w:r>
      <w:r w:rsidRPr="007F5D45">
        <w:rPr>
          <w:b/>
          <w:color w:val="000000"/>
        </w:rPr>
        <w:t>10</w:t>
      </w:r>
      <w:r w:rsidRPr="007F5D45">
        <w:rPr>
          <w:rFonts w:hint="eastAsia"/>
          <w:b/>
          <w:color w:val="000000"/>
        </w:rPr>
        <w:t>年至1</w:t>
      </w:r>
      <w:r w:rsidRPr="007F5D45">
        <w:rPr>
          <w:b/>
          <w:color w:val="000000"/>
        </w:rPr>
        <w:t>12</w:t>
      </w:r>
      <w:r w:rsidRPr="007F5D45">
        <w:rPr>
          <w:rFonts w:hint="eastAsia"/>
          <w:b/>
          <w:color w:val="000000"/>
        </w:rPr>
        <w:t>年該</w:t>
      </w:r>
      <w:proofErr w:type="gramStart"/>
      <w:r w:rsidRPr="007F5D45">
        <w:rPr>
          <w:rFonts w:hint="eastAsia"/>
          <w:b/>
          <w:color w:val="000000"/>
        </w:rPr>
        <w:t>署均未辦理</w:t>
      </w:r>
      <w:proofErr w:type="gramEnd"/>
      <w:r w:rsidRPr="007F5D45">
        <w:rPr>
          <w:rFonts w:hint="eastAsia"/>
          <w:b/>
          <w:color w:val="000000"/>
        </w:rPr>
        <w:t>，迨至該要點生效後近4年，始完成轄管橋梁首次督導及考核作業：</w:t>
      </w:r>
    </w:p>
    <w:p w:rsidR="005F7839" w:rsidRPr="007F5D45" w:rsidRDefault="005F7839" w:rsidP="002A0569">
      <w:pPr>
        <w:pStyle w:val="4"/>
        <w:numPr>
          <w:ilvl w:val="3"/>
          <w:numId w:val="1"/>
        </w:numPr>
        <w:rPr>
          <w:color w:val="000000"/>
        </w:rPr>
      </w:pPr>
      <w:r w:rsidRPr="007F5D45">
        <w:rPr>
          <w:rFonts w:hint="eastAsia"/>
          <w:color w:val="000000"/>
        </w:rPr>
        <w:t>就上述審計部</w:t>
      </w:r>
      <w:proofErr w:type="gramStart"/>
      <w:r w:rsidRPr="007F5D45">
        <w:rPr>
          <w:rFonts w:hint="eastAsia"/>
          <w:color w:val="000000"/>
        </w:rPr>
        <w:t>1</w:t>
      </w:r>
      <w:r w:rsidRPr="007F5D45">
        <w:rPr>
          <w:color w:val="000000"/>
        </w:rPr>
        <w:t>12</w:t>
      </w:r>
      <w:proofErr w:type="gramEnd"/>
      <w:r w:rsidRPr="007F5D45">
        <w:rPr>
          <w:rFonts w:hint="eastAsia"/>
          <w:color w:val="000000"/>
        </w:rPr>
        <w:t>年度審核通知建議事項，觀光署於1</w:t>
      </w:r>
      <w:r w:rsidRPr="007F5D45">
        <w:rPr>
          <w:color w:val="000000"/>
        </w:rPr>
        <w:t>13</w:t>
      </w:r>
      <w:r w:rsidRPr="007F5D45">
        <w:rPr>
          <w:rFonts w:hint="eastAsia"/>
          <w:color w:val="000000"/>
        </w:rPr>
        <w:t>年4月1日</w:t>
      </w:r>
      <w:proofErr w:type="gramStart"/>
      <w:r w:rsidRPr="007F5D45">
        <w:rPr>
          <w:rFonts w:hint="eastAsia"/>
          <w:color w:val="000000"/>
        </w:rPr>
        <w:t>聲復略</w:t>
      </w:r>
      <w:proofErr w:type="gramEnd"/>
      <w:r w:rsidRPr="007F5D45">
        <w:rPr>
          <w:rFonts w:hint="eastAsia"/>
          <w:color w:val="000000"/>
        </w:rPr>
        <w:t>以：</w:t>
      </w:r>
    </w:p>
    <w:p w:rsidR="005F7839" w:rsidRPr="007F5D45" w:rsidRDefault="005F7839" w:rsidP="002A0569">
      <w:pPr>
        <w:pStyle w:val="5"/>
        <w:numPr>
          <w:ilvl w:val="4"/>
          <w:numId w:val="1"/>
        </w:numPr>
        <w:rPr>
          <w:color w:val="000000"/>
        </w:rPr>
      </w:pPr>
      <w:r w:rsidRPr="007F5D45">
        <w:rPr>
          <w:rFonts w:hint="eastAsia"/>
          <w:color w:val="000000"/>
        </w:rPr>
        <w:t>該署於112年10月起即向各管理處調查所轄橋梁基本資料，並已委託專業廠商協助檢核各項橋梁維護管理工作，包含比對及檢視橋梁資訊系統之正確度，並將於</w:t>
      </w:r>
      <w:proofErr w:type="gramStart"/>
      <w:r w:rsidRPr="007F5D45">
        <w:rPr>
          <w:rFonts w:hint="eastAsia"/>
          <w:color w:val="000000"/>
        </w:rPr>
        <w:t>113</w:t>
      </w:r>
      <w:proofErr w:type="gramEnd"/>
      <w:r w:rsidRPr="007F5D45">
        <w:rPr>
          <w:rFonts w:hint="eastAsia"/>
          <w:color w:val="000000"/>
        </w:rPr>
        <w:t>年度辦理全署13個管理處督導考核事宜，避免相關情形發生。</w:t>
      </w:r>
    </w:p>
    <w:p w:rsidR="005F7839" w:rsidRPr="007F5D45" w:rsidRDefault="005F7839" w:rsidP="002A0569">
      <w:pPr>
        <w:pStyle w:val="5"/>
        <w:numPr>
          <w:ilvl w:val="4"/>
          <w:numId w:val="1"/>
        </w:numPr>
        <w:rPr>
          <w:color w:val="000000"/>
        </w:rPr>
      </w:pPr>
      <w:r w:rsidRPr="007F5D45">
        <w:rPr>
          <w:rFonts w:hint="eastAsia"/>
          <w:color w:val="000000"/>
        </w:rPr>
        <w:t>有關調查所轄管理處之橋梁劣化構件需於1年內完成維修補強或亟待維修之項目，將於</w:t>
      </w:r>
      <w:proofErr w:type="gramStart"/>
      <w:r w:rsidRPr="007F5D45">
        <w:rPr>
          <w:rFonts w:hint="eastAsia"/>
          <w:color w:val="000000"/>
        </w:rPr>
        <w:t>113</w:t>
      </w:r>
      <w:proofErr w:type="gramEnd"/>
      <w:r w:rsidRPr="007F5D45">
        <w:rPr>
          <w:rFonts w:hint="eastAsia"/>
          <w:color w:val="000000"/>
        </w:rPr>
        <w:t>年度辦理</w:t>
      </w:r>
      <w:r>
        <w:rPr>
          <w:rFonts w:hint="eastAsia"/>
          <w:color w:val="000000"/>
        </w:rPr>
        <w:t>各</w:t>
      </w:r>
      <w:r w:rsidRPr="007F5D45">
        <w:rPr>
          <w:rFonts w:hint="eastAsia"/>
          <w:color w:val="000000"/>
        </w:rPr>
        <w:t>管理處督導考核時，檢視個案改善進</w:t>
      </w:r>
      <w:r w:rsidRPr="007F5D45">
        <w:rPr>
          <w:rFonts w:hint="eastAsia"/>
          <w:color w:val="000000"/>
        </w:rPr>
        <w:lastRenderedPageBreak/>
        <w:t>度，並比對橋梁資訊系統填報之正確度及改善情形以符合現況。另視個案改善進度納入該署每月重大工程督導會報列管檢討。</w:t>
      </w:r>
    </w:p>
    <w:p w:rsidR="005F7839" w:rsidRPr="007F5D45" w:rsidRDefault="005F7839" w:rsidP="002A0569">
      <w:pPr>
        <w:pStyle w:val="4"/>
        <w:numPr>
          <w:ilvl w:val="3"/>
          <w:numId w:val="1"/>
        </w:numPr>
        <w:rPr>
          <w:color w:val="000000"/>
        </w:rPr>
      </w:pPr>
      <w:r w:rsidRPr="007F5D45">
        <w:rPr>
          <w:rFonts w:hint="eastAsia"/>
          <w:color w:val="000000"/>
        </w:rPr>
        <w:t>另</w:t>
      </w:r>
      <w:proofErr w:type="gramStart"/>
      <w:r w:rsidRPr="007F5D45">
        <w:rPr>
          <w:rFonts w:hint="eastAsia"/>
          <w:color w:val="000000"/>
        </w:rPr>
        <w:t>詢</w:t>
      </w:r>
      <w:proofErr w:type="gramEnd"/>
      <w:r w:rsidRPr="007F5D45">
        <w:rPr>
          <w:rFonts w:hint="eastAsia"/>
          <w:color w:val="000000"/>
        </w:rPr>
        <w:t>據觀光署表示，1</w:t>
      </w:r>
      <w:r w:rsidRPr="007F5D45">
        <w:rPr>
          <w:color w:val="000000"/>
        </w:rPr>
        <w:t>10</w:t>
      </w:r>
      <w:r w:rsidRPr="007F5D45">
        <w:rPr>
          <w:rFonts w:hint="eastAsia"/>
          <w:color w:val="000000"/>
        </w:rPr>
        <w:t>年至1</w:t>
      </w:r>
      <w:r w:rsidRPr="007F5D45">
        <w:rPr>
          <w:color w:val="000000"/>
        </w:rPr>
        <w:t>12</w:t>
      </w:r>
      <w:r w:rsidRPr="007F5D45">
        <w:rPr>
          <w:rFonts w:hint="eastAsia"/>
          <w:color w:val="000000"/>
        </w:rPr>
        <w:t>年之</w:t>
      </w:r>
      <w:proofErr w:type="gramStart"/>
      <w:r w:rsidRPr="007F5D45">
        <w:rPr>
          <w:rFonts w:hint="eastAsia"/>
          <w:color w:val="000000"/>
        </w:rPr>
        <w:t>期間</w:t>
      </w:r>
      <w:proofErr w:type="gramEnd"/>
      <w:r w:rsidRPr="007F5D45">
        <w:rPr>
          <w:rFonts w:hint="eastAsia"/>
          <w:color w:val="000000"/>
        </w:rPr>
        <w:t>，該署研擬督導考核評鑑草案，借鏡相關機關作法，並洽詢農業部農村發展及水土保持署、內政部國土管理署、中華顧問工程司等專業單位，嗣於112年10月啟動上網招標作業，同年12月25日完成「</w:t>
      </w:r>
      <w:proofErr w:type="gramStart"/>
      <w:r w:rsidRPr="007F5D45">
        <w:rPr>
          <w:rFonts w:hint="eastAsia"/>
          <w:color w:val="000000"/>
        </w:rPr>
        <w:t>1</w:t>
      </w:r>
      <w:r w:rsidRPr="007F5D45">
        <w:rPr>
          <w:color w:val="000000"/>
        </w:rPr>
        <w:t>1</w:t>
      </w:r>
      <w:proofErr w:type="gramEnd"/>
      <w:r w:rsidRPr="007F5D45">
        <w:rPr>
          <w:color w:val="000000"/>
        </w:rPr>
        <w:t>3</w:t>
      </w:r>
      <w:r w:rsidRPr="007F5D45">
        <w:rPr>
          <w:rFonts w:hint="eastAsia"/>
          <w:color w:val="000000"/>
        </w:rPr>
        <w:t>年度觀光署橋梁維護管理督導考核委託技術服務案」決標程序，並即依據契約規定，啟動研擬訂定橋梁督導、考核及評鑑機制，制定橋梁督導考核及評鑑各式表單、辦理橋梁維護管理作業講習會等相關作業。</w:t>
      </w:r>
    </w:p>
    <w:p w:rsidR="005F7839" w:rsidRPr="007F5D45" w:rsidRDefault="005F7839" w:rsidP="002A0569">
      <w:pPr>
        <w:pStyle w:val="4"/>
        <w:numPr>
          <w:ilvl w:val="3"/>
          <w:numId w:val="1"/>
        </w:numPr>
        <w:rPr>
          <w:color w:val="000000"/>
        </w:rPr>
      </w:pPr>
      <w:r w:rsidRPr="007F5D45">
        <w:rPr>
          <w:rFonts w:hint="eastAsia"/>
          <w:color w:val="000000"/>
        </w:rPr>
        <w:t>上述督導考核及評鑑之作業，內容包括自主檢查表填寫之完整性、橋梁基本資料正確性、橋梁安全檢測</w:t>
      </w:r>
      <w:r>
        <w:rPr>
          <w:rFonts w:hint="eastAsia"/>
          <w:color w:val="000000"/>
        </w:rPr>
        <w:t>紀錄</w:t>
      </w:r>
      <w:r w:rsidRPr="007F5D45">
        <w:rPr>
          <w:rFonts w:hint="eastAsia"/>
          <w:color w:val="000000"/>
        </w:rPr>
        <w:t>正確性、維修/養護</w:t>
      </w:r>
      <w:proofErr w:type="gramStart"/>
      <w:r w:rsidRPr="007F5D45">
        <w:rPr>
          <w:rFonts w:hint="eastAsia"/>
          <w:color w:val="000000"/>
        </w:rPr>
        <w:t>工法妥適</w:t>
      </w:r>
      <w:proofErr w:type="gramEnd"/>
      <w:r w:rsidRPr="007F5D45">
        <w:rPr>
          <w:rFonts w:hint="eastAsia"/>
          <w:color w:val="000000"/>
        </w:rPr>
        <w:t>性等。</w:t>
      </w:r>
      <w:proofErr w:type="gramStart"/>
      <w:r w:rsidRPr="007F5D45">
        <w:rPr>
          <w:rFonts w:hint="eastAsia"/>
          <w:color w:val="000000"/>
        </w:rPr>
        <w:t>觀光署係將</w:t>
      </w:r>
      <w:proofErr w:type="gramEnd"/>
      <w:r w:rsidRPr="007F5D45">
        <w:rPr>
          <w:rFonts w:hint="eastAsia"/>
          <w:color w:val="000000"/>
        </w:rPr>
        <w:t>1</w:t>
      </w:r>
      <w:r w:rsidRPr="007F5D45">
        <w:rPr>
          <w:color w:val="000000"/>
        </w:rPr>
        <w:t>3</w:t>
      </w:r>
      <w:r w:rsidRPr="007F5D45">
        <w:rPr>
          <w:rFonts w:hint="eastAsia"/>
          <w:color w:val="000000"/>
        </w:rPr>
        <w:t>個管理處分成4區，從中各挑選1</w:t>
      </w:r>
      <w:r>
        <w:rPr>
          <w:rFonts w:hint="eastAsia"/>
          <w:color w:val="000000"/>
        </w:rPr>
        <w:t>個</w:t>
      </w:r>
      <w:r w:rsidRPr="007F5D45">
        <w:rPr>
          <w:rFonts w:hint="eastAsia"/>
          <w:color w:val="000000"/>
        </w:rPr>
        <w:t>管理處（2座/處）辦理現場橋梁督導及考核作業。</w:t>
      </w:r>
    </w:p>
    <w:p w:rsidR="005F7839" w:rsidRPr="007F5D45" w:rsidRDefault="005F7839" w:rsidP="002A0569">
      <w:pPr>
        <w:pStyle w:val="4"/>
        <w:numPr>
          <w:ilvl w:val="3"/>
          <w:numId w:val="1"/>
        </w:numPr>
        <w:rPr>
          <w:color w:val="000000"/>
        </w:rPr>
      </w:pPr>
      <w:r w:rsidRPr="007F5D45">
        <w:rPr>
          <w:rFonts w:hint="eastAsia"/>
          <w:color w:val="000000"/>
        </w:rPr>
        <w:t>由上足</w:t>
      </w:r>
      <w:proofErr w:type="gramStart"/>
      <w:r w:rsidRPr="007F5D45">
        <w:rPr>
          <w:rFonts w:hint="eastAsia"/>
          <w:color w:val="000000"/>
        </w:rPr>
        <w:t>徵</w:t>
      </w:r>
      <w:proofErr w:type="gramEnd"/>
      <w:r w:rsidRPr="007F5D45">
        <w:rPr>
          <w:rFonts w:hint="eastAsia"/>
          <w:color w:val="000000"/>
        </w:rPr>
        <w:t>，觀光署雖已於110年建立國家風景區橋梁維護管理及督導、考核相關機制，惟就所轄管理處是否確實依規定落實橋梁養護作業部分，該署以將近3年(1</w:t>
      </w:r>
      <w:r w:rsidRPr="007F5D45">
        <w:rPr>
          <w:color w:val="000000"/>
        </w:rPr>
        <w:t>10</w:t>
      </w:r>
      <w:r w:rsidRPr="007F5D45">
        <w:rPr>
          <w:rFonts w:hint="eastAsia"/>
          <w:color w:val="000000"/>
        </w:rPr>
        <w:t>至112年)之時間蒐集相關機關作法及規劃督導、考核機制，迨至</w:t>
      </w:r>
      <w:r>
        <w:rPr>
          <w:rFonts w:hint="eastAsia"/>
          <w:color w:val="000000"/>
        </w:rPr>
        <w:t>「</w:t>
      </w:r>
      <w:r w:rsidRPr="007F5D45">
        <w:rPr>
          <w:rFonts w:hint="eastAsia"/>
          <w:color w:val="000000"/>
        </w:rPr>
        <w:t>風景特定區橋梁維護管理作業要點</w:t>
      </w:r>
      <w:r>
        <w:rPr>
          <w:rFonts w:hint="eastAsia"/>
          <w:color w:val="000000"/>
        </w:rPr>
        <w:t>」</w:t>
      </w:r>
      <w:r w:rsidRPr="007F5D45">
        <w:rPr>
          <w:rFonts w:hint="eastAsia"/>
          <w:color w:val="000000"/>
        </w:rPr>
        <w:t>生效後近4年，始完成轄管橋梁首次督導及考核作業。</w:t>
      </w:r>
    </w:p>
    <w:p w:rsidR="005F7839" w:rsidRPr="007F5D45" w:rsidRDefault="005F7839" w:rsidP="002A0569">
      <w:pPr>
        <w:pStyle w:val="3"/>
        <w:numPr>
          <w:ilvl w:val="2"/>
          <w:numId w:val="1"/>
        </w:numPr>
        <w:rPr>
          <w:color w:val="000000"/>
        </w:rPr>
      </w:pPr>
      <w:proofErr w:type="gramStart"/>
      <w:r w:rsidRPr="007F5D45">
        <w:rPr>
          <w:rFonts w:hint="eastAsia"/>
          <w:color w:val="000000"/>
        </w:rPr>
        <w:t>再者，</w:t>
      </w:r>
      <w:proofErr w:type="gramEnd"/>
      <w:r w:rsidRPr="007F5D45">
        <w:rPr>
          <w:rFonts w:hint="eastAsia"/>
          <w:color w:val="000000"/>
        </w:rPr>
        <w:t>觀光署對於</w:t>
      </w:r>
      <w:r>
        <w:rPr>
          <w:rFonts w:hint="eastAsia"/>
          <w:color w:val="000000"/>
        </w:rPr>
        <w:t>補助</w:t>
      </w:r>
      <w:r w:rsidRPr="007F5D45">
        <w:rPr>
          <w:rFonts w:hint="eastAsia"/>
          <w:color w:val="000000"/>
        </w:rPr>
        <w:t>各直轄市、縣(市)政府</w:t>
      </w:r>
      <w:r>
        <w:rPr>
          <w:rFonts w:hint="eastAsia"/>
          <w:color w:val="000000"/>
        </w:rPr>
        <w:t>建置</w:t>
      </w:r>
      <w:r w:rsidRPr="007F5D45">
        <w:rPr>
          <w:rFonts w:hint="eastAsia"/>
          <w:color w:val="000000"/>
        </w:rPr>
        <w:t>橋梁養護作業，係採每年度終了後3個月內，</w:t>
      </w:r>
      <w:r>
        <w:rPr>
          <w:rFonts w:hint="eastAsia"/>
          <w:color w:val="000000"/>
        </w:rPr>
        <w:t>由地方政府</w:t>
      </w:r>
      <w:r w:rsidRPr="007F5D45">
        <w:rPr>
          <w:rFonts w:hint="eastAsia"/>
          <w:color w:val="000000"/>
        </w:rPr>
        <w:t>將所轄橋梁之檢測及維修</w:t>
      </w:r>
      <w:proofErr w:type="gramStart"/>
      <w:r w:rsidRPr="007F5D45">
        <w:rPr>
          <w:rFonts w:hint="eastAsia"/>
          <w:color w:val="000000"/>
        </w:rPr>
        <w:t>情形報署備</w:t>
      </w:r>
      <w:proofErr w:type="gramEnd"/>
      <w:r w:rsidRPr="007F5D45">
        <w:rPr>
          <w:rFonts w:hint="eastAsia"/>
          <w:color w:val="000000"/>
        </w:rPr>
        <w:t>查，並視情況</w:t>
      </w:r>
      <w:r>
        <w:rPr>
          <w:rFonts w:hint="eastAsia"/>
          <w:color w:val="000000"/>
        </w:rPr>
        <w:t>進行</w:t>
      </w:r>
      <w:r w:rsidRPr="007F5D45">
        <w:rPr>
          <w:rFonts w:hint="eastAsia"/>
          <w:color w:val="000000"/>
        </w:rPr>
        <w:t>評鑑，該署亦稱有依上述管理作業要點備查。惟該署多次提供本院有關補助各直轄市、縣</w:t>
      </w:r>
      <w:r w:rsidRPr="007F5D45">
        <w:rPr>
          <w:rFonts w:hint="eastAsia"/>
          <w:color w:val="000000"/>
        </w:rPr>
        <w:lastRenderedPageBreak/>
        <w:t>(市)政府建置橋梁資料，每次資料皆有出入，且本院履</w:t>
      </w:r>
      <w:proofErr w:type="gramStart"/>
      <w:r w:rsidRPr="007F5D45">
        <w:rPr>
          <w:rFonts w:hint="eastAsia"/>
          <w:color w:val="000000"/>
        </w:rPr>
        <w:t>勘</w:t>
      </w:r>
      <w:proofErr w:type="gramEnd"/>
      <w:r w:rsidRPr="007F5D45">
        <w:rPr>
          <w:rFonts w:hint="eastAsia"/>
          <w:color w:val="000000"/>
        </w:rPr>
        <w:t>南投縣發現，「大石村斗山吊橋」、「雙十吊橋」</w:t>
      </w:r>
      <w:r>
        <w:rPr>
          <w:rFonts w:hint="eastAsia"/>
          <w:color w:val="000000"/>
        </w:rPr>
        <w:t>係由</w:t>
      </w:r>
      <w:r w:rsidRPr="007F5D45">
        <w:rPr>
          <w:rFonts w:hint="eastAsia"/>
          <w:color w:val="000000"/>
        </w:rPr>
        <w:t>該署補助建置，「</w:t>
      </w:r>
      <w:proofErr w:type="gramStart"/>
      <w:r w:rsidRPr="007F5D45">
        <w:rPr>
          <w:rFonts w:hint="eastAsia"/>
          <w:color w:val="000000"/>
        </w:rPr>
        <w:t>猴探</w:t>
      </w:r>
      <w:proofErr w:type="gramEnd"/>
      <w:r w:rsidRPr="007F5D45">
        <w:rPr>
          <w:rFonts w:hint="eastAsia"/>
          <w:color w:val="000000"/>
        </w:rPr>
        <w:t>井天空之橋」</w:t>
      </w:r>
      <w:r>
        <w:rPr>
          <w:rFonts w:hint="eastAsia"/>
          <w:color w:val="000000"/>
        </w:rPr>
        <w:t>則</w:t>
      </w:r>
      <w:proofErr w:type="gramStart"/>
      <w:r w:rsidRPr="007F5D45">
        <w:rPr>
          <w:rFonts w:hint="eastAsia"/>
          <w:color w:val="000000"/>
        </w:rPr>
        <w:t>由參山管理</w:t>
      </w:r>
      <w:proofErr w:type="gramEnd"/>
      <w:r w:rsidRPr="007F5D45">
        <w:rPr>
          <w:rFonts w:hint="eastAsia"/>
          <w:color w:val="000000"/>
        </w:rPr>
        <w:t>處補助建置(補助金額新臺幣2</w:t>
      </w:r>
      <w:r w:rsidRPr="007F5D45">
        <w:rPr>
          <w:color w:val="000000"/>
        </w:rPr>
        <w:t>,500</w:t>
      </w:r>
      <w:r w:rsidRPr="007F5D45">
        <w:rPr>
          <w:rFonts w:hint="eastAsia"/>
          <w:color w:val="000000"/>
        </w:rPr>
        <w:t>萬</w:t>
      </w:r>
      <w:r>
        <w:rPr>
          <w:rFonts w:hAnsi="標楷體" w:hint="eastAsia"/>
          <w:color w:val="000000"/>
        </w:rPr>
        <w:t>〈下同〉</w:t>
      </w:r>
      <w:r w:rsidRPr="007F5D45">
        <w:rPr>
          <w:rFonts w:hint="eastAsia"/>
          <w:color w:val="000000"/>
        </w:rPr>
        <w:t>元)。</w:t>
      </w:r>
      <w:proofErr w:type="gramStart"/>
      <w:r w:rsidRPr="007F5D45">
        <w:rPr>
          <w:rFonts w:hint="eastAsia"/>
          <w:color w:val="000000"/>
        </w:rPr>
        <w:t>再者，</w:t>
      </w:r>
      <w:proofErr w:type="gramEnd"/>
      <w:r w:rsidRPr="007F5D45">
        <w:rPr>
          <w:rFonts w:hint="eastAsia"/>
          <w:color w:val="000000"/>
        </w:rPr>
        <w:t>觀光</w:t>
      </w:r>
      <w:proofErr w:type="gramStart"/>
      <w:r w:rsidRPr="007F5D45">
        <w:rPr>
          <w:rFonts w:hint="eastAsia"/>
          <w:color w:val="000000"/>
        </w:rPr>
        <w:t>署原未</w:t>
      </w:r>
      <w:proofErr w:type="gramEnd"/>
      <w:r w:rsidRPr="007F5D45">
        <w:rPr>
          <w:rFonts w:hint="eastAsia"/>
          <w:color w:val="000000"/>
        </w:rPr>
        <w:t>將上述補助橋梁列入</w:t>
      </w:r>
      <w:proofErr w:type="gramStart"/>
      <w:r w:rsidRPr="007F5D45">
        <w:rPr>
          <w:rFonts w:hint="eastAsia"/>
          <w:color w:val="000000"/>
        </w:rPr>
        <w:t>1</w:t>
      </w:r>
      <w:r w:rsidRPr="007F5D45">
        <w:rPr>
          <w:color w:val="000000"/>
        </w:rPr>
        <w:t>1</w:t>
      </w:r>
      <w:proofErr w:type="gramEnd"/>
      <w:r w:rsidRPr="007F5D45">
        <w:rPr>
          <w:color w:val="000000"/>
        </w:rPr>
        <w:t>3</w:t>
      </w:r>
      <w:r w:rsidRPr="007F5D45">
        <w:rPr>
          <w:rFonts w:hint="eastAsia"/>
          <w:color w:val="000000"/>
        </w:rPr>
        <w:t>年度橋梁維護管理督導及考核範圍內，考量</w:t>
      </w:r>
      <w:r>
        <w:rPr>
          <w:rFonts w:hint="eastAsia"/>
          <w:color w:val="000000"/>
        </w:rPr>
        <w:t>係因</w:t>
      </w:r>
      <w:r w:rsidRPr="007F5D45">
        <w:rPr>
          <w:rFonts w:hint="eastAsia"/>
          <w:color w:val="000000"/>
        </w:rPr>
        <w:t>本院履勘</w:t>
      </w:r>
      <w:r>
        <w:rPr>
          <w:rFonts w:hint="eastAsia"/>
          <w:color w:val="000000"/>
        </w:rPr>
        <w:t>方</w:t>
      </w:r>
      <w:r w:rsidRPr="007F5D45">
        <w:rPr>
          <w:rFonts w:hint="eastAsia"/>
          <w:color w:val="000000"/>
        </w:rPr>
        <w:t>啟動橋梁試評鑑，受評鑑之鄉鎮公所包含南投縣中寮鄉及國姓鄉公所、草屯鎮公所。顯見</w:t>
      </w:r>
      <w:proofErr w:type="gramStart"/>
      <w:r w:rsidRPr="007F5D45">
        <w:rPr>
          <w:rFonts w:hint="eastAsia"/>
          <w:color w:val="000000"/>
        </w:rPr>
        <w:t>該署迄未</w:t>
      </w:r>
      <w:proofErr w:type="gramEnd"/>
      <w:r w:rsidRPr="007F5D45">
        <w:rPr>
          <w:rFonts w:hint="eastAsia"/>
          <w:color w:val="000000"/>
        </w:rPr>
        <w:t>掌握補助各直轄市、縣(市)政府建置人行天橋之狀況，遑論有善盡督導其所轄橋梁養護作業之情形。</w:t>
      </w:r>
    </w:p>
    <w:p w:rsidR="005F7839" w:rsidRPr="007F5D45" w:rsidRDefault="005F7839" w:rsidP="002A0569">
      <w:pPr>
        <w:pStyle w:val="3"/>
        <w:numPr>
          <w:ilvl w:val="2"/>
          <w:numId w:val="1"/>
        </w:numPr>
        <w:rPr>
          <w:color w:val="000000"/>
        </w:rPr>
      </w:pPr>
      <w:r w:rsidRPr="007F5D45">
        <w:rPr>
          <w:rFonts w:hint="eastAsia"/>
          <w:color w:val="000000"/>
        </w:rPr>
        <w:t>綜上，觀光署對於所轄風景區人行天橋之養護管理作業，雖已於「風景特定區橋梁維護管理作業要點」建立相關養護及督導考核機制，惟部分管理處於「人行天橋管理資訊系統」登載橋梁基本資料及檢測紀錄，逾百筆內容有不一致或缺漏情形，復未積極辦理維護管理人員之教育訓練，且</w:t>
      </w:r>
      <w:proofErr w:type="gramStart"/>
      <w:r w:rsidRPr="007F5D45">
        <w:rPr>
          <w:rFonts w:hint="eastAsia"/>
          <w:color w:val="000000"/>
        </w:rPr>
        <w:t>該署迄未</w:t>
      </w:r>
      <w:proofErr w:type="gramEnd"/>
      <w:r w:rsidRPr="007F5D45">
        <w:rPr>
          <w:rFonts w:hint="eastAsia"/>
          <w:color w:val="000000"/>
        </w:rPr>
        <w:t>掌握補助地方政府建置之橋梁狀況，迨</w:t>
      </w:r>
      <w:bookmarkStart w:id="45" w:name="_Hlk189730583"/>
      <w:r w:rsidRPr="007F5D45">
        <w:rPr>
          <w:rFonts w:hint="eastAsia"/>
          <w:color w:val="000000"/>
        </w:rPr>
        <w:t>至上開要點生效後近4年，始完成轄管橋梁首次督導及考核作業，</w:t>
      </w:r>
      <w:bookmarkEnd w:id="45"/>
      <w:r w:rsidRPr="007F5D45">
        <w:rPr>
          <w:rFonts w:hint="eastAsia"/>
          <w:color w:val="000000"/>
        </w:rPr>
        <w:t>核有違失。</w:t>
      </w:r>
    </w:p>
    <w:p w:rsidR="005F7839" w:rsidRPr="007F5D45" w:rsidRDefault="005F7839" w:rsidP="002A0569">
      <w:pPr>
        <w:pStyle w:val="2"/>
        <w:numPr>
          <w:ilvl w:val="1"/>
          <w:numId w:val="1"/>
        </w:numPr>
        <w:rPr>
          <w:color w:val="000000"/>
        </w:rPr>
      </w:pPr>
      <w:bookmarkStart w:id="46" w:name="_Hlk187512511"/>
      <w:bookmarkStart w:id="47" w:name="_Toc187742797"/>
      <w:bookmarkStart w:id="48" w:name="_Hlk187393332"/>
      <w:r w:rsidRPr="006717D3">
        <w:rPr>
          <w:rFonts w:hint="eastAsia"/>
          <w:color w:val="000000"/>
        </w:rPr>
        <w:t>有關特殊性人行天橋之維護管理，依內政部</w:t>
      </w:r>
      <w:r w:rsidR="007D709C" w:rsidRPr="006717D3">
        <w:rPr>
          <w:rFonts w:hint="eastAsia"/>
          <w:color w:val="000000"/>
        </w:rPr>
        <w:t>「</w:t>
      </w:r>
      <w:r w:rsidRPr="006717D3">
        <w:rPr>
          <w:rFonts w:hint="eastAsia"/>
          <w:color w:val="000000"/>
        </w:rPr>
        <w:t>人行天橋檢測與維修及補強規範」應另訂定維護管理作業計畫，觀光署各管理處多委由橋梁專業檢測團隊編製，但事後卻無確認機制，致使作業計畫多未納入「經費概估」必要項目，部分計畫之檢測頻率相較過往更為寬鬆，且除卻「維修及補強建議」外，內容與其定期檢測報告書如出一轍等情事</w:t>
      </w:r>
      <w:bookmarkEnd w:id="46"/>
      <w:r w:rsidRPr="006717D3">
        <w:rPr>
          <w:rFonts w:hint="eastAsia"/>
          <w:color w:val="000000"/>
        </w:rPr>
        <w:t>，該署未能督促管理處落實辦理，核有疏失</w:t>
      </w:r>
      <w:r w:rsidRPr="007F5D45">
        <w:rPr>
          <w:rFonts w:hint="eastAsia"/>
          <w:color w:val="000000"/>
        </w:rPr>
        <w:t>：</w:t>
      </w:r>
      <w:bookmarkEnd w:id="47"/>
    </w:p>
    <w:p w:rsidR="005F7839" w:rsidRPr="007F5D45" w:rsidRDefault="005F7839" w:rsidP="002A0569">
      <w:pPr>
        <w:pStyle w:val="3"/>
        <w:numPr>
          <w:ilvl w:val="2"/>
          <w:numId w:val="1"/>
        </w:numPr>
        <w:rPr>
          <w:color w:val="000000"/>
        </w:rPr>
      </w:pPr>
      <w:r w:rsidRPr="007F5D45">
        <w:rPr>
          <w:rFonts w:hint="eastAsia"/>
          <w:color w:val="000000"/>
        </w:rPr>
        <w:t>有關人行天橋維護管理作業規定，按行政院「橋梁維護管理作業要點」第5條規定略</w:t>
      </w:r>
      <w:proofErr w:type="gramStart"/>
      <w:r w:rsidRPr="007F5D45">
        <w:rPr>
          <w:rFonts w:hint="eastAsia"/>
          <w:color w:val="000000"/>
        </w:rPr>
        <w:t>以</w:t>
      </w:r>
      <w:proofErr w:type="gramEnd"/>
      <w:r w:rsidRPr="007F5D45">
        <w:rPr>
          <w:rFonts w:hint="eastAsia"/>
          <w:color w:val="000000"/>
        </w:rPr>
        <w:t>，橋梁之設計、</w:t>
      </w:r>
      <w:r w:rsidRPr="007F5D45">
        <w:rPr>
          <w:rFonts w:hint="eastAsia"/>
          <w:color w:val="000000"/>
        </w:rPr>
        <w:lastRenderedPageBreak/>
        <w:t>檢測、維修、補強、資料建置與開放及督導等，中央主管機關應訂定作業規定，人行天橋得準用內政部作業規定。是人行天橋主管機關內政部依據上述要點訂定「人行天橋檢測與維修及補強規範」，作為養護管理機關及養護單位後續養護之參考，依該規範第1章總則規定，對於特殊性人行天橋</w:t>
      </w:r>
      <w:r w:rsidRPr="007F5D45">
        <w:rPr>
          <w:rStyle w:val="afd"/>
          <w:color w:val="000000"/>
        </w:rPr>
        <w:footnoteReference w:id="8"/>
      </w:r>
      <w:r w:rsidRPr="007F5D45">
        <w:rPr>
          <w:rFonts w:hint="eastAsia"/>
          <w:color w:val="000000"/>
        </w:rPr>
        <w:t>，應另訂定維護管理作業計畫，</w:t>
      </w:r>
      <w:proofErr w:type="gramStart"/>
      <w:r w:rsidRPr="007F5D45">
        <w:rPr>
          <w:rFonts w:hint="eastAsia"/>
          <w:color w:val="000000"/>
        </w:rPr>
        <w:t>即舉如吊橋</w:t>
      </w:r>
      <w:proofErr w:type="gramEnd"/>
      <w:r w:rsidRPr="007F5D45">
        <w:rPr>
          <w:rFonts w:hint="eastAsia"/>
          <w:color w:val="000000"/>
        </w:rPr>
        <w:t>、斜張橋、脊背橋、桁架橋、鋼拱橋、混合梁橋及複合梁橋等特殊性人行天橋，依該規範第1章C</w:t>
      </w:r>
      <w:r w:rsidRPr="007F5D45">
        <w:rPr>
          <w:color w:val="000000"/>
        </w:rPr>
        <w:t>1.1</w:t>
      </w:r>
      <w:r w:rsidRPr="007F5D45">
        <w:rPr>
          <w:rFonts w:hint="eastAsia"/>
          <w:color w:val="000000"/>
        </w:rPr>
        <w:t>規定，應考量其結構特性及現地狀況(</w:t>
      </w:r>
      <w:proofErr w:type="gramStart"/>
      <w:r w:rsidRPr="007F5D45">
        <w:rPr>
          <w:rFonts w:hint="eastAsia"/>
          <w:color w:val="000000"/>
        </w:rPr>
        <w:t>包含橋址腐</w:t>
      </w:r>
      <w:proofErr w:type="gramEnd"/>
      <w:r w:rsidRPr="007F5D45">
        <w:rPr>
          <w:rFonts w:hint="eastAsia"/>
          <w:color w:val="000000"/>
        </w:rPr>
        <w:t>蝕環境、沖刷情形、震區條件及交通特性等)訂定維護管理作業計畫，其內容應包含特殊構件置換、檢(監)測項目、執行方式與頻率、判定</w:t>
      </w:r>
      <w:proofErr w:type="gramStart"/>
      <w:r w:rsidRPr="007F5D45">
        <w:rPr>
          <w:rFonts w:hint="eastAsia"/>
          <w:color w:val="000000"/>
        </w:rPr>
        <w:t>標準及概</w:t>
      </w:r>
      <w:proofErr w:type="gramEnd"/>
      <w:r w:rsidRPr="007F5D45">
        <w:rPr>
          <w:rFonts w:hint="eastAsia"/>
          <w:color w:val="000000"/>
        </w:rPr>
        <w:t>估經費等。</w:t>
      </w:r>
    </w:p>
    <w:p w:rsidR="005F7839" w:rsidRPr="007F5D45" w:rsidRDefault="005F7839" w:rsidP="002A0569">
      <w:pPr>
        <w:pStyle w:val="3"/>
        <w:numPr>
          <w:ilvl w:val="2"/>
          <w:numId w:val="1"/>
        </w:numPr>
        <w:rPr>
          <w:color w:val="000000"/>
        </w:rPr>
      </w:pPr>
      <w:r w:rsidRPr="007F5D45">
        <w:rPr>
          <w:rFonts w:hint="eastAsia"/>
          <w:color w:val="000000"/>
        </w:rPr>
        <w:t>經查，觀光署以1</w:t>
      </w:r>
      <w:r w:rsidRPr="007F5D45">
        <w:rPr>
          <w:color w:val="000000"/>
        </w:rPr>
        <w:t>12</w:t>
      </w:r>
      <w:r w:rsidRPr="007F5D45">
        <w:rPr>
          <w:rFonts w:hint="eastAsia"/>
          <w:color w:val="000000"/>
        </w:rPr>
        <w:t>年1</w:t>
      </w:r>
      <w:r w:rsidRPr="007F5D45">
        <w:rPr>
          <w:color w:val="000000"/>
        </w:rPr>
        <w:t>1</w:t>
      </w:r>
      <w:r w:rsidRPr="007F5D45">
        <w:rPr>
          <w:rFonts w:hint="eastAsia"/>
          <w:color w:val="000000"/>
        </w:rPr>
        <w:t>月24日</w:t>
      </w:r>
      <w:proofErr w:type="gramStart"/>
      <w:r w:rsidRPr="007F5D45">
        <w:rPr>
          <w:rFonts w:hint="eastAsia"/>
          <w:color w:val="000000"/>
        </w:rPr>
        <w:t>觀景字第1</w:t>
      </w:r>
      <w:r w:rsidRPr="007F5D45">
        <w:rPr>
          <w:color w:val="000000"/>
        </w:rPr>
        <w:t>124002351</w:t>
      </w:r>
      <w:r w:rsidRPr="007F5D45">
        <w:rPr>
          <w:rFonts w:hint="eastAsia"/>
          <w:color w:val="000000"/>
        </w:rPr>
        <w:t>號函知轄</w:t>
      </w:r>
      <w:proofErr w:type="gramEnd"/>
      <w:r w:rsidRPr="007F5D45">
        <w:rPr>
          <w:rFonts w:hint="eastAsia"/>
          <w:color w:val="000000"/>
        </w:rPr>
        <w:t>下管理處，應依「橋梁維護管理作業要點」及「人行天橋檢測與維修及補強規範」規定，針對所經營轄管之特殊性橋梁，訂定維護管理作業計畫；各管理處辦理之情形，據該署查復結果及約</w:t>
      </w:r>
      <w:proofErr w:type="gramStart"/>
      <w:r w:rsidRPr="007F5D45">
        <w:rPr>
          <w:rFonts w:hint="eastAsia"/>
          <w:color w:val="000000"/>
        </w:rPr>
        <w:t>詢</w:t>
      </w:r>
      <w:proofErr w:type="gramEnd"/>
      <w:r w:rsidRPr="007F5D45">
        <w:rPr>
          <w:rFonts w:hint="eastAsia"/>
          <w:color w:val="000000"/>
        </w:rPr>
        <w:t>資料略以：</w:t>
      </w:r>
    </w:p>
    <w:p w:rsidR="005F7839" w:rsidRPr="007F5D45" w:rsidRDefault="005F7839" w:rsidP="002A0569">
      <w:pPr>
        <w:pStyle w:val="4"/>
        <w:numPr>
          <w:ilvl w:val="3"/>
          <w:numId w:val="1"/>
        </w:numPr>
        <w:rPr>
          <w:color w:val="000000"/>
        </w:rPr>
      </w:pPr>
      <w:r w:rsidRPr="007F5D45">
        <w:rPr>
          <w:rFonts w:hint="eastAsia"/>
          <w:color w:val="000000"/>
        </w:rPr>
        <w:t>該署1</w:t>
      </w:r>
      <w:r w:rsidRPr="007F5D45">
        <w:rPr>
          <w:color w:val="000000"/>
        </w:rPr>
        <w:t>13</w:t>
      </w:r>
      <w:r w:rsidRPr="007F5D45">
        <w:rPr>
          <w:rFonts w:hint="eastAsia"/>
          <w:color w:val="000000"/>
        </w:rPr>
        <w:t>年2月17日查復到院分別為：「經調查轄管風景區之吊橋，多無另訂定特殊性橋梁維護管理作業計畫，</w:t>
      </w:r>
      <w:proofErr w:type="gramStart"/>
      <w:r>
        <w:rPr>
          <w:rFonts w:hint="eastAsia"/>
          <w:color w:val="000000"/>
        </w:rPr>
        <w:t>本</w:t>
      </w:r>
      <w:r w:rsidRPr="007F5D45">
        <w:rPr>
          <w:rFonts w:hint="eastAsia"/>
          <w:color w:val="000000"/>
        </w:rPr>
        <w:t>署已</w:t>
      </w:r>
      <w:proofErr w:type="gramEnd"/>
      <w:r w:rsidRPr="007F5D45">
        <w:rPr>
          <w:rFonts w:hint="eastAsia"/>
          <w:color w:val="000000"/>
        </w:rPr>
        <w:t>責成各管理處儘速辦理。」及「經調查，部分吊橋未訂定使用年限，且對於竣工年度不詳或年代久遠之吊橋，部分尚未訂定維護作業；</w:t>
      </w:r>
      <w:proofErr w:type="gramStart"/>
      <w:r>
        <w:rPr>
          <w:rFonts w:hint="eastAsia"/>
          <w:color w:val="000000"/>
        </w:rPr>
        <w:t>本</w:t>
      </w:r>
      <w:r w:rsidRPr="007F5D45">
        <w:rPr>
          <w:rFonts w:hint="eastAsia"/>
          <w:color w:val="000000"/>
        </w:rPr>
        <w:t>署已</w:t>
      </w:r>
      <w:proofErr w:type="gramEnd"/>
      <w:r w:rsidRPr="007F5D45">
        <w:rPr>
          <w:rFonts w:hint="eastAsia"/>
          <w:color w:val="000000"/>
        </w:rPr>
        <w:t>責成管理處</w:t>
      </w:r>
      <w:r w:rsidRPr="007F5D45">
        <w:rPr>
          <w:color w:val="000000"/>
        </w:rPr>
        <w:t>儘速依</w:t>
      </w:r>
      <w:r w:rsidRPr="007F5D45">
        <w:rPr>
          <w:rFonts w:hint="eastAsia"/>
          <w:color w:val="000000"/>
        </w:rPr>
        <w:t>『</w:t>
      </w:r>
      <w:r w:rsidRPr="007F5D45">
        <w:rPr>
          <w:color w:val="000000"/>
        </w:rPr>
        <w:t>橋梁維護管理作業要點</w:t>
      </w:r>
      <w:r w:rsidRPr="007F5D45">
        <w:rPr>
          <w:rFonts w:hint="eastAsia"/>
          <w:color w:val="000000"/>
        </w:rPr>
        <w:t>』</w:t>
      </w:r>
      <w:r w:rsidRPr="007F5D45">
        <w:rPr>
          <w:color w:val="000000"/>
        </w:rPr>
        <w:t>及</w:t>
      </w:r>
      <w:r w:rsidRPr="007F5D45">
        <w:rPr>
          <w:rFonts w:hint="eastAsia"/>
          <w:color w:val="000000"/>
        </w:rPr>
        <w:t>『</w:t>
      </w:r>
      <w:r w:rsidRPr="007F5D45">
        <w:rPr>
          <w:color w:val="000000"/>
        </w:rPr>
        <w:t>人行天橋檢測與維修及補強規範</w:t>
      </w:r>
      <w:r w:rsidRPr="007F5D45">
        <w:rPr>
          <w:rFonts w:hint="eastAsia"/>
          <w:color w:val="000000"/>
        </w:rPr>
        <w:t>』</w:t>
      </w:r>
      <w:r w:rsidRPr="007F5D45">
        <w:rPr>
          <w:color w:val="000000"/>
        </w:rPr>
        <w:t>規定，針對所經營轄管之特殊性橋梁</w:t>
      </w:r>
      <w:r w:rsidRPr="007F5D45">
        <w:rPr>
          <w:rFonts w:hint="eastAsia"/>
          <w:color w:val="000000"/>
        </w:rPr>
        <w:t>，或</w:t>
      </w:r>
      <w:r w:rsidRPr="007F5D45">
        <w:rPr>
          <w:rFonts w:hint="eastAsia"/>
          <w:color w:val="000000"/>
        </w:rPr>
        <w:lastRenderedPageBreak/>
        <w:t>竣工年度不詳或年代久遠之吊橋</w:t>
      </w:r>
      <w:r w:rsidRPr="007F5D45">
        <w:rPr>
          <w:color w:val="000000"/>
        </w:rPr>
        <w:t>，訂定</w:t>
      </w:r>
      <w:r w:rsidRPr="007F5D45">
        <w:rPr>
          <w:rFonts w:hint="eastAsia"/>
          <w:color w:val="000000"/>
        </w:rPr>
        <w:t>『</w:t>
      </w:r>
      <w:r w:rsidRPr="007F5D45">
        <w:rPr>
          <w:color w:val="000000"/>
        </w:rPr>
        <w:t>維護管理作業計畫</w:t>
      </w:r>
      <w:r w:rsidRPr="007F5D45">
        <w:rPr>
          <w:rFonts w:hint="eastAsia"/>
          <w:color w:val="000000"/>
        </w:rPr>
        <w:t>』。」</w:t>
      </w:r>
    </w:p>
    <w:p w:rsidR="005F7839" w:rsidRPr="007F5D45" w:rsidRDefault="005F7839" w:rsidP="002A0569">
      <w:pPr>
        <w:pStyle w:val="4"/>
        <w:numPr>
          <w:ilvl w:val="3"/>
          <w:numId w:val="1"/>
        </w:numPr>
        <w:rPr>
          <w:color w:val="000000"/>
        </w:rPr>
      </w:pPr>
      <w:r w:rsidRPr="007F5D45">
        <w:rPr>
          <w:rFonts w:hint="eastAsia"/>
          <w:color w:val="000000"/>
        </w:rPr>
        <w:t>該署1</w:t>
      </w:r>
      <w:r w:rsidRPr="007F5D45">
        <w:rPr>
          <w:color w:val="000000"/>
        </w:rPr>
        <w:t>13</w:t>
      </w:r>
      <w:r w:rsidRPr="007F5D45">
        <w:rPr>
          <w:rFonts w:hint="eastAsia"/>
          <w:color w:val="000000"/>
        </w:rPr>
        <w:t>年9月11日約</w:t>
      </w:r>
      <w:proofErr w:type="gramStart"/>
      <w:r w:rsidRPr="007F5D45">
        <w:rPr>
          <w:rFonts w:hint="eastAsia"/>
          <w:color w:val="000000"/>
        </w:rPr>
        <w:t>詢</w:t>
      </w:r>
      <w:proofErr w:type="gramEnd"/>
      <w:r w:rsidRPr="007F5D45">
        <w:rPr>
          <w:rFonts w:hint="eastAsia"/>
          <w:color w:val="000000"/>
        </w:rPr>
        <w:t>資料：「13個管理處轄下如有特殊橋梁，皆已完成訂定維護管理巡查計畫/特殊性人行天橋維護管理作業計畫。」</w:t>
      </w:r>
    </w:p>
    <w:p w:rsidR="005F7839" w:rsidRDefault="005F7839" w:rsidP="002A0569">
      <w:pPr>
        <w:pStyle w:val="3"/>
        <w:numPr>
          <w:ilvl w:val="2"/>
          <w:numId w:val="1"/>
        </w:numPr>
        <w:rPr>
          <w:color w:val="000000"/>
        </w:rPr>
      </w:pPr>
      <w:r>
        <w:rPr>
          <w:rFonts w:hint="eastAsia"/>
          <w:color w:val="000000"/>
        </w:rPr>
        <w:t>復查，</w:t>
      </w:r>
      <w:proofErr w:type="gramStart"/>
      <w:r w:rsidRPr="007F5D45">
        <w:rPr>
          <w:rFonts w:hint="eastAsia"/>
          <w:color w:val="000000"/>
        </w:rPr>
        <w:t>北觀、參山</w:t>
      </w:r>
      <w:proofErr w:type="gramEnd"/>
      <w:r w:rsidRPr="007F5D45">
        <w:rPr>
          <w:rFonts w:hint="eastAsia"/>
          <w:color w:val="000000"/>
        </w:rPr>
        <w:t>、日月潭、茂林、阿里山、花東縱谷、東部海岸、東北角等管理處對於轄下特殊性人行天橋，已分別於1</w:t>
      </w:r>
      <w:r w:rsidRPr="007F5D45">
        <w:rPr>
          <w:color w:val="000000"/>
        </w:rPr>
        <w:t>13</w:t>
      </w:r>
      <w:r w:rsidRPr="007F5D45">
        <w:rPr>
          <w:rFonts w:hint="eastAsia"/>
          <w:color w:val="000000"/>
        </w:rPr>
        <w:t>年2月</w:t>
      </w:r>
      <w:r>
        <w:rPr>
          <w:rFonts w:hint="eastAsia"/>
          <w:color w:val="000000"/>
        </w:rPr>
        <w:t>及</w:t>
      </w:r>
      <w:r w:rsidRPr="007F5D45">
        <w:rPr>
          <w:rFonts w:hint="eastAsia"/>
          <w:color w:val="000000"/>
        </w:rPr>
        <w:t>5月完成特殊性人行天橋維護管理作業計畫，且多委由顧問公司編製，其內容詳如下表。惟經檢視該等計畫內容及比對其年度定期檢測報告書發現，其中東北角管理處，除卻「維修及補強建議」外，其作業計畫與</w:t>
      </w:r>
      <w:proofErr w:type="gramStart"/>
      <w:r w:rsidRPr="007F5D45">
        <w:rPr>
          <w:rFonts w:hint="eastAsia"/>
          <w:color w:val="000000"/>
        </w:rPr>
        <w:t>1</w:t>
      </w:r>
      <w:r w:rsidRPr="007F5D45">
        <w:rPr>
          <w:color w:val="000000"/>
        </w:rPr>
        <w:t>13</w:t>
      </w:r>
      <w:proofErr w:type="gramEnd"/>
      <w:r w:rsidRPr="007F5D45">
        <w:rPr>
          <w:rFonts w:hint="eastAsia"/>
          <w:color w:val="000000"/>
        </w:rPr>
        <w:t>年度檢測報告書之內容如出一轍。整體而言，僅東部海岸</w:t>
      </w:r>
      <w:r w:rsidRPr="007F5D45">
        <w:rPr>
          <w:rFonts w:hAnsi="標楷體" w:hint="eastAsia"/>
          <w:color w:val="000000"/>
        </w:rPr>
        <w:t>管理處訂定之「三仙台八拱橋」維護管理作業計畫，符合內政部「</w:t>
      </w:r>
      <w:r w:rsidRPr="007F5D45">
        <w:rPr>
          <w:rFonts w:hint="eastAsia"/>
          <w:color w:val="000000"/>
        </w:rPr>
        <w:t>人行天橋檢測與維修及補強規範</w:t>
      </w:r>
      <w:r w:rsidRPr="007F5D45">
        <w:rPr>
          <w:rFonts w:hAnsi="標楷體" w:hint="eastAsia"/>
          <w:color w:val="000000"/>
        </w:rPr>
        <w:t>」規</w:t>
      </w:r>
      <w:r>
        <w:rPr>
          <w:rFonts w:hAnsi="標楷體" w:hint="eastAsia"/>
          <w:color w:val="000000"/>
        </w:rPr>
        <w:t>定</w:t>
      </w:r>
      <w:r w:rsidRPr="007F5D45">
        <w:rPr>
          <w:rFonts w:hAnsi="標楷體" w:hint="eastAsia"/>
          <w:color w:val="000000"/>
        </w:rPr>
        <w:t>必要事項。</w:t>
      </w:r>
      <w:proofErr w:type="gramStart"/>
      <w:r w:rsidRPr="007F5D45">
        <w:rPr>
          <w:rFonts w:hAnsi="標楷體" w:hint="eastAsia"/>
          <w:color w:val="000000"/>
        </w:rPr>
        <w:t>再者，</w:t>
      </w:r>
      <w:proofErr w:type="gramEnd"/>
      <w:r w:rsidRPr="007F5D45">
        <w:rPr>
          <w:rFonts w:hAnsi="標楷體" w:hint="eastAsia"/>
          <w:color w:val="000000"/>
        </w:rPr>
        <w:t>依阿里山管理處查復資料，該處經管人行天橋總計3</w:t>
      </w:r>
      <w:r w:rsidRPr="007F5D45">
        <w:rPr>
          <w:rFonts w:hAnsi="標楷體"/>
          <w:color w:val="000000"/>
        </w:rPr>
        <w:t>3</w:t>
      </w:r>
      <w:r w:rsidRPr="007F5D45">
        <w:rPr>
          <w:rFonts w:hAnsi="標楷體" w:hint="eastAsia"/>
          <w:color w:val="000000"/>
        </w:rPr>
        <w:t>座，原橋梁日常巡查為每月1次，惟按其特殊性橋梁維護管理作業計畫，日常巡查頻率卻改為每季1次，相較寬鬆，且該作業計畫適用該處所轄管之特殊性橋梁包含2</w:t>
      </w:r>
      <w:r w:rsidRPr="007F5D45">
        <w:rPr>
          <w:rFonts w:hAnsi="標楷體"/>
          <w:color w:val="000000"/>
        </w:rPr>
        <w:t>4</w:t>
      </w:r>
      <w:r w:rsidRPr="007F5D45">
        <w:rPr>
          <w:rFonts w:hAnsi="標楷體" w:hint="eastAsia"/>
          <w:color w:val="000000"/>
        </w:rPr>
        <w:t>座人行吊橋、1</w:t>
      </w:r>
      <w:r w:rsidRPr="007F5D45">
        <w:rPr>
          <w:rFonts w:hAnsi="標楷體"/>
          <w:color w:val="000000"/>
        </w:rPr>
        <w:t>9</w:t>
      </w:r>
      <w:r w:rsidRPr="007F5D45">
        <w:rPr>
          <w:rFonts w:hAnsi="標楷體" w:hint="eastAsia"/>
          <w:color w:val="000000"/>
        </w:rPr>
        <w:t>座人</w:t>
      </w:r>
      <w:proofErr w:type="gramStart"/>
      <w:r w:rsidRPr="007F5D45">
        <w:rPr>
          <w:rFonts w:hAnsi="標楷體" w:hint="eastAsia"/>
          <w:color w:val="000000"/>
        </w:rPr>
        <w:t>行鋼構</w:t>
      </w:r>
      <w:proofErr w:type="gramEnd"/>
      <w:r w:rsidRPr="007F5D45">
        <w:rPr>
          <w:rFonts w:hAnsi="標楷體" w:hint="eastAsia"/>
          <w:color w:val="000000"/>
        </w:rPr>
        <w:t>橋，與上述查復資料3</w:t>
      </w:r>
      <w:r w:rsidRPr="007F5D45">
        <w:rPr>
          <w:rFonts w:hAnsi="標楷體"/>
          <w:color w:val="000000"/>
        </w:rPr>
        <w:t>3</w:t>
      </w:r>
      <w:r w:rsidRPr="007F5D45">
        <w:rPr>
          <w:rFonts w:hAnsi="標楷體" w:hint="eastAsia"/>
          <w:color w:val="000000"/>
        </w:rPr>
        <w:t>座不符。又，</w:t>
      </w:r>
      <w:proofErr w:type="gramStart"/>
      <w:r w:rsidRPr="007F5D45">
        <w:rPr>
          <w:rFonts w:hAnsi="標楷體" w:hint="eastAsia"/>
          <w:color w:val="000000"/>
        </w:rPr>
        <w:t>北觀管理處</w:t>
      </w:r>
      <w:proofErr w:type="gramEnd"/>
      <w:r w:rsidRPr="007F5D45">
        <w:rPr>
          <w:rFonts w:hAnsi="標楷體" w:hint="eastAsia"/>
          <w:color w:val="000000"/>
        </w:rPr>
        <w:t>雖稱考量野柳</w:t>
      </w:r>
      <w:r>
        <w:rPr>
          <w:rFonts w:hAnsi="標楷體" w:hint="eastAsia"/>
          <w:color w:val="000000"/>
        </w:rPr>
        <w:t>地質公園</w:t>
      </w:r>
      <w:r w:rsidRPr="007F5D45">
        <w:rPr>
          <w:rFonts w:hAnsi="標楷體" w:hint="eastAsia"/>
          <w:color w:val="000000"/>
        </w:rPr>
        <w:t>地質環境情況，因此每4個月辦理1次定期檢測，卻未見訂於其特殊性橋梁維護管理作業計畫內。</w:t>
      </w:r>
      <w:r w:rsidRPr="007F5D45">
        <w:rPr>
          <w:rFonts w:hint="eastAsia"/>
          <w:color w:val="000000"/>
        </w:rPr>
        <w:t>是</w:t>
      </w:r>
      <w:proofErr w:type="gramStart"/>
      <w:r w:rsidRPr="007F5D45">
        <w:rPr>
          <w:rFonts w:hint="eastAsia"/>
          <w:color w:val="000000"/>
        </w:rPr>
        <w:t>以</w:t>
      </w:r>
      <w:proofErr w:type="gramEnd"/>
      <w:r w:rsidRPr="007F5D45">
        <w:rPr>
          <w:rFonts w:hint="eastAsia"/>
          <w:color w:val="000000"/>
        </w:rPr>
        <w:t>，有關特殊性人行天橋維護管理作業計畫，各管理處縱然委由專業團隊編製，惟就計畫內容是否確實依內政部之規範或考量現地狀況，管理處卻無相關確認機制，觀光</w:t>
      </w:r>
      <w:proofErr w:type="gramStart"/>
      <w:r w:rsidRPr="007F5D45">
        <w:rPr>
          <w:rFonts w:hint="eastAsia"/>
          <w:color w:val="000000"/>
        </w:rPr>
        <w:t>署復</w:t>
      </w:r>
      <w:proofErr w:type="gramEnd"/>
      <w:r w:rsidRPr="007F5D45">
        <w:rPr>
          <w:rFonts w:hint="eastAsia"/>
          <w:color w:val="000000"/>
        </w:rPr>
        <w:t>無善盡督導落實之責，確有疏失。</w:t>
      </w:r>
    </w:p>
    <w:p w:rsidR="002A0569" w:rsidRDefault="002A0569" w:rsidP="002A0569">
      <w:pPr>
        <w:pStyle w:val="3"/>
        <w:numPr>
          <w:ilvl w:val="0"/>
          <w:numId w:val="0"/>
        </w:numPr>
        <w:ind w:left="1361"/>
        <w:rPr>
          <w:color w:val="000000"/>
        </w:rPr>
      </w:pPr>
    </w:p>
    <w:p w:rsidR="002A0569" w:rsidRPr="007F5D45" w:rsidRDefault="002A0569" w:rsidP="002A0569">
      <w:pPr>
        <w:pStyle w:val="3"/>
        <w:numPr>
          <w:ilvl w:val="0"/>
          <w:numId w:val="0"/>
        </w:numPr>
        <w:ind w:left="1361"/>
        <w:rPr>
          <w:color w:val="000000"/>
        </w:rPr>
      </w:pPr>
    </w:p>
    <w:p w:rsidR="005F7839" w:rsidRDefault="005F7839" w:rsidP="005F7839">
      <w:pPr>
        <w:rPr>
          <w:color w:val="000000"/>
          <w:sz w:val="28"/>
        </w:rPr>
      </w:pPr>
      <w:r w:rsidRPr="007F5D45">
        <w:rPr>
          <w:rFonts w:hint="eastAsia"/>
          <w:color w:val="000000"/>
          <w:sz w:val="28"/>
        </w:rPr>
        <w:lastRenderedPageBreak/>
        <w:t>表</w:t>
      </w:r>
      <w:r w:rsidR="00B513F5">
        <w:rPr>
          <w:color w:val="000000"/>
          <w:sz w:val="28"/>
        </w:rPr>
        <w:t>2</w:t>
      </w:r>
      <w:r w:rsidRPr="007F5D45">
        <w:rPr>
          <w:rFonts w:hint="eastAsia"/>
          <w:color w:val="000000"/>
          <w:sz w:val="28"/>
        </w:rPr>
        <w:t xml:space="preserve"> 觀光署各管理處轄下特殊性人行天橋維護管理作業計畫情形</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850"/>
        <w:gridCol w:w="851"/>
        <w:gridCol w:w="851"/>
        <w:gridCol w:w="851"/>
        <w:gridCol w:w="851"/>
        <w:gridCol w:w="850"/>
        <w:gridCol w:w="1204"/>
        <w:gridCol w:w="999"/>
      </w:tblGrid>
      <w:tr w:rsidR="005F7839" w:rsidRPr="00BA6B83" w:rsidTr="00D26A57">
        <w:trPr>
          <w:jc w:val="center"/>
        </w:trPr>
        <w:tc>
          <w:tcPr>
            <w:tcW w:w="1526" w:type="dxa"/>
            <w:gridSpan w:val="2"/>
            <w:shd w:val="clear" w:color="auto" w:fill="auto"/>
            <w:vAlign w:val="center"/>
          </w:tcPr>
          <w:p w:rsidR="005F7839" w:rsidRPr="00BA6B83" w:rsidRDefault="005F7839" w:rsidP="00D26A57">
            <w:pPr>
              <w:spacing w:line="300" w:lineRule="exact"/>
              <w:jc w:val="center"/>
              <w:rPr>
                <w:rFonts w:hAnsi="標楷體"/>
                <w:color w:val="000000"/>
                <w:spacing w:val="-10"/>
                <w:sz w:val="26"/>
                <w:szCs w:val="26"/>
              </w:rPr>
            </w:pPr>
            <w:r w:rsidRPr="00BA6B83">
              <w:rPr>
                <w:rFonts w:hAnsi="標楷體" w:hint="eastAsia"/>
                <w:color w:val="000000"/>
                <w:spacing w:val="-10"/>
                <w:sz w:val="26"/>
                <w:szCs w:val="26"/>
              </w:rPr>
              <w:t>管理處</w:t>
            </w:r>
          </w:p>
        </w:tc>
        <w:tc>
          <w:tcPr>
            <w:tcW w:w="850" w:type="dxa"/>
            <w:shd w:val="clear" w:color="auto" w:fill="auto"/>
          </w:tcPr>
          <w:p w:rsidR="005F7839" w:rsidRPr="00BA6B83" w:rsidRDefault="005F7839" w:rsidP="00D26A57">
            <w:pPr>
              <w:spacing w:line="300" w:lineRule="exact"/>
              <w:jc w:val="center"/>
              <w:rPr>
                <w:rFonts w:hAnsi="標楷體"/>
                <w:color w:val="000000"/>
                <w:spacing w:val="-10"/>
                <w:sz w:val="26"/>
                <w:szCs w:val="26"/>
              </w:rPr>
            </w:pPr>
            <w:proofErr w:type="gramStart"/>
            <w:r w:rsidRPr="00BA6B83">
              <w:rPr>
                <w:rFonts w:hAnsi="標楷體" w:hint="eastAsia"/>
                <w:color w:val="000000"/>
                <w:spacing w:val="-10"/>
                <w:sz w:val="26"/>
                <w:szCs w:val="26"/>
              </w:rPr>
              <w:t>北觀</w:t>
            </w:r>
            <w:proofErr w:type="gramEnd"/>
          </w:p>
        </w:tc>
        <w:tc>
          <w:tcPr>
            <w:tcW w:w="851" w:type="dxa"/>
          </w:tcPr>
          <w:p w:rsidR="005F7839" w:rsidRPr="00BA6B83" w:rsidRDefault="005F7839" w:rsidP="00D26A57">
            <w:pPr>
              <w:spacing w:line="300" w:lineRule="exact"/>
              <w:jc w:val="center"/>
              <w:rPr>
                <w:rFonts w:hAnsi="標楷體"/>
                <w:color w:val="000000"/>
                <w:spacing w:val="-10"/>
                <w:sz w:val="26"/>
                <w:szCs w:val="26"/>
              </w:rPr>
            </w:pPr>
            <w:r w:rsidRPr="00BA6B83">
              <w:rPr>
                <w:rFonts w:hAnsi="標楷體" w:hint="eastAsia"/>
                <w:color w:val="000000"/>
                <w:spacing w:val="-10"/>
                <w:sz w:val="26"/>
                <w:szCs w:val="26"/>
              </w:rPr>
              <w:t>茂林</w:t>
            </w:r>
          </w:p>
        </w:tc>
        <w:tc>
          <w:tcPr>
            <w:tcW w:w="851" w:type="dxa"/>
          </w:tcPr>
          <w:p w:rsidR="005F7839" w:rsidRPr="00BA6B83" w:rsidRDefault="005F7839" w:rsidP="00D26A57">
            <w:pPr>
              <w:spacing w:line="300" w:lineRule="exact"/>
              <w:ind w:leftChars="-38" w:left="1" w:rightChars="-32" w:right="-109" w:hangingChars="50" w:hanging="130"/>
              <w:jc w:val="center"/>
              <w:rPr>
                <w:rFonts w:hAnsi="標楷體"/>
                <w:color w:val="000000"/>
                <w:spacing w:val="-10"/>
                <w:sz w:val="26"/>
                <w:szCs w:val="26"/>
              </w:rPr>
            </w:pPr>
            <w:r w:rsidRPr="00BA6B83">
              <w:rPr>
                <w:rFonts w:hAnsi="標楷體" w:hint="eastAsia"/>
                <w:color w:val="000000"/>
                <w:spacing w:val="-10"/>
                <w:sz w:val="26"/>
                <w:szCs w:val="26"/>
              </w:rPr>
              <w:t>阿里山</w:t>
            </w:r>
          </w:p>
        </w:tc>
        <w:tc>
          <w:tcPr>
            <w:tcW w:w="851" w:type="dxa"/>
          </w:tcPr>
          <w:p w:rsidR="005F7839" w:rsidRDefault="005F7839" w:rsidP="00D26A57">
            <w:pPr>
              <w:spacing w:line="300" w:lineRule="exact"/>
              <w:ind w:leftChars="-22" w:left="8" w:rightChars="-31" w:right="-105" w:hangingChars="32" w:hanging="83"/>
              <w:jc w:val="center"/>
              <w:rPr>
                <w:rFonts w:hAnsi="標楷體"/>
                <w:color w:val="000000"/>
                <w:spacing w:val="-10"/>
                <w:sz w:val="26"/>
                <w:szCs w:val="26"/>
              </w:rPr>
            </w:pPr>
            <w:r w:rsidRPr="00BA6B83">
              <w:rPr>
                <w:rFonts w:hAnsi="標楷體" w:hint="eastAsia"/>
                <w:color w:val="000000"/>
                <w:spacing w:val="-10"/>
                <w:sz w:val="26"/>
                <w:szCs w:val="26"/>
              </w:rPr>
              <w:t>東部</w:t>
            </w:r>
          </w:p>
          <w:p w:rsidR="005F7839" w:rsidRPr="00BA6B83" w:rsidRDefault="005F7839" w:rsidP="00D26A57">
            <w:pPr>
              <w:spacing w:line="300" w:lineRule="exact"/>
              <w:ind w:leftChars="-22" w:left="8" w:rightChars="-31" w:right="-105" w:hangingChars="32" w:hanging="83"/>
              <w:jc w:val="center"/>
              <w:rPr>
                <w:rFonts w:hAnsi="標楷體"/>
                <w:color w:val="000000"/>
                <w:spacing w:val="-10"/>
                <w:sz w:val="26"/>
                <w:szCs w:val="26"/>
              </w:rPr>
            </w:pPr>
            <w:r w:rsidRPr="00BA6B83">
              <w:rPr>
                <w:rFonts w:hAnsi="標楷體" w:hint="eastAsia"/>
                <w:color w:val="000000"/>
                <w:spacing w:val="-10"/>
                <w:sz w:val="26"/>
                <w:szCs w:val="26"/>
              </w:rPr>
              <w:t>海岸</w:t>
            </w:r>
          </w:p>
        </w:tc>
        <w:tc>
          <w:tcPr>
            <w:tcW w:w="851" w:type="dxa"/>
            <w:shd w:val="clear" w:color="auto" w:fill="auto"/>
          </w:tcPr>
          <w:p w:rsidR="005F7839" w:rsidRPr="00BA6B83" w:rsidRDefault="005F7839" w:rsidP="00D26A57">
            <w:pPr>
              <w:spacing w:line="300" w:lineRule="exact"/>
              <w:jc w:val="center"/>
              <w:rPr>
                <w:rFonts w:hAnsi="標楷體"/>
                <w:color w:val="000000"/>
                <w:spacing w:val="-10"/>
                <w:sz w:val="26"/>
                <w:szCs w:val="26"/>
              </w:rPr>
            </w:pPr>
            <w:proofErr w:type="gramStart"/>
            <w:r w:rsidRPr="00BA6B83">
              <w:rPr>
                <w:rFonts w:hAnsi="標楷體" w:hint="eastAsia"/>
                <w:color w:val="000000"/>
                <w:spacing w:val="-10"/>
                <w:sz w:val="26"/>
                <w:szCs w:val="26"/>
              </w:rPr>
              <w:t>參山</w:t>
            </w:r>
            <w:proofErr w:type="gramEnd"/>
          </w:p>
        </w:tc>
        <w:tc>
          <w:tcPr>
            <w:tcW w:w="850" w:type="dxa"/>
            <w:shd w:val="clear" w:color="auto" w:fill="auto"/>
          </w:tcPr>
          <w:p w:rsidR="005F7839" w:rsidRPr="00BA6B83" w:rsidRDefault="005F7839" w:rsidP="00D26A57">
            <w:pPr>
              <w:spacing w:line="300" w:lineRule="exact"/>
              <w:ind w:leftChars="-30" w:left="-1" w:rightChars="-23" w:right="-78" w:hangingChars="39" w:hanging="101"/>
              <w:jc w:val="center"/>
              <w:rPr>
                <w:rFonts w:hAnsi="標楷體"/>
                <w:color w:val="000000"/>
                <w:spacing w:val="-10"/>
                <w:sz w:val="26"/>
                <w:szCs w:val="26"/>
              </w:rPr>
            </w:pPr>
            <w:r w:rsidRPr="00BA6B83">
              <w:rPr>
                <w:rFonts w:hAnsi="標楷體" w:hint="eastAsia"/>
                <w:color w:val="000000"/>
                <w:spacing w:val="-10"/>
                <w:sz w:val="26"/>
                <w:szCs w:val="26"/>
              </w:rPr>
              <w:t>日月潭</w:t>
            </w:r>
          </w:p>
        </w:tc>
        <w:tc>
          <w:tcPr>
            <w:tcW w:w="1204" w:type="dxa"/>
            <w:shd w:val="clear" w:color="auto" w:fill="auto"/>
          </w:tcPr>
          <w:p w:rsidR="005F7839" w:rsidRDefault="005F7839" w:rsidP="00D26A57">
            <w:pPr>
              <w:spacing w:line="300" w:lineRule="exact"/>
              <w:ind w:leftChars="-35" w:left="-90" w:rightChars="-17" w:right="-58" w:hangingChars="11" w:hanging="29"/>
              <w:jc w:val="center"/>
              <w:rPr>
                <w:rFonts w:hAnsi="標楷體"/>
                <w:color w:val="000000"/>
                <w:spacing w:val="-10"/>
                <w:sz w:val="26"/>
                <w:szCs w:val="26"/>
              </w:rPr>
            </w:pPr>
            <w:r w:rsidRPr="00BA6B83">
              <w:rPr>
                <w:rFonts w:hAnsi="標楷體" w:hint="eastAsia"/>
                <w:color w:val="000000"/>
                <w:spacing w:val="-10"/>
                <w:sz w:val="26"/>
                <w:szCs w:val="26"/>
              </w:rPr>
              <w:t>花東</w:t>
            </w:r>
          </w:p>
          <w:p w:rsidR="005F7839" w:rsidRPr="00BA6B83" w:rsidRDefault="005F7839" w:rsidP="00D26A57">
            <w:pPr>
              <w:spacing w:line="300" w:lineRule="exact"/>
              <w:ind w:leftChars="-35" w:left="-90" w:rightChars="-17" w:right="-58" w:hangingChars="11" w:hanging="29"/>
              <w:jc w:val="center"/>
              <w:rPr>
                <w:rFonts w:hAnsi="標楷體"/>
                <w:color w:val="000000"/>
                <w:spacing w:val="-10"/>
                <w:sz w:val="26"/>
                <w:szCs w:val="26"/>
              </w:rPr>
            </w:pPr>
            <w:r w:rsidRPr="00BA6B83">
              <w:rPr>
                <w:rFonts w:hAnsi="標楷體" w:hint="eastAsia"/>
                <w:color w:val="000000"/>
                <w:spacing w:val="-10"/>
                <w:sz w:val="26"/>
                <w:szCs w:val="26"/>
              </w:rPr>
              <w:t>縱谷</w:t>
            </w:r>
          </w:p>
        </w:tc>
        <w:tc>
          <w:tcPr>
            <w:tcW w:w="999" w:type="dxa"/>
            <w:shd w:val="clear" w:color="auto" w:fill="auto"/>
          </w:tcPr>
          <w:p w:rsidR="005F7839" w:rsidRPr="00BA6B83" w:rsidRDefault="005F7839" w:rsidP="00D26A57">
            <w:pPr>
              <w:spacing w:line="300" w:lineRule="exact"/>
              <w:ind w:leftChars="-26" w:left="3" w:hangingChars="35" w:hanging="91"/>
              <w:jc w:val="center"/>
              <w:rPr>
                <w:rFonts w:hAnsi="標楷體"/>
                <w:color w:val="000000"/>
                <w:spacing w:val="-10"/>
                <w:sz w:val="26"/>
                <w:szCs w:val="26"/>
              </w:rPr>
            </w:pPr>
            <w:r w:rsidRPr="00BA6B83">
              <w:rPr>
                <w:rFonts w:hAnsi="標楷體" w:hint="eastAsia"/>
                <w:color w:val="000000"/>
                <w:spacing w:val="-10"/>
                <w:sz w:val="26"/>
                <w:szCs w:val="26"/>
              </w:rPr>
              <w:t>東北角</w:t>
            </w:r>
            <w:r w:rsidRPr="00227FF6">
              <w:rPr>
                <w:rFonts w:hAnsi="標楷體" w:hint="eastAsia"/>
                <w:color w:val="000000"/>
                <w:spacing w:val="-10"/>
                <w:sz w:val="24"/>
                <w:szCs w:val="26"/>
                <w:vertAlign w:val="superscript"/>
              </w:rPr>
              <w:t>1</w:t>
            </w:r>
          </w:p>
        </w:tc>
      </w:tr>
      <w:tr w:rsidR="005F7839" w:rsidRPr="00BA6B83" w:rsidTr="00D26A57">
        <w:trPr>
          <w:jc w:val="center"/>
        </w:trPr>
        <w:tc>
          <w:tcPr>
            <w:tcW w:w="1526" w:type="dxa"/>
            <w:gridSpan w:val="2"/>
            <w:shd w:val="clear" w:color="auto" w:fill="auto"/>
            <w:vAlign w:val="center"/>
          </w:tcPr>
          <w:p w:rsidR="005F7839" w:rsidRPr="00BA6B83" w:rsidRDefault="005F7839" w:rsidP="00D26A57">
            <w:pPr>
              <w:jc w:val="center"/>
              <w:rPr>
                <w:rFonts w:hAnsi="標楷體"/>
                <w:color w:val="000000"/>
                <w:spacing w:val="-10"/>
                <w:sz w:val="26"/>
                <w:szCs w:val="26"/>
              </w:rPr>
            </w:pPr>
            <w:r w:rsidRPr="00BA6B83">
              <w:rPr>
                <w:rFonts w:hAnsi="標楷體" w:hint="eastAsia"/>
                <w:color w:val="000000"/>
                <w:spacing w:val="-10"/>
                <w:sz w:val="26"/>
                <w:szCs w:val="26"/>
              </w:rPr>
              <w:t>訂定年度</w:t>
            </w:r>
          </w:p>
        </w:tc>
        <w:tc>
          <w:tcPr>
            <w:tcW w:w="850" w:type="dxa"/>
            <w:shd w:val="clear" w:color="auto" w:fill="auto"/>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c>
          <w:tcPr>
            <w:tcW w:w="851" w:type="dxa"/>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c>
          <w:tcPr>
            <w:tcW w:w="851" w:type="dxa"/>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c>
          <w:tcPr>
            <w:tcW w:w="851" w:type="dxa"/>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c>
          <w:tcPr>
            <w:tcW w:w="851" w:type="dxa"/>
            <w:shd w:val="clear" w:color="auto" w:fill="auto"/>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c>
          <w:tcPr>
            <w:tcW w:w="850" w:type="dxa"/>
            <w:shd w:val="clear" w:color="auto" w:fill="auto"/>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c>
          <w:tcPr>
            <w:tcW w:w="1204" w:type="dxa"/>
            <w:shd w:val="clear" w:color="auto" w:fill="auto"/>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13.5</w:t>
            </w:r>
          </w:p>
        </w:tc>
        <w:tc>
          <w:tcPr>
            <w:tcW w:w="999" w:type="dxa"/>
            <w:shd w:val="clear" w:color="auto" w:fill="auto"/>
          </w:tcPr>
          <w:p w:rsidR="005F7839" w:rsidRPr="00BA6B83" w:rsidRDefault="005F7839" w:rsidP="00D26A57">
            <w:pPr>
              <w:jc w:val="center"/>
              <w:rPr>
                <w:rFonts w:hAnsi="標楷體"/>
                <w:color w:val="000000"/>
                <w:spacing w:val="-14"/>
                <w:sz w:val="26"/>
                <w:szCs w:val="26"/>
              </w:rPr>
            </w:pPr>
            <w:r w:rsidRPr="00BA6B83">
              <w:rPr>
                <w:rFonts w:hAnsi="標楷體" w:hint="eastAsia"/>
                <w:color w:val="000000"/>
                <w:spacing w:val="-14"/>
                <w:sz w:val="26"/>
                <w:szCs w:val="26"/>
              </w:rPr>
              <w:t>1</w:t>
            </w:r>
            <w:r w:rsidRPr="00BA6B83">
              <w:rPr>
                <w:rFonts w:hAnsi="標楷體"/>
                <w:color w:val="000000"/>
                <w:spacing w:val="-14"/>
                <w:sz w:val="26"/>
                <w:szCs w:val="26"/>
              </w:rPr>
              <w:t>13.2</w:t>
            </w:r>
          </w:p>
        </w:tc>
      </w:tr>
      <w:tr w:rsidR="005F7839" w:rsidRPr="00227FF6" w:rsidTr="00D26A57">
        <w:trPr>
          <w:jc w:val="center"/>
        </w:trPr>
        <w:tc>
          <w:tcPr>
            <w:tcW w:w="1526" w:type="dxa"/>
            <w:gridSpan w:val="2"/>
            <w:shd w:val="clear" w:color="auto" w:fill="auto"/>
            <w:vAlign w:val="center"/>
          </w:tcPr>
          <w:p w:rsidR="005F7839" w:rsidRPr="00BA6B83" w:rsidRDefault="005F7839" w:rsidP="00D26A57">
            <w:pPr>
              <w:spacing w:line="280" w:lineRule="exact"/>
              <w:rPr>
                <w:rFonts w:hAnsi="標楷體"/>
                <w:color w:val="000000"/>
                <w:sz w:val="26"/>
                <w:szCs w:val="26"/>
              </w:rPr>
            </w:pPr>
            <w:r w:rsidRPr="00BA6B83">
              <w:rPr>
                <w:rFonts w:hAnsi="標楷體" w:hint="eastAsia"/>
                <w:color w:val="000000"/>
                <w:sz w:val="26"/>
                <w:szCs w:val="26"/>
              </w:rPr>
              <w:t>委外/自訂</w:t>
            </w:r>
          </w:p>
        </w:tc>
        <w:tc>
          <w:tcPr>
            <w:tcW w:w="3403" w:type="dxa"/>
            <w:gridSpan w:val="4"/>
            <w:shd w:val="clear" w:color="auto" w:fill="auto"/>
            <w:vAlign w:val="center"/>
          </w:tcPr>
          <w:p w:rsidR="005F7839" w:rsidRPr="00BA6B83" w:rsidRDefault="005F7839" w:rsidP="00D26A57">
            <w:pPr>
              <w:spacing w:line="280" w:lineRule="exact"/>
              <w:jc w:val="center"/>
              <w:rPr>
                <w:rFonts w:hAnsi="標楷體"/>
                <w:color w:val="000000"/>
                <w:sz w:val="26"/>
                <w:szCs w:val="26"/>
              </w:rPr>
            </w:pPr>
            <w:r w:rsidRPr="00BA6B83">
              <w:rPr>
                <w:rFonts w:hAnsi="標楷體" w:hint="eastAsia"/>
                <w:color w:val="000000"/>
                <w:sz w:val="26"/>
                <w:szCs w:val="26"/>
              </w:rPr>
              <w:t>台灣整合</w:t>
            </w:r>
            <w:r>
              <w:rPr>
                <w:rFonts w:hAnsi="標楷體" w:hint="eastAsia"/>
                <w:color w:val="000000"/>
                <w:sz w:val="26"/>
                <w:szCs w:val="26"/>
              </w:rPr>
              <w:t>防災工程技術顧問有限公司</w:t>
            </w:r>
            <w:r w:rsidR="004A130C" w:rsidRPr="004A130C">
              <w:rPr>
                <w:rFonts w:hAnsi="標楷體" w:hint="eastAsia"/>
                <w:color w:val="000000"/>
                <w:sz w:val="26"/>
                <w:szCs w:val="26"/>
                <w:vertAlign w:val="superscript"/>
              </w:rPr>
              <w:t>2</w:t>
            </w:r>
          </w:p>
        </w:tc>
        <w:tc>
          <w:tcPr>
            <w:tcW w:w="851" w:type="dxa"/>
            <w:shd w:val="clear" w:color="auto" w:fill="auto"/>
            <w:vAlign w:val="center"/>
          </w:tcPr>
          <w:p w:rsidR="005F7839" w:rsidRPr="00BA6B83" w:rsidRDefault="005F7839" w:rsidP="00D26A57">
            <w:pPr>
              <w:spacing w:line="280" w:lineRule="exact"/>
              <w:jc w:val="center"/>
              <w:rPr>
                <w:rFonts w:hAnsi="標楷體"/>
                <w:color w:val="000000"/>
                <w:sz w:val="26"/>
                <w:szCs w:val="26"/>
              </w:rPr>
            </w:pPr>
            <w:r w:rsidRPr="00BA6B83">
              <w:rPr>
                <w:rFonts w:hAnsi="標楷體" w:hint="eastAsia"/>
                <w:color w:val="000000"/>
                <w:sz w:val="26"/>
                <w:szCs w:val="26"/>
              </w:rPr>
              <w:t>自訂</w:t>
            </w:r>
          </w:p>
        </w:tc>
        <w:tc>
          <w:tcPr>
            <w:tcW w:w="850" w:type="dxa"/>
            <w:shd w:val="clear" w:color="auto" w:fill="auto"/>
            <w:vAlign w:val="center"/>
          </w:tcPr>
          <w:p w:rsidR="005F7839" w:rsidRPr="00BA6B83" w:rsidRDefault="005F7839" w:rsidP="00D26A57">
            <w:pPr>
              <w:spacing w:line="280" w:lineRule="exact"/>
              <w:jc w:val="left"/>
              <w:rPr>
                <w:rFonts w:hAnsi="標楷體"/>
                <w:color w:val="000000"/>
                <w:sz w:val="26"/>
                <w:szCs w:val="26"/>
              </w:rPr>
            </w:pPr>
            <w:proofErr w:type="gramStart"/>
            <w:r w:rsidRPr="00BA6B83">
              <w:rPr>
                <w:rFonts w:hAnsi="標楷體" w:hint="eastAsia"/>
                <w:color w:val="000000"/>
                <w:sz w:val="26"/>
                <w:szCs w:val="26"/>
              </w:rPr>
              <w:t>湛勻工程</w:t>
            </w:r>
            <w:proofErr w:type="gramEnd"/>
            <w:r>
              <w:rPr>
                <w:rFonts w:hAnsi="標楷體"/>
                <w:color w:val="000000"/>
                <w:sz w:val="24"/>
                <w:szCs w:val="26"/>
                <w:vertAlign w:val="superscript"/>
              </w:rPr>
              <w:t>3</w:t>
            </w:r>
          </w:p>
        </w:tc>
        <w:tc>
          <w:tcPr>
            <w:tcW w:w="1204" w:type="dxa"/>
            <w:shd w:val="clear" w:color="auto" w:fill="auto"/>
            <w:vAlign w:val="center"/>
          </w:tcPr>
          <w:p w:rsidR="005F7839" w:rsidRPr="00BA6B83" w:rsidRDefault="005F7839" w:rsidP="00D26A57">
            <w:pPr>
              <w:spacing w:line="280" w:lineRule="exact"/>
              <w:jc w:val="center"/>
              <w:rPr>
                <w:rFonts w:hAnsi="標楷體"/>
                <w:color w:val="000000"/>
                <w:sz w:val="26"/>
                <w:szCs w:val="26"/>
              </w:rPr>
            </w:pPr>
            <w:r w:rsidRPr="00BA6B83">
              <w:rPr>
                <w:rFonts w:hAnsi="標楷體" w:hint="eastAsia"/>
                <w:color w:val="000000"/>
                <w:sz w:val="26"/>
                <w:szCs w:val="26"/>
              </w:rPr>
              <w:t>自訂</w:t>
            </w:r>
          </w:p>
        </w:tc>
        <w:tc>
          <w:tcPr>
            <w:tcW w:w="999" w:type="dxa"/>
            <w:shd w:val="clear" w:color="auto" w:fill="auto"/>
            <w:vAlign w:val="center"/>
          </w:tcPr>
          <w:p w:rsidR="005F7839" w:rsidRPr="00227FF6" w:rsidRDefault="005F7839" w:rsidP="00D26A57">
            <w:pPr>
              <w:spacing w:line="280" w:lineRule="exact"/>
              <w:jc w:val="left"/>
              <w:rPr>
                <w:rFonts w:hAnsi="標楷體"/>
                <w:color w:val="000000"/>
                <w:sz w:val="26"/>
                <w:szCs w:val="26"/>
                <w:vertAlign w:val="superscript"/>
              </w:rPr>
            </w:pPr>
            <w:proofErr w:type="gramStart"/>
            <w:r w:rsidRPr="00BA6B83">
              <w:rPr>
                <w:rFonts w:hAnsi="標楷體" w:hint="eastAsia"/>
                <w:color w:val="000000"/>
                <w:sz w:val="26"/>
                <w:szCs w:val="26"/>
              </w:rPr>
              <w:t>仲冠工程</w:t>
            </w:r>
            <w:proofErr w:type="gramEnd"/>
            <w:r>
              <w:rPr>
                <w:rFonts w:hAnsi="標楷體"/>
                <w:color w:val="000000"/>
                <w:sz w:val="24"/>
                <w:szCs w:val="26"/>
                <w:vertAlign w:val="superscript"/>
              </w:rPr>
              <w:t>4</w:t>
            </w:r>
          </w:p>
        </w:tc>
      </w:tr>
      <w:tr w:rsidR="005F7839" w:rsidRPr="00BA6B83" w:rsidTr="00D26A57">
        <w:trPr>
          <w:jc w:val="center"/>
        </w:trPr>
        <w:tc>
          <w:tcPr>
            <w:tcW w:w="1526" w:type="dxa"/>
            <w:gridSpan w:val="2"/>
            <w:shd w:val="clear" w:color="auto" w:fill="auto"/>
            <w:vAlign w:val="center"/>
          </w:tcPr>
          <w:p w:rsidR="005F7839" w:rsidRPr="00BA6B83" w:rsidRDefault="005F7839" w:rsidP="00D26A57">
            <w:pPr>
              <w:rPr>
                <w:rFonts w:hAnsi="標楷體"/>
                <w:color w:val="000000"/>
                <w:sz w:val="26"/>
                <w:szCs w:val="26"/>
              </w:rPr>
            </w:pPr>
            <w:r w:rsidRPr="00BA6B83">
              <w:rPr>
                <w:rFonts w:hAnsi="標楷體" w:hint="eastAsia"/>
                <w:color w:val="000000"/>
                <w:sz w:val="26"/>
                <w:szCs w:val="26"/>
              </w:rPr>
              <w:t>橋梁數量</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6</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5</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4</w:t>
            </w:r>
            <w:r w:rsidRPr="00BA6B83">
              <w:rPr>
                <w:rFonts w:hAnsi="標楷體"/>
                <w:color w:val="000000"/>
                <w:sz w:val="26"/>
                <w:szCs w:val="26"/>
              </w:rPr>
              <w:t>3</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1</w:t>
            </w:r>
          </w:p>
        </w:tc>
        <w:tc>
          <w:tcPr>
            <w:tcW w:w="851"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4</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1</w:t>
            </w:r>
            <w:r w:rsidRPr="00BA6B83">
              <w:rPr>
                <w:rFonts w:hAnsi="標楷體"/>
                <w:color w:val="000000"/>
                <w:sz w:val="26"/>
                <w:szCs w:val="26"/>
              </w:rPr>
              <w:t>1</w:t>
            </w:r>
          </w:p>
        </w:tc>
        <w:tc>
          <w:tcPr>
            <w:tcW w:w="1204"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2</w:t>
            </w:r>
          </w:p>
        </w:tc>
        <w:tc>
          <w:tcPr>
            <w:tcW w:w="999"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1</w:t>
            </w:r>
          </w:p>
        </w:tc>
      </w:tr>
      <w:tr w:rsidR="005F7839" w:rsidRPr="00BA6B83" w:rsidTr="00D26A57">
        <w:trPr>
          <w:jc w:val="center"/>
        </w:trPr>
        <w:tc>
          <w:tcPr>
            <w:tcW w:w="392" w:type="dxa"/>
            <w:vMerge w:val="restart"/>
            <w:shd w:val="clear" w:color="auto" w:fill="auto"/>
            <w:vAlign w:val="center"/>
          </w:tcPr>
          <w:p w:rsidR="005F7839" w:rsidRPr="00BA6B83" w:rsidRDefault="005F7839" w:rsidP="00D26A57">
            <w:pPr>
              <w:rPr>
                <w:rFonts w:hAnsi="標楷體"/>
                <w:color w:val="000000"/>
                <w:sz w:val="26"/>
                <w:szCs w:val="26"/>
              </w:rPr>
            </w:pPr>
            <w:r w:rsidRPr="00BA6B83">
              <w:rPr>
                <w:rFonts w:hAnsi="標楷體" w:hint="eastAsia"/>
                <w:color w:val="000000"/>
                <w:sz w:val="26"/>
                <w:szCs w:val="26"/>
              </w:rPr>
              <w:t>內容</w:t>
            </w:r>
          </w:p>
        </w:tc>
        <w:tc>
          <w:tcPr>
            <w:tcW w:w="1134" w:type="dxa"/>
            <w:shd w:val="clear" w:color="auto" w:fill="auto"/>
            <w:vAlign w:val="center"/>
          </w:tcPr>
          <w:p w:rsidR="005F7839" w:rsidRPr="00BA6B83" w:rsidRDefault="005F7839" w:rsidP="00D26A57">
            <w:pPr>
              <w:spacing w:line="280" w:lineRule="exact"/>
              <w:jc w:val="center"/>
              <w:rPr>
                <w:rFonts w:hAnsi="標楷體"/>
                <w:color w:val="000000"/>
                <w:sz w:val="26"/>
                <w:szCs w:val="26"/>
              </w:rPr>
            </w:pPr>
            <w:r w:rsidRPr="00BA6B83">
              <w:rPr>
                <w:rFonts w:hAnsi="標楷體" w:hint="eastAsia"/>
                <w:color w:val="000000"/>
                <w:sz w:val="26"/>
                <w:szCs w:val="26"/>
              </w:rPr>
              <w:t>特殊構件置換</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1204"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999"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r>
      <w:tr w:rsidR="005F7839" w:rsidRPr="00BA6B83" w:rsidTr="00D26A57">
        <w:trPr>
          <w:jc w:val="center"/>
        </w:trPr>
        <w:tc>
          <w:tcPr>
            <w:tcW w:w="392" w:type="dxa"/>
            <w:vMerge/>
            <w:shd w:val="clear" w:color="auto" w:fill="auto"/>
            <w:vAlign w:val="center"/>
          </w:tcPr>
          <w:p w:rsidR="005F7839" w:rsidRPr="00BA6B83" w:rsidRDefault="005F7839" w:rsidP="00D26A57">
            <w:pPr>
              <w:rPr>
                <w:rFonts w:hAnsi="標楷體"/>
                <w:color w:val="000000"/>
                <w:sz w:val="26"/>
                <w:szCs w:val="26"/>
              </w:rPr>
            </w:pPr>
          </w:p>
        </w:tc>
        <w:tc>
          <w:tcPr>
            <w:tcW w:w="1134" w:type="dxa"/>
            <w:shd w:val="clear" w:color="auto" w:fill="auto"/>
            <w:vAlign w:val="center"/>
          </w:tcPr>
          <w:p w:rsidR="005F7839" w:rsidRPr="00BA6B83" w:rsidRDefault="005F7839" w:rsidP="00D26A57">
            <w:pPr>
              <w:spacing w:line="280" w:lineRule="exact"/>
              <w:jc w:val="center"/>
              <w:rPr>
                <w:rFonts w:hAnsi="標楷體"/>
                <w:color w:val="000000"/>
                <w:spacing w:val="-10"/>
                <w:sz w:val="26"/>
                <w:szCs w:val="26"/>
              </w:rPr>
            </w:pPr>
            <w:r w:rsidRPr="00BA6B83">
              <w:rPr>
                <w:rFonts w:hAnsi="標楷體" w:hint="eastAsia"/>
                <w:color w:val="000000"/>
                <w:spacing w:val="-10"/>
                <w:sz w:val="26"/>
                <w:szCs w:val="26"/>
              </w:rPr>
              <w:t>檢（監）測項目</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1204"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999"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r>
      <w:tr w:rsidR="005F7839" w:rsidRPr="00BA6B83" w:rsidTr="00D26A57">
        <w:trPr>
          <w:jc w:val="center"/>
        </w:trPr>
        <w:tc>
          <w:tcPr>
            <w:tcW w:w="392" w:type="dxa"/>
            <w:vMerge/>
            <w:shd w:val="clear" w:color="auto" w:fill="auto"/>
            <w:vAlign w:val="center"/>
          </w:tcPr>
          <w:p w:rsidR="005F7839" w:rsidRPr="00BA6B83" w:rsidRDefault="005F7839" w:rsidP="00D26A57">
            <w:pPr>
              <w:rPr>
                <w:rFonts w:hAnsi="標楷體"/>
                <w:color w:val="000000"/>
                <w:sz w:val="26"/>
                <w:szCs w:val="26"/>
              </w:rPr>
            </w:pPr>
          </w:p>
        </w:tc>
        <w:tc>
          <w:tcPr>
            <w:tcW w:w="1134" w:type="dxa"/>
            <w:shd w:val="clear" w:color="auto" w:fill="auto"/>
            <w:vAlign w:val="center"/>
          </w:tcPr>
          <w:p w:rsidR="005F7839" w:rsidRPr="00BA6B83" w:rsidRDefault="005F7839" w:rsidP="00D26A57">
            <w:pPr>
              <w:spacing w:line="280" w:lineRule="exact"/>
              <w:ind w:leftChars="-17" w:left="-17" w:rightChars="-7" w:right="-24" w:hangingChars="17" w:hanging="41"/>
              <w:jc w:val="center"/>
              <w:rPr>
                <w:rFonts w:hAnsi="標楷體"/>
                <w:color w:val="000000"/>
                <w:spacing w:val="-20"/>
                <w:sz w:val="26"/>
                <w:szCs w:val="26"/>
              </w:rPr>
            </w:pPr>
            <w:r w:rsidRPr="00BA6B83">
              <w:rPr>
                <w:rFonts w:hAnsi="標楷體" w:hint="eastAsia"/>
                <w:color w:val="000000"/>
                <w:spacing w:val="-20"/>
                <w:sz w:val="26"/>
                <w:szCs w:val="26"/>
              </w:rPr>
              <w:t>執行方式與頻率</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1204"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999"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r>
      <w:tr w:rsidR="005F7839" w:rsidRPr="00BA6B83" w:rsidTr="00D26A57">
        <w:trPr>
          <w:jc w:val="center"/>
        </w:trPr>
        <w:tc>
          <w:tcPr>
            <w:tcW w:w="392" w:type="dxa"/>
            <w:vMerge/>
            <w:shd w:val="clear" w:color="auto" w:fill="auto"/>
            <w:vAlign w:val="center"/>
          </w:tcPr>
          <w:p w:rsidR="005F7839" w:rsidRPr="00BA6B83" w:rsidRDefault="005F7839" w:rsidP="00D26A57">
            <w:pPr>
              <w:rPr>
                <w:rFonts w:hAnsi="標楷體"/>
                <w:color w:val="000000"/>
                <w:sz w:val="26"/>
                <w:szCs w:val="26"/>
              </w:rPr>
            </w:pPr>
          </w:p>
        </w:tc>
        <w:tc>
          <w:tcPr>
            <w:tcW w:w="1134" w:type="dxa"/>
            <w:shd w:val="clear" w:color="auto" w:fill="auto"/>
            <w:vAlign w:val="center"/>
          </w:tcPr>
          <w:p w:rsidR="005F7839" w:rsidRPr="00BA6B83" w:rsidRDefault="005F7839" w:rsidP="00D26A57">
            <w:pPr>
              <w:ind w:leftChars="-17" w:left="-17" w:rightChars="-7" w:right="-24" w:hangingChars="17" w:hanging="41"/>
              <w:jc w:val="center"/>
              <w:rPr>
                <w:rFonts w:hAnsi="標楷體"/>
                <w:color w:val="000000"/>
                <w:spacing w:val="-20"/>
                <w:sz w:val="26"/>
                <w:szCs w:val="26"/>
              </w:rPr>
            </w:pPr>
            <w:r w:rsidRPr="00BA6B83">
              <w:rPr>
                <w:rFonts w:hAnsi="標楷體" w:hint="eastAsia"/>
                <w:color w:val="000000"/>
                <w:spacing w:val="-20"/>
                <w:sz w:val="26"/>
                <w:szCs w:val="26"/>
              </w:rPr>
              <w:t>判定標準</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1204"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999"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r>
      <w:tr w:rsidR="005F7839" w:rsidRPr="00BA6B83" w:rsidTr="00D26A57">
        <w:trPr>
          <w:jc w:val="center"/>
        </w:trPr>
        <w:tc>
          <w:tcPr>
            <w:tcW w:w="392" w:type="dxa"/>
            <w:vMerge/>
            <w:shd w:val="clear" w:color="auto" w:fill="auto"/>
            <w:vAlign w:val="center"/>
          </w:tcPr>
          <w:p w:rsidR="005F7839" w:rsidRPr="00BA6B83" w:rsidRDefault="005F7839" w:rsidP="00D26A57">
            <w:pPr>
              <w:rPr>
                <w:rFonts w:hAnsi="標楷體"/>
                <w:color w:val="000000"/>
                <w:sz w:val="26"/>
                <w:szCs w:val="26"/>
              </w:rPr>
            </w:pPr>
          </w:p>
        </w:tc>
        <w:tc>
          <w:tcPr>
            <w:tcW w:w="1134" w:type="dxa"/>
            <w:shd w:val="clear" w:color="auto" w:fill="auto"/>
            <w:vAlign w:val="center"/>
          </w:tcPr>
          <w:p w:rsidR="005F7839" w:rsidRPr="00BA6B83" w:rsidRDefault="005F7839" w:rsidP="00D26A57">
            <w:pPr>
              <w:ind w:leftChars="-17" w:left="-17" w:rightChars="-7" w:right="-24" w:hangingChars="17" w:hanging="41"/>
              <w:jc w:val="center"/>
              <w:rPr>
                <w:rFonts w:hAnsi="標楷體"/>
                <w:color w:val="000000"/>
                <w:spacing w:val="-20"/>
                <w:sz w:val="26"/>
                <w:szCs w:val="26"/>
              </w:rPr>
            </w:pPr>
            <w:r w:rsidRPr="00BA6B83">
              <w:rPr>
                <w:rFonts w:hAnsi="標楷體" w:hint="eastAsia"/>
                <w:color w:val="000000"/>
                <w:spacing w:val="-20"/>
                <w:sz w:val="26"/>
                <w:szCs w:val="26"/>
              </w:rPr>
              <w:t>概估經費</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c>
          <w:tcPr>
            <w:tcW w:w="851" w:type="dxa"/>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Ⅴ</w:t>
            </w:r>
          </w:p>
        </w:tc>
        <w:tc>
          <w:tcPr>
            <w:tcW w:w="851"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c>
          <w:tcPr>
            <w:tcW w:w="850"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c>
          <w:tcPr>
            <w:tcW w:w="1204"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c>
          <w:tcPr>
            <w:tcW w:w="999" w:type="dxa"/>
            <w:shd w:val="clear" w:color="auto" w:fill="auto"/>
            <w:vAlign w:val="center"/>
          </w:tcPr>
          <w:p w:rsidR="005F7839" w:rsidRPr="00BA6B83" w:rsidRDefault="005F7839" w:rsidP="00D26A57">
            <w:pPr>
              <w:jc w:val="center"/>
              <w:rPr>
                <w:rFonts w:hAnsi="標楷體"/>
                <w:color w:val="000000"/>
                <w:sz w:val="26"/>
                <w:szCs w:val="26"/>
              </w:rPr>
            </w:pPr>
            <w:r w:rsidRPr="00BA6B83">
              <w:rPr>
                <w:rFonts w:hAnsi="標楷體" w:hint="eastAsia"/>
                <w:color w:val="000000"/>
                <w:sz w:val="26"/>
                <w:szCs w:val="26"/>
              </w:rPr>
              <w:t>Ⅹ</w:t>
            </w:r>
          </w:p>
        </w:tc>
      </w:tr>
    </w:tbl>
    <w:p w:rsidR="005F7839" w:rsidRPr="007F5D45" w:rsidRDefault="005F7839" w:rsidP="00037999">
      <w:pPr>
        <w:spacing w:beforeLines="10" w:before="45" w:line="320" w:lineRule="exact"/>
        <w:rPr>
          <w:color w:val="000000"/>
          <w:sz w:val="22"/>
          <w:szCs w:val="24"/>
        </w:rPr>
      </w:pPr>
      <w:r w:rsidRPr="007F5D45">
        <w:rPr>
          <w:rFonts w:hint="eastAsia"/>
          <w:color w:val="000000"/>
          <w:sz w:val="22"/>
          <w:szCs w:val="24"/>
        </w:rPr>
        <w:t>資料來源：觀光署查復資料、約</w:t>
      </w:r>
      <w:proofErr w:type="gramStart"/>
      <w:r w:rsidRPr="007F5D45">
        <w:rPr>
          <w:rFonts w:hint="eastAsia"/>
          <w:color w:val="000000"/>
          <w:sz w:val="22"/>
          <w:szCs w:val="24"/>
        </w:rPr>
        <w:t>詢</w:t>
      </w:r>
      <w:proofErr w:type="gramEnd"/>
      <w:r w:rsidRPr="007F5D45">
        <w:rPr>
          <w:rFonts w:hint="eastAsia"/>
          <w:color w:val="000000"/>
          <w:sz w:val="22"/>
          <w:szCs w:val="24"/>
        </w:rPr>
        <w:t>資料及迭次補充資料，</w:t>
      </w:r>
      <w:proofErr w:type="gramStart"/>
      <w:r w:rsidRPr="007F5D45">
        <w:rPr>
          <w:rFonts w:hint="eastAsia"/>
          <w:color w:val="000000"/>
          <w:sz w:val="22"/>
          <w:szCs w:val="24"/>
        </w:rPr>
        <w:t>本院彙</w:t>
      </w:r>
      <w:proofErr w:type="gramEnd"/>
      <w:r w:rsidRPr="007F5D45">
        <w:rPr>
          <w:rFonts w:hint="eastAsia"/>
          <w:color w:val="000000"/>
          <w:sz w:val="22"/>
          <w:szCs w:val="24"/>
        </w:rPr>
        <w:t>整。</w:t>
      </w:r>
    </w:p>
    <w:p w:rsidR="005F7839" w:rsidRPr="00316C17" w:rsidRDefault="005F7839" w:rsidP="00037999">
      <w:pPr>
        <w:spacing w:line="320" w:lineRule="exact"/>
        <w:rPr>
          <w:color w:val="000000"/>
          <w:sz w:val="22"/>
          <w:szCs w:val="22"/>
        </w:rPr>
      </w:pPr>
      <w:proofErr w:type="gramStart"/>
      <w:r w:rsidRPr="00316C17">
        <w:rPr>
          <w:rFonts w:hint="eastAsia"/>
          <w:color w:val="000000"/>
          <w:sz w:val="22"/>
          <w:szCs w:val="22"/>
        </w:rPr>
        <w:t>註</w:t>
      </w:r>
      <w:proofErr w:type="gramEnd"/>
      <w:r w:rsidRPr="00316C17">
        <w:rPr>
          <w:rFonts w:hint="eastAsia"/>
          <w:color w:val="000000"/>
          <w:sz w:val="22"/>
          <w:szCs w:val="22"/>
        </w:rPr>
        <w:t>1：東北角管理處僅規範目視檢測方式，無檢測頻率。</w:t>
      </w:r>
    </w:p>
    <w:p w:rsidR="004A130C" w:rsidRPr="00316C17" w:rsidRDefault="004A130C" w:rsidP="004A130C">
      <w:pPr>
        <w:spacing w:line="340" w:lineRule="exact"/>
        <w:rPr>
          <w:color w:val="000000"/>
          <w:sz w:val="22"/>
          <w:szCs w:val="22"/>
        </w:rPr>
      </w:pPr>
      <w:proofErr w:type="gramStart"/>
      <w:r w:rsidRPr="00316C17">
        <w:rPr>
          <w:rFonts w:hint="eastAsia"/>
          <w:color w:val="000000"/>
          <w:sz w:val="22"/>
          <w:szCs w:val="22"/>
        </w:rPr>
        <w:t>註</w:t>
      </w:r>
      <w:proofErr w:type="gramEnd"/>
      <w:r w:rsidRPr="00316C17">
        <w:rPr>
          <w:rFonts w:hint="eastAsia"/>
          <w:color w:val="000000"/>
          <w:sz w:val="22"/>
          <w:szCs w:val="22"/>
        </w:rPr>
        <w:t>2：台灣整合防災工程技術顧問有限公司，以下簡稱台灣整合。</w:t>
      </w:r>
    </w:p>
    <w:p w:rsidR="004A130C" w:rsidRPr="00316C17" w:rsidRDefault="004A130C" w:rsidP="004A130C">
      <w:pPr>
        <w:spacing w:line="340" w:lineRule="exact"/>
        <w:rPr>
          <w:color w:val="000000"/>
          <w:sz w:val="22"/>
          <w:szCs w:val="22"/>
        </w:rPr>
      </w:pPr>
      <w:proofErr w:type="gramStart"/>
      <w:r w:rsidRPr="00316C17">
        <w:rPr>
          <w:rFonts w:hint="eastAsia"/>
          <w:color w:val="000000"/>
          <w:sz w:val="22"/>
          <w:szCs w:val="22"/>
        </w:rPr>
        <w:t>註</w:t>
      </w:r>
      <w:proofErr w:type="gramEnd"/>
      <w:r w:rsidRPr="00316C17">
        <w:rPr>
          <w:rFonts w:hint="eastAsia"/>
          <w:color w:val="000000"/>
          <w:sz w:val="22"/>
          <w:szCs w:val="22"/>
        </w:rPr>
        <w:t>3：</w:t>
      </w:r>
      <w:proofErr w:type="gramStart"/>
      <w:r w:rsidRPr="00316C17">
        <w:rPr>
          <w:rFonts w:hint="eastAsia"/>
          <w:color w:val="000000"/>
          <w:sz w:val="22"/>
          <w:szCs w:val="22"/>
        </w:rPr>
        <w:t>湛勻工程</w:t>
      </w:r>
      <w:proofErr w:type="gramEnd"/>
      <w:r w:rsidRPr="00316C17">
        <w:rPr>
          <w:rFonts w:hint="eastAsia"/>
          <w:color w:val="000000"/>
          <w:sz w:val="22"/>
          <w:szCs w:val="22"/>
        </w:rPr>
        <w:t>顧問有限公司，以下</w:t>
      </w:r>
      <w:proofErr w:type="gramStart"/>
      <w:r w:rsidRPr="00316C17">
        <w:rPr>
          <w:rFonts w:hint="eastAsia"/>
          <w:color w:val="000000"/>
          <w:sz w:val="22"/>
          <w:szCs w:val="22"/>
        </w:rPr>
        <w:t>簡稱湛勻工</w:t>
      </w:r>
      <w:proofErr w:type="gramEnd"/>
      <w:r w:rsidRPr="00316C17">
        <w:rPr>
          <w:rFonts w:hint="eastAsia"/>
          <w:color w:val="000000"/>
          <w:sz w:val="22"/>
          <w:szCs w:val="22"/>
        </w:rPr>
        <w:t>程。</w:t>
      </w:r>
    </w:p>
    <w:p w:rsidR="004A130C" w:rsidRPr="00316C17" w:rsidRDefault="004A130C" w:rsidP="004A130C">
      <w:pPr>
        <w:spacing w:line="320" w:lineRule="exact"/>
        <w:rPr>
          <w:color w:val="000000"/>
          <w:sz w:val="22"/>
          <w:szCs w:val="22"/>
        </w:rPr>
      </w:pPr>
      <w:proofErr w:type="gramStart"/>
      <w:r w:rsidRPr="00316C17">
        <w:rPr>
          <w:rFonts w:hint="eastAsia"/>
          <w:color w:val="000000"/>
          <w:sz w:val="22"/>
          <w:szCs w:val="22"/>
        </w:rPr>
        <w:t>註</w:t>
      </w:r>
      <w:proofErr w:type="gramEnd"/>
      <w:r w:rsidRPr="00316C17">
        <w:rPr>
          <w:rFonts w:hint="eastAsia"/>
          <w:color w:val="000000"/>
          <w:sz w:val="22"/>
          <w:szCs w:val="22"/>
        </w:rPr>
        <w:t>4：</w:t>
      </w:r>
      <w:proofErr w:type="gramStart"/>
      <w:r w:rsidRPr="00316C17">
        <w:rPr>
          <w:rFonts w:hint="eastAsia"/>
          <w:color w:val="000000"/>
          <w:sz w:val="22"/>
          <w:szCs w:val="22"/>
        </w:rPr>
        <w:t>仲冠</w:t>
      </w:r>
      <w:r w:rsidRPr="00316C17">
        <w:rPr>
          <w:rFonts w:hAnsi="標楷體" w:hint="eastAsia"/>
          <w:color w:val="000000"/>
          <w:sz w:val="22"/>
          <w:szCs w:val="22"/>
        </w:rPr>
        <w:t>工程</w:t>
      </w:r>
      <w:proofErr w:type="gramEnd"/>
      <w:r w:rsidRPr="00316C17">
        <w:rPr>
          <w:rFonts w:hAnsi="標楷體" w:hint="eastAsia"/>
          <w:color w:val="000000"/>
          <w:sz w:val="22"/>
          <w:szCs w:val="22"/>
        </w:rPr>
        <w:t>顧問有限公司，以下</w:t>
      </w:r>
      <w:proofErr w:type="gramStart"/>
      <w:r w:rsidRPr="00316C17">
        <w:rPr>
          <w:rFonts w:hAnsi="標楷體" w:hint="eastAsia"/>
          <w:color w:val="000000"/>
          <w:sz w:val="22"/>
          <w:szCs w:val="22"/>
        </w:rPr>
        <w:t>簡稱仲冠工</w:t>
      </w:r>
      <w:proofErr w:type="gramEnd"/>
      <w:r w:rsidRPr="00316C17">
        <w:rPr>
          <w:rFonts w:hAnsi="標楷體" w:hint="eastAsia"/>
          <w:color w:val="000000"/>
          <w:sz w:val="22"/>
          <w:szCs w:val="22"/>
        </w:rPr>
        <w:t>程。</w:t>
      </w:r>
    </w:p>
    <w:p w:rsidR="005F7839" w:rsidRPr="007F5D45" w:rsidRDefault="005F7839" w:rsidP="005F7839">
      <w:pPr>
        <w:spacing w:line="240" w:lineRule="exact"/>
        <w:rPr>
          <w:color w:val="000000"/>
        </w:rPr>
      </w:pPr>
    </w:p>
    <w:p w:rsidR="002C4A7B" w:rsidRPr="007F5D45" w:rsidRDefault="005F7839" w:rsidP="002A0569">
      <w:pPr>
        <w:pStyle w:val="3"/>
        <w:numPr>
          <w:ilvl w:val="2"/>
          <w:numId w:val="1"/>
        </w:numPr>
        <w:ind w:left="1360" w:hanging="680"/>
        <w:rPr>
          <w:b/>
          <w:color w:val="000000"/>
        </w:rPr>
      </w:pPr>
      <w:r w:rsidRPr="007F5D45">
        <w:rPr>
          <w:rFonts w:hint="eastAsia"/>
          <w:color w:val="000000"/>
        </w:rPr>
        <w:t>綜上，有關特殊性人行天橋之維護管理，依內政部</w:t>
      </w:r>
      <w:r w:rsidR="007D709C" w:rsidRPr="007F5D45">
        <w:rPr>
          <w:rFonts w:hint="eastAsia"/>
          <w:color w:val="000000"/>
        </w:rPr>
        <w:t>「</w:t>
      </w:r>
      <w:r w:rsidRPr="007F5D45">
        <w:rPr>
          <w:rFonts w:hint="eastAsia"/>
          <w:color w:val="000000"/>
        </w:rPr>
        <w:t>人行天橋檢測與維修及補強規範」應另訂定維護管理作業計畫，觀光署各管理處多委由橋梁專業檢測團隊編製，但事後卻無確認機制，</w:t>
      </w:r>
      <w:bookmarkStart w:id="49" w:name="_Hlk187513641"/>
      <w:r w:rsidRPr="007F5D45">
        <w:rPr>
          <w:rFonts w:hint="eastAsia"/>
          <w:color w:val="000000"/>
        </w:rPr>
        <w:t>致使作業計畫多未納入「經費概估」必要項目，部分計畫之檢測頻率相較過往更為寬鬆，且除卻「維修及補強建議」外，內容與其定期檢測報告書如出一轍等情事</w:t>
      </w:r>
      <w:bookmarkEnd w:id="49"/>
      <w:r w:rsidRPr="007F5D45">
        <w:rPr>
          <w:rFonts w:hint="eastAsia"/>
          <w:color w:val="000000"/>
        </w:rPr>
        <w:t>，觀光署未能督促管理處落實辦理，核有疏失。</w:t>
      </w:r>
      <w:bookmarkEnd w:id="48"/>
    </w:p>
    <w:p w:rsidR="00286B1B" w:rsidRDefault="00E25849" w:rsidP="00C86866">
      <w:pPr>
        <w:pStyle w:val="10"/>
        <w:ind w:left="680" w:firstLine="6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End w:id="35"/>
      <w:bookmarkEnd w:id="36"/>
      <w:bookmarkEnd w:id="37"/>
      <w:bookmarkEnd w:id="38"/>
      <w:bookmarkEnd w:id="39"/>
      <w:bookmarkEnd w:id="40"/>
      <w:r w:rsidRPr="005433B1">
        <w:rPr>
          <w:color w:val="000000" w:themeColor="text1"/>
        </w:rPr>
        <w:br w:type="page"/>
      </w:r>
      <w:bookmarkStart w:id="60" w:name="_Toc524902730"/>
      <w:bookmarkEnd w:id="50"/>
      <w:bookmarkEnd w:id="51"/>
      <w:bookmarkEnd w:id="52"/>
      <w:bookmarkEnd w:id="53"/>
      <w:bookmarkEnd w:id="54"/>
      <w:bookmarkEnd w:id="55"/>
      <w:bookmarkEnd w:id="56"/>
      <w:bookmarkEnd w:id="57"/>
      <w:bookmarkEnd w:id="58"/>
      <w:bookmarkEnd w:id="59"/>
      <w:r w:rsidR="000512D1">
        <w:rPr>
          <w:rFonts w:hint="eastAsia"/>
        </w:rPr>
        <w:lastRenderedPageBreak/>
        <w:t>綜上所述，</w:t>
      </w:r>
      <w:r w:rsidR="00C90925" w:rsidRPr="00201B78">
        <w:rPr>
          <w:rFonts w:hint="eastAsia"/>
          <w:color w:val="000000" w:themeColor="text1"/>
        </w:rPr>
        <w:t>觀光署對於所轄13個管理處</w:t>
      </w:r>
      <w:r w:rsidR="00C90925" w:rsidRPr="00CA02BD">
        <w:rPr>
          <w:rFonts w:hint="eastAsia"/>
          <w:color w:val="000000" w:themeColor="text1"/>
        </w:rPr>
        <w:t>經管之橋梁、</w:t>
      </w:r>
      <w:r w:rsidR="00C90925">
        <w:rPr>
          <w:rFonts w:hint="eastAsia"/>
          <w:color w:val="000000" w:themeColor="text1"/>
        </w:rPr>
        <w:t>補助</w:t>
      </w:r>
      <w:r w:rsidR="00C90925" w:rsidRPr="00CA02BD">
        <w:rPr>
          <w:rFonts w:hint="eastAsia"/>
          <w:color w:val="000000" w:themeColor="text1"/>
        </w:rPr>
        <w:t>直轄市與縣(市)政府</w:t>
      </w:r>
      <w:r w:rsidR="00C90925">
        <w:rPr>
          <w:rFonts w:hint="eastAsia"/>
          <w:color w:val="000000" w:themeColor="text1"/>
        </w:rPr>
        <w:t>興建</w:t>
      </w:r>
      <w:r w:rsidR="00C90925" w:rsidRPr="00CA02BD">
        <w:rPr>
          <w:rFonts w:hint="eastAsia"/>
          <w:color w:val="000000" w:themeColor="text1"/>
        </w:rPr>
        <w:t>橋梁</w:t>
      </w:r>
      <w:r w:rsidR="00C90925">
        <w:rPr>
          <w:rFonts w:hint="eastAsia"/>
          <w:color w:val="000000" w:themeColor="text1"/>
        </w:rPr>
        <w:t>之養護作業</w:t>
      </w:r>
      <w:r w:rsidR="00C90925" w:rsidRPr="00CA02BD">
        <w:rPr>
          <w:rFonts w:hint="eastAsia"/>
          <w:color w:val="000000" w:themeColor="text1"/>
        </w:rPr>
        <w:t>，</w:t>
      </w:r>
      <w:r w:rsidR="00647EB8">
        <w:rPr>
          <w:rFonts w:hint="eastAsia"/>
          <w:color w:val="000000" w:themeColor="text1"/>
        </w:rPr>
        <w:t>包括部分管理處於</w:t>
      </w:r>
      <w:r w:rsidR="00647EB8" w:rsidRPr="00356B03">
        <w:rPr>
          <w:rFonts w:hint="eastAsia"/>
          <w:color w:val="000000"/>
        </w:rPr>
        <w:t>「人行天橋管理資訊系統」登載橋梁基本資料及檢測紀錄有不一致或缺漏、未積極辦理維護管理人員之教育訓練、</w:t>
      </w:r>
      <w:r w:rsidR="00647EB8">
        <w:rPr>
          <w:rFonts w:hint="eastAsia"/>
          <w:color w:val="000000"/>
        </w:rPr>
        <w:t>將</w:t>
      </w:r>
      <w:r w:rsidR="00647EB8" w:rsidRPr="00356B03">
        <w:rPr>
          <w:rFonts w:hint="eastAsia"/>
          <w:color w:val="000000"/>
        </w:rPr>
        <w:t>特殊性人行天橋維護管理作業計畫</w:t>
      </w:r>
      <w:r w:rsidR="00647EB8">
        <w:rPr>
          <w:rFonts w:hint="eastAsia"/>
          <w:color w:val="000000"/>
        </w:rPr>
        <w:t>委由專業團隊</w:t>
      </w:r>
      <w:r w:rsidR="00647EB8" w:rsidRPr="00356B03">
        <w:rPr>
          <w:rFonts w:hint="eastAsia"/>
          <w:color w:val="000000"/>
        </w:rPr>
        <w:t>編製卻無事後確認機制</w:t>
      </w:r>
      <w:r w:rsidR="00647EB8">
        <w:rPr>
          <w:rFonts w:hint="eastAsia"/>
          <w:color w:val="000000"/>
        </w:rPr>
        <w:t>，以致作業計畫部分內容不符規定</w:t>
      </w:r>
      <w:r w:rsidR="00647EB8" w:rsidRPr="00356B03">
        <w:rPr>
          <w:rFonts w:hint="eastAsia"/>
          <w:color w:val="000000"/>
        </w:rPr>
        <w:t>等情事，</w:t>
      </w:r>
      <w:proofErr w:type="gramStart"/>
      <w:r w:rsidR="00647EB8" w:rsidRPr="00EF749B">
        <w:rPr>
          <w:rFonts w:hint="eastAsia"/>
          <w:color w:val="000000" w:themeColor="text1"/>
        </w:rPr>
        <w:t>迨</w:t>
      </w:r>
      <w:proofErr w:type="gramEnd"/>
      <w:r w:rsidR="00647EB8" w:rsidRPr="00EF749B">
        <w:rPr>
          <w:rFonts w:hint="eastAsia"/>
          <w:color w:val="000000" w:themeColor="text1"/>
        </w:rPr>
        <w:t>至本院調查後</w:t>
      </w:r>
      <w:r w:rsidR="00647EB8">
        <w:rPr>
          <w:rFonts w:hint="eastAsia"/>
          <w:color w:val="000000" w:themeColor="text1"/>
        </w:rPr>
        <w:t>始儘速趕辦，</w:t>
      </w:r>
      <w:proofErr w:type="gramStart"/>
      <w:r w:rsidR="00647EB8">
        <w:rPr>
          <w:rFonts w:hint="eastAsia"/>
          <w:color w:val="000000" w:themeColor="text1"/>
        </w:rPr>
        <w:t>揆</w:t>
      </w:r>
      <w:proofErr w:type="gramEnd"/>
      <w:r w:rsidR="00647EB8">
        <w:rPr>
          <w:rFonts w:hint="eastAsia"/>
          <w:color w:val="000000" w:themeColor="text1"/>
        </w:rPr>
        <w:t>諸</w:t>
      </w:r>
      <w:r w:rsidR="00647EB8" w:rsidRPr="007F5D45">
        <w:rPr>
          <w:rFonts w:hint="eastAsia"/>
          <w:color w:val="000000"/>
        </w:rPr>
        <w:t>上開</w:t>
      </w:r>
      <w:r w:rsidR="00647EB8">
        <w:rPr>
          <w:rFonts w:hint="eastAsia"/>
          <w:color w:val="000000"/>
        </w:rPr>
        <w:t>作業</w:t>
      </w:r>
      <w:r w:rsidR="00647EB8" w:rsidRPr="007F5D45">
        <w:rPr>
          <w:rFonts w:hint="eastAsia"/>
          <w:color w:val="000000"/>
        </w:rPr>
        <w:t>要點生效後近4年，</w:t>
      </w:r>
      <w:proofErr w:type="gramStart"/>
      <w:r w:rsidR="00647EB8">
        <w:rPr>
          <w:rFonts w:hint="eastAsia"/>
          <w:color w:val="000000"/>
        </w:rPr>
        <w:t>該署</w:t>
      </w:r>
      <w:r w:rsidR="00647EB8" w:rsidRPr="007F5D45">
        <w:rPr>
          <w:rFonts w:hint="eastAsia"/>
          <w:color w:val="000000"/>
        </w:rPr>
        <w:t>始完成</w:t>
      </w:r>
      <w:proofErr w:type="gramEnd"/>
      <w:r w:rsidR="00647EB8" w:rsidRPr="007F5D45">
        <w:rPr>
          <w:rFonts w:hint="eastAsia"/>
          <w:color w:val="000000"/>
        </w:rPr>
        <w:t>轄管橋梁首次督導及考核作業，</w:t>
      </w:r>
      <w:r w:rsidR="00647EB8">
        <w:rPr>
          <w:rFonts w:hint="eastAsia"/>
          <w:color w:val="000000"/>
        </w:rPr>
        <w:t>未能重視</w:t>
      </w:r>
      <w:r w:rsidR="00647EB8" w:rsidRPr="002B6EEB">
        <w:rPr>
          <w:color w:val="000000"/>
          <w:szCs w:val="52"/>
        </w:rPr>
        <w:t>橋梁</w:t>
      </w:r>
      <w:r w:rsidR="00647EB8">
        <w:rPr>
          <w:rFonts w:hint="eastAsia"/>
          <w:color w:val="000000"/>
          <w:szCs w:val="52"/>
        </w:rPr>
        <w:t>維護的重要性，</w:t>
      </w:r>
      <w:proofErr w:type="gramStart"/>
      <w:r w:rsidR="00647EB8" w:rsidRPr="002B6EEB">
        <w:rPr>
          <w:color w:val="000000"/>
          <w:szCs w:val="52"/>
        </w:rPr>
        <w:t>攸</w:t>
      </w:r>
      <w:proofErr w:type="gramEnd"/>
      <w:r w:rsidR="00647EB8" w:rsidRPr="002B6EEB">
        <w:rPr>
          <w:color w:val="000000"/>
          <w:szCs w:val="52"/>
        </w:rPr>
        <w:t>關</w:t>
      </w:r>
      <w:r w:rsidR="00647EB8">
        <w:rPr>
          <w:rFonts w:hint="eastAsia"/>
          <w:color w:val="000000"/>
          <w:szCs w:val="52"/>
        </w:rPr>
        <w:t>遊客</w:t>
      </w:r>
      <w:r w:rsidR="00647EB8" w:rsidRPr="002B6EEB">
        <w:rPr>
          <w:color w:val="000000"/>
          <w:szCs w:val="52"/>
        </w:rPr>
        <w:t>生命</w:t>
      </w:r>
      <w:r w:rsidR="00647EB8">
        <w:rPr>
          <w:rFonts w:hint="eastAsia"/>
          <w:color w:val="000000"/>
        </w:rPr>
        <w:t>安全，</w:t>
      </w:r>
      <w:r w:rsidR="00647EB8">
        <w:rPr>
          <w:rFonts w:hint="eastAsia"/>
          <w:color w:val="000000" w:themeColor="text1"/>
        </w:rPr>
        <w:t>確有違失，</w:t>
      </w:r>
      <w:r w:rsidR="00647EB8" w:rsidRPr="001A25E5">
        <w:rPr>
          <w:rFonts w:hint="eastAsia"/>
          <w:bCs/>
          <w:color w:val="000000" w:themeColor="text1"/>
        </w:rPr>
        <w:t>應予糾正促其注意改善</w:t>
      </w:r>
      <w:r w:rsidR="00816448">
        <w:rPr>
          <w:rFonts w:hint="eastAsia"/>
          <w:color w:val="000000" w:themeColor="text1"/>
        </w:rPr>
        <w:t>，</w:t>
      </w:r>
      <w:proofErr w:type="gramStart"/>
      <w:r w:rsidR="000512D1" w:rsidRPr="00D55BE0">
        <w:rPr>
          <w:rFonts w:hint="eastAsia"/>
          <w:color w:val="000000" w:themeColor="text1"/>
        </w:rPr>
        <w:t>爰</w:t>
      </w:r>
      <w:proofErr w:type="gramEnd"/>
      <w:r w:rsidR="000512D1" w:rsidRPr="00D55BE0">
        <w:rPr>
          <w:rFonts w:hint="eastAsia"/>
          <w:color w:val="000000" w:themeColor="text1"/>
        </w:rPr>
        <w:t>依</w:t>
      </w:r>
      <w:r w:rsidR="001B48EB" w:rsidRPr="00D55BE0">
        <w:rPr>
          <w:rFonts w:hint="eastAsia"/>
          <w:color w:val="000000" w:themeColor="text1"/>
        </w:rPr>
        <w:t>憲法第97條第1項及</w:t>
      </w:r>
      <w:r w:rsidR="000512D1" w:rsidRPr="00D55BE0">
        <w:rPr>
          <w:rFonts w:hint="eastAsia"/>
          <w:color w:val="000000" w:themeColor="text1"/>
        </w:rPr>
        <w:t>監察</w:t>
      </w:r>
      <w:r w:rsidR="000512D1">
        <w:rPr>
          <w:rFonts w:hint="eastAsia"/>
        </w:rPr>
        <w:t>法第24條</w:t>
      </w:r>
      <w:r w:rsidR="00396EC5">
        <w:rPr>
          <w:rFonts w:hint="eastAsia"/>
        </w:rPr>
        <w:t>之</w:t>
      </w:r>
      <w:r w:rsidR="000512D1" w:rsidRPr="000512D1">
        <w:rPr>
          <w:rFonts w:hint="eastAsia"/>
        </w:rPr>
        <w:t>規定</w:t>
      </w:r>
      <w:r w:rsidR="000512D1">
        <w:rPr>
          <w:rFonts w:hint="eastAsia"/>
        </w:rPr>
        <w:t>提案糾正，</w:t>
      </w:r>
      <w:r w:rsidR="000512D1" w:rsidRPr="000A3F75">
        <w:rPr>
          <w:rFonts w:hint="eastAsia"/>
          <w:color w:val="000000" w:themeColor="text1"/>
        </w:rPr>
        <w:t>移送</w:t>
      </w:r>
      <w:r w:rsidR="00286ACF" w:rsidRPr="002774A6">
        <w:rPr>
          <w:rFonts w:hint="eastAsia"/>
        </w:rPr>
        <w:t>交通部督</w:t>
      </w:r>
      <w:proofErr w:type="gramStart"/>
      <w:r w:rsidR="000512D1" w:rsidRPr="002774A6">
        <w:rPr>
          <w:rFonts w:hint="eastAsia"/>
        </w:rPr>
        <w:t>飭</w:t>
      </w:r>
      <w:proofErr w:type="gramEnd"/>
      <w:r w:rsidR="000512D1" w:rsidRPr="002774A6">
        <w:rPr>
          <w:rFonts w:hint="eastAsia"/>
        </w:rPr>
        <w:t>所</w:t>
      </w:r>
      <w:r w:rsidR="000512D1" w:rsidRPr="000A3F75">
        <w:rPr>
          <w:rFonts w:hint="eastAsia"/>
          <w:color w:val="000000" w:themeColor="text1"/>
        </w:rPr>
        <w:t>屬</w:t>
      </w:r>
      <w:r w:rsidR="000512D1">
        <w:rPr>
          <w:rFonts w:hint="eastAsia"/>
        </w:rPr>
        <w:t>確實檢討改善</w:t>
      </w:r>
      <w:proofErr w:type="gramStart"/>
      <w:r w:rsidR="000512D1">
        <w:rPr>
          <w:rFonts w:hint="eastAsia"/>
        </w:rPr>
        <w:t>見復</w:t>
      </w:r>
      <w:r w:rsidR="00286B1B">
        <w:rPr>
          <w:rFonts w:hint="eastAsia"/>
        </w:rPr>
        <w:t>。</w:t>
      </w:r>
      <w:proofErr w:type="gramEnd"/>
    </w:p>
    <w:p w:rsidR="009A11BA" w:rsidRDefault="009A11BA" w:rsidP="00C86866">
      <w:pPr>
        <w:pStyle w:val="10"/>
        <w:ind w:left="680" w:firstLine="680"/>
      </w:pPr>
    </w:p>
    <w:p w:rsidR="009A11BA" w:rsidRDefault="009A11BA" w:rsidP="00C86866">
      <w:pPr>
        <w:pStyle w:val="10"/>
        <w:ind w:left="680" w:firstLine="680"/>
        <w:rPr>
          <w:rFonts w:hint="eastAsia"/>
        </w:rPr>
      </w:pPr>
    </w:p>
    <w:p w:rsidR="009A11BA" w:rsidRPr="00BB030E" w:rsidRDefault="00286B1B" w:rsidP="009A11BA">
      <w:pPr>
        <w:pStyle w:val="aa"/>
        <w:spacing w:beforeLines="50" w:before="228" w:afterLines="50" w:after="228"/>
        <w:ind w:leftChars="1100" w:left="3742"/>
        <w:rPr>
          <w:rFonts w:ascii="Times New Roman"/>
          <w:b w:val="0"/>
          <w:bCs/>
          <w:spacing w:val="12"/>
          <w:kern w:val="0"/>
          <w:sz w:val="40"/>
          <w:szCs w:val="40"/>
        </w:rPr>
      </w:pPr>
      <w:bookmarkStart w:id="61" w:name="_Toc524895649"/>
      <w:bookmarkStart w:id="62" w:name="_Toc524896195"/>
      <w:bookmarkStart w:id="63" w:name="_Toc524896225"/>
      <w:bookmarkEnd w:id="61"/>
      <w:bookmarkEnd w:id="62"/>
      <w:bookmarkEnd w:id="63"/>
      <w:r w:rsidRPr="006D0935">
        <w:rPr>
          <w:rFonts w:hint="eastAsia"/>
          <w:b w:val="0"/>
          <w:bCs/>
          <w:snapToGrid/>
          <w:spacing w:val="12"/>
          <w:kern w:val="0"/>
          <w:sz w:val="40"/>
        </w:rPr>
        <w:t>提案委員：</w:t>
      </w:r>
      <w:r w:rsidR="009A11BA" w:rsidRPr="00BB030E">
        <w:rPr>
          <w:rFonts w:ascii="Times New Roman" w:hint="eastAsia"/>
          <w:b w:val="0"/>
          <w:bCs/>
          <w:spacing w:val="12"/>
          <w:kern w:val="0"/>
          <w:sz w:val="40"/>
          <w:szCs w:val="40"/>
        </w:rPr>
        <w:t>張菊芳</w:t>
      </w:r>
    </w:p>
    <w:p w:rsidR="009A11BA" w:rsidRPr="00BB030E" w:rsidRDefault="009A11BA" w:rsidP="009A11BA">
      <w:pPr>
        <w:pStyle w:val="aa"/>
        <w:spacing w:beforeLines="50" w:before="228" w:afterLines="50" w:after="228"/>
        <w:ind w:leftChars="1100" w:left="3742" w:firstLineChars="500" w:firstLine="2221"/>
        <w:rPr>
          <w:rFonts w:ascii="Times New Roman"/>
          <w:b w:val="0"/>
          <w:bCs/>
          <w:spacing w:val="12"/>
          <w:kern w:val="0"/>
          <w:sz w:val="40"/>
          <w:szCs w:val="40"/>
        </w:rPr>
      </w:pPr>
      <w:r w:rsidRPr="00BB030E">
        <w:rPr>
          <w:rFonts w:ascii="Times New Roman" w:hint="eastAsia"/>
          <w:b w:val="0"/>
          <w:bCs/>
          <w:spacing w:val="12"/>
          <w:kern w:val="0"/>
          <w:sz w:val="40"/>
          <w:szCs w:val="40"/>
        </w:rPr>
        <w:t>郭文東</w:t>
      </w:r>
    </w:p>
    <w:p w:rsidR="00286B1B" w:rsidRPr="006D0935" w:rsidRDefault="009A11BA" w:rsidP="009A11BA">
      <w:pPr>
        <w:pStyle w:val="aa"/>
        <w:spacing w:beforeLines="150" w:before="685" w:after="0"/>
        <w:ind w:leftChars="1100" w:left="3742" w:firstLineChars="500" w:firstLine="2201"/>
        <w:rPr>
          <w:b w:val="0"/>
          <w:bCs/>
          <w:snapToGrid/>
          <w:spacing w:val="12"/>
          <w:kern w:val="0"/>
          <w:sz w:val="40"/>
        </w:rPr>
      </w:pPr>
      <w:r w:rsidRPr="00BB030E">
        <w:rPr>
          <w:rFonts w:ascii="Times New Roman" w:hint="eastAsia"/>
          <w:b w:val="0"/>
          <w:bCs/>
          <w:kern w:val="0"/>
          <w:sz w:val="40"/>
          <w:szCs w:val="40"/>
        </w:rPr>
        <w:t>陳景峻</w:t>
      </w:r>
    </w:p>
    <w:p w:rsidR="009B1B6E" w:rsidRDefault="009B1B6E" w:rsidP="00286B1B">
      <w:pPr>
        <w:pStyle w:val="aa"/>
        <w:spacing w:beforeLines="50" w:before="228" w:after="0"/>
        <w:ind w:leftChars="1100" w:left="3742"/>
        <w:rPr>
          <w:b w:val="0"/>
          <w:bCs/>
          <w:snapToGrid/>
          <w:spacing w:val="0"/>
          <w:kern w:val="0"/>
        </w:rPr>
      </w:pPr>
    </w:p>
    <w:p w:rsidR="009A11BA" w:rsidRDefault="009A11BA" w:rsidP="00286B1B">
      <w:pPr>
        <w:pStyle w:val="aa"/>
        <w:spacing w:beforeLines="50" w:before="228" w:after="0"/>
        <w:ind w:leftChars="1100" w:left="3742"/>
        <w:rPr>
          <w:rFonts w:hint="eastAsia"/>
          <w:b w:val="0"/>
          <w:bCs/>
          <w:snapToGrid/>
          <w:spacing w:val="0"/>
          <w:kern w:val="0"/>
        </w:rPr>
      </w:pPr>
      <w:bookmarkStart w:id="64" w:name="_GoBack"/>
      <w:bookmarkEnd w:id="64"/>
    </w:p>
    <w:p w:rsidR="00451E78" w:rsidRPr="00451E78" w:rsidRDefault="00286B1B" w:rsidP="00133AA2">
      <w:pPr>
        <w:pStyle w:val="af0"/>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 xml:space="preserve">國　</w:t>
      </w:r>
      <w:r w:rsidR="00310CA7">
        <w:rPr>
          <w:rFonts w:hAnsi="標楷體"/>
          <w:bCs/>
        </w:rPr>
        <w:t>114</w:t>
      </w:r>
      <w:r>
        <w:rPr>
          <w:rFonts w:hAnsi="標楷體" w:hint="eastAsia"/>
          <w:bCs/>
        </w:rPr>
        <w:t xml:space="preserve">　年　</w:t>
      </w:r>
      <w:r w:rsidR="00DD61DB">
        <w:rPr>
          <w:rFonts w:hAnsi="標楷體" w:hint="eastAsia"/>
          <w:bCs/>
        </w:rPr>
        <w:t>2</w:t>
      </w:r>
      <w:r w:rsidR="008A288A">
        <w:rPr>
          <w:rFonts w:hAnsi="標楷體" w:hint="eastAsia"/>
          <w:bCs/>
        </w:rPr>
        <w:t xml:space="preserve"> </w:t>
      </w:r>
      <w:r>
        <w:rPr>
          <w:rFonts w:hAnsi="標楷體" w:hint="eastAsia"/>
          <w:bCs/>
        </w:rPr>
        <w:t xml:space="preserve">　月　</w:t>
      </w:r>
      <w:r w:rsidR="009A11BA">
        <w:rPr>
          <w:rFonts w:hAnsi="標楷體" w:hint="eastAsia"/>
          <w:bCs/>
        </w:rPr>
        <w:t>1</w:t>
      </w:r>
      <w:r w:rsidR="009A11BA">
        <w:rPr>
          <w:rFonts w:hAnsi="標楷體"/>
          <w:bCs/>
        </w:rPr>
        <w:t xml:space="preserve">1 </w:t>
      </w:r>
      <w:r>
        <w:rPr>
          <w:rFonts w:hAnsi="標楷體" w:hint="eastAsia"/>
          <w:bCs/>
        </w:rPr>
        <w:t>日</w:t>
      </w:r>
      <w:bookmarkEnd w:id="60"/>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B44" w:rsidRDefault="00385B44">
      <w:r>
        <w:separator/>
      </w:r>
    </w:p>
  </w:endnote>
  <w:endnote w:type="continuationSeparator" w:id="0">
    <w:p w:rsidR="00385B44" w:rsidRDefault="0038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B44" w:rsidRDefault="00385B44">
      <w:r>
        <w:separator/>
      </w:r>
    </w:p>
  </w:footnote>
  <w:footnote w:type="continuationSeparator" w:id="0">
    <w:p w:rsidR="00385B44" w:rsidRDefault="00385B44">
      <w:r>
        <w:continuationSeparator/>
      </w:r>
    </w:p>
  </w:footnote>
  <w:footnote w:id="1">
    <w:p w:rsidR="00B60C6F" w:rsidRPr="00A210BA" w:rsidRDefault="00B60C6F" w:rsidP="002E6116">
      <w:pPr>
        <w:pStyle w:val="afb"/>
        <w:jc w:val="both"/>
        <w:rPr>
          <w:color w:val="000000"/>
        </w:rPr>
      </w:pPr>
      <w:r w:rsidRPr="00A210BA">
        <w:rPr>
          <w:rStyle w:val="afd"/>
          <w:color w:val="000000"/>
        </w:rPr>
        <w:footnoteRef/>
      </w:r>
      <w:r w:rsidRPr="00A210BA">
        <w:rPr>
          <w:color w:val="000000"/>
        </w:rPr>
        <w:t xml:space="preserve"> </w:t>
      </w:r>
      <w:r w:rsidRPr="00A210BA">
        <w:rPr>
          <w:rFonts w:hint="eastAsia"/>
          <w:color w:val="000000"/>
        </w:rPr>
        <w:t>內政部「人行天橋檢測與維修及補強規範」第1章C</w:t>
      </w:r>
      <w:r w:rsidRPr="00A210BA">
        <w:rPr>
          <w:color w:val="000000"/>
        </w:rPr>
        <w:t>1.3</w:t>
      </w:r>
      <w:r w:rsidRPr="00A210BA">
        <w:rPr>
          <w:rFonts w:hint="eastAsia"/>
          <w:color w:val="000000"/>
        </w:rPr>
        <w:t>略</w:t>
      </w:r>
      <w:proofErr w:type="gramStart"/>
      <w:r w:rsidRPr="00A210BA">
        <w:rPr>
          <w:rFonts w:hint="eastAsia"/>
          <w:color w:val="000000"/>
        </w:rPr>
        <w:t>以</w:t>
      </w:r>
      <w:proofErr w:type="gramEnd"/>
      <w:r w:rsidRPr="00A210BA">
        <w:rPr>
          <w:rFonts w:hint="eastAsia"/>
          <w:color w:val="000000"/>
        </w:rPr>
        <w:t>：除一般性人行天橋外，皆屬特殊性人行天橋，如吊橋、斜張橋、脊背橋、桁架橋、鋼拱橋、混合梁橋(如</w:t>
      </w:r>
      <w:proofErr w:type="gramStart"/>
      <w:r w:rsidRPr="00A210BA">
        <w:rPr>
          <w:rFonts w:hint="eastAsia"/>
          <w:color w:val="000000"/>
        </w:rPr>
        <w:t>鋼梁與</w:t>
      </w:r>
      <w:proofErr w:type="gramEnd"/>
      <w:r w:rsidRPr="00A210BA">
        <w:rPr>
          <w:rFonts w:hint="eastAsia"/>
          <w:color w:val="000000"/>
        </w:rPr>
        <w:t>預力混凝土梁接合)及複合梁橋(如波形</w:t>
      </w:r>
      <w:proofErr w:type="gramStart"/>
      <w:r w:rsidRPr="00A210BA">
        <w:rPr>
          <w:rFonts w:hint="eastAsia"/>
          <w:color w:val="000000"/>
        </w:rPr>
        <w:t>鋼腹板複合</w:t>
      </w:r>
      <w:proofErr w:type="gramEnd"/>
      <w:r w:rsidRPr="00A210BA">
        <w:rPr>
          <w:rFonts w:hint="eastAsia"/>
          <w:color w:val="000000"/>
        </w:rPr>
        <w:t>梁橋)等。</w:t>
      </w:r>
    </w:p>
  </w:footnote>
  <w:footnote w:id="2">
    <w:p w:rsidR="00CA02BD" w:rsidRPr="00A210BA" w:rsidRDefault="00CA02BD" w:rsidP="002E6116">
      <w:pPr>
        <w:pStyle w:val="afb"/>
        <w:jc w:val="both"/>
        <w:rPr>
          <w:color w:val="000000"/>
        </w:rPr>
      </w:pPr>
      <w:r w:rsidRPr="00A210BA">
        <w:rPr>
          <w:rStyle w:val="afd"/>
          <w:color w:val="000000"/>
        </w:rPr>
        <w:footnoteRef/>
      </w:r>
      <w:r w:rsidRPr="00A210BA">
        <w:rPr>
          <w:color w:val="000000"/>
        </w:rPr>
        <w:t xml:space="preserve"> </w:t>
      </w:r>
      <w:r w:rsidRPr="00A210BA">
        <w:rPr>
          <w:rFonts w:hint="eastAsia"/>
          <w:color w:val="000000"/>
        </w:rPr>
        <w:t>相關文號：</w:t>
      </w:r>
      <w:r w:rsidRPr="00A210BA">
        <w:rPr>
          <w:rFonts w:hint="eastAsia"/>
          <w:b/>
          <w:color w:val="000000"/>
        </w:rPr>
        <w:t>內政部</w:t>
      </w:r>
      <w:proofErr w:type="gramStart"/>
      <w:r w:rsidRPr="00A210BA">
        <w:rPr>
          <w:rFonts w:hint="eastAsia"/>
          <w:color w:val="000000"/>
        </w:rPr>
        <w:t>112年11月7日內授國工</w:t>
      </w:r>
      <w:proofErr w:type="gramEnd"/>
      <w:r w:rsidRPr="00A210BA">
        <w:rPr>
          <w:rFonts w:hint="eastAsia"/>
          <w:color w:val="000000"/>
        </w:rPr>
        <w:t>字第1120831696號</w:t>
      </w:r>
      <w:r w:rsidR="00C81298">
        <w:rPr>
          <w:rFonts w:hint="eastAsia"/>
          <w:color w:val="000000"/>
        </w:rPr>
        <w:t>函</w:t>
      </w:r>
      <w:r w:rsidRPr="00A210BA">
        <w:rPr>
          <w:rFonts w:hint="eastAsia"/>
          <w:color w:val="000000"/>
        </w:rPr>
        <w:t>、</w:t>
      </w:r>
      <w:r w:rsidRPr="00A210BA">
        <w:rPr>
          <w:rFonts w:hint="eastAsia"/>
          <w:b/>
          <w:color w:val="000000"/>
        </w:rPr>
        <w:t>交通部暨觀光署</w:t>
      </w:r>
      <w:r w:rsidRPr="00A210BA">
        <w:rPr>
          <w:rFonts w:hint="eastAsia"/>
          <w:color w:val="000000"/>
        </w:rPr>
        <w:t>112年11月17日交授</w:t>
      </w:r>
      <w:proofErr w:type="gramStart"/>
      <w:r w:rsidRPr="00A210BA">
        <w:rPr>
          <w:rFonts w:hint="eastAsia"/>
          <w:color w:val="000000"/>
        </w:rPr>
        <w:t>觀景字第1124002312號</w:t>
      </w:r>
      <w:proofErr w:type="gramEnd"/>
      <w:r w:rsidRPr="00A210BA">
        <w:rPr>
          <w:rFonts w:hint="eastAsia"/>
          <w:color w:val="000000"/>
        </w:rPr>
        <w:t>、113年2月7日</w:t>
      </w:r>
      <w:proofErr w:type="gramStart"/>
      <w:r w:rsidRPr="00A210BA">
        <w:rPr>
          <w:rFonts w:hint="eastAsia"/>
          <w:color w:val="000000"/>
        </w:rPr>
        <w:t>觀景字第1134000208號</w:t>
      </w:r>
      <w:proofErr w:type="gramEnd"/>
      <w:r w:rsidRPr="00A210BA">
        <w:rPr>
          <w:rFonts w:hint="eastAsia"/>
          <w:color w:val="000000"/>
        </w:rPr>
        <w:t>、113年11月27日交授</w:t>
      </w:r>
      <w:proofErr w:type="gramStart"/>
      <w:r w:rsidRPr="00A210BA">
        <w:rPr>
          <w:rFonts w:hint="eastAsia"/>
          <w:color w:val="000000"/>
        </w:rPr>
        <w:t>觀景字第1134002304號</w:t>
      </w:r>
      <w:proofErr w:type="gramEnd"/>
      <w:r w:rsidRPr="00A210BA">
        <w:rPr>
          <w:rFonts w:hint="eastAsia"/>
          <w:color w:val="000000"/>
        </w:rPr>
        <w:t>、113年12月4日交授</w:t>
      </w:r>
      <w:proofErr w:type="gramStart"/>
      <w:r w:rsidRPr="00A210BA">
        <w:rPr>
          <w:rFonts w:hint="eastAsia"/>
          <w:color w:val="000000"/>
        </w:rPr>
        <w:t>觀景字第1130925501號</w:t>
      </w:r>
      <w:proofErr w:type="gramEnd"/>
      <w:r w:rsidR="00C81298">
        <w:rPr>
          <w:rFonts w:hint="eastAsia"/>
          <w:color w:val="000000"/>
        </w:rPr>
        <w:t>等</w:t>
      </w:r>
      <w:r w:rsidRPr="00A210BA">
        <w:rPr>
          <w:rFonts w:hint="eastAsia"/>
          <w:color w:val="000000"/>
        </w:rPr>
        <w:t>函、</w:t>
      </w:r>
      <w:r w:rsidRPr="00A210BA">
        <w:rPr>
          <w:rFonts w:hint="eastAsia"/>
          <w:b/>
          <w:color w:val="000000"/>
        </w:rPr>
        <w:t>南投縣政府</w:t>
      </w:r>
      <w:r w:rsidRPr="00A210BA">
        <w:rPr>
          <w:rFonts w:hint="eastAsia"/>
          <w:color w:val="000000"/>
        </w:rPr>
        <w:t>113年9月20日</w:t>
      </w:r>
      <w:proofErr w:type="gramStart"/>
      <w:r w:rsidRPr="00A210BA">
        <w:rPr>
          <w:rFonts w:hint="eastAsia"/>
          <w:color w:val="000000"/>
        </w:rPr>
        <w:t>府授風工</w:t>
      </w:r>
      <w:proofErr w:type="gramEnd"/>
      <w:r w:rsidRPr="00A210BA">
        <w:rPr>
          <w:rFonts w:hint="eastAsia"/>
          <w:color w:val="000000"/>
        </w:rPr>
        <w:t>字第1130229225號函。</w:t>
      </w:r>
    </w:p>
  </w:footnote>
  <w:footnote w:id="3">
    <w:p w:rsidR="00CA02BD" w:rsidRPr="00A210BA" w:rsidRDefault="00CA02BD" w:rsidP="002E6116">
      <w:pPr>
        <w:pStyle w:val="afb"/>
        <w:jc w:val="both"/>
        <w:rPr>
          <w:color w:val="000000"/>
        </w:rPr>
      </w:pPr>
      <w:r w:rsidRPr="00A210BA">
        <w:rPr>
          <w:rStyle w:val="afd"/>
          <w:color w:val="000000"/>
        </w:rPr>
        <w:footnoteRef/>
      </w:r>
      <w:r w:rsidRPr="00A210BA">
        <w:rPr>
          <w:color w:val="000000"/>
        </w:rPr>
        <w:t xml:space="preserve"> </w:t>
      </w:r>
      <w:r w:rsidRPr="00A210BA">
        <w:rPr>
          <w:rFonts w:hint="eastAsia"/>
          <w:color w:val="000000"/>
        </w:rPr>
        <w:t>相關文號：審計部112年11月6日</w:t>
      </w:r>
      <w:proofErr w:type="gramStart"/>
      <w:r w:rsidRPr="00A210BA">
        <w:rPr>
          <w:rFonts w:hint="eastAsia"/>
          <w:color w:val="000000"/>
        </w:rPr>
        <w:t>台審部交字</w:t>
      </w:r>
      <w:proofErr w:type="gramEnd"/>
      <w:r w:rsidRPr="00A210BA">
        <w:rPr>
          <w:rFonts w:hint="eastAsia"/>
          <w:color w:val="000000"/>
        </w:rPr>
        <w:t>第1128408826號、1</w:t>
      </w:r>
      <w:r w:rsidRPr="00A210BA">
        <w:rPr>
          <w:color w:val="000000"/>
        </w:rPr>
        <w:t>13</w:t>
      </w:r>
      <w:r w:rsidRPr="00A210BA">
        <w:rPr>
          <w:rFonts w:hint="eastAsia"/>
          <w:color w:val="000000"/>
        </w:rPr>
        <w:t>年4月1</w:t>
      </w:r>
      <w:r w:rsidRPr="00A210BA">
        <w:rPr>
          <w:color w:val="000000"/>
        </w:rPr>
        <w:t>6</w:t>
      </w:r>
      <w:r w:rsidRPr="00A210BA">
        <w:rPr>
          <w:rFonts w:hint="eastAsia"/>
          <w:color w:val="000000"/>
        </w:rPr>
        <w:t>日</w:t>
      </w:r>
      <w:proofErr w:type="gramStart"/>
      <w:r w:rsidRPr="00A210BA">
        <w:rPr>
          <w:rFonts w:hint="eastAsia"/>
          <w:color w:val="000000"/>
        </w:rPr>
        <w:t>台審部交字</w:t>
      </w:r>
      <w:proofErr w:type="gramEnd"/>
      <w:r w:rsidRPr="00A210BA">
        <w:rPr>
          <w:rFonts w:hint="eastAsia"/>
          <w:color w:val="000000"/>
        </w:rPr>
        <w:t>第1138401365號、1</w:t>
      </w:r>
      <w:r w:rsidRPr="00A210BA">
        <w:rPr>
          <w:color w:val="000000"/>
        </w:rPr>
        <w:t>13</w:t>
      </w:r>
      <w:r w:rsidRPr="00A210BA">
        <w:rPr>
          <w:rFonts w:hint="eastAsia"/>
          <w:color w:val="000000"/>
        </w:rPr>
        <w:t>年1</w:t>
      </w:r>
      <w:r w:rsidRPr="00A210BA">
        <w:rPr>
          <w:color w:val="000000"/>
        </w:rPr>
        <w:t>0</w:t>
      </w:r>
      <w:r w:rsidRPr="00A210BA">
        <w:rPr>
          <w:rFonts w:hint="eastAsia"/>
          <w:color w:val="000000"/>
        </w:rPr>
        <w:t>月3</w:t>
      </w:r>
      <w:r w:rsidRPr="00A210BA">
        <w:rPr>
          <w:color w:val="000000"/>
        </w:rPr>
        <w:t>0</w:t>
      </w:r>
      <w:r w:rsidRPr="00A210BA">
        <w:rPr>
          <w:rFonts w:hint="eastAsia"/>
          <w:color w:val="000000"/>
        </w:rPr>
        <w:t>日</w:t>
      </w:r>
      <w:proofErr w:type="gramStart"/>
      <w:r w:rsidRPr="00A210BA">
        <w:rPr>
          <w:rFonts w:hint="eastAsia"/>
          <w:color w:val="000000"/>
        </w:rPr>
        <w:t>台審部交字</w:t>
      </w:r>
      <w:proofErr w:type="gramEnd"/>
      <w:r w:rsidRPr="00A210BA">
        <w:rPr>
          <w:rFonts w:hint="eastAsia"/>
          <w:color w:val="000000"/>
        </w:rPr>
        <w:t>第1138404035號函。</w:t>
      </w:r>
    </w:p>
  </w:footnote>
  <w:footnote w:id="4">
    <w:p w:rsidR="005F7839" w:rsidRPr="00DA4FC1" w:rsidRDefault="005F7839" w:rsidP="005F7839">
      <w:pPr>
        <w:pStyle w:val="afb"/>
        <w:jc w:val="both"/>
        <w:rPr>
          <w:color w:val="000000"/>
          <w:spacing w:val="-4"/>
        </w:rPr>
      </w:pPr>
      <w:r w:rsidRPr="00DA4FC1">
        <w:rPr>
          <w:rStyle w:val="afd"/>
          <w:color w:val="000000"/>
          <w:spacing w:val="-4"/>
        </w:rPr>
        <w:footnoteRef/>
      </w:r>
      <w:r w:rsidRPr="00DA4FC1">
        <w:rPr>
          <w:color w:val="000000"/>
          <w:spacing w:val="-4"/>
        </w:rPr>
        <w:t xml:space="preserve"> </w:t>
      </w:r>
      <w:r w:rsidRPr="00DA4FC1">
        <w:rPr>
          <w:rFonts w:hint="eastAsia"/>
          <w:color w:val="000000"/>
          <w:spacing w:val="-4"/>
        </w:rPr>
        <w:t>行政院</w:t>
      </w:r>
      <w:r w:rsidRPr="00DA4FC1">
        <w:rPr>
          <w:rFonts w:hint="eastAsia"/>
          <w:color w:val="000000"/>
          <w:spacing w:val="-4"/>
          <w:szCs w:val="32"/>
        </w:rPr>
        <w:t>「橋梁維護管理作業要點」第3點：「橋梁：指</w:t>
      </w:r>
      <w:r w:rsidRPr="00DA4FC1">
        <w:rPr>
          <w:rFonts w:hint="eastAsia"/>
          <w:color w:val="000000"/>
          <w:spacing w:val="-4"/>
        </w:rPr>
        <w:t>總長達6公尺且跨越地面、水面、道路或軌道之結構物，但不包含箱涵</w:t>
      </w:r>
      <w:proofErr w:type="gramStart"/>
      <w:r w:rsidRPr="00DA4FC1">
        <w:rPr>
          <w:rFonts w:hint="eastAsia"/>
          <w:color w:val="000000"/>
          <w:spacing w:val="-4"/>
        </w:rPr>
        <w:t>或管涵等</w:t>
      </w:r>
      <w:proofErr w:type="gramEnd"/>
      <w:r w:rsidRPr="00DA4FC1">
        <w:rPr>
          <w:rFonts w:hint="eastAsia"/>
          <w:color w:val="000000"/>
          <w:spacing w:val="-4"/>
        </w:rPr>
        <w:t>結構物。依性質分為車行橋梁、鐵道橋梁及人行天橋。」</w:t>
      </w:r>
    </w:p>
  </w:footnote>
  <w:footnote w:id="5">
    <w:p w:rsidR="005F7839" w:rsidRPr="005715C9" w:rsidRDefault="005F7839" w:rsidP="005F7839">
      <w:pPr>
        <w:pStyle w:val="afb"/>
        <w:jc w:val="both"/>
        <w:rPr>
          <w:color w:val="000000"/>
        </w:rPr>
      </w:pPr>
      <w:r w:rsidRPr="005715C9">
        <w:rPr>
          <w:rStyle w:val="afd"/>
          <w:color w:val="000000"/>
        </w:rPr>
        <w:footnoteRef/>
      </w:r>
      <w:r w:rsidRPr="005715C9">
        <w:rPr>
          <w:color w:val="000000"/>
        </w:rPr>
        <w:t xml:space="preserve"> </w:t>
      </w:r>
      <w:r>
        <w:rPr>
          <w:rFonts w:hint="eastAsia"/>
          <w:color w:val="000000"/>
        </w:rPr>
        <w:t>「</w:t>
      </w:r>
      <w:r w:rsidRPr="005715C9">
        <w:rPr>
          <w:rFonts w:hint="eastAsia"/>
          <w:color w:val="000000"/>
          <w:szCs w:val="32"/>
        </w:rPr>
        <w:t>橋梁維護管理作業要點</w:t>
      </w:r>
      <w:r>
        <w:rPr>
          <w:rFonts w:hint="eastAsia"/>
          <w:color w:val="000000"/>
          <w:szCs w:val="32"/>
        </w:rPr>
        <w:t>」</w:t>
      </w:r>
      <w:r w:rsidRPr="005715C9">
        <w:rPr>
          <w:rFonts w:hint="eastAsia"/>
          <w:color w:val="000000"/>
          <w:szCs w:val="32"/>
        </w:rPr>
        <w:t>第4點第1項：「中央政府機關（構）、中央公立學校及公營事業機構供公眾通行之橋梁，由其養護單位養護；由其養護管理機關或協商指定機關定期考核養護情形；並由該橋梁之中央主管機關或協商指定機關定期督導。」第5點第1項：「中央主管機關對所屬養護管理機關有關橋梁檢測、維修、補強、資料建置及開放等橋梁維護管理工作，應定期督導。」第6點第1項：「養護管理機關應定期考核養護單位，確認橋梁養護工作落實執行、相關資料登載確實且保存無虞」及第8點第1項：「養護單位應確實掌握所管橋梁基本資料，定期辦理橋梁檢測，確保橋梁通行安全無虞。」</w:t>
      </w:r>
    </w:p>
  </w:footnote>
  <w:footnote w:id="6">
    <w:p w:rsidR="005F7839" w:rsidRPr="005715C9" w:rsidRDefault="005F7839" w:rsidP="005F7839">
      <w:pPr>
        <w:pStyle w:val="afb"/>
        <w:jc w:val="both"/>
        <w:rPr>
          <w:color w:val="000000"/>
        </w:rPr>
      </w:pPr>
      <w:r w:rsidRPr="005715C9">
        <w:rPr>
          <w:rStyle w:val="afd"/>
          <w:color w:val="000000"/>
        </w:rPr>
        <w:footnoteRef/>
      </w:r>
      <w:r w:rsidRPr="005715C9">
        <w:rPr>
          <w:color w:val="000000"/>
        </w:rPr>
        <w:t xml:space="preserve"> </w:t>
      </w:r>
      <w:r>
        <w:rPr>
          <w:rFonts w:hint="eastAsia"/>
          <w:color w:val="000000"/>
        </w:rPr>
        <w:t>「</w:t>
      </w:r>
      <w:r w:rsidRPr="005715C9">
        <w:rPr>
          <w:rFonts w:hint="eastAsia"/>
          <w:color w:val="000000"/>
        </w:rPr>
        <w:t>風景特定區橋梁維護管理作業要點</w:t>
      </w:r>
      <w:r>
        <w:rPr>
          <w:rFonts w:hint="eastAsia"/>
          <w:color w:val="000000"/>
        </w:rPr>
        <w:t>」</w:t>
      </w:r>
      <w:r w:rsidRPr="005715C9">
        <w:rPr>
          <w:rFonts w:hint="eastAsia"/>
          <w:color w:val="000000"/>
        </w:rPr>
        <w:t>第4點：「養護單位應辦理之橋梁養護作業，包括橋梁之基本資料建立、檢測、維修、維護管理人員之教育訓練、橋梁管理系統運用及相關資料之更新等。」第</w:t>
      </w:r>
      <w:r w:rsidRPr="005715C9">
        <w:rPr>
          <w:color w:val="000000"/>
        </w:rPr>
        <w:t>6</w:t>
      </w:r>
      <w:r w:rsidRPr="005715C9">
        <w:rPr>
          <w:rFonts w:hint="eastAsia"/>
          <w:color w:val="000000"/>
        </w:rPr>
        <w:t>點：「橋梁養護情形之考核、督導及評鑑，依下列分工辦理：(</w:t>
      </w:r>
      <w:proofErr w:type="gramStart"/>
      <w:r w:rsidRPr="005715C9">
        <w:rPr>
          <w:rFonts w:hint="eastAsia"/>
          <w:color w:val="000000"/>
        </w:rPr>
        <w:t>一</w:t>
      </w:r>
      <w:proofErr w:type="gramEnd"/>
      <w:r w:rsidRPr="005715C9">
        <w:rPr>
          <w:rFonts w:hint="eastAsia"/>
          <w:color w:val="000000"/>
        </w:rPr>
        <w:t>)</w:t>
      </w:r>
      <w:r w:rsidRPr="005715C9">
        <w:rPr>
          <w:rFonts w:hint="eastAsia"/>
          <w:color w:val="000000"/>
        </w:rPr>
        <w:tab/>
        <w:t>考核：由本部觀光局辦理之。(二)</w:t>
      </w:r>
      <w:r w:rsidRPr="005715C9">
        <w:rPr>
          <w:rFonts w:hint="eastAsia"/>
          <w:color w:val="000000"/>
        </w:rPr>
        <w:tab/>
        <w:t>督導及評鑑：由本部或得授權本部觀光局邀集專家學者與機關組成督導及評鑑小組辦理之。」及第8點：「督導及考核工作，應每年至少辦理1次。」</w:t>
      </w:r>
    </w:p>
  </w:footnote>
  <w:footnote w:id="7">
    <w:p w:rsidR="005F7839" w:rsidRPr="005715C9" w:rsidRDefault="005F7839" w:rsidP="005F7839">
      <w:pPr>
        <w:pStyle w:val="afb"/>
        <w:jc w:val="both"/>
        <w:rPr>
          <w:color w:val="000000"/>
        </w:rPr>
      </w:pPr>
      <w:r w:rsidRPr="005715C9">
        <w:rPr>
          <w:rStyle w:val="afd"/>
          <w:color w:val="000000"/>
        </w:rPr>
        <w:footnoteRef/>
      </w:r>
      <w:r w:rsidRPr="005715C9">
        <w:rPr>
          <w:color w:val="000000"/>
        </w:rPr>
        <w:t xml:space="preserve"> </w:t>
      </w:r>
      <w:r w:rsidRPr="005715C9">
        <w:rPr>
          <w:rFonts w:hint="eastAsia"/>
          <w:color w:val="000000"/>
        </w:rPr>
        <w:t>內政部</w:t>
      </w:r>
      <w:r>
        <w:rPr>
          <w:rFonts w:hint="eastAsia"/>
          <w:color w:val="000000"/>
        </w:rPr>
        <w:t>「</w:t>
      </w:r>
      <w:r w:rsidRPr="005715C9">
        <w:rPr>
          <w:rFonts w:hint="eastAsia"/>
          <w:color w:val="000000"/>
        </w:rPr>
        <w:t>人行天橋檢測與維修及補強規範</w:t>
      </w:r>
      <w:r>
        <w:rPr>
          <w:rFonts w:hint="eastAsia"/>
          <w:color w:val="000000"/>
        </w:rPr>
        <w:t>」</w:t>
      </w:r>
      <w:r w:rsidRPr="005715C9">
        <w:rPr>
          <w:rFonts w:hint="eastAsia"/>
          <w:color w:val="000000"/>
        </w:rPr>
        <w:t>1</w:t>
      </w:r>
      <w:r w:rsidRPr="005715C9">
        <w:rPr>
          <w:color w:val="000000"/>
        </w:rPr>
        <w:t>.3</w:t>
      </w:r>
      <w:r w:rsidRPr="005715C9">
        <w:rPr>
          <w:rFonts w:hint="eastAsia"/>
          <w:color w:val="000000"/>
        </w:rPr>
        <w:t>適用範圍略</w:t>
      </w:r>
      <w:proofErr w:type="gramStart"/>
      <w:r w:rsidRPr="005715C9">
        <w:rPr>
          <w:rFonts w:hint="eastAsia"/>
          <w:color w:val="000000"/>
        </w:rPr>
        <w:t>以</w:t>
      </w:r>
      <w:proofErr w:type="gramEnd"/>
      <w:r w:rsidRPr="005715C9">
        <w:rPr>
          <w:rFonts w:hint="eastAsia"/>
          <w:color w:val="000000"/>
        </w:rPr>
        <w:t>：不包含車行橋梁附屬之</w:t>
      </w:r>
      <w:proofErr w:type="gramStart"/>
      <w:r w:rsidRPr="005715C9">
        <w:rPr>
          <w:rFonts w:hint="eastAsia"/>
          <w:color w:val="000000"/>
        </w:rPr>
        <w:t>人行橋</w:t>
      </w:r>
      <w:proofErr w:type="gramEnd"/>
      <w:r w:rsidRPr="005715C9">
        <w:rPr>
          <w:rFonts w:hint="eastAsia"/>
          <w:color w:val="000000"/>
        </w:rPr>
        <w:t>、建築空橋及自行車橋，惟自行車橋依其主管機關決定是否參照本規範辦理。是觀光署排除西拉雅管理處之「處本部架空走廊」（係指穿越道路連通二棟建築物或公有公共設施，供行人通行之空中走廊）、</w:t>
      </w:r>
      <w:proofErr w:type="gramStart"/>
      <w:r w:rsidRPr="005715C9">
        <w:rPr>
          <w:rFonts w:hint="eastAsia"/>
          <w:color w:val="000000"/>
        </w:rPr>
        <w:t>北觀管理處</w:t>
      </w:r>
      <w:proofErr w:type="gramEnd"/>
      <w:r w:rsidRPr="005715C9">
        <w:rPr>
          <w:rFonts w:hint="eastAsia"/>
          <w:color w:val="000000"/>
        </w:rPr>
        <w:t>之「和平島九曲橋」橋梁（形式為淺水面步道，結構形式非屬橋梁設施）。</w:t>
      </w:r>
    </w:p>
  </w:footnote>
  <w:footnote w:id="8">
    <w:p w:rsidR="005F7839" w:rsidRPr="005715C9" w:rsidRDefault="005F7839" w:rsidP="005F7839">
      <w:pPr>
        <w:pStyle w:val="afb"/>
        <w:rPr>
          <w:color w:val="000000"/>
        </w:rPr>
      </w:pPr>
      <w:r w:rsidRPr="005715C9">
        <w:rPr>
          <w:rStyle w:val="afd"/>
          <w:color w:val="000000"/>
        </w:rPr>
        <w:footnoteRef/>
      </w:r>
      <w:r w:rsidRPr="005715C9">
        <w:rPr>
          <w:color w:val="000000"/>
        </w:rPr>
        <w:t xml:space="preserve"> </w:t>
      </w:r>
      <w:r w:rsidRPr="005715C9">
        <w:rPr>
          <w:rFonts w:hint="eastAsia"/>
          <w:color w:val="000000"/>
        </w:rPr>
        <w:t>內政部「人行天橋檢測與維修及補強規範」第1章C</w:t>
      </w:r>
      <w:r w:rsidRPr="005715C9">
        <w:rPr>
          <w:color w:val="000000"/>
        </w:rPr>
        <w:t>1.3</w:t>
      </w:r>
      <w:r w:rsidRPr="005715C9">
        <w:rPr>
          <w:rFonts w:hint="eastAsia"/>
          <w:color w:val="000000"/>
        </w:rPr>
        <w:t>略</w:t>
      </w:r>
      <w:proofErr w:type="gramStart"/>
      <w:r w:rsidRPr="005715C9">
        <w:rPr>
          <w:rFonts w:hint="eastAsia"/>
          <w:color w:val="000000"/>
        </w:rPr>
        <w:t>以</w:t>
      </w:r>
      <w:proofErr w:type="gramEnd"/>
      <w:r w:rsidRPr="005715C9">
        <w:rPr>
          <w:rFonts w:hint="eastAsia"/>
          <w:color w:val="000000"/>
        </w:rPr>
        <w:t>：除一般性人行天橋外，皆屬特殊性人行天橋，如吊橋、斜張橋、脊背橋、桁架橋、鋼拱橋、混合梁橋(如</w:t>
      </w:r>
      <w:proofErr w:type="gramStart"/>
      <w:r w:rsidRPr="005715C9">
        <w:rPr>
          <w:rFonts w:hint="eastAsia"/>
          <w:color w:val="000000"/>
        </w:rPr>
        <w:t>鋼梁與</w:t>
      </w:r>
      <w:proofErr w:type="gramEnd"/>
      <w:r w:rsidRPr="005715C9">
        <w:rPr>
          <w:rFonts w:hint="eastAsia"/>
          <w:color w:val="000000"/>
        </w:rPr>
        <w:t>預力混凝土梁接合)及複合梁橋(如波形</w:t>
      </w:r>
      <w:proofErr w:type="gramStart"/>
      <w:r w:rsidRPr="005715C9">
        <w:rPr>
          <w:rFonts w:hint="eastAsia"/>
          <w:color w:val="000000"/>
        </w:rPr>
        <w:t>鋼腹板複合</w:t>
      </w:r>
      <w:proofErr w:type="gramEnd"/>
      <w:r w:rsidRPr="005715C9">
        <w:rPr>
          <w:rFonts w:hint="eastAsia"/>
          <w:color w:val="000000"/>
        </w:rPr>
        <w:t>梁橋)等。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47E2"/>
    <w:rsid w:val="00017318"/>
    <w:rsid w:val="000246F7"/>
    <w:rsid w:val="00025378"/>
    <w:rsid w:val="0003114D"/>
    <w:rsid w:val="00032C70"/>
    <w:rsid w:val="00036D76"/>
    <w:rsid w:val="00037999"/>
    <w:rsid w:val="00050778"/>
    <w:rsid w:val="000512D1"/>
    <w:rsid w:val="00057F32"/>
    <w:rsid w:val="00057F34"/>
    <w:rsid w:val="00062A25"/>
    <w:rsid w:val="00073CB5"/>
    <w:rsid w:val="0007425C"/>
    <w:rsid w:val="00077553"/>
    <w:rsid w:val="00080040"/>
    <w:rsid w:val="000851A2"/>
    <w:rsid w:val="0009352E"/>
    <w:rsid w:val="0009360F"/>
    <w:rsid w:val="00096B96"/>
    <w:rsid w:val="00097136"/>
    <w:rsid w:val="000A2F3F"/>
    <w:rsid w:val="000A3F75"/>
    <w:rsid w:val="000B0B4A"/>
    <w:rsid w:val="000B279A"/>
    <w:rsid w:val="000B61D2"/>
    <w:rsid w:val="000B70A7"/>
    <w:rsid w:val="000C495F"/>
    <w:rsid w:val="000E6431"/>
    <w:rsid w:val="000F0D35"/>
    <w:rsid w:val="000F21A5"/>
    <w:rsid w:val="00102B9F"/>
    <w:rsid w:val="00112637"/>
    <w:rsid w:val="00117DE8"/>
    <w:rsid w:val="0012001E"/>
    <w:rsid w:val="00123776"/>
    <w:rsid w:val="00126A55"/>
    <w:rsid w:val="00133AA2"/>
    <w:rsid w:val="00133F08"/>
    <w:rsid w:val="001345E6"/>
    <w:rsid w:val="001378B0"/>
    <w:rsid w:val="00142E00"/>
    <w:rsid w:val="00152793"/>
    <w:rsid w:val="001545A9"/>
    <w:rsid w:val="001619F4"/>
    <w:rsid w:val="001624CA"/>
    <w:rsid w:val="001637C7"/>
    <w:rsid w:val="0016480E"/>
    <w:rsid w:val="00174297"/>
    <w:rsid w:val="001817B3"/>
    <w:rsid w:val="00183014"/>
    <w:rsid w:val="00194DDB"/>
    <w:rsid w:val="001959C2"/>
    <w:rsid w:val="001A1253"/>
    <w:rsid w:val="001A25E5"/>
    <w:rsid w:val="001A7968"/>
    <w:rsid w:val="001B3483"/>
    <w:rsid w:val="001B3C1E"/>
    <w:rsid w:val="001B4494"/>
    <w:rsid w:val="001B48EB"/>
    <w:rsid w:val="001C0D8B"/>
    <w:rsid w:val="001C0DA8"/>
    <w:rsid w:val="001C4E2B"/>
    <w:rsid w:val="001C72FE"/>
    <w:rsid w:val="001E0D8A"/>
    <w:rsid w:val="001E67BA"/>
    <w:rsid w:val="001E74C2"/>
    <w:rsid w:val="001F5A48"/>
    <w:rsid w:val="001F6260"/>
    <w:rsid w:val="00200007"/>
    <w:rsid w:val="00201B78"/>
    <w:rsid w:val="002030A5"/>
    <w:rsid w:val="00203131"/>
    <w:rsid w:val="00212E88"/>
    <w:rsid w:val="00213C9C"/>
    <w:rsid w:val="0022009E"/>
    <w:rsid w:val="0022425C"/>
    <w:rsid w:val="002246DE"/>
    <w:rsid w:val="002421B5"/>
    <w:rsid w:val="0025106C"/>
    <w:rsid w:val="00251C68"/>
    <w:rsid w:val="00252BC4"/>
    <w:rsid w:val="00254014"/>
    <w:rsid w:val="002643FE"/>
    <w:rsid w:val="0026504D"/>
    <w:rsid w:val="002672A4"/>
    <w:rsid w:val="00272006"/>
    <w:rsid w:val="00273A2F"/>
    <w:rsid w:val="002744EE"/>
    <w:rsid w:val="002774A6"/>
    <w:rsid w:val="00280986"/>
    <w:rsid w:val="00281ECE"/>
    <w:rsid w:val="002831C7"/>
    <w:rsid w:val="002840C6"/>
    <w:rsid w:val="00286ACF"/>
    <w:rsid w:val="00286B1B"/>
    <w:rsid w:val="00295174"/>
    <w:rsid w:val="00296172"/>
    <w:rsid w:val="00296B92"/>
    <w:rsid w:val="002A0569"/>
    <w:rsid w:val="002A2C22"/>
    <w:rsid w:val="002A7EC3"/>
    <w:rsid w:val="002B02EB"/>
    <w:rsid w:val="002B6EEB"/>
    <w:rsid w:val="002C0602"/>
    <w:rsid w:val="002C4A7B"/>
    <w:rsid w:val="002D5C16"/>
    <w:rsid w:val="002E0981"/>
    <w:rsid w:val="002E53B4"/>
    <w:rsid w:val="002E6116"/>
    <w:rsid w:val="002F3DFF"/>
    <w:rsid w:val="002F5E05"/>
    <w:rsid w:val="00306060"/>
    <w:rsid w:val="00310CA7"/>
    <w:rsid w:val="00316C17"/>
    <w:rsid w:val="00317053"/>
    <w:rsid w:val="0032109C"/>
    <w:rsid w:val="00322B45"/>
    <w:rsid w:val="00323809"/>
    <w:rsid w:val="00323D41"/>
    <w:rsid w:val="00325414"/>
    <w:rsid w:val="003302F1"/>
    <w:rsid w:val="00341399"/>
    <w:rsid w:val="0034470E"/>
    <w:rsid w:val="00345A66"/>
    <w:rsid w:val="00346F43"/>
    <w:rsid w:val="00352DB0"/>
    <w:rsid w:val="00356B03"/>
    <w:rsid w:val="00367174"/>
    <w:rsid w:val="00367A42"/>
    <w:rsid w:val="00371833"/>
    <w:rsid w:val="00371ED3"/>
    <w:rsid w:val="0037728A"/>
    <w:rsid w:val="00380B7D"/>
    <w:rsid w:val="00381A99"/>
    <w:rsid w:val="003829C2"/>
    <w:rsid w:val="00383B21"/>
    <w:rsid w:val="00384724"/>
    <w:rsid w:val="00385B4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19F"/>
    <w:rsid w:val="003E0208"/>
    <w:rsid w:val="003E33C0"/>
    <w:rsid w:val="003E4B57"/>
    <w:rsid w:val="003F27E1"/>
    <w:rsid w:val="003F3BC1"/>
    <w:rsid w:val="003F437A"/>
    <w:rsid w:val="003F5C2B"/>
    <w:rsid w:val="004023E9"/>
    <w:rsid w:val="00410925"/>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274C"/>
    <w:rsid w:val="00495053"/>
    <w:rsid w:val="004A130C"/>
    <w:rsid w:val="004A1F59"/>
    <w:rsid w:val="004A29BE"/>
    <w:rsid w:val="004A3225"/>
    <w:rsid w:val="004A33EE"/>
    <w:rsid w:val="004A3AA8"/>
    <w:rsid w:val="004A7CE2"/>
    <w:rsid w:val="004B13C7"/>
    <w:rsid w:val="004B2EA8"/>
    <w:rsid w:val="004B3C96"/>
    <w:rsid w:val="004B778F"/>
    <w:rsid w:val="004C12FC"/>
    <w:rsid w:val="004C5DD4"/>
    <w:rsid w:val="004D141F"/>
    <w:rsid w:val="004D3045"/>
    <w:rsid w:val="004D6310"/>
    <w:rsid w:val="004E0062"/>
    <w:rsid w:val="004E05A1"/>
    <w:rsid w:val="004E6852"/>
    <w:rsid w:val="004F5E57"/>
    <w:rsid w:val="004F6710"/>
    <w:rsid w:val="00502849"/>
    <w:rsid w:val="00504334"/>
    <w:rsid w:val="005104D7"/>
    <w:rsid w:val="00510B9E"/>
    <w:rsid w:val="00527FA5"/>
    <w:rsid w:val="00531D2C"/>
    <w:rsid w:val="005323B0"/>
    <w:rsid w:val="00536BC2"/>
    <w:rsid w:val="005425E1"/>
    <w:rsid w:val="005427C5"/>
    <w:rsid w:val="00542CC3"/>
    <w:rsid w:val="00542CF6"/>
    <w:rsid w:val="005433B1"/>
    <w:rsid w:val="00550AE6"/>
    <w:rsid w:val="00550EE1"/>
    <w:rsid w:val="00553C03"/>
    <w:rsid w:val="005629BB"/>
    <w:rsid w:val="00563692"/>
    <w:rsid w:val="00571349"/>
    <w:rsid w:val="00586659"/>
    <w:rsid w:val="005908B8"/>
    <w:rsid w:val="0059512E"/>
    <w:rsid w:val="005A6DD2"/>
    <w:rsid w:val="005B6054"/>
    <w:rsid w:val="005C385D"/>
    <w:rsid w:val="005D3B20"/>
    <w:rsid w:val="005E5C68"/>
    <w:rsid w:val="005E65C0"/>
    <w:rsid w:val="005F0390"/>
    <w:rsid w:val="005F7839"/>
    <w:rsid w:val="00612023"/>
    <w:rsid w:val="00614190"/>
    <w:rsid w:val="0062060B"/>
    <w:rsid w:val="00622A99"/>
    <w:rsid w:val="00622E67"/>
    <w:rsid w:val="00626EDC"/>
    <w:rsid w:val="00633B06"/>
    <w:rsid w:val="006470EC"/>
    <w:rsid w:val="00647233"/>
    <w:rsid w:val="00647EB8"/>
    <w:rsid w:val="0065598E"/>
    <w:rsid w:val="00655AF2"/>
    <w:rsid w:val="006568BE"/>
    <w:rsid w:val="0066025D"/>
    <w:rsid w:val="006717D3"/>
    <w:rsid w:val="006773EC"/>
    <w:rsid w:val="00680504"/>
    <w:rsid w:val="00681CD9"/>
    <w:rsid w:val="006824D1"/>
    <w:rsid w:val="00683E30"/>
    <w:rsid w:val="00687024"/>
    <w:rsid w:val="0069070E"/>
    <w:rsid w:val="00696415"/>
    <w:rsid w:val="006A28CC"/>
    <w:rsid w:val="006B1A9E"/>
    <w:rsid w:val="006D3691"/>
    <w:rsid w:val="006E2DCE"/>
    <w:rsid w:val="006E6A40"/>
    <w:rsid w:val="006F3563"/>
    <w:rsid w:val="006F42B9"/>
    <w:rsid w:val="006F6103"/>
    <w:rsid w:val="006F7871"/>
    <w:rsid w:val="00704E00"/>
    <w:rsid w:val="007209E7"/>
    <w:rsid w:val="00725A87"/>
    <w:rsid w:val="00726182"/>
    <w:rsid w:val="00730A4E"/>
    <w:rsid w:val="00732329"/>
    <w:rsid w:val="007337CA"/>
    <w:rsid w:val="00734CE4"/>
    <w:rsid w:val="00735123"/>
    <w:rsid w:val="00735D6B"/>
    <w:rsid w:val="00741837"/>
    <w:rsid w:val="007453E6"/>
    <w:rsid w:val="00747153"/>
    <w:rsid w:val="0075243E"/>
    <w:rsid w:val="007525E8"/>
    <w:rsid w:val="007666F5"/>
    <w:rsid w:val="00771593"/>
    <w:rsid w:val="0077309D"/>
    <w:rsid w:val="007774EE"/>
    <w:rsid w:val="00781822"/>
    <w:rsid w:val="00783F21"/>
    <w:rsid w:val="00787159"/>
    <w:rsid w:val="00791668"/>
    <w:rsid w:val="00791AA1"/>
    <w:rsid w:val="007A3793"/>
    <w:rsid w:val="007B1120"/>
    <w:rsid w:val="007C1BA2"/>
    <w:rsid w:val="007D1FA5"/>
    <w:rsid w:val="007D20E9"/>
    <w:rsid w:val="007D416E"/>
    <w:rsid w:val="007D709C"/>
    <w:rsid w:val="007D7881"/>
    <w:rsid w:val="007D7E3A"/>
    <w:rsid w:val="007E0E10"/>
    <w:rsid w:val="007E4768"/>
    <w:rsid w:val="007E5BDD"/>
    <w:rsid w:val="007E777B"/>
    <w:rsid w:val="007F2070"/>
    <w:rsid w:val="007F57F6"/>
    <w:rsid w:val="008053F5"/>
    <w:rsid w:val="00810198"/>
    <w:rsid w:val="00815DA8"/>
    <w:rsid w:val="00816448"/>
    <w:rsid w:val="0082194D"/>
    <w:rsid w:val="0082311F"/>
    <w:rsid w:val="00826EF5"/>
    <w:rsid w:val="00831693"/>
    <w:rsid w:val="0083671E"/>
    <w:rsid w:val="00840104"/>
    <w:rsid w:val="00841FC5"/>
    <w:rsid w:val="00845709"/>
    <w:rsid w:val="00851AC1"/>
    <w:rsid w:val="008576BD"/>
    <w:rsid w:val="00860463"/>
    <w:rsid w:val="008733DA"/>
    <w:rsid w:val="008850E4"/>
    <w:rsid w:val="008910D7"/>
    <w:rsid w:val="008A12F5"/>
    <w:rsid w:val="008A288A"/>
    <w:rsid w:val="008B1587"/>
    <w:rsid w:val="008B1B01"/>
    <w:rsid w:val="008B3BCD"/>
    <w:rsid w:val="008B4841"/>
    <w:rsid w:val="008B6DF8"/>
    <w:rsid w:val="008C106C"/>
    <w:rsid w:val="008C10F1"/>
    <w:rsid w:val="008C1E99"/>
    <w:rsid w:val="008D69CA"/>
    <w:rsid w:val="008E0085"/>
    <w:rsid w:val="008E1FEA"/>
    <w:rsid w:val="008E2AA6"/>
    <w:rsid w:val="008E311B"/>
    <w:rsid w:val="008F46E7"/>
    <w:rsid w:val="008F6F0B"/>
    <w:rsid w:val="00907022"/>
    <w:rsid w:val="00907BA7"/>
    <w:rsid w:val="0091064E"/>
    <w:rsid w:val="00911FC5"/>
    <w:rsid w:val="00931A10"/>
    <w:rsid w:val="0093314F"/>
    <w:rsid w:val="00935E08"/>
    <w:rsid w:val="00941042"/>
    <w:rsid w:val="0094258F"/>
    <w:rsid w:val="0094328E"/>
    <w:rsid w:val="00947967"/>
    <w:rsid w:val="00954AD0"/>
    <w:rsid w:val="00965200"/>
    <w:rsid w:val="00965AA2"/>
    <w:rsid w:val="009668B3"/>
    <w:rsid w:val="00970EA6"/>
    <w:rsid w:val="00971471"/>
    <w:rsid w:val="009849C2"/>
    <w:rsid w:val="00984D24"/>
    <w:rsid w:val="0098561C"/>
    <w:rsid w:val="009858EB"/>
    <w:rsid w:val="00995A17"/>
    <w:rsid w:val="009A11BA"/>
    <w:rsid w:val="009A6DDE"/>
    <w:rsid w:val="009B0046"/>
    <w:rsid w:val="009B1B6E"/>
    <w:rsid w:val="009C1440"/>
    <w:rsid w:val="009C1E97"/>
    <w:rsid w:val="009C2107"/>
    <w:rsid w:val="009C5D9E"/>
    <w:rsid w:val="009D2C3E"/>
    <w:rsid w:val="009D34DD"/>
    <w:rsid w:val="009E0625"/>
    <w:rsid w:val="009E3034"/>
    <w:rsid w:val="009E549F"/>
    <w:rsid w:val="009F28A8"/>
    <w:rsid w:val="009F473E"/>
    <w:rsid w:val="009F682A"/>
    <w:rsid w:val="00A022BE"/>
    <w:rsid w:val="00A032E1"/>
    <w:rsid w:val="00A21BF7"/>
    <w:rsid w:val="00A231D3"/>
    <w:rsid w:val="00A24C95"/>
    <w:rsid w:val="00A26094"/>
    <w:rsid w:val="00A261F3"/>
    <w:rsid w:val="00A301BF"/>
    <w:rsid w:val="00A302B2"/>
    <w:rsid w:val="00A331B4"/>
    <w:rsid w:val="00A3484E"/>
    <w:rsid w:val="00A36ADA"/>
    <w:rsid w:val="00A438D8"/>
    <w:rsid w:val="00A473F5"/>
    <w:rsid w:val="00A51F9D"/>
    <w:rsid w:val="00A5416A"/>
    <w:rsid w:val="00A639F4"/>
    <w:rsid w:val="00A80A14"/>
    <w:rsid w:val="00A81A32"/>
    <w:rsid w:val="00A835BD"/>
    <w:rsid w:val="00A95910"/>
    <w:rsid w:val="00A967E6"/>
    <w:rsid w:val="00A97B15"/>
    <w:rsid w:val="00AA42D5"/>
    <w:rsid w:val="00AB2FAB"/>
    <w:rsid w:val="00AB54C2"/>
    <w:rsid w:val="00AB5C14"/>
    <w:rsid w:val="00AC1EE7"/>
    <w:rsid w:val="00AC333F"/>
    <w:rsid w:val="00AC54B9"/>
    <w:rsid w:val="00AC585C"/>
    <w:rsid w:val="00AC5A1F"/>
    <w:rsid w:val="00AD1925"/>
    <w:rsid w:val="00AE067D"/>
    <w:rsid w:val="00AE1257"/>
    <w:rsid w:val="00AE3CC9"/>
    <w:rsid w:val="00AE5EF9"/>
    <w:rsid w:val="00AF1181"/>
    <w:rsid w:val="00AF2F79"/>
    <w:rsid w:val="00AF4653"/>
    <w:rsid w:val="00AF7DB7"/>
    <w:rsid w:val="00B214C8"/>
    <w:rsid w:val="00B443E4"/>
    <w:rsid w:val="00B513F5"/>
    <w:rsid w:val="00B563EA"/>
    <w:rsid w:val="00B607EA"/>
    <w:rsid w:val="00B60C6F"/>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6665"/>
    <w:rsid w:val="00C03D8C"/>
    <w:rsid w:val="00C055EC"/>
    <w:rsid w:val="00C078AF"/>
    <w:rsid w:val="00C10DC9"/>
    <w:rsid w:val="00C12FB3"/>
    <w:rsid w:val="00C17341"/>
    <w:rsid w:val="00C1795B"/>
    <w:rsid w:val="00C24EEF"/>
    <w:rsid w:val="00C25CF6"/>
    <w:rsid w:val="00C26C36"/>
    <w:rsid w:val="00C32768"/>
    <w:rsid w:val="00C36E99"/>
    <w:rsid w:val="00C431DF"/>
    <w:rsid w:val="00C456BD"/>
    <w:rsid w:val="00C530DC"/>
    <w:rsid w:val="00C5350D"/>
    <w:rsid w:val="00C6123C"/>
    <w:rsid w:val="00C7084D"/>
    <w:rsid w:val="00C72058"/>
    <w:rsid w:val="00C7315E"/>
    <w:rsid w:val="00C75895"/>
    <w:rsid w:val="00C81298"/>
    <w:rsid w:val="00C83C9F"/>
    <w:rsid w:val="00C85438"/>
    <w:rsid w:val="00C86866"/>
    <w:rsid w:val="00C90925"/>
    <w:rsid w:val="00C94840"/>
    <w:rsid w:val="00CA02BD"/>
    <w:rsid w:val="00CA6AC8"/>
    <w:rsid w:val="00CB027F"/>
    <w:rsid w:val="00CC6297"/>
    <w:rsid w:val="00CC7690"/>
    <w:rsid w:val="00CD1986"/>
    <w:rsid w:val="00CE4A5C"/>
    <w:rsid w:val="00CE4D5C"/>
    <w:rsid w:val="00CF05DA"/>
    <w:rsid w:val="00CF58EB"/>
    <w:rsid w:val="00D0106E"/>
    <w:rsid w:val="00D05A48"/>
    <w:rsid w:val="00D06383"/>
    <w:rsid w:val="00D20E85"/>
    <w:rsid w:val="00D24615"/>
    <w:rsid w:val="00D25B88"/>
    <w:rsid w:val="00D2714C"/>
    <w:rsid w:val="00D27557"/>
    <w:rsid w:val="00D317EB"/>
    <w:rsid w:val="00D37842"/>
    <w:rsid w:val="00D420F1"/>
    <w:rsid w:val="00D42DC2"/>
    <w:rsid w:val="00D537E1"/>
    <w:rsid w:val="00D55BB2"/>
    <w:rsid w:val="00D55BE0"/>
    <w:rsid w:val="00D6091A"/>
    <w:rsid w:val="00D6695F"/>
    <w:rsid w:val="00D75644"/>
    <w:rsid w:val="00D7711F"/>
    <w:rsid w:val="00D81656"/>
    <w:rsid w:val="00D83D87"/>
    <w:rsid w:val="00D86A30"/>
    <w:rsid w:val="00D9183B"/>
    <w:rsid w:val="00D97CB4"/>
    <w:rsid w:val="00D97DD4"/>
    <w:rsid w:val="00DA5A8A"/>
    <w:rsid w:val="00DB26CD"/>
    <w:rsid w:val="00DB3135"/>
    <w:rsid w:val="00DB441C"/>
    <w:rsid w:val="00DB44AF"/>
    <w:rsid w:val="00DC1F58"/>
    <w:rsid w:val="00DC339B"/>
    <w:rsid w:val="00DC5D40"/>
    <w:rsid w:val="00DD30E9"/>
    <w:rsid w:val="00DD4F47"/>
    <w:rsid w:val="00DD61DB"/>
    <w:rsid w:val="00DD7FBB"/>
    <w:rsid w:val="00DE0B9F"/>
    <w:rsid w:val="00DE4238"/>
    <w:rsid w:val="00DE42B9"/>
    <w:rsid w:val="00DE657F"/>
    <w:rsid w:val="00DF1218"/>
    <w:rsid w:val="00DF6462"/>
    <w:rsid w:val="00E001D3"/>
    <w:rsid w:val="00E02FA0"/>
    <w:rsid w:val="00E036DC"/>
    <w:rsid w:val="00E10454"/>
    <w:rsid w:val="00E112E5"/>
    <w:rsid w:val="00E21CC7"/>
    <w:rsid w:val="00E24D9E"/>
    <w:rsid w:val="00E25849"/>
    <w:rsid w:val="00E30BEA"/>
    <w:rsid w:val="00E3197E"/>
    <w:rsid w:val="00E31EF3"/>
    <w:rsid w:val="00E342F8"/>
    <w:rsid w:val="00E351ED"/>
    <w:rsid w:val="00E6034B"/>
    <w:rsid w:val="00E6549E"/>
    <w:rsid w:val="00E65EDE"/>
    <w:rsid w:val="00E70F81"/>
    <w:rsid w:val="00E77055"/>
    <w:rsid w:val="00E77460"/>
    <w:rsid w:val="00E83ABC"/>
    <w:rsid w:val="00E844F2"/>
    <w:rsid w:val="00E92FCB"/>
    <w:rsid w:val="00EA147F"/>
    <w:rsid w:val="00EC2AC9"/>
    <w:rsid w:val="00ED03AB"/>
    <w:rsid w:val="00ED0CAC"/>
    <w:rsid w:val="00ED1CD4"/>
    <w:rsid w:val="00ED1D2B"/>
    <w:rsid w:val="00ED5A8D"/>
    <w:rsid w:val="00ED62E6"/>
    <w:rsid w:val="00ED64B5"/>
    <w:rsid w:val="00EE7CCA"/>
    <w:rsid w:val="00EF38FB"/>
    <w:rsid w:val="00EF749B"/>
    <w:rsid w:val="00F02AA3"/>
    <w:rsid w:val="00F16A14"/>
    <w:rsid w:val="00F231DC"/>
    <w:rsid w:val="00F362D7"/>
    <w:rsid w:val="00F37D7B"/>
    <w:rsid w:val="00F5314C"/>
    <w:rsid w:val="00F55347"/>
    <w:rsid w:val="00F635DD"/>
    <w:rsid w:val="00F6627B"/>
    <w:rsid w:val="00F734F2"/>
    <w:rsid w:val="00F75052"/>
    <w:rsid w:val="00F804D3"/>
    <w:rsid w:val="00F81CD2"/>
    <w:rsid w:val="00F82641"/>
    <w:rsid w:val="00F90F18"/>
    <w:rsid w:val="00F92FE3"/>
    <w:rsid w:val="00F937E4"/>
    <w:rsid w:val="00F95EE7"/>
    <w:rsid w:val="00FA39E6"/>
    <w:rsid w:val="00FA7BC9"/>
    <w:rsid w:val="00FB378E"/>
    <w:rsid w:val="00FB37F1"/>
    <w:rsid w:val="00FB47C0"/>
    <w:rsid w:val="00FB501B"/>
    <w:rsid w:val="00FB7770"/>
    <w:rsid w:val="00FC2C23"/>
    <w:rsid w:val="00FD3B91"/>
    <w:rsid w:val="00FD576B"/>
    <w:rsid w:val="00FD579E"/>
    <w:rsid w:val="00FD6B7D"/>
    <w:rsid w:val="00FE4516"/>
    <w:rsid w:val="00FE7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013C4"/>
  <w15:docId w15:val="{568EC892-636A-481A-9DB2-B7D4F833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310CA7"/>
    <w:pPr>
      <w:snapToGrid w:val="0"/>
      <w:jc w:val="left"/>
    </w:pPr>
    <w:rPr>
      <w:sz w:val="20"/>
    </w:rPr>
  </w:style>
  <w:style w:type="character" w:customStyle="1" w:styleId="afc">
    <w:name w:val="註腳文字 字元"/>
    <w:basedOn w:val="a7"/>
    <w:link w:val="afb"/>
    <w:uiPriority w:val="99"/>
    <w:rsid w:val="00310CA7"/>
    <w:rPr>
      <w:rFonts w:ascii="標楷體" w:eastAsia="標楷體"/>
      <w:kern w:val="2"/>
    </w:rPr>
  </w:style>
  <w:style w:type="character" w:styleId="afd">
    <w:name w:val="footnote reference"/>
    <w:uiPriority w:val="99"/>
    <w:semiHidden/>
    <w:unhideWhenUsed/>
    <w:rsid w:val="00310CA7"/>
    <w:rPr>
      <w:vertAlign w:val="superscript"/>
    </w:rPr>
  </w:style>
  <w:style w:type="character" w:customStyle="1" w:styleId="30">
    <w:name w:val="標題 3 字元"/>
    <w:link w:val="3"/>
    <w:rsid w:val="00310CA7"/>
    <w:rPr>
      <w:rFonts w:ascii="標楷體" w:eastAsia="標楷體" w:hAnsi="Arial"/>
      <w:bCs/>
      <w:kern w:val="32"/>
      <w:sz w:val="32"/>
      <w:szCs w:val="36"/>
    </w:rPr>
  </w:style>
  <w:style w:type="character" w:customStyle="1" w:styleId="40">
    <w:name w:val="標題 4 字元"/>
    <w:link w:val="4"/>
    <w:rsid w:val="00310CA7"/>
    <w:rPr>
      <w:rFonts w:ascii="標楷體" w:eastAsia="標楷體" w:hAnsi="Arial"/>
      <w:kern w:val="32"/>
      <w:sz w:val="32"/>
      <w:szCs w:val="36"/>
    </w:rPr>
  </w:style>
  <w:style w:type="character" w:customStyle="1" w:styleId="50">
    <w:name w:val="標題 5 字元"/>
    <w:link w:val="5"/>
    <w:rsid w:val="00310CA7"/>
    <w:rPr>
      <w:rFonts w:ascii="標楷體" w:eastAsia="標楷體" w:hAnsi="Arial"/>
      <w:bCs/>
      <w:kern w:val="32"/>
      <w:sz w:val="32"/>
      <w:szCs w:val="36"/>
    </w:rPr>
  </w:style>
  <w:style w:type="character" w:styleId="afe">
    <w:name w:val="Emphasis"/>
    <w:basedOn w:val="a7"/>
    <w:uiPriority w:val="20"/>
    <w:qFormat/>
    <w:rsid w:val="002B6EEB"/>
    <w:rPr>
      <w:i/>
      <w:iCs/>
    </w:rPr>
  </w:style>
  <w:style w:type="character" w:customStyle="1" w:styleId="ab">
    <w:name w:val="簽名 字元"/>
    <w:basedOn w:val="a7"/>
    <w:link w:val="aa"/>
    <w:semiHidden/>
    <w:rsid w:val="009A11B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8BA7-AC32-4CFB-BD40-E994B87A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12</Pages>
  <Words>1004</Words>
  <Characters>5729</Characters>
  <Application>Microsoft Office Word</Application>
  <DocSecurity>0</DocSecurity>
  <Lines>47</Lines>
  <Paragraphs>13</Paragraphs>
  <ScaleCrop>false</ScaleCrop>
  <Company>cy</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高惠君</dc:creator>
  <cp:lastModifiedBy>吳育萱</cp:lastModifiedBy>
  <cp:revision>7</cp:revision>
  <cp:lastPrinted>2025-02-06T08:55:00Z</cp:lastPrinted>
  <dcterms:created xsi:type="dcterms:W3CDTF">2025-02-12T01:38:00Z</dcterms:created>
  <dcterms:modified xsi:type="dcterms:W3CDTF">2025-05-05T01:30:00Z</dcterms:modified>
</cp:coreProperties>
</file>