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744AA7" w14:textId="77777777" w:rsidR="00E25849" w:rsidRPr="00803F1D" w:rsidRDefault="00E25849" w:rsidP="0022425C">
      <w:pPr>
        <w:pStyle w:val="af2"/>
      </w:pPr>
      <w:bookmarkStart w:id="0" w:name="_GoBack"/>
      <w:bookmarkEnd w:id="0"/>
      <w:r w:rsidRPr="00803F1D">
        <w:rPr>
          <w:rFonts w:hint="eastAsia"/>
        </w:rPr>
        <w:t>目</w:t>
      </w:r>
      <w:r w:rsidR="00A3484E" w:rsidRPr="00803F1D">
        <w:rPr>
          <w:rFonts w:hint="eastAsia"/>
        </w:rPr>
        <w:t>次</w:t>
      </w:r>
    </w:p>
    <w:p w14:paraId="6060B518" w14:textId="7EBE3912" w:rsidR="001C18FE" w:rsidRPr="00C3310F" w:rsidRDefault="00DA5A8A" w:rsidP="00803F1D">
      <w:pPr>
        <w:pStyle w:val="11"/>
        <w:ind w:left="680" w:hangingChars="200" w:hanging="680"/>
        <w:rPr>
          <w:rFonts w:asciiTheme="minorHAnsi" w:eastAsiaTheme="minorEastAsia" w:hAnsiTheme="minorHAnsi" w:cstheme="minorBidi"/>
          <w:color w:val="auto"/>
          <w:sz w:val="24"/>
          <w:szCs w:val="22"/>
        </w:rPr>
      </w:pPr>
      <w:r w:rsidRPr="00C3310F">
        <w:rPr>
          <w:bCs/>
          <w:color w:val="auto"/>
        </w:rPr>
        <w:fldChar w:fldCharType="begin"/>
      </w:r>
      <w:r w:rsidRPr="00C3310F">
        <w:rPr>
          <w:bCs/>
          <w:color w:val="auto"/>
        </w:rPr>
        <w:instrText xml:space="preserve"> TOC \o "1-1" \h \z \t "標題 2,2,標題 3,3,表樣式,1,圖樣式,1,附錄,1" </w:instrText>
      </w:r>
      <w:r w:rsidRPr="00C3310F">
        <w:rPr>
          <w:bCs/>
          <w:color w:val="auto"/>
        </w:rPr>
        <w:fldChar w:fldCharType="separate"/>
      </w:r>
      <w:hyperlink w:anchor="_Toc172033162" w:history="1">
        <w:r w:rsidR="001C18FE" w:rsidRPr="00C3310F">
          <w:rPr>
            <w:rStyle w:val="ae"/>
            <w:rFonts w:hint="eastAsia"/>
            <w:b/>
            <w:color w:val="auto"/>
          </w:rPr>
          <w:t>題目：政府防制電信網路詐欺之對策與檢討</w:t>
        </w:r>
        <w:r w:rsidR="001C18FE" w:rsidRPr="00C3310F">
          <w:rPr>
            <w:webHidden/>
            <w:color w:val="auto"/>
          </w:rPr>
          <w:tab/>
        </w:r>
        <w:r w:rsidR="001C18FE" w:rsidRPr="00C3310F">
          <w:rPr>
            <w:webHidden/>
            <w:color w:val="auto"/>
          </w:rPr>
          <w:fldChar w:fldCharType="begin"/>
        </w:r>
        <w:r w:rsidR="001C18FE" w:rsidRPr="00C3310F">
          <w:rPr>
            <w:webHidden/>
            <w:color w:val="auto"/>
          </w:rPr>
          <w:instrText xml:space="preserve"> PAGEREF _Toc172033162 \h </w:instrText>
        </w:r>
        <w:r w:rsidR="001C18FE" w:rsidRPr="00C3310F">
          <w:rPr>
            <w:webHidden/>
            <w:color w:val="auto"/>
          </w:rPr>
        </w:r>
        <w:r w:rsidR="001C18FE" w:rsidRPr="00C3310F">
          <w:rPr>
            <w:webHidden/>
            <w:color w:val="auto"/>
          </w:rPr>
          <w:fldChar w:fldCharType="separate"/>
        </w:r>
        <w:r w:rsidR="00595F3D">
          <w:rPr>
            <w:webHidden/>
            <w:color w:val="auto"/>
          </w:rPr>
          <w:t>1</w:t>
        </w:r>
        <w:r w:rsidR="001C18FE" w:rsidRPr="00C3310F">
          <w:rPr>
            <w:webHidden/>
            <w:color w:val="auto"/>
          </w:rPr>
          <w:fldChar w:fldCharType="end"/>
        </w:r>
      </w:hyperlink>
    </w:p>
    <w:p w14:paraId="79103E0B" w14:textId="3CE14AFB" w:rsidR="001C18FE" w:rsidRPr="00C3310F" w:rsidRDefault="00595F3D" w:rsidP="00803F1D">
      <w:pPr>
        <w:pStyle w:val="11"/>
        <w:ind w:left="681" w:hangingChars="200" w:hanging="681"/>
        <w:rPr>
          <w:rFonts w:asciiTheme="minorHAnsi" w:eastAsiaTheme="minorEastAsia" w:hAnsiTheme="minorHAnsi" w:cstheme="minorBidi"/>
          <w:color w:val="auto"/>
          <w:sz w:val="24"/>
          <w:szCs w:val="22"/>
        </w:rPr>
      </w:pPr>
      <w:hyperlink w:anchor="_Toc172033163" w:history="1">
        <w:r w:rsidR="00B917B5" w:rsidRPr="00C3310F">
          <w:rPr>
            <w:rFonts w:hint="eastAsia"/>
            <w:b/>
            <w:color w:val="auto"/>
          </w:rPr>
          <w:t>壹</w:t>
        </w:r>
        <w:r w:rsidR="001C18FE" w:rsidRPr="00C3310F">
          <w:rPr>
            <w:rStyle w:val="ae"/>
            <w:rFonts w:hint="eastAsia"/>
            <w:b/>
            <w:color w:val="auto"/>
          </w:rPr>
          <w:t>、 通案調查研究主旨</w:t>
        </w:r>
        <w:r w:rsidR="001C18FE" w:rsidRPr="00C3310F">
          <w:rPr>
            <w:webHidden/>
            <w:color w:val="auto"/>
          </w:rPr>
          <w:tab/>
        </w:r>
        <w:r w:rsidR="001C18FE" w:rsidRPr="00C3310F">
          <w:rPr>
            <w:webHidden/>
            <w:color w:val="auto"/>
          </w:rPr>
          <w:fldChar w:fldCharType="begin"/>
        </w:r>
        <w:r w:rsidR="001C18FE" w:rsidRPr="00C3310F">
          <w:rPr>
            <w:webHidden/>
            <w:color w:val="auto"/>
          </w:rPr>
          <w:instrText xml:space="preserve"> PAGEREF _Toc172033163 \h </w:instrText>
        </w:r>
        <w:r w:rsidR="001C18FE" w:rsidRPr="00C3310F">
          <w:rPr>
            <w:webHidden/>
            <w:color w:val="auto"/>
          </w:rPr>
        </w:r>
        <w:r w:rsidR="001C18FE" w:rsidRPr="00C3310F">
          <w:rPr>
            <w:webHidden/>
            <w:color w:val="auto"/>
          </w:rPr>
          <w:fldChar w:fldCharType="separate"/>
        </w:r>
        <w:r>
          <w:rPr>
            <w:webHidden/>
            <w:color w:val="auto"/>
          </w:rPr>
          <w:t>1</w:t>
        </w:r>
        <w:r w:rsidR="001C18FE" w:rsidRPr="00C3310F">
          <w:rPr>
            <w:webHidden/>
            <w:color w:val="auto"/>
          </w:rPr>
          <w:fldChar w:fldCharType="end"/>
        </w:r>
      </w:hyperlink>
    </w:p>
    <w:p w14:paraId="7F293483" w14:textId="4F58BAF3" w:rsidR="001C18FE" w:rsidRPr="00C3310F" w:rsidRDefault="00595F3D" w:rsidP="00803F1D">
      <w:pPr>
        <w:pStyle w:val="23"/>
        <w:ind w:left="1020" w:hangingChars="200" w:hanging="680"/>
        <w:rPr>
          <w:rFonts w:asciiTheme="minorHAnsi" w:eastAsiaTheme="minorEastAsia" w:hAnsiTheme="minorHAnsi" w:cstheme="minorBidi"/>
          <w:color w:val="auto"/>
          <w:sz w:val="24"/>
          <w:szCs w:val="22"/>
        </w:rPr>
      </w:pPr>
      <w:hyperlink w:anchor="_Toc172033164" w:history="1">
        <w:r w:rsidR="001C18FE" w:rsidRPr="00C3310F">
          <w:rPr>
            <w:rStyle w:val="ae"/>
            <w:rFonts w:hint="eastAsia"/>
            <w:color w:val="auto"/>
          </w:rPr>
          <w:t>一、 研究緣起</w:t>
        </w:r>
        <w:r w:rsidR="001C18FE" w:rsidRPr="00C3310F">
          <w:rPr>
            <w:webHidden/>
            <w:color w:val="auto"/>
          </w:rPr>
          <w:tab/>
        </w:r>
        <w:r w:rsidR="001C18FE" w:rsidRPr="00C3310F">
          <w:rPr>
            <w:webHidden/>
            <w:color w:val="auto"/>
          </w:rPr>
          <w:fldChar w:fldCharType="begin"/>
        </w:r>
        <w:r w:rsidR="001C18FE" w:rsidRPr="00C3310F">
          <w:rPr>
            <w:webHidden/>
            <w:color w:val="auto"/>
          </w:rPr>
          <w:instrText xml:space="preserve"> PAGEREF _Toc172033164 \h </w:instrText>
        </w:r>
        <w:r w:rsidR="001C18FE" w:rsidRPr="00C3310F">
          <w:rPr>
            <w:webHidden/>
            <w:color w:val="auto"/>
          </w:rPr>
        </w:r>
        <w:r w:rsidR="001C18FE" w:rsidRPr="00C3310F">
          <w:rPr>
            <w:webHidden/>
            <w:color w:val="auto"/>
          </w:rPr>
          <w:fldChar w:fldCharType="separate"/>
        </w:r>
        <w:r>
          <w:rPr>
            <w:webHidden/>
            <w:color w:val="auto"/>
          </w:rPr>
          <w:t>1</w:t>
        </w:r>
        <w:r w:rsidR="001C18FE" w:rsidRPr="00C3310F">
          <w:rPr>
            <w:webHidden/>
            <w:color w:val="auto"/>
          </w:rPr>
          <w:fldChar w:fldCharType="end"/>
        </w:r>
      </w:hyperlink>
    </w:p>
    <w:p w14:paraId="6AD083FE" w14:textId="5E4D829D" w:rsidR="001C18FE" w:rsidRPr="00C3310F" w:rsidRDefault="00595F3D" w:rsidP="00803F1D">
      <w:pPr>
        <w:pStyle w:val="23"/>
        <w:ind w:left="1020" w:hangingChars="200" w:hanging="680"/>
        <w:rPr>
          <w:rFonts w:asciiTheme="minorHAnsi" w:eastAsiaTheme="minorEastAsia" w:hAnsiTheme="minorHAnsi" w:cstheme="minorBidi"/>
          <w:color w:val="auto"/>
          <w:sz w:val="24"/>
          <w:szCs w:val="22"/>
        </w:rPr>
      </w:pPr>
      <w:hyperlink w:anchor="_Toc172033168" w:history="1">
        <w:r w:rsidR="001C18FE" w:rsidRPr="00C3310F">
          <w:rPr>
            <w:rStyle w:val="ae"/>
            <w:rFonts w:hint="eastAsia"/>
            <w:color w:val="auto"/>
          </w:rPr>
          <w:t>二、 研究目的</w:t>
        </w:r>
        <w:r w:rsidR="001C18FE" w:rsidRPr="00C3310F">
          <w:rPr>
            <w:webHidden/>
            <w:color w:val="auto"/>
          </w:rPr>
          <w:tab/>
        </w:r>
        <w:r w:rsidR="001C18FE" w:rsidRPr="00C3310F">
          <w:rPr>
            <w:webHidden/>
            <w:color w:val="auto"/>
          </w:rPr>
          <w:fldChar w:fldCharType="begin"/>
        </w:r>
        <w:r w:rsidR="001C18FE" w:rsidRPr="00C3310F">
          <w:rPr>
            <w:webHidden/>
            <w:color w:val="auto"/>
          </w:rPr>
          <w:instrText xml:space="preserve"> PAGEREF _Toc172033168 \h </w:instrText>
        </w:r>
        <w:r w:rsidR="001C18FE" w:rsidRPr="00C3310F">
          <w:rPr>
            <w:webHidden/>
            <w:color w:val="auto"/>
          </w:rPr>
        </w:r>
        <w:r w:rsidR="001C18FE" w:rsidRPr="00C3310F">
          <w:rPr>
            <w:webHidden/>
            <w:color w:val="auto"/>
          </w:rPr>
          <w:fldChar w:fldCharType="separate"/>
        </w:r>
        <w:r>
          <w:rPr>
            <w:webHidden/>
            <w:color w:val="auto"/>
          </w:rPr>
          <w:t>2</w:t>
        </w:r>
        <w:r w:rsidR="001C18FE" w:rsidRPr="00C3310F">
          <w:rPr>
            <w:webHidden/>
            <w:color w:val="auto"/>
          </w:rPr>
          <w:fldChar w:fldCharType="end"/>
        </w:r>
      </w:hyperlink>
      <w:r w:rsidR="001C18FE" w:rsidRPr="00C3310F">
        <w:rPr>
          <w:rFonts w:asciiTheme="minorHAnsi" w:eastAsiaTheme="minorEastAsia" w:hAnsiTheme="minorHAnsi" w:cstheme="minorBidi"/>
          <w:color w:val="auto"/>
          <w:sz w:val="24"/>
          <w:szCs w:val="22"/>
        </w:rPr>
        <w:t xml:space="preserve"> </w:t>
      </w:r>
    </w:p>
    <w:p w14:paraId="5C649198" w14:textId="23264AC2" w:rsidR="001C18FE" w:rsidRPr="00C3310F" w:rsidRDefault="00595F3D" w:rsidP="00803F1D">
      <w:pPr>
        <w:pStyle w:val="23"/>
        <w:ind w:left="1020" w:hangingChars="200" w:hanging="680"/>
        <w:rPr>
          <w:rFonts w:asciiTheme="minorHAnsi" w:eastAsiaTheme="minorEastAsia" w:hAnsiTheme="minorHAnsi" w:cstheme="minorBidi"/>
          <w:color w:val="auto"/>
          <w:sz w:val="24"/>
          <w:szCs w:val="22"/>
        </w:rPr>
      </w:pPr>
      <w:hyperlink w:anchor="_Toc172033173" w:history="1">
        <w:r w:rsidR="001C18FE" w:rsidRPr="00C3310F">
          <w:rPr>
            <w:rStyle w:val="ae"/>
            <w:rFonts w:hint="eastAsia"/>
            <w:color w:val="auto"/>
          </w:rPr>
          <w:t>三、 研究範疇</w:t>
        </w:r>
        <w:r w:rsidR="001C18FE" w:rsidRPr="00C3310F">
          <w:rPr>
            <w:webHidden/>
            <w:color w:val="auto"/>
          </w:rPr>
          <w:tab/>
        </w:r>
        <w:r w:rsidR="001C18FE" w:rsidRPr="00C3310F">
          <w:rPr>
            <w:webHidden/>
            <w:color w:val="auto"/>
          </w:rPr>
          <w:fldChar w:fldCharType="begin"/>
        </w:r>
        <w:r w:rsidR="001C18FE" w:rsidRPr="00C3310F">
          <w:rPr>
            <w:webHidden/>
            <w:color w:val="auto"/>
          </w:rPr>
          <w:instrText xml:space="preserve"> PAGEREF _Toc172033173 \h </w:instrText>
        </w:r>
        <w:r w:rsidR="001C18FE" w:rsidRPr="00C3310F">
          <w:rPr>
            <w:webHidden/>
            <w:color w:val="auto"/>
          </w:rPr>
        </w:r>
        <w:r w:rsidR="001C18FE" w:rsidRPr="00C3310F">
          <w:rPr>
            <w:webHidden/>
            <w:color w:val="auto"/>
          </w:rPr>
          <w:fldChar w:fldCharType="separate"/>
        </w:r>
        <w:r>
          <w:rPr>
            <w:webHidden/>
            <w:color w:val="auto"/>
          </w:rPr>
          <w:t>4</w:t>
        </w:r>
        <w:r w:rsidR="001C18FE" w:rsidRPr="00C3310F">
          <w:rPr>
            <w:webHidden/>
            <w:color w:val="auto"/>
          </w:rPr>
          <w:fldChar w:fldCharType="end"/>
        </w:r>
      </w:hyperlink>
      <w:r w:rsidR="001C18FE" w:rsidRPr="00C3310F">
        <w:rPr>
          <w:rFonts w:asciiTheme="minorHAnsi" w:eastAsiaTheme="minorEastAsia" w:hAnsiTheme="minorHAnsi" w:cstheme="minorBidi"/>
          <w:color w:val="auto"/>
          <w:sz w:val="24"/>
          <w:szCs w:val="22"/>
        </w:rPr>
        <w:t xml:space="preserve"> </w:t>
      </w:r>
    </w:p>
    <w:p w14:paraId="19326AD5" w14:textId="4541B448" w:rsidR="001C18FE" w:rsidRPr="00C3310F" w:rsidRDefault="00595F3D" w:rsidP="00803F1D">
      <w:pPr>
        <w:pStyle w:val="11"/>
        <w:ind w:left="681" w:hangingChars="200" w:hanging="681"/>
        <w:rPr>
          <w:rFonts w:asciiTheme="minorHAnsi" w:eastAsiaTheme="minorEastAsia" w:hAnsiTheme="minorHAnsi" w:cstheme="minorBidi"/>
          <w:color w:val="auto"/>
          <w:sz w:val="24"/>
          <w:szCs w:val="22"/>
        </w:rPr>
      </w:pPr>
      <w:hyperlink w:anchor="_Toc172033181" w:history="1">
        <w:r w:rsidR="00B917B5" w:rsidRPr="00C3310F">
          <w:rPr>
            <w:rFonts w:hint="eastAsia"/>
            <w:b/>
            <w:color w:val="auto"/>
          </w:rPr>
          <w:t>貳</w:t>
        </w:r>
        <w:r w:rsidR="001C18FE" w:rsidRPr="00C3310F">
          <w:rPr>
            <w:rStyle w:val="ae"/>
            <w:rFonts w:hint="eastAsia"/>
            <w:b/>
            <w:color w:val="auto"/>
          </w:rPr>
          <w:t>、 問題背景</w:t>
        </w:r>
        <w:r w:rsidR="001C18FE" w:rsidRPr="00C3310F">
          <w:rPr>
            <w:webHidden/>
            <w:color w:val="auto"/>
          </w:rPr>
          <w:tab/>
        </w:r>
        <w:r w:rsidR="001C18FE" w:rsidRPr="00C3310F">
          <w:rPr>
            <w:webHidden/>
            <w:color w:val="auto"/>
          </w:rPr>
          <w:fldChar w:fldCharType="begin"/>
        </w:r>
        <w:r w:rsidR="001C18FE" w:rsidRPr="00C3310F">
          <w:rPr>
            <w:webHidden/>
            <w:color w:val="auto"/>
          </w:rPr>
          <w:instrText xml:space="preserve"> PAGEREF _Toc172033181 \h </w:instrText>
        </w:r>
        <w:r w:rsidR="001C18FE" w:rsidRPr="00C3310F">
          <w:rPr>
            <w:webHidden/>
            <w:color w:val="auto"/>
          </w:rPr>
        </w:r>
        <w:r w:rsidR="001C18FE" w:rsidRPr="00C3310F">
          <w:rPr>
            <w:webHidden/>
            <w:color w:val="auto"/>
          </w:rPr>
          <w:fldChar w:fldCharType="separate"/>
        </w:r>
        <w:r>
          <w:rPr>
            <w:webHidden/>
            <w:color w:val="auto"/>
          </w:rPr>
          <w:t>5</w:t>
        </w:r>
        <w:r w:rsidR="001C18FE" w:rsidRPr="00C3310F">
          <w:rPr>
            <w:webHidden/>
            <w:color w:val="auto"/>
          </w:rPr>
          <w:fldChar w:fldCharType="end"/>
        </w:r>
      </w:hyperlink>
      <w:r w:rsidR="001C18FE" w:rsidRPr="00C3310F">
        <w:rPr>
          <w:rFonts w:asciiTheme="minorHAnsi" w:eastAsiaTheme="minorEastAsia" w:hAnsiTheme="minorHAnsi" w:cstheme="minorBidi"/>
          <w:color w:val="auto"/>
          <w:sz w:val="24"/>
          <w:szCs w:val="22"/>
        </w:rPr>
        <w:t xml:space="preserve"> </w:t>
      </w:r>
    </w:p>
    <w:p w14:paraId="3E393576" w14:textId="213F4CCA" w:rsidR="001C18FE" w:rsidRPr="00C3310F" w:rsidRDefault="00595F3D" w:rsidP="00803F1D">
      <w:pPr>
        <w:pStyle w:val="23"/>
        <w:ind w:left="1020" w:hangingChars="200" w:hanging="680"/>
        <w:rPr>
          <w:rFonts w:asciiTheme="minorHAnsi" w:eastAsiaTheme="minorEastAsia" w:hAnsiTheme="minorHAnsi" w:cstheme="minorBidi"/>
          <w:color w:val="auto"/>
          <w:sz w:val="24"/>
          <w:szCs w:val="22"/>
        </w:rPr>
      </w:pPr>
      <w:hyperlink w:anchor="_Toc172033183" w:history="1">
        <w:r w:rsidR="001C18FE" w:rsidRPr="00C3310F">
          <w:rPr>
            <w:rStyle w:val="ae"/>
            <w:rFonts w:hint="eastAsia"/>
            <w:color w:val="auto"/>
          </w:rPr>
          <w:t>一、 犯罪條件的形成背景</w:t>
        </w:r>
        <w:r w:rsidR="001C18FE" w:rsidRPr="00C3310F">
          <w:rPr>
            <w:webHidden/>
            <w:color w:val="auto"/>
          </w:rPr>
          <w:tab/>
        </w:r>
        <w:r w:rsidR="001C18FE" w:rsidRPr="00C3310F">
          <w:rPr>
            <w:webHidden/>
            <w:color w:val="auto"/>
          </w:rPr>
          <w:fldChar w:fldCharType="begin"/>
        </w:r>
        <w:r w:rsidR="001C18FE" w:rsidRPr="00C3310F">
          <w:rPr>
            <w:webHidden/>
            <w:color w:val="auto"/>
          </w:rPr>
          <w:instrText xml:space="preserve"> PAGEREF _Toc172033183 \h </w:instrText>
        </w:r>
        <w:r w:rsidR="001C18FE" w:rsidRPr="00C3310F">
          <w:rPr>
            <w:webHidden/>
            <w:color w:val="auto"/>
          </w:rPr>
        </w:r>
        <w:r w:rsidR="001C18FE" w:rsidRPr="00C3310F">
          <w:rPr>
            <w:webHidden/>
            <w:color w:val="auto"/>
          </w:rPr>
          <w:fldChar w:fldCharType="separate"/>
        </w:r>
        <w:r>
          <w:rPr>
            <w:webHidden/>
            <w:color w:val="auto"/>
          </w:rPr>
          <w:t>5</w:t>
        </w:r>
        <w:r w:rsidR="001C18FE" w:rsidRPr="00C3310F">
          <w:rPr>
            <w:webHidden/>
            <w:color w:val="auto"/>
          </w:rPr>
          <w:fldChar w:fldCharType="end"/>
        </w:r>
      </w:hyperlink>
    </w:p>
    <w:p w14:paraId="33C4BFAB" w14:textId="6545E3A2" w:rsidR="001C18FE" w:rsidRPr="00C3310F" w:rsidRDefault="00595F3D" w:rsidP="00803F1D">
      <w:pPr>
        <w:pStyle w:val="23"/>
        <w:ind w:left="1020" w:hangingChars="200" w:hanging="680"/>
        <w:rPr>
          <w:rFonts w:asciiTheme="minorHAnsi" w:eastAsiaTheme="minorEastAsia" w:hAnsiTheme="minorHAnsi" w:cstheme="minorBidi"/>
          <w:color w:val="auto"/>
          <w:sz w:val="24"/>
          <w:szCs w:val="22"/>
        </w:rPr>
      </w:pPr>
      <w:hyperlink w:anchor="_Toc172033190" w:history="1">
        <w:r w:rsidR="001C18FE" w:rsidRPr="00C3310F">
          <w:rPr>
            <w:rStyle w:val="ae"/>
            <w:rFonts w:hint="eastAsia"/>
            <w:color w:val="auto"/>
          </w:rPr>
          <w:t>二、 電信網路詐騙集團組織</w:t>
        </w:r>
        <w:r w:rsidR="001C18FE" w:rsidRPr="00C3310F">
          <w:rPr>
            <w:webHidden/>
            <w:color w:val="auto"/>
          </w:rPr>
          <w:tab/>
        </w:r>
        <w:r w:rsidR="001C18FE" w:rsidRPr="00C3310F">
          <w:rPr>
            <w:webHidden/>
            <w:color w:val="auto"/>
          </w:rPr>
          <w:fldChar w:fldCharType="begin"/>
        </w:r>
        <w:r w:rsidR="001C18FE" w:rsidRPr="00C3310F">
          <w:rPr>
            <w:webHidden/>
            <w:color w:val="auto"/>
          </w:rPr>
          <w:instrText xml:space="preserve"> PAGEREF _Toc172033190 \h </w:instrText>
        </w:r>
        <w:r w:rsidR="001C18FE" w:rsidRPr="00C3310F">
          <w:rPr>
            <w:webHidden/>
            <w:color w:val="auto"/>
          </w:rPr>
        </w:r>
        <w:r w:rsidR="001C18FE" w:rsidRPr="00C3310F">
          <w:rPr>
            <w:webHidden/>
            <w:color w:val="auto"/>
          </w:rPr>
          <w:fldChar w:fldCharType="separate"/>
        </w:r>
        <w:r>
          <w:rPr>
            <w:webHidden/>
            <w:color w:val="auto"/>
          </w:rPr>
          <w:t>6</w:t>
        </w:r>
        <w:r w:rsidR="001C18FE" w:rsidRPr="00C3310F">
          <w:rPr>
            <w:webHidden/>
            <w:color w:val="auto"/>
          </w:rPr>
          <w:fldChar w:fldCharType="end"/>
        </w:r>
      </w:hyperlink>
    </w:p>
    <w:p w14:paraId="1DF9C7C2" w14:textId="77F92382" w:rsidR="001C18FE" w:rsidRPr="00C3310F" w:rsidRDefault="00595F3D" w:rsidP="00803F1D">
      <w:pPr>
        <w:pStyle w:val="23"/>
        <w:ind w:left="1020" w:hangingChars="200" w:hanging="680"/>
        <w:rPr>
          <w:rFonts w:asciiTheme="minorHAnsi" w:eastAsiaTheme="minorEastAsia" w:hAnsiTheme="minorHAnsi" w:cstheme="minorBidi"/>
          <w:color w:val="auto"/>
          <w:sz w:val="24"/>
          <w:szCs w:val="22"/>
        </w:rPr>
      </w:pPr>
      <w:hyperlink w:anchor="_Toc172033214" w:history="1">
        <w:r w:rsidR="001C18FE" w:rsidRPr="00C3310F">
          <w:rPr>
            <w:rStyle w:val="ae"/>
            <w:rFonts w:hint="eastAsia"/>
            <w:color w:val="auto"/>
          </w:rPr>
          <w:t>三、 電信網路詐欺面貌</w:t>
        </w:r>
        <w:r w:rsidR="001C18FE" w:rsidRPr="00C3310F">
          <w:rPr>
            <w:webHidden/>
            <w:color w:val="auto"/>
          </w:rPr>
          <w:tab/>
        </w:r>
        <w:r w:rsidR="001C18FE" w:rsidRPr="00C3310F">
          <w:rPr>
            <w:webHidden/>
            <w:color w:val="auto"/>
          </w:rPr>
          <w:fldChar w:fldCharType="begin"/>
        </w:r>
        <w:r w:rsidR="001C18FE" w:rsidRPr="00C3310F">
          <w:rPr>
            <w:webHidden/>
            <w:color w:val="auto"/>
          </w:rPr>
          <w:instrText xml:space="preserve"> PAGEREF _Toc172033214 \h </w:instrText>
        </w:r>
        <w:r w:rsidR="001C18FE" w:rsidRPr="00C3310F">
          <w:rPr>
            <w:webHidden/>
            <w:color w:val="auto"/>
          </w:rPr>
        </w:r>
        <w:r w:rsidR="001C18FE" w:rsidRPr="00C3310F">
          <w:rPr>
            <w:webHidden/>
            <w:color w:val="auto"/>
          </w:rPr>
          <w:fldChar w:fldCharType="separate"/>
        </w:r>
        <w:r>
          <w:rPr>
            <w:webHidden/>
            <w:color w:val="auto"/>
          </w:rPr>
          <w:t>13</w:t>
        </w:r>
        <w:r w:rsidR="001C18FE" w:rsidRPr="00C3310F">
          <w:rPr>
            <w:webHidden/>
            <w:color w:val="auto"/>
          </w:rPr>
          <w:fldChar w:fldCharType="end"/>
        </w:r>
      </w:hyperlink>
    </w:p>
    <w:p w14:paraId="12711FA4" w14:textId="041E747A" w:rsidR="001C18FE" w:rsidRPr="00C3310F" w:rsidRDefault="00595F3D" w:rsidP="00803F1D">
      <w:pPr>
        <w:pStyle w:val="23"/>
        <w:ind w:left="1020" w:hangingChars="200" w:hanging="680"/>
        <w:rPr>
          <w:rFonts w:asciiTheme="minorHAnsi" w:eastAsiaTheme="minorEastAsia" w:hAnsiTheme="minorHAnsi" w:cstheme="minorBidi"/>
          <w:color w:val="auto"/>
          <w:sz w:val="24"/>
          <w:szCs w:val="22"/>
        </w:rPr>
      </w:pPr>
      <w:hyperlink w:anchor="_Toc172033219" w:history="1">
        <w:r w:rsidR="001C18FE" w:rsidRPr="00C3310F">
          <w:rPr>
            <w:rStyle w:val="ae"/>
            <w:rFonts w:hint="eastAsia"/>
            <w:color w:val="auto"/>
          </w:rPr>
          <w:t>四、 電信網路詐騙集團利用漏洞</w:t>
        </w:r>
        <w:r w:rsidR="001C18FE" w:rsidRPr="00C3310F">
          <w:rPr>
            <w:webHidden/>
            <w:color w:val="auto"/>
          </w:rPr>
          <w:tab/>
        </w:r>
        <w:r w:rsidR="001C18FE" w:rsidRPr="00C3310F">
          <w:rPr>
            <w:webHidden/>
            <w:color w:val="auto"/>
          </w:rPr>
          <w:fldChar w:fldCharType="begin"/>
        </w:r>
        <w:r w:rsidR="001C18FE" w:rsidRPr="00C3310F">
          <w:rPr>
            <w:webHidden/>
            <w:color w:val="auto"/>
          </w:rPr>
          <w:instrText xml:space="preserve"> PAGEREF _Toc172033219 \h </w:instrText>
        </w:r>
        <w:r w:rsidR="001C18FE" w:rsidRPr="00C3310F">
          <w:rPr>
            <w:webHidden/>
            <w:color w:val="auto"/>
          </w:rPr>
        </w:r>
        <w:r w:rsidR="001C18FE" w:rsidRPr="00C3310F">
          <w:rPr>
            <w:webHidden/>
            <w:color w:val="auto"/>
          </w:rPr>
          <w:fldChar w:fldCharType="separate"/>
        </w:r>
        <w:r>
          <w:rPr>
            <w:webHidden/>
            <w:color w:val="auto"/>
          </w:rPr>
          <w:t>17</w:t>
        </w:r>
        <w:r w:rsidR="001C18FE" w:rsidRPr="00C3310F">
          <w:rPr>
            <w:webHidden/>
            <w:color w:val="auto"/>
          </w:rPr>
          <w:fldChar w:fldCharType="end"/>
        </w:r>
      </w:hyperlink>
    </w:p>
    <w:p w14:paraId="18D798F8" w14:textId="51E84A88" w:rsidR="001C18FE" w:rsidRPr="00C3310F" w:rsidRDefault="00595F3D" w:rsidP="00803F1D">
      <w:pPr>
        <w:pStyle w:val="23"/>
        <w:ind w:left="1020" w:hangingChars="200" w:hanging="680"/>
        <w:rPr>
          <w:rFonts w:asciiTheme="minorHAnsi" w:eastAsiaTheme="minorEastAsia" w:hAnsiTheme="minorHAnsi" w:cstheme="minorBidi"/>
          <w:color w:val="auto"/>
          <w:sz w:val="24"/>
          <w:szCs w:val="22"/>
        </w:rPr>
      </w:pPr>
      <w:hyperlink w:anchor="_Toc172033224" w:history="1">
        <w:r w:rsidR="001C18FE" w:rsidRPr="00C3310F">
          <w:rPr>
            <w:rStyle w:val="ae"/>
            <w:rFonts w:hint="eastAsia"/>
            <w:color w:val="auto"/>
          </w:rPr>
          <w:t>五、 本院歷年詐欺相關案件調查摘述</w:t>
        </w:r>
        <w:r w:rsidR="001C18FE" w:rsidRPr="00C3310F">
          <w:rPr>
            <w:webHidden/>
            <w:color w:val="auto"/>
          </w:rPr>
          <w:tab/>
        </w:r>
        <w:r w:rsidR="001C18FE" w:rsidRPr="00C3310F">
          <w:rPr>
            <w:webHidden/>
            <w:color w:val="auto"/>
          </w:rPr>
          <w:fldChar w:fldCharType="begin"/>
        </w:r>
        <w:r w:rsidR="001C18FE" w:rsidRPr="00C3310F">
          <w:rPr>
            <w:webHidden/>
            <w:color w:val="auto"/>
          </w:rPr>
          <w:instrText xml:space="preserve"> PAGEREF _Toc172033224 \h </w:instrText>
        </w:r>
        <w:r w:rsidR="001C18FE" w:rsidRPr="00C3310F">
          <w:rPr>
            <w:webHidden/>
            <w:color w:val="auto"/>
          </w:rPr>
        </w:r>
        <w:r w:rsidR="001C18FE" w:rsidRPr="00C3310F">
          <w:rPr>
            <w:webHidden/>
            <w:color w:val="auto"/>
          </w:rPr>
          <w:fldChar w:fldCharType="separate"/>
        </w:r>
        <w:r>
          <w:rPr>
            <w:webHidden/>
            <w:color w:val="auto"/>
          </w:rPr>
          <w:t>20</w:t>
        </w:r>
        <w:r w:rsidR="001C18FE" w:rsidRPr="00C3310F">
          <w:rPr>
            <w:webHidden/>
            <w:color w:val="auto"/>
          </w:rPr>
          <w:fldChar w:fldCharType="end"/>
        </w:r>
      </w:hyperlink>
      <w:r w:rsidR="001C18FE" w:rsidRPr="00C3310F">
        <w:rPr>
          <w:rFonts w:asciiTheme="minorHAnsi" w:eastAsiaTheme="minorEastAsia" w:hAnsiTheme="minorHAnsi" w:cstheme="minorBidi"/>
          <w:color w:val="auto"/>
          <w:sz w:val="24"/>
          <w:szCs w:val="22"/>
        </w:rPr>
        <w:t xml:space="preserve"> </w:t>
      </w:r>
    </w:p>
    <w:p w14:paraId="22141306" w14:textId="698724B4" w:rsidR="001C18FE" w:rsidRPr="00C3310F" w:rsidRDefault="00595F3D" w:rsidP="00803F1D">
      <w:pPr>
        <w:pStyle w:val="23"/>
        <w:ind w:left="1020" w:hangingChars="200" w:hanging="680"/>
        <w:rPr>
          <w:rFonts w:asciiTheme="minorHAnsi" w:eastAsiaTheme="minorEastAsia" w:hAnsiTheme="minorHAnsi" w:cstheme="minorBidi"/>
          <w:color w:val="auto"/>
          <w:sz w:val="24"/>
          <w:szCs w:val="22"/>
        </w:rPr>
      </w:pPr>
      <w:hyperlink w:anchor="_Toc172033233" w:history="1">
        <w:r w:rsidR="001C18FE" w:rsidRPr="00C3310F">
          <w:rPr>
            <w:rStyle w:val="ae"/>
            <w:rFonts w:hint="eastAsia"/>
            <w:color w:val="auto"/>
          </w:rPr>
          <w:t>七、 小結</w:t>
        </w:r>
        <w:r w:rsidR="001C18FE" w:rsidRPr="00C3310F">
          <w:rPr>
            <w:webHidden/>
            <w:color w:val="auto"/>
          </w:rPr>
          <w:tab/>
        </w:r>
        <w:r w:rsidR="001C18FE" w:rsidRPr="00C3310F">
          <w:rPr>
            <w:webHidden/>
            <w:color w:val="auto"/>
          </w:rPr>
          <w:fldChar w:fldCharType="begin"/>
        </w:r>
        <w:r w:rsidR="001C18FE" w:rsidRPr="00C3310F">
          <w:rPr>
            <w:webHidden/>
            <w:color w:val="auto"/>
          </w:rPr>
          <w:instrText xml:space="preserve"> PAGEREF _Toc172033233 \h </w:instrText>
        </w:r>
        <w:r w:rsidR="001C18FE" w:rsidRPr="00C3310F">
          <w:rPr>
            <w:webHidden/>
            <w:color w:val="auto"/>
          </w:rPr>
        </w:r>
        <w:r w:rsidR="001C18FE" w:rsidRPr="00C3310F">
          <w:rPr>
            <w:webHidden/>
            <w:color w:val="auto"/>
          </w:rPr>
          <w:fldChar w:fldCharType="separate"/>
        </w:r>
        <w:r>
          <w:rPr>
            <w:webHidden/>
            <w:color w:val="auto"/>
          </w:rPr>
          <w:t>31</w:t>
        </w:r>
        <w:r w:rsidR="001C18FE" w:rsidRPr="00C3310F">
          <w:rPr>
            <w:webHidden/>
            <w:color w:val="auto"/>
          </w:rPr>
          <w:fldChar w:fldCharType="end"/>
        </w:r>
      </w:hyperlink>
    </w:p>
    <w:p w14:paraId="772A981B" w14:textId="6040A093" w:rsidR="001C18FE" w:rsidRPr="00C3310F" w:rsidRDefault="00595F3D" w:rsidP="00803F1D">
      <w:pPr>
        <w:pStyle w:val="11"/>
        <w:ind w:left="681" w:hangingChars="200" w:hanging="681"/>
        <w:rPr>
          <w:rFonts w:asciiTheme="minorHAnsi" w:eastAsiaTheme="minorEastAsia" w:hAnsiTheme="minorHAnsi" w:cstheme="minorBidi"/>
          <w:color w:val="auto"/>
          <w:sz w:val="24"/>
          <w:szCs w:val="22"/>
        </w:rPr>
      </w:pPr>
      <w:hyperlink w:anchor="_Toc172033234" w:history="1">
        <w:r w:rsidR="00B917B5" w:rsidRPr="00C3310F">
          <w:rPr>
            <w:rFonts w:hint="eastAsia"/>
            <w:b/>
            <w:color w:val="auto"/>
          </w:rPr>
          <w:t>參</w:t>
        </w:r>
        <w:r w:rsidR="001C18FE" w:rsidRPr="00C3310F">
          <w:rPr>
            <w:rStyle w:val="ae"/>
            <w:rFonts w:hint="eastAsia"/>
            <w:b/>
            <w:color w:val="auto"/>
          </w:rPr>
          <w:t>、 研究方法與過程</w:t>
        </w:r>
        <w:r w:rsidR="001C18FE" w:rsidRPr="00C3310F">
          <w:rPr>
            <w:webHidden/>
            <w:color w:val="auto"/>
          </w:rPr>
          <w:tab/>
        </w:r>
        <w:r w:rsidR="001C18FE" w:rsidRPr="00C3310F">
          <w:rPr>
            <w:webHidden/>
            <w:color w:val="auto"/>
          </w:rPr>
          <w:fldChar w:fldCharType="begin"/>
        </w:r>
        <w:r w:rsidR="001C18FE" w:rsidRPr="00C3310F">
          <w:rPr>
            <w:webHidden/>
            <w:color w:val="auto"/>
          </w:rPr>
          <w:instrText xml:space="preserve"> PAGEREF _Toc172033234 \h </w:instrText>
        </w:r>
        <w:r w:rsidR="001C18FE" w:rsidRPr="00C3310F">
          <w:rPr>
            <w:webHidden/>
            <w:color w:val="auto"/>
          </w:rPr>
        </w:r>
        <w:r w:rsidR="001C18FE" w:rsidRPr="00C3310F">
          <w:rPr>
            <w:webHidden/>
            <w:color w:val="auto"/>
          </w:rPr>
          <w:fldChar w:fldCharType="separate"/>
        </w:r>
        <w:r>
          <w:rPr>
            <w:webHidden/>
            <w:color w:val="auto"/>
          </w:rPr>
          <w:t>32</w:t>
        </w:r>
        <w:r w:rsidR="001C18FE" w:rsidRPr="00C3310F">
          <w:rPr>
            <w:webHidden/>
            <w:color w:val="auto"/>
          </w:rPr>
          <w:fldChar w:fldCharType="end"/>
        </w:r>
      </w:hyperlink>
    </w:p>
    <w:p w14:paraId="381A363A" w14:textId="516F31D5" w:rsidR="001C18FE" w:rsidRPr="00C3310F" w:rsidRDefault="00595F3D" w:rsidP="00803F1D">
      <w:pPr>
        <w:pStyle w:val="23"/>
        <w:ind w:left="1020" w:hangingChars="200" w:hanging="680"/>
        <w:rPr>
          <w:rFonts w:asciiTheme="minorHAnsi" w:eastAsiaTheme="minorEastAsia" w:hAnsiTheme="minorHAnsi" w:cstheme="minorBidi"/>
          <w:color w:val="auto"/>
          <w:sz w:val="24"/>
          <w:szCs w:val="22"/>
        </w:rPr>
      </w:pPr>
      <w:hyperlink w:anchor="_Toc172033235" w:history="1">
        <w:r w:rsidR="001C18FE" w:rsidRPr="00C3310F">
          <w:rPr>
            <w:rStyle w:val="ae"/>
            <w:rFonts w:hint="eastAsia"/>
            <w:color w:val="auto"/>
          </w:rPr>
          <w:t>一、 文獻蒐集及盤點</w:t>
        </w:r>
        <w:r w:rsidR="001C18FE" w:rsidRPr="00C3310F">
          <w:rPr>
            <w:webHidden/>
            <w:color w:val="auto"/>
          </w:rPr>
          <w:tab/>
        </w:r>
        <w:r w:rsidR="001C18FE" w:rsidRPr="00C3310F">
          <w:rPr>
            <w:webHidden/>
            <w:color w:val="auto"/>
          </w:rPr>
          <w:fldChar w:fldCharType="begin"/>
        </w:r>
        <w:r w:rsidR="001C18FE" w:rsidRPr="00C3310F">
          <w:rPr>
            <w:webHidden/>
            <w:color w:val="auto"/>
          </w:rPr>
          <w:instrText xml:space="preserve"> PAGEREF _Toc172033235 \h </w:instrText>
        </w:r>
        <w:r w:rsidR="001C18FE" w:rsidRPr="00C3310F">
          <w:rPr>
            <w:webHidden/>
            <w:color w:val="auto"/>
          </w:rPr>
        </w:r>
        <w:r w:rsidR="001C18FE" w:rsidRPr="00C3310F">
          <w:rPr>
            <w:webHidden/>
            <w:color w:val="auto"/>
          </w:rPr>
          <w:fldChar w:fldCharType="separate"/>
        </w:r>
        <w:r>
          <w:rPr>
            <w:webHidden/>
            <w:color w:val="auto"/>
          </w:rPr>
          <w:t>32</w:t>
        </w:r>
        <w:r w:rsidR="001C18FE" w:rsidRPr="00C3310F">
          <w:rPr>
            <w:webHidden/>
            <w:color w:val="auto"/>
          </w:rPr>
          <w:fldChar w:fldCharType="end"/>
        </w:r>
      </w:hyperlink>
    </w:p>
    <w:p w14:paraId="609F10A2" w14:textId="394D1AC5" w:rsidR="001C18FE" w:rsidRPr="00C3310F" w:rsidRDefault="00595F3D" w:rsidP="00803F1D">
      <w:pPr>
        <w:pStyle w:val="23"/>
        <w:ind w:left="1020" w:hangingChars="200" w:hanging="680"/>
        <w:rPr>
          <w:rFonts w:asciiTheme="minorHAnsi" w:eastAsiaTheme="minorEastAsia" w:hAnsiTheme="minorHAnsi" w:cstheme="minorBidi"/>
          <w:color w:val="auto"/>
          <w:sz w:val="24"/>
          <w:szCs w:val="22"/>
        </w:rPr>
      </w:pPr>
      <w:hyperlink w:anchor="_Toc172033238" w:history="1">
        <w:r w:rsidR="001C18FE" w:rsidRPr="00C3310F">
          <w:rPr>
            <w:rStyle w:val="ae"/>
            <w:rFonts w:hint="eastAsia"/>
            <w:color w:val="auto"/>
          </w:rPr>
          <w:t>二、 調查研究過程</w:t>
        </w:r>
        <w:r w:rsidR="001C18FE" w:rsidRPr="00C3310F">
          <w:rPr>
            <w:webHidden/>
            <w:color w:val="auto"/>
          </w:rPr>
          <w:tab/>
        </w:r>
        <w:r w:rsidR="001C18FE" w:rsidRPr="00C3310F">
          <w:rPr>
            <w:webHidden/>
            <w:color w:val="auto"/>
          </w:rPr>
          <w:fldChar w:fldCharType="begin"/>
        </w:r>
        <w:r w:rsidR="001C18FE" w:rsidRPr="00C3310F">
          <w:rPr>
            <w:webHidden/>
            <w:color w:val="auto"/>
          </w:rPr>
          <w:instrText xml:space="preserve"> PAGEREF _Toc172033238 \h </w:instrText>
        </w:r>
        <w:r w:rsidR="001C18FE" w:rsidRPr="00C3310F">
          <w:rPr>
            <w:webHidden/>
            <w:color w:val="auto"/>
          </w:rPr>
        </w:r>
        <w:r w:rsidR="001C18FE" w:rsidRPr="00C3310F">
          <w:rPr>
            <w:webHidden/>
            <w:color w:val="auto"/>
          </w:rPr>
          <w:fldChar w:fldCharType="separate"/>
        </w:r>
        <w:r>
          <w:rPr>
            <w:webHidden/>
            <w:color w:val="auto"/>
          </w:rPr>
          <w:t>33</w:t>
        </w:r>
        <w:r w:rsidR="001C18FE" w:rsidRPr="00C3310F">
          <w:rPr>
            <w:webHidden/>
            <w:color w:val="auto"/>
          </w:rPr>
          <w:fldChar w:fldCharType="end"/>
        </w:r>
      </w:hyperlink>
    </w:p>
    <w:p w14:paraId="514DEE38" w14:textId="13A11118" w:rsidR="001C18FE" w:rsidRPr="00C3310F" w:rsidRDefault="00595F3D" w:rsidP="00803F1D">
      <w:pPr>
        <w:pStyle w:val="11"/>
        <w:ind w:left="681" w:hangingChars="200" w:hanging="681"/>
        <w:rPr>
          <w:rFonts w:asciiTheme="minorHAnsi" w:eastAsiaTheme="minorEastAsia" w:hAnsiTheme="minorHAnsi" w:cstheme="minorBidi"/>
          <w:color w:val="auto"/>
          <w:sz w:val="24"/>
          <w:szCs w:val="22"/>
        </w:rPr>
      </w:pPr>
      <w:hyperlink w:anchor="_Toc172033240" w:history="1">
        <w:r w:rsidR="00B917B5" w:rsidRPr="00C3310F">
          <w:rPr>
            <w:rFonts w:hint="eastAsia"/>
            <w:b/>
            <w:color w:val="auto"/>
          </w:rPr>
          <w:t>肆</w:t>
        </w:r>
        <w:r w:rsidR="001C18FE" w:rsidRPr="00C3310F">
          <w:rPr>
            <w:rStyle w:val="ae"/>
            <w:rFonts w:hint="eastAsia"/>
            <w:b/>
            <w:color w:val="auto"/>
          </w:rPr>
          <w:t>、 研究發現與分析</w:t>
        </w:r>
        <w:r w:rsidR="001C18FE" w:rsidRPr="00C3310F">
          <w:rPr>
            <w:webHidden/>
            <w:color w:val="auto"/>
          </w:rPr>
          <w:tab/>
        </w:r>
        <w:r w:rsidR="001C18FE" w:rsidRPr="00C3310F">
          <w:rPr>
            <w:webHidden/>
            <w:color w:val="auto"/>
          </w:rPr>
          <w:fldChar w:fldCharType="begin"/>
        </w:r>
        <w:r w:rsidR="001C18FE" w:rsidRPr="00C3310F">
          <w:rPr>
            <w:webHidden/>
            <w:color w:val="auto"/>
          </w:rPr>
          <w:instrText xml:space="preserve"> PAGEREF _Toc172033240 \h </w:instrText>
        </w:r>
        <w:r w:rsidR="001C18FE" w:rsidRPr="00C3310F">
          <w:rPr>
            <w:webHidden/>
            <w:color w:val="auto"/>
          </w:rPr>
        </w:r>
        <w:r w:rsidR="001C18FE" w:rsidRPr="00C3310F">
          <w:rPr>
            <w:webHidden/>
            <w:color w:val="auto"/>
          </w:rPr>
          <w:fldChar w:fldCharType="separate"/>
        </w:r>
        <w:r>
          <w:rPr>
            <w:webHidden/>
            <w:color w:val="auto"/>
          </w:rPr>
          <w:t>35</w:t>
        </w:r>
        <w:r w:rsidR="001C18FE" w:rsidRPr="00C3310F">
          <w:rPr>
            <w:webHidden/>
            <w:color w:val="auto"/>
          </w:rPr>
          <w:fldChar w:fldCharType="end"/>
        </w:r>
      </w:hyperlink>
      <w:r w:rsidR="001C18FE" w:rsidRPr="00C3310F">
        <w:rPr>
          <w:rFonts w:asciiTheme="minorHAnsi" w:eastAsiaTheme="minorEastAsia" w:hAnsiTheme="minorHAnsi" w:cstheme="minorBidi"/>
          <w:color w:val="auto"/>
          <w:sz w:val="24"/>
          <w:szCs w:val="22"/>
        </w:rPr>
        <w:t xml:space="preserve"> </w:t>
      </w:r>
    </w:p>
    <w:p w14:paraId="35B8AC3E" w14:textId="5E6AB7E7" w:rsidR="001C18FE" w:rsidRPr="00C3310F" w:rsidRDefault="00595F3D" w:rsidP="00803F1D">
      <w:pPr>
        <w:pStyle w:val="23"/>
        <w:ind w:left="1020" w:hangingChars="200" w:hanging="680"/>
        <w:rPr>
          <w:rFonts w:asciiTheme="minorHAnsi" w:eastAsiaTheme="minorEastAsia" w:hAnsiTheme="minorHAnsi" w:cstheme="minorBidi"/>
          <w:color w:val="auto"/>
          <w:sz w:val="24"/>
          <w:szCs w:val="22"/>
        </w:rPr>
      </w:pPr>
      <w:hyperlink w:anchor="_Toc172033242" w:history="1">
        <w:r w:rsidR="001C18FE" w:rsidRPr="00C3310F">
          <w:rPr>
            <w:rStyle w:val="ae"/>
            <w:rFonts w:hint="eastAsia"/>
            <w:color w:val="auto"/>
          </w:rPr>
          <w:t>一、 電信網路詐欺案件變動趨勢</w:t>
        </w:r>
        <w:r w:rsidR="001C18FE" w:rsidRPr="00C3310F">
          <w:rPr>
            <w:webHidden/>
            <w:color w:val="auto"/>
          </w:rPr>
          <w:tab/>
        </w:r>
        <w:r w:rsidR="001C18FE" w:rsidRPr="00C3310F">
          <w:rPr>
            <w:webHidden/>
            <w:color w:val="auto"/>
          </w:rPr>
          <w:fldChar w:fldCharType="begin"/>
        </w:r>
        <w:r w:rsidR="001C18FE" w:rsidRPr="00C3310F">
          <w:rPr>
            <w:webHidden/>
            <w:color w:val="auto"/>
          </w:rPr>
          <w:instrText xml:space="preserve"> PAGEREF _Toc172033242 \h </w:instrText>
        </w:r>
        <w:r w:rsidR="001C18FE" w:rsidRPr="00C3310F">
          <w:rPr>
            <w:webHidden/>
            <w:color w:val="auto"/>
          </w:rPr>
        </w:r>
        <w:r w:rsidR="001C18FE" w:rsidRPr="00C3310F">
          <w:rPr>
            <w:webHidden/>
            <w:color w:val="auto"/>
          </w:rPr>
          <w:fldChar w:fldCharType="separate"/>
        </w:r>
        <w:r>
          <w:rPr>
            <w:webHidden/>
            <w:color w:val="auto"/>
          </w:rPr>
          <w:t>35</w:t>
        </w:r>
        <w:r w:rsidR="001C18FE" w:rsidRPr="00C3310F">
          <w:rPr>
            <w:webHidden/>
            <w:color w:val="auto"/>
          </w:rPr>
          <w:fldChar w:fldCharType="end"/>
        </w:r>
      </w:hyperlink>
      <w:r w:rsidR="001C18FE" w:rsidRPr="00C3310F">
        <w:rPr>
          <w:rFonts w:asciiTheme="minorHAnsi" w:eastAsiaTheme="minorEastAsia" w:hAnsiTheme="minorHAnsi" w:cstheme="minorBidi"/>
          <w:color w:val="auto"/>
          <w:sz w:val="24"/>
          <w:szCs w:val="22"/>
        </w:rPr>
        <w:t xml:space="preserve"> </w:t>
      </w:r>
    </w:p>
    <w:p w14:paraId="08B48E75" w14:textId="7C60FDDA" w:rsidR="001C18FE" w:rsidRPr="00C3310F" w:rsidRDefault="00595F3D" w:rsidP="00803F1D">
      <w:pPr>
        <w:pStyle w:val="23"/>
        <w:ind w:left="1020" w:hangingChars="200" w:hanging="680"/>
        <w:rPr>
          <w:rFonts w:asciiTheme="minorHAnsi" w:eastAsiaTheme="minorEastAsia" w:hAnsiTheme="minorHAnsi" w:cstheme="minorBidi"/>
          <w:color w:val="auto"/>
          <w:sz w:val="24"/>
          <w:szCs w:val="22"/>
        </w:rPr>
      </w:pPr>
      <w:hyperlink w:anchor="_Toc172033249" w:history="1">
        <w:r w:rsidR="001C18FE" w:rsidRPr="00C3310F">
          <w:rPr>
            <w:rStyle w:val="ae"/>
            <w:rFonts w:hint="eastAsia"/>
            <w:color w:val="auto"/>
          </w:rPr>
          <w:t>二、 犯罪樣態、趨勢、反制措施及打擊重點</w:t>
        </w:r>
        <w:r w:rsidR="001C18FE" w:rsidRPr="00C3310F">
          <w:rPr>
            <w:webHidden/>
            <w:color w:val="auto"/>
          </w:rPr>
          <w:tab/>
        </w:r>
        <w:r w:rsidR="001C18FE" w:rsidRPr="00C3310F">
          <w:rPr>
            <w:webHidden/>
            <w:color w:val="auto"/>
          </w:rPr>
          <w:fldChar w:fldCharType="begin"/>
        </w:r>
        <w:r w:rsidR="001C18FE" w:rsidRPr="00C3310F">
          <w:rPr>
            <w:webHidden/>
            <w:color w:val="auto"/>
          </w:rPr>
          <w:instrText xml:space="preserve"> PAGEREF _Toc172033249 \h </w:instrText>
        </w:r>
        <w:r w:rsidR="001C18FE" w:rsidRPr="00C3310F">
          <w:rPr>
            <w:webHidden/>
            <w:color w:val="auto"/>
          </w:rPr>
        </w:r>
        <w:r w:rsidR="001C18FE" w:rsidRPr="00C3310F">
          <w:rPr>
            <w:webHidden/>
            <w:color w:val="auto"/>
          </w:rPr>
          <w:fldChar w:fldCharType="separate"/>
        </w:r>
        <w:r>
          <w:rPr>
            <w:webHidden/>
            <w:color w:val="auto"/>
          </w:rPr>
          <w:t>46</w:t>
        </w:r>
        <w:r w:rsidR="001C18FE" w:rsidRPr="00C3310F">
          <w:rPr>
            <w:webHidden/>
            <w:color w:val="auto"/>
          </w:rPr>
          <w:fldChar w:fldCharType="end"/>
        </w:r>
      </w:hyperlink>
    </w:p>
    <w:p w14:paraId="11C9E05E" w14:textId="44E00303" w:rsidR="001C18FE" w:rsidRPr="00C3310F" w:rsidRDefault="00595F3D" w:rsidP="00803F1D">
      <w:pPr>
        <w:pStyle w:val="23"/>
        <w:ind w:left="1020" w:hangingChars="200" w:hanging="680"/>
        <w:rPr>
          <w:rFonts w:asciiTheme="minorHAnsi" w:eastAsiaTheme="minorEastAsia" w:hAnsiTheme="minorHAnsi" w:cstheme="minorBidi"/>
          <w:color w:val="auto"/>
          <w:sz w:val="24"/>
          <w:szCs w:val="22"/>
        </w:rPr>
      </w:pPr>
      <w:hyperlink w:anchor="_Toc172033314" w:history="1">
        <w:r w:rsidR="001C18FE" w:rsidRPr="00C3310F">
          <w:rPr>
            <w:rStyle w:val="ae"/>
            <w:rFonts w:hint="eastAsia"/>
            <w:color w:val="auto"/>
          </w:rPr>
          <w:t>三、 打詐措施之效益</w:t>
        </w:r>
        <w:r w:rsidR="001C18FE" w:rsidRPr="00C3310F">
          <w:rPr>
            <w:webHidden/>
            <w:color w:val="auto"/>
          </w:rPr>
          <w:tab/>
        </w:r>
        <w:r w:rsidR="001C18FE" w:rsidRPr="00C3310F">
          <w:rPr>
            <w:webHidden/>
            <w:color w:val="auto"/>
          </w:rPr>
          <w:fldChar w:fldCharType="begin"/>
        </w:r>
        <w:r w:rsidR="001C18FE" w:rsidRPr="00C3310F">
          <w:rPr>
            <w:webHidden/>
            <w:color w:val="auto"/>
          </w:rPr>
          <w:instrText xml:space="preserve"> PAGEREF _Toc172033314 \h </w:instrText>
        </w:r>
        <w:r w:rsidR="001C18FE" w:rsidRPr="00C3310F">
          <w:rPr>
            <w:webHidden/>
            <w:color w:val="auto"/>
          </w:rPr>
        </w:r>
        <w:r w:rsidR="001C18FE" w:rsidRPr="00C3310F">
          <w:rPr>
            <w:webHidden/>
            <w:color w:val="auto"/>
          </w:rPr>
          <w:fldChar w:fldCharType="separate"/>
        </w:r>
        <w:r>
          <w:rPr>
            <w:webHidden/>
            <w:color w:val="auto"/>
          </w:rPr>
          <w:t>66</w:t>
        </w:r>
        <w:r w:rsidR="001C18FE" w:rsidRPr="00C3310F">
          <w:rPr>
            <w:webHidden/>
            <w:color w:val="auto"/>
          </w:rPr>
          <w:fldChar w:fldCharType="end"/>
        </w:r>
      </w:hyperlink>
    </w:p>
    <w:p w14:paraId="08B14307" w14:textId="1CD382B6" w:rsidR="001C18FE" w:rsidRPr="00C3310F" w:rsidRDefault="00595F3D" w:rsidP="00803F1D">
      <w:pPr>
        <w:pStyle w:val="23"/>
        <w:ind w:left="1020" w:hangingChars="200" w:hanging="680"/>
        <w:rPr>
          <w:rFonts w:asciiTheme="minorHAnsi" w:eastAsiaTheme="minorEastAsia" w:hAnsiTheme="minorHAnsi" w:cstheme="minorBidi"/>
          <w:color w:val="auto"/>
          <w:sz w:val="24"/>
          <w:szCs w:val="22"/>
        </w:rPr>
      </w:pPr>
      <w:hyperlink w:anchor="_Toc172033331" w:history="1">
        <w:r w:rsidR="001C18FE" w:rsidRPr="00C3310F">
          <w:rPr>
            <w:rStyle w:val="ae"/>
            <w:rFonts w:hint="eastAsia"/>
            <w:color w:val="auto"/>
          </w:rPr>
          <w:t>四、 防制措施所遭遇之挑戰及困境</w:t>
        </w:r>
        <w:r w:rsidR="001C18FE" w:rsidRPr="00C3310F">
          <w:rPr>
            <w:webHidden/>
            <w:color w:val="auto"/>
          </w:rPr>
          <w:tab/>
        </w:r>
        <w:r w:rsidR="001C18FE" w:rsidRPr="00C3310F">
          <w:rPr>
            <w:webHidden/>
            <w:color w:val="auto"/>
          </w:rPr>
          <w:fldChar w:fldCharType="begin"/>
        </w:r>
        <w:r w:rsidR="001C18FE" w:rsidRPr="00C3310F">
          <w:rPr>
            <w:webHidden/>
            <w:color w:val="auto"/>
          </w:rPr>
          <w:instrText xml:space="preserve"> PAGEREF _Toc172033331 \h </w:instrText>
        </w:r>
        <w:r w:rsidR="001C18FE" w:rsidRPr="00C3310F">
          <w:rPr>
            <w:webHidden/>
            <w:color w:val="auto"/>
          </w:rPr>
        </w:r>
        <w:r w:rsidR="001C18FE" w:rsidRPr="00C3310F">
          <w:rPr>
            <w:webHidden/>
            <w:color w:val="auto"/>
          </w:rPr>
          <w:fldChar w:fldCharType="separate"/>
        </w:r>
        <w:r>
          <w:rPr>
            <w:webHidden/>
            <w:color w:val="auto"/>
          </w:rPr>
          <w:t>75</w:t>
        </w:r>
        <w:r w:rsidR="001C18FE" w:rsidRPr="00C3310F">
          <w:rPr>
            <w:webHidden/>
            <w:color w:val="auto"/>
          </w:rPr>
          <w:fldChar w:fldCharType="end"/>
        </w:r>
      </w:hyperlink>
    </w:p>
    <w:p w14:paraId="136524F5" w14:textId="30A6E900" w:rsidR="001C18FE" w:rsidRPr="00C3310F" w:rsidRDefault="00595F3D" w:rsidP="00803F1D">
      <w:pPr>
        <w:pStyle w:val="23"/>
        <w:ind w:left="1020" w:hangingChars="200" w:hanging="680"/>
        <w:rPr>
          <w:rFonts w:asciiTheme="minorHAnsi" w:eastAsiaTheme="minorEastAsia" w:hAnsiTheme="minorHAnsi" w:cstheme="minorBidi"/>
          <w:color w:val="auto"/>
          <w:sz w:val="24"/>
          <w:szCs w:val="22"/>
        </w:rPr>
      </w:pPr>
      <w:hyperlink w:anchor="_Toc172033339" w:history="1">
        <w:r w:rsidR="001C18FE" w:rsidRPr="00C3310F">
          <w:rPr>
            <w:rStyle w:val="ae"/>
            <w:rFonts w:hint="eastAsia"/>
            <w:color w:val="auto"/>
          </w:rPr>
          <w:t>五、 專家諮詢、研討會及出國交流所得建議</w:t>
        </w:r>
        <w:r w:rsidR="001C18FE" w:rsidRPr="00C3310F">
          <w:rPr>
            <w:webHidden/>
            <w:color w:val="auto"/>
          </w:rPr>
          <w:tab/>
        </w:r>
        <w:r w:rsidR="001C18FE" w:rsidRPr="00C3310F">
          <w:rPr>
            <w:webHidden/>
            <w:color w:val="auto"/>
          </w:rPr>
          <w:fldChar w:fldCharType="begin"/>
        </w:r>
        <w:r w:rsidR="001C18FE" w:rsidRPr="00C3310F">
          <w:rPr>
            <w:webHidden/>
            <w:color w:val="auto"/>
          </w:rPr>
          <w:instrText xml:space="preserve"> PAGEREF _Toc172033339 \h </w:instrText>
        </w:r>
        <w:r w:rsidR="001C18FE" w:rsidRPr="00C3310F">
          <w:rPr>
            <w:webHidden/>
            <w:color w:val="auto"/>
          </w:rPr>
        </w:r>
        <w:r w:rsidR="001C18FE" w:rsidRPr="00C3310F">
          <w:rPr>
            <w:webHidden/>
            <w:color w:val="auto"/>
          </w:rPr>
          <w:fldChar w:fldCharType="separate"/>
        </w:r>
        <w:r>
          <w:rPr>
            <w:webHidden/>
            <w:color w:val="auto"/>
          </w:rPr>
          <w:t>84</w:t>
        </w:r>
        <w:r w:rsidR="001C18FE" w:rsidRPr="00C3310F">
          <w:rPr>
            <w:webHidden/>
            <w:color w:val="auto"/>
          </w:rPr>
          <w:fldChar w:fldCharType="end"/>
        </w:r>
      </w:hyperlink>
    </w:p>
    <w:p w14:paraId="2A47946F" w14:textId="1AFD5155" w:rsidR="001C18FE" w:rsidRPr="00C3310F" w:rsidRDefault="00595F3D" w:rsidP="00803F1D">
      <w:pPr>
        <w:pStyle w:val="11"/>
        <w:ind w:left="681" w:hangingChars="200" w:hanging="681"/>
        <w:rPr>
          <w:rFonts w:asciiTheme="minorHAnsi" w:eastAsiaTheme="minorEastAsia" w:hAnsiTheme="minorHAnsi" w:cstheme="minorBidi"/>
          <w:color w:val="auto"/>
          <w:sz w:val="24"/>
          <w:szCs w:val="22"/>
        </w:rPr>
      </w:pPr>
      <w:hyperlink w:anchor="_Toc172033404" w:history="1">
        <w:r w:rsidR="00B917B5" w:rsidRPr="00C3310F">
          <w:rPr>
            <w:rFonts w:hint="eastAsia"/>
            <w:b/>
            <w:color w:val="auto"/>
          </w:rPr>
          <w:t>伍</w:t>
        </w:r>
        <w:r w:rsidR="001C18FE" w:rsidRPr="00C3310F">
          <w:rPr>
            <w:rStyle w:val="ae"/>
            <w:rFonts w:hint="eastAsia"/>
            <w:b/>
            <w:color w:val="auto"/>
          </w:rPr>
          <w:t>、 結論與建議</w:t>
        </w:r>
        <w:r w:rsidR="001C18FE" w:rsidRPr="00C3310F">
          <w:rPr>
            <w:webHidden/>
            <w:color w:val="auto"/>
          </w:rPr>
          <w:tab/>
        </w:r>
        <w:r w:rsidR="001C18FE" w:rsidRPr="00C3310F">
          <w:rPr>
            <w:webHidden/>
            <w:color w:val="auto"/>
          </w:rPr>
          <w:fldChar w:fldCharType="begin"/>
        </w:r>
        <w:r w:rsidR="001C18FE" w:rsidRPr="00C3310F">
          <w:rPr>
            <w:webHidden/>
            <w:color w:val="auto"/>
          </w:rPr>
          <w:instrText xml:space="preserve"> PAGEREF _Toc172033404 \h </w:instrText>
        </w:r>
        <w:r w:rsidR="001C18FE" w:rsidRPr="00C3310F">
          <w:rPr>
            <w:webHidden/>
            <w:color w:val="auto"/>
          </w:rPr>
        </w:r>
        <w:r w:rsidR="001C18FE" w:rsidRPr="00C3310F">
          <w:rPr>
            <w:webHidden/>
            <w:color w:val="auto"/>
          </w:rPr>
          <w:fldChar w:fldCharType="separate"/>
        </w:r>
        <w:r>
          <w:rPr>
            <w:webHidden/>
            <w:color w:val="auto"/>
          </w:rPr>
          <w:t>123</w:t>
        </w:r>
        <w:r w:rsidR="001C18FE" w:rsidRPr="00C3310F">
          <w:rPr>
            <w:webHidden/>
            <w:color w:val="auto"/>
          </w:rPr>
          <w:fldChar w:fldCharType="end"/>
        </w:r>
      </w:hyperlink>
    </w:p>
    <w:p w14:paraId="17164077" w14:textId="6041EB5D" w:rsidR="001C18FE" w:rsidRPr="00C3310F" w:rsidRDefault="00595F3D" w:rsidP="00803F1D">
      <w:pPr>
        <w:pStyle w:val="23"/>
        <w:ind w:left="1020" w:hangingChars="200" w:hanging="680"/>
        <w:rPr>
          <w:rFonts w:asciiTheme="minorHAnsi" w:eastAsiaTheme="minorEastAsia" w:hAnsiTheme="minorHAnsi" w:cstheme="minorBidi"/>
          <w:color w:val="auto"/>
          <w:sz w:val="24"/>
          <w:szCs w:val="22"/>
        </w:rPr>
      </w:pPr>
      <w:hyperlink w:anchor="_Toc172033405" w:history="1">
        <w:r w:rsidR="001C18FE" w:rsidRPr="00C3310F">
          <w:rPr>
            <w:rStyle w:val="ae"/>
            <w:rFonts w:hint="eastAsia"/>
            <w:color w:val="auto"/>
          </w:rPr>
          <w:t>一、</w:t>
        </w:r>
        <w:r w:rsidR="001C18FE" w:rsidRPr="00C3310F">
          <w:rPr>
            <w:rStyle w:val="ae"/>
            <w:rFonts w:hint="eastAsia"/>
            <w:b/>
            <w:color w:val="auto"/>
          </w:rPr>
          <w:t>國內</w:t>
        </w:r>
        <w:r w:rsidR="001C18FE" w:rsidRPr="00C3310F">
          <w:rPr>
            <w:rStyle w:val="ae"/>
            <w:b/>
            <w:color w:val="auto"/>
          </w:rPr>
          <w:t>112</w:t>
        </w:r>
        <w:r w:rsidR="001C18FE" w:rsidRPr="00C3310F">
          <w:rPr>
            <w:rStyle w:val="ae"/>
            <w:rFonts w:hint="eastAsia"/>
            <w:b/>
            <w:color w:val="auto"/>
          </w:rPr>
          <w:t>年電信網路詐欺案件數量已突破</w:t>
        </w:r>
        <w:r w:rsidR="001C18FE" w:rsidRPr="00C3310F">
          <w:rPr>
            <w:rStyle w:val="ae"/>
            <w:b/>
            <w:color w:val="auto"/>
          </w:rPr>
          <w:t>2</w:t>
        </w:r>
        <w:r w:rsidR="001C18FE" w:rsidRPr="00C3310F">
          <w:rPr>
            <w:rStyle w:val="ae"/>
            <w:rFonts w:hint="eastAsia"/>
            <w:b/>
            <w:color w:val="auto"/>
          </w:rPr>
          <w:t>萬件</w:t>
        </w:r>
        <w:r w:rsidR="00A47AB6" w:rsidRPr="00C3310F">
          <w:rPr>
            <w:rStyle w:val="ae"/>
            <w:rFonts w:hint="eastAsia"/>
            <w:b/>
            <w:color w:val="auto"/>
          </w:rPr>
          <w:t>，達到</w:t>
        </w:r>
        <w:r w:rsidR="001C18FE" w:rsidRPr="00C3310F">
          <w:rPr>
            <w:rStyle w:val="ae"/>
            <w:rFonts w:hint="eastAsia"/>
            <w:b/>
            <w:color w:val="auto"/>
          </w:rPr>
          <w:t>歷史新高，經爬梳其脈絡，除與全球電信網路詐欺犯罪情勢相符外，其長期原因包括政府在前次詐欺高發之</w:t>
        </w:r>
        <w:r w:rsidR="001C18FE" w:rsidRPr="00C3310F">
          <w:rPr>
            <w:rStyle w:val="ae"/>
            <w:b/>
            <w:color w:val="auto"/>
          </w:rPr>
          <w:t>97</w:t>
        </w:r>
        <w:r w:rsidR="001C18FE" w:rsidRPr="00C3310F">
          <w:rPr>
            <w:rStyle w:val="ae"/>
            <w:rFonts w:hint="eastAsia"/>
            <w:b/>
            <w:color w:val="auto"/>
          </w:rPr>
          <w:t>、</w:t>
        </w:r>
        <w:r w:rsidR="001C18FE" w:rsidRPr="00C3310F">
          <w:rPr>
            <w:rStyle w:val="ae"/>
            <w:b/>
            <w:color w:val="auto"/>
          </w:rPr>
          <w:t>98</w:t>
        </w:r>
        <w:r w:rsidR="001C18FE" w:rsidRPr="00C3310F">
          <w:rPr>
            <w:rStyle w:val="ae"/>
            <w:rFonts w:hint="eastAsia"/>
            <w:b/>
            <w:color w:val="auto"/>
          </w:rPr>
          <w:t>年期間，相關檢討改進措施未臻澈底，中期原因則係政府法制、規管及政策未能充分跟進數位化、網路化及全球化之進程並加以治理，</w:t>
        </w:r>
        <w:r w:rsidR="001C18FE" w:rsidRPr="00C3310F">
          <w:rPr>
            <w:rStyle w:val="ae"/>
            <w:rFonts w:hint="eastAsia"/>
            <w:b/>
            <w:color w:val="auto"/>
          </w:rPr>
          <w:lastRenderedPageBreak/>
          <w:t>而衍生諸多犯罪機會及條件；短期因素則因</w:t>
        </w:r>
        <w:r w:rsidR="001C18FE" w:rsidRPr="00C3310F">
          <w:rPr>
            <w:rStyle w:val="ae"/>
            <w:b/>
            <w:color w:val="auto"/>
          </w:rPr>
          <w:t>COVID-19</w:t>
        </w:r>
        <w:r w:rsidR="001C18FE" w:rsidRPr="00C3310F">
          <w:rPr>
            <w:rStyle w:val="ae"/>
            <w:rFonts w:hint="eastAsia"/>
            <w:b/>
            <w:color w:val="auto"/>
          </w:rPr>
          <w:t>疫情爆發後，經濟面不確定性偏高，且民眾已高度依賴行動通訊網路及數位經濟等，以致於詐欺犯罪於近兩年融合短中長期因素後獲得爆發性成長，嚴重侵害國人生命財產安全。政府雖陸續制定「打詐綱領</w:t>
        </w:r>
        <w:r w:rsidR="001C18FE" w:rsidRPr="00C3310F">
          <w:rPr>
            <w:rStyle w:val="ae"/>
            <w:b/>
            <w:color w:val="auto"/>
          </w:rPr>
          <w:t>1.0</w:t>
        </w:r>
        <w:r w:rsidR="001C18FE" w:rsidRPr="00C3310F">
          <w:rPr>
            <w:rStyle w:val="ae"/>
            <w:rFonts w:hint="eastAsia"/>
            <w:b/>
            <w:color w:val="auto"/>
          </w:rPr>
          <w:t>」及「打詐綱領</w:t>
        </w:r>
        <w:r w:rsidR="001C18FE" w:rsidRPr="00C3310F">
          <w:rPr>
            <w:rStyle w:val="ae"/>
            <w:b/>
            <w:color w:val="auto"/>
          </w:rPr>
          <w:t>1.5</w:t>
        </w:r>
        <w:r w:rsidR="001C18FE" w:rsidRPr="00C3310F">
          <w:rPr>
            <w:rStyle w:val="ae"/>
            <w:rFonts w:hint="eastAsia"/>
            <w:b/>
            <w:color w:val="auto"/>
          </w:rPr>
          <w:t>」，以「識詐」、「堵詐」、「阻詐」、「懲詐」四大面向強化打詐效能，並陸續修訂「打詐五法」，並推動「打詐新四法」等，以全面補強規管漏洞並提高嚇阻力，惟迄</w:t>
        </w:r>
        <w:r w:rsidR="001C18FE" w:rsidRPr="00C3310F">
          <w:rPr>
            <w:rStyle w:val="ae"/>
            <w:b/>
            <w:color w:val="auto"/>
          </w:rPr>
          <w:t>113</w:t>
        </w:r>
        <w:r w:rsidR="001C18FE" w:rsidRPr="00C3310F">
          <w:rPr>
            <w:rStyle w:val="ae"/>
            <w:rFonts w:hint="eastAsia"/>
            <w:b/>
            <w:color w:val="auto"/>
          </w:rPr>
          <w:t>年</w:t>
        </w:r>
        <w:r w:rsidR="001C18FE" w:rsidRPr="00C3310F">
          <w:rPr>
            <w:rStyle w:val="ae"/>
            <w:b/>
            <w:color w:val="auto"/>
          </w:rPr>
          <w:t>5</w:t>
        </w:r>
        <w:r w:rsidR="001C18FE" w:rsidRPr="00C3310F">
          <w:rPr>
            <w:rStyle w:val="ae"/>
            <w:rFonts w:hint="eastAsia"/>
            <w:b/>
            <w:color w:val="auto"/>
          </w:rPr>
          <w:t>月為止，詐騙情勢仍不容樂觀，政府</w:t>
        </w:r>
        <w:r w:rsidR="00A47AB6" w:rsidRPr="00C3310F">
          <w:rPr>
            <w:rStyle w:val="ae"/>
            <w:rFonts w:hint="eastAsia"/>
            <w:b/>
            <w:color w:val="auto"/>
          </w:rPr>
          <w:t>允宜</w:t>
        </w:r>
        <w:r w:rsidR="001C18FE" w:rsidRPr="00C3310F">
          <w:rPr>
            <w:rStyle w:val="ae"/>
            <w:rFonts w:hint="eastAsia"/>
            <w:b/>
            <w:color w:val="auto"/>
          </w:rPr>
          <w:t>持續積極檢視行政面稍嫌薄弱之環節，透過上游清源防制提高整體打詐綜效。</w:t>
        </w:r>
        <w:r w:rsidR="001C18FE" w:rsidRPr="00C3310F">
          <w:rPr>
            <w:webHidden/>
            <w:color w:val="auto"/>
          </w:rPr>
          <w:tab/>
        </w:r>
        <w:r w:rsidR="001C18FE" w:rsidRPr="00C3310F">
          <w:rPr>
            <w:webHidden/>
            <w:color w:val="auto"/>
          </w:rPr>
          <w:fldChar w:fldCharType="begin"/>
        </w:r>
        <w:r w:rsidR="001C18FE" w:rsidRPr="00C3310F">
          <w:rPr>
            <w:webHidden/>
            <w:color w:val="auto"/>
          </w:rPr>
          <w:instrText xml:space="preserve"> PAGEREF _Toc172033405 \h </w:instrText>
        </w:r>
        <w:r w:rsidR="001C18FE" w:rsidRPr="00C3310F">
          <w:rPr>
            <w:webHidden/>
            <w:color w:val="auto"/>
          </w:rPr>
        </w:r>
        <w:r w:rsidR="001C18FE" w:rsidRPr="00C3310F">
          <w:rPr>
            <w:webHidden/>
            <w:color w:val="auto"/>
          </w:rPr>
          <w:fldChar w:fldCharType="separate"/>
        </w:r>
        <w:r>
          <w:rPr>
            <w:webHidden/>
            <w:color w:val="auto"/>
          </w:rPr>
          <w:t>123</w:t>
        </w:r>
        <w:r w:rsidR="001C18FE" w:rsidRPr="00C3310F">
          <w:rPr>
            <w:webHidden/>
            <w:color w:val="auto"/>
          </w:rPr>
          <w:fldChar w:fldCharType="end"/>
        </w:r>
      </w:hyperlink>
    </w:p>
    <w:p w14:paraId="4BB3DC69" w14:textId="052F3A2D" w:rsidR="001C18FE" w:rsidRPr="00C3310F" w:rsidRDefault="00595F3D" w:rsidP="00803F1D">
      <w:pPr>
        <w:pStyle w:val="23"/>
        <w:ind w:left="1021" w:hangingChars="200" w:hanging="681"/>
        <w:rPr>
          <w:rFonts w:asciiTheme="minorHAnsi" w:eastAsiaTheme="minorEastAsia" w:hAnsiTheme="minorHAnsi" w:cstheme="minorBidi"/>
          <w:color w:val="auto"/>
          <w:sz w:val="24"/>
          <w:szCs w:val="22"/>
        </w:rPr>
      </w:pPr>
      <w:hyperlink w:anchor="_Toc172033423" w:history="1">
        <w:r w:rsidR="001C18FE" w:rsidRPr="00C3310F">
          <w:rPr>
            <w:rStyle w:val="ae"/>
            <w:rFonts w:hint="eastAsia"/>
            <w:b/>
            <w:color w:val="auto"/>
          </w:rPr>
          <w:t>二、</w:t>
        </w:r>
        <w:r w:rsidR="001C18FE" w:rsidRPr="00C3310F">
          <w:rPr>
            <w:rStyle w:val="ae"/>
            <w:rFonts w:hAnsi="標楷體" w:hint="eastAsia"/>
            <w:b/>
            <w:color w:val="auto"/>
          </w:rPr>
          <w:t>「</w:t>
        </w:r>
        <w:r w:rsidR="001C18FE" w:rsidRPr="00C3310F">
          <w:rPr>
            <w:rStyle w:val="ae"/>
            <w:rFonts w:hint="eastAsia"/>
            <w:b/>
            <w:color w:val="auto"/>
          </w:rPr>
          <w:t>識詐</w:t>
        </w:r>
        <w:r w:rsidR="001C18FE" w:rsidRPr="00C3310F">
          <w:rPr>
            <w:rStyle w:val="ae"/>
            <w:rFonts w:hAnsi="標楷體" w:hint="eastAsia"/>
            <w:b/>
            <w:color w:val="auto"/>
          </w:rPr>
          <w:t>」</w:t>
        </w:r>
        <w:r w:rsidR="001C18FE" w:rsidRPr="00C3310F">
          <w:rPr>
            <w:rStyle w:val="ae"/>
            <w:rFonts w:hint="eastAsia"/>
            <w:b/>
            <w:color w:val="auto"/>
          </w:rPr>
          <w:t>主要目標係降低被害人之風險，提升民眾防詐能力，行政院雖已動員</w:t>
        </w:r>
        <w:r w:rsidR="001C18FE" w:rsidRPr="00C3310F">
          <w:rPr>
            <w:rStyle w:val="ae"/>
            <w:b/>
            <w:color w:val="auto"/>
          </w:rPr>
          <w:t>16</w:t>
        </w:r>
        <w:r w:rsidR="001C18FE" w:rsidRPr="00C3310F">
          <w:rPr>
            <w:rStyle w:val="ae"/>
            <w:rFonts w:hint="eastAsia"/>
            <w:b/>
            <w:color w:val="auto"/>
          </w:rPr>
          <w:t>個部會、挹注大量資源且極盡所能透過分層、分眾、分齡進行宣導，</w:t>
        </w:r>
        <w:r w:rsidR="001C18FE" w:rsidRPr="00C3310F">
          <w:rPr>
            <w:rStyle w:val="ae"/>
            <w:b/>
            <w:color w:val="auto"/>
          </w:rPr>
          <w:t>112</w:t>
        </w:r>
        <w:r w:rsidR="001C18FE" w:rsidRPr="00C3310F">
          <w:rPr>
            <w:rStyle w:val="ae"/>
            <w:rFonts w:hint="eastAsia"/>
            <w:b/>
            <w:color w:val="auto"/>
          </w:rPr>
          <w:t>年觸及人數已達</w:t>
        </w:r>
        <w:r w:rsidR="001C18FE" w:rsidRPr="00C3310F">
          <w:rPr>
            <w:rStyle w:val="ae"/>
            <w:b/>
            <w:color w:val="auto"/>
          </w:rPr>
          <w:t>3</w:t>
        </w:r>
        <w:r w:rsidR="001C18FE" w:rsidRPr="00C3310F">
          <w:rPr>
            <w:rStyle w:val="ae"/>
            <w:rFonts w:hint="eastAsia"/>
            <w:b/>
            <w:color w:val="auto"/>
          </w:rPr>
          <w:t>億</w:t>
        </w:r>
        <w:r w:rsidR="001C18FE" w:rsidRPr="00C3310F">
          <w:rPr>
            <w:rStyle w:val="ae"/>
            <w:b/>
            <w:color w:val="auto"/>
          </w:rPr>
          <w:t>3</w:t>
        </w:r>
        <w:r w:rsidR="001C18FE" w:rsidRPr="00C3310F">
          <w:rPr>
            <w:rStyle w:val="ae"/>
            <w:rFonts w:hint="eastAsia"/>
            <w:b/>
            <w:color w:val="auto"/>
          </w:rPr>
          <w:t>千萬人次，卻尚未有效抑制詐欺案件之成長。本調查研究經綜整國內外文獻、機關查復資料及學者專家意見發現，首先相較於國際，我國民眾對自身識別詐騙之能力仍過於自信及抱持冒險心態，有待政府設法扭轉；其次，長期高強度且重複之宣導有邊際效用遞減之虞；最後，政府識詐措施之績效指標均「以量取勝」，</w:t>
        </w:r>
        <w:r w:rsidR="00C86CDB" w:rsidRPr="00C3310F">
          <w:rPr>
            <w:rStyle w:val="ae"/>
            <w:rFonts w:hint="eastAsia"/>
            <w:b/>
            <w:color w:val="auto"/>
          </w:rPr>
          <w:t>缺乏措施與效用間之因果關係連結</w:t>
        </w:r>
        <w:r w:rsidR="001C18FE" w:rsidRPr="00C3310F">
          <w:rPr>
            <w:rStyle w:val="ae"/>
            <w:rFonts w:hint="eastAsia"/>
            <w:b/>
            <w:color w:val="auto"/>
          </w:rPr>
          <w:t>；為避免識詐相關措施事倍功半，政府</w:t>
        </w:r>
        <w:r w:rsidR="00A47AB6" w:rsidRPr="00C3310F">
          <w:rPr>
            <w:rStyle w:val="ae"/>
            <w:rFonts w:hint="eastAsia"/>
            <w:b/>
            <w:color w:val="auto"/>
          </w:rPr>
          <w:t>允宜</w:t>
        </w:r>
        <w:r w:rsidR="001C18FE" w:rsidRPr="00C3310F">
          <w:rPr>
            <w:rStyle w:val="ae"/>
            <w:rFonts w:hint="eastAsia"/>
            <w:b/>
            <w:color w:val="auto"/>
          </w:rPr>
          <w:t>在識詐策略方面宜導入「公私協力」及「循證治理」概念，俾提升政策效果。</w:t>
        </w:r>
        <w:r w:rsidR="001C18FE" w:rsidRPr="00C3310F">
          <w:rPr>
            <w:webHidden/>
            <w:color w:val="auto"/>
          </w:rPr>
          <w:tab/>
        </w:r>
        <w:r w:rsidR="001C18FE" w:rsidRPr="00C3310F">
          <w:rPr>
            <w:webHidden/>
            <w:color w:val="auto"/>
          </w:rPr>
          <w:fldChar w:fldCharType="begin"/>
        </w:r>
        <w:r w:rsidR="001C18FE" w:rsidRPr="00C3310F">
          <w:rPr>
            <w:webHidden/>
            <w:color w:val="auto"/>
          </w:rPr>
          <w:instrText xml:space="preserve"> PAGEREF _Toc172033423 \h </w:instrText>
        </w:r>
        <w:r w:rsidR="001C18FE" w:rsidRPr="00C3310F">
          <w:rPr>
            <w:webHidden/>
            <w:color w:val="auto"/>
          </w:rPr>
        </w:r>
        <w:r w:rsidR="001C18FE" w:rsidRPr="00C3310F">
          <w:rPr>
            <w:webHidden/>
            <w:color w:val="auto"/>
          </w:rPr>
          <w:fldChar w:fldCharType="separate"/>
        </w:r>
        <w:r>
          <w:rPr>
            <w:webHidden/>
            <w:color w:val="auto"/>
          </w:rPr>
          <w:t>139</w:t>
        </w:r>
        <w:r w:rsidR="001C18FE" w:rsidRPr="00C3310F">
          <w:rPr>
            <w:webHidden/>
            <w:color w:val="auto"/>
          </w:rPr>
          <w:fldChar w:fldCharType="end"/>
        </w:r>
      </w:hyperlink>
    </w:p>
    <w:p w14:paraId="4E1B976A" w14:textId="0BFCCF67" w:rsidR="001C18FE" w:rsidRPr="00C3310F" w:rsidRDefault="00595F3D" w:rsidP="00803F1D">
      <w:pPr>
        <w:pStyle w:val="23"/>
        <w:ind w:left="1021" w:hangingChars="200" w:hanging="681"/>
        <w:rPr>
          <w:rFonts w:asciiTheme="minorHAnsi" w:eastAsiaTheme="minorEastAsia" w:hAnsiTheme="minorHAnsi" w:cstheme="minorBidi"/>
          <w:color w:val="auto"/>
          <w:sz w:val="24"/>
          <w:szCs w:val="22"/>
        </w:rPr>
      </w:pPr>
      <w:hyperlink w:anchor="_Toc172033431" w:history="1">
        <w:r w:rsidR="001C18FE" w:rsidRPr="00C3310F">
          <w:rPr>
            <w:rStyle w:val="ae"/>
            <w:rFonts w:hint="eastAsia"/>
            <w:b/>
            <w:color w:val="auto"/>
          </w:rPr>
          <w:t>三、「堵詐」主要係減少民眾與詐騙集團接觸，並防堵資通訊服務淪為犯罪工具，然詐騙集團透過電信及網路所具備之大量、便捷及匿名化之特質廣泛接觸民眾並躲避查緝。英國</w:t>
        </w:r>
        <w:r w:rsidR="001C18FE" w:rsidRPr="00C3310F">
          <w:rPr>
            <w:rStyle w:val="ae"/>
            <w:b/>
            <w:color w:val="auto"/>
          </w:rPr>
          <w:t>2023</w:t>
        </w:r>
        <w:r w:rsidR="001C18FE" w:rsidRPr="00C3310F">
          <w:rPr>
            <w:rStyle w:val="ae"/>
            <w:rFonts w:hint="eastAsia"/>
            <w:b/>
            <w:color w:val="auto"/>
          </w:rPr>
          <w:t>年</w:t>
        </w:r>
        <w:r w:rsidR="001C18FE" w:rsidRPr="00C3310F">
          <w:rPr>
            <w:rStyle w:val="ae"/>
            <w:b/>
            <w:color w:val="auto"/>
          </w:rPr>
          <w:t>6</w:t>
        </w:r>
        <w:r w:rsidR="001C18FE" w:rsidRPr="00C3310F">
          <w:rPr>
            <w:rStyle w:val="ae"/>
            <w:rFonts w:hint="eastAsia"/>
            <w:b/>
            <w:color w:val="auto"/>
          </w:rPr>
          <w:t>月公布的反詐綱領已指出，期望大眾對詐欺始終保持高度警覺是不合理</w:t>
        </w:r>
        <w:r w:rsidR="001C18FE" w:rsidRPr="00C3310F">
          <w:rPr>
            <w:rStyle w:val="ae"/>
            <w:rFonts w:hint="eastAsia"/>
            <w:b/>
            <w:color w:val="auto"/>
          </w:rPr>
          <w:lastRenderedPageBreak/>
          <w:t>的，是以政府的源頭管理更形重要。經</w:t>
        </w:r>
        <w:r w:rsidR="00A1409C" w:rsidRPr="00C3310F">
          <w:rPr>
            <w:rStyle w:val="ae"/>
            <w:rFonts w:hint="eastAsia"/>
            <w:b/>
            <w:color w:val="auto"/>
          </w:rPr>
          <w:t>本調查研究</w:t>
        </w:r>
        <w:r w:rsidR="001C18FE" w:rsidRPr="00C3310F">
          <w:rPr>
            <w:rStyle w:val="ae"/>
            <w:rFonts w:hint="eastAsia"/>
            <w:b/>
            <w:color w:val="auto"/>
          </w:rPr>
          <w:t>盤點相關法制補強措施及政策發現，政府於防堵境外來電雖已略具成效，然竟發現有嫌犯可向電信公司申辦逾</w:t>
        </w:r>
        <w:r w:rsidR="001C18FE" w:rsidRPr="00C3310F">
          <w:rPr>
            <w:rStyle w:val="ae"/>
            <w:b/>
            <w:color w:val="auto"/>
          </w:rPr>
          <w:t>30</w:t>
        </w:r>
        <w:r w:rsidR="001C18FE" w:rsidRPr="00C3310F">
          <w:rPr>
            <w:rStyle w:val="ae"/>
            <w:rFonts w:hint="eastAsia"/>
            <w:b/>
            <w:color w:val="auto"/>
          </w:rPr>
          <w:t>萬筆門號情事，顯見電信門號</w:t>
        </w:r>
        <w:r w:rsidR="001C18FE" w:rsidRPr="00C3310F">
          <w:rPr>
            <w:rStyle w:val="ae"/>
            <w:b/>
            <w:color w:val="auto"/>
          </w:rPr>
          <w:t>KYC</w:t>
        </w:r>
        <w:r w:rsidR="001C18FE" w:rsidRPr="00C3310F">
          <w:rPr>
            <w:rStyle w:val="ae"/>
            <w:rFonts w:hint="eastAsia"/>
            <w:b/>
            <w:color w:val="auto"/>
          </w:rPr>
          <w:t>管理上仍有疏漏，而主責機關通傳會雖已發布施行「電信事業用戶號碼使用管理辦法」取代位階及拘束力較低之行政指導作為，然成效仍待觀察，政府</w:t>
        </w:r>
        <w:r w:rsidR="00A47AB6" w:rsidRPr="00C3310F">
          <w:rPr>
            <w:rStyle w:val="ae"/>
            <w:rFonts w:hint="eastAsia"/>
            <w:b/>
            <w:color w:val="auto"/>
          </w:rPr>
          <w:t>允宜</w:t>
        </w:r>
        <w:r w:rsidR="001C18FE" w:rsidRPr="00C3310F">
          <w:rPr>
            <w:rStyle w:val="ae"/>
            <w:rFonts w:hint="eastAsia"/>
            <w:b/>
            <w:color w:val="auto"/>
          </w:rPr>
          <w:t>積極推動並依執行成效滾動式調整，以杜絕電信門號核配浮濫，此外建議</w:t>
        </w:r>
        <w:r w:rsidR="001C18FE" w:rsidRPr="00C3310F">
          <w:rPr>
            <w:rStyle w:val="ae"/>
            <w:b/>
            <w:color w:val="auto"/>
          </w:rPr>
          <w:t>111</w:t>
        </w:r>
        <w:r w:rsidR="001C18FE" w:rsidRPr="00C3310F">
          <w:rPr>
            <w:rStyle w:val="ae"/>
            <w:rFonts w:hint="eastAsia"/>
            <w:b/>
            <w:color w:val="auto"/>
          </w:rPr>
          <w:t>政府專屬簡訊碼之覆蓋率及黑莓卡之風險宜持續強化控管，以有效提升打詐綱領綜效。</w:t>
        </w:r>
        <w:r w:rsidR="001C18FE" w:rsidRPr="00C3310F">
          <w:rPr>
            <w:webHidden/>
            <w:color w:val="auto"/>
          </w:rPr>
          <w:tab/>
        </w:r>
        <w:r w:rsidR="001C18FE" w:rsidRPr="00C3310F">
          <w:rPr>
            <w:webHidden/>
            <w:color w:val="auto"/>
          </w:rPr>
          <w:fldChar w:fldCharType="begin"/>
        </w:r>
        <w:r w:rsidR="001C18FE" w:rsidRPr="00C3310F">
          <w:rPr>
            <w:webHidden/>
            <w:color w:val="auto"/>
          </w:rPr>
          <w:instrText xml:space="preserve"> PAGEREF _Toc172033431 \h </w:instrText>
        </w:r>
        <w:r w:rsidR="001C18FE" w:rsidRPr="00C3310F">
          <w:rPr>
            <w:webHidden/>
            <w:color w:val="auto"/>
          </w:rPr>
        </w:r>
        <w:r w:rsidR="001C18FE" w:rsidRPr="00C3310F">
          <w:rPr>
            <w:webHidden/>
            <w:color w:val="auto"/>
          </w:rPr>
          <w:fldChar w:fldCharType="separate"/>
        </w:r>
        <w:r>
          <w:rPr>
            <w:webHidden/>
            <w:color w:val="auto"/>
          </w:rPr>
          <w:t>146</w:t>
        </w:r>
        <w:r w:rsidR="001C18FE" w:rsidRPr="00C3310F">
          <w:rPr>
            <w:webHidden/>
            <w:color w:val="auto"/>
          </w:rPr>
          <w:fldChar w:fldCharType="end"/>
        </w:r>
      </w:hyperlink>
    </w:p>
    <w:p w14:paraId="138C8D3C" w14:textId="21717C1B" w:rsidR="001C18FE" w:rsidRPr="00C3310F" w:rsidRDefault="00595F3D" w:rsidP="00803F1D">
      <w:pPr>
        <w:pStyle w:val="23"/>
        <w:ind w:left="1021" w:hangingChars="200" w:hanging="681"/>
        <w:rPr>
          <w:rFonts w:asciiTheme="minorHAnsi" w:eastAsiaTheme="minorEastAsia" w:hAnsiTheme="minorHAnsi" w:cstheme="minorBidi"/>
          <w:color w:val="auto"/>
          <w:sz w:val="24"/>
          <w:szCs w:val="22"/>
        </w:rPr>
      </w:pPr>
      <w:hyperlink w:anchor="_Toc172033443" w:history="1">
        <w:r w:rsidR="001C18FE" w:rsidRPr="00C3310F">
          <w:rPr>
            <w:rStyle w:val="ae"/>
            <w:rFonts w:hint="eastAsia"/>
            <w:b/>
            <w:color w:val="auto"/>
          </w:rPr>
          <w:t>四、詐騙訊息在社群網站及通訊軟體極為泛濫，雖政府採取綠色通道等下架措施，除其能量在數位</w:t>
        </w:r>
        <w:r w:rsidR="0004575A" w:rsidRPr="00C3310F">
          <w:rPr>
            <w:rStyle w:val="ae"/>
            <w:rFonts w:hint="eastAsia"/>
            <w:b/>
            <w:color w:val="auto"/>
          </w:rPr>
          <w:t>平臺</w:t>
        </w:r>
        <w:r w:rsidR="001C18FE" w:rsidRPr="00C3310F">
          <w:rPr>
            <w:rStyle w:val="ae"/>
            <w:rFonts w:hint="eastAsia"/>
            <w:b/>
            <w:color w:val="auto"/>
          </w:rPr>
          <w:t>巨量訊息中微不足道且緩不濟急外，並常於下架後又立即上架，引發國人對政府打詐作為強烈不滿；政府雖透過打詐專法推動</w:t>
        </w:r>
        <w:r w:rsidR="0004575A" w:rsidRPr="00C3310F">
          <w:rPr>
            <w:rStyle w:val="ae"/>
            <w:rFonts w:hint="eastAsia"/>
            <w:b/>
            <w:color w:val="auto"/>
          </w:rPr>
          <w:t>平臺</w:t>
        </w:r>
        <w:r w:rsidR="001C18FE" w:rsidRPr="00C3310F">
          <w:rPr>
            <w:rStyle w:val="ae"/>
            <w:rFonts w:hint="eastAsia"/>
            <w:b/>
            <w:color w:val="auto"/>
          </w:rPr>
          <w:t>法律代表人制度，然其效果是否等同</w:t>
        </w:r>
        <w:r w:rsidR="0004575A" w:rsidRPr="00C3310F">
          <w:rPr>
            <w:rStyle w:val="ae"/>
            <w:rFonts w:hint="eastAsia"/>
            <w:b/>
            <w:color w:val="auto"/>
          </w:rPr>
          <w:t>平臺</w:t>
        </w:r>
        <w:r w:rsidR="001C18FE" w:rsidRPr="00C3310F">
          <w:rPr>
            <w:rStyle w:val="ae"/>
            <w:rFonts w:hint="eastAsia"/>
            <w:b/>
            <w:color w:val="auto"/>
          </w:rPr>
          <w:t>落地，仍值觀察，至於國家資通安全研究院提出使用</w:t>
        </w:r>
        <w:r w:rsidR="001C18FE" w:rsidRPr="00C3310F">
          <w:rPr>
            <w:rStyle w:val="ae"/>
            <w:b/>
            <w:color w:val="auto"/>
          </w:rPr>
          <w:t>AI</w:t>
        </w:r>
        <w:r w:rsidR="001C18FE" w:rsidRPr="00C3310F">
          <w:rPr>
            <w:rStyle w:val="ae"/>
            <w:rFonts w:hint="eastAsia"/>
            <w:b/>
            <w:color w:val="auto"/>
          </w:rPr>
          <w:t>協助快速辨識詐騙廣告之技術提案，每月檢測量能高達</w:t>
        </w:r>
        <w:r w:rsidR="001C18FE" w:rsidRPr="00C3310F">
          <w:rPr>
            <w:rStyle w:val="ae"/>
            <w:b/>
            <w:color w:val="auto"/>
          </w:rPr>
          <w:t>50</w:t>
        </w:r>
        <w:r w:rsidR="001C18FE" w:rsidRPr="00C3310F">
          <w:rPr>
            <w:rStyle w:val="ae"/>
            <w:rFonts w:hint="eastAsia"/>
            <w:b/>
            <w:color w:val="auto"/>
          </w:rPr>
          <w:t>萬筆，是否可有效改善詐欺訊息氾濫情形，殊值政府評估是否導入。惟以長期而言，歐盟、英國等高度重視人權之國家，已陸續強化</w:t>
        </w:r>
        <w:r w:rsidR="0004575A" w:rsidRPr="00C3310F">
          <w:rPr>
            <w:rStyle w:val="ae"/>
            <w:rFonts w:hint="eastAsia"/>
            <w:b/>
            <w:color w:val="auto"/>
          </w:rPr>
          <w:t>平臺</w:t>
        </w:r>
        <w:r w:rsidR="001C18FE" w:rsidRPr="00C3310F">
          <w:rPr>
            <w:rStyle w:val="ae"/>
            <w:rFonts w:hint="eastAsia"/>
            <w:b/>
            <w:color w:val="auto"/>
          </w:rPr>
          <w:t>治理、個資跨境傳輸並建立自律機制，我國數位</w:t>
        </w:r>
        <w:r w:rsidR="0004575A" w:rsidRPr="00C3310F">
          <w:rPr>
            <w:rStyle w:val="ae"/>
            <w:rFonts w:hint="eastAsia"/>
            <w:b/>
            <w:color w:val="auto"/>
          </w:rPr>
          <w:t>平臺</w:t>
        </w:r>
        <w:r w:rsidR="001C18FE" w:rsidRPr="00C3310F">
          <w:rPr>
            <w:rStyle w:val="ae"/>
            <w:rFonts w:hint="eastAsia"/>
            <w:b/>
            <w:color w:val="auto"/>
          </w:rPr>
          <w:t>目前僅以特定議題分散式立法方式進行治理，除欠完整周密之通盤規劃外，並造成政府數位治理之困難。政府在</w:t>
        </w:r>
        <w:r w:rsidR="0004575A" w:rsidRPr="00C3310F">
          <w:rPr>
            <w:rStyle w:val="ae"/>
            <w:rFonts w:hint="eastAsia"/>
            <w:b/>
            <w:color w:val="auto"/>
          </w:rPr>
          <w:t>平臺</w:t>
        </w:r>
        <w:r w:rsidR="001C18FE" w:rsidRPr="00C3310F">
          <w:rPr>
            <w:rStyle w:val="ae"/>
            <w:rFonts w:hint="eastAsia"/>
            <w:b/>
            <w:color w:val="auto"/>
          </w:rPr>
          <w:t>治理部分</w:t>
        </w:r>
        <w:r w:rsidR="00A47AB6" w:rsidRPr="00C3310F">
          <w:rPr>
            <w:rStyle w:val="ae"/>
            <w:rFonts w:hint="eastAsia"/>
            <w:b/>
            <w:color w:val="auto"/>
          </w:rPr>
          <w:t>允宜</w:t>
        </w:r>
        <w:r w:rsidR="001C18FE" w:rsidRPr="00C3310F">
          <w:rPr>
            <w:rStyle w:val="ae"/>
            <w:rFonts w:hint="eastAsia"/>
            <w:b/>
            <w:color w:val="auto"/>
          </w:rPr>
          <w:t>考量國情進行縝密規劃，除搭配個資保護委員會之籌設外，並衡平言論自由及個資保護，以公開透明方式，積極與國人溝通以制定相關法制配套措施，強化</w:t>
        </w:r>
        <w:r w:rsidR="0004575A" w:rsidRPr="00C3310F">
          <w:rPr>
            <w:rStyle w:val="ae"/>
            <w:rFonts w:hint="eastAsia"/>
            <w:b/>
            <w:color w:val="auto"/>
          </w:rPr>
          <w:t>平臺</w:t>
        </w:r>
        <w:r w:rsidR="001C18FE" w:rsidRPr="00C3310F">
          <w:rPr>
            <w:rStyle w:val="ae"/>
            <w:rFonts w:hint="eastAsia"/>
            <w:b/>
            <w:color w:val="auto"/>
          </w:rPr>
          <w:t>治理機制</w:t>
        </w:r>
        <w:r w:rsidR="00A47AB6" w:rsidRPr="00C3310F">
          <w:rPr>
            <w:rStyle w:val="ae"/>
            <w:rFonts w:hint="eastAsia"/>
            <w:b/>
            <w:color w:val="auto"/>
          </w:rPr>
          <w:t>，</w:t>
        </w:r>
        <w:r w:rsidR="001C18FE" w:rsidRPr="00C3310F">
          <w:rPr>
            <w:rStyle w:val="ae"/>
            <w:rFonts w:hint="eastAsia"/>
            <w:b/>
            <w:color w:val="auto"/>
          </w:rPr>
          <w:t>並於</w:t>
        </w:r>
        <w:r w:rsidR="0004575A" w:rsidRPr="00C3310F">
          <w:rPr>
            <w:rStyle w:val="ae"/>
            <w:rFonts w:hint="eastAsia"/>
            <w:b/>
            <w:color w:val="auto"/>
          </w:rPr>
          <w:t>平臺</w:t>
        </w:r>
        <w:r w:rsidR="001C18FE" w:rsidRPr="00C3310F">
          <w:rPr>
            <w:rStyle w:val="ae"/>
            <w:rFonts w:hint="eastAsia"/>
            <w:b/>
            <w:color w:val="auto"/>
          </w:rPr>
          <w:t>治理機制尚未完備前，</w:t>
        </w:r>
        <w:r w:rsidR="00A47AB6" w:rsidRPr="00C3310F">
          <w:rPr>
            <w:rStyle w:val="ae"/>
            <w:rFonts w:hint="eastAsia"/>
            <w:b/>
            <w:color w:val="auto"/>
          </w:rPr>
          <w:t>宜</w:t>
        </w:r>
        <w:r w:rsidR="001C18FE" w:rsidRPr="00C3310F">
          <w:rPr>
            <w:rStyle w:val="ae"/>
            <w:rFonts w:hint="eastAsia"/>
            <w:b/>
            <w:color w:val="auto"/>
          </w:rPr>
          <w:t>針對數位</w:t>
        </w:r>
        <w:r w:rsidR="0004575A" w:rsidRPr="00C3310F">
          <w:rPr>
            <w:rStyle w:val="ae"/>
            <w:rFonts w:hint="eastAsia"/>
            <w:b/>
            <w:color w:val="auto"/>
          </w:rPr>
          <w:t>平臺</w:t>
        </w:r>
        <w:r w:rsidR="001C18FE" w:rsidRPr="00C3310F">
          <w:rPr>
            <w:rStyle w:val="ae"/>
            <w:rFonts w:hint="eastAsia"/>
            <w:b/>
            <w:color w:val="auto"/>
          </w:rPr>
          <w:t>建立公正、透明、定期之評鑑機</w:t>
        </w:r>
        <w:r w:rsidR="001C18FE" w:rsidRPr="00C3310F">
          <w:rPr>
            <w:rStyle w:val="ae"/>
            <w:rFonts w:hint="eastAsia"/>
            <w:b/>
            <w:color w:val="auto"/>
          </w:rPr>
          <w:lastRenderedPageBreak/>
          <w:t>制，以揭露風險方式鼓勵</w:t>
        </w:r>
        <w:r w:rsidR="0004575A" w:rsidRPr="00C3310F">
          <w:rPr>
            <w:rStyle w:val="ae"/>
            <w:rFonts w:hint="eastAsia"/>
            <w:b/>
            <w:color w:val="auto"/>
          </w:rPr>
          <w:t>平臺</w:t>
        </w:r>
        <w:r w:rsidR="001C18FE" w:rsidRPr="00C3310F">
          <w:rPr>
            <w:rStyle w:val="ae"/>
            <w:rFonts w:hint="eastAsia"/>
            <w:b/>
            <w:color w:val="auto"/>
          </w:rPr>
          <w:t>自律，抑制數位</w:t>
        </w:r>
        <w:r w:rsidR="0004575A" w:rsidRPr="00C3310F">
          <w:rPr>
            <w:rStyle w:val="ae"/>
            <w:rFonts w:hint="eastAsia"/>
            <w:b/>
            <w:color w:val="auto"/>
          </w:rPr>
          <w:t>平臺</w:t>
        </w:r>
        <w:r w:rsidR="001C18FE" w:rsidRPr="00C3310F">
          <w:rPr>
            <w:rStyle w:val="ae"/>
            <w:rFonts w:hint="eastAsia"/>
            <w:b/>
            <w:color w:val="auto"/>
          </w:rPr>
          <w:t>上泛濫之詐騙訊息。</w:t>
        </w:r>
        <w:r w:rsidR="001C18FE" w:rsidRPr="00C3310F">
          <w:rPr>
            <w:webHidden/>
            <w:color w:val="auto"/>
          </w:rPr>
          <w:tab/>
        </w:r>
        <w:r w:rsidR="001C18FE" w:rsidRPr="00C3310F">
          <w:rPr>
            <w:webHidden/>
            <w:color w:val="auto"/>
          </w:rPr>
          <w:fldChar w:fldCharType="begin"/>
        </w:r>
        <w:r w:rsidR="001C18FE" w:rsidRPr="00C3310F">
          <w:rPr>
            <w:webHidden/>
            <w:color w:val="auto"/>
          </w:rPr>
          <w:instrText xml:space="preserve"> PAGEREF _Toc172033443 \h </w:instrText>
        </w:r>
        <w:r w:rsidR="001C18FE" w:rsidRPr="00C3310F">
          <w:rPr>
            <w:webHidden/>
            <w:color w:val="auto"/>
          </w:rPr>
        </w:r>
        <w:r w:rsidR="001C18FE" w:rsidRPr="00C3310F">
          <w:rPr>
            <w:webHidden/>
            <w:color w:val="auto"/>
          </w:rPr>
          <w:fldChar w:fldCharType="separate"/>
        </w:r>
        <w:r>
          <w:rPr>
            <w:webHidden/>
            <w:color w:val="auto"/>
          </w:rPr>
          <w:t>158</w:t>
        </w:r>
        <w:r w:rsidR="001C18FE" w:rsidRPr="00C3310F">
          <w:rPr>
            <w:webHidden/>
            <w:color w:val="auto"/>
          </w:rPr>
          <w:fldChar w:fldCharType="end"/>
        </w:r>
      </w:hyperlink>
    </w:p>
    <w:p w14:paraId="1212F477" w14:textId="7E525CFA" w:rsidR="001C18FE" w:rsidRPr="00C3310F" w:rsidRDefault="00595F3D" w:rsidP="00803F1D">
      <w:pPr>
        <w:pStyle w:val="23"/>
        <w:ind w:left="1021" w:hangingChars="200" w:hanging="681"/>
        <w:rPr>
          <w:rFonts w:asciiTheme="minorHAnsi" w:eastAsiaTheme="minorEastAsia" w:hAnsiTheme="minorHAnsi" w:cstheme="minorBidi"/>
          <w:color w:val="auto"/>
          <w:sz w:val="24"/>
          <w:szCs w:val="22"/>
        </w:rPr>
      </w:pPr>
      <w:hyperlink w:anchor="_Toc172033450" w:history="1">
        <w:r w:rsidR="001C18FE" w:rsidRPr="00C3310F">
          <w:rPr>
            <w:rStyle w:val="ae"/>
            <w:rFonts w:hint="eastAsia"/>
            <w:b/>
            <w:color w:val="auto"/>
          </w:rPr>
          <w:t>五、詐騙集團詐騙國人之目的不外乎取得金錢，故金流管制及洗錢防制措施實屬打詐政策之核心。本</w:t>
        </w:r>
        <w:r w:rsidR="00A1409C" w:rsidRPr="00C3310F">
          <w:rPr>
            <w:rStyle w:val="ae"/>
            <w:rFonts w:hint="eastAsia"/>
            <w:b/>
            <w:color w:val="auto"/>
          </w:rPr>
          <w:t>調查</w:t>
        </w:r>
        <w:r w:rsidR="001C18FE" w:rsidRPr="00C3310F">
          <w:rPr>
            <w:rStyle w:val="ae"/>
            <w:rFonts w:hint="eastAsia"/>
            <w:b/>
            <w:color w:val="auto"/>
          </w:rPr>
          <w:t>研究經盤點政府在金流方面之行政管制措施，在臨櫃阻詐及強化法幣實體帳戶</w:t>
        </w:r>
        <w:r w:rsidR="001C18FE" w:rsidRPr="00C3310F">
          <w:rPr>
            <w:rStyle w:val="ae"/>
            <w:b/>
            <w:color w:val="auto"/>
          </w:rPr>
          <w:t>KYC</w:t>
        </w:r>
        <w:r w:rsidR="001C18FE" w:rsidRPr="00C3310F">
          <w:rPr>
            <w:rStyle w:val="ae"/>
            <w:rFonts w:hint="eastAsia"/>
            <w:b/>
            <w:color w:val="auto"/>
          </w:rPr>
          <w:t>方面略具成效，</w:t>
        </w:r>
        <w:r w:rsidR="00A47AB6" w:rsidRPr="00C3310F">
          <w:rPr>
            <w:rStyle w:val="ae"/>
            <w:rFonts w:hint="eastAsia"/>
            <w:b/>
            <w:color w:val="auto"/>
          </w:rPr>
          <w:t>惟</w:t>
        </w:r>
        <w:r w:rsidR="001C18FE" w:rsidRPr="00C3310F">
          <w:rPr>
            <w:rStyle w:val="ae"/>
            <w:rFonts w:hint="eastAsia"/>
            <w:b/>
            <w:color w:val="auto"/>
          </w:rPr>
          <w:t>第三方支付方面數</w:t>
        </w:r>
        <w:r w:rsidR="00D82B1C" w:rsidRPr="00C3310F">
          <w:rPr>
            <w:rStyle w:val="ae"/>
            <w:rFonts w:hint="eastAsia"/>
            <w:b/>
            <w:color w:val="auto"/>
          </w:rPr>
          <w:t>發</w:t>
        </w:r>
        <w:r w:rsidR="001C18FE" w:rsidRPr="00C3310F">
          <w:rPr>
            <w:rStyle w:val="ae"/>
            <w:rFonts w:hint="eastAsia"/>
            <w:b/>
            <w:color w:val="auto"/>
          </w:rPr>
          <w:t>部</w:t>
        </w:r>
        <w:r w:rsidR="00A47AB6" w:rsidRPr="00C3310F">
          <w:rPr>
            <w:rStyle w:val="ae"/>
            <w:rFonts w:hint="eastAsia"/>
            <w:b/>
            <w:color w:val="auto"/>
          </w:rPr>
          <w:t>雖</w:t>
        </w:r>
        <w:r w:rsidR="001C18FE" w:rsidRPr="00C3310F">
          <w:rPr>
            <w:rStyle w:val="ae"/>
            <w:rFonts w:hint="eastAsia"/>
            <w:b/>
            <w:color w:val="auto"/>
          </w:rPr>
          <w:t>已提出能量登錄制度，然成效仍待觀察。另人頭帳戶及警示帳戶數量仍未有效降低部分，將成為整體政府打詐措施中最薄弱之一環，政府除公布各金融機構人頭帳戶及警示帳戶之情形，並對金融機構管理不力予以課責外，</w:t>
        </w:r>
        <w:r w:rsidR="00A47AB6" w:rsidRPr="00C3310F">
          <w:rPr>
            <w:rStyle w:val="ae"/>
            <w:rFonts w:hint="eastAsia"/>
            <w:b/>
            <w:color w:val="auto"/>
          </w:rPr>
          <w:t>允宜</w:t>
        </w:r>
        <w:r w:rsidR="001C18FE" w:rsidRPr="00C3310F">
          <w:rPr>
            <w:rStyle w:val="ae"/>
            <w:rFonts w:hint="eastAsia"/>
            <w:b/>
            <w:color w:val="auto"/>
          </w:rPr>
          <w:t>秉持行政先行及公開透明原則，優先檢討打詐不力之金融機構，以避免成為打詐及洗錢防制之破口。</w:t>
        </w:r>
        <w:r w:rsidR="001C18FE" w:rsidRPr="00C3310F">
          <w:rPr>
            <w:webHidden/>
            <w:color w:val="auto"/>
          </w:rPr>
          <w:tab/>
        </w:r>
        <w:r w:rsidR="001C18FE" w:rsidRPr="00C3310F">
          <w:rPr>
            <w:webHidden/>
            <w:color w:val="auto"/>
          </w:rPr>
          <w:fldChar w:fldCharType="begin"/>
        </w:r>
        <w:r w:rsidR="001C18FE" w:rsidRPr="00C3310F">
          <w:rPr>
            <w:webHidden/>
            <w:color w:val="auto"/>
          </w:rPr>
          <w:instrText xml:space="preserve"> PAGEREF _Toc172033450 \h </w:instrText>
        </w:r>
        <w:r w:rsidR="001C18FE" w:rsidRPr="00C3310F">
          <w:rPr>
            <w:webHidden/>
            <w:color w:val="auto"/>
          </w:rPr>
        </w:r>
        <w:r w:rsidR="001C18FE" w:rsidRPr="00C3310F">
          <w:rPr>
            <w:webHidden/>
            <w:color w:val="auto"/>
          </w:rPr>
          <w:fldChar w:fldCharType="separate"/>
        </w:r>
        <w:r>
          <w:rPr>
            <w:webHidden/>
            <w:color w:val="auto"/>
          </w:rPr>
          <w:t>181</w:t>
        </w:r>
        <w:r w:rsidR="001C18FE" w:rsidRPr="00C3310F">
          <w:rPr>
            <w:webHidden/>
            <w:color w:val="auto"/>
          </w:rPr>
          <w:fldChar w:fldCharType="end"/>
        </w:r>
      </w:hyperlink>
    </w:p>
    <w:p w14:paraId="7C393F83" w14:textId="1A1EF4E1" w:rsidR="001C18FE" w:rsidRPr="00C3310F" w:rsidRDefault="00595F3D" w:rsidP="00803F1D">
      <w:pPr>
        <w:pStyle w:val="23"/>
        <w:ind w:left="1021" w:hangingChars="200" w:hanging="681"/>
        <w:rPr>
          <w:rFonts w:asciiTheme="minorHAnsi" w:eastAsiaTheme="minorEastAsia" w:hAnsiTheme="minorHAnsi" w:cstheme="minorBidi"/>
          <w:color w:val="auto"/>
          <w:sz w:val="24"/>
          <w:szCs w:val="22"/>
        </w:rPr>
      </w:pPr>
      <w:hyperlink w:anchor="_Toc172033458" w:history="1">
        <w:r w:rsidR="001C18FE" w:rsidRPr="00C3310F">
          <w:rPr>
            <w:rStyle w:val="ae"/>
            <w:rFonts w:hint="eastAsia"/>
            <w:b/>
            <w:color w:val="auto"/>
          </w:rPr>
          <w:t>六、虛擬貨幣具去中心化、高度匿名及快速跨境移轉等特性，成為詐騙集團詐欺洗錢犯罪之工具。金管會雖已訂定虛擬通貨</w:t>
        </w:r>
        <w:r w:rsidR="0004575A" w:rsidRPr="00C3310F">
          <w:rPr>
            <w:rStyle w:val="ae"/>
            <w:rFonts w:hint="eastAsia"/>
            <w:b/>
            <w:color w:val="auto"/>
          </w:rPr>
          <w:t>平</w:t>
        </w:r>
        <w:r w:rsidR="003F7BF6" w:rsidRPr="00C3310F">
          <w:rPr>
            <w:rStyle w:val="ae"/>
            <w:rFonts w:hint="eastAsia"/>
            <w:b/>
            <w:color w:val="auto"/>
          </w:rPr>
          <w:t>臺</w:t>
        </w:r>
        <w:r w:rsidR="001C18FE" w:rsidRPr="00C3310F">
          <w:rPr>
            <w:rStyle w:val="ae"/>
            <w:rFonts w:hint="eastAsia"/>
            <w:b/>
            <w:color w:val="auto"/>
          </w:rPr>
          <w:t>及交易業務事業防制洗錢及打擊資恐辦法以管理虛擬通貨</w:t>
        </w:r>
        <w:r w:rsidR="0004575A" w:rsidRPr="00C3310F">
          <w:rPr>
            <w:rStyle w:val="ae"/>
            <w:rFonts w:hint="eastAsia"/>
            <w:b/>
            <w:color w:val="auto"/>
          </w:rPr>
          <w:t>平臺</w:t>
        </w:r>
        <w:r w:rsidR="001C18FE" w:rsidRPr="00C3310F">
          <w:rPr>
            <w:rStyle w:val="ae"/>
            <w:rFonts w:hint="eastAsia"/>
            <w:b/>
            <w:color w:val="auto"/>
          </w:rPr>
          <w:t>及交易業務事業（下稱</w:t>
        </w:r>
        <w:r w:rsidR="001C18FE" w:rsidRPr="00C3310F">
          <w:rPr>
            <w:rStyle w:val="ae"/>
            <w:b/>
            <w:color w:val="auto"/>
          </w:rPr>
          <w:t>VASP</w:t>
        </w:r>
        <w:r w:rsidR="001C18FE" w:rsidRPr="00C3310F">
          <w:rPr>
            <w:rStyle w:val="ae"/>
            <w:rFonts w:hint="eastAsia"/>
            <w:b/>
            <w:color w:val="auto"/>
          </w:rPr>
          <w:t>），然基層檢察官指出當前各類詐騙案件中，以虛擬貨幣之詐騙金額最大，被害人損失最重，且質疑幣商之定義不明，導致基層檢察官對虛擬貨幣管理多有詬病。主管機關</w:t>
        </w:r>
        <w:r w:rsidR="00FC01A6" w:rsidRPr="00C3310F">
          <w:rPr>
            <w:rStyle w:val="ae"/>
            <w:rFonts w:hint="eastAsia"/>
            <w:b/>
            <w:color w:val="auto"/>
          </w:rPr>
          <w:t>允宜</w:t>
        </w:r>
        <w:r w:rsidR="001C18FE" w:rsidRPr="00C3310F">
          <w:rPr>
            <w:rStyle w:val="ae"/>
            <w:rFonts w:hint="eastAsia"/>
            <w:b/>
            <w:color w:val="auto"/>
          </w:rPr>
          <w:t>詳細審視檢察官所提出之疑義，修正虛擬貨幣管理之疏漏，以避免於後續懲詐時，衍生更多紛亂，引發更大之民怨。</w:t>
        </w:r>
        <w:r w:rsidR="001C18FE" w:rsidRPr="00C3310F">
          <w:rPr>
            <w:webHidden/>
            <w:color w:val="auto"/>
          </w:rPr>
          <w:tab/>
        </w:r>
        <w:r w:rsidR="001C18FE" w:rsidRPr="00C3310F">
          <w:rPr>
            <w:webHidden/>
            <w:color w:val="auto"/>
          </w:rPr>
          <w:fldChar w:fldCharType="begin"/>
        </w:r>
        <w:r w:rsidR="001C18FE" w:rsidRPr="00C3310F">
          <w:rPr>
            <w:webHidden/>
            <w:color w:val="auto"/>
          </w:rPr>
          <w:instrText xml:space="preserve"> PAGEREF _Toc172033458 \h </w:instrText>
        </w:r>
        <w:r w:rsidR="001C18FE" w:rsidRPr="00C3310F">
          <w:rPr>
            <w:webHidden/>
            <w:color w:val="auto"/>
          </w:rPr>
        </w:r>
        <w:r w:rsidR="001C18FE" w:rsidRPr="00C3310F">
          <w:rPr>
            <w:webHidden/>
            <w:color w:val="auto"/>
          </w:rPr>
          <w:fldChar w:fldCharType="separate"/>
        </w:r>
        <w:r>
          <w:rPr>
            <w:webHidden/>
            <w:color w:val="auto"/>
          </w:rPr>
          <w:t>194</w:t>
        </w:r>
        <w:r w:rsidR="001C18FE" w:rsidRPr="00C3310F">
          <w:rPr>
            <w:webHidden/>
            <w:color w:val="auto"/>
          </w:rPr>
          <w:fldChar w:fldCharType="end"/>
        </w:r>
      </w:hyperlink>
    </w:p>
    <w:p w14:paraId="3B466CF7" w14:textId="47E95B48" w:rsidR="001C18FE" w:rsidRPr="00C3310F" w:rsidRDefault="00595F3D" w:rsidP="00803F1D">
      <w:pPr>
        <w:pStyle w:val="23"/>
        <w:ind w:left="1021" w:hangingChars="200" w:hanging="681"/>
        <w:rPr>
          <w:rFonts w:asciiTheme="minorHAnsi" w:eastAsiaTheme="minorEastAsia" w:hAnsiTheme="minorHAnsi" w:cstheme="minorBidi"/>
          <w:color w:val="auto"/>
          <w:sz w:val="24"/>
          <w:szCs w:val="22"/>
        </w:rPr>
      </w:pPr>
      <w:hyperlink w:anchor="_Toc172033464" w:history="1">
        <w:r w:rsidR="001C18FE" w:rsidRPr="00C3310F">
          <w:rPr>
            <w:rStyle w:val="ae"/>
            <w:rFonts w:hint="eastAsia"/>
            <w:b/>
            <w:color w:val="auto"/>
          </w:rPr>
          <w:t>七、懲詐面於偵查部分屬於整體打詐環節之末端，檢警在偵破集團、移送案件及查扣返還金額上持續進步，但在近兩年上游行政規管措施及法制配套未臻完善前，各地檢署新收詐欺案件由</w:t>
        </w:r>
        <w:r w:rsidR="001C18FE" w:rsidRPr="00C3310F">
          <w:rPr>
            <w:rStyle w:val="ae"/>
            <w:b/>
            <w:color w:val="auto"/>
          </w:rPr>
          <w:t>110</w:t>
        </w:r>
        <w:r w:rsidR="001C18FE" w:rsidRPr="00C3310F">
          <w:rPr>
            <w:rStyle w:val="ae"/>
            <w:rFonts w:hint="eastAsia"/>
            <w:b/>
            <w:color w:val="auto"/>
          </w:rPr>
          <w:t>年</w:t>
        </w:r>
        <w:r w:rsidR="001C18FE" w:rsidRPr="00C3310F">
          <w:rPr>
            <w:rStyle w:val="ae"/>
            <w:b/>
            <w:color w:val="auto"/>
          </w:rPr>
          <w:t>9.8</w:t>
        </w:r>
        <w:r w:rsidR="001C18FE" w:rsidRPr="00C3310F">
          <w:rPr>
            <w:rStyle w:val="ae"/>
            <w:rFonts w:hint="eastAsia"/>
            <w:b/>
            <w:color w:val="auto"/>
          </w:rPr>
          <w:t>萬餘件暴增至</w:t>
        </w:r>
        <w:r w:rsidR="001C18FE" w:rsidRPr="00C3310F">
          <w:rPr>
            <w:rStyle w:val="ae"/>
            <w:b/>
            <w:color w:val="auto"/>
          </w:rPr>
          <w:t>112</w:t>
        </w:r>
        <w:r w:rsidR="001C18FE" w:rsidRPr="00C3310F">
          <w:rPr>
            <w:rStyle w:val="ae"/>
            <w:rFonts w:hint="eastAsia"/>
            <w:b/>
            <w:color w:val="auto"/>
          </w:rPr>
          <w:t>年近</w:t>
        </w:r>
        <w:r w:rsidR="001C18FE" w:rsidRPr="00C3310F">
          <w:rPr>
            <w:rStyle w:val="ae"/>
            <w:b/>
            <w:color w:val="auto"/>
          </w:rPr>
          <w:t>23</w:t>
        </w:r>
        <w:r w:rsidR="001C18FE" w:rsidRPr="00C3310F">
          <w:rPr>
            <w:rStyle w:val="ae"/>
            <w:rFonts w:hint="eastAsia"/>
            <w:b/>
            <w:color w:val="auto"/>
          </w:rPr>
          <w:t>萬件，對整體偵審體系之處理量能</w:t>
        </w:r>
        <w:r w:rsidR="001C18FE" w:rsidRPr="00C3310F">
          <w:rPr>
            <w:rStyle w:val="ae"/>
            <w:rFonts w:hint="eastAsia"/>
            <w:b/>
            <w:color w:val="auto"/>
          </w:rPr>
          <w:lastRenderedPageBreak/>
          <w:t>形成巨大壓力，由各基層檢察官每月新收案件超過一半屬於詐欺案件而言，已排擠檢調體系對其他重大犯罪之偵查量能；對此，法務部及高檢署雖已對內提出檢察官助理、</w:t>
        </w:r>
        <w:r w:rsidR="001C18FE" w:rsidRPr="00C3310F">
          <w:rPr>
            <w:rStyle w:val="ae"/>
            <w:b/>
            <w:color w:val="auto"/>
          </w:rPr>
          <w:t>AI</w:t>
        </w:r>
        <w:r w:rsidR="001C18FE" w:rsidRPr="00C3310F">
          <w:rPr>
            <w:rStyle w:val="ae"/>
            <w:rFonts w:hint="eastAsia"/>
            <w:b/>
            <w:color w:val="auto"/>
          </w:rPr>
          <w:t>智慧輔助系統、被告總歸戶、建置全國反詐騙資料庫分析、設立科技偵查支援辦公室等措施，雖可一定程度紓解檢警負荷及提高偵查效率，</w:t>
        </w:r>
        <w:r w:rsidR="005E1B25" w:rsidRPr="00C3310F">
          <w:rPr>
            <w:rStyle w:val="ae"/>
            <w:rFonts w:hint="eastAsia"/>
            <w:b/>
            <w:color w:val="auto"/>
          </w:rPr>
          <w:t>然而該等內部措施無法解決過去科技偵查法制落後及欠缺證據力之痛點。在立法院陸續三讀通過通保法及將科技偵查內容增訂於刑事訴訟法「特殊強制處分」後，將可有效縮短檢警與</w:t>
        </w:r>
        <w:r w:rsidR="00A1409C" w:rsidRPr="00C3310F">
          <w:rPr>
            <w:rStyle w:val="ae"/>
            <w:rFonts w:hint="eastAsia"/>
            <w:b/>
            <w:color w:val="auto"/>
          </w:rPr>
          <w:t>詐騙集團</w:t>
        </w:r>
        <w:r w:rsidR="005E1B25" w:rsidRPr="00C3310F">
          <w:rPr>
            <w:rStyle w:val="ae"/>
            <w:rFonts w:hint="eastAsia"/>
            <w:b/>
            <w:color w:val="auto"/>
          </w:rPr>
          <w:t>在科技上之差距，其效益有待驗證；</w:t>
        </w:r>
        <w:r w:rsidR="003F7BF6" w:rsidRPr="00C3310F">
          <w:rPr>
            <w:rStyle w:val="ae"/>
            <w:rFonts w:hint="eastAsia"/>
            <w:b/>
            <w:color w:val="auto"/>
          </w:rPr>
          <w:t>惟</w:t>
        </w:r>
        <w:r w:rsidR="005E1B25" w:rsidRPr="00C3310F">
          <w:rPr>
            <w:rStyle w:val="ae"/>
            <w:rFonts w:hint="eastAsia"/>
            <w:b/>
            <w:color w:val="auto"/>
          </w:rPr>
          <w:t>民間團體雖尚未對刑</w:t>
        </w:r>
        <w:r w:rsidR="00C9488C" w:rsidRPr="00C3310F">
          <w:rPr>
            <w:rStyle w:val="ae"/>
            <w:rFonts w:hint="eastAsia"/>
            <w:b/>
            <w:color w:val="auto"/>
          </w:rPr>
          <w:t>事</w:t>
        </w:r>
        <w:r w:rsidR="005E1B25" w:rsidRPr="00C3310F">
          <w:rPr>
            <w:rStyle w:val="ae"/>
            <w:rFonts w:hint="eastAsia"/>
            <w:b/>
            <w:color w:val="auto"/>
          </w:rPr>
          <w:t>訴</w:t>
        </w:r>
        <w:r w:rsidR="00C9488C" w:rsidRPr="00C3310F">
          <w:rPr>
            <w:rStyle w:val="ae"/>
            <w:rFonts w:hint="eastAsia"/>
            <w:b/>
            <w:color w:val="auto"/>
          </w:rPr>
          <w:t>訟</w:t>
        </w:r>
        <w:r w:rsidR="005E1B25" w:rsidRPr="00C3310F">
          <w:rPr>
            <w:rStyle w:val="ae"/>
            <w:rFonts w:hint="eastAsia"/>
            <w:b/>
            <w:color w:val="auto"/>
          </w:rPr>
          <w:t>法新增科技偵查內容提出意見，但仍就通保法部分條文提出疑慮</w:t>
        </w:r>
        <w:r w:rsidR="001C18FE" w:rsidRPr="00C3310F">
          <w:rPr>
            <w:rStyle w:val="ae"/>
            <w:rFonts w:hint="eastAsia"/>
            <w:b/>
            <w:color w:val="auto"/>
          </w:rPr>
          <w:t>，法務部</w:t>
        </w:r>
        <w:r w:rsidR="00FC01A6" w:rsidRPr="00C3310F">
          <w:rPr>
            <w:rStyle w:val="ae"/>
            <w:rFonts w:hint="eastAsia"/>
            <w:b/>
            <w:color w:val="auto"/>
          </w:rPr>
          <w:t>允</w:t>
        </w:r>
        <w:r w:rsidR="001C18FE" w:rsidRPr="00C3310F">
          <w:rPr>
            <w:rStyle w:val="ae"/>
            <w:rFonts w:hint="eastAsia"/>
            <w:b/>
            <w:color w:val="auto"/>
          </w:rPr>
          <w:t>宜就內控或相關配套審慎評估，以力求懲詐面之周妥</w:t>
        </w:r>
        <w:r w:rsidR="001C18FE" w:rsidRPr="00C3310F">
          <w:rPr>
            <w:rStyle w:val="ae"/>
            <w:rFonts w:hint="eastAsia"/>
            <w:color w:val="auto"/>
          </w:rPr>
          <w:t>。</w:t>
        </w:r>
        <w:r w:rsidR="001C18FE" w:rsidRPr="00C3310F">
          <w:rPr>
            <w:webHidden/>
            <w:color w:val="auto"/>
          </w:rPr>
          <w:tab/>
        </w:r>
        <w:r w:rsidR="001C18FE" w:rsidRPr="00C3310F">
          <w:rPr>
            <w:webHidden/>
            <w:color w:val="auto"/>
          </w:rPr>
          <w:fldChar w:fldCharType="begin"/>
        </w:r>
        <w:r w:rsidR="001C18FE" w:rsidRPr="00C3310F">
          <w:rPr>
            <w:webHidden/>
            <w:color w:val="auto"/>
          </w:rPr>
          <w:instrText xml:space="preserve"> PAGEREF _Toc172033464 \h </w:instrText>
        </w:r>
        <w:r w:rsidR="001C18FE" w:rsidRPr="00C3310F">
          <w:rPr>
            <w:webHidden/>
            <w:color w:val="auto"/>
          </w:rPr>
        </w:r>
        <w:r w:rsidR="001C18FE" w:rsidRPr="00C3310F">
          <w:rPr>
            <w:webHidden/>
            <w:color w:val="auto"/>
          </w:rPr>
          <w:fldChar w:fldCharType="separate"/>
        </w:r>
        <w:r>
          <w:rPr>
            <w:webHidden/>
            <w:color w:val="auto"/>
          </w:rPr>
          <w:t>201</w:t>
        </w:r>
        <w:r w:rsidR="001C18FE" w:rsidRPr="00C3310F">
          <w:rPr>
            <w:webHidden/>
            <w:color w:val="auto"/>
          </w:rPr>
          <w:fldChar w:fldCharType="end"/>
        </w:r>
      </w:hyperlink>
    </w:p>
    <w:p w14:paraId="17CF1A9F" w14:textId="179C5B3C" w:rsidR="001C18FE" w:rsidRPr="00C3310F" w:rsidRDefault="00595F3D" w:rsidP="00803F1D">
      <w:pPr>
        <w:pStyle w:val="23"/>
        <w:ind w:left="1021" w:hangingChars="200" w:hanging="681"/>
        <w:rPr>
          <w:rFonts w:asciiTheme="minorHAnsi" w:eastAsiaTheme="minorEastAsia" w:hAnsiTheme="minorHAnsi" w:cstheme="minorBidi"/>
          <w:color w:val="auto"/>
          <w:sz w:val="24"/>
          <w:szCs w:val="22"/>
        </w:rPr>
      </w:pPr>
      <w:hyperlink w:anchor="_Toc172033480" w:history="1">
        <w:r w:rsidR="001C18FE" w:rsidRPr="00C3310F">
          <w:rPr>
            <w:rStyle w:val="ae"/>
            <w:rFonts w:hint="eastAsia"/>
            <w:b/>
            <w:color w:val="auto"/>
          </w:rPr>
          <w:t>八、在懲詐面，</w:t>
        </w:r>
        <w:r w:rsidR="002A699A" w:rsidRPr="00C3310F">
          <w:rPr>
            <w:rStyle w:val="ae"/>
            <w:rFonts w:hint="eastAsia"/>
            <w:b/>
            <w:color w:val="auto"/>
          </w:rPr>
          <w:t>甫於113年7月</w:t>
        </w:r>
        <w:r w:rsidR="003F7BF6" w:rsidRPr="00C3310F">
          <w:rPr>
            <w:rStyle w:val="ae"/>
            <w:rFonts w:hint="eastAsia"/>
            <w:b/>
            <w:color w:val="auto"/>
          </w:rPr>
          <w:t>31</w:t>
        </w:r>
        <w:r w:rsidR="002A699A" w:rsidRPr="00C3310F">
          <w:rPr>
            <w:rStyle w:val="ae"/>
            <w:rFonts w:hint="eastAsia"/>
            <w:b/>
            <w:color w:val="auto"/>
          </w:rPr>
          <w:t>日</w:t>
        </w:r>
        <w:r w:rsidR="003F7BF6" w:rsidRPr="00C3310F">
          <w:rPr>
            <w:rStyle w:val="ae"/>
            <w:rFonts w:hint="eastAsia"/>
            <w:b/>
            <w:color w:val="auto"/>
          </w:rPr>
          <w:t>公布</w:t>
        </w:r>
        <w:r w:rsidR="0056315F" w:rsidRPr="00C3310F">
          <w:rPr>
            <w:rStyle w:val="ae"/>
            <w:rFonts w:hint="eastAsia"/>
            <w:b/>
            <w:color w:val="auto"/>
          </w:rPr>
          <w:t>之</w:t>
        </w:r>
        <w:r w:rsidR="002A699A" w:rsidRPr="00C3310F">
          <w:rPr>
            <w:rStyle w:val="ae"/>
            <w:rFonts w:hint="eastAsia"/>
            <w:b/>
            <w:color w:val="auto"/>
          </w:rPr>
          <w:t>「詐欺犯罪危害防制條例」(打詐專法)</w:t>
        </w:r>
        <w:r w:rsidR="003F7BF6" w:rsidRPr="00C3310F">
          <w:rPr>
            <w:rStyle w:val="ae"/>
            <w:rFonts w:hint="eastAsia"/>
            <w:b/>
            <w:color w:val="auto"/>
          </w:rPr>
          <w:t>，</w:t>
        </w:r>
        <w:r w:rsidR="002A699A" w:rsidRPr="00C3310F">
          <w:rPr>
            <w:rStyle w:val="ae"/>
            <w:rFonts w:hint="eastAsia"/>
            <w:b/>
            <w:color w:val="auto"/>
          </w:rPr>
          <w:t>雖已加重詐欺相關刑責，但仍不足以對犯罪形成足夠之嚇阻力，尚賴審判體系作為整體打詐環節的最後一道防線，</w:t>
        </w:r>
        <w:r w:rsidR="00A1409C" w:rsidRPr="00C3310F">
          <w:rPr>
            <w:rStyle w:val="ae"/>
            <w:rFonts w:hint="eastAsia"/>
            <w:b/>
            <w:color w:val="auto"/>
          </w:rPr>
          <w:t>本調查研究</w:t>
        </w:r>
        <w:r w:rsidR="002A699A" w:rsidRPr="00C3310F">
          <w:rPr>
            <w:rStyle w:val="ae"/>
            <w:rFonts w:hint="eastAsia"/>
            <w:b/>
            <w:color w:val="auto"/>
          </w:rPr>
          <w:t>經蒐整有關懲詐面於審判階段之各界意見，發現立法院於113年7月16日將科技偵查內容增訂於刑</w:t>
        </w:r>
        <w:r w:rsidR="00107273" w:rsidRPr="00C3310F">
          <w:rPr>
            <w:rStyle w:val="ae"/>
            <w:rFonts w:hint="eastAsia"/>
            <w:b/>
            <w:color w:val="auto"/>
          </w:rPr>
          <w:t>事</w:t>
        </w:r>
        <w:r w:rsidR="002A699A" w:rsidRPr="00C3310F">
          <w:rPr>
            <w:rStyle w:val="ae"/>
            <w:rFonts w:hint="eastAsia"/>
            <w:b/>
            <w:color w:val="auto"/>
          </w:rPr>
          <w:t>訴</w:t>
        </w:r>
        <w:r w:rsidR="00107273" w:rsidRPr="00C3310F">
          <w:rPr>
            <w:rStyle w:val="ae"/>
            <w:rFonts w:hint="eastAsia"/>
            <w:b/>
            <w:color w:val="auto"/>
          </w:rPr>
          <w:t>訟</w:t>
        </w:r>
        <w:r w:rsidR="002A699A" w:rsidRPr="00C3310F">
          <w:rPr>
            <w:rStyle w:val="ae"/>
            <w:rFonts w:hint="eastAsia"/>
            <w:b/>
            <w:color w:val="auto"/>
          </w:rPr>
          <w:t>法「特殊強制處分」條文後，已部</w:t>
        </w:r>
        <w:r w:rsidR="00FC01A6" w:rsidRPr="00C3310F">
          <w:rPr>
            <w:rStyle w:val="ae"/>
            <w:rFonts w:hint="eastAsia"/>
            <w:b/>
            <w:color w:val="auto"/>
          </w:rPr>
          <w:t>分</w:t>
        </w:r>
        <w:r w:rsidR="002A699A" w:rsidRPr="00C3310F">
          <w:rPr>
            <w:rStyle w:val="ae"/>
            <w:rFonts w:hint="eastAsia"/>
            <w:b/>
            <w:color w:val="auto"/>
          </w:rPr>
          <w:t>解決立法政策爭議，然而詐欺犯罪量刑及想像競合犯、數罪併罰定應執行刑之議題則尚有爭論</w:t>
        </w:r>
        <w:r w:rsidR="001C18FE" w:rsidRPr="00C3310F">
          <w:rPr>
            <w:rStyle w:val="ae"/>
            <w:rFonts w:hint="eastAsia"/>
            <w:b/>
            <w:color w:val="auto"/>
          </w:rPr>
          <w:t>；</w:t>
        </w:r>
        <w:r w:rsidR="00A1409C" w:rsidRPr="00C3310F">
          <w:rPr>
            <w:rStyle w:val="ae"/>
            <w:rFonts w:hint="eastAsia"/>
            <w:b/>
            <w:color w:val="auto"/>
          </w:rPr>
          <w:t>本調查研究</w:t>
        </w:r>
        <w:r w:rsidR="001C18FE" w:rsidRPr="00C3310F">
          <w:rPr>
            <w:rStyle w:val="ae"/>
            <w:rFonts w:hint="eastAsia"/>
            <w:b/>
            <w:color w:val="auto"/>
          </w:rPr>
          <w:t>於涉及審判獨立原則部分，僅歸納各界及先進國家之意見或作法供審判機關參考，至於其他與司法行政相關之研究發現，例如詐欺專業法庭等，亦一併臚陳供參。</w:t>
        </w:r>
        <w:r w:rsidR="001C18FE" w:rsidRPr="00C3310F">
          <w:rPr>
            <w:webHidden/>
            <w:color w:val="auto"/>
          </w:rPr>
          <w:tab/>
        </w:r>
        <w:r w:rsidR="001C18FE" w:rsidRPr="00C3310F">
          <w:rPr>
            <w:webHidden/>
            <w:color w:val="auto"/>
          </w:rPr>
          <w:fldChar w:fldCharType="begin"/>
        </w:r>
        <w:r w:rsidR="001C18FE" w:rsidRPr="00C3310F">
          <w:rPr>
            <w:webHidden/>
            <w:color w:val="auto"/>
          </w:rPr>
          <w:instrText xml:space="preserve"> PAGEREF _Toc172033480 \h </w:instrText>
        </w:r>
        <w:r w:rsidR="001C18FE" w:rsidRPr="00C3310F">
          <w:rPr>
            <w:webHidden/>
            <w:color w:val="auto"/>
          </w:rPr>
        </w:r>
        <w:r w:rsidR="001C18FE" w:rsidRPr="00C3310F">
          <w:rPr>
            <w:webHidden/>
            <w:color w:val="auto"/>
          </w:rPr>
          <w:fldChar w:fldCharType="separate"/>
        </w:r>
        <w:r>
          <w:rPr>
            <w:webHidden/>
            <w:color w:val="auto"/>
          </w:rPr>
          <w:t>213</w:t>
        </w:r>
        <w:r w:rsidR="001C18FE" w:rsidRPr="00C3310F">
          <w:rPr>
            <w:webHidden/>
            <w:color w:val="auto"/>
          </w:rPr>
          <w:fldChar w:fldCharType="end"/>
        </w:r>
      </w:hyperlink>
    </w:p>
    <w:p w14:paraId="7F3D05E6" w14:textId="0A7E5498" w:rsidR="001C18FE" w:rsidRPr="00C3310F" w:rsidRDefault="00595F3D" w:rsidP="00803F1D">
      <w:pPr>
        <w:pStyle w:val="23"/>
        <w:ind w:left="1021" w:hangingChars="200" w:hanging="681"/>
        <w:rPr>
          <w:rFonts w:asciiTheme="minorHAnsi" w:eastAsiaTheme="minorEastAsia" w:hAnsiTheme="minorHAnsi" w:cstheme="minorBidi"/>
          <w:color w:val="auto"/>
          <w:sz w:val="24"/>
          <w:szCs w:val="22"/>
        </w:rPr>
      </w:pPr>
      <w:hyperlink w:anchor="_Toc172033489" w:history="1">
        <w:r w:rsidR="001C18FE" w:rsidRPr="00C3310F">
          <w:rPr>
            <w:rStyle w:val="ae"/>
            <w:rFonts w:hint="eastAsia"/>
            <w:b/>
            <w:color w:val="auto"/>
          </w:rPr>
          <w:t>九、經歸納相關研究及經驗，在政府強化管制力道後，詐欺犯罪仍將試圖開發嶄新模式持續製造犯罪機</w:t>
        </w:r>
        <w:r w:rsidR="001C18FE" w:rsidRPr="00C3310F">
          <w:rPr>
            <w:rStyle w:val="ae"/>
            <w:rFonts w:hint="eastAsia"/>
            <w:b/>
            <w:color w:val="auto"/>
          </w:rPr>
          <w:lastRenderedPageBreak/>
          <w:t>會，</w:t>
        </w:r>
        <w:r w:rsidR="00A1409C" w:rsidRPr="00C3310F">
          <w:rPr>
            <w:rStyle w:val="ae"/>
            <w:rFonts w:hint="eastAsia"/>
            <w:b/>
            <w:color w:val="auto"/>
          </w:rPr>
          <w:t>本調查研究</w:t>
        </w:r>
        <w:r w:rsidR="001C18FE" w:rsidRPr="00C3310F">
          <w:rPr>
            <w:rStyle w:val="ae"/>
            <w:rFonts w:hint="eastAsia"/>
            <w:b/>
            <w:color w:val="auto"/>
          </w:rPr>
          <w:t>研判詐騙集團轉型方向，首先是收買電信、金融及司法檢警人員</w:t>
        </w:r>
        <w:r w:rsidR="00752EB4" w:rsidRPr="00C3310F">
          <w:rPr>
            <w:rStyle w:val="ae"/>
            <w:rFonts w:hint="eastAsia"/>
            <w:b/>
            <w:color w:val="auto"/>
          </w:rPr>
          <w:t>與律師</w:t>
        </w:r>
        <w:r w:rsidR="001C18FE" w:rsidRPr="00C3310F">
          <w:rPr>
            <w:rStyle w:val="ae"/>
            <w:rFonts w:hint="eastAsia"/>
            <w:b/>
            <w:color w:val="auto"/>
          </w:rPr>
          <w:t>，其次是電信、網路或金流人頭法人化，最後是逐步開始運用人工智慧及深偽技術，政府</w:t>
        </w:r>
        <w:r w:rsidR="00FC01A6" w:rsidRPr="00C3310F">
          <w:rPr>
            <w:rStyle w:val="ae"/>
            <w:rFonts w:hint="eastAsia"/>
            <w:b/>
            <w:color w:val="auto"/>
          </w:rPr>
          <w:t>允</w:t>
        </w:r>
        <w:r w:rsidR="001C18FE" w:rsidRPr="00C3310F">
          <w:rPr>
            <w:rStyle w:val="ae"/>
            <w:rFonts w:hint="eastAsia"/>
            <w:b/>
            <w:color w:val="auto"/>
          </w:rPr>
          <w:t>宜提前擬定對策，以收防微杜漸之效。</w:t>
        </w:r>
        <w:r w:rsidR="001C18FE" w:rsidRPr="00C3310F">
          <w:rPr>
            <w:webHidden/>
            <w:color w:val="auto"/>
          </w:rPr>
          <w:tab/>
        </w:r>
        <w:r w:rsidR="001C18FE" w:rsidRPr="00C3310F">
          <w:rPr>
            <w:webHidden/>
            <w:color w:val="auto"/>
          </w:rPr>
          <w:fldChar w:fldCharType="begin"/>
        </w:r>
        <w:r w:rsidR="001C18FE" w:rsidRPr="00C3310F">
          <w:rPr>
            <w:webHidden/>
            <w:color w:val="auto"/>
          </w:rPr>
          <w:instrText xml:space="preserve"> PAGEREF _Toc172033489 \h </w:instrText>
        </w:r>
        <w:r w:rsidR="001C18FE" w:rsidRPr="00C3310F">
          <w:rPr>
            <w:webHidden/>
            <w:color w:val="auto"/>
          </w:rPr>
        </w:r>
        <w:r w:rsidR="001C18FE" w:rsidRPr="00C3310F">
          <w:rPr>
            <w:webHidden/>
            <w:color w:val="auto"/>
          </w:rPr>
          <w:fldChar w:fldCharType="separate"/>
        </w:r>
        <w:r>
          <w:rPr>
            <w:webHidden/>
            <w:color w:val="auto"/>
          </w:rPr>
          <w:t>220</w:t>
        </w:r>
        <w:r w:rsidR="001C18FE" w:rsidRPr="00C3310F">
          <w:rPr>
            <w:webHidden/>
            <w:color w:val="auto"/>
          </w:rPr>
          <w:fldChar w:fldCharType="end"/>
        </w:r>
      </w:hyperlink>
    </w:p>
    <w:p w14:paraId="631834F9" w14:textId="6829E688" w:rsidR="001C18FE" w:rsidRPr="00C3310F" w:rsidRDefault="00595F3D" w:rsidP="00803F1D">
      <w:pPr>
        <w:pStyle w:val="23"/>
        <w:ind w:left="1021" w:hangingChars="200" w:hanging="681"/>
        <w:rPr>
          <w:rFonts w:asciiTheme="minorHAnsi" w:eastAsiaTheme="minorEastAsia" w:hAnsiTheme="minorHAnsi" w:cstheme="minorBidi"/>
          <w:color w:val="auto"/>
          <w:sz w:val="24"/>
          <w:szCs w:val="22"/>
        </w:rPr>
      </w:pPr>
      <w:hyperlink w:anchor="_Toc172033496" w:history="1">
        <w:r w:rsidR="001C18FE" w:rsidRPr="00C3310F">
          <w:rPr>
            <w:rStyle w:val="ae"/>
            <w:rFonts w:hint="eastAsia"/>
            <w:b/>
            <w:color w:val="auto"/>
          </w:rPr>
          <w:t>十、由於電信網路詐欺為世界趨勢且組織分散遍布全球，國際互助及合作較過去更顯重要，政府在外交艱困情形下仍努力簽訂司法互助協議、深化交流及增派常駐或臨時聯絡官等，</w:t>
        </w:r>
        <w:r w:rsidR="001C18FE" w:rsidRPr="00C3310F">
          <w:rPr>
            <w:rStyle w:val="ae"/>
            <w:b/>
            <w:color w:val="auto"/>
          </w:rPr>
          <w:t>112</w:t>
        </w:r>
        <w:r w:rsidR="001C18FE" w:rsidRPr="00C3310F">
          <w:rPr>
            <w:rStyle w:val="ae"/>
            <w:rFonts w:hint="eastAsia"/>
            <w:b/>
            <w:color w:val="auto"/>
          </w:rPr>
          <w:t>年更成功爭取主辦全球反詐聯盟在臺灣辦理，足見我國在資通訊產業發達及公私協力無間之優勢，爰政府宜善用此一優勢，爭取更多國際合作機會，以突破詐欺犯罪利用國際隔閡所製造之偵查斷點。</w:t>
        </w:r>
        <w:r w:rsidR="001C18FE" w:rsidRPr="00C3310F">
          <w:rPr>
            <w:webHidden/>
            <w:color w:val="auto"/>
          </w:rPr>
          <w:tab/>
        </w:r>
        <w:r w:rsidR="001C18FE" w:rsidRPr="00C3310F">
          <w:rPr>
            <w:webHidden/>
            <w:color w:val="auto"/>
          </w:rPr>
          <w:fldChar w:fldCharType="begin"/>
        </w:r>
        <w:r w:rsidR="001C18FE" w:rsidRPr="00C3310F">
          <w:rPr>
            <w:webHidden/>
            <w:color w:val="auto"/>
          </w:rPr>
          <w:instrText xml:space="preserve"> PAGEREF _Toc172033496 \h </w:instrText>
        </w:r>
        <w:r w:rsidR="001C18FE" w:rsidRPr="00C3310F">
          <w:rPr>
            <w:webHidden/>
            <w:color w:val="auto"/>
          </w:rPr>
        </w:r>
        <w:r w:rsidR="001C18FE" w:rsidRPr="00C3310F">
          <w:rPr>
            <w:webHidden/>
            <w:color w:val="auto"/>
          </w:rPr>
          <w:fldChar w:fldCharType="separate"/>
        </w:r>
        <w:r>
          <w:rPr>
            <w:webHidden/>
            <w:color w:val="auto"/>
          </w:rPr>
          <w:t>227</w:t>
        </w:r>
        <w:r w:rsidR="001C18FE" w:rsidRPr="00C3310F">
          <w:rPr>
            <w:webHidden/>
            <w:color w:val="auto"/>
          </w:rPr>
          <w:fldChar w:fldCharType="end"/>
        </w:r>
      </w:hyperlink>
    </w:p>
    <w:p w14:paraId="32B52E5E" w14:textId="3B4CF1A1" w:rsidR="001C18FE" w:rsidRPr="00C3310F" w:rsidRDefault="00595F3D" w:rsidP="00803F1D">
      <w:pPr>
        <w:pStyle w:val="11"/>
        <w:ind w:left="680" w:hangingChars="200" w:hanging="680"/>
        <w:rPr>
          <w:rFonts w:asciiTheme="minorHAnsi" w:eastAsiaTheme="minorEastAsia" w:hAnsiTheme="minorHAnsi" w:cstheme="minorBidi"/>
          <w:color w:val="auto"/>
          <w:sz w:val="24"/>
          <w:szCs w:val="22"/>
        </w:rPr>
      </w:pPr>
      <w:hyperlink w:anchor="_Toc172033503" w:history="1">
        <w:r w:rsidR="00B917B5" w:rsidRPr="00C3310F">
          <w:rPr>
            <w:rFonts w:hint="eastAsia"/>
            <w:color w:val="auto"/>
          </w:rPr>
          <w:t>陸</w:t>
        </w:r>
        <w:r w:rsidR="001C18FE" w:rsidRPr="00C3310F">
          <w:rPr>
            <w:rStyle w:val="ae"/>
            <w:rFonts w:hint="eastAsia"/>
            <w:color w:val="auto"/>
          </w:rPr>
          <w:t>、</w:t>
        </w:r>
        <w:r w:rsidR="00107273" w:rsidRPr="00C3310F">
          <w:rPr>
            <w:rStyle w:val="ae"/>
            <w:rFonts w:hint="eastAsia"/>
            <w:color w:val="auto"/>
            <w:u w:val="none"/>
          </w:rPr>
          <w:t>處理辦法</w:t>
        </w:r>
        <w:r w:rsidR="001C18FE" w:rsidRPr="00C3310F">
          <w:rPr>
            <w:webHidden/>
            <w:color w:val="auto"/>
          </w:rPr>
          <w:tab/>
        </w:r>
        <w:r w:rsidR="001C18FE" w:rsidRPr="00C3310F">
          <w:rPr>
            <w:webHidden/>
            <w:color w:val="auto"/>
          </w:rPr>
          <w:fldChar w:fldCharType="begin"/>
        </w:r>
        <w:r w:rsidR="001C18FE" w:rsidRPr="00C3310F">
          <w:rPr>
            <w:webHidden/>
            <w:color w:val="auto"/>
          </w:rPr>
          <w:instrText xml:space="preserve"> PAGEREF _Toc172033503 \h </w:instrText>
        </w:r>
        <w:r w:rsidR="001C18FE" w:rsidRPr="00C3310F">
          <w:rPr>
            <w:webHidden/>
            <w:color w:val="auto"/>
          </w:rPr>
        </w:r>
        <w:r w:rsidR="001C18FE" w:rsidRPr="00C3310F">
          <w:rPr>
            <w:webHidden/>
            <w:color w:val="auto"/>
          </w:rPr>
          <w:fldChar w:fldCharType="separate"/>
        </w:r>
        <w:r>
          <w:rPr>
            <w:webHidden/>
            <w:color w:val="auto"/>
          </w:rPr>
          <w:t>233</w:t>
        </w:r>
        <w:r w:rsidR="001C18FE" w:rsidRPr="00C3310F">
          <w:rPr>
            <w:webHidden/>
            <w:color w:val="auto"/>
          </w:rPr>
          <w:fldChar w:fldCharType="end"/>
        </w:r>
      </w:hyperlink>
      <w:r w:rsidR="00957BBE" w:rsidRPr="00C3310F">
        <w:rPr>
          <w:rFonts w:asciiTheme="minorHAnsi" w:eastAsiaTheme="minorEastAsia" w:hAnsiTheme="minorHAnsi" w:cstheme="minorBidi"/>
          <w:color w:val="auto"/>
          <w:sz w:val="24"/>
          <w:szCs w:val="22"/>
        </w:rPr>
        <w:t xml:space="preserve"> </w:t>
      </w:r>
    </w:p>
    <w:p w14:paraId="6BC093ED" w14:textId="22170663" w:rsidR="001C18FE" w:rsidRPr="00C3310F" w:rsidRDefault="00595F3D" w:rsidP="00803F1D">
      <w:pPr>
        <w:pStyle w:val="11"/>
        <w:ind w:left="680" w:hangingChars="200" w:hanging="680"/>
        <w:rPr>
          <w:rFonts w:asciiTheme="minorHAnsi" w:eastAsiaTheme="minorEastAsia" w:hAnsiTheme="minorHAnsi" w:cstheme="minorBidi"/>
          <w:color w:val="auto"/>
          <w:sz w:val="24"/>
          <w:szCs w:val="22"/>
        </w:rPr>
      </w:pPr>
      <w:hyperlink w:anchor="_Toc172033507" w:history="1">
        <w:r w:rsidR="001C18FE" w:rsidRPr="00C3310F">
          <w:rPr>
            <w:rStyle w:val="ae"/>
            <w:rFonts w:hint="eastAsia"/>
            <w:color w:val="auto"/>
          </w:rPr>
          <w:t>附錄A、本院諮詢會議摘要</w:t>
        </w:r>
        <w:r w:rsidR="001C18FE" w:rsidRPr="00C3310F">
          <w:rPr>
            <w:rStyle w:val="ae"/>
            <w:color w:val="auto"/>
          </w:rPr>
          <w:t>(</w:t>
        </w:r>
        <w:r w:rsidR="001C18FE" w:rsidRPr="00C3310F">
          <w:rPr>
            <w:rStyle w:val="ae"/>
            <w:rFonts w:hint="eastAsia"/>
            <w:color w:val="auto"/>
          </w:rPr>
          <w:t>依場次及姓名筆劃排列</w:t>
        </w:r>
        <w:r w:rsidR="001C18FE" w:rsidRPr="00C3310F">
          <w:rPr>
            <w:rStyle w:val="ae"/>
            <w:color w:val="auto"/>
          </w:rPr>
          <w:t>)</w:t>
        </w:r>
        <w:r w:rsidR="001C18FE" w:rsidRPr="00C3310F">
          <w:rPr>
            <w:webHidden/>
            <w:color w:val="auto"/>
          </w:rPr>
          <w:tab/>
        </w:r>
        <w:r w:rsidR="001C18FE" w:rsidRPr="00C3310F">
          <w:rPr>
            <w:webHidden/>
            <w:color w:val="auto"/>
          </w:rPr>
          <w:fldChar w:fldCharType="begin"/>
        </w:r>
        <w:r w:rsidR="001C18FE" w:rsidRPr="00C3310F">
          <w:rPr>
            <w:webHidden/>
            <w:color w:val="auto"/>
          </w:rPr>
          <w:instrText xml:space="preserve"> PAGEREF _Toc172033507 \h </w:instrText>
        </w:r>
        <w:r w:rsidR="001C18FE" w:rsidRPr="00C3310F">
          <w:rPr>
            <w:webHidden/>
            <w:color w:val="auto"/>
          </w:rPr>
        </w:r>
        <w:r w:rsidR="001C18FE" w:rsidRPr="00C3310F">
          <w:rPr>
            <w:webHidden/>
            <w:color w:val="auto"/>
          </w:rPr>
          <w:fldChar w:fldCharType="separate"/>
        </w:r>
        <w:r>
          <w:rPr>
            <w:webHidden/>
            <w:color w:val="auto"/>
          </w:rPr>
          <w:t>1</w:t>
        </w:r>
        <w:r w:rsidR="001C18FE" w:rsidRPr="00C3310F">
          <w:rPr>
            <w:webHidden/>
            <w:color w:val="auto"/>
          </w:rPr>
          <w:fldChar w:fldCharType="end"/>
        </w:r>
      </w:hyperlink>
    </w:p>
    <w:p w14:paraId="55F7EBC0" w14:textId="49FE8450" w:rsidR="001C18FE" w:rsidRPr="00C3310F" w:rsidRDefault="00595F3D" w:rsidP="00803F1D">
      <w:pPr>
        <w:pStyle w:val="11"/>
        <w:ind w:left="680" w:hangingChars="200" w:hanging="680"/>
        <w:rPr>
          <w:rFonts w:asciiTheme="minorHAnsi" w:eastAsiaTheme="minorEastAsia" w:hAnsiTheme="minorHAnsi" w:cstheme="minorBidi"/>
          <w:color w:val="auto"/>
          <w:sz w:val="24"/>
          <w:szCs w:val="22"/>
        </w:rPr>
      </w:pPr>
      <w:hyperlink w:anchor="_Toc172033646" w:history="1">
        <w:r w:rsidR="001C18FE" w:rsidRPr="00C3310F">
          <w:rPr>
            <w:rStyle w:val="ae"/>
            <w:rFonts w:hint="eastAsia"/>
            <w:color w:val="auto"/>
          </w:rPr>
          <w:t>附錄B、高檢署履勘會議紀錄</w:t>
        </w:r>
        <w:r w:rsidR="001C18FE" w:rsidRPr="00C3310F">
          <w:rPr>
            <w:webHidden/>
            <w:color w:val="auto"/>
          </w:rPr>
          <w:tab/>
        </w:r>
        <w:r w:rsidR="001C18FE" w:rsidRPr="00C3310F">
          <w:rPr>
            <w:webHidden/>
            <w:color w:val="auto"/>
          </w:rPr>
          <w:fldChar w:fldCharType="begin"/>
        </w:r>
        <w:r w:rsidR="001C18FE" w:rsidRPr="00C3310F">
          <w:rPr>
            <w:webHidden/>
            <w:color w:val="auto"/>
          </w:rPr>
          <w:instrText xml:space="preserve"> PAGEREF _Toc172033646 \h </w:instrText>
        </w:r>
        <w:r w:rsidR="001C18FE" w:rsidRPr="00C3310F">
          <w:rPr>
            <w:webHidden/>
            <w:color w:val="auto"/>
          </w:rPr>
        </w:r>
        <w:r w:rsidR="001C18FE" w:rsidRPr="00C3310F">
          <w:rPr>
            <w:webHidden/>
            <w:color w:val="auto"/>
          </w:rPr>
          <w:fldChar w:fldCharType="separate"/>
        </w:r>
        <w:r>
          <w:rPr>
            <w:webHidden/>
            <w:color w:val="auto"/>
          </w:rPr>
          <w:t>36</w:t>
        </w:r>
        <w:r w:rsidR="001C18FE" w:rsidRPr="00C3310F">
          <w:rPr>
            <w:webHidden/>
            <w:color w:val="auto"/>
          </w:rPr>
          <w:fldChar w:fldCharType="end"/>
        </w:r>
      </w:hyperlink>
    </w:p>
    <w:p w14:paraId="231BF9F2" w14:textId="2264CD83" w:rsidR="001C18FE" w:rsidRPr="00C3310F" w:rsidRDefault="00595F3D" w:rsidP="00803F1D">
      <w:pPr>
        <w:pStyle w:val="11"/>
        <w:ind w:left="680" w:hangingChars="200" w:hanging="680"/>
        <w:rPr>
          <w:rFonts w:asciiTheme="minorHAnsi" w:eastAsiaTheme="minorEastAsia" w:hAnsiTheme="minorHAnsi" w:cstheme="minorBidi"/>
          <w:color w:val="auto"/>
          <w:sz w:val="24"/>
          <w:szCs w:val="22"/>
        </w:rPr>
      </w:pPr>
      <w:hyperlink w:anchor="_Toc172033663" w:history="1">
        <w:r w:rsidR="001C18FE" w:rsidRPr="00C3310F">
          <w:rPr>
            <w:rStyle w:val="ae"/>
            <w:rFonts w:hint="eastAsia"/>
            <w:color w:val="auto"/>
          </w:rPr>
          <w:t>附錄C、檢察官打詐實務暨修法研討會</w:t>
        </w:r>
        <w:r w:rsidR="001C18FE" w:rsidRPr="00C3310F">
          <w:rPr>
            <w:webHidden/>
            <w:color w:val="auto"/>
          </w:rPr>
          <w:tab/>
        </w:r>
        <w:r w:rsidR="001C18FE" w:rsidRPr="00C3310F">
          <w:rPr>
            <w:webHidden/>
            <w:color w:val="auto"/>
          </w:rPr>
          <w:fldChar w:fldCharType="begin"/>
        </w:r>
        <w:r w:rsidR="001C18FE" w:rsidRPr="00C3310F">
          <w:rPr>
            <w:webHidden/>
            <w:color w:val="auto"/>
          </w:rPr>
          <w:instrText xml:space="preserve"> PAGEREF _Toc172033663 \h </w:instrText>
        </w:r>
        <w:r w:rsidR="001C18FE" w:rsidRPr="00C3310F">
          <w:rPr>
            <w:webHidden/>
            <w:color w:val="auto"/>
          </w:rPr>
        </w:r>
        <w:r w:rsidR="001C18FE" w:rsidRPr="00C3310F">
          <w:rPr>
            <w:webHidden/>
            <w:color w:val="auto"/>
          </w:rPr>
          <w:fldChar w:fldCharType="separate"/>
        </w:r>
        <w:r>
          <w:rPr>
            <w:webHidden/>
            <w:color w:val="auto"/>
          </w:rPr>
          <w:t>40</w:t>
        </w:r>
        <w:r w:rsidR="001C18FE" w:rsidRPr="00C3310F">
          <w:rPr>
            <w:webHidden/>
            <w:color w:val="auto"/>
          </w:rPr>
          <w:fldChar w:fldCharType="end"/>
        </w:r>
      </w:hyperlink>
    </w:p>
    <w:p w14:paraId="0350808D" w14:textId="77777777" w:rsidR="00E25849" w:rsidRPr="00C3310F" w:rsidRDefault="00DA5A8A" w:rsidP="00803F1D">
      <w:pPr>
        <w:pStyle w:val="af2"/>
        <w:ind w:left="761" w:hangingChars="200" w:hanging="761"/>
      </w:pPr>
      <w:r w:rsidRPr="00C3310F">
        <w:rPr>
          <w:bCs/>
        </w:rPr>
        <w:fldChar w:fldCharType="end"/>
      </w:r>
      <w:r w:rsidR="00E25849" w:rsidRPr="00C3310F">
        <w:rPr>
          <w:bCs/>
        </w:rPr>
        <w:br w:type="page"/>
      </w:r>
      <w:r w:rsidR="00E25849" w:rsidRPr="00C3310F">
        <w:rPr>
          <w:rFonts w:hint="eastAsia"/>
        </w:rPr>
        <w:lastRenderedPageBreak/>
        <w:t>表目</w:t>
      </w:r>
      <w:r w:rsidR="00B563EA" w:rsidRPr="00C3310F">
        <w:rPr>
          <w:rFonts w:hint="eastAsia"/>
        </w:rPr>
        <w:t>次</w:t>
      </w:r>
    </w:p>
    <w:p w14:paraId="42604736" w14:textId="220412B0" w:rsidR="008F3533" w:rsidRPr="00C3310F" w:rsidRDefault="00F6627B" w:rsidP="00803F1D">
      <w:pPr>
        <w:pStyle w:val="23"/>
        <w:ind w:leftChars="0" w:left="680" w:rightChars="0" w:right="0" w:hangingChars="200" w:hanging="680"/>
        <w:rPr>
          <w:rFonts w:asciiTheme="minorHAnsi" w:eastAsiaTheme="minorEastAsia" w:hAnsiTheme="minorHAnsi" w:cstheme="minorBidi"/>
          <w:color w:val="auto"/>
          <w:sz w:val="24"/>
          <w:szCs w:val="22"/>
        </w:rPr>
      </w:pPr>
      <w:r w:rsidRPr="00C3310F">
        <w:rPr>
          <w:bCs/>
          <w:color w:val="auto"/>
          <w:szCs w:val="32"/>
        </w:rPr>
        <w:fldChar w:fldCharType="begin"/>
      </w:r>
      <w:r w:rsidRPr="00C3310F">
        <w:rPr>
          <w:bCs/>
          <w:color w:val="auto"/>
          <w:szCs w:val="32"/>
        </w:rPr>
        <w:instrText xml:space="preserve"> TOC \h \z \t "表標題,2" </w:instrText>
      </w:r>
      <w:r w:rsidRPr="00C3310F">
        <w:rPr>
          <w:bCs/>
          <w:color w:val="auto"/>
          <w:szCs w:val="32"/>
        </w:rPr>
        <w:fldChar w:fldCharType="separate"/>
      </w:r>
      <w:hyperlink w:anchor="_Toc172025205" w:history="1">
        <w:r w:rsidR="008F3533" w:rsidRPr="00C3310F">
          <w:rPr>
            <w:rStyle w:val="ae"/>
            <w:rFonts w:hint="eastAsia"/>
            <w:color w:val="auto"/>
          </w:rPr>
          <w:t>表1</w:t>
        </w:r>
        <w:r w:rsidR="00803F1D" w:rsidRPr="00C3310F">
          <w:rPr>
            <w:rStyle w:val="ae"/>
            <w:rFonts w:hint="eastAsia"/>
            <w:color w:val="auto"/>
          </w:rPr>
          <w:t xml:space="preserve"> </w:t>
        </w:r>
        <w:r w:rsidR="008F3533" w:rsidRPr="00C3310F">
          <w:rPr>
            <w:rStyle w:val="ae"/>
            <w:rFonts w:hint="eastAsia"/>
            <w:color w:val="auto"/>
          </w:rPr>
          <w:t>本案調查研究方法、步驟及實施期程</w:t>
        </w:r>
        <w:r w:rsidR="008F3533" w:rsidRPr="00C3310F">
          <w:rPr>
            <w:webHidden/>
            <w:color w:val="auto"/>
          </w:rPr>
          <w:tab/>
        </w:r>
        <w:r w:rsidR="008F3533" w:rsidRPr="00C3310F">
          <w:rPr>
            <w:webHidden/>
            <w:color w:val="auto"/>
          </w:rPr>
          <w:fldChar w:fldCharType="begin"/>
        </w:r>
        <w:r w:rsidR="008F3533" w:rsidRPr="00C3310F">
          <w:rPr>
            <w:webHidden/>
            <w:color w:val="auto"/>
          </w:rPr>
          <w:instrText xml:space="preserve"> PAGEREF _Toc172025205 \h </w:instrText>
        </w:r>
        <w:r w:rsidR="008F3533" w:rsidRPr="00C3310F">
          <w:rPr>
            <w:webHidden/>
            <w:color w:val="auto"/>
          </w:rPr>
        </w:r>
        <w:r w:rsidR="008F3533" w:rsidRPr="00C3310F">
          <w:rPr>
            <w:webHidden/>
            <w:color w:val="auto"/>
          </w:rPr>
          <w:fldChar w:fldCharType="separate"/>
        </w:r>
        <w:r w:rsidR="00595F3D">
          <w:rPr>
            <w:webHidden/>
            <w:color w:val="auto"/>
          </w:rPr>
          <w:t>33</w:t>
        </w:r>
        <w:r w:rsidR="008F3533" w:rsidRPr="00C3310F">
          <w:rPr>
            <w:webHidden/>
            <w:color w:val="auto"/>
          </w:rPr>
          <w:fldChar w:fldCharType="end"/>
        </w:r>
      </w:hyperlink>
    </w:p>
    <w:p w14:paraId="0298BFFC" w14:textId="69BC5BC1" w:rsidR="008F3533" w:rsidRPr="00C3310F" w:rsidRDefault="00595F3D" w:rsidP="00803F1D">
      <w:pPr>
        <w:pStyle w:val="23"/>
        <w:ind w:leftChars="0" w:left="680" w:rightChars="0" w:right="0" w:hangingChars="200" w:hanging="680"/>
        <w:rPr>
          <w:rFonts w:asciiTheme="minorHAnsi" w:eastAsiaTheme="minorEastAsia" w:hAnsiTheme="minorHAnsi" w:cstheme="minorBidi"/>
          <w:color w:val="auto"/>
          <w:sz w:val="24"/>
          <w:szCs w:val="22"/>
        </w:rPr>
      </w:pPr>
      <w:hyperlink w:anchor="_Toc172025206" w:history="1">
        <w:r w:rsidR="008F3533" w:rsidRPr="00C3310F">
          <w:rPr>
            <w:rStyle w:val="ae"/>
            <w:rFonts w:hint="eastAsia"/>
            <w:color w:val="auto"/>
          </w:rPr>
          <w:t>表2</w:t>
        </w:r>
        <w:r w:rsidR="00803F1D" w:rsidRPr="00C3310F">
          <w:rPr>
            <w:rStyle w:val="ae"/>
            <w:rFonts w:hint="eastAsia"/>
            <w:color w:val="auto"/>
          </w:rPr>
          <w:t xml:space="preserve"> </w:t>
        </w:r>
        <w:r w:rsidR="008F3533" w:rsidRPr="00C3310F">
          <w:rPr>
            <w:rStyle w:val="ae"/>
            <w:color w:val="auto"/>
          </w:rPr>
          <w:t>100</w:t>
        </w:r>
        <w:r w:rsidR="008F3533" w:rsidRPr="00C3310F">
          <w:rPr>
            <w:rStyle w:val="ae"/>
            <w:rFonts w:hint="eastAsia"/>
            <w:color w:val="auto"/>
          </w:rPr>
          <w:t>年起各類型詐欺案件發生、破獲及財損統計表</w:t>
        </w:r>
        <w:r w:rsidR="008F3533" w:rsidRPr="00C3310F">
          <w:rPr>
            <w:webHidden/>
            <w:color w:val="auto"/>
          </w:rPr>
          <w:tab/>
        </w:r>
        <w:r w:rsidR="008F3533" w:rsidRPr="00C3310F">
          <w:rPr>
            <w:webHidden/>
            <w:color w:val="auto"/>
          </w:rPr>
          <w:fldChar w:fldCharType="begin"/>
        </w:r>
        <w:r w:rsidR="008F3533" w:rsidRPr="00C3310F">
          <w:rPr>
            <w:webHidden/>
            <w:color w:val="auto"/>
          </w:rPr>
          <w:instrText xml:space="preserve"> PAGEREF _Toc172025206 \h </w:instrText>
        </w:r>
        <w:r w:rsidR="008F3533" w:rsidRPr="00C3310F">
          <w:rPr>
            <w:webHidden/>
            <w:color w:val="auto"/>
          </w:rPr>
        </w:r>
        <w:r w:rsidR="008F3533" w:rsidRPr="00C3310F">
          <w:rPr>
            <w:webHidden/>
            <w:color w:val="auto"/>
          </w:rPr>
          <w:fldChar w:fldCharType="separate"/>
        </w:r>
        <w:r>
          <w:rPr>
            <w:webHidden/>
            <w:color w:val="auto"/>
          </w:rPr>
          <w:t>39</w:t>
        </w:r>
        <w:r w:rsidR="008F3533" w:rsidRPr="00C3310F">
          <w:rPr>
            <w:webHidden/>
            <w:color w:val="auto"/>
          </w:rPr>
          <w:fldChar w:fldCharType="end"/>
        </w:r>
      </w:hyperlink>
    </w:p>
    <w:p w14:paraId="3909D71A" w14:textId="2A5190E7" w:rsidR="008F3533" w:rsidRPr="00C3310F" w:rsidRDefault="00595F3D" w:rsidP="00803F1D">
      <w:pPr>
        <w:pStyle w:val="23"/>
        <w:ind w:leftChars="0" w:left="680" w:rightChars="0" w:right="0" w:hangingChars="200" w:hanging="680"/>
        <w:rPr>
          <w:rFonts w:asciiTheme="minorHAnsi" w:eastAsiaTheme="minorEastAsia" w:hAnsiTheme="minorHAnsi" w:cstheme="minorBidi"/>
          <w:color w:val="auto"/>
          <w:sz w:val="24"/>
          <w:szCs w:val="22"/>
        </w:rPr>
      </w:pPr>
      <w:hyperlink w:anchor="_Toc172025207" w:history="1">
        <w:r w:rsidR="008F3533" w:rsidRPr="00C3310F">
          <w:rPr>
            <w:rStyle w:val="ae"/>
            <w:rFonts w:hint="eastAsia"/>
            <w:color w:val="auto"/>
          </w:rPr>
          <w:t>表3</w:t>
        </w:r>
        <w:r w:rsidR="00803F1D" w:rsidRPr="00C3310F">
          <w:rPr>
            <w:rStyle w:val="ae"/>
            <w:rFonts w:hint="eastAsia"/>
            <w:color w:val="auto"/>
          </w:rPr>
          <w:t xml:space="preserve"> </w:t>
        </w:r>
        <w:r w:rsidR="008F3533" w:rsidRPr="00C3310F">
          <w:rPr>
            <w:rStyle w:val="ae"/>
            <w:rFonts w:hint="eastAsia"/>
            <w:color w:val="auto"/>
          </w:rPr>
          <w:t>各地方檢察署電信網路詐欺案件偵查新收件數</w:t>
        </w:r>
        <w:r w:rsidR="008F3533" w:rsidRPr="00C3310F">
          <w:rPr>
            <w:webHidden/>
            <w:color w:val="auto"/>
          </w:rPr>
          <w:tab/>
        </w:r>
        <w:r w:rsidR="008F3533" w:rsidRPr="00C3310F">
          <w:rPr>
            <w:webHidden/>
            <w:color w:val="auto"/>
          </w:rPr>
          <w:fldChar w:fldCharType="begin"/>
        </w:r>
        <w:r w:rsidR="008F3533" w:rsidRPr="00C3310F">
          <w:rPr>
            <w:webHidden/>
            <w:color w:val="auto"/>
          </w:rPr>
          <w:instrText xml:space="preserve"> PAGEREF _Toc172025207 \h </w:instrText>
        </w:r>
        <w:r w:rsidR="008F3533" w:rsidRPr="00C3310F">
          <w:rPr>
            <w:webHidden/>
            <w:color w:val="auto"/>
          </w:rPr>
        </w:r>
        <w:r w:rsidR="008F3533" w:rsidRPr="00C3310F">
          <w:rPr>
            <w:webHidden/>
            <w:color w:val="auto"/>
          </w:rPr>
          <w:fldChar w:fldCharType="separate"/>
        </w:r>
        <w:r>
          <w:rPr>
            <w:webHidden/>
            <w:color w:val="auto"/>
          </w:rPr>
          <w:t>40</w:t>
        </w:r>
        <w:r w:rsidR="008F3533" w:rsidRPr="00C3310F">
          <w:rPr>
            <w:webHidden/>
            <w:color w:val="auto"/>
          </w:rPr>
          <w:fldChar w:fldCharType="end"/>
        </w:r>
      </w:hyperlink>
    </w:p>
    <w:p w14:paraId="498DCEE6" w14:textId="664447FA" w:rsidR="008F3533" w:rsidRPr="00C3310F" w:rsidRDefault="00595F3D" w:rsidP="00803F1D">
      <w:pPr>
        <w:pStyle w:val="23"/>
        <w:ind w:leftChars="0" w:left="680" w:rightChars="0" w:right="0" w:hangingChars="200" w:hanging="680"/>
        <w:rPr>
          <w:rFonts w:asciiTheme="minorHAnsi" w:eastAsiaTheme="minorEastAsia" w:hAnsiTheme="minorHAnsi" w:cstheme="minorBidi"/>
          <w:color w:val="auto"/>
          <w:sz w:val="24"/>
          <w:szCs w:val="22"/>
        </w:rPr>
      </w:pPr>
      <w:hyperlink w:anchor="_Toc172025208" w:history="1">
        <w:r w:rsidR="008F3533" w:rsidRPr="00C3310F">
          <w:rPr>
            <w:rStyle w:val="ae"/>
            <w:rFonts w:hint="eastAsia"/>
            <w:color w:val="auto"/>
          </w:rPr>
          <w:t>表4</w:t>
        </w:r>
        <w:r w:rsidR="00803F1D" w:rsidRPr="00C3310F">
          <w:rPr>
            <w:rStyle w:val="ae"/>
            <w:rFonts w:hint="eastAsia"/>
            <w:color w:val="auto"/>
          </w:rPr>
          <w:t xml:space="preserve"> </w:t>
        </w:r>
        <w:r w:rsidR="008F3533" w:rsidRPr="00C3310F">
          <w:rPr>
            <w:rStyle w:val="ae"/>
            <w:rFonts w:hint="eastAsia"/>
            <w:color w:val="auto"/>
          </w:rPr>
          <w:t>地方檢察署電信網路詐欺案件偵查終結人數</w:t>
        </w:r>
        <w:r w:rsidR="008F3533" w:rsidRPr="00C3310F">
          <w:rPr>
            <w:webHidden/>
            <w:color w:val="auto"/>
          </w:rPr>
          <w:tab/>
        </w:r>
        <w:r w:rsidR="008F3533" w:rsidRPr="00C3310F">
          <w:rPr>
            <w:webHidden/>
            <w:color w:val="auto"/>
          </w:rPr>
          <w:fldChar w:fldCharType="begin"/>
        </w:r>
        <w:r w:rsidR="008F3533" w:rsidRPr="00C3310F">
          <w:rPr>
            <w:webHidden/>
            <w:color w:val="auto"/>
          </w:rPr>
          <w:instrText xml:space="preserve"> PAGEREF _Toc172025208 \h </w:instrText>
        </w:r>
        <w:r w:rsidR="008F3533" w:rsidRPr="00C3310F">
          <w:rPr>
            <w:webHidden/>
            <w:color w:val="auto"/>
          </w:rPr>
        </w:r>
        <w:r w:rsidR="008F3533" w:rsidRPr="00C3310F">
          <w:rPr>
            <w:webHidden/>
            <w:color w:val="auto"/>
          </w:rPr>
          <w:fldChar w:fldCharType="separate"/>
        </w:r>
        <w:r>
          <w:rPr>
            <w:webHidden/>
            <w:color w:val="auto"/>
          </w:rPr>
          <w:t>42</w:t>
        </w:r>
        <w:r w:rsidR="008F3533" w:rsidRPr="00C3310F">
          <w:rPr>
            <w:webHidden/>
            <w:color w:val="auto"/>
          </w:rPr>
          <w:fldChar w:fldCharType="end"/>
        </w:r>
      </w:hyperlink>
    </w:p>
    <w:p w14:paraId="60471EDA" w14:textId="24DA8B76" w:rsidR="008F3533" w:rsidRPr="00C3310F" w:rsidRDefault="00595F3D" w:rsidP="00803F1D">
      <w:pPr>
        <w:pStyle w:val="23"/>
        <w:ind w:leftChars="0" w:left="680" w:rightChars="0" w:right="0" w:hangingChars="200" w:hanging="680"/>
        <w:rPr>
          <w:rFonts w:asciiTheme="minorHAnsi" w:eastAsiaTheme="minorEastAsia" w:hAnsiTheme="minorHAnsi" w:cstheme="minorBidi"/>
          <w:color w:val="auto"/>
          <w:sz w:val="24"/>
          <w:szCs w:val="22"/>
        </w:rPr>
      </w:pPr>
      <w:hyperlink w:anchor="_Toc172025209" w:history="1">
        <w:r w:rsidR="008F3533" w:rsidRPr="00C3310F">
          <w:rPr>
            <w:rStyle w:val="ae"/>
            <w:rFonts w:hint="eastAsia"/>
            <w:color w:val="auto"/>
          </w:rPr>
          <w:t>表5</w:t>
        </w:r>
        <w:r w:rsidR="00803F1D" w:rsidRPr="00C3310F">
          <w:rPr>
            <w:rStyle w:val="ae"/>
            <w:rFonts w:hint="eastAsia"/>
            <w:color w:val="auto"/>
          </w:rPr>
          <w:t xml:space="preserve"> </w:t>
        </w:r>
        <w:r w:rsidR="008F3533" w:rsidRPr="00C3310F">
          <w:rPr>
            <w:rStyle w:val="ae"/>
            <w:rFonts w:hint="eastAsia"/>
            <w:color w:val="auto"/>
          </w:rPr>
          <w:t>地方檢察署電信網路詐欺案件偵查起訴人數</w:t>
        </w:r>
        <w:r w:rsidR="008F3533" w:rsidRPr="00C3310F">
          <w:rPr>
            <w:rStyle w:val="ae"/>
            <w:color w:val="auto"/>
          </w:rPr>
          <w:t>-</w:t>
        </w:r>
        <w:r w:rsidR="008F3533" w:rsidRPr="00C3310F">
          <w:rPr>
            <w:rStyle w:val="ae"/>
            <w:rFonts w:hint="eastAsia"/>
            <w:color w:val="auto"/>
          </w:rPr>
          <w:t>按犯罪類型</w:t>
        </w:r>
        <w:r w:rsidR="00163D54" w:rsidRPr="00C3310F">
          <w:rPr>
            <w:rStyle w:val="ae"/>
            <w:rFonts w:hint="eastAsia"/>
            <w:color w:val="auto"/>
          </w:rPr>
          <w:t>區</w:t>
        </w:r>
        <w:r w:rsidR="008F3533" w:rsidRPr="00C3310F">
          <w:rPr>
            <w:rStyle w:val="ae"/>
            <w:rFonts w:hint="eastAsia"/>
            <w:color w:val="auto"/>
          </w:rPr>
          <w:t>分</w:t>
        </w:r>
        <w:r w:rsidR="008F3533" w:rsidRPr="00C3310F">
          <w:rPr>
            <w:webHidden/>
            <w:color w:val="auto"/>
          </w:rPr>
          <w:tab/>
        </w:r>
        <w:r w:rsidR="008F3533" w:rsidRPr="00C3310F">
          <w:rPr>
            <w:webHidden/>
            <w:color w:val="auto"/>
          </w:rPr>
          <w:fldChar w:fldCharType="begin"/>
        </w:r>
        <w:r w:rsidR="008F3533" w:rsidRPr="00C3310F">
          <w:rPr>
            <w:webHidden/>
            <w:color w:val="auto"/>
          </w:rPr>
          <w:instrText xml:space="preserve"> PAGEREF _Toc172025209 \h </w:instrText>
        </w:r>
        <w:r w:rsidR="008F3533" w:rsidRPr="00C3310F">
          <w:rPr>
            <w:webHidden/>
            <w:color w:val="auto"/>
          </w:rPr>
        </w:r>
        <w:r w:rsidR="008F3533" w:rsidRPr="00C3310F">
          <w:rPr>
            <w:webHidden/>
            <w:color w:val="auto"/>
          </w:rPr>
          <w:fldChar w:fldCharType="separate"/>
        </w:r>
        <w:r>
          <w:rPr>
            <w:webHidden/>
            <w:color w:val="auto"/>
          </w:rPr>
          <w:t>44</w:t>
        </w:r>
        <w:r w:rsidR="008F3533" w:rsidRPr="00C3310F">
          <w:rPr>
            <w:webHidden/>
            <w:color w:val="auto"/>
          </w:rPr>
          <w:fldChar w:fldCharType="end"/>
        </w:r>
      </w:hyperlink>
    </w:p>
    <w:p w14:paraId="23776E1C" w14:textId="76612D91" w:rsidR="008F3533" w:rsidRPr="00C3310F" w:rsidRDefault="00595F3D" w:rsidP="00803F1D">
      <w:pPr>
        <w:pStyle w:val="23"/>
        <w:ind w:leftChars="0" w:left="680" w:rightChars="0" w:right="0" w:hangingChars="200" w:hanging="680"/>
        <w:rPr>
          <w:rFonts w:asciiTheme="minorHAnsi" w:eastAsiaTheme="minorEastAsia" w:hAnsiTheme="minorHAnsi" w:cstheme="minorBidi"/>
          <w:color w:val="auto"/>
          <w:sz w:val="24"/>
          <w:szCs w:val="22"/>
        </w:rPr>
      </w:pPr>
      <w:hyperlink w:anchor="_Toc172025210" w:history="1">
        <w:r w:rsidR="008F3533" w:rsidRPr="00C3310F">
          <w:rPr>
            <w:rStyle w:val="ae"/>
            <w:rFonts w:hint="eastAsia"/>
            <w:color w:val="auto"/>
          </w:rPr>
          <w:t>表6</w:t>
        </w:r>
        <w:r w:rsidR="008F3533" w:rsidRPr="00C3310F">
          <w:rPr>
            <w:rFonts w:asciiTheme="minorHAnsi" w:eastAsiaTheme="minorEastAsia" w:hAnsiTheme="minorHAnsi" w:cstheme="minorBidi"/>
            <w:color w:val="auto"/>
            <w:sz w:val="24"/>
            <w:szCs w:val="22"/>
          </w:rPr>
          <w:tab/>
        </w:r>
        <w:r w:rsidR="008F3533" w:rsidRPr="00C3310F">
          <w:rPr>
            <w:rStyle w:val="ae"/>
            <w:rFonts w:hint="eastAsia"/>
            <w:color w:val="auto"/>
          </w:rPr>
          <w:t>電信網路詐欺案司法機關定罪情形表</w:t>
        </w:r>
        <w:r w:rsidR="008F3533" w:rsidRPr="00C3310F">
          <w:rPr>
            <w:webHidden/>
            <w:color w:val="auto"/>
          </w:rPr>
          <w:tab/>
        </w:r>
        <w:r w:rsidR="008F3533" w:rsidRPr="00C3310F">
          <w:rPr>
            <w:webHidden/>
            <w:color w:val="auto"/>
          </w:rPr>
          <w:fldChar w:fldCharType="begin"/>
        </w:r>
        <w:r w:rsidR="008F3533" w:rsidRPr="00C3310F">
          <w:rPr>
            <w:webHidden/>
            <w:color w:val="auto"/>
          </w:rPr>
          <w:instrText xml:space="preserve"> PAGEREF _Toc172025210 \h </w:instrText>
        </w:r>
        <w:r w:rsidR="008F3533" w:rsidRPr="00C3310F">
          <w:rPr>
            <w:webHidden/>
            <w:color w:val="auto"/>
          </w:rPr>
        </w:r>
        <w:r w:rsidR="008F3533" w:rsidRPr="00C3310F">
          <w:rPr>
            <w:webHidden/>
            <w:color w:val="auto"/>
          </w:rPr>
          <w:fldChar w:fldCharType="separate"/>
        </w:r>
        <w:r>
          <w:rPr>
            <w:webHidden/>
            <w:color w:val="auto"/>
          </w:rPr>
          <w:t>44</w:t>
        </w:r>
        <w:r w:rsidR="008F3533" w:rsidRPr="00C3310F">
          <w:rPr>
            <w:webHidden/>
            <w:color w:val="auto"/>
          </w:rPr>
          <w:fldChar w:fldCharType="end"/>
        </w:r>
      </w:hyperlink>
    </w:p>
    <w:p w14:paraId="37C7E4A4" w14:textId="60D97CE6" w:rsidR="008F3533" w:rsidRPr="00C3310F" w:rsidRDefault="00595F3D" w:rsidP="00803F1D">
      <w:pPr>
        <w:pStyle w:val="23"/>
        <w:ind w:leftChars="0" w:left="680" w:rightChars="0" w:right="0" w:hangingChars="200" w:hanging="680"/>
        <w:rPr>
          <w:rFonts w:asciiTheme="minorHAnsi" w:eastAsiaTheme="minorEastAsia" w:hAnsiTheme="minorHAnsi" w:cstheme="minorBidi"/>
          <w:color w:val="auto"/>
          <w:sz w:val="24"/>
          <w:szCs w:val="22"/>
        </w:rPr>
      </w:pPr>
      <w:hyperlink w:anchor="_Toc172025211" w:history="1">
        <w:r w:rsidR="008F3533" w:rsidRPr="00C3310F">
          <w:rPr>
            <w:rStyle w:val="ae"/>
            <w:rFonts w:hint="eastAsia"/>
            <w:color w:val="auto"/>
          </w:rPr>
          <w:t>表7</w:t>
        </w:r>
        <w:r w:rsidR="008F3533" w:rsidRPr="00C3310F">
          <w:rPr>
            <w:rFonts w:asciiTheme="minorHAnsi" w:eastAsiaTheme="minorEastAsia" w:hAnsiTheme="minorHAnsi" w:cstheme="minorBidi"/>
            <w:color w:val="auto"/>
            <w:sz w:val="24"/>
            <w:szCs w:val="22"/>
          </w:rPr>
          <w:tab/>
        </w:r>
        <w:r w:rsidR="008F3533" w:rsidRPr="00C3310F">
          <w:rPr>
            <w:rStyle w:val="ae"/>
            <w:rFonts w:hint="eastAsia"/>
            <w:color w:val="auto"/>
          </w:rPr>
          <w:t>地檢署電信網路詐欺案件</w:t>
        </w:r>
        <w:r w:rsidR="008F3533" w:rsidRPr="00C3310F">
          <w:rPr>
            <w:rStyle w:val="ae"/>
            <w:color w:val="auto"/>
          </w:rPr>
          <w:t>-</w:t>
        </w:r>
        <w:r w:rsidR="008F3533" w:rsidRPr="00C3310F">
          <w:rPr>
            <w:rStyle w:val="ae"/>
            <w:rFonts w:hint="eastAsia"/>
            <w:color w:val="auto"/>
          </w:rPr>
          <w:t>執行裁判確定人數</w:t>
        </w:r>
        <w:r w:rsidR="008F3533" w:rsidRPr="00C3310F">
          <w:rPr>
            <w:webHidden/>
            <w:color w:val="auto"/>
          </w:rPr>
          <w:tab/>
        </w:r>
        <w:r w:rsidR="008F3533" w:rsidRPr="00C3310F">
          <w:rPr>
            <w:webHidden/>
            <w:color w:val="auto"/>
          </w:rPr>
          <w:fldChar w:fldCharType="begin"/>
        </w:r>
        <w:r w:rsidR="008F3533" w:rsidRPr="00C3310F">
          <w:rPr>
            <w:webHidden/>
            <w:color w:val="auto"/>
          </w:rPr>
          <w:instrText xml:space="preserve"> PAGEREF _Toc172025211 \h </w:instrText>
        </w:r>
        <w:r w:rsidR="008F3533" w:rsidRPr="00C3310F">
          <w:rPr>
            <w:webHidden/>
            <w:color w:val="auto"/>
          </w:rPr>
        </w:r>
        <w:r w:rsidR="008F3533" w:rsidRPr="00C3310F">
          <w:rPr>
            <w:webHidden/>
            <w:color w:val="auto"/>
          </w:rPr>
          <w:fldChar w:fldCharType="separate"/>
        </w:r>
        <w:r>
          <w:rPr>
            <w:webHidden/>
            <w:color w:val="auto"/>
          </w:rPr>
          <w:t>45</w:t>
        </w:r>
        <w:r w:rsidR="008F3533" w:rsidRPr="00C3310F">
          <w:rPr>
            <w:webHidden/>
            <w:color w:val="auto"/>
          </w:rPr>
          <w:fldChar w:fldCharType="end"/>
        </w:r>
      </w:hyperlink>
    </w:p>
    <w:p w14:paraId="0A9B3176" w14:textId="2366BD6C" w:rsidR="008F3533" w:rsidRPr="00C3310F" w:rsidRDefault="00595F3D" w:rsidP="00803F1D">
      <w:pPr>
        <w:pStyle w:val="23"/>
        <w:ind w:leftChars="0" w:left="680" w:rightChars="0" w:right="0" w:hangingChars="200" w:hanging="680"/>
        <w:rPr>
          <w:rFonts w:asciiTheme="minorHAnsi" w:eastAsiaTheme="minorEastAsia" w:hAnsiTheme="minorHAnsi" w:cstheme="minorBidi"/>
          <w:color w:val="auto"/>
          <w:sz w:val="24"/>
          <w:szCs w:val="22"/>
        </w:rPr>
      </w:pPr>
      <w:hyperlink w:anchor="_Toc172025212" w:history="1">
        <w:r w:rsidR="008F3533" w:rsidRPr="00C3310F">
          <w:rPr>
            <w:rStyle w:val="ae"/>
            <w:rFonts w:hint="eastAsia"/>
            <w:color w:val="auto"/>
          </w:rPr>
          <w:t>表8</w:t>
        </w:r>
        <w:r w:rsidR="008F3533" w:rsidRPr="00C3310F">
          <w:rPr>
            <w:rFonts w:asciiTheme="minorHAnsi" w:eastAsiaTheme="minorEastAsia" w:hAnsiTheme="minorHAnsi" w:cstheme="minorBidi"/>
            <w:color w:val="auto"/>
            <w:sz w:val="24"/>
            <w:szCs w:val="22"/>
          </w:rPr>
          <w:tab/>
        </w:r>
        <w:r w:rsidR="008F3533" w:rsidRPr="00C3310F">
          <w:rPr>
            <w:rStyle w:val="ae"/>
            <w:rFonts w:hint="eastAsia"/>
            <w:color w:val="auto"/>
          </w:rPr>
          <w:t>主管機關調得社群公司情形表</w:t>
        </w:r>
        <w:r w:rsidR="008F3533" w:rsidRPr="00C3310F">
          <w:rPr>
            <w:webHidden/>
            <w:color w:val="auto"/>
          </w:rPr>
          <w:tab/>
        </w:r>
        <w:r w:rsidR="008F3533" w:rsidRPr="00C3310F">
          <w:rPr>
            <w:webHidden/>
            <w:color w:val="auto"/>
          </w:rPr>
          <w:fldChar w:fldCharType="begin"/>
        </w:r>
        <w:r w:rsidR="008F3533" w:rsidRPr="00C3310F">
          <w:rPr>
            <w:webHidden/>
            <w:color w:val="auto"/>
          </w:rPr>
          <w:instrText xml:space="preserve"> PAGEREF _Toc172025212 \h </w:instrText>
        </w:r>
        <w:r w:rsidR="008F3533" w:rsidRPr="00C3310F">
          <w:rPr>
            <w:webHidden/>
            <w:color w:val="auto"/>
          </w:rPr>
        </w:r>
        <w:r w:rsidR="008F3533" w:rsidRPr="00C3310F">
          <w:rPr>
            <w:webHidden/>
            <w:color w:val="auto"/>
          </w:rPr>
          <w:fldChar w:fldCharType="separate"/>
        </w:r>
        <w:r>
          <w:rPr>
            <w:webHidden/>
            <w:color w:val="auto"/>
          </w:rPr>
          <w:t>59</w:t>
        </w:r>
        <w:r w:rsidR="008F3533" w:rsidRPr="00C3310F">
          <w:rPr>
            <w:webHidden/>
            <w:color w:val="auto"/>
          </w:rPr>
          <w:fldChar w:fldCharType="end"/>
        </w:r>
      </w:hyperlink>
    </w:p>
    <w:p w14:paraId="7EC53316" w14:textId="690358A7" w:rsidR="008F3533" w:rsidRPr="00C3310F" w:rsidRDefault="00595F3D" w:rsidP="00803F1D">
      <w:pPr>
        <w:pStyle w:val="23"/>
        <w:ind w:leftChars="0" w:left="680" w:rightChars="0" w:right="0" w:hangingChars="200" w:hanging="680"/>
        <w:rPr>
          <w:rFonts w:asciiTheme="minorHAnsi" w:eastAsiaTheme="minorEastAsia" w:hAnsiTheme="minorHAnsi" w:cstheme="minorBidi"/>
          <w:color w:val="auto"/>
          <w:sz w:val="24"/>
          <w:szCs w:val="22"/>
        </w:rPr>
      </w:pPr>
      <w:hyperlink w:anchor="_Toc172025213" w:history="1">
        <w:r w:rsidR="008F3533" w:rsidRPr="00C3310F">
          <w:rPr>
            <w:rStyle w:val="ae"/>
            <w:rFonts w:hint="eastAsia"/>
            <w:color w:val="auto"/>
          </w:rPr>
          <w:t>表9</w:t>
        </w:r>
        <w:r w:rsidR="008F3533" w:rsidRPr="00C3310F">
          <w:rPr>
            <w:rFonts w:asciiTheme="minorHAnsi" w:eastAsiaTheme="minorEastAsia" w:hAnsiTheme="minorHAnsi" w:cstheme="minorBidi"/>
            <w:color w:val="auto"/>
            <w:sz w:val="24"/>
            <w:szCs w:val="22"/>
          </w:rPr>
          <w:tab/>
        </w:r>
        <w:r w:rsidR="008F3533" w:rsidRPr="00C3310F">
          <w:rPr>
            <w:rStyle w:val="ae"/>
            <w:rFonts w:hint="eastAsia"/>
            <w:color w:val="auto"/>
          </w:rPr>
          <w:t>金融機構違反洗錢防制情形表</w:t>
        </w:r>
        <w:r w:rsidR="008F3533" w:rsidRPr="00C3310F">
          <w:rPr>
            <w:webHidden/>
            <w:color w:val="auto"/>
          </w:rPr>
          <w:tab/>
        </w:r>
        <w:r w:rsidR="008F3533" w:rsidRPr="00C3310F">
          <w:rPr>
            <w:webHidden/>
            <w:color w:val="auto"/>
          </w:rPr>
          <w:fldChar w:fldCharType="begin"/>
        </w:r>
        <w:r w:rsidR="008F3533" w:rsidRPr="00C3310F">
          <w:rPr>
            <w:webHidden/>
            <w:color w:val="auto"/>
          </w:rPr>
          <w:instrText xml:space="preserve"> PAGEREF _Toc172025213 \h </w:instrText>
        </w:r>
        <w:r w:rsidR="008F3533" w:rsidRPr="00C3310F">
          <w:rPr>
            <w:webHidden/>
            <w:color w:val="auto"/>
          </w:rPr>
        </w:r>
        <w:r w:rsidR="008F3533" w:rsidRPr="00C3310F">
          <w:rPr>
            <w:webHidden/>
            <w:color w:val="auto"/>
          </w:rPr>
          <w:fldChar w:fldCharType="separate"/>
        </w:r>
        <w:r>
          <w:rPr>
            <w:webHidden/>
            <w:color w:val="auto"/>
          </w:rPr>
          <w:t>72</w:t>
        </w:r>
        <w:r w:rsidR="008F3533" w:rsidRPr="00C3310F">
          <w:rPr>
            <w:webHidden/>
            <w:color w:val="auto"/>
          </w:rPr>
          <w:fldChar w:fldCharType="end"/>
        </w:r>
      </w:hyperlink>
    </w:p>
    <w:p w14:paraId="6E45CE2C" w14:textId="303E2567" w:rsidR="008F3533" w:rsidRPr="00C3310F" w:rsidRDefault="00595F3D" w:rsidP="00803F1D">
      <w:pPr>
        <w:pStyle w:val="23"/>
        <w:ind w:leftChars="0" w:left="680" w:rightChars="0" w:right="0" w:hangingChars="200" w:hanging="680"/>
        <w:rPr>
          <w:rFonts w:asciiTheme="minorHAnsi" w:eastAsiaTheme="minorEastAsia" w:hAnsiTheme="minorHAnsi" w:cstheme="minorBidi"/>
          <w:color w:val="auto"/>
          <w:sz w:val="24"/>
          <w:szCs w:val="22"/>
        </w:rPr>
      </w:pPr>
      <w:hyperlink w:anchor="_Toc172025214" w:history="1">
        <w:r w:rsidR="008F3533" w:rsidRPr="00C3310F">
          <w:rPr>
            <w:rStyle w:val="ae"/>
            <w:rFonts w:hint="eastAsia"/>
            <w:color w:val="auto"/>
          </w:rPr>
          <w:t>表10</w:t>
        </w:r>
        <w:r w:rsidR="00A1409C" w:rsidRPr="00C3310F">
          <w:rPr>
            <w:rStyle w:val="ae"/>
            <w:rFonts w:hint="eastAsia"/>
            <w:color w:val="auto"/>
          </w:rPr>
          <w:t xml:space="preserve"> </w:t>
        </w:r>
        <w:r w:rsidR="008F3533" w:rsidRPr="00C3310F">
          <w:rPr>
            <w:rStyle w:val="ae"/>
            <w:rFonts w:hint="eastAsia"/>
            <w:color w:val="auto"/>
          </w:rPr>
          <w:t>金融機構警示帳戶變動情形</w:t>
        </w:r>
        <w:r w:rsidR="008F3533" w:rsidRPr="00C3310F">
          <w:rPr>
            <w:webHidden/>
            <w:color w:val="auto"/>
          </w:rPr>
          <w:tab/>
        </w:r>
        <w:r w:rsidR="008F3533" w:rsidRPr="00C3310F">
          <w:rPr>
            <w:webHidden/>
            <w:color w:val="auto"/>
          </w:rPr>
          <w:fldChar w:fldCharType="begin"/>
        </w:r>
        <w:r w:rsidR="008F3533" w:rsidRPr="00C3310F">
          <w:rPr>
            <w:webHidden/>
            <w:color w:val="auto"/>
          </w:rPr>
          <w:instrText xml:space="preserve"> PAGEREF _Toc172025214 \h </w:instrText>
        </w:r>
        <w:r w:rsidR="008F3533" w:rsidRPr="00C3310F">
          <w:rPr>
            <w:webHidden/>
            <w:color w:val="auto"/>
          </w:rPr>
        </w:r>
        <w:r w:rsidR="008F3533" w:rsidRPr="00C3310F">
          <w:rPr>
            <w:webHidden/>
            <w:color w:val="auto"/>
          </w:rPr>
          <w:fldChar w:fldCharType="separate"/>
        </w:r>
        <w:r>
          <w:rPr>
            <w:webHidden/>
            <w:color w:val="auto"/>
          </w:rPr>
          <w:t>79</w:t>
        </w:r>
        <w:r w:rsidR="008F3533" w:rsidRPr="00C3310F">
          <w:rPr>
            <w:webHidden/>
            <w:color w:val="auto"/>
          </w:rPr>
          <w:fldChar w:fldCharType="end"/>
        </w:r>
      </w:hyperlink>
    </w:p>
    <w:p w14:paraId="07035F81" w14:textId="7FF6D9B2" w:rsidR="008F3533" w:rsidRPr="00C3310F" w:rsidRDefault="00595F3D" w:rsidP="00803F1D">
      <w:pPr>
        <w:pStyle w:val="23"/>
        <w:ind w:leftChars="0" w:left="680" w:rightChars="0" w:right="0" w:hangingChars="200" w:hanging="680"/>
        <w:rPr>
          <w:rFonts w:asciiTheme="minorHAnsi" w:eastAsiaTheme="minorEastAsia" w:hAnsiTheme="minorHAnsi" w:cstheme="minorBidi"/>
          <w:color w:val="auto"/>
          <w:sz w:val="24"/>
          <w:szCs w:val="22"/>
        </w:rPr>
      </w:pPr>
      <w:hyperlink w:anchor="_Toc172025215" w:history="1">
        <w:r w:rsidR="008F3533" w:rsidRPr="00C3310F">
          <w:rPr>
            <w:rStyle w:val="ae"/>
            <w:rFonts w:hint="eastAsia"/>
            <w:color w:val="auto"/>
          </w:rPr>
          <w:t>表11</w:t>
        </w:r>
        <w:r w:rsidR="00A1409C" w:rsidRPr="00C3310F">
          <w:rPr>
            <w:rStyle w:val="ae"/>
            <w:rFonts w:hint="eastAsia"/>
            <w:color w:val="auto"/>
          </w:rPr>
          <w:t xml:space="preserve"> </w:t>
        </w:r>
        <w:r w:rsidR="008F3533" w:rsidRPr="00C3310F">
          <w:rPr>
            <w:rStyle w:val="ae"/>
            <w:rFonts w:hint="eastAsia"/>
            <w:color w:val="auto"/>
          </w:rPr>
          <w:t>各金融機構</w:t>
        </w:r>
        <w:r w:rsidR="008F3533" w:rsidRPr="00C3310F">
          <w:rPr>
            <w:rStyle w:val="ae"/>
            <w:color w:val="auto"/>
          </w:rPr>
          <w:t>111</w:t>
        </w:r>
        <w:r w:rsidR="008F3533" w:rsidRPr="00C3310F">
          <w:rPr>
            <w:rStyle w:val="ae"/>
            <w:rFonts w:hint="eastAsia"/>
            <w:color w:val="auto"/>
          </w:rPr>
          <w:t>年迄今警示帳戶數量</w:t>
        </w:r>
        <w:r w:rsidR="008F3533" w:rsidRPr="00C3310F">
          <w:rPr>
            <w:webHidden/>
            <w:color w:val="auto"/>
          </w:rPr>
          <w:tab/>
        </w:r>
        <w:r w:rsidR="008F3533" w:rsidRPr="00C3310F">
          <w:rPr>
            <w:webHidden/>
            <w:color w:val="auto"/>
          </w:rPr>
          <w:fldChar w:fldCharType="begin"/>
        </w:r>
        <w:r w:rsidR="008F3533" w:rsidRPr="00C3310F">
          <w:rPr>
            <w:webHidden/>
            <w:color w:val="auto"/>
          </w:rPr>
          <w:instrText xml:space="preserve"> PAGEREF _Toc172025215 \h </w:instrText>
        </w:r>
        <w:r w:rsidR="008F3533" w:rsidRPr="00C3310F">
          <w:rPr>
            <w:webHidden/>
            <w:color w:val="auto"/>
          </w:rPr>
        </w:r>
        <w:r w:rsidR="008F3533" w:rsidRPr="00C3310F">
          <w:rPr>
            <w:webHidden/>
            <w:color w:val="auto"/>
          </w:rPr>
          <w:fldChar w:fldCharType="separate"/>
        </w:r>
        <w:r>
          <w:rPr>
            <w:webHidden/>
            <w:color w:val="auto"/>
          </w:rPr>
          <w:t>80</w:t>
        </w:r>
        <w:r w:rsidR="008F3533" w:rsidRPr="00C3310F">
          <w:rPr>
            <w:webHidden/>
            <w:color w:val="auto"/>
          </w:rPr>
          <w:fldChar w:fldCharType="end"/>
        </w:r>
      </w:hyperlink>
    </w:p>
    <w:p w14:paraId="27739289" w14:textId="779E3091" w:rsidR="008F3533" w:rsidRPr="00C3310F" w:rsidRDefault="00595F3D" w:rsidP="00803F1D">
      <w:pPr>
        <w:pStyle w:val="23"/>
        <w:ind w:leftChars="0" w:left="680" w:rightChars="0" w:right="0" w:hangingChars="200" w:hanging="680"/>
        <w:rPr>
          <w:rFonts w:asciiTheme="minorHAnsi" w:eastAsiaTheme="minorEastAsia" w:hAnsiTheme="minorHAnsi" w:cstheme="minorBidi"/>
          <w:color w:val="auto"/>
          <w:sz w:val="24"/>
          <w:szCs w:val="22"/>
        </w:rPr>
      </w:pPr>
      <w:hyperlink w:anchor="_Toc172025216" w:history="1">
        <w:r w:rsidR="008F3533" w:rsidRPr="00C3310F">
          <w:rPr>
            <w:rStyle w:val="ae"/>
            <w:rFonts w:hint="eastAsia"/>
            <w:color w:val="auto"/>
          </w:rPr>
          <w:t>表12</w:t>
        </w:r>
        <w:r w:rsidR="00A1409C" w:rsidRPr="00C3310F">
          <w:rPr>
            <w:rStyle w:val="ae"/>
            <w:rFonts w:hint="eastAsia"/>
            <w:color w:val="auto"/>
          </w:rPr>
          <w:t xml:space="preserve"> </w:t>
        </w:r>
        <w:r w:rsidR="008F3533" w:rsidRPr="00C3310F">
          <w:rPr>
            <w:rStyle w:val="ae"/>
            <w:rFonts w:hint="eastAsia"/>
            <w:color w:val="auto"/>
          </w:rPr>
          <w:t>前</w:t>
        </w:r>
        <w:r w:rsidR="008F3533" w:rsidRPr="00C3310F">
          <w:rPr>
            <w:rStyle w:val="ae"/>
            <w:color w:val="auto"/>
          </w:rPr>
          <w:t>5</w:t>
        </w:r>
        <w:r w:rsidR="008F3533" w:rsidRPr="00C3310F">
          <w:rPr>
            <w:rStyle w:val="ae"/>
            <w:rFonts w:hint="eastAsia"/>
            <w:color w:val="auto"/>
          </w:rPr>
          <w:t>大金融機構警示帳戶情形表</w:t>
        </w:r>
        <w:r w:rsidR="008F3533" w:rsidRPr="00C3310F">
          <w:rPr>
            <w:webHidden/>
            <w:color w:val="auto"/>
          </w:rPr>
          <w:tab/>
        </w:r>
        <w:r w:rsidR="008F3533" w:rsidRPr="00C3310F">
          <w:rPr>
            <w:webHidden/>
            <w:color w:val="auto"/>
          </w:rPr>
          <w:fldChar w:fldCharType="begin"/>
        </w:r>
        <w:r w:rsidR="008F3533" w:rsidRPr="00C3310F">
          <w:rPr>
            <w:webHidden/>
            <w:color w:val="auto"/>
          </w:rPr>
          <w:instrText xml:space="preserve"> PAGEREF _Toc172025216 \h </w:instrText>
        </w:r>
        <w:r w:rsidR="008F3533" w:rsidRPr="00C3310F">
          <w:rPr>
            <w:webHidden/>
            <w:color w:val="auto"/>
          </w:rPr>
        </w:r>
        <w:r w:rsidR="008F3533" w:rsidRPr="00C3310F">
          <w:rPr>
            <w:webHidden/>
            <w:color w:val="auto"/>
          </w:rPr>
          <w:fldChar w:fldCharType="separate"/>
        </w:r>
        <w:r>
          <w:rPr>
            <w:webHidden/>
            <w:color w:val="auto"/>
          </w:rPr>
          <w:t>82</w:t>
        </w:r>
        <w:r w:rsidR="008F3533" w:rsidRPr="00C3310F">
          <w:rPr>
            <w:webHidden/>
            <w:color w:val="auto"/>
          </w:rPr>
          <w:fldChar w:fldCharType="end"/>
        </w:r>
      </w:hyperlink>
    </w:p>
    <w:p w14:paraId="17C94DDD" w14:textId="204B8B3F" w:rsidR="008F3533" w:rsidRPr="00C3310F" w:rsidRDefault="00595F3D" w:rsidP="00803F1D">
      <w:pPr>
        <w:pStyle w:val="23"/>
        <w:ind w:leftChars="0" w:left="680" w:rightChars="0" w:right="0" w:hangingChars="200" w:hanging="680"/>
        <w:rPr>
          <w:rFonts w:asciiTheme="minorHAnsi" w:eastAsiaTheme="minorEastAsia" w:hAnsiTheme="minorHAnsi" w:cstheme="minorBidi"/>
          <w:color w:val="auto"/>
          <w:sz w:val="24"/>
          <w:szCs w:val="22"/>
        </w:rPr>
      </w:pPr>
      <w:hyperlink w:anchor="_Toc172025217" w:history="1">
        <w:r w:rsidR="008F3533" w:rsidRPr="00C3310F">
          <w:rPr>
            <w:rStyle w:val="ae"/>
            <w:rFonts w:hint="eastAsia"/>
            <w:color w:val="auto"/>
          </w:rPr>
          <w:t>表13</w:t>
        </w:r>
        <w:r w:rsidR="00A1409C" w:rsidRPr="00C3310F">
          <w:rPr>
            <w:rStyle w:val="ae"/>
            <w:rFonts w:hint="eastAsia"/>
            <w:color w:val="auto"/>
          </w:rPr>
          <w:t xml:space="preserve"> </w:t>
        </w:r>
        <w:r w:rsidR="008F3533" w:rsidRPr="00C3310F">
          <w:rPr>
            <w:rStyle w:val="ae"/>
            <w:rFonts w:hint="eastAsia"/>
            <w:color w:val="auto"/>
          </w:rPr>
          <w:t>歐盟</w:t>
        </w:r>
        <w:r w:rsidR="008F3533" w:rsidRPr="00C3310F">
          <w:rPr>
            <w:rStyle w:val="ae"/>
            <w:color w:val="auto"/>
          </w:rPr>
          <w:t>DSA</w:t>
        </w:r>
        <w:r w:rsidR="008F3533" w:rsidRPr="00C3310F">
          <w:rPr>
            <w:rStyle w:val="ae"/>
            <w:rFonts w:hint="eastAsia"/>
            <w:color w:val="auto"/>
          </w:rPr>
          <w:t>及英國</w:t>
        </w:r>
        <w:r w:rsidR="008F3533" w:rsidRPr="00C3310F">
          <w:rPr>
            <w:rStyle w:val="ae"/>
            <w:color w:val="auto"/>
          </w:rPr>
          <w:t>On</w:t>
        </w:r>
        <w:r w:rsidR="00107273" w:rsidRPr="00C3310F">
          <w:rPr>
            <w:rStyle w:val="ae"/>
            <w:rFonts w:hint="eastAsia"/>
            <w:color w:val="auto"/>
          </w:rPr>
          <w:t>line</w:t>
        </w:r>
        <w:r w:rsidR="008F3533" w:rsidRPr="00C3310F">
          <w:rPr>
            <w:rStyle w:val="ae"/>
            <w:color w:val="auto"/>
          </w:rPr>
          <w:t xml:space="preserve"> Safety Act</w:t>
        </w:r>
        <w:r w:rsidR="008F3533" w:rsidRPr="00C3310F">
          <w:rPr>
            <w:rStyle w:val="ae"/>
            <w:rFonts w:hint="eastAsia"/>
            <w:color w:val="auto"/>
          </w:rPr>
          <w:t>初步比較分析</w:t>
        </w:r>
        <w:r w:rsidR="008F3533" w:rsidRPr="00C3310F">
          <w:rPr>
            <w:webHidden/>
            <w:color w:val="auto"/>
          </w:rPr>
          <w:tab/>
        </w:r>
        <w:r w:rsidR="008F3533" w:rsidRPr="00C3310F">
          <w:rPr>
            <w:webHidden/>
            <w:color w:val="auto"/>
          </w:rPr>
          <w:fldChar w:fldCharType="begin"/>
        </w:r>
        <w:r w:rsidR="008F3533" w:rsidRPr="00C3310F">
          <w:rPr>
            <w:webHidden/>
            <w:color w:val="auto"/>
          </w:rPr>
          <w:instrText xml:space="preserve"> PAGEREF _Toc172025217 \h </w:instrText>
        </w:r>
        <w:r w:rsidR="008F3533" w:rsidRPr="00C3310F">
          <w:rPr>
            <w:webHidden/>
            <w:color w:val="auto"/>
          </w:rPr>
        </w:r>
        <w:r w:rsidR="008F3533" w:rsidRPr="00C3310F">
          <w:rPr>
            <w:webHidden/>
            <w:color w:val="auto"/>
          </w:rPr>
          <w:fldChar w:fldCharType="separate"/>
        </w:r>
        <w:r>
          <w:rPr>
            <w:webHidden/>
            <w:color w:val="auto"/>
          </w:rPr>
          <w:t>86</w:t>
        </w:r>
        <w:r w:rsidR="008F3533" w:rsidRPr="00C3310F">
          <w:rPr>
            <w:webHidden/>
            <w:color w:val="auto"/>
          </w:rPr>
          <w:fldChar w:fldCharType="end"/>
        </w:r>
      </w:hyperlink>
    </w:p>
    <w:p w14:paraId="20BCE4B0" w14:textId="1546EC1A" w:rsidR="008F3533" w:rsidRPr="00C3310F" w:rsidRDefault="00595F3D" w:rsidP="00803F1D">
      <w:pPr>
        <w:pStyle w:val="23"/>
        <w:ind w:leftChars="0" w:left="680" w:rightChars="0" w:right="0" w:hangingChars="200" w:hanging="680"/>
        <w:rPr>
          <w:rFonts w:asciiTheme="minorHAnsi" w:eastAsiaTheme="minorEastAsia" w:hAnsiTheme="minorHAnsi" w:cstheme="minorBidi"/>
          <w:color w:val="auto"/>
          <w:sz w:val="24"/>
          <w:szCs w:val="22"/>
        </w:rPr>
      </w:pPr>
      <w:hyperlink w:anchor="_Toc172025218" w:history="1">
        <w:r w:rsidR="008F3533" w:rsidRPr="00C3310F">
          <w:rPr>
            <w:rStyle w:val="ae"/>
            <w:rFonts w:hint="eastAsia"/>
            <w:color w:val="auto"/>
          </w:rPr>
          <w:t>表14</w:t>
        </w:r>
        <w:r w:rsidR="00A1409C" w:rsidRPr="00C3310F">
          <w:rPr>
            <w:rStyle w:val="ae"/>
            <w:rFonts w:hint="eastAsia"/>
            <w:color w:val="auto"/>
          </w:rPr>
          <w:t xml:space="preserve"> </w:t>
        </w:r>
        <w:r w:rsidR="008F3533" w:rsidRPr="00C3310F">
          <w:rPr>
            <w:rStyle w:val="ae"/>
            <w:color w:val="auto"/>
          </w:rPr>
          <w:t>111</w:t>
        </w:r>
        <w:r w:rsidR="008F3533" w:rsidRPr="00C3310F">
          <w:rPr>
            <w:rStyle w:val="ae"/>
            <w:rFonts w:hint="eastAsia"/>
            <w:color w:val="auto"/>
          </w:rPr>
          <w:t>及</w:t>
        </w:r>
        <w:r w:rsidR="008F3533" w:rsidRPr="00C3310F">
          <w:rPr>
            <w:rStyle w:val="ae"/>
            <w:color w:val="auto"/>
          </w:rPr>
          <w:t>112</w:t>
        </w:r>
        <w:r w:rsidR="008F3533" w:rsidRPr="00C3310F">
          <w:rPr>
            <w:rStyle w:val="ae"/>
            <w:rFonts w:hint="eastAsia"/>
            <w:color w:val="auto"/>
          </w:rPr>
          <w:t>年詐騙金額圈存、查扣、返還與財損金額間之</w:t>
        </w:r>
        <w:r w:rsidR="00803F1D" w:rsidRPr="00C3310F">
          <w:rPr>
            <w:rStyle w:val="ae"/>
            <w:rFonts w:hint="eastAsia"/>
            <w:color w:val="auto"/>
          </w:rPr>
          <w:t xml:space="preserve">   </w:t>
        </w:r>
        <w:r w:rsidR="008F3533" w:rsidRPr="00C3310F">
          <w:rPr>
            <w:rStyle w:val="ae"/>
            <w:rFonts w:hint="eastAsia"/>
            <w:color w:val="auto"/>
          </w:rPr>
          <w:t>關係</w:t>
        </w:r>
        <w:r w:rsidR="008F3533" w:rsidRPr="00C3310F">
          <w:rPr>
            <w:webHidden/>
            <w:color w:val="auto"/>
          </w:rPr>
          <w:tab/>
        </w:r>
        <w:r w:rsidR="008F3533" w:rsidRPr="00C3310F">
          <w:rPr>
            <w:webHidden/>
            <w:color w:val="auto"/>
          </w:rPr>
          <w:fldChar w:fldCharType="begin"/>
        </w:r>
        <w:r w:rsidR="008F3533" w:rsidRPr="00C3310F">
          <w:rPr>
            <w:webHidden/>
            <w:color w:val="auto"/>
          </w:rPr>
          <w:instrText xml:space="preserve"> PAGEREF _Toc172025218 \h </w:instrText>
        </w:r>
        <w:r w:rsidR="008F3533" w:rsidRPr="00C3310F">
          <w:rPr>
            <w:webHidden/>
            <w:color w:val="auto"/>
          </w:rPr>
        </w:r>
        <w:r w:rsidR="008F3533" w:rsidRPr="00C3310F">
          <w:rPr>
            <w:webHidden/>
            <w:color w:val="auto"/>
          </w:rPr>
          <w:fldChar w:fldCharType="separate"/>
        </w:r>
        <w:r>
          <w:rPr>
            <w:webHidden/>
            <w:color w:val="auto"/>
          </w:rPr>
          <w:t>126</w:t>
        </w:r>
        <w:r w:rsidR="008F3533" w:rsidRPr="00C3310F">
          <w:rPr>
            <w:webHidden/>
            <w:color w:val="auto"/>
          </w:rPr>
          <w:fldChar w:fldCharType="end"/>
        </w:r>
      </w:hyperlink>
    </w:p>
    <w:p w14:paraId="099DFFC5" w14:textId="0C8489F8" w:rsidR="008F3533" w:rsidRPr="00C3310F" w:rsidRDefault="00595F3D" w:rsidP="00803F1D">
      <w:pPr>
        <w:pStyle w:val="23"/>
        <w:ind w:leftChars="0" w:left="680" w:rightChars="0" w:right="0" w:hangingChars="200" w:hanging="680"/>
        <w:rPr>
          <w:rFonts w:asciiTheme="minorHAnsi" w:eastAsiaTheme="minorEastAsia" w:hAnsiTheme="minorHAnsi" w:cstheme="minorBidi"/>
          <w:color w:val="auto"/>
          <w:sz w:val="24"/>
          <w:szCs w:val="22"/>
        </w:rPr>
      </w:pPr>
      <w:hyperlink w:anchor="_Toc172025219" w:history="1">
        <w:r w:rsidR="008F3533" w:rsidRPr="00C3310F">
          <w:rPr>
            <w:rStyle w:val="ae"/>
            <w:rFonts w:hint="eastAsia"/>
            <w:color w:val="auto"/>
          </w:rPr>
          <w:t>表15</w:t>
        </w:r>
        <w:r w:rsidR="00A1409C" w:rsidRPr="00C3310F">
          <w:rPr>
            <w:rStyle w:val="ae"/>
            <w:rFonts w:hint="eastAsia"/>
            <w:color w:val="auto"/>
          </w:rPr>
          <w:t xml:space="preserve"> </w:t>
        </w:r>
        <w:r w:rsidR="008F3533" w:rsidRPr="00C3310F">
          <w:rPr>
            <w:rStyle w:val="ae"/>
            <w:rFonts w:hint="eastAsia"/>
            <w:color w:val="auto"/>
          </w:rPr>
          <w:t>監察院過去提出電信網路詐欺相關調查意見概要</w:t>
        </w:r>
        <w:r w:rsidR="008F3533" w:rsidRPr="00C3310F">
          <w:rPr>
            <w:webHidden/>
            <w:color w:val="auto"/>
          </w:rPr>
          <w:tab/>
        </w:r>
        <w:r w:rsidR="008F3533" w:rsidRPr="00C3310F">
          <w:rPr>
            <w:webHidden/>
            <w:color w:val="auto"/>
          </w:rPr>
          <w:fldChar w:fldCharType="begin"/>
        </w:r>
        <w:r w:rsidR="008F3533" w:rsidRPr="00C3310F">
          <w:rPr>
            <w:webHidden/>
            <w:color w:val="auto"/>
          </w:rPr>
          <w:instrText xml:space="preserve"> PAGEREF _Toc172025219 \h </w:instrText>
        </w:r>
        <w:r w:rsidR="008F3533" w:rsidRPr="00C3310F">
          <w:rPr>
            <w:webHidden/>
            <w:color w:val="auto"/>
          </w:rPr>
        </w:r>
        <w:r w:rsidR="008F3533" w:rsidRPr="00C3310F">
          <w:rPr>
            <w:webHidden/>
            <w:color w:val="auto"/>
          </w:rPr>
          <w:fldChar w:fldCharType="separate"/>
        </w:r>
        <w:r>
          <w:rPr>
            <w:webHidden/>
            <w:color w:val="auto"/>
          </w:rPr>
          <w:t>128</w:t>
        </w:r>
        <w:r w:rsidR="008F3533" w:rsidRPr="00C3310F">
          <w:rPr>
            <w:webHidden/>
            <w:color w:val="auto"/>
          </w:rPr>
          <w:fldChar w:fldCharType="end"/>
        </w:r>
      </w:hyperlink>
    </w:p>
    <w:p w14:paraId="0D69D527" w14:textId="481A2303" w:rsidR="008F3533" w:rsidRPr="00C3310F" w:rsidRDefault="00595F3D" w:rsidP="00803F1D">
      <w:pPr>
        <w:pStyle w:val="23"/>
        <w:ind w:leftChars="0" w:left="680" w:rightChars="0" w:right="0" w:hangingChars="200" w:hanging="680"/>
        <w:rPr>
          <w:rFonts w:asciiTheme="minorHAnsi" w:eastAsiaTheme="minorEastAsia" w:hAnsiTheme="minorHAnsi" w:cstheme="minorBidi"/>
          <w:color w:val="auto"/>
          <w:sz w:val="24"/>
          <w:szCs w:val="22"/>
        </w:rPr>
      </w:pPr>
      <w:hyperlink w:anchor="_Toc172025220" w:history="1">
        <w:r w:rsidR="008F3533" w:rsidRPr="00C3310F">
          <w:rPr>
            <w:rStyle w:val="ae"/>
            <w:rFonts w:hint="eastAsia"/>
            <w:color w:val="auto"/>
          </w:rPr>
          <w:t>表16</w:t>
        </w:r>
        <w:r w:rsidR="00A1409C" w:rsidRPr="00C3310F">
          <w:rPr>
            <w:rStyle w:val="ae"/>
            <w:rFonts w:hint="eastAsia"/>
            <w:color w:val="auto"/>
          </w:rPr>
          <w:t xml:space="preserve"> </w:t>
        </w:r>
        <w:r w:rsidR="008F3533" w:rsidRPr="00C3310F">
          <w:rPr>
            <w:rStyle w:val="ae"/>
            <w:rFonts w:hint="eastAsia"/>
            <w:color w:val="auto"/>
          </w:rPr>
          <w:t>地檢署電信網路詐欺案件</w:t>
        </w:r>
        <w:r w:rsidR="008F3533" w:rsidRPr="00C3310F">
          <w:rPr>
            <w:rStyle w:val="ae"/>
            <w:color w:val="auto"/>
          </w:rPr>
          <w:t>-</w:t>
        </w:r>
        <w:r w:rsidR="008F3533" w:rsidRPr="00C3310F">
          <w:rPr>
            <w:rStyle w:val="ae"/>
            <w:rFonts w:hint="eastAsia"/>
            <w:color w:val="auto"/>
          </w:rPr>
          <w:t>執行裁判確定人數</w:t>
        </w:r>
        <w:r w:rsidR="008F3533" w:rsidRPr="00C3310F">
          <w:rPr>
            <w:webHidden/>
            <w:color w:val="auto"/>
          </w:rPr>
          <w:tab/>
        </w:r>
        <w:r w:rsidR="008F3533" w:rsidRPr="00C3310F">
          <w:rPr>
            <w:webHidden/>
            <w:color w:val="auto"/>
          </w:rPr>
          <w:fldChar w:fldCharType="begin"/>
        </w:r>
        <w:r w:rsidR="008F3533" w:rsidRPr="00C3310F">
          <w:rPr>
            <w:webHidden/>
            <w:color w:val="auto"/>
          </w:rPr>
          <w:instrText xml:space="preserve"> PAGEREF _Toc172025220 \h </w:instrText>
        </w:r>
        <w:r w:rsidR="008F3533" w:rsidRPr="00C3310F">
          <w:rPr>
            <w:webHidden/>
            <w:color w:val="auto"/>
          </w:rPr>
        </w:r>
        <w:r w:rsidR="008F3533" w:rsidRPr="00C3310F">
          <w:rPr>
            <w:webHidden/>
            <w:color w:val="auto"/>
          </w:rPr>
          <w:fldChar w:fldCharType="separate"/>
        </w:r>
        <w:r>
          <w:rPr>
            <w:webHidden/>
            <w:color w:val="auto"/>
          </w:rPr>
          <w:t>130</w:t>
        </w:r>
        <w:r w:rsidR="008F3533" w:rsidRPr="00C3310F">
          <w:rPr>
            <w:webHidden/>
            <w:color w:val="auto"/>
          </w:rPr>
          <w:fldChar w:fldCharType="end"/>
        </w:r>
      </w:hyperlink>
    </w:p>
    <w:p w14:paraId="3022EF91" w14:textId="6D44F7A8" w:rsidR="008F3533" w:rsidRPr="00C3310F" w:rsidRDefault="00595F3D" w:rsidP="00803F1D">
      <w:pPr>
        <w:pStyle w:val="23"/>
        <w:ind w:leftChars="0" w:left="680" w:rightChars="0" w:right="0" w:hangingChars="200" w:hanging="680"/>
        <w:rPr>
          <w:rFonts w:asciiTheme="minorHAnsi" w:eastAsiaTheme="minorEastAsia" w:hAnsiTheme="minorHAnsi" w:cstheme="minorBidi"/>
          <w:color w:val="auto"/>
          <w:sz w:val="24"/>
          <w:szCs w:val="22"/>
        </w:rPr>
      </w:pPr>
      <w:hyperlink w:anchor="_Toc172025221" w:history="1">
        <w:r w:rsidR="008F3533" w:rsidRPr="00C3310F">
          <w:rPr>
            <w:rStyle w:val="ae"/>
            <w:rFonts w:hint="eastAsia"/>
            <w:color w:val="auto"/>
          </w:rPr>
          <w:t>表17</w:t>
        </w:r>
        <w:r w:rsidR="00A1409C" w:rsidRPr="00C3310F">
          <w:rPr>
            <w:rStyle w:val="ae"/>
            <w:rFonts w:hint="eastAsia"/>
            <w:color w:val="auto"/>
          </w:rPr>
          <w:t xml:space="preserve"> </w:t>
        </w:r>
        <w:r w:rsidR="008F3533" w:rsidRPr="00C3310F">
          <w:rPr>
            <w:rStyle w:val="ae"/>
            <w:rFonts w:hint="eastAsia"/>
            <w:color w:val="auto"/>
          </w:rPr>
          <w:t>打詐綱領</w:t>
        </w:r>
        <w:r w:rsidR="008F3533" w:rsidRPr="00C3310F">
          <w:rPr>
            <w:rStyle w:val="ae"/>
            <w:color w:val="auto"/>
          </w:rPr>
          <w:t>1.0</w:t>
        </w:r>
        <w:r w:rsidR="008F3533" w:rsidRPr="00C3310F">
          <w:rPr>
            <w:rStyle w:val="ae"/>
            <w:rFonts w:hint="eastAsia"/>
            <w:color w:val="auto"/>
          </w:rPr>
          <w:t>及</w:t>
        </w:r>
        <w:r w:rsidR="008F3533" w:rsidRPr="00C3310F">
          <w:rPr>
            <w:rStyle w:val="ae"/>
            <w:color w:val="auto"/>
          </w:rPr>
          <w:t>1.5</w:t>
        </w:r>
        <w:r w:rsidR="008F3533" w:rsidRPr="00C3310F">
          <w:rPr>
            <w:rStyle w:val="ae"/>
            <w:rFonts w:hint="eastAsia"/>
            <w:color w:val="auto"/>
          </w:rPr>
          <w:t>版所列詐騙案件樣態比較</w:t>
        </w:r>
        <w:r w:rsidR="008F3533" w:rsidRPr="00C3310F">
          <w:rPr>
            <w:webHidden/>
            <w:color w:val="auto"/>
          </w:rPr>
          <w:tab/>
        </w:r>
        <w:r w:rsidR="008F3533" w:rsidRPr="00C3310F">
          <w:rPr>
            <w:webHidden/>
            <w:color w:val="auto"/>
          </w:rPr>
          <w:fldChar w:fldCharType="begin"/>
        </w:r>
        <w:r w:rsidR="008F3533" w:rsidRPr="00C3310F">
          <w:rPr>
            <w:webHidden/>
            <w:color w:val="auto"/>
          </w:rPr>
          <w:instrText xml:space="preserve"> PAGEREF _Toc172025221 \h </w:instrText>
        </w:r>
        <w:r w:rsidR="008F3533" w:rsidRPr="00C3310F">
          <w:rPr>
            <w:webHidden/>
            <w:color w:val="auto"/>
          </w:rPr>
        </w:r>
        <w:r w:rsidR="008F3533" w:rsidRPr="00C3310F">
          <w:rPr>
            <w:webHidden/>
            <w:color w:val="auto"/>
          </w:rPr>
          <w:fldChar w:fldCharType="separate"/>
        </w:r>
        <w:r>
          <w:rPr>
            <w:webHidden/>
            <w:color w:val="auto"/>
          </w:rPr>
          <w:t>136</w:t>
        </w:r>
        <w:r w:rsidR="008F3533" w:rsidRPr="00C3310F">
          <w:rPr>
            <w:webHidden/>
            <w:color w:val="auto"/>
          </w:rPr>
          <w:fldChar w:fldCharType="end"/>
        </w:r>
      </w:hyperlink>
    </w:p>
    <w:p w14:paraId="474D6292" w14:textId="1FB0484E" w:rsidR="008F3533" w:rsidRPr="00C3310F" w:rsidRDefault="00595F3D" w:rsidP="00803F1D">
      <w:pPr>
        <w:pStyle w:val="23"/>
        <w:ind w:leftChars="0" w:left="680" w:rightChars="0" w:right="0" w:hangingChars="200" w:hanging="680"/>
        <w:rPr>
          <w:rFonts w:asciiTheme="minorHAnsi" w:eastAsiaTheme="minorEastAsia" w:hAnsiTheme="minorHAnsi" w:cstheme="minorBidi"/>
          <w:color w:val="auto"/>
          <w:sz w:val="24"/>
          <w:szCs w:val="22"/>
        </w:rPr>
      </w:pPr>
      <w:hyperlink w:anchor="_Toc172025222" w:history="1">
        <w:r w:rsidR="008F3533" w:rsidRPr="00C3310F">
          <w:rPr>
            <w:rStyle w:val="ae"/>
            <w:rFonts w:hint="eastAsia"/>
            <w:color w:val="auto"/>
          </w:rPr>
          <w:t>表18</w:t>
        </w:r>
        <w:r w:rsidR="00A1409C" w:rsidRPr="00C3310F">
          <w:rPr>
            <w:rStyle w:val="ae"/>
            <w:rFonts w:hint="eastAsia"/>
            <w:color w:val="auto"/>
          </w:rPr>
          <w:t xml:space="preserve"> </w:t>
        </w:r>
        <w:r w:rsidR="008F3533" w:rsidRPr="00C3310F">
          <w:rPr>
            <w:rStyle w:val="ae"/>
            <w:rFonts w:hint="eastAsia"/>
            <w:color w:val="auto"/>
          </w:rPr>
          <w:t>電信事業未落實查核案件裁罰情形</w:t>
        </w:r>
        <w:r w:rsidR="008F3533" w:rsidRPr="00C3310F">
          <w:rPr>
            <w:webHidden/>
            <w:color w:val="auto"/>
          </w:rPr>
          <w:tab/>
        </w:r>
        <w:r w:rsidR="008F3533" w:rsidRPr="00C3310F">
          <w:rPr>
            <w:webHidden/>
            <w:color w:val="auto"/>
          </w:rPr>
          <w:fldChar w:fldCharType="begin"/>
        </w:r>
        <w:r w:rsidR="008F3533" w:rsidRPr="00C3310F">
          <w:rPr>
            <w:webHidden/>
            <w:color w:val="auto"/>
          </w:rPr>
          <w:instrText xml:space="preserve"> PAGEREF _Toc172025222 \h </w:instrText>
        </w:r>
        <w:r w:rsidR="008F3533" w:rsidRPr="00C3310F">
          <w:rPr>
            <w:webHidden/>
            <w:color w:val="auto"/>
          </w:rPr>
        </w:r>
        <w:r w:rsidR="008F3533" w:rsidRPr="00C3310F">
          <w:rPr>
            <w:webHidden/>
            <w:color w:val="auto"/>
          </w:rPr>
          <w:fldChar w:fldCharType="separate"/>
        </w:r>
        <w:r>
          <w:rPr>
            <w:webHidden/>
            <w:color w:val="auto"/>
          </w:rPr>
          <w:t>150</w:t>
        </w:r>
        <w:r w:rsidR="008F3533" w:rsidRPr="00C3310F">
          <w:rPr>
            <w:webHidden/>
            <w:color w:val="auto"/>
          </w:rPr>
          <w:fldChar w:fldCharType="end"/>
        </w:r>
      </w:hyperlink>
    </w:p>
    <w:p w14:paraId="7ECB4D28" w14:textId="517E0E65" w:rsidR="008F3533" w:rsidRPr="00C3310F" w:rsidRDefault="00595F3D" w:rsidP="00803F1D">
      <w:pPr>
        <w:pStyle w:val="23"/>
        <w:ind w:leftChars="0" w:left="680" w:rightChars="0" w:right="0" w:hangingChars="200" w:hanging="680"/>
        <w:rPr>
          <w:rFonts w:asciiTheme="minorHAnsi" w:eastAsiaTheme="minorEastAsia" w:hAnsiTheme="minorHAnsi" w:cstheme="minorBidi"/>
          <w:color w:val="auto"/>
          <w:sz w:val="24"/>
          <w:szCs w:val="22"/>
        </w:rPr>
      </w:pPr>
      <w:hyperlink w:anchor="_Toc172025223" w:history="1">
        <w:r w:rsidR="008F3533" w:rsidRPr="00C3310F">
          <w:rPr>
            <w:rStyle w:val="ae"/>
            <w:rFonts w:hint="eastAsia"/>
            <w:color w:val="auto"/>
          </w:rPr>
          <w:t>表19</w:t>
        </w:r>
        <w:r w:rsidR="00A1409C" w:rsidRPr="00C3310F">
          <w:rPr>
            <w:rStyle w:val="ae"/>
            <w:rFonts w:hint="eastAsia"/>
            <w:color w:val="auto"/>
          </w:rPr>
          <w:t xml:space="preserve"> </w:t>
        </w:r>
        <w:r w:rsidR="008F3533" w:rsidRPr="00C3310F">
          <w:rPr>
            <w:rStyle w:val="ae"/>
            <w:rFonts w:hint="eastAsia"/>
            <w:color w:val="auto"/>
          </w:rPr>
          <w:t>歐盟及英國數位治理相關法令分析</w:t>
        </w:r>
        <w:r w:rsidR="008F3533" w:rsidRPr="00C3310F">
          <w:rPr>
            <w:webHidden/>
            <w:color w:val="auto"/>
          </w:rPr>
          <w:tab/>
        </w:r>
        <w:r w:rsidR="008F3533" w:rsidRPr="00C3310F">
          <w:rPr>
            <w:webHidden/>
            <w:color w:val="auto"/>
          </w:rPr>
          <w:fldChar w:fldCharType="begin"/>
        </w:r>
        <w:r w:rsidR="008F3533" w:rsidRPr="00C3310F">
          <w:rPr>
            <w:webHidden/>
            <w:color w:val="auto"/>
          </w:rPr>
          <w:instrText xml:space="preserve"> PAGEREF _Toc172025223 \h </w:instrText>
        </w:r>
        <w:r w:rsidR="008F3533" w:rsidRPr="00C3310F">
          <w:rPr>
            <w:webHidden/>
            <w:color w:val="auto"/>
          </w:rPr>
        </w:r>
        <w:r w:rsidR="008F3533" w:rsidRPr="00C3310F">
          <w:rPr>
            <w:webHidden/>
            <w:color w:val="auto"/>
          </w:rPr>
          <w:fldChar w:fldCharType="separate"/>
        </w:r>
        <w:r>
          <w:rPr>
            <w:webHidden/>
            <w:color w:val="auto"/>
          </w:rPr>
          <w:t>174</w:t>
        </w:r>
        <w:r w:rsidR="008F3533" w:rsidRPr="00C3310F">
          <w:rPr>
            <w:webHidden/>
            <w:color w:val="auto"/>
          </w:rPr>
          <w:fldChar w:fldCharType="end"/>
        </w:r>
      </w:hyperlink>
    </w:p>
    <w:p w14:paraId="585BFABB" w14:textId="1CD9FC5C" w:rsidR="008F3533" w:rsidRPr="00C3310F" w:rsidRDefault="00595F3D" w:rsidP="00803F1D">
      <w:pPr>
        <w:pStyle w:val="23"/>
        <w:ind w:leftChars="0" w:left="680" w:rightChars="0" w:right="0" w:hangingChars="200" w:hanging="680"/>
        <w:rPr>
          <w:rFonts w:asciiTheme="minorHAnsi" w:eastAsiaTheme="minorEastAsia" w:hAnsiTheme="minorHAnsi" w:cstheme="minorBidi"/>
          <w:color w:val="auto"/>
          <w:sz w:val="24"/>
          <w:szCs w:val="22"/>
        </w:rPr>
      </w:pPr>
      <w:hyperlink w:anchor="_Toc172025224" w:history="1">
        <w:r w:rsidR="008F3533" w:rsidRPr="00C3310F">
          <w:rPr>
            <w:rStyle w:val="ae"/>
            <w:rFonts w:hint="eastAsia"/>
            <w:color w:val="auto"/>
          </w:rPr>
          <w:t>表20</w:t>
        </w:r>
        <w:r w:rsidR="00A1409C" w:rsidRPr="00C3310F">
          <w:rPr>
            <w:rStyle w:val="ae"/>
            <w:rFonts w:hint="eastAsia"/>
            <w:color w:val="auto"/>
          </w:rPr>
          <w:t xml:space="preserve"> </w:t>
        </w:r>
        <w:r w:rsidR="008F3533" w:rsidRPr="00C3310F">
          <w:rPr>
            <w:rStyle w:val="ae"/>
            <w:rFonts w:hint="eastAsia"/>
            <w:color w:val="auto"/>
          </w:rPr>
          <w:t>各金融機構</w:t>
        </w:r>
        <w:r w:rsidR="008F3533" w:rsidRPr="00C3310F">
          <w:rPr>
            <w:rStyle w:val="ae"/>
            <w:color w:val="auto"/>
          </w:rPr>
          <w:t>111</w:t>
        </w:r>
        <w:r w:rsidR="008F3533" w:rsidRPr="00C3310F">
          <w:rPr>
            <w:rStyle w:val="ae"/>
            <w:rFonts w:hint="eastAsia"/>
            <w:color w:val="auto"/>
          </w:rPr>
          <w:t>年迄今警示帳戶數量</w:t>
        </w:r>
        <w:r w:rsidR="008F3533" w:rsidRPr="00C3310F">
          <w:rPr>
            <w:webHidden/>
            <w:color w:val="auto"/>
          </w:rPr>
          <w:tab/>
        </w:r>
        <w:r w:rsidR="008F3533" w:rsidRPr="00C3310F">
          <w:rPr>
            <w:webHidden/>
            <w:color w:val="auto"/>
          </w:rPr>
          <w:fldChar w:fldCharType="begin"/>
        </w:r>
        <w:r w:rsidR="008F3533" w:rsidRPr="00C3310F">
          <w:rPr>
            <w:webHidden/>
            <w:color w:val="auto"/>
          </w:rPr>
          <w:instrText xml:space="preserve"> PAGEREF _Toc172025224 \h </w:instrText>
        </w:r>
        <w:r w:rsidR="008F3533" w:rsidRPr="00C3310F">
          <w:rPr>
            <w:webHidden/>
            <w:color w:val="auto"/>
          </w:rPr>
        </w:r>
        <w:r w:rsidR="008F3533" w:rsidRPr="00C3310F">
          <w:rPr>
            <w:webHidden/>
            <w:color w:val="auto"/>
          </w:rPr>
          <w:fldChar w:fldCharType="separate"/>
        </w:r>
        <w:r>
          <w:rPr>
            <w:webHidden/>
            <w:color w:val="auto"/>
          </w:rPr>
          <w:t>185</w:t>
        </w:r>
        <w:r w:rsidR="008F3533" w:rsidRPr="00C3310F">
          <w:rPr>
            <w:webHidden/>
            <w:color w:val="auto"/>
          </w:rPr>
          <w:fldChar w:fldCharType="end"/>
        </w:r>
      </w:hyperlink>
    </w:p>
    <w:p w14:paraId="5BAEB3DF" w14:textId="0114FB6E" w:rsidR="008F3533" w:rsidRPr="00C3310F" w:rsidRDefault="00595F3D" w:rsidP="00803F1D">
      <w:pPr>
        <w:pStyle w:val="23"/>
        <w:ind w:leftChars="0" w:left="680" w:rightChars="0" w:right="0" w:hangingChars="200" w:hanging="680"/>
        <w:rPr>
          <w:rFonts w:asciiTheme="minorHAnsi" w:eastAsiaTheme="minorEastAsia" w:hAnsiTheme="minorHAnsi" w:cstheme="minorBidi"/>
          <w:color w:val="auto"/>
          <w:sz w:val="24"/>
          <w:szCs w:val="22"/>
        </w:rPr>
      </w:pPr>
      <w:hyperlink w:anchor="_Toc172025225" w:history="1">
        <w:r w:rsidR="008F3533" w:rsidRPr="00C3310F">
          <w:rPr>
            <w:rStyle w:val="ae"/>
            <w:rFonts w:hint="eastAsia"/>
            <w:color w:val="auto"/>
          </w:rPr>
          <w:t>表21</w:t>
        </w:r>
        <w:r w:rsidR="00A1409C" w:rsidRPr="00C3310F">
          <w:rPr>
            <w:rFonts w:asciiTheme="minorHAnsi" w:eastAsiaTheme="minorEastAsia" w:hAnsiTheme="minorHAnsi" w:cstheme="minorBidi" w:hint="eastAsia"/>
            <w:color w:val="auto"/>
            <w:sz w:val="24"/>
            <w:szCs w:val="22"/>
          </w:rPr>
          <w:t xml:space="preserve"> </w:t>
        </w:r>
        <w:r w:rsidR="008F3533" w:rsidRPr="00C3310F">
          <w:rPr>
            <w:rStyle w:val="ae"/>
            <w:color w:val="auto"/>
          </w:rPr>
          <w:t>110</w:t>
        </w:r>
        <w:r w:rsidR="008F3533" w:rsidRPr="00C3310F">
          <w:rPr>
            <w:rStyle w:val="ae"/>
            <w:rFonts w:hint="eastAsia"/>
            <w:color w:val="auto"/>
          </w:rPr>
          <w:t>年迄今金融機構涉及洗錢防制、人頭帳戶管理缺失之處分情形</w:t>
        </w:r>
        <w:r w:rsidR="008F3533" w:rsidRPr="00C3310F">
          <w:rPr>
            <w:webHidden/>
            <w:color w:val="auto"/>
          </w:rPr>
          <w:tab/>
        </w:r>
        <w:r w:rsidR="008F3533" w:rsidRPr="00C3310F">
          <w:rPr>
            <w:webHidden/>
            <w:color w:val="auto"/>
          </w:rPr>
          <w:fldChar w:fldCharType="begin"/>
        </w:r>
        <w:r w:rsidR="008F3533" w:rsidRPr="00C3310F">
          <w:rPr>
            <w:webHidden/>
            <w:color w:val="auto"/>
          </w:rPr>
          <w:instrText xml:space="preserve"> PAGEREF _Toc172025225 \h </w:instrText>
        </w:r>
        <w:r w:rsidR="008F3533" w:rsidRPr="00C3310F">
          <w:rPr>
            <w:webHidden/>
            <w:color w:val="auto"/>
          </w:rPr>
        </w:r>
        <w:r w:rsidR="008F3533" w:rsidRPr="00C3310F">
          <w:rPr>
            <w:webHidden/>
            <w:color w:val="auto"/>
          </w:rPr>
          <w:fldChar w:fldCharType="separate"/>
        </w:r>
        <w:r>
          <w:rPr>
            <w:webHidden/>
            <w:color w:val="auto"/>
          </w:rPr>
          <w:t>189</w:t>
        </w:r>
        <w:r w:rsidR="008F3533" w:rsidRPr="00C3310F">
          <w:rPr>
            <w:webHidden/>
            <w:color w:val="auto"/>
          </w:rPr>
          <w:fldChar w:fldCharType="end"/>
        </w:r>
      </w:hyperlink>
    </w:p>
    <w:p w14:paraId="583746FB" w14:textId="673A2C2F" w:rsidR="008F3533" w:rsidRPr="00C3310F" w:rsidRDefault="00595F3D" w:rsidP="00803F1D">
      <w:pPr>
        <w:pStyle w:val="23"/>
        <w:ind w:leftChars="0" w:left="680" w:rightChars="0" w:right="0" w:hangingChars="200" w:hanging="680"/>
        <w:rPr>
          <w:rFonts w:asciiTheme="minorHAnsi" w:eastAsiaTheme="minorEastAsia" w:hAnsiTheme="minorHAnsi" w:cstheme="minorBidi"/>
          <w:color w:val="auto"/>
          <w:sz w:val="24"/>
          <w:szCs w:val="22"/>
        </w:rPr>
      </w:pPr>
      <w:hyperlink w:anchor="_Toc172025226" w:history="1">
        <w:r w:rsidR="008F3533" w:rsidRPr="00C3310F">
          <w:rPr>
            <w:rStyle w:val="ae"/>
            <w:rFonts w:hint="eastAsia"/>
            <w:color w:val="auto"/>
          </w:rPr>
          <w:t>表22</w:t>
        </w:r>
        <w:r w:rsidR="00107273" w:rsidRPr="00C3310F">
          <w:rPr>
            <w:rStyle w:val="ae"/>
            <w:rFonts w:hint="eastAsia"/>
            <w:color w:val="auto"/>
          </w:rPr>
          <w:t xml:space="preserve"> </w:t>
        </w:r>
        <w:r w:rsidR="008F3533" w:rsidRPr="00C3310F">
          <w:rPr>
            <w:rStyle w:val="ae"/>
            <w:rFonts w:hint="eastAsia"/>
            <w:color w:val="auto"/>
          </w:rPr>
          <w:t>高檢署「全國反電信詐騙資料庫」功能列表</w:t>
        </w:r>
        <w:r w:rsidR="008F3533" w:rsidRPr="00C3310F">
          <w:rPr>
            <w:webHidden/>
            <w:color w:val="auto"/>
          </w:rPr>
          <w:tab/>
        </w:r>
        <w:r w:rsidR="008F3533" w:rsidRPr="00C3310F">
          <w:rPr>
            <w:webHidden/>
            <w:color w:val="auto"/>
          </w:rPr>
          <w:fldChar w:fldCharType="begin"/>
        </w:r>
        <w:r w:rsidR="008F3533" w:rsidRPr="00C3310F">
          <w:rPr>
            <w:webHidden/>
            <w:color w:val="auto"/>
          </w:rPr>
          <w:instrText xml:space="preserve"> PAGEREF _Toc172025226 \h </w:instrText>
        </w:r>
        <w:r w:rsidR="008F3533" w:rsidRPr="00C3310F">
          <w:rPr>
            <w:webHidden/>
            <w:color w:val="auto"/>
          </w:rPr>
        </w:r>
        <w:r w:rsidR="008F3533" w:rsidRPr="00C3310F">
          <w:rPr>
            <w:webHidden/>
            <w:color w:val="auto"/>
          </w:rPr>
          <w:fldChar w:fldCharType="separate"/>
        </w:r>
        <w:r>
          <w:rPr>
            <w:webHidden/>
            <w:color w:val="auto"/>
          </w:rPr>
          <w:t>206</w:t>
        </w:r>
        <w:r w:rsidR="008F3533" w:rsidRPr="00C3310F">
          <w:rPr>
            <w:webHidden/>
            <w:color w:val="auto"/>
          </w:rPr>
          <w:fldChar w:fldCharType="end"/>
        </w:r>
      </w:hyperlink>
    </w:p>
    <w:p w14:paraId="5BAAE446" w14:textId="77777777" w:rsidR="00E25849" w:rsidRPr="00C3310F" w:rsidRDefault="00F6627B" w:rsidP="00803F1D">
      <w:pPr>
        <w:ind w:left="680" w:hangingChars="200" w:hanging="680"/>
        <w:rPr>
          <w:bCs/>
          <w:noProof/>
          <w:szCs w:val="32"/>
        </w:rPr>
      </w:pPr>
      <w:r w:rsidRPr="00C3310F">
        <w:rPr>
          <w:bCs/>
          <w:noProof/>
          <w:szCs w:val="32"/>
        </w:rPr>
        <w:fldChar w:fldCharType="end"/>
      </w:r>
    </w:p>
    <w:p w14:paraId="46042A25" w14:textId="77777777" w:rsidR="00F33E3F" w:rsidRPr="00C3310F" w:rsidRDefault="00F33E3F" w:rsidP="00F6627B"/>
    <w:p w14:paraId="28D1A9AE" w14:textId="77777777" w:rsidR="00017318" w:rsidRPr="00C3310F" w:rsidRDefault="00017318" w:rsidP="00017318">
      <w:pPr>
        <w:pStyle w:val="af2"/>
      </w:pPr>
      <w:r w:rsidRPr="00C3310F">
        <w:rPr>
          <w:rFonts w:hint="eastAsia"/>
        </w:rPr>
        <w:lastRenderedPageBreak/>
        <w:t>圖目次</w:t>
      </w:r>
    </w:p>
    <w:p w14:paraId="0E6742B1" w14:textId="3B76AF9B" w:rsidR="00210EEB" w:rsidRPr="00C3310F" w:rsidRDefault="00AA42D5" w:rsidP="00803F1D">
      <w:pPr>
        <w:pStyle w:val="23"/>
        <w:rPr>
          <w:rFonts w:asciiTheme="minorHAnsi" w:eastAsiaTheme="minorEastAsia" w:hAnsiTheme="minorHAnsi" w:cstheme="minorBidi"/>
          <w:color w:val="auto"/>
          <w:sz w:val="24"/>
          <w:szCs w:val="22"/>
        </w:rPr>
      </w:pPr>
      <w:r w:rsidRPr="00C3310F">
        <w:rPr>
          <w:bCs/>
          <w:color w:val="auto"/>
        </w:rPr>
        <w:fldChar w:fldCharType="begin"/>
      </w:r>
      <w:r w:rsidRPr="00C3310F">
        <w:rPr>
          <w:bCs/>
          <w:color w:val="auto"/>
        </w:rPr>
        <w:instrText xml:space="preserve"> </w:instrText>
      </w:r>
      <w:r w:rsidRPr="00C3310F">
        <w:rPr>
          <w:rFonts w:hint="eastAsia"/>
          <w:bCs/>
          <w:color w:val="auto"/>
        </w:rPr>
        <w:instrText>TOC \h \z \t "圖標題,2"</w:instrText>
      </w:r>
      <w:r w:rsidRPr="00C3310F">
        <w:rPr>
          <w:bCs/>
          <w:color w:val="auto"/>
        </w:rPr>
        <w:instrText xml:space="preserve"> </w:instrText>
      </w:r>
      <w:r w:rsidRPr="00C3310F">
        <w:rPr>
          <w:bCs/>
          <w:color w:val="auto"/>
        </w:rPr>
        <w:fldChar w:fldCharType="separate"/>
      </w:r>
      <w:hyperlink w:anchor="_Toc172025251" w:history="1">
        <w:r w:rsidR="00210EEB" w:rsidRPr="00C3310F">
          <w:rPr>
            <w:rStyle w:val="ae"/>
            <w:rFonts w:hint="eastAsia"/>
            <w:color w:val="auto"/>
          </w:rPr>
          <w:t>圖1</w:t>
        </w:r>
        <w:r w:rsidR="00210EEB" w:rsidRPr="00C3310F">
          <w:rPr>
            <w:rFonts w:asciiTheme="minorHAnsi" w:eastAsiaTheme="minorEastAsia" w:hAnsiTheme="minorHAnsi" w:cstheme="minorBidi"/>
            <w:color w:val="auto"/>
            <w:sz w:val="24"/>
            <w:szCs w:val="22"/>
          </w:rPr>
          <w:tab/>
        </w:r>
        <w:r w:rsidR="00210EEB" w:rsidRPr="00C3310F">
          <w:rPr>
            <w:rStyle w:val="ae"/>
            <w:rFonts w:hint="eastAsia"/>
            <w:color w:val="auto"/>
          </w:rPr>
          <w:t>跨國電信網路詐騙集團分工圖</w:t>
        </w:r>
        <w:r w:rsidR="00210EEB" w:rsidRPr="00C3310F">
          <w:rPr>
            <w:webHidden/>
            <w:color w:val="auto"/>
          </w:rPr>
          <w:tab/>
        </w:r>
        <w:r w:rsidR="00210EEB" w:rsidRPr="00C3310F">
          <w:rPr>
            <w:webHidden/>
            <w:color w:val="auto"/>
          </w:rPr>
          <w:fldChar w:fldCharType="begin"/>
        </w:r>
        <w:r w:rsidR="00210EEB" w:rsidRPr="00C3310F">
          <w:rPr>
            <w:webHidden/>
            <w:color w:val="auto"/>
          </w:rPr>
          <w:instrText xml:space="preserve"> PAGEREF _Toc172025251 \h </w:instrText>
        </w:r>
        <w:r w:rsidR="00210EEB" w:rsidRPr="00C3310F">
          <w:rPr>
            <w:webHidden/>
            <w:color w:val="auto"/>
          </w:rPr>
        </w:r>
        <w:r w:rsidR="00210EEB" w:rsidRPr="00C3310F">
          <w:rPr>
            <w:webHidden/>
            <w:color w:val="auto"/>
          </w:rPr>
          <w:fldChar w:fldCharType="separate"/>
        </w:r>
        <w:r w:rsidR="00595F3D">
          <w:rPr>
            <w:webHidden/>
            <w:color w:val="auto"/>
          </w:rPr>
          <w:t>9</w:t>
        </w:r>
        <w:r w:rsidR="00210EEB" w:rsidRPr="00C3310F">
          <w:rPr>
            <w:webHidden/>
            <w:color w:val="auto"/>
          </w:rPr>
          <w:fldChar w:fldCharType="end"/>
        </w:r>
      </w:hyperlink>
    </w:p>
    <w:p w14:paraId="2A7648E8" w14:textId="3209B42B" w:rsidR="00210EEB" w:rsidRPr="00C3310F" w:rsidRDefault="00595F3D" w:rsidP="00803F1D">
      <w:pPr>
        <w:pStyle w:val="23"/>
        <w:rPr>
          <w:rFonts w:asciiTheme="minorHAnsi" w:eastAsiaTheme="minorEastAsia" w:hAnsiTheme="minorHAnsi" w:cstheme="minorBidi"/>
          <w:color w:val="auto"/>
          <w:sz w:val="24"/>
          <w:szCs w:val="22"/>
        </w:rPr>
      </w:pPr>
      <w:hyperlink w:anchor="_Toc172025252" w:history="1">
        <w:r w:rsidR="00210EEB" w:rsidRPr="00C3310F">
          <w:rPr>
            <w:rStyle w:val="ae"/>
            <w:rFonts w:hint="eastAsia"/>
            <w:color w:val="auto"/>
          </w:rPr>
          <w:t>圖2</w:t>
        </w:r>
        <w:r w:rsidR="00210EEB" w:rsidRPr="00C3310F">
          <w:rPr>
            <w:rFonts w:asciiTheme="minorHAnsi" w:eastAsiaTheme="minorEastAsia" w:hAnsiTheme="minorHAnsi" w:cstheme="minorBidi"/>
            <w:color w:val="auto"/>
            <w:sz w:val="24"/>
            <w:szCs w:val="22"/>
          </w:rPr>
          <w:tab/>
        </w:r>
        <w:r w:rsidR="00210EEB" w:rsidRPr="00C3310F">
          <w:rPr>
            <w:rStyle w:val="ae"/>
            <w:color w:val="auto"/>
          </w:rPr>
          <w:t>106</w:t>
        </w:r>
        <w:r w:rsidR="00210EEB" w:rsidRPr="00C3310F">
          <w:rPr>
            <w:rStyle w:val="ae"/>
            <w:rFonts w:hint="eastAsia"/>
            <w:color w:val="auto"/>
          </w:rPr>
          <w:t>至</w:t>
        </w:r>
        <w:r w:rsidR="00210EEB" w:rsidRPr="00C3310F">
          <w:rPr>
            <w:rStyle w:val="ae"/>
            <w:color w:val="auto"/>
          </w:rPr>
          <w:t>110</w:t>
        </w:r>
        <w:r w:rsidR="00210EEB" w:rsidRPr="00C3310F">
          <w:rPr>
            <w:rStyle w:val="ae"/>
            <w:rFonts w:hint="eastAsia"/>
            <w:color w:val="auto"/>
          </w:rPr>
          <w:t>年電信網路詐欺案件發生及破獲情形</w:t>
        </w:r>
        <w:r w:rsidR="00210EEB" w:rsidRPr="00C3310F">
          <w:rPr>
            <w:webHidden/>
            <w:color w:val="auto"/>
          </w:rPr>
          <w:tab/>
        </w:r>
        <w:r w:rsidR="00210EEB" w:rsidRPr="00C3310F">
          <w:rPr>
            <w:webHidden/>
            <w:color w:val="auto"/>
          </w:rPr>
          <w:fldChar w:fldCharType="begin"/>
        </w:r>
        <w:r w:rsidR="00210EEB" w:rsidRPr="00C3310F">
          <w:rPr>
            <w:webHidden/>
            <w:color w:val="auto"/>
          </w:rPr>
          <w:instrText xml:space="preserve"> PAGEREF _Toc172025252 \h </w:instrText>
        </w:r>
        <w:r w:rsidR="00210EEB" w:rsidRPr="00C3310F">
          <w:rPr>
            <w:webHidden/>
            <w:color w:val="auto"/>
          </w:rPr>
        </w:r>
        <w:r w:rsidR="00210EEB" w:rsidRPr="00C3310F">
          <w:rPr>
            <w:webHidden/>
            <w:color w:val="auto"/>
          </w:rPr>
          <w:fldChar w:fldCharType="separate"/>
        </w:r>
        <w:r>
          <w:rPr>
            <w:webHidden/>
            <w:color w:val="auto"/>
          </w:rPr>
          <w:t>35</w:t>
        </w:r>
        <w:r w:rsidR="00210EEB" w:rsidRPr="00C3310F">
          <w:rPr>
            <w:webHidden/>
            <w:color w:val="auto"/>
          </w:rPr>
          <w:fldChar w:fldCharType="end"/>
        </w:r>
      </w:hyperlink>
    </w:p>
    <w:p w14:paraId="16D7C67F" w14:textId="0C21666D" w:rsidR="00210EEB" w:rsidRPr="00C3310F" w:rsidRDefault="00595F3D" w:rsidP="00803F1D">
      <w:pPr>
        <w:pStyle w:val="23"/>
        <w:rPr>
          <w:rFonts w:asciiTheme="minorHAnsi" w:eastAsiaTheme="minorEastAsia" w:hAnsiTheme="minorHAnsi" w:cstheme="minorBidi"/>
          <w:color w:val="auto"/>
          <w:sz w:val="24"/>
          <w:szCs w:val="22"/>
        </w:rPr>
      </w:pPr>
      <w:hyperlink w:anchor="_Toc172025253" w:history="1">
        <w:r w:rsidR="00210EEB" w:rsidRPr="00C3310F">
          <w:rPr>
            <w:rStyle w:val="ae"/>
            <w:rFonts w:hint="eastAsia"/>
            <w:color w:val="auto"/>
          </w:rPr>
          <w:t>圖3</w:t>
        </w:r>
        <w:r w:rsidR="00210EEB" w:rsidRPr="00C3310F">
          <w:rPr>
            <w:rFonts w:asciiTheme="minorHAnsi" w:eastAsiaTheme="minorEastAsia" w:hAnsiTheme="minorHAnsi" w:cstheme="minorBidi"/>
            <w:color w:val="auto"/>
            <w:sz w:val="24"/>
            <w:szCs w:val="22"/>
          </w:rPr>
          <w:tab/>
        </w:r>
        <w:r w:rsidR="00210EEB" w:rsidRPr="00C3310F">
          <w:rPr>
            <w:rStyle w:val="ae"/>
            <w:color w:val="auto"/>
          </w:rPr>
          <w:t>106</w:t>
        </w:r>
        <w:r w:rsidR="00210EEB" w:rsidRPr="00C3310F">
          <w:rPr>
            <w:rStyle w:val="ae"/>
            <w:rFonts w:hint="eastAsia"/>
            <w:color w:val="auto"/>
          </w:rPr>
          <w:t>至</w:t>
        </w:r>
        <w:r w:rsidR="00210EEB" w:rsidRPr="00C3310F">
          <w:rPr>
            <w:rStyle w:val="ae"/>
            <w:color w:val="auto"/>
          </w:rPr>
          <w:t>110</w:t>
        </w:r>
        <w:r w:rsidR="00210EEB" w:rsidRPr="00C3310F">
          <w:rPr>
            <w:rStyle w:val="ae"/>
            <w:rFonts w:hint="eastAsia"/>
            <w:color w:val="auto"/>
          </w:rPr>
          <w:t>年全般詐欺案件財損及查扣金額情形</w:t>
        </w:r>
        <w:r w:rsidR="00210EEB" w:rsidRPr="00C3310F">
          <w:rPr>
            <w:webHidden/>
            <w:color w:val="auto"/>
          </w:rPr>
          <w:tab/>
        </w:r>
        <w:r w:rsidR="00210EEB" w:rsidRPr="00C3310F">
          <w:rPr>
            <w:webHidden/>
            <w:color w:val="auto"/>
          </w:rPr>
          <w:fldChar w:fldCharType="begin"/>
        </w:r>
        <w:r w:rsidR="00210EEB" w:rsidRPr="00C3310F">
          <w:rPr>
            <w:webHidden/>
            <w:color w:val="auto"/>
          </w:rPr>
          <w:instrText xml:space="preserve"> PAGEREF _Toc172025253 \h </w:instrText>
        </w:r>
        <w:r w:rsidR="00210EEB" w:rsidRPr="00C3310F">
          <w:rPr>
            <w:webHidden/>
            <w:color w:val="auto"/>
          </w:rPr>
        </w:r>
        <w:r w:rsidR="00210EEB" w:rsidRPr="00C3310F">
          <w:rPr>
            <w:webHidden/>
            <w:color w:val="auto"/>
          </w:rPr>
          <w:fldChar w:fldCharType="separate"/>
        </w:r>
        <w:r>
          <w:rPr>
            <w:webHidden/>
            <w:color w:val="auto"/>
          </w:rPr>
          <w:t>36</w:t>
        </w:r>
        <w:r w:rsidR="00210EEB" w:rsidRPr="00C3310F">
          <w:rPr>
            <w:webHidden/>
            <w:color w:val="auto"/>
          </w:rPr>
          <w:fldChar w:fldCharType="end"/>
        </w:r>
      </w:hyperlink>
    </w:p>
    <w:p w14:paraId="6EE6C449" w14:textId="0A961B4E" w:rsidR="00210EEB" w:rsidRPr="00C3310F" w:rsidRDefault="00595F3D" w:rsidP="00803F1D">
      <w:pPr>
        <w:pStyle w:val="23"/>
        <w:rPr>
          <w:rFonts w:asciiTheme="minorHAnsi" w:eastAsiaTheme="minorEastAsia" w:hAnsiTheme="minorHAnsi" w:cstheme="minorBidi"/>
          <w:color w:val="auto"/>
          <w:sz w:val="24"/>
          <w:szCs w:val="22"/>
        </w:rPr>
      </w:pPr>
      <w:hyperlink w:anchor="_Toc172025254" w:history="1">
        <w:r w:rsidR="00210EEB" w:rsidRPr="00C3310F">
          <w:rPr>
            <w:rStyle w:val="ae"/>
            <w:rFonts w:hint="eastAsia"/>
            <w:color w:val="auto"/>
          </w:rPr>
          <w:t>圖4</w:t>
        </w:r>
        <w:r w:rsidR="00210EEB" w:rsidRPr="00C3310F">
          <w:rPr>
            <w:rFonts w:asciiTheme="minorHAnsi" w:eastAsiaTheme="minorEastAsia" w:hAnsiTheme="minorHAnsi" w:cstheme="minorBidi"/>
            <w:color w:val="auto"/>
            <w:sz w:val="24"/>
            <w:szCs w:val="22"/>
          </w:rPr>
          <w:tab/>
        </w:r>
        <w:r w:rsidR="00A1409C" w:rsidRPr="00C3310F">
          <w:rPr>
            <w:rFonts w:hAnsi="標楷體" w:cstheme="minorBidi" w:hint="eastAsia"/>
            <w:color w:val="auto"/>
            <w:szCs w:val="28"/>
          </w:rPr>
          <w:t>電</w:t>
        </w:r>
        <w:r w:rsidR="00210EEB" w:rsidRPr="00C3310F">
          <w:rPr>
            <w:rStyle w:val="ae"/>
            <w:rFonts w:hint="eastAsia"/>
            <w:color w:val="auto"/>
          </w:rPr>
          <w:t>信網路詐欺案件數逐年趨勢</w:t>
        </w:r>
        <w:r w:rsidR="00210EEB" w:rsidRPr="00C3310F">
          <w:rPr>
            <w:webHidden/>
            <w:color w:val="auto"/>
          </w:rPr>
          <w:tab/>
        </w:r>
        <w:r w:rsidR="00210EEB" w:rsidRPr="00C3310F">
          <w:rPr>
            <w:webHidden/>
            <w:color w:val="auto"/>
          </w:rPr>
          <w:fldChar w:fldCharType="begin"/>
        </w:r>
        <w:r w:rsidR="00210EEB" w:rsidRPr="00C3310F">
          <w:rPr>
            <w:webHidden/>
            <w:color w:val="auto"/>
          </w:rPr>
          <w:instrText xml:space="preserve"> PAGEREF _Toc172025254 \h </w:instrText>
        </w:r>
        <w:r w:rsidR="00210EEB" w:rsidRPr="00C3310F">
          <w:rPr>
            <w:webHidden/>
            <w:color w:val="auto"/>
          </w:rPr>
        </w:r>
        <w:r w:rsidR="00210EEB" w:rsidRPr="00C3310F">
          <w:rPr>
            <w:webHidden/>
            <w:color w:val="auto"/>
          </w:rPr>
          <w:fldChar w:fldCharType="separate"/>
        </w:r>
        <w:r>
          <w:rPr>
            <w:webHidden/>
            <w:color w:val="auto"/>
          </w:rPr>
          <w:t>38</w:t>
        </w:r>
        <w:r w:rsidR="00210EEB" w:rsidRPr="00C3310F">
          <w:rPr>
            <w:webHidden/>
            <w:color w:val="auto"/>
          </w:rPr>
          <w:fldChar w:fldCharType="end"/>
        </w:r>
      </w:hyperlink>
    </w:p>
    <w:p w14:paraId="26050FAB" w14:textId="58BDA4A6" w:rsidR="00210EEB" w:rsidRPr="00C3310F" w:rsidRDefault="00595F3D" w:rsidP="00803F1D">
      <w:pPr>
        <w:pStyle w:val="23"/>
        <w:rPr>
          <w:rFonts w:asciiTheme="minorHAnsi" w:eastAsiaTheme="minorEastAsia" w:hAnsiTheme="minorHAnsi" w:cstheme="minorBidi"/>
          <w:color w:val="auto"/>
          <w:sz w:val="24"/>
          <w:szCs w:val="22"/>
        </w:rPr>
      </w:pPr>
      <w:hyperlink w:anchor="_Toc172025255" w:history="1">
        <w:r w:rsidR="00210EEB" w:rsidRPr="00C3310F">
          <w:rPr>
            <w:rStyle w:val="ae"/>
            <w:rFonts w:hint="eastAsia"/>
            <w:color w:val="auto"/>
          </w:rPr>
          <w:t>圖5</w:t>
        </w:r>
        <w:r w:rsidR="00210EEB" w:rsidRPr="00C3310F">
          <w:rPr>
            <w:rFonts w:asciiTheme="minorHAnsi" w:eastAsiaTheme="minorEastAsia" w:hAnsiTheme="minorHAnsi" w:cstheme="minorBidi"/>
            <w:color w:val="auto"/>
            <w:sz w:val="24"/>
            <w:szCs w:val="22"/>
          </w:rPr>
          <w:tab/>
        </w:r>
        <w:r w:rsidR="00210EEB" w:rsidRPr="00C3310F">
          <w:rPr>
            <w:rStyle w:val="ae"/>
            <w:rFonts w:hint="eastAsia"/>
            <w:color w:val="auto"/>
          </w:rPr>
          <w:t>地方檢察署電信網路詐欺案件偵查新收件數變動趨勢圖</w:t>
        </w:r>
        <w:r w:rsidR="00210EEB" w:rsidRPr="00C3310F">
          <w:rPr>
            <w:webHidden/>
            <w:color w:val="auto"/>
          </w:rPr>
          <w:tab/>
        </w:r>
        <w:r w:rsidR="00210EEB" w:rsidRPr="00C3310F">
          <w:rPr>
            <w:webHidden/>
            <w:color w:val="auto"/>
          </w:rPr>
          <w:fldChar w:fldCharType="begin"/>
        </w:r>
        <w:r w:rsidR="00210EEB" w:rsidRPr="00C3310F">
          <w:rPr>
            <w:webHidden/>
            <w:color w:val="auto"/>
          </w:rPr>
          <w:instrText xml:space="preserve"> PAGEREF _Toc172025255 \h </w:instrText>
        </w:r>
        <w:r w:rsidR="00210EEB" w:rsidRPr="00C3310F">
          <w:rPr>
            <w:webHidden/>
            <w:color w:val="auto"/>
          </w:rPr>
        </w:r>
        <w:r w:rsidR="00210EEB" w:rsidRPr="00C3310F">
          <w:rPr>
            <w:webHidden/>
            <w:color w:val="auto"/>
          </w:rPr>
          <w:fldChar w:fldCharType="separate"/>
        </w:r>
        <w:r>
          <w:rPr>
            <w:webHidden/>
            <w:color w:val="auto"/>
          </w:rPr>
          <w:t>40</w:t>
        </w:r>
        <w:r w:rsidR="00210EEB" w:rsidRPr="00C3310F">
          <w:rPr>
            <w:webHidden/>
            <w:color w:val="auto"/>
          </w:rPr>
          <w:fldChar w:fldCharType="end"/>
        </w:r>
      </w:hyperlink>
    </w:p>
    <w:p w14:paraId="2B36E35F" w14:textId="1B70FDB8" w:rsidR="00210EEB" w:rsidRPr="00C3310F" w:rsidRDefault="00595F3D" w:rsidP="00803F1D">
      <w:pPr>
        <w:pStyle w:val="23"/>
        <w:rPr>
          <w:rFonts w:asciiTheme="minorHAnsi" w:eastAsiaTheme="minorEastAsia" w:hAnsiTheme="minorHAnsi" w:cstheme="minorBidi"/>
          <w:color w:val="auto"/>
          <w:sz w:val="24"/>
          <w:szCs w:val="22"/>
        </w:rPr>
      </w:pPr>
      <w:hyperlink w:anchor="_Toc172025256" w:history="1">
        <w:r w:rsidR="00210EEB" w:rsidRPr="00C3310F">
          <w:rPr>
            <w:rStyle w:val="ae"/>
            <w:rFonts w:hint="eastAsia"/>
            <w:color w:val="auto"/>
          </w:rPr>
          <w:t>圖6</w:t>
        </w:r>
        <w:r w:rsidR="00210EEB" w:rsidRPr="00C3310F">
          <w:rPr>
            <w:rFonts w:asciiTheme="minorHAnsi" w:eastAsiaTheme="minorEastAsia" w:hAnsiTheme="minorHAnsi" w:cstheme="minorBidi"/>
            <w:color w:val="auto"/>
            <w:sz w:val="24"/>
            <w:szCs w:val="22"/>
          </w:rPr>
          <w:tab/>
        </w:r>
        <w:r w:rsidR="00210EEB" w:rsidRPr="00C3310F">
          <w:rPr>
            <w:rStyle w:val="ae"/>
            <w:rFonts w:hint="eastAsia"/>
            <w:color w:val="auto"/>
          </w:rPr>
          <w:t>地方檢察署電信網路詐欺案件</w:t>
        </w:r>
        <w:r w:rsidR="00A1409C" w:rsidRPr="00C3310F">
          <w:rPr>
            <w:rStyle w:val="ae"/>
            <w:rFonts w:hint="eastAsia"/>
            <w:color w:val="auto"/>
          </w:rPr>
          <w:t>偵</w:t>
        </w:r>
        <w:r w:rsidR="00210EEB" w:rsidRPr="00C3310F">
          <w:rPr>
            <w:rStyle w:val="ae"/>
            <w:rFonts w:hint="eastAsia"/>
            <w:color w:val="auto"/>
          </w:rPr>
          <w:t>查終結人數變動趨勢圖</w:t>
        </w:r>
        <w:r w:rsidR="00210EEB" w:rsidRPr="00C3310F">
          <w:rPr>
            <w:webHidden/>
            <w:color w:val="auto"/>
          </w:rPr>
          <w:tab/>
        </w:r>
        <w:r w:rsidR="00210EEB" w:rsidRPr="00C3310F">
          <w:rPr>
            <w:webHidden/>
            <w:color w:val="auto"/>
          </w:rPr>
          <w:fldChar w:fldCharType="begin"/>
        </w:r>
        <w:r w:rsidR="00210EEB" w:rsidRPr="00C3310F">
          <w:rPr>
            <w:webHidden/>
            <w:color w:val="auto"/>
          </w:rPr>
          <w:instrText xml:space="preserve"> PAGEREF _Toc172025256 \h </w:instrText>
        </w:r>
        <w:r w:rsidR="00210EEB" w:rsidRPr="00C3310F">
          <w:rPr>
            <w:webHidden/>
            <w:color w:val="auto"/>
          </w:rPr>
        </w:r>
        <w:r w:rsidR="00210EEB" w:rsidRPr="00C3310F">
          <w:rPr>
            <w:webHidden/>
            <w:color w:val="auto"/>
          </w:rPr>
          <w:fldChar w:fldCharType="separate"/>
        </w:r>
        <w:r>
          <w:rPr>
            <w:webHidden/>
            <w:color w:val="auto"/>
          </w:rPr>
          <w:t>42</w:t>
        </w:r>
        <w:r w:rsidR="00210EEB" w:rsidRPr="00C3310F">
          <w:rPr>
            <w:webHidden/>
            <w:color w:val="auto"/>
          </w:rPr>
          <w:fldChar w:fldCharType="end"/>
        </w:r>
      </w:hyperlink>
    </w:p>
    <w:p w14:paraId="73BD7B97" w14:textId="3132F9B2" w:rsidR="00210EEB" w:rsidRPr="00C3310F" w:rsidRDefault="00595F3D" w:rsidP="00803F1D">
      <w:pPr>
        <w:pStyle w:val="23"/>
        <w:rPr>
          <w:rFonts w:asciiTheme="minorHAnsi" w:eastAsiaTheme="minorEastAsia" w:hAnsiTheme="minorHAnsi" w:cstheme="minorBidi"/>
          <w:color w:val="auto"/>
          <w:sz w:val="24"/>
          <w:szCs w:val="22"/>
        </w:rPr>
      </w:pPr>
      <w:hyperlink w:anchor="_Toc172025257" w:history="1">
        <w:r w:rsidR="00210EEB" w:rsidRPr="00C3310F">
          <w:rPr>
            <w:rStyle w:val="ae"/>
            <w:rFonts w:hint="eastAsia"/>
            <w:color w:val="auto"/>
          </w:rPr>
          <w:t>圖7</w:t>
        </w:r>
        <w:r w:rsidR="00210EEB" w:rsidRPr="00C3310F">
          <w:rPr>
            <w:rFonts w:asciiTheme="minorHAnsi" w:eastAsiaTheme="minorEastAsia" w:hAnsiTheme="minorHAnsi" w:cstheme="minorBidi"/>
            <w:color w:val="auto"/>
            <w:sz w:val="24"/>
            <w:szCs w:val="22"/>
          </w:rPr>
          <w:tab/>
        </w:r>
        <w:r w:rsidR="00210EEB" w:rsidRPr="00C3310F">
          <w:rPr>
            <w:rStyle w:val="ae"/>
            <w:rFonts w:hint="eastAsia"/>
            <w:color w:val="auto"/>
          </w:rPr>
          <w:t>地檢署電信網路詐欺案件</w:t>
        </w:r>
        <w:r w:rsidR="00210EEB" w:rsidRPr="00C3310F">
          <w:rPr>
            <w:rStyle w:val="ae"/>
            <w:color w:val="auto"/>
          </w:rPr>
          <w:t>-</w:t>
        </w:r>
        <w:r w:rsidR="00210EEB" w:rsidRPr="00C3310F">
          <w:rPr>
            <w:rStyle w:val="ae"/>
            <w:rFonts w:hint="eastAsia"/>
            <w:color w:val="auto"/>
          </w:rPr>
          <w:t>執行裁判確定人數</w:t>
        </w:r>
        <w:r w:rsidR="00210EEB" w:rsidRPr="00C3310F">
          <w:rPr>
            <w:webHidden/>
            <w:color w:val="auto"/>
          </w:rPr>
          <w:tab/>
        </w:r>
        <w:r w:rsidR="00210EEB" w:rsidRPr="00C3310F">
          <w:rPr>
            <w:webHidden/>
            <w:color w:val="auto"/>
          </w:rPr>
          <w:fldChar w:fldCharType="begin"/>
        </w:r>
        <w:r w:rsidR="00210EEB" w:rsidRPr="00C3310F">
          <w:rPr>
            <w:webHidden/>
            <w:color w:val="auto"/>
          </w:rPr>
          <w:instrText xml:space="preserve"> PAGEREF _Toc172025257 \h </w:instrText>
        </w:r>
        <w:r w:rsidR="00210EEB" w:rsidRPr="00C3310F">
          <w:rPr>
            <w:webHidden/>
            <w:color w:val="auto"/>
          </w:rPr>
        </w:r>
        <w:r w:rsidR="00210EEB" w:rsidRPr="00C3310F">
          <w:rPr>
            <w:webHidden/>
            <w:color w:val="auto"/>
          </w:rPr>
          <w:fldChar w:fldCharType="separate"/>
        </w:r>
        <w:r>
          <w:rPr>
            <w:webHidden/>
            <w:color w:val="auto"/>
          </w:rPr>
          <w:t>45</w:t>
        </w:r>
        <w:r w:rsidR="00210EEB" w:rsidRPr="00C3310F">
          <w:rPr>
            <w:webHidden/>
            <w:color w:val="auto"/>
          </w:rPr>
          <w:fldChar w:fldCharType="end"/>
        </w:r>
      </w:hyperlink>
    </w:p>
    <w:p w14:paraId="473B4604" w14:textId="61260AEE" w:rsidR="00210EEB" w:rsidRPr="00C3310F" w:rsidRDefault="00595F3D" w:rsidP="00803F1D">
      <w:pPr>
        <w:pStyle w:val="23"/>
        <w:rPr>
          <w:rFonts w:asciiTheme="minorHAnsi" w:eastAsiaTheme="minorEastAsia" w:hAnsiTheme="minorHAnsi" w:cstheme="minorBidi"/>
          <w:color w:val="auto"/>
          <w:sz w:val="24"/>
          <w:szCs w:val="22"/>
        </w:rPr>
      </w:pPr>
      <w:hyperlink w:anchor="_Toc172025258" w:history="1">
        <w:r w:rsidR="00210EEB" w:rsidRPr="00C3310F">
          <w:rPr>
            <w:rStyle w:val="ae"/>
            <w:rFonts w:hint="eastAsia"/>
            <w:color w:val="auto"/>
          </w:rPr>
          <w:t>圖8</w:t>
        </w:r>
        <w:r w:rsidR="00210EEB" w:rsidRPr="00C3310F">
          <w:rPr>
            <w:rFonts w:asciiTheme="minorHAnsi" w:eastAsiaTheme="minorEastAsia" w:hAnsiTheme="minorHAnsi" w:cstheme="minorBidi"/>
            <w:color w:val="auto"/>
            <w:sz w:val="24"/>
            <w:szCs w:val="22"/>
          </w:rPr>
          <w:tab/>
        </w:r>
        <w:r w:rsidR="00210EEB" w:rsidRPr="00C3310F">
          <w:rPr>
            <w:rStyle w:val="ae"/>
            <w:color w:val="auto"/>
          </w:rPr>
          <w:t>112</w:t>
        </w:r>
        <w:r w:rsidR="00210EEB" w:rsidRPr="00C3310F">
          <w:rPr>
            <w:rStyle w:val="ae"/>
            <w:rFonts w:hint="eastAsia"/>
            <w:color w:val="auto"/>
          </w:rPr>
          <w:t>年</w:t>
        </w:r>
        <w:r w:rsidR="00210EEB" w:rsidRPr="00C3310F">
          <w:rPr>
            <w:rStyle w:val="ae"/>
            <w:color w:val="auto"/>
          </w:rPr>
          <w:t>5</w:t>
        </w:r>
        <w:r w:rsidR="00210EEB" w:rsidRPr="00C3310F">
          <w:rPr>
            <w:rStyle w:val="ae"/>
            <w:rFonts w:hint="eastAsia"/>
            <w:color w:val="auto"/>
          </w:rPr>
          <w:t>月至</w:t>
        </w:r>
        <w:r w:rsidR="00210EEB" w:rsidRPr="00C3310F">
          <w:rPr>
            <w:rStyle w:val="ae"/>
            <w:color w:val="auto"/>
          </w:rPr>
          <w:t>113</w:t>
        </w:r>
        <w:r w:rsidR="00210EEB" w:rsidRPr="00C3310F">
          <w:rPr>
            <w:rStyle w:val="ae"/>
            <w:rFonts w:hint="eastAsia"/>
            <w:color w:val="auto"/>
          </w:rPr>
          <w:t>年</w:t>
        </w:r>
        <w:r w:rsidR="00210EEB" w:rsidRPr="00C3310F">
          <w:rPr>
            <w:rStyle w:val="ae"/>
            <w:color w:val="auto"/>
          </w:rPr>
          <w:t>4</w:t>
        </w:r>
        <w:r w:rsidR="00210EEB" w:rsidRPr="00C3310F">
          <w:rPr>
            <w:rStyle w:val="ae"/>
            <w:rFonts w:hint="eastAsia"/>
            <w:color w:val="auto"/>
          </w:rPr>
          <w:t>月國際來話話務量變化趨勢</w:t>
        </w:r>
        <w:r w:rsidR="00210EEB" w:rsidRPr="00C3310F">
          <w:rPr>
            <w:webHidden/>
            <w:color w:val="auto"/>
          </w:rPr>
          <w:tab/>
        </w:r>
        <w:r w:rsidR="00210EEB" w:rsidRPr="00C3310F">
          <w:rPr>
            <w:webHidden/>
            <w:color w:val="auto"/>
          </w:rPr>
          <w:fldChar w:fldCharType="begin"/>
        </w:r>
        <w:r w:rsidR="00210EEB" w:rsidRPr="00C3310F">
          <w:rPr>
            <w:webHidden/>
            <w:color w:val="auto"/>
          </w:rPr>
          <w:instrText xml:space="preserve"> PAGEREF _Toc172025258 \h </w:instrText>
        </w:r>
        <w:r w:rsidR="00210EEB" w:rsidRPr="00C3310F">
          <w:rPr>
            <w:webHidden/>
            <w:color w:val="auto"/>
          </w:rPr>
        </w:r>
        <w:r w:rsidR="00210EEB" w:rsidRPr="00C3310F">
          <w:rPr>
            <w:webHidden/>
            <w:color w:val="auto"/>
          </w:rPr>
          <w:fldChar w:fldCharType="separate"/>
        </w:r>
        <w:r>
          <w:rPr>
            <w:webHidden/>
            <w:color w:val="auto"/>
          </w:rPr>
          <w:t>70</w:t>
        </w:r>
        <w:r w:rsidR="00210EEB" w:rsidRPr="00C3310F">
          <w:rPr>
            <w:webHidden/>
            <w:color w:val="auto"/>
          </w:rPr>
          <w:fldChar w:fldCharType="end"/>
        </w:r>
      </w:hyperlink>
    </w:p>
    <w:p w14:paraId="47F9F287" w14:textId="02989DC0" w:rsidR="00210EEB" w:rsidRPr="00C3310F" w:rsidRDefault="00595F3D" w:rsidP="00803F1D">
      <w:pPr>
        <w:pStyle w:val="23"/>
        <w:rPr>
          <w:rFonts w:asciiTheme="minorHAnsi" w:eastAsiaTheme="minorEastAsia" w:hAnsiTheme="minorHAnsi" w:cstheme="minorBidi"/>
          <w:color w:val="auto"/>
          <w:sz w:val="24"/>
          <w:szCs w:val="22"/>
        </w:rPr>
      </w:pPr>
      <w:hyperlink w:anchor="_Toc172025259" w:history="1">
        <w:r w:rsidR="00210EEB" w:rsidRPr="00C3310F">
          <w:rPr>
            <w:rStyle w:val="ae"/>
            <w:rFonts w:hint="eastAsia"/>
            <w:color w:val="auto"/>
          </w:rPr>
          <w:t>圖9</w:t>
        </w:r>
        <w:r w:rsidR="00210EEB" w:rsidRPr="00C3310F">
          <w:rPr>
            <w:rFonts w:asciiTheme="minorHAnsi" w:eastAsiaTheme="minorEastAsia" w:hAnsiTheme="minorHAnsi" w:cstheme="minorBidi"/>
            <w:color w:val="auto"/>
            <w:sz w:val="24"/>
            <w:szCs w:val="22"/>
          </w:rPr>
          <w:tab/>
        </w:r>
        <w:r w:rsidR="00491F30" w:rsidRPr="00C3310F">
          <w:rPr>
            <w:rFonts w:asciiTheme="minorHAnsi" w:eastAsiaTheme="minorEastAsia" w:hAnsiTheme="minorHAnsi" w:cstheme="minorBidi"/>
            <w:color w:val="auto"/>
            <w:sz w:val="24"/>
            <w:szCs w:val="22"/>
          </w:rPr>
          <w:t xml:space="preserve">  </w:t>
        </w:r>
        <w:r w:rsidR="00210EEB" w:rsidRPr="00C3310F">
          <w:rPr>
            <w:rStyle w:val="ae"/>
            <w:color w:val="auto"/>
          </w:rPr>
          <w:t>+886</w:t>
        </w:r>
        <w:r w:rsidR="00210EEB" w:rsidRPr="00C3310F">
          <w:rPr>
            <w:rStyle w:val="ae"/>
            <w:rFonts w:hint="eastAsia"/>
            <w:color w:val="auto"/>
          </w:rPr>
          <w:t>開頭國際來話話務量變化趨勢</w:t>
        </w:r>
        <w:r w:rsidR="00210EEB" w:rsidRPr="00C3310F">
          <w:rPr>
            <w:webHidden/>
            <w:color w:val="auto"/>
          </w:rPr>
          <w:tab/>
        </w:r>
        <w:r w:rsidR="00210EEB" w:rsidRPr="00C3310F">
          <w:rPr>
            <w:webHidden/>
            <w:color w:val="auto"/>
          </w:rPr>
          <w:fldChar w:fldCharType="begin"/>
        </w:r>
        <w:r w:rsidR="00210EEB" w:rsidRPr="00C3310F">
          <w:rPr>
            <w:webHidden/>
            <w:color w:val="auto"/>
          </w:rPr>
          <w:instrText xml:space="preserve"> PAGEREF _Toc172025259 \h </w:instrText>
        </w:r>
        <w:r w:rsidR="00210EEB" w:rsidRPr="00C3310F">
          <w:rPr>
            <w:webHidden/>
            <w:color w:val="auto"/>
          </w:rPr>
        </w:r>
        <w:r w:rsidR="00210EEB" w:rsidRPr="00C3310F">
          <w:rPr>
            <w:webHidden/>
            <w:color w:val="auto"/>
          </w:rPr>
          <w:fldChar w:fldCharType="separate"/>
        </w:r>
        <w:r>
          <w:rPr>
            <w:webHidden/>
            <w:color w:val="auto"/>
          </w:rPr>
          <w:t>70</w:t>
        </w:r>
        <w:r w:rsidR="00210EEB" w:rsidRPr="00C3310F">
          <w:rPr>
            <w:webHidden/>
            <w:color w:val="auto"/>
          </w:rPr>
          <w:fldChar w:fldCharType="end"/>
        </w:r>
      </w:hyperlink>
    </w:p>
    <w:p w14:paraId="5AD9EE2C" w14:textId="7A73F5C2" w:rsidR="00210EEB" w:rsidRPr="00C3310F" w:rsidRDefault="00595F3D" w:rsidP="00803F1D">
      <w:pPr>
        <w:pStyle w:val="23"/>
        <w:rPr>
          <w:rFonts w:asciiTheme="minorHAnsi" w:eastAsiaTheme="minorEastAsia" w:hAnsiTheme="minorHAnsi" w:cstheme="minorBidi"/>
          <w:color w:val="auto"/>
          <w:sz w:val="24"/>
          <w:szCs w:val="22"/>
        </w:rPr>
      </w:pPr>
      <w:hyperlink w:anchor="_Toc172025261" w:history="1">
        <w:r w:rsidR="00210EEB" w:rsidRPr="00C3310F">
          <w:rPr>
            <w:rStyle w:val="ae"/>
            <w:rFonts w:hint="eastAsia"/>
            <w:color w:val="auto"/>
          </w:rPr>
          <w:t>圖10</w:t>
        </w:r>
        <w:r w:rsidR="00491F30" w:rsidRPr="00C3310F">
          <w:rPr>
            <w:rFonts w:asciiTheme="minorHAnsi" w:eastAsiaTheme="minorEastAsia" w:hAnsiTheme="minorHAnsi" w:cstheme="minorBidi"/>
            <w:color w:val="auto"/>
            <w:sz w:val="24"/>
            <w:szCs w:val="22"/>
          </w:rPr>
          <w:t xml:space="preserve">  </w:t>
        </w:r>
        <w:r w:rsidR="00210EEB" w:rsidRPr="00C3310F">
          <w:rPr>
            <w:rStyle w:val="ae"/>
            <w:color w:val="auto"/>
          </w:rPr>
          <w:t>89</w:t>
        </w:r>
        <w:r w:rsidR="00210EEB" w:rsidRPr="00C3310F">
          <w:rPr>
            <w:rStyle w:val="ae"/>
            <w:rFonts w:hint="eastAsia"/>
            <w:color w:val="auto"/>
          </w:rPr>
          <w:t>至</w:t>
        </w:r>
        <w:r w:rsidR="00210EEB" w:rsidRPr="00C3310F">
          <w:rPr>
            <w:rStyle w:val="ae"/>
            <w:color w:val="auto"/>
          </w:rPr>
          <w:t>112</w:t>
        </w:r>
        <w:r w:rsidR="00210EEB" w:rsidRPr="00C3310F">
          <w:rPr>
            <w:rStyle w:val="ae"/>
            <w:rFonts w:hint="eastAsia"/>
            <w:color w:val="auto"/>
          </w:rPr>
          <w:t>年間電信網路詐欺案件數量逐年趨勢</w:t>
        </w:r>
        <w:r w:rsidR="00210EEB" w:rsidRPr="00C3310F">
          <w:rPr>
            <w:webHidden/>
            <w:color w:val="auto"/>
          </w:rPr>
          <w:tab/>
        </w:r>
        <w:r w:rsidR="00210EEB" w:rsidRPr="00C3310F">
          <w:rPr>
            <w:webHidden/>
            <w:color w:val="auto"/>
          </w:rPr>
          <w:fldChar w:fldCharType="begin"/>
        </w:r>
        <w:r w:rsidR="00210EEB" w:rsidRPr="00C3310F">
          <w:rPr>
            <w:webHidden/>
            <w:color w:val="auto"/>
          </w:rPr>
          <w:instrText xml:space="preserve"> PAGEREF _Toc172025261 \h </w:instrText>
        </w:r>
        <w:r w:rsidR="00210EEB" w:rsidRPr="00C3310F">
          <w:rPr>
            <w:webHidden/>
            <w:color w:val="auto"/>
          </w:rPr>
        </w:r>
        <w:r w:rsidR="00210EEB" w:rsidRPr="00C3310F">
          <w:rPr>
            <w:webHidden/>
            <w:color w:val="auto"/>
          </w:rPr>
          <w:fldChar w:fldCharType="separate"/>
        </w:r>
        <w:r>
          <w:rPr>
            <w:webHidden/>
            <w:color w:val="auto"/>
          </w:rPr>
          <w:t>124</w:t>
        </w:r>
        <w:r w:rsidR="00210EEB" w:rsidRPr="00C3310F">
          <w:rPr>
            <w:webHidden/>
            <w:color w:val="auto"/>
          </w:rPr>
          <w:fldChar w:fldCharType="end"/>
        </w:r>
      </w:hyperlink>
    </w:p>
    <w:p w14:paraId="7592F29C" w14:textId="42CE7A21" w:rsidR="00210EEB" w:rsidRPr="00C3310F" w:rsidRDefault="00595F3D" w:rsidP="00803F1D">
      <w:pPr>
        <w:pStyle w:val="23"/>
        <w:rPr>
          <w:rFonts w:asciiTheme="minorHAnsi" w:eastAsiaTheme="minorEastAsia" w:hAnsiTheme="minorHAnsi" w:cstheme="minorBidi"/>
          <w:color w:val="auto"/>
          <w:sz w:val="24"/>
          <w:szCs w:val="22"/>
        </w:rPr>
      </w:pPr>
      <w:hyperlink w:anchor="_Toc172025263" w:history="1">
        <w:r w:rsidR="00210EEB" w:rsidRPr="00C3310F">
          <w:rPr>
            <w:rStyle w:val="ae"/>
            <w:rFonts w:hint="eastAsia"/>
            <w:color w:val="auto"/>
          </w:rPr>
          <w:t>圖11</w:t>
        </w:r>
        <w:r w:rsidR="00491F30" w:rsidRPr="00C3310F">
          <w:rPr>
            <w:rStyle w:val="ae"/>
            <w:color w:val="auto"/>
          </w:rPr>
          <w:t xml:space="preserve"> </w:t>
        </w:r>
        <w:r w:rsidR="00210EEB" w:rsidRPr="00C3310F">
          <w:rPr>
            <w:rStyle w:val="ae"/>
            <w:color w:val="auto"/>
          </w:rPr>
          <w:t>112</w:t>
        </w:r>
        <w:r w:rsidR="00210EEB" w:rsidRPr="00C3310F">
          <w:rPr>
            <w:rStyle w:val="ae"/>
            <w:rFonts w:hint="eastAsia"/>
            <w:color w:val="auto"/>
          </w:rPr>
          <w:t>年</w:t>
        </w:r>
        <w:r w:rsidR="00210EEB" w:rsidRPr="00C3310F">
          <w:rPr>
            <w:rStyle w:val="ae"/>
            <w:color w:val="auto"/>
          </w:rPr>
          <w:t>5</w:t>
        </w:r>
        <w:r w:rsidR="00210EEB" w:rsidRPr="00C3310F">
          <w:rPr>
            <w:rStyle w:val="ae"/>
            <w:rFonts w:hint="eastAsia"/>
            <w:color w:val="auto"/>
          </w:rPr>
          <w:t>月至</w:t>
        </w:r>
        <w:r w:rsidR="00210EEB" w:rsidRPr="00C3310F">
          <w:rPr>
            <w:rStyle w:val="ae"/>
            <w:color w:val="auto"/>
          </w:rPr>
          <w:t>113</w:t>
        </w:r>
        <w:r w:rsidR="00210EEB" w:rsidRPr="00C3310F">
          <w:rPr>
            <w:rStyle w:val="ae"/>
            <w:rFonts w:hint="eastAsia"/>
            <w:color w:val="auto"/>
          </w:rPr>
          <w:t>年</w:t>
        </w:r>
        <w:r w:rsidR="00210EEB" w:rsidRPr="00C3310F">
          <w:rPr>
            <w:rStyle w:val="ae"/>
            <w:color w:val="auto"/>
          </w:rPr>
          <w:t>4</w:t>
        </w:r>
        <w:r w:rsidR="00210EEB" w:rsidRPr="00C3310F">
          <w:rPr>
            <w:rStyle w:val="ae"/>
            <w:rFonts w:hint="eastAsia"/>
            <w:color w:val="auto"/>
          </w:rPr>
          <w:t>月國際來話話務量變化趨勢</w:t>
        </w:r>
        <w:r w:rsidR="00210EEB" w:rsidRPr="00C3310F">
          <w:rPr>
            <w:webHidden/>
            <w:color w:val="auto"/>
          </w:rPr>
          <w:tab/>
        </w:r>
        <w:r w:rsidR="00210EEB" w:rsidRPr="00C3310F">
          <w:rPr>
            <w:webHidden/>
            <w:color w:val="auto"/>
          </w:rPr>
          <w:fldChar w:fldCharType="begin"/>
        </w:r>
        <w:r w:rsidR="00210EEB" w:rsidRPr="00C3310F">
          <w:rPr>
            <w:webHidden/>
            <w:color w:val="auto"/>
          </w:rPr>
          <w:instrText xml:space="preserve"> PAGEREF _Toc172025263 \h </w:instrText>
        </w:r>
        <w:r w:rsidR="00210EEB" w:rsidRPr="00C3310F">
          <w:rPr>
            <w:webHidden/>
            <w:color w:val="auto"/>
          </w:rPr>
        </w:r>
        <w:r w:rsidR="00210EEB" w:rsidRPr="00C3310F">
          <w:rPr>
            <w:webHidden/>
            <w:color w:val="auto"/>
          </w:rPr>
          <w:fldChar w:fldCharType="separate"/>
        </w:r>
        <w:r>
          <w:rPr>
            <w:webHidden/>
            <w:color w:val="auto"/>
          </w:rPr>
          <w:t>151</w:t>
        </w:r>
        <w:r w:rsidR="00210EEB" w:rsidRPr="00C3310F">
          <w:rPr>
            <w:webHidden/>
            <w:color w:val="auto"/>
          </w:rPr>
          <w:fldChar w:fldCharType="end"/>
        </w:r>
      </w:hyperlink>
    </w:p>
    <w:p w14:paraId="217248B4" w14:textId="7F4E3BAD" w:rsidR="00210EEB" w:rsidRPr="00C3310F" w:rsidRDefault="00595F3D" w:rsidP="00803F1D">
      <w:pPr>
        <w:pStyle w:val="23"/>
        <w:rPr>
          <w:rFonts w:asciiTheme="minorHAnsi" w:eastAsiaTheme="minorEastAsia" w:hAnsiTheme="minorHAnsi" w:cstheme="minorBidi"/>
          <w:color w:val="auto"/>
          <w:sz w:val="24"/>
          <w:szCs w:val="22"/>
        </w:rPr>
      </w:pPr>
      <w:hyperlink w:anchor="_Toc172025264" w:history="1">
        <w:r w:rsidR="00210EEB" w:rsidRPr="00C3310F">
          <w:rPr>
            <w:rStyle w:val="ae"/>
            <w:rFonts w:hint="eastAsia"/>
            <w:color w:val="auto"/>
          </w:rPr>
          <w:t>圖12</w:t>
        </w:r>
        <w:r w:rsidR="00491F30" w:rsidRPr="00C3310F">
          <w:rPr>
            <w:rStyle w:val="ae"/>
            <w:color w:val="auto"/>
          </w:rPr>
          <w:t xml:space="preserve"> </w:t>
        </w:r>
        <w:r w:rsidR="00210EEB" w:rsidRPr="00C3310F">
          <w:rPr>
            <w:rStyle w:val="ae"/>
            <w:color w:val="auto"/>
          </w:rPr>
          <w:t>+886</w:t>
        </w:r>
        <w:r w:rsidR="00210EEB" w:rsidRPr="00C3310F">
          <w:rPr>
            <w:rStyle w:val="ae"/>
            <w:rFonts w:hint="eastAsia"/>
            <w:color w:val="auto"/>
          </w:rPr>
          <w:t>開頭國際來話話務量變化趨勢</w:t>
        </w:r>
        <w:r w:rsidR="00210EEB" w:rsidRPr="00C3310F">
          <w:rPr>
            <w:webHidden/>
            <w:color w:val="auto"/>
          </w:rPr>
          <w:tab/>
        </w:r>
        <w:r w:rsidR="00210EEB" w:rsidRPr="00C3310F">
          <w:rPr>
            <w:webHidden/>
            <w:color w:val="auto"/>
          </w:rPr>
          <w:fldChar w:fldCharType="begin"/>
        </w:r>
        <w:r w:rsidR="00210EEB" w:rsidRPr="00C3310F">
          <w:rPr>
            <w:webHidden/>
            <w:color w:val="auto"/>
          </w:rPr>
          <w:instrText xml:space="preserve"> PAGEREF _Toc172025264 \h </w:instrText>
        </w:r>
        <w:r w:rsidR="00210EEB" w:rsidRPr="00C3310F">
          <w:rPr>
            <w:webHidden/>
            <w:color w:val="auto"/>
          </w:rPr>
        </w:r>
        <w:r w:rsidR="00210EEB" w:rsidRPr="00C3310F">
          <w:rPr>
            <w:webHidden/>
            <w:color w:val="auto"/>
          </w:rPr>
          <w:fldChar w:fldCharType="separate"/>
        </w:r>
        <w:r>
          <w:rPr>
            <w:webHidden/>
            <w:color w:val="auto"/>
          </w:rPr>
          <w:t>151</w:t>
        </w:r>
        <w:r w:rsidR="00210EEB" w:rsidRPr="00C3310F">
          <w:rPr>
            <w:webHidden/>
            <w:color w:val="auto"/>
          </w:rPr>
          <w:fldChar w:fldCharType="end"/>
        </w:r>
      </w:hyperlink>
    </w:p>
    <w:p w14:paraId="385BE8F3" w14:textId="78652706" w:rsidR="00210EEB" w:rsidRPr="00C3310F" w:rsidRDefault="00595F3D" w:rsidP="00803F1D">
      <w:pPr>
        <w:pStyle w:val="23"/>
        <w:rPr>
          <w:rFonts w:asciiTheme="minorHAnsi" w:eastAsiaTheme="minorEastAsia" w:hAnsiTheme="minorHAnsi" w:cstheme="minorBidi"/>
          <w:color w:val="auto"/>
          <w:sz w:val="24"/>
          <w:szCs w:val="22"/>
        </w:rPr>
      </w:pPr>
      <w:hyperlink w:anchor="_Toc172025266" w:history="1">
        <w:r w:rsidR="00210EEB" w:rsidRPr="00C3310F">
          <w:rPr>
            <w:rStyle w:val="ae"/>
            <w:rFonts w:hAnsi="標楷體" w:hint="eastAsia"/>
            <w:color w:val="auto"/>
          </w:rPr>
          <w:t>圖13</w:t>
        </w:r>
        <w:r w:rsidR="00491F30" w:rsidRPr="00C3310F">
          <w:rPr>
            <w:rStyle w:val="ae"/>
            <w:rFonts w:hAnsi="標楷體"/>
            <w:color w:val="auto"/>
          </w:rPr>
          <w:t xml:space="preserve"> </w:t>
        </w:r>
        <w:r w:rsidR="00DF3BE8" w:rsidRPr="00C3310F">
          <w:rPr>
            <w:rStyle w:val="ae"/>
            <w:rFonts w:hAnsi="標楷體"/>
            <w:color w:val="auto"/>
          </w:rPr>
          <w:t>LINE</w:t>
        </w:r>
        <w:r w:rsidR="00210EEB" w:rsidRPr="00C3310F">
          <w:rPr>
            <w:rStyle w:val="ae"/>
            <w:rFonts w:hAnsi="標楷體" w:hint="eastAsia"/>
            <w:color w:val="auto"/>
          </w:rPr>
          <w:t>公司投資詐騙高風險商業帳號檢舉下架聯防機制</w:t>
        </w:r>
        <w:r w:rsidR="00210EEB" w:rsidRPr="00C3310F">
          <w:rPr>
            <w:webHidden/>
            <w:color w:val="auto"/>
          </w:rPr>
          <w:tab/>
        </w:r>
        <w:r w:rsidR="00210EEB" w:rsidRPr="00C3310F">
          <w:rPr>
            <w:webHidden/>
            <w:color w:val="auto"/>
          </w:rPr>
          <w:fldChar w:fldCharType="begin"/>
        </w:r>
        <w:r w:rsidR="00210EEB" w:rsidRPr="00C3310F">
          <w:rPr>
            <w:webHidden/>
            <w:color w:val="auto"/>
          </w:rPr>
          <w:instrText xml:space="preserve"> PAGEREF _Toc172025266 \h </w:instrText>
        </w:r>
        <w:r w:rsidR="00210EEB" w:rsidRPr="00C3310F">
          <w:rPr>
            <w:webHidden/>
            <w:color w:val="auto"/>
          </w:rPr>
        </w:r>
        <w:r w:rsidR="00210EEB" w:rsidRPr="00C3310F">
          <w:rPr>
            <w:webHidden/>
            <w:color w:val="auto"/>
          </w:rPr>
          <w:fldChar w:fldCharType="separate"/>
        </w:r>
        <w:r>
          <w:rPr>
            <w:webHidden/>
            <w:color w:val="auto"/>
          </w:rPr>
          <w:t>164</w:t>
        </w:r>
        <w:r w:rsidR="00210EEB" w:rsidRPr="00C3310F">
          <w:rPr>
            <w:webHidden/>
            <w:color w:val="auto"/>
          </w:rPr>
          <w:fldChar w:fldCharType="end"/>
        </w:r>
      </w:hyperlink>
    </w:p>
    <w:p w14:paraId="390477A9" w14:textId="4C4C3C51" w:rsidR="00210EEB" w:rsidRPr="00C3310F" w:rsidRDefault="00595F3D" w:rsidP="00803F1D">
      <w:pPr>
        <w:pStyle w:val="23"/>
        <w:rPr>
          <w:rFonts w:asciiTheme="minorHAnsi" w:eastAsiaTheme="minorEastAsia" w:hAnsiTheme="minorHAnsi" w:cstheme="minorBidi"/>
          <w:color w:val="auto"/>
          <w:sz w:val="24"/>
          <w:szCs w:val="22"/>
        </w:rPr>
      </w:pPr>
      <w:hyperlink w:anchor="_Toc172025267" w:history="1">
        <w:r w:rsidR="00210EEB" w:rsidRPr="00C3310F">
          <w:rPr>
            <w:rStyle w:val="ae"/>
            <w:rFonts w:hint="eastAsia"/>
            <w:color w:val="auto"/>
          </w:rPr>
          <w:t>圖14</w:t>
        </w:r>
        <w:r w:rsidR="00491F30" w:rsidRPr="00C3310F">
          <w:rPr>
            <w:rStyle w:val="ae"/>
            <w:color w:val="auto"/>
          </w:rPr>
          <w:t xml:space="preserve"> </w:t>
        </w:r>
        <w:r w:rsidR="00DF3BE8" w:rsidRPr="00C3310F">
          <w:rPr>
            <w:rStyle w:val="ae"/>
            <w:color w:val="auto"/>
          </w:rPr>
          <w:t>LINE</w:t>
        </w:r>
        <w:r w:rsidR="00210EEB" w:rsidRPr="00C3310F">
          <w:rPr>
            <w:rStyle w:val="ae"/>
            <w:rFonts w:hint="eastAsia"/>
            <w:color w:val="auto"/>
          </w:rPr>
          <w:t>公司投資詐騙刑事案件通報」下架機制</w:t>
        </w:r>
        <w:r w:rsidR="00210EEB" w:rsidRPr="00C3310F">
          <w:rPr>
            <w:webHidden/>
            <w:color w:val="auto"/>
          </w:rPr>
          <w:tab/>
        </w:r>
        <w:r w:rsidR="00210EEB" w:rsidRPr="00C3310F">
          <w:rPr>
            <w:webHidden/>
            <w:color w:val="auto"/>
          </w:rPr>
          <w:fldChar w:fldCharType="begin"/>
        </w:r>
        <w:r w:rsidR="00210EEB" w:rsidRPr="00C3310F">
          <w:rPr>
            <w:webHidden/>
            <w:color w:val="auto"/>
          </w:rPr>
          <w:instrText xml:space="preserve"> PAGEREF _Toc172025267 \h </w:instrText>
        </w:r>
        <w:r w:rsidR="00210EEB" w:rsidRPr="00C3310F">
          <w:rPr>
            <w:webHidden/>
            <w:color w:val="auto"/>
          </w:rPr>
        </w:r>
        <w:r w:rsidR="00210EEB" w:rsidRPr="00C3310F">
          <w:rPr>
            <w:webHidden/>
            <w:color w:val="auto"/>
          </w:rPr>
          <w:fldChar w:fldCharType="separate"/>
        </w:r>
        <w:r>
          <w:rPr>
            <w:webHidden/>
            <w:color w:val="auto"/>
          </w:rPr>
          <w:t>165</w:t>
        </w:r>
        <w:r w:rsidR="00210EEB" w:rsidRPr="00C3310F">
          <w:rPr>
            <w:webHidden/>
            <w:color w:val="auto"/>
          </w:rPr>
          <w:fldChar w:fldCharType="end"/>
        </w:r>
      </w:hyperlink>
    </w:p>
    <w:p w14:paraId="7B6F6FDF" w14:textId="1B8FB682" w:rsidR="00210EEB" w:rsidRPr="00C3310F" w:rsidRDefault="00595F3D" w:rsidP="00803F1D">
      <w:pPr>
        <w:pStyle w:val="23"/>
        <w:rPr>
          <w:rFonts w:asciiTheme="minorHAnsi" w:eastAsiaTheme="minorEastAsia" w:hAnsiTheme="minorHAnsi" w:cstheme="minorBidi"/>
          <w:color w:val="auto"/>
          <w:sz w:val="24"/>
          <w:szCs w:val="22"/>
        </w:rPr>
      </w:pPr>
      <w:hyperlink w:anchor="_Toc172025268" w:history="1">
        <w:r w:rsidR="00210EEB" w:rsidRPr="00C3310F">
          <w:rPr>
            <w:rStyle w:val="ae"/>
            <w:rFonts w:hint="eastAsia"/>
            <w:color w:val="auto"/>
          </w:rPr>
          <w:t>圖15</w:t>
        </w:r>
        <w:r w:rsidR="00491F30" w:rsidRPr="00C3310F">
          <w:rPr>
            <w:rStyle w:val="ae"/>
            <w:color w:val="auto"/>
          </w:rPr>
          <w:t xml:space="preserve"> </w:t>
        </w:r>
        <w:r w:rsidR="00210EEB" w:rsidRPr="00C3310F">
          <w:rPr>
            <w:rStyle w:val="ae"/>
            <w:rFonts w:hint="eastAsia"/>
            <w:color w:val="auto"/>
          </w:rPr>
          <w:t>社群</w:t>
        </w:r>
        <w:r w:rsidR="0004575A" w:rsidRPr="00C3310F">
          <w:rPr>
            <w:rStyle w:val="ae"/>
            <w:rFonts w:hint="eastAsia"/>
            <w:color w:val="auto"/>
          </w:rPr>
          <w:t>平臺</w:t>
        </w:r>
        <w:r w:rsidR="00210EEB" w:rsidRPr="00C3310F">
          <w:rPr>
            <w:rStyle w:val="ae"/>
            <w:rFonts w:hint="eastAsia"/>
            <w:color w:val="auto"/>
          </w:rPr>
          <w:t>「假求職、真詐騙」廣告範例</w:t>
        </w:r>
        <w:r w:rsidR="00210EEB" w:rsidRPr="00C3310F">
          <w:rPr>
            <w:webHidden/>
            <w:color w:val="auto"/>
          </w:rPr>
          <w:tab/>
        </w:r>
        <w:r w:rsidR="00210EEB" w:rsidRPr="00C3310F">
          <w:rPr>
            <w:webHidden/>
            <w:color w:val="auto"/>
          </w:rPr>
          <w:fldChar w:fldCharType="begin"/>
        </w:r>
        <w:r w:rsidR="00210EEB" w:rsidRPr="00C3310F">
          <w:rPr>
            <w:webHidden/>
            <w:color w:val="auto"/>
          </w:rPr>
          <w:instrText xml:space="preserve"> PAGEREF _Toc172025268 \h </w:instrText>
        </w:r>
        <w:r w:rsidR="00210EEB" w:rsidRPr="00C3310F">
          <w:rPr>
            <w:webHidden/>
            <w:color w:val="auto"/>
          </w:rPr>
        </w:r>
        <w:r w:rsidR="00210EEB" w:rsidRPr="00C3310F">
          <w:rPr>
            <w:webHidden/>
            <w:color w:val="auto"/>
          </w:rPr>
          <w:fldChar w:fldCharType="separate"/>
        </w:r>
        <w:r>
          <w:rPr>
            <w:webHidden/>
            <w:color w:val="auto"/>
          </w:rPr>
          <w:t>170</w:t>
        </w:r>
        <w:r w:rsidR="00210EEB" w:rsidRPr="00C3310F">
          <w:rPr>
            <w:webHidden/>
            <w:color w:val="auto"/>
          </w:rPr>
          <w:fldChar w:fldCharType="end"/>
        </w:r>
      </w:hyperlink>
    </w:p>
    <w:p w14:paraId="7D23CA46" w14:textId="4713A234" w:rsidR="00210EEB" w:rsidRPr="00C3310F" w:rsidRDefault="00595F3D" w:rsidP="00803F1D">
      <w:pPr>
        <w:pStyle w:val="23"/>
        <w:rPr>
          <w:rFonts w:asciiTheme="minorHAnsi" w:eastAsiaTheme="minorEastAsia" w:hAnsiTheme="minorHAnsi" w:cstheme="minorBidi"/>
          <w:color w:val="auto"/>
          <w:sz w:val="24"/>
          <w:szCs w:val="22"/>
        </w:rPr>
      </w:pPr>
      <w:hyperlink w:anchor="_Toc172025270" w:history="1">
        <w:r w:rsidR="00210EEB" w:rsidRPr="00C3310F">
          <w:rPr>
            <w:rStyle w:val="ae"/>
            <w:rFonts w:hint="eastAsia"/>
            <w:color w:val="auto"/>
          </w:rPr>
          <w:t>圖16</w:t>
        </w:r>
        <w:r w:rsidR="00491F30" w:rsidRPr="00C3310F">
          <w:rPr>
            <w:rStyle w:val="ae"/>
            <w:color w:val="auto"/>
          </w:rPr>
          <w:t xml:space="preserve"> </w:t>
        </w:r>
        <w:r w:rsidR="00210EEB" w:rsidRPr="00C3310F">
          <w:rPr>
            <w:rStyle w:val="ae"/>
            <w:rFonts w:hint="eastAsia"/>
            <w:color w:val="auto"/>
          </w:rPr>
          <w:t>跨國電信網路詐騙集團分工圖</w:t>
        </w:r>
        <w:r w:rsidR="00210EEB" w:rsidRPr="00C3310F">
          <w:rPr>
            <w:webHidden/>
            <w:color w:val="auto"/>
          </w:rPr>
          <w:tab/>
        </w:r>
        <w:r w:rsidR="00210EEB" w:rsidRPr="00C3310F">
          <w:rPr>
            <w:webHidden/>
            <w:color w:val="auto"/>
          </w:rPr>
          <w:fldChar w:fldCharType="begin"/>
        </w:r>
        <w:r w:rsidR="00210EEB" w:rsidRPr="00C3310F">
          <w:rPr>
            <w:webHidden/>
            <w:color w:val="auto"/>
          </w:rPr>
          <w:instrText xml:space="preserve"> PAGEREF _Toc172025270 \h </w:instrText>
        </w:r>
        <w:r w:rsidR="00210EEB" w:rsidRPr="00C3310F">
          <w:rPr>
            <w:webHidden/>
            <w:color w:val="auto"/>
          </w:rPr>
        </w:r>
        <w:r w:rsidR="00210EEB" w:rsidRPr="00C3310F">
          <w:rPr>
            <w:webHidden/>
            <w:color w:val="auto"/>
          </w:rPr>
          <w:fldChar w:fldCharType="separate"/>
        </w:r>
        <w:r>
          <w:rPr>
            <w:webHidden/>
            <w:color w:val="auto"/>
          </w:rPr>
          <w:t>228</w:t>
        </w:r>
        <w:r w:rsidR="00210EEB" w:rsidRPr="00C3310F">
          <w:rPr>
            <w:webHidden/>
            <w:color w:val="auto"/>
          </w:rPr>
          <w:fldChar w:fldCharType="end"/>
        </w:r>
      </w:hyperlink>
    </w:p>
    <w:p w14:paraId="6113E0D4" w14:textId="77777777" w:rsidR="00E25849" w:rsidRPr="00C3310F" w:rsidRDefault="00AA42D5" w:rsidP="00803F1D">
      <w:pPr>
        <w:ind w:hanging="200"/>
        <w:rPr>
          <w:bCs/>
        </w:rPr>
      </w:pPr>
      <w:r w:rsidRPr="00C3310F">
        <w:rPr>
          <w:bCs/>
        </w:rPr>
        <w:fldChar w:fldCharType="end"/>
      </w:r>
    </w:p>
    <w:p w14:paraId="52A51987" w14:textId="77777777" w:rsidR="00C252CB" w:rsidRPr="00C3310F" w:rsidRDefault="00C252CB">
      <w:pPr>
        <w:rPr>
          <w:bCs/>
        </w:rPr>
      </w:pPr>
    </w:p>
    <w:p w14:paraId="22D13B31" w14:textId="77777777" w:rsidR="00C252CB" w:rsidRPr="00C3310F" w:rsidRDefault="00C252CB">
      <w:pPr>
        <w:rPr>
          <w:bCs/>
        </w:rPr>
      </w:pPr>
    </w:p>
    <w:p w14:paraId="4FD896E6" w14:textId="77777777" w:rsidR="00C252CB" w:rsidRPr="00C3310F" w:rsidRDefault="00C252CB">
      <w:pPr>
        <w:rPr>
          <w:bCs/>
        </w:rPr>
      </w:pPr>
    </w:p>
    <w:p w14:paraId="4321D610" w14:textId="77777777" w:rsidR="00491F30" w:rsidRPr="00C3310F" w:rsidRDefault="00491F30">
      <w:pPr>
        <w:rPr>
          <w:bCs/>
        </w:rPr>
      </w:pPr>
    </w:p>
    <w:p w14:paraId="041DFBDB" w14:textId="77777777" w:rsidR="00491F30" w:rsidRPr="00C3310F" w:rsidRDefault="00491F30">
      <w:pPr>
        <w:rPr>
          <w:bCs/>
        </w:rPr>
      </w:pPr>
    </w:p>
    <w:p w14:paraId="0D53C472" w14:textId="77777777" w:rsidR="00491F30" w:rsidRPr="00C3310F" w:rsidRDefault="00491F30">
      <w:pPr>
        <w:rPr>
          <w:bCs/>
        </w:rPr>
      </w:pPr>
    </w:p>
    <w:p w14:paraId="61A4129E" w14:textId="77777777" w:rsidR="00491F30" w:rsidRPr="00C3310F" w:rsidRDefault="00491F30">
      <w:pPr>
        <w:rPr>
          <w:bCs/>
        </w:rPr>
      </w:pPr>
    </w:p>
    <w:p w14:paraId="6E6B22FE" w14:textId="77777777" w:rsidR="00E25849" w:rsidRPr="00C3310F" w:rsidRDefault="00E25849">
      <w:pPr>
        <w:pStyle w:val="ab"/>
        <w:spacing w:before="0"/>
        <w:ind w:left="1701" w:firstLine="0"/>
        <w:rPr>
          <w:bCs/>
        </w:rPr>
      </w:pPr>
    </w:p>
    <w:p w14:paraId="1F2A642F" w14:textId="77777777" w:rsidR="00C252CB" w:rsidRPr="00C3310F" w:rsidRDefault="00C252CB">
      <w:pPr>
        <w:pStyle w:val="ab"/>
        <w:spacing w:before="0"/>
        <w:ind w:left="1701" w:firstLine="0"/>
        <w:rPr>
          <w:bCs/>
        </w:rPr>
        <w:sectPr w:rsidR="00C252CB" w:rsidRPr="00C3310F" w:rsidSect="00A835BD">
          <w:footerReference w:type="default" r:id="rId8"/>
          <w:pgSz w:w="11907" w:h="16840" w:code="9"/>
          <w:pgMar w:top="1701" w:right="1418" w:bottom="1418" w:left="1418" w:header="851" w:footer="851" w:gutter="227"/>
          <w:pgNumType w:fmt="upperRoman" w:start="1"/>
          <w:cols w:space="425"/>
          <w:docGrid w:type="linesAndChars" w:linePitch="457" w:charSpace="4127"/>
        </w:sectPr>
      </w:pPr>
    </w:p>
    <w:p w14:paraId="385226EE" w14:textId="77777777" w:rsidR="00D75644" w:rsidRPr="00C3310F" w:rsidRDefault="009D26EF" w:rsidP="00B917B5">
      <w:pPr>
        <w:pStyle w:val="af2"/>
      </w:pPr>
      <w:r w:rsidRPr="00C3310F">
        <w:rPr>
          <w:rFonts w:hint="eastAsia"/>
        </w:rPr>
        <w:lastRenderedPageBreak/>
        <w:t>監察院</w:t>
      </w:r>
      <w:r w:rsidR="000E19F4" w:rsidRPr="00C3310F">
        <w:t>112</w:t>
      </w:r>
      <w:r w:rsidRPr="00C3310F">
        <w:rPr>
          <w:rFonts w:hint="eastAsia"/>
        </w:rPr>
        <w:t>年度通案性案件調查研究報告</w:t>
      </w:r>
    </w:p>
    <w:p w14:paraId="42AC59B8" w14:textId="77777777" w:rsidR="00E25849" w:rsidRPr="00C3310F" w:rsidRDefault="009D26EF" w:rsidP="00B917B5">
      <w:pPr>
        <w:pStyle w:val="1"/>
        <w:numPr>
          <w:ilvl w:val="0"/>
          <w:numId w:val="0"/>
        </w:numPr>
        <w:jc w:val="center"/>
        <w:rPr>
          <w:b/>
          <w:sz w:val="36"/>
        </w:rPr>
      </w:pPr>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3850"/>
      <w:bookmarkStart w:id="14" w:name="_Toc529228246"/>
      <w:bookmarkStart w:id="15" w:name="_Toc2400382"/>
      <w:bookmarkStart w:id="16" w:name="_Toc4316177"/>
      <w:bookmarkStart w:id="17" w:name="_Toc4473318"/>
      <w:bookmarkStart w:id="18" w:name="_Toc69556885"/>
      <w:bookmarkStart w:id="19" w:name="_Toc69556934"/>
      <w:bookmarkStart w:id="20" w:name="_Toc69609808"/>
      <w:bookmarkStart w:id="21" w:name="_Toc70241804"/>
      <w:bookmarkStart w:id="22" w:name="_Toc70242193"/>
      <w:bookmarkStart w:id="23" w:name="_Toc421794863"/>
      <w:bookmarkStart w:id="24" w:name="_Toc172033162"/>
      <w:r w:rsidRPr="00C3310F">
        <w:rPr>
          <w:rFonts w:hint="eastAsia"/>
          <w:b/>
          <w:sz w:val="36"/>
        </w:rPr>
        <w:t>題目</w:t>
      </w:r>
      <w:bookmarkEnd w:id="1"/>
      <w:bookmarkEnd w:id="2"/>
      <w:bookmarkEnd w:id="3"/>
      <w:bookmarkEnd w:id="4"/>
      <w:bookmarkEnd w:id="5"/>
      <w:bookmarkEnd w:id="6"/>
      <w:bookmarkEnd w:id="7"/>
      <w:bookmarkEnd w:id="8"/>
      <w:bookmarkEnd w:id="9"/>
      <w:r w:rsidR="00E25849" w:rsidRPr="00C3310F">
        <w:rPr>
          <w:rFonts w:hint="eastAsia"/>
          <w:b/>
          <w:sz w:val="36"/>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r w:rsidR="00597DAC" w:rsidRPr="00C3310F">
        <w:rPr>
          <w:rFonts w:hint="eastAsia"/>
          <w:b/>
          <w:sz w:val="36"/>
        </w:rPr>
        <w:t>政府防制電信網路詐欺之對策與檢討</w:t>
      </w:r>
      <w:bookmarkEnd w:id="24"/>
    </w:p>
    <w:p w14:paraId="68FAB8D7" w14:textId="77777777" w:rsidR="00E25849" w:rsidRPr="00C3310F" w:rsidRDefault="005E509C" w:rsidP="001750E7">
      <w:pPr>
        <w:pStyle w:val="1"/>
        <w:jc w:val="center"/>
        <w:rPr>
          <w:b/>
          <w:sz w:val="36"/>
        </w:rPr>
      </w:pPr>
      <w:bookmarkStart w:id="25" w:name="_Toc529218255"/>
      <w:bookmarkStart w:id="26" w:name="_Toc529222678"/>
      <w:bookmarkStart w:id="27" w:name="_Toc529223100"/>
      <w:bookmarkStart w:id="28" w:name="_Toc529223851"/>
      <w:bookmarkStart w:id="29" w:name="_Toc529228247"/>
      <w:bookmarkStart w:id="30" w:name="_Toc2400383"/>
      <w:bookmarkStart w:id="31" w:name="_Toc4316178"/>
      <w:bookmarkStart w:id="32" w:name="_Toc4473319"/>
      <w:bookmarkStart w:id="33" w:name="_Toc69556886"/>
      <w:bookmarkStart w:id="34" w:name="_Toc69556935"/>
      <w:bookmarkStart w:id="35" w:name="_Toc69609809"/>
      <w:bookmarkStart w:id="36" w:name="_Toc70241805"/>
      <w:bookmarkStart w:id="37" w:name="_Toc70242194"/>
      <w:bookmarkStart w:id="38" w:name="_Toc421794864"/>
      <w:bookmarkStart w:id="39" w:name="_Toc172033163"/>
      <w:r w:rsidRPr="00C3310F">
        <w:rPr>
          <w:rFonts w:hint="eastAsia"/>
          <w:b/>
          <w:sz w:val="36"/>
        </w:rPr>
        <w:t>通案調查研究主旨</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7591F781" w14:textId="77777777" w:rsidR="00451DDB" w:rsidRPr="00C3310F" w:rsidRDefault="005E509C" w:rsidP="00342B6E">
      <w:pPr>
        <w:pStyle w:val="2"/>
        <w:numPr>
          <w:ilvl w:val="1"/>
          <w:numId w:val="24"/>
        </w:numPr>
      </w:pPr>
      <w:bookmarkStart w:id="40" w:name="_Toc172033164"/>
      <w:r w:rsidRPr="00C3310F">
        <w:rPr>
          <w:rFonts w:hint="eastAsia"/>
        </w:rPr>
        <w:t>研究緣起：</w:t>
      </w:r>
      <w:bookmarkEnd w:id="40"/>
    </w:p>
    <w:p w14:paraId="7BD1032D" w14:textId="5D0B6E1D" w:rsidR="00451DDB" w:rsidRPr="00C3310F" w:rsidRDefault="00451DDB" w:rsidP="00451DDB">
      <w:pPr>
        <w:pStyle w:val="3"/>
      </w:pPr>
      <w:bookmarkStart w:id="41" w:name="_Toc171525381"/>
      <w:bookmarkStart w:id="42" w:name="_Toc172022670"/>
      <w:bookmarkStart w:id="43" w:name="_Toc172023846"/>
      <w:bookmarkStart w:id="44" w:name="_Toc172033165"/>
      <w:r w:rsidRPr="00C3310F">
        <w:rPr>
          <w:rFonts w:hint="eastAsia"/>
        </w:rPr>
        <w:t>依據臺灣高等檢察署</w:t>
      </w:r>
      <w:r w:rsidR="00CC00D0" w:rsidRPr="00C3310F">
        <w:rPr>
          <w:rFonts w:hint="eastAsia"/>
        </w:rPr>
        <w:t>(下稱高檢署</w:t>
      </w:r>
      <w:r w:rsidR="00CC00D0" w:rsidRPr="00C3310F">
        <w:t>)</w:t>
      </w:r>
      <w:r w:rsidRPr="00C3310F">
        <w:rPr>
          <w:rFonts w:hint="eastAsia"/>
        </w:rPr>
        <w:t>資料顯示，民國(下同)108年以前我國電信、網路詐欺案件，每年新收件數均低於35,000件，新收人數亦低於51,000人，然至109年起，電信、網路詐欺案件及人數即明顯成長，新收件數由108年34,947件逐年</w:t>
      </w:r>
      <w:r w:rsidR="003977B9" w:rsidRPr="00C3310F">
        <w:rPr>
          <w:rFonts w:hint="eastAsia"/>
        </w:rPr>
        <w:t>成長至112年之229</w:t>
      </w:r>
      <w:r w:rsidR="003977B9" w:rsidRPr="00C3310F">
        <w:t>,</w:t>
      </w:r>
      <w:r w:rsidR="003977B9" w:rsidRPr="00C3310F">
        <w:rPr>
          <w:rFonts w:hint="eastAsia"/>
        </w:rPr>
        <w:t>711件，</w:t>
      </w:r>
      <w:r w:rsidR="003977B9" w:rsidRPr="00C3310F">
        <w:t>5</w:t>
      </w:r>
      <w:r w:rsidR="003977B9" w:rsidRPr="00C3310F">
        <w:rPr>
          <w:rFonts w:hint="eastAsia"/>
        </w:rPr>
        <w:t>年間新收件數增加1</w:t>
      </w:r>
      <w:r w:rsidR="003977B9" w:rsidRPr="00C3310F">
        <w:t>94</w:t>
      </w:r>
      <w:r w:rsidR="003977B9" w:rsidRPr="00C3310F">
        <w:rPr>
          <w:rFonts w:hint="eastAsia"/>
        </w:rPr>
        <w:t>,</w:t>
      </w:r>
      <w:r w:rsidR="003977B9" w:rsidRPr="00C3310F">
        <w:t>764</w:t>
      </w:r>
      <w:r w:rsidR="003977B9" w:rsidRPr="00C3310F">
        <w:rPr>
          <w:rFonts w:hint="eastAsia"/>
        </w:rPr>
        <w:t>件，成長6</w:t>
      </w:r>
      <w:r w:rsidR="003977B9" w:rsidRPr="00C3310F">
        <w:t>57</w:t>
      </w:r>
      <w:r w:rsidR="003977B9" w:rsidRPr="00C3310F">
        <w:rPr>
          <w:rFonts w:hint="eastAsia"/>
        </w:rPr>
        <w:t>%；另新收人數則由108年之50,560人，成長至1</w:t>
      </w:r>
      <w:r w:rsidR="003977B9" w:rsidRPr="00C3310F">
        <w:t>11</w:t>
      </w:r>
      <w:r w:rsidR="003977B9" w:rsidRPr="00C3310F">
        <w:rPr>
          <w:rFonts w:hint="eastAsia"/>
        </w:rPr>
        <w:t>年</w:t>
      </w:r>
      <w:r w:rsidRPr="00C3310F">
        <w:rPr>
          <w:rFonts w:hint="eastAsia"/>
        </w:rPr>
        <w:t>190,493人，增加139,933人，成長亦高達276.77%，且依據內政部統計顯示111年國人因全般詐欺財損金額達</w:t>
      </w:r>
      <w:r w:rsidR="002D3F71" w:rsidRPr="00C3310F">
        <w:rPr>
          <w:rFonts w:hint="eastAsia"/>
        </w:rPr>
        <w:t>新臺幣(下同)</w:t>
      </w:r>
      <w:r w:rsidRPr="00C3310F">
        <w:rPr>
          <w:rFonts w:hint="eastAsia"/>
        </w:rPr>
        <w:t>73.3億元，顯示詐欺集團透過電信、網路詐欺已嚴重損及國人財產，成為國安危機。政府相關因應對策及其執行成效如何，均值得本院深入調查研究。</w:t>
      </w:r>
      <w:bookmarkEnd w:id="41"/>
      <w:bookmarkEnd w:id="42"/>
      <w:bookmarkEnd w:id="43"/>
      <w:bookmarkEnd w:id="44"/>
    </w:p>
    <w:p w14:paraId="1C73C42B" w14:textId="1A8C3364" w:rsidR="007753F8" w:rsidRPr="00C3310F" w:rsidRDefault="007753F8" w:rsidP="00451DDB">
      <w:pPr>
        <w:pStyle w:val="3"/>
      </w:pPr>
      <w:bookmarkStart w:id="45" w:name="_Toc172022671"/>
      <w:bookmarkStart w:id="46" w:name="_Toc172023847"/>
      <w:bookmarkStart w:id="47" w:name="_Toc172033166"/>
      <w:r w:rsidRPr="00C3310F">
        <w:rPr>
          <w:rFonts w:hint="eastAsia"/>
        </w:rPr>
        <w:t>本院陳菊院長於112年12月18日率領全體監察委員巡察行政院</w:t>
      </w:r>
      <w:r w:rsidRPr="00C3310F">
        <w:rPr>
          <w:rStyle w:val="afe"/>
        </w:rPr>
        <w:footnoteReference w:id="2"/>
      </w:r>
      <w:r w:rsidRPr="00C3310F">
        <w:rPr>
          <w:rFonts w:hint="eastAsia"/>
        </w:rPr>
        <w:t>時，對時任行政院陳建仁院長指出，目前行政機關對於電商個資外洩嚴重、虛擬通貨成為洗錢管道、通訊軟體成為犯罪工具等偵辦困境迄無有效改善對策。</w:t>
      </w:r>
      <w:r w:rsidR="0056275C" w:rsidRPr="00C3310F">
        <w:rPr>
          <w:rFonts w:hint="eastAsia"/>
        </w:rPr>
        <w:t>本</w:t>
      </w:r>
      <w:r w:rsidRPr="00C3310F">
        <w:rPr>
          <w:rFonts w:hint="eastAsia"/>
        </w:rPr>
        <w:t>院對於國內外所發生的詐騙案也依職權進行調查，並促請行政院應督導所屬機關提出對策；並強調希望能透過兩院共同合作，對於境內</w:t>
      </w:r>
      <w:r w:rsidRPr="00C3310F">
        <w:rPr>
          <w:rFonts w:hint="eastAsia"/>
        </w:rPr>
        <w:lastRenderedPageBreak/>
        <w:t>外求職詐騙案件調查建議事項及早研修配套法令，並建立跨部會合作</w:t>
      </w:r>
      <w:r w:rsidR="0004575A" w:rsidRPr="00C3310F">
        <w:rPr>
          <w:rFonts w:hint="eastAsia"/>
        </w:rPr>
        <w:t>平臺</w:t>
      </w:r>
      <w:r w:rsidRPr="00C3310F">
        <w:rPr>
          <w:rFonts w:hint="eastAsia"/>
        </w:rPr>
        <w:t>及專責窗口，挹注相關犯罪偵防人力資源，儘速完備處理機制，以符合國際人權潮流與憲法基本國策，保障國人生命財產及人身安全。</w:t>
      </w:r>
      <w:bookmarkEnd w:id="45"/>
      <w:bookmarkEnd w:id="46"/>
      <w:bookmarkEnd w:id="47"/>
    </w:p>
    <w:p w14:paraId="203971FA" w14:textId="77777777" w:rsidR="005E509C" w:rsidRPr="00C3310F" w:rsidRDefault="00451DDB" w:rsidP="00451DDB">
      <w:pPr>
        <w:pStyle w:val="3"/>
      </w:pPr>
      <w:bookmarkStart w:id="48" w:name="_Toc171525382"/>
      <w:bookmarkStart w:id="49" w:name="_Toc172022672"/>
      <w:bookmarkStart w:id="50" w:name="_Toc172023848"/>
      <w:bookmarkStart w:id="51" w:name="_Toc172033167"/>
      <w:r w:rsidRPr="00C3310F">
        <w:rPr>
          <w:rFonts w:hint="eastAsia"/>
        </w:rPr>
        <w:t>此外，</w:t>
      </w:r>
      <w:r w:rsidR="00DE6ACB" w:rsidRPr="00C3310F">
        <w:rPr>
          <w:rFonts w:hint="eastAsia"/>
        </w:rPr>
        <w:t>本院自98年起陸續就電信網路詐欺相關情事辦理7件調查案件，並對政府打擊電信網路詐欺提出多項調查意見，請政府相關主管機關確實檢討改進。</w:t>
      </w:r>
      <w:r w:rsidRPr="00C3310F">
        <w:rPr>
          <w:rFonts w:hint="eastAsia"/>
        </w:rPr>
        <w:t>政府近年</w:t>
      </w:r>
      <w:r w:rsidR="00DE6ACB" w:rsidRPr="00C3310F">
        <w:rPr>
          <w:rFonts w:hint="eastAsia"/>
        </w:rPr>
        <w:t>亦將</w:t>
      </w:r>
      <w:r w:rsidRPr="00C3310F">
        <w:rPr>
          <w:rFonts w:hint="eastAsia"/>
        </w:rPr>
        <w:t>打擊詐欺犯罪列為治安重點，</w:t>
      </w:r>
      <w:r w:rsidR="00DE6ACB" w:rsidRPr="00C3310F">
        <w:rPr>
          <w:rFonts w:hint="eastAsia"/>
        </w:rPr>
        <w:t>然國內電信網路詐欺情事並未有效減少，</w:t>
      </w:r>
      <w:r w:rsidR="00703F08" w:rsidRPr="00C3310F">
        <w:rPr>
          <w:rFonts w:hint="eastAsia"/>
        </w:rPr>
        <w:t>機關</w:t>
      </w:r>
      <w:r w:rsidR="00DE6ACB" w:rsidRPr="00C3310F">
        <w:rPr>
          <w:rFonts w:hint="eastAsia"/>
        </w:rPr>
        <w:t>對本院所提調查意見部分</w:t>
      </w:r>
      <w:r w:rsidR="00433A97" w:rsidRPr="00C3310F">
        <w:rPr>
          <w:rFonts w:hint="eastAsia"/>
        </w:rPr>
        <w:t>亦</w:t>
      </w:r>
      <w:r w:rsidR="00DE6ACB" w:rsidRPr="00C3310F">
        <w:rPr>
          <w:rFonts w:hint="eastAsia"/>
        </w:rPr>
        <w:t>未</w:t>
      </w:r>
      <w:r w:rsidR="00433A97" w:rsidRPr="00C3310F">
        <w:rPr>
          <w:rFonts w:hint="eastAsia"/>
        </w:rPr>
        <w:t>澈底</w:t>
      </w:r>
      <w:r w:rsidR="00DE6ACB" w:rsidRPr="00C3310F">
        <w:rPr>
          <w:rFonts w:hint="eastAsia"/>
        </w:rPr>
        <w:t>改善。</w:t>
      </w:r>
      <w:r w:rsidR="00433A97" w:rsidRPr="00C3310F">
        <w:rPr>
          <w:rFonts w:hint="eastAsia"/>
        </w:rPr>
        <w:t>為此，</w:t>
      </w:r>
      <w:r w:rsidRPr="00C3310F">
        <w:rPr>
          <w:rFonts w:hint="eastAsia"/>
        </w:rPr>
        <w:t>行政院</w:t>
      </w:r>
      <w:r w:rsidR="00433A97" w:rsidRPr="00C3310F">
        <w:rPr>
          <w:rFonts w:hint="eastAsia"/>
        </w:rPr>
        <w:t>嗣</w:t>
      </w:r>
      <w:r w:rsidRPr="00C3310F">
        <w:rPr>
          <w:rFonts w:hint="eastAsia"/>
        </w:rPr>
        <w:t>於111年7月15日函頒「新世代打擊詐欺策略行動綱領」</w:t>
      </w:r>
      <w:r w:rsidR="00C125FD" w:rsidRPr="00C3310F">
        <w:rPr>
          <w:rFonts w:hint="eastAsia"/>
        </w:rPr>
        <w:t>(下稱打詐綱領1.0版)</w:t>
      </w:r>
      <w:r w:rsidRPr="00C3310F">
        <w:rPr>
          <w:rFonts w:hint="eastAsia"/>
        </w:rPr>
        <w:t>，透過跨部會合作共同打擊詐欺。又為</w:t>
      </w:r>
      <w:r w:rsidR="00703F08" w:rsidRPr="00C3310F">
        <w:rPr>
          <w:rFonts w:hint="eastAsia"/>
        </w:rPr>
        <w:t>澈</w:t>
      </w:r>
      <w:r w:rsidRPr="00C3310F">
        <w:rPr>
          <w:rFonts w:hint="eastAsia"/>
        </w:rPr>
        <w:t>底解決詐欺犯罪現存問題，強化打擊電信、網路詐欺之能力，行政院於112年2月20日</w:t>
      </w:r>
      <w:r w:rsidR="00DE6ACB" w:rsidRPr="00C3310F">
        <w:rPr>
          <w:rFonts w:hint="eastAsia"/>
        </w:rPr>
        <w:t>再</w:t>
      </w:r>
      <w:r w:rsidRPr="00C3310F">
        <w:rPr>
          <w:rFonts w:hint="eastAsia"/>
        </w:rPr>
        <w:t>推動升級</w:t>
      </w:r>
      <w:r w:rsidR="00C125FD" w:rsidRPr="00C3310F">
        <w:rPr>
          <w:rFonts w:hint="eastAsia"/>
        </w:rPr>
        <w:t>新世代打擊詐欺策略行動綱領1.5版(下稱</w:t>
      </w:r>
      <w:r w:rsidRPr="00C3310F">
        <w:rPr>
          <w:rFonts w:hint="eastAsia"/>
        </w:rPr>
        <w:t>打詐綱領1.5版)</w:t>
      </w:r>
      <w:r w:rsidR="0035333B" w:rsidRPr="00C3310F">
        <w:rPr>
          <w:rFonts w:hint="eastAsia"/>
        </w:rPr>
        <w:t>，相關「打詐五法」及「打詐</w:t>
      </w:r>
      <w:r w:rsidR="007B2F63" w:rsidRPr="00C3310F">
        <w:rPr>
          <w:rFonts w:hint="eastAsia"/>
        </w:rPr>
        <w:t>新</w:t>
      </w:r>
      <w:r w:rsidR="0035333B" w:rsidRPr="00C3310F">
        <w:rPr>
          <w:rFonts w:hint="eastAsia"/>
        </w:rPr>
        <w:t>四法」亦陸續積極研議修訂</w:t>
      </w:r>
      <w:r w:rsidR="00703F08" w:rsidRPr="00C3310F">
        <w:rPr>
          <w:rFonts w:hint="eastAsia"/>
        </w:rPr>
        <w:t>(迄至113年7月16日已獲立院三讀通過</w:t>
      </w:r>
      <w:r w:rsidR="00703F08" w:rsidRPr="00C3310F">
        <w:rPr>
          <w:rStyle w:val="afe"/>
        </w:rPr>
        <w:footnoteReference w:id="3"/>
      </w:r>
      <w:r w:rsidR="00703F08" w:rsidRPr="00C3310F">
        <w:rPr>
          <w:rFonts w:hint="eastAsia"/>
        </w:rPr>
        <w:t>)</w:t>
      </w:r>
      <w:r w:rsidR="0035333B" w:rsidRPr="00C3310F">
        <w:rPr>
          <w:rFonts w:hint="eastAsia"/>
        </w:rPr>
        <w:t>。</w:t>
      </w:r>
      <w:r w:rsidRPr="00C3310F">
        <w:rPr>
          <w:rFonts w:hint="eastAsia"/>
        </w:rPr>
        <w:t>如何避免電信網路詐欺持續猖獗，政府相關改革措施是否得以確保國人生命財產安全，</w:t>
      </w:r>
      <w:r w:rsidR="00DE6ACB" w:rsidRPr="00C3310F">
        <w:rPr>
          <w:rFonts w:hint="eastAsia"/>
        </w:rPr>
        <w:t>實有進行系統性、通案性研究調查之必要。</w:t>
      </w:r>
      <w:bookmarkEnd w:id="48"/>
      <w:bookmarkEnd w:id="49"/>
      <w:bookmarkEnd w:id="50"/>
      <w:bookmarkEnd w:id="51"/>
    </w:p>
    <w:p w14:paraId="56D63AD1" w14:textId="77777777" w:rsidR="00451DDB" w:rsidRPr="00C3310F" w:rsidRDefault="005E509C" w:rsidP="00B92D71">
      <w:pPr>
        <w:pStyle w:val="2"/>
        <w:spacing w:beforeLines="50" w:before="228"/>
        <w:ind w:left="1020" w:hanging="680"/>
      </w:pPr>
      <w:bookmarkStart w:id="52" w:name="_Toc172033168"/>
      <w:r w:rsidRPr="00C3310F">
        <w:rPr>
          <w:rFonts w:hint="eastAsia"/>
        </w:rPr>
        <w:t>研究目的：</w:t>
      </w:r>
      <w:bookmarkEnd w:id="52"/>
    </w:p>
    <w:p w14:paraId="739B4A33" w14:textId="42D2477D" w:rsidR="00433A97" w:rsidRPr="00C3310F" w:rsidRDefault="00433A97" w:rsidP="009C5758">
      <w:pPr>
        <w:pStyle w:val="2"/>
        <w:numPr>
          <w:ilvl w:val="0"/>
          <w:numId w:val="0"/>
        </w:numPr>
        <w:ind w:left="993" w:firstLineChars="250" w:firstLine="850"/>
      </w:pPr>
      <w:bookmarkStart w:id="53" w:name="_Toc172022674"/>
      <w:bookmarkStart w:id="54" w:name="_Toc172023850"/>
      <w:bookmarkStart w:id="55" w:name="_Toc172033169"/>
      <w:bookmarkStart w:id="56" w:name="_Toc171525384"/>
      <w:r w:rsidRPr="00C3310F">
        <w:rPr>
          <w:rFonts w:hint="eastAsia"/>
        </w:rPr>
        <w:t>根據打詐綱領1.0版，內政部警政署(下稱警政署)已於105年整合刑事警察局</w:t>
      </w:r>
      <w:r w:rsidR="00703F08" w:rsidRPr="00C3310F">
        <w:rPr>
          <w:rFonts w:hint="eastAsia"/>
        </w:rPr>
        <w:t>(下稱刑事局)</w:t>
      </w:r>
      <w:r w:rsidRPr="00C3310F">
        <w:rPr>
          <w:rFonts w:hint="eastAsia"/>
        </w:rPr>
        <w:t>等相關業務單位成立「打擊詐欺犯罪中心」，全力推展跨部會、跨機關及跨領域合作，共同打擊詐欺犯罪；數據也顯示106至110年電信網路詐欺案件發生數及全般詐欺財損</w:t>
      </w:r>
      <w:r w:rsidRPr="00C3310F">
        <w:rPr>
          <w:rFonts w:hint="eastAsia"/>
        </w:rPr>
        <w:lastRenderedPageBreak/>
        <w:t>金額朝向穩定控制趨勢</w:t>
      </w:r>
      <w:r w:rsidR="00793A7B" w:rsidRPr="00C3310F">
        <w:rPr>
          <w:rFonts w:hint="eastAsia"/>
        </w:rPr>
        <w:t>；</w:t>
      </w:r>
      <w:r w:rsidRPr="00C3310F">
        <w:rPr>
          <w:rFonts w:hint="eastAsia"/>
        </w:rPr>
        <w:t>然而在110年</w:t>
      </w:r>
      <w:r w:rsidR="00793A7B" w:rsidRPr="00C3310F">
        <w:t>COVID-19</w:t>
      </w:r>
      <w:r w:rsidR="00793A7B" w:rsidRPr="00C3310F">
        <w:rPr>
          <w:rFonts w:hint="eastAsia"/>
        </w:rPr>
        <w:t>疫情期間詐欺犯罪情勢轉趨惡化</w:t>
      </w:r>
      <w:r w:rsidRPr="00C3310F">
        <w:rPr>
          <w:rFonts w:hint="eastAsia"/>
        </w:rPr>
        <w:t>，</w:t>
      </w:r>
      <w:r w:rsidR="00793A7B" w:rsidRPr="00C3310F">
        <w:rPr>
          <w:rFonts w:hint="eastAsia"/>
        </w:rPr>
        <w:t>因此政府於111年7月15日推出打詐綱領1.0版試圖予以</w:t>
      </w:r>
      <w:r w:rsidR="005B2E6E" w:rsidRPr="00C3310F">
        <w:rPr>
          <w:rFonts w:hint="eastAsia"/>
        </w:rPr>
        <w:t>防制</w:t>
      </w:r>
      <w:r w:rsidR="00793A7B" w:rsidRPr="00C3310F">
        <w:rPr>
          <w:rFonts w:hint="eastAsia"/>
        </w:rPr>
        <w:t>。</w:t>
      </w:r>
      <w:bookmarkEnd w:id="53"/>
      <w:bookmarkEnd w:id="54"/>
      <w:bookmarkEnd w:id="55"/>
    </w:p>
    <w:p w14:paraId="277A8469" w14:textId="0B562F1D" w:rsidR="00357A46" w:rsidRPr="00C3310F" w:rsidRDefault="00793A7B" w:rsidP="009C5758">
      <w:pPr>
        <w:pStyle w:val="2"/>
        <w:numPr>
          <w:ilvl w:val="0"/>
          <w:numId w:val="0"/>
        </w:numPr>
        <w:ind w:left="993" w:firstLineChars="250" w:firstLine="850"/>
      </w:pPr>
      <w:bookmarkStart w:id="57" w:name="_Toc172022675"/>
      <w:bookmarkStart w:id="58" w:name="_Toc172023851"/>
      <w:bookmarkStart w:id="59" w:name="_Toc172033170"/>
      <w:r w:rsidRPr="00C3310F">
        <w:rPr>
          <w:rFonts w:hint="eastAsia"/>
        </w:rPr>
        <w:t>然而，在打詐綱領1.0版實施近8個月後，詐欺案件發生數及財損金額仍持續高發，顯然打詐綱領1.0版所列措施未能有效打擊電信網路詐欺犯罪，以致成效有限；為此，政府再度檢討打詐措施</w:t>
      </w:r>
      <w:r w:rsidR="00D44FB6" w:rsidRPr="00C3310F">
        <w:rPr>
          <w:rFonts w:hint="eastAsia"/>
        </w:rPr>
        <w:t>並</w:t>
      </w:r>
      <w:r w:rsidRPr="00C3310F">
        <w:rPr>
          <w:rFonts w:hint="eastAsia"/>
        </w:rPr>
        <w:t>於112年6月9日推出「打詐綱領1.5版」</w:t>
      </w:r>
      <w:r w:rsidR="000F2414" w:rsidRPr="00C3310F">
        <w:rPr>
          <w:rFonts w:hint="eastAsia"/>
        </w:rPr>
        <w:t>；同時推動涉及許多部會之「打詐五法」及「打詐新四法」修法</w:t>
      </w:r>
      <w:r w:rsidRPr="00C3310F">
        <w:rPr>
          <w:rFonts w:hint="eastAsia"/>
        </w:rPr>
        <w:t>；換言之，政府竟在一年內兩度全面升級政策強度</w:t>
      </w:r>
      <w:r w:rsidR="000F2414" w:rsidRPr="00C3310F">
        <w:rPr>
          <w:rFonts w:hint="eastAsia"/>
        </w:rPr>
        <w:t>，並於短期之內檢討高達九部法令，</w:t>
      </w:r>
      <w:r w:rsidRPr="00C3310F">
        <w:rPr>
          <w:rFonts w:hint="eastAsia"/>
        </w:rPr>
        <w:t>此在施政措施中</w:t>
      </w:r>
      <w:r w:rsidR="000F2414" w:rsidRPr="00C3310F">
        <w:rPr>
          <w:rFonts w:hint="eastAsia"/>
        </w:rPr>
        <w:t>洵屬罕</w:t>
      </w:r>
      <w:r w:rsidRPr="00C3310F">
        <w:rPr>
          <w:rFonts w:hint="eastAsia"/>
        </w:rPr>
        <w:t>見，除顯示問題之嚴重性之外，</w:t>
      </w:r>
      <w:r w:rsidR="000F2414" w:rsidRPr="00C3310F">
        <w:rPr>
          <w:rFonts w:hint="eastAsia"/>
        </w:rPr>
        <w:t>更與政府期待之打詐效果有所落差</w:t>
      </w:r>
      <w:r w:rsidR="005B2E6E" w:rsidRPr="00C3310F">
        <w:rPr>
          <w:rFonts w:hint="eastAsia"/>
        </w:rPr>
        <w:t>，其原因殊值深入探究</w:t>
      </w:r>
      <w:r w:rsidR="00004017" w:rsidRPr="00C3310F">
        <w:rPr>
          <w:rFonts w:hint="eastAsia"/>
        </w:rPr>
        <w:t>。</w:t>
      </w:r>
      <w:bookmarkEnd w:id="57"/>
      <w:bookmarkEnd w:id="58"/>
      <w:bookmarkEnd w:id="59"/>
    </w:p>
    <w:p w14:paraId="2236699E" w14:textId="77777777" w:rsidR="00004017" w:rsidRPr="00C3310F" w:rsidRDefault="00357A46" w:rsidP="009C5758">
      <w:pPr>
        <w:pStyle w:val="2"/>
        <w:numPr>
          <w:ilvl w:val="0"/>
          <w:numId w:val="0"/>
        </w:numPr>
        <w:ind w:left="993" w:firstLineChars="250" w:firstLine="850"/>
      </w:pPr>
      <w:bookmarkStart w:id="60" w:name="_Toc172022676"/>
      <w:bookmarkStart w:id="61" w:name="_Toc172023852"/>
      <w:bookmarkStart w:id="62" w:name="_Toc172033171"/>
      <w:r w:rsidRPr="00C3310F">
        <w:rPr>
          <w:rFonts w:hint="eastAsia"/>
        </w:rPr>
        <w:t>迄至113年5月，</w:t>
      </w:r>
      <w:r w:rsidR="00004017" w:rsidRPr="00C3310F">
        <w:rPr>
          <w:rFonts w:hint="eastAsia"/>
        </w:rPr>
        <w:t>打詐綱領1.5版</w:t>
      </w:r>
      <w:r w:rsidRPr="00C3310F">
        <w:rPr>
          <w:rFonts w:hint="eastAsia"/>
        </w:rPr>
        <w:t>已</w:t>
      </w:r>
      <w:r w:rsidR="00004017" w:rsidRPr="00C3310F">
        <w:rPr>
          <w:rFonts w:hint="eastAsia"/>
        </w:rPr>
        <w:t>實施</w:t>
      </w:r>
      <w:r w:rsidRPr="00C3310F">
        <w:rPr>
          <w:rFonts w:hint="eastAsia"/>
        </w:rPr>
        <w:t>近一年之際，行政院仍坦承詐欺案件還在高發時期</w:t>
      </w:r>
      <w:r w:rsidR="005E17A1" w:rsidRPr="00C3310F">
        <w:rPr>
          <w:rStyle w:val="afe"/>
        </w:rPr>
        <w:footnoteReference w:id="4"/>
      </w:r>
      <w:r w:rsidRPr="00C3310F">
        <w:rPr>
          <w:rFonts w:hint="eastAsia"/>
        </w:rPr>
        <w:t>，外界質疑政府打詐政策之聲浪不斷，而直接面對網路詐欺犯罪偵查之基層檢察官亦對上游法令及政策提出建言，顯然縱經政府積極檢討，其政策成效仍未充分彰顯。爰此，</w:t>
      </w:r>
      <w:r w:rsidR="00004017" w:rsidRPr="00C3310F">
        <w:rPr>
          <w:rFonts w:hint="eastAsia"/>
        </w:rPr>
        <w:t>本調查研究亟欲透過文獻盤點、機關調卷、專家學者諮詢及實地履勘等研究方法，</w:t>
      </w:r>
      <w:r w:rsidRPr="00C3310F">
        <w:rPr>
          <w:rFonts w:hint="eastAsia"/>
        </w:rPr>
        <w:t>先對國際趨勢及法制進行了解，接著對詐騙集團之組織及特性如何利用政府治理漏洞詐騙國人，進而</w:t>
      </w:r>
      <w:bookmarkStart w:id="63" w:name="_Hlk171677107"/>
      <w:r w:rsidR="005E17A1" w:rsidRPr="00C3310F">
        <w:rPr>
          <w:rFonts w:hint="eastAsia"/>
        </w:rPr>
        <w:t>嘗試提出</w:t>
      </w:r>
      <w:r w:rsidRPr="00C3310F">
        <w:rPr>
          <w:rFonts w:hint="eastAsia"/>
        </w:rPr>
        <w:t>政府措施不能充分奏效之原因，包括</w:t>
      </w:r>
      <w:r w:rsidR="00004017" w:rsidRPr="00C3310F">
        <w:rPr>
          <w:rFonts w:hint="eastAsia"/>
        </w:rPr>
        <w:t>所潛藏之政府善治各層面之問題，以提供政府施政參考</w:t>
      </w:r>
      <w:bookmarkEnd w:id="63"/>
      <w:r w:rsidR="000F2414" w:rsidRPr="00C3310F">
        <w:rPr>
          <w:rFonts w:hint="eastAsia"/>
        </w:rPr>
        <w:t>。</w:t>
      </w:r>
      <w:bookmarkEnd w:id="60"/>
      <w:bookmarkEnd w:id="61"/>
      <w:bookmarkEnd w:id="62"/>
    </w:p>
    <w:p w14:paraId="1C7E9217" w14:textId="77777777" w:rsidR="00597DAC" w:rsidRPr="00C3310F" w:rsidRDefault="00004017" w:rsidP="009C5758">
      <w:pPr>
        <w:pStyle w:val="2"/>
        <w:numPr>
          <w:ilvl w:val="0"/>
          <w:numId w:val="0"/>
        </w:numPr>
        <w:ind w:left="993" w:firstLineChars="250" w:firstLine="850"/>
      </w:pPr>
      <w:bookmarkStart w:id="64" w:name="_Toc172022677"/>
      <w:bookmarkStart w:id="65" w:name="_Toc172023853"/>
      <w:bookmarkStart w:id="66" w:name="_Toc172033172"/>
      <w:r w:rsidRPr="00C3310F">
        <w:rPr>
          <w:rFonts w:hint="eastAsia"/>
        </w:rPr>
        <w:t>具體而言，本</w:t>
      </w:r>
      <w:r w:rsidR="00CF5C2E" w:rsidRPr="00C3310F">
        <w:rPr>
          <w:rFonts w:hint="eastAsia"/>
        </w:rPr>
        <w:t>調查</w:t>
      </w:r>
      <w:r w:rsidRPr="00C3310F">
        <w:rPr>
          <w:rFonts w:hint="eastAsia"/>
        </w:rPr>
        <w:t>研究將</w:t>
      </w:r>
      <w:r w:rsidR="00CF5C2E" w:rsidRPr="00C3310F">
        <w:rPr>
          <w:rFonts w:hint="eastAsia"/>
        </w:rPr>
        <w:t>運用監察職權取得其他多數研究不易獲得之資料，並以之</w:t>
      </w:r>
      <w:r w:rsidR="00433A97" w:rsidRPr="00C3310F">
        <w:rPr>
          <w:rFonts w:hint="eastAsia"/>
        </w:rPr>
        <w:t>探討我國電信、網路詐欺逐年增加之情形及其對整體社會環境之影響外，亦一併瞭解現行法令與政策對於電信、網路詐欺案件</w:t>
      </w:r>
      <w:r w:rsidR="00433A97" w:rsidRPr="00C3310F">
        <w:rPr>
          <w:rFonts w:hint="eastAsia"/>
        </w:rPr>
        <w:lastRenderedPageBreak/>
        <w:t>之犯罪型態與技術演化之防制是否足夠，並檢討相關政策執行成效，促使相關機關積極面對問題，解決政策盲點，強化對於國人生命及財產安全之保障。</w:t>
      </w:r>
      <w:bookmarkEnd w:id="56"/>
      <w:bookmarkEnd w:id="64"/>
      <w:bookmarkEnd w:id="65"/>
      <w:bookmarkEnd w:id="66"/>
    </w:p>
    <w:p w14:paraId="16F775EE" w14:textId="77777777" w:rsidR="005E509C" w:rsidRPr="00C3310F" w:rsidRDefault="005E509C" w:rsidP="00B92D71">
      <w:pPr>
        <w:pStyle w:val="2"/>
        <w:spacing w:beforeLines="50" w:before="228"/>
        <w:ind w:left="1020" w:hanging="680"/>
      </w:pPr>
      <w:bookmarkStart w:id="67" w:name="_Toc172033173"/>
      <w:r w:rsidRPr="00C3310F">
        <w:rPr>
          <w:rFonts w:hint="eastAsia"/>
        </w:rPr>
        <w:t>研究範疇：</w:t>
      </w:r>
      <w:bookmarkEnd w:id="67"/>
    </w:p>
    <w:p w14:paraId="3E271CFF" w14:textId="77777777" w:rsidR="00D44FB6" w:rsidRPr="00C3310F" w:rsidRDefault="00D44FB6" w:rsidP="005B2E6E">
      <w:pPr>
        <w:pStyle w:val="2"/>
        <w:numPr>
          <w:ilvl w:val="0"/>
          <w:numId w:val="0"/>
        </w:numPr>
        <w:ind w:left="993" w:firstLineChars="250" w:firstLine="850"/>
      </w:pPr>
      <w:bookmarkStart w:id="68" w:name="_Toc172022679"/>
      <w:bookmarkStart w:id="69" w:name="_Toc172023855"/>
      <w:bookmarkStart w:id="70" w:name="_Toc172033174"/>
      <w:bookmarkStart w:id="71" w:name="_Toc171525386"/>
      <w:r w:rsidRPr="00C3310F">
        <w:rPr>
          <w:rFonts w:hint="eastAsia"/>
        </w:rPr>
        <w:t>本調查研究範疇之界定參考「打詐綱領1.5版」將反制措施概分為「識詐」(防詐騙)、「堵詐」(毀工具)、「阻詐」(擋金流)及「懲詐」(清集團)等四大面向，凡涉及該四大面向之內容均屬本調查研究範疇；至於研究對象範疇，則基於本院職權行使對象之規範，以機關為調查研究主體。爰本調查研究主要範疇如次</w:t>
      </w:r>
      <w:bookmarkEnd w:id="68"/>
      <w:bookmarkEnd w:id="69"/>
      <w:bookmarkEnd w:id="70"/>
      <w:r w:rsidRPr="00C3310F">
        <w:rPr>
          <w:rFonts w:hint="eastAsia"/>
        </w:rPr>
        <w:t>：</w:t>
      </w:r>
    </w:p>
    <w:p w14:paraId="7D903BDF" w14:textId="77777777" w:rsidR="00D44FB6" w:rsidRPr="00C3310F" w:rsidRDefault="00D44FB6" w:rsidP="0036083A">
      <w:pPr>
        <w:pStyle w:val="3"/>
      </w:pPr>
      <w:bookmarkStart w:id="72" w:name="_Toc172023856"/>
      <w:bookmarkStart w:id="73" w:name="_Toc172033175"/>
      <w:r w:rsidRPr="00C3310F">
        <w:rPr>
          <w:rFonts w:hint="eastAsia"/>
        </w:rPr>
        <w:t>我國電信網路詐欺案件歷年趨勢與現況</w:t>
      </w:r>
      <w:bookmarkEnd w:id="71"/>
      <w:bookmarkEnd w:id="72"/>
      <w:bookmarkEnd w:id="73"/>
      <w:r w:rsidRPr="00C3310F">
        <w:rPr>
          <w:rFonts w:hint="eastAsia"/>
        </w:rPr>
        <w:t>。</w:t>
      </w:r>
    </w:p>
    <w:p w14:paraId="202AFF22" w14:textId="77777777" w:rsidR="0036083A" w:rsidRPr="00C3310F" w:rsidRDefault="0036083A" w:rsidP="0036083A">
      <w:pPr>
        <w:pStyle w:val="3"/>
      </w:pPr>
      <w:r w:rsidRPr="00C3310F">
        <w:rPr>
          <w:rFonts w:hint="eastAsia"/>
        </w:rPr>
        <w:tab/>
      </w:r>
      <w:bookmarkStart w:id="74" w:name="_Toc171525387"/>
      <w:bookmarkStart w:id="75" w:name="_Toc172023857"/>
      <w:bookmarkStart w:id="76" w:name="_Toc172033176"/>
      <w:r w:rsidR="003141FE" w:rsidRPr="00C3310F">
        <w:rPr>
          <w:rFonts w:hint="eastAsia"/>
        </w:rPr>
        <w:t>電信網路詐欺案件犯罪態樣與技術演化</w:t>
      </w:r>
      <w:r w:rsidRPr="00C3310F">
        <w:rPr>
          <w:rFonts w:hint="eastAsia"/>
        </w:rPr>
        <w:t>之關聯性。</w:t>
      </w:r>
      <w:bookmarkEnd w:id="74"/>
      <w:bookmarkEnd w:id="75"/>
      <w:bookmarkEnd w:id="76"/>
    </w:p>
    <w:p w14:paraId="2C8A744C" w14:textId="77777777" w:rsidR="0036083A" w:rsidRPr="00C3310F" w:rsidRDefault="0036083A" w:rsidP="0036083A">
      <w:pPr>
        <w:pStyle w:val="3"/>
      </w:pPr>
      <w:r w:rsidRPr="00C3310F">
        <w:rPr>
          <w:rFonts w:hint="eastAsia"/>
        </w:rPr>
        <w:tab/>
      </w:r>
      <w:bookmarkStart w:id="77" w:name="_Toc171525388"/>
      <w:bookmarkStart w:id="78" w:name="_Toc172023858"/>
      <w:bookmarkStart w:id="79" w:name="_Toc172033177"/>
      <w:r w:rsidRPr="00C3310F">
        <w:rPr>
          <w:rFonts w:hint="eastAsia"/>
        </w:rPr>
        <w:t>我國</w:t>
      </w:r>
      <w:r w:rsidR="003141FE" w:rsidRPr="00C3310F">
        <w:rPr>
          <w:rFonts w:hint="eastAsia"/>
        </w:rPr>
        <w:t>防制電信網路詐欺案件</w:t>
      </w:r>
      <w:r w:rsidRPr="00C3310F">
        <w:rPr>
          <w:rFonts w:hint="eastAsia"/>
        </w:rPr>
        <w:t>相關政策及法令規範。</w:t>
      </w:r>
      <w:bookmarkEnd w:id="77"/>
      <w:bookmarkEnd w:id="78"/>
      <w:bookmarkEnd w:id="79"/>
    </w:p>
    <w:p w14:paraId="569C633F" w14:textId="77777777" w:rsidR="0036083A" w:rsidRPr="00C3310F" w:rsidRDefault="0036083A" w:rsidP="004D5F10">
      <w:pPr>
        <w:pStyle w:val="3"/>
      </w:pPr>
      <w:r w:rsidRPr="00C3310F">
        <w:rPr>
          <w:rFonts w:hint="eastAsia"/>
        </w:rPr>
        <w:tab/>
      </w:r>
      <w:r w:rsidRPr="00C3310F">
        <w:rPr>
          <w:rFonts w:hint="eastAsia"/>
        </w:rPr>
        <w:tab/>
      </w:r>
      <w:bookmarkStart w:id="80" w:name="_Toc171525389"/>
      <w:bookmarkStart w:id="81" w:name="_Toc172023859"/>
      <w:bookmarkStart w:id="82" w:name="_Toc172033178"/>
      <w:r w:rsidRPr="00C3310F">
        <w:rPr>
          <w:rFonts w:hint="eastAsia"/>
        </w:rPr>
        <w:t>政府對於</w:t>
      </w:r>
      <w:r w:rsidR="003141FE" w:rsidRPr="00C3310F">
        <w:rPr>
          <w:rFonts w:hint="eastAsia"/>
        </w:rPr>
        <w:t>防制電信網路詐欺案件</w:t>
      </w:r>
      <w:r w:rsidRPr="00C3310F">
        <w:rPr>
          <w:rFonts w:hint="eastAsia"/>
        </w:rPr>
        <w:t>對策及執行成效。</w:t>
      </w:r>
      <w:bookmarkEnd w:id="80"/>
      <w:bookmarkEnd w:id="81"/>
      <w:bookmarkEnd w:id="82"/>
    </w:p>
    <w:p w14:paraId="48984758" w14:textId="77777777" w:rsidR="0036083A" w:rsidRPr="00C3310F" w:rsidRDefault="0036083A" w:rsidP="0036083A">
      <w:pPr>
        <w:pStyle w:val="3"/>
      </w:pPr>
      <w:r w:rsidRPr="00C3310F">
        <w:rPr>
          <w:rFonts w:hint="eastAsia"/>
        </w:rPr>
        <w:tab/>
      </w:r>
      <w:bookmarkStart w:id="83" w:name="_Toc171525390"/>
      <w:bookmarkStart w:id="84" w:name="_Toc172023860"/>
      <w:bookmarkStart w:id="85" w:name="_Toc172033179"/>
      <w:r w:rsidRPr="00C3310F">
        <w:rPr>
          <w:rFonts w:hint="eastAsia"/>
        </w:rPr>
        <w:t>其他國家</w:t>
      </w:r>
      <w:r w:rsidR="003141FE" w:rsidRPr="00C3310F">
        <w:rPr>
          <w:rFonts w:hint="eastAsia"/>
        </w:rPr>
        <w:t>防制電信網路詐欺案件</w:t>
      </w:r>
      <w:r w:rsidRPr="00C3310F">
        <w:rPr>
          <w:rFonts w:hint="eastAsia"/>
        </w:rPr>
        <w:t>概況及相關規範。</w:t>
      </w:r>
      <w:bookmarkEnd w:id="83"/>
      <w:bookmarkEnd w:id="84"/>
      <w:bookmarkEnd w:id="85"/>
    </w:p>
    <w:p w14:paraId="14F5E48C" w14:textId="77777777" w:rsidR="00DE6ACB" w:rsidRPr="00C3310F" w:rsidRDefault="0036083A" w:rsidP="0036083A">
      <w:pPr>
        <w:pStyle w:val="3"/>
      </w:pPr>
      <w:r w:rsidRPr="00C3310F">
        <w:rPr>
          <w:rFonts w:hint="eastAsia"/>
        </w:rPr>
        <w:tab/>
      </w:r>
      <w:bookmarkStart w:id="86" w:name="_Toc171525391"/>
      <w:bookmarkStart w:id="87" w:name="_Toc172023861"/>
      <w:bookmarkStart w:id="88" w:name="_Toc172033180"/>
      <w:r w:rsidRPr="00C3310F">
        <w:rPr>
          <w:rFonts w:hint="eastAsia"/>
        </w:rPr>
        <w:t>其他調查中發現之相關問題。</w:t>
      </w:r>
      <w:bookmarkEnd w:id="86"/>
      <w:bookmarkEnd w:id="87"/>
      <w:bookmarkEnd w:id="88"/>
    </w:p>
    <w:p w14:paraId="384D7FB7" w14:textId="77777777" w:rsidR="00DE6ACB" w:rsidRPr="00C3310F" w:rsidRDefault="00DE6ACB">
      <w:pPr>
        <w:widowControl/>
        <w:overflowPunct/>
        <w:autoSpaceDE/>
        <w:autoSpaceDN/>
        <w:jc w:val="left"/>
        <w:rPr>
          <w:rFonts w:hAnsi="Arial"/>
          <w:bCs/>
          <w:kern w:val="32"/>
          <w:szCs w:val="36"/>
        </w:rPr>
      </w:pPr>
      <w:r w:rsidRPr="00C3310F">
        <w:br w:type="page"/>
      </w:r>
    </w:p>
    <w:p w14:paraId="10295372" w14:textId="77777777" w:rsidR="00E25849" w:rsidRPr="00C3310F" w:rsidRDefault="00CA38BF" w:rsidP="001750E7">
      <w:pPr>
        <w:pStyle w:val="1"/>
        <w:spacing w:beforeLines="50" w:before="228"/>
        <w:jc w:val="center"/>
        <w:rPr>
          <w:b/>
          <w:sz w:val="36"/>
        </w:rPr>
      </w:pPr>
      <w:bookmarkStart w:id="89" w:name="_Toc524892368"/>
      <w:bookmarkStart w:id="90" w:name="_Toc524895638"/>
      <w:bookmarkStart w:id="91" w:name="_Toc524896184"/>
      <w:bookmarkStart w:id="92" w:name="_Toc524896214"/>
      <w:bookmarkStart w:id="93" w:name="_Toc524902720"/>
      <w:bookmarkStart w:id="94" w:name="_Toc525066139"/>
      <w:bookmarkStart w:id="95" w:name="_Toc525070829"/>
      <w:bookmarkStart w:id="96" w:name="_Toc525938369"/>
      <w:bookmarkStart w:id="97" w:name="_Toc525939217"/>
      <w:bookmarkStart w:id="98" w:name="_Toc525939722"/>
      <w:bookmarkStart w:id="99" w:name="_Toc421794865"/>
      <w:bookmarkStart w:id="100" w:name="_Toc529218256"/>
      <w:bookmarkStart w:id="101" w:name="_Toc529222679"/>
      <w:bookmarkStart w:id="102" w:name="_Toc529223101"/>
      <w:bookmarkStart w:id="103" w:name="_Toc529223852"/>
      <w:bookmarkStart w:id="104" w:name="_Toc529228248"/>
      <w:bookmarkStart w:id="105" w:name="_Toc2400384"/>
      <w:bookmarkStart w:id="106" w:name="_Toc4316179"/>
      <w:bookmarkStart w:id="107" w:name="_Toc4473320"/>
      <w:bookmarkStart w:id="108" w:name="_Toc69556887"/>
      <w:bookmarkStart w:id="109" w:name="_Toc69556936"/>
      <w:bookmarkStart w:id="110" w:name="_Toc69609810"/>
      <w:bookmarkStart w:id="111" w:name="_Toc70241806"/>
      <w:bookmarkStart w:id="112" w:name="_Toc70242195"/>
      <w:bookmarkStart w:id="113" w:name="_Toc75337859"/>
      <w:bookmarkStart w:id="114" w:name="_Toc75338596"/>
      <w:bookmarkStart w:id="115" w:name="_Toc172033181"/>
      <w:r w:rsidRPr="00C3310F">
        <w:rPr>
          <w:rFonts w:hint="eastAsia"/>
          <w:b/>
          <w:sz w:val="36"/>
        </w:rPr>
        <w:lastRenderedPageBreak/>
        <w:t>問題背景</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14:paraId="1C72E63A" w14:textId="79BDEE2C" w:rsidR="00546859" w:rsidRPr="00C3310F" w:rsidRDefault="00546859" w:rsidP="00705AC6">
      <w:pPr>
        <w:pStyle w:val="2"/>
        <w:numPr>
          <w:ilvl w:val="0"/>
          <w:numId w:val="0"/>
        </w:numPr>
        <w:ind w:left="993" w:firstLineChars="250" w:firstLine="850"/>
      </w:pPr>
      <w:bookmarkStart w:id="116" w:name="_Toc172023863"/>
      <w:bookmarkStart w:id="117" w:name="_Toc172033182"/>
      <w:r w:rsidRPr="00C3310F">
        <w:rPr>
          <w:rFonts w:hint="eastAsia"/>
        </w:rPr>
        <w:t>為達成調查研究目的，</w:t>
      </w:r>
      <w:r w:rsidR="00A1409C" w:rsidRPr="00C3310F">
        <w:rPr>
          <w:rFonts w:hint="eastAsia"/>
        </w:rPr>
        <w:t>本調查研究</w:t>
      </w:r>
      <w:r w:rsidRPr="00C3310F">
        <w:rPr>
          <w:rFonts w:hint="eastAsia"/>
        </w:rPr>
        <w:t>先對電信網路詐欺之實施者</w:t>
      </w:r>
      <w:r w:rsidRPr="00C3310F">
        <w:rPr>
          <w:rFonts w:hAnsi="標楷體" w:hint="eastAsia"/>
        </w:rPr>
        <w:t>—</w:t>
      </w:r>
      <w:r w:rsidRPr="00C3310F">
        <w:rPr>
          <w:rFonts w:hint="eastAsia"/>
        </w:rPr>
        <w:t>詐騙集團之組織、特性及社會網絡有相當解構及認知；此外，在政策及問題研析前，亦須針對詐騙集團、政府及民眾三方所處之數位化、網路化及全球化環境彼此之互動關聯提出</w:t>
      </w:r>
      <w:r w:rsidR="00705AC6" w:rsidRPr="00C3310F">
        <w:rPr>
          <w:rFonts w:hint="eastAsia"/>
        </w:rPr>
        <w:t>背景</w:t>
      </w:r>
      <w:r w:rsidRPr="00C3310F">
        <w:rPr>
          <w:rFonts w:hint="eastAsia"/>
        </w:rPr>
        <w:t>概況，</w:t>
      </w:r>
      <w:r w:rsidR="00705AC6" w:rsidRPr="00C3310F">
        <w:rPr>
          <w:rFonts w:hint="eastAsia"/>
        </w:rPr>
        <w:t>始能對於</w:t>
      </w:r>
      <w:r w:rsidRPr="00C3310F">
        <w:rPr>
          <w:rFonts w:hint="eastAsia"/>
        </w:rPr>
        <w:t>詐騙樣態或治理漏洞</w:t>
      </w:r>
      <w:r w:rsidR="00705AC6" w:rsidRPr="00C3310F">
        <w:rPr>
          <w:rFonts w:hint="eastAsia"/>
        </w:rPr>
        <w:t>進行演繹或歸納；另為取得調查研究內涵之比較及參照基準，問題背景亦須涵括先進國家對於電信網路詐騙之認知、趨勢、治理及政策等。</w:t>
      </w:r>
      <w:bookmarkEnd w:id="116"/>
      <w:bookmarkEnd w:id="117"/>
    </w:p>
    <w:p w14:paraId="7EF7002E" w14:textId="55407CC4" w:rsidR="007C5FA3" w:rsidRPr="00C3310F" w:rsidRDefault="00E02E45" w:rsidP="00342B6E">
      <w:pPr>
        <w:pStyle w:val="2"/>
        <w:numPr>
          <w:ilvl w:val="1"/>
          <w:numId w:val="25"/>
        </w:numPr>
      </w:pPr>
      <w:bookmarkStart w:id="118" w:name="_Toc172033183"/>
      <w:r w:rsidRPr="00C3310F">
        <w:rPr>
          <w:rFonts w:hint="eastAsia"/>
        </w:rPr>
        <w:t>犯罪條件的形成背景</w:t>
      </w:r>
      <w:r w:rsidR="00CB4F4C" w:rsidRPr="00C3310F">
        <w:rPr>
          <w:rFonts w:hint="eastAsia"/>
        </w:rPr>
        <w:t>：</w:t>
      </w:r>
      <w:r w:rsidRPr="00C3310F">
        <w:rPr>
          <w:rFonts w:hint="eastAsia"/>
        </w:rPr>
        <w:t>「打詐綱領1.5版」開宗明義指出，隨著電信、網路之自由化與全球金融交易多元化，詐欺集團利用資、通訊科技發達及金融便利性，不斷衍生新型態之詐欺手法，造成詐欺事件氾濫猖獗，亦有</w:t>
      </w:r>
      <w:r w:rsidR="007C5FA3" w:rsidRPr="00C3310F">
        <w:rPr>
          <w:rFonts w:hint="eastAsia"/>
        </w:rPr>
        <w:t>文獻</w:t>
      </w:r>
      <w:r w:rsidR="007C5FA3" w:rsidRPr="00C3310F">
        <w:rPr>
          <w:rStyle w:val="afe"/>
        </w:rPr>
        <w:footnoteReference w:id="5"/>
      </w:r>
      <w:r w:rsidR="007C5FA3" w:rsidRPr="00C3310F">
        <w:rPr>
          <w:rFonts w:hint="eastAsia"/>
        </w:rPr>
        <w:t>指出1990年代國內金融體制陸續開放，加上1996年1月16日電信法修正通過，促使詐欺犯罪更加興盛蔓延</w:t>
      </w:r>
      <w:r w:rsidRPr="00C3310F">
        <w:rPr>
          <w:rFonts w:hint="eastAsia"/>
        </w:rPr>
        <w:t>；就宏觀角度而言，前揭現象均為近年來數位化、網路化及全球化之浪潮所產生，然而該等論述尚無量化數據佐證，爰本調查研究</w:t>
      </w:r>
      <w:r w:rsidR="0055342B" w:rsidRPr="00C3310F">
        <w:rPr>
          <w:rFonts w:hint="eastAsia"/>
        </w:rPr>
        <w:t>先就國人數位化、網路化及全球化</w:t>
      </w:r>
      <w:r w:rsidR="005E17A1" w:rsidRPr="00C3310F">
        <w:rPr>
          <w:rFonts w:hint="eastAsia"/>
        </w:rPr>
        <w:t>之進程</w:t>
      </w:r>
      <w:r w:rsidR="0055342B" w:rsidRPr="00C3310F">
        <w:rPr>
          <w:rFonts w:hint="eastAsia"/>
        </w:rPr>
        <w:t>綜整</w:t>
      </w:r>
      <w:r w:rsidR="0055342B" w:rsidRPr="00C3310F">
        <w:rPr>
          <w:rStyle w:val="afe"/>
        </w:rPr>
        <w:footnoteReference w:id="6"/>
      </w:r>
      <w:r w:rsidR="0055342B" w:rsidRPr="00C3310F">
        <w:rPr>
          <w:rFonts w:hint="eastAsia"/>
        </w:rPr>
        <w:t>如下：</w:t>
      </w:r>
      <w:bookmarkEnd w:id="118"/>
    </w:p>
    <w:p w14:paraId="64CEDEFE" w14:textId="3B5B9064" w:rsidR="0055342B" w:rsidRPr="00C3310F" w:rsidRDefault="0055342B" w:rsidP="0055342B">
      <w:pPr>
        <w:pStyle w:val="3"/>
      </w:pPr>
      <w:bookmarkStart w:id="119" w:name="_Toc172023865"/>
      <w:bookmarkStart w:id="120" w:name="_Toc172033184"/>
      <w:bookmarkStart w:id="121" w:name="_Toc171525402"/>
      <w:r w:rsidRPr="00C3310F">
        <w:rPr>
          <w:rFonts w:hint="eastAsia"/>
        </w:rPr>
        <w:t>臺灣民眾社群</w:t>
      </w:r>
      <w:r w:rsidR="0004575A" w:rsidRPr="00C3310F">
        <w:rPr>
          <w:rFonts w:hint="eastAsia"/>
        </w:rPr>
        <w:t>平臺</w:t>
      </w:r>
      <w:r w:rsidRPr="00C3310F">
        <w:rPr>
          <w:rFonts w:hint="eastAsia"/>
        </w:rPr>
        <w:t>以Facebook為主，通訊軟體以</w:t>
      </w:r>
      <w:r w:rsidR="00DF3BE8" w:rsidRPr="00C3310F">
        <w:rPr>
          <w:rFonts w:hint="eastAsia"/>
        </w:rPr>
        <w:t>LINE</w:t>
      </w:r>
      <w:r w:rsidRPr="00C3310F">
        <w:rPr>
          <w:rFonts w:hint="eastAsia"/>
        </w:rPr>
        <w:t>為主，普遍而言上網普及率及行動寬頻普及率均高。</w:t>
      </w:r>
      <w:bookmarkEnd w:id="119"/>
      <w:bookmarkEnd w:id="120"/>
    </w:p>
    <w:p w14:paraId="6F4DA0E5" w14:textId="77777777" w:rsidR="0055342B" w:rsidRPr="00C3310F" w:rsidRDefault="0055342B" w:rsidP="0055342B">
      <w:pPr>
        <w:pStyle w:val="3"/>
      </w:pPr>
      <w:bookmarkStart w:id="122" w:name="_Toc172023866"/>
      <w:bookmarkStart w:id="123" w:name="_Toc172033185"/>
      <w:r w:rsidRPr="00C3310F">
        <w:rPr>
          <w:rFonts w:hint="eastAsia"/>
        </w:rPr>
        <w:t>近五成臺灣民眾最常使用的社群媒體仍是臉書（Facebook），達47.27%，大幅領先其他社群媒體。而社群媒體使用率與年齡成反比，年齡愈低則社群媒體使用率則越高。18-29歲年齡層為社群媒體使用</w:t>
      </w:r>
      <w:r w:rsidRPr="00C3310F">
        <w:rPr>
          <w:rFonts w:hint="eastAsia"/>
        </w:rPr>
        <w:lastRenderedPageBreak/>
        <w:t>率最高的族群，高達95.98%。而30-39歲年齡層的社群媒體使用率也在九成以上，達94.84%。</w:t>
      </w:r>
      <w:bookmarkEnd w:id="122"/>
      <w:bookmarkEnd w:id="123"/>
    </w:p>
    <w:p w14:paraId="10225D3E" w14:textId="42BF20FF" w:rsidR="0055342B" w:rsidRPr="00C3310F" w:rsidRDefault="0055342B" w:rsidP="0055342B">
      <w:pPr>
        <w:pStyle w:val="3"/>
      </w:pPr>
      <w:bookmarkStart w:id="124" w:name="_Toc172023867"/>
      <w:bookmarkStart w:id="125" w:name="_Toc172033186"/>
      <w:r w:rsidRPr="00C3310F">
        <w:rPr>
          <w:rFonts w:hint="eastAsia"/>
        </w:rPr>
        <w:t>在通訊軟體部分，調查結果顯示</w:t>
      </w:r>
      <w:r w:rsidR="00DF3BE8" w:rsidRPr="00C3310F">
        <w:rPr>
          <w:rFonts w:hint="eastAsia"/>
        </w:rPr>
        <w:t>LINE</w:t>
      </w:r>
      <w:r w:rsidRPr="00C3310F">
        <w:rPr>
          <w:rFonts w:hint="eastAsia"/>
        </w:rPr>
        <w:t>是</w:t>
      </w:r>
      <w:r w:rsidR="005E17A1" w:rsidRPr="00C3310F">
        <w:rPr>
          <w:rFonts w:hint="eastAsia"/>
        </w:rPr>
        <w:t>臺</w:t>
      </w:r>
      <w:r w:rsidRPr="00C3310F">
        <w:rPr>
          <w:rFonts w:hint="eastAsia"/>
        </w:rPr>
        <w:t>灣民眾最常的即時通訊軟體，</w:t>
      </w:r>
      <w:r w:rsidR="00752EB4" w:rsidRPr="00C3310F">
        <w:rPr>
          <w:rFonts w:hint="eastAsia"/>
        </w:rPr>
        <w:t>占</w:t>
      </w:r>
      <w:r w:rsidRPr="00C3310F">
        <w:rPr>
          <w:rFonts w:hint="eastAsia"/>
        </w:rPr>
        <w:t>77.56%，以懸殊的</w:t>
      </w:r>
      <w:r w:rsidR="00752EB4" w:rsidRPr="00C3310F">
        <w:rPr>
          <w:rFonts w:hint="eastAsia"/>
        </w:rPr>
        <w:t>占</w:t>
      </w:r>
      <w:r w:rsidRPr="00C3310F">
        <w:rPr>
          <w:rFonts w:hint="eastAsia"/>
        </w:rPr>
        <w:t>比大幅領先其他的即時通訊軟體。</w:t>
      </w:r>
      <w:bookmarkEnd w:id="124"/>
      <w:bookmarkEnd w:id="125"/>
    </w:p>
    <w:p w14:paraId="115FC44E" w14:textId="7D487ACA" w:rsidR="0055342B" w:rsidRPr="00C3310F" w:rsidRDefault="0055342B" w:rsidP="0055342B">
      <w:pPr>
        <w:pStyle w:val="3"/>
      </w:pPr>
      <w:bookmarkStart w:id="126" w:name="_Toc172023868"/>
      <w:bookmarkStart w:id="127" w:name="_Toc172033187"/>
      <w:r w:rsidRPr="00C3310F">
        <w:rPr>
          <w:rFonts w:hint="eastAsia"/>
        </w:rPr>
        <w:t>2023年</w:t>
      </w:r>
      <w:r w:rsidR="005E17A1" w:rsidRPr="00C3310F">
        <w:rPr>
          <w:rFonts w:hint="eastAsia"/>
        </w:rPr>
        <w:t>臺</w:t>
      </w:r>
      <w:r w:rsidRPr="00C3310F">
        <w:rPr>
          <w:rFonts w:hint="eastAsia"/>
        </w:rPr>
        <w:t>灣民眾的上網率為84.67%，18至49歲族群更高達95%。</w:t>
      </w:r>
      <w:bookmarkEnd w:id="126"/>
      <w:bookmarkEnd w:id="127"/>
    </w:p>
    <w:p w14:paraId="21FAA154" w14:textId="77777777" w:rsidR="0055342B" w:rsidRPr="00C3310F" w:rsidRDefault="0055342B" w:rsidP="0055342B">
      <w:pPr>
        <w:pStyle w:val="3"/>
      </w:pPr>
      <w:bookmarkStart w:id="128" w:name="_Toc172023869"/>
      <w:bookmarkStart w:id="129" w:name="_Toc172033188"/>
      <w:r w:rsidRPr="00C3310F">
        <w:rPr>
          <w:rFonts w:hint="eastAsia"/>
        </w:rPr>
        <w:t>而</w:t>
      </w:r>
      <w:r w:rsidR="000C4008" w:rsidRPr="00C3310F">
        <w:rPr>
          <w:rFonts w:hint="eastAsia"/>
        </w:rPr>
        <w:t>國家通訊傳播委員會(下稱</w:t>
      </w:r>
      <w:r w:rsidRPr="00C3310F">
        <w:rPr>
          <w:rFonts w:hint="eastAsia"/>
        </w:rPr>
        <w:t>通傳會</w:t>
      </w:r>
      <w:r w:rsidR="000C4008" w:rsidRPr="00C3310F">
        <w:rPr>
          <w:rFonts w:hint="eastAsia"/>
        </w:rPr>
        <w:t>)</w:t>
      </w:r>
      <w:r w:rsidRPr="00C3310F">
        <w:rPr>
          <w:rFonts w:hint="eastAsia"/>
        </w:rPr>
        <w:t>「112年通訊傳播市場報告」</w:t>
      </w:r>
      <w:r w:rsidR="005E17A1" w:rsidRPr="00C3310F">
        <w:rPr>
          <w:rStyle w:val="afe"/>
        </w:rPr>
        <w:footnoteReference w:id="7"/>
      </w:r>
      <w:r w:rsidRPr="00C3310F">
        <w:rPr>
          <w:rFonts w:hint="eastAsia"/>
        </w:rPr>
        <w:t>指出我國行動寬頻普及率於近10年快速成長，已於2016年超越英國，2022年普及率為118.69%。</w:t>
      </w:r>
      <w:bookmarkEnd w:id="128"/>
      <w:bookmarkEnd w:id="129"/>
    </w:p>
    <w:p w14:paraId="270BE7D0" w14:textId="77777777" w:rsidR="00E02E45" w:rsidRPr="00C3310F" w:rsidRDefault="00E02E45" w:rsidP="0055342B">
      <w:pPr>
        <w:pStyle w:val="3"/>
      </w:pPr>
      <w:bookmarkStart w:id="130" w:name="_Toc172023870"/>
      <w:bookmarkStart w:id="131" w:name="_Toc172033189"/>
      <w:bookmarkEnd w:id="121"/>
      <w:r w:rsidRPr="00C3310F">
        <w:rPr>
          <w:rFonts w:hint="eastAsia"/>
        </w:rPr>
        <w:t>網路金融服務應用的使用情形，如行動支付使用、持有加密貨幣的比率，持續呈現成長趨勢。</w:t>
      </w:r>
      <w:bookmarkEnd w:id="130"/>
      <w:bookmarkEnd w:id="131"/>
    </w:p>
    <w:p w14:paraId="0EC8D74E" w14:textId="0F99F474" w:rsidR="00E02E45" w:rsidRPr="00C3310F" w:rsidRDefault="00CB4F4C" w:rsidP="00342B6E">
      <w:pPr>
        <w:pStyle w:val="2"/>
        <w:numPr>
          <w:ilvl w:val="1"/>
          <w:numId w:val="25"/>
        </w:numPr>
      </w:pPr>
      <w:bookmarkStart w:id="132" w:name="_Toc172033190"/>
      <w:r w:rsidRPr="00C3310F">
        <w:rPr>
          <w:rFonts w:hint="eastAsia"/>
        </w:rPr>
        <w:t>電信網路詐騙集團組織：</w:t>
      </w:r>
      <w:r w:rsidR="0055342B" w:rsidRPr="00C3310F">
        <w:rPr>
          <w:rFonts w:hint="eastAsia"/>
        </w:rPr>
        <w:t>詐騙集團由早期以金光黨面對面現金模式行騙，演變至利用電話、簡訊及ATM轉帳，晚近則大量利用社群</w:t>
      </w:r>
      <w:r w:rsidR="0004575A" w:rsidRPr="00C3310F">
        <w:rPr>
          <w:rFonts w:hint="eastAsia"/>
        </w:rPr>
        <w:t>平臺</w:t>
      </w:r>
      <w:r w:rsidR="0055342B" w:rsidRPr="00C3310F">
        <w:rPr>
          <w:rFonts w:hint="eastAsia"/>
        </w:rPr>
        <w:t>、境外來電、網銀、虛擬貨幣等</w:t>
      </w:r>
      <w:r w:rsidR="00CF5C2E" w:rsidRPr="00C3310F">
        <w:rPr>
          <w:rFonts w:hint="eastAsia"/>
        </w:rPr>
        <w:t>工具，詐騙集團之組織及運作模式也隨著技術及社會變遷而調整適應，迄至105年左右之跨境電信網路詐騙集團，已</w:t>
      </w:r>
      <w:bookmarkStart w:id="133" w:name="_Hlk171943646"/>
      <w:r w:rsidR="00CF5C2E" w:rsidRPr="00C3310F">
        <w:rPr>
          <w:rFonts w:hint="eastAsia"/>
        </w:rPr>
        <w:t>發</w:t>
      </w:r>
      <w:r w:rsidR="00C15BA5" w:rsidRPr="00C3310F">
        <w:rPr>
          <w:rFonts w:hint="eastAsia"/>
        </w:rPr>
        <w:t>展</w:t>
      </w:r>
      <w:r w:rsidR="00CF5C2E" w:rsidRPr="00C3310F">
        <w:rPr>
          <w:rFonts w:hint="eastAsia"/>
        </w:rPr>
        <w:t>出一套高效運作並充滿查緝斷點之組織架構</w:t>
      </w:r>
      <w:bookmarkEnd w:id="132"/>
      <w:bookmarkEnd w:id="133"/>
      <w:r w:rsidR="00CB2438" w:rsidRPr="00C3310F">
        <w:rPr>
          <w:rFonts w:hint="eastAsia"/>
        </w:rPr>
        <w:t>。</w:t>
      </w:r>
    </w:p>
    <w:p w14:paraId="49F87C6A" w14:textId="77777777" w:rsidR="00E332D7" w:rsidRPr="00C3310F" w:rsidRDefault="00E332D7" w:rsidP="00E332D7">
      <w:pPr>
        <w:pStyle w:val="3"/>
      </w:pPr>
      <w:bookmarkStart w:id="134" w:name="_Toc172023872"/>
      <w:bookmarkStart w:id="135" w:name="_Toc172033191"/>
      <w:bookmarkStart w:id="136" w:name="_Toc171525410"/>
      <w:r w:rsidRPr="00C3310F">
        <w:rPr>
          <w:rFonts w:hint="eastAsia"/>
        </w:rPr>
        <w:t>詐騙集團組織分工結構層級分明，不易一網打盡，影響偵查能量：</w:t>
      </w:r>
      <w:bookmarkEnd w:id="134"/>
      <w:bookmarkEnd w:id="135"/>
    </w:p>
    <w:p w14:paraId="5CC9C75F" w14:textId="77777777" w:rsidR="00E332D7" w:rsidRPr="00C3310F" w:rsidRDefault="00E332D7" w:rsidP="00E332D7">
      <w:pPr>
        <w:pStyle w:val="4"/>
      </w:pPr>
      <w:r w:rsidRPr="00C3310F">
        <w:rPr>
          <w:rFonts w:hint="eastAsia"/>
        </w:rPr>
        <w:t>詐騙集團採行層級管理、分工細密，組織結構一般劃分為金主及幕後首腦、核心管理幹部、話務機房、系統商、轉帳水房、車手集團、組織結構完整，且因加入管理要素，使該犯罪組織更具效率。各節點間彼此均透過通訊軟體代號方式聯繫，亟難掌握成員間真實身分，易致警方查緝溯源中遭遇層</w:t>
      </w:r>
      <w:r w:rsidRPr="00C3310F">
        <w:rPr>
          <w:rFonts w:hint="eastAsia"/>
        </w:rPr>
        <w:lastRenderedPageBreak/>
        <w:t>層斷點，鮮少查獲幕後首腦偵破整團犯罪組織。</w:t>
      </w:r>
    </w:p>
    <w:p w14:paraId="43F271AF" w14:textId="77777777" w:rsidR="00E332D7" w:rsidRPr="00C3310F" w:rsidRDefault="00E332D7" w:rsidP="00E332D7">
      <w:pPr>
        <w:pStyle w:val="4"/>
      </w:pPr>
      <w:r w:rsidRPr="00C3310F">
        <w:rPr>
          <w:rFonts w:hint="eastAsia"/>
        </w:rPr>
        <w:t>針對躲避境外之詐騙集團，檢警調調閱金融機構金流交易明細回復時間冗長，且回復資料格式不一，彙整作業亦須花費大量人力及時間，形成查緝斷點，影響案件偵辦效能。</w:t>
      </w:r>
    </w:p>
    <w:p w14:paraId="47002F2D" w14:textId="77777777" w:rsidR="00720EB1" w:rsidRPr="00C3310F" w:rsidRDefault="00720EB1" w:rsidP="00720EB1">
      <w:pPr>
        <w:pStyle w:val="3"/>
      </w:pPr>
      <w:bookmarkStart w:id="137" w:name="_Toc172023873"/>
      <w:bookmarkStart w:id="138" w:name="_Toc172033192"/>
      <w:r w:rsidRPr="00C3310F">
        <w:rPr>
          <w:rFonts w:hint="eastAsia"/>
        </w:rPr>
        <w:t>詐欺集團之管理與斷點：</w:t>
      </w:r>
      <w:bookmarkEnd w:id="136"/>
      <w:bookmarkEnd w:id="137"/>
      <w:bookmarkEnd w:id="138"/>
    </w:p>
    <w:p w14:paraId="6D1E9AB3" w14:textId="77777777" w:rsidR="00720EB1" w:rsidRPr="00C3310F" w:rsidRDefault="0050018E" w:rsidP="00720EB1">
      <w:pPr>
        <w:pStyle w:val="4"/>
      </w:pPr>
      <w:r w:rsidRPr="00C3310F">
        <w:rPr>
          <w:rFonts w:hint="eastAsia"/>
        </w:rPr>
        <w:t>依曾雅芬</w:t>
      </w:r>
      <w:r w:rsidRPr="00C3310F">
        <w:rPr>
          <w:rStyle w:val="afe"/>
        </w:rPr>
        <w:footnoteReference w:id="8"/>
      </w:r>
      <w:r w:rsidRPr="00C3310F">
        <w:rPr>
          <w:rFonts w:hint="eastAsia"/>
        </w:rPr>
        <w:t>之研究，詐欺集團</w:t>
      </w:r>
      <w:r w:rsidR="00720EB1" w:rsidRPr="00C3310F">
        <w:rPr>
          <w:rFonts w:hint="eastAsia"/>
        </w:rPr>
        <w:t>核心組人員屬於強連帶關係，各組成員則屬弱連帶關係，分散合作的各組或各集團之間形成結構洞，第三方則屬橋的連接角色（搭橋者）。</w:t>
      </w:r>
    </w:p>
    <w:p w14:paraId="4A21BE90" w14:textId="598651AD" w:rsidR="00720EB1" w:rsidRPr="00C3310F" w:rsidRDefault="00720EB1" w:rsidP="00720EB1">
      <w:pPr>
        <w:pStyle w:val="5"/>
      </w:pPr>
      <w:bookmarkStart w:id="139" w:name="_Toc171525411"/>
      <w:r w:rsidRPr="00C3310F">
        <w:rPr>
          <w:rFonts w:hint="eastAsia"/>
        </w:rPr>
        <w:t>首先是由遠離犯罪者及被害者國家的第三地據點電話組分成三線，透過其他第三地國家的網路跳板</w:t>
      </w:r>
      <w:r w:rsidR="0004575A" w:rsidRPr="00C3310F">
        <w:rPr>
          <w:rFonts w:hint="eastAsia"/>
        </w:rPr>
        <w:t>平臺</w:t>
      </w:r>
      <w:r w:rsidRPr="00C3310F">
        <w:rPr>
          <w:rFonts w:hint="eastAsia"/>
        </w:rPr>
        <w:t>連結網路電話，依序對被害者實施詐騙，被害者再依指示將金額匯入指定的第一層人頭帳戶。(聯絡工具包括實體易付卡電話、特殊手機及網路電話或通訊軟體（Skype、</w:t>
      </w:r>
      <w:r w:rsidR="00DF3BE8" w:rsidRPr="00C3310F">
        <w:rPr>
          <w:rFonts w:hint="eastAsia"/>
        </w:rPr>
        <w:t>LINE</w:t>
      </w:r>
      <w:r w:rsidRPr="00C3310F">
        <w:rPr>
          <w:rFonts w:hint="eastAsia"/>
        </w:rPr>
        <w:t>、QQ），分別有不同的取向，所有聯繫工具的使用均是為了形成斷點及躲避查緝</w:t>
      </w:r>
      <w:bookmarkEnd w:id="139"/>
      <w:r w:rsidR="0050018E" w:rsidRPr="00C3310F">
        <w:rPr>
          <w:rFonts w:hint="eastAsia"/>
        </w:rPr>
        <w:t>。</w:t>
      </w:r>
    </w:p>
    <w:p w14:paraId="0B9865C5" w14:textId="77777777" w:rsidR="00720EB1" w:rsidRPr="00C3310F" w:rsidRDefault="00720EB1" w:rsidP="00720EB1">
      <w:pPr>
        <w:pStyle w:val="5"/>
      </w:pPr>
      <w:bookmarkStart w:id="140" w:name="_Toc171525412"/>
      <w:r w:rsidRPr="00C3310F">
        <w:rPr>
          <w:rFonts w:hint="eastAsia"/>
        </w:rPr>
        <w:t>洗錢機房人員透過網路銀行將大帳戶中的詐騙金額分散轉帳至數個小帳戶，再通知車手集團派數名車手持多張提款卡到自動提款機提款，再存入第二層人頭帳戶由洗錢機房轉帳至第三層人頭帳戶，或由車手頭將提領現金繳交給集團帳房或會計。</w:t>
      </w:r>
      <w:bookmarkEnd w:id="140"/>
    </w:p>
    <w:p w14:paraId="7084E6AB" w14:textId="77777777" w:rsidR="00720EB1" w:rsidRPr="00C3310F" w:rsidRDefault="00720EB1" w:rsidP="00720EB1">
      <w:pPr>
        <w:pStyle w:val="5"/>
      </w:pPr>
      <w:bookmarkStart w:id="141" w:name="_Toc171525413"/>
      <w:r w:rsidRPr="00C3310F">
        <w:rPr>
          <w:rFonts w:hint="eastAsia"/>
        </w:rPr>
        <w:t>集團帳房、會計直接分帳或透過地下匯兌換匯給海外的各大類組負責人，並將帳本及規定成數繳交幕後首腦以核對所得。</w:t>
      </w:r>
      <w:bookmarkEnd w:id="141"/>
    </w:p>
    <w:p w14:paraId="35921F7D" w14:textId="77777777" w:rsidR="00720EB1" w:rsidRPr="00C3310F" w:rsidRDefault="00720EB1" w:rsidP="00720EB1">
      <w:pPr>
        <w:pStyle w:val="5"/>
      </w:pPr>
      <w:bookmarkStart w:id="142" w:name="_Toc171525414"/>
      <w:r w:rsidRPr="00C3310F">
        <w:rPr>
          <w:rFonts w:hint="eastAsia"/>
        </w:rPr>
        <w:lastRenderedPageBreak/>
        <w:t>此種運作流程的關鍵點即在於不斷切割、設立斷點，主要採用切割連結及人海戰術模式，包括人員交流、電信流（通話紀錄）及現金流（轉帳紀錄）；第三方（找人、找地中介者）在過程中，則形同斷點機制。</w:t>
      </w:r>
      <w:bookmarkEnd w:id="142"/>
    </w:p>
    <w:p w14:paraId="41CED181" w14:textId="77777777" w:rsidR="00720EB1" w:rsidRPr="00C3310F" w:rsidRDefault="00720EB1" w:rsidP="00720EB1">
      <w:pPr>
        <w:pStyle w:val="3"/>
      </w:pPr>
      <w:bookmarkStart w:id="143" w:name="_Toc172023874"/>
      <w:bookmarkStart w:id="144" w:name="_Toc172033193"/>
      <w:r w:rsidRPr="00C3310F">
        <w:rPr>
          <w:rFonts w:hint="eastAsia"/>
        </w:rPr>
        <w:t>詐欺集團組織架構：</w:t>
      </w:r>
      <w:bookmarkEnd w:id="143"/>
      <w:bookmarkEnd w:id="144"/>
    </w:p>
    <w:p w14:paraId="36482C90" w14:textId="77777777" w:rsidR="00720EB1" w:rsidRPr="00C3310F" w:rsidRDefault="00720EB1" w:rsidP="00720EB1">
      <w:pPr>
        <w:pStyle w:val="4"/>
        <w:numPr>
          <w:ilvl w:val="0"/>
          <w:numId w:val="0"/>
        </w:numPr>
        <w:ind w:left="1701" w:firstLineChars="208" w:firstLine="708"/>
      </w:pPr>
      <w:r w:rsidRPr="00C3310F">
        <w:rPr>
          <w:rFonts w:hint="eastAsia"/>
        </w:rPr>
        <w:t>詐欺集團組織架構參採曾雅芬研究</w:t>
      </w:r>
      <w:r w:rsidRPr="00C3310F">
        <w:rPr>
          <w:rStyle w:val="afe"/>
        </w:rPr>
        <w:footnoteReference w:id="9"/>
      </w:r>
      <w:r w:rsidRPr="00C3310F">
        <w:rPr>
          <w:rFonts w:hint="eastAsia"/>
        </w:rPr>
        <w:t>分為</w:t>
      </w:r>
      <w:r w:rsidR="00161719" w:rsidRPr="00C3310F">
        <w:rPr>
          <w:rFonts w:hint="eastAsia"/>
        </w:rPr>
        <w:t>前置作業、國外作業</w:t>
      </w:r>
      <w:r w:rsidRPr="00C3310F">
        <w:rPr>
          <w:rFonts w:hint="eastAsia"/>
        </w:rPr>
        <w:t>、</w:t>
      </w:r>
      <w:r w:rsidR="00161719" w:rsidRPr="00C3310F">
        <w:rPr>
          <w:rFonts w:hint="eastAsia"/>
        </w:rPr>
        <w:t>金流作業</w:t>
      </w:r>
      <w:r w:rsidRPr="00C3310F">
        <w:rPr>
          <w:rFonts w:hint="eastAsia"/>
        </w:rPr>
        <w:t>、電話作業</w:t>
      </w:r>
      <w:r w:rsidR="00161719" w:rsidRPr="00C3310F">
        <w:rPr>
          <w:rFonts w:hint="eastAsia"/>
        </w:rPr>
        <w:t>及首腦核心</w:t>
      </w:r>
      <w:r w:rsidRPr="00C3310F">
        <w:rPr>
          <w:rFonts w:hint="eastAsia"/>
        </w:rPr>
        <w:t>等5大類，詳圖1：</w:t>
      </w:r>
    </w:p>
    <w:p w14:paraId="09E25CF8" w14:textId="77777777" w:rsidR="00720EB1" w:rsidRPr="00C3310F" w:rsidRDefault="00720EB1" w:rsidP="00720EB1">
      <w:pPr>
        <w:pStyle w:val="5"/>
        <w:numPr>
          <w:ilvl w:val="0"/>
          <w:numId w:val="0"/>
        </w:numPr>
      </w:pPr>
      <w:bookmarkStart w:id="145" w:name="_Toc171525429"/>
      <w:r w:rsidRPr="00C3310F">
        <w:rPr>
          <w:noProof/>
        </w:rPr>
        <w:lastRenderedPageBreak/>
        <w:drawing>
          <wp:inline distT="0" distB="0" distL="0" distR="0" wp14:anchorId="71BF361D" wp14:editId="4F8BE6B4">
            <wp:extent cx="4675185" cy="5440680"/>
            <wp:effectExtent l="19050" t="19050" r="11430" b="26670"/>
            <wp:docPr id="1" name="圖片 1" descr="一張含有 文字, 圖表, 平行, 方案 的圖片&#10;&#10;自動產生的描述">
              <a:extLst xmlns:a="http://schemas.openxmlformats.org/drawingml/2006/main">
                <a:ext uri="{FF2B5EF4-FFF2-40B4-BE49-F238E27FC236}">
                  <a16:creationId xmlns:a16="http://schemas.microsoft.com/office/drawing/2014/main" id="{18616647-9887-423B-A527-A4AC71951D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descr="一張含有 文字, 圖表, 平行, 方案 的圖片&#10;&#10;自動產生的描述">
                      <a:extLst>
                        <a:ext uri="{FF2B5EF4-FFF2-40B4-BE49-F238E27FC236}">
                          <a16:creationId xmlns:a16="http://schemas.microsoft.com/office/drawing/2014/main" id="{18616647-9887-423B-A527-A4AC71951D54}"/>
                        </a:ext>
                      </a:extLst>
                    </pic:cNvPr>
                    <pic:cNvPicPr>
                      <a:picLocks noChangeAspect="1"/>
                    </pic:cNvPicPr>
                  </pic:nvPicPr>
                  <pic:blipFill>
                    <a:blip r:embed="rId9"/>
                    <a:stretch>
                      <a:fillRect/>
                    </a:stretch>
                  </pic:blipFill>
                  <pic:spPr>
                    <a:xfrm>
                      <a:off x="0" y="0"/>
                      <a:ext cx="4693461" cy="5461949"/>
                    </a:xfrm>
                    <a:prstGeom prst="rect">
                      <a:avLst/>
                    </a:prstGeom>
                    <a:ln>
                      <a:solidFill>
                        <a:schemeClr val="tx1"/>
                      </a:solidFill>
                    </a:ln>
                  </pic:spPr>
                </pic:pic>
              </a:graphicData>
            </a:graphic>
          </wp:inline>
        </w:drawing>
      </w:r>
      <w:bookmarkEnd w:id="145"/>
    </w:p>
    <w:p w14:paraId="4C15429A" w14:textId="77777777" w:rsidR="0085459C" w:rsidRPr="00C3310F" w:rsidRDefault="0085459C" w:rsidP="0085459C">
      <w:pPr>
        <w:pStyle w:val="a1"/>
        <w:spacing w:beforeLines="25" w:before="114" w:after="0" w:line="240" w:lineRule="auto"/>
        <w:rPr>
          <w:rFonts w:hint="eastAsia"/>
        </w:rPr>
      </w:pPr>
      <w:bookmarkStart w:id="146" w:name="_Toc172025251"/>
      <w:r w:rsidRPr="00C3310F">
        <w:rPr>
          <w:rFonts w:hint="eastAsia"/>
          <w:b/>
        </w:rPr>
        <w:t>跨國電信網路詐騙集團分工圖。</w:t>
      </w:r>
      <w:bookmarkEnd w:id="146"/>
    </w:p>
    <w:p w14:paraId="66A8E3BC" w14:textId="77777777" w:rsidR="0085459C" w:rsidRPr="00C3310F" w:rsidRDefault="0085459C" w:rsidP="0085459C">
      <w:pPr>
        <w:spacing w:beforeLines="25" w:before="114" w:line="240" w:lineRule="exact"/>
        <w:rPr>
          <w:sz w:val="24"/>
          <w:szCs w:val="24"/>
        </w:rPr>
      </w:pPr>
      <w:r w:rsidRPr="00C3310F">
        <w:rPr>
          <w:rFonts w:hint="eastAsia"/>
          <w:sz w:val="24"/>
          <w:szCs w:val="24"/>
        </w:rPr>
        <w:t>資料來源：</w:t>
      </w:r>
      <w:r w:rsidR="003337F6" w:rsidRPr="00C3310F">
        <w:rPr>
          <w:rFonts w:hint="eastAsia"/>
          <w:sz w:val="24"/>
          <w:szCs w:val="24"/>
        </w:rPr>
        <w:t>曾雅芬</w:t>
      </w:r>
      <w:r w:rsidRPr="00C3310F">
        <w:rPr>
          <w:rStyle w:val="afe"/>
          <w:sz w:val="24"/>
          <w:szCs w:val="24"/>
        </w:rPr>
        <w:footnoteReference w:id="10"/>
      </w:r>
    </w:p>
    <w:p w14:paraId="7835A2AC" w14:textId="77777777" w:rsidR="00720EB1" w:rsidRPr="00C3310F" w:rsidRDefault="00720EB1" w:rsidP="00EA7540">
      <w:pPr>
        <w:pStyle w:val="4"/>
      </w:pPr>
      <w:r w:rsidRPr="00C3310F">
        <w:rPr>
          <w:rFonts w:hint="eastAsia"/>
        </w:rPr>
        <w:t>前置組</w:t>
      </w:r>
    </w:p>
    <w:p w14:paraId="3CAE9898" w14:textId="77777777" w:rsidR="00720EB1" w:rsidRPr="00C3310F" w:rsidRDefault="00720EB1" w:rsidP="00EA7540">
      <w:pPr>
        <w:pStyle w:val="5"/>
      </w:pPr>
      <w:bookmarkStart w:id="147" w:name="_Toc171525415"/>
      <w:r w:rsidRPr="00C3310F">
        <w:rPr>
          <w:rFonts w:hint="eastAsia"/>
        </w:rPr>
        <w:t>網路架設人員：</w:t>
      </w:r>
      <w:bookmarkEnd w:id="147"/>
    </w:p>
    <w:p w14:paraId="1120DFA8" w14:textId="77777777" w:rsidR="00720EB1" w:rsidRPr="00C3310F" w:rsidRDefault="00720EB1" w:rsidP="00EA7540">
      <w:pPr>
        <w:pStyle w:val="6"/>
      </w:pPr>
      <w:bookmarkStart w:id="148" w:name="_Toc172023875"/>
      <w:bookmarkStart w:id="149" w:name="_Toc172033194"/>
      <w:r w:rsidRPr="00C3310F">
        <w:rPr>
          <w:rFonts w:hint="eastAsia"/>
        </w:rPr>
        <w:t>電信機房的前置作業主要由老闆、負責人或其他前置作業人員負責聯絡工人架設網路設備，通常與集團成員錯開、無交集。</w:t>
      </w:r>
      <w:bookmarkEnd w:id="148"/>
      <w:bookmarkEnd w:id="149"/>
    </w:p>
    <w:p w14:paraId="3530DABE" w14:textId="77777777" w:rsidR="00720EB1" w:rsidRPr="00C3310F" w:rsidRDefault="00720EB1" w:rsidP="00EA7540">
      <w:pPr>
        <w:pStyle w:val="6"/>
      </w:pPr>
      <w:bookmarkStart w:id="150" w:name="_Toc172023876"/>
      <w:bookmarkStart w:id="151" w:name="_Toc172033195"/>
      <w:r w:rsidRPr="00C3310F">
        <w:rPr>
          <w:rFonts w:hint="eastAsia"/>
        </w:rPr>
        <w:t>設備主要包括</w:t>
      </w:r>
      <w:r w:rsidRPr="00C3310F">
        <w:t>gateway</w:t>
      </w:r>
      <w:r w:rsidRPr="00C3310F">
        <w:rPr>
          <w:rFonts w:hint="eastAsia"/>
        </w:rPr>
        <w:t>閘道器、網路線。</w:t>
      </w:r>
      <w:bookmarkEnd w:id="150"/>
      <w:bookmarkEnd w:id="151"/>
    </w:p>
    <w:p w14:paraId="2E447308" w14:textId="77777777" w:rsidR="00720EB1" w:rsidRPr="00C3310F" w:rsidRDefault="00720EB1" w:rsidP="00EA7540">
      <w:pPr>
        <w:pStyle w:val="6"/>
      </w:pPr>
      <w:bookmarkStart w:id="152" w:name="_Toc172023877"/>
      <w:bookmarkStart w:id="153" w:name="_Toc172033196"/>
      <w:r w:rsidRPr="00C3310F">
        <w:rPr>
          <w:rFonts w:hint="eastAsia"/>
        </w:rPr>
        <w:t>機房內只需以電話線或網路線連接網路，再</w:t>
      </w:r>
      <w:r w:rsidRPr="00C3310F">
        <w:rPr>
          <w:rFonts w:hint="eastAsia"/>
        </w:rPr>
        <w:lastRenderedPageBreak/>
        <w:t>由系統商聯絡機房人員設定電腦及</w:t>
      </w:r>
      <w:r w:rsidRPr="00C3310F">
        <w:t>IP</w:t>
      </w:r>
      <w:r w:rsidRPr="00C3310F">
        <w:rPr>
          <w:rFonts w:hint="eastAsia"/>
        </w:rPr>
        <w:t>虛擬網路分享。</w:t>
      </w:r>
      <w:bookmarkEnd w:id="152"/>
      <w:bookmarkEnd w:id="153"/>
    </w:p>
    <w:p w14:paraId="12FDC2BD" w14:textId="77777777" w:rsidR="00720EB1" w:rsidRPr="00C3310F" w:rsidRDefault="00720EB1" w:rsidP="00EA7540">
      <w:pPr>
        <w:pStyle w:val="5"/>
      </w:pPr>
      <w:bookmarkStart w:id="154" w:name="_Toc171525416"/>
      <w:r w:rsidRPr="00C3310F">
        <w:rPr>
          <w:rFonts w:hint="eastAsia"/>
        </w:rPr>
        <w:t>跳板架設人員：</w:t>
      </w:r>
      <w:bookmarkEnd w:id="154"/>
    </w:p>
    <w:p w14:paraId="2C24956B" w14:textId="77777777" w:rsidR="00720EB1" w:rsidRPr="00C3310F" w:rsidRDefault="00720EB1" w:rsidP="00EA7540">
      <w:pPr>
        <w:pStyle w:val="6"/>
      </w:pPr>
      <w:bookmarkStart w:id="155" w:name="_Toc172023878"/>
      <w:bookmarkStart w:id="156" w:name="_Toc172033197"/>
      <w:r w:rsidRPr="00C3310F">
        <w:rPr>
          <w:rFonts w:hint="eastAsia"/>
        </w:rPr>
        <w:t>主要由系統商、工程師或其他電腦技術較高人員在各國負責設定跳板機臺或網路系統設置。</w:t>
      </w:r>
      <w:bookmarkEnd w:id="155"/>
      <w:bookmarkEnd w:id="156"/>
    </w:p>
    <w:p w14:paraId="1284EBA9" w14:textId="1FFFF4CA" w:rsidR="00720EB1" w:rsidRPr="00C3310F" w:rsidRDefault="00720EB1" w:rsidP="00E332D7">
      <w:pPr>
        <w:pStyle w:val="6"/>
      </w:pPr>
      <w:bookmarkStart w:id="157" w:name="_Toc172023879"/>
      <w:bookmarkStart w:id="158" w:name="_Toc172033198"/>
      <w:r w:rsidRPr="00C3310F">
        <w:rPr>
          <w:rFonts w:hint="eastAsia"/>
        </w:rPr>
        <w:t>架設網路主要有三種方式：定點發射、點對點橋接、跳板。目前大多使用跳板，架設國外機房進行遠端控制，可分設多點避免同時被查。</w:t>
      </w:r>
      <w:bookmarkEnd w:id="157"/>
      <w:bookmarkEnd w:id="158"/>
    </w:p>
    <w:p w14:paraId="1051784E" w14:textId="77777777" w:rsidR="00720EB1" w:rsidRPr="00C3310F" w:rsidRDefault="00720EB1" w:rsidP="00E332D7">
      <w:pPr>
        <w:pStyle w:val="5"/>
      </w:pPr>
      <w:bookmarkStart w:id="159" w:name="_Toc171525417"/>
      <w:r w:rsidRPr="00C3310F">
        <w:rPr>
          <w:rFonts w:hint="eastAsia"/>
        </w:rPr>
        <w:t>系統商：</w:t>
      </w:r>
      <w:bookmarkEnd w:id="159"/>
    </w:p>
    <w:p w14:paraId="20810DDF" w14:textId="77777777" w:rsidR="00720EB1" w:rsidRPr="00C3310F" w:rsidRDefault="00720EB1" w:rsidP="00E332D7">
      <w:pPr>
        <w:pStyle w:val="6"/>
      </w:pPr>
      <w:bookmarkStart w:id="160" w:name="_Toc172023880"/>
      <w:bookmarkStart w:id="161" w:name="_Toc172033199"/>
      <w:r w:rsidRPr="00C3310F">
        <w:rPr>
          <w:rFonts w:hint="eastAsia"/>
        </w:rPr>
        <w:t>二類電信系統商或網路系統商屬於幕後人員，由老闆負責聯繫，作業繁複，需於機房運作前完成牽線及租線等系統作業。</w:t>
      </w:r>
      <w:bookmarkEnd w:id="160"/>
      <w:bookmarkEnd w:id="161"/>
    </w:p>
    <w:p w14:paraId="11FDED12" w14:textId="77777777" w:rsidR="00720EB1" w:rsidRPr="00C3310F" w:rsidRDefault="00720EB1" w:rsidP="00E332D7">
      <w:pPr>
        <w:pStyle w:val="6"/>
      </w:pPr>
      <w:bookmarkStart w:id="162" w:name="_Toc172023881"/>
      <w:bookmarkStart w:id="163" w:name="_Toc172033200"/>
      <w:r w:rsidRPr="00C3310F">
        <w:rPr>
          <w:rFonts w:hint="eastAsia"/>
        </w:rPr>
        <w:t>臺灣、據點國家及被害國家均須有合作的系統商，以完成詐騙網路電話的串聯。</w:t>
      </w:r>
      <w:bookmarkEnd w:id="162"/>
      <w:bookmarkEnd w:id="163"/>
    </w:p>
    <w:p w14:paraId="557C82D6" w14:textId="77777777" w:rsidR="00720EB1" w:rsidRPr="00C3310F" w:rsidRDefault="00720EB1" w:rsidP="00E332D7">
      <w:pPr>
        <w:pStyle w:val="6"/>
      </w:pPr>
      <w:bookmarkStart w:id="164" w:name="_Toc172023882"/>
      <w:bookmarkStart w:id="165" w:name="_Toc172033201"/>
      <w:r w:rsidRPr="00C3310F">
        <w:rPr>
          <w:rFonts w:hint="eastAsia"/>
        </w:rPr>
        <w:t>系統成員最少，一人可負責十多家、甚至二人可負責上百家集團的網路系統。</w:t>
      </w:r>
      <w:bookmarkEnd w:id="164"/>
      <w:bookmarkEnd w:id="165"/>
    </w:p>
    <w:p w14:paraId="24B42788" w14:textId="77777777" w:rsidR="00720EB1" w:rsidRPr="00C3310F" w:rsidRDefault="00720EB1" w:rsidP="00E332D7">
      <w:pPr>
        <w:pStyle w:val="6"/>
      </w:pPr>
      <w:bookmarkStart w:id="166" w:name="_Toc172023883"/>
      <w:bookmarkStart w:id="167" w:name="_Toc172033202"/>
      <w:r w:rsidRPr="00C3310F">
        <w:rPr>
          <w:rFonts w:hint="eastAsia"/>
        </w:rPr>
        <w:t>二類電信系統商負責架設電信平臺，提供語音託播封包及帳號密碼，從話務流量可查出上百團機房</w:t>
      </w:r>
      <w:r w:rsidRPr="00C3310F">
        <w:t>IP</w:t>
      </w:r>
      <w:r w:rsidRPr="00C3310F">
        <w:rPr>
          <w:rFonts w:hint="eastAsia"/>
        </w:rPr>
        <w:t>。</w:t>
      </w:r>
      <w:bookmarkEnd w:id="166"/>
      <w:bookmarkEnd w:id="167"/>
    </w:p>
    <w:p w14:paraId="2E5D5371" w14:textId="77777777" w:rsidR="00720EB1" w:rsidRPr="00C3310F" w:rsidRDefault="00720EB1" w:rsidP="00E332D7">
      <w:pPr>
        <w:pStyle w:val="6"/>
      </w:pPr>
      <w:bookmarkStart w:id="168" w:name="_Toc172023884"/>
      <w:bookmarkStart w:id="169" w:name="_Toc172033203"/>
      <w:r w:rsidRPr="00C3310F">
        <w:rPr>
          <w:rFonts w:hint="eastAsia"/>
        </w:rPr>
        <w:t>網路系統商負責以遠端作業操控國外電腦，設定</w:t>
      </w:r>
      <w:r w:rsidRPr="00C3310F">
        <w:t>gateway</w:t>
      </w:r>
      <w:r w:rsidRPr="00C3310F">
        <w:rPr>
          <w:rFonts w:hint="eastAsia"/>
        </w:rPr>
        <w:t>跳板連接、網路電話、維持通話暢通及群發系統，並以</w:t>
      </w:r>
      <w:r w:rsidRPr="00C3310F">
        <w:t>skype</w:t>
      </w:r>
      <w:r w:rsidRPr="00C3310F">
        <w:rPr>
          <w:rFonts w:hint="eastAsia"/>
        </w:rPr>
        <w:t>聯繫電信機房電腦手解決問題。</w:t>
      </w:r>
      <w:bookmarkEnd w:id="168"/>
      <w:bookmarkEnd w:id="169"/>
    </w:p>
    <w:p w14:paraId="4D56D105" w14:textId="10F84872" w:rsidR="00720EB1" w:rsidRPr="00C3310F" w:rsidRDefault="00720EB1" w:rsidP="00E332D7">
      <w:pPr>
        <w:pStyle w:val="5"/>
      </w:pPr>
      <w:bookmarkStart w:id="170" w:name="_Toc171525418"/>
      <w:r w:rsidRPr="00C3310F">
        <w:rPr>
          <w:rFonts w:hint="eastAsia"/>
        </w:rPr>
        <w:t>代理商：</w:t>
      </w:r>
      <w:bookmarkEnd w:id="170"/>
      <w:r w:rsidRPr="00C3310F">
        <w:rPr>
          <w:rFonts w:hint="eastAsia"/>
        </w:rPr>
        <w:t>負責遠端控制網路</w:t>
      </w:r>
      <w:r w:rsidR="0004575A" w:rsidRPr="00C3310F">
        <w:rPr>
          <w:rFonts w:hint="eastAsia"/>
        </w:rPr>
        <w:t>平臺</w:t>
      </w:r>
      <w:r w:rsidRPr="00C3310F">
        <w:rPr>
          <w:rFonts w:hint="eastAsia"/>
        </w:rPr>
        <w:t>的網路商亦稱為代理商，可在任何地方，負責測試網路電話，維持語音通話平穩暢通。</w:t>
      </w:r>
    </w:p>
    <w:p w14:paraId="169D84C9" w14:textId="77777777" w:rsidR="00720EB1" w:rsidRPr="00C3310F" w:rsidRDefault="00720EB1" w:rsidP="00E332D7">
      <w:pPr>
        <w:pStyle w:val="5"/>
      </w:pPr>
      <w:bookmarkStart w:id="171" w:name="_Toc171525419"/>
      <w:r w:rsidRPr="00C3310F">
        <w:rPr>
          <w:rFonts w:hint="eastAsia"/>
        </w:rPr>
        <w:t>詐騙清冊管道：</w:t>
      </w:r>
      <w:bookmarkEnd w:id="171"/>
    </w:p>
    <w:p w14:paraId="33FBCFF0" w14:textId="77777777" w:rsidR="00720EB1" w:rsidRPr="00C3310F" w:rsidRDefault="00720EB1" w:rsidP="00E332D7">
      <w:pPr>
        <w:pStyle w:val="6"/>
      </w:pPr>
      <w:bookmarkStart w:id="172" w:name="_Toc172023885"/>
      <w:bookmarkStart w:id="173" w:name="_Toc172033204"/>
      <w:bookmarkStart w:id="174" w:name="_Hlk171408586"/>
      <w:r w:rsidRPr="00C3310F">
        <w:rPr>
          <w:rFonts w:hint="eastAsia"/>
        </w:rPr>
        <w:t>包括兩岸駭客及其他內部管道：</w:t>
      </w:r>
      <w:bookmarkEnd w:id="172"/>
      <w:bookmarkEnd w:id="173"/>
    </w:p>
    <w:p w14:paraId="5E64F783" w14:textId="77777777" w:rsidR="00720EB1" w:rsidRPr="00C3310F" w:rsidRDefault="00720EB1" w:rsidP="00E332D7">
      <w:pPr>
        <w:pStyle w:val="7"/>
        <w:ind w:leftChars="542" w:left="2695"/>
      </w:pPr>
      <w:r w:rsidRPr="00C3310F">
        <w:rPr>
          <w:rFonts w:hint="eastAsia"/>
        </w:rPr>
        <w:t>兩岸駭客盜取大量個人資料，大陸駭臺灣、</w:t>
      </w:r>
      <w:r w:rsidRPr="00C3310F">
        <w:rPr>
          <w:rFonts w:hint="eastAsia"/>
        </w:rPr>
        <w:lastRenderedPageBreak/>
        <w:t>臺灣駭大陸再轉賣詐騙集團。</w:t>
      </w:r>
    </w:p>
    <w:p w14:paraId="627847CF" w14:textId="77777777" w:rsidR="00720EB1" w:rsidRPr="00C3310F" w:rsidRDefault="00720EB1" w:rsidP="00E332D7">
      <w:pPr>
        <w:pStyle w:val="7"/>
        <w:ind w:leftChars="542" w:left="2695"/>
      </w:pPr>
      <w:r w:rsidRPr="00C3310F">
        <w:rPr>
          <w:rFonts w:hint="eastAsia"/>
        </w:rPr>
        <w:t>其他內部管道則包括手機通訊行、保險公司、銀行等，任何有留下個人資料的地方，均可買通內部員工取得個資。</w:t>
      </w:r>
    </w:p>
    <w:p w14:paraId="3B67CDA1" w14:textId="77777777" w:rsidR="00720EB1" w:rsidRPr="00C3310F" w:rsidRDefault="00720EB1" w:rsidP="00E332D7">
      <w:pPr>
        <w:pStyle w:val="7"/>
        <w:ind w:leftChars="542" w:left="2695"/>
      </w:pPr>
      <w:r w:rsidRPr="00C3310F">
        <w:rPr>
          <w:rFonts w:hint="eastAsia"/>
        </w:rPr>
        <w:t>集團首腦大多透過認識的中介者介紹兩岸駭客盜取個人資料，或介紹其他機關內部單位的會計、總機或資訊人員以購買被害對象個人資料。</w:t>
      </w:r>
      <w:bookmarkEnd w:id="174"/>
    </w:p>
    <w:p w14:paraId="184875E1" w14:textId="77777777" w:rsidR="00720EB1" w:rsidRPr="00C3310F" w:rsidRDefault="00720EB1" w:rsidP="00E332D7">
      <w:pPr>
        <w:pStyle w:val="6"/>
      </w:pPr>
      <w:bookmarkStart w:id="175" w:name="_Toc171525420"/>
      <w:bookmarkStart w:id="176" w:name="_Toc172023886"/>
      <w:bookmarkStart w:id="177" w:name="_Toc172033205"/>
      <w:r w:rsidRPr="00C3310F">
        <w:rPr>
          <w:rFonts w:hint="eastAsia"/>
        </w:rPr>
        <w:t>找人中介者：</w:t>
      </w:r>
      <w:bookmarkEnd w:id="175"/>
      <w:bookmarkEnd w:id="176"/>
      <w:bookmarkEnd w:id="177"/>
    </w:p>
    <w:p w14:paraId="2EDEEACB" w14:textId="77777777" w:rsidR="00720EB1" w:rsidRPr="00C3310F" w:rsidRDefault="00720EB1" w:rsidP="00E332D7">
      <w:pPr>
        <w:pStyle w:val="7"/>
        <w:ind w:leftChars="542" w:left="2695"/>
      </w:pPr>
      <w:r w:rsidRPr="00C3310F">
        <w:rPr>
          <w:rFonts w:hint="eastAsia"/>
        </w:rPr>
        <w:t>初期主要由老闆負責找人，後期分散制集團大多透過第三方或黑道幫派引薦成員。</w:t>
      </w:r>
    </w:p>
    <w:p w14:paraId="38E22E1C" w14:textId="77777777" w:rsidR="00720EB1" w:rsidRPr="00C3310F" w:rsidRDefault="00720EB1" w:rsidP="00E332D7">
      <w:pPr>
        <w:pStyle w:val="7"/>
        <w:ind w:leftChars="542" w:left="2695"/>
      </w:pPr>
      <w:r w:rsidRPr="00C3310F">
        <w:rPr>
          <w:rFonts w:hint="eastAsia"/>
        </w:rPr>
        <w:t>「第三方」即未收仲介費的仲介角色，互不認識的集團間共同認識的朋友；負責介紹合作而不牽涉其中，採分工方式形成斷點，避免出事牽連。</w:t>
      </w:r>
    </w:p>
    <w:p w14:paraId="580FC322" w14:textId="77777777" w:rsidR="00720EB1" w:rsidRPr="00C3310F" w:rsidRDefault="00720EB1" w:rsidP="00E332D7">
      <w:pPr>
        <w:pStyle w:val="4"/>
      </w:pPr>
      <w:r w:rsidRPr="00C3310F">
        <w:rPr>
          <w:rFonts w:hint="eastAsia"/>
        </w:rPr>
        <w:t>國外組:國外組人員包括旅行社、翻譯、廚師、司機、</w:t>
      </w:r>
      <w:r w:rsidR="00840C1D" w:rsidRPr="00C3310F">
        <w:rPr>
          <w:rFonts w:hint="eastAsia"/>
        </w:rPr>
        <w:t>在</w:t>
      </w:r>
      <w:r w:rsidRPr="00C3310F">
        <w:rPr>
          <w:rFonts w:hint="eastAsia"/>
        </w:rPr>
        <w:t>地中介者等，負責國外事務、處理日常庶務及溝通、尋找據點等工作。</w:t>
      </w:r>
    </w:p>
    <w:p w14:paraId="6FBDDCD2" w14:textId="77777777" w:rsidR="00720EB1" w:rsidRPr="00C3310F" w:rsidRDefault="00720EB1" w:rsidP="00E332D7">
      <w:pPr>
        <w:pStyle w:val="4"/>
      </w:pPr>
      <w:r w:rsidRPr="00C3310F">
        <w:rPr>
          <w:rFonts w:hint="eastAsia"/>
        </w:rPr>
        <w:t>金流組：金流組包括車手集團、人頭帳戶管道、洗錢機房、地下匯兌等，主要負責取款、轉帳及交付詐騙款項。金流組工作流程主要如下：</w:t>
      </w:r>
    </w:p>
    <w:p w14:paraId="61CD4C96" w14:textId="77777777" w:rsidR="00720EB1" w:rsidRPr="00C3310F" w:rsidRDefault="00720EB1" w:rsidP="00E332D7">
      <w:pPr>
        <w:pStyle w:val="6"/>
      </w:pPr>
      <w:bookmarkStart w:id="178" w:name="_Toc171525421"/>
      <w:bookmarkStart w:id="179" w:name="_Toc172023887"/>
      <w:bookmarkStart w:id="180" w:name="_Toc172033206"/>
      <w:r w:rsidRPr="00C3310F">
        <w:rPr>
          <w:rFonts w:hint="eastAsia"/>
        </w:rPr>
        <w:t>電信機房詐騙所得金額全數匯到洗錢機房帳戶，並由電話組向洗錢機房回報結清帳款，再由洗錢機房分帳到小車，車手提款後由車手頭收款繳交公司帳房，帳房清算盈利核對報表後再分錢給合作客戶。</w:t>
      </w:r>
      <w:bookmarkEnd w:id="178"/>
      <w:bookmarkEnd w:id="179"/>
      <w:bookmarkEnd w:id="180"/>
    </w:p>
    <w:p w14:paraId="1C0010B4" w14:textId="77777777" w:rsidR="00720EB1" w:rsidRPr="00C3310F" w:rsidRDefault="00720EB1" w:rsidP="00E332D7">
      <w:pPr>
        <w:pStyle w:val="6"/>
      </w:pPr>
      <w:bookmarkStart w:id="181" w:name="_Toc171525422"/>
      <w:bookmarkStart w:id="182" w:name="_Toc172023888"/>
      <w:bookmarkStart w:id="183" w:name="_Toc172033207"/>
      <w:r w:rsidRPr="00C3310F">
        <w:rPr>
          <w:rFonts w:hint="eastAsia"/>
        </w:rPr>
        <w:t>金流組架構：</w:t>
      </w:r>
      <w:bookmarkEnd w:id="181"/>
      <w:bookmarkEnd w:id="182"/>
      <w:bookmarkEnd w:id="183"/>
    </w:p>
    <w:p w14:paraId="498D86AF" w14:textId="77777777" w:rsidR="00720EB1" w:rsidRPr="00C3310F" w:rsidRDefault="00720EB1" w:rsidP="00E332D7">
      <w:pPr>
        <w:pStyle w:val="7"/>
        <w:ind w:leftChars="542" w:left="2695"/>
      </w:pPr>
      <w:r w:rsidRPr="00C3310F">
        <w:rPr>
          <w:rFonts w:hint="eastAsia"/>
        </w:rPr>
        <w:t>地下匯兌公司：</w:t>
      </w:r>
    </w:p>
    <w:p w14:paraId="5574B161" w14:textId="77777777" w:rsidR="00720EB1" w:rsidRPr="00C3310F" w:rsidRDefault="00720EB1" w:rsidP="00E332D7">
      <w:pPr>
        <w:pStyle w:val="8"/>
        <w:ind w:leftChars="667" w:left="3120"/>
      </w:pPr>
      <w:r w:rsidRPr="00C3310F">
        <w:rPr>
          <w:rFonts w:hint="eastAsia"/>
        </w:rPr>
        <w:t>又稱「匯水」，大多透過第三方認識詐欺電信集團或車手集團。</w:t>
      </w:r>
    </w:p>
    <w:p w14:paraId="78C5ACDA" w14:textId="77777777" w:rsidR="00720EB1" w:rsidRPr="00C3310F" w:rsidRDefault="00720EB1" w:rsidP="00E332D7">
      <w:pPr>
        <w:pStyle w:val="8"/>
        <w:ind w:leftChars="667" w:left="3120"/>
      </w:pPr>
      <w:r w:rsidRPr="00C3310F">
        <w:rPr>
          <w:rFonts w:hint="eastAsia"/>
        </w:rPr>
        <w:lastRenderedPageBreak/>
        <w:t>匯水通常為當地非銀行業的有錢人士、企業公司、珠寶行、銀樓、當鋪業老闆，同時經營地下匯兌，有充分資金不會私吞款項，可換取便宜匯率。</w:t>
      </w:r>
    </w:p>
    <w:p w14:paraId="5285267F" w14:textId="77777777" w:rsidR="00720EB1" w:rsidRPr="00C3310F" w:rsidRDefault="00720EB1" w:rsidP="00E332D7">
      <w:pPr>
        <w:pStyle w:val="7"/>
        <w:ind w:leftChars="542" w:left="2695"/>
      </w:pPr>
      <w:r w:rsidRPr="00C3310F">
        <w:rPr>
          <w:rFonts w:hint="eastAsia"/>
        </w:rPr>
        <w:t>洗錢機房：又稱「水公司、水車、轉帳中心」。洗錢機房人數最少，只需</w:t>
      </w:r>
      <w:r w:rsidRPr="00C3310F">
        <w:t>1</w:t>
      </w:r>
      <w:r w:rsidRPr="00C3310F">
        <w:rPr>
          <w:rFonts w:hint="eastAsia"/>
        </w:rPr>
        <w:t>～</w:t>
      </w:r>
      <w:r w:rsidRPr="00C3310F">
        <w:t>2</w:t>
      </w:r>
      <w:r w:rsidRPr="00C3310F">
        <w:rPr>
          <w:rFonts w:hint="eastAsia"/>
        </w:rPr>
        <w:t>人，屬於大型集團半負責人，上有老闆，下有電話組頭、車手頭、及臺灣帳房。</w:t>
      </w:r>
    </w:p>
    <w:p w14:paraId="5922C75A" w14:textId="77777777" w:rsidR="00720EB1" w:rsidRPr="00C3310F" w:rsidRDefault="00720EB1" w:rsidP="00E332D7">
      <w:pPr>
        <w:pStyle w:val="7"/>
        <w:ind w:leftChars="542" w:left="2695"/>
      </w:pPr>
      <w:r w:rsidRPr="00C3310F">
        <w:rPr>
          <w:rFonts w:hint="eastAsia"/>
        </w:rPr>
        <w:t>車手集團:</w:t>
      </w:r>
    </w:p>
    <w:p w14:paraId="2646B325" w14:textId="395EA5C7" w:rsidR="00720EB1" w:rsidRPr="00C3310F" w:rsidRDefault="00720EB1" w:rsidP="00E332D7">
      <w:pPr>
        <w:pStyle w:val="8"/>
        <w:ind w:leftChars="667" w:left="3120"/>
      </w:pPr>
      <w:r w:rsidRPr="00C3310F">
        <w:rPr>
          <w:rFonts w:hint="eastAsia"/>
        </w:rPr>
        <w:t>又稱「車公司」；車手又稱「馬仔、外務」；車手負責人</w:t>
      </w:r>
      <w:r w:rsidR="002A6C2B" w:rsidRPr="00C3310F">
        <w:rPr>
          <w:rFonts w:hint="eastAsia"/>
        </w:rPr>
        <w:t>統</w:t>
      </w:r>
      <w:r w:rsidRPr="00C3310F">
        <w:rPr>
          <w:rFonts w:hint="eastAsia"/>
        </w:rPr>
        <w:t>稱為「車手頭或總頭」，負責監督車手、算錢、與洗錢機房報帳。車手所持提款卡帳戶通稱「車子」，帳戶另稱「冰箱」，均有大小之分及多個備用、長期合作。</w:t>
      </w:r>
    </w:p>
    <w:p w14:paraId="0153580E" w14:textId="77777777" w:rsidR="00720EB1" w:rsidRPr="00C3310F" w:rsidRDefault="00720EB1" w:rsidP="00E332D7">
      <w:pPr>
        <w:pStyle w:val="8"/>
        <w:ind w:leftChars="667" w:left="3120"/>
      </w:pPr>
      <w:r w:rsidRPr="00C3310F">
        <w:rPr>
          <w:rFonts w:hint="eastAsia"/>
        </w:rPr>
        <w:t>「大車」為洗錢機房使用，包括銀行帳號、網路銀行、提款卡及密碼鎖，「小車」即為一般車手使用的銀行卡。</w:t>
      </w:r>
    </w:p>
    <w:p w14:paraId="7565BABE" w14:textId="77777777" w:rsidR="00720EB1" w:rsidRPr="00C3310F" w:rsidRDefault="00720EB1" w:rsidP="00E332D7">
      <w:pPr>
        <w:pStyle w:val="7"/>
        <w:ind w:leftChars="542" w:left="2695"/>
      </w:pPr>
      <w:r w:rsidRPr="00C3310F">
        <w:rPr>
          <w:rFonts w:hint="eastAsia"/>
        </w:rPr>
        <w:t>人頭帳戶管道：車手公司或水公司負責購買或詐騙人頭帳戶，又稱「騙本子」。</w:t>
      </w:r>
    </w:p>
    <w:p w14:paraId="5ABA0AED" w14:textId="77777777" w:rsidR="00720EB1" w:rsidRPr="00C3310F" w:rsidRDefault="00720EB1" w:rsidP="00E332D7">
      <w:pPr>
        <w:pStyle w:val="4"/>
      </w:pPr>
      <w:r w:rsidRPr="00C3310F">
        <w:rPr>
          <w:rFonts w:hint="eastAsia"/>
        </w:rPr>
        <w:t>電話組:又稱電話機房（電信機房、桶子），包括1至3線電話手及電腦手，負責人則另屬核心人員，電話組主要負責打電話實施詐騙等工作。</w:t>
      </w:r>
    </w:p>
    <w:p w14:paraId="2E420DE0" w14:textId="77777777" w:rsidR="00720EB1" w:rsidRPr="00C3310F" w:rsidRDefault="00720EB1" w:rsidP="00E332D7">
      <w:pPr>
        <w:pStyle w:val="6"/>
      </w:pPr>
      <w:bookmarkStart w:id="184" w:name="_Toc171525423"/>
      <w:bookmarkStart w:id="185" w:name="_Toc172023889"/>
      <w:bookmarkStart w:id="186" w:name="_Toc172033208"/>
      <w:r w:rsidRPr="00C3310F">
        <w:rPr>
          <w:rFonts w:hint="eastAsia"/>
        </w:rPr>
        <w:t>電話機房：又稱「桶子、電信機房」。電話手（機房成員）屬詐欺集團底層人員，類似臨時工，可取代性高。</w:t>
      </w:r>
      <w:bookmarkEnd w:id="184"/>
      <w:bookmarkEnd w:id="185"/>
      <w:bookmarkEnd w:id="186"/>
    </w:p>
    <w:p w14:paraId="371B13CE" w14:textId="77777777" w:rsidR="00720EB1" w:rsidRPr="00C3310F" w:rsidRDefault="00720EB1" w:rsidP="00E332D7">
      <w:pPr>
        <w:pStyle w:val="6"/>
      </w:pPr>
      <w:bookmarkStart w:id="187" w:name="_Toc171525424"/>
      <w:bookmarkStart w:id="188" w:name="_Toc172023890"/>
      <w:bookmarkStart w:id="189" w:name="_Toc172033209"/>
      <w:r w:rsidRPr="00C3310F">
        <w:rPr>
          <w:rFonts w:hint="eastAsia"/>
        </w:rPr>
        <w:t>電腦手：大多由三線負責人擔任，是老闆最信任的部屬。電腦手分紅最多，多無前科、學歷不高（大多</w:t>
      </w:r>
      <w:r w:rsidRPr="00C3310F">
        <w:t>22</w:t>
      </w:r>
      <w:r w:rsidRPr="00C3310F">
        <w:rPr>
          <w:rFonts w:hint="eastAsia"/>
        </w:rPr>
        <w:t>歲以下）、專精電腦、較具技術。主要負責操控電腦，進帳時報帳戶，電腦作業</w:t>
      </w:r>
      <w:r w:rsidRPr="00C3310F">
        <w:rPr>
          <w:rFonts w:hint="eastAsia"/>
        </w:rPr>
        <w:lastRenderedPageBreak/>
        <w:t>大多上網設定不需其他設備。</w:t>
      </w:r>
      <w:bookmarkEnd w:id="187"/>
      <w:bookmarkEnd w:id="188"/>
      <w:bookmarkEnd w:id="189"/>
    </w:p>
    <w:p w14:paraId="24D39FFA" w14:textId="77777777" w:rsidR="00720EB1" w:rsidRPr="00C3310F" w:rsidRDefault="00720EB1" w:rsidP="00E332D7">
      <w:pPr>
        <w:pStyle w:val="4"/>
      </w:pPr>
      <w:r w:rsidRPr="00C3310F">
        <w:rPr>
          <w:rFonts w:hint="eastAsia"/>
        </w:rPr>
        <w:t>核心組：核心人員包括老闆、金主、負責人、會計、帳房等，主要負責管控人員及金流。</w:t>
      </w:r>
    </w:p>
    <w:p w14:paraId="65AD0100" w14:textId="77777777" w:rsidR="00720EB1" w:rsidRPr="00C3310F" w:rsidRDefault="00720EB1" w:rsidP="00E332D7">
      <w:pPr>
        <w:pStyle w:val="6"/>
      </w:pPr>
      <w:bookmarkStart w:id="190" w:name="_Toc171525425"/>
      <w:bookmarkStart w:id="191" w:name="_Toc172023891"/>
      <w:bookmarkStart w:id="192" w:name="_Toc172033210"/>
      <w:r w:rsidRPr="00C3310F">
        <w:rPr>
          <w:rFonts w:hint="eastAsia"/>
        </w:rPr>
        <w:t>會計：</w:t>
      </w:r>
      <w:bookmarkEnd w:id="190"/>
      <w:bookmarkEnd w:id="191"/>
      <w:bookmarkEnd w:id="192"/>
    </w:p>
    <w:p w14:paraId="390C4C45" w14:textId="77777777" w:rsidR="00720EB1" w:rsidRPr="00C3310F" w:rsidRDefault="00720EB1" w:rsidP="00E332D7">
      <w:pPr>
        <w:pStyle w:val="7"/>
        <w:ind w:leftChars="542" w:left="2695"/>
      </w:pPr>
      <w:r w:rsidRPr="00C3310F">
        <w:rPr>
          <w:rFonts w:hint="eastAsia"/>
        </w:rPr>
        <w:t>負責管帳，屬於核心人物、老闆親信親友，有時身兼電腦手利用網路通知車手集團提款。</w:t>
      </w:r>
    </w:p>
    <w:p w14:paraId="27D6C2CB" w14:textId="18996C89" w:rsidR="00720EB1" w:rsidRPr="00C3310F" w:rsidRDefault="00720EB1" w:rsidP="00E332D7">
      <w:pPr>
        <w:pStyle w:val="7"/>
        <w:ind w:leftChars="542" w:left="2695"/>
      </w:pPr>
      <w:r w:rsidRPr="00C3310F">
        <w:rPr>
          <w:rFonts w:hint="eastAsia"/>
        </w:rPr>
        <w:t>電話組、車手組及核心組各為三個會計，需互相對帳。工作內容為記錄三線成員每日進帳，每</w:t>
      </w:r>
      <w:r w:rsidR="002A6C2B" w:rsidRPr="00C3310F">
        <w:rPr>
          <w:rFonts w:hint="eastAsia"/>
        </w:rPr>
        <w:t>週</w:t>
      </w:r>
      <w:r w:rsidRPr="00C3310F">
        <w:rPr>
          <w:rFonts w:hint="eastAsia"/>
        </w:rPr>
        <w:t>發薪。</w:t>
      </w:r>
    </w:p>
    <w:p w14:paraId="74FBA369" w14:textId="77777777" w:rsidR="00720EB1" w:rsidRPr="00C3310F" w:rsidRDefault="00720EB1" w:rsidP="00E332D7">
      <w:pPr>
        <w:pStyle w:val="6"/>
      </w:pPr>
      <w:bookmarkStart w:id="193" w:name="_Toc171525426"/>
      <w:bookmarkStart w:id="194" w:name="_Toc172023892"/>
      <w:bookmarkStart w:id="195" w:name="_Toc172033211"/>
      <w:r w:rsidRPr="00C3310F">
        <w:rPr>
          <w:rFonts w:hint="eastAsia"/>
        </w:rPr>
        <w:t>負責人：</w:t>
      </w:r>
      <w:bookmarkEnd w:id="193"/>
      <w:r w:rsidRPr="00C3310F">
        <w:rPr>
          <w:rFonts w:hint="eastAsia"/>
        </w:rPr>
        <w:t>電話機房（桶子）負責人算是管桶的，又稱「桶仔主、握桶仔（台語）」，屬於現場管理人，也是老闆信任的人，分散各地，隨時與首腦聯絡。</w:t>
      </w:r>
      <w:bookmarkEnd w:id="194"/>
      <w:bookmarkEnd w:id="195"/>
    </w:p>
    <w:p w14:paraId="74B8DFCA" w14:textId="77777777" w:rsidR="00720EB1" w:rsidRPr="00C3310F" w:rsidRDefault="00720EB1" w:rsidP="00E332D7">
      <w:pPr>
        <w:pStyle w:val="6"/>
      </w:pPr>
      <w:bookmarkStart w:id="196" w:name="_Toc171525427"/>
      <w:bookmarkStart w:id="197" w:name="_Toc172023893"/>
      <w:bookmarkStart w:id="198" w:name="_Toc172033212"/>
      <w:r w:rsidRPr="00C3310F">
        <w:rPr>
          <w:rFonts w:hint="eastAsia"/>
        </w:rPr>
        <w:t>老闆：</w:t>
      </w:r>
      <w:bookmarkEnd w:id="196"/>
      <w:bookmarkEnd w:id="197"/>
      <w:bookmarkEnd w:id="198"/>
    </w:p>
    <w:p w14:paraId="736E30E8" w14:textId="77777777" w:rsidR="00720EB1" w:rsidRPr="00C3310F" w:rsidRDefault="00720EB1" w:rsidP="00E332D7">
      <w:pPr>
        <w:pStyle w:val="7"/>
        <w:ind w:leftChars="542" w:left="2695"/>
      </w:pPr>
      <w:r w:rsidRPr="00C3310F">
        <w:rPr>
          <w:rFonts w:hint="eastAsia"/>
        </w:rPr>
        <w:t>是整個集團最為關鍵的人物，通常具有特定人脈資源，才能找到據點、成員、合作車手及匯水。</w:t>
      </w:r>
    </w:p>
    <w:p w14:paraId="65571D1B" w14:textId="77777777" w:rsidR="00720EB1" w:rsidRPr="00C3310F" w:rsidRDefault="00720EB1" w:rsidP="00E332D7">
      <w:pPr>
        <w:pStyle w:val="7"/>
        <w:ind w:leftChars="542" w:left="2695"/>
      </w:pPr>
      <w:r w:rsidRPr="00C3310F">
        <w:rPr>
          <w:rFonts w:hint="eastAsia"/>
        </w:rPr>
        <w:t>部分為黑道堂口老闆，有幫派背景，堂口當頭、會長或堂主，號召旗下小弟組成詐騙集團。</w:t>
      </w:r>
    </w:p>
    <w:p w14:paraId="5A047324" w14:textId="77777777" w:rsidR="00720EB1" w:rsidRPr="00C3310F" w:rsidRDefault="00720EB1" w:rsidP="00E332D7">
      <w:pPr>
        <w:pStyle w:val="6"/>
      </w:pPr>
      <w:bookmarkStart w:id="199" w:name="_Toc171525428"/>
      <w:bookmarkStart w:id="200" w:name="_Toc172023894"/>
      <w:bookmarkStart w:id="201" w:name="_Toc172033213"/>
      <w:r w:rsidRPr="00C3310F">
        <w:rPr>
          <w:rFonts w:hint="eastAsia"/>
        </w:rPr>
        <w:t>金主、股東：</w:t>
      </w:r>
      <w:bookmarkEnd w:id="199"/>
      <w:r w:rsidRPr="00C3310F">
        <w:rPr>
          <w:rFonts w:hint="eastAsia"/>
        </w:rPr>
        <w:t>幕後金主包含各界人士，大多與黑道有掛勾。金主通常只負責出錢不管理，也有正當行業</w:t>
      </w:r>
      <w:r w:rsidR="00DF5AAA" w:rsidRPr="00C3310F">
        <w:rPr>
          <w:rFonts w:hint="eastAsia"/>
        </w:rPr>
        <w:t>，</w:t>
      </w:r>
      <w:r w:rsidRPr="00C3310F">
        <w:rPr>
          <w:rFonts w:hint="eastAsia"/>
        </w:rPr>
        <w:t>金主主要負責撥款投資，請股東負責管理，將自己風險降到最低。</w:t>
      </w:r>
      <w:bookmarkEnd w:id="200"/>
      <w:bookmarkEnd w:id="201"/>
    </w:p>
    <w:p w14:paraId="77C22037" w14:textId="3503FD6F" w:rsidR="00D85141" w:rsidRPr="00C3310F" w:rsidRDefault="002D66A8" w:rsidP="00EA7540">
      <w:pPr>
        <w:pStyle w:val="2"/>
        <w:numPr>
          <w:ilvl w:val="1"/>
          <w:numId w:val="25"/>
        </w:numPr>
      </w:pPr>
      <w:bookmarkStart w:id="202" w:name="_Toc172033214"/>
      <w:r w:rsidRPr="00C3310F">
        <w:rPr>
          <w:rFonts w:hint="eastAsia"/>
        </w:rPr>
        <w:t>電信網路詐欺面貌:</w:t>
      </w:r>
      <w:r w:rsidR="00A826C0" w:rsidRPr="00C3310F">
        <w:rPr>
          <w:rFonts w:hint="eastAsia"/>
        </w:rPr>
        <w:t>將</w:t>
      </w:r>
      <w:r w:rsidR="00C15BA5" w:rsidRPr="00C3310F">
        <w:rPr>
          <w:rFonts w:hint="eastAsia"/>
        </w:rPr>
        <w:t>前述犯罪條件形成背景以及詐騙集團高效運作並充滿查緝斷點之組織架構</w:t>
      </w:r>
      <w:r w:rsidR="00A826C0" w:rsidRPr="00C3310F">
        <w:rPr>
          <w:rFonts w:hint="eastAsia"/>
        </w:rPr>
        <w:t>加以串接</w:t>
      </w:r>
      <w:r w:rsidR="00EA7540" w:rsidRPr="00C3310F">
        <w:rPr>
          <w:rFonts w:hint="eastAsia"/>
        </w:rPr>
        <w:t>連結</w:t>
      </w:r>
      <w:r w:rsidR="00D85141" w:rsidRPr="00C3310F">
        <w:rPr>
          <w:rStyle w:val="afe"/>
        </w:rPr>
        <w:footnoteReference w:id="11"/>
      </w:r>
      <w:r w:rsidR="00EA7540" w:rsidRPr="00C3310F">
        <w:rPr>
          <w:rFonts w:hint="eastAsia"/>
        </w:rPr>
        <w:t>，</w:t>
      </w:r>
      <w:r w:rsidR="00A826C0" w:rsidRPr="00C3310F">
        <w:rPr>
          <w:rFonts w:hint="eastAsia"/>
        </w:rPr>
        <w:t>可</w:t>
      </w:r>
      <w:r w:rsidR="00DF5AAA" w:rsidRPr="00C3310F">
        <w:rPr>
          <w:rFonts w:hint="eastAsia"/>
        </w:rPr>
        <w:t>形</w:t>
      </w:r>
      <w:r w:rsidR="00A826C0" w:rsidRPr="00C3310F">
        <w:rPr>
          <w:rFonts w:hint="eastAsia"/>
        </w:rPr>
        <w:t>塑出我國民</w:t>
      </w:r>
      <w:r w:rsidR="00DF5AAA" w:rsidRPr="00C3310F">
        <w:rPr>
          <w:rFonts w:hint="eastAsia"/>
        </w:rPr>
        <w:t>眾</w:t>
      </w:r>
      <w:r w:rsidR="00A826C0" w:rsidRPr="00C3310F">
        <w:rPr>
          <w:rFonts w:hint="eastAsia"/>
        </w:rPr>
        <w:t>所面對之</w:t>
      </w:r>
      <w:bookmarkStart w:id="204" w:name="_Hlk172024375"/>
      <w:r w:rsidR="00A826C0" w:rsidRPr="00C3310F">
        <w:rPr>
          <w:rFonts w:hint="eastAsia"/>
        </w:rPr>
        <w:t>電信網路詐欺面</w:t>
      </w:r>
      <w:r w:rsidR="00A826C0" w:rsidRPr="00C3310F">
        <w:rPr>
          <w:rFonts w:hint="eastAsia"/>
        </w:rPr>
        <w:lastRenderedPageBreak/>
        <w:t>貌</w:t>
      </w:r>
      <w:bookmarkEnd w:id="204"/>
      <w:r w:rsidR="00A826C0" w:rsidRPr="00C3310F">
        <w:rPr>
          <w:rFonts w:hint="eastAsia"/>
        </w:rPr>
        <w:t>，並呈現</w:t>
      </w:r>
      <w:r w:rsidR="00EA7540" w:rsidRPr="00C3310F">
        <w:rPr>
          <w:rFonts w:hint="eastAsia"/>
        </w:rPr>
        <w:t>出政府治理及打詐綱領所</w:t>
      </w:r>
      <w:r w:rsidR="00252D47" w:rsidRPr="00C3310F">
        <w:rPr>
          <w:rFonts w:hint="eastAsia"/>
        </w:rPr>
        <w:t>欲反制</w:t>
      </w:r>
      <w:r w:rsidR="00EA7540" w:rsidRPr="00C3310F">
        <w:rPr>
          <w:rFonts w:hint="eastAsia"/>
        </w:rPr>
        <w:t>之各式詐騙樣態。</w:t>
      </w:r>
      <w:bookmarkEnd w:id="202"/>
    </w:p>
    <w:p w14:paraId="6D5ACCA6" w14:textId="77777777" w:rsidR="00345EEA" w:rsidRPr="00C3310F" w:rsidRDefault="00345EEA" w:rsidP="00345EEA">
      <w:pPr>
        <w:pStyle w:val="3"/>
      </w:pPr>
      <w:bookmarkStart w:id="205" w:name="_Toc171525409"/>
      <w:bookmarkStart w:id="206" w:name="_Toc172023896"/>
      <w:bookmarkStart w:id="207" w:name="_Toc172033215"/>
      <w:bookmarkStart w:id="208" w:name="_Toc171525403"/>
      <w:r w:rsidRPr="00C3310F">
        <w:rPr>
          <w:rFonts w:hint="eastAsia"/>
        </w:rPr>
        <w:t>各類型電信網路詐欺案件之手法。</w:t>
      </w:r>
      <w:bookmarkEnd w:id="205"/>
      <w:bookmarkEnd w:id="206"/>
      <w:bookmarkEnd w:id="207"/>
    </w:p>
    <w:p w14:paraId="4F69E115" w14:textId="77777777" w:rsidR="00345EEA" w:rsidRPr="00C3310F" w:rsidRDefault="00345EEA" w:rsidP="00345EEA">
      <w:pPr>
        <w:pStyle w:val="4"/>
      </w:pPr>
      <w:r w:rsidRPr="00C3310F">
        <w:rPr>
          <w:rFonts w:hint="eastAsia"/>
        </w:rPr>
        <w:t>假網拍詐騙：</w:t>
      </w:r>
    </w:p>
    <w:p w14:paraId="2BECC84F" w14:textId="51CB5A99" w:rsidR="00345EEA" w:rsidRPr="00C3310F" w:rsidRDefault="00345EEA" w:rsidP="00345EEA">
      <w:pPr>
        <w:pStyle w:val="4"/>
        <w:numPr>
          <w:ilvl w:val="0"/>
          <w:numId w:val="0"/>
        </w:numPr>
        <w:ind w:leftChars="594" w:left="2020" w:firstLineChars="208" w:firstLine="708"/>
      </w:pPr>
      <w:r w:rsidRPr="00C3310F">
        <w:rPr>
          <w:rFonts w:hint="eastAsia"/>
        </w:rPr>
        <w:t>民眾透過臉書、</w:t>
      </w:r>
      <w:r w:rsidR="00DF3BE8" w:rsidRPr="00C3310F">
        <w:rPr>
          <w:rFonts w:hint="eastAsia"/>
        </w:rPr>
        <w:t>LINE</w:t>
      </w:r>
      <w:r w:rsidRPr="00C3310F">
        <w:rPr>
          <w:rFonts w:hint="eastAsia"/>
        </w:rPr>
        <w:t>或知名拍賣網站從事網路購物，詐騙集團便利用當前最新款的3C產品、限量球鞋、名牌包或熱門演唱會門票等，以明顯低於市價之價格誘引民眾下單並要求以</w:t>
      </w:r>
      <w:r w:rsidR="00DF3BE8" w:rsidRPr="00C3310F">
        <w:rPr>
          <w:rFonts w:hint="eastAsia"/>
        </w:rPr>
        <w:t>LINE</w:t>
      </w:r>
      <w:r w:rsidRPr="00C3310F">
        <w:rPr>
          <w:rFonts w:hint="eastAsia"/>
        </w:rPr>
        <w:t>或Messenger私下交易。等被害人匯款後卻不出貨，且失去聯繫；或以貨到付款方式取貨開箱後，才發現是劣質商品。</w:t>
      </w:r>
    </w:p>
    <w:p w14:paraId="35CD44D5" w14:textId="77777777" w:rsidR="00345EEA" w:rsidRPr="00C3310F" w:rsidRDefault="00345EEA" w:rsidP="00345EEA">
      <w:pPr>
        <w:pStyle w:val="4"/>
      </w:pPr>
      <w:r w:rsidRPr="00C3310F">
        <w:rPr>
          <w:rFonts w:hint="eastAsia"/>
        </w:rPr>
        <w:t>假投資詐騙：</w:t>
      </w:r>
    </w:p>
    <w:p w14:paraId="1ED679D2" w14:textId="015F7408" w:rsidR="00345EEA" w:rsidRPr="00C3310F" w:rsidRDefault="00345EEA" w:rsidP="00345EEA">
      <w:pPr>
        <w:pStyle w:val="4"/>
        <w:numPr>
          <w:ilvl w:val="0"/>
          <w:numId w:val="0"/>
        </w:numPr>
        <w:ind w:left="1701" w:firstLineChars="208" w:firstLine="708"/>
      </w:pPr>
      <w:r w:rsidRPr="00C3310F">
        <w:rPr>
          <w:rFonts w:hint="eastAsia"/>
        </w:rPr>
        <w:t>詐騙集團透過網路社群或交友軟體主動認識被害人，並假借股票、虛擬通貨、期貨、外匯及基金等名義，吸引民眾加入</w:t>
      </w:r>
      <w:r w:rsidR="00DF3BE8" w:rsidRPr="00C3310F">
        <w:rPr>
          <w:rFonts w:hint="eastAsia"/>
        </w:rPr>
        <w:t>LINE</w:t>
      </w:r>
      <w:r w:rsidRPr="00C3310F">
        <w:rPr>
          <w:rFonts w:hint="eastAsia"/>
        </w:rPr>
        <w:t>投資群組，初期會先讓民眾小額獲利，再以資金越多獲利越多說詞，引誘民眾加入投資網站或下載APP並投入大量資金，後續再以繳保證金、IP異常等理由拒絕出金，民眾發現帳號遭凍結或網站關閉才發現遭詐。</w:t>
      </w:r>
    </w:p>
    <w:p w14:paraId="250C29FC" w14:textId="77777777" w:rsidR="00345EEA" w:rsidRPr="00C3310F" w:rsidRDefault="00345EEA" w:rsidP="00345EEA">
      <w:pPr>
        <w:pStyle w:val="4"/>
      </w:pPr>
      <w:r w:rsidRPr="00C3310F">
        <w:rPr>
          <w:rFonts w:hint="eastAsia"/>
        </w:rPr>
        <w:t>ATM解除分期付款詐騙：</w:t>
      </w:r>
    </w:p>
    <w:p w14:paraId="5EB360F7" w14:textId="45F2FF38" w:rsidR="00345EEA" w:rsidRPr="00C3310F" w:rsidRDefault="00345EEA" w:rsidP="00345EEA">
      <w:pPr>
        <w:pStyle w:val="4"/>
        <w:numPr>
          <w:ilvl w:val="0"/>
          <w:numId w:val="0"/>
        </w:numPr>
        <w:ind w:left="1701" w:firstLineChars="208" w:firstLine="708"/>
      </w:pPr>
      <w:bookmarkStart w:id="209" w:name="_Hlk171408656"/>
      <w:r w:rsidRPr="00C3310F">
        <w:rPr>
          <w:rFonts w:hint="eastAsia"/>
        </w:rPr>
        <w:t>詐騙集團攻擊資安防護不足電子商務平臺或基金會之後臺資料庫，取得民眾的交易紀錄與個資，再假冒商家或基金會與銀行來電，謊稱因設定錯誤，將重複扣款，要求民眾操作ATM、網路銀行或至超商購買遊戲點數進行解除設定。民眾依照指示操作後，發現帳戶餘額減少，才知道上當受騙。</w:t>
      </w:r>
      <w:bookmarkEnd w:id="209"/>
    </w:p>
    <w:p w14:paraId="229BDB51" w14:textId="77777777" w:rsidR="00345EEA" w:rsidRPr="00C3310F" w:rsidRDefault="00345EEA" w:rsidP="00345EEA">
      <w:pPr>
        <w:pStyle w:val="4"/>
      </w:pPr>
      <w:r w:rsidRPr="00C3310F">
        <w:rPr>
          <w:rFonts w:hint="eastAsia"/>
        </w:rPr>
        <w:t>假愛情交友：</w:t>
      </w:r>
    </w:p>
    <w:p w14:paraId="5039885E" w14:textId="77777777" w:rsidR="00345EEA" w:rsidRPr="00C3310F" w:rsidRDefault="00345EEA" w:rsidP="00345EEA">
      <w:pPr>
        <w:pStyle w:val="4"/>
        <w:numPr>
          <w:ilvl w:val="0"/>
          <w:numId w:val="0"/>
        </w:numPr>
        <w:ind w:left="1701" w:firstLineChars="208" w:firstLine="708"/>
      </w:pPr>
      <w:r w:rsidRPr="00C3310F">
        <w:rPr>
          <w:rFonts w:hint="eastAsia"/>
        </w:rPr>
        <w:t>詐騙集團透過社群網站或交友軟體等管道隨機加好友，並盜用網路上帥哥、美女照片，假冒戰</w:t>
      </w:r>
      <w:r w:rsidRPr="00C3310F">
        <w:rPr>
          <w:rFonts w:hint="eastAsia"/>
        </w:rPr>
        <w:lastRenderedPageBreak/>
        <w:t>地軍官、軍醫、服務於聯合國官員，讓民眾誤入情網，再以境外寄送跨境包裹、禮物需要關稅或儲存結婚基金介紹投資管道等方式詐騙民眾匯款，直到遭對方封鎖才知道受騙。</w:t>
      </w:r>
    </w:p>
    <w:p w14:paraId="4A31651A" w14:textId="77777777" w:rsidR="00345EEA" w:rsidRPr="00C3310F" w:rsidRDefault="00345EEA" w:rsidP="00345EEA">
      <w:pPr>
        <w:pStyle w:val="4"/>
      </w:pPr>
      <w:r w:rsidRPr="00C3310F">
        <w:rPr>
          <w:rFonts w:hint="eastAsia"/>
        </w:rPr>
        <w:t>猜猜我是誰：</w:t>
      </w:r>
    </w:p>
    <w:p w14:paraId="64005FF3" w14:textId="2A747793" w:rsidR="00345EEA" w:rsidRPr="00C3310F" w:rsidRDefault="00345EEA" w:rsidP="00345EEA">
      <w:pPr>
        <w:pStyle w:val="4"/>
        <w:numPr>
          <w:ilvl w:val="0"/>
          <w:numId w:val="0"/>
        </w:numPr>
        <w:ind w:left="1701" w:firstLineChars="208" w:firstLine="708"/>
      </w:pPr>
      <w:r w:rsidRPr="00C3310F">
        <w:rPr>
          <w:rFonts w:hint="eastAsia"/>
        </w:rPr>
        <w:t>詐騙集團假冒「兒女」、「親戚」或「多年不見的友人」，透過電話或通訊軟體(如</w:t>
      </w:r>
      <w:r w:rsidR="00DF3BE8" w:rsidRPr="00C3310F">
        <w:rPr>
          <w:rFonts w:hint="eastAsia"/>
        </w:rPr>
        <w:t>LINE</w:t>
      </w:r>
      <w:r w:rsidRPr="00C3310F">
        <w:rPr>
          <w:rFonts w:hint="eastAsia"/>
        </w:rPr>
        <w:t>)與民眾聯繫，並以換過手機所以不是原來的號碼、暱稱等方式要民眾加入新手機號碼或</w:t>
      </w:r>
      <w:r w:rsidR="00DF3BE8" w:rsidRPr="00C3310F">
        <w:rPr>
          <w:rFonts w:hint="eastAsia"/>
        </w:rPr>
        <w:t>LINE</w:t>
      </w:r>
      <w:r w:rsidRPr="00C3310F">
        <w:rPr>
          <w:rFonts w:hint="eastAsia"/>
        </w:rPr>
        <w:t xml:space="preserve"> ID，過幾天後再以臨時急用、投資周轉等理由詐騙民眾匯款，事後民眾聯絡到當事人確認無此事後才知道被騙。</w:t>
      </w:r>
    </w:p>
    <w:p w14:paraId="7D6DCE62" w14:textId="77777777" w:rsidR="00345EEA" w:rsidRPr="00C3310F" w:rsidRDefault="00345EEA" w:rsidP="00345EEA">
      <w:pPr>
        <w:pStyle w:val="4"/>
      </w:pPr>
      <w:r w:rsidRPr="00C3310F">
        <w:rPr>
          <w:rFonts w:hint="eastAsia"/>
        </w:rPr>
        <w:t>假冒機構(公務員)：</w:t>
      </w:r>
    </w:p>
    <w:p w14:paraId="78936F06" w14:textId="3EA525FF" w:rsidR="00345EEA" w:rsidRPr="00C3310F" w:rsidRDefault="00345EEA" w:rsidP="00345EEA">
      <w:pPr>
        <w:pStyle w:val="4"/>
        <w:numPr>
          <w:ilvl w:val="0"/>
          <w:numId w:val="0"/>
        </w:numPr>
        <w:ind w:left="1701" w:firstLineChars="208" w:firstLine="708"/>
      </w:pPr>
      <w:r w:rsidRPr="00C3310F">
        <w:rPr>
          <w:rFonts w:hint="eastAsia"/>
        </w:rPr>
        <w:t>詐騙集團假冒健保局、醫院及中華電信或其他公務機關撥打市內電話予民眾，用語音的方式引導被害人轉接客服人員，並以被害人遭冒用身分辦理開戶、請領健保補助或申辦門號為由，主動協助轉接警察機關製作筆錄，另告知涉及洗錢或其他刑事案件，強調偵查不公開勿告知親友，再要求民眾至超商收取傳真或以</w:t>
      </w:r>
      <w:r w:rsidR="00DF3BE8" w:rsidRPr="00C3310F">
        <w:rPr>
          <w:rFonts w:hint="eastAsia"/>
        </w:rPr>
        <w:t>LINE</w:t>
      </w:r>
      <w:r w:rsidRPr="00C3310F">
        <w:rPr>
          <w:rFonts w:hint="eastAsia"/>
        </w:rPr>
        <w:t>須傳送法院偽造公文取信被害人，須被害人配合監管帳戶等話術行騙得逞。</w:t>
      </w:r>
    </w:p>
    <w:p w14:paraId="4B1728E6" w14:textId="77777777" w:rsidR="00345EEA" w:rsidRPr="00C3310F" w:rsidRDefault="00345EEA" w:rsidP="00345EEA">
      <w:pPr>
        <w:pStyle w:val="4"/>
      </w:pPr>
      <w:r w:rsidRPr="00C3310F">
        <w:rPr>
          <w:rFonts w:hint="eastAsia"/>
        </w:rPr>
        <w:t>假求職：</w:t>
      </w:r>
    </w:p>
    <w:p w14:paraId="5288D2CD" w14:textId="77777777" w:rsidR="00345EEA" w:rsidRPr="00C3310F" w:rsidRDefault="00345EEA" w:rsidP="00345EEA">
      <w:pPr>
        <w:pStyle w:val="4"/>
        <w:numPr>
          <w:ilvl w:val="0"/>
          <w:numId w:val="0"/>
        </w:numPr>
        <w:ind w:left="1701" w:firstLineChars="208" w:firstLine="708"/>
      </w:pPr>
      <w:r w:rsidRPr="00C3310F">
        <w:rPr>
          <w:rFonts w:hint="eastAsia"/>
        </w:rPr>
        <w:t>於報章雜誌或網路訊息刊登求職訊息誘騙民眾，再以設定薪資轉帳等名義騙取被害人之金融帳戶及密碼，續遭詐騙集團作為人頭帳戶之用。</w:t>
      </w:r>
    </w:p>
    <w:p w14:paraId="660BD4BE" w14:textId="77777777" w:rsidR="00345EEA" w:rsidRPr="00C3310F" w:rsidRDefault="00345EEA" w:rsidP="00345EEA">
      <w:pPr>
        <w:pStyle w:val="3"/>
      </w:pPr>
      <w:bookmarkStart w:id="210" w:name="_Toc172023897"/>
      <w:bookmarkStart w:id="211" w:name="_Toc172033216"/>
      <w:r w:rsidRPr="00C3310F">
        <w:rPr>
          <w:rFonts w:hint="eastAsia"/>
        </w:rPr>
        <w:t>若以詐騙集團接觸受害民眾之管道區分，其樣態可分為：</w:t>
      </w:r>
      <w:bookmarkEnd w:id="210"/>
      <w:bookmarkEnd w:id="211"/>
    </w:p>
    <w:p w14:paraId="6EED67CB" w14:textId="77777777" w:rsidR="00345EEA" w:rsidRPr="00C3310F" w:rsidRDefault="00345EEA" w:rsidP="00345EEA">
      <w:pPr>
        <w:pStyle w:val="4"/>
      </w:pPr>
      <w:r w:rsidRPr="00C3310F">
        <w:rPr>
          <w:rFonts w:hint="eastAsia"/>
        </w:rPr>
        <w:t>釣魚簡訊及電子郵件：詐騙集團發送看似正常發送的簡訊或電子郵件，試圖引誘被害人進一步提供個人資訊、銀行資訊或進行金錢上交易。獲得的</w:t>
      </w:r>
      <w:r w:rsidRPr="00C3310F">
        <w:rPr>
          <w:rFonts w:hint="eastAsia"/>
        </w:rPr>
        <w:lastRenderedPageBreak/>
        <w:t>訊息通常被用於冒用身分或詐騙金錢。</w:t>
      </w:r>
    </w:p>
    <w:p w14:paraId="24B3D0BB" w14:textId="77777777" w:rsidR="00345EEA" w:rsidRPr="00C3310F" w:rsidRDefault="00345EEA" w:rsidP="00345EEA">
      <w:pPr>
        <w:pStyle w:val="4"/>
      </w:pPr>
      <w:r w:rsidRPr="00C3310F">
        <w:rPr>
          <w:rFonts w:hint="eastAsia"/>
        </w:rPr>
        <w:t>電話詐騙：詐騙集團可能撥打騷擾電話，聲稱自己是銀行、政府機關或知名企業，以詐欺、威脅等各種話術誘使被害人透露個人資訊或進行轉帳。</w:t>
      </w:r>
    </w:p>
    <w:p w14:paraId="215B64AF" w14:textId="77777777" w:rsidR="00345EEA" w:rsidRPr="00C3310F" w:rsidRDefault="00345EEA" w:rsidP="00345EEA">
      <w:pPr>
        <w:pStyle w:val="4"/>
      </w:pPr>
      <w:r w:rsidRPr="00C3310F">
        <w:rPr>
          <w:rFonts w:hint="eastAsia"/>
        </w:rPr>
        <w:t>社交媒體詐騙：詐騙集團可能會利用社交媒體平臺創建虛假帳號，假造或冒充他人身分，試圖與被害人建立信任關係，要求被害人透露個人資訊、進行金融交易或點擊惡意連結，從而造成損失。</w:t>
      </w:r>
    </w:p>
    <w:p w14:paraId="4A3263BE" w14:textId="77777777" w:rsidR="00345EEA" w:rsidRPr="00C3310F" w:rsidRDefault="00345EEA" w:rsidP="00345EEA">
      <w:pPr>
        <w:pStyle w:val="3"/>
      </w:pPr>
      <w:bookmarkStart w:id="212" w:name="_Toc172023898"/>
      <w:bookmarkStart w:id="213" w:name="_Toc172033217"/>
      <w:r w:rsidRPr="00C3310F">
        <w:rPr>
          <w:rFonts w:hint="eastAsia"/>
        </w:rPr>
        <w:t>詐欺工具隨科技進步不斷演變之情形：</w:t>
      </w:r>
      <w:bookmarkEnd w:id="212"/>
      <w:bookmarkEnd w:id="213"/>
    </w:p>
    <w:p w14:paraId="0A294585" w14:textId="77777777" w:rsidR="00345EEA" w:rsidRPr="00C3310F" w:rsidRDefault="00345EEA" w:rsidP="00345EEA">
      <w:pPr>
        <w:pStyle w:val="4"/>
      </w:pPr>
      <w:r w:rsidRPr="00C3310F">
        <w:rPr>
          <w:rFonts w:hint="eastAsia"/>
        </w:rPr>
        <w:t>電話詐騙：自電話普及至家戶後，即有詐騙集團利用其便利性進行詐騙，偽造各種情境且受話者難以即時查證；在個人手機普及後，詐騙集團可對個人進行針對性的話術詐騙。</w:t>
      </w:r>
    </w:p>
    <w:p w14:paraId="6C5CBC75" w14:textId="77777777" w:rsidR="00345EEA" w:rsidRPr="00C3310F" w:rsidRDefault="00345EEA" w:rsidP="00345EEA">
      <w:pPr>
        <w:pStyle w:val="4"/>
      </w:pPr>
      <w:r w:rsidRPr="00C3310F">
        <w:rPr>
          <w:rFonts w:hint="eastAsia"/>
        </w:rPr>
        <w:t>簡訊詐騙的興起：隨著手機的普及，詐騙集團開始利用簡訊進行詐騙活動，大量發送詐騙簡訊而觸及更多潛在受害者。</w:t>
      </w:r>
    </w:p>
    <w:p w14:paraId="3CB6B6BC" w14:textId="77777777" w:rsidR="00345EEA" w:rsidRPr="00C3310F" w:rsidRDefault="00345EEA" w:rsidP="00345EEA">
      <w:pPr>
        <w:pStyle w:val="4"/>
      </w:pPr>
      <w:r w:rsidRPr="00C3310F">
        <w:rPr>
          <w:rFonts w:hint="eastAsia"/>
        </w:rPr>
        <w:t>行動應用程式詐騙：隨著智能手機和行動寬頻的發展，APP也隨之普及，詐騙集團開始利用惡意APP，以竊取用戶個人資訊或進行其他詐騙活動。</w:t>
      </w:r>
    </w:p>
    <w:p w14:paraId="488D293B" w14:textId="77777777" w:rsidR="00345EEA" w:rsidRPr="00C3310F" w:rsidRDefault="00345EEA" w:rsidP="00345EEA">
      <w:pPr>
        <w:pStyle w:val="4"/>
      </w:pPr>
      <w:r w:rsidRPr="00C3310F">
        <w:rPr>
          <w:rFonts w:hint="eastAsia"/>
        </w:rPr>
        <w:t>社交媒體平臺詐騙：社交媒體平臺的興起，使詐騙集團得以創建虛擬身分，以更具細節、更有說服力的方式偽冒個人或機構進行詐騙。</w:t>
      </w:r>
    </w:p>
    <w:p w14:paraId="6A739B97" w14:textId="77777777" w:rsidR="00345EEA" w:rsidRPr="00C3310F" w:rsidRDefault="00345EEA" w:rsidP="00345EEA">
      <w:pPr>
        <w:pStyle w:val="4"/>
      </w:pPr>
      <w:r w:rsidRPr="00C3310F">
        <w:rPr>
          <w:rFonts w:hint="eastAsia"/>
        </w:rPr>
        <w:t>新興科技的引進：隨著新興科技如區塊鏈和加密貨幣的發展，金融詐騙的查調複雜度隨之上升。</w:t>
      </w:r>
    </w:p>
    <w:p w14:paraId="7024E3EB" w14:textId="77777777" w:rsidR="00345EEA" w:rsidRPr="00C3310F" w:rsidRDefault="00B869DB" w:rsidP="00B869DB">
      <w:pPr>
        <w:pStyle w:val="3"/>
      </w:pPr>
      <w:bookmarkStart w:id="214" w:name="_Toc172023899"/>
      <w:bookmarkStart w:id="215" w:name="_Toc172033218"/>
      <w:r w:rsidRPr="00C3310F">
        <w:rPr>
          <w:rFonts w:hint="eastAsia"/>
        </w:rPr>
        <w:t>一般常見</w:t>
      </w:r>
      <w:r w:rsidR="00345EEA" w:rsidRPr="00C3310F">
        <w:rPr>
          <w:rFonts w:hint="eastAsia"/>
        </w:rPr>
        <w:t>電信網路詐騙案件之特徵：</w:t>
      </w:r>
      <w:bookmarkEnd w:id="214"/>
      <w:bookmarkEnd w:id="215"/>
    </w:p>
    <w:p w14:paraId="52489612" w14:textId="77777777" w:rsidR="00345EEA" w:rsidRPr="00C3310F" w:rsidRDefault="00345EEA" w:rsidP="00B869DB">
      <w:pPr>
        <w:pStyle w:val="4"/>
      </w:pPr>
      <w:r w:rsidRPr="00C3310F">
        <w:rPr>
          <w:rFonts w:hint="eastAsia"/>
        </w:rPr>
        <w:t>緊急情況：詐騙集團常利用緊急情況來引誘被害人做出急迫決定。如聲稱帳號被盜用，需要立即提供個人資訊或轉帳以避免損失。</w:t>
      </w:r>
    </w:p>
    <w:p w14:paraId="45B2195D" w14:textId="77777777" w:rsidR="00345EEA" w:rsidRPr="00C3310F" w:rsidRDefault="00345EEA" w:rsidP="00B869DB">
      <w:pPr>
        <w:pStyle w:val="4"/>
      </w:pPr>
      <w:r w:rsidRPr="00C3310F">
        <w:rPr>
          <w:rFonts w:hint="eastAsia"/>
        </w:rPr>
        <w:t>不明來源的通訊：詐騙集團常使用匿名或虛偽的 電話號碼、簡訊號碼或電郵位址進行聯絡，對於被</w:t>
      </w:r>
      <w:r w:rsidRPr="00C3310F">
        <w:rPr>
          <w:rFonts w:hint="eastAsia"/>
        </w:rPr>
        <w:lastRenderedPageBreak/>
        <w:t>害人來說，通常為不明來源的通訊。</w:t>
      </w:r>
    </w:p>
    <w:p w14:paraId="5C83E30B" w14:textId="77777777" w:rsidR="00345EEA" w:rsidRPr="00C3310F" w:rsidRDefault="00345EEA" w:rsidP="00B869DB">
      <w:pPr>
        <w:pStyle w:val="4"/>
      </w:pPr>
      <w:r w:rsidRPr="00C3310F">
        <w:rPr>
          <w:rFonts w:hint="eastAsia"/>
        </w:rPr>
        <w:t>不尋常的要求：與詐騙集團不同，真正的機關或企業通常不會在不安全的環境下要求提供敏感資訊。</w:t>
      </w:r>
    </w:p>
    <w:p w14:paraId="4AAA0A2B" w14:textId="77777777" w:rsidR="00345EEA" w:rsidRPr="00C3310F" w:rsidRDefault="00345EEA" w:rsidP="00B869DB">
      <w:pPr>
        <w:pStyle w:val="4"/>
      </w:pPr>
      <w:r w:rsidRPr="00C3310F">
        <w:rPr>
          <w:rFonts w:hint="eastAsia"/>
        </w:rPr>
        <w:t>不正常的付款方式：詐騙集團可能要求使用非常規的付款方式，如匯款、虛擬貨幣、禮物卡等，以減少被警調單位發現的風險。</w:t>
      </w:r>
    </w:p>
    <w:p w14:paraId="7854E00B" w14:textId="77777777" w:rsidR="00345EEA" w:rsidRPr="00C3310F" w:rsidRDefault="00345EEA" w:rsidP="00B869DB">
      <w:pPr>
        <w:pStyle w:val="4"/>
      </w:pPr>
      <w:r w:rsidRPr="00C3310F">
        <w:rPr>
          <w:rFonts w:hint="eastAsia"/>
        </w:rPr>
        <w:t>不正常的網址或連結：詐騙集團常常會提供惡意的網址或連結，用以竊取個人資訊或安裝惡意軟體。</w:t>
      </w:r>
    </w:p>
    <w:p w14:paraId="6B2410B0" w14:textId="60AF87B1" w:rsidR="00901803" w:rsidRPr="00C3310F" w:rsidRDefault="00901803" w:rsidP="00821C9A">
      <w:pPr>
        <w:pStyle w:val="2"/>
        <w:ind w:leftChars="101" w:left="1025"/>
      </w:pPr>
      <w:bookmarkStart w:id="216" w:name="_Toc172033219"/>
      <w:bookmarkStart w:id="217" w:name="_Toc171525405"/>
      <w:r w:rsidRPr="00C3310F">
        <w:rPr>
          <w:rFonts w:hint="eastAsia"/>
        </w:rPr>
        <w:t>電信網路詐</w:t>
      </w:r>
      <w:r w:rsidR="002D66A8" w:rsidRPr="00C3310F">
        <w:rPr>
          <w:rFonts w:hint="eastAsia"/>
        </w:rPr>
        <w:t>騙</w:t>
      </w:r>
      <w:r w:rsidRPr="00C3310F">
        <w:rPr>
          <w:rFonts w:hint="eastAsia"/>
        </w:rPr>
        <w:t>集團</w:t>
      </w:r>
      <w:r w:rsidR="002D66A8" w:rsidRPr="00C3310F">
        <w:rPr>
          <w:rFonts w:hint="eastAsia"/>
        </w:rPr>
        <w:t>利用漏洞：</w:t>
      </w:r>
      <w:r w:rsidR="00A1409C" w:rsidRPr="00C3310F">
        <w:rPr>
          <w:rFonts w:hint="eastAsia"/>
        </w:rPr>
        <w:t>詐騙集團</w:t>
      </w:r>
      <w:r w:rsidRPr="00C3310F">
        <w:rPr>
          <w:rFonts w:hint="eastAsia"/>
        </w:rPr>
        <w:t>之所以能有效利用數位化、網路化及全球化環境衍生前揭諸多詐騙樣態，肇致國人嚴重損失，部分論者已推論恐存在政府防制政策疏漏之虞，茲以「識詐」、「堵詐」、「阻詐」、「懲詐」面</w:t>
      </w:r>
      <w:r w:rsidR="00F6477F" w:rsidRPr="00C3310F">
        <w:rPr>
          <w:rFonts w:hint="eastAsia"/>
        </w:rPr>
        <w:t>向</w:t>
      </w:r>
      <w:r w:rsidRPr="00C3310F">
        <w:rPr>
          <w:rFonts w:hint="eastAsia"/>
        </w:rPr>
        <w:t>依序整理如下</w:t>
      </w:r>
      <w:r w:rsidR="00252D47" w:rsidRPr="00C3310F">
        <w:rPr>
          <w:rFonts w:hint="eastAsia"/>
        </w:rPr>
        <w:t>；惟相關推論尚未</w:t>
      </w:r>
      <w:r w:rsidR="00821C9A" w:rsidRPr="00C3310F">
        <w:rPr>
          <w:rFonts w:hint="eastAsia"/>
        </w:rPr>
        <w:t>進一步</w:t>
      </w:r>
      <w:r w:rsidR="00252D47" w:rsidRPr="00C3310F">
        <w:rPr>
          <w:rFonts w:hint="eastAsia"/>
        </w:rPr>
        <w:t>將政府治理疏漏進行系統性</w:t>
      </w:r>
      <w:r w:rsidR="00821C9A" w:rsidRPr="00C3310F">
        <w:rPr>
          <w:rFonts w:hint="eastAsia"/>
        </w:rPr>
        <w:t>之爬梳</w:t>
      </w:r>
      <w:r w:rsidRPr="00C3310F">
        <w:rPr>
          <w:rFonts w:hint="eastAsia"/>
        </w:rPr>
        <w:t>：</w:t>
      </w:r>
      <w:bookmarkEnd w:id="216"/>
    </w:p>
    <w:p w14:paraId="61A1122B" w14:textId="77777777" w:rsidR="00B869DB" w:rsidRPr="00C3310F" w:rsidRDefault="00901803" w:rsidP="00B869DB">
      <w:pPr>
        <w:pStyle w:val="3"/>
      </w:pPr>
      <w:bookmarkStart w:id="218" w:name="_Toc172023901"/>
      <w:bookmarkStart w:id="219" w:name="_Toc172033220"/>
      <w:r w:rsidRPr="00C3310F">
        <w:rPr>
          <w:rFonts w:hint="eastAsia"/>
        </w:rPr>
        <w:t>識詐面:詐欺訊息氾濫與使用者之風險意識</w:t>
      </w:r>
      <w:bookmarkEnd w:id="217"/>
      <w:r w:rsidR="00737FFC" w:rsidRPr="00C3310F">
        <w:rPr>
          <w:rStyle w:val="afe"/>
        </w:rPr>
        <w:footnoteReference w:id="12"/>
      </w:r>
      <w:r w:rsidRPr="00C3310F">
        <w:rPr>
          <w:rFonts w:hint="eastAsia"/>
        </w:rPr>
        <w:t>。</w:t>
      </w:r>
      <w:bookmarkEnd w:id="218"/>
      <w:bookmarkEnd w:id="219"/>
    </w:p>
    <w:p w14:paraId="7B42DA8D" w14:textId="77777777" w:rsidR="00B869DB" w:rsidRPr="00C3310F" w:rsidRDefault="00B869DB" w:rsidP="00B869DB">
      <w:pPr>
        <w:pStyle w:val="4"/>
      </w:pPr>
      <w:r w:rsidRPr="00C3310F">
        <w:rPr>
          <w:rFonts w:hint="eastAsia"/>
        </w:rPr>
        <w:t>國人有近7成民眾近3個月內從各式管道(含電話、簡訊、線上廣告、網路購物等)遭遇過詐騙訊息，高達67.68%；且有3.71%民眾甚至因而受騙。</w:t>
      </w:r>
    </w:p>
    <w:p w14:paraId="4EC758BF" w14:textId="77777777" w:rsidR="00B869DB" w:rsidRPr="00C3310F" w:rsidRDefault="00B869DB" w:rsidP="00B869DB">
      <w:pPr>
        <w:pStyle w:val="4"/>
      </w:pPr>
      <w:r w:rsidRPr="00C3310F">
        <w:rPr>
          <w:rFonts w:hint="eastAsia"/>
        </w:rPr>
        <w:t>國人有高達80.99%有信心可以辨別詐騙手法。</w:t>
      </w:r>
    </w:p>
    <w:p w14:paraId="50A4653D" w14:textId="77777777" w:rsidR="00B869DB" w:rsidRPr="00C3310F" w:rsidRDefault="00B869DB" w:rsidP="00B869DB">
      <w:pPr>
        <w:pStyle w:val="4"/>
      </w:pPr>
      <w:r w:rsidRPr="00C3310F">
        <w:rPr>
          <w:rFonts w:hint="eastAsia"/>
        </w:rPr>
        <w:t>國人有81.35%遭遇到詐騙情況時，有信心可以知道如何尋求協助。</w:t>
      </w:r>
    </w:p>
    <w:p w14:paraId="4DCCA46F" w14:textId="77777777" w:rsidR="00901803" w:rsidRPr="00C3310F" w:rsidRDefault="00901803" w:rsidP="00AE0B07">
      <w:pPr>
        <w:pStyle w:val="3"/>
      </w:pPr>
      <w:bookmarkStart w:id="220" w:name="_Toc172023902"/>
      <w:bookmarkStart w:id="221" w:name="_Toc172033221"/>
      <w:r w:rsidRPr="00C3310F">
        <w:rPr>
          <w:rFonts w:hint="eastAsia"/>
        </w:rPr>
        <w:t>堵詐面：</w:t>
      </w:r>
      <w:bookmarkEnd w:id="220"/>
      <w:bookmarkEnd w:id="221"/>
    </w:p>
    <w:p w14:paraId="3ECD16E8" w14:textId="77777777" w:rsidR="00AE0B07" w:rsidRPr="00C3310F" w:rsidRDefault="00AE0B07" w:rsidP="00901803">
      <w:pPr>
        <w:pStyle w:val="4"/>
      </w:pPr>
      <w:r w:rsidRPr="00C3310F">
        <w:rPr>
          <w:rFonts w:hint="eastAsia"/>
        </w:rPr>
        <w:t>宅經濟興起與詐</w:t>
      </w:r>
      <w:r w:rsidR="00411B86" w:rsidRPr="00C3310F">
        <w:rPr>
          <w:rFonts w:hint="eastAsia"/>
        </w:rPr>
        <w:t>欺</w:t>
      </w:r>
      <w:r w:rsidRPr="00C3310F">
        <w:rPr>
          <w:rFonts w:hint="eastAsia"/>
        </w:rPr>
        <w:t>訊息</w:t>
      </w:r>
      <w:r w:rsidR="00BD3857" w:rsidRPr="00C3310F">
        <w:rPr>
          <w:rFonts w:hint="eastAsia"/>
        </w:rPr>
        <w:t>氾濫：</w:t>
      </w:r>
      <w:bookmarkEnd w:id="208"/>
    </w:p>
    <w:p w14:paraId="5CF4A14A" w14:textId="2C4922AE" w:rsidR="00BD3857" w:rsidRPr="00C3310F" w:rsidRDefault="00AE0B07" w:rsidP="00901803">
      <w:pPr>
        <w:pStyle w:val="5"/>
      </w:pPr>
      <w:r w:rsidRPr="00C3310F">
        <w:rPr>
          <w:rFonts w:hint="eastAsia"/>
        </w:rPr>
        <w:t>109年起新冠肺炎疫情（COVID-19）爆發除衝擊國內各項產業獲利，致營利銳減民眾急迫尋求投資機會，且疫情期間民眾生活型態改變，大量</w:t>
      </w:r>
      <w:r w:rsidRPr="00C3310F">
        <w:rPr>
          <w:rFonts w:hint="eastAsia"/>
        </w:rPr>
        <w:lastRenderedPageBreak/>
        <w:t>減少戶外活動，電信、網路使用量大幅增加，居家辦公、網購等宅經濟興起</w:t>
      </w:r>
      <w:r w:rsidR="00BD3857" w:rsidRPr="00C3310F">
        <w:rPr>
          <w:rFonts w:hint="eastAsia"/>
        </w:rPr>
        <w:t>。</w:t>
      </w:r>
    </w:p>
    <w:p w14:paraId="2FDC7A03" w14:textId="43DA669F" w:rsidR="00AE0B07" w:rsidRPr="00C3310F" w:rsidRDefault="00BD3857" w:rsidP="00901803">
      <w:pPr>
        <w:pStyle w:val="5"/>
      </w:pPr>
      <w:r w:rsidRPr="00C3310F">
        <w:rPr>
          <w:rFonts w:hint="eastAsia"/>
        </w:rPr>
        <w:t>詐欺集團</w:t>
      </w:r>
      <w:r w:rsidR="00411B86" w:rsidRPr="00C3310F">
        <w:rPr>
          <w:rFonts w:hint="eastAsia"/>
        </w:rPr>
        <w:t>利用</w:t>
      </w:r>
      <w:r w:rsidR="00AE0B07" w:rsidRPr="00C3310F">
        <w:rPr>
          <w:rFonts w:hint="eastAsia"/>
        </w:rPr>
        <w:t>簡訊、電子郵件、投資詐騙網站等</w:t>
      </w:r>
      <w:r w:rsidR="00411B86" w:rsidRPr="00C3310F">
        <w:rPr>
          <w:rFonts w:hint="eastAsia"/>
        </w:rPr>
        <w:t>電信、網路社群平臺</w:t>
      </w:r>
      <w:r w:rsidRPr="00C3310F">
        <w:rPr>
          <w:rFonts w:hint="eastAsia"/>
        </w:rPr>
        <w:t>，</w:t>
      </w:r>
      <w:r w:rsidR="00411B86" w:rsidRPr="00C3310F">
        <w:rPr>
          <w:rFonts w:hint="eastAsia"/>
        </w:rPr>
        <w:t>大量</w:t>
      </w:r>
      <w:r w:rsidR="00AE0B07" w:rsidRPr="00C3310F">
        <w:rPr>
          <w:rFonts w:hint="eastAsia"/>
        </w:rPr>
        <w:t>散布</w:t>
      </w:r>
      <w:r w:rsidR="00411B86" w:rsidRPr="00C3310F">
        <w:rPr>
          <w:rFonts w:hint="eastAsia"/>
        </w:rPr>
        <w:t>詐欺訊息</w:t>
      </w:r>
      <w:r w:rsidRPr="00C3310F">
        <w:rPr>
          <w:rFonts w:hint="eastAsia"/>
        </w:rPr>
        <w:t>。</w:t>
      </w:r>
    </w:p>
    <w:p w14:paraId="38418EAC" w14:textId="77777777" w:rsidR="00B00BFC" w:rsidRPr="00C3310F" w:rsidRDefault="00B00BFC" w:rsidP="00901803">
      <w:pPr>
        <w:pStyle w:val="4"/>
      </w:pPr>
      <w:bookmarkStart w:id="222" w:name="_Toc171525404"/>
      <w:r w:rsidRPr="00C3310F">
        <w:rPr>
          <w:rFonts w:hint="eastAsia"/>
        </w:rPr>
        <w:t>個人資料外洩與詐欺之關聯性：</w:t>
      </w:r>
      <w:bookmarkEnd w:id="222"/>
    </w:p>
    <w:p w14:paraId="460B1E32" w14:textId="48F58C42" w:rsidR="005B25E0" w:rsidRPr="00C3310F" w:rsidRDefault="005B25E0" w:rsidP="00901803">
      <w:pPr>
        <w:pStyle w:val="5"/>
      </w:pPr>
      <w:r w:rsidRPr="00C3310F">
        <w:rPr>
          <w:rFonts w:hint="eastAsia"/>
        </w:rPr>
        <w:t>科技的變遷發展</w:t>
      </w:r>
      <w:r w:rsidR="00AD2242" w:rsidRPr="00C3310F">
        <w:rPr>
          <w:rFonts w:hint="eastAsia"/>
        </w:rPr>
        <w:t>改變</w:t>
      </w:r>
      <w:r w:rsidR="00BD5A6D" w:rsidRPr="00C3310F">
        <w:rPr>
          <w:rFonts w:hint="eastAsia"/>
        </w:rPr>
        <w:t>國人之交易模式及社會互動方式，</w:t>
      </w:r>
      <w:r w:rsidR="00AD2242" w:rsidRPr="00C3310F">
        <w:rPr>
          <w:rFonts w:hint="eastAsia"/>
        </w:rPr>
        <w:t>因辦理例行性事務或進行交易需要，公私部門經常會持有大量個資。</w:t>
      </w:r>
      <w:r w:rsidRPr="00C3310F">
        <w:rPr>
          <w:rFonts w:hint="eastAsia"/>
        </w:rPr>
        <w:t>詐欺集團除透過駭客侵入、網路釣魚攻擊等方式盜取個人資料外</w:t>
      </w:r>
      <w:r w:rsidR="00F6477F" w:rsidRPr="00C3310F">
        <w:rPr>
          <w:rFonts w:hint="eastAsia"/>
        </w:rPr>
        <w:t>，</w:t>
      </w:r>
      <w:r w:rsidR="00AD2242" w:rsidRPr="00C3310F">
        <w:rPr>
          <w:rFonts w:hint="eastAsia"/>
        </w:rPr>
        <w:t>然握有</w:t>
      </w:r>
      <w:r w:rsidRPr="00C3310F">
        <w:rPr>
          <w:rFonts w:hint="eastAsia"/>
        </w:rPr>
        <w:t>個人資料之</w:t>
      </w:r>
      <w:r w:rsidR="00AD2242" w:rsidRPr="00C3310F">
        <w:rPr>
          <w:rFonts w:hint="eastAsia"/>
        </w:rPr>
        <w:t>部門</w:t>
      </w:r>
      <w:r w:rsidRPr="00C3310F">
        <w:rPr>
          <w:rFonts w:hint="eastAsia"/>
        </w:rPr>
        <w:t>，</w:t>
      </w:r>
      <w:r w:rsidR="00AD2242" w:rsidRPr="00C3310F">
        <w:rPr>
          <w:rFonts w:hint="eastAsia"/>
        </w:rPr>
        <w:t>因</w:t>
      </w:r>
      <w:r w:rsidRPr="00C3310F">
        <w:rPr>
          <w:rFonts w:hint="eastAsia"/>
        </w:rPr>
        <w:t>對個人資料保護未有積極重視，</w:t>
      </w:r>
      <w:r w:rsidR="00AD2242" w:rsidRPr="00C3310F">
        <w:rPr>
          <w:rFonts w:hint="eastAsia"/>
        </w:rPr>
        <w:t>常發生資料外洩之情事，</w:t>
      </w:r>
      <w:r w:rsidRPr="00C3310F">
        <w:rPr>
          <w:rFonts w:hint="eastAsia"/>
        </w:rPr>
        <w:t>如，蝦皮、誠品生活等業者涉及消費者個資外洩事件，經數</w:t>
      </w:r>
      <w:r w:rsidR="00D82B1C" w:rsidRPr="00C3310F">
        <w:rPr>
          <w:rFonts w:hint="eastAsia"/>
        </w:rPr>
        <w:t>位發展部(下稱數發部)</w:t>
      </w:r>
      <w:r w:rsidR="00DF3BE8" w:rsidRPr="00C3310F">
        <w:rPr>
          <w:rFonts w:hint="eastAsia"/>
        </w:rPr>
        <w:t>分別</w:t>
      </w:r>
      <w:r w:rsidRPr="00C3310F">
        <w:rPr>
          <w:rFonts w:hint="eastAsia"/>
        </w:rPr>
        <w:t>處以20萬元及10萬元罰鍰。行政院亦指出近年來利用網路遂行個資或資安駭侵犯罪不斷增加之趨勢。</w:t>
      </w:r>
    </w:p>
    <w:p w14:paraId="33924978" w14:textId="25FF40D9" w:rsidR="005B25E0" w:rsidRPr="00C3310F" w:rsidRDefault="00B00BFC" w:rsidP="00901803">
      <w:pPr>
        <w:pStyle w:val="5"/>
      </w:pPr>
      <w:r w:rsidRPr="00C3310F">
        <w:rPr>
          <w:rFonts w:hint="eastAsia"/>
        </w:rPr>
        <w:t>詐欺犯罪之猖獗與民眾個資外洩事件息息相關，如詐欺集團取得個人資料後，將資訊拼湊整合成完整顧客資訊</w:t>
      </w:r>
      <w:r w:rsidR="008D4E29" w:rsidRPr="00C3310F">
        <w:rPr>
          <w:rFonts w:hint="eastAsia"/>
        </w:rPr>
        <w:t>，</w:t>
      </w:r>
      <w:r w:rsidRPr="00C3310F">
        <w:rPr>
          <w:rFonts w:hint="eastAsia"/>
        </w:rPr>
        <w:t>以</w:t>
      </w:r>
      <w:r w:rsidR="00737FFC" w:rsidRPr="00C3310F">
        <w:rPr>
          <w:rFonts w:hint="eastAsia"/>
        </w:rPr>
        <w:t>竄</w:t>
      </w:r>
      <w:r w:rsidRPr="00C3310F">
        <w:rPr>
          <w:rFonts w:hint="eastAsia"/>
        </w:rPr>
        <w:t>改電話</w:t>
      </w:r>
      <w:r w:rsidR="008D4E29" w:rsidRPr="00C3310F">
        <w:rPr>
          <w:rFonts w:hint="eastAsia"/>
        </w:rPr>
        <w:t>、</w:t>
      </w:r>
      <w:r w:rsidRPr="00C3310F">
        <w:rPr>
          <w:rFonts w:hint="eastAsia"/>
        </w:rPr>
        <w:t>假冒商店客服、銀行行員，利用話術降低國人戒心，使</w:t>
      </w:r>
      <w:r w:rsidR="008D4E29" w:rsidRPr="00C3310F">
        <w:rPr>
          <w:rFonts w:hint="eastAsia"/>
        </w:rPr>
        <w:t>其</w:t>
      </w:r>
      <w:r w:rsidRPr="00C3310F">
        <w:rPr>
          <w:rFonts w:hint="eastAsia"/>
        </w:rPr>
        <w:t>陷入詐騙陷阱中。</w:t>
      </w:r>
    </w:p>
    <w:p w14:paraId="0E194A40" w14:textId="5BCFB301" w:rsidR="00901803" w:rsidRPr="00C3310F" w:rsidRDefault="00901803" w:rsidP="007D56CF">
      <w:pPr>
        <w:pStyle w:val="4"/>
      </w:pPr>
      <w:r w:rsidRPr="00C3310F">
        <w:rPr>
          <w:rFonts w:hint="eastAsia"/>
        </w:rPr>
        <w:t>電信法規與金融法規相較，資安防護嚴謹度待加強，致歹徒利用電話、簡訊、社群平臺網站等資通工具詐騙財物：隨著電信</w:t>
      </w:r>
      <w:r w:rsidR="008D4E29" w:rsidRPr="00C3310F">
        <w:rPr>
          <w:rFonts w:hint="eastAsia"/>
        </w:rPr>
        <w:t>、</w:t>
      </w:r>
      <w:r w:rsidRPr="00C3310F">
        <w:rPr>
          <w:rFonts w:hint="eastAsia"/>
        </w:rPr>
        <w:t>網際網路科技迅速發展，犯嫌為躲避警方查緝，即藉由電信業者與簡訊代發商服務發送含惡意連結之釣魚簡訊、或於通訊軟體建立群組引導民眾至假投資網頁，致諸多被害人誤信匯款後血本無歸</w:t>
      </w:r>
      <w:r w:rsidR="000C4008" w:rsidRPr="00C3310F">
        <w:rPr>
          <w:rStyle w:val="afe"/>
        </w:rPr>
        <w:footnoteReference w:id="13"/>
      </w:r>
      <w:r w:rsidR="00252D47" w:rsidRPr="00C3310F">
        <w:rPr>
          <w:rFonts w:hint="eastAsia"/>
        </w:rPr>
        <w:t>。</w:t>
      </w:r>
    </w:p>
    <w:p w14:paraId="4A130FE5" w14:textId="77777777" w:rsidR="00DD7F8B" w:rsidRPr="00C3310F" w:rsidRDefault="00DD7F8B" w:rsidP="00062CD2">
      <w:pPr>
        <w:pStyle w:val="4"/>
        <w:numPr>
          <w:ilvl w:val="0"/>
          <w:numId w:val="0"/>
        </w:numPr>
        <w:ind w:left="1701"/>
      </w:pPr>
    </w:p>
    <w:p w14:paraId="7B4241ED" w14:textId="77777777" w:rsidR="00901803" w:rsidRPr="00C3310F" w:rsidRDefault="00901803" w:rsidP="00901803">
      <w:pPr>
        <w:pStyle w:val="3"/>
      </w:pPr>
      <w:bookmarkStart w:id="223" w:name="_Toc172023903"/>
      <w:bookmarkStart w:id="224" w:name="_Toc172033222"/>
      <w:r w:rsidRPr="00C3310F">
        <w:rPr>
          <w:rFonts w:hint="eastAsia"/>
        </w:rPr>
        <w:lastRenderedPageBreak/>
        <w:t>阻詐面：</w:t>
      </w:r>
      <w:bookmarkEnd w:id="223"/>
      <w:bookmarkEnd w:id="224"/>
    </w:p>
    <w:p w14:paraId="37E828A5" w14:textId="77777777" w:rsidR="00901803" w:rsidRPr="00C3310F" w:rsidRDefault="00901803" w:rsidP="00901803">
      <w:pPr>
        <w:pStyle w:val="4"/>
      </w:pPr>
      <w:r w:rsidRPr="00C3310F">
        <w:rPr>
          <w:rFonts w:hint="eastAsia"/>
        </w:rPr>
        <w:t>詐騙手法日新月異，民眾防詐意識及銀行行員協助攔阻能量不足：當前各主要詐欺手法如投資詐欺及假網路拍賣購物等手法日新月異，各類防詐資訊雖經各機關長年大量宣導及媒體反覆報導，許多民眾產生麻木及過度自信心態，甚而對宣導資訊視而不見，亦未有轉告、提醒親友的警覺性，導致遭詐風險提高。</w:t>
      </w:r>
    </w:p>
    <w:p w14:paraId="606C0C0B" w14:textId="77777777" w:rsidR="00252D47" w:rsidRPr="00C3310F" w:rsidRDefault="00252D47" w:rsidP="00252D47">
      <w:pPr>
        <w:pStyle w:val="4"/>
      </w:pPr>
      <w:r w:rsidRPr="00C3310F">
        <w:rPr>
          <w:rFonts w:hint="eastAsia"/>
        </w:rPr>
        <w:t>網銀遠端身分認證較為鬆散，歹徒利用金融科技便利，如人頭網路帳戶、第三方支付、虛擬通貨，隱匿贓款流向：</w:t>
      </w:r>
    </w:p>
    <w:p w14:paraId="2C16F47D" w14:textId="77777777" w:rsidR="00252D47" w:rsidRPr="00C3310F" w:rsidRDefault="00252D47" w:rsidP="00252D47">
      <w:pPr>
        <w:pStyle w:val="5"/>
      </w:pPr>
      <w:r w:rsidRPr="00C3310F">
        <w:rPr>
          <w:rFonts w:hint="eastAsia"/>
        </w:rPr>
        <w:t>詐欺犯罪集團為躲避警方追緝，多使用人頭電話、人頭帳戶以設立偵查斷點，民眾對於有償或無償提供帳戶予他人使用，未具可能淪為詐欺幫助犯意識，而詐欺集團多利用「代辦貸款」等話術取得人頭帳戶進行詐欺，近年並有轉向利用虛擬帳號</w:t>
      </w:r>
      <w:r w:rsidRPr="00C3310F">
        <w:rPr>
          <w:rStyle w:val="afe"/>
        </w:rPr>
        <w:footnoteReference w:id="14"/>
      </w:r>
      <w:r w:rsidRPr="00C3310F">
        <w:rPr>
          <w:rFonts w:hint="eastAsia"/>
        </w:rPr>
        <w:t>收款趨勢〔</w:t>
      </w:r>
      <w:r w:rsidRPr="00C3310F">
        <w:t>110</w:t>
      </w:r>
      <w:r w:rsidRPr="00C3310F">
        <w:rPr>
          <w:rFonts w:hint="eastAsia"/>
        </w:rPr>
        <w:t>年警示帳戶計</w:t>
      </w:r>
      <w:r w:rsidRPr="00C3310F">
        <w:t>4</w:t>
      </w:r>
      <w:r w:rsidRPr="00C3310F">
        <w:rPr>
          <w:rFonts w:hint="eastAsia"/>
        </w:rPr>
        <w:t>萬</w:t>
      </w:r>
      <w:r w:rsidRPr="00C3310F">
        <w:t>8,526</w:t>
      </w:r>
      <w:r w:rsidRPr="00C3310F">
        <w:rPr>
          <w:rFonts w:hint="eastAsia"/>
        </w:rPr>
        <w:t>筆，其中虛擬帳號計</w:t>
      </w:r>
      <w:r w:rsidRPr="00C3310F">
        <w:t>2</w:t>
      </w:r>
      <w:r w:rsidRPr="00C3310F">
        <w:rPr>
          <w:rFonts w:hint="eastAsia"/>
        </w:rPr>
        <w:t>萬</w:t>
      </w:r>
      <w:r w:rsidRPr="00C3310F">
        <w:t>1,722</w:t>
      </w:r>
      <w:r w:rsidRPr="00C3310F">
        <w:rPr>
          <w:rFonts w:hint="eastAsia"/>
        </w:rPr>
        <w:t>筆</w:t>
      </w:r>
      <w:r w:rsidRPr="00C3310F">
        <w:t>(44.76%)</w:t>
      </w:r>
      <w:r w:rsidRPr="00C3310F">
        <w:rPr>
          <w:rFonts w:hint="eastAsia"/>
        </w:rPr>
        <w:t>；</w:t>
      </w:r>
      <w:r w:rsidRPr="00C3310F">
        <w:t>111</w:t>
      </w:r>
      <w:r w:rsidRPr="00C3310F">
        <w:rPr>
          <w:rFonts w:hint="eastAsia"/>
        </w:rPr>
        <w:t>年警示帳戶計</w:t>
      </w:r>
      <w:r w:rsidRPr="00C3310F">
        <w:t>7</w:t>
      </w:r>
      <w:r w:rsidRPr="00C3310F">
        <w:rPr>
          <w:rFonts w:hint="eastAsia"/>
        </w:rPr>
        <w:t>萬</w:t>
      </w:r>
      <w:r w:rsidRPr="00C3310F">
        <w:t>1,331</w:t>
      </w:r>
      <w:r w:rsidRPr="00C3310F">
        <w:rPr>
          <w:rFonts w:hint="eastAsia"/>
        </w:rPr>
        <w:t>筆，其中虛擬帳號計</w:t>
      </w:r>
      <w:r w:rsidRPr="00C3310F">
        <w:t>4</w:t>
      </w:r>
      <w:r w:rsidRPr="00C3310F">
        <w:rPr>
          <w:rFonts w:hint="eastAsia"/>
        </w:rPr>
        <w:t>萬</w:t>
      </w:r>
      <w:r w:rsidRPr="00C3310F">
        <w:t>2,016</w:t>
      </w:r>
      <w:r w:rsidRPr="00C3310F">
        <w:rPr>
          <w:rFonts w:hint="eastAsia"/>
        </w:rPr>
        <w:t>筆</w:t>
      </w:r>
      <w:r w:rsidRPr="00C3310F">
        <w:t>(58.9%)</w:t>
      </w:r>
      <w:r w:rsidRPr="00C3310F">
        <w:rPr>
          <w:rFonts w:hint="eastAsia"/>
        </w:rPr>
        <w:t>〕。</w:t>
      </w:r>
    </w:p>
    <w:p w14:paraId="07AE27DF" w14:textId="77777777" w:rsidR="00252D47" w:rsidRPr="00C3310F" w:rsidRDefault="00252D47" w:rsidP="00252D47">
      <w:pPr>
        <w:pStyle w:val="5"/>
      </w:pPr>
      <w:r w:rsidRPr="00C3310F">
        <w:t>110</w:t>
      </w:r>
      <w:r w:rsidRPr="00C3310F">
        <w:rPr>
          <w:rFonts w:hint="eastAsia"/>
        </w:rPr>
        <w:t>至</w:t>
      </w:r>
      <w:r w:rsidRPr="00C3310F">
        <w:t>111</w:t>
      </w:r>
      <w:r w:rsidRPr="00C3310F">
        <w:rPr>
          <w:rFonts w:hint="eastAsia"/>
        </w:rPr>
        <w:t>年間警示帳戶中虛擬帳號遭利用之公司行號，其中約</w:t>
      </w:r>
      <w:r w:rsidRPr="00C3310F">
        <w:t>40%</w:t>
      </w:r>
      <w:r w:rsidRPr="00C3310F">
        <w:rPr>
          <w:rFonts w:hint="eastAsia"/>
        </w:rPr>
        <w:t>集中於第三方支付</w:t>
      </w:r>
      <w:r w:rsidRPr="00C3310F">
        <w:rPr>
          <w:rStyle w:val="afe"/>
        </w:rPr>
        <w:footnoteReference w:id="15"/>
      </w:r>
      <w:r w:rsidRPr="00C3310F">
        <w:rPr>
          <w:rFonts w:hint="eastAsia"/>
        </w:rPr>
        <w:t>或電商業者，顯見犯嫌多利用審核較寬鬆之第三方支付代收款虛擬帳號，作為進行收取贓款之主要帳戶工具，後續則結合</w:t>
      </w:r>
      <w:r w:rsidRPr="00C3310F">
        <w:t>(</w:t>
      </w:r>
      <w:r w:rsidRPr="00C3310F">
        <w:rPr>
          <w:rFonts w:hint="eastAsia"/>
        </w:rPr>
        <w:t>高價值</w:t>
      </w:r>
      <w:r w:rsidRPr="00C3310F">
        <w:t>)</w:t>
      </w:r>
      <w:r w:rsidRPr="00C3310F">
        <w:rPr>
          <w:rFonts w:hint="eastAsia"/>
        </w:rPr>
        <w:t>虛擬通貨</w:t>
      </w:r>
      <w:r w:rsidRPr="00C3310F">
        <w:rPr>
          <w:rStyle w:val="afe"/>
        </w:rPr>
        <w:footnoteReference w:id="16"/>
      </w:r>
      <w:r w:rsidRPr="00C3310F">
        <w:t>(</w:t>
      </w:r>
      <w:r w:rsidRPr="00C3310F">
        <w:rPr>
          <w:rFonts w:hint="eastAsia"/>
        </w:rPr>
        <w:t>諸如比特幣、泰達幣</w:t>
      </w:r>
      <w:r w:rsidRPr="00C3310F">
        <w:t>)</w:t>
      </w:r>
      <w:r w:rsidRPr="00C3310F">
        <w:rPr>
          <w:rFonts w:hint="eastAsia"/>
        </w:rPr>
        <w:t>匯至電子錢包隱匿贓款資金</w:t>
      </w:r>
      <w:r w:rsidRPr="00C3310F">
        <w:rPr>
          <w:rFonts w:hint="eastAsia"/>
        </w:rPr>
        <w:lastRenderedPageBreak/>
        <w:t>流向，因無對應之中央目的事業主管機關，導致警方調閱資料不易，殊難追查。</w:t>
      </w:r>
    </w:p>
    <w:p w14:paraId="3F3C3BED" w14:textId="495E82C6" w:rsidR="00901803" w:rsidRPr="00C3310F" w:rsidRDefault="00252D47" w:rsidP="00252D47">
      <w:pPr>
        <w:pStyle w:val="4"/>
      </w:pPr>
      <w:r w:rsidRPr="00C3310F">
        <w:rPr>
          <w:rFonts w:hint="eastAsia"/>
        </w:rPr>
        <w:t>詐欺集團常用之洗錢工具已結合虛擬通貨，藉由其具流通性、且可隨時兌現之特性，要求被害人透過虛擬通貨交易所、</w:t>
      </w:r>
      <w:r w:rsidRPr="00C3310F">
        <w:t>BTM</w:t>
      </w:r>
      <w:r w:rsidR="003710B9" w:rsidRPr="00C3310F">
        <w:rPr>
          <w:rStyle w:val="afe"/>
        </w:rPr>
        <w:footnoteReference w:id="17"/>
      </w:r>
      <w:r w:rsidR="00DF3BE8" w:rsidRPr="00C3310F">
        <w:rPr>
          <w:rFonts w:hint="eastAsia"/>
        </w:rPr>
        <w:t>(Bi</w:t>
      </w:r>
      <w:r w:rsidR="00DF3BE8" w:rsidRPr="00C3310F">
        <w:t>tcoin Teller Machine, BTM)</w:t>
      </w:r>
      <w:r w:rsidRPr="00C3310F">
        <w:rPr>
          <w:rFonts w:hint="eastAsia"/>
        </w:rPr>
        <w:t>或個人幣商購買虛擬通貨，續匯入犯嫌指定之人頭電子錢包多層移轉，利用去中心化特性隱匿贓款流向，再透過網路進行跨境洗錢並由車手集團取款，以躲避警方查緝〔案例：警政署刑事局於</w:t>
      </w:r>
      <w:r w:rsidRPr="00C3310F">
        <w:t>110</w:t>
      </w:r>
      <w:r w:rsidRPr="00C3310F">
        <w:rPr>
          <w:rFonts w:hint="eastAsia"/>
        </w:rPr>
        <w:t>至</w:t>
      </w:r>
      <w:r w:rsidRPr="00C3310F">
        <w:t>111</w:t>
      </w:r>
      <w:r w:rsidRPr="00C3310F">
        <w:rPr>
          <w:rFonts w:hint="eastAsia"/>
        </w:rPr>
        <w:t>年間破獲多處詐欺水房，均將贓款層轉至虛擬貨幣錢包，以比特幣、泰達幣、</w:t>
      </w:r>
      <w:r w:rsidR="008E2DCD" w:rsidRPr="00C3310F">
        <w:rPr>
          <w:rFonts w:hint="eastAsia"/>
        </w:rPr>
        <w:t>乙</w:t>
      </w:r>
      <w:r w:rsidRPr="00C3310F">
        <w:rPr>
          <w:rFonts w:hint="eastAsia"/>
        </w:rPr>
        <w:t>太幣等於虛擬幣交易所兌現為新臺幣，隱匿贓款流向作為洗錢管道〕。</w:t>
      </w:r>
    </w:p>
    <w:p w14:paraId="04D3C97E" w14:textId="77777777" w:rsidR="00B062A7" w:rsidRPr="00C3310F" w:rsidRDefault="00901803" w:rsidP="00901803">
      <w:pPr>
        <w:pStyle w:val="3"/>
      </w:pPr>
      <w:bookmarkStart w:id="225" w:name="_Toc172023904"/>
      <w:bookmarkStart w:id="226" w:name="_Toc172033223"/>
      <w:r w:rsidRPr="00C3310F">
        <w:rPr>
          <w:rFonts w:hint="eastAsia"/>
        </w:rPr>
        <w:t>懲詐面:</w:t>
      </w:r>
      <w:bookmarkEnd w:id="225"/>
      <w:bookmarkEnd w:id="226"/>
    </w:p>
    <w:p w14:paraId="4BE5AACF" w14:textId="77777777" w:rsidR="00E1134E" w:rsidRPr="00C3310F" w:rsidRDefault="00496470" w:rsidP="00901803">
      <w:pPr>
        <w:pStyle w:val="4"/>
      </w:pPr>
      <w:bookmarkStart w:id="227" w:name="_Toc171525407"/>
      <w:r w:rsidRPr="00C3310F">
        <w:rPr>
          <w:rFonts w:hint="eastAsia"/>
        </w:rPr>
        <w:t>詐欺犯罪高收益低成本</w:t>
      </w:r>
      <w:r w:rsidR="00B062A7" w:rsidRPr="00C3310F">
        <w:rPr>
          <w:rFonts w:hint="eastAsia"/>
        </w:rPr>
        <w:t>：</w:t>
      </w:r>
      <w:bookmarkEnd w:id="227"/>
      <w:r w:rsidRPr="00C3310F">
        <w:rPr>
          <w:rFonts w:hint="eastAsia"/>
        </w:rPr>
        <w:t>詐</w:t>
      </w:r>
      <w:r w:rsidR="00AA7710" w:rsidRPr="00C3310F">
        <w:rPr>
          <w:rFonts w:hint="eastAsia"/>
        </w:rPr>
        <w:t>欺集團</w:t>
      </w:r>
      <w:r w:rsidR="00E1134E" w:rsidRPr="00C3310F">
        <w:rPr>
          <w:rFonts w:hint="eastAsia"/>
        </w:rPr>
        <w:t>是</w:t>
      </w:r>
      <w:r w:rsidRPr="00C3310F">
        <w:rPr>
          <w:rFonts w:hint="eastAsia"/>
        </w:rPr>
        <w:t>有組織、</w:t>
      </w:r>
      <w:r w:rsidR="00E1134E" w:rsidRPr="00C3310F">
        <w:rPr>
          <w:rFonts w:hint="eastAsia"/>
        </w:rPr>
        <w:t>有</w:t>
      </w:r>
      <w:r w:rsidRPr="00C3310F">
        <w:rPr>
          <w:rFonts w:hint="eastAsia"/>
        </w:rPr>
        <w:t>訓練，</w:t>
      </w:r>
      <w:r w:rsidR="00E1134E" w:rsidRPr="00C3310F">
        <w:rPr>
          <w:rFonts w:hint="eastAsia"/>
        </w:rPr>
        <w:t>且具有專業</w:t>
      </w:r>
      <w:r w:rsidRPr="00C3310F">
        <w:rPr>
          <w:rFonts w:hint="eastAsia"/>
        </w:rPr>
        <w:t>技能之團體，具有成本低、風險低及獲利高之犯罪特性。</w:t>
      </w:r>
    </w:p>
    <w:p w14:paraId="44D69E57" w14:textId="34428F7B" w:rsidR="00F94A83" w:rsidRPr="00C3310F" w:rsidRDefault="00496470" w:rsidP="00901803">
      <w:pPr>
        <w:pStyle w:val="4"/>
      </w:pPr>
      <w:r w:rsidRPr="00C3310F">
        <w:rPr>
          <w:rFonts w:hint="eastAsia"/>
        </w:rPr>
        <w:t>詐欺案件量居高不下，從一個犯罪者角度思考，這幾年來詐欺案件迅速增加，以及犯罪者年齡逐漸下降，與犯罪成本低廉但獲利豐碩密切相關。現在有哪個幫派組織不插手詐欺行業？</w:t>
      </w:r>
      <w:r w:rsidR="00E1134E" w:rsidRPr="00C3310F">
        <w:rPr>
          <w:vertAlign w:val="superscript"/>
        </w:rPr>
        <w:footnoteReference w:id="18"/>
      </w:r>
    </w:p>
    <w:p w14:paraId="788552F5" w14:textId="77777777" w:rsidR="00496470" w:rsidRPr="00C3310F" w:rsidRDefault="00B062A7" w:rsidP="00901803">
      <w:pPr>
        <w:pStyle w:val="4"/>
      </w:pPr>
      <w:r w:rsidRPr="00C3310F">
        <w:rPr>
          <w:rFonts w:hint="eastAsia"/>
        </w:rPr>
        <w:t>2010年迄今，政府從波蘭、肯亞、菲律賓等地引渡上百名詐欺犯，最高也僅被判6年，多數共犯更只有數月刑期，加上法官給予緩刑，等於繳罰金就不用被關</w:t>
      </w:r>
      <w:r w:rsidR="00F94A83" w:rsidRPr="00C3310F">
        <w:rPr>
          <w:rStyle w:val="afe"/>
        </w:rPr>
        <w:footnoteReference w:id="19"/>
      </w:r>
      <w:r w:rsidRPr="00C3310F">
        <w:rPr>
          <w:rFonts w:hint="eastAsia"/>
        </w:rPr>
        <w:t>。</w:t>
      </w:r>
    </w:p>
    <w:p w14:paraId="2DCC7BAA" w14:textId="1648EF75" w:rsidR="00821C9A" w:rsidRPr="00C3310F" w:rsidRDefault="002D66A8" w:rsidP="00821C9A">
      <w:pPr>
        <w:pStyle w:val="2"/>
        <w:numPr>
          <w:ilvl w:val="1"/>
          <w:numId w:val="25"/>
        </w:numPr>
      </w:pPr>
      <w:bookmarkStart w:id="228" w:name="_Toc172033224"/>
      <w:r w:rsidRPr="00C3310F">
        <w:rPr>
          <w:rFonts w:hint="eastAsia"/>
        </w:rPr>
        <w:t>本院歷年詐欺相關案件調查摘述:本院依憲法第96條規定，得按行政院及其各部會之工作，分設若干委員</w:t>
      </w:r>
      <w:r w:rsidRPr="00C3310F">
        <w:rPr>
          <w:rFonts w:hint="eastAsia"/>
        </w:rPr>
        <w:lastRenderedPageBreak/>
        <w:t>會，調查一切設施，注意其是否違法或失職，爰此，就電信網路詐欺之對策與檢討，本院長期以監督角度加以關心，具體指出政府治理疏漏，茲將歷年詐欺相關案件調查</w:t>
      </w:r>
      <w:r w:rsidR="008D4E29" w:rsidRPr="00C3310F">
        <w:rPr>
          <w:rFonts w:hint="eastAsia"/>
        </w:rPr>
        <w:t>意見</w:t>
      </w:r>
      <w:r w:rsidRPr="00C3310F">
        <w:rPr>
          <w:rFonts w:hint="eastAsia"/>
        </w:rPr>
        <w:t>摘述如下</w:t>
      </w:r>
      <w:r w:rsidRPr="00C3310F">
        <w:rPr>
          <w:rFonts w:ascii="新細明體" w:eastAsia="新細明體" w:hAnsi="新細明體" w:hint="eastAsia"/>
        </w:rPr>
        <w:t>：</w:t>
      </w:r>
      <w:bookmarkEnd w:id="228"/>
    </w:p>
    <w:p w14:paraId="18B0E993" w14:textId="0C9CB7FF" w:rsidR="00821C9A" w:rsidRPr="00C3310F" w:rsidRDefault="00821C9A" w:rsidP="00821C9A">
      <w:pPr>
        <w:pStyle w:val="3"/>
      </w:pPr>
      <w:bookmarkStart w:id="229" w:name="_Toc171525394"/>
      <w:bookmarkStart w:id="230" w:name="_Toc172023906"/>
      <w:bookmarkStart w:id="231" w:name="_Toc172033225"/>
      <w:r w:rsidRPr="00C3310F">
        <w:rPr>
          <w:rFonts w:hint="eastAsia"/>
        </w:rPr>
        <w:t>0</w:t>
      </w:r>
      <w:r w:rsidRPr="00C3310F">
        <w:t>98</w:t>
      </w:r>
      <w:r w:rsidRPr="00C3310F">
        <w:rPr>
          <w:rFonts w:hint="eastAsia"/>
        </w:rPr>
        <w:t>司調0040號「據報載：詐騙電話橫行，警政署、法務部調查局</w:t>
      </w:r>
      <w:r w:rsidR="00D82B1C" w:rsidRPr="00C3310F">
        <w:rPr>
          <w:rFonts w:hint="eastAsia"/>
        </w:rPr>
        <w:t>(下稱調查局)</w:t>
      </w:r>
      <w:r w:rsidRPr="00C3310F">
        <w:rPr>
          <w:rFonts w:hint="eastAsia"/>
        </w:rPr>
        <w:t>及相關調查單位，未能有效遏止詐騙案件發生，涉有違失等情乙案」</w:t>
      </w:r>
      <w:bookmarkEnd w:id="229"/>
      <w:r w:rsidRPr="00C3310F">
        <w:rPr>
          <w:rFonts w:hint="eastAsia"/>
        </w:rPr>
        <w:t>:</w:t>
      </w:r>
      <w:bookmarkEnd w:id="230"/>
      <w:bookmarkEnd w:id="231"/>
    </w:p>
    <w:p w14:paraId="55FD6473" w14:textId="77777777" w:rsidR="00821C9A" w:rsidRPr="00C3310F" w:rsidRDefault="00821C9A" w:rsidP="00821C9A">
      <w:pPr>
        <w:pStyle w:val="4"/>
      </w:pPr>
      <w:r w:rsidRPr="00C3310F">
        <w:rPr>
          <w:rFonts w:hint="eastAsia"/>
        </w:rPr>
        <w:t>行政院宣布2004年為反詐騙行動年，並訂定反制詐騙犯罪多項策略目標，迄今非但未能有效達成，且詐騙犯罪案件數量、嫌疑犯及被害人數與民眾損失財產均大幅攀升，顯示多年來未能有效遏阻詐騙犯罪，亟應檢討改進。</w:t>
      </w:r>
    </w:p>
    <w:p w14:paraId="75036485" w14:textId="77777777" w:rsidR="00821C9A" w:rsidRPr="00C3310F" w:rsidRDefault="00821C9A" w:rsidP="00821C9A">
      <w:pPr>
        <w:pStyle w:val="4"/>
      </w:pPr>
      <w:r w:rsidRPr="00C3310F">
        <w:rPr>
          <w:rFonts w:hint="eastAsia"/>
        </w:rPr>
        <w:t>行政院與司法院未能有效遏阻詐欺犯罪案件蔓延，致詐欺犯罪案件起訴率、定罪率、量刑刑度及入監率均有逐年降低之趨勢，實難發揮刑罰應報</w:t>
      </w:r>
      <w:r w:rsidRPr="00C3310F">
        <w:rPr>
          <w:rStyle w:val="afe"/>
        </w:rPr>
        <w:footnoteReference w:id="20"/>
      </w:r>
      <w:r w:rsidRPr="00C3310F">
        <w:rPr>
          <w:rFonts w:hint="eastAsia"/>
        </w:rPr>
        <w:t>、嚇阻、隔離與矯正等功能，行政院與司法院允宜積極謀求改善之道，俾以有效遏阻詐欺犯罪案件蔓延。</w:t>
      </w:r>
    </w:p>
    <w:p w14:paraId="1E342CDE" w14:textId="4776F2F7" w:rsidR="00821C9A" w:rsidRPr="00C3310F" w:rsidRDefault="00821C9A" w:rsidP="00821C9A">
      <w:pPr>
        <w:pStyle w:val="3"/>
      </w:pPr>
      <w:bookmarkStart w:id="232" w:name="_Toc171525395"/>
      <w:bookmarkStart w:id="233" w:name="_Toc172023907"/>
      <w:bookmarkStart w:id="234" w:name="_Toc172033226"/>
      <w:r w:rsidRPr="00C3310F">
        <w:rPr>
          <w:rFonts w:hint="eastAsia"/>
        </w:rPr>
        <w:t>098交調0034「據報載：詐騙電話橫行，</w:t>
      </w:r>
      <w:r w:rsidR="00021DBD" w:rsidRPr="00C3310F">
        <w:rPr>
          <w:rFonts w:hint="eastAsia"/>
        </w:rPr>
        <w:t>通傳會</w:t>
      </w:r>
      <w:r w:rsidRPr="00C3310F">
        <w:rPr>
          <w:rFonts w:hint="eastAsia"/>
        </w:rPr>
        <w:t>、行政院新聞局及教育部，未能有效遏止詐騙案件發生，涉有違失等情乙案」</w:t>
      </w:r>
      <w:bookmarkEnd w:id="232"/>
      <w:bookmarkEnd w:id="233"/>
      <w:bookmarkEnd w:id="234"/>
      <w:r w:rsidR="00ED17D7" w:rsidRPr="00C3310F">
        <w:rPr>
          <w:rFonts w:hint="eastAsia"/>
        </w:rPr>
        <w:t>：</w:t>
      </w:r>
    </w:p>
    <w:p w14:paraId="52A9FF83" w14:textId="77777777" w:rsidR="00821C9A" w:rsidRPr="00C3310F" w:rsidRDefault="00821C9A" w:rsidP="00821C9A">
      <w:pPr>
        <w:pStyle w:val="4"/>
      </w:pPr>
      <w:r w:rsidRPr="00C3310F">
        <w:rPr>
          <w:rFonts w:hint="eastAsia"/>
        </w:rPr>
        <w:t>行政院自93年迄今，長期漠視電話詐騙案件問題之嚴重性，未積極協調電信人頭資料庫及各電信業者聯合查詢機制主管機關之爭議，肇致詐騙集團利用電信通訊媒介詐騙民眾財物，造成嚴重之財產損失，均有不當。</w:t>
      </w:r>
    </w:p>
    <w:p w14:paraId="5EBC2DA3" w14:textId="77777777" w:rsidR="00821C9A" w:rsidRPr="00C3310F" w:rsidRDefault="00821C9A" w:rsidP="00821C9A">
      <w:pPr>
        <w:pStyle w:val="4"/>
      </w:pPr>
      <w:r w:rsidRPr="00C3310F">
        <w:rPr>
          <w:rFonts w:hint="eastAsia"/>
        </w:rPr>
        <w:t>行政院新聞局長期怠於執行反詐騙宣導工作，除事前未建立明確之綜合性反詐騙預防宣導工作</w:t>
      </w:r>
      <w:r w:rsidRPr="00C3310F">
        <w:rPr>
          <w:rFonts w:hint="eastAsia"/>
        </w:rPr>
        <w:lastRenderedPageBreak/>
        <w:t>外，事後亦未追蹤考核，難以評估宣導效果，肇致執行成效不彰，均有不當。</w:t>
      </w:r>
    </w:p>
    <w:p w14:paraId="742FB960" w14:textId="77777777" w:rsidR="00821C9A" w:rsidRPr="00C3310F" w:rsidRDefault="00821C9A" w:rsidP="00821C9A">
      <w:pPr>
        <w:pStyle w:val="4"/>
      </w:pPr>
      <w:r w:rsidRPr="00C3310F">
        <w:rPr>
          <w:rFonts w:hint="eastAsia"/>
        </w:rPr>
        <w:t>教育部事前未建立內部反詐騙跨單位分工聯繫平臺，及擬定各級學校宣導目標，事後復未建立客觀完整之考評制度，致各單位各行其事，執行成效不彰，核有不當。</w:t>
      </w:r>
    </w:p>
    <w:p w14:paraId="65E79F0B" w14:textId="77777777" w:rsidR="00821C9A" w:rsidRPr="00C3310F" w:rsidRDefault="00821C9A" w:rsidP="00821C9A">
      <w:pPr>
        <w:pStyle w:val="3"/>
      </w:pPr>
      <w:bookmarkStart w:id="235" w:name="_Toc171525396"/>
      <w:bookmarkStart w:id="236" w:name="_Toc172023908"/>
      <w:bookmarkStart w:id="237" w:name="_Toc172033227"/>
      <w:r w:rsidRPr="00C3310F">
        <w:rPr>
          <w:rFonts w:hint="eastAsia"/>
        </w:rPr>
        <w:t>099內調0106「據報載：詐騙電話已成為國人日常生活中之恐怖主義，政府情治、檢調與警政單位竟束手無策，國家安全機制仍未啟動，積極緝拿詐騙集團，相關機關涉有違失等情乙案」：</w:t>
      </w:r>
      <w:bookmarkEnd w:id="235"/>
      <w:bookmarkEnd w:id="236"/>
      <w:bookmarkEnd w:id="237"/>
    </w:p>
    <w:p w14:paraId="01CD5CEA" w14:textId="77777777" w:rsidR="00821C9A" w:rsidRPr="00C3310F" w:rsidRDefault="00821C9A" w:rsidP="00821C9A">
      <w:pPr>
        <w:pStyle w:val="4"/>
      </w:pPr>
      <w:r w:rsidRPr="00C3310F">
        <w:rPr>
          <w:rFonts w:hint="eastAsia"/>
        </w:rPr>
        <w:t>本院鑑於政府機關未能有效遏止詐騙案件發生，於98年調查並糾正以來，相關機關業已檢討並有初步成效，並據中正大學犯罪研究中心針對99年上半年度政府對詐騙犯罪的重視及努力已獲得民眾肯定，惟對於詐騙犯罪之被害比例仍有微幅上升趨勢，行政院仍應積極督促所屬持續積極檢討改進。</w:t>
      </w:r>
    </w:p>
    <w:p w14:paraId="3E723069" w14:textId="197E722E" w:rsidR="00821C9A" w:rsidRPr="00C3310F" w:rsidRDefault="00821C9A" w:rsidP="00821C9A">
      <w:pPr>
        <w:pStyle w:val="4"/>
      </w:pPr>
      <w:r w:rsidRPr="00C3310F">
        <w:rPr>
          <w:rFonts w:hint="eastAsia"/>
        </w:rPr>
        <w:t>有關電信人頭資料庫及各電信業者聯合查詢機制之事項自93年迄今，通傳會及警政署各執一詞，究應由何機關負責監督管理責任，仍未解決，行政院實應積極督促相關機關檢討處理。</w:t>
      </w:r>
    </w:p>
    <w:p w14:paraId="3DB7F6DA" w14:textId="77777777" w:rsidR="00821C9A" w:rsidRPr="00C3310F" w:rsidRDefault="00821C9A" w:rsidP="00821C9A">
      <w:pPr>
        <w:pStyle w:val="4"/>
      </w:pPr>
      <w:r w:rsidRPr="00C3310F">
        <w:rPr>
          <w:rFonts w:hint="eastAsia"/>
        </w:rPr>
        <w:t>海峽兩岸人民往來頻繁，經貿交流日漸密切，衍生之跨境犯罪日趨猖獗，行政院允宜積極檢討，以建構跨國界、跨區域之「安全聯防」及「共同打擊犯罪」合作機制，藉由兩岸司法互助以有效遏阻詐欺及跨境犯罪現象。</w:t>
      </w:r>
    </w:p>
    <w:p w14:paraId="5585D758" w14:textId="22EF0436" w:rsidR="00821C9A" w:rsidRPr="00C3310F" w:rsidRDefault="00821C9A" w:rsidP="00821C9A">
      <w:pPr>
        <w:pStyle w:val="4"/>
      </w:pPr>
      <w:r w:rsidRPr="00C3310F">
        <w:rPr>
          <w:rFonts w:hint="eastAsia"/>
        </w:rPr>
        <w:t>詐騙集團利用二類電信進行詐騙犯罪活動，主管機關</w:t>
      </w:r>
      <w:r w:rsidR="00021DBD" w:rsidRPr="00C3310F">
        <w:rPr>
          <w:rFonts w:hint="eastAsia"/>
        </w:rPr>
        <w:t>通傳會</w:t>
      </w:r>
      <w:r w:rsidRPr="00C3310F">
        <w:rPr>
          <w:rFonts w:hint="eastAsia"/>
        </w:rPr>
        <w:t>未落實監督管理及行政檢查之責，核有違失。</w:t>
      </w:r>
    </w:p>
    <w:p w14:paraId="0AA3361F" w14:textId="77777777" w:rsidR="00821C9A" w:rsidRPr="00C3310F" w:rsidRDefault="00821C9A" w:rsidP="00821C9A">
      <w:pPr>
        <w:pStyle w:val="3"/>
      </w:pPr>
      <w:bookmarkStart w:id="238" w:name="_Toc171525397"/>
      <w:bookmarkStart w:id="239" w:name="_Toc172023909"/>
      <w:bookmarkStart w:id="240" w:name="_Toc172033228"/>
      <w:r w:rsidRPr="00C3310F">
        <w:rPr>
          <w:rFonts w:hint="eastAsia"/>
        </w:rPr>
        <w:t>106司調0019「部分國人於境外涉及電信詐欺，影響</w:t>
      </w:r>
      <w:r w:rsidRPr="00C3310F">
        <w:rPr>
          <w:rFonts w:hint="eastAsia"/>
        </w:rPr>
        <w:lastRenderedPageBreak/>
        <w:t>國際形象甚鉅，且逾8成犯詐欺罪者刑度低於1年，亟待就偵查實務面賡續研謀因應措施；又開放銀聯卡於國內ATM提款，便利大陸民眾於國內消費，惟銀聯卡洗錢事件頻仍，亟待強化兩岸金融監理合作等情案」：</w:t>
      </w:r>
      <w:bookmarkEnd w:id="238"/>
      <w:bookmarkEnd w:id="239"/>
      <w:bookmarkEnd w:id="240"/>
    </w:p>
    <w:p w14:paraId="325FECFF" w14:textId="77777777" w:rsidR="00821C9A" w:rsidRPr="00C3310F" w:rsidRDefault="00821C9A" w:rsidP="00821C9A">
      <w:pPr>
        <w:pStyle w:val="4"/>
      </w:pPr>
      <w:r w:rsidRPr="00C3310F">
        <w:rPr>
          <w:rFonts w:hint="eastAsia"/>
        </w:rPr>
        <w:t>部分詐騙手法係以民眾個人資料為基礎，致使民眾不易辨別真偽而被騙；經濟部對網路零售業者之維護個資輔導與檢查成效不彰，行政院作為個人資料保護法所定各目的事業主管機關之上級機關，允應與該法之解釋機關法務部提高非公務機關對於資訊安全及個資維護之重視，並導正部分機關在執行該法之認知偏差。</w:t>
      </w:r>
    </w:p>
    <w:p w14:paraId="2513D325" w14:textId="77777777" w:rsidR="00821C9A" w:rsidRPr="00C3310F" w:rsidRDefault="00821C9A" w:rsidP="00821C9A">
      <w:pPr>
        <w:pStyle w:val="4"/>
      </w:pPr>
      <w:r w:rsidRPr="00C3310F">
        <w:rPr>
          <w:rFonts w:hint="eastAsia"/>
        </w:rPr>
        <w:t>源頭管理在防制電信詐欺策略中值得應用，短效期電信門號管理有助於消弭人頭電話以利追緝詐騙集團行蹤，而提高民眾對詐騙資訊警覺性，即斷絕後續轉帳或交易，通傳會及警政署允宜檢討現行措施，源頭管制人頭電話及採取有效宣導(傳)措施，抑制詐騙集團，避免民眾遭騙。</w:t>
      </w:r>
    </w:p>
    <w:p w14:paraId="04980A7C" w14:textId="77777777" w:rsidR="00821C9A" w:rsidRPr="00C3310F" w:rsidRDefault="00821C9A" w:rsidP="00821C9A">
      <w:pPr>
        <w:pStyle w:val="4"/>
      </w:pPr>
      <w:r w:rsidRPr="00C3310F">
        <w:rPr>
          <w:rFonts w:hint="eastAsia"/>
        </w:rPr>
        <w:t>因應目前詐騙集團型態與常見犯罪模式，相關法令已檢討修正，政府整合打擊電信詐欺跨部會平臺，運用電腦科技並採取新式偵辦方式，允宜賡續充實打擊電信詐欺偵辦能量，維護民眾財產安全及國際形象。</w:t>
      </w:r>
    </w:p>
    <w:p w14:paraId="57D6FAEE" w14:textId="77777777" w:rsidR="00821C9A" w:rsidRPr="00C3310F" w:rsidRDefault="00821C9A" w:rsidP="00821C9A">
      <w:pPr>
        <w:pStyle w:val="4"/>
      </w:pPr>
      <w:r w:rsidRPr="00C3310F">
        <w:rPr>
          <w:rFonts w:hint="eastAsia"/>
        </w:rPr>
        <w:t>近年電信詐騙集團已組織化並跨境為之，且集團成員再犯率甚高，政府除建立集團成員赴海外可疑名單，即時知會可能入境國之移民機關相關情資外，允宜加強運用「任務型聯絡官」等機制，建立合作窗口與溝通管道，與國際社會共同打擊不法，俾免國人遭遣送大陸之情事再發生。</w:t>
      </w:r>
    </w:p>
    <w:p w14:paraId="6D656C07" w14:textId="5633C4A1" w:rsidR="00821C9A" w:rsidRPr="00C3310F" w:rsidRDefault="00821C9A" w:rsidP="00821C9A">
      <w:pPr>
        <w:pStyle w:val="3"/>
      </w:pPr>
      <w:bookmarkStart w:id="241" w:name="_Toc171525398"/>
      <w:bookmarkStart w:id="242" w:name="_Toc172023910"/>
      <w:bookmarkStart w:id="243" w:name="_Toc172033229"/>
      <w:r w:rsidRPr="00C3310F">
        <w:rPr>
          <w:rFonts w:hint="eastAsia"/>
        </w:rPr>
        <w:t>111司調0027「據訴，為各級法院對人頭帳戶詐欺案</w:t>
      </w:r>
      <w:r w:rsidRPr="00C3310F">
        <w:rPr>
          <w:rFonts w:hint="eastAsia"/>
        </w:rPr>
        <w:lastRenderedPageBreak/>
        <w:t>件之行為人，論罪標準不一，肇致經濟能力、智識等條件較差者，頻遭羅織入罪，涉有不公等情案」</w:t>
      </w:r>
      <w:bookmarkEnd w:id="241"/>
      <w:bookmarkEnd w:id="242"/>
      <w:bookmarkEnd w:id="243"/>
      <w:r w:rsidR="00DD6D7F" w:rsidRPr="00C3310F">
        <w:rPr>
          <w:rFonts w:hint="eastAsia"/>
        </w:rPr>
        <w:t>：</w:t>
      </w:r>
    </w:p>
    <w:p w14:paraId="66EE3423" w14:textId="77777777" w:rsidR="00821C9A" w:rsidRPr="00C3310F" w:rsidRDefault="00821C9A" w:rsidP="00821C9A">
      <w:pPr>
        <w:pStyle w:val="4"/>
      </w:pPr>
      <w:r w:rsidRPr="00C3310F">
        <w:rPr>
          <w:rFonts w:hint="eastAsia"/>
        </w:rPr>
        <w:t>鑒於提供人頭帳戶者究應否無罪或應成立何罪，司法實務上見解分歧，為正本清源，本院諮詢或座談之專家學者多認應以立法方式解決，法務部目前已提出洗錢防制法之修正草案，其中第15條之1規定：「無正當理由交付金融帳戶予他人，從事第2條所列之行為者(即洗錢行為)，處3年以下有期徒刑。」另有專家學者主張得改為第一次違反科處行政罰，第二次始科處刑罰，惟亦有對改採「先行政罰後刑罰」有疑慮者。以何種立法方式為妥，僅彙整本院諮詢專家學者之意見供立法及權責機關參考。</w:t>
      </w:r>
    </w:p>
    <w:p w14:paraId="5B531C9F" w14:textId="77777777" w:rsidR="00821C9A" w:rsidRPr="00C3310F" w:rsidRDefault="00821C9A" w:rsidP="00821C9A">
      <w:pPr>
        <w:pStyle w:val="4"/>
      </w:pPr>
      <w:r w:rsidRPr="00C3310F">
        <w:rPr>
          <w:rFonts w:hint="eastAsia"/>
        </w:rPr>
        <w:t>提供人頭帳戶之被告，因被騙匯款至該帳戶之被害人可能分處不同縣市，受理報案之警察機關及偵查之檢察機關亦分屬各地，對該被告而言需到處應訊，如管轄權未統一，對其程序保障有所不足。又有些街友成為人頭帳戶案之被告，因居無定所通常無法收到傳票或拘票致影響其訴訟權益。另曾發生民眾帳戶遺失至警察機關報案卻遭拒絕受理之情形，影響民眾權益，警政署應督導各警察機關不得任意拒絕受理民眾報案。</w:t>
      </w:r>
    </w:p>
    <w:p w14:paraId="1E7DEDE9" w14:textId="77777777" w:rsidR="00821C9A" w:rsidRPr="00C3310F" w:rsidRDefault="00821C9A" w:rsidP="00821C9A">
      <w:pPr>
        <w:pStyle w:val="4"/>
      </w:pPr>
      <w:r w:rsidRPr="00C3310F">
        <w:rPr>
          <w:rFonts w:hint="eastAsia"/>
        </w:rPr>
        <w:t>目前民眾至金融機構開辦帳戶雖會嚴謹查證個人身分及開辦用途，且對異常帳戶之風險加以控管，金管會宜評估是否要求金融機構在定型化契約條款中以明顯顏色或粗體字呈現並請客戶特別簽名，具體提醒開戶民眾切勿任意將存摺及提款卡交付他人使用或外流密碼，以免遭詐騙集團不法利用而衍生法律責任。又金管會應加強透過各種管道、方式或與其他機關合作宣導讓人更有感的</w:t>
      </w:r>
      <w:r w:rsidRPr="00C3310F">
        <w:rPr>
          <w:rFonts w:hint="eastAsia"/>
        </w:rPr>
        <w:lastRenderedPageBreak/>
        <w:t>案例，使交付帳戶者體會到交付後可能面臨之嚴峻刑事責任及鉅額賠償責任，而更有效地減少人頭帳戶之產生。</w:t>
      </w:r>
    </w:p>
    <w:p w14:paraId="601CB791" w14:textId="77777777" w:rsidR="00821C9A" w:rsidRPr="00C3310F" w:rsidRDefault="00821C9A" w:rsidP="00821C9A">
      <w:pPr>
        <w:pStyle w:val="4"/>
      </w:pPr>
      <w:r w:rsidRPr="00C3310F">
        <w:rPr>
          <w:rFonts w:hint="eastAsia"/>
        </w:rPr>
        <w:t>外籍移工抵達我國後通常會有申辦行動電話、金融帳戶之需求，司法實務上時有發生其所申辦之電話、帳戶被詐騙集團不法利用之案例，移民署於其入境及勞動部於其在我國停留期間應加強對外籍移工以其能理解之語言、文字或圖示加以宣導，以避免其所申辦之電話、帳戶被詐欺集團利用為犯罪工具。又有些街友成為人頭帳戶之被告亦時有所聞，衛生福利部應依權責轉請各地方政府社會局(處)協助加強宣導其所申辦之電話、帳戶勿被詐欺集團不法利用。</w:t>
      </w:r>
    </w:p>
    <w:p w14:paraId="48BB3128" w14:textId="3953DA27" w:rsidR="00821C9A" w:rsidRPr="00C3310F" w:rsidRDefault="00821C9A" w:rsidP="00821C9A">
      <w:pPr>
        <w:pStyle w:val="3"/>
      </w:pPr>
      <w:bookmarkStart w:id="244" w:name="_Toc171525399"/>
      <w:bookmarkStart w:id="245" w:name="_Toc172023911"/>
      <w:bookmarkStart w:id="246" w:name="_Toc172033230"/>
      <w:r w:rsidRPr="00C3310F">
        <w:rPr>
          <w:rFonts w:hint="eastAsia"/>
        </w:rPr>
        <w:t>111財調0039「</w:t>
      </w:r>
      <w:bookmarkStart w:id="247" w:name="_Hlk112233677"/>
      <w:r w:rsidRPr="00C3310F">
        <w:rPr>
          <w:rFonts w:hint="eastAsia"/>
        </w:rPr>
        <w:t>據警政署刑事警察局統計，同年1月至7月，投資詐騙案高達2,550件，為前一年同期的1倍，將近9億元財產損失，幾乎是109年全年被詐騙總額。多數投資詐騙集團大打美女牌，透過</w:t>
      </w:r>
      <w:r w:rsidR="00DF3BE8" w:rsidRPr="00C3310F">
        <w:rPr>
          <w:rFonts w:hint="eastAsia"/>
        </w:rPr>
        <w:t>LINE</w:t>
      </w:r>
      <w:r w:rsidRPr="00C3310F">
        <w:rPr>
          <w:rFonts w:hint="eastAsia"/>
        </w:rPr>
        <w:t>、Telegram等群組</w:t>
      </w:r>
      <w:r w:rsidRPr="00C3310F">
        <w:rPr>
          <w:rFonts w:hAnsi="標楷體"/>
        </w:rPr>
        <w:t>……</w:t>
      </w:r>
      <w:r w:rsidRPr="00C3310F">
        <w:rPr>
          <w:rFonts w:hAnsi="標楷體" w:hint="eastAsia"/>
        </w:rPr>
        <w:t>誘</w:t>
      </w:r>
      <w:r w:rsidRPr="00C3310F">
        <w:rPr>
          <w:rFonts w:hint="eastAsia"/>
        </w:rPr>
        <w:t>導民眾投資或代操，騙取資金。究政府相關機關有無縱容是類詐騙不斷</w:t>
      </w:r>
      <w:r w:rsidRPr="00C3310F">
        <w:rPr>
          <w:rFonts w:hAnsi="標楷體" w:hint="eastAsia"/>
        </w:rPr>
        <w:t>以臉書等社群媒體、隨機電話方式進行？據悉已有不少被害人受騙，甚至傾家蕩產。臺灣已飽受詐騙之苦，此類新興詐騙方法疑未受政府重視</w:t>
      </w:r>
      <w:r w:rsidRPr="00C3310F">
        <w:rPr>
          <w:rFonts w:hAnsi="標楷體"/>
        </w:rPr>
        <w:t>……</w:t>
      </w:r>
      <w:r w:rsidRPr="00C3310F">
        <w:rPr>
          <w:rFonts w:hAnsi="標楷體" w:hint="eastAsia"/>
        </w:rPr>
        <w:t>均有深入</w:t>
      </w:r>
      <w:r w:rsidRPr="00C3310F">
        <w:rPr>
          <w:rFonts w:hint="eastAsia"/>
        </w:rPr>
        <w:t>瞭解之必要案</w:t>
      </w:r>
      <w:bookmarkEnd w:id="247"/>
      <w:r w:rsidRPr="00C3310F">
        <w:rPr>
          <w:rFonts w:hint="eastAsia"/>
        </w:rPr>
        <w:t>」</w:t>
      </w:r>
      <w:bookmarkEnd w:id="244"/>
      <w:bookmarkEnd w:id="245"/>
      <w:bookmarkEnd w:id="246"/>
      <w:r w:rsidR="00ED17D7" w:rsidRPr="00C3310F">
        <w:rPr>
          <w:rFonts w:hint="eastAsia"/>
        </w:rPr>
        <w:t>：</w:t>
      </w:r>
    </w:p>
    <w:p w14:paraId="5059B28F" w14:textId="22C3B9DC" w:rsidR="00821C9A" w:rsidRPr="00C3310F" w:rsidRDefault="00821C9A" w:rsidP="00821C9A">
      <w:pPr>
        <w:pStyle w:val="4"/>
      </w:pPr>
      <w:r w:rsidRPr="00C3310F">
        <w:rPr>
          <w:rFonts w:hint="eastAsia"/>
        </w:rPr>
        <w:t>金管會及所屬機關業務職責，本於金融消費者保護及維持金融市場秩序，對於非法之誘人「投資詐騙」之擾亂金融市場秩序行為，亦責無旁貸，需主動積極進行前置之行政查察作為及犯罪資料之蒐整後再行移送偵辦，以發揮政府行政一體及共同打擊犯罪之最大效能，而不能將主管法令具有刑罰之附屬刑法部分，均推諉檢方及司法警察進行偵辦。「投資詐騙」不法態樣多元且方式多樣，其</w:t>
      </w:r>
      <w:r w:rsidRPr="00C3310F">
        <w:rPr>
          <w:rFonts w:hint="eastAsia"/>
        </w:rPr>
        <w:lastRenderedPageBreak/>
        <w:t>犯罪構成要件，亦較傳統「電信詐欺」類型，更難認定。另詐騙集團透過網路化、科技化，以綿密之分工及熟練之手法，更利用網路虛擬貨幣洗錢，規避資金追查，查扣犯罪所得更加困難。此異常之交易行為資料，實不難由日常執行有價證券監視作業即得以發覺，稍微用心查證就會發現，但卻未受到政府主管機關之重視。誘使民眾投資之訊息仍氾濫於日常生活中，實有待更積極之作為。</w:t>
      </w:r>
    </w:p>
    <w:p w14:paraId="1C23E86D" w14:textId="71FAB6EB" w:rsidR="00821C9A" w:rsidRPr="00C3310F" w:rsidRDefault="00821C9A" w:rsidP="00821C9A">
      <w:pPr>
        <w:pStyle w:val="4"/>
      </w:pPr>
      <w:r w:rsidRPr="00C3310F">
        <w:rPr>
          <w:rFonts w:hint="eastAsia"/>
        </w:rPr>
        <w:t>嚴重特殊傳染性肺炎疫情期間，各類刑事犯罪案件數顯著降低，惟集團性電信詐騙案件卻不減反增。依警察機關受理電信網路詐騙案件資料統計顯示，108至110年間「投資詐騙」案件成長達3倍有餘。111年上半年「投資詐騙」案件已達1,066件，造成財損的金額亦達673,824千元，均已逾110年全年件數及財損金額之5成，顯見該類犯罪行為迄今未見緩和。爰行政院實應正視前揭情形，督促相關機關落實111年7月間該院核定之「打詐綱領」，以避免「投資詐騙」犯罪行為持續惡化。</w:t>
      </w:r>
    </w:p>
    <w:p w14:paraId="28985439" w14:textId="77777777" w:rsidR="00821C9A" w:rsidRPr="00C3310F" w:rsidRDefault="00821C9A" w:rsidP="00821C9A">
      <w:pPr>
        <w:pStyle w:val="4"/>
      </w:pPr>
      <w:r w:rsidRPr="00C3310F">
        <w:rPr>
          <w:rFonts w:hint="eastAsia"/>
        </w:rPr>
        <w:t>「防制電信詐欺與網路犯罪工作平臺」於109年7月第9次會議，即決議請各家電信業者比照中華電信股份有限公司(下稱中華電信)做法，當發現民眾接獲+碼異常來電時，即分析並自訂邏輯規則，倘系統判斷為詐騙電話則發送關懷簡訊告知其防止遭騙。惟迄111年4月其他行動電信業者仍未見有明顯配合作為，顯有未洽。另依打詐綱領1.0中，「電信網路面向」之策略六「管理及防制VPN業者詐騙」，已要求通傳會監督電信業者配合執法機關，對疑涉詐騙行為之VPN業者停止續約，以防制詐騙行為，亦應確實落實，以減少「投資詐騙」造成民眾重大財物損失。</w:t>
      </w:r>
    </w:p>
    <w:p w14:paraId="76E3D224" w14:textId="282C1845" w:rsidR="00821C9A" w:rsidRPr="00C3310F" w:rsidRDefault="00821C9A" w:rsidP="00821C9A">
      <w:pPr>
        <w:pStyle w:val="4"/>
      </w:pPr>
      <w:r w:rsidRPr="00C3310F">
        <w:rPr>
          <w:rFonts w:hint="eastAsia"/>
        </w:rPr>
        <w:lastRenderedPageBreak/>
        <w:t>法務部於107年2月間通令各檢察機關實施「檢察機關以電子公文調取金融資料機制」</w:t>
      </w:r>
      <w:r w:rsidR="002827F8" w:rsidRPr="00C3310F">
        <w:rPr>
          <w:rFonts w:hint="eastAsia"/>
        </w:rPr>
        <w:t>，</w:t>
      </w:r>
      <w:r w:rsidRPr="00C3310F">
        <w:rPr>
          <w:rFonts w:hint="eastAsia"/>
        </w:rPr>
        <w:t>法務部允應加速推動，以完善辦理「投資詐騙」案件時，相關犯罪金融資料之取得途徑，提升檢察機關追緝金流之效能。</w:t>
      </w:r>
    </w:p>
    <w:p w14:paraId="1D019B34" w14:textId="77777777" w:rsidR="00821C9A" w:rsidRPr="00C3310F" w:rsidRDefault="00821C9A" w:rsidP="00821C9A">
      <w:pPr>
        <w:pStyle w:val="4"/>
      </w:pPr>
      <w:r w:rsidRPr="00C3310F">
        <w:rPr>
          <w:rFonts w:hint="eastAsia"/>
        </w:rPr>
        <w:t>「投資詐騙」行為現已結合比特幣等區塊鏈虛擬貨幣作為金流工具，利用其「去中心化、不易追查」之特性，協助犯罪者快速洗錢，以求得遂其等之犯行。我國檢方及司法警察機關雖已購置區塊鏈分析工具以協助金流分析工作，惟所購置之工具並非完整版本，對治安機關偵辦工作恐有難盡周全之虞。</w:t>
      </w:r>
    </w:p>
    <w:p w14:paraId="61ABD190" w14:textId="77777777" w:rsidR="00821C9A" w:rsidRPr="00C3310F" w:rsidRDefault="00821C9A" w:rsidP="00821C9A">
      <w:pPr>
        <w:pStyle w:val="4"/>
      </w:pPr>
      <w:r w:rsidRPr="00C3310F">
        <w:rPr>
          <w:rFonts w:hint="eastAsia"/>
        </w:rPr>
        <w:t>現行金管會針對虛擬貨幣之洗錢防制相關規範，僅要求本國公司幣商依法令遵循之程序進行聲明，規範幅度尚未及於自然人幣商或外國幣商，惟為杜洗錢防制漏洞，容有再加檢討必要。</w:t>
      </w:r>
    </w:p>
    <w:p w14:paraId="17935995" w14:textId="77777777" w:rsidR="00821C9A" w:rsidRPr="00C3310F" w:rsidRDefault="00821C9A" w:rsidP="00821C9A">
      <w:pPr>
        <w:pStyle w:val="4"/>
      </w:pPr>
      <w:r w:rsidRPr="00C3310F">
        <w:rPr>
          <w:rFonts w:hint="eastAsia"/>
        </w:rPr>
        <w:t>國人常運用之網路社群平臺，且遭「投資詐騙」者利用貼文以實施其犯行者計有近十種，因電信事業及設置公眾電信網路者未有留存相關網路足跡之義務，均造成治安機關查緝時，難以有效溯源追查詐騙網站或駭侵攻擊者之真實身分，亦無法利用對數位足跡之分析，發現或預測可能之受害者以提早防範，以控管整體損害之幅度，爰法務部均應針對前揭問題，謀求改善之道。</w:t>
      </w:r>
    </w:p>
    <w:p w14:paraId="0AE05B8F" w14:textId="77777777" w:rsidR="00821C9A" w:rsidRPr="00C3310F" w:rsidRDefault="00821C9A" w:rsidP="00821C9A">
      <w:pPr>
        <w:pStyle w:val="4"/>
      </w:pPr>
      <w:r w:rsidRPr="00C3310F">
        <w:rPr>
          <w:rFonts w:hint="eastAsia"/>
        </w:rPr>
        <w:t>110年8月間行政院發布聯繫作業要點後，仍持續發生重大個資外洩案件，使詐騙集團有得以取得消費者個人資料，遂行其不法作為之機會，造成民眾財物損失。政府允應持續加強杜絕非公務機關發生個資外洩情事，並宜考量參酌先進國家作法及歐盟立法例，配合行政院組織改造時程，考量規</w:t>
      </w:r>
      <w:r w:rsidRPr="00C3310F">
        <w:rPr>
          <w:rFonts w:hint="eastAsia"/>
        </w:rPr>
        <w:lastRenderedPageBreak/>
        <w:t>劃設置個人資料保護獨立專責機關，暨於個人資料保護法未來修法時，一併研議於公務機關及部分非公務機關設置個人資料保護官。</w:t>
      </w:r>
    </w:p>
    <w:p w14:paraId="5C2539CA" w14:textId="77777777" w:rsidR="00821C9A" w:rsidRPr="00C3310F" w:rsidRDefault="00821C9A" w:rsidP="00821C9A">
      <w:pPr>
        <w:pStyle w:val="3"/>
      </w:pPr>
      <w:bookmarkStart w:id="248" w:name="_Toc171525400"/>
      <w:bookmarkStart w:id="249" w:name="_Toc172023912"/>
      <w:bookmarkStart w:id="250" w:name="_Toc172033231"/>
      <w:r w:rsidRPr="00C3310F">
        <w:rPr>
          <w:rFonts w:hint="eastAsia"/>
        </w:rPr>
        <w:t>112內調0042「新北市政府警察局日前破獲</w:t>
      </w:r>
      <w:r w:rsidRPr="00C3310F">
        <w:rPr>
          <w:rFonts w:hAnsi="標楷體" w:hint="eastAsia"/>
        </w:rPr>
        <w:t>『</w:t>
      </w:r>
      <w:r w:rsidRPr="00C3310F">
        <w:rPr>
          <w:rFonts w:hint="eastAsia"/>
        </w:rPr>
        <w:t>臺版柬埔寨</w:t>
      </w:r>
      <w:r w:rsidRPr="00C3310F">
        <w:rPr>
          <w:rFonts w:hAnsi="標楷體" w:hint="eastAsia"/>
        </w:rPr>
        <w:t>』32人求職詐騙集中營，另有3人已死亡，震驚社會</w:t>
      </w:r>
      <w:r w:rsidRPr="00C3310F">
        <w:rPr>
          <w:rFonts w:hAnsi="標楷體"/>
        </w:rPr>
        <w:t>……</w:t>
      </w:r>
      <w:r w:rsidRPr="00C3310F">
        <w:rPr>
          <w:rFonts w:hAnsi="標楷體" w:hint="eastAsia"/>
        </w:rPr>
        <w:t>詐騙集團祭出『高薪』、『「保證獲利』等誘餌，誘騙民</w:t>
      </w:r>
      <w:r w:rsidRPr="00C3310F">
        <w:rPr>
          <w:rFonts w:hint="eastAsia"/>
        </w:rPr>
        <w:t>眾上鉤後再行拘禁、虐待甚至集體強行侵犯，民眾不但淪為詐騙集團的人頭帳戶及行騙工具，重則遭虐打、棄屍。本案嚴重損及人身自由、財產及生命安全，相關機關是否有進行跨部會合作積極提供救援？相關主管機關是否積極查處違法求職廣告及犯罪？目前究竟有多少國人受騙？相關機關如何遏止此類犯罪事件一再發生？均認有調查之必要案」:</w:t>
      </w:r>
      <w:bookmarkEnd w:id="248"/>
      <w:bookmarkEnd w:id="249"/>
      <w:bookmarkEnd w:id="250"/>
    </w:p>
    <w:p w14:paraId="1B26E71B" w14:textId="77777777" w:rsidR="00821C9A" w:rsidRPr="00C3310F" w:rsidRDefault="00821C9A" w:rsidP="00821C9A">
      <w:pPr>
        <w:pStyle w:val="4"/>
      </w:pPr>
      <w:r w:rsidRPr="00C3310F">
        <w:rPr>
          <w:rFonts w:hint="eastAsia"/>
        </w:rPr>
        <w:t>洗錢囚虐犯罪為電信網路詐欺犯罪高度組織化、跨國化、分工化下衍生的重大犯罪模式。犯罪集團為隱匿詐騙金流，採行令人髮指的殘暴手法。行政院特別針對洗錢囚虐犯罪，研商採取多項查緝及防制措施，確有防制成效，相關辦案人員之辛勞付出，應予肯定。然詐欺犯罪越趨殘暴，洗錢囚虐犯罪方興未艾的趨勢。部分查緝及防制措施未能有效針對網路犯罪特性，欠缺強制力的法源基礎，部分措施有待落實跨部會協調聯繫，且對於電商個資外洩嚴重、虛擬通貨成為洗錢管道、通訊軟體成為犯罪工具等偵辦困境，迄無有效的防制方法，行政院仍應督導相關機關速謀因應措施，以有效壓制詐欺犯罪之氣焰。</w:t>
      </w:r>
    </w:p>
    <w:p w14:paraId="3E7CBFCA" w14:textId="77777777" w:rsidR="00821C9A" w:rsidRPr="00C3310F" w:rsidRDefault="00821C9A" w:rsidP="00821C9A">
      <w:pPr>
        <w:pStyle w:val="4"/>
      </w:pPr>
      <w:r w:rsidRPr="00C3310F">
        <w:rPr>
          <w:rFonts w:hint="eastAsia"/>
        </w:rPr>
        <w:t>近年來網路詐騙的情形越形嚴重，且有不少社會弱勢民眾及未成年人誤信社群網路不實訊息，被騙遭到囚禁、被販運出國或成為詐欺共犯，檢警雖</w:t>
      </w:r>
      <w:r w:rsidRPr="00C3310F">
        <w:rPr>
          <w:rFonts w:hint="eastAsia"/>
        </w:rPr>
        <w:lastRenderedPageBreak/>
        <w:t>與臉書建立通報下架機制，但整體成效有限。鑑於我國並無單一的數位服務法律，現階段對於網路有害行為或犯罪，係由各法令之主管機關依權責，採分散式立法處理。對於網路異常求職、販賣帳戶及招攬車手等有害訊息及犯罪行為，研議採取適度立法管制的可行性。</w:t>
      </w:r>
    </w:p>
    <w:p w14:paraId="52D67F13" w14:textId="77777777" w:rsidR="00821C9A" w:rsidRPr="00C3310F" w:rsidRDefault="00821C9A" w:rsidP="001B05D6">
      <w:pPr>
        <w:pStyle w:val="4"/>
      </w:pPr>
      <w:r w:rsidRPr="00C3310F">
        <w:rPr>
          <w:rFonts w:hint="eastAsia"/>
        </w:rPr>
        <w:t>金管會與警政署已協調建立查詢作業，警政署並將警示帳戶之失蹤人口列為重大刑案，雖有積極作為，但迄未建立失蹤人口與異常金融服務的勾稽平臺。金管會與警政署應積極建立相關勾稽平臺，金管會並宜督導金融機關強化行員識詐阻詐之敏感度，落實控管異常交易態樣及帳戶被作為詐騙使用之審核責任。</w:t>
      </w:r>
    </w:p>
    <w:p w14:paraId="09D5DBD0" w14:textId="77777777" w:rsidR="00A5106A" w:rsidRPr="00C3310F" w:rsidRDefault="002D66A8" w:rsidP="00821C9A">
      <w:pPr>
        <w:pStyle w:val="2"/>
        <w:ind w:leftChars="101" w:left="1025"/>
      </w:pPr>
      <w:bookmarkStart w:id="251" w:name="_Toc172023913"/>
      <w:bookmarkStart w:id="252" w:name="_Toc172033232"/>
      <w:r w:rsidRPr="00C3310F">
        <w:rPr>
          <w:rFonts w:hint="eastAsia"/>
        </w:rPr>
        <w:t>全球面對詐欺犯罪情勢及反制策略：基於電信網路詐欺犯罪之環境背景為數位化、網路化及全球化，</w:t>
      </w:r>
      <w:bookmarkStart w:id="253" w:name="_Toc171525432"/>
      <w:r w:rsidRPr="00C3310F">
        <w:rPr>
          <w:rFonts w:hint="eastAsia"/>
        </w:rPr>
        <w:t>則各國政府面對之犯罪情勢及反制策略，亦為研究電信網路詐欺議題所無法忽略之背景，茲綜整</w:t>
      </w:r>
      <w:r w:rsidR="001B05D6" w:rsidRPr="00C3310F">
        <w:rPr>
          <w:rFonts w:hint="eastAsia"/>
        </w:rPr>
        <w:t>全球</w:t>
      </w:r>
      <w:r w:rsidRPr="00C3310F">
        <w:rPr>
          <w:rFonts w:hint="eastAsia"/>
        </w:rPr>
        <w:t>電信網路詐欺概況</w:t>
      </w:r>
      <w:r w:rsidRPr="00C3310F">
        <w:rPr>
          <w:rStyle w:val="afe"/>
        </w:rPr>
        <w:footnoteReference w:id="21"/>
      </w:r>
      <w:r w:rsidRPr="00C3310F">
        <w:rPr>
          <w:rFonts w:hint="eastAsia"/>
        </w:rPr>
        <w:t>如下：</w:t>
      </w:r>
      <w:bookmarkEnd w:id="251"/>
      <w:bookmarkEnd w:id="252"/>
      <w:bookmarkEnd w:id="253"/>
    </w:p>
    <w:p w14:paraId="6C5E8138" w14:textId="1B8F40DD" w:rsidR="00A5106A" w:rsidRPr="00C3310F" w:rsidRDefault="00A5106A" w:rsidP="00A5106A">
      <w:pPr>
        <w:pStyle w:val="4"/>
      </w:pPr>
      <w:r w:rsidRPr="00C3310F">
        <w:t>2021</w:t>
      </w:r>
      <w:r w:rsidRPr="00C3310F">
        <w:rPr>
          <w:rFonts w:hint="eastAsia"/>
        </w:rPr>
        <w:t>年全球共收到約</w:t>
      </w:r>
      <w:r w:rsidRPr="00C3310F">
        <w:t>2.93</w:t>
      </w:r>
      <w:r w:rsidRPr="00C3310F">
        <w:rPr>
          <w:rFonts w:hint="eastAsia"/>
        </w:rPr>
        <w:t>億份詐騙通報，損失金額高達</w:t>
      </w:r>
      <w:r w:rsidRPr="00C3310F">
        <w:t>553</w:t>
      </w:r>
      <w:r w:rsidRPr="00C3310F">
        <w:rPr>
          <w:rFonts w:hint="eastAsia"/>
        </w:rPr>
        <w:t>億美元，相比</w:t>
      </w:r>
      <w:r w:rsidRPr="00C3310F">
        <w:t>2020</w:t>
      </w:r>
      <w:r w:rsidRPr="00C3310F">
        <w:rPr>
          <w:rFonts w:hint="eastAsia"/>
        </w:rPr>
        <w:t>年，通報數量增加了</w:t>
      </w:r>
      <w:r w:rsidRPr="00C3310F">
        <w:t>10.2%</w:t>
      </w:r>
      <w:r w:rsidRPr="00C3310F">
        <w:rPr>
          <w:rFonts w:hint="eastAsia"/>
        </w:rPr>
        <w:t>，損失金額則增長了</w:t>
      </w:r>
      <w:r w:rsidRPr="00C3310F">
        <w:t>15.7%</w:t>
      </w:r>
      <w:r w:rsidRPr="00C3310F">
        <w:rPr>
          <w:rFonts w:hint="eastAsia"/>
        </w:rPr>
        <w:t>。數據顯示，詐騙活動不斷增加，而且主要增長來自投資詐騙。</w:t>
      </w:r>
    </w:p>
    <w:p w14:paraId="00902634" w14:textId="6F357B17" w:rsidR="00A5106A" w:rsidRPr="00C3310F" w:rsidRDefault="00A5106A" w:rsidP="00A5106A">
      <w:pPr>
        <w:pStyle w:val="4"/>
      </w:pPr>
      <w:r w:rsidRPr="00C3310F">
        <w:rPr>
          <w:rFonts w:hint="eastAsia"/>
        </w:rPr>
        <w:t>96%的澳洲人過去5年曾遭遇詐騙</w:t>
      </w:r>
      <w:r w:rsidRPr="00C3310F">
        <w:rPr>
          <w:rStyle w:val="afe"/>
        </w:rPr>
        <w:footnoteReference w:id="22"/>
      </w:r>
      <w:r w:rsidRPr="00C3310F">
        <w:rPr>
          <w:rFonts w:hint="eastAsia"/>
        </w:rPr>
        <w:t>，其中半數每</w:t>
      </w:r>
      <w:r w:rsidR="002827F8" w:rsidRPr="00C3310F">
        <w:rPr>
          <w:rFonts w:hint="eastAsia"/>
        </w:rPr>
        <w:t>週</w:t>
      </w:r>
      <w:r w:rsidRPr="00C3310F">
        <w:rPr>
          <w:rFonts w:hint="eastAsia"/>
        </w:rPr>
        <w:t>或每天都接觸到詐騙訊息；在法國，有61%民眾曾在過去1年接觸過「另類的」投資機會，在英國，有半數電話受訪者表示在1個月內收過疑似詐騙的釣魚信件或社群媒體訊息。</w:t>
      </w:r>
    </w:p>
    <w:p w14:paraId="351638E3" w14:textId="4B45B6F0" w:rsidR="00A5106A" w:rsidRPr="00C3310F" w:rsidRDefault="00A5106A" w:rsidP="00A5106A">
      <w:pPr>
        <w:pStyle w:val="4"/>
      </w:pPr>
      <w:r w:rsidRPr="00C3310F">
        <w:rPr>
          <w:rFonts w:hint="eastAsia"/>
        </w:rPr>
        <w:lastRenderedPageBreak/>
        <w:t>社群媒體成為詐騙者的重要工具。在巴基斯坦，</w:t>
      </w:r>
      <w:r w:rsidRPr="00C3310F">
        <w:t>23%</w:t>
      </w:r>
      <w:r w:rsidRPr="00C3310F">
        <w:rPr>
          <w:rFonts w:hint="eastAsia"/>
        </w:rPr>
        <w:t>的網路犯罪報告源自</w:t>
      </w:r>
      <w:r w:rsidRPr="00C3310F">
        <w:t>Facebook</w:t>
      </w:r>
      <w:r w:rsidRPr="00C3310F">
        <w:rPr>
          <w:rFonts w:hint="eastAsia"/>
        </w:rPr>
        <w:t>，而在美國，</w:t>
      </w:r>
      <w:r w:rsidRPr="00C3310F">
        <w:t>2021</w:t>
      </w:r>
      <w:r w:rsidRPr="00C3310F">
        <w:rPr>
          <w:rFonts w:hint="eastAsia"/>
        </w:rPr>
        <w:t>年有超過1/4的詐騙起源於社群媒體上的廣告、貼文或訊息</w:t>
      </w:r>
      <w:r w:rsidRPr="00C3310F">
        <w:rPr>
          <w:rFonts w:hAnsi="標楷體" w:cs="標楷體" w:hint="eastAsia"/>
        </w:rPr>
        <w:t>。</w:t>
      </w:r>
    </w:p>
    <w:p w14:paraId="30912573" w14:textId="7BAC15DD" w:rsidR="00A5106A" w:rsidRPr="00C3310F" w:rsidRDefault="00A5106A" w:rsidP="00A5106A">
      <w:pPr>
        <w:pStyle w:val="4"/>
      </w:pPr>
      <w:r w:rsidRPr="00C3310F">
        <w:rPr>
          <w:rFonts w:hint="eastAsia"/>
        </w:rPr>
        <w:t>巴西移動支付方式</w:t>
      </w:r>
      <w:r w:rsidRPr="00C3310F">
        <w:t>Pix</w:t>
      </w:r>
      <w:r w:rsidRPr="00C3310F">
        <w:rPr>
          <w:rFonts w:hint="eastAsia"/>
        </w:rPr>
        <w:t>導致詐騙激增；</w:t>
      </w:r>
      <w:r w:rsidRPr="00C3310F">
        <w:rPr>
          <w:rFonts w:hAnsi="標楷體" w:cs="標楷體" w:hint="eastAsia"/>
        </w:rPr>
        <w:t>沙烏地阿拉伯</w:t>
      </w:r>
      <w:r w:rsidRPr="00C3310F">
        <w:t>62%</w:t>
      </w:r>
      <w:r w:rsidRPr="00C3310F">
        <w:rPr>
          <w:rFonts w:hint="eastAsia"/>
        </w:rPr>
        <w:t>的消費者曾經收到垃圾郵件和詐騙信息，</w:t>
      </w:r>
      <w:r w:rsidRPr="00C3310F">
        <w:t>14%</w:t>
      </w:r>
      <w:r w:rsidRPr="00C3310F">
        <w:rPr>
          <w:rFonts w:hint="eastAsia"/>
        </w:rPr>
        <w:t>的受訪者承認自己上當受騙</w:t>
      </w:r>
      <w:r w:rsidRPr="00C3310F">
        <w:rPr>
          <w:rFonts w:hAnsi="標楷體" w:cs="標楷體" w:hint="eastAsia"/>
        </w:rPr>
        <w:t>。</w:t>
      </w:r>
    </w:p>
    <w:p w14:paraId="4B56689B" w14:textId="77777777" w:rsidR="00A5106A" w:rsidRPr="00C3310F" w:rsidRDefault="00A5106A" w:rsidP="00A5106A">
      <w:pPr>
        <w:pStyle w:val="4"/>
      </w:pPr>
      <w:r w:rsidRPr="00C3310F">
        <w:rPr>
          <w:rFonts w:hint="eastAsia"/>
        </w:rPr>
        <w:t>投資詐騙持續增加：</w:t>
      </w:r>
    </w:p>
    <w:p w14:paraId="4CF7F0DD" w14:textId="77777777" w:rsidR="00A5106A" w:rsidRPr="00C3310F" w:rsidRDefault="00A5106A" w:rsidP="00821C9A">
      <w:pPr>
        <w:pStyle w:val="5"/>
      </w:pPr>
      <w:r w:rsidRPr="00C3310F">
        <w:rPr>
          <w:rFonts w:hint="eastAsia"/>
        </w:rPr>
        <w:t>詐騙案件強勁成長不僅是因為數位化程度加快，而且是複合高通膨、高生活費及高失業率的背景，而迫使人們尋找新的投資方式而維持收支平衡。</w:t>
      </w:r>
    </w:p>
    <w:p w14:paraId="5EE03BAE" w14:textId="77777777" w:rsidR="00A5106A" w:rsidRPr="00C3310F" w:rsidRDefault="00A5106A" w:rsidP="00A5106A">
      <w:pPr>
        <w:pStyle w:val="5"/>
      </w:pPr>
      <w:r w:rsidRPr="00C3310F">
        <w:rPr>
          <w:rFonts w:hint="eastAsia"/>
        </w:rPr>
        <w:t>加密貨幣大量運用於投資詐騙，土耳其政府被迫暫停加密貨幣交易，凍結超過20億美元的資產。</w:t>
      </w:r>
    </w:p>
    <w:p w14:paraId="5B5E638B" w14:textId="2B1D4E3A" w:rsidR="00A5106A" w:rsidRPr="00C3310F" w:rsidRDefault="00A5106A" w:rsidP="00A5106A">
      <w:pPr>
        <w:pStyle w:val="5"/>
      </w:pPr>
      <w:r w:rsidRPr="00C3310F">
        <w:rPr>
          <w:rFonts w:hint="eastAsia"/>
        </w:rPr>
        <w:t>加拿大投資詐騙是成長最快的樣態，從2020年的501則報案成長至3</w:t>
      </w:r>
      <w:r w:rsidRPr="00C3310F">
        <w:t>,</w:t>
      </w:r>
      <w:r w:rsidRPr="00C3310F">
        <w:rPr>
          <w:rFonts w:hint="eastAsia"/>
        </w:rPr>
        <w:t>442則，財損金額則從1</w:t>
      </w:r>
      <w:r w:rsidRPr="00C3310F">
        <w:t>,</w:t>
      </w:r>
      <w:r w:rsidRPr="00C3310F">
        <w:rPr>
          <w:rFonts w:hint="eastAsia"/>
        </w:rPr>
        <w:t>650萬</w:t>
      </w:r>
      <w:r w:rsidR="00717A60" w:rsidRPr="00C3310F">
        <w:rPr>
          <w:rFonts w:hint="eastAsia"/>
        </w:rPr>
        <w:t>美元</w:t>
      </w:r>
      <w:r w:rsidRPr="00C3310F">
        <w:rPr>
          <w:rFonts w:hint="eastAsia"/>
        </w:rPr>
        <w:t>成長至1</w:t>
      </w:r>
      <w:r w:rsidRPr="00C3310F">
        <w:t>.64</w:t>
      </w:r>
      <w:r w:rsidRPr="00C3310F">
        <w:rPr>
          <w:rFonts w:hint="eastAsia"/>
        </w:rPr>
        <w:t>億</w:t>
      </w:r>
      <w:r w:rsidR="00717A60" w:rsidRPr="00C3310F">
        <w:rPr>
          <w:rFonts w:hint="eastAsia"/>
        </w:rPr>
        <w:t>美</w:t>
      </w:r>
      <w:r w:rsidRPr="00C3310F">
        <w:rPr>
          <w:rFonts w:hint="eastAsia"/>
        </w:rPr>
        <w:t>元。此外，詐騙集團還會偽冒「詐款追討」公司，進一步欺騙受害者支付管理費。</w:t>
      </w:r>
    </w:p>
    <w:p w14:paraId="4F1DA376" w14:textId="77777777" w:rsidR="00A5106A" w:rsidRPr="00C3310F" w:rsidRDefault="00A5106A" w:rsidP="00A5106A">
      <w:pPr>
        <w:pStyle w:val="4"/>
      </w:pPr>
      <w:r w:rsidRPr="00C3310F">
        <w:rPr>
          <w:rFonts w:hint="eastAsia"/>
        </w:rPr>
        <w:t>詐欺案件只有3%~17%的受害者通報：</w:t>
      </w:r>
      <w:r w:rsidRPr="00C3310F">
        <w:t xml:space="preserve"> </w:t>
      </w:r>
    </w:p>
    <w:p w14:paraId="3F14C926" w14:textId="77777777" w:rsidR="00A5106A" w:rsidRPr="00C3310F" w:rsidRDefault="00A5106A" w:rsidP="00A5106A">
      <w:pPr>
        <w:pStyle w:val="5"/>
      </w:pPr>
      <w:r w:rsidRPr="00C3310F">
        <w:rPr>
          <w:rFonts w:hint="eastAsia"/>
        </w:rPr>
        <w:t>通報詐騙比例方面，澳洲約為13%，加</w:t>
      </w:r>
      <w:r w:rsidR="001B05D6" w:rsidRPr="00C3310F">
        <w:rPr>
          <w:rFonts w:hint="eastAsia"/>
        </w:rPr>
        <w:t>拿</w:t>
      </w:r>
      <w:r w:rsidRPr="00C3310F">
        <w:rPr>
          <w:rFonts w:hint="eastAsia"/>
        </w:rPr>
        <w:t>大約5%，以色列約9</w:t>
      </w:r>
      <w:r w:rsidRPr="00C3310F">
        <w:t>%</w:t>
      </w:r>
      <w:r w:rsidRPr="00C3310F">
        <w:rPr>
          <w:rFonts w:hint="eastAsia"/>
        </w:rPr>
        <w:t>，荷蘭及法國則約在12%~17%之間，而部分國家已經在將詐騙通報機制中心化。</w:t>
      </w:r>
    </w:p>
    <w:p w14:paraId="1B758422" w14:textId="3A483EF2" w:rsidR="00A5106A" w:rsidRPr="00C3310F" w:rsidRDefault="00A5106A" w:rsidP="00A5106A">
      <w:pPr>
        <w:pStyle w:val="5"/>
      </w:pPr>
      <w:r w:rsidRPr="00C3310F">
        <w:rPr>
          <w:rFonts w:hint="eastAsia"/>
        </w:rPr>
        <w:t>一些國家開始投資於更便利的報告系統。例如，法國推出了新的網路詐騙報告</w:t>
      </w:r>
      <w:r w:rsidR="0004575A" w:rsidRPr="00C3310F">
        <w:rPr>
          <w:rFonts w:hint="eastAsia"/>
        </w:rPr>
        <w:t>平臺</w:t>
      </w:r>
      <w:r w:rsidRPr="00C3310F">
        <w:rPr>
          <w:rFonts w:hint="eastAsia"/>
        </w:rPr>
        <w:t>。比利時、波蘭、紐西蘭和英國等國家則允許市民</w:t>
      </w:r>
      <w:r w:rsidR="001B05D6" w:rsidRPr="00C3310F">
        <w:rPr>
          <w:rFonts w:hint="eastAsia"/>
        </w:rPr>
        <w:t>檢舉</w:t>
      </w:r>
      <w:r w:rsidRPr="00C3310F">
        <w:rPr>
          <w:rFonts w:hint="eastAsia"/>
        </w:rPr>
        <w:t>轉發可疑郵件和簡訊以便進一步分析和行動。</w:t>
      </w:r>
    </w:p>
    <w:p w14:paraId="065AD137" w14:textId="77777777" w:rsidR="00A5106A" w:rsidRPr="00C3310F" w:rsidRDefault="00A5106A" w:rsidP="00A5106A">
      <w:pPr>
        <w:pStyle w:val="4"/>
      </w:pPr>
      <w:r w:rsidRPr="00C3310F">
        <w:rPr>
          <w:rFonts w:hint="eastAsia"/>
        </w:rPr>
        <w:t>在財損部分，平均被詐金額最高的是新加坡（</w:t>
      </w:r>
      <w:r w:rsidRPr="00C3310F">
        <w:t>4,031</w:t>
      </w:r>
      <w:r w:rsidRPr="00C3310F">
        <w:rPr>
          <w:rFonts w:hint="eastAsia"/>
        </w:rPr>
        <w:t>美元/人）、瑞士（</w:t>
      </w:r>
      <w:r w:rsidRPr="00C3310F">
        <w:t>3,767</w:t>
      </w:r>
      <w:r w:rsidRPr="00C3310F">
        <w:rPr>
          <w:rFonts w:hint="eastAsia"/>
        </w:rPr>
        <w:t>美元/人）和奧地</w:t>
      </w:r>
      <w:r w:rsidRPr="00C3310F">
        <w:rPr>
          <w:rFonts w:hint="eastAsia"/>
        </w:rPr>
        <w:lastRenderedPageBreak/>
        <w:t>利（</w:t>
      </w:r>
      <w:r w:rsidRPr="00C3310F">
        <w:t>3,484</w:t>
      </w:r>
      <w:r w:rsidRPr="00C3310F">
        <w:rPr>
          <w:rFonts w:hint="eastAsia"/>
        </w:rPr>
        <w:t>美元/人）。巨額財損在全球造成了嚴重的財務影響，報告估計損失總計高達</w:t>
      </w:r>
      <w:r w:rsidRPr="00C3310F">
        <w:t>1.026</w:t>
      </w:r>
      <w:r w:rsidRPr="00C3310F">
        <w:rPr>
          <w:rFonts w:hint="eastAsia"/>
        </w:rPr>
        <w:t>兆美元，相當於全球</w:t>
      </w:r>
      <w:r w:rsidRPr="00C3310F">
        <w:t>GDP</w:t>
      </w:r>
      <w:r w:rsidRPr="00C3310F">
        <w:rPr>
          <w:rFonts w:hint="eastAsia"/>
        </w:rPr>
        <w:t>的</w:t>
      </w:r>
      <w:r w:rsidRPr="00C3310F">
        <w:t>1.05%</w:t>
      </w:r>
      <w:r w:rsidRPr="00C3310F">
        <w:rPr>
          <w:rFonts w:hint="eastAsia"/>
        </w:rPr>
        <w:t>，若以國家為單位，肯亞受詐欺打擊最嚴重，其GDP因詐騙損失了近 4.5%，其次是越南（3.6%）、巴西和泰國（3.2%），而追回詐款的比率很低，只有約7%成功追回。</w:t>
      </w:r>
    </w:p>
    <w:p w14:paraId="6518DBAF" w14:textId="2A3BAD65" w:rsidR="007D56CF" w:rsidRPr="00C3310F" w:rsidRDefault="007D56CF" w:rsidP="00A5106A">
      <w:pPr>
        <w:pStyle w:val="4"/>
      </w:pPr>
      <w:r w:rsidRPr="00C3310F">
        <w:rPr>
          <w:rFonts w:hint="eastAsia"/>
        </w:rPr>
        <w:t>經濟損失外，全球範圍內的情感創傷也很嚴重，調查發現59%的受害者表示遭受了巨大的情感創傷</w:t>
      </w:r>
      <w:r w:rsidR="00D82B1C" w:rsidRPr="00C3310F">
        <w:rPr>
          <w:rFonts w:hint="eastAsia"/>
        </w:rPr>
        <w:t>。</w:t>
      </w:r>
    </w:p>
    <w:p w14:paraId="05B0A4F7" w14:textId="206C392F" w:rsidR="007D56CF" w:rsidRPr="00C3310F" w:rsidRDefault="002D66A8" w:rsidP="007D56CF">
      <w:pPr>
        <w:pStyle w:val="2"/>
        <w:ind w:leftChars="101" w:left="1025"/>
      </w:pPr>
      <w:bookmarkStart w:id="254" w:name="_Toc172023914"/>
      <w:bookmarkStart w:id="255" w:name="_Toc172033233"/>
      <w:r w:rsidRPr="00C3310F">
        <w:rPr>
          <w:rFonts w:hint="eastAsia"/>
        </w:rPr>
        <w:t>小結：就本調查研究所蒐整之文獻及公開資料，電信網路詐欺犯罪因應近數十年之數位化、網路化及全球化之浪潮，已發展出一套高效運作並充滿查緝斷點之組織架構，而所衍生之詐騙管道、手法及模式，包括投資、網路購物等等，亦針對民眾數位化、網路化及全球化所改變日常生活而設計；並且</w:t>
      </w:r>
      <w:r w:rsidR="00A1409C" w:rsidRPr="00C3310F">
        <w:rPr>
          <w:rFonts w:hint="eastAsia"/>
        </w:rPr>
        <w:t>詐騙集團</w:t>
      </w:r>
      <w:r w:rsidRPr="00C3310F">
        <w:rPr>
          <w:rFonts w:hint="eastAsia"/>
        </w:rPr>
        <w:t>、政府及民眾三者彼此之關聯及所呈現之犯罪面貌，亦非臺灣所獨有；而回歸本院監督政府之職權所在，文獻雖已有部分論者零星指出電信網路詐欺犯罪涉及政府規管及治理有所疏漏或不完備。然而，目前尚無針對政府反制電信網路詐欺之政策、法規或治理有階段性之通盤檢討，</w:t>
      </w:r>
      <w:r w:rsidR="00A0290D" w:rsidRPr="00C3310F">
        <w:rPr>
          <w:rFonts w:hint="eastAsia"/>
        </w:rPr>
        <w:t>縱</w:t>
      </w:r>
      <w:r w:rsidRPr="00C3310F">
        <w:rPr>
          <w:rFonts w:hint="eastAsia"/>
        </w:rPr>
        <w:t>以本院過去曾</w:t>
      </w:r>
      <w:r w:rsidR="00A0290D" w:rsidRPr="00C3310F">
        <w:rPr>
          <w:rFonts w:hint="eastAsia"/>
        </w:rPr>
        <w:t>具體</w:t>
      </w:r>
      <w:r w:rsidRPr="00C3310F">
        <w:rPr>
          <w:rFonts w:hint="eastAsia"/>
        </w:rPr>
        <w:t>指出部分政府違失，仍屬於個案研究或年代過於久遠；為此，</w:t>
      </w:r>
      <w:r w:rsidR="00A1409C" w:rsidRPr="00C3310F">
        <w:rPr>
          <w:rFonts w:hint="eastAsia"/>
        </w:rPr>
        <w:t>本調查研究</w:t>
      </w:r>
      <w:r w:rsidRPr="00C3310F">
        <w:rPr>
          <w:rFonts w:hint="eastAsia"/>
        </w:rPr>
        <w:t>擬以前述背景為基礎進行調查，以瞭解現行法令與政策對於電信、網路詐欺案件之犯罪型態與技術演化之防制是否足夠，並檢討相關政策執行成效，促使相關機關積極面對問題。</w:t>
      </w:r>
      <w:bookmarkEnd w:id="254"/>
      <w:bookmarkEnd w:id="255"/>
    </w:p>
    <w:p w14:paraId="64B549C8" w14:textId="77777777" w:rsidR="00951AB3" w:rsidRPr="00C3310F" w:rsidRDefault="00951AB3" w:rsidP="007D56CF">
      <w:pPr>
        <w:pStyle w:val="2"/>
        <w:ind w:leftChars="101" w:left="1025"/>
        <w:rPr>
          <w:bCs w:val="0"/>
        </w:rPr>
      </w:pPr>
      <w:r w:rsidRPr="00C3310F">
        <w:br w:type="page"/>
      </w:r>
    </w:p>
    <w:p w14:paraId="19DC6463" w14:textId="77777777" w:rsidR="003141FE" w:rsidRPr="00C3310F" w:rsidRDefault="00EC5439" w:rsidP="001750E7">
      <w:pPr>
        <w:pStyle w:val="1"/>
        <w:ind w:left="2380" w:hanging="2380"/>
        <w:jc w:val="center"/>
        <w:rPr>
          <w:b/>
          <w:sz w:val="36"/>
        </w:rPr>
      </w:pPr>
      <w:bookmarkStart w:id="256" w:name="_Toc524892369"/>
      <w:bookmarkStart w:id="257" w:name="_Toc524895639"/>
      <w:bookmarkStart w:id="258" w:name="_Toc524896185"/>
      <w:bookmarkStart w:id="259" w:name="_Toc524896215"/>
      <w:bookmarkStart w:id="260" w:name="_Toc524902721"/>
      <w:bookmarkStart w:id="261" w:name="_Toc525066140"/>
      <w:bookmarkStart w:id="262" w:name="_Toc525070830"/>
      <w:bookmarkStart w:id="263" w:name="_Toc525938370"/>
      <w:bookmarkStart w:id="264" w:name="_Toc525939218"/>
      <w:bookmarkStart w:id="265" w:name="_Toc525939723"/>
      <w:bookmarkStart w:id="266" w:name="_Toc529218257"/>
      <w:bookmarkStart w:id="267" w:name="_Toc529222680"/>
      <w:bookmarkStart w:id="268" w:name="_Toc529223102"/>
      <w:bookmarkStart w:id="269" w:name="_Toc529223853"/>
      <w:bookmarkStart w:id="270" w:name="_Toc529228249"/>
      <w:bookmarkStart w:id="271" w:name="_Toc2400385"/>
      <w:bookmarkStart w:id="272" w:name="_Toc4316180"/>
      <w:bookmarkStart w:id="273" w:name="_Toc4473321"/>
      <w:bookmarkStart w:id="274" w:name="_Toc69556888"/>
      <w:bookmarkStart w:id="275" w:name="_Toc69556937"/>
      <w:bookmarkStart w:id="276" w:name="_Toc69609811"/>
      <w:bookmarkStart w:id="277" w:name="_Toc70241807"/>
      <w:bookmarkStart w:id="278" w:name="_Toc70242196"/>
      <w:bookmarkStart w:id="279" w:name="_Toc421794866"/>
      <w:bookmarkStart w:id="280" w:name="_Toc75337861"/>
      <w:bookmarkStart w:id="281" w:name="_Toc75338598"/>
      <w:bookmarkStart w:id="282" w:name="_Toc172033234"/>
      <w:r w:rsidRPr="00C3310F">
        <w:rPr>
          <w:rFonts w:hint="eastAsia"/>
          <w:b/>
          <w:sz w:val="36"/>
        </w:rPr>
        <w:lastRenderedPageBreak/>
        <w:t>研究方法與過程</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14:paraId="3703DE91" w14:textId="77777777" w:rsidR="003141FE" w:rsidRPr="00C3310F" w:rsidRDefault="003141FE" w:rsidP="00342B6E">
      <w:pPr>
        <w:pStyle w:val="2"/>
        <w:numPr>
          <w:ilvl w:val="1"/>
          <w:numId w:val="23"/>
        </w:numPr>
        <w:rPr>
          <w:szCs w:val="32"/>
        </w:rPr>
      </w:pPr>
      <w:bookmarkStart w:id="283" w:name="_Toc108789027"/>
      <w:bookmarkStart w:id="284" w:name="_Toc108790725"/>
      <w:bookmarkStart w:id="285" w:name="_Toc108791023"/>
      <w:bookmarkStart w:id="286" w:name="_Toc172033235"/>
      <w:r w:rsidRPr="00C3310F">
        <w:rPr>
          <w:rFonts w:hint="eastAsia"/>
        </w:rPr>
        <w:t>文獻蒐集</w:t>
      </w:r>
      <w:r w:rsidR="003337F6" w:rsidRPr="00C3310F">
        <w:rPr>
          <w:rFonts w:hint="eastAsia"/>
        </w:rPr>
        <w:t>及盤點</w:t>
      </w:r>
      <w:r w:rsidRPr="00C3310F">
        <w:rPr>
          <w:rFonts w:hint="eastAsia"/>
        </w:rPr>
        <w:t>：</w:t>
      </w:r>
      <w:bookmarkEnd w:id="283"/>
      <w:bookmarkEnd w:id="284"/>
      <w:bookmarkEnd w:id="285"/>
      <w:bookmarkEnd w:id="286"/>
    </w:p>
    <w:p w14:paraId="2A7E27C9" w14:textId="77777777" w:rsidR="003141FE" w:rsidRPr="00C3310F" w:rsidRDefault="003141FE" w:rsidP="00CD384F">
      <w:pPr>
        <w:pStyle w:val="5"/>
        <w:numPr>
          <w:ilvl w:val="0"/>
          <w:numId w:val="0"/>
        </w:numPr>
        <w:ind w:left="993" w:firstLineChars="208" w:firstLine="708"/>
        <w:rPr>
          <w:rFonts w:hAnsi="標楷體"/>
          <w:szCs w:val="32"/>
        </w:rPr>
      </w:pPr>
      <w:r w:rsidRPr="00C3310F">
        <w:rPr>
          <w:rFonts w:hint="eastAsia"/>
        </w:rPr>
        <w:t>本案主要係採文獻蒐集、調卷、函詢、邀集有關機關簡報與座談、諮詢專家學者，以及就前述所得資料加以歸納、比較、分析等調查及研究方法</w:t>
      </w:r>
      <w:r w:rsidRPr="00C3310F">
        <w:rPr>
          <w:rFonts w:hAnsi="標楷體" w:hint="eastAsia"/>
          <w:szCs w:val="32"/>
        </w:rPr>
        <w:t>，俾歸納整體研究背景。</w:t>
      </w:r>
    </w:p>
    <w:p w14:paraId="44C90BF5" w14:textId="77777777" w:rsidR="00DE70E1" w:rsidRPr="00C3310F" w:rsidRDefault="00DE70E1" w:rsidP="00DE70E1">
      <w:pPr>
        <w:pStyle w:val="3"/>
      </w:pPr>
      <w:bookmarkStart w:id="287" w:name="_Toc171525435"/>
      <w:bookmarkStart w:id="288" w:name="_Toc172023917"/>
      <w:bookmarkStart w:id="289" w:name="_Toc172033236"/>
      <w:r w:rsidRPr="00C3310F">
        <w:rPr>
          <w:rFonts w:hint="eastAsia"/>
        </w:rPr>
        <w:t>文獻蒐集部分，</w:t>
      </w:r>
      <w:bookmarkStart w:id="290" w:name="_Toc216853643"/>
      <w:bookmarkStart w:id="291" w:name="_Toc216867580"/>
      <w:bookmarkStart w:id="292" w:name="_Toc216867693"/>
      <w:bookmarkStart w:id="293" w:name="_Toc217129450"/>
      <w:bookmarkStart w:id="294" w:name="_Toc217206676"/>
      <w:bookmarkStart w:id="295" w:name="_Toc217720462"/>
      <w:bookmarkStart w:id="296" w:name="_Toc217723181"/>
      <w:bookmarkStart w:id="297" w:name="_Toc217986534"/>
      <w:bookmarkStart w:id="298" w:name="_Toc218492736"/>
      <w:bookmarkStart w:id="299" w:name="_Toc218946975"/>
      <w:bookmarkStart w:id="300" w:name="_Toc220320274"/>
      <w:bookmarkStart w:id="301" w:name="_Toc220379712"/>
      <w:r w:rsidR="005278AE" w:rsidRPr="00C3310F">
        <w:t>蒐集相關法令</w:t>
      </w:r>
      <w:bookmarkEnd w:id="290"/>
      <w:bookmarkEnd w:id="291"/>
      <w:bookmarkEnd w:id="292"/>
      <w:bookmarkEnd w:id="293"/>
      <w:bookmarkEnd w:id="294"/>
      <w:bookmarkEnd w:id="295"/>
      <w:bookmarkEnd w:id="296"/>
      <w:bookmarkEnd w:id="297"/>
      <w:bookmarkEnd w:id="298"/>
      <w:bookmarkEnd w:id="299"/>
      <w:bookmarkEnd w:id="300"/>
      <w:bookmarkEnd w:id="301"/>
      <w:r w:rsidR="005278AE" w:rsidRPr="00C3310F">
        <w:rPr>
          <w:rFonts w:hint="eastAsia"/>
        </w:rPr>
        <w:t>、</w:t>
      </w:r>
      <w:bookmarkStart w:id="302" w:name="_Toc216853644"/>
      <w:bookmarkStart w:id="303" w:name="_Toc216867581"/>
      <w:bookmarkStart w:id="304" w:name="_Toc216867694"/>
      <w:bookmarkStart w:id="305" w:name="_Toc217129451"/>
      <w:bookmarkStart w:id="306" w:name="_Toc217206677"/>
      <w:bookmarkStart w:id="307" w:name="_Toc217720463"/>
      <w:bookmarkStart w:id="308" w:name="_Toc217723182"/>
      <w:bookmarkStart w:id="309" w:name="_Toc217986535"/>
      <w:bookmarkStart w:id="310" w:name="_Toc218492737"/>
      <w:bookmarkStart w:id="311" w:name="_Toc218946976"/>
      <w:bookmarkStart w:id="312" w:name="_Toc220320275"/>
      <w:bookmarkStart w:id="313" w:name="_Toc220379713"/>
      <w:r w:rsidR="005278AE" w:rsidRPr="00C3310F">
        <w:t>專書著作、學術論文等</w:t>
      </w:r>
      <w:bookmarkEnd w:id="302"/>
      <w:bookmarkEnd w:id="303"/>
      <w:bookmarkEnd w:id="304"/>
      <w:bookmarkEnd w:id="305"/>
      <w:bookmarkEnd w:id="306"/>
      <w:bookmarkEnd w:id="307"/>
      <w:bookmarkEnd w:id="308"/>
      <w:bookmarkEnd w:id="309"/>
      <w:bookmarkEnd w:id="310"/>
      <w:bookmarkEnd w:id="311"/>
      <w:bookmarkEnd w:id="312"/>
      <w:bookmarkEnd w:id="313"/>
      <w:r w:rsidR="005278AE" w:rsidRPr="00C3310F">
        <w:rPr>
          <w:rFonts w:hint="eastAsia"/>
        </w:rPr>
        <w:t>並</w:t>
      </w:r>
      <w:r w:rsidR="005278AE" w:rsidRPr="00C3310F">
        <w:t>研閱國內外政府</w:t>
      </w:r>
      <w:r w:rsidR="005278AE" w:rsidRPr="00C3310F">
        <w:rPr>
          <w:rFonts w:hint="eastAsia"/>
        </w:rPr>
        <w:t>有關電信網路詐欺之</w:t>
      </w:r>
      <w:r w:rsidR="005278AE" w:rsidRPr="00C3310F">
        <w:t>資料</w:t>
      </w:r>
      <w:r w:rsidR="005278AE" w:rsidRPr="00C3310F">
        <w:rPr>
          <w:rFonts w:hint="eastAsia"/>
        </w:rPr>
        <w:t>，以歸納整體研究背景。</w:t>
      </w:r>
      <w:bookmarkEnd w:id="287"/>
      <w:bookmarkEnd w:id="288"/>
      <w:bookmarkEnd w:id="289"/>
    </w:p>
    <w:p w14:paraId="6FDC89D9" w14:textId="6668F453" w:rsidR="00DE5000" w:rsidRPr="00C3310F" w:rsidRDefault="005278AE" w:rsidP="00BE602E">
      <w:pPr>
        <w:pStyle w:val="4"/>
      </w:pPr>
      <w:r w:rsidRPr="00C3310F">
        <w:rPr>
          <w:rFonts w:hint="eastAsia"/>
        </w:rPr>
        <w:t>相關法令：</w:t>
      </w:r>
      <w:r w:rsidR="00103A30" w:rsidRPr="00C3310F">
        <w:rPr>
          <w:rFonts w:hint="eastAsia"/>
        </w:rPr>
        <w:t>國內法部分，</w:t>
      </w:r>
      <w:r w:rsidRPr="00C3310F">
        <w:rPr>
          <w:rFonts w:hint="eastAsia"/>
        </w:rPr>
        <w:t>根據法源法律網</w:t>
      </w:r>
      <w:r w:rsidR="00103A30" w:rsidRPr="00C3310F">
        <w:rPr>
          <w:rFonts w:hint="eastAsia"/>
        </w:rPr>
        <w:t>，行政院、立法院及</w:t>
      </w:r>
      <w:r w:rsidRPr="00C3310F">
        <w:rPr>
          <w:rFonts w:hint="eastAsia"/>
        </w:rPr>
        <w:t>主責部會</w:t>
      </w:r>
      <w:r w:rsidR="00103A30" w:rsidRPr="00C3310F">
        <w:rPr>
          <w:rFonts w:hint="eastAsia"/>
        </w:rPr>
        <w:t>之公開資料；國外法部分，包括歐盟數位服務法(</w:t>
      </w:r>
      <w:r w:rsidR="00103A30" w:rsidRPr="00C3310F">
        <w:t>DSA</w:t>
      </w:r>
      <w:r w:rsidR="00103A30" w:rsidRPr="00C3310F">
        <w:rPr>
          <w:rFonts w:hint="eastAsia"/>
        </w:rPr>
        <w:t>,</w:t>
      </w:r>
      <w:r w:rsidR="00103A30" w:rsidRPr="00C3310F">
        <w:t>Digital Services Act</w:t>
      </w:r>
      <w:r w:rsidR="00103A30" w:rsidRPr="00C3310F">
        <w:rPr>
          <w:rFonts w:hint="eastAsia"/>
        </w:rPr>
        <w:t>)、英國線上安全法(</w:t>
      </w:r>
      <w:r w:rsidR="00103A30" w:rsidRPr="00C3310F">
        <w:t>O</w:t>
      </w:r>
      <w:r w:rsidR="00A076A7" w:rsidRPr="00C3310F">
        <w:rPr>
          <w:rFonts w:hint="eastAsia"/>
        </w:rPr>
        <w:t>nline</w:t>
      </w:r>
      <w:r w:rsidR="00103A30" w:rsidRPr="00C3310F">
        <w:t xml:space="preserve"> Safety Act</w:t>
      </w:r>
      <w:r w:rsidR="00103A30" w:rsidRPr="00C3310F">
        <w:rPr>
          <w:rFonts w:hint="eastAsia"/>
        </w:rPr>
        <w:t>)、</w:t>
      </w:r>
      <w:r w:rsidR="00DE5000" w:rsidRPr="00C3310F">
        <w:rPr>
          <w:rFonts w:hint="eastAsia"/>
        </w:rPr>
        <w:t>學術論文</w:t>
      </w:r>
      <w:r w:rsidR="00D26DB0" w:rsidRPr="00C3310F">
        <w:rPr>
          <w:rFonts w:hint="eastAsia"/>
        </w:rPr>
        <w:t>。</w:t>
      </w:r>
    </w:p>
    <w:p w14:paraId="7AA12D7C" w14:textId="50C7C00A" w:rsidR="00DE5000" w:rsidRPr="00C3310F" w:rsidRDefault="00DE5000" w:rsidP="00BE602E">
      <w:pPr>
        <w:pStyle w:val="4"/>
      </w:pPr>
      <w:r w:rsidRPr="00C3310F">
        <w:rPr>
          <w:rFonts w:hint="eastAsia"/>
        </w:rPr>
        <w:t>政府公開資料：國內部分包括</w:t>
      </w:r>
      <w:r w:rsidR="008604AB" w:rsidRPr="00C3310F">
        <w:rPr>
          <w:rFonts w:hint="eastAsia"/>
        </w:rPr>
        <w:t>打詐綱領1.0版、打詐綱領</w:t>
      </w:r>
      <w:r w:rsidRPr="00C3310F">
        <w:rPr>
          <w:rFonts w:hint="eastAsia"/>
        </w:rPr>
        <w:t>1.5版</w:t>
      </w:r>
      <w:r w:rsidR="00174A00" w:rsidRPr="00C3310F">
        <w:rPr>
          <w:rFonts w:hint="eastAsia"/>
        </w:rPr>
        <w:t>、立法院「詐欺犯罪防制立法及各部會打詐機制盤點」公聽會報告</w:t>
      </w:r>
      <w:r w:rsidR="00A0290D" w:rsidRPr="00C3310F">
        <w:rPr>
          <w:rFonts w:hint="eastAsia"/>
        </w:rPr>
        <w:t>、國發會「當前經濟情勢簡報」</w:t>
      </w:r>
      <w:r w:rsidR="0085179A" w:rsidRPr="00C3310F">
        <w:rPr>
          <w:rFonts w:hint="eastAsia"/>
        </w:rPr>
        <w:t>；</w:t>
      </w:r>
      <w:r w:rsidRPr="00C3310F">
        <w:rPr>
          <w:rFonts w:hint="eastAsia"/>
        </w:rPr>
        <w:t>國外部份包括英國反詐綱領(Fraud Strategy: stopping scams and protecting the public)，</w:t>
      </w:r>
      <w:r w:rsidR="00A076A7" w:rsidRPr="00C3310F">
        <w:rPr>
          <w:rFonts w:hint="eastAsia"/>
        </w:rPr>
        <w:t>全球反詐聯盟(</w:t>
      </w:r>
      <w:r w:rsidR="00656174" w:rsidRPr="00C3310F">
        <w:rPr>
          <w:rFonts w:hint="eastAsia"/>
        </w:rPr>
        <w:t xml:space="preserve">The </w:t>
      </w:r>
      <w:r w:rsidR="00A076A7" w:rsidRPr="00C3310F">
        <w:rPr>
          <w:rFonts w:hint="eastAsia"/>
        </w:rPr>
        <w:t>Global Anti-Scam Alliance</w:t>
      </w:r>
      <w:r w:rsidR="00656174" w:rsidRPr="00C3310F">
        <w:rPr>
          <w:rFonts w:hint="eastAsia"/>
        </w:rPr>
        <w:t xml:space="preserve">, </w:t>
      </w:r>
      <w:r w:rsidR="00A076A7" w:rsidRPr="00C3310F">
        <w:t>GASA</w:t>
      </w:r>
      <w:r w:rsidR="00A076A7" w:rsidRPr="00C3310F">
        <w:rPr>
          <w:rFonts w:hint="eastAsia"/>
        </w:rPr>
        <w:t>)</w:t>
      </w:r>
      <w:r w:rsidRPr="00C3310F">
        <w:rPr>
          <w:rFonts w:hint="eastAsia"/>
        </w:rPr>
        <w:t>「</w:t>
      </w:r>
      <w:r w:rsidRPr="00C3310F">
        <w:t>The Global State of</w:t>
      </w:r>
      <w:r w:rsidRPr="00C3310F">
        <w:rPr>
          <w:rFonts w:hint="eastAsia"/>
        </w:rPr>
        <w:t xml:space="preserve"> </w:t>
      </w:r>
      <w:r w:rsidRPr="00C3310F">
        <w:t xml:space="preserve">Scams Report </w:t>
      </w:r>
      <w:r w:rsidR="00ED17D7" w:rsidRPr="00C3310F">
        <w:rPr>
          <w:rFonts w:hint="eastAsia"/>
        </w:rPr>
        <w:t>–</w:t>
      </w:r>
      <w:r w:rsidRPr="00C3310F">
        <w:t xml:space="preserve"> 2022</w:t>
      </w:r>
      <w:r w:rsidRPr="00C3310F">
        <w:rPr>
          <w:rFonts w:hint="eastAsia"/>
        </w:rPr>
        <w:t>」、「The Global State of Scams Report – 2023」</w:t>
      </w:r>
      <w:r w:rsidR="00656174" w:rsidRPr="00C3310F">
        <w:rPr>
          <w:rFonts w:hint="eastAsia"/>
        </w:rPr>
        <w:t>。</w:t>
      </w:r>
    </w:p>
    <w:p w14:paraId="145ADE5E" w14:textId="73BA7581" w:rsidR="00DE5000" w:rsidRPr="00C3310F" w:rsidRDefault="00AF65AC" w:rsidP="00836E71">
      <w:pPr>
        <w:pStyle w:val="4"/>
      </w:pPr>
      <w:r w:rsidRPr="00C3310F">
        <w:t>專書著作及學術論文</w:t>
      </w:r>
      <w:r w:rsidR="004D46CC" w:rsidRPr="00C3310F">
        <w:rPr>
          <w:rFonts w:hint="eastAsia"/>
        </w:rPr>
        <w:t>包括:政治大學國發所博士論文「行騙天下：臺灣跨境電信詐欺犯罪網絡之分析。」、</w:t>
      </w:r>
      <w:bookmarkStart w:id="314" w:name="_Hlk169014120"/>
      <w:bookmarkStart w:id="315" w:name="_Hlk170375134"/>
      <w:r w:rsidR="004D46CC" w:rsidRPr="00C3310F">
        <w:rPr>
          <w:rFonts w:hint="eastAsia"/>
        </w:rPr>
        <w:t>中正大學犯罪防治學系碩士論文</w:t>
      </w:r>
      <w:bookmarkEnd w:id="314"/>
      <w:r w:rsidR="004D46CC" w:rsidRPr="00C3310F">
        <w:rPr>
          <w:rFonts w:hint="eastAsia"/>
        </w:rPr>
        <w:t>「從金光黨到跨境電信詐欺詐騙犯罪的理性化決策與福特</w:t>
      </w:r>
      <w:r w:rsidR="004D46CC" w:rsidRPr="00C3310F">
        <w:rPr>
          <w:rFonts w:hint="eastAsia"/>
        </w:rPr>
        <w:lastRenderedPageBreak/>
        <w:t>主義分工」</w:t>
      </w:r>
      <w:r w:rsidR="004D46CC" w:rsidRPr="00C3310F">
        <w:rPr>
          <w:rStyle w:val="afe"/>
        </w:rPr>
        <w:footnoteReference w:id="23"/>
      </w:r>
      <w:r w:rsidR="004D46CC" w:rsidRPr="00C3310F">
        <w:rPr>
          <w:rFonts w:hint="eastAsia"/>
        </w:rPr>
        <w:t>、逢甲大學</w:t>
      </w:r>
      <w:r w:rsidR="00836E71" w:rsidRPr="00C3310F">
        <w:rPr>
          <w:rFonts w:hint="eastAsia"/>
        </w:rPr>
        <w:t>公共事務與社會創新研究所碩士論文「新興詐欺犯罪偵查實務與防治策略之研究-以假投資詐欺為例」</w:t>
      </w:r>
      <w:r w:rsidR="00836E71" w:rsidRPr="00C3310F">
        <w:rPr>
          <w:rStyle w:val="afe"/>
        </w:rPr>
        <w:footnoteReference w:id="24"/>
      </w:r>
      <w:r w:rsidR="00836E71" w:rsidRPr="00C3310F">
        <w:rPr>
          <w:rFonts w:hint="eastAsia"/>
        </w:rPr>
        <w:t>等</w:t>
      </w:r>
      <w:bookmarkEnd w:id="315"/>
      <w:r w:rsidR="00836E71" w:rsidRPr="00C3310F">
        <w:rPr>
          <w:rFonts w:hint="eastAsia"/>
        </w:rPr>
        <w:t>。</w:t>
      </w:r>
    </w:p>
    <w:p w14:paraId="7D117A69" w14:textId="533AC009" w:rsidR="00654260" w:rsidRPr="00C3310F" w:rsidRDefault="00654260" w:rsidP="00DE5000">
      <w:pPr>
        <w:pStyle w:val="3"/>
      </w:pPr>
      <w:bookmarkStart w:id="316" w:name="_Toc171525436"/>
      <w:bookmarkStart w:id="317" w:name="_Toc172023918"/>
      <w:bookmarkStart w:id="318" w:name="_Toc172033237"/>
      <w:r w:rsidRPr="00C3310F">
        <w:rPr>
          <w:rFonts w:hint="eastAsia"/>
        </w:rPr>
        <w:t>調卷部分：</w:t>
      </w:r>
      <w:r w:rsidR="00836E71" w:rsidRPr="00C3310F">
        <w:rPr>
          <w:rFonts w:hint="eastAsia"/>
        </w:rPr>
        <w:t>函請行政院、</w:t>
      </w:r>
      <w:r w:rsidR="00D26DB0" w:rsidRPr="00C3310F">
        <w:rPr>
          <w:rFonts w:hint="eastAsia"/>
        </w:rPr>
        <w:t>司法院、</w:t>
      </w:r>
      <w:r w:rsidR="00836E71" w:rsidRPr="00C3310F">
        <w:rPr>
          <w:rFonts w:hint="eastAsia"/>
        </w:rPr>
        <w:t>內政部、</w:t>
      </w:r>
      <w:r w:rsidR="00B03931" w:rsidRPr="00C3310F">
        <w:rPr>
          <w:rFonts w:hint="eastAsia"/>
        </w:rPr>
        <w:t>通傳會</w:t>
      </w:r>
      <w:r w:rsidR="00836E71" w:rsidRPr="00C3310F">
        <w:rPr>
          <w:rFonts w:hint="eastAsia"/>
        </w:rPr>
        <w:t>、</w:t>
      </w:r>
      <w:r w:rsidR="00B03931" w:rsidRPr="00C3310F">
        <w:rPr>
          <w:rFonts w:hint="eastAsia"/>
        </w:rPr>
        <w:t>金管會</w:t>
      </w:r>
      <w:r w:rsidR="00836E71" w:rsidRPr="00C3310F">
        <w:rPr>
          <w:rFonts w:hint="eastAsia"/>
        </w:rPr>
        <w:t>、</w:t>
      </w:r>
      <w:r w:rsidR="00D82B1C" w:rsidRPr="00C3310F">
        <w:rPr>
          <w:rFonts w:hint="eastAsia"/>
        </w:rPr>
        <w:t>數發部</w:t>
      </w:r>
      <w:r w:rsidR="00836E71" w:rsidRPr="00C3310F">
        <w:rPr>
          <w:rFonts w:hint="eastAsia"/>
        </w:rPr>
        <w:t>、法務部、經濟部、教育部等</w:t>
      </w:r>
      <w:r w:rsidR="00A0290D" w:rsidRPr="00C3310F">
        <w:rPr>
          <w:rFonts w:hint="eastAsia"/>
        </w:rPr>
        <w:t>，共9個院部機關</w:t>
      </w:r>
      <w:r w:rsidR="00836E71" w:rsidRPr="00C3310F">
        <w:rPr>
          <w:rFonts w:hint="eastAsia"/>
        </w:rPr>
        <w:t>提出相關說明資料。</w:t>
      </w:r>
      <w:bookmarkEnd w:id="316"/>
      <w:bookmarkEnd w:id="317"/>
      <w:bookmarkEnd w:id="318"/>
    </w:p>
    <w:p w14:paraId="22920C2D" w14:textId="77777777" w:rsidR="003141FE" w:rsidRPr="00C3310F" w:rsidRDefault="003141FE" w:rsidP="00CD384F">
      <w:pPr>
        <w:pStyle w:val="2"/>
      </w:pPr>
      <w:bookmarkStart w:id="319" w:name="_Toc108789028"/>
      <w:bookmarkStart w:id="320" w:name="_Toc108790726"/>
      <w:bookmarkStart w:id="321" w:name="_Toc108791024"/>
      <w:bookmarkStart w:id="322" w:name="_Toc172033238"/>
      <w:r w:rsidRPr="00C3310F">
        <w:rPr>
          <w:rFonts w:hint="eastAsia"/>
        </w:rPr>
        <w:t>調查研究過程：</w:t>
      </w:r>
      <w:bookmarkEnd w:id="319"/>
      <w:bookmarkEnd w:id="320"/>
      <w:bookmarkEnd w:id="321"/>
      <w:bookmarkEnd w:id="322"/>
    </w:p>
    <w:p w14:paraId="57E9E1E7" w14:textId="77777777" w:rsidR="003141FE" w:rsidRPr="00C3310F" w:rsidRDefault="003141FE" w:rsidP="00DF183F">
      <w:pPr>
        <w:pStyle w:val="3"/>
        <w:numPr>
          <w:ilvl w:val="0"/>
          <w:numId w:val="0"/>
        </w:numPr>
        <w:ind w:left="993" w:firstLineChars="208" w:firstLine="708"/>
        <w:rPr>
          <w:sz w:val="26"/>
        </w:rPr>
      </w:pPr>
      <w:bookmarkStart w:id="323" w:name="_Toc171525438"/>
      <w:bookmarkStart w:id="324" w:name="_Toc172023920"/>
      <w:bookmarkStart w:id="325" w:name="_Toc172033239"/>
      <w:r w:rsidRPr="00C3310F">
        <w:rPr>
          <w:rFonts w:hint="eastAsia"/>
        </w:rPr>
        <w:t>茲將本案採取之調查研究方法、步驟、時程及架構說明如表1</w:t>
      </w:r>
      <w:r w:rsidRPr="00C3310F">
        <w:rPr>
          <w:rFonts w:hint="eastAsia"/>
          <w:sz w:val="26"/>
        </w:rPr>
        <w:t>：</w:t>
      </w:r>
      <w:bookmarkEnd w:id="323"/>
      <w:bookmarkEnd w:id="324"/>
      <w:bookmarkEnd w:id="325"/>
    </w:p>
    <w:p w14:paraId="428C46AA" w14:textId="77777777" w:rsidR="003141FE" w:rsidRPr="00C3310F" w:rsidRDefault="003141FE" w:rsidP="00CD384F">
      <w:pPr>
        <w:pStyle w:val="a3"/>
        <w:jc w:val="center"/>
        <w:rPr>
          <w:rFonts w:hint="eastAsia"/>
          <w:b/>
        </w:rPr>
      </w:pPr>
      <w:bookmarkStart w:id="326" w:name="_Toc172025205"/>
      <w:r w:rsidRPr="00C3310F">
        <w:rPr>
          <w:rFonts w:hint="eastAsia"/>
          <w:b/>
        </w:rPr>
        <w:t>本案調查研究方法、步驟及實施期程</w:t>
      </w:r>
      <w:bookmarkEnd w:id="326"/>
    </w:p>
    <w:tbl>
      <w:tblPr>
        <w:tblStyle w:val="af7"/>
        <w:tblW w:w="5198" w:type="pct"/>
        <w:tblCellMar>
          <w:top w:w="28" w:type="dxa"/>
          <w:left w:w="57" w:type="dxa"/>
          <w:bottom w:w="113" w:type="dxa"/>
          <w:right w:w="57" w:type="dxa"/>
        </w:tblCellMar>
        <w:tblLook w:val="04A0" w:firstRow="1" w:lastRow="0" w:firstColumn="1" w:lastColumn="0" w:noHBand="0" w:noVBand="1"/>
      </w:tblPr>
      <w:tblGrid>
        <w:gridCol w:w="6425"/>
        <w:gridCol w:w="2847"/>
      </w:tblGrid>
      <w:tr w:rsidR="00C3310F" w:rsidRPr="00C3310F" w14:paraId="5446B3D9" w14:textId="77777777" w:rsidTr="00DB430F">
        <w:trPr>
          <w:trHeight w:val="108"/>
          <w:tblHeader/>
        </w:trPr>
        <w:tc>
          <w:tcPr>
            <w:tcW w:w="3465" w:type="pct"/>
            <w:vAlign w:val="center"/>
          </w:tcPr>
          <w:p w14:paraId="1A7FC93E" w14:textId="77777777" w:rsidR="003141FE" w:rsidRPr="00C3310F" w:rsidRDefault="003141FE" w:rsidP="00FD66A8">
            <w:pPr>
              <w:pStyle w:val="14"/>
              <w:spacing w:line="240" w:lineRule="auto"/>
              <w:jc w:val="center"/>
              <w:rPr>
                <w:rFonts w:hAnsi="標楷體"/>
                <w:b/>
                <w:spacing w:val="0"/>
                <w:sz w:val="26"/>
              </w:rPr>
            </w:pPr>
            <w:r w:rsidRPr="00C3310F">
              <w:rPr>
                <w:rFonts w:hAnsi="標楷體" w:hint="eastAsia"/>
                <w:b/>
                <w:spacing w:val="0"/>
                <w:sz w:val="26"/>
              </w:rPr>
              <w:t>調查研究方法、步驟</w:t>
            </w:r>
          </w:p>
        </w:tc>
        <w:tc>
          <w:tcPr>
            <w:tcW w:w="1535" w:type="pct"/>
            <w:vAlign w:val="center"/>
          </w:tcPr>
          <w:p w14:paraId="33580F10" w14:textId="77777777" w:rsidR="003141FE" w:rsidRPr="00C3310F" w:rsidRDefault="003141FE" w:rsidP="00FD66A8">
            <w:pPr>
              <w:pStyle w:val="14"/>
              <w:spacing w:line="240" w:lineRule="auto"/>
              <w:jc w:val="center"/>
              <w:rPr>
                <w:rFonts w:hAnsi="標楷體"/>
                <w:b/>
                <w:spacing w:val="0"/>
                <w:sz w:val="26"/>
              </w:rPr>
            </w:pPr>
            <w:r w:rsidRPr="00C3310F">
              <w:rPr>
                <w:rFonts w:hAnsi="標楷體" w:hint="eastAsia"/>
                <w:b/>
                <w:spacing w:val="0"/>
                <w:sz w:val="26"/>
              </w:rPr>
              <w:t>實施期程</w:t>
            </w:r>
          </w:p>
        </w:tc>
      </w:tr>
      <w:tr w:rsidR="00C3310F" w:rsidRPr="00C3310F" w14:paraId="7F8B341A" w14:textId="77777777" w:rsidTr="00DB430F">
        <w:trPr>
          <w:trHeight w:val="105"/>
        </w:trPr>
        <w:tc>
          <w:tcPr>
            <w:tcW w:w="3465" w:type="pct"/>
          </w:tcPr>
          <w:p w14:paraId="376E8045" w14:textId="77777777" w:rsidR="003141FE" w:rsidRPr="00C3310F" w:rsidRDefault="003141FE" w:rsidP="00FD66A8">
            <w:pPr>
              <w:pStyle w:val="14"/>
              <w:spacing w:line="240" w:lineRule="auto"/>
              <w:ind w:left="560" w:hangingChars="200" w:hanging="560"/>
              <w:rPr>
                <w:rFonts w:hAnsi="標楷體"/>
                <w:spacing w:val="0"/>
                <w:sz w:val="26"/>
              </w:rPr>
            </w:pPr>
            <w:r w:rsidRPr="00C3310F">
              <w:rPr>
                <w:rFonts w:hAnsi="標楷體" w:hint="eastAsia"/>
                <w:spacing w:val="0"/>
                <w:sz w:val="26"/>
              </w:rPr>
              <w:t>一、初步蒐集相關資料並撰擬本案調查研究計畫初稿</w:t>
            </w:r>
          </w:p>
        </w:tc>
        <w:tc>
          <w:tcPr>
            <w:tcW w:w="1535" w:type="pct"/>
            <w:vAlign w:val="center"/>
          </w:tcPr>
          <w:p w14:paraId="253BBB3F" w14:textId="77777777" w:rsidR="003141FE" w:rsidRPr="00C3310F" w:rsidRDefault="003141FE" w:rsidP="00FD66A8">
            <w:pPr>
              <w:pStyle w:val="14"/>
              <w:spacing w:line="240" w:lineRule="auto"/>
              <w:rPr>
                <w:rFonts w:hAnsi="標楷體"/>
                <w:spacing w:val="-12"/>
                <w:sz w:val="26"/>
              </w:rPr>
            </w:pPr>
            <w:r w:rsidRPr="00C3310F">
              <w:rPr>
                <w:rFonts w:hAnsi="標楷體" w:hint="eastAsia"/>
                <w:spacing w:val="-12"/>
                <w:sz w:val="26"/>
              </w:rPr>
              <w:t>11</w:t>
            </w:r>
            <w:r w:rsidR="009E35B4" w:rsidRPr="00C3310F">
              <w:rPr>
                <w:rFonts w:hAnsi="標楷體" w:hint="eastAsia"/>
                <w:spacing w:val="-12"/>
                <w:sz w:val="26"/>
              </w:rPr>
              <w:t>2</w:t>
            </w:r>
            <w:r w:rsidRPr="00C3310F">
              <w:rPr>
                <w:rFonts w:hAnsi="標楷體" w:hint="eastAsia"/>
                <w:spacing w:val="-12"/>
                <w:sz w:val="26"/>
              </w:rPr>
              <w:t>年</w:t>
            </w:r>
            <w:r w:rsidR="009E35B4" w:rsidRPr="00C3310F">
              <w:rPr>
                <w:rFonts w:hAnsi="標楷體" w:hint="eastAsia"/>
                <w:spacing w:val="-12"/>
                <w:sz w:val="26"/>
              </w:rPr>
              <w:t>9</w:t>
            </w:r>
            <w:r w:rsidRPr="00C3310F">
              <w:rPr>
                <w:rFonts w:hAnsi="標楷體" w:hint="eastAsia"/>
                <w:spacing w:val="-12"/>
                <w:sz w:val="26"/>
              </w:rPr>
              <w:t>月1</w:t>
            </w:r>
            <w:r w:rsidR="009E35B4" w:rsidRPr="00C3310F">
              <w:rPr>
                <w:rFonts w:hAnsi="標楷體" w:hint="eastAsia"/>
                <w:spacing w:val="-12"/>
                <w:sz w:val="26"/>
              </w:rPr>
              <w:t>8</w:t>
            </w:r>
            <w:r w:rsidRPr="00C3310F">
              <w:rPr>
                <w:rFonts w:hAnsi="標楷體" w:hint="eastAsia"/>
                <w:spacing w:val="-12"/>
                <w:sz w:val="26"/>
              </w:rPr>
              <w:t>日至</w:t>
            </w:r>
            <w:r w:rsidR="009E35B4" w:rsidRPr="00C3310F">
              <w:rPr>
                <w:rFonts w:hAnsi="標楷體" w:hint="eastAsia"/>
                <w:spacing w:val="-12"/>
                <w:sz w:val="26"/>
              </w:rPr>
              <w:t>9</w:t>
            </w:r>
            <w:r w:rsidRPr="00C3310F">
              <w:rPr>
                <w:rFonts w:hAnsi="標楷體" w:hint="eastAsia"/>
                <w:spacing w:val="-12"/>
                <w:sz w:val="26"/>
              </w:rPr>
              <w:t>月3</w:t>
            </w:r>
            <w:r w:rsidR="009E35B4" w:rsidRPr="00C3310F">
              <w:rPr>
                <w:rFonts w:hAnsi="標楷體" w:hint="eastAsia"/>
                <w:spacing w:val="-12"/>
                <w:sz w:val="26"/>
              </w:rPr>
              <w:t>0</w:t>
            </w:r>
            <w:r w:rsidRPr="00C3310F">
              <w:rPr>
                <w:rFonts w:hAnsi="標楷體" w:hint="eastAsia"/>
                <w:spacing w:val="-12"/>
                <w:sz w:val="26"/>
              </w:rPr>
              <w:t>日</w:t>
            </w:r>
          </w:p>
        </w:tc>
      </w:tr>
      <w:tr w:rsidR="00C3310F" w:rsidRPr="00C3310F" w14:paraId="6DF40CE5" w14:textId="77777777" w:rsidTr="00DB430F">
        <w:trPr>
          <w:trHeight w:val="108"/>
        </w:trPr>
        <w:tc>
          <w:tcPr>
            <w:tcW w:w="3465" w:type="pct"/>
          </w:tcPr>
          <w:p w14:paraId="1A5ACFF2" w14:textId="77777777" w:rsidR="003141FE" w:rsidRPr="00C3310F" w:rsidRDefault="003141FE" w:rsidP="00FD66A8">
            <w:pPr>
              <w:pStyle w:val="14"/>
              <w:spacing w:line="240" w:lineRule="auto"/>
              <w:rPr>
                <w:rFonts w:hAnsi="標楷體"/>
                <w:spacing w:val="0"/>
                <w:sz w:val="26"/>
              </w:rPr>
            </w:pPr>
            <w:r w:rsidRPr="00C3310F">
              <w:rPr>
                <w:rFonts w:hAnsi="標楷體" w:hint="eastAsia"/>
                <w:spacing w:val="0"/>
                <w:sz w:val="26"/>
              </w:rPr>
              <w:t>二、召開本案調查研究計畫討論會議</w:t>
            </w:r>
          </w:p>
        </w:tc>
        <w:tc>
          <w:tcPr>
            <w:tcW w:w="1535" w:type="pct"/>
            <w:vAlign w:val="center"/>
          </w:tcPr>
          <w:p w14:paraId="28E82C31" w14:textId="77777777" w:rsidR="003141FE" w:rsidRPr="00C3310F" w:rsidRDefault="003141FE" w:rsidP="00FD66A8">
            <w:pPr>
              <w:pStyle w:val="14"/>
              <w:spacing w:line="240" w:lineRule="auto"/>
              <w:rPr>
                <w:rFonts w:hAnsi="標楷體"/>
                <w:spacing w:val="-12"/>
                <w:sz w:val="26"/>
              </w:rPr>
            </w:pPr>
            <w:r w:rsidRPr="00C3310F">
              <w:rPr>
                <w:rFonts w:hAnsi="標楷體" w:hint="eastAsia"/>
                <w:spacing w:val="-12"/>
                <w:sz w:val="26"/>
              </w:rPr>
              <w:t>11</w:t>
            </w:r>
            <w:r w:rsidR="009E35B4" w:rsidRPr="00C3310F">
              <w:rPr>
                <w:rFonts w:hAnsi="標楷體" w:hint="eastAsia"/>
                <w:spacing w:val="-12"/>
                <w:sz w:val="26"/>
              </w:rPr>
              <w:t>2</w:t>
            </w:r>
            <w:r w:rsidRPr="00C3310F">
              <w:rPr>
                <w:rFonts w:hAnsi="標楷體" w:hint="eastAsia"/>
                <w:spacing w:val="-12"/>
                <w:sz w:val="26"/>
              </w:rPr>
              <w:t>年1</w:t>
            </w:r>
            <w:r w:rsidR="009E35B4" w:rsidRPr="00C3310F">
              <w:rPr>
                <w:rFonts w:hAnsi="標楷體" w:hint="eastAsia"/>
                <w:spacing w:val="-12"/>
                <w:sz w:val="26"/>
              </w:rPr>
              <w:t>0</w:t>
            </w:r>
            <w:r w:rsidRPr="00C3310F">
              <w:rPr>
                <w:rFonts w:hAnsi="標楷體" w:hint="eastAsia"/>
                <w:spacing w:val="-12"/>
                <w:sz w:val="26"/>
              </w:rPr>
              <w:t>月1日至12月31日</w:t>
            </w:r>
          </w:p>
        </w:tc>
      </w:tr>
      <w:tr w:rsidR="00C3310F" w:rsidRPr="00C3310F" w14:paraId="63F80542" w14:textId="77777777" w:rsidTr="00DB430F">
        <w:trPr>
          <w:trHeight w:val="315"/>
        </w:trPr>
        <w:tc>
          <w:tcPr>
            <w:tcW w:w="3465" w:type="pct"/>
          </w:tcPr>
          <w:p w14:paraId="469F96C4" w14:textId="77777777" w:rsidR="003141FE" w:rsidRPr="00C3310F" w:rsidRDefault="003141FE" w:rsidP="00FD66A8">
            <w:pPr>
              <w:pStyle w:val="14"/>
              <w:spacing w:line="240" w:lineRule="auto"/>
              <w:rPr>
                <w:rFonts w:hAnsi="標楷體"/>
                <w:spacing w:val="0"/>
                <w:sz w:val="26"/>
              </w:rPr>
            </w:pPr>
            <w:r w:rsidRPr="00C3310F">
              <w:rPr>
                <w:rFonts w:hAnsi="標楷體" w:hint="eastAsia"/>
                <w:spacing w:val="0"/>
                <w:sz w:val="26"/>
              </w:rPr>
              <w:t>三、蒐集、研析參考資料及查詢相關法令規定</w:t>
            </w:r>
          </w:p>
          <w:p w14:paraId="7367B47E" w14:textId="77777777" w:rsidR="003141FE" w:rsidRPr="00C3310F" w:rsidRDefault="003141FE" w:rsidP="00FD66A8">
            <w:pPr>
              <w:pStyle w:val="14"/>
              <w:spacing w:line="240" w:lineRule="auto"/>
              <w:ind w:leftChars="80" w:left="832" w:hangingChars="200" w:hanging="560"/>
              <w:rPr>
                <w:rFonts w:hAnsi="標楷體"/>
                <w:spacing w:val="0"/>
                <w:sz w:val="26"/>
              </w:rPr>
            </w:pPr>
            <w:r w:rsidRPr="00C3310F">
              <w:rPr>
                <w:rFonts w:hAnsi="標楷體" w:hint="eastAsia"/>
                <w:spacing w:val="0"/>
                <w:sz w:val="26"/>
              </w:rPr>
              <w:t>(一)蒐集並研閱本院相關調查案件</w:t>
            </w:r>
          </w:p>
          <w:p w14:paraId="6C843710" w14:textId="77777777" w:rsidR="003141FE" w:rsidRPr="00C3310F" w:rsidRDefault="003141FE" w:rsidP="00FD66A8">
            <w:pPr>
              <w:pStyle w:val="14"/>
              <w:spacing w:line="240" w:lineRule="auto"/>
              <w:ind w:leftChars="80" w:left="832" w:hangingChars="200" w:hanging="560"/>
              <w:rPr>
                <w:rFonts w:hAnsi="標楷體"/>
                <w:spacing w:val="0"/>
                <w:sz w:val="26"/>
              </w:rPr>
            </w:pPr>
            <w:r w:rsidRPr="00C3310F">
              <w:rPr>
                <w:rFonts w:hAnsi="標楷體" w:hint="eastAsia"/>
                <w:spacing w:val="0"/>
                <w:sz w:val="26"/>
              </w:rPr>
              <w:t>(二)蒐集並研閱平面媒體、電子媒體相關報導及相關主管機關、單位發布之新聞資料及網站刊載內容</w:t>
            </w:r>
          </w:p>
          <w:p w14:paraId="2741533B" w14:textId="77777777" w:rsidR="003141FE" w:rsidRPr="00C3310F" w:rsidRDefault="003141FE" w:rsidP="00FD66A8">
            <w:pPr>
              <w:pStyle w:val="14"/>
              <w:spacing w:line="240" w:lineRule="auto"/>
              <w:ind w:leftChars="80" w:left="832" w:hangingChars="200" w:hanging="560"/>
              <w:rPr>
                <w:rFonts w:hAnsi="標楷體"/>
                <w:spacing w:val="0"/>
                <w:sz w:val="26"/>
              </w:rPr>
            </w:pPr>
            <w:r w:rsidRPr="00C3310F">
              <w:rPr>
                <w:rFonts w:hAnsi="標楷體" w:hint="eastAsia"/>
                <w:spacing w:val="0"/>
                <w:sz w:val="26"/>
              </w:rPr>
              <w:t>(三)蒐集並研析相關調查、研究及統計報告</w:t>
            </w:r>
          </w:p>
          <w:p w14:paraId="1022C000" w14:textId="77777777" w:rsidR="003141FE" w:rsidRPr="00C3310F" w:rsidRDefault="003141FE" w:rsidP="00FD66A8">
            <w:pPr>
              <w:pStyle w:val="14"/>
              <w:spacing w:line="240" w:lineRule="auto"/>
              <w:ind w:leftChars="80" w:left="832" w:hangingChars="200" w:hanging="560"/>
              <w:rPr>
                <w:rFonts w:hAnsi="標楷體"/>
                <w:b/>
                <w:spacing w:val="0"/>
                <w:sz w:val="26"/>
              </w:rPr>
            </w:pPr>
            <w:r w:rsidRPr="00C3310F">
              <w:rPr>
                <w:rFonts w:hAnsi="標楷體" w:hint="eastAsia"/>
                <w:spacing w:val="0"/>
                <w:sz w:val="26"/>
              </w:rPr>
              <w:t>(四)蒐集並研析相關專書、學術論文、機關公報、研究報告、出版品及期刊等文獻</w:t>
            </w:r>
          </w:p>
        </w:tc>
        <w:tc>
          <w:tcPr>
            <w:tcW w:w="1535" w:type="pct"/>
            <w:vAlign w:val="center"/>
          </w:tcPr>
          <w:p w14:paraId="202C7101" w14:textId="77777777" w:rsidR="003141FE" w:rsidRPr="00C3310F" w:rsidRDefault="003141FE" w:rsidP="00FD66A8">
            <w:pPr>
              <w:pStyle w:val="14"/>
              <w:spacing w:line="240" w:lineRule="auto"/>
              <w:rPr>
                <w:rFonts w:hAnsi="標楷體"/>
                <w:spacing w:val="-12"/>
                <w:sz w:val="26"/>
              </w:rPr>
            </w:pPr>
            <w:r w:rsidRPr="00C3310F">
              <w:rPr>
                <w:rFonts w:hAnsi="標楷體" w:hint="eastAsia"/>
                <w:spacing w:val="-12"/>
                <w:sz w:val="26"/>
              </w:rPr>
              <w:t>11</w:t>
            </w:r>
            <w:r w:rsidR="009E35B4" w:rsidRPr="00C3310F">
              <w:rPr>
                <w:rFonts w:hAnsi="標楷體" w:hint="eastAsia"/>
                <w:spacing w:val="-12"/>
                <w:sz w:val="26"/>
              </w:rPr>
              <w:t>2</w:t>
            </w:r>
            <w:r w:rsidRPr="00C3310F">
              <w:rPr>
                <w:rFonts w:hAnsi="標楷體" w:hint="eastAsia"/>
                <w:spacing w:val="-12"/>
                <w:sz w:val="26"/>
              </w:rPr>
              <w:t>年10月1日至11</w:t>
            </w:r>
            <w:r w:rsidR="009E35B4" w:rsidRPr="00C3310F">
              <w:rPr>
                <w:rFonts w:hAnsi="標楷體" w:hint="eastAsia"/>
                <w:spacing w:val="-12"/>
                <w:sz w:val="26"/>
              </w:rPr>
              <w:t>2</w:t>
            </w:r>
            <w:r w:rsidRPr="00C3310F">
              <w:rPr>
                <w:rFonts w:hAnsi="標楷體" w:hint="eastAsia"/>
                <w:spacing w:val="-12"/>
                <w:sz w:val="26"/>
              </w:rPr>
              <w:t>年</w:t>
            </w:r>
            <w:r w:rsidR="009E35B4" w:rsidRPr="00C3310F">
              <w:rPr>
                <w:rFonts w:hAnsi="標楷體" w:hint="eastAsia"/>
                <w:spacing w:val="-12"/>
                <w:sz w:val="26"/>
              </w:rPr>
              <w:t>12</w:t>
            </w:r>
            <w:r w:rsidRPr="00C3310F">
              <w:rPr>
                <w:rFonts w:hAnsi="標楷體" w:hint="eastAsia"/>
                <w:spacing w:val="-12"/>
                <w:sz w:val="26"/>
              </w:rPr>
              <w:t>月31日</w:t>
            </w:r>
          </w:p>
        </w:tc>
      </w:tr>
      <w:tr w:rsidR="00C3310F" w:rsidRPr="00C3310F" w14:paraId="6D0DD509" w14:textId="77777777" w:rsidTr="00DB430F">
        <w:trPr>
          <w:trHeight w:val="42"/>
        </w:trPr>
        <w:tc>
          <w:tcPr>
            <w:tcW w:w="3465" w:type="pct"/>
          </w:tcPr>
          <w:p w14:paraId="3CEEA346" w14:textId="77777777" w:rsidR="003141FE" w:rsidRPr="00C3310F" w:rsidRDefault="003141FE" w:rsidP="00FD66A8">
            <w:pPr>
              <w:pStyle w:val="14"/>
              <w:spacing w:line="240" w:lineRule="auto"/>
              <w:rPr>
                <w:rFonts w:hAnsi="標楷體"/>
                <w:spacing w:val="0"/>
                <w:sz w:val="26"/>
              </w:rPr>
            </w:pPr>
            <w:r w:rsidRPr="00C3310F">
              <w:rPr>
                <w:rFonts w:hAnsi="標楷體" w:hint="eastAsia"/>
                <w:spacing w:val="0"/>
                <w:sz w:val="26"/>
              </w:rPr>
              <w:t>四、函詢調卷</w:t>
            </w:r>
          </w:p>
          <w:p w14:paraId="29FA764B" w14:textId="08B2E34C" w:rsidR="003141FE" w:rsidRPr="00C3310F" w:rsidRDefault="003141FE" w:rsidP="00FD66A8">
            <w:pPr>
              <w:pStyle w:val="14"/>
              <w:spacing w:line="240" w:lineRule="auto"/>
              <w:ind w:leftChars="149" w:left="507"/>
              <w:rPr>
                <w:rFonts w:hAnsi="標楷體"/>
                <w:spacing w:val="0"/>
                <w:sz w:val="26"/>
              </w:rPr>
            </w:pPr>
            <w:r w:rsidRPr="00C3310F">
              <w:rPr>
                <w:rFonts w:hAnsi="標楷體" w:hint="eastAsia"/>
                <w:spacing w:val="0"/>
                <w:sz w:val="26"/>
              </w:rPr>
              <w:t>函請</w:t>
            </w:r>
            <w:r w:rsidR="009E35B4" w:rsidRPr="00C3310F">
              <w:rPr>
                <w:rFonts w:hAnsi="標楷體" w:hint="eastAsia"/>
                <w:spacing w:val="0"/>
                <w:sz w:val="26"/>
              </w:rPr>
              <w:t>行政院、</w:t>
            </w:r>
            <w:r w:rsidR="0074784B" w:rsidRPr="00C3310F">
              <w:rPr>
                <w:rFonts w:hAnsi="標楷體" w:hint="eastAsia"/>
                <w:spacing w:val="0"/>
                <w:sz w:val="26"/>
              </w:rPr>
              <w:t>內政部、</w:t>
            </w:r>
            <w:r w:rsidR="00021DBD" w:rsidRPr="00C3310F">
              <w:rPr>
                <w:rFonts w:hAnsi="標楷體" w:hint="eastAsia"/>
                <w:spacing w:val="0"/>
                <w:sz w:val="26"/>
              </w:rPr>
              <w:t>通傳會</w:t>
            </w:r>
            <w:r w:rsidR="0074784B" w:rsidRPr="00C3310F">
              <w:rPr>
                <w:rFonts w:hAnsi="標楷體" w:hint="eastAsia"/>
                <w:spacing w:val="0"/>
                <w:sz w:val="26"/>
              </w:rPr>
              <w:t>、金管會、</w:t>
            </w:r>
            <w:r w:rsidR="00D82B1C" w:rsidRPr="00C3310F">
              <w:rPr>
                <w:rFonts w:hAnsi="標楷體" w:hint="eastAsia"/>
                <w:spacing w:val="0"/>
                <w:sz w:val="26"/>
              </w:rPr>
              <w:t>數發部</w:t>
            </w:r>
            <w:r w:rsidR="0074784B" w:rsidRPr="00C3310F">
              <w:rPr>
                <w:rFonts w:hAnsi="標楷體" w:hint="eastAsia"/>
                <w:spacing w:val="0"/>
                <w:sz w:val="26"/>
              </w:rPr>
              <w:t>、法務部</w:t>
            </w:r>
            <w:r w:rsidR="00DC7B65" w:rsidRPr="00C3310F">
              <w:rPr>
                <w:rFonts w:hAnsi="標楷體" w:hint="eastAsia"/>
                <w:spacing w:val="0"/>
                <w:sz w:val="26"/>
              </w:rPr>
              <w:t>、經濟部、教育部</w:t>
            </w:r>
            <w:r w:rsidRPr="00C3310F">
              <w:rPr>
                <w:rFonts w:hAnsi="標楷體" w:hint="eastAsia"/>
                <w:spacing w:val="0"/>
                <w:sz w:val="26"/>
              </w:rPr>
              <w:t>等提出相關說明資料。</w:t>
            </w:r>
          </w:p>
        </w:tc>
        <w:tc>
          <w:tcPr>
            <w:tcW w:w="1535" w:type="pct"/>
            <w:vAlign w:val="center"/>
          </w:tcPr>
          <w:p w14:paraId="0898E820" w14:textId="2A309874" w:rsidR="003141FE" w:rsidRPr="00C3310F" w:rsidRDefault="003141FE" w:rsidP="00FD66A8">
            <w:pPr>
              <w:pStyle w:val="14"/>
              <w:spacing w:line="240" w:lineRule="auto"/>
              <w:rPr>
                <w:rFonts w:hAnsi="標楷體"/>
                <w:spacing w:val="-12"/>
                <w:sz w:val="26"/>
              </w:rPr>
            </w:pPr>
            <w:r w:rsidRPr="00C3310F">
              <w:rPr>
                <w:rFonts w:hAnsi="標楷體" w:hint="eastAsia"/>
                <w:spacing w:val="-12"/>
                <w:sz w:val="26"/>
              </w:rPr>
              <w:t>11</w:t>
            </w:r>
            <w:r w:rsidR="009E35B4" w:rsidRPr="00C3310F">
              <w:rPr>
                <w:rFonts w:hAnsi="標楷體" w:hint="eastAsia"/>
                <w:spacing w:val="-12"/>
                <w:sz w:val="26"/>
              </w:rPr>
              <w:t>2</w:t>
            </w:r>
            <w:r w:rsidRPr="00C3310F">
              <w:rPr>
                <w:rFonts w:hAnsi="標楷體" w:hint="eastAsia"/>
                <w:spacing w:val="-12"/>
                <w:sz w:val="26"/>
              </w:rPr>
              <w:t>年11月1</w:t>
            </w:r>
            <w:r w:rsidR="009E35B4" w:rsidRPr="00C3310F">
              <w:rPr>
                <w:rFonts w:hAnsi="標楷體" w:hint="eastAsia"/>
                <w:spacing w:val="-12"/>
                <w:sz w:val="26"/>
              </w:rPr>
              <w:t>6</w:t>
            </w:r>
            <w:r w:rsidRPr="00C3310F">
              <w:rPr>
                <w:rFonts w:hAnsi="標楷體" w:hint="eastAsia"/>
                <w:spacing w:val="-12"/>
                <w:sz w:val="26"/>
              </w:rPr>
              <w:t>日、</w:t>
            </w:r>
            <w:r w:rsidR="00656174" w:rsidRPr="00C3310F">
              <w:rPr>
                <w:rFonts w:hAnsi="標楷體"/>
                <w:spacing w:val="-12"/>
                <w:sz w:val="26"/>
              </w:rPr>
              <w:t>113年</w:t>
            </w:r>
            <w:r w:rsidRPr="00C3310F">
              <w:rPr>
                <w:rFonts w:hAnsi="標楷體" w:hint="eastAsia"/>
                <w:spacing w:val="-12"/>
                <w:sz w:val="26"/>
              </w:rPr>
              <w:t>4月22日</w:t>
            </w:r>
          </w:p>
        </w:tc>
      </w:tr>
      <w:tr w:rsidR="00C3310F" w:rsidRPr="00C3310F" w14:paraId="794CFCBF" w14:textId="77777777" w:rsidTr="00DB430F">
        <w:trPr>
          <w:trHeight w:val="42"/>
        </w:trPr>
        <w:tc>
          <w:tcPr>
            <w:tcW w:w="3465" w:type="pct"/>
          </w:tcPr>
          <w:p w14:paraId="46B2AA10" w14:textId="77777777" w:rsidR="0074784B" w:rsidRPr="00C3310F" w:rsidRDefault="003141FE" w:rsidP="00FD66A8">
            <w:pPr>
              <w:pStyle w:val="14"/>
              <w:spacing w:line="240" w:lineRule="auto"/>
              <w:rPr>
                <w:rFonts w:hAnsi="標楷體"/>
                <w:spacing w:val="0"/>
                <w:sz w:val="26"/>
              </w:rPr>
            </w:pPr>
            <w:r w:rsidRPr="00C3310F">
              <w:rPr>
                <w:rFonts w:hAnsi="標楷體" w:hint="eastAsia"/>
                <w:spacing w:val="0"/>
                <w:sz w:val="26"/>
              </w:rPr>
              <w:t>五、</w:t>
            </w:r>
            <w:r w:rsidR="0074784B" w:rsidRPr="00C3310F">
              <w:rPr>
                <w:rFonts w:hAnsi="標楷體" w:hint="eastAsia"/>
                <w:spacing w:val="0"/>
                <w:sz w:val="26"/>
              </w:rPr>
              <w:t>第一場</w:t>
            </w:r>
            <w:r w:rsidR="00A61400" w:rsidRPr="00C3310F">
              <w:rPr>
                <w:rFonts w:hAnsi="標楷體" w:hint="eastAsia"/>
                <w:spacing w:val="0"/>
                <w:sz w:val="26"/>
              </w:rPr>
              <w:t>座談及履勘</w:t>
            </w:r>
          </w:p>
          <w:p w14:paraId="4F3301F3" w14:textId="235F96D3" w:rsidR="00A61400" w:rsidRPr="00C3310F" w:rsidRDefault="00A61400" w:rsidP="00FD66A8">
            <w:pPr>
              <w:pStyle w:val="14"/>
              <w:spacing w:line="240" w:lineRule="auto"/>
              <w:ind w:leftChars="149" w:left="507"/>
              <w:rPr>
                <w:rFonts w:hAnsi="標楷體"/>
                <w:spacing w:val="0"/>
                <w:sz w:val="26"/>
              </w:rPr>
            </w:pPr>
            <w:r w:rsidRPr="00C3310F">
              <w:rPr>
                <w:rFonts w:hAnsi="標楷體" w:hint="eastAsia"/>
                <w:spacing w:val="0"/>
                <w:sz w:val="26"/>
              </w:rPr>
              <w:t>前往高檢署、</w:t>
            </w:r>
            <w:r w:rsidR="00656174" w:rsidRPr="00C3310F">
              <w:rPr>
                <w:rFonts w:hAnsi="標楷體" w:hint="eastAsia"/>
                <w:spacing w:val="0"/>
                <w:sz w:val="26"/>
              </w:rPr>
              <w:t>警政署</w:t>
            </w:r>
            <w:r w:rsidRPr="00C3310F">
              <w:rPr>
                <w:rFonts w:hAnsi="標楷體" w:hint="eastAsia"/>
                <w:spacing w:val="0"/>
                <w:sz w:val="26"/>
              </w:rPr>
              <w:t>刑事</w:t>
            </w:r>
            <w:r w:rsidR="00656174" w:rsidRPr="00C3310F">
              <w:rPr>
                <w:rFonts w:hAnsi="標楷體" w:hint="eastAsia"/>
                <w:spacing w:val="0"/>
                <w:sz w:val="26"/>
              </w:rPr>
              <w:t>警察</w:t>
            </w:r>
            <w:r w:rsidRPr="00C3310F">
              <w:rPr>
                <w:rFonts w:hAnsi="標楷體" w:hint="eastAsia"/>
                <w:spacing w:val="0"/>
                <w:sz w:val="26"/>
              </w:rPr>
              <w:t>局辦理座談，以瞭解第一線執法人員執行打擊電信網路詐欺案件所面臨之困境。</w:t>
            </w:r>
          </w:p>
          <w:p w14:paraId="72DEB4D2" w14:textId="77777777" w:rsidR="003141FE" w:rsidRPr="00C3310F" w:rsidRDefault="00A61400" w:rsidP="00FD66A8">
            <w:pPr>
              <w:pStyle w:val="14"/>
              <w:spacing w:line="240" w:lineRule="auto"/>
              <w:ind w:leftChars="149" w:left="507"/>
              <w:rPr>
                <w:rFonts w:hAnsi="標楷體"/>
                <w:spacing w:val="0"/>
                <w:sz w:val="26"/>
              </w:rPr>
            </w:pPr>
            <w:r w:rsidRPr="00C3310F">
              <w:rPr>
                <w:rFonts w:hAnsi="標楷體" w:hint="eastAsia"/>
                <w:spacing w:val="0"/>
                <w:sz w:val="26"/>
              </w:rPr>
              <w:t>履勘165反詐中心，以瞭解政府反詐執行情形。</w:t>
            </w:r>
          </w:p>
        </w:tc>
        <w:tc>
          <w:tcPr>
            <w:tcW w:w="1535" w:type="pct"/>
            <w:vAlign w:val="center"/>
          </w:tcPr>
          <w:p w14:paraId="64CBCB8E" w14:textId="77777777" w:rsidR="003141FE" w:rsidRPr="00C3310F" w:rsidRDefault="003141FE" w:rsidP="00FD66A8">
            <w:pPr>
              <w:pStyle w:val="14"/>
              <w:spacing w:line="240" w:lineRule="auto"/>
              <w:rPr>
                <w:rFonts w:hAnsi="標楷體"/>
                <w:spacing w:val="-12"/>
                <w:sz w:val="26"/>
              </w:rPr>
            </w:pPr>
            <w:r w:rsidRPr="00C3310F">
              <w:rPr>
                <w:rFonts w:hAnsi="標楷體" w:hint="eastAsia"/>
                <w:spacing w:val="-12"/>
                <w:sz w:val="26"/>
              </w:rPr>
              <w:t>11</w:t>
            </w:r>
            <w:r w:rsidR="00A61400" w:rsidRPr="00C3310F">
              <w:rPr>
                <w:rFonts w:hAnsi="標楷體" w:hint="eastAsia"/>
                <w:spacing w:val="-12"/>
                <w:sz w:val="26"/>
              </w:rPr>
              <w:t>2</w:t>
            </w:r>
            <w:r w:rsidRPr="00C3310F">
              <w:rPr>
                <w:rFonts w:hAnsi="標楷體" w:hint="eastAsia"/>
                <w:spacing w:val="-12"/>
                <w:sz w:val="26"/>
              </w:rPr>
              <w:t>年</w:t>
            </w:r>
            <w:r w:rsidR="00A61400" w:rsidRPr="00C3310F">
              <w:rPr>
                <w:rFonts w:hAnsi="標楷體" w:hint="eastAsia"/>
                <w:spacing w:val="-12"/>
                <w:sz w:val="26"/>
              </w:rPr>
              <w:t>11</w:t>
            </w:r>
            <w:r w:rsidRPr="00C3310F">
              <w:rPr>
                <w:rFonts w:hAnsi="標楷體" w:hint="eastAsia"/>
                <w:spacing w:val="-12"/>
                <w:sz w:val="26"/>
              </w:rPr>
              <w:t>月</w:t>
            </w:r>
            <w:r w:rsidR="00A61400" w:rsidRPr="00C3310F">
              <w:rPr>
                <w:rFonts w:hAnsi="標楷體" w:hint="eastAsia"/>
                <w:spacing w:val="-12"/>
                <w:sz w:val="26"/>
              </w:rPr>
              <w:t>13</w:t>
            </w:r>
            <w:r w:rsidRPr="00C3310F">
              <w:rPr>
                <w:rFonts w:hAnsi="標楷體" w:hint="eastAsia"/>
                <w:spacing w:val="-12"/>
                <w:sz w:val="26"/>
              </w:rPr>
              <w:t>日</w:t>
            </w:r>
          </w:p>
        </w:tc>
      </w:tr>
      <w:tr w:rsidR="00C3310F" w:rsidRPr="00C3310F" w14:paraId="5C01642A" w14:textId="77777777" w:rsidTr="00DB430F">
        <w:trPr>
          <w:trHeight w:val="42"/>
        </w:trPr>
        <w:tc>
          <w:tcPr>
            <w:tcW w:w="3465" w:type="pct"/>
          </w:tcPr>
          <w:p w14:paraId="19891663" w14:textId="77777777" w:rsidR="00A61400" w:rsidRPr="00C3310F" w:rsidRDefault="003141FE" w:rsidP="00FD66A8">
            <w:pPr>
              <w:pStyle w:val="14"/>
              <w:spacing w:line="240" w:lineRule="auto"/>
              <w:rPr>
                <w:rFonts w:hAnsi="標楷體"/>
                <w:spacing w:val="0"/>
                <w:sz w:val="26"/>
              </w:rPr>
            </w:pPr>
            <w:r w:rsidRPr="00C3310F">
              <w:rPr>
                <w:rFonts w:hAnsi="標楷體" w:hint="eastAsia"/>
                <w:spacing w:val="0"/>
                <w:sz w:val="26"/>
              </w:rPr>
              <w:t>六、</w:t>
            </w:r>
            <w:r w:rsidR="00A61400" w:rsidRPr="00C3310F">
              <w:rPr>
                <w:rFonts w:hAnsi="標楷體" w:hint="eastAsia"/>
                <w:spacing w:val="0"/>
                <w:sz w:val="26"/>
              </w:rPr>
              <w:t>第一場諮詢</w:t>
            </w:r>
          </w:p>
          <w:p w14:paraId="3B2C9621" w14:textId="77777777" w:rsidR="003141FE" w:rsidRPr="00C3310F" w:rsidRDefault="00A61400" w:rsidP="00FD66A8">
            <w:pPr>
              <w:pStyle w:val="14"/>
              <w:spacing w:line="240" w:lineRule="auto"/>
              <w:ind w:leftChars="149" w:left="507"/>
              <w:rPr>
                <w:rFonts w:hAnsi="標楷體"/>
                <w:spacing w:val="0"/>
                <w:sz w:val="26"/>
              </w:rPr>
            </w:pPr>
            <w:r w:rsidRPr="00C3310F">
              <w:rPr>
                <w:rFonts w:hAnsi="標楷體" w:hint="eastAsia"/>
                <w:spacing w:val="0"/>
                <w:sz w:val="26"/>
              </w:rPr>
              <w:lastRenderedPageBreak/>
              <w:t>邀請犯罪學、電信網路詐欺、司法、金融相關法令領域及實際打擊電信網路詐欺之學者專家就我國防制電信網路詐欺之推動及所面臨之問題等相關議題提供諮詢意見。</w:t>
            </w:r>
          </w:p>
        </w:tc>
        <w:tc>
          <w:tcPr>
            <w:tcW w:w="1535" w:type="pct"/>
            <w:vAlign w:val="center"/>
          </w:tcPr>
          <w:p w14:paraId="38883260" w14:textId="77777777" w:rsidR="003141FE" w:rsidRPr="00C3310F" w:rsidRDefault="003141FE" w:rsidP="00FD66A8">
            <w:pPr>
              <w:pStyle w:val="14"/>
              <w:spacing w:line="240" w:lineRule="auto"/>
              <w:rPr>
                <w:rFonts w:hAnsi="標楷體"/>
                <w:spacing w:val="-12"/>
                <w:sz w:val="26"/>
              </w:rPr>
            </w:pPr>
            <w:r w:rsidRPr="00C3310F">
              <w:rPr>
                <w:rFonts w:hAnsi="標楷體" w:hint="eastAsia"/>
                <w:spacing w:val="-12"/>
                <w:sz w:val="26"/>
              </w:rPr>
              <w:lastRenderedPageBreak/>
              <w:t>11</w:t>
            </w:r>
            <w:r w:rsidR="00A61400" w:rsidRPr="00C3310F">
              <w:rPr>
                <w:rFonts w:hAnsi="標楷體" w:hint="eastAsia"/>
                <w:spacing w:val="-12"/>
                <w:sz w:val="26"/>
              </w:rPr>
              <w:t>2</w:t>
            </w:r>
            <w:r w:rsidRPr="00C3310F">
              <w:rPr>
                <w:rFonts w:hAnsi="標楷體" w:hint="eastAsia"/>
                <w:spacing w:val="-12"/>
                <w:sz w:val="26"/>
              </w:rPr>
              <w:t>年1</w:t>
            </w:r>
            <w:r w:rsidR="00A61400" w:rsidRPr="00C3310F">
              <w:rPr>
                <w:rFonts w:hAnsi="標楷體" w:hint="eastAsia"/>
                <w:spacing w:val="-12"/>
                <w:sz w:val="26"/>
              </w:rPr>
              <w:t>2</w:t>
            </w:r>
            <w:r w:rsidRPr="00C3310F">
              <w:rPr>
                <w:rFonts w:hAnsi="標楷體" w:hint="eastAsia"/>
                <w:spacing w:val="-12"/>
                <w:sz w:val="26"/>
              </w:rPr>
              <w:t>月1</w:t>
            </w:r>
            <w:r w:rsidR="00A61400" w:rsidRPr="00C3310F">
              <w:rPr>
                <w:rFonts w:hAnsi="標楷體" w:hint="eastAsia"/>
                <w:spacing w:val="-12"/>
                <w:sz w:val="26"/>
              </w:rPr>
              <w:t>3</w:t>
            </w:r>
            <w:r w:rsidRPr="00C3310F">
              <w:rPr>
                <w:rFonts w:hAnsi="標楷體" w:hint="eastAsia"/>
                <w:spacing w:val="-12"/>
                <w:sz w:val="26"/>
              </w:rPr>
              <w:t>日</w:t>
            </w:r>
          </w:p>
        </w:tc>
      </w:tr>
      <w:tr w:rsidR="00C3310F" w:rsidRPr="00C3310F" w14:paraId="46D0308E" w14:textId="77777777" w:rsidTr="00DB430F">
        <w:trPr>
          <w:trHeight w:val="42"/>
        </w:trPr>
        <w:tc>
          <w:tcPr>
            <w:tcW w:w="3465" w:type="pct"/>
          </w:tcPr>
          <w:p w14:paraId="3C6C908D" w14:textId="77777777" w:rsidR="003141FE" w:rsidRPr="00C3310F" w:rsidRDefault="003141FE" w:rsidP="00FD66A8">
            <w:pPr>
              <w:pStyle w:val="14"/>
              <w:spacing w:line="240" w:lineRule="auto"/>
              <w:rPr>
                <w:rFonts w:hAnsi="標楷體"/>
                <w:spacing w:val="0"/>
                <w:sz w:val="26"/>
              </w:rPr>
            </w:pPr>
            <w:r w:rsidRPr="00C3310F">
              <w:rPr>
                <w:rFonts w:hAnsi="標楷體" w:hint="eastAsia"/>
                <w:spacing w:val="0"/>
                <w:sz w:val="26"/>
              </w:rPr>
              <w:t>七、第二場</w:t>
            </w:r>
            <w:r w:rsidR="00A61400" w:rsidRPr="00C3310F">
              <w:rPr>
                <w:rFonts w:hAnsi="標楷體" w:hint="eastAsia"/>
                <w:spacing w:val="0"/>
                <w:sz w:val="26"/>
              </w:rPr>
              <w:t>履勘</w:t>
            </w:r>
          </w:p>
          <w:p w14:paraId="2BF23D47" w14:textId="51C69F9E" w:rsidR="003141FE" w:rsidRPr="00C3310F" w:rsidRDefault="00A61400" w:rsidP="00FD66A8">
            <w:pPr>
              <w:pStyle w:val="14"/>
              <w:spacing w:line="240" w:lineRule="auto"/>
              <w:ind w:leftChars="149" w:left="507"/>
              <w:rPr>
                <w:rFonts w:hAnsi="標楷體"/>
                <w:spacing w:val="0"/>
                <w:sz w:val="26"/>
              </w:rPr>
            </w:pPr>
            <w:r w:rsidRPr="00C3310F">
              <w:rPr>
                <w:rFonts w:hAnsi="標楷體" w:hint="eastAsia"/>
                <w:spacing w:val="0"/>
                <w:sz w:val="26"/>
              </w:rPr>
              <w:t>前往戴夫寇爾股份有限公司</w:t>
            </w:r>
            <w:r w:rsidR="00C00061" w:rsidRPr="00C3310F">
              <w:rPr>
                <w:rFonts w:hAnsi="標楷體" w:hint="eastAsia"/>
                <w:spacing w:val="0"/>
                <w:sz w:val="26"/>
              </w:rPr>
              <w:t>(DEVCORE)</w:t>
            </w:r>
            <w:r w:rsidRPr="00C3310F">
              <w:rPr>
                <w:rFonts w:hAnsi="標楷體" w:hint="eastAsia"/>
                <w:spacing w:val="0"/>
                <w:sz w:val="26"/>
              </w:rPr>
              <w:t>、台灣連線股份有限公司(</w:t>
            </w:r>
            <w:r w:rsidR="00DF3BE8" w:rsidRPr="00C3310F">
              <w:rPr>
                <w:rFonts w:hAnsi="標楷體" w:hint="eastAsia"/>
                <w:spacing w:val="0"/>
                <w:sz w:val="26"/>
              </w:rPr>
              <w:t>LINE</w:t>
            </w:r>
            <w:r w:rsidRPr="00C3310F">
              <w:rPr>
                <w:rFonts w:hAnsi="標楷體" w:hint="eastAsia"/>
                <w:spacing w:val="0"/>
                <w:sz w:val="26"/>
              </w:rPr>
              <w:t>)等。</w:t>
            </w:r>
          </w:p>
        </w:tc>
        <w:tc>
          <w:tcPr>
            <w:tcW w:w="1535" w:type="pct"/>
            <w:vAlign w:val="center"/>
          </w:tcPr>
          <w:p w14:paraId="07258E49" w14:textId="77777777" w:rsidR="003141FE" w:rsidRPr="00C3310F" w:rsidRDefault="003141FE" w:rsidP="00FD66A8">
            <w:pPr>
              <w:pStyle w:val="14"/>
              <w:spacing w:line="240" w:lineRule="auto"/>
              <w:rPr>
                <w:rFonts w:hAnsi="標楷體"/>
                <w:spacing w:val="-12"/>
                <w:sz w:val="26"/>
              </w:rPr>
            </w:pPr>
            <w:r w:rsidRPr="00C3310F">
              <w:rPr>
                <w:rFonts w:hAnsi="標楷體" w:hint="eastAsia"/>
                <w:spacing w:val="-12"/>
                <w:sz w:val="26"/>
              </w:rPr>
              <w:t>11</w:t>
            </w:r>
            <w:r w:rsidR="00A61400" w:rsidRPr="00C3310F">
              <w:rPr>
                <w:rFonts w:hAnsi="標楷體" w:hint="eastAsia"/>
                <w:spacing w:val="-12"/>
                <w:sz w:val="26"/>
              </w:rPr>
              <w:t>2</w:t>
            </w:r>
            <w:r w:rsidRPr="00C3310F">
              <w:rPr>
                <w:rFonts w:hAnsi="標楷體" w:hint="eastAsia"/>
                <w:spacing w:val="-12"/>
                <w:sz w:val="26"/>
              </w:rPr>
              <w:t>年</w:t>
            </w:r>
            <w:r w:rsidR="00A61400" w:rsidRPr="00C3310F">
              <w:rPr>
                <w:rFonts w:hAnsi="標楷體" w:hint="eastAsia"/>
                <w:spacing w:val="-12"/>
                <w:sz w:val="26"/>
              </w:rPr>
              <w:t>12</w:t>
            </w:r>
            <w:r w:rsidRPr="00C3310F">
              <w:rPr>
                <w:rFonts w:hAnsi="標楷體" w:hint="eastAsia"/>
                <w:spacing w:val="-12"/>
                <w:sz w:val="26"/>
              </w:rPr>
              <w:t>月</w:t>
            </w:r>
            <w:r w:rsidR="00A61400" w:rsidRPr="00C3310F">
              <w:rPr>
                <w:rFonts w:hAnsi="標楷體" w:hint="eastAsia"/>
                <w:spacing w:val="-12"/>
                <w:sz w:val="26"/>
              </w:rPr>
              <w:t>15</w:t>
            </w:r>
            <w:r w:rsidRPr="00C3310F">
              <w:rPr>
                <w:rFonts w:hAnsi="標楷體" w:hint="eastAsia"/>
                <w:spacing w:val="-12"/>
                <w:sz w:val="26"/>
              </w:rPr>
              <w:t>日</w:t>
            </w:r>
          </w:p>
        </w:tc>
      </w:tr>
      <w:tr w:rsidR="00C3310F" w:rsidRPr="00C3310F" w14:paraId="1BDF4064" w14:textId="77777777" w:rsidTr="00DB430F">
        <w:trPr>
          <w:trHeight w:val="42"/>
        </w:trPr>
        <w:tc>
          <w:tcPr>
            <w:tcW w:w="3465" w:type="pct"/>
          </w:tcPr>
          <w:p w14:paraId="3BE38D9B" w14:textId="77777777" w:rsidR="00A0290D" w:rsidRPr="00C3310F" w:rsidRDefault="00A0290D" w:rsidP="00FD66A8">
            <w:pPr>
              <w:pStyle w:val="14"/>
              <w:spacing w:line="240" w:lineRule="auto"/>
              <w:rPr>
                <w:rFonts w:hAnsi="標楷體"/>
                <w:spacing w:val="0"/>
                <w:sz w:val="26"/>
              </w:rPr>
            </w:pPr>
            <w:r w:rsidRPr="00C3310F">
              <w:rPr>
                <w:rFonts w:hAnsi="標楷體" w:hint="eastAsia"/>
                <w:spacing w:val="0"/>
                <w:sz w:val="26"/>
              </w:rPr>
              <w:t>八、第二場諮詢</w:t>
            </w:r>
          </w:p>
          <w:p w14:paraId="23BC3ADE" w14:textId="4BE65567" w:rsidR="00A0290D" w:rsidRPr="00C3310F" w:rsidRDefault="00A0290D" w:rsidP="00A0290D">
            <w:pPr>
              <w:pStyle w:val="14"/>
              <w:spacing w:line="240" w:lineRule="auto"/>
              <w:ind w:leftChars="149" w:left="507"/>
              <w:rPr>
                <w:rFonts w:hAnsi="標楷體"/>
                <w:spacing w:val="0"/>
                <w:sz w:val="26"/>
              </w:rPr>
            </w:pPr>
            <w:r w:rsidRPr="00C3310F">
              <w:rPr>
                <w:rFonts w:hAnsi="標楷體" w:hint="eastAsia"/>
                <w:spacing w:val="0"/>
                <w:sz w:val="26"/>
              </w:rPr>
              <w:t>邀請跨國電信網路詐騙研究者及基層檢察官，針對</w:t>
            </w:r>
            <w:r w:rsidR="00A1409C" w:rsidRPr="00C3310F">
              <w:rPr>
                <w:rFonts w:hAnsi="標楷體" w:hint="eastAsia"/>
                <w:spacing w:val="0"/>
                <w:sz w:val="26"/>
              </w:rPr>
              <w:t>詐騙集團</w:t>
            </w:r>
            <w:r w:rsidRPr="00C3310F">
              <w:rPr>
                <w:rFonts w:hAnsi="標楷體" w:hint="eastAsia"/>
                <w:spacing w:val="0"/>
                <w:sz w:val="26"/>
              </w:rPr>
              <w:t>組織及查緝所面對之挑戰提供諮詢意見</w:t>
            </w:r>
          </w:p>
        </w:tc>
        <w:tc>
          <w:tcPr>
            <w:tcW w:w="1535" w:type="pct"/>
            <w:vAlign w:val="center"/>
          </w:tcPr>
          <w:p w14:paraId="072B1C09" w14:textId="77777777" w:rsidR="00A0290D" w:rsidRPr="00C3310F" w:rsidRDefault="00A0290D" w:rsidP="00FD66A8">
            <w:pPr>
              <w:pStyle w:val="14"/>
              <w:spacing w:line="240" w:lineRule="auto"/>
              <w:rPr>
                <w:rFonts w:hAnsi="標楷體"/>
                <w:spacing w:val="-12"/>
                <w:sz w:val="26"/>
              </w:rPr>
            </w:pPr>
            <w:r w:rsidRPr="00C3310F">
              <w:rPr>
                <w:rFonts w:hAnsi="標楷體" w:hint="eastAsia"/>
                <w:spacing w:val="-12"/>
                <w:sz w:val="26"/>
              </w:rPr>
              <w:t>113年1月26日</w:t>
            </w:r>
          </w:p>
        </w:tc>
      </w:tr>
      <w:tr w:rsidR="00C3310F" w:rsidRPr="00C3310F" w14:paraId="34DC4B45" w14:textId="77777777" w:rsidTr="00DB430F">
        <w:trPr>
          <w:trHeight w:val="129"/>
        </w:trPr>
        <w:tc>
          <w:tcPr>
            <w:tcW w:w="3465" w:type="pct"/>
          </w:tcPr>
          <w:p w14:paraId="5EB5FBDE" w14:textId="77777777" w:rsidR="003141FE" w:rsidRPr="00C3310F" w:rsidRDefault="00A0290D" w:rsidP="00FD66A8">
            <w:pPr>
              <w:pStyle w:val="14"/>
              <w:spacing w:line="240" w:lineRule="auto"/>
              <w:rPr>
                <w:rFonts w:hAnsi="標楷體"/>
                <w:spacing w:val="0"/>
                <w:sz w:val="26"/>
              </w:rPr>
            </w:pPr>
            <w:r w:rsidRPr="00C3310F">
              <w:rPr>
                <w:rFonts w:hAnsi="標楷體" w:hint="eastAsia"/>
                <w:spacing w:val="0"/>
                <w:sz w:val="26"/>
              </w:rPr>
              <w:t>九</w:t>
            </w:r>
            <w:r w:rsidR="003141FE" w:rsidRPr="00C3310F">
              <w:rPr>
                <w:rFonts w:hAnsi="標楷體" w:hint="eastAsia"/>
                <w:spacing w:val="0"/>
                <w:sz w:val="26"/>
              </w:rPr>
              <w:t>、</w:t>
            </w:r>
            <w:r w:rsidR="00354A50" w:rsidRPr="00C3310F">
              <w:rPr>
                <w:rFonts w:hAnsi="標楷體" w:hint="eastAsia"/>
                <w:spacing w:val="0"/>
                <w:sz w:val="26"/>
              </w:rPr>
              <w:t>研討會</w:t>
            </w:r>
          </w:p>
          <w:p w14:paraId="068C4EB1" w14:textId="77777777" w:rsidR="003141FE" w:rsidRPr="00C3310F" w:rsidRDefault="00354A50" w:rsidP="00FD66A8">
            <w:pPr>
              <w:pStyle w:val="14"/>
              <w:spacing w:line="240" w:lineRule="auto"/>
              <w:ind w:leftChars="149" w:left="507"/>
              <w:rPr>
                <w:rFonts w:hAnsi="標楷體"/>
                <w:spacing w:val="0"/>
                <w:sz w:val="26"/>
              </w:rPr>
            </w:pPr>
            <w:r w:rsidRPr="00C3310F">
              <w:rPr>
                <w:rFonts w:hAnsi="標楷體" w:hint="eastAsia"/>
                <w:spacing w:val="0"/>
                <w:sz w:val="26"/>
              </w:rPr>
              <w:t>參加台灣媒體觀察教育基金會與英國西敏寺民主基金會合作主辦之</w:t>
            </w:r>
            <w:bookmarkStart w:id="327" w:name="_Hlk167109772"/>
            <w:r w:rsidRPr="00C3310F">
              <w:rPr>
                <w:rFonts w:hAnsi="標楷體" w:hint="eastAsia"/>
                <w:spacing w:val="0"/>
                <w:sz w:val="26"/>
              </w:rPr>
              <w:t>2024台灣-英國『傳</w:t>
            </w:r>
            <w:bookmarkEnd w:id="327"/>
            <w:r w:rsidRPr="00C3310F">
              <w:rPr>
                <w:rFonts w:hAnsi="標楷體" w:hint="eastAsia"/>
                <w:spacing w:val="0"/>
                <w:sz w:val="26"/>
              </w:rPr>
              <w:t>播媒體與新聞產製』雙邊交流」</w:t>
            </w:r>
            <w:r w:rsidR="003141FE" w:rsidRPr="00C3310F">
              <w:rPr>
                <w:rFonts w:hAnsi="標楷體" w:hint="eastAsia"/>
                <w:spacing w:val="0"/>
                <w:sz w:val="26"/>
              </w:rPr>
              <w:t>。</w:t>
            </w:r>
          </w:p>
        </w:tc>
        <w:tc>
          <w:tcPr>
            <w:tcW w:w="1535" w:type="pct"/>
            <w:vAlign w:val="center"/>
          </w:tcPr>
          <w:p w14:paraId="4FB38403" w14:textId="77777777" w:rsidR="003141FE" w:rsidRPr="00C3310F" w:rsidRDefault="00354A50" w:rsidP="00FD66A8">
            <w:pPr>
              <w:pStyle w:val="14"/>
              <w:spacing w:line="240" w:lineRule="auto"/>
              <w:rPr>
                <w:rFonts w:hAnsi="標楷體"/>
                <w:spacing w:val="-12"/>
                <w:sz w:val="26"/>
              </w:rPr>
            </w:pPr>
            <w:r w:rsidRPr="00C3310F">
              <w:rPr>
                <w:rFonts w:hAnsi="標楷體" w:hint="eastAsia"/>
                <w:spacing w:val="-12"/>
                <w:sz w:val="26"/>
              </w:rPr>
              <w:t>113年2月19日至29日</w:t>
            </w:r>
          </w:p>
        </w:tc>
      </w:tr>
      <w:tr w:rsidR="00C3310F" w:rsidRPr="00C3310F" w14:paraId="5DB94300" w14:textId="77777777" w:rsidTr="00DB430F">
        <w:trPr>
          <w:trHeight w:val="410"/>
        </w:trPr>
        <w:tc>
          <w:tcPr>
            <w:tcW w:w="3465" w:type="pct"/>
          </w:tcPr>
          <w:p w14:paraId="02406A4A" w14:textId="77777777" w:rsidR="004B3A3C" w:rsidRPr="00C3310F" w:rsidRDefault="00A0290D" w:rsidP="00FD66A8">
            <w:pPr>
              <w:pStyle w:val="14"/>
              <w:spacing w:line="240" w:lineRule="auto"/>
              <w:rPr>
                <w:rFonts w:hAnsi="標楷體"/>
                <w:spacing w:val="0"/>
                <w:sz w:val="26"/>
              </w:rPr>
            </w:pPr>
            <w:r w:rsidRPr="00C3310F">
              <w:rPr>
                <w:rFonts w:hAnsi="標楷體" w:hint="eastAsia"/>
                <w:spacing w:val="0"/>
                <w:sz w:val="26"/>
              </w:rPr>
              <w:t>十</w:t>
            </w:r>
            <w:r w:rsidR="00354A50" w:rsidRPr="00C3310F">
              <w:rPr>
                <w:rFonts w:hAnsi="標楷體" w:hint="eastAsia"/>
                <w:spacing w:val="0"/>
                <w:sz w:val="26"/>
              </w:rPr>
              <w:t>、</w:t>
            </w:r>
            <w:r w:rsidR="004B3A3C" w:rsidRPr="00C3310F">
              <w:rPr>
                <w:rFonts w:hAnsi="標楷體" w:hint="eastAsia"/>
                <w:spacing w:val="0"/>
                <w:sz w:val="26"/>
              </w:rPr>
              <w:t>第三場諮詢</w:t>
            </w:r>
          </w:p>
          <w:p w14:paraId="7C3A52A6" w14:textId="77777777" w:rsidR="00354A50" w:rsidRPr="00C3310F" w:rsidRDefault="004B3A3C" w:rsidP="00FD66A8">
            <w:pPr>
              <w:pStyle w:val="14"/>
              <w:spacing w:line="240" w:lineRule="auto"/>
              <w:ind w:leftChars="149" w:left="507"/>
              <w:rPr>
                <w:rFonts w:hAnsi="標楷體"/>
                <w:spacing w:val="0"/>
                <w:sz w:val="26"/>
              </w:rPr>
            </w:pPr>
            <w:r w:rsidRPr="00C3310F">
              <w:rPr>
                <w:rFonts w:hAnsi="標楷體" w:hint="eastAsia"/>
                <w:spacing w:val="0"/>
                <w:sz w:val="26"/>
              </w:rPr>
              <w:t>分別邀請抑制不實資訊的負面影響、犯罪學、傳播學之學者專家就我國防制電信網路詐欺之推動及所面臨之問題等相關議題提供諮詢意見。</w:t>
            </w:r>
          </w:p>
        </w:tc>
        <w:tc>
          <w:tcPr>
            <w:tcW w:w="1535" w:type="pct"/>
            <w:vAlign w:val="center"/>
          </w:tcPr>
          <w:p w14:paraId="6481AC3B" w14:textId="77777777" w:rsidR="00354A50" w:rsidRPr="00C3310F" w:rsidRDefault="00354A50" w:rsidP="00FD66A8">
            <w:pPr>
              <w:pStyle w:val="14"/>
              <w:spacing w:line="240" w:lineRule="auto"/>
              <w:rPr>
                <w:rFonts w:hAnsi="標楷體"/>
                <w:spacing w:val="-12"/>
                <w:sz w:val="26"/>
              </w:rPr>
            </w:pPr>
            <w:r w:rsidRPr="00C3310F">
              <w:rPr>
                <w:rFonts w:hAnsi="標楷體" w:hint="eastAsia"/>
                <w:spacing w:val="-12"/>
                <w:sz w:val="26"/>
              </w:rPr>
              <w:t>11</w:t>
            </w:r>
            <w:r w:rsidR="004B3A3C" w:rsidRPr="00C3310F">
              <w:rPr>
                <w:rFonts w:hAnsi="標楷體" w:hint="eastAsia"/>
                <w:spacing w:val="-12"/>
                <w:sz w:val="26"/>
              </w:rPr>
              <w:t>3</w:t>
            </w:r>
            <w:r w:rsidRPr="00C3310F">
              <w:rPr>
                <w:rFonts w:hAnsi="標楷體" w:hint="eastAsia"/>
                <w:spacing w:val="-12"/>
                <w:sz w:val="26"/>
              </w:rPr>
              <w:t>年</w:t>
            </w:r>
            <w:r w:rsidR="004B3A3C" w:rsidRPr="00C3310F">
              <w:rPr>
                <w:rFonts w:hAnsi="標楷體" w:hint="eastAsia"/>
                <w:spacing w:val="-12"/>
                <w:sz w:val="26"/>
              </w:rPr>
              <w:t>4</w:t>
            </w:r>
            <w:r w:rsidRPr="00C3310F">
              <w:rPr>
                <w:rFonts w:hAnsi="標楷體" w:hint="eastAsia"/>
                <w:spacing w:val="-12"/>
                <w:sz w:val="26"/>
              </w:rPr>
              <w:t>月</w:t>
            </w:r>
            <w:r w:rsidR="004B3A3C" w:rsidRPr="00C3310F">
              <w:rPr>
                <w:rFonts w:hAnsi="標楷體" w:hint="eastAsia"/>
                <w:spacing w:val="-12"/>
                <w:sz w:val="26"/>
              </w:rPr>
              <w:t>24</w:t>
            </w:r>
            <w:r w:rsidRPr="00C3310F">
              <w:rPr>
                <w:rFonts w:hAnsi="標楷體" w:hint="eastAsia"/>
                <w:spacing w:val="-12"/>
                <w:sz w:val="26"/>
              </w:rPr>
              <w:t>日</w:t>
            </w:r>
          </w:p>
        </w:tc>
      </w:tr>
      <w:tr w:rsidR="00C3310F" w:rsidRPr="00C3310F" w14:paraId="03AD67DC" w14:textId="77777777" w:rsidTr="00DB430F">
        <w:trPr>
          <w:trHeight w:val="211"/>
        </w:trPr>
        <w:tc>
          <w:tcPr>
            <w:tcW w:w="3465" w:type="pct"/>
          </w:tcPr>
          <w:p w14:paraId="274C4299" w14:textId="77777777" w:rsidR="004B3A3C" w:rsidRPr="00C3310F" w:rsidRDefault="004B3A3C" w:rsidP="00FD66A8">
            <w:pPr>
              <w:pStyle w:val="14"/>
              <w:spacing w:line="240" w:lineRule="auto"/>
              <w:rPr>
                <w:rFonts w:hAnsi="標楷體"/>
                <w:spacing w:val="0"/>
                <w:sz w:val="26"/>
              </w:rPr>
            </w:pPr>
            <w:r w:rsidRPr="00C3310F">
              <w:rPr>
                <w:rFonts w:hAnsi="標楷體" w:hint="eastAsia"/>
                <w:spacing w:val="0"/>
                <w:sz w:val="26"/>
              </w:rPr>
              <w:t>十</w:t>
            </w:r>
            <w:r w:rsidR="00A0290D" w:rsidRPr="00C3310F">
              <w:rPr>
                <w:rFonts w:hAnsi="標楷體" w:hint="eastAsia"/>
                <w:spacing w:val="0"/>
                <w:sz w:val="26"/>
              </w:rPr>
              <w:t>一</w:t>
            </w:r>
            <w:r w:rsidRPr="00C3310F">
              <w:rPr>
                <w:rFonts w:hAnsi="標楷體" w:hint="eastAsia"/>
                <w:spacing w:val="0"/>
                <w:sz w:val="26"/>
              </w:rPr>
              <w:t>、研討會</w:t>
            </w:r>
          </w:p>
          <w:p w14:paraId="33A3BB21" w14:textId="77777777" w:rsidR="004B3A3C" w:rsidRPr="00C3310F" w:rsidRDefault="00A0290D" w:rsidP="00FD66A8">
            <w:pPr>
              <w:pStyle w:val="14"/>
              <w:spacing w:line="240" w:lineRule="auto"/>
              <w:ind w:leftChars="149" w:left="507"/>
              <w:rPr>
                <w:rFonts w:hAnsi="標楷體"/>
                <w:spacing w:val="0"/>
                <w:sz w:val="26"/>
              </w:rPr>
            </w:pPr>
            <w:r w:rsidRPr="00C3310F">
              <w:rPr>
                <w:rFonts w:hAnsi="標楷體" w:hint="eastAsia"/>
                <w:spacing w:val="0"/>
                <w:sz w:val="26"/>
              </w:rPr>
              <w:t>派員</w:t>
            </w:r>
            <w:r w:rsidR="006521F8" w:rsidRPr="00C3310F">
              <w:rPr>
                <w:rFonts w:hAnsi="標楷體" w:hint="eastAsia"/>
                <w:spacing w:val="0"/>
                <w:sz w:val="26"/>
              </w:rPr>
              <w:t>參加</w:t>
            </w:r>
            <w:r w:rsidR="004B3A3C" w:rsidRPr="00C3310F">
              <w:rPr>
                <w:rFonts w:hAnsi="標楷體" w:hint="eastAsia"/>
                <w:spacing w:val="0"/>
                <w:sz w:val="26"/>
              </w:rPr>
              <w:t>檢察官打詐實務暨修法研討會。</w:t>
            </w:r>
          </w:p>
        </w:tc>
        <w:tc>
          <w:tcPr>
            <w:tcW w:w="1535" w:type="pct"/>
            <w:vAlign w:val="center"/>
          </w:tcPr>
          <w:p w14:paraId="2B4EA8C5" w14:textId="77777777" w:rsidR="004B3A3C" w:rsidRPr="00C3310F" w:rsidRDefault="004B3A3C" w:rsidP="00FD66A8">
            <w:pPr>
              <w:pStyle w:val="14"/>
              <w:spacing w:line="240" w:lineRule="auto"/>
              <w:rPr>
                <w:rFonts w:hAnsi="標楷體"/>
                <w:spacing w:val="-12"/>
                <w:sz w:val="26"/>
              </w:rPr>
            </w:pPr>
            <w:r w:rsidRPr="00C3310F">
              <w:rPr>
                <w:rFonts w:hAnsi="標楷體" w:hint="eastAsia"/>
                <w:spacing w:val="-12"/>
                <w:sz w:val="26"/>
              </w:rPr>
              <w:t>113年4月26日</w:t>
            </w:r>
          </w:p>
        </w:tc>
      </w:tr>
      <w:tr w:rsidR="00C3310F" w:rsidRPr="00C3310F" w14:paraId="6E459ED1" w14:textId="77777777" w:rsidTr="00DB430F">
        <w:trPr>
          <w:trHeight w:val="424"/>
        </w:trPr>
        <w:tc>
          <w:tcPr>
            <w:tcW w:w="3465" w:type="pct"/>
          </w:tcPr>
          <w:p w14:paraId="2E7611AE" w14:textId="77777777" w:rsidR="003141FE" w:rsidRPr="00C3310F" w:rsidRDefault="00DC7B65" w:rsidP="00FD66A8">
            <w:pPr>
              <w:pStyle w:val="14"/>
              <w:spacing w:line="240" w:lineRule="auto"/>
              <w:rPr>
                <w:rFonts w:hAnsi="標楷體"/>
                <w:spacing w:val="0"/>
                <w:sz w:val="26"/>
              </w:rPr>
            </w:pPr>
            <w:r w:rsidRPr="00C3310F">
              <w:rPr>
                <w:rFonts w:hAnsi="標楷體" w:hint="eastAsia"/>
                <w:spacing w:val="0"/>
                <w:sz w:val="26"/>
              </w:rPr>
              <w:t>十</w:t>
            </w:r>
            <w:r w:rsidR="00A0290D" w:rsidRPr="00C3310F">
              <w:rPr>
                <w:rFonts w:hAnsi="標楷體" w:hint="eastAsia"/>
                <w:spacing w:val="0"/>
                <w:sz w:val="26"/>
              </w:rPr>
              <w:t>二</w:t>
            </w:r>
            <w:r w:rsidR="003141FE" w:rsidRPr="00C3310F">
              <w:rPr>
                <w:rFonts w:hAnsi="標楷體" w:hint="eastAsia"/>
                <w:spacing w:val="0"/>
                <w:sz w:val="26"/>
              </w:rPr>
              <w:t>、邀集機關簡報及座談</w:t>
            </w:r>
          </w:p>
          <w:p w14:paraId="029100E1" w14:textId="5E672490" w:rsidR="003141FE" w:rsidRPr="00C3310F" w:rsidRDefault="004B3A3C" w:rsidP="00FD66A8">
            <w:pPr>
              <w:pStyle w:val="14"/>
              <w:spacing w:line="240" w:lineRule="auto"/>
              <w:ind w:leftChars="149" w:left="507"/>
              <w:rPr>
                <w:rFonts w:hAnsi="標楷體"/>
                <w:spacing w:val="0"/>
                <w:sz w:val="26"/>
              </w:rPr>
            </w:pPr>
            <w:r w:rsidRPr="00C3310F">
              <w:rPr>
                <w:rFonts w:hAnsi="標楷體" w:hint="eastAsia"/>
                <w:spacing w:val="0"/>
                <w:sz w:val="26"/>
              </w:rPr>
              <w:t>分別邀請行政院、司法院、內政部、金管會、法務部、通傳會、</w:t>
            </w:r>
            <w:r w:rsidR="00D82B1C" w:rsidRPr="00C3310F">
              <w:rPr>
                <w:rFonts w:hAnsi="標楷體" w:hint="eastAsia"/>
                <w:spacing w:val="0"/>
                <w:sz w:val="26"/>
              </w:rPr>
              <w:t>數發部</w:t>
            </w:r>
            <w:r w:rsidRPr="00C3310F">
              <w:rPr>
                <w:rFonts w:hAnsi="標楷體" w:hint="eastAsia"/>
                <w:spacing w:val="0"/>
                <w:sz w:val="26"/>
              </w:rPr>
              <w:t>相關業務主管人員，就相關議題進行座談提出說明。</w:t>
            </w:r>
          </w:p>
        </w:tc>
        <w:tc>
          <w:tcPr>
            <w:tcW w:w="1535" w:type="pct"/>
            <w:vAlign w:val="center"/>
          </w:tcPr>
          <w:p w14:paraId="0FDB61DA" w14:textId="77777777" w:rsidR="003141FE" w:rsidRPr="00C3310F" w:rsidRDefault="003141FE" w:rsidP="00FD66A8">
            <w:pPr>
              <w:pStyle w:val="14"/>
              <w:spacing w:line="240" w:lineRule="auto"/>
              <w:rPr>
                <w:rFonts w:hAnsi="標楷體"/>
                <w:spacing w:val="-12"/>
                <w:sz w:val="26"/>
              </w:rPr>
            </w:pPr>
            <w:r w:rsidRPr="00C3310F">
              <w:rPr>
                <w:rFonts w:hAnsi="標楷體" w:hint="eastAsia"/>
                <w:spacing w:val="-12"/>
                <w:sz w:val="26"/>
              </w:rPr>
              <w:t>11</w:t>
            </w:r>
            <w:r w:rsidR="004B3A3C" w:rsidRPr="00C3310F">
              <w:rPr>
                <w:rFonts w:hAnsi="標楷體" w:hint="eastAsia"/>
                <w:spacing w:val="-12"/>
                <w:sz w:val="26"/>
              </w:rPr>
              <w:t>3</w:t>
            </w:r>
            <w:r w:rsidRPr="00C3310F">
              <w:rPr>
                <w:rFonts w:hAnsi="標楷體" w:hint="eastAsia"/>
                <w:spacing w:val="-12"/>
                <w:sz w:val="26"/>
              </w:rPr>
              <w:t>年6月</w:t>
            </w:r>
            <w:r w:rsidR="004B3A3C" w:rsidRPr="00C3310F">
              <w:rPr>
                <w:rFonts w:hAnsi="標楷體" w:hint="eastAsia"/>
                <w:spacing w:val="-12"/>
                <w:sz w:val="26"/>
              </w:rPr>
              <w:t>3</w:t>
            </w:r>
            <w:r w:rsidRPr="00C3310F">
              <w:rPr>
                <w:rFonts w:hAnsi="標楷體" w:hint="eastAsia"/>
                <w:spacing w:val="-12"/>
                <w:sz w:val="26"/>
              </w:rPr>
              <w:t>日</w:t>
            </w:r>
          </w:p>
        </w:tc>
      </w:tr>
      <w:tr w:rsidR="00C3310F" w:rsidRPr="00C3310F" w14:paraId="06E4AADC" w14:textId="77777777" w:rsidTr="00DB430F">
        <w:trPr>
          <w:trHeight w:val="105"/>
        </w:trPr>
        <w:tc>
          <w:tcPr>
            <w:tcW w:w="3465" w:type="pct"/>
          </w:tcPr>
          <w:p w14:paraId="7FEAB8B9" w14:textId="77777777" w:rsidR="003141FE" w:rsidRPr="00C3310F" w:rsidRDefault="003141FE" w:rsidP="00FD66A8">
            <w:pPr>
              <w:pStyle w:val="14"/>
              <w:spacing w:line="240" w:lineRule="auto"/>
              <w:rPr>
                <w:rFonts w:hAnsi="標楷體"/>
                <w:spacing w:val="0"/>
                <w:sz w:val="26"/>
              </w:rPr>
            </w:pPr>
            <w:r w:rsidRPr="00C3310F">
              <w:rPr>
                <w:rFonts w:hAnsi="標楷體" w:hint="eastAsia"/>
                <w:spacing w:val="0"/>
                <w:sz w:val="26"/>
              </w:rPr>
              <w:t>十</w:t>
            </w:r>
            <w:r w:rsidR="00A0290D" w:rsidRPr="00C3310F">
              <w:rPr>
                <w:rFonts w:hAnsi="標楷體" w:hint="eastAsia"/>
                <w:spacing w:val="0"/>
                <w:sz w:val="26"/>
              </w:rPr>
              <w:t>三</w:t>
            </w:r>
            <w:r w:rsidRPr="00C3310F">
              <w:rPr>
                <w:rFonts w:hAnsi="標楷體" w:hint="eastAsia"/>
                <w:spacing w:val="0"/>
                <w:sz w:val="26"/>
              </w:rPr>
              <w:t>、撰擬研究報告初稿</w:t>
            </w:r>
          </w:p>
        </w:tc>
        <w:tc>
          <w:tcPr>
            <w:tcW w:w="1535" w:type="pct"/>
            <w:vAlign w:val="center"/>
          </w:tcPr>
          <w:p w14:paraId="6ABD9AB3" w14:textId="77777777" w:rsidR="003141FE" w:rsidRPr="00C3310F" w:rsidRDefault="003141FE" w:rsidP="00FD66A8">
            <w:pPr>
              <w:pStyle w:val="14"/>
              <w:spacing w:line="240" w:lineRule="auto"/>
              <w:rPr>
                <w:rFonts w:hAnsi="標楷體"/>
                <w:spacing w:val="-12"/>
                <w:sz w:val="26"/>
              </w:rPr>
            </w:pPr>
            <w:r w:rsidRPr="00C3310F">
              <w:rPr>
                <w:rFonts w:hAnsi="標楷體" w:hint="eastAsia"/>
                <w:spacing w:val="-12"/>
                <w:sz w:val="26"/>
              </w:rPr>
              <w:t>11</w:t>
            </w:r>
            <w:r w:rsidR="00DC7B65" w:rsidRPr="00C3310F">
              <w:rPr>
                <w:rFonts w:hAnsi="標楷體" w:hint="eastAsia"/>
                <w:spacing w:val="-12"/>
                <w:sz w:val="26"/>
              </w:rPr>
              <w:t>3</w:t>
            </w:r>
            <w:r w:rsidRPr="00C3310F">
              <w:rPr>
                <w:rFonts w:hAnsi="標楷體" w:hint="eastAsia"/>
                <w:spacing w:val="-12"/>
                <w:sz w:val="26"/>
              </w:rPr>
              <w:t>年5月1日至7月15日</w:t>
            </w:r>
          </w:p>
        </w:tc>
      </w:tr>
      <w:tr w:rsidR="00C3310F" w:rsidRPr="00C3310F" w14:paraId="7D6DE660" w14:textId="77777777" w:rsidTr="00DB430F">
        <w:trPr>
          <w:trHeight w:val="108"/>
        </w:trPr>
        <w:tc>
          <w:tcPr>
            <w:tcW w:w="3465" w:type="pct"/>
          </w:tcPr>
          <w:p w14:paraId="0D7B67A2" w14:textId="04120B4D" w:rsidR="003141FE" w:rsidRPr="00C3310F" w:rsidRDefault="003141FE" w:rsidP="00FD66A8">
            <w:pPr>
              <w:pStyle w:val="14"/>
              <w:spacing w:line="240" w:lineRule="auto"/>
              <w:ind w:left="647" w:hangingChars="231" w:hanging="647"/>
              <w:rPr>
                <w:rFonts w:hAnsi="標楷體"/>
                <w:spacing w:val="0"/>
                <w:sz w:val="26"/>
              </w:rPr>
            </w:pPr>
            <w:r w:rsidRPr="00C3310F">
              <w:rPr>
                <w:rFonts w:hAnsi="標楷體" w:hint="eastAsia"/>
                <w:spacing w:val="0"/>
                <w:sz w:val="26"/>
              </w:rPr>
              <w:t>十</w:t>
            </w:r>
            <w:r w:rsidR="00A0290D" w:rsidRPr="00C3310F">
              <w:rPr>
                <w:rFonts w:hAnsi="標楷體" w:hint="eastAsia"/>
                <w:spacing w:val="0"/>
                <w:sz w:val="26"/>
              </w:rPr>
              <w:t>四</w:t>
            </w:r>
            <w:r w:rsidRPr="00C3310F">
              <w:rPr>
                <w:rFonts w:hAnsi="標楷體" w:hint="eastAsia"/>
                <w:spacing w:val="0"/>
                <w:sz w:val="26"/>
              </w:rPr>
              <w:t>、研究報告送請本院</w:t>
            </w:r>
            <w:r w:rsidR="00DC7B65" w:rsidRPr="00C3310F">
              <w:rPr>
                <w:rFonts w:hAnsi="標楷體" w:hint="eastAsia"/>
                <w:spacing w:val="0"/>
                <w:sz w:val="26"/>
              </w:rPr>
              <w:t>交通及採購</w:t>
            </w:r>
            <w:r w:rsidRPr="00C3310F">
              <w:rPr>
                <w:rFonts w:hAnsi="標楷體" w:hint="eastAsia"/>
                <w:spacing w:val="0"/>
                <w:sz w:val="26"/>
              </w:rPr>
              <w:t>委員會</w:t>
            </w:r>
            <w:r w:rsidR="00656174" w:rsidRPr="00C3310F">
              <w:rPr>
                <w:rFonts w:hAnsi="標楷體" w:hint="eastAsia"/>
                <w:spacing w:val="0"/>
                <w:sz w:val="26"/>
              </w:rPr>
              <w:t>暨聯席會</w:t>
            </w:r>
            <w:r w:rsidRPr="00C3310F">
              <w:rPr>
                <w:rFonts w:hAnsi="標楷體" w:hint="eastAsia"/>
                <w:spacing w:val="0"/>
                <w:sz w:val="26"/>
              </w:rPr>
              <w:t>審議</w:t>
            </w:r>
          </w:p>
        </w:tc>
        <w:tc>
          <w:tcPr>
            <w:tcW w:w="1535" w:type="pct"/>
            <w:vAlign w:val="center"/>
          </w:tcPr>
          <w:p w14:paraId="52435DAF" w14:textId="77777777" w:rsidR="003141FE" w:rsidRPr="00C3310F" w:rsidRDefault="003141FE" w:rsidP="00FD66A8">
            <w:pPr>
              <w:pStyle w:val="14"/>
              <w:spacing w:line="240" w:lineRule="auto"/>
              <w:rPr>
                <w:rFonts w:hAnsi="標楷體"/>
                <w:spacing w:val="-12"/>
                <w:sz w:val="26"/>
              </w:rPr>
            </w:pPr>
            <w:r w:rsidRPr="00C3310F">
              <w:rPr>
                <w:rFonts w:hAnsi="標楷體" w:hint="eastAsia"/>
                <w:spacing w:val="-12"/>
                <w:sz w:val="26"/>
              </w:rPr>
              <w:t>11</w:t>
            </w:r>
            <w:r w:rsidR="00A0290D" w:rsidRPr="00C3310F">
              <w:rPr>
                <w:rFonts w:hAnsi="標楷體" w:hint="eastAsia"/>
                <w:spacing w:val="-12"/>
                <w:sz w:val="26"/>
              </w:rPr>
              <w:t>3</w:t>
            </w:r>
            <w:r w:rsidRPr="00C3310F">
              <w:rPr>
                <w:rFonts w:hAnsi="標楷體" w:hint="eastAsia"/>
                <w:spacing w:val="-12"/>
                <w:sz w:val="26"/>
              </w:rPr>
              <w:t>年</w:t>
            </w:r>
            <w:r w:rsidR="00A0290D" w:rsidRPr="00C3310F">
              <w:rPr>
                <w:rFonts w:hAnsi="標楷體" w:hint="eastAsia"/>
                <w:spacing w:val="-12"/>
                <w:sz w:val="26"/>
              </w:rPr>
              <w:t>8</w:t>
            </w:r>
            <w:r w:rsidRPr="00C3310F">
              <w:rPr>
                <w:rFonts w:hAnsi="標楷體" w:hint="eastAsia"/>
                <w:spacing w:val="-12"/>
                <w:sz w:val="26"/>
              </w:rPr>
              <w:t>月</w:t>
            </w:r>
            <w:r w:rsidR="001A005F" w:rsidRPr="00C3310F">
              <w:rPr>
                <w:rFonts w:hAnsi="標楷體" w:hint="eastAsia"/>
                <w:spacing w:val="-12"/>
                <w:sz w:val="26"/>
              </w:rPr>
              <w:t>13日</w:t>
            </w:r>
          </w:p>
        </w:tc>
      </w:tr>
    </w:tbl>
    <w:p w14:paraId="7C2BEEFA" w14:textId="35F2817A" w:rsidR="00951AB3" w:rsidRPr="00C3310F" w:rsidRDefault="003141FE" w:rsidP="003141FE">
      <w:pPr>
        <w:pStyle w:val="af6"/>
        <w:rPr>
          <w:rFonts w:hAnsi="標楷體"/>
          <w:sz w:val="20"/>
          <w:szCs w:val="20"/>
        </w:rPr>
      </w:pPr>
      <w:r w:rsidRPr="00C3310F">
        <w:rPr>
          <w:rFonts w:hAnsi="標楷體" w:hint="eastAsia"/>
          <w:sz w:val="20"/>
          <w:szCs w:val="20"/>
        </w:rPr>
        <w:t>資料來源：</w:t>
      </w:r>
      <w:r w:rsidR="00A1409C" w:rsidRPr="00C3310F">
        <w:rPr>
          <w:rFonts w:hAnsi="標楷體" w:hint="eastAsia"/>
          <w:sz w:val="20"/>
          <w:szCs w:val="20"/>
        </w:rPr>
        <w:t>本調查研究</w:t>
      </w:r>
      <w:r w:rsidRPr="00C3310F">
        <w:rPr>
          <w:rFonts w:hAnsi="標楷體" w:hint="eastAsia"/>
          <w:sz w:val="20"/>
          <w:szCs w:val="20"/>
        </w:rPr>
        <w:t>整理。</w:t>
      </w:r>
    </w:p>
    <w:p w14:paraId="3C7BE1A2" w14:textId="77777777" w:rsidR="00951AB3" w:rsidRPr="00C3310F" w:rsidRDefault="00951AB3">
      <w:pPr>
        <w:widowControl/>
        <w:overflowPunct/>
        <w:autoSpaceDE/>
        <w:autoSpaceDN/>
        <w:jc w:val="left"/>
        <w:rPr>
          <w:rFonts w:hAnsi="標楷體"/>
          <w:spacing w:val="-10"/>
          <w:kern w:val="0"/>
          <w:sz w:val="20"/>
        </w:rPr>
      </w:pPr>
      <w:r w:rsidRPr="00C3310F">
        <w:rPr>
          <w:rFonts w:hAnsi="標楷體"/>
          <w:sz w:val="20"/>
        </w:rPr>
        <w:br w:type="page"/>
      </w:r>
    </w:p>
    <w:p w14:paraId="778BE495" w14:textId="77777777" w:rsidR="00ED7F93" w:rsidRPr="00C3310F" w:rsidRDefault="00EC5439" w:rsidP="001750E7">
      <w:pPr>
        <w:pStyle w:val="1"/>
        <w:spacing w:beforeLines="50" w:before="228"/>
        <w:jc w:val="center"/>
        <w:rPr>
          <w:b/>
        </w:rPr>
      </w:pPr>
      <w:bookmarkStart w:id="328" w:name="_Toc524892370"/>
      <w:bookmarkStart w:id="329" w:name="_Toc524895640"/>
      <w:bookmarkStart w:id="330" w:name="_Toc524896186"/>
      <w:bookmarkStart w:id="331" w:name="_Toc524896216"/>
      <w:bookmarkStart w:id="332" w:name="_Toc524902722"/>
      <w:bookmarkStart w:id="333" w:name="_Toc525066141"/>
      <w:bookmarkStart w:id="334" w:name="_Toc525070831"/>
      <w:bookmarkStart w:id="335" w:name="_Toc525938371"/>
      <w:bookmarkStart w:id="336" w:name="_Toc525939219"/>
      <w:bookmarkStart w:id="337" w:name="_Toc525939724"/>
      <w:bookmarkStart w:id="338" w:name="_Toc529218258"/>
      <w:bookmarkStart w:id="339" w:name="_Toc529222681"/>
      <w:bookmarkStart w:id="340" w:name="_Toc529223103"/>
      <w:bookmarkStart w:id="341" w:name="_Toc529223854"/>
      <w:bookmarkStart w:id="342" w:name="_Toc529228250"/>
      <w:bookmarkStart w:id="343" w:name="_Toc2400386"/>
      <w:bookmarkStart w:id="344" w:name="_Toc4316181"/>
      <w:bookmarkStart w:id="345" w:name="_Toc4473322"/>
      <w:bookmarkStart w:id="346" w:name="_Toc69556889"/>
      <w:bookmarkStart w:id="347" w:name="_Toc69556938"/>
      <w:bookmarkStart w:id="348" w:name="_Toc69609812"/>
      <w:bookmarkStart w:id="349" w:name="_Toc70241808"/>
      <w:bookmarkStart w:id="350" w:name="_Toc70242197"/>
      <w:bookmarkStart w:id="351" w:name="_Toc421794867"/>
      <w:bookmarkStart w:id="352" w:name="_Toc75337865"/>
      <w:bookmarkStart w:id="353" w:name="_Toc75338602"/>
      <w:bookmarkStart w:id="354" w:name="_Toc172033240"/>
      <w:r w:rsidRPr="00C3310F">
        <w:rPr>
          <w:rFonts w:hint="eastAsia"/>
          <w:b/>
          <w:sz w:val="36"/>
        </w:rPr>
        <w:lastRenderedPageBreak/>
        <w:t>研究發現與分析</w:t>
      </w:r>
      <w:bookmarkStart w:id="355" w:name="_Toc525070834"/>
      <w:bookmarkStart w:id="356" w:name="_Toc525938374"/>
      <w:bookmarkStart w:id="357" w:name="_Toc525939222"/>
      <w:bookmarkStart w:id="358" w:name="_Toc525939727"/>
      <w:bookmarkStart w:id="359" w:name="_Toc525066144"/>
      <w:bookmarkStart w:id="360" w:name="_Toc524892372"/>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 w14:paraId="4CCD1513" w14:textId="335E0501" w:rsidR="000D47E9" w:rsidRPr="00C3310F" w:rsidRDefault="00A1409C" w:rsidP="000D47E9">
      <w:pPr>
        <w:pStyle w:val="2"/>
        <w:numPr>
          <w:ilvl w:val="0"/>
          <w:numId w:val="0"/>
        </w:numPr>
        <w:ind w:left="426" w:firstLineChars="208" w:firstLine="708"/>
      </w:pPr>
      <w:bookmarkStart w:id="361" w:name="_Toc172023922"/>
      <w:bookmarkStart w:id="362" w:name="_Toc172033241"/>
      <w:bookmarkStart w:id="363" w:name="_Hlk157507520"/>
      <w:r w:rsidRPr="00C3310F">
        <w:rPr>
          <w:rFonts w:hint="eastAsia"/>
        </w:rPr>
        <w:t>本調查研究</w:t>
      </w:r>
      <w:r w:rsidR="000D47E9" w:rsidRPr="00C3310F">
        <w:rPr>
          <w:rFonts w:hint="eastAsia"/>
        </w:rPr>
        <w:t>將先分析電信網路詐欺於檢方及警方之案件量化數據，以發現其長期趨勢；嗣將政府近年相關</w:t>
      </w:r>
      <w:r w:rsidR="00656174" w:rsidRPr="00C3310F">
        <w:rPr>
          <w:rFonts w:hint="eastAsia"/>
        </w:rPr>
        <w:t>防</w:t>
      </w:r>
      <w:r w:rsidR="000D47E9" w:rsidRPr="00C3310F">
        <w:rPr>
          <w:rFonts w:hint="eastAsia"/>
        </w:rPr>
        <w:t>制政策及法規依據「識詐」、「堵詐」、「阻詐」、「懲詐」進行歸納，與前述犯罪趨勢進行綜合分析，並臚陳學者專家意見，以發現政府</w:t>
      </w:r>
      <w:r w:rsidR="00656174" w:rsidRPr="00C3310F">
        <w:rPr>
          <w:rFonts w:hint="eastAsia"/>
        </w:rPr>
        <w:t>防</w:t>
      </w:r>
      <w:r w:rsidR="000D47E9" w:rsidRPr="00C3310F">
        <w:rPr>
          <w:rFonts w:hint="eastAsia"/>
        </w:rPr>
        <w:t>制電信網路詐欺相關措施及現行法規可能盲點所在。</w:t>
      </w:r>
      <w:bookmarkEnd w:id="361"/>
      <w:bookmarkEnd w:id="362"/>
    </w:p>
    <w:p w14:paraId="72AE57EF" w14:textId="77777777" w:rsidR="000A3135" w:rsidRPr="00C3310F" w:rsidRDefault="00164949" w:rsidP="0059314F">
      <w:pPr>
        <w:pStyle w:val="2"/>
        <w:numPr>
          <w:ilvl w:val="1"/>
          <w:numId w:val="28"/>
        </w:numPr>
      </w:pPr>
      <w:bookmarkStart w:id="364" w:name="_Toc172033242"/>
      <w:r w:rsidRPr="00C3310F">
        <w:rPr>
          <w:rFonts w:hint="eastAsia"/>
        </w:rPr>
        <w:t>電信網路詐欺案件變動趨勢</w:t>
      </w:r>
      <w:r w:rsidR="009215B8" w:rsidRPr="00C3310F">
        <w:rPr>
          <w:rFonts w:hint="eastAsia"/>
        </w:rPr>
        <w:t>:</w:t>
      </w:r>
      <w:bookmarkEnd w:id="364"/>
    </w:p>
    <w:p w14:paraId="25706A74" w14:textId="77777777" w:rsidR="00A5106A" w:rsidRPr="00C3310F" w:rsidRDefault="000A3135" w:rsidP="000A3135">
      <w:pPr>
        <w:pStyle w:val="2"/>
        <w:numPr>
          <w:ilvl w:val="0"/>
          <w:numId w:val="0"/>
        </w:numPr>
        <w:ind w:left="1021"/>
      </w:pPr>
      <w:r w:rsidRPr="00C3310F">
        <w:rPr>
          <w:rFonts w:hint="eastAsia"/>
        </w:rPr>
        <w:t xml:space="preserve">    </w:t>
      </w:r>
      <w:bookmarkStart w:id="365" w:name="_Toc172023924"/>
      <w:bookmarkStart w:id="366" w:name="_Toc172033243"/>
      <w:r w:rsidR="000D47E9" w:rsidRPr="00C3310F">
        <w:rPr>
          <w:rFonts w:hint="eastAsia"/>
        </w:rPr>
        <w:t>以下</w:t>
      </w:r>
      <w:r w:rsidR="00540128" w:rsidRPr="00C3310F">
        <w:rPr>
          <w:rFonts w:hint="eastAsia"/>
        </w:rPr>
        <w:t>就</w:t>
      </w:r>
      <w:r w:rsidR="000D47E9" w:rsidRPr="00C3310F">
        <w:rPr>
          <w:rFonts w:hint="eastAsia"/>
        </w:rPr>
        <w:t>警政署及高檢署在電信網路詐欺犯罪之相關</w:t>
      </w:r>
      <w:r w:rsidR="00540128" w:rsidRPr="00C3310F">
        <w:rPr>
          <w:rFonts w:hint="eastAsia"/>
        </w:rPr>
        <w:t>量化資料進行分析，以明其變動趨勢。</w:t>
      </w:r>
      <w:bookmarkEnd w:id="365"/>
      <w:bookmarkEnd w:id="366"/>
    </w:p>
    <w:p w14:paraId="64B0BD14" w14:textId="586C7C3B" w:rsidR="00535F70" w:rsidRPr="00C3310F" w:rsidRDefault="000D47E9" w:rsidP="008456BE">
      <w:pPr>
        <w:pStyle w:val="4"/>
      </w:pPr>
      <w:r w:rsidRPr="00C3310F">
        <w:rPr>
          <w:rFonts w:hint="eastAsia"/>
        </w:rPr>
        <w:t>警政署</w:t>
      </w:r>
      <w:r w:rsidR="00535F70" w:rsidRPr="00C3310F">
        <w:rPr>
          <w:rFonts w:hint="eastAsia"/>
        </w:rPr>
        <w:t>10</w:t>
      </w:r>
      <w:r w:rsidR="00656174" w:rsidRPr="00C3310F">
        <w:rPr>
          <w:rFonts w:hint="eastAsia"/>
        </w:rPr>
        <w:t>6</w:t>
      </w:r>
      <w:r w:rsidR="00535F70" w:rsidRPr="00C3310F">
        <w:rPr>
          <w:rFonts w:hint="eastAsia"/>
        </w:rPr>
        <w:t>至110年電信網路詐欺案件概況</w:t>
      </w:r>
      <w:r w:rsidR="00535F70" w:rsidRPr="00C3310F">
        <w:rPr>
          <w:rStyle w:val="afe"/>
        </w:rPr>
        <w:footnoteReference w:id="25"/>
      </w:r>
      <w:r w:rsidR="00535F70" w:rsidRPr="00C3310F">
        <w:rPr>
          <w:rFonts w:hint="eastAsia"/>
        </w:rPr>
        <w:t>:</w:t>
      </w:r>
    </w:p>
    <w:p w14:paraId="6B529968" w14:textId="77777777" w:rsidR="00535F70" w:rsidRPr="00C3310F" w:rsidRDefault="00535F70" w:rsidP="008456BE">
      <w:pPr>
        <w:pStyle w:val="5"/>
      </w:pPr>
      <w:r w:rsidRPr="00C3310F">
        <w:rPr>
          <w:rFonts w:hint="eastAsia"/>
        </w:rPr>
        <w:t>106至110年電信網路詐欺案件發生數，平均發生約12</w:t>
      </w:r>
      <w:r w:rsidRPr="00C3310F">
        <w:t>,</w:t>
      </w:r>
      <w:r w:rsidRPr="00C3310F">
        <w:rPr>
          <w:rFonts w:hint="eastAsia"/>
        </w:rPr>
        <w:t>800餘件，其中以108年13</w:t>
      </w:r>
      <w:r w:rsidRPr="00C3310F">
        <w:t>,</w:t>
      </w:r>
      <w:r w:rsidRPr="00C3310F">
        <w:rPr>
          <w:rFonts w:hint="eastAsia"/>
        </w:rPr>
        <w:t>283件最高，109年12</w:t>
      </w:r>
      <w:r w:rsidRPr="00C3310F">
        <w:t>,</w:t>
      </w:r>
      <w:r w:rsidRPr="00C3310F">
        <w:rPr>
          <w:rFonts w:hint="eastAsia"/>
        </w:rPr>
        <w:t>319件最低，詳圖</w:t>
      </w:r>
      <w:r w:rsidR="008456BE" w:rsidRPr="00C3310F">
        <w:rPr>
          <w:rFonts w:hint="eastAsia"/>
        </w:rPr>
        <w:t>2</w:t>
      </w:r>
      <w:r w:rsidRPr="00C3310F">
        <w:rPr>
          <w:rFonts w:hint="eastAsia"/>
        </w:rPr>
        <w:t>。</w:t>
      </w:r>
    </w:p>
    <w:p w14:paraId="5AD40F42" w14:textId="77777777" w:rsidR="00535F70" w:rsidRPr="00C3310F" w:rsidRDefault="00535F70" w:rsidP="00535F70">
      <w:pPr>
        <w:pStyle w:val="5"/>
        <w:numPr>
          <w:ilvl w:val="0"/>
          <w:numId w:val="0"/>
        </w:numPr>
        <w:ind w:left="142" w:firstLineChars="250" w:firstLine="850"/>
      </w:pPr>
      <w:r w:rsidRPr="00C3310F">
        <w:rPr>
          <w:noProof/>
        </w:rPr>
        <w:drawing>
          <wp:inline distT="0" distB="0" distL="0" distR="0" wp14:anchorId="451E5E15" wp14:editId="390C2B8A">
            <wp:extent cx="4134682" cy="3076575"/>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98879" cy="3124343"/>
                    </a:xfrm>
                    <a:prstGeom prst="rect">
                      <a:avLst/>
                    </a:prstGeom>
                  </pic:spPr>
                </pic:pic>
              </a:graphicData>
            </a:graphic>
          </wp:inline>
        </w:drawing>
      </w:r>
    </w:p>
    <w:p w14:paraId="145A4726" w14:textId="77777777" w:rsidR="00535F70" w:rsidRPr="00C3310F" w:rsidRDefault="00535F70" w:rsidP="00535F70">
      <w:pPr>
        <w:pStyle w:val="a1"/>
        <w:spacing w:before="0" w:after="120"/>
        <w:ind w:left="1361" w:hanging="681"/>
        <w:rPr>
          <w:rFonts w:hint="eastAsia"/>
          <w:b/>
        </w:rPr>
      </w:pPr>
      <w:bookmarkStart w:id="367" w:name="_Toc172025252"/>
      <w:r w:rsidRPr="00C3310F">
        <w:rPr>
          <w:rFonts w:hint="eastAsia"/>
          <w:b/>
        </w:rPr>
        <w:t>106至110年電信網路詐欺案件發生及破獲情形</w:t>
      </w:r>
      <w:bookmarkEnd w:id="367"/>
    </w:p>
    <w:p w14:paraId="66682D0E" w14:textId="77777777" w:rsidR="00535F70" w:rsidRPr="00C3310F" w:rsidRDefault="00535F70" w:rsidP="00535F70">
      <w:pPr>
        <w:pStyle w:val="5"/>
        <w:numPr>
          <w:ilvl w:val="0"/>
          <w:numId w:val="0"/>
        </w:numPr>
        <w:spacing w:afterLines="50" w:after="228" w:line="320" w:lineRule="exact"/>
        <w:ind w:firstLineChars="381" w:firstLine="991"/>
        <w:rPr>
          <w:sz w:val="24"/>
          <w:szCs w:val="24"/>
        </w:rPr>
      </w:pPr>
      <w:r w:rsidRPr="00C3310F">
        <w:rPr>
          <w:rFonts w:hint="eastAsia"/>
          <w:sz w:val="24"/>
          <w:szCs w:val="24"/>
        </w:rPr>
        <w:t>資料來源：打詐綱領1.0版。</w:t>
      </w:r>
    </w:p>
    <w:p w14:paraId="45957164" w14:textId="77777777" w:rsidR="00535F70" w:rsidRPr="00C3310F" w:rsidRDefault="00535F70" w:rsidP="008456BE">
      <w:pPr>
        <w:pStyle w:val="5"/>
      </w:pPr>
      <w:r w:rsidRPr="00C3310F">
        <w:rPr>
          <w:rFonts w:hint="eastAsia"/>
        </w:rPr>
        <w:lastRenderedPageBreak/>
        <w:t>106至110年全般詐欺案件財損金額平均約44.3億餘元，其中以110年56.1億元最高，107年39.7億元最低，詳圖</w:t>
      </w:r>
      <w:r w:rsidR="008456BE" w:rsidRPr="00C3310F">
        <w:rPr>
          <w:rFonts w:hint="eastAsia"/>
        </w:rPr>
        <w:t>3</w:t>
      </w:r>
      <w:r w:rsidRPr="00C3310F">
        <w:rPr>
          <w:rFonts w:hint="eastAsia"/>
        </w:rPr>
        <w:t>。</w:t>
      </w:r>
    </w:p>
    <w:p w14:paraId="112BD41C" w14:textId="77777777" w:rsidR="00535F70" w:rsidRPr="00C3310F" w:rsidRDefault="00535F70" w:rsidP="00535F70">
      <w:pPr>
        <w:pStyle w:val="5"/>
        <w:numPr>
          <w:ilvl w:val="0"/>
          <w:numId w:val="0"/>
        </w:numPr>
        <w:ind w:left="851" w:hanging="850"/>
      </w:pPr>
      <w:r w:rsidRPr="00C3310F">
        <w:rPr>
          <w:noProof/>
        </w:rPr>
        <w:drawing>
          <wp:inline distT="0" distB="0" distL="0" distR="0" wp14:anchorId="22EF13CB" wp14:editId="48D7113C">
            <wp:extent cx="5737059" cy="320802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72280" cy="3227715"/>
                    </a:xfrm>
                    <a:prstGeom prst="rect">
                      <a:avLst/>
                    </a:prstGeom>
                  </pic:spPr>
                </pic:pic>
              </a:graphicData>
            </a:graphic>
          </wp:inline>
        </w:drawing>
      </w:r>
    </w:p>
    <w:p w14:paraId="5974F449" w14:textId="77777777" w:rsidR="00535F70" w:rsidRPr="00C3310F" w:rsidRDefault="00535F70" w:rsidP="00535F70">
      <w:pPr>
        <w:pStyle w:val="a1"/>
        <w:spacing w:before="120" w:after="120" w:line="240" w:lineRule="exact"/>
        <w:ind w:left="1361" w:hanging="681"/>
        <w:rPr>
          <w:rFonts w:hint="eastAsia"/>
          <w:b/>
        </w:rPr>
      </w:pPr>
      <w:bookmarkStart w:id="368" w:name="_Toc172025253"/>
      <w:r w:rsidRPr="00C3310F">
        <w:rPr>
          <w:rFonts w:hint="eastAsia"/>
          <w:b/>
        </w:rPr>
        <w:t>106至110年全般詐欺案件財損及查扣金額情形</w:t>
      </w:r>
      <w:bookmarkEnd w:id="368"/>
    </w:p>
    <w:p w14:paraId="76CC849C" w14:textId="77777777" w:rsidR="00535F70" w:rsidRPr="00C3310F" w:rsidRDefault="00535F70" w:rsidP="00535F70">
      <w:pPr>
        <w:pStyle w:val="4"/>
        <w:numPr>
          <w:ilvl w:val="0"/>
          <w:numId w:val="0"/>
        </w:numPr>
        <w:spacing w:afterLines="50" w:after="228"/>
        <w:ind w:leftChars="-16" w:left="1" w:hangingChars="21" w:hanging="55"/>
      </w:pPr>
      <w:r w:rsidRPr="00C3310F">
        <w:rPr>
          <w:rFonts w:hint="eastAsia"/>
          <w:sz w:val="24"/>
          <w:szCs w:val="24"/>
        </w:rPr>
        <w:t>資料來源：打詐綱領1.0版。</w:t>
      </w:r>
    </w:p>
    <w:p w14:paraId="1F084AB0" w14:textId="77777777" w:rsidR="008456BE" w:rsidRPr="00C3310F" w:rsidRDefault="008456BE" w:rsidP="008456BE">
      <w:pPr>
        <w:pStyle w:val="4"/>
      </w:pPr>
      <w:r w:rsidRPr="00C3310F">
        <w:rPr>
          <w:rFonts w:hint="eastAsia"/>
        </w:rPr>
        <w:t>111至112年間：</w:t>
      </w:r>
    </w:p>
    <w:p w14:paraId="1C25F8B6" w14:textId="77777777" w:rsidR="00535F70" w:rsidRPr="00C3310F" w:rsidRDefault="008456BE" w:rsidP="008456BE">
      <w:pPr>
        <w:pStyle w:val="5"/>
      </w:pPr>
      <w:r w:rsidRPr="00C3310F">
        <w:rPr>
          <w:rFonts w:hint="eastAsia"/>
        </w:rPr>
        <w:t>打詐綱領1.0版實施近8個月後，詐欺案件發生數及財損金額仍持續增加，其中111</w:t>
      </w:r>
      <w:r w:rsidR="003337F6" w:rsidRPr="00C3310F">
        <w:rPr>
          <w:rFonts w:hint="eastAsia"/>
        </w:rPr>
        <w:t>年</w:t>
      </w:r>
      <w:r w:rsidRPr="00C3310F">
        <w:rPr>
          <w:rFonts w:hint="eastAsia"/>
        </w:rPr>
        <w:t>全般詐欺發生計2萬9,509件，詐欺財損73.3億元，分別較110年發生數增加4,785件(+19.35%)、財損增加17.2億餘元(+30.66%)，且全般詐欺發生及財損數為近5年最高。</w:t>
      </w:r>
    </w:p>
    <w:p w14:paraId="77C32F7C" w14:textId="77777777" w:rsidR="008456BE" w:rsidRPr="00C3310F" w:rsidRDefault="008456BE" w:rsidP="008456BE">
      <w:pPr>
        <w:pStyle w:val="5"/>
      </w:pPr>
      <w:r w:rsidRPr="00C3310F">
        <w:rPr>
          <w:rFonts w:hint="eastAsia"/>
        </w:rPr>
        <w:t>112年全般詐欺發生數前3名案類，依序為「投資詐欺」（發生數計1萬1,775件，財損53.7億元）、「假網路拍賣（購物）」（發生數計8,246件、財損5.8億元），「解除分期付款詐欺（ATM）」（發生數計7,351件、財損9.4億元），此三類案件發生</w:t>
      </w:r>
      <w:r w:rsidRPr="00C3310F">
        <w:rPr>
          <w:rFonts w:hint="eastAsia"/>
        </w:rPr>
        <w:lastRenderedPageBreak/>
        <w:t>數與財損金額即占全般詐欺案件近7成。</w:t>
      </w:r>
    </w:p>
    <w:p w14:paraId="1601B24B" w14:textId="77777777" w:rsidR="00FD66A8" w:rsidRPr="00C3310F" w:rsidRDefault="00875534" w:rsidP="00535F70">
      <w:pPr>
        <w:pStyle w:val="4"/>
      </w:pPr>
      <w:r w:rsidRPr="00C3310F">
        <w:rPr>
          <w:rFonts w:hint="eastAsia"/>
        </w:rPr>
        <w:t>依</w:t>
      </w:r>
      <w:r w:rsidR="00E313DB" w:rsidRPr="00C3310F">
        <w:rPr>
          <w:rFonts w:hint="eastAsia"/>
        </w:rPr>
        <w:t>89至112年共24年間電信網路詐欺案件數量變動趨勢(</w:t>
      </w:r>
      <w:r w:rsidR="008A371D" w:rsidRPr="00C3310F">
        <w:rPr>
          <w:rFonts w:hint="eastAsia"/>
        </w:rPr>
        <w:t>詳</w:t>
      </w:r>
      <w:r w:rsidR="00E313DB" w:rsidRPr="00C3310F">
        <w:rPr>
          <w:rFonts w:hint="eastAsia"/>
        </w:rPr>
        <w:t>圖</w:t>
      </w:r>
      <w:r w:rsidR="008456BE" w:rsidRPr="00C3310F">
        <w:rPr>
          <w:rFonts w:hint="eastAsia"/>
        </w:rPr>
        <w:t>4</w:t>
      </w:r>
      <w:r w:rsidR="00E313DB" w:rsidRPr="00C3310F">
        <w:rPr>
          <w:rFonts w:hint="eastAsia"/>
        </w:rPr>
        <w:t>)</w:t>
      </w:r>
      <w:r w:rsidR="008A371D" w:rsidRPr="00C3310F">
        <w:rPr>
          <w:rStyle w:val="afe"/>
        </w:rPr>
        <w:footnoteReference w:id="26"/>
      </w:r>
      <w:r w:rsidR="008A371D" w:rsidRPr="00C3310F">
        <w:rPr>
          <w:rFonts w:hint="eastAsia"/>
          <w:vertAlign w:val="superscript"/>
        </w:rPr>
        <w:t>、</w:t>
      </w:r>
      <w:r w:rsidR="008A371D" w:rsidRPr="00C3310F">
        <w:rPr>
          <w:rStyle w:val="afe"/>
        </w:rPr>
        <w:footnoteReference w:id="27"/>
      </w:r>
      <w:r w:rsidR="00E313DB" w:rsidRPr="00C3310F">
        <w:rPr>
          <w:rFonts w:hint="eastAsia"/>
        </w:rPr>
        <w:t>，</w:t>
      </w:r>
      <w:r w:rsidRPr="00C3310F">
        <w:rPr>
          <w:rFonts w:hint="eastAsia"/>
        </w:rPr>
        <w:t>歷年共出現2次高峰，第1次發生於</w:t>
      </w:r>
      <w:r w:rsidR="00C832CF" w:rsidRPr="00C3310F">
        <w:rPr>
          <w:rFonts w:hint="eastAsia"/>
        </w:rPr>
        <w:t>93至98</w:t>
      </w:r>
      <w:r w:rsidR="00E313DB" w:rsidRPr="00C3310F">
        <w:rPr>
          <w:rFonts w:hint="eastAsia"/>
        </w:rPr>
        <w:t>年間</w:t>
      </w:r>
      <w:r w:rsidRPr="00C3310F">
        <w:rPr>
          <w:rFonts w:hint="eastAsia"/>
        </w:rPr>
        <w:t>，</w:t>
      </w:r>
      <w:r w:rsidR="00E313DB" w:rsidRPr="00C3310F">
        <w:rPr>
          <w:rFonts w:hint="eastAsia"/>
        </w:rPr>
        <w:t>件</w:t>
      </w:r>
      <w:r w:rsidR="00C832CF" w:rsidRPr="00C3310F">
        <w:rPr>
          <w:rFonts w:hint="eastAsia"/>
        </w:rPr>
        <w:t>數</w:t>
      </w:r>
      <w:r w:rsidR="00E313DB" w:rsidRPr="00C3310F">
        <w:rPr>
          <w:rFonts w:hint="eastAsia"/>
        </w:rPr>
        <w:t>一度攀升至1.9萬件，經政府大力掃蕩，於102年降至</w:t>
      </w:r>
      <w:r w:rsidR="00C832CF" w:rsidRPr="00C3310F">
        <w:rPr>
          <w:rFonts w:hint="eastAsia"/>
        </w:rPr>
        <w:t>低點</w:t>
      </w:r>
      <w:r w:rsidR="00E313DB" w:rsidRPr="00C3310F">
        <w:rPr>
          <w:rFonts w:hint="eastAsia"/>
        </w:rPr>
        <w:t>6</w:t>
      </w:r>
      <w:r w:rsidR="00E313DB" w:rsidRPr="00C3310F">
        <w:t>,</w:t>
      </w:r>
      <w:r w:rsidR="00E313DB" w:rsidRPr="00C3310F">
        <w:rPr>
          <w:rFonts w:hint="eastAsia"/>
        </w:rPr>
        <w:t>355件，</w:t>
      </w:r>
      <w:r w:rsidRPr="00C3310F">
        <w:rPr>
          <w:rFonts w:hint="eastAsia"/>
        </w:rPr>
        <w:t>然後續又逐步上升，</w:t>
      </w:r>
      <w:r w:rsidR="00E313DB" w:rsidRPr="00C3310F">
        <w:rPr>
          <w:rFonts w:hint="eastAsia"/>
        </w:rPr>
        <w:t>105至110年間</w:t>
      </w:r>
      <w:r w:rsidR="008A371D" w:rsidRPr="00C3310F">
        <w:rPr>
          <w:rFonts w:hint="eastAsia"/>
        </w:rPr>
        <w:t>約</w:t>
      </w:r>
      <w:r w:rsidR="00E313DB" w:rsidRPr="00C3310F">
        <w:rPr>
          <w:rFonts w:hint="eastAsia"/>
        </w:rPr>
        <w:t>維持1.3萬件，直至111年起</w:t>
      </w:r>
      <w:r w:rsidR="008A371D" w:rsidRPr="00C3310F">
        <w:rPr>
          <w:rFonts w:hint="eastAsia"/>
        </w:rPr>
        <w:t>電信網路詐欺案件</w:t>
      </w:r>
      <w:r w:rsidR="00E313DB" w:rsidRPr="00C3310F">
        <w:rPr>
          <w:rFonts w:hint="eastAsia"/>
        </w:rPr>
        <w:t>又快速成長，至112年突破歷史高峰至20</w:t>
      </w:r>
      <w:r w:rsidR="00E313DB" w:rsidRPr="00C3310F">
        <w:t>,</w:t>
      </w:r>
      <w:r w:rsidR="00E313DB" w:rsidRPr="00C3310F">
        <w:rPr>
          <w:rFonts w:hint="eastAsia"/>
        </w:rPr>
        <w:t>958件，</w:t>
      </w:r>
      <w:r w:rsidR="008A371D" w:rsidRPr="00C3310F">
        <w:rPr>
          <w:rFonts w:hint="eastAsia"/>
        </w:rPr>
        <w:t>較111年</w:t>
      </w:r>
      <w:r w:rsidR="00E313DB" w:rsidRPr="00C3310F">
        <w:rPr>
          <w:rFonts w:hint="eastAsia"/>
        </w:rPr>
        <w:t>增</w:t>
      </w:r>
      <w:r w:rsidR="008A371D" w:rsidRPr="00C3310F">
        <w:rPr>
          <w:rFonts w:hint="eastAsia"/>
        </w:rPr>
        <w:t>加比</w:t>
      </w:r>
      <w:r w:rsidR="00E313DB" w:rsidRPr="00C3310F">
        <w:rPr>
          <w:rFonts w:hint="eastAsia"/>
        </w:rPr>
        <w:t>率</w:t>
      </w:r>
      <w:r w:rsidR="008A371D" w:rsidRPr="00C3310F">
        <w:rPr>
          <w:rFonts w:hint="eastAsia"/>
        </w:rPr>
        <w:t>高</w:t>
      </w:r>
      <w:r w:rsidR="00E313DB" w:rsidRPr="00C3310F">
        <w:rPr>
          <w:rFonts w:hint="eastAsia"/>
        </w:rPr>
        <w:t>達33.1%</w:t>
      </w:r>
      <w:r w:rsidR="00B841B0" w:rsidRPr="00C3310F">
        <w:rPr>
          <w:rFonts w:hint="eastAsia"/>
        </w:rPr>
        <w:t>，</w:t>
      </w:r>
      <w:r w:rsidR="00FB518F" w:rsidRPr="00C3310F">
        <w:rPr>
          <w:rFonts w:hint="eastAsia"/>
        </w:rPr>
        <w:t>較</w:t>
      </w:r>
      <w:r w:rsidR="00C832CF" w:rsidRPr="00C3310F">
        <w:rPr>
          <w:rFonts w:hint="eastAsia"/>
        </w:rPr>
        <w:t>110年</w:t>
      </w:r>
      <w:r w:rsidR="00FB518F" w:rsidRPr="00C3310F">
        <w:rPr>
          <w:rFonts w:hint="eastAsia"/>
        </w:rPr>
        <w:t>更成長近6成，</w:t>
      </w:r>
      <w:r w:rsidR="00C832CF" w:rsidRPr="00C3310F">
        <w:rPr>
          <w:rFonts w:hint="eastAsia"/>
        </w:rPr>
        <w:t>電信網路詐欺案件迅速爬升，形成第2次高峰，且尚未有減緩現象。</w:t>
      </w:r>
      <w:r w:rsidR="00FB518F" w:rsidRPr="00C3310F">
        <w:rPr>
          <w:rFonts w:hint="eastAsia"/>
        </w:rPr>
        <w:t>另依警政署統計各種詐欺案件類型統計更可發現，比較100與112年，其他類型詐欺案件成長28%，</w:t>
      </w:r>
      <w:r w:rsidR="00FC3845" w:rsidRPr="00C3310F">
        <w:rPr>
          <w:rFonts w:hint="eastAsia"/>
        </w:rPr>
        <w:t>財損金額負成長約2成，</w:t>
      </w:r>
      <w:r w:rsidR="00FD66A8" w:rsidRPr="00C3310F">
        <w:rPr>
          <w:rFonts w:hint="eastAsia"/>
        </w:rPr>
        <w:t>然電信網路詐欺案件成長高達</w:t>
      </w:r>
      <w:r w:rsidR="006521F8" w:rsidRPr="00C3310F">
        <w:rPr>
          <w:rFonts w:hint="eastAsia"/>
        </w:rPr>
        <w:t>1倍(</w:t>
      </w:r>
      <w:r w:rsidR="00FD66A8" w:rsidRPr="00C3310F">
        <w:rPr>
          <w:rFonts w:hint="eastAsia"/>
        </w:rPr>
        <w:t>103%</w:t>
      </w:r>
      <w:r w:rsidR="006521F8" w:rsidRPr="00C3310F">
        <w:rPr>
          <w:rFonts w:hint="eastAsia"/>
        </w:rPr>
        <w:t>)</w:t>
      </w:r>
      <w:r w:rsidR="00FC3845" w:rsidRPr="00C3310F">
        <w:rPr>
          <w:rFonts w:hint="eastAsia"/>
        </w:rPr>
        <w:t>，財損金額增加比率更高達4</w:t>
      </w:r>
      <w:r w:rsidR="006521F8" w:rsidRPr="00C3310F">
        <w:rPr>
          <w:rFonts w:hint="eastAsia"/>
        </w:rPr>
        <w:t>.</w:t>
      </w:r>
      <w:r w:rsidR="00FC3845" w:rsidRPr="00C3310F">
        <w:rPr>
          <w:rFonts w:hint="eastAsia"/>
        </w:rPr>
        <w:t>36</w:t>
      </w:r>
      <w:r w:rsidR="006521F8" w:rsidRPr="00C3310F">
        <w:rPr>
          <w:rFonts w:hint="eastAsia"/>
        </w:rPr>
        <w:t>倍(436%)</w:t>
      </w:r>
      <w:r w:rsidR="00FC3845" w:rsidRPr="00C3310F">
        <w:rPr>
          <w:rFonts w:hint="eastAsia"/>
        </w:rPr>
        <w:t>，</w:t>
      </w:r>
      <w:r w:rsidR="00FD66A8" w:rsidRPr="00C3310F">
        <w:rPr>
          <w:rFonts w:hint="eastAsia"/>
        </w:rPr>
        <w:t>以上均顯示</w:t>
      </w:r>
      <w:r w:rsidR="00FC3845" w:rsidRPr="00C3310F">
        <w:rPr>
          <w:rFonts w:hint="eastAsia"/>
        </w:rPr>
        <w:t>當前</w:t>
      </w:r>
      <w:r w:rsidR="00FD66A8" w:rsidRPr="00C3310F">
        <w:rPr>
          <w:rFonts w:hint="eastAsia"/>
        </w:rPr>
        <w:t>電信網路詐欺</w:t>
      </w:r>
      <w:r w:rsidR="00FC3845" w:rsidRPr="00C3310F">
        <w:rPr>
          <w:rFonts w:hint="eastAsia"/>
        </w:rPr>
        <w:t>案件之</w:t>
      </w:r>
      <w:r w:rsidR="00FD66A8" w:rsidRPr="00C3310F">
        <w:rPr>
          <w:rFonts w:hint="eastAsia"/>
        </w:rPr>
        <w:t>氾濫，及政府</w:t>
      </w:r>
      <w:r w:rsidR="00B841B0" w:rsidRPr="00C3310F">
        <w:rPr>
          <w:rFonts w:hint="eastAsia"/>
        </w:rPr>
        <w:t>打詐</w:t>
      </w:r>
      <w:r w:rsidR="00E313DB" w:rsidRPr="00C3310F">
        <w:rPr>
          <w:rFonts w:hint="eastAsia"/>
        </w:rPr>
        <w:t>情勢之嚴峻。</w:t>
      </w:r>
    </w:p>
    <w:p w14:paraId="5A219FAA" w14:textId="77777777" w:rsidR="003B11FD" w:rsidRPr="00C3310F" w:rsidRDefault="003B11FD" w:rsidP="003B11FD">
      <w:pPr>
        <w:pStyle w:val="1"/>
        <w:numPr>
          <w:ilvl w:val="0"/>
          <w:numId w:val="0"/>
        </w:numPr>
        <w:ind w:left="1701" w:hanging="1701"/>
      </w:pPr>
    </w:p>
    <w:p w14:paraId="56F73458" w14:textId="3FE10289" w:rsidR="008A371D" w:rsidRPr="00C3310F" w:rsidRDefault="00656174" w:rsidP="003B11FD">
      <w:pPr>
        <w:pStyle w:val="a1"/>
        <w:rPr>
          <w:rFonts w:hint="eastAsia"/>
          <w:b/>
        </w:rPr>
      </w:pPr>
      <w:bookmarkStart w:id="369" w:name="_Toc172025254"/>
      <w:r w:rsidRPr="00C3310F">
        <w:rPr>
          <w:rFonts w:hint="eastAsia"/>
          <w:b/>
        </w:rPr>
        <w:lastRenderedPageBreak/>
        <w:t>電</w:t>
      </w:r>
      <w:r w:rsidR="003B11FD" w:rsidRPr="00C3310F">
        <w:rPr>
          <w:b/>
          <w:noProof/>
        </w:rPr>
        <w:drawing>
          <wp:anchor distT="0" distB="0" distL="114300" distR="114300" simplePos="0" relativeHeight="251667456" behindDoc="0" locked="0" layoutInCell="1" allowOverlap="1" wp14:anchorId="7DBD175D" wp14:editId="5A36528E">
            <wp:simplePos x="0" y="0"/>
            <wp:positionH relativeFrom="margin">
              <wp:align>left</wp:align>
            </wp:positionH>
            <wp:positionV relativeFrom="paragraph">
              <wp:posOffset>0</wp:posOffset>
            </wp:positionV>
            <wp:extent cx="6286500" cy="4181475"/>
            <wp:effectExtent l="0" t="0" r="0" b="9525"/>
            <wp:wrapTopAndBottom/>
            <wp:docPr id="15" name="圖表 15">
              <a:extLst xmlns:a="http://schemas.openxmlformats.org/drawingml/2006/main">
                <a:ext uri="{FF2B5EF4-FFF2-40B4-BE49-F238E27FC236}">
                  <a16:creationId xmlns:a16="http://schemas.microsoft.com/office/drawing/2014/main" id="{765D2189-8114-431D-A28A-830554AD9A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8A371D" w:rsidRPr="00C3310F">
        <w:rPr>
          <w:rFonts w:hint="eastAsia"/>
          <w:b/>
        </w:rPr>
        <w:t>信網路詐欺案件數逐年趨勢</w:t>
      </w:r>
      <w:bookmarkEnd w:id="369"/>
    </w:p>
    <w:p w14:paraId="649FE9E9" w14:textId="5484AE82" w:rsidR="008A371D" w:rsidRPr="00C3310F" w:rsidRDefault="008A371D" w:rsidP="003B11FD">
      <w:pPr>
        <w:pStyle w:val="4"/>
        <w:numPr>
          <w:ilvl w:val="0"/>
          <w:numId w:val="0"/>
        </w:numPr>
        <w:spacing w:line="320" w:lineRule="exact"/>
        <w:ind w:leftChars="-166" w:left="2" w:hangingChars="218" w:hanging="567"/>
        <w:rPr>
          <w:sz w:val="24"/>
          <w:szCs w:val="24"/>
        </w:rPr>
      </w:pPr>
      <w:r w:rsidRPr="00C3310F">
        <w:rPr>
          <w:rFonts w:hint="eastAsia"/>
          <w:sz w:val="24"/>
          <w:szCs w:val="24"/>
        </w:rPr>
        <w:t>資料來源：警政署</w:t>
      </w:r>
      <w:r w:rsidR="007A1A81" w:rsidRPr="00C3310F">
        <w:rPr>
          <w:rFonts w:hint="eastAsia"/>
          <w:sz w:val="24"/>
          <w:szCs w:val="24"/>
        </w:rPr>
        <w:t>113年6月19日內授警字第1130878508號函及曾雅芬</w:t>
      </w:r>
      <w:r w:rsidR="007A1A81" w:rsidRPr="00C3310F">
        <w:rPr>
          <w:rStyle w:val="afe"/>
          <w:sz w:val="24"/>
          <w:szCs w:val="24"/>
        </w:rPr>
        <w:footnoteReference w:id="28"/>
      </w:r>
      <w:r w:rsidR="007A1A81" w:rsidRPr="00C3310F">
        <w:rPr>
          <w:rFonts w:hint="eastAsia"/>
          <w:sz w:val="24"/>
          <w:szCs w:val="24"/>
        </w:rPr>
        <w:t>研究，本院自行整理</w:t>
      </w:r>
      <w:r w:rsidRPr="00C3310F">
        <w:rPr>
          <w:rFonts w:hint="eastAsia"/>
          <w:sz w:val="24"/>
          <w:szCs w:val="24"/>
        </w:rPr>
        <w:t>。</w:t>
      </w:r>
    </w:p>
    <w:p w14:paraId="65DD7698" w14:textId="77777777" w:rsidR="008A371D" w:rsidRPr="00C3310F" w:rsidRDefault="00FC3845" w:rsidP="00FD66A8">
      <w:pPr>
        <w:pStyle w:val="a3"/>
        <w:rPr>
          <w:rFonts w:hint="eastAsia"/>
          <w:b/>
        </w:rPr>
      </w:pPr>
      <w:bookmarkStart w:id="370" w:name="_Toc172025206"/>
      <w:r w:rsidRPr="00C3310F">
        <w:rPr>
          <w:b/>
          <w:noProof/>
        </w:rPr>
        <w:lastRenderedPageBreak/>
        <w:drawing>
          <wp:anchor distT="0" distB="0" distL="114300" distR="114300" simplePos="0" relativeHeight="251669504" behindDoc="0" locked="0" layoutInCell="1" allowOverlap="1" wp14:anchorId="7109F084" wp14:editId="255CFD7A">
            <wp:simplePos x="0" y="0"/>
            <wp:positionH relativeFrom="page">
              <wp:posOffset>320040</wp:posOffset>
            </wp:positionH>
            <wp:positionV relativeFrom="paragraph">
              <wp:posOffset>351155</wp:posOffset>
            </wp:positionV>
            <wp:extent cx="6687185" cy="3627120"/>
            <wp:effectExtent l="38100" t="38100" r="37465" b="30480"/>
            <wp:wrapTopAndBottom/>
            <wp:docPr id="1542205351" name="圖片 1542205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87185" cy="3627120"/>
                    </a:xfrm>
                    <a:prstGeom prst="rect">
                      <a:avLst/>
                    </a:prstGeom>
                    <a:noFill/>
                    <a:ln w="28575">
                      <a:solidFill>
                        <a:schemeClr val="tx1"/>
                      </a:solidFill>
                    </a:ln>
                  </pic:spPr>
                </pic:pic>
              </a:graphicData>
            </a:graphic>
            <wp14:sizeRelH relativeFrom="page">
              <wp14:pctWidth>0</wp14:pctWidth>
            </wp14:sizeRelH>
            <wp14:sizeRelV relativeFrom="page">
              <wp14:pctHeight>0</wp14:pctHeight>
            </wp14:sizeRelV>
          </wp:anchor>
        </w:drawing>
      </w:r>
      <w:r w:rsidR="00FD66A8" w:rsidRPr="00C3310F">
        <w:rPr>
          <w:rFonts w:hint="eastAsia"/>
          <w:b/>
        </w:rPr>
        <w:t>100年起各類型詐欺案件發生、破獲及財損統計表</w:t>
      </w:r>
      <w:bookmarkEnd w:id="370"/>
    </w:p>
    <w:p w14:paraId="7C1B9515" w14:textId="77777777" w:rsidR="00FD66A8" w:rsidRPr="00C3310F" w:rsidRDefault="00FD66A8" w:rsidP="008760D5">
      <w:pPr>
        <w:pStyle w:val="4"/>
        <w:numPr>
          <w:ilvl w:val="0"/>
          <w:numId w:val="0"/>
        </w:numPr>
        <w:spacing w:afterLines="50" w:after="228"/>
        <w:ind w:leftChars="-208" w:hangingChars="272" w:hanging="708"/>
        <w:rPr>
          <w:sz w:val="24"/>
          <w:szCs w:val="24"/>
        </w:rPr>
      </w:pPr>
      <w:r w:rsidRPr="00C3310F">
        <w:rPr>
          <w:rFonts w:hint="eastAsia"/>
          <w:sz w:val="24"/>
          <w:szCs w:val="24"/>
        </w:rPr>
        <w:t>資料來源：內政部</w:t>
      </w:r>
      <w:r w:rsidR="007A1A81" w:rsidRPr="00C3310F">
        <w:rPr>
          <w:rFonts w:hint="eastAsia"/>
          <w:sz w:val="24"/>
          <w:szCs w:val="24"/>
        </w:rPr>
        <w:t>警政署</w:t>
      </w:r>
      <w:r w:rsidR="007A1A81" w:rsidRPr="00C3310F">
        <w:rPr>
          <w:rStyle w:val="afe"/>
          <w:sz w:val="24"/>
          <w:szCs w:val="24"/>
        </w:rPr>
        <w:footnoteReference w:id="29"/>
      </w:r>
      <w:r w:rsidRPr="00C3310F">
        <w:rPr>
          <w:rFonts w:hint="eastAsia"/>
          <w:sz w:val="24"/>
          <w:szCs w:val="24"/>
        </w:rPr>
        <w:t>。</w:t>
      </w:r>
    </w:p>
    <w:p w14:paraId="49334E19" w14:textId="77777777" w:rsidR="008456BE" w:rsidRPr="00C3310F" w:rsidRDefault="008760D5" w:rsidP="008456BE">
      <w:pPr>
        <w:pStyle w:val="3"/>
      </w:pPr>
      <w:bookmarkStart w:id="371" w:name="_Toc171525442"/>
      <w:bookmarkStart w:id="372" w:name="_Toc172023925"/>
      <w:bookmarkStart w:id="373" w:name="_Toc172033244"/>
      <w:r w:rsidRPr="00C3310F">
        <w:rPr>
          <w:rFonts w:hint="eastAsia"/>
        </w:rPr>
        <w:t>檢調機關電信網路詐欺</w:t>
      </w:r>
      <w:r w:rsidR="008456BE" w:rsidRPr="00C3310F">
        <w:rPr>
          <w:rFonts w:hint="eastAsia"/>
        </w:rPr>
        <w:t>案</w:t>
      </w:r>
      <w:r w:rsidR="00B0210B" w:rsidRPr="00C3310F">
        <w:rPr>
          <w:rFonts w:hint="eastAsia"/>
        </w:rPr>
        <w:t>新收</w:t>
      </w:r>
      <w:r w:rsidR="008456BE" w:rsidRPr="00C3310F">
        <w:rPr>
          <w:rFonts w:hint="eastAsia"/>
        </w:rPr>
        <w:t>件</w:t>
      </w:r>
      <w:r w:rsidR="00B0210B" w:rsidRPr="00C3310F">
        <w:rPr>
          <w:rFonts w:hint="eastAsia"/>
        </w:rPr>
        <w:t>數變動</w:t>
      </w:r>
      <w:r w:rsidR="008456BE" w:rsidRPr="00C3310F">
        <w:rPr>
          <w:rFonts w:hint="eastAsia"/>
        </w:rPr>
        <w:t>情形：</w:t>
      </w:r>
      <w:bookmarkEnd w:id="371"/>
      <w:bookmarkEnd w:id="372"/>
      <w:bookmarkEnd w:id="373"/>
    </w:p>
    <w:p w14:paraId="5047FE81" w14:textId="77777777" w:rsidR="008456BE" w:rsidRPr="00C3310F" w:rsidRDefault="008456BE" w:rsidP="008760D5">
      <w:pPr>
        <w:pStyle w:val="4"/>
      </w:pPr>
      <w:r w:rsidRPr="00C3310F">
        <w:rPr>
          <w:rFonts w:hint="eastAsia"/>
        </w:rPr>
        <w:t>各地檢署電信網路詐欺案件新收件數由109年之50,239件逐年成長至112年新收件數229,711件，累計4年電信網路詐欺新增加收件數達526,030件，且112年較109年新收件數增加179</w:t>
      </w:r>
      <w:r w:rsidRPr="00C3310F">
        <w:t>,</w:t>
      </w:r>
      <w:r w:rsidRPr="00C3310F">
        <w:rPr>
          <w:rFonts w:hint="eastAsia"/>
        </w:rPr>
        <w:t>472件，成長逾3.5倍(357%)，顯示電信網路詐欺案件新收件數並未有減緩之情形。</w:t>
      </w:r>
    </w:p>
    <w:p w14:paraId="74FB8A81" w14:textId="4C678FE9" w:rsidR="008456BE" w:rsidRPr="00C3310F" w:rsidRDefault="008456BE" w:rsidP="008760D5">
      <w:pPr>
        <w:pStyle w:val="4"/>
      </w:pPr>
      <w:r w:rsidRPr="00C3310F">
        <w:rPr>
          <w:rFonts w:hint="eastAsia"/>
        </w:rPr>
        <w:t>各地檢署電信網路詐欺案件新收件數占全部偵查案件比率，由109年10.1%逐年成長至112年之31.3%，顯示地檢署偵辦案件，電信網路詐欺案件由109年約占1成，至102年，已成長至3成，檢察官偵辦電信網路詐欺案比率大幅增加。(詳表</w:t>
      </w:r>
      <w:r w:rsidR="008760D5" w:rsidRPr="00C3310F">
        <w:rPr>
          <w:rFonts w:hint="eastAsia"/>
        </w:rPr>
        <w:t>3</w:t>
      </w:r>
      <w:r w:rsidRPr="00C3310F">
        <w:rPr>
          <w:rFonts w:hint="eastAsia"/>
        </w:rPr>
        <w:t>、圖</w:t>
      </w:r>
      <w:r w:rsidR="008760D5" w:rsidRPr="00C3310F">
        <w:rPr>
          <w:rFonts w:hint="eastAsia"/>
        </w:rPr>
        <w:t>5</w:t>
      </w:r>
      <w:r w:rsidRPr="00C3310F">
        <w:rPr>
          <w:rFonts w:hint="eastAsia"/>
        </w:rPr>
        <w:t>)。</w:t>
      </w:r>
    </w:p>
    <w:p w14:paraId="70FD696D" w14:textId="77777777" w:rsidR="008456BE" w:rsidRPr="00C3310F" w:rsidRDefault="008456BE" w:rsidP="008456BE">
      <w:pPr>
        <w:pStyle w:val="a3"/>
        <w:jc w:val="center"/>
        <w:rPr>
          <w:rFonts w:hint="eastAsia"/>
          <w:b/>
        </w:rPr>
      </w:pPr>
      <w:bookmarkStart w:id="374" w:name="_Toc172025207"/>
      <w:r w:rsidRPr="00C3310F">
        <w:rPr>
          <w:rFonts w:hint="eastAsia"/>
          <w:b/>
        </w:rPr>
        <w:lastRenderedPageBreak/>
        <w:t>各地方檢察署電信網路詐欺案件偵查新收件數</w:t>
      </w:r>
      <w:bookmarkEnd w:id="374"/>
    </w:p>
    <w:p w14:paraId="44C27076" w14:textId="77777777" w:rsidR="008456BE" w:rsidRPr="00C3310F" w:rsidRDefault="008456BE" w:rsidP="008456BE">
      <w:pPr>
        <w:pStyle w:val="4"/>
        <w:numPr>
          <w:ilvl w:val="0"/>
          <w:numId w:val="0"/>
        </w:numPr>
        <w:ind w:left="1701"/>
        <w:jc w:val="right"/>
        <w:rPr>
          <w:sz w:val="24"/>
          <w:szCs w:val="24"/>
        </w:rPr>
      </w:pPr>
      <w:r w:rsidRPr="00C3310F">
        <w:rPr>
          <w:rFonts w:hint="eastAsia"/>
          <w:sz w:val="24"/>
          <w:szCs w:val="24"/>
        </w:rPr>
        <w:t>單位：件數；%</w:t>
      </w:r>
    </w:p>
    <w:tbl>
      <w:tblPr>
        <w:tblW w:w="9785" w:type="dxa"/>
        <w:tblCellSpacing w:w="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6"/>
        <w:gridCol w:w="2198"/>
        <w:gridCol w:w="1912"/>
        <w:gridCol w:w="3689"/>
      </w:tblGrid>
      <w:tr w:rsidR="00C3310F" w:rsidRPr="00C3310F" w14:paraId="41EDEBDC" w14:textId="77777777" w:rsidTr="00301D07">
        <w:trPr>
          <w:trHeight w:val="280"/>
          <w:tblCellSpacing w:w="0" w:type="dxa"/>
        </w:trPr>
        <w:tc>
          <w:tcPr>
            <w:tcW w:w="1986" w:type="dxa"/>
            <w:vAlign w:val="center"/>
            <w:hideMark/>
          </w:tcPr>
          <w:p w14:paraId="72612E10" w14:textId="77777777" w:rsidR="008456BE" w:rsidRPr="00C3310F" w:rsidRDefault="008456BE" w:rsidP="00301D07">
            <w:pPr>
              <w:widowControl/>
              <w:overflowPunct/>
              <w:autoSpaceDE/>
              <w:autoSpaceDN/>
              <w:jc w:val="center"/>
              <w:rPr>
                <w:rFonts w:hAnsi="標楷體" w:cs="Arial"/>
                <w:kern w:val="0"/>
                <w:sz w:val="28"/>
                <w:szCs w:val="28"/>
              </w:rPr>
            </w:pPr>
          </w:p>
        </w:tc>
        <w:tc>
          <w:tcPr>
            <w:tcW w:w="2198" w:type="dxa"/>
            <w:vAlign w:val="center"/>
            <w:hideMark/>
          </w:tcPr>
          <w:p w14:paraId="15311BCB" w14:textId="77777777" w:rsidR="008456BE" w:rsidRPr="00C3310F" w:rsidRDefault="008456BE" w:rsidP="00301D07">
            <w:pPr>
              <w:widowControl/>
              <w:overflowPunct/>
              <w:autoSpaceDE/>
              <w:autoSpaceDN/>
              <w:ind w:rightChars="-5" w:right="-17"/>
              <w:jc w:val="center"/>
              <w:rPr>
                <w:rFonts w:hAnsi="標楷體" w:cs="Arial"/>
                <w:kern w:val="0"/>
                <w:sz w:val="28"/>
                <w:szCs w:val="28"/>
              </w:rPr>
            </w:pPr>
            <w:r w:rsidRPr="00C3310F">
              <w:rPr>
                <w:rFonts w:hAnsi="標楷體" w:cs="Arial"/>
                <w:kern w:val="0"/>
                <w:sz w:val="28"/>
                <w:szCs w:val="28"/>
              </w:rPr>
              <w:t>電信網路詐欺</w:t>
            </w:r>
          </w:p>
          <w:p w14:paraId="1803F784" w14:textId="77777777" w:rsidR="008456BE" w:rsidRPr="00C3310F" w:rsidRDefault="008456BE" w:rsidP="00301D07">
            <w:pPr>
              <w:widowControl/>
              <w:overflowPunct/>
              <w:autoSpaceDE/>
              <w:autoSpaceDN/>
              <w:ind w:rightChars="-5" w:right="-17"/>
              <w:jc w:val="center"/>
              <w:rPr>
                <w:rFonts w:hAnsi="標楷體" w:cs="Arial"/>
                <w:kern w:val="0"/>
                <w:sz w:val="28"/>
                <w:szCs w:val="28"/>
              </w:rPr>
            </w:pPr>
            <w:r w:rsidRPr="00C3310F">
              <w:rPr>
                <w:rFonts w:hAnsi="標楷體" w:cs="Arial" w:hint="eastAsia"/>
                <w:kern w:val="0"/>
                <w:sz w:val="28"/>
                <w:szCs w:val="28"/>
              </w:rPr>
              <w:t>新收件數</w:t>
            </w:r>
          </w:p>
        </w:tc>
        <w:tc>
          <w:tcPr>
            <w:tcW w:w="1912" w:type="dxa"/>
            <w:tcBorders>
              <w:right w:val="single" w:sz="4" w:space="0" w:color="auto"/>
            </w:tcBorders>
            <w:vAlign w:val="center"/>
          </w:tcPr>
          <w:p w14:paraId="6B3B4257" w14:textId="77777777" w:rsidR="008456BE" w:rsidRPr="00C3310F" w:rsidRDefault="008456BE" w:rsidP="00301D07">
            <w:pPr>
              <w:widowControl/>
              <w:overflowPunct/>
              <w:autoSpaceDE/>
              <w:autoSpaceDN/>
              <w:jc w:val="center"/>
              <w:rPr>
                <w:rFonts w:hAnsi="標楷體" w:cs="Arial"/>
                <w:kern w:val="0"/>
                <w:sz w:val="28"/>
                <w:szCs w:val="28"/>
              </w:rPr>
            </w:pPr>
            <w:r w:rsidRPr="00C3310F">
              <w:rPr>
                <w:rFonts w:hAnsi="標楷體" w:cs="Arial"/>
                <w:kern w:val="0"/>
                <w:sz w:val="28"/>
                <w:szCs w:val="28"/>
              </w:rPr>
              <w:t>全部偵查新收件數</w:t>
            </w:r>
          </w:p>
        </w:tc>
        <w:tc>
          <w:tcPr>
            <w:tcW w:w="3689" w:type="dxa"/>
            <w:tcBorders>
              <w:left w:val="single" w:sz="4" w:space="0" w:color="auto"/>
            </w:tcBorders>
            <w:vAlign w:val="center"/>
          </w:tcPr>
          <w:p w14:paraId="5B6CF712" w14:textId="77777777" w:rsidR="008456BE" w:rsidRPr="00C3310F" w:rsidRDefault="008456BE" w:rsidP="00301D07">
            <w:pPr>
              <w:widowControl/>
              <w:overflowPunct/>
              <w:autoSpaceDE/>
              <w:autoSpaceDN/>
              <w:jc w:val="center"/>
              <w:rPr>
                <w:rFonts w:hAnsi="標楷體" w:cs="Arial"/>
                <w:kern w:val="0"/>
                <w:sz w:val="28"/>
                <w:szCs w:val="28"/>
              </w:rPr>
            </w:pPr>
            <w:r w:rsidRPr="00C3310F">
              <w:rPr>
                <w:rFonts w:hAnsi="標楷體" w:cs="Arial"/>
                <w:kern w:val="0"/>
                <w:sz w:val="28"/>
                <w:szCs w:val="28"/>
              </w:rPr>
              <w:t>電信網路詐欺占</w:t>
            </w:r>
          </w:p>
          <w:p w14:paraId="7E4F43EE" w14:textId="77777777" w:rsidR="008456BE" w:rsidRPr="00C3310F" w:rsidRDefault="008456BE" w:rsidP="00301D07">
            <w:pPr>
              <w:widowControl/>
              <w:overflowPunct/>
              <w:autoSpaceDE/>
              <w:autoSpaceDN/>
              <w:jc w:val="center"/>
              <w:rPr>
                <w:rFonts w:hAnsi="標楷體" w:cs="Arial"/>
                <w:kern w:val="0"/>
                <w:sz w:val="28"/>
                <w:szCs w:val="28"/>
              </w:rPr>
            </w:pPr>
            <w:r w:rsidRPr="00C3310F">
              <w:rPr>
                <w:rFonts w:hAnsi="標楷體" w:cs="Arial"/>
                <w:kern w:val="0"/>
                <w:sz w:val="28"/>
                <w:szCs w:val="28"/>
              </w:rPr>
              <w:t>全部偵查新收件數比率</w:t>
            </w:r>
          </w:p>
        </w:tc>
      </w:tr>
      <w:tr w:rsidR="00C3310F" w:rsidRPr="00C3310F" w14:paraId="2F3A499D" w14:textId="77777777" w:rsidTr="00301D07">
        <w:trPr>
          <w:trHeight w:val="149"/>
          <w:tblCellSpacing w:w="0" w:type="dxa"/>
        </w:trPr>
        <w:tc>
          <w:tcPr>
            <w:tcW w:w="1986" w:type="dxa"/>
            <w:tcBorders>
              <w:top w:val="single" w:sz="4" w:space="0" w:color="auto"/>
            </w:tcBorders>
          </w:tcPr>
          <w:p w14:paraId="5F7E2E10" w14:textId="77777777" w:rsidR="008456BE" w:rsidRPr="00C3310F" w:rsidRDefault="008456BE" w:rsidP="00301D07">
            <w:pPr>
              <w:jc w:val="center"/>
              <w:rPr>
                <w:rFonts w:hAnsi="標楷體" w:cs="Arial"/>
                <w:kern w:val="0"/>
                <w:sz w:val="28"/>
                <w:szCs w:val="28"/>
              </w:rPr>
            </w:pPr>
            <w:r w:rsidRPr="00C3310F">
              <w:rPr>
                <w:rFonts w:hint="eastAsia"/>
              </w:rPr>
              <w:t>109</w:t>
            </w:r>
          </w:p>
        </w:tc>
        <w:tc>
          <w:tcPr>
            <w:tcW w:w="2198" w:type="dxa"/>
            <w:tcBorders>
              <w:top w:val="single" w:sz="4" w:space="0" w:color="auto"/>
            </w:tcBorders>
          </w:tcPr>
          <w:p w14:paraId="06B9FF2C" w14:textId="77777777" w:rsidR="008456BE" w:rsidRPr="00C3310F" w:rsidRDefault="008456BE" w:rsidP="00301D07">
            <w:pPr>
              <w:jc w:val="right"/>
              <w:rPr>
                <w:rFonts w:hAnsi="標楷體" w:cs="Arial"/>
                <w:kern w:val="0"/>
                <w:sz w:val="28"/>
                <w:szCs w:val="28"/>
              </w:rPr>
            </w:pPr>
            <w:r w:rsidRPr="00C3310F">
              <w:t xml:space="preserve">50,239 </w:t>
            </w:r>
          </w:p>
        </w:tc>
        <w:tc>
          <w:tcPr>
            <w:tcW w:w="1912" w:type="dxa"/>
            <w:tcBorders>
              <w:top w:val="single" w:sz="4" w:space="0" w:color="auto"/>
              <w:right w:val="single" w:sz="4" w:space="0" w:color="auto"/>
            </w:tcBorders>
          </w:tcPr>
          <w:p w14:paraId="287EE8EB" w14:textId="77777777" w:rsidR="008456BE" w:rsidRPr="00C3310F" w:rsidRDefault="008456BE" w:rsidP="00301D07">
            <w:pPr>
              <w:jc w:val="right"/>
              <w:rPr>
                <w:rFonts w:hAnsi="標楷體" w:cs="Arial"/>
                <w:kern w:val="0"/>
                <w:sz w:val="28"/>
                <w:szCs w:val="28"/>
              </w:rPr>
            </w:pPr>
            <w:r w:rsidRPr="00C3310F">
              <w:t xml:space="preserve">499,607 </w:t>
            </w:r>
          </w:p>
        </w:tc>
        <w:tc>
          <w:tcPr>
            <w:tcW w:w="3689" w:type="dxa"/>
            <w:tcBorders>
              <w:top w:val="single" w:sz="4" w:space="0" w:color="auto"/>
              <w:left w:val="single" w:sz="4" w:space="0" w:color="auto"/>
            </w:tcBorders>
          </w:tcPr>
          <w:p w14:paraId="27BA401C" w14:textId="77777777" w:rsidR="008456BE" w:rsidRPr="00C3310F" w:rsidRDefault="008456BE" w:rsidP="00301D07">
            <w:pPr>
              <w:jc w:val="right"/>
              <w:rPr>
                <w:rFonts w:hAnsi="標楷體" w:cs="Arial"/>
                <w:kern w:val="0"/>
                <w:sz w:val="28"/>
                <w:szCs w:val="28"/>
              </w:rPr>
            </w:pPr>
            <w:r w:rsidRPr="00C3310F">
              <w:t xml:space="preserve">10.1 </w:t>
            </w:r>
          </w:p>
        </w:tc>
      </w:tr>
      <w:tr w:rsidR="00C3310F" w:rsidRPr="00C3310F" w14:paraId="46682AC7" w14:textId="77777777" w:rsidTr="00301D07">
        <w:trPr>
          <w:trHeight w:val="185"/>
          <w:tblCellSpacing w:w="0" w:type="dxa"/>
        </w:trPr>
        <w:tc>
          <w:tcPr>
            <w:tcW w:w="1986" w:type="dxa"/>
            <w:vAlign w:val="center"/>
            <w:hideMark/>
          </w:tcPr>
          <w:p w14:paraId="6A26E4E6" w14:textId="77777777" w:rsidR="008456BE" w:rsidRPr="00C3310F" w:rsidRDefault="008456BE" w:rsidP="00301D07">
            <w:pPr>
              <w:widowControl/>
              <w:overflowPunct/>
              <w:autoSpaceDE/>
              <w:autoSpaceDN/>
              <w:jc w:val="center"/>
              <w:rPr>
                <w:rFonts w:hAnsi="標楷體" w:cs="Arial"/>
                <w:kern w:val="0"/>
                <w:sz w:val="28"/>
                <w:szCs w:val="28"/>
              </w:rPr>
            </w:pPr>
            <w:r w:rsidRPr="00C3310F">
              <w:rPr>
                <w:rFonts w:hAnsi="標楷體" w:cs="Arial"/>
                <w:kern w:val="0"/>
                <w:sz w:val="28"/>
                <w:szCs w:val="28"/>
              </w:rPr>
              <w:t>110</w:t>
            </w:r>
          </w:p>
        </w:tc>
        <w:tc>
          <w:tcPr>
            <w:tcW w:w="2198" w:type="dxa"/>
            <w:hideMark/>
          </w:tcPr>
          <w:p w14:paraId="712835BA" w14:textId="77777777" w:rsidR="008456BE" w:rsidRPr="00C3310F" w:rsidRDefault="00CC33F0" w:rsidP="00301D07">
            <w:pPr>
              <w:widowControl/>
              <w:overflowPunct/>
              <w:autoSpaceDE/>
              <w:autoSpaceDN/>
              <w:jc w:val="right"/>
              <w:rPr>
                <w:rFonts w:hAnsi="標楷體" w:cs="Arial"/>
                <w:kern w:val="0"/>
                <w:sz w:val="28"/>
                <w:szCs w:val="28"/>
              </w:rPr>
            </w:pPr>
            <w:r w:rsidRPr="00C3310F">
              <w:rPr>
                <w:rFonts w:hint="eastAsia"/>
              </w:rPr>
              <w:t>98</w:t>
            </w:r>
            <w:r w:rsidR="008456BE" w:rsidRPr="00C3310F">
              <w:t>,2</w:t>
            </w:r>
            <w:r w:rsidRPr="00C3310F">
              <w:rPr>
                <w:rFonts w:hint="eastAsia"/>
              </w:rPr>
              <w:t>56</w:t>
            </w:r>
            <w:r w:rsidR="008456BE" w:rsidRPr="00C3310F">
              <w:t xml:space="preserve"> </w:t>
            </w:r>
          </w:p>
        </w:tc>
        <w:tc>
          <w:tcPr>
            <w:tcW w:w="1912" w:type="dxa"/>
            <w:tcBorders>
              <w:right w:val="single" w:sz="4" w:space="0" w:color="auto"/>
            </w:tcBorders>
            <w:hideMark/>
          </w:tcPr>
          <w:p w14:paraId="2EA2092C" w14:textId="77777777" w:rsidR="008456BE" w:rsidRPr="00C3310F" w:rsidRDefault="008456BE" w:rsidP="00301D07">
            <w:pPr>
              <w:widowControl/>
              <w:overflowPunct/>
              <w:autoSpaceDE/>
              <w:autoSpaceDN/>
              <w:jc w:val="right"/>
              <w:rPr>
                <w:rFonts w:hAnsi="標楷體" w:cs="Arial"/>
                <w:kern w:val="0"/>
                <w:sz w:val="28"/>
                <w:szCs w:val="28"/>
              </w:rPr>
            </w:pPr>
            <w:r w:rsidRPr="00C3310F">
              <w:t xml:space="preserve">533,569 </w:t>
            </w:r>
          </w:p>
        </w:tc>
        <w:tc>
          <w:tcPr>
            <w:tcW w:w="3689" w:type="dxa"/>
            <w:tcBorders>
              <w:left w:val="single" w:sz="4" w:space="0" w:color="auto"/>
            </w:tcBorders>
          </w:tcPr>
          <w:p w14:paraId="1946A658" w14:textId="77777777" w:rsidR="008456BE" w:rsidRPr="00C3310F" w:rsidRDefault="008456BE" w:rsidP="00301D07">
            <w:pPr>
              <w:jc w:val="right"/>
              <w:rPr>
                <w:rFonts w:hAnsi="標楷體" w:cs="Arial"/>
                <w:kern w:val="0"/>
                <w:sz w:val="28"/>
                <w:szCs w:val="28"/>
              </w:rPr>
            </w:pPr>
            <w:r w:rsidRPr="00C3310F">
              <w:t>1</w:t>
            </w:r>
            <w:r w:rsidR="00CC33F0" w:rsidRPr="00C3310F">
              <w:rPr>
                <w:rFonts w:hint="eastAsia"/>
              </w:rPr>
              <w:t>8</w:t>
            </w:r>
            <w:r w:rsidRPr="00C3310F">
              <w:t>.</w:t>
            </w:r>
            <w:r w:rsidR="00CC33F0" w:rsidRPr="00C3310F">
              <w:rPr>
                <w:rFonts w:hint="eastAsia"/>
              </w:rPr>
              <w:t>4</w:t>
            </w:r>
            <w:r w:rsidRPr="00C3310F">
              <w:t xml:space="preserve"> </w:t>
            </w:r>
          </w:p>
        </w:tc>
      </w:tr>
      <w:tr w:rsidR="00C3310F" w:rsidRPr="00C3310F" w14:paraId="721030DE" w14:textId="77777777" w:rsidTr="00301D07">
        <w:trPr>
          <w:trHeight w:val="185"/>
          <w:tblCellSpacing w:w="0" w:type="dxa"/>
        </w:trPr>
        <w:tc>
          <w:tcPr>
            <w:tcW w:w="1986" w:type="dxa"/>
            <w:vAlign w:val="center"/>
            <w:hideMark/>
          </w:tcPr>
          <w:p w14:paraId="253DDF99" w14:textId="77777777" w:rsidR="008456BE" w:rsidRPr="00C3310F" w:rsidRDefault="008456BE" w:rsidP="00301D07">
            <w:pPr>
              <w:widowControl/>
              <w:overflowPunct/>
              <w:autoSpaceDE/>
              <w:autoSpaceDN/>
              <w:jc w:val="center"/>
              <w:rPr>
                <w:rFonts w:hAnsi="標楷體" w:cs="Arial"/>
                <w:kern w:val="0"/>
                <w:sz w:val="28"/>
                <w:szCs w:val="28"/>
              </w:rPr>
            </w:pPr>
            <w:r w:rsidRPr="00C3310F">
              <w:rPr>
                <w:rFonts w:hAnsi="標楷體" w:cs="Arial"/>
                <w:kern w:val="0"/>
                <w:sz w:val="28"/>
                <w:szCs w:val="28"/>
              </w:rPr>
              <w:t>111</w:t>
            </w:r>
          </w:p>
        </w:tc>
        <w:tc>
          <w:tcPr>
            <w:tcW w:w="2198" w:type="dxa"/>
            <w:hideMark/>
          </w:tcPr>
          <w:p w14:paraId="51B7B91D" w14:textId="77777777" w:rsidR="008456BE" w:rsidRPr="00C3310F" w:rsidRDefault="008456BE" w:rsidP="00301D07">
            <w:pPr>
              <w:widowControl/>
              <w:overflowPunct/>
              <w:autoSpaceDE/>
              <w:autoSpaceDN/>
              <w:jc w:val="right"/>
              <w:rPr>
                <w:rFonts w:hAnsi="標楷體" w:cs="Arial"/>
                <w:kern w:val="0"/>
                <w:sz w:val="28"/>
                <w:szCs w:val="28"/>
              </w:rPr>
            </w:pPr>
            <w:r w:rsidRPr="00C3310F">
              <w:t>160,80</w:t>
            </w:r>
            <w:r w:rsidR="00CC33F0" w:rsidRPr="00C3310F">
              <w:rPr>
                <w:rFonts w:hint="eastAsia"/>
              </w:rPr>
              <w:t>3</w:t>
            </w:r>
            <w:r w:rsidRPr="00C3310F">
              <w:t xml:space="preserve"> </w:t>
            </w:r>
          </w:p>
        </w:tc>
        <w:tc>
          <w:tcPr>
            <w:tcW w:w="1912" w:type="dxa"/>
            <w:tcBorders>
              <w:right w:val="single" w:sz="4" w:space="0" w:color="auto"/>
            </w:tcBorders>
            <w:hideMark/>
          </w:tcPr>
          <w:p w14:paraId="104560C9" w14:textId="77777777" w:rsidR="008456BE" w:rsidRPr="00C3310F" w:rsidRDefault="008456BE" w:rsidP="00301D07">
            <w:pPr>
              <w:widowControl/>
              <w:overflowPunct/>
              <w:autoSpaceDE/>
              <w:autoSpaceDN/>
              <w:jc w:val="right"/>
              <w:rPr>
                <w:rFonts w:hAnsi="標楷體" w:cs="Arial"/>
                <w:kern w:val="0"/>
                <w:sz w:val="28"/>
                <w:szCs w:val="28"/>
              </w:rPr>
            </w:pPr>
            <w:r w:rsidRPr="00C3310F">
              <w:t xml:space="preserve">639,301 </w:t>
            </w:r>
          </w:p>
        </w:tc>
        <w:tc>
          <w:tcPr>
            <w:tcW w:w="3689" w:type="dxa"/>
            <w:tcBorders>
              <w:left w:val="single" w:sz="4" w:space="0" w:color="auto"/>
            </w:tcBorders>
          </w:tcPr>
          <w:p w14:paraId="509EAAED" w14:textId="77777777" w:rsidR="008456BE" w:rsidRPr="00C3310F" w:rsidRDefault="008456BE" w:rsidP="00301D07">
            <w:pPr>
              <w:jc w:val="right"/>
              <w:rPr>
                <w:rFonts w:hAnsi="標楷體" w:cs="Arial"/>
                <w:kern w:val="0"/>
                <w:sz w:val="28"/>
                <w:szCs w:val="28"/>
              </w:rPr>
            </w:pPr>
            <w:r w:rsidRPr="00C3310F">
              <w:t xml:space="preserve">25.2 </w:t>
            </w:r>
          </w:p>
        </w:tc>
      </w:tr>
      <w:tr w:rsidR="00C3310F" w:rsidRPr="00C3310F" w14:paraId="4B6B40F0" w14:textId="77777777" w:rsidTr="00301D07">
        <w:trPr>
          <w:trHeight w:val="276"/>
          <w:tblCellSpacing w:w="0" w:type="dxa"/>
        </w:trPr>
        <w:tc>
          <w:tcPr>
            <w:tcW w:w="1986" w:type="dxa"/>
            <w:tcBorders>
              <w:bottom w:val="single" w:sz="4" w:space="0" w:color="auto"/>
            </w:tcBorders>
            <w:vAlign w:val="center"/>
            <w:hideMark/>
          </w:tcPr>
          <w:p w14:paraId="722FAEA1" w14:textId="77777777" w:rsidR="008456BE" w:rsidRPr="00C3310F" w:rsidRDefault="008456BE" w:rsidP="00301D07">
            <w:pPr>
              <w:widowControl/>
              <w:overflowPunct/>
              <w:autoSpaceDE/>
              <w:autoSpaceDN/>
              <w:jc w:val="center"/>
              <w:rPr>
                <w:rFonts w:hAnsi="標楷體" w:cs="Arial"/>
                <w:kern w:val="0"/>
                <w:sz w:val="28"/>
                <w:szCs w:val="28"/>
              </w:rPr>
            </w:pPr>
            <w:r w:rsidRPr="00C3310F">
              <w:rPr>
                <w:rFonts w:hAnsi="標楷體" w:cs="Arial"/>
                <w:kern w:val="0"/>
                <w:sz w:val="28"/>
                <w:szCs w:val="28"/>
              </w:rPr>
              <w:t>112</w:t>
            </w:r>
          </w:p>
        </w:tc>
        <w:tc>
          <w:tcPr>
            <w:tcW w:w="2198" w:type="dxa"/>
            <w:tcBorders>
              <w:bottom w:val="single" w:sz="4" w:space="0" w:color="auto"/>
            </w:tcBorders>
            <w:hideMark/>
          </w:tcPr>
          <w:p w14:paraId="2A4B4B9A" w14:textId="77777777" w:rsidR="008456BE" w:rsidRPr="00C3310F" w:rsidRDefault="008456BE" w:rsidP="00301D07">
            <w:pPr>
              <w:widowControl/>
              <w:overflowPunct/>
              <w:autoSpaceDE/>
              <w:autoSpaceDN/>
              <w:jc w:val="right"/>
              <w:rPr>
                <w:rFonts w:hAnsi="標楷體" w:cs="Arial"/>
                <w:kern w:val="0"/>
                <w:sz w:val="28"/>
                <w:szCs w:val="28"/>
              </w:rPr>
            </w:pPr>
            <w:r w:rsidRPr="00C3310F">
              <w:t xml:space="preserve">229,711 </w:t>
            </w:r>
          </w:p>
        </w:tc>
        <w:tc>
          <w:tcPr>
            <w:tcW w:w="1912" w:type="dxa"/>
            <w:tcBorders>
              <w:bottom w:val="single" w:sz="4" w:space="0" w:color="auto"/>
              <w:right w:val="single" w:sz="4" w:space="0" w:color="auto"/>
            </w:tcBorders>
            <w:hideMark/>
          </w:tcPr>
          <w:p w14:paraId="25A02931" w14:textId="77777777" w:rsidR="008456BE" w:rsidRPr="00C3310F" w:rsidRDefault="008456BE" w:rsidP="00301D07">
            <w:pPr>
              <w:widowControl/>
              <w:overflowPunct/>
              <w:autoSpaceDE/>
              <w:autoSpaceDN/>
              <w:jc w:val="right"/>
              <w:rPr>
                <w:rFonts w:hAnsi="標楷體" w:cs="Arial"/>
                <w:kern w:val="0"/>
                <w:sz w:val="28"/>
                <w:szCs w:val="28"/>
              </w:rPr>
            </w:pPr>
            <w:r w:rsidRPr="00C3310F">
              <w:t xml:space="preserve">733,505 </w:t>
            </w:r>
          </w:p>
        </w:tc>
        <w:tc>
          <w:tcPr>
            <w:tcW w:w="3689" w:type="dxa"/>
            <w:tcBorders>
              <w:left w:val="single" w:sz="4" w:space="0" w:color="auto"/>
              <w:bottom w:val="single" w:sz="4" w:space="0" w:color="auto"/>
            </w:tcBorders>
          </w:tcPr>
          <w:p w14:paraId="0C58F2E7" w14:textId="77777777" w:rsidR="008456BE" w:rsidRPr="00C3310F" w:rsidRDefault="008456BE" w:rsidP="00301D07">
            <w:pPr>
              <w:jc w:val="right"/>
              <w:rPr>
                <w:rFonts w:hAnsi="標楷體" w:cs="Arial"/>
                <w:kern w:val="0"/>
                <w:sz w:val="28"/>
                <w:szCs w:val="28"/>
              </w:rPr>
            </w:pPr>
            <w:r w:rsidRPr="00C3310F">
              <w:t xml:space="preserve">31.3 </w:t>
            </w:r>
          </w:p>
        </w:tc>
      </w:tr>
      <w:tr w:rsidR="00C3310F" w:rsidRPr="00C3310F" w14:paraId="4EBBDE7A" w14:textId="77777777" w:rsidTr="00301D07">
        <w:trPr>
          <w:trHeight w:val="96"/>
          <w:tblCellSpacing w:w="0" w:type="dxa"/>
        </w:trPr>
        <w:tc>
          <w:tcPr>
            <w:tcW w:w="1986" w:type="dxa"/>
            <w:tcBorders>
              <w:top w:val="single" w:sz="4" w:space="0" w:color="auto"/>
            </w:tcBorders>
            <w:vAlign w:val="center"/>
          </w:tcPr>
          <w:p w14:paraId="6CA719CA" w14:textId="77777777" w:rsidR="008456BE" w:rsidRPr="00C3310F" w:rsidRDefault="008456BE" w:rsidP="00301D07">
            <w:pPr>
              <w:jc w:val="center"/>
              <w:rPr>
                <w:rFonts w:hAnsi="標楷體" w:cs="Arial"/>
                <w:kern w:val="0"/>
                <w:sz w:val="28"/>
                <w:szCs w:val="28"/>
              </w:rPr>
            </w:pPr>
            <w:r w:rsidRPr="00C3310F">
              <w:rPr>
                <w:rFonts w:hAnsi="標楷體" w:cs="Arial" w:hint="eastAsia"/>
                <w:kern w:val="0"/>
                <w:sz w:val="28"/>
                <w:szCs w:val="28"/>
              </w:rPr>
              <w:t>小計</w:t>
            </w:r>
          </w:p>
        </w:tc>
        <w:tc>
          <w:tcPr>
            <w:tcW w:w="2198" w:type="dxa"/>
            <w:tcBorders>
              <w:top w:val="single" w:sz="4" w:space="0" w:color="auto"/>
            </w:tcBorders>
          </w:tcPr>
          <w:p w14:paraId="61955C15" w14:textId="77777777" w:rsidR="008456BE" w:rsidRPr="00C3310F" w:rsidRDefault="008456BE" w:rsidP="00301D07">
            <w:pPr>
              <w:jc w:val="right"/>
              <w:rPr>
                <w:rFonts w:hAnsi="標楷體" w:cs="Arial"/>
                <w:kern w:val="0"/>
                <w:sz w:val="28"/>
                <w:szCs w:val="28"/>
              </w:rPr>
            </w:pPr>
            <w:r w:rsidRPr="00C3310F">
              <w:t>5</w:t>
            </w:r>
            <w:r w:rsidR="00CC33F0" w:rsidRPr="00C3310F">
              <w:rPr>
                <w:rFonts w:hint="eastAsia"/>
              </w:rPr>
              <w:t>39</w:t>
            </w:r>
            <w:r w:rsidRPr="00C3310F">
              <w:t>,</w:t>
            </w:r>
            <w:r w:rsidR="00CC33F0" w:rsidRPr="00C3310F">
              <w:rPr>
                <w:rFonts w:hint="eastAsia"/>
              </w:rPr>
              <w:t>009</w:t>
            </w:r>
            <w:r w:rsidRPr="00C3310F">
              <w:t xml:space="preserve"> </w:t>
            </w:r>
          </w:p>
        </w:tc>
        <w:tc>
          <w:tcPr>
            <w:tcW w:w="1912" w:type="dxa"/>
            <w:tcBorders>
              <w:top w:val="single" w:sz="4" w:space="0" w:color="auto"/>
              <w:right w:val="single" w:sz="4" w:space="0" w:color="auto"/>
            </w:tcBorders>
          </w:tcPr>
          <w:p w14:paraId="39FA7BA7" w14:textId="77777777" w:rsidR="008456BE" w:rsidRPr="00C3310F" w:rsidRDefault="008456BE" w:rsidP="00301D07">
            <w:pPr>
              <w:widowControl/>
              <w:overflowPunct/>
              <w:autoSpaceDE/>
              <w:autoSpaceDN/>
              <w:jc w:val="right"/>
              <w:rPr>
                <w:rFonts w:hAnsi="標楷體" w:cs="Arial"/>
                <w:kern w:val="0"/>
                <w:sz w:val="28"/>
                <w:szCs w:val="28"/>
              </w:rPr>
            </w:pPr>
            <w:r w:rsidRPr="00C3310F">
              <w:t xml:space="preserve">2,405,982 </w:t>
            </w:r>
          </w:p>
        </w:tc>
        <w:tc>
          <w:tcPr>
            <w:tcW w:w="3689" w:type="dxa"/>
            <w:tcBorders>
              <w:top w:val="single" w:sz="4" w:space="0" w:color="auto"/>
              <w:left w:val="single" w:sz="4" w:space="0" w:color="auto"/>
            </w:tcBorders>
          </w:tcPr>
          <w:p w14:paraId="59669054" w14:textId="77777777" w:rsidR="008456BE" w:rsidRPr="00C3310F" w:rsidRDefault="008456BE" w:rsidP="00301D07">
            <w:pPr>
              <w:jc w:val="right"/>
              <w:rPr>
                <w:rFonts w:hAnsi="標楷體" w:cs="Arial"/>
                <w:kern w:val="0"/>
                <w:sz w:val="28"/>
                <w:szCs w:val="28"/>
              </w:rPr>
            </w:pPr>
            <w:r w:rsidRPr="00C3310F">
              <w:t>2</w:t>
            </w:r>
            <w:r w:rsidR="00CC33F0" w:rsidRPr="00C3310F">
              <w:rPr>
                <w:rFonts w:hint="eastAsia"/>
              </w:rPr>
              <w:t>2</w:t>
            </w:r>
            <w:r w:rsidRPr="00C3310F">
              <w:t>.</w:t>
            </w:r>
            <w:r w:rsidR="00CC33F0" w:rsidRPr="00C3310F">
              <w:rPr>
                <w:rFonts w:hint="eastAsia"/>
              </w:rPr>
              <w:t>4</w:t>
            </w:r>
            <w:r w:rsidRPr="00C3310F">
              <w:t xml:space="preserve"> </w:t>
            </w:r>
          </w:p>
        </w:tc>
      </w:tr>
      <w:tr w:rsidR="00C3310F" w:rsidRPr="00C3310F" w14:paraId="2BDEEDA4" w14:textId="77777777" w:rsidTr="00301D07">
        <w:trPr>
          <w:trHeight w:val="240"/>
          <w:tblCellSpacing w:w="0" w:type="dxa"/>
        </w:trPr>
        <w:tc>
          <w:tcPr>
            <w:tcW w:w="1986" w:type="dxa"/>
            <w:tcBorders>
              <w:bottom w:val="single" w:sz="4" w:space="0" w:color="auto"/>
            </w:tcBorders>
            <w:vAlign w:val="center"/>
            <w:hideMark/>
          </w:tcPr>
          <w:p w14:paraId="1852C0BF" w14:textId="77777777" w:rsidR="008456BE" w:rsidRPr="00C3310F" w:rsidRDefault="008456BE" w:rsidP="00301D07">
            <w:pPr>
              <w:widowControl/>
              <w:overflowPunct/>
              <w:autoSpaceDE/>
              <w:autoSpaceDN/>
              <w:jc w:val="center"/>
              <w:rPr>
                <w:rFonts w:hAnsi="標楷體" w:cs="Arial"/>
                <w:kern w:val="0"/>
                <w:sz w:val="28"/>
                <w:szCs w:val="28"/>
              </w:rPr>
            </w:pPr>
            <w:r w:rsidRPr="00C3310F">
              <w:rPr>
                <w:rFonts w:hAnsi="標楷體" w:cs="Arial"/>
                <w:kern w:val="0"/>
                <w:sz w:val="28"/>
                <w:szCs w:val="28"/>
              </w:rPr>
              <w:t>113年1-</w:t>
            </w:r>
            <w:r w:rsidR="00CC33F0" w:rsidRPr="00C3310F">
              <w:rPr>
                <w:rFonts w:hAnsi="標楷體" w:cs="Arial" w:hint="eastAsia"/>
                <w:kern w:val="0"/>
                <w:sz w:val="28"/>
                <w:szCs w:val="28"/>
              </w:rPr>
              <w:t>6</w:t>
            </w:r>
            <w:r w:rsidRPr="00C3310F">
              <w:rPr>
                <w:rFonts w:hAnsi="標楷體" w:cs="Arial"/>
                <w:kern w:val="0"/>
                <w:sz w:val="28"/>
                <w:szCs w:val="28"/>
              </w:rPr>
              <w:t>月</w:t>
            </w:r>
          </w:p>
        </w:tc>
        <w:tc>
          <w:tcPr>
            <w:tcW w:w="2198" w:type="dxa"/>
            <w:tcBorders>
              <w:bottom w:val="single" w:sz="4" w:space="0" w:color="auto"/>
            </w:tcBorders>
            <w:hideMark/>
          </w:tcPr>
          <w:p w14:paraId="39B90B5F" w14:textId="77777777" w:rsidR="008456BE" w:rsidRPr="00C3310F" w:rsidRDefault="00CC33F0" w:rsidP="00301D07">
            <w:pPr>
              <w:widowControl/>
              <w:overflowPunct/>
              <w:autoSpaceDE/>
              <w:autoSpaceDN/>
              <w:jc w:val="right"/>
              <w:rPr>
                <w:rFonts w:hAnsi="標楷體" w:cs="Arial"/>
                <w:kern w:val="0"/>
                <w:sz w:val="28"/>
                <w:szCs w:val="28"/>
              </w:rPr>
            </w:pPr>
            <w:r w:rsidRPr="00C3310F">
              <w:rPr>
                <w:rFonts w:hint="eastAsia"/>
              </w:rPr>
              <w:t>88</w:t>
            </w:r>
            <w:r w:rsidR="008456BE" w:rsidRPr="00C3310F">
              <w:t>,</w:t>
            </w:r>
            <w:r w:rsidRPr="00C3310F">
              <w:rPr>
                <w:rFonts w:hint="eastAsia"/>
              </w:rPr>
              <w:t>13</w:t>
            </w:r>
            <w:r w:rsidR="008456BE" w:rsidRPr="00C3310F">
              <w:t xml:space="preserve">7 </w:t>
            </w:r>
          </w:p>
        </w:tc>
        <w:tc>
          <w:tcPr>
            <w:tcW w:w="1912" w:type="dxa"/>
            <w:tcBorders>
              <w:bottom w:val="single" w:sz="4" w:space="0" w:color="auto"/>
              <w:right w:val="single" w:sz="4" w:space="0" w:color="auto"/>
            </w:tcBorders>
            <w:hideMark/>
          </w:tcPr>
          <w:p w14:paraId="0AF606E5" w14:textId="77777777" w:rsidR="008456BE" w:rsidRPr="00C3310F" w:rsidRDefault="00CC33F0" w:rsidP="00301D07">
            <w:pPr>
              <w:widowControl/>
              <w:overflowPunct/>
              <w:autoSpaceDE/>
              <w:autoSpaceDN/>
              <w:jc w:val="right"/>
              <w:rPr>
                <w:rFonts w:hAnsi="標楷體" w:cs="Arial"/>
                <w:kern w:val="0"/>
                <w:sz w:val="28"/>
                <w:szCs w:val="28"/>
              </w:rPr>
            </w:pPr>
            <w:r w:rsidRPr="00C3310F">
              <w:rPr>
                <w:rFonts w:hint="eastAsia"/>
              </w:rPr>
              <w:t>349</w:t>
            </w:r>
            <w:r w:rsidR="008456BE" w:rsidRPr="00C3310F">
              <w:t>,</w:t>
            </w:r>
            <w:r w:rsidRPr="00C3310F">
              <w:rPr>
                <w:rFonts w:hint="eastAsia"/>
              </w:rPr>
              <w:t>753</w:t>
            </w:r>
            <w:r w:rsidR="008456BE" w:rsidRPr="00C3310F">
              <w:t xml:space="preserve"> </w:t>
            </w:r>
          </w:p>
        </w:tc>
        <w:tc>
          <w:tcPr>
            <w:tcW w:w="3689" w:type="dxa"/>
            <w:tcBorders>
              <w:left w:val="single" w:sz="4" w:space="0" w:color="auto"/>
              <w:bottom w:val="single" w:sz="4" w:space="0" w:color="auto"/>
            </w:tcBorders>
          </w:tcPr>
          <w:p w14:paraId="1B732854" w14:textId="77777777" w:rsidR="008456BE" w:rsidRPr="00C3310F" w:rsidRDefault="008456BE" w:rsidP="00301D07">
            <w:pPr>
              <w:jc w:val="right"/>
              <w:rPr>
                <w:rFonts w:hAnsi="標楷體" w:cs="Arial"/>
                <w:kern w:val="0"/>
                <w:sz w:val="28"/>
                <w:szCs w:val="28"/>
              </w:rPr>
            </w:pPr>
            <w:r w:rsidRPr="00C3310F">
              <w:t>25.</w:t>
            </w:r>
            <w:r w:rsidR="00CC33F0" w:rsidRPr="00C3310F">
              <w:rPr>
                <w:rFonts w:hint="eastAsia"/>
              </w:rPr>
              <w:t>2</w:t>
            </w:r>
            <w:r w:rsidRPr="00C3310F">
              <w:t xml:space="preserve"> </w:t>
            </w:r>
          </w:p>
        </w:tc>
      </w:tr>
      <w:tr w:rsidR="00C3310F" w:rsidRPr="00C3310F" w14:paraId="30E555A2" w14:textId="77777777" w:rsidTr="00301D07">
        <w:trPr>
          <w:trHeight w:val="132"/>
          <w:tblCellSpacing w:w="0" w:type="dxa"/>
        </w:trPr>
        <w:tc>
          <w:tcPr>
            <w:tcW w:w="1986" w:type="dxa"/>
            <w:tcBorders>
              <w:top w:val="single" w:sz="4" w:space="0" w:color="auto"/>
            </w:tcBorders>
            <w:vAlign w:val="center"/>
          </w:tcPr>
          <w:p w14:paraId="224F7F3A" w14:textId="77777777" w:rsidR="008456BE" w:rsidRPr="00C3310F" w:rsidRDefault="008456BE" w:rsidP="00301D07">
            <w:pPr>
              <w:jc w:val="center"/>
              <w:rPr>
                <w:rFonts w:hAnsi="標楷體" w:cs="Arial"/>
                <w:kern w:val="0"/>
                <w:sz w:val="28"/>
                <w:szCs w:val="28"/>
              </w:rPr>
            </w:pPr>
            <w:r w:rsidRPr="00C3310F">
              <w:rPr>
                <w:rFonts w:hAnsi="標楷體" w:cs="Arial" w:hint="eastAsia"/>
                <w:kern w:val="0"/>
                <w:sz w:val="28"/>
                <w:szCs w:val="28"/>
              </w:rPr>
              <w:t>總計</w:t>
            </w:r>
          </w:p>
        </w:tc>
        <w:tc>
          <w:tcPr>
            <w:tcW w:w="2198" w:type="dxa"/>
            <w:tcBorders>
              <w:top w:val="single" w:sz="4" w:space="0" w:color="auto"/>
            </w:tcBorders>
          </w:tcPr>
          <w:p w14:paraId="5ED094F5" w14:textId="77777777" w:rsidR="008456BE" w:rsidRPr="00C3310F" w:rsidRDefault="008456BE" w:rsidP="00301D07">
            <w:pPr>
              <w:jc w:val="right"/>
              <w:rPr>
                <w:rFonts w:hAnsi="標楷體" w:cs="Arial"/>
                <w:kern w:val="0"/>
                <w:sz w:val="28"/>
                <w:szCs w:val="28"/>
              </w:rPr>
            </w:pPr>
            <w:r w:rsidRPr="00C3310F">
              <w:t>6</w:t>
            </w:r>
            <w:r w:rsidR="00CC33F0" w:rsidRPr="00C3310F">
              <w:rPr>
                <w:rFonts w:hint="eastAsia"/>
              </w:rPr>
              <w:t>27</w:t>
            </w:r>
            <w:r w:rsidRPr="00C3310F">
              <w:t>,</w:t>
            </w:r>
            <w:r w:rsidR="00CC33F0" w:rsidRPr="00C3310F">
              <w:rPr>
                <w:rFonts w:hint="eastAsia"/>
              </w:rPr>
              <w:t>146</w:t>
            </w:r>
            <w:r w:rsidRPr="00C3310F">
              <w:t xml:space="preserve"> </w:t>
            </w:r>
          </w:p>
        </w:tc>
        <w:tc>
          <w:tcPr>
            <w:tcW w:w="1912" w:type="dxa"/>
            <w:tcBorders>
              <w:top w:val="single" w:sz="4" w:space="0" w:color="auto"/>
              <w:right w:val="single" w:sz="4" w:space="0" w:color="auto"/>
            </w:tcBorders>
          </w:tcPr>
          <w:p w14:paraId="02EF6063" w14:textId="77777777" w:rsidR="008456BE" w:rsidRPr="00C3310F" w:rsidRDefault="008456BE" w:rsidP="00301D07">
            <w:pPr>
              <w:widowControl/>
              <w:overflowPunct/>
              <w:autoSpaceDE/>
              <w:autoSpaceDN/>
              <w:jc w:val="right"/>
              <w:rPr>
                <w:rFonts w:hAnsi="標楷體" w:cs="Arial"/>
                <w:kern w:val="0"/>
                <w:sz w:val="28"/>
                <w:szCs w:val="28"/>
              </w:rPr>
            </w:pPr>
            <w:r w:rsidRPr="00C3310F">
              <w:t>2,7</w:t>
            </w:r>
            <w:r w:rsidR="00CC33F0" w:rsidRPr="00C3310F">
              <w:rPr>
                <w:rFonts w:hint="eastAsia"/>
              </w:rPr>
              <w:t>55</w:t>
            </w:r>
            <w:r w:rsidRPr="00C3310F">
              <w:t>,</w:t>
            </w:r>
            <w:r w:rsidR="00CC33F0" w:rsidRPr="00C3310F">
              <w:rPr>
                <w:rFonts w:hint="eastAsia"/>
              </w:rPr>
              <w:t>735</w:t>
            </w:r>
            <w:r w:rsidRPr="00C3310F">
              <w:t xml:space="preserve"> </w:t>
            </w:r>
          </w:p>
        </w:tc>
        <w:tc>
          <w:tcPr>
            <w:tcW w:w="3689" w:type="dxa"/>
            <w:tcBorders>
              <w:top w:val="single" w:sz="4" w:space="0" w:color="auto"/>
              <w:left w:val="single" w:sz="4" w:space="0" w:color="auto"/>
            </w:tcBorders>
          </w:tcPr>
          <w:p w14:paraId="3451603A" w14:textId="77777777" w:rsidR="008456BE" w:rsidRPr="00C3310F" w:rsidRDefault="008456BE" w:rsidP="00301D07">
            <w:pPr>
              <w:jc w:val="right"/>
              <w:rPr>
                <w:rFonts w:hAnsi="標楷體" w:cs="Arial"/>
                <w:kern w:val="0"/>
                <w:sz w:val="28"/>
                <w:szCs w:val="28"/>
              </w:rPr>
            </w:pPr>
            <w:r w:rsidRPr="00C3310F">
              <w:t>22.</w:t>
            </w:r>
            <w:r w:rsidR="00CC33F0" w:rsidRPr="00C3310F">
              <w:rPr>
                <w:rFonts w:hint="eastAsia"/>
              </w:rPr>
              <w:t>8</w:t>
            </w:r>
            <w:r w:rsidRPr="00C3310F">
              <w:t xml:space="preserve"> </w:t>
            </w:r>
          </w:p>
        </w:tc>
      </w:tr>
    </w:tbl>
    <w:p w14:paraId="6912FA0C" w14:textId="67F687C8" w:rsidR="008456BE" w:rsidRPr="00C3310F" w:rsidRDefault="008456BE" w:rsidP="008456BE">
      <w:pPr>
        <w:pStyle w:val="4"/>
        <w:numPr>
          <w:ilvl w:val="0"/>
          <w:numId w:val="0"/>
        </w:numPr>
        <w:spacing w:afterLines="50" w:after="228" w:line="320" w:lineRule="exact"/>
        <w:ind w:leftChars="-125" w:left="-1" w:hangingChars="163" w:hanging="424"/>
        <w:rPr>
          <w:sz w:val="24"/>
          <w:szCs w:val="24"/>
        </w:rPr>
      </w:pPr>
      <w:r w:rsidRPr="00C3310F">
        <w:rPr>
          <w:rFonts w:hint="eastAsia"/>
          <w:sz w:val="24"/>
          <w:szCs w:val="24"/>
        </w:rPr>
        <w:t>資料來源：法務部(</w:t>
      </w:r>
      <w:hyperlink r:id="rId14" w:history="1">
        <w:r w:rsidR="00803F1D" w:rsidRPr="00C3310F">
          <w:rPr>
            <w:rStyle w:val="ae"/>
            <w:color w:val="auto"/>
            <w:sz w:val="24"/>
            <w:szCs w:val="24"/>
          </w:rPr>
          <w:t>https://www.rjsd.moj.gov.tw/RJSDWEB/visualize/</w:t>
        </w:r>
        <w:r w:rsidR="00803F1D" w:rsidRPr="00C3310F">
          <w:rPr>
            <w:rStyle w:val="ae"/>
            <w:color w:val="auto"/>
            <w:sz w:val="24"/>
            <w:szCs w:val="24"/>
          </w:rPr>
          <w:br/>
          <w:t>Visualization.aspx?kind=PC&amp;d=12</w:t>
        </w:r>
      </w:hyperlink>
      <w:r w:rsidRPr="00C3310F">
        <w:rPr>
          <w:rFonts w:hint="eastAsia"/>
          <w:sz w:val="24"/>
          <w:szCs w:val="24"/>
        </w:rPr>
        <w:t>)</w:t>
      </w:r>
    </w:p>
    <w:p w14:paraId="180F822B" w14:textId="77777777" w:rsidR="008456BE" w:rsidRPr="00C3310F" w:rsidRDefault="008456BE" w:rsidP="008456BE">
      <w:pPr>
        <w:pStyle w:val="4"/>
        <w:numPr>
          <w:ilvl w:val="0"/>
          <w:numId w:val="0"/>
        </w:numPr>
        <w:ind w:leftChars="-166" w:hangingChars="166" w:hanging="565"/>
      </w:pPr>
      <w:r w:rsidRPr="00C3310F">
        <w:rPr>
          <w:noProof/>
        </w:rPr>
        <w:drawing>
          <wp:inline distT="0" distB="0" distL="0" distR="0" wp14:anchorId="7B74FF2B" wp14:editId="526E0A42">
            <wp:extent cx="6393180" cy="3505200"/>
            <wp:effectExtent l="0" t="0" r="7620" b="0"/>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93180" cy="3505200"/>
                    </a:xfrm>
                    <a:prstGeom prst="rect">
                      <a:avLst/>
                    </a:prstGeom>
                    <a:noFill/>
                    <a:ln>
                      <a:noFill/>
                    </a:ln>
                  </pic:spPr>
                </pic:pic>
              </a:graphicData>
            </a:graphic>
          </wp:inline>
        </w:drawing>
      </w:r>
    </w:p>
    <w:p w14:paraId="26015D00" w14:textId="77777777" w:rsidR="008456BE" w:rsidRPr="00C3310F" w:rsidRDefault="008456BE" w:rsidP="008456BE">
      <w:pPr>
        <w:pStyle w:val="a1"/>
        <w:spacing w:before="0" w:after="120"/>
        <w:rPr>
          <w:rFonts w:hint="eastAsia"/>
          <w:b/>
        </w:rPr>
      </w:pPr>
      <w:bookmarkStart w:id="375" w:name="_Toc172025255"/>
      <w:r w:rsidRPr="00C3310F">
        <w:rPr>
          <w:rFonts w:hint="eastAsia"/>
          <w:b/>
        </w:rPr>
        <w:t>地方檢察署電信網路詐欺案件偵查新收件數變動趨勢圖</w:t>
      </w:r>
      <w:bookmarkEnd w:id="375"/>
    </w:p>
    <w:p w14:paraId="1D599761" w14:textId="77777777" w:rsidR="008456BE" w:rsidRPr="00C3310F" w:rsidRDefault="008456BE" w:rsidP="008456BE">
      <w:pPr>
        <w:pStyle w:val="4"/>
        <w:numPr>
          <w:ilvl w:val="0"/>
          <w:numId w:val="0"/>
        </w:numPr>
        <w:spacing w:afterLines="50" w:after="228" w:line="320" w:lineRule="exact"/>
        <w:ind w:leftChars="-125" w:left="-1" w:hangingChars="163" w:hanging="424"/>
        <w:rPr>
          <w:sz w:val="24"/>
          <w:szCs w:val="24"/>
        </w:rPr>
      </w:pPr>
      <w:r w:rsidRPr="00C3310F">
        <w:rPr>
          <w:rFonts w:hint="eastAsia"/>
          <w:sz w:val="24"/>
          <w:szCs w:val="24"/>
        </w:rPr>
        <w:t>資料來源：法務部(</w:t>
      </w:r>
      <w:hyperlink r:id="rId16" w:history="1">
        <w:r w:rsidRPr="00C3310F">
          <w:rPr>
            <w:rStyle w:val="ae"/>
            <w:color w:val="auto"/>
            <w:sz w:val="24"/>
            <w:szCs w:val="24"/>
          </w:rPr>
          <w:t>https://www.rjsd.moj.gov.tw/RJSDWEB/visualize/</w:t>
        </w:r>
        <w:r w:rsidRPr="00C3310F">
          <w:rPr>
            <w:rStyle w:val="ae"/>
            <w:color w:val="auto"/>
            <w:sz w:val="24"/>
            <w:szCs w:val="24"/>
          </w:rPr>
          <w:br/>
          <w:t>Visualization.aspx?kind=PC&amp;d=12</w:t>
        </w:r>
      </w:hyperlink>
      <w:r w:rsidRPr="00C3310F">
        <w:rPr>
          <w:sz w:val="24"/>
          <w:szCs w:val="24"/>
        </w:rPr>
        <w:t>)</w:t>
      </w:r>
    </w:p>
    <w:p w14:paraId="11111791" w14:textId="77777777" w:rsidR="00B7077C" w:rsidRPr="00C3310F" w:rsidRDefault="00B7077C" w:rsidP="00B7077C">
      <w:pPr>
        <w:pStyle w:val="3"/>
        <w:numPr>
          <w:ilvl w:val="0"/>
          <w:numId w:val="0"/>
        </w:numPr>
        <w:ind w:left="1361"/>
      </w:pPr>
      <w:bookmarkStart w:id="376" w:name="_Toc171525443"/>
    </w:p>
    <w:p w14:paraId="57C1D969" w14:textId="34CFBC26" w:rsidR="008456BE" w:rsidRPr="00C3310F" w:rsidRDefault="008456BE" w:rsidP="00B0210B">
      <w:pPr>
        <w:pStyle w:val="3"/>
      </w:pPr>
      <w:bookmarkStart w:id="377" w:name="_Toc172023926"/>
      <w:bookmarkStart w:id="378" w:name="_Toc172033245"/>
      <w:r w:rsidRPr="00C3310F">
        <w:rPr>
          <w:rFonts w:hint="eastAsia"/>
        </w:rPr>
        <w:lastRenderedPageBreak/>
        <w:t>電信網路詐欺案件，經地檢署偵查終結之人數</w:t>
      </w:r>
      <w:r w:rsidR="00B0210B" w:rsidRPr="00C3310F">
        <w:rPr>
          <w:rFonts w:hint="eastAsia"/>
        </w:rPr>
        <w:t>變動情形</w:t>
      </w:r>
      <w:r w:rsidRPr="00C3310F">
        <w:rPr>
          <w:rFonts w:hint="eastAsia"/>
        </w:rPr>
        <w:t>：</w:t>
      </w:r>
      <w:bookmarkEnd w:id="376"/>
      <w:bookmarkEnd w:id="377"/>
      <w:bookmarkEnd w:id="378"/>
    </w:p>
    <w:p w14:paraId="42BE72C7" w14:textId="77777777" w:rsidR="008456BE" w:rsidRPr="00C3310F" w:rsidRDefault="008456BE" w:rsidP="00B0210B">
      <w:pPr>
        <w:pStyle w:val="4"/>
      </w:pPr>
      <w:r w:rsidRPr="00C3310F">
        <w:rPr>
          <w:rFonts w:hint="eastAsia"/>
        </w:rPr>
        <w:t>因電信網路詐欺案件遭偵辦之人數由109年之84,263人逐年成長至112年之265,377人，4年間因電信網路詐欺遭偵查之人數共計652</w:t>
      </w:r>
      <w:r w:rsidRPr="00C3310F">
        <w:t>,</w:t>
      </w:r>
      <w:r w:rsidRPr="00C3310F">
        <w:rPr>
          <w:rFonts w:hint="eastAsia"/>
        </w:rPr>
        <w:t>238人，其中112年較109年遭檢察官偵查人數增加181</w:t>
      </w:r>
      <w:r w:rsidRPr="00C3310F">
        <w:t>,114</w:t>
      </w:r>
      <w:r w:rsidRPr="00C3310F">
        <w:rPr>
          <w:rFonts w:hint="eastAsia"/>
        </w:rPr>
        <w:t>人，成長逾2倍(215%)，且113年1至5月遭偵查之人數仍達94,202人，顯示，電信網路詐欺案件仍十分嚴峻，相關數據及變動趨勢，詳表</w:t>
      </w:r>
      <w:r w:rsidR="00B0210B" w:rsidRPr="00C3310F">
        <w:rPr>
          <w:rFonts w:hint="eastAsia"/>
        </w:rPr>
        <w:t>4</w:t>
      </w:r>
      <w:r w:rsidRPr="00C3310F">
        <w:rPr>
          <w:rFonts w:hint="eastAsia"/>
        </w:rPr>
        <w:t>、圖</w:t>
      </w:r>
      <w:r w:rsidR="00B0210B" w:rsidRPr="00C3310F">
        <w:rPr>
          <w:rFonts w:hint="eastAsia"/>
        </w:rPr>
        <w:t>6</w:t>
      </w:r>
      <w:r w:rsidRPr="00C3310F">
        <w:rPr>
          <w:rFonts w:hint="eastAsia"/>
        </w:rPr>
        <w:t>。</w:t>
      </w:r>
    </w:p>
    <w:p w14:paraId="1F4609C5" w14:textId="4C91BD78" w:rsidR="008456BE" w:rsidRPr="00C3310F" w:rsidRDefault="008456BE" w:rsidP="00B0210B">
      <w:pPr>
        <w:pStyle w:val="4"/>
      </w:pPr>
      <w:r w:rsidRPr="00C3310F">
        <w:rPr>
          <w:rFonts w:hint="eastAsia"/>
        </w:rPr>
        <w:t>因電信網路詐欺案件遭起訴之人數由109年之24,746人逐年成長至112年之76,482人，4年間因電信網路詐欺遭起訴人數共計200</w:t>
      </w:r>
      <w:r w:rsidRPr="00C3310F">
        <w:t>,475</w:t>
      </w:r>
      <w:r w:rsidRPr="00C3310F">
        <w:rPr>
          <w:rFonts w:hint="eastAsia"/>
        </w:rPr>
        <w:t>人，其中112年較109年遭因電信網路詐欺案件遭起訴之人數增加51,736人，成長逾2倍(209%)，且113年1至5月遭偵查起訴之人數仍達30,879人，顯示</w:t>
      </w:r>
      <w:r w:rsidR="00ED4AE8" w:rsidRPr="00C3310F">
        <w:rPr>
          <w:rFonts w:hint="eastAsia"/>
        </w:rPr>
        <w:t>，</w:t>
      </w:r>
      <w:r w:rsidRPr="00C3310F">
        <w:rPr>
          <w:rFonts w:hint="eastAsia"/>
        </w:rPr>
        <w:t>電信網路詐欺案件遭起訴之情形仍未有趨緩之情形。</w:t>
      </w:r>
    </w:p>
    <w:p w14:paraId="5CF19D5C" w14:textId="4BA4B300" w:rsidR="008456BE" w:rsidRPr="00C3310F" w:rsidRDefault="008456BE" w:rsidP="00B0210B">
      <w:pPr>
        <w:pStyle w:val="4"/>
      </w:pPr>
      <w:r w:rsidRPr="00C3310F">
        <w:rPr>
          <w:rFonts w:hint="eastAsia"/>
        </w:rPr>
        <w:t>109至112年地方檢察署辦理詐欺罪案件偵查終結，經檢察官不起訴處分之人數共計252,609人占電信網路詐欺案件全部偵查數達38.7%，且不起訴比率約占4成，</w:t>
      </w:r>
      <w:r w:rsidR="0009708E" w:rsidRPr="00C3310F">
        <w:rPr>
          <w:rFonts w:hint="eastAsia"/>
        </w:rPr>
        <w:t>相較</w:t>
      </w:r>
      <w:r w:rsidRPr="00C3310F">
        <w:rPr>
          <w:rFonts w:hint="eastAsia"/>
        </w:rPr>
        <w:t>遭起訴之200</w:t>
      </w:r>
      <w:r w:rsidRPr="00C3310F">
        <w:t>,</w:t>
      </w:r>
      <w:r w:rsidRPr="00C3310F">
        <w:rPr>
          <w:rFonts w:hint="eastAsia"/>
        </w:rPr>
        <w:t>475人，約占3成為高；另依據法務部</w:t>
      </w:r>
      <w:r w:rsidRPr="00C3310F">
        <w:rPr>
          <w:rFonts w:hAnsi="標楷體" w:hint="eastAsia"/>
        </w:rPr>
        <w:t>106至110</w:t>
      </w:r>
      <w:r w:rsidRPr="00C3310F">
        <w:rPr>
          <w:rFonts w:hint="eastAsia"/>
        </w:rPr>
        <w:t>詐欺統計分析顯示，不起訴處分之理由主要為犯罪嫌疑不足(占88.5%)。另，詐欺罪且屬電信詐欺恐嚇案件，依據法務部統計106至110年資料顯示，單純車手起訴比率59.0%較高，「單純提供人頭帳戶」18.0%較低。</w:t>
      </w:r>
    </w:p>
    <w:p w14:paraId="3C2EC79C" w14:textId="77777777" w:rsidR="00B7077C" w:rsidRPr="00C3310F" w:rsidRDefault="00B7077C" w:rsidP="00B7077C">
      <w:pPr>
        <w:pStyle w:val="4"/>
        <w:numPr>
          <w:ilvl w:val="0"/>
          <w:numId w:val="0"/>
        </w:numPr>
        <w:ind w:left="1701"/>
      </w:pPr>
    </w:p>
    <w:p w14:paraId="69AC88CE" w14:textId="77777777" w:rsidR="00B7077C" w:rsidRPr="00C3310F" w:rsidRDefault="00B7077C" w:rsidP="00B7077C">
      <w:pPr>
        <w:pStyle w:val="4"/>
        <w:numPr>
          <w:ilvl w:val="0"/>
          <w:numId w:val="0"/>
        </w:numPr>
        <w:ind w:left="1701"/>
      </w:pPr>
    </w:p>
    <w:p w14:paraId="1B093E93" w14:textId="77777777" w:rsidR="00B7077C" w:rsidRPr="00C3310F" w:rsidRDefault="00B7077C" w:rsidP="00B7077C">
      <w:pPr>
        <w:pStyle w:val="4"/>
        <w:numPr>
          <w:ilvl w:val="0"/>
          <w:numId w:val="0"/>
        </w:numPr>
        <w:ind w:left="1701"/>
      </w:pPr>
    </w:p>
    <w:p w14:paraId="4CB24AEB" w14:textId="77777777" w:rsidR="008456BE" w:rsidRPr="00C3310F" w:rsidRDefault="008456BE" w:rsidP="008456BE">
      <w:pPr>
        <w:pStyle w:val="a3"/>
        <w:jc w:val="center"/>
        <w:rPr>
          <w:rFonts w:hint="eastAsia"/>
          <w:b/>
        </w:rPr>
      </w:pPr>
      <w:bookmarkStart w:id="379" w:name="_Toc172025208"/>
      <w:r w:rsidRPr="00C3310F">
        <w:rPr>
          <w:rFonts w:hint="eastAsia"/>
          <w:b/>
        </w:rPr>
        <w:lastRenderedPageBreak/>
        <w:t>地方檢察署電信網路詐欺案件偵查終結人數</w:t>
      </w:r>
      <w:bookmarkEnd w:id="379"/>
    </w:p>
    <w:p w14:paraId="6EF0F814" w14:textId="77777777" w:rsidR="008456BE" w:rsidRPr="00C3310F" w:rsidRDefault="008456BE" w:rsidP="008456BE">
      <w:pPr>
        <w:jc w:val="right"/>
        <w:rPr>
          <w:sz w:val="24"/>
          <w:szCs w:val="24"/>
        </w:rPr>
      </w:pPr>
      <w:r w:rsidRPr="00C3310F">
        <w:rPr>
          <w:rFonts w:hint="eastAsia"/>
          <w:sz w:val="24"/>
          <w:szCs w:val="24"/>
        </w:rPr>
        <w:t>單位：人；%</w:t>
      </w:r>
    </w:p>
    <w:tbl>
      <w:tblPr>
        <w:tblW w:w="9896" w:type="dxa"/>
        <w:tblInd w:w="-572" w:type="dxa"/>
        <w:tblCellMar>
          <w:left w:w="28" w:type="dxa"/>
          <w:right w:w="28" w:type="dxa"/>
        </w:tblCellMar>
        <w:tblLook w:val="04A0" w:firstRow="1" w:lastRow="0" w:firstColumn="1" w:lastColumn="0" w:noHBand="0" w:noVBand="1"/>
      </w:tblPr>
      <w:tblGrid>
        <w:gridCol w:w="1636"/>
        <w:gridCol w:w="1228"/>
        <w:gridCol w:w="1083"/>
        <w:gridCol w:w="668"/>
        <w:gridCol w:w="976"/>
        <w:gridCol w:w="624"/>
        <w:gridCol w:w="1121"/>
        <w:gridCol w:w="753"/>
        <w:gridCol w:w="1039"/>
        <w:gridCol w:w="768"/>
      </w:tblGrid>
      <w:tr w:rsidR="00C3310F" w:rsidRPr="00C3310F" w14:paraId="3CBE75D3" w14:textId="77777777" w:rsidTr="00301D07">
        <w:trPr>
          <w:trHeight w:val="487"/>
          <w:tblHeader/>
        </w:trPr>
        <w:tc>
          <w:tcPr>
            <w:tcW w:w="16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D6A07E2" w14:textId="77777777" w:rsidR="008456BE" w:rsidRPr="00C3310F" w:rsidRDefault="008456BE" w:rsidP="00301D07">
            <w:pPr>
              <w:widowControl/>
              <w:jc w:val="center"/>
              <w:rPr>
                <w:rFonts w:hAnsi="標楷體" w:cs="Arial"/>
                <w:b/>
                <w:kern w:val="0"/>
                <w:sz w:val="26"/>
                <w:szCs w:val="26"/>
              </w:rPr>
            </w:pPr>
          </w:p>
        </w:tc>
        <w:tc>
          <w:tcPr>
            <w:tcW w:w="1228" w:type="dxa"/>
            <w:tcBorders>
              <w:top w:val="single" w:sz="4" w:space="0" w:color="000000"/>
              <w:left w:val="nil"/>
              <w:bottom w:val="single" w:sz="4" w:space="0" w:color="000000"/>
              <w:right w:val="single" w:sz="4" w:space="0" w:color="000000"/>
            </w:tcBorders>
            <w:shd w:val="clear" w:color="auto" w:fill="auto"/>
            <w:vAlign w:val="center"/>
            <w:hideMark/>
          </w:tcPr>
          <w:p w14:paraId="57BD433D" w14:textId="77777777" w:rsidR="008456BE" w:rsidRPr="00C3310F" w:rsidRDefault="008456BE" w:rsidP="00301D07">
            <w:pPr>
              <w:widowControl/>
              <w:jc w:val="center"/>
              <w:rPr>
                <w:rFonts w:hAnsi="標楷體" w:cs="Arial"/>
                <w:b/>
                <w:kern w:val="0"/>
                <w:sz w:val="26"/>
                <w:szCs w:val="26"/>
              </w:rPr>
            </w:pPr>
            <w:r w:rsidRPr="00C3310F">
              <w:rPr>
                <w:rFonts w:hAnsi="標楷體" w:cs="Arial" w:hint="eastAsia"/>
                <w:b/>
                <w:kern w:val="0"/>
                <w:sz w:val="26"/>
                <w:szCs w:val="26"/>
              </w:rPr>
              <w:t>總計</w:t>
            </w:r>
          </w:p>
        </w:tc>
        <w:tc>
          <w:tcPr>
            <w:tcW w:w="1083" w:type="dxa"/>
            <w:tcBorders>
              <w:top w:val="single" w:sz="4" w:space="0" w:color="000000"/>
              <w:left w:val="nil"/>
              <w:bottom w:val="single" w:sz="4" w:space="0" w:color="000000"/>
              <w:right w:val="single" w:sz="4" w:space="0" w:color="000000"/>
            </w:tcBorders>
            <w:shd w:val="clear" w:color="auto" w:fill="auto"/>
            <w:vAlign w:val="center"/>
            <w:hideMark/>
          </w:tcPr>
          <w:p w14:paraId="12C968B5" w14:textId="77777777" w:rsidR="008456BE" w:rsidRPr="00C3310F" w:rsidRDefault="008456BE" w:rsidP="00301D07">
            <w:pPr>
              <w:widowControl/>
              <w:jc w:val="center"/>
              <w:rPr>
                <w:rFonts w:hAnsi="標楷體" w:cs="Arial"/>
                <w:b/>
                <w:kern w:val="0"/>
                <w:sz w:val="26"/>
                <w:szCs w:val="26"/>
              </w:rPr>
            </w:pPr>
            <w:r w:rsidRPr="00C3310F">
              <w:rPr>
                <w:rFonts w:hAnsi="標楷體" w:cs="Arial" w:hint="eastAsia"/>
                <w:b/>
                <w:kern w:val="0"/>
                <w:sz w:val="26"/>
                <w:szCs w:val="26"/>
              </w:rPr>
              <w:t>起訴</w:t>
            </w:r>
          </w:p>
        </w:tc>
        <w:tc>
          <w:tcPr>
            <w:tcW w:w="668" w:type="dxa"/>
            <w:tcBorders>
              <w:top w:val="single" w:sz="4" w:space="0" w:color="000000"/>
              <w:left w:val="nil"/>
              <w:bottom w:val="single" w:sz="4" w:space="0" w:color="000000"/>
              <w:right w:val="single" w:sz="4" w:space="0" w:color="000000"/>
            </w:tcBorders>
            <w:shd w:val="clear" w:color="auto" w:fill="auto"/>
            <w:vAlign w:val="center"/>
            <w:hideMark/>
          </w:tcPr>
          <w:p w14:paraId="53C2B0A9" w14:textId="77777777" w:rsidR="008456BE" w:rsidRPr="00C3310F" w:rsidRDefault="008456BE" w:rsidP="00301D07">
            <w:pPr>
              <w:widowControl/>
              <w:jc w:val="center"/>
              <w:rPr>
                <w:rFonts w:hAnsi="標楷體" w:cs="Arial"/>
                <w:b/>
                <w:kern w:val="0"/>
                <w:sz w:val="26"/>
                <w:szCs w:val="26"/>
              </w:rPr>
            </w:pPr>
            <w:r w:rsidRPr="00C3310F">
              <w:rPr>
                <w:rFonts w:hAnsi="標楷體" w:cs="Arial" w:hint="eastAsia"/>
                <w:b/>
                <w:kern w:val="0"/>
                <w:sz w:val="26"/>
                <w:szCs w:val="26"/>
              </w:rPr>
              <w:t>占比</w:t>
            </w:r>
          </w:p>
        </w:tc>
        <w:tc>
          <w:tcPr>
            <w:tcW w:w="976" w:type="dxa"/>
            <w:tcBorders>
              <w:top w:val="single" w:sz="4" w:space="0" w:color="000000"/>
              <w:left w:val="nil"/>
              <w:bottom w:val="single" w:sz="4" w:space="0" w:color="000000"/>
              <w:right w:val="single" w:sz="4" w:space="0" w:color="000000"/>
            </w:tcBorders>
            <w:shd w:val="clear" w:color="auto" w:fill="auto"/>
            <w:vAlign w:val="center"/>
            <w:hideMark/>
          </w:tcPr>
          <w:p w14:paraId="6F00131E" w14:textId="77777777" w:rsidR="008456BE" w:rsidRPr="00C3310F" w:rsidRDefault="008456BE" w:rsidP="00301D07">
            <w:pPr>
              <w:widowControl/>
              <w:jc w:val="center"/>
              <w:rPr>
                <w:rFonts w:hAnsi="標楷體" w:cs="Arial"/>
                <w:b/>
                <w:kern w:val="0"/>
                <w:sz w:val="26"/>
                <w:szCs w:val="26"/>
              </w:rPr>
            </w:pPr>
            <w:r w:rsidRPr="00C3310F">
              <w:rPr>
                <w:rFonts w:hAnsi="標楷體" w:cs="Arial" w:hint="eastAsia"/>
                <w:b/>
                <w:kern w:val="0"/>
                <w:sz w:val="26"/>
                <w:szCs w:val="26"/>
              </w:rPr>
              <w:t>緩起訴</w:t>
            </w:r>
          </w:p>
        </w:tc>
        <w:tc>
          <w:tcPr>
            <w:tcW w:w="624" w:type="dxa"/>
            <w:tcBorders>
              <w:top w:val="single" w:sz="4" w:space="0" w:color="000000"/>
              <w:left w:val="nil"/>
              <w:bottom w:val="single" w:sz="4" w:space="0" w:color="000000"/>
              <w:right w:val="single" w:sz="4" w:space="0" w:color="000000"/>
            </w:tcBorders>
            <w:shd w:val="clear" w:color="auto" w:fill="auto"/>
            <w:vAlign w:val="center"/>
            <w:hideMark/>
          </w:tcPr>
          <w:p w14:paraId="70EA49ED" w14:textId="77777777" w:rsidR="008456BE" w:rsidRPr="00C3310F" w:rsidRDefault="008456BE" w:rsidP="00301D07">
            <w:pPr>
              <w:widowControl/>
              <w:jc w:val="center"/>
              <w:rPr>
                <w:rFonts w:hAnsi="標楷體" w:cs="Arial"/>
                <w:b/>
                <w:kern w:val="0"/>
                <w:sz w:val="26"/>
                <w:szCs w:val="26"/>
              </w:rPr>
            </w:pPr>
            <w:r w:rsidRPr="00C3310F">
              <w:rPr>
                <w:rFonts w:hAnsi="標楷體" w:cs="Arial" w:hint="eastAsia"/>
                <w:b/>
                <w:kern w:val="0"/>
                <w:sz w:val="26"/>
                <w:szCs w:val="26"/>
              </w:rPr>
              <w:t>占比</w:t>
            </w:r>
          </w:p>
        </w:tc>
        <w:tc>
          <w:tcPr>
            <w:tcW w:w="1121" w:type="dxa"/>
            <w:tcBorders>
              <w:top w:val="single" w:sz="4" w:space="0" w:color="000000"/>
              <w:left w:val="nil"/>
              <w:bottom w:val="single" w:sz="4" w:space="0" w:color="000000"/>
              <w:right w:val="single" w:sz="4" w:space="0" w:color="000000"/>
            </w:tcBorders>
            <w:shd w:val="clear" w:color="auto" w:fill="auto"/>
            <w:vAlign w:val="center"/>
            <w:hideMark/>
          </w:tcPr>
          <w:p w14:paraId="6722F5D1" w14:textId="77777777" w:rsidR="008456BE" w:rsidRPr="00C3310F" w:rsidRDefault="008456BE" w:rsidP="00301D07">
            <w:pPr>
              <w:widowControl/>
              <w:jc w:val="center"/>
              <w:rPr>
                <w:rFonts w:hAnsi="標楷體" w:cs="Arial"/>
                <w:b/>
                <w:kern w:val="0"/>
                <w:sz w:val="26"/>
                <w:szCs w:val="26"/>
              </w:rPr>
            </w:pPr>
            <w:r w:rsidRPr="00C3310F">
              <w:rPr>
                <w:rFonts w:hAnsi="標楷體" w:cs="Arial" w:hint="eastAsia"/>
                <w:b/>
                <w:kern w:val="0"/>
                <w:sz w:val="26"/>
                <w:szCs w:val="26"/>
              </w:rPr>
              <w:t>不起訴</w:t>
            </w:r>
          </w:p>
        </w:tc>
        <w:tc>
          <w:tcPr>
            <w:tcW w:w="753" w:type="dxa"/>
            <w:tcBorders>
              <w:top w:val="single" w:sz="4" w:space="0" w:color="000000"/>
              <w:left w:val="nil"/>
              <w:bottom w:val="single" w:sz="4" w:space="0" w:color="000000"/>
              <w:right w:val="single" w:sz="4" w:space="0" w:color="000000"/>
            </w:tcBorders>
            <w:shd w:val="clear" w:color="auto" w:fill="auto"/>
            <w:vAlign w:val="center"/>
            <w:hideMark/>
          </w:tcPr>
          <w:p w14:paraId="433D4258" w14:textId="77777777" w:rsidR="008456BE" w:rsidRPr="00C3310F" w:rsidRDefault="008456BE" w:rsidP="00301D07">
            <w:pPr>
              <w:widowControl/>
              <w:jc w:val="center"/>
              <w:rPr>
                <w:rFonts w:hAnsi="標楷體" w:cs="Arial"/>
                <w:b/>
                <w:kern w:val="0"/>
                <w:sz w:val="26"/>
                <w:szCs w:val="26"/>
              </w:rPr>
            </w:pPr>
            <w:r w:rsidRPr="00C3310F">
              <w:rPr>
                <w:rFonts w:hAnsi="標楷體" w:cs="Arial" w:hint="eastAsia"/>
                <w:b/>
                <w:kern w:val="0"/>
                <w:sz w:val="26"/>
                <w:szCs w:val="26"/>
              </w:rPr>
              <w:t>占比</w:t>
            </w:r>
          </w:p>
        </w:tc>
        <w:tc>
          <w:tcPr>
            <w:tcW w:w="1039" w:type="dxa"/>
            <w:tcBorders>
              <w:top w:val="single" w:sz="4" w:space="0" w:color="000000"/>
              <w:left w:val="nil"/>
              <w:bottom w:val="single" w:sz="4" w:space="0" w:color="000000"/>
              <w:right w:val="single" w:sz="4" w:space="0" w:color="000000"/>
            </w:tcBorders>
            <w:shd w:val="clear" w:color="auto" w:fill="auto"/>
            <w:vAlign w:val="center"/>
            <w:hideMark/>
          </w:tcPr>
          <w:p w14:paraId="202707A2" w14:textId="77777777" w:rsidR="008456BE" w:rsidRPr="00C3310F" w:rsidRDefault="008456BE" w:rsidP="00301D07">
            <w:pPr>
              <w:widowControl/>
              <w:jc w:val="center"/>
              <w:rPr>
                <w:rFonts w:hAnsi="標楷體" w:cs="Arial"/>
                <w:b/>
                <w:kern w:val="0"/>
                <w:sz w:val="26"/>
                <w:szCs w:val="26"/>
              </w:rPr>
            </w:pPr>
            <w:r w:rsidRPr="00C3310F">
              <w:rPr>
                <w:rFonts w:hAnsi="標楷體" w:cs="Arial" w:hint="eastAsia"/>
                <w:b/>
                <w:kern w:val="0"/>
                <w:sz w:val="26"/>
                <w:szCs w:val="26"/>
              </w:rPr>
              <w:t>其他</w:t>
            </w:r>
          </w:p>
        </w:tc>
        <w:tc>
          <w:tcPr>
            <w:tcW w:w="768" w:type="dxa"/>
            <w:tcBorders>
              <w:top w:val="single" w:sz="4" w:space="0" w:color="000000"/>
              <w:left w:val="nil"/>
              <w:bottom w:val="single" w:sz="4" w:space="0" w:color="000000"/>
              <w:right w:val="single" w:sz="4" w:space="0" w:color="000000"/>
            </w:tcBorders>
            <w:shd w:val="clear" w:color="auto" w:fill="auto"/>
            <w:vAlign w:val="center"/>
            <w:hideMark/>
          </w:tcPr>
          <w:p w14:paraId="145C8747" w14:textId="77777777" w:rsidR="008456BE" w:rsidRPr="00C3310F" w:rsidRDefault="008456BE" w:rsidP="00301D07">
            <w:pPr>
              <w:widowControl/>
              <w:jc w:val="center"/>
              <w:rPr>
                <w:rFonts w:hAnsi="標楷體" w:cs="Arial"/>
                <w:b/>
                <w:kern w:val="0"/>
                <w:sz w:val="26"/>
                <w:szCs w:val="26"/>
              </w:rPr>
            </w:pPr>
            <w:r w:rsidRPr="00C3310F">
              <w:rPr>
                <w:rFonts w:hAnsi="標楷體" w:cs="Arial" w:hint="eastAsia"/>
                <w:b/>
                <w:kern w:val="0"/>
                <w:sz w:val="26"/>
                <w:szCs w:val="26"/>
              </w:rPr>
              <w:t>占比</w:t>
            </w:r>
          </w:p>
        </w:tc>
      </w:tr>
      <w:tr w:rsidR="00C3310F" w:rsidRPr="00C3310F" w14:paraId="7B250CA1" w14:textId="77777777" w:rsidTr="00301D07">
        <w:trPr>
          <w:trHeight w:val="565"/>
        </w:trPr>
        <w:tc>
          <w:tcPr>
            <w:tcW w:w="1636" w:type="dxa"/>
            <w:tcBorders>
              <w:top w:val="nil"/>
              <w:left w:val="single" w:sz="4" w:space="0" w:color="000000"/>
              <w:bottom w:val="single" w:sz="4" w:space="0" w:color="000000"/>
              <w:right w:val="single" w:sz="4" w:space="0" w:color="000000"/>
            </w:tcBorders>
            <w:shd w:val="clear" w:color="auto" w:fill="auto"/>
            <w:noWrap/>
            <w:vAlign w:val="center"/>
            <w:hideMark/>
          </w:tcPr>
          <w:p w14:paraId="71BB00FB" w14:textId="77777777" w:rsidR="008456BE" w:rsidRPr="00C3310F" w:rsidRDefault="008456BE" w:rsidP="00301D07">
            <w:pPr>
              <w:widowControl/>
              <w:jc w:val="center"/>
              <w:rPr>
                <w:rFonts w:hAnsi="標楷體" w:cs="Arial"/>
                <w:kern w:val="0"/>
                <w:sz w:val="26"/>
                <w:szCs w:val="26"/>
              </w:rPr>
            </w:pPr>
            <w:r w:rsidRPr="00C3310F">
              <w:rPr>
                <w:rFonts w:hAnsi="標楷體" w:cs="Arial" w:hint="eastAsia"/>
                <w:kern w:val="0"/>
                <w:sz w:val="26"/>
                <w:szCs w:val="26"/>
              </w:rPr>
              <w:t>109年</w:t>
            </w:r>
          </w:p>
        </w:tc>
        <w:tc>
          <w:tcPr>
            <w:tcW w:w="1228" w:type="dxa"/>
            <w:tcBorders>
              <w:top w:val="nil"/>
              <w:left w:val="nil"/>
              <w:bottom w:val="single" w:sz="4" w:space="0" w:color="000000"/>
              <w:right w:val="single" w:sz="4" w:space="0" w:color="000000"/>
            </w:tcBorders>
            <w:shd w:val="clear" w:color="auto" w:fill="auto"/>
            <w:noWrap/>
            <w:vAlign w:val="center"/>
            <w:hideMark/>
          </w:tcPr>
          <w:p w14:paraId="2E219B84"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84,263</w:t>
            </w:r>
          </w:p>
        </w:tc>
        <w:tc>
          <w:tcPr>
            <w:tcW w:w="1083" w:type="dxa"/>
            <w:tcBorders>
              <w:top w:val="nil"/>
              <w:left w:val="nil"/>
              <w:bottom w:val="single" w:sz="4" w:space="0" w:color="000000"/>
              <w:right w:val="single" w:sz="4" w:space="0" w:color="000000"/>
            </w:tcBorders>
            <w:shd w:val="clear" w:color="auto" w:fill="auto"/>
            <w:noWrap/>
            <w:vAlign w:val="center"/>
            <w:hideMark/>
          </w:tcPr>
          <w:p w14:paraId="5A57D405"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24,746</w:t>
            </w:r>
          </w:p>
        </w:tc>
        <w:tc>
          <w:tcPr>
            <w:tcW w:w="668" w:type="dxa"/>
            <w:tcBorders>
              <w:top w:val="nil"/>
              <w:left w:val="nil"/>
              <w:bottom w:val="single" w:sz="4" w:space="0" w:color="000000"/>
              <w:right w:val="single" w:sz="4" w:space="0" w:color="000000"/>
            </w:tcBorders>
            <w:shd w:val="clear" w:color="auto" w:fill="auto"/>
            <w:noWrap/>
            <w:vAlign w:val="center"/>
            <w:hideMark/>
          </w:tcPr>
          <w:p w14:paraId="766D9F13"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29.4</w:t>
            </w:r>
          </w:p>
        </w:tc>
        <w:tc>
          <w:tcPr>
            <w:tcW w:w="976" w:type="dxa"/>
            <w:tcBorders>
              <w:top w:val="nil"/>
              <w:left w:val="nil"/>
              <w:bottom w:val="single" w:sz="4" w:space="0" w:color="000000"/>
              <w:right w:val="single" w:sz="4" w:space="0" w:color="000000"/>
            </w:tcBorders>
            <w:shd w:val="clear" w:color="auto" w:fill="auto"/>
            <w:noWrap/>
            <w:vAlign w:val="center"/>
            <w:hideMark/>
          </w:tcPr>
          <w:p w14:paraId="667CA53E"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337</w:t>
            </w:r>
          </w:p>
        </w:tc>
        <w:tc>
          <w:tcPr>
            <w:tcW w:w="624" w:type="dxa"/>
            <w:tcBorders>
              <w:top w:val="nil"/>
              <w:left w:val="nil"/>
              <w:bottom w:val="single" w:sz="4" w:space="0" w:color="000000"/>
              <w:right w:val="single" w:sz="4" w:space="0" w:color="000000"/>
            </w:tcBorders>
            <w:shd w:val="clear" w:color="auto" w:fill="auto"/>
            <w:noWrap/>
            <w:vAlign w:val="center"/>
            <w:hideMark/>
          </w:tcPr>
          <w:p w14:paraId="56DC39C7"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0.4</w:t>
            </w:r>
          </w:p>
        </w:tc>
        <w:tc>
          <w:tcPr>
            <w:tcW w:w="1121" w:type="dxa"/>
            <w:tcBorders>
              <w:top w:val="nil"/>
              <w:left w:val="nil"/>
              <w:bottom w:val="single" w:sz="4" w:space="0" w:color="000000"/>
              <w:right w:val="single" w:sz="4" w:space="0" w:color="000000"/>
            </w:tcBorders>
            <w:shd w:val="clear" w:color="auto" w:fill="auto"/>
            <w:noWrap/>
            <w:vAlign w:val="center"/>
            <w:hideMark/>
          </w:tcPr>
          <w:p w14:paraId="59A1639A"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29,432</w:t>
            </w:r>
          </w:p>
        </w:tc>
        <w:tc>
          <w:tcPr>
            <w:tcW w:w="753" w:type="dxa"/>
            <w:tcBorders>
              <w:top w:val="nil"/>
              <w:left w:val="nil"/>
              <w:bottom w:val="single" w:sz="4" w:space="0" w:color="000000"/>
              <w:right w:val="single" w:sz="4" w:space="0" w:color="000000"/>
            </w:tcBorders>
            <w:shd w:val="clear" w:color="auto" w:fill="auto"/>
            <w:noWrap/>
            <w:vAlign w:val="center"/>
            <w:hideMark/>
          </w:tcPr>
          <w:p w14:paraId="1F7702C2"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34.9</w:t>
            </w:r>
          </w:p>
        </w:tc>
        <w:tc>
          <w:tcPr>
            <w:tcW w:w="1039" w:type="dxa"/>
            <w:tcBorders>
              <w:top w:val="nil"/>
              <w:left w:val="nil"/>
              <w:bottom w:val="single" w:sz="4" w:space="0" w:color="000000"/>
              <w:right w:val="single" w:sz="4" w:space="0" w:color="000000"/>
            </w:tcBorders>
            <w:shd w:val="clear" w:color="auto" w:fill="auto"/>
            <w:noWrap/>
            <w:vAlign w:val="center"/>
            <w:hideMark/>
          </w:tcPr>
          <w:p w14:paraId="33B190F6"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29,748</w:t>
            </w:r>
          </w:p>
        </w:tc>
        <w:tc>
          <w:tcPr>
            <w:tcW w:w="768" w:type="dxa"/>
            <w:tcBorders>
              <w:top w:val="nil"/>
              <w:left w:val="nil"/>
              <w:bottom w:val="single" w:sz="4" w:space="0" w:color="000000"/>
              <w:right w:val="single" w:sz="4" w:space="0" w:color="000000"/>
            </w:tcBorders>
            <w:shd w:val="clear" w:color="auto" w:fill="auto"/>
            <w:noWrap/>
            <w:vAlign w:val="center"/>
            <w:hideMark/>
          </w:tcPr>
          <w:p w14:paraId="3E1307F5"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35.3</w:t>
            </w:r>
          </w:p>
        </w:tc>
      </w:tr>
      <w:tr w:rsidR="00C3310F" w:rsidRPr="00C3310F" w14:paraId="5511A9AB" w14:textId="77777777" w:rsidTr="00301D07">
        <w:trPr>
          <w:trHeight w:val="559"/>
        </w:trPr>
        <w:tc>
          <w:tcPr>
            <w:tcW w:w="1636" w:type="dxa"/>
            <w:tcBorders>
              <w:top w:val="nil"/>
              <w:left w:val="single" w:sz="4" w:space="0" w:color="000000"/>
              <w:bottom w:val="single" w:sz="4" w:space="0" w:color="000000"/>
              <w:right w:val="single" w:sz="4" w:space="0" w:color="000000"/>
            </w:tcBorders>
            <w:shd w:val="clear" w:color="auto" w:fill="auto"/>
            <w:noWrap/>
            <w:vAlign w:val="center"/>
            <w:hideMark/>
          </w:tcPr>
          <w:p w14:paraId="57627965" w14:textId="77777777" w:rsidR="008456BE" w:rsidRPr="00C3310F" w:rsidRDefault="008456BE" w:rsidP="00301D07">
            <w:pPr>
              <w:widowControl/>
              <w:jc w:val="center"/>
              <w:rPr>
                <w:rFonts w:hAnsi="標楷體" w:cs="Arial"/>
                <w:kern w:val="0"/>
                <w:sz w:val="26"/>
                <w:szCs w:val="26"/>
              </w:rPr>
            </w:pPr>
            <w:r w:rsidRPr="00C3310F">
              <w:rPr>
                <w:rFonts w:hAnsi="標楷體" w:cs="Arial" w:hint="eastAsia"/>
                <w:kern w:val="0"/>
                <w:sz w:val="26"/>
                <w:szCs w:val="26"/>
              </w:rPr>
              <w:t>110年</w:t>
            </w:r>
          </w:p>
        </w:tc>
        <w:tc>
          <w:tcPr>
            <w:tcW w:w="1228" w:type="dxa"/>
            <w:tcBorders>
              <w:top w:val="nil"/>
              <w:left w:val="nil"/>
              <w:bottom w:val="single" w:sz="4" w:space="0" w:color="000000"/>
              <w:right w:val="single" w:sz="4" w:space="0" w:color="000000"/>
            </w:tcBorders>
            <w:shd w:val="clear" w:color="auto" w:fill="auto"/>
            <w:noWrap/>
            <w:vAlign w:val="center"/>
            <w:hideMark/>
          </w:tcPr>
          <w:p w14:paraId="77D7E9BC"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115,558</w:t>
            </w:r>
          </w:p>
        </w:tc>
        <w:tc>
          <w:tcPr>
            <w:tcW w:w="1083" w:type="dxa"/>
            <w:tcBorders>
              <w:top w:val="nil"/>
              <w:left w:val="nil"/>
              <w:bottom w:val="single" w:sz="4" w:space="0" w:color="000000"/>
              <w:right w:val="single" w:sz="4" w:space="0" w:color="000000"/>
            </w:tcBorders>
            <w:shd w:val="clear" w:color="auto" w:fill="auto"/>
            <w:noWrap/>
            <w:vAlign w:val="center"/>
            <w:hideMark/>
          </w:tcPr>
          <w:p w14:paraId="312ECD87"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38,478</w:t>
            </w:r>
          </w:p>
        </w:tc>
        <w:tc>
          <w:tcPr>
            <w:tcW w:w="668" w:type="dxa"/>
            <w:tcBorders>
              <w:top w:val="nil"/>
              <w:left w:val="nil"/>
              <w:bottom w:val="single" w:sz="4" w:space="0" w:color="000000"/>
              <w:right w:val="single" w:sz="4" w:space="0" w:color="000000"/>
            </w:tcBorders>
            <w:shd w:val="clear" w:color="auto" w:fill="auto"/>
            <w:noWrap/>
            <w:vAlign w:val="center"/>
            <w:hideMark/>
          </w:tcPr>
          <w:p w14:paraId="6B8F942C"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33.3</w:t>
            </w:r>
          </w:p>
        </w:tc>
        <w:tc>
          <w:tcPr>
            <w:tcW w:w="976" w:type="dxa"/>
            <w:tcBorders>
              <w:top w:val="nil"/>
              <w:left w:val="nil"/>
              <w:bottom w:val="single" w:sz="4" w:space="0" w:color="000000"/>
              <w:right w:val="single" w:sz="4" w:space="0" w:color="000000"/>
            </w:tcBorders>
            <w:shd w:val="clear" w:color="auto" w:fill="auto"/>
            <w:noWrap/>
            <w:vAlign w:val="center"/>
            <w:hideMark/>
          </w:tcPr>
          <w:p w14:paraId="7E345DE8"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420</w:t>
            </w:r>
          </w:p>
        </w:tc>
        <w:tc>
          <w:tcPr>
            <w:tcW w:w="624" w:type="dxa"/>
            <w:tcBorders>
              <w:top w:val="nil"/>
              <w:left w:val="nil"/>
              <w:bottom w:val="single" w:sz="4" w:space="0" w:color="000000"/>
              <w:right w:val="single" w:sz="4" w:space="0" w:color="000000"/>
            </w:tcBorders>
            <w:shd w:val="clear" w:color="auto" w:fill="auto"/>
            <w:noWrap/>
            <w:vAlign w:val="center"/>
            <w:hideMark/>
          </w:tcPr>
          <w:p w14:paraId="3A038C49"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0.4</w:t>
            </w:r>
          </w:p>
        </w:tc>
        <w:tc>
          <w:tcPr>
            <w:tcW w:w="1121" w:type="dxa"/>
            <w:tcBorders>
              <w:top w:val="nil"/>
              <w:left w:val="nil"/>
              <w:bottom w:val="single" w:sz="4" w:space="0" w:color="000000"/>
              <w:right w:val="single" w:sz="4" w:space="0" w:color="000000"/>
            </w:tcBorders>
            <w:shd w:val="clear" w:color="auto" w:fill="auto"/>
            <w:noWrap/>
            <w:vAlign w:val="center"/>
            <w:hideMark/>
          </w:tcPr>
          <w:p w14:paraId="3529A1DD"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46,443</w:t>
            </w:r>
          </w:p>
        </w:tc>
        <w:tc>
          <w:tcPr>
            <w:tcW w:w="753" w:type="dxa"/>
            <w:tcBorders>
              <w:top w:val="nil"/>
              <w:left w:val="nil"/>
              <w:bottom w:val="single" w:sz="4" w:space="0" w:color="000000"/>
              <w:right w:val="single" w:sz="4" w:space="0" w:color="000000"/>
            </w:tcBorders>
            <w:shd w:val="clear" w:color="auto" w:fill="auto"/>
            <w:noWrap/>
            <w:vAlign w:val="center"/>
            <w:hideMark/>
          </w:tcPr>
          <w:p w14:paraId="193370DB"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40.2</w:t>
            </w:r>
          </w:p>
        </w:tc>
        <w:tc>
          <w:tcPr>
            <w:tcW w:w="1039" w:type="dxa"/>
            <w:tcBorders>
              <w:top w:val="nil"/>
              <w:left w:val="nil"/>
              <w:bottom w:val="single" w:sz="4" w:space="0" w:color="000000"/>
              <w:right w:val="single" w:sz="4" w:space="0" w:color="000000"/>
            </w:tcBorders>
            <w:shd w:val="clear" w:color="auto" w:fill="auto"/>
            <w:noWrap/>
            <w:vAlign w:val="center"/>
            <w:hideMark/>
          </w:tcPr>
          <w:p w14:paraId="657D45AB"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30,217</w:t>
            </w:r>
          </w:p>
        </w:tc>
        <w:tc>
          <w:tcPr>
            <w:tcW w:w="768" w:type="dxa"/>
            <w:tcBorders>
              <w:top w:val="nil"/>
              <w:left w:val="nil"/>
              <w:bottom w:val="single" w:sz="4" w:space="0" w:color="000000"/>
              <w:right w:val="single" w:sz="4" w:space="0" w:color="000000"/>
            </w:tcBorders>
            <w:shd w:val="clear" w:color="auto" w:fill="auto"/>
            <w:noWrap/>
            <w:vAlign w:val="center"/>
            <w:hideMark/>
          </w:tcPr>
          <w:p w14:paraId="11E68F3C"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26.1</w:t>
            </w:r>
          </w:p>
        </w:tc>
      </w:tr>
      <w:tr w:rsidR="00C3310F" w:rsidRPr="00C3310F" w14:paraId="3AF14250" w14:textId="77777777" w:rsidTr="00301D07">
        <w:trPr>
          <w:trHeight w:val="411"/>
        </w:trPr>
        <w:tc>
          <w:tcPr>
            <w:tcW w:w="1636" w:type="dxa"/>
            <w:tcBorders>
              <w:top w:val="nil"/>
              <w:left w:val="single" w:sz="4" w:space="0" w:color="000000"/>
              <w:bottom w:val="single" w:sz="4" w:space="0" w:color="000000"/>
              <w:right w:val="single" w:sz="4" w:space="0" w:color="000000"/>
            </w:tcBorders>
            <w:shd w:val="clear" w:color="auto" w:fill="auto"/>
            <w:noWrap/>
            <w:vAlign w:val="center"/>
            <w:hideMark/>
          </w:tcPr>
          <w:p w14:paraId="21A6D9CB" w14:textId="77777777" w:rsidR="008456BE" w:rsidRPr="00C3310F" w:rsidRDefault="008456BE" w:rsidP="00301D07">
            <w:pPr>
              <w:widowControl/>
              <w:jc w:val="center"/>
              <w:rPr>
                <w:rFonts w:hAnsi="標楷體" w:cs="Arial"/>
                <w:kern w:val="0"/>
                <w:sz w:val="26"/>
                <w:szCs w:val="26"/>
              </w:rPr>
            </w:pPr>
            <w:r w:rsidRPr="00C3310F">
              <w:rPr>
                <w:rFonts w:hAnsi="標楷體" w:cs="Arial" w:hint="eastAsia"/>
                <w:kern w:val="0"/>
                <w:sz w:val="26"/>
                <w:szCs w:val="26"/>
              </w:rPr>
              <w:t>111年</w:t>
            </w:r>
          </w:p>
        </w:tc>
        <w:tc>
          <w:tcPr>
            <w:tcW w:w="1228" w:type="dxa"/>
            <w:tcBorders>
              <w:top w:val="nil"/>
              <w:left w:val="nil"/>
              <w:bottom w:val="single" w:sz="4" w:space="0" w:color="000000"/>
              <w:right w:val="single" w:sz="4" w:space="0" w:color="000000"/>
            </w:tcBorders>
            <w:shd w:val="clear" w:color="auto" w:fill="auto"/>
            <w:noWrap/>
            <w:vAlign w:val="center"/>
            <w:hideMark/>
          </w:tcPr>
          <w:p w14:paraId="18FDFDF7"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187,183</w:t>
            </w:r>
          </w:p>
        </w:tc>
        <w:tc>
          <w:tcPr>
            <w:tcW w:w="1083" w:type="dxa"/>
            <w:tcBorders>
              <w:top w:val="nil"/>
              <w:left w:val="nil"/>
              <w:bottom w:val="single" w:sz="4" w:space="0" w:color="000000"/>
              <w:right w:val="single" w:sz="4" w:space="0" w:color="000000"/>
            </w:tcBorders>
            <w:shd w:val="clear" w:color="auto" w:fill="auto"/>
            <w:noWrap/>
            <w:vAlign w:val="center"/>
            <w:hideMark/>
          </w:tcPr>
          <w:p w14:paraId="6304AF91"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60,769</w:t>
            </w:r>
          </w:p>
        </w:tc>
        <w:tc>
          <w:tcPr>
            <w:tcW w:w="668" w:type="dxa"/>
            <w:tcBorders>
              <w:top w:val="nil"/>
              <w:left w:val="nil"/>
              <w:bottom w:val="single" w:sz="4" w:space="0" w:color="000000"/>
              <w:right w:val="single" w:sz="4" w:space="0" w:color="000000"/>
            </w:tcBorders>
            <w:shd w:val="clear" w:color="auto" w:fill="auto"/>
            <w:noWrap/>
            <w:vAlign w:val="center"/>
            <w:hideMark/>
          </w:tcPr>
          <w:p w14:paraId="45D0286A"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32.5</w:t>
            </w:r>
          </w:p>
        </w:tc>
        <w:tc>
          <w:tcPr>
            <w:tcW w:w="976" w:type="dxa"/>
            <w:tcBorders>
              <w:top w:val="nil"/>
              <w:left w:val="nil"/>
              <w:bottom w:val="single" w:sz="4" w:space="0" w:color="000000"/>
              <w:right w:val="single" w:sz="4" w:space="0" w:color="000000"/>
            </w:tcBorders>
            <w:shd w:val="clear" w:color="auto" w:fill="auto"/>
            <w:noWrap/>
            <w:vAlign w:val="center"/>
            <w:hideMark/>
          </w:tcPr>
          <w:p w14:paraId="5DAB4312"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294</w:t>
            </w:r>
          </w:p>
        </w:tc>
        <w:tc>
          <w:tcPr>
            <w:tcW w:w="624" w:type="dxa"/>
            <w:tcBorders>
              <w:top w:val="nil"/>
              <w:left w:val="nil"/>
              <w:bottom w:val="single" w:sz="4" w:space="0" w:color="000000"/>
              <w:right w:val="single" w:sz="4" w:space="0" w:color="000000"/>
            </w:tcBorders>
            <w:shd w:val="clear" w:color="auto" w:fill="auto"/>
            <w:noWrap/>
            <w:vAlign w:val="center"/>
            <w:hideMark/>
          </w:tcPr>
          <w:p w14:paraId="0E38FE35"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0.2</w:t>
            </w:r>
          </w:p>
        </w:tc>
        <w:tc>
          <w:tcPr>
            <w:tcW w:w="1121" w:type="dxa"/>
            <w:tcBorders>
              <w:top w:val="nil"/>
              <w:left w:val="nil"/>
              <w:bottom w:val="single" w:sz="4" w:space="0" w:color="000000"/>
              <w:right w:val="single" w:sz="4" w:space="0" w:color="000000"/>
            </w:tcBorders>
            <w:shd w:val="clear" w:color="auto" w:fill="auto"/>
            <w:noWrap/>
            <w:vAlign w:val="center"/>
            <w:hideMark/>
          </w:tcPr>
          <w:p w14:paraId="3B7CE39D"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68,355</w:t>
            </w:r>
          </w:p>
        </w:tc>
        <w:tc>
          <w:tcPr>
            <w:tcW w:w="753" w:type="dxa"/>
            <w:tcBorders>
              <w:top w:val="nil"/>
              <w:left w:val="nil"/>
              <w:bottom w:val="single" w:sz="4" w:space="0" w:color="000000"/>
              <w:right w:val="single" w:sz="4" w:space="0" w:color="000000"/>
            </w:tcBorders>
            <w:shd w:val="clear" w:color="auto" w:fill="auto"/>
            <w:noWrap/>
            <w:vAlign w:val="center"/>
            <w:hideMark/>
          </w:tcPr>
          <w:p w14:paraId="4134C5E4"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36.5</w:t>
            </w:r>
          </w:p>
        </w:tc>
        <w:tc>
          <w:tcPr>
            <w:tcW w:w="1039" w:type="dxa"/>
            <w:tcBorders>
              <w:top w:val="nil"/>
              <w:left w:val="nil"/>
              <w:bottom w:val="single" w:sz="4" w:space="0" w:color="000000"/>
              <w:right w:val="single" w:sz="4" w:space="0" w:color="000000"/>
            </w:tcBorders>
            <w:shd w:val="clear" w:color="auto" w:fill="auto"/>
            <w:noWrap/>
            <w:vAlign w:val="center"/>
            <w:hideMark/>
          </w:tcPr>
          <w:p w14:paraId="20989D16"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57,765</w:t>
            </w:r>
          </w:p>
        </w:tc>
        <w:tc>
          <w:tcPr>
            <w:tcW w:w="768" w:type="dxa"/>
            <w:tcBorders>
              <w:top w:val="nil"/>
              <w:left w:val="nil"/>
              <w:bottom w:val="single" w:sz="4" w:space="0" w:color="000000"/>
              <w:right w:val="single" w:sz="4" w:space="0" w:color="000000"/>
            </w:tcBorders>
            <w:shd w:val="clear" w:color="auto" w:fill="auto"/>
            <w:noWrap/>
            <w:vAlign w:val="center"/>
            <w:hideMark/>
          </w:tcPr>
          <w:p w14:paraId="19CF25FE"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30.9</w:t>
            </w:r>
          </w:p>
        </w:tc>
      </w:tr>
      <w:tr w:rsidR="00C3310F" w:rsidRPr="00C3310F" w14:paraId="7683B46E" w14:textId="77777777" w:rsidTr="00301D07">
        <w:trPr>
          <w:trHeight w:val="487"/>
        </w:trPr>
        <w:tc>
          <w:tcPr>
            <w:tcW w:w="1636" w:type="dxa"/>
            <w:tcBorders>
              <w:top w:val="nil"/>
              <w:left w:val="single" w:sz="4" w:space="0" w:color="000000"/>
              <w:bottom w:val="single" w:sz="4" w:space="0" w:color="auto"/>
              <w:right w:val="single" w:sz="4" w:space="0" w:color="000000"/>
            </w:tcBorders>
            <w:shd w:val="clear" w:color="auto" w:fill="auto"/>
            <w:noWrap/>
            <w:vAlign w:val="center"/>
            <w:hideMark/>
          </w:tcPr>
          <w:p w14:paraId="5489C403" w14:textId="77777777" w:rsidR="008456BE" w:rsidRPr="00C3310F" w:rsidRDefault="008456BE" w:rsidP="00301D07">
            <w:pPr>
              <w:widowControl/>
              <w:jc w:val="center"/>
              <w:rPr>
                <w:rFonts w:hAnsi="標楷體" w:cs="Arial"/>
                <w:kern w:val="0"/>
                <w:sz w:val="26"/>
                <w:szCs w:val="26"/>
              </w:rPr>
            </w:pPr>
            <w:r w:rsidRPr="00C3310F">
              <w:rPr>
                <w:rFonts w:hAnsi="標楷體" w:cs="Arial" w:hint="eastAsia"/>
                <w:kern w:val="0"/>
                <w:sz w:val="26"/>
                <w:szCs w:val="26"/>
              </w:rPr>
              <w:t>112年</w:t>
            </w:r>
          </w:p>
        </w:tc>
        <w:tc>
          <w:tcPr>
            <w:tcW w:w="1228" w:type="dxa"/>
            <w:tcBorders>
              <w:top w:val="nil"/>
              <w:left w:val="nil"/>
              <w:bottom w:val="single" w:sz="4" w:space="0" w:color="auto"/>
              <w:right w:val="single" w:sz="4" w:space="0" w:color="000000"/>
            </w:tcBorders>
            <w:shd w:val="clear" w:color="auto" w:fill="auto"/>
            <w:noWrap/>
            <w:vAlign w:val="center"/>
            <w:hideMark/>
          </w:tcPr>
          <w:p w14:paraId="443195D5"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265,377</w:t>
            </w:r>
          </w:p>
        </w:tc>
        <w:tc>
          <w:tcPr>
            <w:tcW w:w="1083" w:type="dxa"/>
            <w:tcBorders>
              <w:top w:val="nil"/>
              <w:left w:val="nil"/>
              <w:bottom w:val="single" w:sz="4" w:space="0" w:color="auto"/>
              <w:right w:val="single" w:sz="4" w:space="0" w:color="000000"/>
            </w:tcBorders>
            <w:shd w:val="clear" w:color="auto" w:fill="auto"/>
            <w:noWrap/>
            <w:vAlign w:val="center"/>
            <w:hideMark/>
          </w:tcPr>
          <w:p w14:paraId="3D4DF80D"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76,482</w:t>
            </w:r>
          </w:p>
        </w:tc>
        <w:tc>
          <w:tcPr>
            <w:tcW w:w="668" w:type="dxa"/>
            <w:tcBorders>
              <w:top w:val="nil"/>
              <w:left w:val="nil"/>
              <w:bottom w:val="single" w:sz="4" w:space="0" w:color="auto"/>
              <w:right w:val="single" w:sz="4" w:space="0" w:color="000000"/>
            </w:tcBorders>
            <w:shd w:val="clear" w:color="auto" w:fill="auto"/>
            <w:noWrap/>
            <w:vAlign w:val="center"/>
            <w:hideMark/>
          </w:tcPr>
          <w:p w14:paraId="7331E53C"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28.8</w:t>
            </w:r>
          </w:p>
        </w:tc>
        <w:tc>
          <w:tcPr>
            <w:tcW w:w="976" w:type="dxa"/>
            <w:tcBorders>
              <w:top w:val="nil"/>
              <w:left w:val="nil"/>
              <w:bottom w:val="single" w:sz="4" w:space="0" w:color="auto"/>
              <w:right w:val="single" w:sz="4" w:space="0" w:color="000000"/>
            </w:tcBorders>
            <w:shd w:val="clear" w:color="auto" w:fill="auto"/>
            <w:noWrap/>
            <w:vAlign w:val="center"/>
            <w:hideMark/>
          </w:tcPr>
          <w:p w14:paraId="5C3418D2"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345</w:t>
            </w:r>
          </w:p>
        </w:tc>
        <w:tc>
          <w:tcPr>
            <w:tcW w:w="624" w:type="dxa"/>
            <w:tcBorders>
              <w:top w:val="nil"/>
              <w:left w:val="nil"/>
              <w:bottom w:val="single" w:sz="4" w:space="0" w:color="auto"/>
              <w:right w:val="single" w:sz="4" w:space="0" w:color="000000"/>
            </w:tcBorders>
            <w:shd w:val="clear" w:color="auto" w:fill="auto"/>
            <w:noWrap/>
            <w:vAlign w:val="center"/>
            <w:hideMark/>
          </w:tcPr>
          <w:p w14:paraId="55A90B07"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0.1</w:t>
            </w:r>
          </w:p>
        </w:tc>
        <w:tc>
          <w:tcPr>
            <w:tcW w:w="1121" w:type="dxa"/>
            <w:tcBorders>
              <w:top w:val="nil"/>
              <w:left w:val="nil"/>
              <w:bottom w:val="single" w:sz="4" w:space="0" w:color="auto"/>
              <w:right w:val="single" w:sz="4" w:space="0" w:color="000000"/>
            </w:tcBorders>
            <w:shd w:val="clear" w:color="auto" w:fill="auto"/>
            <w:noWrap/>
            <w:vAlign w:val="center"/>
            <w:hideMark/>
          </w:tcPr>
          <w:p w14:paraId="5118E41C"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108,379</w:t>
            </w:r>
          </w:p>
        </w:tc>
        <w:tc>
          <w:tcPr>
            <w:tcW w:w="753" w:type="dxa"/>
            <w:tcBorders>
              <w:top w:val="nil"/>
              <w:left w:val="nil"/>
              <w:bottom w:val="single" w:sz="4" w:space="0" w:color="auto"/>
              <w:right w:val="single" w:sz="4" w:space="0" w:color="000000"/>
            </w:tcBorders>
            <w:shd w:val="clear" w:color="auto" w:fill="auto"/>
            <w:noWrap/>
            <w:vAlign w:val="center"/>
            <w:hideMark/>
          </w:tcPr>
          <w:p w14:paraId="42F3D479"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40.8</w:t>
            </w:r>
          </w:p>
        </w:tc>
        <w:tc>
          <w:tcPr>
            <w:tcW w:w="1039" w:type="dxa"/>
            <w:tcBorders>
              <w:top w:val="nil"/>
              <w:left w:val="nil"/>
              <w:bottom w:val="single" w:sz="4" w:space="0" w:color="auto"/>
              <w:right w:val="single" w:sz="4" w:space="0" w:color="000000"/>
            </w:tcBorders>
            <w:shd w:val="clear" w:color="auto" w:fill="auto"/>
            <w:noWrap/>
            <w:vAlign w:val="center"/>
            <w:hideMark/>
          </w:tcPr>
          <w:p w14:paraId="1F2AF8AE"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80,171</w:t>
            </w:r>
          </w:p>
        </w:tc>
        <w:tc>
          <w:tcPr>
            <w:tcW w:w="768" w:type="dxa"/>
            <w:tcBorders>
              <w:top w:val="nil"/>
              <w:left w:val="nil"/>
              <w:bottom w:val="single" w:sz="4" w:space="0" w:color="auto"/>
              <w:right w:val="single" w:sz="4" w:space="0" w:color="000000"/>
            </w:tcBorders>
            <w:shd w:val="clear" w:color="auto" w:fill="auto"/>
            <w:noWrap/>
            <w:vAlign w:val="center"/>
            <w:hideMark/>
          </w:tcPr>
          <w:p w14:paraId="4E92F311"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30.2</w:t>
            </w:r>
          </w:p>
        </w:tc>
      </w:tr>
      <w:tr w:rsidR="00C3310F" w:rsidRPr="00C3310F" w14:paraId="1DDCDFE4" w14:textId="77777777" w:rsidTr="00301D07">
        <w:trPr>
          <w:trHeight w:val="484"/>
        </w:trPr>
        <w:tc>
          <w:tcPr>
            <w:tcW w:w="1636"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35ADD753" w14:textId="77777777" w:rsidR="008456BE" w:rsidRPr="00C3310F" w:rsidRDefault="008456BE" w:rsidP="00301D07">
            <w:pPr>
              <w:jc w:val="center"/>
              <w:rPr>
                <w:rFonts w:hAnsi="標楷體" w:cs="Arial"/>
                <w:kern w:val="0"/>
                <w:sz w:val="26"/>
                <w:szCs w:val="26"/>
              </w:rPr>
            </w:pPr>
            <w:r w:rsidRPr="00C3310F">
              <w:rPr>
                <w:rFonts w:hAnsi="標楷體" w:cs="Arial" w:hint="eastAsia"/>
                <w:kern w:val="0"/>
                <w:sz w:val="26"/>
                <w:szCs w:val="26"/>
              </w:rPr>
              <w:t>小計</w:t>
            </w:r>
          </w:p>
        </w:tc>
        <w:tc>
          <w:tcPr>
            <w:tcW w:w="1228" w:type="dxa"/>
            <w:tcBorders>
              <w:top w:val="single" w:sz="4" w:space="0" w:color="auto"/>
              <w:left w:val="nil"/>
              <w:bottom w:val="single" w:sz="4" w:space="0" w:color="000000"/>
              <w:right w:val="single" w:sz="4" w:space="0" w:color="000000"/>
            </w:tcBorders>
            <w:shd w:val="clear" w:color="auto" w:fill="auto"/>
            <w:noWrap/>
            <w:vAlign w:val="center"/>
          </w:tcPr>
          <w:p w14:paraId="692A4C43" w14:textId="77777777" w:rsidR="008456BE" w:rsidRPr="00C3310F" w:rsidRDefault="008456BE" w:rsidP="00301D07">
            <w:pPr>
              <w:jc w:val="right"/>
              <w:rPr>
                <w:rFonts w:hAnsi="標楷體" w:cs="Arial"/>
                <w:kern w:val="0"/>
                <w:sz w:val="26"/>
                <w:szCs w:val="26"/>
              </w:rPr>
            </w:pPr>
            <w:r w:rsidRPr="00C3310F">
              <w:rPr>
                <w:rFonts w:hAnsi="標楷體" w:cs="Arial" w:hint="eastAsia"/>
                <w:kern w:val="0"/>
                <w:sz w:val="26"/>
                <w:szCs w:val="26"/>
              </w:rPr>
              <w:t>652</w:t>
            </w:r>
            <w:r w:rsidRPr="00C3310F">
              <w:rPr>
                <w:rFonts w:hAnsi="標楷體" w:cs="Arial"/>
                <w:kern w:val="0"/>
                <w:sz w:val="26"/>
                <w:szCs w:val="26"/>
              </w:rPr>
              <w:t>,238</w:t>
            </w:r>
          </w:p>
        </w:tc>
        <w:tc>
          <w:tcPr>
            <w:tcW w:w="1083" w:type="dxa"/>
            <w:tcBorders>
              <w:top w:val="single" w:sz="4" w:space="0" w:color="auto"/>
              <w:left w:val="nil"/>
              <w:bottom w:val="single" w:sz="4" w:space="0" w:color="000000"/>
              <w:right w:val="single" w:sz="4" w:space="0" w:color="000000"/>
            </w:tcBorders>
            <w:shd w:val="clear" w:color="auto" w:fill="auto"/>
            <w:noWrap/>
            <w:vAlign w:val="center"/>
          </w:tcPr>
          <w:p w14:paraId="16BCA0A0" w14:textId="77777777" w:rsidR="008456BE" w:rsidRPr="00C3310F" w:rsidRDefault="008456BE" w:rsidP="00301D07">
            <w:pPr>
              <w:jc w:val="right"/>
              <w:rPr>
                <w:rFonts w:hAnsi="標楷體" w:cs="Arial"/>
                <w:kern w:val="0"/>
                <w:sz w:val="26"/>
                <w:szCs w:val="26"/>
              </w:rPr>
            </w:pPr>
            <w:r w:rsidRPr="00C3310F">
              <w:rPr>
                <w:rFonts w:hAnsi="標楷體" w:cs="Arial" w:hint="eastAsia"/>
                <w:kern w:val="0"/>
                <w:sz w:val="26"/>
                <w:szCs w:val="26"/>
              </w:rPr>
              <w:t>2</w:t>
            </w:r>
            <w:r w:rsidRPr="00C3310F">
              <w:rPr>
                <w:rFonts w:hAnsi="標楷體" w:cs="Arial"/>
                <w:kern w:val="0"/>
                <w:sz w:val="26"/>
                <w:szCs w:val="26"/>
              </w:rPr>
              <w:t>00,475</w:t>
            </w:r>
          </w:p>
        </w:tc>
        <w:tc>
          <w:tcPr>
            <w:tcW w:w="668" w:type="dxa"/>
            <w:tcBorders>
              <w:top w:val="single" w:sz="4" w:space="0" w:color="auto"/>
              <w:left w:val="nil"/>
              <w:bottom w:val="single" w:sz="4" w:space="0" w:color="000000"/>
              <w:right w:val="single" w:sz="4" w:space="0" w:color="000000"/>
            </w:tcBorders>
            <w:shd w:val="clear" w:color="auto" w:fill="auto"/>
            <w:noWrap/>
            <w:vAlign w:val="center"/>
          </w:tcPr>
          <w:p w14:paraId="5D6ADE62" w14:textId="77777777" w:rsidR="008456BE" w:rsidRPr="00C3310F" w:rsidRDefault="008456BE" w:rsidP="00301D07">
            <w:pPr>
              <w:jc w:val="right"/>
              <w:rPr>
                <w:rFonts w:hAnsi="標楷體" w:cs="Arial"/>
                <w:kern w:val="0"/>
                <w:sz w:val="26"/>
                <w:szCs w:val="26"/>
              </w:rPr>
            </w:pPr>
            <w:r w:rsidRPr="00C3310F">
              <w:rPr>
                <w:rFonts w:hAnsi="標楷體" w:cs="Arial" w:hint="eastAsia"/>
                <w:kern w:val="0"/>
                <w:sz w:val="26"/>
                <w:szCs w:val="26"/>
              </w:rPr>
              <w:t>3</w:t>
            </w:r>
            <w:r w:rsidRPr="00C3310F">
              <w:rPr>
                <w:rFonts w:hAnsi="標楷體" w:cs="Arial"/>
                <w:kern w:val="0"/>
                <w:sz w:val="26"/>
                <w:szCs w:val="26"/>
              </w:rPr>
              <w:t>0.7</w:t>
            </w:r>
          </w:p>
        </w:tc>
        <w:tc>
          <w:tcPr>
            <w:tcW w:w="976" w:type="dxa"/>
            <w:tcBorders>
              <w:top w:val="single" w:sz="4" w:space="0" w:color="auto"/>
              <w:left w:val="nil"/>
              <w:bottom w:val="single" w:sz="4" w:space="0" w:color="000000"/>
              <w:right w:val="single" w:sz="4" w:space="0" w:color="000000"/>
            </w:tcBorders>
            <w:shd w:val="clear" w:color="auto" w:fill="auto"/>
            <w:noWrap/>
            <w:vAlign w:val="center"/>
          </w:tcPr>
          <w:p w14:paraId="67E241A5" w14:textId="77777777" w:rsidR="008456BE" w:rsidRPr="00C3310F" w:rsidRDefault="008456BE" w:rsidP="00301D07">
            <w:pPr>
              <w:jc w:val="right"/>
              <w:rPr>
                <w:rFonts w:hAnsi="標楷體" w:cs="Arial"/>
                <w:kern w:val="0"/>
                <w:sz w:val="26"/>
                <w:szCs w:val="26"/>
              </w:rPr>
            </w:pPr>
            <w:r w:rsidRPr="00C3310F">
              <w:rPr>
                <w:rFonts w:hAnsi="標楷體" w:cs="Arial" w:hint="eastAsia"/>
                <w:kern w:val="0"/>
                <w:sz w:val="26"/>
                <w:szCs w:val="26"/>
              </w:rPr>
              <w:t>1</w:t>
            </w:r>
            <w:r w:rsidRPr="00C3310F">
              <w:rPr>
                <w:rFonts w:hAnsi="標楷體" w:cs="Arial"/>
                <w:kern w:val="0"/>
                <w:sz w:val="26"/>
                <w:szCs w:val="26"/>
              </w:rPr>
              <w:t>,396</w:t>
            </w:r>
          </w:p>
        </w:tc>
        <w:tc>
          <w:tcPr>
            <w:tcW w:w="624" w:type="dxa"/>
            <w:tcBorders>
              <w:top w:val="single" w:sz="4" w:space="0" w:color="auto"/>
              <w:left w:val="nil"/>
              <w:bottom w:val="single" w:sz="4" w:space="0" w:color="000000"/>
              <w:right w:val="single" w:sz="4" w:space="0" w:color="000000"/>
            </w:tcBorders>
            <w:shd w:val="clear" w:color="auto" w:fill="auto"/>
            <w:noWrap/>
            <w:vAlign w:val="center"/>
          </w:tcPr>
          <w:p w14:paraId="6DFD544B" w14:textId="77777777" w:rsidR="008456BE" w:rsidRPr="00C3310F" w:rsidRDefault="008456BE" w:rsidP="00301D07">
            <w:pPr>
              <w:jc w:val="right"/>
              <w:rPr>
                <w:rFonts w:hAnsi="標楷體" w:cs="Arial"/>
                <w:kern w:val="0"/>
                <w:sz w:val="26"/>
                <w:szCs w:val="26"/>
              </w:rPr>
            </w:pPr>
            <w:r w:rsidRPr="00C3310F">
              <w:rPr>
                <w:rFonts w:hAnsi="標楷體" w:cs="Arial" w:hint="eastAsia"/>
                <w:kern w:val="0"/>
                <w:sz w:val="26"/>
                <w:szCs w:val="26"/>
              </w:rPr>
              <w:t>0</w:t>
            </w:r>
            <w:r w:rsidRPr="00C3310F">
              <w:rPr>
                <w:rFonts w:hAnsi="標楷體" w:cs="Arial"/>
                <w:kern w:val="0"/>
                <w:sz w:val="26"/>
                <w:szCs w:val="26"/>
              </w:rPr>
              <w:t>.2</w:t>
            </w:r>
          </w:p>
        </w:tc>
        <w:tc>
          <w:tcPr>
            <w:tcW w:w="1121" w:type="dxa"/>
            <w:tcBorders>
              <w:top w:val="single" w:sz="4" w:space="0" w:color="auto"/>
              <w:left w:val="nil"/>
              <w:bottom w:val="single" w:sz="4" w:space="0" w:color="000000"/>
              <w:right w:val="single" w:sz="4" w:space="0" w:color="000000"/>
            </w:tcBorders>
            <w:shd w:val="clear" w:color="auto" w:fill="auto"/>
            <w:noWrap/>
            <w:vAlign w:val="center"/>
          </w:tcPr>
          <w:p w14:paraId="2A97BD07" w14:textId="77777777" w:rsidR="008456BE" w:rsidRPr="00C3310F" w:rsidRDefault="008456BE" w:rsidP="00301D07">
            <w:pPr>
              <w:jc w:val="right"/>
              <w:rPr>
                <w:rFonts w:hAnsi="標楷體" w:cs="Arial"/>
                <w:kern w:val="0"/>
                <w:sz w:val="26"/>
                <w:szCs w:val="26"/>
              </w:rPr>
            </w:pPr>
            <w:r w:rsidRPr="00C3310F">
              <w:rPr>
                <w:rFonts w:hAnsi="標楷體" w:cs="Arial" w:hint="eastAsia"/>
                <w:kern w:val="0"/>
                <w:sz w:val="26"/>
                <w:szCs w:val="26"/>
              </w:rPr>
              <w:t>2</w:t>
            </w:r>
            <w:r w:rsidRPr="00C3310F">
              <w:rPr>
                <w:rFonts w:hAnsi="標楷體" w:cs="Arial"/>
                <w:kern w:val="0"/>
                <w:sz w:val="26"/>
                <w:szCs w:val="26"/>
              </w:rPr>
              <w:t>52,609</w:t>
            </w:r>
          </w:p>
        </w:tc>
        <w:tc>
          <w:tcPr>
            <w:tcW w:w="753" w:type="dxa"/>
            <w:tcBorders>
              <w:top w:val="single" w:sz="4" w:space="0" w:color="auto"/>
              <w:left w:val="nil"/>
              <w:bottom w:val="single" w:sz="4" w:space="0" w:color="000000"/>
              <w:right w:val="single" w:sz="4" w:space="0" w:color="000000"/>
            </w:tcBorders>
            <w:shd w:val="clear" w:color="auto" w:fill="auto"/>
            <w:noWrap/>
            <w:vAlign w:val="center"/>
          </w:tcPr>
          <w:p w14:paraId="1A3B9215" w14:textId="77777777" w:rsidR="008456BE" w:rsidRPr="00C3310F" w:rsidRDefault="008456BE" w:rsidP="00301D07">
            <w:pPr>
              <w:jc w:val="right"/>
              <w:rPr>
                <w:rFonts w:hAnsi="標楷體" w:cs="Arial"/>
                <w:kern w:val="0"/>
                <w:sz w:val="26"/>
                <w:szCs w:val="26"/>
              </w:rPr>
            </w:pPr>
            <w:r w:rsidRPr="00C3310F">
              <w:rPr>
                <w:rFonts w:hAnsi="標楷體" w:cs="Arial" w:hint="eastAsia"/>
                <w:kern w:val="0"/>
                <w:sz w:val="26"/>
                <w:szCs w:val="26"/>
              </w:rPr>
              <w:t>3</w:t>
            </w:r>
            <w:r w:rsidRPr="00C3310F">
              <w:rPr>
                <w:rFonts w:hAnsi="標楷體" w:cs="Arial"/>
                <w:kern w:val="0"/>
                <w:sz w:val="26"/>
                <w:szCs w:val="26"/>
              </w:rPr>
              <w:t>8.7</w:t>
            </w:r>
          </w:p>
        </w:tc>
        <w:tc>
          <w:tcPr>
            <w:tcW w:w="1039" w:type="dxa"/>
            <w:tcBorders>
              <w:top w:val="single" w:sz="4" w:space="0" w:color="auto"/>
              <w:left w:val="nil"/>
              <w:bottom w:val="single" w:sz="4" w:space="0" w:color="000000"/>
              <w:right w:val="single" w:sz="4" w:space="0" w:color="000000"/>
            </w:tcBorders>
            <w:shd w:val="clear" w:color="auto" w:fill="auto"/>
            <w:noWrap/>
            <w:vAlign w:val="center"/>
          </w:tcPr>
          <w:p w14:paraId="7A5FEF9D" w14:textId="77777777" w:rsidR="008456BE" w:rsidRPr="00C3310F" w:rsidRDefault="008456BE" w:rsidP="00301D07">
            <w:pPr>
              <w:jc w:val="right"/>
              <w:rPr>
                <w:rFonts w:hAnsi="標楷體" w:cs="Arial"/>
                <w:kern w:val="0"/>
                <w:sz w:val="26"/>
                <w:szCs w:val="26"/>
              </w:rPr>
            </w:pPr>
            <w:r w:rsidRPr="00C3310F">
              <w:rPr>
                <w:rFonts w:hAnsi="標楷體" w:cs="Arial" w:hint="eastAsia"/>
                <w:kern w:val="0"/>
                <w:sz w:val="26"/>
                <w:szCs w:val="26"/>
              </w:rPr>
              <w:t>1</w:t>
            </w:r>
            <w:r w:rsidRPr="00C3310F">
              <w:rPr>
                <w:rFonts w:hAnsi="標楷體" w:cs="Arial"/>
                <w:kern w:val="0"/>
                <w:sz w:val="26"/>
                <w:szCs w:val="26"/>
              </w:rPr>
              <w:t>97,901</w:t>
            </w:r>
          </w:p>
        </w:tc>
        <w:tc>
          <w:tcPr>
            <w:tcW w:w="768" w:type="dxa"/>
            <w:tcBorders>
              <w:top w:val="single" w:sz="4" w:space="0" w:color="auto"/>
              <w:left w:val="nil"/>
              <w:bottom w:val="single" w:sz="4" w:space="0" w:color="000000"/>
              <w:right w:val="single" w:sz="4" w:space="0" w:color="000000"/>
            </w:tcBorders>
            <w:shd w:val="clear" w:color="auto" w:fill="auto"/>
            <w:noWrap/>
            <w:vAlign w:val="center"/>
          </w:tcPr>
          <w:p w14:paraId="4D785EE2" w14:textId="77777777" w:rsidR="008456BE" w:rsidRPr="00C3310F" w:rsidRDefault="008456BE" w:rsidP="00301D07">
            <w:pPr>
              <w:jc w:val="right"/>
              <w:rPr>
                <w:rFonts w:hAnsi="標楷體" w:cs="Arial"/>
                <w:kern w:val="0"/>
                <w:sz w:val="26"/>
                <w:szCs w:val="26"/>
              </w:rPr>
            </w:pPr>
            <w:r w:rsidRPr="00C3310F">
              <w:rPr>
                <w:rFonts w:hAnsi="標楷體" w:cs="Arial" w:hint="eastAsia"/>
                <w:kern w:val="0"/>
                <w:sz w:val="26"/>
                <w:szCs w:val="26"/>
              </w:rPr>
              <w:t>3</w:t>
            </w:r>
            <w:r w:rsidRPr="00C3310F">
              <w:rPr>
                <w:rFonts w:hAnsi="標楷體" w:cs="Arial"/>
                <w:kern w:val="0"/>
                <w:sz w:val="26"/>
                <w:szCs w:val="26"/>
              </w:rPr>
              <w:t>0.3</w:t>
            </w:r>
          </w:p>
        </w:tc>
      </w:tr>
      <w:tr w:rsidR="00C3310F" w:rsidRPr="00C3310F" w14:paraId="2D137C6F" w14:textId="77777777" w:rsidTr="00301D07">
        <w:trPr>
          <w:trHeight w:val="562"/>
        </w:trPr>
        <w:tc>
          <w:tcPr>
            <w:tcW w:w="1636" w:type="dxa"/>
            <w:tcBorders>
              <w:top w:val="nil"/>
              <w:left w:val="single" w:sz="4" w:space="0" w:color="000000"/>
              <w:bottom w:val="single" w:sz="4" w:space="0" w:color="auto"/>
              <w:right w:val="single" w:sz="4" w:space="0" w:color="000000"/>
            </w:tcBorders>
            <w:shd w:val="clear" w:color="auto" w:fill="auto"/>
            <w:noWrap/>
            <w:vAlign w:val="center"/>
            <w:hideMark/>
          </w:tcPr>
          <w:p w14:paraId="3D85F4DC" w14:textId="77777777" w:rsidR="008456BE" w:rsidRPr="00C3310F" w:rsidRDefault="008456BE" w:rsidP="00301D07">
            <w:pPr>
              <w:widowControl/>
              <w:jc w:val="center"/>
              <w:rPr>
                <w:rFonts w:hAnsi="標楷體" w:cs="Arial"/>
                <w:kern w:val="0"/>
                <w:sz w:val="28"/>
                <w:szCs w:val="28"/>
              </w:rPr>
            </w:pPr>
            <w:r w:rsidRPr="00C3310F">
              <w:rPr>
                <w:rFonts w:hAnsi="標楷體" w:cs="Arial" w:hint="eastAsia"/>
                <w:kern w:val="0"/>
                <w:sz w:val="28"/>
                <w:szCs w:val="28"/>
              </w:rPr>
              <w:t>113年1-5月</w:t>
            </w:r>
          </w:p>
        </w:tc>
        <w:tc>
          <w:tcPr>
            <w:tcW w:w="1228" w:type="dxa"/>
            <w:tcBorders>
              <w:top w:val="nil"/>
              <w:left w:val="nil"/>
              <w:bottom w:val="single" w:sz="4" w:space="0" w:color="auto"/>
              <w:right w:val="single" w:sz="4" w:space="0" w:color="000000"/>
            </w:tcBorders>
            <w:shd w:val="clear" w:color="auto" w:fill="auto"/>
            <w:noWrap/>
            <w:vAlign w:val="center"/>
            <w:hideMark/>
          </w:tcPr>
          <w:p w14:paraId="570F7D41"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94,202</w:t>
            </w:r>
          </w:p>
        </w:tc>
        <w:tc>
          <w:tcPr>
            <w:tcW w:w="1083" w:type="dxa"/>
            <w:tcBorders>
              <w:top w:val="nil"/>
              <w:left w:val="nil"/>
              <w:bottom w:val="single" w:sz="4" w:space="0" w:color="auto"/>
              <w:right w:val="single" w:sz="4" w:space="0" w:color="000000"/>
            </w:tcBorders>
            <w:shd w:val="clear" w:color="auto" w:fill="auto"/>
            <w:noWrap/>
            <w:vAlign w:val="center"/>
            <w:hideMark/>
          </w:tcPr>
          <w:p w14:paraId="0844FE95"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30,879</w:t>
            </w:r>
          </w:p>
        </w:tc>
        <w:tc>
          <w:tcPr>
            <w:tcW w:w="668" w:type="dxa"/>
            <w:tcBorders>
              <w:top w:val="nil"/>
              <w:left w:val="nil"/>
              <w:bottom w:val="single" w:sz="4" w:space="0" w:color="auto"/>
              <w:right w:val="single" w:sz="4" w:space="0" w:color="000000"/>
            </w:tcBorders>
            <w:shd w:val="clear" w:color="auto" w:fill="auto"/>
            <w:noWrap/>
            <w:vAlign w:val="center"/>
            <w:hideMark/>
          </w:tcPr>
          <w:p w14:paraId="59E7570B"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32.8</w:t>
            </w:r>
          </w:p>
        </w:tc>
        <w:tc>
          <w:tcPr>
            <w:tcW w:w="976" w:type="dxa"/>
            <w:tcBorders>
              <w:top w:val="nil"/>
              <w:left w:val="nil"/>
              <w:bottom w:val="single" w:sz="4" w:space="0" w:color="auto"/>
              <w:right w:val="single" w:sz="4" w:space="0" w:color="000000"/>
            </w:tcBorders>
            <w:shd w:val="clear" w:color="auto" w:fill="auto"/>
            <w:noWrap/>
            <w:vAlign w:val="center"/>
            <w:hideMark/>
          </w:tcPr>
          <w:p w14:paraId="1B0334B0"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125</w:t>
            </w:r>
          </w:p>
        </w:tc>
        <w:tc>
          <w:tcPr>
            <w:tcW w:w="624" w:type="dxa"/>
            <w:tcBorders>
              <w:top w:val="nil"/>
              <w:left w:val="nil"/>
              <w:bottom w:val="single" w:sz="4" w:space="0" w:color="auto"/>
              <w:right w:val="single" w:sz="4" w:space="0" w:color="000000"/>
            </w:tcBorders>
            <w:shd w:val="clear" w:color="auto" w:fill="auto"/>
            <w:noWrap/>
            <w:vAlign w:val="center"/>
            <w:hideMark/>
          </w:tcPr>
          <w:p w14:paraId="650908CB"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0.1</w:t>
            </w:r>
          </w:p>
        </w:tc>
        <w:tc>
          <w:tcPr>
            <w:tcW w:w="1121" w:type="dxa"/>
            <w:tcBorders>
              <w:top w:val="nil"/>
              <w:left w:val="nil"/>
              <w:bottom w:val="single" w:sz="4" w:space="0" w:color="auto"/>
              <w:right w:val="single" w:sz="4" w:space="0" w:color="000000"/>
            </w:tcBorders>
            <w:shd w:val="clear" w:color="auto" w:fill="auto"/>
            <w:noWrap/>
            <w:vAlign w:val="center"/>
            <w:hideMark/>
          </w:tcPr>
          <w:p w14:paraId="26A3512E"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37,695</w:t>
            </w:r>
          </w:p>
        </w:tc>
        <w:tc>
          <w:tcPr>
            <w:tcW w:w="753" w:type="dxa"/>
            <w:tcBorders>
              <w:top w:val="nil"/>
              <w:left w:val="nil"/>
              <w:bottom w:val="single" w:sz="4" w:space="0" w:color="auto"/>
              <w:right w:val="single" w:sz="4" w:space="0" w:color="000000"/>
            </w:tcBorders>
            <w:shd w:val="clear" w:color="auto" w:fill="auto"/>
            <w:noWrap/>
            <w:vAlign w:val="center"/>
            <w:hideMark/>
          </w:tcPr>
          <w:p w14:paraId="626E07BC"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40.0</w:t>
            </w:r>
          </w:p>
        </w:tc>
        <w:tc>
          <w:tcPr>
            <w:tcW w:w="1039" w:type="dxa"/>
            <w:tcBorders>
              <w:top w:val="nil"/>
              <w:left w:val="nil"/>
              <w:bottom w:val="single" w:sz="4" w:space="0" w:color="auto"/>
              <w:right w:val="single" w:sz="4" w:space="0" w:color="000000"/>
            </w:tcBorders>
            <w:shd w:val="clear" w:color="auto" w:fill="auto"/>
            <w:noWrap/>
            <w:vAlign w:val="center"/>
            <w:hideMark/>
          </w:tcPr>
          <w:p w14:paraId="322B8FB7"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25,503</w:t>
            </w:r>
          </w:p>
        </w:tc>
        <w:tc>
          <w:tcPr>
            <w:tcW w:w="768" w:type="dxa"/>
            <w:tcBorders>
              <w:top w:val="nil"/>
              <w:left w:val="nil"/>
              <w:bottom w:val="single" w:sz="4" w:space="0" w:color="auto"/>
              <w:right w:val="single" w:sz="4" w:space="0" w:color="000000"/>
            </w:tcBorders>
            <w:shd w:val="clear" w:color="auto" w:fill="auto"/>
            <w:noWrap/>
            <w:vAlign w:val="center"/>
            <w:hideMark/>
          </w:tcPr>
          <w:p w14:paraId="4C351FD8" w14:textId="77777777" w:rsidR="008456BE" w:rsidRPr="00C3310F" w:rsidRDefault="008456BE" w:rsidP="00301D07">
            <w:pPr>
              <w:widowControl/>
              <w:jc w:val="right"/>
              <w:rPr>
                <w:rFonts w:hAnsi="標楷體" w:cs="Arial"/>
                <w:kern w:val="0"/>
                <w:sz w:val="26"/>
                <w:szCs w:val="26"/>
              </w:rPr>
            </w:pPr>
            <w:r w:rsidRPr="00C3310F">
              <w:rPr>
                <w:rFonts w:hAnsi="標楷體" w:cs="Arial" w:hint="eastAsia"/>
                <w:kern w:val="0"/>
                <w:sz w:val="26"/>
                <w:szCs w:val="26"/>
              </w:rPr>
              <w:t>27.1</w:t>
            </w:r>
          </w:p>
        </w:tc>
      </w:tr>
      <w:tr w:rsidR="00C3310F" w:rsidRPr="00C3310F" w14:paraId="5BD096D6" w14:textId="77777777" w:rsidTr="00301D07">
        <w:trPr>
          <w:trHeight w:val="556"/>
        </w:trPr>
        <w:tc>
          <w:tcPr>
            <w:tcW w:w="1636" w:type="dxa"/>
            <w:tcBorders>
              <w:top w:val="single" w:sz="4" w:space="0" w:color="auto"/>
              <w:left w:val="single" w:sz="4" w:space="0" w:color="000000"/>
              <w:bottom w:val="single" w:sz="4" w:space="0" w:color="000000"/>
              <w:right w:val="single" w:sz="4" w:space="0" w:color="000000"/>
            </w:tcBorders>
            <w:shd w:val="clear" w:color="auto" w:fill="auto"/>
            <w:noWrap/>
            <w:vAlign w:val="center"/>
          </w:tcPr>
          <w:p w14:paraId="5F99756E" w14:textId="77777777" w:rsidR="008456BE" w:rsidRPr="00C3310F" w:rsidRDefault="008456BE" w:rsidP="00301D07">
            <w:pPr>
              <w:jc w:val="center"/>
              <w:rPr>
                <w:rFonts w:hAnsi="標楷體" w:cs="Arial"/>
                <w:kern w:val="0"/>
                <w:sz w:val="28"/>
                <w:szCs w:val="28"/>
              </w:rPr>
            </w:pPr>
            <w:r w:rsidRPr="00C3310F">
              <w:rPr>
                <w:rFonts w:hAnsi="標楷體" w:cs="Arial" w:hint="eastAsia"/>
                <w:kern w:val="0"/>
                <w:sz w:val="28"/>
                <w:szCs w:val="28"/>
              </w:rPr>
              <w:t>總計</w:t>
            </w:r>
          </w:p>
        </w:tc>
        <w:tc>
          <w:tcPr>
            <w:tcW w:w="1228" w:type="dxa"/>
            <w:tcBorders>
              <w:top w:val="single" w:sz="4" w:space="0" w:color="auto"/>
              <w:left w:val="nil"/>
              <w:bottom w:val="single" w:sz="4" w:space="0" w:color="000000"/>
              <w:right w:val="single" w:sz="4" w:space="0" w:color="000000"/>
            </w:tcBorders>
            <w:shd w:val="clear" w:color="auto" w:fill="auto"/>
            <w:noWrap/>
            <w:vAlign w:val="center"/>
          </w:tcPr>
          <w:p w14:paraId="1D3AE543" w14:textId="77777777" w:rsidR="008456BE" w:rsidRPr="00C3310F" w:rsidRDefault="008456BE" w:rsidP="00301D07">
            <w:pPr>
              <w:jc w:val="right"/>
              <w:rPr>
                <w:rFonts w:hAnsi="標楷體" w:cs="Arial"/>
                <w:kern w:val="0"/>
                <w:sz w:val="26"/>
                <w:szCs w:val="26"/>
              </w:rPr>
            </w:pPr>
            <w:r w:rsidRPr="00C3310F">
              <w:rPr>
                <w:rFonts w:hAnsi="標楷體" w:cs="Arial" w:hint="eastAsia"/>
                <w:kern w:val="0"/>
                <w:sz w:val="26"/>
                <w:szCs w:val="26"/>
              </w:rPr>
              <w:t>7</w:t>
            </w:r>
            <w:r w:rsidRPr="00C3310F">
              <w:rPr>
                <w:rFonts w:hAnsi="標楷體" w:cs="Arial"/>
                <w:kern w:val="0"/>
                <w:sz w:val="26"/>
                <w:szCs w:val="26"/>
              </w:rPr>
              <w:t>46,583</w:t>
            </w:r>
          </w:p>
        </w:tc>
        <w:tc>
          <w:tcPr>
            <w:tcW w:w="1083" w:type="dxa"/>
            <w:tcBorders>
              <w:top w:val="single" w:sz="4" w:space="0" w:color="auto"/>
              <w:left w:val="nil"/>
              <w:bottom w:val="single" w:sz="4" w:space="0" w:color="000000"/>
              <w:right w:val="single" w:sz="4" w:space="0" w:color="000000"/>
            </w:tcBorders>
            <w:shd w:val="clear" w:color="auto" w:fill="auto"/>
            <w:noWrap/>
            <w:vAlign w:val="center"/>
          </w:tcPr>
          <w:p w14:paraId="777A0F2E" w14:textId="77777777" w:rsidR="008456BE" w:rsidRPr="00C3310F" w:rsidRDefault="008456BE" w:rsidP="00301D07">
            <w:pPr>
              <w:jc w:val="right"/>
              <w:rPr>
                <w:rFonts w:hAnsi="標楷體" w:cs="Arial"/>
                <w:kern w:val="0"/>
                <w:sz w:val="26"/>
                <w:szCs w:val="26"/>
              </w:rPr>
            </w:pPr>
            <w:r w:rsidRPr="00C3310F">
              <w:rPr>
                <w:rFonts w:hAnsi="標楷體" w:cs="Arial" w:hint="eastAsia"/>
                <w:kern w:val="0"/>
                <w:sz w:val="26"/>
                <w:szCs w:val="26"/>
              </w:rPr>
              <w:t>2</w:t>
            </w:r>
            <w:r w:rsidRPr="00C3310F">
              <w:rPr>
                <w:rFonts w:hAnsi="標楷體" w:cs="Arial"/>
                <w:kern w:val="0"/>
                <w:sz w:val="26"/>
                <w:szCs w:val="26"/>
              </w:rPr>
              <w:t>31,354</w:t>
            </w:r>
          </w:p>
        </w:tc>
        <w:tc>
          <w:tcPr>
            <w:tcW w:w="668" w:type="dxa"/>
            <w:tcBorders>
              <w:top w:val="single" w:sz="4" w:space="0" w:color="auto"/>
              <w:left w:val="nil"/>
              <w:bottom w:val="single" w:sz="4" w:space="0" w:color="000000"/>
              <w:right w:val="single" w:sz="4" w:space="0" w:color="000000"/>
            </w:tcBorders>
            <w:shd w:val="clear" w:color="auto" w:fill="auto"/>
            <w:noWrap/>
            <w:vAlign w:val="center"/>
          </w:tcPr>
          <w:p w14:paraId="20A561BB" w14:textId="77777777" w:rsidR="008456BE" w:rsidRPr="00C3310F" w:rsidRDefault="008456BE" w:rsidP="00301D07">
            <w:pPr>
              <w:jc w:val="right"/>
              <w:rPr>
                <w:rFonts w:hAnsi="標楷體" w:cs="Arial"/>
                <w:kern w:val="0"/>
                <w:sz w:val="26"/>
                <w:szCs w:val="26"/>
              </w:rPr>
            </w:pPr>
            <w:r w:rsidRPr="00C3310F">
              <w:rPr>
                <w:rFonts w:hAnsi="標楷體" w:cs="Arial" w:hint="eastAsia"/>
                <w:kern w:val="0"/>
                <w:sz w:val="26"/>
                <w:szCs w:val="26"/>
              </w:rPr>
              <w:t>3</w:t>
            </w:r>
            <w:r w:rsidRPr="00C3310F">
              <w:rPr>
                <w:rFonts w:hAnsi="標楷體" w:cs="Arial"/>
                <w:kern w:val="0"/>
                <w:sz w:val="26"/>
                <w:szCs w:val="26"/>
              </w:rPr>
              <w:t>1.0</w:t>
            </w:r>
          </w:p>
        </w:tc>
        <w:tc>
          <w:tcPr>
            <w:tcW w:w="976" w:type="dxa"/>
            <w:tcBorders>
              <w:top w:val="single" w:sz="4" w:space="0" w:color="auto"/>
              <w:left w:val="nil"/>
              <w:bottom w:val="single" w:sz="4" w:space="0" w:color="000000"/>
              <w:right w:val="single" w:sz="4" w:space="0" w:color="000000"/>
            </w:tcBorders>
            <w:shd w:val="clear" w:color="auto" w:fill="auto"/>
            <w:noWrap/>
            <w:vAlign w:val="center"/>
          </w:tcPr>
          <w:p w14:paraId="03A30CE4" w14:textId="77777777" w:rsidR="008456BE" w:rsidRPr="00C3310F" w:rsidRDefault="008456BE" w:rsidP="00301D07">
            <w:pPr>
              <w:jc w:val="right"/>
              <w:rPr>
                <w:rFonts w:hAnsi="標楷體" w:cs="Arial"/>
                <w:kern w:val="0"/>
                <w:sz w:val="26"/>
                <w:szCs w:val="26"/>
              </w:rPr>
            </w:pPr>
            <w:r w:rsidRPr="00C3310F">
              <w:rPr>
                <w:rFonts w:hAnsi="標楷體" w:cs="Arial" w:hint="eastAsia"/>
                <w:kern w:val="0"/>
                <w:sz w:val="26"/>
                <w:szCs w:val="26"/>
              </w:rPr>
              <w:t>1</w:t>
            </w:r>
            <w:r w:rsidRPr="00C3310F">
              <w:rPr>
                <w:rFonts w:hAnsi="標楷體" w:cs="Arial"/>
                <w:kern w:val="0"/>
                <w:sz w:val="26"/>
                <w:szCs w:val="26"/>
              </w:rPr>
              <w:t>,521</w:t>
            </w:r>
          </w:p>
        </w:tc>
        <w:tc>
          <w:tcPr>
            <w:tcW w:w="624" w:type="dxa"/>
            <w:tcBorders>
              <w:top w:val="single" w:sz="4" w:space="0" w:color="auto"/>
              <w:left w:val="nil"/>
              <w:bottom w:val="single" w:sz="4" w:space="0" w:color="000000"/>
              <w:right w:val="single" w:sz="4" w:space="0" w:color="000000"/>
            </w:tcBorders>
            <w:shd w:val="clear" w:color="auto" w:fill="auto"/>
            <w:noWrap/>
            <w:vAlign w:val="center"/>
          </w:tcPr>
          <w:p w14:paraId="21324505" w14:textId="77777777" w:rsidR="008456BE" w:rsidRPr="00C3310F" w:rsidRDefault="008456BE" w:rsidP="00301D07">
            <w:pPr>
              <w:jc w:val="right"/>
              <w:rPr>
                <w:rFonts w:hAnsi="標楷體" w:cs="Arial"/>
                <w:kern w:val="0"/>
                <w:sz w:val="26"/>
                <w:szCs w:val="26"/>
              </w:rPr>
            </w:pPr>
            <w:r w:rsidRPr="00C3310F">
              <w:rPr>
                <w:rFonts w:hAnsi="標楷體" w:cs="Arial" w:hint="eastAsia"/>
                <w:kern w:val="0"/>
                <w:sz w:val="26"/>
                <w:szCs w:val="26"/>
              </w:rPr>
              <w:t>0</w:t>
            </w:r>
            <w:r w:rsidRPr="00C3310F">
              <w:rPr>
                <w:rFonts w:hAnsi="標楷體" w:cs="Arial"/>
                <w:kern w:val="0"/>
                <w:sz w:val="26"/>
                <w:szCs w:val="26"/>
              </w:rPr>
              <w:t>.2</w:t>
            </w:r>
          </w:p>
        </w:tc>
        <w:tc>
          <w:tcPr>
            <w:tcW w:w="1121" w:type="dxa"/>
            <w:tcBorders>
              <w:top w:val="single" w:sz="4" w:space="0" w:color="auto"/>
              <w:left w:val="nil"/>
              <w:bottom w:val="single" w:sz="4" w:space="0" w:color="000000"/>
              <w:right w:val="single" w:sz="4" w:space="0" w:color="000000"/>
            </w:tcBorders>
            <w:shd w:val="clear" w:color="auto" w:fill="auto"/>
            <w:noWrap/>
            <w:vAlign w:val="center"/>
          </w:tcPr>
          <w:p w14:paraId="208EA184" w14:textId="77777777" w:rsidR="008456BE" w:rsidRPr="00C3310F" w:rsidRDefault="008456BE" w:rsidP="00301D07">
            <w:pPr>
              <w:jc w:val="right"/>
              <w:rPr>
                <w:rFonts w:hAnsi="標楷體" w:cs="Arial"/>
                <w:kern w:val="0"/>
                <w:sz w:val="26"/>
                <w:szCs w:val="26"/>
              </w:rPr>
            </w:pPr>
            <w:r w:rsidRPr="00C3310F">
              <w:rPr>
                <w:rFonts w:hAnsi="標楷體" w:cs="Arial" w:hint="eastAsia"/>
                <w:kern w:val="0"/>
                <w:sz w:val="26"/>
                <w:szCs w:val="26"/>
              </w:rPr>
              <w:t>2</w:t>
            </w:r>
            <w:r w:rsidRPr="00C3310F">
              <w:rPr>
                <w:rFonts w:hAnsi="標楷體" w:cs="Arial"/>
                <w:kern w:val="0"/>
                <w:sz w:val="26"/>
                <w:szCs w:val="26"/>
              </w:rPr>
              <w:t>90,304</w:t>
            </w:r>
          </w:p>
        </w:tc>
        <w:tc>
          <w:tcPr>
            <w:tcW w:w="753" w:type="dxa"/>
            <w:tcBorders>
              <w:top w:val="single" w:sz="4" w:space="0" w:color="auto"/>
              <w:left w:val="nil"/>
              <w:bottom w:val="single" w:sz="4" w:space="0" w:color="000000"/>
              <w:right w:val="single" w:sz="4" w:space="0" w:color="000000"/>
            </w:tcBorders>
            <w:shd w:val="clear" w:color="auto" w:fill="auto"/>
            <w:noWrap/>
            <w:vAlign w:val="center"/>
          </w:tcPr>
          <w:p w14:paraId="1AD7107C" w14:textId="77777777" w:rsidR="008456BE" w:rsidRPr="00C3310F" w:rsidRDefault="008456BE" w:rsidP="00301D07">
            <w:pPr>
              <w:jc w:val="right"/>
              <w:rPr>
                <w:rFonts w:hAnsi="標楷體" w:cs="Arial"/>
                <w:kern w:val="0"/>
                <w:sz w:val="26"/>
                <w:szCs w:val="26"/>
              </w:rPr>
            </w:pPr>
            <w:r w:rsidRPr="00C3310F">
              <w:rPr>
                <w:rFonts w:hAnsi="標楷體" w:cs="Arial" w:hint="eastAsia"/>
                <w:kern w:val="0"/>
                <w:sz w:val="26"/>
                <w:szCs w:val="26"/>
              </w:rPr>
              <w:t>3</w:t>
            </w:r>
            <w:r w:rsidRPr="00C3310F">
              <w:rPr>
                <w:rFonts w:hAnsi="標楷體" w:cs="Arial"/>
                <w:kern w:val="0"/>
                <w:sz w:val="26"/>
                <w:szCs w:val="26"/>
              </w:rPr>
              <w:t>8.9</w:t>
            </w:r>
          </w:p>
        </w:tc>
        <w:tc>
          <w:tcPr>
            <w:tcW w:w="1039" w:type="dxa"/>
            <w:tcBorders>
              <w:top w:val="single" w:sz="4" w:space="0" w:color="auto"/>
              <w:left w:val="nil"/>
              <w:bottom w:val="single" w:sz="4" w:space="0" w:color="000000"/>
              <w:right w:val="single" w:sz="4" w:space="0" w:color="000000"/>
            </w:tcBorders>
            <w:shd w:val="clear" w:color="auto" w:fill="auto"/>
            <w:noWrap/>
            <w:vAlign w:val="center"/>
          </w:tcPr>
          <w:p w14:paraId="47A01C1E" w14:textId="77777777" w:rsidR="008456BE" w:rsidRPr="00C3310F" w:rsidRDefault="008456BE" w:rsidP="00301D07">
            <w:pPr>
              <w:jc w:val="right"/>
              <w:rPr>
                <w:rFonts w:hAnsi="標楷體" w:cs="Arial"/>
                <w:kern w:val="0"/>
                <w:sz w:val="26"/>
                <w:szCs w:val="26"/>
              </w:rPr>
            </w:pPr>
            <w:r w:rsidRPr="00C3310F">
              <w:rPr>
                <w:rFonts w:hAnsi="標楷體" w:cs="Arial" w:hint="eastAsia"/>
                <w:kern w:val="0"/>
                <w:sz w:val="26"/>
                <w:szCs w:val="26"/>
              </w:rPr>
              <w:t>2</w:t>
            </w:r>
            <w:r w:rsidRPr="00C3310F">
              <w:rPr>
                <w:rFonts w:hAnsi="標楷體" w:cs="Arial"/>
                <w:kern w:val="0"/>
                <w:sz w:val="26"/>
                <w:szCs w:val="26"/>
              </w:rPr>
              <w:t>23,404</w:t>
            </w:r>
          </w:p>
        </w:tc>
        <w:tc>
          <w:tcPr>
            <w:tcW w:w="768" w:type="dxa"/>
            <w:tcBorders>
              <w:top w:val="single" w:sz="4" w:space="0" w:color="auto"/>
              <w:left w:val="nil"/>
              <w:bottom w:val="single" w:sz="4" w:space="0" w:color="000000"/>
              <w:right w:val="single" w:sz="4" w:space="0" w:color="000000"/>
            </w:tcBorders>
            <w:shd w:val="clear" w:color="auto" w:fill="auto"/>
            <w:noWrap/>
            <w:vAlign w:val="center"/>
          </w:tcPr>
          <w:p w14:paraId="64639824" w14:textId="77777777" w:rsidR="008456BE" w:rsidRPr="00C3310F" w:rsidRDefault="008456BE" w:rsidP="00301D07">
            <w:pPr>
              <w:jc w:val="right"/>
              <w:rPr>
                <w:rFonts w:hAnsi="標楷體" w:cs="Arial"/>
                <w:kern w:val="0"/>
                <w:sz w:val="26"/>
                <w:szCs w:val="26"/>
              </w:rPr>
            </w:pPr>
            <w:r w:rsidRPr="00C3310F">
              <w:rPr>
                <w:rFonts w:hAnsi="標楷體" w:cs="Arial" w:hint="eastAsia"/>
                <w:kern w:val="0"/>
                <w:sz w:val="26"/>
                <w:szCs w:val="26"/>
              </w:rPr>
              <w:t>2</w:t>
            </w:r>
            <w:r w:rsidRPr="00C3310F">
              <w:rPr>
                <w:rFonts w:hAnsi="標楷體" w:cs="Arial"/>
                <w:kern w:val="0"/>
                <w:sz w:val="26"/>
                <w:szCs w:val="26"/>
              </w:rPr>
              <w:t>9.9</w:t>
            </w:r>
          </w:p>
        </w:tc>
      </w:tr>
    </w:tbl>
    <w:p w14:paraId="6C376FF3" w14:textId="77777777" w:rsidR="008456BE" w:rsidRPr="00C3310F" w:rsidRDefault="008456BE" w:rsidP="008456BE">
      <w:pPr>
        <w:pStyle w:val="4"/>
        <w:numPr>
          <w:ilvl w:val="0"/>
          <w:numId w:val="0"/>
        </w:numPr>
        <w:spacing w:afterLines="50" w:after="228" w:line="320" w:lineRule="exact"/>
        <w:ind w:leftChars="-125" w:left="-1" w:hangingChars="163" w:hanging="424"/>
      </w:pPr>
      <w:r w:rsidRPr="00C3310F">
        <w:rPr>
          <w:rFonts w:hint="eastAsia"/>
          <w:sz w:val="24"/>
          <w:szCs w:val="24"/>
        </w:rPr>
        <w:t>資料來源：法務部(</w:t>
      </w:r>
      <w:hyperlink r:id="rId17" w:history="1">
        <w:r w:rsidRPr="00C3310F">
          <w:rPr>
            <w:rStyle w:val="ae"/>
            <w:color w:val="auto"/>
            <w:sz w:val="24"/>
            <w:szCs w:val="24"/>
          </w:rPr>
          <w:t>https://www.rjsd.moj.gov.tw/RJSDWEB/visualize/</w:t>
        </w:r>
        <w:r w:rsidRPr="00C3310F">
          <w:rPr>
            <w:rStyle w:val="ae"/>
            <w:color w:val="auto"/>
            <w:sz w:val="24"/>
            <w:szCs w:val="24"/>
          </w:rPr>
          <w:br/>
          <w:t>Visualization.aspx?kind=PC&amp;d=12</w:t>
        </w:r>
      </w:hyperlink>
      <w:r w:rsidRPr="00C3310F">
        <w:rPr>
          <w:sz w:val="24"/>
          <w:szCs w:val="24"/>
        </w:rPr>
        <w:t>)</w:t>
      </w:r>
    </w:p>
    <w:p w14:paraId="25CE9FCF" w14:textId="2071DA58" w:rsidR="008456BE" w:rsidRPr="00C3310F" w:rsidRDefault="008456BE" w:rsidP="008456BE">
      <w:pPr>
        <w:pStyle w:val="a1"/>
        <w:rPr>
          <w:rFonts w:hint="eastAsia"/>
          <w:b/>
        </w:rPr>
      </w:pPr>
      <w:bookmarkStart w:id="380" w:name="_Toc172025256"/>
      <w:r w:rsidRPr="00C3310F">
        <w:rPr>
          <w:b/>
          <w:noProof/>
        </w:rPr>
        <w:drawing>
          <wp:anchor distT="0" distB="0" distL="114300" distR="114300" simplePos="0" relativeHeight="251673600" behindDoc="0" locked="0" layoutInCell="1" allowOverlap="1" wp14:anchorId="628C66B5" wp14:editId="3F4D1AB3">
            <wp:simplePos x="0" y="0"/>
            <wp:positionH relativeFrom="column">
              <wp:posOffset>-274955</wp:posOffset>
            </wp:positionH>
            <wp:positionV relativeFrom="paragraph">
              <wp:posOffset>0</wp:posOffset>
            </wp:positionV>
            <wp:extent cx="6339840" cy="3832860"/>
            <wp:effectExtent l="0" t="0" r="3810" b="0"/>
            <wp:wrapTopAndBottom/>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39840" cy="3832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3310F">
        <w:rPr>
          <w:rFonts w:hint="eastAsia"/>
          <w:b/>
        </w:rPr>
        <w:t>地方檢察署電信網路詐欺案件</w:t>
      </w:r>
      <w:r w:rsidR="00D82B1C" w:rsidRPr="00C3310F">
        <w:rPr>
          <w:rFonts w:hint="eastAsia"/>
          <w:b/>
        </w:rPr>
        <w:t>偵</w:t>
      </w:r>
      <w:r w:rsidRPr="00C3310F">
        <w:rPr>
          <w:rFonts w:hint="eastAsia"/>
          <w:b/>
        </w:rPr>
        <w:t>查終結人數變動趨勢圖</w:t>
      </w:r>
      <w:bookmarkEnd w:id="380"/>
    </w:p>
    <w:p w14:paraId="02D59CA6" w14:textId="77777777" w:rsidR="008456BE" w:rsidRPr="00C3310F" w:rsidRDefault="008456BE" w:rsidP="008456BE">
      <w:pPr>
        <w:pStyle w:val="4"/>
        <w:numPr>
          <w:ilvl w:val="0"/>
          <w:numId w:val="0"/>
        </w:numPr>
        <w:spacing w:afterLines="50" w:after="228" w:line="320" w:lineRule="exact"/>
        <w:ind w:leftChars="-125" w:left="-1" w:hangingChars="163" w:hanging="424"/>
        <w:rPr>
          <w:sz w:val="24"/>
          <w:szCs w:val="24"/>
        </w:rPr>
      </w:pPr>
      <w:r w:rsidRPr="00C3310F">
        <w:rPr>
          <w:rFonts w:hint="eastAsia"/>
          <w:sz w:val="24"/>
          <w:szCs w:val="24"/>
        </w:rPr>
        <w:t>資料來源：法務部(</w:t>
      </w:r>
      <w:hyperlink r:id="rId19" w:history="1">
        <w:r w:rsidRPr="00C3310F">
          <w:rPr>
            <w:rStyle w:val="ae"/>
            <w:color w:val="auto"/>
            <w:sz w:val="24"/>
            <w:szCs w:val="24"/>
          </w:rPr>
          <w:t>https://www.rjsd.moj.gov.tw/RJSDWEB/visualize/</w:t>
        </w:r>
        <w:r w:rsidRPr="00C3310F">
          <w:rPr>
            <w:rStyle w:val="ae"/>
            <w:color w:val="auto"/>
            <w:sz w:val="24"/>
            <w:szCs w:val="24"/>
          </w:rPr>
          <w:br/>
          <w:t>Visualization.aspx?kind=PC&amp;d=12</w:t>
        </w:r>
      </w:hyperlink>
      <w:r w:rsidRPr="00C3310F">
        <w:rPr>
          <w:sz w:val="24"/>
          <w:szCs w:val="24"/>
        </w:rPr>
        <w:t>)</w:t>
      </w:r>
    </w:p>
    <w:p w14:paraId="57E7349D" w14:textId="77777777" w:rsidR="00B06CC1" w:rsidRPr="00C3310F" w:rsidRDefault="00B06CC1" w:rsidP="00B0210B">
      <w:pPr>
        <w:pStyle w:val="3"/>
      </w:pPr>
      <w:bookmarkStart w:id="381" w:name="_Toc171525444"/>
      <w:bookmarkStart w:id="382" w:name="_Toc172023927"/>
      <w:bookmarkStart w:id="383" w:name="_Toc172033246"/>
      <w:r w:rsidRPr="00C3310F">
        <w:rPr>
          <w:rFonts w:hint="eastAsia"/>
        </w:rPr>
        <w:lastRenderedPageBreak/>
        <w:t>依</w:t>
      </w:r>
      <w:r w:rsidR="008456BE" w:rsidRPr="00C3310F">
        <w:rPr>
          <w:rFonts w:hint="eastAsia"/>
        </w:rPr>
        <w:t>起訴人區分</w:t>
      </w:r>
      <w:r w:rsidRPr="00C3310F">
        <w:rPr>
          <w:rFonts w:hint="eastAsia"/>
        </w:rPr>
        <w:t>各種電信網路</w:t>
      </w:r>
      <w:r w:rsidR="008456BE" w:rsidRPr="00C3310F">
        <w:rPr>
          <w:rFonts w:hint="eastAsia"/>
        </w:rPr>
        <w:t>犯罪類型</w:t>
      </w:r>
      <w:r w:rsidRPr="00C3310F">
        <w:rPr>
          <w:rFonts w:hint="eastAsia"/>
        </w:rPr>
        <w:t>變動趨勢(詳表5)：</w:t>
      </w:r>
      <w:bookmarkEnd w:id="381"/>
      <w:bookmarkEnd w:id="382"/>
      <w:bookmarkEnd w:id="383"/>
    </w:p>
    <w:p w14:paraId="5BDA6099" w14:textId="26A52D64" w:rsidR="008456BE" w:rsidRPr="00C3310F" w:rsidRDefault="008456BE" w:rsidP="00B06CC1">
      <w:pPr>
        <w:pStyle w:val="4"/>
      </w:pPr>
      <w:r w:rsidRPr="00C3310F">
        <w:rPr>
          <w:rFonts w:hint="eastAsia"/>
        </w:rPr>
        <w:t>單純提供人頭帳戶</w:t>
      </w:r>
      <w:r w:rsidRPr="00C3310F">
        <w:rPr>
          <w:rStyle w:val="afe"/>
        </w:rPr>
        <w:footnoteReference w:id="30"/>
      </w:r>
      <w:r w:rsidRPr="00C3310F">
        <w:rPr>
          <w:rFonts w:hint="eastAsia"/>
        </w:rPr>
        <w:t>：統計因提供人頭帳戶遭起訴人數由109年之8,566人逐年成長至112年之40,956人，</w:t>
      </w:r>
      <w:r w:rsidR="00ED4AE8" w:rsidRPr="00C3310F">
        <w:rPr>
          <w:rFonts w:hint="eastAsia"/>
        </w:rPr>
        <w:t>4年間共計</w:t>
      </w:r>
      <w:r w:rsidR="0009708E" w:rsidRPr="00C3310F">
        <w:rPr>
          <w:rFonts w:hint="eastAsia"/>
        </w:rPr>
        <w:t>增加32</w:t>
      </w:r>
      <w:r w:rsidR="0009708E" w:rsidRPr="00C3310F">
        <w:t>,390</w:t>
      </w:r>
      <w:r w:rsidR="0009708E" w:rsidRPr="00C3310F">
        <w:rPr>
          <w:rFonts w:hint="eastAsia"/>
        </w:rPr>
        <w:t>人，成長近4倍(378%)，</w:t>
      </w:r>
      <w:r w:rsidRPr="00C3310F">
        <w:rPr>
          <w:rFonts w:hint="eastAsia"/>
        </w:rPr>
        <w:t>雖113年1至5月遭起訴人數12,326人，似有下滑之情事，然提供人頭帳戶供電信網路詐欺之情事，仍十分嚴峻。</w:t>
      </w:r>
    </w:p>
    <w:p w14:paraId="63B8BE33" w14:textId="29CB2CEC" w:rsidR="008456BE" w:rsidRPr="00C3310F" w:rsidRDefault="008456BE" w:rsidP="00B06CC1">
      <w:pPr>
        <w:pStyle w:val="4"/>
      </w:pPr>
      <w:r w:rsidRPr="00C3310F">
        <w:rPr>
          <w:rFonts w:hint="eastAsia"/>
        </w:rPr>
        <w:t>單純車手</w:t>
      </w:r>
      <w:r w:rsidRPr="00C3310F">
        <w:rPr>
          <w:rStyle w:val="afe"/>
        </w:rPr>
        <w:footnoteReference w:id="31"/>
      </w:r>
      <w:r w:rsidRPr="00C3310F">
        <w:rPr>
          <w:rFonts w:hint="eastAsia"/>
        </w:rPr>
        <w:t>：統計擔任電信網路詐欺案件車手遭起訴人數由109年之7,250人逐年成長至112年之8,522人，4年間共計增加1,272人，成長近2成(18%)，雖相較因提供人頭帳戶及一</w:t>
      </w:r>
      <w:r w:rsidR="00ED4AE8" w:rsidRPr="00C3310F">
        <w:rPr>
          <w:rFonts w:hint="eastAsia"/>
        </w:rPr>
        <w:t>般</w:t>
      </w:r>
      <w:r w:rsidRPr="00C3310F">
        <w:rPr>
          <w:rFonts w:hint="eastAsia"/>
        </w:rPr>
        <w:t>電信詐欺之情況稍佳，然113年1至5月遭起訴人數亦達6,104人，顯示，擔任車手遭起訴案件有增加之趨勢。</w:t>
      </w:r>
    </w:p>
    <w:p w14:paraId="41658497" w14:textId="72871A2C" w:rsidR="008456BE" w:rsidRPr="00C3310F" w:rsidRDefault="008456BE" w:rsidP="00B06CC1">
      <w:pPr>
        <w:pStyle w:val="4"/>
      </w:pPr>
      <w:r w:rsidRPr="00C3310F">
        <w:rPr>
          <w:rFonts w:hint="eastAsia"/>
        </w:rPr>
        <w:t>一般電信詐欺</w:t>
      </w:r>
      <w:r w:rsidRPr="00C3310F">
        <w:rPr>
          <w:rStyle w:val="afe"/>
        </w:rPr>
        <w:footnoteReference w:id="32"/>
      </w:r>
      <w:r w:rsidRPr="00C3310F">
        <w:rPr>
          <w:rFonts w:hint="eastAsia"/>
        </w:rPr>
        <w:t>：統計因一般電信詐欺遭起訴人數由109年之8,930人逐年成長至112年之27,004人，4年間共計增加18,074人，成長逾2倍(202%)，且113年1至5月遭起訴人數仍12,449人，顯示，一般電信詐欺仍未有效抑制。</w:t>
      </w:r>
    </w:p>
    <w:p w14:paraId="6E9C7B6E" w14:textId="77777777" w:rsidR="00B06CC1" w:rsidRPr="00C3310F" w:rsidRDefault="00B06CC1" w:rsidP="00B06CC1">
      <w:pPr>
        <w:pStyle w:val="4"/>
        <w:numPr>
          <w:ilvl w:val="0"/>
          <w:numId w:val="0"/>
        </w:numPr>
        <w:ind w:left="1701"/>
      </w:pPr>
    </w:p>
    <w:p w14:paraId="04381E5B" w14:textId="77777777" w:rsidR="00B06CC1" w:rsidRPr="00C3310F" w:rsidRDefault="00B06CC1" w:rsidP="00B06CC1">
      <w:pPr>
        <w:pStyle w:val="4"/>
        <w:numPr>
          <w:ilvl w:val="0"/>
          <w:numId w:val="0"/>
        </w:numPr>
        <w:ind w:left="1701"/>
      </w:pPr>
    </w:p>
    <w:p w14:paraId="77F1320B" w14:textId="77777777" w:rsidR="00B06CC1" w:rsidRPr="00C3310F" w:rsidRDefault="00B06CC1" w:rsidP="00B06CC1">
      <w:pPr>
        <w:pStyle w:val="4"/>
        <w:numPr>
          <w:ilvl w:val="0"/>
          <w:numId w:val="0"/>
        </w:numPr>
        <w:ind w:left="1701"/>
      </w:pPr>
    </w:p>
    <w:p w14:paraId="7B19B78B" w14:textId="77777777" w:rsidR="00B7077C" w:rsidRPr="00C3310F" w:rsidRDefault="00B7077C" w:rsidP="00B06CC1">
      <w:pPr>
        <w:pStyle w:val="4"/>
        <w:numPr>
          <w:ilvl w:val="0"/>
          <w:numId w:val="0"/>
        </w:numPr>
        <w:ind w:left="1701"/>
      </w:pPr>
    </w:p>
    <w:p w14:paraId="24A350E6" w14:textId="77777777" w:rsidR="00B7077C" w:rsidRPr="00C3310F" w:rsidRDefault="00B7077C" w:rsidP="00B06CC1">
      <w:pPr>
        <w:pStyle w:val="4"/>
        <w:numPr>
          <w:ilvl w:val="0"/>
          <w:numId w:val="0"/>
        </w:numPr>
        <w:ind w:left="1701"/>
      </w:pPr>
    </w:p>
    <w:p w14:paraId="286355B5" w14:textId="77777777" w:rsidR="00B7077C" w:rsidRPr="00C3310F" w:rsidRDefault="00B7077C" w:rsidP="00B06CC1">
      <w:pPr>
        <w:pStyle w:val="4"/>
        <w:numPr>
          <w:ilvl w:val="0"/>
          <w:numId w:val="0"/>
        </w:numPr>
        <w:ind w:left="1701"/>
      </w:pPr>
    </w:p>
    <w:p w14:paraId="05DBC58B" w14:textId="77777777" w:rsidR="008456BE" w:rsidRPr="00C3310F" w:rsidRDefault="008456BE" w:rsidP="008456BE">
      <w:pPr>
        <w:pStyle w:val="a3"/>
        <w:rPr>
          <w:rFonts w:hint="eastAsia"/>
          <w:b/>
        </w:rPr>
      </w:pPr>
      <w:bookmarkStart w:id="384" w:name="_Toc172025209"/>
      <w:r w:rsidRPr="00C3310F">
        <w:rPr>
          <w:rFonts w:hint="eastAsia"/>
          <w:b/>
        </w:rPr>
        <w:lastRenderedPageBreak/>
        <w:t>各地方檢察署電信網路詐欺案件偵查起訴人數-按犯罪類型分</w:t>
      </w:r>
      <w:bookmarkEnd w:id="384"/>
    </w:p>
    <w:p w14:paraId="5B360F3B" w14:textId="77777777" w:rsidR="008456BE" w:rsidRPr="00C3310F" w:rsidRDefault="008456BE" w:rsidP="008456BE">
      <w:pPr>
        <w:pStyle w:val="4"/>
        <w:numPr>
          <w:ilvl w:val="0"/>
          <w:numId w:val="0"/>
        </w:numPr>
        <w:ind w:left="1701"/>
        <w:jc w:val="right"/>
        <w:rPr>
          <w:sz w:val="24"/>
          <w:szCs w:val="24"/>
        </w:rPr>
      </w:pPr>
      <w:r w:rsidRPr="00C3310F">
        <w:rPr>
          <w:rFonts w:hint="eastAsia"/>
          <w:sz w:val="24"/>
          <w:szCs w:val="24"/>
        </w:rPr>
        <w:t>單位：人</w:t>
      </w:r>
    </w:p>
    <w:tbl>
      <w:tblPr>
        <w:tblW w:w="935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10"/>
        <w:gridCol w:w="2694"/>
        <w:gridCol w:w="1701"/>
        <w:gridCol w:w="2551"/>
      </w:tblGrid>
      <w:tr w:rsidR="00C3310F" w:rsidRPr="00C3310F" w14:paraId="7717F5C2" w14:textId="77777777" w:rsidTr="00301D07">
        <w:trPr>
          <w:trHeight w:val="357"/>
        </w:trPr>
        <w:tc>
          <w:tcPr>
            <w:tcW w:w="2410" w:type="dxa"/>
            <w:shd w:val="clear" w:color="auto" w:fill="auto"/>
            <w:noWrap/>
            <w:vAlign w:val="center"/>
            <w:hideMark/>
          </w:tcPr>
          <w:p w14:paraId="43F32AF1" w14:textId="77777777" w:rsidR="008456BE" w:rsidRPr="00C3310F" w:rsidRDefault="008456BE" w:rsidP="00301D07">
            <w:pPr>
              <w:widowControl/>
              <w:overflowPunct/>
              <w:autoSpaceDE/>
              <w:autoSpaceDN/>
              <w:ind w:leftChars="-7" w:left="3" w:hangingChars="9" w:hanging="27"/>
              <w:jc w:val="center"/>
              <w:rPr>
                <w:rFonts w:hAnsi="標楷體" w:cs="Arial"/>
                <w:kern w:val="0"/>
                <w:sz w:val="28"/>
                <w:szCs w:val="28"/>
              </w:rPr>
            </w:pPr>
            <w:r w:rsidRPr="00C3310F">
              <w:rPr>
                <w:rFonts w:hAnsi="標楷體" w:cs="Arial" w:hint="eastAsia"/>
                <w:kern w:val="0"/>
                <w:sz w:val="28"/>
                <w:szCs w:val="28"/>
              </w:rPr>
              <w:t>資料時間</w:t>
            </w:r>
          </w:p>
        </w:tc>
        <w:tc>
          <w:tcPr>
            <w:tcW w:w="2694" w:type="dxa"/>
            <w:shd w:val="clear" w:color="auto" w:fill="auto"/>
            <w:vAlign w:val="center"/>
            <w:hideMark/>
          </w:tcPr>
          <w:p w14:paraId="62C33797" w14:textId="77777777" w:rsidR="008456BE" w:rsidRPr="00C3310F" w:rsidRDefault="008456BE" w:rsidP="00301D07">
            <w:pPr>
              <w:widowControl/>
              <w:overflowPunct/>
              <w:autoSpaceDE/>
              <w:autoSpaceDN/>
              <w:jc w:val="center"/>
              <w:rPr>
                <w:rFonts w:hAnsi="標楷體" w:cs="Arial"/>
                <w:kern w:val="0"/>
                <w:sz w:val="28"/>
                <w:szCs w:val="28"/>
              </w:rPr>
            </w:pPr>
            <w:r w:rsidRPr="00C3310F">
              <w:rPr>
                <w:rFonts w:hAnsi="標楷體" w:cs="Arial" w:hint="eastAsia"/>
                <w:kern w:val="0"/>
                <w:sz w:val="28"/>
                <w:szCs w:val="28"/>
              </w:rPr>
              <w:t>單純提供人頭帳戶</w:t>
            </w:r>
          </w:p>
        </w:tc>
        <w:tc>
          <w:tcPr>
            <w:tcW w:w="1701" w:type="dxa"/>
            <w:vAlign w:val="center"/>
          </w:tcPr>
          <w:p w14:paraId="7638861A" w14:textId="77777777" w:rsidR="008456BE" w:rsidRPr="00C3310F" w:rsidRDefault="008456BE" w:rsidP="00301D07">
            <w:pPr>
              <w:widowControl/>
              <w:overflowPunct/>
              <w:autoSpaceDE/>
              <w:autoSpaceDN/>
              <w:jc w:val="center"/>
              <w:rPr>
                <w:rFonts w:hAnsi="標楷體" w:cs="Arial"/>
                <w:kern w:val="0"/>
                <w:sz w:val="28"/>
                <w:szCs w:val="28"/>
              </w:rPr>
            </w:pPr>
            <w:r w:rsidRPr="00C3310F">
              <w:rPr>
                <w:rFonts w:hAnsi="標楷體" w:cs="Arial" w:hint="eastAsia"/>
                <w:kern w:val="0"/>
                <w:sz w:val="28"/>
                <w:szCs w:val="28"/>
              </w:rPr>
              <w:t>單純車手</w:t>
            </w:r>
          </w:p>
        </w:tc>
        <w:tc>
          <w:tcPr>
            <w:tcW w:w="2551" w:type="dxa"/>
            <w:vAlign w:val="center"/>
          </w:tcPr>
          <w:p w14:paraId="717D8303" w14:textId="77777777" w:rsidR="008456BE" w:rsidRPr="00C3310F" w:rsidRDefault="008456BE" w:rsidP="00301D07">
            <w:pPr>
              <w:widowControl/>
              <w:overflowPunct/>
              <w:autoSpaceDE/>
              <w:autoSpaceDN/>
              <w:jc w:val="center"/>
              <w:rPr>
                <w:rFonts w:hAnsi="標楷體" w:cs="Arial"/>
                <w:kern w:val="0"/>
                <w:sz w:val="28"/>
                <w:szCs w:val="28"/>
              </w:rPr>
            </w:pPr>
            <w:r w:rsidRPr="00C3310F">
              <w:rPr>
                <w:rFonts w:hAnsi="標楷體" w:cs="Arial" w:hint="eastAsia"/>
                <w:kern w:val="0"/>
                <w:sz w:val="28"/>
                <w:szCs w:val="28"/>
              </w:rPr>
              <w:t>一般電信詐欺</w:t>
            </w:r>
          </w:p>
        </w:tc>
      </w:tr>
      <w:tr w:rsidR="00C3310F" w:rsidRPr="00C3310F" w14:paraId="4AE68589" w14:textId="77777777" w:rsidTr="00301D07">
        <w:trPr>
          <w:trHeight w:val="178"/>
        </w:trPr>
        <w:tc>
          <w:tcPr>
            <w:tcW w:w="2410" w:type="dxa"/>
            <w:shd w:val="clear" w:color="auto" w:fill="auto"/>
            <w:noWrap/>
            <w:vAlign w:val="center"/>
            <w:hideMark/>
          </w:tcPr>
          <w:p w14:paraId="6D3C146D" w14:textId="77777777" w:rsidR="008456BE" w:rsidRPr="00C3310F" w:rsidRDefault="008456BE" w:rsidP="00301D07">
            <w:pPr>
              <w:widowControl/>
              <w:overflowPunct/>
              <w:autoSpaceDE/>
              <w:autoSpaceDN/>
              <w:jc w:val="center"/>
              <w:rPr>
                <w:rFonts w:hAnsi="標楷體" w:cs="Arial"/>
                <w:kern w:val="0"/>
                <w:sz w:val="28"/>
                <w:szCs w:val="28"/>
              </w:rPr>
            </w:pPr>
            <w:r w:rsidRPr="00C3310F">
              <w:rPr>
                <w:rFonts w:hAnsi="標楷體" w:cs="Arial" w:hint="eastAsia"/>
                <w:kern w:val="0"/>
                <w:sz w:val="28"/>
                <w:szCs w:val="28"/>
              </w:rPr>
              <w:t>109年</w:t>
            </w:r>
          </w:p>
        </w:tc>
        <w:tc>
          <w:tcPr>
            <w:tcW w:w="2694" w:type="dxa"/>
            <w:shd w:val="clear" w:color="auto" w:fill="auto"/>
            <w:noWrap/>
            <w:vAlign w:val="center"/>
            <w:hideMark/>
          </w:tcPr>
          <w:p w14:paraId="34E88AAA" w14:textId="77777777" w:rsidR="008456BE" w:rsidRPr="00C3310F" w:rsidRDefault="008456BE" w:rsidP="00301D07">
            <w:pPr>
              <w:widowControl/>
              <w:overflowPunct/>
              <w:autoSpaceDE/>
              <w:autoSpaceDN/>
              <w:jc w:val="right"/>
              <w:rPr>
                <w:rFonts w:hAnsi="標楷體" w:cs="Arial"/>
                <w:kern w:val="0"/>
                <w:sz w:val="28"/>
                <w:szCs w:val="28"/>
              </w:rPr>
            </w:pPr>
            <w:r w:rsidRPr="00C3310F">
              <w:rPr>
                <w:rFonts w:hAnsi="標楷體" w:cs="Arial" w:hint="eastAsia"/>
                <w:kern w:val="0"/>
                <w:sz w:val="28"/>
                <w:szCs w:val="28"/>
              </w:rPr>
              <w:t>8,566</w:t>
            </w:r>
          </w:p>
        </w:tc>
        <w:tc>
          <w:tcPr>
            <w:tcW w:w="1701" w:type="dxa"/>
            <w:vAlign w:val="center"/>
          </w:tcPr>
          <w:p w14:paraId="581C7958" w14:textId="77777777" w:rsidR="008456BE" w:rsidRPr="00C3310F" w:rsidRDefault="008456BE" w:rsidP="00301D07">
            <w:pPr>
              <w:widowControl/>
              <w:overflowPunct/>
              <w:autoSpaceDE/>
              <w:autoSpaceDN/>
              <w:jc w:val="right"/>
              <w:rPr>
                <w:rFonts w:hAnsi="標楷體" w:cs="Arial"/>
                <w:kern w:val="0"/>
                <w:sz w:val="28"/>
                <w:szCs w:val="28"/>
              </w:rPr>
            </w:pPr>
            <w:r w:rsidRPr="00C3310F">
              <w:rPr>
                <w:rFonts w:hAnsi="標楷體" w:cs="Arial" w:hint="eastAsia"/>
                <w:kern w:val="0"/>
                <w:sz w:val="28"/>
                <w:szCs w:val="28"/>
              </w:rPr>
              <w:t>7,250</w:t>
            </w:r>
          </w:p>
        </w:tc>
        <w:tc>
          <w:tcPr>
            <w:tcW w:w="2551" w:type="dxa"/>
            <w:vAlign w:val="center"/>
          </w:tcPr>
          <w:p w14:paraId="5767F9C9" w14:textId="77777777" w:rsidR="008456BE" w:rsidRPr="00C3310F" w:rsidRDefault="008456BE" w:rsidP="00301D07">
            <w:pPr>
              <w:widowControl/>
              <w:overflowPunct/>
              <w:autoSpaceDE/>
              <w:autoSpaceDN/>
              <w:jc w:val="right"/>
              <w:rPr>
                <w:rFonts w:hAnsi="標楷體" w:cs="Arial"/>
                <w:kern w:val="0"/>
                <w:sz w:val="28"/>
                <w:szCs w:val="28"/>
              </w:rPr>
            </w:pPr>
            <w:r w:rsidRPr="00C3310F">
              <w:rPr>
                <w:rFonts w:hAnsi="標楷體" w:cs="Arial" w:hint="eastAsia"/>
                <w:kern w:val="0"/>
                <w:sz w:val="28"/>
                <w:szCs w:val="28"/>
              </w:rPr>
              <w:t>8,930</w:t>
            </w:r>
          </w:p>
        </w:tc>
      </w:tr>
      <w:tr w:rsidR="00C3310F" w:rsidRPr="00C3310F" w14:paraId="531FD01C" w14:textId="77777777" w:rsidTr="00301D07">
        <w:trPr>
          <w:trHeight w:val="178"/>
        </w:trPr>
        <w:tc>
          <w:tcPr>
            <w:tcW w:w="2410" w:type="dxa"/>
            <w:shd w:val="clear" w:color="auto" w:fill="auto"/>
            <w:noWrap/>
            <w:vAlign w:val="center"/>
            <w:hideMark/>
          </w:tcPr>
          <w:p w14:paraId="089DB9BB" w14:textId="77777777" w:rsidR="008456BE" w:rsidRPr="00C3310F" w:rsidRDefault="008456BE" w:rsidP="00301D07">
            <w:pPr>
              <w:widowControl/>
              <w:overflowPunct/>
              <w:autoSpaceDE/>
              <w:autoSpaceDN/>
              <w:jc w:val="center"/>
              <w:rPr>
                <w:rFonts w:hAnsi="標楷體" w:cs="Arial"/>
                <w:kern w:val="0"/>
                <w:sz w:val="28"/>
                <w:szCs w:val="28"/>
              </w:rPr>
            </w:pPr>
            <w:r w:rsidRPr="00C3310F">
              <w:rPr>
                <w:rFonts w:hAnsi="標楷體" w:cs="Arial" w:hint="eastAsia"/>
                <w:kern w:val="0"/>
                <w:sz w:val="28"/>
                <w:szCs w:val="28"/>
              </w:rPr>
              <w:t>110年</w:t>
            </w:r>
          </w:p>
        </w:tc>
        <w:tc>
          <w:tcPr>
            <w:tcW w:w="2694" w:type="dxa"/>
            <w:shd w:val="clear" w:color="auto" w:fill="auto"/>
            <w:noWrap/>
            <w:vAlign w:val="center"/>
            <w:hideMark/>
          </w:tcPr>
          <w:p w14:paraId="25EAF00F" w14:textId="77777777" w:rsidR="008456BE" w:rsidRPr="00C3310F" w:rsidRDefault="008456BE" w:rsidP="00301D07">
            <w:pPr>
              <w:widowControl/>
              <w:overflowPunct/>
              <w:autoSpaceDE/>
              <w:autoSpaceDN/>
              <w:jc w:val="right"/>
              <w:rPr>
                <w:rFonts w:hAnsi="標楷體" w:cs="Arial"/>
                <w:kern w:val="0"/>
                <w:sz w:val="28"/>
                <w:szCs w:val="28"/>
              </w:rPr>
            </w:pPr>
            <w:r w:rsidRPr="00C3310F">
              <w:rPr>
                <w:rFonts w:hAnsi="標楷體" w:cs="Arial" w:hint="eastAsia"/>
                <w:kern w:val="0"/>
                <w:sz w:val="28"/>
                <w:szCs w:val="28"/>
              </w:rPr>
              <w:t>17,792</w:t>
            </w:r>
          </w:p>
        </w:tc>
        <w:tc>
          <w:tcPr>
            <w:tcW w:w="1701" w:type="dxa"/>
            <w:vAlign w:val="center"/>
          </w:tcPr>
          <w:p w14:paraId="410840F9" w14:textId="77777777" w:rsidR="008456BE" w:rsidRPr="00C3310F" w:rsidRDefault="008456BE" w:rsidP="00301D07">
            <w:pPr>
              <w:widowControl/>
              <w:overflowPunct/>
              <w:autoSpaceDE/>
              <w:autoSpaceDN/>
              <w:jc w:val="right"/>
              <w:rPr>
                <w:rFonts w:hAnsi="標楷體" w:cs="Arial"/>
                <w:kern w:val="0"/>
                <w:sz w:val="28"/>
                <w:szCs w:val="28"/>
              </w:rPr>
            </w:pPr>
            <w:r w:rsidRPr="00C3310F">
              <w:rPr>
                <w:rFonts w:hAnsi="標楷體" w:cs="Arial" w:hint="eastAsia"/>
                <w:kern w:val="0"/>
                <w:sz w:val="28"/>
                <w:szCs w:val="28"/>
              </w:rPr>
              <w:t>8,276</w:t>
            </w:r>
          </w:p>
        </w:tc>
        <w:tc>
          <w:tcPr>
            <w:tcW w:w="2551" w:type="dxa"/>
            <w:vAlign w:val="center"/>
          </w:tcPr>
          <w:p w14:paraId="74B15BE8" w14:textId="77777777" w:rsidR="008456BE" w:rsidRPr="00C3310F" w:rsidRDefault="008456BE" w:rsidP="00301D07">
            <w:pPr>
              <w:widowControl/>
              <w:overflowPunct/>
              <w:autoSpaceDE/>
              <w:autoSpaceDN/>
              <w:jc w:val="right"/>
              <w:rPr>
                <w:rFonts w:hAnsi="標楷體" w:cs="Arial"/>
                <w:kern w:val="0"/>
                <w:sz w:val="28"/>
                <w:szCs w:val="28"/>
              </w:rPr>
            </w:pPr>
            <w:r w:rsidRPr="00C3310F">
              <w:rPr>
                <w:rFonts w:hAnsi="標楷體" w:cs="Arial" w:hint="eastAsia"/>
                <w:kern w:val="0"/>
                <w:sz w:val="28"/>
                <w:szCs w:val="28"/>
              </w:rPr>
              <w:t>12,410</w:t>
            </w:r>
          </w:p>
        </w:tc>
      </w:tr>
      <w:tr w:rsidR="00C3310F" w:rsidRPr="00C3310F" w14:paraId="3EB49A9F" w14:textId="77777777" w:rsidTr="00301D07">
        <w:trPr>
          <w:trHeight w:val="178"/>
        </w:trPr>
        <w:tc>
          <w:tcPr>
            <w:tcW w:w="2410" w:type="dxa"/>
            <w:shd w:val="clear" w:color="auto" w:fill="auto"/>
            <w:noWrap/>
            <w:vAlign w:val="center"/>
            <w:hideMark/>
          </w:tcPr>
          <w:p w14:paraId="067FB3B1" w14:textId="77777777" w:rsidR="008456BE" w:rsidRPr="00C3310F" w:rsidRDefault="008456BE" w:rsidP="00301D07">
            <w:pPr>
              <w:widowControl/>
              <w:overflowPunct/>
              <w:autoSpaceDE/>
              <w:autoSpaceDN/>
              <w:jc w:val="center"/>
              <w:rPr>
                <w:rFonts w:hAnsi="標楷體" w:cs="Arial"/>
                <w:kern w:val="0"/>
                <w:sz w:val="28"/>
                <w:szCs w:val="28"/>
              </w:rPr>
            </w:pPr>
            <w:r w:rsidRPr="00C3310F">
              <w:rPr>
                <w:rFonts w:hAnsi="標楷體" w:cs="Arial" w:hint="eastAsia"/>
                <w:kern w:val="0"/>
                <w:sz w:val="28"/>
                <w:szCs w:val="28"/>
              </w:rPr>
              <w:t>111年</w:t>
            </w:r>
          </w:p>
        </w:tc>
        <w:tc>
          <w:tcPr>
            <w:tcW w:w="2694" w:type="dxa"/>
            <w:shd w:val="clear" w:color="auto" w:fill="auto"/>
            <w:noWrap/>
            <w:vAlign w:val="center"/>
            <w:hideMark/>
          </w:tcPr>
          <w:p w14:paraId="6C1D47E4" w14:textId="77777777" w:rsidR="008456BE" w:rsidRPr="00C3310F" w:rsidRDefault="008456BE" w:rsidP="00301D07">
            <w:pPr>
              <w:widowControl/>
              <w:overflowPunct/>
              <w:autoSpaceDE/>
              <w:autoSpaceDN/>
              <w:jc w:val="right"/>
              <w:rPr>
                <w:rFonts w:hAnsi="標楷體" w:cs="Arial"/>
                <w:kern w:val="0"/>
                <w:sz w:val="28"/>
                <w:szCs w:val="28"/>
              </w:rPr>
            </w:pPr>
            <w:r w:rsidRPr="00C3310F">
              <w:rPr>
                <w:rFonts w:hAnsi="標楷體" w:cs="Arial" w:hint="eastAsia"/>
                <w:kern w:val="0"/>
                <w:sz w:val="28"/>
                <w:szCs w:val="28"/>
              </w:rPr>
              <w:t>32,743</w:t>
            </w:r>
          </w:p>
        </w:tc>
        <w:tc>
          <w:tcPr>
            <w:tcW w:w="1701" w:type="dxa"/>
            <w:vAlign w:val="center"/>
          </w:tcPr>
          <w:p w14:paraId="3A5BF7AE" w14:textId="77777777" w:rsidR="008456BE" w:rsidRPr="00C3310F" w:rsidRDefault="008456BE" w:rsidP="00301D07">
            <w:pPr>
              <w:widowControl/>
              <w:overflowPunct/>
              <w:autoSpaceDE/>
              <w:autoSpaceDN/>
              <w:jc w:val="right"/>
              <w:rPr>
                <w:rFonts w:hAnsi="標楷體" w:cs="Arial"/>
                <w:kern w:val="0"/>
                <w:sz w:val="28"/>
                <w:szCs w:val="28"/>
              </w:rPr>
            </w:pPr>
            <w:r w:rsidRPr="00C3310F">
              <w:rPr>
                <w:rFonts w:hAnsi="標楷體" w:cs="Arial" w:hint="eastAsia"/>
                <w:kern w:val="0"/>
                <w:sz w:val="28"/>
                <w:szCs w:val="28"/>
              </w:rPr>
              <w:t>8,039</w:t>
            </w:r>
          </w:p>
        </w:tc>
        <w:tc>
          <w:tcPr>
            <w:tcW w:w="2551" w:type="dxa"/>
            <w:vAlign w:val="center"/>
          </w:tcPr>
          <w:p w14:paraId="75399FCE" w14:textId="77777777" w:rsidR="008456BE" w:rsidRPr="00C3310F" w:rsidRDefault="008456BE" w:rsidP="00301D07">
            <w:pPr>
              <w:widowControl/>
              <w:overflowPunct/>
              <w:autoSpaceDE/>
              <w:autoSpaceDN/>
              <w:jc w:val="right"/>
              <w:rPr>
                <w:rFonts w:hAnsi="標楷體" w:cs="Arial"/>
                <w:kern w:val="0"/>
                <w:sz w:val="28"/>
                <w:szCs w:val="28"/>
              </w:rPr>
            </w:pPr>
            <w:r w:rsidRPr="00C3310F">
              <w:rPr>
                <w:rFonts w:hAnsi="標楷體" w:cs="Arial" w:hint="eastAsia"/>
                <w:kern w:val="0"/>
                <w:sz w:val="28"/>
                <w:szCs w:val="28"/>
              </w:rPr>
              <w:t>19,987</w:t>
            </w:r>
          </w:p>
        </w:tc>
      </w:tr>
      <w:tr w:rsidR="00C3310F" w:rsidRPr="00C3310F" w14:paraId="3ED57086" w14:textId="77777777" w:rsidTr="00301D07">
        <w:trPr>
          <w:trHeight w:val="178"/>
        </w:trPr>
        <w:tc>
          <w:tcPr>
            <w:tcW w:w="2410" w:type="dxa"/>
            <w:shd w:val="clear" w:color="auto" w:fill="auto"/>
            <w:noWrap/>
            <w:vAlign w:val="center"/>
            <w:hideMark/>
          </w:tcPr>
          <w:p w14:paraId="319C981C" w14:textId="77777777" w:rsidR="008456BE" w:rsidRPr="00C3310F" w:rsidRDefault="008456BE" w:rsidP="00301D07">
            <w:pPr>
              <w:widowControl/>
              <w:overflowPunct/>
              <w:autoSpaceDE/>
              <w:autoSpaceDN/>
              <w:jc w:val="center"/>
              <w:rPr>
                <w:rFonts w:hAnsi="標楷體" w:cs="Arial"/>
                <w:kern w:val="0"/>
                <w:sz w:val="28"/>
                <w:szCs w:val="28"/>
              </w:rPr>
            </w:pPr>
            <w:r w:rsidRPr="00C3310F">
              <w:rPr>
                <w:rFonts w:hAnsi="標楷體" w:cs="Arial" w:hint="eastAsia"/>
                <w:kern w:val="0"/>
                <w:sz w:val="28"/>
                <w:szCs w:val="28"/>
              </w:rPr>
              <w:t>112年</w:t>
            </w:r>
          </w:p>
        </w:tc>
        <w:tc>
          <w:tcPr>
            <w:tcW w:w="2694" w:type="dxa"/>
            <w:shd w:val="clear" w:color="auto" w:fill="auto"/>
            <w:noWrap/>
            <w:vAlign w:val="center"/>
            <w:hideMark/>
          </w:tcPr>
          <w:p w14:paraId="5F84358C" w14:textId="77777777" w:rsidR="008456BE" w:rsidRPr="00C3310F" w:rsidRDefault="008456BE" w:rsidP="00301D07">
            <w:pPr>
              <w:widowControl/>
              <w:overflowPunct/>
              <w:autoSpaceDE/>
              <w:autoSpaceDN/>
              <w:jc w:val="right"/>
              <w:rPr>
                <w:rFonts w:hAnsi="標楷體" w:cs="Arial"/>
                <w:kern w:val="0"/>
                <w:sz w:val="28"/>
                <w:szCs w:val="28"/>
              </w:rPr>
            </w:pPr>
            <w:r w:rsidRPr="00C3310F">
              <w:rPr>
                <w:rFonts w:hAnsi="標楷體" w:cs="Arial" w:hint="eastAsia"/>
                <w:kern w:val="0"/>
                <w:sz w:val="28"/>
                <w:szCs w:val="28"/>
              </w:rPr>
              <w:t>40,956</w:t>
            </w:r>
          </w:p>
        </w:tc>
        <w:tc>
          <w:tcPr>
            <w:tcW w:w="1701" w:type="dxa"/>
            <w:vAlign w:val="center"/>
          </w:tcPr>
          <w:p w14:paraId="6E0731B8" w14:textId="77777777" w:rsidR="008456BE" w:rsidRPr="00C3310F" w:rsidRDefault="008456BE" w:rsidP="00301D07">
            <w:pPr>
              <w:widowControl/>
              <w:overflowPunct/>
              <w:autoSpaceDE/>
              <w:autoSpaceDN/>
              <w:jc w:val="right"/>
              <w:rPr>
                <w:rFonts w:hAnsi="標楷體" w:cs="Arial"/>
                <w:kern w:val="0"/>
                <w:sz w:val="28"/>
                <w:szCs w:val="28"/>
              </w:rPr>
            </w:pPr>
            <w:r w:rsidRPr="00C3310F">
              <w:rPr>
                <w:rFonts w:hAnsi="標楷體" w:cs="Arial" w:hint="eastAsia"/>
                <w:kern w:val="0"/>
                <w:sz w:val="28"/>
                <w:szCs w:val="28"/>
              </w:rPr>
              <w:t>8,522</w:t>
            </w:r>
          </w:p>
        </w:tc>
        <w:tc>
          <w:tcPr>
            <w:tcW w:w="2551" w:type="dxa"/>
            <w:vAlign w:val="center"/>
          </w:tcPr>
          <w:p w14:paraId="250B5555" w14:textId="77777777" w:rsidR="008456BE" w:rsidRPr="00C3310F" w:rsidRDefault="008456BE" w:rsidP="00301D07">
            <w:pPr>
              <w:widowControl/>
              <w:overflowPunct/>
              <w:autoSpaceDE/>
              <w:autoSpaceDN/>
              <w:jc w:val="right"/>
              <w:rPr>
                <w:rFonts w:hAnsi="標楷體" w:cs="Arial"/>
                <w:kern w:val="0"/>
                <w:sz w:val="28"/>
                <w:szCs w:val="28"/>
              </w:rPr>
            </w:pPr>
            <w:r w:rsidRPr="00C3310F">
              <w:rPr>
                <w:rFonts w:hAnsi="標楷體" w:cs="Arial" w:hint="eastAsia"/>
                <w:kern w:val="0"/>
                <w:sz w:val="28"/>
                <w:szCs w:val="28"/>
              </w:rPr>
              <w:t>27,004</w:t>
            </w:r>
          </w:p>
        </w:tc>
      </w:tr>
      <w:tr w:rsidR="00C3310F" w:rsidRPr="00C3310F" w14:paraId="3D9DD355" w14:textId="77777777" w:rsidTr="00301D07">
        <w:trPr>
          <w:trHeight w:val="178"/>
        </w:trPr>
        <w:tc>
          <w:tcPr>
            <w:tcW w:w="2410" w:type="dxa"/>
            <w:shd w:val="clear" w:color="auto" w:fill="auto"/>
            <w:noWrap/>
            <w:vAlign w:val="center"/>
            <w:hideMark/>
          </w:tcPr>
          <w:p w14:paraId="1D4AABEF" w14:textId="77777777" w:rsidR="008456BE" w:rsidRPr="00C3310F" w:rsidRDefault="008456BE" w:rsidP="00301D07">
            <w:pPr>
              <w:widowControl/>
              <w:overflowPunct/>
              <w:autoSpaceDE/>
              <w:autoSpaceDN/>
              <w:jc w:val="center"/>
              <w:rPr>
                <w:rFonts w:hAnsi="標楷體" w:cs="Arial"/>
                <w:kern w:val="0"/>
                <w:sz w:val="28"/>
                <w:szCs w:val="28"/>
              </w:rPr>
            </w:pPr>
            <w:r w:rsidRPr="00C3310F">
              <w:rPr>
                <w:rFonts w:hAnsi="標楷體" w:cs="Arial" w:hint="eastAsia"/>
                <w:kern w:val="0"/>
                <w:sz w:val="28"/>
                <w:szCs w:val="28"/>
              </w:rPr>
              <w:t>113年1-5月</w:t>
            </w:r>
          </w:p>
        </w:tc>
        <w:tc>
          <w:tcPr>
            <w:tcW w:w="2694" w:type="dxa"/>
            <w:shd w:val="clear" w:color="auto" w:fill="auto"/>
            <w:noWrap/>
            <w:vAlign w:val="center"/>
            <w:hideMark/>
          </w:tcPr>
          <w:p w14:paraId="54B2AED7" w14:textId="77777777" w:rsidR="008456BE" w:rsidRPr="00C3310F" w:rsidRDefault="008456BE" w:rsidP="00301D07">
            <w:pPr>
              <w:widowControl/>
              <w:overflowPunct/>
              <w:autoSpaceDE/>
              <w:autoSpaceDN/>
              <w:jc w:val="right"/>
              <w:rPr>
                <w:rFonts w:hAnsi="標楷體" w:cs="Arial"/>
                <w:kern w:val="0"/>
                <w:sz w:val="28"/>
                <w:szCs w:val="28"/>
              </w:rPr>
            </w:pPr>
            <w:r w:rsidRPr="00C3310F">
              <w:rPr>
                <w:rFonts w:hAnsi="標楷體" w:cs="Arial" w:hint="eastAsia"/>
                <w:kern w:val="0"/>
                <w:sz w:val="28"/>
                <w:szCs w:val="28"/>
              </w:rPr>
              <w:t>12,326</w:t>
            </w:r>
          </w:p>
        </w:tc>
        <w:tc>
          <w:tcPr>
            <w:tcW w:w="1701" w:type="dxa"/>
            <w:vAlign w:val="center"/>
          </w:tcPr>
          <w:p w14:paraId="65EA3EBA" w14:textId="77777777" w:rsidR="008456BE" w:rsidRPr="00C3310F" w:rsidRDefault="008456BE" w:rsidP="00301D07">
            <w:pPr>
              <w:widowControl/>
              <w:overflowPunct/>
              <w:autoSpaceDE/>
              <w:autoSpaceDN/>
              <w:jc w:val="right"/>
              <w:rPr>
                <w:rFonts w:hAnsi="標楷體" w:cs="Arial"/>
                <w:kern w:val="0"/>
                <w:sz w:val="28"/>
                <w:szCs w:val="28"/>
              </w:rPr>
            </w:pPr>
            <w:r w:rsidRPr="00C3310F">
              <w:rPr>
                <w:rFonts w:hAnsi="標楷體" w:cs="Arial" w:hint="eastAsia"/>
                <w:kern w:val="0"/>
                <w:sz w:val="28"/>
                <w:szCs w:val="28"/>
              </w:rPr>
              <w:t>6,104</w:t>
            </w:r>
          </w:p>
        </w:tc>
        <w:tc>
          <w:tcPr>
            <w:tcW w:w="2551" w:type="dxa"/>
            <w:vAlign w:val="center"/>
          </w:tcPr>
          <w:p w14:paraId="6675507E" w14:textId="77777777" w:rsidR="008456BE" w:rsidRPr="00C3310F" w:rsidRDefault="008456BE" w:rsidP="00301D07">
            <w:pPr>
              <w:widowControl/>
              <w:overflowPunct/>
              <w:autoSpaceDE/>
              <w:autoSpaceDN/>
              <w:jc w:val="right"/>
              <w:rPr>
                <w:rFonts w:hAnsi="標楷體" w:cs="Arial"/>
                <w:kern w:val="0"/>
                <w:sz w:val="28"/>
                <w:szCs w:val="28"/>
              </w:rPr>
            </w:pPr>
            <w:r w:rsidRPr="00C3310F">
              <w:rPr>
                <w:rFonts w:hAnsi="標楷體" w:cs="Arial" w:hint="eastAsia"/>
                <w:kern w:val="0"/>
                <w:sz w:val="28"/>
                <w:szCs w:val="28"/>
              </w:rPr>
              <w:t>12,449</w:t>
            </w:r>
          </w:p>
        </w:tc>
      </w:tr>
    </w:tbl>
    <w:p w14:paraId="6AC12A62" w14:textId="77777777" w:rsidR="008456BE" w:rsidRPr="00C3310F" w:rsidRDefault="008456BE" w:rsidP="008456BE">
      <w:pPr>
        <w:pStyle w:val="4"/>
        <w:numPr>
          <w:ilvl w:val="0"/>
          <w:numId w:val="0"/>
        </w:numPr>
        <w:spacing w:afterLines="50" w:after="228" w:line="320" w:lineRule="exact"/>
        <w:ind w:leftChars="-125" w:left="-1" w:hangingChars="163" w:hanging="424"/>
        <w:rPr>
          <w:sz w:val="24"/>
          <w:szCs w:val="24"/>
        </w:rPr>
      </w:pPr>
      <w:r w:rsidRPr="00C3310F">
        <w:rPr>
          <w:rFonts w:hint="eastAsia"/>
          <w:sz w:val="24"/>
          <w:szCs w:val="24"/>
        </w:rPr>
        <w:t>資料來源：法務部(</w:t>
      </w:r>
      <w:hyperlink r:id="rId20" w:history="1">
        <w:r w:rsidRPr="00C3310F">
          <w:rPr>
            <w:rStyle w:val="ae"/>
            <w:color w:val="auto"/>
            <w:sz w:val="24"/>
            <w:szCs w:val="24"/>
          </w:rPr>
          <w:t>https://www.rjsd.moj.gov.tw/RJSDWEB/visualize/</w:t>
        </w:r>
        <w:r w:rsidRPr="00C3310F">
          <w:rPr>
            <w:rStyle w:val="ae"/>
            <w:color w:val="auto"/>
            <w:sz w:val="24"/>
            <w:szCs w:val="24"/>
          </w:rPr>
          <w:br/>
          <w:t>Visualization.aspx?kind=PC&amp;d=12</w:t>
        </w:r>
      </w:hyperlink>
      <w:r w:rsidRPr="00C3310F">
        <w:rPr>
          <w:sz w:val="24"/>
          <w:szCs w:val="24"/>
        </w:rPr>
        <w:t>)</w:t>
      </w:r>
    </w:p>
    <w:p w14:paraId="0F83EEE3" w14:textId="77777777" w:rsidR="008456BE" w:rsidRPr="00C3310F" w:rsidRDefault="008456BE" w:rsidP="008456BE">
      <w:pPr>
        <w:pStyle w:val="3"/>
      </w:pPr>
      <w:bookmarkStart w:id="385" w:name="_Toc171525445"/>
      <w:bookmarkStart w:id="386" w:name="_Toc172023928"/>
      <w:bookmarkStart w:id="387" w:name="_Toc172033247"/>
      <w:r w:rsidRPr="00C3310F">
        <w:rPr>
          <w:rFonts w:hint="eastAsia"/>
        </w:rPr>
        <w:t>司法偵辦情形</w:t>
      </w:r>
      <w:bookmarkEnd w:id="385"/>
      <w:bookmarkEnd w:id="386"/>
      <w:bookmarkEnd w:id="387"/>
    </w:p>
    <w:p w14:paraId="5370228D" w14:textId="77777777" w:rsidR="008456BE" w:rsidRPr="00C3310F" w:rsidRDefault="008456BE" w:rsidP="008456BE">
      <w:pPr>
        <w:pStyle w:val="4"/>
      </w:pPr>
      <w:r w:rsidRPr="00C3310F">
        <w:rPr>
          <w:rFonts w:hint="eastAsia"/>
        </w:rPr>
        <w:t>電信網路詐欺案件定罪情形</w:t>
      </w:r>
    </w:p>
    <w:p w14:paraId="0FEA5BE2" w14:textId="1A1F2BC2" w:rsidR="008456BE" w:rsidRPr="00C3310F" w:rsidRDefault="008456BE" w:rsidP="008456BE">
      <w:pPr>
        <w:pStyle w:val="5"/>
      </w:pPr>
      <w:r w:rsidRPr="00C3310F">
        <w:rPr>
          <w:rFonts w:hint="eastAsia"/>
        </w:rPr>
        <w:t>電信網路詐欺案件經司法機關裁判確定有罪人數由109年之13,272人逐年增加至112年之26</w:t>
      </w:r>
      <w:r w:rsidRPr="00C3310F">
        <w:t>,</w:t>
      </w:r>
      <w:r w:rsidRPr="00C3310F">
        <w:rPr>
          <w:rFonts w:hint="eastAsia"/>
        </w:rPr>
        <w:t>700人，判定有罪人數成長超過1倍。</w:t>
      </w:r>
    </w:p>
    <w:p w14:paraId="2CD3ACB8" w14:textId="77777777" w:rsidR="008456BE" w:rsidRPr="00C3310F" w:rsidRDefault="008456BE" w:rsidP="008456BE">
      <w:pPr>
        <w:pStyle w:val="5"/>
      </w:pPr>
      <w:r w:rsidRPr="00C3310F">
        <w:rPr>
          <w:rFonts w:hint="eastAsia"/>
        </w:rPr>
        <w:t>電信網路詐欺案件經司法機關判定有罪之定罪率由109年之93.1%逐年成長至112年之94.9%。</w:t>
      </w:r>
    </w:p>
    <w:p w14:paraId="4F95CA7C" w14:textId="77777777" w:rsidR="008456BE" w:rsidRPr="00C3310F" w:rsidRDefault="008456BE" w:rsidP="008456BE">
      <w:pPr>
        <w:pStyle w:val="a3"/>
        <w:jc w:val="center"/>
        <w:rPr>
          <w:rFonts w:hint="eastAsia"/>
          <w:b/>
        </w:rPr>
      </w:pPr>
      <w:bookmarkStart w:id="388" w:name="_Toc172025210"/>
      <w:r w:rsidRPr="00C3310F">
        <w:rPr>
          <w:rFonts w:hint="eastAsia"/>
          <w:b/>
        </w:rPr>
        <w:t>電信網路詐欺案司法機關定罪情形表</w:t>
      </w:r>
      <w:bookmarkEnd w:id="388"/>
    </w:p>
    <w:p w14:paraId="4085E75D" w14:textId="77777777" w:rsidR="008456BE" w:rsidRPr="00C3310F" w:rsidRDefault="008456BE" w:rsidP="008456BE">
      <w:pPr>
        <w:pStyle w:val="4"/>
        <w:numPr>
          <w:ilvl w:val="0"/>
          <w:numId w:val="0"/>
        </w:numPr>
        <w:ind w:left="1701"/>
        <w:jc w:val="right"/>
        <w:rPr>
          <w:sz w:val="24"/>
          <w:szCs w:val="24"/>
        </w:rPr>
      </w:pPr>
      <w:r w:rsidRPr="00C3310F">
        <w:rPr>
          <w:rFonts w:hint="eastAsia"/>
          <w:sz w:val="24"/>
          <w:szCs w:val="24"/>
        </w:rPr>
        <w:t>單位：人；%</w:t>
      </w:r>
    </w:p>
    <w:tbl>
      <w:tblPr>
        <w:tblW w:w="8897" w:type="dxa"/>
        <w:tblInd w:w="-5" w:type="dxa"/>
        <w:tblCellMar>
          <w:left w:w="28" w:type="dxa"/>
          <w:right w:w="28" w:type="dxa"/>
        </w:tblCellMar>
        <w:tblLook w:val="04A0" w:firstRow="1" w:lastRow="0" w:firstColumn="1" w:lastColumn="0" w:noHBand="0" w:noVBand="1"/>
      </w:tblPr>
      <w:tblGrid>
        <w:gridCol w:w="3050"/>
        <w:gridCol w:w="3050"/>
        <w:gridCol w:w="2797"/>
      </w:tblGrid>
      <w:tr w:rsidR="00C3310F" w:rsidRPr="00C3310F" w14:paraId="3EFE6F98" w14:textId="77777777" w:rsidTr="00301D07">
        <w:trPr>
          <w:trHeight w:val="541"/>
        </w:trPr>
        <w:tc>
          <w:tcPr>
            <w:tcW w:w="305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C09BF56" w14:textId="77777777" w:rsidR="008456BE" w:rsidRPr="00C3310F" w:rsidRDefault="008456BE" w:rsidP="00301D07">
            <w:pPr>
              <w:widowControl/>
              <w:overflowPunct/>
              <w:autoSpaceDE/>
              <w:autoSpaceDN/>
              <w:jc w:val="center"/>
              <w:rPr>
                <w:rFonts w:hAnsi="標楷體" w:cs="Arial"/>
                <w:kern w:val="0"/>
                <w:sz w:val="28"/>
                <w:szCs w:val="28"/>
              </w:rPr>
            </w:pPr>
          </w:p>
        </w:tc>
        <w:tc>
          <w:tcPr>
            <w:tcW w:w="3050" w:type="dxa"/>
            <w:tcBorders>
              <w:top w:val="single" w:sz="4" w:space="0" w:color="000000"/>
              <w:left w:val="nil"/>
              <w:bottom w:val="single" w:sz="4" w:space="0" w:color="000000"/>
              <w:right w:val="single" w:sz="4" w:space="0" w:color="000000"/>
            </w:tcBorders>
            <w:shd w:val="clear" w:color="auto" w:fill="auto"/>
            <w:vAlign w:val="center"/>
            <w:hideMark/>
          </w:tcPr>
          <w:p w14:paraId="4CFE3D4E" w14:textId="77777777" w:rsidR="008456BE" w:rsidRPr="00C3310F" w:rsidRDefault="008456BE" w:rsidP="00301D07">
            <w:pPr>
              <w:widowControl/>
              <w:overflowPunct/>
              <w:autoSpaceDE/>
              <w:autoSpaceDN/>
              <w:jc w:val="center"/>
              <w:rPr>
                <w:rFonts w:hAnsi="標楷體" w:cs="Arial"/>
                <w:kern w:val="0"/>
                <w:sz w:val="28"/>
                <w:szCs w:val="28"/>
              </w:rPr>
            </w:pPr>
            <w:r w:rsidRPr="00C3310F">
              <w:rPr>
                <w:rFonts w:hAnsi="標楷體" w:cs="Arial" w:hint="eastAsia"/>
                <w:kern w:val="0"/>
                <w:sz w:val="28"/>
                <w:szCs w:val="28"/>
              </w:rPr>
              <w:t>裁判確定有罪人數</w:t>
            </w:r>
          </w:p>
        </w:tc>
        <w:tc>
          <w:tcPr>
            <w:tcW w:w="2797" w:type="dxa"/>
            <w:tcBorders>
              <w:top w:val="single" w:sz="4" w:space="0" w:color="000000"/>
              <w:left w:val="nil"/>
              <w:bottom w:val="single" w:sz="4" w:space="0" w:color="000000"/>
              <w:right w:val="single" w:sz="4" w:space="0" w:color="000000"/>
            </w:tcBorders>
            <w:shd w:val="clear" w:color="auto" w:fill="auto"/>
            <w:vAlign w:val="center"/>
            <w:hideMark/>
          </w:tcPr>
          <w:p w14:paraId="5082A4F0" w14:textId="77777777" w:rsidR="008456BE" w:rsidRPr="00C3310F" w:rsidRDefault="008456BE" w:rsidP="00301D07">
            <w:pPr>
              <w:widowControl/>
              <w:overflowPunct/>
              <w:autoSpaceDE/>
              <w:autoSpaceDN/>
              <w:jc w:val="center"/>
              <w:rPr>
                <w:rFonts w:hAnsi="標楷體" w:cs="Arial"/>
                <w:kern w:val="0"/>
                <w:sz w:val="28"/>
                <w:szCs w:val="28"/>
              </w:rPr>
            </w:pPr>
            <w:r w:rsidRPr="00C3310F">
              <w:rPr>
                <w:rFonts w:hAnsi="標楷體" w:cs="Arial" w:hint="eastAsia"/>
                <w:kern w:val="0"/>
                <w:sz w:val="28"/>
                <w:szCs w:val="28"/>
              </w:rPr>
              <w:t>定罪率</w:t>
            </w:r>
          </w:p>
        </w:tc>
      </w:tr>
      <w:tr w:rsidR="00C3310F" w:rsidRPr="00C3310F" w14:paraId="5BA13971" w14:textId="77777777" w:rsidTr="00301D07">
        <w:trPr>
          <w:trHeight w:val="339"/>
        </w:trPr>
        <w:tc>
          <w:tcPr>
            <w:tcW w:w="3050" w:type="dxa"/>
            <w:tcBorders>
              <w:top w:val="nil"/>
              <w:left w:val="single" w:sz="4" w:space="0" w:color="000000"/>
              <w:bottom w:val="single" w:sz="4" w:space="0" w:color="000000"/>
              <w:right w:val="single" w:sz="4" w:space="0" w:color="000000"/>
            </w:tcBorders>
            <w:shd w:val="clear" w:color="auto" w:fill="auto"/>
            <w:noWrap/>
            <w:vAlign w:val="center"/>
            <w:hideMark/>
          </w:tcPr>
          <w:p w14:paraId="420BDCFB" w14:textId="77777777" w:rsidR="008456BE" w:rsidRPr="00C3310F" w:rsidRDefault="008456BE" w:rsidP="00301D07">
            <w:pPr>
              <w:widowControl/>
              <w:overflowPunct/>
              <w:autoSpaceDE/>
              <w:autoSpaceDN/>
              <w:jc w:val="center"/>
              <w:rPr>
                <w:rFonts w:hAnsi="標楷體" w:cs="Arial"/>
                <w:kern w:val="0"/>
                <w:sz w:val="28"/>
                <w:szCs w:val="28"/>
              </w:rPr>
            </w:pPr>
            <w:r w:rsidRPr="00C3310F">
              <w:rPr>
                <w:rFonts w:hAnsi="標楷體" w:cs="Arial" w:hint="eastAsia"/>
                <w:kern w:val="0"/>
                <w:sz w:val="28"/>
                <w:szCs w:val="28"/>
              </w:rPr>
              <w:t>109年</w:t>
            </w:r>
          </w:p>
        </w:tc>
        <w:tc>
          <w:tcPr>
            <w:tcW w:w="3050" w:type="dxa"/>
            <w:tcBorders>
              <w:top w:val="nil"/>
              <w:left w:val="nil"/>
              <w:bottom w:val="single" w:sz="4" w:space="0" w:color="000000"/>
              <w:right w:val="single" w:sz="4" w:space="0" w:color="000000"/>
            </w:tcBorders>
            <w:shd w:val="clear" w:color="auto" w:fill="auto"/>
            <w:noWrap/>
            <w:vAlign w:val="center"/>
            <w:hideMark/>
          </w:tcPr>
          <w:p w14:paraId="5C295CF4" w14:textId="77777777" w:rsidR="008456BE" w:rsidRPr="00C3310F" w:rsidRDefault="008456BE" w:rsidP="00301D07">
            <w:pPr>
              <w:widowControl/>
              <w:overflowPunct/>
              <w:autoSpaceDE/>
              <w:autoSpaceDN/>
              <w:jc w:val="right"/>
              <w:rPr>
                <w:rFonts w:hAnsi="標楷體" w:cs="Arial"/>
                <w:kern w:val="0"/>
                <w:sz w:val="28"/>
                <w:szCs w:val="28"/>
              </w:rPr>
            </w:pPr>
            <w:r w:rsidRPr="00C3310F">
              <w:rPr>
                <w:rFonts w:hAnsi="標楷體" w:cs="Arial" w:hint="eastAsia"/>
                <w:kern w:val="0"/>
                <w:sz w:val="28"/>
                <w:szCs w:val="28"/>
              </w:rPr>
              <w:t>13,272</w:t>
            </w:r>
          </w:p>
        </w:tc>
        <w:tc>
          <w:tcPr>
            <w:tcW w:w="2797" w:type="dxa"/>
            <w:tcBorders>
              <w:top w:val="nil"/>
              <w:left w:val="nil"/>
              <w:bottom w:val="single" w:sz="4" w:space="0" w:color="000000"/>
              <w:right w:val="single" w:sz="4" w:space="0" w:color="000000"/>
            </w:tcBorders>
            <w:shd w:val="clear" w:color="auto" w:fill="auto"/>
            <w:noWrap/>
            <w:vAlign w:val="center"/>
            <w:hideMark/>
          </w:tcPr>
          <w:p w14:paraId="39DFD954" w14:textId="77777777" w:rsidR="008456BE" w:rsidRPr="00C3310F" w:rsidRDefault="008456BE" w:rsidP="00301D07">
            <w:pPr>
              <w:widowControl/>
              <w:overflowPunct/>
              <w:autoSpaceDE/>
              <w:autoSpaceDN/>
              <w:jc w:val="right"/>
              <w:rPr>
                <w:rFonts w:hAnsi="標楷體" w:cs="Arial"/>
                <w:kern w:val="0"/>
                <w:sz w:val="28"/>
                <w:szCs w:val="28"/>
              </w:rPr>
            </w:pPr>
            <w:r w:rsidRPr="00C3310F">
              <w:rPr>
                <w:rFonts w:hAnsi="標楷體" w:cs="Arial" w:hint="eastAsia"/>
                <w:kern w:val="0"/>
                <w:sz w:val="28"/>
                <w:szCs w:val="28"/>
              </w:rPr>
              <w:t>93.1</w:t>
            </w:r>
          </w:p>
        </w:tc>
      </w:tr>
      <w:tr w:rsidR="00C3310F" w:rsidRPr="00C3310F" w14:paraId="14DFC753" w14:textId="77777777" w:rsidTr="00301D07">
        <w:trPr>
          <w:trHeight w:val="339"/>
        </w:trPr>
        <w:tc>
          <w:tcPr>
            <w:tcW w:w="3050" w:type="dxa"/>
            <w:tcBorders>
              <w:top w:val="nil"/>
              <w:left w:val="single" w:sz="4" w:space="0" w:color="000000"/>
              <w:bottom w:val="single" w:sz="4" w:space="0" w:color="000000"/>
              <w:right w:val="single" w:sz="4" w:space="0" w:color="000000"/>
            </w:tcBorders>
            <w:shd w:val="clear" w:color="auto" w:fill="auto"/>
            <w:noWrap/>
            <w:vAlign w:val="center"/>
            <w:hideMark/>
          </w:tcPr>
          <w:p w14:paraId="53257A4B" w14:textId="77777777" w:rsidR="008456BE" w:rsidRPr="00C3310F" w:rsidRDefault="008456BE" w:rsidP="00301D07">
            <w:pPr>
              <w:widowControl/>
              <w:overflowPunct/>
              <w:autoSpaceDE/>
              <w:autoSpaceDN/>
              <w:jc w:val="center"/>
              <w:rPr>
                <w:rFonts w:hAnsi="標楷體" w:cs="Arial"/>
                <w:kern w:val="0"/>
                <w:sz w:val="28"/>
                <w:szCs w:val="28"/>
              </w:rPr>
            </w:pPr>
            <w:r w:rsidRPr="00C3310F">
              <w:rPr>
                <w:rFonts w:hAnsi="標楷體" w:cs="Arial" w:hint="eastAsia"/>
                <w:kern w:val="0"/>
                <w:sz w:val="28"/>
                <w:szCs w:val="28"/>
              </w:rPr>
              <w:t>110年</w:t>
            </w:r>
          </w:p>
        </w:tc>
        <w:tc>
          <w:tcPr>
            <w:tcW w:w="3050" w:type="dxa"/>
            <w:tcBorders>
              <w:top w:val="nil"/>
              <w:left w:val="nil"/>
              <w:bottom w:val="single" w:sz="4" w:space="0" w:color="000000"/>
              <w:right w:val="single" w:sz="4" w:space="0" w:color="000000"/>
            </w:tcBorders>
            <w:shd w:val="clear" w:color="auto" w:fill="auto"/>
            <w:noWrap/>
            <w:vAlign w:val="center"/>
            <w:hideMark/>
          </w:tcPr>
          <w:p w14:paraId="5FD16BB5" w14:textId="77777777" w:rsidR="008456BE" w:rsidRPr="00C3310F" w:rsidRDefault="008456BE" w:rsidP="00301D07">
            <w:pPr>
              <w:widowControl/>
              <w:overflowPunct/>
              <w:autoSpaceDE/>
              <w:autoSpaceDN/>
              <w:jc w:val="right"/>
              <w:rPr>
                <w:rFonts w:hAnsi="標楷體" w:cs="Arial"/>
                <w:kern w:val="0"/>
                <w:sz w:val="28"/>
                <w:szCs w:val="28"/>
              </w:rPr>
            </w:pPr>
            <w:r w:rsidRPr="00C3310F">
              <w:rPr>
                <w:rFonts w:hAnsi="標楷體" w:cs="Arial" w:hint="eastAsia"/>
                <w:kern w:val="0"/>
                <w:sz w:val="28"/>
                <w:szCs w:val="28"/>
              </w:rPr>
              <w:t>12,604</w:t>
            </w:r>
          </w:p>
        </w:tc>
        <w:tc>
          <w:tcPr>
            <w:tcW w:w="2797" w:type="dxa"/>
            <w:tcBorders>
              <w:top w:val="nil"/>
              <w:left w:val="nil"/>
              <w:bottom w:val="single" w:sz="4" w:space="0" w:color="000000"/>
              <w:right w:val="single" w:sz="4" w:space="0" w:color="000000"/>
            </w:tcBorders>
            <w:shd w:val="clear" w:color="auto" w:fill="auto"/>
            <w:noWrap/>
            <w:vAlign w:val="center"/>
            <w:hideMark/>
          </w:tcPr>
          <w:p w14:paraId="001DDE24" w14:textId="77777777" w:rsidR="008456BE" w:rsidRPr="00C3310F" w:rsidRDefault="008456BE" w:rsidP="00301D07">
            <w:pPr>
              <w:widowControl/>
              <w:overflowPunct/>
              <w:autoSpaceDE/>
              <w:autoSpaceDN/>
              <w:jc w:val="right"/>
              <w:rPr>
                <w:rFonts w:hAnsi="標楷體" w:cs="Arial"/>
                <w:kern w:val="0"/>
                <w:sz w:val="28"/>
                <w:szCs w:val="28"/>
              </w:rPr>
            </w:pPr>
            <w:r w:rsidRPr="00C3310F">
              <w:rPr>
                <w:rFonts w:hAnsi="標楷體" w:cs="Arial" w:hint="eastAsia"/>
                <w:kern w:val="0"/>
                <w:sz w:val="28"/>
                <w:szCs w:val="28"/>
              </w:rPr>
              <w:t>93.6</w:t>
            </w:r>
          </w:p>
        </w:tc>
      </w:tr>
      <w:tr w:rsidR="00C3310F" w:rsidRPr="00C3310F" w14:paraId="3A2AF94E" w14:textId="77777777" w:rsidTr="00301D07">
        <w:trPr>
          <w:trHeight w:val="339"/>
        </w:trPr>
        <w:tc>
          <w:tcPr>
            <w:tcW w:w="3050" w:type="dxa"/>
            <w:tcBorders>
              <w:top w:val="nil"/>
              <w:left w:val="single" w:sz="4" w:space="0" w:color="000000"/>
              <w:bottom w:val="single" w:sz="4" w:space="0" w:color="000000"/>
              <w:right w:val="single" w:sz="4" w:space="0" w:color="000000"/>
            </w:tcBorders>
            <w:shd w:val="clear" w:color="auto" w:fill="auto"/>
            <w:noWrap/>
            <w:vAlign w:val="center"/>
            <w:hideMark/>
          </w:tcPr>
          <w:p w14:paraId="67EE7020" w14:textId="77777777" w:rsidR="008456BE" w:rsidRPr="00C3310F" w:rsidRDefault="008456BE" w:rsidP="00301D07">
            <w:pPr>
              <w:widowControl/>
              <w:overflowPunct/>
              <w:autoSpaceDE/>
              <w:autoSpaceDN/>
              <w:jc w:val="center"/>
              <w:rPr>
                <w:rFonts w:hAnsi="標楷體" w:cs="Arial"/>
                <w:kern w:val="0"/>
                <w:sz w:val="28"/>
                <w:szCs w:val="28"/>
              </w:rPr>
            </w:pPr>
            <w:r w:rsidRPr="00C3310F">
              <w:rPr>
                <w:rFonts w:hAnsi="標楷體" w:cs="Arial" w:hint="eastAsia"/>
                <w:kern w:val="0"/>
                <w:sz w:val="28"/>
                <w:szCs w:val="28"/>
              </w:rPr>
              <w:t>111年</w:t>
            </w:r>
          </w:p>
        </w:tc>
        <w:tc>
          <w:tcPr>
            <w:tcW w:w="3050" w:type="dxa"/>
            <w:tcBorders>
              <w:top w:val="nil"/>
              <w:left w:val="nil"/>
              <w:bottom w:val="single" w:sz="4" w:space="0" w:color="000000"/>
              <w:right w:val="single" w:sz="4" w:space="0" w:color="000000"/>
            </w:tcBorders>
            <w:shd w:val="clear" w:color="auto" w:fill="auto"/>
            <w:noWrap/>
            <w:vAlign w:val="center"/>
            <w:hideMark/>
          </w:tcPr>
          <w:p w14:paraId="415073F1" w14:textId="77777777" w:rsidR="008456BE" w:rsidRPr="00C3310F" w:rsidRDefault="008456BE" w:rsidP="00301D07">
            <w:pPr>
              <w:widowControl/>
              <w:overflowPunct/>
              <w:autoSpaceDE/>
              <w:autoSpaceDN/>
              <w:jc w:val="right"/>
              <w:rPr>
                <w:rFonts w:hAnsi="標楷體" w:cs="Arial"/>
                <w:kern w:val="0"/>
                <w:sz w:val="28"/>
                <w:szCs w:val="28"/>
              </w:rPr>
            </w:pPr>
            <w:r w:rsidRPr="00C3310F">
              <w:rPr>
                <w:rFonts w:hAnsi="標楷體" w:cs="Arial" w:hint="eastAsia"/>
                <w:kern w:val="0"/>
                <w:sz w:val="28"/>
                <w:szCs w:val="28"/>
              </w:rPr>
              <w:t>19,729</w:t>
            </w:r>
          </w:p>
        </w:tc>
        <w:tc>
          <w:tcPr>
            <w:tcW w:w="2797" w:type="dxa"/>
            <w:tcBorders>
              <w:top w:val="nil"/>
              <w:left w:val="nil"/>
              <w:bottom w:val="single" w:sz="4" w:space="0" w:color="000000"/>
              <w:right w:val="single" w:sz="4" w:space="0" w:color="000000"/>
            </w:tcBorders>
            <w:shd w:val="clear" w:color="auto" w:fill="auto"/>
            <w:noWrap/>
            <w:vAlign w:val="center"/>
            <w:hideMark/>
          </w:tcPr>
          <w:p w14:paraId="467CBB51" w14:textId="77777777" w:rsidR="008456BE" w:rsidRPr="00C3310F" w:rsidRDefault="008456BE" w:rsidP="00301D07">
            <w:pPr>
              <w:widowControl/>
              <w:overflowPunct/>
              <w:autoSpaceDE/>
              <w:autoSpaceDN/>
              <w:jc w:val="right"/>
              <w:rPr>
                <w:rFonts w:hAnsi="標楷體" w:cs="Arial"/>
                <w:kern w:val="0"/>
                <w:sz w:val="28"/>
                <w:szCs w:val="28"/>
              </w:rPr>
            </w:pPr>
            <w:r w:rsidRPr="00C3310F">
              <w:rPr>
                <w:rFonts w:hAnsi="標楷體" w:cs="Arial" w:hint="eastAsia"/>
                <w:kern w:val="0"/>
                <w:sz w:val="28"/>
                <w:szCs w:val="28"/>
              </w:rPr>
              <w:t>94.8</w:t>
            </w:r>
          </w:p>
        </w:tc>
      </w:tr>
      <w:tr w:rsidR="00C3310F" w:rsidRPr="00C3310F" w14:paraId="6E40F06B" w14:textId="77777777" w:rsidTr="00301D07">
        <w:trPr>
          <w:trHeight w:val="339"/>
        </w:trPr>
        <w:tc>
          <w:tcPr>
            <w:tcW w:w="3050" w:type="dxa"/>
            <w:tcBorders>
              <w:top w:val="nil"/>
              <w:left w:val="single" w:sz="4" w:space="0" w:color="000000"/>
              <w:bottom w:val="single" w:sz="4" w:space="0" w:color="000000"/>
              <w:right w:val="single" w:sz="4" w:space="0" w:color="000000"/>
            </w:tcBorders>
            <w:shd w:val="clear" w:color="auto" w:fill="auto"/>
            <w:noWrap/>
            <w:vAlign w:val="center"/>
            <w:hideMark/>
          </w:tcPr>
          <w:p w14:paraId="1DAAE7E0" w14:textId="77777777" w:rsidR="008456BE" w:rsidRPr="00C3310F" w:rsidRDefault="008456BE" w:rsidP="00301D07">
            <w:pPr>
              <w:widowControl/>
              <w:overflowPunct/>
              <w:autoSpaceDE/>
              <w:autoSpaceDN/>
              <w:jc w:val="center"/>
              <w:rPr>
                <w:rFonts w:hAnsi="標楷體" w:cs="Arial"/>
                <w:kern w:val="0"/>
                <w:sz w:val="28"/>
                <w:szCs w:val="28"/>
              </w:rPr>
            </w:pPr>
            <w:r w:rsidRPr="00C3310F">
              <w:rPr>
                <w:rFonts w:hAnsi="標楷體" w:cs="Arial" w:hint="eastAsia"/>
                <w:kern w:val="0"/>
                <w:sz w:val="28"/>
                <w:szCs w:val="28"/>
              </w:rPr>
              <w:t>112年</w:t>
            </w:r>
          </w:p>
        </w:tc>
        <w:tc>
          <w:tcPr>
            <w:tcW w:w="3050" w:type="dxa"/>
            <w:tcBorders>
              <w:top w:val="nil"/>
              <w:left w:val="nil"/>
              <w:bottom w:val="single" w:sz="4" w:space="0" w:color="000000"/>
              <w:right w:val="single" w:sz="4" w:space="0" w:color="000000"/>
            </w:tcBorders>
            <w:shd w:val="clear" w:color="auto" w:fill="auto"/>
            <w:noWrap/>
            <w:vAlign w:val="center"/>
            <w:hideMark/>
          </w:tcPr>
          <w:p w14:paraId="408E3B3D" w14:textId="77777777" w:rsidR="008456BE" w:rsidRPr="00C3310F" w:rsidRDefault="008456BE" w:rsidP="00301D07">
            <w:pPr>
              <w:widowControl/>
              <w:overflowPunct/>
              <w:autoSpaceDE/>
              <w:autoSpaceDN/>
              <w:jc w:val="right"/>
              <w:rPr>
                <w:rFonts w:hAnsi="標楷體" w:cs="Arial"/>
                <w:kern w:val="0"/>
                <w:sz w:val="28"/>
                <w:szCs w:val="28"/>
              </w:rPr>
            </w:pPr>
            <w:r w:rsidRPr="00C3310F">
              <w:rPr>
                <w:rFonts w:hAnsi="標楷體" w:cs="Arial" w:hint="eastAsia"/>
                <w:kern w:val="0"/>
                <w:sz w:val="28"/>
                <w:szCs w:val="28"/>
              </w:rPr>
              <w:t>26,700</w:t>
            </w:r>
          </w:p>
        </w:tc>
        <w:tc>
          <w:tcPr>
            <w:tcW w:w="2797" w:type="dxa"/>
            <w:tcBorders>
              <w:top w:val="nil"/>
              <w:left w:val="nil"/>
              <w:bottom w:val="single" w:sz="4" w:space="0" w:color="000000"/>
              <w:right w:val="single" w:sz="4" w:space="0" w:color="000000"/>
            </w:tcBorders>
            <w:shd w:val="clear" w:color="auto" w:fill="auto"/>
            <w:noWrap/>
            <w:vAlign w:val="center"/>
            <w:hideMark/>
          </w:tcPr>
          <w:p w14:paraId="2B837C36" w14:textId="77777777" w:rsidR="008456BE" w:rsidRPr="00C3310F" w:rsidRDefault="008456BE" w:rsidP="00301D07">
            <w:pPr>
              <w:widowControl/>
              <w:overflowPunct/>
              <w:autoSpaceDE/>
              <w:autoSpaceDN/>
              <w:jc w:val="right"/>
              <w:rPr>
                <w:rFonts w:hAnsi="標楷體" w:cs="Arial"/>
                <w:kern w:val="0"/>
                <w:sz w:val="28"/>
                <w:szCs w:val="28"/>
              </w:rPr>
            </w:pPr>
            <w:r w:rsidRPr="00C3310F">
              <w:rPr>
                <w:rFonts w:hAnsi="標楷體" w:cs="Arial" w:hint="eastAsia"/>
                <w:kern w:val="0"/>
                <w:sz w:val="28"/>
                <w:szCs w:val="28"/>
              </w:rPr>
              <w:t>94.9</w:t>
            </w:r>
          </w:p>
        </w:tc>
      </w:tr>
      <w:tr w:rsidR="00C3310F" w:rsidRPr="00C3310F" w14:paraId="292AEC04" w14:textId="77777777" w:rsidTr="00301D07">
        <w:trPr>
          <w:trHeight w:val="339"/>
        </w:trPr>
        <w:tc>
          <w:tcPr>
            <w:tcW w:w="3050" w:type="dxa"/>
            <w:tcBorders>
              <w:top w:val="nil"/>
              <w:left w:val="single" w:sz="4" w:space="0" w:color="000000"/>
              <w:bottom w:val="single" w:sz="4" w:space="0" w:color="000000"/>
              <w:right w:val="single" w:sz="4" w:space="0" w:color="000000"/>
            </w:tcBorders>
            <w:shd w:val="clear" w:color="auto" w:fill="auto"/>
            <w:noWrap/>
            <w:vAlign w:val="center"/>
            <w:hideMark/>
          </w:tcPr>
          <w:p w14:paraId="4C5419AE" w14:textId="77777777" w:rsidR="008456BE" w:rsidRPr="00C3310F" w:rsidRDefault="008456BE" w:rsidP="00301D07">
            <w:pPr>
              <w:widowControl/>
              <w:overflowPunct/>
              <w:autoSpaceDE/>
              <w:autoSpaceDN/>
              <w:jc w:val="center"/>
              <w:rPr>
                <w:rFonts w:hAnsi="標楷體" w:cs="Arial"/>
                <w:kern w:val="0"/>
                <w:sz w:val="28"/>
                <w:szCs w:val="28"/>
              </w:rPr>
            </w:pPr>
            <w:r w:rsidRPr="00C3310F">
              <w:rPr>
                <w:rFonts w:hAnsi="標楷體" w:cs="Arial" w:hint="eastAsia"/>
                <w:kern w:val="0"/>
                <w:sz w:val="28"/>
                <w:szCs w:val="28"/>
              </w:rPr>
              <w:t>113年1-5月</w:t>
            </w:r>
          </w:p>
        </w:tc>
        <w:tc>
          <w:tcPr>
            <w:tcW w:w="3050" w:type="dxa"/>
            <w:tcBorders>
              <w:top w:val="nil"/>
              <w:left w:val="nil"/>
              <w:bottom w:val="single" w:sz="4" w:space="0" w:color="000000"/>
              <w:right w:val="single" w:sz="4" w:space="0" w:color="000000"/>
            </w:tcBorders>
            <w:shd w:val="clear" w:color="auto" w:fill="auto"/>
            <w:noWrap/>
            <w:vAlign w:val="center"/>
            <w:hideMark/>
          </w:tcPr>
          <w:p w14:paraId="5169F5C3" w14:textId="77777777" w:rsidR="008456BE" w:rsidRPr="00C3310F" w:rsidRDefault="008456BE" w:rsidP="00301D07">
            <w:pPr>
              <w:widowControl/>
              <w:overflowPunct/>
              <w:autoSpaceDE/>
              <w:autoSpaceDN/>
              <w:jc w:val="right"/>
              <w:rPr>
                <w:rFonts w:hAnsi="標楷體" w:cs="Arial"/>
                <w:kern w:val="0"/>
                <w:sz w:val="28"/>
                <w:szCs w:val="28"/>
              </w:rPr>
            </w:pPr>
            <w:r w:rsidRPr="00C3310F">
              <w:rPr>
                <w:rFonts w:hAnsi="標楷體" w:cs="Arial" w:hint="eastAsia"/>
                <w:kern w:val="0"/>
                <w:sz w:val="28"/>
                <w:szCs w:val="28"/>
              </w:rPr>
              <w:t>13,460</w:t>
            </w:r>
          </w:p>
        </w:tc>
        <w:tc>
          <w:tcPr>
            <w:tcW w:w="2797" w:type="dxa"/>
            <w:tcBorders>
              <w:top w:val="nil"/>
              <w:left w:val="nil"/>
              <w:bottom w:val="single" w:sz="4" w:space="0" w:color="000000"/>
              <w:right w:val="single" w:sz="4" w:space="0" w:color="000000"/>
            </w:tcBorders>
            <w:shd w:val="clear" w:color="auto" w:fill="auto"/>
            <w:noWrap/>
            <w:vAlign w:val="center"/>
            <w:hideMark/>
          </w:tcPr>
          <w:p w14:paraId="6906139A" w14:textId="77777777" w:rsidR="008456BE" w:rsidRPr="00C3310F" w:rsidRDefault="008456BE" w:rsidP="00301D07">
            <w:pPr>
              <w:widowControl/>
              <w:overflowPunct/>
              <w:autoSpaceDE/>
              <w:autoSpaceDN/>
              <w:jc w:val="right"/>
              <w:rPr>
                <w:rFonts w:hAnsi="標楷體" w:cs="Arial"/>
                <w:kern w:val="0"/>
                <w:sz w:val="28"/>
                <w:szCs w:val="28"/>
              </w:rPr>
            </w:pPr>
            <w:r w:rsidRPr="00C3310F">
              <w:rPr>
                <w:rFonts w:hAnsi="標楷體" w:cs="Arial" w:hint="eastAsia"/>
                <w:kern w:val="0"/>
                <w:sz w:val="28"/>
                <w:szCs w:val="28"/>
              </w:rPr>
              <w:t>95.3</w:t>
            </w:r>
          </w:p>
        </w:tc>
      </w:tr>
    </w:tbl>
    <w:p w14:paraId="6EAD0C99" w14:textId="77777777" w:rsidR="008456BE" w:rsidRPr="00C3310F" w:rsidRDefault="008456BE" w:rsidP="008456BE">
      <w:pPr>
        <w:pStyle w:val="4"/>
        <w:numPr>
          <w:ilvl w:val="0"/>
          <w:numId w:val="0"/>
        </w:numPr>
        <w:spacing w:line="320" w:lineRule="exact"/>
        <w:rPr>
          <w:sz w:val="24"/>
          <w:szCs w:val="24"/>
        </w:rPr>
      </w:pPr>
      <w:r w:rsidRPr="00C3310F">
        <w:rPr>
          <w:rFonts w:hint="eastAsia"/>
          <w:sz w:val="24"/>
          <w:szCs w:val="24"/>
        </w:rPr>
        <w:t>說明：定罪率=有罪人數/(有罪+無罪人數)*100%。</w:t>
      </w:r>
    </w:p>
    <w:p w14:paraId="7FC93DCB" w14:textId="77777777" w:rsidR="008456BE" w:rsidRPr="00C3310F" w:rsidRDefault="008456BE" w:rsidP="008456BE">
      <w:pPr>
        <w:pStyle w:val="4"/>
        <w:numPr>
          <w:ilvl w:val="0"/>
          <w:numId w:val="0"/>
        </w:numPr>
        <w:spacing w:afterLines="50" w:after="228" w:line="320" w:lineRule="exact"/>
        <w:ind w:leftChars="-1" w:left="-3" w:firstLine="1"/>
        <w:rPr>
          <w:sz w:val="24"/>
          <w:szCs w:val="24"/>
        </w:rPr>
      </w:pPr>
      <w:r w:rsidRPr="00C3310F">
        <w:rPr>
          <w:rFonts w:hint="eastAsia"/>
          <w:sz w:val="24"/>
          <w:szCs w:val="24"/>
        </w:rPr>
        <w:t>資料來源：法務部(</w:t>
      </w:r>
      <w:hyperlink r:id="rId21" w:history="1">
        <w:r w:rsidRPr="00C3310F">
          <w:rPr>
            <w:rStyle w:val="ae"/>
            <w:color w:val="auto"/>
            <w:sz w:val="24"/>
            <w:szCs w:val="24"/>
          </w:rPr>
          <w:t>https://www.rjsd.moj.gov.tw/RJSDWEB/visualize/</w:t>
        </w:r>
        <w:r w:rsidRPr="00C3310F">
          <w:rPr>
            <w:rStyle w:val="ae"/>
            <w:color w:val="auto"/>
            <w:sz w:val="24"/>
            <w:szCs w:val="24"/>
          </w:rPr>
          <w:br/>
          <w:t>Visualization.aspx?kind=PC&amp;d=12</w:t>
        </w:r>
      </w:hyperlink>
      <w:r w:rsidRPr="00C3310F">
        <w:rPr>
          <w:sz w:val="24"/>
          <w:szCs w:val="24"/>
        </w:rPr>
        <w:t>)</w:t>
      </w:r>
    </w:p>
    <w:p w14:paraId="66548A75" w14:textId="77777777" w:rsidR="00B06CC1" w:rsidRPr="00C3310F" w:rsidRDefault="00B06CC1" w:rsidP="00B06CC1">
      <w:pPr>
        <w:pStyle w:val="4"/>
        <w:numPr>
          <w:ilvl w:val="0"/>
          <w:numId w:val="0"/>
        </w:numPr>
        <w:spacing w:afterLines="50" w:after="228" w:line="320" w:lineRule="exact"/>
        <w:ind w:leftChars="567" w:left="2439" w:hanging="510"/>
        <w:rPr>
          <w:sz w:val="24"/>
          <w:szCs w:val="24"/>
        </w:rPr>
      </w:pPr>
    </w:p>
    <w:p w14:paraId="54509221" w14:textId="77777777" w:rsidR="00B06CC1" w:rsidRPr="00C3310F" w:rsidRDefault="00B06CC1" w:rsidP="00B06CC1">
      <w:pPr>
        <w:pStyle w:val="4"/>
        <w:numPr>
          <w:ilvl w:val="0"/>
          <w:numId w:val="0"/>
        </w:numPr>
        <w:spacing w:afterLines="50" w:after="228" w:line="320" w:lineRule="exact"/>
        <w:ind w:leftChars="567" w:left="2439" w:hanging="510"/>
        <w:rPr>
          <w:sz w:val="24"/>
          <w:szCs w:val="24"/>
        </w:rPr>
      </w:pPr>
    </w:p>
    <w:p w14:paraId="3202DDD9" w14:textId="77777777" w:rsidR="00B7077C" w:rsidRPr="00C3310F" w:rsidRDefault="00B7077C" w:rsidP="00B06CC1">
      <w:pPr>
        <w:pStyle w:val="4"/>
        <w:numPr>
          <w:ilvl w:val="0"/>
          <w:numId w:val="0"/>
        </w:numPr>
        <w:spacing w:afterLines="50" w:after="228" w:line="320" w:lineRule="exact"/>
        <w:ind w:leftChars="567" w:left="2439" w:hanging="510"/>
        <w:rPr>
          <w:sz w:val="24"/>
          <w:szCs w:val="24"/>
        </w:rPr>
      </w:pPr>
    </w:p>
    <w:p w14:paraId="330589DA" w14:textId="77777777" w:rsidR="008456BE" w:rsidRPr="00C3310F" w:rsidRDefault="008456BE" w:rsidP="008456BE">
      <w:pPr>
        <w:pStyle w:val="4"/>
      </w:pPr>
      <w:r w:rsidRPr="00C3310F">
        <w:rPr>
          <w:rFonts w:hint="eastAsia"/>
        </w:rPr>
        <w:lastRenderedPageBreak/>
        <w:t>政府懲治電信網路詐欺集團之情形(詳表</w:t>
      </w:r>
      <w:r w:rsidR="00B06CC1" w:rsidRPr="00C3310F">
        <w:rPr>
          <w:rFonts w:hint="eastAsia"/>
        </w:rPr>
        <w:t>7</w:t>
      </w:r>
      <w:r w:rsidRPr="00C3310F">
        <w:rPr>
          <w:rFonts w:hint="eastAsia"/>
        </w:rPr>
        <w:t>、圖</w:t>
      </w:r>
      <w:r w:rsidR="00B06CC1" w:rsidRPr="00C3310F">
        <w:rPr>
          <w:rFonts w:hint="eastAsia"/>
        </w:rPr>
        <w:t>7</w:t>
      </w:r>
      <w:r w:rsidRPr="00C3310F">
        <w:rPr>
          <w:rFonts w:hint="eastAsia"/>
        </w:rPr>
        <w:t>)</w:t>
      </w:r>
    </w:p>
    <w:p w14:paraId="768636A0" w14:textId="77777777" w:rsidR="008456BE" w:rsidRPr="00C3310F" w:rsidRDefault="008456BE" w:rsidP="008456BE">
      <w:pPr>
        <w:pStyle w:val="5"/>
      </w:pPr>
      <w:r w:rsidRPr="00C3310F">
        <w:rPr>
          <w:rFonts w:hint="eastAsia"/>
        </w:rPr>
        <w:t>109年判決6個月以下刑度者</w:t>
      </w:r>
      <w:r w:rsidR="00752EB4" w:rsidRPr="00C3310F">
        <w:rPr>
          <w:rFonts w:hint="eastAsia"/>
        </w:rPr>
        <w:t>占</w:t>
      </w:r>
      <w:r w:rsidRPr="00C3310F">
        <w:rPr>
          <w:rFonts w:hint="eastAsia"/>
        </w:rPr>
        <w:t>全體有罪判決35.8%(4</w:t>
      </w:r>
      <w:r w:rsidRPr="00C3310F">
        <w:t>,</w:t>
      </w:r>
      <w:r w:rsidRPr="00C3310F">
        <w:rPr>
          <w:rFonts w:hint="eastAsia"/>
        </w:rPr>
        <w:t>758/13</w:t>
      </w:r>
      <w:r w:rsidRPr="00C3310F">
        <w:t>,</w:t>
      </w:r>
      <w:r w:rsidRPr="00C3310F">
        <w:rPr>
          <w:rFonts w:hint="eastAsia"/>
        </w:rPr>
        <w:t>272)</w:t>
      </w:r>
      <w:r w:rsidR="00B06CC1" w:rsidRPr="00C3310F">
        <w:rPr>
          <w:rFonts w:hint="eastAsia"/>
        </w:rPr>
        <w:t>。</w:t>
      </w:r>
    </w:p>
    <w:p w14:paraId="15EA8E71" w14:textId="38DE6913" w:rsidR="008456BE" w:rsidRPr="00C3310F" w:rsidRDefault="008456BE" w:rsidP="008456BE">
      <w:pPr>
        <w:pStyle w:val="5"/>
      </w:pPr>
      <w:r w:rsidRPr="00C3310F">
        <w:rPr>
          <w:rFonts w:hint="eastAsia"/>
        </w:rPr>
        <w:t>112年1至9月，判決6個月以下刑度之比率已成長61.7%(12</w:t>
      </w:r>
      <w:r w:rsidRPr="00C3310F">
        <w:t>,</w:t>
      </w:r>
      <w:r w:rsidRPr="00C3310F">
        <w:rPr>
          <w:rFonts w:hint="eastAsia"/>
        </w:rPr>
        <w:t>380/20</w:t>
      </w:r>
      <w:r w:rsidRPr="00C3310F">
        <w:t>,</w:t>
      </w:r>
      <w:r w:rsidRPr="00C3310F">
        <w:rPr>
          <w:rFonts w:hint="eastAsia"/>
        </w:rPr>
        <w:t>053)。</w:t>
      </w:r>
    </w:p>
    <w:p w14:paraId="62673155" w14:textId="77777777" w:rsidR="008456BE" w:rsidRPr="00C3310F" w:rsidRDefault="008456BE" w:rsidP="008456BE">
      <w:pPr>
        <w:pStyle w:val="a3"/>
        <w:spacing w:after="120"/>
        <w:jc w:val="center"/>
        <w:rPr>
          <w:rFonts w:hint="eastAsia"/>
          <w:b/>
        </w:rPr>
      </w:pPr>
      <w:bookmarkStart w:id="389" w:name="_Toc172025211"/>
      <w:r w:rsidRPr="00C3310F">
        <w:rPr>
          <w:rFonts w:hint="eastAsia"/>
          <w:b/>
        </w:rPr>
        <w:t>地檢署電信網路詐欺案件-執行裁判確定人數(人)</w:t>
      </w:r>
      <w:bookmarkEnd w:id="389"/>
    </w:p>
    <w:tbl>
      <w:tblPr>
        <w:tblStyle w:val="af7"/>
        <w:tblW w:w="10336" w:type="dxa"/>
        <w:tblInd w:w="-851" w:type="dxa"/>
        <w:tblLook w:val="04A0" w:firstRow="1" w:lastRow="0" w:firstColumn="1" w:lastColumn="0" w:noHBand="0" w:noVBand="1"/>
      </w:tblPr>
      <w:tblGrid>
        <w:gridCol w:w="1608"/>
        <w:gridCol w:w="1117"/>
        <w:gridCol w:w="1011"/>
        <w:gridCol w:w="997"/>
        <w:gridCol w:w="885"/>
        <w:gridCol w:w="885"/>
        <w:gridCol w:w="967"/>
        <w:gridCol w:w="915"/>
        <w:gridCol w:w="833"/>
        <w:gridCol w:w="1118"/>
      </w:tblGrid>
      <w:tr w:rsidR="00C3310F" w:rsidRPr="00C3310F" w14:paraId="4A3C3BB3" w14:textId="77777777" w:rsidTr="00301D07">
        <w:trPr>
          <w:trHeight w:val="683"/>
        </w:trPr>
        <w:tc>
          <w:tcPr>
            <w:tcW w:w="1614" w:type="dxa"/>
          </w:tcPr>
          <w:p w14:paraId="2BDC7122" w14:textId="77777777" w:rsidR="008456BE" w:rsidRPr="00C3310F" w:rsidRDefault="008456BE" w:rsidP="00301D07">
            <w:pPr>
              <w:pStyle w:val="4"/>
              <w:numPr>
                <w:ilvl w:val="0"/>
                <w:numId w:val="0"/>
              </w:numPr>
              <w:rPr>
                <w:rFonts w:hAnsi="標楷體"/>
                <w:sz w:val="28"/>
                <w:szCs w:val="28"/>
              </w:rPr>
            </w:pPr>
            <w:r w:rsidRPr="00C3310F">
              <w:rPr>
                <w:rFonts w:hAnsi="標楷體" w:hint="eastAsia"/>
                <w:sz w:val="28"/>
                <w:szCs w:val="28"/>
              </w:rPr>
              <w:t>年度</w:t>
            </w:r>
          </w:p>
        </w:tc>
        <w:tc>
          <w:tcPr>
            <w:tcW w:w="1101" w:type="dxa"/>
          </w:tcPr>
          <w:p w14:paraId="42ECE45E" w14:textId="77777777" w:rsidR="008456BE" w:rsidRPr="00C3310F" w:rsidRDefault="008456BE" w:rsidP="00301D07">
            <w:pPr>
              <w:pStyle w:val="4"/>
              <w:numPr>
                <w:ilvl w:val="0"/>
                <w:numId w:val="0"/>
              </w:numPr>
              <w:rPr>
                <w:rFonts w:hAnsi="標楷體"/>
                <w:sz w:val="28"/>
                <w:szCs w:val="28"/>
              </w:rPr>
            </w:pPr>
            <w:r w:rsidRPr="00C3310F">
              <w:rPr>
                <w:rFonts w:hAnsi="標楷體" w:hint="eastAsia"/>
                <w:sz w:val="28"/>
                <w:szCs w:val="28"/>
              </w:rPr>
              <w:t>6月以下</w:t>
            </w:r>
          </w:p>
        </w:tc>
        <w:tc>
          <w:tcPr>
            <w:tcW w:w="1018" w:type="dxa"/>
          </w:tcPr>
          <w:p w14:paraId="1501BAC6" w14:textId="77777777" w:rsidR="008456BE" w:rsidRPr="00C3310F" w:rsidRDefault="008456BE" w:rsidP="00301D07">
            <w:pPr>
              <w:pStyle w:val="4"/>
              <w:numPr>
                <w:ilvl w:val="0"/>
                <w:numId w:val="0"/>
              </w:numPr>
              <w:rPr>
                <w:rFonts w:hAnsi="標楷體"/>
                <w:sz w:val="28"/>
                <w:szCs w:val="28"/>
              </w:rPr>
            </w:pPr>
            <w:r w:rsidRPr="00C3310F">
              <w:rPr>
                <w:rFonts w:hAnsi="標楷體" w:hint="eastAsia"/>
                <w:sz w:val="28"/>
                <w:szCs w:val="28"/>
              </w:rPr>
              <w:t>逾6月-1年未滿</w:t>
            </w:r>
          </w:p>
        </w:tc>
        <w:tc>
          <w:tcPr>
            <w:tcW w:w="997" w:type="dxa"/>
          </w:tcPr>
          <w:p w14:paraId="7E67027C" w14:textId="77777777" w:rsidR="008456BE" w:rsidRPr="00C3310F" w:rsidRDefault="008456BE" w:rsidP="00301D07">
            <w:pPr>
              <w:pStyle w:val="4"/>
              <w:numPr>
                <w:ilvl w:val="0"/>
                <w:numId w:val="0"/>
              </w:numPr>
              <w:rPr>
                <w:rFonts w:hAnsi="標楷體"/>
                <w:sz w:val="28"/>
                <w:szCs w:val="28"/>
              </w:rPr>
            </w:pPr>
            <w:r w:rsidRPr="00C3310F">
              <w:rPr>
                <w:rFonts w:hAnsi="標楷體" w:hint="eastAsia"/>
                <w:sz w:val="28"/>
                <w:szCs w:val="28"/>
              </w:rPr>
              <w:t>1年-2年未滿</w:t>
            </w:r>
          </w:p>
        </w:tc>
        <w:tc>
          <w:tcPr>
            <w:tcW w:w="888" w:type="dxa"/>
          </w:tcPr>
          <w:p w14:paraId="50D756F7" w14:textId="77777777" w:rsidR="008456BE" w:rsidRPr="00C3310F" w:rsidRDefault="008456BE" w:rsidP="00301D07">
            <w:pPr>
              <w:pStyle w:val="4"/>
              <w:numPr>
                <w:ilvl w:val="0"/>
                <w:numId w:val="0"/>
              </w:numPr>
              <w:rPr>
                <w:rFonts w:hAnsi="標楷體"/>
                <w:sz w:val="28"/>
                <w:szCs w:val="28"/>
              </w:rPr>
            </w:pPr>
            <w:r w:rsidRPr="00C3310F">
              <w:rPr>
                <w:rFonts w:hAnsi="標楷體" w:hint="eastAsia"/>
                <w:sz w:val="28"/>
                <w:szCs w:val="28"/>
              </w:rPr>
              <w:t>2年-3年未滿</w:t>
            </w:r>
          </w:p>
        </w:tc>
        <w:tc>
          <w:tcPr>
            <w:tcW w:w="888" w:type="dxa"/>
          </w:tcPr>
          <w:p w14:paraId="70302EC0" w14:textId="77777777" w:rsidR="008456BE" w:rsidRPr="00C3310F" w:rsidRDefault="008456BE" w:rsidP="00301D07">
            <w:pPr>
              <w:pStyle w:val="4"/>
              <w:numPr>
                <w:ilvl w:val="0"/>
                <w:numId w:val="0"/>
              </w:numPr>
              <w:rPr>
                <w:rFonts w:hAnsi="標楷體"/>
                <w:sz w:val="28"/>
                <w:szCs w:val="28"/>
              </w:rPr>
            </w:pPr>
            <w:r w:rsidRPr="00C3310F">
              <w:rPr>
                <w:rFonts w:hAnsi="標楷體" w:hint="eastAsia"/>
                <w:sz w:val="28"/>
                <w:szCs w:val="28"/>
              </w:rPr>
              <w:t>3年以上</w:t>
            </w:r>
          </w:p>
        </w:tc>
        <w:tc>
          <w:tcPr>
            <w:tcW w:w="953" w:type="dxa"/>
          </w:tcPr>
          <w:p w14:paraId="037E609C" w14:textId="77777777" w:rsidR="008456BE" w:rsidRPr="00C3310F" w:rsidRDefault="008456BE" w:rsidP="00301D07">
            <w:pPr>
              <w:pStyle w:val="4"/>
              <w:numPr>
                <w:ilvl w:val="0"/>
                <w:numId w:val="0"/>
              </w:numPr>
              <w:rPr>
                <w:rFonts w:hAnsi="標楷體"/>
                <w:sz w:val="28"/>
                <w:szCs w:val="28"/>
              </w:rPr>
            </w:pPr>
            <w:r w:rsidRPr="00C3310F">
              <w:rPr>
                <w:rFonts w:hAnsi="標楷體" w:hint="eastAsia"/>
                <w:sz w:val="28"/>
                <w:szCs w:val="28"/>
              </w:rPr>
              <w:t>拘役</w:t>
            </w:r>
          </w:p>
        </w:tc>
        <w:tc>
          <w:tcPr>
            <w:tcW w:w="921" w:type="dxa"/>
          </w:tcPr>
          <w:p w14:paraId="224CE0AB" w14:textId="77777777" w:rsidR="008456BE" w:rsidRPr="00C3310F" w:rsidRDefault="008456BE" w:rsidP="00301D07">
            <w:pPr>
              <w:pStyle w:val="4"/>
              <w:numPr>
                <w:ilvl w:val="0"/>
                <w:numId w:val="0"/>
              </w:numPr>
              <w:rPr>
                <w:rFonts w:hAnsi="標楷體"/>
                <w:sz w:val="28"/>
                <w:szCs w:val="28"/>
              </w:rPr>
            </w:pPr>
            <w:r w:rsidRPr="00C3310F">
              <w:rPr>
                <w:rFonts w:hAnsi="標楷體" w:hint="eastAsia"/>
                <w:sz w:val="28"/>
                <w:szCs w:val="28"/>
              </w:rPr>
              <w:t>罰金</w:t>
            </w:r>
          </w:p>
        </w:tc>
        <w:tc>
          <w:tcPr>
            <w:tcW w:w="838" w:type="dxa"/>
          </w:tcPr>
          <w:p w14:paraId="7A53C919" w14:textId="77777777" w:rsidR="008456BE" w:rsidRPr="00C3310F" w:rsidRDefault="008456BE" w:rsidP="00301D07">
            <w:pPr>
              <w:pStyle w:val="4"/>
              <w:numPr>
                <w:ilvl w:val="0"/>
                <w:numId w:val="0"/>
              </w:numPr>
              <w:rPr>
                <w:rFonts w:hAnsi="標楷體"/>
                <w:sz w:val="28"/>
                <w:szCs w:val="28"/>
              </w:rPr>
            </w:pPr>
            <w:r w:rsidRPr="00C3310F">
              <w:rPr>
                <w:rFonts w:hAnsi="標楷體" w:hint="eastAsia"/>
                <w:sz w:val="28"/>
                <w:szCs w:val="28"/>
              </w:rPr>
              <w:t>免除其刑</w:t>
            </w:r>
          </w:p>
        </w:tc>
        <w:tc>
          <w:tcPr>
            <w:tcW w:w="1118" w:type="dxa"/>
          </w:tcPr>
          <w:p w14:paraId="7B56C122" w14:textId="77777777" w:rsidR="008456BE" w:rsidRPr="00C3310F" w:rsidRDefault="008456BE" w:rsidP="00301D07">
            <w:pPr>
              <w:pStyle w:val="4"/>
              <w:numPr>
                <w:ilvl w:val="0"/>
                <w:numId w:val="0"/>
              </w:numPr>
              <w:rPr>
                <w:rFonts w:hAnsi="標楷體"/>
                <w:sz w:val="28"/>
                <w:szCs w:val="28"/>
              </w:rPr>
            </w:pPr>
            <w:r w:rsidRPr="00C3310F">
              <w:rPr>
                <w:rFonts w:hAnsi="標楷體" w:hint="eastAsia"/>
                <w:sz w:val="28"/>
                <w:szCs w:val="28"/>
              </w:rPr>
              <w:t>有罪合計</w:t>
            </w:r>
          </w:p>
        </w:tc>
      </w:tr>
      <w:tr w:rsidR="00C3310F" w:rsidRPr="00C3310F" w14:paraId="25B71FE6" w14:textId="77777777" w:rsidTr="00301D07">
        <w:trPr>
          <w:trHeight w:val="347"/>
        </w:trPr>
        <w:tc>
          <w:tcPr>
            <w:tcW w:w="1614" w:type="dxa"/>
          </w:tcPr>
          <w:p w14:paraId="03CB0FBB" w14:textId="77777777" w:rsidR="008456BE" w:rsidRPr="00C3310F" w:rsidRDefault="008456BE" w:rsidP="00301D07">
            <w:pPr>
              <w:pStyle w:val="4"/>
              <w:numPr>
                <w:ilvl w:val="0"/>
                <w:numId w:val="0"/>
              </w:numPr>
              <w:rPr>
                <w:rFonts w:hAnsi="標楷體"/>
                <w:sz w:val="28"/>
                <w:szCs w:val="28"/>
              </w:rPr>
            </w:pPr>
            <w:r w:rsidRPr="00C3310F">
              <w:rPr>
                <w:rFonts w:hAnsi="標楷體" w:hint="eastAsia"/>
                <w:sz w:val="28"/>
                <w:szCs w:val="28"/>
              </w:rPr>
              <w:t>109</w:t>
            </w:r>
          </w:p>
        </w:tc>
        <w:tc>
          <w:tcPr>
            <w:tcW w:w="1101" w:type="dxa"/>
          </w:tcPr>
          <w:p w14:paraId="20273A46" w14:textId="77777777" w:rsidR="008456BE" w:rsidRPr="00C3310F" w:rsidRDefault="008456BE" w:rsidP="00301D07">
            <w:pPr>
              <w:pStyle w:val="4"/>
              <w:numPr>
                <w:ilvl w:val="0"/>
                <w:numId w:val="0"/>
              </w:numPr>
              <w:jc w:val="right"/>
              <w:rPr>
                <w:rFonts w:hAnsi="標楷體"/>
                <w:sz w:val="28"/>
                <w:szCs w:val="28"/>
              </w:rPr>
            </w:pPr>
            <w:r w:rsidRPr="00C3310F">
              <w:rPr>
                <w:rFonts w:hAnsi="標楷體" w:hint="eastAsia"/>
                <w:sz w:val="28"/>
                <w:szCs w:val="28"/>
              </w:rPr>
              <w:t>4</w:t>
            </w:r>
            <w:r w:rsidRPr="00C3310F">
              <w:rPr>
                <w:rFonts w:hAnsi="標楷體"/>
                <w:sz w:val="28"/>
                <w:szCs w:val="28"/>
              </w:rPr>
              <w:t>,</w:t>
            </w:r>
            <w:r w:rsidRPr="00C3310F">
              <w:rPr>
                <w:rFonts w:hAnsi="標楷體" w:hint="eastAsia"/>
                <w:sz w:val="28"/>
                <w:szCs w:val="28"/>
              </w:rPr>
              <w:t>758</w:t>
            </w:r>
          </w:p>
        </w:tc>
        <w:tc>
          <w:tcPr>
            <w:tcW w:w="1018" w:type="dxa"/>
          </w:tcPr>
          <w:p w14:paraId="1BF351E5" w14:textId="77777777" w:rsidR="008456BE" w:rsidRPr="00C3310F" w:rsidRDefault="008456BE" w:rsidP="00301D07">
            <w:pPr>
              <w:pStyle w:val="4"/>
              <w:numPr>
                <w:ilvl w:val="0"/>
                <w:numId w:val="0"/>
              </w:numPr>
              <w:jc w:val="right"/>
              <w:rPr>
                <w:rFonts w:hAnsi="標楷體"/>
                <w:sz w:val="28"/>
                <w:szCs w:val="28"/>
              </w:rPr>
            </w:pPr>
            <w:r w:rsidRPr="00C3310F">
              <w:rPr>
                <w:rFonts w:hAnsi="標楷體" w:hint="eastAsia"/>
                <w:sz w:val="28"/>
                <w:szCs w:val="28"/>
              </w:rPr>
              <w:t>651</w:t>
            </w:r>
          </w:p>
        </w:tc>
        <w:tc>
          <w:tcPr>
            <w:tcW w:w="997" w:type="dxa"/>
          </w:tcPr>
          <w:p w14:paraId="60997616" w14:textId="77777777" w:rsidR="008456BE" w:rsidRPr="00C3310F" w:rsidRDefault="008456BE" w:rsidP="00301D07">
            <w:pPr>
              <w:pStyle w:val="4"/>
              <w:numPr>
                <w:ilvl w:val="0"/>
                <w:numId w:val="0"/>
              </w:numPr>
              <w:jc w:val="right"/>
              <w:rPr>
                <w:rFonts w:hAnsi="標楷體"/>
                <w:sz w:val="28"/>
                <w:szCs w:val="28"/>
              </w:rPr>
            </w:pPr>
            <w:r w:rsidRPr="00C3310F">
              <w:rPr>
                <w:rFonts w:hAnsi="標楷體" w:hint="eastAsia"/>
                <w:sz w:val="28"/>
                <w:szCs w:val="28"/>
              </w:rPr>
              <w:t>4</w:t>
            </w:r>
            <w:r w:rsidRPr="00C3310F">
              <w:rPr>
                <w:rFonts w:hAnsi="標楷體"/>
                <w:sz w:val="28"/>
                <w:szCs w:val="28"/>
              </w:rPr>
              <w:t>,</w:t>
            </w:r>
            <w:r w:rsidRPr="00C3310F">
              <w:rPr>
                <w:rFonts w:hAnsi="標楷體" w:hint="eastAsia"/>
                <w:sz w:val="28"/>
                <w:szCs w:val="28"/>
              </w:rPr>
              <w:t>996</w:t>
            </w:r>
          </w:p>
        </w:tc>
        <w:tc>
          <w:tcPr>
            <w:tcW w:w="888" w:type="dxa"/>
          </w:tcPr>
          <w:p w14:paraId="7A541729" w14:textId="77777777" w:rsidR="008456BE" w:rsidRPr="00C3310F" w:rsidRDefault="008456BE" w:rsidP="00301D07">
            <w:pPr>
              <w:pStyle w:val="4"/>
              <w:numPr>
                <w:ilvl w:val="0"/>
                <w:numId w:val="0"/>
              </w:numPr>
              <w:jc w:val="right"/>
              <w:rPr>
                <w:rFonts w:hAnsi="標楷體"/>
                <w:sz w:val="28"/>
                <w:szCs w:val="28"/>
              </w:rPr>
            </w:pPr>
            <w:r w:rsidRPr="00C3310F">
              <w:rPr>
                <w:rFonts w:hAnsi="標楷體" w:hint="eastAsia"/>
                <w:sz w:val="28"/>
                <w:szCs w:val="28"/>
              </w:rPr>
              <w:t>329</w:t>
            </w:r>
          </w:p>
        </w:tc>
        <w:tc>
          <w:tcPr>
            <w:tcW w:w="888" w:type="dxa"/>
          </w:tcPr>
          <w:p w14:paraId="070972B0" w14:textId="77777777" w:rsidR="008456BE" w:rsidRPr="00C3310F" w:rsidRDefault="008456BE" w:rsidP="00301D07">
            <w:pPr>
              <w:pStyle w:val="4"/>
              <w:numPr>
                <w:ilvl w:val="0"/>
                <w:numId w:val="0"/>
              </w:numPr>
              <w:jc w:val="right"/>
              <w:rPr>
                <w:rFonts w:hAnsi="標楷體"/>
                <w:sz w:val="28"/>
                <w:szCs w:val="28"/>
              </w:rPr>
            </w:pPr>
            <w:r w:rsidRPr="00C3310F">
              <w:rPr>
                <w:rFonts w:hAnsi="標楷體" w:hint="eastAsia"/>
                <w:sz w:val="28"/>
                <w:szCs w:val="28"/>
              </w:rPr>
              <w:t>76</w:t>
            </w:r>
          </w:p>
        </w:tc>
        <w:tc>
          <w:tcPr>
            <w:tcW w:w="953" w:type="dxa"/>
          </w:tcPr>
          <w:p w14:paraId="108187E8" w14:textId="77777777" w:rsidR="008456BE" w:rsidRPr="00C3310F" w:rsidRDefault="008456BE" w:rsidP="00301D07">
            <w:pPr>
              <w:pStyle w:val="4"/>
              <w:numPr>
                <w:ilvl w:val="0"/>
                <w:numId w:val="0"/>
              </w:numPr>
              <w:jc w:val="right"/>
              <w:rPr>
                <w:rFonts w:hAnsi="標楷體"/>
                <w:sz w:val="28"/>
                <w:szCs w:val="28"/>
              </w:rPr>
            </w:pPr>
            <w:r w:rsidRPr="00C3310F">
              <w:rPr>
                <w:rFonts w:hAnsi="標楷體" w:hint="eastAsia"/>
                <w:sz w:val="28"/>
                <w:szCs w:val="28"/>
              </w:rPr>
              <w:t>2</w:t>
            </w:r>
            <w:r w:rsidRPr="00C3310F">
              <w:rPr>
                <w:rFonts w:hAnsi="標楷體"/>
                <w:sz w:val="28"/>
                <w:szCs w:val="28"/>
              </w:rPr>
              <w:t>,</w:t>
            </w:r>
            <w:r w:rsidRPr="00C3310F">
              <w:rPr>
                <w:rFonts w:hAnsi="標楷體" w:hint="eastAsia"/>
                <w:sz w:val="28"/>
                <w:szCs w:val="28"/>
              </w:rPr>
              <w:t>415</w:t>
            </w:r>
          </w:p>
        </w:tc>
        <w:tc>
          <w:tcPr>
            <w:tcW w:w="921" w:type="dxa"/>
          </w:tcPr>
          <w:p w14:paraId="54478B13" w14:textId="77777777" w:rsidR="008456BE" w:rsidRPr="00C3310F" w:rsidRDefault="008456BE" w:rsidP="00301D07">
            <w:pPr>
              <w:pStyle w:val="4"/>
              <w:numPr>
                <w:ilvl w:val="0"/>
                <w:numId w:val="0"/>
              </w:numPr>
              <w:jc w:val="right"/>
              <w:rPr>
                <w:rFonts w:hAnsi="標楷體"/>
                <w:sz w:val="28"/>
                <w:szCs w:val="28"/>
              </w:rPr>
            </w:pPr>
            <w:r w:rsidRPr="00C3310F">
              <w:rPr>
                <w:rFonts w:hAnsi="標楷體" w:hint="eastAsia"/>
                <w:sz w:val="28"/>
                <w:szCs w:val="28"/>
              </w:rPr>
              <w:t>37</w:t>
            </w:r>
          </w:p>
        </w:tc>
        <w:tc>
          <w:tcPr>
            <w:tcW w:w="838" w:type="dxa"/>
          </w:tcPr>
          <w:p w14:paraId="57AF2FCB" w14:textId="77777777" w:rsidR="008456BE" w:rsidRPr="00C3310F" w:rsidRDefault="008456BE" w:rsidP="00301D07">
            <w:pPr>
              <w:pStyle w:val="4"/>
              <w:numPr>
                <w:ilvl w:val="0"/>
                <w:numId w:val="0"/>
              </w:numPr>
              <w:jc w:val="right"/>
              <w:rPr>
                <w:rFonts w:hAnsi="標楷體"/>
                <w:sz w:val="28"/>
                <w:szCs w:val="28"/>
              </w:rPr>
            </w:pPr>
            <w:r w:rsidRPr="00C3310F">
              <w:rPr>
                <w:rFonts w:hAnsi="標楷體" w:hint="eastAsia"/>
                <w:sz w:val="28"/>
                <w:szCs w:val="28"/>
              </w:rPr>
              <w:t>10</w:t>
            </w:r>
          </w:p>
        </w:tc>
        <w:tc>
          <w:tcPr>
            <w:tcW w:w="1118" w:type="dxa"/>
          </w:tcPr>
          <w:p w14:paraId="76C95B0E" w14:textId="77777777" w:rsidR="008456BE" w:rsidRPr="00C3310F" w:rsidRDefault="008456BE" w:rsidP="00301D07">
            <w:pPr>
              <w:pStyle w:val="4"/>
              <w:numPr>
                <w:ilvl w:val="0"/>
                <w:numId w:val="0"/>
              </w:numPr>
              <w:jc w:val="right"/>
              <w:rPr>
                <w:rFonts w:hAnsi="標楷體"/>
                <w:sz w:val="28"/>
                <w:szCs w:val="28"/>
              </w:rPr>
            </w:pPr>
            <w:r w:rsidRPr="00C3310F">
              <w:rPr>
                <w:rFonts w:hAnsi="標楷體" w:hint="eastAsia"/>
                <w:sz w:val="28"/>
                <w:szCs w:val="28"/>
              </w:rPr>
              <w:t>13</w:t>
            </w:r>
            <w:r w:rsidRPr="00C3310F">
              <w:rPr>
                <w:rFonts w:hAnsi="標楷體"/>
                <w:sz w:val="28"/>
                <w:szCs w:val="28"/>
              </w:rPr>
              <w:t>,</w:t>
            </w:r>
            <w:r w:rsidRPr="00C3310F">
              <w:rPr>
                <w:rFonts w:hAnsi="標楷體" w:hint="eastAsia"/>
                <w:sz w:val="28"/>
                <w:szCs w:val="28"/>
              </w:rPr>
              <w:t>272</w:t>
            </w:r>
          </w:p>
        </w:tc>
      </w:tr>
      <w:tr w:rsidR="00C3310F" w:rsidRPr="00C3310F" w14:paraId="19EDC21D" w14:textId="77777777" w:rsidTr="00301D07">
        <w:trPr>
          <w:trHeight w:val="347"/>
        </w:trPr>
        <w:tc>
          <w:tcPr>
            <w:tcW w:w="1614" w:type="dxa"/>
          </w:tcPr>
          <w:p w14:paraId="7D4F7F1C" w14:textId="77777777" w:rsidR="008456BE" w:rsidRPr="00C3310F" w:rsidRDefault="008456BE" w:rsidP="00301D07">
            <w:pPr>
              <w:pStyle w:val="4"/>
              <w:numPr>
                <w:ilvl w:val="0"/>
                <w:numId w:val="0"/>
              </w:numPr>
              <w:rPr>
                <w:rFonts w:hAnsi="標楷體"/>
                <w:sz w:val="28"/>
                <w:szCs w:val="28"/>
              </w:rPr>
            </w:pPr>
            <w:r w:rsidRPr="00C3310F">
              <w:rPr>
                <w:rFonts w:hAnsi="標楷體" w:hint="eastAsia"/>
                <w:sz w:val="28"/>
                <w:szCs w:val="28"/>
              </w:rPr>
              <w:t>110</w:t>
            </w:r>
          </w:p>
        </w:tc>
        <w:tc>
          <w:tcPr>
            <w:tcW w:w="1101" w:type="dxa"/>
          </w:tcPr>
          <w:p w14:paraId="6DCC5D17" w14:textId="77777777" w:rsidR="008456BE" w:rsidRPr="00C3310F" w:rsidRDefault="008456BE" w:rsidP="00301D07">
            <w:pPr>
              <w:pStyle w:val="4"/>
              <w:numPr>
                <w:ilvl w:val="0"/>
                <w:numId w:val="0"/>
              </w:numPr>
              <w:jc w:val="right"/>
              <w:rPr>
                <w:rFonts w:hAnsi="標楷體"/>
                <w:sz w:val="28"/>
                <w:szCs w:val="28"/>
              </w:rPr>
            </w:pPr>
            <w:r w:rsidRPr="00C3310F">
              <w:rPr>
                <w:rFonts w:hAnsi="標楷體" w:hint="eastAsia"/>
                <w:sz w:val="28"/>
                <w:szCs w:val="28"/>
              </w:rPr>
              <w:t>4</w:t>
            </w:r>
            <w:r w:rsidRPr="00C3310F">
              <w:rPr>
                <w:rFonts w:hAnsi="標楷體"/>
                <w:sz w:val="28"/>
                <w:szCs w:val="28"/>
              </w:rPr>
              <w:t>,</w:t>
            </w:r>
            <w:r w:rsidRPr="00C3310F">
              <w:rPr>
                <w:rFonts w:hAnsi="標楷體" w:hint="eastAsia"/>
                <w:sz w:val="28"/>
                <w:szCs w:val="28"/>
              </w:rPr>
              <w:t>247</w:t>
            </w:r>
          </w:p>
        </w:tc>
        <w:tc>
          <w:tcPr>
            <w:tcW w:w="1018" w:type="dxa"/>
          </w:tcPr>
          <w:p w14:paraId="541C2860" w14:textId="77777777" w:rsidR="008456BE" w:rsidRPr="00C3310F" w:rsidRDefault="008456BE" w:rsidP="00301D07">
            <w:pPr>
              <w:pStyle w:val="4"/>
              <w:numPr>
                <w:ilvl w:val="0"/>
                <w:numId w:val="0"/>
              </w:numPr>
              <w:jc w:val="right"/>
              <w:rPr>
                <w:rFonts w:hAnsi="標楷體"/>
                <w:sz w:val="28"/>
                <w:szCs w:val="28"/>
              </w:rPr>
            </w:pPr>
            <w:r w:rsidRPr="00C3310F">
              <w:rPr>
                <w:rFonts w:hAnsi="標楷體" w:hint="eastAsia"/>
                <w:sz w:val="28"/>
                <w:szCs w:val="28"/>
              </w:rPr>
              <w:t>514</w:t>
            </w:r>
          </w:p>
        </w:tc>
        <w:tc>
          <w:tcPr>
            <w:tcW w:w="997" w:type="dxa"/>
          </w:tcPr>
          <w:p w14:paraId="5745CFCD" w14:textId="77777777" w:rsidR="008456BE" w:rsidRPr="00C3310F" w:rsidRDefault="008456BE" w:rsidP="00301D07">
            <w:pPr>
              <w:pStyle w:val="4"/>
              <w:numPr>
                <w:ilvl w:val="0"/>
                <w:numId w:val="0"/>
              </w:numPr>
              <w:jc w:val="right"/>
              <w:rPr>
                <w:rFonts w:hAnsi="標楷體"/>
                <w:sz w:val="28"/>
                <w:szCs w:val="28"/>
              </w:rPr>
            </w:pPr>
            <w:r w:rsidRPr="00C3310F">
              <w:rPr>
                <w:rFonts w:hAnsi="標楷體" w:hint="eastAsia"/>
                <w:sz w:val="28"/>
                <w:szCs w:val="28"/>
              </w:rPr>
              <w:t>5</w:t>
            </w:r>
            <w:r w:rsidRPr="00C3310F">
              <w:rPr>
                <w:rFonts w:hAnsi="標楷體"/>
                <w:sz w:val="28"/>
                <w:szCs w:val="28"/>
              </w:rPr>
              <w:t>,</w:t>
            </w:r>
            <w:r w:rsidRPr="00C3310F">
              <w:rPr>
                <w:rFonts w:hAnsi="標楷體" w:hint="eastAsia"/>
                <w:sz w:val="28"/>
                <w:szCs w:val="28"/>
              </w:rPr>
              <w:t>742</w:t>
            </w:r>
          </w:p>
        </w:tc>
        <w:tc>
          <w:tcPr>
            <w:tcW w:w="888" w:type="dxa"/>
          </w:tcPr>
          <w:p w14:paraId="2C41DF03" w14:textId="77777777" w:rsidR="008456BE" w:rsidRPr="00C3310F" w:rsidRDefault="008456BE" w:rsidP="00301D07">
            <w:pPr>
              <w:pStyle w:val="4"/>
              <w:numPr>
                <w:ilvl w:val="0"/>
                <w:numId w:val="0"/>
              </w:numPr>
              <w:jc w:val="right"/>
              <w:rPr>
                <w:rFonts w:hAnsi="標楷體"/>
                <w:sz w:val="28"/>
                <w:szCs w:val="28"/>
              </w:rPr>
            </w:pPr>
            <w:r w:rsidRPr="00C3310F">
              <w:rPr>
                <w:rFonts w:hAnsi="標楷體" w:hint="eastAsia"/>
                <w:sz w:val="28"/>
                <w:szCs w:val="28"/>
              </w:rPr>
              <w:t>284</w:t>
            </w:r>
          </w:p>
        </w:tc>
        <w:tc>
          <w:tcPr>
            <w:tcW w:w="888" w:type="dxa"/>
          </w:tcPr>
          <w:p w14:paraId="7615535F" w14:textId="77777777" w:rsidR="008456BE" w:rsidRPr="00C3310F" w:rsidRDefault="008456BE" w:rsidP="00301D07">
            <w:pPr>
              <w:pStyle w:val="4"/>
              <w:numPr>
                <w:ilvl w:val="0"/>
                <w:numId w:val="0"/>
              </w:numPr>
              <w:jc w:val="right"/>
              <w:rPr>
                <w:rFonts w:hAnsi="標楷體"/>
                <w:sz w:val="28"/>
                <w:szCs w:val="28"/>
              </w:rPr>
            </w:pPr>
            <w:r w:rsidRPr="00C3310F">
              <w:rPr>
                <w:rFonts w:hAnsi="標楷體" w:hint="eastAsia"/>
                <w:sz w:val="28"/>
                <w:szCs w:val="28"/>
              </w:rPr>
              <w:t>117</w:t>
            </w:r>
          </w:p>
        </w:tc>
        <w:tc>
          <w:tcPr>
            <w:tcW w:w="953" w:type="dxa"/>
          </w:tcPr>
          <w:p w14:paraId="2B2C692F" w14:textId="77777777" w:rsidR="008456BE" w:rsidRPr="00C3310F" w:rsidRDefault="008456BE" w:rsidP="00301D07">
            <w:pPr>
              <w:pStyle w:val="4"/>
              <w:numPr>
                <w:ilvl w:val="0"/>
                <w:numId w:val="0"/>
              </w:numPr>
              <w:jc w:val="right"/>
              <w:rPr>
                <w:rFonts w:hAnsi="標楷體"/>
                <w:sz w:val="28"/>
                <w:szCs w:val="28"/>
              </w:rPr>
            </w:pPr>
            <w:r w:rsidRPr="00C3310F">
              <w:rPr>
                <w:rFonts w:hAnsi="標楷體" w:hint="eastAsia"/>
                <w:sz w:val="28"/>
                <w:szCs w:val="28"/>
              </w:rPr>
              <w:t>1</w:t>
            </w:r>
            <w:r w:rsidRPr="00C3310F">
              <w:rPr>
                <w:rFonts w:hAnsi="標楷體"/>
                <w:sz w:val="28"/>
                <w:szCs w:val="28"/>
              </w:rPr>
              <w:t>,</w:t>
            </w:r>
            <w:r w:rsidRPr="00C3310F">
              <w:rPr>
                <w:rFonts w:hAnsi="標楷體" w:hint="eastAsia"/>
                <w:sz w:val="28"/>
                <w:szCs w:val="28"/>
              </w:rPr>
              <w:t>661</w:t>
            </w:r>
          </w:p>
        </w:tc>
        <w:tc>
          <w:tcPr>
            <w:tcW w:w="921" w:type="dxa"/>
          </w:tcPr>
          <w:p w14:paraId="61CC0BB6" w14:textId="77777777" w:rsidR="008456BE" w:rsidRPr="00C3310F" w:rsidRDefault="008456BE" w:rsidP="00301D07">
            <w:pPr>
              <w:pStyle w:val="4"/>
              <w:numPr>
                <w:ilvl w:val="0"/>
                <w:numId w:val="0"/>
              </w:numPr>
              <w:jc w:val="right"/>
              <w:rPr>
                <w:rFonts w:hAnsi="標楷體"/>
                <w:sz w:val="28"/>
                <w:szCs w:val="28"/>
              </w:rPr>
            </w:pPr>
            <w:r w:rsidRPr="00C3310F">
              <w:rPr>
                <w:rFonts w:hAnsi="標楷體" w:hint="eastAsia"/>
                <w:sz w:val="28"/>
                <w:szCs w:val="28"/>
              </w:rPr>
              <w:t>31</w:t>
            </w:r>
          </w:p>
        </w:tc>
        <w:tc>
          <w:tcPr>
            <w:tcW w:w="838" w:type="dxa"/>
          </w:tcPr>
          <w:p w14:paraId="6BEA2493" w14:textId="77777777" w:rsidR="008456BE" w:rsidRPr="00C3310F" w:rsidRDefault="008456BE" w:rsidP="00301D07">
            <w:pPr>
              <w:pStyle w:val="4"/>
              <w:numPr>
                <w:ilvl w:val="0"/>
                <w:numId w:val="0"/>
              </w:numPr>
              <w:jc w:val="right"/>
              <w:rPr>
                <w:rFonts w:hAnsi="標楷體"/>
                <w:sz w:val="28"/>
                <w:szCs w:val="28"/>
              </w:rPr>
            </w:pPr>
            <w:r w:rsidRPr="00C3310F">
              <w:rPr>
                <w:rFonts w:hAnsi="標楷體" w:hint="eastAsia"/>
                <w:sz w:val="28"/>
                <w:szCs w:val="28"/>
              </w:rPr>
              <w:t>8</w:t>
            </w:r>
          </w:p>
        </w:tc>
        <w:tc>
          <w:tcPr>
            <w:tcW w:w="1118" w:type="dxa"/>
          </w:tcPr>
          <w:p w14:paraId="108A04FB" w14:textId="77777777" w:rsidR="008456BE" w:rsidRPr="00C3310F" w:rsidRDefault="008456BE" w:rsidP="00301D07">
            <w:pPr>
              <w:pStyle w:val="4"/>
              <w:numPr>
                <w:ilvl w:val="0"/>
                <w:numId w:val="0"/>
              </w:numPr>
              <w:jc w:val="right"/>
              <w:rPr>
                <w:rFonts w:hAnsi="標楷體"/>
                <w:sz w:val="28"/>
                <w:szCs w:val="28"/>
              </w:rPr>
            </w:pPr>
            <w:r w:rsidRPr="00C3310F">
              <w:rPr>
                <w:rFonts w:hAnsi="標楷體" w:hint="eastAsia"/>
                <w:sz w:val="28"/>
                <w:szCs w:val="28"/>
              </w:rPr>
              <w:t>12</w:t>
            </w:r>
            <w:r w:rsidRPr="00C3310F">
              <w:rPr>
                <w:rFonts w:hAnsi="標楷體"/>
                <w:sz w:val="28"/>
                <w:szCs w:val="28"/>
              </w:rPr>
              <w:t>,</w:t>
            </w:r>
            <w:r w:rsidRPr="00C3310F">
              <w:rPr>
                <w:rFonts w:hAnsi="標楷體" w:hint="eastAsia"/>
                <w:sz w:val="28"/>
                <w:szCs w:val="28"/>
              </w:rPr>
              <w:t>604</w:t>
            </w:r>
          </w:p>
        </w:tc>
      </w:tr>
      <w:tr w:rsidR="00C3310F" w:rsidRPr="00C3310F" w14:paraId="4CDEA53B" w14:textId="77777777" w:rsidTr="00301D07">
        <w:trPr>
          <w:trHeight w:val="347"/>
        </w:trPr>
        <w:tc>
          <w:tcPr>
            <w:tcW w:w="1614" w:type="dxa"/>
          </w:tcPr>
          <w:p w14:paraId="513C9D76" w14:textId="77777777" w:rsidR="008456BE" w:rsidRPr="00C3310F" w:rsidRDefault="008456BE" w:rsidP="00301D07">
            <w:pPr>
              <w:pStyle w:val="4"/>
              <w:numPr>
                <w:ilvl w:val="0"/>
                <w:numId w:val="0"/>
              </w:numPr>
              <w:rPr>
                <w:rFonts w:hAnsi="標楷體"/>
                <w:sz w:val="28"/>
                <w:szCs w:val="28"/>
              </w:rPr>
            </w:pPr>
            <w:r w:rsidRPr="00C3310F">
              <w:rPr>
                <w:rFonts w:hAnsi="標楷體" w:hint="eastAsia"/>
                <w:sz w:val="28"/>
                <w:szCs w:val="28"/>
              </w:rPr>
              <w:t>111</w:t>
            </w:r>
          </w:p>
        </w:tc>
        <w:tc>
          <w:tcPr>
            <w:tcW w:w="1101" w:type="dxa"/>
          </w:tcPr>
          <w:p w14:paraId="1D71AA49" w14:textId="77777777" w:rsidR="008456BE" w:rsidRPr="00C3310F" w:rsidRDefault="008456BE" w:rsidP="00301D07">
            <w:pPr>
              <w:pStyle w:val="4"/>
              <w:numPr>
                <w:ilvl w:val="0"/>
                <w:numId w:val="0"/>
              </w:numPr>
              <w:jc w:val="right"/>
              <w:rPr>
                <w:rFonts w:hAnsi="標楷體"/>
                <w:sz w:val="28"/>
                <w:szCs w:val="28"/>
              </w:rPr>
            </w:pPr>
            <w:r w:rsidRPr="00C3310F">
              <w:rPr>
                <w:rFonts w:hAnsi="標楷體" w:hint="eastAsia"/>
                <w:sz w:val="28"/>
                <w:szCs w:val="28"/>
              </w:rPr>
              <w:t>10</w:t>
            </w:r>
            <w:r w:rsidRPr="00C3310F">
              <w:rPr>
                <w:rFonts w:hAnsi="標楷體"/>
                <w:sz w:val="28"/>
                <w:szCs w:val="28"/>
              </w:rPr>
              <w:t>,</w:t>
            </w:r>
            <w:r w:rsidRPr="00C3310F">
              <w:rPr>
                <w:rFonts w:hAnsi="標楷體" w:hint="eastAsia"/>
                <w:sz w:val="28"/>
                <w:szCs w:val="28"/>
              </w:rPr>
              <w:t>554</w:t>
            </w:r>
          </w:p>
        </w:tc>
        <w:tc>
          <w:tcPr>
            <w:tcW w:w="1018" w:type="dxa"/>
          </w:tcPr>
          <w:p w14:paraId="2C9E7402" w14:textId="77777777" w:rsidR="008456BE" w:rsidRPr="00C3310F" w:rsidRDefault="008456BE" w:rsidP="00301D07">
            <w:pPr>
              <w:pStyle w:val="4"/>
              <w:numPr>
                <w:ilvl w:val="0"/>
                <w:numId w:val="0"/>
              </w:numPr>
              <w:jc w:val="right"/>
              <w:rPr>
                <w:rFonts w:hAnsi="標楷體"/>
                <w:sz w:val="28"/>
                <w:szCs w:val="28"/>
              </w:rPr>
            </w:pPr>
            <w:r w:rsidRPr="00C3310F">
              <w:rPr>
                <w:rFonts w:hAnsi="標楷體" w:hint="eastAsia"/>
                <w:sz w:val="28"/>
                <w:szCs w:val="28"/>
              </w:rPr>
              <w:t>585</w:t>
            </w:r>
          </w:p>
        </w:tc>
        <w:tc>
          <w:tcPr>
            <w:tcW w:w="997" w:type="dxa"/>
          </w:tcPr>
          <w:p w14:paraId="55D54120" w14:textId="77777777" w:rsidR="008456BE" w:rsidRPr="00C3310F" w:rsidRDefault="008456BE" w:rsidP="00301D07">
            <w:pPr>
              <w:pStyle w:val="4"/>
              <w:numPr>
                <w:ilvl w:val="0"/>
                <w:numId w:val="0"/>
              </w:numPr>
              <w:jc w:val="right"/>
              <w:rPr>
                <w:rFonts w:hAnsi="標楷體"/>
                <w:sz w:val="28"/>
                <w:szCs w:val="28"/>
              </w:rPr>
            </w:pPr>
            <w:r w:rsidRPr="00C3310F">
              <w:rPr>
                <w:rFonts w:hAnsi="標楷體" w:hint="eastAsia"/>
                <w:sz w:val="28"/>
                <w:szCs w:val="28"/>
              </w:rPr>
              <w:t>7</w:t>
            </w:r>
            <w:r w:rsidRPr="00C3310F">
              <w:rPr>
                <w:rFonts w:hAnsi="標楷體"/>
                <w:sz w:val="28"/>
                <w:szCs w:val="28"/>
              </w:rPr>
              <w:t>,</w:t>
            </w:r>
            <w:r w:rsidRPr="00C3310F">
              <w:rPr>
                <w:rFonts w:hAnsi="標楷體" w:hint="eastAsia"/>
                <w:sz w:val="28"/>
                <w:szCs w:val="28"/>
              </w:rPr>
              <w:t>055</w:t>
            </w:r>
          </w:p>
        </w:tc>
        <w:tc>
          <w:tcPr>
            <w:tcW w:w="888" w:type="dxa"/>
          </w:tcPr>
          <w:p w14:paraId="71303EA4" w14:textId="77777777" w:rsidR="008456BE" w:rsidRPr="00C3310F" w:rsidRDefault="008456BE" w:rsidP="00301D07">
            <w:pPr>
              <w:pStyle w:val="4"/>
              <w:numPr>
                <w:ilvl w:val="0"/>
                <w:numId w:val="0"/>
              </w:numPr>
              <w:jc w:val="right"/>
              <w:rPr>
                <w:rFonts w:hAnsi="標楷體"/>
                <w:sz w:val="28"/>
                <w:szCs w:val="28"/>
              </w:rPr>
            </w:pPr>
            <w:r w:rsidRPr="00C3310F">
              <w:rPr>
                <w:rFonts w:hAnsi="標楷體" w:hint="eastAsia"/>
                <w:sz w:val="28"/>
                <w:szCs w:val="28"/>
              </w:rPr>
              <w:t>224</w:t>
            </w:r>
          </w:p>
        </w:tc>
        <w:tc>
          <w:tcPr>
            <w:tcW w:w="888" w:type="dxa"/>
          </w:tcPr>
          <w:p w14:paraId="62E0077F" w14:textId="77777777" w:rsidR="008456BE" w:rsidRPr="00C3310F" w:rsidRDefault="008456BE" w:rsidP="00301D07">
            <w:pPr>
              <w:pStyle w:val="4"/>
              <w:numPr>
                <w:ilvl w:val="0"/>
                <w:numId w:val="0"/>
              </w:numPr>
              <w:jc w:val="right"/>
              <w:rPr>
                <w:rFonts w:hAnsi="標楷體"/>
                <w:sz w:val="28"/>
                <w:szCs w:val="28"/>
              </w:rPr>
            </w:pPr>
            <w:r w:rsidRPr="00C3310F">
              <w:rPr>
                <w:rFonts w:hAnsi="標楷體" w:hint="eastAsia"/>
                <w:sz w:val="28"/>
                <w:szCs w:val="28"/>
              </w:rPr>
              <w:t>71</w:t>
            </w:r>
          </w:p>
        </w:tc>
        <w:tc>
          <w:tcPr>
            <w:tcW w:w="953" w:type="dxa"/>
          </w:tcPr>
          <w:p w14:paraId="478C7EF5" w14:textId="77777777" w:rsidR="008456BE" w:rsidRPr="00C3310F" w:rsidRDefault="008456BE" w:rsidP="00301D07">
            <w:pPr>
              <w:pStyle w:val="4"/>
              <w:numPr>
                <w:ilvl w:val="0"/>
                <w:numId w:val="0"/>
              </w:numPr>
              <w:jc w:val="right"/>
              <w:rPr>
                <w:rFonts w:hAnsi="標楷體"/>
                <w:sz w:val="28"/>
                <w:szCs w:val="28"/>
              </w:rPr>
            </w:pPr>
            <w:r w:rsidRPr="00C3310F">
              <w:rPr>
                <w:rFonts w:hAnsi="標楷體" w:hint="eastAsia"/>
                <w:sz w:val="28"/>
                <w:szCs w:val="28"/>
              </w:rPr>
              <w:t>1</w:t>
            </w:r>
            <w:r w:rsidRPr="00C3310F">
              <w:rPr>
                <w:rFonts w:hAnsi="標楷體"/>
                <w:sz w:val="28"/>
                <w:szCs w:val="28"/>
              </w:rPr>
              <w:t>,</w:t>
            </w:r>
            <w:r w:rsidRPr="00C3310F">
              <w:rPr>
                <w:rFonts w:hAnsi="標楷體" w:hint="eastAsia"/>
                <w:sz w:val="28"/>
                <w:szCs w:val="28"/>
              </w:rPr>
              <w:t>206</w:t>
            </w:r>
          </w:p>
        </w:tc>
        <w:tc>
          <w:tcPr>
            <w:tcW w:w="921" w:type="dxa"/>
          </w:tcPr>
          <w:p w14:paraId="73EF6573" w14:textId="77777777" w:rsidR="008456BE" w:rsidRPr="00C3310F" w:rsidRDefault="008456BE" w:rsidP="00301D07">
            <w:pPr>
              <w:pStyle w:val="4"/>
              <w:numPr>
                <w:ilvl w:val="0"/>
                <w:numId w:val="0"/>
              </w:numPr>
              <w:jc w:val="right"/>
              <w:rPr>
                <w:rFonts w:hAnsi="標楷體"/>
                <w:sz w:val="28"/>
                <w:szCs w:val="28"/>
              </w:rPr>
            </w:pPr>
            <w:r w:rsidRPr="00C3310F">
              <w:rPr>
                <w:rFonts w:hAnsi="標楷體" w:hint="eastAsia"/>
                <w:sz w:val="28"/>
                <w:szCs w:val="28"/>
              </w:rPr>
              <w:t>29</w:t>
            </w:r>
          </w:p>
        </w:tc>
        <w:tc>
          <w:tcPr>
            <w:tcW w:w="838" w:type="dxa"/>
          </w:tcPr>
          <w:p w14:paraId="4213F4EC" w14:textId="77777777" w:rsidR="008456BE" w:rsidRPr="00C3310F" w:rsidRDefault="008456BE" w:rsidP="00301D07">
            <w:pPr>
              <w:pStyle w:val="4"/>
              <w:numPr>
                <w:ilvl w:val="0"/>
                <w:numId w:val="0"/>
              </w:numPr>
              <w:jc w:val="right"/>
              <w:rPr>
                <w:rFonts w:hAnsi="標楷體"/>
                <w:sz w:val="28"/>
                <w:szCs w:val="28"/>
              </w:rPr>
            </w:pPr>
            <w:r w:rsidRPr="00C3310F">
              <w:rPr>
                <w:rFonts w:hAnsi="標楷體" w:hint="eastAsia"/>
                <w:sz w:val="28"/>
                <w:szCs w:val="28"/>
              </w:rPr>
              <w:t>5</w:t>
            </w:r>
          </w:p>
        </w:tc>
        <w:tc>
          <w:tcPr>
            <w:tcW w:w="1118" w:type="dxa"/>
          </w:tcPr>
          <w:p w14:paraId="12A7DD3A" w14:textId="77777777" w:rsidR="008456BE" w:rsidRPr="00C3310F" w:rsidRDefault="008456BE" w:rsidP="00301D07">
            <w:pPr>
              <w:pStyle w:val="4"/>
              <w:numPr>
                <w:ilvl w:val="0"/>
                <w:numId w:val="0"/>
              </w:numPr>
              <w:jc w:val="right"/>
              <w:rPr>
                <w:rFonts w:hAnsi="標楷體"/>
                <w:sz w:val="28"/>
                <w:szCs w:val="28"/>
              </w:rPr>
            </w:pPr>
            <w:r w:rsidRPr="00C3310F">
              <w:rPr>
                <w:rFonts w:hAnsi="標楷體" w:hint="eastAsia"/>
                <w:sz w:val="28"/>
                <w:szCs w:val="28"/>
              </w:rPr>
              <w:t>19</w:t>
            </w:r>
            <w:r w:rsidRPr="00C3310F">
              <w:rPr>
                <w:rFonts w:hAnsi="標楷體"/>
                <w:sz w:val="28"/>
                <w:szCs w:val="28"/>
              </w:rPr>
              <w:t>,</w:t>
            </w:r>
            <w:r w:rsidRPr="00C3310F">
              <w:rPr>
                <w:rFonts w:hAnsi="標楷體" w:hint="eastAsia"/>
                <w:sz w:val="28"/>
                <w:szCs w:val="28"/>
              </w:rPr>
              <w:t>729</w:t>
            </w:r>
          </w:p>
        </w:tc>
      </w:tr>
      <w:tr w:rsidR="00C3310F" w:rsidRPr="00C3310F" w14:paraId="09ACAB2D" w14:textId="77777777" w:rsidTr="00301D07">
        <w:trPr>
          <w:trHeight w:val="264"/>
        </w:trPr>
        <w:tc>
          <w:tcPr>
            <w:tcW w:w="1614" w:type="dxa"/>
          </w:tcPr>
          <w:p w14:paraId="147593E4" w14:textId="77777777" w:rsidR="008456BE" w:rsidRPr="00C3310F" w:rsidRDefault="008456BE" w:rsidP="00301D07">
            <w:pPr>
              <w:pStyle w:val="4"/>
              <w:numPr>
                <w:ilvl w:val="0"/>
                <w:numId w:val="0"/>
              </w:numPr>
              <w:ind w:rightChars="-35" w:right="-119"/>
              <w:rPr>
                <w:rFonts w:hAnsi="標楷體"/>
                <w:sz w:val="28"/>
                <w:szCs w:val="28"/>
              </w:rPr>
            </w:pPr>
            <w:r w:rsidRPr="00C3310F">
              <w:rPr>
                <w:rFonts w:hAnsi="標楷體" w:hint="eastAsia"/>
                <w:sz w:val="28"/>
                <w:szCs w:val="28"/>
              </w:rPr>
              <w:t>112(1~9月)</w:t>
            </w:r>
          </w:p>
        </w:tc>
        <w:tc>
          <w:tcPr>
            <w:tcW w:w="1101" w:type="dxa"/>
          </w:tcPr>
          <w:p w14:paraId="7DB741EE" w14:textId="77777777" w:rsidR="008456BE" w:rsidRPr="00C3310F" w:rsidRDefault="008456BE" w:rsidP="00301D07">
            <w:pPr>
              <w:pStyle w:val="4"/>
              <w:numPr>
                <w:ilvl w:val="0"/>
                <w:numId w:val="0"/>
              </w:numPr>
              <w:jc w:val="right"/>
              <w:rPr>
                <w:rFonts w:hAnsi="標楷體"/>
                <w:sz w:val="28"/>
                <w:szCs w:val="28"/>
              </w:rPr>
            </w:pPr>
            <w:r w:rsidRPr="00C3310F">
              <w:rPr>
                <w:rFonts w:hAnsi="標楷體" w:hint="eastAsia"/>
                <w:sz w:val="28"/>
                <w:szCs w:val="28"/>
              </w:rPr>
              <w:t>12</w:t>
            </w:r>
            <w:r w:rsidRPr="00C3310F">
              <w:rPr>
                <w:rFonts w:hAnsi="標楷體"/>
                <w:sz w:val="28"/>
                <w:szCs w:val="28"/>
              </w:rPr>
              <w:t>,</w:t>
            </w:r>
            <w:r w:rsidRPr="00C3310F">
              <w:rPr>
                <w:rFonts w:hAnsi="標楷體" w:hint="eastAsia"/>
                <w:sz w:val="28"/>
                <w:szCs w:val="28"/>
              </w:rPr>
              <w:t>380</w:t>
            </w:r>
          </w:p>
        </w:tc>
        <w:tc>
          <w:tcPr>
            <w:tcW w:w="1018" w:type="dxa"/>
          </w:tcPr>
          <w:p w14:paraId="7A6938D3" w14:textId="77777777" w:rsidR="008456BE" w:rsidRPr="00C3310F" w:rsidRDefault="008456BE" w:rsidP="00301D07">
            <w:pPr>
              <w:pStyle w:val="4"/>
              <w:numPr>
                <w:ilvl w:val="0"/>
                <w:numId w:val="0"/>
              </w:numPr>
              <w:jc w:val="right"/>
              <w:rPr>
                <w:rFonts w:hAnsi="標楷體"/>
                <w:sz w:val="28"/>
                <w:szCs w:val="28"/>
              </w:rPr>
            </w:pPr>
            <w:r w:rsidRPr="00C3310F">
              <w:rPr>
                <w:rFonts w:hAnsi="標楷體" w:hint="eastAsia"/>
                <w:sz w:val="28"/>
                <w:szCs w:val="28"/>
              </w:rPr>
              <w:t>594</w:t>
            </w:r>
          </w:p>
        </w:tc>
        <w:tc>
          <w:tcPr>
            <w:tcW w:w="997" w:type="dxa"/>
          </w:tcPr>
          <w:p w14:paraId="31B5F01D" w14:textId="77777777" w:rsidR="008456BE" w:rsidRPr="00C3310F" w:rsidRDefault="008456BE" w:rsidP="00301D07">
            <w:pPr>
              <w:pStyle w:val="4"/>
              <w:numPr>
                <w:ilvl w:val="0"/>
                <w:numId w:val="0"/>
              </w:numPr>
              <w:jc w:val="right"/>
              <w:rPr>
                <w:rFonts w:hAnsi="標楷體"/>
                <w:sz w:val="28"/>
                <w:szCs w:val="28"/>
              </w:rPr>
            </w:pPr>
            <w:r w:rsidRPr="00C3310F">
              <w:rPr>
                <w:rFonts w:hAnsi="標楷體" w:hint="eastAsia"/>
                <w:sz w:val="28"/>
                <w:szCs w:val="28"/>
              </w:rPr>
              <w:t>6</w:t>
            </w:r>
            <w:r w:rsidRPr="00C3310F">
              <w:rPr>
                <w:rFonts w:hAnsi="標楷體"/>
                <w:sz w:val="28"/>
                <w:szCs w:val="28"/>
              </w:rPr>
              <w:t>,</w:t>
            </w:r>
            <w:r w:rsidRPr="00C3310F">
              <w:rPr>
                <w:rFonts w:hAnsi="標楷體" w:hint="eastAsia"/>
                <w:sz w:val="28"/>
                <w:szCs w:val="28"/>
              </w:rPr>
              <w:t>196</w:t>
            </w:r>
          </w:p>
        </w:tc>
        <w:tc>
          <w:tcPr>
            <w:tcW w:w="888" w:type="dxa"/>
          </w:tcPr>
          <w:p w14:paraId="2BC94CF2" w14:textId="77777777" w:rsidR="008456BE" w:rsidRPr="00C3310F" w:rsidRDefault="008456BE" w:rsidP="00301D07">
            <w:pPr>
              <w:pStyle w:val="4"/>
              <w:numPr>
                <w:ilvl w:val="0"/>
                <w:numId w:val="0"/>
              </w:numPr>
              <w:jc w:val="right"/>
              <w:rPr>
                <w:rFonts w:hAnsi="標楷體"/>
                <w:sz w:val="28"/>
                <w:szCs w:val="28"/>
              </w:rPr>
            </w:pPr>
            <w:r w:rsidRPr="00C3310F">
              <w:rPr>
                <w:rFonts w:hAnsi="標楷體" w:hint="eastAsia"/>
                <w:sz w:val="28"/>
                <w:szCs w:val="28"/>
              </w:rPr>
              <w:t>183</w:t>
            </w:r>
          </w:p>
        </w:tc>
        <w:tc>
          <w:tcPr>
            <w:tcW w:w="888" w:type="dxa"/>
          </w:tcPr>
          <w:p w14:paraId="6499B388" w14:textId="77777777" w:rsidR="008456BE" w:rsidRPr="00C3310F" w:rsidRDefault="008456BE" w:rsidP="00301D07">
            <w:pPr>
              <w:pStyle w:val="4"/>
              <w:numPr>
                <w:ilvl w:val="0"/>
                <w:numId w:val="0"/>
              </w:numPr>
              <w:jc w:val="right"/>
              <w:rPr>
                <w:rFonts w:hAnsi="標楷體"/>
                <w:sz w:val="28"/>
                <w:szCs w:val="28"/>
              </w:rPr>
            </w:pPr>
            <w:r w:rsidRPr="00C3310F">
              <w:rPr>
                <w:rFonts w:hAnsi="標楷體" w:hint="eastAsia"/>
                <w:sz w:val="28"/>
                <w:szCs w:val="28"/>
              </w:rPr>
              <w:t>61</w:t>
            </w:r>
          </w:p>
        </w:tc>
        <w:tc>
          <w:tcPr>
            <w:tcW w:w="953" w:type="dxa"/>
          </w:tcPr>
          <w:p w14:paraId="77895D84" w14:textId="77777777" w:rsidR="008456BE" w:rsidRPr="00C3310F" w:rsidRDefault="008456BE" w:rsidP="00301D07">
            <w:pPr>
              <w:pStyle w:val="4"/>
              <w:numPr>
                <w:ilvl w:val="0"/>
                <w:numId w:val="0"/>
              </w:numPr>
              <w:jc w:val="right"/>
              <w:rPr>
                <w:rFonts w:hAnsi="標楷體"/>
                <w:sz w:val="28"/>
                <w:szCs w:val="28"/>
              </w:rPr>
            </w:pPr>
            <w:r w:rsidRPr="00C3310F">
              <w:rPr>
                <w:rFonts w:hAnsi="標楷體" w:hint="eastAsia"/>
                <w:sz w:val="28"/>
                <w:szCs w:val="28"/>
              </w:rPr>
              <w:t>611</w:t>
            </w:r>
          </w:p>
        </w:tc>
        <w:tc>
          <w:tcPr>
            <w:tcW w:w="921" w:type="dxa"/>
          </w:tcPr>
          <w:p w14:paraId="6BD58D7B" w14:textId="77777777" w:rsidR="008456BE" w:rsidRPr="00C3310F" w:rsidRDefault="008456BE" w:rsidP="00301D07">
            <w:pPr>
              <w:pStyle w:val="4"/>
              <w:numPr>
                <w:ilvl w:val="0"/>
                <w:numId w:val="0"/>
              </w:numPr>
              <w:jc w:val="right"/>
              <w:rPr>
                <w:rFonts w:hAnsi="標楷體"/>
                <w:sz w:val="28"/>
                <w:szCs w:val="28"/>
              </w:rPr>
            </w:pPr>
            <w:r w:rsidRPr="00C3310F">
              <w:rPr>
                <w:rFonts w:hAnsi="標楷體" w:hint="eastAsia"/>
                <w:sz w:val="28"/>
                <w:szCs w:val="28"/>
              </w:rPr>
              <w:t>28</w:t>
            </w:r>
          </w:p>
        </w:tc>
        <w:tc>
          <w:tcPr>
            <w:tcW w:w="838" w:type="dxa"/>
          </w:tcPr>
          <w:p w14:paraId="7AA1A3B0" w14:textId="77777777" w:rsidR="008456BE" w:rsidRPr="00C3310F" w:rsidRDefault="008456BE" w:rsidP="00301D07">
            <w:pPr>
              <w:pStyle w:val="4"/>
              <w:numPr>
                <w:ilvl w:val="0"/>
                <w:numId w:val="0"/>
              </w:numPr>
              <w:jc w:val="right"/>
              <w:rPr>
                <w:rFonts w:hAnsi="標楷體"/>
                <w:sz w:val="28"/>
                <w:szCs w:val="28"/>
              </w:rPr>
            </w:pPr>
            <w:r w:rsidRPr="00C3310F">
              <w:rPr>
                <w:rFonts w:hAnsi="標楷體" w:hint="eastAsia"/>
                <w:sz w:val="28"/>
                <w:szCs w:val="28"/>
              </w:rPr>
              <w:t>0</w:t>
            </w:r>
          </w:p>
        </w:tc>
        <w:tc>
          <w:tcPr>
            <w:tcW w:w="1118" w:type="dxa"/>
          </w:tcPr>
          <w:p w14:paraId="26118875" w14:textId="77777777" w:rsidR="008456BE" w:rsidRPr="00C3310F" w:rsidRDefault="008456BE" w:rsidP="00301D07">
            <w:pPr>
              <w:pStyle w:val="4"/>
              <w:numPr>
                <w:ilvl w:val="0"/>
                <w:numId w:val="0"/>
              </w:numPr>
              <w:jc w:val="right"/>
              <w:rPr>
                <w:rFonts w:hAnsi="標楷體"/>
                <w:sz w:val="28"/>
                <w:szCs w:val="28"/>
              </w:rPr>
            </w:pPr>
            <w:r w:rsidRPr="00C3310F">
              <w:rPr>
                <w:rFonts w:hAnsi="標楷體" w:hint="eastAsia"/>
                <w:sz w:val="28"/>
                <w:szCs w:val="28"/>
              </w:rPr>
              <w:t>20</w:t>
            </w:r>
            <w:r w:rsidRPr="00C3310F">
              <w:rPr>
                <w:rFonts w:hAnsi="標楷體"/>
                <w:sz w:val="28"/>
                <w:szCs w:val="28"/>
              </w:rPr>
              <w:t>,</w:t>
            </w:r>
            <w:r w:rsidRPr="00C3310F">
              <w:rPr>
                <w:rFonts w:hAnsi="標楷體" w:hint="eastAsia"/>
                <w:sz w:val="28"/>
                <w:szCs w:val="28"/>
              </w:rPr>
              <w:t>053</w:t>
            </w:r>
          </w:p>
        </w:tc>
      </w:tr>
    </w:tbl>
    <w:p w14:paraId="402F9971" w14:textId="77777777" w:rsidR="008456BE" w:rsidRPr="00C3310F" w:rsidRDefault="008456BE" w:rsidP="008456BE">
      <w:pPr>
        <w:pStyle w:val="4"/>
        <w:numPr>
          <w:ilvl w:val="0"/>
          <w:numId w:val="0"/>
        </w:numPr>
        <w:spacing w:afterLines="25" w:after="114"/>
        <w:ind w:left="-851"/>
        <w:rPr>
          <w:noProof/>
          <w:sz w:val="24"/>
          <w:szCs w:val="24"/>
        </w:rPr>
      </w:pPr>
      <w:r w:rsidRPr="00C3310F">
        <w:rPr>
          <w:rFonts w:hint="eastAsia"/>
          <w:noProof/>
          <w:sz w:val="24"/>
          <w:szCs w:val="24"/>
        </w:rPr>
        <w:t>資料來源：法務部</w:t>
      </w:r>
    </w:p>
    <w:p w14:paraId="7D1E5173" w14:textId="77777777" w:rsidR="008456BE" w:rsidRPr="00C3310F" w:rsidRDefault="008456BE" w:rsidP="008456BE">
      <w:pPr>
        <w:pStyle w:val="4"/>
        <w:numPr>
          <w:ilvl w:val="0"/>
          <w:numId w:val="0"/>
        </w:numPr>
        <w:ind w:left="-851" w:firstLineChars="166" w:firstLine="565"/>
      </w:pPr>
      <w:r w:rsidRPr="00C3310F">
        <w:rPr>
          <w:noProof/>
        </w:rPr>
        <w:drawing>
          <wp:inline distT="0" distB="0" distL="0" distR="0" wp14:anchorId="0C0622EA" wp14:editId="62763556">
            <wp:extent cx="5913120" cy="4011053"/>
            <wp:effectExtent l="19050" t="19050" r="11430" b="13970"/>
            <wp:docPr id="11" name="圖片 11" descr="一張含有 文字, 螢幕擷取畫面, 圖表, 字型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圖片 11" descr="一張含有 文字, 螢幕擷取畫面, 圖表, 字型 的圖片&#10;&#10;自動產生的描述"/>
                    <pic:cNvPicPr/>
                  </pic:nvPicPr>
                  <pic:blipFill>
                    <a:blip r:embed="rId22"/>
                    <a:stretch>
                      <a:fillRect/>
                    </a:stretch>
                  </pic:blipFill>
                  <pic:spPr>
                    <a:xfrm>
                      <a:off x="0" y="0"/>
                      <a:ext cx="5913120" cy="4011053"/>
                    </a:xfrm>
                    <a:prstGeom prst="rect">
                      <a:avLst/>
                    </a:prstGeom>
                    <a:ln>
                      <a:solidFill>
                        <a:schemeClr val="tx1"/>
                      </a:solidFill>
                    </a:ln>
                  </pic:spPr>
                </pic:pic>
              </a:graphicData>
            </a:graphic>
          </wp:inline>
        </w:drawing>
      </w:r>
    </w:p>
    <w:p w14:paraId="0F279AF9" w14:textId="77777777" w:rsidR="008456BE" w:rsidRPr="00C3310F" w:rsidRDefault="008456BE" w:rsidP="008456BE">
      <w:pPr>
        <w:pStyle w:val="a1"/>
        <w:spacing w:after="0"/>
        <w:rPr>
          <w:rFonts w:hint="eastAsia"/>
          <w:b/>
        </w:rPr>
      </w:pPr>
      <w:bookmarkStart w:id="390" w:name="_Toc172025257"/>
      <w:r w:rsidRPr="00C3310F">
        <w:rPr>
          <w:rFonts w:hint="eastAsia"/>
          <w:b/>
        </w:rPr>
        <w:t>地檢署電信網路詐欺案件-執行裁判確定人數(人)</w:t>
      </w:r>
      <w:bookmarkEnd w:id="390"/>
      <w:r w:rsidRPr="00C3310F">
        <w:rPr>
          <w:b/>
        </w:rPr>
        <w:t xml:space="preserve"> </w:t>
      </w:r>
    </w:p>
    <w:p w14:paraId="7D70EF09" w14:textId="77777777" w:rsidR="008456BE" w:rsidRPr="00C3310F" w:rsidRDefault="008456BE" w:rsidP="008456BE">
      <w:pPr>
        <w:pStyle w:val="3"/>
        <w:numPr>
          <w:ilvl w:val="0"/>
          <w:numId w:val="0"/>
        </w:numPr>
        <w:spacing w:afterLines="50" w:after="228"/>
        <w:ind w:leftChars="-42" w:left="-3" w:hangingChars="54" w:hanging="140"/>
        <w:rPr>
          <w:sz w:val="24"/>
          <w:szCs w:val="24"/>
        </w:rPr>
      </w:pPr>
      <w:bookmarkStart w:id="391" w:name="_Toc171525446"/>
      <w:bookmarkStart w:id="392" w:name="_Toc172023929"/>
      <w:bookmarkStart w:id="393" w:name="_Toc172033248"/>
      <w:r w:rsidRPr="00C3310F">
        <w:rPr>
          <w:rFonts w:hint="eastAsia"/>
          <w:sz w:val="24"/>
          <w:szCs w:val="24"/>
        </w:rPr>
        <w:t>資料來源：法務部</w:t>
      </w:r>
      <w:r w:rsidR="00255FD7" w:rsidRPr="00C3310F">
        <w:rPr>
          <w:rFonts w:hint="eastAsia"/>
          <w:sz w:val="24"/>
          <w:szCs w:val="24"/>
        </w:rPr>
        <w:t>高檢署112年11月13日簡報資料，本院自行整理</w:t>
      </w:r>
      <w:r w:rsidRPr="00C3310F">
        <w:rPr>
          <w:rFonts w:hint="eastAsia"/>
          <w:sz w:val="24"/>
          <w:szCs w:val="24"/>
        </w:rPr>
        <w:t>。</w:t>
      </w:r>
      <w:bookmarkEnd w:id="391"/>
      <w:bookmarkEnd w:id="392"/>
      <w:bookmarkEnd w:id="393"/>
    </w:p>
    <w:p w14:paraId="708F2F64" w14:textId="77777777" w:rsidR="008456BE" w:rsidRPr="00C3310F" w:rsidRDefault="00163D54" w:rsidP="00B06CC1">
      <w:pPr>
        <w:pStyle w:val="2"/>
      </w:pPr>
      <w:bookmarkStart w:id="394" w:name="_Toc172033249"/>
      <w:r w:rsidRPr="00C3310F">
        <w:rPr>
          <w:rFonts w:hint="eastAsia"/>
        </w:rPr>
        <w:lastRenderedPageBreak/>
        <w:t>犯罪樣態、趨勢、反制措施及打擊重點:</w:t>
      </w:r>
      <w:r w:rsidR="00540128" w:rsidRPr="00C3310F">
        <w:rPr>
          <w:rFonts w:hint="eastAsia"/>
        </w:rPr>
        <w:t>針對前述檢方及警方量化數據所呈現出之犯罪樣態及趨勢，政府於111年7月15日核定打詐綱領1.0版，嗣因無法有效抑制電信網路詐欺持續高發，又於112年6月9日核定打詐綱領1.5版，</w:t>
      </w:r>
      <w:r w:rsidR="00376193" w:rsidRPr="00C3310F">
        <w:rPr>
          <w:rFonts w:hint="eastAsia"/>
        </w:rPr>
        <w:t>調查研究其</w:t>
      </w:r>
      <w:r w:rsidR="00540128" w:rsidRPr="00C3310F">
        <w:rPr>
          <w:rFonts w:hint="eastAsia"/>
        </w:rPr>
        <w:t>措施及打擊重點如下：</w:t>
      </w:r>
      <w:bookmarkEnd w:id="394"/>
    </w:p>
    <w:p w14:paraId="401A0ABC" w14:textId="4403EBEA" w:rsidR="002800ED" w:rsidRPr="00C3310F" w:rsidRDefault="00951AB3" w:rsidP="00540128">
      <w:pPr>
        <w:pStyle w:val="3"/>
      </w:pPr>
      <w:bookmarkStart w:id="395" w:name="_Toc171525448"/>
      <w:bookmarkStart w:id="396" w:name="_Toc172023931"/>
      <w:bookmarkStart w:id="397" w:name="_Toc172033250"/>
      <w:r w:rsidRPr="00C3310F">
        <w:rPr>
          <w:rFonts w:hint="eastAsia"/>
        </w:rPr>
        <w:t>打詐綱領1.0版：</w:t>
      </w:r>
      <w:bookmarkEnd w:id="395"/>
      <w:r w:rsidRPr="00C3310F">
        <w:rPr>
          <w:rFonts w:hint="eastAsia"/>
        </w:rPr>
        <w:t>106至110年電信網路詐欺案件平均每年約1萬2</w:t>
      </w:r>
      <w:r w:rsidR="00ED4AE8" w:rsidRPr="00C3310F">
        <w:rPr>
          <w:rFonts w:hint="eastAsia"/>
        </w:rPr>
        <w:t>,</w:t>
      </w:r>
      <w:r w:rsidRPr="00C3310F">
        <w:rPr>
          <w:rFonts w:hint="eastAsia"/>
        </w:rPr>
        <w:t>800餘件，於</w:t>
      </w:r>
      <w:r w:rsidR="007D462A" w:rsidRPr="00C3310F">
        <w:rPr>
          <w:rFonts w:hint="eastAsia"/>
        </w:rPr>
        <w:t>COVID-19</w:t>
      </w:r>
      <w:r w:rsidRPr="00C3310F">
        <w:rPr>
          <w:rFonts w:hint="eastAsia"/>
        </w:rPr>
        <w:t>疫情期間(110年)，國內電信網路詐欺發生數更增加至1萬3,100件、全般詐欺</w:t>
      </w:r>
      <w:r w:rsidRPr="00C3310F">
        <w:rPr>
          <w:rStyle w:val="afe"/>
        </w:rPr>
        <w:footnoteReference w:id="33"/>
      </w:r>
      <w:r w:rsidRPr="00C3310F">
        <w:rPr>
          <w:rFonts w:hint="eastAsia"/>
        </w:rPr>
        <w:t>財損56.1億元，分別較109年發生數增加781件(+6.34%)、財損增加13.6億餘元(+32%)，且110年全般詐欺財損數為5年最高，顯示打擊詐欺犯罪面臨嚴峻挑戰。為展現政府打擊詐欺犯罪決心，行政院111年7月15日核定打詐綱領1.0版</w:t>
      </w:r>
      <w:r w:rsidR="002800ED" w:rsidRPr="00C3310F">
        <w:rPr>
          <w:rFonts w:hint="eastAsia"/>
        </w:rPr>
        <w:t>。</w:t>
      </w:r>
      <w:bookmarkEnd w:id="396"/>
      <w:bookmarkEnd w:id="397"/>
    </w:p>
    <w:p w14:paraId="421AAE6E" w14:textId="77777777" w:rsidR="00951AB3" w:rsidRPr="00C3310F" w:rsidRDefault="002800ED" w:rsidP="002800ED">
      <w:pPr>
        <w:pStyle w:val="4"/>
      </w:pPr>
      <w:r w:rsidRPr="00C3310F">
        <w:rPr>
          <w:rFonts w:hint="eastAsia"/>
        </w:rPr>
        <w:t>本綱領之規劃係</w:t>
      </w:r>
      <w:r w:rsidR="00951AB3" w:rsidRPr="00C3310F">
        <w:rPr>
          <w:rFonts w:hint="eastAsia"/>
        </w:rPr>
        <w:t>經由「識詐-宣導教育面」、「堵詐-電信網路面」、「阻詐-贓款流向面」及「懲詐-偵查打擊面」等四大面向，以「增加詐欺犯罪成本，減少民眾財產損害」為目標，由各部會齊力提升政府防制詐欺犯罪能量，達到保護民眾財產安全與降低犯罪損害之「減害」終效</w:t>
      </w:r>
      <w:r w:rsidRPr="00C3310F">
        <w:rPr>
          <w:rFonts w:hint="eastAsia"/>
        </w:rPr>
        <w:t>：</w:t>
      </w:r>
    </w:p>
    <w:p w14:paraId="14A28D87" w14:textId="77777777" w:rsidR="002800ED" w:rsidRPr="00C3310F" w:rsidRDefault="002800ED" w:rsidP="002800ED">
      <w:pPr>
        <w:pStyle w:val="5"/>
      </w:pPr>
      <w:r w:rsidRPr="00C3310F">
        <w:rPr>
          <w:rFonts w:hint="eastAsia"/>
        </w:rPr>
        <w:t>識詐(宣導教育面)→防詐騙：</w:t>
      </w:r>
    </w:p>
    <w:p w14:paraId="3B1C262C" w14:textId="77777777" w:rsidR="002800ED" w:rsidRPr="00C3310F" w:rsidRDefault="002800ED" w:rsidP="002800ED">
      <w:pPr>
        <w:pStyle w:val="5"/>
        <w:numPr>
          <w:ilvl w:val="0"/>
          <w:numId w:val="0"/>
        </w:numPr>
        <w:ind w:left="2041" w:firstLineChars="192" w:firstLine="653"/>
      </w:pPr>
      <w:r w:rsidRPr="00C3310F">
        <w:rPr>
          <w:rFonts w:hint="eastAsia"/>
        </w:rPr>
        <w:t>由內政部擔任統籌機關，從民眾角度思考如何降低被害風險，強化分層、分眾、分齡犯罪預防宣導工作，提升民眾防詐免疫力。</w:t>
      </w:r>
    </w:p>
    <w:p w14:paraId="41F12D51" w14:textId="77777777" w:rsidR="002800ED" w:rsidRPr="00C3310F" w:rsidRDefault="002800ED" w:rsidP="002800ED">
      <w:pPr>
        <w:pStyle w:val="5"/>
      </w:pPr>
      <w:r w:rsidRPr="00C3310F">
        <w:rPr>
          <w:rFonts w:hint="eastAsia"/>
        </w:rPr>
        <w:t>堵詐(電信網路面)→毀工具：</w:t>
      </w:r>
    </w:p>
    <w:p w14:paraId="5C645344" w14:textId="77777777" w:rsidR="002800ED" w:rsidRPr="00C3310F" w:rsidRDefault="002800ED" w:rsidP="002800ED">
      <w:pPr>
        <w:pStyle w:val="5"/>
        <w:numPr>
          <w:ilvl w:val="0"/>
          <w:numId w:val="0"/>
        </w:numPr>
        <w:ind w:left="2041" w:firstLineChars="192" w:firstLine="653"/>
      </w:pPr>
      <w:r w:rsidRPr="00C3310F">
        <w:rPr>
          <w:rFonts w:hint="eastAsia"/>
        </w:rPr>
        <w:t>由通傳會擔任電信網路面之統籌機關，自源頭完善管制機制，防堵資通訊服務淪為犯罪工具，毀斷詐欺犯嫌施詐之管道。</w:t>
      </w:r>
    </w:p>
    <w:p w14:paraId="0FDB458D" w14:textId="77777777" w:rsidR="002800ED" w:rsidRPr="00C3310F" w:rsidRDefault="002800ED" w:rsidP="002800ED">
      <w:pPr>
        <w:pStyle w:val="5"/>
      </w:pPr>
      <w:r w:rsidRPr="00C3310F">
        <w:rPr>
          <w:rFonts w:hint="eastAsia"/>
        </w:rPr>
        <w:t>阻詐(贓款流向面)→擋金流：</w:t>
      </w:r>
    </w:p>
    <w:p w14:paraId="6A07F0A3" w14:textId="77777777" w:rsidR="002800ED" w:rsidRPr="00C3310F" w:rsidRDefault="002800ED" w:rsidP="002800ED">
      <w:pPr>
        <w:pStyle w:val="5"/>
        <w:numPr>
          <w:ilvl w:val="0"/>
          <w:numId w:val="0"/>
        </w:numPr>
        <w:ind w:left="2041" w:firstLineChars="192" w:firstLine="653"/>
      </w:pPr>
      <w:r w:rsidRPr="00C3310F">
        <w:rPr>
          <w:rFonts w:hint="eastAsia"/>
        </w:rPr>
        <w:lastRenderedPageBreak/>
        <w:t>由金管會擔任資金面之統籌機關，強化金融監管功能，推動各項金融防詐減損策略，建構良好完善之金警合作機制，以保護國人財產安全。</w:t>
      </w:r>
    </w:p>
    <w:p w14:paraId="4DA782D1" w14:textId="77777777" w:rsidR="002800ED" w:rsidRPr="00C3310F" w:rsidRDefault="002800ED" w:rsidP="002800ED">
      <w:pPr>
        <w:pStyle w:val="5"/>
      </w:pPr>
      <w:r w:rsidRPr="00C3310F">
        <w:rPr>
          <w:rFonts w:hint="eastAsia"/>
        </w:rPr>
        <w:t>懲詐(偵查打擊面)→清集團：</w:t>
      </w:r>
    </w:p>
    <w:p w14:paraId="2E527174" w14:textId="77777777" w:rsidR="002800ED" w:rsidRPr="00C3310F" w:rsidRDefault="002800ED" w:rsidP="002800ED">
      <w:pPr>
        <w:pStyle w:val="5"/>
        <w:numPr>
          <w:ilvl w:val="0"/>
          <w:numId w:val="0"/>
        </w:numPr>
        <w:ind w:left="2041" w:firstLineChars="192" w:firstLine="653"/>
      </w:pPr>
      <w:r w:rsidRPr="00C3310F">
        <w:rPr>
          <w:rFonts w:hint="eastAsia"/>
        </w:rPr>
        <w:t>由法務部擔任統籌機關，結合檢警全面查緝各類詐騙犯嫌，並強化贓款查扣工作，俾阻斷詐騙集團金流，協助被害人贓款返還減少被害損失。</w:t>
      </w:r>
    </w:p>
    <w:p w14:paraId="2BD74DB4" w14:textId="77777777" w:rsidR="002800ED" w:rsidRPr="00C3310F" w:rsidRDefault="00002082" w:rsidP="002800ED">
      <w:pPr>
        <w:pStyle w:val="4"/>
      </w:pPr>
      <w:r w:rsidRPr="00C3310F">
        <w:rPr>
          <w:rFonts w:hint="eastAsia"/>
        </w:rPr>
        <w:t>打詐綱領1.0</w:t>
      </w:r>
      <w:r w:rsidR="002800ED" w:rsidRPr="00C3310F">
        <w:rPr>
          <w:rFonts w:hint="eastAsia"/>
        </w:rPr>
        <w:t>具體策略：</w:t>
      </w:r>
    </w:p>
    <w:p w14:paraId="7DCCAEB4" w14:textId="77777777" w:rsidR="00002082" w:rsidRPr="00C3310F" w:rsidRDefault="00ED7E6E" w:rsidP="00002082">
      <w:pPr>
        <w:pStyle w:val="5"/>
      </w:pPr>
      <w:r w:rsidRPr="00C3310F">
        <w:rPr>
          <w:rFonts w:hint="eastAsia"/>
        </w:rPr>
        <w:t>識詐：</w:t>
      </w:r>
    </w:p>
    <w:p w14:paraId="30573810" w14:textId="77777777" w:rsidR="00002082" w:rsidRPr="00C3310F" w:rsidRDefault="00002082" w:rsidP="00002082">
      <w:pPr>
        <w:pStyle w:val="6"/>
      </w:pPr>
      <w:bookmarkStart w:id="398" w:name="_Toc171525449"/>
      <w:bookmarkStart w:id="399" w:name="_Toc172023932"/>
      <w:bookmarkStart w:id="400" w:name="_Toc172033251"/>
      <w:r w:rsidRPr="00C3310F">
        <w:rPr>
          <w:rFonts w:hint="eastAsia"/>
        </w:rPr>
        <w:t>分項指標：</w:t>
      </w:r>
      <w:bookmarkEnd w:id="398"/>
      <w:bookmarkEnd w:id="399"/>
      <w:bookmarkEnd w:id="400"/>
    </w:p>
    <w:p w14:paraId="1D0E7D47" w14:textId="77777777" w:rsidR="00002082" w:rsidRPr="00C3310F" w:rsidRDefault="00002082" w:rsidP="00002082">
      <w:pPr>
        <w:pStyle w:val="7"/>
      </w:pPr>
      <w:r w:rsidRPr="00C3310F">
        <w:rPr>
          <w:rFonts w:hint="eastAsia"/>
        </w:rPr>
        <w:t>每年宣導資訊觸及1,000萬人次。</w:t>
      </w:r>
    </w:p>
    <w:p w14:paraId="4FE8E0DD" w14:textId="45C9177A" w:rsidR="002800ED" w:rsidRPr="00C3310F" w:rsidRDefault="00002082" w:rsidP="00002082">
      <w:pPr>
        <w:pStyle w:val="7"/>
      </w:pPr>
      <w:r w:rsidRPr="00C3310F">
        <w:rPr>
          <w:rFonts w:hint="eastAsia"/>
        </w:rPr>
        <w:t>每年發送防詐簡訊1億2,000萬則。</w:t>
      </w:r>
    </w:p>
    <w:p w14:paraId="3407507C" w14:textId="77777777" w:rsidR="00002082" w:rsidRPr="00C3310F" w:rsidRDefault="00002082" w:rsidP="00ED7E6E">
      <w:pPr>
        <w:pStyle w:val="6"/>
      </w:pPr>
      <w:bookmarkStart w:id="401" w:name="_Toc171525450"/>
      <w:bookmarkStart w:id="402" w:name="_Toc172023933"/>
      <w:bookmarkStart w:id="403" w:name="_Toc172033252"/>
      <w:r w:rsidRPr="00C3310F">
        <w:rPr>
          <w:rFonts w:hint="eastAsia"/>
        </w:rPr>
        <w:t>具體策略：</w:t>
      </w:r>
      <w:bookmarkEnd w:id="401"/>
      <w:bookmarkEnd w:id="402"/>
      <w:bookmarkEnd w:id="403"/>
    </w:p>
    <w:p w14:paraId="17A7627E" w14:textId="77777777" w:rsidR="00ED7E6E" w:rsidRPr="00C3310F" w:rsidRDefault="00ED7E6E" w:rsidP="00002082">
      <w:pPr>
        <w:pStyle w:val="7"/>
      </w:pPr>
      <w:r w:rsidRPr="00C3310F">
        <w:rPr>
          <w:rFonts w:hint="eastAsia"/>
        </w:rPr>
        <w:t>分齡分眾主題式反詐宣導</w:t>
      </w:r>
      <w:r w:rsidR="00266B20" w:rsidRPr="00C3310F">
        <w:rPr>
          <w:rFonts w:hint="eastAsia"/>
        </w:rPr>
        <w:t>。</w:t>
      </w:r>
    </w:p>
    <w:p w14:paraId="0B7A2D28" w14:textId="77777777" w:rsidR="00ED7E6E" w:rsidRPr="00C3310F" w:rsidRDefault="00ED7E6E" w:rsidP="00002082">
      <w:pPr>
        <w:pStyle w:val="7"/>
      </w:pPr>
      <w:r w:rsidRPr="00C3310F">
        <w:rPr>
          <w:rFonts w:hint="eastAsia"/>
        </w:rPr>
        <w:t>落實金融機構關懷提問、即時攔阻</w:t>
      </w:r>
      <w:r w:rsidR="00266B20" w:rsidRPr="00C3310F">
        <w:rPr>
          <w:rFonts w:hint="eastAsia"/>
        </w:rPr>
        <w:t>。</w:t>
      </w:r>
    </w:p>
    <w:p w14:paraId="6922FF8A" w14:textId="77777777" w:rsidR="00ED7E6E" w:rsidRPr="00C3310F" w:rsidRDefault="00ED7E6E" w:rsidP="00ED7E6E">
      <w:pPr>
        <w:pStyle w:val="5"/>
      </w:pPr>
      <w:r w:rsidRPr="00C3310F">
        <w:rPr>
          <w:rFonts w:hint="eastAsia"/>
        </w:rPr>
        <w:t>堵詐：</w:t>
      </w:r>
    </w:p>
    <w:p w14:paraId="7EB2512F" w14:textId="77777777" w:rsidR="00002082" w:rsidRPr="00C3310F" w:rsidRDefault="00002082" w:rsidP="00002082">
      <w:pPr>
        <w:pStyle w:val="6"/>
      </w:pPr>
      <w:bookmarkStart w:id="404" w:name="_Toc171525451"/>
      <w:bookmarkStart w:id="405" w:name="_Toc172023934"/>
      <w:bookmarkStart w:id="406" w:name="_Toc172033253"/>
      <w:r w:rsidRPr="00C3310F">
        <w:rPr>
          <w:rFonts w:hint="eastAsia"/>
        </w:rPr>
        <w:t>分項指標：</w:t>
      </w:r>
      <w:bookmarkEnd w:id="404"/>
      <w:bookmarkEnd w:id="405"/>
      <w:bookmarkEnd w:id="406"/>
    </w:p>
    <w:p w14:paraId="19E1622D" w14:textId="77777777" w:rsidR="00002082" w:rsidRPr="00C3310F" w:rsidRDefault="00002082" w:rsidP="00002082">
      <w:pPr>
        <w:pStyle w:val="7"/>
      </w:pPr>
      <w:r w:rsidRPr="00C3310F">
        <w:rPr>
          <w:rFonts w:hint="eastAsia"/>
        </w:rPr>
        <w:t>每年攔阻簡訊3,000萬則。</w:t>
      </w:r>
    </w:p>
    <w:p w14:paraId="7680139D" w14:textId="77777777" w:rsidR="00002082" w:rsidRPr="00C3310F" w:rsidRDefault="00002082" w:rsidP="00002082">
      <w:pPr>
        <w:pStyle w:val="7"/>
      </w:pPr>
      <w:r w:rsidRPr="00C3310F">
        <w:rPr>
          <w:rFonts w:hint="eastAsia"/>
        </w:rPr>
        <w:t>人頭門號停斷話5,000門。</w:t>
      </w:r>
    </w:p>
    <w:p w14:paraId="2A7D61E0" w14:textId="77777777" w:rsidR="00002082" w:rsidRPr="00C3310F" w:rsidRDefault="00002082" w:rsidP="00266B20">
      <w:pPr>
        <w:pStyle w:val="6"/>
      </w:pPr>
      <w:bookmarkStart w:id="407" w:name="_Toc171525452"/>
      <w:bookmarkStart w:id="408" w:name="_Toc172023935"/>
      <w:bookmarkStart w:id="409" w:name="_Toc172033254"/>
      <w:r w:rsidRPr="00C3310F">
        <w:rPr>
          <w:rFonts w:hint="eastAsia"/>
        </w:rPr>
        <w:t>具體策略：</w:t>
      </w:r>
      <w:bookmarkEnd w:id="407"/>
      <w:bookmarkEnd w:id="408"/>
      <w:bookmarkEnd w:id="409"/>
    </w:p>
    <w:p w14:paraId="2720A153" w14:textId="77777777" w:rsidR="00ED7E6E" w:rsidRPr="00C3310F" w:rsidRDefault="00266B20" w:rsidP="00002082">
      <w:pPr>
        <w:pStyle w:val="7"/>
      </w:pPr>
      <w:r w:rsidRPr="00C3310F">
        <w:rPr>
          <w:rFonts w:hint="eastAsia"/>
        </w:rPr>
        <w:t>防杜境外竄改來話詐騙。</w:t>
      </w:r>
    </w:p>
    <w:p w14:paraId="29D9A38D" w14:textId="77777777" w:rsidR="00266B20" w:rsidRPr="00C3310F" w:rsidRDefault="00266B20" w:rsidP="00002082">
      <w:pPr>
        <w:pStyle w:val="7"/>
      </w:pPr>
      <w:r w:rsidRPr="00C3310F">
        <w:rPr>
          <w:rFonts w:hint="eastAsia"/>
        </w:rPr>
        <w:t>遏止人頭門號詐騙工具。</w:t>
      </w:r>
    </w:p>
    <w:p w14:paraId="1D642D1E" w14:textId="77777777" w:rsidR="00266B20" w:rsidRPr="00C3310F" w:rsidRDefault="00266B20" w:rsidP="00002082">
      <w:pPr>
        <w:pStyle w:val="7"/>
      </w:pPr>
      <w:r w:rsidRPr="00C3310F">
        <w:rPr>
          <w:rFonts w:hint="eastAsia"/>
        </w:rPr>
        <w:t>防杜簡訊業者幫助詐騙及建立惡意簡訊攔阻機制</w:t>
      </w:r>
      <w:r w:rsidR="00E00027" w:rsidRPr="00C3310F">
        <w:rPr>
          <w:rFonts w:hint="eastAsia"/>
        </w:rPr>
        <w:t>。</w:t>
      </w:r>
    </w:p>
    <w:p w14:paraId="2723AA06" w14:textId="77777777" w:rsidR="00266B20" w:rsidRPr="00C3310F" w:rsidRDefault="00266B20" w:rsidP="00002082">
      <w:pPr>
        <w:pStyle w:val="7"/>
      </w:pPr>
      <w:r w:rsidRPr="00C3310F">
        <w:rPr>
          <w:rFonts w:hint="eastAsia"/>
        </w:rPr>
        <w:t>加強電商業者資安維護</w:t>
      </w:r>
      <w:r w:rsidR="00002082" w:rsidRPr="00C3310F">
        <w:rPr>
          <w:rFonts w:hint="eastAsia"/>
        </w:rPr>
        <w:t>。</w:t>
      </w:r>
    </w:p>
    <w:p w14:paraId="1E3E5EA8" w14:textId="77777777" w:rsidR="00266B20" w:rsidRPr="00C3310F" w:rsidRDefault="00002082" w:rsidP="00002082">
      <w:pPr>
        <w:pStyle w:val="7"/>
      </w:pPr>
      <w:r w:rsidRPr="00C3310F">
        <w:rPr>
          <w:rFonts w:hint="eastAsia"/>
        </w:rPr>
        <w:t>遏止詐騙網頁刊登。</w:t>
      </w:r>
    </w:p>
    <w:p w14:paraId="59C20887" w14:textId="77777777" w:rsidR="00002082" w:rsidRPr="00C3310F" w:rsidRDefault="00002082" w:rsidP="00002082">
      <w:pPr>
        <w:pStyle w:val="7"/>
      </w:pPr>
      <w:r w:rsidRPr="00C3310F">
        <w:rPr>
          <w:rFonts w:hint="eastAsia"/>
        </w:rPr>
        <w:t>管理及防制VPN業者詐騙。</w:t>
      </w:r>
    </w:p>
    <w:p w14:paraId="03CE1769" w14:textId="77777777" w:rsidR="00002082" w:rsidRPr="00C3310F" w:rsidRDefault="00002082" w:rsidP="00002082">
      <w:pPr>
        <w:pStyle w:val="5"/>
      </w:pPr>
      <w:r w:rsidRPr="00C3310F">
        <w:rPr>
          <w:rFonts w:hint="eastAsia"/>
        </w:rPr>
        <w:t>阻詐：</w:t>
      </w:r>
    </w:p>
    <w:p w14:paraId="1464CDFF" w14:textId="77777777" w:rsidR="00002082" w:rsidRPr="00C3310F" w:rsidRDefault="00002082" w:rsidP="00002082">
      <w:pPr>
        <w:pStyle w:val="6"/>
      </w:pPr>
      <w:bookmarkStart w:id="410" w:name="_Toc171525453"/>
      <w:bookmarkStart w:id="411" w:name="_Toc172023936"/>
      <w:bookmarkStart w:id="412" w:name="_Toc172033255"/>
      <w:r w:rsidRPr="00C3310F">
        <w:rPr>
          <w:rFonts w:hint="eastAsia"/>
        </w:rPr>
        <w:lastRenderedPageBreak/>
        <w:t>分項指標：</w:t>
      </w:r>
      <w:bookmarkEnd w:id="410"/>
      <w:bookmarkEnd w:id="411"/>
      <w:bookmarkEnd w:id="412"/>
    </w:p>
    <w:p w14:paraId="7A3F619C" w14:textId="77777777" w:rsidR="00002082" w:rsidRPr="00C3310F" w:rsidRDefault="00002082" w:rsidP="00002082">
      <w:pPr>
        <w:pStyle w:val="7"/>
      </w:pPr>
      <w:r w:rsidRPr="00C3310F">
        <w:rPr>
          <w:rFonts w:hint="eastAsia"/>
        </w:rPr>
        <w:t>本國銀行全體(100%)將銀行公會彙整之共通性異常交易態樣納入內部預警指標。</w:t>
      </w:r>
    </w:p>
    <w:p w14:paraId="6C90A3CB" w14:textId="77777777" w:rsidR="00002082" w:rsidRPr="00C3310F" w:rsidRDefault="00002082" w:rsidP="00002082">
      <w:pPr>
        <w:pStyle w:val="7"/>
      </w:pPr>
      <w:r w:rsidRPr="00C3310F">
        <w:rPr>
          <w:rFonts w:hint="eastAsia"/>
        </w:rPr>
        <w:t>本國銀行全體(100%)設立「疑涉詐欺境外金融帳戶預警機制」。</w:t>
      </w:r>
    </w:p>
    <w:p w14:paraId="03E881FC" w14:textId="77777777" w:rsidR="00002082" w:rsidRPr="00C3310F" w:rsidRDefault="00002082" w:rsidP="00002082">
      <w:pPr>
        <w:pStyle w:val="6"/>
      </w:pPr>
      <w:bookmarkStart w:id="413" w:name="_Toc171525454"/>
      <w:bookmarkStart w:id="414" w:name="_Toc172023937"/>
      <w:bookmarkStart w:id="415" w:name="_Toc172033256"/>
      <w:r w:rsidRPr="00C3310F">
        <w:rPr>
          <w:rFonts w:hint="eastAsia"/>
        </w:rPr>
        <w:t>具體策略：</w:t>
      </w:r>
      <w:bookmarkEnd w:id="413"/>
      <w:bookmarkEnd w:id="414"/>
      <w:bookmarkEnd w:id="415"/>
    </w:p>
    <w:p w14:paraId="09CF4EEE" w14:textId="77777777" w:rsidR="00002082" w:rsidRPr="00C3310F" w:rsidRDefault="00002082" w:rsidP="00002082">
      <w:pPr>
        <w:pStyle w:val="7"/>
      </w:pPr>
      <w:r w:rsidRPr="00C3310F">
        <w:rPr>
          <w:rFonts w:hint="eastAsia"/>
        </w:rPr>
        <w:t>防制人頭帳戶進行詐騙。</w:t>
      </w:r>
    </w:p>
    <w:p w14:paraId="7113C4A5" w14:textId="77777777" w:rsidR="00002082" w:rsidRPr="00C3310F" w:rsidRDefault="00002082" w:rsidP="00002082">
      <w:pPr>
        <w:pStyle w:val="7"/>
      </w:pPr>
      <w:r w:rsidRPr="00C3310F">
        <w:rPr>
          <w:rFonts w:hint="eastAsia"/>
        </w:rPr>
        <w:t>防制第三方支付詐騙。</w:t>
      </w:r>
    </w:p>
    <w:p w14:paraId="1E6BD306" w14:textId="77777777" w:rsidR="00002082" w:rsidRPr="00C3310F" w:rsidRDefault="00002082" w:rsidP="00002082">
      <w:pPr>
        <w:pStyle w:val="7"/>
      </w:pPr>
      <w:r w:rsidRPr="00C3310F">
        <w:rPr>
          <w:rFonts w:hint="eastAsia"/>
        </w:rPr>
        <w:t>制定虛擬通貨洗錢防制管理規範。</w:t>
      </w:r>
    </w:p>
    <w:p w14:paraId="298B4201" w14:textId="77777777" w:rsidR="00002082" w:rsidRPr="00C3310F" w:rsidRDefault="00002082" w:rsidP="00002082">
      <w:pPr>
        <w:pStyle w:val="7"/>
      </w:pPr>
      <w:r w:rsidRPr="00C3310F">
        <w:rPr>
          <w:rFonts w:hint="eastAsia"/>
        </w:rPr>
        <w:t>防制遊戲點數成為詐騙工具。</w:t>
      </w:r>
    </w:p>
    <w:p w14:paraId="5E6FFC60" w14:textId="77777777" w:rsidR="00002082" w:rsidRPr="00C3310F" w:rsidRDefault="00002082" w:rsidP="00002082">
      <w:pPr>
        <w:pStyle w:val="7"/>
      </w:pPr>
      <w:r w:rsidRPr="00C3310F">
        <w:rPr>
          <w:rFonts w:hint="eastAsia"/>
        </w:rPr>
        <w:t>防制貨到付款、一頁式詐騙。</w:t>
      </w:r>
    </w:p>
    <w:p w14:paraId="0931CAD1" w14:textId="77777777" w:rsidR="00002082" w:rsidRPr="00C3310F" w:rsidRDefault="00002082" w:rsidP="00002082">
      <w:pPr>
        <w:pStyle w:val="5"/>
      </w:pPr>
      <w:r w:rsidRPr="00C3310F">
        <w:rPr>
          <w:rFonts w:hint="eastAsia"/>
        </w:rPr>
        <w:t>懲詐：</w:t>
      </w:r>
    </w:p>
    <w:p w14:paraId="563E6288" w14:textId="77777777" w:rsidR="00002082" w:rsidRPr="00C3310F" w:rsidRDefault="00002082" w:rsidP="00002082">
      <w:pPr>
        <w:pStyle w:val="6"/>
      </w:pPr>
      <w:bookmarkStart w:id="416" w:name="_Toc171525455"/>
      <w:bookmarkStart w:id="417" w:name="_Toc172023938"/>
      <w:bookmarkStart w:id="418" w:name="_Toc172033257"/>
      <w:r w:rsidRPr="00C3310F">
        <w:rPr>
          <w:rFonts w:hint="eastAsia"/>
        </w:rPr>
        <w:t>分項指標：每年電信詐騙案件查獲集團數提高3%。</w:t>
      </w:r>
      <w:bookmarkEnd w:id="416"/>
      <w:bookmarkEnd w:id="417"/>
      <w:bookmarkEnd w:id="418"/>
    </w:p>
    <w:p w14:paraId="3256D47F" w14:textId="77777777" w:rsidR="00002082" w:rsidRPr="00C3310F" w:rsidRDefault="00002082" w:rsidP="00002082">
      <w:pPr>
        <w:pStyle w:val="6"/>
      </w:pPr>
      <w:bookmarkStart w:id="419" w:name="_Toc171525456"/>
      <w:bookmarkStart w:id="420" w:name="_Toc172023939"/>
      <w:bookmarkStart w:id="421" w:name="_Toc172033258"/>
      <w:r w:rsidRPr="00C3310F">
        <w:rPr>
          <w:rFonts w:hint="eastAsia"/>
        </w:rPr>
        <w:t>具體策略：</w:t>
      </w:r>
      <w:bookmarkEnd w:id="419"/>
      <w:bookmarkEnd w:id="420"/>
      <w:bookmarkEnd w:id="421"/>
    </w:p>
    <w:p w14:paraId="4822E4DA" w14:textId="77777777" w:rsidR="00002082" w:rsidRPr="00C3310F" w:rsidRDefault="00002082" w:rsidP="00002082">
      <w:pPr>
        <w:pStyle w:val="7"/>
      </w:pPr>
      <w:r w:rsidRPr="00C3310F">
        <w:rPr>
          <w:rFonts w:hint="eastAsia"/>
        </w:rPr>
        <w:t>瓦解電信網路詐欺集團。</w:t>
      </w:r>
    </w:p>
    <w:p w14:paraId="7DB25B6E" w14:textId="77777777" w:rsidR="00002082" w:rsidRPr="00C3310F" w:rsidRDefault="00002082" w:rsidP="00002082">
      <w:pPr>
        <w:pStyle w:val="7"/>
      </w:pPr>
      <w:r w:rsidRPr="00C3310F">
        <w:rPr>
          <w:rFonts w:hint="eastAsia"/>
        </w:rPr>
        <w:t>強化查緝跨境詐欺犯罪能量，遏止境外犯罪。</w:t>
      </w:r>
    </w:p>
    <w:p w14:paraId="3E6A7BCE" w14:textId="77777777" w:rsidR="00EF2F32" w:rsidRPr="00C3310F" w:rsidRDefault="00EF2F32" w:rsidP="00540128">
      <w:pPr>
        <w:pStyle w:val="3"/>
      </w:pPr>
      <w:bookmarkStart w:id="422" w:name="_Toc171525457"/>
      <w:bookmarkStart w:id="423" w:name="_Toc172023940"/>
      <w:bookmarkStart w:id="424" w:name="_Toc172033259"/>
      <w:r w:rsidRPr="00C3310F">
        <w:rPr>
          <w:rFonts w:hint="eastAsia"/>
        </w:rPr>
        <w:t>打詐五法：</w:t>
      </w:r>
      <w:bookmarkStart w:id="425" w:name="_Toc171525458"/>
      <w:bookmarkEnd w:id="422"/>
      <w:r w:rsidRPr="00C3310F">
        <w:rPr>
          <w:rFonts w:hint="eastAsia"/>
        </w:rPr>
        <w:t>政府訂定打詐綱領1.0版，然電信網路詐騙案件數量仍持續暴增，為有效遏止詐欺犯罪，</w:t>
      </w:r>
      <w:r w:rsidR="00376193" w:rsidRPr="00C3310F">
        <w:rPr>
          <w:rFonts w:hint="eastAsia"/>
        </w:rPr>
        <w:t>政府陸續</w:t>
      </w:r>
      <w:r w:rsidRPr="00C3310F">
        <w:rPr>
          <w:rFonts w:hint="eastAsia"/>
        </w:rPr>
        <w:t>修訂《刑法》、《人口販運防制法》、《個人資料保護法》、《洗錢防制法》、《證券投資信託及顧問法》等打詐五法修正草案，並於112年5月30日經立法院三讀通過。</w:t>
      </w:r>
      <w:bookmarkEnd w:id="423"/>
      <w:bookmarkEnd w:id="424"/>
      <w:bookmarkEnd w:id="425"/>
    </w:p>
    <w:p w14:paraId="161C5698" w14:textId="77777777" w:rsidR="00EF2F32" w:rsidRPr="00C3310F" w:rsidRDefault="00EF2F32" w:rsidP="00FE6929">
      <w:pPr>
        <w:pStyle w:val="4"/>
        <w:numPr>
          <w:ilvl w:val="3"/>
          <w:numId w:val="26"/>
        </w:numPr>
      </w:pPr>
      <w:r w:rsidRPr="00C3310F">
        <w:rPr>
          <w:rFonts w:hint="eastAsia"/>
        </w:rPr>
        <w:t>刑法修正：</w:t>
      </w:r>
    </w:p>
    <w:p w14:paraId="5832C701" w14:textId="77777777" w:rsidR="00EF2F32" w:rsidRPr="00C3310F" w:rsidRDefault="00EF2F32" w:rsidP="00FE6929">
      <w:pPr>
        <w:pStyle w:val="5"/>
        <w:numPr>
          <w:ilvl w:val="4"/>
          <w:numId w:val="26"/>
        </w:numPr>
      </w:pPr>
      <w:r w:rsidRPr="00C3310F">
        <w:rPr>
          <w:rFonts w:hint="eastAsia"/>
        </w:rPr>
        <w:t>為因應詐欺犯罪型態之轉變，增訂加重剝奪行動自由罪，並新增刑法加重詐欺罪之加重處罰事由，使我國刑法規範面與時俱進，周延保障民眾之人身、自由及財產安全。</w:t>
      </w:r>
    </w:p>
    <w:p w14:paraId="2F095DA3" w14:textId="77777777" w:rsidR="00EF2F32" w:rsidRPr="00C3310F" w:rsidRDefault="00EF2F32" w:rsidP="00FE6929">
      <w:pPr>
        <w:pStyle w:val="5"/>
        <w:numPr>
          <w:ilvl w:val="4"/>
          <w:numId w:val="26"/>
        </w:numPr>
      </w:pPr>
      <w:r w:rsidRPr="00C3310F">
        <w:rPr>
          <w:rFonts w:hint="eastAsia"/>
        </w:rPr>
        <w:t>修正重點如下：</w:t>
      </w:r>
    </w:p>
    <w:p w14:paraId="1559FBC0" w14:textId="77777777" w:rsidR="00EF2F32" w:rsidRPr="00C3310F" w:rsidRDefault="00EF2F32" w:rsidP="00FE6929">
      <w:pPr>
        <w:pStyle w:val="6"/>
        <w:numPr>
          <w:ilvl w:val="5"/>
          <w:numId w:val="26"/>
        </w:numPr>
      </w:pPr>
      <w:bookmarkStart w:id="426" w:name="_Toc171525459"/>
      <w:bookmarkStart w:id="427" w:name="_Toc172023941"/>
      <w:bookmarkStart w:id="428" w:name="_Toc172033260"/>
      <w:r w:rsidRPr="00C3310F">
        <w:rPr>
          <w:rFonts w:hint="eastAsia"/>
        </w:rPr>
        <w:lastRenderedPageBreak/>
        <w:t>增訂加重剝奪行動自由罪。</w:t>
      </w:r>
      <w:bookmarkEnd w:id="426"/>
      <w:bookmarkEnd w:id="427"/>
      <w:bookmarkEnd w:id="428"/>
    </w:p>
    <w:p w14:paraId="381BBDCE" w14:textId="77777777" w:rsidR="00EF2F32" w:rsidRPr="00C3310F" w:rsidRDefault="00EF2F32" w:rsidP="00FE6929">
      <w:pPr>
        <w:pStyle w:val="6"/>
        <w:numPr>
          <w:ilvl w:val="5"/>
          <w:numId w:val="26"/>
        </w:numPr>
      </w:pPr>
      <w:bookmarkStart w:id="429" w:name="_Toc171525460"/>
      <w:bookmarkStart w:id="430" w:name="_Toc172023942"/>
      <w:bookmarkStart w:id="431" w:name="_Toc172033261"/>
      <w:r w:rsidRPr="00C3310F">
        <w:rPr>
          <w:rFonts w:hint="eastAsia"/>
        </w:rPr>
        <w:t>增訂加重詐欺罪之加重處罰事由，將利用深偽影像及聲音之犯罪手法納入規定，以強化我國刑法之規範密度。</w:t>
      </w:r>
      <w:bookmarkEnd w:id="429"/>
      <w:bookmarkEnd w:id="430"/>
      <w:bookmarkEnd w:id="431"/>
    </w:p>
    <w:p w14:paraId="1B4D6580" w14:textId="77777777" w:rsidR="00EF2F32" w:rsidRPr="00C3310F" w:rsidRDefault="00EF2F32" w:rsidP="00FE6929">
      <w:pPr>
        <w:pStyle w:val="4"/>
        <w:numPr>
          <w:ilvl w:val="3"/>
          <w:numId w:val="26"/>
        </w:numPr>
      </w:pPr>
      <w:r w:rsidRPr="00C3310F">
        <w:rPr>
          <w:rFonts w:hint="eastAsia"/>
        </w:rPr>
        <w:t>人口販運防制法：</w:t>
      </w:r>
    </w:p>
    <w:p w14:paraId="033B94EE" w14:textId="77777777" w:rsidR="00EF2F32" w:rsidRPr="00C3310F" w:rsidRDefault="00EF2F32" w:rsidP="00FE6929">
      <w:pPr>
        <w:pStyle w:val="5"/>
        <w:numPr>
          <w:ilvl w:val="4"/>
          <w:numId w:val="26"/>
        </w:numPr>
      </w:pPr>
      <w:r w:rsidRPr="00C3310F">
        <w:rPr>
          <w:rFonts w:hint="eastAsia"/>
        </w:rPr>
        <w:t>國人遭詐騙至境外拘禁從事具勞動性質之犯罪活動事件層出不窮，為嚇阻人口販運行為並強化被害人權益保障。</w:t>
      </w:r>
    </w:p>
    <w:p w14:paraId="1FCD0F22" w14:textId="77777777" w:rsidR="00EF2F32" w:rsidRPr="00C3310F" w:rsidRDefault="00EF2F32" w:rsidP="00FE6929">
      <w:pPr>
        <w:pStyle w:val="5"/>
        <w:numPr>
          <w:ilvl w:val="4"/>
          <w:numId w:val="26"/>
        </w:numPr>
      </w:pPr>
      <w:r w:rsidRPr="00C3310F">
        <w:rPr>
          <w:rFonts w:hint="eastAsia"/>
        </w:rPr>
        <w:t>修正重點：</w:t>
      </w:r>
    </w:p>
    <w:p w14:paraId="18CA4653" w14:textId="77777777" w:rsidR="00EF2F32" w:rsidRPr="00C3310F" w:rsidRDefault="00EF2F32" w:rsidP="00FE6929">
      <w:pPr>
        <w:pStyle w:val="6"/>
        <w:numPr>
          <w:ilvl w:val="5"/>
          <w:numId w:val="26"/>
        </w:numPr>
      </w:pPr>
      <w:bookmarkStart w:id="432" w:name="_Toc171525461"/>
      <w:bookmarkStart w:id="433" w:name="_Toc172023943"/>
      <w:bookmarkStart w:id="434" w:name="_Toc172033262"/>
      <w:r w:rsidRPr="00C3310F">
        <w:rPr>
          <w:rFonts w:hint="eastAsia"/>
        </w:rPr>
        <w:t>擴大人口販運之行為態樣明確化人口販運行為之定義。</w:t>
      </w:r>
      <w:bookmarkEnd w:id="432"/>
      <w:bookmarkEnd w:id="433"/>
      <w:bookmarkEnd w:id="434"/>
    </w:p>
    <w:p w14:paraId="22F8A6C3" w14:textId="77777777" w:rsidR="00EF2F32" w:rsidRPr="00C3310F" w:rsidRDefault="00EF2F32" w:rsidP="00FE6929">
      <w:pPr>
        <w:pStyle w:val="6"/>
        <w:numPr>
          <w:ilvl w:val="5"/>
          <w:numId w:val="26"/>
        </w:numPr>
      </w:pPr>
      <w:bookmarkStart w:id="435" w:name="_Toc171525462"/>
      <w:bookmarkStart w:id="436" w:name="_Toc172023944"/>
      <w:bookmarkStart w:id="437" w:name="_Toc172033263"/>
      <w:r w:rsidRPr="00C3310F">
        <w:rPr>
          <w:rFonts w:hint="eastAsia"/>
        </w:rPr>
        <w:t>增訂「實行依我國法律有刑罰規定之行為」之不法作為樣態，係由勞動與報酬顯不相當工作衍生而來，故應與涉及持續剝削勞動力之不法行為相關者，方屬之；另所實行之行為僅須為我國刑法所禁止，並不以確實構成刑事責任為必要，否則無從涵蓋未達刑事責任年齡之兒童實施犯罪行為，或其他不具備違法性或責任能力之情形。</w:t>
      </w:r>
      <w:bookmarkEnd w:id="435"/>
      <w:bookmarkEnd w:id="436"/>
      <w:bookmarkEnd w:id="437"/>
    </w:p>
    <w:p w14:paraId="38223AB1" w14:textId="77777777" w:rsidR="00EF2F32" w:rsidRPr="00C3310F" w:rsidRDefault="00EF2F32" w:rsidP="00FE6929">
      <w:pPr>
        <w:pStyle w:val="6"/>
        <w:numPr>
          <w:ilvl w:val="5"/>
          <w:numId w:val="26"/>
        </w:numPr>
      </w:pPr>
      <w:bookmarkStart w:id="438" w:name="_Toc171525463"/>
      <w:bookmarkStart w:id="439" w:name="_Toc172023945"/>
      <w:bookmarkStart w:id="440" w:name="_Toc172033264"/>
      <w:r w:rsidRPr="00C3310F">
        <w:rPr>
          <w:rFonts w:hint="eastAsia"/>
        </w:rPr>
        <w:t>擴大處罰範圍並提高人口販運罪刑責。</w:t>
      </w:r>
      <w:bookmarkEnd w:id="438"/>
      <w:bookmarkEnd w:id="439"/>
      <w:bookmarkEnd w:id="440"/>
    </w:p>
    <w:p w14:paraId="14326674" w14:textId="77777777" w:rsidR="00EF2F32" w:rsidRPr="00C3310F" w:rsidRDefault="00EF2F32" w:rsidP="00FE6929">
      <w:pPr>
        <w:pStyle w:val="6"/>
        <w:numPr>
          <w:ilvl w:val="5"/>
          <w:numId w:val="26"/>
        </w:numPr>
      </w:pPr>
      <w:bookmarkStart w:id="441" w:name="_Toc171525464"/>
      <w:bookmarkStart w:id="442" w:name="_Toc172023946"/>
      <w:bookmarkStart w:id="443" w:name="_Toc172033265"/>
      <w:r w:rsidRPr="00C3310F">
        <w:rPr>
          <w:rFonts w:hint="eastAsia"/>
        </w:rPr>
        <w:t>增訂以強暴、脅迫、恐嚇、拘禁、監控、藥劑、催眠術、詐術或其他相類之方法，使人提供勞務者，屬犯罪行為；意圖營利犯前開之罪者，加重處罰。</w:t>
      </w:r>
      <w:bookmarkEnd w:id="441"/>
      <w:bookmarkEnd w:id="442"/>
      <w:bookmarkEnd w:id="443"/>
    </w:p>
    <w:p w14:paraId="6C9134EC" w14:textId="77777777" w:rsidR="00EF2F32" w:rsidRPr="00C3310F" w:rsidRDefault="00EF2F32" w:rsidP="00FE6929">
      <w:pPr>
        <w:pStyle w:val="6"/>
        <w:numPr>
          <w:ilvl w:val="5"/>
          <w:numId w:val="26"/>
        </w:numPr>
      </w:pPr>
      <w:bookmarkStart w:id="444" w:name="_Toc171525465"/>
      <w:bookmarkStart w:id="445" w:name="_Toc172023947"/>
      <w:bookmarkStart w:id="446" w:name="_Toc172033266"/>
      <w:r w:rsidRPr="00C3310F">
        <w:rPr>
          <w:rFonts w:hint="eastAsia"/>
        </w:rPr>
        <w:t>增訂人口販運被害人對鑑別結果不服之救濟程序。</w:t>
      </w:r>
      <w:bookmarkEnd w:id="444"/>
      <w:bookmarkEnd w:id="445"/>
      <w:bookmarkEnd w:id="446"/>
    </w:p>
    <w:p w14:paraId="19A83833" w14:textId="77777777" w:rsidR="00EF2F32" w:rsidRPr="00C3310F" w:rsidRDefault="00EF2F32" w:rsidP="00FE6929">
      <w:pPr>
        <w:pStyle w:val="6"/>
        <w:numPr>
          <w:ilvl w:val="5"/>
          <w:numId w:val="26"/>
        </w:numPr>
      </w:pPr>
      <w:bookmarkStart w:id="447" w:name="_Toc171525466"/>
      <w:bookmarkStart w:id="448" w:name="_Toc172023948"/>
      <w:bookmarkStart w:id="449" w:name="_Toc172033267"/>
      <w:r w:rsidRPr="00C3310F">
        <w:rPr>
          <w:rFonts w:hint="eastAsia"/>
        </w:rPr>
        <w:t>增訂人口販運被害人及疑似被害人之「非機構式安置服務」。</w:t>
      </w:r>
      <w:bookmarkEnd w:id="447"/>
      <w:bookmarkEnd w:id="448"/>
      <w:bookmarkEnd w:id="449"/>
    </w:p>
    <w:p w14:paraId="6580B6BF" w14:textId="77777777" w:rsidR="00EF2F32" w:rsidRPr="00C3310F" w:rsidRDefault="00EF2F32" w:rsidP="00FE6929">
      <w:pPr>
        <w:pStyle w:val="6"/>
        <w:numPr>
          <w:ilvl w:val="5"/>
          <w:numId w:val="26"/>
        </w:numPr>
      </w:pPr>
      <w:bookmarkStart w:id="450" w:name="_Toc171525467"/>
      <w:bookmarkStart w:id="451" w:name="_Toc172023949"/>
      <w:bookmarkStart w:id="452" w:name="_Toc172033268"/>
      <w:r w:rsidRPr="00C3310F">
        <w:rPr>
          <w:rFonts w:hint="eastAsia"/>
        </w:rPr>
        <w:t>增訂人口販運被害人或其家屬為假扣押或假處分之聲請時，得以被害人鑑別通知書代替</w:t>
      </w:r>
      <w:r w:rsidRPr="00C3310F">
        <w:rPr>
          <w:rFonts w:hint="eastAsia"/>
        </w:rPr>
        <w:lastRenderedPageBreak/>
        <w:t>保全原因之釋明，並免提供擔保金。</w:t>
      </w:r>
      <w:bookmarkEnd w:id="450"/>
      <w:bookmarkEnd w:id="451"/>
      <w:bookmarkEnd w:id="452"/>
    </w:p>
    <w:p w14:paraId="15EF9C66" w14:textId="77777777" w:rsidR="00EF2F32" w:rsidRPr="00C3310F" w:rsidRDefault="00EF2F32" w:rsidP="00FE6929">
      <w:pPr>
        <w:pStyle w:val="6"/>
        <w:numPr>
          <w:ilvl w:val="5"/>
          <w:numId w:val="26"/>
        </w:numPr>
      </w:pPr>
      <w:bookmarkStart w:id="453" w:name="_Toc171525468"/>
      <w:bookmarkStart w:id="454" w:name="_Toc172023950"/>
      <w:bookmarkStart w:id="455" w:name="_Toc172033269"/>
      <w:r w:rsidRPr="00C3310F">
        <w:rPr>
          <w:rFonts w:hint="eastAsia"/>
        </w:rPr>
        <w:t>增訂犯人口販運罪經有罪判決確定者，自判決確定之日起5年內不得參加政府採購投標或作為決標對象或分包廠商。</w:t>
      </w:r>
      <w:bookmarkEnd w:id="453"/>
      <w:bookmarkEnd w:id="454"/>
      <w:bookmarkEnd w:id="455"/>
    </w:p>
    <w:p w14:paraId="244FB4D2" w14:textId="77777777" w:rsidR="00EF2F32" w:rsidRPr="00C3310F" w:rsidRDefault="00EF2F32" w:rsidP="00FE6929">
      <w:pPr>
        <w:pStyle w:val="4"/>
        <w:numPr>
          <w:ilvl w:val="3"/>
          <w:numId w:val="26"/>
        </w:numPr>
      </w:pPr>
      <w:r w:rsidRPr="00C3310F">
        <w:rPr>
          <w:rFonts w:hint="eastAsia"/>
        </w:rPr>
        <w:t>個人資料保護法：</w:t>
      </w:r>
    </w:p>
    <w:p w14:paraId="20D8A5DF" w14:textId="77777777" w:rsidR="00EF2F32" w:rsidRPr="00C3310F" w:rsidRDefault="00EF2F32" w:rsidP="00FE6929">
      <w:pPr>
        <w:pStyle w:val="5"/>
        <w:numPr>
          <w:ilvl w:val="4"/>
          <w:numId w:val="26"/>
        </w:numPr>
      </w:pPr>
      <w:bookmarkStart w:id="456" w:name="_Hlk171408795"/>
      <w:r w:rsidRPr="00C3310F">
        <w:rPr>
          <w:rFonts w:hint="eastAsia"/>
        </w:rPr>
        <w:t>鑑於詐騙犯罪之猖獗實與民眾個資外洩事件息息相關，降低個資外洩情形確實有助於防堵詐騙案件發生，為促使民間企業確實履行個資安全維護義務，並強化非公務機關對於個資保護的重視。</w:t>
      </w:r>
      <w:bookmarkEnd w:id="456"/>
    </w:p>
    <w:p w14:paraId="32601DBA" w14:textId="77777777" w:rsidR="00EF2F32" w:rsidRPr="00C3310F" w:rsidRDefault="00EF2F32" w:rsidP="00FE6929">
      <w:pPr>
        <w:pStyle w:val="5"/>
        <w:numPr>
          <w:ilvl w:val="4"/>
          <w:numId w:val="26"/>
        </w:numPr>
      </w:pPr>
      <w:r w:rsidRPr="00C3310F">
        <w:rPr>
          <w:rFonts w:hint="eastAsia"/>
        </w:rPr>
        <w:t>修正重點：</w:t>
      </w:r>
    </w:p>
    <w:p w14:paraId="2C612783" w14:textId="77777777" w:rsidR="00EF2F32" w:rsidRPr="00C3310F" w:rsidRDefault="00EF2F32" w:rsidP="00FE6929">
      <w:pPr>
        <w:pStyle w:val="6"/>
        <w:numPr>
          <w:ilvl w:val="5"/>
          <w:numId w:val="26"/>
        </w:numPr>
      </w:pPr>
      <w:bookmarkStart w:id="457" w:name="_Toc171525469"/>
      <w:bookmarkStart w:id="458" w:name="_Toc172023951"/>
      <w:bookmarkStart w:id="459" w:name="_Toc172033270"/>
      <w:r w:rsidRPr="00C3310F">
        <w:rPr>
          <w:rFonts w:hint="eastAsia"/>
        </w:rPr>
        <w:t>設立「個人資料保護委員會」為本法之專責主管機關。</w:t>
      </w:r>
      <w:bookmarkEnd w:id="457"/>
      <w:bookmarkEnd w:id="458"/>
      <w:bookmarkEnd w:id="459"/>
    </w:p>
    <w:p w14:paraId="2635963F" w14:textId="77777777" w:rsidR="00EF2F32" w:rsidRPr="00C3310F" w:rsidRDefault="00EF2F32" w:rsidP="00FE6929">
      <w:pPr>
        <w:pStyle w:val="6"/>
        <w:numPr>
          <w:ilvl w:val="5"/>
          <w:numId w:val="26"/>
        </w:numPr>
      </w:pPr>
      <w:bookmarkStart w:id="460" w:name="_Toc171525470"/>
      <w:bookmarkStart w:id="461" w:name="_Toc172023952"/>
      <w:bookmarkStart w:id="462" w:name="_Toc172033271"/>
      <w:r w:rsidRPr="00C3310F">
        <w:rPr>
          <w:rFonts w:hint="eastAsia"/>
        </w:rPr>
        <w:t>提高非公務機關未善盡個資安全維護義務之罰則。考量企業違反安全維護義務導致個資外洩而遭詐騙集團不當利用，所衍生之後果不堪設想，本次修法爰賦予主管機關於非公務機關違反安全維護義務時，得逕予裁處罰鍰同時命其改正之權限，無須待屆期未為改正始予處罰，同時提高罰鍰數額之上限，得處2萬元以上200萬元以下之罰鍰；屆期未改正者，並得再按次處15萬元以上1,500萬元以下之罰鍰。</w:t>
      </w:r>
      <w:bookmarkEnd w:id="460"/>
      <w:bookmarkEnd w:id="461"/>
      <w:bookmarkEnd w:id="462"/>
    </w:p>
    <w:p w14:paraId="70D1B791" w14:textId="77777777" w:rsidR="00EF2F32" w:rsidRPr="00C3310F" w:rsidRDefault="00EF2F32" w:rsidP="00FE6929">
      <w:pPr>
        <w:pStyle w:val="4"/>
        <w:numPr>
          <w:ilvl w:val="3"/>
          <w:numId w:val="26"/>
        </w:numPr>
      </w:pPr>
      <w:r w:rsidRPr="00C3310F">
        <w:rPr>
          <w:rFonts w:hint="eastAsia"/>
        </w:rPr>
        <w:t>洗錢防制法：</w:t>
      </w:r>
    </w:p>
    <w:p w14:paraId="387C16DC" w14:textId="77777777" w:rsidR="00EF2F32" w:rsidRPr="00C3310F" w:rsidRDefault="00EF2F32" w:rsidP="00FE6929">
      <w:pPr>
        <w:pStyle w:val="5"/>
        <w:numPr>
          <w:ilvl w:val="4"/>
          <w:numId w:val="26"/>
        </w:numPr>
      </w:pPr>
      <w:r w:rsidRPr="00C3310F">
        <w:rPr>
          <w:rFonts w:hint="eastAsia"/>
        </w:rPr>
        <w:t>因現代網路科技日新月異，詐騙集團經常透過收集大量民眾之金融帳戶或帳號，作為洗錢及詐欺民眾財產的犯罪工具，為阻斷詐騙集團之洗錢管道並填補法律處罰漏洞。</w:t>
      </w:r>
    </w:p>
    <w:p w14:paraId="0B85C008" w14:textId="77777777" w:rsidR="00EF2F32" w:rsidRPr="00C3310F" w:rsidRDefault="00EF2F32" w:rsidP="00FE6929">
      <w:pPr>
        <w:pStyle w:val="5"/>
        <w:numPr>
          <w:ilvl w:val="4"/>
          <w:numId w:val="26"/>
        </w:numPr>
      </w:pPr>
      <w:r w:rsidRPr="00C3310F">
        <w:rPr>
          <w:rFonts w:hint="eastAsia"/>
        </w:rPr>
        <w:t>本次修正重點：</w:t>
      </w:r>
    </w:p>
    <w:p w14:paraId="252498AC" w14:textId="77777777" w:rsidR="00EF2F32" w:rsidRPr="00C3310F" w:rsidRDefault="00EF2F32" w:rsidP="00FE6929">
      <w:pPr>
        <w:pStyle w:val="6"/>
        <w:numPr>
          <w:ilvl w:val="5"/>
          <w:numId w:val="26"/>
        </w:numPr>
      </w:pPr>
      <w:bookmarkStart w:id="463" w:name="_Toc171525471"/>
      <w:bookmarkStart w:id="464" w:name="_Toc172023953"/>
      <w:bookmarkStart w:id="465" w:name="_Toc172033272"/>
      <w:r w:rsidRPr="00C3310F">
        <w:rPr>
          <w:rFonts w:hint="eastAsia"/>
        </w:rPr>
        <w:t>增訂無正當理由收集他人帳戶罪。</w:t>
      </w:r>
      <w:bookmarkEnd w:id="463"/>
      <w:bookmarkEnd w:id="464"/>
      <w:bookmarkEnd w:id="465"/>
    </w:p>
    <w:p w14:paraId="0801C6F2" w14:textId="77777777" w:rsidR="00EF2F32" w:rsidRPr="00C3310F" w:rsidRDefault="00EF2F32" w:rsidP="00FE6929">
      <w:pPr>
        <w:pStyle w:val="6"/>
        <w:numPr>
          <w:ilvl w:val="5"/>
          <w:numId w:val="26"/>
        </w:numPr>
      </w:pPr>
      <w:bookmarkStart w:id="466" w:name="_Toc171525472"/>
      <w:bookmarkStart w:id="467" w:name="_Toc172023954"/>
      <w:bookmarkStart w:id="468" w:name="_Toc172033273"/>
      <w:r w:rsidRPr="00C3310F">
        <w:rPr>
          <w:rFonts w:hint="eastAsia"/>
        </w:rPr>
        <w:lastRenderedPageBreak/>
        <w:t>增訂向他人交付、提供帳戶罪。本次修法考量現行實務上交付、提供帳戶之原因眾多，且各原因之惡性高低不同，為達教育人民妥善保管個人帳戶法律上義務之目的，並有效遏止人頭帳戶氾濫問題，爰採取寬嚴並進之處罰方式。</w:t>
      </w:r>
      <w:bookmarkEnd w:id="466"/>
      <w:bookmarkEnd w:id="467"/>
      <w:bookmarkEnd w:id="468"/>
    </w:p>
    <w:p w14:paraId="4739D7D4" w14:textId="77777777" w:rsidR="00EF2F32" w:rsidRPr="00C3310F" w:rsidRDefault="00EF2F32" w:rsidP="00FE6929">
      <w:pPr>
        <w:pStyle w:val="4"/>
        <w:numPr>
          <w:ilvl w:val="3"/>
          <w:numId w:val="26"/>
        </w:numPr>
      </w:pPr>
      <w:r w:rsidRPr="00C3310F">
        <w:rPr>
          <w:rFonts w:hint="eastAsia"/>
        </w:rPr>
        <w:t>證券投資信託及顧問法：</w:t>
      </w:r>
    </w:p>
    <w:p w14:paraId="1119B669" w14:textId="3B39C09B" w:rsidR="00EF2F32" w:rsidRPr="00C3310F" w:rsidRDefault="00EF2F32" w:rsidP="00FE6929">
      <w:pPr>
        <w:pStyle w:val="5"/>
        <w:numPr>
          <w:ilvl w:val="4"/>
          <w:numId w:val="26"/>
        </w:numPr>
      </w:pPr>
      <w:r w:rsidRPr="00C3310F">
        <w:rPr>
          <w:rFonts w:hint="eastAsia"/>
        </w:rPr>
        <w:t>鑑於投資詐騙廣告於各大網際網路媒體及影音</w:t>
      </w:r>
      <w:r w:rsidR="0004575A" w:rsidRPr="00C3310F">
        <w:rPr>
          <w:rFonts w:hint="eastAsia"/>
        </w:rPr>
        <w:t>平臺</w:t>
      </w:r>
      <w:r w:rsidRPr="00C3310F">
        <w:rPr>
          <w:rFonts w:hint="eastAsia"/>
        </w:rPr>
        <w:t>四處流竄，投資詐騙案件多係透過網路</w:t>
      </w:r>
      <w:r w:rsidR="0004575A" w:rsidRPr="00C3310F">
        <w:rPr>
          <w:rFonts w:hint="eastAsia"/>
        </w:rPr>
        <w:t>平臺</w:t>
      </w:r>
      <w:r w:rsidRPr="00C3310F">
        <w:rPr>
          <w:rFonts w:hint="eastAsia"/>
        </w:rPr>
        <w:t>投放不實廣告或以偽冒知名人士名義推介有價證券之方式誤導投資人，為提供我國民眾更安全之投資環境。</w:t>
      </w:r>
    </w:p>
    <w:p w14:paraId="22779E2E" w14:textId="77777777" w:rsidR="00EF2F32" w:rsidRPr="00C3310F" w:rsidRDefault="00EF2F32" w:rsidP="00FE6929">
      <w:pPr>
        <w:pStyle w:val="5"/>
        <w:numPr>
          <w:ilvl w:val="4"/>
          <w:numId w:val="26"/>
        </w:numPr>
      </w:pPr>
      <w:r w:rsidRPr="00C3310F">
        <w:rPr>
          <w:rFonts w:hint="eastAsia"/>
        </w:rPr>
        <w:t>修正重點：</w:t>
      </w:r>
    </w:p>
    <w:p w14:paraId="61FC21DA" w14:textId="77777777" w:rsidR="00EF2F32" w:rsidRPr="00C3310F" w:rsidRDefault="00EF2F32" w:rsidP="00FE6929">
      <w:pPr>
        <w:pStyle w:val="6"/>
        <w:numPr>
          <w:ilvl w:val="5"/>
          <w:numId w:val="26"/>
        </w:numPr>
      </w:pPr>
      <w:bookmarkStart w:id="469" w:name="_Toc171525473"/>
      <w:bookmarkStart w:id="470" w:name="_Toc172023955"/>
      <w:bookmarkStart w:id="471" w:name="_Toc172033274"/>
      <w:r w:rsidRPr="00C3310F">
        <w:rPr>
          <w:rFonts w:hint="eastAsia"/>
        </w:rPr>
        <w:t>明定「非證券投資信託及顧問業者」從事涉及有價證券投資或業務招攬廣告之禁止行為態樣。</w:t>
      </w:r>
      <w:bookmarkEnd w:id="469"/>
      <w:bookmarkEnd w:id="470"/>
      <w:bookmarkEnd w:id="471"/>
    </w:p>
    <w:p w14:paraId="20AB8B8D" w14:textId="77777777" w:rsidR="00EF2F32" w:rsidRPr="00C3310F" w:rsidRDefault="00EF2F32" w:rsidP="00FE6929">
      <w:pPr>
        <w:pStyle w:val="6"/>
        <w:numPr>
          <w:ilvl w:val="5"/>
          <w:numId w:val="26"/>
        </w:numPr>
      </w:pPr>
      <w:bookmarkStart w:id="472" w:name="_Toc171525474"/>
      <w:bookmarkStart w:id="473" w:name="_Toc172023956"/>
      <w:bookmarkStart w:id="474" w:name="_Toc172033275"/>
      <w:r w:rsidRPr="00C3310F">
        <w:rPr>
          <w:rFonts w:hint="eastAsia"/>
        </w:rPr>
        <w:t>增訂網路傳播媒體業者應以實名制方式刊登或播送涉及有價證券投資或業務招攬廣告。</w:t>
      </w:r>
      <w:bookmarkEnd w:id="472"/>
      <w:bookmarkEnd w:id="473"/>
      <w:bookmarkEnd w:id="474"/>
    </w:p>
    <w:p w14:paraId="70157484" w14:textId="77777777" w:rsidR="004846E9" w:rsidRPr="00C3310F" w:rsidRDefault="00EF2F32" w:rsidP="00EF2F32">
      <w:pPr>
        <w:pStyle w:val="6"/>
      </w:pPr>
      <w:bookmarkStart w:id="475" w:name="_Toc171525475"/>
      <w:bookmarkStart w:id="476" w:name="_Toc172023957"/>
      <w:bookmarkStart w:id="477" w:name="_Toc172033276"/>
      <w:r w:rsidRPr="00C3310F">
        <w:rPr>
          <w:rFonts w:hint="eastAsia"/>
        </w:rPr>
        <w:t>增訂網路傳播媒體業者與委託刊播、出資者之連帶損害賠償責任與例外減輕、免責規定。</w:t>
      </w:r>
      <w:bookmarkEnd w:id="475"/>
      <w:bookmarkEnd w:id="476"/>
      <w:bookmarkEnd w:id="477"/>
    </w:p>
    <w:p w14:paraId="0223D30F" w14:textId="2DC3939B" w:rsidR="00EF2F32" w:rsidRPr="00C3310F" w:rsidRDefault="00951AB3" w:rsidP="00376193">
      <w:pPr>
        <w:pStyle w:val="3"/>
      </w:pPr>
      <w:bookmarkStart w:id="478" w:name="_Toc171525476"/>
      <w:bookmarkStart w:id="479" w:name="_Toc172023958"/>
      <w:bookmarkStart w:id="480" w:name="_Toc172033277"/>
      <w:r w:rsidRPr="00C3310F">
        <w:rPr>
          <w:rFonts w:hint="eastAsia"/>
        </w:rPr>
        <w:t>打詐綱領1.5：</w:t>
      </w:r>
      <w:bookmarkEnd w:id="478"/>
      <w:r w:rsidRPr="00C3310F">
        <w:rPr>
          <w:rFonts w:hint="eastAsia"/>
        </w:rPr>
        <w:t>打詐綱領1.0版實施近8個月後，詐欺案件發生數及財損金額仍持續增加，其中111</w:t>
      </w:r>
      <w:r w:rsidR="00D82B1C" w:rsidRPr="00C3310F">
        <w:rPr>
          <w:rFonts w:hint="eastAsia"/>
        </w:rPr>
        <w:t>年</w:t>
      </w:r>
      <w:r w:rsidRPr="00C3310F">
        <w:rPr>
          <w:rFonts w:hint="eastAsia"/>
        </w:rPr>
        <w:t>全般詐欺發生計2萬9,509件，詐欺財損73.3億元，分別較110年發生數增加4,785件(+19.35%)、財損增加17.2億餘元(+30.66%)，且全般詐欺發生及財損數為近5年最高。除民眾對於詐欺犯罪深感威脅外，復因詐欺集團據點已擴及到海外第三地國家，年輕人遭誘出國從事詐欺機房或領款車手等工作，甚至淪為國際人口販運被害人，影響我國國際形象，顯示政府在防制詐欺犯罪上還存在許多待解決的課題，為強化政</w:t>
      </w:r>
      <w:r w:rsidRPr="00C3310F">
        <w:rPr>
          <w:rFonts w:hint="eastAsia"/>
        </w:rPr>
        <w:lastRenderedPageBreak/>
        <w:t>府打詐效能，行政院於112年6月9日核定打詐綱領1.5版</w:t>
      </w:r>
      <w:r w:rsidR="00EF2F32" w:rsidRPr="00C3310F">
        <w:rPr>
          <w:rFonts w:hint="eastAsia"/>
        </w:rPr>
        <w:t>。</w:t>
      </w:r>
      <w:bookmarkEnd w:id="479"/>
      <w:bookmarkEnd w:id="480"/>
    </w:p>
    <w:p w14:paraId="33649787" w14:textId="77777777" w:rsidR="00951AB3" w:rsidRPr="00C3310F" w:rsidRDefault="00454EB7" w:rsidP="00EF2F32">
      <w:pPr>
        <w:pStyle w:val="4"/>
      </w:pPr>
      <w:r w:rsidRPr="00C3310F">
        <w:rPr>
          <w:rFonts w:hint="eastAsia"/>
        </w:rPr>
        <w:t>本綱領之規劃</w:t>
      </w:r>
      <w:r w:rsidR="00951AB3" w:rsidRPr="00C3310F">
        <w:rPr>
          <w:rFonts w:hint="eastAsia"/>
        </w:rPr>
        <w:t>賡續透過「宣導教育」、「犯罪通路」、「贓款流向」及「偵查打擊」等四大面向，</w:t>
      </w:r>
      <w:r w:rsidRPr="00C3310F">
        <w:rPr>
          <w:rFonts w:hint="eastAsia"/>
        </w:rPr>
        <w:t>由警政署結合各面向之統籌機關共同研擬因應對策，運用「增加詐欺犯罪成本，減少民眾財產損害」之概念，分由「識詐-宣導教育面」、「堵詐-電信網路面」、「阻詐-贓款流向面」及「懲詐-偵查打擊面」等四大面向著手，分工協力制定偵防策略。</w:t>
      </w:r>
    </w:p>
    <w:p w14:paraId="3515EEE9" w14:textId="77777777" w:rsidR="00454EB7" w:rsidRPr="00C3310F" w:rsidRDefault="00454EB7" w:rsidP="00E00027">
      <w:pPr>
        <w:pStyle w:val="4"/>
      </w:pPr>
      <w:r w:rsidRPr="00C3310F">
        <w:rPr>
          <w:rFonts w:hint="eastAsia"/>
        </w:rPr>
        <w:t>為提升我國打擊詐欺犯罪效能，並統籌督導四大面向執行作業，特設行政院打擊詐欺辦公室</w:t>
      </w:r>
      <w:r w:rsidR="00255FD7" w:rsidRPr="00C3310F">
        <w:rPr>
          <w:rFonts w:hint="eastAsia"/>
        </w:rPr>
        <w:t>，</w:t>
      </w:r>
      <w:r w:rsidRPr="00C3310F">
        <w:rPr>
          <w:rFonts w:hint="eastAsia"/>
        </w:rPr>
        <w:t>高檢</w:t>
      </w:r>
      <w:r w:rsidR="00703F08" w:rsidRPr="00C3310F">
        <w:rPr>
          <w:rFonts w:hint="eastAsia"/>
        </w:rPr>
        <w:t>署</w:t>
      </w:r>
      <w:r w:rsidRPr="00C3310F">
        <w:rPr>
          <w:rFonts w:hint="eastAsia"/>
        </w:rPr>
        <w:t>成立查緝詐欺及資通犯罪中心、調查局成立北部、中部、南部、跨境詐欺防制中心，另6都直轄市調查處機動工作站成立打詐專案組</w:t>
      </w:r>
      <w:r w:rsidR="00255FD7" w:rsidRPr="00C3310F">
        <w:rPr>
          <w:rFonts w:hint="eastAsia"/>
        </w:rPr>
        <w:t>，</w:t>
      </w:r>
      <w:r w:rsidRPr="00C3310F">
        <w:rPr>
          <w:rFonts w:hint="eastAsia"/>
        </w:rPr>
        <w:t>警政署成立專案指揮暨資料研析協作平臺北、中、南工作站。另中央結合各縣市政府打詐地方隊及民間團體力量，公私協力，以全力遏阻詐欺犯罪，將打詐效能極大化。</w:t>
      </w:r>
    </w:p>
    <w:p w14:paraId="257B3B76" w14:textId="77777777" w:rsidR="00454EB7" w:rsidRPr="00C3310F" w:rsidRDefault="00454EB7" w:rsidP="00454EB7">
      <w:pPr>
        <w:pStyle w:val="4"/>
      </w:pPr>
      <w:r w:rsidRPr="00C3310F">
        <w:rPr>
          <w:rFonts w:hint="eastAsia"/>
        </w:rPr>
        <w:t>打詐綱領1.5具體策略：</w:t>
      </w:r>
    </w:p>
    <w:p w14:paraId="03A4D70B" w14:textId="77777777" w:rsidR="00E00027" w:rsidRPr="00C3310F" w:rsidRDefault="00E00027" w:rsidP="00E00027">
      <w:pPr>
        <w:pStyle w:val="5"/>
      </w:pPr>
      <w:r w:rsidRPr="00C3310F">
        <w:rPr>
          <w:rFonts w:hint="eastAsia"/>
        </w:rPr>
        <w:t>識詐：</w:t>
      </w:r>
    </w:p>
    <w:p w14:paraId="65DA64CF" w14:textId="77777777" w:rsidR="00E00027" w:rsidRPr="00C3310F" w:rsidRDefault="00E00027" w:rsidP="00E00027">
      <w:pPr>
        <w:pStyle w:val="6"/>
      </w:pPr>
      <w:bookmarkStart w:id="481" w:name="_Toc171525477"/>
      <w:bookmarkStart w:id="482" w:name="_Toc172023959"/>
      <w:bookmarkStart w:id="483" w:name="_Toc172033278"/>
      <w:r w:rsidRPr="00C3310F">
        <w:rPr>
          <w:rFonts w:hint="eastAsia"/>
        </w:rPr>
        <w:t>分項指標：</w:t>
      </w:r>
      <w:bookmarkEnd w:id="481"/>
      <w:bookmarkEnd w:id="482"/>
      <w:bookmarkEnd w:id="483"/>
    </w:p>
    <w:p w14:paraId="065A52A9" w14:textId="77777777" w:rsidR="00E00027" w:rsidRPr="00C3310F" w:rsidRDefault="00E00027" w:rsidP="00E00027">
      <w:pPr>
        <w:pStyle w:val="7"/>
      </w:pPr>
      <w:r w:rsidRPr="00C3310F">
        <w:rPr>
          <w:rFonts w:hint="eastAsia"/>
        </w:rPr>
        <w:t>每年宣導資訊觸及3,000萬人次。</w:t>
      </w:r>
    </w:p>
    <w:p w14:paraId="5221E1BA" w14:textId="77777777" w:rsidR="00E00027" w:rsidRPr="00C3310F" w:rsidRDefault="00E00027" w:rsidP="00E00027">
      <w:pPr>
        <w:pStyle w:val="7"/>
      </w:pPr>
      <w:r w:rsidRPr="00C3310F">
        <w:rPr>
          <w:rFonts w:hint="eastAsia"/>
        </w:rPr>
        <w:t>每年發送防詐簡訊1億4,000萬則。</w:t>
      </w:r>
    </w:p>
    <w:p w14:paraId="78DD8F95" w14:textId="55EB666B" w:rsidR="00E00027" w:rsidRPr="00C3310F" w:rsidRDefault="00E00027" w:rsidP="00E00027">
      <w:pPr>
        <w:pStyle w:val="7"/>
      </w:pPr>
      <w:r w:rsidRPr="00C3310F">
        <w:rPr>
          <w:rFonts w:hint="eastAsia"/>
        </w:rPr>
        <w:t>每年平均攔阻率提高5</w:t>
      </w:r>
      <w:r w:rsidR="00D82B1C" w:rsidRPr="00C3310F">
        <w:rPr>
          <w:rFonts w:hint="eastAsia"/>
        </w:rPr>
        <w:t>%</w:t>
      </w:r>
      <w:r w:rsidRPr="00C3310F">
        <w:rPr>
          <w:rFonts w:hint="eastAsia"/>
        </w:rPr>
        <w:t>。</w:t>
      </w:r>
    </w:p>
    <w:p w14:paraId="66DA405C" w14:textId="77777777" w:rsidR="00E00027" w:rsidRPr="00C3310F" w:rsidRDefault="00E00027" w:rsidP="00E00027">
      <w:pPr>
        <w:pStyle w:val="6"/>
      </w:pPr>
      <w:bookmarkStart w:id="484" w:name="_Toc171525478"/>
      <w:bookmarkStart w:id="485" w:name="_Toc172023960"/>
      <w:bookmarkStart w:id="486" w:name="_Toc172033279"/>
      <w:r w:rsidRPr="00C3310F">
        <w:rPr>
          <w:rFonts w:hint="eastAsia"/>
        </w:rPr>
        <w:t>具體策略：</w:t>
      </w:r>
      <w:bookmarkEnd w:id="484"/>
      <w:bookmarkEnd w:id="485"/>
      <w:bookmarkEnd w:id="486"/>
    </w:p>
    <w:p w14:paraId="5DE405BA" w14:textId="77777777" w:rsidR="00E00027" w:rsidRPr="00C3310F" w:rsidRDefault="00E00027" w:rsidP="00E00027">
      <w:pPr>
        <w:pStyle w:val="7"/>
      </w:pPr>
      <w:r w:rsidRPr="00C3310F">
        <w:rPr>
          <w:rFonts w:hint="eastAsia"/>
        </w:rPr>
        <w:t>分齡分眾防詐宣導。</w:t>
      </w:r>
    </w:p>
    <w:p w14:paraId="0FBC9786" w14:textId="77777777" w:rsidR="00E00027" w:rsidRPr="00C3310F" w:rsidRDefault="00E00027" w:rsidP="00E00027">
      <w:pPr>
        <w:pStyle w:val="7"/>
      </w:pPr>
      <w:r w:rsidRPr="00C3310F">
        <w:rPr>
          <w:rFonts w:hint="eastAsia"/>
        </w:rPr>
        <w:t>落實金融機構關懷提問、即時攔阻。</w:t>
      </w:r>
    </w:p>
    <w:p w14:paraId="510DB92F" w14:textId="77777777" w:rsidR="00E00027" w:rsidRPr="00C3310F" w:rsidRDefault="00E00027" w:rsidP="00E00027">
      <w:pPr>
        <w:pStyle w:val="7"/>
      </w:pPr>
      <w:r w:rsidRPr="00C3310F">
        <w:rPr>
          <w:rFonts w:hint="eastAsia"/>
        </w:rPr>
        <w:t>加強網路推播能量。</w:t>
      </w:r>
    </w:p>
    <w:p w14:paraId="1686212F" w14:textId="77777777" w:rsidR="00E00027" w:rsidRPr="00C3310F" w:rsidRDefault="00E00027" w:rsidP="00E00027">
      <w:pPr>
        <w:pStyle w:val="7"/>
      </w:pPr>
      <w:r w:rsidRPr="00C3310F">
        <w:rPr>
          <w:rFonts w:hint="eastAsia"/>
        </w:rPr>
        <w:t>多元管道擴大觸及。</w:t>
      </w:r>
    </w:p>
    <w:p w14:paraId="32B3CB23" w14:textId="77777777" w:rsidR="00E00027" w:rsidRPr="00C3310F" w:rsidRDefault="00E00027" w:rsidP="00E00027">
      <w:pPr>
        <w:pStyle w:val="7"/>
      </w:pPr>
      <w:r w:rsidRPr="00C3310F">
        <w:rPr>
          <w:rFonts w:hint="eastAsia"/>
        </w:rPr>
        <w:t>建立正確法治觀念。</w:t>
      </w:r>
    </w:p>
    <w:p w14:paraId="3684C6FF" w14:textId="77777777" w:rsidR="00E00027" w:rsidRPr="00C3310F" w:rsidRDefault="00E00027" w:rsidP="00E00027">
      <w:pPr>
        <w:pStyle w:val="5"/>
      </w:pPr>
      <w:r w:rsidRPr="00C3310F">
        <w:rPr>
          <w:rFonts w:hint="eastAsia"/>
        </w:rPr>
        <w:lastRenderedPageBreak/>
        <w:t>堵詐：</w:t>
      </w:r>
    </w:p>
    <w:p w14:paraId="1ED2F0D7" w14:textId="77777777" w:rsidR="00E00027" w:rsidRPr="00C3310F" w:rsidRDefault="00E00027" w:rsidP="00E00027">
      <w:pPr>
        <w:pStyle w:val="6"/>
      </w:pPr>
      <w:bookmarkStart w:id="487" w:name="_Toc171525479"/>
      <w:bookmarkStart w:id="488" w:name="_Toc172023961"/>
      <w:bookmarkStart w:id="489" w:name="_Toc172033280"/>
      <w:r w:rsidRPr="00C3310F">
        <w:rPr>
          <w:rFonts w:hint="eastAsia"/>
        </w:rPr>
        <w:t>分項指標：</w:t>
      </w:r>
      <w:bookmarkEnd w:id="487"/>
      <w:bookmarkEnd w:id="488"/>
      <w:bookmarkEnd w:id="489"/>
    </w:p>
    <w:p w14:paraId="1D6E3788" w14:textId="3F90A3EC" w:rsidR="00E00027" w:rsidRPr="00C3310F" w:rsidRDefault="00E00027" w:rsidP="00E00027">
      <w:pPr>
        <w:pStyle w:val="7"/>
      </w:pPr>
      <w:r w:rsidRPr="00C3310F">
        <w:rPr>
          <w:rFonts w:hint="eastAsia"/>
        </w:rPr>
        <w:t>每年攔阻簡訊3,000萬則</w:t>
      </w:r>
      <w:r w:rsidR="00D82B1C" w:rsidRPr="00C3310F">
        <w:rPr>
          <w:rFonts w:hint="eastAsia"/>
        </w:rPr>
        <w:t>(</w:t>
      </w:r>
      <w:r w:rsidRPr="00C3310F">
        <w:rPr>
          <w:rFonts w:hint="eastAsia"/>
        </w:rPr>
        <w:t>採滾動修正</w:t>
      </w:r>
      <w:r w:rsidR="00623E3F" w:rsidRPr="00C3310F">
        <w:rPr>
          <w:rFonts w:hint="eastAsia"/>
        </w:rPr>
        <w:t>)</w:t>
      </w:r>
      <w:r w:rsidRPr="00C3310F">
        <w:rPr>
          <w:rFonts w:hint="eastAsia"/>
        </w:rPr>
        <w:t>。</w:t>
      </w:r>
    </w:p>
    <w:p w14:paraId="28552490" w14:textId="45649571" w:rsidR="00E00027" w:rsidRPr="00C3310F" w:rsidRDefault="00E00027" w:rsidP="00E00027">
      <w:pPr>
        <w:pStyle w:val="7"/>
      </w:pPr>
      <w:r w:rsidRPr="00C3310F">
        <w:rPr>
          <w:rFonts w:hint="eastAsia"/>
        </w:rPr>
        <w:t>每年人頭門號停斷話5,000門</w:t>
      </w:r>
      <w:r w:rsidR="00D82B1C" w:rsidRPr="00C3310F">
        <w:rPr>
          <w:rFonts w:hint="eastAsia"/>
        </w:rPr>
        <w:t>(</w:t>
      </w:r>
      <w:r w:rsidRPr="00C3310F">
        <w:rPr>
          <w:rFonts w:hint="eastAsia"/>
        </w:rPr>
        <w:t>採滾動修正</w:t>
      </w:r>
      <w:r w:rsidR="00D82B1C" w:rsidRPr="00C3310F">
        <w:rPr>
          <w:rFonts w:hint="eastAsia"/>
        </w:rPr>
        <w:t>)</w:t>
      </w:r>
      <w:r w:rsidRPr="00C3310F">
        <w:rPr>
          <w:rFonts w:hint="eastAsia"/>
        </w:rPr>
        <w:t>。</w:t>
      </w:r>
    </w:p>
    <w:p w14:paraId="65687F14" w14:textId="77777777" w:rsidR="00E00027" w:rsidRPr="00C3310F" w:rsidRDefault="00E00027" w:rsidP="00E00027">
      <w:pPr>
        <w:pStyle w:val="7"/>
      </w:pPr>
      <w:r w:rsidRPr="00C3310F">
        <w:rPr>
          <w:rFonts w:hint="eastAsia"/>
        </w:rPr>
        <w:t>開發2種以上數位防詐工具。</w:t>
      </w:r>
    </w:p>
    <w:p w14:paraId="74E00924" w14:textId="77777777" w:rsidR="00E00027" w:rsidRPr="00C3310F" w:rsidRDefault="00E00027" w:rsidP="00E00027">
      <w:pPr>
        <w:pStyle w:val="7"/>
      </w:pPr>
      <w:r w:rsidRPr="00C3310F">
        <w:rPr>
          <w:rFonts w:hint="eastAsia"/>
        </w:rPr>
        <w:t>輔導三大公協會會員辦理網購程序之防詐相關警示措施及物流隱碼技術。</w:t>
      </w:r>
    </w:p>
    <w:p w14:paraId="51CB92FA" w14:textId="77777777" w:rsidR="00E00027" w:rsidRPr="00C3310F" w:rsidRDefault="00E00027" w:rsidP="00E00027">
      <w:pPr>
        <w:pStyle w:val="6"/>
      </w:pPr>
      <w:bookmarkStart w:id="490" w:name="_Toc171525480"/>
      <w:bookmarkStart w:id="491" w:name="_Toc172023962"/>
      <w:bookmarkStart w:id="492" w:name="_Toc172033281"/>
      <w:r w:rsidRPr="00C3310F">
        <w:rPr>
          <w:rFonts w:hint="eastAsia"/>
        </w:rPr>
        <w:t>具體策略：</w:t>
      </w:r>
      <w:bookmarkEnd w:id="490"/>
      <w:bookmarkEnd w:id="491"/>
      <w:bookmarkEnd w:id="492"/>
    </w:p>
    <w:p w14:paraId="09D2660D" w14:textId="77777777" w:rsidR="00E00027" w:rsidRPr="00C3310F" w:rsidRDefault="00E00027" w:rsidP="00E00027">
      <w:pPr>
        <w:pStyle w:val="7"/>
      </w:pPr>
      <w:r w:rsidRPr="00C3310F">
        <w:rPr>
          <w:rFonts w:hint="eastAsia"/>
        </w:rPr>
        <w:t>防杜境外竄改來話詐騙。</w:t>
      </w:r>
    </w:p>
    <w:p w14:paraId="67A1C368" w14:textId="77777777" w:rsidR="00E00027" w:rsidRPr="00C3310F" w:rsidRDefault="00E00027" w:rsidP="00E00027">
      <w:pPr>
        <w:pStyle w:val="7"/>
      </w:pPr>
      <w:r w:rsidRPr="00C3310F">
        <w:rPr>
          <w:rFonts w:hint="eastAsia"/>
        </w:rPr>
        <w:t>遏止人頭門號詐騙工具。</w:t>
      </w:r>
    </w:p>
    <w:p w14:paraId="43D25FF2" w14:textId="77777777" w:rsidR="00E00027" w:rsidRPr="00C3310F" w:rsidRDefault="00E00027" w:rsidP="00E00027">
      <w:pPr>
        <w:pStyle w:val="7"/>
      </w:pPr>
      <w:r w:rsidRPr="00C3310F">
        <w:rPr>
          <w:rFonts w:hint="eastAsia"/>
        </w:rPr>
        <w:t>防杜簡訊業者幫助詐騙及建立惡意簡訊攔阻機制。</w:t>
      </w:r>
    </w:p>
    <w:p w14:paraId="78B7A7B8" w14:textId="77777777" w:rsidR="00E00027" w:rsidRPr="00C3310F" w:rsidRDefault="00E00027" w:rsidP="00E00027">
      <w:pPr>
        <w:pStyle w:val="7"/>
      </w:pPr>
      <w:r w:rsidRPr="00C3310F">
        <w:rPr>
          <w:rFonts w:hint="eastAsia"/>
        </w:rPr>
        <w:t>加強電商業者資安維護。</w:t>
      </w:r>
    </w:p>
    <w:p w14:paraId="38AA31C2" w14:textId="77777777" w:rsidR="00E00027" w:rsidRPr="00C3310F" w:rsidRDefault="00E00027" w:rsidP="00E00027">
      <w:pPr>
        <w:pStyle w:val="7"/>
      </w:pPr>
      <w:r w:rsidRPr="00C3310F">
        <w:rPr>
          <w:rFonts w:hint="eastAsia"/>
        </w:rPr>
        <w:t>遏止詐騙網頁刊登。</w:t>
      </w:r>
    </w:p>
    <w:p w14:paraId="7443B950" w14:textId="77777777" w:rsidR="00E00027" w:rsidRPr="00C3310F" w:rsidRDefault="00E00027" w:rsidP="00E00027">
      <w:pPr>
        <w:pStyle w:val="7"/>
      </w:pPr>
      <w:r w:rsidRPr="00C3310F">
        <w:rPr>
          <w:rFonts w:hint="eastAsia"/>
        </w:rPr>
        <w:t>管理及防制VPN業者詐騙。</w:t>
      </w:r>
    </w:p>
    <w:p w14:paraId="65292A18" w14:textId="77777777" w:rsidR="00E00027" w:rsidRPr="00C3310F" w:rsidRDefault="00E00027" w:rsidP="00E00027">
      <w:pPr>
        <w:pStyle w:val="5"/>
      </w:pPr>
      <w:r w:rsidRPr="00C3310F">
        <w:rPr>
          <w:rFonts w:hint="eastAsia"/>
        </w:rPr>
        <w:t>阻詐：</w:t>
      </w:r>
    </w:p>
    <w:p w14:paraId="7740DA9E" w14:textId="77777777" w:rsidR="00E00027" w:rsidRPr="00C3310F" w:rsidRDefault="00E00027" w:rsidP="00E00027">
      <w:pPr>
        <w:pStyle w:val="6"/>
      </w:pPr>
      <w:bookmarkStart w:id="493" w:name="_Toc171525481"/>
      <w:bookmarkStart w:id="494" w:name="_Toc172023963"/>
      <w:bookmarkStart w:id="495" w:name="_Toc172033282"/>
      <w:r w:rsidRPr="00C3310F">
        <w:rPr>
          <w:rFonts w:hint="eastAsia"/>
        </w:rPr>
        <w:t>分項指標：</w:t>
      </w:r>
      <w:bookmarkEnd w:id="493"/>
      <w:bookmarkEnd w:id="494"/>
      <w:bookmarkEnd w:id="495"/>
    </w:p>
    <w:p w14:paraId="0E0FE1ED" w14:textId="77777777" w:rsidR="00E00027" w:rsidRPr="00C3310F" w:rsidRDefault="00E00027" w:rsidP="00E00027">
      <w:pPr>
        <w:pStyle w:val="7"/>
      </w:pPr>
      <w:r w:rsidRPr="00C3310F">
        <w:rPr>
          <w:rFonts w:hint="eastAsia"/>
        </w:rPr>
        <w:t>本國銀行全體(</w:t>
      </w:r>
      <w:r w:rsidR="00FE63FF" w:rsidRPr="00C3310F">
        <w:rPr>
          <w:rFonts w:hint="eastAsia"/>
        </w:rPr>
        <w:t>100%)</w:t>
      </w:r>
      <w:r w:rsidRPr="00C3310F">
        <w:rPr>
          <w:rFonts w:hint="eastAsia"/>
        </w:rPr>
        <w:t>將銀行公會彙整之共通性異常交易態樣納入內部預警指標。</w:t>
      </w:r>
    </w:p>
    <w:p w14:paraId="125B04C3" w14:textId="77777777" w:rsidR="00E00027" w:rsidRPr="00C3310F" w:rsidRDefault="00E00027" w:rsidP="00E00027">
      <w:pPr>
        <w:pStyle w:val="7"/>
      </w:pPr>
      <w:r w:rsidRPr="00C3310F">
        <w:rPr>
          <w:rFonts w:hint="eastAsia"/>
        </w:rPr>
        <w:t>本國銀行全體(</w:t>
      </w:r>
      <w:r w:rsidR="00FE63FF" w:rsidRPr="00C3310F">
        <w:rPr>
          <w:rFonts w:hint="eastAsia"/>
        </w:rPr>
        <w:t>100%)</w:t>
      </w:r>
      <w:r w:rsidRPr="00C3310F">
        <w:rPr>
          <w:rFonts w:hint="eastAsia"/>
        </w:rPr>
        <w:t>完成申請約定轉帳加強防詐措施。</w:t>
      </w:r>
    </w:p>
    <w:p w14:paraId="48D26124" w14:textId="77777777" w:rsidR="00E00027" w:rsidRPr="00C3310F" w:rsidRDefault="00E00027" w:rsidP="00E00027">
      <w:pPr>
        <w:pStyle w:val="6"/>
      </w:pPr>
      <w:bookmarkStart w:id="496" w:name="_Toc171525482"/>
      <w:bookmarkStart w:id="497" w:name="_Toc172023964"/>
      <w:bookmarkStart w:id="498" w:name="_Toc172033283"/>
      <w:r w:rsidRPr="00C3310F">
        <w:rPr>
          <w:rFonts w:hint="eastAsia"/>
        </w:rPr>
        <w:t>具體策略：</w:t>
      </w:r>
      <w:bookmarkEnd w:id="496"/>
      <w:bookmarkEnd w:id="497"/>
      <w:bookmarkEnd w:id="498"/>
    </w:p>
    <w:p w14:paraId="49E573AD" w14:textId="77777777" w:rsidR="00E00027" w:rsidRPr="00C3310F" w:rsidRDefault="00E00027" w:rsidP="00FE63FF">
      <w:pPr>
        <w:pStyle w:val="7"/>
      </w:pPr>
      <w:r w:rsidRPr="00C3310F">
        <w:rPr>
          <w:rFonts w:hint="eastAsia"/>
        </w:rPr>
        <w:t>防制人頭帳戶進行詐騙。</w:t>
      </w:r>
    </w:p>
    <w:p w14:paraId="02938646" w14:textId="77777777" w:rsidR="00E00027" w:rsidRPr="00C3310F" w:rsidRDefault="00E00027" w:rsidP="00FE63FF">
      <w:pPr>
        <w:pStyle w:val="7"/>
      </w:pPr>
      <w:r w:rsidRPr="00C3310F">
        <w:rPr>
          <w:rFonts w:hint="eastAsia"/>
        </w:rPr>
        <w:t>防制第三方支付詐騙。</w:t>
      </w:r>
    </w:p>
    <w:p w14:paraId="7092D769" w14:textId="77777777" w:rsidR="00E00027" w:rsidRPr="00C3310F" w:rsidRDefault="00E00027" w:rsidP="00FE63FF">
      <w:pPr>
        <w:pStyle w:val="7"/>
      </w:pPr>
      <w:r w:rsidRPr="00C3310F">
        <w:rPr>
          <w:rFonts w:hint="eastAsia"/>
        </w:rPr>
        <w:t>制定虛擬通貨洗錢防制管理規範。</w:t>
      </w:r>
    </w:p>
    <w:p w14:paraId="4C5EC8E3" w14:textId="77777777" w:rsidR="00E00027" w:rsidRPr="00C3310F" w:rsidRDefault="00E00027" w:rsidP="00FE63FF">
      <w:pPr>
        <w:pStyle w:val="7"/>
      </w:pPr>
      <w:r w:rsidRPr="00C3310F">
        <w:rPr>
          <w:rFonts w:hint="eastAsia"/>
        </w:rPr>
        <w:t>防制遊戲點數成為詐騙工具。</w:t>
      </w:r>
    </w:p>
    <w:p w14:paraId="6B4D930A" w14:textId="77777777" w:rsidR="00E00027" w:rsidRPr="00C3310F" w:rsidRDefault="00E00027" w:rsidP="00FE63FF">
      <w:pPr>
        <w:pStyle w:val="7"/>
      </w:pPr>
      <w:r w:rsidRPr="00C3310F">
        <w:rPr>
          <w:rFonts w:hint="eastAsia"/>
        </w:rPr>
        <w:t>防制貨到付款、一頁式詐騙。</w:t>
      </w:r>
    </w:p>
    <w:p w14:paraId="1A0EDA06" w14:textId="77777777" w:rsidR="00FE63FF" w:rsidRPr="00C3310F" w:rsidRDefault="00FE63FF" w:rsidP="00FE63FF">
      <w:pPr>
        <w:pStyle w:val="7"/>
      </w:pPr>
      <w:r w:rsidRPr="00C3310F">
        <w:rPr>
          <w:rFonts w:hint="eastAsia"/>
        </w:rPr>
        <w:t>修法解決網路平臺假投資廣告。</w:t>
      </w:r>
    </w:p>
    <w:p w14:paraId="46CEE787" w14:textId="77777777" w:rsidR="00E00027" w:rsidRPr="00C3310F" w:rsidRDefault="00E00027" w:rsidP="00E00027">
      <w:pPr>
        <w:pStyle w:val="5"/>
      </w:pPr>
      <w:r w:rsidRPr="00C3310F">
        <w:rPr>
          <w:rFonts w:hint="eastAsia"/>
        </w:rPr>
        <w:t>懲詐：</w:t>
      </w:r>
    </w:p>
    <w:p w14:paraId="0A950D99" w14:textId="77777777" w:rsidR="00E00027" w:rsidRPr="00C3310F" w:rsidRDefault="00E00027" w:rsidP="00E00027">
      <w:pPr>
        <w:pStyle w:val="6"/>
      </w:pPr>
      <w:bookmarkStart w:id="499" w:name="_Toc171525483"/>
      <w:bookmarkStart w:id="500" w:name="_Toc172023965"/>
      <w:bookmarkStart w:id="501" w:name="_Toc172033284"/>
      <w:r w:rsidRPr="00C3310F">
        <w:rPr>
          <w:rFonts w:hint="eastAsia"/>
        </w:rPr>
        <w:lastRenderedPageBreak/>
        <w:t>分項指標：每年電信詐騙案件查獲集團數提高</w:t>
      </w:r>
      <w:r w:rsidR="00BE1D04" w:rsidRPr="00C3310F">
        <w:rPr>
          <w:rFonts w:hint="eastAsia"/>
        </w:rPr>
        <w:t>5</w:t>
      </w:r>
      <w:r w:rsidRPr="00C3310F">
        <w:rPr>
          <w:rFonts w:hint="eastAsia"/>
        </w:rPr>
        <w:t>%。</w:t>
      </w:r>
      <w:bookmarkEnd w:id="499"/>
      <w:bookmarkEnd w:id="500"/>
      <w:bookmarkEnd w:id="501"/>
    </w:p>
    <w:p w14:paraId="13375B1C" w14:textId="77777777" w:rsidR="00E00027" w:rsidRPr="00C3310F" w:rsidRDefault="00E00027" w:rsidP="00E00027">
      <w:pPr>
        <w:pStyle w:val="6"/>
      </w:pPr>
      <w:bookmarkStart w:id="502" w:name="_Toc171525484"/>
      <w:bookmarkStart w:id="503" w:name="_Toc172023966"/>
      <w:bookmarkStart w:id="504" w:name="_Toc172033285"/>
      <w:r w:rsidRPr="00C3310F">
        <w:rPr>
          <w:rFonts w:hint="eastAsia"/>
        </w:rPr>
        <w:t>具體策略：</w:t>
      </w:r>
      <w:bookmarkEnd w:id="502"/>
      <w:bookmarkEnd w:id="503"/>
      <w:bookmarkEnd w:id="504"/>
    </w:p>
    <w:p w14:paraId="4DAF014F" w14:textId="77777777" w:rsidR="00E00027" w:rsidRPr="00C3310F" w:rsidRDefault="00E00027" w:rsidP="00E00027">
      <w:pPr>
        <w:pStyle w:val="7"/>
      </w:pPr>
      <w:r w:rsidRPr="00C3310F">
        <w:rPr>
          <w:rFonts w:hint="eastAsia"/>
        </w:rPr>
        <w:t>瓦解電信網路詐欺集團。</w:t>
      </w:r>
    </w:p>
    <w:p w14:paraId="4DD2201F" w14:textId="77777777" w:rsidR="00951AB3" w:rsidRPr="00C3310F" w:rsidRDefault="00E00027" w:rsidP="00BE1D04">
      <w:pPr>
        <w:pStyle w:val="7"/>
      </w:pPr>
      <w:r w:rsidRPr="00C3310F">
        <w:rPr>
          <w:rFonts w:hint="eastAsia"/>
        </w:rPr>
        <w:t>強化查緝跨境詐欺犯罪能量，遏止境外犯罪。</w:t>
      </w:r>
    </w:p>
    <w:p w14:paraId="112718BC" w14:textId="77777777" w:rsidR="00BE1D04" w:rsidRPr="00C3310F" w:rsidRDefault="00376193" w:rsidP="00BE1D04">
      <w:pPr>
        <w:pStyle w:val="3"/>
      </w:pPr>
      <w:bookmarkStart w:id="505" w:name="_Toc171525485"/>
      <w:bookmarkStart w:id="506" w:name="_Toc172023967"/>
      <w:bookmarkStart w:id="507" w:name="_Toc172033286"/>
      <w:r w:rsidRPr="00C3310F">
        <w:rPr>
          <w:rFonts w:hint="eastAsia"/>
        </w:rPr>
        <w:t>在「打詐綱領1.0版」、「打詐綱領1.5版」及「打詐5法」之外，尚有其他打詐強化措施如下：</w:t>
      </w:r>
      <w:bookmarkEnd w:id="505"/>
      <w:bookmarkEnd w:id="506"/>
      <w:bookmarkEnd w:id="507"/>
    </w:p>
    <w:p w14:paraId="23ECA51D" w14:textId="77777777" w:rsidR="00BE1D04" w:rsidRPr="00C3310F" w:rsidRDefault="00BE1D04" w:rsidP="00224D0B">
      <w:pPr>
        <w:pStyle w:val="4"/>
      </w:pPr>
      <w:r w:rsidRPr="00C3310F">
        <w:rPr>
          <w:rFonts w:hint="eastAsia"/>
        </w:rPr>
        <w:t>主管機關強化電信事業辦理防制電信詐欺措施</w:t>
      </w:r>
      <w:r w:rsidR="009E7139" w:rsidRPr="00C3310F">
        <w:rPr>
          <w:rFonts w:hint="eastAsia"/>
        </w:rPr>
        <w:t>：</w:t>
      </w:r>
    </w:p>
    <w:p w14:paraId="48870195" w14:textId="77777777" w:rsidR="00BE1D04" w:rsidRPr="00C3310F" w:rsidRDefault="00BE1D04" w:rsidP="00224D0B">
      <w:pPr>
        <w:pStyle w:val="5"/>
      </w:pPr>
      <w:r w:rsidRPr="00C3310F">
        <w:rPr>
          <w:rFonts w:hint="eastAsia"/>
        </w:rPr>
        <w:t>督導電信事業辦理防制電信詐欺措施：</w:t>
      </w:r>
    </w:p>
    <w:p w14:paraId="7E5485DF" w14:textId="77777777" w:rsidR="00BE1D04" w:rsidRPr="00C3310F" w:rsidRDefault="00BE1D04" w:rsidP="00224D0B">
      <w:pPr>
        <w:pStyle w:val="6"/>
      </w:pPr>
      <w:bookmarkStart w:id="508" w:name="_Toc171525486"/>
      <w:bookmarkStart w:id="509" w:name="_Toc172023968"/>
      <w:bookmarkStart w:id="510" w:name="_Toc172033287"/>
      <w:r w:rsidRPr="00C3310F">
        <w:rPr>
          <w:rFonts w:hint="eastAsia"/>
        </w:rPr>
        <w:t>強化電信設備防制詐騙功能。</w:t>
      </w:r>
      <w:bookmarkEnd w:id="508"/>
      <w:bookmarkEnd w:id="509"/>
      <w:bookmarkEnd w:id="510"/>
    </w:p>
    <w:p w14:paraId="0BA0A690" w14:textId="77777777" w:rsidR="00BE1D04" w:rsidRPr="00C3310F" w:rsidRDefault="00BE1D04" w:rsidP="00224D0B">
      <w:pPr>
        <w:pStyle w:val="6"/>
      </w:pPr>
      <w:bookmarkStart w:id="511" w:name="_Toc171525487"/>
      <w:bookmarkStart w:id="512" w:name="_Toc172023969"/>
      <w:bookmarkStart w:id="513" w:name="_Toc172033288"/>
      <w:r w:rsidRPr="00C3310F">
        <w:rPr>
          <w:rFonts w:hint="eastAsia"/>
        </w:rPr>
        <w:t>設定國際話務攔阻名單。</w:t>
      </w:r>
      <w:bookmarkEnd w:id="511"/>
      <w:bookmarkEnd w:id="512"/>
      <w:bookmarkEnd w:id="513"/>
    </w:p>
    <w:p w14:paraId="2D22A12E" w14:textId="37A73283" w:rsidR="00BE1D04" w:rsidRPr="00C3310F" w:rsidRDefault="00BE1D04" w:rsidP="00224D0B">
      <w:pPr>
        <w:pStyle w:val="6"/>
      </w:pPr>
      <w:bookmarkStart w:id="514" w:name="_Toc171525488"/>
      <w:bookmarkStart w:id="515" w:name="_Toc172023970"/>
      <w:bookmarkStart w:id="516" w:name="_Toc172033289"/>
      <w:r w:rsidRPr="00C3310F">
        <w:rPr>
          <w:rFonts w:hint="eastAsia"/>
        </w:rPr>
        <w:t>國際話務改接NGN(NextGeneration</w:t>
      </w:r>
      <w:r w:rsidR="00224D0B" w:rsidRPr="00C3310F">
        <w:rPr>
          <w:rFonts w:hint="eastAsia"/>
        </w:rPr>
        <w:t xml:space="preserve"> </w:t>
      </w:r>
      <w:r w:rsidRPr="00C3310F">
        <w:rPr>
          <w:rFonts w:hint="eastAsia"/>
        </w:rPr>
        <w:t>Network)提升攔阻效能。</w:t>
      </w:r>
      <w:bookmarkEnd w:id="514"/>
      <w:bookmarkEnd w:id="515"/>
      <w:bookmarkEnd w:id="516"/>
    </w:p>
    <w:p w14:paraId="248E2466" w14:textId="77777777" w:rsidR="00BE1D04" w:rsidRPr="00C3310F" w:rsidRDefault="00BE1D04" w:rsidP="00224D0B">
      <w:pPr>
        <w:pStyle w:val="6"/>
      </w:pPr>
      <w:bookmarkStart w:id="517" w:name="_Toc171525489"/>
      <w:bookmarkStart w:id="518" w:name="_Toc172023971"/>
      <w:bookmarkStart w:id="519" w:name="_Toc172033290"/>
      <w:r w:rsidRPr="00C3310F">
        <w:rPr>
          <w:rFonts w:hint="eastAsia"/>
        </w:rPr>
        <w:t>發送反詐騙宣導簡訊。</w:t>
      </w:r>
      <w:bookmarkEnd w:id="517"/>
      <w:bookmarkEnd w:id="518"/>
      <w:bookmarkEnd w:id="519"/>
    </w:p>
    <w:p w14:paraId="7C1729DA" w14:textId="77777777" w:rsidR="00BE1D04" w:rsidRPr="00C3310F" w:rsidRDefault="00BE1D04" w:rsidP="00224D0B">
      <w:pPr>
        <w:pStyle w:val="6"/>
      </w:pPr>
      <w:bookmarkStart w:id="520" w:name="_Toc171525490"/>
      <w:bookmarkStart w:id="521" w:name="_Toc172023972"/>
      <w:bookmarkStart w:id="522" w:name="_Toc172033291"/>
      <w:r w:rsidRPr="00C3310F">
        <w:rPr>
          <w:rFonts w:hint="eastAsia"/>
        </w:rPr>
        <w:t>統一國內簡訊來電顯號格式。</w:t>
      </w:r>
      <w:bookmarkEnd w:id="520"/>
      <w:bookmarkEnd w:id="521"/>
      <w:bookmarkEnd w:id="522"/>
    </w:p>
    <w:p w14:paraId="1FAD975E" w14:textId="77777777" w:rsidR="00BE1D04" w:rsidRPr="00C3310F" w:rsidRDefault="00BE1D04" w:rsidP="00224D0B">
      <w:pPr>
        <w:pStyle w:val="6"/>
      </w:pPr>
      <w:bookmarkStart w:id="523" w:name="_Toc171525491"/>
      <w:bookmarkStart w:id="524" w:name="_Toc172023973"/>
      <w:bookmarkStart w:id="525" w:name="_Toc172033292"/>
      <w:r w:rsidRPr="00C3310F">
        <w:rPr>
          <w:rFonts w:hint="eastAsia"/>
        </w:rPr>
        <w:t>強化行動電話預付卡之申請管制。</w:t>
      </w:r>
      <w:bookmarkEnd w:id="523"/>
      <w:bookmarkEnd w:id="524"/>
      <w:bookmarkEnd w:id="525"/>
    </w:p>
    <w:p w14:paraId="6194BEB3" w14:textId="77777777" w:rsidR="00BE1D04" w:rsidRPr="00C3310F" w:rsidRDefault="00BE1D04" w:rsidP="00224D0B">
      <w:pPr>
        <w:pStyle w:val="6"/>
      </w:pPr>
      <w:bookmarkStart w:id="526" w:name="_Toc171525492"/>
      <w:bookmarkStart w:id="527" w:name="_Toc172023974"/>
      <w:bookmarkStart w:id="528" w:name="_Toc172033293"/>
      <w:r w:rsidRPr="00C3310F">
        <w:rPr>
          <w:rFonts w:hint="eastAsia"/>
        </w:rPr>
        <w:t>建置國際來話語音警示系統。</w:t>
      </w:r>
      <w:bookmarkEnd w:id="526"/>
      <w:bookmarkEnd w:id="527"/>
      <w:bookmarkEnd w:id="528"/>
    </w:p>
    <w:p w14:paraId="2264B2CB" w14:textId="77777777" w:rsidR="00BE1D04" w:rsidRPr="00C3310F" w:rsidRDefault="00BE1D04" w:rsidP="00224D0B">
      <w:pPr>
        <w:pStyle w:val="6"/>
      </w:pPr>
      <w:bookmarkStart w:id="529" w:name="_Toc171525493"/>
      <w:bookmarkStart w:id="530" w:name="_Toc172023975"/>
      <w:bookmarkStart w:id="531" w:name="_Toc172033294"/>
      <w:r w:rsidRPr="00C3310F">
        <w:rPr>
          <w:rFonts w:hint="eastAsia"/>
        </w:rPr>
        <w:t>建置國際來話攔阻系統。</w:t>
      </w:r>
      <w:bookmarkEnd w:id="529"/>
      <w:bookmarkEnd w:id="530"/>
      <w:bookmarkEnd w:id="531"/>
    </w:p>
    <w:p w14:paraId="0C2BE074" w14:textId="77777777" w:rsidR="00BE1D04" w:rsidRPr="00C3310F" w:rsidRDefault="00BE1D04" w:rsidP="00224D0B">
      <w:pPr>
        <w:pStyle w:val="6"/>
      </w:pPr>
      <w:bookmarkStart w:id="532" w:name="_Toc171525494"/>
      <w:bookmarkStart w:id="533" w:name="_Toc172023976"/>
      <w:bookmarkStart w:id="534" w:name="_Toc172033295"/>
      <w:r w:rsidRPr="00C3310F">
        <w:rPr>
          <w:rFonts w:hint="eastAsia"/>
        </w:rPr>
        <w:t>大量門號管制。</w:t>
      </w:r>
      <w:bookmarkEnd w:id="532"/>
      <w:bookmarkEnd w:id="533"/>
      <w:bookmarkEnd w:id="534"/>
    </w:p>
    <w:p w14:paraId="0A4E794B" w14:textId="77777777" w:rsidR="00BE1D04" w:rsidRPr="00C3310F" w:rsidRDefault="00BE1D04" w:rsidP="00224D0B">
      <w:pPr>
        <w:pStyle w:val="6"/>
      </w:pPr>
      <w:bookmarkStart w:id="535" w:name="_Toc171525495"/>
      <w:bookmarkStart w:id="536" w:name="_Toc172023977"/>
      <w:bookmarkStart w:id="537" w:name="_Toc172033296"/>
      <w:r w:rsidRPr="00C3310F">
        <w:rPr>
          <w:rFonts w:hint="eastAsia"/>
        </w:rPr>
        <w:t>165防詐平臺連線合作。</w:t>
      </w:r>
      <w:bookmarkEnd w:id="535"/>
      <w:bookmarkEnd w:id="536"/>
      <w:bookmarkEnd w:id="537"/>
    </w:p>
    <w:p w14:paraId="7F8FD9BB" w14:textId="77777777" w:rsidR="00BE1D04" w:rsidRPr="00C3310F" w:rsidRDefault="00BE1D04" w:rsidP="00224D0B">
      <w:pPr>
        <w:pStyle w:val="5"/>
      </w:pPr>
      <w:r w:rsidRPr="00C3310F">
        <w:rPr>
          <w:rFonts w:hint="eastAsia"/>
        </w:rPr>
        <w:t>強化電信業者內部控管機制：</w:t>
      </w:r>
    </w:p>
    <w:p w14:paraId="4CA0D092" w14:textId="77777777" w:rsidR="00BE1D04" w:rsidRPr="00C3310F" w:rsidRDefault="00BE1D04" w:rsidP="00224D0B">
      <w:pPr>
        <w:pStyle w:val="6"/>
      </w:pPr>
      <w:bookmarkStart w:id="538" w:name="_Toc171525496"/>
      <w:bookmarkStart w:id="539" w:name="_Toc172023978"/>
      <w:bookmarkStart w:id="540" w:name="_Toc172033297"/>
      <w:r w:rsidRPr="00C3310F">
        <w:rPr>
          <w:rFonts w:hint="eastAsia"/>
        </w:rPr>
        <w:t>通傳會於112年6月16日訂定「電信事業受理申辦電信服務風險管理機制指引」，並於6月30日邀集各電信業者進行宣導。</w:t>
      </w:r>
      <w:bookmarkEnd w:id="538"/>
      <w:bookmarkEnd w:id="539"/>
      <w:bookmarkEnd w:id="540"/>
    </w:p>
    <w:p w14:paraId="506E51C5" w14:textId="77777777" w:rsidR="00BE1D04" w:rsidRPr="00C3310F" w:rsidRDefault="00BE1D04" w:rsidP="00224D0B">
      <w:pPr>
        <w:pStyle w:val="6"/>
      </w:pPr>
      <w:bookmarkStart w:id="541" w:name="_Toc171525497"/>
      <w:bookmarkStart w:id="542" w:name="_Toc172023979"/>
      <w:bookmarkStart w:id="543" w:name="_Toc172033298"/>
      <w:r w:rsidRPr="00C3310F">
        <w:rPr>
          <w:rFonts w:hint="eastAsia"/>
        </w:rPr>
        <w:t>「電信事業受理申辦電信服務風險管理機制指引」重點：</w:t>
      </w:r>
      <w:bookmarkEnd w:id="541"/>
      <w:bookmarkEnd w:id="542"/>
      <w:bookmarkEnd w:id="543"/>
    </w:p>
    <w:p w14:paraId="3343DF83" w14:textId="77777777" w:rsidR="00BE1D04" w:rsidRPr="00C3310F" w:rsidRDefault="00BE1D04" w:rsidP="00224D0B">
      <w:pPr>
        <w:pStyle w:val="7"/>
      </w:pPr>
      <w:r w:rsidRPr="00C3310F">
        <w:rPr>
          <w:rFonts w:hint="eastAsia"/>
        </w:rPr>
        <w:t>電信事業提供電信服務應確實落實雙證查核，且針對初次申辦行動電信門號者，應現場拍照留存。</w:t>
      </w:r>
    </w:p>
    <w:p w14:paraId="4DE28279" w14:textId="77777777" w:rsidR="00BE1D04" w:rsidRPr="00C3310F" w:rsidRDefault="00BE1D04" w:rsidP="00224D0B">
      <w:pPr>
        <w:pStyle w:val="7"/>
      </w:pPr>
      <w:r w:rsidRPr="00C3310F">
        <w:rPr>
          <w:rFonts w:hint="eastAsia"/>
        </w:rPr>
        <w:lastRenderedPageBreak/>
        <w:t>電信事業應自主建立獨立於業務部及通路部門外之稽核部門，自行訂定稽核抽測計畫，並向通傳會報告。</w:t>
      </w:r>
    </w:p>
    <w:p w14:paraId="05B44CA7" w14:textId="77777777" w:rsidR="00BE1D04" w:rsidRPr="00C3310F" w:rsidRDefault="00BE1D04" w:rsidP="00224D0B">
      <w:pPr>
        <w:pStyle w:val="7"/>
      </w:pPr>
      <w:r w:rsidRPr="00C3310F">
        <w:rPr>
          <w:rFonts w:hint="eastAsia"/>
        </w:rPr>
        <w:t>非本國籍人士申辦行動通信之電信門號以1門為原則，倘申請人簽證期日少於1個月，僅能申辦提供30天內之短效期預付卡；且於國外所申請之門號，於入境後始得開通。</w:t>
      </w:r>
    </w:p>
    <w:p w14:paraId="70ED5D56" w14:textId="77777777" w:rsidR="00BE1D04" w:rsidRPr="00C3310F" w:rsidRDefault="00BE1D04" w:rsidP="00224D0B">
      <w:pPr>
        <w:pStyle w:val="7"/>
      </w:pPr>
      <w:r w:rsidRPr="00C3310F">
        <w:rPr>
          <w:rFonts w:hint="eastAsia"/>
        </w:rPr>
        <w:t>受理初次申請之企業客戶申請電信門號或服務數量，以不逾員工人數為原則，並責成電信事業查證該企業客戶實際使用情形。</w:t>
      </w:r>
    </w:p>
    <w:p w14:paraId="5D228EB2" w14:textId="77777777" w:rsidR="00BE1D04" w:rsidRPr="00C3310F" w:rsidRDefault="00BE1D04" w:rsidP="00224D0B">
      <w:pPr>
        <w:pStyle w:val="7"/>
      </w:pPr>
      <w:r w:rsidRPr="00C3310F">
        <w:rPr>
          <w:rFonts w:hint="eastAsia"/>
        </w:rPr>
        <w:t>曾受有關機關通知停、斷話或服務之企業客戶，於1年內至多僅能申請1門電信門號或1項電信服務；倘再受通知停、斷話或服務之企業客戶，電信事業均不再受理申請。</w:t>
      </w:r>
    </w:p>
    <w:p w14:paraId="11C93695" w14:textId="6206C9CA" w:rsidR="00BE1D04" w:rsidRPr="00C3310F" w:rsidRDefault="00BE1D04" w:rsidP="00224D0B">
      <w:pPr>
        <w:pStyle w:val="7"/>
      </w:pPr>
      <w:r w:rsidRPr="00C3310F">
        <w:rPr>
          <w:rFonts w:hint="eastAsia"/>
        </w:rPr>
        <w:t>督導電信業者加強用戶KYC</w:t>
      </w:r>
      <w:r w:rsidR="00D82B1C" w:rsidRPr="00C3310F">
        <w:rPr>
          <w:rFonts w:hint="eastAsia"/>
        </w:rPr>
        <w:t>(K</w:t>
      </w:r>
      <w:r w:rsidR="00D82B1C" w:rsidRPr="00C3310F">
        <w:t>now Your Customer, KYC)</w:t>
      </w:r>
      <w:r w:rsidRPr="00C3310F">
        <w:rPr>
          <w:rFonts w:hint="eastAsia"/>
        </w:rPr>
        <w:t>。</w:t>
      </w:r>
    </w:p>
    <w:p w14:paraId="6F3FA587" w14:textId="33325F04" w:rsidR="00BE1D04" w:rsidRPr="00C3310F" w:rsidRDefault="00BE1D04" w:rsidP="00224D0B">
      <w:pPr>
        <w:pStyle w:val="6"/>
      </w:pPr>
      <w:bookmarkStart w:id="544" w:name="_Toc171525498"/>
      <w:bookmarkStart w:id="545" w:name="_Toc172023980"/>
      <w:bookmarkStart w:id="546" w:name="_Toc172033299"/>
      <w:r w:rsidRPr="00C3310F">
        <w:rPr>
          <w:rFonts w:hint="eastAsia"/>
        </w:rPr>
        <w:t>為確保獲核配用戶號碼之電信事業，提供用戶號碼予從事批發轉售服務業者時，該等業者具備足夠能力落實KYC義務及風險管控，通傳會已著手研訂「電信事業用戶號碼使用管理辦法」草案，針對從事批發轉售之業者，進行資格限制並強化行政管理。</w:t>
      </w:r>
      <w:bookmarkEnd w:id="544"/>
      <w:bookmarkEnd w:id="545"/>
      <w:bookmarkEnd w:id="546"/>
    </w:p>
    <w:p w14:paraId="77BE1D1B" w14:textId="77777777" w:rsidR="00BE1D04" w:rsidRPr="00C3310F" w:rsidRDefault="009E7139" w:rsidP="009E7139">
      <w:pPr>
        <w:pStyle w:val="4"/>
      </w:pPr>
      <w:r w:rsidRPr="00C3310F">
        <w:rPr>
          <w:rFonts w:hint="eastAsia"/>
        </w:rPr>
        <w:t>強化聯防</w:t>
      </w:r>
      <w:r w:rsidR="00BE1D04" w:rsidRPr="00C3310F">
        <w:rPr>
          <w:rFonts w:hint="eastAsia"/>
        </w:rPr>
        <w:t>電信</w:t>
      </w:r>
      <w:r w:rsidRPr="00C3310F">
        <w:rPr>
          <w:rFonts w:hint="eastAsia"/>
        </w:rPr>
        <w:t>網路</w:t>
      </w:r>
      <w:r w:rsidR="00BE1D04" w:rsidRPr="00C3310F">
        <w:rPr>
          <w:rFonts w:hint="eastAsia"/>
        </w:rPr>
        <w:t>詐欺</w:t>
      </w:r>
      <w:r w:rsidRPr="00C3310F">
        <w:rPr>
          <w:rFonts w:hint="eastAsia"/>
        </w:rPr>
        <w:t>措施</w:t>
      </w:r>
      <w:r w:rsidR="00BE1D04" w:rsidRPr="00C3310F">
        <w:rPr>
          <w:rFonts w:hint="eastAsia"/>
        </w:rPr>
        <w:t>：</w:t>
      </w:r>
    </w:p>
    <w:p w14:paraId="536F98C2" w14:textId="77777777" w:rsidR="00BE1D04" w:rsidRPr="00C3310F" w:rsidRDefault="00BE1D04" w:rsidP="009E7139">
      <w:pPr>
        <w:pStyle w:val="5"/>
      </w:pPr>
      <w:r w:rsidRPr="00C3310F">
        <w:rPr>
          <w:rFonts w:hint="eastAsia"/>
        </w:rPr>
        <w:t>強化犯罪情資即時連結，包括165反詐騙資料庫增加超商代碼、遊戲點數資料，以及增修詐欺機房情資分析及錢包地址監控功能；並能整合跨機關、跨資料</w:t>
      </w:r>
      <w:r w:rsidR="00255FD7" w:rsidRPr="00C3310F">
        <w:rPr>
          <w:rFonts w:hint="eastAsia"/>
        </w:rPr>
        <w:t>庫</w:t>
      </w:r>
      <w:r w:rsidRPr="00C3310F">
        <w:rPr>
          <w:rFonts w:hint="eastAsia"/>
        </w:rPr>
        <w:t>之資料，以達成快速勾稽詐、毒等不同案件關聯性之目的。</w:t>
      </w:r>
    </w:p>
    <w:p w14:paraId="7B441F5E" w14:textId="2E73E49C" w:rsidR="00BE1D04" w:rsidRPr="00C3310F" w:rsidRDefault="00BE1D04" w:rsidP="009E7139">
      <w:pPr>
        <w:pStyle w:val="5"/>
      </w:pPr>
      <w:r w:rsidRPr="00C3310F">
        <w:rPr>
          <w:rFonts w:hint="eastAsia"/>
        </w:rPr>
        <w:t>健全金融資料取得管道，包括統一全國金融機構資料電子檔格式(</w:t>
      </w:r>
      <w:r w:rsidRPr="00C3310F">
        <w:t>CSV</w:t>
      </w:r>
      <w:r w:rsidRPr="00C3310F">
        <w:rPr>
          <w:rFonts w:hint="eastAsia"/>
        </w:rPr>
        <w:t>檔)，以及查調金融資料</w:t>
      </w:r>
      <w:r w:rsidRPr="00C3310F">
        <w:rPr>
          <w:rFonts w:hint="eastAsia"/>
        </w:rPr>
        <w:lastRenderedPageBreak/>
        <w:t>線上</w:t>
      </w:r>
      <w:r w:rsidR="0004575A" w:rsidRPr="00C3310F">
        <w:rPr>
          <w:rFonts w:hint="eastAsia"/>
        </w:rPr>
        <w:t>平臺</w:t>
      </w:r>
      <w:r w:rsidRPr="00C3310F">
        <w:rPr>
          <w:rFonts w:hint="eastAsia"/>
        </w:rPr>
        <w:t>，可調取94.75%全國金融機構之開戶資料、交易明細、保管箱等金融電子化資料。</w:t>
      </w:r>
    </w:p>
    <w:p w14:paraId="7F7451A1" w14:textId="0FB203D9" w:rsidR="00BE1D04" w:rsidRPr="00C3310F" w:rsidRDefault="00BE1D04" w:rsidP="009E7139">
      <w:pPr>
        <w:pStyle w:val="5"/>
      </w:pPr>
      <w:r w:rsidRPr="00C3310F">
        <w:rPr>
          <w:rFonts w:hint="eastAsia"/>
        </w:rPr>
        <w:t>在提升通訊軟體網路社群</w:t>
      </w:r>
      <w:r w:rsidR="0004575A" w:rsidRPr="00C3310F">
        <w:rPr>
          <w:rFonts w:hint="eastAsia"/>
        </w:rPr>
        <w:t>平臺</w:t>
      </w:r>
      <w:r w:rsidRPr="00C3310F">
        <w:rPr>
          <w:rFonts w:hint="eastAsia"/>
        </w:rPr>
        <w:t>資料調取方面，法務部與高檢署在112年3月17日、4月17日、9月26日三度與</w:t>
      </w:r>
      <w:r w:rsidR="00DF3BE8" w:rsidRPr="00C3310F">
        <w:rPr>
          <w:rFonts w:hint="eastAsia"/>
        </w:rPr>
        <w:t>LINE</w:t>
      </w:r>
      <w:r w:rsidRPr="00C3310F">
        <w:rPr>
          <w:rFonts w:hint="eastAsia"/>
        </w:rPr>
        <w:t>公司召開業務聯繫會議，建立投資詐欺群組封鎖下架機制(包括主動查核及投資詐騙刑事案件通報下架)，使得</w:t>
      </w:r>
      <w:r w:rsidR="00DF3BE8" w:rsidRPr="00C3310F">
        <w:rPr>
          <w:rFonts w:hint="eastAsia"/>
        </w:rPr>
        <w:t>LINE</w:t>
      </w:r>
      <w:r w:rsidRPr="00C3310F">
        <w:rPr>
          <w:rFonts w:hint="eastAsia"/>
        </w:rPr>
        <w:t>每月提供檢警調調舉之件數由80件上升至200件。</w:t>
      </w:r>
    </w:p>
    <w:p w14:paraId="2C6C90B0" w14:textId="77777777" w:rsidR="00BE1D04" w:rsidRPr="00C3310F" w:rsidRDefault="00BE1D04" w:rsidP="00BE1D04">
      <w:pPr>
        <w:pStyle w:val="4"/>
      </w:pPr>
      <w:r w:rsidRPr="00C3310F">
        <w:rPr>
          <w:rFonts w:hint="eastAsia"/>
        </w:rPr>
        <w:t>防杜境外竄改來話詐騙：</w:t>
      </w:r>
    </w:p>
    <w:p w14:paraId="5BF78BE0" w14:textId="77777777" w:rsidR="00BE1D04" w:rsidRPr="00C3310F" w:rsidRDefault="00BE1D04" w:rsidP="00BE1D04">
      <w:pPr>
        <w:pStyle w:val="5"/>
      </w:pPr>
      <w:r w:rsidRPr="00C3310F">
        <w:rPr>
          <w:rFonts w:hint="eastAsia"/>
        </w:rPr>
        <w:t>督導業者配合建置國際來話語音警示系統：</w:t>
      </w:r>
    </w:p>
    <w:p w14:paraId="42BDE558" w14:textId="77777777" w:rsidR="00BE1D04" w:rsidRPr="00C3310F" w:rsidRDefault="00BE1D04" w:rsidP="00BE1D04">
      <w:pPr>
        <w:pStyle w:val="6"/>
      </w:pPr>
      <w:bookmarkStart w:id="547" w:name="_Toc171525499"/>
      <w:bookmarkStart w:id="548" w:name="_Toc172023981"/>
      <w:bookmarkStart w:id="549" w:name="_Toc172033300"/>
      <w:r w:rsidRPr="00C3310F">
        <w:rPr>
          <w:rFonts w:hint="eastAsia"/>
        </w:rPr>
        <w:t>固網部分：112年9月起中華電信市話接聽所有國際來話均提供語音警示服務。</w:t>
      </w:r>
      <w:bookmarkEnd w:id="547"/>
      <w:bookmarkEnd w:id="548"/>
      <w:bookmarkEnd w:id="549"/>
    </w:p>
    <w:p w14:paraId="0A143A10" w14:textId="1633FD04" w:rsidR="00BE1D04" w:rsidRPr="00C3310F" w:rsidRDefault="00BE1D04" w:rsidP="00BE1D04">
      <w:pPr>
        <w:pStyle w:val="6"/>
      </w:pPr>
      <w:bookmarkStart w:id="550" w:name="_Toc171525500"/>
      <w:bookmarkStart w:id="551" w:name="_Toc172023982"/>
      <w:bookmarkStart w:id="552" w:name="_Toc172033301"/>
      <w:r w:rsidRPr="00C3310F">
        <w:rPr>
          <w:rFonts w:hint="eastAsia"/>
        </w:rPr>
        <w:t>行</w:t>
      </w:r>
      <w:r w:rsidR="009B21CE" w:rsidRPr="00C3310F">
        <w:rPr>
          <w:rFonts w:hint="eastAsia"/>
        </w:rPr>
        <w:t>動</w:t>
      </w:r>
      <w:r w:rsidRPr="00C3310F">
        <w:rPr>
          <w:rFonts w:hint="eastAsia"/>
        </w:rPr>
        <w:t>網</w:t>
      </w:r>
      <w:r w:rsidR="009B21CE" w:rsidRPr="00C3310F">
        <w:rPr>
          <w:rFonts w:hint="eastAsia"/>
        </w:rPr>
        <w:t>路</w:t>
      </w:r>
      <w:r w:rsidRPr="00C3310F">
        <w:rPr>
          <w:rFonts w:hint="eastAsia"/>
        </w:rPr>
        <w:t>部分：國內5家行網業者於112年10月起對接聽「+8869」開頭國際來話提供語音警示服務。</w:t>
      </w:r>
      <w:bookmarkEnd w:id="550"/>
      <w:bookmarkEnd w:id="551"/>
      <w:bookmarkEnd w:id="552"/>
    </w:p>
    <w:p w14:paraId="45042A2A" w14:textId="77777777" w:rsidR="00BE1D04" w:rsidRPr="00C3310F" w:rsidRDefault="00BE1D04" w:rsidP="00BE1D04">
      <w:pPr>
        <w:pStyle w:val="6"/>
      </w:pPr>
      <w:bookmarkStart w:id="553" w:name="_Toc171525501"/>
      <w:bookmarkStart w:id="554" w:name="_Toc172023983"/>
      <w:bookmarkStart w:id="555" w:name="_Toc172033302"/>
      <w:r w:rsidRPr="00C3310F">
        <w:rPr>
          <w:rFonts w:hint="eastAsia"/>
        </w:rPr>
        <w:t>實施上開國際來話攔阻及警示機制後，國際來話數量明顯下降，自最高112年5月份5,080萬通國際來話，下降為10月份1,503萬通，大幅減少3,576萬通，減少比</w:t>
      </w:r>
      <w:r w:rsidR="00752EB4" w:rsidRPr="00C3310F">
        <w:rPr>
          <w:rFonts w:hint="eastAsia"/>
        </w:rPr>
        <w:t>率</w:t>
      </w:r>
      <w:r w:rsidRPr="00C3310F">
        <w:rPr>
          <w:rFonts w:hint="eastAsia"/>
        </w:rPr>
        <w:t>達70.39%；「+886」開頭之國際來話數量則自最高112年5月份1,642萬通，持續下降至10月份84萬通，減少比</w:t>
      </w:r>
      <w:r w:rsidR="00752EB4" w:rsidRPr="00C3310F">
        <w:rPr>
          <w:rFonts w:hint="eastAsia"/>
        </w:rPr>
        <w:t>率</w:t>
      </w:r>
      <w:r w:rsidRPr="00C3310F">
        <w:rPr>
          <w:rFonts w:hint="eastAsia"/>
        </w:rPr>
        <w:t>達94.88%。</w:t>
      </w:r>
      <w:bookmarkEnd w:id="553"/>
      <w:bookmarkEnd w:id="554"/>
      <w:bookmarkEnd w:id="555"/>
    </w:p>
    <w:p w14:paraId="4BD2697F" w14:textId="77777777" w:rsidR="00BE1D04" w:rsidRPr="00C3310F" w:rsidRDefault="00BE1D04" w:rsidP="00BE1D04">
      <w:pPr>
        <w:pStyle w:val="5"/>
      </w:pPr>
      <w:r w:rsidRPr="00C3310F">
        <w:rPr>
          <w:rFonts w:hint="eastAsia"/>
        </w:rPr>
        <w:t>配合檢警調查與停斷話：</w:t>
      </w:r>
    </w:p>
    <w:p w14:paraId="6225F79D" w14:textId="77777777" w:rsidR="00BE1D04" w:rsidRPr="00C3310F" w:rsidRDefault="00BE1D04" w:rsidP="00BE1D04">
      <w:pPr>
        <w:pStyle w:val="6"/>
      </w:pPr>
      <w:bookmarkStart w:id="556" w:name="_Toc171525502"/>
      <w:bookmarkStart w:id="557" w:name="_Toc172023984"/>
      <w:bookmarkStart w:id="558" w:name="_Toc172033303"/>
      <w:r w:rsidRPr="00C3310F">
        <w:rPr>
          <w:rFonts w:hint="eastAsia"/>
        </w:rPr>
        <w:t>112年1月至10月詐騙門號停斷話1,264門。</w:t>
      </w:r>
      <w:bookmarkEnd w:id="556"/>
      <w:bookmarkEnd w:id="557"/>
      <w:bookmarkEnd w:id="558"/>
    </w:p>
    <w:p w14:paraId="65993101" w14:textId="77777777" w:rsidR="00BE1D04" w:rsidRPr="00C3310F" w:rsidRDefault="00BE1D04" w:rsidP="00BE1D04">
      <w:pPr>
        <w:pStyle w:val="6"/>
      </w:pPr>
      <w:bookmarkStart w:id="559" w:name="_Toc171525503"/>
      <w:bookmarkStart w:id="560" w:name="_Toc172023985"/>
      <w:bookmarkStart w:id="561" w:name="_Toc172033304"/>
      <w:r w:rsidRPr="00C3310F">
        <w:rPr>
          <w:rFonts w:hint="eastAsia"/>
        </w:rPr>
        <w:t>召開「如何精進電信防詐措施以降低語音及簡訊詐騙案會議」23次，持續邀集165打詐中心與電信業者分析詐騙電話話務與路由特徵。</w:t>
      </w:r>
      <w:bookmarkEnd w:id="559"/>
      <w:bookmarkEnd w:id="560"/>
      <w:bookmarkEnd w:id="561"/>
    </w:p>
    <w:p w14:paraId="40F9CD94" w14:textId="77777777" w:rsidR="00951037" w:rsidRPr="00C3310F" w:rsidRDefault="00951037" w:rsidP="00951037">
      <w:pPr>
        <w:pStyle w:val="4"/>
      </w:pPr>
      <w:r w:rsidRPr="00C3310F">
        <w:rPr>
          <w:rFonts w:hint="eastAsia"/>
        </w:rPr>
        <w:t>下架詐欺訊息：</w:t>
      </w:r>
    </w:p>
    <w:p w14:paraId="4A5074EA" w14:textId="28D29F1A" w:rsidR="00951037" w:rsidRPr="00C3310F" w:rsidRDefault="00951037" w:rsidP="00951037">
      <w:pPr>
        <w:pStyle w:val="5"/>
      </w:pPr>
      <w:r w:rsidRPr="00C3310F">
        <w:rPr>
          <w:rFonts w:hint="eastAsia"/>
        </w:rPr>
        <w:t>因國際</w:t>
      </w:r>
      <w:r w:rsidR="0004575A" w:rsidRPr="00C3310F">
        <w:rPr>
          <w:rFonts w:hint="eastAsia"/>
        </w:rPr>
        <w:t>平臺</w:t>
      </w:r>
      <w:r w:rsidRPr="00C3310F">
        <w:rPr>
          <w:rFonts w:hint="eastAsia"/>
        </w:rPr>
        <w:t>業者所提供之網路服務，其服務據</w:t>
      </w:r>
      <w:r w:rsidRPr="00C3310F">
        <w:rPr>
          <w:rFonts w:hint="eastAsia"/>
        </w:rPr>
        <w:lastRenderedPageBreak/>
        <w:t>點所在地通常位於其母公司所在國，故檢警單位如遇有需該業者協助事項，常有雙方聯繫不易或信任基礎不足之情形。</w:t>
      </w:r>
      <w:r w:rsidRPr="00C3310F">
        <w:t>112</w:t>
      </w:r>
      <w:r w:rsidRPr="00C3310F">
        <w:rPr>
          <w:rFonts w:hint="eastAsia"/>
        </w:rPr>
        <w:t>年上半年度數發部、高檢署、調查局及刑事局與網路數位平臺及通訊軟體業者（例如</w:t>
      </w:r>
      <w:r w:rsidRPr="00C3310F">
        <w:t xml:space="preserve"> Meta</w:t>
      </w:r>
      <w:r w:rsidRPr="00C3310F">
        <w:rPr>
          <w:rFonts w:hint="eastAsia"/>
        </w:rPr>
        <w:t>、</w:t>
      </w:r>
      <w:r w:rsidRPr="00C3310F">
        <w:t>Google</w:t>
      </w:r>
      <w:r w:rsidRPr="00C3310F">
        <w:rPr>
          <w:rFonts w:hint="eastAsia"/>
        </w:rPr>
        <w:t>、</w:t>
      </w:r>
      <w:r w:rsidR="00DF3BE8" w:rsidRPr="00C3310F">
        <w:t>LINE</w:t>
      </w:r>
      <w:r w:rsidRPr="00C3310F">
        <w:rPr>
          <w:rFonts w:hint="eastAsia"/>
        </w:rPr>
        <w:t>）共同就打擊詐欺犯罪與資訊交流進行意見交換，並建立聯繫管道持續協助檢警調機關與</w:t>
      </w:r>
      <w:r w:rsidRPr="00C3310F">
        <w:t>Google</w:t>
      </w:r>
      <w:r w:rsidRPr="00C3310F">
        <w:rPr>
          <w:rFonts w:hint="eastAsia"/>
        </w:rPr>
        <w:t>、</w:t>
      </w:r>
      <w:r w:rsidRPr="00C3310F">
        <w:t>Meta</w:t>
      </w:r>
      <w:r w:rsidRPr="00C3310F">
        <w:rPr>
          <w:rFonts w:hint="eastAsia"/>
        </w:rPr>
        <w:t>及</w:t>
      </w:r>
      <w:r w:rsidRPr="00C3310F">
        <w:t xml:space="preserve"> </w:t>
      </w:r>
      <w:r w:rsidR="00DF3BE8" w:rsidRPr="00C3310F">
        <w:t>LINE</w:t>
      </w:r>
      <w:r w:rsidRPr="00C3310F">
        <w:rPr>
          <w:rFonts w:hint="eastAsia"/>
        </w:rPr>
        <w:t>業者溝通。後續更由刑事局與</w:t>
      </w:r>
      <w:r w:rsidRPr="00C3310F">
        <w:t>Meta</w:t>
      </w:r>
      <w:r w:rsidRPr="00C3310F">
        <w:rPr>
          <w:rFonts w:hint="eastAsia"/>
        </w:rPr>
        <w:t>建立「綠色通道」下架涉詐廣告，與</w:t>
      </w:r>
      <w:r w:rsidRPr="00C3310F">
        <w:t>Google</w:t>
      </w:r>
      <w:r w:rsidRPr="00C3310F">
        <w:rPr>
          <w:rFonts w:hint="eastAsia"/>
        </w:rPr>
        <w:t>建立打詐聯繫管道，加速冒名投資廣告下架，也與</w:t>
      </w:r>
      <w:r w:rsidRPr="00C3310F">
        <w:t xml:space="preserve"> </w:t>
      </w:r>
      <w:r w:rsidR="00DF3BE8" w:rsidRPr="00C3310F">
        <w:t>LINE</w:t>
      </w:r>
      <w:r w:rsidRPr="00C3310F">
        <w:rPr>
          <w:rFonts w:hint="eastAsia"/>
        </w:rPr>
        <w:t>建置「紅色通道」下架涉詐帳號、公私協力聯防詐騙措施。</w:t>
      </w:r>
    </w:p>
    <w:p w14:paraId="0BA22029" w14:textId="3DDC8FC1" w:rsidR="00951037" w:rsidRPr="00C3310F" w:rsidRDefault="00D82B1C" w:rsidP="00951037">
      <w:pPr>
        <w:pStyle w:val="5"/>
      </w:pPr>
      <w:r w:rsidRPr="00C3310F">
        <w:rPr>
          <w:rFonts w:hint="eastAsia"/>
        </w:rPr>
        <w:t>數發部</w:t>
      </w:r>
      <w:r w:rsidR="00951037" w:rsidRPr="00C3310F">
        <w:rPr>
          <w:rFonts w:hint="eastAsia"/>
        </w:rPr>
        <w:t>自113年4月15日起主管「網路廣告平臺業」，並就網路詐騙廣告充斥問題開發「詐騙樣態分析」防詐工具，透過大數據分析、機器學習與自然語言處理等技術，每日巡查逾萬筆影片類網路廣告（於M</w:t>
      </w:r>
      <w:r w:rsidR="00E109BD" w:rsidRPr="00C3310F">
        <w:t>eta</w:t>
      </w:r>
      <w:r w:rsidR="00951037" w:rsidRPr="00C3310F">
        <w:rPr>
          <w:rFonts w:hint="eastAsia"/>
        </w:rPr>
        <w:t>、Google、</w:t>
      </w:r>
      <w:r w:rsidR="00DF3BE8" w:rsidRPr="00C3310F">
        <w:rPr>
          <w:rFonts w:hint="eastAsia"/>
        </w:rPr>
        <w:t>LINE</w:t>
      </w:r>
      <w:r w:rsidR="00951037" w:rsidRPr="00C3310F">
        <w:rPr>
          <w:rFonts w:hint="eastAsia"/>
        </w:rPr>
        <w:t>等平臺），透過公私協力機制自動化通報，由受信任機構檢核後，再通知社群平臺業者，以加速下架作業。</w:t>
      </w:r>
    </w:p>
    <w:p w14:paraId="65B86EA1" w14:textId="77777777" w:rsidR="00951037" w:rsidRPr="00C3310F" w:rsidRDefault="00951037" w:rsidP="00951037">
      <w:pPr>
        <w:pStyle w:val="5"/>
      </w:pPr>
      <w:r w:rsidRPr="00C3310F">
        <w:rPr>
          <w:rFonts w:hint="eastAsia"/>
        </w:rPr>
        <w:t>以國內主要大型數位平臺如Google、Meta為例，前開平臺目前於我國均有另依公司法投資設立子公司，惟依公司法規定，其子公司均具獨立法人格，並皆表示其未擁有、經營、控制或主辦該數位平臺服務，相關服務係由位於美國總公司經營，並為與國內使用者具契約關係之主體。</w:t>
      </w:r>
    </w:p>
    <w:p w14:paraId="6F78F6FE" w14:textId="77777777" w:rsidR="00BE1D04" w:rsidRPr="00C3310F" w:rsidRDefault="00BE1D04" w:rsidP="00951037">
      <w:pPr>
        <w:pStyle w:val="5"/>
      </w:pPr>
      <w:r w:rsidRPr="00C3310F">
        <w:rPr>
          <w:rFonts w:hint="eastAsia"/>
        </w:rPr>
        <w:t>手機、網路社群媒體遭不法使用之管理機制：</w:t>
      </w:r>
    </w:p>
    <w:p w14:paraId="0EA86CAE" w14:textId="5D0B233A" w:rsidR="00BE1D04" w:rsidRPr="00C3310F" w:rsidRDefault="00BE1D04" w:rsidP="00951037">
      <w:pPr>
        <w:pStyle w:val="6"/>
      </w:pPr>
      <w:bookmarkStart w:id="562" w:name="_Toc171525504"/>
      <w:bookmarkStart w:id="563" w:name="_Toc172023986"/>
      <w:bookmarkStart w:id="564" w:name="_Toc172033305"/>
      <w:r w:rsidRPr="00C3310F">
        <w:rPr>
          <w:rFonts w:hint="eastAsia"/>
        </w:rPr>
        <w:t>調取資料之管道有下列社群媒體公司Apple、</w:t>
      </w:r>
      <w:r w:rsidR="00DF3BE8" w:rsidRPr="00C3310F">
        <w:rPr>
          <w:rFonts w:hint="eastAsia"/>
        </w:rPr>
        <w:t>LINE</w:t>
      </w:r>
      <w:r w:rsidRPr="00C3310F">
        <w:rPr>
          <w:rFonts w:hint="eastAsia"/>
        </w:rPr>
        <w:t>、Meta(FB、IG)、X公司(前身為Twitter)等資料。</w:t>
      </w:r>
      <w:bookmarkEnd w:id="562"/>
      <w:bookmarkEnd w:id="563"/>
      <w:bookmarkEnd w:id="564"/>
    </w:p>
    <w:p w14:paraId="6E5E132B" w14:textId="77777777" w:rsidR="00BE1D04" w:rsidRPr="00C3310F" w:rsidRDefault="00BE1D04" w:rsidP="00951037">
      <w:pPr>
        <w:pStyle w:val="6"/>
      </w:pPr>
      <w:bookmarkStart w:id="565" w:name="_Toc171525505"/>
      <w:bookmarkStart w:id="566" w:name="_Toc172023987"/>
      <w:bookmarkStart w:id="567" w:name="_Toc172033306"/>
      <w:r w:rsidRPr="00C3310F">
        <w:rPr>
          <w:rFonts w:hint="eastAsia"/>
        </w:rPr>
        <w:lastRenderedPageBreak/>
        <w:t>如需調閱非上開社群媒體公司資料，需由各警察機關自行以公函至該公司進行調閱，警政署將積極與各相關業者增設調閱管道。</w:t>
      </w:r>
      <w:bookmarkEnd w:id="565"/>
      <w:bookmarkEnd w:id="566"/>
      <w:bookmarkEnd w:id="567"/>
    </w:p>
    <w:p w14:paraId="2A124F29" w14:textId="77777777" w:rsidR="00BE1D04" w:rsidRPr="00C3310F" w:rsidRDefault="00BE1D04" w:rsidP="00951037">
      <w:pPr>
        <w:pStyle w:val="6"/>
      </w:pPr>
      <w:bookmarkStart w:id="568" w:name="_Toc171525506"/>
      <w:bookmarkStart w:id="569" w:name="_Toc172023988"/>
      <w:bookmarkStart w:id="570" w:name="_Toc172033307"/>
      <w:r w:rsidRPr="00C3310F">
        <w:rPr>
          <w:rFonts w:hint="eastAsia"/>
        </w:rPr>
        <w:t>調閱資料流程及說明如下：</w:t>
      </w:r>
      <w:bookmarkEnd w:id="568"/>
      <w:bookmarkEnd w:id="569"/>
      <w:bookmarkEnd w:id="570"/>
    </w:p>
    <w:p w14:paraId="1B739929" w14:textId="77777777" w:rsidR="00BE1D04" w:rsidRPr="00C3310F" w:rsidRDefault="00BE1D04" w:rsidP="00951037">
      <w:pPr>
        <w:pStyle w:val="7"/>
      </w:pPr>
      <w:r w:rsidRPr="00C3310F">
        <w:rPr>
          <w:rFonts w:hint="eastAsia"/>
        </w:rPr>
        <w:t>Apple公司:</w:t>
      </w:r>
    </w:p>
    <w:p w14:paraId="3CC77563" w14:textId="77777777" w:rsidR="00BE1D04" w:rsidRPr="00C3310F" w:rsidRDefault="00BE1D04" w:rsidP="00951037">
      <w:pPr>
        <w:pStyle w:val="8"/>
      </w:pPr>
      <w:r w:rsidRPr="00C3310F">
        <w:rPr>
          <w:rFonts w:hint="eastAsia"/>
        </w:rPr>
        <w:t>檢具資料：調閱單、搜索票、清冊(5個以上即建立清冊)。</w:t>
      </w:r>
    </w:p>
    <w:p w14:paraId="4AEF3958" w14:textId="5AF420C9" w:rsidR="00BE1D04" w:rsidRPr="00C3310F" w:rsidRDefault="00BE1D04" w:rsidP="00951037">
      <w:pPr>
        <w:pStyle w:val="8"/>
      </w:pPr>
      <w:r w:rsidRPr="00C3310F">
        <w:rPr>
          <w:rFonts w:hint="eastAsia"/>
        </w:rPr>
        <w:t>流程:系統投單-審核通過-email給Apple公司-Apple</w:t>
      </w:r>
      <w:r w:rsidR="00586697" w:rsidRPr="00C3310F">
        <w:rPr>
          <w:rFonts w:hint="eastAsia"/>
        </w:rPr>
        <w:t>公司</w:t>
      </w:r>
      <w:r w:rsidRPr="00C3310F">
        <w:rPr>
          <w:rFonts w:hint="eastAsia"/>
        </w:rPr>
        <w:t>以email回復結果。</w:t>
      </w:r>
    </w:p>
    <w:p w14:paraId="5677D1C3" w14:textId="0F5345F5" w:rsidR="00BE1D04" w:rsidRPr="00C3310F" w:rsidRDefault="00DF3BE8" w:rsidP="00951037">
      <w:pPr>
        <w:pStyle w:val="7"/>
      </w:pPr>
      <w:r w:rsidRPr="00C3310F">
        <w:rPr>
          <w:rFonts w:hint="eastAsia"/>
        </w:rPr>
        <w:t>LINE</w:t>
      </w:r>
      <w:r w:rsidR="00BE1D04" w:rsidRPr="00C3310F">
        <w:rPr>
          <w:rFonts w:hint="eastAsia"/>
        </w:rPr>
        <w:t xml:space="preserve">公司: </w:t>
      </w:r>
    </w:p>
    <w:p w14:paraId="4DB71C27" w14:textId="77777777" w:rsidR="00BE1D04" w:rsidRPr="00C3310F" w:rsidRDefault="00BE1D04" w:rsidP="00951037">
      <w:pPr>
        <w:pStyle w:val="8"/>
      </w:pPr>
      <w:r w:rsidRPr="00C3310F">
        <w:rPr>
          <w:rFonts w:hint="eastAsia"/>
        </w:rPr>
        <w:t>檢具資料：調閱單、搜索票。</w:t>
      </w:r>
    </w:p>
    <w:p w14:paraId="04BFD6BE" w14:textId="04FBA7E4" w:rsidR="00BE1D04" w:rsidRPr="00C3310F" w:rsidRDefault="00BE1D04" w:rsidP="00951037">
      <w:pPr>
        <w:pStyle w:val="8"/>
      </w:pPr>
      <w:r w:rsidRPr="00C3310F">
        <w:rPr>
          <w:rFonts w:hint="eastAsia"/>
        </w:rPr>
        <w:t>流程: 系統投單-審核通過-email給</w:t>
      </w:r>
      <w:r w:rsidR="00DF3BE8" w:rsidRPr="00C3310F">
        <w:rPr>
          <w:rFonts w:hint="eastAsia"/>
        </w:rPr>
        <w:t>LINE</w:t>
      </w:r>
      <w:r w:rsidRPr="00C3310F">
        <w:rPr>
          <w:rFonts w:hint="eastAsia"/>
        </w:rPr>
        <w:t>公司-</w:t>
      </w:r>
      <w:r w:rsidR="00DF3BE8" w:rsidRPr="00C3310F">
        <w:rPr>
          <w:rFonts w:hint="eastAsia"/>
        </w:rPr>
        <w:t>LINE</w:t>
      </w:r>
      <w:r w:rsidRPr="00C3310F">
        <w:rPr>
          <w:rFonts w:hint="eastAsia"/>
        </w:rPr>
        <w:t>公司email回復告知搜扣日-</w:t>
      </w:r>
      <w:r w:rsidR="00D9140F" w:rsidRPr="00C3310F">
        <w:rPr>
          <w:rFonts w:hint="eastAsia"/>
        </w:rPr>
        <w:t>警政署</w:t>
      </w:r>
      <w:r w:rsidRPr="00C3310F">
        <w:rPr>
          <w:rFonts w:hint="eastAsia"/>
        </w:rPr>
        <w:t>email給調閱單位告知搜扣日-調閱單位持搜索票於搜扣日來</w:t>
      </w:r>
      <w:r w:rsidR="00D9140F" w:rsidRPr="00C3310F">
        <w:rPr>
          <w:rFonts w:hint="eastAsia"/>
        </w:rPr>
        <w:t>警政署</w:t>
      </w:r>
      <w:r w:rsidRPr="00C3310F">
        <w:rPr>
          <w:rFonts w:hint="eastAsia"/>
        </w:rPr>
        <w:t>-</w:t>
      </w:r>
      <w:r w:rsidR="00D9140F" w:rsidRPr="00C3310F">
        <w:rPr>
          <w:rFonts w:hint="eastAsia"/>
        </w:rPr>
        <w:t>警政署</w:t>
      </w:r>
      <w:r w:rsidRPr="00C3310F">
        <w:rPr>
          <w:rFonts w:hint="eastAsia"/>
        </w:rPr>
        <w:t>於當日下午3時與</w:t>
      </w:r>
      <w:r w:rsidR="00DF3BE8" w:rsidRPr="00C3310F">
        <w:rPr>
          <w:rFonts w:hint="eastAsia"/>
        </w:rPr>
        <w:t>LINE</w:t>
      </w:r>
      <w:r w:rsidRPr="00C3310F">
        <w:rPr>
          <w:rFonts w:hint="eastAsia"/>
        </w:rPr>
        <w:t>公司以搜索票交換資料(不符</w:t>
      </w:r>
      <w:r w:rsidR="00DF3BE8" w:rsidRPr="00C3310F">
        <w:rPr>
          <w:rFonts w:hint="eastAsia"/>
        </w:rPr>
        <w:t>LINE</w:t>
      </w:r>
      <w:r w:rsidRPr="00C3310F">
        <w:rPr>
          <w:rFonts w:hint="eastAsia"/>
        </w:rPr>
        <w:t>公司規定須重新安排搜扣日)。</w:t>
      </w:r>
    </w:p>
    <w:p w14:paraId="4E9DF0F1" w14:textId="77777777" w:rsidR="00BE1D04" w:rsidRPr="00C3310F" w:rsidRDefault="00BE1D04" w:rsidP="00951037">
      <w:pPr>
        <w:pStyle w:val="7"/>
      </w:pPr>
      <w:r w:rsidRPr="00C3310F">
        <w:rPr>
          <w:rFonts w:hint="eastAsia"/>
        </w:rPr>
        <w:t xml:space="preserve">Meta公司: </w:t>
      </w:r>
    </w:p>
    <w:p w14:paraId="1C31370D" w14:textId="77777777" w:rsidR="00BE1D04" w:rsidRPr="00C3310F" w:rsidRDefault="00BE1D04" w:rsidP="00951037">
      <w:pPr>
        <w:pStyle w:val="8"/>
      </w:pPr>
      <w:r w:rsidRPr="00C3310F">
        <w:rPr>
          <w:rFonts w:hint="eastAsia"/>
        </w:rPr>
        <w:t>檢具資料：調閱單、相關截圖。</w:t>
      </w:r>
    </w:p>
    <w:p w14:paraId="2719BDF9" w14:textId="3EC5F20F" w:rsidR="00BE1D04" w:rsidRPr="00C3310F" w:rsidRDefault="00BE1D04" w:rsidP="00951037">
      <w:pPr>
        <w:pStyle w:val="8"/>
      </w:pPr>
      <w:r w:rsidRPr="00C3310F">
        <w:rPr>
          <w:rFonts w:hint="eastAsia"/>
        </w:rPr>
        <w:t>流程: 系統投單-審核通過-上傳Meta</w:t>
      </w:r>
      <w:r w:rsidR="0004575A" w:rsidRPr="00C3310F">
        <w:rPr>
          <w:rFonts w:hint="eastAsia"/>
        </w:rPr>
        <w:t>平臺</w:t>
      </w:r>
      <w:r w:rsidRPr="00C3310F">
        <w:rPr>
          <w:rFonts w:hint="eastAsia"/>
        </w:rPr>
        <w:t>-自行於Meta</w:t>
      </w:r>
      <w:r w:rsidR="0004575A" w:rsidRPr="00C3310F">
        <w:rPr>
          <w:rFonts w:hint="eastAsia"/>
        </w:rPr>
        <w:t>平臺</w:t>
      </w:r>
      <w:r w:rsidRPr="00C3310F">
        <w:rPr>
          <w:rFonts w:hint="eastAsia"/>
        </w:rPr>
        <w:t>下載回復資料。</w:t>
      </w:r>
    </w:p>
    <w:p w14:paraId="2199C18A" w14:textId="77777777" w:rsidR="00BE1D04" w:rsidRPr="00C3310F" w:rsidRDefault="00BE1D04" w:rsidP="00951037">
      <w:pPr>
        <w:pStyle w:val="7"/>
      </w:pPr>
      <w:r w:rsidRPr="00C3310F">
        <w:rPr>
          <w:rFonts w:hint="eastAsia"/>
        </w:rPr>
        <w:t>X公司(原Twitter公司)：</w:t>
      </w:r>
    </w:p>
    <w:p w14:paraId="22A29AEF" w14:textId="77777777" w:rsidR="00BE1D04" w:rsidRPr="00C3310F" w:rsidRDefault="00BE1D04" w:rsidP="00951037">
      <w:pPr>
        <w:pStyle w:val="8"/>
      </w:pPr>
      <w:r w:rsidRPr="00C3310F">
        <w:rPr>
          <w:rFonts w:hint="eastAsia"/>
        </w:rPr>
        <w:t>檢具資料：調閱單。</w:t>
      </w:r>
    </w:p>
    <w:p w14:paraId="531E8775" w14:textId="4AE3F367" w:rsidR="00BE1D04" w:rsidRPr="00C3310F" w:rsidRDefault="00BE1D04" w:rsidP="00951037">
      <w:pPr>
        <w:pStyle w:val="8"/>
      </w:pPr>
      <w:r w:rsidRPr="00C3310F">
        <w:rPr>
          <w:rFonts w:hint="eastAsia"/>
        </w:rPr>
        <w:t>流程：系統投單-審核通過-上傳X</w:t>
      </w:r>
      <w:r w:rsidR="0004575A" w:rsidRPr="00C3310F">
        <w:rPr>
          <w:rFonts w:hint="eastAsia"/>
        </w:rPr>
        <w:t>平臺</w:t>
      </w:r>
      <w:r w:rsidRPr="00C3310F">
        <w:rPr>
          <w:rFonts w:hint="eastAsia"/>
        </w:rPr>
        <w:t>-X</w:t>
      </w:r>
      <w:r w:rsidR="002B7518" w:rsidRPr="00C3310F">
        <w:rPr>
          <w:rFonts w:hint="eastAsia"/>
        </w:rPr>
        <w:t>公司</w:t>
      </w:r>
      <w:r w:rsidRPr="00C3310F">
        <w:rPr>
          <w:rFonts w:hint="eastAsia"/>
        </w:rPr>
        <w:t>以email回復結果。</w:t>
      </w:r>
    </w:p>
    <w:p w14:paraId="553F7C07" w14:textId="70C53DDE" w:rsidR="00BE1D04" w:rsidRPr="00C3310F" w:rsidRDefault="00BE1D04" w:rsidP="00951037">
      <w:pPr>
        <w:pStyle w:val="6"/>
        <w:rPr>
          <w:rFonts w:hAnsi="標楷體"/>
          <w:sz w:val="28"/>
          <w:szCs w:val="28"/>
        </w:rPr>
      </w:pPr>
      <w:bookmarkStart w:id="571" w:name="_Toc171525507"/>
      <w:bookmarkStart w:id="572" w:name="_Toc172023989"/>
      <w:bookmarkStart w:id="573" w:name="_Toc172033308"/>
      <w:r w:rsidRPr="00C3310F">
        <w:rPr>
          <w:rFonts w:hint="eastAsia"/>
        </w:rPr>
        <w:t>未能取得資料原因：以上4個社群公司若無資料回復原因皆位於境外、需司法互助協議取得資料或帳號已刪除等，調閱情形詳表</w:t>
      </w:r>
      <w:r w:rsidR="001753E1" w:rsidRPr="00C3310F">
        <w:rPr>
          <w:rFonts w:hint="eastAsia"/>
        </w:rPr>
        <w:t>8</w:t>
      </w:r>
      <w:r w:rsidRPr="00C3310F">
        <w:rPr>
          <w:rFonts w:hint="eastAsia"/>
        </w:rPr>
        <w:t>。</w:t>
      </w:r>
      <w:bookmarkEnd w:id="571"/>
      <w:bookmarkEnd w:id="572"/>
      <w:bookmarkEnd w:id="573"/>
    </w:p>
    <w:p w14:paraId="7F86014A" w14:textId="77777777" w:rsidR="00BE1D04" w:rsidRPr="00C3310F" w:rsidRDefault="00BE1D04" w:rsidP="00BE1D04">
      <w:pPr>
        <w:pStyle w:val="a3"/>
        <w:jc w:val="center"/>
        <w:rPr>
          <w:rFonts w:hint="eastAsia"/>
          <w:b/>
        </w:rPr>
      </w:pPr>
      <w:bookmarkStart w:id="574" w:name="_Toc172025212"/>
      <w:r w:rsidRPr="00C3310F">
        <w:rPr>
          <w:rFonts w:hint="eastAsia"/>
          <w:b/>
        </w:rPr>
        <w:lastRenderedPageBreak/>
        <w:t>主管機關調得社群公司情形表</w:t>
      </w:r>
      <w:bookmarkEnd w:id="574"/>
    </w:p>
    <w:tbl>
      <w:tblPr>
        <w:tblStyle w:val="13"/>
        <w:tblW w:w="10220" w:type="dxa"/>
        <w:jc w:val="center"/>
        <w:tblLayout w:type="fixed"/>
        <w:tblLook w:val="04A0" w:firstRow="1" w:lastRow="0" w:firstColumn="1" w:lastColumn="0" w:noHBand="0" w:noVBand="1"/>
      </w:tblPr>
      <w:tblGrid>
        <w:gridCol w:w="1017"/>
        <w:gridCol w:w="874"/>
        <w:gridCol w:w="875"/>
        <w:gridCol w:w="876"/>
        <w:gridCol w:w="730"/>
        <w:gridCol w:w="730"/>
        <w:gridCol w:w="585"/>
        <w:gridCol w:w="874"/>
        <w:gridCol w:w="875"/>
        <w:gridCol w:w="731"/>
        <w:gridCol w:w="730"/>
        <w:gridCol w:w="583"/>
        <w:gridCol w:w="730"/>
        <w:gridCol w:w="10"/>
      </w:tblGrid>
      <w:tr w:rsidR="00C3310F" w:rsidRPr="00C3310F" w14:paraId="332845FB" w14:textId="77777777" w:rsidTr="00D9140F">
        <w:trPr>
          <w:trHeight w:val="64"/>
          <w:tblHeader/>
          <w:jc w:val="center"/>
        </w:trPr>
        <w:tc>
          <w:tcPr>
            <w:tcW w:w="1017" w:type="dxa"/>
            <w:vMerge w:val="restart"/>
            <w:tcBorders>
              <w:tr2bl w:val="single" w:sz="4" w:space="0" w:color="000000"/>
            </w:tcBorders>
            <w:vAlign w:val="center"/>
          </w:tcPr>
          <w:p w14:paraId="52EC7189" w14:textId="77777777" w:rsidR="00BE1D04" w:rsidRPr="00C3310F" w:rsidRDefault="00BE1D04" w:rsidP="003977B9">
            <w:pPr>
              <w:ind w:rightChars="-54" w:right="-184"/>
              <w:rPr>
                <w:rFonts w:ascii="Times New Roman"/>
                <w:b/>
                <w:sz w:val="22"/>
                <w:szCs w:val="22"/>
              </w:rPr>
            </w:pPr>
            <w:r w:rsidRPr="00C3310F">
              <w:rPr>
                <w:rFonts w:ascii="Times New Roman" w:hint="eastAsia"/>
                <w:b/>
                <w:sz w:val="22"/>
                <w:szCs w:val="22"/>
              </w:rPr>
              <w:t>社群</w:t>
            </w:r>
          </w:p>
          <w:p w14:paraId="53CC8623" w14:textId="25FD9AF9" w:rsidR="00BE1D04" w:rsidRPr="00C3310F" w:rsidRDefault="0004575A" w:rsidP="003977B9">
            <w:pPr>
              <w:spacing w:afterLines="50" w:after="228"/>
              <w:ind w:rightChars="-54" w:right="-184"/>
              <w:rPr>
                <w:rFonts w:ascii="Times New Roman"/>
                <w:b/>
                <w:sz w:val="22"/>
                <w:szCs w:val="22"/>
              </w:rPr>
            </w:pPr>
            <w:r w:rsidRPr="00C3310F">
              <w:rPr>
                <w:rFonts w:ascii="Times New Roman"/>
                <w:b/>
                <w:sz w:val="22"/>
                <w:szCs w:val="22"/>
              </w:rPr>
              <w:t>平臺</w:t>
            </w:r>
          </w:p>
          <w:p w14:paraId="6842BFBC" w14:textId="77777777" w:rsidR="00BE1D04" w:rsidRPr="00C3310F" w:rsidRDefault="00BE1D04" w:rsidP="003977B9">
            <w:pPr>
              <w:jc w:val="right"/>
              <w:rPr>
                <w:rFonts w:ascii="Times New Roman"/>
                <w:b/>
                <w:sz w:val="22"/>
                <w:szCs w:val="22"/>
              </w:rPr>
            </w:pPr>
            <w:r w:rsidRPr="00C3310F">
              <w:rPr>
                <w:rFonts w:ascii="Times New Roman" w:hint="eastAsia"/>
                <w:b/>
                <w:sz w:val="22"/>
                <w:szCs w:val="22"/>
              </w:rPr>
              <w:t>年度</w:t>
            </w:r>
          </w:p>
        </w:tc>
        <w:tc>
          <w:tcPr>
            <w:tcW w:w="2625" w:type="dxa"/>
            <w:gridSpan w:val="3"/>
            <w:vAlign w:val="center"/>
          </w:tcPr>
          <w:p w14:paraId="63C27306" w14:textId="77777777" w:rsidR="00BE1D04" w:rsidRPr="00C3310F" w:rsidRDefault="00BE1D04" w:rsidP="003977B9">
            <w:pPr>
              <w:jc w:val="center"/>
              <w:rPr>
                <w:rFonts w:ascii="Times New Roman"/>
                <w:b/>
                <w:sz w:val="22"/>
                <w:szCs w:val="22"/>
              </w:rPr>
            </w:pPr>
            <w:r w:rsidRPr="00C3310F">
              <w:rPr>
                <w:rFonts w:ascii="Times New Roman"/>
                <w:b/>
                <w:sz w:val="22"/>
                <w:szCs w:val="22"/>
              </w:rPr>
              <w:t>Apple</w:t>
            </w:r>
          </w:p>
        </w:tc>
        <w:tc>
          <w:tcPr>
            <w:tcW w:w="2045" w:type="dxa"/>
            <w:gridSpan w:val="3"/>
            <w:vAlign w:val="center"/>
          </w:tcPr>
          <w:p w14:paraId="35C3A451" w14:textId="0D2F1329" w:rsidR="00BE1D04" w:rsidRPr="00C3310F" w:rsidRDefault="00DF3BE8" w:rsidP="003977B9">
            <w:pPr>
              <w:jc w:val="center"/>
              <w:rPr>
                <w:rFonts w:ascii="Times New Roman"/>
                <w:b/>
                <w:sz w:val="22"/>
                <w:szCs w:val="22"/>
              </w:rPr>
            </w:pPr>
            <w:r w:rsidRPr="00C3310F">
              <w:rPr>
                <w:rFonts w:ascii="Times New Roman"/>
                <w:b/>
                <w:sz w:val="22"/>
                <w:szCs w:val="22"/>
              </w:rPr>
              <w:t>LINE</w:t>
            </w:r>
          </w:p>
        </w:tc>
        <w:tc>
          <w:tcPr>
            <w:tcW w:w="2480" w:type="dxa"/>
            <w:gridSpan w:val="3"/>
            <w:vAlign w:val="center"/>
          </w:tcPr>
          <w:p w14:paraId="2D8389EC" w14:textId="77777777" w:rsidR="00BE1D04" w:rsidRPr="00C3310F" w:rsidRDefault="00BE1D04" w:rsidP="003977B9">
            <w:pPr>
              <w:jc w:val="center"/>
              <w:rPr>
                <w:rFonts w:ascii="Times New Roman"/>
                <w:b/>
                <w:sz w:val="22"/>
                <w:szCs w:val="22"/>
              </w:rPr>
            </w:pPr>
            <w:r w:rsidRPr="00C3310F">
              <w:rPr>
                <w:rFonts w:ascii="Times New Roman" w:hint="eastAsia"/>
                <w:b/>
                <w:sz w:val="22"/>
                <w:szCs w:val="22"/>
              </w:rPr>
              <w:t>臉書</w:t>
            </w:r>
          </w:p>
        </w:tc>
        <w:tc>
          <w:tcPr>
            <w:tcW w:w="2053" w:type="dxa"/>
            <w:gridSpan w:val="4"/>
            <w:vAlign w:val="center"/>
          </w:tcPr>
          <w:p w14:paraId="2A4EFC0D" w14:textId="77777777" w:rsidR="00BE1D04" w:rsidRPr="00C3310F" w:rsidRDefault="00BE1D04" w:rsidP="003977B9">
            <w:pPr>
              <w:jc w:val="center"/>
              <w:rPr>
                <w:rFonts w:ascii="Times New Roman"/>
                <w:b/>
                <w:sz w:val="22"/>
                <w:szCs w:val="22"/>
              </w:rPr>
            </w:pPr>
            <w:r w:rsidRPr="00C3310F">
              <w:rPr>
                <w:rFonts w:ascii="Times New Roman"/>
                <w:b/>
                <w:sz w:val="22"/>
                <w:szCs w:val="22"/>
              </w:rPr>
              <w:t>X(</w:t>
            </w:r>
            <w:r w:rsidRPr="00C3310F">
              <w:rPr>
                <w:rFonts w:ascii="Times New Roman" w:hint="eastAsia"/>
                <w:b/>
                <w:sz w:val="22"/>
                <w:szCs w:val="22"/>
              </w:rPr>
              <w:t>前</w:t>
            </w:r>
            <w:r w:rsidRPr="00C3310F">
              <w:rPr>
                <w:rFonts w:ascii="Times New Roman"/>
                <w:b/>
                <w:sz w:val="22"/>
                <w:szCs w:val="22"/>
              </w:rPr>
              <w:t>Twitter)</w:t>
            </w:r>
          </w:p>
        </w:tc>
      </w:tr>
      <w:tr w:rsidR="00C3310F" w:rsidRPr="00C3310F" w14:paraId="13BCCBFB" w14:textId="77777777" w:rsidTr="00D9140F">
        <w:trPr>
          <w:gridAfter w:val="1"/>
          <w:wAfter w:w="10" w:type="dxa"/>
          <w:cantSplit/>
          <w:trHeight w:val="1222"/>
          <w:tblHeader/>
          <w:jc w:val="center"/>
        </w:trPr>
        <w:tc>
          <w:tcPr>
            <w:tcW w:w="1017" w:type="dxa"/>
            <w:vMerge/>
            <w:tcBorders>
              <w:tr2bl w:val="single" w:sz="4" w:space="0" w:color="000000"/>
            </w:tcBorders>
            <w:vAlign w:val="center"/>
          </w:tcPr>
          <w:p w14:paraId="2B117E0F" w14:textId="77777777" w:rsidR="00BE1D04" w:rsidRPr="00C3310F" w:rsidRDefault="00BE1D04" w:rsidP="003977B9">
            <w:pPr>
              <w:jc w:val="center"/>
              <w:rPr>
                <w:rFonts w:ascii="Times New Roman"/>
                <w:b/>
                <w:sz w:val="22"/>
                <w:szCs w:val="22"/>
              </w:rPr>
            </w:pPr>
          </w:p>
        </w:tc>
        <w:tc>
          <w:tcPr>
            <w:tcW w:w="874" w:type="dxa"/>
            <w:textDirection w:val="tbRlV"/>
            <w:vAlign w:val="center"/>
          </w:tcPr>
          <w:p w14:paraId="591DD10D" w14:textId="77777777" w:rsidR="00BE1D04" w:rsidRPr="00C3310F" w:rsidRDefault="00BE1D04" w:rsidP="003977B9">
            <w:pPr>
              <w:ind w:left="113" w:right="113"/>
              <w:jc w:val="center"/>
              <w:rPr>
                <w:rFonts w:ascii="Times New Roman"/>
                <w:b/>
                <w:sz w:val="22"/>
                <w:szCs w:val="22"/>
              </w:rPr>
            </w:pPr>
            <w:r w:rsidRPr="00C3310F">
              <w:rPr>
                <w:rFonts w:ascii="Times New Roman" w:hint="eastAsia"/>
                <w:b/>
                <w:sz w:val="22"/>
                <w:szCs w:val="22"/>
              </w:rPr>
              <w:t>調閱次數</w:t>
            </w:r>
          </w:p>
        </w:tc>
        <w:tc>
          <w:tcPr>
            <w:tcW w:w="875" w:type="dxa"/>
            <w:textDirection w:val="tbRlV"/>
            <w:vAlign w:val="center"/>
          </w:tcPr>
          <w:p w14:paraId="67E9C420" w14:textId="77777777" w:rsidR="00BE1D04" w:rsidRPr="00C3310F" w:rsidRDefault="00BE1D04" w:rsidP="003977B9">
            <w:pPr>
              <w:ind w:left="113" w:right="113"/>
              <w:jc w:val="center"/>
              <w:rPr>
                <w:rFonts w:ascii="Times New Roman"/>
                <w:b/>
                <w:sz w:val="22"/>
                <w:szCs w:val="22"/>
              </w:rPr>
            </w:pPr>
            <w:r w:rsidRPr="00C3310F">
              <w:rPr>
                <w:rFonts w:ascii="Times New Roman" w:hint="eastAsia"/>
                <w:b/>
                <w:sz w:val="22"/>
                <w:szCs w:val="22"/>
              </w:rPr>
              <w:t>調得次數</w:t>
            </w:r>
          </w:p>
        </w:tc>
        <w:tc>
          <w:tcPr>
            <w:tcW w:w="876" w:type="dxa"/>
            <w:textDirection w:val="tbRlV"/>
            <w:vAlign w:val="center"/>
          </w:tcPr>
          <w:p w14:paraId="0E15E8C1" w14:textId="77777777" w:rsidR="00BE1D04" w:rsidRPr="00C3310F" w:rsidRDefault="00BE1D04" w:rsidP="003977B9">
            <w:pPr>
              <w:ind w:left="113" w:right="113"/>
              <w:jc w:val="center"/>
              <w:rPr>
                <w:rFonts w:ascii="Times New Roman"/>
                <w:b/>
                <w:sz w:val="22"/>
                <w:szCs w:val="22"/>
              </w:rPr>
            </w:pPr>
            <w:r w:rsidRPr="00C3310F">
              <w:rPr>
                <w:rFonts w:ascii="Times New Roman" w:hint="eastAsia"/>
                <w:b/>
                <w:sz w:val="22"/>
                <w:szCs w:val="22"/>
              </w:rPr>
              <w:t>調得率</w:t>
            </w:r>
            <w:r w:rsidRPr="00C3310F">
              <w:rPr>
                <w:rFonts w:ascii="Times New Roman"/>
                <w:b/>
                <w:sz w:val="22"/>
                <w:szCs w:val="22"/>
              </w:rPr>
              <w:t>%</w:t>
            </w:r>
          </w:p>
        </w:tc>
        <w:tc>
          <w:tcPr>
            <w:tcW w:w="730" w:type="dxa"/>
            <w:textDirection w:val="tbRlV"/>
            <w:vAlign w:val="center"/>
          </w:tcPr>
          <w:p w14:paraId="798EE184" w14:textId="77777777" w:rsidR="00BE1D04" w:rsidRPr="00C3310F" w:rsidRDefault="00BE1D04" w:rsidP="003977B9">
            <w:pPr>
              <w:ind w:left="113" w:right="113"/>
              <w:jc w:val="center"/>
              <w:rPr>
                <w:rFonts w:ascii="Times New Roman"/>
                <w:b/>
                <w:sz w:val="22"/>
                <w:szCs w:val="22"/>
              </w:rPr>
            </w:pPr>
            <w:r w:rsidRPr="00C3310F">
              <w:rPr>
                <w:rFonts w:ascii="Times New Roman" w:hint="eastAsia"/>
                <w:b/>
                <w:sz w:val="22"/>
                <w:szCs w:val="22"/>
              </w:rPr>
              <w:t>調閱次數</w:t>
            </w:r>
          </w:p>
        </w:tc>
        <w:tc>
          <w:tcPr>
            <w:tcW w:w="730" w:type="dxa"/>
            <w:textDirection w:val="tbRlV"/>
            <w:vAlign w:val="center"/>
          </w:tcPr>
          <w:p w14:paraId="796E8800" w14:textId="77777777" w:rsidR="00BE1D04" w:rsidRPr="00C3310F" w:rsidRDefault="00BE1D04" w:rsidP="003977B9">
            <w:pPr>
              <w:ind w:left="113" w:right="113"/>
              <w:jc w:val="center"/>
              <w:rPr>
                <w:rFonts w:ascii="Times New Roman"/>
                <w:b/>
                <w:sz w:val="22"/>
                <w:szCs w:val="22"/>
              </w:rPr>
            </w:pPr>
            <w:r w:rsidRPr="00C3310F">
              <w:rPr>
                <w:rFonts w:ascii="Times New Roman" w:hint="eastAsia"/>
                <w:b/>
                <w:sz w:val="22"/>
                <w:szCs w:val="22"/>
              </w:rPr>
              <w:t>調得次數</w:t>
            </w:r>
          </w:p>
        </w:tc>
        <w:tc>
          <w:tcPr>
            <w:tcW w:w="585" w:type="dxa"/>
            <w:textDirection w:val="tbRlV"/>
            <w:vAlign w:val="center"/>
          </w:tcPr>
          <w:p w14:paraId="20645C5E" w14:textId="77777777" w:rsidR="00BE1D04" w:rsidRPr="00C3310F" w:rsidRDefault="00BE1D04" w:rsidP="003977B9">
            <w:pPr>
              <w:ind w:left="113" w:right="113"/>
              <w:jc w:val="center"/>
              <w:rPr>
                <w:rFonts w:ascii="Times New Roman"/>
                <w:b/>
                <w:sz w:val="22"/>
                <w:szCs w:val="22"/>
              </w:rPr>
            </w:pPr>
            <w:r w:rsidRPr="00C3310F">
              <w:rPr>
                <w:rFonts w:ascii="Times New Roman" w:hint="eastAsia"/>
                <w:b/>
                <w:sz w:val="22"/>
                <w:szCs w:val="22"/>
              </w:rPr>
              <w:t>調得率﹪</w:t>
            </w:r>
          </w:p>
        </w:tc>
        <w:tc>
          <w:tcPr>
            <w:tcW w:w="874" w:type="dxa"/>
            <w:textDirection w:val="tbRlV"/>
            <w:vAlign w:val="center"/>
          </w:tcPr>
          <w:p w14:paraId="45383912" w14:textId="77777777" w:rsidR="00BE1D04" w:rsidRPr="00C3310F" w:rsidRDefault="00BE1D04" w:rsidP="003977B9">
            <w:pPr>
              <w:ind w:left="113" w:right="113"/>
              <w:jc w:val="center"/>
              <w:rPr>
                <w:rFonts w:ascii="Times New Roman"/>
                <w:b/>
                <w:sz w:val="22"/>
                <w:szCs w:val="22"/>
              </w:rPr>
            </w:pPr>
            <w:r w:rsidRPr="00C3310F">
              <w:rPr>
                <w:rFonts w:ascii="Times New Roman" w:hint="eastAsia"/>
                <w:b/>
                <w:sz w:val="22"/>
                <w:szCs w:val="22"/>
              </w:rPr>
              <w:t>調閱次數</w:t>
            </w:r>
          </w:p>
        </w:tc>
        <w:tc>
          <w:tcPr>
            <w:tcW w:w="875" w:type="dxa"/>
            <w:textDirection w:val="tbRlV"/>
            <w:vAlign w:val="center"/>
          </w:tcPr>
          <w:p w14:paraId="18F246DA" w14:textId="77777777" w:rsidR="00BE1D04" w:rsidRPr="00C3310F" w:rsidRDefault="00BE1D04" w:rsidP="003977B9">
            <w:pPr>
              <w:ind w:left="113" w:right="113"/>
              <w:jc w:val="center"/>
              <w:rPr>
                <w:rFonts w:ascii="Times New Roman"/>
                <w:b/>
                <w:sz w:val="22"/>
                <w:szCs w:val="22"/>
              </w:rPr>
            </w:pPr>
            <w:r w:rsidRPr="00C3310F">
              <w:rPr>
                <w:rFonts w:ascii="Times New Roman" w:hint="eastAsia"/>
                <w:b/>
                <w:sz w:val="22"/>
                <w:szCs w:val="22"/>
              </w:rPr>
              <w:t>調得次數</w:t>
            </w:r>
          </w:p>
        </w:tc>
        <w:tc>
          <w:tcPr>
            <w:tcW w:w="731" w:type="dxa"/>
            <w:textDirection w:val="tbRlV"/>
            <w:vAlign w:val="center"/>
          </w:tcPr>
          <w:p w14:paraId="2194CE79" w14:textId="77777777" w:rsidR="00BE1D04" w:rsidRPr="00C3310F" w:rsidRDefault="00BE1D04" w:rsidP="003977B9">
            <w:pPr>
              <w:ind w:left="113" w:right="113"/>
              <w:jc w:val="center"/>
              <w:rPr>
                <w:rFonts w:ascii="Times New Roman"/>
                <w:b/>
                <w:sz w:val="22"/>
                <w:szCs w:val="22"/>
              </w:rPr>
            </w:pPr>
            <w:r w:rsidRPr="00C3310F">
              <w:rPr>
                <w:rFonts w:ascii="Times New Roman" w:hint="eastAsia"/>
                <w:b/>
                <w:sz w:val="22"/>
                <w:szCs w:val="22"/>
              </w:rPr>
              <w:t>調得率﹪</w:t>
            </w:r>
          </w:p>
        </w:tc>
        <w:tc>
          <w:tcPr>
            <w:tcW w:w="730" w:type="dxa"/>
            <w:textDirection w:val="tbRlV"/>
            <w:vAlign w:val="center"/>
          </w:tcPr>
          <w:p w14:paraId="64C1B10D" w14:textId="77777777" w:rsidR="00BE1D04" w:rsidRPr="00C3310F" w:rsidRDefault="00BE1D04" w:rsidP="003977B9">
            <w:pPr>
              <w:ind w:left="113" w:right="113"/>
              <w:jc w:val="center"/>
              <w:rPr>
                <w:rFonts w:ascii="Times New Roman"/>
                <w:b/>
                <w:sz w:val="22"/>
                <w:szCs w:val="22"/>
              </w:rPr>
            </w:pPr>
            <w:r w:rsidRPr="00C3310F">
              <w:rPr>
                <w:rFonts w:ascii="Times New Roman" w:hint="eastAsia"/>
                <w:b/>
                <w:sz w:val="22"/>
                <w:szCs w:val="22"/>
              </w:rPr>
              <w:t>調閱次數</w:t>
            </w:r>
          </w:p>
        </w:tc>
        <w:tc>
          <w:tcPr>
            <w:tcW w:w="583" w:type="dxa"/>
            <w:textDirection w:val="tbRlV"/>
            <w:vAlign w:val="center"/>
          </w:tcPr>
          <w:p w14:paraId="75B2294B" w14:textId="77777777" w:rsidR="00BE1D04" w:rsidRPr="00C3310F" w:rsidRDefault="00BE1D04" w:rsidP="003977B9">
            <w:pPr>
              <w:ind w:left="113" w:right="113"/>
              <w:jc w:val="center"/>
              <w:rPr>
                <w:rFonts w:ascii="Times New Roman"/>
                <w:b/>
                <w:sz w:val="22"/>
                <w:szCs w:val="22"/>
              </w:rPr>
            </w:pPr>
            <w:r w:rsidRPr="00C3310F">
              <w:rPr>
                <w:rFonts w:ascii="Times New Roman" w:hint="eastAsia"/>
                <w:b/>
                <w:sz w:val="22"/>
                <w:szCs w:val="22"/>
              </w:rPr>
              <w:t>調得次數</w:t>
            </w:r>
          </w:p>
        </w:tc>
        <w:tc>
          <w:tcPr>
            <w:tcW w:w="730" w:type="dxa"/>
            <w:textDirection w:val="tbRlV"/>
            <w:vAlign w:val="center"/>
          </w:tcPr>
          <w:p w14:paraId="4EE71FD3" w14:textId="77777777" w:rsidR="00BE1D04" w:rsidRPr="00C3310F" w:rsidRDefault="00BE1D04" w:rsidP="003977B9">
            <w:pPr>
              <w:ind w:left="113" w:right="113"/>
              <w:jc w:val="center"/>
              <w:rPr>
                <w:rFonts w:ascii="Times New Roman"/>
                <w:b/>
                <w:sz w:val="22"/>
                <w:szCs w:val="22"/>
              </w:rPr>
            </w:pPr>
            <w:r w:rsidRPr="00C3310F">
              <w:rPr>
                <w:rFonts w:ascii="Times New Roman" w:hint="eastAsia"/>
                <w:b/>
                <w:sz w:val="22"/>
                <w:szCs w:val="22"/>
              </w:rPr>
              <w:t>調得率﹪</w:t>
            </w:r>
          </w:p>
        </w:tc>
      </w:tr>
      <w:tr w:rsidR="00C3310F" w:rsidRPr="00C3310F" w14:paraId="28AA56EC" w14:textId="77777777" w:rsidTr="00D9140F">
        <w:trPr>
          <w:gridAfter w:val="1"/>
          <w:wAfter w:w="10" w:type="dxa"/>
          <w:trHeight w:val="42"/>
          <w:jc w:val="center"/>
        </w:trPr>
        <w:tc>
          <w:tcPr>
            <w:tcW w:w="1017" w:type="dxa"/>
            <w:vAlign w:val="center"/>
          </w:tcPr>
          <w:p w14:paraId="4CEA05FE" w14:textId="77777777" w:rsidR="00BE1D04" w:rsidRPr="00C3310F" w:rsidRDefault="00BE1D04" w:rsidP="00DB430F">
            <w:pPr>
              <w:ind w:left="190"/>
              <w:jc w:val="center"/>
              <w:rPr>
                <w:rFonts w:ascii="Times New Roman"/>
                <w:sz w:val="22"/>
                <w:szCs w:val="22"/>
              </w:rPr>
            </w:pPr>
            <w:r w:rsidRPr="00C3310F">
              <w:rPr>
                <w:rFonts w:ascii="Times New Roman"/>
                <w:sz w:val="22"/>
                <w:szCs w:val="22"/>
              </w:rPr>
              <w:t>106</w:t>
            </w:r>
          </w:p>
        </w:tc>
        <w:tc>
          <w:tcPr>
            <w:tcW w:w="874" w:type="dxa"/>
            <w:vAlign w:val="center"/>
          </w:tcPr>
          <w:p w14:paraId="48F4C8C0" w14:textId="77777777" w:rsidR="00BE1D04" w:rsidRPr="00C3310F" w:rsidRDefault="00BE1D04" w:rsidP="00D9140F">
            <w:pPr>
              <w:ind w:left="190"/>
              <w:jc w:val="right"/>
              <w:rPr>
                <w:rFonts w:ascii="Times New Roman"/>
                <w:sz w:val="20"/>
              </w:rPr>
            </w:pPr>
          </w:p>
        </w:tc>
        <w:tc>
          <w:tcPr>
            <w:tcW w:w="875" w:type="dxa"/>
            <w:vAlign w:val="center"/>
          </w:tcPr>
          <w:p w14:paraId="71C641AB" w14:textId="77777777" w:rsidR="00BE1D04" w:rsidRPr="00C3310F" w:rsidRDefault="00BE1D04" w:rsidP="00D9140F">
            <w:pPr>
              <w:ind w:left="190"/>
              <w:jc w:val="right"/>
              <w:rPr>
                <w:rFonts w:ascii="Times New Roman"/>
                <w:sz w:val="20"/>
              </w:rPr>
            </w:pPr>
          </w:p>
        </w:tc>
        <w:tc>
          <w:tcPr>
            <w:tcW w:w="876" w:type="dxa"/>
            <w:vAlign w:val="center"/>
          </w:tcPr>
          <w:p w14:paraId="5DD227BE" w14:textId="77777777" w:rsidR="00BE1D04" w:rsidRPr="00C3310F" w:rsidRDefault="00BE1D04" w:rsidP="00D9140F">
            <w:pPr>
              <w:ind w:left="190"/>
              <w:jc w:val="right"/>
              <w:rPr>
                <w:rFonts w:ascii="Times New Roman"/>
                <w:sz w:val="20"/>
              </w:rPr>
            </w:pPr>
          </w:p>
        </w:tc>
        <w:tc>
          <w:tcPr>
            <w:tcW w:w="730" w:type="dxa"/>
            <w:tcBorders>
              <w:top w:val="single" w:sz="6" w:space="0" w:color="000000"/>
              <w:left w:val="single" w:sz="6" w:space="0" w:color="000000"/>
              <w:bottom w:val="single" w:sz="6" w:space="0" w:color="000000"/>
              <w:right w:val="single" w:sz="6" w:space="0" w:color="000000"/>
            </w:tcBorders>
            <w:vAlign w:val="center"/>
          </w:tcPr>
          <w:p w14:paraId="624B9025" w14:textId="77777777" w:rsidR="00BE1D04" w:rsidRPr="00C3310F" w:rsidRDefault="00BE1D04" w:rsidP="00D9140F">
            <w:pPr>
              <w:widowControl/>
              <w:jc w:val="right"/>
              <w:rPr>
                <w:rFonts w:ascii="Times New Roman"/>
                <w:sz w:val="20"/>
              </w:rPr>
            </w:pPr>
            <w:r w:rsidRPr="00C3310F">
              <w:rPr>
                <w:rFonts w:ascii="Times New Roman"/>
                <w:sz w:val="20"/>
              </w:rPr>
              <w:t>256</w:t>
            </w:r>
          </w:p>
        </w:tc>
        <w:tc>
          <w:tcPr>
            <w:tcW w:w="730" w:type="dxa"/>
            <w:tcBorders>
              <w:top w:val="single" w:sz="6" w:space="0" w:color="000000"/>
              <w:left w:val="single" w:sz="6" w:space="0" w:color="000000"/>
              <w:bottom w:val="single" w:sz="6" w:space="0" w:color="000000"/>
              <w:right w:val="single" w:sz="6" w:space="0" w:color="000000"/>
            </w:tcBorders>
            <w:vAlign w:val="center"/>
          </w:tcPr>
          <w:p w14:paraId="07E5B968" w14:textId="77777777" w:rsidR="00BE1D04" w:rsidRPr="00C3310F" w:rsidRDefault="00BE1D04" w:rsidP="00D9140F">
            <w:pPr>
              <w:jc w:val="right"/>
              <w:rPr>
                <w:rFonts w:ascii="Times New Roman"/>
                <w:sz w:val="20"/>
              </w:rPr>
            </w:pPr>
            <w:r w:rsidRPr="00C3310F">
              <w:rPr>
                <w:rFonts w:ascii="Times New Roman"/>
                <w:sz w:val="20"/>
              </w:rPr>
              <w:t>256</w:t>
            </w:r>
          </w:p>
        </w:tc>
        <w:tc>
          <w:tcPr>
            <w:tcW w:w="585" w:type="dxa"/>
            <w:tcBorders>
              <w:top w:val="single" w:sz="6" w:space="0" w:color="000000"/>
              <w:left w:val="single" w:sz="6" w:space="0" w:color="000000"/>
              <w:bottom w:val="single" w:sz="6" w:space="0" w:color="000000"/>
              <w:right w:val="single" w:sz="6" w:space="0" w:color="000000"/>
            </w:tcBorders>
            <w:vAlign w:val="center"/>
          </w:tcPr>
          <w:p w14:paraId="130675B8" w14:textId="77777777" w:rsidR="00BE1D04" w:rsidRPr="00C3310F" w:rsidRDefault="00BE1D04" w:rsidP="00D9140F">
            <w:pPr>
              <w:jc w:val="right"/>
              <w:rPr>
                <w:rFonts w:ascii="Times New Roman"/>
                <w:sz w:val="18"/>
                <w:szCs w:val="18"/>
              </w:rPr>
            </w:pPr>
            <w:r w:rsidRPr="00C3310F">
              <w:rPr>
                <w:rFonts w:ascii="Times New Roman"/>
                <w:sz w:val="18"/>
                <w:szCs w:val="18"/>
              </w:rPr>
              <w:t>N/A</w:t>
            </w:r>
          </w:p>
        </w:tc>
        <w:tc>
          <w:tcPr>
            <w:tcW w:w="874" w:type="dxa"/>
            <w:tcBorders>
              <w:top w:val="single" w:sz="6" w:space="0" w:color="000000"/>
              <w:left w:val="single" w:sz="6" w:space="0" w:color="000000"/>
              <w:bottom w:val="single" w:sz="6" w:space="0" w:color="000000"/>
              <w:right w:val="single" w:sz="6" w:space="0" w:color="000000"/>
            </w:tcBorders>
            <w:vAlign w:val="center"/>
          </w:tcPr>
          <w:p w14:paraId="79DECA63" w14:textId="77777777" w:rsidR="00BE1D04" w:rsidRPr="00C3310F" w:rsidRDefault="00BE1D04" w:rsidP="00D9140F">
            <w:pPr>
              <w:widowControl/>
              <w:ind w:rightChars="-19" w:right="-65"/>
              <w:jc w:val="right"/>
              <w:rPr>
                <w:rFonts w:ascii="Times New Roman"/>
                <w:sz w:val="20"/>
              </w:rPr>
            </w:pPr>
            <w:r w:rsidRPr="00C3310F">
              <w:rPr>
                <w:rFonts w:ascii="Times New Roman"/>
                <w:sz w:val="20"/>
              </w:rPr>
              <w:t>1</w:t>
            </w:r>
            <w:r w:rsidR="001753E1" w:rsidRPr="00C3310F">
              <w:rPr>
                <w:rFonts w:ascii="Times New Roman"/>
                <w:sz w:val="20"/>
              </w:rPr>
              <w:t>,</w:t>
            </w:r>
            <w:r w:rsidRPr="00C3310F">
              <w:rPr>
                <w:rFonts w:ascii="Times New Roman"/>
                <w:sz w:val="20"/>
              </w:rPr>
              <w:t>078</w:t>
            </w:r>
          </w:p>
        </w:tc>
        <w:tc>
          <w:tcPr>
            <w:tcW w:w="875" w:type="dxa"/>
            <w:tcBorders>
              <w:top w:val="single" w:sz="6" w:space="0" w:color="000000"/>
              <w:left w:val="single" w:sz="6" w:space="0" w:color="000000"/>
              <w:bottom w:val="single" w:sz="6" w:space="0" w:color="000000"/>
              <w:right w:val="single" w:sz="6" w:space="0" w:color="000000"/>
            </w:tcBorders>
            <w:vAlign w:val="center"/>
          </w:tcPr>
          <w:p w14:paraId="73074128" w14:textId="77777777" w:rsidR="00BE1D04" w:rsidRPr="00C3310F" w:rsidRDefault="00BE1D04" w:rsidP="00D9140F">
            <w:pPr>
              <w:ind w:rightChars="-11" w:right="-37"/>
              <w:jc w:val="right"/>
              <w:rPr>
                <w:rFonts w:ascii="Times New Roman"/>
                <w:sz w:val="20"/>
              </w:rPr>
            </w:pPr>
            <w:r w:rsidRPr="00C3310F">
              <w:rPr>
                <w:rFonts w:ascii="Times New Roman"/>
                <w:sz w:val="20"/>
              </w:rPr>
              <w:t>1</w:t>
            </w:r>
            <w:r w:rsidR="001753E1" w:rsidRPr="00C3310F">
              <w:rPr>
                <w:rFonts w:ascii="Times New Roman"/>
                <w:sz w:val="20"/>
              </w:rPr>
              <w:t>,</w:t>
            </w:r>
            <w:r w:rsidRPr="00C3310F">
              <w:rPr>
                <w:rFonts w:ascii="Times New Roman"/>
                <w:sz w:val="20"/>
              </w:rPr>
              <w:t>043</w:t>
            </w:r>
          </w:p>
        </w:tc>
        <w:tc>
          <w:tcPr>
            <w:tcW w:w="731" w:type="dxa"/>
            <w:tcBorders>
              <w:top w:val="single" w:sz="6" w:space="0" w:color="000000"/>
              <w:left w:val="single" w:sz="6" w:space="0" w:color="000000"/>
              <w:bottom w:val="single" w:sz="6" w:space="0" w:color="000000"/>
              <w:right w:val="single" w:sz="6" w:space="0" w:color="000000"/>
            </w:tcBorders>
            <w:vAlign w:val="center"/>
          </w:tcPr>
          <w:p w14:paraId="785B8BD8" w14:textId="77777777" w:rsidR="00BE1D04" w:rsidRPr="00C3310F" w:rsidRDefault="00BE1D04" w:rsidP="00D9140F">
            <w:pPr>
              <w:jc w:val="right"/>
              <w:rPr>
                <w:rFonts w:ascii="Times New Roman"/>
                <w:sz w:val="20"/>
              </w:rPr>
            </w:pPr>
            <w:r w:rsidRPr="00C3310F">
              <w:rPr>
                <w:rFonts w:ascii="Times New Roman"/>
                <w:sz w:val="20"/>
              </w:rPr>
              <w:t>96.7</w:t>
            </w:r>
          </w:p>
        </w:tc>
        <w:tc>
          <w:tcPr>
            <w:tcW w:w="730" w:type="dxa"/>
            <w:tcBorders>
              <w:top w:val="single" w:sz="6" w:space="0" w:color="000000"/>
              <w:left w:val="single" w:sz="6" w:space="0" w:color="000000"/>
              <w:bottom w:val="single" w:sz="6" w:space="0" w:color="000000"/>
              <w:right w:val="single" w:sz="6" w:space="0" w:color="000000"/>
            </w:tcBorders>
            <w:vAlign w:val="center"/>
          </w:tcPr>
          <w:p w14:paraId="6B10E875" w14:textId="77777777" w:rsidR="00BE1D04" w:rsidRPr="00C3310F" w:rsidRDefault="00BE1D04" w:rsidP="00D9140F">
            <w:pPr>
              <w:widowControl/>
              <w:jc w:val="right"/>
              <w:rPr>
                <w:rFonts w:ascii="Times New Roman"/>
                <w:sz w:val="20"/>
              </w:rPr>
            </w:pPr>
          </w:p>
        </w:tc>
        <w:tc>
          <w:tcPr>
            <w:tcW w:w="583" w:type="dxa"/>
            <w:tcBorders>
              <w:top w:val="single" w:sz="6" w:space="0" w:color="000000"/>
              <w:left w:val="single" w:sz="6" w:space="0" w:color="000000"/>
              <w:bottom w:val="single" w:sz="6" w:space="0" w:color="000000"/>
              <w:right w:val="single" w:sz="6" w:space="0" w:color="000000"/>
            </w:tcBorders>
            <w:vAlign w:val="center"/>
          </w:tcPr>
          <w:p w14:paraId="02B2CE9D" w14:textId="77777777" w:rsidR="00BE1D04" w:rsidRPr="00C3310F" w:rsidRDefault="00BE1D04" w:rsidP="00D9140F">
            <w:pPr>
              <w:jc w:val="right"/>
              <w:rPr>
                <w:rFonts w:ascii="Times New Roman"/>
                <w:sz w:val="20"/>
              </w:rPr>
            </w:pPr>
          </w:p>
        </w:tc>
        <w:tc>
          <w:tcPr>
            <w:tcW w:w="730" w:type="dxa"/>
            <w:tcBorders>
              <w:top w:val="single" w:sz="6" w:space="0" w:color="000000"/>
              <w:left w:val="single" w:sz="6" w:space="0" w:color="000000"/>
              <w:bottom w:val="single" w:sz="6" w:space="0" w:color="000000"/>
              <w:right w:val="single" w:sz="6" w:space="0" w:color="000000"/>
            </w:tcBorders>
            <w:vAlign w:val="center"/>
          </w:tcPr>
          <w:p w14:paraId="20AD0520" w14:textId="77777777" w:rsidR="00BE1D04" w:rsidRPr="00C3310F" w:rsidRDefault="00BE1D04" w:rsidP="00D9140F">
            <w:pPr>
              <w:jc w:val="right"/>
              <w:rPr>
                <w:rFonts w:ascii="Times New Roman"/>
                <w:sz w:val="20"/>
              </w:rPr>
            </w:pPr>
          </w:p>
        </w:tc>
      </w:tr>
      <w:tr w:rsidR="00C3310F" w:rsidRPr="00C3310F" w14:paraId="3F2F298E" w14:textId="77777777" w:rsidTr="00D9140F">
        <w:trPr>
          <w:gridAfter w:val="1"/>
          <w:wAfter w:w="10" w:type="dxa"/>
          <w:trHeight w:val="42"/>
          <w:jc w:val="center"/>
        </w:trPr>
        <w:tc>
          <w:tcPr>
            <w:tcW w:w="1017" w:type="dxa"/>
            <w:vAlign w:val="center"/>
          </w:tcPr>
          <w:p w14:paraId="29D5725A" w14:textId="77777777" w:rsidR="00BE1D04" w:rsidRPr="00C3310F" w:rsidRDefault="00BE1D04" w:rsidP="00DB430F">
            <w:pPr>
              <w:ind w:left="190"/>
              <w:jc w:val="center"/>
              <w:rPr>
                <w:rFonts w:ascii="Times New Roman"/>
                <w:sz w:val="22"/>
                <w:szCs w:val="22"/>
              </w:rPr>
            </w:pPr>
            <w:r w:rsidRPr="00C3310F">
              <w:rPr>
                <w:rFonts w:ascii="Times New Roman"/>
                <w:sz w:val="22"/>
                <w:szCs w:val="22"/>
              </w:rPr>
              <w:t>107</w:t>
            </w:r>
          </w:p>
        </w:tc>
        <w:tc>
          <w:tcPr>
            <w:tcW w:w="874" w:type="dxa"/>
            <w:tcBorders>
              <w:top w:val="nil"/>
              <w:left w:val="nil"/>
              <w:bottom w:val="single" w:sz="8" w:space="0" w:color="auto"/>
              <w:right w:val="single" w:sz="8" w:space="0" w:color="auto"/>
            </w:tcBorders>
            <w:vAlign w:val="center"/>
          </w:tcPr>
          <w:p w14:paraId="7C90BFA2" w14:textId="77777777" w:rsidR="00BE1D04" w:rsidRPr="00C3310F" w:rsidRDefault="00BE1D04" w:rsidP="00D9140F">
            <w:pPr>
              <w:ind w:left="190" w:rightChars="-16" w:right="-54"/>
              <w:jc w:val="right"/>
              <w:rPr>
                <w:rFonts w:ascii="Times New Roman"/>
                <w:sz w:val="20"/>
              </w:rPr>
            </w:pPr>
            <w:r w:rsidRPr="00C3310F">
              <w:rPr>
                <w:rFonts w:ascii="Times New Roman"/>
                <w:sz w:val="20"/>
              </w:rPr>
              <w:t>927</w:t>
            </w:r>
          </w:p>
        </w:tc>
        <w:tc>
          <w:tcPr>
            <w:tcW w:w="875" w:type="dxa"/>
            <w:tcBorders>
              <w:top w:val="nil"/>
              <w:left w:val="nil"/>
              <w:bottom w:val="single" w:sz="8" w:space="0" w:color="auto"/>
              <w:right w:val="single" w:sz="8" w:space="0" w:color="auto"/>
            </w:tcBorders>
            <w:vAlign w:val="center"/>
          </w:tcPr>
          <w:p w14:paraId="58149AFE" w14:textId="77777777" w:rsidR="00BE1D04" w:rsidRPr="00C3310F" w:rsidRDefault="00BE1D04" w:rsidP="00D9140F">
            <w:pPr>
              <w:ind w:left="190"/>
              <w:jc w:val="right"/>
              <w:rPr>
                <w:rFonts w:ascii="Times New Roman"/>
                <w:sz w:val="20"/>
              </w:rPr>
            </w:pPr>
            <w:r w:rsidRPr="00C3310F">
              <w:rPr>
                <w:rFonts w:ascii="Times New Roman"/>
                <w:sz w:val="20"/>
              </w:rPr>
              <w:t>927</w:t>
            </w:r>
          </w:p>
        </w:tc>
        <w:tc>
          <w:tcPr>
            <w:tcW w:w="876" w:type="dxa"/>
            <w:tcBorders>
              <w:top w:val="single" w:sz="6" w:space="0" w:color="000000"/>
              <w:left w:val="single" w:sz="6" w:space="0" w:color="000000"/>
              <w:bottom w:val="single" w:sz="6" w:space="0" w:color="000000"/>
              <w:right w:val="single" w:sz="6" w:space="0" w:color="000000"/>
            </w:tcBorders>
            <w:vAlign w:val="center"/>
          </w:tcPr>
          <w:p w14:paraId="298AE6E7" w14:textId="77777777" w:rsidR="00BE1D04" w:rsidRPr="00C3310F" w:rsidRDefault="00BE1D04" w:rsidP="00D9140F">
            <w:pPr>
              <w:widowControl/>
              <w:jc w:val="right"/>
              <w:rPr>
                <w:rFonts w:ascii="Times New Roman"/>
                <w:sz w:val="20"/>
              </w:rPr>
            </w:pPr>
            <w:r w:rsidRPr="00C3310F">
              <w:rPr>
                <w:rFonts w:ascii="Times New Roman"/>
                <w:sz w:val="20"/>
              </w:rPr>
              <w:t>100.0</w:t>
            </w:r>
          </w:p>
        </w:tc>
        <w:tc>
          <w:tcPr>
            <w:tcW w:w="730" w:type="dxa"/>
            <w:tcBorders>
              <w:top w:val="single" w:sz="6" w:space="0" w:color="000000"/>
              <w:left w:val="single" w:sz="6" w:space="0" w:color="000000"/>
              <w:bottom w:val="single" w:sz="6" w:space="0" w:color="000000"/>
              <w:right w:val="single" w:sz="6" w:space="0" w:color="000000"/>
            </w:tcBorders>
            <w:vAlign w:val="center"/>
          </w:tcPr>
          <w:p w14:paraId="50C90395" w14:textId="77777777" w:rsidR="00BE1D04" w:rsidRPr="00C3310F" w:rsidRDefault="00BE1D04" w:rsidP="00D9140F">
            <w:pPr>
              <w:jc w:val="right"/>
              <w:rPr>
                <w:rFonts w:ascii="Times New Roman"/>
                <w:sz w:val="20"/>
              </w:rPr>
            </w:pPr>
            <w:r w:rsidRPr="00C3310F">
              <w:rPr>
                <w:rFonts w:ascii="Times New Roman"/>
                <w:sz w:val="20"/>
              </w:rPr>
              <w:t>280</w:t>
            </w:r>
          </w:p>
        </w:tc>
        <w:tc>
          <w:tcPr>
            <w:tcW w:w="730" w:type="dxa"/>
            <w:tcBorders>
              <w:top w:val="single" w:sz="6" w:space="0" w:color="000000"/>
              <w:left w:val="single" w:sz="6" w:space="0" w:color="000000"/>
              <w:bottom w:val="single" w:sz="6" w:space="0" w:color="000000"/>
              <w:right w:val="single" w:sz="6" w:space="0" w:color="000000"/>
            </w:tcBorders>
            <w:vAlign w:val="center"/>
          </w:tcPr>
          <w:p w14:paraId="4A9B58E6" w14:textId="77777777" w:rsidR="00BE1D04" w:rsidRPr="00C3310F" w:rsidRDefault="00BE1D04" w:rsidP="00D9140F">
            <w:pPr>
              <w:jc w:val="right"/>
              <w:rPr>
                <w:rFonts w:ascii="Times New Roman"/>
                <w:sz w:val="20"/>
              </w:rPr>
            </w:pPr>
            <w:r w:rsidRPr="00C3310F">
              <w:rPr>
                <w:rFonts w:ascii="Times New Roman"/>
                <w:sz w:val="20"/>
              </w:rPr>
              <w:t>280</w:t>
            </w:r>
          </w:p>
        </w:tc>
        <w:tc>
          <w:tcPr>
            <w:tcW w:w="585" w:type="dxa"/>
            <w:tcBorders>
              <w:top w:val="single" w:sz="6" w:space="0" w:color="000000"/>
              <w:left w:val="single" w:sz="6" w:space="0" w:color="000000"/>
              <w:bottom w:val="single" w:sz="6" w:space="0" w:color="000000"/>
              <w:right w:val="single" w:sz="6" w:space="0" w:color="000000"/>
            </w:tcBorders>
            <w:vAlign w:val="center"/>
          </w:tcPr>
          <w:p w14:paraId="44AE4D5D" w14:textId="77777777" w:rsidR="00BE1D04" w:rsidRPr="00C3310F" w:rsidRDefault="00BE1D04" w:rsidP="00D9140F">
            <w:pPr>
              <w:jc w:val="right"/>
              <w:rPr>
                <w:rFonts w:ascii="Times New Roman"/>
                <w:sz w:val="18"/>
                <w:szCs w:val="18"/>
              </w:rPr>
            </w:pPr>
            <w:r w:rsidRPr="00C3310F">
              <w:rPr>
                <w:rFonts w:ascii="Times New Roman"/>
                <w:sz w:val="18"/>
                <w:szCs w:val="18"/>
              </w:rPr>
              <w:t>N/A</w:t>
            </w:r>
          </w:p>
        </w:tc>
        <w:tc>
          <w:tcPr>
            <w:tcW w:w="874" w:type="dxa"/>
            <w:tcBorders>
              <w:top w:val="single" w:sz="6" w:space="0" w:color="000000"/>
              <w:left w:val="single" w:sz="6" w:space="0" w:color="000000"/>
              <w:bottom w:val="single" w:sz="6" w:space="0" w:color="000000"/>
              <w:right w:val="single" w:sz="6" w:space="0" w:color="000000"/>
            </w:tcBorders>
            <w:vAlign w:val="center"/>
          </w:tcPr>
          <w:p w14:paraId="6DDAD282" w14:textId="77777777" w:rsidR="00BE1D04" w:rsidRPr="00C3310F" w:rsidRDefault="00BE1D04" w:rsidP="00D9140F">
            <w:pPr>
              <w:ind w:rightChars="-19" w:right="-65"/>
              <w:jc w:val="right"/>
              <w:rPr>
                <w:rFonts w:ascii="Times New Roman"/>
                <w:sz w:val="20"/>
              </w:rPr>
            </w:pPr>
            <w:r w:rsidRPr="00C3310F">
              <w:rPr>
                <w:rFonts w:ascii="Times New Roman"/>
                <w:sz w:val="20"/>
              </w:rPr>
              <w:t>1</w:t>
            </w:r>
            <w:r w:rsidR="001753E1" w:rsidRPr="00C3310F">
              <w:rPr>
                <w:rFonts w:ascii="Times New Roman"/>
                <w:sz w:val="20"/>
              </w:rPr>
              <w:t>,</w:t>
            </w:r>
            <w:r w:rsidRPr="00C3310F">
              <w:rPr>
                <w:rFonts w:ascii="Times New Roman"/>
                <w:sz w:val="20"/>
              </w:rPr>
              <w:t>671</w:t>
            </w:r>
          </w:p>
        </w:tc>
        <w:tc>
          <w:tcPr>
            <w:tcW w:w="875" w:type="dxa"/>
            <w:tcBorders>
              <w:top w:val="single" w:sz="6" w:space="0" w:color="000000"/>
              <w:left w:val="single" w:sz="6" w:space="0" w:color="000000"/>
              <w:bottom w:val="single" w:sz="6" w:space="0" w:color="000000"/>
              <w:right w:val="single" w:sz="6" w:space="0" w:color="000000"/>
            </w:tcBorders>
            <w:vAlign w:val="center"/>
          </w:tcPr>
          <w:p w14:paraId="7ECAAA60" w14:textId="77777777" w:rsidR="00BE1D04" w:rsidRPr="00C3310F" w:rsidRDefault="00BE1D04" w:rsidP="00D9140F">
            <w:pPr>
              <w:ind w:rightChars="-11" w:right="-37"/>
              <w:jc w:val="right"/>
              <w:rPr>
                <w:rFonts w:ascii="Times New Roman"/>
                <w:sz w:val="20"/>
              </w:rPr>
            </w:pPr>
            <w:r w:rsidRPr="00C3310F">
              <w:rPr>
                <w:rFonts w:ascii="Times New Roman"/>
                <w:sz w:val="20"/>
              </w:rPr>
              <w:t>1</w:t>
            </w:r>
            <w:r w:rsidR="001753E1" w:rsidRPr="00C3310F">
              <w:rPr>
                <w:rFonts w:ascii="Times New Roman"/>
                <w:sz w:val="20"/>
              </w:rPr>
              <w:t>,</w:t>
            </w:r>
            <w:r w:rsidRPr="00C3310F">
              <w:rPr>
                <w:rFonts w:ascii="Times New Roman"/>
                <w:sz w:val="20"/>
              </w:rPr>
              <w:t>527</w:t>
            </w:r>
          </w:p>
        </w:tc>
        <w:tc>
          <w:tcPr>
            <w:tcW w:w="731" w:type="dxa"/>
            <w:tcBorders>
              <w:top w:val="single" w:sz="6" w:space="0" w:color="000000"/>
              <w:left w:val="single" w:sz="6" w:space="0" w:color="000000"/>
              <w:bottom w:val="single" w:sz="6" w:space="0" w:color="000000"/>
              <w:right w:val="single" w:sz="6" w:space="0" w:color="000000"/>
            </w:tcBorders>
            <w:vAlign w:val="center"/>
          </w:tcPr>
          <w:p w14:paraId="3FF72D78" w14:textId="77777777" w:rsidR="00BE1D04" w:rsidRPr="00C3310F" w:rsidRDefault="00BE1D04" w:rsidP="00D9140F">
            <w:pPr>
              <w:jc w:val="right"/>
              <w:rPr>
                <w:rFonts w:ascii="Times New Roman"/>
                <w:sz w:val="20"/>
              </w:rPr>
            </w:pPr>
            <w:r w:rsidRPr="00C3310F">
              <w:rPr>
                <w:rFonts w:ascii="Times New Roman"/>
                <w:sz w:val="20"/>
              </w:rPr>
              <w:t>91.3</w:t>
            </w:r>
          </w:p>
        </w:tc>
        <w:tc>
          <w:tcPr>
            <w:tcW w:w="730" w:type="dxa"/>
            <w:tcBorders>
              <w:top w:val="single" w:sz="6" w:space="0" w:color="000000"/>
              <w:left w:val="single" w:sz="6" w:space="0" w:color="000000"/>
              <w:bottom w:val="single" w:sz="6" w:space="0" w:color="000000"/>
              <w:right w:val="single" w:sz="6" w:space="0" w:color="000000"/>
            </w:tcBorders>
            <w:vAlign w:val="center"/>
          </w:tcPr>
          <w:p w14:paraId="08983388" w14:textId="77777777" w:rsidR="00BE1D04" w:rsidRPr="00C3310F" w:rsidRDefault="00BE1D04" w:rsidP="00D9140F">
            <w:pPr>
              <w:jc w:val="right"/>
              <w:rPr>
                <w:rFonts w:ascii="Times New Roman"/>
                <w:sz w:val="20"/>
              </w:rPr>
            </w:pPr>
          </w:p>
        </w:tc>
        <w:tc>
          <w:tcPr>
            <w:tcW w:w="583" w:type="dxa"/>
            <w:tcBorders>
              <w:top w:val="single" w:sz="6" w:space="0" w:color="000000"/>
              <w:left w:val="single" w:sz="6" w:space="0" w:color="000000"/>
              <w:bottom w:val="single" w:sz="6" w:space="0" w:color="000000"/>
              <w:right w:val="single" w:sz="6" w:space="0" w:color="000000"/>
            </w:tcBorders>
            <w:vAlign w:val="center"/>
          </w:tcPr>
          <w:p w14:paraId="51FDA133" w14:textId="77777777" w:rsidR="00BE1D04" w:rsidRPr="00C3310F" w:rsidRDefault="00BE1D04" w:rsidP="00D9140F">
            <w:pPr>
              <w:jc w:val="right"/>
              <w:rPr>
                <w:rFonts w:ascii="Times New Roman"/>
                <w:sz w:val="20"/>
              </w:rPr>
            </w:pPr>
          </w:p>
        </w:tc>
        <w:tc>
          <w:tcPr>
            <w:tcW w:w="730" w:type="dxa"/>
            <w:tcBorders>
              <w:top w:val="single" w:sz="6" w:space="0" w:color="000000"/>
              <w:left w:val="single" w:sz="6" w:space="0" w:color="000000"/>
              <w:bottom w:val="single" w:sz="6" w:space="0" w:color="000000"/>
              <w:right w:val="single" w:sz="6" w:space="0" w:color="000000"/>
            </w:tcBorders>
            <w:vAlign w:val="center"/>
          </w:tcPr>
          <w:p w14:paraId="0A1E1598" w14:textId="77777777" w:rsidR="00BE1D04" w:rsidRPr="00C3310F" w:rsidRDefault="00BE1D04" w:rsidP="00D9140F">
            <w:pPr>
              <w:jc w:val="right"/>
              <w:rPr>
                <w:rFonts w:ascii="Times New Roman"/>
                <w:sz w:val="20"/>
              </w:rPr>
            </w:pPr>
          </w:p>
        </w:tc>
      </w:tr>
      <w:tr w:rsidR="00C3310F" w:rsidRPr="00C3310F" w14:paraId="371E948B" w14:textId="77777777" w:rsidTr="00D9140F">
        <w:trPr>
          <w:gridAfter w:val="1"/>
          <w:wAfter w:w="10" w:type="dxa"/>
          <w:trHeight w:val="42"/>
          <w:jc w:val="center"/>
        </w:trPr>
        <w:tc>
          <w:tcPr>
            <w:tcW w:w="1017" w:type="dxa"/>
            <w:vAlign w:val="center"/>
          </w:tcPr>
          <w:p w14:paraId="0F5A156A" w14:textId="77777777" w:rsidR="00BE1D04" w:rsidRPr="00C3310F" w:rsidRDefault="00BE1D04" w:rsidP="00DB430F">
            <w:pPr>
              <w:ind w:left="190"/>
              <w:jc w:val="center"/>
              <w:rPr>
                <w:rFonts w:ascii="Times New Roman"/>
                <w:sz w:val="22"/>
                <w:szCs w:val="22"/>
              </w:rPr>
            </w:pPr>
            <w:r w:rsidRPr="00C3310F">
              <w:rPr>
                <w:rFonts w:ascii="Times New Roman"/>
                <w:sz w:val="22"/>
                <w:szCs w:val="22"/>
              </w:rPr>
              <w:t>108</w:t>
            </w:r>
          </w:p>
        </w:tc>
        <w:tc>
          <w:tcPr>
            <w:tcW w:w="874" w:type="dxa"/>
            <w:tcBorders>
              <w:top w:val="nil"/>
              <w:left w:val="nil"/>
              <w:bottom w:val="single" w:sz="8" w:space="0" w:color="auto"/>
              <w:right w:val="single" w:sz="8" w:space="0" w:color="auto"/>
            </w:tcBorders>
            <w:vAlign w:val="center"/>
          </w:tcPr>
          <w:p w14:paraId="0DF43B68" w14:textId="77777777" w:rsidR="00BE1D04" w:rsidRPr="00C3310F" w:rsidRDefault="00BE1D04" w:rsidP="00D9140F">
            <w:pPr>
              <w:ind w:left="190" w:rightChars="-16" w:right="-54"/>
              <w:jc w:val="right"/>
              <w:rPr>
                <w:rFonts w:ascii="Times New Roman"/>
                <w:sz w:val="20"/>
              </w:rPr>
            </w:pPr>
            <w:r w:rsidRPr="00C3310F">
              <w:rPr>
                <w:rFonts w:ascii="Times New Roman"/>
                <w:sz w:val="20"/>
              </w:rPr>
              <w:t>1</w:t>
            </w:r>
            <w:r w:rsidR="001753E1" w:rsidRPr="00C3310F">
              <w:rPr>
                <w:rFonts w:ascii="Times New Roman"/>
                <w:sz w:val="20"/>
              </w:rPr>
              <w:t>,</w:t>
            </w:r>
            <w:r w:rsidRPr="00C3310F">
              <w:rPr>
                <w:rFonts w:ascii="Times New Roman"/>
                <w:sz w:val="20"/>
              </w:rPr>
              <w:t>089</w:t>
            </w:r>
          </w:p>
        </w:tc>
        <w:tc>
          <w:tcPr>
            <w:tcW w:w="875" w:type="dxa"/>
            <w:tcBorders>
              <w:top w:val="nil"/>
              <w:left w:val="nil"/>
              <w:bottom w:val="single" w:sz="8" w:space="0" w:color="auto"/>
              <w:right w:val="single" w:sz="8" w:space="0" w:color="auto"/>
            </w:tcBorders>
            <w:vAlign w:val="center"/>
          </w:tcPr>
          <w:p w14:paraId="6D97CB96" w14:textId="77777777" w:rsidR="00BE1D04" w:rsidRPr="00C3310F" w:rsidRDefault="00BE1D04" w:rsidP="00D9140F">
            <w:pPr>
              <w:ind w:left="190"/>
              <w:jc w:val="right"/>
              <w:rPr>
                <w:rFonts w:ascii="Times New Roman"/>
                <w:sz w:val="20"/>
              </w:rPr>
            </w:pPr>
            <w:r w:rsidRPr="00C3310F">
              <w:rPr>
                <w:rFonts w:ascii="Times New Roman"/>
                <w:sz w:val="20"/>
              </w:rPr>
              <w:t>1075</w:t>
            </w:r>
          </w:p>
        </w:tc>
        <w:tc>
          <w:tcPr>
            <w:tcW w:w="876" w:type="dxa"/>
            <w:tcBorders>
              <w:top w:val="single" w:sz="6" w:space="0" w:color="000000"/>
              <w:left w:val="single" w:sz="6" w:space="0" w:color="000000"/>
              <w:bottom w:val="single" w:sz="6" w:space="0" w:color="000000"/>
              <w:right w:val="single" w:sz="6" w:space="0" w:color="000000"/>
            </w:tcBorders>
            <w:vAlign w:val="center"/>
          </w:tcPr>
          <w:p w14:paraId="736A2C48" w14:textId="77777777" w:rsidR="00BE1D04" w:rsidRPr="00C3310F" w:rsidRDefault="00BE1D04" w:rsidP="00D9140F">
            <w:pPr>
              <w:jc w:val="right"/>
              <w:rPr>
                <w:rFonts w:ascii="Times New Roman"/>
                <w:sz w:val="20"/>
              </w:rPr>
            </w:pPr>
            <w:r w:rsidRPr="00C3310F">
              <w:rPr>
                <w:rFonts w:ascii="Times New Roman"/>
                <w:sz w:val="20"/>
              </w:rPr>
              <w:t>98.7</w:t>
            </w:r>
          </w:p>
        </w:tc>
        <w:tc>
          <w:tcPr>
            <w:tcW w:w="730" w:type="dxa"/>
            <w:tcBorders>
              <w:top w:val="single" w:sz="6" w:space="0" w:color="000000"/>
              <w:left w:val="single" w:sz="6" w:space="0" w:color="000000"/>
              <w:bottom w:val="single" w:sz="6" w:space="0" w:color="000000"/>
              <w:right w:val="single" w:sz="6" w:space="0" w:color="000000"/>
            </w:tcBorders>
            <w:vAlign w:val="center"/>
          </w:tcPr>
          <w:p w14:paraId="4B31AA7C" w14:textId="77777777" w:rsidR="00BE1D04" w:rsidRPr="00C3310F" w:rsidRDefault="00BE1D04" w:rsidP="00D9140F">
            <w:pPr>
              <w:jc w:val="right"/>
              <w:rPr>
                <w:rFonts w:ascii="Times New Roman"/>
                <w:sz w:val="20"/>
              </w:rPr>
            </w:pPr>
            <w:r w:rsidRPr="00C3310F">
              <w:rPr>
                <w:rFonts w:ascii="Times New Roman"/>
                <w:sz w:val="20"/>
              </w:rPr>
              <w:t>296</w:t>
            </w:r>
          </w:p>
        </w:tc>
        <w:tc>
          <w:tcPr>
            <w:tcW w:w="730" w:type="dxa"/>
            <w:tcBorders>
              <w:top w:val="single" w:sz="6" w:space="0" w:color="000000"/>
              <w:left w:val="single" w:sz="6" w:space="0" w:color="000000"/>
              <w:bottom w:val="single" w:sz="6" w:space="0" w:color="000000"/>
              <w:right w:val="single" w:sz="6" w:space="0" w:color="000000"/>
            </w:tcBorders>
            <w:vAlign w:val="center"/>
          </w:tcPr>
          <w:p w14:paraId="4B663947" w14:textId="77777777" w:rsidR="00BE1D04" w:rsidRPr="00C3310F" w:rsidRDefault="00BE1D04" w:rsidP="00D9140F">
            <w:pPr>
              <w:jc w:val="right"/>
              <w:rPr>
                <w:rFonts w:ascii="Times New Roman"/>
                <w:sz w:val="20"/>
              </w:rPr>
            </w:pPr>
            <w:r w:rsidRPr="00C3310F">
              <w:rPr>
                <w:rFonts w:ascii="Times New Roman"/>
                <w:sz w:val="20"/>
              </w:rPr>
              <w:t>296</w:t>
            </w:r>
          </w:p>
        </w:tc>
        <w:tc>
          <w:tcPr>
            <w:tcW w:w="585" w:type="dxa"/>
            <w:tcBorders>
              <w:top w:val="single" w:sz="6" w:space="0" w:color="000000"/>
              <w:left w:val="single" w:sz="6" w:space="0" w:color="000000"/>
              <w:bottom w:val="single" w:sz="6" w:space="0" w:color="000000"/>
              <w:right w:val="single" w:sz="6" w:space="0" w:color="000000"/>
            </w:tcBorders>
            <w:vAlign w:val="center"/>
          </w:tcPr>
          <w:p w14:paraId="2BB037A7" w14:textId="77777777" w:rsidR="00BE1D04" w:rsidRPr="00C3310F" w:rsidRDefault="00BE1D04" w:rsidP="00D9140F">
            <w:pPr>
              <w:jc w:val="right"/>
              <w:rPr>
                <w:rFonts w:ascii="Times New Roman"/>
                <w:sz w:val="18"/>
                <w:szCs w:val="18"/>
              </w:rPr>
            </w:pPr>
            <w:r w:rsidRPr="00C3310F">
              <w:rPr>
                <w:rFonts w:ascii="Times New Roman"/>
                <w:sz w:val="18"/>
                <w:szCs w:val="18"/>
              </w:rPr>
              <w:t>N/A</w:t>
            </w:r>
          </w:p>
        </w:tc>
        <w:tc>
          <w:tcPr>
            <w:tcW w:w="874" w:type="dxa"/>
            <w:tcBorders>
              <w:top w:val="single" w:sz="6" w:space="0" w:color="000000"/>
              <w:left w:val="single" w:sz="6" w:space="0" w:color="000000"/>
              <w:bottom w:val="single" w:sz="6" w:space="0" w:color="000000"/>
              <w:right w:val="single" w:sz="6" w:space="0" w:color="000000"/>
            </w:tcBorders>
            <w:vAlign w:val="center"/>
          </w:tcPr>
          <w:p w14:paraId="2253D9DC" w14:textId="77777777" w:rsidR="00BE1D04" w:rsidRPr="00C3310F" w:rsidRDefault="00BE1D04" w:rsidP="00D9140F">
            <w:pPr>
              <w:ind w:rightChars="-19" w:right="-65"/>
              <w:jc w:val="right"/>
              <w:rPr>
                <w:rFonts w:ascii="Times New Roman"/>
                <w:sz w:val="20"/>
              </w:rPr>
            </w:pPr>
            <w:r w:rsidRPr="00C3310F">
              <w:rPr>
                <w:rFonts w:ascii="Times New Roman"/>
                <w:sz w:val="20"/>
              </w:rPr>
              <w:t>2</w:t>
            </w:r>
            <w:r w:rsidR="001753E1" w:rsidRPr="00C3310F">
              <w:rPr>
                <w:rFonts w:ascii="Times New Roman"/>
                <w:sz w:val="20"/>
              </w:rPr>
              <w:t>,</w:t>
            </w:r>
            <w:r w:rsidRPr="00C3310F">
              <w:rPr>
                <w:rFonts w:ascii="Times New Roman"/>
                <w:sz w:val="20"/>
              </w:rPr>
              <w:t>597</w:t>
            </w:r>
          </w:p>
        </w:tc>
        <w:tc>
          <w:tcPr>
            <w:tcW w:w="875" w:type="dxa"/>
            <w:tcBorders>
              <w:top w:val="single" w:sz="6" w:space="0" w:color="000000"/>
              <w:left w:val="single" w:sz="6" w:space="0" w:color="000000"/>
              <w:bottom w:val="single" w:sz="6" w:space="0" w:color="000000"/>
              <w:right w:val="single" w:sz="6" w:space="0" w:color="000000"/>
            </w:tcBorders>
            <w:vAlign w:val="center"/>
          </w:tcPr>
          <w:p w14:paraId="05D99EBF" w14:textId="77777777" w:rsidR="00BE1D04" w:rsidRPr="00C3310F" w:rsidRDefault="00BE1D04" w:rsidP="00D9140F">
            <w:pPr>
              <w:ind w:rightChars="-11" w:right="-37"/>
              <w:jc w:val="right"/>
              <w:rPr>
                <w:rFonts w:ascii="Times New Roman"/>
                <w:sz w:val="20"/>
              </w:rPr>
            </w:pPr>
            <w:r w:rsidRPr="00C3310F">
              <w:rPr>
                <w:rFonts w:ascii="Times New Roman"/>
                <w:sz w:val="20"/>
              </w:rPr>
              <w:t>2</w:t>
            </w:r>
            <w:r w:rsidR="001753E1" w:rsidRPr="00C3310F">
              <w:rPr>
                <w:rFonts w:ascii="Times New Roman"/>
                <w:sz w:val="20"/>
              </w:rPr>
              <w:t>,</w:t>
            </w:r>
            <w:r w:rsidRPr="00C3310F">
              <w:rPr>
                <w:rFonts w:ascii="Times New Roman"/>
                <w:sz w:val="20"/>
              </w:rPr>
              <w:t>390</w:t>
            </w:r>
          </w:p>
        </w:tc>
        <w:tc>
          <w:tcPr>
            <w:tcW w:w="731" w:type="dxa"/>
            <w:tcBorders>
              <w:top w:val="single" w:sz="6" w:space="0" w:color="000000"/>
              <w:left w:val="single" w:sz="6" w:space="0" w:color="000000"/>
              <w:bottom w:val="single" w:sz="6" w:space="0" w:color="000000"/>
              <w:right w:val="single" w:sz="6" w:space="0" w:color="000000"/>
            </w:tcBorders>
            <w:vAlign w:val="center"/>
          </w:tcPr>
          <w:p w14:paraId="08ABC65A" w14:textId="77777777" w:rsidR="00BE1D04" w:rsidRPr="00C3310F" w:rsidRDefault="00BE1D04" w:rsidP="00D9140F">
            <w:pPr>
              <w:jc w:val="right"/>
              <w:rPr>
                <w:rFonts w:ascii="Times New Roman"/>
                <w:sz w:val="20"/>
              </w:rPr>
            </w:pPr>
            <w:r w:rsidRPr="00C3310F">
              <w:rPr>
                <w:rFonts w:ascii="Times New Roman"/>
                <w:sz w:val="20"/>
              </w:rPr>
              <w:t>92.0</w:t>
            </w:r>
          </w:p>
        </w:tc>
        <w:tc>
          <w:tcPr>
            <w:tcW w:w="730" w:type="dxa"/>
            <w:tcBorders>
              <w:top w:val="single" w:sz="6" w:space="0" w:color="000000"/>
              <w:left w:val="single" w:sz="6" w:space="0" w:color="000000"/>
              <w:bottom w:val="single" w:sz="6" w:space="0" w:color="000000"/>
              <w:right w:val="single" w:sz="6" w:space="0" w:color="000000"/>
            </w:tcBorders>
            <w:vAlign w:val="center"/>
          </w:tcPr>
          <w:p w14:paraId="40E530AE" w14:textId="77777777" w:rsidR="00BE1D04" w:rsidRPr="00C3310F" w:rsidRDefault="00BE1D04" w:rsidP="00D9140F">
            <w:pPr>
              <w:jc w:val="right"/>
              <w:rPr>
                <w:rFonts w:ascii="Times New Roman"/>
                <w:sz w:val="20"/>
              </w:rPr>
            </w:pPr>
          </w:p>
        </w:tc>
        <w:tc>
          <w:tcPr>
            <w:tcW w:w="583" w:type="dxa"/>
            <w:tcBorders>
              <w:top w:val="single" w:sz="6" w:space="0" w:color="000000"/>
              <w:left w:val="single" w:sz="6" w:space="0" w:color="000000"/>
              <w:bottom w:val="single" w:sz="6" w:space="0" w:color="000000"/>
              <w:right w:val="single" w:sz="6" w:space="0" w:color="000000"/>
            </w:tcBorders>
            <w:vAlign w:val="center"/>
          </w:tcPr>
          <w:p w14:paraId="33894FB7" w14:textId="77777777" w:rsidR="00BE1D04" w:rsidRPr="00C3310F" w:rsidRDefault="00BE1D04" w:rsidP="00D9140F">
            <w:pPr>
              <w:jc w:val="right"/>
              <w:rPr>
                <w:rFonts w:ascii="Times New Roman"/>
                <w:sz w:val="20"/>
              </w:rPr>
            </w:pPr>
          </w:p>
        </w:tc>
        <w:tc>
          <w:tcPr>
            <w:tcW w:w="730" w:type="dxa"/>
            <w:tcBorders>
              <w:top w:val="single" w:sz="6" w:space="0" w:color="000000"/>
              <w:left w:val="single" w:sz="6" w:space="0" w:color="000000"/>
              <w:bottom w:val="single" w:sz="6" w:space="0" w:color="000000"/>
              <w:right w:val="single" w:sz="6" w:space="0" w:color="000000"/>
            </w:tcBorders>
            <w:vAlign w:val="center"/>
          </w:tcPr>
          <w:p w14:paraId="35C3E46A" w14:textId="77777777" w:rsidR="00BE1D04" w:rsidRPr="00C3310F" w:rsidRDefault="00BE1D04" w:rsidP="00D9140F">
            <w:pPr>
              <w:jc w:val="right"/>
              <w:rPr>
                <w:rFonts w:ascii="Times New Roman"/>
                <w:sz w:val="20"/>
              </w:rPr>
            </w:pPr>
          </w:p>
        </w:tc>
      </w:tr>
      <w:tr w:rsidR="00C3310F" w:rsidRPr="00C3310F" w14:paraId="3B9AC2AD" w14:textId="77777777" w:rsidTr="00D9140F">
        <w:trPr>
          <w:gridAfter w:val="1"/>
          <w:wAfter w:w="10" w:type="dxa"/>
          <w:trHeight w:val="42"/>
          <w:jc w:val="center"/>
        </w:trPr>
        <w:tc>
          <w:tcPr>
            <w:tcW w:w="1017" w:type="dxa"/>
            <w:vAlign w:val="center"/>
          </w:tcPr>
          <w:p w14:paraId="2B3570C3" w14:textId="77777777" w:rsidR="00BE1D04" w:rsidRPr="00C3310F" w:rsidRDefault="00BE1D04" w:rsidP="00DB430F">
            <w:pPr>
              <w:ind w:left="190"/>
              <w:jc w:val="center"/>
              <w:rPr>
                <w:rFonts w:ascii="Times New Roman"/>
                <w:sz w:val="22"/>
                <w:szCs w:val="22"/>
              </w:rPr>
            </w:pPr>
            <w:r w:rsidRPr="00C3310F">
              <w:rPr>
                <w:rFonts w:ascii="Times New Roman"/>
                <w:sz w:val="22"/>
                <w:szCs w:val="22"/>
              </w:rPr>
              <w:t>109</w:t>
            </w:r>
          </w:p>
        </w:tc>
        <w:tc>
          <w:tcPr>
            <w:tcW w:w="874" w:type="dxa"/>
            <w:tcBorders>
              <w:top w:val="nil"/>
              <w:left w:val="nil"/>
              <w:bottom w:val="single" w:sz="8" w:space="0" w:color="auto"/>
              <w:right w:val="single" w:sz="8" w:space="0" w:color="auto"/>
            </w:tcBorders>
            <w:vAlign w:val="center"/>
          </w:tcPr>
          <w:p w14:paraId="3C33C1A1" w14:textId="77777777" w:rsidR="00BE1D04" w:rsidRPr="00C3310F" w:rsidRDefault="00BE1D04" w:rsidP="00D9140F">
            <w:pPr>
              <w:ind w:left="190" w:rightChars="-16" w:right="-54"/>
              <w:jc w:val="right"/>
              <w:rPr>
                <w:rFonts w:ascii="Times New Roman"/>
                <w:sz w:val="20"/>
              </w:rPr>
            </w:pPr>
            <w:r w:rsidRPr="00C3310F">
              <w:rPr>
                <w:rFonts w:ascii="Times New Roman"/>
                <w:sz w:val="20"/>
              </w:rPr>
              <w:t>2</w:t>
            </w:r>
            <w:r w:rsidR="001753E1" w:rsidRPr="00C3310F">
              <w:rPr>
                <w:rFonts w:ascii="Times New Roman"/>
                <w:sz w:val="20"/>
              </w:rPr>
              <w:t>,</w:t>
            </w:r>
            <w:r w:rsidRPr="00C3310F">
              <w:rPr>
                <w:rFonts w:ascii="Times New Roman"/>
                <w:sz w:val="20"/>
              </w:rPr>
              <w:t>120</w:t>
            </w:r>
          </w:p>
        </w:tc>
        <w:tc>
          <w:tcPr>
            <w:tcW w:w="875" w:type="dxa"/>
            <w:tcBorders>
              <w:top w:val="nil"/>
              <w:left w:val="nil"/>
              <w:bottom w:val="single" w:sz="8" w:space="0" w:color="auto"/>
              <w:right w:val="single" w:sz="8" w:space="0" w:color="auto"/>
            </w:tcBorders>
            <w:vAlign w:val="center"/>
          </w:tcPr>
          <w:p w14:paraId="289820B2" w14:textId="77777777" w:rsidR="00BE1D04" w:rsidRPr="00C3310F" w:rsidRDefault="00BE1D04" w:rsidP="00D9140F">
            <w:pPr>
              <w:ind w:left="190"/>
              <w:jc w:val="right"/>
              <w:rPr>
                <w:rFonts w:ascii="Times New Roman"/>
                <w:sz w:val="20"/>
              </w:rPr>
            </w:pPr>
            <w:r w:rsidRPr="00C3310F">
              <w:rPr>
                <w:rFonts w:ascii="Times New Roman"/>
                <w:sz w:val="20"/>
              </w:rPr>
              <w:t>1949</w:t>
            </w:r>
          </w:p>
        </w:tc>
        <w:tc>
          <w:tcPr>
            <w:tcW w:w="876" w:type="dxa"/>
            <w:tcBorders>
              <w:top w:val="single" w:sz="6" w:space="0" w:color="000000"/>
              <w:left w:val="single" w:sz="6" w:space="0" w:color="000000"/>
              <w:bottom w:val="single" w:sz="6" w:space="0" w:color="000000"/>
              <w:right w:val="single" w:sz="6" w:space="0" w:color="000000"/>
            </w:tcBorders>
            <w:vAlign w:val="center"/>
          </w:tcPr>
          <w:p w14:paraId="6F2B1305" w14:textId="77777777" w:rsidR="00BE1D04" w:rsidRPr="00C3310F" w:rsidRDefault="00BE1D04" w:rsidP="00D9140F">
            <w:pPr>
              <w:jc w:val="right"/>
              <w:rPr>
                <w:rFonts w:ascii="Times New Roman"/>
                <w:sz w:val="20"/>
              </w:rPr>
            </w:pPr>
            <w:r w:rsidRPr="00C3310F">
              <w:rPr>
                <w:rFonts w:ascii="Times New Roman"/>
                <w:sz w:val="20"/>
              </w:rPr>
              <w:t>91.9</w:t>
            </w:r>
          </w:p>
        </w:tc>
        <w:tc>
          <w:tcPr>
            <w:tcW w:w="730" w:type="dxa"/>
            <w:tcBorders>
              <w:top w:val="single" w:sz="6" w:space="0" w:color="000000"/>
              <w:left w:val="single" w:sz="6" w:space="0" w:color="000000"/>
              <w:bottom w:val="single" w:sz="6" w:space="0" w:color="000000"/>
              <w:right w:val="single" w:sz="6" w:space="0" w:color="000000"/>
            </w:tcBorders>
            <w:vAlign w:val="center"/>
          </w:tcPr>
          <w:p w14:paraId="62859628" w14:textId="77777777" w:rsidR="00BE1D04" w:rsidRPr="00C3310F" w:rsidRDefault="00BE1D04" w:rsidP="00D9140F">
            <w:pPr>
              <w:jc w:val="right"/>
              <w:rPr>
                <w:rFonts w:ascii="Times New Roman"/>
                <w:sz w:val="20"/>
              </w:rPr>
            </w:pPr>
            <w:r w:rsidRPr="00C3310F">
              <w:rPr>
                <w:rFonts w:ascii="Times New Roman"/>
                <w:sz w:val="20"/>
              </w:rPr>
              <w:t>318</w:t>
            </w:r>
          </w:p>
        </w:tc>
        <w:tc>
          <w:tcPr>
            <w:tcW w:w="730" w:type="dxa"/>
            <w:tcBorders>
              <w:top w:val="single" w:sz="6" w:space="0" w:color="000000"/>
              <w:left w:val="single" w:sz="6" w:space="0" w:color="000000"/>
              <w:bottom w:val="single" w:sz="6" w:space="0" w:color="000000"/>
              <w:right w:val="single" w:sz="6" w:space="0" w:color="000000"/>
            </w:tcBorders>
            <w:vAlign w:val="center"/>
          </w:tcPr>
          <w:p w14:paraId="39DE79BD" w14:textId="77777777" w:rsidR="00BE1D04" w:rsidRPr="00C3310F" w:rsidRDefault="00BE1D04" w:rsidP="00D9140F">
            <w:pPr>
              <w:jc w:val="right"/>
              <w:rPr>
                <w:rFonts w:ascii="Times New Roman"/>
                <w:sz w:val="20"/>
              </w:rPr>
            </w:pPr>
            <w:r w:rsidRPr="00C3310F">
              <w:rPr>
                <w:rFonts w:ascii="Times New Roman"/>
                <w:sz w:val="20"/>
              </w:rPr>
              <w:t>318</w:t>
            </w:r>
          </w:p>
        </w:tc>
        <w:tc>
          <w:tcPr>
            <w:tcW w:w="585" w:type="dxa"/>
            <w:tcBorders>
              <w:top w:val="single" w:sz="6" w:space="0" w:color="000000"/>
              <w:left w:val="single" w:sz="6" w:space="0" w:color="000000"/>
              <w:bottom w:val="single" w:sz="6" w:space="0" w:color="000000"/>
              <w:right w:val="single" w:sz="6" w:space="0" w:color="000000"/>
            </w:tcBorders>
            <w:vAlign w:val="center"/>
          </w:tcPr>
          <w:p w14:paraId="26F10F25" w14:textId="77777777" w:rsidR="00BE1D04" w:rsidRPr="00C3310F" w:rsidRDefault="00BE1D04" w:rsidP="00D9140F">
            <w:pPr>
              <w:jc w:val="right"/>
              <w:rPr>
                <w:rFonts w:ascii="Times New Roman"/>
                <w:sz w:val="18"/>
                <w:szCs w:val="18"/>
              </w:rPr>
            </w:pPr>
            <w:r w:rsidRPr="00C3310F">
              <w:rPr>
                <w:rFonts w:ascii="Times New Roman"/>
                <w:sz w:val="18"/>
                <w:szCs w:val="18"/>
              </w:rPr>
              <w:t>N/A</w:t>
            </w:r>
          </w:p>
        </w:tc>
        <w:tc>
          <w:tcPr>
            <w:tcW w:w="874" w:type="dxa"/>
            <w:tcBorders>
              <w:top w:val="single" w:sz="6" w:space="0" w:color="000000"/>
              <w:left w:val="single" w:sz="6" w:space="0" w:color="000000"/>
              <w:bottom w:val="single" w:sz="6" w:space="0" w:color="000000"/>
              <w:right w:val="single" w:sz="6" w:space="0" w:color="000000"/>
            </w:tcBorders>
            <w:vAlign w:val="center"/>
          </w:tcPr>
          <w:p w14:paraId="08DEBCDC" w14:textId="77777777" w:rsidR="00BE1D04" w:rsidRPr="00C3310F" w:rsidRDefault="00BE1D04" w:rsidP="00D9140F">
            <w:pPr>
              <w:ind w:rightChars="-19" w:right="-65"/>
              <w:jc w:val="right"/>
              <w:rPr>
                <w:rFonts w:ascii="Times New Roman"/>
                <w:sz w:val="20"/>
              </w:rPr>
            </w:pPr>
            <w:r w:rsidRPr="00C3310F">
              <w:rPr>
                <w:rFonts w:ascii="Times New Roman"/>
                <w:sz w:val="20"/>
              </w:rPr>
              <w:t>3</w:t>
            </w:r>
            <w:r w:rsidR="001753E1" w:rsidRPr="00C3310F">
              <w:rPr>
                <w:rFonts w:ascii="Times New Roman"/>
                <w:sz w:val="20"/>
              </w:rPr>
              <w:t>,</w:t>
            </w:r>
            <w:r w:rsidRPr="00C3310F">
              <w:rPr>
                <w:rFonts w:ascii="Times New Roman"/>
                <w:sz w:val="20"/>
              </w:rPr>
              <w:t>056</w:t>
            </w:r>
          </w:p>
        </w:tc>
        <w:tc>
          <w:tcPr>
            <w:tcW w:w="875" w:type="dxa"/>
            <w:tcBorders>
              <w:top w:val="single" w:sz="6" w:space="0" w:color="000000"/>
              <w:left w:val="single" w:sz="6" w:space="0" w:color="000000"/>
              <w:bottom w:val="single" w:sz="6" w:space="0" w:color="000000"/>
              <w:right w:val="single" w:sz="6" w:space="0" w:color="000000"/>
            </w:tcBorders>
            <w:vAlign w:val="center"/>
          </w:tcPr>
          <w:p w14:paraId="64000329" w14:textId="77777777" w:rsidR="00BE1D04" w:rsidRPr="00C3310F" w:rsidRDefault="00BE1D04" w:rsidP="00D9140F">
            <w:pPr>
              <w:ind w:rightChars="-11" w:right="-37"/>
              <w:jc w:val="right"/>
              <w:rPr>
                <w:rFonts w:ascii="Times New Roman"/>
                <w:sz w:val="20"/>
              </w:rPr>
            </w:pPr>
            <w:r w:rsidRPr="00C3310F">
              <w:rPr>
                <w:rFonts w:ascii="Times New Roman"/>
                <w:sz w:val="20"/>
              </w:rPr>
              <w:t>2</w:t>
            </w:r>
            <w:r w:rsidR="001753E1" w:rsidRPr="00C3310F">
              <w:rPr>
                <w:rFonts w:ascii="Times New Roman"/>
                <w:sz w:val="20"/>
              </w:rPr>
              <w:t>,</w:t>
            </w:r>
            <w:r w:rsidRPr="00C3310F">
              <w:rPr>
                <w:rFonts w:ascii="Times New Roman"/>
                <w:sz w:val="20"/>
              </w:rPr>
              <w:t>561</w:t>
            </w:r>
          </w:p>
        </w:tc>
        <w:tc>
          <w:tcPr>
            <w:tcW w:w="731" w:type="dxa"/>
            <w:tcBorders>
              <w:top w:val="single" w:sz="6" w:space="0" w:color="000000"/>
              <w:left w:val="single" w:sz="6" w:space="0" w:color="000000"/>
              <w:bottom w:val="single" w:sz="6" w:space="0" w:color="000000"/>
              <w:right w:val="single" w:sz="6" w:space="0" w:color="000000"/>
            </w:tcBorders>
            <w:vAlign w:val="center"/>
          </w:tcPr>
          <w:p w14:paraId="6F86216B" w14:textId="77777777" w:rsidR="00BE1D04" w:rsidRPr="00C3310F" w:rsidRDefault="00BE1D04" w:rsidP="00D9140F">
            <w:pPr>
              <w:jc w:val="right"/>
              <w:rPr>
                <w:rFonts w:ascii="Times New Roman"/>
                <w:sz w:val="20"/>
              </w:rPr>
            </w:pPr>
            <w:r w:rsidRPr="00C3310F">
              <w:rPr>
                <w:rFonts w:ascii="Times New Roman"/>
                <w:sz w:val="20"/>
              </w:rPr>
              <w:t>83.8</w:t>
            </w:r>
          </w:p>
        </w:tc>
        <w:tc>
          <w:tcPr>
            <w:tcW w:w="730" w:type="dxa"/>
            <w:tcBorders>
              <w:top w:val="single" w:sz="6" w:space="0" w:color="000000"/>
              <w:left w:val="single" w:sz="6" w:space="0" w:color="000000"/>
              <w:bottom w:val="single" w:sz="6" w:space="0" w:color="000000"/>
              <w:right w:val="single" w:sz="6" w:space="0" w:color="000000"/>
            </w:tcBorders>
            <w:vAlign w:val="center"/>
          </w:tcPr>
          <w:p w14:paraId="07BD0ACC" w14:textId="77777777" w:rsidR="00BE1D04" w:rsidRPr="00C3310F" w:rsidRDefault="00BE1D04" w:rsidP="00D9140F">
            <w:pPr>
              <w:jc w:val="right"/>
              <w:rPr>
                <w:rFonts w:ascii="Times New Roman"/>
                <w:sz w:val="20"/>
              </w:rPr>
            </w:pPr>
            <w:r w:rsidRPr="00C3310F">
              <w:rPr>
                <w:rFonts w:ascii="Times New Roman"/>
                <w:sz w:val="20"/>
              </w:rPr>
              <w:t>47</w:t>
            </w:r>
          </w:p>
        </w:tc>
        <w:tc>
          <w:tcPr>
            <w:tcW w:w="583" w:type="dxa"/>
            <w:tcBorders>
              <w:top w:val="single" w:sz="6" w:space="0" w:color="000000"/>
              <w:left w:val="single" w:sz="6" w:space="0" w:color="000000"/>
              <w:bottom w:val="single" w:sz="6" w:space="0" w:color="000000"/>
              <w:right w:val="single" w:sz="6" w:space="0" w:color="000000"/>
            </w:tcBorders>
            <w:vAlign w:val="center"/>
          </w:tcPr>
          <w:p w14:paraId="7A53F093" w14:textId="77777777" w:rsidR="00BE1D04" w:rsidRPr="00C3310F" w:rsidRDefault="00BE1D04" w:rsidP="00D9140F">
            <w:pPr>
              <w:jc w:val="right"/>
              <w:rPr>
                <w:rFonts w:ascii="Times New Roman"/>
                <w:sz w:val="20"/>
              </w:rPr>
            </w:pPr>
            <w:r w:rsidRPr="00C3310F">
              <w:rPr>
                <w:rFonts w:ascii="Times New Roman"/>
                <w:sz w:val="20"/>
              </w:rPr>
              <w:t>33</w:t>
            </w:r>
          </w:p>
        </w:tc>
        <w:tc>
          <w:tcPr>
            <w:tcW w:w="730" w:type="dxa"/>
            <w:tcBorders>
              <w:top w:val="single" w:sz="6" w:space="0" w:color="000000"/>
              <w:left w:val="single" w:sz="6" w:space="0" w:color="000000"/>
              <w:bottom w:val="single" w:sz="6" w:space="0" w:color="000000"/>
              <w:right w:val="single" w:sz="6" w:space="0" w:color="000000"/>
            </w:tcBorders>
            <w:vAlign w:val="center"/>
          </w:tcPr>
          <w:p w14:paraId="014127A6" w14:textId="77777777" w:rsidR="00BE1D04" w:rsidRPr="00C3310F" w:rsidRDefault="00BE1D04" w:rsidP="00D9140F">
            <w:pPr>
              <w:widowControl/>
              <w:jc w:val="right"/>
              <w:rPr>
                <w:rFonts w:ascii="Times New Roman"/>
                <w:sz w:val="20"/>
              </w:rPr>
            </w:pPr>
            <w:r w:rsidRPr="00C3310F">
              <w:rPr>
                <w:rFonts w:ascii="Times New Roman"/>
                <w:sz w:val="20"/>
              </w:rPr>
              <w:t>29.8</w:t>
            </w:r>
          </w:p>
        </w:tc>
      </w:tr>
      <w:tr w:rsidR="00C3310F" w:rsidRPr="00C3310F" w14:paraId="201563EE" w14:textId="77777777" w:rsidTr="00D9140F">
        <w:trPr>
          <w:gridAfter w:val="1"/>
          <w:wAfter w:w="10" w:type="dxa"/>
          <w:trHeight w:val="42"/>
          <w:jc w:val="center"/>
        </w:trPr>
        <w:tc>
          <w:tcPr>
            <w:tcW w:w="1017" w:type="dxa"/>
            <w:vAlign w:val="center"/>
          </w:tcPr>
          <w:p w14:paraId="3B2B499B" w14:textId="77777777" w:rsidR="00BE1D04" w:rsidRPr="00C3310F" w:rsidRDefault="00BE1D04" w:rsidP="00DB430F">
            <w:pPr>
              <w:ind w:left="190"/>
              <w:jc w:val="center"/>
              <w:rPr>
                <w:rFonts w:ascii="Times New Roman"/>
                <w:sz w:val="22"/>
                <w:szCs w:val="22"/>
              </w:rPr>
            </w:pPr>
            <w:r w:rsidRPr="00C3310F">
              <w:rPr>
                <w:rFonts w:ascii="Times New Roman"/>
                <w:sz w:val="22"/>
                <w:szCs w:val="22"/>
              </w:rPr>
              <w:t>110</w:t>
            </w:r>
          </w:p>
        </w:tc>
        <w:tc>
          <w:tcPr>
            <w:tcW w:w="874" w:type="dxa"/>
            <w:tcBorders>
              <w:top w:val="nil"/>
              <w:left w:val="nil"/>
              <w:bottom w:val="single" w:sz="8" w:space="0" w:color="auto"/>
              <w:right w:val="single" w:sz="8" w:space="0" w:color="auto"/>
            </w:tcBorders>
            <w:vAlign w:val="center"/>
          </w:tcPr>
          <w:p w14:paraId="06B38DB0" w14:textId="77777777" w:rsidR="00BE1D04" w:rsidRPr="00C3310F" w:rsidRDefault="00BE1D04" w:rsidP="00D9140F">
            <w:pPr>
              <w:ind w:left="190" w:rightChars="-16" w:right="-54"/>
              <w:jc w:val="right"/>
              <w:rPr>
                <w:rFonts w:ascii="Times New Roman"/>
                <w:sz w:val="20"/>
              </w:rPr>
            </w:pPr>
            <w:r w:rsidRPr="00C3310F">
              <w:rPr>
                <w:rFonts w:ascii="Times New Roman"/>
                <w:sz w:val="20"/>
              </w:rPr>
              <w:t>2</w:t>
            </w:r>
            <w:r w:rsidR="001753E1" w:rsidRPr="00C3310F">
              <w:rPr>
                <w:rFonts w:ascii="Times New Roman"/>
                <w:sz w:val="20"/>
              </w:rPr>
              <w:t>,</w:t>
            </w:r>
            <w:r w:rsidRPr="00C3310F">
              <w:rPr>
                <w:rFonts w:ascii="Times New Roman"/>
                <w:sz w:val="20"/>
              </w:rPr>
              <w:t>483</w:t>
            </w:r>
          </w:p>
        </w:tc>
        <w:tc>
          <w:tcPr>
            <w:tcW w:w="875" w:type="dxa"/>
            <w:tcBorders>
              <w:top w:val="nil"/>
              <w:left w:val="nil"/>
              <w:bottom w:val="single" w:sz="8" w:space="0" w:color="auto"/>
              <w:right w:val="single" w:sz="8" w:space="0" w:color="auto"/>
            </w:tcBorders>
            <w:vAlign w:val="center"/>
          </w:tcPr>
          <w:p w14:paraId="314F4C44" w14:textId="77777777" w:rsidR="00BE1D04" w:rsidRPr="00C3310F" w:rsidRDefault="00BE1D04" w:rsidP="00D9140F">
            <w:pPr>
              <w:ind w:left="190"/>
              <w:jc w:val="right"/>
              <w:rPr>
                <w:rFonts w:ascii="Times New Roman"/>
                <w:sz w:val="20"/>
              </w:rPr>
            </w:pPr>
            <w:r w:rsidRPr="00C3310F">
              <w:rPr>
                <w:rFonts w:ascii="Times New Roman"/>
                <w:sz w:val="20"/>
              </w:rPr>
              <w:t>2376</w:t>
            </w:r>
          </w:p>
        </w:tc>
        <w:tc>
          <w:tcPr>
            <w:tcW w:w="876" w:type="dxa"/>
            <w:tcBorders>
              <w:top w:val="single" w:sz="6" w:space="0" w:color="000000"/>
              <w:left w:val="single" w:sz="6" w:space="0" w:color="000000"/>
              <w:bottom w:val="single" w:sz="6" w:space="0" w:color="000000"/>
              <w:right w:val="single" w:sz="6" w:space="0" w:color="000000"/>
            </w:tcBorders>
            <w:vAlign w:val="center"/>
          </w:tcPr>
          <w:p w14:paraId="4A2D9070" w14:textId="77777777" w:rsidR="00BE1D04" w:rsidRPr="00C3310F" w:rsidRDefault="00BE1D04" w:rsidP="00D9140F">
            <w:pPr>
              <w:jc w:val="right"/>
              <w:rPr>
                <w:rFonts w:ascii="Times New Roman"/>
                <w:sz w:val="20"/>
              </w:rPr>
            </w:pPr>
            <w:r w:rsidRPr="00C3310F">
              <w:rPr>
                <w:rFonts w:ascii="Times New Roman"/>
                <w:sz w:val="20"/>
              </w:rPr>
              <w:t>95.6</w:t>
            </w:r>
          </w:p>
        </w:tc>
        <w:tc>
          <w:tcPr>
            <w:tcW w:w="730" w:type="dxa"/>
            <w:tcBorders>
              <w:top w:val="single" w:sz="6" w:space="0" w:color="000000"/>
              <w:left w:val="single" w:sz="6" w:space="0" w:color="000000"/>
              <w:bottom w:val="single" w:sz="6" w:space="0" w:color="000000"/>
              <w:right w:val="single" w:sz="6" w:space="0" w:color="000000"/>
            </w:tcBorders>
            <w:vAlign w:val="center"/>
          </w:tcPr>
          <w:p w14:paraId="510AFA51" w14:textId="77777777" w:rsidR="00BE1D04" w:rsidRPr="00C3310F" w:rsidRDefault="00BE1D04" w:rsidP="00D9140F">
            <w:pPr>
              <w:jc w:val="right"/>
              <w:rPr>
                <w:rFonts w:ascii="Times New Roman"/>
                <w:sz w:val="20"/>
              </w:rPr>
            </w:pPr>
            <w:r w:rsidRPr="00C3310F">
              <w:rPr>
                <w:rFonts w:ascii="Times New Roman"/>
                <w:sz w:val="20"/>
              </w:rPr>
              <w:t>261</w:t>
            </w:r>
          </w:p>
        </w:tc>
        <w:tc>
          <w:tcPr>
            <w:tcW w:w="730" w:type="dxa"/>
            <w:tcBorders>
              <w:top w:val="single" w:sz="6" w:space="0" w:color="000000"/>
              <w:left w:val="single" w:sz="6" w:space="0" w:color="000000"/>
              <w:bottom w:val="single" w:sz="6" w:space="0" w:color="000000"/>
              <w:right w:val="single" w:sz="6" w:space="0" w:color="000000"/>
            </w:tcBorders>
            <w:vAlign w:val="center"/>
          </w:tcPr>
          <w:p w14:paraId="2D31E944" w14:textId="77777777" w:rsidR="00BE1D04" w:rsidRPr="00C3310F" w:rsidRDefault="00BE1D04" w:rsidP="00D9140F">
            <w:pPr>
              <w:jc w:val="right"/>
              <w:rPr>
                <w:rFonts w:ascii="Times New Roman"/>
                <w:sz w:val="20"/>
              </w:rPr>
            </w:pPr>
            <w:r w:rsidRPr="00C3310F">
              <w:rPr>
                <w:rFonts w:ascii="Times New Roman"/>
                <w:sz w:val="20"/>
              </w:rPr>
              <w:t>261</w:t>
            </w:r>
          </w:p>
        </w:tc>
        <w:tc>
          <w:tcPr>
            <w:tcW w:w="585" w:type="dxa"/>
            <w:tcBorders>
              <w:top w:val="single" w:sz="6" w:space="0" w:color="000000"/>
              <w:left w:val="single" w:sz="6" w:space="0" w:color="000000"/>
              <w:bottom w:val="single" w:sz="6" w:space="0" w:color="000000"/>
              <w:right w:val="single" w:sz="6" w:space="0" w:color="000000"/>
            </w:tcBorders>
            <w:vAlign w:val="center"/>
          </w:tcPr>
          <w:p w14:paraId="6ECEA87F" w14:textId="77777777" w:rsidR="00BE1D04" w:rsidRPr="00C3310F" w:rsidRDefault="00BE1D04" w:rsidP="00D9140F">
            <w:pPr>
              <w:jc w:val="right"/>
              <w:rPr>
                <w:rFonts w:ascii="Times New Roman"/>
                <w:sz w:val="18"/>
                <w:szCs w:val="18"/>
              </w:rPr>
            </w:pPr>
            <w:r w:rsidRPr="00C3310F">
              <w:rPr>
                <w:rFonts w:ascii="Times New Roman"/>
                <w:sz w:val="18"/>
                <w:szCs w:val="18"/>
              </w:rPr>
              <w:t>N/A</w:t>
            </w:r>
          </w:p>
        </w:tc>
        <w:tc>
          <w:tcPr>
            <w:tcW w:w="874" w:type="dxa"/>
            <w:tcBorders>
              <w:top w:val="single" w:sz="6" w:space="0" w:color="000000"/>
              <w:left w:val="single" w:sz="6" w:space="0" w:color="000000"/>
              <w:bottom w:val="single" w:sz="6" w:space="0" w:color="000000"/>
              <w:right w:val="single" w:sz="6" w:space="0" w:color="000000"/>
            </w:tcBorders>
            <w:vAlign w:val="center"/>
          </w:tcPr>
          <w:p w14:paraId="09230554" w14:textId="77777777" w:rsidR="00BE1D04" w:rsidRPr="00C3310F" w:rsidRDefault="00BE1D04" w:rsidP="00D9140F">
            <w:pPr>
              <w:ind w:rightChars="-19" w:right="-65"/>
              <w:jc w:val="right"/>
              <w:rPr>
                <w:rFonts w:ascii="Times New Roman"/>
                <w:sz w:val="20"/>
              </w:rPr>
            </w:pPr>
            <w:r w:rsidRPr="00C3310F">
              <w:rPr>
                <w:rFonts w:ascii="Times New Roman"/>
                <w:sz w:val="20"/>
              </w:rPr>
              <w:t>3</w:t>
            </w:r>
            <w:r w:rsidR="001753E1" w:rsidRPr="00C3310F">
              <w:rPr>
                <w:rFonts w:ascii="Times New Roman"/>
                <w:sz w:val="20"/>
              </w:rPr>
              <w:t>,</w:t>
            </w:r>
            <w:r w:rsidRPr="00C3310F">
              <w:rPr>
                <w:rFonts w:ascii="Times New Roman"/>
                <w:sz w:val="20"/>
              </w:rPr>
              <w:t>501</w:t>
            </w:r>
          </w:p>
        </w:tc>
        <w:tc>
          <w:tcPr>
            <w:tcW w:w="875" w:type="dxa"/>
            <w:tcBorders>
              <w:top w:val="single" w:sz="6" w:space="0" w:color="000000"/>
              <w:left w:val="single" w:sz="6" w:space="0" w:color="000000"/>
              <w:bottom w:val="single" w:sz="6" w:space="0" w:color="000000"/>
              <w:right w:val="single" w:sz="6" w:space="0" w:color="000000"/>
            </w:tcBorders>
            <w:vAlign w:val="center"/>
          </w:tcPr>
          <w:p w14:paraId="1F901E4A" w14:textId="77777777" w:rsidR="00BE1D04" w:rsidRPr="00C3310F" w:rsidRDefault="00BE1D04" w:rsidP="00D9140F">
            <w:pPr>
              <w:ind w:rightChars="-11" w:right="-37"/>
              <w:jc w:val="right"/>
              <w:rPr>
                <w:rFonts w:ascii="Times New Roman"/>
                <w:sz w:val="20"/>
              </w:rPr>
            </w:pPr>
            <w:r w:rsidRPr="00C3310F">
              <w:rPr>
                <w:rFonts w:ascii="Times New Roman"/>
                <w:sz w:val="20"/>
              </w:rPr>
              <w:t>2</w:t>
            </w:r>
            <w:r w:rsidR="001753E1" w:rsidRPr="00C3310F">
              <w:rPr>
                <w:rFonts w:ascii="Times New Roman"/>
                <w:sz w:val="20"/>
              </w:rPr>
              <w:t>,</w:t>
            </w:r>
            <w:r w:rsidRPr="00C3310F">
              <w:rPr>
                <w:rFonts w:ascii="Times New Roman"/>
                <w:sz w:val="20"/>
              </w:rPr>
              <w:t>976</w:t>
            </w:r>
          </w:p>
        </w:tc>
        <w:tc>
          <w:tcPr>
            <w:tcW w:w="731" w:type="dxa"/>
            <w:tcBorders>
              <w:top w:val="single" w:sz="6" w:space="0" w:color="000000"/>
              <w:left w:val="single" w:sz="6" w:space="0" w:color="000000"/>
              <w:bottom w:val="single" w:sz="6" w:space="0" w:color="000000"/>
              <w:right w:val="single" w:sz="6" w:space="0" w:color="000000"/>
            </w:tcBorders>
            <w:vAlign w:val="center"/>
          </w:tcPr>
          <w:p w14:paraId="76E6CE40" w14:textId="77777777" w:rsidR="00BE1D04" w:rsidRPr="00C3310F" w:rsidRDefault="00BE1D04" w:rsidP="00D9140F">
            <w:pPr>
              <w:jc w:val="right"/>
              <w:rPr>
                <w:rFonts w:ascii="Times New Roman"/>
                <w:sz w:val="20"/>
              </w:rPr>
            </w:pPr>
            <w:r w:rsidRPr="00C3310F">
              <w:rPr>
                <w:rFonts w:ascii="Times New Roman"/>
                <w:sz w:val="20"/>
              </w:rPr>
              <w:t>85.0</w:t>
            </w:r>
          </w:p>
        </w:tc>
        <w:tc>
          <w:tcPr>
            <w:tcW w:w="730" w:type="dxa"/>
            <w:tcBorders>
              <w:top w:val="single" w:sz="6" w:space="0" w:color="000000"/>
              <w:left w:val="single" w:sz="6" w:space="0" w:color="000000"/>
              <w:bottom w:val="single" w:sz="6" w:space="0" w:color="000000"/>
              <w:right w:val="single" w:sz="6" w:space="0" w:color="000000"/>
            </w:tcBorders>
            <w:vAlign w:val="center"/>
          </w:tcPr>
          <w:p w14:paraId="0F83777F" w14:textId="77777777" w:rsidR="00BE1D04" w:rsidRPr="00C3310F" w:rsidRDefault="00BE1D04" w:rsidP="00D9140F">
            <w:pPr>
              <w:jc w:val="right"/>
              <w:rPr>
                <w:rFonts w:ascii="Times New Roman"/>
                <w:sz w:val="20"/>
              </w:rPr>
            </w:pPr>
            <w:r w:rsidRPr="00C3310F">
              <w:rPr>
                <w:rFonts w:ascii="Times New Roman"/>
                <w:sz w:val="20"/>
              </w:rPr>
              <w:t>54</w:t>
            </w:r>
          </w:p>
        </w:tc>
        <w:tc>
          <w:tcPr>
            <w:tcW w:w="583" w:type="dxa"/>
            <w:tcBorders>
              <w:top w:val="single" w:sz="6" w:space="0" w:color="000000"/>
              <w:left w:val="single" w:sz="6" w:space="0" w:color="000000"/>
              <w:bottom w:val="single" w:sz="6" w:space="0" w:color="000000"/>
              <w:right w:val="single" w:sz="6" w:space="0" w:color="000000"/>
            </w:tcBorders>
            <w:vAlign w:val="center"/>
          </w:tcPr>
          <w:p w14:paraId="418BFB8F" w14:textId="77777777" w:rsidR="00BE1D04" w:rsidRPr="00C3310F" w:rsidRDefault="00BE1D04" w:rsidP="00D9140F">
            <w:pPr>
              <w:jc w:val="right"/>
              <w:rPr>
                <w:rFonts w:ascii="Times New Roman"/>
                <w:sz w:val="20"/>
              </w:rPr>
            </w:pPr>
            <w:r w:rsidRPr="00C3310F">
              <w:rPr>
                <w:rFonts w:ascii="Times New Roman"/>
                <w:sz w:val="20"/>
              </w:rPr>
              <w:t>12</w:t>
            </w:r>
          </w:p>
        </w:tc>
        <w:tc>
          <w:tcPr>
            <w:tcW w:w="730" w:type="dxa"/>
            <w:tcBorders>
              <w:top w:val="single" w:sz="6" w:space="0" w:color="000000"/>
              <w:left w:val="single" w:sz="6" w:space="0" w:color="000000"/>
              <w:bottom w:val="single" w:sz="6" w:space="0" w:color="000000"/>
              <w:right w:val="single" w:sz="6" w:space="0" w:color="000000"/>
            </w:tcBorders>
            <w:vAlign w:val="center"/>
          </w:tcPr>
          <w:p w14:paraId="323E6E2C" w14:textId="77777777" w:rsidR="00BE1D04" w:rsidRPr="00C3310F" w:rsidRDefault="00BE1D04" w:rsidP="00D9140F">
            <w:pPr>
              <w:jc w:val="right"/>
              <w:rPr>
                <w:rFonts w:ascii="Times New Roman"/>
                <w:sz w:val="20"/>
              </w:rPr>
            </w:pPr>
            <w:r w:rsidRPr="00C3310F">
              <w:rPr>
                <w:rFonts w:ascii="Times New Roman"/>
                <w:sz w:val="20"/>
              </w:rPr>
              <w:t>22.2</w:t>
            </w:r>
          </w:p>
        </w:tc>
      </w:tr>
      <w:tr w:rsidR="00C3310F" w:rsidRPr="00C3310F" w14:paraId="38F7391F" w14:textId="77777777" w:rsidTr="00D9140F">
        <w:trPr>
          <w:gridAfter w:val="1"/>
          <w:wAfter w:w="10" w:type="dxa"/>
          <w:trHeight w:val="42"/>
          <w:jc w:val="center"/>
        </w:trPr>
        <w:tc>
          <w:tcPr>
            <w:tcW w:w="1017" w:type="dxa"/>
            <w:vAlign w:val="center"/>
          </w:tcPr>
          <w:p w14:paraId="6FA7620C" w14:textId="77777777" w:rsidR="00BE1D04" w:rsidRPr="00C3310F" w:rsidRDefault="00BE1D04" w:rsidP="00DB430F">
            <w:pPr>
              <w:ind w:left="190"/>
              <w:jc w:val="center"/>
              <w:rPr>
                <w:rFonts w:ascii="Times New Roman"/>
                <w:sz w:val="22"/>
                <w:szCs w:val="22"/>
              </w:rPr>
            </w:pPr>
            <w:r w:rsidRPr="00C3310F">
              <w:rPr>
                <w:rFonts w:ascii="Times New Roman"/>
                <w:sz w:val="22"/>
                <w:szCs w:val="22"/>
              </w:rPr>
              <w:t>111</w:t>
            </w:r>
          </w:p>
        </w:tc>
        <w:tc>
          <w:tcPr>
            <w:tcW w:w="874" w:type="dxa"/>
            <w:tcBorders>
              <w:top w:val="nil"/>
              <w:left w:val="nil"/>
              <w:bottom w:val="single" w:sz="8" w:space="0" w:color="auto"/>
              <w:right w:val="single" w:sz="8" w:space="0" w:color="auto"/>
            </w:tcBorders>
            <w:vAlign w:val="center"/>
          </w:tcPr>
          <w:p w14:paraId="0369563B" w14:textId="77777777" w:rsidR="00BE1D04" w:rsidRPr="00C3310F" w:rsidRDefault="00BE1D04" w:rsidP="00D9140F">
            <w:pPr>
              <w:ind w:left="190" w:rightChars="-16" w:right="-54"/>
              <w:jc w:val="right"/>
              <w:rPr>
                <w:rFonts w:ascii="Times New Roman"/>
                <w:sz w:val="20"/>
              </w:rPr>
            </w:pPr>
            <w:r w:rsidRPr="00C3310F">
              <w:rPr>
                <w:rFonts w:ascii="Times New Roman"/>
                <w:sz w:val="20"/>
              </w:rPr>
              <w:t>2</w:t>
            </w:r>
            <w:r w:rsidR="001753E1" w:rsidRPr="00C3310F">
              <w:rPr>
                <w:rFonts w:ascii="Times New Roman"/>
                <w:sz w:val="20"/>
              </w:rPr>
              <w:t>,</w:t>
            </w:r>
            <w:r w:rsidRPr="00C3310F">
              <w:rPr>
                <w:rFonts w:ascii="Times New Roman"/>
                <w:sz w:val="20"/>
              </w:rPr>
              <w:t>775</w:t>
            </w:r>
          </w:p>
        </w:tc>
        <w:tc>
          <w:tcPr>
            <w:tcW w:w="875" w:type="dxa"/>
            <w:tcBorders>
              <w:top w:val="nil"/>
              <w:left w:val="nil"/>
              <w:bottom w:val="single" w:sz="8" w:space="0" w:color="auto"/>
              <w:right w:val="single" w:sz="8" w:space="0" w:color="auto"/>
            </w:tcBorders>
            <w:vAlign w:val="center"/>
          </w:tcPr>
          <w:p w14:paraId="7B1DD040" w14:textId="77777777" w:rsidR="00BE1D04" w:rsidRPr="00C3310F" w:rsidRDefault="00BE1D04" w:rsidP="00D9140F">
            <w:pPr>
              <w:ind w:left="190"/>
              <w:jc w:val="right"/>
              <w:rPr>
                <w:rFonts w:ascii="Times New Roman"/>
                <w:sz w:val="20"/>
              </w:rPr>
            </w:pPr>
            <w:r w:rsidRPr="00C3310F">
              <w:rPr>
                <w:rFonts w:ascii="Times New Roman"/>
                <w:sz w:val="20"/>
              </w:rPr>
              <w:t>1649</w:t>
            </w:r>
          </w:p>
        </w:tc>
        <w:tc>
          <w:tcPr>
            <w:tcW w:w="876" w:type="dxa"/>
            <w:tcBorders>
              <w:top w:val="single" w:sz="6" w:space="0" w:color="000000"/>
              <w:left w:val="single" w:sz="6" w:space="0" w:color="000000"/>
              <w:bottom w:val="single" w:sz="6" w:space="0" w:color="000000"/>
              <w:right w:val="single" w:sz="6" w:space="0" w:color="000000"/>
            </w:tcBorders>
            <w:vAlign w:val="center"/>
          </w:tcPr>
          <w:p w14:paraId="41CB17A5" w14:textId="77777777" w:rsidR="00BE1D04" w:rsidRPr="00C3310F" w:rsidRDefault="00BE1D04" w:rsidP="00D9140F">
            <w:pPr>
              <w:jc w:val="right"/>
              <w:rPr>
                <w:rFonts w:ascii="Times New Roman"/>
                <w:sz w:val="20"/>
              </w:rPr>
            </w:pPr>
            <w:r w:rsidRPr="00C3310F">
              <w:rPr>
                <w:rFonts w:ascii="Times New Roman"/>
                <w:sz w:val="20"/>
              </w:rPr>
              <w:t>59.4</w:t>
            </w:r>
          </w:p>
        </w:tc>
        <w:tc>
          <w:tcPr>
            <w:tcW w:w="730" w:type="dxa"/>
            <w:tcBorders>
              <w:top w:val="single" w:sz="6" w:space="0" w:color="000000"/>
              <w:left w:val="single" w:sz="6" w:space="0" w:color="000000"/>
              <w:bottom w:val="single" w:sz="6" w:space="0" w:color="000000"/>
              <w:right w:val="single" w:sz="6" w:space="0" w:color="000000"/>
            </w:tcBorders>
            <w:vAlign w:val="center"/>
          </w:tcPr>
          <w:p w14:paraId="2756DA1A" w14:textId="77777777" w:rsidR="00BE1D04" w:rsidRPr="00C3310F" w:rsidRDefault="00BE1D04" w:rsidP="00D9140F">
            <w:pPr>
              <w:jc w:val="right"/>
              <w:rPr>
                <w:rFonts w:ascii="Times New Roman"/>
                <w:sz w:val="20"/>
              </w:rPr>
            </w:pPr>
            <w:r w:rsidRPr="00C3310F">
              <w:rPr>
                <w:rFonts w:ascii="Times New Roman"/>
                <w:sz w:val="20"/>
              </w:rPr>
              <w:t>843</w:t>
            </w:r>
          </w:p>
        </w:tc>
        <w:tc>
          <w:tcPr>
            <w:tcW w:w="730" w:type="dxa"/>
            <w:tcBorders>
              <w:top w:val="single" w:sz="6" w:space="0" w:color="000000"/>
              <w:left w:val="single" w:sz="6" w:space="0" w:color="000000"/>
              <w:bottom w:val="single" w:sz="6" w:space="0" w:color="000000"/>
              <w:right w:val="single" w:sz="6" w:space="0" w:color="000000"/>
            </w:tcBorders>
            <w:vAlign w:val="center"/>
          </w:tcPr>
          <w:p w14:paraId="49F9E406" w14:textId="77777777" w:rsidR="00BE1D04" w:rsidRPr="00C3310F" w:rsidRDefault="00BE1D04" w:rsidP="00D9140F">
            <w:pPr>
              <w:jc w:val="right"/>
              <w:rPr>
                <w:rFonts w:ascii="Times New Roman"/>
                <w:sz w:val="20"/>
              </w:rPr>
            </w:pPr>
            <w:r w:rsidRPr="00C3310F">
              <w:rPr>
                <w:rFonts w:ascii="Times New Roman"/>
                <w:sz w:val="20"/>
              </w:rPr>
              <w:t>843</w:t>
            </w:r>
          </w:p>
        </w:tc>
        <w:tc>
          <w:tcPr>
            <w:tcW w:w="585" w:type="dxa"/>
            <w:tcBorders>
              <w:top w:val="single" w:sz="6" w:space="0" w:color="000000"/>
              <w:left w:val="single" w:sz="6" w:space="0" w:color="000000"/>
              <w:bottom w:val="single" w:sz="6" w:space="0" w:color="000000"/>
              <w:right w:val="single" w:sz="6" w:space="0" w:color="000000"/>
            </w:tcBorders>
            <w:vAlign w:val="center"/>
          </w:tcPr>
          <w:p w14:paraId="12AD8616" w14:textId="77777777" w:rsidR="00BE1D04" w:rsidRPr="00C3310F" w:rsidRDefault="00BE1D04" w:rsidP="00D9140F">
            <w:pPr>
              <w:jc w:val="right"/>
              <w:rPr>
                <w:rFonts w:ascii="Times New Roman"/>
                <w:sz w:val="18"/>
                <w:szCs w:val="18"/>
              </w:rPr>
            </w:pPr>
            <w:r w:rsidRPr="00C3310F">
              <w:rPr>
                <w:rFonts w:ascii="Times New Roman"/>
                <w:sz w:val="18"/>
                <w:szCs w:val="18"/>
              </w:rPr>
              <w:t>N/A</w:t>
            </w:r>
          </w:p>
        </w:tc>
        <w:tc>
          <w:tcPr>
            <w:tcW w:w="874" w:type="dxa"/>
            <w:tcBorders>
              <w:top w:val="single" w:sz="6" w:space="0" w:color="000000"/>
              <w:left w:val="single" w:sz="6" w:space="0" w:color="000000"/>
              <w:bottom w:val="single" w:sz="6" w:space="0" w:color="000000"/>
              <w:right w:val="single" w:sz="6" w:space="0" w:color="000000"/>
            </w:tcBorders>
            <w:vAlign w:val="center"/>
          </w:tcPr>
          <w:p w14:paraId="25FDAD8B" w14:textId="77777777" w:rsidR="00BE1D04" w:rsidRPr="00C3310F" w:rsidRDefault="00BE1D04" w:rsidP="00D9140F">
            <w:pPr>
              <w:ind w:rightChars="-19" w:right="-65"/>
              <w:jc w:val="right"/>
              <w:rPr>
                <w:rFonts w:ascii="Times New Roman"/>
                <w:sz w:val="20"/>
              </w:rPr>
            </w:pPr>
            <w:r w:rsidRPr="00C3310F">
              <w:rPr>
                <w:rFonts w:ascii="Times New Roman"/>
                <w:sz w:val="20"/>
              </w:rPr>
              <w:t>6</w:t>
            </w:r>
            <w:r w:rsidR="001753E1" w:rsidRPr="00C3310F">
              <w:rPr>
                <w:rFonts w:ascii="Times New Roman"/>
                <w:sz w:val="20"/>
              </w:rPr>
              <w:t>,</w:t>
            </w:r>
            <w:r w:rsidRPr="00C3310F">
              <w:rPr>
                <w:rFonts w:ascii="Times New Roman"/>
                <w:sz w:val="20"/>
              </w:rPr>
              <w:t>303</w:t>
            </w:r>
          </w:p>
        </w:tc>
        <w:tc>
          <w:tcPr>
            <w:tcW w:w="875" w:type="dxa"/>
            <w:tcBorders>
              <w:top w:val="single" w:sz="6" w:space="0" w:color="000000"/>
              <w:left w:val="single" w:sz="6" w:space="0" w:color="000000"/>
              <w:bottom w:val="single" w:sz="6" w:space="0" w:color="000000"/>
              <w:right w:val="single" w:sz="6" w:space="0" w:color="000000"/>
            </w:tcBorders>
            <w:vAlign w:val="center"/>
          </w:tcPr>
          <w:p w14:paraId="0FF78624" w14:textId="77777777" w:rsidR="00BE1D04" w:rsidRPr="00C3310F" w:rsidRDefault="00BE1D04" w:rsidP="00D9140F">
            <w:pPr>
              <w:ind w:rightChars="-11" w:right="-37"/>
              <w:jc w:val="right"/>
              <w:rPr>
                <w:rFonts w:ascii="Times New Roman"/>
                <w:sz w:val="20"/>
              </w:rPr>
            </w:pPr>
            <w:r w:rsidRPr="00C3310F">
              <w:rPr>
                <w:rFonts w:ascii="Times New Roman"/>
                <w:sz w:val="20"/>
              </w:rPr>
              <w:t>5</w:t>
            </w:r>
            <w:r w:rsidR="001753E1" w:rsidRPr="00C3310F">
              <w:rPr>
                <w:rFonts w:ascii="Times New Roman"/>
                <w:sz w:val="20"/>
              </w:rPr>
              <w:t>,</w:t>
            </w:r>
            <w:r w:rsidRPr="00C3310F">
              <w:rPr>
                <w:rFonts w:ascii="Times New Roman"/>
                <w:sz w:val="20"/>
              </w:rPr>
              <w:t>534</w:t>
            </w:r>
          </w:p>
        </w:tc>
        <w:tc>
          <w:tcPr>
            <w:tcW w:w="731" w:type="dxa"/>
            <w:tcBorders>
              <w:top w:val="single" w:sz="6" w:space="0" w:color="000000"/>
              <w:left w:val="single" w:sz="6" w:space="0" w:color="000000"/>
              <w:bottom w:val="single" w:sz="6" w:space="0" w:color="000000"/>
              <w:right w:val="single" w:sz="6" w:space="0" w:color="000000"/>
            </w:tcBorders>
            <w:vAlign w:val="center"/>
          </w:tcPr>
          <w:p w14:paraId="25E1C1FC" w14:textId="77777777" w:rsidR="00BE1D04" w:rsidRPr="00C3310F" w:rsidRDefault="00BE1D04" w:rsidP="00D9140F">
            <w:pPr>
              <w:jc w:val="right"/>
              <w:rPr>
                <w:rFonts w:ascii="Times New Roman"/>
                <w:sz w:val="20"/>
              </w:rPr>
            </w:pPr>
            <w:r w:rsidRPr="00C3310F">
              <w:rPr>
                <w:rFonts w:ascii="Times New Roman"/>
                <w:sz w:val="20"/>
              </w:rPr>
              <w:t>87.8</w:t>
            </w:r>
          </w:p>
        </w:tc>
        <w:tc>
          <w:tcPr>
            <w:tcW w:w="730" w:type="dxa"/>
            <w:tcBorders>
              <w:top w:val="single" w:sz="6" w:space="0" w:color="000000"/>
              <w:left w:val="single" w:sz="6" w:space="0" w:color="000000"/>
              <w:bottom w:val="single" w:sz="6" w:space="0" w:color="000000"/>
              <w:right w:val="single" w:sz="6" w:space="0" w:color="000000"/>
            </w:tcBorders>
            <w:vAlign w:val="center"/>
          </w:tcPr>
          <w:p w14:paraId="60DBAF25" w14:textId="77777777" w:rsidR="00BE1D04" w:rsidRPr="00C3310F" w:rsidRDefault="00BE1D04" w:rsidP="00D9140F">
            <w:pPr>
              <w:jc w:val="right"/>
              <w:rPr>
                <w:rFonts w:ascii="Times New Roman"/>
                <w:sz w:val="20"/>
              </w:rPr>
            </w:pPr>
            <w:r w:rsidRPr="00C3310F">
              <w:rPr>
                <w:rFonts w:ascii="Times New Roman"/>
                <w:sz w:val="20"/>
              </w:rPr>
              <w:t>186</w:t>
            </w:r>
          </w:p>
        </w:tc>
        <w:tc>
          <w:tcPr>
            <w:tcW w:w="583" w:type="dxa"/>
            <w:tcBorders>
              <w:top w:val="single" w:sz="6" w:space="0" w:color="000000"/>
              <w:left w:val="single" w:sz="6" w:space="0" w:color="000000"/>
              <w:bottom w:val="single" w:sz="6" w:space="0" w:color="000000"/>
              <w:right w:val="single" w:sz="6" w:space="0" w:color="000000"/>
            </w:tcBorders>
            <w:vAlign w:val="center"/>
          </w:tcPr>
          <w:p w14:paraId="66DB0D09" w14:textId="77777777" w:rsidR="00BE1D04" w:rsidRPr="00C3310F" w:rsidRDefault="00BE1D04" w:rsidP="00D9140F">
            <w:pPr>
              <w:jc w:val="right"/>
              <w:rPr>
                <w:rFonts w:ascii="Times New Roman"/>
                <w:sz w:val="20"/>
              </w:rPr>
            </w:pPr>
            <w:r w:rsidRPr="00C3310F">
              <w:rPr>
                <w:rFonts w:ascii="Times New Roman"/>
                <w:sz w:val="20"/>
              </w:rPr>
              <w:t>50</w:t>
            </w:r>
          </w:p>
        </w:tc>
        <w:tc>
          <w:tcPr>
            <w:tcW w:w="730" w:type="dxa"/>
            <w:tcBorders>
              <w:top w:val="single" w:sz="6" w:space="0" w:color="000000"/>
              <w:left w:val="single" w:sz="6" w:space="0" w:color="000000"/>
              <w:bottom w:val="single" w:sz="6" w:space="0" w:color="000000"/>
              <w:right w:val="single" w:sz="6" w:space="0" w:color="000000"/>
            </w:tcBorders>
            <w:vAlign w:val="center"/>
          </w:tcPr>
          <w:p w14:paraId="7C8FF000" w14:textId="77777777" w:rsidR="00BE1D04" w:rsidRPr="00C3310F" w:rsidRDefault="00BE1D04" w:rsidP="00D9140F">
            <w:pPr>
              <w:jc w:val="right"/>
              <w:rPr>
                <w:rFonts w:ascii="Times New Roman"/>
                <w:sz w:val="20"/>
              </w:rPr>
            </w:pPr>
            <w:r w:rsidRPr="00C3310F">
              <w:rPr>
                <w:rFonts w:ascii="Times New Roman"/>
                <w:sz w:val="20"/>
              </w:rPr>
              <w:t>26.8</w:t>
            </w:r>
          </w:p>
        </w:tc>
      </w:tr>
      <w:tr w:rsidR="00C3310F" w:rsidRPr="00C3310F" w14:paraId="6A08B0B3" w14:textId="77777777" w:rsidTr="00D9140F">
        <w:trPr>
          <w:gridAfter w:val="1"/>
          <w:wAfter w:w="10" w:type="dxa"/>
          <w:trHeight w:val="42"/>
          <w:jc w:val="center"/>
        </w:trPr>
        <w:tc>
          <w:tcPr>
            <w:tcW w:w="1017" w:type="dxa"/>
            <w:vAlign w:val="center"/>
          </w:tcPr>
          <w:p w14:paraId="7F571D52" w14:textId="77777777" w:rsidR="00BE1D04" w:rsidRPr="00C3310F" w:rsidRDefault="00BE1D04" w:rsidP="003977B9">
            <w:pPr>
              <w:ind w:leftChars="-31" w:left="3" w:rightChars="-23" w:right="-78" w:hangingChars="45" w:hanging="108"/>
              <w:jc w:val="center"/>
              <w:rPr>
                <w:rFonts w:ascii="Times New Roman"/>
                <w:sz w:val="22"/>
                <w:szCs w:val="22"/>
              </w:rPr>
            </w:pPr>
            <w:r w:rsidRPr="00C3310F">
              <w:rPr>
                <w:rFonts w:ascii="Times New Roman"/>
                <w:sz w:val="22"/>
                <w:szCs w:val="22"/>
              </w:rPr>
              <w:t>112</w:t>
            </w:r>
          </w:p>
          <w:p w14:paraId="4C0CC26F" w14:textId="77777777" w:rsidR="00BE1D04" w:rsidRPr="00C3310F" w:rsidRDefault="00BE1D04" w:rsidP="003977B9">
            <w:pPr>
              <w:ind w:leftChars="-31" w:left="3" w:rightChars="-23" w:right="-78" w:hangingChars="45" w:hanging="108"/>
              <w:jc w:val="center"/>
              <w:rPr>
                <w:rFonts w:ascii="Times New Roman"/>
                <w:sz w:val="22"/>
                <w:szCs w:val="22"/>
              </w:rPr>
            </w:pPr>
            <w:r w:rsidRPr="00C3310F">
              <w:rPr>
                <w:rFonts w:ascii="Times New Roman"/>
                <w:sz w:val="22"/>
                <w:szCs w:val="22"/>
              </w:rPr>
              <w:t>(10</w:t>
            </w:r>
            <w:r w:rsidRPr="00C3310F">
              <w:rPr>
                <w:rFonts w:ascii="Times New Roman" w:hint="eastAsia"/>
                <w:sz w:val="22"/>
                <w:szCs w:val="22"/>
              </w:rPr>
              <w:t>月底</w:t>
            </w:r>
            <w:r w:rsidRPr="00C3310F">
              <w:rPr>
                <w:rFonts w:ascii="Times New Roman"/>
                <w:sz w:val="22"/>
                <w:szCs w:val="22"/>
              </w:rPr>
              <w:t>)</w:t>
            </w:r>
          </w:p>
        </w:tc>
        <w:tc>
          <w:tcPr>
            <w:tcW w:w="874" w:type="dxa"/>
            <w:tcBorders>
              <w:top w:val="nil"/>
              <w:left w:val="nil"/>
              <w:bottom w:val="single" w:sz="8" w:space="0" w:color="auto"/>
              <w:right w:val="single" w:sz="8" w:space="0" w:color="auto"/>
            </w:tcBorders>
            <w:vAlign w:val="center"/>
          </w:tcPr>
          <w:p w14:paraId="208BE8AE" w14:textId="77777777" w:rsidR="00BE1D04" w:rsidRPr="00C3310F" w:rsidRDefault="00BE1D04" w:rsidP="00D9140F">
            <w:pPr>
              <w:ind w:rightChars="-16" w:right="-54"/>
              <w:jc w:val="right"/>
              <w:rPr>
                <w:rFonts w:ascii="Times New Roman"/>
                <w:sz w:val="20"/>
              </w:rPr>
            </w:pPr>
            <w:r w:rsidRPr="00C3310F">
              <w:rPr>
                <w:rFonts w:ascii="Times New Roman"/>
                <w:sz w:val="20"/>
              </w:rPr>
              <w:t>5</w:t>
            </w:r>
            <w:r w:rsidR="001753E1" w:rsidRPr="00C3310F">
              <w:rPr>
                <w:rFonts w:ascii="Times New Roman"/>
                <w:sz w:val="20"/>
              </w:rPr>
              <w:t>,</w:t>
            </w:r>
            <w:r w:rsidRPr="00C3310F">
              <w:rPr>
                <w:rFonts w:ascii="Times New Roman"/>
                <w:sz w:val="20"/>
              </w:rPr>
              <w:t>436</w:t>
            </w:r>
          </w:p>
        </w:tc>
        <w:tc>
          <w:tcPr>
            <w:tcW w:w="875" w:type="dxa"/>
            <w:tcBorders>
              <w:top w:val="nil"/>
              <w:left w:val="nil"/>
              <w:bottom w:val="single" w:sz="8" w:space="0" w:color="auto"/>
              <w:right w:val="single" w:sz="8" w:space="0" w:color="auto"/>
            </w:tcBorders>
            <w:vAlign w:val="center"/>
          </w:tcPr>
          <w:p w14:paraId="326A1236" w14:textId="77777777" w:rsidR="00BE1D04" w:rsidRPr="00C3310F" w:rsidRDefault="00BE1D04" w:rsidP="00D9140F">
            <w:pPr>
              <w:jc w:val="right"/>
              <w:rPr>
                <w:rFonts w:ascii="Times New Roman"/>
                <w:sz w:val="20"/>
              </w:rPr>
            </w:pPr>
            <w:r w:rsidRPr="00C3310F">
              <w:rPr>
                <w:rFonts w:ascii="Times New Roman"/>
                <w:sz w:val="20"/>
              </w:rPr>
              <w:t>2677</w:t>
            </w:r>
          </w:p>
        </w:tc>
        <w:tc>
          <w:tcPr>
            <w:tcW w:w="876" w:type="dxa"/>
            <w:tcBorders>
              <w:top w:val="single" w:sz="6" w:space="0" w:color="000000"/>
              <w:left w:val="single" w:sz="6" w:space="0" w:color="000000"/>
              <w:bottom w:val="single" w:sz="6" w:space="0" w:color="000000"/>
              <w:right w:val="single" w:sz="6" w:space="0" w:color="000000"/>
            </w:tcBorders>
            <w:vAlign w:val="center"/>
          </w:tcPr>
          <w:p w14:paraId="2A496188" w14:textId="77777777" w:rsidR="00BE1D04" w:rsidRPr="00C3310F" w:rsidRDefault="00BE1D04" w:rsidP="00D9140F">
            <w:pPr>
              <w:jc w:val="right"/>
              <w:rPr>
                <w:rFonts w:ascii="Times New Roman"/>
                <w:sz w:val="20"/>
              </w:rPr>
            </w:pPr>
            <w:r w:rsidRPr="00C3310F">
              <w:rPr>
                <w:rFonts w:ascii="Times New Roman"/>
                <w:sz w:val="20"/>
              </w:rPr>
              <w:t>49.3</w:t>
            </w:r>
          </w:p>
        </w:tc>
        <w:tc>
          <w:tcPr>
            <w:tcW w:w="730" w:type="dxa"/>
            <w:tcBorders>
              <w:top w:val="single" w:sz="6" w:space="0" w:color="000000"/>
              <w:left w:val="single" w:sz="6" w:space="0" w:color="000000"/>
              <w:bottom w:val="single" w:sz="6" w:space="0" w:color="000000"/>
              <w:right w:val="single" w:sz="6" w:space="0" w:color="000000"/>
            </w:tcBorders>
            <w:vAlign w:val="center"/>
          </w:tcPr>
          <w:p w14:paraId="5C2F75EC" w14:textId="77777777" w:rsidR="00BE1D04" w:rsidRPr="00C3310F" w:rsidRDefault="00BE1D04" w:rsidP="00D9140F">
            <w:pPr>
              <w:jc w:val="right"/>
              <w:rPr>
                <w:rFonts w:ascii="Times New Roman"/>
                <w:sz w:val="20"/>
              </w:rPr>
            </w:pPr>
            <w:r w:rsidRPr="00C3310F">
              <w:rPr>
                <w:rFonts w:ascii="Times New Roman"/>
                <w:sz w:val="20"/>
              </w:rPr>
              <w:t>1066</w:t>
            </w:r>
          </w:p>
        </w:tc>
        <w:tc>
          <w:tcPr>
            <w:tcW w:w="730" w:type="dxa"/>
            <w:tcBorders>
              <w:top w:val="single" w:sz="6" w:space="0" w:color="000000"/>
              <w:left w:val="single" w:sz="6" w:space="0" w:color="000000"/>
              <w:bottom w:val="single" w:sz="6" w:space="0" w:color="000000"/>
              <w:right w:val="single" w:sz="6" w:space="0" w:color="000000"/>
            </w:tcBorders>
            <w:vAlign w:val="center"/>
          </w:tcPr>
          <w:p w14:paraId="23CBBE92" w14:textId="77777777" w:rsidR="00BE1D04" w:rsidRPr="00C3310F" w:rsidRDefault="00BE1D04" w:rsidP="00D9140F">
            <w:pPr>
              <w:jc w:val="right"/>
              <w:rPr>
                <w:rFonts w:ascii="Times New Roman"/>
                <w:sz w:val="20"/>
              </w:rPr>
            </w:pPr>
            <w:r w:rsidRPr="00C3310F">
              <w:rPr>
                <w:rFonts w:ascii="Times New Roman"/>
                <w:sz w:val="20"/>
              </w:rPr>
              <w:t>1066</w:t>
            </w:r>
          </w:p>
        </w:tc>
        <w:tc>
          <w:tcPr>
            <w:tcW w:w="585" w:type="dxa"/>
            <w:tcBorders>
              <w:top w:val="single" w:sz="6" w:space="0" w:color="000000"/>
              <w:left w:val="single" w:sz="6" w:space="0" w:color="000000"/>
              <w:bottom w:val="single" w:sz="6" w:space="0" w:color="000000"/>
              <w:right w:val="single" w:sz="6" w:space="0" w:color="000000"/>
            </w:tcBorders>
            <w:vAlign w:val="center"/>
          </w:tcPr>
          <w:p w14:paraId="5A5AA6BA" w14:textId="77777777" w:rsidR="00BE1D04" w:rsidRPr="00C3310F" w:rsidRDefault="00BE1D04" w:rsidP="00D9140F">
            <w:pPr>
              <w:jc w:val="right"/>
              <w:rPr>
                <w:rFonts w:ascii="Times New Roman"/>
                <w:sz w:val="18"/>
                <w:szCs w:val="18"/>
              </w:rPr>
            </w:pPr>
            <w:r w:rsidRPr="00C3310F">
              <w:rPr>
                <w:rFonts w:ascii="Times New Roman"/>
                <w:sz w:val="18"/>
                <w:szCs w:val="18"/>
              </w:rPr>
              <w:t>N/A</w:t>
            </w:r>
          </w:p>
        </w:tc>
        <w:tc>
          <w:tcPr>
            <w:tcW w:w="874" w:type="dxa"/>
            <w:tcBorders>
              <w:top w:val="single" w:sz="6" w:space="0" w:color="000000"/>
              <w:left w:val="single" w:sz="6" w:space="0" w:color="000000"/>
              <w:bottom w:val="single" w:sz="6" w:space="0" w:color="000000"/>
              <w:right w:val="single" w:sz="6" w:space="0" w:color="000000"/>
            </w:tcBorders>
            <w:vAlign w:val="center"/>
          </w:tcPr>
          <w:p w14:paraId="62BB168B" w14:textId="77777777" w:rsidR="00BE1D04" w:rsidRPr="00C3310F" w:rsidRDefault="00BE1D04" w:rsidP="00D9140F">
            <w:pPr>
              <w:ind w:rightChars="-19" w:right="-65"/>
              <w:jc w:val="right"/>
              <w:rPr>
                <w:rFonts w:ascii="Times New Roman"/>
                <w:sz w:val="20"/>
              </w:rPr>
            </w:pPr>
            <w:r w:rsidRPr="00C3310F">
              <w:rPr>
                <w:rFonts w:ascii="Times New Roman"/>
                <w:sz w:val="20"/>
              </w:rPr>
              <w:t>6</w:t>
            </w:r>
            <w:r w:rsidR="001753E1" w:rsidRPr="00C3310F">
              <w:rPr>
                <w:rFonts w:ascii="Times New Roman"/>
                <w:sz w:val="20"/>
              </w:rPr>
              <w:t>,</w:t>
            </w:r>
            <w:r w:rsidRPr="00C3310F">
              <w:rPr>
                <w:rFonts w:ascii="Times New Roman"/>
                <w:sz w:val="20"/>
              </w:rPr>
              <w:t>627</w:t>
            </w:r>
          </w:p>
        </w:tc>
        <w:tc>
          <w:tcPr>
            <w:tcW w:w="875" w:type="dxa"/>
            <w:tcBorders>
              <w:top w:val="single" w:sz="6" w:space="0" w:color="000000"/>
              <w:left w:val="single" w:sz="6" w:space="0" w:color="000000"/>
              <w:bottom w:val="single" w:sz="6" w:space="0" w:color="000000"/>
              <w:right w:val="single" w:sz="6" w:space="0" w:color="000000"/>
            </w:tcBorders>
            <w:vAlign w:val="center"/>
          </w:tcPr>
          <w:p w14:paraId="3E5CBEB1" w14:textId="77777777" w:rsidR="00BE1D04" w:rsidRPr="00C3310F" w:rsidRDefault="00BE1D04" w:rsidP="00D9140F">
            <w:pPr>
              <w:ind w:rightChars="-11" w:right="-37"/>
              <w:jc w:val="right"/>
              <w:rPr>
                <w:rFonts w:ascii="Times New Roman"/>
                <w:sz w:val="20"/>
              </w:rPr>
            </w:pPr>
            <w:r w:rsidRPr="00C3310F">
              <w:rPr>
                <w:rFonts w:ascii="Times New Roman"/>
                <w:sz w:val="20"/>
              </w:rPr>
              <w:t>5</w:t>
            </w:r>
            <w:r w:rsidR="001753E1" w:rsidRPr="00C3310F">
              <w:rPr>
                <w:rFonts w:ascii="Times New Roman"/>
                <w:sz w:val="20"/>
              </w:rPr>
              <w:t>,</w:t>
            </w:r>
            <w:r w:rsidRPr="00C3310F">
              <w:rPr>
                <w:rFonts w:ascii="Times New Roman"/>
                <w:sz w:val="20"/>
              </w:rPr>
              <w:t>315</w:t>
            </w:r>
          </w:p>
        </w:tc>
        <w:tc>
          <w:tcPr>
            <w:tcW w:w="731" w:type="dxa"/>
            <w:tcBorders>
              <w:top w:val="single" w:sz="6" w:space="0" w:color="000000"/>
              <w:left w:val="single" w:sz="6" w:space="0" w:color="000000"/>
              <w:bottom w:val="single" w:sz="6" w:space="0" w:color="000000"/>
              <w:right w:val="single" w:sz="6" w:space="0" w:color="000000"/>
            </w:tcBorders>
            <w:vAlign w:val="center"/>
          </w:tcPr>
          <w:p w14:paraId="070C713C" w14:textId="77777777" w:rsidR="00BE1D04" w:rsidRPr="00C3310F" w:rsidRDefault="00BE1D04" w:rsidP="00D9140F">
            <w:pPr>
              <w:jc w:val="right"/>
              <w:rPr>
                <w:rFonts w:ascii="Times New Roman"/>
                <w:sz w:val="20"/>
              </w:rPr>
            </w:pPr>
            <w:r w:rsidRPr="00C3310F">
              <w:rPr>
                <w:rFonts w:ascii="Times New Roman"/>
                <w:sz w:val="20"/>
              </w:rPr>
              <w:t>80.2</w:t>
            </w:r>
          </w:p>
        </w:tc>
        <w:tc>
          <w:tcPr>
            <w:tcW w:w="730" w:type="dxa"/>
            <w:tcBorders>
              <w:top w:val="single" w:sz="6" w:space="0" w:color="000000"/>
              <w:left w:val="single" w:sz="6" w:space="0" w:color="000000"/>
              <w:bottom w:val="single" w:sz="6" w:space="0" w:color="000000"/>
              <w:right w:val="single" w:sz="6" w:space="0" w:color="000000"/>
            </w:tcBorders>
            <w:vAlign w:val="center"/>
          </w:tcPr>
          <w:p w14:paraId="0360B19D" w14:textId="77777777" w:rsidR="00BE1D04" w:rsidRPr="00C3310F" w:rsidRDefault="00BE1D04" w:rsidP="00D9140F">
            <w:pPr>
              <w:jc w:val="right"/>
              <w:rPr>
                <w:rFonts w:ascii="Times New Roman"/>
                <w:sz w:val="20"/>
              </w:rPr>
            </w:pPr>
            <w:r w:rsidRPr="00C3310F">
              <w:rPr>
                <w:rFonts w:ascii="Times New Roman"/>
                <w:sz w:val="20"/>
              </w:rPr>
              <w:t>155</w:t>
            </w:r>
          </w:p>
        </w:tc>
        <w:tc>
          <w:tcPr>
            <w:tcW w:w="583" w:type="dxa"/>
            <w:tcBorders>
              <w:top w:val="single" w:sz="6" w:space="0" w:color="000000"/>
              <w:left w:val="single" w:sz="6" w:space="0" w:color="000000"/>
              <w:bottom w:val="single" w:sz="6" w:space="0" w:color="000000"/>
              <w:right w:val="single" w:sz="6" w:space="0" w:color="000000"/>
            </w:tcBorders>
            <w:vAlign w:val="center"/>
          </w:tcPr>
          <w:p w14:paraId="2F8A8AF5" w14:textId="77777777" w:rsidR="00BE1D04" w:rsidRPr="00C3310F" w:rsidRDefault="00BE1D04" w:rsidP="00D9140F">
            <w:pPr>
              <w:jc w:val="right"/>
              <w:rPr>
                <w:rFonts w:ascii="Times New Roman"/>
                <w:sz w:val="20"/>
              </w:rPr>
            </w:pPr>
            <w:r w:rsidRPr="00C3310F">
              <w:rPr>
                <w:rFonts w:ascii="Times New Roman"/>
                <w:sz w:val="20"/>
              </w:rPr>
              <w:t>59</w:t>
            </w:r>
          </w:p>
        </w:tc>
        <w:tc>
          <w:tcPr>
            <w:tcW w:w="730" w:type="dxa"/>
            <w:tcBorders>
              <w:top w:val="single" w:sz="6" w:space="0" w:color="000000"/>
              <w:left w:val="single" w:sz="6" w:space="0" w:color="000000"/>
              <w:bottom w:val="single" w:sz="6" w:space="0" w:color="000000"/>
              <w:right w:val="single" w:sz="6" w:space="0" w:color="000000"/>
            </w:tcBorders>
            <w:vAlign w:val="center"/>
          </w:tcPr>
          <w:p w14:paraId="7101B84F" w14:textId="77777777" w:rsidR="00BE1D04" w:rsidRPr="00C3310F" w:rsidRDefault="00BE1D04" w:rsidP="00D9140F">
            <w:pPr>
              <w:jc w:val="right"/>
              <w:rPr>
                <w:rFonts w:ascii="Times New Roman"/>
                <w:sz w:val="20"/>
              </w:rPr>
            </w:pPr>
            <w:r w:rsidRPr="00C3310F">
              <w:rPr>
                <w:rFonts w:ascii="Times New Roman"/>
                <w:sz w:val="20"/>
              </w:rPr>
              <w:t>38.1</w:t>
            </w:r>
          </w:p>
        </w:tc>
      </w:tr>
      <w:tr w:rsidR="00C3310F" w:rsidRPr="00C3310F" w14:paraId="6B0D697C" w14:textId="77777777" w:rsidTr="00D9140F">
        <w:trPr>
          <w:gridAfter w:val="1"/>
          <w:wAfter w:w="10" w:type="dxa"/>
          <w:trHeight w:val="42"/>
          <w:jc w:val="center"/>
        </w:trPr>
        <w:tc>
          <w:tcPr>
            <w:tcW w:w="1017" w:type="dxa"/>
            <w:vAlign w:val="center"/>
          </w:tcPr>
          <w:p w14:paraId="6A6FA28F" w14:textId="77777777" w:rsidR="00BE1D04" w:rsidRPr="00C3310F" w:rsidRDefault="00BE1D04" w:rsidP="00DB430F">
            <w:pPr>
              <w:ind w:left="190"/>
              <w:jc w:val="center"/>
              <w:rPr>
                <w:rFonts w:ascii="Times New Roman"/>
                <w:sz w:val="22"/>
                <w:szCs w:val="22"/>
              </w:rPr>
            </w:pPr>
            <w:r w:rsidRPr="00C3310F">
              <w:rPr>
                <w:rFonts w:ascii="Times New Roman" w:hint="eastAsia"/>
                <w:sz w:val="22"/>
                <w:szCs w:val="22"/>
              </w:rPr>
              <w:t>合計</w:t>
            </w:r>
          </w:p>
        </w:tc>
        <w:tc>
          <w:tcPr>
            <w:tcW w:w="874" w:type="dxa"/>
            <w:tcBorders>
              <w:top w:val="single" w:sz="6" w:space="0" w:color="000000"/>
              <w:left w:val="single" w:sz="6" w:space="0" w:color="000000"/>
              <w:bottom w:val="single" w:sz="6" w:space="0" w:color="000000"/>
              <w:right w:val="single" w:sz="6" w:space="0" w:color="000000"/>
            </w:tcBorders>
            <w:vAlign w:val="center"/>
          </w:tcPr>
          <w:p w14:paraId="57BC387E" w14:textId="77777777" w:rsidR="00BE1D04" w:rsidRPr="00C3310F" w:rsidRDefault="00BE1D04" w:rsidP="00D9140F">
            <w:pPr>
              <w:widowControl/>
              <w:ind w:leftChars="-39" w:left="-10" w:rightChars="-16" w:right="-54" w:hangingChars="56" w:hanging="123"/>
              <w:jc w:val="right"/>
              <w:rPr>
                <w:rFonts w:ascii="Times New Roman"/>
                <w:sz w:val="20"/>
              </w:rPr>
            </w:pPr>
            <w:r w:rsidRPr="00C3310F">
              <w:rPr>
                <w:rFonts w:ascii="Times New Roman"/>
                <w:sz w:val="20"/>
              </w:rPr>
              <w:t>14</w:t>
            </w:r>
            <w:r w:rsidR="001753E1" w:rsidRPr="00C3310F">
              <w:rPr>
                <w:rFonts w:ascii="Times New Roman"/>
                <w:sz w:val="20"/>
              </w:rPr>
              <w:t>,</w:t>
            </w:r>
            <w:r w:rsidRPr="00C3310F">
              <w:rPr>
                <w:rFonts w:ascii="Times New Roman"/>
                <w:sz w:val="20"/>
              </w:rPr>
              <w:t>830</w:t>
            </w:r>
          </w:p>
        </w:tc>
        <w:tc>
          <w:tcPr>
            <w:tcW w:w="875" w:type="dxa"/>
            <w:tcBorders>
              <w:top w:val="single" w:sz="6" w:space="0" w:color="000000"/>
              <w:left w:val="single" w:sz="6" w:space="0" w:color="000000"/>
              <w:bottom w:val="single" w:sz="6" w:space="0" w:color="000000"/>
              <w:right w:val="single" w:sz="6" w:space="0" w:color="000000"/>
            </w:tcBorders>
            <w:vAlign w:val="center"/>
          </w:tcPr>
          <w:p w14:paraId="6AD00CDE" w14:textId="77777777" w:rsidR="00BE1D04" w:rsidRPr="00C3310F" w:rsidRDefault="00BE1D04" w:rsidP="00D9140F">
            <w:pPr>
              <w:jc w:val="right"/>
              <w:rPr>
                <w:rFonts w:ascii="Times New Roman"/>
                <w:sz w:val="20"/>
              </w:rPr>
            </w:pPr>
            <w:r w:rsidRPr="00C3310F">
              <w:rPr>
                <w:rFonts w:ascii="Times New Roman"/>
                <w:sz w:val="20"/>
              </w:rPr>
              <w:t>10653</w:t>
            </w:r>
          </w:p>
        </w:tc>
        <w:tc>
          <w:tcPr>
            <w:tcW w:w="876" w:type="dxa"/>
            <w:tcBorders>
              <w:top w:val="single" w:sz="6" w:space="0" w:color="000000"/>
              <w:left w:val="single" w:sz="6" w:space="0" w:color="000000"/>
              <w:bottom w:val="single" w:sz="6" w:space="0" w:color="000000"/>
              <w:right w:val="single" w:sz="6" w:space="0" w:color="000000"/>
            </w:tcBorders>
            <w:vAlign w:val="center"/>
          </w:tcPr>
          <w:p w14:paraId="4A8A8B59" w14:textId="77777777" w:rsidR="00BE1D04" w:rsidRPr="00C3310F" w:rsidRDefault="00BE1D04" w:rsidP="00D9140F">
            <w:pPr>
              <w:jc w:val="right"/>
              <w:rPr>
                <w:rFonts w:ascii="Times New Roman"/>
                <w:sz w:val="20"/>
              </w:rPr>
            </w:pPr>
            <w:r w:rsidRPr="00C3310F">
              <w:rPr>
                <w:rFonts w:ascii="Times New Roman"/>
                <w:sz w:val="20"/>
              </w:rPr>
              <w:t>71.8</w:t>
            </w:r>
          </w:p>
        </w:tc>
        <w:tc>
          <w:tcPr>
            <w:tcW w:w="730" w:type="dxa"/>
            <w:tcBorders>
              <w:top w:val="single" w:sz="6" w:space="0" w:color="000000"/>
              <w:left w:val="single" w:sz="6" w:space="0" w:color="000000"/>
              <w:bottom w:val="single" w:sz="6" w:space="0" w:color="000000"/>
              <w:right w:val="single" w:sz="6" w:space="0" w:color="000000"/>
            </w:tcBorders>
            <w:vAlign w:val="center"/>
          </w:tcPr>
          <w:p w14:paraId="4010A1FC" w14:textId="77777777" w:rsidR="00BE1D04" w:rsidRPr="00C3310F" w:rsidRDefault="00BE1D04" w:rsidP="00D9140F">
            <w:pPr>
              <w:ind w:leftChars="-62" w:left="-17" w:hangingChars="88" w:hanging="194"/>
              <w:jc w:val="right"/>
              <w:rPr>
                <w:rFonts w:ascii="Times New Roman"/>
                <w:sz w:val="20"/>
              </w:rPr>
            </w:pPr>
            <w:r w:rsidRPr="00C3310F">
              <w:rPr>
                <w:rFonts w:ascii="Times New Roman"/>
                <w:sz w:val="20"/>
              </w:rPr>
              <w:t>3</w:t>
            </w:r>
            <w:r w:rsidR="001753E1" w:rsidRPr="00C3310F">
              <w:rPr>
                <w:rFonts w:ascii="Times New Roman"/>
                <w:sz w:val="20"/>
              </w:rPr>
              <w:t>,</w:t>
            </w:r>
            <w:r w:rsidRPr="00C3310F">
              <w:rPr>
                <w:rFonts w:ascii="Times New Roman"/>
                <w:sz w:val="20"/>
              </w:rPr>
              <w:t>064</w:t>
            </w:r>
          </w:p>
        </w:tc>
        <w:tc>
          <w:tcPr>
            <w:tcW w:w="730" w:type="dxa"/>
            <w:tcBorders>
              <w:top w:val="single" w:sz="6" w:space="0" w:color="000000"/>
              <w:left w:val="single" w:sz="6" w:space="0" w:color="000000"/>
              <w:bottom w:val="single" w:sz="6" w:space="0" w:color="000000"/>
              <w:right w:val="single" w:sz="6" w:space="0" w:color="000000"/>
            </w:tcBorders>
            <w:vAlign w:val="center"/>
          </w:tcPr>
          <w:p w14:paraId="5923136B" w14:textId="77777777" w:rsidR="00BE1D04" w:rsidRPr="00C3310F" w:rsidRDefault="00BE1D04" w:rsidP="00D9140F">
            <w:pPr>
              <w:jc w:val="right"/>
              <w:rPr>
                <w:rFonts w:ascii="Times New Roman"/>
                <w:sz w:val="20"/>
              </w:rPr>
            </w:pPr>
            <w:r w:rsidRPr="00C3310F">
              <w:rPr>
                <w:rFonts w:ascii="Times New Roman"/>
                <w:sz w:val="20"/>
              </w:rPr>
              <w:t>3064</w:t>
            </w:r>
          </w:p>
        </w:tc>
        <w:tc>
          <w:tcPr>
            <w:tcW w:w="585" w:type="dxa"/>
            <w:tcBorders>
              <w:top w:val="single" w:sz="6" w:space="0" w:color="000000"/>
              <w:left w:val="single" w:sz="6" w:space="0" w:color="000000"/>
              <w:bottom w:val="single" w:sz="6" w:space="0" w:color="000000"/>
              <w:right w:val="single" w:sz="6" w:space="0" w:color="000000"/>
            </w:tcBorders>
            <w:vAlign w:val="center"/>
          </w:tcPr>
          <w:p w14:paraId="31ACC5AA" w14:textId="77777777" w:rsidR="00BE1D04" w:rsidRPr="00C3310F" w:rsidRDefault="00BE1D04" w:rsidP="00D9140F">
            <w:pPr>
              <w:jc w:val="right"/>
              <w:rPr>
                <w:rFonts w:ascii="Times New Roman"/>
                <w:sz w:val="18"/>
                <w:szCs w:val="18"/>
              </w:rPr>
            </w:pPr>
            <w:r w:rsidRPr="00C3310F">
              <w:rPr>
                <w:rFonts w:ascii="Times New Roman"/>
                <w:sz w:val="18"/>
                <w:szCs w:val="18"/>
              </w:rPr>
              <w:t>N/A</w:t>
            </w:r>
          </w:p>
        </w:tc>
        <w:tc>
          <w:tcPr>
            <w:tcW w:w="874" w:type="dxa"/>
            <w:tcBorders>
              <w:top w:val="single" w:sz="6" w:space="0" w:color="000000"/>
              <w:left w:val="single" w:sz="6" w:space="0" w:color="000000"/>
              <w:bottom w:val="single" w:sz="6" w:space="0" w:color="000000"/>
              <w:right w:val="single" w:sz="6" w:space="0" w:color="000000"/>
            </w:tcBorders>
            <w:vAlign w:val="center"/>
          </w:tcPr>
          <w:p w14:paraId="4C27E3C6" w14:textId="77777777" w:rsidR="00BE1D04" w:rsidRPr="00C3310F" w:rsidRDefault="00BE1D04" w:rsidP="00D9140F">
            <w:pPr>
              <w:ind w:leftChars="-37" w:left="-12" w:rightChars="-19" w:right="-65" w:hangingChars="52" w:hanging="114"/>
              <w:jc w:val="right"/>
              <w:rPr>
                <w:rFonts w:ascii="Times New Roman"/>
                <w:sz w:val="20"/>
              </w:rPr>
            </w:pPr>
            <w:r w:rsidRPr="00C3310F">
              <w:rPr>
                <w:rFonts w:ascii="Times New Roman"/>
                <w:sz w:val="20"/>
              </w:rPr>
              <w:t>21</w:t>
            </w:r>
            <w:r w:rsidR="001753E1" w:rsidRPr="00C3310F">
              <w:rPr>
                <w:rFonts w:ascii="Times New Roman"/>
                <w:sz w:val="20"/>
              </w:rPr>
              <w:t>,</w:t>
            </w:r>
            <w:r w:rsidRPr="00C3310F">
              <w:rPr>
                <w:rFonts w:ascii="Times New Roman"/>
                <w:sz w:val="20"/>
              </w:rPr>
              <w:t>725</w:t>
            </w:r>
          </w:p>
        </w:tc>
        <w:tc>
          <w:tcPr>
            <w:tcW w:w="875" w:type="dxa"/>
            <w:tcBorders>
              <w:top w:val="single" w:sz="6" w:space="0" w:color="000000"/>
              <w:left w:val="single" w:sz="6" w:space="0" w:color="000000"/>
              <w:bottom w:val="single" w:sz="6" w:space="0" w:color="000000"/>
              <w:right w:val="single" w:sz="6" w:space="0" w:color="000000"/>
            </w:tcBorders>
            <w:vAlign w:val="center"/>
          </w:tcPr>
          <w:p w14:paraId="3159F4AD" w14:textId="77777777" w:rsidR="00BE1D04" w:rsidRPr="00C3310F" w:rsidRDefault="00BE1D04" w:rsidP="00D9140F">
            <w:pPr>
              <w:ind w:leftChars="-44" w:left="-14" w:rightChars="-11" w:right="-37" w:hangingChars="62" w:hanging="136"/>
              <w:jc w:val="right"/>
              <w:rPr>
                <w:rFonts w:ascii="Times New Roman"/>
                <w:sz w:val="20"/>
              </w:rPr>
            </w:pPr>
            <w:r w:rsidRPr="00C3310F">
              <w:rPr>
                <w:rFonts w:ascii="Times New Roman"/>
                <w:sz w:val="20"/>
              </w:rPr>
              <w:t>18</w:t>
            </w:r>
            <w:r w:rsidR="001753E1" w:rsidRPr="00C3310F">
              <w:rPr>
                <w:rFonts w:ascii="Times New Roman"/>
                <w:sz w:val="20"/>
              </w:rPr>
              <w:t>,</w:t>
            </w:r>
            <w:r w:rsidRPr="00C3310F">
              <w:rPr>
                <w:rFonts w:ascii="Times New Roman"/>
                <w:sz w:val="20"/>
              </w:rPr>
              <w:t>671</w:t>
            </w:r>
          </w:p>
        </w:tc>
        <w:tc>
          <w:tcPr>
            <w:tcW w:w="731" w:type="dxa"/>
            <w:tcBorders>
              <w:top w:val="single" w:sz="6" w:space="0" w:color="000000"/>
              <w:left w:val="single" w:sz="6" w:space="0" w:color="000000"/>
              <w:bottom w:val="single" w:sz="6" w:space="0" w:color="000000"/>
              <w:right w:val="single" w:sz="6" w:space="0" w:color="000000"/>
            </w:tcBorders>
            <w:vAlign w:val="center"/>
          </w:tcPr>
          <w:p w14:paraId="630C7134" w14:textId="77777777" w:rsidR="00BE1D04" w:rsidRPr="00C3310F" w:rsidRDefault="00BE1D04" w:rsidP="00D9140F">
            <w:pPr>
              <w:jc w:val="right"/>
              <w:rPr>
                <w:rFonts w:ascii="Times New Roman"/>
                <w:sz w:val="20"/>
              </w:rPr>
            </w:pPr>
            <w:r w:rsidRPr="00C3310F">
              <w:rPr>
                <w:rFonts w:ascii="Times New Roman"/>
                <w:sz w:val="20"/>
              </w:rPr>
              <w:t>85.9</w:t>
            </w:r>
          </w:p>
        </w:tc>
        <w:tc>
          <w:tcPr>
            <w:tcW w:w="730" w:type="dxa"/>
            <w:tcBorders>
              <w:top w:val="single" w:sz="6" w:space="0" w:color="000000"/>
              <w:left w:val="single" w:sz="6" w:space="0" w:color="000000"/>
              <w:bottom w:val="single" w:sz="6" w:space="0" w:color="000000"/>
              <w:right w:val="single" w:sz="6" w:space="0" w:color="000000"/>
            </w:tcBorders>
            <w:vAlign w:val="center"/>
          </w:tcPr>
          <w:p w14:paraId="6F5FC85B" w14:textId="77777777" w:rsidR="00BE1D04" w:rsidRPr="00C3310F" w:rsidRDefault="00BE1D04" w:rsidP="00D9140F">
            <w:pPr>
              <w:jc w:val="right"/>
              <w:rPr>
                <w:rFonts w:ascii="Times New Roman"/>
                <w:sz w:val="20"/>
              </w:rPr>
            </w:pPr>
            <w:r w:rsidRPr="00C3310F">
              <w:rPr>
                <w:rFonts w:ascii="Times New Roman"/>
                <w:sz w:val="20"/>
              </w:rPr>
              <w:t>442</w:t>
            </w:r>
          </w:p>
        </w:tc>
        <w:tc>
          <w:tcPr>
            <w:tcW w:w="583" w:type="dxa"/>
            <w:tcBorders>
              <w:top w:val="single" w:sz="6" w:space="0" w:color="000000"/>
              <w:left w:val="single" w:sz="6" w:space="0" w:color="000000"/>
              <w:bottom w:val="single" w:sz="6" w:space="0" w:color="000000"/>
              <w:right w:val="single" w:sz="6" w:space="0" w:color="000000"/>
            </w:tcBorders>
            <w:vAlign w:val="center"/>
          </w:tcPr>
          <w:p w14:paraId="48963D8C" w14:textId="77777777" w:rsidR="00BE1D04" w:rsidRPr="00C3310F" w:rsidRDefault="00BE1D04" w:rsidP="00D9140F">
            <w:pPr>
              <w:jc w:val="right"/>
              <w:rPr>
                <w:rFonts w:ascii="Times New Roman"/>
                <w:sz w:val="20"/>
              </w:rPr>
            </w:pPr>
            <w:r w:rsidRPr="00C3310F">
              <w:rPr>
                <w:rFonts w:ascii="Times New Roman"/>
                <w:sz w:val="20"/>
              </w:rPr>
              <w:t>135</w:t>
            </w:r>
          </w:p>
        </w:tc>
        <w:tc>
          <w:tcPr>
            <w:tcW w:w="730" w:type="dxa"/>
            <w:tcBorders>
              <w:top w:val="single" w:sz="6" w:space="0" w:color="000000"/>
              <w:left w:val="single" w:sz="6" w:space="0" w:color="000000"/>
              <w:bottom w:val="single" w:sz="6" w:space="0" w:color="000000"/>
              <w:right w:val="single" w:sz="6" w:space="0" w:color="000000"/>
            </w:tcBorders>
            <w:vAlign w:val="center"/>
          </w:tcPr>
          <w:p w14:paraId="46C412AE" w14:textId="77777777" w:rsidR="00BE1D04" w:rsidRPr="00C3310F" w:rsidRDefault="00BE1D04" w:rsidP="00D9140F">
            <w:pPr>
              <w:jc w:val="right"/>
              <w:rPr>
                <w:rFonts w:ascii="Times New Roman"/>
                <w:sz w:val="20"/>
              </w:rPr>
            </w:pPr>
            <w:r w:rsidRPr="00C3310F">
              <w:rPr>
                <w:rFonts w:ascii="Times New Roman"/>
                <w:sz w:val="20"/>
              </w:rPr>
              <w:t>30.5</w:t>
            </w:r>
          </w:p>
        </w:tc>
      </w:tr>
      <w:tr w:rsidR="00C3310F" w:rsidRPr="00C3310F" w14:paraId="7035C0F1" w14:textId="77777777" w:rsidTr="00A77297">
        <w:trPr>
          <w:trHeight w:val="42"/>
          <w:jc w:val="center"/>
        </w:trPr>
        <w:tc>
          <w:tcPr>
            <w:tcW w:w="10220" w:type="dxa"/>
            <w:gridSpan w:val="14"/>
            <w:tcBorders>
              <w:right w:val="single" w:sz="6" w:space="0" w:color="000000"/>
            </w:tcBorders>
            <w:vAlign w:val="center"/>
          </w:tcPr>
          <w:p w14:paraId="7C94B6CD" w14:textId="02DB69E4" w:rsidR="00BE1D04" w:rsidRPr="00C3310F" w:rsidRDefault="00BE1D04" w:rsidP="00D9140F">
            <w:pPr>
              <w:jc w:val="left"/>
              <w:rPr>
                <w:rFonts w:ascii="Times New Roman"/>
                <w:sz w:val="22"/>
                <w:szCs w:val="22"/>
              </w:rPr>
            </w:pPr>
            <w:r w:rsidRPr="00C3310F">
              <w:rPr>
                <w:rFonts w:ascii="Times New Roman" w:hint="eastAsia"/>
                <w:sz w:val="22"/>
                <w:szCs w:val="22"/>
              </w:rPr>
              <w:t>各公司調閱情形。註：</w:t>
            </w:r>
            <w:r w:rsidR="00DF3BE8" w:rsidRPr="00C3310F">
              <w:rPr>
                <w:rFonts w:ascii="Times New Roman"/>
                <w:sz w:val="22"/>
                <w:szCs w:val="22"/>
              </w:rPr>
              <w:t>LINE</w:t>
            </w:r>
            <w:r w:rsidRPr="00C3310F">
              <w:rPr>
                <w:rFonts w:ascii="Times New Roman" w:hint="eastAsia"/>
                <w:sz w:val="22"/>
                <w:szCs w:val="22"/>
              </w:rPr>
              <w:t>調閱率</w:t>
            </w:r>
            <w:r w:rsidRPr="00C3310F">
              <w:rPr>
                <w:rFonts w:ascii="Times New Roman"/>
                <w:sz w:val="22"/>
                <w:szCs w:val="22"/>
              </w:rPr>
              <w:t>N/A</w:t>
            </w:r>
            <w:r w:rsidRPr="00C3310F">
              <w:rPr>
                <w:rFonts w:ascii="Times New Roman" w:hint="eastAsia"/>
                <w:sz w:val="22"/>
                <w:szCs w:val="22"/>
              </w:rPr>
              <w:t>係</w:t>
            </w:r>
            <w:r w:rsidR="00DF3BE8" w:rsidRPr="00C3310F">
              <w:rPr>
                <w:rFonts w:ascii="Times New Roman"/>
                <w:sz w:val="22"/>
                <w:szCs w:val="22"/>
              </w:rPr>
              <w:t>LINE</w:t>
            </w:r>
            <w:r w:rsidRPr="00C3310F">
              <w:rPr>
                <w:rFonts w:ascii="Times New Roman" w:hint="eastAsia"/>
                <w:sz w:val="22"/>
                <w:szCs w:val="22"/>
              </w:rPr>
              <w:t>公司以光碟回復資料</w:t>
            </w:r>
          </w:p>
        </w:tc>
      </w:tr>
    </w:tbl>
    <w:p w14:paraId="5937E219" w14:textId="77777777" w:rsidR="00BE1D04" w:rsidRPr="00C3310F" w:rsidRDefault="00BE1D04" w:rsidP="00BE1D04">
      <w:pPr>
        <w:pStyle w:val="4"/>
        <w:numPr>
          <w:ilvl w:val="0"/>
          <w:numId w:val="0"/>
        </w:numPr>
        <w:spacing w:afterLines="50" w:after="228"/>
        <w:ind w:leftChars="-208" w:left="-167" w:hangingChars="208" w:hanging="541"/>
        <w:rPr>
          <w:sz w:val="24"/>
          <w:szCs w:val="24"/>
        </w:rPr>
      </w:pPr>
      <w:r w:rsidRPr="00C3310F">
        <w:rPr>
          <w:rFonts w:hint="eastAsia"/>
          <w:sz w:val="24"/>
          <w:szCs w:val="24"/>
        </w:rPr>
        <w:t>資料來源：內政部。</w:t>
      </w:r>
    </w:p>
    <w:p w14:paraId="4FE9BF5C" w14:textId="77777777" w:rsidR="00BE1D04" w:rsidRPr="00C3310F" w:rsidRDefault="00BE1D04" w:rsidP="00BE1D04">
      <w:pPr>
        <w:pStyle w:val="4"/>
      </w:pPr>
      <w:r w:rsidRPr="00C3310F">
        <w:rPr>
          <w:rFonts w:hint="eastAsia"/>
        </w:rPr>
        <w:t>電子支付帳戶申請</w:t>
      </w:r>
    </w:p>
    <w:p w14:paraId="555F03F0" w14:textId="77777777" w:rsidR="00BE1D04" w:rsidRPr="00C3310F" w:rsidRDefault="00BE1D04" w:rsidP="00BE1D04">
      <w:pPr>
        <w:pStyle w:val="5"/>
      </w:pPr>
      <w:r w:rsidRPr="00C3310F">
        <w:rPr>
          <w:rFonts w:hint="eastAsia"/>
        </w:rPr>
        <w:t>電子支付機構採「實名制」確認客戶身分：依「電子支付機構管理條例」規定，電子支付機構應建立使用者身分確認機制，對於使用者申請註冊及開立電子支付帳戶，係採「實名制」方式確認身分，包括：徵提基本身分資料(姓名、國籍、身分證明文件種類與號碼、出生年月日等)、向財團法人金融聯合徵信中心確認國民身分證領補換資料及警示(存款及電支)帳戶資訊、確認使用者可利用該行動電話號碼操作並接收訊息通知、確認使用者本人之金融支付工具(如存款帳戶或信用卡)等。現行民眾存款帳戶經警示後，無法開立電支帳戶。</w:t>
      </w:r>
    </w:p>
    <w:p w14:paraId="3926EE06" w14:textId="77777777" w:rsidR="00BE1D04" w:rsidRPr="00C3310F" w:rsidRDefault="00BE1D04" w:rsidP="00BE1D04">
      <w:pPr>
        <w:pStyle w:val="5"/>
      </w:pPr>
      <w:r w:rsidRPr="00C3310F">
        <w:rPr>
          <w:rFonts w:hint="eastAsia"/>
        </w:rPr>
        <w:t>增加本人金融支付工具原留門號之驗證機制：為避免遭詐騙集團利用不法取得之個人資料冒開電子支付帳戶，金管會已請中華民國銀行商業同業公會全國聯合會(下稱銀行公會)於111年8月25日召開「防堵電子支付詐騙」意見交流</w:t>
      </w:r>
      <w:r w:rsidRPr="00C3310F">
        <w:rPr>
          <w:rFonts w:hint="eastAsia"/>
        </w:rPr>
        <w:lastRenderedPageBreak/>
        <w:t>會，並於111年11月21日開會研議強化確認使用者本人之金融支付工具，增加驗證使用者開立存款帳戶或信用卡原留手機門號機制(下稱核驗原留門號機制)，並納入電子支付機構之資安自律規範，各電子支付機構已於112年3月31日前調整核驗機制。</w:t>
      </w:r>
    </w:p>
    <w:p w14:paraId="25861BDF" w14:textId="60E52257" w:rsidR="00BE1D04" w:rsidRPr="00C3310F" w:rsidRDefault="00BE1D04" w:rsidP="00BE1D04">
      <w:pPr>
        <w:pStyle w:val="5"/>
      </w:pPr>
      <w:r w:rsidRPr="00C3310F">
        <w:rPr>
          <w:rFonts w:hint="eastAsia"/>
        </w:rPr>
        <w:t>高檢署於111年12月26日召開之「電子支付帳戶遭詐欺集團不法利用策進作為研商會議」，銀行公會代表說明部分電子支付機構已先行增加核驗原留門號機制，並有顯著成效(此機制係透過使用者親臨銀行櫃檯完成開戶時所留門號進行比對，相較使用者手持身分證拍照上傳影像檔後，由電支機構憑肉眼辨識影像檔是否為其本人，應較為有效)。會議決議：將視增加驗證原留門號機制整體執行情形，再行研議是否增加其他身分驗證機制。依警政署統計資料，於電子支付機構全面採行此機制後，112年6月新增警示電支帳戶案件數，已較111年12月案件數最高峰下降超過9成，顯示採行核驗原留門號及相關防詐機制已具成效。</w:t>
      </w:r>
    </w:p>
    <w:p w14:paraId="24E7FCA0" w14:textId="150B4BB7" w:rsidR="00BE1D04" w:rsidRPr="00C3310F" w:rsidRDefault="00BE1D04" w:rsidP="003977B9">
      <w:pPr>
        <w:pStyle w:val="5"/>
      </w:pPr>
      <w:r w:rsidRPr="00C3310F">
        <w:rPr>
          <w:rFonts w:hint="eastAsia"/>
        </w:rPr>
        <w:t>金管會於112年5月4日與相關執法機關及銀行公會召開「金融機構所發送一次性動態密碼(OTP)簡訊內容研商會議」，會中決議請銀行公會擬訂OTP簡訊範本，並提供各會員機構參考，若發送OTP簡訊之業務涉及開立電子支付帳戶、電子支付帳戶約定連結存款帳戶等，則OTP簡訊文字應包括「簡訊目的」、「反詐宣導」及「法律責任(例如：『避免遭不法利用』)」。銀行公會已於112年5月26日提供各金融機構OTP簡訊範本，並請各機構依上開會議決議辦理。電子支付機</w:t>
      </w:r>
      <w:r w:rsidRPr="00C3310F">
        <w:rPr>
          <w:rFonts w:hint="eastAsia"/>
        </w:rPr>
        <w:lastRenderedPageBreak/>
        <w:t>構於112年12月31日前完成</w:t>
      </w:r>
      <w:r w:rsidR="002B7518" w:rsidRPr="00C3310F">
        <w:rPr>
          <w:rFonts w:hint="eastAsia"/>
        </w:rPr>
        <w:t>。</w:t>
      </w:r>
    </w:p>
    <w:p w14:paraId="72D34BF5" w14:textId="77777777" w:rsidR="00BE1D04" w:rsidRPr="00C3310F" w:rsidRDefault="00BE1D04" w:rsidP="00BE1D04">
      <w:pPr>
        <w:pStyle w:val="4"/>
      </w:pPr>
      <w:r w:rsidRPr="00C3310F">
        <w:rPr>
          <w:rFonts w:hint="eastAsia"/>
        </w:rPr>
        <w:t>強化人頭帳戶管理機制</w:t>
      </w:r>
      <w:r w:rsidRPr="00C3310F">
        <w:t>：</w:t>
      </w:r>
    </w:p>
    <w:p w14:paraId="2F15DAEF" w14:textId="77777777" w:rsidR="00BE1D04" w:rsidRPr="00C3310F" w:rsidRDefault="00BE1D04" w:rsidP="00BE1D04">
      <w:pPr>
        <w:pStyle w:val="5"/>
      </w:pPr>
      <w:r w:rsidRPr="00C3310F">
        <w:rPr>
          <w:rFonts w:hint="eastAsia"/>
        </w:rPr>
        <w:t>考量金融機構之客戶倘於聯行已開戶時，應向「原第一開戶行」照會之作法，部分留存之文件常為年代久遠之舊式身分證及簽樣，106年修正後，已調整為向「前一開戶行」照會比對留存之身分證明文件、照片、筆跡是否相同等內容。</w:t>
      </w:r>
    </w:p>
    <w:p w14:paraId="747CD013" w14:textId="77777777" w:rsidR="00BE1D04" w:rsidRPr="00C3310F" w:rsidRDefault="00BE1D04" w:rsidP="00BE1D04">
      <w:pPr>
        <w:pStyle w:val="5"/>
      </w:pPr>
      <w:r w:rsidRPr="00C3310F">
        <w:rPr>
          <w:rFonts w:hint="eastAsia"/>
        </w:rPr>
        <w:t>臨櫃面（臨櫃應注意事項）：增列屬非正職職業類別、共用通訊資料、忽然提高轉帳限額、欲辦理變更負責人，新負責人對於公司營運狀況不清楚或無法正確回答等宜注意事項。</w:t>
      </w:r>
    </w:p>
    <w:p w14:paraId="73474D27" w14:textId="77777777" w:rsidR="00BE1D04" w:rsidRPr="00C3310F" w:rsidRDefault="00BE1D04" w:rsidP="00BE1D04">
      <w:pPr>
        <w:pStyle w:val="5"/>
      </w:pPr>
      <w:r w:rsidRPr="00C3310F">
        <w:rPr>
          <w:rFonts w:hint="eastAsia"/>
        </w:rPr>
        <w:t>資訊面：客戶申請約定轉入帳戶者，視客戶性質及風險程度高低，評估是否拉長申請審核期間為次二日生效。</w:t>
      </w:r>
    </w:p>
    <w:p w14:paraId="1167D2DF" w14:textId="77777777" w:rsidR="00BE1D04" w:rsidRPr="00C3310F" w:rsidRDefault="00BE1D04" w:rsidP="00BE1D04">
      <w:pPr>
        <w:pStyle w:val="5"/>
      </w:pPr>
      <w:r w:rsidRPr="00C3310F">
        <w:rPr>
          <w:rFonts w:hint="eastAsia"/>
        </w:rPr>
        <w:t>教育宣導面：請金融機構於提供客戶之存摺加註相關警語，提醒客戶提供帳戶供非法使用，可能招致各項信用損失。</w:t>
      </w:r>
    </w:p>
    <w:p w14:paraId="571178AC" w14:textId="77777777" w:rsidR="00BE1D04" w:rsidRPr="00C3310F" w:rsidRDefault="00BE1D04" w:rsidP="00BE1D04">
      <w:pPr>
        <w:pStyle w:val="5"/>
      </w:pPr>
      <w:r w:rsidRPr="00C3310F">
        <w:rPr>
          <w:rFonts w:hint="eastAsia"/>
        </w:rPr>
        <w:t>對水房短時多筆分帳因應措施</w:t>
      </w:r>
      <w:r w:rsidRPr="00C3310F">
        <w:t>：</w:t>
      </w:r>
    </w:p>
    <w:p w14:paraId="544F3926" w14:textId="77777777" w:rsidR="00BE1D04" w:rsidRPr="00C3310F" w:rsidRDefault="00BE1D04" w:rsidP="00BE1D04">
      <w:pPr>
        <w:pStyle w:val="6"/>
      </w:pPr>
      <w:bookmarkStart w:id="575" w:name="_Toc171525508"/>
      <w:bookmarkStart w:id="576" w:name="_Toc172023990"/>
      <w:bookmarkStart w:id="577" w:name="_Toc172033309"/>
      <w:r w:rsidRPr="00C3310F">
        <w:rPr>
          <w:rFonts w:hint="eastAsia"/>
        </w:rPr>
        <w:t>將疑涉詐騙帳戶列為警示</w:t>
      </w:r>
      <w:r w:rsidRPr="00C3310F">
        <w:t>：</w:t>
      </w:r>
      <w:r w:rsidRPr="00C3310F">
        <w:rPr>
          <w:rFonts w:hint="eastAsia"/>
        </w:rPr>
        <w:t>依法院、檢察署或司法警察機關以公文書(含報案三聯單等)通知銀行可將存款帳戶列為警示，金融機構接獲通知後會依「存款帳戶及其疑似不法或顯屬異常交易管理辦法」之規定暫停該帳戶全部交易功能。</w:t>
      </w:r>
      <w:bookmarkEnd w:id="575"/>
      <w:bookmarkEnd w:id="576"/>
      <w:bookmarkEnd w:id="577"/>
    </w:p>
    <w:p w14:paraId="7E503866" w14:textId="77777777" w:rsidR="00BE1D04" w:rsidRPr="00C3310F" w:rsidRDefault="00BE1D04" w:rsidP="00BE1D04">
      <w:pPr>
        <w:pStyle w:val="6"/>
      </w:pPr>
      <w:bookmarkStart w:id="578" w:name="_Toc171525509"/>
      <w:bookmarkStart w:id="579" w:name="_Toc172023991"/>
      <w:bookmarkStart w:id="580" w:name="_Toc172033310"/>
      <w:r w:rsidRPr="00C3310F">
        <w:rPr>
          <w:rFonts w:hint="eastAsia"/>
        </w:rPr>
        <w:t>已有相關異常交易態樣</w:t>
      </w:r>
      <w:r w:rsidRPr="00C3310F">
        <w:t>：</w:t>
      </w:r>
      <w:r w:rsidRPr="00C3310F">
        <w:rPr>
          <w:rFonts w:hint="eastAsia"/>
        </w:rPr>
        <w:t>經查「存款帳戶及其疑似不法或顯屬異常交易管理辦法」中第二類帳戶態樣及「彙整銀行間具共通性之疑似不法或顯屬異常交易態樣」列有「</w:t>
      </w:r>
      <w:r w:rsidRPr="00C3310F">
        <w:rPr>
          <w:rFonts w:hint="eastAsia"/>
          <w:lang w:val="x-none"/>
        </w:rPr>
        <w:t>存款帳戶餘額低，頻繁查詢餘額，有款項入帳隨即領現或轉出</w:t>
      </w:r>
      <w:r w:rsidRPr="00C3310F">
        <w:rPr>
          <w:rFonts w:hint="eastAsia"/>
        </w:rPr>
        <w:t>」、「短期間內頻繁使用自動化設備交易，</w:t>
      </w:r>
      <w:r w:rsidRPr="00C3310F">
        <w:rPr>
          <w:rFonts w:hint="eastAsia"/>
        </w:rPr>
        <w:lastRenderedPageBreak/>
        <w:t>且借方總額與貸方總額差額小，僅留下象徵性餘額者」等異常交易態樣。</w:t>
      </w:r>
      <w:bookmarkEnd w:id="578"/>
      <w:bookmarkEnd w:id="579"/>
      <w:bookmarkEnd w:id="580"/>
    </w:p>
    <w:p w14:paraId="669099D6" w14:textId="77777777" w:rsidR="00BE1D04" w:rsidRPr="00C3310F" w:rsidRDefault="00BE1D04" w:rsidP="00BE1D04">
      <w:pPr>
        <w:pStyle w:val="6"/>
      </w:pPr>
      <w:bookmarkStart w:id="581" w:name="_Toc171525510"/>
      <w:bookmarkStart w:id="582" w:name="_Toc172023992"/>
      <w:bookmarkStart w:id="583" w:name="_Toc172033311"/>
      <w:r w:rsidRPr="00C3310F">
        <w:rPr>
          <w:rFonts w:hint="eastAsia"/>
        </w:rPr>
        <w:t>依第二類帳戶及異常交易態樣進行交易監控</w:t>
      </w:r>
      <w:r w:rsidRPr="00C3310F">
        <w:t>：</w:t>
      </w:r>
      <w:r w:rsidRPr="00C3310F">
        <w:rPr>
          <w:rFonts w:hint="eastAsia"/>
        </w:rPr>
        <w:t>實務上金融機構係依「存款帳戶及其疑似不法或顯屬異常交易管理辦法」中屬於第二類之帳戶及「彙整銀行間具共通性之疑似不法或顯屬異常交易態樣」進行存款帳戶交易監控；經審查如有</w:t>
      </w:r>
      <w:r w:rsidRPr="00C3310F">
        <w:t>疑似不法或異常之情事者</w:t>
      </w:r>
      <w:r w:rsidRPr="00C3310F">
        <w:rPr>
          <w:rFonts w:hint="eastAsia"/>
        </w:rPr>
        <w:t>，除進行存款交易管控外(例:限制自動化交易、交易額度調整等)，並依洗錢防制法等相關法令規定進行相關處理措施。</w:t>
      </w:r>
      <w:bookmarkEnd w:id="581"/>
      <w:bookmarkEnd w:id="582"/>
      <w:bookmarkEnd w:id="583"/>
    </w:p>
    <w:p w14:paraId="546A9F73" w14:textId="77777777" w:rsidR="00BE1D04" w:rsidRPr="00C3310F" w:rsidRDefault="00BE1D04" w:rsidP="00BE1D04">
      <w:pPr>
        <w:pStyle w:val="4"/>
      </w:pPr>
      <w:r w:rsidRPr="00C3310F">
        <w:rPr>
          <w:rFonts w:hint="eastAsia"/>
        </w:rPr>
        <w:t>強化虛擬通貨管理機制：</w:t>
      </w:r>
    </w:p>
    <w:p w14:paraId="1973F085" w14:textId="26B5FA8A" w:rsidR="00BE1D04" w:rsidRPr="00C3310F" w:rsidRDefault="00BE1D04" w:rsidP="00BE1D04">
      <w:pPr>
        <w:pStyle w:val="5"/>
      </w:pPr>
      <w:r w:rsidRPr="00C3310F">
        <w:rPr>
          <w:rFonts w:hint="eastAsia"/>
        </w:rPr>
        <w:t>金管會已於110年6月30日發布「虛擬通貨</w:t>
      </w:r>
      <w:r w:rsidR="008955EF" w:rsidRPr="00C3310F">
        <w:rPr>
          <w:rFonts w:hint="eastAsia"/>
        </w:rPr>
        <w:t>平台</w:t>
      </w:r>
      <w:r w:rsidRPr="00C3310F">
        <w:rPr>
          <w:rFonts w:hint="eastAsia"/>
        </w:rPr>
        <w:t>及交易業務事業(</w:t>
      </w:r>
      <w:r w:rsidR="00A635DD" w:rsidRPr="00C3310F">
        <w:t xml:space="preserve">Virtual Asset Service Provider, </w:t>
      </w:r>
      <w:r w:rsidR="00A635DD" w:rsidRPr="00C3310F">
        <w:rPr>
          <w:rFonts w:hint="eastAsia"/>
        </w:rPr>
        <w:t>下稱</w:t>
      </w:r>
      <w:r w:rsidRPr="00C3310F">
        <w:rPr>
          <w:rFonts w:hint="eastAsia"/>
        </w:rPr>
        <w:t>VASP)防制洗錢及打擊資恐辦法」，並自110年7月1日施行。</w:t>
      </w:r>
    </w:p>
    <w:p w14:paraId="0FDEEDD2" w14:textId="5B157E98" w:rsidR="00BE1D04" w:rsidRPr="00C3310F" w:rsidRDefault="00BE1D04" w:rsidP="00BE1D04">
      <w:pPr>
        <w:pStyle w:val="5"/>
      </w:pPr>
      <w:r w:rsidRPr="00C3310F">
        <w:rPr>
          <w:rFonts w:hint="eastAsia"/>
        </w:rPr>
        <w:t>依金管會110年9月30日金管銀法字第11002729181號令之規定，VASP應依金管會指定之文件、資料及方式完成洗錢防制法遵聲明，應檢附之文件包括：聲明書、聲明人資料表、登記機關證明文件、章程、董監事名冊及股東名冊、業務章則及業務流程說明、經會計師複核之防制洗錢及打擊資恐內控與稽核制度檢查表及審查意見書等。對於未完成法遵聲明而有從事虛擬資產活動</w:t>
      </w:r>
      <w:r w:rsidR="002B7518" w:rsidRPr="00C3310F">
        <w:rPr>
          <w:rFonts w:hint="eastAsia"/>
        </w:rPr>
        <w:t>之</w:t>
      </w:r>
      <w:r w:rsidRPr="00C3310F">
        <w:rPr>
          <w:rFonts w:hint="eastAsia"/>
        </w:rPr>
        <w:t>業者，金管會將依洗錢防制法要求該等業者限期改善，若屆期未改善者，得處50萬元至1</w:t>
      </w:r>
      <w:r w:rsidRPr="00C3310F">
        <w:t>,</w:t>
      </w:r>
      <w:r w:rsidRPr="00C3310F">
        <w:rPr>
          <w:rFonts w:hint="eastAsia"/>
        </w:rPr>
        <w:t>000萬元罰鍰。</w:t>
      </w:r>
    </w:p>
    <w:p w14:paraId="76563A0C" w14:textId="6C6ED414" w:rsidR="00BE1D04" w:rsidRPr="00C3310F" w:rsidRDefault="00BE1D04" w:rsidP="00BE1D04">
      <w:pPr>
        <w:pStyle w:val="5"/>
      </w:pPr>
      <w:r w:rsidRPr="00C3310F">
        <w:rPr>
          <w:rFonts w:hint="eastAsia"/>
        </w:rPr>
        <w:t>金管會係以循序漸進方式推動業者管理，以強化客戶權益保護，並已於112年9月26日發布「管理虛擬資產</w:t>
      </w:r>
      <w:r w:rsidR="0004575A" w:rsidRPr="00C3310F">
        <w:rPr>
          <w:rFonts w:hint="eastAsia"/>
        </w:rPr>
        <w:t>平臺</w:t>
      </w:r>
      <w:r w:rsidRPr="00C3310F">
        <w:rPr>
          <w:rFonts w:hint="eastAsia"/>
        </w:rPr>
        <w:t>及交易業務事業(VASP)指導原</w:t>
      </w:r>
      <w:r w:rsidRPr="00C3310F">
        <w:rPr>
          <w:rFonts w:hint="eastAsia"/>
        </w:rPr>
        <w:lastRenderedPageBreak/>
        <w:t>則」，從交易資訊透明、客戶資產保管方式、平臺業者內控管理、外部專家輔助等方面加強平臺對客戶保護。後續將洽請虛擬資產</w:t>
      </w:r>
      <w:r w:rsidR="0004575A" w:rsidRPr="00C3310F">
        <w:rPr>
          <w:rFonts w:hint="eastAsia"/>
        </w:rPr>
        <w:t>平臺</w:t>
      </w:r>
      <w:r w:rsidRPr="00C3310F">
        <w:rPr>
          <w:rFonts w:hint="eastAsia"/>
        </w:rPr>
        <w:t>業者推動業界自律，由相關公會依據指導原則訂定自律規範，以引導業者強化內部控制，提升客戶權益保障。</w:t>
      </w:r>
    </w:p>
    <w:p w14:paraId="64FDD75E" w14:textId="268F6145" w:rsidR="00BE1D04" w:rsidRPr="00C3310F" w:rsidRDefault="00BE1D04" w:rsidP="00BE1D04">
      <w:pPr>
        <w:pStyle w:val="5"/>
      </w:pPr>
      <w:r w:rsidRPr="00C3310F">
        <w:rPr>
          <w:rFonts w:hint="eastAsia"/>
        </w:rPr>
        <w:t>經查截至112年10月31日為止，已有25家虛擬通貨平臺及交易業務事業，完成洗錢防制法令遵循聲明。尚未完成洗錢防制法令遵循聲明而以虛擬通貨活動</w:t>
      </w:r>
      <w:r w:rsidR="002B7518" w:rsidRPr="00C3310F">
        <w:rPr>
          <w:rFonts w:hint="eastAsia"/>
        </w:rPr>
        <w:t>之</w:t>
      </w:r>
      <w:r w:rsidRPr="00C3310F">
        <w:rPr>
          <w:rFonts w:hint="eastAsia"/>
        </w:rPr>
        <w:t>業者，自屬違法。金管會將持續與執法機關密切配合，共同精進防制詐騙措施，保護民眾財產</w:t>
      </w:r>
      <w:r w:rsidR="00752EB4" w:rsidRPr="00C3310F">
        <w:rPr>
          <w:rFonts w:hint="eastAsia"/>
        </w:rPr>
        <w:t>。</w:t>
      </w:r>
    </w:p>
    <w:p w14:paraId="793C1879" w14:textId="77777777" w:rsidR="00BE1D04" w:rsidRPr="00C3310F" w:rsidRDefault="00BE1D04" w:rsidP="00BE1D04">
      <w:pPr>
        <w:pStyle w:val="4"/>
        <w:ind w:leftChars="250" w:left="1360"/>
      </w:pPr>
      <w:r w:rsidRPr="00C3310F">
        <w:rPr>
          <w:rFonts w:hint="eastAsia"/>
        </w:rPr>
        <w:t>強化第三方支付管理：</w:t>
      </w:r>
    </w:p>
    <w:p w14:paraId="1183C64E" w14:textId="77777777" w:rsidR="00BE1D04" w:rsidRPr="00C3310F" w:rsidRDefault="00BE1D04" w:rsidP="00BE1D04">
      <w:pPr>
        <w:pStyle w:val="5"/>
      </w:pPr>
      <w:r w:rsidRPr="00C3310F">
        <w:rPr>
          <w:rFonts w:hint="eastAsia"/>
        </w:rPr>
        <w:t>法遵面：已訂定「第三方支付服務業防制洗錢指引手冊」及其範本，協助業者進行法遵作業以及落實</w:t>
      </w:r>
      <w:r w:rsidRPr="00C3310F">
        <w:t>KYC</w:t>
      </w:r>
      <w:r w:rsidRPr="00C3310F">
        <w:rPr>
          <w:rFonts w:hint="eastAsia"/>
        </w:rPr>
        <w:t>，指引內要求業者應有審查客戶網站是否為詐騙或賭博網站等義務。並同時於</w:t>
      </w:r>
      <w:r w:rsidRPr="00C3310F">
        <w:t>8</w:t>
      </w:r>
      <w:r w:rsidRPr="00C3310F">
        <w:rPr>
          <w:rFonts w:hint="eastAsia"/>
        </w:rPr>
        <w:t>月底規避查核者，將依洗錢防制法相關規定進行裁罰。</w:t>
      </w:r>
    </w:p>
    <w:p w14:paraId="075B6AFE" w14:textId="6C65DCFC" w:rsidR="00BE1D04" w:rsidRPr="00C3310F" w:rsidRDefault="00BE1D04" w:rsidP="00BE1D04">
      <w:pPr>
        <w:pStyle w:val="5"/>
      </w:pPr>
      <w:r w:rsidRPr="00C3310F">
        <w:rPr>
          <w:rFonts w:hint="eastAsia"/>
        </w:rPr>
        <w:t>業務經營面:已訂定「第三方支付服務業能量登錄制度」，將要求申請業者提出洗錢防制及法遵聲明書始能登錄，並審查其人力配置與素質、實績、執行管理能力、財務狀況等項目；未完成登錄者將請金管會要求銀行基於其未完成法遵以及確認客戶身分</w:t>
      </w:r>
      <w:r w:rsidRPr="00C3310F">
        <w:t>(KYC)</w:t>
      </w:r>
      <w:r w:rsidRPr="00C3310F">
        <w:rPr>
          <w:rFonts w:hint="eastAsia"/>
        </w:rPr>
        <w:t>等重要考量，不提供虛擬帳戶服務，僅提供低風險之信託或履約保證金專戶等業務服務。另</w:t>
      </w:r>
      <w:r w:rsidR="00D82B1C" w:rsidRPr="00C3310F">
        <w:rPr>
          <w:rFonts w:hint="eastAsia"/>
        </w:rPr>
        <w:t>數發部</w:t>
      </w:r>
      <w:r w:rsidRPr="00C3310F">
        <w:rPr>
          <w:rFonts w:hint="eastAsia"/>
        </w:rPr>
        <w:t>綜合財政部、</w:t>
      </w:r>
      <w:r w:rsidR="0000444B" w:rsidRPr="00C3310F">
        <w:rPr>
          <w:rFonts w:hint="eastAsia"/>
        </w:rPr>
        <w:t>臺灣集中保管結算所股份有限公司(Ta</w:t>
      </w:r>
      <w:r w:rsidR="0000444B" w:rsidRPr="00C3310F">
        <w:t>iwan Depository &amp; Cleaning Corporation, TPCC,</w:t>
      </w:r>
      <w:r w:rsidR="0000444B" w:rsidRPr="00C3310F">
        <w:rPr>
          <w:rFonts w:hint="eastAsia"/>
        </w:rPr>
        <w:t>下稱</w:t>
      </w:r>
      <w:r w:rsidRPr="00C3310F">
        <w:rPr>
          <w:rFonts w:hint="eastAsia"/>
        </w:rPr>
        <w:t>集保中心</w:t>
      </w:r>
      <w:r w:rsidR="0000444B" w:rsidRPr="00C3310F">
        <w:rPr>
          <w:rFonts w:hint="eastAsia"/>
        </w:rPr>
        <w:t>)</w:t>
      </w:r>
      <w:r w:rsidRPr="00C3310F">
        <w:rPr>
          <w:rFonts w:hint="eastAsia"/>
        </w:rPr>
        <w:t>、銀行公會及與第三方支付服務業有業務聯繫關係之相關機關及公協會資料，</w:t>
      </w:r>
      <w:r w:rsidRPr="00C3310F">
        <w:rPr>
          <w:rFonts w:hint="eastAsia"/>
        </w:rPr>
        <w:lastRenderedPageBreak/>
        <w:t>國內目前實際經營第三方支付服務業之公司行號家數尚不足</w:t>
      </w:r>
      <w:r w:rsidRPr="00C3310F">
        <w:t>100</w:t>
      </w:r>
      <w:r w:rsidRPr="00C3310F">
        <w:rPr>
          <w:rFonts w:hint="eastAsia"/>
        </w:rPr>
        <w:t>家，</w:t>
      </w:r>
      <w:r w:rsidR="00D82B1C" w:rsidRPr="00C3310F">
        <w:rPr>
          <w:rFonts w:hint="eastAsia"/>
        </w:rPr>
        <w:t>數發部</w:t>
      </w:r>
      <w:r w:rsidRPr="00C3310F">
        <w:rPr>
          <w:rFonts w:hint="eastAsia"/>
        </w:rPr>
        <w:t>數產署目前已受理</w:t>
      </w:r>
      <w:r w:rsidRPr="00C3310F">
        <w:t>46</w:t>
      </w:r>
      <w:r w:rsidRPr="00C3310F">
        <w:rPr>
          <w:rFonts w:hint="eastAsia"/>
        </w:rPr>
        <w:t>家業者申請能量登錄制度，包括國內主要第三方支付業者，將陸續召開審查會議，並於官網公告通過業者名單。</w:t>
      </w:r>
    </w:p>
    <w:p w14:paraId="59243EC8" w14:textId="77777777" w:rsidR="00BE1D04" w:rsidRPr="00C3310F" w:rsidRDefault="00BE1D04" w:rsidP="00BE1D04">
      <w:pPr>
        <w:pStyle w:val="5"/>
      </w:pPr>
      <w:r w:rsidRPr="00C3310F">
        <w:rPr>
          <w:rFonts w:hint="eastAsia"/>
        </w:rPr>
        <w:t>行政協助面：透過能量登錄制度掌握實質經營第三方支付服務業者名單，並提供通過登錄業者介接內政部戶役政系統及集保公司實質受益人資料庫，未來亦協助開發掃描外部網站的系統工具，協助業者完成法遵規定，另透過合法第三方支付業者的公示制度，減少詐騙案件之發生。</w:t>
      </w:r>
    </w:p>
    <w:p w14:paraId="5E895473" w14:textId="77777777" w:rsidR="00BE1D04" w:rsidRPr="00C3310F" w:rsidRDefault="00BE1D04" w:rsidP="00BE1D04">
      <w:pPr>
        <w:pStyle w:val="5"/>
      </w:pPr>
      <w:r w:rsidRPr="00C3310F">
        <w:rPr>
          <w:rFonts w:hint="eastAsia"/>
        </w:rPr>
        <w:t>金融面對虛擬帳號管控措施：</w:t>
      </w:r>
    </w:p>
    <w:p w14:paraId="557998CB" w14:textId="77777777" w:rsidR="00BE1D04" w:rsidRPr="00C3310F" w:rsidRDefault="00BE1D04" w:rsidP="00BE1D04">
      <w:pPr>
        <w:pStyle w:val="6"/>
      </w:pPr>
      <w:bookmarkStart w:id="584" w:name="_Toc171525511"/>
      <w:bookmarkStart w:id="585" w:name="_Toc172023993"/>
      <w:bookmarkStart w:id="586" w:name="_Toc172033312"/>
      <w:r w:rsidRPr="00C3310F">
        <w:rPr>
          <w:rFonts w:hint="eastAsia"/>
        </w:rPr>
        <w:t>已持續督導銀行落實第三方支付業者申請虛擬帳號服務之事前開戶審核作業與加強事後監控管理，110年對於高風險客戶採取強化虛擬帳號控管措施，112年上半年再請銀行公會研訂銀行提供虛擬帳號服務之強化客戶身分審查措施，並已函請各銀行配合辦理。</w:t>
      </w:r>
      <w:bookmarkEnd w:id="584"/>
      <w:bookmarkEnd w:id="585"/>
      <w:bookmarkEnd w:id="586"/>
    </w:p>
    <w:p w14:paraId="34E7757E" w14:textId="747A1DF7" w:rsidR="00BE1D04" w:rsidRPr="00C3310F" w:rsidRDefault="00BE1D04" w:rsidP="00BE1D04">
      <w:pPr>
        <w:pStyle w:val="6"/>
      </w:pPr>
      <w:bookmarkStart w:id="587" w:name="_Toc171525512"/>
      <w:bookmarkStart w:id="588" w:name="_Toc172023994"/>
      <w:bookmarkStart w:id="589" w:name="_Toc172033313"/>
      <w:r w:rsidRPr="00C3310F">
        <w:rPr>
          <w:rFonts w:hint="eastAsia"/>
        </w:rPr>
        <w:t>配合</w:t>
      </w:r>
      <w:r w:rsidR="00D82B1C" w:rsidRPr="00C3310F">
        <w:rPr>
          <w:rFonts w:hint="eastAsia"/>
        </w:rPr>
        <w:t>數發部</w:t>
      </w:r>
      <w:r w:rsidRPr="00C3310F">
        <w:rPr>
          <w:rFonts w:hint="eastAsia"/>
        </w:rPr>
        <w:t>能量登錄制度：金管會已於112年11月2日函請銀行公會轉知會員機構配合</w:t>
      </w:r>
      <w:r w:rsidR="00D82B1C" w:rsidRPr="00C3310F">
        <w:rPr>
          <w:rFonts w:hint="eastAsia"/>
        </w:rPr>
        <w:t>數發部</w:t>
      </w:r>
      <w:r w:rsidRPr="00C3310F">
        <w:rPr>
          <w:rFonts w:hint="eastAsia"/>
        </w:rPr>
        <w:t>於112年10月25日函知所定第三方支付業者能量登錄機制，督導金融機構強化提供虛擬帳號服務之控管。金融機構將配合上開登錄機制，就第三方支付業者未完成能量登錄，金融機構在受理其開戶時（即新戶），則不受理。若為銀行既有客戶（即舊戶），在該部訂定之緩衝期內（112年12月31日前）未申請能量登錄者，則不提供虛擬帳戶服務。</w:t>
      </w:r>
      <w:bookmarkEnd w:id="587"/>
      <w:bookmarkEnd w:id="588"/>
      <w:bookmarkEnd w:id="589"/>
    </w:p>
    <w:p w14:paraId="2E934322" w14:textId="77777777" w:rsidR="00BE1D04" w:rsidRPr="00C3310F" w:rsidRDefault="00BE1D04" w:rsidP="00BE1D04">
      <w:pPr>
        <w:pStyle w:val="5"/>
      </w:pPr>
      <w:r w:rsidRPr="00C3310F">
        <w:rPr>
          <w:rFonts w:hint="eastAsia"/>
        </w:rPr>
        <w:t>建立第三方支付異常交易態樣：111年金管會已</w:t>
      </w:r>
      <w:r w:rsidRPr="00C3310F">
        <w:rPr>
          <w:rFonts w:hint="eastAsia"/>
        </w:rPr>
        <w:lastRenderedPageBreak/>
        <w:t>請銀行公會建立第三方支付業者及其賣家異常交易態樣，並提供予金融機構納入「存款帳戶及其疑似不法或顯屬異常交易管理辦法」第16條所定之預警指標及內部作業規範加強控管。</w:t>
      </w:r>
    </w:p>
    <w:p w14:paraId="62833974" w14:textId="77777777" w:rsidR="00BE1D04" w:rsidRPr="00C3310F" w:rsidRDefault="00BE1D04" w:rsidP="00BE1D04">
      <w:pPr>
        <w:pStyle w:val="4"/>
        <w:ind w:leftChars="250" w:left="1360"/>
      </w:pPr>
      <w:r w:rsidRPr="00C3310F">
        <w:rPr>
          <w:rFonts w:hint="eastAsia"/>
        </w:rPr>
        <w:t>物流隱碼措施:</w:t>
      </w:r>
    </w:p>
    <w:p w14:paraId="5F4009A1" w14:textId="643202DC" w:rsidR="00BE1D04" w:rsidRPr="00C3310F" w:rsidRDefault="00BE1D04" w:rsidP="00BE1D04">
      <w:pPr>
        <w:pStyle w:val="5"/>
      </w:pPr>
      <w:r w:rsidRPr="00C3310F">
        <w:rPr>
          <w:rFonts w:hint="eastAsia"/>
        </w:rPr>
        <w:t>「加強電商業者資安維護」建構數位信任，推動電商資安健檢，並推動主要電商導入國際</w:t>
      </w:r>
      <w:r w:rsidRPr="00C3310F">
        <w:t>FIDO</w:t>
      </w:r>
      <w:r w:rsidR="0000444B" w:rsidRPr="00C3310F">
        <w:rPr>
          <w:rFonts w:hint="eastAsia"/>
        </w:rPr>
        <w:t>(身分識別，F</w:t>
      </w:r>
      <w:r w:rsidR="0000444B" w:rsidRPr="00C3310F">
        <w:t>ast IDendity Online, FIDO)</w:t>
      </w:r>
      <w:r w:rsidRPr="00C3310F">
        <w:rPr>
          <w:rFonts w:hint="eastAsia"/>
        </w:rPr>
        <w:t>標準與應用，導入隱碼技術，提升民眾對電商資安信心，安心購物，從源頭降低詐騙風險。</w:t>
      </w:r>
    </w:p>
    <w:p w14:paraId="36BE544F" w14:textId="0BDC8A04" w:rsidR="00BE1D04" w:rsidRPr="00C3310F" w:rsidRDefault="00BE1D04" w:rsidP="00BE1D04">
      <w:pPr>
        <w:pStyle w:val="5"/>
      </w:pPr>
      <w:r w:rsidRPr="00C3310F">
        <w:rPr>
          <w:rFonts w:hint="eastAsia"/>
        </w:rPr>
        <w:t>經盤點電商業者與其外部企業合作過程中，傳遞客戶電話資訊物流配送為其中一大宗，物流隱碼技術即是針對該程序所規劃的防堵機制。物流隱碼技術係將原訂單收貨人的聯絡電話號碼轉換為代碼，宅配單上同步進行隱碼處理，經由電商</w:t>
      </w:r>
      <w:r w:rsidR="0004575A" w:rsidRPr="00C3310F">
        <w:rPr>
          <w:rFonts w:hint="eastAsia"/>
        </w:rPr>
        <w:t>平臺</w:t>
      </w:r>
      <w:r w:rsidRPr="00C3310F">
        <w:rPr>
          <w:rFonts w:hint="eastAsia"/>
        </w:rPr>
        <w:t>提供2項資訊</w:t>
      </w:r>
      <w:r w:rsidR="006521F8" w:rsidRPr="00C3310F">
        <w:rPr>
          <w:rFonts w:hint="eastAsia"/>
        </w:rPr>
        <w:t>(</w:t>
      </w:r>
      <w:r w:rsidRPr="00C3310F">
        <w:rPr>
          <w:rFonts w:hint="eastAsia"/>
        </w:rPr>
        <w:t>訂單編號、客戶電話</w:t>
      </w:r>
      <w:r w:rsidR="006521F8" w:rsidRPr="00C3310F">
        <w:rPr>
          <w:rFonts w:hint="eastAsia"/>
        </w:rPr>
        <w:t>)</w:t>
      </w:r>
      <w:r w:rsidRPr="00C3310F">
        <w:rPr>
          <w:rFonts w:hint="eastAsia"/>
        </w:rPr>
        <w:t>給物流隱碼服務商供轉接，經服務商回傳代表號、撥接代碼，送貨單只需列印系統代表號、撥接代碼，即可與訂單收貨人聯繫，確保物流運送過程民眾電話個資安全，解決過去宅配單上會顯示客戶電話，容易不慎落入詐騙集團問題，進而擴及後續如釣魚、各種詐騙攻擊等發生。</w:t>
      </w:r>
    </w:p>
    <w:p w14:paraId="3EB526FA" w14:textId="77777777" w:rsidR="00BE1D04" w:rsidRPr="00C3310F" w:rsidRDefault="00BE1D04" w:rsidP="00BE1D04">
      <w:pPr>
        <w:pStyle w:val="5"/>
      </w:pPr>
      <w:r w:rsidRPr="00C3310F">
        <w:rPr>
          <w:rFonts w:hint="eastAsia"/>
        </w:rPr>
        <w:t>數產署於112年7月13日舉辦「推動物流隱碼服務研商會議」，三大電信業者一致同意配合推動隱碼共通介接標準，以「分享隱碼技術，推動共通標準」為辦理主軸。另數產署並於112年8月9日邀集三大電信及14家電商業者召開物流隱碼服務之推動辦理說明會，分享隱碼技術及執行方法。至112年10月底已有3家（MOMO、博客來、遠時[friDay購物]）業者導入，3家業者（東森、</w:t>
      </w:r>
      <w:r w:rsidRPr="00C3310F">
        <w:rPr>
          <w:rFonts w:hint="eastAsia"/>
        </w:rPr>
        <w:lastRenderedPageBreak/>
        <w:t>PChome、酷澎）進行場域驗證，另有2家業者（Yahoo、蝦皮）積極洽談評估中。</w:t>
      </w:r>
    </w:p>
    <w:p w14:paraId="46A51B36" w14:textId="0805BB72" w:rsidR="00BE1D04" w:rsidRPr="00C3310F" w:rsidRDefault="00BE1D04" w:rsidP="00BE1D04">
      <w:pPr>
        <w:pStyle w:val="5"/>
      </w:pPr>
      <w:r w:rsidRPr="00C3310F">
        <w:rPr>
          <w:rFonts w:hint="eastAsia"/>
        </w:rPr>
        <w:t>推動零信任架構即是基於「永不信任，持續驗證」理念，重複、多方驗證身分資訊，利用不同的驗證工具（例如：TW FIDO、電子簽章）來查驗經手的交易或文件，提高身</w:t>
      </w:r>
      <w:r w:rsidR="000F4F23" w:rsidRPr="00C3310F">
        <w:rPr>
          <w:rFonts w:hint="eastAsia"/>
        </w:rPr>
        <w:t>分</w:t>
      </w:r>
      <w:r w:rsidRPr="00C3310F">
        <w:rPr>
          <w:rFonts w:hint="eastAsia"/>
        </w:rPr>
        <w:t>驗證的安全性和效率，讓假帳號或電子郵件無法通過身分驗證，避免網路身</w:t>
      </w:r>
      <w:r w:rsidR="000F4F23" w:rsidRPr="00C3310F">
        <w:rPr>
          <w:rFonts w:hint="eastAsia"/>
        </w:rPr>
        <w:t>分</w:t>
      </w:r>
      <w:r w:rsidRPr="00C3310F">
        <w:rPr>
          <w:rFonts w:hint="eastAsia"/>
        </w:rPr>
        <w:t>遭冒用，確保個人資訊不會被未經授權的單位或個人濫用，從訊息源頭杜絕詐騙。</w:t>
      </w:r>
    </w:p>
    <w:p w14:paraId="4711D104" w14:textId="77777777" w:rsidR="00BE1D04" w:rsidRPr="00C3310F" w:rsidRDefault="00BE1D04" w:rsidP="00BE1D04">
      <w:pPr>
        <w:pStyle w:val="4"/>
      </w:pPr>
      <w:r w:rsidRPr="00C3310F">
        <w:rPr>
          <w:rFonts w:hint="eastAsia"/>
        </w:rPr>
        <w:t>建置「111政府專屬短碼簡訊平臺」：</w:t>
      </w:r>
    </w:p>
    <w:p w14:paraId="118C5D99" w14:textId="26A7638B" w:rsidR="00BE1D04" w:rsidRPr="00C3310F" w:rsidRDefault="00BE1D04" w:rsidP="00B7220F">
      <w:pPr>
        <w:pStyle w:val="4"/>
        <w:numPr>
          <w:ilvl w:val="0"/>
          <w:numId w:val="0"/>
        </w:numPr>
        <w:ind w:left="1843" w:firstLineChars="208" w:firstLine="708"/>
      </w:pPr>
      <w:r w:rsidRPr="00C3310F">
        <w:rPr>
          <w:rFonts w:hint="eastAsia"/>
        </w:rPr>
        <w:t>鑒於有心人士偽冒政府機關發送手機簡訊，誘使民眾點擊惡意網站連結，導致民眾個人資料或財產被竊之詐騙案件頻傳。</w:t>
      </w:r>
      <w:r w:rsidR="00D82B1C" w:rsidRPr="00C3310F">
        <w:rPr>
          <w:rFonts w:hint="eastAsia"/>
        </w:rPr>
        <w:t>數發部</w:t>
      </w:r>
      <w:r w:rsidRPr="00C3310F">
        <w:rPr>
          <w:rFonts w:hint="eastAsia"/>
        </w:rPr>
        <w:t>建置「111政府專屬短碼簡訊平臺」，提供各級機關發送政府簡訊，讓民眾識別111短碼，即可確認簡訊安全無虞，達到打擊詐欺策略行動綱領「減少接觸、減少誤信、減少損害」3減目標，以全面降低詐騙受害事件。</w:t>
      </w:r>
    </w:p>
    <w:p w14:paraId="50EF7393" w14:textId="77777777" w:rsidR="00951037" w:rsidRPr="00C3310F" w:rsidRDefault="00163D54" w:rsidP="00C63ECA">
      <w:pPr>
        <w:pStyle w:val="2"/>
        <w:spacing w:beforeLines="50" w:before="228"/>
        <w:ind w:left="1020" w:hanging="680"/>
      </w:pPr>
      <w:bookmarkStart w:id="590" w:name="_Toc171525513"/>
      <w:bookmarkStart w:id="591" w:name="_Toc172023995"/>
      <w:bookmarkStart w:id="592" w:name="_Toc172033314"/>
      <w:r w:rsidRPr="00C3310F">
        <w:rPr>
          <w:rFonts w:hint="eastAsia"/>
        </w:rPr>
        <w:t>打詐措施之效益：</w:t>
      </w:r>
      <w:r w:rsidR="00376193" w:rsidRPr="00C3310F">
        <w:rPr>
          <w:rFonts w:hint="eastAsia"/>
        </w:rPr>
        <w:t>在政府從111年7月啟動「打詐綱領1.0版」，乃至於後續「打詐綱領1.5版」及「打詐五法」，調查研究發現在「資訊流」、「金流」及「懲詐國際合作」方面，所產生之直接影響如下：</w:t>
      </w:r>
      <w:bookmarkEnd w:id="590"/>
      <w:bookmarkEnd w:id="591"/>
      <w:bookmarkEnd w:id="592"/>
    </w:p>
    <w:p w14:paraId="0D31A2B3" w14:textId="77777777" w:rsidR="00B1648E" w:rsidRPr="00C3310F" w:rsidRDefault="00B1648E" w:rsidP="00623987">
      <w:pPr>
        <w:pStyle w:val="3"/>
      </w:pPr>
      <w:bookmarkStart w:id="593" w:name="_Toc171525514"/>
      <w:bookmarkStart w:id="594" w:name="_Toc172023996"/>
      <w:bookmarkStart w:id="595" w:name="_Toc172033315"/>
      <w:r w:rsidRPr="00C3310F">
        <w:rPr>
          <w:rFonts w:hint="eastAsia"/>
        </w:rPr>
        <w:t>遏止人頭門號詐騙工具：</w:t>
      </w:r>
      <w:bookmarkEnd w:id="593"/>
      <w:bookmarkEnd w:id="594"/>
      <w:bookmarkEnd w:id="595"/>
    </w:p>
    <w:p w14:paraId="443B6DC4" w14:textId="007ACCE9" w:rsidR="00B1648E" w:rsidRPr="00C3310F" w:rsidRDefault="00B1648E" w:rsidP="00623987">
      <w:pPr>
        <w:pStyle w:val="4"/>
      </w:pPr>
      <w:r w:rsidRPr="00C3310F">
        <w:rPr>
          <w:rFonts w:hint="eastAsia"/>
        </w:rPr>
        <w:t>完成修訂電信服務契約：用戶使用電信服務涉詐時，電信事業得配合有關機關通知，暫停或終止該用戶之電信服務。已督導完成話務契約9家、IASP</w:t>
      </w:r>
      <w:r w:rsidR="0000444B" w:rsidRPr="00C3310F">
        <w:t>(</w:t>
      </w:r>
      <w:r w:rsidR="0000444B" w:rsidRPr="00C3310F">
        <w:rPr>
          <w:rFonts w:hint="eastAsia"/>
        </w:rPr>
        <w:t>網際網路接取服務，In</w:t>
      </w:r>
      <w:r w:rsidR="0000444B" w:rsidRPr="00C3310F">
        <w:t>ternet Access Service Provider, IASP)</w:t>
      </w:r>
      <w:r w:rsidRPr="00C3310F">
        <w:rPr>
          <w:rFonts w:hint="eastAsia"/>
        </w:rPr>
        <w:t>契約4家、電路出租契</w:t>
      </w:r>
      <w:r w:rsidRPr="00C3310F">
        <w:rPr>
          <w:rFonts w:hint="eastAsia"/>
        </w:rPr>
        <w:lastRenderedPageBreak/>
        <w:t>約4家。</w:t>
      </w:r>
    </w:p>
    <w:p w14:paraId="36EECFA5" w14:textId="77777777" w:rsidR="00B1648E" w:rsidRPr="00C3310F" w:rsidRDefault="00B1648E" w:rsidP="00623987">
      <w:pPr>
        <w:pStyle w:val="4"/>
      </w:pPr>
      <w:r w:rsidRPr="00C3310F">
        <w:rPr>
          <w:rFonts w:hint="eastAsia"/>
        </w:rPr>
        <w:t>已訂定業者受理申辦電信服務風險管理指引，強化電信事業落實KYC。</w:t>
      </w:r>
    </w:p>
    <w:p w14:paraId="02A0C5CF" w14:textId="77777777" w:rsidR="00B1648E" w:rsidRPr="00C3310F" w:rsidRDefault="00B1648E" w:rsidP="00623987">
      <w:pPr>
        <w:pStyle w:val="4"/>
      </w:pPr>
      <w:r w:rsidRPr="00C3310F">
        <w:rPr>
          <w:rFonts w:hint="eastAsia"/>
        </w:rPr>
        <w:t>配合刑事局建置境外門號網卡比對分析系統：透過比對分析詐騙案件網路參數協助偵查。</w:t>
      </w:r>
    </w:p>
    <w:p w14:paraId="6CD15A02" w14:textId="77777777" w:rsidR="00B1648E" w:rsidRPr="00C3310F" w:rsidRDefault="00B1648E" w:rsidP="00623987">
      <w:pPr>
        <w:pStyle w:val="4"/>
      </w:pPr>
      <w:r w:rsidRPr="00C3310F">
        <w:rPr>
          <w:rFonts w:hint="eastAsia"/>
        </w:rPr>
        <w:t>行政檢查電信業者落實KYC：落實電信門號申辦之審核機制。</w:t>
      </w:r>
    </w:p>
    <w:p w14:paraId="3676E754" w14:textId="77777777" w:rsidR="00B1648E" w:rsidRPr="00C3310F" w:rsidRDefault="00B1648E" w:rsidP="00623987">
      <w:pPr>
        <w:pStyle w:val="5"/>
      </w:pPr>
      <w:r w:rsidRPr="00C3310F">
        <w:rPr>
          <w:rFonts w:hint="eastAsia"/>
        </w:rPr>
        <w:t>每季行政檢查固網1家，112年已執行6家次。</w:t>
      </w:r>
    </w:p>
    <w:p w14:paraId="0A9561F4" w14:textId="77777777" w:rsidR="00B1648E" w:rsidRPr="00C3310F" w:rsidRDefault="00B1648E" w:rsidP="00623987">
      <w:pPr>
        <w:pStyle w:val="5"/>
      </w:pPr>
      <w:r w:rsidRPr="00C3310F">
        <w:rPr>
          <w:rFonts w:hint="eastAsia"/>
        </w:rPr>
        <w:t>每半年行政檢查所有行網業者，112年已執行9家次。</w:t>
      </w:r>
    </w:p>
    <w:p w14:paraId="1FDB785A" w14:textId="4A5678E2" w:rsidR="00B1648E" w:rsidRPr="00C3310F" w:rsidRDefault="00B1648E" w:rsidP="00C63ECA">
      <w:pPr>
        <w:pStyle w:val="5"/>
      </w:pPr>
      <w:r w:rsidRPr="00C3310F">
        <w:rPr>
          <w:rFonts w:hint="eastAsia"/>
        </w:rPr>
        <w:t>業者運用</w:t>
      </w:r>
      <w:r w:rsidR="0000444B" w:rsidRPr="00C3310F">
        <w:rPr>
          <w:rFonts w:hint="eastAsia"/>
        </w:rPr>
        <w:t>人工智慧(Ar</w:t>
      </w:r>
      <w:r w:rsidR="0000444B" w:rsidRPr="00C3310F">
        <w:t>tificial Intelligence,</w:t>
      </w:r>
      <w:r w:rsidR="0000444B" w:rsidRPr="00C3310F">
        <w:rPr>
          <w:rFonts w:hint="eastAsia"/>
        </w:rPr>
        <w:t>下稱</w:t>
      </w:r>
      <w:r w:rsidRPr="00C3310F">
        <w:rPr>
          <w:rFonts w:hint="eastAsia"/>
        </w:rPr>
        <w:t>AI</w:t>
      </w:r>
      <w:r w:rsidR="0000444B" w:rsidRPr="00C3310F">
        <w:t>)</w:t>
      </w:r>
      <w:r w:rsidRPr="00C3310F">
        <w:rPr>
          <w:rFonts w:hint="eastAsia"/>
        </w:rPr>
        <w:t>分析詐騙行為篩選高風險或可疑門號：配合警調分析涉詐異常行為，112年篩選7,127門。</w:t>
      </w:r>
    </w:p>
    <w:p w14:paraId="41A4DCB4" w14:textId="77777777" w:rsidR="00B1648E" w:rsidRPr="00C3310F" w:rsidRDefault="00B1648E" w:rsidP="00623987">
      <w:pPr>
        <w:pStyle w:val="3"/>
      </w:pPr>
      <w:bookmarkStart w:id="596" w:name="_Toc171525515"/>
      <w:bookmarkStart w:id="597" w:name="_Toc172023997"/>
      <w:bookmarkStart w:id="598" w:name="_Toc172033316"/>
      <w:r w:rsidRPr="00C3310F">
        <w:rPr>
          <w:rFonts w:hint="eastAsia"/>
        </w:rPr>
        <w:t>防杜簡訊業者幫助詐騙及建立惡意簡訊攔阻機制：</w:t>
      </w:r>
      <w:bookmarkEnd w:id="596"/>
      <w:bookmarkEnd w:id="597"/>
      <w:bookmarkEnd w:id="598"/>
    </w:p>
    <w:p w14:paraId="6CB3AE38" w14:textId="77777777" w:rsidR="00B1648E" w:rsidRPr="00C3310F" w:rsidRDefault="00B1648E" w:rsidP="00623987">
      <w:pPr>
        <w:pStyle w:val="4"/>
      </w:pPr>
      <w:r w:rsidRPr="00C3310F">
        <w:rPr>
          <w:rFonts w:hint="eastAsia"/>
        </w:rPr>
        <w:t>完成修訂電信服務契約：用戶使用電信服務涉詐時，電信事業得配合有關機關通知，暫停或終止該用戶之電信服務。已督導完成簡訊契約5家。</w:t>
      </w:r>
    </w:p>
    <w:p w14:paraId="442F8976" w14:textId="350D4934" w:rsidR="00B1648E" w:rsidRPr="00C3310F" w:rsidRDefault="00B1648E" w:rsidP="00623987">
      <w:pPr>
        <w:pStyle w:val="4"/>
      </w:pPr>
      <w:r w:rsidRPr="00C3310F">
        <w:rPr>
          <w:rFonts w:hint="eastAsia"/>
        </w:rPr>
        <w:t>電信業者及</w:t>
      </w:r>
      <w:r w:rsidR="0000444B" w:rsidRPr="00C3310F">
        <w:rPr>
          <w:rFonts w:hint="eastAsia"/>
        </w:rPr>
        <w:t>財團法人台灣網路資訊中心(</w:t>
      </w:r>
      <w:r w:rsidR="0000444B" w:rsidRPr="00C3310F">
        <w:t xml:space="preserve">Taiwan </w:t>
      </w:r>
      <w:r w:rsidR="0000444B" w:rsidRPr="00C3310F">
        <w:rPr>
          <w:rFonts w:hint="eastAsia"/>
        </w:rPr>
        <w:t>N</w:t>
      </w:r>
      <w:r w:rsidR="0000444B" w:rsidRPr="00C3310F">
        <w:t>etwork Information Center,</w:t>
      </w:r>
      <w:r w:rsidR="0000444B" w:rsidRPr="00C3310F">
        <w:rPr>
          <w:rFonts w:hint="eastAsia"/>
        </w:rPr>
        <w:t>下稱</w:t>
      </w:r>
      <w:r w:rsidRPr="00C3310F">
        <w:rPr>
          <w:rFonts w:hint="eastAsia"/>
        </w:rPr>
        <w:t>TWNIC</w:t>
      </w:r>
      <w:r w:rsidR="0000444B" w:rsidRPr="00C3310F">
        <w:t>)</w:t>
      </w:r>
      <w:r w:rsidRPr="00C3310F">
        <w:rPr>
          <w:rFonts w:hint="eastAsia"/>
        </w:rPr>
        <w:t>配合司法警察機關通知，攔阻惡意網址：停止解析避免民眾接觸，112年1</w:t>
      </w:r>
      <w:r w:rsidR="004F00B5" w:rsidRPr="00C3310F">
        <w:rPr>
          <w:rFonts w:hint="eastAsia"/>
        </w:rPr>
        <w:t>至</w:t>
      </w:r>
      <w:r w:rsidRPr="00C3310F">
        <w:rPr>
          <w:rFonts w:hint="eastAsia"/>
        </w:rPr>
        <w:t>11月間設定惡意詐騙網址32,329組。</w:t>
      </w:r>
    </w:p>
    <w:p w14:paraId="6EB95C17" w14:textId="168776CF" w:rsidR="00B1648E" w:rsidRPr="00C3310F" w:rsidRDefault="00B1648E" w:rsidP="00623987">
      <w:pPr>
        <w:pStyle w:val="4"/>
      </w:pPr>
      <w:r w:rsidRPr="00C3310F">
        <w:rPr>
          <w:rFonts w:hint="eastAsia"/>
        </w:rPr>
        <w:t>電信業者依通知設定詐騙關鍵字及分析以攔阻詐騙簡訊：透過比對分析詐騙案件網路參數協助偵查，112年1</w:t>
      </w:r>
      <w:r w:rsidR="004F00B5" w:rsidRPr="00C3310F">
        <w:rPr>
          <w:rFonts w:hint="eastAsia"/>
        </w:rPr>
        <w:t>至</w:t>
      </w:r>
      <w:r w:rsidRPr="00C3310F">
        <w:rPr>
          <w:rFonts w:hint="eastAsia"/>
        </w:rPr>
        <w:t>10月間攔阻731萬餘則。</w:t>
      </w:r>
    </w:p>
    <w:p w14:paraId="580ED198" w14:textId="77777777" w:rsidR="00B1648E" w:rsidRPr="00C3310F" w:rsidRDefault="00B1648E" w:rsidP="00623987">
      <w:pPr>
        <w:pStyle w:val="4"/>
      </w:pPr>
      <w:r w:rsidRPr="00C3310F">
        <w:rPr>
          <w:rFonts w:hint="eastAsia"/>
        </w:rPr>
        <w:t>精進詐騙簡訊攔阻機制：</w:t>
      </w:r>
    </w:p>
    <w:p w14:paraId="4B8B9C25" w14:textId="77777777" w:rsidR="00B1648E" w:rsidRPr="00C3310F" w:rsidRDefault="00B1648E" w:rsidP="00623987">
      <w:pPr>
        <w:pStyle w:val="5"/>
      </w:pPr>
      <w:r w:rsidRPr="00C3310F">
        <w:rPr>
          <w:rFonts w:hint="eastAsia"/>
        </w:rPr>
        <w:t>實施單日簡訊超量(30則以上)提醒及超過門檻後限制發訊機制。</w:t>
      </w:r>
    </w:p>
    <w:p w14:paraId="45F20ECF" w14:textId="77777777" w:rsidR="00B1648E" w:rsidRPr="00C3310F" w:rsidRDefault="00B1648E" w:rsidP="00623987">
      <w:pPr>
        <w:pStyle w:val="5"/>
      </w:pPr>
      <w:r w:rsidRPr="00C3310F">
        <w:rPr>
          <w:rFonts w:hint="eastAsia"/>
        </w:rPr>
        <w:t>實施發送大量商業簡訊時，利用測試門號接收</w:t>
      </w:r>
      <w:r w:rsidRPr="00C3310F">
        <w:rPr>
          <w:rFonts w:hint="eastAsia"/>
        </w:rPr>
        <w:lastRenderedPageBreak/>
        <w:t>檢查該簡訊是否為釣魚簡訊(含連結)，將可疑訊息轉送165，並配合警調作為。</w:t>
      </w:r>
    </w:p>
    <w:p w14:paraId="722EED18" w14:textId="43058B88" w:rsidR="00B1648E" w:rsidRPr="00C3310F" w:rsidRDefault="00B1648E" w:rsidP="00623987">
      <w:pPr>
        <w:pStyle w:val="5"/>
      </w:pPr>
      <w:r w:rsidRPr="00C3310F">
        <w:rPr>
          <w:rFonts w:hint="eastAsia"/>
        </w:rPr>
        <w:t>實施針對非綠色通道門號，系統自動篩選大量發送相同內容且內容含URL</w:t>
      </w:r>
      <w:r w:rsidR="004F00B5" w:rsidRPr="00C3310F">
        <w:t>(Uniform Resource Locator)</w:t>
      </w:r>
      <w:r w:rsidRPr="00C3310F">
        <w:rPr>
          <w:rFonts w:hint="eastAsia"/>
        </w:rPr>
        <w:t>連結之簡訊，輔以人工檢核判斷是否有釣魚簡訊之疑慮。</w:t>
      </w:r>
    </w:p>
    <w:p w14:paraId="0D4AA004" w14:textId="77777777" w:rsidR="00B1648E" w:rsidRPr="00C3310F" w:rsidRDefault="00B1648E" w:rsidP="00623987">
      <w:pPr>
        <w:pStyle w:val="5"/>
      </w:pPr>
      <w:r w:rsidRPr="00C3310F">
        <w:rPr>
          <w:rFonts w:hint="eastAsia"/>
        </w:rPr>
        <w:t>已召開「研商遏止大量簡訊詐騙會議」23次，並持續邀集165打詐中心與電信業者，研商詐騙簡訊樣態演變及應對措施。</w:t>
      </w:r>
    </w:p>
    <w:p w14:paraId="02E97B52" w14:textId="3BF37C5C" w:rsidR="005C308E" w:rsidRPr="00C3310F" w:rsidRDefault="00D82B1C" w:rsidP="005C308E">
      <w:pPr>
        <w:pStyle w:val="4"/>
      </w:pPr>
      <w:r w:rsidRPr="00C3310F">
        <w:rPr>
          <w:rFonts w:hint="eastAsia"/>
        </w:rPr>
        <w:t>數發部</w:t>
      </w:r>
      <w:r w:rsidR="005C308E" w:rsidRPr="00C3310F">
        <w:rPr>
          <w:rFonts w:hint="eastAsia"/>
        </w:rPr>
        <w:t>建立「111」政府專用簡訊號碼，以避免</w:t>
      </w:r>
      <w:r w:rsidR="00A1409C" w:rsidRPr="00C3310F">
        <w:rPr>
          <w:rFonts w:hint="eastAsia"/>
        </w:rPr>
        <w:t>詐騙集團</w:t>
      </w:r>
      <w:r w:rsidR="005C308E" w:rsidRPr="00C3310F">
        <w:rPr>
          <w:rFonts w:hint="eastAsia"/>
        </w:rPr>
        <w:t>假冒政府服務遂行詐欺，金管會則主要針對OTP</w:t>
      </w:r>
      <w:r w:rsidR="0000444B" w:rsidRPr="00C3310F">
        <w:rPr>
          <w:rFonts w:hint="eastAsia"/>
        </w:rPr>
        <w:t>(O</w:t>
      </w:r>
      <w:r w:rsidR="0000444B" w:rsidRPr="00C3310F">
        <w:t>ne Time Password)</w:t>
      </w:r>
      <w:r w:rsidR="005C308E" w:rsidRPr="00C3310F">
        <w:rPr>
          <w:rFonts w:hint="eastAsia"/>
        </w:rPr>
        <w:t>簡訊制定範本，由前揭三個部會通力進行。惟目前「111」政府專用簡訊號碼於政府機關之覆蓋率約為67%，茲將三個主要負責機關之辦理情形說明如下：</w:t>
      </w:r>
    </w:p>
    <w:p w14:paraId="522C9F4D" w14:textId="06F6B782" w:rsidR="005C308E" w:rsidRPr="00C3310F" w:rsidRDefault="00D82B1C" w:rsidP="005C308E">
      <w:pPr>
        <w:pStyle w:val="5"/>
      </w:pPr>
      <w:r w:rsidRPr="00C3310F">
        <w:rPr>
          <w:rFonts w:hint="eastAsia"/>
        </w:rPr>
        <w:t>數發部</w:t>
      </w:r>
    </w:p>
    <w:p w14:paraId="14E834C1" w14:textId="77777777" w:rsidR="005C308E" w:rsidRPr="00C3310F" w:rsidRDefault="005C308E" w:rsidP="005C308E">
      <w:pPr>
        <w:pStyle w:val="6"/>
      </w:pPr>
      <w:bookmarkStart w:id="599" w:name="_Toc171525516"/>
      <w:bookmarkStart w:id="600" w:name="_Toc172023998"/>
      <w:bookmarkStart w:id="601" w:name="_Toc172033317"/>
      <w:r w:rsidRPr="00C3310F">
        <w:rPr>
          <w:rFonts w:hint="eastAsia"/>
        </w:rPr>
        <w:t>「111政府專屬短碼簡訊平臺」自112年9月28日上線試營運，截至112年11月22日已有14個機關透過111簡訊平臺發送逾146萬則簡訊。</w:t>
      </w:r>
      <w:bookmarkEnd w:id="599"/>
      <w:bookmarkEnd w:id="600"/>
      <w:bookmarkEnd w:id="601"/>
    </w:p>
    <w:p w14:paraId="2B3C8A2F" w14:textId="61271F73" w:rsidR="005C308E" w:rsidRPr="00C3310F" w:rsidRDefault="005C308E" w:rsidP="005C308E">
      <w:pPr>
        <w:pStyle w:val="6"/>
      </w:pPr>
      <w:bookmarkStart w:id="602" w:name="_Toc171525517"/>
      <w:bookmarkStart w:id="603" w:name="_Toc172023999"/>
      <w:bookmarkStart w:id="604" w:name="_Toc172033318"/>
      <w:r w:rsidRPr="00C3310F">
        <w:rPr>
          <w:rFonts w:hint="eastAsia"/>
        </w:rPr>
        <w:t>截至113年</w:t>
      </w:r>
      <w:r w:rsidRPr="00C3310F">
        <w:t>5</w:t>
      </w:r>
      <w:r w:rsidRPr="00C3310F">
        <w:rPr>
          <w:rFonts w:hint="eastAsia"/>
        </w:rPr>
        <w:t>月已有</w:t>
      </w:r>
      <w:r w:rsidRPr="00C3310F">
        <w:t>34</w:t>
      </w:r>
      <w:r w:rsidRPr="00C3310F">
        <w:rPr>
          <w:rFonts w:hint="eastAsia"/>
        </w:rPr>
        <w:t>個使用</w:t>
      </w:r>
      <w:r w:rsidRPr="00C3310F">
        <w:t>111</w:t>
      </w:r>
      <w:r w:rsidRPr="00C3310F">
        <w:rPr>
          <w:rFonts w:hint="eastAsia"/>
        </w:rPr>
        <w:t>政府簡訊</w:t>
      </w:r>
      <w:r w:rsidR="0004575A" w:rsidRPr="00C3310F">
        <w:rPr>
          <w:rFonts w:hint="eastAsia"/>
        </w:rPr>
        <w:t>平臺</w:t>
      </w:r>
      <w:r w:rsidRPr="00C3310F">
        <w:rPr>
          <w:rFonts w:hint="eastAsia"/>
        </w:rPr>
        <w:t>發送簡訊，達成率為</w:t>
      </w:r>
      <w:r w:rsidRPr="00C3310F">
        <w:t>67%</w:t>
      </w:r>
      <w:r w:rsidRPr="00C3310F">
        <w:rPr>
          <w:rFonts w:hint="eastAsia"/>
        </w:rPr>
        <w:t>；其他未使用之機關，主要原因是該機關與原簡訊發送商契約尚未結束之故，</w:t>
      </w:r>
      <w:r w:rsidR="00D82B1C" w:rsidRPr="00C3310F">
        <w:rPr>
          <w:rFonts w:hint="eastAsia"/>
        </w:rPr>
        <w:t>數發部</w:t>
      </w:r>
      <w:r w:rsidRPr="00C3310F">
        <w:rPr>
          <w:rFonts w:hint="eastAsia"/>
        </w:rPr>
        <w:t>後續將透過共同供應契約採購</w:t>
      </w:r>
      <w:r w:rsidRPr="00C3310F">
        <w:t>111</w:t>
      </w:r>
      <w:r w:rsidRPr="00C3310F">
        <w:rPr>
          <w:rFonts w:hint="eastAsia"/>
        </w:rPr>
        <w:t>簡訊，發送其業務訊息。</w:t>
      </w:r>
      <w:bookmarkEnd w:id="602"/>
      <w:bookmarkEnd w:id="603"/>
      <w:bookmarkEnd w:id="604"/>
    </w:p>
    <w:p w14:paraId="4C8DFE25" w14:textId="34EE7637" w:rsidR="005C308E" w:rsidRPr="00C3310F" w:rsidRDefault="005C308E" w:rsidP="005C308E">
      <w:pPr>
        <w:pStyle w:val="6"/>
      </w:pPr>
      <w:bookmarkStart w:id="605" w:name="_Toc171525518"/>
      <w:bookmarkStart w:id="606" w:name="_Toc172024000"/>
      <w:bookmarkStart w:id="607" w:name="_Toc172033319"/>
      <w:r w:rsidRPr="00C3310F">
        <w:rPr>
          <w:rFonts w:hint="eastAsia"/>
        </w:rPr>
        <w:t>國營事業及公法人部份，</w:t>
      </w:r>
      <w:r w:rsidR="00D82B1C" w:rsidRPr="00C3310F">
        <w:rPr>
          <w:rFonts w:hint="eastAsia"/>
        </w:rPr>
        <w:t>數發部</w:t>
      </w:r>
      <w:r w:rsidRPr="00C3310F">
        <w:rPr>
          <w:rFonts w:hint="eastAsia"/>
        </w:rPr>
        <w:t>已優先與台灣自來水股份有限公司、台灣電力股份有限公司及台北自來水事業處導入</w:t>
      </w:r>
      <w:r w:rsidRPr="00C3310F">
        <w:t>111</w:t>
      </w:r>
      <w:r w:rsidRPr="00C3310F">
        <w:rPr>
          <w:rFonts w:hint="eastAsia"/>
        </w:rPr>
        <w:t>發送簡訊，每月送簡訊量達</w:t>
      </w:r>
      <w:r w:rsidRPr="00C3310F">
        <w:t>60</w:t>
      </w:r>
      <w:r w:rsidRPr="00C3310F">
        <w:rPr>
          <w:rFonts w:hint="eastAsia"/>
        </w:rPr>
        <w:t>萬則以上。</w:t>
      </w:r>
      <w:bookmarkEnd w:id="605"/>
      <w:bookmarkEnd w:id="606"/>
      <w:bookmarkEnd w:id="607"/>
    </w:p>
    <w:p w14:paraId="7E5BBFCF" w14:textId="77777777" w:rsidR="005C308E" w:rsidRPr="00C3310F" w:rsidRDefault="005C308E" w:rsidP="005C308E">
      <w:pPr>
        <w:pStyle w:val="6"/>
      </w:pPr>
      <w:bookmarkStart w:id="608" w:name="_Toc171525519"/>
      <w:bookmarkStart w:id="609" w:name="_Toc172024001"/>
      <w:bookmarkStart w:id="610" w:name="_Toc172033320"/>
      <w:r w:rsidRPr="00C3310F">
        <w:rPr>
          <w:rFonts w:hint="eastAsia"/>
        </w:rPr>
        <w:t>後續將與教育部、經濟部及財政部等目的事業主管機關合作，鼓勵國立學校與國營事業</w:t>
      </w:r>
      <w:r w:rsidRPr="00C3310F">
        <w:rPr>
          <w:rFonts w:hint="eastAsia"/>
        </w:rPr>
        <w:lastRenderedPageBreak/>
        <w:t>機構使用</w:t>
      </w:r>
      <w:r w:rsidRPr="00C3310F">
        <w:t>111</w:t>
      </w:r>
      <w:r w:rsidRPr="00C3310F">
        <w:rPr>
          <w:rFonts w:hint="eastAsia"/>
        </w:rPr>
        <w:t>簡訊。</w:t>
      </w:r>
      <w:bookmarkEnd w:id="608"/>
      <w:bookmarkEnd w:id="609"/>
      <w:bookmarkEnd w:id="610"/>
    </w:p>
    <w:p w14:paraId="20DA5765" w14:textId="77777777" w:rsidR="005C308E" w:rsidRPr="00C3310F" w:rsidRDefault="005C308E" w:rsidP="005C308E">
      <w:pPr>
        <w:pStyle w:val="5"/>
      </w:pPr>
      <w:r w:rsidRPr="00C3310F">
        <w:rPr>
          <w:rFonts w:hint="eastAsia"/>
        </w:rPr>
        <w:t>通傳會</w:t>
      </w:r>
    </w:p>
    <w:p w14:paraId="73578672" w14:textId="77777777" w:rsidR="005C308E" w:rsidRPr="00C3310F" w:rsidRDefault="005C308E" w:rsidP="005C308E">
      <w:pPr>
        <w:pStyle w:val="6"/>
      </w:pPr>
      <w:bookmarkStart w:id="611" w:name="_Toc171525520"/>
      <w:bookmarkStart w:id="612" w:name="_Toc172024002"/>
      <w:bookmarkStart w:id="613" w:name="_Toc172033321"/>
      <w:r w:rsidRPr="00C3310F">
        <w:rPr>
          <w:rFonts w:hint="eastAsia"/>
        </w:rPr>
        <w:t>通傳會督導業者建立惡意簡訊攔阻機制，包含關鍵字攔阻、大量發送檢核機制等措施，同時請業者加強查核簡訊來源。</w:t>
      </w:r>
      <w:bookmarkEnd w:id="611"/>
      <w:bookmarkEnd w:id="612"/>
      <w:bookmarkEnd w:id="613"/>
    </w:p>
    <w:p w14:paraId="7FCDAB90" w14:textId="4E6764D8" w:rsidR="005C308E" w:rsidRPr="00C3310F" w:rsidRDefault="005C308E" w:rsidP="005C308E">
      <w:pPr>
        <w:pStyle w:val="6"/>
      </w:pPr>
      <w:bookmarkStart w:id="614" w:name="_Toc171525521"/>
      <w:bookmarkStart w:id="615" w:name="_Toc172024003"/>
      <w:bookmarkStart w:id="616" w:name="_Toc172033322"/>
      <w:r w:rsidRPr="00C3310F">
        <w:rPr>
          <w:rFonts w:hint="eastAsia"/>
        </w:rPr>
        <w:t>針對境內個人SMS</w:t>
      </w:r>
      <w:r w:rsidR="007A5B8D" w:rsidRPr="00C3310F">
        <w:t>(Short Message Service,</w:t>
      </w:r>
      <w:r w:rsidR="007A5B8D" w:rsidRPr="00C3310F">
        <w:rPr>
          <w:rFonts w:hint="eastAsia"/>
        </w:rPr>
        <w:t>下稱SMS</w:t>
      </w:r>
      <w:r w:rsidR="007A5B8D" w:rsidRPr="00C3310F">
        <w:t>)</w:t>
      </w:r>
      <w:r w:rsidRPr="00C3310F">
        <w:rPr>
          <w:rFonts w:hint="eastAsia"/>
        </w:rPr>
        <w:t>詐騙案件，通傳會督導行動電信業者建立風險控管機制，如發送簡訊超過上限則暫時關閉發送簡訊功能等。</w:t>
      </w:r>
      <w:bookmarkEnd w:id="614"/>
      <w:bookmarkEnd w:id="615"/>
      <w:bookmarkEnd w:id="616"/>
    </w:p>
    <w:p w14:paraId="103B9FBD" w14:textId="77777777" w:rsidR="005C308E" w:rsidRPr="00C3310F" w:rsidRDefault="005C308E" w:rsidP="005C308E">
      <w:pPr>
        <w:pStyle w:val="6"/>
      </w:pPr>
      <w:bookmarkStart w:id="617" w:name="_Toc171525522"/>
      <w:bookmarkStart w:id="618" w:name="_Toc172024004"/>
      <w:bookmarkStart w:id="619" w:name="_Toc172033323"/>
      <w:r w:rsidRPr="00C3310F">
        <w:rPr>
          <w:rFonts w:hint="eastAsia"/>
        </w:rPr>
        <w:t>針對境外SMS詐騙案件，通傳會督導行動電信業者建立惡意簡訊攔阻機制，包含關鍵字攔阻、防火牆大量簡訊偵測、攔阻偽冒「+886」開頭簡訊等。</w:t>
      </w:r>
      <w:bookmarkEnd w:id="617"/>
      <w:bookmarkEnd w:id="618"/>
      <w:bookmarkEnd w:id="619"/>
    </w:p>
    <w:p w14:paraId="5A6BC2D7" w14:textId="77777777" w:rsidR="005C308E" w:rsidRPr="00C3310F" w:rsidRDefault="005C308E" w:rsidP="005C308E">
      <w:pPr>
        <w:pStyle w:val="6"/>
      </w:pPr>
      <w:bookmarkStart w:id="620" w:name="_Toc171525523"/>
      <w:bookmarkStart w:id="621" w:name="_Toc172024005"/>
      <w:bookmarkStart w:id="622" w:name="_Toc172033324"/>
      <w:r w:rsidRPr="00C3310F">
        <w:rPr>
          <w:rFonts w:hint="eastAsia"/>
        </w:rPr>
        <w:t>成效：112年攔阻801萬則簡訊、113年截至4月已攔阻30</w:t>
      </w:r>
      <w:r w:rsidRPr="00C3310F">
        <w:t>2</w:t>
      </w:r>
      <w:r w:rsidRPr="00C3310F">
        <w:rPr>
          <w:rFonts w:hint="eastAsia"/>
        </w:rPr>
        <w:t>萬則簡訊。</w:t>
      </w:r>
      <w:bookmarkEnd w:id="620"/>
      <w:bookmarkEnd w:id="621"/>
      <w:bookmarkEnd w:id="622"/>
    </w:p>
    <w:p w14:paraId="731EA03F" w14:textId="77777777" w:rsidR="005C308E" w:rsidRPr="00C3310F" w:rsidRDefault="005C308E" w:rsidP="005C308E">
      <w:pPr>
        <w:pStyle w:val="6"/>
      </w:pPr>
      <w:bookmarkStart w:id="623" w:name="_Toc171525524"/>
      <w:bookmarkStart w:id="624" w:name="_Toc172024006"/>
      <w:bookmarkStart w:id="625" w:name="_Toc172033325"/>
      <w:r w:rsidRPr="00C3310F">
        <w:rPr>
          <w:rFonts w:hint="eastAsia"/>
        </w:rPr>
        <w:t>金管會部分，已與金融機構完成研定OTP簡訊範本，簡訊文字應包括「簡訊目的」、「反詐宣導」及「法律責任」等。</w:t>
      </w:r>
      <w:bookmarkEnd w:id="623"/>
      <w:bookmarkEnd w:id="624"/>
      <w:bookmarkEnd w:id="625"/>
    </w:p>
    <w:p w14:paraId="78F69189" w14:textId="77777777" w:rsidR="00B1648E" w:rsidRPr="00C3310F" w:rsidRDefault="00B1648E" w:rsidP="00623987">
      <w:pPr>
        <w:pStyle w:val="4"/>
      </w:pPr>
      <w:r w:rsidRPr="00C3310F">
        <w:rPr>
          <w:rFonts w:hint="eastAsia"/>
        </w:rPr>
        <w:t>協助偽基地台詐騙案件查調：召開「偽基地台偵測技術研討會議」2次。請業者配合實驗偵測偽基地台之技術可行性，並與電信偵查大隊間建立聯繫管道，每日通報疑似偽基地台出沒位置，並於追緝時即時提供資訊。</w:t>
      </w:r>
    </w:p>
    <w:p w14:paraId="263A3054" w14:textId="77777777" w:rsidR="00623987" w:rsidRPr="00C3310F" w:rsidRDefault="00623987" w:rsidP="00623987">
      <w:pPr>
        <w:pStyle w:val="4"/>
      </w:pPr>
      <w:r w:rsidRPr="00C3310F">
        <w:rPr>
          <w:rFonts w:hint="eastAsia"/>
        </w:rPr>
        <w:t>在攔阻防杜境外竄改來話詐騙部分，應屬目前為止在堵詐面向最成功的措施；基於境外門號浮濫無法透過境內KYC來控管，因此防制策略係以攔阻為主，按通傳會提供數據，</w:t>
      </w:r>
      <w:r w:rsidRPr="00C3310F">
        <w:t>1</w:t>
      </w:r>
      <w:r w:rsidRPr="00C3310F">
        <w:rPr>
          <w:rFonts w:hint="eastAsia"/>
        </w:rPr>
        <w:t>12年5月國際來話話務量達到5,080萬通之最高紀錄，然而經通傳會一連串措施，截至113年4月份已下降至899萬通，降幅高達82%</w:t>
      </w:r>
      <w:r w:rsidR="00C63ECA" w:rsidRPr="00C3310F">
        <w:rPr>
          <w:rFonts w:hint="eastAsia"/>
        </w:rPr>
        <w:t>，詳圖8。</w:t>
      </w:r>
    </w:p>
    <w:p w14:paraId="215CCE39" w14:textId="77777777" w:rsidR="00623987" w:rsidRPr="00C3310F" w:rsidRDefault="00623987" w:rsidP="00623987">
      <w:pPr>
        <w:pStyle w:val="3"/>
        <w:numPr>
          <w:ilvl w:val="0"/>
          <w:numId w:val="0"/>
        </w:numPr>
        <w:ind w:left="680"/>
      </w:pPr>
      <w:bookmarkStart w:id="626" w:name="_Toc171525525"/>
      <w:bookmarkStart w:id="627" w:name="_Toc172024007"/>
      <w:bookmarkStart w:id="628" w:name="_Toc172033326"/>
      <w:r w:rsidRPr="00C3310F">
        <w:rPr>
          <w:rFonts w:hint="eastAsia"/>
          <w:noProof/>
        </w:rPr>
        <w:lastRenderedPageBreak/>
        <w:drawing>
          <wp:inline distT="0" distB="0" distL="0" distR="0" wp14:anchorId="6BE90546" wp14:editId="657C30E2">
            <wp:extent cx="4975275" cy="2857500"/>
            <wp:effectExtent l="19050" t="19050" r="15875" b="19050"/>
            <wp:docPr id="4" name="圖片 4" descr="一張含有 文字, 螢幕擷取畫面, 行, 圖表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960480" name="圖片 803960480" descr="一張含有 文字, 螢幕擷取畫面, 行, 圖表 的圖片&#10;&#10;自動產生的描述"/>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023986" cy="2885477"/>
                    </a:xfrm>
                    <a:prstGeom prst="rect">
                      <a:avLst/>
                    </a:prstGeom>
                    <a:ln w="6350">
                      <a:solidFill>
                        <a:schemeClr val="tx1"/>
                      </a:solidFill>
                    </a:ln>
                  </pic:spPr>
                </pic:pic>
              </a:graphicData>
            </a:graphic>
          </wp:inline>
        </w:drawing>
      </w:r>
      <w:bookmarkEnd w:id="626"/>
      <w:bookmarkEnd w:id="627"/>
      <w:bookmarkEnd w:id="628"/>
    </w:p>
    <w:p w14:paraId="00603408" w14:textId="3B39E3FD" w:rsidR="00623987" w:rsidRPr="00C3310F" w:rsidRDefault="00623987" w:rsidP="005C308E">
      <w:pPr>
        <w:pStyle w:val="a1"/>
        <w:spacing w:before="120" w:line="280" w:lineRule="exact"/>
        <w:ind w:left="482" w:hanging="482"/>
        <w:rPr>
          <w:rFonts w:hint="eastAsia"/>
          <w:b/>
        </w:rPr>
      </w:pPr>
      <w:bookmarkStart w:id="629" w:name="_Toc172025258"/>
      <w:r w:rsidRPr="00C3310F">
        <w:rPr>
          <w:rFonts w:hint="eastAsia"/>
          <w:b/>
        </w:rPr>
        <w:t>112年5月至113年4月國際來話話務量變化趨勢</w:t>
      </w:r>
      <w:bookmarkEnd w:id="629"/>
    </w:p>
    <w:p w14:paraId="05B8C9C9" w14:textId="77777777" w:rsidR="00623987" w:rsidRPr="00C3310F" w:rsidRDefault="00623987" w:rsidP="005C308E">
      <w:pPr>
        <w:spacing w:afterLines="50" w:after="228" w:line="280" w:lineRule="exact"/>
        <w:rPr>
          <w:sz w:val="28"/>
          <w:szCs w:val="28"/>
        </w:rPr>
      </w:pPr>
      <w:r w:rsidRPr="00C3310F">
        <w:rPr>
          <w:rFonts w:hint="eastAsia"/>
          <w:sz w:val="28"/>
          <w:szCs w:val="28"/>
        </w:rPr>
        <w:t>資料來源：通傳會</w:t>
      </w:r>
      <w:r w:rsidR="00AA7013" w:rsidRPr="00C3310F">
        <w:rPr>
          <w:rFonts w:hint="eastAsia"/>
          <w:sz w:val="28"/>
          <w:szCs w:val="28"/>
        </w:rPr>
        <w:t>於113年6月3日座談提供書面資料</w:t>
      </w:r>
      <w:r w:rsidRPr="00C3310F">
        <w:rPr>
          <w:rFonts w:hint="eastAsia"/>
          <w:sz w:val="28"/>
          <w:szCs w:val="28"/>
        </w:rPr>
        <w:t>。</w:t>
      </w:r>
    </w:p>
    <w:p w14:paraId="1D21E450" w14:textId="77777777" w:rsidR="00623987" w:rsidRPr="00C3310F" w:rsidRDefault="00623987" w:rsidP="00623987">
      <w:pPr>
        <w:pStyle w:val="4"/>
        <w:spacing w:afterLines="50" w:after="228"/>
      </w:pPr>
      <w:r w:rsidRPr="00C3310F">
        <w:rPr>
          <w:rFonts w:hint="eastAsia"/>
        </w:rPr>
        <w:t>「+886」開頭國際來話話務量由最高112年5月份1,642萬通下降至113年4月份44萬通，其中攔阻+886偽冒來話數量約</w:t>
      </w:r>
      <w:r w:rsidR="00752EB4" w:rsidRPr="00C3310F">
        <w:rPr>
          <w:rFonts w:hint="eastAsia"/>
        </w:rPr>
        <w:t>占</w:t>
      </w:r>
      <w:r w:rsidRPr="00C3310F">
        <w:rPr>
          <w:rFonts w:hint="eastAsia"/>
        </w:rPr>
        <w:t>+886總話務數5成，顯示前述措施已發揮相當成效如下圖</w:t>
      </w:r>
      <w:r w:rsidR="00C63ECA" w:rsidRPr="00C3310F">
        <w:rPr>
          <w:rFonts w:hint="eastAsia"/>
        </w:rPr>
        <w:t>9</w:t>
      </w:r>
      <w:r w:rsidRPr="00C3310F">
        <w:rPr>
          <w:rFonts w:hint="eastAsia"/>
        </w:rPr>
        <w:t>，詐騙集團已大幅減少利用國際來話管道進行詐騙。</w:t>
      </w:r>
    </w:p>
    <w:p w14:paraId="38408D11" w14:textId="77777777" w:rsidR="00623987" w:rsidRPr="00C3310F" w:rsidRDefault="00623987" w:rsidP="00623987">
      <w:pPr>
        <w:pStyle w:val="3"/>
        <w:numPr>
          <w:ilvl w:val="0"/>
          <w:numId w:val="0"/>
        </w:numPr>
        <w:ind w:left="680"/>
      </w:pPr>
      <w:bookmarkStart w:id="630" w:name="_Toc171525526"/>
      <w:bookmarkStart w:id="631" w:name="_Toc172024008"/>
      <w:bookmarkStart w:id="632" w:name="_Toc172033327"/>
      <w:r w:rsidRPr="00C3310F">
        <w:rPr>
          <w:noProof/>
        </w:rPr>
        <w:drawing>
          <wp:inline distT="0" distB="0" distL="0" distR="0" wp14:anchorId="686C4203" wp14:editId="1C2D6D38">
            <wp:extent cx="4836795" cy="2575560"/>
            <wp:effectExtent l="0" t="0" r="1905"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77289" cy="2597123"/>
                    </a:xfrm>
                    <a:prstGeom prst="rect">
                      <a:avLst/>
                    </a:prstGeom>
                    <a:noFill/>
                  </pic:spPr>
                </pic:pic>
              </a:graphicData>
            </a:graphic>
          </wp:inline>
        </w:drawing>
      </w:r>
      <w:bookmarkEnd w:id="630"/>
      <w:bookmarkEnd w:id="631"/>
      <w:bookmarkEnd w:id="632"/>
    </w:p>
    <w:p w14:paraId="1F709B15" w14:textId="36EC29BE" w:rsidR="00623987" w:rsidRPr="00C3310F" w:rsidRDefault="00623987" w:rsidP="00623987">
      <w:pPr>
        <w:pStyle w:val="a1"/>
        <w:spacing w:before="120" w:after="120"/>
        <w:ind w:left="482" w:hanging="482"/>
        <w:rPr>
          <w:rFonts w:hint="eastAsia"/>
          <w:b/>
        </w:rPr>
      </w:pPr>
      <w:bookmarkStart w:id="633" w:name="_Toc172025259"/>
      <w:r w:rsidRPr="00C3310F">
        <w:rPr>
          <w:rFonts w:hint="eastAsia"/>
          <w:b/>
        </w:rPr>
        <w:t>+886開頭國際來話話務量變化趨勢</w:t>
      </w:r>
      <w:bookmarkEnd w:id="633"/>
    </w:p>
    <w:p w14:paraId="3DFA44F4" w14:textId="77777777" w:rsidR="00623987" w:rsidRPr="00C3310F" w:rsidRDefault="00623987" w:rsidP="00623987">
      <w:pPr>
        <w:pStyle w:val="a1"/>
        <w:numPr>
          <w:ilvl w:val="0"/>
          <w:numId w:val="0"/>
        </w:numPr>
        <w:ind w:firstLineChars="152" w:firstLine="426"/>
        <w:jc w:val="left"/>
        <w:rPr>
          <w:rFonts w:hint="eastAsia"/>
        </w:rPr>
      </w:pPr>
      <w:bookmarkStart w:id="634" w:name="_Toc171587748"/>
      <w:bookmarkStart w:id="635" w:name="_Toc172025260"/>
      <w:r w:rsidRPr="00C3310F">
        <w:rPr>
          <w:rFonts w:hint="eastAsia"/>
        </w:rPr>
        <w:t>資料來源：</w:t>
      </w:r>
      <w:r w:rsidR="00AA7013" w:rsidRPr="00C3310F">
        <w:rPr>
          <w:rFonts w:hint="eastAsia"/>
        </w:rPr>
        <w:t>通傳會於113年6月3日座談提供書面資料</w:t>
      </w:r>
      <w:r w:rsidRPr="00C3310F">
        <w:rPr>
          <w:rFonts w:hint="eastAsia"/>
        </w:rPr>
        <w:t>。</w:t>
      </w:r>
      <w:bookmarkEnd w:id="634"/>
      <w:bookmarkEnd w:id="635"/>
    </w:p>
    <w:p w14:paraId="453413B1" w14:textId="77777777" w:rsidR="00C63ECA" w:rsidRPr="00C3310F" w:rsidRDefault="00C63ECA" w:rsidP="00C63ECA">
      <w:pPr>
        <w:pStyle w:val="4"/>
      </w:pPr>
      <w:r w:rsidRPr="00C3310F">
        <w:rPr>
          <w:rFonts w:hint="eastAsia"/>
        </w:rPr>
        <w:lastRenderedPageBreak/>
        <w:t>「電信事業受理申辦電信服務風險管理機制指引」頒布後，主管機關已組成查察小組，截至112年11月27日辦理成果：</w:t>
      </w:r>
    </w:p>
    <w:p w14:paraId="79E438FA" w14:textId="77777777" w:rsidR="00C63ECA" w:rsidRPr="00C3310F" w:rsidRDefault="00C63ECA" w:rsidP="00C63ECA">
      <w:pPr>
        <w:pStyle w:val="5"/>
      </w:pPr>
      <w:r w:rsidRPr="00C3310F">
        <w:rPr>
          <w:rFonts w:hint="eastAsia"/>
        </w:rPr>
        <w:t>宣導防制詐騙與電信門號管理共計228場。</w:t>
      </w:r>
    </w:p>
    <w:p w14:paraId="436ABA31" w14:textId="77777777" w:rsidR="00C63ECA" w:rsidRPr="00C3310F" w:rsidRDefault="00C63ECA" w:rsidP="00C63ECA">
      <w:pPr>
        <w:pStyle w:val="5"/>
      </w:pPr>
      <w:r w:rsidRPr="00C3310F">
        <w:rPr>
          <w:rFonts w:hint="eastAsia"/>
        </w:rPr>
        <w:t>通傳會定期或配合檢警通知進行行政訪查共計34場。</w:t>
      </w:r>
    </w:p>
    <w:p w14:paraId="7075CEE0" w14:textId="637E516D" w:rsidR="00C63ECA" w:rsidRPr="00C3310F" w:rsidRDefault="00C63ECA" w:rsidP="00C63ECA">
      <w:pPr>
        <w:pStyle w:val="5"/>
      </w:pPr>
      <w:r w:rsidRPr="00C3310F">
        <w:rPr>
          <w:rFonts w:hint="eastAsia"/>
        </w:rPr>
        <w:t>112年6月至10月間電信事業拒絕未符合KYC企業客戶之申辦約112家(約8,000餘門號)。</w:t>
      </w:r>
    </w:p>
    <w:p w14:paraId="728E68D9" w14:textId="77777777" w:rsidR="00B1648E" w:rsidRPr="00C3310F" w:rsidRDefault="00B1648E" w:rsidP="00C63ECA">
      <w:pPr>
        <w:pStyle w:val="3"/>
      </w:pPr>
      <w:bookmarkStart w:id="636" w:name="_Toc171525527"/>
      <w:bookmarkStart w:id="637" w:name="_Toc172024009"/>
      <w:bookmarkStart w:id="638" w:name="_Toc172033328"/>
      <w:r w:rsidRPr="00C3310F">
        <w:rPr>
          <w:rFonts w:hint="eastAsia"/>
        </w:rPr>
        <w:t>網域停止解析部分：</w:t>
      </w:r>
      <w:bookmarkEnd w:id="636"/>
      <w:bookmarkEnd w:id="637"/>
      <w:bookmarkEnd w:id="638"/>
    </w:p>
    <w:p w14:paraId="5C59483D" w14:textId="0006ADAD" w:rsidR="00B1648E" w:rsidRPr="00C3310F" w:rsidRDefault="00B1648E" w:rsidP="00C63ECA">
      <w:pPr>
        <w:pStyle w:val="4"/>
      </w:pPr>
      <w:r w:rsidRPr="00C3310F">
        <w:t>TWNIC</w:t>
      </w:r>
      <w:r w:rsidRPr="00C3310F">
        <w:rPr>
          <w:rFonts w:hint="eastAsia"/>
        </w:rPr>
        <w:t>為利詐騙網站緊急處置，降低民眾遭受詐騙之風險，已擴大</w:t>
      </w:r>
      <w:r w:rsidRPr="00C3310F">
        <w:t>DNS RPZ</w:t>
      </w:r>
      <w:r w:rsidR="00314645" w:rsidRPr="00C3310F">
        <w:rPr>
          <w:rFonts w:hint="eastAsia"/>
        </w:rPr>
        <w:t>(Do</w:t>
      </w:r>
      <w:r w:rsidR="00314645" w:rsidRPr="00C3310F">
        <w:t>main Name System Response Police Zone, DNS RPZ)</w:t>
      </w:r>
      <w:r w:rsidRPr="00C3310F">
        <w:rPr>
          <w:rFonts w:hint="eastAsia"/>
        </w:rPr>
        <w:t>自律機制之處理範圍，針對高檢署、警察單位或調查機關、</w:t>
      </w:r>
      <w:r w:rsidR="00D82B1C" w:rsidRPr="00C3310F">
        <w:rPr>
          <w:rFonts w:hint="eastAsia"/>
        </w:rPr>
        <w:t>數發部</w:t>
      </w:r>
      <w:r w:rsidR="004F00B5" w:rsidRPr="00C3310F">
        <w:rPr>
          <w:rFonts w:hint="eastAsia"/>
        </w:rPr>
        <w:t>數</w:t>
      </w:r>
      <w:r w:rsidRPr="00C3310F">
        <w:rPr>
          <w:rFonts w:hint="eastAsia"/>
        </w:rPr>
        <w:t>產署等單位認定選舉期間執法機構緊急申請、重大金融犯罪緊急申請、假冒中央二級公務機關網站或詐騙網站</w:t>
      </w:r>
      <w:r w:rsidRPr="00C3310F">
        <w:t>(</w:t>
      </w:r>
      <w:r w:rsidRPr="00C3310F">
        <w:rPr>
          <w:rFonts w:hint="eastAsia"/>
        </w:rPr>
        <w:t>含電商聯防</w:t>
      </w:r>
      <w:r w:rsidRPr="00C3310F">
        <w:t>)</w:t>
      </w:r>
      <w:r w:rsidRPr="00C3310F">
        <w:rPr>
          <w:rFonts w:hint="eastAsia"/>
        </w:rPr>
        <w:t>等</w:t>
      </w:r>
      <w:r w:rsidRPr="00C3310F">
        <w:t>4</w:t>
      </w:r>
      <w:r w:rsidRPr="00C3310F">
        <w:rPr>
          <w:rFonts w:hint="eastAsia"/>
        </w:rPr>
        <w:t>種重大案件，亦可啟動該機制執行網域名稱限制接取，經統計</w:t>
      </w:r>
      <w:r w:rsidRPr="00C3310F">
        <w:t>TWNIC</w:t>
      </w:r>
      <w:r w:rsidRPr="00C3310F">
        <w:rPr>
          <w:rFonts w:hint="eastAsia"/>
        </w:rPr>
        <w:t>攔阻此類網域名稱之件數</w:t>
      </w:r>
      <w:r w:rsidRPr="00C3310F">
        <w:t>110</w:t>
      </w:r>
      <w:r w:rsidRPr="00C3310F">
        <w:rPr>
          <w:rFonts w:hint="eastAsia"/>
        </w:rPr>
        <w:t>年至</w:t>
      </w:r>
      <w:r w:rsidRPr="00C3310F">
        <w:t>111</w:t>
      </w:r>
      <w:r w:rsidRPr="00C3310F">
        <w:rPr>
          <w:rFonts w:hint="eastAsia"/>
        </w:rPr>
        <w:t>年計</w:t>
      </w:r>
      <w:r w:rsidRPr="00C3310F">
        <w:t>2,975</w:t>
      </w:r>
      <w:r w:rsidRPr="00C3310F">
        <w:rPr>
          <w:rFonts w:hint="eastAsia"/>
        </w:rPr>
        <w:t>件，</w:t>
      </w:r>
      <w:r w:rsidRPr="00C3310F">
        <w:t>112</w:t>
      </w:r>
      <w:r w:rsidRPr="00C3310F">
        <w:rPr>
          <w:rFonts w:hint="eastAsia"/>
        </w:rPr>
        <w:t>年至</w:t>
      </w:r>
      <w:r w:rsidRPr="00C3310F">
        <w:t>113</w:t>
      </w:r>
      <w:r w:rsidRPr="00C3310F">
        <w:rPr>
          <w:rFonts w:hint="eastAsia"/>
        </w:rPr>
        <w:t>年</w:t>
      </w:r>
      <w:r w:rsidRPr="00C3310F">
        <w:t>4</w:t>
      </w:r>
      <w:r w:rsidRPr="00C3310F">
        <w:rPr>
          <w:rFonts w:hint="eastAsia"/>
        </w:rPr>
        <w:t>月底計</w:t>
      </w:r>
      <w:r w:rsidRPr="00C3310F">
        <w:t>44,903</w:t>
      </w:r>
      <w:r w:rsidRPr="00C3310F">
        <w:rPr>
          <w:rFonts w:hint="eastAsia"/>
        </w:rPr>
        <w:t>件。</w:t>
      </w:r>
    </w:p>
    <w:p w14:paraId="68352C4B" w14:textId="77777777" w:rsidR="00B1648E" w:rsidRPr="00C3310F" w:rsidRDefault="00B1648E" w:rsidP="00C63ECA">
      <w:pPr>
        <w:pStyle w:val="4"/>
        <w:rPr>
          <w:szCs w:val="32"/>
        </w:rPr>
      </w:pPr>
      <w:bookmarkStart w:id="639" w:name="_Hlk171408753"/>
      <w:r w:rsidRPr="00C3310F">
        <w:rPr>
          <w:rFonts w:hint="eastAsia"/>
        </w:rPr>
        <w:t>詐騙案件常以詐騙網頁欺騙民眾洩漏個資、信用卡等資訊，以達其騙取金錢之目的。為降低詐騙集團以大量簡訊或廣告方式誘使民眾上當，透過屏蔽網站方式防止詐騙資訊進一步傳</w:t>
      </w:r>
      <w:r w:rsidRPr="00C3310F">
        <w:rPr>
          <w:rFonts w:hint="eastAsia"/>
          <w:szCs w:val="32"/>
        </w:rPr>
        <w:t>播，並提醒民眾注意確有必要。</w:t>
      </w:r>
      <w:bookmarkEnd w:id="639"/>
      <w:r w:rsidRPr="00C3310F">
        <w:rPr>
          <w:szCs w:val="32"/>
        </w:rPr>
        <w:t xml:space="preserve"> </w:t>
      </w:r>
    </w:p>
    <w:p w14:paraId="5AF114CF" w14:textId="297E8872" w:rsidR="00B1648E" w:rsidRPr="00C3310F" w:rsidRDefault="00B1648E" w:rsidP="00C63ECA">
      <w:pPr>
        <w:pStyle w:val="3"/>
      </w:pPr>
      <w:bookmarkStart w:id="640" w:name="_Toc171525528"/>
      <w:bookmarkStart w:id="641" w:name="_Toc172024010"/>
      <w:bookmarkStart w:id="642" w:name="_Toc172033329"/>
      <w:r w:rsidRPr="00C3310F">
        <w:rPr>
          <w:rFonts w:hint="eastAsia"/>
        </w:rPr>
        <w:t>金管會110年迄今，就金融機構涉及洗錢防制、人頭帳戶管理缺失情形，詳表</w:t>
      </w:r>
      <w:r w:rsidR="00314645" w:rsidRPr="00C3310F">
        <w:t>9</w:t>
      </w:r>
      <w:r w:rsidRPr="00C3310F">
        <w:rPr>
          <w:rFonts w:hint="eastAsia"/>
        </w:rPr>
        <w:t>。</w:t>
      </w:r>
      <w:bookmarkEnd w:id="640"/>
      <w:bookmarkEnd w:id="641"/>
      <w:bookmarkEnd w:id="642"/>
    </w:p>
    <w:p w14:paraId="6DB821B0" w14:textId="77777777" w:rsidR="00B1648E" w:rsidRPr="00C3310F" w:rsidRDefault="00B1648E" w:rsidP="00B1648E">
      <w:pPr>
        <w:pStyle w:val="a3"/>
        <w:spacing w:after="120"/>
        <w:ind w:left="1361" w:hanging="681"/>
        <w:jc w:val="center"/>
        <w:rPr>
          <w:rFonts w:hint="eastAsia"/>
          <w:b/>
        </w:rPr>
      </w:pPr>
      <w:bookmarkStart w:id="643" w:name="_Toc172025213"/>
      <w:r w:rsidRPr="00C3310F">
        <w:rPr>
          <w:rFonts w:hint="eastAsia"/>
          <w:b/>
        </w:rPr>
        <w:lastRenderedPageBreak/>
        <w:t>金融機構違反洗錢防制情形表</w:t>
      </w:r>
      <w:bookmarkEnd w:id="643"/>
    </w:p>
    <w:tbl>
      <w:tblPr>
        <w:tblW w:w="5980" w:type="pct"/>
        <w:tblInd w:w="-714" w:type="dxa"/>
        <w:tblCellMar>
          <w:left w:w="28" w:type="dxa"/>
          <w:right w:w="28" w:type="dxa"/>
        </w:tblCellMar>
        <w:tblLook w:val="04A0" w:firstRow="1" w:lastRow="0" w:firstColumn="1" w:lastColumn="0" w:noHBand="0" w:noVBand="1"/>
      </w:tblPr>
      <w:tblGrid>
        <w:gridCol w:w="1448"/>
        <w:gridCol w:w="1407"/>
        <w:gridCol w:w="5426"/>
        <w:gridCol w:w="2386"/>
      </w:tblGrid>
      <w:tr w:rsidR="00C3310F" w:rsidRPr="00C3310F" w14:paraId="6E2B1FF2" w14:textId="77777777" w:rsidTr="00DB430F">
        <w:trPr>
          <w:trHeight w:val="840"/>
          <w:tblHeader/>
        </w:trPr>
        <w:tc>
          <w:tcPr>
            <w:tcW w:w="5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F14AA2" w14:textId="77777777" w:rsidR="00B1648E" w:rsidRPr="00C3310F" w:rsidRDefault="00B1648E" w:rsidP="00A77297">
            <w:pPr>
              <w:widowControl/>
              <w:snapToGrid w:val="0"/>
              <w:ind w:left="190"/>
              <w:jc w:val="center"/>
              <w:rPr>
                <w:rFonts w:hAnsi="標楷體" w:cs="新細明體"/>
                <w:b/>
                <w:kern w:val="0"/>
                <w:sz w:val="28"/>
                <w:szCs w:val="28"/>
              </w:rPr>
            </w:pPr>
            <w:r w:rsidRPr="00C3310F">
              <w:rPr>
                <w:rFonts w:hAnsi="標楷體" w:cs="新細明體" w:hint="eastAsia"/>
                <w:b/>
                <w:kern w:val="0"/>
                <w:sz w:val="28"/>
                <w:szCs w:val="28"/>
              </w:rPr>
              <w:t>金融機構</w:t>
            </w:r>
          </w:p>
        </w:tc>
        <w:tc>
          <w:tcPr>
            <w:tcW w:w="542" w:type="pct"/>
            <w:tcBorders>
              <w:top w:val="single" w:sz="4" w:space="0" w:color="auto"/>
              <w:left w:val="nil"/>
              <w:bottom w:val="single" w:sz="4" w:space="0" w:color="auto"/>
              <w:right w:val="single" w:sz="4" w:space="0" w:color="auto"/>
            </w:tcBorders>
            <w:shd w:val="clear" w:color="auto" w:fill="auto"/>
            <w:noWrap/>
            <w:vAlign w:val="center"/>
            <w:hideMark/>
          </w:tcPr>
          <w:p w14:paraId="02C8FFB3" w14:textId="77777777" w:rsidR="00B1648E" w:rsidRPr="00C3310F" w:rsidRDefault="00B1648E" w:rsidP="00A77297">
            <w:pPr>
              <w:widowControl/>
              <w:snapToGrid w:val="0"/>
              <w:jc w:val="center"/>
              <w:rPr>
                <w:rFonts w:hAnsi="標楷體" w:cs="新細明體"/>
                <w:b/>
                <w:kern w:val="0"/>
                <w:sz w:val="28"/>
                <w:szCs w:val="28"/>
              </w:rPr>
            </w:pPr>
            <w:r w:rsidRPr="00C3310F">
              <w:rPr>
                <w:rFonts w:hAnsi="標楷體" w:cs="新細明體" w:hint="eastAsia"/>
                <w:b/>
                <w:kern w:val="0"/>
                <w:sz w:val="28"/>
                <w:szCs w:val="28"/>
              </w:rPr>
              <w:t>日期</w:t>
            </w:r>
          </w:p>
        </w:tc>
        <w:tc>
          <w:tcPr>
            <w:tcW w:w="2642" w:type="pct"/>
            <w:tcBorders>
              <w:top w:val="single" w:sz="4" w:space="0" w:color="auto"/>
              <w:left w:val="nil"/>
              <w:bottom w:val="single" w:sz="4" w:space="0" w:color="auto"/>
              <w:right w:val="single" w:sz="4" w:space="0" w:color="auto"/>
            </w:tcBorders>
            <w:shd w:val="clear" w:color="auto" w:fill="auto"/>
            <w:vAlign w:val="center"/>
            <w:hideMark/>
          </w:tcPr>
          <w:p w14:paraId="74061725" w14:textId="77777777" w:rsidR="00B1648E" w:rsidRPr="00C3310F" w:rsidRDefault="00B1648E" w:rsidP="00A77297">
            <w:pPr>
              <w:widowControl/>
              <w:snapToGrid w:val="0"/>
              <w:jc w:val="center"/>
              <w:rPr>
                <w:rFonts w:hAnsi="標楷體" w:cs="新細明體"/>
                <w:b/>
                <w:kern w:val="0"/>
                <w:sz w:val="28"/>
                <w:szCs w:val="28"/>
              </w:rPr>
            </w:pPr>
            <w:r w:rsidRPr="00C3310F">
              <w:rPr>
                <w:rFonts w:hAnsi="標楷體" w:cs="新細明體" w:hint="eastAsia"/>
                <w:b/>
                <w:kern w:val="0"/>
                <w:sz w:val="28"/>
                <w:szCs w:val="28"/>
              </w:rPr>
              <w:t>處分事由(僅涉及洗錢防制、人頭帳戶管理缺失之相關情形)</w:t>
            </w:r>
          </w:p>
        </w:tc>
        <w:tc>
          <w:tcPr>
            <w:tcW w:w="1217" w:type="pct"/>
            <w:tcBorders>
              <w:top w:val="single" w:sz="4" w:space="0" w:color="auto"/>
              <w:left w:val="nil"/>
              <w:bottom w:val="single" w:sz="4" w:space="0" w:color="auto"/>
              <w:right w:val="single" w:sz="4" w:space="0" w:color="auto"/>
            </w:tcBorders>
            <w:shd w:val="clear" w:color="auto" w:fill="auto"/>
            <w:vAlign w:val="center"/>
            <w:hideMark/>
          </w:tcPr>
          <w:p w14:paraId="28B2CB39" w14:textId="77777777" w:rsidR="00B1648E" w:rsidRPr="00C3310F" w:rsidRDefault="00B1648E" w:rsidP="00A77297">
            <w:pPr>
              <w:widowControl/>
              <w:snapToGrid w:val="0"/>
              <w:jc w:val="center"/>
              <w:rPr>
                <w:rFonts w:hAnsi="標楷體" w:cs="新細明體"/>
                <w:b/>
                <w:kern w:val="0"/>
                <w:sz w:val="28"/>
                <w:szCs w:val="28"/>
              </w:rPr>
            </w:pPr>
            <w:r w:rsidRPr="00C3310F">
              <w:rPr>
                <w:rFonts w:hAnsi="標楷體" w:cs="新細明體" w:hint="eastAsia"/>
                <w:b/>
                <w:kern w:val="0"/>
                <w:sz w:val="28"/>
                <w:szCs w:val="28"/>
              </w:rPr>
              <w:t>處分情形(如予以糾正、裁罰等)</w:t>
            </w:r>
          </w:p>
        </w:tc>
      </w:tr>
      <w:tr w:rsidR="00C3310F" w:rsidRPr="00C3310F" w14:paraId="31FAC296" w14:textId="77777777" w:rsidTr="00DB430F">
        <w:trPr>
          <w:trHeight w:val="20"/>
        </w:trPr>
        <w:tc>
          <w:tcPr>
            <w:tcW w:w="599" w:type="pct"/>
            <w:tcBorders>
              <w:top w:val="nil"/>
              <w:left w:val="single" w:sz="4" w:space="0" w:color="auto"/>
              <w:bottom w:val="single" w:sz="4" w:space="0" w:color="000000"/>
              <w:right w:val="single" w:sz="4" w:space="0" w:color="auto"/>
            </w:tcBorders>
            <w:vAlign w:val="center"/>
          </w:tcPr>
          <w:p w14:paraId="077589BE" w14:textId="3F232AB6" w:rsidR="00B1648E" w:rsidRPr="00C3310F" w:rsidRDefault="00B1648E" w:rsidP="00062CD2">
            <w:pPr>
              <w:widowControl/>
              <w:snapToGrid w:val="0"/>
              <w:spacing w:line="360" w:lineRule="exact"/>
              <w:rPr>
                <w:rFonts w:hAnsi="標楷體" w:cs="新細明體"/>
                <w:kern w:val="0"/>
                <w:sz w:val="28"/>
                <w:szCs w:val="28"/>
              </w:rPr>
            </w:pPr>
            <w:r w:rsidRPr="00C3310F">
              <w:rPr>
                <w:rFonts w:hAnsi="標楷體" w:cs="新細明體" w:hint="eastAsia"/>
                <w:kern w:val="0"/>
                <w:sz w:val="28"/>
                <w:szCs w:val="28"/>
              </w:rPr>
              <w:t>聯</w:t>
            </w:r>
            <w:r w:rsidR="0017588F" w:rsidRPr="00C3310F">
              <w:rPr>
                <w:rFonts w:hAnsi="標楷體" w:cs="新細明體" w:hint="eastAsia"/>
                <w:kern w:val="0"/>
                <w:sz w:val="28"/>
                <w:szCs w:val="28"/>
              </w:rPr>
              <w:t>○</w:t>
            </w:r>
            <w:r w:rsidRPr="00C3310F">
              <w:rPr>
                <w:rFonts w:hAnsi="標楷體" w:cs="新細明體" w:hint="eastAsia"/>
                <w:kern w:val="0"/>
                <w:sz w:val="28"/>
                <w:szCs w:val="28"/>
              </w:rPr>
              <w:t>商業銀行</w:t>
            </w:r>
          </w:p>
        </w:tc>
        <w:tc>
          <w:tcPr>
            <w:tcW w:w="542" w:type="pct"/>
            <w:tcBorders>
              <w:top w:val="nil"/>
              <w:left w:val="single" w:sz="4" w:space="0" w:color="auto"/>
              <w:bottom w:val="single" w:sz="4" w:space="0" w:color="000000"/>
              <w:right w:val="single" w:sz="4" w:space="0" w:color="auto"/>
            </w:tcBorders>
            <w:vAlign w:val="center"/>
          </w:tcPr>
          <w:p w14:paraId="4331F732" w14:textId="77777777" w:rsidR="00B1648E" w:rsidRPr="00C3310F" w:rsidRDefault="00B1648E" w:rsidP="00062CD2">
            <w:pPr>
              <w:widowControl/>
              <w:snapToGrid w:val="0"/>
              <w:spacing w:line="360" w:lineRule="exact"/>
              <w:rPr>
                <w:rFonts w:hAnsi="標楷體" w:cs="新細明體"/>
                <w:kern w:val="0"/>
                <w:sz w:val="28"/>
                <w:szCs w:val="28"/>
              </w:rPr>
            </w:pPr>
            <w:r w:rsidRPr="00C3310F">
              <w:rPr>
                <w:rFonts w:hAnsi="標楷體" w:cs="新細明體" w:hint="eastAsia"/>
                <w:kern w:val="0"/>
                <w:sz w:val="28"/>
                <w:szCs w:val="28"/>
              </w:rPr>
              <w:t>110.3.2</w:t>
            </w:r>
          </w:p>
        </w:tc>
        <w:tc>
          <w:tcPr>
            <w:tcW w:w="2642" w:type="pct"/>
            <w:tcBorders>
              <w:top w:val="nil"/>
              <w:left w:val="single" w:sz="4" w:space="0" w:color="auto"/>
              <w:bottom w:val="single" w:sz="4" w:space="0" w:color="000000"/>
              <w:right w:val="single" w:sz="4" w:space="0" w:color="auto"/>
            </w:tcBorders>
            <w:vAlign w:val="center"/>
          </w:tcPr>
          <w:p w14:paraId="6EE50357" w14:textId="77777777" w:rsidR="00B1648E" w:rsidRPr="00C3310F" w:rsidRDefault="00B1648E" w:rsidP="00062CD2">
            <w:pPr>
              <w:widowControl/>
              <w:snapToGrid w:val="0"/>
              <w:spacing w:line="360" w:lineRule="exact"/>
              <w:rPr>
                <w:rFonts w:hAnsi="標楷體" w:cs="新細明體"/>
                <w:kern w:val="0"/>
                <w:sz w:val="28"/>
                <w:szCs w:val="28"/>
              </w:rPr>
            </w:pPr>
            <w:r w:rsidRPr="00C3310F">
              <w:rPr>
                <w:rFonts w:hAnsi="標楷體" w:cs="新細明體" w:hint="eastAsia"/>
                <w:kern w:val="0"/>
                <w:sz w:val="28"/>
                <w:szCs w:val="28"/>
              </w:rPr>
              <w:t>對一定金額以上通貨交易未申報缺失，核有礙健全經營之虞。</w:t>
            </w:r>
          </w:p>
        </w:tc>
        <w:tc>
          <w:tcPr>
            <w:tcW w:w="1217" w:type="pct"/>
            <w:tcBorders>
              <w:top w:val="nil"/>
              <w:left w:val="single" w:sz="4" w:space="0" w:color="auto"/>
              <w:bottom w:val="single" w:sz="4" w:space="0" w:color="000000"/>
              <w:right w:val="single" w:sz="4" w:space="0" w:color="auto"/>
            </w:tcBorders>
            <w:vAlign w:val="center"/>
          </w:tcPr>
          <w:p w14:paraId="62BE1A10" w14:textId="77777777" w:rsidR="00B1648E" w:rsidRPr="00C3310F" w:rsidRDefault="00B1648E" w:rsidP="00062CD2">
            <w:pPr>
              <w:widowControl/>
              <w:snapToGrid w:val="0"/>
              <w:spacing w:line="360" w:lineRule="exact"/>
              <w:rPr>
                <w:rFonts w:hAnsi="標楷體" w:cs="新細明體"/>
                <w:kern w:val="0"/>
                <w:sz w:val="28"/>
                <w:szCs w:val="28"/>
              </w:rPr>
            </w:pPr>
            <w:r w:rsidRPr="00C3310F">
              <w:rPr>
                <w:rFonts w:hAnsi="標楷體" w:cs="新細明體" w:hint="eastAsia"/>
                <w:kern w:val="0"/>
                <w:sz w:val="28"/>
                <w:szCs w:val="28"/>
              </w:rPr>
              <w:t>依銀行法第61條之1第1項規定予以糾正。</w:t>
            </w:r>
          </w:p>
        </w:tc>
      </w:tr>
      <w:tr w:rsidR="00C3310F" w:rsidRPr="00C3310F" w14:paraId="3BF88B5B" w14:textId="77777777" w:rsidTr="00DB430F">
        <w:trPr>
          <w:trHeight w:val="20"/>
        </w:trPr>
        <w:tc>
          <w:tcPr>
            <w:tcW w:w="599" w:type="pct"/>
            <w:tcBorders>
              <w:top w:val="nil"/>
              <w:left w:val="single" w:sz="4" w:space="0" w:color="auto"/>
              <w:bottom w:val="single" w:sz="4" w:space="0" w:color="000000"/>
              <w:right w:val="single" w:sz="4" w:space="0" w:color="auto"/>
            </w:tcBorders>
            <w:vAlign w:val="center"/>
          </w:tcPr>
          <w:p w14:paraId="7C07C81C" w14:textId="4AAF54AD" w:rsidR="00B1648E" w:rsidRPr="00C3310F" w:rsidRDefault="00B1648E" w:rsidP="00062CD2">
            <w:pPr>
              <w:widowControl/>
              <w:snapToGrid w:val="0"/>
              <w:spacing w:line="360" w:lineRule="exact"/>
              <w:rPr>
                <w:rFonts w:hAnsi="標楷體" w:cs="新細明體"/>
                <w:kern w:val="0"/>
                <w:sz w:val="28"/>
                <w:szCs w:val="28"/>
              </w:rPr>
            </w:pPr>
            <w:r w:rsidRPr="00C3310F">
              <w:rPr>
                <w:rFonts w:hAnsi="標楷體" w:cs="新細明體" w:hint="eastAsia"/>
                <w:kern w:val="0"/>
                <w:sz w:val="28"/>
                <w:szCs w:val="28"/>
              </w:rPr>
              <w:t>台</w:t>
            </w:r>
            <w:r w:rsidR="0017588F" w:rsidRPr="00C3310F">
              <w:rPr>
                <w:rFonts w:hAnsi="標楷體" w:cs="新細明體" w:hint="eastAsia"/>
                <w:kern w:val="0"/>
                <w:sz w:val="28"/>
                <w:szCs w:val="28"/>
              </w:rPr>
              <w:t>○</w:t>
            </w:r>
            <w:r w:rsidRPr="00C3310F">
              <w:rPr>
                <w:rFonts w:hAnsi="標楷體" w:cs="新細明體" w:hint="eastAsia"/>
                <w:kern w:val="0"/>
                <w:sz w:val="28"/>
                <w:szCs w:val="28"/>
              </w:rPr>
              <w:t>國際商業銀行</w:t>
            </w:r>
          </w:p>
        </w:tc>
        <w:tc>
          <w:tcPr>
            <w:tcW w:w="542" w:type="pct"/>
            <w:tcBorders>
              <w:top w:val="nil"/>
              <w:left w:val="single" w:sz="4" w:space="0" w:color="auto"/>
              <w:bottom w:val="single" w:sz="4" w:space="0" w:color="000000"/>
              <w:right w:val="single" w:sz="4" w:space="0" w:color="auto"/>
            </w:tcBorders>
            <w:vAlign w:val="center"/>
          </w:tcPr>
          <w:p w14:paraId="5194CF49" w14:textId="77777777" w:rsidR="00B1648E" w:rsidRPr="00C3310F" w:rsidRDefault="00B1648E" w:rsidP="00062CD2">
            <w:pPr>
              <w:widowControl/>
              <w:snapToGrid w:val="0"/>
              <w:spacing w:line="360" w:lineRule="exact"/>
              <w:rPr>
                <w:rFonts w:hAnsi="標楷體" w:cs="新細明體"/>
                <w:kern w:val="0"/>
                <w:sz w:val="28"/>
                <w:szCs w:val="28"/>
              </w:rPr>
            </w:pPr>
            <w:r w:rsidRPr="00C3310F">
              <w:rPr>
                <w:rFonts w:hAnsi="標楷體" w:hint="eastAsia"/>
                <w:sz w:val="28"/>
                <w:szCs w:val="28"/>
              </w:rPr>
              <w:t>110.12.28</w:t>
            </w:r>
          </w:p>
        </w:tc>
        <w:tc>
          <w:tcPr>
            <w:tcW w:w="2642" w:type="pct"/>
            <w:tcBorders>
              <w:top w:val="nil"/>
              <w:left w:val="single" w:sz="4" w:space="0" w:color="auto"/>
              <w:bottom w:val="single" w:sz="4" w:space="0" w:color="000000"/>
              <w:right w:val="single" w:sz="4" w:space="0" w:color="auto"/>
            </w:tcBorders>
            <w:vAlign w:val="center"/>
          </w:tcPr>
          <w:p w14:paraId="54E0F9C3" w14:textId="77777777" w:rsidR="00B1648E" w:rsidRPr="00C3310F" w:rsidRDefault="00B1648E" w:rsidP="00062CD2">
            <w:pPr>
              <w:widowControl/>
              <w:snapToGrid w:val="0"/>
              <w:spacing w:line="360" w:lineRule="exact"/>
              <w:rPr>
                <w:rFonts w:hAnsi="標楷體" w:cs="新細明體"/>
                <w:kern w:val="0"/>
                <w:sz w:val="28"/>
                <w:szCs w:val="28"/>
              </w:rPr>
            </w:pPr>
            <w:r w:rsidRPr="00C3310F">
              <w:rPr>
                <w:rFonts w:hAnsi="標楷體" w:hint="eastAsia"/>
                <w:sz w:val="28"/>
                <w:szCs w:val="28"/>
              </w:rPr>
              <w:t>該行辦理他行行員開立於該行存款帳戶之交易持續監控作業缺失，顯示該行未能有效執行洗錢表徵交易之審核與通報機制，對於自動化交易監控態樣及參數設定亦未盡周全。</w:t>
            </w:r>
          </w:p>
        </w:tc>
        <w:tc>
          <w:tcPr>
            <w:tcW w:w="1217" w:type="pct"/>
            <w:tcBorders>
              <w:top w:val="nil"/>
              <w:left w:val="single" w:sz="4" w:space="0" w:color="auto"/>
              <w:bottom w:val="single" w:sz="4" w:space="0" w:color="000000"/>
              <w:right w:val="single" w:sz="4" w:space="0" w:color="auto"/>
            </w:tcBorders>
            <w:vAlign w:val="center"/>
          </w:tcPr>
          <w:p w14:paraId="55DA8A4D" w14:textId="77777777" w:rsidR="00B1648E" w:rsidRPr="00C3310F" w:rsidRDefault="00B1648E" w:rsidP="00062CD2">
            <w:pPr>
              <w:widowControl/>
              <w:snapToGrid w:val="0"/>
              <w:spacing w:line="360" w:lineRule="exact"/>
              <w:rPr>
                <w:rFonts w:hAnsi="標楷體" w:cs="新細明體"/>
                <w:kern w:val="0"/>
                <w:sz w:val="28"/>
                <w:szCs w:val="28"/>
              </w:rPr>
            </w:pPr>
            <w:r w:rsidRPr="00C3310F">
              <w:rPr>
                <w:rFonts w:hAnsi="標楷體" w:hint="eastAsia"/>
                <w:sz w:val="28"/>
                <w:szCs w:val="28"/>
              </w:rPr>
              <w:t>依銀行法第61條之1第1項規定，予以糾正。</w:t>
            </w:r>
          </w:p>
        </w:tc>
      </w:tr>
      <w:tr w:rsidR="00C3310F" w:rsidRPr="00C3310F" w14:paraId="15A3EDA6" w14:textId="77777777" w:rsidTr="00DB430F">
        <w:trPr>
          <w:trHeight w:val="20"/>
        </w:trPr>
        <w:tc>
          <w:tcPr>
            <w:tcW w:w="599" w:type="pct"/>
            <w:tcBorders>
              <w:top w:val="nil"/>
              <w:left w:val="single" w:sz="4" w:space="0" w:color="auto"/>
              <w:bottom w:val="single" w:sz="4" w:space="0" w:color="000000"/>
              <w:right w:val="single" w:sz="4" w:space="0" w:color="auto"/>
            </w:tcBorders>
            <w:shd w:val="clear" w:color="auto" w:fill="auto"/>
            <w:vAlign w:val="center"/>
          </w:tcPr>
          <w:p w14:paraId="490704AA" w14:textId="26B83FC0" w:rsidR="00B1648E" w:rsidRPr="00C3310F" w:rsidRDefault="00B1648E" w:rsidP="00062CD2">
            <w:pPr>
              <w:widowControl/>
              <w:snapToGrid w:val="0"/>
              <w:spacing w:line="360" w:lineRule="exact"/>
              <w:rPr>
                <w:rFonts w:hAnsi="標楷體" w:cs="新細明體"/>
                <w:kern w:val="0"/>
                <w:sz w:val="28"/>
                <w:szCs w:val="28"/>
              </w:rPr>
            </w:pPr>
            <w:r w:rsidRPr="00C3310F">
              <w:rPr>
                <w:rFonts w:hAnsi="標楷體" w:cs="新細明體" w:hint="eastAsia"/>
                <w:kern w:val="0"/>
                <w:sz w:val="28"/>
                <w:szCs w:val="28"/>
              </w:rPr>
              <w:t>中</w:t>
            </w:r>
            <w:r w:rsidR="0017588F" w:rsidRPr="00C3310F">
              <w:rPr>
                <w:rFonts w:hAnsi="標楷體" w:cs="新細明體" w:hint="eastAsia"/>
                <w:kern w:val="0"/>
                <w:sz w:val="28"/>
                <w:szCs w:val="28"/>
              </w:rPr>
              <w:t>○</w:t>
            </w:r>
            <w:r w:rsidRPr="00C3310F">
              <w:rPr>
                <w:rFonts w:hAnsi="標楷體" w:cs="新細明體" w:hint="eastAsia"/>
                <w:kern w:val="0"/>
                <w:sz w:val="28"/>
                <w:szCs w:val="28"/>
              </w:rPr>
              <w:t>信託商業銀行</w:t>
            </w:r>
          </w:p>
        </w:tc>
        <w:tc>
          <w:tcPr>
            <w:tcW w:w="542" w:type="pct"/>
            <w:tcBorders>
              <w:top w:val="nil"/>
              <w:left w:val="single" w:sz="4" w:space="0" w:color="auto"/>
              <w:bottom w:val="single" w:sz="4" w:space="0" w:color="000000"/>
              <w:right w:val="single" w:sz="4" w:space="0" w:color="auto"/>
            </w:tcBorders>
            <w:shd w:val="clear" w:color="auto" w:fill="auto"/>
            <w:vAlign w:val="center"/>
          </w:tcPr>
          <w:p w14:paraId="2D4AC919" w14:textId="77777777" w:rsidR="00B1648E" w:rsidRPr="00C3310F" w:rsidRDefault="00B1648E" w:rsidP="00062CD2">
            <w:pPr>
              <w:widowControl/>
              <w:snapToGrid w:val="0"/>
              <w:spacing w:line="360" w:lineRule="exact"/>
              <w:rPr>
                <w:rFonts w:hAnsi="標楷體"/>
                <w:sz w:val="28"/>
                <w:szCs w:val="28"/>
              </w:rPr>
            </w:pPr>
            <w:r w:rsidRPr="00C3310F">
              <w:rPr>
                <w:rFonts w:hAnsi="標楷體" w:hint="eastAsia"/>
                <w:sz w:val="28"/>
                <w:szCs w:val="28"/>
              </w:rPr>
              <w:t>110.12.28</w:t>
            </w:r>
          </w:p>
        </w:tc>
        <w:tc>
          <w:tcPr>
            <w:tcW w:w="2642" w:type="pct"/>
            <w:tcBorders>
              <w:top w:val="nil"/>
              <w:left w:val="single" w:sz="4" w:space="0" w:color="auto"/>
              <w:bottom w:val="single" w:sz="4" w:space="0" w:color="000000"/>
              <w:right w:val="single" w:sz="4" w:space="0" w:color="auto"/>
            </w:tcBorders>
            <w:shd w:val="clear" w:color="auto" w:fill="auto"/>
            <w:vAlign w:val="center"/>
          </w:tcPr>
          <w:p w14:paraId="291187AB" w14:textId="77777777" w:rsidR="00B1648E" w:rsidRPr="00C3310F" w:rsidRDefault="00B1648E" w:rsidP="00062CD2">
            <w:pPr>
              <w:widowControl/>
              <w:snapToGrid w:val="0"/>
              <w:spacing w:line="360" w:lineRule="exact"/>
              <w:rPr>
                <w:rFonts w:hAnsi="標楷體"/>
                <w:sz w:val="28"/>
                <w:szCs w:val="28"/>
              </w:rPr>
            </w:pPr>
            <w:r w:rsidRPr="00C3310F">
              <w:rPr>
                <w:rFonts w:hAnsi="標楷體" w:hint="eastAsia"/>
                <w:sz w:val="28"/>
                <w:szCs w:val="28"/>
              </w:rPr>
              <w:t>該行南中壢分行及石牌分行前理財專員與客戶間異常資金往來所涉缺失，核有違反銀行法第45條之1第1項規定。</w:t>
            </w:r>
          </w:p>
        </w:tc>
        <w:tc>
          <w:tcPr>
            <w:tcW w:w="1217" w:type="pct"/>
            <w:tcBorders>
              <w:top w:val="nil"/>
              <w:left w:val="single" w:sz="4" w:space="0" w:color="auto"/>
              <w:bottom w:val="single" w:sz="4" w:space="0" w:color="000000"/>
              <w:right w:val="single" w:sz="4" w:space="0" w:color="auto"/>
            </w:tcBorders>
            <w:shd w:val="clear" w:color="auto" w:fill="auto"/>
            <w:vAlign w:val="center"/>
          </w:tcPr>
          <w:p w14:paraId="208E7ED1" w14:textId="77777777" w:rsidR="00B1648E" w:rsidRPr="00C3310F" w:rsidRDefault="00B1648E" w:rsidP="00062CD2">
            <w:pPr>
              <w:widowControl/>
              <w:snapToGrid w:val="0"/>
              <w:spacing w:line="360" w:lineRule="exact"/>
              <w:rPr>
                <w:rFonts w:hAnsi="標楷體"/>
                <w:sz w:val="28"/>
                <w:szCs w:val="28"/>
              </w:rPr>
            </w:pPr>
            <w:r w:rsidRPr="00C3310F">
              <w:rPr>
                <w:rFonts w:hAnsi="標楷體" w:hint="eastAsia"/>
                <w:sz w:val="28"/>
                <w:szCs w:val="28"/>
              </w:rPr>
              <w:t>核處1,400萬元罰鍰。</w:t>
            </w:r>
          </w:p>
        </w:tc>
      </w:tr>
      <w:tr w:rsidR="00C3310F" w:rsidRPr="00C3310F" w14:paraId="54EE579A" w14:textId="77777777" w:rsidTr="00DB430F">
        <w:trPr>
          <w:trHeight w:val="20"/>
        </w:trPr>
        <w:tc>
          <w:tcPr>
            <w:tcW w:w="599" w:type="pct"/>
            <w:tcBorders>
              <w:top w:val="nil"/>
              <w:left w:val="single" w:sz="4" w:space="0" w:color="auto"/>
              <w:bottom w:val="single" w:sz="4" w:space="0" w:color="000000"/>
              <w:right w:val="single" w:sz="4" w:space="0" w:color="auto"/>
            </w:tcBorders>
            <w:shd w:val="clear" w:color="auto" w:fill="auto"/>
            <w:vAlign w:val="center"/>
          </w:tcPr>
          <w:p w14:paraId="4CE0A4FD" w14:textId="1350E051" w:rsidR="00B1648E" w:rsidRPr="00C3310F" w:rsidRDefault="00B1648E" w:rsidP="00062CD2">
            <w:pPr>
              <w:widowControl/>
              <w:snapToGrid w:val="0"/>
              <w:spacing w:line="360" w:lineRule="exact"/>
              <w:rPr>
                <w:rFonts w:hAnsi="標楷體" w:cs="新細明體"/>
                <w:kern w:val="0"/>
                <w:sz w:val="28"/>
                <w:szCs w:val="28"/>
              </w:rPr>
            </w:pPr>
            <w:r w:rsidRPr="00C3310F">
              <w:rPr>
                <w:rFonts w:hAnsi="標楷體" w:cs="新細明體" w:hint="eastAsia"/>
                <w:kern w:val="0"/>
                <w:sz w:val="28"/>
                <w:szCs w:val="28"/>
              </w:rPr>
              <w:t>花</w:t>
            </w:r>
            <w:r w:rsidR="0017588F" w:rsidRPr="00C3310F">
              <w:rPr>
                <w:rFonts w:hAnsi="標楷體" w:cs="新細明體" w:hint="eastAsia"/>
                <w:kern w:val="0"/>
                <w:sz w:val="28"/>
                <w:szCs w:val="28"/>
              </w:rPr>
              <w:t>○</w:t>
            </w:r>
            <w:r w:rsidRPr="00C3310F">
              <w:rPr>
                <w:rFonts w:hAnsi="標楷體" w:cs="新細明體"/>
                <w:kern w:val="0"/>
                <w:sz w:val="28"/>
                <w:szCs w:val="28"/>
              </w:rPr>
              <w:t>(</w:t>
            </w:r>
            <w:r w:rsidRPr="00C3310F">
              <w:rPr>
                <w:rFonts w:hAnsi="標楷體" w:cs="新細明體" w:hint="eastAsia"/>
                <w:kern w:val="0"/>
                <w:sz w:val="28"/>
                <w:szCs w:val="28"/>
              </w:rPr>
              <w:t>台灣</w:t>
            </w:r>
            <w:r w:rsidRPr="00C3310F">
              <w:rPr>
                <w:rFonts w:hAnsi="標楷體" w:cs="新細明體"/>
                <w:kern w:val="0"/>
                <w:sz w:val="28"/>
                <w:szCs w:val="28"/>
              </w:rPr>
              <w:t>)</w:t>
            </w:r>
            <w:r w:rsidRPr="00C3310F">
              <w:rPr>
                <w:rFonts w:hAnsi="標楷體" w:cs="新細明體" w:hint="eastAsia"/>
                <w:kern w:val="0"/>
                <w:sz w:val="28"/>
                <w:szCs w:val="28"/>
              </w:rPr>
              <w:t>銀行</w:t>
            </w:r>
          </w:p>
        </w:tc>
        <w:tc>
          <w:tcPr>
            <w:tcW w:w="542" w:type="pct"/>
            <w:tcBorders>
              <w:top w:val="nil"/>
              <w:left w:val="single" w:sz="4" w:space="0" w:color="auto"/>
              <w:bottom w:val="single" w:sz="4" w:space="0" w:color="000000"/>
              <w:right w:val="single" w:sz="4" w:space="0" w:color="auto"/>
            </w:tcBorders>
            <w:shd w:val="clear" w:color="auto" w:fill="auto"/>
            <w:vAlign w:val="center"/>
          </w:tcPr>
          <w:p w14:paraId="612653C7" w14:textId="77777777" w:rsidR="00B1648E" w:rsidRPr="00C3310F" w:rsidRDefault="00B1648E" w:rsidP="00062CD2">
            <w:pPr>
              <w:widowControl/>
              <w:snapToGrid w:val="0"/>
              <w:spacing w:line="360" w:lineRule="exact"/>
              <w:rPr>
                <w:rFonts w:hAnsi="標楷體"/>
                <w:sz w:val="28"/>
                <w:szCs w:val="28"/>
              </w:rPr>
            </w:pPr>
            <w:r w:rsidRPr="00C3310F">
              <w:rPr>
                <w:rFonts w:hAnsi="標楷體"/>
                <w:sz w:val="28"/>
                <w:szCs w:val="28"/>
              </w:rPr>
              <w:t>110.5.13</w:t>
            </w:r>
          </w:p>
        </w:tc>
        <w:tc>
          <w:tcPr>
            <w:tcW w:w="2642" w:type="pct"/>
            <w:tcBorders>
              <w:top w:val="nil"/>
              <w:left w:val="single" w:sz="4" w:space="0" w:color="auto"/>
              <w:bottom w:val="single" w:sz="4" w:space="0" w:color="000000"/>
              <w:right w:val="single" w:sz="4" w:space="0" w:color="auto"/>
            </w:tcBorders>
            <w:shd w:val="clear" w:color="auto" w:fill="auto"/>
            <w:vAlign w:val="center"/>
          </w:tcPr>
          <w:p w14:paraId="1668D947" w14:textId="77777777" w:rsidR="00B1648E" w:rsidRPr="00C3310F" w:rsidRDefault="00B1648E" w:rsidP="00062CD2">
            <w:pPr>
              <w:widowControl/>
              <w:snapToGrid w:val="0"/>
              <w:spacing w:line="360" w:lineRule="exact"/>
              <w:rPr>
                <w:rFonts w:hAnsi="標楷體"/>
                <w:sz w:val="28"/>
                <w:szCs w:val="28"/>
              </w:rPr>
            </w:pPr>
            <w:r w:rsidRPr="00C3310F">
              <w:rPr>
                <w:rFonts w:hAnsi="標楷體" w:hint="eastAsia"/>
                <w:sz w:val="28"/>
                <w:szCs w:val="28"/>
              </w:rPr>
              <w:t>金管會對花旗</w:t>
            </w:r>
            <w:r w:rsidRPr="00C3310F">
              <w:rPr>
                <w:rFonts w:hAnsi="標楷體"/>
                <w:sz w:val="28"/>
                <w:szCs w:val="28"/>
              </w:rPr>
              <w:t>(</w:t>
            </w:r>
            <w:r w:rsidRPr="00C3310F">
              <w:rPr>
                <w:rFonts w:hAnsi="標楷體" w:hint="eastAsia"/>
                <w:sz w:val="28"/>
                <w:szCs w:val="28"/>
              </w:rPr>
              <w:t>台灣</w:t>
            </w:r>
            <w:r w:rsidRPr="00C3310F">
              <w:rPr>
                <w:rFonts w:hAnsi="標楷體"/>
                <w:sz w:val="28"/>
                <w:szCs w:val="28"/>
              </w:rPr>
              <w:t>)</w:t>
            </w:r>
            <w:r w:rsidRPr="00C3310F">
              <w:rPr>
                <w:rFonts w:hAnsi="標楷體" w:hint="eastAsia"/>
                <w:sz w:val="28"/>
                <w:szCs w:val="28"/>
              </w:rPr>
              <w:t>商業銀行辦理「貿易金融之防制洗錢、打擊資恐及反資助武器擴散」專案檢查報告及一般業務檢查報告所列防制洗錢及打擊資恐相關缺失，核有違反銀行法第</w:t>
            </w:r>
            <w:r w:rsidRPr="00C3310F">
              <w:rPr>
                <w:rFonts w:hAnsi="標楷體"/>
                <w:sz w:val="28"/>
                <w:szCs w:val="28"/>
              </w:rPr>
              <w:t>45</w:t>
            </w:r>
            <w:r w:rsidRPr="00C3310F">
              <w:rPr>
                <w:rFonts w:hAnsi="標楷體" w:hint="eastAsia"/>
                <w:sz w:val="28"/>
                <w:szCs w:val="28"/>
              </w:rPr>
              <w:t>條之</w:t>
            </w:r>
            <w:r w:rsidRPr="00C3310F">
              <w:rPr>
                <w:rFonts w:hAnsi="標楷體"/>
                <w:sz w:val="28"/>
                <w:szCs w:val="28"/>
              </w:rPr>
              <w:t>1</w:t>
            </w:r>
            <w:r w:rsidRPr="00C3310F">
              <w:rPr>
                <w:rFonts w:hAnsi="標楷體" w:hint="eastAsia"/>
                <w:sz w:val="28"/>
                <w:szCs w:val="28"/>
              </w:rPr>
              <w:t>第</w:t>
            </w:r>
            <w:r w:rsidRPr="00C3310F">
              <w:rPr>
                <w:rFonts w:hAnsi="標楷體"/>
                <w:sz w:val="28"/>
                <w:szCs w:val="28"/>
              </w:rPr>
              <w:t>1</w:t>
            </w:r>
            <w:r w:rsidRPr="00C3310F">
              <w:rPr>
                <w:rFonts w:hAnsi="標楷體" w:hint="eastAsia"/>
                <w:sz w:val="28"/>
                <w:szCs w:val="28"/>
              </w:rPr>
              <w:t>項規定。</w:t>
            </w:r>
          </w:p>
        </w:tc>
        <w:tc>
          <w:tcPr>
            <w:tcW w:w="1217" w:type="pct"/>
            <w:tcBorders>
              <w:top w:val="nil"/>
              <w:left w:val="single" w:sz="4" w:space="0" w:color="auto"/>
              <w:bottom w:val="single" w:sz="4" w:space="0" w:color="000000"/>
              <w:right w:val="single" w:sz="4" w:space="0" w:color="auto"/>
            </w:tcBorders>
            <w:shd w:val="clear" w:color="auto" w:fill="auto"/>
            <w:vAlign w:val="center"/>
          </w:tcPr>
          <w:p w14:paraId="4F64466B" w14:textId="77777777" w:rsidR="00B1648E" w:rsidRPr="00C3310F" w:rsidRDefault="00B1648E" w:rsidP="00062CD2">
            <w:pPr>
              <w:widowControl/>
              <w:snapToGrid w:val="0"/>
              <w:spacing w:line="360" w:lineRule="exact"/>
              <w:rPr>
                <w:rFonts w:hAnsi="標楷體"/>
                <w:sz w:val="28"/>
                <w:szCs w:val="28"/>
              </w:rPr>
            </w:pPr>
            <w:r w:rsidRPr="00C3310F">
              <w:rPr>
                <w:rFonts w:hAnsi="標楷體" w:hint="eastAsia"/>
                <w:sz w:val="28"/>
                <w:szCs w:val="28"/>
              </w:rPr>
              <w:t>裁罰</w:t>
            </w:r>
            <w:r w:rsidRPr="00C3310F">
              <w:rPr>
                <w:rFonts w:hAnsi="標楷體"/>
                <w:sz w:val="28"/>
                <w:szCs w:val="28"/>
              </w:rPr>
              <w:t>1,000</w:t>
            </w:r>
            <w:r w:rsidRPr="00C3310F">
              <w:rPr>
                <w:rFonts w:hAnsi="標楷體" w:hint="eastAsia"/>
                <w:sz w:val="28"/>
                <w:szCs w:val="28"/>
              </w:rPr>
              <w:t>萬元罰鍰</w:t>
            </w:r>
          </w:p>
        </w:tc>
      </w:tr>
      <w:tr w:rsidR="00C3310F" w:rsidRPr="00C3310F" w14:paraId="17B660F8" w14:textId="77777777" w:rsidTr="00DB430F">
        <w:trPr>
          <w:trHeight w:val="20"/>
        </w:trPr>
        <w:tc>
          <w:tcPr>
            <w:tcW w:w="599" w:type="pct"/>
            <w:tcBorders>
              <w:top w:val="nil"/>
              <w:left w:val="single" w:sz="4" w:space="0" w:color="auto"/>
              <w:bottom w:val="single" w:sz="4" w:space="0" w:color="000000"/>
              <w:right w:val="single" w:sz="4" w:space="0" w:color="auto"/>
            </w:tcBorders>
            <w:shd w:val="clear" w:color="auto" w:fill="auto"/>
            <w:vAlign w:val="center"/>
          </w:tcPr>
          <w:p w14:paraId="56A39BE4" w14:textId="2548D187" w:rsidR="00B1648E" w:rsidRPr="00C3310F" w:rsidRDefault="00B1648E" w:rsidP="00062CD2">
            <w:pPr>
              <w:widowControl/>
              <w:snapToGrid w:val="0"/>
              <w:spacing w:line="360" w:lineRule="exact"/>
              <w:rPr>
                <w:rFonts w:hAnsi="標楷體" w:cs="新細明體"/>
                <w:kern w:val="0"/>
                <w:sz w:val="28"/>
                <w:szCs w:val="28"/>
              </w:rPr>
            </w:pPr>
            <w:r w:rsidRPr="00C3310F">
              <w:rPr>
                <w:rFonts w:hAnsi="標楷體" w:cs="新細明體" w:hint="eastAsia"/>
                <w:kern w:val="0"/>
                <w:sz w:val="28"/>
                <w:szCs w:val="28"/>
              </w:rPr>
              <w:t>星</w:t>
            </w:r>
            <w:r w:rsidR="0017588F" w:rsidRPr="00C3310F">
              <w:rPr>
                <w:rFonts w:hAnsi="標楷體" w:cs="新細明體" w:hint="eastAsia"/>
                <w:kern w:val="0"/>
                <w:sz w:val="28"/>
                <w:szCs w:val="28"/>
              </w:rPr>
              <w:t>○</w:t>
            </w:r>
            <w:r w:rsidRPr="00C3310F">
              <w:rPr>
                <w:rFonts w:hAnsi="標楷體" w:cs="新細明體"/>
                <w:kern w:val="0"/>
                <w:sz w:val="28"/>
                <w:szCs w:val="28"/>
              </w:rPr>
              <w:t>(</w:t>
            </w:r>
            <w:r w:rsidRPr="00C3310F">
              <w:rPr>
                <w:rFonts w:hAnsi="標楷體" w:cs="新細明體" w:hint="eastAsia"/>
                <w:kern w:val="0"/>
                <w:sz w:val="28"/>
                <w:szCs w:val="28"/>
              </w:rPr>
              <w:t>台灣</w:t>
            </w:r>
            <w:r w:rsidRPr="00C3310F">
              <w:rPr>
                <w:rFonts w:hAnsi="標楷體" w:cs="新細明體"/>
                <w:kern w:val="0"/>
                <w:sz w:val="28"/>
                <w:szCs w:val="28"/>
              </w:rPr>
              <w:t>)</w:t>
            </w:r>
            <w:r w:rsidRPr="00C3310F">
              <w:rPr>
                <w:rFonts w:hAnsi="標楷體" w:cs="新細明體" w:hint="eastAsia"/>
                <w:kern w:val="0"/>
                <w:sz w:val="28"/>
                <w:szCs w:val="28"/>
              </w:rPr>
              <w:t>商業銀行</w:t>
            </w:r>
          </w:p>
        </w:tc>
        <w:tc>
          <w:tcPr>
            <w:tcW w:w="542" w:type="pct"/>
            <w:tcBorders>
              <w:top w:val="nil"/>
              <w:left w:val="single" w:sz="4" w:space="0" w:color="auto"/>
              <w:bottom w:val="single" w:sz="4" w:space="0" w:color="000000"/>
              <w:right w:val="single" w:sz="4" w:space="0" w:color="auto"/>
            </w:tcBorders>
            <w:shd w:val="clear" w:color="auto" w:fill="auto"/>
            <w:vAlign w:val="center"/>
          </w:tcPr>
          <w:p w14:paraId="5DA057B6" w14:textId="77777777" w:rsidR="00B1648E" w:rsidRPr="00C3310F" w:rsidRDefault="00B1648E" w:rsidP="00062CD2">
            <w:pPr>
              <w:widowControl/>
              <w:snapToGrid w:val="0"/>
              <w:spacing w:line="360" w:lineRule="exact"/>
              <w:rPr>
                <w:rFonts w:hAnsi="標楷體"/>
                <w:sz w:val="28"/>
                <w:szCs w:val="28"/>
              </w:rPr>
            </w:pPr>
            <w:r w:rsidRPr="00C3310F">
              <w:rPr>
                <w:rFonts w:hAnsi="標楷體"/>
                <w:sz w:val="28"/>
                <w:szCs w:val="28"/>
              </w:rPr>
              <w:t>110.5.13</w:t>
            </w:r>
          </w:p>
        </w:tc>
        <w:tc>
          <w:tcPr>
            <w:tcW w:w="2642" w:type="pct"/>
            <w:tcBorders>
              <w:top w:val="nil"/>
              <w:left w:val="single" w:sz="4" w:space="0" w:color="auto"/>
              <w:bottom w:val="single" w:sz="4" w:space="0" w:color="000000"/>
              <w:right w:val="single" w:sz="4" w:space="0" w:color="auto"/>
            </w:tcBorders>
            <w:shd w:val="clear" w:color="auto" w:fill="auto"/>
            <w:vAlign w:val="center"/>
          </w:tcPr>
          <w:p w14:paraId="6B51D1CF" w14:textId="77777777" w:rsidR="00B1648E" w:rsidRPr="00C3310F" w:rsidRDefault="00B1648E" w:rsidP="00062CD2">
            <w:pPr>
              <w:widowControl/>
              <w:snapToGrid w:val="0"/>
              <w:spacing w:line="360" w:lineRule="exact"/>
              <w:rPr>
                <w:rFonts w:hAnsi="標楷體"/>
                <w:sz w:val="28"/>
                <w:szCs w:val="28"/>
              </w:rPr>
            </w:pPr>
            <w:r w:rsidRPr="00C3310F">
              <w:rPr>
                <w:rFonts w:hAnsi="標楷體" w:hint="eastAsia"/>
                <w:sz w:val="28"/>
                <w:szCs w:val="28"/>
              </w:rPr>
              <w:t>辦理一般業務檢查報告所列防制洗錢及打擊資恐相關缺失，核有違反銀行法第</w:t>
            </w:r>
            <w:r w:rsidRPr="00C3310F">
              <w:rPr>
                <w:rFonts w:hAnsi="標楷體"/>
                <w:sz w:val="28"/>
                <w:szCs w:val="28"/>
              </w:rPr>
              <w:t>45</w:t>
            </w:r>
            <w:r w:rsidRPr="00C3310F">
              <w:rPr>
                <w:rFonts w:hAnsi="標楷體" w:hint="eastAsia"/>
                <w:sz w:val="28"/>
                <w:szCs w:val="28"/>
              </w:rPr>
              <w:t>條之</w:t>
            </w:r>
            <w:r w:rsidRPr="00C3310F">
              <w:rPr>
                <w:rFonts w:hAnsi="標楷體"/>
                <w:sz w:val="28"/>
                <w:szCs w:val="28"/>
              </w:rPr>
              <w:t>1</w:t>
            </w:r>
            <w:r w:rsidRPr="00C3310F">
              <w:rPr>
                <w:rFonts w:hAnsi="標楷體" w:hint="eastAsia"/>
                <w:sz w:val="28"/>
                <w:szCs w:val="28"/>
              </w:rPr>
              <w:t>第</w:t>
            </w:r>
            <w:r w:rsidRPr="00C3310F">
              <w:rPr>
                <w:rFonts w:hAnsi="標楷體"/>
                <w:sz w:val="28"/>
                <w:szCs w:val="28"/>
              </w:rPr>
              <w:t>1</w:t>
            </w:r>
            <w:r w:rsidRPr="00C3310F">
              <w:rPr>
                <w:rFonts w:hAnsi="標楷體" w:hint="eastAsia"/>
                <w:sz w:val="28"/>
                <w:szCs w:val="28"/>
              </w:rPr>
              <w:t>項規定。</w:t>
            </w:r>
          </w:p>
        </w:tc>
        <w:tc>
          <w:tcPr>
            <w:tcW w:w="1217" w:type="pct"/>
            <w:tcBorders>
              <w:top w:val="nil"/>
              <w:left w:val="single" w:sz="4" w:space="0" w:color="auto"/>
              <w:bottom w:val="single" w:sz="4" w:space="0" w:color="000000"/>
              <w:right w:val="single" w:sz="4" w:space="0" w:color="auto"/>
            </w:tcBorders>
            <w:shd w:val="clear" w:color="auto" w:fill="auto"/>
            <w:vAlign w:val="center"/>
          </w:tcPr>
          <w:p w14:paraId="3CEAD33B" w14:textId="77777777" w:rsidR="00B1648E" w:rsidRPr="00C3310F" w:rsidRDefault="00B1648E" w:rsidP="00062CD2">
            <w:pPr>
              <w:widowControl/>
              <w:snapToGrid w:val="0"/>
              <w:spacing w:line="360" w:lineRule="exact"/>
              <w:rPr>
                <w:rFonts w:hAnsi="標楷體"/>
                <w:sz w:val="28"/>
                <w:szCs w:val="28"/>
              </w:rPr>
            </w:pPr>
            <w:r w:rsidRPr="00C3310F">
              <w:rPr>
                <w:rFonts w:hAnsi="標楷體" w:hint="eastAsia"/>
                <w:sz w:val="28"/>
                <w:szCs w:val="28"/>
              </w:rPr>
              <w:t>核處</w:t>
            </w:r>
            <w:r w:rsidRPr="00C3310F">
              <w:rPr>
                <w:rFonts w:hAnsi="標楷體"/>
                <w:sz w:val="28"/>
                <w:szCs w:val="28"/>
              </w:rPr>
              <w:t>600</w:t>
            </w:r>
            <w:r w:rsidRPr="00C3310F">
              <w:rPr>
                <w:rFonts w:hAnsi="標楷體" w:hint="eastAsia"/>
                <w:sz w:val="28"/>
                <w:szCs w:val="28"/>
              </w:rPr>
              <w:t>萬元罰鍰。</w:t>
            </w:r>
          </w:p>
        </w:tc>
      </w:tr>
      <w:tr w:rsidR="00C3310F" w:rsidRPr="00C3310F" w14:paraId="4DE966F5" w14:textId="77777777" w:rsidTr="00DB430F">
        <w:trPr>
          <w:trHeight w:val="20"/>
        </w:trPr>
        <w:tc>
          <w:tcPr>
            <w:tcW w:w="599" w:type="pct"/>
            <w:tcBorders>
              <w:top w:val="nil"/>
              <w:left w:val="single" w:sz="4" w:space="0" w:color="auto"/>
              <w:bottom w:val="single" w:sz="4" w:space="0" w:color="000000"/>
              <w:right w:val="single" w:sz="4" w:space="0" w:color="auto"/>
            </w:tcBorders>
            <w:shd w:val="clear" w:color="auto" w:fill="auto"/>
            <w:vAlign w:val="center"/>
          </w:tcPr>
          <w:p w14:paraId="4AB2B819" w14:textId="163DDBE0" w:rsidR="00B1648E" w:rsidRPr="00C3310F" w:rsidRDefault="00B1648E" w:rsidP="00062CD2">
            <w:pPr>
              <w:widowControl/>
              <w:snapToGrid w:val="0"/>
              <w:spacing w:line="360" w:lineRule="exact"/>
              <w:rPr>
                <w:rFonts w:hAnsi="標楷體" w:cs="新細明體"/>
                <w:kern w:val="0"/>
                <w:sz w:val="28"/>
                <w:szCs w:val="28"/>
              </w:rPr>
            </w:pPr>
            <w:r w:rsidRPr="00C3310F">
              <w:rPr>
                <w:rFonts w:hAnsi="標楷體" w:cs="新細明體" w:hint="eastAsia"/>
                <w:kern w:val="0"/>
                <w:sz w:val="28"/>
                <w:szCs w:val="28"/>
              </w:rPr>
              <w:t>台北富</w:t>
            </w:r>
            <w:r w:rsidR="002740C5" w:rsidRPr="00C3310F">
              <w:rPr>
                <w:rFonts w:hAnsi="標楷體" w:cs="新細明體" w:hint="eastAsia"/>
                <w:kern w:val="0"/>
                <w:sz w:val="28"/>
                <w:szCs w:val="28"/>
              </w:rPr>
              <w:t>○</w:t>
            </w:r>
            <w:r w:rsidRPr="00C3310F">
              <w:rPr>
                <w:rFonts w:hAnsi="標楷體" w:cs="新細明體" w:hint="eastAsia"/>
                <w:kern w:val="0"/>
                <w:sz w:val="28"/>
                <w:szCs w:val="28"/>
              </w:rPr>
              <w:t>商業銀行</w:t>
            </w:r>
          </w:p>
        </w:tc>
        <w:tc>
          <w:tcPr>
            <w:tcW w:w="542" w:type="pct"/>
            <w:tcBorders>
              <w:top w:val="nil"/>
              <w:left w:val="single" w:sz="4" w:space="0" w:color="auto"/>
              <w:bottom w:val="single" w:sz="4" w:space="0" w:color="000000"/>
              <w:right w:val="single" w:sz="4" w:space="0" w:color="auto"/>
            </w:tcBorders>
            <w:shd w:val="clear" w:color="auto" w:fill="auto"/>
            <w:vAlign w:val="center"/>
          </w:tcPr>
          <w:p w14:paraId="454D8527" w14:textId="77777777" w:rsidR="00B1648E" w:rsidRPr="00C3310F" w:rsidRDefault="00B1648E" w:rsidP="00062CD2">
            <w:pPr>
              <w:widowControl/>
              <w:snapToGrid w:val="0"/>
              <w:spacing w:line="360" w:lineRule="exact"/>
              <w:rPr>
                <w:rFonts w:hAnsi="標楷體"/>
                <w:sz w:val="28"/>
                <w:szCs w:val="28"/>
              </w:rPr>
            </w:pPr>
            <w:r w:rsidRPr="00C3310F">
              <w:rPr>
                <w:rFonts w:hAnsi="標楷體" w:hint="eastAsia"/>
                <w:sz w:val="28"/>
                <w:szCs w:val="28"/>
              </w:rPr>
              <w:t>110.8.19</w:t>
            </w:r>
          </w:p>
        </w:tc>
        <w:tc>
          <w:tcPr>
            <w:tcW w:w="2642" w:type="pct"/>
            <w:tcBorders>
              <w:top w:val="nil"/>
              <w:left w:val="single" w:sz="4" w:space="0" w:color="auto"/>
              <w:bottom w:val="single" w:sz="4" w:space="0" w:color="000000"/>
              <w:right w:val="single" w:sz="4" w:space="0" w:color="auto"/>
            </w:tcBorders>
            <w:shd w:val="clear" w:color="auto" w:fill="auto"/>
            <w:vAlign w:val="center"/>
          </w:tcPr>
          <w:p w14:paraId="49F9FC7D" w14:textId="77777777" w:rsidR="00B1648E" w:rsidRPr="00C3310F" w:rsidRDefault="00B1648E" w:rsidP="00062CD2">
            <w:pPr>
              <w:widowControl/>
              <w:snapToGrid w:val="0"/>
              <w:spacing w:line="360" w:lineRule="exact"/>
              <w:rPr>
                <w:rFonts w:hAnsi="標楷體"/>
                <w:sz w:val="28"/>
                <w:szCs w:val="28"/>
              </w:rPr>
            </w:pPr>
            <w:r w:rsidRPr="00C3310F">
              <w:rPr>
                <w:rFonts w:hAnsi="標楷體" w:hint="eastAsia"/>
                <w:sz w:val="28"/>
                <w:szCs w:val="28"/>
              </w:rPr>
              <w:t>香港分行107年7月辦理總經理原為實質受益人之久未往來帳戶重新恢復啟用作業，案關客戶之新實質受益人未依該行規定之書件提出申請，該分行即同意解除久未往來帳戶狀態，且匯入、匯出款項，並於108年2月始完成對案關客戶帳戶重新啟用之確認客戶身分作業，相關缺失已違反該行所定外匯存款辦法及防制洗錢作業等規定之作業原則，涉總行未建立久未往來帳戶重啟之流程與相關作業程序，及未確實督導香港分行辦理久未往來帳戶重啟之確認客戶身分作業，核有違反銀行法第45條之1第1項規定。</w:t>
            </w:r>
          </w:p>
        </w:tc>
        <w:tc>
          <w:tcPr>
            <w:tcW w:w="1217" w:type="pct"/>
            <w:tcBorders>
              <w:top w:val="nil"/>
              <w:left w:val="single" w:sz="4" w:space="0" w:color="auto"/>
              <w:bottom w:val="single" w:sz="4" w:space="0" w:color="000000"/>
              <w:right w:val="single" w:sz="4" w:space="0" w:color="auto"/>
            </w:tcBorders>
            <w:shd w:val="clear" w:color="auto" w:fill="auto"/>
            <w:vAlign w:val="center"/>
          </w:tcPr>
          <w:p w14:paraId="165820A7" w14:textId="77777777" w:rsidR="00B1648E" w:rsidRPr="00C3310F" w:rsidRDefault="00B1648E" w:rsidP="00062CD2">
            <w:pPr>
              <w:widowControl/>
              <w:snapToGrid w:val="0"/>
              <w:spacing w:line="360" w:lineRule="exact"/>
              <w:rPr>
                <w:rFonts w:hAnsi="標楷體"/>
                <w:sz w:val="28"/>
                <w:szCs w:val="28"/>
              </w:rPr>
            </w:pPr>
            <w:r w:rsidRPr="00C3310F">
              <w:rPr>
                <w:rFonts w:hAnsi="標楷體" w:hint="eastAsia"/>
                <w:sz w:val="28"/>
                <w:szCs w:val="28"/>
              </w:rPr>
              <w:t>該行海外分行辦理防制洗錢作業所涉缺失一案，核有違反銀行法第45條之1第1項規定，依同法第129條第7款規定，核處200萬元罰鍰。</w:t>
            </w:r>
          </w:p>
        </w:tc>
      </w:tr>
      <w:tr w:rsidR="00C3310F" w:rsidRPr="00C3310F" w14:paraId="630F2621" w14:textId="77777777" w:rsidTr="00DB430F">
        <w:trPr>
          <w:trHeight w:val="20"/>
        </w:trPr>
        <w:tc>
          <w:tcPr>
            <w:tcW w:w="599" w:type="pct"/>
            <w:tcBorders>
              <w:top w:val="nil"/>
              <w:left w:val="single" w:sz="4" w:space="0" w:color="auto"/>
              <w:bottom w:val="single" w:sz="4" w:space="0" w:color="000000"/>
              <w:right w:val="single" w:sz="4" w:space="0" w:color="auto"/>
            </w:tcBorders>
            <w:shd w:val="clear" w:color="auto" w:fill="auto"/>
            <w:vAlign w:val="center"/>
          </w:tcPr>
          <w:p w14:paraId="0E1F9900" w14:textId="5F87E18A" w:rsidR="00B1648E" w:rsidRPr="00C3310F" w:rsidRDefault="00B1648E" w:rsidP="00062CD2">
            <w:pPr>
              <w:widowControl/>
              <w:snapToGrid w:val="0"/>
              <w:spacing w:line="360" w:lineRule="exact"/>
              <w:rPr>
                <w:rFonts w:hAnsi="標楷體" w:cs="新細明體"/>
                <w:kern w:val="0"/>
                <w:sz w:val="28"/>
                <w:szCs w:val="28"/>
              </w:rPr>
            </w:pPr>
            <w:r w:rsidRPr="00C3310F">
              <w:rPr>
                <w:rFonts w:hAnsi="標楷體" w:cs="新細明體" w:hint="eastAsia"/>
                <w:kern w:val="0"/>
                <w:sz w:val="28"/>
                <w:szCs w:val="28"/>
              </w:rPr>
              <w:t>聯</w:t>
            </w:r>
            <w:r w:rsidR="002740C5" w:rsidRPr="00C3310F">
              <w:rPr>
                <w:rFonts w:hAnsi="標楷體" w:cs="新細明體" w:hint="eastAsia"/>
                <w:kern w:val="0"/>
                <w:sz w:val="28"/>
                <w:szCs w:val="28"/>
              </w:rPr>
              <w:t>○</w:t>
            </w:r>
            <w:r w:rsidRPr="00C3310F">
              <w:rPr>
                <w:rFonts w:hAnsi="標楷體" w:cs="新細明體" w:hint="eastAsia"/>
                <w:kern w:val="0"/>
                <w:sz w:val="28"/>
                <w:szCs w:val="28"/>
              </w:rPr>
              <w:t>商業銀行</w:t>
            </w:r>
          </w:p>
        </w:tc>
        <w:tc>
          <w:tcPr>
            <w:tcW w:w="542" w:type="pct"/>
            <w:tcBorders>
              <w:top w:val="nil"/>
              <w:left w:val="single" w:sz="4" w:space="0" w:color="auto"/>
              <w:bottom w:val="single" w:sz="4" w:space="0" w:color="000000"/>
              <w:right w:val="single" w:sz="4" w:space="0" w:color="auto"/>
            </w:tcBorders>
            <w:shd w:val="clear" w:color="auto" w:fill="auto"/>
            <w:vAlign w:val="center"/>
          </w:tcPr>
          <w:p w14:paraId="6D3D603A" w14:textId="77777777" w:rsidR="00B1648E" w:rsidRPr="00C3310F" w:rsidRDefault="00B1648E" w:rsidP="00062CD2">
            <w:pPr>
              <w:widowControl/>
              <w:snapToGrid w:val="0"/>
              <w:spacing w:line="360" w:lineRule="exact"/>
              <w:rPr>
                <w:rFonts w:hAnsi="標楷體"/>
                <w:sz w:val="28"/>
                <w:szCs w:val="28"/>
              </w:rPr>
            </w:pPr>
            <w:r w:rsidRPr="00C3310F">
              <w:rPr>
                <w:rFonts w:hAnsi="標楷體" w:hint="eastAsia"/>
                <w:sz w:val="28"/>
                <w:szCs w:val="28"/>
              </w:rPr>
              <w:t>112.3.31</w:t>
            </w:r>
          </w:p>
        </w:tc>
        <w:tc>
          <w:tcPr>
            <w:tcW w:w="2642" w:type="pct"/>
            <w:tcBorders>
              <w:top w:val="nil"/>
              <w:left w:val="single" w:sz="4" w:space="0" w:color="auto"/>
              <w:bottom w:val="single" w:sz="4" w:space="0" w:color="000000"/>
              <w:right w:val="single" w:sz="4" w:space="0" w:color="auto"/>
            </w:tcBorders>
            <w:shd w:val="clear" w:color="auto" w:fill="auto"/>
          </w:tcPr>
          <w:p w14:paraId="66A178FE" w14:textId="77777777" w:rsidR="00B1648E" w:rsidRPr="00C3310F" w:rsidRDefault="00B1648E" w:rsidP="00062CD2">
            <w:pPr>
              <w:widowControl/>
              <w:snapToGrid w:val="0"/>
              <w:spacing w:line="360" w:lineRule="exact"/>
              <w:rPr>
                <w:rFonts w:hAnsi="標楷體"/>
                <w:sz w:val="28"/>
                <w:szCs w:val="28"/>
              </w:rPr>
            </w:pPr>
            <w:r w:rsidRPr="00C3310F">
              <w:rPr>
                <w:rFonts w:hAnsi="標楷體" w:hint="eastAsia"/>
                <w:sz w:val="28"/>
                <w:szCs w:val="28"/>
              </w:rPr>
              <w:t>辦理自然人購屋貸款業務，未完善建立及落實執行洗錢防制作業，核有違反洗錢防</w:t>
            </w:r>
            <w:r w:rsidRPr="00C3310F">
              <w:rPr>
                <w:rFonts w:hAnsi="標楷體" w:hint="eastAsia"/>
                <w:sz w:val="28"/>
                <w:szCs w:val="28"/>
              </w:rPr>
              <w:lastRenderedPageBreak/>
              <w:t>制法第7條第1項，同條第4項授權訂定金融機構防制洗錢辦法第5條及第9條規定。</w:t>
            </w:r>
          </w:p>
        </w:tc>
        <w:tc>
          <w:tcPr>
            <w:tcW w:w="1217" w:type="pct"/>
            <w:tcBorders>
              <w:top w:val="nil"/>
              <w:left w:val="single" w:sz="4" w:space="0" w:color="auto"/>
              <w:bottom w:val="single" w:sz="4" w:space="0" w:color="000000"/>
              <w:right w:val="single" w:sz="4" w:space="0" w:color="auto"/>
            </w:tcBorders>
            <w:shd w:val="clear" w:color="auto" w:fill="auto"/>
          </w:tcPr>
          <w:p w14:paraId="5BABA614" w14:textId="77777777" w:rsidR="00B1648E" w:rsidRPr="00C3310F" w:rsidRDefault="00B1648E" w:rsidP="00062CD2">
            <w:pPr>
              <w:widowControl/>
              <w:snapToGrid w:val="0"/>
              <w:spacing w:line="360" w:lineRule="exact"/>
              <w:rPr>
                <w:rFonts w:hAnsi="標楷體"/>
                <w:sz w:val="28"/>
                <w:szCs w:val="28"/>
              </w:rPr>
            </w:pPr>
            <w:r w:rsidRPr="00C3310F">
              <w:rPr>
                <w:rFonts w:hAnsi="標楷體" w:hint="eastAsia"/>
                <w:sz w:val="28"/>
                <w:szCs w:val="28"/>
              </w:rPr>
              <w:lastRenderedPageBreak/>
              <w:t>核處150萬元罰緩。</w:t>
            </w:r>
          </w:p>
        </w:tc>
      </w:tr>
      <w:tr w:rsidR="00C3310F" w:rsidRPr="00C3310F" w14:paraId="7543975D" w14:textId="77777777" w:rsidTr="00DB430F">
        <w:trPr>
          <w:trHeight w:val="20"/>
        </w:trPr>
        <w:tc>
          <w:tcPr>
            <w:tcW w:w="599" w:type="pct"/>
            <w:tcBorders>
              <w:top w:val="nil"/>
              <w:left w:val="single" w:sz="4" w:space="0" w:color="auto"/>
              <w:bottom w:val="single" w:sz="4" w:space="0" w:color="000000"/>
              <w:right w:val="single" w:sz="4" w:space="0" w:color="auto"/>
            </w:tcBorders>
            <w:shd w:val="clear" w:color="auto" w:fill="auto"/>
            <w:vAlign w:val="center"/>
          </w:tcPr>
          <w:p w14:paraId="5736AA29" w14:textId="741EA1E1" w:rsidR="00B1648E" w:rsidRPr="00C3310F" w:rsidRDefault="00B1648E" w:rsidP="00062CD2">
            <w:pPr>
              <w:widowControl/>
              <w:snapToGrid w:val="0"/>
              <w:spacing w:line="360" w:lineRule="exact"/>
              <w:rPr>
                <w:rFonts w:hAnsi="標楷體" w:cs="新細明體"/>
                <w:kern w:val="0"/>
                <w:sz w:val="28"/>
                <w:szCs w:val="28"/>
              </w:rPr>
            </w:pPr>
            <w:r w:rsidRPr="00C3310F">
              <w:rPr>
                <w:rFonts w:hAnsi="標楷體" w:cs="新細明體" w:hint="eastAsia"/>
                <w:kern w:val="0"/>
                <w:sz w:val="28"/>
                <w:szCs w:val="28"/>
              </w:rPr>
              <w:t>聯</w:t>
            </w:r>
            <w:r w:rsidR="002740C5" w:rsidRPr="00C3310F">
              <w:rPr>
                <w:rFonts w:hAnsi="標楷體" w:cs="新細明體" w:hint="eastAsia"/>
                <w:kern w:val="0"/>
                <w:sz w:val="28"/>
                <w:szCs w:val="28"/>
              </w:rPr>
              <w:t>○</w:t>
            </w:r>
            <w:r w:rsidRPr="00C3310F">
              <w:rPr>
                <w:rFonts w:hAnsi="標楷體" w:cs="新細明體" w:hint="eastAsia"/>
                <w:kern w:val="0"/>
                <w:sz w:val="28"/>
                <w:szCs w:val="28"/>
              </w:rPr>
              <w:t>商業銀行</w:t>
            </w:r>
          </w:p>
        </w:tc>
        <w:tc>
          <w:tcPr>
            <w:tcW w:w="542" w:type="pct"/>
            <w:tcBorders>
              <w:top w:val="nil"/>
              <w:left w:val="single" w:sz="4" w:space="0" w:color="auto"/>
              <w:bottom w:val="single" w:sz="4" w:space="0" w:color="000000"/>
              <w:right w:val="single" w:sz="4" w:space="0" w:color="auto"/>
            </w:tcBorders>
            <w:shd w:val="clear" w:color="auto" w:fill="auto"/>
            <w:vAlign w:val="center"/>
          </w:tcPr>
          <w:p w14:paraId="672ACF7E" w14:textId="77777777" w:rsidR="00B1648E" w:rsidRPr="00C3310F" w:rsidRDefault="00B1648E" w:rsidP="00062CD2">
            <w:pPr>
              <w:widowControl/>
              <w:snapToGrid w:val="0"/>
              <w:spacing w:line="360" w:lineRule="exact"/>
              <w:rPr>
                <w:rFonts w:hAnsi="標楷體"/>
                <w:sz w:val="28"/>
                <w:szCs w:val="28"/>
              </w:rPr>
            </w:pPr>
            <w:r w:rsidRPr="00C3310F">
              <w:rPr>
                <w:rFonts w:hAnsi="標楷體" w:hint="eastAsia"/>
                <w:sz w:val="28"/>
                <w:szCs w:val="28"/>
              </w:rPr>
              <w:t>112.9.15</w:t>
            </w:r>
          </w:p>
        </w:tc>
        <w:tc>
          <w:tcPr>
            <w:tcW w:w="2642" w:type="pct"/>
            <w:tcBorders>
              <w:top w:val="nil"/>
              <w:left w:val="single" w:sz="4" w:space="0" w:color="auto"/>
              <w:bottom w:val="single" w:sz="4" w:space="0" w:color="000000"/>
              <w:right w:val="single" w:sz="4" w:space="0" w:color="auto"/>
            </w:tcBorders>
            <w:shd w:val="clear" w:color="auto" w:fill="auto"/>
          </w:tcPr>
          <w:p w14:paraId="7067047D" w14:textId="77777777" w:rsidR="00B1648E" w:rsidRPr="00C3310F" w:rsidRDefault="00B1648E" w:rsidP="00062CD2">
            <w:pPr>
              <w:widowControl/>
              <w:snapToGrid w:val="0"/>
              <w:spacing w:line="360" w:lineRule="exact"/>
              <w:rPr>
                <w:rFonts w:hAnsi="標楷體"/>
                <w:sz w:val="28"/>
                <w:szCs w:val="28"/>
              </w:rPr>
            </w:pPr>
            <w:r w:rsidRPr="00C3310F">
              <w:rPr>
                <w:rFonts w:hAnsi="標楷體" w:hint="eastAsia"/>
                <w:sz w:val="28"/>
                <w:szCs w:val="28"/>
              </w:rPr>
              <w:t>該行集賢分行辦理國外匯出匯款作業，對於符合疑似洗錢表徵之交易未能有效執行洗錢表徵交易之監控、審核及通報機制，有礙健全經營之虞。</w:t>
            </w:r>
          </w:p>
        </w:tc>
        <w:tc>
          <w:tcPr>
            <w:tcW w:w="1217" w:type="pct"/>
            <w:tcBorders>
              <w:top w:val="nil"/>
              <w:left w:val="single" w:sz="4" w:space="0" w:color="auto"/>
              <w:bottom w:val="single" w:sz="4" w:space="0" w:color="000000"/>
              <w:right w:val="single" w:sz="4" w:space="0" w:color="auto"/>
            </w:tcBorders>
            <w:shd w:val="clear" w:color="auto" w:fill="auto"/>
          </w:tcPr>
          <w:p w14:paraId="3B2428F2" w14:textId="77777777" w:rsidR="00B1648E" w:rsidRPr="00C3310F" w:rsidRDefault="00B1648E" w:rsidP="00062CD2">
            <w:pPr>
              <w:widowControl/>
              <w:snapToGrid w:val="0"/>
              <w:spacing w:line="360" w:lineRule="exact"/>
              <w:rPr>
                <w:rFonts w:hAnsi="標楷體"/>
                <w:sz w:val="28"/>
                <w:szCs w:val="28"/>
              </w:rPr>
            </w:pPr>
            <w:r w:rsidRPr="00C3310F">
              <w:rPr>
                <w:rFonts w:hAnsi="標楷體" w:hint="eastAsia"/>
                <w:sz w:val="28"/>
                <w:szCs w:val="28"/>
              </w:rPr>
              <w:t>依銀行法第61條之1規定，核處糾正。</w:t>
            </w:r>
          </w:p>
        </w:tc>
      </w:tr>
      <w:tr w:rsidR="00C3310F" w:rsidRPr="00C3310F" w14:paraId="7ECA970C" w14:textId="77777777" w:rsidTr="00DB430F">
        <w:trPr>
          <w:trHeight w:val="20"/>
        </w:trPr>
        <w:tc>
          <w:tcPr>
            <w:tcW w:w="599" w:type="pct"/>
            <w:tcBorders>
              <w:top w:val="nil"/>
              <w:left w:val="single" w:sz="4" w:space="0" w:color="auto"/>
              <w:bottom w:val="single" w:sz="4" w:space="0" w:color="000000"/>
              <w:right w:val="single" w:sz="4" w:space="0" w:color="auto"/>
            </w:tcBorders>
            <w:shd w:val="clear" w:color="auto" w:fill="auto"/>
            <w:vAlign w:val="center"/>
          </w:tcPr>
          <w:p w14:paraId="3D12C79E" w14:textId="515C9D62" w:rsidR="00B1648E" w:rsidRPr="00C3310F" w:rsidRDefault="00B1648E" w:rsidP="00062CD2">
            <w:pPr>
              <w:widowControl/>
              <w:snapToGrid w:val="0"/>
              <w:spacing w:line="360" w:lineRule="exact"/>
              <w:rPr>
                <w:rFonts w:hAnsi="標楷體" w:cs="新細明體"/>
                <w:kern w:val="0"/>
                <w:sz w:val="28"/>
                <w:szCs w:val="28"/>
              </w:rPr>
            </w:pPr>
            <w:r w:rsidRPr="00C3310F">
              <w:rPr>
                <w:rFonts w:hAnsi="標楷體" w:cs="新細明體" w:hint="eastAsia"/>
                <w:kern w:val="0"/>
                <w:sz w:val="28"/>
                <w:szCs w:val="28"/>
              </w:rPr>
              <w:t>聯</w:t>
            </w:r>
            <w:r w:rsidR="002740C5" w:rsidRPr="00C3310F">
              <w:rPr>
                <w:rFonts w:hAnsi="標楷體" w:cs="新細明體" w:hint="eastAsia"/>
                <w:kern w:val="0"/>
                <w:sz w:val="28"/>
                <w:szCs w:val="28"/>
              </w:rPr>
              <w:t>○</w:t>
            </w:r>
            <w:r w:rsidRPr="00C3310F">
              <w:rPr>
                <w:rFonts w:hAnsi="標楷體" w:cs="新細明體" w:hint="eastAsia"/>
                <w:kern w:val="0"/>
                <w:sz w:val="28"/>
                <w:szCs w:val="28"/>
              </w:rPr>
              <w:t>商業銀行</w:t>
            </w:r>
          </w:p>
        </w:tc>
        <w:tc>
          <w:tcPr>
            <w:tcW w:w="542" w:type="pct"/>
            <w:tcBorders>
              <w:top w:val="nil"/>
              <w:left w:val="single" w:sz="4" w:space="0" w:color="auto"/>
              <w:bottom w:val="single" w:sz="4" w:space="0" w:color="000000"/>
              <w:right w:val="single" w:sz="4" w:space="0" w:color="auto"/>
            </w:tcBorders>
            <w:shd w:val="clear" w:color="auto" w:fill="auto"/>
            <w:vAlign w:val="center"/>
          </w:tcPr>
          <w:p w14:paraId="1480C38E" w14:textId="77777777" w:rsidR="00B1648E" w:rsidRPr="00C3310F" w:rsidRDefault="00B1648E" w:rsidP="00062CD2">
            <w:pPr>
              <w:widowControl/>
              <w:snapToGrid w:val="0"/>
              <w:spacing w:line="360" w:lineRule="exact"/>
              <w:rPr>
                <w:rFonts w:hAnsi="標楷體"/>
                <w:sz w:val="28"/>
                <w:szCs w:val="28"/>
              </w:rPr>
            </w:pPr>
            <w:r w:rsidRPr="00C3310F">
              <w:rPr>
                <w:rFonts w:hAnsi="標楷體" w:hint="eastAsia"/>
                <w:sz w:val="28"/>
                <w:szCs w:val="28"/>
              </w:rPr>
              <w:t>112.11.24</w:t>
            </w:r>
          </w:p>
        </w:tc>
        <w:tc>
          <w:tcPr>
            <w:tcW w:w="2642" w:type="pct"/>
            <w:tcBorders>
              <w:top w:val="nil"/>
              <w:left w:val="single" w:sz="4" w:space="0" w:color="auto"/>
              <w:bottom w:val="single" w:sz="4" w:space="0" w:color="000000"/>
              <w:right w:val="single" w:sz="4" w:space="0" w:color="auto"/>
            </w:tcBorders>
            <w:shd w:val="clear" w:color="auto" w:fill="auto"/>
          </w:tcPr>
          <w:p w14:paraId="2ADAD92E" w14:textId="77777777" w:rsidR="00B1648E" w:rsidRPr="00C3310F" w:rsidRDefault="00B1648E" w:rsidP="00062CD2">
            <w:pPr>
              <w:widowControl/>
              <w:snapToGrid w:val="0"/>
              <w:spacing w:line="360" w:lineRule="exact"/>
              <w:rPr>
                <w:rFonts w:hAnsi="標楷體"/>
                <w:sz w:val="28"/>
                <w:szCs w:val="28"/>
              </w:rPr>
            </w:pPr>
            <w:r w:rsidRPr="00C3310F">
              <w:rPr>
                <w:rFonts w:hAnsi="標楷體" w:hint="eastAsia"/>
                <w:sz w:val="28"/>
                <w:szCs w:val="28"/>
              </w:rPr>
              <w:t>辦理存款開戶及臨櫃提領大額現金作業所涉缺失，核有違反銀行法第45條之1第1項及授權訂定之「金融控股公司及銀行業內部控制及稽核制度實施辦法」第3條、第8條規定。</w:t>
            </w:r>
          </w:p>
        </w:tc>
        <w:tc>
          <w:tcPr>
            <w:tcW w:w="1217" w:type="pct"/>
            <w:tcBorders>
              <w:top w:val="nil"/>
              <w:left w:val="single" w:sz="4" w:space="0" w:color="auto"/>
              <w:bottom w:val="single" w:sz="4" w:space="0" w:color="000000"/>
              <w:right w:val="single" w:sz="4" w:space="0" w:color="auto"/>
            </w:tcBorders>
            <w:shd w:val="clear" w:color="auto" w:fill="auto"/>
          </w:tcPr>
          <w:p w14:paraId="28CA9533" w14:textId="77777777" w:rsidR="00B1648E" w:rsidRPr="00C3310F" w:rsidRDefault="00B1648E" w:rsidP="00062CD2">
            <w:pPr>
              <w:widowControl/>
              <w:snapToGrid w:val="0"/>
              <w:spacing w:line="360" w:lineRule="exact"/>
              <w:rPr>
                <w:rFonts w:hAnsi="標楷體"/>
                <w:sz w:val="28"/>
                <w:szCs w:val="28"/>
              </w:rPr>
            </w:pPr>
            <w:r w:rsidRPr="00C3310F">
              <w:rPr>
                <w:rFonts w:hAnsi="標楷體" w:hint="eastAsia"/>
                <w:sz w:val="28"/>
                <w:szCs w:val="28"/>
              </w:rPr>
              <w:t>核處1,200萬元罰鍰。</w:t>
            </w:r>
          </w:p>
        </w:tc>
      </w:tr>
      <w:tr w:rsidR="00C3310F" w:rsidRPr="00C3310F" w14:paraId="5AD3D4B1" w14:textId="77777777" w:rsidTr="00DB430F">
        <w:trPr>
          <w:trHeight w:val="20"/>
        </w:trPr>
        <w:tc>
          <w:tcPr>
            <w:tcW w:w="599" w:type="pct"/>
            <w:tcBorders>
              <w:top w:val="nil"/>
              <w:left w:val="single" w:sz="4" w:space="0" w:color="auto"/>
              <w:bottom w:val="single" w:sz="4" w:space="0" w:color="000000"/>
              <w:right w:val="single" w:sz="4" w:space="0" w:color="auto"/>
            </w:tcBorders>
            <w:shd w:val="clear" w:color="auto" w:fill="auto"/>
            <w:vAlign w:val="center"/>
          </w:tcPr>
          <w:p w14:paraId="3D11992D" w14:textId="723C8661" w:rsidR="00B1648E" w:rsidRPr="00C3310F" w:rsidRDefault="00B1648E" w:rsidP="00062CD2">
            <w:pPr>
              <w:widowControl/>
              <w:snapToGrid w:val="0"/>
              <w:spacing w:line="360" w:lineRule="exact"/>
              <w:rPr>
                <w:rFonts w:hAnsi="標楷體" w:cs="新細明體"/>
                <w:kern w:val="0"/>
                <w:sz w:val="28"/>
                <w:szCs w:val="28"/>
              </w:rPr>
            </w:pPr>
            <w:r w:rsidRPr="00C3310F">
              <w:rPr>
                <w:rFonts w:hAnsi="標楷體" w:cs="新細明體" w:hint="eastAsia"/>
                <w:kern w:val="0"/>
                <w:sz w:val="28"/>
                <w:szCs w:val="28"/>
              </w:rPr>
              <w:t>臺灣新</w:t>
            </w:r>
            <w:r w:rsidR="002740C5" w:rsidRPr="00C3310F">
              <w:rPr>
                <w:rFonts w:hAnsi="標楷體" w:cs="新細明體" w:hint="eastAsia"/>
                <w:kern w:val="0"/>
                <w:sz w:val="28"/>
                <w:szCs w:val="28"/>
              </w:rPr>
              <w:t>○</w:t>
            </w:r>
            <w:r w:rsidRPr="00C3310F">
              <w:rPr>
                <w:rFonts w:hAnsi="標楷體" w:cs="新細明體" w:hint="eastAsia"/>
                <w:kern w:val="0"/>
                <w:sz w:val="28"/>
                <w:szCs w:val="28"/>
              </w:rPr>
              <w:t>商業銀行</w:t>
            </w:r>
          </w:p>
        </w:tc>
        <w:tc>
          <w:tcPr>
            <w:tcW w:w="542" w:type="pct"/>
            <w:tcBorders>
              <w:top w:val="nil"/>
              <w:left w:val="single" w:sz="4" w:space="0" w:color="auto"/>
              <w:bottom w:val="single" w:sz="4" w:space="0" w:color="000000"/>
              <w:right w:val="single" w:sz="4" w:space="0" w:color="auto"/>
            </w:tcBorders>
            <w:shd w:val="clear" w:color="auto" w:fill="auto"/>
            <w:vAlign w:val="center"/>
          </w:tcPr>
          <w:p w14:paraId="672E29E3" w14:textId="77777777" w:rsidR="00B1648E" w:rsidRPr="00C3310F" w:rsidRDefault="00B1648E" w:rsidP="00062CD2">
            <w:pPr>
              <w:widowControl/>
              <w:snapToGrid w:val="0"/>
              <w:spacing w:line="360" w:lineRule="exact"/>
              <w:rPr>
                <w:rFonts w:hAnsi="標楷體"/>
                <w:sz w:val="28"/>
                <w:szCs w:val="28"/>
              </w:rPr>
            </w:pPr>
            <w:r w:rsidRPr="00C3310F">
              <w:rPr>
                <w:rFonts w:hAnsi="標楷體" w:hint="eastAsia"/>
                <w:sz w:val="28"/>
                <w:szCs w:val="28"/>
              </w:rPr>
              <w:t>112.3.31</w:t>
            </w:r>
          </w:p>
        </w:tc>
        <w:tc>
          <w:tcPr>
            <w:tcW w:w="2642" w:type="pct"/>
            <w:tcBorders>
              <w:top w:val="nil"/>
              <w:left w:val="single" w:sz="4" w:space="0" w:color="auto"/>
              <w:bottom w:val="single" w:sz="4" w:space="0" w:color="000000"/>
              <w:right w:val="single" w:sz="4" w:space="0" w:color="auto"/>
            </w:tcBorders>
            <w:shd w:val="clear" w:color="auto" w:fill="auto"/>
          </w:tcPr>
          <w:p w14:paraId="7109E1CC" w14:textId="77777777" w:rsidR="00B1648E" w:rsidRPr="00C3310F" w:rsidRDefault="00B1648E" w:rsidP="00062CD2">
            <w:pPr>
              <w:widowControl/>
              <w:snapToGrid w:val="0"/>
              <w:spacing w:line="360" w:lineRule="exact"/>
              <w:rPr>
                <w:rFonts w:hAnsi="標楷體"/>
                <w:sz w:val="28"/>
                <w:szCs w:val="28"/>
              </w:rPr>
            </w:pPr>
            <w:r w:rsidRPr="00C3310F">
              <w:rPr>
                <w:rFonts w:hAnsi="標楷體" w:hint="eastAsia"/>
                <w:sz w:val="28"/>
                <w:szCs w:val="28"/>
              </w:rPr>
              <w:t>辦理自然人購屋貸款作業，未完善建立及落實執行洗錢防制作業，核有違反洗錢防制法第7條第1項、同條第4項授權訂定之金融機構防制洗錢辦法第5條及第9條規定，依洗錢防制法第7條第5項規定。</w:t>
            </w:r>
          </w:p>
        </w:tc>
        <w:tc>
          <w:tcPr>
            <w:tcW w:w="1217" w:type="pct"/>
            <w:tcBorders>
              <w:top w:val="nil"/>
              <w:left w:val="single" w:sz="4" w:space="0" w:color="auto"/>
              <w:bottom w:val="single" w:sz="4" w:space="0" w:color="000000"/>
              <w:right w:val="single" w:sz="4" w:space="0" w:color="auto"/>
            </w:tcBorders>
            <w:shd w:val="clear" w:color="auto" w:fill="auto"/>
          </w:tcPr>
          <w:p w14:paraId="23284460" w14:textId="77777777" w:rsidR="00B1648E" w:rsidRPr="00C3310F" w:rsidRDefault="00B1648E" w:rsidP="00062CD2">
            <w:pPr>
              <w:widowControl/>
              <w:snapToGrid w:val="0"/>
              <w:spacing w:line="360" w:lineRule="exact"/>
              <w:rPr>
                <w:rFonts w:hAnsi="標楷體"/>
                <w:sz w:val="28"/>
                <w:szCs w:val="28"/>
              </w:rPr>
            </w:pPr>
            <w:r w:rsidRPr="00C3310F">
              <w:rPr>
                <w:rFonts w:hAnsi="標楷體" w:hint="eastAsia"/>
                <w:sz w:val="28"/>
                <w:szCs w:val="28"/>
              </w:rPr>
              <w:t>核處150萬元罰鍰</w:t>
            </w:r>
          </w:p>
        </w:tc>
      </w:tr>
      <w:tr w:rsidR="00C3310F" w:rsidRPr="00C3310F" w14:paraId="66547369" w14:textId="77777777" w:rsidTr="00DB430F">
        <w:trPr>
          <w:trHeight w:val="20"/>
        </w:trPr>
        <w:tc>
          <w:tcPr>
            <w:tcW w:w="599" w:type="pct"/>
            <w:tcBorders>
              <w:top w:val="nil"/>
              <w:left w:val="single" w:sz="4" w:space="0" w:color="auto"/>
              <w:bottom w:val="single" w:sz="4" w:space="0" w:color="000000"/>
              <w:right w:val="single" w:sz="4" w:space="0" w:color="auto"/>
            </w:tcBorders>
            <w:shd w:val="clear" w:color="auto" w:fill="auto"/>
            <w:vAlign w:val="center"/>
          </w:tcPr>
          <w:p w14:paraId="0B935E86" w14:textId="63C568EF" w:rsidR="00B1648E" w:rsidRPr="00C3310F" w:rsidRDefault="00B1648E" w:rsidP="00062CD2">
            <w:pPr>
              <w:widowControl/>
              <w:snapToGrid w:val="0"/>
              <w:spacing w:line="360" w:lineRule="exact"/>
              <w:rPr>
                <w:rFonts w:hAnsi="標楷體" w:cs="新細明體"/>
                <w:kern w:val="0"/>
                <w:sz w:val="28"/>
                <w:szCs w:val="28"/>
              </w:rPr>
            </w:pPr>
            <w:r w:rsidRPr="00C3310F">
              <w:rPr>
                <w:rFonts w:hAnsi="標楷體" w:cs="新細明體" w:hint="eastAsia"/>
                <w:kern w:val="0"/>
                <w:sz w:val="28"/>
                <w:szCs w:val="28"/>
              </w:rPr>
              <w:t>中</w:t>
            </w:r>
            <w:r w:rsidR="002740C5" w:rsidRPr="00C3310F">
              <w:rPr>
                <w:rFonts w:hAnsi="標楷體" w:cs="新細明體" w:hint="eastAsia"/>
                <w:kern w:val="0"/>
                <w:sz w:val="28"/>
                <w:szCs w:val="28"/>
              </w:rPr>
              <w:t>○</w:t>
            </w:r>
            <w:r w:rsidRPr="00C3310F">
              <w:rPr>
                <w:rFonts w:hAnsi="標楷體" w:cs="新細明體" w:hint="eastAsia"/>
                <w:kern w:val="0"/>
                <w:sz w:val="28"/>
                <w:szCs w:val="28"/>
              </w:rPr>
              <w:t>信託商業銀行</w:t>
            </w:r>
          </w:p>
        </w:tc>
        <w:tc>
          <w:tcPr>
            <w:tcW w:w="542" w:type="pct"/>
            <w:tcBorders>
              <w:top w:val="nil"/>
              <w:left w:val="single" w:sz="4" w:space="0" w:color="auto"/>
              <w:bottom w:val="single" w:sz="4" w:space="0" w:color="000000"/>
              <w:right w:val="single" w:sz="4" w:space="0" w:color="auto"/>
            </w:tcBorders>
            <w:shd w:val="clear" w:color="auto" w:fill="auto"/>
            <w:vAlign w:val="center"/>
          </w:tcPr>
          <w:p w14:paraId="2F9DF473" w14:textId="77777777" w:rsidR="00B1648E" w:rsidRPr="00C3310F" w:rsidRDefault="00B1648E" w:rsidP="00062CD2">
            <w:pPr>
              <w:widowControl/>
              <w:snapToGrid w:val="0"/>
              <w:spacing w:line="360" w:lineRule="exact"/>
              <w:rPr>
                <w:rFonts w:hAnsi="標楷體"/>
                <w:sz w:val="28"/>
                <w:szCs w:val="28"/>
              </w:rPr>
            </w:pPr>
            <w:r w:rsidRPr="00C3310F">
              <w:rPr>
                <w:rFonts w:hAnsi="標楷體" w:hint="eastAsia"/>
                <w:sz w:val="28"/>
                <w:szCs w:val="28"/>
              </w:rPr>
              <w:t>112.8.4</w:t>
            </w:r>
          </w:p>
        </w:tc>
        <w:tc>
          <w:tcPr>
            <w:tcW w:w="2642" w:type="pct"/>
            <w:tcBorders>
              <w:top w:val="nil"/>
              <w:left w:val="single" w:sz="4" w:space="0" w:color="auto"/>
              <w:bottom w:val="single" w:sz="4" w:space="0" w:color="000000"/>
              <w:right w:val="single" w:sz="4" w:space="0" w:color="auto"/>
            </w:tcBorders>
            <w:shd w:val="clear" w:color="auto" w:fill="auto"/>
            <w:vAlign w:val="center"/>
          </w:tcPr>
          <w:p w14:paraId="59B7BB57" w14:textId="77777777" w:rsidR="00B1648E" w:rsidRPr="00C3310F" w:rsidRDefault="00B1648E" w:rsidP="00062CD2">
            <w:pPr>
              <w:widowControl/>
              <w:snapToGrid w:val="0"/>
              <w:spacing w:line="360" w:lineRule="exact"/>
              <w:rPr>
                <w:rFonts w:hAnsi="標楷體"/>
                <w:sz w:val="28"/>
                <w:szCs w:val="28"/>
              </w:rPr>
            </w:pPr>
            <w:r w:rsidRPr="00C3310F">
              <w:rPr>
                <w:rFonts w:hAnsi="標楷體" w:hint="eastAsia"/>
                <w:sz w:val="28"/>
                <w:szCs w:val="28"/>
              </w:rPr>
              <w:t>該行前理財專員挪用客戶款項、推介客戶短期間進行多筆交易及代客戶辦理網路銀行交易所涉缺失，核有違反銀行法第45條之1第1項及其授權訂定之「金融控股公司及銀行業內部控制及稽核制度實施辦法」第3條第1項、第8條第1項及第3項等規定，依同法第129條第7款規定。</w:t>
            </w:r>
          </w:p>
        </w:tc>
        <w:tc>
          <w:tcPr>
            <w:tcW w:w="1217" w:type="pct"/>
            <w:tcBorders>
              <w:top w:val="nil"/>
              <w:left w:val="single" w:sz="4" w:space="0" w:color="auto"/>
              <w:bottom w:val="single" w:sz="4" w:space="0" w:color="000000"/>
              <w:right w:val="single" w:sz="4" w:space="0" w:color="auto"/>
            </w:tcBorders>
            <w:shd w:val="clear" w:color="auto" w:fill="auto"/>
            <w:vAlign w:val="center"/>
          </w:tcPr>
          <w:p w14:paraId="789AD118" w14:textId="77777777" w:rsidR="00B1648E" w:rsidRPr="00C3310F" w:rsidRDefault="00B1648E" w:rsidP="00062CD2">
            <w:pPr>
              <w:widowControl/>
              <w:snapToGrid w:val="0"/>
              <w:spacing w:line="360" w:lineRule="exact"/>
              <w:rPr>
                <w:rFonts w:hAnsi="標楷體"/>
                <w:sz w:val="28"/>
                <w:szCs w:val="28"/>
              </w:rPr>
            </w:pPr>
            <w:r w:rsidRPr="00C3310F">
              <w:rPr>
                <w:rFonts w:hAnsi="標楷體" w:hint="eastAsia"/>
                <w:sz w:val="28"/>
                <w:szCs w:val="28"/>
              </w:rPr>
              <w:t>核處1,000萬元罰鍰。</w:t>
            </w:r>
          </w:p>
        </w:tc>
      </w:tr>
    </w:tbl>
    <w:p w14:paraId="50DC8059" w14:textId="77777777" w:rsidR="00B1648E" w:rsidRPr="00C3310F" w:rsidRDefault="00B1648E" w:rsidP="00B1648E">
      <w:pPr>
        <w:pStyle w:val="4"/>
        <w:numPr>
          <w:ilvl w:val="0"/>
          <w:numId w:val="0"/>
        </w:numPr>
        <w:spacing w:afterLines="50" w:after="228"/>
        <w:ind w:leftChars="-183" w:left="2" w:hangingChars="240" w:hanging="624"/>
        <w:rPr>
          <w:sz w:val="24"/>
          <w:szCs w:val="24"/>
        </w:rPr>
      </w:pPr>
      <w:r w:rsidRPr="00C3310F">
        <w:rPr>
          <w:rFonts w:hint="eastAsia"/>
          <w:sz w:val="24"/>
          <w:szCs w:val="24"/>
        </w:rPr>
        <w:t>資料來源：金管會</w:t>
      </w:r>
      <w:r w:rsidR="00AA7013" w:rsidRPr="00C3310F">
        <w:rPr>
          <w:rFonts w:hint="eastAsia"/>
          <w:sz w:val="24"/>
          <w:szCs w:val="24"/>
        </w:rPr>
        <w:t>於113年6月3日座談提供書面資料</w:t>
      </w:r>
      <w:r w:rsidRPr="00C3310F">
        <w:rPr>
          <w:rFonts w:hint="eastAsia"/>
          <w:sz w:val="24"/>
          <w:szCs w:val="24"/>
        </w:rPr>
        <w:t>。</w:t>
      </w:r>
    </w:p>
    <w:p w14:paraId="3634C42E" w14:textId="77777777" w:rsidR="0057059F" w:rsidRPr="00C3310F" w:rsidRDefault="0057059F" w:rsidP="0057059F">
      <w:pPr>
        <w:pStyle w:val="3"/>
      </w:pPr>
      <w:bookmarkStart w:id="644" w:name="_Toc171525529"/>
      <w:bookmarkStart w:id="645" w:name="_Toc172024011"/>
      <w:bookmarkStart w:id="646" w:name="_Toc172033330"/>
      <w:r w:rsidRPr="00C3310F">
        <w:rPr>
          <w:rFonts w:hint="eastAsia"/>
        </w:rPr>
        <w:t>跨境詐欺犯罪</w:t>
      </w:r>
      <w:r w:rsidR="00C63ECA" w:rsidRPr="00C3310F">
        <w:rPr>
          <w:rFonts w:hint="eastAsia"/>
        </w:rPr>
        <w:t>辦理成效</w:t>
      </w:r>
      <w:r w:rsidRPr="00C3310F">
        <w:rPr>
          <w:rFonts w:hint="eastAsia"/>
        </w:rPr>
        <w:t>:</w:t>
      </w:r>
      <w:bookmarkEnd w:id="644"/>
      <w:bookmarkEnd w:id="645"/>
      <w:bookmarkEnd w:id="646"/>
    </w:p>
    <w:p w14:paraId="2156D721" w14:textId="79E6CF66" w:rsidR="0057059F" w:rsidRPr="00C3310F" w:rsidRDefault="0057059F" w:rsidP="0057059F">
      <w:pPr>
        <w:pStyle w:val="4"/>
      </w:pPr>
      <w:r w:rsidRPr="00C3310F">
        <w:rPr>
          <w:rFonts w:hint="eastAsia"/>
        </w:rPr>
        <w:t>深化國際司法互助交流方面，法務部陸續派</w:t>
      </w:r>
      <w:r w:rsidR="006C262A" w:rsidRPr="00C3310F">
        <w:rPr>
          <w:rFonts w:hint="eastAsia"/>
        </w:rPr>
        <w:t>員</w:t>
      </w:r>
      <w:r w:rsidRPr="00C3310F">
        <w:rPr>
          <w:rFonts w:hint="eastAsia"/>
        </w:rPr>
        <w:t>參加包括APEC</w:t>
      </w:r>
      <w:r w:rsidRPr="00C3310F">
        <w:rPr>
          <w:rFonts w:hint="eastAsia"/>
          <w:sz w:val="28"/>
        </w:rPr>
        <w:t>(</w:t>
      </w:r>
      <w:r w:rsidR="00314645" w:rsidRPr="00C3310F">
        <w:rPr>
          <w:rFonts w:hint="eastAsia"/>
          <w:sz w:val="28"/>
        </w:rPr>
        <w:t>亞太經濟合作會議,</w:t>
      </w:r>
      <w:r w:rsidR="00314645" w:rsidRPr="00C3310F">
        <w:rPr>
          <w:sz w:val="28"/>
        </w:rPr>
        <w:t>Asia-Pacific Ecnomic Cooperation, APEC</w:t>
      </w:r>
      <w:r w:rsidRPr="00C3310F">
        <w:rPr>
          <w:rFonts w:hint="eastAsia"/>
          <w:sz w:val="28"/>
        </w:rPr>
        <w:t>)</w:t>
      </w:r>
      <w:r w:rsidRPr="00C3310F">
        <w:rPr>
          <w:rFonts w:hint="eastAsia"/>
        </w:rPr>
        <w:t>、EUROJUST</w:t>
      </w:r>
      <w:r w:rsidRPr="00C3310F">
        <w:rPr>
          <w:sz w:val="28"/>
        </w:rPr>
        <w:t>(</w:t>
      </w:r>
      <w:r w:rsidRPr="00C3310F">
        <w:rPr>
          <w:rFonts w:hint="eastAsia"/>
          <w:sz w:val="28"/>
        </w:rPr>
        <w:t>歐洲司法合作組織</w:t>
      </w:r>
      <w:r w:rsidR="00314645" w:rsidRPr="00C3310F">
        <w:rPr>
          <w:rFonts w:hint="eastAsia"/>
          <w:sz w:val="28"/>
        </w:rPr>
        <w:t>，E</w:t>
      </w:r>
      <w:r w:rsidR="00314645" w:rsidRPr="00C3310F">
        <w:rPr>
          <w:sz w:val="28"/>
        </w:rPr>
        <w:t>uropean Union Agency for Criminal Justice Cooperation</w:t>
      </w:r>
      <w:r w:rsidRPr="00C3310F">
        <w:rPr>
          <w:sz w:val="28"/>
        </w:rPr>
        <w:t>)</w:t>
      </w:r>
      <w:r w:rsidRPr="00C3310F">
        <w:rPr>
          <w:rFonts w:hint="eastAsia"/>
        </w:rPr>
        <w:t>、A</w:t>
      </w:r>
      <w:r w:rsidRPr="00C3310F">
        <w:t>RIN-AP</w:t>
      </w:r>
      <w:r w:rsidRPr="00C3310F">
        <w:rPr>
          <w:sz w:val="28"/>
        </w:rPr>
        <w:t>(</w:t>
      </w:r>
      <w:r w:rsidRPr="00C3310F">
        <w:rPr>
          <w:rFonts w:hint="eastAsia"/>
          <w:sz w:val="28"/>
        </w:rPr>
        <w:t>亞太追討犯罪所得機構網路</w:t>
      </w:r>
      <w:r w:rsidR="00314645" w:rsidRPr="00C3310F">
        <w:rPr>
          <w:rFonts w:hint="eastAsia"/>
          <w:sz w:val="28"/>
        </w:rPr>
        <w:t>，</w:t>
      </w:r>
      <w:r w:rsidR="00314645" w:rsidRPr="00C3310F">
        <w:rPr>
          <w:sz w:val="28"/>
        </w:rPr>
        <w:t xml:space="preserve">Asset Revocery Interagency Network-Asia </w:t>
      </w:r>
      <w:r w:rsidR="00314645" w:rsidRPr="00C3310F">
        <w:rPr>
          <w:rFonts w:hint="eastAsia"/>
          <w:sz w:val="28"/>
        </w:rPr>
        <w:t>P</w:t>
      </w:r>
      <w:r w:rsidR="00314645" w:rsidRPr="00C3310F">
        <w:rPr>
          <w:sz w:val="28"/>
        </w:rPr>
        <w:t>acific</w:t>
      </w:r>
      <w:r w:rsidRPr="00C3310F">
        <w:rPr>
          <w:sz w:val="28"/>
        </w:rPr>
        <w:t>)</w:t>
      </w:r>
      <w:r w:rsidRPr="00C3310F">
        <w:rPr>
          <w:rFonts w:hint="eastAsia"/>
        </w:rPr>
        <w:t>、A</w:t>
      </w:r>
      <w:r w:rsidRPr="00C3310F">
        <w:t>PG</w:t>
      </w:r>
      <w:r w:rsidRPr="00C3310F">
        <w:rPr>
          <w:sz w:val="28"/>
        </w:rPr>
        <w:t>(</w:t>
      </w:r>
      <w:r w:rsidRPr="00C3310F">
        <w:rPr>
          <w:rFonts w:hint="eastAsia"/>
          <w:sz w:val="28"/>
        </w:rPr>
        <w:t>亞太防制洗錢組織</w:t>
      </w:r>
      <w:r w:rsidR="00314645" w:rsidRPr="00C3310F">
        <w:rPr>
          <w:rFonts w:hint="eastAsia"/>
          <w:sz w:val="28"/>
        </w:rPr>
        <w:t>，A</w:t>
      </w:r>
      <w:r w:rsidR="00314645" w:rsidRPr="00C3310F">
        <w:rPr>
          <w:sz w:val="28"/>
        </w:rPr>
        <w:t>si</w:t>
      </w:r>
      <w:r w:rsidR="00141FC6" w:rsidRPr="00C3310F">
        <w:rPr>
          <w:rFonts w:hint="eastAsia"/>
          <w:sz w:val="28"/>
        </w:rPr>
        <w:t>a</w:t>
      </w:r>
      <w:r w:rsidR="00314645" w:rsidRPr="00C3310F">
        <w:rPr>
          <w:sz w:val="28"/>
        </w:rPr>
        <w:t>/Pacifi</w:t>
      </w:r>
      <w:r w:rsidR="00141FC6" w:rsidRPr="00C3310F">
        <w:rPr>
          <w:sz w:val="28"/>
        </w:rPr>
        <w:t>c</w:t>
      </w:r>
      <w:r w:rsidR="00314645" w:rsidRPr="00C3310F">
        <w:rPr>
          <w:sz w:val="28"/>
        </w:rPr>
        <w:t xml:space="preserve"> Group on Money </w:t>
      </w:r>
      <w:r w:rsidR="00314645" w:rsidRPr="00C3310F">
        <w:rPr>
          <w:sz w:val="28"/>
        </w:rPr>
        <w:lastRenderedPageBreak/>
        <w:t>Laundering</w:t>
      </w:r>
      <w:r w:rsidRPr="00C3310F">
        <w:rPr>
          <w:sz w:val="28"/>
        </w:rPr>
        <w:t>)</w:t>
      </w:r>
      <w:r w:rsidRPr="00C3310F">
        <w:rPr>
          <w:rFonts w:hint="eastAsia"/>
        </w:rPr>
        <w:t>及台越民事司</w:t>
      </w:r>
      <w:r w:rsidR="006C262A" w:rsidRPr="00C3310F">
        <w:rPr>
          <w:rFonts w:hint="eastAsia"/>
        </w:rPr>
        <w:t>法互</w:t>
      </w:r>
      <w:r w:rsidRPr="00C3310F">
        <w:rPr>
          <w:rFonts w:hint="eastAsia"/>
        </w:rPr>
        <w:t>助諮商會議等。</w:t>
      </w:r>
    </w:p>
    <w:p w14:paraId="1B87CC3B" w14:textId="77777777" w:rsidR="0057059F" w:rsidRPr="00C3310F" w:rsidRDefault="0057059F" w:rsidP="00C63ECA">
      <w:pPr>
        <w:pStyle w:val="4"/>
      </w:pPr>
      <w:r w:rsidRPr="00C3310F">
        <w:rPr>
          <w:rFonts w:hint="eastAsia"/>
        </w:rPr>
        <w:t>設置駐外警察聯絡官：</w:t>
      </w:r>
    </w:p>
    <w:p w14:paraId="43B2B299" w14:textId="77777777" w:rsidR="0057059F" w:rsidRPr="00C3310F" w:rsidRDefault="0057059F" w:rsidP="00C63ECA">
      <w:pPr>
        <w:pStyle w:val="4"/>
        <w:numPr>
          <w:ilvl w:val="0"/>
          <w:numId w:val="0"/>
        </w:numPr>
        <w:ind w:left="1701" w:firstLineChars="208" w:firstLine="708"/>
      </w:pPr>
      <w:r w:rsidRPr="00C3310F">
        <w:rPr>
          <w:rFonts w:hint="eastAsia"/>
        </w:rPr>
        <w:t>警政署迄今在美東(華府)、美西(洛杉磯)、南非、印尼、馬來西亞、泰國、越南、菲律賓、日本、韓國、澳洲、荷蘭及新加坡等12國家(13地區)派駐警察聯絡官，負責情資傳遞交換、分析協處及追緝外逃等工作，為我方與各國警政單位聯繫合作之第一線，有利於我方與駐在國執法單位之間進行即時情資交流。</w:t>
      </w:r>
    </w:p>
    <w:p w14:paraId="397A7624" w14:textId="77777777" w:rsidR="00C63ECA" w:rsidRPr="00C3310F" w:rsidRDefault="0057059F" w:rsidP="00C63ECA">
      <w:pPr>
        <w:pStyle w:val="4"/>
      </w:pPr>
      <w:r w:rsidRPr="00C3310F">
        <w:rPr>
          <w:rFonts w:hint="eastAsia"/>
        </w:rPr>
        <w:t>與國際刑警組織合作：</w:t>
      </w:r>
    </w:p>
    <w:p w14:paraId="2A1325C3" w14:textId="77777777" w:rsidR="0057059F" w:rsidRPr="00C3310F" w:rsidRDefault="0057059F" w:rsidP="00C63ECA">
      <w:pPr>
        <w:pStyle w:val="4"/>
        <w:numPr>
          <w:ilvl w:val="0"/>
          <w:numId w:val="0"/>
        </w:numPr>
        <w:ind w:left="1701" w:firstLineChars="208" w:firstLine="708"/>
      </w:pPr>
      <w:r w:rsidRPr="00C3310F">
        <w:rPr>
          <w:rFonts w:hint="eastAsia"/>
        </w:rPr>
        <w:t>目前我國雖無國際刑警組織會員地位，仍透過日本東京中央局接收總部發出及傳遞與我國有關之加密電郵，與國際刑警組織各國中央局及各國執法機關保持密切互動與各會員國相互協助，推展業務、請求協查等工作。</w:t>
      </w:r>
    </w:p>
    <w:p w14:paraId="3B9C65C8" w14:textId="77777777" w:rsidR="00C63ECA" w:rsidRPr="00C3310F" w:rsidRDefault="0057059F" w:rsidP="00C63ECA">
      <w:pPr>
        <w:pStyle w:val="4"/>
      </w:pPr>
      <w:r w:rsidRPr="00C3310F">
        <w:rPr>
          <w:rFonts w:hint="eastAsia"/>
        </w:rPr>
        <w:t>遇案派遣任務型警察聯絡官：</w:t>
      </w:r>
    </w:p>
    <w:p w14:paraId="79F98F7B" w14:textId="77777777" w:rsidR="0057059F" w:rsidRPr="00C3310F" w:rsidRDefault="0057059F" w:rsidP="00C63ECA">
      <w:pPr>
        <w:pStyle w:val="4"/>
        <w:numPr>
          <w:ilvl w:val="0"/>
          <w:numId w:val="0"/>
        </w:numPr>
        <w:ind w:left="1701" w:firstLineChars="208" w:firstLine="708"/>
      </w:pPr>
      <w:r w:rsidRPr="00C3310F">
        <w:rPr>
          <w:rFonts w:hint="eastAsia"/>
        </w:rPr>
        <w:t>藉由案件協查、共同偵辦，派遣任務型警察聯絡官赴他國執行協查蒐證等方式，發展跨國偵查合作機制，近期派遣案例有108年派員前往蒙特內哥羅與當地警方合作偵辦跨國電信詐欺案，以及在111年8月份派遣任務型聯絡官，前往柬埔寨協助人口販運專案，與當地政府聯繫救援我國國人返國。</w:t>
      </w:r>
    </w:p>
    <w:p w14:paraId="76025C1D" w14:textId="77777777" w:rsidR="00C63ECA" w:rsidRPr="00C3310F" w:rsidRDefault="0057059F" w:rsidP="00C63ECA">
      <w:pPr>
        <w:pStyle w:val="4"/>
      </w:pPr>
      <w:r w:rsidRPr="00C3310F">
        <w:rPr>
          <w:rFonts w:hint="eastAsia"/>
        </w:rPr>
        <w:t>簽署警政合作或共同打擊跨國犯罪協定(議)：</w:t>
      </w:r>
    </w:p>
    <w:p w14:paraId="5394BD3E" w14:textId="5A348CAF" w:rsidR="0057059F" w:rsidRPr="00C3310F" w:rsidRDefault="0057059F" w:rsidP="00C63ECA">
      <w:pPr>
        <w:pStyle w:val="4"/>
        <w:numPr>
          <w:ilvl w:val="0"/>
          <w:numId w:val="0"/>
        </w:numPr>
        <w:ind w:left="1701" w:firstLineChars="208" w:firstLine="708"/>
      </w:pPr>
      <w:r w:rsidRPr="00C3310F">
        <w:rPr>
          <w:rFonts w:hint="eastAsia"/>
        </w:rPr>
        <w:t>警政署自92年迄今已陸續和友邦及聯絡官駐在國簽定多項共同打擊犯罪協定及備忘錄，包含臺美「強化預防及打擊重大犯罪合作協定」、臺泰「共同打擊跨國經濟及相關犯罪協議」、臺菲「共同打擊跨國犯罪瞭解備忘錄」等，以及112年5月簽定「駐印尼台北經濟貿易代表處與駐台北印尼經</w:t>
      </w:r>
      <w:r w:rsidRPr="00C3310F">
        <w:rPr>
          <w:rFonts w:hint="eastAsia"/>
        </w:rPr>
        <w:lastRenderedPageBreak/>
        <w:t>濟貿易代表處共同預防毒品、管制類</w:t>
      </w:r>
      <w:r w:rsidR="00314645" w:rsidRPr="00C3310F">
        <w:rPr>
          <w:rFonts w:hint="eastAsia"/>
        </w:rPr>
        <w:t>精神</w:t>
      </w:r>
      <w:r w:rsidRPr="00C3310F">
        <w:rPr>
          <w:rFonts w:hint="eastAsia"/>
        </w:rPr>
        <w:t>藥物及先驅原料非法販運瞭解備忘錄」，目前積極與友邦各國簽訂共同打擊犯罪協定（議），強化國際協議支持。</w:t>
      </w:r>
    </w:p>
    <w:p w14:paraId="0C2CE558" w14:textId="77777777" w:rsidR="0057059F" w:rsidRPr="00C3310F" w:rsidRDefault="0057059F" w:rsidP="008E17A4">
      <w:pPr>
        <w:pStyle w:val="4"/>
      </w:pPr>
      <w:r w:rsidRPr="00C3310F">
        <w:rPr>
          <w:rFonts w:hint="eastAsia"/>
        </w:rPr>
        <w:t>生效起至112年11月30日止，兩岸合作共同查獲跨境詐欺犯罪共118件、7407人；其中108年至111年查獲11件、112年迄今合作查獲32件(包含共同交換犯罪情資破獲1件)。</w:t>
      </w:r>
    </w:p>
    <w:p w14:paraId="31671113" w14:textId="4559D6EA" w:rsidR="0057059F" w:rsidRPr="00C3310F" w:rsidRDefault="0057059F" w:rsidP="0057059F">
      <w:pPr>
        <w:pStyle w:val="4"/>
      </w:pPr>
      <w:r w:rsidRPr="00C3310F">
        <w:rPr>
          <w:rFonts w:hint="eastAsia"/>
        </w:rPr>
        <w:t>自100年迄112年11月30日止，大陸警方協助我方查獲遣返潛逃大陸刑事(通緝)犯381人次，其中112年已自陸方遣返犯嫌4人(臺南88槍擊案通緝犯2人、利用教師職</w:t>
      </w:r>
      <w:r w:rsidR="0097660F" w:rsidRPr="00C3310F">
        <w:rPr>
          <w:rFonts w:hint="eastAsia"/>
        </w:rPr>
        <w:t>權</w:t>
      </w:r>
      <w:r w:rsidRPr="00C3310F">
        <w:rPr>
          <w:rFonts w:hint="eastAsia"/>
        </w:rPr>
        <w:t>涉犯數起妨害性自主案通緝犯1人、槍砲及殺人等罪通緝犯1人)；大陸警方請求我方協緝遣返大陸籍刑事(通緝)犯共20人次，我方協助執行遣送陸方共7人次。在困境部分與前項兩岸共同打擊各類犯罪之困境相同，合作遣返人犯亦受政治大環境影響，惟</w:t>
      </w:r>
      <w:r w:rsidR="006C262A" w:rsidRPr="00C3310F">
        <w:rPr>
          <w:rFonts w:hint="eastAsia"/>
        </w:rPr>
        <w:t>法務部</w:t>
      </w:r>
      <w:r w:rsidRPr="00C3310F">
        <w:rPr>
          <w:rFonts w:hint="eastAsia"/>
        </w:rPr>
        <w:t>仍強化與陸方各項層面之交流，維持彼此互信關係，深化合作機制，配合民間協會參訪、學術研討會及定期業務性會議之民間交流，持續推動案件研商等各項合作事項，期能回復以往合作模式。</w:t>
      </w:r>
    </w:p>
    <w:p w14:paraId="5A06D0E8" w14:textId="21F1F91B" w:rsidR="00B1648E" w:rsidRPr="00C3310F" w:rsidRDefault="00163D54" w:rsidP="0057059F">
      <w:pPr>
        <w:pStyle w:val="2"/>
        <w:spacing w:beforeLines="50" w:before="228"/>
        <w:ind w:left="1020" w:hanging="680"/>
      </w:pPr>
      <w:bookmarkStart w:id="647" w:name="_Toc172033331"/>
      <w:r w:rsidRPr="00C3310F">
        <w:rPr>
          <w:rFonts w:hint="eastAsia"/>
        </w:rPr>
        <w:t>防制措施所遭遇之挑戰及困境:</w:t>
      </w:r>
      <w:r w:rsidR="00566549" w:rsidRPr="00C3310F">
        <w:rPr>
          <w:rFonts w:hint="eastAsia"/>
        </w:rPr>
        <w:t>在政府推動一連串政策及修法後，電信網路詐欺仍持續高發，調查研究透過綜整防制措施所遭遇之挑戰及困境如下，以進一步發現目前政府</w:t>
      </w:r>
      <w:r w:rsidR="006C262A" w:rsidRPr="00C3310F">
        <w:rPr>
          <w:rFonts w:hint="eastAsia"/>
        </w:rPr>
        <w:t>防</w:t>
      </w:r>
      <w:r w:rsidR="00566549" w:rsidRPr="00C3310F">
        <w:rPr>
          <w:rFonts w:hint="eastAsia"/>
        </w:rPr>
        <w:t>制措施所可能存有不完備或落後之處：</w:t>
      </w:r>
      <w:bookmarkEnd w:id="647"/>
    </w:p>
    <w:p w14:paraId="5289274D" w14:textId="77777777" w:rsidR="00B1648E" w:rsidRPr="00C3310F" w:rsidRDefault="00B1648E" w:rsidP="005458C0">
      <w:pPr>
        <w:pStyle w:val="3"/>
      </w:pPr>
      <w:bookmarkStart w:id="648" w:name="_Toc171525531"/>
      <w:bookmarkStart w:id="649" w:name="_Toc172024013"/>
      <w:bookmarkStart w:id="650" w:name="_Toc172033332"/>
      <w:r w:rsidRPr="00C3310F">
        <w:rPr>
          <w:rFonts w:hint="eastAsia"/>
        </w:rPr>
        <w:t>詐欺犯罪由傳統面對面接觸轉為透過資通訊匯流隱匿身分：</w:t>
      </w:r>
      <w:bookmarkEnd w:id="648"/>
      <w:bookmarkEnd w:id="649"/>
      <w:bookmarkEnd w:id="650"/>
    </w:p>
    <w:p w14:paraId="72B598B3" w14:textId="77777777" w:rsidR="00B1648E" w:rsidRPr="00C3310F" w:rsidRDefault="00B1648E" w:rsidP="005458C0">
      <w:pPr>
        <w:pStyle w:val="4"/>
        <w:numPr>
          <w:ilvl w:val="0"/>
          <w:numId w:val="0"/>
        </w:numPr>
        <w:ind w:left="1418" w:firstLineChars="208" w:firstLine="708"/>
      </w:pPr>
      <w:r w:rsidRPr="00C3310F">
        <w:rPr>
          <w:rFonts w:hint="eastAsia"/>
        </w:rPr>
        <w:t>早期詐欺集團以金光黨等傳統詐欺手法與被害</w:t>
      </w:r>
      <w:r w:rsidRPr="00C3310F">
        <w:rPr>
          <w:rFonts w:hint="eastAsia"/>
        </w:rPr>
        <w:lastRenderedPageBreak/>
        <w:t>人面對面接觸施行詐術，100年間則透過當時流行通訊軟體MSN、即時通及傳送手機簡訊詐騙。伴隨資通訊科技蓬勃發展，近年詐騙集團藉網路資訊工具如網路電話、通訊軟體、VPN</w:t>
      </w:r>
      <w:r w:rsidRPr="00C3310F">
        <w:rPr>
          <w:rStyle w:val="afe"/>
        </w:rPr>
        <w:footnoteReference w:id="34"/>
      </w:r>
      <w:r w:rsidRPr="00C3310F">
        <w:rPr>
          <w:rFonts w:hint="eastAsia"/>
        </w:rPr>
        <w:t>、國際上網卡來隱匿身分，以跨國通訊方式逃避國內警方查緝。</w:t>
      </w:r>
    </w:p>
    <w:p w14:paraId="3BB0022A" w14:textId="77777777" w:rsidR="00B1648E" w:rsidRPr="00C3310F" w:rsidRDefault="00B1648E" w:rsidP="005458C0">
      <w:pPr>
        <w:pStyle w:val="3"/>
      </w:pPr>
      <w:bookmarkStart w:id="651" w:name="_Toc171525532"/>
      <w:bookmarkStart w:id="652" w:name="_Toc172024014"/>
      <w:bookmarkStart w:id="653" w:name="_Toc172033333"/>
      <w:r w:rsidRPr="00C3310F">
        <w:rPr>
          <w:rFonts w:hint="eastAsia"/>
        </w:rPr>
        <w:t>後疫情時代詐欺型態轉變：</w:t>
      </w:r>
      <w:bookmarkEnd w:id="651"/>
      <w:bookmarkEnd w:id="652"/>
      <w:bookmarkEnd w:id="653"/>
    </w:p>
    <w:p w14:paraId="6A4FD7E7" w14:textId="77777777" w:rsidR="00B1648E" w:rsidRPr="00C3310F" w:rsidRDefault="00B1648E" w:rsidP="005458C0">
      <w:pPr>
        <w:pStyle w:val="4"/>
      </w:pPr>
      <w:r w:rsidRPr="00C3310F">
        <w:rPr>
          <w:rFonts w:hint="eastAsia"/>
        </w:rPr>
        <w:t>假網路拍賣購物</w:t>
      </w:r>
      <w:r w:rsidRPr="00C3310F">
        <w:rPr>
          <w:rStyle w:val="afe"/>
        </w:rPr>
        <w:footnoteReference w:id="35"/>
      </w:r>
      <w:r w:rsidRPr="00C3310F">
        <w:rPr>
          <w:rFonts w:hint="eastAsia"/>
        </w:rPr>
        <w:t>、投資詐欺</w:t>
      </w:r>
      <w:r w:rsidRPr="00C3310F">
        <w:rPr>
          <w:rStyle w:val="afe"/>
        </w:rPr>
        <w:footnoteReference w:id="36"/>
      </w:r>
      <w:r w:rsidRPr="00C3310F">
        <w:rPr>
          <w:rFonts w:hint="eastAsia"/>
        </w:rPr>
        <w:t>及解除分期付款詐欺</w:t>
      </w:r>
      <w:r w:rsidRPr="00C3310F">
        <w:rPr>
          <w:rStyle w:val="afe"/>
        </w:rPr>
        <w:footnoteReference w:id="37"/>
      </w:r>
      <w:r w:rsidRPr="00C3310F">
        <w:rPr>
          <w:rFonts w:hint="eastAsia"/>
        </w:rPr>
        <w:t>案件持續高發：</w:t>
      </w:r>
    </w:p>
    <w:p w14:paraId="141AA02C" w14:textId="7ADBFAB3" w:rsidR="00B1648E" w:rsidRPr="00C3310F" w:rsidRDefault="00B1648E" w:rsidP="005458C0">
      <w:pPr>
        <w:pStyle w:val="5"/>
        <w:numPr>
          <w:ilvl w:val="0"/>
          <w:numId w:val="0"/>
        </w:numPr>
        <w:ind w:left="1701" w:firstLineChars="208" w:firstLine="708"/>
      </w:pPr>
      <w:r w:rsidRPr="00C3310F">
        <w:rPr>
          <w:rFonts w:hint="eastAsia"/>
        </w:rPr>
        <w:t>109年起</w:t>
      </w:r>
      <w:r w:rsidR="007D462A" w:rsidRPr="00C3310F">
        <w:rPr>
          <w:rFonts w:hint="eastAsia"/>
        </w:rPr>
        <w:t>COVID-19</w:t>
      </w:r>
      <w:r w:rsidRPr="00C3310F">
        <w:rPr>
          <w:rFonts w:hint="eastAsia"/>
        </w:rPr>
        <w:t>疫情爆發迄111年後疫情時代</w:t>
      </w:r>
      <w:r w:rsidR="00E8045C" w:rsidRPr="00C3310F">
        <w:rPr>
          <w:rFonts w:hint="eastAsia"/>
        </w:rPr>
        <w:t>，</w:t>
      </w:r>
      <w:r w:rsidRPr="00C3310F">
        <w:rPr>
          <w:rFonts w:hint="eastAsia"/>
        </w:rPr>
        <w:t>除衝擊國內各項產業獲利，致營利銳減民眾急迫尋求投資機會，且疫情期間民眾大幅減少戶外活動，居家上網宅經濟普及</w:t>
      </w:r>
      <w:r w:rsidR="00AA7013" w:rsidRPr="00C3310F">
        <w:rPr>
          <w:rFonts w:hint="eastAsia"/>
        </w:rPr>
        <w:t>，</w:t>
      </w:r>
      <w:r w:rsidRPr="00C3310F">
        <w:rPr>
          <w:rFonts w:hint="eastAsia"/>
        </w:rPr>
        <w:t>致增進犯嫌藉由網路交友遂行詐欺契機。檢視111年間全般詐欺案件發生數前3名</w:t>
      </w:r>
      <w:r w:rsidR="00AA7013" w:rsidRPr="00C3310F">
        <w:rPr>
          <w:rFonts w:hint="eastAsia"/>
        </w:rPr>
        <w:t>，</w:t>
      </w:r>
      <w:r w:rsidRPr="00C3310F">
        <w:rPr>
          <w:rFonts w:hint="eastAsia"/>
        </w:rPr>
        <w:t>依序為假網路拍賣購物</w:t>
      </w:r>
      <w:r w:rsidR="00E8045C" w:rsidRPr="00C3310F">
        <w:t>(</w:t>
      </w:r>
      <w:r w:rsidRPr="00C3310F">
        <w:rPr>
          <w:rFonts w:hint="eastAsia"/>
        </w:rPr>
        <w:t>含一般購物詐欺</w:t>
      </w:r>
      <w:r w:rsidR="00E8045C" w:rsidRPr="00C3310F">
        <w:t>)</w:t>
      </w:r>
      <w:r w:rsidRPr="00C3310F">
        <w:rPr>
          <w:rFonts w:hint="eastAsia"/>
        </w:rPr>
        <w:t>6</w:t>
      </w:r>
      <w:r w:rsidRPr="00C3310F">
        <w:t>,</w:t>
      </w:r>
      <w:r w:rsidRPr="00C3310F">
        <w:rPr>
          <w:rFonts w:hint="eastAsia"/>
        </w:rPr>
        <w:t>791件、投資詐欺6,542件及解除分期付款詐欺5</w:t>
      </w:r>
      <w:r w:rsidRPr="00C3310F">
        <w:t>,</w:t>
      </w:r>
      <w:r w:rsidRPr="00C3310F">
        <w:rPr>
          <w:rFonts w:hint="eastAsia"/>
        </w:rPr>
        <w:t>084件，其中相較110年發生數增加者</w:t>
      </w:r>
      <w:r w:rsidR="00E8045C" w:rsidRPr="00C3310F">
        <w:rPr>
          <w:rFonts w:hint="eastAsia"/>
        </w:rPr>
        <w:t>，</w:t>
      </w:r>
      <w:r w:rsidRPr="00C3310F">
        <w:rPr>
          <w:rFonts w:hint="eastAsia"/>
        </w:rPr>
        <w:t>以投資詐欺增加33.4%最多、解除分期付款詐欺增加24.18</w:t>
      </w:r>
      <w:r w:rsidR="00E8045C" w:rsidRPr="00C3310F">
        <w:t>%</w:t>
      </w:r>
      <w:r w:rsidRPr="00C3310F">
        <w:rPr>
          <w:rFonts w:hint="eastAsia"/>
        </w:rPr>
        <w:t>次之、假網路拍賣購物增加19.83%再次之。</w:t>
      </w:r>
    </w:p>
    <w:p w14:paraId="5C7F76FF" w14:textId="77777777" w:rsidR="00B1648E" w:rsidRPr="00C3310F" w:rsidRDefault="00B1648E" w:rsidP="005458C0">
      <w:pPr>
        <w:pStyle w:val="4"/>
      </w:pPr>
      <w:r w:rsidRPr="00C3310F">
        <w:rPr>
          <w:rFonts w:hint="eastAsia"/>
        </w:rPr>
        <w:t>投資詐欺於社群網站及網路廣告等管道密集投資：</w:t>
      </w:r>
    </w:p>
    <w:p w14:paraId="21050BA0" w14:textId="642D9891" w:rsidR="00B1648E" w:rsidRPr="00C3310F" w:rsidRDefault="00B1648E" w:rsidP="005458C0">
      <w:pPr>
        <w:pStyle w:val="5"/>
        <w:numPr>
          <w:ilvl w:val="0"/>
          <w:numId w:val="0"/>
        </w:numPr>
        <w:ind w:left="1701" w:firstLineChars="192" w:firstLine="653"/>
      </w:pPr>
      <w:r w:rsidRPr="00C3310F">
        <w:rPr>
          <w:rFonts w:hint="eastAsia"/>
        </w:rPr>
        <w:t>投資詐欺藉由金融證券、境外基金、虛擬貨幣或博奕等名義在社群網站如Meta、臉書、交友軟體網站、通訊軟體(如</w:t>
      </w:r>
      <w:r w:rsidR="00DF3BE8" w:rsidRPr="00C3310F">
        <w:rPr>
          <w:rFonts w:hint="eastAsia"/>
        </w:rPr>
        <w:t>LINE</w:t>
      </w:r>
      <w:r w:rsidRPr="00C3310F">
        <w:rPr>
          <w:rFonts w:hint="eastAsia"/>
        </w:rPr>
        <w:t>)或網路廣告等管道散布</w:t>
      </w:r>
      <w:r w:rsidRPr="00C3310F">
        <w:rPr>
          <w:rFonts w:hint="eastAsia"/>
        </w:rPr>
        <w:lastRenderedPageBreak/>
        <w:t>投資資訊，吸引民眾加入特定理財群組後，復鼓吹至假投資網站、虛擬通貨交易平臺進行投資或博奕網站操作，藉被害人投入大量金錢欲出金時，即要求再匯入保證金、關閉網站或不再聯繫。</w:t>
      </w:r>
    </w:p>
    <w:p w14:paraId="599BBDAF" w14:textId="77777777" w:rsidR="00B1648E" w:rsidRPr="00C3310F" w:rsidRDefault="00B1648E" w:rsidP="005458C0">
      <w:pPr>
        <w:pStyle w:val="4"/>
      </w:pPr>
      <w:r w:rsidRPr="00C3310F">
        <w:rPr>
          <w:rFonts w:hint="eastAsia"/>
        </w:rPr>
        <w:t>假求職結合囚禁人頭帳戶當事人：</w:t>
      </w:r>
    </w:p>
    <w:p w14:paraId="46C8C421" w14:textId="77777777" w:rsidR="00B1648E" w:rsidRPr="00C3310F" w:rsidRDefault="00B1648E" w:rsidP="005458C0">
      <w:pPr>
        <w:pStyle w:val="5"/>
        <w:numPr>
          <w:ilvl w:val="0"/>
          <w:numId w:val="0"/>
        </w:numPr>
        <w:ind w:left="1701" w:firstLineChars="208" w:firstLine="708"/>
      </w:pPr>
      <w:r w:rsidRPr="00C3310F">
        <w:rPr>
          <w:rFonts w:hint="eastAsia"/>
        </w:rPr>
        <w:t>歷年假求職</w:t>
      </w:r>
      <w:r w:rsidRPr="00C3310F">
        <w:rPr>
          <w:rStyle w:val="afe"/>
        </w:rPr>
        <w:footnoteReference w:id="38"/>
      </w:r>
      <w:r w:rsidRPr="00C3310F">
        <w:rPr>
          <w:rFonts w:hint="eastAsia"/>
        </w:rPr>
        <w:t>案件僅以騙取當事人證件或金融帳戶後施行濫用，於去年間復以施加囚禁當事人，犯嫌以簽約或給付報酬為由，引導被害人至旅館或租屋處，集中拘禁私宅管理、控制測試存摺帳號，以提升金融帳戶之存活時間及匯入贓款額度，並利用被害人兼作車手提款，減少犯罪集團之成本。</w:t>
      </w:r>
    </w:p>
    <w:p w14:paraId="1F1912DD" w14:textId="77777777" w:rsidR="006D4D82" w:rsidRPr="00C3310F" w:rsidRDefault="006D4D82" w:rsidP="006D4D82">
      <w:pPr>
        <w:pStyle w:val="3"/>
      </w:pPr>
      <w:bookmarkStart w:id="654" w:name="_Toc171525533"/>
      <w:bookmarkStart w:id="655" w:name="_Toc172024015"/>
      <w:bookmarkStart w:id="656" w:name="_Toc172033334"/>
      <w:r w:rsidRPr="00C3310F">
        <w:rPr>
          <w:rFonts w:hint="eastAsia"/>
        </w:rPr>
        <w:t>詐騙集團組織分工結構層級分明，不易一網打盡，影響偵查能量：</w:t>
      </w:r>
      <w:bookmarkEnd w:id="654"/>
      <w:bookmarkEnd w:id="655"/>
      <w:bookmarkEnd w:id="656"/>
    </w:p>
    <w:p w14:paraId="1FF558D7" w14:textId="77777777" w:rsidR="006D4D82" w:rsidRPr="00C3310F" w:rsidRDefault="006D4D82" w:rsidP="006D4D82">
      <w:pPr>
        <w:pStyle w:val="4"/>
      </w:pPr>
      <w:r w:rsidRPr="00C3310F">
        <w:rPr>
          <w:rFonts w:hint="eastAsia"/>
        </w:rPr>
        <w:t>詐騙集團採行層級管理、分工細密，組織結構一般劃分為金主及幕後首腦、核心管理幹部、話務機房、系統商、轉帳水房、車手集團、組織結構完整，且因加入管理要素，使該犯罪組織更具效率。各節點間彼此均透過通訊軟體代號方式聯繫，亟難掌握成員間真實身分，易致警方查緝溯源中遭遇層層斷點，鮮少查獲幕後首腦偵破整團犯罪組織。</w:t>
      </w:r>
    </w:p>
    <w:p w14:paraId="225DFE8F" w14:textId="77777777" w:rsidR="006D4D82" w:rsidRPr="00C3310F" w:rsidRDefault="006D4D82" w:rsidP="006D4D82">
      <w:pPr>
        <w:pStyle w:val="4"/>
      </w:pPr>
      <w:r w:rsidRPr="00C3310F">
        <w:rPr>
          <w:rFonts w:hint="eastAsia"/>
        </w:rPr>
        <w:t>針對躲避境外之詐騙集團，檢警調調閱金融機構金流交易明細回復時間冗長，且回復資料格式不一，彙整作業亦須花費大量人力及時間，形成查緝斷點，影響案件偵辦效能。</w:t>
      </w:r>
    </w:p>
    <w:p w14:paraId="0AFB6E3F" w14:textId="77777777" w:rsidR="006D4D82" w:rsidRPr="00C3310F" w:rsidRDefault="006D4D82" w:rsidP="006D4D82">
      <w:pPr>
        <w:pStyle w:val="4"/>
      </w:pPr>
      <w:r w:rsidRPr="00C3310F">
        <w:rPr>
          <w:rFonts w:hint="eastAsia"/>
        </w:rPr>
        <w:t>人頭帳戶及網路銀行約定轉帳，以及VPN國外IP層層轉出，檢警追查不及（包括外籍移工帳戶、獨資</w:t>
      </w:r>
      <w:r w:rsidRPr="00C3310F">
        <w:rPr>
          <w:rFonts w:hint="eastAsia"/>
        </w:rPr>
        <w:lastRenderedPageBreak/>
        <w:t>商號或人頭公司帳戶、網路銀行難以</w:t>
      </w:r>
      <w:r w:rsidRPr="00C3310F">
        <w:t>KYC</w:t>
      </w:r>
      <w:r w:rsidRPr="00C3310F">
        <w:rPr>
          <w:rFonts w:hint="eastAsia"/>
        </w:rPr>
        <w:t>等）。</w:t>
      </w:r>
    </w:p>
    <w:p w14:paraId="6AC12680" w14:textId="77777777" w:rsidR="006D4D82" w:rsidRPr="00C3310F" w:rsidRDefault="006D4D82" w:rsidP="006D4D82">
      <w:pPr>
        <w:pStyle w:val="4"/>
      </w:pPr>
      <w:r w:rsidRPr="00C3310F">
        <w:rPr>
          <w:rFonts w:hint="eastAsia"/>
        </w:rPr>
        <w:t>經由第三方支付業者提供之信用卡、虛擬帳號、超商代碼繳費等方式取得詐欺款項(包括非特許行業、無資本額限制及無需登記)。</w:t>
      </w:r>
    </w:p>
    <w:p w14:paraId="0EEEDE82" w14:textId="4442D01D" w:rsidR="006D4D82" w:rsidRPr="00C3310F" w:rsidRDefault="006D4D82" w:rsidP="006D4D82">
      <w:pPr>
        <w:pStyle w:val="4"/>
      </w:pPr>
      <w:r w:rsidRPr="00C3310F">
        <w:rPr>
          <w:rFonts w:hint="eastAsia"/>
        </w:rPr>
        <w:t>「虛擬貨幣」成為重要詐欺手段及洗錢手法，大量詐欺車手以「個人幣商」抗辯(包括法院做出對被告有利之認定，以及管理虛擬資產</w:t>
      </w:r>
      <w:r w:rsidR="0004575A" w:rsidRPr="00C3310F">
        <w:rPr>
          <w:rFonts w:hint="eastAsia"/>
        </w:rPr>
        <w:t>平臺</w:t>
      </w:r>
      <w:r w:rsidRPr="00C3310F">
        <w:rPr>
          <w:rFonts w:hint="eastAsia"/>
        </w:rPr>
        <w:t>及交易業務事業VASP指導原則未臻完善。)</w:t>
      </w:r>
    </w:p>
    <w:p w14:paraId="7CDAEB2D" w14:textId="77777777" w:rsidR="006D4D82" w:rsidRPr="00C3310F" w:rsidRDefault="006D4D82" w:rsidP="006D4D82">
      <w:pPr>
        <w:pStyle w:val="4"/>
      </w:pPr>
      <w:r w:rsidRPr="00C3310F">
        <w:rPr>
          <w:rFonts w:hint="eastAsia"/>
        </w:rPr>
        <w:t>傳統通訊監察無法有效監控通訊軟體之通訊。</w:t>
      </w:r>
    </w:p>
    <w:p w14:paraId="757D2843" w14:textId="5236AF6B" w:rsidR="006D4D82" w:rsidRPr="00C3310F" w:rsidRDefault="006D4D82" w:rsidP="006D4D82">
      <w:pPr>
        <w:pStyle w:val="4"/>
      </w:pPr>
      <w:r w:rsidRPr="00C3310F">
        <w:rPr>
          <w:rFonts w:hint="eastAsia"/>
        </w:rPr>
        <w:t>透過台灣網路資訊中心</w:t>
      </w:r>
      <w:r w:rsidRPr="00C3310F">
        <w:t>DNS RPZ</w:t>
      </w:r>
      <w:r w:rsidRPr="00C3310F">
        <w:rPr>
          <w:rFonts w:hint="eastAsia"/>
        </w:rPr>
        <w:t>等限制接取方式雖得暫時達成即時防止個案災害擴大之目的，惟網路無國界，現行個人及組織在世界各地申請註冊網域名稱</w:t>
      </w:r>
      <w:r w:rsidRPr="00C3310F">
        <w:t>(</w:t>
      </w:r>
      <w:r w:rsidRPr="00C3310F">
        <w:rPr>
          <w:rFonts w:hint="eastAsia"/>
        </w:rPr>
        <w:t>網站</w:t>
      </w:r>
      <w:r w:rsidRPr="00C3310F">
        <w:t>)</w:t>
      </w:r>
      <w:r w:rsidRPr="00C3310F">
        <w:rPr>
          <w:rFonts w:hint="eastAsia"/>
        </w:rPr>
        <w:t>或經限制接取後更換網域名稱成本低廉，且有關詐騙網站於境外註冊域名，並無法斷源，爰現況實難僅由國內單</w:t>
      </w:r>
      <w:r w:rsidR="00314645" w:rsidRPr="00C3310F">
        <w:rPr>
          <w:rFonts w:hint="eastAsia"/>
        </w:rPr>
        <w:t>以</w:t>
      </w:r>
      <w:r w:rsidRPr="00C3310F">
        <w:t>DNS RPZ</w:t>
      </w:r>
      <w:r w:rsidRPr="00C3310F">
        <w:rPr>
          <w:rFonts w:hint="eastAsia"/>
        </w:rPr>
        <w:t>之技術手段達成遏止效果。</w:t>
      </w:r>
    </w:p>
    <w:p w14:paraId="5D7E898D" w14:textId="77777777" w:rsidR="00B1648E" w:rsidRPr="00C3310F" w:rsidRDefault="00B1648E" w:rsidP="00B1648E">
      <w:pPr>
        <w:pStyle w:val="3"/>
      </w:pPr>
      <w:bookmarkStart w:id="657" w:name="_Toc171525534"/>
      <w:bookmarkStart w:id="658" w:name="_Toc172024016"/>
      <w:bookmarkStart w:id="659" w:name="_Toc172033335"/>
      <w:r w:rsidRPr="00C3310F">
        <w:rPr>
          <w:rFonts w:hint="eastAsia"/>
        </w:rPr>
        <w:t>有關現行詐欺查緝實務上，詐欺集團使用之犯罪工具(例如：網路服務、人頭電話、人頭帳戶、虛擬通貨等)，基於電信、網路自由化與全球金融便利性，難以對使用者予以管制，致使前揭工具可輕易獲取利用於詐欺犯罪。</w:t>
      </w:r>
      <w:bookmarkEnd w:id="657"/>
      <w:bookmarkEnd w:id="658"/>
      <w:bookmarkEnd w:id="659"/>
    </w:p>
    <w:p w14:paraId="5A6FBFC3" w14:textId="77777777" w:rsidR="00B1648E" w:rsidRPr="00C3310F" w:rsidRDefault="00B1648E" w:rsidP="00B1648E">
      <w:pPr>
        <w:pStyle w:val="3"/>
      </w:pPr>
      <w:bookmarkStart w:id="660" w:name="_Toc171525535"/>
      <w:bookmarkStart w:id="661" w:name="_Toc172024017"/>
      <w:bookmarkStart w:id="662" w:name="_Toc172033336"/>
      <w:r w:rsidRPr="00C3310F">
        <w:rPr>
          <w:rFonts w:hint="eastAsia"/>
        </w:rPr>
        <w:t>人頭帳戶未能有效下降：</w:t>
      </w:r>
      <w:bookmarkEnd w:id="660"/>
      <w:bookmarkEnd w:id="661"/>
      <w:bookmarkEnd w:id="662"/>
    </w:p>
    <w:p w14:paraId="0C1C7801" w14:textId="2765E610" w:rsidR="00B1648E" w:rsidRPr="00C3310F" w:rsidRDefault="00B1648E" w:rsidP="00B1648E">
      <w:pPr>
        <w:pStyle w:val="4"/>
      </w:pPr>
      <w:r w:rsidRPr="00C3310F">
        <w:rPr>
          <w:rFonts w:hint="eastAsia"/>
        </w:rPr>
        <w:t>金融機構(銀行、中華郵政</w:t>
      </w:r>
      <w:r w:rsidR="00E8045C" w:rsidRPr="00C3310F">
        <w:rPr>
          <w:rFonts w:hint="eastAsia"/>
        </w:rPr>
        <w:t>、信合社</w:t>
      </w:r>
      <w:r w:rsidRPr="00C3310F">
        <w:rPr>
          <w:rFonts w:hint="eastAsia"/>
        </w:rPr>
        <w:t>)警示帳戶</w:t>
      </w:r>
      <w:r w:rsidRPr="00C3310F">
        <w:rPr>
          <w:rStyle w:val="afe"/>
        </w:rPr>
        <w:footnoteReference w:id="39"/>
      </w:r>
      <w:r w:rsidRPr="00C3310F">
        <w:rPr>
          <w:rFonts w:hint="eastAsia"/>
        </w:rPr>
        <w:t>總數由108年27</w:t>
      </w:r>
      <w:r w:rsidRPr="00C3310F">
        <w:t>,970</w:t>
      </w:r>
      <w:r w:rsidRPr="00C3310F">
        <w:rPr>
          <w:rFonts w:hint="eastAsia"/>
        </w:rPr>
        <w:t>戶逐年成長至112年118,356戶，5年至少增加</w:t>
      </w:r>
      <w:r w:rsidRPr="00C3310F">
        <w:rPr>
          <w:rStyle w:val="afe"/>
        </w:rPr>
        <w:footnoteReference w:id="40"/>
      </w:r>
      <w:r w:rsidRPr="00C3310F">
        <w:rPr>
          <w:rFonts w:hint="eastAsia"/>
        </w:rPr>
        <w:t>90,386戶，增加3倍以上，詳表1</w:t>
      </w:r>
      <w:r w:rsidR="003B11FD" w:rsidRPr="00C3310F">
        <w:rPr>
          <w:rFonts w:hint="eastAsia"/>
        </w:rPr>
        <w:t>0</w:t>
      </w:r>
      <w:r w:rsidRPr="00C3310F">
        <w:rPr>
          <w:rFonts w:hint="eastAsia"/>
        </w:rPr>
        <w:t>。</w:t>
      </w:r>
    </w:p>
    <w:p w14:paraId="3B3481E0" w14:textId="77777777" w:rsidR="00B1648E" w:rsidRPr="00C3310F" w:rsidRDefault="00B1648E" w:rsidP="00B1648E">
      <w:pPr>
        <w:pStyle w:val="a3"/>
        <w:jc w:val="center"/>
        <w:rPr>
          <w:rFonts w:hint="eastAsia"/>
          <w:b/>
        </w:rPr>
      </w:pPr>
      <w:bookmarkStart w:id="663" w:name="_Toc172025214"/>
      <w:r w:rsidRPr="00C3310F">
        <w:rPr>
          <w:rFonts w:hint="eastAsia"/>
          <w:b/>
        </w:rPr>
        <w:lastRenderedPageBreak/>
        <w:t>金融機構警示帳戶變動情形</w:t>
      </w:r>
      <w:bookmarkEnd w:id="663"/>
    </w:p>
    <w:p w14:paraId="68673B19" w14:textId="77777777" w:rsidR="00B1648E" w:rsidRPr="00C3310F" w:rsidRDefault="00B1648E" w:rsidP="00B1648E">
      <w:pPr>
        <w:jc w:val="right"/>
        <w:rPr>
          <w:sz w:val="24"/>
          <w:szCs w:val="24"/>
        </w:rPr>
      </w:pPr>
      <w:r w:rsidRPr="00C3310F">
        <w:rPr>
          <w:rFonts w:hint="eastAsia"/>
          <w:sz w:val="24"/>
          <w:szCs w:val="24"/>
        </w:rPr>
        <w:t>單位：戶數；%</w:t>
      </w:r>
    </w:p>
    <w:tbl>
      <w:tblPr>
        <w:tblW w:w="9215"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269"/>
        <w:gridCol w:w="1276"/>
        <w:gridCol w:w="1275"/>
        <w:gridCol w:w="1418"/>
        <w:gridCol w:w="1418"/>
        <w:gridCol w:w="1559"/>
      </w:tblGrid>
      <w:tr w:rsidR="00C3310F" w:rsidRPr="00C3310F" w14:paraId="7DF96A95" w14:textId="77777777" w:rsidTr="00A77297">
        <w:trPr>
          <w:trHeight w:val="435"/>
          <w:tblHeader/>
        </w:trPr>
        <w:tc>
          <w:tcPr>
            <w:tcW w:w="2269" w:type="dxa"/>
            <w:vMerge w:val="restart"/>
            <w:vAlign w:val="center"/>
          </w:tcPr>
          <w:p w14:paraId="5B532E48" w14:textId="77777777" w:rsidR="00B1648E" w:rsidRPr="00C3310F" w:rsidRDefault="00B1648E" w:rsidP="00A77297">
            <w:pPr>
              <w:jc w:val="center"/>
              <w:rPr>
                <w:sz w:val="28"/>
                <w:szCs w:val="28"/>
              </w:rPr>
            </w:pPr>
          </w:p>
        </w:tc>
        <w:tc>
          <w:tcPr>
            <w:tcW w:w="1276" w:type="dxa"/>
            <w:vMerge w:val="restart"/>
            <w:vAlign w:val="center"/>
          </w:tcPr>
          <w:p w14:paraId="21237832" w14:textId="77777777" w:rsidR="00B1648E" w:rsidRPr="00C3310F" w:rsidRDefault="00B1648E" w:rsidP="00A77297">
            <w:pPr>
              <w:jc w:val="center"/>
              <w:rPr>
                <w:sz w:val="28"/>
                <w:szCs w:val="28"/>
              </w:rPr>
            </w:pPr>
            <w:r w:rsidRPr="00C3310F">
              <w:rPr>
                <w:sz w:val="28"/>
                <w:szCs w:val="28"/>
              </w:rPr>
              <w:t>銀行</w:t>
            </w:r>
          </w:p>
        </w:tc>
        <w:tc>
          <w:tcPr>
            <w:tcW w:w="1275" w:type="dxa"/>
            <w:vMerge w:val="restart"/>
            <w:vAlign w:val="center"/>
          </w:tcPr>
          <w:p w14:paraId="68C6C930" w14:textId="77777777" w:rsidR="00B1648E" w:rsidRPr="00C3310F" w:rsidRDefault="00B1648E" w:rsidP="00A77297">
            <w:pPr>
              <w:jc w:val="center"/>
              <w:rPr>
                <w:sz w:val="28"/>
                <w:szCs w:val="28"/>
              </w:rPr>
            </w:pPr>
            <w:r w:rsidRPr="00C3310F">
              <w:rPr>
                <w:sz w:val="28"/>
                <w:szCs w:val="28"/>
              </w:rPr>
              <w:t>信合社</w:t>
            </w:r>
          </w:p>
        </w:tc>
        <w:tc>
          <w:tcPr>
            <w:tcW w:w="1418" w:type="dxa"/>
            <w:vMerge w:val="restart"/>
            <w:vAlign w:val="center"/>
          </w:tcPr>
          <w:p w14:paraId="2D212B07" w14:textId="77777777" w:rsidR="00B1648E" w:rsidRPr="00C3310F" w:rsidRDefault="00B1648E" w:rsidP="00A77297">
            <w:pPr>
              <w:jc w:val="center"/>
              <w:rPr>
                <w:sz w:val="28"/>
                <w:szCs w:val="28"/>
              </w:rPr>
            </w:pPr>
            <w:r w:rsidRPr="00C3310F">
              <w:rPr>
                <w:sz w:val="28"/>
                <w:szCs w:val="28"/>
              </w:rPr>
              <w:t>合計</w:t>
            </w:r>
          </w:p>
        </w:tc>
        <w:tc>
          <w:tcPr>
            <w:tcW w:w="2977" w:type="dxa"/>
            <w:gridSpan w:val="2"/>
            <w:vAlign w:val="center"/>
          </w:tcPr>
          <w:p w14:paraId="6C7C774B" w14:textId="77777777" w:rsidR="00B1648E" w:rsidRPr="00C3310F" w:rsidRDefault="00B1648E" w:rsidP="00A77297">
            <w:pPr>
              <w:jc w:val="center"/>
              <w:rPr>
                <w:sz w:val="28"/>
                <w:szCs w:val="28"/>
              </w:rPr>
            </w:pPr>
            <w:r w:rsidRPr="00C3310F">
              <w:rPr>
                <w:sz w:val="28"/>
                <w:szCs w:val="28"/>
              </w:rPr>
              <w:t>較前1年增加</w:t>
            </w:r>
          </w:p>
        </w:tc>
      </w:tr>
      <w:tr w:rsidR="00C3310F" w:rsidRPr="00C3310F" w14:paraId="504E5848" w14:textId="77777777" w:rsidTr="00A77297">
        <w:trPr>
          <w:trHeight w:val="278"/>
          <w:tblHeader/>
        </w:trPr>
        <w:tc>
          <w:tcPr>
            <w:tcW w:w="2269" w:type="dxa"/>
            <w:vMerge/>
            <w:vAlign w:val="center"/>
          </w:tcPr>
          <w:p w14:paraId="647ADD86" w14:textId="77777777" w:rsidR="00B1648E" w:rsidRPr="00C3310F" w:rsidRDefault="00B1648E" w:rsidP="00A77297">
            <w:pPr>
              <w:jc w:val="center"/>
              <w:rPr>
                <w:sz w:val="28"/>
                <w:szCs w:val="28"/>
              </w:rPr>
            </w:pPr>
          </w:p>
        </w:tc>
        <w:tc>
          <w:tcPr>
            <w:tcW w:w="1276" w:type="dxa"/>
            <w:vMerge/>
            <w:vAlign w:val="center"/>
          </w:tcPr>
          <w:p w14:paraId="58914036" w14:textId="77777777" w:rsidR="00B1648E" w:rsidRPr="00C3310F" w:rsidRDefault="00B1648E" w:rsidP="00A77297">
            <w:pPr>
              <w:jc w:val="center"/>
              <w:rPr>
                <w:sz w:val="28"/>
                <w:szCs w:val="28"/>
              </w:rPr>
            </w:pPr>
          </w:p>
        </w:tc>
        <w:tc>
          <w:tcPr>
            <w:tcW w:w="1275" w:type="dxa"/>
            <w:vMerge/>
            <w:vAlign w:val="center"/>
          </w:tcPr>
          <w:p w14:paraId="57592BFC" w14:textId="77777777" w:rsidR="00B1648E" w:rsidRPr="00C3310F" w:rsidRDefault="00B1648E" w:rsidP="00A77297">
            <w:pPr>
              <w:jc w:val="center"/>
              <w:rPr>
                <w:sz w:val="28"/>
                <w:szCs w:val="28"/>
              </w:rPr>
            </w:pPr>
          </w:p>
        </w:tc>
        <w:tc>
          <w:tcPr>
            <w:tcW w:w="1418" w:type="dxa"/>
            <w:vMerge/>
            <w:vAlign w:val="center"/>
          </w:tcPr>
          <w:p w14:paraId="12F9509F" w14:textId="77777777" w:rsidR="00B1648E" w:rsidRPr="00C3310F" w:rsidRDefault="00B1648E" w:rsidP="00A77297">
            <w:pPr>
              <w:jc w:val="center"/>
              <w:rPr>
                <w:sz w:val="28"/>
                <w:szCs w:val="28"/>
              </w:rPr>
            </w:pPr>
          </w:p>
        </w:tc>
        <w:tc>
          <w:tcPr>
            <w:tcW w:w="1418" w:type="dxa"/>
            <w:vAlign w:val="center"/>
          </w:tcPr>
          <w:p w14:paraId="019690B9" w14:textId="77777777" w:rsidR="00B1648E" w:rsidRPr="00C3310F" w:rsidRDefault="00B1648E" w:rsidP="00A77297">
            <w:pPr>
              <w:jc w:val="center"/>
              <w:rPr>
                <w:sz w:val="28"/>
                <w:szCs w:val="28"/>
              </w:rPr>
            </w:pPr>
            <w:r w:rsidRPr="00C3310F">
              <w:rPr>
                <w:sz w:val="28"/>
                <w:szCs w:val="28"/>
              </w:rPr>
              <w:t>戶數</w:t>
            </w:r>
          </w:p>
        </w:tc>
        <w:tc>
          <w:tcPr>
            <w:tcW w:w="1559" w:type="dxa"/>
            <w:vAlign w:val="center"/>
          </w:tcPr>
          <w:p w14:paraId="083ABC16" w14:textId="77777777" w:rsidR="00B1648E" w:rsidRPr="00C3310F" w:rsidRDefault="00B1648E" w:rsidP="00A77297">
            <w:pPr>
              <w:jc w:val="center"/>
              <w:rPr>
                <w:sz w:val="28"/>
                <w:szCs w:val="28"/>
              </w:rPr>
            </w:pPr>
            <w:r w:rsidRPr="00C3310F">
              <w:rPr>
                <w:sz w:val="28"/>
                <w:szCs w:val="28"/>
              </w:rPr>
              <w:t>比率</w:t>
            </w:r>
          </w:p>
        </w:tc>
      </w:tr>
      <w:tr w:rsidR="00C3310F" w:rsidRPr="00C3310F" w14:paraId="60B43DB2" w14:textId="77777777" w:rsidTr="00A77297">
        <w:trPr>
          <w:trHeight w:val="165"/>
        </w:trPr>
        <w:tc>
          <w:tcPr>
            <w:tcW w:w="2269" w:type="dxa"/>
          </w:tcPr>
          <w:p w14:paraId="689DA1A6" w14:textId="77777777" w:rsidR="00B1648E" w:rsidRPr="00C3310F" w:rsidRDefault="00B1648E" w:rsidP="00A77297">
            <w:pPr>
              <w:jc w:val="center"/>
              <w:rPr>
                <w:sz w:val="28"/>
                <w:szCs w:val="28"/>
              </w:rPr>
            </w:pPr>
            <w:r w:rsidRPr="00C3310F">
              <w:rPr>
                <w:sz w:val="28"/>
                <w:szCs w:val="28"/>
              </w:rPr>
              <w:t>106年</w:t>
            </w:r>
          </w:p>
        </w:tc>
        <w:tc>
          <w:tcPr>
            <w:tcW w:w="1276" w:type="dxa"/>
          </w:tcPr>
          <w:p w14:paraId="024F5D96" w14:textId="77777777" w:rsidR="00B1648E" w:rsidRPr="00C3310F" w:rsidRDefault="00B1648E" w:rsidP="00A77297">
            <w:pPr>
              <w:jc w:val="right"/>
              <w:rPr>
                <w:sz w:val="28"/>
                <w:szCs w:val="28"/>
              </w:rPr>
            </w:pPr>
            <w:r w:rsidRPr="00C3310F">
              <w:rPr>
                <w:sz w:val="28"/>
                <w:szCs w:val="28"/>
              </w:rPr>
              <w:t>32,960</w:t>
            </w:r>
          </w:p>
        </w:tc>
        <w:tc>
          <w:tcPr>
            <w:tcW w:w="1275" w:type="dxa"/>
          </w:tcPr>
          <w:p w14:paraId="39C5F5C5" w14:textId="77777777" w:rsidR="00B1648E" w:rsidRPr="00C3310F" w:rsidRDefault="00B1648E" w:rsidP="00A77297">
            <w:pPr>
              <w:jc w:val="right"/>
              <w:rPr>
                <w:sz w:val="28"/>
                <w:szCs w:val="28"/>
              </w:rPr>
            </w:pPr>
            <w:r w:rsidRPr="00C3310F">
              <w:rPr>
                <w:sz w:val="28"/>
                <w:szCs w:val="28"/>
              </w:rPr>
              <w:t>174</w:t>
            </w:r>
          </w:p>
        </w:tc>
        <w:tc>
          <w:tcPr>
            <w:tcW w:w="1418" w:type="dxa"/>
          </w:tcPr>
          <w:p w14:paraId="7A725BD5" w14:textId="77777777" w:rsidR="00B1648E" w:rsidRPr="00C3310F" w:rsidRDefault="00B1648E" w:rsidP="00A77297">
            <w:pPr>
              <w:jc w:val="right"/>
              <w:rPr>
                <w:sz w:val="28"/>
                <w:szCs w:val="28"/>
              </w:rPr>
            </w:pPr>
            <w:r w:rsidRPr="00C3310F">
              <w:rPr>
                <w:sz w:val="28"/>
                <w:szCs w:val="28"/>
              </w:rPr>
              <w:t>33,134</w:t>
            </w:r>
          </w:p>
        </w:tc>
        <w:tc>
          <w:tcPr>
            <w:tcW w:w="1418" w:type="dxa"/>
            <w:vAlign w:val="center"/>
          </w:tcPr>
          <w:p w14:paraId="103A0659" w14:textId="77777777" w:rsidR="00B1648E" w:rsidRPr="00C3310F" w:rsidRDefault="00B1648E" w:rsidP="00A77297">
            <w:pPr>
              <w:jc w:val="right"/>
              <w:rPr>
                <w:rFonts w:ascii="新細明體" w:eastAsia="新細明體" w:hAnsi="新細明體" w:cs="新細明體"/>
                <w:sz w:val="28"/>
                <w:szCs w:val="28"/>
              </w:rPr>
            </w:pPr>
            <w:r w:rsidRPr="00C3310F">
              <w:rPr>
                <w:rFonts w:hint="eastAsia"/>
                <w:sz w:val="28"/>
                <w:szCs w:val="28"/>
              </w:rPr>
              <w:t>5,494</w:t>
            </w:r>
          </w:p>
        </w:tc>
        <w:tc>
          <w:tcPr>
            <w:tcW w:w="1559" w:type="dxa"/>
            <w:vAlign w:val="center"/>
          </w:tcPr>
          <w:p w14:paraId="1D124380" w14:textId="77777777" w:rsidR="00B1648E" w:rsidRPr="00C3310F" w:rsidRDefault="00B1648E" w:rsidP="00A77297">
            <w:pPr>
              <w:jc w:val="right"/>
              <w:rPr>
                <w:rFonts w:ascii="新細明體" w:eastAsia="新細明體" w:hAnsi="新細明體" w:cs="新細明體"/>
                <w:sz w:val="28"/>
                <w:szCs w:val="28"/>
              </w:rPr>
            </w:pPr>
            <w:r w:rsidRPr="00C3310F">
              <w:rPr>
                <w:rFonts w:hint="eastAsia"/>
                <w:sz w:val="28"/>
                <w:szCs w:val="28"/>
              </w:rPr>
              <w:t>19.88%</w:t>
            </w:r>
          </w:p>
        </w:tc>
      </w:tr>
      <w:tr w:rsidR="00C3310F" w:rsidRPr="00C3310F" w14:paraId="66298E11" w14:textId="77777777" w:rsidTr="00A77297">
        <w:trPr>
          <w:trHeight w:val="240"/>
        </w:trPr>
        <w:tc>
          <w:tcPr>
            <w:tcW w:w="2269" w:type="dxa"/>
          </w:tcPr>
          <w:p w14:paraId="7DAFB857" w14:textId="77777777" w:rsidR="00B1648E" w:rsidRPr="00C3310F" w:rsidRDefault="00B1648E" w:rsidP="00A77297">
            <w:pPr>
              <w:jc w:val="center"/>
              <w:rPr>
                <w:sz w:val="28"/>
                <w:szCs w:val="28"/>
              </w:rPr>
            </w:pPr>
            <w:r w:rsidRPr="00C3310F">
              <w:rPr>
                <w:sz w:val="28"/>
                <w:szCs w:val="28"/>
              </w:rPr>
              <w:t>107年</w:t>
            </w:r>
          </w:p>
        </w:tc>
        <w:tc>
          <w:tcPr>
            <w:tcW w:w="1276" w:type="dxa"/>
          </w:tcPr>
          <w:p w14:paraId="593FEA46" w14:textId="77777777" w:rsidR="00B1648E" w:rsidRPr="00C3310F" w:rsidRDefault="00B1648E" w:rsidP="00A77297">
            <w:pPr>
              <w:jc w:val="right"/>
              <w:rPr>
                <w:sz w:val="28"/>
                <w:szCs w:val="28"/>
              </w:rPr>
            </w:pPr>
            <w:r w:rsidRPr="00C3310F">
              <w:rPr>
                <w:sz w:val="28"/>
                <w:szCs w:val="28"/>
              </w:rPr>
              <w:t>29,000</w:t>
            </w:r>
          </w:p>
        </w:tc>
        <w:tc>
          <w:tcPr>
            <w:tcW w:w="1275" w:type="dxa"/>
          </w:tcPr>
          <w:p w14:paraId="040B6543" w14:textId="77777777" w:rsidR="00B1648E" w:rsidRPr="00C3310F" w:rsidRDefault="00B1648E" w:rsidP="00A77297">
            <w:pPr>
              <w:jc w:val="right"/>
              <w:rPr>
                <w:sz w:val="28"/>
                <w:szCs w:val="28"/>
              </w:rPr>
            </w:pPr>
            <w:r w:rsidRPr="00C3310F">
              <w:rPr>
                <w:sz w:val="28"/>
                <w:szCs w:val="28"/>
              </w:rPr>
              <w:t>150</w:t>
            </w:r>
          </w:p>
        </w:tc>
        <w:tc>
          <w:tcPr>
            <w:tcW w:w="1418" w:type="dxa"/>
          </w:tcPr>
          <w:p w14:paraId="4438690C" w14:textId="77777777" w:rsidR="00B1648E" w:rsidRPr="00C3310F" w:rsidRDefault="00B1648E" w:rsidP="00A77297">
            <w:pPr>
              <w:jc w:val="right"/>
              <w:rPr>
                <w:sz w:val="28"/>
                <w:szCs w:val="28"/>
              </w:rPr>
            </w:pPr>
            <w:r w:rsidRPr="00C3310F">
              <w:rPr>
                <w:sz w:val="28"/>
                <w:szCs w:val="28"/>
              </w:rPr>
              <w:t>29,150</w:t>
            </w:r>
          </w:p>
        </w:tc>
        <w:tc>
          <w:tcPr>
            <w:tcW w:w="1418" w:type="dxa"/>
            <w:vAlign w:val="center"/>
          </w:tcPr>
          <w:p w14:paraId="4322C38E" w14:textId="77777777" w:rsidR="00B1648E" w:rsidRPr="00C3310F" w:rsidRDefault="00B1648E" w:rsidP="00A77297">
            <w:pPr>
              <w:jc w:val="right"/>
              <w:rPr>
                <w:rFonts w:ascii="新細明體" w:eastAsia="新細明體" w:hAnsi="新細明體" w:cs="新細明體"/>
                <w:sz w:val="28"/>
                <w:szCs w:val="28"/>
              </w:rPr>
            </w:pPr>
            <w:r w:rsidRPr="00C3310F">
              <w:rPr>
                <w:rFonts w:hint="eastAsia"/>
                <w:sz w:val="28"/>
                <w:szCs w:val="28"/>
              </w:rPr>
              <w:t>-3,984</w:t>
            </w:r>
          </w:p>
        </w:tc>
        <w:tc>
          <w:tcPr>
            <w:tcW w:w="1559" w:type="dxa"/>
            <w:vAlign w:val="center"/>
          </w:tcPr>
          <w:p w14:paraId="27B50264" w14:textId="77777777" w:rsidR="00B1648E" w:rsidRPr="00C3310F" w:rsidRDefault="00B1648E" w:rsidP="00A77297">
            <w:pPr>
              <w:jc w:val="right"/>
              <w:rPr>
                <w:rFonts w:ascii="新細明體" w:eastAsia="新細明體" w:hAnsi="新細明體" w:cs="新細明體"/>
                <w:sz w:val="28"/>
                <w:szCs w:val="28"/>
              </w:rPr>
            </w:pPr>
            <w:r w:rsidRPr="00C3310F">
              <w:rPr>
                <w:rFonts w:hint="eastAsia"/>
                <w:sz w:val="28"/>
                <w:szCs w:val="28"/>
              </w:rPr>
              <w:t>-12.02%</w:t>
            </w:r>
          </w:p>
        </w:tc>
      </w:tr>
      <w:tr w:rsidR="00C3310F" w:rsidRPr="00C3310F" w14:paraId="519F5C29" w14:textId="77777777" w:rsidTr="00A77297">
        <w:trPr>
          <w:trHeight w:val="227"/>
        </w:trPr>
        <w:tc>
          <w:tcPr>
            <w:tcW w:w="2269" w:type="dxa"/>
          </w:tcPr>
          <w:p w14:paraId="633C16EA" w14:textId="77777777" w:rsidR="00B1648E" w:rsidRPr="00C3310F" w:rsidRDefault="00B1648E" w:rsidP="00A77297">
            <w:pPr>
              <w:jc w:val="center"/>
              <w:rPr>
                <w:sz w:val="28"/>
                <w:szCs w:val="28"/>
              </w:rPr>
            </w:pPr>
            <w:r w:rsidRPr="00C3310F">
              <w:rPr>
                <w:sz w:val="28"/>
                <w:szCs w:val="28"/>
              </w:rPr>
              <w:t>108年</w:t>
            </w:r>
          </w:p>
        </w:tc>
        <w:tc>
          <w:tcPr>
            <w:tcW w:w="1276" w:type="dxa"/>
          </w:tcPr>
          <w:p w14:paraId="1347E8B3" w14:textId="77777777" w:rsidR="00B1648E" w:rsidRPr="00C3310F" w:rsidRDefault="00B1648E" w:rsidP="00A77297">
            <w:pPr>
              <w:jc w:val="right"/>
              <w:rPr>
                <w:sz w:val="28"/>
                <w:szCs w:val="28"/>
              </w:rPr>
            </w:pPr>
            <w:r w:rsidRPr="00C3310F">
              <w:rPr>
                <w:sz w:val="28"/>
                <w:szCs w:val="28"/>
              </w:rPr>
              <w:t>27,850</w:t>
            </w:r>
          </w:p>
        </w:tc>
        <w:tc>
          <w:tcPr>
            <w:tcW w:w="1275" w:type="dxa"/>
          </w:tcPr>
          <w:p w14:paraId="48B6DEC3" w14:textId="77777777" w:rsidR="00B1648E" w:rsidRPr="00C3310F" w:rsidRDefault="00B1648E" w:rsidP="00A77297">
            <w:pPr>
              <w:jc w:val="right"/>
              <w:rPr>
                <w:sz w:val="28"/>
                <w:szCs w:val="28"/>
              </w:rPr>
            </w:pPr>
            <w:r w:rsidRPr="00C3310F">
              <w:rPr>
                <w:sz w:val="28"/>
                <w:szCs w:val="28"/>
              </w:rPr>
              <w:t>120</w:t>
            </w:r>
          </w:p>
        </w:tc>
        <w:tc>
          <w:tcPr>
            <w:tcW w:w="1418" w:type="dxa"/>
          </w:tcPr>
          <w:p w14:paraId="2A8CC079" w14:textId="77777777" w:rsidR="00B1648E" w:rsidRPr="00C3310F" w:rsidRDefault="00B1648E" w:rsidP="00A77297">
            <w:pPr>
              <w:jc w:val="right"/>
              <w:rPr>
                <w:sz w:val="28"/>
                <w:szCs w:val="28"/>
              </w:rPr>
            </w:pPr>
            <w:r w:rsidRPr="00C3310F">
              <w:rPr>
                <w:sz w:val="28"/>
                <w:szCs w:val="28"/>
              </w:rPr>
              <w:t>27,970</w:t>
            </w:r>
          </w:p>
        </w:tc>
        <w:tc>
          <w:tcPr>
            <w:tcW w:w="1418" w:type="dxa"/>
            <w:vAlign w:val="center"/>
          </w:tcPr>
          <w:p w14:paraId="74C0AF6E" w14:textId="77777777" w:rsidR="00B1648E" w:rsidRPr="00C3310F" w:rsidRDefault="00B1648E" w:rsidP="00A77297">
            <w:pPr>
              <w:jc w:val="right"/>
              <w:rPr>
                <w:rFonts w:ascii="新細明體" w:eastAsia="新細明體" w:hAnsi="新細明體" w:cs="新細明體"/>
                <w:sz w:val="28"/>
                <w:szCs w:val="28"/>
              </w:rPr>
            </w:pPr>
            <w:r w:rsidRPr="00C3310F">
              <w:rPr>
                <w:rFonts w:hint="eastAsia"/>
                <w:sz w:val="28"/>
                <w:szCs w:val="28"/>
              </w:rPr>
              <w:t>-1,180</w:t>
            </w:r>
          </w:p>
        </w:tc>
        <w:tc>
          <w:tcPr>
            <w:tcW w:w="1559" w:type="dxa"/>
            <w:vAlign w:val="center"/>
          </w:tcPr>
          <w:p w14:paraId="1F17081F" w14:textId="77777777" w:rsidR="00B1648E" w:rsidRPr="00C3310F" w:rsidRDefault="00B1648E" w:rsidP="00A77297">
            <w:pPr>
              <w:jc w:val="right"/>
              <w:rPr>
                <w:rFonts w:ascii="新細明體" w:eastAsia="新細明體" w:hAnsi="新細明體" w:cs="新細明體"/>
                <w:sz w:val="28"/>
                <w:szCs w:val="28"/>
              </w:rPr>
            </w:pPr>
            <w:r w:rsidRPr="00C3310F">
              <w:rPr>
                <w:rFonts w:hint="eastAsia"/>
                <w:sz w:val="28"/>
                <w:szCs w:val="28"/>
              </w:rPr>
              <w:t>-4.05%</w:t>
            </w:r>
          </w:p>
        </w:tc>
      </w:tr>
      <w:tr w:rsidR="00C3310F" w:rsidRPr="00C3310F" w14:paraId="24E409C4" w14:textId="77777777" w:rsidTr="00A77297">
        <w:trPr>
          <w:trHeight w:val="176"/>
        </w:trPr>
        <w:tc>
          <w:tcPr>
            <w:tcW w:w="2269" w:type="dxa"/>
          </w:tcPr>
          <w:p w14:paraId="699F74FF" w14:textId="77777777" w:rsidR="00B1648E" w:rsidRPr="00C3310F" w:rsidRDefault="00B1648E" w:rsidP="00A77297">
            <w:pPr>
              <w:jc w:val="center"/>
              <w:rPr>
                <w:sz w:val="28"/>
                <w:szCs w:val="28"/>
              </w:rPr>
            </w:pPr>
            <w:r w:rsidRPr="00C3310F">
              <w:rPr>
                <w:sz w:val="28"/>
                <w:szCs w:val="28"/>
              </w:rPr>
              <w:t>109年</w:t>
            </w:r>
          </w:p>
        </w:tc>
        <w:tc>
          <w:tcPr>
            <w:tcW w:w="1276" w:type="dxa"/>
          </w:tcPr>
          <w:p w14:paraId="25584E41" w14:textId="77777777" w:rsidR="00B1648E" w:rsidRPr="00C3310F" w:rsidRDefault="00B1648E" w:rsidP="00A77297">
            <w:pPr>
              <w:jc w:val="right"/>
              <w:rPr>
                <w:sz w:val="28"/>
                <w:szCs w:val="28"/>
              </w:rPr>
            </w:pPr>
            <w:r w:rsidRPr="00C3310F">
              <w:rPr>
                <w:sz w:val="28"/>
                <w:szCs w:val="28"/>
              </w:rPr>
              <w:t>40,478</w:t>
            </w:r>
          </w:p>
        </w:tc>
        <w:tc>
          <w:tcPr>
            <w:tcW w:w="1275" w:type="dxa"/>
          </w:tcPr>
          <w:p w14:paraId="47BED181" w14:textId="77777777" w:rsidR="00B1648E" w:rsidRPr="00C3310F" w:rsidRDefault="00B1648E" w:rsidP="00A77297">
            <w:pPr>
              <w:jc w:val="right"/>
              <w:rPr>
                <w:sz w:val="28"/>
                <w:szCs w:val="28"/>
              </w:rPr>
            </w:pPr>
            <w:r w:rsidRPr="00C3310F">
              <w:rPr>
                <w:sz w:val="28"/>
                <w:szCs w:val="28"/>
              </w:rPr>
              <w:t>165</w:t>
            </w:r>
          </w:p>
        </w:tc>
        <w:tc>
          <w:tcPr>
            <w:tcW w:w="1418" w:type="dxa"/>
          </w:tcPr>
          <w:p w14:paraId="7E781D0C" w14:textId="77777777" w:rsidR="00B1648E" w:rsidRPr="00C3310F" w:rsidRDefault="00B1648E" w:rsidP="00A77297">
            <w:pPr>
              <w:jc w:val="right"/>
              <w:rPr>
                <w:sz w:val="28"/>
                <w:szCs w:val="28"/>
              </w:rPr>
            </w:pPr>
            <w:r w:rsidRPr="00C3310F">
              <w:rPr>
                <w:sz w:val="28"/>
                <w:szCs w:val="28"/>
              </w:rPr>
              <w:t>40,643</w:t>
            </w:r>
          </w:p>
        </w:tc>
        <w:tc>
          <w:tcPr>
            <w:tcW w:w="1418" w:type="dxa"/>
            <w:vAlign w:val="center"/>
          </w:tcPr>
          <w:p w14:paraId="60FF57BC" w14:textId="77777777" w:rsidR="00B1648E" w:rsidRPr="00C3310F" w:rsidRDefault="00B1648E" w:rsidP="00A77297">
            <w:pPr>
              <w:jc w:val="right"/>
              <w:rPr>
                <w:rFonts w:ascii="新細明體" w:eastAsia="新細明體" w:hAnsi="新細明體" w:cs="新細明體"/>
                <w:sz w:val="28"/>
                <w:szCs w:val="28"/>
              </w:rPr>
            </w:pPr>
            <w:r w:rsidRPr="00C3310F">
              <w:rPr>
                <w:rFonts w:hint="eastAsia"/>
                <w:sz w:val="28"/>
                <w:szCs w:val="28"/>
              </w:rPr>
              <w:t>12,673</w:t>
            </w:r>
          </w:p>
        </w:tc>
        <w:tc>
          <w:tcPr>
            <w:tcW w:w="1559" w:type="dxa"/>
            <w:vAlign w:val="center"/>
          </w:tcPr>
          <w:p w14:paraId="3ED5A33C" w14:textId="77777777" w:rsidR="00B1648E" w:rsidRPr="00C3310F" w:rsidRDefault="00B1648E" w:rsidP="00A77297">
            <w:pPr>
              <w:jc w:val="right"/>
              <w:rPr>
                <w:rFonts w:ascii="新細明體" w:eastAsia="新細明體" w:hAnsi="新細明體" w:cs="新細明體"/>
                <w:sz w:val="28"/>
                <w:szCs w:val="28"/>
              </w:rPr>
            </w:pPr>
            <w:r w:rsidRPr="00C3310F">
              <w:rPr>
                <w:rFonts w:hint="eastAsia"/>
                <w:sz w:val="28"/>
                <w:szCs w:val="28"/>
              </w:rPr>
              <w:t>45.31%</w:t>
            </w:r>
          </w:p>
        </w:tc>
      </w:tr>
      <w:tr w:rsidR="00C3310F" w:rsidRPr="00C3310F" w14:paraId="1EAEC5C7" w14:textId="77777777" w:rsidTr="00A77297">
        <w:trPr>
          <w:trHeight w:val="225"/>
        </w:trPr>
        <w:tc>
          <w:tcPr>
            <w:tcW w:w="2269" w:type="dxa"/>
          </w:tcPr>
          <w:p w14:paraId="5B577D4B" w14:textId="77777777" w:rsidR="00B1648E" w:rsidRPr="00C3310F" w:rsidRDefault="00B1648E" w:rsidP="00A77297">
            <w:pPr>
              <w:jc w:val="center"/>
              <w:rPr>
                <w:sz w:val="28"/>
                <w:szCs w:val="28"/>
              </w:rPr>
            </w:pPr>
            <w:r w:rsidRPr="00C3310F">
              <w:rPr>
                <w:sz w:val="28"/>
                <w:szCs w:val="28"/>
              </w:rPr>
              <w:t>110年</w:t>
            </w:r>
          </w:p>
        </w:tc>
        <w:tc>
          <w:tcPr>
            <w:tcW w:w="1276" w:type="dxa"/>
          </w:tcPr>
          <w:p w14:paraId="466E7EF6" w14:textId="77777777" w:rsidR="00B1648E" w:rsidRPr="00C3310F" w:rsidRDefault="00B1648E" w:rsidP="00A77297">
            <w:pPr>
              <w:jc w:val="right"/>
              <w:rPr>
                <w:sz w:val="28"/>
                <w:szCs w:val="28"/>
              </w:rPr>
            </w:pPr>
            <w:r w:rsidRPr="00C3310F">
              <w:rPr>
                <w:sz w:val="28"/>
                <w:szCs w:val="28"/>
              </w:rPr>
              <w:t>64,407</w:t>
            </w:r>
          </w:p>
        </w:tc>
        <w:tc>
          <w:tcPr>
            <w:tcW w:w="1275" w:type="dxa"/>
          </w:tcPr>
          <w:p w14:paraId="18097F9B" w14:textId="77777777" w:rsidR="00B1648E" w:rsidRPr="00C3310F" w:rsidRDefault="00B1648E" w:rsidP="00A77297">
            <w:pPr>
              <w:jc w:val="right"/>
              <w:rPr>
                <w:sz w:val="28"/>
                <w:szCs w:val="28"/>
              </w:rPr>
            </w:pPr>
            <w:r w:rsidRPr="00C3310F">
              <w:rPr>
                <w:sz w:val="28"/>
                <w:szCs w:val="28"/>
              </w:rPr>
              <w:t>271</w:t>
            </w:r>
          </w:p>
        </w:tc>
        <w:tc>
          <w:tcPr>
            <w:tcW w:w="1418" w:type="dxa"/>
          </w:tcPr>
          <w:p w14:paraId="3F7127CA" w14:textId="77777777" w:rsidR="00B1648E" w:rsidRPr="00C3310F" w:rsidRDefault="00B1648E" w:rsidP="00A77297">
            <w:pPr>
              <w:jc w:val="right"/>
              <w:rPr>
                <w:sz w:val="28"/>
                <w:szCs w:val="28"/>
              </w:rPr>
            </w:pPr>
            <w:r w:rsidRPr="00C3310F">
              <w:rPr>
                <w:sz w:val="28"/>
                <w:szCs w:val="28"/>
              </w:rPr>
              <w:t>64,678</w:t>
            </w:r>
          </w:p>
        </w:tc>
        <w:tc>
          <w:tcPr>
            <w:tcW w:w="1418" w:type="dxa"/>
            <w:vAlign w:val="center"/>
          </w:tcPr>
          <w:p w14:paraId="731038FC" w14:textId="77777777" w:rsidR="00B1648E" w:rsidRPr="00C3310F" w:rsidRDefault="00B1648E" w:rsidP="00A77297">
            <w:pPr>
              <w:jc w:val="right"/>
              <w:rPr>
                <w:rFonts w:ascii="新細明體" w:eastAsia="新細明體" w:hAnsi="新細明體" w:cs="新細明體"/>
                <w:sz w:val="28"/>
                <w:szCs w:val="28"/>
              </w:rPr>
            </w:pPr>
            <w:r w:rsidRPr="00C3310F">
              <w:rPr>
                <w:rFonts w:hint="eastAsia"/>
                <w:sz w:val="28"/>
                <w:szCs w:val="28"/>
              </w:rPr>
              <w:t>24,035</w:t>
            </w:r>
          </w:p>
        </w:tc>
        <w:tc>
          <w:tcPr>
            <w:tcW w:w="1559" w:type="dxa"/>
            <w:vAlign w:val="center"/>
          </w:tcPr>
          <w:p w14:paraId="50671C20" w14:textId="77777777" w:rsidR="00B1648E" w:rsidRPr="00C3310F" w:rsidRDefault="00B1648E" w:rsidP="00A77297">
            <w:pPr>
              <w:jc w:val="right"/>
              <w:rPr>
                <w:rFonts w:ascii="新細明體" w:eastAsia="新細明體" w:hAnsi="新細明體" w:cs="新細明體"/>
                <w:sz w:val="28"/>
                <w:szCs w:val="28"/>
              </w:rPr>
            </w:pPr>
            <w:r w:rsidRPr="00C3310F">
              <w:rPr>
                <w:rFonts w:hint="eastAsia"/>
                <w:sz w:val="28"/>
                <w:szCs w:val="28"/>
              </w:rPr>
              <w:t>59.14%</w:t>
            </w:r>
          </w:p>
        </w:tc>
      </w:tr>
      <w:tr w:rsidR="00C3310F" w:rsidRPr="00C3310F" w14:paraId="5DDDB529" w14:textId="77777777" w:rsidTr="00A77297">
        <w:trPr>
          <w:trHeight w:val="165"/>
        </w:trPr>
        <w:tc>
          <w:tcPr>
            <w:tcW w:w="2269" w:type="dxa"/>
          </w:tcPr>
          <w:p w14:paraId="31E62814" w14:textId="77777777" w:rsidR="00B1648E" w:rsidRPr="00C3310F" w:rsidRDefault="00B1648E" w:rsidP="00A77297">
            <w:pPr>
              <w:jc w:val="center"/>
              <w:rPr>
                <w:sz w:val="28"/>
                <w:szCs w:val="28"/>
              </w:rPr>
            </w:pPr>
            <w:r w:rsidRPr="00C3310F">
              <w:rPr>
                <w:sz w:val="28"/>
                <w:szCs w:val="28"/>
              </w:rPr>
              <w:t>111年</w:t>
            </w:r>
          </w:p>
        </w:tc>
        <w:tc>
          <w:tcPr>
            <w:tcW w:w="1276" w:type="dxa"/>
          </w:tcPr>
          <w:p w14:paraId="659C575D" w14:textId="77777777" w:rsidR="00B1648E" w:rsidRPr="00C3310F" w:rsidRDefault="00B1648E" w:rsidP="00A77297">
            <w:pPr>
              <w:jc w:val="right"/>
              <w:rPr>
                <w:sz w:val="28"/>
                <w:szCs w:val="28"/>
              </w:rPr>
            </w:pPr>
            <w:r w:rsidRPr="00C3310F">
              <w:rPr>
                <w:sz w:val="28"/>
                <w:szCs w:val="28"/>
              </w:rPr>
              <w:t>90,467</w:t>
            </w:r>
          </w:p>
        </w:tc>
        <w:tc>
          <w:tcPr>
            <w:tcW w:w="1275" w:type="dxa"/>
          </w:tcPr>
          <w:p w14:paraId="39D06B4B" w14:textId="77777777" w:rsidR="00B1648E" w:rsidRPr="00C3310F" w:rsidRDefault="00B1648E" w:rsidP="00A77297">
            <w:pPr>
              <w:jc w:val="right"/>
              <w:rPr>
                <w:sz w:val="28"/>
                <w:szCs w:val="28"/>
              </w:rPr>
            </w:pPr>
            <w:r w:rsidRPr="00C3310F">
              <w:rPr>
                <w:sz w:val="28"/>
                <w:szCs w:val="28"/>
              </w:rPr>
              <w:t>346</w:t>
            </w:r>
          </w:p>
        </w:tc>
        <w:tc>
          <w:tcPr>
            <w:tcW w:w="1418" w:type="dxa"/>
          </w:tcPr>
          <w:p w14:paraId="0BB0F44A" w14:textId="77777777" w:rsidR="00B1648E" w:rsidRPr="00C3310F" w:rsidRDefault="00B1648E" w:rsidP="00A77297">
            <w:pPr>
              <w:jc w:val="right"/>
              <w:rPr>
                <w:sz w:val="28"/>
                <w:szCs w:val="28"/>
              </w:rPr>
            </w:pPr>
            <w:r w:rsidRPr="00C3310F">
              <w:rPr>
                <w:sz w:val="28"/>
                <w:szCs w:val="28"/>
              </w:rPr>
              <w:t>90,813</w:t>
            </w:r>
          </w:p>
        </w:tc>
        <w:tc>
          <w:tcPr>
            <w:tcW w:w="1418" w:type="dxa"/>
            <w:vAlign w:val="center"/>
          </w:tcPr>
          <w:p w14:paraId="1E987EC5" w14:textId="77777777" w:rsidR="00B1648E" w:rsidRPr="00C3310F" w:rsidRDefault="00B1648E" w:rsidP="00A77297">
            <w:pPr>
              <w:jc w:val="right"/>
              <w:rPr>
                <w:rFonts w:ascii="新細明體" w:eastAsia="新細明體" w:hAnsi="新細明體" w:cs="新細明體"/>
                <w:sz w:val="28"/>
                <w:szCs w:val="28"/>
              </w:rPr>
            </w:pPr>
            <w:r w:rsidRPr="00C3310F">
              <w:rPr>
                <w:rFonts w:hint="eastAsia"/>
                <w:sz w:val="28"/>
                <w:szCs w:val="28"/>
              </w:rPr>
              <w:t>26,135</w:t>
            </w:r>
          </w:p>
        </w:tc>
        <w:tc>
          <w:tcPr>
            <w:tcW w:w="1559" w:type="dxa"/>
            <w:vAlign w:val="center"/>
          </w:tcPr>
          <w:p w14:paraId="5B4414C5" w14:textId="77777777" w:rsidR="00B1648E" w:rsidRPr="00C3310F" w:rsidRDefault="00B1648E" w:rsidP="00A77297">
            <w:pPr>
              <w:jc w:val="right"/>
              <w:rPr>
                <w:rFonts w:ascii="新細明體" w:eastAsia="新細明體" w:hAnsi="新細明體" w:cs="新細明體"/>
                <w:sz w:val="28"/>
                <w:szCs w:val="28"/>
              </w:rPr>
            </w:pPr>
            <w:r w:rsidRPr="00C3310F">
              <w:rPr>
                <w:rFonts w:hint="eastAsia"/>
                <w:sz w:val="28"/>
                <w:szCs w:val="28"/>
              </w:rPr>
              <w:t>40.41%</w:t>
            </w:r>
          </w:p>
        </w:tc>
      </w:tr>
      <w:tr w:rsidR="00C3310F" w:rsidRPr="00C3310F" w14:paraId="4C11A395" w14:textId="77777777" w:rsidTr="00A77297">
        <w:trPr>
          <w:trHeight w:val="240"/>
        </w:trPr>
        <w:tc>
          <w:tcPr>
            <w:tcW w:w="2269" w:type="dxa"/>
          </w:tcPr>
          <w:p w14:paraId="1D7BDFCE" w14:textId="77777777" w:rsidR="00B1648E" w:rsidRPr="00C3310F" w:rsidRDefault="00B1648E" w:rsidP="00A77297">
            <w:pPr>
              <w:jc w:val="center"/>
              <w:rPr>
                <w:sz w:val="28"/>
                <w:szCs w:val="28"/>
              </w:rPr>
            </w:pPr>
            <w:r w:rsidRPr="00C3310F">
              <w:rPr>
                <w:sz w:val="28"/>
                <w:szCs w:val="28"/>
              </w:rPr>
              <w:t>112年</w:t>
            </w:r>
          </w:p>
        </w:tc>
        <w:tc>
          <w:tcPr>
            <w:tcW w:w="1276" w:type="dxa"/>
          </w:tcPr>
          <w:p w14:paraId="3445A99E" w14:textId="77777777" w:rsidR="00B1648E" w:rsidRPr="00C3310F" w:rsidRDefault="00B1648E" w:rsidP="00A77297">
            <w:pPr>
              <w:jc w:val="right"/>
              <w:rPr>
                <w:sz w:val="28"/>
                <w:szCs w:val="28"/>
              </w:rPr>
            </w:pPr>
            <w:r w:rsidRPr="00C3310F">
              <w:rPr>
                <w:sz w:val="28"/>
                <w:szCs w:val="28"/>
              </w:rPr>
              <w:t>117,830</w:t>
            </w:r>
          </w:p>
        </w:tc>
        <w:tc>
          <w:tcPr>
            <w:tcW w:w="1275" w:type="dxa"/>
          </w:tcPr>
          <w:p w14:paraId="6F88ECAF" w14:textId="77777777" w:rsidR="00B1648E" w:rsidRPr="00C3310F" w:rsidRDefault="00B1648E" w:rsidP="00A77297">
            <w:pPr>
              <w:jc w:val="right"/>
              <w:rPr>
                <w:sz w:val="28"/>
                <w:szCs w:val="28"/>
              </w:rPr>
            </w:pPr>
            <w:r w:rsidRPr="00C3310F">
              <w:rPr>
                <w:sz w:val="28"/>
                <w:szCs w:val="28"/>
              </w:rPr>
              <w:t>526</w:t>
            </w:r>
          </w:p>
        </w:tc>
        <w:tc>
          <w:tcPr>
            <w:tcW w:w="1418" w:type="dxa"/>
          </w:tcPr>
          <w:p w14:paraId="72ECF10E" w14:textId="77777777" w:rsidR="00B1648E" w:rsidRPr="00C3310F" w:rsidRDefault="00B1648E" w:rsidP="00A77297">
            <w:pPr>
              <w:jc w:val="right"/>
              <w:rPr>
                <w:sz w:val="28"/>
                <w:szCs w:val="28"/>
              </w:rPr>
            </w:pPr>
            <w:r w:rsidRPr="00C3310F">
              <w:rPr>
                <w:sz w:val="28"/>
                <w:szCs w:val="28"/>
              </w:rPr>
              <w:t>118,356</w:t>
            </w:r>
          </w:p>
        </w:tc>
        <w:tc>
          <w:tcPr>
            <w:tcW w:w="1418" w:type="dxa"/>
            <w:vAlign w:val="center"/>
          </w:tcPr>
          <w:p w14:paraId="06E88D1E" w14:textId="77777777" w:rsidR="00B1648E" w:rsidRPr="00C3310F" w:rsidRDefault="00B1648E" w:rsidP="00A77297">
            <w:pPr>
              <w:jc w:val="right"/>
              <w:rPr>
                <w:rFonts w:ascii="新細明體" w:eastAsia="新細明體" w:hAnsi="新細明體" w:cs="新細明體"/>
                <w:sz w:val="28"/>
                <w:szCs w:val="28"/>
              </w:rPr>
            </w:pPr>
            <w:r w:rsidRPr="00C3310F">
              <w:rPr>
                <w:rFonts w:hint="eastAsia"/>
                <w:sz w:val="28"/>
                <w:szCs w:val="28"/>
              </w:rPr>
              <w:t>27,543</w:t>
            </w:r>
          </w:p>
        </w:tc>
        <w:tc>
          <w:tcPr>
            <w:tcW w:w="1559" w:type="dxa"/>
            <w:vAlign w:val="center"/>
          </w:tcPr>
          <w:p w14:paraId="227A6216" w14:textId="77777777" w:rsidR="00B1648E" w:rsidRPr="00C3310F" w:rsidRDefault="00B1648E" w:rsidP="00A77297">
            <w:pPr>
              <w:jc w:val="right"/>
              <w:rPr>
                <w:rFonts w:ascii="新細明體" w:eastAsia="新細明體" w:hAnsi="新細明體" w:cs="新細明體"/>
                <w:sz w:val="28"/>
                <w:szCs w:val="28"/>
              </w:rPr>
            </w:pPr>
            <w:r w:rsidRPr="00C3310F">
              <w:rPr>
                <w:rFonts w:hint="eastAsia"/>
                <w:sz w:val="28"/>
                <w:szCs w:val="28"/>
              </w:rPr>
              <w:t>30.33%</w:t>
            </w:r>
          </w:p>
        </w:tc>
      </w:tr>
      <w:tr w:rsidR="00C3310F" w:rsidRPr="00C3310F" w14:paraId="6B91B085" w14:textId="77777777" w:rsidTr="00A77297">
        <w:trPr>
          <w:trHeight w:val="146"/>
        </w:trPr>
        <w:tc>
          <w:tcPr>
            <w:tcW w:w="2269" w:type="dxa"/>
          </w:tcPr>
          <w:p w14:paraId="5BBD70CE" w14:textId="77777777" w:rsidR="00B1648E" w:rsidRPr="00C3310F" w:rsidRDefault="00B1648E" w:rsidP="00A77297">
            <w:pPr>
              <w:jc w:val="center"/>
              <w:rPr>
                <w:sz w:val="28"/>
                <w:szCs w:val="28"/>
              </w:rPr>
            </w:pPr>
            <w:r w:rsidRPr="00C3310F">
              <w:rPr>
                <w:sz w:val="28"/>
                <w:szCs w:val="28"/>
              </w:rPr>
              <w:t>113年3月31日</w:t>
            </w:r>
          </w:p>
        </w:tc>
        <w:tc>
          <w:tcPr>
            <w:tcW w:w="1276" w:type="dxa"/>
          </w:tcPr>
          <w:p w14:paraId="0D9D7B56" w14:textId="77777777" w:rsidR="00B1648E" w:rsidRPr="00C3310F" w:rsidRDefault="00B1648E" w:rsidP="00A77297">
            <w:pPr>
              <w:jc w:val="right"/>
              <w:rPr>
                <w:sz w:val="28"/>
                <w:szCs w:val="28"/>
              </w:rPr>
            </w:pPr>
            <w:r w:rsidRPr="00C3310F">
              <w:rPr>
                <w:sz w:val="28"/>
                <w:szCs w:val="28"/>
              </w:rPr>
              <w:t>125,756</w:t>
            </w:r>
          </w:p>
        </w:tc>
        <w:tc>
          <w:tcPr>
            <w:tcW w:w="1275" w:type="dxa"/>
          </w:tcPr>
          <w:p w14:paraId="6D914651" w14:textId="77777777" w:rsidR="00B1648E" w:rsidRPr="00C3310F" w:rsidRDefault="00B1648E" w:rsidP="00A77297">
            <w:pPr>
              <w:jc w:val="right"/>
              <w:rPr>
                <w:sz w:val="28"/>
                <w:szCs w:val="28"/>
              </w:rPr>
            </w:pPr>
            <w:r w:rsidRPr="00C3310F">
              <w:rPr>
                <w:sz w:val="28"/>
                <w:szCs w:val="28"/>
              </w:rPr>
              <w:t>579</w:t>
            </w:r>
          </w:p>
        </w:tc>
        <w:tc>
          <w:tcPr>
            <w:tcW w:w="1418" w:type="dxa"/>
          </w:tcPr>
          <w:p w14:paraId="7943747A" w14:textId="77777777" w:rsidR="00B1648E" w:rsidRPr="00C3310F" w:rsidRDefault="00B1648E" w:rsidP="00A77297">
            <w:pPr>
              <w:jc w:val="right"/>
              <w:rPr>
                <w:sz w:val="28"/>
                <w:szCs w:val="28"/>
              </w:rPr>
            </w:pPr>
            <w:r w:rsidRPr="00C3310F">
              <w:rPr>
                <w:sz w:val="28"/>
                <w:szCs w:val="28"/>
              </w:rPr>
              <w:t>126,335</w:t>
            </w:r>
          </w:p>
        </w:tc>
        <w:tc>
          <w:tcPr>
            <w:tcW w:w="1418" w:type="dxa"/>
            <w:vAlign w:val="center"/>
          </w:tcPr>
          <w:p w14:paraId="2BD8719F" w14:textId="77777777" w:rsidR="00B1648E" w:rsidRPr="00C3310F" w:rsidRDefault="00B1648E" w:rsidP="00A77297">
            <w:pPr>
              <w:jc w:val="right"/>
              <w:rPr>
                <w:rFonts w:ascii="新細明體" w:eastAsia="新細明體" w:hAnsi="新細明體" w:cs="新細明體"/>
                <w:sz w:val="28"/>
                <w:szCs w:val="28"/>
              </w:rPr>
            </w:pPr>
            <w:r w:rsidRPr="00C3310F">
              <w:rPr>
                <w:rFonts w:hint="eastAsia"/>
                <w:sz w:val="28"/>
                <w:szCs w:val="28"/>
              </w:rPr>
              <w:t>7,979</w:t>
            </w:r>
          </w:p>
        </w:tc>
        <w:tc>
          <w:tcPr>
            <w:tcW w:w="1559" w:type="dxa"/>
            <w:vAlign w:val="center"/>
          </w:tcPr>
          <w:p w14:paraId="298B99A2" w14:textId="77777777" w:rsidR="00B1648E" w:rsidRPr="00C3310F" w:rsidRDefault="00B1648E" w:rsidP="00A77297">
            <w:pPr>
              <w:jc w:val="right"/>
              <w:rPr>
                <w:rFonts w:ascii="新細明體" w:eastAsia="新細明體" w:hAnsi="新細明體" w:cs="新細明體"/>
                <w:sz w:val="28"/>
                <w:szCs w:val="28"/>
              </w:rPr>
            </w:pPr>
            <w:r w:rsidRPr="00C3310F">
              <w:rPr>
                <w:rFonts w:hint="eastAsia"/>
                <w:sz w:val="28"/>
                <w:szCs w:val="28"/>
              </w:rPr>
              <w:t>6.74%</w:t>
            </w:r>
          </w:p>
        </w:tc>
      </w:tr>
    </w:tbl>
    <w:p w14:paraId="4F2DC1E5" w14:textId="77777777" w:rsidR="00B1648E" w:rsidRPr="00C3310F" w:rsidRDefault="00B1648E" w:rsidP="00B1648E">
      <w:pPr>
        <w:pStyle w:val="4"/>
        <w:numPr>
          <w:ilvl w:val="0"/>
          <w:numId w:val="0"/>
        </w:numPr>
        <w:spacing w:afterLines="50" w:after="228"/>
        <w:rPr>
          <w:sz w:val="24"/>
          <w:szCs w:val="24"/>
        </w:rPr>
      </w:pPr>
      <w:r w:rsidRPr="00C3310F">
        <w:rPr>
          <w:rFonts w:hint="eastAsia"/>
          <w:sz w:val="24"/>
          <w:szCs w:val="24"/>
        </w:rPr>
        <w:t>資料來源：本院依據</w:t>
      </w:r>
      <w:r w:rsidRPr="00C3310F">
        <w:rPr>
          <w:rFonts w:hAnsi="標楷體" w:hint="eastAsia"/>
          <w:sz w:val="24"/>
          <w:szCs w:val="24"/>
        </w:rPr>
        <w:t>「</w:t>
      </w:r>
      <w:r w:rsidRPr="00C3310F">
        <w:rPr>
          <w:rFonts w:hint="eastAsia"/>
          <w:sz w:val="24"/>
          <w:szCs w:val="24"/>
        </w:rPr>
        <w:t>金管會銀行及信合社警示帳戶辦理情形</w:t>
      </w:r>
      <w:r w:rsidRPr="00C3310F">
        <w:rPr>
          <w:rFonts w:hAnsi="標楷體" w:hint="eastAsia"/>
          <w:sz w:val="24"/>
          <w:szCs w:val="24"/>
        </w:rPr>
        <w:t>」整理。</w:t>
      </w:r>
    </w:p>
    <w:p w14:paraId="29745778" w14:textId="77777777" w:rsidR="00B1648E" w:rsidRPr="00C3310F" w:rsidRDefault="00B1648E" w:rsidP="006D4D82">
      <w:pPr>
        <w:pStyle w:val="4"/>
      </w:pPr>
      <w:r w:rsidRPr="00C3310F">
        <w:rPr>
          <w:rFonts w:hint="eastAsia"/>
        </w:rPr>
        <w:t>各金融機構警示帳戶情形：</w:t>
      </w:r>
    </w:p>
    <w:p w14:paraId="6F4C51EF" w14:textId="77777777" w:rsidR="00B1648E" w:rsidRPr="00C3310F" w:rsidRDefault="00B1648E" w:rsidP="006D4D82">
      <w:pPr>
        <w:pStyle w:val="5"/>
      </w:pPr>
      <w:r w:rsidRPr="00C3310F">
        <w:rPr>
          <w:rFonts w:hint="eastAsia"/>
        </w:rPr>
        <w:t>警示帳戶前2大金融機構累計數均超過2萬戶，約占全部金融機構(39家)之4成，詳表1</w:t>
      </w:r>
      <w:r w:rsidR="007441B4" w:rsidRPr="00C3310F">
        <w:rPr>
          <w:rFonts w:hint="eastAsia"/>
        </w:rPr>
        <w:t>1</w:t>
      </w:r>
      <w:r w:rsidRPr="00C3310F">
        <w:rPr>
          <w:rFonts w:hint="eastAsia"/>
        </w:rPr>
        <w:t>。</w:t>
      </w:r>
    </w:p>
    <w:p w14:paraId="5DF038A1" w14:textId="40CD2ED9" w:rsidR="00B1648E" w:rsidRPr="00C3310F" w:rsidRDefault="00B1648E" w:rsidP="006D4D82">
      <w:pPr>
        <w:pStyle w:val="5"/>
      </w:pPr>
      <w:r w:rsidRPr="00C3310F">
        <w:rPr>
          <w:rFonts w:hint="eastAsia"/>
        </w:rPr>
        <w:t>中</w:t>
      </w:r>
      <w:r w:rsidR="00141FC6" w:rsidRPr="00C3310F">
        <w:rPr>
          <w:rFonts w:hAnsi="標楷體" w:cs="新細明體" w:hint="eastAsia"/>
          <w:kern w:val="0"/>
          <w:sz w:val="24"/>
          <w:szCs w:val="24"/>
        </w:rPr>
        <w:t>○</w:t>
      </w:r>
      <w:r w:rsidRPr="00C3310F">
        <w:rPr>
          <w:rFonts w:hint="eastAsia"/>
        </w:rPr>
        <w:t>郵政警示帳戶由111年17,</w:t>
      </w:r>
      <w:r w:rsidR="00E8045C" w:rsidRPr="00C3310F">
        <w:t>058</w:t>
      </w:r>
      <w:r w:rsidRPr="00C3310F">
        <w:rPr>
          <w:rFonts w:hint="eastAsia"/>
        </w:rPr>
        <w:t>戶成長至113年第1季26,379戶，仍持續增加中。</w:t>
      </w:r>
    </w:p>
    <w:p w14:paraId="63B96D99" w14:textId="66346A2E" w:rsidR="00B1648E" w:rsidRPr="00C3310F" w:rsidRDefault="00B1648E" w:rsidP="006D4D82">
      <w:pPr>
        <w:pStyle w:val="5"/>
      </w:pPr>
      <w:r w:rsidRPr="00C3310F">
        <w:rPr>
          <w:rFonts w:hint="eastAsia"/>
        </w:rPr>
        <w:t>中</w:t>
      </w:r>
      <w:r w:rsidR="00141FC6" w:rsidRPr="00C3310F">
        <w:rPr>
          <w:rFonts w:hAnsi="標楷體" w:cs="新細明體" w:hint="eastAsia"/>
          <w:kern w:val="0"/>
          <w:sz w:val="24"/>
          <w:szCs w:val="24"/>
        </w:rPr>
        <w:t>○</w:t>
      </w:r>
      <w:r w:rsidRPr="00C3310F">
        <w:rPr>
          <w:rFonts w:hint="eastAsia"/>
        </w:rPr>
        <w:t>信託警示帳戶由111年20,213戶成長至113年第1季22,066戶，雖113年第1季較112年底略有減少，然仍占全部金融機構近2成。</w:t>
      </w:r>
    </w:p>
    <w:p w14:paraId="725940AA" w14:textId="3C859A66" w:rsidR="00B1648E" w:rsidRPr="00C3310F" w:rsidRDefault="00B1648E" w:rsidP="00E8045C">
      <w:pPr>
        <w:pStyle w:val="5"/>
      </w:pPr>
      <w:r w:rsidRPr="00C3310F">
        <w:rPr>
          <w:rFonts w:hint="eastAsia"/>
        </w:rPr>
        <w:t>警示帳戶前5大金融機構，約占全部金融機構之5成5</w:t>
      </w:r>
      <w:r w:rsidR="007441B4" w:rsidRPr="00C3310F">
        <w:rPr>
          <w:rFonts w:hint="eastAsia"/>
        </w:rPr>
        <w:t>，詳表12</w:t>
      </w:r>
      <w:r w:rsidRPr="00C3310F">
        <w:rPr>
          <w:rFonts w:hint="eastAsia"/>
        </w:rPr>
        <w:t>。</w:t>
      </w:r>
    </w:p>
    <w:p w14:paraId="6C81083A" w14:textId="2D259CB9" w:rsidR="00B61C3D" w:rsidRPr="00C3310F" w:rsidRDefault="00B61C3D" w:rsidP="00B61C3D">
      <w:pPr>
        <w:pStyle w:val="5"/>
        <w:numPr>
          <w:ilvl w:val="0"/>
          <w:numId w:val="0"/>
        </w:numPr>
        <w:ind w:left="2041"/>
      </w:pPr>
    </w:p>
    <w:p w14:paraId="16FA1E3B" w14:textId="2CA49E06" w:rsidR="00B61C3D" w:rsidRPr="00C3310F" w:rsidRDefault="00B61C3D" w:rsidP="00B61C3D">
      <w:pPr>
        <w:pStyle w:val="5"/>
        <w:numPr>
          <w:ilvl w:val="0"/>
          <w:numId w:val="0"/>
        </w:numPr>
        <w:ind w:left="2041"/>
      </w:pPr>
    </w:p>
    <w:p w14:paraId="424F1FE0" w14:textId="7B1A3125" w:rsidR="00B61C3D" w:rsidRPr="00C3310F" w:rsidRDefault="00B61C3D" w:rsidP="00B61C3D">
      <w:pPr>
        <w:pStyle w:val="5"/>
        <w:numPr>
          <w:ilvl w:val="0"/>
          <w:numId w:val="0"/>
        </w:numPr>
        <w:ind w:left="2041"/>
      </w:pPr>
    </w:p>
    <w:p w14:paraId="36DC3F78" w14:textId="73D80495" w:rsidR="00B61C3D" w:rsidRPr="00C3310F" w:rsidRDefault="00B61C3D" w:rsidP="00B61C3D">
      <w:pPr>
        <w:pStyle w:val="5"/>
        <w:numPr>
          <w:ilvl w:val="0"/>
          <w:numId w:val="0"/>
        </w:numPr>
        <w:ind w:left="2041"/>
      </w:pPr>
    </w:p>
    <w:p w14:paraId="4134B4A0" w14:textId="0F6027F0" w:rsidR="00B61C3D" w:rsidRPr="00C3310F" w:rsidRDefault="00B61C3D" w:rsidP="00B61C3D">
      <w:pPr>
        <w:pStyle w:val="5"/>
        <w:numPr>
          <w:ilvl w:val="0"/>
          <w:numId w:val="0"/>
        </w:numPr>
        <w:ind w:left="2041"/>
      </w:pPr>
    </w:p>
    <w:p w14:paraId="76E8CD0B" w14:textId="277F107A" w:rsidR="00B61C3D" w:rsidRPr="00C3310F" w:rsidRDefault="00B61C3D" w:rsidP="00B61C3D">
      <w:pPr>
        <w:pStyle w:val="5"/>
        <w:numPr>
          <w:ilvl w:val="0"/>
          <w:numId w:val="0"/>
        </w:numPr>
        <w:ind w:left="2041"/>
      </w:pPr>
    </w:p>
    <w:p w14:paraId="50A7CEF1" w14:textId="77777777" w:rsidR="00B61C3D" w:rsidRPr="00C3310F" w:rsidRDefault="00B61C3D" w:rsidP="00062CD2">
      <w:pPr>
        <w:pStyle w:val="5"/>
        <w:numPr>
          <w:ilvl w:val="0"/>
          <w:numId w:val="0"/>
        </w:numPr>
        <w:ind w:left="2041"/>
      </w:pPr>
    </w:p>
    <w:p w14:paraId="65129D09" w14:textId="16F46F45" w:rsidR="007441B4" w:rsidRPr="00C3310F" w:rsidRDefault="007441B4" w:rsidP="007441B4">
      <w:pPr>
        <w:pStyle w:val="a3"/>
        <w:jc w:val="center"/>
        <w:rPr>
          <w:rFonts w:hint="eastAsia"/>
        </w:rPr>
      </w:pPr>
      <w:bookmarkStart w:id="664" w:name="_Toc172025215"/>
      <w:r w:rsidRPr="00C3310F">
        <w:rPr>
          <w:rFonts w:hint="eastAsia"/>
          <w:b/>
        </w:rPr>
        <w:lastRenderedPageBreak/>
        <w:t>各金融機構111年迄今警示帳戶數量</w:t>
      </w:r>
      <w:bookmarkEnd w:id="664"/>
    </w:p>
    <w:p w14:paraId="161F5609" w14:textId="77777777" w:rsidR="007441B4" w:rsidRPr="00C3310F" w:rsidRDefault="007441B4" w:rsidP="007441B4">
      <w:pPr>
        <w:pStyle w:val="4"/>
        <w:numPr>
          <w:ilvl w:val="0"/>
          <w:numId w:val="0"/>
        </w:numPr>
        <w:ind w:left="1191"/>
        <w:jc w:val="right"/>
        <w:rPr>
          <w:sz w:val="24"/>
          <w:szCs w:val="24"/>
        </w:rPr>
      </w:pPr>
      <w:r w:rsidRPr="00C3310F">
        <w:rPr>
          <w:rFonts w:hint="eastAsia"/>
          <w:sz w:val="24"/>
          <w:szCs w:val="24"/>
        </w:rPr>
        <w:t>單位:帳戶數</w:t>
      </w:r>
    </w:p>
    <w:tbl>
      <w:tblPr>
        <w:tblW w:w="9542" w:type="dxa"/>
        <w:tblInd w:w="-714" w:type="dxa"/>
        <w:tblCellMar>
          <w:left w:w="28" w:type="dxa"/>
          <w:right w:w="28" w:type="dxa"/>
        </w:tblCellMar>
        <w:tblLook w:val="04A0" w:firstRow="1" w:lastRow="0" w:firstColumn="1" w:lastColumn="0" w:noHBand="0" w:noVBand="1"/>
      </w:tblPr>
      <w:tblGrid>
        <w:gridCol w:w="1702"/>
        <w:gridCol w:w="850"/>
        <w:gridCol w:w="851"/>
        <w:gridCol w:w="850"/>
        <w:gridCol w:w="851"/>
        <w:gridCol w:w="850"/>
        <w:gridCol w:w="897"/>
        <w:gridCol w:w="897"/>
        <w:gridCol w:w="897"/>
        <w:gridCol w:w="897"/>
      </w:tblGrid>
      <w:tr w:rsidR="00C3310F" w:rsidRPr="00C3310F" w14:paraId="01B8DF47" w14:textId="77777777" w:rsidTr="00AA146C">
        <w:trPr>
          <w:trHeight w:val="648"/>
          <w:tblHeader/>
        </w:trPr>
        <w:tc>
          <w:tcPr>
            <w:tcW w:w="1702" w:type="dxa"/>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14:paraId="4B346319" w14:textId="77777777" w:rsidR="007441B4" w:rsidRPr="00C3310F" w:rsidRDefault="007441B4" w:rsidP="00AA146C">
            <w:pPr>
              <w:widowControl/>
              <w:overflowPunct/>
              <w:autoSpaceDE/>
              <w:autoSpaceDN/>
              <w:spacing w:line="280" w:lineRule="exact"/>
              <w:jc w:val="left"/>
              <w:rPr>
                <w:rFonts w:hAnsi="標楷體" w:cs="新細明體"/>
                <w:b/>
                <w:bCs/>
                <w:kern w:val="0"/>
                <w:sz w:val="28"/>
                <w:szCs w:val="28"/>
              </w:rPr>
            </w:pPr>
            <w:r w:rsidRPr="00C3310F">
              <w:rPr>
                <w:rFonts w:hAnsi="標楷體" w:cs="新細明體" w:hint="eastAsia"/>
                <w:b/>
                <w:bCs/>
                <w:kern w:val="0"/>
                <w:sz w:val="28"/>
                <w:szCs w:val="28"/>
              </w:rPr>
              <w:t>金融機構</w:t>
            </w:r>
          </w:p>
        </w:tc>
        <w:tc>
          <w:tcPr>
            <w:tcW w:w="850"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33CA8907" w14:textId="77777777" w:rsidR="007441B4" w:rsidRPr="00C3310F" w:rsidRDefault="007441B4" w:rsidP="00AA146C">
            <w:pPr>
              <w:widowControl/>
              <w:overflowPunct/>
              <w:autoSpaceDE/>
              <w:autoSpaceDN/>
              <w:spacing w:line="280" w:lineRule="exact"/>
              <w:jc w:val="center"/>
              <w:rPr>
                <w:rFonts w:hAnsi="標楷體" w:cs="新細明體"/>
                <w:kern w:val="0"/>
                <w:sz w:val="24"/>
                <w:szCs w:val="24"/>
              </w:rPr>
            </w:pPr>
            <w:r w:rsidRPr="00C3310F">
              <w:rPr>
                <w:rFonts w:hAnsi="標楷體" w:cs="新細明體" w:hint="eastAsia"/>
                <w:kern w:val="0"/>
                <w:sz w:val="24"/>
                <w:szCs w:val="24"/>
              </w:rPr>
              <w:t xml:space="preserve"> 111年Q</w:t>
            </w:r>
            <w:r w:rsidRPr="00C3310F">
              <w:rPr>
                <w:rFonts w:hAnsi="標楷體" w:cs="新細明體"/>
                <w:kern w:val="0"/>
                <w:sz w:val="24"/>
                <w:szCs w:val="24"/>
              </w:rPr>
              <w:t>1</w:t>
            </w:r>
            <w:r w:rsidRPr="00C3310F">
              <w:rPr>
                <w:rFonts w:hAnsi="標楷體" w:cs="新細明體" w:hint="eastAsia"/>
                <w:kern w:val="0"/>
                <w:sz w:val="24"/>
                <w:szCs w:val="24"/>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7BF7AE4D" w14:textId="77777777" w:rsidR="007441B4" w:rsidRPr="00C3310F" w:rsidRDefault="007441B4" w:rsidP="00AA146C">
            <w:pPr>
              <w:widowControl/>
              <w:overflowPunct/>
              <w:autoSpaceDE/>
              <w:autoSpaceDN/>
              <w:spacing w:line="280" w:lineRule="exact"/>
              <w:jc w:val="center"/>
              <w:rPr>
                <w:rFonts w:hAnsi="標楷體" w:cs="新細明體"/>
                <w:kern w:val="0"/>
                <w:sz w:val="24"/>
                <w:szCs w:val="24"/>
              </w:rPr>
            </w:pPr>
            <w:r w:rsidRPr="00C3310F">
              <w:rPr>
                <w:rFonts w:hAnsi="標楷體" w:cs="新細明體" w:hint="eastAsia"/>
                <w:kern w:val="0"/>
                <w:sz w:val="24"/>
                <w:szCs w:val="24"/>
              </w:rPr>
              <w:t xml:space="preserve"> 111年Q</w:t>
            </w:r>
            <w:r w:rsidRPr="00C3310F">
              <w:rPr>
                <w:rFonts w:hAnsi="標楷體" w:cs="新細明體"/>
                <w:kern w:val="0"/>
                <w:sz w:val="24"/>
                <w:szCs w:val="24"/>
              </w:rPr>
              <w:t>2</w:t>
            </w:r>
            <w:r w:rsidRPr="00C3310F">
              <w:rPr>
                <w:rFonts w:hAnsi="標楷體" w:cs="新細明體" w:hint="eastAsia"/>
                <w:kern w:val="0"/>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67E6BB3A" w14:textId="77777777" w:rsidR="007441B4" w:rsidRPr="00C3310F" w:rsidRDefault="007441B4" w:rsidP="00AA146C">
            <w:pPr>
              <w:widowControl/>
              <w:overflowPunct/>
              <w:autoSpaceDE/>
              <w:autoSpaceDN/>
              <w:spacing w:line="280" w:lineRule="exact"/>
              <w:jc w:val="center"/>
              <w:rPr>
                <w:rFonts w:hAnsi="標楷體" w:cs="新細明體"/>
                <w:kern w:val="0"/>
                <w:sz w:val="24"/>
                <w:szCs w:val="24"/>
              </w:rPr>
            </w:pPr>
            <w:r w:rsidRPr="00C3310F">
              <w:rPr>
                <w:rFonts w:hAnsi="標楷體" w:cs="新細明體" w:hint="eastAsia"/>
                <w:kern w:val="0"/>
                <w:sz w:val="24"/>
                <w:szCs w:val="24"/>
              </w:rPr>
              <w:t xml:space="preserve"> 111年Q</w:t>
            </w:r>
            <w:r w:rsidRPr="00C3310F">
              <w:rPr>
                <w:rFonts w:hAnsi="標楷體" w:cs="新細明體"/>
                <w:kern w:val="0"/>
                <w:sz w:val="24"/>
                <w:szCs w:val="24"/>
              </w:rPr>
              <w:t>3</w:t>
            </w:r>
            <w:r w:rsidRPr="00C3310F">
              <w:rPr>
                <w:rFonts w:hAnsi="標楷體" w:cs="新細明體" w:hint="eastAsia"/>
                <w:kern w:val="0"/>
                <w:sz w:val="24"/>
                <w:szCs w:val="24"/>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19A998A2" w14:textId="77777777" w:rsidR="007441B4" w:rsidRPr="00C3310F" w:rsidRDefault="007441B4" w:rsidP="00AA146C">
            <w:pPr>
              <w:widowControl/>
              <w:overflowPunct/>
              <w:autoSpaceDE/>
              <w:autoSpaceDN/>
              <w:spacing w:line="280" w:lineRule="exact"/>
              <w:jc w:val="center"/>
              <w:rPr>
                <w:rFonts w:hAnsi="標楷體" w:cs="新細明體"/>
                <w:kern w:val="0"/>
                <w:sz w:val="24"/>
                <w:szCs w:val="24"/>
              </w:rPr>
            </w:pPr>
            <w:r w:rsidRPr="00C3310F">
              <w:rPr>
                <w:rFonts w:hAnsi="標楷體" w:cs="新細明體" w:hint="eastAsia"/>
                <w:kern w:val="0"/>
                <w:sz w:val="24"/>
                <w:szCs w:val="24"/>
              </w:rPr>
              <w:t xml:space="preserve"> 111年</w:t>
            </w:r>
            <w:r w:rsidRPr="00C3310F">
              <w:rPr>
                <w:rFonts w:hAnsi="標楷體" w:cs="新細明體"/>
                <w:kern w:val="0"/>
                <w:sz w:val="24"/>
                <w:szCs w:val="24"/>
              </w:rPr>
              <w:t>Q4</w:t>
            </w:r>
            <w:r w:rsidRPr="00C3310F">
              <w:rPr>
                <w:rFonts w:hAnsi="標楷體" w:cs="新細明體" w:hint="eastAsia"/>
                <w:kern w:val="0"/>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1A513C4C" w14:textId="77777777" w:rsidR="007441B4" w:rsidRPr="00C3310F" w:rsidRDefault="007441B4" w:rsidP="00AA146C">
            <w:pPr>
              <w:widowControl/>
              <w:overflowPunct/>
              <w:autoSpaceDE/>
              <w:autoSpaceDN/>
              <w:spacing w:line="280" w:lineRule="exact"/>
              <w:jc w:val="center"/>
              <w:rPr>
                <w:rFonts w:hAnsi="標楷體" w:cs="新細明體"/>
                <w:kern w:val="0"/>
                <w:sz w:val="24"/>
                <w:szCs w:val="24"/>
              </w:rPr>
            </w:pPr>
            <w:r w:rsidRPr="00C3310F">
              <w:rPr>
                <w:rFonts w:hAnsi="標楷體" w:cs="新細明體" w:hint="eastAsia"/>
                <w:kern w:val="0"/>
                <w:sz w:val="24"/>
                <w:szCs w:val="24"/>
              </w:rPr>
              <w:t xml:space="preserve"> 112年</w:t>
            </w:r>
            <w:r w:rsidRPr="00C3310F">
              <w:rPr>
                <w:rFonts w:hAnsi="標楷體" w:cs="新細明體"/>
                <w:kern w:val="0"/>
                <w:sz w:val="24"/>
                <w:szCs w:val="24"/>
              </w:rPr>
              <w:t>Q1</w:t>
            </w:r>
            <w:r w:rsidRPr="00C3310F">
              <w:rPr>
                <w:rFonts w:hAnsi="標楷體" w:cs="新細明體" w:hint="eastAsia"/>
                <w:kern w:val="0"/>
                <w:sz w:val="24"/>
                <w:szCs w:val="24"/>
              </w:rPr>
              <w:t xml:space="preserve"> </w:t>
            </w:r>
          </w:p>
        </w:tc>
        <w:tc>
          <w:tcPr>
            <w:tcW w:w="89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3982E0FD" w14:textId="77777777" w:rsidR="007441B4" w:rsidRPr="00C3310F" w:rsidRDefault="007441B4" w:rsidP="00AA146C">
            <w:pPr>
              <w:widowControl/>
              <w:overflowPunct/>
              <w:autoSpaceDE/>
              <w:autoSpaceDN/>
              <w:spacing w:line="280" w:lineRule="exact"/>
              <w:jc w:val="center"/>
              <w:rPr>
                <w:rFonts w:hAnsi="標楷體" w:cs="新細明體"/>
                <w:kern w:val="0"/>
                <w:sz w:val="24"/>
                <w:szCs w:val="24"/>
              </w:rPr>
            </w:pPr>
            <w:r w:rsidRPr="00C3310F">
              <w:rPr>
                <w:rFonts w:hAnsi="標楷體" w:cs="新細明體" w:hint="eastAsia"/>
                <w:kern w:val="0"/>
                <w:sz w:val="24"/>
                <w:szCs w:val="24"/>
              </w:rPr>
              <w:t xml:space="preserve"> 112年Q</w:t>
            </w:r>
            <w:r w:rsidRPr="00C3310F">
              <w:rPr>
                <w:rFonts w:hAnsi="標楷體" w:cs="新細明體"/>
                <w:kern w:val="0"/>
                <w:sz w:val="24"/>
                <w:szCs w:val="24"/>
              </w:rPr>
              <w:t>2</w:t>
            </w:r>
            <w:r w:rsidRPr="00C3310F">
              <w:rPr>
                <w:rFonts w:hAnsi="標楷體" w:cs="新細明體" w:hint="eastAsia"/>
                <w:kern w:val="0"/>
                <w:sz w:val="24"/>
                <w:szCs w:val="24"/>
              </w:rPr>
              <w:t xml:space="preserve"> </w:t>
            </w:r>
          </w:p>
        </w:tc>
        <w:tc>
          <w:tcPr>
            <w:tcW w:w="89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6CFE1848" w14:textId="77777777" w:rsidR="007441B4" w:rsidRPr="00C3310F" w:rsidRDefault="007441B4" w:rsidP="00AA146C">
            <w:pPr>
              <w:widowControl/>
              <w:overflowPunct/>
              <w:autoSpaceDE/>
              <w:autoSpaceDN/>
              <w:spacing w:line="280" w:lineRule="exact"/>
              <w:jc w:val="center"/>
              <w:rPr>
                <w:rFonts w:hAnsi="標楷體" w:cs="新細明體"/>
                <w:kern w:val="0"/>
                <w:sz w:val="24"/>
                <w:szCs w:val="24"/>
              </w:rPr>
            </w:pPr>
            <w:r w:rsidRPr="00C3310F">
              <w:rPr>
                <w:rFonts w:hAnsi="標楷體" w:cs="新細明體" w:hint="eastAsia"/>
                <w:kern w:val="0"/>
                <w:sz w:val="24"/>
                <w:szCs w:val="24"/>
              </w:rPr>
              <w:t xml:space="preserve"> 112年Q</w:t>
            </w:r>
            <w:r w:rsidRPr="00C3310F">
              <w:rPr>
                <w:rFonts w:hAnsi="標楷體" w:cs="新細明體"/>
                <w:kern w:val="0"/>
                <w:sz w:val="24"/>
                <w:szCs w:val="24"/>
              </w:rPr>
              <w:t>3</w:t>
            </w:r>
            <w:r w:rsidRPr="00C3310F">
              <w:rPr>
                <w:rFonts w:hAnsi="標楷體" w:cs="新細明體" w:hint="eastAsia"/>
                <w:kern w:val="0"/>
                <w:sz w:val="24"/>
                <w:szCs w:val="24"/>
              </w:rPr>
              <w:t xml:space="preserve"> </w:t>
            </w:r>
          </w:p>
        </w:tc>
        <w:tc>
          <w:tcPr>
            <w:tcW w:w="89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6AF68235" w14:textId="77777777" w:rsidR="007441B4" w:rsidRPr="00C3310F" w:rsidRDefault="007441B4" w:rsidP="00AA146C">
            <w:pPr>
              <w:widowControl/>
              <w:overflowPunct/>
              <w:autoSpaceDE/>
              <w:autoSpaceDN/>
              <w:spacing w:line="280" w:lineRule="exact"/>
              <w:jc w:val="center"/>
              <w:rPr>
                <w:rFonts w:hAnsi="標楷體" w:cs="新細明體"/>
                <w:kern w:val="0"/>
                <w:sz w:val="24"/>
                <w:szCs w:val="24"/>
              </w:rPr>
            </w:pPr>
            <w:r w:rsidRPr="00C3310F">
              <w:rPr>
                <w:rFonts w:hAnsi="標楷體" w:cs="新細明體" w:hint="eastAsia"/>
                <w:kern w:val="0"/>
                <w:sz w:val="24"/>
                <w:szCs w:val="24"/>
              </w:rPr>
              <w:t xml:space="preserve"> 112年Q</w:t>
            </w:r>
            <w:r w:rsidRPr="00C3310F">
              <w:rPr>
                <w:rFonts w:hAnsi="標楷體" w:cs="新細明體"/>
                <w:kern w:val="0"/>
                <w:sz w:val="24"/>
                <w:szCs w:val="24"/>
              </w:rPr>
              <w:t>4</w:t>
            </w:r>
            <w:r w:rsidRPr="00C3310F">
              <w:rPr>
                <w:rFonts w:hAnsi="標楷體" w:cs="新細明體" w:hint="eastAsia"/>
                <w:kern w:val="0"/>
                <w:sz w:val="24"/>
                <w:szCs w:val="24"/>
              </w:rPr>
              <w:t xml:space="preserve"> </w:t>
            </w:r>
          </w:p>
        </w:tc>
        <w:tc>
          <w:tcPr>
            <w:tcW w:w="89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0DEE156E" w14:textId="77777777" w:rsidR="007441B4" w:rsidRPr="00C3310F" w:rsidRDefault="007441B4" w:rsidP="00AA146C">
            <w:pPr>
              <w:widowControl/>
              <w:overflowPunct/>
              <w:autoSpaceDE/>
              <w:autoSpaceDN/>
              <w:spacing w:line="280" w:lineRule="exact"/>
              <w:jc w:val="center"/>
              <w:rPr>
                <w:rFonts w:hAnsi="標楷體" w:cs="新細明體"/>
                <w:kern w:val="0"/>
                <w:sz w:val="24"/>
                <w:szCs w:val="24"/>
              </w:rPr>
            </w:pPr>
            <w:r w:rsidRPr="00C3310F">
              <w:rPr>
                <w:rFonts w:hAnsi="標楷體" w:cs="新細明體" w:hint="eastAsia"/>
                <w:kern w:val="0"/>
                <w:sz w:val="24"/>
                <w:szCs w:val="24"/>
              </w:rPr>
              <w:t xml:space="preserve"> 113年Q</w:t>
            </w:r>
            <w:r w:rsidRPr="00C3310F">
              <w:rPr>
                <w:rFonts w:hAnsi="標楷體" w:cs="新細明體"/>
                <w:kern w:val="0"/>
                <w:sz w:val="24"/>
                <w:szCs w:val="24"/>
              </w:rPr>
              <w:t>1</w:t>
            </w:r>
            <w:r w:rsidRPr="00C3310F">
              <w:rPr>
                <w:rFonts w:hAnsi="標楷體" w:cs="新細明體" w:hint="eastAsia"/>
                <w:kern w:val="0"/>
                <w:sz w:val="24"/>
                <w:szCs w:val="24"/>
              </w:rPr>
              <w:t xml:space="preserve"> </w:t>
            </w:r>
          </w:p>
        </w:tc>
      </w:tr>
      <w:tr w:rsidR="00C3310F" w:rsidRPr="00C3310F" w14:paraId="02483C4B" w14:textId="77777777" w:rsidTr="00AA146C">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2C5A50C1" w14:textId="17328EE1" w:rsidR="007441B4" w:rsidRPr="00C3310F" w:rsidRDefault="007441B4" w:rsidP="00AA146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中</w:t>
            </w:r>
            <w:r w:rsidR="00141FC6" w:rsidRPr="00C3310F">
              <w:rPr>
                <w:rFonts w:hAnsi="標楷體" w:cs="新細明體" w:hint="eastAsia"/>
                <w:kern w:val="0"/>
                <w:sz w:val="24"/>
                <w:szCs w:val="24"/>
              </w:rPr>
              <w:t>○</w:t>
            </w:r>
            <w:r w:rsidRPr="00C3310F">
              <w:rPr>
                <w:rFonts w:hAnsi="標楷體" w:cs="新細明體" w:hint="eastAsia"/>
                <w:kern w:val="0"/>
                <w:sz w:val="24"/>
                <w:szCs w:val="24"/>
              </w:rPr>
              <w:t xml:space="preserve">郵政                </w:t>
            </w:r>
          </w:p>
        </w:tc>
        <w:tc>
          <w:tcPr>
            <w:tcW w:w="850" w:type="dxa"/>
            <w:tcBorders>
              <w:top w:val="nil"/>
              <w:left w:val="nil"/>
              <w:bottom w:val="single" w:sz="4" w:space="0" w:color="auto"/>
              <w:right w:val="single" w:sz="4" w:space="0" w:color="auto"/>
            </w:tcBorders>
            <w:shd w:val="clear" w:color="auto" w:fill="auto"/>
            <w:noWrap/>
            <w:vAlign w:val="bottom"/>
            <w:hideMark/>
          </w:tcPr>
          <w:p w14:paraId="1FD8CB2B"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14,969 </w:t>
            </w:r>
          </w:p>
        </w:tc>
        <w:tc>
          <w:tcPr>
            <w:tcW w:w="851" w:type="dxa"/>
            <w:tcBorders>
              <w:top w:val="nil"/>
              <w:left w:val="nil"/>
              <w:bottom w:val="single" w:sz="4" w:space="0" w:color="auto"/>
              <w:right w:val="single" w:sz="4" w:space="0" w:color="auto"/>
            </w:tcBorders>
            <w:shd w:val="clear" w:color="auto" w:fill="auto"/>
            <w:noWrap/>
            <w:vAlign w:val="bottom"/>
            <w:hideMark/>
          </w:tcPr>
          <w:p w14:paraId="5AF6ECF0"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16,127 </w:t>
            </w:r>
          </w:p>
        </w:tc>
        <w:tc>
          <w:tcPr>
            <w:tcW w:w="850" w:type="dxa"/>
            <w:tcBorders>
              <w:top w:val="nil"/>
              <w:left w:val="nil"/>
              <w:bottom w:val="single" w:sz="4" w:space="0" w:color="auto"/>
              <w:right w:val="single" w:sz="4" w:space="0" w:color="auto"/>
            </w:tcBorders>
            <w:shd w:val="clear" w:color="auto" w:fill="auto"/>
            <w:noWrap/>
            <w:vAlign w:val="bottom"/>
            <w:hideMark/>
          </w:tcPr>
          <w:p w14:paraId="4DEC957E"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16,253 </w:t>
            </w:r>
          </w:p>
        </w:tc>
        <w:tc>
          <w:tcPr>
            <w:tcW w:w="851" w:type="dxa"/>
            <w:tcBorders>
              <w:top w:val="nil"/>
              <w:left w:val="nil"/>
              <w:bottom w:val="single" w:sz="4" w:space="0" w:color="auto"/>
              <w:right w:val="single" w:sz="4" w:space="0" w:color="auto"/>
            </w:tcBorders>
            <w:shd w:val="clear" w:color="auto" w:fill="auto"/>
            <w:noWrap/>
            <w:vAlign w:val="bottom"/>
            <w:hideMark/>
          </w:tcPr>
          <w:p w14:paraId="082FE89B"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17,058 </w:t>
            </w:r>
          </w:p>
        </w:tc>
        <w:tc>
          <w:tcPr>
            <w:tcW w:w="850" w:type="dxa"/>
            <w:tcBorders>
              <w:top w:val="nil"/>
              <w:left w:val="nil"/>
              <w:bottom w:val="single" w:sz="4" w:space="0" w:color="auto"/>
              <w:right w:val="single" w:sz="4" w:space="0" w:color="auto"/>
            </w:tcBorders>
            <w:shd w:val="clear" w:color="auto" w:fill="auto"/>
            <w:noWrap/>
            <w:vAlign w:val="bottom"/>
            <w:hideMark/>
          </w:tcPr>
          <w:p w14:paraId="30FB3004"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17,862 </w:t>
            </w:r>
          </w:p>
        </w:tc>
        <w:tc>
          <w:tcPr>
            <w:tcW w:w="897" w:type="dxa"/>
            <w:tcBorders>
              <w:top w:val="nil"/>
              <w:left w:val="nil"/>
              <w:bottom w:val="single" w:sz="4" w:space="0" w:color="auto"/>
              <w:right w:val="single" w:sz="4" w:space="0" w:color="auto"/>
            </w:tcBorders>
            <w:shd w:val="clear" w:color="auto" w:fill="auto"/>
            <w:noWrap/>
            <w:vAlign w:val="bottom"/>
            <w:hideMark/>
          </w:tcPr>
          <w:p w14:paraId="2F6DDBA7"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19,511 </w:t>
            </w:r>
          </w:p>
        </w:tc>
        <w:tc>
          <w:tcPr>
            <w:tcW w:w="897" w:type="dxa"/>
            <w:tcBorders>
              <w:top w:val="nil"/>
              <w:left w:val="nil"/>
              <w:bottom w:val="single" w:sz="4" w:space="0" w:color="auto"/>
              <w:right w:val="single" w:sz="4" w:space="0" w:color="auto"/>
            </w:tcBorders>
            <w:shd w:val="clear" w:color="auto" w:fill="auto"/>
            <w:noWrap/>
            <w:vAlign w:val="bottom"/>
            <w:hideMark/>
          </w:tcPr>
          <w:p w14:paraId="2490531C"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21,371 </w:t>
            </w:r>
          </w:p>
        </w:tc>
        <w:tc>
          <w:tcPr>
            <w:tcW w:w="897" w:type="dxa"/>
            <w:tcBorders>
              <w:top w:val="nil"/>
              <w:left w:val="nil"/>
              <w:bottom w:val="single" w:sz="4" w:space="0" w:color="auto"/>
              <w:right w:val="single" w:sz="4" w:space="0" w:color="auto"/>
            </w:tcBorders>
            <w:shd w:val="clear" w:color="auto" w:fill="auto"/>
            <w:noWrap/>
            <w:vAlign w:val="bottom"/>
            <w:hideMark/>
          </w:tcPr>
          <w:p w14:paraId="4FD130EA"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23,799 </w:t>
            </w:r>
          </w:p>
        </w:tc>
        <w:tc>
          <w:tcPr>
            <w:tcW w:w="897" w:type="dxa"/>
            <w:tcBorders>
              <w:top w:val="nil"/>
              <w:left w:val="nil"/>
              <w:bottom w:val="single" w:sz="4" w:space="0" w:color="auto"/>
              <w:right w:val="single" w:sz="4" w:space="0" w:color="auto"/>
            </w:tcBorders>
            <w:shd w:val="clear" w:color="auto" w:fill="auto"/>
            <w:noWrap/>
            <w:vAlign w:val="bottom"/>
            <w:hideMark/>
          </w:tcPr>
          <w:p w14:paraId="274E4F62"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26,379 </w:t>
            </w:r>
          </w:p>
        </w:tc>
      </w:tr>
      <w:tr w:rsidR="00C3310F" w:rsidRPr="00C3310F" w14:paraId="47937B17" w14:textId="77777777" w:rsidTr="00AA146C">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283DCCFC" w14:textId="5A21EF3D" w:rsidR="007441B4" w:rsidRPr="00C3310F" w:rsidRDefault="007441B4" w:rsidP="00AA146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臺</w:t>
            </w:r>
            <w:r w:rsidR="00141FC6" w:rsidRPr="00C3310F">
              <w:rPr>
                <w:rFonts w:hAnsi="標楷體" w:cs="新細明體" w:hint="eastAsia"/>
                <w:kern w:val="0"/>
                <w:sz w:val="24"/>
                <w:szCs w:val="24"/>
              </w:rPr>
              <w:t>○</w:t>
            </w:r>
            <w:r w:rsidRPr="00C3310F">
              <w:rPr>
                <w:rFonts w:hAnsi="標楷體" w:cs="新細明體" w:hint="eastAsia"/>
                <w:kern w:val="0"/>
                <w:sz w:val="24"/>
                <w:szCs w:val="24"/>
              </w:rPr>
              <w:t xml:space="preserve">銀行                </w:t>
            </w:r>
          </w:p>
        </w:tc>
        <w:tc>
          <w:tcPr>
            <w:tcW w:w="850" w:type="dxa"/>
            <w:tcBorders>
              <w:top w:val="nil"/>
              <w:left w:val="nil"/>
              <w:bottom w:val="single" w:sz="4" w:space="0" w:color="auto"/>
              <w:right w:val="single" w:sz="4" w:space="0" w:color="auto"/>
            </w:tcBorders>
            <w:shd w:val="clear" w:color="auto" w:fill="auto"/>
            <w:noWrap/>
            <w:vAlign w:val="bottom"/>
            <w:hideMark/>
          </w:tcPr>
          <w:p w14:paraId="65ED9AD1"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2,392 </w:t>
            </w:r>
          </w:p>
        </w:tc>
        <w:tc>
          <w:tcPr>
            <w:tcW w:w="851" w:type="dxa"/>
            <w:tcBorders>
              <w:top w:val="nil"/>
              <w:left w:val="nil"/>
              <w:bottom w:val="single" w:sz="4" w:space="0" w:color="auto"/>
              <w:right w:val="single" w:sz="4" w:space="0" w:color="auto"/>
            </w:tcBorders>
            <w:shd w:val="clear" w:color="auto" w:fill="auto"/>
            <w:noWrap/>
            <w:vAlign w:val="bottom"/>
            <w:hideMark/>
          </w:tcPr>
          <w:p w14:paraId="67592867"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2,621 </w:t>
            </w:r>
          </w:p>
        </w:tc>
        <w:tc>
          <w:tcPr>
            <w:tcW w:w="850" w:type="dxa"/>
            <w:tcBorders>
              <w:top w:val="nil"/>
              <w:left w:val="nil"/>
              <w:bottom w:val="single" w:sz="4" w:space="0" w:color="auto"/>
              <w:right w:val="single" w:sz="4" w:space="0" w:color="auto"/>
            </w:tcBorders>
            <w:shd w:val="clear" w:color="auto" w:fill="auto"/>
            <w:noWrap/>
            <w:vAlign w:val="bottom"/>
            <w:hideMark/>
          </w:tcPr>
          <w:p w14:paraId="626FE782"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2,758 </w:t>
            </w:r>
          </w:p>
        </w:tc>
        <w:tc>
          <w:tcPr>
            <w:tcW w:w="851" w:type="dxa"/>
            <w:tcBorders>
              <w:top w:val="nil"/>
              <w:left w:val="nil"/>
              <w:bottom w:val="single" w:sz="4" w:space="0" w:color="auto"/>
              <w:right w:val="single" w:sz="4" w:space="0" w:color="auto"/>
            </w:tcBorders>
            <w:shd w:val="clear" w:color="auto" w:fill="auto"/>
            <w:noWrap/>
            <w:vAlign w:val="bottom"/>
            <w:hideMark/>
          </w:tcPr>
          <w:p w14:paraId="7A115C3C"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2,907 </w:t>
            </w:r>
          </w:p>
        </w:tc>
        <w:tc>
          <w:tcPr>
            <w:tcW w:w="850" w:type="dxa"/>
            <w:tcBorders>
              <w:top w:val="nil"/>
              <w:left w:val="nil"/>
              <w:bottom w:val="single" w:sz="4" w:space="0" w:color="auto"/>
              <w:right w:val="single" w:sz="4" w:space="0" w:color="auto"/>
            </w:tcBorders>
            <w:shd w:val="clear" w:color="auto" w:fill="auto"/>
            <w:noWrap/>
            <w:vAlign w:val="bottom"/>
            <w:hideMark/>
          </w:tcPr>
          <w:p w14:paraId="070C6D3A"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2,997 </w:t>
            </w:r>
          </w:p>
        </w:tc>
        <w:tc>
          <w:tcPr>
            <w:tcW w:w="897" w:type="dxa"/>
            <w:tcBorders>
              <w:top w:val="nil"/>
              <w:left w:val="nil"/>
              <w:bottom w:val="single" w:sz="4" w:space="0" w:color="auto"/>
              <w:right w:val="single" w:sz="4" w:space="0" w:color="auto"/>
            </w:tcBorders>
            <w:shd w:val="clear" w:color="auto" w:fill="auto"/>
            <w:noWrap/>
            <w:vAlign w:val="bottom"/>
            <w:hideMark/>
          </w:tcPr>
          <w:p w14:paraId="02C6EE44"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3,282 </w:t>
            </w:r>
          </w:p>
        </w:tc>
        <w:tc>
          <w:tcPr>
            <w:tcW w:w="897" w:type="dxa"/>
            <w:tcBorders>
              <w:top w:val="nil"/>
              <w:left w:val="nil"/>
              <w:bottom w:val="single" w:sz="4" w:space="0" w:color="auto"/>
              <w:right w:val="single" w:sz="4" w:space="0" w:color="auto"/>
            </w:tcBorders>
            <w:shd w:val="clear" w:color="auto" w:fill="auto"/>
            <w:noWrap/>
            <w:vAlign w:val="bottom"/>
            <w:hideMark/>
          </w:tcPr>
          <w:p w14:paraId="24AF4FEA"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3,531 </w:t>
            </w:r>
          </w:p>
        </w:tc>
        <w:tc>
          <w:tcPr>
            <w:tcW w:w="897" w:type="dxa"/>
            <w:tcBorders>
              <w:top w:val="nil"/>
              <w:left w:val="nil"/>
              <w:bottom w:val="single" w:sz="4" w:space="0" w:color="auto"/>
              <w:right w:val="single" w:sz="4" w:space="0" w:color="auto"/>
            </w:tcBorders>
            <w:shd w:val="clear" w:color="auto" w:fill="auto"/>
            <w:noWrap/>
            <w:vAlign w:val="bottom"/>
            <w:hideMark/>
          </w:tcPr>
          <w:p w14:paraId="74999A1A"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3,793 </w:t>
            </w:r>
          </w:p>
        </w:tc>
        <w:tc>
          <w:tcPr>
            <w:tcW w:w="897" w:type="dxa"/>
            <w:tcBorders>
              <w:top w:val="nil"/>
              <w:left w:val="nil"/>
              <w:bottom w:val="single" w:sz="4" w:space="0" w:color="auto"/>
              <w:right w:val="single" w:sz="4" w:space="0" w:color="auto"/>
            </w:tcBorders>
            <w:shd w:val="clear" w:color="auto" w:fill="auto"/>
            <w:noWrap/>
            <w:vAlign w:val="bottom"/>
            <w:hideMark/>
          </w:tcPr>
          <w:p w14:paraId="43B9BCF9"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4,093 </w:t>
            </w:r>
          </w:p>
        </w:tc>
      </w:tr>
      <w:tr w:rsidR="00C3310F" w:rsidRPr="00C3310F" w14:paraId="6AC70A70" w14:textId="77777777" w:rsidTr="00AA146C">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7FE60B00" w14:textId="599EF59E" w:rsidR="007441B4" w:rsidRPr="00C3310F" w:rsidRDefault="007441B4" w:rsidP="00AA146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臺灣</w:t>
            </w:r>
            <w:r w:rsidR="00141FC6" w:rsidRPr="00C3310F">
              <w:rPr>
                <w:rFonts w:hAnsi="標楷體" w:cs="新細明體" w:hint="eastAsia"/>
                <w:kern w:val="0"/>
                <w:sz w:val="24"/>
                <w:szCs w:val="24"/>
              </w:rPr>
              <w:t>○</w:t>
            </w:r>
            <w:r w:rsidRPr="00C3310F">
              <w:rPr>
                <w:rFonts w:hAnsi="標楷體" w:cs="新細明體" w:hint="eastAsia"/>
                <w:kern w:val="0"/>
                <w:sz w:val="24"/>
                <w:szCs w:val="24"/>
              </w:rPr>
              <w:t xml:space="preserve">地銀行            </w:t>
            </w:r>
          </w:p>
        </w:tc>
        <w:tc>
          <w:tcPr>
            <w:tcW w:w="850" w:type="dxa"/>
            <w:tcBorders>
              <w:top w:val="nil"/>
              <w:left w:val="nil"/>
              <w:bottom w:val="single" w:sz="4" w:space="0" w:color="auto"/>
              <w:right w:val="single" w:sz="4" w:space="0" w:color="auto"/>
            </w:tcBorders>
            <w:shd w:val="clear" w:color="auto" w:fill="auto"/>
            <w:noWrap/>
            <w:vAlign w:val="bottom"/>
            <w:hideMark/>
          </w:tcPr>
          <w:p w14:paraId="3741038D"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1,710 </w:t>
            </w:r>
          </w:p>
        </w:tc>
        <w:tc>
          <w:tcPr>
            <w:tcW w:w="851" w:type="dxa"/>
            <w:tcBorders>
              <w:top w:val="nil"/>
              <w:left w:val="nil"/>
              <w:bottom w:val="single" w:sz="4" w:space="0" w:color="auto"/>
              <w:right w:val="single" w:sz="4" w:space="0" w:color="auto"/>
            </w:tcBorders>
            <w:shd w:val="clear" w:color="auto" w:fill="auto"/>
            <w:noWrap/>
            <w:vAlign w:val="bottom"/>
            <w:hideMark/>
          </w:tcPr>
          <w:p w14:paraId="5431F823"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1,905 </w:t>
            </w:r>
          </w:p>
        </w:tc>
        <w:tc>
          <w:tcPr>
            <w:tcW w:w="850" w:type="dxa"/>
            <w:tcBorders>
              <w:top w:val="nil"/>
              <w:left w:val="nil"/>
              <w:bottom w:val="single" w:sz="4" w:space="0" w:color="auto"/>
              <w:right w:val="single" w:sz="4" w:space="0" w:color="auto"/>
            </w:tcBorders>
            <w:shd w:val="clear" w:color="auto" w:fill="auto"/>
            <w:noWrap/>
            <w:vAlign w:val="bottom"/>
            <w:hideMark/>
          </w:tcPr>
          <w:p w14:paraId="1C092E3C"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1,996 </w:t>
            </w:r>
          </w:p>
        </w:tc>
        <w:tc>
          <w:tcPr>
            <w:tcW w:w="851" w:type="dxa"/>
            <w:tcBorders>
              <w:top w:val="nil"/>
              <w:left w:val="nil"/>
              <w:bottom w:val="single" w:sz="4" w:space="0" w:color="auto"/>
              <w:right w:val="single" w:sz="4" w:space="0" w:color="auto"/>
            </w:tcBorders>
            <w:shd w:val="clear" w:color="auto" w:fill="auto"/>
            <w:noWrap/>
            <w:vAlign w:val="bottom"/>
            <w:hideMark/>
          </w:tcPr>
          <w:p w14:paraId="273F6D45"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2,201 </w:t>
            </w:r>
          </w:p>
        </w:tc>
        <w:tc>
          <w:tcPr>
            <w:tcW w:w="850" w:type="dxa"/>
            <w:tcBorders>
              <w:top w:val="nil"/>
              <w:left w:val="nil"/>
              <w:bottom w:val="single" w:sz="4" w:space="0" w:color="auto"/>
              <w:right w:val="single" w:sz="4" w:space="0" w:color="auto"/>
            </w:tcBorders>
            <w:shd w:val="clear" w:color="auto" w:fill="auto"/>
            <w:noWrap/>
            <w:vAlign w:val="bottom"/>
            <w:hideMark/>
          </w:tcPr>
          <w:p w14:paraId="474FAFC1"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2,346 </w:t>
            </w:r>
          </w:p>
        </w:tc>
        <w:tc>
          <w:tcPr>
            <w:tcW w:w="897" w:type="dxa"/>
            <w:tcBorders>
              <w:top w:val="nil"/>
              <w:left w:val="nil"/>
              <w:bottom w:val="single" w:sz="4" w:space="0" w:color="auto"/>
              <w:right w:val="single" w:sz="4" w:space="0" w:color="auto"/>
            </w:tcBorders>
            <w:shd w:val="clear" w:color="auto" w:fill="auto"/>
            <w:noWrap/>
            <w:vAlign w:val="bottom"/>
            <w:hideMark/>
          </w:tcPr>
          <w:p w14:paraId="57166816"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2,633 </w:t>
            </w:r>
          </w:p>
        </w:tc>
        <w:tc>
          <w:tcPr>
            <w:tcW w:w="897" w:type="dxa"/>
            <w:tcBorders>
              <w:top w:val="nil"/>
              <w:left w:val="nil"/>
              <w:bottom w:val="single" w:sz="4" w:space="0" w:color="auto"/>
              <w:right w:val="single" w:sz="4" w:space="0" w:color="auto"/>
            </w:tcBorders>
            <w:shd w:val="clear" w:color="auto" w:fill="auto"/>
            <w:noWrap/>
            <w:vAlign w:val="bottom"/>
            <w:hideMark/>
          </w:tcPr>
          <w:p w14:paraId="11A40031"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2,851 </w:t>
            </w:r>
          </w:p>
        </w:tc>
        <w:tc>
          <w:tcPr>
            <w:tcW w:w="897" w:type="dxa"/>
            <w:tcBorders>
              <w:top w:val="nil"/>
              <w:left w:val="nil"/>
              <w:bottom w:val="single" w:sz="4" w:space="0" w:color="auto"/>
              <w:right w:val="single" w:sz="4" w:space="0" w:color="auto"/>
            </w:tcBorders>
            <w:shd w:val="clear" w:color="auto" w:fill="auto"/>
            <w:noWrap/>
            <w:vAlign w:val="bottom"/>
            <w:hideMark/>
          </w:tcPr>
          <w:p w14:paraId="5BA8165D"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3,151 </w:t>
            </w:r>
          </w:p>
        </w:tc>
        <w:tc>
          <w:tcPr>
            <w:tcW w:w="897" w:type="dxa"/>
            <w:tcBorders>
              <w:top w:val="nil"/>
              <w:left w:val="nil"/>
              <w:bottom w:val="single" w:sz="4" w:space="0" w:color="auto"/>
              <w:right w:val="single" w:sz="4" w:space="0" w:color="auto"/>
            </w:tcBorders>
            <w:shd w:val="clear" w:color="auto" w:fill="auto"/>
            <w:noWrap/>
            <w:vAlign w:val="bottom"/>
            <w:hideMark/>
          </w:tcPr>
          <w:p w14:paraId="5A6EE153"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3,351 </w:t>
            </w:r>
          </w:p>
        </w:tc>
      </w:tr>
      <w:tr w:rsidR="00C3310F" w:rsidRPr="00C3310F" w14:paraId="1F6922A9" w14:textId="77777777" w:rsidTr="00AA146C">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70E849FE" w14:textId="448D4AF4" w:rsidR="007441B4" w:rsidRPr="00C3310F" w:rsidRDefault="007441B4" w:rsidP="00AA146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合</w:t>
            </w:r>
            <w:r w:rsidR="00141FC6" w:rsidRPr="00C3310F">
              <w:rPr>
                <w:rFonts w:hAnsi="標楷體" w:cs="新細明體" w:hint="eastAsia"/>
                <w:kern w:val="0"/>
                <w:sz w:val="24"/>
                <w:szCs w:val="24"/>
              </w:rPr>
              <w:t>○金</w:t>
            </w:r>
            <w:r w:rsidRPr="00C3310F">
              <w:rPr>
                <w:rFonts w:hAnsi="標楷體" w:cs="新細明體" w:hint="eastAsia"/>
                <w:kern w:val="0"/>
                <w:sz w:val="24"/>
                <w:szCs w:val="24"/>
              </w:rPr>
              <w:t xml:space="preserve">庫商業銀行        </w:t>
            </w:r>
          </w:p>
        </w:tc>
        <w:tc>
          <w:tcPr>
            <w:tcW w:w="850" w:type="dxa"/>
            <w:tcBorders>
              <w:top w:val="nil"/>
              <w:left w:val="nil"/>
              <w:bottom w:val="single" w:sz="4" w:space="0" w:color="auto"/>
              <w:right w:val="single" w:sz="4" w:space="0" w:color="auto"/>
            </w:tcBorders>
            <w:shd w:val="clear" w:color="auto" w:fill="auto"/>
            <w:noWrap/>
            <w:vAlign w:val="bottom"/>
            <w:hideMark/>
          </w:tcPr>
          <w:p w14:paraId="1A6B9747"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3,420 </w:t>
            </w:r>
          </w:p>
        </w:tc>
        <w:tc>
          <w:tcPr>
            <w:tcW w:w="851" w:type="dxa"/>
            <w:tcBorders>
              <w:top w:val="nil"/>
              <w:left w:val="nil"/>
              <w:bottom w:val="single" w:sz="4" w:space="0" w:color="auto"/>
              <w:right w:val="single" w:sz="4" w:space="0" w:color="auto"/>
            </w:tcBorders>
            <w:shd w:val="clear" w:color="auto" w:fill="auto"/>
            <w:noWrap/>
            <w:vAlign w:val="bottom"/>
            <w:hideMark/>
          </w:tcPr>
          <w:p w14:paraId="2C9737F7"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3,755 </w:t>
            </w:r>
          </w:p>
        </w:tc>
        <w:tc>
          <w:tcPr>
            <w:tcW w:w="850" w:type="dxa"/>
            <w:tcBorders>
              <w:top w:val="nil"/>
              <w:left w:val="nil"/>
              <w:bottom w:val="single" w:sz="4" w:space="0" w:color="auto"/>
              <w:right w:val="single" w:sz="4" w:space="0" w:color="auto"/>
            </w:tcBorders>
            <w:shd w:val="clear" w:color="auto" w:fill="auto"/>
            <w:noWrap/>
            <w:vAlign w:val="bottom"/>
            <w:hideMark/>
          </w:tcPr>
          <w:p w14:paraId="404AC8E9"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3,952 </w:t>
            </w:r>
          </w:p>
        </w:tc>
        <w:tc>
          <w:tcPr>
            <w:tcW w:w="851" w:type="dxa"/>
            <w:tcBorders>
              <w:top w:val="nil"/>
              <w:left w:val="nil"/>
              <w:bottom w:val="single" w:sz="4" w:space="0" w:color="auto"/>
              <w:right w:val="single" w:sz="4" w:space="0" w:color="auto"/>
            </w:tcBorders>
            <w:shd w:val="clear" w:color="auto" w:fill="auto"/>
            <w:noWrap/>
            <w:vAlign w:val="bottom"/>
            <w:hideMark/>
          </w:tcPr>
          <w:p w14:paraId="100A65BE"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4,211 </w:t>
            </w:r>
          </w:p>
        </w:tc>
        <w:tc>
          <w:tcPr>
            <w:tcW w:w="850" w:type="dxa"/>
            <w:tcBorders>
              <w:top w:val="nil"/>
              <w:left w:val="nil"/>
              <w:bottom w:val="single" w:sz="4" w:space="0" w:color="auto"/>
              <w:right w:val="single" w:sz="4" w:space="0" w:color="auto"/>
            </w:tcBorders>
            <w:shd w:val="clear" w:color="auto" w:fill="auto"/>
            <w:noWrap/>
            <w:vAlign w:val="bottom"/>
            <w:hideMark/>
          </w:tcPr>
          <w:p w14:paraId="79EDEE5B"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4,417 </w:t>
            </w:r>
          </w:p>
        </w:tc>
        <w:tc>
          <w:tcPr>
            <w:tcW w:w="897" w:type="dxa"/>
            <w:tcBorders>
              <w:top w:val="nil"/>
              <w:left w:val="nil"/>
              <w:bottom w:val="single" w:sz="4" w:space="0" w:color="auto"/>
              <w:right w:val="single" w:sz="4" w:space="0" w:color="auto"/>
            </w:tcBorders>
            <w:shd w:val="clear" w:color="auto" w:fill="auto"/>
            <w:noWrap/>
            <w:vAlign w:val="bottom"/>
            <w:hideMark/>
          </w:tcPr>
          <w:p w14:paraId="37DE0C13"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4,916 </w:t>
            </w:r>
          </w:p>
        </w:tc>
        <w:tc>
          <w:tcPr>
            <w:tcW w:w="897" w:type="dxa"/>
            <w:tcBorders>
              <w:top w:val="nil"/>
              <w:left w:val="nil"/>
              <w:bottom w:val="single" w:sz="4" w:space="0" w:color="auto"/>
              <w:right w:val="single" w:sz="4" w:space="0" w:color="auto"/>
            </w:tcBorders>
            <w:shd w:val="clear" w:color="auto" w:fill="auto"/>
            <w:noWrap/>
            <w:vAlign w:val="bottom"/>
            <w:hideMark/>
          </w:tcPr>
          <w:p w14:paraId="5C8207D9"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5,495 </w:t>
            </w:r>
          </w:p>
        </w:tc>
        <w:tc>
          <w:tcPr>
            <w:tcW w:w="897" w:type="dxa"/>
            <w:tcBorders>
              <w:top w:val="nil"/>
              <w:left w:val="nil"/>
              <w:bottom w:val="single" w:sz="4" w:space="0" w:color="auto"/>
              <w:right w:val="single" w:sz="4" w:space="0" w:color="auto"/>
            </w:tcBorders>
            <w:shd w:val="clear" w:color="auto" w:fill="auto"/>
            <w:noWrap/>
            <w:vAlign w:val="bottom"/>
            <w:hideMark/>
          </w:tcPr>
          <w:p w14:paraId="0373EC99"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6,115 </w:t>
            </w:r>
          </w:p>
        </w:tc>
        <w:tc>
          <w:tcPr>
            <w:tcW w:w="897" w:type="dxa"/>
            <w:tcBorders>
              <w:top w:val="nil"/>
              <w:left w:val="nil"/>
              <w:bottom w:val="single" w:sz="4" w:space="0" w:color="auto"/>
              <w:right w:val="single" w:sz="4" w:space="0" w:color="auto"/>
            </w:tcBorders>
            <w:shd w:val="clear" w:color="auto" w:fill="auto"/>
            <w:noWrap/>
            <w:vAlign w:val="bottom"/>
            <w:hideMark/>
          </w:tcPr>
          <w:p w14:paraId="1148581E"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6,639 </w:t>
            </w:r>
          </w:p>
        </w:tc>
      </w:tr>
      <w:tr w:rsidR="00C3310F" w:rsidRPr="00C3310F" w14:paraId="1ECA7B6C" w14:textId="77777777" w:rsidTr="00AA146C">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1F6363DF" w14:textId="6EF28DE1" w:rsidR="007441B4" w:rsidRPr="00C3310F" w:rsidRDefault="007441B4" w:rsidP="00AA146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第</w:t>
            </w:r>
            <w:r w:rsidR="00141FC6" w:rsidRPr="00C3310F">
              <w:rPr>
                <w:rFonts w:hAnsi="標楷體" w:cs="新細明體" w:hint="eastAsia"/>
                <w:kern w:val="0"/>
                <w:sz w:val="24"/>
                <w:szCs w:val="24"/>
              </w:rPr>
              <w:t>○</w:t>
            </w:r>
            <w:r w:rsidRPr="00C3310F">
              <w:rPr>
                <w:rFonts w:hAnsi="標楷體" w:cs="新細明體" w:hint="eastAsia"/>
                <w:kern w:val="0"/>
                <w:sz w:val="24"/>
                <w:szCs w:val="24"/>
              </w:rPr>
              <w:t xml:space="preserve">銀行                </w:t>
            </w:r>
          </w:p>
        </w:tc>
        <w:tc>
          <w:tcPr>
            <w:tcW w:w="850" w:type="dxa"/>
            <w:tcBorders>
              <w:top w:val="nil"/>
              <w:left w:val="nil"/>
              <w:bottom w:val="single" w:sz="4" w:space="0" w:color="auto"/>
              <w:right w:val="single" w:sz="4" w:space="0" w:color="auto"/>
            </w:tcBorders>
            <w:shd w:val="clear" w:color="auto" w:fill="auto"/>
            <w:noWrap/>
            <w:vAlign w:val="bottom"/>
            <w:hideMark/>
          </w:tcPr>
          <w:p w14:paraId="42FB1783"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3,114 </w:t>
            </w:r>
          </w:p>
        </w:tc>
        <w:tc>
          <w:tcPr>
            <w:tcW w:w="851" w:type="dxa"/>
            <w:tcBorders>
              <w:top w:val="nil"/>
              <w:left w:val="nil"/>
              <w:bottom w:val="single" w:sz="4" w:space="0" w:color="auto"/>
              <w:right w:val="single" w:sz="4" w:space="0" w:color="auto"/>
            </w:tcBorders>
            <w:shd w:val="clear" w:color="auto" w:fill="auto"/>
            <w:noWrap/>
            <w:vAlign w:val="bottom"/>
            <w:hideMark/>
          </w:tcPr>
          <w:p w14:paraId="35C1CA97"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3,570 </w:t>
            </w:r>
          </w:p>
        </w:tc>
        <w:tc>
          <w:tcPr>
            <w:tcW w:w="850" w:type="dxa"/>
            <w:tcBorders>
              <w:top w:val="nil"/>
              <w:left w:val="nil"/>
              <w:bottom w:val="single" w:sz="4" w:space="0" w:color="auto"/>
              <w:right w:val="single" w:sz="4" w:space="0" w:color="auto"/>
            </w:tcBorders>
            <w:shd w:val="clear" w:color="auto" w:fill="auto"/>
            <w:noWrap/>
            <w:vAlign w:val="bottom"/>
            <w:hideMark/>
          </w:tcPr>
          <w:p w14:paraId="6685E010"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3,847 </w:t>
            </w:r>
          </w:p>
        </w:tc>
        <w:tc>
          <w:tcPr>
            <w:tcW w:w="851" w:type="dxa"/>
            <w:tcBorders>
              <w:top w:val="nil"/>
              <w:left w:val="nil"/>
              <w:bottom w:val="single" w:sz="4" w:space="0" w:color="auto"/>
              <w:right w:val="single" w:sz="4" w:space="0" w:color="auto"/>
            </w:tcBorders>
            <w:shd w:val="clear" w:color="auto" w:fill="auto"/>
            <w:noWrap/>
            <w:vAlign w:val="bottom"/>
            <w:hideMark/>
          </w:tcPr>
          <w:p w14:paraId="38F1C484"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4,308 </w:t>
            </w:r>
          </w:p>
        </w:tc>
        <w:tc>
          <w:tcPr>
            <w:tcW w:w="850" w:type="dxa"/>
            <w:tcBorders>
              <w:top w:val="nil"/>
              <w:left w:val="nil"/>
              <w:bottom w:val="single" w:sz="4" w:space="0" w:color="auto"/>
              <w:right w:val="single" w:sz="4" w:space="0" w:color="auto"/>
            </w:tcBorders>
            <w:shd w:val="clear" w:color="auto" w:fill="auto"/>
            <w:noWrap/>
            <w:vAlign w:val="bottom"/>
            <w:hideMark/>
          </w:tcPr>
          <w:p w14:paraId="2E0CDBB7"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4,648 </w:t>
            </w:r>
          </w:p>
        </w:tc>
        <w:tc>
          <w:tcPr>
            <w:tcW w:w="897" w:type="dxa"/>
            <w:tcBorders>
              <w:top w:val="nil"/>
              <w:left w:val="nil"/>
              <w:bottom w:val="single" w:sz="4" w:space="0" w:color="auto"/>
              <w:right w:val="single" w:sz="4" w:space="0" w:color="auto"/>
            </w:tcBorders>
            <w:shd w:val="clear" w:color="auto" w:fill="auto"/>
            <w:noWrap/>
            <w:vAlign w:val="bottom"/>
            <w:hideMark/>
          </w:tcPr>
          <w:p w14:paraId="3E55B434"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5,198 </w:t>
            </w:r>
          </w:p>
        </w:tc>
        <w:tc>
          <w:tcPr>
            <w:tcW w:w="897" w:type="dxa"/>
            <w:tcBorders>
              <w:top w:val="nil"/>
              <w:left w:val="nil"/>
              <w:bottom w:val="single" w:sz="4" w:space="0" w:color="auto"/>
              <w:right w:val="single" w:sz="4" w:space="0" w:color="auto"/>
            </w:tcBorders>
            <w:shd w:val="clear" w:color="auto" w:fill="auto"/>
            <w:noWrap/>
            <w:vAlign w:val="bottom"/>
            <w:hideMark/>
          </w:tcPr>
          <w:p w14:paraId="78EEF59F"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5,664 </w:t>
            </w:r>
          </w:p>
        </w:tc>
        <w:tc>
          <w:tcPr>
            <w:tcW w:w="897" w:type="dxa"/>
            <w:tcBorders>
              <w:top w:val="nil"/>
              <w:left w:val="nil"/>
              <w:bottom w:val="single" w:sz="4" w:space="0" w:color="auto"/>
              <w:right w:val="single" w:sz="4" w:space="0" w:color="auto"/>
            </w:tcBorders>
            <w:shd w:val="clear" w:color="auto" w:fill="auto"/>
            <w:noWrap/>
            <w:vAlign w:val="bottom"/>
            <w:hideMark/>
          </w:tcPr>
          <w:p w14:paraId="0251C096"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6,191 </w:t>
            </w:r>
          </w:p>
        </w:tc>
        <w:tc>
          <w:tcPr>
            <w:tcW w:w="897" w:type="dxa"/>
            <w:tcBorders>
              <w:top w:val="nil"/>
              <w:left w:val="nil"/>
              <w:bottom w:val="single" w:sz="4" w:space="0" w:color="auto"/>
              <w:right w:val="single" w:sz="4" w:space="0" w:color="auto"/>
            </w:tcBorders>
            <w:shd w:val="clear" w:color="auto" w:fill="auto"/>
            <w:noWrap/>
            <w:vAlign w:val="bottom"/>
            <w:hideMark/>
          </w:tcPr>
          <w:p w14:paraId="1555FCA8"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6,728 </w:t>
            </w:r>
          </w:p>
        </w:tc>
      </w:tr>
      <w:tr w:rsidR="00C3310F" w:rsidRPr="00C3310F" w14:paraId="32CEA991" w14:textId="77777777" w:rsidTr="00AA146C">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58EDA62A" w14:textId="4B982267" w:rsidR="007441B4" w:rsidRPr="00C3310F" w:rsidRDefault="007441B4" w:rsidP="00AA146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華</w:t>
            </w:r>
            <w:r w:rsidR="00141FC6" w:rsidRPr="00C3310F">
              <w:rPr>
                <w:rFonts w:hAnsi="標楷體" w:cs="新細明體" w:hint="eastAsia"/>
                <w:kern w:val="0"/>
                <w:sz w:val="24"/>
                <w:szCs w:val="24"/>
              </w:rPr>
              <w:t>○</w:t>
            </w:r>
            <w:r w:rsidRPr="00C3310F">
              <w:rPr>
                <w:rFonts w:hAnsi="標楷體" w:cs="新細明體" w:hint="eastAsia"/>
                <w:kern w:val="0"/>
                <w:sz w:val="24"/>
                <w:szCs w:val="24"/>
              </w:rPr>
              <w:t xml:space="preserve">銀行                </w:t>
            </w:r>
          </w:p>
        </w:tc>
        <w:tc>
          <w:tcPr>
            <w:tcW w:w="850" w:type="dxa"/>
            <w:tcBorders>
              <w:top w:val="nil"/>
              <w:left w:val="nil"/>
              <w:bottom w:val="single" w:sz="4" w:space="0" w:color="auto"/>
              <w:right w:val="single" w:sz="4" w:space="0" w:color="auto"/>
            </w:tcBorders>
            <w:shd w:val="clear" w:color="auto" w:fill="auto"/>
            <w:noWrap/>
            <w:vAlign w:val="bottom"/>
            <w:hideMark/>
          </w:tcPr>
          <w:p w14:paraId="300C817C"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2,582 </w:t>
            </w:r>
          </w:p>
        </w:tc>
        <w:tc>
          <w:tcPr>
            <w:tcW w:w="851" w:type="dxa"/>
            <w:tcBorders>
              <w:top w:val="nil"/>
              <w:left w:val="nil"/>
              <w:bottom w:val="single" w:sz="4" w:space="0" w:color="auto"/>
              <w:right w:val="single" w:sz="4" w:space="0" w:color="auto"/>
            </w:tcBorders>
            <w:shd w:val="clear" w:color="auto" w:fill="auto"/>
            <w:noWrap/>
            <w:vAlign w:val="bottom"/>
            <w:hideMark/>
          </w:tcPr>
          <w:p w14:paraId="6AD03EEC"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2,922 </w:t>
            </w:r>
          </w:p>
        </w:tc>
        <w:tc>
          <w:tcPr>
            <w:tcW w:w="850" w:type="dxa"/>
            <w:tcBorders>
              <w:top w:val="nil"/>
              <w:left w:val="nil"/>
              <w:bottom w:val="single" w:sz="4" w:space="0" w:color="auto"/>
              <w:right w:val="single" w:sz="4" w:space="0" w:color="auto"/>
            </w:tcBorders>
            <w:shd w:val="clear" w:color="auto" w:fill="auto"/>
            <w:noWrap/>
            <w:vAlign w:val="bottom"/>
            <w:hideMark/>
          </w:tcPr>
          <w:p w14:paraId="520ACB82"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3,148 </w:t>
            </w:r>
          </w:p>
        </w:tc>
        <w:tc>
          <w:tcPr>
            <w:tcW w:w="851" w:type="dxa"/>
            <w:tcBorders>
              <w:top w:val="nil"/>
              <w:left w:val="nil"/>
              <w:bottom w:val="single" w:sz="4" w:space="0" w:color="auto"/>
              <w:right w:val="single" w:sz="4" w:space="0" w:color="auto"/>
            </w:tcBorders>
            <w:shd w:val="clear" w:color="auto" w:fill="auto"/>
            <w:noWrap/>
            <w:vAlign w:val="bottom"/>
            <w:hideMark/>
          </w:tcPr>
          <w:p w14:paraId="032E2A19"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3,475 </w:t>
            </w:r>
          </w:p>
        </w:tc>
        <w:tc>
          <w:tcPr>
            <w:tcW w:w="850" w:type="dxa"/>
            <w:tcBorders>
              <w:top w:val="nil"/>
              <w:left w:val="nil"/>
              <w:bottom w:val="single" w:sz="4" w:space="0" w:color="auto"/>
              <w:right w:val="single" w:sz="4" w:space="0" w:color="auto"/>
            </w:tcBorders>
            <w:shd w:val="clear" w:color="auto" w:fill="auto"/>
            <w:noWrap/>
            <w:vAlign w:val="bottom"/>
            <w:hideMark/>
          </w:tcPr>
          <w:p w14:paraId="1D11BBD4"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3,672 </w:t>
            </w:r>
          </w:p>
        </w:tc>
        <w:tc>
          <w:tcPr>
            <w:tcW w:w="897" w:type="dxa"/>
            <w:tcBorders>
              <w:top w:val="nil"/>
              <w:left w:val="nil"/>
              <w:bottom w:val="single" w:sz="4" w:space="0" w:color="auto"/>
              <w:right w:val="single" w:sz="4" w:space="0" w:color="auto"/>
            </w:tcBorders>
            <w:shd w:val="clear" w:color="auto" w:fill="auto"/>
            <w:noWrap/>
            <w:vAlign w:val="bottom"/>
            <w:hideMark/>
          </w:tcPr>
          <w:p w14:paraId="4C5F7714"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4,140 </w:t>
            </w:r>
          </w:p>
        </w:tc>
        <w:tc>
          <w:tcPr>
            <w:tcW w:w="897" w:type="dxa"/>
            <w:tcBorders>
              <w:top w:val="nil"/>
              <w:left w:val="nil"/>
              <w:bottom w:val="single" w:sz="4" w:space="0" w:color="auto"/>
              <w:right w:val="single" w:sz="4" w:space="0" w:color="auto"/>
            </w:tcBorders>
            <w:shd w:val="clear" w:color="auto" w:fill="auto"/>
            <w:noWrap/>
            <w:vAlign w:val="bottom"/>
            <w:hideMark/>
          </w:tcPr>
          <w:p w14:paraId="05681A8D"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4,539 </w:t>
            </w:r>
          </w:p>
        </w:tc>
        <w:tc>
          <w:tcPr>
            <w:tcW w:w="897" w:type="dxa"/>
            <w:tcBorders>
              <w:top w:val="nil"/>
              <w:left w:val="nil"/>
              <w:bottom w:val="single" w:sz="4" w:space="0" w:color="auto"/>
              <w:right w:val="single" w:sz="4" w:space="0" w:color="auto"/>
            </w:tcBorders>
            <w:shd w:val="clear" w:color="auto" w:fill="auto"/>
            <w:noWrap/>
            <w:vAlign w:val="bottom"/>
            <w:hideMark/>
          </w:tcPr>
          <w:p w14:paraId="05CF565D"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5,012 </w:t>
            </w:r>
          </w:p>
        </w:tc>
        <w:tc>
          <w:tcPr>
            <w:tcW w:w="897" w:type="dxa"/>
            <w:tcBorders>
              <w:top w:val="nil"/>
              <w:left w:val="nil"/>
              <w:bottom w:val="single" w:sz="4" w:space="0" w:color="auto"/>
              <w:right w:val="single" w:sz="4" w:space="0" w:color="auto"/>
            </w:tcBorders>
            <w:shd w:val="clear" w:color="auto" w:fill="auto"/>
            <w:noWrap/>
            <w:vAlign w:val="bottom"/>
            <w:hideMark/>
          </w:tcPr>
          <w:p w14:paraId="7E30D7AB"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5,442 </w:t>
            </w:r>
          </w:p>
        </w:tc>
      </w:tr>
      <w:tr w:rsidR="00C3310F" w:rsidRPr="00C3310F" w14:paraId="6A8B092A" w14:textId="77777777" w:rsidTr="00AA146C">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3D4BEFA0" w14:textId="73C991BB" w:rsidR="007441B4" w:rsidRPr="00C3310F" w:rsidRDefault="007441B4" w:rsidP="00AA146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彰</w:t>
            </w:r>
            <w:r w:rsidR="00141FC6" w:rsidRPr="00C3310F">
              <w:rPr>
                <w:rFonts w:hAnsi="標楷體" w:cs="新細明體" w:hint="eastAsia"/>
                <w:kern w:val="0"/>
                <w:sz w:val="24"/>
                <w:szCs w:val="24"/>
              </w:rPr>
              <w:t>○</w:t>
            </w:r>
            <w:r w:rsidRPr="00C3310F">
              <w:rPr>
                <w:rFonts w:hAnsi="標楷體" w:cs="新細明體" w:hint="eastAsia"/>
                <w:kern w:val="0"/>
                <w:sz w:val="24"/>
                <w:szCs w:val="24"/>
              </w:rPr>
              <w:t xml:space="preserve">銀行                </w:t>
            </w:r>
          </w:p>
        </w:tc>
        <w:tc>
          <w:tcPr>
            <w:tcW w:w="850" w:type="dxa"/>
            <w:tcBorders>
              <w:top w:val="nil"/>
              <w:left w:val="nil"/>
              <w:bottom w:val="single" w:sz="4" w:space="0" w:color="auto"/>
              <w:right w:val="single" w:sz="4" w:space="0" w:color="auto"/>
            </w:tcBorders>
            <w:shd w:val="clear" w:color="auto" w:fill="auto"/>
            <w:noWrap/>
            <w:vAlign w:val="bottom"/>
            <w:hideMark/>
          </w:tcPr>
          <w:p w14:paraId="25349FB3"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2,275 </w:t>
            </w:r>
          </w:p>
        </w:tc>
        <w:tc>
          <w:tcPr>
            <w:tcW w:w="851" w:type="dxa"/>
            <w:tcBorders>
              <w:top w:val="nil"/>
              <w:left w:val="nil"/>
              <w:bottom w:val="single" w:sz="4" w:space="0" w:color="auto"/>
              <w:right w:val="single" w:sz="4" w:space="0" w:color="auto"/>
            </w:tcBorders>
            <w:shd w:val="clear" w:color="auto" w:fill="auto"/>
            <w:noWrap/>
            <w:vAlign w:val="bottom"/>
            <w:hideMark/>
          </w:tcPr>
          <w:p w14:paraId="6EDF4FF2"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2,447 </w:t>
            </w:r>
          </w:p>
        </w:tc>
        <w:tc>
          <w:tcPr>
            <w:tcW w:w="850" w:type="dxa"/>
            <w:tcBorders>
              <w:top w:val="nil"/>
              <w:left w:val="nil"/>
              <w:bottom w:val="single" w:sz="4" w:space="0" w:color="auto"/>
              <w:right w:val="single" w:sz="4" w:space="0" w:color="auto"/>
            </w:tcBorders>
            <w:shd w:val="clear" w:color="auto" w:fill="auto"/>
            <w:noWrap/>
            <w:vAlign w:val="bottom"/>
            <w:hideMark/>
          </w:tcPr>
          <w:p w14:paraId="080AE06B"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2,644 </w:t>
            </w:r>
          </w:p>
        </w:tc>
        <w:tc>
          <w:tcPr>
            <w:tcW w:w="851" w:type="dxa"/>
            <w:tcBorders>
              <w:top w:val="nil"/>
              <w:left w:val="nil"/>
              <w:bottom w:val="single" w:sz="4" w:space="0" w:color="auto"/>
              <w:right w:val="single" w:sz="4" w:space="0" w:color="auto"/>
            </w:tcBorders>
            <w:shd w:val="clear" w:color="auto" w:fill="auto"/>
            <w:noWrap/>
            <w:vAlign w:val="bottom"/>
            <w:hideMark/>
          </w:tcPr>
          <w:p w14:paraId="245012C2"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2,888 </w:t>
            </w:r>
          </w:p>
        </w:tc>
        <w:tc>
          <w:tcPr>
            <w:tcW w:w="850" w:type="dxa"/>
            <w:tcBorders>
              <w:top w:val="nil"/>
              <w:left w:val="nil"/>
              <w:bottom w:val="single" w:sz="4" w:space="0" w:color="auto"/>
              <w:right w:val="single" w:sz="4" w:space="0" w:color="auto"/>
            </w:tcBorders>
            <w:shd w:val="clear" w:color="auto" w:fill="auto"/>
            <w:noWrap/>
            <w:vAlign w:val="bottom"/>
            <w:hideMark/>
          </w:tcPr>
          <w:p w14:paraId="2EEC648F"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3,130 </w:t>
            </w:r>
          </w:p>
        </w:tc>
        <w:tc>
          <w:tcPr>
            <w:tcW w:w="897" w:type="dxa"/>
            <w:tcBorders>
              <w:top w:val="nil"/>
              <w:left w:val="nil"/>
              <w:bottom w:val="single" w:sz="4" w:space="0" w:color="auto"/>
              <w:right w:val="single" w:sz="4" w:space="0" w:color="auto"/>
            </w:tcBorders>
            <w:shd w:val="clear" w:color="auto" w:fill="auto"/>
            <w:noWrap/>
            <w:vAlign w:val="bottom"/>
            <w:hideMark/>
          </w:tcPr>
          <w:p w14:paraId="3DDA91C0"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3,434 </w:t>
            </w:r>
          </w:p>
        </w:tc>
        <w:tc>
          <w:tcPr>
            <w:tcW w:w="897" w:type="dxa"/>
            <w:tcBorders>
              <w:top w:val="nil"/>
              <w:left w:val="nil"/>
              <w:bottom w:val="single" w:sz="4" w:space="0" w:color="auto"/>
              <w:right w:val="single" w:sz="4" w:space="0" w:color="auto"/>
            </w:tcBorders>
            <w:shd w:val="clear" w:color="auto" w:fill="auto"/>
            <w:noWrap/>
            <w:vAlign w:val="bottom"/>
            <w:hideMark/>
          </w:tcPr>
          <w:p w14:paraId="05163763"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3,760 </w:t>
            </w:r>
          </w:p>
        </w:tc>
        <w:tc>
          <w:tcPr>
            <w:tcW w:w="897" w:type="dxa"/>
            <w:tcBorders>
              <w:top w:val="nil"/>
              <w:left w:val="nil"/>
              <w:bottom w:val="single" w:sz="4" w:space="0" w:color="auto"/>
              <w:right w:val="single" w:sz="4" w:space="0" w:color="auto"/>
            </w:tcBorders>
            <w:shd w:val="clear" w:color="auto" w:fill="auto"/>
            <w:noWrap/>
            <w:vAlign w:val="bottom"/>
            <w:hideMark/>
          </w:tcPr>
          <w:p w14:paraId="40579320"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4,100 </w:t>
            </w:r>
          </w:p>
        </w:tc>
        <w:tc>
          <w:tcPr>
            <w:tcW w:w="897" w:type="dxa"/>
            <w:tcBorders>
              <w:top w:val="nil"/>
              <w:left w:val="nil"/>
              <w:bottom w:val="single" w:sz="4" w:space="0" w:color="auto"/>
              <w:right w:val="single" w:sz="4" w:space="0" w:color="auto"/>
            </w:tcBorders>
            <w:shd w:val="clear" w:color="auto" w:fill="auto"/>
            <w:noWrap/>
            <w:vAlign w:val="bottom"/>
            <w:hideMark/>
          </w:tcPr>
          <w:p w14:paraId="7AB41B5F"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4,441 </w:t>
            </w:r>
          </w:p>
        </w:tc>
      </w:tr>
      <w:tr w:rsidR="00C3310F" w:rsidRPr="00C3310F" w14:paraId="67BAB604" w14:textId="77777777" w:rsidTr="00AA146C">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72EB819F" w14:textId="7527DA53" w:rsidR="007441B4" w:rsidRPr="00C3310F" w:rsidRDefault="007441B4" w:rsidP="00AA146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上</w:t>
            </w:r>
            <w:r w:rsidR="00141FC6" w:rsidRPr="00C3310F">
              <w:rPr>
                <w:rFonts w:hAnsi="標楷體" w:cs="新細明體" w:hint="eastAsia"/>
                <w:kern w:val="0"/>
                <w:sz w:val="24"/>
                <w:szCs w:val="24"/>
              </w:rPr>
              <w:t>○</w:t>
            </w:r>
            <w:r w:rsidRPr="00C3310F">
              <w:rPr>
                <w:rFonts w:hAnsi="標楷體" w:cs="新細明體" w:hint="eastAsia"/>
                <w:kern w:val="0"/>
                <w:sz w:val="24"/>
                <w:szCs w:val="24"/>
              </w:rPr>
              <w:t xml:space="preserve">商業儲蓄銀行        </w:t>
            </w:r>
          </w:p>
        </w:tc>
        <w:tc>
          <w:tcPr>
            <w:tcW w:w="850" w:type="dxa"/>
            <w:tcBorders>
              <w:top w:val="nil"/>
              <w:left w:val="nil"/>
              <w:bottom w:val="single" w:sz="4" w:space="0" w:color="auto"/>
              <w:right w:val="single" w:sz="4" w:space="0" w:color="auto"/>
            </w:tcBorders>
            <w:shd w:val="clear" w:color="auto" w:fill="auto"/>
            <w:noWrap/>
            <w:vAlign w:val="bottom"/>
            <w:hideMark/>
          </w:tcPr>
          <w:p w14:paraId="4FD8AA25"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521 </w:t>
            </w:r>
          </w:p>
        </w:tc>
        <w:tc>
          <w:tcPr>
            <w:tcW w:w="851" w:type="dxa"/>
            <w:tcBorders>
              <w:top w:val="nil"/>
              <w:left w:val="nil"/>
              <w:bottom w:val="single" w:sz="4" w:space="0" w:color="auto"/>
              <w:right w:val="single" w:sz="4" w:space="0" w:color="auto"/>
            </w:tcBorders>
            <w:shd w:val="clear" w:color="auto" w:fill="auto"/>
            <w:noWrap/>
            <w:vAlign w:val="bottom"/>
            <w:hideMark/>
          </w:tcPr>
          <w:p w14:paraId="4604312C"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551 </w:t>
            </w:r>
          </w:p>
        </w:tc>
        <w:tc>
          <w:tcPr>
            <w:tcW w:w="850" w:type="dxa"/>
            <w:tcBorders>
              <w:top w:val="nil"/>
              <w:left w:val="nil"/>
              <w:bottom w:val="single" w:sz="4" w:space="0" w:color="auto"/>
              <w:right w:val="single" w:sz="4" w:space="0" w:color="auto"/>
            </w:tcBorders>
            <w:shd w:val="clear" w:color="auto" w:fill="auto"/>
            <w:noWrap/>
            <w:vAlign w:val="bottom"/>
            <w:hideMark/>
          </w:tcPr>
          <w:p w14:paraId="29DF35C2"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557 </w:t>
            </w:r>
          </w:p>
        </w:tc>
        <w:tc>
          <w:tcPr>
            <w:tcW w:w="851" w:type="dxa"/>
            <w:tcBorders>
              <w:top w:val="nil"/>
              <w:left w:val="nil"/>
              <w:bottom w:val="single" w:sz="4" w:space="0" w:color="auto"/>
              <w:right w:val="single" w:sz="4" w:space="0" w:color="auto"/>
            </w:tcBorders>
            <w:shd w:val="clear" w:color="auto" w:fill="auto"/>
            <w:noWrap/>
            <w:vAlign w:val="bottom"/>
            <w:hideMark/>
          </w:tcPr>
          <w:p w14:paraId="731E25F8"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595 </w:t>
            </w:r>
          </w:p>
        </w:tc>
        <w:tc>
          <w:tcPr>
            <w:tcW w:w="850" w:type="dxa"/>
            <w:tcBorders>
              <w:top w:val="nil"/>
              <w:left w:val="nil"/>
              <w:bottom w:val="single" w:sz="4" w:space="0" w:color="auto"/>
              <w:right w:val="single" w:sz="4" w:space="0" w:color="auto"/>
            </w:tcBorders>
            <w:shd w:val="clear" w:color="auto" w:fill="auto"/>
            <w:noWrap/>
            <w:vAlign w:val="bottom"/>
            <w:hideMark/>
          </w:tcPr>
          <w:p w14:paraId="66A39AC5"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605 </w:t>
            </w:r>
          </w:p>
        </w:tc>
        <w:tc>
          <w:tcPr>
            <w:tcW w:w="897" w:type="dxa"/>
            <w:tcBorders>
              <w:top w:val="nil"/>
              <w:left w:val="nil"/>
              <w:bottom w:val="single" w:sz="4" w:space="0" w:color="auto"/>
              <w:right w:val="single" w:sz="4" w:space="0" w:color="auto"/>
            </w:tcBorders>
            <w:shd w:val="clear" w:color="auto" w:fill="auto"/>
            <w:noWrap/>
            <w:vAlign w:val="bottom"/>
            <w:hideMark/>
          </w:tcPr>
          <w:p w14:paraId="2D756530"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668 </w:t>
            </w:r>
          </w:p>
        </w:tc>
        <w:tc>
          <w:tcPr>
            <w:tcW w:w="897" w:type="dxa"/>
            <w:tcBorders>
              <w:top w:val="nil"/>
              <w:left w:val="nil"/>
              <w:bottom w:val="single" w:sz="4" w:space="0" w:color="auto"/>
              <w:right w:val="single" w:sz="4" w:space="0" w:color="auto"/>
            </w:tcBorders>
            <w:shd w:val="clear" w:color="auto" w:fill="auto"/>
            <w:noWrap/>
            <w:vAlign w:val="bottom"/>
            <w:hideMark/>
          </w:tcPr>
          <w:p w14:paraId="0BB7B251"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735 </w:t>
            </w:r>
          </w:p>
        </w:tc>
        <w:tc>
          <w:tcPr>
            <w:tcW w:w="897" w:type="dxa"/>
            <w:tcBorders>
              <w:top w:val="nil"/>
              <w:left w:val="nil"/>
              <w:bottom w:val="single" w:sz="4" w:space="0" w:color="auto"/>
              <w:right w:val="single" w:sz="4" w:space="0" w:color="auto"/>
            </w:tcBorders>
            <w:shd w:val="clear" w:color="auto" w:fill="auto"/>
            <w:noWrap/>
            <w:vAlign w:val="bottom"/>
            <w:hideMark/>
          </w:tcPr>
          <w:p w14:paraId="214072AB"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766 </w:t>
            </w:r>
          </w:p>
        </w:tc>
        <w:tc>
          <w:tcPr>
            <w:tcW w:w="897" w:type="dxa"/>
            <w:tcBorders>
              <w:top w:val="nil"/>
              <w:left w:val="nil"/>
              <w:bottom w:val="single" w:sz="4" w:space="0" w:color="auto"/>
              <w:right w:val="single" w:sz="4" w:space="0" w:color="auto"/>
            </w:tcBorders>
            <w:shd w:val="clear" w:color="auto" w:fill="auto"/>
            <w:noWrap/>
            <w:vAlign w:val="bottom"/>
            <w:hideMark/>
          </w:tcPr>
          <w:p w14:paraId="407BC829"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796 </w:t>
            </w:r>
          </w:p>
        </w:tc>
      </w:tr>
      <w:tr w:rsidR="00C3310F" w:rsidRPr="00C3310F" w14:paraId="382DF2AB" w14:textId="77777777" w:rsidTr="00AA146C">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00E5B197" w14:textId="43E1A0AC" w:rsidR="007441B4" w:rsidRPr="00C3310F" w:rsidRDefault="007441B4" w:rsidP="00AA146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台北富</w:t>
            </w:r>
            <w:r w:rsidR="00141FC6" w:rsidRPr="00C3310F">
              <w:rPr>
                <w:rFonts w:hAnsi="標楷體" w:cs="新細明體" w:hint="eastAsia"/>
                <w:kern w:val="0"/>
                <w:sz w:val="24"/>
                <w:szCs w:val="24"/>
              </w:rPr>
              <w:t>○</w:t>
            </w:r>
            <w:r w:rsidRPr="00C3310F">
              <w:rPr>
                <w:rFonts w:hAnsi="標楷體" w:cs="新細明體" w:hint="eastAsia"/>
                <w:kern w:val="0"/>
                <w:sz w:val="24"/>
                <w:szCs w:val="24"/>
              </w:rPr>
              <w:t xml:space="preserve">銀行            </w:t>
            </w:r>
          </w:p>
        </w:tc>
        <w:tc>
          <w:tcPr>
            <w:tcW w:w="850" w:type="dxa"/>
            <w:tcBorders>
              <w:top w:val="nil"/>
              <w:left w:val="nil"/>
              <w:bottom w:val="single" w:sz="4" w:space="0" w:color="auto"/>
              <w:right w:val="single" w:sz="4" w:space="0" w:color="auto"/>
            </w:tcBorders>
            <w:shd w:val="clear" w:color="auto" w:fill="auto"/>
            <w:noWrap/>
            <w:vAlign w:val="bottom"/>
            <w:hideMark/>
          </w:tcPr>
          <w:p w14:paraId="06DAA42F"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1,629 </w:t>
            </w:r>
          </w:p>
        </w:tc>
        <w:tc>
          <w:tcPr>
            <w:tcW w:w="851" w:type="dxa"/>
            <w:tcBorders>
              <w:top w:val="nil"/>
              <w:left w:val="nil"/>
              <w:bottom w:val="single" w:sz="4" w:space="0" w:color="auto"/>
              <w:right w:val="single" w:sz="4" w:space="0" w:color="auto"/>
            </w:tcBorders>
            <w:shd w:val="clear" w:color="auto" w:fill="auto"/>
            <w:noWrap/>
            <w:vAlign w:val="bottom"/>
            <w:hideMark/>
          </w:tcPr>
          <w:p w14:paraId="0CD946A4"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1,787 </w:t>
            </w:r>
          </w:p>
        </w:tc>
        <w:tc>
          <w:tcPr>
            <w:tcW w:w="850" w:type="dxa"/>
            <w:tcBorders>
              <w:top w:val="nil"/>
              <w:left w:val="nil"/>
              <w:bottom w:val="single" w:sz="4" w:space="0" w:color="auto"/>
              <w:right w:val="single" w:sz="4" w:space="0" w:color="auto"/>
            </w:tcBorders>
            <w:shd w:val="clear" w:color="auto" w:fill="auto"/>
            <w:noWrap/>
            <w:vAlign w:val="bottom"/>
            <w:hideMark/>
          </w:tcPr>
          <w:p w14:paraId="0677BCF6"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1,835 </w:t>
            </w:r>
          </w:p>
        </w:tc>
        <w:tc>
          <w:tcPr>
            <w:tcW w:w="851" w:type="dxa"/>
            <w:tcBorders>
              <w:top w:val="nil"/>
              <w:left w:val="nil"/>
              <w:bottom w:val="single" w:sz="4" w:space="0" w:color="auto"/>
              <w:right w:val="single" w:sz="4" w:space="0" w:color="auto"/>
            </w:tcBorders>
            <w:shd w:val="clear" w:color="auto" w:fill="auto"/>
            <w:noWrap/>
            <w:vAlign w:val="bottom"/>
            <w:hideMark/>
          </w:tcPr>
          <w:p w14:paraId="3A98EE1D"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1,919 </w:t>
            </w:r>
          </w:p>
        </w:tc>
        <w:tc>
          <w:tcPr>
            <w:tcW w:w="850" w:type="dxa"/>
            <w:tcBorders>
              <w:top w:val="nil"/>
              <w:left w:val="nil"/>
              <w:bottom w:val="single" w:sz="4" w:space="0" w:color="auto"/>
              <w:right w:val="single" w:sz="4" w:space="0" w:color="auto"/>
            </w:tcBorders>
            <w:shd w:val="clear" w:color="auto" w:fill="auto"/>
            <w:noWrap/>
            <w:vAlign w:val="bottom"/>
            <w:hideMark/>
          </w:tcPr>
          <w:p w14:paraId="17F3AE55"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2,120 </w:t>
            </w:r>
          </w:p>
        </w:tc>
        <w:tc>
          <w:tcPr>
            <w:tcW w:w="897" w:type="dxa"/>
            <w:tcBorders>
              <w:top w:val="nil"/>
              <w:left w:val="nil"/>
              <w:bottom w:val="single" w:sz="4" w:space="0" w:color="auto"/>
              <w:right w:val="single" w:sz="4" w:space="0" w:color="auto"/>
            </w:tcBorders>
            <w:shd w:val="clear" w:color="auto" w:fill="auto"/>
            <w:noWrap/>
            <w:vAlign w:val="bottom"/>
            <w:hideMark/>
          </w:tcPr>
          <w:p w14:paraId="7A73C24D"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2,306 </w:t>
            </w:r>
          </w:p>
        </w:tc>
        <w:tc>
          <w:tcPr>
            <w:tcW w:w="897" w:type="dxa"/>
            <w:tcBorders>
              <w:top w:val="nil"/>
              <w:left w:val="nil"/>
              <w:bottom w:val="single" w:sz="4" w:space="0" w:color="auto"/>
              <w:right w:val="single" w:sz="4" w:space="0" w:color="auto"/>
            </w:tcBorders>
            <w:shd w:val="clear" w:color="auto" w:fill="auto"/>
            <w:noWrap/>
            <w:vAlign w:val="bottom"/>
            <w:hideMark/>
          </w:tcPr>
          <w:p w14:paraId="45F1F27E"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2,485 </w:t>
            </w:r>
          </w:p>
        </w:tc>
        <w:tc>
          <w:tcPr>
            <w:tcW w:w="897" w:type="dxa"/>
            <w:tcBorders>
              <w:top w:val="nil"/>
              <w:left w:val="nil"/>
              <w:bottom w:val="single" w:sz="4" w:space="0" w:color="auto"/>
              <w:right w:val="single" w:sz="4" w:space="0" w:color="auto"/>
            </w:tcBorders>
            <w:shd w:val="clear" w:color="auto" w:fill="auto"/>
            <w:noWrap/>
            <w:vAlign w:val="bottom"/>
            <w:hideMark/>
          </w:tcPr>
          <w:p w14:paraId="6DF0A29D"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2,726 </w:t>
            </w:r>
          </w:p>
        </w:tc>
        <w:tc>
          <w:tcPr>
            <w:tcW w:w="897" w:type="dxa"/>
            <w:tcBorders>
              <w:top w:val="nil"/>
              <w:left w:val="nil"/>
              <w:bottom w:val="single" w:sz="4" w:space="0" w:color="auto"/>
              <w:right w:val="single" w:sz="4" w:space="0" w:color="auto"/>
            </w:tcBorders>
            <w:shd w:val="clear" w:color="auto" w:fill="auto"/>
            <w:noWrap/>
            <w:vAlign w:val="bottom"/>
            <w:hideMark/>
          </w:tcPr>
          <w:p w14:paraId="439B4EE1"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2,931 </w:t>
            </w:r>
          </w:p>
        </w:tc>
      </w:tr>
      <w:tr w:rsidR="00C3310F" w:rsidRPr="00C3310F" w14:paraId="277646FA" w14:textId="77777777" w:rsidTr="00AA146C">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55C3574C" w14:textId="717BB517" w:rsidR="007441B4" w:rsidRPr="00C3310F" w:rsidRDefault="007441B4" w:rsidP="00AA146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國</w:t>
            </w:r>
            <w:r w:rsidR="00141FC6" w:rsidRPr="00C3310F">
              <w:rPr>
                <w:rFonts w:hAnsi="標楷體" w:cs="新細明體" w:hint="eastAsia"/>
                <w:kern w:val="0"/>
                <w:sz w:val="24"/>
                <w:szCs w:val="24"/>
              </w:rPr>
              <w:t>○</w:t>
            </w:r>
            <w:r w:rsidRPr="00C3310F">
              <w:rPr>
                <w:rFonts w:hAnsi="標楷體" w:cs="新細明體" w:hint="eastAsia"/>
                <w:kern w:val="0"/>
                <w:sz w:val="24"/>
                <w:szCs w:val="24"/>
              </w:rPr>
              <w:t xml:space="preserve">世華銀行            </w:t>
            </w:r>
          </w:p>
        </w:tc>
        <w:tc>
          <w:tcPr>
            <w:tcW w:w="850" w:type="dxa"/>
            <w:tcBorders>
              <w:top w:val="nil"/>
              <w:left w:val="nil"/>
              <w:bottom w:val="single" w:sz="4" w:space="0" w:color="auto"/>
              <w:right w:val="single" w:sz="4" w:space="0" w:color="auto"/>
            </w:tcBorders>
            <w:shd w:val="clear" w:color="auto" w:fill="auto"/>
            <w:noWrap/>
            <w:vAlign w:val="bottom"/>
            <w:hideMark/>
          </w:tcPr>
          <w:p w14:paraId="41F8DBE5"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5,032 </w:t>
            </w:r>
          </w:p>
        </w:tc>
        <w:tc>
          <w:tcPr>
            <w:tcW w:w="851" w:type="dxa"/>
            <w:tcBorders>
              <w:top w:val="nil"/>
              <w:left w:val="nil"/>
              <w:bottom w:val="single" w:sz="4" w:space="0" w:color="auto"/>
              <w:right w:val="single" w:sz="4" w:space="0" w:color="auto"/>
            </w:tcBorders>
            <w:shd w:val="clear" w:color="auto" w:fill="auto"/>
            <w:noWrap/>
            <w:vAlign w:val="bottom"/>
            <w:hideMark/>
          </w:tcPr>
          <w:p w14:paraId="0318BF81"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5,494 </w:t>
            </w:r>
          </w:p>
        </w:tc>
        <w:tc>
          <w:tcPr>
            <w:tcW w:w="850" w:type="dxa"/>
            <w:tcBorders>
              <w:top w:val="nil"/>
              <w:left w:val="nil"/>
              <w:bottom w:val="single" w:sz="4" w:space="0" w:color="auto"/>
              <w:right w:val="single" w:sz="4" w:space="0" w:color="auto"/>
            </w:tcBorders>
            <w:shd w:val="clear" w:color="auto" w:fill="auto"/>
            <w:noWrap/>
            <w:vAlign w:val="bottom"/>
            <w:hideMark/>
          </w:tcPr>
          <w:p w14:paraId="67776D23"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5,823 </w:t>
            </w:r>
          </w:p>
        </w:tc>
        <w:tc>
          <w:tcPr>
            <w:tcW w:w="851" w:type="dxa"/>
            <w:tcBorders>
              <w:top w:val="nil"/>
              <w:left w:val="nil"/>
              <w:bottom w:val="single" w:sz="4" w:space="0" w:color="auto"/>
              <w:right w:val="single" w:sz="4" w:space="0" w:color="auto"/>
            </w:tcBorders>
            <w:shd w:val="clear" w:color="auto" w:fill="auto"/>
            <w:noWrap/>
            <w:vAlign w:val="bottom"/>
            <w:hideMark/>
          </w:tcPr>
          <w:p w14:paraId="6BA2B72C"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6,171 </w:t>
            </w:r>
          </w:p>
        </w:tc>
        <w:tc>
          <w:tcPr>
            <w:tcW w:w="850" w:type="dxa"/>
            <w:tcBorders>
              <w:top w:val="nil"/>
              <w:left w:val="nil"/>
              <w:bottom w:val="single" w:sz="4" w:space="0" w:color="auto"/>
              <w:right w:val="single" w:sz="4" w:space="0" w:color="auto"/>
            </w:tcBorders>
            <w:shd w:val="clear" w:color="auto" w:fill="auto"/>
            <w:noWrap/>
            <w:vAlign w:val="bottom"/>
            <w:hideMark/>
          </w:tcPr>
          <w:p w14:paraId="5C5A138F"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6,368 </w:t>
            </w:r>
          </w:p>
        </w:tc>
        <w:tc>
          <w:tcPr>
            <w:tcW w:w="897" w:type="dxa"/>
            <w:tcBorders>
              <w:top w:val="nil"/>
              <w:left w:val="nil"/>
              <w:bottom w:val="single" w:sz="4" w:space="0" w:color="auto"/>
              <w:right w:val="single" w:sz="4" w:space="0" w:color="auto"/>
            </w:tcBorders>
            <w:shd w:val="clear" w:color="auto" w:fill="auto"/>
            <w:noWrap/>
            <w:vAlign w:val="bottom"/>
            <w:hideMark/>
          </w:tcPr>
          <w:p w14:paraId="06AD4977"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6,728 </w:t>
            </w:r>
          </w:p>
        </w:tc>
        <w:tc>
          <w:tcPr>
            <w:tcW w:w="897" w:type="dxa"/>
            <w:tcBorders>
              <w:top w:val="nil"/>
              <w:left w:val="nil"/>
              <w:bottom w:val="single" w:sz="4" w:space="0" w:color="auto"/>
              <w:right w:val="single" w:sz="4" w:space="0" w:color="auto"/>
            </w:tcBorders>
            <w:shd w:val="clear" w:color="auto" w:fill="auto"/>
            <w:noWrap/>
            <w:vAlign w:val="bottom"/>
            <w:hideMark/>
          </w:tcPr>
          <w:p w14:paraId="40E81F04"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6,809 </w:t>
            </w:r>
          </w:p>
        </w:tc>
        <w:tc>
          <w:tcPr>
            <w:tcW w:w="897" w:type="dxa"/>
            <w:tcBorders>
              <w:top w:val="nil"/>
              <w:left w:val="nil"/>
              <w:bottom w:val="single" w:sz="4" w:space="0" w:color="auto"/>
              <w:right w:val="single" w:sz="4" w:space="0" w:color="auto"/>
            </w:tcBorders>
            <w:shd w:val="clear" w:color="auto" w:fill="auto"/>
            <w:noWrap/>
            <w:vAlign w:val="bottom"/>
            <w:hideMark/>
          </w:tcPr>
          <w:p w14:paraId="23FAAC8E"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7,004 </w:t>
            </w:r>
          </w:p>
        </w:tc>
        <w:tc>
          <w:tcPr>
            <w:tcW w:w="897" w:type="dxa"/>
            <w:tcBorders>
              <w:top w:val="nil"/>
              <w:left w:val="nil"/>
              <w:bottom w:val="single" w:sz="4" w:space="0" w:color="auto"/>
              <w:right w:val="single" w:sz="4" w:space="0" w:color="auto"/>
            </w:tcBorders>
            <w:shd w:val="clear" w:color="auto" w:fill="auto"/>
            <w:noWrap/>
            <w:vAlign w:val="bottom"/>
            <w:hideMark/>
          </w:tcPr>
          <w:p w14:paraId="62BA7DBA"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7,335 </w:t>
            </w:r>
          </w:p>
        </w:tc>
      </w:tr>
      <w:tr w:rsidR="00C3310F" w:rsidRPr="00C3310F" w14:paraId="3DD55D3B" w14:textId="77777777" w:rsidTr="00AA146C">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7F8DA8B4" w14:textId="5AC12702" w:rsidR="007441B4" w:rsidRPr="00C3310F" w:rsidRDefault="007441B4" w:rsidP="00AA146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中</w:t>
            </w:r>
            <w:r w:rsidR="00141FC6" w:rsidRPr="00C3310F">
              <w:rPr>
                <w:rFonts w:hAnsi="標楷體" w:cs="新細明體" w:hint="eastAsia"/>
                <w:kern w:val="0"/>
                <w:sz w:val="24"/>
                <w:szCs w:val="24"/>
              </w:rPr>
              <w:t>○</w:t>
            </w:r>
            <w:r w:rsidRPr="00C3310F">
              <w:rPr>
                <w:rFonts w:hAnsi="標楷體" w:cs="新細明體" w:hint="eastAsia"/>
                <w:kern w:val="0"/>
                <w:sz w:val="24"/>
                <w:szCs w:val="24"/>
              </w:rPr>
              <w:t xml:space="preserve">輸出入銀行          </w:t>
            </w:r>
          </w:p>
        </w:tc>
        <w:tc>
          <w:tcPr>
            <w:tcW w:w="850" w:type="dxa"/>
            <w:tcBorders>
              <w:top w:val="nil"/>
              <w:left w:val="nil"/>
              <w:bottom w:val="single" w:sz="4" w:space="0" w:color="auto"/>
              <w:right w:val="single" w:sz="4" w:space="0" w:color="auto"/>
            </w:tcBorders>
            <w:shd w:val="clear" w:color="auto" w:fill="auto"/>
            <w:noWrap/>
            <w:vAlign w:val="bottom"/>
            <w:hideMark/>
          </w:tcPr>
          <w:p w14:paraId="788DF0F5"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   </w:t>
            </w:r>
          </w:p>
        </w:tc>
        <w:tc>
          <w:tcPr>
            <w:tcW w:w="851" w:type="dxa"/>
            <w:tcBorders>
              <w:top w:val="nil"/>
              <w:left w:val="nil"/>
              <w:bottom w:val="single" w:sz="4" w:space="0" w:color="auto"/>
              <w:right w:val="single" w:sz="4" w:space="0" w:color="auto"/>
            </w:tcBorders>
            <w:shd w:val="clear" w:color="auto" w:fill="auto"/>
            <w:noWrap/>
            <w:vAlign w:val="bottom"/>
            <w:hideMark/>
          </w:tcPr>
          <w:p w14:paraId="7861D2AC"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   </w:t>
            </w:r>
          </w:p>
        </w:tc>
        <w:tc>
          <w:tcPr>
            <w:tcW w:w="850" w:type="dxa"/>
            <w:tcBorders>
              <w:top w:val="nil"/>
              <w:left w:val="nil"/>
              <w:bottom w:val="single" w:sz="4" w:space="0" w:color="auto"/>
              <w:right w:val="single" w:sz="4" w:space="0" w:color="auto"/>
            </w:tcBorders>
            <w:shd w:val="clear" w:color="auto" w:fill="auto"/>
            <w:noWrap/>
            <w:vAlign w:val="bottom"/>
            <w:hideMark/>
          </w:tcPr>
          <w:p w14:paraId="5BDC116F"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   </w:t>
            </w:r>
          </w:p>
        </w:tc>
        <w:tc>
          <w:tcPr>
            <w:tcW w:w="851" w:type="dxa"/>
            <w:tcBorders>
              <w:top w:val="nil"/>
              <w:left w:val="nil"/>
              <w:bottom w:val="single" w:sz="4" w:space="0" w:color="auto"/>
              <w:right w:val="single" w:sz="4" w:space="0" w:color="auto"/>
            </w:tcBorders>
            <w:shd w:val="clear" w:color="auto" w:fill="auto"/>
            <w:noWrap/>
            <w:vAlign w:val="bottom"/>
            <w:hideMark/>
          </w:tcPr>
          <w:p w14:paraId="2495C065"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   </w:t>
            </w:r>
          </w:p>
        </w:tc>
        <w:tc>
          <w:tcPr>
            <w:tcW w:w="850" w:type="dxa"/>
            <w:tcBorders>
              <w:top w:val="nil"/>
              <w:left w:val="nil"/>
              <w:bottom w:val="single" w:sz="4" w:space="0" w:color="auto"/>
              <w:right w:val="single" w:sz="4" w:space="0" w:color="auto"/>
            </w:tcBorders>
            <w:shd w:val="clear" w:color="auto" w:fill="auto"/>
            <w:noWrap/>
            <w:vAlign w:val="bottom"/>
            <w:hideMark/>
          </w:tcPr>
          <w:p w14:paraId="200299D7"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   </w:t>
            </w:r>
          </w:p>
        </w:tc>
        <w:tc>
          <w:tcPr>
            <w:tcW w:w="897" w:type="dxa"/>
            <w:tcBorders>
              <w:top w:val="nil"/>
              <w:left w:val="nil"/>
              <w:bottom w:val="single" w:sz="4" w:space="0" w:color="auto"/>
              <w:right w:val="single" w:sz="4" w:space="0" w:color="auto"/>
            </w:tcBorders>
            <w:shd w:val="clear" w:color="auto" w:fill="auto"/>
            <w:noWrap/>
            <w:vAlign w:val="bottom"/>
            <w:hideMark/>
          </w:tcPr>
          <w:p w14:paraId="1ED49AF5"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   </w:t>
            </w:r>
          </w:p>
        </w:tc>
        <w:tc>
          <w:tcPr>
            <w:tcW w:w="897" w:type="dxa"/>
            <w:tcBorders>
              <w:top w:val="nil"/>
              <w:left w:val="nil"/>
              <w:bottom w:val="single" w:sz="4" w:space="0" w:color="auto"/>
              <w:right w:val="single" w:sz="4" w:space="0" w:color="auto"/>
            </w:tcBorders>
            <w:shd w:val="clear" w:color="auto" w:fill="auto"/>
            <w:noWrap/>
            <w:vAlign w:val="bottom"/>
            <w:hideMark/>
          </w:tcPr>
          <w:p w14:paraId="5D497847"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   </w:t>
            </w:r>
          </w:p>
        </w:tc>
        <w:tc>
          <w:tcPr>
            <w:tcW w:w="897" w:type="dxa"/>
            <w:tcBorders>
              <w:top w:val="nil"/>
              <w:left w:val="nil"/>
              <w:bottom w:val="single" w:sz="4" w:space="0" w:color="auto"/>
              <w:right w:val="single" w:sz="4" w:space="0" w:color="auto"/>
            </w:tcBorders>
            <w:shd w:val="clear" w:color="auto" w:fill="auto"/>
            <w:noWrap/>
            <w:vAlign w:val="bottom"/>
            <w:hideMark/>
          </w:tcPr>
          <w:p w14:paraId="66981C60"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   </w:t>
            </w:r>
          </w:p>
        </w:tc>
        <w:tc>
          <w:tcPr>
            <w:tcW w:w="897" w:type="dxa"/>
            <w:tcBorders>
              <w:top w:val="nil"/>
              <w:left w:val="nil"/>
              <w:bottom w:val="single" w:sz="4" w:space="0" w:color="auto"/>
              <w:right w:val="single" w:sz="4" w:space="0" w:color="auto"/>
            </w:tcBorders>
            <w:shd w:val="clear" w:color="auto" w:fill="auto"/>
            <w:noWrap/>
            <w:vAlign w:val="bottom"/>
            <w:hideMark/>
          </w:tcPr>
          <w:p w14:paraId="74856DE2"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   </w:t>
            </w:r>
          </w:p>
        </w:tc>
      </w:tr>
      <w:tr w:rsidR="00C3310F" w:rsidRPr="00C3310F" w14:paraId="61F8CA5E" w14:textId="77777777" w:rsidTr="00AA146C">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3D666A17" w14:textId="58C904C9" w:rsidR="007441B4" w:rsidRPr="00C3310F" w:rsidRDefault="007441B4" w:rsidP="00AA146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高</w:t>
            </w:r>
            <w:r w:rsidR="00141FC6" w:rsidRPr="00C3310F">
              <w:rPr>
                <w:rFonts w:hAnsi="標楷體" w:cs="新細明體" w:hint="eastAsia"/>
                <w:kern w:val="0"/>
                <w:sz w:val="24"/>
                <w:szCs w:val="24"/>
              </w:rPr>
              <w:t>○</w:t>
            </w:r>
            <w:r w:rsidRPr="00C3310F">
              <w:rPr>
                <w:rFonts w:hAnsi="標楷體" w:cs="新細明體" w:hint="eastAsia"/>
                <w:kern w:val="0"/>
                <w:sz w:val="24"/>
                <w:szCs w:val="24"/>
              </w:rPr>
              <w:t xml:space="preserve">銀行                </w:t>
            </w:r>
          </w:p>
        </w:tc>
        <w:tc>
          <w:tcPr>
            <w:tcW w:w="850" w:type="dxa"/>
            <w:tcBorders>
              <w:top w:val="nil"/>
              <w:left w:val="nil"/>
              <w:bottom w:val="single" w:sz="4" w:space="0" w:color="auto"/>
              <w:right w:val="single" w:sz="4" w:space="0" w:color="auto"/>
            </w:tcBorders>
            <w:shd w:val="clear" w:color="auto" w:fill="auto"/>
            <w:noWrap/>
            <w:vAlign w:val="bottom"/>
            <w:hideMark/>
          </w:tcPr>
          <w:p w14:paraId="1D00BD0A"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206 </w:t>
            </w:r>
          </w:p>
        </w:tc>
        <w:tc>
          <w:tcPr>
            <w:tcW w:w="851" w:type="dxa"/>
            <w:tcBorders>
              <w:top w:val="nil"/>
              <w:left w:val="nil"/>
              <w:bottom w:val="single" w:sz="4" w:space="0" w:color="auto"/>
              <w:right w:val="single" w:sz="4" w:space="0" w:color="auto"/>
            </w:tcBorders>
            <w:shd w:val="clear" w:color="auto" w:fill="auto"/>
            <w:noWrap/>
            <w:vAlign w:val="bottom"/>
            <w:hideMark/>
          </w:tcPr>
          <w:p w14:paraId="4060E374"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236 </w:t>
            </w:r>
          </w:p>
        </w:tc>
        <w:tc>
          <w:tcPr>
            <w:tcW w:w="850" w:type="dxa"/>
            <w:tcBorders>
              <w:top w:val="nil"/>
              <w:left w:val="nil"/>
              <w:bottom w:val="single" w:sz="4" w:space="0" w:color="auto"/>
              <w:right w:val="single" w:sz="4" w:space="0" w:color="auto"/>
            </w:tcBorders>
            <w:shd w:val="clear" w:color="auto" w:fill="auto"/>
            <w:noWrap/>
            <w:vAlign w:val="bottom"/>
            <w:hideMark/>
          </w:tcPr>
          <w:p w14:paraId="6002A32B"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259 </w:t>
            </w:r>
          </w:p>
        </w:tc>
        <w:tc>
          <w:tcPr>
            <w:tcW w:w="851" w:type="dxa"/>
            <w:tcBorders>
              <w:top w:val="nil"/>
              <w:left w:val="nil"/>
              <w:bottom w:val="single" w:sz="4" w:space="0" w:color="auto"/>
              <w:right w:val="single" w:sz="4" w:space="0" w:color="auto"/>
            </w:tcBorders>
            <w:shd w:val="clear" w:color="auto" w:fill="auto"/>
            <w:noWrap/>
            <w:vAlign w:val="bottom"/>
            <w:hideMark/>
          </w:tcPr>
          <w:p w14:paraId="603A9424"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284 </w:t>
            </w:r>
          </w:p>
        </w:tc>
        <w:tc>
          <w:tcPr>
            <w:tcW w:w="850" w:type="dxa"/>
            <w:tcBorders>
              <w:top w:val="nil"/>
              <w:left w:val="nil"/>
              <w:bottom w:val="single" w:sz="4" w:space="0" w:color="auto"/>
              <w:right w:val="single" w:sz="4" w:space="0" w:color="auto"/>
            </w:tcBorders>
            <w:shd w:val="clear" w:color="auto" w:fill="auto"/>
            <w:noWrap/>
            <w:vAlign w:val="bottom"/>
            <w:hideMark/>
          </w:tcPr>
          <w:p w14:paraId="42521C05"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298 </w:t>
            </w:r>
          </w:p>
        </w:tc>
        <w:tc>
          <w:tcPr>
            <w:tcW w:w="897" w:type="dxa"/>
            <w:tcBorders>
              <w:top w:val="nil"/>
              <w:left w:val="nil"/>
              <w:bottom w:val="single" w:sz="4" w:space="0" w:color="auto"/>
              <w:right w:val="single" w:sz="4" w:space="0" w:color="auto"/>
            </w:tcBorders>
            <w:shd w:val="clear" w:color="auto" w:fill="auto"/>
            <w:noWrap/>
            <w:vAlign w:val="bottom"/>
            <w:hideMark/>
          </w:tcPr>
          <w:p w14:paraId="6309B7B8"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333 </w:t>
            </w:r>
          </w:p>
        </w:tc>
        <w:tc>
          <w:tcPr>
            <w:tcW w:w="897" w:type="dxa"/>
            <w:tcBorders>
              <w:top w:val="nil"/>
              <w:left w:val="nil"/>
              <w:bottom w:val="single" w:sz="4" w:space="0" w:color="auto"/>
              <w:right w:val="single" w:sz="4" w:space="0" w:color="auto"/>
            </w:tcBorders>
            <w:shd w:val="clear" w:color="auto" w:fill="auto"/>
            <w:noWrap/>
            <w:vAlign w:val="bottom"/>
            <w:hideMark/>
          </w:tcPr>
          <w:p w14:paraId="06D9E7C3"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345 </w:t>
            </w:r>
          </w:p>
        </w:tc>
        <w:tc>
          <w:tcPr>
            <w:tcW w:w="897" w:type="dxa"/>
            <w:tcBorders>
              <w:top w:val="nil"/>
              <w:left w:val="nil"/>
              <w:bottom w:val="single" w:sz="4" w:space="0" w:color="auto"/>
              <w:right w:val="single" w:sz="4" w:space="0" w:color="auto"/>
            </w:tcBorders>
            <w:shd w:val="clear" w:color="auto" w:fill="auto"/>
            <w:noWrap/>
            <w:vAlign w:val="bottom"/>
            <w:hideMark/>
          </w:tcPr>
          <w:p w14:paraId="709CD61D"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378 </w:t>
            </w:r>
          </w:p>
        </w:tc>
        <w:tc>
          <w:tcPr>
            <w:tcW w:w="897" w:type="dxa"/>
            <w:tcBorders>
              <w:top w:val="nil"/>
              <w:left w:val="nil"/>
              <w:bottom w:val="single" w:sz="4" w:space="0" w:color="auto"/>
              <w:right w:val="single" w:sz="4" w:space="0" w:color="auto"/>
            </w:tcBorders>
            <w:shd w:val="clear" w:color="auto" w:fill="auto"/>
            <w:noWrap/>
            <w:vAlign w:val="bottom"/>
            <w:hideMark/>
          </w:tcPr>
          <w:p w14:paraId="4BCF122B"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410 </w:t>
            </w:r>
          </w:p>
        </w:tc>
      </w:tr>
      <w:tr w:rsidR="00C3310F" w:rsidRPr="00C3310F" w14:paraId="5986E3D2" w14:textId="77777777" w:rsidTr="00AA146C">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207874AE" w14:textId="73DAEBAB" w:rsidR="007441B4" w:rsidRPr="00C3310F" w:rsidRDefault="007441B4" w:rsidP="00AA146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兆</w:t>
            </w:r>
            <w:r w:rsidR="00141FC6" w:rsidRPr="00C3310F">
              <w:rPr>
                <w:rFonts w:hAnsi="標楷體" w:cs="新細明體" w:hint="eastAsia"/>
                <w:kern w:val="0"/>
                <w:sz w:val="24"/>
                <w:szCs w:val="24"/>
              </w:rPr>
              <w:t>○</w:t>
            </w:r>
            <w:r w:rsidRPr="00C3310F">
              <w:rPr>
                <w:rFonts w:hAnsi="標楷體" w:cs="新細明體" w:hint="eastAsia"/>
                <w:kern w:val="0"/>
                <w:sz w:val="24"/>
                <w:szCs w:val="24"/>
              </w:rPr>
              <w:t xml:space="preserve">國際商銀            </w:t>
            </w:r>
          </w:p>
        </w:tc>
        <w:tc>
          <w:tcPr>
            <w:tcW w:w="850" w:type="dxa"/>
            <w:tcBorders>
              <w:top w:val="nil"/>
              <w:left w:val="nil"/>
              <w:bottom w:val="single" w:sz="4" w:space="0" w:color="auto"/>
              <w:right w:val="single" w:sz="4" w:space="0" w:color="auto"/>
            </w:tcBorders>
            <w:shd w:val="clear" w:color="auto" w:fill="auto"/>
            <w:noWrap/>
            <w:vAlign w:val="bottom"/>
            <w:hideMark/>
          </w:tcPr>
          <w:p w14:paraId="48210CB4"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1,078 </w:t>
            </w:r>
          </w:p>
        </w:tc>
        <w:tc>
          <w:tcPr>
            <w:tcW w:w="851" w:type="dxa"/>
            <w:tcBorders>
              <w:top w:val="nil"/>
              <w:left w:val="nil"/>
              <w:bottom w:val="single" w:sz="4" w:space="0" w:color="auto"/>
              <w:right w:val="single" w:sz="4" w:space="0" w:color="auto"/>
            </w:tcBorders>
            <w:shd w:val="clear" w:color="auto" w:fill="auto"/>
            <w:noWrap/>
            <w:vAlign w:val="bottom"/>
            <w:hideMark/>
          </w:tcPr>
          <w:p w14:paraId="36F138E5"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1,184 </w:t>
            </w:r>
          </w:p>
        </w:tc>
        <w:tc>
          <w:tcPr>
            <w:tcW w:w="850" w:type="dxa"/>
            <w:tcBorders>
              <w:top w:val="nil"/>
              <w:left w:val="nil"/>
              <w:bottom w:val="single" w:sz="4" w:space="0" w:color="auto"/>
              <w:right w:val="single" w:sz="4" w:space="0" w:color="auto"/>
            </w:tcBorders>
            <w:shd w:val="clear" w:color="auto" w:fill="auto"/>
            <w:noWrap/>
            <w:vAlign w:val="bottom"/>
            <w:hideMark/>
          </w:tcPr>
          <w:p w14:paraId="5F208B6C"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1,270 </w:t>
            </w:r>
          </w:p>
        </w:tc>
        <w:tc>
          <w:tcPr>
            <w:tcW w:w="851" w:type="dxa"/>
            <w:tcBorders>
              <w:top w:val="nil"/>
              <w:left w:val="nil"/>
              <w:bottom w:val="single" w:sz="4" w:space="0" w:color="auto"/>
              <w:right w:val="single" w:sz="4" w:space="0" w:color="auto"/>
            </w:tcBorders>
            <w:shd w:val="clear" w:color="auto" w:fill="auto"/>
            <w:noWrap/>
            <w:vAlign w:val="bottom"/>
            <w:hideMark/>
          </w:tcPr>
          <w:p w14:paraId="7E918D17"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1,450 </w:t>
            </w:r>
          </w:p>
        </w:tc>
        <w:tc>
          <w:tcPr>
            <w:tcW w:w="850" w:type="dxa"/>
            <w:tcBorders>
              <w:top w:val="nil"/>
              <w:left w:val="nil"/>
              <w:bottom w:val="single" w:sz="4" w:space="0" w:color="auto"/>
              <w:right w:val="single" w:sz="4" w:space="0" w:color="auto"/>
            </w:tcBorders>
            <w:shd w:val="clear" w:color="auto" w:fill="auto"/>
            <w:noWrap/>
            <w:vAlign w:val="bottom"/>
            <w:hideMark/>
          </w:tcPr>
          <w:p w14:paraId="30DEA9E9"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1,644 </w:t>
            </w:r>
          </w:p>
        </w:tc>
        <w:tc>
          <w:tcPr>
            <w:tcW w:w="897" w:type="dxa"/>
            <w:tcBorders>
              <w:top w:val="nil"/>
              <w:left w:val="nil"/>
              <w:bottom w:val="single" w:sz="4" w:space="0" w:color="auto"/>
              <w:right w:val="single" w:sz="4" w:space="0" w:color="auto"/>
            </w:tcBorders>
            <w:shd w:val="clear" w:color="auto" w:fill="auto"/>
            <w:noWrap/>
            <w:vAlign w:val="bottom"/>
            <w:hideMark/>
          </w:tcPr>
          <w:p w14:paraId="6929218A"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1,866 </w:t>
            </w:r>
          </w:p>
        </w:tc>
        <w:tc>
          <w:tcPr>
            <w:tcW w:w="897" w:type="dxa"/>
            <w:tcBorders>
              <w:top w:val="nil"/>
              <w:left w:val="nil"/>
              <w:bottom w:val="single" w:sz="4" w:space="0" w:color="auto"/>
              <w:right w:val="single" w:sz="4" w:space="0" w:color="auto"/>
            </w:tcBorders>
            <w:shd w:val="clear" w:color="auto" w:fill="auto"/>
            <w:noWrap/>
            <w:vAlign w:val="bottom"/>
            <w:hideMark/>
          </w:tcPr>
          <w:p w14:paraId="69F8996D"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2,058 </w:t>
            </w:r>
          </w:p>
        </w:tc>
        <w:tc>
          <w:tcPr>
            <w:tcW w:w="897" w:type="dxa"/>
            <w:tcBorders>
              <w:top w:val="nil"/>
              <w:left w:val="nil"/>
              <w:bottom w:val="single" w:sz="4" w:space="0" w:color="auto"/>
              <w:right w:val="single" w:sz="4" w:space="0" w:color="auto"/>
            </w:tcBorders>
            <w:shd w:val="clear" w:color="auto" w:fill="auto"/>
            <w:noWrap/>
            <w:vAlign w:val="bottom"/>
            <w:hideMark/>
          </w:tcPr>
          <w:p w14:paraId="0122D2D4"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2,312 </w:t>
            </w:r>
          </w:p>
        </w:tc>
        <w:tc>
          <w:tcPr>
            <w:tcW w:w="897" w:type="dxa"/>
            <w:tcBorders>
              <w:top w:val="nil"/>
              <w:left w:val="nil"/>
              <w:bottom w:val="single" w:sz="4" w:space="0" w:color="auto"/>
              <w:right w:val="single" w:sz="4" w:space="0" w:color="auto"/>
            </w:tcBorders>
            <w:shd w:val="clear" w:color="auto" w:fill="auto"/>
            <w:noWrap/>
            <w:vAlign w:val="bottom"/>
            <w:hideMark/>
          </w:tcPr>
          <w:p w14:paraId="2FFEB588"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2,680 </w:t>
            </w:r>
          </w:p>
        </w:tc>
      </w:tr>
      <w:tr w:rsidR="00C3310F" w:rsidRPr="00C3310F" w14:paraId="0F31BE42" w14:textId="77777777" w:rsidTr="00AA146C">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26DEC439" w14:textId="1F798285" w:rsidR="007441B4" w:rsidRPr="00C3310F" w:rsidRDefault="007441B4" w:rsidP="00AA146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花</w:t>
            </w:r>
            <w:r w:rsidR="00141FC6" w:rsidRPr="00C3310F">
              <w:rPr>
                <w:rFonts w:hAnsi="標楷體" w:cs="新細明體" w:hint="eastAsia"/>
                <w:kern w:val="0"/>
                <w:sz w:val="24"/>
                <w:szCs w:val="24"/>
              </w:rPr>
              <w:t>○</w:t>
            </w:r>
            <w:r w:rsidRPr="00C3310F">
              <w:rPr>
                <w:rFonts w:hAnsi="標楷體" w:cs="新細明體" w:hint="eastAsia"/>
                <w:kern w:val="0"/>
                <w:sz w:val="24"/>
                <w:szCs w:val="24"/>
              </w:rPr>
              <w:t xml:space="preserve">（台灣）銀行        </w:t>
            </w:r>
          </w:p>
        </w:tc>
        <w:tc>
          <w:tcPr>
            <w:tcW w:w="850" w:type="dxa"/>
            <w:tcBorders>
              <w:top w:val="nil"/>
              <w:left w:val="nil"/>
              <w:bottom w:val="single" w:sz="4" w:space="0" w:color="auto"/>
              <w:right w:val="single" w:sz="4" w:space="0" w:color="auto"/>
            </w:tcBorders>
            <w:shd w:val="clear" w:color="auto" w:fill="auto"/>
            <w:noWrap/>
            <w:vAlign w:val="bottom"/>
            <w:hideMark/>
          </w:tcPr>
          <w:p w14:paraId="4B1A8118"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76 </w:t>
            </w:r>
          </w:p>
        </w:tc>
        <w:tc>
          <w:tcPr>
            <w:tcW w:w="851" w:type="dxa"/>
            <w:tcBorders>
              <w:top w:val="nil"/>
              <w:left w:val="nil"/>
              <w:bottom w:val="single" w:sz="4" w:space="0" w:color="auto"/>
              <w:right w:val="single" w:sz="4" w:space="0" w:color="auto"/>
            </w:tcBorders>
            <w:shd w:val="clear" w:color="auto" w:fill="auto"/>
            <w:noWrap/>
            <w:vAlign w:val="bottom"/>
            <w:hideMark/>
          </w:tcPr>
          <w:p w14:paraId="52D74D02"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75 </w:t>
            </w:r>
          </w:p>
        </w:tc>
        <w:tc>
          <w:tcPr>
            <w:tcW w:w="850" w:type="dxa"/>
            <w:tcBorders>
              <w:top w:val="nil"/>
              <w:left w:val="nil"/>
              <w:bottom w:val="single" w:sz="4" w:space="0" w:color="auto"/>
              <w:right w:val="single" w:sz="4" w:space="0" w:color="auto"/>
            </w:tcBorders>
            <w:shd w:val="clear" w:color="auto" w:fill="auto"/>
            <w:noWrap/>
            <w:vAlign w:val="bottom"/>
            <w:hideMark/>
          </w:tcPr>
          <w:p w14:paraId="28B23705"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79 </w:t>
            </w:r>
          </w:p>
        </w:tc>
        <w:tc>
          <w:tcPr>
            <w:tcW w:w="851" w:type="dxa"/>
            <w:tcBorders>
              <w:top w:val="nil"/>
              <w:left w:val="nil"/>
              <w:bottom w:val="single" w:sz="4" w:space="0" w:color="auto"/>
              <w:right w:val="single" w:sz="4" w:space="0" w:color="auto"/>
            </w:tcBorders>
            <w:shd w:val="clear" w:color="auto" w:fill="auto"/>
            <w:noWrap/>
            <w:vAlign w:val="bottom"/>
            <w:hideMark/>
          </w:tcPr>
          <w:p w14:paraId="57F586DE"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83 </w:t>
            </w:r>
          </w:p>
        </w:tc>
        <w:tc>
          <w:tcPr>
            <w:tcW w:w="850" w:type="dxa"/>
            <w:tcBorders>
              <w:top w:val="nil"/>
              <w:left w:val="nil"/>
              <w:bottom w:val="single" w:sz="4" w:space="0" w:color="auto"/>
              <w:right w:val="single" w:sz="4" w:space="0" w:color="auto"/>
            </w:tcBorders>
            <w:shd w:val="clear" w:color="auto" w:fill="auto"/>
            <w:noWrap/>
            <w:vAlign w:val="bottom"/>
            <w:hideMark/>
          </w:tcPr>
          <w:p w14:paraId="0143DA81"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82 </w:t>
            </w:r>
          </w:p>
        </w:tc>
        <w:tc>
          <w:tcPr>
            <w:tcW w:w="897" w:type="dxa"/>
            <w:tcBorders>
              <w:top w:val="nil"/>
              <w:left w:val="nil"/>
              <w:bottom w:val="single" w:sz="4" w:space="0" w:color="auto"/>
              <w:right w:val="single" w:sz="4" w:space="0" w:color="auto"/>
            </w:tcBorders>
            <w:shd w:val="clear" w:color="auto" w:fill="auto"/>
            <w:noWrap/>
            <w:vAlign w:val="bottom"/>
            <w:hideMark/>
          </w:tcPr>
          <w:p w14:paraId="232230E6"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82 </w:t>
            </w:r>
          </w:p>
        </w:tc>
        <w:tc>
          <w:tcPr>
            <w:tcW w:w="897" w:type="dxa"/>
            <w:tcBorders>
              <w:top w:val="nil"/>
              <w:left w:val="nil"/>
              <w:bottom w:val="single" w:sz="4" w:space="0" w:color="auto"/>
              <w:right w:val="single" w:sz="4" w:space="0" w:color="auto"/>
            </w:tcBorders>
            <w:shd w:val="clear" w:color="auto" w:fill="auto"/>
            <w:noWrap/>
            <w:vAlign w:val="bottom"/>
            <w:hideMark/>
          </w:tcPr>
          <w:p w14:paraId="71BABD92"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82 </w:t>
            </w:r>
          </w:p>
        </w:tc>
        <w:tc>
          <w:tcPr>
            <w:tcW w:w="897" w:type="dxa"/>
            <w:tcBorders>
              <w:top w:val="nil"/>
              <w:left w:val="nil"/>
              <w:bottom w:val="single" w:sz="4" w:space="0" w:color="auto"/>
              <w:right w:val="single" w:sz="4" w:space="0" w:color="auto"/>
            </w:tcBorders>
            <w:shd w:val="clear" w:color="auto" w:fill="auto"/>
            <w:noWrap/>
            <w:vAlign w:val="bottom"/>
            <w:hideMark/>
          </w:tcPr>
          <w:p w14:paraId="24078376"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63 </w:t>
            </w:r>
          </w:p>
        </w:tc>
        <w:tc>
          <w:tcPr>
            <w:tcW w:w="897" w:type="dxa"/>
            <w:tcBorders>
              <w:top w:val="nil"/>
              <w:left w:val="nil"/>
              <w:bottom w:val="single" w:sz="4" w:space="0" w:color="auto"/>
              <w:right w:val="single" w:sz="4" w:space="0" w:color="auto"/>
            </w:tcBorders>
            <w:shd w:val="clear" w:color="auto" w:fill="auto"/>
            <w:noWrap/>
            <w:vAlign w:val="bottom"/>
            <w:hideMark/>
          </w:tcPr>
          <w:p w14:paraId="4F4B1A03"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53 </w:t>
            </w:r>
          </w:p>
        </w:tc>
      </w:tr>
      <w:tr w:rsidR="00C3310F" w:rsidRPr="00C3310F" w14:paraId="1C66794A" w14:textId="77777777" w:rsidTr="00AA146C">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025CA34D" w14:textId="3915D7DB" w:rsidR="007441B4" w:rsidRPr="00C3310F" w:rsidRDefault="007441B4" w:rsidP="00AA146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王</w:t>
            </w:r>
            <w:r w:rsidR="00141FC6" w:rsidRPr="00C3310F">
              <w:rPr>
                <w:rFonts w:hAnsi="標楷體" w:cs="新細明體" w:hint="eastAsia"/>
                <w:kern w:val="0"/>
                <w:sz w:val="24"/>
                <w:szCs w:val="24"/>
              </w:rPr>
              <w:t>○</w:t>
            </w:r>
            <w:r w:rsidRPr="00C3310F">
              <w:rPr>
                <w:rFonts w:hAnsi="標楷體" w:cs="新細明體" w:hint="eastAsia"/>
                <w:kern w:val="0"/>
                <w:sz w:val="24"/>
                <w:szCs w:val="24"/>
              </w:rPr>
              <w:t xml:space="preserve">銀行                </w:t>
            </w:r>
          </w:p>
        </w:tc>
        <w:tc>
          <w:tcPr>
            <w:tcW w:w="850" w:type="dxa"/>
            <w:tcBorders>
              <w:top w:val="nil"/>
              <w:left w:val="nil"/>
              <w:bottom w:val="single" w:sz="4" w:space="0" w:color="auto"/>
              <w:right w:val="single" w:sz="4" w:space="0" w:color="auto"/>
            </w:tcBorders>
            <w:shd w:val="clear" w:color="auto" w:fill="auto"/>
            <w:noWrap/>
            <w:vAlign w:val="bottom"/>
            <w:hideMark/>
          </w:tcPr>
          <w:p w14:paraId="36F172BA"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244 </w:t>
            </w:r>
          </w:p>
        </w:tc>
        <w:tc>
          <w:tcPr>
            <w:tcW w:w="851" w:type="dxa"/>
            <w:tcBorders>
              <w:top w:val="nil"/>
              <w:left w:val="nil"/>
              <w:bottom w:val="single" w:sz="4" w:space="0" w:color="auto"/>
              <w:right w:val="single" w:sz="4" w:space="0" w:color="auto"/>
            </w:tcBorders>
            <w:shd w:val="clear" w:color="auto" w:fill="auto"/>
            <w:noWrap/>
            <w:vAlign w:val="bottom"/>
            <w:hideMark/>
          </w:tcPr>
          <w:p w14:paraId="67CB146D"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270 </w:t>
            </w:r>
          </w:p>
        </w:tc>
        <w:tc>
          <w:tcPr>
            <w:tcW w:w="850" w:type="dxa"/>
            <w:tcBorders>
              <w:top w:val="nil"/>
              <w:left w:val="nil"/>
              <w:bottom w:val="single" w:sz="4" w:space="0" w:color="auto"/>
              <w:right w:val="single" w:sz="4" w:space="0" w:color="auto"/>
            </w:tcBorders>
            <w:shd w:val="clear" w:color="auto" w:fill="auto"/>
            <w:noWrap/>
            <w:vAlign w:val="bottom"/>
            <w:hideMark/>
          </w:tcPr>
          <w:p w14:paraId="74DB75AE"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284 </w:t>
            </w:r>
          </w:p>
        </w:tc>
        <w:tc>
          <w:tcPr>
            <w:tcW w:w="851" w:type="dxa"/>
            <w:tcBorders>
              <w:top w:val="nil"/>
              <w:left w:val="nil"/>
              <w:bottom w:val="single" w:sz="4" w:space="0" w:color="auto"/>
              <w:right w:val="single" w:sz="4" w:space="0" w:color="auto"/>
            </w:tcBorders>
            <w:shd w:val="clear" w:color="auto" w:fill="auto"/>
            <w:noWrap/>
            <w:vAlign w:val="bottom"/>
            <w:hideMark/>
          </w:tcPr>
          <w:p w14:paraId="223E9D7B"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293 </w:t>
            </w:r>
          </w:p>
        </w:tc>
        <w:tc>
          <w:tcPr>
            <w:tcW w:w="850" w:type="dxa"/>
            <w:tcBorders>
              <w:top w:val="nil"/>
              <w:left w:val="nil"/>
              <w:bottom w:val="single" w:sz="4" w:space="0" w:color="auto"/>
              <w:right w:val="single" w:sz="4" w:space="0" w:color="auto"/>
            </w:tcBorders>
            <w:shd w:val="clear" w:color="auto" w:fill="auto"/>
            <w:noWrap/>
            <w:vAlign w:val="bottom"/>
            <w:hideMark/>
          </w:tcPr>
          <w:p w14:paraId="572C4888"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301 </w:t>
            </w:r>
          </w:p>
        </w:tc>
        <w:tc>
          <w:tcPr>
            <w:tcW w:w="897" w:type="dxa"/>
            <w:tcBorders>
              <w:top w:val="nil"/>
              <w:left w:val="nil"/>
              <w:bottom w:val="single" w:sz="4" w:space="0" w:color="auto"/>
              <w:right w:val="single" w:sz="4" w:space="0" w:color="auto"/>
            </w:tcBorders>
            <w:shd w:val="clear" w:color="auto" w:fill="auto"/>
            <w:noWrap/>
            <w:vAlign w:val="bottom"/>
            <w:hideMark/>
          </w:tcPr>
          <w:p w14:paraId="58E762DF"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333 </w:t>
            </w:r>
          </w:p>
        </w:tc>
        <w:tc>
          <w:tcPr>
            <w:tcW w:w="897" w:type="dxa"/>
            <w:tcBorders>
              <w:top w:val="nil"/>
              <w:left w:val="nil"/>
              <w:bottom w:val="single" w:sz="4" w:space="0" w:color="auto"/>
              <w:right w:val="single" w:sz="4" w:space="0" w:color="auto"/>
            </w:tcBorders>
            <w:shd w:val="clear" w:color="auto" w:fill="auto"/>
            <w:noWrap/>
            <w:vAlign w:val="bottom"/>
            <w:hideMark/>
          </w:tcPr>
          <w:p w14:paraId="3FC8DA35"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384 </w:t>
            </w:r>
          </w:p>
        </w:tc>
        <w:tc>
          <w:tcPr>
            <w:tcW w:w="897" w:type="dxa"/>
            <w:tcBorders>
              <w:top w:val="nil"/>
              <w:left w:val="nil"/>
              <w:bottom w:val="single" w:sz="4" w:space="0" w:color="auto"/>
              <w:right w:val="single" w:sz="4" w:space="0" w:color="auto"/>
            </w:tcBorders>
            <w:shd w:val="clear" w:color="auto" w:fill="auto"/>
            <w:noWrap/>
            <w:vAlign w:val="bottom"/>
            <w:hideMark/>
          </w:tcPr>
          <w:p w14:paraId="1767EAE3"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497 </w:t>
            </w:r>
          </w:p>
        </w:tc>
        <w:tc>
          <w:tcPr>
            <w:tcW w:w="897" w:type="dxa"/>
            <w:tcBorders>
              <w:top w:val="nil"/>
              <w:left w:val="nil"/>
              <w:bottom w:val="single" w:sz="4" w:space="0" w:color="auto"/>
              <w:right w:val="single" w:sz="4" w:space="0" w:color="auto"/>
            </w:tcBorders>
            <w:shd w:val="clear" w:color="auto" w:fill="auto"/>
            <w:noWrap/>
            <w:vAlign w:val="bottom"/>
            <w:hideMark/>
          </w:tcPr>
          <w:p w14:paraId="08AAD2D2"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566 </w:t>
            </w:r>
          </w:p>
        </w:tc>
      </w:tr>
      <w:tr w:rsidR="00C3310F" w:rsidRPr="00C3310F" w14:paraId="57BFB4D8" w14:textId="77777777" w:rsidTr="00AA146C">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2247CBCC" w14:textId="1C6EEECF" w:rsidR="007441B4" w:rsidRPr="00C3310F" w:rsidRDefault="007441B4" w:rsidP="00AA146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臺</w:t>
            </w:r>
            <w:r w:rsidR="00141FC6" w:rsidRPr="00C3310F">
              <w:rPr>
                <w:rFonts w:hAnsi="標楷體" w:cs="新細明體" w:hint="eastAsia"/>
                <w:kern w:val="0"/>
                <w:sz w:val="24"/>
                <w:szCs w:val="24"/>
              </w:rPr>
              <w:t>○</w:t>
            </w:r>
            <w:r w:rsidRPr="00C3310F">
              <w:rPr>
                <w:rFonts w:hAnsi="標楷體" w:cs="新細明體" w:hint="eastAsia"/>
                <w:kern w:val="0"/>
                <w:sz w:val="24"/>
                <w:szCs w:val="24"/>
              </w:rPr>
              <w:t xml:space="preserve">企銀                </w:t>
            </w:r>
          </w:p>
        </w:tc>
        <w:tc>
          <w:tcPr>
            <w:tcW w:w="850" w:type="dxa"/>
            <w:tcBorders>
              <w:top w:val="nil"/>
              <w:left w:val="nil"/>
              <w:bottom w:val="single" w:sz="4" w:space="0" w:color="auto"/>
              <w:right w:val="single" w:sz="4" w:space="0" w:color="auto"/>
            </w:tcBorders>
            <w:shd w:val="clear" w:color="auto" w:fill="auto"/>
            <w:noWrap/>
            <w:vAlign w:val="bottom"/>
            <w:hideMark/>
          </w:tcPr>
          <w:p w14:paraId="376228A0"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1,398 </w:t>
            </w:r>
          </w:p>
        </w:tc>
        <w:tc>
          <w:tcPr>
            <w:tcW w:w="851" w:type="dxa"/>
            <w:tcBorders>
              <w:top w:val="nil"/>
              <w:left w:val="nil"/>
              <w:bottom w:val="single" w:sz="4" w:space="0" w:color="auto"/>
              <w:right w:val="single" w:sz="4" w:space="0" w:color="auto"/>
            </w:tcBorders>
            <w:shd w:val="clear" w:color="auto" w:fill="auto"/>
            <w:noWrap/>
            <w:vAlign w:val="bottom"/>
            <w:hideMark/>
          </w:tcPr>
          <w:p w14:paraId="4BBD61F5"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1,495 </w:t>
            </w:r>
          </w:p>
        </w:tc>
        <w:tc>
          <w:tcPr>
            <w:tcW w:w="850" w:type="dxa"/>
            <w:tcBorders>
              <w:top w:val="nil"/>
              <w:left w:val="nil"/>
              <w:bottom w:val="single" w:sz="4" w:space="0" w:color="auto"/>
              <w:right w:val="single" w:sz="4" w:space="0" w:color="auto"/>
            </w:tcBorders>
            <w:shd w:val="clear" w:color="auto" w:fill="auto"/>
            <w:noWrap/>
            <w:vAlign w:val="bottom"/>
            <w:hideMark/>
          </w:tcPr>
          <w:p w14:paraId="3B63DA0F"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1,554 </w:t>
            </w:r>
          </w:p>
        </w:tc>
        <w:tc>
          <w:tcPr>
            <w:tcW w:w="851" w:type="dxa"/>
            <w:tcBorders>
              <w:top w:val="nil"/>
              <w:left w:val="nil"/>
              <w:bottom w:val="single" w:sz="4" w:space="0" w:color="auto"/>
              <w:right w:val="single" w:sz="4" w:space="0" w:color="auto"/>
            </w:tcBorders>
            <w:shd w:val="clear" w:color="auto" w:fill="auto"/>
            <w:noWrap/>
            <w:vAlign w:val="bottom"/>
            <w:hideMark/>
          </w:tcPr>
          <w:p w14:paraId="00B13411"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1,722 </w:t>
            </w:r>
          </w:p>
        </w:tc>
        <w:tc>
          <w:tcPr>
            <w:tcW w:w="850" w:type="dxa"/>
            <w:tcBorders>
              <w:top w:val="nil"/>
              <w:left w:val="nil"/>
              <w:bottom w:val="single" w:sz="4" w:space="0" w:color="auto"/>
              <w:right w:val="single" w:sz="4" w:space="0" w:color="auto"/>
            </w:tcBorders>
            <w:shd w:val="clear" w:color="auto" w:fill="auto"/>
            <w:noWrap/>
            <w:vAlign w:val="bottom"/>
            <w:hideMark/>
          </w:tcPr>
          <w:p w14:paraId="29270FA6"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1,867 </w:t>
            </w:r>
          </w:p>
        </w:tc>
        <w:tc>
          <w:tcPr>
            <w:tcW w:w="897" w:type="dxa"/>
            <w:tcBorders>
              <w:top w:val="nil"/>
              <w:left w:val="nil"/>
              <w:bottom w:val="single" w:sz="4" w:space="0" w:color="auto"/>
              <w:right w:val="single" w:sz="4" w:space="0" w:color="auto"/>
            </w:tcBorders>
            <w:shd w:val="clear" w:color="auto" w:fill="auto"/>
            <w:noWrap/>
            <w:vAlign w:val="bottom"/>
            <w:hideMark/>
          </w:tcPr>
          <w:p w14:paraId="5A9011DF"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2,084 </w:t>
            </w:r>
          </w:p>
        </w:tc>
        <w:tc>
          <w:tcPr>
            <w:tcW w:w="897" w:type="dxa"/>
            <w:tcBorders>
              <w:top w:val="nil"/>
              <w:left w:val="nil"/>
              <w:bottom w:val="single" w:sz="4" w:space="0" w:color="auto"/>
              <w:right w:val="single" w:sz="4" w:space="0" w:color="auto"/>
            </w:tcBorders>
            <w:shd w:val="clear" w:color="auto" w:fill="auto"/>
            <w:noWrap/>
            <w:vAlign w:val="bottom"/>
            <w:hideMark/>
          </w:tcPr>
          <w:p w14:paraId="640A70B0"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2,365 </w:t>
            </w:r>
          </w:p>
        </w:tc>
        <w:tc>
          <w:tcPr>
            <w:tcW w:w="897" w:type="dxa"/>
            <w:tcBorders>
              <w:top w:val="nil"/>
              <w:left w:val="nil"/>
              <w:bottom w:val="single" w:sz="4" w:space="0" w:color="auto"/>
              <w:right w:val="single" w:sz="4" w:space="0" w:color="auto"/>
            </w:tcBorders>
            <w:shd w:val="clear" w:color="auto" w:fill="auto"/>
            <w:noWrap/>
            <w:vAlign w:val="bottom"/>
            <w:hideMark/>
          </w:tcPr>
          <w:p w14:paraId="7F91FBD5"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2,706 </w:t>
            </w:r>
          </w:p>
        </w:tc>
        <w:tc>
          <w:tcPr>
            <w:tcW w:w="897" w:type="dxa"/>
            <w:tcBorders>
              <w:top w:val="nil"/>
              <w:left w:val="nil"/>
              <w:bottom w:val="single" w:sz="4" w:space="0" w:color="auto"/>
              <w:right w:val="single" w:sz="4" w:space="0" w:color="auto"/>
            </w:tcBorders>
            <w:shd w:val="clear" w:color="auto" w:fill="auto"/>
            <w:noWrap/>
            <w:vAlign w:val="bottom"/>
            <w:hideMark/>
          </w:tcPr>
          <w:p w14:paraId="1E7709CD"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3,075 </w:t>
            </w:r>
          </w:p>
        </w:tc>
      </w:tr>
      <w:tr w:rsidR="00C3310F" w:rsidRPr="00C3310F" w14:paraId="775C7754" w14:textId="77777777" w:rsidTr="00AA146C">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7089A539" w14:textId="425E1210" w:rsidR="007441B4" w:rsidRPr="00C3310F" w:rsidRDefault="007441B4" w:rsidP="00AA146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渣</w:t>
            </w:r>
            <w:r w:rsidR="00141FC6" w:rsidRPr="00C3310F">
              <w:rPr>
                <w:rFonts w:hAnsi="標楷體" w:cs="新細明體" w:hint="eastAsia"/>
                <w:kern w:val="0"/>
                <w:sz w:val="24"/>
                <w:szCs w:val="24"/>
              </w:rPr>
              <w:t>○</w:t>
            </w:r>
            <w:r w:rsidRPr="00C3310F">
              <w:rPr>
                <w:rFonts w:hAnsi="標楷體" w:cs="新細明體" w:hint="eastAsia"/>
                <w:kern w:val="0"/>
                <w:sz w:val="24"/>
                <w:szCs w:val="24"/>
              </w:rPr>
              <w:t xml:space="preserve">國際商業銀行        </w:t>
            </w:r>
          </w:p>
        </w:tc>
        <w:tc>
          <w:tcPr>
            <w:tcW w:w="850" w:type="dxa"/>
            <w:tcBorders>
              <w:top w:val="nil"/>
              <w:left w:val="nil"/>
              <w:bottom w:val="single" w:sz="4" w:space="0" w:color="auto"/>
              <w:right w:val="single" w:sz="4" w:space="0" w:color="auto"/>
            </w:tcBorders>
            <w:shd w:val="clear" w:color="auto" w:fill="auto"/>
            <w:noWrap/>
            <w:vAlign w:val="bottom"/>
            <w:hideMark/>
          </w:tcPr>
          <w:p w14:paraId="6B9464FB"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740 </w:t>
            </w:r>
          </w:p>
        </w:tc>
        <w:tc>
          <w:tcPr>
            <w:tcW w:w="851" w:type="dxa"/>
            <w:tcBorders>
              <w:top w:val="nil"/>
              <w:left w:val="nil"/>
              <w:bottom w:val="single" w:sz="4" w:space="0" w:color="auto"/>
              <w:right w:val="single" w:sz="4" w:space="0" w:color="auto"/>
            </w:tcBorders>
            <w:shd w:val="clear" w:color="auto" w:fill="auto"/>
            <w:noWrap/>
            <w:vAlign w:val="bottom"/>
            <w:hideMark/>
          </w:tcPr>
          <w:p w14:paraId="36F2D2F7"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755 </w:t>
            </w:r>
          </w:p>
        </w:tc>
        <w:tc>
          <w:tcPr>
            <w:tcW w:w="850" w:type="dxa"/>
            <w:tcBorders>
              <w:top w:val="nil"/>
              <w:left w:val="nil"/>
              <w:bottom w:val="single" w:sz="4" w:space="0" w:color="auto"/>
              <w:right w:val="single" w:sz="4" w:space="0" w:color="auto"/>
            </w:tcBorders>
            <w:shd w:val="clear" w:color="auto" w:fill="auto"/>
            <w:noWrap/>
            <w:vAlign w:val="bottom"/>
            <w:hideMark/>
          </w:tcPr>
          <w:p w14:paraId="1C942938"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766 </w:t>
            </w:r>
          </w:p>
        </w:tc>
        <w:tc>
          <w:tcPr>
            <w:tcW w:w="851" w:type="dxa"/>
            <w:tcBorders>
              <w:top w:val="nil"/>
              <w:left w:val="nil"/>
              <w:bottom w:val="single" w:sz="4" w:space="0" w:color="auto"/>
              <w:right w:val="single" w:sz="4" w:space="0" w:color="auto"/>
            </w:tcBorders>
            <w:shd w:val="clear" w:color="auto" w:fill="auto"/>
            <w:noWrap/>
            <w:vAlign w:val="bottom"/>
            <w:hideMark/>
          </w:tcPr>
          <w:p w14:paraId="7AFE1ADD"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781 </w:t>
            </w:r>
          </w:p>
        </w:tc>
        <w:tc>
          <w:tcPr>
            <w:tcW w:w="850" w:type="dxa"/>
            <w:tcBorders>
              <w:top w:val="nil"/>
              <w:left w:val="nil"/>
              <w:bottom w:val="single" w:sz="4" w:space="0" w:color="auto"/>
              <w:right w:val="single" w:sz="4" w:space="0" w:color="auto"/>
            </w:tcBorders>
            <w:shd w:val="clear" w:color="auto" w:fill="auto"/>
            <w:noWrap/>
            <w:vAlign w:val="bottom"/>
            <w:hideMark/>
          </w:tcPr>
          <w:p w14:paraId="0159821B"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764 </w:t>
            </w:r>
          </w:p>
        </w:tc>
        <w:tc>
          <w:tcPr>
            <w:tcW w:w="897" w:type="dxa"/>
            <w:tcBorders>
              <w:top w:val="nil"/>
              <w:left w:val="nil"/>
              <w:bottom w:val="single" w:sz="4" w:space="0" w:color="auto"/>
              <w:right w:val="single" w:sz="4" w:space="0" w:color="auto"/>
            </w:tcBorders>
            <w:shd w:val="clear" w:color="auto" w:fill="auto"/>
            <w:noWrap/>
            <w:vAlign w:val="bottom"/>
            <w:hideMark/>
          </w:tcPr>
          <w:p w14:paraId="61E0F5FC"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775 </w:t>
            </w:r>
          </w:p>
        </w:tc>
        <w:tc>
          <w:tcPr>
            <w:tcW w:w="897" w:type="dxa"/>
            <w:tcBorders>
              <w:top w:val="nil"/>
              <w:left w:val="nil"/>
              <w:bottom w:val="single" w:sz="4" w:space="0" w:color="auto"/>
              <w:right w:val="single" w:sz="4" w:space="0" w:color="auto"/>
            </w:tcBorders>
            <w:shd w:val="clear" w:color="auto" w:fill="auto"/>
            <w:noWrap/>
            <w:vAlign w:val="bottom"/>
            <w:hideMark/>
          </w:tcPr>
          <w:p w14:paraId="0E49BCE3"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782 </w:t>
            </w:r>
          </w:p>
        </w:tc>
        <w:tc>
          <w:tcPr>
            <w:tcW w:w="897" w:type="dxa"/>
            <w:tcBorders>
              <w:top w:val="nil"/>
              <w:left w:val="nil"/>
              <w:bottom w:val="single" w:sz="4" w:space="0" w:color="auto"/>
              <w:right w:val="single" w:sz="4" w:space="0" w:color="auto"/>
            </w:tcBorders>
            <w:shd w:val="clear" w:color="auto" w:fill="auto"/>
            <w:noWrap/>
            <w:vAlign w:val="bottom"/>
            <w:hideMark/>
          </w:tcPr>
          <w:p w14:paraId="3DE00477"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804 </w:t>
            </w:r>
          </w:p>
        </w:tc>
        <w:tc>
          <w:tcPr>
            <w:tcW w:w="897" w:type="dxa"/>
            <w:tcBorders>
              <w:top w:val="nil"/>
              <w:left w:val="nil"/>
              <w:bottom w:val="single" w:sz="4" w:space="0" w:color="auto"/>
              <w:right w:val="single" w:sz="4" w:space="0" w:color="auto"/>
            </w:tcBorders>
            <w:shd w:val="clear" w:color="auto" w:fill="auto"/>
            <w:noWrap/>
            <w:vAlign w:val="bottom"/>
            <w:hideMark/>
          </w:tcPr>
          <w:p w14:paraId="56182551"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863 </w:t>
            </w:r>
          </w:p>
        </w:tc>
      </w:tr>
      <w:tr w:rsidR="00C3310F" w:rsidRPr="00C3310F" w14:paraId="159D01E9" w14:textId="77777777" w:rsidTr="00AA146C">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315AC8BA" w14:textId="2FE240D5" w:rsidR="007441B4" w:rsidRPr="00C3310F" w:rsidRDefault="007441B4" w:rsidP="00AA146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台</w:t>
            </w:r>
            <w:r w:rsidR="00141FC6" w:rsidRPr="00C3310F">
              <w:rPr>
                <w:rFonts w:hAnsi="標楷體" w:cs="新細明體" w:hint="eastAsia"/>
                <w:kern w:val="0"/>
                <w:sz w:val="24"/>
                <w:szCs w:val="24"/>
              </w:rPr>
              <w:t>○</w:t>
            </w:r>
            <w:r w:rsidRPr="00C3310F">
              <w:rPr>
                <w:rFonts w:hAnsi="標楷體" w:cs="新細明體" w:hint="eastAsia"/>
                <w:kern w:val="0"/>
                <w:sz w:val="24"/>
                <w:szCs w:val="24"/>
              </w:rPr>
              <w:t xml:space="preserve">商銀                </w:t>
            </w:r>
          </w:p>
        </w:tc>
        <w:tc>
          <w:tcPr>
            <w:tcW w:w="850" w:type="dxa"/>
            <w:tcBorders>
              <w:top w:val="nil"/>
              <w:left w:val="nil"/>
              <w:bottom w:val="single" w:sz="4" w:space="0" w:color="auto"/>
              <w:right w:val="single" w:sz="4" w:space="0" w:color="auto"/>
            </w:tcBorders>
            <w:shd w:val="clear" w:color="auto" w:fill="auto"/>
            <w:noWrap/>
            <w:vAlign w:val="bottom"/>
            <w:hideMark/>
          </w:tcPr>
          <w:p w14:paraId="02D3611D"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666 </w:t>
            </w:r>
          </w:p>
        </w:tc>
        <w:tc>
          <w:tcPr>
            <w:tcW w:w="851" w:type="dxa"/>
            <w:tcBorders>
              <w:top w:val="nil"/>
              <w:left w:val="nil"/>
              <w:bottom w:val="single" w:sz="4" w:space="0" w:color="auto"/>
              <w:right w:val="single" w:sz="4" w:space="0" w:color="auto"/>
            </w:tcBorders>
            <w:shd w:val="clear" w:color="auto" w:fill="auto"/>
            <w:noWrap/>
            <w:vAlign w:val="bottom"/>
            <w:hideMark/>
          </w:tcPr>
          <w:p w14:paraId="02414B56"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742 </w:t>
            </w:r>
          </w:p>
        </w:tc>
        <w:tc>
          <w:tcPr>
            <w:tcW w:w="850" w:type="dxa"/>
            <w:tcBorders>
              <w:top w:val="nil"/>
              <w:left w:val="nil"/>
              <w:bottom w:val="single" w:sz="4" w:space="0" w:color="auto"/>
              <w:right w:val="single" w:sz="4" w:space="0" w:color="auto"/>
            </w:tcBorders>
            <w:shd w:val="clear" w:color="auto" w:fill="auto"/>
            <w:noWrap/>
            <w:vAlign w:val="bottom"/>
            <w:hideMark/>
          </w:tcPr>
          <w:p w14:paraId="1DF3E5C2"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796 </w:t>
            </w:r>
          </w:p>
        </w:tc>
        <w:tc>
          <w:tcPr>
            <w:tcW w:w="851" w:type="dxa"/>
            <w:tcBorders>
              <w:top w:val="nil"/>
              <w:left w:val="nil"/>
              <w:bottom w:val="single" w:sz="4" w:space="0" w:color="auto"/>
              <w:right w:val="single" w:sz="4" w:space="0" w:color="auto"/>
            </w:tcBorders>
            <w:shd w:val="clear" w:color="auto" w:fill="auto"/>
            <w:noWrap/>
            <w:vAlign w:val="bottom"/>
            <w:hideMark/>
          </w:tcPr>
          <w:p w14:paraId="30C200D7"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863 </w:t>
            </w:r>
          </w:p>
        </w:tc>
        <w:tc>
          <w:tcPr>
            <w:tcW w:w="850" w:type="dxa"/>
            <w:tcBorders>
              <w:top w:val="nil"/>
              <w:left w:val="nil"/>
              <w:bottom w:val="single" w:sz="4" w:space="0" w:color="auto"/>
              <w:right w:val="single" w:sz="4" w:space="0" w:color="auto"/>
            </w:tcBorders>
            <w:shd w:val="clear" w:color="auto" w:fill="auto"/>
            <w:noWrap/>
            <w:vAlign w:val="bottom"/>
            <w:hideMark/>
          </w:tcPr>
          <w:p w14:paraId="1DA7013D"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924 </w:t>
            </w:r>
          </w:p>
        </w:tc>
        <w:tc>
          <w:tcPr>
            <w:tcW w:w="897" w:type="dxa"/>
            <w:tcBorders>
              <w:top w:val="nil"/>
              <w:left w:val="nil"/>
              <w:bottom w:val="single" w:sz="4" w:space="0" w:color="auto"/>
              <w:right w:val="single" w:sz="4" w:space="0" w:color="auto"/>
            </w:tcBorders>
            <w:shd w:val="clear" w:color="auto" w:fill="auto"/>
            <w:noWrap/>
            <w:vAlign w:val="bottom"/>
            <w:hideMark/>
          </w:tcPr>
          <w:p w14:paraId="2AE73F6D"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1,032 </w:t>
            </w:r>
          </w:p>
        </w:tc>
        <w:tc>
          <w:tcPr>
            <w:tcW w:w="897" w:type="dxa"/>
            <w:tcBorders>
              <w:top w:val="nil"/>
              <w:left w:val="nil"/>
              <w:bottom w:val="single" w:sz="4" w:space="0" w:color="auto"/>
              <w:right w:val="single" w:sz="4" w:space="0" w:color="auto"/>
            </w:tcBorders>
            <w:shd w:val="clear" w:color="auto" w:fill="auto"/>
            <w:noWrap/>
            <w:vAlign w:val="bottom"/>
            <w:hideMark/>
          </w:tcPr>
          <w:p w14:paraId="04791045"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1,157 </w:t>
            </w:r>
          </w:p>
        </w:tc>
        <w:tc>
          <w:tcPr>
            <w:tcW w:w="897" w:type="dxa"/>
            <w:tcBorders>
              <w:top w:val="nil"/>
              <w:left w:val="nil"/>
              <w:bottom w:val="single" w:sz="4" w:space="0" w:color="auto"/>
              <w:right w:val="single" w:sz="4" w:space="0" w:color="auto"/>
            </w:tcBorders>
            <w:shd w:val="clear" w:color="auto" w:fill="auto"/>
            <w:noWrap/>
            <w:vAlign w:val="bottom"/>
            <w:hideMark/>
          </w:tcPr>
          <w:p w14:paraId="3371C81C"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1,295 </w:t>
            </w:r>
          </w:p>
        </w:tc>
        <w:tc>
          <w:tcPr>
            <w:tcW w:w="897" w:type="dxa"/>
            <w:tcBorders>
              <w:top w:val="nil"/>
              <w:left w:val="nil"/>
              <w:bottom w:val="single" w:sz="4" w:space="0" w:color="auto"/>
              <w:right w:val="single" w:sz="4" w:space="0" w:color="auto"/>
            </w:tcBorders>
            <w:shd w:val="clear" w:color="auto" w:fill="auto"/>
            <w:noWrap/>
            <w:vAlign w:val="bottom"/>
            <w:hideMark/>
          </w:tcPr>
          <w:p w14:paraId="2F16B7FC"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1,427 </w:t>
            </w:r>
          </w:p>
        </w:tc>
      </w:tr>
      <w:tr w:rsidR="00C3310F" w:rsidRPr="00C3310F" w14:paraId="09ADF739" w14:textId="77777777" w:rsidTr="00AA146C">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435F066F" w14:textId="00D72E64" w:rsidR="007441B4" w:rsidRPr="00C3310F" w:rsidRDefault="007441B4" w:rsidP="00AA146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京</w:t>
            </w:r>
            <w:r w:rsidR="00141FC6" w:rsidRPr="00C3310F">
              <w:rPr>
                <w:rFonts w:hAnsi="標楷體" w:cs="新細明體" w:hint="eastAsia"/>
                <w:kern w:val="0"/>
                <w:sz w:val="24"/>
                <w:szCs w:val="24"/>
              </w:rPr>
              <w:t>○</w:t>
            </w:r>
            <w:r w:rsidRPr="00C3310F">
              <w:rPr>
                <w:rFonts w:hAnsi="標楷體" w:cs="新細明體" w:hint="eastAsia"/>
                <w:kern w:val="0"/>
                <w:sz w:val="24"/>
                <w:szCs w:val="24"/>
              </w:rPr>
              <w:t xml:space="preserve">商業銀行            </w:t>
            </w:r>
          </w:p>
        </w:tc>
        <w:tc>
          <w:tcPr>
            <w:tcW w:w="850" w:type="dxa"/>
            <w:tcBorders>
              <w:top w:val="nil"/>
              <w:left w:val="nil"/>
              <w:bottom w:val="single" w:sz="4" w:space="0" w:color="auto"/>
              <w:right w:val="single" w:sz="4" w:space="0" w:color="auto"/>
            </w:tcBorders>
            <w:shd w:val="clear" w:color="auto" w:fill="auto"/>
            <w:noWrap/>
            <w:vAlign w:val="bottom"/>
            <w:hideMark/>
          </w:tcPr>
          <w:p w14:paraId="2F86B268"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269 </w:t>
            </w:r>
          </w:p>
        </w:tc>
        <w:tc>
          <w:tcPr>
            <w:tcW w:w="851" w:type="dxa"/>
            <w:tcBorders>
              <w:top w:val="nil"/>
              <w:left w:val="nil"/>
              <w:bottom w:val="single" w:sz="4" w:space="0" w:color="auto"/>
              <w:right w:val="single" w:sz="4" w:space="0" w:color="auto"/>
            </w:tcBorders>
            <w:shd w:val="clear" w:color="auto" w:fill="auto"/>
            <w:noWrap/>
            <w:vAlign w:val="bottom"/>
            <w:hideMark/>
          </w:tcPr>
          <w:p w14:paraId="5D7710B4"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285 </w:t>
            </w:r>
          </w:p>
        </w:tc>
        <w:tc>
          <w:tcPr>
            <w:tcW w:w="850" w:type="dxa"/>
            <w:tcBorders>
              <w:top w:val="nil"/>
              <w:left w:val="nil"/>
              <w:bottom w:val="single" w:sz="4" w:space="0" w:color="auto"/>
              <w:right w:val="single" w:sz="4" w:space="0" w:color="auto"/>
            </w:tcBorders>
            <w:shd w:val="clear" w:color="auto" w:fill="auto"/>
            <w:noWrap/>
            <w:vAlign w:val="bottom"/>
            <w:hideMark/>
          </w:tcPr>
          <w:p w14:paraId="3BC8A9D3"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298 </w:t>
            </w:r>
          </w:p>
        </w:tc>
        <w:tc>
          <w:tcPr>
            <w:tcW w:w="851" w:type="dxa"/>
            <w:tcBorders>
              <w:top w:val="nil"/>
              <w:left w:val="nil"/>
              <w:bottom w:val="single" w:sz="4" w:space="0" w:color="auto"/>
              <w:right w:val="single" w:sz="4" w:space="0" w:color="auto"/>
            </w:tcBorders>
            <w:shd w:val="clear" w:color="auto" w:fill="auto"/>
            <w:noWrap/>
            <w:vAlign w:val="bottom"/>
            <w:hideMark/>
          </w:tcPr>
          <w:p w14:paraId="1C27D4BA"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314 </w:t>
            </w:r>
          </w:p>
        </w:tc>
        <w:tc>
          <w:tcPr>
            <w:tcW w:w="850" w:type="dxa"/>
            <w:tcBorders>
              <w:top w:val="nil"/>
              <w:left w:val="nil"/>
              <w:bottom w:val="single" w:sz="4" w:space="0" w:color="auto"/>
              <w:right w:val="single" w:sz="4" w:space="0" w:color="auto"/>
            </w:tcBorders>
            <w:shd w:val="clear" w:color="auto" w:fill="auto"/>
            <w:noWrap/>
            <w:vAlign w:val="bottom"/>
            <w:hideMark/>
          </w:tcPr>
          <w:p w14:paraId="3F18AB94"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342 </w:t>
            </w:r>
          </w:p>
        </w:tc>
        <w:tc>
          <w:tcPr>
            <w:tcW w:w="897" w:type="dxa"/>
            <w:tcBorders>
              <w:top w:val="nil"/>
              <w:left w:val="nil"/>
              <w:bottom w:val="single" w:sz="4" w:space="0" w:color="auto"/>
              <w:right w:val="single" w:sz="4" w:space="0" w:color="auto"/>
            </w:tcBorders>
            <w:shd w:val="clear" w:color="auto" w:fill="auto"/>
            <w:noWrap/>
            <w:vAlign w:val="bottom"/>
            <w:hideMark/>
          </w:tcPr>
          <w:p w14:paraId="307B1599"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404 </w:t>
            </w:r>
          </w:p>
        </w:tc>
        <w:tc>
          <w:tcPr>
            <w:tcW w:w="897" w:type="dxa"/>
            <w:tcBorders>
              <w:top w:val="nil"/>
              <w:left w:val="nil"/>
              <w:bottom w:val="single" w:sz="4" w:space="0" w:color="auto"/>
              <w:right w:val="single" w:sz="4" w:space="0" w:color="auto"/>
            </w:tcBorders>
            <w:shd w:val="clear" w:color="auto" w:fill="auto"/>
            <w:noWrap/>
            <w:vAlign w:val="bottom"/>
            <w:hideMark/>
          </w:tcPr>
          <w:p w14:paraId="7CF85756"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445 </w:t>
            </w:r>
          </w:p>
        </w:tc>
        <w:tc>
          <w:tcPr>
            <w:tcW w:w="897" w:type="dxa"/>
            <w:tcBorders>
              <w:top w:val="nil"/>
              <w:left w:val="nil"/>
              <w:bottom w:val="single" w:sz="4" w:space="0" w:color="auto"/>
              <w:right w:val="single" w:sz="4" w:space="0" w:color="auto"/>
            </w:tcBorders>
            <w:shd w:val="clear" w:color="auto" w:fill="auto"/>
            <w:noWrap/>
            <w:vAlign w:val="bottom"/>
            <w:hideMark/>
          </w:tcPr>
          <w:p w14:paraId="5E3B6664"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469 </w:t>
            </w:r>
          </w:p>
        </w:tc>
        <w:tc>
          <w:tcPr>
            <w:tcW w:w="897" w:type="dxa"/>
            <w:tcBorders>
              <w:top w:val="nil"/>
              <w:left w:val="nil"/>
              <w:bottom w:val="single" w:sz="4" w:space="0" w:color="auto"/>
              <w:right w:val="single" w:sz="4" w:space="0" w:color="auto"/>
            </w:tcBorders>
            <w:shd w:val="clear" w:color="auto" w:fill="auto"/>
            <w:noWrap/>
            <w:vAlign w:val="bottom"/>
            <w:hideMark/>
          </w:tcPr>
          <w:p w14:paraId="27D3F6C0"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508 </w:t>
            </w:r>
          </w:p>
        </w:tc>
      </w:tr>
      <w:tr w:rsidR="00C3310F" w:rsidRPr="00C3310F" w14:paraId="2590AF31" w14:textId="77777777" w:rsidTr="00AA146C">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71F20684" w14:textId="68C13A23" w:rsidR="007441B4" w:rsidRPr="00C3310F" w:rsidRDefault="007441B4" w:rsidP="00AA146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匯</w:t>
            </w:r>
            <w:r w:rsidR="00141FC6" w:rsidRPr="00C3310F">
              <w:rPr>
                <w:rFonts w:hAnsi="標楷體" w:cs="新細明體" w:hint="eastAsia"/>
                <w:kern w:val="0"/>
                <w:sz w:val="24"/>
                <w:szCs w:val="24"/>
              </w:rPr>
              <w:t>○</w:t>
            </w:r>
            <w:r w:rsidRPr="00C3310F">
              <w:rPr>
                <w:rFonts w:hAnsi="標楷體" w:cs="新細明體" w:hint="eastAsia"/>
                <w:kern w:val="0"/>
                <w:sz w:val="24"/>
                <w:szCs w:val="24"/>
              </w:rPr>
              <w:t xml:space="preserve">（台灣）商業銀行    </w:t>
            </w:r>
          </w:p>
        </w:tc>
        <w:tc>
          <w:tcPr>
            <w:tcW w:w="850" w:type="dxa"/>
            <w:tcBorders>
              <w:top w:val="nil"/>
              <w:left w:val="nil"/>
              <w:bottom w:val="single" w:sz="4" w:space="0" w:color="auto"/>
              <w:right w:val="single" w:sz="4" w:space="0" w:color="auto"/>
            </w:tcBorders>
            <w:shd w:val="clear" w:color="auto" w:fill="auto"/>
            <w:noWrap/>
            <w:vAlign w:val="bottom"/>
            <w:hideMark/>
          </w:tcPr>
          <w:p w14:paraId="6CF0FAB9"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19 </w:t>
            </w:r>
          </w:p>
        </w:tc>
        <w:tc>
          <w:tcPr>
            <w:tcW w:w="851" w:type="dxa"/>
            <w:tcBorders>
              <w:top w:val="nil"/>
              <w:left w:val="nil"/>
              <w:bottom w:val="single" w:sz="4" w:space="0" w:color="auto"/>
              <w:right w:val="single" w:sz="4" w:space="0" w:color="auto"/>
            </w:tcBorders>
            <w:shd w:val="clear" w:color="auto" w:fill="auto"/>
            <w:noWrap/>
            <w:vAlign w:val="bottom"/>
            <w:hideMark/>
          </w:tcPr>
          <w:p w14:paraId="73CF8650"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24 </w:t>
            </w:r>
          </w:p>
        </w:tc>
        <w:tc>
          <w:tcPr>
            <w:tcW w:w="850" w:type="dxa"/>
            <w:tcBorders>
              <w:top w:val="nil"/>
              <w:left w:val="nil"/>
              <w:bottom w:val="single" w:sz="4" w:space="0" w:color="auto"/>
              <w:right w:val="single" w:sz="4" w:space="0" w:color="auto"/>
            </w:tcBorders>
            <w:shd w:val="clear" w:color="auto" w:fill="auto"/>
            <w:noWrap/>
            <w:vAlign w:val="bottom"/>
            <w:hideMark/>
          </w:tcPr>
          <w:p w14:paraId="7B6095AF"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26 </w:t>
            </w:r>
          </w:p>
        </w:tc>
        <w:tc>
          <w:tcPr>
            <w:tcW w:w="851" w:type="dxa"/>
            <w:tcBorders>
              <w:top w:val="nil"/>
              <w:left w:val="nil"/>
              <w:bottom w:val="single" w:sz="4" w:space="0" w:color="auto"/>
              <w:right w:val="single" w:sz="4" w:space="0" w:color="auto"/>
            </w:tcBorders>
            <w:shd w:val="clear" w:color="auto" w:fill="auto"/>
            <w:noWrap/>
            <w:vAlign w:val="bottom"/>
            <w:hideMark/>
          </w:tcPr>
          <w:p w14:paraId="435B46B2"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34 </w:t>
            </w:r>
          </w:p>
        </w:tc>
        <w:tc>
          <w:tcPr>
            <w:tcW w:w="850" w:type="dxa"/>
            <w:tcBorders>
              <w:top w:val="nil"/>
              <w:left w:val="nil"/>
              <w:bottom w:val="single" w:sz="4" w:space="0" w:color="auto"/>
              <w:right w:val="single" w:sz="4" w:space="0" w:color="auto"/>
            </w:tcBorders>
            <w:shd w:val="clear" w:color="auto" w:fill="auto"/>
            <w:noWrap/>
            <w:vAlign w:val="bottom"/>
            <w:hideMark/>
          </w:tcPr>
          <w:p w14:paraId="1FB3F8B4"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46 </w:t>
            </w:r>
          </w:p>
        </w:tc>
        <w:tc>
          <w:tcPr>
            <w:tcW w:w="897" w:type="dxa"/>
            <w:tcBorders>
              <w:top w:val="nil"/>
              <w:left w:val="nil"/>
              <w:bottom w:val="single" w:sz="4" w:space="0" w:color="auto"/>
              <w:right w:val="single" w:sz="4" w:space="0" w:color="auto"/>
            </w:tcBorders>
            <w:shd w:val="clear" w:color="auto" w:fill="auto"/>
            <w:noWrap/>
            <w:vAlign w:val="bottom"/>
            <w:hideMark/>
          </w:tcPr>
          <w:p w14:paraId="5658C34B"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61 </w:t>
            </w:r>
          </w:p>
        </w:tc>
        <w:tc>
          <w:tcPr>
            <w:tcW w:w="897" w:type="dxa"/>
            <w:tcBorders>
              <w:top w:val="nil"/>
              <w:left w:val="nil"/>
              <w:bottom w:val="single" w:sz="4" w:space="0" w:color="auto"/>
              <w:right w:val="single" w:sz="4" w:space="0" w:color="auto"/>
            </w:tcBorders>
            <w:shd w:val="clear" w:color="auto" w:fill="auto"/>
            <w:noWrap/>
            <w:vAlign w:val="bottom"/>
            <w:hideMark/>
          </w:tcPr>
          <w:p w14:paraId="2648ED0A"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84 </w:t>
            </w:r>
          </w:p>
        </w:tc>
        <w:tc>
          <w:tcPr>
            <w:tcW w:w="897" w:type="dxa"/>
            <w:tcBorders>
              <w:top w:val="nil"/>
              <w:left w:val="nil"/>
              <w:bottom w:val="single" w:sz="4" w:space="0" w:color="auto"/>
              <w:right w:val="single" w:sz="4" w:space="0" w:color="auto"/>
            </w:tcBorders>
            <w:shd w:val="clear" w:color="auto" w:fill="auto"/>
            <w:noWrap/>
            <w:vAlign w:val="bottom"/>
            <w:hideMark/>
          </w:tcPr>
          <w:p w14:paraId="56BA5579"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98 </w:t>
            </w:r>
          </w:p>
        </w:tc>
        <w:tc>
          <w:tcPr>
            <w:tcW w:w="897" w:type="dxa"/>
            <w:tcBorders>
              <w:top w:val="nil"/>
              <w:left w:val="nil"/>
              <w:bottom w:val="single" w:sz="4" w:space="0" w:color="auto"/>
              <w:right w:val="single" w:sz="4" w:space="0" w:color="auto"/>
            </w:tcBorders>
            <w:shd w:val="clear" w:color="auto" w:fill="auto"/>
            <w:noWrap/>
            <w:vAlign w:val="bottom"/>
            <w:hideMark/>
          </w:tcPr>
          <w:p w14:paraId="456DEFAE"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123 </w:t>
            </w:r>
          </w:p>
        </w:tc>
      </w:tr>
      <w:tr w:rsidR="00C3310F" w:rsidRPr="00C3310F" w14:paraId="005A46C1" w14:textId="77777777" w:rsidTr="00AA146C">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3A9DC17E" w14:textId="4EBED065" w:rsidR="007441B4" w:rsidRPr="00C3310F" w:rsidRDefault="007441B4" w:rsidP="00AA146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瑞</w:t>
            </w:r>
            <w:r w:rsidR="00141FC6" w:rsidRPr="00C3310F">
              <w:rPr>
                <w:rFonts w:hAnsi="標楷體" w:cs="新細明體" w:hint="eastAsia"/>
                <w:kern w:val="0"/>
                <w:sz w:val="24"/>
                <w:szCs w:val="24"/>
              </w:rPr>
              <w:t>○</w:t>
            </w:r>
            <w:r w:rsidRPr="00C3310F">
              <w:rPr>
                <w:rFonts w:hAnsi="標楷體" w:cs="新細明體" w:hint="eastAsia"/>
                <w:kern w:val="0"/>
                <w:sz w:val="24"/>
                <w:szCs w:val="24"/>
              </w:rPr>
              <w:t xml:space="preserve">商銀                </w:t>
            </w:r>
          </w:p>
        </w:tc>
        <w:tc>
          <w:tcPr>
            <w:tcW w:w="850" w:type="dxa"/>
            <w:tcBorders>
              <w:top w:val="nil"/>
              <w:left w:val="nil"/>
              <w:bottom w:val="single" w:sz="4" w:space="0" w:color="auto"/>
              <w:right w:val="single" w:sz="4" w:space="0" w:color="auto"/>
            </w:tcBorders>
            <w:shd w:val="clear" w:color="auto" w:fill="auto"/>
            <w:noWrap/>
            <w:vAlign w:val="bottom"/>
            <w:hideMark/>
          </w:tcPr>
          <w:p w14:paraId="5114DEAE"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25 </w:t>
            </w:r>
          </w:p>
        </w:tc>
        <w:tc>
          <w:tcPr>
            <w:tcW w:w="851" w:type="dxa"/>
            <w:tcBorders>
              <w:top w:val="nil"/>
              <w:left w:val="nil"/>
              <w:bottom w:val="single" w:sz="4" w:space="0" w:color="auto"/>
              <w:right w:val="single" w:sz="4" w:space="0" w:color="auto"/>
            </w:tcBorders>
            <w:shd w:val="clear" w:color="auto" w:fill="auto"/>
            <w:noWrap/>
            <w:vAlign w:val="bottom"/>
            <w:hideMark/>
          </w:tcPr>
          <w:p w14:paraId="28AFA63C"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27 </w:t>
            </w:r>
          </w:p>
        </w:tc>
        <w:tc>
          <w:tcPr>
            <w:tcW w:w="850" w:type="dxa"/>
            <w:tcBorders>
              <w:top w:val="nil"/>
              <w:left w:val="nil"/>
              <w:bottom w:val="single" w:sz="4" w:space="0" w:color="auto"/>
              <w:right w:val="single" w:sz="4" w:space="0" w:color="auto"/>
            </w:tcBorders>
            <w:shd w:val="clear" w:color="auto" w:fill="auto"/>
            <w:noWrap/>
            <w:vAlign w:val="bottom"/>
            <w:hideMark/>
          </w:tcPr>
          <w:p w14:paraId="75890A49"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28 </w:t>
            </w:r>
          </w:p>
        </w:tc>
        <w:tc>
          <w:tcPr>
            <w:tcW w:w="851" w:type="dxa"/>
            <w:tcBorders>
              <w:top w:val="nil"/>
              <w:left w:val="nil"/>
              <w:bottom w:val="single" w:sz="4" w:space="0" w:color="auto"/>
              <w:right w:val="single" w:sz="4" w:space="0" w:color="auto"/>
            </w:tcBorders>
            <w:shd w:val="clear" w:color="auto" w:fill="auto"/>
            <w:noWrap/>
            <w:vAlign w:val="bottom"/>
            <w:hideMark/>
          </w:tcPr>
          <w:p w14:paraId="255C7F18"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28 </w:t>
            </w:r>
          </w:p>
        </w:tc>
        <w:tc>
          <w:tcPr>
            <w:tcW w:w="850" w:type="dxa"/>
            <w:tcBorders>
              <w:top w:val="nil"/>
              <w:left w:val="nil"/>
              <w:bottom w:val="single" w:sz="4" w:space="0" w:color="auto"/>
              <w:right w:val="single" w:sz="4" w:space="0" w:color="auto"/>
            </w:tcBorders>
            <w:shd w:val="clear" w:color="auto" w:fill="auto"/>
            <w:noWrap/>
            <w:vAlign w:val="bottom"/>
            <w:hideMark/>
          </w:tcPr>
          <w:p w14:paraId="688476D6"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26 </w:t>
            </w:r>
          </w:p>
        </w:tc>
        <w:tc>
          <w:tcPr>
            <w:tcW w:w="897" w:type="dxa"/>
            <w:tcBorders>
              <w:top w:val="nil"/>
              <w:left w:val="nil"/>
              <w:bottom w:val="single" w:sz="4" w:space="0" w:color="auto"/>
              <w:right w:val="single" w:sz="4" w:space="0" w:color="auto"/>
            </w:tcBorders>
            <w:shd w:val="clear" w:color="auto" w:fill="auto"/>
            <w:noWrap/>
            <w:vAlign w:val="bottom"/>
            <w:hideMark/>
          </w:tcPr>
          <w:p w14:paraId="3CCFD5A5"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27 </w:t>
            </w:r>
          </w:p>
        </w:tc>
        <w:tc>
          <w:tcPr>
            <w:tcW w:w="897" w:type="dxa"/>
            <w:tcBorders>
              <w:top w:val="nil"/>
              <w:left w:val="nil"/>
              <w:bottom w:val="single" w:sz="4" w:space="0" w:color="auto"/>
              <w:right w:val="single" w:sz="4" w:space="0" w:color="auto"/>
            </w:tcBorders>
            <w:shd w:val="clear" w:color="auto" w:fill="auto"/>
            <w:noWrap/>
            <w:vAlign w:val="bottom"/>
            <w:hideMark/>
          </w:tcPr>
          <w:p w14:paraId="0C43F5FC"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27 </w:t>
            </w:r>
          </w:p>
        </w:tc>
        <w:tc>
          <w:tcPr>
            <w:tcW w:w="897" w:type="dxa"/>
            <w:tcBorders>
              <w:top w:val="nil"/>
              <w:left w:val="nil"/>
              <w:bottom w:val="single" w:sz="4" w:space="0" w:color="auto"/>
              <w:right w:val="single" w:sz="4" w:space="0" w:color="auto"/>
            </w:tcBorders>
            <w:shd w:val="clear" w:color="auto" w:fill="auto"/>
            <w:noWrap/>
            <w:vAlign w:val="bottom"/>
            <w:hideMark/>
          </w:tcPr>
          <w:p w14:paraId="26406C43"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32 </w:t>
            </w:r>
          </w:p>
        </w:tc>
        <w:tc>
          <w:tcPr>
            <w:tcW w:w="897" w:type="dxa"/>
            <w:tcBorders>
              <w:top w:val="nil"/>
              <w:left w:val="nil"/>
              <w:bottom w:val="single" w:sz="4" w:space="0" w:color="auto"/>
              <w:right w:val="single" w:sz="4" w:space="0" w:color="auto"/>
            </w:tcBorders>
            <w:shd w:val="clear" w:color="auto" w:fill="auto"/>
            <w:noWrap/>
            <w:vAlign w:val="bottom"/>
            <w:hideMark/>
          </w:tcPr>
          <w:p w14:paraId="10860429"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34 </w:t>
            </w:r>
          </w:p>
        </w:tc>
      </w:tr>
      <w:tr w:rsidR="00C3310F" w:rsidRPr="00C3310F" w14:paraId="68A40373" w14:textId="77777777" w:rsidTr="00AA146C">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225913E3" w14:textId="7EE15167" w:rsidR="007441B4" w:rsidRPr="00C3310F" w:rsidRDefault="007441B4" w:rsidP="00AA146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lastRenderedPageBreak/>
              <w:t>華</w:t>
            </w:r>
            <w:r w:rsidR="00141FC6" w:rsidRPr="00C3310F">
              <w:rPr>
                <w:rFonts w:hAnsi="標楷體" w:cs="新細明體" w:hint="eastAsia"/>
                <w:kern w:val="0"/>
                <w:sz w:val="24"/>
                <w:szCs w:val="24"/>
              </w:rPr>
              <w:t>○</w:t>
            </w:r>
            <w:r w:rsidRPr="00C3310F">
              <w:rPr>
                <w:rFonts w:hAnsi="標楷體" w:cs="新細明體" w:hint="eastAsia"/>
                <w:kern w:val="0"/>
                <w:sz w:val="24"/>
                <w:szCs w:val="24"/>
              </w:rPr>
              <w:t xml:space="preserve">銀行                </w:t>
            </w:r>
          </w:p>
        </w:tc>
        <w:tc>
          <w:tcPr>
            <w:tcW w:w="850" w:type="dxa"/>
            <w:tcBorders>
              <w:top w:val="nil"/>
              <w:left w:val="nil"/>
              <w:bottom w:val="single" w:sz="4" w:space="0" w:color="auto"/>
              <w:right w:val="single" w:sz="4" w:space="0" w:color="auto"/>
            </w:tcBorders>
            <w:shd w:val="clear" w:color="auto" w:fill="auto"/>
            <w:noWrap/>
            <w:vAlign w:val="bottom"/>
            <w:hideMark/>
          </w:tcPr>
          <w:p w14:paraId="4E5CA0AA"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79 </w:t>
            </w:r>
          </w:p>
        </w:tc>
        <w:tc>
          <w:tcPr>
            <w:tcW w:w="851" w:type="dxa"/>
            <w:tcBorders>
              <w:top w:val="nil"/>
              <w:left w:val="nil"/>
              <w:bottom w:val="single" w:sz="4" w:space="0" w:color="auto"/>
              <w:right w:val="single" w:sz="4" w:space="0" w:color="auto"/>
            </w:tcBorders>
            <w:shd w:val="clear" w:color="auto" w:fill="auto"/>
            <w:noWrap/>
            <w:vAlign w:val="bottom"/>
            <w:hideMark/>
          </w:tcPr>
          <w:p w14:paraId="528C80A2"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89 </w:t>
            </w:r>
          </w:p>
        </w:tc>
        <w:tc>
          <w:tcPr>
            <w:tcW w:w="850" w:type="dxa"/>
            <w:tcBorders>
              <w:top w:val="nil"/>
              <w:left w:val="nil"/>
              <w:bottom w:val="single" w:sz="4" w:space="0" w:color="auto"/>
              <w:right w:val="single" w:sz="4" w:space="0" w:color="auto"/>
            </w:tcBorders>
            <w:shd w:val="clear" w:color="auto" w:fill="auto"/>
            <w:noWrap/>
            <w:vAlign w:val="bottom"/>
            <w:hideMark/>
          </w:tcPr>
          <w:p w14:paraId="732FAFC0"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86 </w:t>
            </w:r>
          </w:p>
        </w:tc>
        <w:tc>
          <w:tcPr>
            <w:tcW w:w="851" w:type="dxa"/>
            <w:tcBorders>
              <w:top w:val="nil"/>
              <w:left w:val="nil"/>
              <w:bottom w:val="single" w:sz="4" w:space="0" w:color="auto"/>
              <w:right w:val="single" w:sz="4" w:space="0" w:color="auto"/>
            </w:tcBorders>
            <w:shd w:val="clear" w:color="auto" w:fill="auto"/>
            <w:noWrap/>
            <w:vAlign w:val="bottom"/>
            <w:hideMark/>
          </w:tcPr>
          <w:p w14:paraId="07763DFB"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100 </w:t>
            </w:r>
          </w:p>
        </w:tc>
        <w:tc>
          <w:tcPr>
            <w:tcW w:w="850" w:type="dxa"/>
            <w:tcBorders>
              <w:top w:val="nil"/>
              <w:left w:val="nil"/>
              <w:bottom w:val="single" w:sz="4" w:space="0" w:color="auto"/>
              <w:right w:val="single" w:sz="4" w:space="0" w:color="auto"/>
            </w:tcBorders>
            <w:shd w:val="clear" w:color="auto" w:fill="auto"/>
            <w:noWrap/>
            <w:vAlign w:val="bottom"/>
            <w:hideMark/>
          </w:tcPr>
          <w:p w14:paraId="5E3488F1"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104 </w:t>
            </w:r>
          </w:p>
        </w:tc>
        <w:tc>
          <w:tcPr>
            <w:tcW w:w="897" w:type="dxa"/>
            <w:tcBorders>
              <w:top w:val="nil"/>
              <w:left w:val="nil"/>
              <w:bottom w:val="single" w:sz="4" w:space="0" w:color="auto"/>
              <w:right w:val="single" w:sz="4" w:space="0" w:color="auto"/>
            </w:tcBorders>
            <w:shd w:val="clear" w:color="auto" w:fill="auto"/>
            <w:noWrap/>
            <w:vAlign w:val="bottom"/>
            <w:hideMark/>
          </w:tcPr>
          <w:p w14:paraId="20767FB0"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108 </w:t>
            </w:r>
          </w:p>
        </w:tc>
        <w:tc>
          <w:tcPr>
            <w:tcW w:w="897" w:type="dxa"/>
            <w:tcBorders>
              <w:top w:val="nil"/>
              <w:left w:val="nil"/>
              <w:bottom w:val="single" w:sz="4" w:space="0" w:color="auto"/>
              <w:right w:val="single" w:sz="4" w:space="0" w:color="auto"/>
            </w:tcBorders>
            <w:shd w:val="clear" w:color="auto" w:fill="auto"/>
            <w:noWrap/>
            <w:vAlign w:val="bottom"/>
            <w:hideMark/>
          </w:tcPr>
          <w:p w14:paraId="7D0D3942"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122 </w:t>
            </w:r>
          </w:p>
        </w:tc>
        <w:tc>
          <w:tcPr>
            <w:tcW w:w="897" w:type="dxa"/>
            <w:tcBorders>
              <w:top w:val="nil"/>
              <w:left w:val="nil"/>
              <w:bottom w:val="single" w:sz="4" w:space="0" w:color="auto"/>
              <w:right w:val="single" w:sz="4" w:space="0" w:color="auto"/>
            </w:tcBorders>
            <w:shd w:val="clear" w:color="auto" w:fill="auto"/>
            <w:noWrap/>
            <w:vAlign w:val="bottom"/>
            <w:hideMark/>
          </w:tcPr>
          <w:p w14:paraId="7F5A8D43"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126 </w:t>
            </w:r>
          </w:p>
        </w:tc>
        <w:tc>
          <w:tcPr>
            <w:tcW w:w="897" w:type="dxa"/>
            <w:tcBorders>
              <w:top w:val="nil"/>
              <w:left w:val="nil"/>
              <w:bottom w:val="single" w:sz="4" w:space="0" w:color="auto"/>
              <w:right w:val="single" w:sz="4" w:space="0" w:color="auto"/>
            </w:tcBorders>
            <w:shd w:val="clear" w:color="auto" w:fill="auto"/>
            <w:noWrap/>
            <w:vAlign w:val="bottom"/>
            <w:hideMark/>
          </w:tcPr>
          <w:p w14:paraId="4FEA3FF2"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131 </w:t>
            </w:r>
          </w:p>
        </w:tc>
      </w:tr>
      <w:tr w:rsidR="00C3310F" w:rsidRPr="00C3310F" w14:paraId="1EEB6756" w14:textId="77777777" w:rsidTr="00AA146C">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77253920" w14:textId="71E512AD" w:rsidR="007441B4" w:rsidRPr="00C3310F" w:rsidRDefault="007441B4" w:rsidP="00AA146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臺灣</w:t>
            </w:r>
            <w:r w:rsidR="00141FC6" w:rsidRPr="00C3310F">
              <w:rPr>
                <w:rFonts w:hAnsi="標楷體" w:cs="新細明體" w:hint="eastAsia"/>
                <w:kern w:val="0"/>
                <w:sz w:val="24"/>
                <w:szCs w:val="24"/>
              </w:rPr>
              <w:t>新○</w:t>
            </w:r>
            <w:r w:rsidRPr="00C3310F">
              <w:rPr>
                <w:rFonts w:hAnsi="標楷體" w:cs="新細明體" w:hint="eastAsia"/>
                <w:kern w:val="0"/>
                <w:sz w:val="24"/>
                <w:szCs w:val="24"/>
              </w:rPr>
              <w:t xml:space="preserve">商業銀行        </w:t>
            </w:r>
          </w:p>
        </w:tc>
        <w:tc>
          <w:tcPr>
            <w:tcW w:w="850" w:type="dxa"/>
            <w:tcBorders>
              <w:top w:val="nil"/>
              <w:left w:val="nil"/>
              <w:bottom w:val="single" w:sz="4" w:space="0" w:color="auto"/>
              <w:right w:val="single" w:sz="4" w:space="0" w:color="auto"/>
            </w:tcBorders>
            <w:shd w:val="clear" w:color="auto" w:fill="auto"/>
            <w:noWrap/>
            <w:vAlign w:val="bottom"/>
            <w:hideMark/>
          </w:tcPr>
          <w:p w14:paraId="6A0D8578"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931 </w:t>
            </w:r>
          </w:p>
        </w:tc>
        <w:tc>
          <w:tcPr>
            <w:tcW w:w="851" w:type="dxa"/>
            <w:tcBorders>
              <w:top w:val="nil"/>
              <w:left w:val="nil"/>
              <w:bottom w:val="single" w:sz="4" w:space="0" w:color="auto"/>
              <w:right w:val="single" w:sz="4" w:space="0" w:color="auto"/>
            </w:tcBorders>
            <w:shd w:val="clear" w:color="auto" w:fill="auto"/>
            <w:noWrap/>
            <w:vAlign w:val="bottom"/>
            <w:hideMark/>
          </w:tcPr>
          <w:p w14:paraId="23C64EBF"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1,007 </w:t>
            </w:r>
          </w:p>
        </w:tc>
        <w:tc>
          <w:tcPr>
            <w:tcW w:w="850" w:type="dxa"/>
            <w:tcBorders>
              <w:top w:val="nil"/>
              <w:left w:val="nil"/>
              <w:bottom w:val="single" w:sz="4" w:space="0" w:color="auto"/>
              <w:right w:val="single" w:sz="4" w:space="0" w:color="auto"/>
            </w:tcBorders>
            <w:shd w:val="clear" w:color="auto" w:fill="auto"/>
            <w:noWrap/>
            <w:vAlign w:val="bottom"/>
            <w:hideMark/>
          </w:tcPr>
          <w:p w14:paraId="09C7BC6C"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1,042 </w:t>
            </w:r>
          </w:p>
        </w:tc>
        <w:tc>
          <w:tcPr>
            <w:tcW w:w="851" w:type="dxa"/>
            <w:tcBorders>
              <w:top w:val="nil"/>
              <w:left w:val="nil"/>
              <w:bottom w:val="single" w:sz="4" w:space="0" w:color="auto"/>
              <w:right w:val="single" w:sz="4" w:space="0" w:color="auto"/>
            </w:tcBorders>
            <w:shd w:val="clear" w:color="auto" w:fill="auto"/>
            <w:noWrap/>
            <w:vAlign w:val="bottom"/>
            <w:hideMark/>
          </w:tcPr>
          <w:p w14:paraId="4E943634"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1,141 </w:t>
            </w:r>
          </w:p>
        </w:tc>
        <w:tc>
          <w:tcPr>
            <w:tcW w:w="850" w:type="dxa"/>
            <w:tcBorders>
              <w:top w:val="nil"/>
              <w:left w:val="nil"/>
              <w:bottom w:val="single" w:sz="4" w:space="0" w:color="auto"/>
              <w:right w:val="single" w:sz="4" w:space="0" w:color="auto"/>
            </w:tcBorders>
            <w:shd w:val="clear" w:color="auto" w:fill="auto"/>
            <w:noWrap/>
            <w:vAlign w:val="bottom"/>
            <w:hideMark/>
          </w:tcPr>
          <w:p w14:paraId="26F040DC"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1,190 </w:t>
            </w:r>
          </w:p>
        </w:tc>
        <w:tc>
          <w:tcPr>
            <w:tcW w:w="897" w:type="dxa"/>
            <w:tcBorders>
              <w:top w:val="nil"/>
              <w:left w:val="nil"/>
              <w:bottom w:val="single" w:sz="4" w:space="0" w:color="auto"/>
              <w:right w:val="single" w:sz="4" w:space="0" w:color="auto"/>
            </w:tcBorders>
            <w:shd w:val="clear" w:color="auto" w:fill="auto"/>
            <w:noWrap/>
            <w:vAlign w:val="bottom"/>
            <w:hideMark/>
          </w:tcPr>
          <w:p w14:paraId="69F4F4D6"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1,316 </w:t>
            </w:r>
          </w:p>
        </w:tc>
        <w:tc>
          <w:tcPr>
            <w:tcW w:w="897" w:type="dxa"/>
            <w:tcBorders>
              <w:top w:val="nil"/>
              <w:left w:val="nil"/>
              <w:bottom w:val="single" w:sz="4" w:space="0" w:color="auto"/>
              <w:right w:val="single" w:sz="4" w:space="0" w:color="auto"/>
            </w:tcBorders>
            <w:shd w:val="clear" w:color="auto" w:fill="auto"/>
            <w:noWrap/>
            <w:vAlign w:val="bottom"/>
            <w:hideMark/>
          </w:tcPr>
          <w:p w14:paraId="7561A96E"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1,413 </w:t>
            </w:r>
          </w:p>
        </w:tc>
        <w:tc>
          <w:tcPr>
            <w:tcW w:w="897" w:type="dxa"/>
            <w:tcBorders>
              <w:top w:val="nil"/>
              <w:left w:val="nil"/>
              <w:bottom w:val="single" w:sz="4" w:space="0" w:color="auto"/>
              <w:right w:val="single" w:sz="4" w:space="0" w:color="auto"/>
            </w:tcBorders>
            <w:shd w:val="clear" w:color="auto" w:fill="auto"/>
            <w:noWrap/>
            <w:vAlign w:val="bottom"/>
            <w:hideMark/>
          </w:tcPr>
          <w:p w14:paraId="3EADCC2F"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1,534 </w:t>
            </w:r>
          </w:p>
        </w:tc>
        <w:tc>
          <w:tcPr>
            <w:tcW w:w="897" w:type="dxa"/>
            <w:tcBorders>
              <w:top w:val="nil"/>
              <w:left w:val="nil"/>
              <w:bottom w:val="single" w:sz="4" w:space="0" w:color="auto"/>
              <w:right w:val="single" w:sz="4" w:space="0" w:color="auto"/>
            </w:tcBorders>
            <w:shd w:val="clear" w:color="auto" w:fill="auto"/>
            <w:noWrap/>
            <w:vAlign w:val="bottom"/>
            <w:hideMark/>
          </w:tcPr>
          <w:p w14:paraId="2C7EFE38"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1,583 </w:t>
            </w:r>
          </w:p>
        </w:tc>
      </w:tr>
      <w:tr w:rsidR="00C3310F" w:rsidRPr="00C3310F" w14:paraId="3387EFFF" w14:textId="77777777" w:rsidTr="00AA146C">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47E82289" w14:textId="37AE6918" w:rsidR="007441B4" w:rsidRPr="00C3310F" w:rsidRDefault="007441B4" w:rsidP="00AA146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陽</w:t>
            </w:r>
            <w:r w:rsidR="00141FC6" w:rsidRPr="00C3310F">
              <w:rPr>
                <w:rFonts w:hAnsi="標楷體" w:cs="新細明體" w:hint="eastAsia"/>
                <w:kern w:val="0"/>
                <w:sz w:val="24"/>
                <w:szCs w:val="24"/>
              </w:rPr>
              <w:t>○</w:t>
            </w:r>
            <w:r w:rsidRPr="00C3310F">
              <w:rPr>
                <w:rFonts w:hAnsi="標楷體" w:cs="新細明體" w:hint="eastAsia"/>
                <w:kern w:val="0"/>
                <w:sz w:val="24"/>
                <w:szCs w:val="24"/>
              </w:rPr>
              <w:t xml:space="preserve">銀行                </w:t>
            </w:r>
          </w:p>
        </w:tc>
        <w:tc>
          <w:tcPr>
            <w:tcW w:w="850" w:type="dxa"/>
            <w:tcBorders>
              <w:top w:val="nil"/>
              <w:left w:val="nil"/>
              <w:bottom w:val="single" w:sz="4" w:space="0" w:color="auto"/>
              <w:right w:val="single" w:sz="4" w:space="0" w:color="auto"/>
            </w:tcBorders>
            <w:shd w:val="clear" w:color="auto" w:fill="auto"/>
            <w:noWrap/>
            <w:vAlign w:val="bottom"/>
            <w:hideMark/>
          </w:tcPr>
          <w:p w14:paraId="2F81C8DF"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319 </w:t>
            </w:r>
          </w:p>
        </w:tc>
        <w:tc>
          <w:tcPr>
            <w:tcW w:w="851" w:type="dxa"/>
            <w:tcBorders>
              <w:top w:val="nil"/>
              <w:left w:val="nil"/>
              <w:bottom w:val="single" w:sz="4" w:space="0" w:color="auto"/>
              <w:right w:val="single" w:sz="4" w:space="0" w:color="auto"/>
            </w:tcBorders>
            <w:shd w:val="clear" w:color="auto" w:fill="auto"/>
            <w:noWrap/>
            <w:vAlign w:val="bottom"/>
            <w:hideMark/>
          </w:tcPr>
          <w:p w14:paraId="2103EA75"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349 </w:t>
            </w:r>
          </w:p>
        </w:tc>
        <w:tc>
          <w:tcPr>
            <w:tcW w:w="850" w:type="dxa"/>
            <w:tcBorders>
              <w:top w:val="nil"/>
              <w:left w:val="nil"/>
              <w:bottom w:val="single" w:sz="4" w:space="0" w:color="auto"/>
              <w:right w:val="single" w:sz="4" w:space="0" w:color="auto"/>
            </w:tcBorders>
            <w:shd w:val="clear" w:color="auto" w:fill="auto"/>
            <w:noWrap/>
            <w:vAlign w:val="bottom"/>
            <w:hideMark/>
          </w:tcPr>
          <w:p w14:paraId="2E463D02"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366 </w:t>
            </w:r>
          </w:p>
        </w:tc>
        <w:tc>
          <w:tcPr>
            <w:tcW w:w="851" w:type="dxa"/>
            <w:tcBorders>
              <w:top w:val="nil"/>
              <w:left w:val="nil"/>
              <w:bottom w:val="single" w:sz="4" w:space="0" w:color="auto"/>
              <w:right w:val="single" w:sz="4" w:space="0" w:color="auto"/>
            </w:tcBorders>
            <w:shd w:val="clear" w:color="auto" w:fill="auto"/>
            <w:noWrap/>
            <w:vAlign w:val="bottom"/>
            <w:hideMark/>
          </w:tcPr>
          <w:p w14:paraId="579F3989"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389 </w:t>
            </w:r>
          </w:p>
        </w:tc>
        <w:tc>
          <w:tcPr>
            <w:tcW w:w="850" w:type="dxa"/>
            <w:tcBorders>
              <w:top w:val="nil"/>
              <w:left w:val="nil"/>
              <w:bottom w:val="single" w:sz="4" w:space="0" w:color="auto"/>
              <w:right w:val="single" w:sz="4" w:space="0" w:color="auto"/>
            </w:tcBorders>
            <w:shd w:val="clear" w:color="auto" w:fill="auto"/>
            <w:noWrap/>
            <w:vAlign w:val="bottom"/>
            <w:hideMark/>
          </w:tcPr>
          <w:p w14:paraId="126F255F"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419 </w:t>
            </w:r>
          </w:p>
        </w:tc>
        <w:tc>
          <w:tcPr>
            <w:tcW w:w="897" w:type="dxa"/>
            <w:tcBorders>
              <w:top w:val="nil"/>
              <w:left w:val="nil"/>
              <w:bottom w:val="single" w:sz="4" w:space="0" w:color="auto"/>
              <w:right w:val="single" w:sz="4" w:space="0" w:color="auto"/>
            </w:tcBorders>
            <w:shd w:val="clear" w:color="auto" w:fill="auto"/>
            <w:noWrap/>
            <w:vAlign w:val="bottom"/>
            <w:hideMark/>
          </w:tcPr>
          <w:p w14:paraId="4CF976DE"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491 </w:t>
            </w:r>
          </w:p>
        </w:tc>
        <w:tc>
          <w:tcPr>
            <w:tcW w:w="897" w:type="dxa"/>
            <w:tcBorders>
              <w:top w:val="nil"/>
              <w:left w:val="nil"/>
              <w:bottom w:val="single" w:sz="4" w:space="0" w:color="auto"/>
              <w:right w:val="single" w:sz="4" w:space="0" w:color="auto"/>
            </w:tcBorders>
            <w:shd w:val="clear" w:color="auto" w:fill="auto"/>
            <w:noWrap/>
            <w:vAlign w:val="bottom"/>
            <w:hideMark/>
          </w:tcPr>
          <w:p w14:paraId="1951F5D2"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514 </w:t>
            </w:r>
          </w:p>
        </w:tc>
        <w:tc>
          <w:tcPr>
            <w:tcW w:w="897" w:type="dxa"/>
            <w:tcBorders>
              <w:top w:val="nil"/>
              <w:left w:val="nil"/>
              <w:bottom w:val="single" w:sz="4" w:space="0" w:color="auto"/>
              <w:right w:val="single" w:sz="4" w:space="0" w:color="auto"/>
            </w:tcBorders>
            <w:shd w:val="clear" w:color="auto" w:fill="auto"/>
            <w:noWrap/>
            <w:vAlign w:val="bottom"/>
            <w:hideMark/>
          </w:tcPr>
          <w:p w14:paraId="78504497"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559 </w:t>
            </w:r>
          </w:p>
        </w:tc>
        <w:tc>
          <w:tcPr>
            <w:tcW w:w="897" w:type="dxa"/>
            <w:tcBorders>
              <w:top w:val="nil"/>
              <w:left w:val="nil"/>
              <w:bottom w:val="single" w:sz="4" w:space="0" w:color="auto"/>
              <w:right w:val="single" w:sz="4" w:space="0" w:color="auto"/>
            </w:tcBorders>
            <w:shd w:val="clear" w:color="auto" w:fill="auto"/>
            <w:noWrap/>
            <w:vAlign w:val="bottom"/>
            <w:hideMark/>
          </w:tcPr>
          <w:p w14:paraId="3A6443C0"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590 </w:t>
            </w:r>
          </w:p>
        </w:tc>
      </w:tr>
      <w:tr w:rsidR="00C3310F" w:rsidRPr="00C3310F" w14:paraId="4636FF9A" w14:textId="77777777" w:rsidTr="00AA146C">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010EDBEA" w14:textId="33C21785" w:rsidR="007441B4" w:rsidRPr="00C3310F" w:rsidRDefault="007441B4" w:rsidP="00AA146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板</w:t>
            </w:r>
            <w:r w:rsidR="00141FC6" w:rsidRPr="00C3310F">
              <w:rPr>
                <w:rFonts w:hAnsi="標楷體" w:cs="新細明體" w:hint="eastAsia"/>
                <w:kern w:val="0"/>
                <w:sz w:val="24"/>
                <w:szCs w:val="24"/>
              </w:rPr>
              <w:t>○</w:t>
            </w:r>
            <w:r w:rsidRPr="00C3310F">
              <w:rPr>
                <w:rFonts w:hAnsi="標楷體" w:cs="新細明體" w:hint="eastAsia"/>
                <w:kern w:val="0"/>
                <w:sz w:val="24"/>
                <w:szCs w:val="24"/>
              </w:rPr>
              <w:t xml:space="preserve">銀行                </w:t>
            </w:r>
          </w:p>
        </w:tc>
        <w:tc>
          <w:tcPr>
            <w:tcW w:w="850" w:type="dxa"/>
            <w:tcBorders>
              <w:top w:val="nil"/>
              <w:left w:val="nil"/>
              <w:bottom w:val="single" w:sz="4" w:space="0" w:color="auto"/>
              <w:right w:val="single" w:sz="4" w:space="0" w:color="auto"/>
            </w:tcBorders>
            <w:shd w:val="clear" w:color="auto" w:fill="auto"/>
            <w:noWrap/>
            <w:vAlign w:val="bottom"/>
            <w:hideMark/>
          </w:tcPr>
          <w:p w14:paraId="32173E0E"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173 </w:t>
            </w:r>
          </w:p>
        </w:tc>
        <w:tc>
          <w:tcPr>
            <w:tcW w:w="851" w:type="dxa"/>
            <w:tcBorders>
              <w:top w:val="nil"/>
              <w:left w:val="nil"/>
              <w:bottom w:val="single" w:sz="4" w:space="0" w:color="auto"/>
              <w:right w:val="single" w:sz="4" w:space="0" w:color="auto"/>
            </w:tcBorders>
            <w:shd w:val="clear" w:color="auto" w:fill="auto"/>
            <w:noWrap/>
            <w:vAlign w:val="bottom"/>
            <w:hideMark/>
          </w:tcPr>
          <w:p w14:paraId="40B472B5"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184 </w:t>
            </w:r>
          </w:p>
        </w:tc>
        <w:tc>
          <w:tcPr>
            <w:tcW w:w="850" w:type="dxa"/>
            <w:tcBorders>
              <w:top w:val="nil"/>
              <w:left w:val="nil"/>
              <w:bottom w:val="single" w:sz="4" w:space="0" w:color="auto"/>
              <w:right w:val="single" w:sz="4" w:space="0" w:color="auto"/>
            </w:tcBorders>
            <w:shd w:val="clear" w:color="auto" w:fill="auto"/>
            <w:noWrap/>
            <w:vAlign w:val="bottom"/>
            <w:hideMark/>
          </w:tcPr>
          <w:p w14:paraId="65A16401"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182 </w:t>
            </w:r>
          </w:p>
        </w:tc>
        <w:tc>
          <w:tcPr>
            <w:tcW w:w="851" w:type="dxa"/>
            <w:tcBorders>
              <w:top w:val="nil"/>
              <w:left w:val="nil"/>
              <w:bottom w:val="single" w:sz="4" w:space="0" w:color="auto"/>
              <w:right w:val="single" w:sz="4" w:space="0" w:color="auto"/>
            </w:tcBorders>
            <w:shd w:val="clear" w:color="auto" w:fill="auto"/>
            <w:noWrap/>
            <w:vAlign w:val="bottom"/>
            <w:hideMark/>
          </w:tcPr>
          <w:p w14:paraId="7B865F37"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188 </w:t>
            </w:r>
          </w:p>
        </w:tc>
        <w:tc>
          <w:tcPr>
            <w:tcW w:w="850" w:type="dxa"/>
            <w:tcBorders>
              <w:top w:val="nil"/>
              <w:left w:val="nil"/>
              <w:bottom w:val="single" w:sz="4" w:space="0" w:color="auto"/>
              <w:right w:val="single" w:sz="4" w:space="0" w:color="auto"/>
            </w:tcBorders>
            <w:shd w:val="clear" w:color="auto" w:fill="auto"/>
            <w:noWrap/>
            <w:vAlign w:val="bottom"/>
            <w:hideMark/>
          </w:tcPr>
          <w:p w14:paraId="6CFFAD8D"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188 </w:t>
            </w:r>
          </w:p>
        </w:tc>
        <w:tc>
          <w:tcPr>
            <w:tcW w:w="897" w:type="dxa"/>
            <w:tcBorders>
              <w:top w:val="nil"/>
              <w:left w:val="nil"/>
              <w:bottom w:val="single" w:sz="4" w:space="0" w:color="auto"/>
              <w:right w:val="single" w:sz="4" w:space="0" w:color="auto"/>
            </w:tcBorders>
            <w:shd w:val="clear" w:color="auto" w:fill="auto"/>
            <w:noWrap/>
            <w:vAlign w:val="bottom"/>
            <w:hideMark/>
          </w:tcPr>
          <w:p w14:paraId="27B1DBB5"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194 </w:t>
            </w:r>
          </w:p>
        </w:tc>
        <w:tc>
          <w:tcPr>
            <w:tcW w:w="897" w:type="dxa"/>
            <w:tcBorders>
              <w:top w:val="nil"/>
              <w:left w:val="nil"/>
              <w:bottom w:val="single" w:sz="4" w:space="0" w:color="auto"/>
              <w:right w:val="single" w:sz="4" w:space="0" w:color="auto"/>
            </w:tcBorders>
            <w:shd w:val="clear" w:color="auto" w:fill="auto"/>
            <w:noWrap/>
            <w:vAlign w:val="bottom"/>
            <w:hideMark/>
          </w:tcPr>
          <w:p w14:paraId="6D466E5E"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205 </w:t>
            </w:r>
          </w:p>
        </w:tc>
        <w:tc>
          <w:tcPr>
            <w:tcW w:w="897" w:type="dxa"/>
            <w:tcBorders>
              <w:top w:val="nil"/>
              <w:left w:val="nil"/>
              <w:bottom w:val="single" w:sz="4" w:space="0" w:color="auto"/>
              <w:right w:val="single" w:sz="4" w:space="0" w:color="auto"/>
            </w:tcBorders>
            <w:shd w:val="clear" w:color="auto" w:fill="auto"/>
            <w:noWrap/>
            <w:vAlign w:val="bottom"/>
            <w:hideMark/>
          </w:tcPr>
          <w:p w14:paraId="4204EE28"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211 </w:t>
            </w:r>
          </w:p>
        </w:tc>
        <w:tc>
          <w:tcPr>
            <w:tcW w:w="897" w:type="dxa"/>
            <w:tcBorders>
              <w:top w:val="nil"/>
              <w:left w:val="nil"/>
              <w:bottom w:val="single" w:sz="4" w:space="0" w:color="auto"/>
              <w:right w:val="single" w:sz="4" w:space="0" w:color="auto"/>
            </w:tcBorders>
            <w:shd w:val="clear" w:color="auto" w:fill="auto"/>
            <w:noWrap/>
            <w:vAlign w:val="bottom"/>
            <w:hideMark/>
          </w:tcPr>
          <w:p w14:paraId="52313E7C"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221 </w:t>
            </w:r>
          </w:p>
        </w:tc>
      </w:tr>
      <w:tr w:rsidR="00C3310F" w:rsidRPr="00C3310F" w14:paraId="580E8DD6" w14:textId="77777777" w:rsidTr="00AA146C">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46F887A5" w14:textId="27D78E26" w:rsidR="007441B4" w:rsidRPr="00C3310F" w:rsidRDefault="007441B4" w:rsidP="00AA146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三</w:t>
            </w:r>
            <w:r w:rsidR="00141FC6" w:rsidRPr="00C3310F">
              <w:rPr>
                <w:rFonts w:hAnsi="標楷體" w:cs="新細明體" w:hint="eastAsia"/>
                <w:kern w:val="0"/>
                <w:sz w:val="24"/>
                <w:szCs w:val="24"/>
              </w:rPr>
              <w:t>○</w:t>
            </w:r>
            <w:r w:rsidRPr="00C3310F">
              <w:rPr>
                <w:rFonts w:hAnsi="標楷體" w:cs="新細明體" w:hint="eastAsia"/>
                <w:kern w:val="0"/>
                <w:sz w:val="24"/>
                <w:szCs w:val="24"/>
              </w:rPr>
              <w:t xml:space="preserve">銀行                </w:t>
            </w:r>
          </w:p>
        </w:tc>
        <w:tc>
          <w:tcPr>
            <w:tcW w:w="850" w:type="dxa"/>
            <w:tcBorders>
              <w:top w:val="nil"/>
              <w:left w:val="nil"/>
              <w:bottom w:val="single" w:sz="4" w:space="0" w:color="auto"/>
              <w:right w:val="single" w:sz="4" w:space="0" w:color="auto"/>
            </w:tcBorders>
            <w:shd w:val="clear" w:color="auto" w:fill="auto"/>
            <w:noWrap/>
            <w:vAlign w:val="bottom"/>
            <w:hideMark/>
          </w:tcPr>
          <w:p w14:paraId="47789078"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85 </w:t>
            </w:r>
          </w:p>
        </w:tc>
        <w:tc>
          <w:tcPr>
            <w:tcW w:w="851" w:type="dxa"/>
            <w:tcBorders>
              <w:top w:val="nil"/>
              <w:left w:val="nil"/>
              <w:bottom w:val="single" w:sz="4" w:space="0" w:color="auto"/>
              <w:right w:val="single" w:sz="4" w:space="0" w:color="auto"/>
            </w:tcBorders>
            <w:shd w:val="clear" w:color="auto" w:fill="auto"/>
            <w:noWrap/>
            <w:vAlign w:val="bottom"/>
            <w:hideMark/>
          </w:tcPr>
          <w:p w14:paraId="774B2907"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88 </w:t>
            </w:r>
          </w:p>
        </w:tc>
        <w:tc>
          <w:tcPr>
            <w:tcW w:w="850" w:type="dxa"/>
            <w:tcBorders>
              <w:top w:val="nil"/>
              <w:left w:val="nil"/>
              <w:bottom w:val="single" w:sz="4" w:space="0" w:color="auto"/>
              <w:right w:val="single" w:sz="4" w:space="0" w:color="auto"/>
            </w:tcBorders>
            <w:shd w:val="clear" w:color="auto" w:fill="auto"/>
            <w:noWrap/>
            <w:vAlign w:val="bottom"/>
            <w:hideMark/>
          </w:tcPr>
          <w:p w14:paraId="1971DECB"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98 </w:t>
            </w:r>
          </w:p>
        </w:tc>
        <w:tc>
          <w:tcPr>
            <w:tcW w:w="851" w:type="dxa"/>
            <w:tcBorders>
              <w:top w:val="nil"/>
              <w:left w:val="nil"/>
              <w:bottom w:val="single" w:sz="4" w:space="0" w:color="auto"/>
              <w:right w:val="single" w:sz="4" w:space="0" w:color="auto"/>
            </w:tcBorders>
            <w:shd w:val="clear" w:color="auto" w:fill="auto"/>
            <w:noWrap/>
            <w:vAlign w:val="bottom"/>
            <w:hideMark/>
          </w:tcPr>
          <w:p w14:paraId="407CBEEE"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102 </w:t>
            </w:r>
          </w:p>
        </w:tc>
        <w:tc>
          <w:tcPr>
            <w:tcW w:w="850" w:type="dxa"/>
            <w:tcBorders>
              <w:top w:val="nil"/>
              <w:left w:val="nil"/>
              <w:bottom w:val="single" w:sz="4" w:space="0" w:color="auto"/>
              <w:right w:val="single" w:sz="4" w:space="0" w:color="auto"/>
            </w:tcBorders>
            <w:shd w:val="clear" w:color="auto" w:fill="auto"/>
            <w:noWrap/>
            <w:vAlign w:val="bottom"/>
            <w:hideMark/>
          </w:tcPr>
          <w:p w14:paraId="0CB5783F"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109 </w:t>
            </w:r>
          </w:p>
        </w:tc>
        <w:tc>
          <w:tcPr>
            <w:tcW w:w="897" w:type="dxa"/>
            <w:tcBorders>
              <w:top w:val="nil"/>
              <w:left w:val="nil"/>
              <w:bottom w:val="single" w:sz="4" w:space="0" w:color="auto"/>
              <w:right w:val="single" w:sz="4" w:space="0" w:color="auto"/>
            </w:tcBorders>
            <w:shd w:val="clear" w:color="auto" w:fill="auto"/>
            <w:noWrap/>
            <w:vAlign w:val="bottom"/>
            <w:hideMark/>
          </w:tcPr>
          <w:p w14:paraId="28D2BCD0"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134 </w:t>
            </w:r>
          </w:p>
        </w:tc>
        <w:tc>
          <w:tcPr>
            <w:tcW w:w="897" w:type="dxa"/>
            <w:tcBorders>
              <w:top w:val="nil"/>
              <w:left w:val="nil"/>
              <w:bottom w:val="single" w:sz="4" w:space="0" w:color="auto"/>
              <w:right w:val="single" w:sz="4" w:space="0" w:color="auto"/>
            </w:tcBorders>
            <w:shd w:val="clear" w:color="auto" w:fill="auto"/>
            <w:noWrap/>
            <w:vAlign w:val="bottom"/>
            <w:hideMark/>
          </w:tcPr>
          <w:p w14:paraId="37A24CAF"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163 </w:t>
            </w:r>
          </w:p>
        </w:tc>
        <w:tc>
          <w:tcPr>
            <w:tcW w:w="897" w:type="dxa"/>
            <w:tcBorders>
              <w:top w:val="nil"/>
              <w:left w:val="nil"/>
              <w:bottom w:val="single" w:sz="4" w:space="0" w:color="auto"/>
              <w:right w:val="single" w:sz="4" w:space="0" w:color="auto"/>
            </w:tcBorders>
            <w:shd w:val="clear" w:color="auto" w:fill="auto"/>
            <w:noWrap/>
            <w:vAlign w:val="bottom"/>
            <w:hideMark/>
          </w:tcPr>
          <w:p w14:paraId="6864963C"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190 </w:t>
            </w:r>
          </w:p>
        </w:tc>
        <w:tc>
          <w:tcPr>
            <w:tcW w:w="897" w:type="dxa"/>
            <w:tcBorders>
              <w:top w:val="nil"/>
              <w:left w:val="nil"/>
              <w:bottom w:val="single" w:sz="4" w:space="0" w:color="auto"/>
              <w:right w:val="single" w:sz="4" w:space="0" w:color="auto"/>
            </w:tcBorders>
            <w:shd w:val="clear" w:color="auto" w:fill="auto"/>
            <w:noWrap/>
            <w:vAlign w:val="bottom"/>
            <w:hideMark/>
          </w:tcPr>
          <w:p w14:paraId="75E472A1"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210 </w:t>
            </w:r>
          </w:p>
        </w:tc>
      </w:tr>
      <w:tr w:rsidR="00C3310F" w:rsidRPr="00C3310F" w14:paraId="33FDA293" w14:textId="77777777" w:rsidTr="00AA146C">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4164349E" w14:textId="0BE9B309" w:rsidR="007441B4" w:rsidRPr="00C3310F" w:rsidRDefault="007441B4" w:rsidP="00AA146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聯</w:t>
            </w:r>
            <w:r w:rsidR="00141FC6" w:rsidRPr="00C3310F">
              <w:rPr>
                <w:rFonts w:hAnsi="標楷體" w:cs="新細明體" w:hint="eastAsia"/>
                <w:kern w:val="0"/>
                <w:sz w:val="24"/>
                <w:szCs w:val="24"/>
              </w:rPr>
              <w:t>○</w:t>
            </w:r>
            <w:r w:rsidRPr="00C3310F">
              <w:rPr>
                <w:rFonts w:hAnsi="標楷體" w:cs="新細明體" w:hint="eastAsia"/>
                <w:kern w:val="0"/>
                <w:sz w:val="24"/>
                <w:szCs w:val="24"/>
              </w:rPr>
              <w:t xml:space="preserve">銀行                </w:t>
            </w:r>
          </w:p>
        </w:tc>
        <w:tc>
          <w:tcPr>
            <w:tcW w:w="850" w:type="dxa"/>
            <w:tcBorders>
              <w:top w:val="nil"/>
              <w:left w:val="nil"/>
              <w:bottom w:val="single" w:sz="4" w:space="0" w:color="auto"/>
              <w:right w:val="single" w:sz="4" w:space="0" w:color="auto"/>
            </w:tcBorders>
            <w:shd w:val="clear" w:color="auto" w:fill="auto"/>
            <w:noWrap/>
            <w:vAlign w:val="bottom"/>
            <w:hideMark/>
          </w:tcPr>
          <w:p w14:paraId="3C435E20"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832 </w:t>
            </w:r>
          </w:p>
        </w:tc>
        <w:tc>
          <w:tcPr>
            <w:tcW w:w="851" w:type="dxa"/>
            <w:tcBorders>
              <w:top w:val="nil"/>
              <w:left w:val="nil"/>
              <w:bottom w:val="single" w:sz="4" w:space="0" w:color="auto"/>
              <w:right w:val="single" w:sz="4" w:space="0" w:color="auto"/>
            </w:tcBorders>
            <w:shd w:val="clear" w:color="auto" w:fill="auto"/>
            <w:noWrap/>
            <w:vAlign w:val="bottom"/>
            <w:hideMark/>
          </w:tcPr>
          <w:p w14:paraId="7F7ECB76"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913 </w:t>
            </w:r>
          </w:p>
        </w:tc>
        <w:tc>
          <w:tcPr>
            <w:tcW w:w="850" w:type="dxa"/>
            <w:tcBorders>
              <w:top w:val="nil"/>
              <w:left w:val="nil"/>
              <w:bottom w:val="single" w:sz="4" w:space="0" w:color="auto"/>
              <w:right w:val="single" w:sz="4" w:space="0" w:color="auto"/>
            </w:tcBorders>
            <w:shd w:val="clear" w:color="auto" w:fill="auto"/>
            <w:noWrap/>
            <w:vAlign w:val="bottom"/>
            <w:hideMark/>
          </w:tcPr>
          <w:p w14:paraId="3E5065E7"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951 </w:t>
            </w:r>
          </w:p>
        </w:tc>
        <w:tc>
          <w:tcPr>
            <w:tcW w:w="851" w:type="dxa"/>
            <w:tcBorders>
              <w:top w:val="nil"/>
              <w:left w:val="nil"/>
              <w:bottom w:val="single" w:sz="4" w:space="0" w:color="auto"/>
              <w:right w:val="single" w:sz="4" w:space="0" w:color="auto"/>
            </w:tcBorders>
            <w:shd w:val="clear" w:color="auto" w:fill="auto"/>
            <w:noWrap/>
            <w:vAlign w:val="bottom"/>
            <w:hideMark/>
          </w:tcPr>
          <w:p w14:paraId="2D622875"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993 </w:t>
            </w:r>
          </w:p>
        </w:tc>
        <w:tc>
          <w:tcPr>
            <w:tcW w:w="850" w:type="dxa"/>
            <w:tcBorders>
              <w:top w:val="nil"/>
              <w:left w:val="nil"/>
              <w:bottom w:val="single" w:sz="4" w:space="0" w:color="auto"/>
              <w:right w:val="single" w:sz="4" w:space="0" w:color="auto"/>
            </w:tcBorders>
            <w:shd w:val="clear" w:color="auto" w:fill="auto"/>
            <w:noWrap/>
            <w:vAlign w:val="bottom"/>
            <w:hideMark/>
          </w:tcPr>
          <w:p w14:paraId="29B6ECAB"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1,041 </w:t>
            </w:r>
          </w:p>
        </w:tc>
        <w:tc>
          <w:tcPr>
            <w:tcW w:w="897" w:type="dxa"/>
            <w:tcBorders>
              <w:top w:val="nil"/>
              <w:left w:val="nil"/>
              <w:bottom w:val="single" w:sz="4" w:space="0" w:color="auto"/>
              <w:right w:val="single" w:sz="4" w:space="0" w:color="auto"/>
            </w:tcBorders>
            <w:shd w:val="clear" w:color="auto" w:fill="auto"/>
            <w:noWrap/>
            <w:vAlign w:val="bottom"/>
            <w:hideMark/>
          </w:tcPr>
          <w:p w14:paraId="69A21FA1"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1,144 </w:t>
            </w:r>
          </w:p>
        </w:tc>
        <w:tc>
          <w:tcPr>
            <w:tcW w:w="897" w:type="dxa"/>
            <w:tcBorders>
              <w:top w:val="nil"/>
              <w:left w:val="nil"/>
              <w:bottom w:val="single" w:sz="4" w:space="0" w:color="auto"/>
              <w:right w:val="single" w:sz="4" w:space="0" w:color="auto"/>
            </w:tcBorders>
            <w:shd w:val="clear" w:color="auto" w:fill="auto"/>
            <w:noWrap/>
            <w:vAlign w:val="bottom"/>
            <w:hideMark/>
          </w:tcPr>
          <w:p w14:paraId="0BA45695"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1,237 </w:t>
            </w:r>
          </w:p>
        </w:tc>
        <w:tc>
          <w:tcPr>
            <w:tcW w:w="897" w:type="dxa"/>
            <w:tcBorders>
              <w:top w:val="nil"/>
              <w:left w:val="nil"/>
              <w:bottom w:val="single" w:sz="4" w:space="0" w:color="auto"/>
              <w:right w:val="single" w:sz="4" w:space="0" w:color="auto"/>
            </w:tcBorders>
            <w:shd w:val="clear" w:color="auto" w:fill="auto"/>
            <w:noWrap/>
            <w:vAlign w:val="bottom"/>
            <w:hideMark/>
          </w:tcPr>
          <w:p w14:paraId="3A9A459B"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1,328 </w:t>
            </w:r>
          </w:p>
        </w:tc>
        <w:tc>
          <w:tcPr>
            <w:tcW w:w="897" w:type="dxa"/>
            <w:tcBorders>
              <w:top w:val="nil"/>
              <w:left w:val="nil"/>
              <w:bottom w:val="single" w:sz="4" w:space="0" w:color="auto"/>
              <w:right w:val="single" w:sz="4" w:space="0" w:color="auto"/>
            </w:tcBorders>
            <w:shd w:val="clear" w:color="auto" w:fill="auto"/>
            <w:noWrap/>
            <w:vAlign w:val="bottom"/>
            <w:hideMark/>
          </w:tcPr>
          <w:p w14:paraId="4B6D1CFB"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1,459 </w:t>
            </w:r>
          </w:p>
        </w:tc>
      </w:tr>
      <w:tr w:rsidR="00C3310F" w:rsidRPr="00C3310F" w14:paraId="13A56D8A" w14:textId="77777777" w:rsidTr="00AA146C">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2452AFA1" w14:textId="76F80950" w:rsidR="007441B4" w:rsidRPr="00C3310F" w:rsidRDefault="007441B4" w:rsidP="00AA146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遠</w:t>
            </w:r>
            <w:r w:rsidR="00141FC6" w:rsidRPr="00C3310F">
              <w:rPr>
                <w:rFonts w:hAnsi="標楷體" w:cs="新細明體" w:hint="eastAsia"/>
                <w:kern w:val="0"/>
                <w:sz w:val="24"/>
                <w:szCs w:val="24"/>
              </w:rPr>
              <w:t>○</w:t>
            </w:r>
            <w:r w:rsidRPr="00C3310F">
              <w:rPr>
                <w:rFonts w:hAnsi="標楷體" w:cs="新細明體" w:hint="eastAsia"/>
                <w:kern w:val="0"/>
                <w:sz w:val="24"/>
                <w:szCs w:val="24"/>
              </w:rPr>
              <w:t xml:space="preserve">銀行                </w:t>
            </w:r>
          </w:p>
        </w:tc>
        <w:tc>
          <w:tcPr>
            <w:tcW w:w="850" w:type="dxa"/>
            <w:tcBorders>
              <w:top w:val="nil"/>
              <w:left w:val="nil"/>
              <w:bottom w:val="single" w:sz="4" w:space="0" w:color="auto"/>
              <w:right w:val="single" w:sz="4" w:space="0" w:color="auto"/>
            </w:tcBorders>
            <w:shd w:val="clear" w:color="auto" w:fill="auto"/>
            <w:noWrap/>
            <w:vAlign w:val="bottom"/>
            <w:hideMark/>
          </w:tcPr>
          <w:p w14:paraId="13287F3E"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430 </w:t>
            </w:r>
          </w:p>
        </w:tc>
        <w:tc>
          <w:tcPr>
            <w:tcW w:w="851" w:type="dxa"/>
            <w:tcBorders>
              <w:top w:val="nil"/>
              <w:left w:val="nil"/>
              <w:bottom w:val="single" w:sz="4" w:space="0" w:color="auto"/>
              <w:right w:val="single" w:sz="4" w:space="0" w:color="auto"/>
            </w:tcBorders>
            <w:shd w:val="clear" w:color="auto" w:fill="auto"/>
            <w:noWrap/>
            <w:vAlign w:val="bottom"/>
            <w:hideMark/>
          </w:tcPr>
          <w:p w14:paraId="13A63981"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458 </w:t>
            </w:r>
          </w:p>
        </w:tc>
        <w:tc>
          <w:tcPr>
            <w:tcW w:w="850" w:type="dxa"/>
            <w:tcBorders>
              <w:top w:val="nil"/>
              <w:left w:val="nil"/>
              <w:bottom w:val="single" w:sz="4" w:space="0" w:color="auto"/>
              <w:right w:val="single" w:sz="4" w:space="0" w:color="auto"/>
            </w:tcBorders>
            <w:shd w:val="clear" w:color="auto" w:fill="auto"/>
            <w:noWrap/>
            <w:vAlign w:val="bottom"/>
            <w:hideMark/>
          </w:tcPr>
          <w:p w14:paraId="6AF8C461"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464 </w:t>
            </w:r>
          </w:p>
        </w:tc>
        <w:tc>
          <w:tcPr>
            <w:tcW w:w="851" w:type="dxa"/>
            <w:tcBorders>
              <w:top w:val="nil"/>
              <w:left w:val="nil"/>
              <w:bottom w:val="single" w:sz="4" w:space="0" w:color="auto"/>
              <w:right w:val="single" w:sz="4" w:space="0" w:color="auto"/>
            </w:tcBorders>
            <w:shd w:val="clear" w:color="auto" w:fill="auto"/>
            <w:noWrap/>
            <w:vAlign w:val="bottom"/>
            <w:hideMark/>
          </w:tcPr>
          <w:p w14:paraId="6492B81E"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510 </w:t>
            </w:r>
          </w:p>
        </w:tc>
        <w:tc>
          <w:tcPr>
            <w:tcW w:w="850" w:type="dxa"/>
            <w:tcBorders>
              <w:top w:val="nil"/>
              <w:left w:val="nil"/>
              <w:bottom w:val="single" w:sz="4" w:space="0" w:color="auto"/>
              <w:right w:val="single" w:sz="4" w:space="0" w:color="auto"/>
            </w:tcBorders>
            <w:shd w:val="clear" w:color="auto" w:fill="auto"/>
            <w:noWrap/>
            <w:vAlign w:val="bottom"/>
            <w:hideMark/>
          </w:tcPr>
          <w:p w14:paraId="6BAE52E7"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512 </w:t>
            </w:r>
          </w:p>
        </w:tc>
        <w:tc>
          <w:tcPr>
            <w:tcW w:w="897" w:type="dxa"/>
            <w:tcBorders>
              <w:top w:val="nil"/>
              <w:left w:val="nil"/>
              <w:bottom w:val="single" w:sz="4" w:space="0" w:color="auto"/>
              <w:right w:val="single" w:sz="4" w:space="0" w:color="auto"/>
            </w:tcBorders>
            <w:shd w:val="clear" w:color="auto" w:fill="auto"/>
            <w:noWrap/>
            <w:vAlign w:val="bottom"/>
            <w:hideMark/>
          </w:tcPr>
          <w:p w14:paraId="19AF595D"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559 </w:t>
            </w:r>
          </w:p>
        </w:tc>
        <w:tc>
          <w:tcPr>
            <w:tcW w:w="897" w:type="dxa"/>
            <w:tcBorders>
              <w:top w:val="nil"/>
              <w:left w:val="nil"/>
              <w:bottom w:val="single" w:sz="4" w:space="0" w:color="auto"/>
              <w:right w:val="single" w:sz="4" w:space="0" w:color="auto"/>
            </w:tcBorders>
            <w:shd w:val="clear" w:color="auto" w:fill="auto"/>
            <w:noWrap/>
            <w:vAlign w:val="bottom"/>
            <w:hideMark/>
          </w:tcPr>
          <w:p w14:paraId="7703F88F"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592 </w:t>
            </w:r>
          </w:p>
        </w:tc>
        <w:tc>
          <w:tcPr>
            <w:tcW w:w="897" w:type="dxa"/>
            <w:tcBorders>
              <w:top w:val="nil"/>
              <w:left w:val="nil"/>
              <w:bottom w:val="single" w:sz="4" w:space="0" w:color="auto"/>
              <w:right w:val="single" w:sz="4" w:space="0" w:color="auto"/>
            </w:tcBorders>
            <w:shd w:val="clear" w:color="auto" w:fill="auto"/>
            <w:noWrap/>
            <w:vAlign w:val="bottom"/>
            <w:hideMark/>
          </w:tcPr>
          <w:p w14:paraId="6E63737E"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643 </w:t>
            </w:r>
          </w:p>
        </w:tc>
        <w:tc>
          <w:tcPr>
            <w:tcW w:w="897" w:type="dxa"/>
            <w:tcBorders>
              <w:top w:val="nil"/>
              <w:left w:val="nil"/>
              <w:bottom w:val="single" w:sz="4" w:space="0" w:color="auto"/>
              <w:right w:val="single" w:sz="4" w:space="0" w:color="auto"/>
            </w:tcBorders>
            <w:shd w:val="clear" w:color="auto" w:fill="auto"/>
            <w:noWrap/>
            <w:vAlign w:val="bottom"/>
            <w:hideMark/>
          </w:tcPr>
          <w:p w14:paraId="78529830"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716 </w:t>
            </w:r>
          </w:p>
        </w:tc>
      </w:tr>
      <w:tr w:rsidR="00C3310F" w:rsidRPr="00C3310F" w14:paraId="5F432476" w14:textId="77777777" w:rsidTr="00AA146C">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4C680399" w14:textId="65A18D85" w:rsidR="007441B4" w:rsidRPr="00C3310F" w:rsidRDefault="007441B4" w:rsidP="00AA146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元</w:t>
            </w:r>
            <w:r w:rsidR="00141FC6" w:rsidRPr="00C3310F">
              <w:rPr>
                <w:rFonts w:hAnsi="標楷體" w:cs="新細明體" w:hint="eastAsia"/>
                <w:kern w:val="0"/>
                <w:sz w:val="24"/>
                <w:szCs w:val="24"/>
              </w:rPr>
              <w:t>○</w:t>
            </w:r>
            <w:r w:rsidRPr="00C3310F">
              <w:rPr>
                <w:rFonts w:hAnsi="標楷體" w:cs="新細明體" w:hint="eastAsia"/>
                <w:kern w:val="0"/>
                <w:sz w:val="24"/>
                <w:szCs w:val="24"/>
              </w:rPr>
              <w:t xml:space="preserve">銀行                </w:t>
            </w:r>
          </w:p>
        </w:tc>
        <w:tc>
          <w:tcPr>
            <w:tcW w:w="850" w:type="dxa"/>
            <w:tcBorders>
              <w:top w:val="nil"/>
              <w:left w:val="nil"/>
              <w:bottom w:val="single" w:sz="4" w:space="0" w:color="auto"/>
              <w:right w:val="single" w:sz="4" w:space="0" w:color="auto"/>
            </w:tcBorders>
            <w:shd w:val="clear" w:color="auto" w:fill="auto"/>
            <w:noWrap/>
            <w:vAlign w:val="bottom"/>
            <w:hideMark/>
          </w:tcPr>
          <w:p w14:paraId="4D5EF4D3"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839 </w:t>
            </w:r>
          </w:p>
        </w:tc>
        <w:tc>
          <w:tcPr>
            <w:tcW w:w="851" w:type="dxa"/>
            <w:tcBorders>
              <w:top w:val="nil"/>
              <w:left w:val="nil"/>
              <w:bottom w:val="single" w:sz="4" w:space="0" w:color="auto"/>
              <w:right w:val="single" w:sz="4" w:space="0" w:color="auto"/>
            </w:tcBorders>
            <w:shd w:val="clear" w:color="auto" w:fill="auto"/>
            <w:noWrap/>
            <w:vAlign w:val="bottom"/>
            <w:hideMark/>
          </w:tcPr>
          <w:p w14:paraId="4EE3203D"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936 </w:t>
            </w:r>
          </w:p>
        </w:tc>
        <w:tc>
          <w:tcPr>
            <w:tcW w:w="850" w:type="dxa"/>
            <w:tcBorders>
              <w:top w:val="nil"/>
              <w:left w:val="nil"/>
              <w:bottom w:val="single" w:sz="4" w:space="0" w:color="auto"/>
              <w:right w:val="single" w:sz="4" w:space="0" w:color="auto"/>
            </w:tcBorders>
            <w:shd w:val="clear" w:color="auto" w:fill="auto"/>
            <w:noWrap/>
            <w:vAlign w:val="bottom"/>
            <w:hideMark/>
          </w:tcPr>
          <w:p w14:paraId="7A5898FA"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1,022 </w:t>
            </w:r>
          </w:p>
        </w:tc>
        <w:tc>
          <w:tcPr>
            <w:tcW w:w="851" w:type="dxa"/>
            <w:tcBorders>
              <w:top w:val="nil"/>
              <w:left w:val="nil"/>
              <w:bottom w:val="single" w:sz="4" w:space="0" w:color="auto"/>
              <w:right w:val="single" w:sz="4" w:space="0" w:color="auto"/>
            </w:tcBorders>
            <w:shd w:val="clear" w:color="auto" w:fill="auto"/>
            <w:noWrap/>
            <w:vAlign w:val="bottom"/>
            <w:hideMark/>
          </w:tcPr>
          <w:p w14:paraId="33F1A056"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1,110 </w:t>
            </w:r>
          </w:p>
        </w:tc>
        <w:tc>
          <w:tcPr>
            <w:tcW w:w="850" w:type="dxa"/>
            <w:tcBorders>
              <w:top w:val="nil"/>
              <w:left w:val="nil"/>
              <w:bottom w:val="single" w:sz="4" w:space="0" w:color="auto"/>
              <w:right w:val="single" w:sz="4" w:space="0" w:color="auto"/>
            </w:tcBorders>
            <w:shd w:val="clear" w:color="auto" w:fill="auto"/>
            <w:noWrap/>
            <w:vAlign w:val="bottom"/>
            <w:hideMark/>
          </w:tcPr>
          <w:p w14:paraId="57A0E446"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1,200 </w:t>
            </w:r>
          </w:p>
        </w:tc>
        <w:tc>
          <w:tcPr>
            <w:tcW w:w="897" w:type="dxa"/>
            <w:tcBorders>
              <w:top w:val="nil"/>
              <w:left w:val="nil"/>
              <w:bottom w:val="single" w:sz="4" w:space="0" w:color="auto"/>
              <w:right w:val="single" w:sz="4" w:space="0" w:color="auto"/>
            </w:tcBorders>
            <w:shd w:val="clear" w:color="auto" w:fill="auto"/>
            <w:noWrap/>
            <w:vAlign w:val="bottom"/>
            <w:hideMark/>
          </w:tcPr>
          <w:p w14:paraId="526233E2"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1,355 </w:t>
            </w:r>
          </w:p>
        </w:tc>
        <w:tc>
          <w:tcPr>
            <w:tcW w:w="897" w:type="dxa"/>
            <w:tcBorders>
              <w:top w:val="nil"/>
              <w:left w:val="nil"/>
              <w:bottom w:val="single" w:sz="4" w:space="0" w:color="auto"/>
              <w:right w:val="single" w:sz="4" w:space="0" w:color="auto"/>
            </w:tcBorders>
            <w:shd w:val="clear" w:color="auto" w:fill="auto"/>
            <w:noWrap/>
            <w:vAlign w:val="bottom"/>
            <w:hideMark/>
          </w:tcPr>
          <w:p w14:paraId="1C6D58DE"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1,465 </w:t>
            </w:r>
          </w:p>
        </w:tc>
        <w:tc>
          <w:tcPr>
            <w:tcW w:w="897" w:type="dxa"/>
            <w:tcBorders>
              <w:top w:val="nil"/>
              <w:left w:val="nil"/>
              <w:bottom w:val="single" w:sz="4" w:space="0" w:color="auto"/>
              <w:right w:val="single" w:sz="4" w:space="0" w:color="auto"/>
            </w:tcBorders>
            <w:shd w:val="clear" w:color="auto" w:fill="auto"/>
            <w:noWrap/>
            <w:vAlign w:val="bottom"/>
            <w:hideMark/>
          </w:tcPr>
          <w:p w14:paraId="29F7087A"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1,610 </w:t>
            </w:r>
          </w:p>
        </w:tc>
        <w:tc>
          <w:tcPr>
            <w:tcW w:w="897" w:type="dxa"/>
            <w:tcBorders>
              <w:top w:val="nil"/>
              <w:left w:val="nil"/>
              <w:bottom w:val="single" w:sz="4" w:space="0" w:color="auto"/>
              <w:right w:val="single" w:sz="4" w:space="0" w:color="auto"/>
            </w:tcBorders>
            <w:shd w:val="clear" w:color="auto" w:fill="auto"/>
            <w:noWrap/>
            <w:vAlign w:val="bottom"/>
            <w:hideMark/>
          </w:tcPr>
          <w:p w14:paraId="050D0345"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1,748 </w:t>
            </w:r>
          </w:p>
        </w:tc>
      </w:tr>
      <w:tr w:rsidR="00C3310F" w:rsidRPr="00C3310F" w14:paraId="6B46C104" w14:textId="77777777" w:rsidTr="00AA146C">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2DDABE20" w14:textId="199EB60E" w:rsidR="007441B4" w:rsidRPr="00C3310F" w:rsidRDefault="007441B4" w:rsidP="00AA146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永</w:t>
            </w:r>
            <w:r w:rsidR="00141FC6" w:rsidRPr="00C3310F">
              <w:rPr>
                <w:rFonts w:hAnsi="標楷體" w:cs="新細明體" w:hint="eastAsia"/>
                <w:kern w:val="0"/>
                <w:sz w:val="24"/>
                <w:szCs w:val="24"/>
              </w:rPr>
              <w:t>○</w:t>
            </w:r>
            <w:r w:rsidRPr="00C3310F">
              <w:rPr>
                <w:rFonts w:hAnsi="標楷體" w:cs="新細明體" w:hint="eastAsia"/>
                <w:kern w:val="0"/>
                <w:sz w:val="24"/>
                <w:szCs w:val="24"/>
              </w:rPr>
              <w:t xml:space="preserve">銀行                </w:t>
            </w:r>
          </w:p>
        </w:tc>
        <w:tc>
          <w:tcPr>
            <w:tcW w:w="850" w:type="dxa"/>
            <w:tcBorders>
              <w:top w:val="nil"/>
              <w:left w:val="nil"/>
              <w:bottom w:val="single" w:sz="4" w:space="0" w:color="auto"/>
              <w:right w:val="single" w:sz="4" w:space="0" w:color="auto"/>
            </w:tcBorders>
            <w:shd w:val="clear" w:color="auto" w:fill="auto"/>
            <w:noWrap/>
            <w:vAlign w:val="bottom"/>
            <w:hideMark/>
          </w:tcPr>
          <w:p w14:paraId="3BBCA3BF"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1,725 </w:t>
            </w:r>
          </w:p>
        </w:tc>
        <w:tc>
          <w:tcPr>
            <w:tcW w:w="851" w:type="dxa"/>
            <w:tcBorders>
              <w:top w:val="nil"/>
              <w:left w:val="nil"/>
              <w:bottom w:val="single" w:sz="4" w:space="0" w:color="auto"/>
              <w:right w:val="single" w:sz="4" w:space="0" w:color="auto"/>
            </w:tcBorders>
            <w:shd w:val="clear" w:color="auto" w:fill="auto"/>
            <w:noWrap/>
            <w:vAlign w:val="bottom"/>
            <w:hideMark/>
          </w:tcPr>
          <w:p w14:paraId="4EE2B339"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1,929 </w:t>
            </w:r>
          </w:p>
        </w:tc>
        <w:tc>
          <w:tcPr>
            <w:tcW w:w="850" w:type="dxa"/>
            <w:tcBorders>
              <w:top w:val="nil"/>
              <w:left w:val="nil"/>
              <w:bottom w:val="single" w:sz="4" w:space="0" w:color="auto"/>
              <w:right w:val="single" w:sz="4" w:space="0" w:color="auto"/>
            </w:tcBorders>
            <w:shd w:val="clear" w:color="auto" w:fill="auto"/>
            <w:noWrap/>
            <w:vAlign w:val="bottom"/>
            <w:hideMark/>
          </w:tcPr>
          <w:p w14:paraId="6A026D91"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2,131 </w:t>
            </w:r>
          </w:p>
        </w:tc>
        <w:tc>
          <w:tcPr>
            <w:tcW w:w="851" w:type="dxa"/>
            <w:tcBorders>
              <w:top w:val="nil"/>
              <w:left w:val="nil"/>
              <w:bottom w:val="single" w:sz="4" w:space="0" w:color="auto"/>
              <w:right w:val="single" w:sz="4" w:space="0" w:color="auto"/>
            </w:tcBorders>
            <w:shd w:val="clear" w:color="auto" w:fill="auto"/>
            <w:noWrap/>
            <w:vAlign w:val="bottom"/>
            <w:hideMark/>
          </w:tcPr>
          <w:p w14:paraId="7A324809"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2,336 </w:t>
            </w:r>
          </w:p>
        </w:tc>
        <w:tc>
          <w:tcPr>
            <w:tcW w:w="850" w:type="dxa"/>
            <w:tcBorders>
              <w:top w:val="nil"/>
              <w:left w:val="nil"/>
              <w:bottom w:val="single" w:sz="4" w:space="0" w:color="auto"/>
              <w:right w:val="single" w:sz="4" w:space="0" w:color="auto"/>
            </w:tcBorders>
            <w:shd w:val="clear" w:color="auto" w:fill="auto"/>
            <w:noWrap/>
            <w:vAlign w:val="bottom"/>
            <w:hideMark/>
          </w:tcPr>
          <w:p w14:paraId="760284D7"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2,456 </w:t>
            </w:r>
          </w:p>
        </w:tc>
        <w:tc>
          <w:tcPr>
            <w:tcW w:w="897" w:type="dxa"/>
            <w:tcBorders>
              <w:top w:val="nil"/>
              <w:left w:val="nil"/>
              <w:bottom w:val="single" w:sz="4" w:space="0" w:color="auto"/>
              <w:right w:val="single" w:sz="4" w:space="0" w:color="auto"/>
            </w:tcBorders>
            <w:shd w:val="clear" w:color="auto" w:fill="auto"/>
            <w:noWrap/>
            <w:vAlign w:val="bottom"/>
            <w:hideMark/>
          </w:tcPr>
          <w:p w14:paraId="59AF2ACF"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2,735 </w:t>
            </w:r>
          </w:p>
        </w:tc>
        <w:tc>
          <w:tcPr>
            <w:tcW w:w="897" w:type="dxa"/>
            <w:tcBorders>
              <w:top w:val="nil"/>
              <w:left w:val="nil"/>
              <w:bottom w:val="single" w:sz="4" w:space="0" w:color="auto"/>
              <w:right w:val="single" w:sz="4" w:space="0" w:color="auto"/>
            </w:tcBorders>
            <w:shd w:val="clear" w:color="auto" w:fill="auto"/>
            <w:noWrap/>
            <w:vAlign w:val="bottom"/>
            <w:hideMark/>
          </w:tcPr>
          <w:p w14:paraId="300A2709"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2,868 </w:t>
            </w:r>
          </w:p>
        </w:tc>
        <w:tc>
          <w:tcPr>
            <w:tcW w:w="897" w:type="dxa"/>
            <w:tcBorders>
              <w:top w:val="nil"/>
              <w:left w:val="nil"/>
              <w:bottom w:val="single" w:sz="4" w:space="0" w:color="auto"/>
              <w:right w:val="single" w:sz="4" w:space="0" w:color="auto"/>
            </w:tcBorders>
            <w:shd w:val="clear" w:color="auto" w:fill="auto"/>
            <w:noWrap/>
            <w:vAlign w:val="bottom"/>
            <w:hideMark/>
          </w:tcPr>
          <w:p w14:paraId="108843F6"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3,026 </w:t>
            </w:r>
          </w:p>
        </w:tc>
        <w:tc>
          <w:tcPr>
            <w:tcW w:w="897" w:type="dxa"/>
            <w:tcBorders>
              <w:top w:val="nil"/>
              <w:left w:val="nil"/>
              <w:bottom w:val="single" w:sz="4" w:space="0" w:color="auto"/>
              <w:right w:val="single" w:sz="4" w:space="0" w:color="auto"/>
            </w:tcBorders>
            <w:shd w:val="clear" w:color="auto" w:fill="auto"/>
            <w:noWrap/>
            <w:vAlign w:val="bottom"/>
            <w:hideMark/>
          </w:tcPr>
          <w:p w14:paraId="56A3F6FA"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3,132 </w:t>
            </w:r>
          </w:p>
        </w:tc>
      </w:tr>
      <w:tr w:rsidR="00C3310F" w:rsidRPr="00C3310F" w14:paraId="14AC1A3C" w14:textId="77777777" w:rsidTr="00AA146C">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14679B62" w14:textId="3A23ACAE" w:rsidR="007441B4" w:rsidRPr="00C3310F" w:rsidRDefault="007441B4" w:rsidP="00AA146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玉</w:t>
            </w:r>
            <w:r w:rsidR="00141FC6" w:rsidRPr="00C3310F">
              <w:rPr>
                <w:rFonts w:hAnsi="標楷體" w:cs="新細明體" w:hint="eastAsia"/>
                <w:kern w:val="0"/>
                <w:sz w:val="24"/>
                <w:szCs w:val="24"/>
              </w:rPr>
              <w:t>○</w:t>
            </w:r>
            <w:r w:rsidRPr="00C3310F">
              <w:rPr>
                <w:rFonts w:hAnsi="標楷體" w:cs="新細明體" w:hint="eastAsia"/>
                <w:kern w:val="0"/>
                <w:sz w:val="24"/>
                <w:szCs w:val="24"/>
              </w:rPr>
              <w:t xml:space="preserve">銀行                </w:t>
            </w:r>
          </w:p>
        </w:tc>
        <w:tc>
          <w:tcPr>
            <w:tcW w:w="850" w:type="dxa"/>
            <w:tcBorders>
              <w:top w:val="nil"/>
              <w:left w:val="nil"/>
              <w:bottom w:val="single" w:sz="4" w:space="0" w:color="auto"/>
              <w:right w:val="single" w:sz="4" w:space="0" w:color="auto"/>
            </w:tcBorders>
            <w:shd w:val="clear" w:color="auto" w:fill="auto"/>
            <w:noWrap/>
            <w:vAlign w:val="bottom"/>
            <w:hideMark/>
          </w:tcPr>
          <w:p w14:paraId="65C0CBDA"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3,897 </w:t>
            </w:r>
          </w:p>
        </w:tc>
        <w:tc>
          <w:tcPr>
            <w:tcW w:w="851" w:type="dxa"/>
            <w:tcBorders>
              <w:top w:val="nil"/>
              <w:left w:val="nil"/>
              <w:bottom w:val="single" w:sz="4" w:space="0" w:color="auto"/>
              <w:right w:val="single" w:sz="4" w:space="0" w:color="auto"/>
            </w:tcBorders>
            <w:shd w:val="clear" w:color="auto" w:fill="auto"/>
            <w:noWrap/>
            <w:vAlign w:val="bottom"/>
            <w:hideMark/>
          </w:tcPr>
          <w:p w14:paraId="30594E73"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4,238 </w:t>
            </w:r>
          </w:p>
        </w:tc>
        <w:tc>
          <w:tcPr>
            <w:tcW w:w="850" w:type="dxa"/>
            <w:tcBorders>
              <w:top w:val="nil"/>
              <w:left w:val="nil"/>
              <w:bottom w:val="single" w:sz="4" w:space="0" w:color="auto"/>
              <w:right w:val="single" w:sz="4" w:space="0" w:color="auto"/>
            </w:tcBorders>
            <w:shd w:val="clear" w:color="auto" w:fill="auto"/>
            <w:noWrap/>
            <w:vAlign w:val="bottom"/>
            <w:hideMark/>
          </w:tcPr>
          <w:p w14:paraId="6D236CF6"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4,365 </w:t>
            </w:r>
          </w:p>
        </w:tc>
        <w:tc>
          <w:tcPr>
            <w:tcW w:w="851" w:type="dxa"/>
            <w:tcBorders>
              <w:top w:val="nil"/>
              <w:left w:val="nil"/>
              <w:bottom w:val="single" w:sz="4" w:space="0" w:color="auto"/>
              <w:right w:val="single" w:sz="4" w:space="0" w:color="auto"/>
            </w:tcBorders>
            <w:shd w:val="clear" w:color="auto" w:fill="auto"/>
            <w:noWrap/>
            <w:vAlign w:val="bottom"/>
            <w:hideMark/>
          </w:tcPr>
          <w:p w14:paraId="03181BBF"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4,745 </w:t>
            </w:r>
          </w:p>
        </w:tc>
        <w:tc>
          <w:tcPr>
            <w:tcW w:w="850" w:type="dxa"/>
            <w:tcBorders>
              <w:top w:val="nil"/>
              <w:left w:val="nil"/>
              <w:bottom w:val="single" w:sz="4" w:space="0" w:color="auto"/>
              <w:right w:val="single" w:sz="4" w:space="0" w:color="auto"/>
            </w:tcBorders>
            <w:shd w:val="clear" w:color="auto" w:fill="auto"/>
            <w:noWrap/>
            <w:vAlign w:val="bottom"/>
            <w:hideMark/>
          </w:tcPr>
          <w:p w14:paraId="4EED23F6"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5,065 </w:t>
            </w:r>
          </w:p>
        </w:tc>
        <w:tc>
          <w:tcPr>
            <w:tcW w:w="897" w:type="dxa"/>
            <w:tcBorders>
              <w:top w:val="nil"/>
              <w:left w:val="nil"/>
              <w:bottom w:val="single" w:sz="4" w:space="0" w:color="auto"/>
              <w:right w:val="single" w:sz="4" w:space="0" w:color="auto"/>
            </w:tcBorders>
            <w:shd w:val="clear" w:color="auto" w:fill="auto"/>
            <w:noWrap/>
            <w:vAlign w:val="bottom"/>
            <w:hideMark/>
          </w:tcPr>
          <w:p w14:paraId="7A896956"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5,467 </w:t>
            </w:r>
          </w:p>
        </w:tc>
        <w:tc>
          <w:tcPr>
            <w:tcW w:w="897" w:type="dxa"/>
            <w:tcBorders>
              <w:top w:val="nil"/>
              <w:left w:val="nil"/>
              <w:bottom w:val="single" w:sz="4" w:space="0" w:color="auto"/>
              <w:right w:val="single" w:sz="4" w:space="0" w:color="auto"/>
            </w:tcBorders>
            <w:shd w:val="clear" w:color="auto" w:fill="auto"/>
            <w:noWrap/>
            <w:vAlign w:val="bottom"/>
            <w:hideMark/>
          </w:tcPr>
          <w:p w14:paraId="049AF857"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5,687 </w:t>
            </w:r>
          </w:p>
        </w:tc>
        <w:tc>
          <w:tcPr>
            <w:tcW w:w="897" w:type="dxa"/>
            <w:tcBorders>
              <w:top w:val="nil"/>
              <w:left w:val="nil"/>
              <w:bottom w:val="single" w:sz="4" w:space="0" w:color="auto"/>
              <w:right w:val="single" w:sz="4" w:space="0" w:color="auto"/>
            </w:tcBorders>
            <w:shd w:val="clear" w:color="auto" w:fill="auto"/>
            <w:noWrap/>
            <w:vAlign w:val="bottom"/>
            <w:hideMark/>
          </w:tcPr>
          <w:p w14:paraId="4835CAE4"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5,874 </w:t>
            </w:r>
          </w:p>
        </w:tc>
        <w:tc>
          <w:tcPr>
            <w:tcW w:w="897" w:type="dxa"/>
            <w:tcBorders>
              <w:top w:val="nil"/>
              <w:left w:val="nil"/>
              <w:bottom w:val="single" w:sz="4" w:space="0" w:color="auto"/>
              <w:right w:val="single" w:sz="4" w:space="0" w:color="auto"/>
            </w:tcBorders>
            <w:shd w:val="clear" w:color="auto" w:fill="auto"/>
            <w:noWrap/>
            <w:vAlign w:val="bottom"/>
            <w:hideMark/>
          </w:tcPr>
          <w:p w14:paraId="52B569E3"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6,103 </w:t>
            </w:r>
          </w:p>
        </w:tc>
      </w:tr>
      <w:tr w:rsidR="00C3310F" w:rsidRPr="00C3310F" w14:paraId="444AFB71" w14:textId="77777777" w:rsidTr="00AA146C">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29773170" w14:textId="0F30EB78" w:rsidR="007441B4" w:rsidRPr="00C3310F" w:rsidRDefault="007441B4" w:rsidP="00AA146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凱</w:t>
            </w:r>
            <w:r w:rsidR="00141FC6" w:rsidRPr="00C3310F">
              <w:rPr>
                <w:rFonts w:hAnsi="標楷體" w:cs="新細明體" w:hint="eastAsia"/>
                <w:kern w:val="0"/>
                <w:sz w:val="24"/>
                <w:szCs w:val="24"/>
              </w:rPr>
              <w:t>○</w:t>
            </w:r>
            <w:r w:rsidRPr="00C3310F">
              <w:rPr>
                <w:rFonts w:hAnsi="標楷體" w:cs="新細明體" w:hint="eastAsia"/>
                <w:kern w:val="0"/>
                <w:sz w:val="24"/>
                <w:szCs w:val="24"/>
              </w:rPr>
              <w:t xml:space="preserve">銀行                </w:t>
            </w:r>
          </w:p>
        </w:tc>
        <w:tc>
          <w:tcPr>
            <w:tcW w:w="850" w:type="dxa"/>
            <w:tcBorders>
              <w:top w:val="nil"/>
              <w:left w:val="nil"/>
              <w:bottom w:val="single" w:sz="4" w:space="0" w:color="auto"/>
              <w:right w:val="single" w:sz="4" w:space="0" w:color="auto"/>
            </w:tcBorders>
            <w:shd w:val="clear" w:color="auto" w:fill="auto"/>
            <w:noWrap/>
            <w:vAlign w:val="bottom"/>
            <w:hideMark/>
          </w:tcPr>
          <w:p w14:paraId="5CB04DA8"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260 </w:t>
            </w:r>
          </w:p>
        </w:tc>
        <w:tc>
          <w:tcPr>
            <w:tcW w:w="851" w:type="dxa"/>
            <w:tcBorders>
              <w:top w:val="nil"/>
              <w:left w:val="nil"/>
              <w:bottom w:val="single" w:sz="4" w:space="0" w:color="auto"/>
              <w:right w:val="single" w:sz="4" w:space="0" w:color="auto"/>
            </w:tcBorders>
            <w:shd w:val="clear" w:color="auto" w:fill="auto"/>
            <w:noWrap/>
            <w:vAlign w:val="bottom"/>
            <w:hideMark/>
          </w:tcPr>
          <w:p w14:paraId="72A01A2B"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307 </w:t>
            </w:r>
          </w:p>
        </w:tc>
        <w:tc>
          <w:tcPr>
            <w:tcW w:w="850" w:type="dxa"/>
            <w:tcBorders>
              <w:top w:val="nil"/>
              <w:left w:val="nil"/>
              <w:bottom w:val="single" w:sz="4" w:space="0" w:color="auto"/>
              <w:right w:val="single" w:sz="4" w:space="0" w:color="auto"/>
            </w:tcBorders>
            <w:shd w:val="clear" w:color="auto" w:fill="auto"/>
            <w:noWrap/>
            <w:vAlign w:val="bottom"/>
            <w:hideMark/>
          </w:tcPr>
          <w:p w14:paraId="0318D24B"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333 </w:t>
            </w:r>
          </w:p>
        </w:tc>
        <w:tc>
          <w:tcPr>
            <w:tcW w:w="851" w:type="dxa"/>
            <w:tcBorders>
              <w:top w:val="nil"/>
              <w:left w:val="nil"/>
              <w:bottom w:val="single" w:sz="4" w:space="0" w:color="auto"/>
              <w:right w:val="single" w:sz="4" w:space="0" w:color="auto"/>
            </w:tcBorders>
            <w:shd w:val="clear" w:color="auto" w:fill="auto"/>
            <w:noWrap/>
            <w:vAlign w:val="bottom"/>
            <w:hideMark/>
          </w:tcPr>
          <w:p w14:paraId="6A4845A9"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381 </w:t>
            </w:r>
          </w:p>
        </w:tc>
        <w:tc>
          <w:tcPr>
            <w:tcW w:w="850" w:type="dxa"/>
            <w:tcBorders>
              <w:top w:val="nil"/>
              <w:left w:val="nil"/>
              <w:bottom w:val="single" w:sz="4" w:space="0" w:color="auto"/>
              <w:right w:val="single" w:sz="4" w:space="0" w:color="auto"/>
            </w:tcBorders>
            <w:shd w:val="clear" w:color="auto" w:fill="auto"/>
            <w:noWrap/>
            <w:vAlign w:val="bottom"/>
            <w:hideMark/>
          </w:tcPr>
          <w:p w14:paraId="71A549FF"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417 </w:t>
            </w:r>
          </w:p>
        </w:tc>
        <w:tc>
          <w:tcPr>
            <w:tcW w:w="897" w:type="dxa"/>
            <w:tcBorders>
              <w:top w:val="nil"/>
              <w:left w:val="nil"/>
              <w:bottom w:val="single" w:sz="4" w:space="0" w:color="auto"/>
              <w:right w:val="single" w:sz="4" w:space="0" w:color="auto"/>
            </w:tcBorders>
            <w:shd w:val="clear" w:color="auto" w:fill="auto"/>
            <w:noWrap/>
            <w:vAlign w:val="bottom"/>
            <w:hideMark/>
          </w:tcPr>
          <w:p w14:paraId="6D14B82A"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456 </w:t>
            </w:r>
          </w:p>
        </w:tc>
        <w:tc>
          <w:tcPr>
            <w:tcW w:w="897" w:type="dxa"/>
            <w:tcBorders>
              <w:top w:val="nil"/>
              <w:left w:val="nil"/>
              <w:bottom w:val="single" w:sz="4" w:space="0" w:color="auto"/>
              <w:right w:val="single" w:sz="4" w:space="0" w:color="auto"/>
            </w:tcBorders>
            <w:shd w:val="clear" w:color="auto" w:fill="auto"/>
            <w:noWrap/>
            <w:vAlign w:val="bottom"/>
            <w:hideMark/>
          </w:tcPr>
          <w:p w14:paraId="4EEA1F43"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506 </w:t>
            </w:r>
          </w:p>
        </w:tc>
        <w:tc>
          <w:tcPr>
            <w:tcW w:w="897" w:type="dxa"/>
            <w:tcBorders>
              <w:top w:val="nil"/>
              <w:left w:val="nil"/>
              <w:bottom w:val="single" w:sz="4" w:space="0" w:color="auto"/>
              <w:right w:val="single" w:sz="4" w:space="0" w:color="auto"/>
            </w:tcBorders>
            <w:shd w:val="clear" w:color="auto" w:fill="auto"/>
            <w:noWrap/>
            <w:vAlign w:val="bottom"/>
            <w:hideMark/>
          </w:tcPr>
          <w:p w14:paraId="06BE3EDC"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540 </w:t>
            </w:r>
          </w:p>
        </w:tc>
        <w:tc>
          <w:tcPr>
            <w:tcW w:w="897" w:type="dxa"/>
            <w:tcBorders>
              <w:top w:val="nil"/>
              <w:left w:val="nil"/>
              <w:bottom w:val="single" w:sz="4" w:space="0" w:color="auto"/>
              <w:right w:val="single" w:sz="4" w:space="0" w:color="auto"/>
            </w:tcBorders>
            <w:shd w:val="clear" w:color="auto" w:fill="auto"/>
            <w:noWrap/>
            <w:vAlign w:val="bottom"/>
            <w:hideMark/>
          </w:tcPr>
          <w:p w14:paraId="4B7E3884"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589 </w:t>
            </w:r>
          </w:p>
        </w:tc>
      </w:tr>
      <w:tr w:rsidR="00C3310F" w:rsidRPr="00C3310F" w14:paraId="46838BD3" w14:textId="77777777" w:rsidTr="00AA146C">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0B9CEF94" w14:textId="61676D9C" w:rsidR="007441B4" w:rsidRPr="00C3310F" w:rsidRDefault="007441B4" w:rsidP="00AA146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星</w:t>
            </w:r>
            <w:r w:rsidR="00141FC6" w:rsidRPr="00C3310F">
              <w:rPr>
                <w:rFonts w:hAnsi="標楷體" w:cs="新細明體" w:hint="eastAsia"/>
                <w:kern w:val="0"/>
                <w:sz w:val="24"/>
                <w:szCs w:val="24"/>
              </w:rPr>
              <w:t>○</w:t>
            </w:r>
            <w:r w:rsidRPr="00C3310F">
              <w:rPr>
                <w:rFonts w:hAnsi="標楷體" w:cs="新細明體" w:hint="eastAsia"/>
                <w:kern w:val="0"/>
                <w:sz w:val="24"/>
                <w:szCs w:val="24"/>
              </w:rPr>
              <w:t xml:space="preserve">（台灣）銀行        </w:t>
            </w:r>
          </w:p>
        </w:tc>
        <w:tc>
          <w:tcPr>
            <w:tcW w:w="850" w:type="dxa"/>
            <w:tcBorders>
              <w:top w:val="nil"/>
              <w:left w:val="nil"/>
              <w:bottom w:val="single" w:sz="4" w:space="0" w:color="auto"/>
              <w:right w:val="single" w:sz="4" w:space="0" w:color="auto"/>
            </w:tcBorders>
            <w:shd w:val="clear" w:color="auto" w:fill="auto"/>
            <w:noWrap/>
            <w:vAlign w:val="bottom"/>
            <w:hideMark/>
          </w:tcPr>
          <w:p w14:paraId="1E9FA5DC"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36 </w:t>
            </w:r>
          </w:p>
        </w:tc>
        <w:tc>
          <w:tcPr>
            <w:tcW w:w="851" w:type="dxa"/>
            <w:tcBorders>
              <w:top w:val="nil"/>
              <w:left w:val="nil"/>
              <w:bottom w:val="single" w:sz="4" w:space="0" w:color="auto"/>
              <w:right w:val="single" w:sz="4" w:space="0" w:color="auto"/>
            </w:tcBorders>
            <w:shd w:val="clear" w:color="auto" w:fill="auto"/>
            <w:noWrap/>
            <w:vAlign w:val="bottom"/>
            <w:hideMark/>
          </w:tcPr>
          <w:p w14:paraId="6DAA9906"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40 </w:t>
            </w:r>
          </w:p>
        </w:tc>
        <w:tc>
          <w:tcPr>
            <w:tcW w:w="850" w:type="dxa"/>
            <w:tcBorders>
              <w:top w:val="nil"/>
              <w:left w:val="nil"/>
              <w:bottom w:val="single" w:sz="4" w:space="0" w:color="auto"/>
              <w:right w:val="single" w:sz="4" w:space="0" w:color="auto"/>
            </w:tcBorders>
            <w:shd w:val="clear" w:color="auto" w:fill="auto"/>
            <w:noWrap/>
            <w:vAlign w:val="bottom"/>
            <w:hideMark/>
          </w:tcPr>
          <w:p w14:paraId="44BD6C8C"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39 </w:t>
            </w:r>
          </w:p>
        </w:tc>
        <w:tc>
          <w:tcPr>
            <w:tcW w:w="851" w:type="dxa"/>
            <w:tcBorders>
              <w:top w:val="nil"/>
              <w:left w:val="nil"/>
              <w:bottom w:val="single" w:sz="4" w:space="0" w:color="auto"/>
              <w:right w:val="single" w:sz="4" w:space="0" w:color="auto"/>
            </w:tcBorders>
            <w:shd w:val="clear" w:color="auto" w:fill="auto"/>
            <w:noWrap/>
            <w:vAlign w:val="bottom"/>
            <w:hideMark/>
          </w:tcPr>
          <w:p w14:paraId="31FA09F5"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45 </w:t>
            </w:r>
          </w:p>
        </w:tc>
        <w:tc>
          <w:tcPr>
            <w:tcW w:w="850" w:type="dxa"/>
            <w:tcBorders>
              <w:top w:val="nil"/>
              <w:left w:val="nil"/>
              <w:bottom w:val="single" w:sz="4" w:space="0" w:color="auto"/>
              <w:right w:val="single" w:sz="4" w:space="0" w:color="auto"/>
            </w:tcBorders>
            <w:shd w:val="clear" w:color="auto" w:fill="auto"/>
            <w:noWrap/>
            <w:vAlign w:val="bottom"/>
            <w:hideMark/>
          </w:tcPr>
          <w:p w14:paraId="605CC056"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46 </w:t>
            </w:r>
          </w:p>
        </w:tc>
        <w:tc>
          <w:tcPr>
            <w:tcW w:w="897" w:type="dxa"/>
            <w:tcBorders>
              <w:top w:val="nil"/>
              <w:left w:val="nil"/>
              <w:bottom w:val="single" w:sz="4" w:space="0" w:color="auto"/>
              <w:right w:val="single" w:sz="4" w:space="0" w:color="auto"/>
            </w:tcBorders>
            <w:shd w:val="clear" w:color="auto" w:fill="auto"/>
            <w:noWrap/>
            <w:vAlign w:val="bottom"/>
            <w:hideMark/>
          </w:tcPr>
          <w:p w14:paraId="614B9641"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55 </w:t>
            </w:r>
          </w:p>
        </w:tc>
        <w:tc>
          <w:tcPr>
            <w:tcW w:w="897" w:type="dxa"/>
            <w:tcBorders>
              <w:top w:val="nil"/>
              <w:left w:val="nil"/>
              <w:bottom w:val="single" w:sz="4" w:space="0" w:color="auto"/>
              <w:right w:val="single" w:sz="4" w:space="0" w:color="auto"/>
            </w:tcBorders>
            <w:shd w:val="clear" w:color="auto" w:fill="auto"/>
            <w:noWrap/>
            <w:vAlign w:val="bottom"/>
            <w:hideMark/>
          </w:tcPr>
          <w:p w14:paraId="2BD034D9"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74 </w:t>
            </w:r>
          </w:p>
        </w:tc>
        <w:tc>
          <w:tcPr>
            <w:tcW w:w="897" w:type="dxa"/>
            <w:tcBorders>
              <w:top w:val="nil"/>
              <w:left w:val="nil"/>
              <w:bottom w:val="single" w:sz="4" w:space="0" w:color="auto"/>
              <w:right w:val="single" w:sz="4" w:space="0" w:color="auto"/>
            </w:tcBorders>
            <w:shd w:val="clear" w:color="auto" w:fill="auto"/>
            <w:noWrap/>
            <w:vAlign w:val="bottom"/>
            <w:hideMark/>
          </w:tcPr>
          <w:p w14:paraId="6D883E9F"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87 </w:t>
            </w:r>
          </w:p>
        </w:tc>
        <w:tc>
          <w:tcPr>
            <w:tcW w:w="897" w:type="dxa"/>
            <w:tcBorders>
              <w:top w:val="nil"/>
              <w:left w:val="nil"/>
              <w:bottom w:val="single" w:sz="4" w:space="0" w:color="auto"/>
              <w:right w:val="single" w:sz="4" w:space="0" w:color="auto"/>
            </w:tcBorders>
            <w:shd w:val="clear" w:color="auto" w:fill="auto"/>
            <w:noWrap/>
            <w:vAlign w:val="bottom"/>
            <w:hideMark/>
          </w:tcPr>
          <w:p w14:paraId="1ED75924"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102 </w:t>
            </w:r>
          </w:p>
        </w:tc>
      </w:tr>
      <w:tr w:rsidR="00C3310F" w:rsidRPr="00C3310F" w14:paraId="0FC87E6C" w14:textId="77777777" w:rsidTr="00AA146C">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3F97FE03" w14:textId="0128938A" w:rsidR="007441B4" w:rsidRPr="00C3310F" w:rsidRDefault="007441B4" w:rsidP="00AA146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台</w:t>
            </w:r>
            <w:r w:rsidR="00141FC6" w:rsidRPr="00C3310F">
              <w:rPr>
                <w:rFonts w:hAnsi="標楷體" w:cs="新細明體" w:hint="eastAsia"/>
                <w:kern w:val="0"/>
                <w:sz w:val="24"/>
                <w:szCs w:val="24"/>
              </w:rPr>
              <w:t>○</w:t>
            </w:r>
            <w:r w:rsidRPr="00C3310F">
              <w:rPr>
                <w:rFonts w:hAnsi="標楷體" w:cs="新細明體" w:hint="eastAsia"/>
                <w:kern w:val="0"/>
                <w:sz w:val="24"/>
                <w:szCs w:val="24"/>
              </w:rPr>
              <w:t xml:space="preserve">銀行                </w:t>
            </w:r>
          </w:p>
        </w:tc>
        <w:tc>
          <w:tcPr>
            <w:tcW w:w="850" w:type="dxa"/>
            <w:tcBorders>
              <w:top w:val="nil"/>
              <w:left w:val="nil"/>
              <w:bottom w:val="single" w:sz="4" w:space="0" w:color="auto"/>
              <w:right w:val="single" w:sz="4" w:space="0" w:color="auto"/>
            </w:tcBorders>
            <w:shd w:val="clear" w:color="auto" w:fill="auto"/>
            <w:noWrap/>
            <w:vAlign w:val="bottom"/>
            <w:hideMark/>
          </w:tcPr>
          <w:p w14:paraId="44F88332"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4,112 </w:t>
            </w:r>
          </w:p>
        </w:tc>
        <w:tc>
          <w:tcPr>
            <w:tcW w:w="851" w:type="dxa"/>
            <w:tcBorders>
              <w:top w:val="nil"/>
              <w:left w:val="nil"/>
              <w:bottom w:val="single" w:sz="4" w:space="0" w:color="auto"/>
              <w:right w:val="single" w:sz="4" w:space="0" w:color="auto"/>
            </w:tcBorders>
            <w:shd w:val="clear" w:color="auto" w:fill="auto"/>
            <w:noWrap/>
            <w:vAlign w:val="bottom"/>
            <w:hideMark/>
          </w:tcPr>
          <w:p w14:paraId="0CCDE14B"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4,533 </w:t>
            </w:r>
          </w:p>
        </w:tc>
        <w:tc>
          <w:tcPr>
            <w:tcW w:w="850" w:type="dxa"/>
            <w:tcBorders>
              <w:top w:val="nil"/>
              <w:left w:val="nil"/>
              <w:bottom w:val="single" w:sz="4" w:space="0" w:color="auto"/>
              <w:right w:val="single" w:sz="4" w:space="0" w:color="auto"/>
            </w:tcBorders>
            <w:shd w:val="clear" w:color="auto" w:fill="auto"/>
            <w:noWrap/>
            <w:vAlign w:val="bottom"/>
            <w:hideMark/>
          </w:tcPr>
          <w:p w14:paraId="5148C2B3"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4,881 </w:t>
            </w:r>
          </w:p>
        </w:tc>
        <w:tc>
          <w:tcPr>
            <w:tcW w:w="851" w:type="dxa"/>
            <w:tcBorders>
              <w:top w:val="nil"/>
              <w:left w:val="nil"/>
              <w:bottom w:val="single" w:sz="4" w:space="0" w:color="auto"/>
              <w:right w:val="single" w:sz="4" w:space="0" w:color="auto"/>
            </w:tcBorders>
            <w:shd w:val="clear" w:color="auto" w:fill="auto"/>
            <w:noWrap/>
            <w:vAlign w:val="bottom"/>
            <w:hideMark/>
          </w:tcPr>
          <w:p w14:paraId="6F623FAA"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5,262 </w:t>
            </w:r>
          </w:p>
        </w:tc>
        <w:tc>
          <w:tcPr>
            <w:tcW w:w="850" w:type="dxa"/>
            <w:tcBorders>
              <w:top w:val="nil"/>
              <w:left w:val="nil"/>
              <w:bottom w:val="single" w:sz="4" w:space="0" w:color="auto"/>
              <w:right w:val="single" w:sz="4" w:space="0" w:color="auto"/>
            </w:tcBorders>
            <w:shd w:val="clear" w:color="auto" w:fill="auto"/>
            <w:noWrap/>
            <w:vAlign w:val="bottom"/>
            <w:hideMark/>
          </w:tcPr>
          <w:p w14:paraId="27315984"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5,503 </w:t>
            </w:r>
          </w:p>
        </w:tc>
        <w:tc>
          <w:tcPr>
            <w:tcW w:w="897" w:type="dxa"/>
            <w:tcBorders>
              <w:top w:val="nil"/>
              <w:left w:val="nil"/>
              <w:bottom w:val="single" w:sz="4" w:space="0" w:color="auto"/>
              <w:right w:val="single" w:sz="4" w:space="0" w:color="auto"/>
            </w:tcBorders>
            <w:shd w:val="clear" w:color="auto" w:fill="auto"/>
            <w:noWrap/>
            <w:vAlign w:val="bottom"/>
            <w:hideMark/>
          </w:tcPr>
          <w:p w14:paraId="2B43E111"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5,952 </w:t>
            </w:r>
          </w:p>
        </w:tc>
        <w:tc>
          <w:tcPr>
            <w:tcW w:w="897" w:type="dxa"/>
            <w:tcBorders>
              <w:top w:val="nil"/>
              <w:left w:val="nil"/>
              <w:bottom w:val="single" w:sz="4" w:space="0" w:color="auto"/>
              <w:right w:val="single" w:sz="4" w:space="0" w:color="auto"/>
            </w:tcBorders>
            <w:shd w:val="clear" w:color="auto" w:fill="auto"/>
            <w:noWrap/>
            <w:vAlign w:val="bottom"/>
            <w:hideMark/>
          </w:tcPr>
          <w:p w14:paraId="661E00EC"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6,145 </w:t>
            </w:r>
          </w:p>
        </w:tc>
        <w:tc>
          <w:tcPr>
            <w:tcW w:w="897" w:type="dxa"/>
            <w:tcBorders>
              <w:top w:val="nil"/>
              <w:left w:val="nil"/>
              <w:bottom w:val="single" w:sz="4" w:space="0" w:color="auto"/>
              <w:right w:val="single" w:sz="4" w:space="0" w:color="auto"/>
            </w:tcBorders>
            <w:shd w:val="clear" w:color="auto" w:fill="auto"/>
            <w:noWrap/>
            <w:vAlign w:val="bottom"/>
            <w:hideMark/>
          </w:tcPr>
          <w:p w14:paraId="28163CF8"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6,316 </w:t>
            </w:r>
          </w:p>
        </w:tc>
        <w:tc>
          <w:tcPr>
            <w:tcW w:w="897" w:type="dxa"/>
            <w:tcBorders>
              <w:top w:val="nil"/>
              <w:left w:val="nil"/>
              <w:bottom w:val="single" w:sz="4" w:space="0" w:color="auto"/>
              <w:right w:val="single" w:sz="4" w:space="0" w:color="auto"/>
            </w:tcBorders>
            <w:shd w:val="clear" w:color="auto" w:fill="auto"/>
            <w:noWrap/>
            <w:vAlign w:val="bottom"/>
            <w:hideMark/>
          </w:tcPr>
          <w:p w14:paraId="782DCAC2"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6,723 </w:t>
            </w:r>
          </w:p>
        </w:tc>
      </w:tr>
      <w:tr w:rsidR="00C3310F" w:rsidRPr="00C3310F" w14:paraId="6584DEC0" w14:textId="77777777" w:rsidTr="00AA146C">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19A6B826" w14:textId="775CFFB3" w:rsidR="007441B4" w:rsidRPr="00C3310F" w:rsidRDefault="007441B4" w:rsidP="00AA146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安</w:t>
            </w:r>
            <w:r w:rsidR="00141FC6" w:rsidRPr="00C3310F">
              <w:rPr>
                <w:rFonts w:hAnsi="標楷體" w:cs="新細明體" w:hint="eastAsia"/>
                <w:kern w:val="0"/>
                <w:sz w:val="24"/>
                <w:szCs w:val="24"/>
              </w:rPr>
              <w:t>○</w:t>
            </w:r>
            <w:r w:rsidRPr="00C3310F">
              <w:rPr>
                <w:rFonts w:hAnsi="標楷體" w:cs="新細明體" w:hint="eastAsia"/>
                <w:kern w:val="0"/>
                <w:sz w:val="24"/>
                <w:szCs w:val="24"/>
              </w:rPr>
              <w:t xml:space="preserve">銀行                </w:t>
            </w:r>
          </w:p>
        </w:tc>
        <w:tc>
          <w:tcPr>
            <w:tcW w:w="850" w:type="dxa"/>
            <w:tcBorders>
              <w:top w:val="nil"/>
              <w:left w:val="nil"/>
              <w:bottom w:val="single" w:sz="4" w:space="0" w:color="auto"/>
              <w:right w:val="single" w:sz="4" w:space="0" w:color="auto"/>
            </w:tcBorders>
            <w:shd w:val="clear" w:color="auto" w:fill="auto"/>
            <w:noWrap/>
            <w:vAlign w:val="bottom"/>
            <w:hideMark/>
          </w:tcPr>
          <w:p w14:paraId="2BF34526"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115 </w:t>
            </w:r>
          </w:p>
        </w:tc>
        <w:tc>
          <w:tcPr>
            <w:tcW w:w="851" w:type="dxa"/>
            <w:tcBorders>
              <w:top w:val="nil"/>
              <w:left w:val="nil"/>
              <w:bottom w:val="single" w:sz="4" w:space="0" w:color="auto"/>
              <w:right w:val="single" w:sz="4" w:space="0" w:color="auto"/>
            </w:tcBorders>
            <w:shd w:val="clear" w:color="auto" w:fill="auto"/>
            <w:noWrap/>
            <w:vAlign w:val="bottom"/>
            <w:hideMark/>
          </w:tcPr>
          <w:p w14:paraId="2EB09740"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126 </w:t>
            </w:r>
          </w:p>
        </w:tc>
        <w:tc>
          <w:tcPr>
            <w:tcW w:w="850" w:type="dxa"/>
            <w:tcBorders>
              <w:top w:val="nil"/>
              <w:left w:val="nil"/>
              <w:bottom w:val="single" w:sz="4" w:space="0" w:color="auto"/>
              <w:right w:val="single" w:sz="4" w:space="0" w:color="auto"/>
            </w:tcBorders>
            <w:shd w:val="clear" w:color="auto" w:fill="auto"/>
            <w:noWrap/>
            <w:vAlign w:val="bottom"/>
            <w:hideMark/>
          </w:tcPr>
          <w:p w14:paraId="47A740ED"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121 </w:t>
            </w:r>
          </w:p>
        </w:tc>
        <w:tc>
          <w:tcPr>
            <w:tcW w:w="851" w:type="dxa"/>
            <w:tcBorders>
              <w:top w:val="nil"/>
              <w:left w:val="nil"/>
              <w:bottom w:val="single" w:sz="4" w:space="0" w:color="auto"/>
              <w:right w:val="single" w:sz="4" w:space="0" w:color="auto"/>
            </w:tcBorders>
            <w:shd w:val="clear" w:color="auto" w:fill="auto"/>
            <w:noWrap/>
            <w:vAlign w:val="bottom"/>
            <w:hideMark/>
          </w:tcPr>
          <w:p w14:paraId="7672934B"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127 </w:t>
            </w:r>
          </w:p>
        </w:tc>
        <w:tc>
          <w:tcPr>
            <w:tcW w:w="850" w:type="dxa"/>
            <w:tcBorders>
              <w:top w:val="nil"/>
              <w:left w:val="nil"/>
              <w:bottom w:val="single" w:sz="4" w:space="0" w:color="auto"/>
              <w:right w:val="single" w:sz="4" w:space="0" w:color="auto"/>
            </w:tcBorders>
            <w:shd w:val="clear" w:color="auto" w:fill="auto"/>
            <w:noWrap/>
            <w:vAlign w:val="bottom"/>
            <w:hideMark/>
          </w:tcPr>
          <w:p w14:paraId="2489A43A"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142 </w:t>
            </w:r>
          </w:p>
        </w:tc>
        <w:tc>
          <w:tcPr>
            <w:tcW w:w="897" w:type="dxa"/>
            <w:tcBorders>
              <w:top w:val="nil"/>
              <w:left w:val="nil"/>
              <w:bottom w:val="single" w:sz="4" w:space="0" w:color="auto"/>
              <w:right w:val="single" w:sz="4" w:space="0" w:color="auto"/>
            </w:tcBorders>
            <w:shd w:val="clear" w:color="auto" w:fill="auto"/>
            <w:noWrap/>
            <w:vAlign w:val="bottom"/>
            <w:hideMark/>
          </w:tcPr>
          <w:p w14:paraId="4F6E01D6"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149 </w:t>
            </w:r>
          </w:p>
        </w:tc>
        <w:tc>
          <w:tcPr>
            <w:tcW w:w="897" w:type="dxa"/>
            <w:tcBorders>
              <w:top w:val="nil"/>
              <w:left w:val="nil"/>
              <w:bottom w:val="single" w:sz="4" w:space="0" w:color="auto"/>
              <w:right w:val="single" w:sz="4" w:space="0" w:color="auto"/>
            </w:tcBorders>
            <w:shd w:val="clear" w:color="auto" w:fill="auto"/>
            <w:noWrap/>
            <w:vAlign w:val="bottom"/>
            <w:hideMark/>
          </w:tcPr>
          <w:p w14:paraId="4A49547F"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154 </w:t>
            </w:r>
          </w:p>
        </w:tc>
        <w:tc>
          <w:tcPr>
            <w:tcW w:w="897" w:type="dxa"/>
            <w:tcBorders>
              <w:top w:val="nil"/>
              <w:left w:val="nil"/>
              <w:bottom w:val="single" w:sz="4" w:space="0" w:color="auto"/>
              <w:right w:val="single" w:sz="4" w:space="0" w:color="auto"/>
            </w:tcBorders>
            <w:shd w:val="clear" w:color="auto" w:fill="auto"/>
            <w:noWrap/>
            <w:vAlign w:val="bottom"/>
            <w:hideMark/>
          </w:tcPr>
          <w:p w14:paraId="7A3B593C"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164 </w:t>
            </w:r>
          </w:p>
        </w:tc>
        <w:tc>
          <w:tcPr>
            <w:tcW w:w="897" w:type="dxa"/>
            <w:tcBorders>
              <w:top w:val="nil"/>
              <w:left w:val="nil"/>
              <w:bottom w:val="single" w:sz="4" w:space="0" w:color="auto"/>
              <w:right w:val="single" w:sz="4" w:space="0" w:color="auto"/>
            </w:tcBorders>
            <w:shd w:val="clear" w:color="auto" w:fill="auto"/>
            <w:noWrap/>
            <w:vAlign w:val="bottom"/>
            <w:hideMark/>
          </w:tcPr>
          <w:p w14:paraId="51DB4F7A"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180 </w:t>
            </w:r>
          </w:p>
        </w:tc>
      </w:tr>
      <w:tr w:rsidR="00C3310F" w:rsidRPr="00C3310F" w14:paraId="3577C5E3" w14:textId="77777777" w:rsidTr="00AA146C">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35624703" w14:textId="0410CCAF" w:rsidR="007441B4" w:rsidRPr="00C3310F" w:rsidRDefault="007441B4" w:rsidP="00AA146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中</w:t>
            </w:r>
            <w:r w:rsidR="00141FC6" w:rsidRPr="00C3310F">
              <w:rPr>
                <w:rFonts w:hAnsi="標楷體" w:cs="新細明體" w:hint="eastAsia"/>
                <w:kern w:val="0"/>
                <w:sz w:val="24"/>
                <w:szCs w:val="24"/>
              </w:rPr>
              <w:t>○</w:t>
            </w:r>
            <w:r w:rsidRPr="00C3310F">
              <w:rPr>
                <w:rFonts w:hAnsi="標楷體" w:cs="新細明體" w:hint="eastAsia"/>
                <w:kern w:val="0"/>
                <w:sz w:val="24"/>
                <w:szCs w:val="24"/>
              </w:rPr>
              <w:t xml:space="preserve">信託銀行            </w:t>
            </w:r>
          </w:p>
        </w:tc>
        <w:tc>
          <w:tcPr>
            <w:tcW w:w="850" w:type="dxa"/>
            <w:tcBorders>
              <w:top w:val="nil"/>
              <w:left w:val="nil"/>
              <w:bottom w:val="single" w:sz="4" w:space="0" w:color="auto"/>
              <w:right w:val="single" w:sz="4" w:space="0" w:color="auto"/>
            </w:tcBorders>
            <w:shd w:val="clear" w:color="auto" w:fill="auto"/>
            <w:noWrap/>
            <w:vAlign w:val="bottom"/>
            <w:hideMark/>
          </w:tcPr>
          <w:p w14:paraId="164B2113"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13,415 </w:t>
            </w:r>
          </w:p>
        </w:tc>
        <w:tc>
          <w:tcPr>
            <w:tcW w:w="851" w:type="dxa"/>
            <w:tcBorders>
              <w:top w:val="nil"/>
              <w:left w:val="nil"/>
              <w:bottom w:val="single" w:sz="4" w:space="0" w:color="auto"/>
              <w:right w:val="single" w:sz="4" w:space="0" w:color="auto"/>
            </w:tcBorders>
            <w:shd w:val="clear" w:color="auto" w:fill="auto"/>
            <w:noWrap/>
            <w:vAlign w:val="bottom"/>
            <w:hideMark/>
          </w:tcPr>
          <w:p w14:paraId="5B40875B"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15,550 </w:t>
            </w:r>
          </w:p>
        </w:tc>
        <w:tc>
          <w:tcPr>
            <w:tcW w:w="850" w:type="dxa"/>
            <w:tcBorders>
              <w:top w:val="nil"/>
              <w:left w:val="nil"/>
              <w:bottom w:val="single" w:sz="4" w:space="0" w:color="auto"/>
              <w:right w:val="single" w:sz="4" w:space="0" w:color="auto"/>
            </w:tcBorders>
            <w:shd w:val="clear" w:color="auto" w:fill="auto"/>
            <w:noWrap/>
            <w:vAlign w:val="bottom"/>
            <w:hideMark/>
          </w:tcPr>
          <w:p w14:paraId="55958367"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17,539 </w:t>
            </w:r>
          </w:p>
        </w:tc>
        <w:tc>
          <w:tcPr>
            <w:tcW w:w="851" w:type="dxa"/>
            <w:tcBorders>
              <w:top w:val="nil"/>
              <w:left w:val="nil"/>
              <w:bottom w:val="single" w:sz="4" w:space="0" w:color="auto"/>
              <w:right w:val="single" w:sz="4" w:space="0" w:color="auto"/>
            </w:tcBorders>
            <w:shd w:val="clear" w:color="auto" w:fill="auto"/>
            <w:noWrap/>
            <w:vAlign w:val="bottom"/>
            <w:hideMark/>
          </w:tcPr>
          <w:p w14:paraId="63DEDBFC"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20,213 </w:t>
            </w:r>
          </w:p>
        </w:tc>
        <w:tc>
          <w:tcPr>
            <w:tcW w:w="850" w:type="dxa"/>
            <w:tcBorders>
              <w:top w:val="nil"/>
              <w:left w:val="nil"/>
              <w:bottom w:val="single" w:sz="4" w:space="0" w:color="auto"/>
              <w:right w:val="single" w:sz="4" w:space="0" w:color="auto"/>
            </w:tcBorders>
            <w:shd w:val="clear" w:color="auto" w:fill="auto"/>
            <w:noWrap/>
            <w:vAlign w:val="bottom"/>
            <w:hideMark/>
          </w:tcPr>
          <w:p w14:paraId="77AA3D04"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21,447 </w:t>
            </w:r>
          </w:p>
        </w:tc>
        <w:tc>
          <w:tcPr>
            <w:tcW w:w="897" w:type="dxa"/>
            <w:tcBorders>
              <w:top w:val="nil"/>
              <w:left w:val="nil"/>
              <w:bottom w:val="single" w:sz="4" w:space="0" w:color="auto"/>
              <w:right w:val="single" w:sz="4" w:space="0" w:color="auto"/>
            </w:tcBorders>
            <w:shd w:val="clear" w:color="auto" w:fill="auto"/>
            <w:noWrap/>
            <w:vAlign w:val="bottom"/>
            <w:hideMark/>
          </w:tcPr>
          <w:p w14:paraId="58F3C6ED"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22,239 </w:t>
            </w:r>
          </w:p>
        </w:tc>
        <w:tc>
          <w:tcPr>
            <w:tcW w:w="897" w:type="dxa"/>
            <w:tcBorders>
              <w:top w:val="nil"/>
              <w:left w:val="nil"/>
              <w:bottom w:val="single" w:sz="4" w:space="0" w:color="auto"/>
              <w:right w:val="single" w:sz="4" w:space="0" w:color="auto"/>
            </w:tcBorders>
            <w:shd w:val="clear" w:color="auto" w:fill="auto"/>
            <w:noWrap/>
            <w:vAlign w:val="bottom"/>
            <w:hideMark/>
          </w:tcPr>
          <w:p w14:paraId="1B235156"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22,332 </w:t>
            </w:r>
          </w:p>
        </w:tc>
        <w:tc>
          <w:tcPr>
            <w:tcW w:w="897" w:type="dxa"/>
            <w:tcBorders>
              <w:top w:val="nil"/>
              <w:left w:val="nil"/>
              <w:bottom w:val="single" w:sz="4" w:space="0" w:color="auto"/>
              <w:right w:val="single" w:sz="4" w:space="0" w:color="auto"/>
            </w:tcBorders>
            <w:shd w:val="clear" w:color="auto" w:fill="auto"/>
            <w:noWrap/>
            <w:vAlign w:val="bottom"/>
            <w:hideMark/>
          </w:tcPr>
          <w:p w14:paraId="34F3FE8D"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22,192 </w:t>
            </w:r>
          </w:p>
        </w:tc>
        <w:tc>
          <w:tcPr>
            <w:tcW w:w="897" w:type="dxa"/>
            <w:tcBorders>
              <w:top w:val="nil"/>
              <w:left w:val="nil"/>
              <w:bottom w:val="single" w:sz="4" w:space="0" w:color="auto"/>
              <w:right w:val="single" w:sz="4" w:space="0" w:color="auto"/>
            </w:tcBorders>
            <w:shd w:val="clear" w:color="auto" w:fill="auto"/>
            <w:noWrap/>
            <w:vAlign w:val="bottom"/>
            <w:hideMark/>
          </w:tcPr>
          <w:p w14:paraId="0F792471"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22,066 </w:t>
            </w:r>
          </w:p>
        </w:tc>
      </w:tr>
      <w:tr w:rsidR="00C3310F" w:rsidRPr="00C3310F" w14:paraId="7A9D6ACE" w14:textId="77777777" w:rsidTr="00AA146C">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4EEF7034" w14:textId="0855CA1E" w:rsidR="007441B4" w:rsidRPr="00C3310F" w:rsidRDefault="007441B4" w:rsidP="00AA146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將</w:t>
            </w:r>
            <w:r w:rsidR="00141FC6" w:rsidRPr="00C3310F">
              <w:rPr>
                <w:rFonts w:hAnsi="標楷體" w:cs="新細明體" w:hint="eastAsia"/>
                <w:kern w:val="0"/>
                <w:sz w:val="24"/>
                <w:szCs w:val="24"/>
              </w:rPr>
              <w:t>○</w:t>
            </w:r>
            <w:r w:rsidRPr="00C3310F">
              <w:rPr>
                <w:rFonts w:hAnsi="標楷體" w:cs="新細明體" w:hint="eastAsia"/>
                <w:kern w:val="0"/>
                <w:sz w:val="24"/>
                <w:szCs w:val="24"/>
              </w:rPr>
              <w:t xml:space="preserve">商業銀行            </w:t>
            </w:r>
          </w:p>
        </w:tc>
        <w:tc>
          <w:tcPr>
            <w:tcW w:w="850" w:type="dxa"/>
            <w:tcBorders>
              <w:top w:val="nil"/>
              <w:left w:val="nil"/>
              <w:bottom w:val="single" w:sz="4" w:space="0" w:color="auto"/>
              <w:right w:val="single" w:sz="4" w:space="0" w:color="auto"/>
            </w:tcBorders>
            <w:shd w:val="clear" w:color="auto" w:fill="auto"/>
            <w:noWrap/>
            <w:vAlign w:val="bottom"/>
            <w:hideMark/>
          </w:tcPr>
          <w:p w14:paraId="52B05374"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   </w:t>
            </w:r>
          </w:p>
        </w:tc>
        <w:tc>
          <w:tcPr>
            <w:tcW w:w="851" w:type="dxa"/>
            <w:tcBorders>
              <w:top w:val="nil"/>
              <w:left w:val="nil"/>
              <w:bottom w:val="single" w:sz="4" w:space="0" w:color="auto"/>
              <w:right w:val="single" w:sz="4" w:space="0" w:color="auto"/>
            </w:tcBorders>
            <w:shd w:val="clear" w:color="auto" w:fill="auto"/>
            <w:noWrap/>
            <w:vAlign w:val="bottom"/>
            <w:hideMark/>
          </w:tcPr>
          <w:p w14:paraId="517E7DCE"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   </w:t>
            </w:r>
          </w:p>
        </w:tc>
        <w:tc>
          <w:tcPr>
            <w:tcW w:w="850" w:type="dxa"/>
            <w:tcBorders>
              <w:top w:val="nil"/>
              <w:left w:val="nil"/>
              <w:bottom w:val="single" w:sz="4" w:space="0" w:color="auto"/>
              <w:right w:val="single" w:sz="4" w:space="0" w:color="auto"/>
            </w:tcBorders>
            <w:shd w:val="clear" w:color="auto" w:fill="auto"/>
            <w:noWrap/>
            <w:vAlign w:val="bottom"/>
            <w:hideMark/>
          </w:tcPr>
          <w:p w14:paraId="7CAD1A8E"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   </w:t>
            </w:r>
          </w:p>
        </w:tc>
        <w:tc>
          <w:tcPr>
            <w:tcW w:w="851" w:type="dxa"/>
            <w:tcBorders>
              <w:top w:val="nil"/>
              <w:left w:val="nil"/>
              <w:bottom w:val="single" w:sz="4" w:space="0" w:color="auto"/>
              <w:right w:val="single" w:sz="4" w:space="0" w:color="auto"/>
            </w:tcBorders>
            <w:shd w:val="clear" w:color="auto" w:fill="auto"/>
            <w:noWrap/>
            <w:vAlign w:val="bottom"/>
            <w:hideMark/>
          </w:tcPr>
          <w:p w14:paraId="17E0A7CF"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587 </w:t>
            </w:r>
          </w:p>
        </w:tc>
        <w:tc>
          <w:tcPr>
            <w:tcW w:w="850" w:type="dxa"/>
            <w:tcBorders>
              <w:top w:val="nil"/>
              <w:left w:val="nil"/>
              <w:bottom w:val="single" w:sz="4" w:space="0" w:color="auto"/>
              <w:right w:val="single" w:sz="4" w:space="0" w:color="auto"/>
            </w:tcBorders>
            <w:shd w:val="clear" w:color="auto" w:fill="auto"/>
            <w:noWrap/>
            <w:vAlign w:val="bottom"/>
            <w:hideMark/>
          </w:tcPr>
          <w:p w14:paraId="20926B2C"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694 </w:t>
            </w:r>
          </w:p>
        </w:tc>
        <w:tc>
          <w:tcPr>
            <w:tcW w:w="897" w:type="dxa"/>
            <w:tcBorders>
              <w:top w:val="nil"/>
              <w:left w:val="nil"/>
              <w:bottom w:val="single" w:sz="4" w:space="0" w:color="auto"/>
              <w:right w:val="single" w:sz="4" w:space="0" w:color="auto"/>
            </w:tcBorders>
            <w:shd w:val="clear" w:color="auto" w:fill="auto"/>
            <w:noWrap/>
            <w:vAlign w:val="bottom"/>
            <w:hideMark/>
          </w:tcPr>
          <w:p w14:paraId="2C262897"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789 </w:t>
            </w:r>
          </w:p>
        </w:tc>
        <w:tc>
          <w:tcPr>
            <w:tcW w:w="897" w:type="dxa"/>
            <w:tcBorders>
              <w:top w:val="nil"/>
              <w:left w:val="nil"/>
              <w:bottom w:val="single" w:sz="4" w:space="0" w:color="auto"/>
              <w:right w:val="single" w:sz="4" w:space="0" w:color="auto"/>
            </w:tcBorders>
            <w:shd w:val="clear" w:color="auto" w:fill="auto"/>
            <w:noWrap/>
            <w:vAlign w:val="bottom"/>
            <w:hideMark/>
          </w:tcPr>
          <w:p w14:paraId="4EEFE5C6"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850 </w:t>
            </w:r>
          </w:p>
        </w:tc>
        <w:tc>
          <w:tcPr>
            <w:tcW w:w="897" w:type="dxa"/>
            <w:tcBorders>
              <w:top w:val="nil"/>
              <w:left w:val="nil"/>
              <w:bottom w:val="single" w:sz="4" w:space="0" w:color="auto"/>
              <w:right w:val="single" w:sz="4" w:space="0" w:color="auto"/>
            </w:tcBorders>
            <w:shd w:val="clear" w:color="auto" w:fill="auto"/>
            <w:noWrap/>
            <w:vAlign w:val="bottom"/>
            <w:hideMark/>
          </w:tcPr>
          <w:p w14:paraId="644EAA41"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922 </w:t>
            </w:r>
          </w:p>
        </w:tc>
        <w:tc>
          <w:tcPr>
            <w:tcW w:w="897" w:type="dxa"/>
            <w:tcBorders>
              <w:top w:val="nil"/>
              <w:left w:val="nil"/>
              <w:bottom w:val="single" w:sz="4" w:space="0" w:color="auto"/>
              <w:right w:val="single" w:sz="4" w:space="0" w:color="auto"/>
            </w:tcBorders>
            <w:shd w:val="clear" w:color="auto" w:fill="auto"/>
            <w:noWrap/>
            <w:vAlign w:val="bottom"/>
            <w:hideMark/>
          </w:tcPr>
          <w:p w14:paraId="38E66AD6"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977 </w:t>
            </w:r>
          </w:p>
        </w:tc>
      </w:tr>
      <w:tr w:rsidR="00C3310F" w:rsidRPr="00C3310F" w14:paraId="14EBB1EE" w14:textId="77777777" w:rsidTr="00AA146C">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04176397" w14:textId="16384D8F" w:rsidR="007441B4" w:rsidRPr="00C3310F" w:rsidRDefault="007441B4" w:rsidP="00AA146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樂</w:t>
            </w:r>
            <w:r w:rsidR="00141FC6" w:rsidRPr="00C3310F">
              <w:rPr>
                <w:rFonts w:hAnsi="標楷體" w:cs="新細明體" w:hint="eastAsia"/>
                <w:kern w:val="0"/>
                <w:sz w:val="24"/>
                <w:szCs w:val="24"/>
              </w:rPr>
              <w:t>○</w:t>
            </w:r>
            <w:r w:rsidRPr="00C3310F">
              <w:rPr>
                <w:rFonts w:hAnsi="標楷體" w:cs="新細明體" w:hint="eastAsia"/>
                <w:kern w:val="0"/>
                <w:sz w:val="24"/>
                <w:szCs w:val="24"/>
              </w:rPr>
              <w:t xml:space="preserve">國際商業銀行        </w:t>
            </w:r>
          </w:p>
        </w:tc>
        <w:tc>
          <w:tcPr>
            <w:tcW w:w="850" w:type="dxa"/>
            <w:tcBorders>
              <w:top w:val="nil"/>
              <w:left w:val="nil"/>
              <w:bottom w:val="single" w:sz="4" w:space="0" w:color="auto"/>
              <w:right w:val="single" w:sz="4" w:space="0" w:color="auto"/>
            </w:tcBorders>
            <w:shd w:val="clear" w:color="auto" w:fill="auto"/>
            <w:noWrap/>
            <w:vAlign w:val="bottom"/>
            <w:hideMark/>
          </w:tcPr>
          <w:p w14:paraId="105449FC"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117 </w:t>
            </w:r>
          </w:p>
        </w:tc>
        <w:tc>
          <w:tcPr>
            <w:tcW w:w="851" w:type="dxa"/>
            <w:tcBorders>
              <w:top w:val="nil"/>
              <w:left w:val="nil"/>
              <w:bottom w:val="single" w:sz="4" w:space="0" w:color="auto"/>
              <w:right w:val="single" w:sz="4" w:space="0" w:color="auto"/>
            </w:tcBorders>
            <w:shd w:val="clear" w:color="auto" w:fill="auto"/>
            <w:noWrap/>
            <w:vAlign w:val="bottom"/>
            <w:hideMark/>
          </w:tcPr>
          <w:p w14:paraId="0CA70FE2"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127 </w:t>
            </w:r>
          </w:p>
        </w:tc>
        <w:tc>
          <w:tcPr>
            <w:tcW w:w="850" w:type="dxa"/>
            <w:tcBorders>
              <w:top w:val="nil"/>
              <w:left w:val="nil"/>
              <w:bottom w:val="single" w:sz="4" w:space="0" w:color="auto"/>
              <w:right w:val="single" w:sz="4" w:space="0" w:color="auto"/>
            </w:tcBorders>
            <w:shd w:val="clear" w:color="auto" w:fill="auto"/>
            <w:noWrap/>
            <w:vAlign w:val="bottom"/>
            <w:hideMark/>
          </w:tcPr>
          <w:p w14:paraId="00190196"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150 </w:t>
            </w:r>
          </w:p>
        </w:tc>
        <w:tc>
          <w:tcPr>
            <w:tcW w:w="851" w:type="dxa"/>
            <w:tcBorders>
              <w:top w:val="nil"/>
              <w:left w:val="nil"/>
              <w:bottom w:val="single" w:sz="4" w:space="0" w:color="auto"/>
              <w:right w:val="single" w:sz="4" w:space="0" w:color="auto"/>
            </w:tcBorders>
            <w:shd w:val="clear" w:color="auto" w:fill="auto"/>
            <w:noWrap/>
            <w:vAlign w:val="bottom"/>
            <w:hideMark/>
          </w:tcPr>
          <w:p w14:paraId="5A5E789C"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191 </w:t>
            </w:r>
          </w:p>
        </w:tc>
        <w:tc>
          <w:tcPr>
            <w:tcW w:w="850" w:type="dxa"/>
            <w:tcBorders>
              <w:top w:val="nil"/>
              <w:left w:val="nil"/>
              <w:bottom w:val="single" w:sz="4" w:space="0" w:color="auto"/>
              <w:right w:val="single" w:sz="4" w:space="0" w:color="auto"/>
            </w:tcBorders>
            <w:shd w:val="clear" w:color="auto" w:fill="auto"/>
            <w:noWrap/>
            <w:vAlign w:val="bottom"/>
            <w:hideMark/>
          </w:tcPr>
          <w:p w14:paraId="7545DD73"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219 </w:t>
            </w:r>
          </w:p>
        </w:tc>
        <w:tc>
          <w:tcPr>
            <w:tcW w:w="897" w:type="dxa"/>
            <w:tcBorders>
              <w:top w:val="nil"/>
              <w:left w:val="nil"/>
              <w:bottom w:val="single" w:sz="4" w:space="0" w:color="auto"/>
              <w:right w:val="single" w:sz="4" w:space="0" w:color="auto"/>
            </w:tcBorders>
            <w:shd w:val="clear" w:color="auto" w:fill="auto"/>
            <w:noWrap/>
            <w:vAlign w:val="bottom"/>
            <w:hideMark/>
          </w:tcPr>
          <w:p w14:paraId="144D7805"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245 </w:t>
            </w:r>
          </w:p>
        </w:tc>
        <w:tc>
          <w:tcPr>
            <w:tcW w:w="897" w:type="dxa"/>
            <w:tcBorders>
              <w:top w:val="nil"/>
              <w:left w:val="nil"/>
              <w:bottom w:val="single" w:sz="4" w:space="0" w:color="auto"/>
              <w:right w:val="single" w:sz="4" w:space="0" w:color="auto"/>
            </w:tcBorders>
            <w:shd w:val="clear" w:color="auto" w:fill="auto"/>
            <w:noWrap/>
            <w:vAlign w:val="bottom"/>
            <w:hideMark/>
          </w:tcPr>
          <w:p w14:paraId="7B021960"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268 </w:t>
            </w:r>
          </w:p>
        </w:tc>
        <w:tc>
          <w:tcPr>
            <w:tcW w:w="897" w:type="dxa"/>
            <w:tcBorders>
              <w:top w:val="nil"/>
              <w:left w:val="nil"/>
              <w:bottom w:val="single" w:sz="4" w:space="0" w:color="auto"/>
              <w:right w:val="single" w:sz="4" w:space="0" w:color="auto"/>
            </w:tcBorders>
            <w:shd w:val="clear" w:color="auto" w:fill="auto"/>
            <w:noWrap/>
            <w:vAlign w:val="bottom"/>
            <w:hideMark/>
          </w:tcPr>
          <w:p w14:paraId="1A94759B"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295 </w:t>
            </w:r>
          </w:p>
        </w:tc>
        <w:tc>
          <w:tcPr>
            <w:tcW w:w="897" w:type="dxa"/>
            <w:tcBorders>
              <w:top w:val="nil"/>
              <w:left w:val="nil"/>
              <w:bottom w:val="single" w:sz="4" w:space="0" w:color="auto"/>
              <w:right w:val="single" w:sz="4" w:space="0" w:color="auto"/>
            </w:tcBorders>
            <w:shd w:val="clear" w:color="auto" w:fill="auto"/>
            <w:noWrap/>
            <w:vAlign w:val="bottom"/>
            <w:hideMark/>
          </w:tcPr>
          <w:p w14:paraId="4C708D5B"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304 </w:t>
            </w:r>
          </w:p>
        </w:tc>
      </w:tr>
      <w:tr w:rsidR="00C3310F" w:rsidRPr="00C3310F" w14:paraId="7526BC6C" w14:textId="77777777" w:rsidTr="00AA146C">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3115B115" w14:textId="7CA4C2B5" w:rsidR="007441B4" w:rsidRPr="00C3310F" w:rsidRDefault="007441B4" w:rsidP="00AA146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連</w:t>
            </w:r>
            <w:r w:rsidR="00141FC6" w:rsidRPr="00C3310F">
              <w:rPr>
                <w:rFonts w:hAnsi="標楷體" w:cs="新細明體" w:hint="eastAsia"/>
                <w:kern w:val="0"/>
                <w:sz w:val="24"/>
                <w:szCs w:val="24"/>
              </w:rPr>
              <w:t>○</w:t>
            </w:r>
            <w:r w:rsidRPr="00C3310F">
              <w:rPr>
                <w:rFonts w:hAnsi="標楷體" w:cs="新細明體" w:hint="eastAsia"/>
                <w:kern w:val="0"/>
                <w:sz w:val="24"/>
                <w:szCs w:val="24"/>
              </w:rPr>
              <w:t xml:space="preserve">商業銀行            </w:t>
            </w:r>
          </w:p>
        </w:tc>
        <w:tc>
          <w:tcPr>
            <w:tcW w:w="850" w:type="dxa"/>
            <w:tcBorders>
              <w:top w:val="nil"/>
              <w:left w:val="nil"/>
              <w:bottom w:val="single" w:sz="4" w:space="0" w:color="auto"/>
              <w:right w:val="single" w:sz="4" w:space="0" w:color="auto"/>
            </w:tcBorders>
            <w:shd w:val="clear" w:color="auto" w:fill="auto"/>
            <w:noWrap/>
            <w:vAlign w:val="bottom"/>
            <w:hideMark/>
          </w:tcPr>
          <w:p w14:paraId="28374042"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85 </w:t>
            </w:r>
          </w:p>
        </w:tc>
        <w:tc>
          <w:tcPr>
            <w:tcW w:w="851" w:type="dxa"/>
            <w:tcBorders>
              <w:top w:val="nil"/>
              <w:left w:val="nil"/>
              <w:bottom w:val="single" w:sz="4" w:space="0" w:color="auto"/>
              <w:right w:val="single" w:sz="4" w:space="0" w:color="auto"/>
            </w:tcBorders>
            <w:shd w:val="clear" w:color="auto" w:fill="auto"/>
            <w:noWrap/>
            <w:vAlign w:val="bottom"/>
            <w:hideMark/>
          </w:tcPr>
          <w:p w14:paraId="6AA8DE58"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153 </w:t>
            </w:r>
          </w:p>
        </w:tc>
        <w:tc>
          <w:tcPr>
            <w:tcW w:w="850" w:type="dxa"/>
            <w:tcBorders>
              <w:top w:val="nil"/>
              <w:left w:val="nil"/>
              <w:bottom w:val="single" w:sz="4" w:space="0" w:color="auto"/>
              <w:right w:val="single" w:sz="4" w:space="0" w:color="auto"/>
            </w:tcBorders>
            <w:shd w:val="clear" w:color="auto" w:fill="auto"/>
            <w:noWrap/>
            <w:vAlign w:val="bottom"/>
            <w:hideMark/>
          </w:tcPr>
          <w:p w14:paraId="6B66C2EA"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211 </w:t>
            </w:r>
          </w:p>
        </w:tc>
        <w:tc>
          <w:tcPr>
            <w:tcW w:w="851" w:type="dxa"/>
            <w:tcBorders>
              <w:top w:val="nil"/>
              <w:left w:val="nil"/>
              <w:bottom w:val="single" w:sz="4" w:space="0" w:color="auto"/>
              <w:right w:val="single" w:sz="4" w:space="0" w:color="auto"/>
            </w:tcBorders>
            <w:shd w:val="clear" w:color="auto" w:fill="auto"/>
            <w:noWrap/>
            <w:vAlign w:val="bottom"/>
            <w:hideMark/>
          </w:tcPr>
          <w:p w14:paraId="605068E4"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338 </w:t>
            </w:r>
          </w:p>
        </w:tc>
        <w:tc>
          <w:tcPr>
            <w:tcW w:w="850" w:type="dxa"/>
            <w:tcBorders>
              <w:top w:val="nil"/>
              <w:left w:val="nil"/>
              <w:bottom w:val="single" w:sz="4" w:space="0" w:color="auto"/>
              <w:right w:val="single" w:sz="4" w:space="0" w:color="auto"/>
            </w:tcBorders>
            <w:shd w:val="clear" w:color="auto" w:fill="auto"/>
            <w:noWrap/>
            <w:vAlign w:val="bottom"/>
            <w:hideMark/>
          </w:tcPr>
          <w:p w14:paraId="07D4E399"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439 </w:t>
            </w:r>
          </w:p>
        </w:tc>
        <w:tc>
          <w:tcPr>
            <w:tcW w:w="897" w:type="dxa"/>
            <w:tcBorders>
              <w:top w:val="nil"/>
              <w:left w:val="nil"/>
              <w:bottom w:val="single" w:sz="4" w:space="0" w:color="auto"/>
              <w:right w:val="single" w:sz="4" w:space="0" w:color="auto"/>
            </w:tcBorders>
            <w:shd w:val="clear" w:color="auto" w:fill="auto"/>
            <w:noWrap/>
            <w:vAlign w:val="bottom"/>
            <w:hideMark/>
          </w:tcPr>
          <w:p w14:paraId="0D2C2639"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566 </w:t>
            </w:r>
          </w:p>
        </w:tc>
        <w:tc>
          <w:tcPr>
            <w:tcW w:w="897" w:type="dxa"/>
            <w:tcBorders>
              <w:top w:val="nil"/>
              <w:left w:val="nil"/>
              <w:bottom w:val="single" w:sz="4" w:space="0" w:color="auto"/>
              <w:right w:val="single" w:sz="4" w:space="0" w:color="auto"/>
            </w:tcBorders>
            <w:shd w:val="clear" w:color="auto" w:fill="auto"/>
            <w:noWrap/>
            <w:vAlign w:val="bottom"/>
            <w:hideMark/>
          </w:tcPr>
          <w:p w14:paraId="71C310AD"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740 </w:t>
            </w:r>
          </w:p>
        </w:tc>
        <w:tc>
          <w:tcPr>
            <w:tcW w:w="897" w:type="dxa"/>
            <w:tcBorders>
              <w:top w:val="nil"/>
              <w:left w:val="nil"/>
              <w:bottom w:val="single" w:sz="4" w:space="0" w:color="auto"/>
              <w:right w:val="single" w:sz="4" w:space="0" w:color="auto"/>
            </w:tcBorders>
            <w:shd w:val="clear" w:color="auto" w:fill="auto"/>
            <w:noWrap/>
            <w:vAlign w:val="bottom"/>
            <w:hideMark/>
          </w:tcPr>
          <w:p w14:paraId="6363B0FC"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902 </w:t>
            </w:r>
          </w:p>
        </w:tc>
        <w:tc>
          <w:tcPr>
            <w:tcW w:w="897" w:type="dxa"/>
            <w:tcBorders>
              <w:top w:val="nil"/>
              <w:left w:val="nil"/>
              <w:bottom w:val="single" w:sz="4" w:space="0" w:color="auto"/>
              <w:right w:val="single" w:sz="4" w:space="0" w:color="auto"/>
            </w:tcBorders>
            <w:shd w:val="clear" w:color="auto" w:fill="auto"/>
            <w:noWrap/>
            <w:vAlign w:val="bottom"/>
            <w:hideMark/>
          </w:tcPr>
          <w:p w14:paraId="0289A25F"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1,048 </w:t>
            </w:r>
          </w:p>
        </w:tc>
      </w:tr>
      <w:tr w:rsidR="00C3310F" w:rsidRPr="00C3310F" w14:paraId="75613398" w14:textId="77777777" w:rsidTr="00AA146C">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6A1777FD" w14:textId="77777777" w:rsidR="007441B4" w:rsidRPr="00C3310F" w:rsidRDefault="007441B4" w:rsidP="00AA146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合計</w:t>
            </w:r>
          </w:p>
        </w:tc>
        <w:tc>
          <w:tcPr>
            <w:tcW w:w="850" w:type="dxa"/>
            <w:tcBorders>
              <w:top w:val="nil"/>
              <w:left w:val="nil"/>
              <w:bottom w:val="single" w:sz="4" w:space="0" w:color="auto"/>
              <w:right w:val="single" w:sz="4" w:space="0" w:color="auto"/>
            </w:tcBorders>
            <w:shd w:val="clear" w:color="auto" w:fill="auto"/>
            <w:noWrap/>
            <w:vAlign w:val="bottom"/>
            <w:hideMark/>
          </w:tcPr>
          <w:p w14:paraId="21632650"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69,815 </w:t>
            </w:r>
          </w:p>
        </w:tc>
        <w:tc>
          <w:tcPr>
            <w:tcW w:w="851" w:type="dxa"/>
            <w:tcBorders>
              <w:top w:val="nil"/>
              <w:left w:val="nil"/>
              <w:bottom w:val="single" w:sz="4" w:space="0" w:color="auto"/>
              <w:right w:val="single" w:sz="4" w:space="0" w:color="auto"/>
            </w:tcBorders>
            <w:shd w:val="clear" w:color="auto" w:fill="auto"/>
            <w:noWrap/>
            <w:vAlign w:val="bottom"/>
            <w:hideMark/>
          </w:tcPr>
          <w:p w14:paraId="73C19923"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77,299 </w:t>
            </w:r>
          </w:p>
        </w:tc>
        <w:tc>
          <w:tcPr>
            <w:tcW w:w="850" w:type="dxa"/>
            <w:tcBorders>
              <w:top w:val="nil"/>
              <w:left w:val="nil"/>
              <w:bottom w:val="single" w:sz="4" w:space="0" w:color="auto"/>
              <w:right w:val="single" w:sz="4" w:space="0" w:color="auto"/>
            </w:tcBorders>
            <w:shd w:val="clear" w:color="auto" w:fill="auto"/>
            <w:noWrap/>
            <w:vAlign w:val="bottom"/>
            <w:hideMark/>
          </w:tcPr>
          <w:p w14:paraId="651CB7E4"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82,154 </w:t>
            </w:r>
          </w:p>
        </w:tc>
        <w:tc>
          <w:tcPr>
            <w:tcW w:w="851" w:type="dxa"/>
            <w:tcBorders>
              <w:top w:val="nil"/>
              <w:left w:val="nil"/>
              <w:bottom w:val="single" w:sz="4" w:space="0" w:color="auto"/>
              <w:right w:val="single" w:sz="4" w:space="0" w:color="auto"/>
            </w:tcBorders>
            <w:shd w:val="clear" w:color="auto" w:fill="auto"/>
            <w:noWrap/>
            <w:vAlign w:val="bottom"/>
            <w:hideMark/>
          </w:tcPr>
          <w:p w14:paraId="19C7A07D"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90,343 </w:t>
            </w:r>
          </w:p>
        </w:tc>
        <w:tc>
          <w:tcPr>
            <w:tcW w:w="850" w:type="dxa"/>
            <w:tcBorders>
              <w:top w:val="nil"/>
              <w:left w:val="nil"/>
              <w:bottom w:val="single" w:sz="4" w:space="0" w:color="auto"/>
              <w:right w:val="single" w:sz="4" w:space="0" w:color="auto"/>
            </w:tcBorders>
            <w:shd w:val="clear" w:color="auto" w:fill="auto"/>
            <w:noWrap/>
            <w:vAlign w:val="bottom"/>
            <w:hideMark/>
          </w:tcPr>
          <w:p w14:paraId="1A649C27"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95,650 </w:t>
            </w:r>
          </w:p>
        </w:tc>
        <w:tc>
          <w:tcPr>
            <w:tcW w:w="897" w:type="dxa"/>
            <w:tcBorders>
              <w:top w:val="nil"/>
              <w:left w:val="nil"/>
              <w:bottom w:val="single" w:sz="4" w:space="0" w:color="auto"/>
              <w:right w:val="single" w:sz="4" w:space="0" w:color="auto"/>
            </w:tcBorders>
            <w:shd w:val="clear" w:color="auto" w:fill="auto"/>
            <w:noWrap/>
            <w:vAlign w:val="bottom"/>
            <w:hideMark/>
          </w:tcPr>
          <w:p w14:paraId="20C73540"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103,767 </w:t>
            </w:r>
          </w:p>
        </w:tc>
        <w:tc>
          <w:tcPr>
            <w:tcW w:w="897" w:type="dxa"/>
            <w:tcBorders>
              <w:top w:val="nil"/>
              <w:left w:val="nil"/>
              <w:bottom w:val="single" w:sz="4" w:space="0" w:color="auto"/>
              <w:right w:val="single" w:sz="4" w:space="0" w:color="auto"/>
            </w:tcBorders>
            <w:shd w:val="clear" w:color="auto" w:fill="auto"/>
            <w:noWrap/>
            <w:vAlign w:val="bottom"/>
            <w:hideMark/>
          </w:tcPr>
          <w:p w14:paraId="15528AC1"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110,304 </w:t>
            </w:r>
          </w:p>
        </w:tc>
        <w:tc>
          <w:tcPr>
            <w:tcW w:w="897" w:type="dxa"/>
            <w:tcBorders>
              <w:top w:val="nil"/>
              <w:left w:val="nil"/>
              <w:bottom w:val="single" w:sz="4" w:space="0" w:color="auto"/>
              <w:right w:val="single" w:sz="4" w:space="0" w:color="auto"/>
            </w:tcBorders>
            <w:shd w:val="clear" w:color="auto" w:fill="auto"/>
            <w:noWrap/>
            <w:vAlign w:val="bottom"/>
            <w:hideMark/>
          </w:tcPr>
          <w:p w14:paraId="1AA1D1ED"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117,830 </w:t>
            </w:r>
          </w:p>
        </w:tc>
        <w:tc>
          <w:tcPr>
            <w:tcW w:w="897" w:type="dxa"/>
            <w:tcBorders>
              <w:top w:val="nil"/>
              <w:left w:val="nil"/>
              <w:bottom w:val="single" w:sz="4" w:space="0" w:color="auto"/>
              <w:right w:val="single" w:sz="4" w:space="0" w:color="auto"/>
            </w:tcBorders>
            <w:shd w:val="clear" w:color="auto" w:fill="auto"/>
            <w:noWrap/>
            <w:vAlign w:val="bottom"/>
            <w:hideMark/>
          </w:tcPr>
          <w:p w14:paraId="4CFF3355" w14:textId="77777777" w:rsidR="007441B4" w:rsidRPr="00C3310F" w:rsidRDefault="007441B4" w:rsidP="00AA146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125,756 </w:t>
            </w:r>
          </w:p>
        </w:tc>
      </w:tr>
    </w:tbl>
    <w:p w14:paraId="6203CB24" w14:textId="1454BF1B" w:rsidR="00B7077C" w:rsidRPr="00C3310F" w:rsidRDefault="007441B4" w:rsidP="007441B4">
      <w:pPr>
        <w:spacing w:afterLines="50" w:after="228"/>
        <w:rPr>
          <w:sz w:val="24"/>
          <w:szCs w:val="24"/>
        </w:rPr>
      </w:pPr>
      <w:r w:rsidRPr="00C3310F">
        <w:rPr>
          <w:rFonts w:hint="eastAsia"/>
          <w:sz w:val="24"/>
          <w:szCs w:val="24"/>
        </w:rPr>
        <w:t>資料來源：金管會</w:t>
      </w:r>
      <w:r w:rsidR="00AA7013" w:rsidRPr="00C3310F">
        <w:rPr>
          <w:rFonts w:hint="eastAsia"/>
          <w:sz w:val="24"/>
          <w:szCs w:val="24"/>
        </w:rPr>
        <w:t>於113年6月3日座談提提供書面資料。</w:t>
      </w:r>
    </w:p>
    <w:p w14:paraId="123419BF" w14:textId="222A37FD" w:rsidR="00B61C3D" w:rsidRPr="00C3310F" w:rsidRDefault="00B61C3D" w:rsidP="007441B4">
      <w:pPr>
        <w:spacing w:afterLines="50" w:after="228"/>
        <w:rPr>
          <w:sz w:val="24"/>
          <w:szCs w:val="24"/>
        </w:rPr>
      </w:pPr>
    </w:p>
    <w:p w14:paraId="48B2A31A" w14:textId="77777777" w:rsidR="00B61C3D" w:rsidRPr="00C3310F" w:rsidRDefault="00B61C3D" w:rsidP="007441B4">
      <w:pPr>
        <w:spacing w:afterLines="50" w:after="228"/>
        <w:rPr>
          <w:sz w:val="24"/>
          <w:szCs w:val="24"/>
        </w:rPr>
      </w:pPr>
    </w:p>
    <w:p w14:paraId="46951572" w14:textId="77777777" w:rsidR="007441B4" w:rsidRPr="00C3310F" w:rsidRDefault="007441B4" w:rsidP="007441B4">
      <w:pPr>
        <w:pStyle w:val="a3"/>
        <w:jc w:val="center"/>
        <w:rPr>
          <w:rFonts w:hint="eastAsia"/>
          <w:b/>
        </w:rPr>
      </w:pPr>
      <w:bookmarkStart w:id="665" w:name="_Toc172025216"/>
      <w:r w:rsidRPr="00C3310F">
        <w:rPr>
          <w:rFonts w:hint="eastAsia"/>
          <w:b/>
        </w:rPr>
        <w:lastRenderedPageBreak/>
        <w:t>前5大金融機構警示帳戶情形表</w:t>
      </w:r>
      <w:bookmarkEnd w:id="665"/>
    </w:p>
    <w:p w14:paraId="6064896F" w14:textId="77777777" w:rsidR="007441B4" w:rsidRPr="00C3310F" w:rsidRDefault="007441B4" w:rsidP="007441B4">
      <w:pPr>
        <w:jc w:val="right"/>
        <w:rPr>
          <w:sz w:val="24"/>
          <w:szCs w:val="24"/>
        </w:rPr>
      </w:pPr>
      <w:r w:rsidRPr="00C3310F">
        <w:rPr>
          <w:rFonts w:hint="eastAsia"/>
          <w:sz w:val="24"/>
          <w:szCs w:val="24"/>
        </w:rPr>
        <w:t>單位：戶數</w:t>
      </w:r>
    </w:p>
    <w:tbl>
      <w:tblPr>
        <w:tblW w:w="9026" w:type="dxa"/>
        <w:tblInd w:w="13" w:type="dxa"/>
        <w:tblCellMar>
          <w:left w:w="28" w:type="dxa"/>
          <w:right w:w="28" w:type="dxa"/>
        </w:tblCellMar>
        <w:tblLook w:val="04A0" w:firstRow="1" w:lastRow="0" w:firstColumn="1" w:lastColumn="0" w:noHBand="0" w:noVBand="1"/>
      </w:tblPr>
      <w:tblGrid>
        <w:gridCol w:w="3134"/>
        <w:gridCol w:w="2115"/>
        <w:gridCol w:w="1766"/>
        <w:gridCol w:w="2011"/>
      </w:tblGrid>
      <w:tr w:rsidR="00C3310F" w:rsidRPr="00C3310F" w14:paraId="453C5491" w14:textId="77777777" w:rsidTr="00AA146C">
        <w:trPr>
          <w:trHeight w:val="407"/>
          <w:tblHeader/>
        </w:trPr>
        <w:tc>
          <w:tcPr>
            <w:tcW w:w="3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F94B0F" w14:textId="77777777" w:rsidR="007441B4" w:rsidRPr="00C3310F" w:rsidRDefault="007441B4" w:rsidP="00AA146C">
            <w:pPr>
              <w:widowControl/>
              <w:overflowPunct/>
              <w:autoSpaceDE/>
              <w:autoSpaceDN/>
              <w:jc w:val="center"/>
              <w:rPr>
                <w:rFonts w:hAnsi="標楷體" w:cs="新細明體"/>
                <w:b/>
                <w:bCs/>
                <w:kern w:val="0"/>
                <w:sz w:val="28"/>
                <w:szCs w:val="28"/>
              </w:rPr>
            </w:pPr>
            <w:r w:rsidRPr="00C3310F">
              <w:rPr>
                <w:rFonts w:hAnsi="標楷體" w:cs="新細明體" w:hint="eastAsia"/>
                <w:b/>
                <w:bCs/>
                <w:kern w:val="0"/>
                <w:sz w:val="28"/>
                <w:szCs w:val="28"/>
              </w:rPr>
              <w:t>金融機構</w:t>
            </w:r>
          </w:p>
        </w:tc>
        <w:tc>
          <w:tcPr>
            <w:tcW w:w="2115" w:type="dxa"/>
            <w:tcBorders>
              <w:top w:val="single" w:sz="4" w:space="0" w:color="auto"/>
              <w:left w:val="nil"/>
              <w:bottom w:val="single" w:sz="4" w:space="0" w:color="auto"/>
              <w:right w:val="single" w:sz="4" w:space="0" w:color="auto"/>
            </w:tcBorders>
            <w:shd w:val="clear" w:color="auto" w:fill="auto"/>
            <w:vAlign w:val="center"/>
            <w:hideMark/>
          </w:tcPr>
          <w:p w14:paraId="75C128DB" w14:textId="77777777" w:rsidR="007441B4" w:rsidRPr="00C3310F" w:rsidRDefault="007441B4" w:rsidP="00AA146C">
            <w:pPr>
              <w:widowControl/>
              <w:overflowPunct/>
              <w:autoSpaceDE/>
              <w:autoSpaceDN/>
              <w:jc w:val="center"/>
              <w:rPr>
                <w:rFonts w:hAnsi="標楷體" w:cs="新細明體"/>
                <w:b/>
                <w:kern w:val="0"/>
                <w:sz w:val="28"/>
                <w:szCs w:val="28"/>
              </w:rPr>
            </w:pPr>
            <w:r w:rsidRPr="00C3310F">
              <w:rPr>
                <w:rFonts w:hAnsi="標楷體" w:cs="新細明體" w:hint="eastAsia"/>
                <w:b/>
                <w:kern w:val="0"/>
                <w:sz w:val="28"/>
                <w:szCs w:val="28"/>
              </w:rPr>
              <w:t>111年第4季</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14:paraId="0E49526C" w14:textId="77777777" w:rsidR="007441B4" w:rsidRPr="00C3310F" w:rsidRDefault="007441B4" w:rsidP="00AA146C">
            <w:pPr>
              <w:widowControl/>
              <w:overflowPunct/>
              <w:autoSpaceDE/>
              <w:autoSpaceDN/>
              <w:ind w:leftChars="-13" w:left="1" w:hangingChars="15" w:hanging="45"/>
              <w:jc w:val="center"/>
              <w:rPr>
                <w:rFonts w:hAnsi="標楷體" w:cs="新細明體"/>
                <w:b/>
                <w:kern w:val="0"/>
                <w:sz w:val="28"/>
                <w:szCs w:val="28"/>
              </w:rPr>
            </w:pPr>
            <w:r w:rsidRPr="00C3310F">
              <w:rPr>
                <w:rFonts w:hAnsi="標楷體" w:cs="新細明體" w:hint="eastAsia"/>
                <w:b/>
                <w:kern w:val="0"/>
                <w:sz w:val="28"/>
                <w:szCs w:val="28"/>
              </w:rPr>
              <w:t>112年第4季</w:t>
            </w:r>
          </w:p>
        </w:tc>
        <w:tc>
          <w:tcPr>
            <w:tcW w:w="2011" w:type="dxa"/>
            <w:tcBorders>
              <w:top w:val="single" w:sz="4" w:space="0" w:color="auto"/>
              <w:left w:val="nil"/>
              <w:bottom w:val="single" w:sz="4" w:space="0" w:color="auto"/>
              <w:right w:val="single" w:sz="4" w:space="0" w:color="auto"/>
            </w:tcBorders>
            <w:shd w:val="clear" w:color="auto" w:fill="auto"/>
            <w:vAlign w:val="center"/>
            <w:hideMark/>
          </w:tcPr>
          <w:p w14:paraId="2DEBAC43" w14:textId="77777777" w:rsidR="007441B4" w:rsidRPr="00C3310F" w:rsidRDefault="007441B4" w:rsidP="00AA146C">
            <w:pPr>
              <w:widowControl/>
              <w:overflowPunct/>
              <w:autoSpaceDE/>
              <w:autoSpaceDN/>
              <w:jc w:val="center"/>
              <w:rPr>
                <w:rFonts w:hAnsi="標楷體" w:cs="新細明體"/>
                <w:b/>
                <w:kern w:val="0"/>
                <w:sz w:val="28"/>
                <w:szCs w:val="28"/>
              </w:rPr>
            </w:pPr>
            <w:r w:rsidRPr="00C3310F">
              <w:rPr>
                <w:rFonts w:hAnsi="標楷體" w:cs="新細明體" w:hint="eastAsia"/>
                <w:b/>
                <w:kern w:val="0"/>
                <w:sz w:val="28"/>
                <w:szCs w:val="28"/>
              </w:rPr>
              <w:t>113年第1季</w:t>
            </w:r>
          </w:p>
        </w:tc>
      </w:tr>
      <w:tr w:rsidR="00C3310F" w:rsidRPr="00C3310F" w14:paraId="043C4519" w14:textId="77777777" w:rsidTr="00AA146C">
        <w:trPr>
          <w:trHeight w:val="400"/>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36850A6E" w14:textId="2AFB08EE" w:rsidR="007441B4" w:rsidRPr="00C3310F" w:rsidRDefault="007441B4" w:rsidP="00AA146C">
            <w:pPr>
              <w:widowControl/>
              <w:overflowPunct/>
              <w:autoSpaceDE/>
              <w:autoSpaceDN/>
              <w:jc w:val="left"/>
              <w:rPr>
                <w:rFonts w:hAnsi="標楷體" w:cs="新細明體"/>
                <w:kern w:val="0"/>
                <w:sz w:val="28"/>
                <w:szCs w:val="28"/>
              </w:rPr>
            </w:pPr>
            <w:r w:rsidRPr="00C3310F">
              <w:rPr>
                <w:rFonts w:hAnsi="標楷體" w:cs="新細明體" w:hint="eastAsia"/>
                <w:kern w:val="0"/>
                <w:sz w:val="28"/>
                <w:szCs w:val="28"/>
              </w:rPr>
              <w:t>中</w:t>
            </w:r>
            <w:r w:rsidR="00141FC6" w:rsidRPr="00C3310F">
              <w:rPr>
                <w:rFonts w:hAnsi="標楷體" w:cs="新細明體" w:hint="eastAsia"/>
                <w:kern w:val="0"/>
                <w:sz w:val="24"/>
                <w:szCs w:val="24"/>
              </w:rPr>
              <w:t>○</w:t>
            </w:r>
            <w:r w:rsidRPr="00C3310F">
              <w:rPr>
                <w:rFonts w:hAnsi="標楷體" w:cs="新細明體" w:hint="eastAsia"/>
                <w:kern w:val="0"/>
                <w:sz w:val="28"/>
                <w:szCs w:val="28"/>
              </w:rPr>
              <w:t xml:space="preserve">郵政                </w:t>
            </w:r>
          </w:p>
        </w:tc>
        <w:tc>
          <w:tcPr>
            <w:tcW w:w="2115" w:type="dxa"/>
            <w:tcBorders>
              <w:top w:val="nil"/>
              <w:left w:val="nil"/>
              <w:bottom w:val="single" w:sz="4" w:space="0" w:color="auto"/>
              <w:right w:val="single" w:sz="4" w:space="0" w:color="auto"/>
            </w:tcBorders>
            <w:shd w:val="clear" w:color="auto" w:fill="auto"/>
            <w:noWrap/>
            <w:vAlign w:val="bottom"/>
            <w:hideMark/>
          </w:tcPr>
          <w:p w14:paraId="28EDE9F1" w14:textId="77777777" w:rsidR="007441B4" w:rsidRPr="00C3310F" w:rsidRDefault="007441B4" w:rsidP="00E772C2">
            <w:pPr>
              <w:widowControl/>
              <w:overflowPunct/>
              <w:autoSpaceDE/>
              <w:autoSpaceDN/>
              <w:jc w:val="right"/>
              <w:rPr>
                <w:rFonts w:hAnsi="標楷體" w:cs="新細明體"/>
                <w:kern w:val="0"/>
                <w:sz w:val="28"/>
                <w:szCs w:val="28"/>
              </w:rPr>
            </w:pPr>
            <w:r w:rsidRPr="00C3310F">
              <w:rPr>
                <w:rFonts w:hAnsi="標楷體" w:cs="新細明體" w:hint="eastAsia"/>
                <w:kern w:val="0"/>
                <w:sz w:val="28"/>
                <w:szCs w:val="28"/>
              </w:rPr>
              <w:t xml:space="preserve">  17,058 </w:t>
            </w:r>
          </w:p>
        </w:tc>
        <w:tc>
          <w:tcPr>
            <w:tcW w:w="1766" w:type="dxa"/>
            <w:tcBorders>
              <w:top w:val="nil"/>
              <w:left w:val="nil"/>
              <w:bottom w:val="single" w:sz="4" w:space="0" w:color="auto"/>
              <w:right w:val="single" w:sz="4" w:space="0" w:color="auto"/>
            </w:tcBorders>
            <w:shd w:val="clear" w:color="auto" w:fill="auto"/>
            <w:noWrap/>
            <w:vAlign w:val="bottom"/>
            <w:hideMark/>
          </w:tcPr>
          <w:p w14:paraId="4A347D12" w14:textId="77777777" w:rsidR="007441B4" w:rsidRPr="00C3310F" w:rsidRDefault="007441B4" w:rsidP="00E772C2">
            <w:pPr>
              <w:widowControl/>
              <w:overflowPunct/>
              <w:autoSpaceDE/>
              <w:autoSpaceDN/>
              <w:jc w:val="right"/>
              <w:rPr>
                <w:rFonts w:hAnsi="標楷體" w:cs="新細明體"/>
                <w:kern w:val="0"/>
                <w:sz w:val="28"/>
                <w:szCs w:val="28"/>
              </w:rPr>
            </w:pPr>
            <w:r w:rsidRPr="00C3310F">
              <w:rPr>
                <w:rFonts w:hAnsi="標楷體" w:cs="新細明體" w:hint="eastAsia"/>
                <w:kern w:val="0"/>
                <w:sz w:val="28"/>
                <w:szCs w:val="28"/>
              </w:rPr>
              <w:t xml:space="preserve">    23,799 </w:t>
            </w:r>
          </w:p>
        </w:tc>
        <w:tc>
          <w:tcPr>
            <w:tcW w:w="2011" w:type="dxa"/>
            <w:tcBorders>
              <w:top w:val="nil"/>
              <w:left w:val="nil"/>
              <w:bottom w:val="single" w:sz="4" w:space="0" w:color="auto"/>
              <w:right w:val="single" w:sz="4" w:space="0" w:color="auto"/>
            </w:tcBorders>
            <w:shd w:val="clear" w:color="auto" w:fill="auto"/>
            <w:noWrap/>
            <w:vAlign w:val="bottom"/>
            <w:hideMark/>
          </w:tcPr>
          <w:p w14:paraId="5AAEF00F" w14:textId="77777777" w:rsidR="007441B4" w:rsidRPr="00C3310F" w:rsidRDefault="007441B4" w:rsidP="00E772C2">
            <w:pPr>
              <w:widowControl/>
              <w:overflowPunct/>
              <w:autoSpaceDE/>
              <w:autoSpaceDN/>
              <w:jc w:val="right"/>
              <w:rPr>
                <w:rFonts w:hAnsi="標楷體" w:cs="新細明體"/>
                <w:kern w:val="0"/>
                <w:sz w:val="28"/>
                <w:szCs w:val="28"/>
              </w:rPr>
            </w:pPr>
            <w:r w:rsidRPr="00C3310F">
              <w:rPr>
                <w:rFonts w:hAnsi="標楷體" w:cs="新細明體" w:hint="eastAsia"/>
                <w:kern w:val="0"/>
                <w:sz w:val="28"/>
                <w:szCs w:val="28"/>
              </w:rPr>
              <w:t xml:space="preserve">      26,379 </w:t>
            </w:r>
          </w:p>
        </w:tc>
      </w:tr>
      <w:tr w:rsidR="00C3310F" w:rsidRPr="00C3310F" w14:paraId="52EB83C0" w14:textId="77777777" w:rsidTr="00AA146C">
        <w:trPr>
          <w:trHeight w:val="400"/>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173374CD" w14:textId="377D63BF" w:rsidR="007441B4" w:rsidRPr="00C3310F" w:rsidRDefault="007441B4" w:rsidP="00AA146C">
            <w:pPr>
              <w:widowControl/>
              <w:overflowPunct/>
              <w:autoSpaceDE/>
              <w:autoSpaceDN/>
              <w:jc w:val="left"/>
              <w:rPr>
                <w:rFonts w:hAnsi="標楷體" w:cs="新細明體"/>
                <w:kern w:val="0"/>
                <w:sz w:val="28"/>
                <w:szCs w:val="28"/>
              </w:rPr>
            </w:pPr>
            <w:r w:rsidRPr="00C3310F">
              <w:rPr>
                <w:rFonts w:hAnsi="標楷體" w:cs="新細明體" w:hint="eastAsia"/>
                <w:kern w:val="0"/>
                <w:sz w:val="28"/>
                <w:szCs w:val="28"/>
              </w:rPr>
              <w:t>第</w:t>
            </w:r>
            <w:r w:rsidR="00141FC6" w:rsidRPr="00C3310F">
              <w:rPr>
                <w:rFonts w:hAnsi="標楷體" w:cs="新細明體" w:hint="eastAsia"/>
                <w:kern w:val="0"/>
                <w:sz w:val="24"/>
                <w:szCs w:val="24"/>
              </w:rPr>
              <w:t>○</w:t>
            </w:r>
            <w:r w:rsidRPr="00C3310F">
              <w:rPr>
                <w:rFonts w:hAnsi="標楷體" w:cs="新細明體" w:hint="eastAsia"/>
                <w:kern w:val="0"/>
                <w:sz w:val="28"/>
                <w:szCs w:val="28"/>
              </w:rPr>
              <w:t xml:space="preserve">銀行                </w:t>
            </w:r>
          </w:p>
        </w:tc>
        <w:tc>
          <w:tcPr>
            <w:tcW w:w="2115" w:type="dxa"/>
            <w:tcBorders>
              <w:top w:val="nil"/>
              <w:left w:val="nil"/>
              <w:bottom w:val="single" w:sz="4" w:space="0" w:color="auto"/>
              <w:right w:val="single" w:sz="4" w:space="0" w:color="auto"/>
            </w:tcBorders>
            <w:shd w:val="clear" w:color="auto" w:fill="auto"/>
            <w:noWrap/>
            <w:vAlign w:val="bottom"/>
            <w:hideMark/>
          </w:tcPr>
          <w:p w14:paraId="2C14901A" w14:textId="77777777" w:rsidR="007441B4" w:rsidRPr="00C3310F" w:rsidRDefault="007441B4" w:rsidP="00E772C2">
            <w:pPr>
              <w:widowControl/>
              <w:overflowPunct/>
              <w:autoSpaceDE/>
              <w:autoSpaceDN/>
              <w:jc w:val="right"/>
              <w:rPr>
                <w:rFonts w:hAnsi="標楷體" w:cs="新細明體"/>
                <w:kern w:val="0"/>
                <w:sz w:val="28"/>
                <w:szCs w:val="28"/>
              </w:rPr>
            </w:pPr>
            <w:r w:rsidRPr="00C3310F">
              <w:rPr>
                <w:rFonts w:hAnsi="標楷體" w:cs="新細明體" w:hint="eastAsia"/>
                <w:kern w:val="0"/>
                <w:sz w:val="28"/>
                <w:szCs w:val="28"/>
              </w:rPr>
              <w:t xml:space="preserve">   4,308 </w:t>
            </w:r>
          </w:p>
        </w:tc>
        <w:tc>
          <w:tcPr>
            <w:tcW w:w="1766" w:type="dxa"/>
            <w:tcBorders>
              <w:top w:val="nil"/>
              <w:left w:val="nil"/>
              <w:bottom w:val="single" w:sz="4" w:space="0" w:color="auto"/>
              <w:right w:val="single" w:sz="4" w:space="0" w:color="auto"/>
            </w:tcBorders>
            <w:shd w:val="clear" w:color="auto" w:fill="auto"/>
            <w:noWrap/>
            <w:vAlign w:val="bottom"/>
            <w:hideMark/>
          </w:tcPr>
          <w:p w14:paraId="2BE8EEB1" w14:textId="77777777" w:rsidR="007441B4" w:rsidRPr="00C3310F" w:rsidRDefault="007441B4" w:rsidP="00E772C2">
            <w:pPr>
              <w:widowControl/>
              <w:overflowPunct/>
              <w:autoSpaceDE/>
              <w:autoSpaceDN/>
              <w:jc w:val="right"/>
              <w:rPr>
                <w:rFonts w:hAnsi="標楷體" w:cs="新細明體"/>
                <w:kern w:val="0"/>
                <w:sz w:val="28"/>
                <w:szCs w:val="28"/>
              </w:rPr>
            </w:pPr>
            <w:r w:rsidRPr="00C3310F">
              <w:rPr>
                <w:rFonts w:hAnsi="標楷體" w:cs="新細明體" w:hint="eastAsia"/>
                <w:kern w:val="0"/>
                <w:sz w:val="28"/>
                <w:szCs w:val="28"/>
              </w:rPr>
              <w:t xml:space="preserve">     6,191 </w:t>
            </w:r>
          </w:p>
        </w:tc>
        <w:tc>
          <w:tcPr>
            <w:tcW w:w="2011" w:type="dxa"/>
            <w:tcBorders>
              <w:top w:val="nil"/>
              <w:left w:val="nil"/>
              <w:bottom w:val="single" w:sz="4" w:space="0" w:color="auto"/>
              <w:right w:val="single" w:sz="4" w:space="0" w:color="auto"/>
            </w:tcBorders>
            <w:shd w:val="clear" w:color="auto" w:fill="auto"/>
            <w:noWrap/>
            <w:vAlign w:val="bottom"/>
            <w:hideMark/>
          </w:tcPr>
          <w:p w14:paraId="2219CD73" w14:textId="77777777" w:rsidR="007441B4" w:rsidRPr="00C3310F" w:rsidRDefault="007441B4" w:rsidP="00E772C2">
            <w:pPr>
              <w:widowControl/>
              <w:overflowPunct/>
              <w:autoSpaceDE/>
              <w:autoSpaceDN/>
              <w:jc w:val="right"/>
              <w:rPr>
                <w:rFonts w:hAnsi="標楷體" w:cs="新細明體"/>
                <w:kern w:val="0"/>
                <w:sz w:val="28"/>
                <w:szCs w:val="28"/>
              </w:rPr>
            </w:pPr>
            <w:r w:rsidRPr="00C3310F">
              <w:rPr>
                <w:rFonts w:hAnsi="標楷體" w:cs="新細明體" w:hint="eastAsia"/>
                <w:kern w:val="0"/>
                <w:sz w:val="28"/>
                <w:szCs w:val="28"/>
              </w:rPr>
              <w:t xml:space="preserve">       6,728 </w:t>
            </w:r>
          </w:p>
        </w:tc>
      </w:tr>
      <w:tr w:rsidR="00C3310F" w:rsidRPr="00C3310F" w14:paraId="29A31FD9" w14:textId="77777777" w:rsidTr="00AA146C">
        <w:trPr>
          <w:trHeight w:val="400"/>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302A47D3" w14:textId="1F788BD5" w:rsidR="007441B4" w:rsidRPr="00C3310F" w:rsidRDefault="007441B4" w:rsidP="00AA146C">
            <w:pPr>
              <w:widowControl/>
              <w:overflowPunct/>
              <w:autoSpaceDE/>
              <w:autoSpaceDN/>
              <w:jc w:val="left"/>
              <w:rPr>
                <w:rFonts w:hAnsi="標楷體" w:cs="新細明體"/>
                <w:kern w:val="0"/>
                <w:sz w:val="28"/>
                <w:szCs w:val="28"/>
              </w:rPr>
            </w:pPr>
            <w:r w:rsidRPr="00C3310F">
              <w:rPr>
                <w:rFonts w:hAnsi="標楷體" w:cs="新細明體" w:hint="eastAsia"/>
                <w:kern w:val="0"/>
                <w:sz w:val="28"/>
                <w:szCs w:val="28"/>
              </w:rPr>
              <w:t>國</w:t>
            </w:r>
            <w:r w:rsidR="00141FC6" w:rsidRPr="00C3310F">
              <w:rPr>
                <w:rFonts w:hAnsi="標楷體" w:cs="新細明體" w:hint="eastAsia"/>
                <w:kern w:val="0"/>
                <w:sz w:val="24"/>
                <w:szCs w:val="24"/>
              </w:rPr>
              <w:t>○</w:t>
            </w:r>
            <w:r w:rsidRPr="00C3310F">
              <w:rPr>
                <w:rFonts w:hAnsi="標楷體" w:cs="新細明體" w:hint="eastAsia"/>
                <w:kern w:val="0"/>
                <w:sz w:val="28"/>
                <w:szCs w:val="28"/>
              </w:rPr>
              <w:t xml:space="preserve">世華銀行            </w:t>
            </w:r>
          </w:p>
        </w:tc>
        <w:tc>
          <w:tcPr>
            <w:tcW w:w="2115" w:type="dxa"/>
            <w:tcBorders>
              <w:top w:val="nil"/>
              <w:left w:val="nil"/>
              <w:bottom w:val="single" w:sz="4" w:space="0" w:color="auto"/>
              <w:right w:val="single" w:sz="4" w:space="0" w:color="auto"/>
            </w:tcBorders>
            <w:shd w:val="clear" w:color="auto" w:fill="auto"/>
            <w:noWrap/>
            <w:vAlign w:val="bottom"/>
            <w:hideMark/>
          </w:tcPr>
          <w:p w14:paraId="611232C8" w14:textId="77777777" w:rsidR="007441B4" w:rsidRPr="00C3310F" w:rsidRDefault="007441B4" w:rsidP="00E772C2">
            <w:pPr>
              <w:widowControl/>
              <w:overflowPunct/>
              <w:autoSpaceDE/>
              <w:autoSpaceDN/>
              <w:jc w:val="right"/>
              <w:rPr>
                <w:rFonts w:hAnsi="標楷體" w:cs="新細明體"/>
                <w:kern w:val="0"/>
                <w:sz w:val="28"/>
                <w:szCs w:val="28"/>
              </w:rPr>
            </w:pPr>
            <w:r w:rsidRPr="00C3310F">
              <w:rPr>
                <w:rFonts w:hAnsi="標楷體" w:cs="新細明體" w:hint="eastAsia"/>
                <w:kern w:val="0"/>
                <w:sz w:val="28"/>
                <w:szCs w:val="28"/>
              </w:rPr>
              <w:t xml:space="preserve">   6,171 </w:t>
            </w:r>
          </w:p>
        </w:tc>
        <w:tc>
          <w:tcPr>
            <w:tcW w:w="1766" w:type="dxa"/>
            <w:tcBorders>
              <w:top w:val="nil"/>
              <w:left w:val="nil"/>
              <w:bottom w:val="single" w:sz="4" w:space="0" w:color="auto"/>
              <w:right w:val="single" w:sz="4" w:space="0" w:color="auto"/>
            </w:tcBorders>
            <w:shd w:val="clear" w:color="auto" w:fill="auto"/>
            <w:noWrap/>
            <w:vAlign w:val="bottom"/>
            <w:hideMark/>
          </w:tcPr>
          <w:p w14:paraId="1233074A" w14:textId="77777777" w:rsidR="007441B4" w:rsidRPr="00C3310F" w:rsidRDefault="007441B4" w:rsidP="00E772C2">
            <w:pPr>
              <w:widowControl/>
              <w:overflowPunct/>
              <w:autoSpaceDE/>
              <w:autoSpaceDN/>
              <w:jc w:val="right"/>
              <w:rPr>
                <w:rFonts w:hAnsi="標楷體" w:cs="新細明體"/>
                <w:kern w:val="0"/>
                <w:sz w:val="28"/>
                <w:szCs w:val="28"/>
              </w:rPr>
            </w:pPr>
            <w:r w:rsidRPr="00C3310F">
              <w:rPr>
                <w:rFonts w:hAnsi="標楷體" w:cs="新細明體" w:hint="eastAsia"/>
                <w:kern w:val="0"/>
                <w:sz w:val="28"/>
                <w:szCs w:val="28"/>
              </w:rPr>
              <w:t xml:space="preserve">     7,004 </w:t>
            </w:r>
          </w:p>
        </w:tc>
        <w:tc>
          <w:tcPr>
            <w:tcW w:w="2011" w:type="dxa"/>
            <w:tcBorders>
              <w:top w:val="nil"/>
              <w:left w:val="nil"/>
              <w:bottom w:val="single" w:sz="4" w:space="0" w:color="auto"/>
              <w:right w:val="single" w:sz="4" w:space="0" w:color="auto"/>
            </w:tcBorders>
            <w:shd w:val="clear" w:color="auto" w:fill="auto"/>
            <w:noWrap/>
            <w:vAlign w:val="bottom"/>
            <w:hideMark/>
          </w:tcPr>
          <w:p w14:paraId="4AAB532F" w14:textId="77777777" w:rsidR="007441B4" w:rsidRPr="00C3310F" w:rsidRDefault="007441B4" w:rsidP="00E772C2">
            <w:pPr>
              <w:widowControl/>
              <w:overflowPunct/>
              <w:autoSpaceDE/>
              <w:autoSpaceDN/>
              <w:jc w:val="right"/>
              <w:rPr>
                <w:rFonts w:hAnsi="標楷體" w:cs="新細明體"/>
                <w:kern w:val="0"/>
                <w:sz w:val="28"/>
                <w:szCs w:val="28"/>
              </w:rPr>
            </w:pPr>
            <w:r w:rsidRPr="00C3310F">
              <w:rPr>
                <w:rFonts w:hAnsi="標楷體" w:cs="新細明體" w:hint="eastAsia"/>
                <w:kern w:val="0"/>
                <w:sz w:val="28"/>
                <w:szCs w:val="28"/>
              </w:rPr>
              <w:t xml:space="preserve">       7,335 </w:t>
            </w:r>
          </w:p>
        </w:tc>
      </w:tr>
      <w:tr w:rsidR="00C3310F" w:rsidRPr="00C3310F" w14:paraId="51A4A383" w14:textId="77777777" w:rsidTr="00AA146C">
        <w:trPr>
          <w:trHeight w:val="400"/>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72097F47" w14:textId="07DDF566" w:rsidR="007441B4" w:rsidRPr="00C3310F" w:rsidRDefault="007441B4" w:rsidP="00AA146C">
            <w:pPr>
              <w:widowControl/>
              <w:overflowPunct/>
              <w:autoSpaceDE/>
              <w:autoSpaceDN/>
              <w:jc w:val="left"/>
              <w:rPr>
                <w:rFonts w:hAnsi="標楷體" w:cs="新細明體"/>
                <w:kern w:val="0"/>
                <w:sz w:val="28"/>
                <w:szCs w:val="28"/>
              </w:rPr>
            </w:pPr>
            <w:r w:rsidRPr="00C3310F">
              <w:rPr>
                <w:rFonts w:hAnsi="標楷體" w:cs="新細明體" w:hint="eastAsia"/>
                <w:kern w:val="0"/>
                <w:sz w:val="28"/>
                <w:szCs w:val="28"/>
              </w:rPr>
              <w:t>台</w:t>
            </w:r>
            <w:r w:rsidR="00141FC6" w:rsidRPr="00C3310F">
              <w:rPr>
                <w:rFonts w:hAnsi="標楷體" w:cs="新細明體" w:hint="eastAsia"/>
                <w:kern w:val="0"/>
                <w:sz w:val="24"/>
                <w:szCs w:val="24"/>
              </w:rPr>
              <w:t>○</w:t>
            </w:r>
            <w:r w:rsidRPr="00C3310F">
              <w:rPr>
                <w:rFonts w:hAnsi="標楷體" w:cs="新細明體" w:hint="eastAsia"/>
                <w:kern w:val="0"/>
                <w:sz w:val="28"/>
                <w:szCs w:val="28"/>
              </w:rPr>
              <w:t xml:space="preserve">銀行                </w:t>
            </w:r>
          </w:p>
        </w:tc>
        <w:tc>
          <w:tcPr>
            <w:tcW w:w="2115" w:type="dxa"/>
            <w:tcBorders>
              <w:top w:val="nil"/>
              <w:left w:val="nil"/>
              <w:bottom w:val="single" w:sz="4" w:space="0" w:color="auto"/>
              <w:right w:val="single" w:sz="4" w:space="0" w:color="auto"/>
            </w:tcBorders>
            <w:shd w:val="clear" w:color="auto" w:fill="auto"/>
            <w:noWrap/>
            <w:vAlign w:val="bottom"/>
            <w:hideMark/>
          </w:tcPr>
          <w:p w14:paraId="7164B084" w14:textId="77777777" w:rsidR="007441B4" w:rsidRPr="00C3310F" w:rsidRDefault="007441B4" w:rsidP="00E772C2">
            <w:pPr>
              <w:widowControl/>
              <w:overflowPunct/>
              <w:autoSpaceDE/>
              <w:autoSpaceDN/>
              <w:jc w:val="right"/>
              <w:rPr>
                <w:rFonts w:hAnsi="標楷體" w:cs="新細明體"/>
                <w:kern w:val="0"/>
                <w:sz w:val="28"/>
                <w:szCs w:val="28"/>
              </w:rPr>
            </w:pPr>
            <w:r w:rsidRPr="00C3310F">
              <w:rPr>
                <w:rFonts w:hAnsi="標楷體" w:cs="新細明體" w:hint="eastAsia"/>
                <w:kern w:val="0"/>
                <w:sz w:val="28"/>
                <w:szCs w:val="28"/>
              </w:rPr>
              <w:t xml:space="preserve">   5,262 </w:t>
            </w:r>
          </w:p>
        </w:tc>
        <w:tc>
          <w:tcPr>
            <w:tcW w:w="1766" w:type="dxa"/>
            <w:tcBorders>
              <w:top w:val="nil"/>
              <w:left w:val="nil"/>
              <w:bottom w:val="single" w:sz="4" w:space="0" w:color="auto"/>
              <w:right w:val="single" w:sz="4" w:space="0" w:color="auto"/>
            </w:tcBorders>
            <w:shd w:val="clear" w:color="auto" w:fill="auto"/>
            <w:noWrap/>
            <w:vAlign w:val="bottom"/>
            <w:hideMark/>
          </w:tcPr>
          <w:p w14:paraId="3ED49D2F" w14:textId="77777777" w:rsidR="007441B4" w:rsidRPr="00C3310F" w:rsidRDefault="007441B4" w:rsidP="00E772C2">
            <w:pPr>
              <w:widowControl/>
              <w:overflowPunct/>
              <w:autoSpaceDE/>
              <w:autoSpaceDN/>
              <w:jc w:val="right"/>
              <w:rPr>
                <w:rFonts w:hAnsi="標楷體" w:cs="新細明體"/>
                <w:kern w:val="0"/>
                <w:sz w:val="28"/>
                <w:szCs w:val="28"/>
              </w:rPr>
            </w:pPr>
            <w:r w:rsidRPr="00C3310F">
              <w:rPr>
                <w:rFonts w:hAnsi="標楷體" w:cs="新細明體" w:hint="eastAsia"/>
                <w:kern w:val="0"/>
                <w:sz w:val="28"/>
                <w:szCs w:val="28"/>
              </w:rPr>
              <w:t xml:space="preserve">     6,316 </w:t>
            </w:r>
          </w:p>
        </w:tc>
        <w:tc>
          <w:tcPr>
            <w:tcW w:w="2011" w:type="dxa"/>
            <w:tcBorders>
              <w:top w:val="nil"/>
              <w:left w:val="nil"/>
              <w:bottom w:val="single" w:sz="4" w:space="0" w:color="auto"/>
              <w:right w:val="single" w:sz="4" w:space="0" w:color="auto"/>
            </w:tcBorders>
            <w:shd w:val="clear" w:color="auto" w:fill="auto"/>
            <w:noWrap/>
            <w:vAlign w:val="bottom"/>
            <w:hideMark/>
          </w:tcPr>
          <w:p w14:paraId="7D9ED6D5" w14:textId="77777777" w:rsidR="007441B4" w:rsidRPr="00C3310F" w:rsidRDefault="007441B4" w:rsidP="00E772C2">
            <w:pPr>
              <w:widowControl/>
              <w:overflowPunct/>
              <w:autoSpaceDE/>
              <w:autoSpaceDN/>
              <w:jc w:val="right"/>
              <w:rPr>
                <w:rFonts w:hAnsi="標楷體" w:cs="新細明體"/>
                <w:kern w:val="0"/>
                <w:sz w:val="28"/>
                <w:szCs w:val="28"/>
              </w:rPr>
            </w:pPr>
            <w:r w:rsidRPr="00C3310F">
              <w:rPr>
                <w:rFonts w:hAnsi="標楷體" w:cs="新細明體" w:hint="eastAsia"/>
                <w:kern w:val="0"/>
                <w:sz w:val="28"/>
                <w:szCs w:val="28"/>
              </w:rPr>
              <w:t xml:space="preserve">       6,723 </w:t>
            </w:r>
          </w:p>
        </w:tc>
      </w:tr>
      <w:tr w:rsidR="00C3310F" w:rsidRPr="00C3310F" w14:paraId="1C82E344" w14:textId="77777777" w:rsidTr="00AA146C">
        <w:trPr>
          <w:trHeight w:val="400"/>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3421B56D" w14:textId="74697E97" w:rsidR="007441B4" w:rsidRPr="00C3310F" w:rsidRDefault="007441B4" w:rsidP="00AA146C">
            <w:pPr>
              <w:widowControl/>
              <w:overflowPunct/>
              <w:autoSpaceDE/>
              <w:autoSpaceDN/>
              <w:jc w:val="left"/>
              <w:rPr>
                <w:rFonts w:hAnsi="標楷體" w:cs="新細明體"/>
                <w:kern w:val="0"/>
                <w:sz w:val="28"/>
                <w:szCs w:val="28"/>
              </w:rPr>
            </w:pPr>
            <w:r w:rsidRPr="00C3310F">
              <w:rPr>
                <w:rFonts w:hAnsi="標楷體" w:cs="新細明體" w:hint="eastAsia"/>
                <w:kern w:val="0"/>
                <w:sz w:val="28"/>
                <w:szCs w:val="28"/>
              </w:rPr>
              <w:t>中</w:t>
            </w:r>
            <w:r w:rsidR="00141FC6" w:rsidRPr="00C3310F">
              <w:rPr>
                <w:rFonts w:hAnsi="標楷體" w:cs="新細明體" w:hint="eastAsia"/>
                <w:kern w:val="0"/>
                <w:sz w:val="24"/>
                <w:szCs w:val="24"/>
              </w:rPr>
              <w:t>○</w:t>
            </w:r>
            <w:r w:rsidRPr="00C3310F">
              <w:rPr>
                <w:rFonts w:hAnsi="標楷體" w:cs="新細明體" w:hint="eastAsia"/>
                <w:kern w:val="0"/>
                <w:sz w:val="28"/>
                <w:szCs w:val="28"/>
              </w:rPr>
              <w:t xml:space="preserve">信託銀行            </w:t>
            </w:r>
          </w:p>
        </w:tc>
        <w:tc>
          <w:tcPr>
            <w:tcW w:w="2115" w:type="dxa"/>
            <w:tcBorders>
              <w:top w:val="nil"/>
              <w:left w:val="nil"/>
              <w:bottom w:val="single" w:sz="4" w:space="0" w:color="auto"/>
              <w:right w:val="single" w:sz="4" w:space="0" w:color="auto"/>
            </w:tcBorders>
            <w:shd w:val="clear" w:color="auto" w:fill="auto"/>
            <w:noWrap/>
            <w:vAlign w:val="bottom"/>
            <w:hideMark/>
          </w:tcPr>
          <w:p w14:paraId="0C39F277" w14:textId="77777777" w:rsidR="007441B4" w:rsidRPr="00C3310F" w:rsidRDefault="007441B4" w:rsidP="00E772C2">
            <w:pPr>
              <w:widowControl/>
              <w:overflowPunct/>
              <w:autoSpaceDE/>
              <w:autoSpaceDN/>
              <w:jc w:val="right"/>
              <w:rPr>
                <w:rFonts w:hAnsi="標楷體" w:cs="新細明體"/>
                <w:kern w:val="0"/>
                <w:sz w:val="28"/>
                <w:szCs w:val="28"/>
              </w:rPr>
            </w:pPr>
            <w:r w:rsidRPr="00C3310F">
              <w:rPr>
                <w:rFonts w:hAnsi="標楷體" w:cs="新細明體" w:hint="eastAsia"/>
                <w:kern w:val="0"/>
                <w:sz w:val="28"/>
                <w:szCs w:val="28"/>
              </w:rPr>
              <w:t xml:space="preserve">  20,213 </w:t>
            </w:r>
          </w:p>
        </w:tc>
        <w:tc>
          <w:tcPr>
            <w:tcW w:w="1766" w:type="dxa"/>
            <w:tcBorders>
              <w:top w:val="nil"/>
              <w:left w:val="nil"/>
              <w:bottom w:val="single" w:sz="4" w:space="0" w:color="auto"/>
              <w:right w:val="single" w:sz="4" w:space="0" w:color="auto"/>
            </w:tcBorders>
            <w:shd w:val="clear" w:color="auto" w:fill="auto"/>
            <w:noWrap/>
            <w:vAlign w:val="bottom"/>
            <w:hideMark/>
          </w:tcPr>
          <w:p w14:paraId="261766DF" w14:textId="77777777" w:rsidR="007441B4" w:rsidRPr="00C3310F" w:rsidRDefault="007441B4" w:rsidP="00E772C2">
            <w:pPr>
              <w:widowControl/>
              <w:overflowPunct/>
              <w:autoSpaceDE/>
              <w:autoSpaceDN/>
              <w:jc w:val="right"/>
              <w:rPr>
                <w:rFonts w:hAnsi="標楷體" w:cs="新細明體"/>
                <w:kern w:val="0"/>
                <w:sz w:val="28"/>
                <w:szCs w:val="28"/>
              </w:rPr>
            </w:pPr>
            <w:r w:rsidRPr="00C3310F">
              <w:rPr>
                <w:rFonts w:hAnsi="標楷體" w:cs="新細明體" w:hint="eastAsia"/>
                <w:kern w:val="0"/>
                <w:sz w:val="28"/>
                <w:szCs w:val="28"/>
              </w:rPr>
              <w:t xml:space="preserve">    22,192 </w:t>
            </w:r>
          </w:p>
        </w:tc>
        <w:tc>
          <w:tcPr>
            <w:tcW w:w="2011" w:type="dxa"/>
            <w:tcBorders>
              <w:top w:val="nil"/>
              <w:left w:val="nil"/>
              <w:bottom w:val="single" w:sz="4" w:space="0" w:color="auto"/>
              <w:right w:val="single" w:sz="4" w:space="0" w:color="auto"/>
            </w:tcBorders>
            <w:shd w:val="clear" w:color="auto" w:fill="auto"/>
            <w:noWrap/>
            <w:vAlign w:val="bottom"/>
            <w:hideMark/>
          </w:tcPr>
          <w:p w14:paraId="6AD22FDB" w14:textId="77777777" w:rsidR="007441B4" w:rsidRPr="00C3310F" w:rsidRDefault="007441B4" w:rsidP="00E772C2">
            <w:pPr>
              <w:widowControl/>
              <w:overflowPunct/>
              <w:autoSpaceDE/>
              <w:autoSpaceDN/>
              <w:jc w:val="right"/>
              <w:rPr>
                <w:rFonts w:hAnsi="標楷體" w:cs="新細明體"/>
                <w:kern w:val="0"/>
                <w:sz w:val="28"/>
                <w:szCs w:val="28"/>
              </w:rPr>
            </w:pPr>
            <w:r w:rsidRPr="00C3310F">
              <w:rPr>
                <w:rFonts w:hAnsi="標楷體" w:cs="新細明體" w:hint="eastAsia"/>
                <w:kern w:val="0"/>
                <w:sz w:val="28"/>
                <w:szCs w:val="28"/>
              </w:rPr>
              <w:t xml:space="preserve">      22,066 </w:t>
            </w:r>
          </w:p>
        </w:tc>
      </w:tr>
      <w:tr w:rsidR="00C3310F" w:rsidRPr="00C3310F" w14:paraId="40B68EC6" w14:textId="77777777" w:rsidTr="00AA146C">
        <w:trPr>
          <w:trHeight w:val="400"/>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6455612C" w14:textId="77777777" w:rsidR="007441B4" w:rsidRPr="00C3310F" w:rsidRDefault="007441B4" w:rsidP="00AA146C">
            <w:pPr>
              <w:widowControl/>
              <w:overflowPunct/>
              <w:autoSpaceDE/>
              <w:autoSpaceDN/>
              <w:jc w:val="left"/>
              <w:rPr>
                <w:rFonts w:hAnsi="標楷體" w:cs="新細明體"/>
                <w:kern w:val="0"/>
                <w:sz w:val="28"/>
                <w:szCs w:val="28"/>
              </w:rPr>
            </w:pPr>
            <w:r w:rsidRPr="00C3310F">
              <w:rPr>
                <w:rFonts w:hAnsi="標楷體" w:cs="新細明體" w:hint="eastAsia"/>
                <w:kern w:val="0"/>
                <w:sz w:val="28"/>
                <w:szCs w:val="28"/>
              </w:rPr>
              <w:t>合計</w:t>
            </w:r>
          </w:p>
        </w:tc>
        <w:tc>
          <w:tcPr>
            <w:tcW w:w="2115" w:type="dxa"/>
            <w:tcBorders>
              <w:top w:val="nil"/>
              <w:left w:val="nil"/>
              <w:bottom w:val="single" w:sz="4" w:space="0" w:color="auto"/>
              <w:right w:val="single" w:sz="4" w:space="0" w:color="auto"/>
            </w:tcBorders>
            <w:shd w:val="clear" w:color="auto" w:fill="auto"/>
            <w:noWrap/>
            <w:vAlign w:val="bottom"/>
            <w:hideMark/>
          </w:tcPr>
          <w:p w14:paraId="3A7DBB0A" w14:textId="77777777" w:rsidR="007441B4" w:rsidRPr="00C3310F" w:rsidRDefault="007441B4" w:rsidP="00E772C2">
            <w:pPr>
              <w:widowControl/>
              <w:overflowPunct/>
              <w:autoSpaceDE/>
              <w:autoSpaceDN/>
              <w:jc w:val="right"/>
              <w:rPr>
                <w:rFonts w:hAnsi="標楷體" w:cs="新細明體"/>
                <w:kern w:val="0"/>
                <w:sz w:val="28"/>
                <w:szCs w:val="28"/>
              </w:rPr>
            </w:pPr>
            <w:r w:rsidRPr="00C3310F">
              <w:rPr>
                <w:rFonts w:hAnsi="標楷體" w:cs="新細明體" w:hint="eastAsia"/>
                <w:kern w:val="0"/>
                <w:sz w:val="28"/>
                <w:szCs w:val="28"/>
              </w:rPr>
              <w:t xml:space="preserve">  53,012 </w:t>
            </w:r>
          </w:p>
        </w:tc>
        <w:tc>
          <w:tcPr>
            <w:tcW w:w="1766" w:type="dxa"/>
            <w:tcBorders>
              <w:top w:val="nil"/>
              <w:left w:val="nil"/>
              <w:bottom w:val="single" w:sz="4" w:space="0" w:color="auto"/>
              <w:right w:val="single" w:sz="4" w:space="0" w:color="auto"/>
            </w:tcBorders>
            <w:shd w:val="clear" w:color="auto" w:fill="auto"/>
            <w:noWrap/>
            <w:vAlign w:val="bottom"/>
            <w:hideMark/>
          </w:tcPr>
          <w:p w14:paraId="047D313F" w14:textId="77777777" w:rsidR="007441B4" w:rsidRPr="00C3310F" w:rsidRDefault="007441B4" w:rsidP="00E772C2">
            <w:pPr>
              <w:widowControl/>
              <w:overflowPunct/>
              <w:autoSpaceDE/>
              <w:autoSpaceDN/>
              <w:jc w:val="right"/>
              <w:rPr>
                <w:rFonts w:hAnsi="標楷體" w:cs="新細明體"/>
                <w:kern w:val="0"/>
                <w:sz w:val="28"/>
                <w:szCs w:val="28"/>
              </w:rPr>
            </w:pPr>
            <w:r w:rsidRPr="00C3310F">
              <w:rPr>
                <w:rFonts w:hAnsi="標楷體" w:cs="新細明體" w:hint="eastAsia"/>
                <w:kern w:val="0"/>
                <w:sz w:val="28"/>
                <w:szCs w:val="28"/>
              </w:rPr>
              <w:t xml:space="preserve">    65,502 </w:t>
            </w:r>
          </w:p>
        </w:tc>
        <w:tc>
          <w:tcPr>
            <w:tcW w:w="2011" w:type="dxa"/>
            <w:tcBorders>
              <w:top w:val="nil"/>
              <w:left w:val="nil"/>
              <w:bottom w:val="single" w:sz="4" w:space="0" w:color="auto"/>
              <w:right w:val="single" w:sz="4" w:space="0" w:color="auto"/>
            </w:tcBorders>
            <w:shd w:val="clear" w:color="auto" w:fill="auto"/>
            <w:noWrap/>
            <w:vAlign w:val="bottom"/>
            <w:hideMark/>
          </w:tcPr>
          <w:p w14:paraId="51D703B8" w14:textId="77777777" w:rsidR="007441B4" w:rsidRPr="00C3310F" w:rsidRDefault="007441B4" w:rsidP="00E772C2">
            <w:pPr>
              <w:widowControl/>
              <w:overflowPunct/>
              <w:autoSpaceDE/>
              <w:autoSpaceDN/>
              <w:jc w:val="right"/>
              <w:rPr>
                <w:rFonts w:hAnsi="標楷體" w:cs="新細明體"/>
                <w:kern w:val="0"/>
                <w:sz w:val="28"/>
                <w:szCs w:val="28"/>
              </w:rPr>
            </w:pPr>
            <w:r w:rsidRPr="00C3310F">
              <w:rPr>
                <w:rFonts w:hAnsi="標楷體" w:cs="新細明體" w:hint="eastAsia"/>
                <w:kern w:val="0"/>
                <w:sz w:val="28"/>
                <w:szCs w:val="28"/>
              </w:rPr>
              <w:t xml:space="preserve">      69,231 </w:t>
            </w:r>
          </w:p>
        </w:tc>
      </w:tr>
      <w:tr w:rsidR="00C3310F" w:rsidRPr="00C3310F" w14:paraId="1A19102C" w14:textId="77777777" w:rsidTr="00AA146C">
        <w:trPr>
          <w:trHeight w:val="331"/>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36900F1B" w14:textId="77777777" w:rsidR="007441B4" w:rsidRPr="00C3310F" w:rsidRDefault="007441B4" w:rsidP="00AA146C">
            <w:pPr>
              <w:widowControl/>
              <w:overflowPunct/>
              <w:autoSpaceDE/>
              <w:autoSpaceDN/>
              <w:jc w:val="left"/>
              <w:rPr>
                <w:rFonts w:hAnsi="標楷體" w:cs="新細明體"/>
                <w:kern w:val="0"/>
                <w:sz w:val="28"/>
                <w:szCs w:val="28"/>
              </w:rPr>
            </w:pPr>
            <w:r w:rsidRPr="00C3310F">
              <w:rPr>
                <w:rFonts w:hAnsi="標楷體" w:cs="新細明體" w:hint="eastAsia"/>
                <w:kern w:val="0"/>
                <w:sz w:val="28"/>
                <w:szCs w:val="28"/>
              </w:rPr>
              <w:t>全部金融機構總計</w:t>
            </w:r>
          </w:p>
        </w:tc>
        <w:tc>
          <w:tcPr>
            <w:tcW w:w="2115" w:type="dxa"/>
            <w:tcBorders>
              <w:top w:val="nil"/>
              <w:left w:val="nil"/>
              <w:bottom w:val="single" w:sz="4" w:space="0" w:color="auto"/>
              <w:right w:val="single" w:sz="4" w:space="0" w:color="auto"/>
            </w:tcBorders>
            <w:shd w:val="clear" w:color="auto" w:fill="auto"/>
            <w:noWrap/>
            <w:vAlign w:val="bottom"/>
            <w:hideMark/>
          </w:tcPr>
          <w:p w14:paraId="4FA05C18" w14:textId="77777777" w:rsidR="007441B4" w:rsidRPr="00C3310F" w:rsidRDefault="007441B4" w:rsidP="00E772C2">
            <w:pPr>
              <w:widowControl/>
              <w:overflowPunct/>
              <w:autoSpaceDE/>
              <w:autoSpaceDN/>
              <w:jc w:val="right"/>
              <w:rPr>
                <w:rFonts w:hAnsi="標楷體" w:cs="新細明體"/>
                <w:kern w:val="0"/>
                <w:sz w:val="28"/>
                <w:szCs w:val="28"/>
              </w:rPr>
            </w:pPr>
            <w:r w:rsidRPr="00C3310F">
              <w:rPr>
                <w:rFonts w:hAnsi="標楷體" w:cs="新細明體" w:hint="eastAsia"/>
                <w:kern w:val="0"/>
                <w:sz w:val="28"/>
                <w:szCs w:val="28"/>
              </w:rPr>
              <w:t xml:space="preserve">  90,343 </w:t>
            </w:r>
          </w:p>
        </w:tc>
        <w:tc>
          <w:tcPr>
            <w:tcW w:w="1766" w:type="dxa"/>
            <w:tcBorders>
              <w:top w:val="nil"/>
              <w:left w:val="nil"/>
              <w:bottom w:val="single" w:sz="4" w:space="0" w:color="auto"/>
              <w:right w:val="single" w:sz="4" w:space="0" w:color="auto"/>
            </w:tcBorders>
            <w:shd w:val="clear" w:color="auto" w:fill="auto"/>
            <w:noWrap/>
            <w:vAlign w:val="bottom"/>
            <w:hideMark/>
          </w:tcPr>
          <w:p w14:paraId="55F9E407" w14:textId="77777777" w:rsidR="007441B4" w:rsidRPr="00C3310F" w:rsidRDefault="007441B4" w:rsidP="00E772C2">
            <w:pPr>
              <w:widowControl/>
              <w:overflowPunct/>
              <w:autoSpaceDE/>
              <w:autoSpaceDN/>
              <w:jc w:val="right"/>
              <w:rPr>
                <w:rFonts w:hAnsi="標楷體" w:cs="新細明體"/>
                <w:kern w:val="0"/>
                <w:sz w:val="28"/>
                <w:szCs w:val="28"/>
              </w:rPr>
            </w:pPr>
            <w:r w:rsidRPr="00C3310F">
              <w:rPr>
                <w:rFonts w:hAnsi="標楷體" w:cs="新細明體" w:hint="eastAsia"/>
                <w:kern w:val="0"/>
                <w:sz w:val="28"/>
                <w:szCs w:val="28"/>
              </w:rPr>
              <w:t xml:space="preserve">   117,830 </w:t>
            </w:r>
          </w:p>
        </w:tc>
        <w:tc>
          <w:tcPr>
            <w:tcW w:w="2011" w:type="dxa"/>
            <w:tcBorders>
              <w:top w:val="nil"/>
              <w:left w:val="nil"/>
              <w:bottom w:val="single" w:sz="4" w:space="0" w:color="auto"/>
              <w:right w:val="single" w:sz="4" w:space="0" w:color="auto"/>
            </w:tcBorders>
            <w:shd w:val="clear" w:color="auto" w:fill="auto"/>
            <w:noWrap/>
            <w:vAlign w:val="bottom"/>
            <w:hideMark/>
          </w:tcPr>
          <w:p w14:paraId="6EADBC2E" w14:textId="77777777" w:rsidR="007441B4" w:rsidRPr="00C3310F" w:rsidRDefault="007441B4" w:rsidP="00E772C2">
            <w:pPr>
              <w:widowControl/>
              <w:overflowPunct/>
              <w:autoSpaceDE/>
              <w:autoSpaceDN/>
              <w:jc w:val="right"/>
              <w:rPr>
                <w:rFonts w:hAnsi="標楷體" w:cs="新細明體"/>
                <w:kern w:val="0"/>
                <w:sz w:val="28"/>
                <w:szCs w:val="28"/>
              </w:rPr>
            </w:pPr>
            <w:r w:rsidRPr="00C3310F">
              <w:rPr>
                <w:rFonts w:hAnsi="標楷體" w:cs="新細明體" w:hint="eastAsia"/>
                <w:kern w:val="0"/>
                <w:sz w:val="28"/>
                <w:szCs w:val="28"/>
              </w:rPr>
              <w:t xml:space="preserve">     125,756 </w:t>
            </w:r>
          </w:p>
        </w:tc>
      </w:tr>
    </w:tbl>
    <w:p w14:paraId="4E8E2B58" w14:textId="77777777" w:rsidR="007441B4" w:rsidRPr="00C3310F" w:rsidRDefault="007441B4" w:rsidP="007441B4">
      <w:pPr>
        <w:pStyle w:val="3"/>
        <w:numPr>
          <w:ilvl w:val="0"/>
          <w:numId w:val="0"/>
        </w:numPr>
        <w:spacing w:afterLines="50" w:after="228"/>
        <w:ind w:leftChars="-25" w:left="-2" w:hangingChars="32" w:hanging="83"/>
      </w:pPr>
      <w:bookmarkStart w:id="666" w:name="_Toc171525536"/>
      <w:bookmarkStart w:id="667" w:name="_Toc172024018"/>
      <w:bookmarkStart w:id="668" w:name="_Toc172033337"/>
      <w:r w:rsidRPr="00C3310F">
        <w:rPr>
          <w:rFonts w:hint="eastAsia"/>
          <w:sz w:val="24"/>
          <w:szCs w:val="24"/>
        </w:rPr>
        <w:t>資料來源：金管會。</w:t>
      </w:r>
      <w:bookmarkEnd w:id="666"/>
      <w:bookmarkEnd w:id="667"/>
      <w:bookmarkEnd w:id="668"/>
    </w:p>
    <w:p w14:paraId="3F21B41F" w14:textId="77777777" w:rsidR="006D4D82" w:rsidRPr="00C3310F" w:rsidRDefault="006D4D82" w:rsidP="006D4D82">
      <w:pPr>
        <w:pStyle w:val="3"/>
      </w:pPr>
      <w:bookmarkStart w:id="669" w:name="_Toc171525537"/>
      <w:bookmarkStart w:id="670" w:name="_Toc172024019"/>
      <w:bookmarkStart w:id="671" w:name="_Toc172033338"/>
      <w:r w:rsidRPr="00C3310F">
        <w:rPr>
          <w:rFonts w:hint="eastAsia"/>
        </w:rPr>
        <w:t>打擊跨境詐欺面臨之困境：</w:t>
      </w:r>
      <w:bookmarkEnd w:id="669"/>
      <w:bookmarkEnd w:id="670"/>
      <w:bookmarkEnd w:id="671"/>
    </w:p>
    <w:p w14:paraId="0B07EB59" w14:textId="77777777" w:rsidR="006D4D82" w:rsidRPr="00C3310F" w:rsidRDefault="006D4D82" w:rsidP="006D4D82">
      <w:pPr>
        <w:pStyle w:val="4"/>
      </w:pPr>
      <w:r w:rsidRPr="00C3310F">
        <w:rPr>
          <w:rFonts w:hint="eastAsia"/>
        </w:rPr>
        <w:t>境外犯罪資料(如網路IP，金流紀錄等)取得不易：</w:t>
      </w:r>
    </w:p>
    <w:p w14:paraId="49DC5FE4" w14:textId="77777777" w:rsidR="006D4D82" w:rsidRPr="00C3310F" w:rsidRDefault="006D4D82" w:rsidP="006D4D82">
      <w:pPr>
        <w:pStyle w:val="4"/>
        <w:numPr>
          <w:ilvl w:val="0"/>
          <w:numId w:val="0"/>
        </w:numPr>
        <w:ind w:left="1701" w:firstLineChars="208" w:firstLine="708"/>
      </w:pPr>
      <w:r w:rsidRPr="00C3310F">
        <w:rPr>
          <w:rFonts w:hint="eastAsia"/>
        </w:rPr>
        <w:t>現今資通訊發達，金流快速轉移，跨境犯罪瞬息萬變，涉境外IP或帳戶等案件遽增，惟各國法令、司法制度、行政效率與國情不同，調閱資料請求經常受限於上述限制，或需透過司法互助等繁複程序始能調閱(例如：美國、日本)，或因駐在國本身對於相關資料管理不全(例如：東南亞國家)，無法有效調閱，造成案件追查之困難與斷點。</w:t>
      </w:r>
    </w:p>
    <w:p w14:paraId="26578E43" w14:textId="77777777" w:rsidR="006D4D82" w:rsidRPr="00C3310F" w:rsidRDefault="006D4D82" w:rsidP="006D4D82">
      <w:pPr>
        <w:pStyle w:val="4"/>
      </w:pPr>
      <w:r w:rsidRPr="00C3310F">
        <w:rPr>
          <w:rFonts w:hint="eastAsia"/>
        </w:rPr>
        <w:t>非國際刑警組織之會員國，無法在其所建立之國際執法架構下進行跨國合作：</w:t>
      </w:r>
    </w:p>
    <w:p w14:paraId="07F9716A" w14:textId="77777777" w:rsidR="006D4D82" w:rsidRPr="00C3310F" w:rsidRDefault="006D4D82" w:rsidP="006D4D82">
      <w:pPr>
        <w:pStyle w:val="5"/>
      </w:pPr>
      <w:r w:rsidRPr="00C3310F">
        <w:rPr>
          <w:rFonts w:hint="eastAsia"/>
        </w:rPr>
        <w:t>因陸方阻撓，臺灣持續被排除在國際刑警組織之外，迄今仍未獲授權使用其「I-24/7全球警察通訊系統」等19個犯罪資料庫，情資交流僅能透過日本東京中央局的居間傳遞，致與各國情資交流常無法獲得即時回覆，影響是類案件偵辦，並不利全球合作打擊犯罪。</w:t>
      </w:r>
    </w:p>
    <w:p w14:paraId="0780B785" w14:textId="77777777" w:rsidR="00B1648E" w:rsidRPr="00C3310F" w:rsidRDefault="006D4D82" w:rsidP="006D4D82">
      <w:pPr>
        <w:pStyle w:val="5"/>
      </w:pPr>
      <w:r w:rsidRPr="00C3310F">
        <w:rPr>
          <w:rFonts w:hint="eastAsia"/>
        </w:rPr>
        <w:t>各國法制不同，合作意願因案而異：由於各國對於跨境詐欺案件之法律構成要件及國家社會民</w:t>
      </w:r>
      <w:r w:rsidRPr="00C3310F">
        <w:rPr>
          <w:rFonts w:hint="eastAsia"/>
        </w:rPr>
        <w:lastRenderedPageBreak/>
        <w:t>情等而有相當差異，治安重點也不盡相同，導致各國與臺灣合作意願因案而異，需要依案件繫屬國家來逐一建立合作模式。</w:t>
      </w:r>
    </w:p>
    <w:p w14:paraId="700D0BC8" w14:textId="3EEB15D7" w:rsidR="006D4D82" w:rsidRPr="00C3310F" w:rsidRDefault="006D4D82" w:rsidP="006D4D82">
      <w:pPr>
        <w:pStyle w:val="4"/>
      </w:pPr>
      <w:r w:rsidRPr="00C3310F">
        <w:rPr>
          <w:rFonts w:hint="eastAsia"/>
        </w:rPr>
        <w:t>跨境詐欺犯遣送主要爭議分為：</w:t>
      </w:r>
    </w:p>
    <w:p w14:paraId="3F89E6C6" w14:textId="77777777" w:rsidR="006D4D82" w:rsidRPr="00C3310F" w:rsidRDefault="006D4D82" w:rsidP="006D4D82">
      <w:pPr>
        <w:pStyle w:val="5"/>
      </w:pPr>
      <w:r w:rsidRPr="00C3310F">
        <w:rPr>
          <w:rFonts w:hint="eastAsia"/>
        </w:rPr>
        <w:t>國際部分：</w:t>
      </w:r>
    </w:p>
    <w:p w14:paraId="28672228" w14:textId="0D3A6B0D" w:rsidR="006D4D82" w:rsidRPr="00C3310F" w:rsidRDefault="006D4D82" w:rsidP="006D4D82">
      <w:pPr>
        <w:pStyle w:val="5"/>
        <w:numPr>
          <w:ilvl w:val="0"/>
          <w:numId w:val="0"/>
        </w:numPr>
        <w:ind w:left="2041" w:firstLineChars="192" w:firstLine="653"/>
      </w:pPr>
      <w:r w:rsidRPr="00C3310F">
        <w:rPr>
          <w:rFonts w:hint="eastAsia"/>
        </w:rPr>
        <w:t>警政署統計自105年起迄112年11月20日止，兩岸跨第三地詐欺集團案主動破獲49案，查獲臺嫌837人及陸嫌372人。困境部分如下：</w:t>
      </w:r>
    </w:p>
    <w:p w14:paraId="17962569" w14:textId="77777777" w:rsidR="006D4D82" w:rsidRPr="00C3310F" w:rsidRDefault="006D4D82" w:rsidP="006D4D82">
      <w:pPr>
        <w:pStyle w:val="5"/>
      </w:pPr>
      <w:r w:rsidRPr="00C3310F">
        <w:rPr>
          <w:rFonts w:hint="eastAsia"/>
        </w:rPr>
        <w:t>我國與多數國家無簽訂引渡條約，且各國法律制度及執法機關態度不一，因我國於國際地位敏感，與多數國家無簽定引渡條約，故跨境詐欺犯無法以引渡之方式回我國受審。遣返跨境詐欺犯目前以個案合作模式為主，需耗費龐大資源及人力，且需視詐欺犯出境國之政府執法及移民機關之態度，決定是否協助我國遣返詐欺犯。</w:t>
      </w:r>
    </w:p>
    <w:p w14:paraId="7625EE8E" w14:textId="77777777" w:rsidR="006D4D82" w:rsidRPr="00C3310F" w:rsidRDefault="006D4D82" w:rsidP="00FB166E">
      <w:pPr>
        <w:pStyle w:val="5"/>
      </w:pPr>
      <w:r w:rsidRPr="00C3310F">
        <w:rPr>
          <w:rFonts w:hint="eastAsia"/>
        </w:rPr>
        <w:t>跨境詐欺犯之護照或旅行文件未失效，增添遣返難度，現行制度為遣返代替引渡，然跨境詐欺犯之護照仍可持有效之護照跨國移動，更增添追緝困難。</w:t>
      </w:r>
    </w:p>
    <w:p w14:paraId="283DAD61" w14:textId="37A61484" w:rsidR="006D4D82" w:rsidRPr="00C3310F" w:rsidRDefault="006D4D82" w:rsidP="00FB166E">
      <w:pPr>
        <w:pStyle w:val="5"/>
      </w:pPr>
      <w:r w:rsidRPr="00C3310F">
        <w:rPr>
          <w:rFonts w:hint="eastAsia"/>
        </w:rPr>
        <w:t>兩岸部分面臨之困境：兩岸共同打擊各類犯罪及警政交流之默契，因近3年疫情及兩岸政治大環境低迷影響，致使兩岸共同打擊犯罪的合作與執行難循往例，即時與陸方進行案件研商、合作辦案及人犯遣返等。惟</w:t>
      </w:r>
      <w:r w:rsidR="00FB166E" w:rsidRPr="00C3310F">
        <w:rPr>
          <w:rFonts w:hint="eastAsia"/>
        </w:rPr>
        <w:t>法務</w:t>
      </w:r>
      <w:r w:rsidRPr="00C3310F">
        <w:rPr>
          <w:rFonts w:hint="eastAsia"/>
        </w:rPr>
        <w:t>部持續向陸方傳達珍惜並維護雙方交流及共同打擊犯罪所累積之現狀與成果，以及合作偵辦案件之必要性，因此雖互動不如以往，仍有務實之合作案件進行中。</w:t>
      </w:r>
    </w:p>
    <w:p w14:paraId="61313C60" w14:textId="77777777" w:rsidR="00BA260E" w:rsidRPr="00C3310F" w:rsidRDefault="00BA260E" w:rsidP="00BA260E">
      <w:pPr>
        <w:pStyle w:val="4"/>
        <w:numPr>
          <w:ilvl w:val="0"/>
          <w:numId w:val="0"/>
        </w:numPr>
        <w:ind w:left="1701"/>
      </w:pPr>
    </w:p>
    <w:p w14:paraId="38E61C6C" w14:textId="6C4A1A66" w:rsidR="00B1648E" w:rsidRPr="00C3310F" w:rsidRDefault="00163D54" w:rsidP="00797739">
      <w:pPr>
        <w:pStyle w:val="2"/>
        <w:spacing w:beforeLines="50" w:before="228"/>
        <w:ind w:left="1020" w:hanging="680"/>
      </w:pPr>
      <w:bookmarkStart w:id="672" w:name="_Toc172033339"/>
      <w:r w:rsidRPr="00C3310F">
        <w:rPr>
          <w:rFonts w:hint="eastAsia"/>
        </w:rPr>
        <w:lastRenderedPageBreak/>
        <w:t>專家諮詢、研討會及出國交流所得建議：</w:t>
      </w:r>
      <w:r w:rsidR="00566549" w:rsidRPr="00C3310F">
        <w:rPr>
          <w:rFonts w:hint="eastAsia"/>
        </w:rPr>
        <w:t>本調查研究除蒐整政府單方面之說明及公開資料外，於客觀</w:t>
      </w:r>
      <w:r w:rsidR="0059314F" w:rsidRPr="00C3310F">
        <w:rPr>
          <w:rFonts w:hint="eastAsia"/>
        </w:rPr>
        <w:t>之第三方</w:t>
      </w:r>
      <w:r w:rsidR="00566549" w:rsidRPr="00C3310F">
        <w:rPr>
          <w:rFonts w:hint="eastAsia"/>
        </w:rPr>
        <w:t>見解方面，</w:t>
      </w:r>
      <w:r w:rsidR="0059314F" w:rsidRPr="00C3310F">
        <w:rPr>
          <w:rFonts w:hint="eastAsia"/>
        </w:rPr>
        <w:t>已透過專家諮詢、研討會及出國交流所得建議如下，</w:t>
      </w:r>
      <w:r w:rsidR="00566549" w:rsidRPr="00C3310F">
        <w:rPr>
          <w:rFonts w:hint="eastAsia"/>
        </w:rPr>
        <w:t>發現</w:t>
      </w:r>
      <w:r w:rsidR="0059314F" w:rsidRPr="00C3310F">
        <w:rPr>
          <w:rFonts w:hint="eastAsia"/>
        </w:rPr>
        <w:t>政府</w:t>
      </w:r>
      <w:r w:rsidR="00470967" w:rsidRPr="00C3310F">
        <w:rPr>
          <w:rFonts w:hint="eastAsia"/>
        </w:rPr>
        <w:t>防</w:t>
      </w:r>
      <w:r w:rsidR="00566549" w:rsidRPr="00C3310F">
        <w:rPr>
          <w:rFonts w:hint="eastAsia"/>
        </w:rPr>
        <w:t>制電信網路詐欺相關措施之</w:t>
      </w:r>
      <w:r w:rsidR="0059314F" w:rsidRPr="00C3310F">
        <w:rPr>
          <w:rFonts w:hint="eastAsia"/>
        </w:rPr>
        <w:t>可能</w:t>
      </w:r>
      <w:r w:rsidR="00566549" w:rsidRPr="00C3310F">
        <w:rPr>
          <w:rFonts w:hint="eastAsia"/>
        </w:rPr>
        <w:t>盲點</w:t>
      </w:r>
      <w:r w:rsidR="0059314F" w:rsidRPr="00C3310F">
        <w:rPr>
          <w:rFonts w:hint="eastAsia"/>
        </w:rPr>
        <w:t>，以資作為後續具體指出盲點所在之重要佐證。</w:t>
      </w:r>
      <w:bookmarkEnd w:id="672"/>
    </w:p>
    <w:p w14:paraId="6EDD2423" w14:textId="77777777" w:rsidR="00A77297" w:rsidRPr="00C3310F" w:rsidRDefault="0059314F" w:rsidP="00A77297">
      <w:pPr>
        <w:pStyle w:val="3"/>
      </w:pPr>
      <w:bookmarkStart w:id="673" w:name="_Toc171525539"/>
      <w:bookmarkStart w:id="674" w:name="_Toc172024021"/>
      <w:bookmarkStart w:id="675" w:name="_Toc172033340"/>
      <w:r w:rsidRPr="00C3310F">
        <w:rPr>
          <w:rFonts w:hint="eastAsia"/>
        </w:rPr>
        <w:t>本院於2024台灣-英國『傳播媒體與新聞產製』雙邊交流」之研究分析發現如下：</w:t>
      </w:r>
      <w:bookmarkEnd w:id="673"/>
      <w:bookmarkEnd w:id="674"/>
      <w:bookmarkEnd w:id="675"/>
    </w:p>
    <w:p w14:paraId="34C048CE" w14:textId="6CD3A185" w:rsidR="00A77297" w:rsidRPr="00C3310F" w:rsidRDefault="00A77297" w:rsidP="00A77297">
      <w:pPr>
        <w:pStyle w:val="4"/>
      </w:pPr>
      <w:r w:rsidRPr="00C3310F">
        <w:rPr>
          <w:rFonts w:hint="eastAsia"/>
        </w:rPr>
        <w:t>英國在2023年10月通過了「On</w:t>
      </w:r>
      <w:r w:rsidR="00470967" w:rsidRPr="00C3310F">
        <w:rPr>
          <w:rFonts w:hint="eastAsia"/>
        </w:rPr>
        <w:t>line</w:t>
      </w:r>
      <w:r w:rsidRPr="00C3310F">
        <w:rPr>
          <w:rFonts w:hint="eastAsia"/>
        </w:rPr>
        <w:t xml:space="preserve"> Safety Act」，該法是源於【Molly Russell案】</w:t>
      </w:r>
      <w:r w:rsidR="00491346" w:rsidRPr="00C3310F">
        <w:rPr>
          <w:rStyle w:val="afe"/>
        </w:rPr>
        <w:footnoteReference w:id="41"/>
      </w:r>
      <w:r w:rsidRPr="00C3310F">
        <w:rPr>
          <w:rFonts w:hint="eastAsia"/>
        </w:rPr>
        <w:t>而立法，其治理概念與歐盟「數位服務法」(Digital Services Act</w:t>
      </w:r>
      <w:r w:rsidR="00314645" w:rsidRPr="00C3310F">
        <w:t>,</w:t>
      </w:r>
      <w:r w:rsidR="00314645" w:rsidRPr="00C3310F">
        <w:rPr>
          <w:rFonts w:hint="eastAsia"/>
        </w:rPr>
        <w:t>下稱DSA</w:t>
      </w:r>
      <w:r w:rsidRPr="00C3310F">
        <w:rPr>
          <w:rFonts w:hint="eastAsia"/>
        </w:rPr>
        <w:t>，2024年2月施行)、加拿大「網路傷害法」(On</w:t>
      </w:r>
      <w:r w:rsidR="00470967" w:rsidRPr="00C3310F">
        <w:rPr>
          <w:rFonts w:hint="eastAsia"/>
        </w:rPr>
        <w:t>line</w:t>
      </w:r>
      <w:r w:rsidRPr="00C3310F">
        <w:rPr>
          <w:rFonts w:hint="eastAsia"/>
        </w:rPr>
        <w:t xml:space="preserve"> Harms Act，正在立法程序)類似，顯示數位治理是國際趨勢，而且治理架構，包括他律、自律、</w:t>
      </w:r>
      <w:r w:rsidR="0004575A" w:rsidRPr="00C3310F">
        <w:rPr>
          <w:rFonts w:hint="eastAsia"/>
        </w:rPr>
        <w:t>平臺</w:t>
      </w:r>
      <w:r w:rsidRPr="00C3310F">
        <w:rPr>
          <w:rFonts w:hint="eastAsia"/>
        </w:rPr>
        <w:t>分級、透明化、司法救濟等等，我們初步將歐盟及英國法令比較分析如表</w:t>
      </w:r>
      <w:r w:rsidR="00314645" w:rsidRPr="00C3310F">
        <w:t>13</w:t>
      </w:r>
      <w:r w:rsidRPr="00C3310F">
        <w:rPr>
          <w:rFonts w:hint="eastAsia"/>
        </w:rPr>
        <w:t>，求同存異的程度相當高，都在賦予數位</w:t>
      </w:r>
      <w:r w:rsidR="0004575A" w:rsidRPr="00C3310F">
        <w:rPr>
          <w:rFonts w:hint="eastAsia"/>
        </w:rPr>
        <w:t>平臺</w:t>
      </w:r>
      <w:r w:rsidRPr="00C3310F">
        <w:rPr>
          <w:rFonts w:hint="eastAsia"/>
        </w:rPr>
        <w:t>更多的自律機制外，同時強化他律手段，意即賦予主管機關更多的職權並兼顧言論自由，雖然這個幾個國家的法律都施行不久，還沒有具體的成功或爭議案件(例如</w:t>
      </w:r>
      <w:r w:rsidR="0004575A" w:rsidRPr="00C3310F">
        <w:rPr>
          <w:rFonts w:hint="eastAsia"/>
        </w:rPr>
        <w:t>平臺</w:t>
      </w:r>
      <w:r w:rsidRPr="00C3310F">
        <w:rPr>
          <w:rFonts w:hint="eastAsia"/>
        </w:rPr>
        <w:t>不服處分而尋求司法救濟)據以檢討或修正，但仍可</w:t>
      </w:r>
      <w:r w:rsidR="00470967" w:rsidRPr="00C3310F">
        <w:rPr>
          <w:rFonts w:hint="eastAsia"/>
        </w:rPr>
        <w:t>做</w:t>
      </w:r>
      <w:r w:rsidRPr="00C3310F">
        <w:rPr>
          <w:rFonts w:hint="eastAsia"/>
        </w:rPr>
        <w:t>為我國尚顯貧弱的數位治理規管參考。</w:t>
      </w:r>
    </w:p>
    <w:p w14:paraId="4FB5C480" w14:textId="474646F5" w:rsidR="00A77297" w:rsidRPr="00C3310F" w:rsidRDefault="00A77297" w:rsidP="00A77297">
      <w:pPr>
        <w:pStyle w:val="4"/>
      </w:pPr>
      <w:r w:rsidRPr="00C3310F">
        <w:rPr>
          <w:rFonts w:hint="eastAsia"/>
        </w:rPr>
        <w:t>「</w:t>
      </w:r>
      <w:r w:rsidR="00470967" w:rsidRPr="00C3310F">
        <w:rPr>
          <w:rFonts w:hint="eastAsia"/>
        </w:rPr>
        <w:t>Online</w:t>
      </w:r>
      <w:r w:rsidRPr="00C3310F">
        <w:rPr>
          <w:rFonts w:hint="eastAsia"/>
        </w:rPr>
        <w:t xml:space="preserve"> Safety Act」是由英國的</w:t>
      </w:r>
      <w:r w:rsidR="00470967" w:rsidRPr="00C3310F">
        <w:rPr>
          <w:rFonts w:hint="eastAsia"/>
        </w:rPr>
        <w:t>數位文化媒體暨體育部</w:t>
      </w:r>
      <w:r w:rsidRPr="00C3310F">
        <w:rPr>
          <w:rFonts w:hint="eastAsia"/>
        </w:rPr>
        <w:t>(</w:t>
      </w:r>
      <w:r w:rsidR="00314645" w:rsidRPr="00C3310F">
        <w:t xml:space="preserve">Department for Digital, Culture, Media &amp; Sport, </w:t>
      </w:r>
      <w:r w:rsidRPr="00C3310F">
        <w:t>DCMS</w:t>
      </w:r>
      <w:r w:rsidR="0060503E" w:rsidRPr="00C3310F">
        <w:rPr>
          <w:rFonts w:hint="eastAsia"/>
        </w:rPr>
        <w:t>，相當於數發部</w:t>
      </w:r>
      <w:r w:rsidRPr="00C3310F">
        <w:rPr>
          <w:rFonts w:hint="eastAsia"/>
        </w:rPr>
        <w:t>)所推動立法，但執行單位是</w:t>
      </w:r>
      <w:r w:rsidR="00470967" w:rsidRPr="00C3310F">
        <w:rPr>
          <w:rFonts w:hint="eastAsia"/>
        </w:rPr>
        <w:t>英國通訊管理局(</w:t>
      </w:r>
      <w:r w:rsidR="00470967" w:rsidRPr="00C3310F">
        <w:t xml:space="preserve">Office of </w:t>
      </w:r>
      <w:r w:rsidR="00470967" w:rsidRPr="00C3310F">
        <w:lastRenderedPageBreak/>
        <w:t xml:space="preserve">Communications, </w:t>
      </w:r>
      <w:r w:rsidRPr="00C3310F">
        <w:t>Ofcom</w:t>
      </w:r>
      <w:r w:rsidR="00470967" w:rsidRPr="00C3310F">
        <w:rPr>
          <w:rFonts w:hint="eastAsia"/>
        </w:rPr>
        <w:t>，</w:t>
      </w:r>
      <w:r w:rsidRPr="00C3310F">
        <w:rPr>
          <w:rFonts w:hint="eastAsia"/>
        </w:rPr>
        <w:t>相當於</w:t>
      </w:r>
      <w:r w:rsidR="00314645" w:rsidRPr="00C3310F">
        <w:rPr>
          <w:rFonts w:hint="eastAsia"/>
        </w:rPr>
        <w:t>通傳會</w:t>
      </w:r>
      <w:r w:rsidRPr="00C3310F">
        <w:rPr>
          <w:rFonts w:hint="eastAsia"/>
        </w:rPr>
        <w:t>)，相較於我國目前在數位治理層面係由</w:t>
      </w:r>
      <w:r w:rsidR="00D82B1C" w:rsidRPr="00C3310F">
        <w:rPr>
          <w:rFonts w:hint="eastAsia"/>
        </w:rPr>
        <w:t>數發部</w:t>
      </w:r>
      <w:r w:rsidRPr="00C3310F">
        <w:rPr>
          <w:rFonts w:hint="eastAsia"/>
        </w:rPr>
        <w:t>或通傳會主政未有定論，英國的分工情形及其優劣，值得我國進一步加以探討；此外，若以歐盟為例，其數位治理之法制結構並非企圖以「數位服務法」（DSA）作為</w:t>
      </w:r>
      <w:r w:rsidR="00314645" w:rsidRPr="00C3310F">
        <w:rPr>
          <w:rFonts w:hint="eastAsia"/>
        </w:rPr>
        <w:t>最終解決方式</w:t>
      </w:r>
      <w:r w:rsidRPr="00C3310F">
        <w:rPr>
          <w:rFonts w:hint="eastAsia"/>
        </w:rPr>
        <w:t>來解決數位</w:t>
      </w:r>
      <w:r w:rsidR="0004575A" w:rsidRPr="00C3310F">
        <w:rPr>
          <w:rFonts w:hint="eastAsia"/>
        </w:rPr>
        <w:t>平臺</w:t>
      </w:r>
      <w:r w:rsidRPr="00C3310F">
        <w:rPr>
          <w:rFonts w:hint="eastAsia"/>
        </w:rPr>
        <w:t>的所有問題，而是必須搭配「數位市場法」(</w:t>
      </w:r>
      <w:r w:rsidR="00125BE8" w:rsidRPr="00C3310F">
        <w:rPr>
          <w:rFonts w:hint="eastAsia"/>
        </w:rPr>
        <w:t>D</w:t>
      </w:r>
      <w:r w:rsidR="00125BE8" w:rsidRPr="00C3310F">
        <w:t xml:space="preserve">igital Markets Acr, </w:t>
      </w:r>
      <w:r w:rsidRPr="00C3310F">
        <w:rPr>
          <w:rFonts w:hint="eastAsia"/>
        </w:rPr>
        <w:t>DMA)、「人工智慧法」(</w:t>
      </w:r>
      <w:r w:rsidR="00125BE8" w:rsidRPr="00C3310F">
        <w:t xml:space="preserve">EU </w:t>
      </w:r>
      <w:r w:rsidRPr="00C3310F">
        <w:rPr>
          <w:rFonts w:hint="eastAsia"/>
        </w:rPr>
        <w:t>AI Act)及「一般資料保護規則」(</w:t>
      </w:r>
      <w:r w:rsidR="00125BE8" w:rsidRPr="00C3310F">
        <w:t xml:space="preserve">General Data Protection Regulation, </w:t>
      </w:r>
      <w:r w:rsidRPr="00C3310F">
        <w:rPr>
          <w:rFonts w:hint="eastAsia"/>
        </w:rPr>
        <w:t>GDPR)等，以形成複式的規管環境，亦可做為我國陸續修訂「資通安全管理法」及「個人資料保護法」及本院後續監督政府在相關領域執法情形之借鑑。</w:t>
      </w:r>
    </w:p>
    <w:p w14:paraId="0B404F26" w14:textId="77777777" w:rsidR="00A77297" w:rsidRPr="00C3310F" w:rsidRDefault="00A77297" w:rsidP="00472252">
      <w:pPr>
        <w:pStyle w:val="4"/>
      </w:pPr>
      <w:r w:rsidRPr="00C3310F">
        <w:rPr>
          <w:rFonts w:hint="eastAsia"/>
        </w:rPr>
        <w:t>不分民主及威權國家，數位治理已成為顯學，相關制度也逐漸完備，我國在這部分似乎因為社會共識和言論自由方面的挑戰尚未跟上國際趨勢。本次交流對於協助本院</w:t>
      </w:r>
      <w:r w:rsidR="00E772C2" w:rsidRPr="00C3310F">
        <w:rPr>
          <w:rFonts w:hint="eastAsia"/>
        </w:rPr>
        <w:t>調查</w:t>
      </w:r>
      <w:r w:rsidRPr="00C3310F">
        <w:rPr>
          <w:rFonts w:hint="eastAsia"/>
        </w:rPr>
        <w:t>研究，指出政府目前的治理盲點確實有其參考價值。</w:t>
      </w:r>
    </w:p>
    <w:p w14:paraId="3D2926D1" w14:textId="5DF15A87" w:rsidR="003B11FD" w:rsidRPr="00C3310F" w:rsidRDefault="003B11FD" w:rsidP="003B11FD">
      <w:pPr>
        <w:pStyle w:val="4"/>
        <w:numPr>
          <w:ilvl w:val="0"/>
          <w:numId w:val="0"/>
        </w:numPr>
        <w:ind w:left="1701"/>
      </w:pPr>
    </w:p>
    <w:p w14:paraId="0F2ADA5E" w14:textId="6B2B22CE" w:rsidR="00B61C3D" w:rsidRPr="00C3310F" w:rsidRDefault="00B61C3D" w:rsidP="003B11FD">
      <w:pPr>
        <w:pStyle w:val="4"/>
        <w:numPr>
          <w:ilvl w:val="0"/>
          <w:numId w:val="0"/>
        </w:numPr>
        <w:ind w:left="1701"/>
      </w:pPr>
    </w:p>
    <w:p w14:paraId="70E33703" w14:textId="57C269CC" w:rsidR="00B61C3D" w:rsidRPr="00C3310F" w:rsidRDefault="00B61C3D" w:rsidP="003B11FD">
      <w:pPr>
        <w:pStyle w:val="4"/>
        <w:numPr>
          <w:ilvl w:val="0"/>
          <w:numId w:val="0"/>
        </w:numPr>
        <w:ind w:left="1701"/>
      </w:pPr>
    </w:p>
    <w:p w14:paraId="58618CC0" w14:textId="31619331" w:rsidR="00B61C3D" w:rsidRPr="00C3310F" w:rsidRDefault="00B61C3D" w:rsidP="003B11FD">
      <w:pPr>
        <w:pStyle w:val="4"/>
        <w:numPr>
          <w:ilvl w:val="0"/>
          <w:numId w:val="0"/>
        </w:numPr>
        <w:ind w:left="1701"/>
      </w:pPr>
    </w:p>
    <w:p w14:paraId="075898CB" w14:textId="6CEA5CFD" w:rsidR="00B61C3D" w:rsidRPr="00C3310F" w:rsidRDefault="00B61C3D" w:rsidP="003B11FD">
      <w:pPr>
        <w:pStyle w:val="4"/>
        <w:numPr>
          <w:ilvl w:val="0"/>
          <w:numId w:val="0"/>
        </w:numPr>
        <w:ind w:left="1701"/>
      </w:pPr>
    </w:p>
    <w:p w14:paraId="75FE4D6B" w14:textId="37ECF749" w:rsidR="00B61C3D" w:rsidRPr="00C3310F" w:rsidRDefault="00B61C3D" w:rsidP="003B11FD">
      <w:pPr>
        <w:pStyle w:val="4"/>
        <w:numPr>
          <w:ilvl w:val="0"/>
          <w:numId w:val="0"/>
        </w:numPr>
        <w:ind w:left="1701"/>
      </w:pPr>
    </w:p>
    <w:p w14:paraId="18D77746" w14:textId="1D078469" w:rsidR="00B61C3D" w:rsidRPr="00C3310F" w:rsidRDefault="00B61C3D" w:rsidP="003B11FD">
      <w:pPr>
        <w:pStyle w:val="4"/>
        <w:numPr>
          <w:ilvl w:val="0"/>
          <w:numId w:val="0"/>
        </w:numPr>
        <w:ind w:left="1701"/>
      </w:pPr>
    </w:p>
    <w:p w14:paraId="446F6AAA" w14:textId="77777777" w:rsidR="00B61C3D" w:rsidRPr="00C3310F" w:rsidRDefault="00B61C3D" w:rsidP="003B11FD">
      <w:pPr>
        <w:pStyle w:val="4"/>
        <w:numPr>
          <w:ilvl w:val="0"/>
          <w:numId w:val="0"/>
        </w:numPr>
        <w:ind w:left="1701"/>
      </w:pPr>
    </w:p>
    <w:p w14:paraId="6EC2FABD" w14:textId="77777777" w:rsidR="003B11FD" w:rsidRPr="00C3310F" w:rsidRDefault="003B11FD" w:rsidP="003B11FD">
      <w:pPr>
        <w:pStyle w:val="4"/>
        <w:numPr>
          <w:ilvl w:val="0"/>
          <w:numId w:val="0"/>
        </w:numPr>
        <w:ind w:left="1701"/>
      </w:pPr>
    </w:p>
    <w:p w14:paraId="491A0432" w14:textId="77777777" w:rsidR="003B11FD" w:rsidRPr="00C3310F" w:rsidRDefault="003B11FD" w:rsidP="003B11FD">
      <w:pPr>
        <w:pStyle w:val="4"/>
        <w:numPr>
          <w:ilvl w:val="0"/>
          <w:numId w:val="0"/>
        </w:numPr>
        <w:ind w:left="1701"/>
      </w:pPr>
    </w:p>
    <w:p w14:paraId="07D4AC84" w14:textId="0B5F5632" w:rsidR="00A77297" w:rsidRPr="00C3310F" w:rsidRDefault="00A77297" w:rsidP="00A77297">
      <w:pPr>
        <w:pStyle w:val="a3"/>
        <w:spacing w:after="120"/>
        <w:jc w:val="center"/>
        <w:rPr>
          <w:rFonts w:hint="eastAsia"/>
          <w:b/>
        </w:rPr>
      </w:pPr>
      <w:bookmarkStart w:id="676" w:name="_Toc172025217"/>
      <w:r w:rsidRPr="00C3310F">
        <w:rPr>
          <w:rFonts w:hint="eastAsia"/>
          <w:b/>
        </w:rPr>
        <w:lastRenderedPageBreak/>
        <w:t>歐盟</w:t>
      </w:r>
      <w:r w:rsidRPr="00C3310F">
        <w:rPr>
          <w:b/>
        </w:rPr>
        <w:t>DSA</w:t>
      </w:r>
      <w:r w:rsidRPr="00C3310F">
        <w:rPr>
          <w:rFonts w:hint="eastAsia"/>
          <w:b/>
        </w:rPr>
        <w:t>及英國</w:t>
      </w:r>
      <w:r w:rsidRPr="00C3310F">
        <w:rPr>
          <w:b/>
        </w:rPr>
        <w:t>On</w:t>
      </w:r>
      <w:r w:rsidR="0060503E" w:rsidRPr="00C3310F">
        <w:rPr>
          <w:rFonts w:hint="eastAsia"/>
          <w:b/>
        </w:rPr>
        <w:t>line</w:t>
      </w:r>
      <w:r w:rsidRPr="00C3310F">
        <w:rPr>
          <w:b/>
        </w:rPr>
        <w:t xml:space="preserve"> Safety Act</w:t>
      </w:r>
      <w:r w:rsidRPr="00C3310F">
        <w:rPr>
          <w:rFonts w:hint="eastAsia"/>
          <w:b/>
        </w:rPr>
        <w:t>初步比較分析</w:t>
      </w:r>
      <w:bookmarkEnd w:id="676"/>
    </w:p>
    <w:tbl>
      <w:tblPr>
        <w:tblStyle w:val="af7"/>
        <w:tblW w:w="10207" w:type="dxa"/>
        <w:tblInd w:w="-714" w:type="dxa"/>
        <w:tblLook w:val="04A0" w:firstRow="1" w:lastRow="0" w:firstColumn="1" w:lastColumn="0" w:noHBand="0" w:noVBand="1"/>
      </w:tblPr>
      <w:tblGrid>
        <w:gridCol w:w="1702"/>
        <w:gridCol w:w="4677"/>
        <w:gridCol w:w="3828"/>
      </w:tblGrid>
      <w:tr w:rsidR="00C3310F" w:rsidRPr="00C3310F" w14:paraId="49A9B309" w14:textId="77777777" w:rsidTr="00A77297">
        <w:trPr>
          <w:tblHeader/>
        </w:trPr>
        <w:tc>
          <w:tcPr>
            <w:tcW w:w="1702" w:type="dxa"/>
          </w:tcPr>
          <w:p w14:paraId="04EB0A04" w14:textId="77777777" w:rsidR="00A77297" w:rsidRPr="00C3310F" w:rsidRDefault="00A77297" w:rsidP="00B7077C">
            <w:pPr>
              <w:rPr>
                <w:rFonts w:hAnsi="標楷體"/>
                <w:sz w:val="28"/>
                <w:szCs w:val="28"/>
              </w:rPr>
            </w:pPr>
            <w:r w:rsidRPr="00C3310F">
              <w:rPr>
                <w:rFonts w:hAnsi="標楷體" w:hint="eastAsia"/>
                <w:sz w:val="28"/>
                <w:szCs w:val="28"/>
              </w:rPr>
              <w:t>面向/法令</w:t>
            </w:r>
          </w:p>
        </w:tc>
        <w:tc>
          <w:tcPr>
            <w:tcW w:w="4677" w:type="dxa"/>
          </w:tcPr>
          <w:p w14:paraId="47EBE88F" w14:textId="77777777" w:rsidR="00A77297" w:rsidRPr="00C3310F" w:rsidRDefault="00A77297" w:rsidP="00B7077C">
            <w:pPr>
              <w:rPr>
                <w:rFonts w:hAnsi="標楷體"/>
                <w:sz w:val="28"/>
                <w:szCs w:val="28"/>
              </w:rPr>
            </w:pPr>
            <w:r w:rsidRPr="00C3310F">
              <w:rPr>
                <w:rFonts w:hAnsi="標楷體" w:hint="eastAsia"/>
                <w:sz w:val="28"/>
                <w:szCs w:val="28"/>
              </w:rPr>
              <w:t>歐盟/DSA(</w:t>
            </w:r>
            <w:r w:rsidRPr="00C3310F">
              <w:rPr>
                <w:rFonts w:hAnsi="標楷體"/>
                <w:sz w:val="28"/>
                <w:szCs w:val="28"/>
              </w:rPr>
              <w:t>Digital Services Ac</w:t>
            </w:r>
            <w:r w:rsidRPr="00C3310F">
              <w:rPr>
                <w:rFonts w:hAnsi="標楷體" w:hint="eastAsia"/>
                <w:sz w:val="28"/>
                <w:szCs w:val="28"/>
              </w:rPr>
              <w:t>t</w:t>
            </w:r>
            <w:r w:rsidRPr="00C3310F">
              <w:rPr>
                <w:rFonts w:hAnsi="標楷體"/>
                <w:sz w:val="28"/>
                <w:szCs w:val="28"/>
              </w:rPr>
              <w:t>)</w:t>
            </w:r>
          </w:p>
        </w:tc>
        <w:tc>
          <w:tcPr>
            <w:tcW w:w="3828" w:type="dxa"/>
          </w:tcPr>
          <w:p w14:paraId="40459D20" w14:textId="0BF77B8A" w:rsidR="00A77297" w:rsidRPr="00C3310F" w:rsidRDefault="00A77297" w:rsidP="00B7077C">
            <w:pPr>
              <w:rPr>
                <w:rFonts w:hAnsi="標楷體"/>
                <w:sz w:val="28"/>
                <w:szCs w:val="28"/>
              </w:rPr>
            </w:pPr>
            <w:r w:rsidRPr="00C3310F">
              <w:rPr>
                <w:rFonts w:hAnsi="標楷體" w:hint="eastAsia"/>
                <w:sz w:val="28"/>
                <w:szCs w:val="28"/>
              </w:rPr>
              <w:t>英國/</w:t>
            </w:r>
            <w:r w:rsidRPr="00C3310F">
              <w:rPr>
                <w:rFonts w:hAnsi="標楷體"/>
                <w:sz w:val="28"/>
                <w:szCs w:val="28"/>
              </w:rPr>
              <w:t>On</w:t>
            </w:r>
            <w:r w:rsidR="0060503E" w:rsidRPr="00C3310F">
              <w:rPr>
                <w:rFonts w:hAnsi="標楷體" w:hint="eastAsia"/>
                <w:sz w:val="28"/>
                <w:szCs w:val="28"/>
              </w:rPr>
              <w:t>line</w:t>
            </w:r>
            <w:r w:rsidRPr="00C3310F">
              <w:rPr>
                <w:rFonts w:hAnsi="標楷體"/>
                <w:sz w:val="28"/>
                <w:szCs w:val="28"/>
              </w:rPr>
              <w:t xml:space="preserve"> Safety Act</w:t>
            </w:r>
          </w:p>
        </w:tc>
      </w:tr>
      <w:tr w:rsidR="00C3310F" w:rsidRPr="00C3310F" w14:paraId="5919E0EB" w14:textId="77777777" w:rsidTr="00A77297">
        <w:tc>
          <w:tcPr>
            <w:tcW w:w="1702" w:type="dxa"/>
          </w:tcPr>
          <w:p w14:paraId="0E463504" w14:textId="77777777" w:rsidR="00A77297" w:rsidRPr="00C3310F" w:rsidRDefault="00A77297" w:rsidP="00B7077C">
            <w:pPr>
              <w:rPr>
                <w:rFonts w:hAnsi="標楷體"/>
                <w:sz w:val="28"/>
                <w:szCs w:val="28"/>
              </w:rPr>
            </w:pPr>
            <w:r w:rsidRPr="00C3310F">
              <w:rPr>
                <w:rFonts w:hAnsi="標楷體" w:hint="eastAsia"/>
                <w:sz w:val="28"/>
                <w:szCs w:val="28"/>
              </w:rPr>
              <w:t>分類/分層治理</w:t>
            </w:r>
          </w:p>
        </w:tc>
        <w:tc>
          <w:tcPr>
            <w:tcW w:w="4677" w:type="dxa"/>
          </w:tcPr>
          <w:p w14:paraId="366C9EA4" w14:textId="77777777" w:rsidR="00A77297" w:rsidRPr="00C3310F" w:rsidRDefault="00A77297" w:rsidP="00B7077C">
            <w:pPr>
              <w:pStyle w:val="af8"/>
              <w:numPr>
                <w:ilvl w:val="0"/>
                <w:numId w:val="13"/>
              </w:numPr>
              <w:ind w:leftChars="0" w:left="276" w:hanging="284"/>
              <w:rPr>
                <w:rFonts w:hAnsi="標楷體"/>
                <w:sz w:val="28"/>
                <w:szCs w:val="28"/>
              </w:rPr>
            </w:pPr>
            <w:r w:rsidRPr="00C3310F">
              <w:rPr>
                <w:rFonts w:hAnsi="標楷體" w:hint="eastAsia"/>
                <w:sz w:val="28"/>
                <w:szCs w:val="28"/>
              </w:rPr>
              <w:t>託管服務：分四級，用戶數量越多，治理強度越強。</w:t>
            </w:r>
          </w:p>
          <w:p w14:paraId="000EB84C" w14:textId="77777777" w:rsidR="00A77297" w:rsidRPr="00C3310F" w:rsidRDefault="00A77297" w:rsidP="00B7077C">
            <w:pPr>
              <w:pStyle w:val="af8"/>
              <w:numPr>
                <w:ilvl w:val="0"/>
                <w:numId w:val="13"/>
              </w:numPr>
              <w:ind w:leftChars="0" w:left="276" w:hanging="284"/>
              <w:rPr>
                <w:rFonts w:hAnsi="標楷體"/>
                <w:sz w:val="28"/>
                <w:szCs w:val="28"/>
              </w:rPr>
            </w:pPr>
            <w:r w:rsidRPr="00C3310F">
              <w:rPr>
                <w:rFonts w:hAnsi="標楷體" w:hint="eastAsia"/>
                <w:sz w:val="28"/>
                <w:szCs w:val="28"/>
              </w:rPr>
              <w:t>連線服務</w:t>
            </w:r>
          </w:p>
          <w:p w14:paraId="4FC0F05C" w14:textId="77777777" w:rsidR="00A77297" w:rsidRPr="00C3310F" w:rsidRDefault="00A77297" w:rsidP="00B7077C">
            <w:pPr>
              <w:pStyle w:val="af8"/>
              <w:numPr>
                <w:ilvl w:val="0"/>
                <w:numId w:val="13"/>
              </w:numPr>
              <w:ind w:leftChars="0" w:left="276" w:hanging="284"/>
              <w:rPr>
                <w:rFonts w:hAnsi="標楷體"/>
                <w:sz w:val="28"/>
                <w:szCs w:val="28"/>
              </w:rPr>
            </w:pPr>
            <w:r w:rsidRPr="00C3310F">
              <w:rPr>
                <w:rFonts w:hAnsi="標楷體" w:hint="eastAsia"/>
                <w:sz w:val="28"/>
                <w:szCs w:val="28"/>
              </w:rPr>
              <w:t>快速存取服務</w:t>
            </w:r>
          </w:p>
          <w:p w14:paraId="37D1CE78" w14:textId="77777777" w:rsidR="00A77297" w:rsidRPr="00C3310F" w:rsidRDefault="00A77297" w:rsidP="00B7077C">
            <w:pPr>
              <w:pStyle w:val="af8"/>
              <w:ind w:leftChars="0" w:left="1051"/>
              <w:rPr>
                <w:rFonts w:hAnsi="標楷體"/>
                <w:sz w:val="28"/>
                <w:szCs w:val="28"/>
              </w:rPr>
            </w:pPr>
          </w:p>
        </w:tc>
        <w:tc>
          <w:tcPr>
            <w:tcW w:w="3828" w:type="dxa"/>
          </w:tcPr>
          <w:p w14:paraId="06EA98EE" w14:textId="77777777" w:rsidR="00A77297" w:rsidRPr="00C3310F" w:rsidRDefault="00A77297" w:rsidP="00B7077C">
            <w:pPr>
              <w:rPr>
                <w:rFonts w:hAnsi="標楷體"/>
                <w:sz w:val="28"/>
                <w:szCs w:val="28"/>
              </w:rPr>
            </w:pPr>
            <w:r w:rsidRPr="00C3310F">
              <w:rPr>
                <w:rFonts w:hAnsi="標楷體" w:hint="eastAsia"/>
                <w:sz w:val="28"/>
                <w:szCs w:val="28"/>
              </w:rPr>
              <w:t>依據用戶數量、服務性質及國務大臣認定，分為3類</w:t>
            </w:r>
          </w:p>
          <w:p w14:paraId="70F992F0" w14:textId="6E1D0E20" w:rsidR="00A77297" w:rsidRPr="00C3310F" w:rsidRDefault="00A77297" w:rsidP="00B7077C">
            <w:pPr>
              <w:pStyle w:val="af8"/>
              <w:numPr>
                <w:ilvl w:val="0"/>
                <w:numId w:val="14"/>
              </w:numPr>
              <w:ind w:leftChars="0" w:left="319" w:hanging="319"/>
              <w:rPr>
                <w:rFonts w:hAnsi="標楷體"/>
                <w:sz w:val="28"/>
                <w:szCs w:val="28"/>
              </w:rPr>
            </w:pPr>
            <w:r w:rsidRPr="00C3310F">
              <w:rPr>
                <w:rFonts w:hAnsi="標楷體" w:hint="eastAsia"/>
                <w:sz w:val="28"/>
                <w:szCs w:val="28"/>
              </w:rPr>
              <w:t>用戶對用戶:第</w:t>
            </w:r>
            <w:r w:rsidRPr="00C3310F">
              <w:rPr>
                <w:rFonts w:hAnsi="標楷體"/>
                <w:sz w:val="28"/>
                <w:szCs w:val="28"/>
              </w:rPr>
              <w:t>1</w:t>
            </w:r>
            <w:r w:rsidRPr="00C3310F">
              <w:rPr>
                <w:rFonts w:hAnsi="標楷體" w:hint="eastAsia"/>
                <w:sz w:val="28"/>
                <w:szCs w:val="28"/>
              </w:rPr>
              <w:t>類(如社群</w:t>
            </w:r>
            <w:r w:rsidR="0004575A" w:rsidRPr="00C3310F">
              <w:rPr>
                <w:rFonts w:hAnsi="標楷體" w:hint="eastAsia"/>
                <w:sz w:val="28"/>
                <w:szCs w:val="28"/>
              </w:rPr>
              <w:t>平臺</w:t>
            </w:r>
            <w:r w:rsidRPr="00C3310F">
              <w:rPr>
                <w:rFonts w:hAnsi="標楷體" w:hint="eastAsia"/>
                <w:sz w:val="28"/>
                <w:szCs w:val="28"/>
              </w:rPr>
              <w:t>)</w:t>
            </w:r>
          </w:p>
          <w:p w14:paraId="3186EF09" w14:textId="77777777" w:rsidR="00A77297" w:rsidRPr="00C3310F" w:rsidRDefault="00A77297" w:rsidP="00B7077C">
            <w:pPr>
              <w:pStyle w:val="af8"/>
              <w:numPr>
                <w:ilvl w:val="0"/>
                <w:numId w:val="14"/>
              </w:numPr>
              <w:ind w:leftChars="0" w:left="319" w:hanging="319"/>
              <w:rPr>
                <w:rFonts w:hAnsi="標楷體"/>
                <w:sz w:val="28"/>
                <w:szCs w:val="28"/>
              </w:rPr>
            </w:pPr>
            <w:r w:rsidRPr="00C3310F">
              <w:rPr>
                <w:rFonts w:hAnsi="標楷體" w:hint="eastAsia"/>
                <w:sz w:val="28"/>
                <w:szCs w:val="28"/>
              </w:rPr>
              <w:t>搜尋服務：第2A類</w:t>
            </w:r>
          </w:p>
          <w:p w14:paraId="208CEAD6" w14:textId="6BB3DBC1" w:rsidR="00A77297" w:rsidRPr="00C3310F" w:rsidRDefault="00A77297" w:rsidP="00B7077C">
            <w:pPr>
              <w:pStyle w:val="af8"/>
              <w:numPr>
                <w:ilvl w:val="0"/>
                <w:numId w:val="14"/>
              </w:numPr>
              <w:ind w:leftChars="0" w:left="319" w:hanging="319"/>
              <w:rPr>
                <w:rFonts w:hAnsi="標楷體"/>
                <w:sz w:val="28"/>
                <w:szCs w:val="28"/>
              </w:rPr>
            </w:pPr>
            <w:r w:rsidRPr="00C3310F">
              <w:rPr>
                <w:rFonts w:hAnsi="標楷體" w:hint="eastAsia"/>
                <w:sz w:val="28"/>
                <w:szCs w:val="28"/>
              </w:rPr>
              <w:t>用戶對用戶:第2B類(社群</w:t>
            </w:r>
            <w:r w:rsidR="0004575A" w:rsidRPr="00C3310F">
              <w:rPr>
                <w:rFonts w:hAnsi="標楷體" w:hint="eastAsia"/>
                <w:sz w:val="28"/>
                <w:szCs w:val="28"/>
              </w:rPr>
              <w:t>平臺</w:t>
            </w:r>
            <w:r w:rsidRPr="00C3310F">
              <w:rPr>
                <w:rFonts w:hAnsi="標楷體" w:hint="eastAsia"/>
                <w:sz w:val="28"/>
                <w:szCs w:val="28"/>
              </w:rPr>
              <w:t>以外)</w:t>
            </w:r>
          </w:p>
        </w:tc>
      </w:tr>
      <w:tr w:rsidR="00C3310F" w:rsidRPr="00C3310F" w14:paraId="62080AFB" w14:textId="77777777" w:rsidTr="00A77297">
        <w:tc>
          <w:tcPr>
            <w:tcW w:w="1702" w:type="dxa"/>
          </w:tcPr>
          <w:p w14:paraId="50D674A8" w14:textId="77777777" w:rsidR="00A77297" w:rsidRPr="00C3310F" w:rsidRDefault="00A77297" w:rsidP="00B7077C">
            <w:pPr>
              <w:rPr>
                <w:rFonts w:hAnsi="標楷體"/>
                <w:sz w:val="28"/>
                <w:szCs w:val="28"/>
              </w:rPr>
            </w:pPr>
            <w:r w:rsidRPr="00C3310F">
              <w:rPr>
                <w:rFonts w:hAnsi="標楷體" w:hint="eastAsia"/>
                <w:sz w:val="28"/>
                <w:szCs w:val="28"/>
              </w:rPr>
              <w:t>權力分立</w:t>
            </w:r>
          </w:p>
        </w:tc>
        <w:tc>
          <w:tcPr>
            <w:tcW w:w="4677" w:type="dxa"/>
          </w:tcPr>
          <w:p w14:paraId="4E463057" w14:textId="77777777" w:rsidR="00A77297" w:rsidRPr="00C3310F" w:rsidRDefault="00A77297" w:rsidP="00B7077C">
            <w:pPr>
              <w:rPr>
                <w:rFonts w:hAnsi="標楷體"/>
                <w:sz w:val="28"/>
                <w:szCs w:val="28"/>
              </w:rPr>
            </w:pPr>
            <w:r w:rsidRPr="00C3310F">
              <w:rPr>
                <w:rFonts w:hAnsi="標楷體" w:hint="eastAsia"/>
                <w:sz w:val="28"/>
                <w:szCs w:val="28"/>
              </w:rPr>
              <w:t>委員會執行/議會監督/法院救濟</w:t>
            </w:r>
          </w:p>
        </w:tc>
        <w:tc>
          <w:tcPr>
            <w:tcW w:w="3828" w:type="dxa"/>
          </w:tcPr>
          <w:p w14:paraId="75B9553D" w14:textId="77777777" w:rsidR="00A77297" w:rsidRPr="00C3310F" w:rsidRDefault="00A77297" w:rsidP="00B7077C">
            <w:pPr>
              <w:rPr>
                <w:rFonts w:hAnsi="標楷體"/>
                <w:sz w:val="28"/>
                <w:szCs w:val="28"/>
              </w:rPr>
            </w:pPr>
            <w:r w:rsidRPr="00C3310F">
              <w:rPr>
                <w:rFonts w:hAnsi="標楷體"/>
                <w:sz w:val="28"/>
                <w:szCs w:val="28"/>
              </w:rPr>
              <w:t>DCMS</w:t>
            </w:r>
            <w:r w:rsidRPr="00C3310F">
              <w:rPr>
                <w:rFonts w:hAnsi="標楷體" w:hint="eastAsia"/>
                <w:sz w:val="28"/>
                <w:szCs w:val="28"/>
              </w:rPr>
              <w:t>立法/</w:t>
            </w:r>
            <w:r w:rsidRPr="00C3310F">
              <w:rPr>
                <w:rFonts w:hAnsi="標楷體"/>
                <w:sz w:val="28"/>
                <w:szCs w:val="28"/>
              </w:rPr>
              <w:t>Ofcom</w:t>
            </w:r>
            <w:r w:rsidRPr="00C3310F">
              <w:rPr>
                <w:rFonts w:hAnsi="標楷體" w:hint="eastAsia"/>
                <w:sz w:val="28"/>
                <w:szCs w:val="28"/>
              </w:rPr>
              <w:t>獨立機關執行/法院救濟</w:t>
            </w:r>
          </w:p>
        </w:tc>
      </w:tr>
      <w:tr w:rsidR="00C3310F" w:rsidRPr="00C3310F" w14:paraId="6CE0D3B4" w14:textId="77777777" w:rsidTr="00A77297">
        <w:tc>
          <w:tcPr>
            <w:tcW w:w="1702" w:type="dxa"/>
          </w:tcPr>
          <w:p w14:paraId="699A28E8" w14:textId="77777777" w:rsidR="00A77297" w:rsidRPr="00C3310F" w:rsidRDefault="00A77297" w:rsidP="00B7077C">
            <w:pPr>
              <w:rPr>
                <w:rFonts w:hAnsi="標楷體"/>
                <w:sz w:val="28"/>
                <w:szCs w:val="28"/>
              </w:rPr>
            </w:pPr>
            <w:r w:rsidRPr="00C3310F">
              <w:rPr>
                <w:rFonts w:hAnsi="標楷體" w:hint="eastAsia"/>
                <w:sz w:val="28"/>
                <w:szCs w:val="28"/>
              </w:rPr>
              <w:t>落地</w:t>
            </w:r>
          </w:p>
        </w:tc>
        <w:tc>
          <w:tcPr>
            <w:tcW w:w="4677" w:type="dxa"/>
          </w:tcPr>
          <w:p w14:paraId="5A20316F" w14:textId="77777777" w:rsidR="00A77297" w:rsidRPr="00C3310F" w:rsidRDefault="00A77297" w:rsidP="00B7077C">
            <w:pPr>
              <w:rPr>
                <w:rFonts w:hAnsi="標楷體"/>
                <w:sz w:val="28"/>
                <w:szCs w:val="28"/>
              </w:rPr>
            </w:pPr>
            <w:r w:rsidRPr="00C3310F">
              <w:rPr>
                <w:rFonts w:hAnsi="標楷體" w:hint="eastAsia"/>
                <w:sz w:val="28"/>
                <w:szCs w:val="28"/>
              </w:rPr>
              <w:t>要求落地</w:t>
            </w:r>
          </w:p>
        </w:tc>
        <w:tc>
          <w:tcPr>
            <w:tcW w:w="3828" w:type="dxa"/>
          </w:tcPr>
          <w:p w14:paraId="20155168" w14:textId="77777777" w:rsidR="00A77297" w:rsidRPr="00C3310F" w:rsidRDefault="00A77297" w:rsidP="00B7077C">
            <w:pPr>
              <w:rPr>
                <w:rFonts w:hAnsi="標楷體"/>
                <w:sz w:val="28"/>
                <w:szCs w:val="28"/>
              </w:rPr>
            </w:pPr>
            <w:r w:rsidRPr="00C3310F">
              <w:rPr>
                <w:rFonts w:hAnsi="標楷體" w:hint="eastAsia"/>
                <w:sz w:val="28"/>
                <w:szCs w:val="28"/>
              </w:rPr>
              <w:t>要求落地</w:t>
            </w:r>
          </w:p>
        </w:tc>
      </w:tr>
      <w:tr w:rsidR="00C3310F" w:rsidRPr="00C3310F" w14:paraId="7B42BEB5" w14:textId="77777777" w:rsidTr="00A77297">
        <w:tc>
          <w:tcPr>
            <w:tcW w:w="1702" w:type="dxa"/>
          </w:tcPr>
          <w:p w14:paraId="082680D4" w14:textId="77777777" w:rsidR="00A77297" w:rsidRPr="00C3310F" w:rsidRDefault="00A77297" w:rsidP="00B7077C">
            <w:pPr>
              <w:rPr>
                <w:rFonts w:hAnsi="標楷體"/>
                <w:sz w:val="28"/>
                <w:szCs w:val="28"/>
              </w:rPr>
            </w:pPr>
            <w:r w:rsidRPr="00C3310F">
              <w:rPr>
                <w:rFonts w:hAnsi="標楷體" w:hint="eastAsia"/>
                <w:sz w:val="28"/>
                <w:szCs w:val="28"/>
              </w:rPr>
              <w:t>賦予業者義務</w:t>
            </w:r>
          </w:p>
        </w:tc>
        <w:tc>
          <w:tcPr>
            <w:tcW w:w="4677" w:type="dxa"/>
          </w:tcPr>
          <w:p w14:paraId="4828EFCD" w14:textId="77777777" w:rsidR="00A77297" w:rsidRPr="00C3310F" w:rsidRDefault="00A77297" w:rsidP="00B7077C">
            <w:pPr>
              <w:pStyle w:val="af8"/>
              <w:numPr>
                <w:ilvl w:val="0"/>
                <w:numId w:val="17"/>
              </w:numPr>
              <w:ind w:leftChars="0" w:left="276" w:hanging="276"/>
              <w:rPr>
                <w:rFonts w:hAnsi="標楷體"/>
                <w:sz w:val="28"/>
                <w:szCs w:val="28"/>
              </w:rPr>
            </w:pPr>
            <w:r w:rsidRPr="00C3310F">
              <w:rPr>
                <w:rFonts w:hAnsi="標楷體" w:hint="eastAsia"/>
                <w:sz w:val="28"/>
                <w:szCs w:val="28"/>
              </w:rPr>
              <w:t>建立風險評估、內容審查、救濟措施等機制。</w:t>
            </w:r>
          </w:p>
          <w:p w14:paraId="65845A72" w14:textId="77777777" w:rsidR="00A77297" w:rsidRPr="00C3310F" w:rsidRDefault="00A77297" w:rsidP="00B7077C">
            <w:pPr>
              <w:pStyle w:val="af8"/>
              <w:numPr>
                <w:ilvl w:val="0"/>
                <w:numId w:val="17"/>
              </w:numPr>
              <w:ind w:leftChars="0" w:left="276" w:hanging="276"/>
              <w:rPr>
                <w:rFonts w:hAnsi="標楷體"/>
                <w:sz w:val="28"/>
                <w:szCs w:val="28"/>
              </w:rPr>
            </w:pPr>
            <w:r w:rsidRPr="00C3310F">
              <w:rPr>
                <w:rFonts w:hAnsi="標楷體" w:hint="eastAsia"/>
                <w:sz w:val="28"/>
                <w:szCs w:val="28"/>
              </w:rPr>
              <w:t>建立與政府之聯繫管道。</w:t>
            </w:r>
          </w:p>
          <w:p w14:paraId="218EB27D" w14:textId="77777777" w:rsidR="00A77297" w:rsidRPr="00C3310F" w:rsidRDefault="00A77297" w:rsidP="00B7077C">
            <w:pPr>
              <w:pStyle w:val="af8"/>
              <w:numPr>
                <w:ilvl w:val="0"/>
                <w:numId w:val="17"/>
              </w:numPr>
              <w:ind w:leftChars="0" w:left="276" w:hanging="276"/>
              <w:rPr>
                <w:rFonts w:hAnsi="標楷體"/>
                <w:sz w:val="28"/>
                <w:szCs w:val="28"/>
              </w:rPr>
            </w:pPr>
            <w:r w:rsidRPr="00C3310F">
              <w:rPr>
                <w:rFonts w:hAnsi="標楷體" w:hint="eastAsia"/>
                <w:sz w:val="28"/>
                <w:szCs w:val="28"/>
              </w:rPr>
              <w:t>向執法機構通報涉嫌違法內容。</w:t>
            </w:r>
          </w:p>
          <w:p w14:paraId="7A622E89" w14:textId="77777777" w:rsidR="00A77297" w:rsidRPr="00C3310F" w:rsidRDefault="00A77297" w:rsidP="00B7077C">
            <w:pPr>
              <w:pStyle w:val="af8"/>
              <w:numPr>
                <w:ilvl w:val="0"/>
                <w:numId w:val="17"/>
              </w:numPr>
              <w:ind w:leftChars="0" w:left="276" w:hanging="276"/>
              <w:rPr>
                <w:rFonts w:hAnsi="標楷體"/>
                <w:sz w:val="28"/>
                <w:szCs w:val="28"/>
              </w:rPr>
            </w:pPr>
            <w:r w:rsidRPr="00C3310F">
              <w:rPr>
                <w:rFonts w:hAnsi="標楷體" w:hint="eastAsia"/>
                <w:sz w:val="28"/>
                <w:szCs w:val="28"/>
              </w:rPr>
              <w:t>出具透明度報告。</w:t>
            </w:r>
          </w:p>
          <w:p w14:paraId="23A048C3" w14:textId="77777777" w:rsidR="00A77297" w:rsidRPr="00C3310F" w:rsidRDefault="00A77297" w:rsidP="00B7077C">
            <w:pPr>
              <w:pStyle w:val="af8"/>
              <w:numPr>
                <w:ilvl w:val="0"/>
                <w:numId w:val="17"/>
              </w:numPr>
              <w:ind w:leftChars="0" w:left="276" w:hanging="276"/>
              <w:rPr>
                <w:rFonts w:hAnsi="標楷體"/>
                <w:sz w:val="28"/>
                <w:szCs w:val="28"/>
              </w:rPr>
            </w:pPr>
            <w:r w:rsidRPr="00C3310F">
              <w:rPr>
                <w:rFonts w:hAnsi="標楷體" w:hint="eastAsia"/>
                <w:sz w:val="28"/>
                <w:szCs w:val="28"/>
              </w:rPr>
              <w:t>簽署行為守則(含K</w:t>
            </w:r>
            <w:r w:rsidRPr="00C3310F">
              <w:rPr>
                <w:rFonts w:hAnsi="標楷體"/>
                <w:sz w:val="28"/>
                <w:szCs w:val="28"/>
              </w:rPr>
              <w:t>PI以檢驗</w:t>
            </w:r>
            <w:r w:rsidRPr="00C3310F">
              <w:rPr>
                <w:rFonts w:hAnsi="標楷體" w:hint="eastAsia"/>
                <w:sz w:val="28"/>
                <w:szCs w:val="28"/>
              </w:rPr>
              <w:t>成效)</w:t>
            </w:r>
          </w:p>
          <w:p w14:paraId="57143894" w14:textId="77777777" w:rsidR="00A77297" w:rsidRPr="00C3310F" w:rsidRDefault="00A77297" w:rsidP="00B7077C">
            <w:pPr>
              <w:pStyle w:val="af8"/>
              <w:numPr>
                <w:ilvl w:val="0"/>
                <w:numId w:val="17"/>
              </w:numPr>
              <w:ind w:leftChars="0" w:left="276" w:hanging="276"/>
              <w:rPr>
                <w:rFonts w:hAnsi="標楷體"/>
                <w:sz w:val="28"/>
                <w:szCs w:val="28"/>
              </w:rPr>
            </w:pPr>
            <w:r w:rsidRPr="00C3310F">
              <w:rPr>
                <w:rFonts w:hAnsi="標楷體" w:hint="eastAsia"/>
                <w:sz w:val="28"/>
                <w:szCs w:val="28"/>
              </w:rPr>
              <w:t>V</w:t>
            </w:r>
            <w:r w:rsidRPr="00C3310F">
              <w:rPr>
                <w:rFonts w:hAnsi="標楷體"/>
                <w:sz w:val="28"/>
                <w:szCs w:val="28"/>
              </w:rPr>
              <w:t>LOPs</w:t>
            </w:r>
            <w:r w:rsidRPr="00C3310F">
              <w:rPr>
                <w:rFonts w:hAnsi="標楷體" w:hint="eastAsia"/>
                <w:sz w:val="28"/>
                <w:szCs w:val="28"/>
              </w:rPr>
              <w:t>接受獨立審計、繳交監管費、對協調員開放內部數據</w:t>
            </w:r>
          </w:p>
        </w:tc>
        <w:tc>
          <w:tcPr>
            <w:tcW w:w="3828" w:type="dxa"/>
          </w:tcPr>
          <w:p w14:paraId="3DCB7A81" w14:textId="77777777" w:rsidR="00A77297" w:rsidRPr="00C3310F" w:rsidRDefault="00A77297" w:rsidP="00B7077C">
            <w:pPr>
              <w:pStyle w:val="af8"/>
              <w:numPr>
                <w:ilvl w:val="0"/>
                <w:numId w:val="11"/>
              </w:numPr>
              <w:ind w:leftChars="0" w:left="319" w:hanging="319"/>
              <w:rPr>
                <w:rFonts w:hAnsi="標楷體"/>
                <w:sz w:val="28"/>
                <w:szCs w:val="28"/>
              </w:rPr>
            </w:pPr>
            <w:r w:rsidRPr="00C3310F">
              <w:rPr>
                <w:rFonts w:hAnsi="標楷體" w:hint="eastAsia"/>
                <w:sz w:val="28"/>
                <w:szCs w:val="28"/>
              </w:rPr>
              <w:t>進行適當且充分的非法內容風險評估</w:t>
            </w:r>
          </w:p>
          <w:p w14:paraId="4227808D" w14:textId="77777777" w:rsidR="00A77297" w:rsidRPr="00C3310F" w:rsidRDefault="00A77297" w:rsidP="00B7077C">
            <w:pPr>
              <w:pStyle w:val="af8"/>
              <w:numPr>
                <w:ilvl w:val="0"/>
                <w:numId w:val="11"/>
              </w:numPr>
              <w:ind w:leftChars="0" w:left="319" w:hanging="319"/>
              <w:rPr>
                <w:rFonts w:hAnsi="標楷體"/>
                <w:sz w:val="28"/>
                <w:szCs w:val="28"/>
              </w:rPr>
            </w:pPr>
            <w:r w:rsidRPr="00C3310F">
              <w:rPr>
                <w:rFonts w:hAnsi="標楷體" w:hint="eastAsia"/>
                <w:sz w:val="28"/>
                <w:szCs w:val="28"/>
              </w:rPr>
              <w:t>有關非法內容和優先非法內容的責任</w:t>
            </w:r>
          </w:p>
          <w:p w14:paraId="007B8B53" w14:textId="77777777" w:rsidR="00A77297" w:rsidRPr="00C3310F" w:rsidRDefault="00A77297" w:rsidP="00B7077C">
            <w:pPr>
              <w:pStyle w:val="af8"/>
              <w:numPr>
                <w:ilvl w:val="0"/>
                <w:numId w:val="11"/>
              </w:numPr>
              <w:ind w:leftChars="0" w:left="319" w:hanging="319"/>
              <w:rPr>
                <w:rFonts w:hAnsi="標楷體"/>
                <w:sz w:val="28"/>
                <w:szCs w:val="28"/>
              </w:rPr>
            </w:pPr>
            <w:r w:rsidRPr="00C3310F">
              <w:rPr>
                <w:rFonts w:hAnsi="標楷體" w:hint="eastAsia"/>
                <w:sz w:val="28"/>
                <w:szCs w:val="28"/>
              </w:rPr>
              <w:t>透明度、報告和補救的職責</w:t>
            </w:r>
          </w:p>
          <w:p w14:paraId="1E9CAA6C" w14:textId="77777777" w:rsidR="00A77297" w:rsidRPr="00C3310F" w:rsidRDefault="00A77297" w:rsidP="00B7077C">
            <w:pPr>
              <w:pStyle w:val="af8"/>
              <w:numPr>
                <w:ilvl w:val="0"/>
                <w:numId w:val="11"/>
              </w:numPr>
              <w:ind w:leftChars="0" w:left="319" w:hanging="319"/>
              <w:rPr>
                <w:rFonts w:hAnsi="標楷體"/>
                <w:sz w:val="28"/>
                <w:szCs w:val="28"/>
              </w:rPr>
            </w:pPr>
            <w:r w:rsidRPr="00C3310F">
              <w:rPr>
                <w:rFonts w:hAnsi="標楷體" w:hint="eastAsia"/>
                <w:sz w:val="28"/>
                <w:szCs w:val="28"/>
              </w:rPr>
              <w:t>保護言論自由(第1類業者另有額外義務)</w:t>
            </w:r>
          </w:p>
        </w:tc>
      </w:tr>
      <w:tr w:rsidR="00C3310F" w:rsidRPr="00C3310F" w14:paraId="75B86579" w14:textId="77777777" w:rsidTr="00A77297">
        <w:tc>
          <w:tcPr>
            <w:tcW w:w="1702" w:type="dxa"/>
          </w:tcPr>
          <w:p w14:paraId="4A9B2A6A" w14:textId="77777777" w:rsidR="00A77297" w:rsidRPr="00C3310F" w:rsidRDefault="00A77297" w:rsidP="00B7077C">
            <w:pPr>
              <w:rPr>
                <w:rFonts w:hAnsi="標楷體"/>
                <w:sz w:val="28"/>
                <w:szCs w:val="28"/>
              </w:rPr>
            </w:pPr>
            <w:r w:rsidRPr="00C3310F">
              <w:rPr>
                <w:rFonts w:hAnsi="標楷體" w:hint="eastAsia"/>
                <w:sz w:val="28"/>
                <w:szCs w:val="28"/>
              </w:rPr>
              <w:t>內容審查標準</w:t>
            </w:r>
          </w:p>
        </w:tc>
        <w:tc>
          <w:tcPr>
            <w:tcW w:w="4677" w:type="dxa"/>
          </w:tcPr>
          <w:p w14:paraId="3DB70218" w14:textId="77777777" w:rsidR="00A77297" w:rsidRPr="00C3310F" w:rsidRDefault="00A77297" w:rsidP="00B7077C">
            <w:pPr>
              <w:rPr>
                <w:rFonts w:hAnsi="標楷體"/>
                <w:sz w:val="28"/>
                <w:szCs w:val="28"/>
              </w:rPr>
            </w:pPr>
            <w:r w:rsidRPr="00C3310F">
              <w:rPr>
                <w:rFonts w:hAnsi="標楷體" w:hint="eastAsia"/>
                <w:sz w:val="28"/>
                <w:szCs w:val="28"/>
              </w:rPr>
              <w:t>由其他法律界定(實體世界違法事項在網路上同樣違法)</w:t>
            </w:r>
            <w:r w:rsidRPr="00C3310F">
              <w:rPr>
                <w:rFonts w:hAnsi="標楷體"/>
                <w:sz w:val="28"/>
                <w:szCs w:val="28"/>
              </w:rPr>
              <w:t xml:space="preserve"> </w:t>
            </w:r>
          </w:p>
        </w:tc>
        <w:tc>
          <w:tcPr>
            <w:tcW w:w="3828" w:type="dxa"/>
          </w:tcPr>
          <w:p w14:paraId="30D8278A" w14:textId="77777777" w:rsidR="00A77297" w:rsidRPr="00C3310F" w:rsidRDefault="00A77297" w:rsidP="00B7077C">
            <w:pPr>
              <w:pStyle w:val="af8"/>
              <w:numPr>
                <w:ilvl w:val="0"/>
                <w:numId w:val="10"/>
              </w:numPr>
              <w:ind w:leftChars="0" w:left="319" w:hanging="319"/>
              <w:rPr>
                <w:rFonts w:hAnsi="標楷體"/>
                <w:sz w:val="28"/>
                <w:szCs w:val="28"/>
              </w:rPr>
            </w:pPr>
            <w:r w:rsidRPr="00C3310F">
              <w:rPr>
                <w:rFonts w:hAnsi="標楷體" w:hint="eastAsia"/>
                <w:sz w:val="28"/>
                <w:szCs w:val="28"/>
              </w:rPr>
              <w:t>違法內容:再細分為「優先處理」(明文條列)、「其他違法內容」</w:t>
            </w:r>
          </w:p>
          <w:p w14:paraId="6F71A449" w14:textId="77777777" w:rsidR="00A77297" w:rsidRPr="00C3310F" w:rsidRDefault="00A77297" w:rsidP="00B7077C">
            <w:pPr>
              <w:pStyle w:val="af8"/>
              <w:numPr>
                <w:ilvl w:val="0"/>
                <w:numId w:val="10"/>
              </w:numPr>
              <w:ind w:leftChars="0" w:left="319" w:hanging="319"/>
              <w:rPr>
                <w:rFonts w:hAnsi="標楷體"/>
                <w:sz w:val="28"/>
                <w:szCs w:val="28"/>
              </w:rPr>
            </w:pPr>
            <w:r w:rsidRPr="00C3310F">
              <w:rPr>
                <w:rFonts w:hAnsi="標楷體" w:hint="eastAsia"/>
                <w:sz w:val="28"/>
                <w:szCs w:val="28"/>
              </w:rPr>
              <w:t>對兒童有害內容:再細分為首要關注、優先關注、非指定有害等三類。</w:t>
            </w:r>
          </w:p>
        </w:tc>
      </w:tr>
      <w:tr w:rsidR="00C3310F" w:rsidRPr="00C3310F" w14:paraId="50A445B4" w14:textId="77777777" w:rsidTr="00A77297">
        <w:tc>
          <w:tcPr>
            <w:tcW w:w="1702" w:type="dxa"/>
          </w:tcPr>
          <w:p w14:paraId="3E19D4F5" w14:textId="77777777" w:rsidR="00A77297" w:rsidRPr="00C3310F" w:rsidRDefault="00A77297" w:rsidP="00B7077C">
            <w:pPr>
              <w:rPr>
                <w:rFonts w:hAnsi="標楷體"/>
                <w:sz w:val="28"/>
                <w:szCs w:val="28"/>
              </w:rPr>
            </w:pPr>
            <w:r w:rsidRPr="00C3310F">
              <w:rPr>
                <w:rFonts w:hAnsi="標楷體" w:hint="eastAsia"/>
                <w:sz w:val="28"/>
                <w:szCs w:val="28"/>
              </w:rPr>
              <w:t>業者端內容管理機制</w:t>
            </w:r>
          </w:p>
        </w:tc>
        <w:tc>
          <w:tcPr>
            <w:tcW w:w="4677" w:type="dxa"/>
          </w:tcPr>
          <w:p w14:paraId="000B9A8B" w14:textId="77777777" w:rsidR="00A77297" w:rsidRPr="00C3310F" w:rsidRDefault="00A77297" w:rsidP="00B7077C">
            <w:pPr>
              <w:pStyle w:val="af8"/>
              <w:numPr>
                <w:ilvl w:val="0"/>
                <w:numId w:val="15"/>
              </w:numPr>
              <w:ind w:leftChars="0" w:left="276" w:hanging="276"/>
              <w:rPr>
                <w:rFonts w:hAnsi="標楷體"/>
                <w:sz w:val="28"/>
                <w:szCs w:val="28"/>
              </w:rPr>
            </w:pPr>
            <w:r w:rsidRPr="00C3310F">
              <w:rPr>
                <w:rFonts w:hAnsi="標楷體" w:hint="eastAsia"/>
                <w:sz w:val="28"/>
                <w:szCs w:val="28"/>
              </w:rPr>
              <w:t>共計有「通知與回應機制」、「回報可疑犯罪行為」、「認證舉報者」、「風險評估」、「降低危害風險」、「危機處理機制」、「違法商品告知」等機制。</w:t>
            </w:r>
          </w:p>
          <w:p w14:paraId="58346A50" w14:textId="77777777" w:rsidR="00A77297" w:rsidRPr="00C3310F" w:rsidRDefault="00A77297" w:rsidP="00B7077C">
            <w:pPr>
              <w:pStyle w:val="af8"/>
              <w:numPr>
                <w:ilvl w:val="0"/>
                <w:numId w:val="15"/>
              </w:numPr>
              <w:ind w:leftChars="0" w:left="276" w:hanging="276"/>
              <w:rPr>
                <w:rFonts w:hAnsi="標楷體"/>
                <w:sz w:val="28"/>
                <w:szCs w:val="28"/>
              </w:rPr>
            </w:pPr>
            <w:r w:rsidRPr="00C3310F">
              <w:rPr>
                <w:rFonts w:hAnsi="標楷體" w:hint="eastAsia"/>
                <w:sz w:val="28"/>
                <w:szCs w:val="28"/>
              </w:rPr>
              <w:t>業者級別越高，需建置越多機制。</w:t>
            </w:r>
          </w:p>
          <w:p w14:paraId="6DDF5228" w14:textId="6E027E4F" w:rsidR="00A77297" w:rsidRPr="00C3310F" w:rsidRDefault="0004575A" w:rsidP="00B7077C">
            <w:pPr>
              <w:pStyle w:val="af8"/>
              <w:numPr>
                <w:ilvl w:val="0"/>
                <w:numId w:val="15"/>
              </w:numPr>
              <w:ind w:leftChars="0" w:left="276" w:hanging="276"/>
              <w:rPr>
                <w:rFonts w:hAnsi="標楷體"/>
                <w:sz w:val="28"/>
                <w:szCs w:val="28"/>
              </w:rPr>
            </w:pPr>
            <w:r w:rsidRPr="00C3310F">
              <w:rPr>
                <w:rFonts w:hAnsi="標楷體" w:hint="eastAsia"/>
                <w:sz w:val="28"/>
                <w:szCs w:val="28"/>
              </w:rPr>
              <w:t>平臺</w:t>
            </w:r>
            <w:r w:rsidR="00A77297" w:rsidRPr="00C3310F">
              <w:rPr>
                <w:rFonts w:hAnsi="標楷體" w:hint="eastAsia"/>
                <w:sz w:val="28"/>
                <w:szCs w:val="28"/>
              </w:rPr>
              <w:t>受理審查來源包括認證舉報者、大眾告知、自主調查及政府通知等(不同級別略有差異)</w:t>
            </w:r>
          </w:p>
        </w:tc>
        <w:tc>
          <w:tcPr>
            <w:tcW w:w="3828" w:type="dxa"/>
          </w:tcPr>
          <w:p w14:paraId="2B5FC0DE" w14:textId="77777777" w:rsidR="00A77297" w:rsidRPr="00C3310F" w:rsidRDefault="00A77297" w:rsidP="00B7077C">
            <w:pPr>
              <w:pStyle w:val="af8"/>
              <w:numPr>
                <w:ilvl w:val="0"/>
                <w:numId w:val="12"/>
              </w:numPr>
              <w:ind w:leftChars="0" w:left="319" w:hanging="319"/>
              <w:rPr>
                <w:rFonts w:hAnsi="標楷體"/>
                <w:sz w:val="28"/>
                <w:szCs w:val="28"/>
              </w:rPr>
            </w:pPr>
            <w:r w:rsidRPr="00C3310F">
              <w:rPr>
                <w:rFonts w:hAnsi="標楷體" w:hint="eastAsia"/>
                <w:sz w:val="28"/>
                <w:szCs w:val="28"/>
              </w:rPr>
              <w:t>共計有「違法內容風險評估」、「降低和管理違法內容危害風險」、「保障用戶隱私及言論自由」、「通知機制」、「紀錄與檢閱」、「兒童造訪評估」、「向執法機關報告C</w:t>
            </w:r>
            <w:r w:rsidRPr="00C3310F">
              <w:rPr>
                <w:rFonts w:hAnsi="標楷體"/>
                <w:sz w:val="28"/>
                <w:szCs w:val="28"/>
              </w:rPr>
              <w:t>SEA(</w:t>
            </w:r>
            <w:r w:rsidRPr="00C3310F">
              <w:rPr>
                <w:rFonts w:hAnsi="標楷體" w:hint="eastAsia"/>
                <w:sz w:val="28"/>
                <w:szCs w:val="28"/>
              </w:rPr>
              <w:t>兒童性剝削/虐待)報告」等機制。</w:t>
            </w:r>
          </w:p>
          <w:p w14:paraId="1376D3B3" w14:textId="77777777" w:rsidR="00A77297" w:rsidRPr="00C3310F" w:rsidRDefault="00A77297" w:rsidP="00B7077C">
            <w:pPr>
              <w:pStyle w:val="af8"/>
              <w:numPr>
                <w:ilvl w:val="0"/>
                <w:numId w:val="12"/>
              </w:numPr>
              <w:ind w:leftChars="0" w:left="319" w:hanging="319"/>
              <w:rPr>
                <w:rFonts w:hAnsi="標楷體"/>
                <w:sz w:val="28"/>
                <w:szCs w:val="28"/>
              </w:rPr>
            </w:pPr>
            <w:r w:rsidRPr="00C3310F">
              <w:rPr>
                <w:rFonts w:hAnsi="標楷體" w:hint="eastAsia"/>
                <w:sz w:val="28"/>
                <w:szCs w:val="28"/>
              </w:rPr>
              <w:t>不同類別業者需建置之</w:t>
            </w:r>
            <w:r w:rsidRPr="00C3310F">
              <w:rPr>
                <w:rFonts w:hAnsi="標楷體" w:hint="eastAsia"/>
                <w:sz w:val="28"/>
                <w:szCs w:val="28"/>
              </w:rPr>
              <w:lastRenderedPageBreak/>
              <w:t>機制略有差異。</w:t>
            </w:r>
          </w:p>
        </w:tc>
      </w:tr>
      <w:tr w:rsidR="00C3310F" w:rsidRPr="00C3310F" w14:paraId="36FD1640" w14:textId="77777777" w:rsidTr="00A77297">
        <w:tc>
          <w:tcPr>
            <w:tcW w:w="1702" w:type="dxa"/>
          </w:tcPr>
          <w:p w14:paraId="4912F5C3" w14:textId="77777777" w:rsidR="00A77297" w:rsidRPr="00C3310F" w:rsidRDefault="00A77297" w:rsidP="00B7077C">
            <w:pPr>
              <w:rPr>
                <w:rFonts w:hAnsi="標楷體"/>
                <w:sz w:val="28"/>
                <w:szCs w:val="28"/>
              </w:rPr>
            </w:pPr>
            <w:r w:rsidRPr="00C3310F">
              <w:rPr>
                <w:rFonts w:hAnsi="標楷體" w:hint="eastAsia"/>
                <w:sz w:val="28"/>
                <w:szCs w:val="28"/>
              </w:rPr>
              <w:lastRenderedPageBreak/>
              <w:t>主管機關職責</w:t>
            </w:r>
          </w:p>
        </w:tc>
        <w:tc>
          <w:tcPr>
            <w:tcW w:w="4677" w:type="dxa"/>
          </w:tcPr>
          <w:p w14:paraId="776B1ED7" w14:textId="5C44980B" w:rsidR="00A77297" w:rsidRPr="00C3310F" w:rsidRDefault="00A77297" w:rsidP="00B7077C">
            <w:pPr>
              <w:pStyle w:val="af8"/>
              <w:numPr>
                <w:ilvl w:val="0"/>
                <w:numId w:val="17"/>
              </w:numPr>
              <w:ind w:leftChars="0" w:left="276" w:hanging="276"/>
              <w:rPr>
                <w:rFonts w:hAnsi="標楷體"/>
                <w:sz w:val="28"/>
                <w:szCs w:val="28"/>
              </w:rPr>
            </w:pPr>
            <w:r w:rsidRPr="00C3310F">
              <w:rPr>
                <w:rFonts w:hAnsi="標楷體" w:hint="eastAsia"/>
                <w:sz w:val="28"/>
                <w:szCs w:val="28"/>
              </w:rPr>
              <w:t>要求</w:t>
            </w:r>
            <w:r w:rsidR="0004575A" w:rsidRPr="00C3310F">
              <w:rPr>
                <w:rFonts w:hAnsi="標楷體" w:hint="eastAsia"/>
                <w:sz w:val="28"/>
                <w:szCs w:val="28"/>
              </w:rPr>
              <w:t>平臺</w:t>
            </w:r>
            <w:r w:rsidRPr="00C3310F">
              <w:rPr>
                <w:rFonts w:hAnsi="標楷體" w:hint="eastAsia"/>
                <w:sz w:val="28"/>
                <w:szCs w:val="28"/>
              </w:rPr>
              <w:t>處理違法內容：由各國協調員通報</w:t>
            </w:r>
            <w:r w:rsidR="0004575A" w:rsidRPr="00C3310F">
              <w:rPr>
                <w:rFonts w:hAnsi="標楷體" w:hint="eastAsia"/>
                <w:sz w:val="28"/>
                <w:szCs w:val="28"/>
              </w:rPr>
              <w:t>平臺</w:t>
            </w:r>
            <w:r w:rsidRPr="00C3310F">
              <w:rPr>
                <w:rFonts w:hAnsi="標楷體" w:hint="eastAsia"/>
                <w:sz w:val="28"/>
                <w:szCs w:val="28"/>
              </w:rPr>
              <w:t>處理，需提出證據及理由。</w:t>
            </w:r>
          </w:p>
          <w:p w14:paraId="638B189D" w14:textId="4E89BE21" w:rsidR="00A77297" w:rsidRPr="00C3310F" w:rsidRDefault="00A77297" w:rsidP="00B7077C">
            <w:pPr>
              <w:pStyle w:val="af8"/>
              <w:numPr>
                <w:ilvl w:val="0"/>
                <w:numId w:val="17"/>
              </w:numPr>
              <w:ind w:leftChars="0" w:left="276" w:hanging="276"/>
              <w:rPr>
                <w:rFonts w:hAnsi="標楷體"/>
                <w:sz w:val="28"/>
                <w:szCs w:val="28"/>
              </w:rPr>
            </w:pPr>
            <w:r w:rsidRPr="00C3310F">
              <w:rPr>
                <w:rFonts w:hAnsi="標楷體" w:hint="eastAsia"/>
                <w:sz w:val="28"/>
                <w:szCs w:val="28"/>
              </w:rPr>
              <w:t>受理</w:t>
            </w:r>
            <w:r w:rsidR="0004575A" w:rsidRPr="00C3310F">
              <w:rPr>
                <w:rFonts w:hAnsi="標楷體" w:hint="eastAsia"/>
                <w:sz w:val="28"/>
                <w:szCs w:val="28"/>
              </w:rPr>
              <w:t>平臺</w:t>
            </w:r>
            <w:r w:rsidRPr="00C3310F">
              <w:rPr>
                <w:rFonts w:hAnsi="標楷體" w:hint="eastAsia"/>
                <w:sz w:val="28"/>
                <w:szCs w:val="28"/>
              </w:rPr>
              <w:t>處理違法內容之結果報告。</w:t>
            </w:r>
          </w:p>
          <w:p w14:paraId="6A3C1846" w14:textId="154FD38E" w:rsidR="00A77297" w:rsidRPr="00C3310F" w:rsidRDefault="00A77297" w:rsidP="00B7077C">
            <w:pPr>
              <w:pStyle w:val="af8"/>
              <w:numPr>
                <w:ilvl w:val="0"/>
                <w:numId w:val="17"/>
              </w:numPr>
              <w:ind w:leftChars="0" w:left="276" w:hanging="276"/>
              <w:rPr>
                <w:rFonts w:hAnsi="標楷體"/>
                <w:sz w:val="28"/>
                <w:szCs w:val="28"/>
              </w:rPr>
            </w:pPr>
            <w:r w:rsidRPr="00C3310F">
              <w:rPr>
                <w:rFonts w:hAnsi="標楷體" w:hint="eastAsia"/>
                <w:sz w:val="28"/>
                <w:szCs w:val="28"/>
              </w:rPr>
              <w:t>執法機關受理</w:t>
            </w:r>
            <w:r w:rsidR="0004575A" w:rsidRPr="00C3310F">
              <w:rPr>
                <w:rFonts w:hAnsi="標楷體" w:hint="eastAsia"/>
                <w:sz w:val="28"/>
                <w:szCs w:val="28"/>
              </w:rPr>
              <w:t>平臺</w:t>
            </w:r>
            <w:r w:rsidRPr="00C3310F">
              <w:rPr>
                <w:rFonts w:hAnsi="標楷體" w:hint="eastAsia"/>
                <w:sz w:val="28"/>
                <w:szCs w:val="28"/>
              </w:rPr>
              <w:t>報告之涉嫌違法內容</w:t>
            </w:r>
          </w:p>
          <w:p w14:paraId="1E7C1C15" w14:textId="77777777" w:rsidR="00A77297" w:rsidRPr="00C3310F" w:rsidRDefault="00A77297" w:rsidP="00B7077C">
            <w:pPr>
              <w:pStyle w:val="af8"/>
              <w:numPr>
                <w:ilvl w:val="0"/>
                <w:numId w:val="17"/>
              </w:numPr>
              <w:ind w:leftChars="0" w:left="276" w:hanging="276"/>
              <w:rPr>
                <w:rFonts w:hAnsi="標楷體"/>
                <w:sz w:val="28"/>
                <w:szCs w:val="28"/>
              </w:rPr>
            </w:pPr>
            <w:r w:rsidRPr="00C3310F">
              <w:rPr>
                <w:rFonts w:hAnsi="標楷體" w:hint="eastAsia"/>
                <w:sz w:val="28"/>
                <w:szCs w:val="28"/>
              </w:rPr>
              <w:t>協助業者建置各種自律機制。</w:t>
            </w:r>
          </w:p>
          <w:p w14:paraId="1A4E25A0" w14:textId="3273A0B7" w:rsidR="00A77297" w:rsidRPr="00C3310F" w:rsidRDefault="00A77297" w:rsidP="00B7077C">
            <w:pPr>
              <w:pStyle w:val="af8"/>
              <w:numPr>
                <w:ilvl w:val="0"/>
                <w:numId w:val="17"/>
              </w:numPr>
              <w:ind w:leftChars="0" w:left="276" w:hanging="276"/>
              <w:rPr>
                <w:rFonts w:hAnsi="標楷體"/>
                <w:sz w:val="28"/>
                <w:szCs w:val="28"/>
              </w:rPr>
            </w:pPr>
            <w:r w:rsidRPr="00C3310F">
              <w:rPr>
                <w:rFonts w:hAnsi="標楷體" w:hint="eastAsia"/>
                <w:sz w:val="28"/>
                <w:szCs w:val="28"/>
              </w:rPr>
              <w:t>發布報告，對大眾揭露各</w:t>
            </w:r>
            <w:r w:rsidR="0004575A" w:rsidRPr="00C3310F">
              <w:rPr>
                <w:rFonts w:hAnsi="標楷體" w:hint="eastAsia"/>
                <w:sz w:val="28"/>
                <w:szCs w:val="28"/>
              </w:rPr>
              <w:t>平臺</w:t>
            </w:r>
            <w:r w:rsidRPr="00C3310F">
              <w:rPr>
                <w:rFonts w:hAnsi="標楷體" w:hint="eastAsia"/>
                <w:sz w:val="28"/>
                <w:szCs w:val="28"/>
              </w:rPr>
              <w:t>風險。</w:t>
            </w:r>
          </w:p>
        </w:tc>
        <w:tc>
          <w:tcPr>
            <w:tcW w:w="3828" w:type="dxa"/>
          </w:tcPr>
          <w:p w14:paraId="4306365A" w14:textId="77777777" w:rsidR="00A77297" w:rsidRPr="00C3310F" w:rsidRDefault="00A77297" w:rsidP="00B7077C">
            <w:pPr>
              <w:rPr>
                <w:rFonts w:hAnsi="標楷體"/>
                <w:sz w:val="28"/>
                <w:szCs w:val="28"/>
              </w:rPr>
            </w:pPr>
            <w:r w:rsidRPr="00C3310F">
              <w:rPr>
                <w:rFonts w:hAnsi="標楷體" w:hint="eastAsia"/>
                <w:sz w:val="28"/>
                <w:szCs w:val="28"/>
              </w:rPr>
              <w:t>違法內容出現前</w:t>
            </w:r>
          </w:p>
          <w:p w14:paraId="6060029F" w14:textId="77777777" w:rsidR="00A77297" w:rsidRPr="00C3310F" w:rsidRDefault="00A77297" w:rsidP="00B7077C">
            <w:pPr>
              <w:pStyle w:val="af8"/>
              <w:numPr>
                <w:ilvl w:val="0"/>
                <w:numId w:val="12"/>
              </w:numPr>
              <w:ind w:leftChars="0" w:left="319" w:hanging="319"/>
              <w:rPr>
                <w:rFonts w:hAnsi="標楷體"/>
                <w:sz w:val="28"/>
                <w:szCs w:val="28"/>
              </w:rPr>
            </w:pPr>
            <w:r w:rsidRPr="00C3310F">
              <w:rPr>
                <w:rFonts w:hAnsi="標楷體" w:hint="eastAsia"/>
                <w:sz w:val="28"/>
                <w:szCs w:val="28"/>
              </w:rPr>
              <w:t>訂定各類業者的業務守則/方針。</w:t>
            </w:r>
          </w:p>
          <w:p w14:paraId="5E516520" w14:textId="77777777" w:rsidR="00A77297" w:rsidRPr="00C3310F" w:rsidRDefault="00A77297" w:rsidP="00B7077C">
            <w:pPr>
              <w:pStyle w:val="af8"/>
              <w:numPr>
                <w:ilvl w:val="0"/>
                <w:numId w:val="12"/>
              </w:numPr>
              <w:ind w:leftChars="0" w:left="319" w:hanging="319"/>
              <w:rPr>
                <w:rFonts w:hAnsi="標楷體"/>
                <w:sz w:val="28"/>
                <w:szCs w:val="28"/>
              </w:rPr>
            </w:pPr>
            <w:r w:rsidRPr="00C3310F">
              <w:rPr>
                <w:rFonts w:hAnsi="標楷體" w:hint="eastAsia"/>
                <w:sz w:val="28"/>
                <w:szCs w:val="28"/>
              </w:rPr>
              <w:t>審查業者的風險評估或透明度報告。</w:t>
            </w:r>
          </w:p>
          <w:p w14:paraId="73A174E2" w14:textId="77777777" w:rsidR="00A77297" w:rsidRPr="00C3310F" w:rsidRDefault="00A77297" w:rsidP="00B7077C">
            <w:pPr>
              <w:ind w:left="319" w:hanging="319"/>
              <w:rPr>
                <w:rFonts w:hAnsi="標楷體"/>
                <w:sz w:val="28"/>
                <w:szCs w:val="28"/>
              </w:rPr>
            </w:pPr>
            <w:r w:rsidRPr="00C3310F">
              <w:rPr>
                <w:rFonts w:hAnsi="標楷體" w:hint="eastAsia"/>
                <w:sz w:val="28"/>
                <w:szCs w:val="28"/>
              </w:rPr>
              <w:t>違法內容出現後(不直接干預內容審查)</w:t>
            </w:r>
          </w:p>
          <w:p w14:paraId="140DF066" w14:textId="18E953D1" w:rsidR="00A77297" w:rsidRPr="00C3310F" w:rsidRDefault="00A77297" w:rsidP="00B7077C">
            <w:pPr>
              <w:pStyle w:val="af8"/>
              <w:numPr>
                <w:ilvl w:val="0"/>
                <w:numId w:val="16"/>
              </w:numPr>
              <w:ind w:leftChars="0" w:left="319" w:hanging="319"/>
              <w:rPr>
                <w:rFonts w:hAnsi="標楷體"/>
                <w:sz w:val="28"/>
                <w:szCs w:val="28"/>
              </w:rPr>
            </w:pPr>
            <w:r w:rsidRPr="00C3310F">
              <w:rPr>
                <w:rFonts w:hAnsi="標楷體" w:hint="eastAsia"/>
                <w:sz w:val="28"/>
                <w:szCs w:val="28"/>
              </w:rPr>
              <w:t>監督</w:t>
            </w:r>
            <w:r w:rsidR="0004575A" w:rsidRPr="00C3310F">
              <w:rPr>
                <w:rFonts w:hAnsi="標楷體" w:hint="eastAsia"/>
                <w:sz w:val="28"/>
                <w:szCs w:val="28"/>
              </w:rPr>
              <w:t>平臺</w:t>
            </w:r>
            <w:r w:rsidRPr="00C3310F">
              <w:rPr>
                <w:rFonts w:hAnsi="標楷體" w:hint="eastAsia"/>
                <w:sz w:val="28"/>
                <w:szCs w:val="28"/>
              </w:rPr>
              <w:t>有無按照機制執行。</w:t>
            </w:r>
          </w:p>
          <w:p w14:paraId="75CC3AEA" w14:textId="4A412967" w:rsidR="00A77297" w:rsidRPr="00C3310F" w:rsidRDefault="00A77297" w:rsidP="00B7077C">
            <w:pPr>
              <w:pStyle w:val="af8"/>
              <w:numPr>
                <w:ilvl w:val="0"/>
                <w:numId w:val="16"/>
              </w:numPr>
              <w:ind w:leftChars="0" w:left="319" w:hanging="319"/>
              <w:rPr>
                <w:rFonts w:hAnsi="標楷體"/>
                <w:sz w:val="28"/>
                <w:szCs w:val="28"/>
              </w:rPr>
            </w:pPr>
            <w:r w:rsidRPr="00C3310F">
              <w:rPr>
                <w:rFonts w:hAnsi="標楷體" w:hint="eastAsia"/>
                <w:sz w:val="28"/>
                <w:szCs w:val="28"/>
              </w:rPr>
              <w:t>發現</w:t>
            </w:r>
            <w:r w:rsidR="0004575A" w:rsidRPr="00C3310F">
              <w:rPr>
                <w:rFonts w:hAnsi="標楷體" w:hint="eastAsia"/>
                <w:sz w:val="28"/>
                <w:szCs w:val="28"/>
              </w:rPr>
              <w:t>平臺</w:t>
            </w:r>
            <w:r w:rsidRPr="00C3310F">
              <w:rPr>
                <w:rFonts w:hAnsi="標楷體" w:hint="eastAsia"/>
                <w:sz w:val="28"/>
                <w:szCs w:val="28"/>
              </w:rPr>
              <w:t>審查技術問題並予以輔導</w:t>
            </w:r>
          </w:p>
        </w:tc>
      </w:tr>
      <w:tr w:rsidR="00C3310F" w:rsidRPr="00C3310F" w14:paraId="77672E74" w14:textId="77777777" w:rsidTr="00A77297">
        <w:tc>
          <w:tcPr>
            <w:tcW w:w="1702" w:type="dxa"/>
          </w:tcPr>
          <w:p w14:paraId="264B56D0" w14:textId="77777777" w:rsidR="00A77297" w:rsidRPr="00C3310F" w:rsidRDefault="00A77297" w:rsidP="00B7077C">
            <w:pPr>
              <w:rPr>
                <w:rFonts w:hAnsi="標楷體"/>
                <w:sz w:val="28"/>
                <w:szCs w:val="28"/>
              </w:rPr>
            </w:pPr>
            <w:r w:rsidRPr="00C3310F">
              <w:rPr>
                <w:rFonts w:hAnsi="標楷體" w:hint="eastAsia"/>
                <w:sz w:val="28"/>
                <w:szCs w:val="28"/>
              </w:rPr>
              <w:t>政府可採取之通知及手段</w:t>
            </w:r>
          </w:p>
        </w:tc>
        <w:tc>
          <w:tcPr>
            <w:tcW w:w="4677" w:type="dxa"/>
          </w:tcPr>
          <w:p w14:paraId="334E40EE" w14:textId="77777777" w:rsidR="00A77297" w:rsidRPr="00C3310F" w:rsidRDefault="00A77297" w:rsidP="00B7077C">
            <w:pPr>
              <w:rPr>
                <w:rFonts w:hAnsi="標楷體"/>
                <w:sz w:val="28"/>
                <w:szCs w:val="28"/>
              </w:rPr>
            </w:pPr>
            <w:r w:rsidRPr="00C3310F">
              <w:rPr>
                <w:rFonts w:hAnsi="標楷體" w:hint="eastAsia"/>
                <w:sz w:val="28"/>
                <w:szCs w:val="28"/>
              </w:rPr>
              <w:t>平時</w:t>
            </w:r>
          </w:p>
          <w:p w14:paraId="5C1DBC5B" w14:textId="77777777" w:rsidR="00A77297" w:rsidRPr="00C3310F" w:rsidRDefault="00A77297" w:rsidP="00B7077C">
            <w:pPr>
              <w:pStyle w:val="af8"/>
              <w:numPr>
                <w:ilvl w:val="0"/>
                <w:numId w:val="18"/>
              </w:numPr>
              <w:ind w:leftChars="0" w:left="276" w:hanging="284"/>
              <w:rPr>
                <w:rFonts w:hAnsi="標楷體"/>
                <w:sz w:val="28"/>
                <w:szCs w:val="28"/>
              </w:rPr>
            </w:pPr>
            <w:r w:rsidRPr="00C3310F">
              <w:rPr>
                <w:rFonts w:hAnsi="標楷體" w:hint="eastAsia"/>
                <w:sz w:val="28"/>
                <w:szCs w:val="28"/>
              </w:rPr>
              <w:t>執委會對VLOPs有獨立監督權。</w:t>
            </w:r>
          </w:p>
          <w:p w14:paraId="7BCFDD5A" w14:textId="40DE4243" w:rsidR="00A77297" w:rsidRPr="00C3310F" w:rsidRDefault="00A77297" w:rsidP="00B7077C">
            <w:pPr>
              <w:pStyle w:val="af8"/>
              <w:numPr>
                <w:ilvl w:val="0"/>
                <w:numId w:val="18"/>
              </w:numPr>
              <w:ind w:leftChars="0" w:left="276" w:hanging="284"/>
              <w:rPr>
                <w:rFonts w:hAnsi="標楷體"/>
                <w:sz w:val="28"/>
                <w:szCs w:val="28"/>
              </w:rPr>
            </w:pPr>
            <w:r w:rsidRPr="00C3310F">
              <w:rPr>
                <w:rFonts w:hAnsi="標楷體" w:hint="eastAsia"/>
                <w:sz w:val="28"/>
                <w:szCs w:val="28"/>
              </w:rPr>
              <w:t>針對「公安」、「公衛」重大威脅，要求</w:t>
            </w:r>
            <w:r w:rsidR="0004575A" w:rsidRPr="00C3310F">
              <w:rPr>
                <w:rFonts w:hAnsi="標楷體" w:hint="eastAsia"/>
                <w:sz w:val="28"/>
                <w:szCs w:val="28"/>
              </w:rPr>
              <w:t>平臺</w:t>
            </w:r>
            <w:r w:rsidRPr="00C3310F">
              <w:rPr>
                <w:rFonts w:hAnsi="標楷體" w:hint="eastAsia"/>
                <w:sz w:val="28"/>
                <w:szCs w:val="28"/>
              </w:rPr>
              <w:t>採取緊急措施。</w:t>
            </w:r>
          </w:p>
          <w:p w14:paraId="706BADEB" w14:textId="77777777" w:rsidR="00A77297" w:rsidRPr="00C3310F" w:rsidRDefault="00A77297" w:rsidP="00B7077C">
            <w:pPr>
              <w:ind w:left="276" w:hanging="284"/>
              <w:rPr>
                <w:rFonts w:hAnsi="標楷體"/>
                <w:sz w:val="28"/>
                <w:szCs w:val="28"/>
              </w:rPr>
            </w:pPr>
            <w:r w:rsidRPr="00C3310F">
              <w:rPr>
                <w:rFonts w:hAnsi="標楷體" w:hint="eastAsia"/>
                <w:sz w:val="28"/>
                <w:szCs w:val="28"/>
              </w:rPr>
              <w:t>業者未盡職責時</w:t>
            </w:r>
          </w:p>
          <w:p w14:paraId="6DFC03AF" w14:textId="29A0E91F" w:rsidR="00A77297" w:rsidRPr="00C3310F" w:rsidRDefault="00A77297" w:rsidP="00B7077C">
            <w:pPr>
              <w:pStyle w:val="af8"/>
              <w:numPr>
                <w:ilvl w:val="0"/>
                <w:numId w:val="18"/>
              </w:numPr>
              <w:ind w:leftChars="0" w:left="276" w:hanging="284"/>
              <w:rPr>
                <w:rFonts w:hAnsi="標楷體"/>
                <w:sz w:val="28"/>
                <w:szCs w:val="28"/>
              </w:rPr>
            </w:pPr>
            <w:r w:rsidRPr="00C3310F">
              <w:rPr>
                <w:rFonts w:hAnsi="標楷體" w:hint="eastAsia"/>
                <w:sz w:val="28"/>
                <w:szCs w:val="28"/>
              </w:rPr>
              <w:t>受影響國家可向</w:t>
            </w:r>
            <w:r w:rsidR="0004575A" w:rsidRPr="00C3310F">
              <w:rPr>
                <w:rFonts w:hAnsi="標楷體" w:hint="eastAsia"/>
                <w:sz w:val="28"/>
                <w:szCs w:val="28"/>
              </w:rPr>
              <w:t>平臺</w:t>
            </w:r>
            <w:r w:rsidRPr="00C3310F">
              <w:rPr>
                <w:rFonts w:hAnsi="標楷體" w:hint="eastAsia"/>
                <w:sz w:val="28"/>
                <w:szCs w:val="28"/>
              </w:rPr>
              <w:t>所在國家之協調員(機構)要求展開調查。</w:t>
            </w:r>
          </w:p>
          <w:p w14:paraId="78263F64" w14:textId="77777777" w:rsidR="00A77297" w:rsidRPr="00C3310F" w:rsidRDefault="00A77297" w:rsidP="00B7077C">
            <w:pPr>
              <w:pStyle w:val="af8"/>
              <w:numPr>
                <w:ilvl w:val="0"/>
                <w:numId w:val="18"/>
              </w:numPr>
              <w:ind w:leftChars="0" w:left="276" w:hanging="276"/>
              <w:rPr>
                <w:rFonts w:hAnsi="標楷體"/>
                <w:sz w:val="28"/>
                <w:szCs w:val="28"/>
              </w:rPr>
            </w:pPr>
            <w:r w:rsidRPr="00C3310F">
              <w:rPr>
                <w:rFonts w:hAnsi="標楷體" w:hint="eastAsia"/>
                <w:sz w:val="28"/>
                <w:szCs w:val="28"/>
              </w:rPr>
              <w:t>執委會展開調查，要求業者回應，發動訴訟，按D</w:t>
            </w:r>
            <w:r w:rsidRPr="00C3310F">
              <w:rPr>
                <w:rFonts w:hAnsi="標楷體"/>
                <w:sz w:val="28"/>
                <w:szCs w:val="28"/>
              </w:rPr>
              <w:t>SA</w:t>
            </w:r>
            <w:r w:rsidRPr="00C3310F">
              <w:rPr>
                <w:rFonts w:hAnsi="標楷體" w:hint="eastAsia"/>
                <w:sz w:val="28"/>
                <w:szCs w:val="28"/>
              </w:rPr>
              <w:t>予以裁罰。</w:t>
            </w:r>
          </w:p>
          <w:p w14:paraId="6E5AD20A" w14:textId="77777777" w:rsidR="00A77297" w:rsidRPr="00C3310F" w:rsidRDefault="00A77297" w:rsidP="00B7077C">
            <w:pPr>
              <w:pStyle w:val="af8"/>
              <w:numPr>
                <w:ilvl w:val="0"/>
                <w:numId w:val="18"/>
              </w:numPr>
              <w:ind w:leftChars="0" w:left="276" w:hanging="284"/>
              <w:rPr>
                <w:rFonts w:hAnsi="標楷體"/>
                <w:sz w:val="28"/>
                <w:szCs w:val="28"/>
              </w:rPr>
            </w:pPr>
            <w:r w:rsidRPr="00C3310F">
              <w:rPr>
                <w:rFonts w:hAnsi="標楷體" w:hint="eastAsia"/>
                <w:sz w:val="28"/>
                <w:szCs w:val="28"/>
              </w:rPr>
              <w:t>若認定業者遲不改進，各國協調員有權限制部分接取服務，如無法部分限制，則可能全部限制(原則時限為4週，可依法延長)</w:t>
            </w:r>
          </w:p>
        </w:tc>
        <w:tc>
          <w:tcPr>
            <w:tcW w:w="3828" w:type="dxa"/>
          </w:tcPr>
          <w:p w14:paraId="2D38CD6F" w14:textId="77777777" w:rsidR="00A77297" w:rsidRPr="00C3310F" w:rsidRDefault="00A77297" w:rsidP="00B7077C">
            <w:pPr>
              <w:rPr>
                <w:rFonts w:hAnsi="標楷體"/>
                <w:sz w:val="28"/>
                <w:szCs w:val="28"/>
              </w:rPr>
            </w:pPr>
            <w:r w:rsidRPr="00C3310F">
              <w:rPr>
                <w:rFonts w:hAnsi="標楷體" w:hint="eastAsia"/>
                <w:sz w:val="28"/>
                <w:szCs w:val="28"/>
              </w:rPr>
              <w:t>通知</w:t>
            </w:r>
          </w:p>
          <w:p w14:paraId="772DE247" w14:textId="77777777" w:rsidR="00A77297" w:rsidRPr="00C3310F" w:rsidRDefault="00A77297" w:rsidP="00B7077C">
            <w:pPr>
              <w:pStyle w:val="af8"/>
              <w:numPr>
                <w:ilvl w:val="0"/>
                <w:numId w:val="15"/>
              </w:numPr>
              <w:ind w:leftChars="0" w:left="319" w:hanging="319"/>
              <w:rPr>
                <w:rFonts w:hAnsi="標楷體"/>
                <w:sz w:val="28"/>
                <w:szCs w:val="28"/>
              </w:rPr>
            </w:pPr>
            <w:r w:rsidRPr="00C3310F">
              <w:rPr>
                <w:rFonts w:hAnsi="標楷體" w:hint="eastAsia"/>
                <w:sz w:val="28"/>
                <w:szCs w:val="28"/>
              </w:rPr>
              <w:t>技術警告通知(針對恐怖主義及C</w:t>
            </w:r>
            <w:r w:rsidRPr="00C3310F">
              <w:rPr>
                <w:rFonts w:hAnsi="標楷體"/>
                <w:sz w:val="28"/>
                <w:szCs w:val="28"/>
              </w:rPr>
              <w:t>SEA</w:t>
            </w:r>
            <w:r w:rsidRPr="00C3310F">
              <w:rPr>
                <w:rFonts w:hAnsi="標楷體" w:hint="eastAsia"/>
                <w:sz w:val="28"/>
                <w:szCs w:val="28"/>
              </w:rPr>
              <w:t>)</w:t>
            </w:r>
          </w:p>
          <w:p w14:paraId="364EBE85" w14:textId="77777777" w:rsidR="00A77297" w:rsidRPr="00C3310F" w:rsidRDefault="00A77297" w:rsidP="00B7077C">
            <w:pPr>
              <w:pStyle w:val="af8"/>
              <w:numPr>
                <w:ilvl w:val="0"/>
                <w:numId w:val="15"/>
              </w:numPr>
              <w:ind w:leftChars="0" w:left="319" w:hanging="319"/>
              <w:rPr>
                <w:rFonts w:hAnsi="標楷體"/>
                <w:sz w:val="28"/>
                <w:szCs w:val="28"/>
              </w:rPr>
            </w:pPr>
            <w:r w:rsidRPr="00C3310F">
              <w:rPr>
                <w:rFonts w:hAnsi="標楷體" w:hint="eastAsia"/>
                <w:sz w:val="28"/>
                <w:szCs w:val="28"/>
              </w:rPr>
              <w:t>技術通知</w:t>
            </w:r>
          </w:p>
          <w:p w14:paraId="05EFD08F" w14:textId="77777777" w:rsidR="00A77297" w:rsidRPr="00C3310F" w:rsidRDefault="00A77297" w:rsidP="00B7077C">
            <w:pPr>
              <w:pStyle w:val="af8"/>
              <w:numPr>
                <w:ilvl w:val="0"/>
                <w:numId w:val="15"/>
              </w:numPr>
              <w:ind w:leftChars="0" w:left="319" w:hanging="319"/>
              <w:rPr>
                <w:rFonts w:hAnsi="標楷體"/>
                <w:sz w:val="28"/>
                <w:szCs w:val="28"/>
              </w:rPr>
            </w:pPr>
            <w:r w:rsidRPr="00C3310F">
              <w:rPr>
                <w:rFonts w:hAnsi="標楷體" w:hint="eastAsia"/>
                <w:sz w:val="28"/>
                <w:szCs w:val="28"/>
              </w:rPr>
              <w:t>臨時執法通知</w:t>
            </w:r>
          </w:p>
          <w:p w14:paraId="5C20A210" w14:textId="77777777" w:rsidR="00A77297" w:rsidRPr="00C3310F" w:rsidRDefault="00A77297" w:rsidP="00B7077C">
            <w:pPr>
              <w:pStyle w:val="af8"/>
              <w:numPr>
                <w:ilvl w:val="0"/>
                <w:numId w:val="15"/>
              </w:numPr>
              <w:ind w:leftChars="0" w:left="319" w:hanging="319"/>
              <w:rPr>
                <w:rFonts w:hAnsi="標楷體"/>
                <w:sz w:val="28"/>
                <w:szCs w:val="28"/>
              </w:rPr>
            </w:pPr>
            <w:r w:rsidRPr="00C3310F">
              <w:rPr>
                <w:rFonts w:hAnsi="標楷體" w:hint="eastAsia"/>
                <w:sz w:val="28"/>
                <w:szCs w:val="28"/>
              </w:rPr>
              <w:t>裁定結果</w:t>
            </w:r>
          </w:p>
          <w:p w14:paraId="6AF62EC7" w14:textId="77777777" w:rsidR="00A77297" w:rsidRPr="00C3310F" w:rsidRDefault="00A77297" w:rsidP="00B7077C">
            <w:pPr>
              <w:pStyle w:val="af8"/>
              <w:numPr>
                <w:ilvl w:val="0"/>
                <w:numId w:val="15"/>
              </w:numPr>
              <w:ind w:leftChars="0" w:left="319" w:hanging="319"/>
              <w:rPr>
                <w:rFonts w:hAnsi="標楷體"/>
                <w:sz w:val="28"/>
                <w:szCs w:val="28"/>
              </w:rPr>
            </w:pPr>
            <w:r w:rsidRPr="00C3310F">
              <w:rPr>
                <w:rFonts w:hAnsi="標楷體" w:hint="eastAsia"/>
                <w:sz w:val="28"/>
                <w:szCs w:val="28"/>
              </w:rPr>
              <w:t>裁罰通知</w:t>
            </w:r>
          </w:p>
          <w:p w14:paraId="016D88E0" w14:textId="77777777" w:rsidR="00A77297" w:rsidRPr="00C3310F" w:rsidRDefault="00A77297" w:rsidP="00B7077C">
            <w:pPr>
              <w:rPr>
                <w:rFonts w:hAnsi="標楷體"/>
                <w:sz w:val="28"/>
                <w:szCs w:val="28"/>
              </w:rPr>
            </w:pPr>
            <w:r w:rsidRPr="00C3310F">
              <w:rPr>
                <w:rFonts w:hAnsi="標楷體" w:hint="eastAsia"/>
                <w:sz w:val="28"/>
                <w:szCs w:val="28"/>
              </w:rPr>
              <w:t>向法院聲請</w:t>
            </w:r>
          </w:p>
          <w:p w14:paraId="6228A129" w14:textId="77777777" w:rsidR="00A77297" w:rsidRPr="00C3310F" w:rsidRDefault="00A77297" w:rsidP="00B7077C">
            <w:pPr>
              <w:pStyle w:val="af8"/>
              <w:numPr>
                <w:ilvl w:val="0"/>
                <w:numId w:val="12"/>
              </w:numPr>
              <w:ind w:leftChars="0" w:left="177" w:hanging="283"/>
              <w:rPr>
                <w:rFonts w:hAnsi="標楷體"/>
                <w:sz w:val="28"/>
                <w:szCs w:val="28"/>
              </w:rPr>
            </w:pPr>
            <w:r w:rsidRPr="00C3310F">
              <w:rPr>
                <w:rFonts w:hAnsi="標楷體" w:hint="eastAsia"/>
                <w:sz w:val="28"/>
                <w:szCs w:val="28"/>
              </w:rPr>
              <w:t>服務限制令</w:t>
            </w:r>
          </w:p>
          <w:p w14:paraId="4BBB8D0B" w14:textId="77777777" w:rsidR="00A77297" w:rsidRPr="00C3310F" w:rsidRDefault="00A77297" w:rsidP="00B7077C">
            <w:pPr>
              <w:pStyle w:val="af8"/>
              <w:numPr>
                <w:ilvl w:val="0"/>
                <w:numId w:val="12"/>
              </w:numPr>
              <w:ind w:leftChars="0" w:left="177" w:hanging="283"/>
              <w:rPr>
                <w:rFonts w:hAnsi="標楷體"/>
                <w:sz w:val="28"/>
                <w:szCs w:val="28"/>
              </w:rPr>
            </w:pPr>
            <w:r w:rsidRPr="00C3310F">
              <w:rPr>
                <w:rFonts w:hAnsi="標楷體" w:hint="eastAsia"/>
                <w:sz w:val="28"/>
                <w:szCs w:val="28"/>
              </w:rPr>
              <w:t>暫時服務限制令</w:t>
            </w:r>
          </w:p>
          <w:p w14:paraId="751EBA8E" w14:textId="77777777" w:rsidR="00A77297" w:rsidRPr="00C3310F" w:rsidRDefault="00A77297" w:rsidP="00B7077C">
            <w:pPr>
              <w:pStyle w:val="af8"/>
              <w:numPr>
                <w:ilvl w:val="0"/>
                <w:numId w:val="12"/>
              </w:numPr>
              <w:ind w:leftChars="0" w:left="177" w:hanging="283"/>
              <w:rPr>
                <w:rFonts w:hAnsi="標楷體"/>
                <w:sz w:val="28"/>
                <w:szCs w:val="28"/>
              </w:rPr>
            </w:pPr>
            <w:r w:rsidRPr="00C3310F">
              <w:rPr>
                <w:rFonts w:hAnsi="標楷體" w:hint="eastAsia"/>
                <w:sz w:val="28"/>
                <w:szCs w:val="28"/>
              </w:rPr>
              <w:t>接取限制令</w:t>
            </w:r>
          </w:p>
          <w:p w14:paraId="36E7D871" w14:textId="77777777" w:rsidR="00A77297" w:rsidRPr="00C3310F" w:rsidRDefault="00A77297" w:rsidP="00B7077C">
            <w:pPr>
              <w:pStyle w:val="af8"/>
              <w:numPr>
                <w:ilvl w:val="0"/>
                <w:numId w:val="12"/>
              </w:numPr>
              <w:ind w:leftChars="0" w:left="177" w:hanging="283"/>
              <w:rPr>
                <w:rFonts w:hAnsi="標楷體"/>
                <w:sz w:val="28"/>
                <w:szCs w:val="28"/>
              </w:rPr>
            </w:pPr>
            <w:r w:rsidRPr="00C3310F">
              <w:rPr>
                <w:rFonts w:hAnsi="標楷體" w:hint="eastAsia"/>
                <w:sz w:val="28"/>
                <w:szCs w:val="28"/>
              </w:rPr>
              <w:t>暫時接取限制令</w:t>
            </w:r>
          </w:p>
        </w:tc>
      </w:tr>
      <w:tr w:rsidR="00C3310F" w:rsidRPr="00C3310F" w14:paraId="36AD1011" w14:textId="77777777" w:rsidTr="00A77297">
        <w:tc>
          <w:tcPr>
            <w:tcW w:w="1702" w:type="dxa"/>
          </w:tcPr>
          <w:p w14:paraId="4C6E1C50" w14:textId="77777777" w:rsidR="00A77297" w:rsidRPr="00C3310F" w:rsidRDefault="00A77297" w:rsidP="00B7077C">
            <w:pPr>
              <w:rPr>
                <w:rFonts w:hAnsi="標楷體"/>
                <w:sz w:val="28"/>
                <w:szCs w:val="28"/>
              </w:rPr>
            </w:pPr>
            <w:r w:rsidRPr="00C3310F">
              <w:rPr>
                <w:rFonts w:hAnsi="標楷體" w:hint="eastAsia"/>
                <w:sz w:val="28"/>
                <w:szCs w:val="28"/>
              </w:rPr>
              <w:t>最高罰款(</w:t>
            </w:r>
            <w:r w:rsidRPr="00C3310F">
              <w:rPr>
                <w:rFonts w:hAnsi="標楷體"/>
                <w:sz w:val="28"/>
                <w:szCs w:val="28"/>
              </w:rPr>
              <w:t>NTD</w:t>
            </w:r>
            <w:r w:rsidRPr="00C3310F">
              <w:rPr>
                <w:rFonts w:hAnsi="標楷體" w:hint="eastAsia"/>
                <w:sz w:val="28"/>
                <w:szCs w:val="28"/>
              </w:rPr>
              <w:t>)</w:t>
            </w:r>
          </w:p>
        </w:tc>
        <w:tc>
          <w:tcPr>
            <w:tcW w:w="4677" w:type="dxa"/>
          </w:tcPr>
          <w:p w14:paraId="374112CA" w14:textId="77777777" w:rsidR="00A77297" w:rsidRPr="00C3310F" w:rsidRDefault="00A77297" w:rsidP="00B7077C">
            <w:pPr>
              <w:rPr>
                <w:rFonts w:hAnsi="標楷體"/>
                <w:sz w:val="28"/>
                <w:szCs w:val="28"/>
              </w:rPr>
            </w:pPr>
            <w:r w:rsidRPr="00C3310F">
              <w:rPr>
                <w:rFonts w:hAnsi="標楷體" w:hint="eastAsia"/>
                <w:sz w:val="28"/>
                <w:szCs w:val="28"/>
              </w:rPr>
              <w:t>全球營收6%</w:t>
            </w:r>
          </w:p>
        </w:tc>
        <w:tc>
          <w:tcPr>
            <w:tcW w:w="3828" w:type="dxa"/>
          </w:tcPr>
          <w:p w14:paraId="567A8E2C" w14:textId="77777777" w:rsidR="00A77297" w:rsidRPr="00C3310F" w:rsidRDefault="00A77297" w:rsidP="00B7077C">
            <w:pPr>
              <w:rPr>
                <w:rFonts w:hAnsi="標楷體"/>
                <w:sz w:val="28"/>
                <w:szCs w:val="28"/>
              </w:rPr>
            </w:pPr>
            <w:r w:rsidRPr="00C3310F">
              <w:rPr>
                <w:rFonts w:hAnsi="標楷體"/>
                <w:sz w:val="28"/>
                <w:szCs w:val="28"/>
              </w:rPr>
              <w:t>7</w:t>
            </w:r>
            <w:r w:rsidRPr="00C3310F">
              <w:rPr>
                <w:rFonts w:hAnsi="標楷體" w:hint="eastAsia"/>
                <w:sz w:val="28"/>
                <w:szCs w:val="28"/>
              </w:rPr>
              <w:t>億或全球營收10%，另有刑責。</w:t>
            </w:r>
          </w:p>
        </w:tc>
      </w:tr>
      <w:tr w:rsidR="00C3310F" w:rsidRPr="00C3310F" w14:paraId="309DCCD8" w14:textId="77777777" w:rsidTr="00A77297">
        <w:tc>
          <w:tcPr>
            <w:tcW w:w="10207" w:type="dxa"/>
            <w:gridSpan w:val="3"/>
          </w:tcPr>
          <w:p w14:paraId="284E2D1A" w14:textId="77777777" w:rsidR="00A77297" w:rsidRPr="00C3310F" w:rsidRDefault="00A77297" w:rsidP="00B7077C">
            <w:pPr>
              <w:spacing w:line="280" w:lineRule="exact"/>
              <w:jc w:val="left"/>
              <w:rPr>
                <w:sz w:val="28"/>
                <w:szCs w:val="28"/>
              </w:rPr>
            </w:pPr>
            <w:r w:rsidRPr="00C3310F">
              <w:rPr>
                <w:rFonts w:hint="eastAsia"/>
                <w:sz w:val="28"/>
                <w:szCs w:val="28"/>
              </w:rPr>
              <w:t>註：本表綜整自以下文獻</w:t>
            </w:r>
          </w:p>
          <w:p w14:paraId="5A24F883" w14:textId="77777777" w:rsidR="00A77297" w:rsidRPr="00C3310F" w:rsidRDefault="00A77297" w:rsidP="00B7077C">
            <w:pPr>
              <w:pStyle w:val="af8"/>
              <w:numPr>
                <w:ilvl w:val="0"/>
                <w:numId w:val="19"/>
              </w:numPr>
              <w:spacing w:line="280" w:lineRule="exact"/>
              <w:ind w:leftChars="0" w:left="911" w:hanging="911"/>
              <w:jc w:val="left"/>
              <w:rPr>
                <w:sz w:val="28"/>
                <w:szCs w:val="28"/>
              </w:rPr>
            </w:pPr>
            <w:r w:rsidRPr="00C3310F">
              <w:rPr>
                <w:rFonts w:hint="eastAsia"/>
                <w:sz w:val="28"/>
                <w:szCs w:val="28"/>
              </w:rPr>
              <w:t>台灣媒體觀察教育基金會(2023)：「歐洲『網路戒嚴』來臨？數位服務法發威，歐洲會更民主嗎？」</w:t>
            </w:r>
            <w:r w:rsidRPr="00C3310F">
              <w:rPr>
                <w:sz w:val="28"/>
                <w:szCs w:val="28"/>
              </w:rPr>
              <w:t>https://vocus.cc/article/6502d286fd89780001f4f530</w:t>
            </w:r>
            <w:r w:rsidRPr="00C3310F">
              <w:rPr>
                <w:rFonts w:hint="eastAsia"/>
                <w:sz w:val="28"/>
                <w:szCs w:val="28"/>
              </w:rPr>
              <w:t>）</w:t>
            </w:r>
          </w:p>
          <w:p w14:paraId="575EB106" w14:textId="77777777" w:rsidR="00A77297" w:rsidRPr="00C3310F" w:rsidRDefault="00A77297" w:rsidP="00B7077C">
            <w:pPr>
              <w:pStyle w:val="af8"/>
              <w:numPr>
                <w:ilvl w:val="0"/>
                <w:numId w:val="19"/>
              </w:numPr>
              <w:spacing w:line="280" w:lineRule="exact"/>
              <w:ind w:leftChars="0" w:left="911" w:hanging="911"/>
              <w:jc w:val="left"/>
              <w:rPr>
                <w:sz w:val="28"/>
                <w:szCs w:val="28"/>
              </w:rPr>
            </w:pPr>
            <w:r w:rsidRPr="00C3310F">
              <w:rPr>
                <w:rFonts w:hint="eastAsia"/>
                <w:sz w:val="28"/>
                <w:szCs w:val="28"/>
              </w:rPr>
              <w:t>英國成文法資料庫。(2023)</w:t>
            </w:r>
            <w:hyperlink r:id="rId25" w:history="1">
              <w:r w:rsidRPr="00C3310F">
                <w:rPr>
                  <w:rStyle w:val="ae"/>
                  <w:color w:val="auto"/>
                  <w:sz w:val="28"/>
                  <w:szCs w:val="28"/>
                </w:rPr>
                <w:t>https://www.legislation.gov.uk/ukpga/2023/50/enacted</w:t>
              </w:r>
            </w:hyperlink>
          </w:p>
          <w:p w14:paraId="66BA218C" w14:textId="1D1C0981" w:rsidR="00A77297" w:rsidRPr="00C3310F" w:rsidRDefault="00A77297" w:rsidP="00B7077C">
            <w:pPr>
              <w:pStyle w:val="af8"/>
              <w:numPr>
                <w:ilvl w:val="0"/>
                <w:numId w:val="19"/>
              </w:numPr>
              <w:spacing w:line="280" w:lineRule="exact"/>
              <w:ind w:leftChars="0" w:left="911" w:hanging="911"/>
              <w:jc w:val="left"/>
              <w:rPr>
                <w:sz w:val="28"/>
                <w:szCs w:val="28"/>
              </w:rPr>
            </w:pPr>
            <w:r w:rsidRPr="00C3310F">
              <w:rPr>
                <w:rFonts w:hint="eastAsia"/>
                <w:sz w:val="28"/>
                <w:szCs w:val="28"/>
              </w:rPr>
              <w:t>陳寧(2023)，線上</w:t>
            </w:r>
            <w:r w:rsidR="0004575A" w:rsidRPr="00C3310F">
              <w:rPr>
                <w:rFonts w:hint="eastAsia"/>
                <w:sz w:val="28"/>
                <w:szCs w:val="28"/>
              </w:rPr>
              <w:t>平臺</w:t>
            </w:r>
            <w:r w:rsidRPr="00C3310F">
              <w:rPr>
                <w:rFonts w:hint="eastAsia"/>
                <w:sz w:val="28"/>
                <w:szCs w:val="28"/>
              </w:rPr>
              <w:t>與內容之治理—以歐盟《數位服務法》與英國《線上安全法》草案為例。</w:t>
            </w:r>
            <w:r w:rsidR="005E17A1" w:rsidRPr="00C3310F">
              <w:rPr>
                <w:rFonts w:hint="eastAsia"/>
                <w:sz w:val="28"/>
                <w:szCs w:val="28"/>
              </w:rPr>
              <w:t>臺</w:t>
            </w:r>
            <w:r w:rsidRPr="00C3310F">
              <w:rPr>
                <w:rFonts w:hint="eastAsia"/>
                <w:sz w:val="28"/>
                <w:szCs w:val="28"/>
              </w:rPr>
              <w:t>灣大學新聞所碩士論文。</w:t>
            </w:r>
          </w:p>
          <w:p w14:paraId="0DA5E70E" w14:textId="77777777" w:rsidR="00A77297" w:rsidRPr="00C3310F" w:rsidRDefault="00A77297" w:rsidP="00B7077C">
            <w:pPr>
              <w:pStyle w:val="af8"/>
              <w:numPr>
                <w:ilvl w:val="0"/>
                <w:numId w:val="19"/>
              </w:numPr>
              <w:spacing w:line="280" w:lineRule="exact"/>
              <w:ind w:leftChars="0" w:left="911" w:hanging="911"/>
              <w:jc w:val="left"/>
              <w:rPr>
                <w:sz w:val="28"/>
                <w:szCs w:val="28"/>
              </w:rPr>
            </w:pPr>
            <w:r w:rsidRPr="00C3310F">
              <w:rPr>
                <w:rFonts w:hint="eastAsia"/>
                <w:sz w:val="28"/>
                <w:szCs w:val="28"/>
              </w:rPr>
              <w:t>歐盟官方網站。</w:t>
            </w:r>
            <w:hyperlink r:id="rId26" w:history="1">
              <w:r w:rsidRPr="00C3310F">
                <w:rPr>
                  <w:rStyle w:val="ae"/>
                  <w:color w:val="auto"/>
                  <w:sz w:val="28"/>
                  <w:szCs w:val="28"/>
                </w:rPr>
                <w:t>https://digital-strategy.ec.europa.eu/en/policies/digital-services-act-package</w:t>
              </w:r>
            </w:hyperlink>
            <w:r w:rsidRPr="00C3310F">
              <w:rPr>
                <w:rFonts w:hint="eastAsia"/>
                <w:sz w:val="28"/>
                <w:szCs w:val="28"/>
              </w:rPr>
              <w:t>。</w:t>
            </w:r>
          </w:p>
        </w:tc>
      </w:tr>
    </w:tbl>
    <w:p w14:paraId="30C83C42" w14:textId="57A55907" w:rsidR="00B1648E" w:rsidRPr="00C3310F" w:rsidRDefault="00374182" w:rsidP="00A77297">
      <w:pPr>
        <w:pStyle w:val="3"/>
        <w:spacing w:beforeLines="50" w:before="228"/>
        <w:ind w:left="1360" w:hanging="680"/>
      </w:pPr>
      <w:bookmarkStart w:id="677" w:name="_Toc171525540"/>
      <w:bookmarkStart w:id="678" w:name="_Toc172024022"/>
      <w:bookmarkStart w:id="679" w:name="_Toc172033341"/>
      <w:r w:rsidRPr="00C3310F">
        <w:rPr>
          <w:rFonts w:hint="eastAsia"/>
        </w:rPr>
        <w:lastRenderedPageBreak/>
        <w:t>調查研究共計辦理三場次</w:t>
      </w:r>
      <w:r w:rsidR="00A77297" w:rsidRPr="00C3310F">
        <w:rPr>
          <w:rFonts w:hint="eastAsia"/>
        </w:rPr>
        <w:t>專家諮詢</w:t>
      </w:r>
      <w:r w:rsidRPr="00C3310F">
        <w:rPr>
          <w:rFonts w:hint="eastAsia"/>
        </w:rPr>
        <w:t>會議，分別邀請識詐(事實查核與傳媒)、堵詐(</w:t>
      </w:r>
      <w:r w:rsidR="002D68BA" w:rsidRPr="00C3310F">
        <w:rPr>
          <w:rFonts w:hint="eastAsia"/>
        </w:rPr>
        <w:t>資訊流及</w:t>
      </w:r>
      <w:r w:rsidRPr="00C3310F">
        <w:rPr>
          <w:rFonts w:hint="eastAsia"/>
        </w:rPr>
        <w:t>數位</w:t>
      </w:r>
      <w:r w:rsidR="0004575A" w:rsidRPr="00C3310F">
        <w:rPr>
          <w:rFonts w:hint="eastAsia"/>
        </w:rPr>
        <w:t>平臺</w:t>
      </w:r>
      <w:r w:rsidRPr="00C3310F">
        <w:rPr>
          <w:rFonts w:hint="eastAsia"/>
        </w:rPr>
        <w:t>治理)、阻詐(金流)</w:t>
      </w:r>
      <w:r w:rsidR="00397BB7" w:rsidRPr="00C3310F">
        <w:rPr>
          <w:rFonts w:hint="eastAsia"/>
        </w:rPr>
        <w:t>及懲詐(詐欺集團研究、檢方及犯罪學學者)計10位專家學者針對客觀意見，</w:t>
      </w:r>
      <w:r w:rsidR="00A77297" w:rsidRPr="00C3310F">
        <w:rPr>
          <w:rFonts w:hint="eastAsia"/>
        </w:rPr>
        <w:t>摘述</w:t>
      </w:r>
      <w:r w:rsidR="00397BB7" w:rsidRPr="00C3310F">
        <w:rPr>
          <w:rFonts w:hint="eastAsia"/>
        </w:rPr>
        <w:t>如下</w:t>
      </w:r>
      <w:r w:rsidR="00A77297" w:rsidRPr="00C3310F">
        <w:rPr>
          <w:rFonts w:hint="eastAsia"/>
        </w:rPr>
        <w:t>，</w:t>
      </w:r>
      <w:r w:rsidR="00397BB7" w:rsidRPr="00C3310F">
        <w:rPr>
          <w:rFonts w:hint="eastAsia"/>
        </w:rPr>
        <w:t>完整記錄</w:t>
      </w:r>
      <w:r w:rsidR="00A77297" w:rsidRPr="00C3310F">
        <w:rPr>
          <w:rFonts w:hint="eastAsia"/>
        </w:rPr>
        <w:t>詳附錄A</w:t>
      </w:r>
      <w:bookmarkEnd w:id="677"/>
      <w:r w:rsidR="00397BB7" w:rsidRPr="00C3310F">
        <w:rPr>
          <w:rFonts w:hint="eastAsia"/>
        </w:rPr>
        <w:t>。</w:t>
      </w:r>
      <w:bookmarkEnd w:id="678"/>
      <w:bookmarkEnd w:id="679"/>
    </w:p>
    <w:p w14:paraId="0CBC75E3" w14:textId="77777777" w:rsidR="00397BB7" w:rsidRPr="00C3310F" w:rsidRDefault="00397BB7" w:rsidP="00994338">
      <w:pPr>
        <w:pStyle w:val="4"/>
      </w:pPr>
      <w:r w:rsidRPr="00C3310F">
        <w:rPr>
          <w:rFonts w:hint="eastAsia"/>
        </w:rPr>
        <w:t>識詐面(事實查核與傳媒)：</w:t>
      </w:r>
    </w:p>
    <w:p w14:paraId="35034B00" w14:textId="7D554019" w:rsidR="00397BB7" w:rsidRPr="00C3310F" w:rsidRDefault="00397BB7" w:rsidP="00397BB7">
      <w:pPr>
        <w:pStyle w:val="5"/>
      </w:pPr>
      <w:r w:rsidRPr="00C3310F">
        <w:rPr>
          <w:rFonts w:hint="eastAsia"/>
        </w:rPr>
        <w:t>國立中正大學傳播學系羅世宏教授:</w:t>
      </w:r>
    </w:p>
    <w:p w14:paraId="5A61080E" w14:textId="4D980F14" w:rsidR="00397BB7" w:rsidRPr="00C3310F" w:rsidRDefault="00397BB7" w:rsidP="00397BB7">
      <w:pPr>
        <w:pStyle w:val="6"/>
      </w:pPr>
      <w:bookmarkStart w:id="680" w:name="_Toc172024023"/>
      <w:bookmarkStart w:id="681" w:name="_Toc172033342"/>
      <w:r w:rsidRPr="00C3310F">
        <w:rPr>
          <w:rFonts w:hint="eastAsia"/>
        </w:rPr>
        <w:t>我覺得臺灣也許從傳播的角應該是要去蒐集案例普為傳播，就像我們反擊假訊息，不可能去查每一則，而且通常是事後，所以最好預先告訴民眾這次選舉可能會有哪些類型的假新聞，我們會預擬劇本，讓這些東西讓更多人知道。</w:t>
      </w:r>
      <w:bookmarkEnd w:id="680"/>
      <w:bookmarkEnd w:id="681"/>
    </w:p>
    <w:p w14:paraId="577EDEBF" w14:textId="77777777" w:rsidR="00397BB7" w:rsidRPr="00C3310F" w:rsidRDefault="00397BB7" w:rsidP="00397BB7">
      <w:pPr>
        <w:pStyle w:val="6"/>
      </w:pPr>
      <w:bookmarkStart w:id="682" w:name="_Toc172024024"/>
      <w:bookmarkStart w:id="683" w:name="_Toc172033343"/>
      <w:r w:rsidRPr="00C3310F">
        <w:rPr>
          <w:rFonts w:hint="eastAsia"/>
        </w:rPr>
        <w:t>別人</w:t>
      </w:r>
      <w:r w:rsidR="00980B36" w:rsidRPr="00C3310F">
        <w:rPr>
          <w:rFonts w:hint="eastAsia"/>
        </w:rPr>
        <w:t>被</w:t>
      </w:r>
      <w:r w:rsidRPr="00C3310F">
        <w:rPr>
          <w:rFonts w:hint="eastAsia"/>
        </w:rPr>
        <w:t>騙之後，他願意公開出來，讓大家知道說這麼聰明的人也是會被騙。我最近看了韓國有一部電影非常好看，叫做金派特攻隊，這樣的一個故事，他把它戲劇化，收視效果很好，那看過之後會幫助民眾知道說會有這樣的事情發生。</w:t>
      </w:r>
      <w:bookmarkEnd w:id="682"/>
      <w:bookmarkEnd w:id="683"/>
    </w:p>
    <w:p w14:paraId="3934212D" w14:textId="77777777" w:rsidR="00397BB7" w:rsidRPr="00C3310F" w:rsidRDefault="00397BB7" w:rsidP="00397BB7">
      <w:pPr>
        <w:pStyle w:val="6"/>
      </w:pPr>
      <w:bookmarkStart w:id="684" w:name="_Toc172024025"/>
      <w:bookmarkStart w:id="685" w:name="_Toc172033344"/>
      <w:r w:rsidRPr="00C3310F">
        <w:rPr>
          <w:rFonts w:hint="eastAsia"/>
        </w:rPr>
        <w:t>尤其現在新聞疲勞，現在讓重要事情讓全國人知道是一件困難的事情，但我們要用一些有創意的方法，包括戲劇化，包括跟網紅合作，去打造宣傳。傳統的政令宣導的這種短片，其實點擊率應該很低吧!</w:t>
      </w:r>
      <w:bookmarkEnd w:id="684"/>
      <w:bookmarkEnd w:id="685"/>
    </w:p>
    <w:p w14:paraId="1FE98262" w14:textId="4A890820" w:rsidR="002D68BA" w:rsidRPr="00C3310F" w:rsidRDefault="002D68BA" w:rsidP="00397BB7">
      <w:pPr>
        <w:pStyle w:val="5"/>
      </w:pPr>
      <w:r w:rsidRPr="00C3310F">
        <w:rPr>
          <w:rFonts w:hint="eastAsia"/>
        </w:rPr>
        <w:t>台灣</w:t>
      </w:r>
      <w:r w:rsidR="0060503E" w:rsidRPr="00C3310F">
        <w:rPr>
          <w:rFonts w:hint="eastAsia"/>
        </w:rPr>
        <w:t>事實查核</w:t>
      </w:r>
      <w:r w:rsidRPr="00C3310F">
        <w:rPr>
          <w:rFonts w:hint="eastAsia"/>
        </w:rPr>
        <w:t>中心邱家宜執行長：</w:t>
      </w:r>
    </w:p>
    <w:p w14:paraId="5C3BA492" w14:textId="1AE9A1D8" w:rsidR="00397BB7" w:rsidRPr="00C3310F" w:rsidRDefault="002D68BA" w:rsidP="002D68BA">
      <w:pPr>
        <w:pStyle w:val="6"/>
      </w:pPr>
      <w:bookmarkStart w:id="686" w:name="_Toc172024026"/>
      <w:bookmarkStart w:id="687" w:name="_Toc172033345"/>
      <w:r w:rsidRPr="00C3310F">
        <w:rPr>
          <w:rFonts w:hint="eastAsia"/>
        </w:rPr>
        <w:t>教育部到底在媒體素養這個事情上做了多少事？他當然已經成立了媒體素養推動會，有產生什麼具體的結果？當然我們其實NGO其實有在做，Google也有給我們funding做media literacy，可是系統性</w:t>
      </w:r>
      <w:r w:rsidR="0060503E" w:rsidRPr="00C3310F">
        <w:rPr>
          <w:rFonts w:hint="eastAsia"/>
        </w:rPr>
        <w:t>的、</w:t>
      </w:r>
      <w:r w:rsidRPr="00C3310F">
        <w:rPr>
          <w:rFonts w:hint="eastAsia"/>
        </w:rPr>
        <w:t>結構性的，</w:t>
      </w:r>
      <w:r w:rsidRPr="00C3310F">
        <w:rPr>
          <w:rFonts w:hint="eastAsia"/>
        </w:rPr>
        <w:lastRenderedPageBreak/>
        <w:t>我覺得整個學校體系，教育部如果能夠多做一點，例如公私協力，那會更有幫助。</w:t>
      </w:r>
      <w:bookmarkEnd w:id="686"/>
      <w:bookmarkEnd w:id="687"/>
    </w:p>
    <w:p w14:paraId="77254D00" w14:textId="0FF2AE0B" w:rsidR="007360D5" w:rsidRPr="00C3310F" w:rsidRDefault="007360D5" w:rsidP="007360D5">
      <w:pPr>
        <w:pStyle w:val="5"/>
      </w:pPr>
      <w:r w:rsidRPr="00C3310F">
        <w:rPr>
          <w:rFonts w:hint="eastAsia"/>
        </w:rPr>
        <w:t>社團法人</w:t>
      </w:r>
      <w:r w:rsidR="0060503E" w:rsidRPr="00C3310F">
        <w:rPr>
          <w:rFonts w:hint="eastAsia"/>
        </w:rPr>
        <w:t>全球反詐騙組織</w:t>
      </w:r>
      <w:r w:rsidRPr="00C3310F">
        <w:rPr>
          <w:rFonts w:hint="eastAsia"/>
        </w:rPr>
        <w:t>台灣分會理事長：中年婦女是他們很常去針對的一個群體，在某一套劇本裡面。家庭代工話術很多是以中年婦女為核心，然後還有另外一個的，他們殺豬盤也會是以中年女性為族群，那原因也很簡單，就是如果他想要騙錢的話，這群人是有儲蓄習慣的人，如果我的劇本是假交友，假投資的話，那這群人通常也是生活比較單純，而且可能在婚內是缺乏陪伴的，有感情上面的需求，所以對這群人要騙感情或是騙錢都是相對比較好處理，所以說官方統計跟我這邊統計可能會不一樣，我覺得是通報率太低，所以才產生了這個落差。就我自己統計大概七成的對象是女性，然後裡面大概有四成左右都被騙。他們很愛下這種廣告，就是什麼如何兼顧工作跟育兒和家庭，又照顧小孩，又同時有收入，他們有一陣子很常下這個廣告類型。</w:t>
      </w:r>
    </w:p>
    <w:p w14:paraId="6D0802A4" w14:textId="15AAEE22" w:rsidR="00397BB7" w:rsidRPr="00C3310F" w:rsidRDefault="002D68BA" w:rsidP="002D68BA">
      <w:pPr>
        <w:pStyle w:val="4"/>
      </w:pPr>
      <w:r w:rsidRPr="00C3310F">
        <w:rPr>
          <w:rFonts w:hint="eastAsia"/>
        </w:rPr>
        <w:t>堵詐面（資訊流及數位</w:t>
      </w:r>
      <w:r w:rsidR="0004575A" w:rsidRPr="00C3310F">
        <w:rPr>
          <w:rFonts w:hint="eastAsia"/>
        </w:rPr>
        <w:t>平臺</w:t>
      </w:r>
      <w:r w:rsidRPr="00C3310F">
        <w:rPr>
          <w:rFonts w:hint="eastAsia"/>
        </w:rPr>
        <w:t>治理）:</w:t>
      </w:r>
    </w:p>
    <w:p w14:paraId="675A4157" w14:textId="597E4B1E" w:rsidR="002D68BA" w:rsidRPr="00C3310F" w:rsidRDefault="002D68BA" w:rsidP="002D68BA">
      <w:pPr>
        <w:pStyle w:val="5"/>
      </w:pPr>
      <w:r w:rsidRPr="00C3310F">
        <w:rPr>
          <w:rFonts w:hint="eastAsia"/>
        </w:rPr>
        <w:t>國立中正大學傳播學系羅世宏教授:</w:t>
      </w:r>
    </w:p>
    <w:p w14:paraId="0C8998E0" w14:textId="5D14A3A6" w:rsidR="00397BB7" w:rsidRPr="00C3310F" w:rsidRDefault="00397BB7" w:rsidP="002D68BA">
      <w:pPr>
        <w:pStyle w:val="6"/>
      </w:pPr>
      <w:bookmarkStart w:id="688" w:name="_Toc172024027"/>
      <w:bookmarkStart w:id="689" w:name="_Toc172033346"/>
      <w:r w:rsidRPr="00C3310F">
        <w:rPr>
          <w:rFonts w:hint="eastAsia"/>
        </w:rPr>
        <w:t>我覺得平臺是一個關鍵，從預防角度，平臺成為詐騙集團更加容易去取信或是找尋受害者的工具。其實平臺就是在賣數據，平臺就是讓詐騙集團可以容易地找到特定族群的人，對某種訊息有感的人，然後會有反應，然後你發出交友邀請建立信任關係。很多人容易被詐，然後通常都透過臉書交友，之後變成轉到</w:t>
      </w:r>
      <w:r w:rsidR="00DF3BE8" w:rsidRPr="00C3310F">
        <w:rPr>
          <w:rFonts w:hint="eastAsia"/>
        </w:rPr>
        <w:t>LINE</w:t>
      </w:r>
      <w:r w:rsidRPr="00C3310F">
        <w:rPr>
          <w:rFonts w:hint="eastAsia"/>
        </w:rPr>
        <w:t>更私密的聯絡管道當中，透過各種方式去經營信任關係。沒有人一開始就會受騙，但</w:t>
      </w:r>
      <w:r w:rsidRPr="00C3310F">
        <w:rPr>
          <w:rFonts w:hint="eastAsia"/>
        </w:rPr>
        <w:lastRenderedPageBreak/>
        <w:t>是他如果能成功建立某種信任關係，那就有機會，只是大騙還是小騙而已。</w:t>
      </w:r>
      <w:bookmarkEnd w:id="688"/>
      <w:bookmarkEnd w:id="689"/>
    </w:p>
    <w:p w14:paraId="15BA7CEE" w14:textId="19B059B0" w:rsidR="00397BB7" w:rsidRPr="00C3310F" w:rsidRDefault="00397BB7" w:rsidP="002D68BA">
      <w:pPr>
        <w:pStyle w:val="6"/>
      </w:pPr>
      <w:bookmarkStart w:id="690" w:name="_Toc172024028"/>
      <w:bookmarkStart w:id="691" w:name="_Toc172033347"/>
      <w:r w:rsidRPr="00C3310F">
        <w:rPr>
          <w:rFonts w:hint="eastAsia"/>
        </w:rPr>
        <w:t>我覺得預防的這個部分就是我們有缺幾個法律上的東西，第一個就是我們對數位平臺的監管，目前其實是沒有法律。歐盟跟英國現在做的比較成熟就是他們有數位服務法，可以管網路的內容包括詐騙、霸凌、恐怖主義、仇恨語言或者是假訊息，至少政府可以跟平臺去協商或者要求</w:t>
      </w:r>
      <w:r w:rsidR="00012B58" w:rsidRPr="00C3310F">
        <w:rPr>
          <w:rFonts w:hint="eastAsia"/>
        </w:rPr>
        <w:t>它</w:t>
      </w:r>
      <w:r w:rsidRPr="00C3310F">
        <w:rPr>
          <w:rFonts w:hint="eastAsia"/>
        </w:rPr>
        <w:t>採取有有效措施，或者是這個notice and take down</w:t>
      </w:r>
      <w:r w:rsidR="00012B58" w:rsidRPr="00C3310F">
        <w:rPr>
          <w:rFonts w:hint="eastAsia"/>
        </w:rPr>
        <w:t>(通知/下架)</w:t>
      </w:r>
      <w:r w:rsidRPr="00C3310F">
        <w:rPr>
          <w:rFonts w:hint="eastAsia"/>
        </w:rPr>
        <w:t>的這個運作會比較有效。而且</w:t>
      </w:r>
      <w:r w:rsidR="0004575A" w:rsidRPr="00C3310F">
        <w:rPr>
          <w:rFonts w:hint="eastAsia"/>
        </w:rPr>
        <w:t>平臺</w:t>
      </w:r>
      <w:r w:rsidRPr="00C3310F">
        <w:rPr>
          <w:rFonts w:hint="eastAsia"/>
        </w:rPr>
        <w:t>要採取預防性的、有系統的一些措施，不是那麼純粹被動的，因為notice and take down現在其實就有在運作，只是如果涉及到沒有法律禁止的內容，要期待</w:t>
      </w:r>
      <w:r w:rsidR="0004575A" w:rsidRPr="00C3310F">
        <w:rPr>
          <w:rFonts w:hint="eastAsia"/>
        </w:rPr>
        <w:t>平臺</w:t>
      </w:r>
      <w:r w:rsidRPr="00C3310F">
        <w:rPr>
          <w:rFonts w:hint="eastAsia"/>
        </w:rPr>
        <w:t>可以有效的收到notice馬上take</w:t>
      </w:r>
      <w:r w:rsidRPr="00C3310F">
        <w:t xml:space="preserve"> </w:t>
      </w:r>
      <w:r w:rsidRPr="00C3310F">
        <w:rPr>
          <w:rFonts w:hint="eastAsia"/>
        </w:rPr>
        <w:t>down，</w:t>
      </w:r>
      <w:r w:rsidR="00012B58" w:rsidRPr="00C3310F">
        <w:rPr>
          <w:rFonts w:hint="eastAsia"/>
        </w:rPr>
        <w:t>它</w:t>
      </w:r>
      <w:r w:rsidRPr="00C3310F">
        <w:rPr>
          <w:rFonts w:hint="eastAsia"/>
        </w:rPr>
        <w:t>可能不會照辦，因為沒有法律的的依據。所以我們必須要補這一塊，也就是數位服務法。</w:t>
      </w:r>
      <w:bookmarkEnd w:id="690"/>
      <w:bookmarkEnd w:id="691"/>
    </w:p>
    <w:p w14:paraId="2E5768BD" w14:textId="4DB3257C" w:rsidR="00397BB7" w:rsidRPr="00C3310F" w:rsidRDefault="005F1FB1" w:rsidP="002D68BA">
      <w:pPr>
        <w:pStyle w:val="6"/>
      </w:pPr>
      <w:bookmarkStart w:id="692" w:name="_Toc172024029"/>
      <w:bookmarkStart w:id="693" w:name="_Toc172033348"/>
      <w:r w:rsidRPr="00C3310F">
        <w:rPr>
          <w:rFonts w:hint="eastAsia"/>
        </w:rPr>
        <w:t>「數位中介服務法」的一致性跟很多應該要配套的沒有考慮清楚，最後那個版本沒有通過。可惜的是這件事已經扼殺了我們好好去討論數位內容要怎麼樣去建立治理的一個機會。可能短期內都不太容易有重啟這個討論的機會。</w:t>
      </w:r>
      <w:bookmarkEnd w:id="692"/>
      <w:bookmarkEnd w:id="693"/>
    </w:p>
    <w:p w14:paraId="6A59EFED" w14:textId="08A7A38E" w:rsidR="00397BB7" w:rsidRPr="00C3310F" w:rsidRDefault="00397BB7" w:rsidP="002D68BA">
      <w:pPr>
        <w:pStyle w:val="6"/>
      </w:pPr>
      <w:bookmarkStart w:id="694" w:name="_Toc172024030"/>
      <w:bookmarkStart w:id="695" w:name="_Toc172033349"/>
      <w:r w:rsidRPr="00C3310F">
        <w:rPr>
          <w:rFonts w:hint="eastAsia"/>
        </w:rPr>
        <w:t>落地還是重要的，只是落地不能解決問題，所以你落地沒有法是不行的，也就是作用法的部分，所以</w:t>
      </w:r>
      <w:r w:rsidR="00D82B1C" w:rsidRPr="00C3310F">
        <w:rPr>
          <w:rFonts w:hint="eastAsia"/>
        </w:rPr>
        <w:t>數發部</w:t>
      </w:r>
      <w:r w:rsidRPr="00C3310F">
        <w:rPr>
          <w:rFonts w:hint="eastAsia"/>
        </w:rPr>
        <w:t>也是要加加油，還有防詐的法律現在草案作用法的部分都還沒有送出來。</w:t>
      </w:r>
      <w:bookmarkEnd w:id="694"/>
      <w:bookmarkEnd w:id="695"/>
    </w:p>
    <w:p w14:paraId="17564C10" w14:textId="0B37BD78" w:rsidR="00397BB7" w:rsidRPr="00C3310F" w:rsidRDefault="00397BB7" w:rsidP="002D68BA">
      <w:pPr>
        <w:pStyle w:val="6"/>
      </w:pPr>
      <w:bookmarkStart w:id="696" w:name="_Toc172024031"/>
      <w:bookmarkStart w:id="697" w:name="_Toc172033350"/>
      <w:r w:rsidRPr="00C3310F">
        <w:rPr>
          <w:rFonts w:hint="eastAsia"/>
        </w:rPr>
        <w:t>另外歐洲的公民的個資被保護的很好，至少</w:t>
      </w:r>
      <w:r w:rsidRPr="00C3310F">
        <w:rPr>
          <w:rFonts w:hint="eastAsia"/>
        </w:rPr>
        <w:lastRenderedPageBreak/>
        <w:t>在目前的GDPR包括跨境傳輸都有規範，我們可以努力的去學習歐洲還有英國的這個線上安全法，他們都是民主國家，而且從民主的排名上面，他們比美國還前面，如果學這些國家的作法，我們就可以去defense說，我們立這些法不會違反民主的問題</w:t>
      </w:r>
      <w:r w:rsidR="00012B58" w:rsidRPr="00C3310F">
        <w:rPr>
          <w:rFonts w:hint="eastAsia"/>
        </w:rPr>
        <w:t>，</w:t>
      </w:r>
      <w:r w:rsidRPr="00C3310F">
        <w:rPr>
          <w:rFonts w:hint="eastAsia"/>
        </w:rPr>
        <w:t>是透明公開，而且是公正的，也有很好的立法諮詢跟公共聽證的過程。而且我們不是第一個，因為其他國家都已經有這個法律。其實我們就是好好把它研究清楚，然後該學的地方就直接學，不應該直接學的部分做一點調整。</w:t>
      </w:r>
      <w:bookmarkEnd w:id="696"/>
      <w:bookmarkEnd w:id="697"/>
    </w:p>
    <w:p w14:paraId="64B0CA0B" w14:textId="1F1155C9" w:rsidR="00397BB7" w:rsidRPr="00C3310F" w:rsidRDefault="00397BB7" w:rsidP="002D68BA">
      <w:pPr>
        <w:pStyle w:val="6"/>
      </w:pPr>
      <w:bookmarkStart w:id="698" w:name="_Toc172024032"/>
      <w:bookmarkStart w:id="699" w:name="_Toc172033351"/>
      <w:r w:rsidRPr="00C3310F">
        <w:rPr>
          <w:rFonts w:hint="eastAsia"/>
        </w:rPr>
        <w:t>比方說，</w:t>
      </w:r>
      <w:r w:rsidR="00314645" w:rsidRPr="00C3310F">
        <w:rPr>
          <w:rFonts w:hint="eastAsia"/>
        </w:rPr>
        <w:t>通傳會</w:t>
      </w:r>
      <w:r w:rsidRPr="00C3310F">
        <w:rPr>
          <w:rFonts w:hint="eastAsia"/>
        </w:rPr>
        <w:t>的數位中介服務法，他就是抄了歐盟的這個數位服務法在</w:t>
      </w:r>
      <w:r w:rsidR="0004575A" w:rsidRPr="00C3310F">
        <w:rPr>
          <w:rFonts w:hint="eastAsia"/>
        </w:rPr>
        <w:t>平臺</w:t>
      </w:r>
      <w:r w:rsidRPr="00C3310F">
        <w:rPr>
          <w:rFonts w:hint="eastAsia"/>
        </w:rPr>
        <w:t>規模方面的規定，如果你的平臺用戶超過人口數的十分之一的話，你就叫超大平臺</w:t>
      </w:r>
      <w:r w:rsidR="00125BE8" w:rsidRPr="00C3310F">
        <w:rPr>
          <w:rFonts w:hint="eastAsia"/>
        </w:rPr>
        <w:t>(</w:t>
      </w:r>
      <w:r w:rsidR="00125BE8" w:rsidRPr="00C3310F">
        <w:t>Very Large Online Platforms</w:t>
      </w:r>
      <w:r w:rsidR="00125BE8" w:rsidRPr="00C3310F">
        <w:rPr>
          <w:rFonts w:hint="eastAsia"/>
        </w:rPr>
        <w:t>,</w:t>
      </w:r>
      <w:r w:rsidR="00125BE8" w:rsidRPr="00C3310F">
        <w:t xml:space="preserve"> </w:t>
      </w:r>
      <w:r w:rsidRPr="00C3310F">
        <w:rPr>
          <w:rFonts w:hint="eastAsia"/>
        </w:rPr>
        <w:t>VLOPs</w:t>
      </w:r>
      <w:r w:rsidR="00125BE8" w:rsidRPr="00C3310F">
        <w:t>)</w:t>
      </w:r>
      <w:r w:rsidRPr="00C3310F">
        <w:rPr>
          <w:rFonts w:hint="eastAsia"/>
        </w:rPr>
        <w:t>，你就要要受到很嚴格的法遵監管；結果</w:t>
      </w:r>
      <w:r w:rsidR="00314645" w:rsidRPr="00C3310F">
        <w:rPr>
          <w:rFonts w:hint="eastAsia"/>
        </w:rPr>
        <w:t>通傳會</w:t>
      </w:r>
      <w:r w:rsidRPr="00C3310F">
        <w:rPr>
          <w:rFonts w:hint="eastAsia"/>
        </w:rPr>
        <w:t>直接抄到臺灣，就變成</w:t>
      </w:r>
      <w:r w:rsidR="00125BE8" w:rsidRPr="00C3310F">
        <w:rPr>
          <w:rFonts w:hint="eastAsia"/>
        </w:rPr>
        <w:t>2</w:t>
      </w:r>
      <w:r w:rsidR="00125BE8" w:rsidRPr="00C3310F">
        <w:t>00</w:t>
      </w:r>
      <w:r w:rsidR="00125BE8" w:rsidRPr="00C3310F">
        <w:rPr>
          <w:rFonts w:hint="eastAsia"/>
        </w:rPr>
        <w:t>萬</w:t>
      </w:r>
      <w:r w:rsidRPr="00C3310F">
        <w:rPr>
          <w:rFonts w:hint="eastAsia"/>
        </w:rPr>
        <w:t>用戶的</w:t>
      </w:r>
      <w:r w:rsidR="0004575A" w:rsidRPr="00C3310F">
        <w:rPr>
          <w:rFonts w:hint="eastAsia"/>
        </w:rPr>
        <w:t>平臺</w:t>
      </w:r>
      <w:r w:rsidRPr="00C3310F">
        <w:rPr>
          <w:rFonts w:hint="eastAsia"/>
        </w:rPr>
        <w:t>就要嚴格監管。事實上</w:t>
      </w:r>
      <w:r w:rsidR="00125BE8" w:rsidRPr="00C3310F">
        <w:rPr>
          <w:rFonts w:hint="eastAsia"/>
        </w:rPr>
        <w:t>2</w:t>
      </w:r>
      <w:r w:rsidR="00012B58" w:rsidRPr="00C3310F">
        <w:t>00</w:t>
      </w:r>
      <w:r w:rsidR="00125BE8" w:rsidRPr="00C3310F">
        <w:rPr>
          <w:rFonts w:hint="eastAsia"/>
        </w:rPr>
        <w:t>萬</w:t>
      </w:r>
      <w:r w:rsidRPr="00C3310F">
        <w:rPr>
          <w:rFonts w:hint="eastAsia"/>
        </w:rPr>
        <w:t>在全世界是很小的平臺，所以我就說，為什麼那麼的草率倉促，沒有做好研究，直接抄就抄出問題，連我們本土的小平臺都反對，那 M</w:t>
      </w:r>
      <w:r w:rsidR="00E109BD" w:rsidRPr="00C3310F">
        <w:t>eta</w:t>
      </w:r>
      <w:r w:rsidRPr="00C3310F">
        <w:rPr>
          <w:rFonts w:hint="eastAsia"/>
        </w:rPr>
        <w:t xml:space="preserve"> 跟 Google 都還不用出來反對，我們的網民、在野黨、各種小平臺都跳出來了，所以這個是他們很大的一個失誤。要不然的話，其實歐洲和英國已經示範過要怎麼立法，然後M</w:t>
      </w:r>
      <w:r w:rsidR="00E109BD" w:rsidRPr="00C3310F">
        <w:t>eta</w:t>
      </w:r>
      <w:r w:rsidRPr="00C3310F">
        <w:rPr>
          <w:rFonts w:hint="eastAsia"/>
        </w:rPr>
        <w:t>跟Google也會願意善盡他們的法遵責任。</w:t>
      </w:r>
      <w:bookmarkEnd w:id="698"/>
      <w:bookmarkEnd w:id="699"/>
    </w:p>
    <w:p w14:paraId="6D43E5BB" w14:textId="554E8D47" w:rsidR="00397BB7" w:rsidRPr="00C3310F" w:rsidRDefault="00397BB7" w:rsidP="002D68BA">
      <w:pPr>
        <w:pStyle w:val="6"/>
      </w:pPr>
      <w:bookmarkStart w:id="700" w:name="_Toc172024033"/>
      <w:bookmarkStart w:id="701" w:name="_Toc172033352"/>
      <w:r w:rsidRPr="00C3310F">
        <w:rPr>
          <w:rFonts w:hint="eastAsia"/>
        </w:rPr>
        <w:t>最後我認為這個議題永遠是跨部會的，而且我們不能只看到打詐這件事情，因為它是數位時代的問題，詐騙只是比較顯性的部分，但</w:t>
      </w:r>
      <w:r w:rsidRPr="00C3310F">
        <w:rPr>
          <w:rFonts w:hint="eastAsia"/>
        </w:rPr>
        <w:lastRenderedPageBreak/>
        <w:t>是跟數位關聯的有很多問題，防詐專法或許比較能針對防詐，但是數位的、非詐騙相關的問題就無法處理。所以我們還是要去通案的去處理數位治理的時候，就是</w:t>
      </w:r>
      <w:r w:rsidR="00125BE8" w:rsidRPr="00C3310F">
        <w:rPr>
          <w:rFonts w:hint="eastAsia"/>
        </w:rPr>
        <w:t>D</w:t>
      </w:r>
      <w:r w:rsidR="00125BE8" w:rsidRPr="00C3310F">
        <w:t>SA</w:t>
      </w:r>
      <w:r w:rsidRPr="00C3310F">
        <w:rPr>
          <w:rFonts w:hint="eastAsia"/>
        </w:rPr>
        <w:t>跟GDPR是要有臺灣版本，然後務實的調整，符合臺灣本地的這個需要，但不要比歐盟跟英國更嚴格，要更嚴格必須有很強的defense，因為可能會有侵害言論自由的問題。我們只要學歐盟和英國，甚至學到八成，我就覺得已經是很大的進步了。</w:t>
      </w:r>
      <w:bookmarkEnd w:id="700"/>
      <w:bookmarkEnd w:id="701"/>
    </w:p>
    <w:p w14:paraId="60D119B0" w14:textId="418ED295" w:rsidR="00397BB7" w:rsidRPr="00C3310F" w:rsidRDefault="00397BB7" w:rsidP="002D68BA">
      <w:pPr>
        <w:pStyle w:val="6"/>
      </w:pPr>
      <w:bookmarkStart w:id="702" w:name="_Toc172024034"/>
      <w:bookmarkStart w:id="703" w:name="_Toc172033353"/>
      <w:r w:rsidRPr="00C3310F">
        <w:rPr>
          <w:rFonts w:hint="eastAsia"/>
        </w:rPr>
        <w:t>跨部會的機制非常重要，我覺得有一個例子是需要參考的，就是英國的一個跨部會的數位治理的機制叫做DRC</w:t>
      </w:r>
      <w:r w:rsidR="00012B58" w:rsidRPr="00C3310F">
        <w:rPr>
          <w:rFonts w:hint="eastAsia"/>
        </w:rPr>
        <w:t>F</w:t>
      </w:r>
      <w:r w:rsidRPr="00C3310F">
        <w:rPr>
          <w:rFonts w:hint="eastAsia"/>
        </w:rPr>
        <w:t>，即Digital Regulation Cooperation Forum數位監理合作論壇。聽起來好像就是跨部會聯繫機制的論壇而已，其實不是，它是實際的組織，有行政運作的人力，然後有專門的執行長，DRCF的執行長需要定期的去對外報告，報告說DRCF幫英國預防處理解決了什麼樣的數位問題？</w:t>
      </w:r>
      <w:bookmarkStart w:id="704" w:name="_Hlk175732341"/>
      <w:r w:rsidRPr="00C3310F">
        <w:rPr>
          <w:rFonts w:hint="eastAsia"/>
        </w:rPr>
        <w:t>DRCF有四個固定一定要參加的機構，一個就是Ofcom，也就是臺灣的</w:t>
      </w:r>
      <w:r w:rsidR="00314645" w:rsidRPr="00C3310F">
        <w:rPr>
          <w:rFonts w:hint="eastAsia"/>
        </w:rPr>
        <w:t>通傳會</w:t>
      </w:r>
      <w:r w:rsidRPr="00C3310F">
        <w:rPr>
          <w:rFonts w:hint="eastAsia"/>
        </w:rPr>
        <w:t>，一個就是他們的資訊辦公室(</w:t>
      </w:r>
      <w:r w:rsidR="0004575A" w:rsidRPr="00C3310F">
        <w:rPr>
          <w:rFonts w:hint="eastAsia"/>
        </w:rPr>
        <w:t>I</w:t>
      </w:r>
      <w:r w:rsidR="0004575A" w:rsidRPr="00C3310F">
        <w:t>nformation Commissioner</w:t>
      </w:r>
      <w:r w:rsidR="0004575A" w:rsidRPr="00C3310F">
        <w:t>’</w:t>
      </w:r>
      <w:r w:rsidR="0004575A" w:rsidRPr="00C3310F">
        <w:t>s Office,</w:t>
      </w:r>
      <w:r w:rsidRPr="00C3310F">
        <w:rPr>
          <w:rFonts w:hint="eastAsia"/>
        </w:rPr>
        <w:t>ICO)，大概是臺灣的</w:t>
      </w:r>
      <w:r w:rsidR="00D82B1C" w:rsidRPr="00C3310F">
        <w:rPr>
          <w:rFonts w:hint="eastAsia"/>
        </w:rPr>
        <w:t>數發部</w:t>
      </w:r>
      <w:r w:rsidRPr="00C3310F">
        <w:rPr>
          <w:rFonts w:hint="eastAsia"/>
        </w:rPr>
        <w:t>這樣的一個性質，第三個是這個金管會(</w:t>
      </w:r>
      <w:r w:rsidR="00125BE8" w:rsidRPr="00C3310F">
        <w:t xml:space="preserve">Financial Services Authority, </w:t>
      </w:r>
      <w:r w:rsidRPr="00C3310F">
        <w:rPr>
          <w:rFonts w:hint="eastAsia"/>
        </w:rPr>
        <w:t>FCA)，第四個是英國的公平會(競爭與市場管理局，</w:t>
      </w:r>
      <w:r w:rsidR="00125BE8" w:rsidRPr="00C3310F">
        <w:rPr>
          <w:rFonts w:hint="eastAsia"/>
        </w:rPr>
        <w:t>C</w:t>
      </w:r>
      <w:r w:rsidR="00125BE8" w:rsidRPr="00C3310F">
        <w:t xml:space="preserve">ompetition and Markets Authority, </w:t>
      </w:r>
      <w:r w:rsidRPr="00C3310F">
        <w:rPr>
          <w:rFonts w:hint="eastAsia"/>
        </w:rPr>
        <w:t>CMA</w:t>
      </w:r>
      <w:bookmarkEnd w:id="704"/>
      <w:r w:rsidRPr="00C3310F">
        <w:rPr>
          <w:rFonts w:hint="eastAsia"/>
        </w:rPr>
        <w:t>)。因為像詐騙或者是這個網路購物的這些糾紛，都需要不同的部分一起來努力，臺灣如果這些部會能夠合併成為一個有固定的、</w:t>
      </w:r>
      <w:r w:rsidRPr="00C3310F">
        <w:rPr>
          <w:rFonts w:hint="eastAsia"/>
        </w:rPr>
        <w:lastRenderedPageBreak/>
        <w:t>政策性的跨部會的協調機制，而且是要定期去管考的，也就是說這個DRCF是要交出成績單的，而不是今天來開會找次長，甚至有時候是一個更低階的官員來，他可能也不太敢講話，這就是我們的跨部會過去很多都沒有什麼作用，層級雖然很高，但是效果不彰，那就是因為它是一個虛的組織。我們或許還是要有一個像DRCF的實體組織，我們甚至不用去討論說遇到什麼事情到底要找什麼部會，你就直接找DRCF，就會解決。</w:t>
      </w:r>
      <w:bookmarkEnd w:id="702"/>
      <w:bookmarkEnd w:id="703"/>
    </w:p>
    <w:p w14:paraId="50D35E5C" w14:textId="2AD5144B" w:rsidR="008B1C8E" w:rsidRPr="00C3310F" w:rsidRDefault="008B1C8E" w:rsidP="008B1C8E">
      <w:pPr>
        <w:pStyle w:val="5"/>
      </w:pPr>
      <w:bookmarkStart w:id="705" w:name="_Hlk172020450"/>
      <w:r w:rsidRPr="00C3310F">
        <w:rPr>
          <w:rFonts w:hint="eastAsia"/>
        </w:rPr>
        <w:t>台灣</w:t>
      </w:r>
      <w:r w:rsidR="00012B58" w:rsidRPr="00C3310F">
        <w:rPr>
          <w:rFonts w:hint="eastAsia"/>
        </w:rPr>
        <w:t>事實查核</w:t>
      </w:r>
      <w:r w:rsidRPr="00C3310F">
        <w:rPr>
          <w:rFonts w:hint="eastAsia"/>
        </w:rPr>
        <w:t>中心邱家宜執行長</w:t>
      </w:r>
      <w:bookmarkEnd w:id="705"/>
    </w:p>
    <w:p w14:paraId="57D7DF10" w14:textId="63AAE1C3" w:rsidR="008B1C8E" w:rsidRPr="00C3310F" w:rsidRDefault="008B1C8E" w:rsidP="008B1C8E">
      <w:pPr>
        <w:pStyle w:val="6"/>
      </w:pPr>
      <w:bookmarkStart w:id="706" w:name="_Toc172024035"/>
      <w:bookmarkStart w:id="707" w:name="_Toc172033354"/>
      <w:r w:rsidRPr="00C3310F">
        <w:rPr>
          <w:rFonts w:hint="eastAsia"/>
        </w:rPr>
        <w:t>然後我們最近發現一個狀況就是二次詐騙，就是有一個假訊息說我們是律師團隊</w:t>
      </w:r>
      <w:r w:rsidR="00012B58" w:rsidRPr="00C3310F">
        <w:rPr>
          <w:rFonts w:hint="eastAsia"/>
        </w:rPr>
        <w:t>，</w:t>
      </w:r>
      <w:r w:rsidRPr="00C3310F">
        <w:rPr>
          <w:rFonts w:hint="eastAsia"/>
        </w:rPr>
        <w:t>如果被騙請跟我們聯絡，可以把錢要回來。然後那個是詐騙，他用的是一個新加坡的law firm的照片，你點進去之後，他就是叫你付錢給他，然後他會幫你要錢</w:t>
      </w:r>
      <w:r w:rsidR="00012B58" w:rsidRPr="00C3310F">
        <w:rPr>
          <w:rFonts w:hint="eastAsia"/>
        </w:rPr>
        <w:t>，</w:t>
      </w:r>
      <w:r w:rsidRPr="00C3310F">
        <w:rPr>
          <w:rFonts w:hint="eastAsia"/>
        </w:rPr>
        <w:t>那個律師事務所被人家盜用照片。然後他去跟</w:t>
      </w:r>
      <w:r w:rsidR="0004575A" w:rsidRPr="00C3310F">
        <w:rPr>
          <w:rFonts w:hint="eastAsia"/>
        </w:rPr>
        <w:t>平臺</w:t>
      </w:r>
      <w:r w:rsidRPr="00C3310F">
        <w:rPr>
          <w:rFonts w:hint="eastAsia"/>
        </w:rPr>
        <w:t>講說，這個是盜用的趕快把它封鎖下架。事務所說</w:t>
      </w:r>
      <w:r w:rsidR="0004575A" w:rsidRPr="00C3310F">
        <w:rPr>
          <w:rFonts w:hint="eastAsia"/>
        </w:rPr>
        <w:t>平臺</w:t>
      </w:r>
      <w:r w:rsidRPr="00C3310F">
        <w:rPr>
          <w:rFonts w:hint="eastAsia"/>
        </w:rPr>
        <w:t>都不理他，意思就是說，本尊已經出來說有人冒用名義去做廣告詐騙</w:t>
      </w:r>
      <w:r w:rsidR="00012B58" w:rsidRPr="00C3310F">
        <w:rPr>
          <w:rFonts w:hint="eastAsia"/>
          <w:bCs/>
        </w:rPr>
        <w:t>，</w:t>
      </w:r>
      <w:r w:rsidRPr="00C3310F">
        <w:rPr>
          <w:rFonts w:hint="eastAsia"/>
          <w:b/>
        </w:rPr>
        <w:t>可是平臺不理他，我記得應該是M</w:t>
      </w:r>
      <w:r w:rsidR="00E109BD" w:rsidRPr="00C3310F">
        <w:rPr>
          <w:b/>
        </w:rPr>
        <w:t>eta</w:t>
      </w:r>
      <w:r w:rsidRPr="00C3310F">
        <w:rPr>
          <w:rFonts w:hint="eastAsia"/>
          <w:b/>
        </w:rPr>
        <w:t>吧</w:t>
      </w:r>
      <w:r w:rsidRPr="00C3310F">
        <w:rPr>
          <w:rFonts w:hint="eastAsia"/>
        </w:rPr>
        <w:t>。</w:t>
      </w:r>
      <w:bookmarkEnd w:id="706"/>
      <w:bookmarkEnd w:id="707"/>
    </w:p>
    <w:p w14:paraId="0F955B62" w14:textId="6F2E37A2" w:rsidR="008B1C8E" w:rsidRPr="00C3310F" w:rsidRDefault="008B1C8E" w:rsidP="008B1C8E">
      <w:pPr>
        <w:pStyle w:val="6"/>
      </w:pPr>
      <w:bookmarkStart w:id="708" w:name="_Toc172024036"/>
      <w:bookmarkStart w:id="709" w:name="_Toc172033355"/>
      <w:r w:rsidRPr="00C3310F">
        <w:rPr>
          <w:rFonts w:hint="eastAsia"/>
        </w:rPr>
        <w:t>我總結一下，</w:t>
      </w:r>
      <w:r w:rsidR="00FB046E" w:rsidRPr="00C3310F">
        <w:rPr>
          <w:rFonts w:hint="eastAsia"/>
        </w:rPr>
        <w:t>我們要怎麼去設計一個平台治理的法律框架，進而</w:t>
      </w:r>
      <w:r w:rsidRPr="00C3310F">
        <w:rPr>
          <w:rFonts w:hint="eastAsia"/>
        </w:rPr>
        <w:t>重啟</w:t>
      </w:r>
      <w:r w:rsidR="00FB046E" w:rsidRPr="00C3310F">
        <w:rPr>
          <w:rFonts w:hint="eastAsia"/>
        </w:rPr>
        <w:t>平台治理的</w:t>
      </w:r>
      <w:r w:rsidRPr="00C3310F">
        <w:rPr>
          <w:rFonts w:hint="eastAsia"/>
        </w:rPr>
        <w:t>社會溝通，那當然也就寄望</w:t>
      </w:r>
      <w:r w:rsidR="00314645" w:rsidRPr="00C3310F">
        <w:rPr>
          <w:rFonts w:hint="eastAsia"/>
        </w:rPr>
        <w:t>通傳會</w:t>
      </w:r>
      <w:r w:rsidRPr="00C3310F">
        <w:rPr>
          <w:rFonts w:hint="eastAsia"/>
        </w:rPr>
        <w:t>吧，就新任的委員或者也許是</w:t>
      </w:r>
      <w:r w:rsidR="00D82B1C" w:rsidRPr="00C3310F">
        <w:rPr>
          <w:rFonts w:hint="eastAsia"/>
        </w:rPr>
        <w:t>數發部</w:t>
      </w:r>
      <w:r w:rsidRPr="00C3310F">
        <w:rPr>
          <w:rFonts w:hint="eastAsia"/>
        </w:rPr>
        <w:t>，未來的就是兩部會怎麼樣去協調，行政院可能要站在這個就是敦促的高度，那教育部就是要去負責使用者端。</w:t>
      </w:r>
      <w:bookmarkEnd w:id="708"/>
      <w:bookmarkEnd w:id="709"/>
    </w:p>
    <w:p w14:paraId="6FDF67A9" w14:textId="02C0E859" w:rsidR="007360D5" w:rsidRPr="00C3310F" w:rsidRDefault="007360D5" w:rsidP="002D68BA">
      <w:pPr>
        <w:pStyle w:val="5"/>
      </w:pPr>
      <w:r w:rsidRPr="00C3310F">
        <w:rPr>
          <w:rFonts w:hint="eastAsia"/>
        </w:rPr>
        <w:t>社團法人</w:t>
      </w:r>
      <w:r w:rsidR="004207AF" w:rsidRPr="00C3310F">
        <w:rPr>
          <w:rFonts w:hint="eastAsia"/>
        </w:rPr>
        <w:t>全球反詐騙組織</w:t>
      </w:r>
      <w:r w:rsidRPr="00C3310F">
        <w:rPr>
          <w:rFonts w:hint="eastAsia"/>
        </w:rPr>
        <w:t>台灣分會理事長:除了這個機房本身之外，那他們還有另外的資訊</w:t>
      </w:r>
      <w:r w:rsidRPr="00C3310F">
        <w:rPr>
          <w:rFonts w:hint="eastAsia"/>
        </w:rPr>
        <w:lastRenderedPageBreak/>
        <w:t>服務，就是架設詐欺網站，是由另外的系統去處理的，並不是由機房自己去維護。以詐欺網站來說，他們更新非常快速，通常是用一個模板下去架設，所以很多詐欺網站是很雷同的，然後網域也都會事先註冊起來，比如說他們可能一次就註冊大概十幾個銷售網頁，但不會十幾個同時用，他們通常先用一個網頁二到三個月，有被通報的時候，他們會跟被害人說系統要升級了要換新的網域，所以他們都會先鋪墊好，到被BAN掉，他們就會無縫地接到第二個網域，如果再被BAN掉，再換第三個，即便他們手上的網域都BAN掉，通常也可以直接通知系統商，通常二到三天就會開一批新網域</w:t>
      </w:r>
    </w:p>
    <w:p w14:paraId="6898ACE9" w14:textId="7EA998E1" w:rsidR="00397BB7" w:rsidRPr="00C3310F" w:rsidRDefault="004207AF" w:rsidP="002D68BA">
      <w:pPr>
        <w:pStyle w:val="5"/>
      </w:pPr>
      <w:r w:rsidRPr="00C3310F">
        <w:rPr>
          <w:rFonts w:hint="eastAsia"/>
        </w:rPr>
        <w:t>Gogolook</w:t>
      </w:r>
      <w:r w:rsidR="002D68BA" w:rsidRPr="00C3310F">
        <w:rPr>
          <w:rFonts w:hint="eastAsia"/>
        </w:rPr>
        <w:t>劉彥伯總監：在內容審核部份，我們雖然可以要求</w:t>
      </w:r>
      <w:r w:rsidR="0014275A" w:rsidRPr="00C3310F">
        <w:t>Facebook</w:t>
      </w:r>
      <w:r w:rsidR="002D68BA" w:rsidRPr="00C3310F">
        <w:rPr>
          <w:rFonts w:hint="eastAsia"/>
        </w:rPr>
        <w:t>要做廣告審核，但詐騙集團跑第三國去做廣告，第三國審核人員對</w:t>
      </w:r>
      <w:r w:rsidR="005E17A1" w:rsidRPr="00C3310F">
        <w:rPr>
          <w:rFonts w:hint="eastAsia"/>
        </w:rPr>
        <w:t>臺</w:t>
      </w:r>
      <w:r w:rsidR="002D68BA" w:rsidRPr="00C3310F">
        <w:rPr>
          <w:rFonts w:hint="eastAsia"/>
        </w:rPr>
        <w:t>灣的名人根本一無所知，所以基本上他看文字、格式都對就放行了。</w:t>
      </w:r>
    </w:p>
    <w:p w14:paraId="442E63DA" w14:textId="77777777" w:rsidR="00397BB7" w:rsidRPr="00C3310F" w:rsidRDefault="002D68BA" w:rsidP="00A77297">
      <w:pPr>
        <w:pStyle w:val="4"/>
      </w:pPr>
      <w:r w:rsidRPr="00C3310F">
        <w:rPr>
          <w:rFonts w:hint="eastAsia"/>
        </w:rPr>
        <w:t>阻</w:t>
      </w:r>
      <w:r w:rsidR="00397BB7" w:rsidRPr="00C3310F">
        <w:rPr>
          <w:rFonts w:hint="eastAsia"/>
        </w:rPr>
        <w:t>詐面(</w:t>
      </w:r>
      <w:r w:rsidRPr="00C3310F">
        <w:rPr>
          <w:rFonts w:hint="eastAsia"/>
        </w:rPr>
        <w:t>金流</w:t>
      </w:r>
      <w:r w:rsidR="00397BB7" w:rsidRPr="00C3310F">
        <w:rPr>
          <w:rFonts w:hint="eastAsia"/>
        </w:rPr>
        <w:t>):</w:t>
      </w:r>
    </w:p>
    <w:p w14:paraId="42B969AD" w14:textId="1CBAC05E" w:rsidR="002D68BA" w:rsidRPr="00C3310F" w:rsidRDefault="002D68BA" w:rsidP="002D68BA">
      <w:pPr>
        <w:pStyle w:val="5"/>
      </w:pPr>
      <w:r w:rsidRPr="00C3310F">
        <w:rPr>
          <w:rFonts w:hint="eastAsia"/>
        </w:rPr>
        <w:t>臺灣臺北地方檢察署姜長志檢察官</w:t>
      </w:r>
    </w:p>
    <w:p w14:paraId="5E17F6A0" w14:textId="79047FBB" w:rsidR="002D68BA" w:rsidRPr="00C3310F" w:rsidRDefault="002D68BA" w:rsidP="002D68BA">
      <w:pPr>
        <w:pStyle w:val="6"/>
      </w:pPr>
      <w:bookmarkStart w:id="710" w:name="_Toc172024037"/>
      <w:bookmarkStart w:id="711" w:name="_Toc172033356"/>
      <w:r w:rsidRPr="00C3310F">
        <w:rPr>
          <w:rFonts w:hint="eastAsia"/>
        </w:rPr>
        <w:t>我手上案子假設80件的話，至少有40件以上是詐騙，它已經是高達五成以上，而且40件的詐騙案裡面將近有30件都是人頭帳戶。</w:t>
      </w:r>
      <w:bookmarkEnd w:id="710"/>
      <w:bookmarkEnd w:id="711"/>
    </w:p>
    <w:p w14:paraId="585D3DBA" w14:textId="25D4C4B9" w:rsidR="002D68BA" w:rsidRPr="00C3310F" w:rsidRDefault="002D68BA" w:rsidP="002D68BA">
      <w:pPr>
        <w:pStyle w:val="6"/>
      </w:pPr>
      <w:bookmarkStart w:id="712" w:name="_Toc172024038"/>
      <w:bookmarkStart w:id="713" w:name="_Toc172033357"/>
      <w:r w:rsidRPr="00C3310F">
        <w:rPr>
          <w:rFonts w:hint="eastAsia"/>
        </w:rPr>
        <w:t>監察院過去曾經有針對人頭帳戶開了類似的研討會，那當時給我們的結論，我看到報告的時候，我心裡面覺得很難過，報告希望我們要注意無罪推定、罪疑惟輕；可是委員今天找我來，我一定要跟委員反映，我所有的詐騙案之所以追不下去，最重要的就是人頭帳戶。因為為什麼?詐騙集團跟其他的犯罪組織很不一</w:t>
      </w:r>
      <w:r w:rsidRPr="00C3310F">
        <w:rPr>
          <w:rFonts w:hint="eastAsia"/>
        </w:rPr>
        <w:lastRenderedPageBreak/>
        <w:t>樣，詐騙集團的組織是到處充滿斷點，他們的集團內部誰都不認識誰</w:t>
      </w:r>
      <w:bookmarkEnd w:id="712"/>
      <w:bookmarkEnd w:id="713"/>
      <w:r w:rsidR="0014275A" w:rsidRPr="00C3310F">
        <w:rPr>
          <w:rFonts w:hint="eastAsia"/>
        </w:rPr>
        <w:t>。</w:t>
      </w:r>
    </w:p>
    <w:p w14:paraId="0C15EE1A" w14:textId="77777777" w:rsidR="002D68BA" w:rsidRPr="00C3310F" w:rsidRDefault="002D68BA" w:rsidP="002D68BA">
      <w:pPr>
        <w:pStyle w:val="6"/>
      </w:pPr>
      <w:bookmarkStart w:id="714" w:name="_Toc172024039"/>
      <w:bookmarkStart w:id="715" w:name="_Toc172033358"/>
      <w:r w:rsidRPr="00C3310F">
        <w:rPr>
          <w:rFonts w:hint="eastAsia"/>
        </w:rPr>
        <w:t>一個大斷點就在人頭帳戶，被害人第一個匯款匯到人頭帳戶，我們每次追也只能追到人頭帳戶，除非我們有情資、有上線監視、有搜索，才有辦法往上游繼續查。可是如果人頭帳戶這點不處理的狀況下，我們就沒有辦法繼續往上追。如果我們今天檢察官要很輕鬆很好下班的話，我就全部給他不起訴就好，甚至就可以得到一個什麼人權檢察官的名譽。</w:t>
      </w:r>
      <w:bookmarkEnd w:id="714"/>
      <w:bookmarkEnd w:id="715"/>
    </w:p>
    <w:p w14:paraId="405C13A4" w14:textId="653154D4" w:rsidR="002D68BA" w:rsidRPr="00C3310F" w:rsidRDefault="002D68BA" w:rsidP="002D68BA">
      <w:pPr>
        <w:pStyle w:val="6"/>
      </w:pPr>
      <w:bookmarkStart w:id="716" w:name="_Toc172024040"/>
      <w:bookmarkStart w:id="717" w:name="_Toc172033359"/>
      <w:r w:rsidRPr="00C3310F">
        <w:rPr>
          <w:rFonts w:hint="eastAsia"/>
        </w:rPr>
        <w:t>各位知道人頭帳戶的價格，他跟股市一樣，是隨著檢警的努力而有價格的波動，當我們檢警越查越兇的時候，現在已經高漲到一個帳戶130,000到150,000元，當年我剛出道的時候，人頭帳戶才2、3</w:t>
      </w:r>
      <w:r w:rsidR="004207AF" w:rsidRPr="00C3310F">
        <w:rPr>
          <w:rFonts w:hint="eastAsia"/>
        </w:rPr>
        <w:t>,</w:t>
      </w:r>
      <w:r w:rsidRPr="00C3310F">
        <w:rPr>
          <w:rFonts w:hint="eastAsia"/>
        </w:rPr>
        <w:t>000</w:t>
      </w:r>
      <w:r w:rsidR="00752EB4" w:rsidRPr="00C3310F">
        <w:rPr>
          <w:rFonts w:hint="eastAsia"/>
        </w:rPr>
        <w:t>元</w:t>
      </w:r>
      <w:r w:rsidRPr="00C3310F">
        <w:rPr>
          <w:rFonts w:hint="eastAsia"/>
        </w:rPr>
        <w:t>。</w:t>
      </w:r>
      <w:bookmarkEnd w:id="716"/>
      <w:bookmarkEnd w:id="717"/>
    </w:p>
    <w:p w14:paraId="276A5D43" w14:textId="29ADE79A" w:rsidR="002D68BA" w:rsidRPr="00C3310F" w:rsidRDefault="002D68BA" w:rsidP="002D68BA">
      <w:pPr>
        <w:pStyle w:val="6"/>
      </w:pPr>
      <w:bookmarkStart w:id="718" w:name="_Toc172024041"/>
      <w:bookmarkStart w:id="719" w:name="_Toc172033360"/>
      <w:r w:rsidRPr="00C3310F">
        <w:rPr>
          <w:rFonts w:hint="eastAsia"/>
        </w:rPr>
        <w:t>如果金管會前面不把他緊縮，後面案子就留到我們手上來了嘛，我追錢追不到，追人追不到，那最後我只能簽結，那對被害人有什麼意義?錢都沒有了也抓不到，那這要怎麼判重刑?</w:t>
      </w:r>
      <w:bookmarkEnd w:id="718"/>
      <w:bookmarkEnd w:id="719"/>
    </w:p>
    <w:p w14:paraId="36888F49" w14:textId="77777777" w:rsidR="002D68BA" w:rsidRPr="00C3310F" w:rsidRDefault="002D68BA" w:rsidP="002D68BA">
      <w:pPr>
        <w:pStyle w:val="6"/>
      </w:pPr>
      <w:bookmarkStart w:id="720" w:name="_Toc172024042"/>
      <w:bookmarkStart w:id="721" w:name="_Toc172033361"/>
      <w:r w:rsidRPr="00C3310F">
        <w:rPr>
          <w:rFonts w:hint="eastAsia"/>
        </w:rPr>
        <w:t>金管會如果認為有法律保留的問題的話，那就修法授權金管會有這個職權，能夠每年對機構做評比，而且如果警示帳戶數量降不下來，就開始限制業務嘛。</w:t>
      </w:r>
      <w:bookmarkEnd w:id="720"/>
      <w:bookmarkEnd w:id="721"/>
    </w:p>
    <w:p w14:paraId="2FEDA2FC" w14:textId="6E8BC120" w:rsidR="002D68BA" w:rsidRPr="00C3310F" w:rsidRDefault="002D68BA" w:rsidP="002D68BA">
      <w:pPr>
        <w:pStyle w:val="6"/>
      </w:pPr>
      <w:bookmarkStart w:id="722" w:name="_Toc172024043"/>
      <w:bookmarkStart w:id="723" w:name="_Toc172033362"/>
      <w:r w:rsidRPr="00C3310F">
        <w:rPr>
          <w:rFonts w:hint="eastAsia"/>
        </w:rPr>
        <w:t>虛擬貨幣這個東西很重要，目前沒有人管，而且第三方支付竟然分2億以下的由</w:t>
      </w:r>
      <w:r w:rsidR="00D82B1C" w:rsidRPr="00C3310F">
        <w:rPr>
          <w:rFonts w:hint="eastAsia"/>
        </w:rPr>
        <w:t>數發部</w:t>
      </w:r>
      <w:r w:rsidRPr="00C3310F">
        <w:rPr>
          <w:rFonts w:hint="eastAsia"/>
        </w:rPr>
        <w:t>管，2億以上由金管會管的這種方式在管。各位一定要瞭解地下匯兌對國家影響多大，因為地下匯兌洗錢的問題，會直接作為總統大選介選的資金。我們一旦放手會動搖到民主和選</w:t>
      </w:r>
      <w:r w:rsidRPr="00C3310F">
        <w:rPr>
          <w:rFonts w:hint="eastAsia"/>
        </w:rPr>
        <w:lastRenderedPageBreak/>
        <w:t>舉制度</w:t>
      </w:r>
      <w:bookmarkEnd w:id="722"/>
      <w:bookmarkEnd w:id="723"/>
      <w:r w:rsidR="004207AF" w:rsidRPr="00C3310F">
        <w:rPr>
          <w:rFonts w:hint="eastAsia"/>
        </w:rPr>
        <w:t>。</w:t>
      </w:r>
    </w:p>
    <w:p w14:paraId="4A92719E" w14:textId="0EEC6398" w:rsidR="002D68BA" w:rsidRPr="00C3310F" w:rsidRDefault="002D68BA" w:rsidP="002D68BA">
      <w:pPr>
        <w:pStyle w:val="5"/>
      </w:pPr>
      <w:r w:rsidRPr="00C3310F">
        <w:rPr>
          <w:rFonts w:hint="eastAsia"/>
        </w:rPr>
        <w:t>警政署</w:t>
      </w:r>
      <w:r w:rsidR="00264907" w:rsidRPr="00C3310F">
        <w:rPr>
          <w:rFonts w:hAnsi="標楷體" w:hint="eastAsia"/>
        </w:rPr>
        <w:t>曾</w:t>
      </w:r>
      <w:r w:rsidR="004207AF" w:rsidRPr="00C3310F">
        <w:rPr>
          <w:rFonts w:hAnsi="標楷體" w:hint="eastAsia"/>
        </w:rPr>
        <w:t>○</w:t>
      </w:r>
      <w:r w:rsidR="00264907" w:rsidRPr="00C3310F">
        <w:rPr>
          <w:rFonts w:hAnsi="標楷體" w:hint="eastAsia"/>
        </w:rPr>
        <w:t>芬</w:t>
      </w:r>
      <w:r w:rsidRPr="00C3310F">
        <w:rPr>
          <w:rFonts w:hint="eastAsia"/>
        </w:rPr>
        <w:t>專員</w:t>
      </w:r>
    </w:p>
    <w:p w14:paraId="6F1D8C98" w14:textId="77777777" w:rsidR="002D68BA" w:rsidRPr="00C3310F" w:rsidRDefault="002D68BA" w:rsidP="002D68BA">
      <w:pPr>
        <w:pStyle w:val="6"/>
      </w:pPr>
      <w:bookmarkStart w:id="724" w:name="_Toc172024044"/>
      <w:bookmarkStart w:id="725" w:name="_Toc172033363"/>
      <w:r w:rsidRPr="00C3310F">
        <w:rPr>
          <w:rFonts w:hint="eastAsia"/>
        </w:rPr>
        <w:t>從前面金流部分，如果銀行端發現這個帳戶有問題就凍結，把錢卡住的話，他們領不到錢，就斷了他們的生路。</w:t>
      </w:r>
      <w:bookmarkEnd w:id="724"/>
      <w:bookmarkEnd w:id="725"/>
    </w:p>
    <w:p w14:paraId="5BA78706" w14:textId="11CB87D7" w:rsidR="002D68BA" w:rsidRPr="00C3310F" w:rsidRDefault="002D68BA" w:rsidP="002D68BA">
      <w:pPr>
        <w:pStyle w:val="6"/>
      </w:pPr>
      <w:bookmarkStart w:id="726" w:name="_Toc172024045"/>
      <w:bookmarkStart w:id="727" w:name="_Toc172033364"/>
      <w:r w:rsidRPr="00C3310F">
        <w:rPr>
          <w:rFonts w:hint="eastAsia"/>
        </w:rPr>
        <w:t>金管會是不是可以課責銀行，問題帳戶不要讓他們申請，或是罰錢之類的。</w:t>
      </w:r>
      <w:bookmarkEnd w:id="726"/>
      <w:bookmarkEnd w:id="727"/>
    </w:p>
    <w:p w14:paraId="44F3C8EC" w14:textId="42E3E4F9" w:rsidR="002D68BA" w:rsidRPr="00C3310F" w:rsidRDefault="002D68BA" w:rsidP="002D68BA">
      <w:pPr>
        <w:pStyle w:val="6"/>
      </w:pPr>
      <w:bookmarkStart w:id="728" w:name="_Toc172024046"/>
      <w:bookmarkStart w:id="729" w:name="_Toc172033365"/>
      <w:r w:rsidRPr="00C3310F">
        <w:rPr>
          <w:rFonts w:hint="eastAsia"/>
        </w:rPr>
        <w:t>從電信流跟金融業這邊去追源頭是比較實際的，比檢警從後面追直接多了，後面檢警真的花太多心力，快被壓垮了。</w:t>
      </w:r>
      <w:bookmarkEnd w:id="728"/>
      <w:bookmarkEnd w:id="729"/>
    </w:p>
    <w:p w14:paraId="576FD41C" w14:textId="77777777" w:rsidR="008B1C8E" w:rsidRPr="00C3310F" w:rsidRDefault="00961E1C" w:rsidP="008B1C8E">
      <w:pPr>
        <w:pStyle w:val="5"/>
      </w:pPr>
      <w:r w:rsidRPr="00C3310F">
        <w:rPr>
          <w:rFonts w:hint="eastAsia"/>
        </w:rPr>
        <w:t>金流面學者專家</w:t>
      </w:r>
    </w:p>
    <w:p w14:paraId="78290FDC" w14:textId="77777777" w:rsidR="008B1C8E" w:rsidRPr="00C3310F" w:rsidRDefault="008B1C8E" w:rsidP="008B1C8E">
      <w:pPr>
        <w:pStyle w:val="6"/>
      </w:pPr>
      <w:bookmarkStart w:id="730" w:name="_Toc172024047"/>
      <w:bookmarkStart w:id="731" w:name="_Toc172033366"/>
      <w:r w:rsidRPr="00C3310F">
        <w:rPr>
          <w:rFonts w:hint="eastAsia"/>
        </w:rPr>
        <w:t>前端要想的，就是詐騙集團他其實要錢，那錢在誰的手上?</w:t>
      </w:r>
      <w:bookmarkEnd w:id="730"/>
      <w:bookmarkEnd w:id="731"/>
    </w:p>
    <w:p w14:paraId="5A525505" w14:textId="77777777" w:rsidR="008B1C8E" w:rsidRPr="00C3310F" w:rsidRDefault="008B1C8E" w:rsidP="008B1C8E">
      <w:pPr>
        <w:pStyle w:val="6"/>
      </w:pPr>
      <w:bookmarkStart w:id="732" w:name="_Toc172024048"/>
      <w:bookmarkStart w:id="733" w:name="_Toc172033367"/>
      <w:r w:rsidRPr="00C3310F">
        <w:rPr>
          <w:rFonts w:hint="eastAsia"/>
        </w:rPr>
        <w:t>以往人流物流都管得非常好，但是整個時代因為科技的變化，現在真正的重點在金流跟資訊流，那就是金融機構跟電信業，所以人流跟物流現在其實我們都規管的沒有問題，哪裡都要身分證啊。</w:t>
      </w:r>
      <w:bookmarkEnd w:id="732"/>
      <w:bookmarkEnd w:id="733"/>
    </w:p>
    <w:p w14:paraId="23948273" w14:textId="568C77AD" w:rsidR="008B1C8E" w:rsidRPr="00C3310F" w:rsidRDefault="008B1C8E" w:rsidP="008B1C8E">
      <w:pPr>
        <w:pStyle w:val="6"/>
      </w:pPr>
      <w:bookmarkStart w:id="734" w:name="_Toc172024049"/>
      <w:bookmarkStart w:id="735" w:name="_Toc172033368"/>
      <w:r w:rsidRPr="00C3310F">
        <w:rPr>
          <w:rFonts w:hint="eastAsia"/>
        </w:rPr>
        <w:t>但是金流跟資訊流其實是沒有規管的；就金流來講，金流的部分有二個點，一個是金融機構不覺得防詐是它的事，它的想法是我是幫忙嘛。那為什麼他這樣想，他的想法就是說這都是檢警調的事，那講來講去，他高層其實不關心，所以各位委員，如果你們去看我們現在所有金融機構的董事會都沒有討論這(反詐騙)問題，其實這(反詐騙)就是最好的ESG的社會責任，但是從來沒有任何董事會討論反詐騙，社會責任都在討論放產假、有沒有給最低工資等等，其實如果要求ESG納入反詐騙去計分，那個對金融機構來講，那個壓力就很</w:t>
      </w:r>
      <w:r w:rsidRPr="00C3310F">
        <w:rPr>
          <w:rFonts w:hint="eastAsia"/>
        </w:rPr>
        <w:lastRenderedPageBreak/>
        <w:t>大，它的股價受影響。</w:t>
      </w:r>
      <w:bookmarkEnd w:id="734"/>
      <w:bookmarkEnd w:id="735"/>
    </w:p>
    <w:p w14:paraId="135D4342" w14:textId="65D81B03" w:rsidR="008B1C8E" w:rsidRPr="00C3310F" w:rsidRDefault="008B1C8E" w:rsidP="008B1C8E">
      <w:pPr>
        <w:pStyle w:val="6"/>
      </w:pPr>
      <w:bookmarkStart w:id="736" w:name="_Toc172024050"/>
      <w:bookmarkStart w:id="737" w:name="_Toc172033369"/>
      <w:r w:rsidRPr="00C3310F">
        <w:rPr>
          <w:rFonts w:hint="eastAsia"/>
        </w:rPr>
        <w:t>第二個是金流會經過的不是只有金融機構，他現在全部都轉移到外面去了，也就是第三方支付跟虛擬貨幣平臺，這二個我們政府都聽起來是有主管機關，但是如果你去問他，他是從來沒有檢查；也就是說你去問他虛擬貨幣是金管會管理，沒有金檢過，從來沒有第三方支付是經濟部管，我們的法條也規定他要檢查，但是他從來沒有檢查。洗防辦公室報告說2021年詐騙就700億，但今(2023)年光上半年就1</w:t>
      </w:r>
      <w:r w:rsidR="004207AF" w:rsidRPr="00C3310F">
        <w:rPr>
          <w:rFonts w:hint="eastAsia"/>
        </w:rPr>
        <w:t>,</w:t>
      </w:r>
      <w:r w:rsidRPr="00C3310F">
        <w:rPr>
          <w:rFonts w:hint="eastAsia"/>
        </w:rPr>
        <w:t>400億，那一定是透過金融機構大家一起幫忙洗，要洗這麼大量的錢，這三個點(銀行、虛擬貨幣、第三方支付)就沒有看到防範措施嘛。</w:t>
      </w:r>
      <w:bookmarkEnd w:id="736"/>
      <w:bookmarkEnd w:id="737"/>
    </w:p>
    <w:p w14:paraId="7BE9E768" w14:textId="2E9122E6" w:rsidR="008B1C8E" w:rsidRPr="00C3310F" w:rsidRDefault="008B1C8E" w:rsidP="008B1C8E">
      <w:pPr>
        <w:pStyle w:val="6"/>
      </w:pPr>
      <w:bookmarkStart w:id="738" w:name="_Toc172024051"/>
      <w:bookmarkStart w:id="739" w:name="_Toc172033370"/>
      <w:r w:rsidRPr="00C3310F">
        <w:rPr>
          <w:rFonts w:hint="eastAsia"/>
        </w:rPr>
        <w:t>個人戶現在慢慢減少，那我們每天都在看嘛，現在全部都是法人，他們都去收購歇業的公司，那歇業的公司都沒有人管，因為經濟部也沒有任何的查核，可是法律有規定他要查核，那所以我講的這幾個，都是我們國家法規其實都有點到，但就是都沒有落實。</w:t>
      </w:r>
      <w:bookmarkEnd w:id="738"/>
      <w:bookmarkEnd w:id="739"/>
    </w:p>
    <w:p w14:paraId="575F75F8" w14:textId="4B7B2656" w:rsidR="008B1C8E" w:rsidRPr="00C3310F" w:rsidRDefault="008B1C8E" w:rsidP="008B1C8E">
      <w:pPr>
        <w:pStyle w:val="6"/>
      </w:pPr>
      <w:bookmarkStart w:id="740" w:name="_Toc172024052"/>
      <w:bookmarkStart w:id="741" w:name="_Toc172033371"/>
      <w:r w:rsidRPr="00C3310F">
        <w:rPr>
          <w:rFonts w:hint="eastAsia"/>
        </w:rPr>
        <w:t>雖然詐騙集團金流現在一直往外，但第</w:t>
      </w:r>
      <w:r w:rsidR="004207AF" w:rsidRPr="00C3310F">
        <w:rPr>
          <w:rFonts w:hint="eastAsia"/>
        </w:rPr>
        <w:t>三</w:t>
      </w:r>
      <w:r w:rsidRPr="00C3310F">
        <w:rPr>
          <w:rFonts w:hint="eastAsia"/>
        </w:rPr>
        <w:t>方支付和地下匯兌最終還是要回到銀行來運作，原因是走地下匯兌錢會被吃掉而且出金費用很高，但是在銀行的話，錢不會被吃掉，手續費又低，兩相比較下，詐騙金流最終其實是會回來金融機構。</w:t>
      </w:r>
      <w:bookmarkEnd w:id="740"/>
      <w:bookmarkEnd w:id="741"/>
    </w:p>
    <w:p w14:paraId="043D883C" w14:textId="10F49F1C" w:rsidR="002D68BA" w:rsidRPr="00C3310F" w:rsidRDefault="008B1C8E" w:rsidP="008B1C8E">
      <w:pPr>
        <w:pStyle w:val="6"/>
      </w:pPr>
      <w:bookmarkStart w:id="742" w:name="_Toc172024053"/>
      <w:bookmarkStart w:id="743" w:name="_Toc172033372"/>
      <w:r w:rsidRPr="00C3310F">
        <w:rPr>
          <w:rFonts w:hint="eastAsia"/>
        </w:rPr>
        <w:t>既然被害人要錢，加害人也要錢，所以我們去想這個制度的時候，應該都想錢在誰身上?很簡單就在處理金流的人身上，也就是金融機構。但是現在或</w:t>
      </w:r>
      <w:r w:rsidR="004207AF" w:rsidRPr="00C3310F">
        <w:rPr>
          <w:rFonts w:hint="eastAsia"/>
        </w:rPr>
        <w:t>許</w:t>
      </w:r>
      <w:r w:rsidRPr="00C3310F">
        <w:rPr>
          <w:rFonts w:hint="eastAsia"/>
        </w:rPr>
        <w:t>洗錢防制都有金檢相關規</w:t>
      </w:r>
      <w:r w:rsidRPr="00C3310F">
        <w:rPr>
          <w:rFonts w:hint="eastAsia"/>
        </w:rPr>
        <w:lastRenderedPageBreak/>
        <w:t>定，但都沒有在執行，也沒有哪一家業務受到限制。但是美國2023年7月26日，眾議院已經通過《21世紀金融創新和技術法案》與《區塊鏈監管確定性法案》</w:t>
      </w:r>
      <w:bookmarkEnd w:id="742"/>
      <w:bookmarkEnd w:id="743"/>
    </w:p>
    <w:p w14:paraId="47A010CE" w14:textId="09C10403" w:rsidR="00147A52" w:rsidRPr="00C3310F" w:rsidRDefault="00147A52" w:rsidP="00147A52">
      <w:pPr>
        <w:pStyle w:val="5"/>
      </w:pPr>
      <w:r w:rsidRPr="00C3310F">
        <w:rPr>
          <w:rFonts w:hint="eastAsia"/>
        </w:rPr>
        <w:t>臺北地檢署林達檢察官</w:t>
      </w:r>
    </w:p>
    <w:p w14:paraId="62B192B7" w14:textId="6A665C0D" w:rsidR="00147A52" w:rsidRPr="00C3310F" w:rsidRDefault="00147A52" w:rsidP="00147A52">
      <w:pPr>
        <w:pStyle w:val="6"/>
      </w:pPr>
      <w:bookmarkStart w:id="744" w:name="_Toc172024054"/>
      <w:bookmarkStart w:id="745" w:name="_Toc172033373"/>
      <w:r w:rsidRPr="00C3310F">
        <w:rPr>
          <w:rFonts w:hint="eastAsia"/>
        </w:rPr>
        <w:t>我直接切入，問題在虛擬貨幣，目前我們可以看到這個金管會有做了很積極的解決，去年的9月2</w:t>
      </w:r>
      <w:r w:rsidRPr="00C3310F">
        <w:t>6</w:t>
      </w:r>
      <w:r w:rsidRPr="00C3310F">
        <w:rPr>
          <w:rFonts w:hint="eastAsia"/>
        </w:rPr>
        <w:t>日有發</w:t>
      </w:r>
      <w:r w:rsidR="004207AF" w:rsidRPr="00C3310F">
        <w:rPr>
          <w:rFonts w:hint="eastAsia"/>
        </w:rPr>
        <w:t>布</w:t>
      </w:r>
      <w:r w:rsidRPr="00C3310F">
        <w:rPr>
          <w:rFonts w:hint="eastAsia"/>
        </w:rPr>
        <w:t>【虛擬資產平臺及交易業務事業基礎原則】V</w:t>
      </w:r>
      <w:r w:rsidR="0014275A" w:rsidRPr="00C3310F">
        <w:rPr>
          <w:rFonts w:hint="eastAsia"/>
        </w:rPr>
        <w:t>A</w:t>
      </w:r>
      <w:r w:rsidRPr="00C3310F">
        <w:rPr>
          <w:rFonts w:hint="eastAsia"/>
        </w:rPr>
        <w:t>SP，裡面第九點提到了個人幣商的問題，那其實我們檢察官發現在實務問題上最大問題就是所謂個人幣商，因為我們抓到了許多的人，被害人都是匯到他的帳戶，結果他到地檢署就說，他是個人幣商，所以他不知道匯款的是詐欺被害人，因此我們拿個人幣商沒有任何辦法，所以最後就是大量的不起訴，當初檢察官呼籲以後，金管會也受到了壓力，所以他現在用V</w:t>
      </w:r>
      <w:r w:rsidR="0014275A" w:rsidRPr="00C3310F">
        <w:rPr>
          <w:rFonts w:hint="eastAsia"/>
        </w:rPr>
        <w:t>A</w:t>
      </w:r>
      <w:r w:rsidRPr="00C3310F">
        <w:rPr>
          <w:rFonts w:hint="eastAsia"/>
        </w:rPr>
        <w:t>SP把個人幣商納入。</w:t>
      </w:r>
      <w:bookmarkEnd w:id="744"/>
      <w:bookmarkEnd w:id="745"/>
    </w:p>
    <w:p w14:paraId="51565530" w14:textId="7514BF3A" w:rsidR="00147A52" w:rsidRPr="00C3310F" w:rsidRDefault="00147A52" w:rsidP="00147A52">
      <w:pPr>
        <w:pStyle w:val="6"/>
      </w:pPr>
      <w:bookmarkStart w:id="746" w:name="_Toc172024055"/>
      <w:bookmarkStart w:id="747" w:name="_Toc172033374"/>
      <w:r w:rsidRPr="00C3310F">
        <w:rPr>
          <w:rFonts w:hint="eastAsia"/>
        </w:rPr>
        <w:t>但如果仔細看這個個人幣商的部分，它裡面的作法是說自然人從虛擬資產業務要向金管會申請法遵聲明，他的聲明裡也要跟法人組織相同。簡單說，金管會新的作業指導原則就是把個人幣商視同為法人，看起來它就對外宣稱，說他把所有的個人幣商都納管了，但我必須說這個在實務上沒有太直接的幫助。怎麼說，其實很簡單，在金管會的正常作業準則下，法人幣商其實要去做聲明，規範其實是相當嚴格，包含他的資安、責任準備金等等，以個人幣商要達到這樣的聲明，其實都做不到，所以也就會變成說，基本上除非說你是有公</w:t>
      </w:r>
      <w:r w:rsidRPr="00C3310F">
        <w:rPr>
          <w:rFonts w:hint="eastAsia"/>
        </w:rPr>
        <w:lastRenderedPageBreak/>
        <w:t>司組織，有請技術人員才能做到。但金管會只是簡單地把個人幣商等同法人，但法條是沒有幣商的明確定義的，實務上幣商概念有兩種，一種是</w:t>
      </w:r>
      <w:r w:rsidR="0004575A" w:rsidRPr="00C3310F">
        <w:rPr>
          <w:rFonts w:hint="eastAsia"/>
        </w:rPr>
        <w:t>平臺</w:t>
      </w:r>
      <w:r w:rsidRPr="00C3310F">
        <w:rPr>
          <w:rFonts w:hint="eastAsia"/>
        </w:rPr>
        <w:t>業者，它設一個平臺讓人家來存放虛擬貨幣或者進行貨幣的轉移，這個我們會理解為一個保存或者是仲介或者是經濟服務的；但是第二種，我們現在實務上大量案件的幣商不是</w:t>
      </w:r>
      <w:r w:rsidR="0004575A" w:rsidRPr="00C3310F">
        <w:rPr>
          <w:rFonts w:hint="eastAsia"/>
        </w:rPr>
        <w:t>平臺</w:t>
      </w:r>
      <w:r w:rsidRPr="00C3310F">
        <w:rPr>
          <w:rFonts w:hint="eastAsia"/>
        </w:rPr>
        <w:t>這個觀念，他們只是個人投資客，他自己買很多賣很多，買</w:t>
      </w:r>
      <w:r w:rsidR="0014275A" w:rsidRPr="00C3310F">
        <w:rPr>
          <w:rFonts w:hint="eastAsia"/>
        </w:rPr>
        <w:t>賣</w:t>
      </w:r>
      <w:r w:rsidRPr="00C3310F">
        <w:rPr>
          <w:rFonts w:hint="eastAsia"/>
        </w:rPr>
        <w:t>進出這樣每年量很大。我們修法方向會說這些人都是幣商啊，所以你應該去法遵聲明，但這都是</w:t>
      </w:r>
      <w:r w:rsidR="0004575A" w:rsidRPr="00C3310F">
        <w:rPr>
          <w:rFonts w:hint="eastAsia"/>
        </w:rPr>
        <w:t>平臺</w:t>
      </w:r>
      <w:r w:rsidRPr="00C3310F">
        <w:rPr>
          <w:rFonts w:hint="eastAsia"/>
        </w:rPr>
        <w:t>概念，因此個人幣商在地檢署就會說我又不是要經營平臺業者，我只是投資客，我幹嘛要去聲明呢?所以就金管會立法說幣商沒有聲明應該要判罪，最後檢察官應該沒辦法起訴，就算起訴好了，我相信法院可能也不會判有罪。</w:t>
      </w:r>
      <w:bookmarkEnd w:id="746"/>
      <w:bookmarkEnd w:id="747"/>
    </w:p>
    <w:p w14:paraId="780F030D" w14:textId="41F768B1" w:rsidR="00147A52" w:rsidRPr="00C3310F" w:rsidRDefault="00147A52" w:rsidP="00147A52">
      <w:pPr>
        <w:pStyle w:val="6"/>
      </w:pPr>
      <w:bookmarkStart w:id="748" w:name="_Toc172024056"/>
      <w:bookmarkStart w:id="749" w:name="_Toc172033375"/>
      <w:r w:rsidRPr="00C3310F">
        <w:rPr>
          <w:rFonts w:hint="eastAsia"/>
        </w:rPr>
        <w:t>我個人有幾個建議的結論，第一個就是說我們在虛擬貨幣資恐打擊、資恐辦法裡面，是不是應該把對象的定義更清楚地劃分出來，把</w:t>
      </w:r>
      <w:r w:rsidR="0004575A" w:rsidRPr="00C3310F">
        <w:rPr>
          <w:rFonts w:hint="eastAsia"/>
        </w:rPr>
        <w:t>平臺</w:t>
      </w:r>
      <w:r w:rsidRPr="00C3310F">
        <w:rPr>
          <w:rFonts w:hint="eastAsia"/>
        </w:rPr>
        <w:t>業者和投資客兩種能夠劃分出來。那我們對投資客的部分要怎麼管理?那我們建議在一定的量以下，他其實可能真的就是一個單純的玩家就是甚至是被騙的被害人他一年可能進出次數不多，但有的人他常態每天進出，這種應該是一個資深重要的玩家，甚至以這個差價為獲利的，那在一定次數以上的就應該要給予某一種聲明或管制，換句話說要到金管會去做聲明的人，恐怕有兩種幣商，一種是比較高階品牌業者，他的門檻很高就像</w:t>
      </w:r>
      <w:r w:rsidRPr="00C3310F">
        <w:rPr>
          <w:rFonts w:hint="eastAsia"/>
        </w:rPr>
        <w:lastRenderedPageBreak/>
        <w:t>法人；另一種比較低階的，聲明就簡單一點，讓大家都做得到。這樣規定之後，你就不能夠免除說你只是個人在買賣，你還是必須要比照營運的事業在做繳稅。那我認為說，虛擬貨幣上面有沒有可能畫出一個界線。如果說你虛擬貨幣會變成所謂個人利得，是以這個為主業，那就去繳稅啊；這種應該要在國稅局要有一個稅籍，你去做一個聲明，然後繳一定的稅。不可能說那邊不繳稅，另一邊也不做聲明，然後來地檢署的時候說你是幣商要免刑事責任，等到要起訴的時候，又說你不是平臺性質的幣商所以無罪。簡單說，我們覺得虛擬貨幣交易每年只要超過一定數量次數或金額的人，那你就去聲明，去工業局登記一戶，然後要有一定的教育訓練。那跟人家買賣的時候，一定要有對方的本人身</w:t>
      </w:r>
      <w:r w:rsidR="000F4F23" w:rsidRPr="00C3310F">
        <w:rPr>
          <w:rFonts w:hint="eastAsia"/>
        </w:rPr>
        <w:t>分</w:t>
      </w:r>
      <w:r w:rsidRPr="00C3310F">
        <w:rPr>
          <w:rFonts w:hint="eastAsia"/>
        </w:rPr>
        <w:t>證字號等等，你都要做到。如果能夠把這樣的層級化做出來，我認為對虛擬貨幣的整個觀念會比較好，不要都直接用幣商這樣一個非常混淆的概念。</w:t>
      </w:r>
      <w:bookmarkEnd w:id="748"/>
      <w:bookmarkEnd w:id="749"/>
    </w:p>
    <w:p w14:paraId="72F50A26" w14:textId="5DF34957" w:rsidR="008B1C8E" w:rsidRPr="00C3310F" w:rsidRDefault="00147A52" w:rsidP="00147A52">
      <w:pPr>
        <w:pStyle w:val="6"/>
      </w:pPr>
      <w:bookmarkStart w:id="750" w:name="_Toc172024057"/>
      <w:bookmarkStart w:id="751" w:name="_Toc172033376"/>
      <w:r w:rsidRPr="00C3310F">
        <w:rPr>
          <w:rFonts w:hint="eastAsia"/>
        </w:rPr>
        <w:t>再來是第三方支付，我自己個人辦過很多案就非常的痛苦，因為以前最多的碰到匯款帳戶是虛擬帳號，譬如說玉山銀行，我們問說這個帳號是誰的？結果他就要函復我們說是虛擬帳號，這個虛擬帳號是由某某第三方支付公司發出的，我們就要發函去給那個第三方支付公司函調說這個帳號是你們發出，那請問你們是幫誰代收代付啊？然後八成的案件發過去都不會回函。我怎麼辦？我案子那麼多，只好就結案了。假設我積極一點去查那家公司負責人，然後就把他傳喚來，他要嘛就不</w:t>
      </w:r>
      <w:r w:rsidRPr="00C3310F">
        <w:rPr>
          <w:rFonts w:hint="eastAsia"/>
        </w:rPr>
        <w:lastRenderedPageBreak/>
        <w:t>來，就算來了，我請他告訴我幾月幾號這一筆六十五萬，為什麼會是你在代收代付，他說檢察官我回去查一下，他回去以後呢就翻箱倒櫃，其實他們就是詐騙集團的，他就隨便拿出很多張的契約書，然後說這個是林達委託的，簽名的人是林達，那我就傳林達來，林達一來說我沒有簽過名啊，曾經遺失過，結果還是不起訴處分，後來就不查了，因為沒有意義啊。</w:t>
      </w:r>
      <w:bookmarkEnd w:id="750"/>
      <w:bookmarkEnd w:id="751"/>
    </w:p>
    <w:p w14:paraId="3D933A88" w14:textId="2E015B60" w:rsidR="00147A52" w:rsidRPr="00C3310F" w:rsidRDefault="00147A52" w:rsidP="00147A52">
      <w:pPr>
        <w:pStyle w:val="6"/>
      </w:pPr>
      <w:bookmarkStart w:id="752" w:name="_Toc172024058"/>
      <w:bookmarkStart w:id="753" w:name="_Toc172033377"/>
      <w:r w:rsidRPr="00C3310F">
        <w:rPr>
          <w:rFonts w:hint="eastAsia"/>
        </w:rPr>
        <w:t>我覺得具體的建議，首先第一個就是所有交易所熱錢包應該要公開，他應該是一個可以被監管的內容，就是熱錢包的意思就是歸戶錢包，我舉例來說好了，比如說幣安、火幣大家比較熟知的幾個交易所，其實交易所就會是洗錢的斷點，合規的交易所的話，基本上檢警都調得到KYC資料，所以我們至少會知道說某一筆資料中間經過很多次的層轉，層轉之後，假設要從幣安的某一個用戶的錢包出金，那我就會找幣安去調那個用戶的充值錢包地址KYC是誰?我就會知道資金後面要跑去哪裡。這個做法有個前提就是熱錢包應該要被公開，那我們在做金額追蹤的時候才好去判別說現在看到這個錢包是私人的非託管錢包，還是是屬於交易所的熱錢包?那以現在臺灣水房來說，他們最常用的其實是一家在柬埔寨的交易所叫</w:t>
      </w:r>
      <w:r w:rsidR="00F56F7F" w:rsidRPr="00C3310F">
        <w:rPr>
          <w:rFonts w:ascii="新細明體" w:eastAsia="新細明體" w:hAnsi="新細明體" w:hint="eastAsia"/>
        </w:rPr>
        <w:t>〇〇</w:t>
      </w:r>
      <w:r w:rsidRPr="00C3310F">
        <w:rPr>
          <w:rFonts w:hint="eastAsia"/>
        </w:rPr>
        <w:t>，但是我們管不到</w:t>
      </w:r>
      <w:bookmarkEnd w:id="752"/>
      <w:bookmarkEnd w:id="753"/>
      <w:r w:rsidR="00F56F7F" w:rsidRPr="00C3310F">
        <w:rPr>
          <w:rFonts w:ascii="新細明體" w:eastAsia="新細明體" w:hAnsi="新細明體" w:hint="eastAsia"/>
        </w:rPr>
        <w:t>〇〇</w:t>
      </w:r>
      <w:r w:rsidR="00D703F8" w:rsidRPr="00C3310F">
        <w:rPr>
          <w:rFonts w:ascii="新細明體" w:eastAsia="新細明體" w:hAnsi="新細明體" w:hint="eastAsia"/>
        </w:rPr>
        <w:t>。</w:t>
      </w:r>
    </w:p>
    <w:p w14:paraId="54394E71" w14:textId="59517987" w:rsidR="00147A52" w:rsidRPr="00C3310F" w:rsidRDefault="00147A52" w:rsidP="00147A52">
      <w:pPr>
        <w:pStyle w:val="5"/>
      </w:pPr>
      <w:r w:rsidRPr="00C3310F">
        <w:rPr>
          <w:rFonts w:hint="eastAsia"/>
        </w:rPr>
        <w:t>社團法人</w:t>
      </w:r>
      <w:r w:rsidR="00D703F8" w:rsidRPr="00C3310F">
        <w:rPr>
          <w:rFonts w:hint="eastAsia"/>
        </w:rPr>
        <w:t>全球反詐騙組織</w:t>
      </w:r>
      <w:r w:rsidRPr="00C3310F">
        <w:rPr>
          <w:rFonts w:hint="eastAsia"/>
        </w:rPr>
        <w:t>台灣分會理事長</w:t>
      </w:r>
    </w:p>
    <w:p w14:paraId="3583397E" w14:textId="25B0119A" w:rsidR="00147A52" w:rsidRPr="00C3310F" w:rsidRDefault="00147A52" w:rsidP="00147A52">
      <w:pPr>
        <w:pStyle w:val="6"/>
      </w:pPr>
      <w:bookmarkStart w:id="754" w:name="_Toc172024059"/>
      <w:bookmarkStart w:id="755" w:name="_Toc172033378"/>
      <w:r w:rsidRPr="00C3310F">
        <w:rPr>
          <w:rFonts w:hint="eastAsia"/>
        </w:rPr>
        <w:t>有關虛擬貨幣在產業鏈扮演的角色，有一部分金流是走反方向，用匯款或是面交現金的這種做法，但到後面七成案件都是以虛擬貨幣方式出去。也有一開始就是直接走虛擬貨</w:t>
      </w:r>
      <w:r w:rsidRPr="00C3310F">
        <w:rPr>
          <w:rFonts w:hint="eastAsia"/>
        </w:rPr>
        <w:lastRenderedPageBreak/>
        <w:t>幣的，其中特別是裡面的USDT穩定幣，這一類的不法所得其實是會被在區塊鏈安全標註為黑U，這些黑U要如何去洗白?就會是一個對於洗錢方很重要事情，通常會用社群媒體去找可以做兌換的，然後慢慢把黑U消化掉，用各種平臺去做洗錢，中國那時候還弄一個斷卡行動，當時候凍結了</w:t>
      </w:r>
      <w:r w:rsidR="0014275A" w:rsidRPr="00C3310F">
        <w:rPr>
          <w:rFonts w:hint="eastAsia"/>
        </w:rPr>
        <w:t>14</w:t>
      </w:r>
      <w:r w:rsidRPr="00C3310F">
        <w:rPr>
          <w:rFonts w:hint="eastAsia"/>
        </w:rPr>
        <w:t>億的帳戶，包含留學生要去開帳戶都會變得非常困難，洗錢很難把錢匯出來，因為這個緣故，很多機房就放棄了中國盤轉做臺灣盤，現在就轉做歐美盤，對象還是在歐美的華人。</w:t>
      </w:r>
      <w:bookmarkEnd w:id="754"/>
      <w:bookmarkEnd w:id="755"/>
    </w:p>
    <w:p w14:paraId="06415498" w14:textId="1388A893" w:rsidR="00147A52" w:rsidRPr="00C3310F" w:rsidRDefault="00147A52" w:rsidP="00147A52">
      <w:pPr>
        <w:pStyle w:val="6"/>
      </w:pPr>
      <w:bookmarkStart w:id="756" w:name="_Toc172024060"/>
      <w:bookmarkStart w:id="757" w:name="_Toc172033379"/>
      <w:r w:rsidRPr="00C3310F">
        <w:rPr>
          <w:rFonts w:hint="eastAsia"/>
        </w:rPr>
        <w:t>以詐欺來說，他們真正想要的東西是財產，所以目標就應該要放在金流，去降低整個詐欺產業鏈的獲利，所以核心要處理就要變成是洗錢了，回到虛擬貨幣增強反洗錢的這個能力，應該是現行唯一可以去處理的課題。</w:t>
      </w:r>
      <w:bookmarkEnd w:id="756"/>
      <w:bookmarkEnd w:id="757"/>
    </w:p>
    <w:p w14:paraId="1356F914" w14:textId="6EA00773" w:rsidR="008B1C8E" w:rsidRPr="00C3310F" w:rsidRDefault="00D703F8" w:rsidP="008B1C8E">
      <w:pPr>
        <w:pStyle w:val="5"/>
      </w:pPr>
      <w:r w:rsidRPr="00C3310F">
        <w:rPr>
          <w:rFonts w:hint="eastAsia"/>
        </w:rPr>
        <w:t>Gogolook</w:t>
      </w:r>
      <w:r w:rsidR="008B1C8E" w:rsidRPr="00C3310F">
        <w:rPr>
          <w:rFonts w:hint="eastAsia"/>
        </w:rPr>
        <w:t>劉彥伯總監:剛才有提到金流，因為其實詐騙有分兩塊，一塊是他透過原來的臺灣本地的金融把這些錢洗出去；另外一種是透過線上或信用卡的方式來做持續的詐騙，所以金流方面，我們過去可能會要求銀行做一些</w:t>
      </w:r>
      <w:r w:rsidR="008B1C8E" w:rsidRPr="00C3310F">
        <w:t>SOP</w:t>
      </w:r>
      <w:r w:rsidR="008B1C8E" w:rsidRPr="00C3310F">
        <w:rPr>
          <w:rFonts w:hint="eastAsia"/>
        </w:rPr>
        <w:t>來控管，但事實上，詐騙還是可以透過交易貨幣或其他方式把錢轉出去，這我們在東南亞市場都看過。</w:t>
      </w:r>
    </w:p>
    <w:p w14:paraId="0A9E2E0A" w14:textId="77777777" w:rsidR="008B1C8E" w:rsidRPr="00C3310F" w:rsidRDefault="008B1C8E" w:rsidP="00A77297">
      <w:pPr>
        <w:pStyle w:val="4"/>
      </w:pPr>
      <w:r w:rsidRPr="00C3310F">
        <w:rPr>
          <w:rFonts w:hint="eastAsia"/>
        </w:rPr>
        <w:t>懲詐面(詐欺集團研究、檢方及犯罪學學者)</w:t>
      </w:r>
    </w:p>
    <w:p w14:paraId="7158EAD4" w14:textId="0C4AC410" w:rsidR="00A77297" w:rsidRPr="00C3310F" w:rsidRDefault="00A77297" w:rsidP="008B1C8E">
      <w:pPr>
        <w:pStyle w:val="5"/>
      </w:pPr>
      <w:r w:rsidRPr="00C3310F">
        <w:rPr>
          <w:rFonts w:hint="eastAsia"/>
        </w:rPr>
        <w:t>中央警察大學外事警察學系 孟維德教授</w:t>
      </w:r>
    </w:p>
    <w:p w14:paraId="7B35C5DE" w14:textId="77777777" w:rsidR="00A77297" w:rsidRPr="00C3310F" w:rsidRDefault="00A77297" w:rsidP="008B1C8E">
      <w:pPr>
        <w:pStyle w:val="6"/>
      </w:pPr>
      <w:bookmarkStart w:id="758" w:name="_Toc172024061"/>
      <w:bookmarkStart w:id="759" w:name="_Toc172033380"/>
      <w:r w:rsidRPr="00C3310F">
        <w:rPr>
          <w:rFonts w:hint="eastAsia"/>
        </w:rPr>
        <w:t>我也曾經分析過有派與不派駐外執法人員的國家在追緝這個跨國犯罪；有派駐執法人員的國家破案率高很多，我建議外交部可以的話，應該是可以讓我們的外館，多接受一些法</w:t>
      </w:r>
      <w:r w:rsidRPr="00C3310F">
        <w:rPr>
          <w:rFonts w:hint="eastAsia"/>
        </w:rPr>
        <w:lastRenderedPageBreak/>
        <w:t>務部或內政部的執法人員，應該有助於我們偵辦跨境洗錢。</w:t>
      </w:r>
      <w:bookmarkEnd w:id="758"/>
      <w:bookmarkEnd w:id="759"/>
    </w:p>
    <w:p w14:paraId="58F4C36B" w14:textId="041E63E5" w:rsidR="00A77297" w:rsidRPr="00C3310F" w:rsidRDefault="00A77297" w:rsidP="008B1C8E">
      <w:pPr>
        <w:pStyle w:val="6"/>
      </w:pPr>
      <w:bookmarkStart w:id="760" w:name="_Toc172024062"/>
      <w:bookmarkStart w:id="761" w:name="_Toc172033381"/>
      <w:r w:rsidRPr="00C3310F">
        <w:rPr>
          <w:rFonts w:hint="eastAsia"/>
        </w:rPr>
        <w:t>詐騙集團的組織結構不是像幫派，而是非常的鬆垮、扁平、彈性的，他們絕對不是以詐騙集團的分子來自居，他們是以生意人的身</w:t>
      </w:r>
      <w:r w:rsidR="000F4F23" w:rsidRPr="00C3310F">
        <w:rPr>
          <w:rFonts w:hint="eastAsia"/>
        </w:rPr>
        <w:t>分</w:t>
      </w:r>
      <w:r w:rsidRPr="00C3310F">
        <w:rPr>
          <w:rFonts w:hint="eastAsia"/>
        </w:rPr>
        <w:t>自居，大家是一起來做生意的，因此誰在集團裡面創造大的利益，誰講話就大聲。</w:t>
      </w:r>
      <w:bookmarkEnd w:id="760"/>
      <w:bookmarkEnd w:id="761"/>
    </w:p>
    <w:p w14:paraId="40F9BDC2" w14:textId="77777777" w:rsidR="00A77297" w:rsidRPr="00C3310F" w:rsidRDefault="00A77297" w:rsidP="008B1C8E">
      <w:pPr>
        <w:pStyle w:val="6"/>
      </w:pPr>
      <w:bookmarkStart w:id="762" w:name="_Toc172024063"/>
      <w:bookmarkStart w:id="763" w:name="_Toc172033382"/>
      <w:r w:rsidRPr="00C3310F">
        <w:rPr>
          <w:rFonts w:hint="eastAsia"/>
        </w:rPr>
        <w:t>犯罪的人多半都是把坐牢當作犯罪的成本，只要不查扣到他的不法利益，他都覺得值得，假設騙800萬判3年有期徒刑，他都會去犯法。</w:t>
      </w:r>
      <w:bookmarkEnd w:id="762"/>
      <w:bookmarkEnd w:id="763"/>
    </w:p>
    <w:p w14:paraId="47F185CE" w14:textId="77777777" w:rsidR="00A77297" w:rsidRPr="00C3310F" w:rsidRDefault="00A77297" w:rsidP="008B1C8E">
      <w:pPr>
        <w:pStyle w:val="6"/>
      </w:pPr>
      <w:bookmarkStart w:id="764" w:name="_Toc172024064"/>
      <w:bookmarkStart w:id="765" w:name="_Toc172033383"/>
      <w:r w:rsidRPr="00C3310F">
        <w:rPr>
          <w:rFonts w:hint="eastAsia"/>
        </w:rPr>
        <w:t>即使徒刑增高了，但是你擋不到他，因為當刑罰不確定時，再高的刑罰也是沒用的，所以重點在刑罰的確定性，你能不能逮到他？你能不能查扣他的犯罪不法利益？這是重點。</w:t>
      </w:r>
      <w:bookmarkEnd w:id="764"/>
      <w:bookmarkEnd w:id="765"/>
    </w:p>
    <w:p w14:paraId="17A710DF" w14:textId="77777777" w:rsidR="00A77297" w:rsidRPr="00C3310F" w:rsidRDefault="00A77297" w:rsidP="008B1C8E">
      <w:pPr>
        <w:pStyle w:val="6"/>
      </w:pPr>
      <w:bookmarkStart w:id="766" w:name="_Toc172024065"/>
      <w:bookmarkStart w:id="767" w:name="_Toc172033384"/>
      <w:r w:rsidRPr="00C3310F">
        <w:rPr>
          <w:rFonts w:hint="eastAsia"/>
        </w:rPr>
        <w:t>政府要給執法部門「科技對付科技」的資源量，我們現在的執法部門比不上這些犯罪集團的科技量，有足夠的科技量，才有辦法提高我們的刑罰的確定性。</w:t>
      </w:r>
      <w:bookmarkEnd w:id="766"/>
      <w:bookmarkEnd w:id="767"/>
    </w:p>
    <w:p w14:paraId="7F3EF71A" w14:textId="2B5041E7" w:rsidR="00A77297" w:rsidRPr="00C3310F" w:rsidRDefault="00A77297" w:rsidP="008B1C8E">
      <w:pPr>
        <w:pStyle w:val="5"/>
      </w:pPr>
      <w:r w:rsidRPr="00C3310F">
        <w:rPr>
          <w:rFonts w:hint="eastAsia"/>
        </w:rPr>
        <w:t>臺灣</w:t>
      </w:r>
      <w:r w:rsidR="00DF3BE8" w:rsidRPr="00C3310F">
        <w:rPr>
          <w:rFonts w:hint="eastAsia"/>
        </w:rPr>
        <w:t>臺北地方檢察署</w:t>
      </w:r>
      <w:r w:rsidRPr="00C3310F">
        <w:rPr>
          <w:rFonts w:hint="eastAsia"/>
        </w:rPr>
        <w:t xml:space="preserve"> 姜長志檢察官</w:t>
      </w:r>
    </w:p>
    <w:p w14:paraId="2D9A9436" w14:textId="77777777" w:rsidR="00A77297" w:rsidRPr="00C3310F" w:rsidRDefault="00A77297" w:rsidP="008B1C8E">
      <w:pPr>
        <w:pStyle w:val="6"/>
      </w:pPr>
      <w:bookmarkStart w:id="768" w:name="_Toc172024066"/>
      <w:bookmarkStart w:id="769" w:name="_Toc172033385"/>
      <w:r w:rsidRPr="00C3310F">
        <w:rPr>
          <w:rFonts w:hint="eastAsia"/>
        </w:rPr>
        <w:t>昨天才發生一件事臺南地院的法官把那個詐騙跟吸金案的被告，全部在強制處分庭全部把他放走，我們有扣到他們的教戰守則，就教怎麼應對檢警的對話，那有教戰守則，他(法官)竟然還是認為沒有串證之虞，然後直接把人全部放走，那這個會對我們造成未來，造成政策上有多大的阻礙。</w:t>
      </w:r>
      <w:bookmarkEnd w:id="768"/>
      <w:bookmarkEnd w:id="769"/>
    </w:p>
    <w:p w14:paraId="1E34A786" w14:textId="77777777" w:rsidR="00A77297" w:rsidRPr="00C3310F" w:rsidRDefault="00A77297" w:rsidP="008B1C8E">
      <w:pPr>
        <w:pStyle w:val="6"/>
      </w:pPr>
      <w:bookmarkStart w:id="770" w:name="_Toc172024067"/>
      <w:bookmarkStart w:id="771" w:name="_Toc172033386"/>
      <w:r w:rsidRPr="00C3310F">
        <w:rPr>
          <w:rFonts w:hint="eastAsia"/>
        </w:rPr>
        <w:t>再來第二個關於抓車手的科技偵查能量和偵查技術要怎麼提升，真的要請委員多多關心科技偵查法，有科偵法就不用派臥底，手機就可以植入木馬做臥底。沒有科偵法，我們不僅</w:t>
      </w:r>
      <w:r w:rsidRPr="00C3310F">
        <w:rPr>
          <w:rFonts w:hint="eastAsia"/>
        </w:rPr>
        <w:lastRenderedPageBreak/>
        <w:t>不能滲透詐騙集團，反而被詐騙集團滲透。</w:t>
      </w:r>
      <w:bookmarkEnd w:id="770"/>
      <w:bookmarkEnd w:id="771"/>
    </w:p>
    <w:p w14:paraId="650B733A" w14:textId="21CEEF3A" w:rsidR="00A77297" w:rsidRPr="00C3310F" w:rsidRDefault="00A77297" w:rsidP="008B1C8E">
      <w:pPr>
        <w:pStyle w:val="5"/>
      </w:pPr>
      <w:r w:rsidRPr="00C3310F">
        <w:rPr>
          <w:rFonts w:hint="eastAsia"/>
        </w:rPr>
        <w:t>警政署 曾</w:t>
      </w:r>
      <w:r w:rsidR="004A0A47" w:rsidRPr="00C3310F">
        <w:rPr>
          <w:rFonts w:ascii="新細明體" w:eastAsia="新細明體" w:hAnsi="新細明體" w:hint="eastAsia"/>
        </w:rPr>
        <w:t>〇</w:t>
      </w:r>
      <w:r w:rsidRPr="00C3310F">
        <w:rPr>
          <w:rFonts w:hint="eastAsia"/>
        </w:rPr>
        <w:t>芬專員</w:t>
      </w:r>
    </w:p>
    <w:p w14:paraId="03507714" w14:textId="19229D8C" w:rsidR="00A77297" w:rsidRPr="00C3310F" w:rsidRDefault="00A77297" w:rsidP="008B1C8E">
      <w:pPr>
        <w:pStyle w:val="6"/>
      </w:pPr>
      <w:bookmarkStart w:id="772" w:name="_Toc172024068"/>
      <w:bookmarkStart w:id="773" w:name="_Toc172033387"/>
      <w:r w:rsidRPr="00C3310F">
        <w:rPr>
          <w:rFonts w:hint="eastAsia"/>
        </w:rPr>
        <w:t>受害者覺得他錢追不回來，有些人就根本不想報案，其實目前的狀況</w:t>
      </w:r>
      <w:r w:rsidR="0071783A" w:rsidRPr="00C3310F">
        <w:rPr>
          <w:rFonts w:hint="eastAsia"/>
        </w:rPr>
        <w:t>就</w:t>
      </w:r>
      <w:r w:rsidRPr="00C3310F">
        <w:rPr>
          <w:rFonts w:hint="eastAsia"/>
        </w:rPr>
        <w:t>是這樣。</w:t>
      </w:r>
      <w:bookmarkEnd w:id="772"/>
      <w:bookmarkEnd w:id="773"/>
    </w:p>
    <w:p w14:paraId="40F4E92C" w14:textId="4D81B9ED" w:rsidR="00A77297" w:rsidRPr="00C3310F" w:rsidRDefault="00A77297" w:rsidP="008B1C8E">
      <w:pPr>
        <w:pStyle w:val="6"/>
      </w:pPr>
      <w:bookmarkStart w:id="774" w:name="_Toc172024069"/>
      <w:bookmarkStart w:id="775" w:name="_Toc172033388"/>
      <w:r w:rsidRPr="00C3310F">
        <w:rPr>
          <w:rFonts w:hint="eastAsia"/>
        </w:rPr>
        <w:t>檢察官跟警察在後面苦苦的追趕，因為犯罪手法是不斷翻新的，犯罪手法會結合最新的科技，然後不斷的演變，</w:t>
      </w:r>
      <w:r w:rsidR="0071783A" w:rsidRPr="00C3310F">
        <w:rPr>
          <w:rFonts w:hint="eastAsia"/>
        </w:rPr>
        <w:t>這就是為何</w:t>
      </w:r>
      <w:r w:rsidRPr="00C3310F">
        <w:rPr>
          <w:rFonts w:hint="eastAsia"/>
        </w:rPr>
        <w:t>目前為止在斷源的部分，其實還是很難達到</w:t>
      </w:r>
      <w:bookmarkEnd w:id="774"/>
      <w:bookmarkEnd w:id="775"/>
      <w:r w:rsidR="00D703F8" w:rsidRPr="00C3310F">
        <w:rPr>
          <w:rFonts w:hint="eastAsia"/>
        </w:rPr>
        <w:t>。</w:t>
      </w:r>
    </w:p>
    <w:p w14:paraId="0EA20B97" w14:textId="1ABC4E07" w:rsidR="00A77297" w:rsidRPr="00C3310F" w:rsidRDefault="00A77297" w:rsidP="007360D5">
      <w:pPr>
        <w:pStyle w:val="5"/>
      </w:pPr>
      <w:r w:rsidRPr="00C3310F">
        <w:rPr>
          <w:rFonts w:hint="eastAsia"/>
        </w:rPr>
        <w:t>國立中正大學犯罪防治學系許華孚教授</w:t>
      </w:r>
    </w:p>
    <w:p w14:paraId="79A358B9" w14:textId="3A320CAB" w:rsidR="00A77297" w:rsidRPr="00C3310F" w:rsidRDefault="00A77297" w:rsidP="007360D5">
      <w:pPr>
        <w:pStyle w:val="6"/>
      </w:pPr>
      <w:bookmarkStart w:id="776" w:name="_Toc172033389"/>
      <w:r w:rsidRPr="00C3310F">
        <w:rPr>
          <w:rFonts w:hint="eastAsia"/>
        </w:rPr>
        <w:t>近年暴力犯罪一直下降，但是詐欺犯罪成長了好幾倍，那我們也要學英國</w:t>
      </w:r>
      <w:r w:rsidR="00D703F8" w:rsidRPr="00C3310F">
        <w:rPr>
          <w:rFonts w:hint="eastAsia"/>
        </w:rPr>
        <w:t>、</w:t>
      </w:r>
      <w:r w:rsidRPr="00C3310F">
        <w:rPr>
          <w:rFonts w:hint="eastAsia"/>
        </w:rPr>
        <w:t>日本怎麼去打詐，那我剛才說詐欺是全球化的現象，所以現在很多國家都立這種法律來打詐。</w:t>
      </w:r>
      <w:bookmarkEnd w:id="776"/>
    </w:p>
    <w:p w14:paraId="0A8FAC3E" w14:textId="1D11AE2B" w:rsidR="00A77297" w:rsidRPr="00C3310F" w:rsidRDefault="00A77297" w:rsidP="007360D5">
      <w:pPr>
        <w:pStyle w:val="6"/>
      </w:pPr>
      <w:bookmarkStart w:id="777" w:name="_Toc172033390"/>
      <w:r w:rsidRPr="00C3310F">
        <w:rPr>
          <w:rFonts w:hint="eastAsia"/>
        </w:rPr>
        <w:t>我們可以看到一個數據，我們大概詐欺有起訴的有</w:t>
      </w:r>
      <w:r w:rsidR="0014275A" w:rsidRPr="00C3310F">
        <w:rPr>
          <w:rFonts w:hint="eastAsia"/>
        </w:rPr>
        <w:t>5</w:t>
      </w:r>
      <w:r w:rsidRPr="00C3310F">
        <w:rPr>
          <w:rFonts w:hint="eastAsia"/>
        </w:rPr>
        <w:t>萬多人，但是真正被判定入監服刑只有</w:t>
      </w:r>
      <w:r w:rsidR="0014275A" w:rsidRPr="00C3310F">
        <w:rPr>
          <w:rFonts w:hint="eastAsia"/>
        </w:rPr>
        <w:t>1</w:t>
      </w:r>
      <w:r w:rsidRPr="00C3310F">
        <w:rPr>
          <w:rFonts w:hint="eastAsia"/>
        </w:rPr>
        <w:t>萬</w:t>
      </w:r>
      <w:r w:rsidR="0014275A" w:rsidRPr="00C3310F">
        <w:rPr>
          <w:rFonts w:hint="eastAsia"/>
        </w:rPr>
        <w:t>6</w:t>
      </w:r>
      <w:r w:rsidR="0014275A" w:rsidRPr="00C3310F">
        <w:t>,</w:t>
      </w:r>
      <w:r w:rsidR="0014275A" w:rsidRPr="00C3310F">
        <w:rPr>
          <w:rFonts w:hint="eastAsia"/>
        </w:rPr>
        <w:t>000</w:t>
      </w:r>
      <w:r w:rsidRPr="00C3310F">
        <w:rPr>
          <w:rFonts w:hint="eastAsia"/>
        </w:rPr>
        <w:t>多，表示說只有三成判定有罪，其他陸陸續續交保的七成的人，交保出去還是持續在騙，像在美國有毒品法庭、家庭暴力法庭、精神障礙犯罪法庭等，所以我認為可不可以成立一個專門打詐的法庭，然後速審速決，我覺得這是刻不容緩的</w:t>
      </w:r>
      <w:bookmarkEnd w:id="777"/>
      <w:r w:rsidR="00D703F8" w:rsidRPr="00C3310F">
        <w:rPr>
          <w:rFonts w:hint="eastAsia"/>
        </w:rPr>
        <w:t>。</w:t>
      </w:r>
    </w:p>
    <w:p w14:paraId="44CF83E4" w14:textId="77777777" w:rsidR="00A77297" w:rsidRPr="00C3310F" w:rsidRDefault="00A77297" w:rsidP="007360D5">
      <w:pPr>
        <w:pStyle w:val="6"/>
      </w:pPr>
      <w:bookmarkStart w:id="778" w:name="_Toc172033391"/>
      <w:r w:rsidRPr="00C3310F">
        <w:rPr>
          <w:rFonts w:hint="eastAsia"/>
        </w:rPr>
        <w:t>檢警的犯罪偵查手段是有限的，包括電信流反向追蹤偵查還有相關機關查緝的配合度很低，還有通信軟體監聽還有國際司法互助，此外證據搜查不易，尤其現在很多機房都是在國外，證據取得很困難。</w:t>
      </w:r>
      <w:bookmarkEnd w:id="778"/>
    </w:p>
    <w:p w14:paraId="68039299" w14:textId="77777777" w:rsidR="00A77297" w:rsidRPr="00C3310F" w:rsidRDefault="00A77297" w:rsidP="007360D5">
      <w:pPr>
        <w:pStyle w:val="6"/>
      </w:pPr>
      <w:bookmarkStart w:id="779" w:name="_Toc172033392"/>
      <w:r w:rsidRPr="00C3310F">
        <w:rPr>
          <w:rFonts w:hint="eastAsia"/>
        </w:rPr>
        <w:t>刑事司法嚇阻力低，會考慮成立那個詐欺專法原因就是我們刑事司法過程非常冗長，然後犯罪的利益大於這個罰則，所以很多人交保後，又再加入犯罪集團持續犯罪。</w:t>
      </w:r>
      <w:bookmarkEnd w:id="779"/>
    </w:p>
    <w:p w14:paraId="6C1BF070" w14:textId="4A535EB1" w:rsidR="002D68BA" w:rsidRPr="00C3310F" w:rsidRDefault="002D68BA" w:rsidP="00147A52">
      <w:pPr>
        <w:pStyle w:val="5"/>
      </w:pPr>
      <w:bookmarkStart w:id="780" w:name="_Toc171525541"/>
      <w:r w:rsidRPr="00C3310F">
        <w:rPr>
          <w:rFonts w:hint="eastAsia"/>
        </w:rPr>
        <w:lastRenderedPageBreak/>
        <w:t>詐欺集團組織研究：社團法人</w:t>
      </w:r>
      <w:r w:rsidR="00D703F8" w:rsidRPr="00C3310F">
        <w:rPr>
          <w:rFonts w:hint="eastAsia"/>
        </w:rPr>
        <w:t>全球反詐騙組織</w:t>
      </w:r>
      <w:r w:rsidRPr="00C3310F">
        <w:rPr>
          <w:rFonts w:hint="eastAsia"/>
        </w:rPr>
        <w:t>台灣分會理事長。</w:t>
      </w:r>
    </w:p>
    <w:p w14:paraId="06E3F85E" w14:textId="77777777" w:rsidR="002D68BA" w:rsidRPr="00C3310F" w:rsidRDefault="002D68BA" w:rsidP="00147A52">
      <w:pPr>
        <w:pStyle w:val="6"/>
      </w:pPr>
      <w:bookmarkStart w:id="781" w:name="_Toc172024070"/>
      <w:bookmarkStart w:id="782" w:name="_Toc172033393"/>
      <w:r w:rsidRPr="00C3310F">
        <w:rPr>
          <w:rFonts w:hint="eastAsia"/>
        </w:rPr>
        <w:t>機房通常是由誰去開設的呢？大多是跟臺灣幫會有關聯，比如說像</w:t>
      </w:r>
      <w:r w:rsidR="00850212" w:rsidRPr="00C3310F">
        <w:rPr>
          <w:rFonts w:ascii="新細明體" w:eastAsia="新細明體" w:hAnsi="新細明體" w:hint="eastAsia"/>
        </w:rPr>
        <w:t>〇〇</w:t>
      </w:r>
      <w:r w:rsidRPr="00C3310F">
        <w:rPr>
          <w:rFonts w:hint="eastAsia"/>
        </w:rPr>
        <w:t>會、</w:t>
      </w:r>
      <w:r w:rsidR="00850212" w:rsidRPr="00C3310F">
        <w:rPr>
          <w:rFonts w:ascii="新細明體" w:eastAsia="新細明體" w:hAnsi="新細明體" w:hint="eastAsia"/>
        </w:rPr>
        <w:t>〇〇</w:t>
      </w:r>
      <w:r w:rsidRPr="00C3310F">
        <w:rPr>
          <w:rFonts w:hint="eastAsia"/>
        </w:rPr>
        <w:t>幫，他們通常在組織裡發展27~29歲間的，鼓勵他們去境外開代理線，這個人會再帶十幾個更小的去那邊起頭，在機房裡工作。還有更大型的機房像連鎖企業，還會有另外的角色去督導不同機房的運作。緬甸的話就會落在緬北跟緬東，緬東的話就泰緬邊境那一帶，就是</w:t>
      </w:r>
      <w:r w:rsidR="00850212" w:rsidRPr="00C3310F">
        <w:rPr>
          <w:rFonts w:ascii="新細明體" w:eastAsia="新細明體" w:hAnsi="新細明體" w:hint="eastAsia"/>
        </w:rPr>
        <w:t>〇〇〇</w:t>
      </w:r>
      <w:r w:rsidRPr="00C3310F">
        <w:rPr>
          <w:rFonts w:hint="eastAsia"/>
        </w:rPr>
        <w:t>、</w:t>
      </w:r>
      <w:r w:rsidR="00850212" w:rsidRPr="00C3310F">
        <w:rPr>
          <w:rFonts w:ascii="新細明體" w:eastAsia="新細明體" w:hAnsi="新細明體" w:hint="eastAsia"/>
        </w:rPr>
        <w:t>〇〇〇</w:t>
      </w:r>
      <w:r w:rsidRPr="00C3310F">
        <w:rPr>
          <w:rFonts w:hint="eastAsia"/>
        </w:rPr>
        <w:t>，大家應該有聽過</w:t>
      </w:r>
      <w:r w:rsidR="00850212" w:rsidRPr="00C3310F">
        <w:rPr>
          <w:rFonts w:ascii="新細明體" w:eastAsia="新細明體" w:hAnsi="新細明體" w:hint="eastAsia"/>
        </w:rPr>
        <w:t>〇〇〇</w:t>
      </w:r>
      <w:r w:rsidRPr="00C3310F">
        <w:rPr>
          <w:rFonts w:hint="eastAsia"/>
        </w:rPr>
        <w:t>的話，就是</w:t>
      </w:r>
      <w:r w:rsidRPr="00C3310F">
        <w:t>KK</w:t>
      </w:r>
      <w:r w:rsidRPr="00C3310F">
        <w:rPr>
          <w:rFonts w:hint="eastAsia"/>
        </w:rPr>
        <w:t>園區的所在地。然後</w:t>
      </w:r>
      <w:r w:rsidR="00850212" w:rsidRPr="00C3310F">
        <w:rPr>
          <w:rFonts w:ascii="新細明體" w:eastAsia="新細明體" w:hAnsi="新細明體" w:hint="eastAsia"/>
        </w:rPr>
        <w:t>〇〇〇</w:t>
      </w:r>
      <w:r w:rsidRPr="00C3310F">
        <w:rPr>
          <w:rFonts w:hint="eastAsia"/>
        </w:rPr>
        <w:t>的話，就是落在水溝谷，</w:t>
      </w:r>
      <w:r w:rsidR="00850212" w:rsidRPr="00C3310F">
        <w:rPr>
          <w:rFonts w:ascii="新細明體" w:eastAsia="新細明體" w:hAnsi="新細明體" w:hint="eastAsia"/>
        </w:rPr>
        <w:t>〇〇〇</w:t>
      </w:r>
      <w:r w:rsidRPr="00C3310F">
        <w:rPr>
          <w:rFonts w:hint="eastAsia"/>
        </w:rPr>
        <w:t>就是世界上最大的園區，規模大約三萬人。</w:t>
      </w:r>
      <w:bookmarkEnd w:id="781"/>
      <w:bookmarkEnd w:id="782"/>
    </w:p>
    <w:p w14:paraId="72BBF567" w14:textId="5D636341" w:rsidR="002D68BA" w:rsidRPr="00C3310F" w:rsidRDefault="002D68BA" w:rsidP="00147A52">
      <w:pPr>
        <w:pStyle w:val="6"/>
      </w:pPr>
      <w:bookmarkStart w:id="783" w:name="_Toc172024071"/>
      <w:bookmarkStart w:id="784" w:name="_Toc172033394"/>
      <w:r w:rsidRPr="00C3310F">
        <w:rPr>
          <w:rFonts w:hint="eastAsia"/>
        </w:rPr>
        <w:t>組織架構圖他們有一定的分工，首先是財務、客服，當一個金流進來，他們金流有走虛擬貨幣和法幣，假設做臺灣盤的話，一定要有人去收那個錢，那錢怎麼收?就要同時搭配本地的水房跟車手，就是跟車隊搭，如果他們走匯款的話，那就是跟水商、水房搭，水房就要去收人頭戶，所以水商又會再跟收簿集團搭配。人事部分是負責招募境外機房的基層工作人員，可以把它想像成HR人事的角色，那之前人口販運會變得很嚴重，就是因為境外機房那時候大缺工，所以</w:t>
      </w:r>
      <w:r w:rsidR="00A1409C" w:rsidRPr="00C3310F">
        <w:rPr>
          <w:rFonts w:hint="eastAsia"/>
        </w:rPr>
        <w:t>詐騙集團</w:t>
      </w:r>
      <w:r w:rsidRPr="00C3310F">
        <w:rPr>
          <w:rFonts w:hint="eastAsia"/>
        </w:rPr>
        <w:t>開始用騙招的方式來招人，以前的話找人都用正招，通常都找一樣是找幫會，或是比較有幫會脈絡的人，說要不要去那邊作假之類的。但後來因為中國打擊，造成大缺工，那時候就開始大量騙大馬華人跟臺灣人，所以才造成臺灣人口販運的</w:t>
      </w:r>
      <w:r w:rsidRPr="00C3310F">
        <w:rPr>
          <w:rFonts w:hint="eastAsia"/>
        </w:rPr>
        <w:lastRenderedPageBreak/>
        <w:t>問題。總之，本來是做正招，後來轉成騙招，騙招就跟你講說是去做博弈不會限制你自由，後來發現這個可以，他們就再編更大的謊言，比如你去那邊是賣佛牌或去當翻譯，然後就騙了一大堆人去。</w:t>
      </w:r>
      <w:bookmarkEnd w:id="783"/>
      <w:bookmarkEnd w:id="784"/>
    </w:p>
    <w:p w14:paraId="2FC266A8" w14:textId="77777777" w:rsidR="000B1C3C" w:rsidRPr="00C3310F" w:rsidRDefault="000B1C3C" w:rsidP="000B1C3C">
      <w:pPr>
        <w:pStyle w:val="3"/>
      </w:pPr>
      <w:bookmarkStart w:id="785" w:name="_Toc172024072"/>
      <w:bookmarkStart w:id="786" w:name="_Toc172033395"/>
      <w:r w:rsidRPr="00C3310F">
        <w:rPr>
          <w:rFonts w:hint="eastAsia"/>
        </w:rPr>
        <w:t>高檢署履勘會議紀錄</w:t>
      </w:r>
      <w:bookmarkEnd w:id="780"/>
      <w:bookmarkEnd w:id="785"/>
      <w:bookmarkEnd w:id="786"/>
    </w:p>
    <w:p w14:paraId="4FE906C8" w14:textId="48E394E5" w:rsidR="000B1C3C" w:rsidRPr="00C3310F" w:rsidRDefault="000B1C3C" w:rsidP="000B1C3C">
      <w:pPr>
        <w:pStyle w:val="4"/>
      </w:pPr>
      <w:r w:rsidRPr="00C3310F">
        <w:rPr>
          <w:rFonts w:hint="eastAsia"/>
        </w:rPr>
        <w:t>法務部</w:t>
      </w:r>
      <w:r w:rsidR="004871CA" w:rsidRPr="00C3310F">
        <w:rPr>
          <w:rFonts w:hint="eastAsia"/>
        </w:rPr>
        <w:t>檢察</w:t>
      </w:r>
      <w:r w:rsidRPr="00C3310F">
        <w:rPr>
          <w:rFonts w:hint="eastAsia"/>
        </w:rPr>
        <w:t>司郭</w:t>
      </w:r>
      <w:r w:rsidRPr="00C3310F">
        <w:rPr>
          <w:rFonts w:hAnsi="標楷體" w:hint="eastAsia"/>
          <w:szCs w:val="32"/>
        </w:rPr>
        <w:t>司長永發:</w:t>
      </w:r>
    </w:p>
    <w:p w14:paraId="39B618FF" w14:textId="77777777" w:rsidR="000B1C3C" w:rsidRPr="00C3310F" w:rsidRDefault="000B1C3C" w:rsidP="000B1C3C">
      <w:pPr>
        <w:pStyle w:val="5"/>
      </w:pPr>
      <w:r w:rsidRPr="00C3310F">
        <w:rPr>
          <w:rFonts w:hAnsi="標楷體" w:cs="新細明體" w:hint="eastAsia"/>
          <w:kern w:val="0"/>
          <w:szCs w:val="32"/>
        </w:rPr>
        <w:t>法務部刻正</w:t>
      </w:r>
      <w:r w:rsidRPr="00C3310F">
        <w:rPr>
          <w:rFonts w:hAnsi="標楷體" w:hint="eastAsia"/>
          <w:szCs w:val="32"/>
        </w:rPr>
        <w:t>推動「被告總歸戶」，以減少案件，實務上一個帳戶可能有很多被害人匯款，在只有一個被告</w:t>
      </w:r>
      <w:r w:rsidRPr="00C3310F">
        <w:rPr>
          <w:rFonts w:hint="eastAsia"/>
          <w:szCs w:val="32"/>
        </w:rPr>
        <w:t>的情形下，因為被害人眾多，又分別向不同警局報案，就產生不只</w:t>
      </w:r>
      <w:r w:rsidRPr="00C3310F">
        <w:rPr>
          <w:szCs w:val="32"/>
        </w:rPr>
        <w:t>l</w:t>
      </w:r>
      <w:r w:rsidRPr="00C3310F">
        <w:rPr>
          <w:rFonts w:hint="eastAsia"/>
          <w:szCs w:val="32"/>
        </w:rPr>
        <w:t>件案件，案件再移送轄區地檢</w:t>
      </w:r>
      <w:r w:rsidRPr="00C3310F">
        <w:rPr>
          <w:rFonts w:hint="eastAsia"/>
        </w:rPr>
        <w:t>署，產生重複調查情形。推動「被告總歸戶」，就是把全國各地被害人報案資料集中由被告戶籍所在地警局調查，如此不會產生重複調查，並在案件調查完後移送或報告轄區地檢署偵查，也可減少案件量，檢察司也將定期召會追蹤執行成效至案件量確實降低。</w:t>
      </w:r>
    </w:p>
    <w:p w14:paraId="19E9CF86" w14:textId="77777777" w:rsidR="000B1C3C" w:rsidRPr="00C3310F" w:rsidRDefault="000B1C3C" w:rsidP="000B1C3C">
      <w:pPr>
        <w:pStyle w:val="5"/>
      </w:pPr>
      <w:r w:rsidRPr="00C3310F">
        <w:rPr>
          <w:rFonts w:hint="eastAsia"/>
        </w:rPr>
        <w:t>關於刑度過低部分，因為法官審判獨立，所以在與司法院溝通上稍有困難，目前只能請偵查檢察官，針對被告惡性重大之案件具體求刑，公訴檢察官確實執行公訴蒞庭，若判決刑度過低時積極提起上訴；刑法已無連續犯規定，改採一罪一罰，法院針對被告犯罪行為分別判處之刑期加起來2、30年，但因為要定執行刑，法官只要在法律所規定最低刑度以上量刑都是合法，最後定執行刑只有</w:t>
      </w:r>
      <w:r w:rsidRPr="00C3310F">
        <w:t>l</w:t>
      </w:r>
      <w:r w:rsidRPr="00C3310F">
        <w:rPr>
          <w:rFonts w:hint="eastAsia"/>
        </w:rPr>
        <w:t>至</w:t>
      </w:r>
      <w:r w:rsidRPr="00C3310F">
        <w:t>2</w:t>
      </w:r>
      <w:r w:rsidRPr="00C3310F">
        <w:rPr>
          <w:rFonts w:hint="eastAsia"/>
        </w:rPr>
        <w:t>年，就此法務部會持續與司法院溝通。</w:t>
      </w:r>
    </w:p>
    <w:p w14:paraId="39CAF5D6" w14:textId="5DD3FEB0" w:rsidR="000B1C3C" w:rsidRPr="00C3310F" w:rsidRDefault="000B1C3C" w:rsidP="000B1C3C">
      <w:pPr>
        <w:pStyle w:val="4"/>
      </w:pPr>
      <w:r w:rsidRPr="00C3310F">
        <w:rPr>
          <w:rFonts w:hint="eastAsia"/>
        </w:rPr>
        <w:t>高檢署</w:t>
      </w:r>
      <w:r w:rsidR="004871CA" w:rsidRPr="00C3310F">
        <w:rPr>
          <w:rFonts w:hint="eastAsia"/>
        </w:rPr>
        <w:t>臺南</w:t>
      </w:r>
      <w:r w:rsidRPr="00C3310F">
        <w:rPr>
          <w:rFonts w:hint="eastAsia"/>
        </w:rPr>
        <w:t>分署吳主任檢察官慧蘭</w:t>
      </w:r>
    </w:p>
    <w:p w14:paraId="3A45E863" w14:textId="77777777" w:rsidR="000B1C3C" w:rsidRPr="00C3310F" w:rsidRDefault="000B1C3C" w:rsidP="000B1C3C">
      <w:pPr>
        <w:pStyle w:val="5"/>
      </w:pPr>
      <w:r w:rsidRPr="00C3310F">
        <w:rPr>
          <w:rFonts w:hint="eastAsia"/>
        </w:rPr>
        <w:t>「窩裡反條款」一直以來都有持續在討論，「窩裡反條款」對貪瀆及毒品案件的查緝有很大的</w:t>
      </w:r>
      <w:r w:rsidRPr="00C3310F">
        <w:rPr>
          <w:rFonts w:hint="eastAsia"/>
        </w:rPr>
        <w:lastRenderedPageBreak/>
        <w:t>幫助，為何在詐欺案件卻沒有積極推動立法，主要考量</w:t>
      </w:r>
      <w:r w:rsidRPr="00C3310F">
        <w:t>2</w:t>
      </w:r>
      <w:r w:rsidRPr="00C3310F">
        <w:rPr>
          <w:rFonts w:hint="eastAsia"/>
        </w:rPr>
        <w:t>個因素，首先是組成樣態不同，毒品、貪瀆犯罪集團是向上延伸，但詐欺集團是扁平化的組成，賣帳戶、車手、機房各別都是一個獨立的集團；再者是詐欺犯罪，法院的判決的刑度原本就不高，如果被告供述出介紹賣帳戶的其他人，因為有「窩裡反條款」規定，又獲得減刑讓刑度更輕，民眾是否可以接受?因此關於「窩裡反條款」還在審慎研議中。</w:t>
      </w:r>
    </w:p>
    <w:p w14:paraId="26F0E90B" w14:textId="7F28954D" w:rsidR="000B1C3C" w:rsidRPr="00C3310F" w:rsidRDefault="000B1C3C" w:rsidP="000B1C3C">
      <w:pPr>
        <w:pStyle w:val="5"/>
      </w:pPr>
      <w:r w:rsidRPr="00C3310F">
        <w:rPr>
          <w:rFonts w:hint="eastAsia"/>
        </w:rPr>
        <w:t xml:space="preserve">在這些廣告下架後，可能經過微調又再上架， </w:t>
      </w:r>
      <w:r w:rsidR="006312CA" w:rsidRPr="00C3310F">
        <w:rPr>
          <w:rFonts w:hint="eastAsia"/>
        </w:rPr>
        <w:t>F</w:t>
      </w:r>
      <w:r w:rsidR="006312CA" w:rsidRPr="00C3310F">
        <w:t>acebook</w:t>
      </w:r>
      <w:r w:rsidRPr="00C3310F">
        <w:rPr>
          <w:rFonts w:hint="eastAsia"/>
        </w:rPr>
        <w:t>是否可以利用AI方式清查，因為</w:t>
      </w:r>
      <w:r w:rsidR="006312CA" w:rsidRPr="00C3310F">
        <w:t>Facebook</w:t>
      </w:r>
      <w:r w:rsidRPr="00C3310F">
        <w:rPr>
          <w:rFonts w:hint="eastAsia"/>
        </w:rPr>
        <w:t>是境外公司，又涉及商業利益，在無法源依據上，檢察及行政機關要約束，確實有困難。</w:t>
      </w:r>
    </w:p>
    <w:p w14:paraId="032924FD" w14:textId="0DD6806D" w:rsidR="000B1C3C" w:rsidRPr="00C3310F" w:rsidRDefault="000B1C3C" w:rsidP="000B1C3C">
      <w:pPr>
        <w:pStyle w:val="4"/>
      </w:pPr>
      <w:r w:rsidRPr="00C3310F">
        <w:rPr>
          <w:rFonts w:hint="eastAsia"/>
        </w:rPr>
        <w:t>高檢署劉檢察官海倫:</w:t>
      </w:r>
    </w:p>
    <w:p w14:paraId="5C7CB727" w14:textId="1F9CB35B" w:rsidR="000B1C3C" w:rsidRPr="00C3310F" w:rsidRDefault="000B1C3C" w:rsidP="000B1C3C">
      <w:pPr>
        <w:pStyle w:val="5"/>
      </w:pPr>
      <w:r w:rsidRPr="00C3310F">
        <w:rPr>
          <w:rFonts w:hint="eastAsia"/>
        </w:rPr>
        <w:t>我於2017年參加跨部會會議時，針對法院量刑過低議題進行報告，司法院當時回應會設計相關機制，並將量刑因子納入考量以協助法官量刑，然而今年我也因法院定應執行刑刑度過低提起3件抗告，但都遭最高法</w:t>
      </w:r>
      <w:r w:rsidR="004871CA" w:rsidRPr="00C3310F">
        <w:rPr>
          <w:rFonts w:hint="eastAsia"/>
        </w:rPr>
        <w:t>院</w:t>
      </w:r>
      <w:r w:rsidRPr="00C3310F">
        <w:rPr>
          <w:rFonts w:hint="eastAsia"/>
        </w:rPr>
        <w:t>駁回，主要還是因為法院認為量刑是法官的裁量權。</w:t>
      </w:r>
    </w:p>
    <w:p w14:paraId="378B4AAF" w14:textId="77777777" w:rsidR="000B1C3C" w:rsidRPr="00C3310F" w:rsidRDefault="000B1C3C" w:rsidP="000B1C3C">
      <w:pPr>
        <w:pStyle w:val="5"/>
      </w:pPr>
      <w:r w:rsidRPr="00C3310F">
        <w:rPr>
          <w:rFonts w:hint="eastAsia"/>
        </w:rPr>
        <w:t>之前我曾調國兩司辦事，據我所知，因為國際情勢，「引渡」又是國與國關係，迄今臺灣沒有跟任何一個國家有成功引渡的案例，目前所採取的方式是撤銷身在國外的我國籍被告的護照，再以遣返方式將被告送回臺灣，即便如此還是很常在被告臨上飛機前，當地警方才告知要將人送到對岸而不讓被告上飛機，這部分雖然突破有難度，但仍會持續努力。</w:t>
      </w:r>
    </w:p>
    <w:p w14:paraId="75BCDB2F" w14:textId="7CB7DA1A" w:rsidR="000B1C3C" w:rsidRPr="00C3310F" w:rsidRDefault="000B1C3C" w:rsidP="000B1C3C">
      <w:pPr>
        <w:pStyle w:val="4"/>
      </w:pPr>
      <w:r w:rsidRPr="00C3310F">
        <w:rPr>
          <w:rFonts w:hint="eastAsia"/>
        </w:rPr>
        <w:t>臺北地檢署劉主任檢察官仕國</w:t>
      </w:r>
    </w:p>
    <w:p w14:paraId="6931A271" w14:textId="77777777" w:rsidR="000B1C3C" w:rsidRPr="00C3310F" w:rsidRDefault="000B1C3C" w:rsidP="000B1C3C">
      <w:pPr>
        <w:pStyle w:val="5"/>
      </w:pPr>
      <w:r w:rsidRPr="00C3310F">
        <w:rPr>
          <w:rFonts w:hint="eastAsia"/>
        </w:rPr>
        <w:lastRenderedPageBreak/>
        <w:t>而現在司法實務，法院不分案件，幾乎全部都是從低度刑開始量，而這量刑依據判決實務，檢察官還不能干涉，除非檢察官要明確指出量刑有違法之處，否則只要法官在法律規定範圍內量刑就是合法的，上訴都會被駁回。</w:t>
      </w:r>
    </w:p>
    <w:p w14:paraId="3031B95F" w14:textId="77777777" w:rsidR="000B1C3C" w:rsidRPr="00C3310F" w:rsidRDefault="000B1C3C" w:rsidP="000B1C3C">
      <w:pPr>
        <w:pStyle w:val="5"/>
      </w:pPr>
      <w:r w:rsidRPr="00C3310F">
        <w:rPr>
          <w:rFonts w:hint="eastAsia"/>
        </w:rPr>
        <w:t>而量刑最奇特的地方，還有在法院定執行刑時，更是容易產生爭議，例如，詐欺車手，犯了</w:t>
      </w:r>
      <w:r w:rsidRPr="00C3310F">
        <w:t>20</w:t>
      </w:r>
      <w:r w:rsidRPr="00C3310F">
        <w:rPr>
          <w:rFonts w:hint="eastAsia"/>
        </w:rPr>
        <w:t>次，每次都判</w:t>
      </w:r>
      <w:r w:rsidRPr="00C3310F">
        <w:t>1</w:t>
      </w:r>
      <w:r w:rsidRPr="00C3310F">
        <w:rPr>
          <w:rFonts w:hint="eastAsia"/>
        </w:rPr>
        <w:t>年，這</w:t>
      </w:r>
      <w:r w:rsidRPr="00C3310F">
        <w:t>20</w:t>
      </w:r>
      <w:r w:rsidRPr="00C3310F">
        <w:rPr>
          <w:rFonts w:hint="eastAsia"/>
        </w:rPr>
        <w:t>次合超來定一個執行刑時，只要超過</w:t>
      </w:r>
      <w:r w:rsidRPr="00C3310F">
        <w:t>1</w:t>
      </w:r>
      <w:r w:rsidRPr="00C3310F">
        <w:rPr>
          <w:rFonts w:hint="eastAsia"/>
        </w:rPr>
        <w:t>年，</w:t>
      </w:r>
      <w:r w:rsidRPr="00C3310F">
        <w:t>20</w:t>
      </w:r>
      <w:r w:rsidRPr="00C3310F">
        <w:rPr>
          <w:rFonts w:hint="eastAsia"/>
        </w:rPr>
        <w:t>年以下就是合法的，也就是</w:t>
      </w:r>
      <w:r w:rsidRPr="00C3310F">
        <w:t>20</w:t>
      </w:r>
      <w:r w:rsidRPr="00C3310F">
        <w:rPr>
          <w:rFonts w:hint="eastAsia"/>
        </w:rPr>
        <w:t>次犯罪都判</w:t>
      </w:r>
      <w:r w:rsidRPr="00C3310F">
        <w:t>l</w:t>
      </w:r>
      <w:r w:rsidRPr="00C3310F">
        <w:rPr>
          <w:rFonts w:hint="eastAsia"/>
        </w:rPr>
        <w:t>年，加起來你以為要執行</w:t>
      </w:r>
      <w:r w:rsidRPr="00C3310F">
        <w:t>20</w:t>
      </w:r>
      <w:r w:rsidRPr="00C3310F">
        <w:rPr>
          <w:rFonts w:hint="eastAsia"/>
        </w:rPr>
        <w:t>年，錯！只要法院定應執行刑是</w:t>
      </w:r>
      <w:r w:rsidRPr="00C3310F">
        <w:t>l</w:t>
      </w:r>
      <w:r w:rsidRPr="00C3310F">
        <w:rPr>
          <w:rFonts w:hint="eastAsia"/>
        </w:rPr>
        <w:t>年</w:t>
      </w:r>
      <w:r w:rsidRPr="00C3310F">
        <w:t>1</w:t>
      </w:r>
      <w:r w:rsidRPr="00C3310F">
        <w:rPr>
          <w:rFonts w:hint="eastAsia"/>
        </w:rPr>
        <w:t>個月就已經是合法的，我想這不要說我們檢察官常常無法接受，人民要是知道了，大概也都無法接受。</w:t>
      </w:r>
    </w:p>
    <w:p w14:paraId="7EA12FB3" w14:textId="114257B2" w:rsidR="000B1C3C" w:rsidRPr="00C3310F" w:rsidRDefault="000B1C3C" w:rsidP="000B1C3C">
      <w:pPr>
        <w:pStyle w:val="5"/>
      </w:pPr>
      <w:r w:rsidRPr="00C3310F">
        <w:rPr>
          <w:rFonts w:hint="eastAsia"/>
        </w:rPr>
        <w:t>其實為何詐欺案件量居高不下，如果從一個犯罪者角度思考，這幾年來詐欺案件迅速增加，以及犯罪者年齡逐漸下降，與犯罪成本低廉但獲利豐碩密切相關。大家看看現在有哪個幫派組織不插手詐欺行業？</w:t>
      </w:r>
    </w:p>
    <w:p w14:paraId="08AFDD18" w14:textId="2F751D83" w:rsidR="000B1C3C" w:rsidRPr="00C3310F" w:rsidRDefault="000B1C3C" w:rsidP="000B1C3C">
      <w:pPr>
        <w:pStyle w:val="5"/>
      </w:pPr>
      <w:r w:rsidRPr="00C3310F">
        <w:rPr>
          <w:rFonts w:hint="eastAsia"/>
        </w:rPr>
        <w:t>我們看到現在詐欺集團用l個帳戶20萬</w:t>
      </w:r>
      <w:r w:rsidR="00752EB4" w:rsidRPr="00C3310F">
        <w:rPr>
          <w:rFonts w:hint="eastAsia"/>
        </w:rPr>
        <w:t>元</w:t>
      </w:r>
      <w:r w:rsidRPr="00C3310F">
        <w:rPr>
          <w:rFonts w:hint="eastAsia"/>
        </w:rPr>
        <w:t>的代價收購銀行帳戶，許多年輕人趨之若騖，導致詐欺犯罪年齡層一直在下修，這些提供帳戶的人一旦被查獲，偵查中現在都不會說自己是賣帳戶的，反之，都會提供當初跟收購者間虛偽的</w:t>
      </w:r>
      <w:r w:rsidR="00DF3BE8" w:rsidRPr="00C3310F">
        <w:rPr>
          <w:rFonts w:hint="eastAsia"/>
        </w:rPr>
        <w:t>LINE</w:t>
      </w:r>
      <w:r w:rsidRPr="00C3310F">
        <w:rPr>
          <w:rFonts w:hint="eastAsia"/>
        </w:rPr>
        <w:t>對語截圖，證明自己是因為求職、為了辦貸款</w:t>
      </w:r>
      <w:r w:rsidRPr="00C3310F">
        <w:rPr>
          <w:rFonts w:hAnsi="標楷體" w:hint="eastAsia"/>
        </w:rPr>
        <w:t>…</w:t>
      </w:r>
      <w:r w:rsidR="00752EB4" w:rsidRPr="00C3310F">
        <w:rPr>
          <w:rFonts w:hAnsi="標楷體"/>
        </w:rPr>
        <w:t>…</w:t>
      </w:r>
      <w:r w:rsidRPr="00C3310F">
        <w:rPr>
          <w:rFonts w:hint="eastAsia"/>
        </w:rPr>
        <w:t>等各種原因被騙去提供帳戶的，最後因為證據不足，很多都是不起訴，</w:t>
      </w:r>
      <w:r w:rsidR="004871CA" w:rsidRPr="00C3310F">
        <w:rPr>
          <w:rFonts w:hint="eastAsia"/>
        </w:rPr>
        <w:t>起</w:t>
      </w:r>
      <w:r w:rsidRPr="00C3310F">
        <w:rPr>
          <w:rFonts w:hint="eastAsia"/>
        </w:rPr>
        <w:t>訴也很多判無罪。</w:t>
      </w:r>
    </w:p>
    <w:p w14:paraId="5DC186F5" w14:textId="1FE5970C" w:rsidR="000B1C3C" w:rsidRPr="00C3310F" w:rsidRDefault="000B1C3C" w:rsidP="000B1C3C">
      <w:pPr>
        <w:pStyle w:val="4"/>
      </w:pPr>
      <w:r w:rsidRPr="00C3310F">
        <w:rPr>
          <w:rFonts w:hint="eastAsia"/>
        </w:rPr>
        <w:t>新北地檢察署黃主任檢察官筵銘：詐欺案件中，絕大部分提供人頭帳戶、門號案件中的被告，在社會上往往是經濟弱勢，雖然他們犯罪是事實，但有時</w:t>
      </w:r>
      <w:r w:rsidRPr="00C3310F">
        <w:rPr>
          <w:rFonts w:hint="eastAsia"/>
        </w:rPr>
        <w:lastRenderedPageBreak/>
        <w:t>候法官會認為判太重這些被告也繳不出易科罰金的錢。</w:t>
      </w:r>
    </w:p>
    <w:p w14:paraId="64634968" w14:textId="77777777" w:rsidR="00E32A68" w:rsidRPr="00C3310F" w:rsidRDefault="00147A52" w:rsidP="00E32A68">
      <w:pPr>
        <w:pStyle w:val="3"/>
      </w:pPr>
      <w:bookmarkStart w:id="787" w:name="_Toc171525542"/>
      <w:bookmarkStart w:id="788" w:name="_Toc172024073"/>
      <w:bookmarkStart w:id="789" w:name="_Toc172033396"/>
      <w:r w:rsidRPr="00C3310F">
        <w:rPr>
          <w:rFonts w:hint="eastAsia"/>
        </w:rPr>
        <w:t>本院派員出席蒐整檢察官打詐實務暨修法研討會意見，會中邀請立法者、學者及基層檢察官提出政策建言，對於調查研究有重要價值，詳附錄C：</w:t>
      </w:r>
      <w:bookmarkEnd w:id="787"/>
      <w:bookmarkEnd w:id="788"/>
      <w:bookmarkEnd w:id="789"/>
    </w:p>
    <w:p w14:paraId="500403E8" w14:textId="4D11DE01" w:rsidR="00E32A68" w:rsidRPr="00C3310F" w:rsidRDefault="004871CA" w:rsidP="00E32A68">
      <w:pPr>
        <w:pStyle w:val="4"/>
      </w:pPr>
      <w:r w:rsidRPr="00C3310F">
        <w:rPr>
          <w:rFonts w:hint="eastAsia"/>
        </w:rPr>
        <w:t>臺北</w:t>
      </w:r>
      <w:r w:rsidR="00E32A68" w:rsidRPr="00C3310F">
        <w:rPr>
          <w:rFonts w:hint="eastAsia"/>
        </w:rPr>
        <w:t>地檢署蕭永昌檢察官</w:t>
      </w:r>
    </w:p>
    <w:p w14:paraId="4516AF0D" w14:textId="77777777" w:rsidR="00E32A68" w:rsidRPr="00C3310F" w:rsidRDefault="00E32A68" w:rsidP="00E32A68">
      <w:pPr>
        <w:pStyle w:val="5"/>
      </w:pPr>
      <w:r w:rsidRPr="00C3310F">
        <w:rPr>
          <w:rFonts w:hint="eastAsia"/>
        </w:rPr>
        <w:t>大家知道詐騙一騙再騙，交保出去他接著就繼續騙，把他這個交保錢賺回來。但我們能夠不讓他交保嗎?檢察官這邊都要花很多的心力去做一些分析，甚至法律上的攻防，那現行的這個羈押規定是否夠用?</w:t>
      </w:r>
      <w:r w:rsidRPr="00C3310F">
        <w:t xml:space="preserve"> </w:t>
      </w:r>
    </w:p>
    <w:p w14:paraId="12466269" w14:textId="35DCE67B" w:rsidR="00E32A68" w:rsidRPr="00C3310F" w:rsidRDefault="004871CA" w:rsidP="00E32A68">
      <w:pPr>
        <w:pStyle w:val="4"/>
      </w:pPr>
      <w:r w:rsidRPr="00C3310F">
        <w:rPr>
          <w:rFonts w:hint="eastAsia"/>
        </w:rPr>
        <w:t>金門</w:t>
      </w:r>
      <w:r w:rsidR="00E32A68" w:rsidRPr="00C3310F">
        <w:rPr>
          <w:rFonts w:hint="eastAsia"/>
        </w:rPr>
        <w:t>地檢署施家榮主任檢察官</w:t>
      </w:r>
    </w:p>
    <w:p w14:paraId="313A2412" w14:textId="77777777" w:rsidR="00E32A68" w:rsidRPr="00C3310F" w:rsidRDefault="00E32A68" w:rsidP="00E32A68">
      <w:pPr>
        <w:pStyle w:val="5"/>
      </w:pPr>
      <w:r w:rsidRPr="00C3310F">
        <w:rPr>
          <w:rFonts w:hint="eastAsia"/>
        </w:rPr>
        <w:t>對於被害人來講，這樣真的算破案嗎?警方把大部分人力都投入在人頭帳戶，因為人頭帳戶好查，因為人頭帳戶直接有證據，他匯入哪個款項就抓誰，這最輕鬆嘛!可是這些人頭帳戶、車手取款等等，這些對他們來講就是工讀生、就是免洗筷，你查到這些有什麼用?他永遠都沒有被瓦解!</w:t>
      </w:r>
    </w:p>
    <w:p w14:paraId="1E869CC9" w14:textId="14868331" w:rsidR="00E32A68" w:rsidRPr="00C3310F" w:rsidRDefault="00E32A68" w:rsidP="00E32A68">
      <w:pPr>
        <w:pStyle w:val="5"/>
      </w:pPr>
      <w:r w:rsidRPr="00C3310F">
        <w:rPr>
          <w:rFonts w:hint="eastAsia"/>
        </w:rPr>
        <w:t>對被害人來講，錢又沒有追回來，你沒有扣後面的詐騙錢，又沒有返還，你怎麼可以說你破案?所以老百姓的感覺就是你都沒有破案啊!宣稱破案率90幾趴，那是什麼碗糕?</w:t>
      </w:r>
    </w:p>
    <w:p w14:paraId="2D39811F" w14:textId="4C3B8900" w:rsidR="00E32A68" w:rsidRPr="00C3310F" w:rsidRDefault="00E32A68" w:rsidP="00E32A68">
      <w:pPr>
        <w:pStyle w:val="5"/>
      </w:pPr>
      <w:r w:rsidRPr="00C3310F">
        <w:rPr>
          <w:rFonts w:hint="eastAsia"/>
        </w:rPr>
        <w:t>當人頭帳戶金管會一直沒有辦法斷絕，每年都有幾萬個人頭帳戶要辦，警方光是辦那個就飽了。當時是有一些亂象就是譬如說一個帳戶可能有10個被害人匯入，那就在10個分局報案，然後就10個地檢</w:t>
      </w:r>
      <w:r w:rsidR="004871CA" w:rsidRPr="00C3310F">
        <w:rPr>
          <w:rFonts w:hint="eastAsia"/>
        </w:rPr>
        <w:t>署</w:t>
      </w:r>
      <w:r w:rsidRPr="00C3310F">
        <w:rPr>
          <w:rFonts w:hint="eastAsia"/>
        </w:rPr>
        <w:t>受理，所以看起來案子會一下子暴增很多，都要辦的結果就是每個月分100件，你光是辦這些都爆了，所以你要期待檢方去</w:t>
      </w:r>
      <w:r w:rsidRPr="00C3310F">
        <w:rPr>
          <w:rFonts w:hint="eastAsia"/>
        </w:rPr>
        <w:lastRenderedPageBreak/>
        <w:t>追查幕後的犯罪首腦或者洗錢管道?各位都有看過起訴書</w:t>
      </w:r>
      <w:r w:rsidR="004871CA" w:rsidRPr="00C3310F">
        <w:rPr>
          <w:rFonts w:hint="eastAsia"/>
        </w:rPr>
        <w:t>、</w:t>
      </w:r>
      <w:r w:rsidRPr="00C3310F">
        <w:rPr>
          <w:rFonts w:hint="eastAsia"/>
        </w:rPr>
        <w:t>不起訴書吧，如果要你坐在電腦前面，一個月要寫100份，你還有時間去做其他事嗎?可能召開專案小組要深入追查?這部分書記官可能更嚴重，我聽到已經持續5年以上，只要分發到新北或者桃檢書記官，他聽到是這2個地點他就不去報到了，所以你永遠在招考，但招考都沒用，因為他就不去報到。</w:t>
      </w:r>
    </w:p>
    <w:p w14:paraId="121B3B49" w14:textId="7EDEDC45" w:rsidR="00E32A68" w:rsidRPr="00C3310F" w:rsidRDefault="001F0692" w:rsidP="00E32A68">
      <w:pPr>
        <w:pStyle w:val="4"/>
      </w:pPr>
      <w:r w:rsidRPr="00C3310F">
        <w:rPr>
          <w:rFonts w:hint="eastAsia"/>
        </w:rPr>
        <w:t>台灣大學</w:t>
      </w:r>
      <w:r w:rsidR="00E32A68" w:rsidRPr="00C3310F">
        <w:rPr>
          <w:rFonts w:hint="eastAsia"/>
        </w:rPr>
        <w:t>林鈺雄教授：</w:t>
      </w:r>
    </w:p>
    <w:p w14:paraId="39BE1BC3" w14:textId="6333D4B6" w:rsidR="00E32A68" w:rsidRPr="00C3310F" w:rsidRDefault="00E32A68" w:rsidP="00E32A68">
      <w:pPr>
        <w:pStyle w:val="4"/>
        <w:numPr>
          <w:ilvl w:val="0"/>
          <w:numId w:val="0"/>
        </w:numPr>
        <w:ind w:left="1701" w:firstLineChars="208" w:firstLine="708"/>
      </w:pPr>
      <w:r w:rsidRPr="00C3310F">
        <w:rPr>
          <w:rFonts w:hint="eastAsia"/>
        </w:rPr>
        <w:t>為什麼在打詐研討會討論科技偵查?因為你沒有科技偵查，就什麼東西都不用談，這叫做現代科技的武器平等原則。依照研究的結果，我們是全球唯一一個明文規範禁止使用GPS的國家，那</w:t>
      </w:r>
      <w:r w:rsidR="006312CA" w:rsidRPr="00C3310F">
        <w:rPr>
          <w:rFonts w:hint="eastAsia"/>
        </w:rPr>
        <w:t>M化偵蒐設備(下稱</w:t>
      </w:r>
      <w:r w:rsidRPr="00C3310F">
        <w:rPr>
          <w:rFonts w:hint="eastAsia"/>
        </w:rPr>
        <w:t>M化車</w:t>
      </w:r>
      <w:r w:rsidR="006312CA" w:rsidRPr="00C3310F">
        <w:rPr>
          <w:rFonts w:hint="eastAsia"/>
        </w:rPr>
        <w:t>)</w:t>
      </w:r>
      <w:r w:rsidRPr="00C3310F">
        <w:rPr>
          <w:rFonts w:hint="eastAsia"/>
        </w:rPr>
        <w:t>這方面也是臺灣第一，因為中央一方面每年編列</w:t>
      </w:r>
      <w:r w:rsidR="006312CA" w:rsidRPr="00C3310F">
        <w:rPr>
          <w:rFonts w:hint="eastAsia"/>
        </w:rPr>
        <w:t>6、7,000</w:t>
      </w:r>
      <w:r w:rsidRPr="00C3310F">
        <w:rPr>
          <w:rFonts w:hint="eastAsia"/>
        </w:rPr>
        <w:t>萬在M化車預算，但是一方面禁用M化車，這個也是世界第一。所以我覺得我們在很多方面會有很少人有的獨創性的想法，當然也造就了我們這種畸形的現象。科技偵查比較關鍵的第3個部分就是設備端的通訊監察，據說我們的科技偵查裡面將不會有設備端的通訊監察，也就是說，以後詐騙集團的車手要跟上面的聯絡可以很放心，因為我們科技偵查最後還是不會有設備端的通訊監察。</w:t>
      </w:r>
    </w:p>
    <w:p w14:paraId="4D3BE32D" w14:textId="45CA03AB" w:rsidR="00E32A68" w:rsidRPr="00C3310F" w:rsidRDefault="004871CA" w:rsidP="00E32A68">
      <w:pPr>
        <w:pStyle w:val="4"/>
      </w:pPr>
      <w:r w:rsidRPr="00C3310F">
        <w:rPr>
          <w:rFonts w:hint="eastAsia"/>
        </w:rPr>
        <w:t>臺北</w:t>
      </w:r>
      <w:r w:rsidR="00E32A68" w:rsidRPr="00C3310F">
        <w:rPr>
          <w:rFonts w:hint="eastAsia"/>
        </w:rPr>
        <w:t>地檢署姜長</w:t>
      </w:r>
      <w:r w:rsidR="00FA279B" w:rsidRPr="00C3310F">
        <w:rPr>
          <w:rFonts w:hint="eastAsia"/>
        </w:rPr>
        <w:t>志</w:t>
      </w:r>
      <w:r w:rsidR="00E32A68" w:rsidRPr="00C3310F">
        <w:rPr>
          <w:rFonts w:hint="eastAsia"/>
        </w:rPr>
        <w:t>檢察官</w:t>
      </w:r>
    </w:p>
    <w:p w14:paraId="0D871F4D" w14:textId="77777777" w:rsidR="00E32A68" w:rsidRPr="00C3310F" w:rsidRDefault="00E32A68" w:rsidP="00E32A68">
      <w:pPr>
        <w:pStyle w:val="5"/>
      </w:pPr>
      <w:r w:rsidRPr="00C3310F">
        <w:rPr>
          <w:rFonts w:hint="eastAsia"/>
        </w:rPr>
        <w:t>金管會終於動起來，人頭帳戶他來處理，結果人頭帳戶處理之後，虛擬貨幣他就不管了。</w:t>
      </w:r>
    </w:p>
    <w:p w14:paraId="13C87A4F" w14:textId="34371B52" w:rsidR="00E32A68" w:rsidRPr="00C3310F" w:rsidRDefault="00E32A68" w:rsidP="00E32A68">
      <w:pPr>
        <w:pStyle w:val="5"/>
      </w:pPr>
      <w:r w:rsidRPr="00C3310F">
        <w:rPr>
          <w:rFonts w:hint="eastAsia"/>
        </w:rPr>
        <w:t>我們就起訴幣商，上到法院去說他也是犯罪集團一部分，法官判的都是無罪嘛，這能怪法官嘛？其實也不能怪法官，因為要怎麼證明他跟這些集</w:t>
      </w:r>
      <w:r w:rsidR="004871CA" w:rsidRPr="00C3310F">
        <w:rPr>
          <w:rFonts w:hint="eastAsia"/>
        </w:rPr>
        <w:t>團</w:t>
      </w:r>
      <w:r w:rsidRPr="00C3310F">
        <w:rPr>
          <w:rFonts w:hint="eastAsia"/>
        </w:rPr>
        <w:t>有主觀犯意聯絡？這對法官講也很困</w:t>
      </w:r>
      <w:r w:rsidRPr="00C3310F">
        <w:rPr>
          <w:rFonts w:hint="eastAsia"/>
        </w:rPr>
        <w:lastRenderedPageBreak/>
        <w:t>難，雖然大家心裡心知肚明，我們是民主國家不能說關就關</w:t>
      </w:r>
      <w:r w:rsidR="000E5AAC" w:rsidRPr="00C3310F">
        <w:rPr>
          <w:rFonts w:hint="eastAsia"/>
        </w:rPr>
        <w:t>啊</w:t>
      </w:r>
      <w:r w:rsidRPr="00C3310F">
        <w:rPr>
          <w:rFonts w:hint="eastAsia"/>
        </w:rPr>
        <w:t>，現在只要發生問題全部把它刑事化送去判刑，送去判刑有效嗎？</w:t>
      </w:r>
    </w:p>
    <w:p w14:paraId="0D08D80F" w14:textId="77777777" w:rsidR="00E32A68" w:rsidRPr="00C3310F" w:rsidRDefault="00E32A68" w:rsidP="00E32A68">
      <w:pPr>
        <w:pStyle w:val="5"/>
      </w:pPr>
      <w:r w:rsidRPr="00C3310F">
        <w:rPr>
          <w:rFonts w:hint="eastAsia"/>
        </w:rPr>
        <w:t>第一個我們強力要求金管會要開始做幣商的登記，如果你要經營幣商，你就要在金管會開始登記，登記這件事不要再甩鍋給別人，你的個人幣商沒有登記不可以營業，重點是你要修訂規則，什麼人什麼樣的條件才可以來申請幣商？你是不是有稅籍登記？是不是有公司登記？是不是商業登記都登記好再來跟我金管會登記，重點是你錢包要登記，你冷錢包、熱錢包，你的相關錢包金流就看得到。</w:t>
      </w:r>
    </w:p>
    <w:p w14:paraId="27556322" w14:textId="77777777" w:rsidR="00E32A68" w:rsidRPr="00C3310F" w:rsidRDefault="00E32A68" w:rsidP="00E32A68">
      <w:pPr>
        <w:pStyle w:val="5"/>
      </w:pPr>
      <w:r w:rsidRPr="00C3310F">
        <w:rPr>
          <w:rFonts w:hint="eastAsia"/>
        </w:rPr>
        <w:t>你前端的行政管制呢？你不告訴個人幣商要怎麼登記？怎麼設立？什麼條件都沒有，就跟我說那這樣算犯罪了？金管會說犯罪的潛臺詞是什麼意思？就是那是檢察官的事啊！</w:t>
      </w:r>
      <w:r w:rsidR="00E87633" w:rsidRPr="00C3310F">
        <w:t xml:space="preserve"> </w:t>
      </w:r>
    </w:p>
    <w:p w14:paraId="11C8E539" w14:textId="5BC9B578" w:rsidR="00E32A68" w:rsidRPr="00C3310F" w:rsidRDefault="000E5AAC" w:rsidP="00E32A68">
      <w:pPr>
        <w:pStyle w:val="4"/>
      </w:pPr>
      <w:r w:rsidRPr="00C3310F">
        <w:rPr>
          <w:rFonts w:hint="eastAsia"/>
        </w:rPr>
        <w:t>臺北</w:t>
      </w:r>
      <w:r w:rsidR="00E32A68" w:rsidRPr="00C3310F">
        <w:rPr>
          <w:rFonts w:hint="eastAsia"/>
        </w:rPr>
        <w:t>地檢署羅韋淵檢察官</w:t>
      </w:r>
    </w:p>
    <w:p w14:paraId="630E7553" w14:textId="411FE6A4" w:rsidR="00E32A68" w:rsidRPr="00C3310F" w:rsidRDefault="00E32A68" w:rsidP="00E32A68">
      <w:pPr>
        <w:pStyle w:val="5"/>
      </w:pPr>
      <w:r w:rsidRPr="00C3310F">
        <w:rPr>
          <w:rFonts w:hint="eastAsia"/>
        </w:rPr>
        <w:t>國際防制洗錢行動組織FATF從2021年10月的時候就已經發布了相關的指引，去描述虛擬資產服務提供者應該要有所規範，他們是針對法人公司做規範?還是說連自然人也要規範?關於這一點在我國其實是有很大的爭議?甚至是法律依據不足?其實他們已經明確規定任何法人或自然人都應該要被定位，只要你從事這個虛擬資產的服務的話，那就應該要受到規範。</w:t>
      </w:r>
    </w:p>
    <w:p w14:paraId="3CB7E524" w14:textId="7FDFF0D9" w:rsidR="00E32A68" w:rsidRPr="00C3310F" w:rsidRDefault="00E32A68" w:rsidP="00E32A68">
      <w:pPr>
        <w:pStyle w:val="5"/>
      </w:pPr>
      <w:r w:rsidRPr="00C3310F">
        <w:rPr>
          <w:rFonts w:hint="eastAsia"/>
        </w:rPr>
        <w:t>我國最大的爭議是在哪裡?依據虛擬通貨平</w:t>
      </w:r>
      <w:r w:rsidR="008955EF" w:rsidRPr="00C3310F">
        <w:rPr>
          <w:rFonts w:hint="eastAsia"/>
        </w:rPr>
        <w:t>台</w:t>
      </w:r>
      <w:r w:rsidR="000E5AAC" w:rsidRPr="00C3310F">
        <w:rPr>
          <w:rFonts w:hint="eastAsia"/>
        </w:rPr>
        <w:t>及交易業務事業防制洗錢及打擊資恐辦法</w:t>
      </w:r>
      <w:r w:rsidRPr="00C3310F">
        <w:rPr>
          <w:rFonts w:hint="eastAsia"/>
        </w:rPr>
        <w:t>第2條第</w:t>
      </w:r>
      <w:r w:rsidR="006312CA" w:rsidRPr="00C3310F">
        <w:rPr>
          <w:rFonts w:hint="eastAsia"/>
        </w:rPr>
        <w:t>2</w:t>
      </w:r>
      <w:r w:rsidRPr="00C3310F">
        <w:rPr>
          <w:rFonts w:hint="eastAsia"/>
        </w:rPr>
        <w:t>項，他所說的這個本事業，也應該依照這一個條款被規範，這個事業是已在國內設立登記者為限。也就是說，如果今天這位所謂的幣</w:t>
      </w:r>
      <w:r w:rsidRPr="00C3310F">
        <w:rPr>
          <w:rFonts w:hint="eastAsia"/>
        </w:rPr>
        <w:lastRenderedPageBreak/>
        <w:t>商，他是以個人跑單幫的方式，他不去做公司登記商業登記，或其他的稅籍登記，那他就不會在這個辦法裡面被規範，那既然不在這個辦法裡面所規範，那主管機關也就沒辦法依照這個辦法去裁罰，對他做處理，如果沒有這個遵循FATF相關指引的話，未來可能嚴重的是影響我國的評鑑，甚至我國對外的經貿。</w:t>
      </w:r>
    </w:p>
    <w:p w14:paraId="75DE76CF" w14:textId="77777777" w:rsidR="00E32A68" w:rsidRPr="00C3310F" w:rsidRDefault="00E32A68" w:rsidP="00E32A68">
      <w:pPr>
        <w:pStyle w:val="5"/>
      </w:pPr>
      <w:r w:rsidRPr="00C3310F">
        <w:rPr>
          <w:rFonts w:hint="eastAsia"/>
        </w:rPr>
        <w:t>FATF的相關指引也明確地指出，從事虛擬資產服務提供者必須取得相關證照，或者是許可，而且它強調這些虛擬資產服務提供者，應該要受到權責機關的監理或是監控，特別強調非自律組織。當然我了解金管會目前是想循序漸進的訂出業者自律規範，期待業者有所自律，不過自律依照目前的犯罪案件爆發，可能還是不夠。關於個人幣商的管制，應該是要由主管機關先訂好行政規範，甚至哪一些等級的虛擬資產服務提供者，必須要符合哪一些等級的這個規範。行政管制甚至要做第2層的輔導，輔導之後如果還有不足，那行政機關的裁罰要先行，刑事手段其實是放在最後。</w:t>
      </w:r>
    </w:p>
    <w:p w14:paraId="7280D024" w14:textId="77777777" w:rsidR="00E32A68" w:rsidRPr="00C3310F" w:rsidRDefault="00E32A68" w:rsidP="00E32A68">
      <w:pPr>
        <w:pStyle w:val="5"/>
      </w:pPr>
      <w:r w:rsidRPr="00C3310F">
        <w:rPr>
          <w:rFonts w:hint="eastAsia"/>
        </w:rPr>
        <w:t>我們很難期待規定每一個虛擬資產用戶都不能去使用非託管錢包，因為這涉及到人民財產權或者是隱私的問題，但如果今天這個錢包是用於商業使用，那是不是應該要課予業者要有一個呈報錢包地址的義務，不管是公司或者是個人幣商。再來一個是目前我國的洗錢防制法其實已經都施行了，但有個例外，第7條他規定的是轉帳規則，轉帳規則講的是，客戶要把虛擬資產轉給虛擬資產服務提供商的時候，那這個客戶必須要先說明資產的上一層來源是誰?什麼</w:t>
      </w:r>
      <w:r w:rsidRPr="00C3310F">
        <w:rPr>
          <w:rFonts w:hint="eastAsia"/>
        </w:rPr>
        <w:lastRenderedPageBreak/>
        <w:t>姓名?以及他的基本資料，以及他轉進來的用途是什麼?轉出去的話也必須要跟虛擬資產服務提供商說明說我要轉給誰?做什麼用途?否則虛擬資產服務提供他就不應該准許這一筆交易。用這個方式來補強錢包地址可能是匿名的問題。</w:t>
      </w:r>
    </w:p>
    <w:p w14:paraId="52BDF97A" w14:textId="0A0738C9" w:rsidR="00E32A68" w:rsidRPr="00C3310F" w:rsidRDefault="000E5AAC" w:rsidP="00E32A68">
      <w:pPr>
        <w:pStyle w:val="4"/>
      </w:pPr>
      <w:r w:rsidRPr="00C3310F">
        <w:rPr>
          <w:rFonts w:hint="eastAsia"/>
        </w:rPr>
        <w:t>臺北</w:t>
      </w:r>
      <w:r w:rsidR="00E32A68" w:rsidRPr="00C3310F">
        <w:rPr>
          <w:rFonts w:hint="eastAsia"/>
        </w:rPr>
        <w:t>地檢署洪敏超檢察官</w:t>
      </w:r>
    </w:p>
    <w:p w14:paraId="5D1895A9" w14:textId="3ED1B4C2" w:rsidR="00E32A68" w:rsidRPr="00C3310F" w:rsidRDefault="00E32A68" w:rsidP="00E32A68">
      <w:pPr>
        <w:pStyle w:val="5"/>
      </w:pPr>
      <w:r w:rsidRPr="00C3310F">
        <w:rPr>
          <w:rFonts w:hint="eastAsia"/>
        </w:rPr>
        <w:t>這個月初一個美國的幣流分析公司做了一個簡報，他說現在臺灣跟日本成為洗錢最終場地，原因很簡單啊，因為臺灣在國際政治上的地位比較比較沒人理啦，對有心人士而言很簡單，完成法遵聲明不如直接買下公司，就跟王牌交易所一樣也是直接換人嘛，上次我們證期局副局長說我們就禁止境外的，沒登記不</w:t>
      </w:r>
      <w:r w:rsidR="000E5AAC" w:rsidRPr="00C3310F">
        <w:rPr>
          <w:rFonts w:hint="eastAsia"/>
        </w:rPr>
        <w:t>准</w:t>
      </w:r>
      <w:r w:rsidRPr="00C3310F">
        <w:rPr>
          <w:rFonts w:hint="eastAsia"/>
        </w:rPr>
        <w:t>他進行招攬，但是大家看到這個招攬非常多啊!YouTube上放廣告都算招攬嗎?合約王者挑戰賽直接在臺灣辦算嗎?新加坡的</w:t>
      </w:r>
      <w:r w:rsidR="000E5AAC" w:rsidRPr="00C3310F">
        <w:t>MEXC</w:t>
      </w:r>
      <w:r w:rsidRPr="00C3310F">
        <w:rPr>
          <w:rFonts w:hint="eastAsia"/>
        </w:rPr>
        <w:t>抹茶</w:t>
      </w:r>
      <w:r w:rsidR="000E5AAC" w:rsidRPr="00C3310F">
        <w:rPr>
          <w:rFonts w:hint="eastAsia"/>
        </w:rPr>
        <w:t>交易所</w:t>
      </w:r>
      <w:r w:rsidRPr="00C3310F">
        <w:rPr>
          <w:rFonts w:hint="eastAsia"/>
        </w:rPr>
        <w:t>在臺灣辦，那這算不算招攬呢?</w:t>
      </w:r>
    </w:p>
    <w:p w14:paraId="13325428" w14:textId="1ACA00D9" w:rsidR="00E32A68" w:rsidRPr="00C3310F" w:rsidRDefault="00E32A68" w:rsidP="00E32A68">
      <w:pPr>
        <w:pStyle w:val="5"/>
      </w:pPr>
      <w:r w:rsidRPr="00C3310F">
        <w:rPr>
          <w:rFonts w:hint="eastAsia"/>
        </w:rPr>
        <w:t>第三方支付也是一樣，其實大家講了一大堆能量登錄，最後並</w:t>
      </w:r>
      <w:r w:rsidR="000E5AAC" w:rsidRPr="00C3310F">
        <w:rPr>
          <w:rFonts w:hint="eastAsia"/>
        </w:rPr>
        <w:t>沒有</w:t>
      </w:r>
      <w:r w:rsidRPr="00C3310F">
        <w:rPr>
          <w:rFonts w:hint="eastAsia"/>
        </w:rPr>
        <w:t>落實，事實上目前為止通過登錄的就是16+1家，我們原本統計的有</w:t>
      </w:r>
      <w:r w:rsidR="00F65269" w:rsidRPr="00C3310F">
        <w:rPr>
          <w:rFonts w:hint="eastAsia"/>
        </w:rPr>
        <w:t>多少家?</w:t>
      </w:r>
      <w:r w:rsidRPr="00C3310F">
        <w:rPr>
          <w:rFonts w:hint="eastAsia"/>
        </w:rPr>
        <w:t>1萬多家</w:t>
      </w:r>
      <w:r w:rsidR="00F65269" w:rsidRPr="00C3310F">
        <w:rPr>
          <w:rFonts w:hint="eastAsia"/>
        </w:rPr>
        <w:t>!</w:t>
      </w:r>
      <w:r w:rsidRPr="00C3310F">
        <w:rPr>
          <w:rFonts w:hint="eastAsia"/>
        </w:rPr>
        <w:t>代表1萬多家根本不鳥你!其實你看外勞，現在逃逸移工有大概將近8萬多人其實都是風險，我們不是有罪推定，而是他是一個風險嘛。他的帳戶怎麼使用我們無從控管，因為我們找不到人。</w:t>
      </w:r>
    </w:p>
    <w:p w14:paraId="0CD33B41" w14:textId="52ECCD28" w:rsidR="00E32A68" w:rsidRPr="00C3310F" w:rsidRDefault="00E32A68" w:rsidP="00E32A68">
      <w:pPr>
        <w:pStyle w:val="5"/>
      </w:pPr>
      <w:r w:rsidRPr="00C3310F">
        <w:rPr>
          <w:rFonts w:hint="eastAsia"/>
        </w:rPr>
        <w:t>黑莓卡這部分，我測試給大家看，我花250塊在蝦皮買的，實名制根本隨便輸入都可以過關，大家看這個IP是香港的，代表我就用這張卡之後，其實你沒有辦法掌握實際的身</w:t>
      </w:r>
      <w:r w:rsidR="000F4F23" w:rsidRPr="00C3310F">
        <w:rPr>
          <w:rFonts w:hint="eastAsia"/>
        </w:rPr>
        <w:t>分</w:t>
      </w:r>
      <w:r w:rsidRPr="00C3310F">
        <w:rPr>
          <w:rFonts w:hint="eastAsia"/>
        </w:rPr>
        <w:t>。</w:t>
      </w:r>
    </w:p>
    <w:p w14:paraId="1E94F359" w14:textId="6C21EBA2" w:rsidR="00E32A68" w:rsidRPr="00C3310F" w:rsidRDefault="00E32A68" w:rsidP="00E32A68">
      <w:pPr>
        <w:pStyle w:val="5"/>
      </w:pPr>
      <w:r w:rsidRPr="00C3310F">
        <w:rPr>
          <w:rFonts w:hint="eastAsia"/>
        </w:rPr>
        <w:lastRenderedPageBreak/>
        <w:t>社群媒體去投放不實廣告，其實這個要處理這些網頁詐欺最快的方式就是用最短的時間</w:t>
      </w:r>
      <w:r w:rsidR="000E5AAC" w:rsidRPr="00C3310F">
        <w:rPr>
          <w:rFonts w:hint="eastAsia"/>
        </w:rPr>
        <w:t>、</w:t>
      </w:r>
      <w:r w:rsidRPr="00C3310F">
        <w:rPr>
          <w:rFonts w:hint="eastAsia"/>
        </w:rPr>
        <w:t>最有效率的方式</w:t>
      </w:r>
      <w:r w:rsidR="000E5AAC" w:rsidRPr="00C3310F">
        <w:rPr>
          <w:rFonts w:hint="eastAsia"/>
        </w:rPr>
        <w:t>、</w:t>
      </w:r>
      <w:r w:rsidRPr="00C3310F">
        <w:rPr>
          <w:rFonts w:hint="eastAsia"/>
        </w:rPr>
        <w:t>最簡易的程序去阻止，過往的方式都是向法院申請扣押，才再去TWNIC去扣，太慢了，所以最近因為創意私房，他改了一個緊急方式讓警察投單就可以，那這代表什麼?其實過往真的不需要透過檢方。</w:t>
      </w:r>
    </w:p>
    <w:p w14:paraId="534862CA" w14:textId="77777777" w:rsidR="00C6531A" w:rsidRPr="00C3310F" w:rsidRDefault="00163D54" w:rsidP="00E32A68">
      <w:pPr>
        <w:pStyle w:val="2"/>
        <w:spacing w:beforeLines="50" w:before="228"/>
        <w:ind w:left="1020" w:hanging="680"/>
      </w:pPr>
      <w:bookmarkStart w:id="790" w:name="_Toc172033397"/>
      <w:r w:rsidRPr="00C3310F">
        <w:rPr>
          <w:rFonts w:hint="eastAsia"/>
        </w:rPr>
        <w:t>「打詐新四法」推動情形：</w:t>
      </w:r>
      <w:r w:rsidR="0059314F" w:rsidRPr="00C3310F">
        <w:rPr>
          <w:rFonts w:hint="eastAsia"/>
        </w:rPr>
        <w:t>在調查研究進行同時，政府仍持續強化打詐措施，近期主要以「打詐新四法」作為推動方向，截至113年7月1</w:t>
      </w:r>
      <w:r w:rsidR="006A4F10" w:rsidRPr="00C3310F">
        <w:t>6</w:t>
      </w:r>
      <w:r w:rsidR="0059314F" w:rsidRPr="00C3310F">
        <w:rPr>
          <w:rFonts w:hint="eastAsia"/>
        </w:rPr>
        <w:t>日，</w:t>
      </w:r>
      <w:r w:rsidR="00E772C2" w:rsidRPr="00C3310F">
        <w:rPr>
          <w:rFonts w:hint="eastAsia"/>
        </w:rPr>
        <w:t>打詐新四法全數</w:t>
      </w:r>
      <w:r w:rsidR="0059314F" w:rsidRPr="00C3310F">
        <w:rPr>
          <w:rFonts w:hint="eastAsia"/>
        </w:rPr>
        <w:t>完成三讀</w:t>
      </w:r>
      <w:r w:rsidR="00E82F5C" w:rsidRPr="00C3310F">
        <w:rPr>
          <w:rStyle w:val="afe"/>
        </w:rPr>
        <w:footnoteReference w:id="42"/>
      </w:r>
      <w:r w:rsidR="0059314F" w:rsidRPr="00C3310F">
        <w:rPr>
          <w:rFonts w:hint="eastAsia"/>
        </w:rPr>
        <w:t>，</w:t>
      </w:r>
      <w:r w:rsidR="00E772C2" w:rsidRPr="00C3310F">
        <w:rPr>
          <w:rFonts w:hint="eastAsia"/>
        </w:rPr>
        <w:t>其中</w:t>
      </w:r>
      <w:r w:rsidR="00E82F5C" w:rsidRPr="00C3310F">
        <w:rPr>
          <w:rFonts w:hint="eastAsia"/>
        </w:rPr>
        <w:t>科技偵查部分，於立法院審議時將由行政院版</w:t>
      </w:r>
      <w:r w:rsidR="00E772C2" w:rsidRPr="00C3310F">
        <w:rPr>
          <w:rFonts w:hint="eastAsia"/>
        </w:rPr>
        <w:t>「科技偵查及保障法」</w:t>
      </w:r>
      <w:r w:rsidR="00E82F5C" w:rsidRPr="00C3310F">
        <w:rPr>
          <w:rFonts w:hint="eastAsia"/>
        </w:rPr>
        <w:t>草案內容改於「刑事</w:t>
      </w:r>
      <w:r w:rsidR="006A4F10" w:rsidRPr="00C3310F">
        <w:rPr>
          <w:rFonts w:hint="eastAsia"/>
        </w:rPr>
        <w:t>訴訟法」</w:t>
      </w:r>
      <w:r w:rsidR="009C37F5" w:rsidRPr="00C3310F">
        <w:rPr>
          <w:rFonts w:hint="eastAsia"/>
        </w:rPr>
        <w:t>增訂「特殊強制處分」</w:t>
      </w:r>
      <w:r w:rsidR="00E82F5C" w:rsidRPr="00C3310F">
        <w:rPr>
          <w:rFonts w:hint="eastAsia"/>
        </w:rPr>
        <w:t>，以</w:t>
      </w:r>
      <w:r w:rsidR="009C37F5" w:rsidRPr="00C3310F">
        <w:rPr>
          <w:rFonts w:hint="eastAsia"/>
        </w:rPr>
        <w:t>放寬</w:t>
      </w:r>
      <w:r w:rsidR="009C37F5" w:rsidRPr="00C3310F">
        <w:t>GPS</w:t>
      </w:r>
      <w:r w:rsidR="009C37F5" w:rsidRPr="00C3310F">
        <w:rPr>
          <w:rFonts w:hint="eastAsia"/>
        </w:rPr>
        <w:t>及M化車之使用</w:t>
      </w:r>
      <w:r w:rsidR="009C37F5" w:rsidRPr="00C3310F">
        <w:rPr>
          <w:rStyle w:val="afe"/>
        </w:rPr>
        <w:footnoteReference w:id="43"/>
      </w:r>
      <w:r w:rsidR="0059314F" w:rsidRPr="00C3310F">
        <w:rPr>
          <w:rFonts w:hint="eastAsia"/>
        </w:rPr>
        <w:t>。</w:t>
      </w:r>
      <w:bookmarkEnd w:id="790"/>
    </w:p>
    <w:p w14:paraId="1B02C7D6" w14:textId="6DCCD3D4" w:rsidR="00E56671" w:rsidRPr="00C3310F" w:rsidRDefault="00E56671" w:rsidP="00B70A9A">
      <w:pPr>
        <w:pStyle w:val="3"/>
      </w:pPr>
      <w:bookmarkStart w:id="791" w:name="_Toc172024075"/>
      <w:bookmarkStart w:id="792" w:name="_Toc172033398"/>
      <w:r w:rsidRPr="00C3310F">
        <w:rPr>
          <w:rFonts w:hint="eastAsia"/>
        </w:rPr>
        <w:t>詐欺犯罪危害防制條例(即打詐專法)</w:t>
      </w:r>
      <w:r w:rsidR="00752F62" w:rsidRPr="00C3310F">
        <w:rPr>
          <w:rFonts w:hint="eastAsia"/>
        </w:rPr>
        <w:t>強化以下打詐面向</w:t>
      </w:r>
      <w:r w:rsidR="00B70A9A" w:rsidRPr="00C3310F">
        <w:rPr>
          <w:rFonts w:hint="eastAsia"/>
        </w:rPr>
        <w:t>，其中行政院草案經立法院審議後，三讀條文加重高額詐欺犯罪刑度，因詐欺獲益達新</w:t>
      </w:r>
      <w:r w:rsidR="0056315F" w:rsidRPr="00C3310F">
        <w:rPr>
          <w:rFonts w:hint="eastAsia"/>
        </w:rPr>
        <w:t>臺</w:t>
      </w:r>
      <w:r w:rsidR="00B70A9A" w:rsidRPr="00C3310F">
        <w:rPr>
          <w:rFonts w:hint="eastAsia"/>
        </w:rPr>
        <w:t>幣500萬元，最重可處10年有期徒刑，若獲益達1億元，最重可處12年有期徒刑，併科3億元罰金</w:t>
      </w:r>
      <w:r w:rsidR="00B70A9A" w:rsidRPr="00C3310F">
        <w:rPr>
          <w:rStyle w:val="afe"/>
        </w:rPr>
        <w:footnoteReference w:id="44"/>
      </w:r>
      <w:r w:rsidRPr="00C3310F">
        <w:rPr>
          <w:rFonts w:hint="eastAsia"/>
        </w:rPr>
        <w:t>：</w:t>
      </w:r>
      <w:bookmarkEnd w:id="791"/>
      <w:bookmarkEnd w:id="792"/>
    </w:p>
    <w:p w14:paraId="54B91829" w14:textId="77777777" w:rsidR="00E56671" w:rsidRPr="00C3310F" w:rsidRDefault="00E56671" w:rsidP="00B70A9A">
      <w:pPr>
        <w:pStyle w:val="4"/>
      </w:pPr>
      <w:r w:rsidRPr="00C3310F">
        <w:rPr>
          <w:rFonts w:hint="eastAsia"/>
        </w:rPr>
        <w:t>各主管機關得以補助、獎勵或輔導方式推動防詐政策。</w:t>
      </w:r>
      <w:r w:rsidR="00E27E40" w:rsidRPr="00C3310F">
        <w:rPr>
          <w:rFonts w:hint="eastAsia"/>
        </w:rPr>
        <w:t>並針對執行防制詐欺犯罪有功人員及檢舉人予以獎勵。</w:t>
      </w:r>
    </w:p>
    <w:p w14:paraId="5BE0B84E" w14:textId="77777777" w:rsidR="00E56671" w:rsidRPr="00C3310F" w:rsidRDefault="00752F62" w:rsidP="00B70A9A">
      <w:pPr>
        <w:pStyle w:val="4"/>
      </w:pPr>
      <w:r w:rsidRPr="00C3310F">
        <w:rPr>
          <w:rFonts w:hint="eastAsia"/>
        </w:rPr>
        <w:t>針對</w:t>
      </w:r>
      <w:r w:rsidR="00E56671" w:rsidRPr="00C3310F">
        <w:rPr>
          <w:rFonts w:hint="eastAsia"/>
        </w:rPr>
        <w:t>金融機構及提供虛擬資產服務之事業或人員對疑似涉及詐欺犯罪之異常存款帳戶、電子支付帳戶、信用卡或虛擬資產帳號</w:t>
      </w:r>
      <w:r w:rsidRPr="00C3310F">
        <w:rPr>
          <w:rFonts w:hint="eastAsia"/>
        </w:rPr>
        <w:t>之相關強化措施</w:t>
      </w:r>
      <w:r w:rsidR="00E56671" w:rsidRPr="00C3310F">
        <w:rPr>
          <w:rFonts w:hint="eastAsia"/>
        </w:rPr>
        <w:t>。</w:t>
      </w:r>
    </w:p>
    <w:p w14:paraId="570B7940" w14:textId="77777777" w:rsidR="00E56671" w:rsidRPr="00C3310F" w:rsidRDefault="00752F62" w:rsidP="00B70A9A">
      <w:pPr>
        <w:pStyle w:val="4"/>
      </w:pPr>
      <w:r w:rsidRPr="00C3310F">
        <w:rPr>
          <w:rFonts w:hint="eastAsia"/>
        </w:rPr>
        <w:t>友善</w:t>
      </w:r>
      <w:r w:rsidR="00E56671" w:rsidRPr="00C3310F">
        <w:rPr>
          <w:rFonts w:hint="eastAsia"/>
        </w:rPr>
        <w:t>被害人遭詐未被提領之款項返還程序。</w:t>
      </w:r>
      <w:r w:rsidR="00E56671" w:rsidRPr="00C3310F">
        <w:t xml:space="preserve"> </w:t>
      </w:r>
    </w:p>
    <w:p w14:paraId="6E37822F" w14:textId="77777777" w:rsidR="00E56671" w:rsidRPr="00C3310F" w:rsidRDefault="00752F62" w:rsidP="00B70A9A">
      <w:pPr>
        <w:pStyle w:val="4"/>
      </w:pPr>
      <w:r w:rsidRPr="00C3310F">
        <w:rPr>
          <w:rFonts w:hint="eastAsia"/>
        </w:rPr>
        <w:lastRenderedPageBreak/>
        <w:t>強化</w:t>
      </w:r>
      <w:r w:rsidR="00E56671" w:rsidRPr="00C3310F">
        <w:rPr>
          <w:rFonts w:hint="eastAsia"/>
        </w:rPr>
        <w:t>金融機構及提供虛擬資產服務之事業或人員違反相關義務之處罰。</w:t>
      </w:r>
      <w:r w:rsidR="00E56671" w:rsidRPr="00C3310F">
        <w:t xml:space="preserve"> </w:t>
      </w:r>
    </w:p>
    <w:p w14:paraId="628A4187" w14:textId="77777777" w:rsidR="00752F62" w:rsidRPr="00C3310F" w:rsidRDefault="00752F62" w:rsidP="00B70A9A">
      <w:pPr>
        <w:pStyle w:val="4"/>
      </w:pPr>
      <w:r w:rsidRPr="00C3310F">
        <w:rPr>
          <w:rFonts w:hint="eastAsia"/>
        </w:rPr>
        <w:t>強化電信事業管理部分：</w:t>
      </w:r>
    </w:p>
    <w:p w14:paraId="6D00CD01" w14:textId="77777777" w:rsidR="00E56671" w:rsidRPr="00C3310F" w:rsidRDefault="00752F62" w:rsidP="00B70A9A">
      <w:pPr>
        <w:pStyle w:val="5"/>
      </w:pPr>
      <w:bookmarkStart w:id="793" w:name="_Toc171525545"/>
      <w:r w:rsidRPr="00C3310F">
        <w:rPr>
          <w:rFonts w:hint="eastAsia"/>
        </w:rPr>
        <w:t>針對</w:t>
      </w:r>
      <w:r w:rsidR="00E56671" w:rsidRPr="00C3310F">
        <w:rPr>
          <w:rFonts w:hint="eastAsia"/>
        </w:rPr>
        <w:t>電信事業經通知用戶或使用電信人疑似或從事詐欺犯罪應採取之作為。</w:t>
      </w:r>
      <w:bookmarkEnd w:id="793"/>
    </w:p>
    <w:p w14:paraId="52C58DF5" w14:textId="77777777" w:rsidR="00E56671" w:rsidRPr="00C3310F" w:rsidRDefault="00E56671" w:rsidP="00B70A9A">
      <w:pPr>
        <w:pStyle w:val="5"/>
      </w:pPr>
      <w:bookmarkStart w:id="794" w:name="_Toc171525546"/>
      <w:r w:rsidRPr="00C3310F">
        <w:rPr>
          <w:rFonts w:hint="eastAsia"/>
        </w:rPr>
        <w:t>電信事業受理申請電信服務、提供境外高風險電信事業漫遊服務及提供非本國籍用戶預付卡服務，應介接資料庫核對用戶身分與出入境狀態。</w:t>
      </w:r>
      <w:bookmarkEnd w:id="794"/>
    </w:p>
    <w:p w14:paraId="7FE3CDBC" w14:textId="77777777" w:rsidR="00E56671" w:rsidRPr="00C3310F" w:rsidRDefault="00752F62" w:rsidP="00B70A9A">
      <w:pPr>
        <w:pStyle w:val="5"/>
      </w:pPr>
      <w:bookmarkStart w:id="795" w:name="_Toc171525547"/>
      <w:r w:rsidRPr="00C3310F">
        <w:rPr>
          <w:rFonts w:hint="eastAsia"/>
        </w:rPr>
        <w:t>強化</w:t>
      </w:r>
      <w:r w:rsidR="00E56671" w:rsidRPr="00C3310F">
        <w:rPr>
          <w:rFonts w:hint="eastAsia"/>
        </w:rPr>
        <w:t>簽訂國際漫遊服務協議應遵守之事項及停止服務之要件。</w:t>
      </w:r>
      <w:bookmarkEnd w:id="795"/>
    </w:p>
    <w:p w14:paraId="6158AE6A" w14:textId="77777777" w:rsidR="00E56671" w:rsidRPr="00C3310F" w:rsidRDefault="00E56671" w:rsidP="00B70A9A">
      <w:pPr>
        <w:pStyle w:val="5"/>
      </w:pPr>
      <w:bookmarkStart w:id="796" w:name="_Toc171525548"/>
      <w:r w:rsidRPr="00C3310F">
        <w:rPr>
          <w:rFonts w:hint="eastAsia"/>
        </w:rPr>
        <w:t>受限制或停止電信服務之用戶再申請電信服務之限制。</w:t>
      </w:r>
      <w:bookmarkEnd w:id="796"/>
    </w:p>
    <w:p w14:paraId="222801EF" w14:textId="77777777" w:rsidR="00E56671" w:rsidRPr="00C3310F" w:rsidRDefault="00752F62" w:rsidP="00B70A9A">
      <w:pPr>
        <w:pStyle w:val="5"/>
      </w:pPr>
      <w:bookmarkStart w:id="797" w:name="_Toc171525549"/>
      <w:r w:rsidRPr="00C3310F">
        <w:rPr>
          <w:rFonts w:hint="eastAsia"/>
        </w:rPr>
        <w:t>強化</w:t>
      </w:r>
      <w:r w:rsidR="00E56671" w:rsidRPr="00C3310F">
        <w:rPr>
          <w:rFonts w:hint="eastAsia"/>
        </w:rPr>
        <w:t>電信事業違反相關</w:t>
      </w:r>
      <w:r w:rsidRPr="00C3310F">
        <w:rPr>
          <w:rFonts w:hint="eastAsia"/>
        </w:rPr>
        <w:t>打詐</w:t>
      </w:r>
      <w:r w:rsidR="00E56671" w:rsidRPr="00C3310F">
        <w:rPr>
          <w:rFonts w:hint="eastAsia"/>
        </w:rPr>
        <w:t>義務之處罰。</w:t>
      </w:r>
      <w:bookmarkEnd w:id="797"/>
    </w:p>
    <w:p w14:paraId="73DEF71A" w14:textId="521A3EA6" w:rsidR="00752F62" w:rsidRPr="00C3310F" w:rsidRDefault="00752F62" w:rsidP="00B70A9A">
      <w:pPr>
        <w:pStyle w:val="4"/>
      </w:pPr>
      <w:r w:rsidRPr="00C3310F">
        <w:rPr>
          <w:rFonts w:hint="eastAsia"/>
        </w:rPr>
        <w:t>強化網路廣告</w:t>
      </w:r>
      <w:r w:rsidR="0004575A" w:rsidRPr="00C3310F">
        <w:rPr>
          <w:rFonts w:hint="eastAsia"/>
        </w:rPr>
        <w:t>平臺</w:t>
      </w:r>
      <w:r w:rsidRPr="00C3310F">
        <w:rPr>
          <w:rFonts w:hint="eastAsia"/>
        </w:rPr>
        <w:t>業者部分：</w:t>
      </w:r>
    </w:p>
    <w:p w14:paraId="4BBA9303" w14:textId="77777777" w:rsidR="00E56671" w:rsidRPr="00C3310F" w:rsidRDefault="00E27E40" w:rsidP="00B70A9A">
      <w:pPr>
        <w:pStyle w:val="5"/>
      </w:pPr>
      <w:bookmarkStart w:id="798" w:name="_Toc171525550"/>
      <w:r w:rsidRPr="00C3310F">
        <w:rPr>
          <w:rFonts w:hint="eastAsia"/>
        </w:rPr>
        <w:t>強化</w:t>
      </w:r>
      <w:r w:rsidR="00E56671" w:rsidRPr="00C3310F">
        <w:rPr>
          <w:rFonts w:hint="eastAsia"/>
        </w:rPr>
        <w:t>網路廣告平臺業者應指定法律代表之要件與該法律代表之權限及違反義務之處分。</w:t>
      </w:r>
      <w:bookmarkEnd w:id="798"/>
    </w:p>
    <w:p w14:paraId="4FA6A997" w14:textId="77777777" w:rsidR="00E56671" w:rsidRPr="00C3310F" w:rsidRDefault="00E27E40" w:rsidP="00B70A9A">
      <w:pPr>
        <w:pStyle w:val="5"/>
      </w:pPr>
      <w:bookmarkStart w:id="799" w:name="_Toc171525551"/>
      <w:r w:rsidRPr="00C3310F">
        <w:rPr>
          <w:rFonts w:hint="eastAsia"/>
        </w:rPr>
        <w:t>強化</w:t>
      </w:r>
      <w:r w:rsidR="00E56671" w:rsidRPr="00C3310F">
        <w:rPr>
          <w:rFonts w:hint="eastAsia"/>
        </w:rPr>
        <w:t>網路廣告平臺業者對刊登或推播廣告之義務及管理措施。</w:t>
      </w:r>
      <w:bookmarkEnd w:id="799"/>
    </w:p>
    <w:p w14:paraId="47C4D4FB" w14:textId="77777777" w:rsidR="00E56671" w:rsidRPr="00C3310F" w:rsidRDefault="00E27E40" w:rsidP="00B70A9A">
      <w:pPr>
        <w:pStyle w:val="5"/>
      </w:pPr>
      <w:bookmarkStart w:id="800" w:name="_Toc171525552"/>
      <w:r w:rsidRPr="00C3310F">
        <w:rPr>
          <w:rFonts w:hint="eastAsia"/>
        </w:rPr>
        <w:t>強化</w:t>
      </w:r>
      <w:r w:rsidR="00E56671" w:rsidRPr="00C3310F">
        <w:rPr>
          <w:rFonts w:hint="eastAsia"/>
        </w:rPr>
        <w:t>網路廣告平臺業者揭露網路廣告資訊之義務與對涉及詐欺廣告之處理及通報。</w:t>
      </w:r>
      <w:bookmarkEnd w:id="800"/>
    </w:p>
    <w:p w14:paraId="652B73D4" w14:textId="77777777" w:rsidR="00E56671" w:rsidRPr="00C3310F" w:rsidRDefault="00E27E40" w:rsidP="00B70A9A">
      <w:pPr>
        <w:pStyle w:val="5"/>
      </w:pPr>
      <w:bookmarkStart w:id="801" w:name="_Toc171525553"/>
      <w:r w:rsidRPr="00C3310F">
        <w:rPr>
          <w:rFonts w:hint="eastAsia"/>
        </w:rPr>
        <w:t>強化</w:t>
      </w:r>
      <w:r w:rsidR="00E56671" w:rsidRPr="00C3310F">
        <w:rPr>
          <w:rFonts w:hint="eastAsia"/>
        </w:rPr>
        <w:t>網路廣告平臺業者經通知刊登或播送之內容涉及詐欺犯罪嫌疑應採取之作為。</w:t>
      </w:r>
      <w:bookmarkEnd w:id="801"/>
    </w:p>
    <w:p w14:paraId="4F077344" w14:textId="77777777" w:rsidR="00E27E40" w:rsidRPr="00C3310F" w:rsidRDefault="00E27E40" w:rsidP="00B70A9A">
      <w:pPr>
        <w:pStyle w:val="5"/>
      </w:pPr>
      <w:bookmarkStart w:id="802" w:name="_Toc171525554"/>
      <w:r w:rsidRPr="00C3310F">
        <w:rPr>
          <w:rFonts w:hint="eastAsia"/>
        </w:rPr>
        <w:t>強化網路廣告平臺業者違反義務之處罰、召集專家審議會議作成處分之規定及網際網路接取服務提供者或快速存取服務提供者違反義務之處罰。</w:t>
      </w:r>
      <w:bookmarkEnd w:id="802"/>
    </w:p>
    <w:p w14:paraId="6BDDDD14" w14:textId="77777777" w:rsidR="00E56671" w:rsidRPr="00C3310F" w:rsidRDefault="00E27E40" w:rsidP="00B70A9A">
      <w:pPr>
        <w:pStyle w:val="4"/>
      </w:pPr>
      <w:r w:rsidRPr="00C3310F">
        <w:rPr>
          <w:rFonts w:hint="eastAsia"/>
        </w:rPr>
        <w:t>強化</w:t>
      </w:r>
      <w:r w:rsidR="00E56671" w:rsidRPr="00C3310F">
        <w:rPr>
          <w:rFonts w:hint="eastAsia"/>
        </w:rPr>
        <w:t>第三方支付服務業者、電商業者與網路連線遊戲業者之防詐責任及對疑似涉及詐欺之事件採取相關作為之規定。</w:t>
      </w:r>
    </w:p>
    <w:p w14:paraId="39773F41" w14:textId="77777777" w:rsidR="00E56671" w:rsidRPr="00C3310F" w:rsidRDefault="00E27E40" w:rsidP="00B70A9A">
      <w:pPr>
        <w:pStyle w:val="4"/>
      </w:pPr>
      <w:r w:rsidRPr="00C3310F">
        <w:rPr>
          <w:rFonts w:hint="eastAsia"/>
        </w:rPr>
        <w:lastRenderedPageBreak/>
        <w:t>強化</w:t>
      </w:r>
      <w:r w:rsidR="00E56671" w:rsidRPr="00C3310F">
        <w:rPr>
          <w:rFonts w:hint="eastAsia"/>
        </w:rPr>
        <w:t>網路廣告平臺業者、電商業者與網路連線遊戲業者保存及提供資料之義務。</w:t>
      </w:r>
    </w:p>
    <w:p w14:paraId="2EC2652D" w14:textId="77777777" w:rsidR="00E56671" w:rsidRPr="00C3310F" w:rsidRDefault="00E56671" w:rsidP="00B70A9A">
      <w:pPr>
        <w:pStyle w:val="4"/>
      </w:pPr>
      <w:r w:rsidRPr="00C3310F">
        <w:rPr>
          <w:rFonts w:hint="eastAsia"/>
        </w:rPr>
        <w:t>第三方支付服務業者、電商業者及網路連線遊戲業者違反義務之處罰。</w:t>
      </w:r>
    </w:p>
    <w:p w14:paraId="72B02A8A" w14:textId="77777777" w:rsidR="00E56671" w:rsidRPr="00C3310F" w:rsidRDefault="00E56671" w:rsidP="00B70A9A">
      <w:pPr>
        <w:pStyle w:val="4"/>
      </w:pPr>
      <w:r w:rsidRPr="00C3310F">
        <w:rPr>
          <w:rFonts w:hint="eastAsia"/>
        </w:rPr>
        <w:t>處理詐欺犯罪防制緊急案件之處置規定。</w:t>
      </w:r>
    </w:p>
    <w:p w14:paraId="6B5CDD00" w14:textId="77777777" w:rsidR="00E56671" w:rsidRPr="00C3310F" w:rsidRDefault="00E56671" w:rsidP="00B70A9A">
      <w:pPr>
        <w:pStyle w:val="4"/>
      </w:pPr>
      <w:r w:rsidRPr="00C3310F">
        <w:rPr>
          <w:rFonts w:hint="eastAsia"/>
        </w:rPr>
        <w:t>高額財損加重詐欺罪與三人以上複合型態及在境外對境內之人犯詐欺罪加重刑責之規定。</w:t>
      </w:r>
    </w:p>
    <w:p w14:paraId="6497465A" w14:textId="77777777" w:rsidR="00E56671" w:rsidRPr="00C3310F" w:rsidRDefault="00E27E40" w:rsidP="00B70A9A">
      <w:pPr>
        <w:pStyle w:val="4"/>
      </w:pPr>
      <w:r w:rsidRPr="00C3310F">
        <w:rPr>
          <w:rFonts w:hint="eastAsia"/>
        </w:rPr>
        <w:t>訂定</w:t>
      </w:r>
      <w:r w:rsidR="00E56671" w:rsidRPr="00C3310F">
        <w:rPr>
          <w:rFonts w:hint="eastAsia"/>
        </w:rPr>
        <w:t>詐欺犯罪被告自首或自白減輕責任之規定與假釋及不得假釋之要件。</w:t>
      </w:r>
    </w:p>
    <w:p w14:paraId="1A72E68E" w14:textId="77777777" w:rsidR="00E27E40" w:rsidRPr="00C3310F" w:rsidRDefault="00E27E40" w:rsidP="00B70A9A">
      <w:pPr>
        <w:pStyle w:val="3"/>
      </w:pPr>
      <w:bookmarkStart w:id="803" w:name="_Toc172024076"/>
      <w:bookmarkStart w:id="804" w:name="_Toc172033399"/>
      <w:r w:rsidRPr="00C3310F">
        <w:rPr>
          <w:rFonts w:hint="eastAsia"/>
        </w:rPr>
        <w:t>修正</w:t>
      </w:r>
      <w:r w:rsidR="00E56671" w:rsidRPr="00C3310F">
        <w:rPr>
          <w:rFonts w:hint="eastAsia"/>
        </w:rPr>
        <w:t>洗錢防制法：</w:t>
      </w:r>
      <w:bookmarkEnd w:id="803"/>
      <w:bookmarkEnd w:id="804"/>
    </w:p>
    <w:p w14:paraId="450392BA" w14:textId="77777777" w:rsidR="00E56671" w:rsidRPr="00C3310F" w:rsidRDefault="00E56671" w:rsidP="00B70A9A">
      <w:pPr>
        <w:pStyle w:val="4"/>
      </w:pPr>
      <w:r w:rsidRPr="00C3310F">
        <w:rPr>
          <w:rFonts w:hint="eastAsia"/>
        </w:rPr>
        <w:t>修正洗錢行為之定義。</w:t>
      </w:r>
    </w:p>
    <w:p w14:paraId="3520CBCD" w14:textId="53E25905" w:rsidR="00E56671" w:rsidRPr="00C3310F" w:rsidRDefault="00E56671" w:rsidP="00B70A9A">
      <w:pPr>
        <w:pStyle w:val="4"/>
      </w:pPr>
      <w:r w:rsidRPr="00C3310F">
        <w:rPr>
          <w:rFonts w:hint="eastAsia"/>
        </w:rPr>
        <w:t>修正本法「虛擬通貨</w:t>
      </w:r>
      <w:r w:rsidR="0004575A" w:rsidRPr="00C3310F">
        <w:rPr>
          <w:rFonts w:hint="eastAsia"/>
        </w:rPr>
        <w:t>平臺</w:t>
      </w:r>
      <w:r w:rsidRPr="00C3310F">
        <w:rPr>
          <w:rFonts w:hint="eastAsia"/>
        </w:rPr>
        <w:t>及交易業務之事業」為「提供虛擬資產服務之事業或人員」；就從事交易受現金使用限制者之範圍授權法務部會同中央目的事業主管機關指定達「一定金額」者，並新增違反現金使用限制規定之法律效果。</w:t>
      </w:r>
    </w:p>
    <w:p w14:paraId="46375655" w14:textId="77777777" w:rsidR="00E56671" w:rsidRPr="00C3310F" w:rsidRDefault="00E56671" w:rsidP="00B70A9A">
      <w:pPr>
        <w:pStyle w:val="4"/>
      </w:pPr>
      <w:r w:rsidRPr="00C3310F">
        <w:rPr>
          <w:rFonts w:hint="eastAsia"/>
        </w:rPr>
        <w:t>增訂提供虛擬資產及第三方支付服務之事業或人員之洗錢防制登記、洗錢防制及服務能量登錄制度，就相關事項授權中央目的事業主管機關訂定辦法，並針對違反者課以刑事處罰。</w:t>
      </w:r>
    </w:p>
    <w:p w14:paraId="53F7D312" w14:textId="77777777" w:rsidR="00E56671" w:rsidRPr="00C3310F" w:rsidRDefault="00E56671" w:rsidP="00B70A9A">
      <w:pPr>
        <w:pStyle w:val="4"/>
      </w:pPr>
      <w:r w:rsidRPr="00C3310F">
        <w:rPr>
          <w:rFonts w:hint="eastAsia"/>
        </w:rPr>
        <w:t>修正指定之非金融事業或人員違反規定之罰鍰上限，並增訂「得按次處罰」之規定。</w:t>
      </w:r>
    </w:p>
    <w:p w14:paraId="65692B5C" w14:textId="77777777" w:rsidR="00E56671" w:rsidRPr="00C3310F" w:rsidRDefault="00E56671" w:rsidP="00B70A9A">
      <w:pPr>
        <w:pStyle w:val="4"/>
      </w:pPr>
      <w:r w:rsidRPr="00C3310F">
        <w:rPr>
          <w:rFonts w:hint="eastAsia"/>
        </w:rPr>
        <w:t>增訂非信託業之受託人於信託關係存續中，取得並持有信託基本資訊、實質受益權與其他受規管之信託代理人及信託服務業者基本資訊，應進行申報，資訊保存之年限，與金融機構及指定之非金融事業或人員建立業務關係或進行達一定金額之臨時性交易時應主動揭露其在信託中之地位，有關申報、更新申報之範圍、方式、程序、一定金額之範圍、揭露方式等事項授權法務部會商相關機</w:t>
      </w:r>
      <w:r w:rsidRPr="00C3310F">
        <w:rPr>
          <w:rFonts w:hint="eastAsia"/>
        </w:rPr>
        <w:lastRenderedPageBreak/>
        <w:t>關以辦法定之，及違反義務之處罰。</w:t>
      </w:r>
    </w:p>
    <w:p w14:paraId="0EB14FC0" w14:textId="77777777" w:rsidR="00E56671" w:rsidRPr="00C3310F" w:rsidRDefault="00E27E40" w:rsidP="00B70A9A">
      <w:pPr>
        <w:pStyle w:val="3"/>
      </w:pPr>
      <w:bookmarkStart w:id="805" w:name="_Toc172024077"/>
      <w:bookmarkStart w:id="806" w:name="_Toc172033400"/>
      <w:r w:rsidRPr="00C3310F">
        <w:rPr>
          <w:rFonts w:hint="eastAsia"/>
        </w:rPr>
        <w:t>訂定</w:t>
      </w:r>
      <w:r w:rsidR="00E56671" w:rsidRPr="00C3310F">
        <w:rPr>
          <w:rFonts w:hint="eastAsia"/>
        </w:rPr>
        <w:t>科技偵查及保障法</w:t>
      </w:r>
      <w:r w:rsidR="009C37F5" w:rsidRPr="00C3310F">
        <w:rPr>
          <w:rFonts w:hint="eastAsia"/>
        </w:rPr>
        <w:t>(</w:t>
      </w:r>
      <w:r w:rsidR="00E82F5C" w:rsidRPr="00C3310F">
        <w:rPr>
          <w:rFonts w:hint="eastAsia"/>
        </w:rPr>
        <w:t>立法院</w:t>
      </w:r>
      <w:r w:rsidR="009C37F5" w:rsidRPr="00C3310F">
        <w:rPr>
          <w:rFonts w:hint="eastAsia"/>
        </w:rPr>
        <w:t>已於113年7月16日</w:t>
      </w:r>
      <w:r w:rsidR="00E82F5C" w:rsidRPr="00C3310F">
        <w:rPr>
          <w:rFonts w:hint="eastAsia"/>
        </w:rPr>
        <w:t>改以</w:t>
      </w:r>
      <w:r w:rsidR="009C37F5" w:rsidRPr="00C3310F">
        <w:rPr>
          <w:rFonts w:hint="eastAsia"/>
        </w:rPr>
        <w:t>刑事訴訟法增訂「特殊強制處分」</w:t>
      </w:r>
      <w:r w:rsidR="00E82F5C" w:rsidRPr="00C3310F">
        <w:rPr>
          <w:rFonts w:hint="eastAsia"/>
        </w:rPr>
        <w:t>處理，並三讀通過</w:t>
      </w:r>
      <w:r w:rsidR="009C37F5" w:rsidRPr="00C3310F">
        <w:rPr>
          <w:rFonts w:hint="eastAsia"/>
        </w:rPr>
        <w:t>)</w:t>
      </w:r>
      <w:r w:rsidR="00E56671" w:rsidRPr="00C3310F">
        <w:rPr>
          <w:rFonts w:hint="eastAsia"/>
        </w:rPr>
        <w:t>：</w:t>
      </w:r>
      <w:bookmarkEnd w:id="805"/>
      <w:bookmarkEnd w:id="806"/>
      <w:r w:rsidRPr="00C3310F">
        <w:t xml:space="preserve"> </w:t>
      </w:r>
    </w:p>
    <w:p w14:paraId="434D3EBC" w14:textId="77777777" w:rsidR="00E27E40" w:rsidRPr="00C3310F" w:rsidRDefault="00E27E40" w:rsidP="00B70A9A">
      <w:pPr>
        <w:pStyle w:val="4"/>
      </w:pPr>
      <w:r w:rsidRPr="00C3310F">
        <w:rPr>
          <w:rFonts w:hint="eastAsia"/>
        </w:rPr>
        <w:t>為規範偵查機關運用科技方法進行必要之科技偵查作為，以確保其合法性，切實保障人民基本權，並避免犯罪調查之手段落後於科技發展之腳步，影響國家安全及社會秩序。</w:t>
      </w:r>
    </w:p>
    <w:p w14:paraId="056C7ECD" w14:textId="77777777" w:rsidR="00135407" w:rsidRPr="00C3310F" w:rsidRDefault="00E27E40" w:rsidP="00B70A9A">
      <w:pPr>
        <w:pStyle w:val="4"/>
      </w:pPr>
      <w:r w:rsidRPr="00C3310F">
        <w:rPr>
          <w:rFonts w:hint="eastAsia"/>
        </w:rPr>
        <w:t>偵查中檢察官認有必要時，得使用全球衛星定位系統或其他非以辨識個人生物特徵之科技方法追蹤位置；檢察事務官、司法警察官或司法警察因調查犯罪情形及蒐集證據認有必要時，亦同。</w:t>
      </w:r>
    </w:p>
    <w:p w14:paraId="2E494368" w14:textId="77777777" w:rsidR="00E27E40" w:rsidRPr="00C3310F" w:rsidRDefault="00E27E40" w:rsidP="00B70A9A">
      <w:pPr>
        <w:pStyle w:val="4"/>
      </w:pPr>
      <w:r w:rsidRPr="00C3310F">
        <w:rPr>
          <w:rFonts w:hint="eastAsia"/>
        </w:rPr>
        <w:t>偵查中檢察官認有必要時，得使用科技方法調查行動通訊設備之位置、設備號碼或使用之卡片號碼；檢察事務官、司法警察官或司法警察因調查犯罪情形及蒐集證據認有必要時，亦同。</w:t>
      </w:r>
    </w:p>
    <w:p w14:paraId="4BABCAD1" w14:textId="77777777" w:rsidR="00E27E40" w:rsidRPr="00C3310F" w:rsidRDefault="00E27E40" w:rsidP="00B70A9A">
      <w:pPr>
        <w:pStyle w:val="4"/>
      </w:pPr>
      <w:r w:rsidRPr="00C3310F">
        <w:rPr>
          <w:rFonts w:hint="eastAsia"/>
        </w:rPr>
        <w:t>檢察官偵查或檢察事務官、司法警察官或司法警察調查最重本刑三年以上有期徒刑之罪，有相當理由認為具隱私或秘密合理期待之空間內之人或物與本案有關，得從該空間外，使用非實體侵入性之科技方法對該空間內之人或物監看及攝錄影像。</w:t>
      </w:r>
    </w:p>
    <w:p w14:paraId="18908C32" w14:textId="77777777" w:rsidR="00E27E40" w:rsidRPr="00C3310F" w:rsidRDefault="00E27E40" w:rsidP="00B70A9A">
      <w:pPr>
        <w:pStyle w:val="4"/>
      </w:pPr>
      <w:r w:rsidRPr="00C3310F">
        <w:rPr>
          <w:rFonts w:hint="eastAsia"/>
        </w:rPr>
        <w:t>調查所得資料，除已供案件證據之用留存於該案卷或為後續偵查或調查目的有必要長期留存者外，由執行機關於調查結束後，保存五年，逾期予以銷燬。調查所得資料全部與調查目的無關者，執行機關應即報請檢察官許可後銷燬之。</w:t>
      </w:r>
    </w:p>
    <w:p w14:paraId="7C5F0C96" w14:textId="77777777" w:rsidR="00D2695C" w:rsidRPr="00C3310F" w:rsidRDefault="00D2695C" w:rsidP="00B70A9A">
      <w:pPr>
        <w:pStyle w:val="3"/>
      </w:pPr>
      <w:bookmarkStart w:id="807" w:name="_Toc172024078"/>
      <w:bookmarkStart w:id="808" w:name="_Toc172033401"/>
      <w:r w:rsidRPr="00C3310F">
        <w:rPr>
          <w:rFonts w:hint="eastAsia"/>
        </w:rPr>
        <w:t>修正</w:t>
      </w:r>
      <w:r w:rsidR="00E56671" w:rsidRPr="00C3310F">
        <w:rPr>
          <w:rFonts w:hint="eastAsia"/>
        </w:rPr>
        <w:t>通訊保障及監察法：</w:t>
      </w:r>
      <w:bookmarkEnd w:id="807"/>
      <w:bookmarkEnd w:id="808"/>
    </w:p>
    <w:p w14:paraId="6572E00F" w14:textId="77777777" w:rsidR="00D2695C" w:rsidRPr="00C3310F" w:rsidRDefault="00E56671" w:rsidP="00B70A9A">
      <w:pPr>
        <w:pStyle w:val="4"/>
      </w:pPr>
      <w:bookmarkStart w:id="809" w:name="_Hlk171408832"/>
      <w:r w:rsidRPr="00C3310F">
        <w:rPr>
          <w:rFonts w:hint="eastAsia"/>
        </w:rPr>
        <w:t>因應近年來利用網路遂行詐騙、盜取個資或資安駭侵犯罪不斷增加之趨勢，修正</w:t>
      </w:r>
      <w:r w:rsidR="00D2695C" w:rsidRPr="00C3310F">
        <w:rPr>
          <w:rFonts w:hint="eastAsia"/>
        </w:rPr>
        <w:t>該</w:t>
      </w:r>
      <w:r w:rsidRPr="00C3310F">
        <w:rPr>
          <w:rFonts w:hint="eastAsia"/>
        </w:rPr>
        <w:t>法關於調取通</w:t>
      </w:r>
      <w:r w:rsidRPr="00C3310F">
        <w:rPr>
          <w:rFonts w:hint="eastAsia"/>
        </w:rPr>
        <w:lastRenderedPageBreak/>
        <w:t>信紀錄之限制，並增訂保存及調取網路流量紀錄之規定，以分析數位足跡有效打擊網路犯罪</w:t>
      </w:r>
      <w:r w:rsidR="00D2695C" w:rsidRPr="00C3310F">
        <w:rPr>
          <w:rFonts w:hint="eastAsia"/>
        </w:rPr>
        <w:t>。</w:t>
      </w:r>
      <w:bookmarkEnd w:id="809"/>
    </w:p>
    <w:p w14:paraId="030A8C2D" w14:textId="77777777" w:rsidR="00E56671" w:rsidRPr="00C3310F" w:rsidRDefault="00E56671" w:rsidP="00B70A9A">
      <w:pPr>
        <w:pStyle w:val="4"/>
      </w:pPr>
      <w:r w:rsidRPr="00C3310F">
        <w:rPr>
          <w:rFonts w:hint="eastAsia"/>
        </w:rPr>
        <w:t>修正要點如下：</w:t>
      </w:r>
    </w:p>
    <w:p w14:paraId="46B03CF7" w14:textId="77777777" w:rsidR="00E56671" w:rsidRPr="00C3310F" w:rsidRDefault="00E56671" w:rsidP="00B70A9A">
      <w:pPr>
        <w:pStyle w:val="5"/>
      </w:pPr>
      <w:bookmarkStart w:id="810" w:name="_Toc171525555"/>
      <w:r w:rsidRPr="00C3310F">
        <w:rPr>
          <w:rFonts w:hint="eastAsia"/>
        </w:rPr>
        <w:t>定明網路流量紀錄之定義。</w:t>
      </w:r>
      <w:bookmarkEnd w:id="810"/>
    </w:p>
    <w:p w14:paraId="721FA66C" w14:textId="77777777" w:rsidR="00E56671" w:rsidRPr="00C3310F" w:rsidRDefault="00E56671" w:rsidP="00B70A9A">
      <w:pPr>
        <w:pStyle w:val="5"/>
      </w:pPr>
      <w:bookmarkStart w:id="811" w:name="_Toc171525556"/>
      <w:r w:rsidRPr="00C3310F">
        <w:rPr>
          <w:rFonts w:hint="eastAsia"/>
        </w:rPr>
        <w:t>為有效打擊快速傳播、匿跡之網路犯罪並兼顧隱私權保障，比照調取通信紀錄之程序，增訂網路流量紀錄之調取規定，修正通訊使用者資料由檢察官、司法警察官依職權調取，刪除調取通信紀錄須偵查「最重本刑三年以上有期徒刑之罪」之限制，並增訂檢察官得依職權調取通信紀錄及網路流量紀錄之罪名。</w:t>
      </w:r>
      <w:bookmarkEnd w:id="811"/>
    </w:p>
    <w:p w14:paraId="43407425" w14:textId="77777777" w:rsidR="00E56671" w:rsidRPr="00C3310F" w:rsidRDefault="00E56671" w:rsidP="00B70A9A">
      <w:pPr>
        <w:pStyle w:val="5"/>
      </w:pPr>
      <w:bookmarkStart w:id="812" w:name="_Toc171525557"/>
      <w:r w:rsidRPr="00C3310F">
        <w:rPr>
          <w:rFonts w:hint="eastAsia"/>
        </w:rPr>
        <w:t>定明建置網路流量紀錄保存、調取系統相關事項與費用、電信事業與設置公眾電信網路者協力義務及違反規定之處罰。</w:t>
      </w:r>
      <w:bookmarkEnd w:id="812"/>
    </w:p>
    <w:p w14:paraId="1AB49379" w14:textId="2D7DF22E" w:rsidR="00C6531A" w:rsidRPr="00C3310F" w:rsidRDefault="00C6531A" w:rsidP="00C6531A">
      <w:pPr>
        <w:pStyle w:val="3"/>
      </w:pPr>
      <w:bookmarkStart w:id="813" w:name="_Toc171525558"/>
      <w:bookmarkStart w:id="814" w:name="_Toc172024079"/>
      <w:bookmarkStart w:id="815" w:name="_Toc172033402"/>
      <w:r w:rsidRPr="00C3310F">
        <w:rPr>
          <w:rFonts w:hint="eastAsia"/>
        </w:rPr>
        <w:t>網路</w:t>
      </w:r>
      <w:r w:rsidR="0004575A" w:rsidRPr="00C3310F">
        <w:rPr>
          <w:rFonts w:hint="eastAsia"/>
        </w:rPr>
        <w:t>平臺</w:t>
      </w:r>
      <w:r w:rsidRPr="00C3310F">
        <w:rPr>
          <w:rFonts w:hint="eastAsia"/>
        </w:rPr>
        <w:t>投資廣告採認數位簽章部分：</w:t>
      </w:r>
      <w:bookmarkEnd w:id="813"/>
      <w:bookmarkEnd w:id="814"/>
      <w:bookmarkEnd w:id="815"/>
    </w:p>
    <w:p w14:paraId="1C8A4F3E" w14:textId="77777777" w:rsidR="00C6531A" w:rsidRPr="00C3310F" w:rsidRDefault="00C6531A" w:rsidP="00C6531A">
      <w:pPr>
        <w:pStyle w:val="4"/>
      </w:pPr>
      <w:r w:rsidRPr="00C3310F">
        <w:rPr>
          <w:rFonts w:hint="eastAsia"/>
        </w:rPr>
        <w:t>強化源頭管理：</w:t>
      </w:r>
    </w:p>
    <w:p w14:paraId="010EBF8A" w14:textId="528F4CB0" w:rsidR="00C6531A" w:rsidRPr="00C3310F" w:rsidRDefault="00C6531A" w:rsidP="00C6531A">
      <w:pPr>
        <w:pStyle w:val="5"/>
        <w:numPr>
          <w:ilvl w:val="0"/>
          <w:numId w:val="0"/>
        </w:numPr>
        <w:ind w:left="1700" w:firstLineChars="208" w:firstLine="708"/>
      </w:pPr>
      <w:r w:rsidRPr="00C3310F">
        <w:rPr>
          <w:rFonts w:hint="eastAsia"/>
        </w:rPr>
        <w:t>行政院</w:t>
      </w:r>
      <w:r w:rsidR="0056315F" w:rsidRPr="00C3310F">
        <w:rPr>
          <w:rFonts w:hint="eastAsia"/>
        </w:rPr>
        <w:t>院</w:t>
      </w:r>
      <w:r w:rsidRPr="00C3310F">
        <w:rPr>
          <w:rFonts w:hint="eastAsia"/>
        </w:rPr>
        <w:t>會</w:t>
      </w:r>
      <w:r w:rsidR="0056315F" w:rsidRPr="00C3310F">
        <w:rPr>
          <w:rFonts w:hint="eastAsia"/>
        </w:rPr>
        <w:t>於</w:t>
      </w:r>
      <w:r w:rsidRPr="00C3310F">
        <w:rPr>
          <w:rFonts w:hint="eastAsia"/>
        </w:rPr>
        <w:t>113年5月9日通過《詐欺犯罪危害防制條例》草案，</w:t>
      </w:r>
      <w:r w:rsidR="00530FF0" w:rsidRPr="00C3310F">
        <w:rPr>
          <w:rFonts w:hint="eastAsia"/>
        </w:rPr>
        <w:t>業</w:t>
      </w:r>
      <w:r w:rsidR="0056315F" w:rsidRPr="00C3310F">
        <w:rPr>
          <w:rFonts w:hint="eastAsia"/>
        </w:rPr>
        <w:t>經立法院113年</w:t>
      </w:r>
      <w:r w:rsidR="00530FF0" w:rsidRPr="00C3310F">
        <w:rPr>
          <w:rFonts w:hint="eastAsia"/>
        </w:rPr>
        <w:t>7月12日三讀通過</w:t>
      </w:r>
      <w:r w:rsidRPr="00C3310F">
        <w:rPr>
          <w:rFonts w:hint="eastAsia"/>
        </w:rPr>
        <w:t>，其中第30條規定網路廣告平臺業者對其網路廣告服務，應以數位簽章、快速身分識別機制或其他安全性相當之技術或方式驗證委託刊播者及出資者之身分，以降低偽冒他人名義刊登或推播廣告之潛在風險。</w:t>
      </w:r>
    </w:p>
    <w:p w14:paraId="2DD6C596" w14:textId="77777777" w:rsidR="00C6531A" w:rsidRPr="00C3310F" w:rsidRDefault="00C6531A" w:rsidP="00BF5D42">
      <w:pPr>
        <w:pStyle w:val="4"/>
      </w:pPr>
      <w:r w:rsidRPr="00C3310F">
        <w:rPr>
          <w:rFonts w:hint="eastAsia"/>
        </w:rPr>
        <w:t>因各國間存在數位落差，對於數位簽章相關技術的發展情形不一致，為避免跨國驗證技術對接上的困境，爰《詐欺犯罪危害防制條例》第30條規定以數位簽章、快速身分識別機制或其他安全性相當之技術或方式，達到驗證委託刊播者及出資者身分之目的，並避免實務上執行之困難，有效降低偽冒他人名義刊登或推播廣告之潛在風險。</w:t>
      </w:r>
    </w:p>
    <w:p w14:paraId="2366C4AA" w14:textId="77777777" w:rsidR="00C6531A" w:rsidRPr="00C3310F" w:rsidRDefault="00C6531A" w:rsidP="00BF5D42">
      <w:pPr>
        <w:pStyle w:val="4"/>
      </w:pPr>
      <w:r w:rsidRPr="00C3310F">
        <w:rPr>
          <w:rFonts w:hint="eastAsia"/>
        </w:rPr>
        <w:lastRenderedPageBreak/>
        <w:t>為解決過去未落地之境外平臺無法納管問題，《詐欺犯罪危害防制條例》第29條規定，網路廣告平臺業者及其代表人於中華民國無營業所或住居所，且未設立分公司者，網路廣告平臺業者應以書面指定中華民國境內我國國民、依法登記之法人或設有代表人或管理人之非法人團體為其法律代表，並向數位經濟相關產業主管機關提報法律代表之姓名、名稱、住居所、事務所或營業所、電話及電子郵件信箱，以利文書送達及協助執行防詐措施法令遵循事項，並已研擬相關罰則。</w:t>
      </w:r>
    </w:p>
    <w:p w14:paraId="38938370" w14:textId="103263D3" w:rsidR="00C6531A" w:rsidRPr="00C3310F" w:rsidRDefault="00C6531A" w:rsidP="00BF5D42">
      <w:pPr>
        <w:pStyle w:val="4"/>
      </w:pPr>
      <w:r w:rsidRPr="00C3310F">
        <w:rPr>
          <w:rFonts w:hint="eastAsia"/>
        </w:rPr>
        <w:t>至於廣告在境外上架，所採取之防詐管理措</w:t>
      </w:r>
      <w:r w:rsidR="0056315F" w:rsidRPr="00C3310F">
        <w:rPr>
          <w:rFonts w:hint="eastAsia"/>
        </w:rPr>
        <w:t>施</w:t>
      </w:r>
      <w:r w:rsidRPr="00C3310F">
        <w:rPr>
          <w:rFonts w:hint="eastAsia"/>
        </w:rPr>
        <w:t>，如前所述，《詐欺犯罪危害防制條例》第30條規定網路廣告平臺業者對其網路廣告服務，應以數位簽章、快速身分識別機制或其他安全性相當之技術或方式驗證委託刊播者及出資者之身分，以降低偽冒他人名義刊登或推播廣告之潛在風險。</w:t>
      </w:r>
    </w:p>
    <w:p w14:paraId="0E26416F" w14:textId="53C08EA0" w:rsidR="00A231A8" w:rsidRPr="00C3310F" w:rsidRDefault="00A231A8" w:rsidP="00A231A8">
      <w:pPr>
        <w:pStyle w:val="3"/>
      </w:pPr>
      <w:bookmarkStart w:id="816" w:name="_Toc171525559"/>
      <w:bookmarkStart w:id="817" w:name="_Toc172024080"/>
      <w:bookmarkStart w:id="818" w:name="_Toc172033403"/>
      <w:r w:rsidRPr="00C3310F">
        <w:rPr>
          <w:rFonts w:hint="eastAsia"/>
        </w:rPr>
        <w:t>強化數位</w:t>
      </w:r>
      <w:r w:rsidR="0004575A" w:rsidRPr="00C3310F">
        <w:rPr>
          <w:rFonts w:hint="eastAsia"/>
        </w:rPr>
        <w:t>平臺</w:t>
      </w:r>
      <w:r w:rsidRPr="00C3310F">
        <w:rPr>
          <w:rFonts w:hint="eastAsia"/>
        </w:rPr>
        <w:t>治理:</w:t>
      </w:r>
      <w:bookmarkEnd w:id="816"/>
      <w:bookmarkEnd w:id="817"/>
      <w:bookmarkEnd w:id="818"/>
    </w:p>
    <w:p w14:paraId="6CA9041B" w14:textId="77777777" w:rsidR="00A231A8" w:rsidRPr="00C3310F" w:rsidRDefault="00A231A8" w:rsidP="00A231A8">
      <w:pPr>
        <w:pStyle w:val="4"/>
      </w:pPr>
      <w:r w:rsidRPr="00C3310F">
        <w:rPr>
          <w:rFonts w:hint="eastAsia"/>
        </w:rPr>
        <w:t>強化數位台平治理之目的</w:t>
      </w:r>
    </w:p>
    <w:p w14:paraId="2B0F7646" w14:textId="77777777" w:rsidR="00A231A8" w:rsidRPr="00C3310F" w:rsidRDefault="00A231A8" w:rsidP="00A231A8">
      <w:pPr>
        <w:pStyle w:val="4"/>
        <w:numPr>
          <w:ilvl w:val="0"/>
          <w:numId w:val="0"/>
        </w:numPr>
        <w:ind w:left="1701" w:firstLineChars="208" w:firstLine="708"/>
      </w:pPr>
      <w:r w:rsidRPr="00C3310F">
        <w:rPr>
          <w:rFonts w:hint="eastAsia"/>
        </w:rPr>
        <w:t>網際網路快速普及，民眾日常使用的數位中介服務，帶來生活便利的同時，也引發新的風險與挑戰，國際上普遍認為連線服務與線上平臺服務提供者等數位中介服務，具備網路「守門人」</w:t>
      </w:r>
      <w:r w:rsidRPr="00C3310F">
        <w:t>(gatekeeper)</w:t>
      </w:r>
      <w:r w:rsidRPr="00C3310F">
        <w:rPr>
          <w:rFonts w:hint="eastAsia"/>
        </w:rPr>
        <w:t>特性，認為應針對數位中介服務之行為加以規範，「平臺問責」</w:t>
      </w:r>
      <w:r w:rsidRPr="00C3310F">
        <w:t>(platform accountability)</w:t>
      </w:r>
      <w:r w:rsidRPr="00C3310F">
        <w:rPr>
          <w:rFonts w:hint="eastAsia"/>
        </w:rPr>
        <w:t>概念隨之誕生。因此，為保障數位基本人權，促進數位通訊傳播資訊自由流通與服務提供，落實數位中介服務提供者之問責與使用者權益維護，以建立自由、安全及可信賴的數位環境。</w:t>
      </w:r>
    </w:p>
    <w:p w14:paraId="0B3915A7" w14:textId="77777777" w:rsidR="00A231A8" w:rsidRPr="00C3310F" w:rsidRDefault="00A231A8" w:rsidP="00A231A8">
      <w:pPr>
        <w:pStyle w:val="4"/>
      </w:pPr>
      <w:r w:rsidRPr="00C3310F">
        <w:rPr>
          <w:rFonts w:hint="eastAsia"/>
        </w:rPr>
        <w:t>通傳會原擬數位中介法草案之疑義:</w:t>
      </w:r>
    </w:p>
    <w:p w14:paraId="28006051" w14:textId="77777777" w:rsidR="00A231A8" w:rsidRPr="00C3310F" w:rsidRDefault="00A231A8" w:rsidP="00A231A8">
      <w:pPr>
        <w:pStyle w:val="5"/>
      </w:pPr>
      <w:r w:rsidRPr="00C3310F">
        <w:rPr>
          <w:rFonts w:hint="eastAsia"/>
        </w:rPr>
        <w:lastRenderedPageBreak/>
        <w:t>通傳會前研擬之「數位中介服務法」草案，鼓勵數位中介服務提供者針對網際網路內容，依其服務使用條款採取合法且必要的自律檢視與因應措施。草案就數位中介服務態樣與規模區分不同類型，逐級課予特別義務，以公私協力模式因應數位中介服務衍生之問題，以及線上平臺服務提供者之重大系統性風險。</w:t>
      </w:r>
    </w:p>
    <w:p w14:paraId="317BC331" w14:textId="4FB253C6" w:rsidR="00A231A8" w:rsidRPr="00C3310F" w:rsidRDefault="00A231A8" w:rsidP="00A231A8">
      <w:pPr>
        <w:pStyle w:val="5"/>
      </w:pPr>
      <w:r w:rsidRPr="00C3310F">
        <w:rPr>
          <w:rFonts w:hint="eastAsia"/>
        </w:rPr>
        <w:t>通傳會於111年6月29日對外公布「數位中介服務法」草案，賡續辦理三場分眾公開說明會，邀集中介服務提供者、公民團體與學者專家等利害關係人與會表達意見，然該草案受外界解讀為涉及影響言論自由的基本權益之爭議，引發諸多批評。未來</w:t>
      </w:r>
      <w:r w:rsidR="0056315F" w:rsidRPr="00C3310F">
        <w:rPr>
          <w:rFonts w:hint="eastAsia"/>
        </w:rPr>
        <w:t>通傳</w:t>
      </w:r>
      <w:r w:rsidRPr="00C3310F">
        <w:rPr>
          <w:rFonts w:hint="eastAsia"/>
        </w:rPr>
        <w:t>會將審慎研議與評估，持續觀察產業趨勢及社會脈動，並納入多方利害關係人意見，以尋求整體社會共識，目前暫無立法時程表。</w:t>
      </w:r>
    </w:p>
    <w:p w14:paraId="73FBF861" w14:textId="77777777" w:rsidR="00A231A8" w:rsidRPr="00C3310F" w:rsidRDefault="00A231A8" w:rsidP="00A231A8">
      <w:pPr>
        <w:pStyle w:val="5"/>
      </w:pPr>
      <w:r w:rsidRPr="00C3310F">
        <w:rPr>
          <w:rFonts w:hint="eastAsia"/>
        </w:rPr>
        <w:t>由於網際網路包羅萬象，不可能以一部法案羅列所有違法類型，故內容之違法性仍須回歸各部會的主管法規，由各部會依其專業職責認定，及針對違法內容通知業者進行不同處置作為。目前相關部會亦已陸續就其職掌針對網際網路違法內容進行規範。</w:t>
      </w:r>
    </w:p>
    <w:p w14:paraId="24748951" w14:textId="77777777" w:rsidR="00A231A8" w:rsidRPr="00C3310F" w:rsidRDefault="00A231A8" w:rsidP="00A231A8">
      <w:pPr>
        <w:pStyle w:val="4"/>
      </w:pPr>
      <w:r w:rsidRPr="00C3310F">
        <w:rPr>
          <w:rFonts w:hint="eastAsia"/>
        </w:rPr>
        <w:t>歐盟數位服務法之立法緣由、目的及與電信網路詐騙之關聯性：</w:t>
      </w:r>
    </w:p>
    <w:p w14:paraId="25C4A771" w14:textId="77777777" w:rsidR="00A231A8" w:rsidRPr="00C3310F" w:rsidRDefault="00A231A8" w:rsidP="00A231A8">
      <w:pPr>
        <w:pStyle w:val="5"/>
      </w:pPr>
      <w:r w:rsidRPr="00C3310F">
        <w:rPr>
          <w:rFonts w:hint="eastAsia"/>
        </w:rPr>
        <w:t>隨著網路用戶數量大增，中介平臺已具備如同守門人般的強大影響力，進而衍生網路違法內容充斥與基本權利危害等風險，甚至可能阻礙創新，故備受歐盟官方關注。此外，配合歐盟數位政策規劃之目標，透過法規制定強化平臺責任，補強既有電子商務指令20餘年無法因應時</w:t>
      </w:r>
      <w:r w:rsidRPr="00C3310F">
        <w:rPr>
          <w:rFonts w:hint="eastAsia"/>
        </w:rPr>
        <w:lastRenderedPageBreak/>
        <w:t>代需求之不足。</w:t>
      </w:r>
    </w:p>
    <w:p w14:paraId="04586AAD" w14:textId="77777777" w:rsidR="00A231A8" w:rsidRPr="00C3310F" w:rsidRDefault="00A231A8" w:rsidP="00A231A8">
      <w:pPr>
        <w:pStyle w:val="5"/>
      </w:pPr>
      <w:r w:rsidRPr="00C3310F">
        <w:rPr>
          <w:rFonts w:hint="eastAsia"/>
        </w:rPr>
        <w:t>歐盟「數位服務法」係針對中介服務提供者進行相關義務及作為之原則性規範，包括中介服務提供者不具一般性監督中介服務傳輸或儲存之資料義務，並且不負有主動發現違法內容事實的責任。惟應具備申訴機制，並對遭到檢舉之違法內容負擔通知即取下或封鎖的義務。此外，歐盟「數位服務法」亦訂有線上廣告資訊揭露及線上交易賣家溯源等規定，然歐盟「數位服務法」條文並未針對網路電信詐騙直接進行相關規範。</w:t>
      </w:r>
    </w:p>
    <w:p w14:paraId="4F013368" w14:textId="77777777" w:rsidR="00A231A8" w:rsidRPr="00C3310F" w:rsidRDefault="00A231A8" w:rsidP="00EA7CDF">
      <w:pPr>
        <w:pStyle w:val="4"/>
        <w:spacing w:line="400" w:lineRule="exact"/>
      </w:pPr>
      <w:r w:rsidRPr="00C3310F">
        <w:rPr>
          <w:rFonts w:hint="eastAsia"/>
        </w:rPr>
        <w:t>我國數位中介服務法草案與歐盟數位服務法之異同：</w:t>
      </w:r>
    </w:p>
    <w:p w14:paraId="7C1DFE56" w14:textId="6468D2E2" w:rsidR="00A231A8" w:rsidRPr="00C3310F" w:rsidRDefault="00A231A8" w:rsidP="00EA7CDF">
      <w:pPr>
        <w:pStyle w:val="5"/>
        <w:spacing w:line="400" w:lineRule="exact"/>
      </w:pPr>
      <w:r w:rsidRPr="00C3310F">
        <w:rPr>
          <w:rFonts w:hint="eastAsia"/>
        </w:rPr>
        <w:t>整體而言，「數位中介服務法」草案與歐盟「數位服務法」所規範對象皆為「網路中介服務業者」，包括連線服務、快速存取服務、資訊儲存服務等，同時也納入問責概念，對於所規範對象，依據類型不同而課予不同義務，例如資訊揭露、透明度報告等，希望能夠降低網路風險，達到安全可信賴的網際網路環境。</w:t>
      </w:r>
    </w:p>
    <w:p w14:paraId="25B3161D" w14:textId="77777777" w:rsidR="00A231A8" w:rsidRPr="00C3310F" w:rsidRDefault="00A231A8" w:rsidP="00EA7CDF">
      <w:pPr>
        <w:pStyle w:val="5"/>
        <w:spacing w:line="400" w:lineRule="exact"/>
      </w:pPr>
      <w:r w:rsidRPr="00C3310F">
        <w:rPr>
          <w:rFonts w:hint="eastAsia"/>
        </w:rPr>
        <w:t>惟考量網路治理涉及跨國性議題，因此歐盟「數位服務法」明定每個國家須指定該國的數位協調機關，這些數位服務協調機構組成歐洲數位服務委員會，負責協調歐盟境內不同國家有關「數位服務法」之相關處理措施。而「數位中介服務法」草案則設有專責機構，採財團法人型態設立，透過多方利害關係人治理模式參與討論及決策，尊重民眾言論自由，並賦予平臺業者問責之機制，同時也避免政府行政權干預。顯見因應立法層次及涉及範圍不同，而有不同的相關組織設計。</w:t>
      </w:r>
    </w:p>
    <w:p w14:paraId="62642D86" w14:textId="1D2C67A5" w:rsidR="0050018E" w:rsidRPr="00C3310F" w:rsidRDefault="00A231A8" w:rsidP="00CD5025">
      <w:pPr>
        <w:pStyle w:val="4"/>
        <w:widowControl/>
        <w:overflowPunct/>
        <w:autoSpaceDE/>
        <w:autoSpaceDN/>
        <w:spacing w:line="400" w:lineRule="exact"/>
        <w:jc w:val="left"/>
        <w:rPr>
          <w:bCs/>
          <w:szCs w:val="52"/>
        </w:rPr>
      </w:pPr>
      <w:r w:rsidRPr="00C3310F">
        <w:rPr>
          <w:rFonts w:hint="eastAsia"/>
        </w:rPr>
        <w:lastRenderedPageBreak/>
        <w:t>數位中介服務法草案擱置後，通傳會對於高涉詐風險網路</w:t>
      </w:r>
      <w:r w:rsidR="0004575A" w:rsidRPr="00C3310F">
        <w:rPr>
          <w:rFonts w:hint="eastAsia"/>
        </w:rPr>
        <w:t>平臺</w:t>
      </w:r>
      <w:r w:rsidRPr="00C3310F">
        <w:rPr>
          <w:rFonts w:hint="eastAsia"/>
        </w:rPr>
        <w:t>之管理規劃：網際網路治理不同於傳統廣電高權監理模式，須仰賴多方利害關係人參與溝通，尋求各級行政機關、網際網路服務提供者、公民團體、學者專家及使用者等多方共識方能奏效，爰網路治理非以監督管理，而是以共同建立治理框架較為妥適。</w:t>
      </w:r>
      <w:bookmarkStart w:id="819" w:name="_Toc524895646"/>
      <w:bookmarkStart w:id="820" w:name="_Toc524896192"/>
      <w:bookmarkStart w:id="821" w:name="_Toc524896222"/>
      <w:bookmarkStart w:id="822" w:name="_Toc524902729"/>
      <w:bookmarkStart w:id="823" w:name="_Toc525066145"/>
      <w:bookmarkStart w:id="824" w:name="_Toc525070836"/>
      <w:bookmarkStart w:id="825" w:name="_Toc525938376"/>
      <w:bookmarkStart w:id="826" w:name="_Toc525939224"/>
      <w:bookmarkStart w:id="827" w:name="_Toc525939729"/>
      <w:bookmarkStart w:id="828" w:name="_Toc529218269"/>
      <w:bookmarkStart w:id="829" w:name="_Toc529222686"/>
      <w:bookmarkStart w:id="830" w:name="_Toc529223108"/>
      <w:bookmarkStart w:id="831" w:name="_Toc529223859"/>
      <w:bookmarkStart w:id="832" w:name="_Toc529228262"/>
      <w:bookmarkStart w:id="833" w:name="_Toc2400392"/>
      <w:bookmarkStart w:id="834" w:name="_Toc4316186"/>
      <w:bookmarkStart w:id="835" w:name="_Toc4473327"/>
      <w:bookmarkStart w:id="836" w:name="_Toc69556894"/>
      <w:bookmarkStart w:id="837" w:name="_Toc69556943"/>
      <w:bookmarkStart w:id="838" w:name="_Toc69609817"/>
      <w:bookmarkStart w:id="839" w:name="_Toc70241813"/>
      <w:bookmarkStart w:id="840" w:name="_Toc70242202"/>
      <w:bookmarkStart w:id="841" w:name="_Toc421794872"/>
      <w:bookmarkEnd w:id="355"/>
      <w:bookmarkEnd w:id="356"/>
      <w:bookmarkEnd w:id="357"/>
      <w:bookmarkEnd w:id="358"/>
      <w:bookmarkEnd w:id="359"/>
      <w:bookmarkEnd w:id="360"/>
      <w:bookmarkEnd w:id="363"/>
      <w:r w:rsidR="0050018E" w:rsidRPr="00C3310F">
        <w:br w:type="page"/>
      </w:r>
    </w:p>
    <w:p w14:paraId="38336976" w14:textId="77777777" w:rsidR="00E25849" w:rsidRPr="00C3310F" w:rsidRDefault="0050018E" w:rsidP="001750E7">
      <w:pPr>
        <w:pStyle w:val="1"/>
        <w:ind w:left="2380" w:hanging="2380"/>
        <w:jc w:val="center"/>
        <w:rPr>
          <w:b/>
          <w:sz w:val="36"/>
        </w:rPr>
      </w:pPr>
      <w:bookmarkStart w:id="842" w:name="_Toc172033404"/>
      <w:r w:rsidRPr="00C3310F">
        <w:rPr>
          <w:rFonts w:hint="eastAsia"/>
          <w:b/>
          <w:sz w:val="36"/>
        </w:rPr>
        <w:lastRenderedPageBreak/>
        <w:t>結論與建議</w:t>
      </w:r>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p>
    <w:p w14:paraId="2761B068" w14:textId="4B90DE69" w:rsidR="000B1C3C" w:rsidRPr="00C3310F" w:rsidRDefault="000B1C3C" w:rsidP="000B1C3C">
      <w:pPr>
        <w:pStyle w:val="2"/>
        <w:numPr>
          <w:ilvl w:val="1"/>
          <w:numId w:val="20"/>
        </w:numPr>
        <w:rPr>
          <w:b/>
        </w:rPr>
      </w:pPr>
      <w:bookmarkStart w:id="843" w:name="_Toc172033405"/>
      <w:r w:rsidRPr="00C3310F">
        <w:rPr>
          <w:rFonts w:hint="eastAsia"/>
          <w:b/>
        </w:rPr>
        <w:t>國內112年電信網路詐欺案件數量已突破2萬件</w:t>
      </w:r>
      <w:r w:rsidR="000019DD" w:rsidRPr="00C3310F">
        <w:rPr>
          <w:rFonts w:hint="eastAsia"/>
          <w:b/>
        </w:rPr>
        <w:t>，達到</w:t>
      </w:r>
      <w:r w:rsidRPr="00C3310F">
        <w:rPr>
          <w:rFonts w:hint="eastAsia"/>
          <w:b/>
        </w:rPr>
        <w:t>歷史新高，經爬梳其脈絡，除與全球電信網路詐欺犯罪情勢相符外，其長期原因包括政府在前次詐欺高發之97、98年期間</w:t>
      </w:r>
      <w:r w:rsidR="003977B9" w:rsidRPr="00C3310F">
        <w:rPr>
          <w:rFonts w:hint="eastAsia"/>
          <w:b/>
        </w:rPr>
        <w:t>，</w:t>
      </w:r>
      <w:r w:rsidRPr="00C3310F">
        <w:rPr>
          <w:rFonts w:hint="eastAsia"/>
          <w:b/>
        </w:rPr>
        <w:t>相關檢討改進措施未臻澈底，中期原因則係政府法制、規管及政策未能充分跟進數位化、網路化及全球化之進程並加以治理，而衍生諸多犯罪機會及條件；短期因素則因</w:t>
      </w:r>
      <w:r w:rsidRPr="00C3310F">
        <w:rPr>
          <w:b/>
        </w:rPr>
        <w:t>COVID-19</w:t>
      </w:r>
      <w:r w:rsidRPr="00C3310F">
        <w:rPr>
          <w:rFonts w:hint="eastAsia"/>
          <w:b/>
        </w:rPr>
        <w:t>疫情爆發後，經濟面不確定性偏高，且民眾已高度依賴行動通訊網路及數位經濟等，以致於詐欺犯罪於近兩年融合短中長期因素後獲得爆發性成長，嚴重侵害國人生命財產安全。政府雖陸續制定「打詐綱領1.0」及「打詐綱領1.5」，以「識詐」、「堵詐」、「阻詐」、「懲詐」四大面向強化打詐效能，並陸續修訂「打詐五法」，並推動「打詐新四法」等，以全面補強規管漏洞並提高嚇阻力，惟迄113年5月為止，詐騙情勢仍不容樂觀，政府</w:t>
      </w:r>
      <w:r w:rsidR="000019DD" w:rsidRPr="00C3310F">
        <w:rPr>
          <w:rFonts w:hint="eastAsia"/>
          <w:b/>
        </w:rPr>
        <w:t>允宜</w:t>
      </w:r>
      <w:r w:rsidRPr="00C3310F">
        <w:rPr>
          <w:rFonts w:hint="eastAsia"/>
          <w:b/>
        </w:rPr>
        <w:t>持續積極檢視行政面稍嫌薄弱之環節，透過上游清源防制提高整體打詐綜效。</w:t>
      </w:r>
      <w:bookmarkEnd w:id="843"/>
    </w:p>
    <w:p w14:paraId="69B945C5" w14:textId="75CB5892" w:rsidR="000B1C3C" w:rsidRPr="00C3310F" w:rsidRDefault="000B1C3C" w:rsidP="000B1C3C">
      <w:pPr>
        <w:pStyle w:val="3"/>
      </w:pPr>
      <w:bookmarkStart w:id="844" w:name="_Toc171525562"/>
      <w:bookmarkStart w:id="845" w:name="_Toc172024083"/>
      <w:bookmarkStart w:id="846" w:name="_Toc172033406"/>
      <w:r w:rsidRPr="00C3310F">
        <w:rPr>
          <w:rFonts w:hint="eastAsia"/>
        </w:rPr>
        <w:t>89至112年間電信網路詐欺案件之數量變動趨勢(如下圖</w:t>
      </w:r>
      <w:r w:rsidR="004B77B6" w:rsidRPr="00C3310F">
        <w:rPr>
          <w:rFonts w:hint="eastAsia"/>
        </w:rPr>
        <w:t>1</w:t>
      </w:r>
      <w:r w:rsidR="004B77B6" w:rsidRPr="00C3310F">
        <w:t>0</w:t>
      </w:r>
      <w:r w:rsidRPr="00C3310F">
        <w:rPr>
          <w:rFonts w:hint="eastAsia"/>
        </w:rPr>
        <w:t>)</w:t>
      </w:r>
      <w:r w:rsidRPr="00C3310F">
        <w:rPr>
          <w:rStyle w:val="afe"/>
        </w:rPr>
        <w:t xml:space="preserve"> </w:t>
      </w:r>
      <w:r w:rsidRPr="00C3310F">
        <w:rPr>
          <w:rStyle w:val="afe"/>
        </w:rPr>
        <w:footnoteReference w:id="45"/>
      </w:r>
      <w:r w:rsidRPr="00C3310F">
        <w:rPr>
          <w:rFonts w:hint="eastAsia"/>
          <w:vertAlign w:val="superscript"/>
        </w:rPr>
        <w:t>、</w:t>
      </w:r>
      <w:r w:rsidRPr="00C3310F">
        <w:rPr>
          <w:rStyle w:val="afe"/>
        </w:rPr>
        <w:footnoteReference w:id="46"/>
      </w:r>
      <w:r w:rsidRPr="00C3310F">
        <w:rPr>
          <w:rFonts w:hint="eastAsia"/>
        </w:rPr>
        <w:t>，顯示97、98年間電信網路詐欺案件曾一度攀升至1.9萬件，經政府大力掃蕩，於102年降至6</w:t>
      </w:r>
      <w:r w:rsidRPr="00C3310F">
        <w:t>,</w:t>
      </w:r>
      <w:r w:rsidRPr="00C3310F">
        <w:rPr>
          <w:rFonts w:hint="eastAsia"/>
        </w:rPr>
        <w:t>355件之新低，105至110年起每年穩定於1.3萬件左右，直至111年起快速成長，至112年突破歷史高峰至20</w:t>
      </w:r>
      <w:r w:rsidRPr="00C3310F">
        <w:t>,</w:t>
      </w:r>
      <w:r w:rsidRPr="00C3310F">
        <w:rPr>
          <w:rFonts w:hint="eastAsia"/>
        </w:rPr>
        <w:t>958件，年增率達33.1%；對照全球反詐聯盟(Global Anti-Scam Alliance，下稱</w:t>
      </w:r>
      <w:r w:rsidRPr="00C3310F">
        <w:t>GASA</w:t>
      </w:r>
      <w:r w:rsidRPr="00C3310F">
        <w:rPr>
          <w:rFonts w:hint="eastAsia"/>
        </w:rPr>
        <w:t>)於2022年</w:t>
      </w:r>
      <w:r w:rsidRPr="00C3310F">
        <w:rPr>
          <w:rFonts w:hint="eastAsia"/>
        </w:rPr>
        <w:lastRenderedPageBreak/>
        <w:t>提出之報告</w:t>
      </w:r>
      <w:r w:rsidRPr="00C3310F">
        <w:rPr>
          <w:rStyle w:val="afe"/>
        </w:rPr>
        <w:footnoteReference w:id="47"/>
      </w:r>
      <w:r w:rsidRPr="00C3310F">
        <w:rPr>
          <w:rFonts w:hint="eastAsia"/>
        </w:rPr>
        <w:t>指出，</w:t>
      </w:r>
      <w:r w:rsidRPr="00C3310F">
        <w:t>2021</w:t>
      </w:r>
      <w:r w:rsidRPr="00C3310F">
        <w:rPr>
          <w:rFonts w:hint="eastAsia"/>
        </w:rPr>
        <w:t>年全球共收到約</w:t>
      </w:r>
      <w:r w:rsidRPr="00C3310F">
        <w:t>2.93</w:t>
      </w:r>
      <w:r w:rsidRPr="00C3310F">
        <w:rPr>
          <w:rFonts w:hint="eastAsia"/>
        </w:rPr>
        <w:t>億份詐騙案件通報，相比</w:t>
      </w:r>
      <w:r w:rsidRPr="00C3310F">
        <w:t>2020</w:t>
      </w:r>
      <w:r w:rsidRPr="00C3310F">
        <w:rPr>
          <w:rFonts w:hint="eastAsia"/>
        </w:rPr>
        <w:t>年增加了</w:t>
      </w:r>
      <w:r w:rsidRPr="00C3310F">
        <w:t>10.2%</w:t>
      </w:r>
      <w:r w:rsidRPr="00C3310F">
        <w:rPr>
          <w:rFonts w:hint="eastAsia"/>
        </w:rPr>
        <w:t>；可見全球詐欺犯罪情勢在過去兩年持續升溫，而我國之詐欺案件成長率明顯高於國際平均，顯見情勢之嚴峻。</w:t>
      </w:r>
      <w:bookmarkEnd w:id="844"/>
      <w:bookmarkEnd w:id="845"/>
      <w:bookmarkEnd w:id="846"/>
    </w:p>
    <w:p w14:paraId="03B6750E" w14:textId="5E7DDD31" w:rsidR="000B1C3C" w:rsidRPr="00C3310F" w:rsidRDefault="000B1C3C" w:rsidP="000B1C3C">
      <w:pPr>
        <w:pStyle w:val="3"/>
        <w:numPr>
          <w:ilvl w:val="0"/>
          <w:numId w:val="0"/>
        </w:numPr>
        <w:ind w:left="1361"/>
      </w:pPr>
      <w:bookmarkStart w:id="847" w:name="_Toc171525563"/>
      <w:bookmarkStart w:id="848" w:name="_Toc172024084"/>
      <w:bookmarkStart w:id="849" w:name="_Toc172033407"/>
      <w:r w:rsidRPr="00C3310F">
        <w:rPr>
          <w:noProof/>
        </w:rPr>
        <w:drawing>
          <wp:anchor distT="0" distB="0" distL="114300" distR="114300" simplePos="0" relativeHeight="251675648" behindDoc="0" locked="0" layoutInCell="1" allowOverlap="1" wp14:anchorId="15C3C80D" wp14:editId="06AF0640">
            <wp:simplePos x="0" y="0"/>
            <wp:positionH relativeFrom="margin">
              <wp:align>left</wp:align>
            </wp:positionH>
            <wp:positionV relativeFrom="paragraph">
              <wp:posOffset>2067560</wp:posOffset>
            </wp:positionV>
            <wp:extent cx="5989320" cy="3716655"/>
            <wp:effectExtent l="0" t="0" r="11430" b="17145"/>
            <wp:wrapTopAndBottom/>
            <wp:docPr id="17" name="圖表 17">
              <a:extLst xmlns:a="http://schemas.openxmlformats.org/drawingml/2006/main">
                <a:ext uri="{FF2B5EF4-FFF2-40B4-BE49-F238E27FC236}">
                  <a16:creationId xmlns:a16="http://schemas.microsoft.com/office/drawing/2014/main" id="{765D2189-8114-431D-A28A-830554AD9A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V relativeFrom="margin">
              <wp14:pctHeight>0</wp14:pctHeight>
            </wp14:sizeRelV>
          </wp:anchor>
        </w:drawing>
      </w:r>
      <w:r w:rsidRPr="00C3310F">
        <w:rPr>
          <w:rFonts w:hint="eastAsia"/>
        </w:rPr>
        <w:t xml:space="preserve">    此外，</w:t>
      </w:r>
      <w:r w:rsidR="00A1409C" w:rsidRPr="00C3310F">
        <w:rPr>
          <w:rFonts w:hint="eastAsia"/>
        </w:rPr>
        <w:t>本調查研究</w:t>
      </w:r>
      <w:r w:rsidRPr="00C3310F">
        <w:rPr>
          <w:rFonts w:hint="eastAsia"/>
        </w:rPr>
        <w:t>必須指出，政府所公布之詐欺案件數據並不包括未報案之黑數，故尚無法完整呈現國人遭詐欺犯罪危害之嚴峻程度。若依G</w:t>
      </w:r>
      <w:r w:rsidRPr="00C3310F">
        <w:t>ASA</w:t>
      </w:r>
      <w:r w:rsidRPr="00C3310F">
        <w:rPr>
          <w:rFonts w:hint="eastAsia"/>
        </w:rPr>
        <w:t>推估，根據國家的不同，只有3%~17%的詐騙被通報；此與本院諮詢國立中正大學犯罪防治學系</w:t>
      </w:r>
      <w:r w:rsidR="00F965D6" w:rsidRPr="00C3310F">
        <w:rPr>
          <w:rFonts w:hAnsi="標楷體" w:hint="eastAsia"/>
        </w:rPr>
        <w:t>許華孚</w:t>
      </w:r>
      <w:r w:rsidRPr="00C3310F">
        <w:rPr>
          <w:rFonts w:hint="eastAsia"/>
        </w:rPr>
        <w:t>教授指出:「如果我們以犯罪學的黑數的話，大概要乘以10倍」大致相符。</w:t>
      </w:r>
      <w:bookmarkEnd w:id="847"/>
      <w:bookmarkEnd w:id="848"/>
      <w:bookmarkEnd w:id="849"/>
    </w:p>
    <w:p w14:paraId="09B54F70" w14:textId="77777777" w:rsidR="000B1C3C" w:rsidRPr="00C3310F" w:rsidRDefault="000B1C3C" w:rsidP="000B1C3C">
      <w:pPr>
        <w:pStyle w:val="a1"/>
        <w:spacing w:line="280" w:lineRule="exact"/>
        <w:ind w:left="482" w:hanging="480"/>
        <w:jc w:val="left"/>
        <w:rPr>
          <w:rFonts w:hint="eastAsia"/>
          <w:b/>
        </w:rPr>
      </w:pPr>
      <w:bookmarkStart w:id="850" w:name="_Toc172025261"/>
      <w:r w:rsidRPr="00C3310F">
        <w:rPr>
          <w:rFonts w:hint="eastAsia"/>
          <w:b/>
        </w:rPr>
        <w:t>89至112年間電信網路詐欺案件之數量逐年趨勢（單位:件</w:t>
      </w:r>
      <w:r w:rsidR="000019DD" w:rsidRPr="00C3310F">
        <w:rPr>
          <w:rFonts w:hint="eastAsia"/>
          <w:b/>
        </w:rPr>
        <w:t>數</w:t>
      </w:r>
      <w:r w:rsidRPr="00C3310F">
        <w:rPr>
          <w:rFonts w:hint="eastAsia"/>
          <w:b/>
        </w:rPr>
        <w:t>）。</w:t>
      </w:r>
      <w:bookmarkEnd w:id="850"/>
    </w:p>
    <w:p w14:paraId="0BB53BC1" w14:textId="3A520970" w:rsidR="000B1C3C" w:rsidRPr="00C3310F" w:rsidRDefault="000B1C3C" w:rsidP="000B1C3C">
      <w:pPr>
        <w:pStyle w:val="a1"/>
        <w:numPr>
          <w:ilvl w:val="0"/>
          <w:numId w:val="0"/>
        </w:numPr>
        <w:spacing w:line="280" w:lineRule="exact"/>
        <w:ind w:rightChars="-192" w:right="-653"/>
        <w:jc w:val="left"/>
        <w:rPr>
          <w:rFonts w:hint="eastAsia"/>
        </w:rPr>
      </w:pPr>
      <w:bookmarkStart w:id="851" w:name="_Toc171587750"/>
      <w:bookmarkStart w:id="852" w:name="_Toc172025262"/>
      <w:r w:rsidRPr="00C3310F">
        <w:rPr>
          <w:rFonts w:hint="eastAsia"/>
        </w:rPr>
        <w:t>資料來源：</w:t>
      </w:r>
      <w:bookmarkEnd w:id="851"/>
      <w:r w:rsidR="00BB4367" w:rsidRPr="00C3310F">
        <w:rPr>
          <w:rFonts w:hint="eastAsia"/>
        </w:rPr>
        <w:t>警政署113年6月19日內授警字第1130878508號函及曾雅芬研究</w:t>
      </w:r>
      <w:r w:rsidR="00BB4367" w:rsidRPr="00C3310F">
        <w:rPr>
          <w:rStyle w:val="afe"/>
        </w:rPr>
        <w:footnoteReference w:id="48"/>
      </w:r>
      <w:r w:rsidR="00BB4367" w:rsidRPr="00C3310F">
        <w:rPr>
          <w:rFonts w:hint="eastAsia"/>
        </w:rPr>
        <w:t>，本院自行整理。</w:t>
      </w:r>
      <w:bookmarkEnd w:id="852"/>
    </w:p>
    <w:p w14:paraId="42C21A34" w14:textId="50634B02" w:rsidR="000B1C3C" w:rsidRPr="00C3310F" w:rsidRDefault="000B1C3C" w:rsidP="000B1C3C">
      <w:pPr>
        <w:pStyle w:val="4"/>
      </w:pPr>
      <w:r w:rsidRPr="00C3310F">
        <w:rPr>
          <w:rFonts w:hint="eastAsia"/>
        </w:rPr>
        <w:lastRenderedPageBreak/>
        <w:t>高檢署資料顯示，各</w:t>
      </w:r>
      <w:r w:rsidR="00752EB4" w:rsidRPr="00C3310F">
        <w:rPr>
          <w:rFonts w:hint="eastAsia"/>
        </w:rPr>
        <w:t>地方檢察署(下稱各</w:t>
      </w:r>
      <w:r w:rsidRPr="00C3310F">
        <w:rPr>
          <w:rFonts w:hint="eastAsia"/>
        </w:rPr>
        <w:t>地檢署</w:t>
      </w:r>
      <w:r w:rsidR="00752EB4" w:rsidRPr="00C3310F">
        <w:rPr>
          <w:rFonts w:hint="eastAsia"/>
        </w:rPr>
        <w:t>)</w:t>
      </w:r>
      <w:r w:rsidRPr="00C3310F">
        <w:rPr>
          <w:rFonts w:hint="eastAsia"/>
        </w:rPr>
        <w:t>1</w:t>
      </w:r>
      <w:r w:rsidRPr="00C3310F">
        <w:t>12</w:t>
      </w:r>
      <w:r w:rsidRPr="00C3310F">
        <w:rPr>
          <w:rFonts w:hint="eastAsia"/>
        </w:rPr>
        <w:t>年電信網路詐欺案件新收案數(229,711件)較前一年度(111年)成長42.9%，相較於警政署112年電信網路詐欺案件(20</w:t>
      </w:r>
      <w:r w:rsidRPr="00C3310F">
        <w:t>,</w:t>
      </w:r>
      <w:r w:rsidRPr="00C3310F">
        <w:rPr>
          <w:rFonts w:hint="eastAsia"/>
        </w:rPr>
        <w:t>958件)成長率33.1%，顯得更為嚴峻；至於警政署發生數係如何由統計資料之2萬餘件，經檢警合作偵查程序後移送案件數達20餘萬件</w:t>
      </w:r>
      <w:r w:rsidRPr="00C3310F">
        <w:rPr>
          <w:rStyle w:val="afe"/>
        </w:rPr>
        <w:footnoteReference w:id="49"/>
      </w:r>
      <w:r w:rsidRPr="00C3310F">
        <w:rPr>
          <w:rFonts w:hint="eastAsia"/>
        </w:rPr>
        <w:t>，警政署及高檢署尚難提出具體說明，由於事涉政府對於電信網路詐欺嚴峻程度及檢警機關案件負荷之解讀，</w:t>
      </w:r>
      <w:r w:rsidR="00A1409C" w:rsidRPr="00C3310F">
        <w:rPr>
          <w:rFonts w:hint="eastAsia"/>
        </w:rPr>
        <w:t>本調查研究</w:t>
      </w:r>
      <w:r w:rsidRPr="00C3310F">
        <w:rPr>
          <w:rFonts w:hint="eastAsia"/>
        </w:rPr>
        <w:t>亦建議警政署及高檢署進一步釐清。</w:t>
      </w:r>
    </w:p>
    <w:p w14:paraId="2B74147C" w14:textId="77777777" w:rsidR="000B1C3C" w:rsidRPr="00C3310F" w:rsidRDefault="000B1C3C" w:rsidP="000B1C3C">
      <w:pPr>
        <w:pStyle w:val="5"/>
      </w:pPr>
      <w:r w:rsidRPr="00C3310F">
        <w:rPr>
          <w:rFonts w:hint="eastAsia"/>
        </w:rPr>
        <w:t>各地檢署110年電信網路詐欺案件新收案數為98,256件，111年暴增至160,803件，112年再成長至229,711件，112年較前一年成長率約為42.9%。</w:t>
      </w:r>
    </w:p>
    <w:p w14:paraId="1F42997D" w14:textId="0BFBE1FF" w:rsidR="000B1C3C" w:rsidRPr="00C3310F" w:rsidRDefault="000B1C3C" w:rsidP="000B1C3C">
      <w:pPr>
        <w:pStyle w:val="5"/>
      </w:pPr>
      <w:r w:rsidRPr="00C3310F">
        <w:rPr>
          <w:rFonts w:hint="eastAsia"/>
        </w:rPr>
        <w:t>若以身分唯一化處理，新收人數為73,789人，其中初犯電信詐欺案件終結人數經身分唯一化，計14,600人，以單純人頭帳戶9,181人最多</w:t>
      </w:r>
      <w:r w:rsidR="00D27A6A" w:rsidRPr="00C3310F">
        <w:rPr>
          <w:rStyle w:val="afe"/>
        </w:rPr>
        <w:footnoteReference w:id="50"/>
      </w:r>
      <w:r w:rsidRPr="00C3310F">
        <w:rPr>
          <w:rFonts w:hint="eastAsia"/>
        </w:rPr>
        <w:t>。</w:t>
      </w:r>
    </w:p>
    <w:p w14:paraId="59070BFA" w14:textId="6EB90782" w:rsidR="000B1C3C" w:rsidRPr="00C3310F" w:rsidRDefault="000B1C3C" w:rsidP="00B004D4">
      <w:pPr>
        <w:pStyle w:val="5"/>
      </w:pPr>
      <w:r w:rsidRPr="00C3310F">
        <w:rPr>
          <w:rFonts w:hint="eastAsia"/>
        </w:rPr>
        <w:t>進一步探究人頭帳戶案件之增長，地檢署112年1月至9月新收案109,476件，較111年同期(1~9月)增加47,722件，成長77.3%</w:t>
      </w:r>
      <w:r w:rsidR="00EA142E" w:rsidRPr="00C3310F">
        <w:rPr>
          <w:rStyle w:val="afe"/>
        </w:rPr>
        <w:footnoteReference w:id="51"/>
      </w:r>
      <w:r w:rsidRPr="00C3310F">
        <w:rPr>
          <w:rFonts w:hint="eastAsia"/>
        </w:rPr>
        <w:t>。</w:t>
      </w:r>
    </w:p>
    <w:p w14:paraId="7E635F2A" w14:textId="3B064D5D" w:rsidR="000B1C3C" w:rsidRPr="00C3310F" w:rsidRDefault="000B1C3C" w:rsidP="000B1C3C">
      <w:pPr>
        <w:pStyle w:val="5"/>
      </w:pPr>
      <w:r w:rsidRPr="00C3310F">
        <w:rPr>
          <w:rFonts w:hint="eastAsia"/>
        </w:rPr>
        <w:t>另查金融機構(銀行、中華郵政)警示帳戶總數，109年第2季31,735戶，至112年第2季已成長至103,767戶，3年間成長3.27倍</w:t>
      </w:r>
      <w:r w:rsidR="00EA142E" w:rsidRPr="00C3310F">
        <w:rPr>
          <w:rStyle w:val="afe"/>
        </w:rPr>
        <w:footnoteReference w:id="52"/>
      </w:r>
      <w:r w:rsidRPr="00C3310F">
        <w:rPr>
          <w:rFonts w:hint="eastAsia"/>
        </w:rPr>
        <w:t>。</w:t>
      </w:r>
    </w:p>
    <w:p w14:paraId="4546DD4C" w14:textId="77777777" w:rsidR="000B1C3C" w:rsidRPr="00C3310F" w:rsidRDefault="000B1C3C" w:rsidP="000B1C3C">
      <w:pPr>
        <w:pStyle w:val="4"/>
      </w:pPr>
      <w:r w:rsidRPr="00C3310F">
        <w:rPr>
          <w:rFonts w:hint="eastAsia"/>
        </w:rPr>
        <w:t>在圈存、查扣及返還部分，依據警政署提供111、112年比較數據如表1</w:t>
      </w:r>
      <w:r w:rsidR="004B77B6" w:rsidRPr="00C3310F">
        <w:t>4</w:t>
      </w:r>
      <w:r w:rsidRPr="00C3310F">
        <w:rPr>
          <w:rFonts w:hint="eastAsia"/>
        </w:rPr>
        <w:t>：</w:t>
      </w:r>
    </w:p>
    <w:p w14:paraId="3069E5F2" w14:textId="77777777" w:rsidR="000B1C3C" w:rsidRPr="00C3310F" w:rsidRDefault="000B1C3C" w:rsidP="002375EF">
      <w:pPr>
        <w:pStyle w:val="a3"/>
        <w:spacing w:before="120" w:after="120"/>
        <w:ind w:left="482" w:hanging="482"/>
        <w:jc w:val="right"/>
        <w:rPr>
          <w:rFonts w:hint="eastAsia"/>
        </w:rPr>
      </w:pPr>
      <w:bookmarkStart w:id="853" w:name="_Toc172025218"/>
      <w:r w:rsidRPr="00C3310F">
        <w:rPr>
          <w:rFonts w:hint="eastAsia"/>
        </w:rPr>
        <w:lastRenderedPageBreak/>
        <w:t>111及112年詐騙金額圈存、查扣、返還與財損金額間之關係</w:t>
      </w:r>
      <w:bookmarkEnd w:id="853"/>
    </w:p>
    <w:tbl>
      <w:tblPr>
        <w:tblpPr w:leftFromText="180" w:rightFromText="180" w:vertAnchor="text" w:horzAnchor="page" w:tblpX="2163" w:tblpY="34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99"/>
        <w:gridCol w:w="1916"/>
        <w:gridCol w:w="1925"/>
        <w:gridCol w:w="2977"/>
      </w:tblGrid>
      <w:tr w:rsidR="00C3310F" w:rsidRPr="00C3310F" w14:paraId="71B59587" w14:textId="77777777" w:rsidTr="002375EF">
        <w:trPr>
          <w:trHeight w:val="312"/>
        </w:trPr>
        <w:tc>
          <w:tcPr>
            <w:tcW w:w="1399" w:type="dxa"/>
          </w:tcPr>
          <w:p w14:paraId="69A73A4C" w14:textId="77777777" w:rsidR="002375EF" w:rsidRPr="00C3310F" w:rsidRDefault="002375EF" w:rsidP="002375EF">
            <w:pPr>
              <w:pStyle w:val="af8"/>
              <w:spacing w:line="0" w:lineRule="atLeast"/>
              <w:ind w:leftChars="0" w:left="601" w:hanging="601"/>
              <w:jc w:val="center"/>
              <w:rPr>
                <w:rFonts w:hAnsi="標楷體"/>
                <w:sz w:val="28"/>
                <w:szCs w:val="28"/>
              </w:rPr>
            </w:pPr>
            <w:r w:rsidRPr="00C3310F">
              <w:rPr>
                <w:rFonts w:hAnsi="標楷體" w:hint="eastAsia"/>
                <w:sz w:val="28"/>
                <w:szCs w:val="28"/>
              </w:rPr>
              <w:t>項目</w:t>
            </w:r>
          </w:p>
        </w:tc>
        <w:tc>
          <w:tcPr>
            <w:tcW w:w="1916" w:type="dxa"/>
          </w:tcPr>
          <w:p w14:paraId="4F745717" w14:textId="77777777" w:rsidR="002375EF" w:rsidRPr="00C3310F" w:rsidRDefault="002375EF" w:rsidP="002375EF">
            <w:pPr>
              <w:pStyle w:val="af8"/>
              <w:spacing w:line="0" w:lineRule="atLeast"/>
              <w:ind w:leftChars="0" w:left="601" w:hanging="601"/>
              <w:jc w:val="center"/>
              <w:rPr>
                <w:rFonts w:hAnsi="標楷體"/>
                <w:sz w:val="28"/>
                <w:szCs w:val="28"/>
              </w:rPr>
            </w:pPr>
            <w:r w:rsidRPr="00C3310F">
              <w:rPr>
                <w:rFonts w:hAnsi="標楷體" w:hint="eastAsia"/>
                <w:sz w:val="28"/>
                <w:szCs w:val="28"/>
              </w:rPr>
              <w:t>111年</w:t>
            </w:r>
          </w:p>
        </w:tc>
        <w:tc>
          <w:tcPr>
            <w:tcW w:w="1925" w:type="dxa"/>
          </w:tcPr>
          <w:p w14:paraId="3D3DF342" w14:textId="77777777" w:rsidR="002375EF" w:rsidRPr="00C3310F" w:rsidRDefault="002375EF" w:rsidP="002375EF">
            <w:pPr>
              <w:pStyle w:val="af8"/>
              <w:spacing w:line="0" w:lineRule="atLeast"/>
              <w:ind w:leftChars="0" w:left="601" w:hanging="601"/>
              <w:jc w:val="center"/>
              <w:rPr>
                <w:rFonts w:hAnsi="標楷體"/>
                <w:sz w:val="28"/>
                <w:szCs w:val="28"/>
              </w:rPr>
            </w:pPr>
            <w:r w:rsidRPr="00C3310F">
              <w:rPr>
                <w:rFonts w:hAnsi="標楷體" w:hint="eastAsia"/>
                <w:sz w:val="28"/>
                <w:szCs w:val="28"/>
              </w:rPr>
              <w:t>112年</w:t>
            </w:r>
          </w:p>
        </w:tc>
        <w:tc>
          <w:tcPr>
            <w:tcW w:w="2977" w:type="dxa"/>
          </w:tcPr>
          <w:p w14:paraId="0CAA0605" w14:textId="77777777" w:rsidR="002375EF" w:rsidRPr="00C3310F" w:rsidRDefault="002375EF" w:rsidP="002375EF">
            <w:pPr>
              <w:pStyle w:val="af8"/>
              <w:spacing w:line="0" w:lineRule="atLeast"/>
              <w:ind w:leftChars="0" w:left="601" w:hanging="601"/>
              <w:jc w:val="center"/>
              <w:rPr>
                <w:rFonts w:hAnsi="標楷體"/>
                <w:sz w:val="28"/>
                <w:szCs w:val="28"/>
              </w:rPr>
            </w:pPr>
            <w:r w:rsidRPr="00C3310F">
              <w:rPr>
                <w:rFonts w:hAnsi="標楷體" w:hint="eastAsia"/>
                <w:sz w:val="28"/>
                <w:szCs w:val="28"/>
              </w:rPr>
              <w:t>增減值</w:t>
            </w:r>
          </w:p>
        </w:tc>
      </w:tr>
      <w:tr w:rsidR="00C3310F" w:rsidRPr="00C3310F" w14:paraId="4D84A354" w14:textId="77777777" w:rsidTr="002375EF">
        <w:trPr>
          <w:trHeight w:val="264"/>
        </w:trPr>
        <w:tc>
          <w:tcPr>
            <w:tcW w:w="1399" w:type="dxa"/>
          </w:tcPr>
          <w:p w14:paraId="5E364038" w14:textId="77777777" w:rsidR="002375EF" w:rsidRPr="00C3310F" w:rsidRDefault="002375EF" w:rsidP="002375EF">
            <w:pPr>
              <w:pStyle w:val="af8"/>
              <w:spacing w:line="0" w:lineRule="atLeast"/>
              <w:ind w:leftChars="0" w:left="601" w:hanging="601"/>
              <w:jc w:val="center"/>
              <w:rPr>
                <w:rFonts w:hAnsi="標楷體"/>
                <w:sz w:val="28"/>
                <w:szCs w:val="28"/>
              </w:rPr>
            </w:pPr>
            <w:r w:rsidRPr="00C3310F">
              <w:rPr>
                <w:rFonts w:hAnsi="標楷體" w:hint="eastAsia"/>
                <w:sz w:val="28"/>
                <w:szCs w:val="28"/>
              </w:rPr>
              <w:t>圈存部分</w:t>
            </w:r>
          </w:p>
        </w:tc>
        <w:tc>
          <w:tcPr>
            <w:tcW w:w="1916" w:type="dxa"/>
          </w:tcPr>
          <w:p w14:paraId="624A9F00" w14:textId="77777777" w:rsidR="002375EF" w:rsidRPr="00C3310F" w:rsidRDefault="002375EF" w:rsidP="002375EF">
            <w:pPr>
              <w:pStyle w:val="af8"/>
              <w:spacing w:line="0" w:lineRule="atLeast"/>
              <w:ind w:leftChars="0" w:left="601" w:hanging="601"/>
              <w:jc w:val="right"/>
              <w:rPr>
                <w:rFonts w:hAnsi="標楷體"/>
                <w:sz w:val="28"/>
                <w:szCs w:val="28"/>
              </w:rPr>
            </w:pPr>
            <w:r w:rsidRPr="00C3310F">
              <w:rPr>
                <w:rFonts w:hAnsi="標楷體" w:hint="eastAsia"/>
                <w:sz w:val="28"/>
                <w:szCs w:val="28"/>
              </w:rPr>
              <w:t>3.2億元</w:t>
            </w:r>
          </w:p>
        </w:tc>
        <w:tc>
          <w:tcPr>
            <w:tcW w:w="1925" w:type="dxa"/>
          </w:tcPr>
          <w:p w14:paraId="63C2AA19" w14:textId="77777777" w:rsidR="002375EF" w:rsidRPr="00C3310F" w:rsidRDefault="002375EF" w:rsidP="002375EF">
            <w:pPr>
              <w:pStyle w:val="af8"/>
              <w:spacing w:line="0" w:lineRule="atLeast"/>
              <w:ind w:leftChars="0" w:left="601" w:hanging="601"/>
              <w:jc w:val="right"/>
              <w:rPr>
                <w:rFonts w:hAnsi="標楷體"/>
                <w:sz w:val="28"/>
                <w:szCs w:val="28"/>
              </w:rPr>
            </w:pPr>
            <w:r w:rsidRPr="00C3310F">
              <w:rPr>
                <w:rFonts w:hAnsi="標楷體" w:hint="eastAsia"/>
                <w:sz w:val="28"/>
                <w:szCs w:val="28"/>
              </w:rPr>
              <w:t>3.9億元</w:t>
            </w:r>
          </w:p>
        </w:tc>
        <w:tc>
          <w:tcPr>
            <w:tcW w:w="2977" w:type="dxa"/>
          </w:tcPr>
          <w:p w14:paraId="3E047EE3" w14:textId="77777777" w:rsidR="002375EF" w:rsidRPr="00C3310F" w:rsidRDefault="002375EF" w:rsidP="002375EF">
            <w:pPr>
              <w:pStyle w:val="af8"/>
              <w:spacing w:line="0" w:lineRule="atLeast"/>
              <w:ind w:leftChars="0" w:left="601" w:hanging="601"/>
              <w:jc w:val="right"/>
              <w:rPr>
                <w:rFonts w:hAnsi="標楷體"/>
                <w:sz w:val="28"/>
                <w:szCs w:val="28"/>
              </w:rPr>
            </w:pPr>
            <w:r w:rsidRPr="00C3310F">
              <w:rPr>
                <w:rFonts w:hAnsi="標楷體"/>
                <w:sz w:val="28"/>
                <w:szCs w:val="28"/>
              </w:rPr>
              <w:t>0.</w:t>
            </w:r>
            <w:r w:rsidRPr="00C3310F">
              <w:rPr>
                <w:rFonts w:hAnsi="標楷體" w:hint="eastAsia"/>
                <w:sz w:val="28"/>
                <w:szCs w:val="28"/>
              </w:rPr>
              <w:t>7億元</w:t>
            </w:r>
          </w:p>
        </w:tc>
      </w:tr>
      <w:tr w:rsidR="00C3310F" w:rsidRPr="00C3310F" w14:paraId="57A3F36E" w14:textId="77777777" w:rsidTr="002375EF">
        <w:trPr>
          <w:trHeight w:val="276"/>
        </w:trPr>
        <w:tc>
          <w:tcPr>
            <w:tcW w:w="1399" w:type="dxa"/>
          </w:tcPr>
          <w:p w14:paraId="747AB7B0" w14:textId="77777777" w:rsidR="002375EF" w:rsidRPr="00C3310F" w:rsidRDefault="002375EF" w:rsidP="002375EF">
            <w:pPr>
              <w:pStyle w:val="af8"/>
              <w:spacing w:line="0" w:lineRule="atLeast"/>
              <w:ind w:leftChars="0" w:left="601" w:hanging="601"/>
              <w:jc w:val="center"/>
              <w:rPr>
                <w:rFonts w:hAnsi="標楷體"/>
                <w:sz w:val="28"/>
                <w:szCs w:val="28"/>
              </w:rPr>
            </w:pPr>
            <w:r w:rsidRPr="00C3310F">
              <w:rPr>
                <w:rFonts w:hAnsi="標楷體" w:hint="eastAsia"/>
                <w:sz w:val="28"/>
                <w:szCs w:val="28"/>
              </w:rPr>
              <w:t>查扣部分</w:t>
            </w:r>
          </w:p>
        </w:tc>
        <w:tc>
          <w:tcPr>
            <w:tcW w:w="1916" w:type="dxa"/>
          </w:tcPr>
          <w:p w14:paraId="22E5C38A" w14:textId="77777777" w:rsidR="002375EF" w:rsidRPr="00C3310F" w:rsidRDefault="002375EF" w:rsidP="002375EF">
            <w:pPr>
              <w:pStyle w:val="af8"/>
              <w:spacing w:line="0" w:lineRule="atLeast"/>
              <w:ind w:leftChars="0" w:left="601" w:hanging="601"/>
              <w:jc w:val="right"/>
              <w:rPr>
                <w:rFonts w:hAnsi="標楷體"/>
                <w:sz w:val="28"/>
                <w:szCs w:val="28"/>
              </w:rPr>
            </w:pPr>
            <w:r w:rsidRPr="00C3310F">
              <w:rPr>
                <w:rFonts w:hAnsi="標楷體" w:hint="eastAsia"/>
                <w:sz w:val="28"/>
                <w:szCs w:val="28"/>
              </w:rPr>
              <w:t>22.1億元</w:t>
            </w:r>
          </w:p>
        </w:tc>
        <w:tc>
          <w:tcPr>
            <w:tcW w:w="1925" w:type="dxa"/>
          </w:tcPr>
          <w:p w14:paraId="638B4E7C" w14:textId="77777777" w:rsidR="002375EF" w:rsidRPr="00C3310F" w:rsidRDefault="002375EF" w:rsidP="002375EF">
            <w:pPr>
              <w:pStyle w:val="af8"/>
              <w:spacing w:line="0" w:lineRule="atLeast"/>
              <w:ind w:leftChars="0" w:left="601" w:hanging="601"/>
              <w:jc w:val="right"/>
              <w:rPr>
                <w:rFonts w:hAnsi="標楷體"/>
                <w:sz w:val="28"/>
                <w:szCs w:val="28"/>
              </w:rPr>
            </w:pPr>
            <w:r w:rsidRPr="00C3310F">
              <w:rPr>
                <w:rFonts w:hAnsi="標楷體" w:hint="eastAsia"/>
                <w:sz w:val="28"/>
                <w:szCs w:val="28"/>
              </w:rPr>
              <w:t>39.2億元</w:t>
            </w:r>
          </w:p>
        </w:tc>
        <w:tc>
          <w:tcPr>
            <w:tcW w:w="2977" w:type="dxa"/>
          </w:tcPr>
          <w:p w14:paraId="724EE494" w14:textId="77777777" w:rsidR="002375EF" w:rsidRPr="00C3310F" w:rsidRDefault="002375EF" w:rsidP="002375EF">
            <w:pPr>
              <w:pStyle w:val="af8"/>
              <w:spacing w:line="0" w:lineRule="atLeast"/>
              <w:ind w:leftChars="0" w:left="601" w:hanging="601"/>
              <w:jc w:val="right"/>
              <w:rPr>
                <w:rFonts w:hAnsi="標楷體"/>
                <w:sz w:val="28"/>
                <w:szCs w:val="28"/>
              </w:rPr>
            </w:pPr>
            <w:r w:rsidRPr="00C3310F">
              <w:rPr>
                <w:rFonts w:hAnsi="標楷體" w:hint="eastAsia"/>
                <w:sz w:val="28"/>
                <w:szCs w:val="28"/>
              </w:rPr>
              <w:t>17.1億元</w:t>
            </w:r>
          </w:p>
        </w:tc>
      </w:tr>
      <w:tr w:rsidR="00C3310F" w:rsidRPr="00C3310F" w14:paraId="6958EAFD" w14:textId="77777777" w:rsidTr="002375EF">
        <w:trPr>
          <w:trHeight w:val="312"/>
        </w:trPr>
        <w:tc>
          <w:tcPr>
            <w:tcW w:w="1399" w:type="dxa"/>
          </w:tcPr>
          <w:p w14:paraId="47BEB1EE" w14:textId="77777777" w:rsidR="002375EF" w:rsidRPr="00C3310F" w:rsidRDefault="002375EF" w:rsidP="002375EF">
            <w:pPr>
              <w:pStyle w:val="af8"/>
              <w:spacing w:line="0" w:lineRule="atLeast"/>
              <w:ind w:leftChars="0" w:left="601" w:hanging="601"/>
              <w:jc w:val="center"/>
              <w:rPr>
                <w:rFonts w:hAnsi="標楷體"/>
                <w:sz w:val="28"/>
                <w:szCs w:val="28"/>
              </w:rPr>
            </w:pPr>
            <w:r w:rsidRPr="00C3310F">
              <w:rPr>
                <w:rFonts w:hAnsi="標楷體" w:hint="eastAsia"/>
                <w:sz w:val="28"/>
                <w:szCs w:val="28"/>
              </w:rPr>
              <w:t>返還部分</w:t>
            </w:r>
          </w:p>
        </w:tc>
        <w:tc>
          <w:tcPr>
            <w:tcW w:w="1916" w:type="dxa"/>
          </w:tcPr>
          <w:p w14:paraId="79BCD1AC" w14:textId="77777777" w:rsidR="002375EF" w:rsidRPr="00C3310F" w:rsidRDefault="002375EF" w:rsidP="002375EF">
            <w:pPr>
              <w:pStyle w:val="af8"/>
              <w:spacing w:line="0" w:lineRule="atLeast"/>
              <w:ind w:leftChars="0" w:left="601" w:hanging="601"/>
              <w:jc w:val="right"/>
              <w:rPr>
                <w:rFonts w:hAnsi="標楷體"/>
                <w:sz w:val="28"/>
                <w:szCs w:val="28"/>
              </w:rPr>
            </w:pPr>
            <w:r w:rsidRPr="00C3310F">
              <w:rPr>
                <w:rFonts w:hAnsi="標楷體" w:hint="eastAsia"/>
                <w:sz w:val="28"/>
                <w:szCs w:val="28"/>
              </w:rPr>
              <w:t>13.0億元</w:t>
            </w:r>
          </w:p>
        </w:tc>
        <w:tc>
          <w:tcPr>
            <w:tcW w:w="1925" w:type="dxa"/>
          </w:tcPr>
          <w:p w14:paraId="5BC4A7FF" w14:textId="77777777" w:rsidR="002375EF" w:rsidRPr="00C3310F" w:rsidRDefault="002375EF" w:rsidP="002375EF">
            <w:pPr>
              <w:pStyle w:val="af8"/>
              <w:spacing w:line="0" w:lineRule="atLeast"/>
              <w:ind w:leftChars="0" w:left="601" w:hanging="601"/>
              <w:jc w:val="right"/>
              <w:rPr>
                <w:rFonts w:hAnsi="標楷體"/>
                <w:sz w:val="28"/>
                <w:szCs w:val="28"/>
              </w:rPr>
            </w:pPr>
            <w:r w:rsidRPr="00C3310F">
              <w:rPr>
                <w:rFonts w:hAnsi="標楷體" w:hint="eastAsia"/>
                <w:sz w:val="28"/>
                <w:szCs w:val="28"/>
              </w:rPr>
              <w:t>20.0億元</w:t>
            </w:r>
          </w:p>
        </w:tc>
        <w:tc>
          <w:tcPr>
            <w:tcW w:w="2977" w:type="dxa"/>
          </w:tcPr>
          <w:p w14:paraId="226DCCDC" w14:textId="77777777" w:rsidR="002375EF" w:rsidRPr="00C3310F" w:rsidRDefault="002375EF" w:rsidP="002375EF">
            <w:pPr>
              <w:pStyle w:val="af8"/>
              <w:spacing w:line="0" w:lineRule="atLeast"/>
              <w:ind w:leftChars="0" w:left="601" w:hanging="601"/>
              <w:jc w:val="right"/>
              <w:rPr>
                <w:rFonts w:hAnsi="標楷體"/>
                <w:sz w:val="28"/>
                <w:szCs w:val="28"/>
              </w:rPr>
            </w:pPr>
            <w:r w:rsidRPr="00C3310F">
              <w:rPr>
                <w:rFonts w:hAnsi="標楷體" w:hint="eastAsia"/>
                <w:sz w:val="28"/>
                <w:szCs w:val="28"/>
              </w:rPr>
              <w:t>7.0億元</w:t>
            </w:r>
          </w:p>
        </w:tc>
      </w:tr>
      <w:tr w:rsidR="00C3310F" w:rsidRPr="00C3310F" w14:paraId="5A107ADD" w14:textId="77777777" w:rsidTr="002375EF">
        <w:trPr>
          <w:trHeight w:val="312"/>
        </w:trPr>
        <w:tc>
          <w:tcPr>
            <w:tcW w:w="1399" w:type="dxa"/>
          </w:tcPr>
          <w:p w14:paraId="133BC84D" w14:textId="77777777" w:rsidR="002375EF" w:rsidRPr="00C3310F" w:rsidRDefault="002375EF" w:rsidP="002375EF">
            <w:pPr>
              <w:pStyle w:val="af8"/>
              <w:spacing w:line="0" w:lineRule="atLeast"/>
              <w:ind w:leftChars="0" w:left="601" w:hanging="601"/>
              <w:jc w:val="center"/>
              <w:rPr>
                <w:rFonts w:hAnsi="標楷體"/>
                <w:sz w:val="28"/>
                <w:szCs w:val="28"/>
              </w:rPr>
            </w:pPr>
            <w:r w:rsidRPr="00C3310F">
              <w:rPr>
                <w:rFonts w:hAnsi="標楷體" w:hint="eastAsia"/>
                <w:sz w:val="28"/>
                <w:szCs w:val="28"/>
              </w:rPr>
              <w:t>財損金額</w:t>
            </w:r>
          </w:p>
        </w:tc>
        <w:tc>
          <w:tcPr>
            <w:tcW w:w="1916" w:type="dxa"/>
          </w:tcPr>
          <w:p w14:paraId="777FE406" w14:textId="77777777" w:rsidR="002375EF" w:rsidRPr="00C3310F" w:rsidRDefault="002375EF" w:rsidP="002375EF">
            <w:pPr>
              <w:pStyle w:val="af8"/>
              <w:spacing w:line="0" w:lineRule="atLeast"/>
              <w:ind w:leftChars="0" w:left="601" w:hanging="601"/>
              <w:jc w:val="right"/>
              <w:rPr>
                <w:rFonts w:hAnsi="標楷體"/>
                <w:sz w:val="28"/>
                <w:szCs w:val="28"/>
              </w:rPr>
            </w:pPr>
            <w:r w:rsidRPr="00C3310F">
              <w:rPr>
                <w:rFonts w:hAnsi="標楷體" w:hint="eastAsia"/>
                <w:sz w:val="28"/>
                <w:szCs w:val="28"/>
              </w:rPr>
              <w:t>73.3億元</w:t>
            </w:r>
          </w:p>
        </w:tc>
        <w:tc>
          <w:tcPr>
            <w:tcW w:w="1925" w:type="dxa"/>
          </w:tcPr>
          <w:p w14:paraId="005BA0E9" w14:textId="77777777" w:rsidR="002375EF" w:rsidRPr="00C3310F" w:rsidRDefault="002375EF" w:rsidP="002375EF">
            <w:pPr>
              <w:pStyle w:val="af8"/>
              <w:spacing w:line="0" w:lineRule="atLeast"/>
              <w:ind w:leftChars="0" w:left="601" w:hanging="601"/>
              <w:jc w:val="right"/>
              <w:rPr>
                <w:rFonts w:hAnsi="標楷體"/>
                <w:sz w:val="28"/>
                <w:szCs w:val="28"/>
              </w:rPr>
            </w:pPr>
            <w:r w:rsidRPr="00C3310F">
              <w:rPr>
                <w:rFonts w:hAnsi="標楷體" w:hint="eastAsia"/>
                <w:sz w:val="28"/>
                <w:szCs w:val="28"/>
              </w:rPr>
              <w:t>88.8億元</w:t>
            </w:r>
          </w:p>
        </w:tc>
        <w:tc>
          <w:tcPr>
            <w:tcW w:w="2977" w:type="dxa"/>
          </w:tcPr>
          <w:p w14:paraId="5638BF51" w14:textId="77777777" w:rsidR="002375EF" w:rsidRPr="00C3310F" w:rsidRDefault="002375EF" w:rsidP="002375EF">
            <w:pPr>
              <w:pStyle w:val="af8"/>
              <w:spacing w:line="0" w:lineRule="atLeast"/>
              <w:ind w:leftChars="0" w:left="601" w:hanging="601"/>
              <w:jc w:val="right"/>
              <w:rPr>
                <w:rFonts w:hAnsi="標楷體"/>
                <w:sz w:val="28"/>
                <w:szCs w:val="28"/>
              </w:rPr>
            </w:pPr>
            <w:r w:rsidRPr="00C3310F">
              <w:rPr>
                <w:rFonts w:hAnsi="標楷體" w:hint="eastAsia"/>
                <w:sz w:val="28"/>
                <w:szCs w:val="28"/>
              </w:rPr>
              <w:t>1</w:t>
            </w:r>
            <w:r w:rsidRPr="00C3310F">
              <w:rPr>
                <w:rFonts w:hAnsi="標楷體"/>
                <w:sz w:val="28"/>
                <w:szCs w:val="28"/>
              </w:rPr>
              <w:t>5.5</w:t>
            </w:r>
            <w:r w:rsidRPr="00C3310F">
              <w:rPr>
                <w:rFonts w:hAnsi="標楷體" w:hint="eastAsia"/>
                <w:sz w:val="28"/>
                <w:szCs w:val="28"/>
              </w:rPr>
              <w:t>億元</w:t>
            </w:r>
          </w:p>
        </w:tc>
      </w:tr>
    </w:tbl>
    <w:p w14:paraId="454662DA" w14:textId="77777777" w:rsidR="002375EF" w:rsidRPr="00C3310F" w:rsidRDefault="002375EF" w:rsidP="002375EF">
      <w:pPr>
        <w:spacing w:line="240" w:lineRule="exact"/>
        <w:jc w:val="right"/>
        <w:rPr>
          <w:sz w:val="24"/>
          <w:szCs w:val="24"/>
        </w:rPr>
      </w:pPr>
      <w:r w:rsidRPr="00C3310F">
        <w:rPr>
          <w:rFonts w:hint="eastAsia"/>
          <w:sz w:val="24"/>
          <w:szCs w:val="24"/>
        </w:rPr>
        <w:t>單位：元</w:t>
      </w:r>
    </w:p>
    <w:p w14:paraId="384B149F" w14:textId="77777777" w:rsidR="000B1C3C" w:rsidRPr="00C3310F" w:rsidRDefault="000B1C3C" w:rsidP="002375EF">
      <w:pPr>
        <w:pStyle w:val="4"/>
        <w:numPr>
          <w:ilvl w:val="0"/>
          <w:numId w:val="0"/>
        </w:numPr>
        <w:spacing w:afterLines="50" w:after="228"/>
        <w:ind w:left="992" w:hanging="510"/>
        <w:jc w:val="left"/>
        <w:rPr>
          <w:sz w:val="28"/>
          <w:szCs w:val="28"/>
        </w:rPr>
      </w:pPr>
      <w:r w:rsidRPr="00C3310F">
        <w:rPr>
          <w:rFonts w:hint="eastAsia"/>
          <w:sz w:val="28"/>
          <w:szCs w:val="28"/>
        </w:rPr>
        <w:t>資料來源：</w:t>
      </w:r>
      <w:r w:rsidR="00643F67" w:rsidRPr="00C3310F">
        <w:rPr>
          <w:rFonts w:hint="eastAsia"/>
          <w:sz w:val="28"/>
          <w:szCs w:val="28"/>
        </w:rPr>
        <w:t>行政院於113年6月3日座談提供書面資料。</w:t>
      </w:r>
    </w:p>
    <w:p w14:paraId="3362DFEB" w14:textId="77777777" w:rsidR="000B1C3C" w:rsidRPr="00C3310F" w:rsidRDefault="000B1C3C" w:rsidP="000B1C3C">
      <w:pPr>
        <w:pStyle w:val="4"/>
      </w:pPr>
      <w:r w:rsidRPr="00C3310F">
        <w:rPr>
          <w:rFonts w:hint="eastAsia"/>
        </w:rPr>
        <w:t>除GASA報告指出，</w:t>
      </w:r>
      <w:r w:rsidRPr="00C3310F">
        <w:t>2021</w:t>
      </w:r>
      <w:r w:rsidRPr="00C3310F">
        <w:rPr>
          <w:rFonts w:hint="eastAsia"/>
        </w:rPr>
        <w:t>年全球共收到約</w:t>
      </w:r>
      <w:r w:rsidRPr="00C3310F">
        <w:t>2.93</w:t>
      </w:r>
      <w:r w:rsidRPr="00C3310F">
        <w:rPr>
          <w:rFonts w:hint="eastAsia"/>
        </w:rPr>
        <w:t>億份詐騙案件通報，相比</w:t>
      </w:r>
      <w:r w:rsidRPr="00C3310F">
        <w:t>2020</w:t>
      </w:r>
      <w:r w:rsidRPr="00C3310F">
        <w:rPr>
          <w:rFonts w:hint="eastAsia"/>
        </w:rPr>
        <w:t>年增加了</w:t>
      </w:r>
      <w:r w:rsidRPr="00C3310F">
        <w:t>10.2%</w:t>
      </w:r>
      <w:r w:rsidRPr="00C3310F">
        <w:rPr>
          <w:rFonts w:hint="eastAsia"/>
        </w:rPr>
        <w:t>之外，尚有其他佐證數據如下：</w:t>
      </w:r>
    </w:p>
    <w:p w14:paraId="73351123" w14:textId="19C58451" w:rsidR="000B1C3C" w:rsidRPr="00C3310F" w:rsidRDefault="000B1C3C" w:rsidP="000B1C3C">
      <w:pPr>
        <w:pStyle w:val="5"/>
      </w:pPr>
      <w:r w:rsidRPr="00C3310F">
        <w:rPr>
          <w:rFonts w:hint="eastAsia"/>
        </w:rPr>
        <w:t>96%的澳洲人過去5年曾遭遇詐騙，其中半數每</w:t>
      </w:r>
      <w:r w:rsidR="00B004D4" w:rsidRPr="00C3310F">
        <w:rPr>
          <w:rFonts w:hint="eastAsia"/>
        </w:rPr>
        <w:t>週</w:t>
      </w:r>
      <w:r w:rsidRPr="00C3310F">
        <w:rPr>
          <w:rFonts w:hint="eastAsia"/>
        </w:rPr>
        <w:t>或每天都接觸到詐騙訊息；在法國，有61%民眾曾在過去一年接觸過「另類的」投資機會，在英國，則有半數電話受訪者表示在一個月內收過疑似詐騙的釣魚信件或社群媒體訊息。</w:t>
      </w:r>
    </w:p>
    <w:p w14:paraId="55DF5297" w14:textId="77777777" w:rsidR="000B1C3C" w:rsidRPr="00C3310F" w:rsidRDefault="000B1C3C" w:rsidP="000B1C3C">
      <w:pPr>
        <w:pStyle w:val="5"/>
      </w:pPr>
      <w:r w:rsidRPr="00C3310F">
        <w:rPr>
          <w:rFonts w:hint="eastAsia"/>
        </w:rPr>
        <w:t>新加坡警方表示，90%的詐騙源自海外，並將詐騙者描述為聯合組織、資源豐富且技術先進，案件很難偵破。</w:t>
      </w:r>
    </w:p>
    <w:p w14:paraId="737053D4" w14:textId="77777777" w:rsidR="000B1C3C" w:rsidRPr="00C3310F" w:rsidRDefault="000B1C3C" w:rsidP="000B1C3C">
      <w:pPr>
        <w:pStyle w:val="5"/>
      </w:pPr>
      <w:r w:rsidRPr="00C3310F">
        <w:rPr>
          <w:rFonts w:hint="eastAsia"/>
        </w:rPr>
        <w:t>在財損部分，平均被詐金額最高的是新加坡（</w:t>
      </w:r>
      <w:r w:rsidRPr="00C3310F">
        <w:t>4,031</w:t>
      </w:r>
      <w:r w:rsidRPr="00C3310F">
        <w:rPr>
          <w:rFonts w:hint="eastAsia"/>
        </w:rPr>
        <w:t>美元/人）、瑞士（</w:t>
      </w:r>
      <w:r w:rsidRPr="00C3310F">
        <w:t>3,767</w:t>
      </w:r>
      <w:r w:rsidRPr="00C3310F">
        <w:rPr>
          <w:rFonts w:hint="eastAsia"/>
        </w:rPr>
        <w:t>美元/人）和奧地利（</w:t>
      </w:r>
      <w:r w:rsidRPr="00C3310F">
        <w:t>3,484</w:t>
      </w:r>
      <w:r w:rsidRPr="00C3310F">
        <w:rPr>
          <w:rFonts w:hint="eastAsia"/>
        </w:rPr>
        <w:t>美元/人）。巨額財損在全球造成了嚴重的財務影響，報告估計損失總計高達</w:t>
      </w:r>
      <w:r w:rsidRPr="00C3310F">
        <w:t>1.026</w:t>
      </w:r>
      <w:r w:rsidRPr="00C3310F">
        <w:rPr>
          <w:rFonts w:hint="eastAsia"/>
        </w:rPr>
        <w:t>兆美元，相當於全球</w:t>
      </w:r>
      <w:r w:rsidRPr="00C3310F">
        <w:t>GDP</w:t>
      </w:r>
      <w:r w:rsidRPr="00C3310F">
        <w:rPr>
          <w:rFonts w:hint="eastAsia"/>
        </w:rPr>
        <w:t>的</w:t>
      </w:r>
      <w:r w:rsidRPr="00C3310F">
        <w:t>1.05%</w:t>
      </w:r>
      <w:r w:rsidRPr="00C3310F">
        <w:rPr>
          <w:rFonts w:hint="eastAsia"/>
        </w:rPr>
        <w:t>，若以國家為單位，肯亞受詐欺打擊最嚴重，其GDP因詐騙損失了近4.5%，其次是越南（3.6%）、巴西和泰國（3.2%），而追回詐款的比率很低，只有約7%成功追回。</w:t>
      </w:r>
    </w:p>
    <w:p w14:paraId="374CD837" w14:textId="77777777" w:rsidR="000B1C3C" w:rsidRPr="00C3310F" w:rsidRDefault="000B1C3C" w:rsidP="000B1C3C">
      <w:pPr>
        <w:pStyle w:val="4"/>
      </w:pPr>
      <w:r w:rsidRPr="00C3310F">
        <w:rPr>
          <w:rFonts w:hint="eastAsia"/>
        </w:rPr>
        <w:t>另據英國2023年6月公布之打詐策略(</w:t>
      </w:r>
      <w:r w:rsidRPr="00C3310F">
        <w:t>Fraud Strategy: stopping</w:t>
      </w:r>
      <w:r w:rsidRPr="00C3310F">
        <w:rPr>
          <w:rFonts w:hint="eastAsia"/>
        </w:rPr>
        <w:t xml:space="preserve">　</w:t>
      </w:r>
      <w:r w:rsidRPr="00C3310F">
        <w:t xml:space="preserve">scams and protecting </w:t>
      </w:r>
      <w:r w:rsidRPr="00C3310F">
        <w:lastRenderedPageBreak/>
        <w:t>the</w:t>
      </w:r>
      <w:r w:rsidRPr="00C3310F">
        <w:rPr>
          <w:rFonts w:hint="eastAsia"/>
        </w:rPr>
        <w:t xml:space="preserve"> </w:t>
      </w:r>
      <w:r w:rsidRPr="00C3310F">
        <w:t>public</w:t>
      </w:r>
      <w:r w:rsidRPr="00C3310F">
        <w:rPr>
          <w:rFonts w:hint="eastAsia"/>
        </w:rPr>
        <w:t>)</w:t>
      </w:r>
      <w:r w:rsidRPr="00C3310F">
        <w:rPr>
          <w:vertAlign w:val="superscript"/>
        </w:rPr>
        <w:footnoteReference w:id="53"/>
      </w:r>
      <w:r w:rsidRPr="00C3310F">
        <w:rPr>
          <w:rFonts w:hint="eastAsia"/>
        </w:rPr>
        <w:t>指出，2022年每15名成年人中就有1人成為受害者，對社會造成的總成本估計至少為68億英鎊，包括受害者損失的金錢、照顧受害者的費用以及返還、調查和起訴詐欺者的費用。</w:t>
      </w:r>
    </w:p>
    <w:p w14:paraId="1A0F748C" w14:textId="77777777" w:rsidR="000B1C3C" w:rsidRPr="00C3310F" w:rsidRDefault="000B1C3C" w:rsidP="000B1C3C">
      <w:pPr>
        <w:pStyle w:val="4"/>
      </w:pPr>
      <w:r w:rsidRPr="00C3310F">
        <w:rPr>
          <w:rFonts w:hint="eastAsia"/>
        </w:rPr>
        <w:t>小結：由高檢署、警政署及G</w:t>
      </w:r>
      <w:r w:rsidRPr="00C3310F">
        <w:t>ASA</w:t>
      </w:r>
      <w:r w:rsidRPr="00C3310F">
        <w:rPr>
          <w:rFonts w:hint="eastAsia"/>
        </w:rPr>
        <w:t>資料綜合研判，近年全球詐欺犯罪情形均有明顯之快速成長趨勢，且具有「黑數多」、「難追回」之特性；復經比較國內外數據，臺灣近年詐欺犯罪成長率(33.1%)遠高於國際平均，顯見情勢極為嚴峻；然而若以被詐金額追回比率觀察，我國111及112年返還財損金額比率分別為17.7%及22.5%，則遠高於國際平均7%。</w:t>
      </w:r>
    </w:p>
    <w:p w14:paraId="5DF6EC09" w14:textId="77777777" w:rsidR="000B1C3C" w:rsidRPr="00C3310F" w:rsidRDefault="000B1C3C" w:rsidP="000B1C3C">
      <w:pPr>
        <w:pStyle w:val="3"/>
      </w:pPr>
      <w:bookmarkStart w:id="854" w:name="_Toc171525564"/>
      <w:bookmarkStart w:id="855" w:name="_Toc172024085"/>
      <w:bookmarkStart w:id="856" w:name="_Toc172033408"/>
      <w:r w:rsidRPr="00C3310F">
        <w:rPr>
          <w:rFonts w:hint="eastAsia"/>
        </w:rPr>
        <w:t>在長期原因之分析方面，經蒐整本院電信網路詐欺相關調查報告顯示，本院自98年起即陸續完成7件調查案，研究發現部分調查意見迄未獲有效改善。</w:t>
      </w:r>
      <w:bookmarkEnd w:id="854"/>
      <w:bookmarkEnd w:id="855"/>
      <w:bookmarkEnd w:id="856"/>
    </w:p>
    <w:p w14:paraId="64C9F28E" w14:textId="23BE6F31" w:rsidR="000B1C3C" w:rsidRPr="00C3310F" w:rsidRDefault="000B1C3C" w:rsidP="000B1C3C">
      <w:pPr>
        <w:pStyle w:val="4"/>
      </w:pPr>
      <w:r w:rsidRPr="00C3310F">
        <w:rPr>
          <w:rFonts w:hint="eastAsia"/>
        </w:rPr>
        <w:t>依據「監察院立案派查原則」第</w:t>
      </w:r>
      <w:r w:rsidRPr="00C3310F">
        <w:t>3</w:t>
      </w:r>
      <w:r w:rsidR="00B004D4" w:rsidRPr="00C3310F">
        <w:rPr>
          <w:rFonts w:hint="eastAsia"/>
        </w:rPr>
        <w:t>點</w:t>
      </w:r>
      <w:r w:rsidRPr="00C3310F">
        <w:rPr>
          <w:rFonts w:hint="eastAsia"/>
        </w:rPr>
        <w:t>第1項規定，如有「發生重大災變或嚴重社會問題，不能迅速處理或處理失當」(第4</w:t>
      </w:r>
      <w:r w:rsidR="00B004D4" w:rsidRPr="00C3310F">
        <w:rPr>
          <w:rFonts w:hint="eastAsia"/>
        </w:rPr>
        <w:t>款</w:t>
      </w:r>
      <w:r w:rsidRPr="00C3310F">
        <w:rPr>
          <w:rFonts w:hint="eastAsia"/>
        </w:rPr>
        <w:t>)、「怠忽職守，致民眾權益受損」(第9</w:t>
      </w:r>
      <w:r w:rsidR="00B004D4" w:rsidRPr="00C3310F">
        <w:rPr>
          <w:rFonts w:hint="eastAsia"/>
        </w:rPr>
        <w:t>款</w:t>
      </w:r>
      <w:r w:rsidRPr="00C3310F">
        <w:rPr>
          <w:rFonts w:hint="eastAsia"/>
        </w:rPr>
        <w:t>)等情事，</w:t>
      </w:r>
      <w:r w:rsidR="00B004D4" w:rsidRPr="00C3310F">
        <w:rPr>
          <w:rFonts w:hint="eastAsia"/>
        </w:rPr>
        <w:t>本</w:t>
      </w:r>
      <w:r w:rsidRPr="00C3310F">
        <w:rPr>
          <w:rFonts w:hint="eastAsia"/>
        </w:rPr>
        <w:t>院得立案調查。經查本院自98年起，共通過7件涉及電信網路詐騙之調查報告，依其時序分別為98至99年間</w:t>
      </w:r>
      <w:r w:rsidR="00B004D4" w:rsidRPr="00C3310F">
        <w:t>3</w:t>
      </w:r>
      <w:r w:rsidRPr="00C3310F">
        <w:rPr>
          <w:rFonts w:hint="eastAsia"/>
        </w:rPr>
        <w:t>案，106年</w:t>
      </w:r>
      <w:r w:rsidR="00B004D4" w:rsidRPr="00C3310F">
        <w:t>1</w:t>
      </w:r>
      <w:r w:rsidRPr="00C3310F">
        <w:rPr>
          <w:rFonts w:hint="eastAsia"/>
        </w:rPr>
        <w:t>案，111至112年</w:t>
      </w:r>
      <w:r w:rsidR="00B004D4" w:rsidRPr="00C3310F">
        <w:t>3</w:t>
      </w:r>
      <w:r w:rsidRPr="00C3310F">
        <w:rPr>
          <w:rFonts w:hint="eastAsia"/>
        </w:rPr>
        <w:t>案，顯示98至99年詐騙案件曾一度猖獗，至111年起電信網路詐騙案件又再度急遽成長，其時間分布與98年迄今之詐欺犯罪案件統計數據顯然具正相關。</w:t>
      </w:r>
    </w:p>
    <w:p w14:paraId="326B10E5" w14:textId="77777777" w:rsidR="000B1C3C" w:rsidRPr="00C3310F" w:rsidRDefault="000B1C3C" w:rsidP="000B1C3C">
      <w:pPr>
        <w:pStyle w:val="4"/>
      </w:pPr>
      <w:r w:rsidRPr="00C3310F">
        <w:rPr>
          <w:rFonts w:hint="eastAsia"/>
        </w:rPr>
        <w:t>進一步檢視全部調查意見，部分內容雖因時空變遷及技術演進減損其參考價值；然經分析，本院調查意見若依「識詐」、「堵詐」、「阻詐」及「懲詐」</w:t>
      </w:r>
      <w:r w:rsidRPr="00C3310F">
        <w:rPr>
          <w:rFonts w:hint="eastAsia"/>
        </w:rPr>
        <w:lastRenderedPageBreak/>
        <w:t>進行分類，多數調查意見所指缺失時至今日仍未澈底改進，例如98交調0034已指出二類電信監督不周之失，106司調0019亦已指出個資及洗錢防制方面之缺失，茲將詳情分析如下表</w:t>
      </w:r>
      <w:r w:rsidR="004B77B6" w:rsidRPr="00C3310F">
        <w:rPr>
          <w:rFonts w:hint="eastAsia"/>
        </w:rPr>
        <w:t>1</w:t>
      </w:r>
      <w:r w:rsidR="004B77B6" w:rsidRPr="00C3310F">
        <w:t>5</w:t>
      </w:r>
      <w:r w:rsidRPr="00C3310F">
        <w:rPr>
          <w:rFonts w:hint="eastAsia"/>
        </w:rPr>
        <w:t>，行政院及相關主管機關實宜予以正視。</w:t>
      </w:r>
    </w:p>
    <w:p w14:paraId="5073FCD4" w14:textId="77777777" w:rsidR="000B1C3C" w:rsidRPr="00C3310F" w:rsidRDefault="000B1C3C" w:rsidP="000B1C3C">
      <w:pPr>
        <w:pStyle w:val="a3"/>
        <w:rPr>
          <w:rFonts w:hint="eastAsia"/>
          <w:b/>
        </w:rPr>
      </w:pPr>
      <w:bookmarkStart w:id="857" w:name="_Toc172025219"/>
      <w:r w:rsidRPr="00C3310F">
        <w:rPr>
          <w:rFonts w:hint="eastAsia"/>
          <w:b/>
        </w:rPr>
        <w:t>監察院過去提出電信網路詐欺相關調查意見概要。</w:t>
      </w:r>
      <w:bookmarkEnd w:id="857"/>
    </w:p>
    <w:tbl>
      <w:tblPr>
        <w:tblStyle w:val="af7"/>
        <w:tblW w:w="10490" w:type="dxa"/>
        <w:tblInd w:w="-572" w:type="dxa"/>
        <w:tblLook w:val="04A0" w:firstRow="1" w:lastRow="0" w:firstColumn="1" w:lastColumn="0" w:noHBand="0" w:noVBand="1"/>
      </w:tblPr>
      <w:tblGrid>
        <w:gridCol w:w="851"/>
        <w:gridCol w:w="9639"/>
      </w:tblGrid>
      <w:tr w:rsidR="00C3310F" w:rsidRPr="00C3310F" w14:paraId="1B4EE7A0" w14:textId="77777777" w:rsidTr="00CB4F4C">
        <w:trPr>
          <w:trHeight w:val="617"/>
          <w:tblHeader/>
        </w:trPr>
        <w:tc>
          <w:tcPr>
            <w:tcW w:w="851" w:type="dxa"/>
            <w:vAlign w:val="center"/>
          </w:tcPr>
          <w:p w14:paraId="0CB7307A" w14:textId="77777777" w:rsidR="000B1C3C" w:rsidRPr="00C3310F" w:rsidRDefault="000B1C3C" w:rsidP="00CB4F4C">
            <w:pPr>
              <w:pStyle w:val="4"/>
              <w:numPr>
                <w:ilvl w:val="0"/>
                <w:numId w:val="0"/>
              </w:numPr>
              <w:spacing w:line="320" w:lineRule="exact"/>
              <w:jc w:val="center"/>
              <w:rPr>
                <w:sz w:val="28"/>
                <w:szCs w:val="28"/>
              </w:rPr>
            </w:pPr>
            <w:r w:rsidRPr="00C3310F">
              <w:rPr>
                <w:rFonts w:hint="eastAsia"/>
                <w:sz w:val="28"/>
                <w:szCs w:val="28"/>
              </w:rPr>
              <w:t>面向</w:t>
            </w:r>
          </w:p>
        </w:tc>
        <w:tc>
          <w:tcPr>
            <w:tcW w:w="9639" w:type="dxa"/>
            <w:vAlign w:val="center"/>
          </w:tcPr>
          <w:p w14:paraId="6ACB7B87" w14:textId="77777777" w:rsidR="000B1C3C" w:rsidRPr="00C3310F" w:rsidRDefault="000B1C3C" w:rsidP="00CB4F4C">
            <w:pPr>
              <w:pStyle w:val="4"/>
              <w:numPr>
                <w:ilvl w:val="0"/>
                <w:numId w:val="0"/>
              </w:numPr>
              <w:spacing w:line="320" w:lineRule="exact"/>
              <w:jc w:val="center"/>
              <w:rPr>
                <w:sz w:val="28"/>
                <w:szCs w:val="28"/>
              </w:rPr>
            </w:pPr>
            <w:r w:rsidRPr="00C3310F">
              <w:rPr>
                <w:rFonts w:hint="eastAsia"/>
                <w:sz w:val="28"/>
                <w:szCs w:val="28"/>
              </w:rPr>
              <w:t>本院相關案件調查意見</w:t>
            </w:r>
          </w:p>
        </w:tc>
      </w:tr>
      <w:tr w:rsidR="00C3310F" w:rsidRPr="00C3310F" w14:paraId="18370FBD" w14:textId="77777777" w:rsidTr="00CB4F4C">
        <w:tc>
          <w:tcPr>
            <w:tcW w:w="851" w:type="dxa"/>
            <w:vMerge w:val="restart"/>
            <w:vAlign w:val="center"/>
          </w:tcPr>
          <w:p w14:paraId="3D18A916" w14:textId="77777777" w:rsidR="000B1C3C" w:rsidRPr="00C3310F" w:rsidRDefault="000B1C3C" w:rsidP="00CB4F4C">
            <w:pPr>
              <w:pStyle w:val="4"/>
              <w:numPr>
                <w:ilvl w:val="0"/>
                <w:numId w:val="0"/>
              </w:numPr>
              <w:spacing w:line="320" w:lineRule="exact"/>
              <w:rPr>
                <w:sz w:val="28"/>
                <w:szCs w:val="28"/>
              </w:rPr>
            </w:pPr>
            <w:r w:rsidRPr="00C3310F">
              <w:rPr>
                <w:rFonts w:hint="eastAsia"/>
                <w:sz w:val="28"/>
                <w:szCs w:val="28"/>
              </w:rPr>
              <w:t>識詐</w:t>
            </w:r>
          </w:p>
        </w:tc>
        <w:tc>
          <w:tcPr>
            <w:tcW w:w="9639" w:type="dxa"/>
          </w:tcPr>
          <w:p w14:paraId="761B812A" w14:textId="0A1FB37B" w:rsidR="000B1C3C" w:rsidRPr="00C3310F" w:rsidRDefault="000B1C3C" w:rsidP="00062CD2">
            <w:pPr>
              <w:pStyle w:val="4"/>
              <w:numPr>
                <w:ilvl w:val="0"/>
                <w:numId w:val="0"/>
              </w:numPr>
              <w:spacing w:line="360" w:lineRule="exact"/>
              <w:rPr>
                <w:sz w:val="28"/>
                <w:szCs w:val="28"/>
              </w:rPr>
            </w:pPr>
            <w:r w:rsidRPr="00C3310F">
              <w:rPr>
                <w:rFonts w:hint="eastAsia"/>
                <w:sz w:val="28"/>
                <w:szCs w:val="28"/>
              </w:rPr>
              <w:t>行政院新聞局長期怠於執行反詐騙宣導工作，……難以評估宣導效果，肇致執行成效不彰，均有不當(</w:t>
            </w:r>
            <w:r w:rsidR="00B004D4" w:rsidRPr="00C3310F">
              <w:rPr>
                <w:sz w:val="28"/>
                <w:szCs w:val="28"/>
              </w:rPr>
              <w:t>0</w:t>
            </w:r>
            <w:r w:rsidRPr="00C3310F">
              <w:rPr>
                <w:rFonts w:hint="eastAsia"/>
                <w:sz w:val="28"/>
                <w:szCs w:val="28"/>
              </w:rPr>
              <w:t>98交調0034</w:t>
            </w:r>
            <w:r w:rsidR="00CB4F4C" w:rsidRPr="00C3310F">
              <w:rPr>
                <w:rFonts w:hint="eastAsia"/>
                <w:sz w:val="28"/>
                <w:szCs w:val="28"/>
              </w:rPr>
              <w:t>調查</w:t>
            </w:r>
            <w:r w:rsidRPr="00C3310F">
              <w:rPr>
                <w:rFonts w:hint="eastAsia"/>
                <w:sz w:val="28"/>
                <w:szCs w:val="28"/>
              </w:rPr>
              <w:t>意見四)</w:t>
            </w:r>
          </w:p>
        </w:tc>
      </w:tr>
      <w:tr w:rsidR="00C3310F" w:rsidRPr="00C3310F" w14:paraId="76063CE1" w14:textId="77777777" w:rsidTr="00CB4F4C">
        <w:tc>
          <w:tcPr>
            <w:tcW w:w="851" w:type="dxa"/>
            <w:vMerge/>
            <w:vAlign w:val="center"/>
          </w:tcPr>
          <w:p w14:paraId="1363734B" w14:textId="77777777" w:rsidR="000B1C3C" w:rsidRPr="00C3310F" w:rsidRDefault="000B1C3C" w:rsidP="00CB4F4C">
            <w:pPr>
              <w:pStyle w:val="4"/>
              <w:numPr>
                <w:ilvl w:val="0"/>
                <w:numId w:val="0"/>
              </w:numPr>
              <w:spacing w:line="320" w:lineRule="exact"/>
              <w:rPr>
                <w:sz w:val="28"/>
                <w:szCs w:val="28"/>
              </w:rPr>
            </w:pPr>
          </w:p>
        </w:tc>
        <w:tc>
          <w:tcPr>
            <w:tcW w:w="9639" w:type="dxa"/>
          </w:tcPr>
          <w:p w14:paraId="694ACF79" w14:textId="63AF70AB" w:rsidR="000B1C3C" w:rsidRPr="00C3310F" w:rsidRDefault="000B1C3C" w:rsidP="00062CD2">
            <w:pPr>
              <w:pStyle w:val="4"/>
              <w:numPr>
                <w:ilvl w:val="0"/>
                <w:numId w:val="0"/>
              </w:numPr>
              <w:spacing w:line="360" w:lineRule="exact"/>
              <w:rPr>
                <w:sz w:val="28"/>
                <w:szCs w:val="28"/>
              </w:rPr>
            </w:pPr>
            <w:r w:rsidRPr="00C3310F">
              <w:rPr>
                <w:rFonts w:hint="eastAsia"/>
                <w:sz w:val="28"/>
                <w:szCs w:val="28"/>
              </w:rPr>
              <w:t>教育部校安中心，……顯見該部長期忽視反詐騙校園預防宣導工作，欠缺整體有效之推動機制，致成效不彰，確有不當(</w:t>
            </w:r>
            <w:r w:rsidR="00B004D4" w:rsidRPr="00C3310F">
              <w:rPr>
                <w:sz w:val="28"/>
                <w:szCs w:val="28"/>
              </w:rPr>
              <w:t>0</w:t>
            </w:r>
            <w:r w:rsidRPr="00C3310F">
              <w:rPr>
                <w:rFonts w:hint="eastAsia"/>
                <w:sz w:val="28"/>
                <w:szCs w:val="28"/>
              </w:rPr>
              <w:t>98交調0034調查意見六)</w:t>
            </w:r>
          </w:p>
        </w:tc>
      </w:tr>
      <w:tr w:rsidR="00C3310F" w:rsidRPr="00C3310F" w14:paraId="07102B73" w14:textId="77777777" w:rsidTr="00CB4F4C">
        <w:tc>
          <w:tcPr>
            <w:tcW w:w="851" w:type="dxa"/>
            <w:vMerge w:val="restart"/>
            <w:vAlign w:val="center"/>
          </w:tcPr>
          <w:p w14:paraId="685A8177" w14:textId="77777777" w:rsidR="000B1C3C" w:rsidRPr="00C3310F" w:rsidRDefault="000B1C3C" w:rsidP="00CB4F4C">
            <w:pPr>
              <w:pStyle w:val="4"/>
              <w:numPr>
                <w:ilvl w:val="0"/>
                <w:numId w:val="0"/>
              </w:numPr>
              <w:spacing w:line="320" w:lineRule="exact"/>
              <w:rPr>
                <w:sz w:val="28"/>
                <w:szCs w:val="28"/>
              </w:rPr>
            </w:pPr>
            <w:r w:rsidRPr="00C3310F">
              <w:rPr>
                <w:rFonts w:hint="eastAsia"/>
                <w:sz w:val="28"/>
                <w:szCs w:val="28"/>
              </w:rPr>
              <w:t>堵詐</w:t>
            </w:r>
          </w:p>
        </w:tc>
        <w:tc>
          <w:tcPr>
            <w:tcW w:w="9639" w:type="dxa"/>
          </w:tcPr>
          <w:p w14:paraId="7325AAA3" w14:textId="77777777" w:rsidR="000B1C3C" w:rsidRPr="00C3310F" w:rsidRDefault="000B1C3C" w:rsidP="00062CD2">
            <w:pPr>
              <w:pStyle w:val="4"/>
              <w:numPr>
                <w:ilvl w:val="0"/>
                <w:numId w:val="0"/>
              </w:numPr>
              <w:spacing w:line="360" w:lineRule="exact"/>
              <w:rPr>
                <w:sz w:val="28"/>
                <w:szCs w:val="28"/>
              </w:rPr>
            </w:pPr>
            <w:r w:rsidRPr="00C3310F">
              <w:rPr>
                <w:rFonts w:hint="eastAsia"/>
                <w:sz w:val="28"/>
                <w:szCs w:val="28"/>
              </w:rPr>
              <w:t>行政院自</w:t>
            </w:r>
            <w:r w:rsidR="009B2196" w:rsidRPr="00C3310F">
              <w:rPr>
                <w:sz w:val="28"/>
                <w:szCs w:val="28"/>
              </w:rPr>
              <w:t>93</w:t>
            </w:r>
            <w:r w:rsidRPr="00C3310F">
              <w:rPr>
                <w:rFonts w:hint="eastAsia"/>
                <w:sz w:val="28"/>
                <w:szCs w:val="28"/>
              </w:rPr>
              <w:t>年迄今，長期漠視電話詐騙案件問題之嚴重性，未積極協調電信人頭資料庫……造成嚴重之財產損失，均有不當(98交調0034</w:t>
            </w:r>
            <w:r w:rsidR="00CB4F4C" w:rsidRPr="00C3310F">
              <w:rPr>
                <w:rFonts w:hint="eastAsia"/>
                <w:sz w:val="28"/>
                <w:szCs w:val="28"/>
              </w:rPr>
              <w:t>調查</w:t>
            </w:r>
            <w:r w:rsidRPr="00C3310F">
              <w:rPr>
                <w:rFonts w:hint="eastAsia"/>
                <w:sz w:val="28"/>
                <w:szCs w:val="28"/>
              </w:rPr>
              <w:t>意見一)</w:t>
            </w:r>
          </w:p>
        </w:tc>
      </w:tr>
      <w:tr w:rsidR="00C3310F" w:rsidRPr="00C3310F" w14:paraId="657AF9B9" w14:textId="77777777" w:rsidTr="00CB4F4C">
        <w:tc>
          <w:tcPr>
            <w:tcW w:w="851" w:type="dxa"/>
            <w:vMerge/>
            <w:vAlign w:val="center"/>
          </w:tcPr>
          <w:p w14:paraId="125F948D" w14:textId="77777777" w:rsidR="000B1C3C" w:rsidRPr="00C3310F" w:rsidRDefault="000B1C3C" w:rsidP="00CB4F4C">
            <w:pPr>
              <w:pStyle w:val="4"/>
              <w:numPr>
                <w:ilvl w:val="0"/>
                <w:numId w:val="0"/>
              </w:numPr>
              <w:spacing w:line="320" w:lineRule="exact"/>
              <w:rPr>
                <w:sz w:val="28"/>
                <w:szCs w:val="28"/>
              </w:rPr>
            </w:pPr>
          </w:p>
        </w:tc>
        <w:tc>
          <w:tcPr>
            <w:tcW w:w="9639" w:type="dxa"/>
          </w:tcPr>
          <w:p w14:paraId="77D29A6B" w14:textId="6198A945" w:rsidR="000B1C3C" w:rsidRPr="00C3310F" w:rsidRDefault="000B1C3C" w:rsidP="00062CD2">
            <w:pPr>
              <w:pStyle w:val="4"/>
              <w:numPr>
                <w:ilvl w:val="0"/>
                <w:numId w:val="0"/>
              </w:numPr>
              <w:spacing w:line="360" w:lineRule="exact"/>
              <w:rPr>
                <w:sz w:val="28"/>
                <w:szCs w:val="28"/>
              </w:rPr>
            </w:pPr>
            <w:r w:rsidRPr="00C3310F">
              <w:rPr>
                <w:rFonts w:hint="eastAsia"/>
                <w:sz w:val="28"/>
                <w:szCs w:val="28"/>
              </w:rPr>
              <w:t>詐騙集團利用二類電信進行詐騙犯罪活動，主管機關</w:t>
            </w:r>
            <w:r w:rsidR="00021DBD" w:rsidRPr="00C3310F">
              <w:rPr>
                <w:rFonts w:hint="eastAsia"/>
                <w:sz w:val="28"/>
                <w:szCs w:val="28"/>
              </w:rPr>
              <w:t>通傳會</w:t>
            </w:r>
            <w:r w:rsidRPr="00C3310F">
              <w:rPr>
                <w:rFonts w:hint="eastAsia"/>
                <w:sz w:val="28"/>
                <w:szCs w:val="28"/>
              </w:rPr>
              <w:t>未落實監督管理及行政檢查之責，核有違失</w:t>
            </w:r>
            <w:r w:rsidR="007D462A" w:rsidRPr="00C3310F">
              <w:rPr>
                <w:sz w:val="28"/>
                <w:szCs w:val="28"/>
              </w:rPr>
              <w:t>(</w:t>
            </w:r>
            <w:r w:rsidR="00B004D4" w:rsidRPr="00C3310F">
              <w:rPr>
                <w:sz w:val="28"/>
                <w:szCs w:val="28"/>
              </w:rPr>
              <w:t>0</w:t>
            </w:r>
            <w:r w:rsidR="007D462A" w:rsidRPr="00C3310F">
              <w:rPr>
                <w:rFonts w:hint="eastAsia"/>
                <w:sz w:val="28"/>
                <w:szCs w:val="28"/>
              </w:rPr>
              <w:t>99內調</w:t>
            </w:r>
            <w:r w:rsidR="00B004D4" w:rsidRPr="00C3310F">
              <w:rPr>
                <w:sz w:val="28"/>
                <w:szCs w:val="28"/>
              </w:rPr>
              <w:t>0</w:t>
            </w:r>
            <w:r w:rsidR="007D462A" w:rsidRPr="00C3310F">
              <w:rPr>
                <w:rFonts w:hint="eastAsia"/>
                <w:sz w:val="28"/>
                <w:szCs w:val="28"/>
              </w:rPr>
              <w:t>106調查意見五)</w:t>
            </w:r>
          </w:p>
        </w:tc>
      </w:tr>
      <w:tr w:rsidR="00C3310F" w:rsidRPr="00C3310F" w14:paraId="6D4CC136" w14:textId="77777777" w:rsidTr="00CB4F4C">
        <w:tc>
          <w:tcPr>
            <w:tcW w:w="851" w:type="dxa"/>
            <w:vMerge/>
            <w:vAlign w:val="center"/>
          </w:tcPr>
          <w:p w14:paraId="39CB1BFA" w14:textId="77777777" w:rsidR="000B1C3C" w:rsidRPr="00C3310F" w:rsidRDefault="000B1C3C" w:rsidP="00CB4F4C">
            <w:pPr>
              <w:pStyle w:val="4"/>
              <w:numPr>
                <w:ilvl w:val="0"/>
                <w:numId w:val="0"/>
              </w:numPr>
              <w:spacing w:line="320" w:lineRule="exact"/>
              <w:rPr>
                <w:sz w:val="28"/>
                <w:szCs w:val="28"/>
              </w:rPr>
            </w:pPr>
          </w:p>
        </w:tc>
        <w:tc>
          <w:tcPr>
            <w:tcW w:w="9639" w:type="dxa"/>
          </w:tcPr>
          <w:p w14:paraId="3FFD23A2" w14:textId="5A9F3FDC" w:rsidR="000B1C3C" w:rsidRPr="00C3310F" w:rsidRDefault="000B1C3C" w:rsidP="00062CD2">
            <w:pPr>
              <w:pStyle w:val="4"/>
              <w:numPr>
                <w:ilvl w:val="0"/>
                <w:numId w:val="0"/>
              </w:numPr>
              <w:spacing w:line="360" w:lineRule="exact"/>
              <w:rPr>
                <w:sz w:val="28"/>
                <w:szCs w:val="28"/>
              </w:rPr>
            </w:pPr>
            <w:r w:rsidRPr="00C3310F">
              <w:rPr>
                <w:rFonts w:hint="eastAsia"/>
                <w:sz w:val="28"/>
                <w:szCs w:val="28"/>
              </w:rPr>
              <w:t>……通傳會及警政署允宜檢討現行措施，源頭管制人頭電話及採取有效宣導(傳)措施，抑制詐騙集團，避免民眾遭騙(106司調0019</w:t>
            </w:r>
            <w:r w:rsidR="00CB4F4C" w:rsidRPr="00C3310F">
              <w:rPr>
                <w:rFonts w:hint="eastAsia"/>
                <w:sz w:val="28"/>
                <w:szCs w:val="28"/>
              </w:rPr>
              <w:t>調查</w:t>
            </w:r>
            <w:r w:rsidRPr="00C3310F">
              <w:rPr>
                <w:rFonts w:hint="eastAsia"/>
                <w:sz w:val="28"/>
                <w:szCs w:val="28"/>
              </w:rPr>
              <w:t>意見二)</w:t>
            </w:r>
          </w:p>
        </w:tc>
      </w:tr>
      <w:tr w:rsidR="00C3310F" w:rsidRPr="00C3310F" w14:paraId="36AA7CF8" w14:textId="77777777" w:rsidTr="00CB4F4C">
        <w:tc>
          <w:tcPr>
            <w:tcW w:w="851" w:type="dxa"/>
            <w:vMerge w:val="restart"/>
            <w:vAlign w:val="center"/>
          </w:tcPr>
          <w:p w14:paraId="349D19C5" w14:textId="77777777" w:rsidR="000B1C3C" w:rsidRPr="00C3310F" w:rsidRDefault="000B1C3C" w:rsidP="00CB4F4C">
            <w:pPr>
              <w:pStyle w:val="4"/>
              <w:numPr>
                <w:ilvl w:val="0"/>
                <w:numId w:val="0"/>
              </w:numPr>
              <w:spacing w:line="320" w:lineRule="exact"/>
              <w:rPr>
                <w:sz w:val="28"/>
                <w:szCs w:val="28"/>
              </w:rPr>
            </w:pPr>
            <w:r w:rsidRPr="00C3310F">
              <w:rPr>
                <w:rFonts w:hint="eastAsia"/>
                <w:sz w:val="28"/>
                <w:szCs w:val="28"/>
              </w:rPr>
              <w:t>阻詐</w:t>
            </w:r>
          </w:p>
        </w:tc>
        <w:tc>
          <w:tcPr>
            <w:tcW w:w="9639" w:type="dxa"/>
          </w:tcPr>
          <w:p w14:paraId="09F27CCD" w14:textId="77777777" w:rsidR="000B1C3C" w:rsidRPr="00C3310F" w:rsidRDefault="000B1C3C" w:rsidP="00062CD2">
            <w:pPr>
              <w:pStyle w:val="4"/>
              <w:numPr>
                <w:ilvl w:val="0"/>
                <w:numId w:val="0"/>
              </w:numPr>
              <w:spacing w:line="360" w:lineRule="exact"/>
              <w:rPr>
                <w:sz w:val="28"/>
                <w:szCs w:val="28"/>
              </w:rPr>
            </w:pPr>
            <w:r w:rsidRPr="00C3310F">
              <w:rPr>
                <w:rFonts w:hint="eastAsia"/>
                <w:sz w:val="28"/>
                <w:szCs w:val="28"/>
              </w:rPr>
              <w:t>銀聯卡……淪為不法集團洗錢之工具，惟其所隱藏之犯罪黑數及是否益趨增加，相關統計資料付諸闕如，有關單位允應儘速建置完整之資料庫……(106司調0019</w:t>
            </w:r>
            <w:r w:rsidR="00CB4F4C" w:rsidRPr="00C3310F">
              <w:rPr>
                <w:rFonts w:hint="eastAsia"/>
                <w:sz w:val="28"/>
                <w:szCs w:val="28"/>
              </w:rPr>
              <w:t>調查</w:t>
            </w:r>
            <w:r w:rsidRPr="00C3310F">
              <w:rPr>
                <w:rFonts w:hint="eastAsia"/>
                <w:sz w:val="28"/>
                <w:szCs w:val="28"/>
              </w:rPr>
              <w:t>意見五)</w:t>
            </w:r>
          </w:p>
        </w:tc>
      </w:tr>
      <w:tr w:rsidR="00C3310F" w:rsidRPr="00C3310F" w14:paraId="337968EF" w14:textId="77777777" w:rsidTr="00CB4F4C">
        <w:tc>
          <w:tcPr>
            <w:tcW w:w="851" w:type="dxa"/>
            <w:vMerge/>
            <w:vAlign w:val="center"/>
          </w:tcPr>
          <w:p w14:paraId="45890E49" w14:textId="77777777" w:rsidR="000B1C3C" w:rsidRPr="00C3310F" w:rsidRDefault="000B1C3C" w:rsidP="00CB4F4C">
            <w:pPr>
              <w:pStyle w:val="4"/>
              <w:numPr>
                <w:ilvl w:val="0"/>
                <w:numId w:val="0"/>
              </w:numPr>
              <w:spacing w:line="320" w:lineRule="exact"/>
              <w:rPr>
                <w:sz w:val="28"/>
                <w:szCs w:val="28"/>
              </w:rPr>
            </w:pPr>
          </w:p>
        </w:tc>
        <w:tc>
          <w:tcPr>
            <w:tcW w:w="9639" w:type="dxa"/>
          </w:tcPr>
          <w:p w14:paraId="35F5D858" w14:textId="4B8765F4" w:rsidR="000B1C3C" w:rsidRPr="00C3310F" w:rsidRDefault="000B1C3C" w:rsidP="00062CD2">
            <w:pPr>
              <w:pStyle w:val="4"/>
              <w:numPr>
                <w:ilvl w:val="0"/>
                <w:numId w:val="0"/>
              </w:numPr>
              <w:spacing w:line="360" w:lineRule="exact"/>
              <w:rPr>
                <w:sz w:val="28"/>
                <w:szCs w:val="28"/>
              </w:rPr>
            </w:pPr>
            <w:r w:rsidRPr="00C3310F">
              <w:rPr>
                <w:rFonts w:hint="eastAsia"/>
                <w:sz w:val="28"/>
                <w:szCs w:val="28"/>
              </w:rPr>
              <w:t>……金管會宜評估是否要求金融機構在定型化契約條款中以明顯顏色或粗體字呈現並請客戶特別簽名，或於其請領存摺及提款卡、密碼時簽具切結書，或直接於存摺封面印上「勿遭詐騙集團詐騙匯款」之警語，……又金管會應……更有效地減少人頭帳戶之產生(111司調0027</w:t>
            </w:r>
            <w:r w:rsidR="00CB4F4C" w:rsidRPr="00C3310F">
              <w:rPr>
                <w:rFonts w:hint="eastAsia"/>
                <w:sz w:val="28"/>
                <w:szCs w:val="28"/>
              </w:rPr>
              <w:t>調查</w:t>
            </w:r>
            <w:r w:rsidRPr="00C3310F">
              <w:rPr>
                <w:rFonts w:hint="eastAsia"/>
                <w:sz w:val="28"/>
                <w:szCs w:val="28"/>
              </w:rPr>
              <w:t>意見五)</w:t>
            </w:r>
          </w:p>
        </w:tc>
      </w:tr>
      <w:tr w:rsidR="00C3310F" w:rsidRPr="00C3310F" w14:paraId="2F9B7953" w14:textId="77777777" w:rsidTr="00CB4F4C">
        <w:tc>
          <w:tcPr>
            <w:tcW w:w="851" w:type="dxa"/>
            <w:vMerge w:val="restart"/>
            <w:vAlign w:val="center"/>
          </w:tcPr>
          <w:p w14:paraId="53BB5ECE" w14:textId="77777777" w:rsidR="000B1C3C" w:rsidRPr="00C3310F" w:rsidRDefault="000B1C3C" w:rsidP="00CB4F4C">
            <w:pPr>
              <w:pStyle w:val="4"/>
              <w:numPr>
                <w:ilvl w:val="0"/>
                <w:numId w:val="0"/>
              </w:numPr>
              <w:spacing w:line="320" w:lineRule="exact"/>
              <w:rPr>
                <w:sz w:val="28"/>
                <w:szCs w:val="28"/>
              </w:rPr>
            </w:pPr>
            <w:r w:rsidRPr="00C3310F">
              <w:rPr>
                <w:rFonts w:hint="eastAsia"/>
                <w:sz w:val="28"/>
                <w:szCs w:val="28"/>
              </w:rPr>
              <w:t>懲詐</w:t>
            </w:r>
          </w:p>
        </w:tc>
        <w:tc>
          <w:tcPr>
            <w:tcW w:w="9639" w:type="dxa"/>
          </w:tcPr>
          <w:p w14:paraId="5630F7B3" w14:textId="5967EEA6" w:rsidR="000B1C3C" w:rsidRPr="00C3310F" w:rsidRDefault="000B1C3C" w:rsidP="00062CD2">
            <w:pPr>
              <w:pStyle w:val="4"/>
              <w:numPr>
                <w:ilvl w:val="0"/>
                <w:numId w:val="0"/>
              </w:numPr>
              <w:spacing w:line="360" w:lineRule="exact"/>
              <w:rPr>
                <w:sz w:val="28"/>
                <w:szCs w:val="28"/>
              </w:rPr>
            </w:pPr>
            <w:r w:rsidRPr="00C3310F">
              <w:rPr>
                <w:rFonts w:hint="eastAsia"/>
                <w:sz w:val="28"/>
                <w:szCs w:val="28"/>
              </w:rPr>
              <w:t>行政院與司法院未能有效遏阻詐欺犯罪案件蔓延，致詐欺犯罪案件起訴率、定罪率、量刑刑度及入監率均有逐年降低之趨勢，實難發揮刑罰應報、嚇阻、隔離與矯正等功能……(</w:t>
            </w:r>
            <w:r w:rsidR="00B004D4" w:rsidRPr="00C3310F">
              <w:rPr>
                <w:sz w:val="28"/>
                <w:szCs w:val="28"/>
              </w:rPr>
              <w:t>0</w:t>
            </w:r>
            <w:r w:rsidRPr="00C3310F">
              <w:rPr>
                <w:rFonts w:hint="eastAsia"/>
                <w:sz w:val="28"/>
                <w:szCs w:val="28"/>
              </w:rPr>
              <w:t>98司調0040號</w:t>
            </w:r>
            <w:r w:rsidR="00CB4F4C" w:rsidRPr="00C3310F">
              <w:rPr>
                <w:rFonts w:hint="eastAsia"/>
                <w:sz w:val="28"/>
                <w:szCs w:val="28"/>
              </w:rPr>
              <w:t>調查</w:t>
            </w:r>
            <w:r w:rsidRPr="00C3310F">
              <w:rPr>
                <w:rFonts w:hint="eastAsia"/>
                <w:sz w:val="28"/>
                <w:szCs w:val="28"/>
              </w:rPr>
              <w:t>意見二)</w:t>
            </w:r>
          </w:p>
        </w:tc>
      </w:tr>
      <w:tr w:rsidR="00C3310F" w:rsidRPr="00C3310F" w14:paraId="31CAB255" w14:textId="77777777" w:rsidTr="00CB4F4C">
        <w:tc>
          <w:tcPr>
            <w:tcW w:w="851" w:type="dxa"/>
            <w:vMerge/>
          </w:tcPr>
          <w:p w14:paraId="7A8A432F" w14:textId="77777777" w:rsidR="000B1C3C" w:rsidRPr="00C3310F" w:rsidRDefault="000B1C3C" w:rsidP="00CB4F4C">
            <w:pPr>
              <w:pStyle w:val="4"/>
              <w:numPr>
                <w:ilvl w:val="0"/>
                <w:numId w:val="0"/>
              </w:numPr>
              <w:spacing w:line="320" w:lineRule="exact"/>
              <w:rPr>
                <w:sz w:val="28"/>
                <w:szCs w:val="28"/>
              </w:rPr>
            </w:pPr>
          </w:p>
        </w:tc>
        <w:tc>
          <w:tcPr>
            <w:tcW w:w="9639" w:type="dxa"/>
          </w:tcPr>
          <w:p w14:paraId="254060B4" w14:textId="4CECD779" w:rsidR="000B1C3C" w:rsidRPr="00C3310F" w:rsidRDefault="000B1C3C" w:rsidP="00062CD2">
            <w:pPr>
              <w:pStyle w:val="4"/>
              <w:numPr>
                <w:ilvl w:val="0"/>
                <w:numId w:val="0"/>
              </w:numPr>
              <w:spacing w:line="360" w:lineRule="exact"/>
              <w:rPr>
                <w:sz w:val="28"/>
                <w:szCs w:val="28"/>
              </w:rPr>
            </w:pPr>
            <w:r w:rsidRPr="00C3310F">
              <w:rPr>
                <w:rFonts w:hint="eastAsia"/>
                <w:sz w:val="28"/>
                <w:szCs w:val="28"/>
              </w:rPr>
              <w:t>……詐欺犯罪之起訴率仍偏低，法官在詐欺犯罪量刑上仍有輕判之事實，顯示詐騙犯罪被害情形仍相當嚴重…… (</w:t>
            </w:r>
            <w:r w:rsidR="001F0692" w:rsidRPr="00C3310F">
              <w:rPr>
                <w:rFonts w:hint="eastAsia"/>
                <w:sz w:val="28"/>
                <w:szCs w:val="28"/>
              </w:rPr>
              <w:t>099內調0106調查意見二)</w:t>
            </w:r>
          </w:p>
        </w:tc>
      </w:tr>
      <w:tr w:rsidR="00C3310F" w:rsidRPr="00C3310F" w14:paraId="01361153" w14:textId="77777777" w:rsidTr="00CB4F4C">
        <w:tc>
          <w:tcPr>
            <w:tcW w:w="851" w:type="dxa"/>
            <w:vMerge/>
          </w:tcPr>
          <w:p w14:paraId="482831A8" w14:textId="77777777" w:rsidR="000B1C3C" w:rsidRPr="00C3310F" w:rsidRDefault="000B1C3C" w:rsidP="00CB4F4C">
            <w:pPr>
              <w:pStyle w:val="4"/>
              <w:numPr>
                <w:ilvl w:val="0"/>
                <w:numId w:val="0"/>
              </w:numPr>
              <w:spacing w:line="320" w:lineRule="exact"/>
              <w:rPr>
                <w:sz w:val="28"/>
                <w:szCs w:val="28"/>
              </w:rPr>
            </w:pPr>
          </w:p>
        </w:tc>
        <w:tc>
          <w:tcPr>
            <w:tcW w:w="9639" w:type="dxa"/>
          </w:tcPr>
          <w:p w14:paraId="4905DE83" w14:textId="5CB74A5D" w:rsidR="000B1C3C" w:rsidRPr="00C3310F" w:rsidRDefault="000B1C3C" w:rsidP="00062CD2">
            <w:pPr>
              <w:pStyle w:val="4"/>
              <w:numPr>
                <w:ilvl w:val="0"/>
                <w:numId w:val="0"/>
              </w:numPr>
              <w:spacing w:line="360" w:lineRule="exact"/>
              <w:rPr>
                <w:sz w:val="28"/>
                <w:szCs w:val="28"/>
              </w:rPr>
            </w:pPr>
            <w:r w:rsidRPr="00C3310F">
              <w:rPr>
                <w:rFonts w:hint="eastAsia"/>
                <w:sz w:val="28"/>
                <w:szCs w:val="28"/>
              </w:rPr>
              <w:t>近年電信詐騙集團已組織化並跨境為之，且集團成員再犯率甚高，……允宜加強運用「任務型聯絡官」等機制，建立合作窗口與溝通管道，與國際社會共同打擊不法</w:t>
            </w:r>
            <w:r w:rsidR="00B004D4" w:rsidRPr="00C3310F">
              <w:rPr>
                <w:rFonts w:hint="eastAsia"/>
                <w:sz w:val="28"/>
                <w:szCs w:val="28"/>
              </w:rPr>
              <w:t>。</w:t>
            </w:r>
            <w:r w:rsidRPr="00C3310F">
              <w:rPr>
                <w:rFonts w:hint="eastAsia"/>
                <w:sz w:val="28"/>
                <w:szCs w:val="28"/>
              </w:rPr>
              <w:t>(106司調0019</w:t>
            </w:r>
            <w:r w:rsidR="00CB4F4C" w:rsidRPr="00C3310F">
              <w:rPr>
                <w:rFonts w:hint="eastAsia"/>
                <w:sz w:val="28"/>
                <w:szCs w:val="28"/>
              </w:rPr>
              <w:t>調查</w:t>
            </w:r>
            <w:r w:rsidRPr="00C3310F">
              <w:rPr>
                <w:rFonts w:hint="eastAsia"/>
                <w:sz w:val="28"/>
                <w:szCs w:val="28"/>
              </w:rPr>
              <w:t>意見四)</w:t>
            </w:r>
          </w:p>
        </w:tc>
      </w:tr>
    </w:tbl>
    <w:p w14:paraId="12434671" w14:textId="77777777" w:rsidR="000B1C3C" w:rsidRPr="00C3310F" w:rsidRDefault="000B1C3C" w:rsidP="000B1C3C">
      <w:pPr>
        <w:pStyle w:val="4"/>
        <w:numPr>
          <w:ilvl w:val="0"/>
          <w:numId w:val="0"/>
        </w:numPr>
        <w:ind w:hanging="510"/>
        <w:jc w:val="left"/>
        <w:rPr>
          <w:sz w:val="28"/>
        </w:rPr>
      </w:pPr>
      <w:r w:rsidRPr="00C3310F">
        <w:rPr>
          <w:rFonts w:hint="eastAsia"/>
          <w:sz w:val="28"/>
        </w:rPr>
        <w:t>資料來源:本院自行整理</w:t>
      </w:r>
      <w:r w:rsidR="009B2196" w:rsidRPr="00C3310F">
        <w:rPr>
          <w:rFonts w:hint="eastAsia"/>
          <w:sz w:val="28"/>
        </w:rPr>
        <w:t>。</w:t>
      </w:r>
    </w:p>
    <w:p w14:paraId="39F213C0" w14:textId="37B0C77A" w:rsidR="000B1C3C" w:rsidRPr="00C3310F" w:rsidRDefault="000B1C3C" w:rsidP="000B1C3C">
      <w:pPr>
        <w:pStyle w:val="4"/>
      </w:pPr>
      <w:r w:rsidRPr="00C3310F">
        <w:rPr>
          <w:rFonts w:hint="eastAsia"/>
        </w:rPr>
        <w:lastRenderedPageBreak/>
        <w:t>以統計數據及蒐整資料相對完整之量刑部分舉例，本院</w:t>
      </w:r>
      <w:r w:rsidR="00B004D4" w:rsidRPr="00C3310F">
        <w:t>0</w:t>
      </w:r>
      <w:r w:rsidRPr="00C3310F">
        <w:rPr>
          <w:rFonts w:hint="eastAsia"/>
        </w:rPr>
        <w:t>98司調0040號案調查意見二曾指出略以:「詐欺犯罪案件起訴率、定罪率、量刑刑度及入監率均有逐年降低之趨勢，實難發揮刑罰應報、嚇阻、隔離與矯正等功能」，然而</w:t>
      </w:r>
      <w:r w:rsidR="00A1409C" w:rsidRPr="00C3310F">
        <w:rPr>
          <w:rFonts w:hint="eastAsia"/>
        </w:rPr>
        <w:t>本調查研究</w:t>
      </w:r>
      <w:r w:rsidRPr="00C3310F">
        <w:rPr>
          <w:rFonts w:hint="eastAsia"/>
        </w:rPr>
        <w:t>無論是由文獻的質化性描述或機關提供之量化資料，均發現該調查報告意見迄今仍未獲澈底檢討，</w:t>
      </w:r>
      <w:r w:rsidR="00680D50" w:rsidRPr="00C3310F">
        <w:rPr>
          <w:rFonts w:hint="eastAsia"/>
        </w:rPr>
        <w:t>以致於無法有效抑制詐欺犯罪之猖獗</w:t>
      </w:r>
      <w:r w:rsidRPr="00C3310F">
        <w:rPr>
          <w:rFonts w:hint="eastAsia"/>
        </w:rPr>
        <w:t>。</w:t>
      </w:r>
    </w:p>
    <w:p w14:paraId="16EC82A8" w14:textId="77777777" w:rsidR="000B1C3C" w:rsidRPr="00C3310F" w:rsidRDefault="000B1C3C" w:rsidP="000B1C3C">
      <w:pPr>
        <w:pStyle w:val="5"/>
      </w:pPr>
      <w:r w:rsidRPr="00C3310F">
        <w:rPr>
          <w:rFonts w:hint="eastAsia"/>
        </w:rPr>
        <w:t>在質化性描述部分，105年仍有文獻</w:t>
      </w:r>
      <w:r w:rsidRPr="00C3310F">
        <w:rPr>
          <w:vertAlign w:val="superscript"/>
        </w:rPr>
        <w:footnoteReference w:id="54"/>
      </w:r>
      <w:r w:rsidRPr="00C3310F">
        <w:rPr>
          <w:rFonts w:hint="eastAsia"/>
        </w:rPr>
        <w:t>指出，「詐欺案件因罪行輕微或蒐證不易，起訴比率較低，定罪率雖高，刑度卻極輕，……其投資報酬率對於集團成員來說仍是極高」等語。</w:t>
      </w:r>
    </w:p>
    <w:p w14:paraId="0A5D375C" w14:textId="006BCCC0" w:rsidR="000B1C3C" w:rsidRPr="00C3310F" w:rsidRDefault="000B1C3C" w:rsidP="000B1C3C">
      <w:pPr>
        <w:pStyle w:val="5"/>
      </w:pPr>
      <w:r w:rsidRPr="00C3310F">
        <w:rPr>
          <w:rFonts w:hint="eastAsia"/>
        </w:rPr>
        <w:t>復以本院112年11月13日赴高檢署辦理履勘時，法務部亦稱:「關於刑度過低部分，因為法官審判獨立，所以在與司法院溝通上稍有困難，……法官只要在法律所規定最低刑度以上量刑都是合法，最後定執行刑只有l至2年」；</w:t>
      </w:r>
      <w:r w:rsidR="00B004D4" w:rsidRPr="00C3310F">
        <w:rPr>
          <w:rFonts w:hint="eastAsia"/>
        </w:rPr>
        <w:t>臺北</w:t>
      </w:r>
      <w:r w:rsidRPr="00C3310F">
        <w:rPr>
          <w:rFonts w:hint="eastAsia"/>
        </w:rPr>
        <w:t>地檢署劉仕國主任檢察官亦提出量刑及定執行刑之現況仍然無法發揮刑罰應報及嚇阻功能之情形如下；</w:t>
      </w:r>
    </w:p>
    <w:p w14:paraId="35216D1C" w14:textId="77777777" w:rsidR="000B1C3C" w:rsidRPr="00C3310F" w:rsidRDefault="000B1C3C" w:rsidP="000B1C3C">
      <w:pPr>
        <w:pStyle w:val="6"/>
      </w:pPr>
      <w:bookmarkStart w:id="858" w:name="_Toc171525565"/>
      <w:bookmarkStart w:id="859" w:name="_Toc172024086"/>
      <w:bookmarkStart w:id="860" w:name="_Toc172033409"/>
      <w:r w:rsidRPr="00C3310F">
        <w:rPr>
          <w:rFonts w:hint="eastAsia"/>
        </w:rPr>
        <w:t>現在司法實務，法院不分案件，幾乎全部都是從最低刑度開始量。</w:t>
      </w:r>
      <w:bookmarkEnd w:id="858"/>
      <w:bookmarkEnd w:id="859"/>
      <w:bookmarkEnd w:id="860"/>
    </w:p>
    <w:p w14:paraId="5E6396D9" w14:textId="3D5BFAC4" w:rsidR="000B1C3C" w:rsidRPr="00C3310F" w:rsidRDefault="000B1C3C" w:rsidP="000B1C3C">
      <w:pPr>
        <w:pStyle w:val="6"/>
      </w:pPr>
      <w:bookmarkStart w:id="861" w:name="_Toc171525566"/>
      <w:bookmarkStart w:id="862" w:name="_Toc172024087"/>
      <w:bookmarkStart w:id="863" w:name="_Toc172033410"/>
      <w:r w:rsidRPr="00C3310F">
        <w:rPr>
          <w:rFonts w:hint="eastAsia"/>
        </w:rPr>
        <w:t>在法院定執行刑時，更是容易產生爭議，例如，詐欺車手犯了20次，每次都判1年，……加起來你以為要執行20年，錯！只要法院定應執行刑是l年1個月就已經是合法的，我想這不要說我們檢察官常常無法接受，人民要</w:t>
      </w:r>
      <w:r w:rsidRPr="00C3310F">
        <w:rPr>
          <w:rFonts w:hint="eastAsia"/>
        </w:rPr>
        <w:lastRenderedPageBreak/>
        <w:t>是知道了，大概也都無法接受。</w:t>
      </w:r>
      <w:bookmarkEnd w:id="861"/>
      <w:bookmarkEnd w:id="862"/>
      <w:bookmarkEnd w:id="863"/>
    </w:p>
    <w:p w14:paraId="2D9EEE35" w14:textId="77777777" w:rsidR="000B1C3C" w:rsidRPr="00C3310F" w:rsidRDefault="000B1C3C" w:rsidP="000B1C3C">
      <w:pPr>
        <w:pStyle w:val="5"/>
      </w:pPr>
      <w:r w:rsidRPr="00C3310F">
        <w:rPr>
          <w:rFonts w:hint="eastAsia"/>
        </w:rPr>
        <w:t>在量化數據資料部分，經分析高檢署提供近三年法院審理電信詐欺案件判決刑度，109年時觸犯詐欺罪為法院裁判確定刑度6個月以下者</w:t>
      </w:r>
      <w:r w:rsidR="00752EB4" w:rsidRPr="00C3310F">
        <w:rPr>
          <w:rFonts w:hint="eastAsia"/>
        </w:rPr>
        <w:t>占</w:t>
      </w:r>
      <w:r w:rsidRPr="00C3310F">
        <w:rPr>
          <w:rFonts w:hint="eastAsia"/>
        </w:rPr>
        <w:t>全體有罪判決35.8%</w:t>
      </w:r>
      <w:r w:rsidRPr="00C3310F">
        <w:rPr>
          <w:rFonts w:hint="eastAsia"/>
          <w:sz w:val="28"/>
        </w:rPr>
        <w:t>(4</w:t>
      </w:r>
      <w:r w:rsidRPr="00C3310F">
        <w:rPr>
          <w:sz w:val="28"/>
        </w:rPr>
        <w:t>,</w:t>
      </w:r>
      <w:r w:rsidRPr="00C3310F">
        <w:rPr>
          <w:rFonts w:hint="eastAsia"/>
          <w:sz w:val="28"/>
        </w:rPr>
        <w:t>758/13</w:t>
      </w:r>
      <w:r w:rsidRPr="00C3310F">
        <w:rPr>
          <w:sz w:val="28"/>
        </w:rPr>
        <w:t>,</w:t>
      </w:r>
      <w:r w:rsidRPr="00C3310F">
        <w:rPr>
          <w:rFonts w:hint="eastAsia"/>
          <w:sz w:val="28"/>
        </w:rPr>
        <w:t>272)</w:t>
      </w:r>
      <w:r w:rsidRPr="00C3310F">
        <w:rPr>
          <w:rFonts w:hint="eastAsia"/>
        </w:rPr>
        <w:t>，至112年1至9月，其比率已成長至61.7%</w:t>
      </w:r>
      <w:r w:rsidRPr="00C3310F">
        <w:rPr>
          <w:rFonts w:hint="eastAsia"/>
          <w:sz w:val="28"/>
        </w:rPr>
        <w:t>(12</w:t>
      </w:r>
      <w:r w:rsidRPr="00C3310F">
        <w:rPr>
          <w:sz w:val="28"/>
        </w:rPr>
        <w:t>,</w:t>
      </w:r>
      <w:r w:rsidRPr="00C3310F">
        <w:rPr>
          <w:rFonts w:hint="eastAsia"/>
          <w:sz w:val="28"/>
        </w:rPr>
        <w:t>380/20</w:t>
      </w:r>
      <w:r w:rsidRPr="00C3310F">
        <w:rPr>
          <w:sz w:val="28"/>
        </w:rPr>
        <w:t>,</w:t>
      </w:r>
      <w:r w:rsidRPr="00C3310F">
        <w:rPr>
          <w:rFonts w:hint="eastAsia"/>
          <w:sz w:val="28"/>
        </w:rPr>
        <w:t>053)</w:t>
      </w:r>
      <w:r w:rsidR="009B2196" w:rsidRPr="00C3310F">
        <w:rPr>
          <w:rFonts w:hint="eastAsia"/>
          <w:sz w:val="28"/>
        </w:rPr>
        <w:t>，</w:t>
      </w:r>
      <w:r w:rsidRPr="00C3310F">
        <w:rPr>
          <w:rFonts w:hint="eastAsia"/>
        </w:rPr>
        <w:t>如下表</w:t>
      </w:r>
      <w:r w:rsidR="004B77B6" w:rsidRPr="00C3310F">
        <w:rPr>
          <w:rFonts w:hint="eastAsia"/>
        </w:rPr>
        <w:t>1</w:t>
      </w:r>
      <w:r w:rsidR="004B77B6" w:rsidRPr="00C3310F">
        <w:t>6</w:t>
      </w:r>
      <w:r w:rsidR="009B2196" w:rsidRPr="00C3310F">
        <w:rPr>
          <w:rFonts w:hint="eastAsia"/>
        </w:rPr>
        <w:t>：</w:t>
      </w:r>
    </w:p>
    <w:p w14:paraId="452525E5" w14:textId="77777777" w:rsidR="000B1C3C" w:rsidRPr="00C3310F" w:rsidRDefault="000B1C3C" w:rsidP="000B1C3C">
      <w:pPr>
        <w:pStyle w:val="a3"/>
        <w:rPr>
          <w:rFonts w:hint="eastAsia"/>
          <w:b/>
        </w:rPr>
      </w:pPr>
      <w:bookmarkStart w:id="864" w:name="_Toc172025220"/>
      <w:r w:rsidRPr="00C3310F">
        <w:rPr>
          <w:rFonts w:hint="eastAsia"/>
          <w:b/>
        </w:rPr>
        <w:t>地檢署電信網路詐欺案件-執行裁判確定人數</w:t>
      </w:r>
      <w:bookmarkEnd w:id="864"/>
    </w:p>
    <w:p w14:paraId="3D2B9656" w14:textId="77777777" w:rsidR="000B1C3C" w:rsidRPr="00C3310F" w:rsidRDefault="000B1C3C" w:rsidP="000B1C3C">
      <w:pPr>
        <w:ind w:rightChars="-233" w:right="-793"/>
        <w:jc w:val="right"/>
        <w:rPr>
          <w:sz w:val="28"/>
        </w:rPr>
      </w:pPr>
      <w:r w:rsidRPr="00C3310F">
        <w:rPr>
          <w:rFonts w:hint="eastAsia"/>
          <w:sz w:val="28"/>
        </w:rPr>
        <w:t>單位：人</w:t>
      </w:r>
    </w:p>
    <w:tbl>
      <w:tblPr>
        <w:tblStyle w:val="af7"/>
        <w:tblW w:w="10065" w:type="dxa"/>
        <w:tblInd w:w="-431" w:type="dxa"/>
        <w:tblLook w:val="04A0" w:firstRow="1" w:lastRow="0" w:firstColumn="1" w:lastColumn="0" w:noHBand="0" w:noVBand="1"/>
      </w:tblPr>
      <w:tblGrid>
        <w:gridCol w:w="1240"/>
        <w:gridCol w:w="1132"/>
        <w:gridCol w:w="1208"/>
        <w:gridCol w:w="989"/>
        <w:gridCol w:w="1082"/>
        <w:gridCol w:w="830"/>
        <w:gridCol w:w="967"/>
        <w:gridCol w:w="687"/>
        <w:gridCol w:w="813"/>
        <w:gridCol w:w="1117"/>
      </w:tblGrid>
      <w:tr w:rsidR="00C3310F" w:rsidRPr="00C3310F" w14:paraId="4B638088" w14:textId="77777777" w:rsidTr="006279B5">
        <w:tc>
          <w:tcPr>
            <w:tcW w:w="1240" w:type="dxa"/>
          </w:tcPr>
          <w:p w14:paraId="4C333A68" w14:textId="77777777" w:rsidR="000B1C3C" w:rsidRPr="00C3310F" w:rsidRDefault="000B1C3C" w:rsidP="000B1C3C">
            <w:pPr>
              <w:rPr>
                <w:sz w:val="28"/>
                <w:szCs w:val="28"/>
              </w:rPr>
            </w:pPr>
            <w:r w:rsidRPr="00C3310F">
              <w:rPr>
                <w:rFonts w:hint="eastAsia"/>
                <w:sz w:val="28"/>
                <w:szCs w:val="28"/>
              </w:rPr>
              <w:t>年度</w:t>
            </w:r>
          </w:p>
        </w:tc>
        <w:tc>
          <w:tcPr>
            <w:tcW w:w="1132" w:type="dxa"/>
          </w:tcPr>
          <w:p w14:paraId="64548776" w14:textId="77777777" w:rsidR="000B1C3C" w:rsidRPr="00C3310F" w:rsidRDefault="000B1C3C" w:rsidP="000B1C3C">
            <w:pPr>
              <w:rPr>
                <w:sz w:val="28"/>
                <w:szCs w:val="28"/>
              </w:rPr>
            </w:pPr>
            <w:r w:rsidRPr="00C3310F">
              <w:rPr>
                <w:rFonts w:hint="eastAsia"/>
                <w:sz w:val="28"/>
                <w:szCs w:val="28"/>
              </w:rPr>
              <w:t>6月</w:t>
            </w:r>
          </w:p>
          <w:p w14:paraId="19DDB859" w14:textId="77777777" w:rsidR="000B1C3C" w:rsidRPr="00C3310F" w:rsidRDefault="000B1C3C" w:rsidP="000B1C3C">
            <w:pPr>
              <w:rPr>
                <w:sz w:val="28"/>
                <w:szCs w:val="28"/>
              </w:rPr>
            </w:pPr>
            <w:r w:rsidRPr="00C3310F">
              <w:rPr>
                <w:rFonts w:hint="eastAsia"/>
                <w:sz w:val="28"/>
                <w:szCs w:val="28"/>
              </w:rPr>
              <w:t>以下</w:t>
            </w:r>
          </w:p>
        </w:tc>
        <w:tc>
          <w:tcPr>
            <w:tcW w:w="1208" w:type="dxa"/>
          </w:tcPr>
          <w:p w14:paraId="69F5F92F" w14:textId="77777777" w:rsidR="000B1C3C" w:rsidRPr="00C3310F" w:rsidRDefault="000B1C3C" w:rsidP="000B1C3C">
            <w:pPr>
              <w:rPr>
                <w:sz w:val="28"/>
                <w:szCs w:val="28"/>
              </w:rPr>
            </w:pPr>
            <w:r w:rsidRPr="00C3310F">
              <w:rPr>
                <w:rFonts w:hint="eastAsia"/>
                <w:sz w:val="28"/>
                <w:szCs w:val="28"/>
              </w:rPr>
              <w:t>6月-1年</w:t>
            </w:r>
          </w:p>
        </w:tc>
        <w:tc>
          <w:tcPr>
            <w:tcW w:w="989" w:type="dxa"/>
          </w:tcPr>
          <w:p w14:paraId="1C656B86" w14:textId="77777777" w:rsidR="000B1C3C" w:rsidRPr="00C3310F" w:rsidRDefault="000B1C3C" w:rsidP="000B1C3C">
            <w:pPr>
              <w:rPr>
                <w:sz w:val="28"/>
                <w:szCs w:val="28"/>
              </w:rPr>
            </w:pPr>
            <w:r w:rsidRPr="00C3310F">
              <w:rPr>
                <w:rFonts w:hint="eastAsia"/>
                <w:sz w:val="28"/>
                <w:szCs w:val="28"/>
              </w:rPr>
              <w:t>1-2年</w:t>
            </w:r>
          </w:p>
        </w:tc>
        <w:tc>
          <w:tcPr>
            <w:tcW w:w="1082" w:type="dxa"/>
          </w:tcPr>
          <w:p w14:paraId="79DAB949" w14:textId="77777777" w:rsidR="000B1C3C" w:rsidRPr="00C3310F" w:rsidRDefault="000B1C3C" w:rsidP="000B1C3C">
            <w:pPr>
              <w:rPr>
                <w:sz w:val="28"/>
                <w:szCs w:val="28"/>
              </w:rPr>
            </w:pPr>
            <w:r w:rsidRPr="00C3310F">
              <w:rPr>
                <w:rFonts w:hint="eastAsia"/>
                <w:sz w:val="28"/>
                <w:szCs w:val="28"/>
              </w:rPr>
              <w:t>2-3年</w:t>
            </w:r>
          </w:p>
        </w:tc>
        <w:tc>
          <w:tcPr>
            <w:tcW w:w="830" w:type="dxa"/>
          </w:tcPr>
          <w:p w14:paraId="57031BE8" w14:textId="77777777" w:rsidR="000B1C3C" w:rsidRPr="00C3310F" w:rsidRDefault="000B1C3C" w:rsidP="000B1C3C">
            <w:pPr>
              <w:rPr>
                <w:sz w:val="28"/>
                <w:szCs w:val="28"/>
              </w:rPr>
            </w:pPr>
            <w:r w:rsidRPr="00C3310F">
              <w:rPr>
                <w:rFonts w:hint="eastAsia"/>
                <w:sz w:val="28"/>
                <w:szCs w:val="28"/>
              </w:rPr>
              <w:t>3年以上</w:t>
            </w:r>
          </w:p>
        </w:tc>
        <w:tc>
          <w:tcPr>
            <w:tcW w:w="967" w:type="dxa"/>
          </w:tcPr>
          <w:p w14:paraId="2D526CD2" w14:textId="77777777" w:rsidR="000B1C3C" w:rsidRPr="00C3310F" w:rsidRDefault="000B1C3C" w:rsidP="000B1C3C">
            <w:pPr>
              <w:rPr>
                <w:sz w:val="28"/>
                <w:szCs w:val="28"/>
              </w:rPr>
            </w:pPr>
            <w:r w:rsidRPr="00C3310F">
              <w:rPr>
                <w:rFonts w:hint="eastAsia"/>
                <w:sz w:val="28"/>
                <w:szCs w:val="28"/>
              </w:rPr>
              <w:t>拘役</w:t>
            </w:r>
          </w:p>
        </w:tc>
        <w:tc>
          <w:tcPr>
            <w:tcW w:w="687" w:type="dxa"/>
          </w:tcPr>
          <w:p w14:paraId="4E259073" w14:textId="77777777" w:rsidR="000B1C3C" w:rsidRPr="00C3310F" w:rsidRDefault="000B1C3C" w:rsidP="000B1C3C">
            <w:pPr>
              <w:rPr>
                <w:sz w:val="28"/>
                <w:szCs w:val="28"/>
              </w:rPr>
            </w:pPr>
            <w:r w:rsidRPr="00C3310F">
              <w:rPr>
                <w:rFonts w:hint="eastAsia"/>
                <w:sz w:val="28"/>
                <w:szCs w:val="28"/>
              </w:rPr>
              <w:t>罰金</w:t>
            </w:r>
          </w:p>
        </w:tc>
        <w:tc>
          <w:tcPr>
            <w:tcW w:w="813" w:type="dxa"/>
          </w:tcPr>
          <w:p w14:paraId="122375A7" w14:textId="77777777" w:rsidR="000B1C3C" w:rsidRPr="00C3310F" w:rsidRDefault="000B1C3C" w:rsidP="000B1C3C">
            <w:pPr>
              <w:rPr>
                <w:sz w:val="28"/>
                <w:szCs w:val="28"/>
              </w:rPr>
            </w:pPr>
            <w:r w:rsidRPr="00C3310F">
              <w:rPr>
                <w:rFonts w:hint="eastAsia"/>
                <w:sz w:val="28"/>
                <w:szCs w:val="28"/>
              </w:rPr>
              <w:t>免除其刑</w:t>
            </w:r>
          </w:p>
        </w:tc>
        <w:tc>
          <w:tcPr>
            <w:tcW w:w="1117" w:type="dxa"/>
          </w:tcPr>
          <w:p w14:paraId="75655464" w14:textId="77777777" w:rsidR="000B1C3C" w:rsidRPr="00C3310F" w:rsidRDefault="000B1C3C" w:rsidP="000B1C3C">
            <w:pPr>
              <w:rPr>
                <w:sz w:val="28"/>
                <w:szCs w:val="28"/>
              </w:rPr>
            </w:pPr>
            <w:r w:rsidRPr="00C3310F">
              <w:rPr>
                <w:rFonts w:hint="eastAsia"/>
                <w:sz w:val="28"/>
                <w:szCs w:val="28"/>
              </w:rPr>
              <w:t>有罪合計</w:t>
            </w:r>
          </w:p>
        </w:tc>
      </w:tr>
      <w:tr w:rsidR="00C3310F" w:rsidRPr="00C3310F" w14:paraId="45215803" w14:textId="77777777" w:rsidTr="006279B5">
        <w:tc>
          <w:tcPr>
            <w:tcW w:w="1240" w:type="dxa"/>
          </w:tcPr>
          <w:p w14:paraId="4346B327" w14:textId="77777777" w:rsidR="000B1C3C" w:rsidRPr="00C3310F" w:rsidRDefault="000B1C3C" w:rsidP="000B1C3C">
            <w:pPr>
              <w:rPr>
                <w:sz w:val="28"/>
                <w:szCs w:val="28"/>
              </w:rPr>
            </w:pPr>
            <w:r w:rsidRPr="00C3310F">
              <w:rPr>
                <w:rFonts w:hint="eastAsia"/>
                <w:sz w:val="28"/>
                <w:szCs w:val="28"/>
              </w:rPr>
              <w:t>109</w:t>
            </w:r>
          </w:p>
        </w:tc>
        <w:tc>
          <w:tcPr>
            <w:tcW w:w="1132" w:type="dxa"/>
          </w:tcPr>
          <w:p w14:paraId="0A53BF88" w14:textId="77777777" w:rsidR="000B1C3C" w:rsidRPr="00C3310F" w:rsidRDefault="000B1C3C" w:rsidP="000B1C3C">
            <w:pPr>
              <w:jc w:val="right"/>
              <w:rPr>
                <w:sz w:val="28"/>
                <w:szCs w:val="28"/>
              </w:rPr>
            </w:pPr>
            <w:r w:rsidRPr="00C3310F">
              <w:rPr>
                <w:rFonts w:hint="eastAsia"/>
                <w:sz w:val="28"/>
                <w:szCs w:val="28"/>
              </w:rPr>
              <w:t>4</w:t>
            </w:r>
            <w:r w:rsidR="006279B5" w:rsidRPr="00C3310F">
              <w:rPr>
                <w:rFonts w:hint="eastAsia"/>
                <w:sz w:val="28"/>
                <w:szCs w:val="28"/>
              </w:rPr>
              <w:t>,</w:t>
            </w:r>
            <w:r w:rsidRPr="00C3310F">
              <w:rPr>
                <w:rFonts w:hint="eastAsia"/>
                <w:sz w:val="28"/>
                <w:szCs w:val="28"/>
              </w:rPr>
              <w:t>758</w:t>
            </w:r>
          </w:p>
        </w:tc>
        <w:tc>
          <w:tcPr>
            <w:tcW w:w="1208" w:type="dxa"/>
          </w:tcPr>
          <w:p w14:paraId="49E76826" w14:textId="77777777" w:rsidR="000B1C3C" w:rsidRPr="00C3310F" w:rsidRDefault="000B1C3C" w:rsidP="000B1C3C">
            <w:pPr>
              <w:jc w:val="right"/>
              <w:rPr>
                <w:sz w:val="28"/>
                <w:szCs w:val="28"/>
              </w:rPr>
            </w:pPr>
            <w:r w:rsidRPr="00C3310F">
              <w:rPr>
                <w:rFonts w:hint="eastAsia"/>
                <w:sz w:val="28"/>
                <w:szCs w:val="28"/>
              </w:rPr>
              <w:t>651</w:t>
            </w:r>
          </w:p>
        </w:tc>
        <w:tc>
          <w:tcPr>
            <w:tcW w:w="989" w:type="dxa"/>
          </w:tcPr>
          <w:p w14:paraId="4D9345EE" w14:textId="77777777" w:rsidR="000B1C3C" w:rsidRPr="00C3310F" w:rsidRDefault="000B1C3C" w:rsidP="000B1C3C">
            <w:pPr>
              <w:jc w:val="right"/>
              <w:rPr>
                <w:sz w:val="28"/>
                <w:szCs w:val="28"/>
              </w:rPr>
            </w:pPr>
            <w:r w:rsidRPr="00C3310F">
              <w:rPr>
                <w:rFonts w:hint="eastAsia"/>
                <w:sz w:val="28"/>
                <w:szCs w:val="28"/>
              </w:rPr>
              <w:t>4</w:t>
            </w:r>
            <w:r w:rsidR="006279B5" w:rsidRPr="00C3310F">
              <w:rPr>
                <w:rFonts w:hint="eastAsia"/>
                <w:sz w:val="28"/>
                <w:szCs w:val="28"/>
              </w:rPr>
              <w:t>,</w:t>
            </w:r>
            <w:r w:rsidRPr="00C3310F">
              <w:rPr>
                <w:rFonts w:hint="eastAsia"/>
                <w:sz w:val="28"/>
                <w:szCs w:val="28"/>
              </w:rPr>
              <w:t>996</w:t>
            </w:r>
          </w:p>
        </w:tc>
        <w:tc>
          <w:tcPr>
            <w:tcW w:w="1082" w:type="dxa"/>
          </w:tcPr>
          <w:p w14:paraId="25EEAA48" w14:textId="77777777" w:rsidR="000B1C3C" w:rsidRPr="00C3310F" w:rsidRDefault="000B1C3C" w:rsidP="000B1C3C">
            <w:pPr>
              <w:jc w:val="right"/>
              <w:rPr>
                <w:sz w:val="28"/>
                <w:szCs w:val="28"/>
              </w:rPr>
            </w:pPr>
            <w:r w:rsidRPr="00C3310F">
              <w:rPr>
                <w:rFonts w:hint="eastAsia"/>
                <w:sz w:val="28"/>
                <w:szCs w:val="28"/>
              </w:rPr>
              <w:t>329</w:t>
            </w:r>
          </w:p>
        </w:tc>
        <w:tc>
          <w:tcPr>
            <w:tcW w:w="830" w:type="dxa"/>
          </w:tcPr>
          <w:p w14:paraId="5007586F" w14:textId="77777777" w:rsidR="000B1C3C" w:rsidRPr="00C3310F" w:rsidRDefault="000B1C3C" w:rsidP="000B1C3C">
            <w:pPr>
              <w:jc w:val="right"/>
              <w:rPr>
                <w:sz w:val="28"/>
                <w:szCs w:val="28"/>
              </w:rPr>
            </w:pPr>
            <w:r w:rsidRPr="00C3310F">
              <w:rPr>
                <w:rFonts w:hint="eastAsia"/>
                <w:sz w:val="28"/>
                <w:szCs w:val="28"/>
              </w:rPr>
              <w:t>76</w:t>
            </w:r>
          </w:p>
        </w:tc>
        <w:tc>
          <w:tcPr>
            <w:tcW w:w="967" w:type="dxa"/>
          </w:tcPr>
          <w:p w14:paraId="44D870B7" w14:textId="77777777" w:rsidR="000B1C3C" w:rsidRPr="00C3310F" w:rsidRDefault="000B1C3C" w:rsidP="000B1C3C">
            <w:pPr>
              <w:jc w:val="right"/>
              <w:rPr>
                <w:sz w:val="28"/>
                <w:szCs w:val="28"/>
              </w:rPr>
            </w:pPr>
            <w:r w:rsidRPr="00C3310F">
              <w:rPr>
                <w:rFonts w:hint="eastAsia"/>
                <w:sz w:val="28"/>
                <w:szCs w:val="28"/>
              </w:rPr>
              <w:t>2</w:t>
            </w:r>
            <w:r w:rsidR="006279B5" w:rsidRPr="00C3310F">
              <w:rPr>
                <w:rFonts w:hint="eastAsia"/>
                <w:sz w:val="28"/>
                <w:szCs w:val="28"/>
              </w:rPr>
              <w:t>,</w:t>
            </w:r>
            <w:r w:rsidRPr="00C3310F">
              <w:rPr>
                <w:rFonts w:hint="eastAsia"/>
                <w:sz w:val="28"/>
                <w:szCs w:val="28"/>
              </w:rPr>
              <w:t>415</w:t>
            </w:r>
          </w:p>
        </w:tc>
        <w:tc>
          <w:tcPr>
            <w:tcW w:w="687" w:type="dxa"/>
          </w:tcPr>
          <w:p w14:paraId="3E6906E1" w14:textId="77777777" w:rsidR="000B1C3C" w:rsidRPr="00C3310F" w:rsidRDefault="000B1C3C" w:rsidP="000B1C3C">
            <w:pPr>
              <w:jc w:val="right"/>
              <w:rPr>
                <w:sz w:val="28"/>
                <w:szCs w:val="28"/>
              </w:rPr>
            </w:pPr>
            <w:r w:rsidRPr="00C3310F">
              <w:rPr>
                <w:rFonts w:hint="eastAsia"/>
                <w:sz w:val="28"/>
                <w:szCs w:val="28"/>
              </w:rPr>
              <w:t>37</w:t>
            </w:r>
          </w:p>
        </w:tc>
        <w:tc>
          <w:tcPr>
            <w:tcW w:w="813" w:type="dxa"/>
          </w:tcPr>
          <w:p w14:paraId="5E39BCE1" w14:textId="77777777" w:rsidR="000B1C3C" w:rsidRPr="00C3310F" w:rsidRDefault="000B1C3C" w:rsidP="000B1C3C">
            <w:pPr>
              <w:jc w:val="right"/>
              <w:rPr>
                <w:sz w:val="28"/>
                <w:szCs w:val="28"/>
              </w:rPr>
            </w:pPr>
            <w:r w:rsidRPr="00C3310F">
              <w:rPr>
                <w:rFonts w:hint="eastAsia"/>
                <w:sz w:val="28"/>
                <w:szCs w:val="28"/>
              </w:rPr>
              <w:t>10</w:t>
            </w:r>
          </w:p>
        </w:tc>
        <w:tc>
          <w:tcPr>
            <w:tcW w:w="1117" w:type="dxa"/>
          </w:tcPr>
          <w:p w14:paraId="680FE717" w14:textId="77777777" w:rsidR="000B1C3C" w:rsidRPr="00C3310F" w:rsidRDefault="000B1C3C" w:rsidP="000B1C3C">
            <w:pPr>
              <w:jc w:val="right"/>
              <w:rPr>
                <w:sz w:val="28"/>
                <w:szCs w:val="28"/>
              </w:rPr>
            </w:pPr>
            <w:r w:rsidRPr="00C3310F">
              <w:rPr>
                <w:rFonts w:hint="eastAsia"/>
                <w:sz w:val="28"/>
                <w:szCs w:val="28"/>
              </w:rPr>
              <w:t>13</w:t>
            </w:r>
            <w:r w:rsidR="006279B5" w:rsidRPr="00C3310F">
              <w:rPr>
                <w:rFonts w:hint="eastAsia"/>
                <w:sz w:val="28"/>
                <w:szCs w:val="28"/>
              </w:rPr>
              <w:t>,</w:t>
            </w:r>
            <w:r w:rsidRPr="00C3310F">
              <w:rPr>
                <w:rFonts w:hint="eastAsia"/>
                <w:sz w:val="28"/>
                <w:szCs w:val="28"/>
              </w:rPr>
              <w:t>272</w:t>
            </w:r>
          </w:p>
        </w:tc>
      </w:tr>
      <w:tr w:rsidR="00C3310F" w:rsidRPr="00C3310F" w14:paraId="37B3E434" w14:textId="77777777" w:rsidTr="006279B5">
        <w:tc>
          <w:tcPr>
            <w:tcW w:w="1240" w:type="dxa"/>
          </w:tcPr>
          <w:p w14:paraId="2B3A5231" w14:textId="77777777" w:rsidR="000B1C3C" w:rsidRPr="00C3310F" w:rsidRDefault="000B1C3C" w:rsidP="000B1C3C">
            <w:pPr>
              <w:rPr>
                <w:sz w:val="28"/>
                <w:szCs w:val="28"/>
              </w:rPr>
            </w:pPr>
            <w:r w:rsidRPr="00C3310F">
              <w:rPr>
                <w:rFonts w:hint="eastAsia"/>
                <w:sz w:val="28"/>
                <w:szCs w:val="28"/>
              </w:rPr>
              <w:t>110</w:t>
            </w:r>
          </w:p>
        </w:tc>
        <w:tc>
          <w:tcPr>
            <w:tcW w:w="1132" w:type="dxa"/>
          </w:tcPr>
          <w:p w14:paraId="776FF93D" w14:textId="77777777" w:rsidR="000B1C3C" w:rsidRPr="00C3310F" w:rsidRDefault="000B1C3C" w:rsidP="000B1C3C">
            <w:pPr>
              <w:jc w:val="right"/>
              <w:rPr>
                <w:sz w:val="28"/>
                <w:szCs w:val="28"/>
              </w:rPr>
            </w:pPr>
            <w:r w:rsidRPr="00C3310F">
              <w:rPr>
                <w:rFonts w:hint="eastAsia"/>
                <w:sz w:val="28"/>
                <w:szCs w:val="28"/>
              </w:rPr>
              <w:t>4</w:t>
            </w:r>
            <w:r w:rsidR="006279B5" w:rsidRPr="00C3310F">
              <w:rPr>
                <w:rFonts w:hint="eastAsia"/>
                <w:sz w:val="28"/>
                <w:szCs w:val="28"/>
              </w:rPr>
              <w:t>,</w:t>
            </w:r>
            <w:r w:rsidRPr="00C3310F">
              <w:rPr>
                <w:rFonts w:hint="eastAsia"/>
                <w:sz w:val="28"/>
                <w:szCs w:val="28"/>
              </w:rPr>
              <w:t>247</w:t>
            </w:r>
          </w:p>
        </w:tc>
        <w:tc>
          <w:tcPr>
            <w:tcW w:w="1208" w:type="dxa"/>
          </w:tcPr>
          <w:p w14:paraId="1DB99864" w14:textId="77777777" w:rsidR="000B1C3C" w:rsidRPr="00C3310F" w:rsidRDefault="000B1C3C" w:rsidP="000B1C3C">
            <w:pPr>
              <w:jc w:val="right"/>
              <w:rPr>
                <w:sz w:val="28"/>
                <w:szCs w:val="28"/>
              </w:rPr>
            </w:pPr>
            <w:r w:rsidRPr="00C3310F">
              <w:rPr>
                <w:rFonts w:hint="eastAsia"/>
                <w:sz w:val="28"/>
                <w:szCs w:val="28"/>
              </w:rPr>
              <w:t>514</w:t>
            </w:r>
          </w:p>
        </w:tc>
        <w:tc>
          <w:tcPr>
            <w:tcW w:w="989" w:type="dxa"/>
          </w:tcPr>
          <w:p w14:paraId="7417F849" w14:textId="77777777" w:rsidR="000B1C3C" w:rsidRPr="00C3310F" w:rsidRDefault="000B1C3C" w:rsidP="000B1C3C">
            <w:pPr>
              <w:jc w:val="right"/>
              <w:rPr>
                <w:sz w:val="28"/>
                <w:szCs w:val="28"/>
              </w:rPr>
            </w:pPr>
            <w:r w:rsidRPr="00C3310F">
              <w:rPr>
                <w:rFonts w:hint="eastAsia"/>
                <w:sz w:val="28"/>
                <w:szCs w:val="28"/>
              </w:rPr>
              <w:t>5</w:t>
            </w:r>
            <w:r w:rsidR="006279B5" w:rsidRPr="00C3310F">
              <w:rPr>
                <w:rFonts w:hint="eastAsia"/>
                <w:sz w:val="28"/>
                <w:szCs w:val="28"/>
              </w:rPr>
              <w:t>,</w:t>
            </w:r>
            <w:r w:rsidRPr="00C3310F">
              <w:rPr>
                <w:rFonts w:hint="eastAsia"/>
                <w:sz w:val="28"/>
                <w:szCs w:val="28"/>
              </w:rPr>
              <w:t>742</w:t>
            </w:r>
          </w:p>
        </w:tc>
        <w:tc>
          <w:tcPr>
            <w:tcW w:w="1082" w:type="dxa"/>
          </w:tcPr>
          <w:p w14:paraId="569CFF0E" w14:textId="77777777" w:rsidR="000B1C3C" w:rsidRPr="00C3310F" w:rsidRDefault="000B1C3C" w:rsidP="000B1C3C">
            <w:pPr>
              <w:jc w:val="right"/>
              <w:rPr>
                <w:sz w:val="28"/>
                <w:szCs w:val="28"/>
              </w:rPr>
            </w:pPr>
            <w:r w:rsidRPr="00C3310F">
              <w:rPr>
                <w:rFonts w:hint="eastAsia"/>
                <w:sz w:val="28"/>
                <w:szCs w:val="28"/>
              </w:rPr>
              <w:t>284</w:t>
            </w:r>
          </w:p>
        </w:tc>
        <w:tc>
          <w:tcPr>
            <w:tcW w:w="830" w:type="dxa"/>
          </w:tcPr>
          <w:p w14:paraId="5FF1A3B6" w14:textId="77777777" w:rsidR="000B1C3C" w:rsidRPr="00C3310F" w:rsidRDefault="000B1C3C" w:rsidP="000B1C3C">
            <w:pPr>
              <w:jc w:val="right"/>
              <w:rPr>
                <w:sz w:val="28"/>
                <w:szCs w:val="28"/>
              </w:rPr>
            </w:pPr>
            <w:r w:rsidRPr="00C3310F">
              <w:rPr>
                <w:rFonts w:hint="eastAsia"/>
                <w:sz w:val="28"/>
                <w:szCs w:val="28"/>
              </w:rPr>
              <w:t>117</w:t>
            </w:r>
          </w:p>
        </w:tc>
        <w:tc>
          <w:tcPr>
            <w:tcW w:w="967" w:type="dxa"/>
          </w:tcPr>
          <w:p w14:paraId="54225EF9" w14:textId="77777777" w:rsidR="000B1C3C" w:rsidRPr="00C3310F" w:rsidRDefault="000B1C3C" w:rsidP="000B1C3C">
            <w:pPr>
              <w:jc w:val="right"/>
              <w:rPr>
                <w:sz w:val="28"/>
                <w:szCs w:val="28"/>
              </w:rPr>
            </w:pPr>
            <w:r w:rsidRPr="00C3310F">
              <w:rPr>
                <w:rFonts w:hint="eastAsia"/>
                <w:sz w:val="28"/>
                <w:szCs w:val="28"/>
              </w:rPr>
              <w:t>1</w:t>
            </w:r>
            <w:r w:rsidR="006279B5" w:rsidRPr="00C3310F">
              <w:rPr>
                <w:rFonts w:hint="eastAsia"/>
                <w:sz w:val="28"/>
                <w:szCs w:val="28"/>
              </w:rPr>
              <w:t>,</w:t>
            </w:r>
            <w:r w:rsidRPr="00C3310F">
              <w:rPr>
                <w:rFonts w:hint="eastAsia"/>
                <w:sz w:val="28"/>
                <w:szCs w:val="28"/>
              </w:rPr>
              <w:t>661</w:t>
            </w:r>
          </w:p>
        </w:tc>
        <w:tc>
          <w:tcPr>
            <w:tcW w:w="687" w:type="dxa"/>
          </w:tcPr>
          <w:p w14:paraId="45A258D6" w14:textId="77777777" w:rsidR="000B1C3C" w:rsidRPr="00C3310F" w:rsidRDefault="000B1C3C" w:rsidP="000B1C3C">
            <w:pPr>
              <w:jc w:val="right"/>
              <w:rPr>
                <w:sz w:val="28"/>
                <w:szCs w:val="28"/>
              </w:rPr>
            </w:pPr>
            <w:r w:rsidRPr="00C3310F">
              <w:rPr>
                <w:rFonts w:hint="eastAsia"/>
                <w:sz w:val="28"/>
                <w:szCs w:val="28"/>
              </w:rPr>
              <w:t>31</w:t>
            </w:r>
          </w:p>
        </w:tc>
        <w:tc>
          <w:tcPr>
            <w:tcW w:w="813" w:type="dxa"/>
          </w:tcPr>
          <w:p w14:paraId="0036F68B" w14:textId="77777777" w:rsidR="000B1C3C" w:rsidRPr="00C3310F" w:rsidRDefault="000B1C3C" w:rsidP="000B1C3C">
            <w:pPr>
              <w:jc w:val="right"/>
              <w:rPr>
                <w:sz w:val="28"/>
                <w:szCs w:val="28"/>
              </w:rPr>
            </w:pPr>
            <w:r w:rsidRPr="00C3310F">
              <w:rPr>
                <w:rFonts w:hint="eastAsia"/>
                <w:sz w:val="28"/>
                <w:szCs w:val="28"/>
              </w:rPr>
              <w:t>8</w:t>
            </w:r>
          </w:p>
        </w:tc>
        <w:tc>
          <w:tcPr>
            <w:tcW w:w="1117" w:type="dxa"/>
          </w:tcPr>
          <w:p w14:paraId="579CDC15" w14:textId="77777777" w:rsidR="000B1C3C" w:rsidRPr="00C3310F" w:rsidRDefault="000B1C3C" w:rsidP="000B1C3C">
            <w:pPr>
              <w:jc w:val="right"/>
              <w:rPr>
                <w:sz w:val="28"/>
                <w:szCs w:val="28"/>
              </w:rPr>
            </w:pPr>
            <w:r w:rsidRPr="00C3310F">
              <w:rPr>
                <w:rFonts w:hint="eastAsia"/>
                <w:sz w:val="28"/>
                <w:szCs w:val="28"/>
              </w:rPr>
              <w:t>12</w:t>
            </w:r>
            <w:r w:rsidR="006279B5" w:rsidRPr="00C3310F">
              <w:rPr>
                <w:rFonts w:hint="eastAsia"/>
                <w:sz w:val="28"/>
                <w:szCs w:val="28"/>
              </w:rPr>
              <w:t>,</w:t>
            </w:r>
            <w:r w:rsidRPr="00C3310F">
              <w:rPr>
                <w:rFonts w:hint="eastAsia"/>
                <w:sz w:val="28"/>
                <w:szCs w:val="28"/>
              </w:rPr>
              <w:t>604</w:t>
            </w:r>
          </w:p>
        </w:tc>
      </w:tr>
      <w:tr w:rsidR="00C3310F" w:rsidRPr="00C3310F" w14:paraId="6B89454D" w14:textId="77777777" w:rsidTr="006279B5">
        <w:tc>
          <w:tcPr>
            <w:tcW w:w="1240" w:type="dxa"/>
          </w:tcPr>
          <w:p w14:paraId="0B466733" w14:textId="77777777" w:rsidR="000B1C3C" w:rsidRPr="00C3310F" w:rsidRDefault="000B1C3C" w:rsidP="000B1C3C">
            <w:pPr>
              <w:rPr>
                <w:sz w:val="28"/>
                <w:szCs w:val="28"/>
              </w:rPr>
            </w:pPr>
            <w:r w:rsidRPr="00C3310F">
              <w:rPr>
                <w:rFonts w:hint="eastAsia"/>
                <w:sz w:val="28"/>
                <w:szCs w:val="28"/>
              </w:rPr>
              <w:t>111</w:t>
            </w:r>
          </w:p>
        </w:tc>
        <w:tc>
          <w:tcPr>
            <w:tcW w:w="1132" w:type="dxa"/>
          </w:tcPr>
          <w:p w14:paraId="26F1CDDF" w14:textId="77777777" w:rsidR="000B1C3C" w:rsidRPr="00C3310F" w:rsidRDefault="000B1C3C" w:rsidP="000B1C3C">
            <w:pPr>
              <w:jc w:val="right"/>
              <w:rPr>
                <w:sz w:val="28"/>
                <w:szCs w:val="28"/>
              </w:rPr>
            </w:pPr>
            <w:r w:rsidRPr="00C3310F">
              <w:rPr>
                <w:rFonts w:hint="eastAsia"/>
                <w:sz w:val="28"/>
                <w:szCs w:val="28"/>
              </w:rPr>
              <w:t>10</w:t>
            </w:r>
            <w:r w:rsidR="006279B5" w:rsidRPr="00C3310F">
              <w:rPr>
                <w:rFonts w:hint="eastAsia"/>
                <w:sz w:val="28"/>
                <w:szCs w:val="28"/>
              </w:rPr>
              <w:t>,</w:t>
            </w:r>
            <w:r w:rsidRPr="00C3310F">
              <w:rPr>
                <w:rFonts w:hint="eastAsia"/>
                <w:sz w:val="28"/>
                <w:szCs w:val="28"/>
              </w:rPr>
              <w:t>554</w:t>
            </w:r>
          </w:p>
        </w:tc>
        <w:tc>
          <w:tcPr>
            <w:tcW w:w="1208" w:type="dxa"/>
          </w:tcPr>
          <w:p w14:paraId="25739C49" w14:textId="77777777" w:rsidR="000B1C3C" w:rsidRPr="00C3310F" w:rsidRDefault="000B1C3C" w:rsidP="000B1C3C">
            <w:pPr>
              <w:jc w:val="right"/>
              <w:rPr>
                <w:sz w:val="28"/>
                <w:szCs w:val="28"/>
              </w:rPr>
            </w:pPr>
            <w:r w:rsidRPr="00C3310F">
              <w:rPr>
                <w:rFonts w:hint="eastAsia"/>
                <w:sz w:val="28"/>
                <w:szCs w:val="28"/>
              </w:rPr>
              <w:t>585</w:t>
            </w:r>
          </w:p>
        </w:tc>
        <w:tc>
          <w:tcPr>
            <w:tcW w:w="989" w:type="dxa"/>
          </w:tcPr>
          <w:p w14:paraId="5F3F5FCE" w14:textId="77777777" w:rsidR="000B1C3C" w:rsidRPr="00C3310F" w:rsidRDefault="000B1C3C" w:rsidP="000B1C3C">
            <w:pPr>
              <w:jc w:val="right"/>
              <w:rPr>
                <w:sz w:val="28"/>
                <w:szCs w:val="28"/>
              </w:rPr>
            </w:pPr>
            <w:r w:rsidRPr="00C3310F">
              <w:rPr>
                <w:rFonts w:hint="eastAsia"/>
                <w:sz w:val="28"/>
                <w:szCs w:val="28"/>
              </w:rPr>
              <w:t>7</w:t>
            </w:r>
            <w:r w:rsidR="006279B5" w:rsidRPr="00C3310F">
              <w:rPr>
                <w:rFonts w:hint="eastAsia"/>
                <w:sz w:val="28"/>
                <w:szCs w:val="28"/>
              </w:rPr>
              <w:t>,</w:t>
            </w:r>
            <w:r w:rsidRPr="00C3310F">
              <w:rPr>
                <w:rFonts w:hint="eastAsia"/>
                <w:sz w:val="28"/>
                <w:szCs w:val="28"/>
              </w:rPr>
              <w:t>055</w:t>
            </w:r>
          </w:p>
        </w:tc>
        <w:tc>
          <w:tcPr>
            <w:tcW w:w="1082" w:type="dxa"/>
          </w:tcPr>
          <w:p w14:paraId="1D4B4006" w14:textId="77777777" w:rsidR="000B1C3C" w:rsidRPr="00C3310F" w:rsidRDefault="000B1C3C" w:rsidP="000B1C3C">
            <w:pPr>
              <w:jc w:val="right"/>
              <w:rPr>
                <w:sz w:val="28"/>
                <w:szCs w:val="28"/>
              </w:rPr>
            </w:pPr>
            <w:r w:rsidRPr="00C3310F">
              <w:rPr>
                <w:rFonts w:hint="eastAsia"/>
                <w:sz w:val="28"/>
                <w:szCs w:val="28"/>
              </w:rPr>
              <w:t>224</w:t>
            </w:r>
          </w:p>
        </w:tc>
        <w:tc>
          <w:tcPr>
            <w:tcW w:w="830" w:type="dxa"/>
          </w:tcPr>
          <w:p w14:paraId="6AE3E604" w14:textId="77777777" w:rsidR="000B1C3C" w:rsidRPr="00C3310F" w:rsidRDefault="000B1C3C" w:rsidP="000B1C3C">
            <w:pPr>
              <w:jc w:val="right"/>
              <w:rPr>
                <w:sz w:val="28"/>
                <w:szCs w:val="28"/>
              </w:rPr>
            </w:pPr>
            <w:r w:rsidRPr="00C3310F">
              <w:rPr>
                <w:rFonts w:hint="eastAsia"/>
                <w:sz w:val="28"/>
                <w:szCs w:val="28"/>
              </w:rPr>
              <w:t>71</w:t>
            </w:r>
          </w:p>
        </w:tc>
        <w:tc>
          <w:tcPr>
            <w:tcW w:w="967" w:type="dxa"/>
          </w:tcPr>
          <w:p w14:paraId="43FC1E5D" w14:textId="77777777" w:rsidR="000B1C3C" w:rsidRPr="00C3310F" w:rsidRDefault="000B1C3C" w:rsidP="000B1C3C">
            <w:pPr>
              <w:jc w:val="right"/>
              <w:rPr>
                <w:sz w:val="28"/>
                <w:szCs w:val="28"/>
              </w:rPr>
            </w:pPr>
            <w:r w:rsidRPr="00C3310F">
              <w:rPr>
                <w:rFonts w:hint="eastAsia"/>
                <w:sz w:val="28"/>
                <w:szCs w:val="28"/>
              </w:rPr>
              <w:t>1</w:t>
            </w:r>
            <w:r w:rsidR="006279B5" w:rsidRPr="00C3310F">
              <w:rPr>
                <w:rFonts w:hint="eastAsia"/>
                <w:sz w:val="28"/>
                <w:szCs w:val="28"/>
              </w:rPr>
              <w:t>,</w:t>
            </w:r>
            <w:r w:rsidRPr="00C3310F">
              <w:rPr>
                <w:rFonts w:hint="eastAsia"/>
                <w:sz w:val="28"/>
                <w:szCs w:val="28"/>
              </w:rPr>
              <w:t>206</w:t>
            </w:r>
          </w:p>
        </w:tc>
        <w:tc>
          <w:tcPr>
            <w:tcW w:w="687" w:type="dxa"/>
          </w:tcPr>
          <w:p w14:paraId="3A25B9D1" w14:textId="77777777" w:rsidR="000B1C3C" w:rsidRPr="00C3310F" w:rsidRDefault="000B1C3C" w:rsidP="000B1C3C">
            <w:pPr>
              <w:jc w:val="right"/>
              <w:rPr>
                <w:sz w:val="28"/>
                <w:szCs w:val="28"/>
              </w:rPr>
            </w:pPr>
            <w:r w:rsidRPr="00C3310F">
              <w:rPr>
                <w:rFonts w:hint="eastAsia"/>
                <w:sz w:val="28"/>
                <w:szCs w:val="28"/>
              </w:rPr>
              <w:t>29</w:t>
            </w:r>
          </w:p>
        </w:tc>
        <w:tc>
          <w:tcPr>
            <w:tcW w:w="813" w:type="dxa"/>
          </w:tcPr>
          <w:p w14:paraId="54564D35" w14:textId="77777777" w:rsidR="000B1C3C" w:rsidRPr="00C3310F" w:rsidRDefault="000B1C3C" w:rsidP="000B1C3C">
            <w:pPr>
              <w:jc w:val="right"/>
              <w:rPr>
                <w:sz w:val="28"/>
                <w:szCs w:val="28"/>
              </w:rPr>
            </w:pPr>
            <w:r w:rsidRPr="00C3310F">
              <w:rPr>
                <w:rFonts w:hint="eastAsia"/>
                <w:sz w:val="28"/>
                <w:szCs w:val="28"/>
              </w:rPr>
              <w:t>5</w:t>
            </w:r>
          </w:p>
        </w:tc>
        <w:tc>
          <w:tcPr>
            <w:tcW w:w="1117" w:type="dxa"/>
          </w:tcPr>
          <w:p w14:paraId="0DDCD2A2" w14:textId="77777777" w:rsidR="000B1C3C" w:rsidRPr="00C3310F" w:rsidRDefault="000B1C3C" w:rsidP="000B1C3C">
            <w:pPr>
              <w:jc w:val="right"/>
              <w:rPr>
                <w:sz w:val="28"/>
                <w:szCs w:val="28"/>
              </w:rPr>
            </w:pPr>
            <w:r w:rsidRPr="00C3310F">
              <w:rPr>
                <w:rFonts w:hint="eastAsia"/>
                <w:sz w:val="28"/>
                <w:szCs w:val="28"/>
              </w:rPr>
              <w:t>19</w:t>
            </w:r>
            <w:r w:rsidR="006279B5" w:rsidRPr="00C3310F">
              <w:rPr>
                <w:rFonts w:hint="eastAsia"/>
                <w:sz w:val="28"/>
                <w:szCs w:val="28"/>
              </w:rPr>
              <w:t>,</w:t>
            </w:r>
            <w:r w:rsidRPr="00C3310F">
              <w:rPr>
                <w:rFonts w:hint="eastAsia"/>
                <w:sz w:val="28"/>
                <w:szCs w:val="28"/>
              </w:rPr>
              <w:t>729</w:t>
            </w:r>
          </w:p>
        </w:tc>
      </w:tr>
      <w:tr w:rsidR="00C3310F" w:rsidRPr="00C3310F" w14:paraId="3208A2AF" w14:textId="77777777" w:rsidTr="006279B5">
        <w:tc>
          <w:tcPr>
            <w:tcW w:w="1240" w:type="dxa"/>
          </w:tcPr>
          <w:p w14:paraId="0C347A82" w14:textId="77777777" w:rsidR="000B1C3C" w:rsidRPr="00C3310F" w:rsidRDefault="000B1C3C" w:rsidP="000B1C3C">
            <w:pPr>
              <w:rPr>
                <w:sz w:val="28"/>
                <w:szCs w:val="28"/>
              </w:rPr>
            </w:pPr>
            <w:r w:rsidRPr="00C3310F">
              <w:rPr>
                <w:rFonts w:hint="eastAsia"/>
                <w:sz w:val="28"/>
                <w:szCs w:val="28"/>
              </w:rPr>
              <w:t>112</w:t>
            </w:r>
          </w:p>
          <w:p w14:paraId="544C977B" w14:textId="77777777" w:rsidR="000B1C3C" w:rsidRPr="00C3310F" w:rsidRDefault="000B1C3C" w:rsidP="000B1C3C">
            <w:r w:rsidRPr="00C3310F">
              <w:rPr>
                <w:rFonts w:hint="eastAsia"/>
                <w:sz w:val="20"/>
              </w:rPr>
              <w:t>(1~9月)</w:t>
            </w:r>
          </w:p>
        </w:tc>
        <w:tc>
          <w:tcPr>
            <w:tcW w:w="1132" w:type="dxa"/>
          </w:tcPr>
          <w:p w14:paraId="195C23C0" w14:textId="77777777" w:rsidR="000B1C3C" w:rsidRPr="00C3310F" w:rsidRDefault="000B1C3C" w:rsidP="000B1C3C">
            <w:pPr>
              <w:jc w:val="right"/>
              <w:rPr>
                <w:sz w:val="28"/>
                <w:szCs w:val="28"/>
              </w:rPr>
            </w:pPr>
            <w:r w:rsidRPr="00C3310F">
              <w:rPr>
                <w:rFonts w:hint="eastAsia"/>
                <w:sz w:val="28"/>
                <w:szCs w:val="28"/>
              </w:rPr>
              <w:t>12</w:t>
            </w:r>
            <w:r w:rsidR="006279B5" w:rsidRPr="00C3310F">
              <w:rPr>
                <w:rFonts w:hint="eastAsia"/>
                <w:sz w:val="28"/>
                <w:szCs w:val="28"/>
              </w:rPr>
              <w:t>,</w:t>
            </w:r>
            <w:r w:rsidRPr="00C3310F">
              <w:rPr>
                <w:rFonts w:hint="eastAsia"/>
                <w:sz w:val="28"/>
                <w:szCs w:val="28"/>
              </w:rPr>
              <w:t>380</w:t>
            </w:r>
          </w:p>
        </w:tc>
        <w:tc>
          <w:tcPr>
            <w:tcW w:w="1208" w:type="dxa"/>
          </w:tcPr>
          <w:p w14:paraId="7ED43CF6" w14:textId="77777777" w:rsidR="000B1C3C" w:rsidRPr="00C3310F" w:rsidRDefault="000B1C3C" w:rsidP="000B1C3C">
            <w:pPr>
              <w:jc w:val="right"/>
              <w:rPr>
                <w:sz w:val="28"/>
                <w:szCs w:val="28"/>
              </w:rPr>
            </w:pPr>
            <w:r w:rsidRPr="00C3310F">
              <w:rPr>
                <w:rFonts w:hint="eastAsia"/>
                <w:sz w:val="28"/>
                <w:szCs w:val="28"/>
              </w:rPr>
              <w:t>594</w:t>
            </w:r>
          </w:p>
        </w:tc>
        <w:tc>
          <w:tcPr>
            <w:tcW w:w="989" w:type="dxa"/>
          </w:tcPr>
          <w:p w14:paraId="2F339CC2" w14:textId="77777777" w:rsidR="000B1C3C" w:rsidRPr="00C3310F" w:rsidRDefault="000B1C3C" w:rsidP="000B1C3C">
            <w:pPr>
              <w:jc w:val="right"/>
              <w:rPr>
                <w:sz w:val="28"/>
                <w:szCs w:val="28"/>
              </w:rPr>
            </w:pPr>
            <w:r w:rsidRPr="00C3310F">
              <w:rPr>
                <w:rFonts w:hint="eastAsia"/>
                <w:sz w:val="28"/>
                <w:szCs w:val="28"/>
              </w:rPr>
              <w:t>6</w:t>
            </w:r>
            <w:r w:rsidR="006279B5" w:rsidRPr="00C3310F">
              <w:rPr>
                <w:rFonts w:hint="eastAsia"/>
                <w:sz w:val="28"/>
                <w:szCs w:val="28"/>
              </w:rPr>
              <w:t>,</w:t>
            </w:r>
            <w:r w:rsidRPr="00C3310F">
              <w:rPr>
                <w:rFonts w:hint="eastAsia"/>
                <w:sz w:val="28"/>
                <w:szCs w:val="28"/>
              </w:rPr>
              <w:t>196</w:t>
            </w:r>
          </w:p>
        </w:tc>
        <w:tc>
          <w:tcPr>
            <w:tcW w:w="1082" w:type="dxa"/>
          </w:tcPr>
          <w:p w14:paraId="6A118DD3" w14:textId="77777777" w:rsidR="000B1C3C" w:rsidRPr="00C3310F" w:rsidRDefault="000B1C3C" w:rsidP="000B1C3C">
            <w:pPr>
              <w:jc w:val="right"/>
              <w:rPr>
                <w:sz w:val="28"/>
                <w:szCs w:val="28"/>
              </w:rPr>
            </w:pPr>
            <w:r w:rsidRPr="00C3310F">
              <w:rPr>
                <w:rFonts w:hint="eastAsia"/>
                <w:sz w:val="28"/>
                <w:szCs w:val="28"/>
              </w:rPr>
              <w:t>183</w:t>
            </w:r>
          </w:p>
        </w:tc>
        <w:tc>
          <w:tcPr>
            <w:tcW w:w="830" w:type="dxa"/>
          </w:tcPr>
          <w:p w14:paraId="3E7ABF34" w14:textId="77777777" w:rsidR="000B1C3C" w:rsidRPr="00C3310F" w:rsidRDefault="000B1C3C" w:rsidP="000B1C3C">
            <w:pPr>
              <w:jc w:val="right"/>
              <w:rPr>
                <w:sz w:val="28"/>
                <w:szCs w:val="28"/>
              </w:rPr>
            </w:pPr>
            <w:r w:rsidRPr="00C3310F">
              <w:rPr>
                <w:rFonts w:hint="eastAsia"/>
                <w:sz w:val="28"/>
                <w:szCs w:val="28"/>
              </w:rPr>
              <w:t>61</w:t>
            </w:r>
          </w:p>
        </w:tc>
        <w:tc>
          <w:tcPr>
            <w:tcW w:w="967" w:type="dxa"/>
          </w:tcPr>
          <w:p w14:paraId="060608C8" w14:textId="77777777" w:rsidR="000B1C3C" w:rsidRPr="00C3310F" w:rsidRDefault="000B1C3C" w:rsidP="000B1C3C">
            <w:pPr>
              <w:jc w:val="right"/>
              <w:rPr>
                <w:sz w:val="28"/>
                <w:szCs w:val="28"/>
              </w:rPr>
            </w:pPr>
            <w:r w:rsidRPr="00C3310F">
              <w:rPr>
                <w:rFonts w:hint="eastAsia"/>
                <w:sz w:val="28"/>
                <w:szCs w:val="28"/>
              </w:rPr>
              <w:t>611</w:t>
            </w:r>
          </w:p>
        </w:tc>
        <w:tc>
          <w:tcPr>
            <w:tcW w:w="687" w:type="dxa"/>
          </w:tcPr>
          <w:p w14:paraId="308BA0CC" w14:textId="77777777" w:rsidR="000B1C3C" w:rsidRPr="00C3310F" w:rsidRDefault="000B1C3C" w:rsidP="000B1C3C">
            <w:pPr>
              <w:jc w:val="right"/>
              <w:rPr>
                <w:sz w:val="28"/>
                <w:szCs w:val="28"/>
              </w:rPr>
            </w:pPr>
            <w:r w:rsidRPr="00C3310F">
              <w:rPr>
                <w:rFonts w:hint="eastAsia"/>
                <w:sz w:val="28"/>
                <w:szCs w:val="28"/>
              </w:rPr>
              <w:t>28</w:t>
            </w:r>
          </w:p>
        </w:tc>
        <w:tc>
          <w:tcPr>
            <w:tcW w:w="813" w:type="dxa"/>
          </w:tcPr>
          <w:p w14:paraId="77A4782A" w14:textId="77777777" w:rsidR="000B1C3C" w:rsidRPr="00C3310F" w:rsidRDefault="000B1C3C" w:rsidP="000B1C3C">
            <w:pPr>
              <w:jc w:val="right"/>
              <w:rPr>
                <w:sz w:val="28"/>
                <w:szCs w:val="28"/>
              </w:rPr>
            </w:pPr>
            <w:r w:rsidRPr="00C3310F">
              <w:rPr>
                <w:rFonts w:hint="eastAsia"/>
                <w:sz w:val="28"/>
                <w:szCs w:val="28"/>
              </w:rPr>
              <w:t>0</w:t>
            </w:r>
          </w:p>
        </w:tc>
        <w:tc>
          <w:tcPr>
            <w:tcW w:w="1117" w:type="dxa"/>
          </w:tcPr>
          <w:p w14:paraId="7BA2DD17" w14:textId="77777777" w:rsidR="000B1C3C" w:rsidRPr="00C3310F" w:rsidRDefault="000B1C3C" w:rsidP="000B1C3C">
            <w:pPr>
              <w:jc w:val="right"/>
              <w:rPr>
                <w:sz w:val="28"/>
                <w:szCs w:val="28"/>
              </w:rPr>
            </w:pPr>
            <w:r w:rsidRPr="00C3310F">
              <w:rPr>
                <w:rFonts w:hint="eastAsia"/>
                <w:sz w:val="28"/>
                <w:szCs w:val="28"/>
              </w:rPr>
              <w:t>20</w:t>
            </w:r>
            <w:r w:rsidR="006279B5" w:rsidRPr="00C3310F">
              <w:rPr>
                <w:rFonts w:hint="eastAsia"/>
                <w:sz w:val="28"/>
                <w:szCs w:val="28"/>
              </w:rPr>
              <w:t>,</w:t>
            </w:r>
            <w:r w:rsidRPr="00C3310F">
              <w:rPr>
                <w:rFonts w:hint="eastAsia"/>
                <w:sz w:val="28"/>
                <w:szCs w:val="28"/>
              </w:rPr>
              <w:t>053</w:t>
            </w:r>
          </w:p>
        </w:tc>
      </w:tr>
    </w:tbl>
    <w:p w14:paraId="1055D9A3" w14:textId="77777777" w:rsidR="000B1C3C" w:rsidRPr="00C3310F" w:rsidRDefault="000B1C3C" w:rsidP="000B1C3C">
      <w:pPr>
        <w:rPr>
          <w:sz w:val="28"/>
        </w:rPr>
      </w:pPr>
      <w:r w:rsidRPr="00C3310F">
        <w:rPr>
          <w:rFonts w:hint="eastAsia"/>
          <w:sz w:val="28"/>
        </w:rPr>
        <w:t>資料來源：</w:t>
      </w:r>
      <w:r w:rsidR="00643F67" w:rsidRPr="00C3310F">
        <w:rPr>
          <w:rFonts w:hint="eastAsia"/>
          <w:sz w:val="28"/>
        </w:rPr>
        <w:t>法務部及</w:t>
      </w:r>
      <w:r w:rsidRPr="00C3310F">
        <w:rPr>
          <w:rFonts w:hint="eastAsia"/>
          <w:sz w:val="28"/>
        </w:rPr>
        <w:t>高檢署</w:t>
      </w:r>
      <w:r w:rsidR="00643F67" w:rsidRPr="00C3310F">
        <w:rPr>
          <w:rFonts w:hint="eastAsia"/>
          <w:sz w:val="28"/>
        </w:rPr>
        <w:t>112年11月13日簡報資料。</w:t>
      </w:r>
    </w:p>
    <w:p w14:paraId="488AEF52" w14:textId="77777777" w:rsidR="000B1C3C" w:rsidRPr="00C3310F" w:rsidRDefault="000B1C3C" w:rsidP="000B1C3C">
      <w:pPr>
        <w:pStyle w:val="3"/>
        <w:spacing w:beforeLines="50" w:before="228"/>
        <w:ind w:left="1360" w:hanging="680"/>
      </w:pPr>
      <w:bookmarkStart w:id="865" w:name="_Toc171525567"/>
      <w:bookmarkStart w:id="866" w:name="_Toc172024088"/>
      <w:bookmarkStart w:id="867" w:name="_Toc172033411"/>
      <w:r w:rsidRPr="00C3310F">
        <w:rPr>
          <w:rFonts w:hint="eastAsia"/>
        </w:rPr>
        <w:t>在中期之原因分析部分，研判係因政府法制、規管及政策未能充分跟進數位化、網路化及全球化進程並加以治理，而衍生諸多犯罪機會及條件，符合犯罪學之日常活動理論，其論證如下：</w:t>
      </w:r>
      <w:bookmarkEnd w:id="865"/>
      <w:bookmarkEnd w:id="866"/>
      <w:bookmarkEnd w:id="867"/>
    </w:p>
    <w:p w14:paraId="150C03F8" w14:textId="553D7DDA" w:rsidR="000B1C3C" w:rsidRPr="00C3310F" w:rsidRDefault="000B1C3C" w:rsidP="000B1C3C">
      <w:pPr>
        <w:pStyle w:val="4"/>
      </w:pPr>
      <w:r w:rsidRPr="00C3310F">
        <w:rPr>
          <w:rFonts w:hint="eastAsia"/>
        </w:rPr>
        <w:t>臺灣民眾社群</w:t>
      </w:r>
      <w:r w:rsidR="0004575A" w:rsidRPr="00C3310F">
        <w:rPr>
          <w:rFonts w:hint="eastAsia"/>
        </w:rPr>
        <w:t>平臺</w:t>
      </w:r>
      <w:r w:rsidRPr="00C3310F">
        <w:rPr>
          <w:rFonts w:hint="eastAsia"/>
        </w:rPr>
        <w:t>以F</w:t>
      </w:r>
      <w:r w:rsidRPr="00C3310F">
        <w:t>acebook</w:t>
      </w:r>
      <w:r w:rsidRPr="00C3310F">
        <w:rPr>
          <w:rFonts w:hint="eastAsia"/>
        </w:rPr>
        <w:t>為主，通訊軟體以</w:t>
      </w:r>
      <w:r w:rsidR="00DF3BE8" w:rsidRPr="00C3310F">
        <w:rPr>
          <w:rFonts w:hint="eastAsia"/>
        </w:rPr>
        <w:t>LINE</w:t>
      </w:r>
      <w:r w:rsidRPr="00C3310F">
        <w:rPr>
          <w:rFonts w:hint="eastAsia"/>
        </w:rPr>
        <w:t>為主，普遍而言上網普及率及行動寬頻普及率均高。</w:t>
      </w:r>
    </w:p>
    <w:p w14:paraId="0900F925" w14:textId="2CFA2690" w:rsidR="000B1C3C" w:rsidRPr="00C3310F" w:rsidRDefault="000B1C3C" w:rsidP="000B1C3C">
      <w:pPr>
        <w:pStyle w:val="5"/>
      </w:pPr>
      <w:r w:rsidRPr="00C3310F">
        <w:rPr>
          <w:rFonts w:hint="eastAsia"/>
        </w:rPr>
        <w:t>調查結果</w:t>
      </w:r>
      <w:r w:rsidRPr="00C3310F">
        <w:rPr>
          <w:rStyle w:val="afe"/>
        </w:rPr>
        <w:footnoteReference w:id="55"/>
      </w:r>
      <w:r w:rsidRPr="00C3310F">
        <w:rPr>
          <w:rFonts w:hint="eastAsia"/>
        </w:rPr>
        <w:t>顯示近五成臺灣民眾最常使用的社群媒體仍是臉書（Facebook），達47.27%，大幅領先其他社群媒體。而社群媒體使用率與年齡</w:t>
      </w:r>
      <w:r w:rsidRPr="00C3310F">
        <w:rPr>
          <w:rFonts w:hint="eastAsia"/>
        </w:rPr>
        <w:lastRenderedPageBreak/>
        <w:t>成反比，年齡愈低則社群媒體使用率則越高。18</w:t>
      </w:r>
      <w:r w:rsidR="00B004D4" w:rsidRPr="00C3310F">
        <w:rPr>
          <w:rFonts w:hint="eastAsia"/>
        </w:rPr>
        <w:t>至</w:t>
      </w:r>
      <w:r w:rsidRPr="00C3310F">
        <w:rPr>
          <w:rFonts w:hint="eastAsia"/>
        </w:rPr>
        <w:t>29歲年齡層為社群媒體使用率最高的族群，高達95.98%。而3</w:t>
      </w:r>
      <w:r w:rsidRPr="00C3310F">
        <w:t>0</w:t>
      </w:r>
      <w:r w:rsidR="00B004D4" w:rsidRPr="00C3310F">
        <w:rPr>
          <w:rFonts w:hint="eastAsia"/>
        </w:rPr>
        <w:t>至</w:t>
      </w:r>
      <w:r w:rsidRPr="00C3310F">
        <w:rPr>
          <w:rFonts w:hint="eastAsia"/>
        </w:rPr>
        <w:t>39歲年齡層的社群媒體使用率也在九成以上，達94.84%。</w:t>
      </w:r>
    </w:p>
    <w:p w14:paraId="0562AED3" w14:textId="331202A4" w:rsidR="000B1C3C" w:rsidRPr="00C3310F" w:rsidRDefault="000B1C3C" w:rsidP="000B1C3C">
      <w:pPr>
        <w:pStyle w:val="5"/>
      </w:pPr>
      <w:r w:rsidRPr="00C3310F">
        <w:rPr>
          <w:rFonts w:hint="eastAsia"/>
        </w:rPr>
        <w:t>在通訊軟體部分，調查結果</w:t>
      </w:r>
      <w:r w:rsidRPr="00C3310F">
        <w:rPr>
          <w:rStyle w:val="afe"/>
        </w:rPr>
        <w:footnoteReference w:id="56"/>
      </w:r>
      <w:r w:rsidRPr="00C3310F">
        <w:rPr>
          <w:rFonts w:hint="eastAsia"/>
        </w:rPr>
        <w:t>顯示</w:t>
      </w:r>
      <w:r w:rsidR="00DF3BE8" w:rsidRPr="00C3310F">
        <w:rPr>
          <w:rFonts w:hint="eastAsia"/>
        </w:rPr>
        <w:t>LINE</w:t>
      </w:r>
      <w:r w:rsidRPr="00C3310F">
        <w:rPr>
          <w:rFonts w:hint="eastAsia"/>
        </w:rPr>
        <w:t>是</w:t>
      </w:r>
      <w:r w:rsidR="005E17A1" w:rsidRPr="00C3310F">
        <w:rPr>
          <w:rFonts w:hint="eastAsia"/>
        </w:rPr>
        <w:t>臺</w:t>
      </w:r>
      <w:r w:rsidRPr="00C3310F">
        <w:rPr>
          <w:rFonts w:hint="eastAsia"/>
        </w:rPr>
        <w:t>灣民眾最常</w:t>
      </w:r>
      <w:r w:rsidR="006279B5" w:rsidRPr="00C3310F">
        <w:rPr>
          <w:rFonts w:hint="eastAsia"/>
        </w:rPr>
        <w:t>使用</w:t>
      </w:r>
      <w:r w:rsidRPr="00C3310F">
        <w:rPr>
          <w:rFonts w:hint="eastAsia"/>
        </w:rPr>
        <w:t>的即時通訊軟體，</w:t>
      </w:r>
      <w:r w:rsidR="00752EB4" w:rsidRPr="00C3310F">
        <w:rPr>
          <w:rFonts w:hint="eastAsia"/>
        </w:rPr>
        <w:t>占</w:t>
      </w:r>
      <w:r w:rsidRPr="00C3310F">
        <w:rPr>
          <w:rFonts w:hint="eastAsia"/>
        </w:rPr>
        <w:t>77.56%，以懸殊的</w:t>
      </w:r>
      <w:r w:rsidR="00752EB4" w:rsidRPr="00C3310F">
        <w:rPr>
          <w:rFonts w:hint="eastAsia"/>
        </w:rPr>
        <w:t>占</w:t>
      </w:r>
      <w:r w:rsidRPr="00C3310F">
        <w:rPr>
          <w:rFonts w:hint="eastAsia"/>
        </w:rPr>
        <w:t>比大幅領先其他的即時通訊軟體。</w:t>
      </w:r>
    </w:p>
    <w:p w14:paraId="35D998D7" w14:textId="77777777" w:rsidR="000B1C3C" w:rsidRPr="00C3310F" w:rsidRDefault="000B1C3C" w:rsidP="000B1C3C">
      <w:pPr>
        <w:pStyle w:val="5"/>
      </w:pPr>
      <w:r w:rsidRPr="00C3310F">
        <w:rPr>
          <w:rFonts w:hint="eastAsia"/>
        </w:rPr>
        <w:t>2023年</w:t>
      </w:r>
      <w:r w:rsidR="005E17A1" w:rsidRPr="00C3310F">
        <w:rPr>
          <w:rFonts w:hint="eastAsia"/>
        </w:rPr>
        <w:t>臺</w:t>
      </w:r>
      <w:r w:rsidRPr="00C3310F">
        <w:rPr>
          <w:rFonts w:hint="eastAsia"/>
        </w:rPr>
        <w:t>灣民眾的上網率為84.67%，18至49歲族群更高達95%；而通傳會「112年通訊傳播市場報告」指出我國行動寬頻普及率於近10年快速成長，已於2016年超越英國，2022年普及率為118.69%，可見民眾(尤其年輕民眾)已相當程度跟進數位化、網路化及全球化之進程。</w:t>
      </w:r>
    </w:p>
    <w:p w14:paraId="77C92ED1" w14:textId="66FFD6DF" w:rsidR="000B1C3C" w:rsidRPr="00C3310F" w:rsidRDefault="000B1C3C" w:rsidP="000B1C3C">
      <w:pPr>
        <w:pStyle w:val="4"/>
      </w:pPr>
      <w:r w:rsidRPr="00C3310F">
        <w:rPr>
          <w:rFonts w:hint="eastAsia"/>
        </w:rPr>
        <w:t>至於民眾數位化、網路化及全球化之進程如何產生詐欺犯罪機會，有文獻</w:t>
      </w:r>
      <w:r w:rsidRPr="00C3310F">
        <w:rPr>
          <w:rStyle w:val="afe"/>
        </w:rPr>
        <w:footnoteReference w:id="57"/>
      </w:r>
      <w:r w:rsidRPr="00C3310F">
        <w:rPr>
          <w:rFonts w:hint="eastAsia"/>
        </w:rPr>
        <w:t>係以犯罪學之日常活動理論三要素作為理論依據，</w:t>
      </w:r>
      <w:r w:rsidR="00A1409C" w:rsidRPr="00C3310F">
        <w:rPr>
          <w:rFonts w:hint="eastAsia"/>
        </w:rPr>
        <w:t>本調查研究</w:t>
      </w:r>
      <w:r w:rsidRPr="00C3310F">
        <w:rPr>
          <w:rFonts w:hint="eastAsia"/>
        </w:rPr>
        <w:t>並以本院諮詢學者專家意見及第一線偵辦案件之檢察官說法做為佐證，可推導出詐欺案件之中期因素，係因政府法制、規管及政策未能充分跟進數位化、網路化及全球化進程並加以治理之結論，至於究竟是哪些法制或政策未充分跟進，</w:t>
      </w:r>
      <w:r w:rsidR="00A1409C" w:rsidRPr="00C3310F">
        <w:rPr>
          <w:rFonts w:hint="eastAsia"/>
        </w:rPr>
        <w:t>本調查研究</w:t>
      </w:r>
      <w:r w:rsidRPr="00C3310F">
        <w:rPr>
          <w:rFonts w:hint="eastAsia"/>
        </w:rPr>
        <w:t>亦將於後續之結論與建議，依「識詐」、「堵詐」、「阻詐」及「懲詐」各環節逐一分析，並試圖進一步就政府尚未跟進全球化進程之項目，研判電信網路詐欺未來趨勢。</w:t>
      </w:r>
    </w:p>
    <w:p w14:paraId="7C160966" w14:textId="77777777" w:rsidR="000B1C3C" w:rsidRPr="00C3310F" w:rsidRDefault="000B1C3C" w:rsidP="000B1C3C">
      <w:pPr>
        <w:pStyle w:val="5"/>
      </w:pPr>
      <w:r w:rsidRPr="00C3310F">
        <w:rPr>
          <w:rFonts w:hint="eastAsia"/>
        </w:rPr>
        <w:t>文獻指出，跨境電信詐欺犯罪的發生</w:t>
      </w:r>
      <w:r w:rsidRPr="00C3310F">
        <w:rPr>
          <w:rFonts w:hint="eastAsia"/>
          <w:b/>
        </w:rPr>
        <w:t>符合日常活動理論三要素，包括犯罪者、標的物及監控缺</w:t>
      </w:r>
      <w:r w:rsidRPr="00C3310F">
        <w:rPr>
          <w:rFonts w:hint="eastAsia"/>
          <w:b/>
        </w:rPr>
        <w:lastRenderedPageBreak/>
        <w:t>乏</w:t>
      </w:r>
      <w:r w:rsidRPr="00C3310F">
        <w:rPr>
          <w:rFonts w:hint="eastAsia"/>
        </w:rPr>
        <w:t>，其中監控缺乏部分應擴大至國家管制監控的缺乏來探討。全球化在政治、社會、經濟各層面的影響，也影響著跨境犯罪的變化。</w:t>
      </w:r>
      <w:r w:rsidRPr="00C3310F">
        <w:rPr>
          <w:rFonts w:hint="eastAsia"/>
          <w:b/>
        </w:rPr>
        <w:t>國家治理失靈形成了國家的侷限性、跨國網際網路無法管制、洗錢現象及全球金融系統去管制化，均促進跨境犯罪的盛行</w:t>
      </w:r>
      <w:r w:rsidRPr="00C3310F">
        <w:rPr>
          <w:rFonts w:hint="eastAsia"/>
        </w:rPr>
        <w:t>。犯罪者有限度的理性選擇、犯罪流程步驟的考量，犯罪團體日常活動理論三要素的聚合，監控者層面需跨大至國家層面有關國家管制、網路管制及金融管制的缺乏的探討，再加上新興犯罪接觸管道，形成新機會理論中的犯罪機會。</w:t>
      </w:r>
    </w:p>
    <w:p w14:paraId="74738975" w14:textId="77777777" w:rsidR="000B1C3C" w:rsidRPr="00C3310F" w:rsidRDefault="000B1C3C" w:rsidP="000B1C3C">
      <w:pPr>
        <w:pStyle w:val="6"/>
      </w:pPr>
      <w:bookmarkStart w:id="868" w:name="_Toc171525568"/>
      <w:bookmarkStart w:id="869" w:name="_Toc172024089"/>
      <w:bookmarkStart w:id="870" w:name="_Toc172033412"/>
      <w:r w:rsidRPr="00C3310F">
        <w:rPr>
          <w:rFonts w:hint="eastAsia"/>
        </w:rPr>
        <w:t>跨境詐欺犯罪地點及被害地點，自臺灣到大陸，再轉到東南亞，至今分散到世界各國；犯罪型態從單一國家演變成雙邊合作，再到跨越三地合作。</w:t>
      </w:r>
      <w:bookmarkEnd w:id="868"/>
      <w:bookmarkEnd w:id="869"/>
      <w:bookmarkEnd w:id="870"/>
    </w:p>
    <w:p w14:paraId="0F6D5401" w14:textId="77777777" w:rsidR="000B1C3C" w:rsidRPr="00C3310F" w:rsidRDefault="000B1C3C" w:rsidP="000B1C3C">
      <w:pPr>
        <w:pStyle w:val="6"/>
      </w:pPr>
      <w:bookmarkStart w:id="871" w:name="_Toc171525569"/>
      <w:bookmarkStart w:id="872" w:name="_Toc172024090"/>
      <w:bookmarkStart w:id="873" w:name="_Toc172033413"/>
      <w:r w:rsidRPr="00C3310F">
        <w:rPr>
          <w:rFonts w:hint="eastAsia"/>
        </w:rPr>
        <w:t>詐欺集團自兩岸據點轉移至東南亞地區發展時，有特殊的集中現象，顯示東南亞地區國家提供了極佳的犯罪機會。</w:t>
      </w:r>
      <w:bookmarkEnd w:id="871"/>
      <w:bookmarkEnd w:id="872"/>
      <w:bookmarkEnd w:id="873"/>
    </w:p>
    <w:p w14:paraId="703C5FA2" w14:textId="77777777" w:rsidR="000B1C3C" w:rsidRPr="00C3310F" w:rsidRDefault="000B1C3C" w:rsidP="000B1C3C">
      <w:pPr>
        <w:pStyle w:val="6"/>
      </w:pPr>
      <w:bookmarkStart w:id="874" w:name="_Toc171525570"/>
      <w:bookmarkStart w:id="875" w:name="_Toc172024091"/>
      <w:bookmarkStart w:id="876" w:name="_Toc172033414"/>
      <w:r w:rsidRPr="00C3310F">
        <w:rPr>
          <w:rFonts w:hint="eastAsia"/>
        </w:rPr>
        <w:t>集團成員的理性選擇：……透過訪談詐欺犯罪者發現，犯罪者會衡量犯罪種類的刑期長短，隨時瞭解法律修正內容、輕重程度及證據證明力之效力，詐欺犯罪刑罰過輕，其投資報酬率對於集團成員來說仍是極高。</w:t>
      </w:r>
      <w:bookmarkEnd w:id="874"/>
      <w:bookmarkEnd w:id="875"/>
      <w:bookmarkEnd w:id="876"/>
    </w:p>
    <w:p w14:paraId="572DCFAC" w14:textId="77777777" w:rsidR="000B1C3C" w:rsidRPr="00C3310F" w:rsidRDefault="000B1C3C" w:rsidP="000B1C3C">
      <w:pPr>
        <w:pStyle w:val="5"/>
      </w:pPr>
      <w:r w:rsidRPr="00C3310F">
        <w:rPr>
          <w:rFonts w:hint="eastAsia"/>
        </w:rPr>
        <w:t>本院諮詢學者專家意見再度印證新科技及所衍生之新服務，同時也製造更多犯罪機會，而當政府治理未充分跟進時，將使犯罪偵查越形困難。</w:t>
      </w:r>
    </w:p>
    <w:p w14:paraId="1384E336" w14:textId="77777777" w:rsidR="000B1C3C" w:rsidRPr="00C3310F" w:rsidRDefault="000B1C3C" w:rsidP="000B1C3C">
      <w:pPr>
        <w:pStyle w:val="6"/>
      </w:pPr>
      <w:bookmarkStart w:id="877" w:name="_Toc171525571"/>
      <w:bookmarkStart w:id="878" w:name="_Toc172024092"/>
      <w:bookmarkStart w:id="879" w:name="_Toc172033415"/>
      <w:r w:rsidRPr="00C3310F">
        <w:rPr>
          <w:rFonts w:hint="eastAsia"/>
        </w:rPr>
        <w:t>犯罪這種社會現象很重要的一個元素就是機會。每當金融機構或電信業者提出了新的商品或是服務，我們研究犯罪的學者第一個反應，就是又為犯罪增加了很多機會。</w:t>
      </w:r>
      <w:bookmarkEnd w:id="877"/>
      <w:bookmarkEnd w:id="878"/>
      <w:bookmarkEnd w:id="879"/>
    </w:p>
    <w:p w14:paraId="6C0D4D68" w14:textId="77777777" w:rsidR="000B1C3C" w:rsidRPr="00C3310F" w:rsidRDefault="000B1C3C" w:rsidP="000B1C3C">
      <w:pPr>
        <w:pStyle w:val="6"/>
      </w:pPr>
      <w:bookmarkStart w:id="880" w:name="_Toc171525572"/>
      <w:bookmarkStart w:id="881" w:name="_Toc172024093"/>
      <w:bookmarkStart w:id="882" w:name="_Toc172033416"/>
      <w:r w:rsidRPr="00C3310F">
        <w:rPr>
          <w:rFonts w:hint="eastAsia"/>
        </w:rPr>
        <w:lastRenderedPageBreak/>
        <w:t>當業者在開發這些新的商品和服務的時候，在安全上面不會花很大的精力，這種問題不是只存在電信業者或金融機構，過去在汽車製造商也發生過很多的瑕</w:t>
      </w:r>
      <w:r w:rsidR="009B2196" w:rsidRPr="00C3310F">
        <w:rPr>
          <w:rFonts w:hint="eastAsia"/>
        </w:rPr>
        <w:t>疵</w:t>
      </w:r>
      <w:r w:rsidRPr="00C3310F">
        <w:rPr>
          <w:rFonts w:hint="eastAsia"/>
        </w:rPr>
        <w:t>車，都是一直要到損害非常嚴重的時候，業者才願意做一些修正。</w:t>
      </w:r>
      <w:bookmarkEnd w:id="880"/>
      <w:bookmarkEnd w:id="881"/>
      <w:bookmarkEnd w:id="882"/>
    </w:p>
    <w:p w14:paraId="555F70DD" w14:textId="77777777" w:rsidR="000B1C3C" w:rsidRPr="00C3310F" w:rsidRDefault="000B1C3C" w:rsidP="000B1C3C">
      <w:pPr>
        <w:pStyle w:val="6"/>
      </w:pPr>
      <w:bookmarkStart w:id="883" w:name="_Toc171525573"/>
      <w:bookmarkStart w:id="884" w:name="_Toc172024094"/>
      <w:bookmarkStart w:id="885" w:name="_Toc172033417"/>
      <w:r w:rsidRPr="00C3310F">
        <w:rPr>
          <w:rFonts w:hint="eastAsia"/>
        </w:rPr>
        <w:t>犯罪的機會是只會增加而不會減少。當業者花了很大的經費去研究新的商品跟服務時，我們可能要回頭看看政府部門在新增部門上，在偵查上面，在起訴上面，在矯正上面，我們大概花了多少的預算?你會很清楚地看到我們一直苦苦的在後頭追趕。</w:t>
      </w:r>
      <w:bookmarkEnd w:id="883"/>
      <w:bookmarkEnd w:id="884"/>
      <w:bookmarkEnd w:id="885"/>
    </w:p>
    <w:p w14:paraId="49799F48" w14:textId="77777777" w:rsidR="000B1C3C" w:rsidRPr="00C3310F" w:rsidRDefault="000B1C3C" w:rsidP="000B1C3C">
      <w:pPr>
        <w:pStyle w:val="5"/>
      </w:pPr>
      <w:r w:rsidRPr="00C3310F">
        <w:rPr>
          <w:rFonts w:hint="eastAsia"/>
        </w:rPr>
        <w:t>基層檢察官團體-劍青檢改</w:t>
      </w:r>
      <w:r w:rsidR="009B2196" w:rsidRPr="00C3310F">
        <w:rPr>
          <w:rFonts w:hint="eastAsia"/>
        </w:rPr>
        <w:t>則</w:t>
      </w:r>
      <w:r w:rsidRPr="00C3310F">
        <w:rPr>
          <w:rFonts w:hint="eastAsia"/>
        </w:rPr>
        <w:t>認為詐欺猖獗之因素如下，可見在新科技新服務之外，尚須複合政府治理未充分跟進之因素，始能形塑電信網路詐欺之犯罪機會。</w:t>
      </w:r>
    </w:p>
    <w:p w14:paraId="59E0748E" w14:textId="45249D85" w:rsidR="000B1C3C" w:rsidRPr="00C3310F" w:rsidRDefault="00F24372" w:rsidP="000B1C3C">
      <w:pPr>
        <w:pStyle w:val="6"/>
      </w:pPr>
      <w:bookmarkStart w:id="886" w:name="_Toc171525574"/>
      <w:bookmarkStart w:id="887" w:name="_Toc172024095"/>
      <w:bookmarkStart w:id="888" w:name="_Toc172033418"/>
      <w:r w:rsidRPr="00C3310F">
        <w:rPr>
          <w:rFonts w:hint="eastAsia"/>
        </w:rPr>
        <w:t>金門地檢署施家榮主任檢察官</w:t>
      </w:r>
      <w:bookmarkEnd w:id="886"/>
      <w:bookmarkEnd w:id="887"/>
      <w:bookmarkEnd w:id="888"/>
    </w:p>
    <w:p w14:paraId="12E45EE7" w14:textId="77777777" w:rsidR="000B1C3C" w:rsidRPr="00C3310F" w:rsidRDefault="000B1C3C" w:rsidP="000B1C3C">
      <w:pPr>
        <w:pStyle w:val="7"/>
      </w:pPr>
      <w:r w:rsidRPr="00C3310F">
        <w:rPr>
          <w:rFonts w:hint="eastAsia"/>
          <w:b/>
        </w:rPr>
        <w:t>詐欺它也是一個產業，它為什麼會蓬勃發展?他錢多當然要求發展，你就沒有法律，沒有科技偵查手段，一直追不到核心幹部，一直追不到他的錢，他錢越來越多，一間公司錢越來越多，他不發展合理嗎?他一定要蓬勃發展嘛!</w:t>
      </w:r>
    </w:p>
    <w:p w14:paraId="5E198C4C" w14:textId="77777777" w:rsidR="000B1C3C" w:rsidRPr="00C3310F" w:rsidRDefault="000B1C3C" w:rsidP="000B1C3C">
      <w:pPr>
        <w:pStyle w:val="7"/>
      </w:pPr>
      <w:r w:rsidRPr="00C3310F">
        <w:rPr>
          <w:rFonts w:hint="eastAsia"/>
        </w:rPr>
        <w:t>人頭帳戶抓了，為什麼他明年還有人頭帳戶可以用?我們就不知道金管會在做什麼?今年被抓了幾萬個人頭帳戶，明年他還有幾萬個，後一年還有幾萬個?永遠源源不絕。</w:t>
      </w:r>
    </w:p>
    <w:p w14:paraId="15282B49" w14:textId="28BBCEC2" w:rsidR="000B1C3C" w:rsidRPr="00C3310F" w:rsidRDefault="000B1C3C" w:rsidP="000B1C3C">
      <w:pPr>
        <w:pStyle w:val="7"/>
      </w:pPr>
      <w:r w:rsidRPr="00C3310F">
        <w:rPr>
          <w:rFonts w:hint="eastAsia"/>
        </w:rPr>
        <w:t>再來說律師涉案、銀行人員幫忙調整轉帳上限、派出所所長查個資、</w:t>
      </w:r>
      <w:r w:rsidR="00314645" w:rsidRPr="00C3310F">
        <w:rPr>
          <w:rFonts w:hint="eastAsia"/>
        </w:rPr>
        <w:t>通傳會</w:t>
      </w:r>
      <w:r w:rsidRPr="00C3310F">
        <w:rPr>
          <w:rFonts w:hint="eastAsia"/>
        </w:rPr>
        <w:t>前委員當</w:t>
      </w:r>
      <w:r w:rsidRPr="00C3310F">
        <w:rPr>
          <w:rFonts w:hint="eastAsia"/>
        </w:rPr>
        <w:lastRenderedPageBreak/>
        <w:t>二類電信業者顧問這些，為什麼?因為你永遠查不到他的心臟，那他就可以經驗傳承，越教越多人，他獲利高風險低，</w:t>
      </w:r>
      <w:r w:rsidRPr="00C3310F">
        <w:rPr>
          <w:rFonts w:hint="eastAsia"/>
          <w:b/>
        </w:rPr>
        <w:t>因為人頭帳戶、人頭門號、個人幣商都沒在管，他就挺而無險，他當然要繼續做啊!</w:t>
      </w:r>
    </w:p>
    <w:p w14:paraId="411143AB" w14:textId="06C110C8" w:rsidR="000B1C3C" w:rsidRPr="00C3310F" w:rsidRDefault="00F24372" w:rsidP="000B1C3C">
      <w:pPr>
        <w:pStyle w:val="6"/>
      </w:pPr>
      <w:bookmarkStart w:id="889" w:name="_Toc171525575"/>
      <w:bookmarkStart w:id="890" w:name="_Toc172024096"/>
      <w:bookmarkStart w:id="891" w:name="_Toc172033419"/>
      <w:r w:rsidRPr="00C3310F">
        <w:rPr>
          <w:rFonts w:hint="eastAsia"/>
        </w:rPr>
        <w:t>臺北</w:t>
      </w:r>
      <w:r w:rsidR="006E2829" w:rsidRPr="00C3310F">
        <w:rPr>
          <w:rFonts w:hint="eastAsia"/>
        </w:rPr>
        <w:t>地檢署姜長志檢察官</w:t>
      </w:r>
      <w:bookmarkEnd w:id="889"/>
      <w:bookmarkEnd w:id="890"/>
      <w:bookmarkEnd w:id="891"/>
    </w:p>
    <w:p w14:paraId="4E5DE125" w14:textId="77777777" w:rsidR="000B1C3C" w:rsidRPr="00C3310F" w:rsidRDefault="000B1C3C" w:rsidP="000B1C3C">
      <w:pPr>
        <w:pStyle w:val="7"/>
      </w:pPr>
      <w:r w:rsidRPr="00C3310F">
        <w:rPr>
          <w:rFonts w:hint="eastAsia"/>
        </w:rPr>
        <w:t>你前端的行政管制呢？你不告訴個人幣商要怎麼登記？怎麼設立？什麼條件都沒有，就跟我說那這樣算犯罪了？金管會說犯罪的潛臺詞是什麼意思？就是那是檢察官的事啊！</w:t>
      </w:r>
    </w:p>
    <w:p w14:paraId="0293231C" w14:textId="77777777" w:rsidR="000B1C3C" w:rsidRPr="00C3310F" w:rsidRDefault="000B1C3C" w:rsidP="000B1C3C">
      <w:pPr>
        <w:pStyle w:val="7"/>
      </w:pPr>
      <w:r w:rsidRPr="00C3310F">
        <w:rPr>
          <w:rFonts w:hint="eastAsia"/>
        </w:rPr>
        <w:t>我們來盤點一下他有違反洗防法嗎？有違反V</w:t>
      </w:r>
      <w:r w:rsidRPr="00C3310F">
        <w:t>ASP</w:t>
      </w:r>
      <w:r w:rsidRPr="00C3310F">
        <w:rPr>
          <w:rFonts w:hint="eastAsia"/>
        </w:rPr>
        <w:t>原則嗎？沒有嘛！所以到現在到今天4月26號，虛擬通貨原則都沒有規定什麼叫個人幣商啊，</w:t>
      </w:r>
      <w:r w:rsidRPr="00C3310F">
        <w:rPr>
          <w:rFonts w:hint="eastAsia"/>
          <w:b/>
        </w:rPr>
        <w:t>各位你可以想像嗎，法院還要自己去想，自己去定義什麼叫個人幣商。</w:t>
      </w:r>
    </w:p>
    <w:p w14:paraId="61B69467" w14:textId="37AD8AE5" w:rsidR="000B1C3C" w:rsidRPr="00C3310F" w:rsidRDefault="000B1C3C" w:rsidP="000B1C3C">
      <w:pPr>
        <w:pStyle w:val="3"/>
      </w:pPr>
      <w:bookmarkStart w:id="892" w:name="_Toc171525576"/>
      <w:bookmarkStart w:id="893" w:name="_Toc172024097"/>
      <w:bookmarkStart w:id="894" w:name="_Toc172033420"/>
      <w:r w:rsidRPr="00C3310F">
        <w:rPr>
          <w:rFonts w:hint="eastAsia"/>
        </w:rPr>
        <w:t>詐欺集團因上開中長期因素及條件，醞釀利用行動通訊網路、網路金融服務及購物、虛擬貨幣投資、第三方支付等工具進行電信網路詐欺已有數年，並非近兩年才成熟；因此，可推論應有短期因素之複合影響。經綜整文獻及政府公開資料，</w:t>
      </w:r>
      <w:r w:rsidR="00A1409C" w:rsidRPr="00C3310F">
        <w:rPr>
          <w:rFonts w:hint="eastAsia"/>
        </w:rPr>
        <w:t>本調查研究</w:t>
      </w:r>
      <w:r w:rsidRPr="00C3310F">
        <w:rPr>
          <w:rFonts w:hint="eastAsia"/>
        </w:rPr>
        <w:t>研判短期因素係因</w:t>
      </w:r>
      <w:r w:rsidRPr="00C3310F">
        <w:t>COVID-19</w:t>
      </w:r>
      <w:r w:rsidRPr="00C3310F">
        <w:rPr>
          <w:rFonts w:hint="eastAsia"/>
        </w:rPr>
        <w:t>疫情爆發後，經濟面不確定性偏高，且民眾已高度依賴行動通訊網路及數位經濟等，終使電信網路詐欺犯罪於近兩年獲得爆發性成長。此外，雖然短期因素所導致之電信網路詐欺趨勢係全球皆然，並非我國獨有，然而我國上網普及率優於多數國家，或許是近兩年電信網路詐欺犯罪成長率高於國際平均之部分原因。</w:t>
      </w:r>
      <w:bookmarkEnd w:id="892"/>
      <w:bookmarkEnd w:id="893"/>
      <w:bookmarkEnd w:id="894"/>
    </w:p>
    <w:p w14:paraId="34682C35" w14:textId="453D9A08" w:rsidR="000B1C3C" w:rsidRPr="00C3310F" w:rsidRDefault="000B1C3C" w:rsidP="000B1C3C">
      <w:pPr>
        <w:pStyle w:val="4"/>
      </w:pPr>
      <w:r w:rsidRPr="00C3310F">
        <w:rPr>
          <w:rFonts w:hint="eastAsia"/>
        </w:rPr>
        <w:t>在短期經濟面因素，根據國家發展委員會2023及</w:t>
      </w:r>
      <w:r w:rsidRPr="00C3310F">
        <w:rPr>
          <w:rFonts w:hint="eastAsia"/>
        </w:rPr>
        <w:lastRenderedPageBreak/>
        <w:t>2024年1月所公布之</w:t>
      </w:r>
      <w:r w:rsidRPr="00C3310F">
        <w:rPr>
          <w:rFonts w:hAnsi="標楷體" w:hint="eastAsia"/>
        </w:rPr>
        <w:t>「當前經濟情勢簡報」</w:t>
      </w:r>
      <w:r w:rsidRPr="00C3310F">
        <w:rPr>
          <w:rStyle w:val="afe"/>
          <w:rFonts w:hAnsi="標楷體"/>
        </w:rPr>
        <w:footnoteReference w:id="58"/>
      </w:r>
      <w:r w:rsidRPr="00C3310F">
        <w:rPr>
          <w:rFonts w:hAnsi="標楷體" w:hint="eastAsia"/>
        </w:rPr>
        <w:t>可知，近兩年全球經濟處於成長動能平疲、先進經濟體經濟表現分歧、成長動能趨緩及主要經濟體動能多呈停滯之情況。而我國打詐綱領</w:t>
      </w:r>
      <w:r w:rsidR="00643F67" w:rsidRPr="00C3310F">
        <w:rPr>
          <w:rFonts w:hAnsi="標楷體" w:hint="eastAsia"/>
        </w:rPr>
        <w:t>1.5版</w:t>
      </w:r>
      <w:r w:rsidRPr="00C3310F">
        <w:rPr>
          <w:rFonts w:hAnsi="標楷體" w:hint="eastAsia"/>
        </w:rPr>
        <w:t>亦稱：「觀諸自109年起，</w:t>
      </w:r>
      <w:r w:rsidR="007D462A" w:rsidRPr="00C3310F">
        <w:rPr>
          <w:rFonts w:hAnsi="標楷體" w:hint="eastAsia"/>
        </w:rPr>
        <w:t>COVID-19</w:t>
      </w:r>
      <w:r w:rsidRPr="00C3310F">
        <w:rPr>
          <w:rFonts w:hAnsi="標楷體" w:hint="eastAsia"/>
        </w:rPr>
        <w:t>疫情期間居家辦公、網購等宅經濟興起，嫌犯利用簡訊、電子郵件、 投資詐騙網站等網路詐欺案件逐年呈現增長情勢」</w:t>
      </w:r>
      <w:r w:rsidR="00643F67" w:rsidRPr="00C3310F">
        <w:rPr>
          <w:rStyle w:val="afe"/>
          <w:rFonts w:hAnsi="標楷體"/>
        </w:rPr>
        <w:footnoteReference w:id="59"/>
      </w:r>
      <w:r w:rsidR="009B2196" w:rsidRPr="00C3310F">
        <w:rPr>
          <w:rFonts w:hAnsi="標楷體" w:hint="eastAsia"/>
        </w:rPr>
        <w:t>。</w:t>
      </w:r>
    </w:p>
    <w:p w14:paraId="1B74B03E" w14:textId="674AF035" w:rsidR="000B1C3C" w:rsidRPr="00C3310F" w:rsidRDefault="000B1C3C" w:rsidP="000B1C3C">
      <w:pPr>
        <w:pStyle w:val="4"/>
        <w:rPr>
          <w:rFonts w:hAnsi="標楷體"/>
        </w:rPr>
      </w:pPr>
      <w:r w:rsidRPr="00C3310F">
        <w:rPr>
          <w:rFonts w:hint="eastAsia"/>
        </w:rPr>
        <w:t>在國際上，G</w:t>
      </w:r>
      <w:r w:rsidRPr="00C3310F">
        <w:t>ASA</w:t>
      </w:r>
      <w:r w:rsidRPr="00C3310F">
        <w:rPr>
          <w:rFonts w:hint="eastAsia"/>
        </w:rPr>
        <w:t>指出「詐騙案件強勁成長不僅是因為數位化程度加快，而且是複合高通膨、高生活費及高失業率的背景，而迫使人們尋找新的投資方式而維持收支平衡」，英國政府亦均有報告</w:t>
      </w:r>
      <w:r w:rsidRPr="00C3310F">
        <w:rPr>
          <w:rStyle w:val="afe"/>
        </w:rPr>
        <w:footnoteReference w:id="60"/>
      </w:r>
      <w:r w:rsidRPr="00C3310F">
        <w:rPr>
          <w:rFonts w:hint="eastAsia"/>
        </w:rPr>
        <w:t>指出，消費者、企業和</w:t>
      </w:r>
      <w:r w:rsidR="00A1409C" w:rsidRPr="00C3310F">
        <w:rPr>
          <w:rFonts w:hint="eastAsia"/>
        </w:rPr>
        <w:t>詐騙集團</w:t>
      </w:r>
      <w:r w:rsidRPr="00C3310F">
        <w:rPr>
          <w:rFonts w:hint="eastAsia"/>
        </w:rPr>
        <w:t>對新科技的採用幾乎肯定是近期詐欺案件成長的主要驅動力；在在顯示在電信網路詐欺犯罪之短期因素方面，我國情形與全球趨勢概同</w:t>
      </w:r>
      <w:r w:rsidRPr="00C3310F">
        <w:rPr>
          <w:rFonts w:hAnsi="標楷體" w:hint="eastAsia"/>
        </w:rPr>
        <w:t>。</w:t>
      </w:r>
    </w:p>
    <w:p w14:paraId="6699FCD5" w14:textId="40EE1026" w:rsidR="000B1C3C" w:rsidRPr="00C3310F" w:rsidRDefault="000B1C3C" w:rsidP="000B1C3C">
      <w:pPr>
        <w:pStyle w:val="3"/>
      </w:pPr>
      <w:bookmarkStart w:id="895" w:name="_Toc171525577"/>
      <w:bookmarkStart w:id="896" w:name="_Toc172024098"/>
      <w:bookmarkStart w:id="897" w:name="_Toc172033421"/>
      <w:r w:rsidRPr="00C3310F">
        <w:rPr>
          <w:rFonts w:hint="eastAsia"/>
        </w:rPr>
        <w:t>針對嚴峻之詐欺情勢，政府雖陸續制定「打詐綱領1.0版」及「打詐綱領1.5版」，以「識詐」、「堵詐」、「阻詐」、「懲詐」四大面向強化打詐效能，但整體詐騙情勢仍然處於高發狀況，</w:t>
      </w:r>
      <w:r w:rsidR="00A1409C" w:rsidRPr="00C3310F">
        <w:rPr>
          <w:rFonts w:hint="eastAsia"/>
        </w:rPr>
        <w:t>本調查研究</w:t>
      </w:r>
      <w:r w:rsidRPr="00C3310F">
        <w:rPr>
          <w:rFonts w:hint="eastAsia"/>
        </w:rPr>
        <w:t>建議政府持續積極檢視行政先行措施稍嫌薄弱之環節，透過上游清源防制提高整體打詐綜效。</w:t>
      </w:r>
      <w:bookmarkEnd w:id="895"/>
      <w:bookmarkEnd w:id="896"/>
      <w:bookmarkEnd w:id="897"/>
    </w:p>
    <w:p w14:paraId="3C856E11" w14:textId="77777777" w:rsidR="000B1C3C" w:rsidRPr="00C3310F" w:rsidRDefault="000B1C3C" w:rsidP="000B1C3C">
      <w:pPr>
        <w:pStyle w:val="4"/>
      </w:pPr>
      <w:r w:rsidRPr="00C3310F">
        <w:rPr>
          <w:rFonts w:hint="eastAsia"/>
        </w:rPr>
        <w:t>研究分析「打詐綱領1.5版」之經費需求簡表，在整體經費需求</w:t>
      </w:r>
      <w:r w:rsidRPr="00C3310F">
        <w:t>8</w:t>
      </w:r>
      <w:r w:rsidRPr="00C3310F">
        <w:rPr>
          <w:rFonts w:hint="eastAsia"/>
        </w:rPr>
        <w:t>.7億元中，懲詐面經費需求約</w:t>
      </w:r>
      <w:r w:rsidR="00752EB4" w:rsidRPr="00C3310F">
        <w:rPr>
          <w:rFonts w:hint="eastAsia"/>
        </w:rPr>
        <w:t>占</w:t>
      </w:r>
      <w:r w:rsidRPr="00C3310F">
        <w:rPr>
          <w:rFonts w:hint="eastAsia"/>
        </w:rPr>
        <w:t>82%(約7.2億)，復經檢視其經費需求內容，大多數均係為採購偵查設備及其必要之附屬設施；理論上前述投資有助於犯罪偵查，對於詐欺犯罪之破</w:t>
      </w:r>
      <w:r w:rsidRPr="00C3310F">
        <w:rPr>
          <w:rFonts w:hint="eastAsia"/>
        </w:rPr>
        <w:lastRenderedPageBreak/>
        <w:t>獲率應要顯著提高。</w:t>
      </w:r>
    </w:p>
    <w:p w14:paraId="65DC5139" w14:textId="77777777" w:rsidR="000B1C3C" w:rsidRPr="00C3310F" w:rsidRDefault="000B1C3C" w:rsidP="000B1C3C">
      <w:pPr>
        <w:pStyle w:val="4"/>
      </w:pPr>
      <w:r w:rsidRPr="00C3310F">
        <w:rPr>
          <w:rFonts w:hint="eastAsia"/>
        </w:rPr>
        <w:t>惟進一步檢視行政院於113年5月9日公布「『打詐綱領1.5』執行成效與策進」績效，在懲詐部分包括偵破詐欺集團由上期(111年6月至112年3月)1,481件成長至本期(112年6月至113年3月)之1,909件，同比增幅約29%，查獲犯嫌人數則由上期(111年6月至112年3月)13,484人成長至本期(112年6月至113年3月)之17,068人，同比增幅約為26.6%，其破獲之集團及人數雖有明顯成長，但全未超過112全年度案件成長率(33.1%)，顯示行政院所稱偵破及查獲之成長率，實際上應係隨警政署收案件數等比例成長，而非破獲率有所成長。</w:t>
      </w:r>
    </w:p>
    <w:p w14:paraId="5024E9BF" w14:textId="77777777" w:rsidR="000B1C3C" w:rsidRPr="00C3310F" w:rsidRDefault="000B1C3C" w:rsidP="000B1C3C">
      <w:pPr>
        <w:pStyle w:val="4"/>
      </w:pPr>
      <w:r w:rsidRPr="00C3310F">
        <w:rPr>
          <w:rFonts w:hint="eastAsia"/>
        </w:rPr>
        <w:t>前述結果不僅不易彰顯「打詐綱領1.5版」於懲詐面之成效，更進一步隱含政府在「識詐」、「堵詐」、「阻詐」等上游治理未臻完善時，即使於懲詐面挹注超過8成經費，仍難以發揮打詐之綜效。</w:t>
      </w:r>
    </w:p>
    <w:p w14:paraId="33282FC3" w14:textId="77777777" w:rsidR="000B1C3C" w:rsidRPr="00C3310F" w:rsidRDefault="000B1C3C" w:rsidP="00CB4F4C">
      <w:pPr>
        <w:pStyle w:val="4"/>
      </w:pPr>
      <w:r w:rsidRPr="00C3310F">
        <w:rPr>
          <w:rFonts w:hint="eastAsia"/>
        </w:rPr>
        <w:t>另經分析「打詐綱領1.0版」及「打詐綱領1.5版」關於詐騙樣態之數據(如下表</w:t>
      </w:r>
      <w:r w:rsidR="004B77B6" w:rsidRPr="00C3310F">
        <w:rPr>
          <w:rFonts w:hint="eastAsia"/>
        </w:rPr>
        <w:t>1</w:t>
      </w:r>
      <w:r w:rsidR="004B77B6" w:rsidRPr="00C3310F">
        <w:t>7</w:t>
      </w:r>
      <w:r w:rsidRPr="00C3310F">
        <w:rPr>
          <w:rFonts w:hint="eastAsia"/>
        </w:rPr>
        <w:t>)顯示，假網路拍賣購物、投資詐欺及解除分期付款詐欺案件持續高發，而其中投資詐欺不僅在案件數量方面持續成長，在財損比例竟</w:t>
      </w:r>
      <w:r w:rsidR="00752EB4" w:rsidRPr="00C3310F">
        <w:rPr>
          <w:rFonts w:hint="eastAsia"/>
        </w:rPr>
        <w:t>占</w:t>
      </w:r>
      <w:r w:rsidRPr="00C3310F">
        <w:rPr>
          <w:rFonts w:hint="eastAsia"/>
        </w:rPr>
        <w:t>全部電信網路詐欺之50.55%，顯示政府應置重點於投資詐欺，始能有效打擊電信網路詐欺。</w:t>
      </w:r>
    </w:p>
    <w:p w14:paraId="27BD0A7B" w14:textId="07EE550E" w:rsidR="000B1C3C" w:rsidRPr="00C3310F" w:rsidRDefault="000B1C3C" w:rsidP="000B1C3C">
      <w:pPr>
        <w:pStyle w:val="a3"/>
        <w:rPr>
          <w:rFonts w:hint="eastAsia"/>
          <w:b/>
        </w:rPr>
      </w:pPr>
      <w:bookmarkStart w:id="898" w:name="_Toc172025221"/>
      <w:r w:rsidRPr="00C3310F">
        <w:rPr>
          <w:rFonts w:hint="eastAsia"/>
          <w:b/>
        </w:rPr>
        <w:t>打詐綱領1.0及1.5版所列詐騙案件樣態比較</w:t>
      </w:r>
      <w:bookmarkEnd w:id="898"/>
      <w:r w:rsidR="006279B5" w:rsidRPr="00C3310F">
        <w:rPr>
          <w:rFonts w:hint="eastAsia"/>
          <w:b/>
        </w:rPr>
        <w:t>(單位：％)</w:t>
      </w:r>
    </w:p>
    <w:tbl>
      <w:tblPr>
        <w:tblStyle w:val="af7"/>
        <w:tblW w:w="10065" w:type="dxa"/>
        <w:tblInd w:w="-289" w:type="dxa"/>
        <w:tblLook w:val="04A0" w:firstRow="1" w:lastRow="0" w:firstColumn="1" w:lastColumn="0" w:noHBand="0" w:noVBand="1"/>
      </w:tblPr>
      <w:tblGrid>
        <w:gridCol w:w="2269"/>
        <w:gridCol w:w="1984"/>
        <w:gridCol w:w="1418"/>
        <w:gridCol w:w="2126"/>
        <w:gridCol w:w="2268"/>
      </w:tblGrid>
      <w:tr w:rsidR="00C3310F" w:rsidRPr="00C3310F" w14:paraId="3066C00E" w14:textId="77777777" w:rsidTr="00F36DC0">
        <w:trPr>
          <w:trHeight w:val="58"/>
        </w:trPr>
        <w:tc>
          <w:tcPr>
            <w:tcW w:w="2269" w:type="dxa"/>
            <w:vMerge w:val="restart"/>
            <w:vAlign w:val="center"/>
          </w:tcPr>
          <w:p w14:paraId="1A47E4D5" w14:textId="77777777" w:rsidR="000B1C3C" w:rsidRPr="00C3310F" w:rsidRDefault="000B1C3C" w:rsidP="00F36DC0">
            <w:pPr>
              <w:spacing w:line="280" w:lineRule="exact"/>
              <w:jc w:val="center"/>
              <w:rPr>
                <w:sz w:val="28"/>
                <w:szCs w:val="28"/>
              </w:rPr>
            </w:pPr>
          </w:p>
        </w:tc>
        <w:tc>
          <w:tcPr>
            <w:tcW w:w="1984" w:type="dxa"/>
            <w:vAlign w:val="center"/>
          </w:tcPr>
          <w:p w14:paraId="5322722E" w14:textId="77777777" w:rsidR="000B1C3C" w:rsidRPr="00C3310F" w:rsidRDefault="000B1C3C" w:rsidP="00F36DC0">
            <w:pPr>
              <w:spacing w:line="280" w:lineRule="exact"/>
              <w:jc w:val="center"/>
              <w:rPr>
                <w:sz w:val="28"/>
                <w:szCs w:val="28"/>
              </w:rPr>
            </w:pPr>
            <w:r w:rsidRPr="00C3310F">
              <w:rPr>
                <w:rFonts w:hint="eastAsia"/>
                <w:sz w:val="28"/>
                <w:szCs w:val="28"/>
              </w:rPr>
              <w:t>打詐綱領1.0</w:t>
            </w:r>
          </w:p>
        </w:tc>
        <w:tc>
          <w:tcPr>
            <w:tcW w:w="3544" w:type="dxa"/>
            <w:gridSpan w:val="2"/>
            <w:vAlign w:val="center"/>
          </w:tcPr>
          <w:p w14:paraId="6B832E64" w14:textId="77777777" w:rsidR="000B1C3C" w:rsidRPr="00C3310F" w:rsidRDefault="000B1C3C" w:rsidP="00F36DC0">
            <w:pPr>
              <w:spacing w:line="280" w:lineRule="exact"/>
              <w:jc w:val="center"/>
              <w:rPr>
                <w:sz w:val="28"/>
                <w:szCs w:val="28"/>
              </w:rPr>
            </w:pPr>
            <w:r w:rsidRPr="00C3310F">
              <w:rPr>
                <w:rFonts w:hint="eastAsia"/>
                <w:sz w:val="28"/>
                <w:szCs w:val="28"/>
              </w:rPr>
              <w:t>打詐綱領1.5</w:t>
            </w:r>
          </w:p>
        </w:tc>
        <w:tc>
          <w:tcPr>
            <w:tcW w:w="2268" w:type="dxa"/>
            <w:vAlign w:val="center"/>
          </w:tcPr>
          <w:p w14:paraId="2297B0CF" w14:textId="77777777" w:rsidR="006279B5" w:rsidRPr="00C3310F" w:rsidRDefault="000B1C3C" w:rsidP="00F36DC0">
            <w:pPr>
              <w:spacing w:line="280" w:lineRule="exact"/>
              <w:jc w:val="center"/>
              <w:rPr>
                <w:sz w:val="28"/>
                <w:szCs w:val="28"/>
              </w:rPr>
            </w:pPr>
            <w:r w:rsidRPr="00C3310F">
              <w:rPr>
                <w:rFonts w:hint="eastAsia"/>
                <w:sz w:val="28"/>
                <w:szCs w:val="28"/>
              </w:rPr>
              <w:t>增/減幅</w:t>
            </w:r>
            <w:r w:rsidR="006279B5" w:rsidRPr="00C3310F">
              <w:rPr>
                <w:rFonts w:hint="eastAsia"/>
                <w:sz w:val="28"/>
                <w:szCs w:val="28"/>
              </w:rPr>
              <w:t>百分點</w:t>
            </w:r>
          </w:p>
        </w:tc>
      </w:tr>
      <w:tr w:rsidR="00C3310F" w:rsidRPr="00C3310F" w14:paraId="515D9188" w14:textId="77777777" w:rsidTr="00F36DC0">
        <w:trPr>
          <w:trHeight w:val="280"/>
        </w:trPr>
        <w:tc>
          <w:tcPr>
            <w:tcW w:w="2269" w:type="dxa"/>
            <w:vMerge/>
            <w:vAlign w:val="center"/>
          </w:tcPr>
          <w:p w14:paraId="70E29E2B" w14:textId="77777777" w:rsidR="000B1C3C" w:rsidRPr="00C3310F" w:rsidRDefault="000B1C3C" w:rsidP="00F36DC0">
            <w:pPr>
              <w:spacing w:line="280" w:lineRule="exact"/>
              <w:jc w:val="center"/>
              <w:rPr>
                <w:sz w:val="28"/>
                <w:szCs w:val="28"/>
              </w:rPr>
            </w:pPr>
          </w:p>
        </w:tc>
        <w:tc>
          <w:tcPr>
            <w:tcW w:w="1984" w:type="dxa"/>
            <w:vAlign w:val="center"/>
          </w:tcPr>
          <w:p w14:paraId="40DAC398" w14:textId="77777777" w:rsidR="000B1C3C" w:rsidRPr="00C3310F" w:rsidRDefault="000B1C3C" w:rsidP="00F36DC0">
            <w:pPr>
              <w:spacing w:line="280" w:lineRule="exact"/>
              <w:jc w:val="center"/>
              <w:rPr>
                <w:sz w:val="28"/>
                <w:szCs w:val="28"/>
              </w:rPr>
            </w:pPr>
            <w:r w:rsidRPr="00C3310F">
              <w:rPr>
                <w:rFonts w:hint="eastAsia"/>
                <w:sz w:val="28"/>
                <w:szCs w:val="28"/>
              </w:rPr>
              <w:t>案件比率</w:t>
            </w:r>
          </w:p>
        </w:tc>
        <w:tc>
          <w:tcPr>
            <w:tcW w:w="1418" w:type="dxa"/>
            <w:vAlign w:val="center"/>
          </w:tcPr>
          <w:p w14:paraId="238E6E52" w14:textId="77777777" w:rsidR="000B1C3C" w:rsidRPr="00C3310F" w:rsidRDefault="000B1C3C" w:rsidP="00F36DC0">
            <w:pPr>
              <w:spacing w:line="280" w:lineRule="exact"/>
              <w:jc w:val="center"/>
              <w:rPr>
                <w:sz w:val="28"/>
                <w:szCs w:val="28"/>
              </w:rPr>
            </w:pPr>
            <w:r w:rsidRPr="00C3310F">
              <w:rPr>
                <w:rFonts w:hint="eastAsia"/>
                <w:sz w:val="28"/>
                <w:szCs w:val="28"/>
              </w:rPr>
              <w:t>案件比率</w:t>
            </w:r>
          </w:p>
        </w:tc>
        <w:tc>
          <w:tcPr>
            <w:tcW w:w="2126" w:type="dxa"/>
            <w:vAlign w:val="center"/>
          </w:tcPr>
          <w:p w14:paraId="2A2AF9EF" w14:textId="77777777" w:rsidR="000B1C3C" w:rsidRPr="00C3310F" w:rsidRDefault="000B1C3C" w:rsidP="00F36DC0">
            <w:pPr>
              <w:spacing w:line="280" w:lineRule="exact"/>
              <w:jc w:val="center"/>
              <w:rPr>
                <w:sz w:val="28"/>
                <w:szCs w:val="28"/>
              </w:rPr>
            </w:pPr>
            <w:r w:rsidRPr="00C3310F">
              <w:rPr>
                <w:rFonts w:hint="eastAsia"/>
                <w:sz w:val="28"/>
                <w:szCs w:val="28"/>
              </w:rPr>
              <w:t>財損金額比率</w:t>
            </w:r>
          </w:p>
        </w:tc>
        <w:tc>
          <w:tcPr>
            <w:tcW w:w="2268" w:type="dxa"/>
            <w:vAlign w:val="center"/>
          </w:tcPr>
          <w:p w14:paraId="4DC31DDD" w14:textId="77777777" w:rsidR="000B1C3C" w:rsidRPr="00C3310F" w:rsidRDefault="000B1C3C" w:rsidP="00F36DC0">
            <w:pPr>
              <w:spacing w:line="280" w:lineRule="exact"/>
              <w:jc w:val="center"/>
              <w:rPr>
                <w:sz w:val="28"/>
                <w:szCs w:val="28"/>
              </w:rPr>
            </w:pPr>
            <w:r w:rsidRPr="00C3310F">
              <w:rPr>
                <w:rFonts w:hint="eastAsia"/>
                <w:sz w:val="28"/>
                <w:szCs w:val="28"/>
              </w:rPr>
              <w:t>案件比率</w:t>
            </w:r>
          </w:p>
        </w:tc>
      </w:tr>
      <w:tr w:rsidR="00C3310F" w:rsidRPr="00C3310F" w14:paraId="773F0632" w14:textId="77777777" w:rsidTr="00F36DC0">
        <w:tc>
          <w:tcPr>
            <w:tcW w:w="2269" w:type="dxa"/>
          </w:tcPr>
          <w:p w14:paraId="0DA4FDFA" w14:textId="77777777" w:rsidR="000B1C3C" w:rsidRPr="00C3310F" w:rsidRDefault="000B1C3C" w:rsidP="00F36DC0">
            <w:pPr>
              <w:spacing w:line="280" w:lineRule="exact"/>
              <w:rPr>
                <w:sz w:val="28"/>
                <w:szCs w:val="28"/>
              </w:rPr>
            </w:pPr>
            <w:r w:rsidRPr="00C3310F">
              <w:rPr>
                <w:rFonts w:hint="eastAsia"/>
                <w:sz w:val="28"/>
                <w:szCs w:val="28"/>
              </w:rPr>
              <w:t>假網路拍賣</w:t>
            </w:r>
          </w:p>
        </w:tc>
        <w:tc>
          <w:tcPr>
            <w:tcW w:w="1984" w:type="dxa"/>
          </w:tcPr>
          <w:p w14:paraId="0DB0250F" w14:textId="77777777" w:rsidR="000B1C3C" w:rsidRPr="00C3310F" w:rsidRDefault="000B1C3C" w:rsidP="00F36DC0">
            <w:pPr>
              <w:spacing w:line="280" w:lineRule="exact"/>
              <w:rPr>
                <w:sz w:val="28"/>
                <w:szCs w:val="28"/>
              </w:rPr>
            </w:pPr>
            <w:r w:rsidRPr="00C3310F">
              <w:rPr>
                <w:rFonts w:hint="eastAsia"/>
                <w:sz w:val="28"/>
                <w:szCs w:val="28"/>
              </w:rPr>
              <w:t>22.74%</w:t>
            </w:r>
          </w:p>
        </w:tc>
        <w:tc>
          <w:tcPr>
            <w:tcW w:w="1418" w:type="dxa"/>
          </w:tcPr>
          <w:p w14:paraId="398A5DA2" w14:textId="77777777" w:rsidR="000B1C3C" w:rsidRPr="00C3310F" w:rsidRDefault="000B1C3C" w:rsidP="00F36DC0">
            <w:pPr>
              <w:spacing w:line="280" w:lineRule="exact"/>
              <w:rPr>
                <w:sz w:val="28"/>
                <w:szCs w:val="28"/>
              </w:rPr>
            </w:pPr>
            <w:r w:rsidRPr="00C3310F">
              <w:rPr>
                <w:rFonts w:hint="eastAsia"/>
                <w:sz w:val="28"/>
                <w:szCs w:val="28"/>
              </w:rPr>
              <w:t>23.01%</w:t>
            </w:r>
          </w:p>
        </w:tc>
        <w:tc>
          <w:tcPr>
            <w:tcW w:w="2126" w:type="dxa"/>
          </w:tcPr>
          <w:p w14:paraId="0C36D7A3" w14:textId="77777777" w:rsidR="000B1C3C" w:rsidRPr="00C3310F" w:rsidRDefault="000B1C3C" w:rsidP="00F36DC0">
            <w:pPr>
              <w:spacing w:line="280" w:lineRule="exact"/>
              <w:rPr>
                <w:sz w:val="28"/>
                <w:szCs w:val="28"/>
              </w:rPr>
            </w:pPr>
            <w:r w:rsidRPr="00C3310F">
              <w:rPr>
                <w:rFonts w:hint="eastAsia"/>
                <w:sz w:val="28"/>
                <w:szCs w:val="28"/>
              </w:rPr>
              <w:t>6.27%</w:t>
            </w:r>
          </w:p>
        </w:tc>
        <w:tc>
          <w:tcPr>
            <w:tcW w:w="2268" w:type="dxa"/>
          </w:tcPr>
          <w:p w14:paraId="2EFB3C24" w14:textId="77777777" w:rsidR="000B1C3C" w:rsidRPr="00C3310F" w:rsidRDefault="000B1C3C" w:rsidP="00F36DC0">
            <w:pPr>
              <w:spacing w:line="280" w:lineRule="exact"/>
              <w:rPr>
                <w:sz w:val="28"/>
                <w:szCs w:val="28"/>
              </w:rPr>
            </w:pPr>
            <w:r w:rsidRPr="00C3310F">
              <w:rPr>
                <w:rFonts w:hint="eastAsia"/>
                <w:sz w:val="28"/>
                <w:szCs w:val="28"/>
              </w:rPr>
              <w:t>+0.27</w:t>
            </w:r>
          </w:p>
        </w:tc>
      </w:tr>
      <w:tr w:rsidR="00C3310F" w:rsidRPr="00C3310F" w14:paraId="367696D5" w14:textId="77777777" w:rsidTr="00F36DC0">
        <w:tc>
          <w:tcPr>
            <w:tcW w:w="2269" w:type="dxa"/>
          </w:tcPr>
          <w:p w14:paraId="47DD9331" w14:textId="77777777" w:rsidR="000B1C3C" w:rsidRPr="00C3310F" w:rsidRDefault="000B1C3C" w:rsidP="00F36DC0">
            <w:pPr>
              <w:spacing w:line="280" w:lineRule="exact"/>
              <w:rPr>
                <w:sz w:val="28"/>
                <w:szCs w:val="28"/>
              </w:rPr>
            </w:pPr>
            <w:r w:rsidRPr="00C3310F">
              <w:rPr>
                <w:rFonts w:hint="eastAsia"/>
                <w:sz w:val="28"/>
                <w:szCs w:val="28"/>
              </w:rPr>
              <w:t>投資詐欺</w:t>
            </w:r>
          </w:p>
        </w:tc>
        <w:tc>
          <w:tcPr>
            <w:tcW w:w="1984" w:type="dxa"/>
          </w:tcPr>
          <w:p w14:paraId="1A648F5A" w14:textId="77777777" w:rsidR="000B1C3C" w:rsidRPr="00C3310F" w:rsidRDefault="000B1C3C" w:rsidP="00F36DC0">
            <w:pPr>
              <w:spacing w:line="280" w:lineRule="exact"/>
              <w:rPr>
                <w:sz w:val="28"/>
                <w:szCs w:val="28"/>
              </w:rPr>
            </w:pPr>
            <w:r w:rsidRPr="00C3310F">
              <w:rPr>
                <w:rFonts w:hint="eastAsia"/>
                <w:sz w:val="28"/>
                <w:szCs w:val="28"/>
              </w:rPr>
              <w:t>19.8%</w:t>
            </w:r>
          </w:p>
        </w:tc>
        <w:tc>
          <w:tcPr>
            <w:tcW w:w="1418" w:type="dxa"/>
          </w:tcPr>
          <w:p w14:paraId="1EDC2D4A" w14:textId="77777777" w:rsidR="000B1C3C" w:rsidRPr="00C3310F" w:rsidRDefault="000B1C3C" w:rsidP="00F36DC0">
            <w:pPr>
              <w:spacing w:line="280" w:lineRule="exact"/>
              <w:rPr>
                <w:sz w:val="28"/>
                <w:szCs w:val="28"/>
              </w:rPr>
            </w:pPr>
            <w:r w:rsidRPr="00C3310F">
              <w:rPr>
                <w:rFonts w:hint="eastAsia"/>
                <w:sz w:val="28"/>
                <w:szCs w:val="28"/>
              </w:rPr>
              <w:t>22.17%</w:t>
            </w:r>
          </w:p>
        </w:tc>
        <w:tc>
          <w:tcPr>
            <w:tcW w:w="2126" w:type="dxa"/>
          </w:tcPr>
          <w:p w14:paraId="7FC22F32" w14:textId="77777777" w:rsidR="000B1C3C" w:rsidRPr="00C3310F" w:rsidRDefault="000B1C3C" w:rsidP="00F36DC0">
            <w:pPr>
              <w:spacing w:line="280" w:lineRule="exact"/>
              <w:rPr>
                <w:b/>
                <w:sz w:val="28"/>
                <w:szCs w:val="28"/>
              </w:rPr>
            </w:pPr>
            <w:r w:rsidRPr="00C3310F">
              <w:rPr>
                <w:rFonts w:hint="eastAsia"/>
                <w:b/>
                <w:sz w:val="28"/>
                <w:szCs w:val="28"/>
              </w:rPr>
              <w:t>50.55%</w:t>
            </w:r>
          </w:p>
        </w:tc>
        <w:tc>
          <w:tcPr>
            <w:tcW w:w="2268" w:type="dxa"/>
          </w:tcPr>
          <w:p w14:paraId="57997DA9" w14:textId="77777777" w:rsidR="000B1C3C" w:rsidRPr="00C3310F" w:rsidRDefault="000B1C3C" w:rsidP="00F36DC0">
            <w:pPr>
              <w:spacing w:line="280" w:lineRule="exact"/>
              <w:rPr>
                <w:b/>
                <w:sz w:val="28"/>
                <w:szCs w:val="28"/>
              </w:rPr>
            </w:pPr>
            <w:r w:rsidRPr="00C3310F">
              <w:rPr>
                <w:rFonts w:hint="eastAsia"/>
                <w:b/>
                <w:sz w:val="28"/>
                <w:szCs w:val="28"/>
              </w:rPr>
              <w:t>+2.37</w:t>
            </w:r>
          </w:p>
        </w:tc>
      </w:tr>
      <w:tr w:rsidR="00C3310F" w:rsidRPr="00C3310F" w14:paraId="1096C58C" w14:textId="77777777" w:rsidTr="00F36DC0">
        <w:tc>
          <w:tcPr>
            <w:tcW w:w="2269" w:type="dxa"/>
          </w:tcPr>
          <w:p w14:paraId="7E854C6E" w14:textId="77777777" w:rsidR="000B1C3C" w:rsidRPr="00C3310F" w:rsidRDefault="000B1C3C" w:rsidP="00F36DC0">
            <w:pPr>
              <w:spacing w:line="280" w:lineRule="exact"/>
              <w:rPr>
                <w:sz w:val="28"/>
                <w:szCs w:val="28"/>
              </w:rPr>
            </w:pPr>
            <w:r w:rsidRPr="00C3310F">
              <w:rPr>
                <w:rFonts w:hint="eastAsia"/>
                <w:sz w:val="28"/>
                <w:szCs w:val="28"/>
              </w:rPr>
              <w:t>解除分期付款</w:t>
            </w:r>
          </w:p>
        </w:tc>
        <w:tc>
          <w:tcPr>
            <w:tcW w:w="1984" w:type="dxa"/>
          </w:tcPr>
          <w:p w14:paraId="5AD21D1B" w14:textId="77777777" w:rsidR="000B1C3C" w:rsidRPr="00C3310F" w:rsidRDefault="000B1C3C" w:rsidP="00F36DC0">
            <w:pPr>
              <w:spacing w:line="280" w:lineRule="exact"/>
              <w:rPr>
                <w:sz w:val="28"/>
                <w:szCs w:val="28"/>
              </w:rPr>
            </w:pPr>
            <w:r w:rsidRPr="00C3310F">
              <w:rPr>
                <w:rFonts w:hint="eastAsia"/>
                <w:sz w:val="28"/>
                <w:szCs w:val="28"/>
              </w:rPr>
              <w:t>17.51%</w:t>
            </w:r>
          </w:p>
        </w:tc>
        <w:tc>
          <w:tcPr>
            <w:tcW w:w="1418" w:type="dxa"/>
          </w:tcPr>
          <w:p w14:paraId="49B38C78" w14:textId="77777777" w:rsidR="000B1C3C" w:rsidRPr="00C3310F" w:rsidRDefault="000B1C3C" w:rsidP="00F36DC0">
            <w:pPr>
              <w:spacing w:line="280" w:lineRule="exact"/>
              <w:rPr>
                <w:sz w:val="28"/>
                <w:szCs w:val="28"/>
              </w:rPr>
            </w:pPr>
            <w:r w:rsidRPr="00C3310F">
              <w:rPr>
                <w:rFonts w:hint="eastAsia"/>
                <w:sz w:val="28"/>
                <w:szCs w:val="28"/>
              </w:rPr>
              <w:t>17.23%</w:t>
            </w:r>
          </w:p>
        </w:tc>
        <w:tc>
          <w:tcPr>
            <w:tcW w:w="2126" w:type="dxa"/>
          </w:tcPr>
          <w:p w14:paraId="0820B482" w14:textId="77777777" w:rsidR="000B1C3C" w:rsidRPr="00C3310F" w:rsidRDefault="000B1C3C" w:rsidP="00F36DC0">
            <w:pPr>
              <w:spacing w:line="280" w:lineRule="exact"/>
              <w:rPr>
                <w:sz w:val="28"/>
                <w:szCs w:val="28"/>
              </w:rPr>
            </w:pPr>
            <w:r w:rsidRPr="00C3310F">
              <w:rPr>
                <w:rFonts w:hint="eastAsia"/>
                <w:sz w:val="28"/>
                <w:szCs w:val="28"/>
              </w:rPr>
              <w:t>10.39%</w:t>
            </w:r>
          </w:p>
        </w:tc>
        <w:tc>
          <w:tcPr>
            <w:tcW w:w="2268" w:type="dxa"/>
          </w:tcPr>
          <w:p w14:paraId="69B99BB1" w14:textId="77777777" w:rsidR="000B1C3C" w:rsidRPr="00C3310F" w:rsidRDefault="000B1C3C" w:rsidP="00F36DC0">
            <w:pPr>
              <w:spacing w:line="280" w:lineRule="exact"/>
              <w:rPr>
                <w:sz w:val="28"/>
                <w:szCs w:val="28"/>
              </w:rPr>
            </w:pPr>
            <w:r w:rsidRPr="00C3310F">
              <w:rPr>
                <w:rFonts w:hint="eastAsia"/>
                <w:sz w:val="28"/>
                <w:szCs w:val="28"/>
              </w:rPr>
              <w:t>-0.28</w:t>
            </w:r>
          </w:p>
        </w:tc>
      </w:tr>
      <w:tr w:rsidR="00C3310F" w:rsidRPr="00C3310F" w14:paraId="6638CD60" w14:textId="77777777" w:rsidTr="00F36DC0">
        <w:tc>
          <w:tcPr>
            <w:tcW w:w="2269" w:type="dxa"/>
          </w:tcPr>
          <w:p w14:paraId="03254316" w14:textId="77777777" w:rsidR="000B1C3C" w:rsidRPr="00C3310F" w:rsidRDefault="000B1C3C" w:rsidP="00F36DC0">
            <w:pPr>
              <w:spacing w:line="280" w:lineRule="exact"/>
              <w:rPr>
                <w:sz w:val="28"/>
                <w:szCs w:val="28"/>
              </w:rPr>
            </w:pPr>
            <w:r w:rsidRPr="00C3310F">
              <w:rPr>
                <w:rFonts w:hint="eastAsia"/>
                <w:sz w:val="28"/>
                <w:szCs w:val="28"/>
              </w:rPr>
              <w:t>猜猜我是誰</w:t>
            </w:r>
          </w:p>
        </w:tc>
        <w:tc>
          <w:tcPr>
            <w:tcW w:w="1984" w:type="dxa"/>
          </w:tcPr>
          <w:p w14:paraId="478B5173" w14:textId="77777777" w:rsidR="000B1C3C" w:rsidRPr="00C3310F" w:rsidRDefault="000B1C3C" w:rsidP="00F36DC0">
            <w:pPr>
              <w:spacing w:line="280" w:lineRule="exact"/>
              <w:rPr>
                <w:sz w:val="28"/>
                <w:szCs w:val="28"/>
              </w:rPr>
            </w:pPr>
            <w:r w:rsidRPr="00C3310F">
              <w:rPr>
                <w:rFonts w:hint="eastAsia"/>
                <w:sz w:val="28"/>
                <w:szCs w:val="28"/>
              </w:rPr>
              <w:t>7.11%</w:t>
            </w:r>
          </w:p>
        </w:tc>
        <w:tc>
          <w:tcPr>
            <w:tcW w:w="1418" w:type="dxa"/>
          </w:tcPr>
          <w:p w14:paraId="46C073EF" w14:textId="77777777" w:rsidR="000B1C3C" w:rsidRPr="00C3310F" w:rsidRDefault="000B1C3C" w:rsidP="00F36DC0">
            <w:pPr>
              <w:spacing w:line="280" w:lineRule="exact"/>
              <w:rPr>
                <w:sz w:val="28"/>
                <w:szCs w:val="28"/>
              </w:rPr>
            </w:pPr>
            <w:r w:rsidRPr="00C3310F">
              <w:rPr>
                <w:rFonts w:hint="eastAsia"/>
                <w:sz w:val="28"/>
                <w:szCs w:val="28"/>
              </w:rPr>
              <w:t>-</w:t>
            </w:r>
          </w:p>
        </w:tc>
        <w:tc>
          <w:tcPr>
            <w:tcW w:w="2126" w:type="dxa"/>
          </w:tcPr>
          <w:p w14:paraId="602C696B" w14:textId="77777777" w:rsidR="000B1C3C" w:rsidRPr="00C3310F" w:rsidRDefault="000B1C3C" w:rsidP="00F36DC0">
            <w:pPr>
              <w:spacing w:line="280" w:lineRule="exact"/>
              <w:rPr>
                <w:sz w:val="28"/>
                <w:szCs w:val="28"/>
              </w:rPr>
            </w:pPr>
            <w:r w:rsidRPr="00C3310F">
              <w:rPr>
                <w:rFonts w:hint="eastAsia"/>
                <w:sz w:val="28"/>
                <w:szCs w:val="28"/>
              </w:rPr>
              <w:t>-</w:t>
            </w:r>
          </w:p>
        </w:tc>
        <w:tc>
          <w:tcPr>
            <w:tcW w:w="2268" w:type="dxa"/>
          </w:tcPr>
          <w:p w14:paraId="22D526A8" w14:textId="77777777" w:rsidR="000B1C3C" w:rsidRPr="00C3310F" w:rsidRDefault="000B1C3C" w:rsidP="00F36DC0">
            <w:pPr>
              <w:spacing w:line="280" w:lineRule="exact"/>
              <w:rPr>
                <w:sz w:val="28"/>
                <w:szCs w:val="28"/>
              </w:rPr>
            </w:pPr>
            <w:r w:rsidRPr="00C3310F">
              <w:rPr>
                <w:rFonts w:hint="eastAsia"/>
                <w:sz w:val="28"/>
                <w:szCs w:val="28"/>
              </w:rPr>
              <w:t>-</w:t>
            </w:r>
          </w:p>
        </w:tc>
      </w:tr>
      <w:tr w:rsidR="00C3310F" w:rsidRPr="00C3310F" w14:paraId="0C14F295" w14:textId="77777777" w:rsidTr="00F36DC0">
        <w:tc>
          <w:tcPr>
            <w:tcW w:w="2269" w:type="dxa"/>
          </w:tcPr>
          <w:p w14:paraId="2C2BCD9E" w14:textId="77777777" w:rsidR="000B1C3C" w:rsidRPr="00C3310F" w:rsidRDefault="000B1C3C" w:rsidP="00F36DC0">
            <w:pPr>
              <w:spacing w:line="280" w:lineRule="exact"/>
              <w:rPr>
                <w:sz w:val="28"/>
                <w:szCs w:val="28"/>
              </w:rPr>
            </w:pPr>
            <w:r w:rsidRPr="00C3310F">
              <w:rPr>
                <w:rFonts w:hint="eastAsia"/>
                <w:sz w:val="28"/>
                <w:szCs w:val="28"/>
              </w:rPr>
              <w:t>假愛情交友</w:t>
            </w:r>
          </w:p>
        </w:tc>
        <w:tc>
          <w:tcPr>
            <w:tcW w:w="1984" w:type="dxa"/>
          </w:tcPr>
          <w:p w14:paraId="277BF5E6" w14:textId="77777777" w:rsidR="000B1C3C" w:rsidRPr="00C3310F" w:rsidRDefault="000B1C3C" w:rsidP="00F36DC0">
            <w:pPr>
              <w:spacing w:line="280" w:lineRule="exact"/>
              <w:rPr>
                <w:sz w:val="28"/>
                <w:szCs w:val="28"/>
              </w:rPr>
            </w:pPr>
            <w:r w:rsidRPr="00C3310F">
              <w:rPr>
                <w:rFonts w:hint="eastAsia"/>
                <w:sz w:val="28"/>
                <w:szCs w:val="28"/>
              </w:rPr>
              <w:t>4.75%</w:t>
            </w:r>
          </w:p>
        </w:tc>
        <w:tc>
          <w:tcPr>
            <w:tcW w:w="1418" w:type="dxa"/>
          </w:tcPr>
          <w:p w14:paraId="599547AD" w14:textId="77777777" w:rsidR="000B1C3C" w:rsidRPr="00C3310F" w:rsidRDefault="000B1C3C" w:rsidP="00F36DC0">
            <w:pPr>
              <w:spacing w:line="280" w:lineRule="exact"/>
              <w:rPr>
                <w:sz w:val="28"/>
                <w:szCs w:val="28"/>
              </w:rPr>
            </w:pPr>
            <w:r w:rsidRPr="00C3310F">
              <w:rPr>
                <w:rFonts w:hint="eastAsia"/>
                <w:sz w:val="28"/>
                <w:szCs w:val="28"/>
              </w:rPr>
              <w:t>-</w:t>
            </w:r>
          </w:p>
        </w:tc>
        <w:tc>
          <w:tcPr>
            <w:tcW w:w="2126" w:type="dxa"/>
          </w:tcPr>
          <w:p w14:paraId="4EEBB0DB" w14:textId="77777777" w:rsidR="000B1C3C" w:rsidRPr="00C3310F" w:rsidRDefault="000B1C3C" w:rsidP="00F36DC0">
            <w:pPr>
              <w:spacing w:line="280" w:lineRule="exact"/>
              <w:rPr>
                <w:sz w:val="28"/>
                <w:szCs w:val="28"/>
              </w:rPr>
            </w:pPr>
            <w:r w:rsidRPr="00C3310F">
              <w:rPr>
                <w:rFonts w:hint="eastAsia"/>
                <w:sz w:val="28"/>
                <w:szCs w:val="28"/>
              </w:rPr>
              <w:t>-</w:t>
            </w:r>
          </w:p>
        </w:tc>
        <w:tc>
          <w:tcPr>
            <w:tcW w:w="2268" w:type="dxa"/>
          </w:tcPr>
          <w:p w14:paraId="42ECA8CF" w14:textId="77777777" w:rsidR="000B1C3C" w:rsidRPr="00C3310F" w:rsidRDefault="000B1C3C" w:rsidP="00F36DC0">
            <w:pPr>
              <w:spacing w:line="280" w:lineRule="exact"/>
              <w:rPr>
                <w:sz w:val="28"/>
                <w:szCs w:val="28"/>
              </w:rPr>
            </w:pPr>
            <w:r w:rsidRPr="00C3310F">
              <w:rPr>
                <w:rFonts w:hint="eastAsia"/>
                <w:sz w:val="28"/>
                <w:szCs w:val="28"/>
              </w:rPr>
              <w:t>-</w:t>
            </w:r>
          </w:p>
        </w:tc>
      </w:tr>
    </w:tbl>
    <w:p w14:paraId="1AAAE864" w14:textId="77777777" w:rsidR="000B1C3C" w:rsidRPr="00C3310F" w:rsidRDefault="000B1C3C" w:rsidP="00F36DC0">
      <w:pPr>
        <w:spacing w:line="280" w:lineRule="exact"/>
        <w:rPr>
          <w:sz w:val="28"/>
        </w:rPr>
      </w:pPr>
      <w:r w:rsidRPr="00C3310F">
        <w:rPr>
          <w:rFonts w:hint="eastAsia"/>
          <w:sz w:val="28"/>
        </w:rPr>
        <w:t>資料來源:本院自行整理</w:t>
      </w:r>
    </w:p>
    <w:p w14:paraId="29A208E4" w14:textId="4A063581" w:rsidR="000B1C3C" w:rsidRPr="00C3310F" w:rsidRDefault="000B1C3C" w:rsidP="000B1C3C">
      <w:pPr>
        <w:pStyle w:val="4"/>
        <w:spacing w:beforeLines="50" w:before="228"/>
      </w:pPr>
      <w:r w:rsidRPr="00C3310F">
        <w:rPr>
          <w:rFonts w:hint="eastAsia"/>
        </w:rPr>
        <w:lastRenderedPageBreak/>
        <w:t>有關「識詐」、「堵詐」、「阻詐」相關法規及行政規管等上游清源措施重要性之質化性描述，普遍見於</w:t>
      </w:r>
      <w:r w:rsidR="00A1409C" w:rsidRPr="00C3310F">
        <w:rPr>
          <w:rFonts w:hint="eastAsia"/>
        </w:rPr>
        <w:t>本調查研究</w:t>
      </w:r>
      <w:r w:rsidRPr="00C3310F">
        <w:rPr>
          <w:rFonts w:hint="eastAsia"/>
        </w:rPr>
        <w:t>所蒐整之文獻及報告中，而本院諮詢學者專家及第一線偵辦案件之基層檢察官亦持續針對行政措施缺漏不斷提出建言，爰不贅述；行政院有鑑於此，陸續修訂「打詐五法」，並推動「打詐新四法」等，以全面補強規管漏洞並提高嚇阻力，至113年5月9日公布「『打詐綱領1.5』執行成效與策進」時，已能提出初步法制及成效行政規管成效如下：</w:t>
      </w:r>
    </w:p>
    <w:p w14:paraId="483BCE05" w14:textId="4D98B37E" w:rsidR="000B1C3C" w:rsidRPr="00C3310F" w:rsidRDefault="000B1C3C" w:rsidP="000B1C3C">
      <w:pPr>
        <w:pStyle w:val="5"/>
      </w:pPr>
      <w:r w:rsidRPr="00C3310F">
        <w:rPr>
          <w:rFonts w:hint="eastAsia"/>
        </w:rPr>
        <w:t>112年度分層分眾識詐宣導總觸及人數達3億3千萬人次。</w:t>
      </w:r>
    </w:p>
    <w:p w14:paraId="395B82B0" w14:textId="004C8539" w:rsidR="000B1C3C" w:rsidRPr="00C3310F" w:rsidRDefault="000B1C3C" w:rsidP="000B1C3C">
      <w:pPr>
        <w:pStyle w:val="5"/>
      </w:pPr>
      <w:r w:rsidRPr="00C3310F">
        <w:rPr>
          <w:rFonts w:hint="eastAsia"/>
        </w:rPr>
        <w:t>攔阻與圈存金額達93.79億元。</w:t>
      </w:r>
    </w:p>
    <w:p w14:paraId="06B170DC" w14:textId="77777777" w:rsidR="000B1C3C" w:rsidRPr="00C3310F" w:rsidRDefault="000B1C3C" w:rsidP="000B1C3C">
      <w:pPr>
        <w:pStyle w:val="5"/>
      </w:pPr>
      <w:r w:rsidRPr="00C3310F">
        <w:rPr>
          <w:rFonts w:hint="eastAsia"/>
        </w:rPr>
        <w:t>112年6月起至113年3月，建置國際來話攔阻及警示機制後，「+886」國際來話話務量相較實施前已大幅減少96.7%。</w:t>
      </w:r>
    </w:p>
    <w:p w14:paraId="60435002" w14:textId="547B34A6" w:rsidR="000B1C3C" w:rsidRPr="00C3310F" w:rsidRDefault="000B1C3C" w:rsidP="000B1C3C">
      <w:pPr>
        <w:pStyle w:val="5"/>
      </w:pPr>
      <w:r w:rsidRPr="00C3310F">
        <w:rPr>
          <w:rFonts w:hint="eastAsia"/>
        </w:rPr>
        <w:t>推動「111政府專屬短碼簡訊」，目前已經有122個機關完全導入。</w:t>
      </w:r>
    </w:p>
    <w:p w14:paraId="11613D63" w14:textId="11E7ED9C" w:rsidR="000B1C3C" w:rsidRPr="00C3310F" w:rsidRDefault="000B1C3C" w:rsidP="000B1C3C">
      <w:pPr>
        <w:pStyle w:val="5"/>
      </w:pPr>
      <w:r w:rsidRPr="00C3310F">
        <w:rPr>
          <w:rFonts w:hint="eastAsia"/>
        </w:rPr>
        <w:t>有</w:t>
      </w:r>
      <w:r w:rsidRPr="00C3310F">
        <w:t>5</w:t>
      </w:r>
      <w:r w:rsidRPr="00C3310F">
        <w:rPr>
          <w:rFonts w:hint="eastAsia"/>
        </w:rPr>
        <w:t>家業者導入「物流隱碼」技術。</w:t>
      </w:r>
    </w:p>
    <w:p w14:paraId="5A7CBE94" w14:textId="77777777" w:rsidR="000B1C3C" w:rsidRPr="00C3310F" w:rsidRDefault="000B1C3C" w:rsidP="000B1C3C">
      <w:pPr>
        <w:pStyle w:val="5"/>
      </w:pPr>
      <w:r w:rsidRPr="00C3310F">
        <w:rPr>
          <w:rFonts w:hint="eastAsia"/>
        </w:rPr>
        <w:t>透過強化管理電子支付的帳戶，警示帳戶的數目也下降了91%。</w:t>
      </w:r>
    </w:p>
    <w:p w14:paraId="7EA815C5" w14:textId="77777777" w:rsidR="000B1C3C" w:rsidRPr="00C3310F" w:rsidRDefault="000B1C3C" w:rsidP="000B1C3C">
      <w:pPr>
        <w:pStyle w:val="5"/>
      </w:pPr>
      <w:r w:rsidRPr="00C3310F">
        <w:rPr>
          <w:rFonts w:hint="eastAsia"/>
        </w:rPr>
        <w:t>建立「遊戲點數防詐鎖卡平臺」，國內遊戲點數詐騙的案件也減少了94%。</w:t>
      </w:r>
    </w:p>
    <w:p w14:paraId="115816E3" w14:textId="3A89EC0C" w:rsidR="000B1C3C" w:rsidRPr="00C3310F" w:rsidRDefault="000B1C3C" w:rsidP="000B1C3C">
      <w:pPr>
        <w:pStyle w:val="4"/>
      </w:pPr>
      <w:r w:rsidRPr="00C3310F">
        <w:rPr>
          <w:rFonts w:hint="eastAsia"/>
        </w:rPr>
        <w:t>行政院113年5月9日公布「『打詐綱領1.5』執行成效與策進」新聞稿坦承「目前詐欺案件仍處嚴峻的高原期」，並說明打</w:t>
      </w:r>
      <w:r w:rsidR="00A1409C" w:rsidRPr="00C3310F">
        <w:rPr>
          <w:rFonts w:hint="eastAsia"/>
        </w:rPr>
        <w:t>詐騙集團</w:t>
      </w:r>
      <w:r w:rsidRPr="00C3310F">
        <w:rPr>
          <w:rFonts w:hint="eastAsia"/>
        </w:rPr>
        <w:t>隊將持續努力，針對詐欺集團新興手法，提出應處與阻絕措施，滾動式修正，除擬具打詐專法（詐欺犯罪危害防制條例）及配套三法（科技偵查及保障法、通訊保障及監察</w:t>
      </w:r>
      <w:r w:rsidRPr="00C3310F">
        <w:rPr>
          <w:rFonts w:hint="eastAsia"/>
        </w:rPr>
        <w:lastRenderedPageBreak/>
        <w:t>法、洗錢防制法）</w:t>
      </w:r>
      <w:r w:rsidR="009B2196" w:rsidRPr="00C3310F">
        <w:rPr>
          <w:rStyle w:val="afe"/>
        </w:rPr>
        <w:footnoteReference w:id="61"/>
      </w:r>
      <w:r w:rsidRPr="00C3310F">
        <w:rPr>
          <w:rFonts w:hint="eastAsia"/>
        </w:rPr>
        <w:t>，強化防詐法制規範外，亦將研修「新世代打擊詐欺策略行動綱領2.0版」，結合技術面，形成綿密的防詐保護網絡，保障民眾財產安全。</w:t>
      </w:r>
    </w:p>
    <w:p w14:paraId="7B72C0BA" w14:textId="77777777" w:rsidR="000B1C3C" w:rsidRPr="00C3310F" w:rsidRDefault="000B1C3C" w:rsidP="000B1C3C">
      <w:pPr>
        <w:pStyle w:val="4"/>
      </w:pPr>
      <w:r w:rsidRPr="00C3310F">
        <w:rPr>
          <w:rFonts w:hint="eastAsia"/>
        </w:rPr>
        <w:t>復查高檢署提供資料，各地檢署110年電信網路詐欺案件新收案數為</w:t>
      </w:r>
      <w:r w:rsidRPr="00C3310F">
        <w:t>98,256</w:t>
      </w:r>
      <w:r w:rsidRPr="00C3310F">
        <w:rPr>
          <w:rFonts w:hint="eastAsia"/>
        </w:rPr>
        <w:t>件，111年暴增至160,803件，112年再成長至229</w:t>
      </w:r>
      <w:r w:rsidRPr="00C3310F">
        <w:t>,</w:t>
      </w:r>
      <w:r w:rsidRPr="00C3310F">
        <w:rPr>
          <w:rFonts w:hint="eastAsia"/>
        </w:rPr>
        <w:t>711件；換言之110至111年之電信網路詐欺案件新收案件年增率高達63.7%，而111年至112年之年增率則降為42.9%，</w:t>
      </w:r>
      <w:r w:rsidR="003977B9" w:rsidRPr="00C3310F">
        <w:rPr>
          <w:rFonts w:hint="eastAsia"/>
        </w:rPr>
        <w:t>另查高檢署最新資料，113年1至5月份新收案件數為74,317件，僅112年全年度之32%，</w:t>
      </w:r>
      <w:r w:rsidRPr="00C3310F">
        <w:rPr>
          <w:rFonts w:hint="eastAsia"/>
        </w:rPr>
        <w:t>亦可佐證電信網路詐欺仍在持續高發，惟其成長率已有趨緩跡象。</w:t>
      </w:r>
    </w:p>
    <w:p w14:paraId="7C589D99" w14:textId="75DF74DE" w:rsidR="00F7422B" w:rsidRPr="00C3310F" w:rsidRDefault="000B1C3C" w:rsidP="003E1E62">
      <w:pPr>
        <w:pStyle w:val="3"/>
        <w:ind w:hanging="680"/>
      </w:pPr>
      <w:bookmarkStart w:id="899" w:name="_Toc171525578"/>
      <w:bookmarkStart w:id="900" w:name="_Toc172024099"/>
      <w:bookmarkStart w:id="901" w:name="_Toc172033422"/>
      <w:r w:rsidRPr="00C3310F">
        <w:rPr>
          <w:rFonts w:hint="eastAsia"/>
        </w:rPr>
        <w:t>綜上，基於「打詐五法」及配套之行政規管措施施行未久，其效益恐尚未充分顯現，而「打詐新四法」</w:t>
      </w:r>
      <w:r w:rsidR="009A785F" w:rsidRPr="00C3310F">
        <w:rPr>
          <w:rFonts w:hint="eastAsia"/>
        </w:rPr>
        <w:t>雖已陸續於</w:t>
      </w:r>
      <w:r w:rsidR="00472252" w:rsidRPr="00C3310F">
        <w:rPr>
          <w:rFonts w:hint="eastAsia"/>
        </w:rPr>
        <w:t>113年</w:t>
      </w:r>
      <w:r w:rsidR="00D47C52" w:rsidRPr="00C3310F">
        <w:rPr>
          <w:rFonts w:hint="eastAsia"/>
        </w:rPr>
        <w:t>7月</w:t>
      </w:r>
      <w:r w:rsidR="009A785F" w:rsidRPr="00C3310F">
        <w:rPr>
          <w:rFonts w:hint="eastAsia"/>
        </w:rPr>
        <w:t>前完成修法，相關成效亦有待觀察，</w:t>
      </w:r>
      <w:r w:rsidRPr="00C3310F">
        <w:rPr>
          <w:rFonts w:hint="eastAsia"/>
        </w:rPr>
        <w:t>建議政府持續積極檢視行政先行措施稍嫌薄弱之環節，包括堵詐面之門號核配及數位</w:t>
      </w:r>
      <w:r w:rsidR="0004575A" w:rsidRPr="00C3310F">
        <w:rPr>
          <w:rFonts w:hint="eastAsia"/>
        </w:rPr>
        <w:t>平臺</w:t>
      </w:r>
      <w:r w:rsidRPr="00C3310F">
        <w:rPr>
          <w:rFonts w:hint="eastAsia"/>
        </w:rPr>
        <w:t>治理，阻詐面之人頭帳戶及虛擬貨幣控管等等，同時適度檢討削減事倍功半之打詐措施(如網域停止解析等)，</w:t>
      </w:r>
      <w:r w:rsidR="00A1409C" w:rsidRPr="00C3310F">
        <w:rPr>
          <w:rFonts w:hint="eastAsia"/>
        </w:rPr>
        <w:t>本調查研究</w:t>
      </w:r>
      <w:r w:rsidRPr="00C3310F">
        <w:rPr>
          <w:rFonts w:hint="eastAsia"/>
        </w:rPr>
        <w:t>亦將逐一臚陳於後續結論與建議，俾透過上游清源防制提高整體打詐綜效。</w:t>
      </w:r>
      <w:bookmarkEnd w:id="899"/>
      <w:bookmarkEnd w:id="900"/>
      <w:bookmarkEnd w:id="901"/>
    </w:p>
    <w:p w14:paraId="3D85F3D8" w14:textId="3DFA97D6" w:rsidR="000B1C3C" w:rsidRPr="00C3310F" w:rsidRDefault="00F7422B" w:rsidP="00F7422B">
      <w:pPr>
        <w:widowControl/>
        <w:overflowPunct/>
        <w:autoSpaceDE/>
        <w:autoSpaceDN/>
        <w:jc w:val="left"/>
        <w:rPr>
          <w:rFonts w:hAnsi="Arial"/>
          <w:bCs/>
          <w:kern w:val="32"/>
          <w:szCs w:val="36"/>
        </w:rPr>
      </w:pPr>
      <w:r w:rsidRPr="00C3310F">
        <w:br w:type="page"/>
      </w:r>
    </w:p>
    <w:p w14:paraId="3A92FBCD" w14:textId="77777777" w:rsidR="000B1C3C" w:rsidRPr="00C3310F" w:rsidRDefault="000B1C3C" w:rsidP="000B1C3C">
      <w:pPr>
        <w:pStyle w:val="2"/>
        <w:ind w:left="1023"/>
        <w:rPr>
          <w:b/>
        </w:rPr>
      </w:pPr>
      <w:bookmarkStart w:id="902" w:name="_Toc172033423"/>
      <w:r w:rsidRPr="00C3310F">
        <w:rPr>
          <w:rFonts w:hAnsi="標楷體" w:hint="eastAsia"/>
          <w:b/>
        </w:rPr>
        <w:lastRenderedPageBreak/>
        <w:t>「</w:t>
      </w:r>
      <w:r w:rsidRPr="00C3310F">
        <w:rPr>
          <w:rFonts w:hint="eastAsia"/>
          <w:b/>
        </w:rPr>
        <w:t>識詐</w:t>
      </w:r>
      <w:r w:rsidRPr="00C3310F">
        <w:rPr>
          <w:rFonts w:hAnsi="標楷體" w:hint="eastAsia"/>
          <w:b/>
        </w:rPr>
        <w:t>」</w:t>
      </w:r>
      <w:r w:rsidRPr="00C3310F">
        <w:rPr>
          <w:rFonts w:hint="eastAsia"/>
          <w:b/>
        </w:rPr>
        <w:t>主要目標係降低被害人之風險，提升民眾防詐能力，行政院雖已動員1</w:t>
      </w:r>
      <w:r w:rsidRPr="00C3310F">
        <w:rPr>
          <w:b/>
        </w:rPr>
        <w:t>6</w:t>
      </w:r>
      <w:r w:rsidRPr="00C3310F">
        <w:rPr>
          <w:rFonts w:hint="eastAsia"/>
          <w:b/>
        </w:rPr>
        <w:t>個部會、挹注大量資源且極盡所能透過分層、分眾、分齡進行宣導，112年觸及人數已達3億3千萬人次，卻尚未有效抑制詐欺案件之成長。本調查研究經綜整國內外文獻、機關查復資料及學者專家意見發現，首先相較於國際，我國民眾對自身識別詐騙之能力仍過於自信及抱持冒險心態，有待政府設法扭轉；其次，長期高強度且重複之宣導有邊際效用遞減之虞；最後，政府識詐措施之績效指標均「以量取勝」，</w:t>
      </w:r>
      <w:bookmarkStart w:id="903" w:name="_Hlk174459696"/>
      <w:r w:rsidR="00C86CDB" w:rsidRPr="00C3310F">
        <w:rPr>
          <w:rFonts w:hint="eastAsia"/>
          <w:b/>
        </w:rPr>
        <w:t>缺乏措施與效用間之因果關係連結</w:t>
      </w:r>
      <w:bookmarkEnd w:id="903"/>
      <w:r w:rsidRPr="00C3310F">
        <w:rPr>
          <w:rFonts w:hint="eastAsia"/>
          <w:b/>
        </w:rPr>
        <w:t>；為避免識詐相關措施事倍功半，政府</w:t>
      </w:r>
      <w:r w:rsidR="006279B5" w:rsidRPr="00C3310F">
        <w:rPr>
          <w:rFonts w:hint="eastAsia"/>
          <w:b/>
        </w:rPr>
        <w:t>允宜</w:t>
      </w:r>
      <w:r w:rsidRPr="00C3310F">
        <w:rPr>
          <w:rFonts w:hint="eastAsia"/>
          <w:b/>
        </w:rPr>
        <w:t>在識詐策略方面導入「公私協力」及「循證治理」概念，俾提升政策效果。</w:t>
      </w:r>
      <w:bookmarkEnd w:id="902"/>
    </w:p>
    <w:p w14:paraId="33D2B553" w14:textId="1AF495EC" w:rsidR="000B1C3C" w:rsidRPr="00C3310F" w:rsidRDefault="000B1C3C" w:rsidP="000B1C3C">
      <w:pPr>
        <w:pStyle w:val="3"/>
        <w:rPr>
          <w:b/>
        </w:rPr>
      </w:pPr>
      <w:bookmarkStart w:id="904" w:name="_Toc171525580"/>
      <w:bookmarkStart w:id="905" w:name="_Toc172024101"/>
      <w:bookmarkStart w:id="906" w:name="_Toc172033424"/>
      <w:r w:rsidRPr="00C3310F">
        <w:rPr>
          <w:rFonts w:hint="eastAsia"/>
        </w:rPr>
        <w:t>識詐為預防之概念，先阻絕可能發生之詐騙於前期，阻止詐騙集團戕害民眾財產乃之於人身之安全，因此，提升全民識詐</w:t>
      </w:r>
      <w:r w:rsidR="006279B5" w:rsidRPr="00C3310F">
        <w:rPr>
          <w:rFonts w:hint="eastAsia"/>
        </w:rPr>
        <w:t>能</w:t>
      </w:r>
      <w:r w:rsidRPr="00C3310F">
        <w:rPr>
          <w:rFonts w:hint="eastAsia"/>
        </w:rPr>
        <w:t>力、讓民眾對於詐騙手法有所認知，以及在識詐宣導上達到素材的「質」，與宣導觸及人次的「量」並俱，且「識詐是成本最小，效益最大之良善</w:t>
      </w:r>
      <w:r w:rsidR="003E1E62" w:rsidRPr="00C3310F">
        <w:rPr>
          <w:rFonts w:hint="eastAsia"/>
        </w:rPr>
        <w:t>作</w:t>
      </w:r>
      <w:r w:rsidRPr="00C3310F">
        <w:rPr>
          <w:rFonts w:hint="eastAsia"/>
        </w:rPr>
        <w:t>法」。因此識詐於「打詐綱領1.5版」列為最上游之詐欺犯罪打擊措施，綱領中敘明，「識詐」由內政部擔任統籌機關，從民眾角度思考如何降低被害風險，強化分層、分眾、分齡犯罪預防宣導工作，提升民眾防詐免疫力，迄至112年底，識詐措施的觸及人數已達</w:t>
      </w:r>
      <w:r w:rsidRPr="00C3310F">
        <w:rPr>
          <w:rFonts w:hint="eastAsia"/>
          <w:b/>
        </w:rPr>
        <w:t>3億3千萬人次，每人每年所接觸到的識詐宣導高達14次，然而詐欺犯罪仍然處於高發狀態，有進一步探討之必要。</w:t>
      </w:r>
      <w:bookmarkEnd w:id="904"/>
      <w:bookmarkEnd w:id="905"/>
      <w:bookmarkEnd w:id="906"/>
    </w:p>
    <w:p w14:paraId="3583006D" w14:textId="77777777" w:rsidR="000B1C3C" w:rsidRPr="00C3310F" w:rsidRDefault="000B1C3C" w:rsidP="000B1C3C">
      <w:pPr>
        <w:pStyle w:val="4"/>
      </w:pPr>
      <w:r w:rsidRPr="00C3310F">
        <w:rPr>
          <w:rFonts w:hint="eastAsia"/>
        </w:rPr>
        <w:t>依據警政署提供資料，識詐領域由內政部擔任統籌機關，而協辦機關包括法務部、教育部、國防部、勞動部、衛生福利部、金管會、國軍退除役官兵輔導委員會、公平交易委員會、通傳會、原住民</w:t>
      </w:r>
      <w:r w:rsidR="00C86CDB" w:rsidRPr="00C3310F">
        <w:rPr>
          <w:rFonts w:hint="eastAsia"/>
        </w:rPr>
        <w:lastRenderedPageBreak/>
        <w:t>族</w:t>
      </w:r>
      <w:r w:rsidRPr="00C3310F">
        <w:rPr>
          <w:rFonts w:hint="eastAsia"/>
        </w:rPr>
        <w:t>委員會、客家委員會、農業部、交通部、外交部、行政院消費者保護處及新聞傳播處、經濟部等，高達16個部會，並均訂定工作項目，顯見行政院在識詐方面已全面動員部會。</w:t>
      </w:r>
    </w:p>
    <w:p w14:paraId="7DB4362D" w14:textId="77777777" w:rsidR="000B1C3C" w:rsidRPr="00C3310F" w:rsidRDefault="000B1C3C" w:rsidP="000B1C3C">
      <w:pPr>
        <w:pStyle w:val="4"/>
      </w:pPr>
      <w:r w:rsidRPr="00C3310F">
        <w:rPr>
          <w:rFonts w:hint="eastAsia"/>
        </w:rPr>
        <w:t>「打詐綱領1.5版」對識詐訂有三大指標，分別為每年宣導資訊觸及3</w:t>
      </w:r>
      <w:r w:rsidRPr="00C3310F">
        <w:t>,</w:t>
      </w:r>
      <w:r w:rsidRPr="00C3310F">
        <w:rPr>
          <w:rFonts w:hint="eastAsia"/>
        </w:rPr>
        <w:t>000萬人次、每年發送防詐簡訊1億4,000萬及每年平均攔阻率提高</w:t>
      </w:r>
      <w:r w:rsidRPr="00C3310F">
        <w:t>5%</w:t>
      </w:r>
      <w:r w:rsidRPr="00C3310F">
        <w:rPr>
          <w:rFonts w:hint="eastAsia"/>
        </w:rPr>
        <w:t>。</w:t>
      </w:r>
    </w:p>
    <w:p w14:paraId="058F61B9" w14:textId="77777777" w:rsidR="000B1C3C" w:rsidRPr="00C3310F" w:rsidRDefault="000B1C3C" w:rsidP="000B1C3C">
      <w:pPr>
        <w:pStyle w:val="4"/>
      </w:pPr>
      <w:r w:rsidRPr="00C3310F">
        <w:rPr>
          <w:rFonts w:hint="eastAsia"/>
        </w:rPr>
        <w:t>行政院在113年5月9日公布「『打詐綱領1.5』執行成效與策進」時，指出112年度分層分眾識詐宣導總觸及人數達3億3千萬人次，已遠超原訂目標；如以臺灣總人口</w:t>
      </w:r>
      <w:r w:rsidRPr="00C3310F">
        <w:rPr>
          <w:rStyle w:val="afe"/>
        </w:rPr>
        <w:footnoteReference w:id="62"/>
      </w:r>
      <w:r w:rsidRPr="00C3310F">
        <w:rPr>
          <w:rFonts w:hint="eastAsia"/>
        </w:rPr>
        <w:t>2</w:t>
      </w:r>
      <w:r w:rsidRPr="00C3310F">
        <w:t>,</w:t>
      </w:r>
      <w:r w:rsidRPr="00C3310F">
        <w:rPr>
          <w:rFonts w:hint="eastAsia"/>
        </w:rPr>
        <w:t>341餘萬人計算，每人每年所接觸到的識詐宣導高達14次。</w:t>
      </w:r>
    </w:p>
    <w:p w14:paraId="68A4B5F8" w14:textId="77777777" w:rsidR="000B1C3C" w:rsidRPr="00C3310F" w:rsidRDefault="000B1C3C" w:rsidP="000B1C3C">
      <w:pPr>
        <w:pStyle w:val="4"/>
      </w:pPr>
      <w:r w:rsidRPr="00C3310F">
        <w:rPr>
          <w:rFonts w:hint="eastAsia"/>
        </w:rPr>
        <w:t>然而行政院於113年5月9日仍坦承「目前詐欺案件仍處嚴峻的高原期」</w:t>
      </w:r>
      <w:r w:rsidRPr="00C3310F">
        <w:rPr>
          <w:rStyle w:val="afe"/>
        </w:rPr>
        <w:footnoteReference w:id="63"/>
      </w:r>
      <w:r w:rsidRPr="00C3310F">
        <w:rPr>
          <w:rFonts w:hint="eastAsia"/>
        </w:rPr>
        <w:t>，亦有金融機構報告</w:t>
      </w:r>
      <w:r w:rsidRPr="00C3310F">
        <w:rPr>
          <w:rStyle w:val="afe"/>
        </w:rPr>
        <w:footnoteReference w:id="64"/>
      </w:r>
      <w:r w:rsidRPr="00C3310F">
        <w:rPr>
          <w:rFonts w:hint="eastAsia"/>
        </w:rPr>
        <w:t>指出34%民眾認為「訊息及連結太逼真」，33%「疏忽未留意到是假的」；換言之，有六成電信網路詐欺受害者雖然每年接觸超過14則識詐宣導，但是仍未有效達成降低誤信之目的。</w:t>
      </w:r>
    </w:p>
    <w:p w14:paraId="11E5DB0A" w14:textId="77777777" w:rsidR="000B1C3C" w:rsidRPr="00C3310F" w:rsidRDefault="000B1C3C" w:rsidP="000B1C3C">
      <w:pPr>
        <w:pStyle w:val="4"/>
      </w:pPr>
      <w:r w:rsidRPr="00C3310F">
        <w:rPr>
          <w:rFonts w:hint="eastAsia"/>
        </w:rPr>
        <w:t>小結：政府以超出原訂目標之宣導觸及率仍無法有效降低民眾誤信詐騙訊息，其原因顯有進一步探究之必要。</w:t>
      </w:r>
    </w:p>
    <w:p w14:paraId="3A10D058" w14:textId="77777777" w:rsidR="000B1C3C" w:rsidRPr="00C3310F" w:rsidRDefault="000B1C3C" w:rsidP="000B1C3C">
      <w:pPr>
        <w:pStyle w:val="3"/>
      </w:pPr>
      <w:bookmarkStart w:id="907" w:name="_Toc171525581"/>
      <w:bookmarkStart w:id="908" w:name="_Toc172024102"/>
      <w:bookmarkStart w:id="909" w:name="_Toc172033425"/>
      <w:r w:rsidRPr="00C3310F">
        <w:rPr>
          <w:rFonts w:hint="eastAsia"/>
        </w:rPr>
        <w:t>打詐綱領1.5版雖然指出，許多民眾產生麻木及過度自信心態，甚而對宣導資訊視而不見，亦未有轉告、</w:t>
      </w:r>
      <w:r w:rsidRPr="00C3310F">
        <w:rPr>
          <w:rFonts w:hint="eastAsia"/>
        </w:rPr>
        <w:lastRenderedPageBreak/>
        <w:t>提醒親友的警覺性，導致遭詐風險提高。但本調查研究經分析國內外文獻，多數文獻在民眾防詐意識部分均指出，民眾對於自身辨別訊息真偽之能力仍然過於自信，部分民眾更抱持冒險心態，我國更明顯較國際嚴重，值得行政院注意。</w:t>
      </w:r>
      <w:bookmarkEnd w:id="907"/>
      <w:bookmarkEnd w:id="908"/>
      <w:bookmarkEnd w:id="909"/>
    </w:p>
    <w:p w14:paraId="3215A546" w14:textId="77777777" w:rsidR="000B1C3C" w:rsidRPr="00C3310F" w:rsidRDefault="000B1C3C" w:rsidP="000B1C3C">
      <w:pPr>
        <w:pStyle w:val="4"/>
      </w:pPr>
      <w:r w:rsidRPr="00C3310F">
        <w:rPr>
          <w:rFonts w:hint="eastAsia"/>
        </w:rPr>
        <w:t>根據文獻</w:t>
      </w:r>
      <w:r w:rsidR="003977B9" w:rsidRPr="00C3310F">
        <w:rPr>
          <w:rStyle w:val="afe"/>
        </w:rPr>
        <w:footnoteReference w:id="65"/>
      </w:r>
      <w:r w:rsidRPr="00C3310F">
        <w:rPr>
          <w:rFonts w:hint="eastAsia"/>
        </w:rPr>
        <w:t>指出，臺灣有高達80.99%民眾有信心可以辨別詐騙手法，僅15.62%民眾沒有信心可以識破詐騙手法，且有49.47%的民眾認為「社群媒體上的訊息不太可信」，而我國電信網路詐欺案件112年相較111年</w:t>
      </w:r>
      <w:r w:rsidR="008541F2" w:rsidRPr="00C3310F">
        <w:rPr>
          <w:rFonts w:hint="eastAsia"/>
        </w:rPr>
        <w:t>，卻</w:t>
      </w:r>
      <w:r w:rsidRPr="00C3310F">
        <w:rPr>
          <w:rFonts w:hint="eastAsia"/>
        </w:rPr>
        <w:t>成長了33.1%。</w:t>
      </w:r>
    </w:p>
    <w:p w14:paraId="03723817" w14:textId="77777777" w:rsidR="000B1C3C" w:rsidRPr="00C3310F" w:rsidRDefault="000B1C3C" w:rsidP="000B1C3C">
      <w:pPr>
        <w:pStyle w:val="4"/>
      </w:pPr>
      <w:r w:rsidRPr="00C3310F">
        <w:rPr>
          <w:rFonts w:hint="eastAsia"/>
        </w:rPr>
        <w:t>對照G</w:t>
      </w:r>
      <w:r w:rsidRPr="00C3310F">
        <w:t>ASA</w:t>
      </w:r>
      <w:r w:rsidR="003D15C0" w:rsidRPr="00C3310F">
        <w:rPr>
          <w:rFonts w:hint="eastAsia"/>
        </w:rPr>
        <w:t>-</w:t>
      </w:r>
      <w:r w:rsidRPr="00C3310F">
        <w:rPr>
          <w:rFonts w:hint="eastAsia"/>
        </w:rPr>
        <w:t>2022年報告，全球有69%的受訪者對識別詐騙表示有信心，而2021年相較2020年通報數量增加了10.2%</w:t>
      </w:r>
      <w:r w:rsidRPr="00C3310F">
        <w:rPr>
          <w:rStyle w:val="afe"/>
        </w:rPr>
        <w:footnoteReference w:id="66"/>
      </w:r>
      <w:r w:rsidRPr="00C3310F">
        <w:rPr>
          <w:rFonts w:hint="eastAsia"/>
        </w:rPr>
        <w:t>，由上開數據顯示，民眾對自身的識詐能力存在廣泛的自信，而我國民眾對於識詐的信心又顯著高於國際，則其自信心究竟源自何處?又是否存在過度自信之</w:t>
      </w:r>
      <w:r w:rsidR="006279B5" w:rsidRPr="00C3310F">
        <w:rPr>
          <w:rFonts w:hint="eastAsia"/>
        </w:rPr>
        <w:t>問題</w:t>
      </w:r>
      <w:r w:rsidRPr="00C3310F">
        <w:rPr>
          <w:rFonts w:hint="eastAsia"/>
        </w:rPr>
        <w:t>?本調查研究限於調查資源無法進一步剖析，有待相關機關進一步研究。</w:t>
      </w:r>
    </w:p>
    <w:p w14:paraId="4FDE6CAC" w14:textId="77777777" w:rsidR="000B1C3C" w:rsidRPr="00C3310F" w:rsidRDefault="000B1C3C" w:rsidP="000B1C3C">
      <w:pPr>
        <w:pStyle w:val="4"/>
      </w:pPr>
      <w:r w:rsidRPr="00C3310F">
        <w:rPr>
          <w:rFonts w:hint="eastAsia"/>
        </w:rPr>
        <w:t>另據G</w:t>
      </w:r>
      <w:r w:rsidRPr="00C3310F">
        <w:t>ASA</w:t>
      </w:r>
      <w:r w:rsidR="003D15C0" w:rsidRPr="00C3310F">
        <w:rPr>
          <w:rFonts w:hint="eastAsia"/>
        </w:rPr>
        <w:t>-</w:t>
      </w:r>
      <w:r w:rsidRPr="00C3310F">
        <w:t>2023</w:t>
      </w:r>
      <w:r w:rsidRPr="00C3310F">
        <w:rPr>
          <w:rFonts w:hint="eastAsia"/>
        </w:rPr>
        <w:t>年報告亦指出，27.9%受害者的受騙原因為「不確定是否為詐騙但選擇冒險」，可見應有相當比例的</w:t>
      </w:r>
      <w:r w:rsidR="005E17A1" w:rsidRPr="00C3310F">
        <w:rPr>
          <w:rFonts w:hint="eastAsia"/>
        </w:rPr>
        <w:t>臺</w:t>
      </w:r>
      <w:r w:rsidRPr="00C3310F">
        <w:rPr>
          <w:rFonts w:hint="eastAsia"/>
        </w:rPr>
        <w:t>灣民眾抱持冒險心態在面對詐騙的利誘，最典型的例子出現在「投資詐騙」，為了獲得高額報酬，多數受害者選擇採取以小搏大的態度，也再次說明民眾對識詐之自信心與實際受詐脆弱性形成鮮明對比。</w:t>
      </w:r>
    </w:p>
    <w:p w14:paraId="22FBE3AB" w14:textId="7B1DBF02" w:rsidR="000B1C3C" w:rsidRPr="00C3310F" w:rsidRDefault="000B1C3C" w:rsidP="000B1C3C">
      <w:pPr>
        <w:pStyle w:val="4"/>
      </w:pPr>
      <w:r w:rsidRPr="00C3310F">
        <w:rPr>
          <w:rFonts w:hint="eastAsia"/>
        </w:rPr>
        <w:t>若以臺灣民眾對識詐之自信及</w:t>
      </w:r>
      <w:bookmarkStart w:id="910" w:name="_Hlk170808668"/>
      <w:r w:rsidRPr="00C3310F">
        <w:rPr>
          <w:rFonts w:hint="eastAsia"/>
        </w:rPr>
        <w:t>電信網路詐欺犯罪之成長率</w:t>
      </w:r>
      <w:bookmarkEnd w:id="910"/>
      <w:r w:rsidRPr="00C3310F">
        <w:rPr>
          <w:rFonts w:hint="eastAsia"/>
        </w:rPr>
        <w:t>與G</w:t>
      </w:r>
      <w:r w:rsidRPr="00C3310F">
        <w:t>ASA</w:t>
      </w:r>
      <w:r w:rsidRPr="00C3310F">
        <w:rPr>
          <w:rFonts w:hint="eastAsia"/>
        </w:rPr>
        <w:t>報告數據互相參照，可以發現</w:t>
      </w:r>
      <w:r w:rsidRPr="00C3310F">
        <w:rPr>
          <w:rFonts w:hint="eastAsia"/>
          <w:b/>
        </w:rPr>
        <w:t>我</w:t>
      </w:r>
      <w:r w:rsidRPr="00C3310F">
        <w:rPr>
          <w:rFonts w:hint="eastAsia"/>
          <w:b/>
        </w:rPr>
        <w:lastRenderedPageBreak/>
        <w:t>國民眾識詐信心遠高於國際平均，然而該等信心並未呈現在警政署的電信網路詐欺之案件數上</w:t>
      </w:r>
      <w:r w:rsidRPr="00C3310F">
        <w:rPr>
          <w:rFonts w:hint="eastAsia"/>
        </w:rPr>
        <w:t>，反而臺灣電信網路詐欺犯罪成長率高於國際平均。換言之，</w:t>
      </w:r>
      <w:r w:rsidR="00A1409C" w:rsidRPr="00C3310F">
        <w:rPr>
          <w:rFonts w:hint="eastAsia"/>
        </w:rPr>
        <w:t>本調查研究</w:t>
      </w:r>
      <w:r w:rsidRPr="00C3310F">
        <w:rPr>
          <w:rFonts w:hint="eastAsia"/>
        </w:rPr>
        <w:t>似可推導出「</w:t>
      </w:r>
      <w:r w:rsidRPr="00C3310F">
        <w:rPr>
          <w:rFonts w:hint="eastAsia"/>
          <w:b/>
        </w:rPr>
        <w:t>越自信不會被詐騙，越容易被詐騙</w:t>
      </w:r>
      <w:r w:rsidRPr="00C3310F">
        <w:rPr>
          <w:rFonts w:hint="eastAsia"/>
        </w:rPr>
        <w:t>」之結論，至於如何避免民眾對識詐能力過度自信，均有待行政院及相關部會進一步研究並提出對策。</w:t>
      </w:r>
    </w:p>
    <w:p w14:paraId="3459E127" w14:textId="6626FDEA" w:rsidR="000B1C3C" w:rsidRPr="00C3310F" w:rsidRDefault="000B1C3C" w:rsidP="000B1C3C">
      <w:pPr>
        <w:pStyle w:val="3"/>
        <w:ind w:leftChars="200"/>
        <w:rPr>
          <w:rFonts w:hAnsi="標楷體"/>
        </w:rPr>
      </w:pPr>
      <w:bookmarkStart w:id="911" w:name="_Toc171525582"/>
      <w:bookmarkStart w:id="912" w:name="_Toc172024103"/>
      <w:bookmarkStart w:id="913" w:name="_Toc172033426"/>
      <w:r w:rsidRPr="00C3310F">
        <w:rPr>
          <w:rFonts w:hint="eastAsia"/>
        </w:rPr>
        <w:t>其次，長期高強度且重複之宣導有邊際效用遞減之虞，此在行政院</w:t>
      </w:r>
      <w:r w:rsidR="008541F2" w:rsidRPr="00C3310F">
        <w:rPr>
          <w:rFonts w:hint="eastAsia"/>
        </w:rPr>
        <w:t>於</w:t>
      </w:r>
      <w:r w:rsidRPr="00C3310F">
        <w:rPr>
          <w:rFonts w:hint="eastAsia"/>
        </w:rPr>
        <w:t>112年8月10日會議已指出相關疑慮；而行政機關雖然已經試圖針對宣導對象執行分層、分眾、分齡之措施，但在精準度及創意性方面似仍不足以在資訊爆炸時代對民眾建立足夠的識詐免疫力；本院諮詢學者專家亦認為，在資訊爆炸的現代數位媒體及</w:t>
      </w:r>
      <w:r w:rsidR="0004575A" w:rsidRPr="00C3310F">
        <w:rPr>
          <w:rFonts w:hint="eastAsia"/>
        </w:rPr>
        <w:t>平臺</w:t>
      </w:r>
      <w:r w:rsidRPr="00C3310F">
        <w:rPr>
          <w:rFonts w:hint="eastAsia"/>
        </w:rPr>
        <w:t>，要使全體民眾認知某件事物之重要性確為挑戰；爰此，本調查研究建議行政院於擬訂「打詐綱領2.0」時宜適度調整識詐策略。</w:t>
      </w:r>
      <w:bookmarkEnd w:id="911"/>
      <w:bookmarkEnd w:id="912"/>
      <w:bookmarkEnd w:id="913"/>
    </w:p>
    <w:p w14:paraId="771F5A53" w14:textId="77777777" w:rsidR="000B1C3C" w:rsidRPr="00C3310F" w:rsidRDefault="000B1C3C" w:rsidP="000B1C3C">
      <w:pPr>
        <w:pStyle w:val="4"/>
      </w:pPr>
      <w:r w:rsidRPr="00C3310F">
        <w:rPr>
          <w:rFonts w:hint="eastAsia"/>
        </w:rPr>
        <w:t>在經濟學上，邊際效用是指每新增（或減少）一個單位的商品或服務，消費者所獲得增加或減少的效用，而隨著商品或服務的量增加，邊際效用將會逐步減少</w:t>
      </w:r>
      <w:r w:rsidRPr="00C3310F">
        <w:rPr>
          <w:rStyle w:val="afe"/>
        </w:rPr>
        <w:footnoteReference w:id="67"/>
      </w:r>
      <w:r w:rsidRPr="00C3310F">
        <w:rPr>
          <w:rFonts w:hint="eastAsia"/>
        </w:rPr>
        <w:t>；若將概念應用於識詐宣導方面，顯然宣導觸及人次並不是越高越有效。在理論上，人均宣導次數到達一定次數後，對於識詐能力之增長極微，而使超出</w:t>
      </w:r>
      <w:r w:rsidR="003977B9" w:rsidRPr="00C3310F">
        <w:rPr>
          <w:rFonts w:hint="eastAsia"/>
        </w:rPr>
        <w:t>最佳</w:t>
      </w:r>
      <w:r w:rsidRPr="00C3310F">
        <w:rPr>
          <w:rFonts w:hint="eastAsia"/>
        </w:rPr>
        <w:t>次數之宣導作為成為多餘且缺乏效益之投資；質言之，在國家資源及人力有限的情形下，政府應透過相關剖析或研究以尋求最有效率之宣導策略或方式。</w:t>
      </w:r>
    </w:p>
    <w:p w14:paraId="08D91519" w14:textId="77777777" w:rsidR="000B1C3C" w:rsidRPr="00C3310F" w:rsidRDefault="000B1C3C" w:rsidP="000B1C3C">
      <w:pPr>
        <w:pStyle w:val="4"/>
      </w:pPr>
      <w:r w:rsidRPr="00C3310F">
        <w:rPr>
          <w:rFonts w:hint="eastAsia"/>
        </w:rPr>
        <w:t>行政院在112年8月10日召開「研商『新世代打擊詐</w:t>
      </w:r>
      <w:r w:rsidRPr="00C3310F">
        <w:rPr>
          <w:rFonts w:hint="eastAsia"/>
        </w:rPr>
        <w:lastRenderedPageBreak/>
        <w:t>欺策略行動綱領』相關議題(第15次)精進會議記錄」中，有關「識詐」執行具體措施成效部分即坦承：「於各部會齊力合作及多管齊下，雖已拓展鋪天蓋地之宣導通路，惟若僅以量能視之，恐致疲勞效應亦難長久……」等語，顯見政府機關已有正確問題意識，復據本院蒐整機關查復資料顯示，政府識詐宣導確有進行執行分層、分眾、分齡之措施，在「打詐綱領1.5版」中，共動員16個部會即可見一斑。</w:t>
      </w:r>
    </w:p>
    <w:p w14:paraId="0B0B05C6" w14:textId="6829692B" w:rsidR="000B1C3C" w:rsidRPr="00C3310F" w:rsidRDefault="000B1C3C" w:rsidP="000B1C3C">
      <w:pPr>
        <w:pStyle w:val="4"/>
      </w:pPr>
      <w:r w:rsidRPr="00C3310F">
        <w:rPr>
          <w:rFonts w:hint="eastAsia"/>
        </w:rPr>
        <w:t>承上，以教育單位為例，係分別針對各教育階段如</w:t>
      </w:r>
      <w:r w:rsidR="00C401FA" w:rsidRPr="00C3310F">
        <w:rPr>
          <w:rFonts w:hint="eastAsia"/>
        </w:rPr>
        <w:t>幼兒園、</w:t>
      </w:r>
      <w:r w:rsidRPr="00C3310F">
        <w:rPr>
          <w:rFonts w:hint="eastAsia"/>
        </w:rPr>
        <w:t>國小、</w:t>
      </w:r>
      <w:r w:rsidR="00C401FA" w:rsidRPr="00C3310F">
        <w:rPr>
          <w:rFonts w:hint="eastAsia"/>
        </w:rPr>
        <w:t>國中、</w:t>
      </w:r>
      <w:r w:rsidRPr="00C3310F">
        <w:rPr>
          <w:rFonts w:hint="eastAsia"/>
        </w:rPr>
        <w:t>高級中等學校及大專院校設計打詐宣導，並由內政部派警員入園宣導防詐觀念、幼兒園參與警局防詐微電影拍攝、幼兒園參訪警局防詐宣導等，甚至在高齡長者宣導方面，亦透過警察勤務區系統結合村里鄰長，於村里民大會、辦公處、治安座談會、社區關懷據點及各式活動時機傳遞防詐資訊；然而，本調查研究必須指出，員警本身勤務已非常繁重，近年各式勤務不斷增加，派遣員警進行分齡識詐宣導將使其勤務負荷遽增，更難以要求其具備精準度及創意性，恐非最有效率之宣導方式，內政部於擬訂識詐措施時，宜由策略面思考以避免浪擲寶貴警力。</w:t>
      </w:r>
    </w:p>
    <w:p w14:paraId="40E93E6B" w14:textId="4EF7A22C" w:rsidR="000B1C3C" w:rsidRPr="00C3310F" w:rsidRDefault="000B1C3C" w:rsidP="000B1C3C">
      <w:pPr>
        <w:pStyle w:val="4"/>
      </w:pPr>
      <w:r w:rsidRPr="00C3310F">
        <w:rPr>
          <w:rFonts w:hint="eastAsia"/>
        </w:rPr>
        <w:t>其次，於目前資訊爆炸的情形下，欲獲取民眾之注意力並予以宣導對政府機關而言確為挑戰，本院諮詢國立中正大學傳播學系羅世宏教授，其意見當可歸納為兩大原則，一是必須以實例作為宣導素材，二是必須運用政令宣導以外方式進行，例如戲劇等：而</w:t>
      </w:r>
      <w:r w:rsidR="00C401FA" w:rsidRPr="00C3310F">
        <w:rPr>
          <w:rFonts w:hint="eastAsia"/>
        </w:rPr>
        <w:t>臺灣事實查核</w:t>
      </w:r>
      <w:r w:rsidRPr="00C3310F">
        <w:rPr>
          <w:rFonts w:hint="eastAsia"/>
        </w:rPr>
        <w:t>中心邱家宜執行長則建議可以與數位</w:t>
      </w:r>
      <w:r w:rsidR="0004575A" w:rsidRPr="00C3310F">
        <w:rPr>
          <w:rFonts w:hint="eastAsia"/>
        </w:rPr>
        <w:t>平臺</w:t>
      </w:r>
      <w:r w:rsidRPr="00C3310F">
        <w:rPr>
          <w:rFonts w:hint="eastAsia"/>
        </w:rPr>
        <w:t>(如G</w:t>
      </w:r>
      <w:r w:rsidRPr="00C3310F">
        <w:t>oogle</w:t>
      </w:r>
      <w:r w:rsidRPr="00C3310F">
        <w:rPr>
          <w:rFonts w:hint="eastAsia"/>
        </w:rPr>
        <w:t>)及非營利組織進行更深度的合作。</w:t>
      </w:r>
    </w:p>
    <w:p w14:paraId="4F0C5F45" w14:textId="0D155F4F" w:rsidR="000B1C3C" w:rsidRPr="00C3310F" w:rsidRDefault="000B1C3C" w:rsidP="000B1C3C">
      <w:pPr>
        <w:pStyle w:val="5"/>
      </w:pPr>
      <w:r w:rsidRPr="00C3310F">
        <w:rPr>
          <w:rFonts w:hint="eastAsia"/>
        </w:rPr>
        <w:lastRenderedPageBreak/>
        <w:t>國立中正大學傳播學系羅世宏教授：</w:t>
      </w:r>
    </w:p>
    <w:p w14:paraId="28AFB016" w14:textId="30E22C12" w:rsidR="000B1C3C" w:rsidRPr="00C3310F" w:rsidRDefault="000B1C3C" w:rsidP="000B1C3C">
      <w:pPr>
        <w:pStyle w:val="6"/>
      </w:pPr>
      <w:bookmarkStart w:id="914" w:name="_Toc171525583"/>
      <w:bookmarkStart w:id="915" w:name="_Toc172024104"/>
      <w:bookmarkStart w:id="916" w:name="_Toc172033427"/>
      <w:r w:rsidRPr="00C3310F">
        <w:rPr>
          <w:rFonts w:hint="eastAsia"/>
        </w:rPr>
        <w:t>應蒐集實際案例普為傳播，預先告訴民眾有哪些詐騙類型，看到的話要有警覺性，有點像是打預防針。</w:t>
      </w:r>
      <w:bookmarkEnd w:id="914"/>
      <w:bookmarkEnd w:id="915"/>
      <w:bookmarkEnd w:id="916"/>
    </w:p>
    <w:p w14:paraId="7703038C" w14:textId="77777777" w:rsidR="000B1C3C" w:rsidRPr="00C3310F" w:rsidRDefault="000B1C3C" w:rsidP="000B1C3C">
      <w:pPr>
        <w:pStyle w:val="6"/>
      </w:pPr>
      <w:bookmarkStart w:id="917" w:name="_Toc171525584"/>
      <w:bookmarkStart w:id="918" w:name="_Toc172024105"/>
      <w:bookmarkStart w:id="919" w:name="_Toc172033428"/>
      <w:r w:rsidRPr="00C3310F">
        <w:rPr>
          <w:rFonts w:hint="eastAsia"/>
        </w:rPr>
        <w:t>把詐騙故事戲劇化，像「金派特攻隊」效果很好。尤其</w:t>
      </w:r>
      <w:r w:rsidRPr="00C3310F">
        <w:rPr>
          <w:rFonts w:hint="eastAsia"/>
          <w:b/>
        </w:rPr>
        <w:t>現在新聞疲勞，現在使重要事情讓全國人知道是一件困難的事情</w:t>
      </w:r>
      <w:r w:rsidRPr="00C3310F">
        <w:rPr>
          <w:rFonts w:hint="eastAsia"/>
        </w:rPr>
        <w:t>，因此要用有創意的方法，包括戲劇化，包括跟網紅合作，去打造宣傳，傳統政令宣導點擊率應該很低。</w:t>
      </w:r>
      <w:bookmarkEnd w:id="917"/>
      <w:bookmarkEnd w:id="918"/>
      <w:bookmarkEnd w:id="919"/>
    </w:p>
    <w:p w14:paraId="49ABFD9B" w14:textId="0578681E" w:rsidR="000B1C3C" w:rsidRPr="00C3310F" w:rsidRDefault="00C401FA" w:rsidP="000B1C3C">
      <w:pPr>
        <w:pStyle w:val="5"/>
      </w:pPr>
      <w:r w:rsidRPr="00C3310F">
        <w:rPr>
          <w:rFonts w:hint="eastAsia"/>
        </w:rPr>
        <w:t>臺灣事實查核</w:t>
      </w:r>
      <w:r w:rsidR="000B1C3C" w:rsidRPr="00C3310F">
        <w:rPr>
          <w:rFonts w:hint="eastAsia"/>
        </w:rPr>
        <w:t>中心邱家宜執行長:，我覺得整個學校體系或教育部如果能夠多做一點系統性的、結構性的公私協力措施，那會更有幫助。</w:t>
      </w:r>
    </w:p>
    <w:p w14:paraId="662D04F0" w14:textId="134A9346" w:rsidR="000B1C3C" w:rsidRPr="00C3310F" w:rsidRDefault="000B1C3C" w:rsidP="000B1C3C">
      <w:pPr>
        <w:pStyle w:val="4"/>
      </w:pPr>
      <w:r w:rsidRPr="00C3310F">
        <w:rPr>
          <w:rFonts w:hint="eastAsia"/>
        </w:rPr>
        <w:t>小結：由</w:t>
      </w:r>
      <w:r w:rsidR="00C401FA" w:rsidRPr="00C3310F">
        <w:rPr>
          <w:rFonts w:hint="eastAsia"/>
        </w:rPr>
        <w:t>本</w:t>
      </w:r>
      <w:r w:rsidRPr="00C3310F">
        <w:rPr>
          <w:rFonts w:hint="eastAsia"/>
        </w:rPr>
        <w:t>調查研究蒐整機關查復資料顯示，政府機關確實已盡其所能進行宣導，然而在策略和方法上似有強化之空間，行政院於擬訂「打詐綱領2.0」之識詐措施時，宜考量邊際效用原則，並參考傳播學者意見。</w:t>
      </w:r>
    </w:p>
    <w:p w14:paraId="68235F06" w14:textId="385FAFD9" w:rsidR="000B1C3C" w:rsidRPr="00C3310F" w:rsidRDefault="000B1C3C" w:rsidP="000B1C3C">
      <w:pPr>
        <w:pStyle w:val="3"/>
      </w:pPr>
      <w:bookmarkStart w:id="920" w:name="_Toc171525585"/>
      <w:bookmarkStart w:id="921" w:name="_Toc172024106"/>
      <w:bookmarkStart w:id="922" w:name="_Toc172033429"/>
      <w:r w:rsidRPr="00C3310F">
        <w:rPr>
          <w:rFonts w:hint="eastAsia"/>
        </w:rPr>
        <w:t>最後，</w:t>
      </w:r>
      <w:r w:rsidR="00C401FA" w:rsidRPr="00C3310F">
        <w:rPr>
          <w:rFonts w:hint="eastAsia"/>
        </w:rPr>
        <w:t>本</w:t>
      </w:r>
      <w:r w:rsidRPr="00C3310F">
        <w:rPr>
          <w:rFonts w:hint="eastAsia"/>
        </w:rPr>
        <w:t>調查</w:t>
      </w:r>
      <w:r w:rsidR="00C401FA" w:rsidRPr="00C3310F">
        <w:rPr>
          <w:rFonts w:hint="eastAsia"/>
        </w:rPr>
        <w:t>研究</w:t>
      </w:r>
      <w:r w:rsidRPr="00C3310F">
        <w:rPr>
          <w:rFonts w:hint="eastAsia"/>
        </w:rPr>
        <w:t>發現「打詐綱領1.5版」所設定之績效指標均係以量取勝，尚乏措施與效用間之因果關係連結，將導致後續政策檢討調整方向或資源時，欠缺用以制定對策之分析資料，即所謂「循證治理」概念；此外，數位行銷在業界乃極為專業之學門，並提供各式指標用以衡量行銷效果及資源，似有用於識詐宣導「循證治理」之潛力，有待政府進一步評估。</w:t>
      </w:r>
      <w:bookmarkEnd w:id="920"/>
      <w:bookmarkEnd w:id="921"/>
      <w:bookmarkEnd w:id="922"/>
    </w:p>
    <w:p w14:paraId="30016257" w14:textId="77777777" w:rsidR="000B1C3C" w:rsidRPr="00C3310F" w:rsidRDefault="000B1C3C" w:rsidP="000B1C3C">
      <w:pPr>
        <w:pStyle w:val="4"/>
        <w:ind w:leftChars="351" w:left="1704"/>
      </w:pPr>
      <w:r w:rsidRPr="00C3310F">
        <w:rPr>
          <w:rFonts w:hint="eastAsia"/>
        </w:rPr>
        <w:t>「打詐綱領1.5版」之識詐績效指標，主要為觸及人數及簡訊發送量，而在113年5月9日公布「『打詐綱領1.5』執行成效與策進」時，亦標榜112年度分層分眾識詐宣導總觸及人數達3億3千萬人次等，在在顯示政府識詐宣導目前仍主要以數量作</w:t>
      </w:r>
      <w:r w:rsidRPr="00C3310F">
        <w:rPr>
          <w:rFonts w:hint="eastAsia"/>
        </w:rPr>
        <w:lastRenderedPageBreak/>
        <w:t>為績效指標。</w:t>
      </w:r>
    </w:p>
    <w:p w14:paraId="4026726E" w14:textId="77777777" w:rsidR="000B1C3C" w:rsidRPr="00C3310F" w:rsidRDefault="000B1C3C" w:rsidP="000B1C3C">
      <w:pPr>
        <w:pStyle w:val="4"/>
        <w:ind w:leftChars="351" w:left="1704"/>
      </w:pPr>
      <w:r w:rsidRPr="00C3310F">
        <w:rPr>
          <w:rFonts w:hint="eastAsia"/>
        </w:rPr>
        <w:t>行政院在112年8月10日召開會議(第15次會議)檢討識詐措施時，曾指示內政部「應思考認知率調查等驗證方式，更應歸納『未觸及』及『雖觸及惟未理解』之宣導受眾，精準投放渠等產業、族群宣導」等語；另查，在112年11月16日會議(第16次會議)亦曾決議「應確認受眾是否理解防詐宣導內容」；然而迄至113年6月為止，調查研究仍未發現政府在識詐宣導政策檢討或調整時導入認知率調查之明確事證，建議行政院應持續予以追蹤。</w:t>
      </w:r>
    </w:p>
    <w:p w14:paraId="1E00C319" w14:textId="3274619D" w:rsidR="000B1C3C" w:rsidRPr="00C3310F" w:rsidRDefault="000B1C3C" w:rsidP="000B1C3C">
      <w:pPr>
        <w:pStyle w:val="4"/>
        <w:ind w:leftChars="351" w:left="1704"/>
      </w:pPr>
      <w:r w:rsidRPr="00C3310F">
        <w:rPr>
          <w:rFonts w:hint="eastAsia"/>
        </w:rPr>
        <w:t>此外，識詐宣導應可視為某種數位行銷，在業界，數位行銷被視為一門學問，</w:t>
      </w:r>
      <w:r w:rsidR="001F0692" w:rsidRPr="00C3310F">
        <w:rPr>
          <w:rFonts w:hint="eastAsia"/>
        </w:rPr>
        <w:t>尚有</w:t>
      </w:r>
      <w:r w:rsidRPr="00C3310F">
        <w:rPr>
          <w:rFonts w:hint="eastAsia"/>
        </w:rPr>
        <w:t>各式績效評估指標，包括流量、曝光量、互動數、參與率等等不一而足，以評估行銷成本是否達成達成行銷目的，並評估行銷投資是否適當；若以公共行政角度則可視為「循證治理」</w:t>
      </w:r>
      <w:r w:rsidRPr="00C3310F">
        <w:rPr>
          <w:rStyle w:val="afe"/>
        </w:rPr>
        <w:footnoteReference w:id="68"/>
      </w:r>
      <w:r w:rsidRPr="00C3310F">
        <w:rPr>
          <w:rFonts w:hint="eastAsia"/>
        </w:rPr>
        <w:t>，爰此，識詐宣導似宜導入部分數位行銷之績效評估概念並予以分析，始能對於宣導方向、管道、素材、劇本、對象等進行精準調整。</w:t>
      </w:r>
    </w:p>
    <w:p w14:paraId="5FBB73BB" w14:textId="646A5A74" w:rsidR="000B1C3C" w:rsidRPr="00C3310F" w:rsidRDefault="000B1C3C" w:rsidP="009A785F">
      <w:pPr>
        <w:pStyle w:val="3"/>
        <w:spacing w:afterLines="50" w:after="228" w:line="480" w:lineRule="exact"/>
        <w:ind w:leftChars="200" w:left="1360" w:hanging="680"/>
      </w:pPr>
      <w:bookmarkStart w:id="923" w:name="_Toc171525586"/>
      <w:bookmarkStart w:id="924" w:name="_Toc172024107"/>
      <w:bookmarkStart w:id="925" w:name="_Toc172033430"/>
      <w:r w:rsidRPr="00C3310F">
        <w:rPr>
          <w:rFonts w:hint="eastAsia"/>
        </w:rPr>
        <w:t>綜上，</w:t>
      </w:r>
      <w:r w:rsidR="00C401FA" w:rsidRPr="00C3310F">
        <w:rPr>
          <w:rFonts w:hint="eastAsia"/>
        </w:rPr>
        <w:t>本</w:t>
      </w:r>
      <w:r w:rsidRPr="00C3310F">
        <w:rPr>
          <w:rFonts w:hint="eastAsia"/>
        </w:rPr>
        <w:t>調查研究顯示政府已挹注大量資源及人力，並極盡所能進行識詐宣導，此由前述每年每人觸及高達14次宣導並動員16部會可證，然由行政院112年8月以來多次會議決議，仍可發現政府對於目前宣導措施之侷限性已有所認知，本調查研究則認為可能原因有三，包括民眾過於自信、宣導邊際效用遞減，以及缺乏「循證治理」之績效指標等，建議政府納入「打詐綱領2.0」之考量，以有效提升識詐效能。</w:t>
      </w:r>
      <w:bookmarkEnd w:id="923"/>
      <w:bookmarkEnd w:id="924"/>
      <w:bookmarkEnd w:id="925"/>
    </w:p>
    <w:p w14:paraId="0112B106" w14:textId="35D181B4" w:rsidR="000B1C3C" w:rsidRPr="00C3310F" w:rsidRDefault="000B1C3C" w:rsidP="000B1C3C">
      <w:pPr>
        <w:pStyle w:val="2"/>
        <w:ind w:left="1023"/>
        <w:rPr>
          <w:b/>
        </w:rPr>
      </w:pPr>
      <w:bookmarkStart w:id="926" w:name="_Toc172033431"/>
      <w:r w:rsidRPr="00C3310F">
        <w:rPr>
          <w:rFonts w:hint="eastAsia"/>
          <w:b/>
        </w:rPr>
        <w:lastRenderedPageBreak/>
        <w:t>「堵詐」主要係減少民眾與詐騙集團接觸，並防堵資通訊服務淪為犯罪工具，然詐騙集團透過電信及網路所具備之大量、便捷及匿名化之特質廣泛接觸民眾並躲避查緝。英國2023年6月公布的反詐綱領已指出，期望大眾對詐欺始終保持高度警覺是不合理的，是以政府的源頭管理更形重要。經</w:t>
      </w:r>
      <w:r w:rsidR="00A1409C" w:rsidRPr="00C3310F">
        <w:rPr>
          <w:rFonts w:hint="eastAsia"/>
          <w:b/>
        </w:rPr>
        <w:t>本調查研究</w:t>
      </w:r>
      <w:r w:rsidRPr="00C3310F">
        <w:rPr>
          <w:rFonts w:hint="eastAsia"/>
          <w:b/>
        </w:rPr>
        <w:t>盤點相關法制補強措施及政策發現，政府於防堵境外來電雖已略具成效，然竟發現有嫌犯可向電信公司申辦逾30萬筆門號情事，顯見電信門號KYC管理上仍有疏漏，而主責機關通傳會雖已發布施行「電信事業用戶號碼使用管理辦法」取代位階及拘束力較低之行政指導作為，然成效仍待觀察，政府</w:t>
      </w:r>
      <w:r w:rsidR="00AB45EA" w:rsidRPr="00C3310F">
        <w:rPr>
          <w:rFonts w:hint="eastAsia"/>
          <w:b/>
        </w:rPr>
        <w:t>允宜</w:t>
      </w:r>
      <w:r w:rsidRPr="00C3310F">
        <w:rPr>
          <w:rFonts w:hint="eastAsia"/>
          <w:b/>
        </w:rPr>
        <w:t>積極推動並依執行成效滾動式調整，以杜絕電信門號核配浮濫，此外建議</w:t>
      </w:r>
      <w:r w:rsidRPr="00C3310F">
        <w:rPr>
          <w:b/>
        </w:rPr>
        <w:t>1</w:t>
      </w:r>
      <w:r w:rsidRPr="00C3310F">
        <w:rPr>
          <w:rFonts w:hint="eastAsia"/>
          <w:b/>
        </w:rPr>
        <w:t>11政府專屬簡訊碼之覆蓋率及黑莓卡之風險宜持續強化控管，以有效提升打詐綱領綜效。</w:t>
      </w:r>
      <w:bookmarkEnd w:id="926"/>
    </w:p>
    <w:p w14:paraId="451DEB87" w14:textId="0BAC5ADD" w:rsidR="000B1C3C" w:rsidRPr="00C3310F" w:rsidRDefault="000B1C3C" w:rsidP="000B1C3C">
      <w:pPr>
        <w:pStyle w:val="3"/>
      </w:pPr>
      <w:bookmarkStart w:id="927" w:name="_Toc171525588"/>
      <w:bookmarkStart w:id="928" w:name="_Toc172024109"/>
      <w:bookmarkStart w:id="929" w:name="_Toc172033432"/>
      <w:r w:rsidRPr="00C3310F">
        <w:rPr>
          <w:rFonts w:hint="eastAsia"/>
        </w:rPr>
        <w:t>早期詐欺集團以金光黨等傳統詐欺手法與被害人面對面接觸施行詐術，</w:t>
      </w:r>
      <w:r w:rsidRPr="00C3310F">
        <w:t>100</w:t>
      </w:r>
      <w:r w:rsidRPr="00C3310F">
        <w:rPr>
          <w:rFonts w:hint="eastAsia"/>
        </w:rPr>
        <w:t>年間則透過當時流行通訊軟體</w:t>
      </w:r>
      <w:r w:rsidRPr="00C3310F">
        <w:t>MSN</w:t>
      </w:r>
      <w:r w:rsidRPr="00C3310F">
        <w:rPr>
          <w:rFonts w:hint="eastAsia"/>
        </w:rPr>
        <w:t>、即時通及傳送手機簡訊詐騙。伴隨資通訊科技蓬勃發展，近年詐騙集團藉網路資訊工具</w:t>
      </w:r>
      <w:r w:rsidRPr="00C3310F">
        <w:t>(</w:t>
      </w:r>
      <w:r w:rsidRPr="00C3310F">
        <w:rPr>
          <w:rFonts w:hint="eastAsia"/>
        </w:rPr>
        <w:t>如網路電話、通訊軟體、</w:t>
      </w:r>
      <w:r w:rsidRPr="00C3310F">
        <w:t>VPN</w:t>
      </w:r>
      <w:r w:rsidRPr="00C3310F">
        <w:rPr>
          <w:rFonts w:hint="eastAsia"/>
        </w:rPr>
        <w:t>、國際上網卡</w:t>
      </w:r>
      <w:r w:rsidRPr="00C3310F">
        <w:t>)</w:t>
      </w:r>
      <w:r w:rsidRPr="00C3310F">
        <w:rPr>
          <w:rFonts w:hint="eastAsia"/>
        </w:rPr>
        <w:t>來隱匿身分，以跨國通訊方式逃避國內警方查緝</w:t>
      </w:r>
      <w:r w:rsidRPr="00C3310F">
        <w:rPr>
          <w:rStyle w:val="afe"/>
        </w:rPr>
        <w:footnoteReference w:id="69"/>
      </w:r>
      <w:r w:rsidRPr="00C3310F">
        <w:rPr>
          <w:rFonts w:hint="eastAsia"/>
        </w:rPr>
        <w:t>；綱領並明確指出電信法規資安防護嚴謹度待加強，致歹徒利用電話、簡訊、社群平臺網站等資通工具詐騙財物：隨著電信網際網路科技迅速發展，犯嫌為躲避警方查緝，即藉由電信業者與簡訊代發商服務發送含惡意連結之釣魚簡訊、或於通訊軟體建立群組引導民眾至假投資網頁，致諸多被害人誤信匯款後血本無歸。為此，綱領訂定「每年攔阻簡訊3,000萬則」及「每年人頭門</w:t>
      </w:r>
      <w:r w:rsidRPr="00C3310F">
        <w:rPr>
          <w:rFonts w:hint="eastAsia"/>
        </w:rPr>
        <w:lastRenderedPageBreak/>
        <w:t>號停斷話5,000門」作為績效指標，並責成通傳會為本項目之主責機關，爰本調查研究依詐欺集團主要利用樣態，分為「</w:t>
      </w:r>
      <w:r w:rsidR="00A1409C" w:rsidRPr="00C3310F">
        <w:rPr>
          <w:rFonts w:hint="eastAsia"/>
        </w:rPr>
        <w:t>詐騙集團</w:t>
      </w:r>
      <w:r w:rsidRPr="00C3310F">
        <w:rPr>
          <w:rFonts w:hint="eastAsia"/>
        </w:rPr>
        <w:t>利用KYC漏洞申辦大量門號」、「防堵境外來電」、「防堵</w:t>
      </w:r>
      <w:r w:rsidR="00A1409C" w:rsidRPr="00C3310F">
        <w:rPr>
          <w:rFonts w:hint="eastAsia"/>
        </w:rPr>
        <w:t>詐騙集團</w:t>
      </w:r>
      <w:r w:rsidRPr="00C3310F">
        <w:rPr>
          <w:rFonts w:hint="eastAsia"/>
        </w:rPr>
        <w:t>批次發送簡訊」、「易付卡(含黑莓卡)」等項目，逐步檢視通傳會採取對策之適切性及其執行情形。</w:t>
      </w:r>
      <w:bookmarkEnd w:id="927"/>
      <w:bookmarkEnd w:id="928"/>
      <w:bookmarkEnd w:id="929"/>
    </w:p>
    <w:p w14:paraId="27E1644D" w14:textId="6E2684BC" w:rsidR="000B1C3C" w:rsidRPr="00C3310F" w:rsidRDefault="000B1C3C" w:rsidP="000B1C3C">
      <w:pPr>
        <w:pStyle w:val="3"/>
      </w:pPr>
      <w:bookmarkStart w:id="930" w:name="_Toc171525589"/>
      <w:bookmarkStart w:id="931" w:name="_Toc172024110"/>
      <w:bookmarkStart w:id="932" w:name="_Toc172033433"/>
      <w:r w:rsidRPr="00C3310F">
        <w:rPr>
          <w:rFonts w:hint="eastAsia"/>
        </w:rPr>
        <w:t>有關「</w:t>
      </w:r>
      <w:r w:rsidR="00A1409C" w:rsidRPr="00C3310F">
        <w:rPr>
          <w:rFonts w:hint="eastAsia"/>
        </w:rPr>
        <w:t>詐騙集團</w:t>
      </w:r>
      <w:r w:rsidRPr="00C3310F">
        <w:rPr>
          <w:rFonts w:hint="eastAsia"/>
        </w:rPr>
        <w:t>利用KYC漏洞申辦大量門號」部分。</w:t>
      </w:r>
      <w:bookmarkEnd w:id="930"/>
      <w:bookmarkEnd w:id="931"/>
      <w:bookmarkEnd w:id="932"/>
    </w:p>
    <w:p w14:paraId="0CD19D24" w14:textId="77777777" w:rsidR="000B1C3C" w:rsidRPr="00C3310F" w:rsidRDefault="000B1C3C" w:rsidP="000B1C3C">
      <w:pPr>
        <w:pStyle w:val="4"/>
      </w:pPr>
      <w:r w:rsidRPr="00C3310F">
        <w:rPr>
          <w:rFonts w:hint="eastAsia"/>
        </w:rPr>
        <w:t>過去在「電信法」施行期間，係將電信事業分為設置電信機線設備並提供電信服務的第一類電信事業，而其他非屬一類電信事業者，則稱為第二類電信事業；換言之，若未自行建置而租用第一類電信業者電信機線設備之電信業者，可泛稱第二類電信。</w:t>
      </w:r>
    </w:p>
    <w:p w14:paraId="60862646" w14:textId="12236238" w:rsidR="000B1C3C" w:rsidRPr="00C3310F" w:rsidRDefault="000B1C3C" w:rsidP="000B1C3C">
      <w:pPr>
        <w:pStyle w:val="4"/>
      </w:pPr>
      <w:r w:rsidRPr="00C3310F">
        <w:rPr>
          <w:rFonts w:hint="eastAsia"/>
        </w:rPr>
        <w:t>據通傳會說明</w:t>
      </w:r>
      <w:r w:rsidRPr="00C3310F">
        <w:rPr>
          <w:rStyle w:val="afe"/>
        </w:rPr>
        <w:footnoteReference w:id="70"/>
      </w:r>
      <w:r w:rsidRPr="00C3310F">
        <w:rPr>
          <w:rFonts w:hint="eastAsia"/>
        </w:rPr>
        <w:t>，我國於</w:t>
      </w:r>
      <w:r w:rsidRPr="00C3310F">
        <w:t>109</w:t>
      </w:r>
      <w:r w:rsidRPr="00C3310F">
        <w:rPr>
          <w:rFonts w:hint="eastAsia"/>
        </w:rPr>
        <w:t>年</w:t>
      </w:r>
      <w:r w:rsidRPr="00C3310F">
        <w:t>7</w:t>
      </w:r>
      <w:r w:rsidRPr="00C3310F">
        <w:rPr>
          <w:rFonts w:hint="eastAsia"/>
        </w:rPr>
        <w:t>月</w:t>
      </w:r>
      <w:r w:rsidRPr="00C3310F">
        <w:t>1</w:t>
      </w:r>
      <w:r w:rsidRPr="00C3310F">
        <w:rPr>
          <w:rFonts w:hint="eastAsia"/>
        </w:rPr>
        <w:t>日起開始施行「電信管理法」，針對電信事業之管理已由原電信法之特許、許可制改為登記制，未有登記者，僅係無法取得電信管理法所賦予之相關權利，以鼓勵事業參進。同時依該法之管理思維已無區分第一類電信事業與第二類電信事業。因此傳統上虛擬行動網路業者（Mobile Virtual Network Operator，下稱MVNO）是否屬電信事業，須視其是否具電信管理法第</w:t>
      </w:r>
      <w:r w:rsidRPr="00C3310F">
        <w:t>5</w:t>
      </w:r>
      <w:r w:rsidRPr="00C3310F">
        <w:rPr>
          <w:rFonts w:hint="eastAsia"/>
        </w:rPr>
        <w:t>條規定</w:t>
      </w:r>
      <w:r w:rsidRPr="00C3310F">
        <w:rPr>
          <w:rStyle w:val="afe"/>
        </w:rPr>
        <w:footnoteReference w:id="71"/>
      </w:r>
      <w:r w:rsidRPr="00C3310F">
        <w:rPr>
          <w:rFonts w:hint="eastAsia"/>
        </w:rPr>
        <w:t>應辦理登記之情形；若否，則視該</w:t>
      </w:r>
      <w:r w:rsidR="00C401FA" w:rsidRPr="00C3310F">
        <w:rPr>
          <w:rFonts w:hint="eastAsia"/>
        </w:rPr>
        <w:t>虛擬行動網路服務</w:t>
      </w:r>
      <w:r w:rsidRPr="00C3310F">
        <w:rPr>
          <w:rFonts w:hint="eastAsia"/>
        </w:rPr>
        <w:t>業者是否自主依電信管理法辦理登記為電信事業而定。然而因電信管理法並未賦予已登記之行動網路業者（Mobile Network Operator，下稱MNO，即五家</w:t>
      </w:r>
      <w:r w:rsidRPr="00C3310F">
        <w:rPr>
          <w:rFonts w:hint="eastAsia"/>
        </w:rPr>
        <w:lastRenderedPageBreak/>
        <w:t>行動通信業務經營者)以外業者法定名稱，故五大電信以外之業者，包含門號代辦業等，在「電信法」於112年6月30日落日前，仍得以二類電信稱之，「電信法」落日後則以MVNO業者稱之，先予敘明。</w:t>
      </w:r>
    </w:p>
    <w:p w14:paraId="15772E1D" w14:textId="3431A365" w:rsidR="000B1C3C" w:rsidRPr="00C3310F" w:rsidRDefault="000B1C3C" w:rsidP="000B1C3C">
      <w:pPr>
        <w:pStyle w:val="4"/>
      </w:pPr>
      <w:r w:rsidRPr="00C3310F">
        <w:rPr>
          <w:rFonts w:hint="eastAsia"/>
        </w:rPr>
        <w:t>經綜整機關查復及文獻盤點，詐欺犯罪無論是直接透過境內外電話及簡訊施行詐騙，或是利用門號作為網</w:t>
      </w:r>
      <w:r w:rsidR="003977B9" w:rsidRPr="00C3310F">
        <w:rPr>
          <w:rFonts w:hint="eastAsia"/>
        </w:rPr>
        <w:t>購</w:t>
      </w:r>
      <w:r w:rsidRPr="00C3310F">
        <w:rPr>
          <w:rFonts w:hint="eastAsia"/>
        </w:rPr>
        <w:t>認證或授權碼驗證之工具，均需取得足夠國內門號，而其取得國內電信門號之方式，並不分一類或二類電信，根據高檢署提供偵辦</w:t>
      </w:r>
      <w:r w:rsidRPr="00C3310F">
        <w:rPr>
          <w:rFonts w:hAnsi="標楷體" w:hint="eastAsia"/>
        </w:rPr>
        <w:t>「羅</w:t>
      </w:r>
      <w:r w:rsidRPr="00C3310F">
        <w:rPr>
          <w:rFonts w:ascii="新細明體" w:eastAsia="新細明體" w:hAnsi="新細明體" w:cs="新細明體" w:hint="eastAsia"/>
        </w:rPr>
        <w:t>〇〇</w:t>
      </w:r>
      <w:r w:rsidRPr="00C3310F">
        <w:rPr>
          <w:rFonts w:hAnsi="標楷體" w:hint="eastAsia"/>
        </w:rPr>
        <w:t>案」</w:t>
      </w:r>
      <w:r w:rsidRPr="00C3310F">
        <w:rPr>
          <w:rFonts w:hint="eastAsia"/>
        </w:rPr>
        <w:t>及「海峽電信案」</w:t>
      </w:r>
      <w:r w:rsidRPr="00C3310F">
        <w:rPr>
          <w:rStyle w:val="afe"/>
        </w:rPr>
        <w:footnoteReference w:id="72"/>
      </w:r>
      <w:r w:rsidRPr="00C3310F">
        <w:rPr>
          <w:rFonts w:hint="eastAsia"/>
        </w:rPr>
        <w:t>資料顯示，兩案分別係涉嫌利用MNO之業者台灣之星股份有限公司(下稱台灣之星)及MVNO之業者海峽電信股份有限公司(下稱海峽電信)KYC管理漏洞取得大量門號遂行詐欺犯罪之案例，其中</w:t>
      </w:r>
      <w:r w:rsidRPr="00C3310F">
        <w:rPr>
          <w:rFonts w:hAnsi="標楷體" w:hint="eastAsia"/>
        </w:rPr>
        <w:t>「羅</w:t>
      </w:r>
      <w:r w:rsidRPr="00C3310F">
        <w:rPr>
          <w:rFonts w:ascii="新細明體" w:eastAsia="新細明體" w:hAnsi="新細明體" w:cs="新細明體" w:hint="eastAsia"/>
        </w:rPr>
        <w:t>〇〇</w:t>
      </w:r>
      <w:r w:rsidRPr="00C3310F">
        <w:rPr>
          <w:rFonts w:hAnsi="標楷體" w:hint="eastAsia"/>
        </w:rPr>
        <w:t>案」涉及利用MNO業者未落實KYC之漏洞，竟能取得高達30萬筆門號。海峽電信案本身屬</w:t>
      </w:r>
      <w:r w:rsidRPr="00C3310F">
        <w:rPr>
          <w:rFonts w:hint="eastAsia"/>
        </w:rPr>
        <w:t>MVNO業者，竟涉嫌與</w:t>
      </w:r>
      <w:r w:rsidR="00A1409C" w:rsidRPr="00C3310F">
        <w:rPr>
          <w:rFonts w:hint="eastAsia"/>
        </w:rPr>
        <w:t>詐騙集團</w:t>
      </w:r>
      <w:r w:rsidRPr="00C3310F">
        <w:rPr>
          <w:rFonts w:hint="eastAsia"/>
        </w:rPr>
        <w:t>合作向中華電信申請2,000多個門號，此有立法院司法及法制委員會於113年3月「詐欺犯罪防制立法及各部會打詐機制盤點」公聽會報告，台灣</w:t>
      </w:r>
      <w:r w:rsidR="000C2A64" w:rsidRPr="00C3310F">
        <w:rPr>
          <w:rFonts w:hint="eastAsia"/>
        </w:rPr>
        <w:t>電信</w:t>
      </w:r>
      <w:r w:rsidRPr="00C3310F">
        <w:rPr>
          <w:rFonts w:hint="eastAsia"/>
        </w:rPr>
        <w:t>產業發展協會劉莉秋副秘書長所指：「很多的二類電信或者是特二類電信，在去(112)年6月30</w:t>
      </w:r>
      <w:r w:rsidR="00AB45EA" w:rsidRPr="00C3310F">
        <w:rPr>
          <w:rFonts w:hint="eastAsia"/>
        </w:rPr>
        <w:t>日</w:t>
      </w:r>
      <w:r w:rsidRPr="00C3310F">
        <w:rPr>
          <w:rFonts w:hint="eastAsia"/>
        </w:rPr>
        <w:t>之後就不受電信法的管轄，甚至於也逸脫於電信管理法的管理範圍」等語益證。</w:t>
      </w:r>
    </w:p>
    <w:p w14:paraId="1830CA7B" w14:textId="6F561E79" w:rsidR="000B1C3C" w:rsidRPr="00C3310F" w:rsidRDefault="000B1C3C" w:rsidP="000B1C3C">
      <w:pPr>
        <w:pStyle w:val="5"/>
      </w:pPr>
      <w:r w:rsidRPr="00C3310F">
        <w:rPr>
          <w:rFonts w:hint="eastAsia"/>
        </w:rPr>
        <w:t>在「羅</w:t>
      </w:r>
      <w:r w:rsidRPr="00C3310F">
        <w:rPr>
          <w:rFonts w:ascii="新細明體" w:eastAsia="新細明體" w:hAnsi="新細明體" w:cs="新細明體" w:hint="eastAsia"/>
        </w:rPr>
        <w:t>〇〇</w:t>
      </w:r>
      <w:r w:rsidRPr="00C3310F">
        <w:rPr>
          <w:rFonts w:hAnsi="標楷體" w:cs="標楷體" w:hint="eastAsia"/>
        </w:rPr>
        <w:t>案」中，</w:t>
      </w:r>
      <w:r w:rsidRPr="00C3310F">
        <w:t>MNO</w:t>
      </w:r>
      <w:r w:rsidRPr="00C3310F">
        <w:rPr>
          <w:rFonts w:hint="eastAsia"/>
        </w:rPr>
        <w:t>承辦人為</w:t>
      </w:r>
      <w:r w:rsidR="00A1409C" w:rsidRPr="00C3310F">
        <w:rPr>
          <w:rFonts w:hint="eastAsia"/>
        </w:rPr>
        <w:t>詐騙集團</w:t>
      </w:r>
      <w:r w:rsidRPr="00C3310F">
        <w:rPr>
          <w:rFonts w:hint="eastAsia"/>
        </w:rPr>
        <w:t>申辦門號大開方便之門，以</w:t>
      </w:r>
      <w:r w:rsidRPr="00C3310F">
        <w:t>8</w:t>
      </w:r>
      <w:r w:rsidRPr="00C3310F">
        <w:rPr>
          <w:rFonts w:hint="eastAsia"/>
        </w:rPr>
        <w:t>家企業客戶名義前後申請約</w:t>
      </w:r>
      <w:r w:rsidRPr="00C3310F">
        <w:t>30</w:t>
      </w:r>
      <w:r w:rsidRPr="00C3310F">
        <w:rPr>
          <w:rFonts w:hint="eastAsia"/>
        </w:rPr>
        <w:t>萬筆門號，並自</w:t>
      </w:r>
      <w:r w:rsidRPr="00C3310F">
        <w:t>112</w:t>
      </w:r>
      <w:r w:rsidRPr="00C3310F">
        <w:rPr>
          <w:rFonts w:hint="eastAsia"/>
        </w:rPr>
        <w:t>年</w:t>
      </w:r>
      <w:r w:rsidRPr="00C3310F">
        <w:t>1</w:t>
      </w:r>
      <w:r w:rsidRPr="00C3310F">
        <w:rPr>
          <w:rFonts w:hint="eastAsia"/>
        </w:rPr>
        <w:t>月起，分成</w:t>
      </w:r>
      <w:r w:rsidRPr="00C3310F">
        <w:t>47</w:t>
      </w:r>
      <w:r w:rsidRPr="00C3310F">
        <w:rPr>
          <w:rFonts w:hint="eastAsia"/>
        </w:rPr>
        <w:t>次出</w:t>
      </w:r>
      <w:r w:rsidRPr="00C3310F">
        <w:rPr>
          <w:rFonts w:hint="eastAsia"/>
        </w:rPr>
        <w:lastRenderedPageBreak/>
        <w:t>口</w:t>
      </w:r>
      <w:r w:rsidRPr="00C3310F">
        <w:t>SIM</w:t>
      </w:r>
      <w:r w:rsidRPr="00C3310F">
        <w:rPr>
          <w:rFonts w:hint="eastAsia"/>
        </w:rPr>
        <w:t>卡到中國。</w:t>
      </w:r>
    </w:p>
    <w:p w14:paraId="22D49026" w14:textId="77777777" w:rsidR="000B1C3C" w:rsidRPr="00C3310F" w:rsidRDefault="000B1C3C" w:rsidP="000B1C3C">
      <w:pPr>
        <w:pStyle w:val="5"/>
      </w:pPr>
      <w:r w:rsidRPr="00C3310F">
        <w:rPr>
          <w:rFonts w:hint="eastAsia"/>
        </w:rPr>
        <w:t>在「海峽電信案」部分，桃園地檢署112年6月1日以桃秀河112他3808字第1129064373號函，指出海峽電信未落實用戶資料審核而大量核發門號，建請通傳會進行相關行政措施。</w:t>
      </w:r>
    </w:p>
    <w:p w14:paraId="4FAAD5E0" w14:textId="1295D54D" w:rsidR="000B1C3C" w:rsidRPr="00C3310F" w:rsidRDefault="000B1C3C" w:rsidP="000B1C3C">
      <w:pPr>
        <w:pStyle w:val="4"/>
      </w:pPr>
      <w:r w:rsidRPr="00C3310F">
        <w:rPr>
          <w:rFonts w:hint="eastAsia"/>
        </w:rPr>
        <w:t>對於前述兩案所彰顯的問題，高檢署認為</w:t>
      </w:r>
      <w:r w:rsidRPr="00C3310F">
        <w:rPr>
          <w:rStyle w:val="afe"/>
        </w:rPr>
        <w:footnoteReference w:id="73"/>
      </w:r>
      <w:r w:rsidRPr="00C3310F">
        <w:rPr>
          <w:rFonts w:hint="eastAsia"/>
        </w:rPr>
        <w:t>在門號核配上，無論是對於企業(公司法人)或自然人都有管制失靈問題如下，原因不盡相同。經</w:t>
      </w:r>
      <w:r w:rsidR="000C2A64" w:rsidRPr="00C3310F">
        <w:rPr>
          <w:rFonts w:hint="eastAsia"/>
        </w:rPr>
        <w:t>本</w:t>
      </w:r>
      <w:r w:rsidRPr="00C3310F">
        <w:rPr>
          <w:rFonts w:hint="eastAsia"/>
        </w:rPr>
        <w:t>調查研究分析，公司法人部分於制度面問題較大，而自然人部分則以內控缺失為主。</w:t>
      </w:r>
    </w:p>
    <w:p w14:paraId="67DBC492" w14:textId="77777777" w:rsidR="000B1C3C" w:rsidRPr="00C3310F" w:rsidRDefault="000B1C3C" w:rsidP="000B1C3C">
      <w:pPr>
        <w:pStyle w:val="5"/>
      </w:pPr>
      <w:r w:rsidRPr="00C3310F">
        <w:rPr>
          <w:rFonts w:hint="eastAsia"/>
        </w:rPr>
        <w:t>企業客戶管制失靈原因，包括企業資格不設限、門號數量不設限、門號異常比例不設限。</w:t>
      </w:r>
    </w:p>
    <w:p w14:paraId="7510F8D7" w14:textId="0E4034A5" w:rsidR="000B1C3C" w:rsidRPr="00C3310F" w:rsidRDefault="000B1C3C" w:rsidP="000B1C3C">
      <w:pPr>
        <w:pStyle w:val="5"/>
      </w:pPr>
      <w:r w:rsidRPr="00C3310F">
        <w:rPr>
          <w:rFonts w:hint="eastAsia"/>
        </w:rPr>
        <w:t>自然人客戶管制失靈原因，則包括未落實申辦人身分查核、未落實申辦資料稽核</w:t>
      </w:r>
      <w:r w:rsidR="000C2A64" w:rsidRPr="00C3310F">
        <w:rPr>
          <w:rFonts w:hint="eastAsia"/>
        </w:rPr>
        <w:t>及</w:t>
      </w:r>
      <w:r w:rsidRPr="00C3310F">
        <w:rPr>
          <w:rFonts w:hint="eastAsia"/>
        </w:rPr>
        <w:t>未落實門號數量控管。</w:t>
      </w:r>
    </w:p>
    <w:p w14:paraId="27274E36" w14:textId="73BC2F73" w:rsidR="000B1C3C" w:rsidRPr="00C3310F" w:rsidRDefault="000B1C3C" w:rsidP="000B1C3C">
      <w:pPr>
        <w:pStyle w:val="4"/>
      </w:pPr>
      <w:r w:rsidRPr="00C3310F">
        <w:rPr>
          <w:rFonts w:hint="eastAsia"/>
        </w:rPr>
        <w:t>對於前述案件所顯露之問題，通傳會遂於112年</w:t>
      </w:r>
      <w:r w:rsidRPr="00C3310F">
        <w:t>6</w:t>
      </w:r>
      <w:r w:rsidRPr="00C3310F">
        <w:rPr>
          <w:rFonts w:hint="eastAsia"/>
        </w:rPr>
        <w:t>月</w:t>
      </w:r>
      <w:r w:rsidRPr="00C3310F">
        <w:t>16</w:t>
      </w:r>
      <w:r w:rsidRPr="00C3310F">
        <w:rPr>
          <w:rFonts w:hint="eastAsia"/>
        </w:rPr>
        <w:t>日依行政程序法第</w:t>
      </w:r>
      <w:r w:rsidRPr="00C3310F">
        <w:t>165</w:t>
      </w:r>
      <w:r w:rsidRPr="00C3310F">
        <w:rPr>
          <w:rFonts w:hint="eastAsia"/>
        </w:rPr>
        <w:t>條訂頒「電信事業受理申辦電信服務風險管理機制指引」，督導電信事業應強化各電信事業落實</w:t>
      </w:r>
      <w:r w:rsidR="006E2829" w:rsidRPr="00C3310F">
        <w:rPr>
          <w:rFonts w:hint="eastAsia"/>
        </w:rPr>
        <w:t>KYC</w:t>
      </w:r>
      <w:r w:rsidRPr="00C3310F">
        <w:rPr>
          <w:rFonts w:hint="eastAsia"/>
        </w:rPr>
        <w:t>機制。</w:t>
      </w:r>
    </w:p>
    <w:p w14:paraId="29F03C12" w14:textId="25156330" w:rsidR="000B1C3C" w:rsidRPr="00C3310F" w:rsidRDefault="000B1C3C" w:rsidP="000B1C3C">
      <w:pPr>
        <w:pStyle w:val="4"/>
      </w:pPr>
      <w:r w:rsidRPr="00C3310F">
        <w:rPr>
          <w:rFonts w:hint="eastAsia"/>
        </w:rPr>
        <w:t>在業者稽核處分部分，通傳會為督促電信事業加強落實我國電信門號之管理，</w:t>
      </w:r>
      <w:r w:rsidRPr="00C3310F">
        <w:rPr>
          <w:rFonts w:hint="eastAsia"/>
          <w:bCs/>
        </w:rPr>
        <w:t>自112年1月起截至113年4月</w:t>
      </w:r>
      <w:r w:rsidRPr="00C3310F">
        <w:rPr>
          <w:rFonts w:hint="eastAsia"/>
        </w:rPr>
        <w:t>，針對電信事業未落實身分查核案件，已就台灣之星、亞太電信及海峽電信等3家電信事業</w:t>
      </w:r>
      <w:r w:rsidRPr="00C3310F">
        <w:rPr>
          <w:rFonts w:hint="eastAsia"/>
          <w:bCs/>
        </w:rPr>
        <w:t>共計裁處20件，核處罰鍰金額共計2</w:t>
      </w:r>
      <w:r w:rsidRPr="00C3310F">
        <w:rPr>
          <w:bCs/>
        </w:rPr>
        <w:t>,</w:t>
      </w:r>
      <w:r w:rsidRPr="00C3310F">
        <w:rPr>
          <w:rFonts w:hint="eastAsia"/>
          <w:bCs/>
        </w:rPr>
        <w:t>625萬元如下表</w:t>
      </w:r>
      <w:r w:rsidR="004B77B6" w:rsidRPr="00C3310F">
        <w:rPr>
          <w:rFonts w:hint="eastAsia"/>
          <w:bCs/>
        </w:rPr>
        <w:t>1</w:t>
      </w:r>
      <w:r w:rsidR="004B77B6" w:rsidRPr="00C3310F">
        <w:rPr>
          <w:bCs/>
        </w:rPr>
        <w:t>8</w:t>
      </w:r>
      <w:r w:rsidRPr="00C3310F">
        <w:rPr>
          <w:rFonts w:hint="eastAsia"/>
          <w:bCs/>
        </w:rPr>
        <w:t>。</w:t>
      </w:r>
    </w:p>
    <w:p w14:paraId="408B0067" w14:textId="77777777" w:rsidR="00BA14B9" w:rsidRPr="00C3310F" w:rsidRDefault="00BA14B9" w:rsidP="00062CD2">
      <w:pPr>
        <w:pStyle w:val="4"/>
        <w:numPr>
          <w:ilvl w:val="0"/>
          <w:numId w:val="0"/>
        </w:numPr>
        <w:ind w:left="1701"/>
      </w:pPr>
    </w:p>
    <w:p w14:paraId="4BD16A11" w14:textId="7F038B80" w:rsidR="002375EF" w:rsidRPr="00C3310F" w:rsidRDefault="000B1C3C" w:rsidP="000C2A64">
      <w:pPr>
        <w:pStyle w:val="a3"/>
        <w:spacing w:after="120"/>
        <w:jc w:val="center"/>
        <w:rPr>
          <w:rFonts w:hint="eastAsia"/>
          <w:bCs w:val="0"/>
        </w:rPr>
      </w:pPr>
      <w:bookmarkStart w:id="933" w:name="_Toc172025222"/>
      <w:r w:rsidRPr="00C3310F">
        <w:rPr>
          <w:rFonts w:hint="eastAsia"/>
          <w:b/>
        </w:rPr>
        <w:lastRenderedPageBreak/>
        <w:t>電信事業未落實查核案件裁罰情形</w:t>
      </w:r>
      <w:bookmarkEnd w:id="933"/>
    </w:p>
    <w:p w14:paraId="3BDEE684" w14:textId="77777777" w:rsidR="000B1C3C" w:rsidRPr="00C3310F" w:rsidRDefault="00AB45EA" w:rsidP="002375EF">
      <w:pPr>
        <w:jc w:val="right"/>
        <w:rPr>
          <w:sz w:val="24"/>
          <w:szCs w:val="24"/>
        </w:rPr>
      </w:pPr>
      <w:r w:rsidRPr="00C3310F">
        <w:rPr>
          <w:rFonts w:hint="eastAsia"/>
          <w:sz w:val="24"/>
          <w:szCs w:val="24"/>
        </w:rPr>
        <w:t>單位:元</w:t>
      </w:r>
    </w:p>
    <w:tbl>
      <w:tblPr>
        <w:tblW w:w="9492" w:type="dxa"/>
        <w:tblInd w:w="-185" w:type="dxa"/>
        <w:tblCellMar>
          <w:left w:w="0" w:type="dxa"/>
          <w:right w:w="0" w:type="dxa"/>
        </w:tblCellMar>
        <w:tblLook w:val="04A0" w:firstRow="1" w:lastRow="0" w:firstColumn="1" w:lastColumn="0" w:noHBand="0" w:noVBand="1"/>
      </w:tblPr>
      <w:tblGrid>
        <w:gridCol w:w="3271"/>
        <w:gridCol w:w="3406"/>
        <w:gridCol w:w="1408"/>
        <w:gridCol w:w="1407"/>
      </w:tblGrid>
      <w:tr w:rsidR="00C3310F" w:rsidRPr="00C3310F" w14:paraId="7A1FC056" w14:textId="77777777" w:rsidTr="000B1C3C">
        <w:trPr>
          <w:trHeight w:val="319"/>
        </w:trPr>
        <w:tc>
          <w:tcPr>
            <w:tcW w:w="3271" w:type="dxa"/>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hideMark/>
          </w:tcPr>
          <w:p w14:paraId="713E35B5" w14:textId="77777777" w:rsidR="000B1C3C" w:rsidRPr="00C3310F" w:rsidRDefault="000B1C3C" w:rsidP="000B1C3C">
            <w:pPr>
              <w:ind w:left="601" w:hangingChars="200" w:hanging="601"/>
              <w:jc w:val="center"/>
              <w:rPr>
                <w:rFonts w:hAnsi="標楷體"/>
                <w:bCs/>
                <w:sz w:val="28"/>
                <w:szCs w:val="28"/>
              </w:rPr>
            </w:pPr>
            <w:r w:rsidRPr="00C3310F">
              <w:rPr>
                <w:rFonts w:hAnsi="標楷體" w:hint="eastAsia"/>
                <w:b/>
                <w:bCs/>
                <w:sz w:val="28"/>
                <w:szCs w:val="28"/>
              </w:rPr>
              <w:t>業者別</w:t>
            </w:r>
          </w:p>
        </w:tc>
        <w:tc>
          <w:tcPr>
            <w:tcW w:w="3406" w:type="dxa"/>
            <w:tcBorders>
              <w:top w:val="single" w:sz="8" w:space="0" w:color="000000"/>
              <w:left w:val="single" w:sz="8" w:space="0" w:color="000000"/>
              <w:bottom w:val="single" w:sz="8" w:space="0" w:color="000000"/>
              <w:right w:val="single" w:sz="8" w:space="0" w:color="000000"/>
            </w:tcBorders>
          </w:tcPr>
          <w:p w14:paraId="7A9F6633" w14:textId="77777777" w:rsidR="000B1C3C" w:rsidRPr="00C3310F" w:rsidRDefault="000B1C3C" w:rsidP="000B1C3C">
            <w:pPr>
              <w:ind w:left="601" w:hangingChars="200" w:hanging="601"/>
              <w:jc w:val="center"/>
              <w:rPr>
                <w:rFonts w:hAnsi="標楷體"/>
                <w:b/>
                <w:bCs/>
                <w:sz w:val="28"/>
                <w:szCs w:val="28"/>
              </w:rPr>
            </w:pPr>
            <w:r w:rsidRPr="00C3310F">
              <w:rPr>
                <w:rFonts w:hAnsi="標楷體" w:hint="eastAsia"/>
                <w:b/>
                <w:bCs/>
                <w:sz w:val="28"/>
                <w:szCs w:val="28"/>
              </w:rPr>
              <w:t>委員會議日期/次號</w:t>
            </w:r>
          </w:p>
        </w:tc>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hideMark/>
          </w:tcPr>
          <w:p w14:paraId="50209FB2" w14:textId="77777777" w:rsidR="000B1C3C" w:rsidRPr="00C3310F" w:rsidRDefault="000B1C3C" w:rsidP="000B1C3C">
            <w:pPr>
              <w:ind w:left="601" w:hangingChars="200" w:hanging="601"/>
              <w:jc w:val="center"/>
              <w:rPr>
                <w:rFonts w:hAnsi="標楷體"/>
                <w:bCs/>
                <w:sz w:val="28"/>
                <w:szCs w:val="28"/>
              </w:rPr>
            </w:pPr>
            <w:r w:rsidRPr="00C3310F">
              <w:rPr>
                <w:rFonts w:hAnsi="標楷體" w:hint="eastAsia"/>
                <w:b/>
                <w:bCs/>
                <w:sz w:val="28"/>
                <w:szCs w:val="28"/>
              </w:rPr>
              <w:t>罰鍰金額</w:t>
            </w:r>
          </w:p>
        </w:tc>
        <w:tc>
          <w:tcPr>
            <w:tcW w:w="1407" w:type="dxa"/>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hideMark/>
          </w:tcPr>
          <w:p w14:paraId="0E9B6288" w14:textId="77777777" w:rsidR="000B1C3C" w:rsidRPr="00C3310F" w:rsidRDefault="000B1C3C" w:rsidP="000B1C3C">
            <w:pPr>
              <w:ind w:left="601" w:hangingChars="200" w:hanging="601"/>
              <w:jc w:val="center"/>
              <w:rPr>
                <w:rFonts w:hAnsi="標楷體"/>
                <w:bCs/>
                <w:sz w:val="28"/>
                <w:szCs w:val="44"/>
              </w:rPr>
            </w:pPr>
            <w:r w:rsidRPr="00C3310F">
              <w:rPr>
                <w:rFonts w:hAnsi="標楷體" w:hint="eastAsia"/>
                <w:b/>
                <w:bCs/>
                <w:sz w:val="28"/>
                <w:szCs w:val="44"/>
              </w:rPr>
              <w:t>裁處件數</w:t>
            </w:r>
          </w:p>
        </w:tc>
      </w:tr>
      <w:tr w:rsidR="00C3310F" w:rsidRPr="00C3310F" w14:paraId="591A09A2" w14:textId="77777777" w:rsidTr="000B1C3C">
        <w:trPr>
          <w:trHeight w:val="319"/>
        </w:trPr>
        <w:tc>
          <w:tcPr>
            <w:tcW w:w="3271" w:type="dxa"/>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hideMark/>
          </w:tcPr>
          <w:p w14:paraId="2F22A7A4" w14:textId="77777777" w:rsidR="000B1C3C" w:rsidRPr="00C3310F" w:rsidRDefault="000B1C3C" w:rsidP="000B1C3C">
            <w:pPr>
              <w:ind w:left="600" w:hangingChars="200" w:hanging="600"/>
              <w:jc w:val="left"/>
              <w:rPr>
                <w:rFonts w:hAnsi="標楷體"/>
                <w:bCs/>
                <w:sz w:val="28"/>
                <w:szCs w:val="28"/>
              </w:rPr>
            </w:pPr>
            <w:r w:rsidRPr="00C3310F">
              <w:rPr>
                <w:rFonts w:hAnsi="標楷體" w:hint="eastAsia"/>
                <w:bCs/>
                <w:sz w:val="28"/>
                <w:szCs w:val="28"/>
              </w:rPr>
              <w:t>亞太電信股份有限公司</w:t>
            </w:r>
          </w:p>
        </w:tc>
        <w:tc>
          <w:tcPr>
            <w:tcW w:w="3406" w:type="dxa"/>
            <w:tcBorders>
              <w:top w:val="single" w:sz="8" w:space="0" w:color="000000"/>
              <w:left w:val="single" w:sz="8" w:space="0" w:color="000000"/>
              <w:bottom w:val="single" w:sz="8" w:space="0" w:color="000000"/>
              <w:right w:val="single" w:sz="8" w:space="0" w:color="000000"/>
            </w:tcBorders>
          </w:tcPr>
          <w:p w14:paraId="5F8616EB" w14:textId="77777777" w:rsidR="000B1C3C" w:rsidRPr="00C3310F" w:rsidRDefault="000B1C3C" w:rsidP="000B1C3C">
            <w:pPr>
              <w:ind w:left="600" w:hangingChars="200" w:hanging="600"/>
              <w:jc w:val="center"/>
              <w:rPr>
                <w:rFonts w:hAnsi="標楷體"/>
                <w:bCs/>
                <w:sz w:val="28"/>
                <w:szCs w:val="28"/>
              </w:rPr>
            </w:pPr>
            <w:r w:rsidRPr="00C3310F">
              <w:rPr>
                <w:rFonts w:hAnsi="標楷體" w:hint="eastAsia"/>
                <w:bCs/>
                <w:sz w:val="28"/>
                <w:szCs w:val="28"/>
              </w:rPr>
              <w:t>112年3月22日第1058次</w:t>
            </w:r>
          </w:p>
        </w:tc>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hideMark/>
          </w:tcPr>
          <w:p w14:paraId="362A1521" w14:textId="77777777" w:rsidR="000B1C3C" w:rsidRPr="00C3310F" w:rsidRDefault="000B1C3C" w:rsidP="00AB45EA">
            <w:pPr>
              <w:ind w:left="600" w:hangingChars="200" w:hanging="600"/>
              <w:jc w:val="right"/>
              <w:rPr>
                <w:rFonts w:hAnsi="標楷體"/>
                <w:bCs/>
                <w:sz w:val="28"/>
                <w:szCs w:val="28"/>
              </w:rPr>
            </w:pPr>
            <w:r w:rsidRPr="00C3310F">
              <w:rPr>
                <w:rFonts w:hAnsi="標楷體"/>
                <w:bCs/>
                <w:sz w:val="28"/>
                <w:szCs w:val="28"/>
              </w:rPr>
              <w:t>450</w:t>
            </w:r>
            <w:r w:rsidRPr="00C3310F">
              <w:rPr>
                <w:rFonts w:hAnsi="標楷體" w:hint="eastAsia"/>
                <w:bCs/>
                <w:sz w:val="28"/>
                <w:szCs w:val="28"/>
              </w:rPr>
              <w:t>萬</w:t>
            </w:r>
          </w:p>
        </w:tc>
        <w:tc>
          <w:tcPr>
            <w:tcW w:w="1407" w:type="dxa"/>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hideMark/>
          </w:tcPr>
          <w:p w14:paraId="07797213" w14:textId="77777777" w:rsidR="000B1C3C" w:rsidRPr="00C3310F" w:rsidRDefault="000B1C3C" w:rsidP="000B1C3C">
            <w:pPr>
              <w:ind w:left="600" w:hangingChars="200" w:hanging="600"/>
              <w:jc w:val="center"/>
              <w:rPr>
                <w:rFonts w:hAnsi="標楷體"/>
                <w:bCs/>
                <w:sz w:val="28"/>
                <w:szCs w:val="44"/>
              </w:rPr>
            </w:pPr>
            <w:r w:rsidRPr="00C3310F">
              <w:rPr>
                <w:rFonts w:hAnsi="標楷體"/>
                <w:bCs/>
                <w:sz w:val="28"/>
                <w:szCs w:val="44"/>
              </w:rPr>
              <w:t>3</w:t>
            </w:r>
            <w:r w:rsidRPr="00C3310F">
              <w:rPr>
                <w:rFonts w:hAnsi="標楷體" w:hint="eastAsia"/>
                <w:bCs/>
                <w:sz w:val="28"/>
                <w:szCs w:val="44"/>
              </w:rPr>
              <w:t>件</w:t>
            </w:r>
          </w:p>
        </w:tc>
      </w:tr>
      <w:tr w:rsidR="00C3310F" w:rsidRPr="00C3310F" w14:paraId="30EB73C3" w14:textId="77777777" w:rsidTr="000B1C3C">
        <w:trPr>
          <w:trHeight w:val="319"/>
        </w:trPr>
        <w:tc>
          <w:tcPr>
            <w:tcW w:w="3271" w:type="dxa"/>
            <w:vMerge w:val="restart"/>
            <w:tcBorders>
              <w:top w:val="single" w:sz="8" w:space="0" w:color="000000"/>
              <w:left w:val="single" w:sz="8" w:space="0" w:color="000000"/>
              <w:right w:val="single" w:sz="8" w:space="0" w:color="000000"/>
            </w:tcBorders>
            <w:shd w:val="clear" w:color="auto" w:fill="auto"/>
            <w:tcMar>
              <w:top w:w="15" w:type="dxa"/>
              <w:left w:w="99" w:type="dxa"/>
              <w:bottom w:w="0" w:type="dxa"/>
              <w:right w:w="99" w:type="dxa"/>
            </w:tcMar>
            <w:vAlign w:val="center"/>
            <w:hideMark/>
          </w:tcPr>
          <w:p w14:paraId="56F077AC" w14:textId="77777777" w:rsidR="000B1C3C" w:rsidRPr="00C3310F" w:rsidRDefault="000B1C3C" w:rsidP="000B1C3C">
            <w:pPr>
              <w:ind w:left="600" w:hangingChars="200" w:hanging="600"/>
              <w:jc w:val="left"/>
              <w:rPr>
                <w:rFonts w:hAnsi="標楷體"/>
                <w:bCs/>
                <w:sz w:val="28"/>
                <w:szCs w:val="28"/>
              </w:rPr>
            </w:pPr>
            <w:r w:rsidRPr="00C3310F">
              <w:rPr>
                <w:rFonts w:hAnsi="標楷體" w:hint="eastAsia"/>
                <w:sz w:val="28"/>
                <w:szCs w:val="28"/>
              </w:rPr>
              <w:t>台灣之星</w:t>
            </w:r>
          </w:p>
        </w:tc>
        <w:tc>
          <w:tcPr>
            <w:tcW w:w="3406" w:type="dxa"/>
            <w:tcBorders>
              <w:top w:val="single" w:sz="8" w:space="0" w:color="000000"/>
              <w:left w:val="single" w:sz="8" w:space="0" w:color="000000"/>
              <w:bottom w:val="single" w:sz="8" w:space="0" w:color="000000"/>
              <w:right w:val="single" w:sz="8" w:space="0" w:color="000000"/>
            </w:tcBorders>
          </w:tcPr>
          <w:p w14:paraId="622BE9EF" w14:textId="77777777" w:rsidR="000B1C3C" w:rsidRPr="00C3310F" w:rsidRDefault="000B1C3C" w:rsidP="000B1C3C">
            <w:pPr>
              <w:ind w:left="600" w:hangingChars="200" w:hanging="600"/>
              <w:jc w:val="center"/>
              <w:rPr>
                <w:rFonts w:hAnsi="標楷體"/>
                <w:bCs/>
                <w:sz w:val="28"/>
                <w:szCs w:val="28"/>
              </w:rPr>
            </w:pPr>
            <w:r w:rsidRPr="00C3310F">
              <w:rPr>
                <w:rFonts w:hAnsi="標楷體" w:hint="eastAsia"/>
                <w:bCs/>
                <w:sz w:val="28"/>
                <w:szCs w:val="28"/>
              </w:rPr>
              <w:t>112年7月26日第1076次</w:t>
            </w:r>
          </w:p>
        </w:tc>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hideMark/>
          </w:tcPr>
          <w:p w14:paraId="49BA579B" w14:textId="77777777" w:rsidR="000B1C3C" w:rsidRPr="00C3310F" w:rsidRDefault="000B1C3C" w:rsidP="00AB45EA">
            <w:pPr>
              <w:ind w:left="600" w:hangingChars="200" w:hanging="600"/>
              <w:jc w:val="right"/>
              <w:rPr>
                <w:rFonts w:hAnsi="標楷體"/>
                <w:bCs/>
                <w:sz w:val="28"/>
                <w:szCs w:val="28"/>
              </w:rPr>
            </w:pPr>
            <w:r w:rsidRPr="00C3310F">
              <w:rPr>
                <w:rFonts w:hAnsi="標楷體"/>
                <w:bCs/>
                <w:sz w:val="28"/>
                <w:szCs w:val="28"/>
              </w:rPr>
              <w:t>100</w:t>
            </w:r>
            <w:r w:rsidRPr="00C3310F">
              <w:rPr>
                <w:rFonts w:hAnsi="標楷體" w:hint="eastAsia"/>
                <w:bCs/>
                <w:sz w:val="28"/>
                <w:szCs w:val="28"/>
              </w:rPr>
              <w:t>萬</w:t>
            </w:r>
          </w:p>
        </w:tc>
        <w:tc>
          <w:tcPr>
            <w:tcW w:w="1407" w:type="dxa"/>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hideMark/>
          </w:tcPr>
          <w:p w14:paraId="0CBFB0B9" w14:textId="77777777" w:rsidR="000B1C3C" w:rsidRPr="00C3310F" w:rsidRDefault="000B1C3C" w:rsidP="000B1C3C">
            <w:pPr>
              <w:ind w:left="600" w:hangingChars="200" w:hanging="600"/>
              <w:jc w:val="center"/>
              <w:rPr>
                <w:rFonts w:hAnsi="標楷體"/>
                <w:bCs/>
                <w:sz w:val="28"/>
                <w:szCs w:val="44"/>
              </w:rPr>
            </w:pPr>
            <w:r w:rsidRPr="00C3310F">
              <w:rPr>
                <w:rFonts w:hAnsi="標楷體"/>
                <w:bCs/>
                <w:sz w:val="28"/>
                <w:szCs w:val="44"/>
              </w:rPr>
              <w:t>1</w:t>
            </w:r>
            <w:r w:rsidRPr="00C3310F">
              <w:rPr>
                <w:rFonts w:hAnsi="標楷體" w:hint="eastAsia"/>
                <w:bCs/>
                <w:sz w:val="28"/>
                <w:szCs w:val="44"/>
              </w:rPr>
              <w:t>件</w:t>
            </w:r>
          </w:p>
        </w:tc>
      </w:tr>
      <w:tr w:rsidR="00C3310F" w:rsidRPr="00C3310F" w14:paraId="084BC634" w14:textId="77777777" w:rsidTr="000B1C3C">
        <w:trPr>
          <w:trHeight w:val="319"/>
        </w:trPr>
        <w:tc>
          <w:tcPr>
            <w:tcW w:w="3271" w:type="dxa"/>
            <w:vMerge/>
            <w:tcBorders>
              <w:left w:val="single" w:sz="8" w:space="0" w:color="000000"/>
              <w:bottom w:val="single" w:sz="8" w:space="0" w:color="000000"/>
              <w:right w:val="single" w:sz="8" w:space="0" w:color="000000"/>
            </w:tcBorders>
            <w:shd w:val="clear" w:color="auto" w:fill="auto"/>
            <w:tcMar>
              <w:top w:w="15" w:type="dxa"/>
              <w:left w:w="99" w:type="dxa"/>
              <w:bottom w:w="0" w:type="dxa"/>
              <w:right w:w="99" w:type="dxa"/>
            </w:tcMar>
          </w:tcPr>
          <w:p w14:paraId="53C4CF6A" w14:textId="77777777" w:rsidR="000B1C3C" w:rsidRPr="00C3310F" w:rsidRDefault="000B1C3C" w:rsidP="000B1C3C">
            <w:pPr>
              <w:ind w:left="600" w:hangingChars="200" w:hanging="600"/>
              <w:jc w:val="left"/>
              <w:rPr>
                <w:rFonts w:hAnsi="標楷體"/>
                <w:bCs/>
                <w:sz w:val="28"/>
                <w:szCs w:val="28"/>
              </w:rPr>
            </w:pPr>
          </w:p>
        </w:tc>
        <w:tc>
          <w:tcPr>
            <w:tcW w:w="3406" w:type="dxa"/>
            <w:tcBorders>
              <w:top w:val="single" w:sz="8" w:space="0" w:color="000000"/>
              <w:left w:val="single" w:sz="8" w:space="0" w:color="000000"/>
              <w:bottom w:val="single" w:sz="8" w:space="0" w:color="000000"/>
              <w:right w:val="single" w:sz="8" w:space="0" w:color="000000"/>
            </w:tcBorders>
          </w:tcPr>
          <w:p w14:paraId="4055EB9A" w14:textId="77777777" w:rsidR="000B1C3C" w:rsidRPr="00C3310F" w:rsidRDefault="000B1C3C" w:rsidP="000B1C3C">
            <w:pPr>
              <w:ind w:left="600" w:hangingChars="200" w:hanging="600"/>
              <w:jc w:val="center"/>
              <w:rPr>
                <w:rFonts w:hAnsi="標楷體"/>
                <w:bCs/>
                <w:sz w:val="28"/>
                <w:szCs w:val="28"/>
              </w:rPr>
            </w:pPr>
            <w:r w:rsidRPr="00C3310F">
              <w:rPr>
                <w:rFonts w:hAnsi="標楷體" w:hint="eastAsia"/>
                <w:bCs/>
                <w:sz w:val="28"/>
                <w:szCs w:val="28"/>
              </w:rPr>
              <w:t>112年8月2日第1077次</w:t>
            </w:r>
          </w:p>
        </w:tc>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tcPr>
          <w:p w14:paraId="3B3C4179" w14:textId="77777777" w:rsidR="000B1C3C" w:rsidRPr="00C3310F" w:rsidRDefault="000B1C3C" w:rsidP="00AB45EA">
            <w:pPr>
              <w:ind w:left="600" w:hangingChars="200" w:hanging="600"/>
              <w:jc w:val="right"/>
              <w:rPr>
                <w:rFonts w:hAnsi="標楷體"/>
                <w:sz w:val="28"/>
                <w:szCs w:val="28"/>
              </w:rPr>
            </w:pPr>
            <w:r w:rsidRPr="00C3310F">
              <w:rPr>
                <w:rFonts w:hAnsi="標楷體" w:hint="eastAsia"/>
                <w:sz w:val="28"/>
                <w:szCs w:val="28"/>
              </w:rPr>
              <w:t>1</w:t>
            </w:r>
            <w:r w:rsidRPr="00C3310F">
              <w:rPr>
                <w:rFonts w:hAnsi="標楷體"/>
                <w:sz w:val="28"/>
                <w:szCs w:val="28"/>
              </w:rPr>
              <w:t>,600</w:t>
            </w:r>
            <w:r w:rsidRPr="00C3310F">
              <w:rPr>
                <w:rFonts w:hAnsi="標楷體" w:hint="eastAsia"/>
                <w:sz w:val="28"/>
                <w:szCs w:val="28"/>
              </w:rPr>
              <w:t>萬</w:t>
            </w:r>
          </w:p>
        </w:tc>
        <w:tc>
          <w:tcPr>
            <w:tcW w:w="1407" w:type="dxa"/>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tcPr>
          <w:p w14:paraId="11A88039" w14:textId="77777777" w:rsidR="000B1C3C" w:rsidRPr="00C3310F" w:rsidRDefault="000B1C3C" w:rsidP="000B1C3C">
            <w:pPr>
              <w:ind w:left="600" w:hangingChars="200" w:hanging="600"/>
              <w:jc w:val="center"/>
              <w:rPr>
                <w:rFonts w:hAnsi="標楷體"/>
                <w:sz w:val="28"/>
                <w:szCs w:val="44"/>
              </w:rPr>
            </w:pPr>
            <w:r w:rsidRPr="00C3310F">
              <w:rPr>
                <w:rFonts w:hAnsi="標楷體" w:hint="eastAsia"/>
                <w:sz w:val="28"/>
                <w:szCs w:val="44"/>
              </w:rPr>
              <w:t>8件</w:t>
            </w:r>
          </w:p>
        </w:tc>
      </w:tr>
      <w:tr w:rsidR="00C3310F" w:rsidRPr="00C3310F" w14:paraId="20D58183" w14:textId="77777777" w:rsidTr="000B1C3C">
        <w:trPr>
          <w:trHeight w:val="319"/>
        </w:trPr>
        <w:tc>
          <w:tcPr>
            <w:tcW w:w="3271" w:type="dxa"/>
            <w:vMerge w:val="restart"/>
            <w:tcBorders>
              <w:top w:val="single" w:sz="8" w:space="0" w:color="000000"/>
              <w:left w:val="single" w:sz="8" w:space="0" w:color="000000"/>
              <w:right w:val="single" w:sz="8" w:space="0" w:color="000000"/>
            </w:tcBorders>
            <w:shd w:val="clear" w:color="auto" w:fill="auto"/>
            <w:tcMar>
              <w:top w:w="15" w:type="dxa"/>
              <w:left w:w="99" w:type="dxa"/>
              <w:bottom w:w="0" w:type="dxa"/>
              <w:right w:w="99" w:type="dxa"/>
            </w:tcMar>
            <w:vAlign w:val="center"/>
            <w:hideMark/>
          </w:tcPr>
          <w:p w14:paraId="5DFF74E8" w14:textId="77777777" w:rsidR="000B1C3C" w:rsidRPr="00C3310F" w:rsidRDefault="000B1C3C" w:rsidP="000B1C3C">
            <w:pPr>
              <w:ind w:left="600" w:hangingChars="200" w:hanging="600"/>
              <w:jc w:val="left"/>
              <w:rPr>
                <w:rFonts w:hAnsi="標楷體"/>
                <w:bCs/>
                <w:sz w:val="28"/>
                <w:szCs w:val="28"/>
              </w:rPr>
            </w:pPr>
            <w:r w:rsidRPr="00C3310F">
              <w:rPr>
                <w:rFonts w:hAnsi="標楷體" w:hint="eastAsia"/>
                <w:sz w:val="28"/>
                <w:szCs w:val="28"/>
              </w:rPr>
              <w:t>海峽電信</w:t>
            </w:r>
          </w:p>
        </w:tc>
        <w:tc>
          <w:tcPr>
            <w:tcW w:w="3406" w:type="dxa"/>
            <w:tcBorders>
              <w:top w:val="single" w:sz="8" w:space="0" w:color="000000"/>
              <w:left w:val="single" w:sz="8" w:space="0" w:color="000000"/>
              <w:bottom w:val="single" w:sz="8" w:space="0" w:color="000000"/>
              <w:right w:val="single" w:sz="8" w:space="0" w:color="000000"/>
            </w:tcBorders>
          </w:tcPr>
          <w:p w14:paraId="2C34D514" w14:textId="77777777" w:rsidR="000B1C3C" w:rsidRPr="00C3310F" w:rsidRDefault="000B1C3C" w:rsidP="000B1C3C">
            <w:pPr>
              <w:ind w:left="600" w:hangingChars="200" w:hanging="600"/>
              <w:jc w:val="center"/>
              <w:rPr>
                <w:rFonts w:hAnsi="標楷體"/>
                <w:bCs/>
                <w:sz w:val="28"/>
                <w:szCs w:val="28"/>
              </w:rPr>
            </w:pPr>
            <w:r w:rsidRPr="00C3310F">
              <w:rPr>
                <w:rFonts w:hAnsi="標楷體" w:hint="eastAsia"/>
                <w:bCs/>
                <w:sz w:val="28"/>
                <w:szCs w:val="28"/>
              </w:rPr>
              <w:t>112年7月26日第1076次</w:t>
            </w:r>
          </w:p>
        </w:tc>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hideMark/>
          </w:tcPr>
          <w:p w14:paraId="01DF3038" w14:textId="77777777" w:rsidR="000B1C3C" w:rsidRPr="00C3310F" w:rsidRDefault="000B1C3C" w:rsidP="00AB45EA">
            <w:pPr>
              <w:ind w:left="600" w:hangingChars="200" w:hanging="600"/>
              <w:jc w:val="right"/>
              <w:rPr>
                <w:rFonts w:hAnsi="標楷體"/>
                <w:sz w:val="28"/>
                <w:szCs w:val="28"/>
              </w:rPr>
            </w:pPr>
            <w:r w:rsidRPr="00C3310F">
              <w:rPr>
                <w:rFonts w:hAnsi="標楷體"/>
                <w:sz w:val="28"/>
                <w:szCs w:val="28"/>
              </w:rPr>
              <w:t>30</w:t>
            </w:r>
            <w:r w:rsidRPr="00C3310F">
              <w:rPr>
                <w:rFonts w:hAnsi="標楷體" w:hint="eastAsia"/>
                <w:sz w:val="28"/>
                <w:szCs w:val="28"/>
              </w:rPr>
              <w:t>萬</w:t>
            </w:r>
          </w:p>
        </w:tc>
        <w:tc>
          <w:tcPr>
            <w:tcW w:w="1407" w:type="dxa"/>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hideMark/>
          </w:tcPr>
          <w:p w14:paraId="6A49808D" w14:textId="77777777" w:rsidR="000B1C3C" w:rsidRPr="00C3310F" w:rsidRDefault="000B1C3C" w:rsidP="000B1C3C">
            <w:pPr>
              <w:ind w:left="600" w:hangingChars="200" w:hanging="600"/>
              <w:jc w:val="center"/>
              <w:rPr>
                <w:rFonts w:hAnsi="標楷體"/>
                <w:sz w:val="28"/>
                <w:szCs w:val="44"/>
              </w:rPr>
            </w:pPr>
            <w:r w:rsidRPr="00C3310F">
              <w:rPr>
                <w:rFonts w:hAnsi="標楷體"/>
                <w:sz w:val="28"/>
                <w:szCs w:val="44"/>
              </w:rPr>
              <w:t>1</w:t>
            </w:r>
            <w:r w:rsidRPr="00C3310F">
              <w:rPr>
                <w:rFonts w:hAnsi="標楷體" w:hint="eastAsia"/>
                <w:sz w:val="28"/>
                <w:szCs w:val="44"/>
              </w:rPr>
              <w:t>件</w:t>
            </w:r>
          </w:p>
        </w:tc>
      </w:tr>
      <w:tr w:rsidR="00C3310F" w:rsidRPr="00C3310F" w14:paraId="037B630F" w14:textId="77777777" w:rsidTr="000B1C3C">
        <w:trPr>
          <w:trHeight w:val="319"/>
        </w:trPr>
        <w:tc>
          <w:tcPr>
            <w:tcW w:w="3271" w:type="dxa"/>
            <w:vMerge/>
            <w:tcBorders>
              <w:left w:val="single" w:sz="8" w:space="0" w:color="000000"/>
              <w:bottom w:val="single" w:sz="8" w:space="0" w:color="000000"/>
              <w:right w:val="single" w:sz="8" w:space="0" w:color="000000"/>
            </w:tcBorders>
            <w:shd w:val="clear" w:color="auto" w:fill="auto"/>
            <w:tcMar>
              <w:top w:w="15" w:type="dxa"/>
              <w:left w:w="99" w:type="dxa"/>
              <w:bottom w:w="0" w:type="dxa"/>
              <w:right w:w="99" w:type="dxa"/>
            </w:tcMar>
          </w:tcPr>
          <w:p w14:paraId="39D6325E" w14:textId="77777777" w:rsidR="000B1C3C" w:rsidRPr="00C3310F" w:rsidRDefault="000B1C3C" w:rsidP="000B1C3C">
            <w:pPr>
              <w:ind w:left="600" w:hangingChars="200" w:hanging="600"/>
              <w:rPr>
                <w:rFonts w:hAnsi="標楷體"/>
                <w:bCs/>
                <w:sz w:val="28"/>
                <w:szCs w:val="28"/>
              </w:rPr>
            </w:pPr>
          </w:p>
        </w:tc>
        <w:tc>
          <w:tcPr>
            <w:tcW w:w="3406" w:type="dxa"/>
            <w:tcBorders>
              <w:top w:val="single" w:sz="8" w:space="0" w:color="000000"/>
              <w:left w:val="single" w:sz="8" w:space="0" w:color="000000"/>
              <w:bottom w:val="single" w:sz="8" w:space="0" w:color="000000"/>
              <w:right w:val="single" w:sz="8" w:space="0" w:color="000000"/>
            </w:tcBorders>
          </w:tcPr>
          <w:p w14:paraId="69570754" w14:textId="77777777" w:rsidR="000B1C3C" w:rsidRPr="00C3310F" w:rsidRDefault="000B1C3C" w:rsidP="000B1C3C">
            <w:pPr>
              <w:ind w:left="600" w:hangingChars="200" w:hanging="600"/>
              <w:jc w:val="center"/>
              <w:rPr>
                <w:rFonts w:hAnsi="標楷體"/>
                <w:bCs/>
                <w:sz w:val="28"/>
                <w:szCs w:val="28"/>
              </w:rPr>
            </w:pPr>
            <w:r w:rsidRPr="00C3310F">
              <w:rPr>
                <w:rFonts w:hAnsi="標楷體" w:hint="eastAsia"/>
                <w:bCs/>
                <w:sz w:val="28"/>
                <w:szCs w:val="28"/>
              </w:rPr>
              <w:t>112年9月6日第1082次</w:t>
            </w:r>
          </w:p>
        </w:tc>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tcPr>
          <w:p w14:paraId="4AC110C9" w14:textId="77777777" w:rsidR="000B1C3C" w:rsidRPr="00C3310F" w:rsidRDefault="000B1C3C" w:rsidP="00AB45EA">
            <w:pPr>
              <w:ind w:left="600" w:hangingChars="200" w:hanging="600"/>
              <w:jc w:val="right"/>
              <w:rPr>
                <w:rFonts w:hAnsi="標楷體"/>
                <w:sz w:val="28"/>
                <w:szCs w:val="28"/>
              </w:rPr>
            </w:pPr>
            <w:r w:rsidRPr="00C3310F">
              <w:rPr>
                <w:rFonts w:hAnsi="標楷體" w:hint="eastAsia"/>
                <w:sz w:val="28"/>
                <w:szCs w:val="28"/>
              </w:rPr>
              <w:t>445萬</w:t>
            </w:r>
          </w:p>
        </w:tc>
        <w:tc>
          <w:tcPr>
            <w:tcW w:w="1407" w:type="dxa"/>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tcPr>
          <w:p w14:paraId="6BADBEBE" w14:textId="77777777" w:rsidR="000B1C3C" w:rsidRPr="00C3310F" w:rsidRDefault="000B1C3C" w:rsidP="000B1C3C">
            <w:pPr>
              <w:ind w:left="600" w:hangingChars="200" w:hanging="600"/>
              <w:jc w:val="center"/>
              <w:rPr>
                <w:rFonts w:hAnsi="標楷體"/>
                <w:sz w:val="28"/>
                <w:szCs w:val="44"/>
              </w:rPr>
            </w:pPr>
            <w:r w:rsidRPr="00C3310F">
              <w:rPr>
                <w:rFonts w:hAnsi="標楷體" w:hint="eastAsia"/>
                <w:sz w:val="28"/>
                <w:szCs w:val="44"/>
              </w:rPr>
              <w:t>7件</w:t>
            </w:r>
          </w:p>
        </w:tc>
      </w:tr>
      <w:tr w:rsidR="00C3310F" w:rsidRPr="00C3310F" w14:paraId="63A78082" w14:textId="77777777" w:rsidTr="000B1C3C">
        <w:trPr>
          <w:trHeight w:val="319"/>
        </w:trPr>
        <w:tc>
          <w:tcPr>
            <w:tcW w:w="667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hideMark/>
          </w:tcPr>
          <w:p w14:paraId="2F93D672" w14:textId="77777777" w:rsidR="000B1C3C" w:rsidRPr="00C3310F" w:rsidRDefault="000B1C3C" w:rsidP="000B1C3C">
            <w:pPr>
              <w:ind w:left="600" w:hangingChars="200" w:hanging="600"/>
              <w:rPr>
                <w:rFonts w:hAnsi="標楷體"/>
                <w:bCs/>
                <w:sz w:val="28"/>
                <w:szCs w:val="28"/>
              </w:rPr>
            </w:pPr>
            <w:r w:rsidRPr="00C3310F">
              <w:rPr>
                <w:rFonts w:hAnsi="標楷體" w:hint="eastAsia"/>
                <w:bCs/>
                <w:sz w:val="28"/>
                <w:szCs w:val="28"/>
              </w:rPr>
              <w:t>合計</w:t>
            </w:r>
          </w:p>
        </w:tc>
        <w:tc>
          <w:tcPr>
            <w:tcW w:w="1408" w:type="dxa"/>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hideMark/>
          </w:tcPr>
          <w:p w14:paraId="55969C65" w14:textId="77777777" w:rsidR="000B1C3C" w:rsidRPr="00C3310F" w:rsidRDefault="000B1C3C" w:rsidP="00AB45EA">
            <w:pPr>
              <w:ind w:left="600" w:hangingChars="200" w:hanging="600"/>
              <w:jc w:val="right"/>
              <w:rPr>
                <w:rFonts w:hAnsi="標楷體"/>
                <w:bCs/>
                <w:sz w:val="28"/>
                <w:szCs w:val="28"/>
              </w:rPr>
            </w:pPr>
            <w:r w:rsidRPr="00C3310F">
              <w:rPr>
                <w:rFonts w:hAnsi="標楷體" w:hint="eastAsia"/>
                <w:bCs/>
                <w:sz w:val="28"/>
                <w:szCs w:val="28"/>
              </w:rPr>
              <w:t>2</w:t>
            </w:r>
            <w:r w:rsidRPr="00C3310F">
              <w:rPr>
                <w:rFonts w:hAnsi="標楷體"/>
                <w:bCs/>
                <w:sz w:val="28"/>
                <w:szCs w:val="28"/>
              </w:rPr>
              <w:t>,</w:t>
            </w:r>
            <w:r w:rsidRPr="00C3310F">
              <w:rPr>
                <w:rFonts w:hAnsi="標楷體" w:hint="eastAsia"/>
                <w:bCs/>
                <w:sz w:val="28"/>
                <w:szCs w:val="28"/>
              </w:rPr>
              <w:t>625萬</w:t>
            </w:r>
          </w:p>
        </w:tc>
        <w:tc>
          <w:tcPr>
            <w:tcW w:w="1407" w:type="dxa"/>
            <w:tcBorders>
              <w:top w:val="single" w:sz="8" w:space="0" w:color="000000"/>
              <w:left w:val="single" w:sz="8" w:space="0" w:color="000000"/>
              <w:bottom w:val="single" w:sz="8" w:space="0" w:color="000000"/>
              <w:right w:val="single" w:sz="8" w:space="0" w:color="000000"/>
            </w:tcBorders>
            <w:shd w:val="clear" w:color="auto" w:fill="auto"/>
            <w:tcMar>
              <w:top w:w="15" w:type="dxa"/>
              <w:left w:w="99" w:type="dxa"/>
              <w:bottom w:w="0" w:type="dxa"/>
              <w:right w:w="99" w:type="dxa"/>
            </w:tcMar>
            <w:hideMark/>
          </w:tcPr>
          <w:p w14:paraId="0DFAA563" w14:textId="77777777" w:rsidR="000B1C3C" w:rsidRPr="00C3310F" w:rsidRDefault="000B1C3C" w:rsidP="000B1C3C">
            <w:pPr>
              <w:ind w:left="600" w:hangingChars="200" w:hanging="600"/>
              <w:jc w:val="center"/>
              <w:rPr>
                <w:rFonts w:hAnsi="標楷體"/>
                <w:bCs/>
                <w:sz w:val="28"/>
                <w:szCs w:val="44"/>
              </w:rPr>
            </w:pPr>
            <w:r w:rsidRPr="00C3310F">
              <w:rPr>
                <w:rFonts w:hAnsi="標楷體" w:hint="eastAsia"/>
                <w:bCs/>
                <w:sz w:val="28"/>
                <w:szCs w:val="44"/>
              </w:rPr>
              <w:t>20件</w:t>
            </w:r>
          </w:p>
        </w:tc>
      </w:tr>
    </w:tbl>
    <w:p w14:paraId="2BF9E840" w14:textId="77777777" w:rsidR="000B1C3C" w:rsidRPr="00C3310F" w:rsidRDefault="000B1C3C" w:rsidP="000B1C3C">
      <w:pPr>
        <w:rPr>
          <w:sz w:val="28"/>
        </w:rPr>
      </w:pPr>
      <w:r w:rsidRPr="00C3310F">
        <w:rPr>
          <w:rFonts w:hint="eastAsia"/>
          <w:sz w:val="28"/>
        </w:rPr>
        <w:t>資料來源:通傳會</w:t>
      </w:r>
      <w:r w:rsidR="00AC04D8" w:rsidRPr="00C3310F">
        <w:rPr>
          <w:rFonts w:hint="eastAsia"/>
          <w:sz w:val="28"/>
        </w:rPr>
        <w:t>於113年6月3日座談提供書面資料。</w:t>
      </w:r>
    </w:p>
    <w:p w14:paraId="2D4F9DBE" w14:textId="77777777" w:rsidR="000B1C3C" w:rsidRPr="00C3310F" w:rsidRDefault="000B1C3C" w:rsidP="000B1C3C">
      <w:pPr>
        <w:pStyle w:val="4"/>
      </w:pPr>
      <w:r w:rsidRPr="00C3310F">
        <w:rPr>
          <w:rFonts w:hint="eastAsia"/>
        </w:rPr>
        <w:t>為確保MNO及MVNO業者遵循上開指引，通傳會自112年8月起每月定期至各電信事業營業門市及加盟店，就受理申辦電信號碼服務之作業情形進行稽查，並督促電信業者應落實用戶身分查核並加強管理，截至113年5月止，已稽核電信業者門市共337件。</w:t>
      </w:r>
    </w:p>
    <w:p w14:paraId="6263483B" w14:textId="77777777" w:rsidR="000B1C3C" w:rsidRPr="00C3310F" w:rsidRDefault="000B1C3C" w:rsidP="000B1C3C">
      <w:pPr>
        <w:pStyle w:val="4"/>
      </w:pPr>
      <w:r w:rsidRPr="00C3310F">
        <w:rPr>
          <w:rFonts w:hint="eastAsia"/>
        </w:rPr>
        <w:t>通傳會進一步於</w:t>
      </w:r>
      <w:r w:rsidRPr="00C3310F">
        <w:rPr>
          <w:rFonts w:hint="eastAsia"/>
          <w:b/>
          <w:bCs/>
        </w:rPr>
        <w:t>113年4月26日訂定「電信事業用戶號碼使用管理辦法」，</w:t>
      </w:r>
      <w:r w:rsidRPr="00C3310F">
        <w:rPr>
          <w:rFonts w:hint="eastAsia"/>
        </w:rPr>
        <w:t>將前揭指引精神法制化，明確MNO業者及MVNO業者應遵循之用戶身分查核義務，以減少用戶號碼登錄之用戶資料與實際使用者不同產生之問題。然而前揭辦法施行未久，其成效亦視通傳會之執行力而定，爰仍有待後續追蹤。</w:t>
      </w:r>
    </w:p>
    <w:p w14:paraId="15D6E0D8" w14:textId="77777777" w:rsidR="000B1C3C" w:rsidRPr="00C3310F" w:rsidRDefault="000B1C3C" w:rsidP="000B1C3C">
      <w:pPr>
        <w:pStyle w:val="3"/>
      </w:pPr>
      <w:bookmarkStart w:id="934" w:name="_Toc171525590"/>
      <w:bookmarkStart w:id="935" w:name="_Toc172024111"/>
      <w:bookmarkStart w:id="936" w:name="_Toc172033434"/>
      <w:r w:rsidRPr="00C3310F">
        <w:rPr>
          <w:rFonts w:hint="eastAsia"/>
        </w:rPr>
        <w:t>在攔阻防杜境外竄改來話詐騙部分，應屬目前為止在堵詐面向最成功的措施；基於境外門號浮濫無法透過境內KYC來控管，因此防制策略係以攔阻為主，按通傳會提供數據，</w:t>
      </w:r>
      <w:r w:rsidRPr="00C3310F">
        <w:rPr>
          <w:b/>
          <w:bCs w:val="0"/>
        </w:rPr>
        <w:t>1</w:t>
      </w:r>
      <w:r w:rsidRPr="00C3310F">
        <w:rPr>
          <w:rFonts w:hint="eastAsia"/>
          <w:b/>
          <w:bCs w:val="0"/>
        </w:rPr>
        <w:t>12年5月國際來話話務量達到5,080萬通之最高紀錄，然而經通傳會一連串措施，截至113年4月份已下降至899萬通，降幅高達82%</w:t>
      </w:r>
      <w:bookmarkEnd w:id="934"/>
      <w:r w:rsidR="004B77B6" w:rsidRPr="00C3310F">
        <w:rPr>
          <w:rFonts w:hint="eastAsia"/>
        </w:rPr>
        <w:t>，如下圖11。</w:t>
      </w:r>
      <w:bookmarkEnd w:id="935"/>
      <w:bookmarkEnd w:id="936"/>
    </w:p>
    <w:p w14:paraId="6F7C7709" w14:textId="77777777" w:rsidR="000B1C3C" w:rsidRPr="00C3310F" w:rsidRDefault="000B1C3C" w:rsidP="000B1C3C">
      <w:pPr>
        <w:pStyle w:val="3"/>
        <w:numPr>
          <w:ilvl w:val="0"/>
          <w:numId w:val="0"/>
        </w:numPr>
        <w:ind w:left="680"/>
      </w:pPr>
      <w:bookmarkStart w:id="937" w:name="_Toc171525591"/>
      <w:bookmarkStart w:id="938" w:name="_Toc172024112"/>
      <w:bookmarkStart w:id="939" w:name="_Toc172033435"/>
      <w:r w:rsidRPr="00C3310F">
        <w:rPr>
          <w:rFonts w:hint="eastAsia"/>
          <w:noProof/>
        </w:rPr>
        <w:lastRenderedPageBreak/>
        <w:drawing>
          <wp:inline distT="0" distB="0" distL="0" distR="0" wp14:anchorId="75F7A5DC" wp14:editId="38A2DE8F">
            <wp:extent cx="4733762" cy="2748280"/>
            <wp:effectExtent l="19050" t="19050" r="10160" b="13970"/>
            <wp:docPr id="19" name="圖片 19" descr="一張含有 文字, 螢幕擷取畫面, 行, 圖表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960480" name="圖片 803960480" descr="一張含有 文字, 螢幕擷取畫面, 行, 圖表 的圖片&#10;&#10;自動產生的描述"/>
                    <pic:cNvPicPr/>
                  </pic:nvPicPr>
                  <pic:blipFill rotWithShape="1">
                    <a:blip r:embed="rId23" cstate="print">
                      <a:extLst>
                        <a:ext uri="{28A0092B-C50C-407E-A947-70E740481C1C}">
                          <a14:useLocalDpi xmlns:a14="http://schemas.microsoft.com/office/drawing/2010/main" val="0"/>
                        </a:ext>
                      </a:extLst>
                    </a:blip>
                    <a:srcRect t="5564"/>
                    <a:stretch/>
                  </pic:blipFill>
                  <pic:spPr bwMode="auto">
                    <a:xfrm>
                      <a:off x="0" y="0"/>
                      <a:ext cx="4748401" cy="2756779"/>
                    </a:xfrm>
                    <a:prstGeom prst="rect">
                      <a:avLst/>
                    </a:prstGeom>
                    <a:ln w="63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bookmarkEnd w:id="937"/>
      <w:bookmarkEnd w:id="938"/>
      <w:bookmarkEnd w:id="939"/>
    </w:p>
    <w:p w14:paraId="14EF99CB" w14:textId="15755427" w:rsidR="000B1C3C" w:rsidRPr="00C3310F" w:rsidRDefault="000B1C3C" w:rsidP="004B77B6">
      <w:pPr>
        <w:pStyle w:val="a1"/>
        <w:spacing w:line="260" w:lineRule="exact"/>
        <w:ind w:left="482" w:hanging="482"/>
        <w:rPr>
          <w:rFonts w:hint="eastAsia"/>
          <w:b/>
        </w:rPr>
      </w:pPr>
      <w:bookmarkStart w:id="940" w:name="_Toc172025263"/>
      <w:r w:rsidRPr="00C3310F">
        <w:rPr>
          <w:rFonts w:hint="eastAsia"/>
          <w:b/>
        </w:rPr>
        <w:t>112年5月至113年4月國際來話話務量變化趨勢</w:t>
      </w:r>
      <w:bookmarkEnd w:id="940"/>
    </w:p>
    <w:p w14:paraId="46EBCE99" w14:textId="77777777" w:rsidR="000B1C3C" w:rsidRPr="00C3310F" w:rsidRDefault="000B1C3C" w:rsidP="000B1C3C">
      <w:pPr>
        <w:spacing w:line="280" w:lineRule="exact"/>
        <w:rPr>
          <w:sz w:val="28"/>
        </w:rPr>
      </w:pPr>
      <w:r w:rsidRPr="00C3310F">
        <w:rPr>
          <w:rFonts w:hint="eastAsia"/>
          <w:sz w:val="28"/>
          <w:szCs w:val="28"/>
        </w:rPr>
        <w:t>資料來源：通傳會</w:t>
      </w:r>
      <w:r w:rsidR="00AC04D8" w:rsidRPr="00C3310F">
        <w:rPr>
          <w:rFonts w:hint="eastAsia"/>
          <w:sz w:val="28"/>
        </w:rPr>
        <w:t>於113年6月3日座談提供書面資料。</w:t>
      </w:r>
    </w:p>
    <w:p w14:paraId="31BF6AC7" w14:textId="77777777" w:rsidR="000C2A64" w:rsidRPr="00C3310F" w:rsidRDefault="000C2A64" w:rsidP="000B1C3C">
      <w:pPr>
        <w:spacing w:line="280" w:lineRule="exact"/>
        <w:rPr>
          <w:sz w:val="28"/>
          <w:szCs w:val="28"/>
        </w:rPr>
      </w:pPr>
    </w:p>
    <w:p w14:paraId="5F6192DB" w14:textId="77777777" w:rsidR="000B1C3C" w:rsidRPr="00C3310F" w:rsidRDefault="000B1C3C" w:rsidP="000B1C3C">
      <w:pPr>
        <w:pStyle w:val="3"/>
      </w:pPr>
      <w:bookmarkStart w:id="941" w:name="_Toc171525592"/>
      <w:bookmarkStart w:id="942" w:name="_Toc172024113"/>
      <w:bookmarkStart w:id="943" w:name="_Toc172033436"/>
      <w:r w:rsidRPr="00C3310F">
        <w:rPr>
          <w:rFonts w:hint="eastAsia"/>
        </w:rPr>
        <w:t>其中「+886」開頭國際來話話務量由最高112年5月份1,642萬通下降至113年4月份44萬通，其中攔阻+886偽冒來話數量約</w:t>
      </w:r>
      <w:r w:rsidR="00752EB4" w:rsidRPr="00C3310F">
        <w:rPr>
          <w:rFonts w:hint="eastAsia"/>
        </w:rPr>
        <w:t>占</w:t>
      </w:r>
      <w:r w:rsidRPr="00C3310F">
        <w:rPr>
          <w:rFonts w:hint="eastAsia"/>
        </w:rPr>
        <w:t>+886總話務數5成，顯示前述措施已發揮相當成效如下圖</w:t>
      </w:r>
      <w:r w:rsidR="004B77B6" w:rsidRPr="00C3310F">
        <w:rPr>
          <w:rFonts w:hint="eastAsia"/>
        </w:rPr>
        <w:t>12</w:t>
      </w:r>
      <w:r w:rsidRPr="00C3310F">
        <w:rPr>
          <w:rFonts w:hint="eastAsia"/>
        </w:rPr>
        <w:t>，詐騙集團已大幅減少利用國際來話管道進行詐騙。</w:t>
      </w:r>
      <w:bookmarkEnd w:id="941"/>
      <w:bookmarkEnd w:id="942"/>
      <w:bookmarkEnd w:id="943"/>
    </w:p>
    <w:p w14:paraId="3D4BBC24" w14:textId="77777777" w:rsidR="000B1C3C" w:rsidRPr="00C3310F" w:rsidRDefault="000B1C3C" w:rsidP="000B1C3C">
      <w:pPr>
        <w:pStyle w:val="3"/>
        <w:numPr>
          <w:ilvl w:val="0"/>
          <w:numId w:val="0"/>
        </w:numPr>
        <w:ind w:left="680"/>
      </w:pPr>
      <w:bookmarkStart w:id="944" w:name="_Toc171525593"/>
      <w:bookmarkStart w:id="945" w:name="_Toc172024114"/>
      <w:bookmarkStart w:id="946" w:name="_Toc172033437"/>
      <w:r w:rsidRPr="00C3310F">
        <w:rPr>
          <w:noProof/>
        </w:rPr>
        <w:drawing>
          <wp:inline distT="0" distB="0" distL="0" distR="0" wp14:anchorId="5B40F4AE" wp14:editId="48F87297">
            <wp:extent cx="4690533" cy="2887952"/>
            <wp:effectExtent l="0" t="0" r="0" b="8255"/>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27364" cy="2910629"/>
                    </a:xfrm>
                    <a:prstGeom prst="rect">
                      <a:avLst/>
                    </a:prstGeom>
                    <a:noFill/>
                  </pic:spPr>
                </pic:pic>
              </a:graphicData>
            </a:graphic>
          </wp:inline>
        </w:drawing>
      </w:r>
      <w:bookmarkEnd w:id="944"/>
      <w:bookmarkEnd w:id="945"/>
      <w:bookmarkEnd w:id="946"/>
    </w:p>
    <w:p w14:paraId="1D7D9017" w14:textId="512A1BEE" w:rsidR="000B1C3C" w:rsidRPr="00C3310F" w:rsidRDefault="000B1C3C" w:rsidP="004B77B6">
      <w:pPr>
        <w:pStyle w:val="a1"/>
        <w:spacing w:line="280" w:lineRule="exact"/>
        <w:ind w:left="482" w:hanging="482"/>
        <w:rPr>
          <w:rFonts w:hint="eastAsia"/>
          <w:b/>
        </w:rPr>
      </w:pPr>
      <w:bookmarkStart w:id="947" w:name="_Toc172025264"/>
      <w:r w:rsidRPr="00C3310F">
        <w:rPr>
          <w:rFonts w:hint="eastAsia"/>
          <w:b/>
        </w:rPr>
        <w:t>+886開頭國際來話話務量變化趨勢</w:t>
      </w:r>
      <w:bookmarkEnd w:id="947"/>
    </w:p>
    <w:p w14:paraId="750D821E" w14:textId="77777777" w:rsidR="000B1C3C" w:rsidRPr="00C3310F" w:rsidRDefault="000B1C3C" w:rsidP="000B1C3C">
      <w:pPr>
        <w:pStyle w:val="a1"/>
        <w:numPr>
          <w:ilvl w:val="0"/>
          <w:numId w:val="0"/>
        </w:numPr>
        <w:jc w:val="left"/>
        <w:rPr>
          <w:rFonts w:hint="eastAsia"/>
        </w:rPr>
      </w:pPr>
      <w:bookmarkStart w:id="948" w:name="_Toc171587753"/>
      <w:bookmarkStart w:id="949" w:name="_Toc172025265"/>
      <w:r w:rsidRPr="00C3310F">
        <w:rPr>
          <w:rFonts w:hint="eastAsia"/>
        </w:rPr>
        <w:t>資料來源：通傳會</w:t>
      </w:r>
      <w:bookmarkEnd w:id="948"/>
      <w:r w:rsidR="00AC04D8" w:rsidRPr="00C3310F">
        <w:rPr>
          <w:rFonts w:hint="eastAsia"/>
        </w:rPr>
        <w:t>於113年6月3日座談提供書面資料。</w:t>
      </w:r>
      <w:bookmarkEnd w:id="949"/>
    </w:p>
    <w:p w14:paraId="2245A8D8" w14:textId="279E7C7F" w:rsidR="000B1C3C" w:rsidRPr="00C3310F" w:rsidRDefault="000B1C3C" w:rsidP="000B1C3C">
      <w:pPr>
        <w:pStyle w:val="3"/>
      </w:pPr>
      <w:bookmarkStart w:id="950" w:name="_Toc171525594"/>
      <w:bookmarkStart w:id="951" w:name="_Toc172024115"/>
      <w:bookmarkStart w:id="952" w:name="_Toc172033438"/>
      <w:r w:rsidRPr="00C3310F">
        <w:rPr>
          <w:rFonts w:hint="eastAsia"/>
        </w:rPr>
        <w:lastRenderedPageBreak/>
        <w:t>有關防制詐騙簡訊部分，除由通傳會與電信業者公私協力辦理詐欺簡訊攔阻之外，尚由</w:t>
      </w:r>
      <w:r w:rsidR="00D82B1C" w:rsidRPr="00C3310F">
        <w:rPr>
          <w:rFonts w:hint="eastAsia"/>
        </w:rPr>
        <w:t>數發部</w:t>
      </w:r>
      <w:r w:rsidRPr="00C3310F">
        <w:rPr>
          <w:rFonts w:hint="eastAsia"/>
        </w:rPr>
        <w:t>建立「111」政府專用簡訊號碼，以避免</w:t>
      </w:r>
      <w:r w:rsidR="00A1409C" w:rsidRPr="00C3310F">
        <w:rPr>
          <w:rFonts w:hint="eastAsia"/>
        </w:rPr>
        <w:t>詐騙集團</w:t>
      </w:r>
      <w:r w:rsidRPr="00C3310F">
        <w:rPr>
          <w:rFonts w:hint="eastAsia"/>
        </w:rPr>
        <w:t>假冒政府服務遂行詐欺，金管會則主要針對OTP簡訊制定範本，由前揭三個部會通力進行。惟目前「111」政府專用簡訊號碼於政府機關之覆蓋率約為67%，換言之，民眾在面對部分機關使用111，部分機關未使用之情形下，仍難以判斷簡訊是否確由政府機關發送，故仍有強化空間，茲將三個主要負責機關之辦理情形說明如下：</w:t>
      </w:r>
      <w:bookmarkEnd w:id="950"/>
      <w:bookmarkEnd w:id="951"/>
      <w:bookmarkEnd w:id="952"/>
    </w:p>
    <w:p w14:paraId="656B2854" w14:textId="061AD315" w:rsidR="000B1C3C" w:rsidRPr="00C3310F" w:rsidRDefault="00D82B1C" w:rsidP="000B1C3C">
      <w:pPr>
        <w:pStyle w:val="4"/>
      </w:pPr>
      <w:r w:rsidRPr="00C3310F">
        <w:rPr>
          <w:rFonts w:hint="eastAsia"/>
        </w:rPr>
        <w:t>數發部</w:t>
      </w:r>
    </w:p>
    <w:p w14:paraId="5AF711C1" w14:textId="77777777" w:rsidR="000B1C3C" w:rsidRPr="00C3310F" w:rsidRDefault="000B1C3C" w:rsidP="000B1C3C">
      <w:pPr>
        <w:pStyle w:val="5"/>
      </w:pPr>
      <w:r w:rsidRPr="00C3310F">
        <w:rPr>
          <w:rFonts w:hint="eastAsia"/>
        </w:rPr>
        <w:t>「111政府專屬短碼簡訊平臺」自112年9月28日上線試營運，截至112年11月22日已有14個機關透過111簡訊平臺發送逾146萬則簡訊。</w:t>
      </w:r>
    </w:p>
    <w:p w14:paraId="537100E3" w14:textId="4D72796A" w:rsidR="000B1C3C" w:rsidRPr="00C3310F" w:rsidRDefault="000B1C3C" w:rsidP="000B1C3C">
      <w:pPr>
        <w:pStyle w:val="5"/>
      </w:pPr>
      <w:r w:rsidRPr="00C3310F">
        <w:rPr>
          <w:rFonts w:hint="eastAsia"/>
        </w:rPr>
        <w:t>截至113年</w:t>
      </w:r>
      <w:r w:rsidRPr="00C3310F">
        <w:t>5</w:t>
      </w:r>
      <w:r w:rsidRPr="00C3310F">
        <w:rPr>
          <w:rFonts w:hint="eastAsia"/>
        </w:rPr>
        <w:t>月已有</w:t>
      </w:r>
      <w:r w:rsidRPr="00C3310F">
        <w:t>34</w:t>
      </w:r>
      <w:r w:rsidRPr="00C3310F">
        <w:rPr>
          <w:rFonts w:hint="eastAsia"/>
        </w:rPr>
        <w:t>個使用</w:t>
      </w:r>
      <w:r w:rsidRPr="00C3310F">
        <w:t>111</w:t>
      </w:r>
      <w:r w:rsidRPr="00C3310F">
        <w:rPr>
          <w:rFonts w:hint="eastAsia"/>
        </w:rPr>
        <w:t>政府簡訊</w:t>
      </w:r>
      <w:r w:rsidR="0004575A" w:rsidRPr="00C3310F">
        <w:rPr>
          <w:rFonts w:hint="eastAsia"/>
        </w:rPr>
        <w:t>平臺</w:t>
      </w:r>
      <w:r w:rsidRPr="00C3310F">
        <w:rPr>
          <w:rFonts w:hint="eastAsia"/>
        </w:rPr>
        <w:t>發送簡訊，達成率為</w:t>
      </w:r>
      <w:r w:rsidRPr="00C3310F">
        <w:t>67%</w:t>
      </w:r>
      <w:r w:rsidRPr="00C3310F">
        <w:rPr>
          <w:rFonts w:hint="eastAsia"/>
        </w:rPr>
        <w:t>；其他未使用之機關，主要原因是該機關與原簡訊發送商契約尚未結束之故，</w:t>
      </w:r>
      <w:r w:rsidR="00D82B1C" w:rsidRPr="00C3310F">
        <w:rPr>
          <w:rFonts w:hint="eastAsia"/>
        </w:rPr>
        <w:t>數發部</w:t>
      </w:r>
      <w:r w:rsidRPr="00C3310F">
        <w:rPr>
          <w:rFonts w:hint="eastAsia"/>
        </w:rPr>
        <w:t>後續將透過共同供應契約採購</w:t>
      </w:r>
      <w:r w:rsidRPr="00C3310F">
        <w:t>111</w:t>
      </w:r>
      <w:r w:rsidRPr="00C3310F">
        <w:rPr>
          <w:rFonts w:hint="eastAsia"/>
        </w:rPr>
        <w:t>簡訊，發送其業務訊息。</w:t>
      </w:r>
    </w:p>
    <w:p w14:paraId="313BF442" w14:textId="3BA8B8B1" w:rsidR="000B1C3C" w:rsidRPr="00C3310F" w:rsidRDefault="000B1C3C" w:rsidP="000B1C3C">
      <w:pPr>
        <w:pStyle w:val="5"/>
      </w:pPr>
      <w:r w:rsidRPr="00C3310F">
        <w:rPr>
          <w:rFonts w:hint="eastAsia"/>
        </w:rPr>
        <w:t>國營事業及公法人部份，</w:t>
      </w:r>
      <w:r w:rsidR="00D82B1C" w:rsidRPr="00C3310F">
        <w:rPr>
          <w:rFonts w:hint="eastAsia"/>
        </w:rPr>
        <w:t>數發部</w:t>
      </w:r>
      <w:r w:rsidRPr="00C3310F">
        <w:rPr>
          <w:rFonts w:hint="eastAsia"/>
        </w:rPr>
        <w:t>已優先與台灣自來水股份有限公司、台灣電力股份有限公司及台北自來水事業處導入</w:t>
      </w:r>
      <w:r w:rsidRPr="00C3310F">
        <w:t>111</w:t>
      </w:r>
      <w:r w:rsidRPr="00C3310F">
        <w:rPr>
          <w:rFonts w:hint="eastAsia"/>
        </w:rPr>
        <w:t>發送簡訊，每月送簡訊量達</w:t>
      </w:r>
      <w:r w:rsidRPr="00C3310F">
        <w:t>60</w:t>
      </w:r>
      <w:r w:rsidRPr="00C3310F">
        <w:rPr>
          <w:rFonts w:hint="eastAsia"/>
        </w:rPr>
        <w:t>萬則以上。</w:t>
      </w:r>
    </w:p>
    <w:p w14:paraId="6416621D" w14:textId="77777777" w:rsidR="000B1C3C" w:rsidRPr="00C3310F" w:rsidRDefault="000B1C3C" w:rsidP="000B1C3C">
      <w:pPr>
        <w:pStyle w:val="5"/>
      </w:pPr>
      <w:r w:rsidRPr="00C3310F">
        <w:rPr>
          <w:rFonts w:hint="eastAsia"/>
        </w:rPr>
        <w:t>後續將與教育部、經濟部及財政部等目的事業主管機關合作，鼓勵國立學校與國營事業機構使用</w:t>
      </w:r>
      <w:r w:rsidRPr="00C3310F">
        <w:t>111</w:t>
      </w:r>
      <w:r w:rsidRPr="00C3310F">
        <w:rPr>
          <w:rFonts w:hint="eastAsia"/>
        </w:rPr>
        <w:t>簡訊。</w:t>
      </w:r>
    </w:p>
    <w:p w14:paraId="49BEE014" w14:textId="77777777" w:rsidR="000B1C3C" w:rsidRPr="00C3310F" w:rsidRDefault="000B1C3C" w:rsidP="000B1C3C">
      <w:pPr>
        <w:pStyle w:val="4"/>
        <w:rPr>
          <w:bCs/>
        </w:rPr>
      </w:pPr>
      <w:r w:rsidRPr="00C3310F">
        <w:rPr>
          <w:rFonts w:hint="eastAsia"/>
          <w:bCs/>
        </w:rPr>
        <w:t>通傳會</w:t>
      </w:r>
    </w:p>
    <w:p w14:paraId="3AA74E89" w14:textId="77777777" w:rsidR="000B1C3C" w:rsidRPr="00C3310F" w:rsidRDefault="000B1C3C" w:rsidP="000B1C3C">
      <w:pPr>
        <w:pStyle w:val="5"/>
      </w:pPr>
      <w:r w:rsidRPr="00C3310F">
        <w:rPr>
          <w:rFonts w:hint="eastAsia"/>
        </w:rPr>
        <w:t>通傳會督導業者建立惡意簡訊攔阻機制，包含關鍵字攔阻、大量發送檢核機制等措施，同時請業者加強查核簡訊來源。</w:t>
      </w:r>
    </w:p>
    <w:p w14:paraId="3F7CAD7E" w14:textId="77777777" w:rsidR="000B1C3C" w:rsidRPr="00C3310F" w:rsidRDefault="000B1C3C" w:rsidP="000B1C3C">
      <w:pPr>
        <w:pStyle w:val="5"/>
      </w:pPr>
      <w:r w:rsidRPr="00C3310F">
        <w:rPr>
          <w:rFonts w:hint="eastAsia"/>
        </w:rPr>
        <w:lastRenderedPageBreak/>
        <w:t>針對境內個人SMS詐騙案件，通傳會督導行動電信業者建立風險控管機制，如發送簡訊超過上限則暫時關閉發送簡訊功能等。</w:t>
      </w:r>
    </w:p>
    <w:p w14:paraId="2D189ECE" w14:textId="77777777" w:rsidR="000B1C3C" w:rsidRPr="00C3310F" w:rsidRDefault="000B1C3C" w:rsidP="000B1C3C">
      <w:pPr>
        <w:pStyle w:val="5"/>
      </w:pPr>
      <w:r w:rsidRPr="00C3310F">
        <w:rPr>
          <w:rFonts w:hint="eastAsia"/>
        </w:rPr>
        <w:t>針對境外SMS詐騙案件，通傳會督導行動電信業者建立惡意簡訊攔阻機制，包含關鍵字攔阻、防火牆大量簡訊偵測、攔阻偽冒「+886」開頭簡訊等。</w:t>
      </w:r>
    </w:p>
    <w:p w14:paraId="24910B1F" w14:textId="77777777" w:rsidR="000B1C3C" w:rsidRPr="00C3310F" w:rsidRDefault="000B1C3C" w:rsidP="000B1C3C">
      <w:pPr>
        <w:pStyle w:val="5"/>
      </w:pPr>
      <w:r w:rsidRPr="00C3310F">
        <w:rPr>
          <w:rFonts w:hint="eastAsia"/>
        </w:rPr>
        <w:t>成效：112年攔阻801萬則簡訊、113年截至4月已攔阻30</w:t>
      </w:r>
      <w:r w:rsidRPr="00C3310F">
        <w:t>2</w:t>
      </w:r>
      <w:r w:rsidRPr="00C3310F">
        <w:rPr>
          <w:rFonts w:hint="eastAsia"/>
        </w:rPr>
        <w:t>萬則簡訊。</w:t>
      </w:r>
    </w:p>
    <w:p w14:paraId="6B646645" w14:textId="77777777" w:rsidR="000B1C3C" w:rsidRPr="00C3310F" w:rsidRDefault="000B1C3C" w:rsidP="000B1C3C">
      <w:pPr>
        <w:pStyle w:val="4"/>
      </w:pPr>
      <w:r w:rsidRPr="00C3310F">
        <w:rPr>
          <w:rFonts w:hint="eastAsia"/>
        </w:rPr>
        <w:t>金管會部分，已與金融機構完成研定OTP簡訊範本，簡訊文字應包括「簡訊目的」、「反詐宣導」及「法律責任」等。</w:t>
      </w:r>
    </w:p>
    <w:p w14:paraId="05B4663F" w14:textId="556EDCF9" w:rsidR="000B1C3C" w:rsidRPr="00C3310F" w:rsidRDefault="000B1C3C" w:rsidP="000B1C3C">
      <w:pPr>
        <w:pStyle w:val="3"/>
      </w:pPr>
      <w:bookmarkStart w:id="953" w:name="_Toc171525595"/>
      <w:bookmarkStart w:id="954" w:name="_Toc172024116"/>
      <w:bookmarkStart w:id="955" w:name="_Toc172033439"/>
      <w:r w:rsidRPr="00C3310F">
        <w:rPr>
          <w:rFonts w:hint="eastAsia"/>
        </w:rPr>
        <w:t>有關黑莓卡部分，基於黑莓卡屬於境外電信業務，通傳會雖稱已有通知境外電信公司停止異常門號服務等措施，但不易直接管控，而據</w:t>
      </w:r>
      <w:r w:rsidR="000C2A64" w:rsidRPr="00C3310F">
        <w:rPr>
          <w:rFonts w:hint="eastAsia"/>
        </w:rPr>
        <w:t>臺北</w:t>
      </w:r>
      <w:r w:rsidRPr="00C3310F">
        <w:rPr>
          <w:rFonts w:hint="eastAsia"/>
        </w:rPr>
        <w:t>地檢署洪敏超檢察官於113年4月26日「劍青檢改」研討會上測試，其實名制設計顯係虛設，</w:t>
      </w:r>
      <w:r w:rsidR="000C2A64" w:rsidRPr="00C3310F">
        <w:rPr>
          <w:rFonts w:hint="eastAsia"/>
        </w:rPr>
        <w:t>雲林</w:t>
      </w:r>
      <w:r w:rsidRPr="00C3310F">
        <w:rPr>
          <w:rFonts w:hint="eastAsia"/>
        </w:rPr>
        <w:t>地檢署黃薇潔檢察官更指出有部分黑莓卡不是從境外進入的，是臺灣的一些不法的業者在臺灣製作並且販售；在政府對境內MNO及MVNO業者逐漸強化管理強度、強力攔阻境外來電及「111」政府專屬簡訊等措施下，</w:t>
      </w:r>
      <w:r w:rsidR="00A1409C" w:rsidRPr="00C3310F">
        <w:rPr>
          <w:rFonts w:hint="eastAsia"/>
        </w:rPr>
        <w:t>詐騙集團</w:t>
      </w:r>
      <w:r w:rsidRPr="00C3310F">
        <w:rPr>
          <w:rFonts w:hint="eastAsia"/>
        </w:rPr>
        <w:t>將極有可能轉向管制強度較低之黑莓卡，值得相關機關注意。</w:t>
      </w:r>
      <w:bookmarkEnd w:id="953"/>
      <w:bookmarkEnd w:id="954"/>
      <w:bookmarkEnd w:id="955"/>
    </w:p>
    <w:p w14:paraId="74C3380E" w14:textId="3210BC18" w:rsidR="000B1C3C" w:rsidRPr="00C3310F" w:rsidRDefault="000B1C3C" w:rsidP="000B1C3C">
      <w:pPr>
        <w:pStyle w:val="4"/>
      </w:pPr>
      <w:r w:rsidRPr="00C3310F">
        <w:rPr>
          <w:rFonts w:hint="eastAsia"/>
        </w:rPr>
        <w:t>據通傳會查復資料說明，黑莓卡(含彼特卡)等係於網際網路販售通路之商品名稱，非屬我國電信事業所提供服務，其多為香港聯通</w:t>
      </w:r>
      <w:r w:rsidR="005F10C3" w:rsidRPr="00C3310F">
        <w:rPr>
          <w:rStyle w:val="afe"/>
        </w:rPr>
        <w:footnoteReference w:id="74"/>
      </w:r>
      <w:r w:rsidRPr="00C3310F">
        <w:rPr>
          <w:rFonts w:hint="eastAsia"/>
        </w:rPr>
        <w:t>所批售之門號在臺灣提供無實名制之國際漫遊服務。其規管方式，目前僅得依GSMA國際漫遊合約第12條(詐欺防</w:t>
      </w:r>
      <w:r w:rsidRPr="00C3310F">
        <w:rPr>
          <w:rFonts w:hint="eastAsia"/>
        </w:rPr>
        <w:lastRenderedPageBreak/>
        <w:t>止)及第14條(服務暫停)規定，通知他國電信事業配合終止該國外門號之漫遊服務；中華電信並於112年8月起至11月1日已通知香港聯通關閉25.5萬門SIM卡使用。通傳會認為，有關是否對於所有他國漫遊服務採取一致實名制做法，仍需就國際貿易協議（WTO）電信自由化宗旨及他國國民國際跨境個資傳送（如歐盟 GDPR）等議題，瞭解其他國家</w:t>
      </w:r>
      <w:r w:rsidR="000C2A64" w:rsidRPr="00C3310F">
        <w:rPr>
          <w:rFonts w:hint="eastAsia"/>
        </w:rPr>
        <w:t>作</w:t>
      </w:r>
      <w:r w:rsidRPr="00C3310F">
        <w:rPr>
          <w:rFonts w:hint="eastAsia"/>
        </w:rPr>
        <w:t>法予以整體審慎思考。總而言之，目前通傳會對於黑莓卡之規管能力相當有限。</w:t>
      </w:r>
    </w:p>
    <w:p w14:paraId="004A61A2" w14:textId="77777777" w:rsidR="000B1C3C" w:rsidRPr="00C3310F" w:rsidRDefault="000B1C3C" w:rsidP="000B1C3C">
      <w:pPr>
        <w:pStyle w:val="4"/>
      </w:pPr>
      <w:r w:rsidRPr="00C3310F">
        <w:rPr>
          <w:rFonts w:hint="eastAsia"/>
        </w:rPr>
        <w:t>次由偵查實務角度看待黑莓卡，仍有明顯漏洞可鑽，以下臚列113年4月26日「劍青檢改」研討會中，檢察官所觀察到的實際情形，可見目前黑莓卡號稱實名制，卻沒有身分驗證，完全不具實名制功能；另外黑莓卡似有部分係國內製造，並非如同通傳會所稱多為境外流入，亦建議相關機關深入查緝。</w:t>
      </w:r>
    </w:p>
    <w:p w14:paraId="409030BC" w14:textId="3F35A42A" w:rsidR="000B1C3C" w:rsidRPr="00C3310F" w:rsidRDefault="000B1C3C" w:rsidP="000B1C3C">
      <w:pPr>
        <w:pStyle w:val="5"/>
      </w:pPr>
      <w:r w:rsidRPr="00C3310F">
        <w:rPr>
          <w:rFonts w:hint="eastAsia"/>
        </w:rPr>
        <w:t>臺北地檢署</w:t>
      </w:r>
      <w:r w:rsidR="00EA142E" w:rsidRPr="00C3310F">
        <w:rPr>
          <w:rFonts w:hint="eastAsia"/>
        </w:rPr>
        <w:t>洪敏超</w:t>
      </w:r>
      <w:r w:rsidRPr="00C3310F">
        <w:rPr>
          <w:rFonts w:hint="eastAsia"/>
        </w:rPr>
        <w:t>檢察官：我測試給大家看，我花250</w:t>
      </w:r>
      <w:r w:rsidR="0043490D" w:rsidRPr="00C3310F">
        <w:rPr>
          <w:rFonts w:hint="eastAsia"/>
        </w:rPr>
        <w:t>元</w:t>
      </w:r>
      <w:r w:rsidRPr="00C3310F">
        <w:rPr>
          <w:rFonts w:hint="eastAsia"/>
        </w:rPr>
        <w:t>在蝦皮買的，實名制根本隨便輸入都可以過關。</w:t>
      </w:r>
    </w:p>
    <w:p w14:paraId="76AA6E91" w14:textId="07E7C397" w:rsidR="000B1C3C" w:rsidRPr="00C3310F" w:rsidRDefault="000B1C3C" w:rsidP="000B1C3C">
      <w:pPr>
        <w:pStyle w:val="5"/>
      </w:pPr>
      <w:r w:rsidRPr="00C3310F">
        <w:rPr>
          <w:rFonts w:hint="eastAsia"/>
        </w:rPr>
        <w:t>雲林地檢署</w:t>
      </w:r>
      <w:r w:rsidR="00EA142E" w:rsidRPr="00C3310F">
        <w:rPr>
          <w:rFonts w:hint="eastAsia"/>
        </w:rPr>
        <w:t>黃薇潔</w:t>
      </w:r>
      <w:r w:rsidRPr="00C3310F">
        <w:rPr>
          <w:rFonts w:hint="eastAsia"/>
        </w:rPr>
        <w:t>檢察官:這些黑莓卡都不是從境外進入的，是臺灣的一些不法的業者在臺灣製作並且販售……。</w:t>
      </w:r>
    </w:p>
    <w:p w14:paraId="0360A9D7" w14:textId="19200D02" w:rsidR="000B1C3C" w:rsidRPr="00C3310F" w:rsidRDefault="000B1C3C" w:rsidP="000B1C3C">
      <w:pPr>
        <w:pStyle w:val="4"/>
      </w:pPr>
      <w:r w:rsidRPr="00C3310F">
        <w:rPr>
          <w:rFonts w:hint="eastAsia"/>
        </w:rPr>
        <w:t>至於漫遊門號風險部分，本調查研究所蒐集之檢察官與通傳會說明之間有所出入，建議行政院透過</w:t>
      </w:r>
      <w:r w:rsidR="0004575A" w:rsidRPr="00C3310F">
        <w:rPr>
          <w:rFonts w:hint="eastAsia"/>
        </w:rPr>
        <w:t>平臺</w:t>
      </w:r>
      <w:r w:rsidRPr="00C3310F">
        <w:rPr>
          <w:rFonts w:hint="eastAsia"/>
        </w:rPr>
        <w:t>予以釐清，避免機關之間產生不必要之誤解。</w:t>
      </w:r>
    </w:p>
    <w:p w14:paraId="2E6045A5" w14:textId="7D9FC350" w:rsidR="000B1C3C" w:rsidRPr="00C3310F" w:rsidRDefault="000B1C3C" w:rsidP="000B1C3C">
      <w:pPr>
        <w:pStyle w:val="5"/>
      </w:pPr>
      <w:r w:rsidRPr="00C3310F">
        <w:rPr>
          <w:rFonts w:hint="eastAsia"/>
        </w:rPr>
        <w:t>根據113年4月26日「劍青檢改」研討會，有檢察官指出112年1至5月漫遊門號共開放875萬餘門，對照同期實際來臺旅遊人數217萬餘人，有650萬餘門漫遊門號用途不明，恐為</w:t>
      </w:r>
      <w:r w:rsidR="00A1409C" w:rsidRPr="00C3310F">
        <w:rPr>
          <w:rFonts w:hint="eastAsia"/>
        </w:rPr>
        <w:t>詐騙集團</w:t>
      </w:r>
      <w:r w:rsidRPr="00C3310F">
        <w:rPr>
          <w:rFonts w:hint="eastAsia"/>
        </w:rPr>
        <w:t>所</w:t>
      </w:r>
      <w:r w:rsidRPr="00C3310F">
        <w:rPr>
          <w:rFonts w:hint="eastAsia"/>
        </w:rPr>
        <w:lastRenderedPageBreak/>
        <w:t>用，以此推估全年高達1</w:t>
      </w:r>
      <w:r w:rsidR="00852112" w:rsidRPr="00C3310F">
        <w:rPr>
          <w:rFonts w:hint="eastAsia"/>
        </w:rPr>
        <w:t>,</w:t>
      </w:r>
      <w:r w:rsidRPr="00C3310F">
        <w:rPr>
          <w:rFonts w:hint="eastAsia"/>
        </w:rPr>
        <w:t>500萬門漫遊門號。</w:t>
      </w:r>
    </w:p>
    <w:p w14:paraId="3E5C88AF" w14:textId="77777777" w:rsidR="000B1C3C" w:rsidRPr="00C3310F" w:rsidRDefault="000B1C3C" w:rsidP="000B1C3C">
      <w:pPr>
        <w:pStyle w:val="5"/>
      </w:pPr>
      <w:r w:rsidRPr="00C3310F">
        <w:rPr>
          <w:rFonts w:hint="eastAsia"/>
        </w:rPr>
        <w:t>通傳會則說明，據該會瞭解，所謂「875萬餘門」實為國外門號連網次數，該數量包含同一門號跨月、因移動跨基地台註冊或跨我國不同電信業者網路漫遊之重複計算，以及機器設備所使用之「物聯網」通信次數，非全球來臺觀光旅客持有之漫遊門號數量。因此，該統計數據僅能做為參考，實無法貿然推定漫遊連網次數與來臺旅客之間的關係。</w:t>
      </w:r>
    </w:p>
    <w:p w14:paraId="7EF46ED2" w14:textId="7514E01A" w:rsidR="000B1C3C" w:rsidRPr="00C3310F" w:rsidRDefault="00AC04D8" w:rsidP="000B1C3C">
      <w:pPr>
        <w:pStyle w:val="3"/>
      </w:pPr>
      <w:bookmarkStart w:id="956" w:name="_Toc171525596"/>
      <w:bookmarkStart w:id="957" w:name="_Toc172024117"/>
      <w:bookmarkStart w:id="958" w:name="_Toc172033440"/>
      <w:r w:rsidRPr="00C3310F">
        <w:rPr>
          <w:rFonts w:hint="eastAsia"/>
        </w:rPr>
        <w:t>在國內電信流反詐措施方面之小結：經調查研究評估「MNO及MVNO門號核配K</w:t>
      </w:r>
      <w:r w:rsidRPr="00C3310F">
        <w:t>YC</w:t>
      </w:r>
      <w:r w:rsidRPr="00C3310F">
        <w:rPr>
          <w:rFonts w:hint="eastAsia"/>
        </w:rPr>
        <w:t>」、「境外來電及簡訊」及「黑莓卡」等三項主要之堵詐電信風險，其中「MNO及MVNO門號核配K</w:t>
      </w:r>
      <w:r w:rsidRPr="00C3310F">
        <w:t>YC</w:t>
      </w:r>
      <w:r w:rsidRPr="00C3310F">
        <w:rPr>
          <w:rFonts w:hint="eastAsia"/>
        </w:rPr>
        <w:t>」部分過去有極大漏洞，而其規管措施甫上路，其成效尚未顯現；而「境外來電及簡訊」之績效相當卓著；惟111政府專屬簡訊覆蓋率有待持續提升。至於「黑莓卡」部分涉及國外電信事業，尚難由政府機關獨力完成規管，然</w:t>
      </w:r>
      <w:r w:rsidR="00A1409C" w:rsidRPr="00C3310F">
        <w:rPr>
          <w:rFonts w:hint="eastAsia"/>
        </w:rPr>
        <w:t>本調查研究</w:t>
      </w:r>
      <w:r w:rsidRPr="00C3310F">
        <w:rPr>
          <w:rFonts w:hint="eastAsia"/>
        </w:rPr>
        <w:t>仍建議政府短期內查緝國內違法製造，中長期持續推動實名制之方向而予以防堵，避免再度提供詐騙集團可趁之機。</w:t>
      </w:r>
      <w:bookmarkEnd w:id="956"/>
      <w:bookmarkEnd w:id="957"/>
      <w:bookmarkEnd w:id="958"/>
    </w:p>
    <w:p w14:paraId="024C78E9" w14:textId="77777777" w:rsidR="000B1C3C" w:rsidRPr="00C3310F" w:rsidRDefault="000B1C3C" w:rsidP="000B1C3C">
      <w:pPr>
        <w:pStyle w:val="3"/>
      </w:pPr>
      <w:bookmarkStart w:id="959" w:name="_Toc171525597"/>
      <w:bookmarkStart w:id="960" w:name="_Toc172024118"/>
      <w:bookmarkStart w:id="961" w:name="_Toc172033441"/>
      <w:r w:rsidRPr="00C3310F">
        <w:rPr>
          <w:rFonts w:hint="eastAsia"/>
        </w:rPr>
        <w:t>在國際堵詐相關作法方面，本調查研究蒐集文獻指出，英國政府認為「期望大眾對詐欺始終保持高度警覺是不合理的」</w:t>
      </w:r>
      <w:r w:rsidRPr="00C3310F">
        <w:rPr>
          <w:rStyle w:val="afe"/>
        </w:rPr>
        <w:footnoteReference w:id="75"/>
      </w:r>
      <w:r w:rsidRPr="00C3310F">
        <w:rPr>
          <w:rFonts w:hint="eastAsia"/>
        </w:rPr>
        <w:t>，故英國強調「堵詐」之重要性遠勝「識詐」；且其在電信方面的行政措施較我國「打詐綱領1.5版」內容更為激進，包括全面禁止金融商</w:t>
      </w:r>
      <w:r w:rsidRPr="00C3310F">
        <w:rPr>
          <w:rFonts w:hint="eastAsia"/>
        </w:rPr>
        <w:lastRenderedPageBreak/>
        <w:t>品推銷電話，以及禁用貓池</w:t>
      </w:r>
      <w:r w:rsidRPr="00C3310F">
        <w:rPr>
          <w:rStyle w:val="afe"/>
        </w:rPr>
        <w:footnoteReference w:id="76"/>
      </w:r>
      <w:r w:rsidRPr="00C3310F">
        <w:rPr>
          <w:rFonts w:hint="eastAsia"/>
        </w:rPr>
        <w:t>(Modem pool)等等，我國是否有採用之可行性，有待相關機關予以評估。</w:t>
      </w:r>
      <w:bookmarkEnd w:id="959"/>
      <w:bookmarkEnd w:id="960"/>
      <w:bookmarkEnd w:id="961"/>
    </w:p>
    <w:p w14:paraId="4AC7379E" w14:textId="3CE63204" w:rsidR="000B1C3C" w:rsidRPr="00C3310F" w:rsidRDefault="000B1C3C" w:rsidP="000B1C3C">
      <w:pPr>
        <w:pStyle w:val="4"/>
      </w:pPr>
      <w:r w:rsidRPr="00C3310F">
        <w:rPr>
          <w:rFonts w:hint="eastAsia"/>
          <w:b/>
        </w:rPr>
        <w:t>期望大眾對詐欺始終保持高度警覺是不合理的</w:t>
      </w:r>
      <w:r w:rsidRPr="00C3310F">
        <w:rPr>
          <w:rFonts w:hint="eastAsia"/>
        </w:rPr>
        <w:t>，最好的防禦措施是</w:t>
      </w:r>
      <w:r w:rsidR="00A1409C" w:rsidRPr="00C3310F">
        <w:rPr>
          <w:rFonts w:hint="eastAsia"/>
        </w:rPr>
        <w:t>詐騙集團</w:t>
      </w:r>
      <w:r w:rsidRPr="00C3310F">
        <w:rPr>
          <w:rFonts w:hint="eastAsia"/>
        </w:rPr>
        <w:t>對受害者造成傷害之前阻止犯罪企圖觸及個人和企業。</w:t>
      </w:r>
    </w:p>
    <w:p w14:paraId="57AD9259" w14:textId="77777777" w:rsidR="000B1C3C" w:rsidRPr="00C3310F" w:rsidRDefault="000B1C3C" w:rsidP="000B1C3C">
      <w:pPr>
        <w:pStyle w:val="4"/>
      </w:pPr>
      <w:r w:rsidRPr="00C3310F">
        <w:rPr>
          <w:rFonts w:hint="eastAsia"/>
        </w:rPr>
        <w:t>禁止對所有金融產品進行推銷電話，這樣詐欺其團就無法透過假投資欺騙人們。政府將把推銷電話禁令擴大到所有金融產品，……這意味著民眾將知道金融產品的推銷電話必為騙局，若接到此類電話就有信心直接掛斷。</w:t>
      </w:r>
    </w:p>
    <w:p w14:paraId="38D44B08" w14:textId="77777777" w:rsidR="000B1C3C" w:rsidRPr="00C3310F" w:rsidRDefault="000B1C3C" w:rsidP="000B1C3C">
      <w:pPr>
        <w:pStyle w:val="4"/>
      </w:pPr>
      <w:r w:rsidRPr="00C3310F">
        <w:rPr>
          <w:rFonts w:hint="eastAsia"/>
        </w:rPr>
        <w:t>禁止犯罪分子利用SIM卡農場 (按：即Modem pool，貓池)一次發送數千條詐騙簡訊。</w:t>
      </w:r>
    </w:p>
    <w:p w14:paraId="434F3E8F" w14:textId="6BED4484" w:rsidR="000B1C3C" w:rsidRPr="00C3310F" w:rsidRDefault="000B1C3C" w:rsidP="000B1C3C">
      <w:pPr>
        <w:pStyle w:val="4"/>
      </w:pPr>
      <w:r w:rsidRPr="00C3310F">
        <w:rPr>
          <w:rFonts w:hint="eastAsia"/>
        </w:rPr>
        <w:t>讓詐騙者更難「欺騙」英國號碼，使其看起來像是來自合法的英國企業，從而阻止更多詐騙電話。2023年5月生效的強化規則要求所有參與通信的電信網路在技術允許的範圍內辨識並阻擋詐欺來電。Ofcom 也對電信公司應根據其義務採取的措施提出明確的期望，以防止有效號碼被濫用，並期望這些公司建立防範濫用的標準作業程序。Ofcom 也在4月發動諮詢並考慮導入CLI</w:t>
      </w:r>
      <w:r w:rsidRPr="00C3310F">
        <w:t>(</w:t>
      </w:r>
      <w:r w:rsidR="000C2A64" w:rsidRPr="00C3310F">
        <w:t>Calling Line</w:t>
      </w:r>
      <w:r w:rsidR="000C2A64" w:rsidRPr="00C3310F">
        <w:rPr>
          <w:rFonts w:hint="eastAsia"/>
        </w:rPr>
        <w:t xml:space="preserve"> Identification Presentation，</w:t>
      </w:r>
      <w:r w:rsidRPr="00C3310F">
        <w:rPr>
          <w:rFonts w:hint="eastAsia"/>
        </w:rPr>
        <w:t>發受信號碼顯示)身</w:t>
      </w:r>
      <w:r w:rsidR="000F4F23" w:rsidRPr="00C3310F">
        <w:rPr>
          <w:rFonts w:hint="eastAsia"/>
        </w:rPr>
        <w:t>分</w:t>
      </w:r>
      <w:r w:rsidRPr="00C3310F">
        <w:rPr>
          <w:rFonts w:hint="eastAsia"/>
        </w:rPr>
        <w:t>驗證技術。</w:t>
      </w:r>
    </w:p>
    <w:p w14:paraId="521FC6D2" w14:textId="1E9B44FB" w:rsidR="009A785F" w:rsidRPr="00C3310F" w:rsidRDefault="000B1C3C" w:rsidP="000B1C3C">
      <w:pPr>
        <w:pStyle w:val="3"/>
      </w:pPr>
      <w:bookmarkStart w:id="962" w:name="_Toc171525598"/>
      <w:bookmarkStart w:id="963" w:name="_Toc172024119"/>
      <w:bookmarkStart w:id="964" w:name="_Toc172033442"/>
      <w:r w:rsidRPr="00C3310F">
        <w:rPr>
          <w:rFonts w:hint="eastAsia"/>
        </w:rPr>
        <w:t>綜上，針對電信部分，112年5月境外來電量高達5</w:t>
      </w:r>
      <w:r w:rsidRPr="00C3310F">
        <w:t>,</w:t>
      </w:r>
      <w:r w:rsidRPr="00C3310F">
        <w:rPr>
          <w:rFonts w:hint="eastAsia"/>
        </w:rPr>
        <w:t>000萬餘通，境內電信業者又陸續爆發業者不當核配大量門號之事件，甚有逾30萬筆門號者，且對企業客戶幾乎毫不設防，綜合前述數據，無怪乎112年度</w:t>
      </w:r>
      <w:r w:rsidRPr="00C3310F">
        <w:rPr>
          <w:rFonts w:hint="eastAsia"/>
        </w:rPr>
        <w:lastRenderedPageBreak/>
        <w:t>詐騙案件突破歷史高峰至20</w:t>
      </w:r>
      <w:r w:rsidRPr="00C3310F">
        <w:t>,</w:t>
      </w:r>
      <w:r w:rsidRPr="00C3310F">
        <w:rPr>
          <w:rFonts w:hint="eastAsia"/>
        </w:rPr>
        <w:t>958件，年增率達33.1%，通傳會難辭其咎。惟經通傳會努力之下，境外來電至113年5月已驟減82%，該會已陸續頒布「電信事業受理申辦電信服務風險管理機制指引」，後續並於113年4月26日訂定「電信事業用戶號碼使用管理辦法」，將前述指引法制化，推測已相當程度打擊</w:t>
      </w:r>
      <w:r w:rsidR="00A1409C" w:rsidRPr="00C3310F">
        <w:rPr>
          <w:rFonts w:hint="eastAsia"/>
        </w:rPr>
        <w:t>詐騙集團</w:t>
      </w:r>
      <w:r w:rsidRPr="00C3310F">
        <w:rPr>
          <w:rFonts w:hint="eastAsia"/>
        </w:rPr>
        <w:t>之通信能力，其成效則尚待113年度全年數據予以證實。爰此，政府有必要將可見之漏洞盡可能予以防堵；目前有賴行政院及相關部會強化者，包括「111」政府專屬簡訊之應用機關覆蓋度僅67%，民眾仍難分真偽之外，尚有黑莓卡實名制漏洞及國內違法製造等項目；按過去防制詐騙經驗說明，當政府針對</w:t>
      </w:r>
      <w:r w:rsidR="00A1409C" w:rsidRPr="00C3310F">
        <w:rPr>
          <w:rFonts w:hint="eastAsia"/>
        </w:rPr>
        <w:t>詐騙集團</w:t>
      </w:r>
      <w:r w:rsidRPr="00C3310F">
        <w:rPr>
          <w:rFonts w:hint="eastAsia"/>
        </w:rPr>
        <w:t>主要工具予以強力管制後，</w:t>
      </w:r>
      <w:r w:rsidR="00A1409C" w:rsidRPr="00C3310F">
        <w:rPr>
          <w:rFonts w:hint="eastAsia"/>
        </w:rPr>
        <w:t>詐騙集團</w:t>
      </w:r>
      <w:r w:rsidRPr="00C3310F">
        <w:rPr>
          <w:rFonts w:hint="eastAsia"/>
        </w:rPr>
        <w:t>仍能順應社會變遷並尋得其他漏洞加以利用，爰行政院、通傳會及</w:t>
      </w:r>
      <w:r w:rsidR="00D82B1C" w:rsidRPr="00C3310F">
        <w:rPr>
          <w:rFonts w:hint="eastAsia"/>
        </w:rPr>
        <w:t>數發部</w:t>
      </w:r>
      <w:r w:rsidRPr="00C3310F">
        <w:rPr>
          <w:rFonts w:hint="eastAsia"/>
        </w:rPr>
        <w:t>等相關機關亦應持續與第一線偵辦之檢警密切聯繫，於新型電信詐欺管道尚未氾濫前提出對策。</w:t>
      </w:r>
      <w:bookmarkEnd w:id="962"/>
      <w:bookmarkEnd w:id="963"/>
      <w:bookmarkEnd w:id="964"/>
    </w:p>
    <w:p w14:paraId="784C3507" w14:textId="0D924D84" w:rsidR="000B1C3C" w:rsidRPr="00C3310F" w:rsidRDefault="009A785F" w:rsidP="009A785F">
      <w:pPr>
        <w:widowControl/>
        <w:overflowPunct/>
        <w:autoSpaceDE/>
        <w:autoSpaceDN/>
        <w:jc w:val="left"/>
        <w:rPr>
          <w:rFonts w:hAnsi="Arial"/>
          <w:bCs/>
          <w:kern w:val="32"/>
          <w:szCs w:val="36"/>
        </w:rPr>
      </w:pPr>
      <w:r w:rsidRPr="00C3310F">
        <w:br w:type="page"/>
      </w:r>
    </w:p>
    <w:p w14:paraId="762FBD58" w14:textId="7DD3365E" w:rsidR="000B1C3C" w:rsidRPr="00C3310F" w:rsidRDefault="000B1C3C" w:rsidP="000B1C3C">
      <w:pPr>
        <w:pStyle w:val="2"/>
        <w:spacing w:beforeLines="50" w:before="228"/>
        <w:ind w:left="1020" w:hanging="680"/>
        <w:rPr>
          <w:b/>
        </w:rPr>
      </w:pPr>
      <w:bookmarkStart w:id="965" w:name="_Toc172033443"/>
      <w:r w:rsidRPr="00C3310F">
        <w:rPr>
          <w:rFonts w:hint="eastAsia"/>
          <w:b/>
        </w:rPr>
        <w:lastRenderedPageBreak/>
        <w:t>詐騙訊息在社群網站及通訊軟體極為泛濫，雖政府採取綠色通道等下架措施，除其能量在數位</w:t>
      </w:r>
      <w:r w:rsidR="0004575A" w:rsidRPr="00C3310F">
        <w:rPr>
          <w:rFonts w:hint="eastAsia"/>
          <w:b/>
        </w:rPr>
        <w:t>平臺</w:t>
      </w:r>
      <w:r w:rsidRPr="00C3310F">
        <w:rPr>
          <w:rFonts w:hint="eastAsia"/>
          <w:b/>
        </w:rPr>
        <w:t>巨量訊息中微不足道且緩不濟急外，並常於下架後又立即上架，引發國人對政府打詐作為強烈不滿；政府雖透過打詐專法推動</w:t>
      </w:r>
      <w:r w:rsidR="0004575A" w:rsidRPr="00C3310F">
        <w:rPr>
          <w:rFonts w:hint="eastAsia"/>
          <w:b/>
        </w:rPr>
        <w:t>平臺</w:t>
      </w:r>
      <w:r w:rsidRPr="00C3310F">
        <w:rPr>
          <w:rFonts w:hint="eastAsia"/>
          <w:b/>
        </w:rPr>
        <w:t>法律代表人制度，然其效果是否等同</w:t>
      </w:r>
      <w:r w:rsidR="0004575A" w:rsidRPr="00C3310F">
        <w:rPr>
          <w:rFonts w:hint="eastAsia"/>
          <w:b/>
        </w:rPr>
        <w:t>平臺</w:t>
      </w:r>
      <w:r w:rsidRPr="00C3310F">
        <w:rPr>
          <w:rFonts w:hint="eastAsia"/>
          <w:b/>
        </w:rPr>
        <w:t>落地，仍值觀察，至於</w:t>
      </w:r>
      <w:r w:rsidRPr="00C3310F">
        <w:rPr>
          <w:b/>
        </w:rPr>
        <w:t>國家資通安全研究院</w:t>
      </w:r>
      <w:r w:rsidRPr="00C3310F">
        <w:rPr>
          <w:rFonts w:hint="eastAsia"/>
          <w:b/>
        </w:rPr>
        <w:t>提出使用AI協助快速辨識詐騙廣告之技術提案，每月檢測量能高達50萬筆，是否可有效改善詐欺訊息氾濫情形，殊值政府評估是否導入。惟以長期而言，歐盟、英國等高度重視人權之國家，已陸續強化</w:t>
      </w:r>
      <w:r w:rsidR="0004575A" w:rsidRPr="00C3310F">
        <w:rPr>
          <w:rFonts w:hint="eastAsia"/>
          <w:b/>
        </w:rPr>
        <w:t>平臺</w:t>
      </w:r>
      <w:r w:rsidRPr="00C3310F">
        <w:rPr>
          <w:rFonts w:hint="eastAsia"/>
          <w:b/>
        </w:rPr>
        <w:t>治理、個資跨境傳輸並建立自律機制，我國數位</w:t>
      </w:r>
      <w:r w:rsidR="0004575A" w:rsidRPr="00C3310F">
        <w:rPr>
          <w:rFonts w:hint="eastAsia"/>
          <w:b/>
        </w:rPr>
        <w:t>平臺</w:t>
      </w:r>
      <w:r w:rsidRPr="00C3310F">
        <w:rPr>
          <w:rFonts w:hint="eastAsia"/>
          <w:b/>
        </w:rPr>
        <w:t>目前僅以特定議題分散式立法方式進行治理，除欠完整周密之通盤規劃外，並造成政府數位治理之困難。政府在</w:t>
      </w:r>
      <w:r w:rsidR="0004575A" w:rsidRPr="00C3310F">
        <w:rPr>
          <w:rFonts w:hint="eastAsia"/>
          <w:b/>
        </w:rPr>
        <w:t>平臺</w:t>
      </w:r>
      <w:r w:rsidRPr="00C3310F">
        <w:rPr>
          <w:rFonts w:hint="eastAsia"/>
          <w:b/>
        </w:rPr>
        <w:t>治理部分</w:t>
      </w:r>
      <w:r w:rsidR="00852112" w:rsidRPr="00C3310F">
        <w:rPr>
          <w:rFonts w:hint="eastAsia"/>
          <w:b/>
        </w:rPr>
        <w:t>允宜</w:t>
      </w:r>
      <w:r w:rsidRPr="00C3310F">
        <w:rPr>
          <w:rFonts w:hint="eastAsia"/>
          <w:b/>
        </w:rPr>
        <w:t>考量國情進行縝密規劃，除搭配個資保護委員會之籌設外，並衡平言論自由及個資保護，以公開透明方式，積極與國人溝通以制定相關法制配套措施，強化</w:t>
      </w:r>
      <w:r w:rsidR="0004575A" w:rsidRPr="00C3310F">
        <w:rPr>
          <w:rFonts w:hint="eastAsia"/>
          <w:b/>
        </w:rPr>
        <w:t>平臺</w:t>
      </w:r>
      <w:r w:rsidRPr="00C3310F">
        <w:rPr>
          <w:rFonts w:hint="eastAsia"/>
          <w:b/>
        </w:rPr>
        <w:t>治理機制</w:t>
      </w:r>
      <w:r w:rsidR="00852112" w:rsidRPr="00C3310F">
        <w:rPr>
          <w:rFonts w:hint="eastAsia"/>
          <w:b/>
        </w:rPr>
        <w:t>，</w:t>
      </w:r>
      <w:r w:rsidRPr="00C3310F">
        <w:rPr>
          <w:rFonts w:hint="eastAsia"/>
          <w:b/>
        </w:rPr>
        <w:t>並於</w:t>
      </w:r>
      <w:r w:rsidR="0004575A" w:rsidRPr="00C3310F">
        <w:rPr>
          <w:rFonts w:hint="eastAsia"/>
          <w:b/>
        </w:rPr>
        <w:t>平臺</w:t>
      </w:r>
      <w:r w:rsidRPr="00C3310F">
        <w:rPr>
          <w:rFonts w:hint="eastAsia"/>
          <w:b/>
        </w:rPr>
        <w:t>治理機制尚未完備前，</w:t>
      </w:r>
      <w:r w:rsidR="00852112" w:rsidRPr="00C3310F">
        <w:rPr>
          <w:rFonts w:hint="eastAsia"/>
          <w:b/>
        </w:rPr>
        <w:t>宜</w:t>
      </w:r>
      <w:r w:rsidRPr="00C3310F">
        <w:rPr>
          <w:rFonts w:hint="eastAsia"/>
          <w:b/>
        </w:rPr>
        <w:t>針對數位</w:t>
      </w:r>
      <w:r w:rsidR="0004575A" w:rsidRPr="00C3310F">
        <w:rPr>
          <w:rFonts w:hint="eastAsia"/>
          <w:b/>
        </w:rPr>
        <w:t>平臺</w:t>
      </w:r>
      <w:r w:rsidRPr="00C3310F">
        <w:rPr>
          <w:rFonts w:hint="eastAsia"/>
          <w:b/>
        </w:rPr>
        <w:t>建立公正、透明、定期之評鑑機制，以揭露風險方式鼓勵</w:t>
      </w:r>
      <w:r w:rsidR="0004575A" w:rsidRPr="00C3310F">
        <w:rPr>
          <w:rFonts w:hint="eastAsia"/>
          <w:b/>
        </w:rPr>
        <w:t>平臺</w:t>
      </w:r>
      <w:r w:rsidRPr="00C3310F">
        <w:rPr>
          <w:rFonts w:hint="eastAsia"/>
          <w:b/>
        </w:rPr>
        <w:t>自律，抑制數位</w:t>
      </w:r>
      <w:r w:rsidR="0004575A" w:rsidRPr="00C3310F">
        <w:rPr>
          <w:rFonts w:hint="eastAsia"/>
          <w:b/>
        </w:rPr>
        <w:t>平臺</w:t>
      </w:r>
      <w:r w:rsidRPr="00C3310F">
        <w:rPr>
          <w:rFonts w:hint="eastAsia"/>
          <w:b/>
        </w:rPr>
        <w:t>上泛濫之詐騙訊息。</w:t>
      </w:r>
      <w:bookmarkEnd w:id="965"/>
    </w:p>
    <w:p w14:paraId="207FD341" w14:textId="52D85D4F" w:rsidR="000B1C3C" w:rsidRPr="00C3310F" w:rsidRDefault="000B1C3C" w:rsidP="000B1C3C">
      <w:pPr>
        <w:pStyle w:val="3"/>
        <w:ind w:leftChars="200"/>
      </w:pPr>
      <w:bookmarkStart w:id="966" w:name="_Toc171525600"/>
      <w:bookmarkStart w:id="967" w:name="_Toc172024121"/>
      <w:bookmarkStart w:id="968" w:name="_Toc172033444"/>
      <w:r w:rsidRPr="00C3310F">
        <w:rPr>
          <w:rFonts w:hint="eastAsia"/>
        </w:rPr>
        <w:t>網路逐漸取代電信作為詐騙集團接觸民眾之管道其來有自，本調查研究文獻</w:t>
      </w:r>
      <w:r w:rsidR="009D74BF" w:rsidRPr="00C3310F">
        <w:rPr>
          <w:rStyle w:val="afe"/>
        </w:rPr>
        <w:footnoteReference w:id="77"/>
      </w:r>
      <w:r w:rsidRPr="00C3310F">
        <w:rPr>
          <w:rFonts w:hint="eastAsia"/>
        </w:rPr>
        <w:t>指出，我國2013年行動寬頻普及率僅57.08%，遠遠落後英美日韓等國家，但在2022年行動寬頻普及率已成長至118.69%，超過英國，此外我國上網率在全年齡層平均亦有84.67%，足證近10年我國行動寬頻及上網普及性快速成長，與電信網路詐欺之成長趨勢概同，或可部分解釋近年</w:t>
      </w:r>
      <w:r w:rsidRPr="00C3310F">
        <w:rPr>
          <w:rFonts w:hint="eastAsia"/>
        </w:rPr>
        <w:lastRenderedPageBreak/>
        <w:t>電信網路詐欺暴增之客觀因素。此外本調查研究就國內外使用數位</w:t>
      </w:r>
      <w:r w:rsidR="0004575A" w:rsidRPr="00C3310F">
        <w:rPr>
          <w:rFonts w:hint="eastAsia"/>
        </w:rPr>
        <w:t>平臺</w:t>
      </w:r>
      <w:r w:rsidRPr="00C3310F">
        <w:rPr>
          <w:rFonts w:hint="eastAsia"/>
        </w:rPr>
        <w:t>情形進行分析，G</w:t>
      </w:r>
      <w:r w:rsidRPr="00C3310F">
        <w:t>ASA</w:t>
      </w:r>
      <w:r w:rsidRPr="00C3310F">
        <w:rPr>
          <w:rFonts w:hint="eastAsia"/>
        </w:rPr>
        <w:t>於2023年報告</w:t>
      </w:r>
      <w:r w:rsidRPr="00C3310F">
        <w:rPr>
          <w:rStyle w:val="afe"/>
        </w:rPr>
        <w:footnoteReference w:id="78"/>
      </w:r>
      <w:r w:rsidRPr="00C3310F">
        <w:rPr>
          <w:rFonts w:hint="eastAsia"/>
        </w:rPr>
        <w:t>指出W</w:t>
      </w:r>
      <w:r w:rsidRPr="00C3310F">
        <w:t>hatsApp</w:t>
      </w:r>
      <w:r w:rsidRPr="00C3310F">
        <w:rPr>
          <w:rFonts w:hint="eastAsia"/>
        </w:rPr>
        <w:t>與</w:t>
      </w:r>
      <w:r w:rsidRPr="00C3310F">
        <w:t>Facebook</w:t>
      </w:r>
      <w:r w:rsidRPr="00C3310F">
        <w:rPr>
          <w:rFonts w:hint="eastAsia"/>
        </w:rPr>
        <w:t>是詐騙集團最喜歡使用的</w:t>
      </w:r>
      <w:r w:rsidR="0004575A" w:rsidRPr="00C3310F">
        <w:rPr>
          <w:rFonts w:hint="eastAsia"/>
        </w:rPr>
        <w:t>平臺</w:t>
      </w:r>
      <w:r w:rsidRPr="00C3310F">
        <w:rPr>
          <w:rFonts w:hint="eastAsia"/>
        </w:rPr>
        <w:t>，近年國際上更屢傳各國政府擬對M</w:t>
      </w:r>
      <w:r w:rsidRPr="00C3310F">
        <w:t>eta</w:t>
      </w:r>
      <w:r w:rsidRPr="00C3310F">
        <w:rPr>
          <w:rFonts w:hint="eastAsia"/>
        </w:rPr>
        <w:t>提告或裁罰之消息；而國內報告則指出民眾使用之社群</w:t>
      </w:r>
      <w:r w:rsidR="0004575A" w:rsidRPr="00C3310F">
        <w:rPr>
          <w:rFonts w:hint="eastAsia"/>
        </w:rPr>
        <w:t>平臺</w:t>
      </w:r>
      <w:r w:rsidRPr="00C3310F">
        <w:rPr>
          <w:rFonts w:hint="eastAsia"/>
        </w:rPr>
        <w:t>以F</w:t>
      </w:r>
      <w:r w:rsidRPr="00C3310F">
        <w:t>acebook</w:t>
      </w:r>
      <w:r w:rsidRPr="00C3310F">
        <w:rPr>
          <w:rFonts w:hint="eastAsia"/>
        </w:rPr>
        <w:t>為主(</w:t>
      </w:r>
      <w:r w:rsidR="00752EB4" w:rsidRPr="00C3310F">
        <w:rPr>
          <w:rFonts w:hint="eastAsia"/>
        </w:rPr>
        <w:t>占</w:t>
      </w:r>
      <w:r w:rsidRPr="00C3310F">
        <w:rPr>
          <w:rFonts w:hint="eastAsia"/>
        </w:rPr>
        <w:t>47.27%)；而通訊軟體部分則以</w:t>
      </w:r>
      <w:r w:rsidR="00DF3BE8" w:rsidRPr="00C3310F">
        <w:t>LINE</w:t>
      </w:r>
      <w:r w:rsidRPr="00C3310F">
        <w:rPr>
          <w:rFonts w:hint="eastAsia"/>
        </w:rPr>
        <w:t>為主(</w:t>
      </w:r>
      <w:r w:rsidR="00752EB4" w:rsidRPr="00C3310F">
        <w:rPr>
          <w:rFonts w:hint="eastAsia"/>
        </w:rPr>
        <w:t>占</w:t>
      </w:r>
      <w:r w:rsidRPr="00C3310F">
        <w:rPr>
          <w:rFonts w:hint="eastAsia"/>
        </w:rPr>
        <w:t>77.56%)，兩大</w:t>
      </w:r>
      <w:r w:rsidR="0004575A" w:rsidRPr="00C3310F">
        <w:rPr>
          <w:rFonts w:hint="eastAsia"/>
        </w:rPr>
        <w:t>平臺</w:t>
      </w:r>
      <w:r w:rsidRPr="00C3310F">
        <w:rPr>
          <w:rFonts w:hint="eastAsia"/>
        </w:rPr>
        <w:t>業者均大幅領先其他業者，綜合前述文獻結論顯示，F</w:t>
      </w:r>
      <w:r w:rsidRPr="00C3310F">
        <w:t>acebook</w:t>
      </w:r>
      <w:r w:rsidRPr="00C3310F">
        <w:rPr>
          <w:rFonts w:hint="eastAsia"/>
        </w:rPr>
        <w:t>在我國社群</w:t>
      </w:r>
      <w:r w:rsidR="0004575A" w:rsidRPr="00C3310F">
        <w:rPr>
          <w:rFonts w:hint="eastAsia"/>
        </w:rPr>
        <w:t>平臺</w:t>
      </w:r>
      <w:r w:rsidRPr="00C3310F">
        <w:rPr>
          <w:rFonts w:hint="eastAsia"/>
        </w:rPr>
        <w:t>市占最高又最為詐騙集團所慣用，復以我國數位治理法制落後先進國家，其風險不容忽視，</w:t>
      </w:r>
      <w:r w:rsidR="00A1409C" w:rsidRPr="00C3310F">
        <w:rPr>
          <w:rFonts w:hint="eastAsia"/>
        </w:rPr>
        <w:t>本調查研究</w:t>
      </w:r>
      <w:r w:rsidRPr="00C3310F">
        <w:rPr>
          <w:rFonts w:hint="eastAsia"/>
        </w:rPr>
        <w:t>建議列為首要治理對象，而</w:t>
      </w:r>
      <w:r w:rsidR="00DF3BE8" w:rsidRPr="00C3310F">
        <w:rPr>
          <w:rFonts w:hint="eastAsia"/>
        </w:rPr>
        <w:t>LINE</w:t>
      </w:r>
      <w:r w:rsidRPr="00C3310F">
        <w:rPr>
          <w:rFonts w:hint="eastAsia"/>
        </w:rPr>
        <w:t>屬性為即時通訊軟體，其通訊內容涉及隱私權，保護程度較高，惟</w:t>
      </w:r>
      <w:r w:rsidR="00A1409C" w:rsidRPr="00C3310F">
        <w:rPr>
          <w:rFonts w:hint="eastAsia"/>
        </w:rPr>
        <w:t>詐騙集團</w:t>
      </w:r>
      <w:r w:rsidRPr="00C3310F">
        <w:rPr>
          <w:rFonts w:hint="eastAsia"/>
        </w:rPr>
        <w:t>亦利用此一特點遂行詐騙，</w:t>
      </w:r>
      <w:r w:rsidR="00A1409C" w:rsidRPr="00C3310F">
        <w:rPr>
          <w:rFonts w:hint="eastAsia"/>
        </w:rPr>
        <w:t>本調查研究</w:t>
      </w:r>
      <w:r w:rsidRPr="00C3310F">
        <w:rPr>
          <w:rFonts w:hint="eastAsia"/>
        </w:rPr>
        <w:t>亦建議政府持續深化合作。</w:t>
      </w:r>
      <w:bookmarkEnd w:id="966"/>
      <w:bookmarkEnd w:id="967"/>
      <w:bookmarkEnd w:id="968"/>
    </w:p>
    <w:p w14:paraId="62D828DF" w14:textId="5E4A1D68" w:rsidR="000B1C3C" w:rsidRPr="00C3310F" w:rsidRDefault="000B1C3C" w:rsidP="000B1C3C">
      <w:pPr>
        <w:pStyle w:val="4"/>
      </w:pPr>
      <w:r w:rsidRPr="00C3310F">
        <w:rPr>
          <w:rFonts w:hint="eastAsia"/>
        </w:rPr>
        <w:t>根據G</w:t>
      </w:r>
      <w:r w:rsidRPr="00C3310F">
        <w:t>ASA</w:t>
      </w:r>
      <w:r w:rsidRPr="00C3310F">
        <w:rPr>
          <w:rFonts w:hint="eastAsia"/>
        </w:rPr>
        <w:t>於2023年報告，有44%受訪者指出，詐騙集團是透過W</w:t>
      </w:r>
      <w:r w:rsidRPr="00C3310F">
        <w:t>hatsApp</w:t>
      </w:r>
      <w:r w:rsidRPr="00C3310F">
        <w:rPr>
          <w:rFonts w:hint="eastAsia"/>
        </w:rPr>
        <w:t>與</w:t>
      </w:r>
      <w:r w:rsidRPr="00C3310F">
        <w:t>Facebook</w:t>
      </w:r>
      <w:r w:rsidRPr="00C3310F">
        <w:rPr>
          <w:rFonts w:hint="eastAsia"/>
        </w:rPr>
        <w:t>與其接觸，遙遙領先其他數位</w:t>
      </w:r>
      <w:r w:rsidR="0004575A" w:rsidRPr="00C3310F">
        <w:rPr>
          <w:rFonts w:hint="eastAsia"/>
        </w:rPr>
        <w:t>平臺</w:t>
      </w:r>
      <w:r w:rsidRPr="00C3310F">
        <w:rPr>
          <w:rFonts w:hint="eastAsia"/>
        </w:rPr>
        <w:t>，是詐騙者最常使用的</w:t>
      </w:r>
      <w:r w:rsidR="0004575A" w:rsidRPr="00C3310F">
        <w:rPr>
          <w:rFonts w:hint="eastAsia"/>
        </w:rPr>
        <w:t>平臺</w:t>
      </w:r>
      <w:r w:rsidRPr="00C3310F">
        <w:rPr>
          <w:rFonts w:hint="eastAsia"/>
        </w:rPr>
        <w:t>。其後則依序是</w:t>
      </w:r>
      <w:r w:rsidRPr="00C3310F">
        <w:t>Gmail</w:t>
      </w:r>
      <w:r w:rsidRPr="00C3310F">
        <w:rPr>
          <w:rFonts w:hint="eastAsia"/>
        </w:rPr>
        <w:t>(</w:t>
      </w:r>
      <w:r w:rsidRPr="00C3310F">
        <w:t>41%)</w:t>
      </w:r>
      <w:r w:rsidRPr="00C3310F">
        <w:rPr>
          <w:rFonts w:hint="eastAsia"/>
        </w:rPr>
        <w:t>、</w:t>
      </w:r>
      <w:r w:rsidRPr="00C3310F">
        <w:t>Instagram(22%)</w:t>
      </w:r>
      <w:r w:rsidRPr="00C3310F">
        <w:rPr>
          <w:rFonts w:hint="eastAsia"/>
        </w:rPr>
        <w:t>、</w:t>
      </w:r>
      <w:r w:rsidRPr="00C3310F">
        <w:t>Telegram(21%)</w:t>
      </w:r>
      <w:r w:rsidRPr="00C3310F">
        <w:rPr>
          <w:rFonts w:hint="eastAsia"/>
        </w:rPr>
        <w:t>，其餘</w:t>
      </w:r>
      <w:r w:rsidR="0004575A" w:rsidRPr="00C3310F">
        <w:rPr>
          <w:rFonts w:hint="eastAsia"/>
        </w:rPr>
        <w:t>平臺</w:t>
      </w:r>
      <w:r w:rsidRPr="00C3310F">
        <w:rPr>
          <w:rFonts w:hint="eastAsia"/>
        </w:rPr>
        <w:t>則均不到20%；值得一提的是，</w:t>
      </w:r>
      <w:r w:rsidRPr="00C3310F">
        <w:t>Facebook</w:t>
      </w:r>
      <w:r w:rsidRPr="00C3310F">
        <w:rPr>
          <w:rFonts w:hint="eastAsia"/>
        </w:rPr>
        <w:t>及</w:t>
      </w:r>
      <w:r w:rsidRPr="00C3310F">
        <w:t>Instagram</w:t>
      </w:r>
      <w:r w:rsidRPr="00C3310F">
        <w:rPr>
          <w:rFonts w:hint="eastAsia"/>
        </w:rPr>
        <w:t>母集團均為M</w:t>
      </w:r>
      <w:r w:rsidRPr="00C3310F">
        <w:t>eta</w:t>
      </w:r>
      <w:r w:rsidRPr="00C3310F">
        <w:rPr>
          <w:rFonts w:hint="eastAsia"/>
        </w:rPr>
        <w:t>。</w:t>
      </w:r>
    </w:p>
    <w:p w14:paraId="19A4DF10" w14:textId="3297FCF8" w:rsidR="000B1C3C" w:rsidRPr="00C3310F" w:rsidRDefault="000B1C3C" w:rsidP="000B1C3C">
      <w:pPr>
        <w:pStyle w:val="4"/>
      </w:pPr>
      <w:r w:rsidRPr="00C3310F">
        <w:rPr>
          <w:rFonts w:hint="eastAsia"/>
        </w:rPr>
        <w:t>根據通傳會「112年通訊傳播市場報告」</w:t>
      </w:r>
      <w:r w:rsidR="00B149BC" w:rsidRPr="00C3310F">
        <w:rPr>
          <w:rFonts w:hint="eastAsia"/>
        </w:rPr>
        <w:t>：</w:t>
      </w:r>
    </w:p>
    <w:p w14:paraId="650E1970" w14:textId="77777777" w:rsidR="000B1C3C" w:rsidRPr="00C3310F" w:rsidRDefault="000B1C3C" w:rsidP="000B1C3C">
      <w:pPr>
        <w:pStyle w:val="5"/>
      </w:pPr>
      <w:r w:rsidRPr="00C3310F">
        <w:rPr>
          <w:rFonts w:hint="eastAsia"/>
        </w:rPr>
        <w:t>行動寬頻普及率於近10年快速成長，已於2016年超越英國，2022年普及率為118.69%。</w:t>
      </w:r>
    </w:p>
    <w:p w14:paraId="68F2D978" w14:textId="77777777" w:rsidR="000B1C3C" w:rsidRPr="00C3310F" w:rsidRDefault="000B1C3C" w:rsidP="000B1C3C">
      <w:pPr>
        <w:pStyle w:val="5"/>
      </w:pPr>
      <w:r w:rsidRPr="00C3310F">
        <w:rPr>
          <w:rFonts w:hint="eastAsia"/>
        </w:rPr>
        <w:t>我國16歲以上民眾住處電話使用情形，「僅使用行動電話」者首次超越「市內電話、行動電話均有使用」者。</w:t>
      </w:r>
    </w:p>
    <w:p w14:paraId="478DAD21" w14:textId="1D2E8177" w:rsidR="000B1C3C" w:rsidRPr="00C3310F" w:rsidRDefault="000B1C3C" w:rsidP="000B1C3C">
      <w:pPr>
        <w:pStyle w:val="4"/>
      </w:pPr>
      <w:r w:rsidRPr="00C3310F">
        <w:rPr>
          <w:rFonts w:hint="eastAsia"/>
        </w:rPr>
        <w:t>根據財團法人台灣網路資訊中心「2023年台灣網</w:t>
      </w:r>
      <w:r w:rsidRPr="00C3310F">
        <w:rPr>
          <w:rFonts w:hint="eastAsia"/>
        </w:rPr>
        <w:lastRenderedPageBreak/>
        <w:t>路報告」</w:t>
      </w:r>
    </w:p>
    <w:p w14:paraId="2137B158" w14:textId="3802FEAD" w:rsidR="000B1C3C" w:rsidRPr="00C3310F" w:rsidRDefault="000B1C3C" w:rsidP="000B1C3C">
      <w:pPr>
        <w:pStyle w:val="5"/>
      </w:pPr>
      <w:r w:rsidRPr="00C3310F">
        <w:rPr>
          <w:rFonts w:hint="eastAsia"/>
        </w:rPr>
        <w:t>2023年</w:t>
      </w:r>
      <w:r w:rsidR="005E17A1" w:rsidRPr="00C3310F">
        <w:rPr>
          <w:rFonts w:hint="eastAsia"/>
        </w:rPr>
        <w:t>臺</w:t>
      </w:r>
      <w:r w:rsidRPr="00C3310F">
        <w:rPr>
          <w:rFonts w:hint="eastAsia"/>
        </w:rPr>
        <w:t>灣民眾的上網率</w:t>
      </w:r>
      <w:r w:rsidRPr="00C3310F">
        <w:rPr>
          <w:vertAlign w:val="superscript"/>
        </w:rPr>
        <w:footnoteReference w:id="79"/>
      </w:r>
      <w:r w:rsidRPr="00C3310F">
        <w:rPr>
          <w:rFonts w:hint="eastAsia"/>
        </w:rPr>
        <w:t>為84.67%，其中18</w:t>
      </w:r>
      <w:r w:rsidR="00B149BC" w:rsidRPr="00C3310F">
        <w:rPr>
          <w:rFonts w:hint="eastAsia"/>
        </w:rPr>
        <w:t>至</w:t>
      </w:r>
      <w:r w:rsidRPr="00C3310F">
        <w:rPr>
          <w:rFonts w:hint="eastAsia"/>
        </w:rPr>
        <w:t>49歲上網率高於95%，行動寬頻用戶普及率為81.76%，可見民眾之上網(含行動上網)普及率極高。</w:t>
      </w:r>
    </w:p>
    <w:p w14:paraId="709B3516" w14:textId="5C571A43" w:rsidR="000B1C3C" w:rsidRPr="00C3310F" w:rsidRDefault="000B1C3C" w:rsidP="000B1C3C">
      <w:pPr>
        <w:pStyle w:val="5"/>
      </w:pPr>
      <w:r w:rsidRPr="00C3310F">
        <w:rPr>
          <w:rFonts w:hint="eastAsia"/>
        </w:rPr>
        <w:t>臺灣民眾最常使用的網路應用服務為「觀看免費的網路影音、直播或收聽音樂」，高達72.36%，其次為「買東西」達50.76%</w:t>
      </w:r>
    </w:p>
    <w:p w14:paraId="0D508F12" w14:textId="302C67D4" w:rsidR="000B1C3C" w:rsidRPr="00C3310F" w:rsidRDefault="000B1C3C" w:rsidP="000B1C3C">
      <w:pPr>
        <w:pStyle w:val="5"/>
      </w:pPr>
      <w:r w:rsidRPr="00C3310F">
        <w:rPr>
          <w:rFonts w:hint="eastAsia"/>
          <w:b/>
        </w:rPr>
        <w:t>近五成</w:t>
      </w:r>
      <w:r w:rsidR="005E17A1" w:rsidRPr="00C3310F">
        <w:rPr>
          <w:rFonts w:hint="eastAsia"/>
          <w:b/>
        </w:rPr>
        <w:t>臺</w:t>
      </w:r>
      <w:r w:rsidRPr="00C3310F">
        <w:rPr>
          <w:rFonts w:hint="eastAsia"/>
          <w:b/>
        </w:rPr>
        <w:t>灣民眾最常使用的社群媒體仍是臉書（Facebook），達47.27%</w:t>
      </w:r>
      <w:r w:rsidRPr="00C3310F">
        <w:rPr>
          <w:rFonts w:hint="eastAsia"/>
        </w:rPr>
        <w:t>，大幅領先其他社群媒體。年齡愈低則社群媒體使用率則越高。18</w:t>
      </w:r>
      <w:r w:rsidR="00B149BC" w:rsidRPr="00C3310F">
        <w:rPr>
          <w:rFonts w:hint="eastAsia"/>
        </w:rPr>
        <w:t>至</w:t>
      </w:r>
      <w:r w:rsidRPr="00C3310F">
        <w:rPr>
          <w:rFonts w:hint="eastAsia"/>
        </w:rPr>
        <w:t>29歲年齡層為社群媒體使用率最高的族群，高達95.98%。而30</w:t>
      </w:r>
      <w:r w:rsidR="00B149BC" w:rsidRPr="00C3310F">
        <w:rPr>
          <w:rFonts w:hint="eastAsia"/>
        </w:rPr>
        <w:t>至</w:t>
      </w:r>
      <w:r w:rsidRPr="00C3310F">
        <w:rPr>
          <w:rFonts w:hint="eastAsia"/>
        </w:rPr>
        <w:t>39歲年齡層的社群媒體使用率也在九成以上，達94.84%。</w:t>
      </w:r>
    </w:p>
    <w:p w14:paraId="668D659A" w14:textId="1497635F" w:rsidR="000B1C3C" w:rsidRPr="00C3310F" w:rsidRDefault="000B1C3C" w:rsidP="000B1C3C">
      <w:pPr>
        <w:pStyle w:val="5"/>
      </w:pPr>
      <w:r w:rsidRPr="00C3310F">
        <w:rPr>
          <w:rFonts w:hint="eastAsia"/>
        </w:rPr>
        <w:t>調查結果顯示</w:t>
      </w:r>
      <w:r w:rsidR="00DF3BE8" w:rsidRPr="00C3310F">
        <w:rPr>
          <w:rFonts w:hint="eastAsia"/>
        </w:rPr>
        <w:t>LINE</w:t>
      </w:r>
      <w:r w:rsidRPr="00C3310F">
        <w:rPr>
          <w:rFonts w:hint="eastAsia"/>
        </w:rPr>
        <w:t>是</w:t>
      </w:r>
      <w:r w:rsidR="005E17A1" w:rsidRPr="00C3310F">
        <w:rPr>
          <w:rFonts w:hint="eastAsia"/>
        </w:rPr>
        <w:t>臺</w:t>
      </w:r>
      <w:r w:rsidRPr="00C3310F">
        <w:rPr>
          <w:rFonts w:hint="eastAsia"/>
        </w:rPr>
        <w:t>灣民眾最常</w:t>
      </w:r>
      <w:r w:rsidR="00852112" w:rsidRPr="00C3310F">
        <w:rPr>
          <w:rFonts w:hint="eastAsia"/>
        </w:rPr>
        <w:t>使用</w:t>
      </w:r>
      <w:r w:rsidRPr="00C3310F">
        <w:rPr>
          <w:rFonts w:hint="eastAsia"/>
        </w:rPr>
        <w:t>的即時通訊軟體，</w:t>
      </w:r>
      <w:r w:rsidR="00752EB4" w:rsidRPr="00C3310F">
        <w:rPr>
          <w:rFonts w:hint="eastAsia"/>
        </w:rPr>
        <w:t>占</w:t>
      </w:r>
      <w:r w:rsidRPr="00C3310F">
        <w:rPr>
          <w:rFonts w:hint="eastAsia"/>
        </w:rPr>
        <w:t>77.56%，大幅領先其他的即時通訊軟體。</w:t>
      </w:r>
    </w:p>
    <w:p w14:paraId="597FAA66" w14:textId="0ECBDDA0" w:rsidR="000B1C3C" w:rsidRPr="00C3310F" w:rsidRDefault="000B1C3C" w:rsidP="000B1C3C">
      <w:pPr>
        <w:pStyle w:val="4"/>
      </w:pPr>
      <w:r w:rsidRPr="00C3310F">
        <w:rPr>
          <w:rFonts w:hint="eastAsia"/>
        </w:rPr>
        <w:t>根據</w:t>
      </w:r>
      <w:r w:rsidR="00A1409C" w:rsidRPr="00C3310F">
        <w:rPr>
          <w:rFonts w:hint="eastAsia"/>
        </w:rPr>
        <w:t>本調查研究</w:t>
      </w:r>
      <w:r w:rsidRPr="00C3310F">
        <w:rPr>
          <w:rFonts w:hint="eastAsia"/>
        </w:rPr>
        <w:t>蒐整，各國政府擬對Meta提出各式調查、裁罰及告訴不勝枚舉，茲舉數例如下：</w:t>
      </w:r>
    </w:p>
    <w:p w14:paraId="11B8E2A6" w14:textId="5890D3A1" w:rsidR="000B1C3C" w:rsidRPr="00C3310F" w:rsidRDefault="000B1C3C" w:rsidP="000B1C3C">
      <w:pPr>
        <w:pStyle w:val="5"/>
      </w:pPr>
      <w:r w:rsidRPr="00C3310F">
        <w:rPr>
          <w:rFonts w:hint="eastAsia"/>
        </w:rPr>
        <w:t>2024年4月，日本民眾被詐騙廣告詐欺</w:t>
      </w:r>
      <w:r w:rsidR="00B149BC" w:rsidRPr="00C3310F">
        <w:rPr>
          <w:rFonts w:hint="eastAsia"/>
        </w:rPr>
        <w:t>，</w:t>
      </w:r>
      <w:r w:rsidRPr="00C3310F">
        <w:rPr>
          <w:rFonts w:hint="eastAsia"/>
        </w:rPr>
        <w:t>提訴要求Meta賠償約2</w:t>
      </w:r>
      <w:r w:rsidR="00852112" w:rsidRPr="00C3310F">
        <w:rPr>
          <w:rFonts w:hint="eastAsia"/>
        </w:rPr>
        <w:t>,</w:t>
      </w:r>
      <w:r w:rsidRPr="00C3310F">
        <w:rPr>
          <w:rFonts w:hint="eastAsia"/>
        </w:rPr>
        <w:t>300萬日圓</w:t>
      </w:r>
      <w:r w:rsidRPr="00C3310F">
        <w:rPr>
          <w:vertAlign w:val="superscript"/>
        </w:rPr>
        <w:footnoteReference w:id="80"/>
      </w:r>
      <w:r w:rsidRPr="00C3310F">
        <w:rPr>
          <w:rFonts w:hint="eastAsia"/>
        </w:rPr>
        <w:t>。</w:t>
      </w:r>
    </w:p>
    <w:p w14:paraId="7CDBBABD" w14:textId="77777777" w:rsidR="000B1C3C" w:rsidRPr="00C3310F" w:rsidRDefault="000B1C3C" w:rsidP="000B1C3C">
      <w:pPr>
        <w:pStyle w:val="5"/>
      </w:pPr>
      <w:r w:rsidRPr="00C3310F">
        <w:rPr>
          <w:rFonts w:hint="eastAsia"/>
        </w:rPr>
        <w:t>美國各州敦促Meta打擊Facebook、Instagram 假帳號行為</w:t>
      </w:r>
      <w:r w:rsidRPr="00C3310F">
        <w:rPr>
          <w:vertAlign w:val="superscript"/>
        </w:rPr>
        <w:footnoteReference w:id="81"/>
      </w:r>
      <w:r w:rsidRPr="00C3310F">
        <w:rPr>
          <w:rFonts w:hint="eastAsia"/>
        </w:rPr>
        <w:t>。</w:t>
      </w:r>
    </w:p>
    <w:p w14:paraId="1497ECF5" w14:textId="77777777" w:rsidR="000B1C3C" w:rsidRPr="00C3310F" w:rsidRDefault="000B1C3C" w:rsidP="000B1C3C">
      <w:pPr>
        <w:pStyle w:val="5"/>
      </w:pPr>
      <w:r w:rsidRPr="00C3310F">
        <w:rPr>
          <w:rFonts w:hint="eastAsia"/>
        </w:rPr>
        <w:t>韓國公正交易委員會在去年（2023）底向Meta公</w:t>
      </w:r>
      <w:r w:rsidRPr="00C3310F">
        <w:rPr>
          <w:rFonts w:hint="eastAsia"/>
        </w:rPr>
        <w:lastRenderedPageBreak/>
        <w:t>司發出一份審查報告，內容主要集中在臉書（Facebook）、Instagram的消費者問題，恐涉違反當地的電子商務法</w:t>
      </w:r>
      <w:r w:rsidRPr="00C3310F">
        <w:rPr>
          <w:rStyle w:val="afe"/>
        </w:rPr>
        <w:footnoteReference w:id="82"/>
      </w:r>
      <w:r w:rsidRPr="00C3310F">
        <w:rPr>
          <w:rFonts w:hint="eastAsia"/>
        </w:rPr>
        <w:t>。</w:t>
      </w:r>
    </w:p>
    <w:p w14:paraId="236A3611" w14:textId="3E01F9C0" w:rsidR="000B1C3C" w:rsidRPr="00C3310F" w:rsidRDefault="000B1C3C" w:rsidP="00CD5025">
      <w:pPr>
        <w:pStyle w:val="4"/>
      </w:pPr>
      <w:r w:rsidRPr="00C3310F">
        <w:rPr>
          <w:rFonts w:hint="eastAsia"/>
        </w:rPr>
        <w:t>通傳會綜整透過網路管道詐騙之各式手法約可歸納為7類</w:t>
      </w:r>
      <w:r w:rsidR="00CD5025" w:rsidRPr="00C3310F">
        <w:rPr>
          <w:rFonts w:hint="eastAsia"/>
        </w:rPr>
        <w:t>，包括假網拍詐騙、假投資詐騙、</w:t>
      </w:r>
      <w:r w:rsidR="00CD5025" w:rsidRPr="00C3310F">
        <w:t>ATM</w:t>
      </w:r>
      <w:r w:rsidR="00CD5025" w:rsidRPr="00C3310F">
        <w:rPr>
          <w:rFonts w:hint="eastAsia"/>
        </w:rPr>
        <w:t>解除分期付款詐騙、假愛情交友、猜猜我是誰、假冒機構(公務員)及假求職等</w:t>
      </w:r>
      <w:r w:rsidRPr="00C3310F">
        <w:rPr>
          <w:rFonts w:hint="eastAsia"/>
        </w:rPr>
        <w:t>，可見網路詐騙多以F</w:t>
      </w:r>
      <w:r w:rsidRPr="00C3310F">
        <w:t>acebook</w:t>
      </w:r>
      <w:r w:rsidRPr="00C3310F">
        <w:rPr>
          <w:rFonts w:hint="eastAsia"/>
        </w:rPr>
        <w:t>及</w:t>
      </w:r>
      <w:r w:rsidR="00DF3BE8" w:rsidRPr="00C3310F">
        <w:rPr>
          <w:rFonts w:hint="eastAsia"/>
        </w:rPr>
        <w:t>LINE</w:t>
      </w:r>
      <w:r w:rsidRPr="00C3310F">
        <w:rPr>
          <w:rFonts w:hint="eastAsia"/>
        </w:rPr>
        <w:t>為主</w:t>
      </w:r>
      <w:r w:rsidR="009D74BF" w:rsidRPr="00C3310F">
        <w:rPr>
          <w:rFonts w:hint="eastAsia"/>
        </w:rPr>
        <w:t>。</w:t>
      </w:r>
    </w:p>
    <w:p w14:paraId="3CA8F375" w14:textId="1C29646F" w:rsidR="000B1C3C" w:rsidRPr="00C3310F" w:rsidRDefault="000B1C3C" w:rsidP="000B1C3C">
      <w:pPr>
        <w:pStyle w:val="3"/>
      </w:pPr>
      <w:bookmarkStart w:id="969" w:name="_Toc171525601"/>
      <w:bookmarkStart w:id="970" w:name="_Toc172024122"/>
      <w:bookmarkStart w:id="971" w:name="_Toc172033445"/>
      <w:r w:rsidRPr="00C3310F">
        <w:rPr>
          <w:rFonts w:hint="eastAsia"/>
        </w:rPr>
        <w:t>我國對於堵詐面向中涉及網路部分之措施，現行已在運作之機制主要係由內政部對社群</w:t>
      </w:r>
      <w:r w:rsidR="0004575A" w:rsidRPr="00C3310F">
        <w:rPr>
          <w:rFonts w:hint="eastAsia"/>
        </w:rPr>
        <w:t>平臺</w:t>
      </w:r>
      <w:r w:rsidRPr="00C3310F">
        <w:rPr>
          <w:rFonts w:hint="eastAsia"/>
        </w:rPr>
        <w:t>及通訊軟體所執行之「綠色通道」或「紅色通道」，可下架詐欺廣告、封鎖詐欺帳號等，</w:t>
      </w:r>
      <w:r w:rsidR="00D82B1C" w:rsidRPr="00C3310F">
        <w:rPr>
          <w:rFonts w:hint="eastAsia"/>
        </w:rPr>
        <w:t>數發部</w:t>
      </w:r>
      <w:r w:rsidRPr="00C3310F">
        <w:rPr>
          <w:rFonts w:hint="eastAsia"/>
        </w:rPr>
        <w:t>除居間協調外，並可透過網域停止解析(DNS RPZ</w:t>
      </w:r>
      <w:r w:rsidRPr="00C3310F">
        <w:rPr>
          <w:rStyle w:val="afe"/>
        </w:rPr>
        <w:footnoteReference w:id="83"/>
      </w:r>
      <w:r w:rsidRPr="00C3310F">
        <w:rPr>
          <w:rFonts w:hint="eastAsia"/>
        </w:rPr>
        <w:t>)攔阻惡意或不當的網域名稱，其目的均旨在阻斷</w:t>
      </w:r>
      <w:r w:rsidR="00A1409C" w:rsidRPr="00C3310F">
        <w:rPr>
          <w:rFonts w:hint="eastAsia"/>
        </w:rPr>
        <w:t>詐騙集團</w:t>
      </w:r>
      <w:r w:rsidRPr="00C3310F">
        <w:rPr>
          <w:rFonts w:hint="eastAsia"/>
        </w:rPr>
        <w:t>與民眾在網路上之接觸；惟上述措施均在訊息鏈之末端實施，且其處理量能每月平均約為6</w:t>
      </w:r>
      <w:r w:rsidR="00852112" w:rsidRPr="00C3310F">
        <w:rPr>
          <w:rFonts w:hint="eastAsia"/>
        </w:rPr>
        <w:t>,</w:t>
      </w:r>
      <w:r w:rsidRPr="00C3310F">
        <w:rPr>
          <w:rFonts w:hint="eastAsia"/>
        </w:rPr>
        <w:t>855則</w:t>
      </w:r>
      <w:r w:rsidRPr="00C3310F">
        <w:rPr>
          <w:rStyle w:val="afe"/>
        </w:rPr>
        <w:footnoteReference w:id="84"/>
      </w:r>
      <w:r w:rsidRPr="00C3310F">
        <w:rPr>
          <w:rFonts w:hint="eastAsia"/>
        </w:rPr>
        <w:t>，在巨量而快速之網路及社群媒體訊息中顯得微不足道且緩不濟急。為此，政府已規劃向更上游管理，包括透過113年</w:t>
      </w:r>
      <w:r w:rsidR="00F16860" w:rsidRPr="00C3310F">
        <w:rPr>
          <w:rFonts w:hint="eastAsia"/>
        </w:rPr>
        <w:t>7</w:t>
      </w:r>
      <w:r w:rsidRPr="00C3310F">
        <w:rPr>
          <w:rFonts w:hint="eastAsia"/>
        </w:rPr>
        <w:t>月</w:t>
      </w:r>
      <w:r w:rsidR="00F16860" w:rsidRPr="00C3310F">
        <w:rPr>
          <w:rFonts w:hint="eastAsia"/>
        </w:rPr>
        <w:t>12</w:t>
      </w:r>
      <w:r w:rsidRPr="00C3310F">
        <w:rPr>
          <w:rFonts w:hint="eastAsia"/>
        </w:rPr>
        <w:t>日</w:t>
      </w:r>
      <w:r w:rsidR="00F16860" w:rsidRPr="00C3310F">
        <w:rPr>
          <w:rFonts w:hint="eastAsia"/>
        </w:rPr>
        <w:t>立法院三讀</w:t>
      </w:r>
      <w:r w:rsidRPr="00C3310F">
        <w:rPr>
          <w:rFonts w:hint="eastAsia"/>
        </w:rPr>
        <w:t>通過之《詐欺犯罪危害防制條例》，要求</w:t>
      </w:r>
      <w:r w:rsidR="0004575A" w:rsidRPr="00C3310F">
        <w:rPr>
          <w:rFonts w:hint="eastAsia"/>
        </w:rPr>
        <w:t>平臺</w:t>
      </w:r>
      <w:r w:rsidRPr="00C3310F">
        <w:rPr>
          <w:rFonts w:hint="eastAsia"/>
        </w:rPr>
        <w:t>課以</w:t>
      </w:r>
      <w:r w:rsidR="0004575A" w:rsidRPr="00C3310F">
        <w:rPr>
          <w:rFonts w:hint="eastAsia"/>
        </w:rPr>
        <w:t>平臺</w:t>
      </w:r>
      <w:r w:rsidRPr="00C3310F">
        <w:rPr>
          <w:rFonts w:hint="eastAsia"/>
        </w:rPr>
        <w:t>業者更多責任，包括以數位</w:t>
      </w:r>
      <w:r w:rsidR="0004575A" w:rsidRPr="00C3310F">
        <w:rPr>
          <w:rFonts w:hint="eastAsia"/>
        </w:rPr>
        <w:t>平臺</w:t>
      </w:r>
      <w:r w:rsidRPr="00C3310F">
        <w:rPr>
          <w:rFonts w:hint="eastAsia"/>
        </w:rPr>
        <w:t>在臺灣之法律代表以及電子簽章為技術基礎之廣告實名制等措施，惟該等措施仍有其侷限。</w:t>
      </w:r>
      <w:bookmarkEnd w:id="969"/>
      <w:bookmarkEnd w:id="970"/>
      <w:bookmarkEnd w:id="971"/>
    </w:p>
    <w:p w14:paraId="38909BB5" w14:textId="7AFEC49F" w:rsidR="000B1C3C" w:rsidRPr="00C3310F" w:rsidRDefault="000B1C3C" w:rsidP="000B1C3C">
      <w:pPr>
        <w:pStyle w:val="4"/>
        <w:ind w:leftChars="351" w:left="1704"/>
      </w:pPr>
      <w:r w:rsidRPr="00C3310F">
        <w:rPr>
          <w:rFonts w:hint="eastAsia"/>
        </w:rPr>
        <w:t>有關綠色通道及紅色通道等通報下架措施，警政</w:t>
      </w:r>
      <w:r w:rsidRPr="00C3310F">
        <w:rPr>
          <w:rFonts w:hint="eastAsia"/>
        </w:rPr>
        <w:lastRenderedPageBreak/>
        <w:t>署主要係依據</w:t>
      </w:r>
      <w:r w:rsidRPr="00C3310F">
        <w:t>「警察機關處理違反證券投資信託及顧問法第七十條之一案件統一裁罰基準及實施要點」</w:t>
      </w:r>
      <w:r w:rsidRPr="00C3310F">
        <w:rPr>
          <w:rFonts w:hint="eastAsia"/>
        </w:rPr>
        <w:t>執行；然而警政署也坦承，相關做法無法阻止</w:t>
      </w:r>
      <w:r w:rsidR="0004575A" w:rsidRPr="00C3310F">
        <w:rPr>
          <w:rFonts w:hint="eastAsia"/>
        </w:rPr>
        <w:t>平臺</w:t>
      </w:r>
      <w:r w:rsidRPr="00C3310F">
        <w:rPr>
          <w:rFonts w:hint="eastAsia"/>
        </w:rPr>
        <w:t>詐騙廣告再度上架，並且在行政程序之送達部分也有瑕疵，對</w:t>
      </w:r>
      <w:r w:rsidR="0004575A" w:rsidRPr="00C3310F">
        <w:rPr>
          <w:rFonts w:hint="eastAsia"/>
        </w:rPr>
        <w:t>平臺</w:t>
      </w:r>
      <w:r w:rsidRPr="00C3310F">
        <w:rPr>
          <w:rFonts w:hint="eastAsia"/>
        </w:rPr>
        <w:t>業者更是缺乏拘束力，數位</w:t>
      </w:r>
      <w:r w:rsidR="0004575A" w:rsidRPr="00C3310F">
        <w:rPr>
          <w:rFonts w:hint="eastAsia"/>
        </w:rPr>
        <w:t>平臺</w:t>
      </w:r>
      <w:r w:rsidRPr="00C3310F">
        <w:rPr>
          <w:rFonts w:hint="eastAsia"/>
        </w:rPr>
        <w:t>顯然成為堵詐措施中，尚無有效治理手段之領域。而有關</w:t>
      </w:r>
      <w:r w:rsidRPr="00C3310F">
        <w:t>Facebook</w:t>
      </w:r>
      <w:r w:rsidRPr="00C3310F">
        <w:rPr>
          <w:rFonts w:hint="eastAsia"/>
        </w:rPr>
        <w:t>上由名人本人檢舉偽冒投資詐欺廣告無效而遭人詬病一事，警政署則表示，若直接向</w:t>
      </w:r>
      <w:r w:rsidRPr="00C3310F">
        <w:t>Facebook</w:t>
      </w:r>
      <w:r w:rsidRPr="00C3310F">
        <w:rPr>
          <w:rFonts w:hint="eastAsia"/>
        </w:rPr>
        <w:t>檢舉，則透過臉書使用政策由Meta公司進行審核處置，建議民眾向警政署165網站檢舉，較能確保透過「綠色通道」予以下架。</w:t>
      </w:r>
    </w:p>
    <w:p w14:paraId="1EB23E2E" w14:textId="77777777" w:rsidR="000B1C3C" w:rsidRPr="00C3310F" w:rsidRDefault="000B1C3C" w:rsidP="000B1C3C">
      <w:pPr>
        <w:pStyle w:val="5"/>
      </w:pPr>
      <w:r w:rsidRPr="00C3310F">
        <w:rPr>
          <w:rFonts w:hint="eastAsia"/>
        </w:rPr>
        <w:t>警政署於1</w:t>
      </w:r>
      <w:r w:rsidRPr="00C3310F">
        <w:t>12</w:t>
      </w:r>
      <w:r w:rsidRPr="00C3310F">
        <w:rPr>
          <w:rFonts w:hint="eastAsia"/>
        </w:rPr>
        <w:t>年7月1日起即開始以「網路巡邏線上蒐報」方式執行蒐報工作，統計至1</w:t>
      </w:r>
      <w:r w:rsidRPr="00C3310F">
        <w:t>13</w:t>
      </w:r>
      <w:r w:rsidRPr="00C3310F">
        <w:rPr>
          <w:rFonts w:hint="eastAsia"/>
        </w:rPr>
        <w:t>年5月15日止，共計通報Google公司限期改善處分57次、5</w:t>
      </w:r>
      <w:r w:rsidRPr="00C3310F">
        <w:t>,</w:t>
      </w:r>
      <w:r w:rsidRPr="00C3310F">
        <w:rPr>
          <w:rFonts w:hint="eastAsia"/>
        </w:rPr>
        <w:t>543則；通報Meta公司限期改善處分54次、1</w:t>
      </w:r>
      <w:r w:rsidRPr="00C3310F">
        <w:t>0</w:t>
      </w:r>
      <w:r w:rsidRPr="00C3310F">
        <w:rPr>
          <w:rFonts w:hint="eastAsia"/>
        </w:rPr>
        <w:t>萬9</w:t>
      </w:r>
      <w:r w:rsidRPr="00C3310F">
        <w:t>,</w:t>
      </w:r>
      <w:r w:rsidRPr="00C3310F">
        <w:rPr>
          <w:rFonts w:hint="eastAsia"/>
        </w:rPr>
        <w:t>672則。上述通報，網路平臺業者均依限（24小時內）完成下架，故無裁罰之個案。</w:t>
      </w:r>
    </w:p>
    <w:p w14:paraId="370832DE" w14:textId="77777777" w:rsidR="000B1C3C" w:rsidRPr="00C3310F" w:rsidRDefault="000B1C3C" w:rsidP="000B1C3C">
      <w:pPr>
        <w:pStyle w:val="5"/>
      </w:pPr>
      <w:r w:rsidRPr="00C3310F">
        <w:rPr>
          <w:rFonts w:hint="eastAsia"/>
        </w:rPr>
        <w:t>有關詐欺集團冒用名人進行投資詐欺廣告部分，係依</w:t>
      </w:r>
      <w:bookmarkStart w:id="972" w:name="_Hlk170896937"/>
      <w:r w:rsidRPr="00C3310F">
        <w:rPr>
          <w:rFonts w:hint="eastAsia"/>
        </w:rPr>
        <w:t>臉書使用政策，由Meta公司進行審核處置</w:t>
      </w:r>
      <w:bookmarkEnd w:id="972"/>
      <w:r w:rsidRPr="00C3310F">
        <w:rPr>
          <w:rFonts w:hint="eastAsia"/>
        </w:rPr>
        <w:t>，此部分非經綠色通道處理。</w:t>
      </w:r>
    </w:p>
    <w:p w14:paraId="5094456A" w14:textId="77777777" w:rsidR="000B1C3C" w:rsidRPr="00C3310F" w:rsidRDefault="000B1C3C" w:rsidP="000B1C3C">
      <w:pPr>
        <w:pStyle w:val="5"/>
      </w:pPr>
      <w:r w:rsidRPr="00C3310F">
        <w:rPr>
          <w:rFonts w:hint="eastAsia"/>
        </w:rPr>
        <w:t>警政署建議，民眾如欲檢舉投資詐欺廣告，可向警政署165全民防騙官網/檢舉詐騙廣告專區提出檢舉，如民眾認為平臺資訊涉及詐欺等情，可輸</w:t>
      </w:r>
      <w:r w:rsidR="00AC04D8" w:rsidRPr="00C3310F">
        <w:rPr>
          <w:rFonts w:hint="eastAsia"/>
        </w:rPr>
        <w:t>入</w:t>
      </w:r>
      <w:r w:rsidRPr="00C3310F">
        <w:rPr>
          <w:rFonts w:hint="eastAsia"/>
        </w:rPr>
        <w:t>檢舉專區相關資訊，並檢附完整資料及說明爭點，經警政署審核後移請Meta公司複審下架。</w:t>
      </w:r>
    </w:p>
    <w:p w14:paraId="6337DA62" w14:textId="2DEBA345" w:rsidR="000B1C3C" w:rsidRPr="00C3310F" w:rsidRDefault="000B1C3C" w:rsidP="000B1C3C">
      <w:pPr>
        <w:pStyle w:val="5"/>
      </w:pPr>
      <w:r w:rsidRPr="00C3310F">
        <w:rPr>
          <w:rFonts w:hint="eastAsia"/>
        </w:rPr>
        <w:t>雖目前數位平臺業者均依限（24小時內）下架警方所通報之涉詐廣告，惟相關處分均未合法送達，處分所載之期限均未起算，若業者拒不配合下架，縱超過處分所載之時效，亦無法依</w:t>
      </w:r>
      <w:r w:rsidR="00A54BF8" w:rsidRPr="00C3310F">
        <w:rPr>
          <w:rFonts w:hint="eastAsia"/>
        </w:rPr>
        <w:t>證券投</w:t>
      </w:r>
      <w:r w:rsidR="00A54BF8" w:rsidRPr="00C3310F">
        <w:rPr>
          <w:rFonts w:hint="eastAsia"/>
        </w:rPr>
        <w:lastRenderedPageBreak/>
        <w:t>資信託及顧問法(下稱</w:t>
      </w:r>
      <w:r w:rsidRPr="00C3310F">
        <w:rPr>
          <w:rFonts w:hint="eastAsia"/>
        </w:rPr>
        <w:t>投顧法</w:t>
      </w:r>
      <w:r w:rsidR="00A54BF8" w:rsidRPr="00C3310F">
        <w:t>)</w:t>
      </w:r>
      <w:r w:rsidRPr="00C3310F">
        <w:rPr>
          <w:rFonts w:hint="eastAsia"/>
        </w:rPr>
        <w:t>第113條之1裁罰業者，行政罰之規制效力大打折扣，更遑論發揮督促業者源頭自律之效果，故目前網路平臺業者僅被動接受警方通知配合下架，依前所述新法施行後警方已蒐報下架廣告超過10萬則，惟曾遭通報下架之詐騙廣告文案仍重複上架，多次聲明遭仿冒之名人，仍被利用為詐騙廣告之題材，數位平臺仍可見詐騙廣告充斥叢生。</w:t>
      </w:r>
    </w:p>
    <w:p w14:paraId="70C1CA80" w14:textId="77777777" w:rsidR="000B1C3C" w:rsidRPr="00C3310F" w:rsidRDefault="000B1C3C" w:rsidP="000B1C3C">
      <w:pPr>
        <w:pStyle w:val="5"/>
      </w:pPr>
      <w:r w:rsidRPr="00C3310F">
        <w:rPr>
          <w:rFonts w:hint="eastAsia"/>
        </w:rPr>
        <w:t>警政署指出，網路平臺業者均係跨國營運，於我國境內均未落地，難以要求境外業者遵循我國法律，警察機關於偵辦上更難調閱取得相關資料，致歹徒利用網路通訊犯罪時，形成偵查斷點，難以溯源。</w:t>
      </w:r>
    </w:p>
    <w:p w14:paraId="558275BA" w14:textId="237202BC" w:rsidR="000B1C3C" w:rsidRPr="00C3310F" w:rsidRDefault="000B1C3C" w:rsidP="000B1C3C">
      <w:pPr>
        <w:pStyle w:val="5"/>
      </w:pPr>
      <w:r w:rsidRPr="00C3310F">
        <w:rPr>
          <w:rFonts w:hint="eastAsia"/>
        </w:rPr>
        <w:t>165全民防騙官網「檢舉詐騙廣告」專區，係因應</w:t>
      </w:r>
      <w:r w:rsidR="00D82B1C" w:rsidRPr="00C3310F">
        <w:rPr>
          <w:rFonts w:hint="eastAsia"/>
        </w:rPr>
        <w:t>金管會</w:t>
      </w:r>
      <w:r w:rsidRPr="00C3310F">
        <w:rPr>
          <w:rFonts w:hint="eastAsia"/>
        </w:rPr>
        <w:t>訂定投顧法第7</w:t>
      </w:r>
      <w:r w:rsidRPr="00C3310F">
        <w:t>0</w:t>
      </w:r>
      <w:r w:rsidRPr="00C3310F">
        <w:rPr>
          <w:rFonts w:hint="eastAsia"/>
        </w:rPr>
        <w:t>之1條而增設，民眾提供內容如非投資詐騙廣告或本人臉書、粉專遭冒用情形，則非165專區得通報之範疇。</w:t>
      </w:r>
    </w:p>
    <w:p w14:paraId="08EB49B3" w14:textId="09C19F98" w:rsidR="000B1C3C" w:rsidRPr="00C3310F" w:rsidRDefault="000B1C3C" w:rsidP="000B1C3C">
      <w:pPr>
        <w:pStyle w:val="5"/>
      </w:pPr>
      <w:r w:rsidRPr="00C3310F">
        <w:rPr>
          <w:rFonts w:hint="eastAsia"/>
        </w:rPr>
        <w:t>至於「一頁式廣告詐騙」，其性質應屬網站而非廣告，且網站刊登內容通常涉及商標侵權或網路購物詐欺之態樣，與目前</w:t>
      </w:r>
      <w:r w:rsidRPr="00C3310F">
        <w:t>TWNIC</w:t>
      </w:r>
      <w:r w:rsidRPr="00C3310F">
        <w:rPr>
          <w:rFonts w:hint="eastAsia"/>
        </w:rPr>
        <w:t>授權警政署得通報網站停止解析之處理範圍（假投資、假冒政府機關、釣魚網站）不符，僅得以向法院聲請扣押裁定方式停止解析相關網域。</w:t>
      </w:r>
    </w:p>
    <w:p w14:paraId="4577056F" w14:textId="77777777" w:rsidR="000B1C3C" w:rsidRPr="00C3310F" w:rsidRDefault="000B1C3C" w:rsidP="000B1C3C">
      <w:pPr>
        <w:pStyle w:val="5"/>
      </w:pPr>
      <w:r w:rsidRPr="00C3310F">
        <w:rPr>
          <w:rFonts w:hint="eastAsia"/>
        </w:rPr>
        <w:t>另「假求職、真收簿」犯罪態樣多係以貼文方式為之，縱以廣告形式刊播，亦非投顧法之禁止範疇，目前警政署係自行蒐報，針對已有發生被害案件之貼文，送請臉書公司依其社群使用守則移除。</w:t>
      </w:r>
    </w:p>
    <w:p w14:paraId="02185004" w14:textId="199724B5" w:rsidR="000B1C3C" w:rsidRPr="00C3310F" w:rsidRDefault="000B1C3C" w:rsidP="000B1C3C">
      <w:pPr>
        <w:pStyle w:val="4"/>
        <w:rPr>
          <w:rFonts w:hAnsi="標楷體"/>
        </w:rPr>
      </w:pPr>
      <w:r w:rsidRPr="00C3310F">
        <w:rPr>
          <w:rFonts w:hint="eastAsia"/>
        </w:rPr>
        <w:t>本院於112</w:t>
      </w:r>
      <w:r w:rsidRPr="00C3310F">
        <w:rPr>
          <w:rFonts w:hAnsi="標楷體" w:hint="eastAsia"/>
        </w:rPr>
        <w:t>年12月15日履勘</w:t>
      </w:r>
      <w:r w:rsidR="00DF3BE8" w:rsidRPr="00C3310F">
        <w:rPr>
          <w:rFonts w:hAnsi="標楷體" w:hint="eastAsia"/>
        </w:rPr>
        <w:t>LINE</w:t>
      </w:r>
      <w:r w:rsidRPr="00C3310F">
        <w:rPr>
          <w:rFonts w:hAnsi="標楷體" w:hint="eastAsia"/>
        </w:rPr>
        <w:t>公司，該公司特針對「投資詐騙</w:t>
      </w:r>
      <w:r w:rsidRPr="00C3310F">
        <w:rPr>
          <w:rFonts w:hAnsi="標楷體" w:cs="Microsoft YaHei" w:hint="eastAsia"/>
        </w:rPr>
        <w:t>高</w:t>
      </w:r>
      <w:r w:rsidRPr="00C3310F">
        <w:rPr>
          <w:rFonts w:hAnsi="標楷體" w:cs="標楷體" w:hint="eastAsia"/>
        </w:rPr>
        <w:t>風險商業帳號檢舉」下架聯防機制</w:t>
      </w:r>
      <w:r w:rsidRPr="00C3310F">
        <w:rPr>
          <w:rFonts w:hAnsi="標楷體" w:cs="標楷體" w:hint="eastAsia"/>
        </w:rPr>
        <w:lastRenderedPageBreak/>
        <w:t>及「投資詐騙刑事案件通報」下架機制提出說明，顯示</w:t>
      </w:r>
      <w:r w:rsidR="00DF3BE8" w:rsidRPr="00C3310F">
        <w:rPr>
          <w:rFonts w:hAnsi="標楷體" w:hint="eastAsia"/>
        </w:rPr>
        <w:t>LINE</w:t>
      </w:r>
      <w:r w:rsidRPr="00C3310F">
        <w:rPr>
          <w:rFonts w:hAnsi="標楷體" w:hint="eastAsia"/>
        </w:rPr>
        <w:t>在保障用</w:t>
      </w:r>
      <w:r w:rsidR="00AC04D8" w:rsidRPr="00C3310F">
        <w:rPr>
          <w:rFonts w:hAnsi="標楷體" w:hint="eastAsia"/>
        </w:rPr>
        <w:t>戶</w:t>
      </w:r>
      <w:r w:rsidRPr="00C3310F">
        <w:rPr>
          <w:rFonts w:hAnsi="標楷體" w:hint="eastAsia"/>
        </w:rPr>
        <w:t>隱私之虞，亦有因應相關機關需求建置封鎖下架機制</w:t>
      </w:r>
      <w:r w:rsidRPr="00C3310F">
        <w:rPr>
          <w:rFonts w:hAnsi="標楷體" w:cs="標楷體" w:hint="eastAsia"/>
        </w:rPr>
        <w:t>。</w:t>
      </w:r>
    </w:p>
    <w:p w14:paraId="79C25103" w14:textId="6F49041F" w:rsidR="000B1C3C" w:rsidRPr="00C3310F" w:rsidRDefault="000B1C3C" w:rsidP="000B1C3C">
      <w:pPr>
        <w:pStyle w:val="5"/>
        <w:ind w:leftChars="351" w:left="2044"/>
        <w:rPr>
          <w:rFonts w:hAnsi="標楷體"/>
        </w:rPr>
      </w:pPr>
      <w:r w:rsidRPr="00C3310F">
        <w:rPr>
          <w:rFonts w:hAnsi="標楷體" w:hint="eastAsia"/>
        </w:rPr>
        <w:t>在「投資詐騙</w:t>
      </w:r>
      <w:r w:rsidRPr="00C3310F">
        <w:rPr>
          <w:rFonts w:hAnsi="標楷體" w:cs="Microsoft YaHei" w:hint="eastAsia"/>
        </w:rPr>
        <w:t>高</w:t>
      </w:r>
      <w:r w:rsidRPr="00C3310F">
        <w:rPr>
          <w:rFonts w:hAnsi="標楷體" w:cs="標楷體" w:hint="eastAsia"/>
        </w:rPr>
        <w:t>風險商業帳號檢舉」下架聯防機制主要有三大部分，其機制圖如下圖</w:t>
      </w:r>
      <w:r w:rsidR="004B77B6" w:rsidRPr="00C3310F">
        <w:rPr>
          <w:rFonts w:hAnsi="標楷體" w:cs="標楷體" w:hint="eastAsia"/>
        </w:rPr>
        <w:t>13</w:t>
      </w:r>
      <w:r w:rsidRPr="00C3310F">
        <w:rPr>
          <w:rFonts w:hAnsi="標楷體" w:cs="標楷體" w:hint="eastAsia"/>
        </w:rPr>
        <w:t>：主要特點為「</w:t>
      </w:r>
      <w:r w:rsidRPr="00C3310F">
        <w:rPr>
          <w:rFonts w:hAnsi="標楷體" w:hint="eastAsia"/>
        </w:rPr>
        <w:t>超前部署」，在投資詐騙</w:t>
      </w:r>
      <w:r w:rsidRPr="00C3310F">
        <w:rPr>
          <w:rFonts w:hAnsi="標楷體" w:cs="Microsoft YaHei" w:hint="eastAsia"/>
        </w:rPr>
        <w:t>行</w:t>
      </w:r>
      <w:r w:rsidRPr="00C3310F">
        <w:rPr>
          <w:rFonts w:hAnsi="標楷體" w:cs="標楷體" w:hint="eastAsia"/>
        </w:rPr>
        <w:t>為未發生前即封鎖投資廣告相關</w:t>
      </w:r>
      <w:r w:rsidR="00DF3BE8" w:rsidRPr="00C3310F">
        <w:rPr>
          <w:rFonts w:hAnsi="標楷體"/>
        </w:rPr>
        <w:t>LINE</w:t>
      </w:r>
      <w:r w:rsidRPr="00C3310F">
        <w:rPr>
          <w:rFonts w:hAnsi="標楷體"/>
        </w:rPr>
        <w:t xml:space="preserve"> </w:t>
      </w:r>
      <w:r w:rsidRPr="00C3310F">
        <w:rPr>
          <w:rFonts w:hAnsi="標楷體" w:hint="eastAsia"/>
        </w:rPr>
        <w:t>帳號；其次為「公私協力」，執法單位及</w:t>
      </w:r>
      <w:r w:rsidR="00DF3BE8" w:rsidRPr="00C3310F">
        <w:rPr>
          <w:rFonts w:hAnsi="標楷體"/>
        </w:rPr>
        <w:t>LINE</w:t>
      </w:r>
      <w:r w:rsidRPr="00C3310F">
        <w:rPr>
          <w:rFonts w:hAnsi="標楷體" w:hint="eastAsia"/>
        </w:rPr>
        <w:t>合作建</w:t>
      </w:r>
      <w:r w:rsidRPr="00C3310F">
        <w:rPr>
          <w:rFonts w:hAnsi="標楷體" w:cs="Microsoft YaHei" w:hint="eastAsia"/>
        </w:rPr>
        <w:t>立</w:t>
      </w:r>
      <w:r w:rsidRPr="00C3310F">
        <w:rPr>
          <w:rFonts w:hAnsi="標楷體" w:cs="標楷體" w:hint="eastAsia"/>
        </w:rPr>
        <w:t>詐騙廣告聯防機制，共同打擊投資詐騙；最後是「權益保障」，</w:t>
      </w:r>
      <w:r w:rsidRPr="00C3310F">
        <w:rPr>
          <w:rFonts w:hAnsi="標楷體" w:hint="eastAsia"/>
        </w:rPr>
        <w:t>兼顧保障一</w:t>
      </w:r>
      <w:r w:rsidRPr="00C3310F">
        <w:rPr>
          <w:rFonts w:hAnsi="標楷體" w:cs="標楷體" w:hint="eastAsia"/>
        </w:rPr>
        <w:t>般使</w:t>
      </w:r>
      <w:r w:rsidRPr="00C3310F">
        <w:rPr>
          <w:rFonts w:hAnsi="標楷體" w:cs="Microsoft YaHei" w:hint="eastAsia"/>
        </w:rPr>
        <w:t>用</w:t>
      </w:r>
      <w:r w:rsidRPr="00C3310F">
        <w:rPr>
          <w:rFonts w:hAnsi="標楷體" w:cs="標楷體" w:hint="eastAsia"/>
        </w:rPr>
        <w:t>者權益，於打擊投資詐騙及消費者權益保障間取得平</w:t>
      </w:r>
      <w:r w:rsidRPr="00C3310F">
        <w:rPr>
          <w:rFonts w:hAnsi="標楷體" w:hint="eastAsia"/>
        </w:rPr>
        <w:t>衡。</w:t>
      </w:r>
    </w:p>
    <w:p w14:paraId="2EAADCB3" w14:textId="77777777" w:rsidR="000B1C3C" w:rsidRPr="00C3310F" w:rsidRDefault="000B1C3C" w:rsidP="000B1C3C">
      <w:pPr>
        <w:pStyle w:val="5"/>
        <w:numPr>
          <w:ilvl w:val="0"/>
          <w:numId w:val="0"/>
        </w:numPr>
        <w:ind w:left="284"/>
        <w:rPr>
          <w:rFonts w:hAnsi="標楷體"/>
        </w:rPr>
      </w:pPr>
      <w:r w:rsidRPr="00C3310F">
        <w:rPr>
          <w:noProof/>
        </w:rPr>
        <w:drawing>
          <wp:inline distT="0" distB="0" distL="0" distR="0" wp14:anchorId="6861706A" wp14:editId="7D228332">
            <wp:extent cx="5615940" cy="2158365"/>
            <wp:effectExtent l="19050" t="19050" r="22860" b="13335"/>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5615940" cy="2158365"/>
                    </a:xfrm>
                    <a:prstGeom prst="rect">
                      <a:avLst/>
                    </a:prstGeom>
                    <a:ln>
                      <a:solidFill>
                        <a:schemeClr val="tx1"/>
                      </a:solidFill>
                    </a:ln>
                  </pic:spPr>
                </pic:pic>
              </a:graphicData>
            </a:graphic>
          </wp:inline>
        </w:drawing>
      </w:r>
    </w:p>
    <w:p w14:paraId="6BE18C20" w14:textId="541412FA" w:rsidR="000B1C3C" w:rsidRPr="00C3310F" w:rsidRDefault="00DF3BE8" w:rsidP="000B1C3C">
      <w:pPr>
        <w:pStyle w:val="a1"/>
        <w:spacing w:after="120"/>
        <w:rPr>
          <w:rFonts w:hAnsi="標楷體"/>
          <w:b/>
        </w:rPr>
      </w:pPr>
      <w:bookmarkStart w:id="973" w:name="_Toc172025266"/>
      <w:r w:rsidRPr="00C3310F">
        <w:rPr>
          <w:rFonts w:hAnsi="標楷體" w:hint="eastAsia"/>
          <w:b/>
        </w:rPr>
        <w:t>LINE</w:t>
      </w:r>
      <w:r w:rsidR="000B1C3C" w:rsidRPr="00C3310F">
        <w:rPr>
          <w:rFonts w:hAnsi="標楷體" w:hint="eastAsia"/>
          <w:b/>
        </w:rPr>
        <w:t>公司投資詐騙高風險商業帳號檢舉下架聯防機制</w:t>
      </w:r>
      <w:bookmarkEnd w:id="973"/>
    </w:p>
    <w:p w14:paraId="46C9A44E" w14:textId="3AA950EA" w:rsidR="000B1C3C" w:rsidRPr="00C3310F" w:rsidRDefault="000B1C3C" w:rsidP="000B1C3C">
      <w:pPr>
        <w:spacing w:afterLines="50" w:after="228"/>
        <w:rPr>
          <w:sz w:val="28"/>
        </w:rPr>
      </w:pPr>
      <w:r w:rsidRPr="00C3310F">
        <w:rPr>
          <w:rFonts w:hint="eastAsia"/>
          <w:sz w:val="28"/>
        </w:rPr>
        <w:t>資料來源:</w:t>
      </w:r>
      <w:r w:rsidR="00DF3BE8" w:rsidRPr="00C3310F">
        <w:rPr>
          <w:rFonts w:hint="eastAsia"/>
          <w:sz w:val="28"/>
        </w:rPr>
        <w:t>LINE</w:t>
      </w:r>
      <w:r w:rsidRPr="00C3310F">
        <w:rPr>
          <w:rFonts w:hint="eastAsia"/>
          <w:sz w:val="28"/>
        </w:rPr>
        <w:t>公司</w:t>
      </w:r>
    </w:p>
    <w:p w14:paraId="40B127C4" w14:textId="0C920650" w:rsidR="000B1C3C" w:rsidRPr="00C3310F" w:rsidRDefault="000B1C3C" w:rsidP="000B1C3C">
      <w:pPr>
        <w:pStyle w:val="5"/>
      </w:pPr>
      <w:r w:rsidRPr="00C3310F">
        <w:rPr>
          <w:rFonts w:hAnsi="標楷體" w:cs="標楷體" w:hint="eastAsia"/>
        </w:rPr>
        <w:t>「投資詐騙刑事案件通報」下架機制主要有兩大部分，其機制圖如下圖</w:t>
      </w:r>
      <w:r w:rsidR="004B77B6" w:rsidRPr="00C3310F">
        <w:rPr>
          <w:rFonts w:hAnsi="標楷體" w:cs="標楷體" w:hint="eastAsia"/>
        </w:rPr>
        <w:t>14</w:t>
      </w:r>
      <w:r w:rsidRPr="00C3310F">
        <w:rPr>
          <w:rFonts w:hAnsi="標楷體" w:cs="標楷體" w:hint="eastAsia"/>
        </w:rPr>
        <w:t>，特點包括「</w:t>
      </w:r>
      <w:r w:rsidRPr="00C3310F">
        <w:rPr>
          <w:rFonts w:hint="eastAsia"/>
        </w:rPr>
        <w:t>公私協力」，</w:t>
      </w:r>
      <w:r w:rsidRPr="00C3310F">
        <w:rPr>
          <w:rFonts w:hAnsi="標楷體" w:hint="eastAsia"/>
        </w:rPr>
        <w:t>結合CIB</w:t>
      </w:r>
      <w:r w:rsidR="00A54BF8" w:rsidRPr="00C3310F">
        <w:rPr>
          <w:rFonts w:hAnsi="標楷體"/>
        </w:rPr>
        <w:t>(警政署刑事警察局)</w:t>
      </w:r>
      <w:r w:rsidRPr="00C3310F">
        <w:rPr>
          <w:rFonts w:hAnsi="標楷體" w:hint="eastAsia"/>
        </w:rPr>
        <w:t>及</w:t>
      </w:r>
      <w:r w:rsidR="00DF3BE8" w:rsidRPr="00C3310F">
        <w:rPr>
          <w:rFonts w:hAnsi="標楷體" w:hint="eastAsia"/>
        </w:rPr>
        <w:t>LINE</w:t>
      </w:r>
      <w:r w:rsidRPr="00C3310F">
        <w:rPr>
          <w:rFonts w:hAnsi="標楷體" w:hint="eastAsia"/>
        </w:rPr>
        <w:t>資訊，針對投資詐騙涉案帳號聯防下架，避免損失擴大；其次為「權益保障」，避免錯誤封鎖一般使用者帳號，平衡打擊投</w:t>
      </w:r>
      <w:r w:rsidRPr="00C3310F">
        <w:rPr>
          <w:rFonts w:hint="eastAsia"/>
        </w:rPr>
        <w:t>資詐騙及使用者權益保障之需求。</w:t>
      </w:r>
    </w:p>
    <w:p w14:paraId="674F6577" w14:textId="77777777" w:rsidR="000B1C3C" w:rsidRPr="00C3310F" w:rsidRDefault="000B1C3C" w:rsidP="000B1C3C">
      <w:pPr>
        <w:pStyle w:val="5"/>
        <w:numPr>
          <w:ilvl w:val="0"/>
          <w:numId w:val="0"/>
        </w:numPr>
        <w:ind w:left="-142"/>
      </w:pPr>
      <w:r w:rsidRPr="00C3310F">
        <w:rPr>
          <w:noProof/>
        </w:rPr>
        <w:lastRenderedPageBreak/>
        <w:drawing>
          <wp:inline distT="0" distB="0" distL="0" distR="0" wp14:anchorId="30101C90" wp14:editId="75247C7A">
            <wp:extent cx="5615940" cy="1926688"/>
            <wp:effectExtent l="19050" t="19050" r="22860" b="1651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5615940" cy="1926688"/>
                    </a:xfrm>
                    <a:prstGeom prst="rect">
                      <a:avLst/>
                    </a:prstGeom>
                    <a:ln>
                      <a:solidFill>
                        <a:schemeClr val="tx1"/>
                      </a:solidFill>
                    </a:ln>
                  </pic:spPr>
                </pic:pic>
              </a:graphicData>
            </a:graphic>
          </wp:inline>
        </w:drawing>
      </w:r>
    </w:p>
    <w:p w14:paraId="6BF46935" w14:textId="47A0FF86" w:rsidR="000B1C3C" w:rsidRPr="00C3310F" w:rsidRDefault="00DF3BE8" w:rsidP="000B1C3C">
      <w:pPr>
        <w:pStyle w:val="a1"/>
        <w:spacing w:after="120"/>
        <w:ind w:left="482" w:hanging="482"/>
        <w:rPr>
          <w:rFonts w:hint="eastAsia"/>
          <w:b/>
        </w:rPr>
      </w:pPr>
      <w:bookmarkStart w:id="974" w:name="_Toc172025267"/>
      <w:r w:rsidRPr="00C3310F">
        <w:rPr>
          <w:rFonts w:hint="eastAsia"/>
          <w:b/>
        </w:rPr>
        <w:t>LINE</w:t>
      </w:r>
      <w:r w:rsidR="000B1C3C" w:rsidRPr="00C3310F">
        <w:rPr>
          <w:rFonts w:hint="eastAsia"/>
          <w:b/>
        </w:rPr>
        <w:t>公司投資詐騙刑事案件通報」下架機制</w:t>
      </w:r>
      <w:bookmarkEnd w:id="974"/>
    </w:p>
    <w:p w14:paraId="1A751470" w14:textId="35302051" w:rsidR="000B1C3C" w:rsidRPr="00C3310F" w:rsidRDefault="000B1C3C" w:rsidP="000B1C3C">
      <w:pPr>
        <w:spacing w:afterLines="50" w:after="228"/>
        <w:rPr>
          <w:sz w:val="28"/>
        </w:rPr>
      </w:pPr>
      <w:r w:rsidRPr="00C3310F">
        <w:rPr>
          <w:rFonts w:hint="eastAsia"/>
          <w:sz w:val="28"/>
        </w:rPr>
        <w:t>資料來源：</w:t>
      </w:r>
      <w:r w:rsidR="00DF3BE8" w:rsidRPr="00C3310F">
        <w:rPr>
          <w:rFonts w:hint="eastAsia"/>
          <w:sz w:val="28"/>
        </w:rPr>
        <w:t>LINE</w:t>
      </w:r>
      <w:r w:rsidRPr="00C3310F">
        <w:rPr>
          <w:rFonts w:hint="eastAsia"/>
          <w:sz w:val="28"/>
        </w:rPr>
        <w:t>公司</w:t>
      </w:r>
    </w:p>
    <w:p w14:paraId="189DBBAC" w14:textId="0D76F5F8" w:rsidR="000B1C3C" w:rsidRPr="00C3310F" w:rsidRDefault="00AC04D8" w:rsidP="000B1C3C">
      <w:pPr>
        <w:pStyle w:val="4"/>
      </w:pPr>
      <w:r w:rsidRPr="00C3310F">
        <w:rPr>
          <w:rFonts w:hint="eastAsia"/>
        </w:rPr>
        <w:t>就政府目前在數位</w:t>
      </w:r>
      <w:r w:rsidR="0004575A" w:rsidRPr="00C3310F">
        <w:rPr>
          <w:rFonts w:hint="eastAsia"/>
        </w:rPr>
        <w:t>平臺</w:t>
      </w:r>
      <w:r w:rsidRPr="00C3310F">
        <w:rPr>
          <w:rFonts w:hint="eastAsia"/>
        </w:rPr>
        <w:t>方面之打詐措施，</w:t>
      </w:r>
      <w:r w:rsidR="000B1C3C" w:rsidRPr="00C3310F">
        <w:rPr>
          <w:rFonts w:hint="eastAsia"/>
        </w:rPr>
        <w:t>由於Facebook或</w:t>
      </w:r>
      <w:r w:rsidR="00DF3BE8" w:rsidRPr="00C3310F">
        <w:rPr>
          <w:rFonts w:hint="eastAsia"/>
        </w:rPr>
        <w:t>LINE</w:t>
      </w:r>
      <w:r w:rsidR="000B1C3C" w:rsidRPr="00C3310F">
        <w:rPr>
          <w:rFonts w:hint="eastAsia"/>
        </w:rPr>
        <w:t>每日之訊息、貼文或廣告數量查無公開資料，難以具體分析「綠色通道」或「紅色通道」對於降低民眾接觸詐騙訊息之效益，但根據通傳會「112年通訊傳播市場報告」，</w:t>
      </w:r>
      <w:r w:rsidR="000B1C3C" w:rsidRPr="00C3310F">
        <w:rPr>
          <w:rFonts w:hint="eastAsia"/>
          <w:strike/>
        </w:rPr>
        <w:t xml:space="preserve"> </w:t>
      </w:r>
      <w:r w:rsidR="000B1C3C" w:rsidRPr="00C3310F">
        <w:rPr>
          <w:rFonts w:hint="eastAsia"/>
        </w:rPr>
        <w:t>民眾擁「有」社群媒體或即時通訊帳號者，自106年的83.6%逐年成長至112年的99.5%；且「2023年台灣網路報告」指出18至39歲民眾社群媒體使用率均在95%以上，故以警政署「綠色通道」每月透過網路巡邏或受理檢舉，向F</w:t>
      </w:r>
      <w:r w:rsidR="000B1C3C" w:rsidRPr="00C3310F">
        <w:t>acebook</w:t>
      </w:r>
      <w:r w:rsidR="000B1C3C" w:rsidRPr="00C3310F">
        <w:rPr>
          <w:rFonts w:hint="eastAsia"/>
        </w:rPr>
        <w:t>平均通報6</w:t>
      </w:r>
      <w:r w:rsidR="00852112" w:rsidRPr="00C3310F">
        <w:rPr>
          <w:rFonts w:hint="eastAsia"/>
        </w:rPr>
        <w:t>,</w:t>
      </w:r>
      <w:r w:rsidR="000B1C3C" w:rsidRPr="00C3310F">
        <w:rPr>
          <w:rFonts w:hint="eastAsia"/>
        </w:rPr>
        <w:t>855則</w:t>
      </w:r>
      <w:r w:rsidR="000B1C3C" w:rsidRPr="00C3310F">
        <w:rPr>
          <w:rStyle w:val="afe"/>
        </w:rPr>
        <w:footnoteReference w:id="85"/>
      </w:r>
      <w:r w:rsidR="000B1C3C" w:rsidRPr="00C3310F">
        <w:rPr>
          <w:rFonts w:hint="eastAsia"/>
        </w:rPr>
        <w:t>而言，仍可推測其效益相當有限，復以下架之後仍無機制可阻止其再度上架，宛如「貓捉老鼠」，造成堵詐工作事倍功半，而在通訊軟體部分，</w:t>
      </w:r>
      <w:r w:rsidR="00DF3BE8" w:rsidRPr="00C3310F">
        <w:rPr>
          <w:rFonts w:hint="eastAsia"/>
        </w:rPr>
        <w:t>LINE</w:t>
      </w:r>
      <w:r w:rsidR="000B1C3C" w:rsidRPr="00C3310F">
        <w:rPr>
          <w:rFonts w:hint="eastAsia"/>
        </w:rPr>
        <w:t>公司強調該公司主要屬於通訊軟體，與社群平臺網站多數訊息均屬公開之性質有異，調取資料方面涉及通信紀錄，故仍有資料保護強度相關考量。</w:t>
      </w:r>
    </w:p>
    <w:p w14:paraId="763564B0" w14:textId="27C6DD5F" w:rsidR="000B1C3C" w:rsidRPr="00C3310F" w:rsidRDefault="000B1C3C" w:rsidP="000B1C3C">
      <w:pPr>
        <w:pStyle w:val="4"/>
        <w:rPr>
          <w:bCs/>
        </w:rPr>
      </w:pPr>
      <w:r w:rsidRPr="00C3310F">
        <w:rPr>
          <w:rFonts w:hint="eastAsia"/>
        </w:rPr>
        <w:t>為推動數位</w:t>
      </w:r>
      <w:r w:rsidR="0004575A" w:rsidRPr="00C3310F">
        <w:rPr>
          <w:rFonts w:hint="eastAsia"/>
        </w:rPr>
        <w:t>平臺</w:t>
      </w:r>
      <w:r w:rsidRPr="00C3310F">
        <w:rPr>
          <w:rFonts w:hint="eastAsia"/>
        </w:rPr>
        <w:t>更向上游之溯源治理，</w:t>
      </w:r>
      <w:r w:rsidR="00B70A9A" w:rsidRPr="00C3310F">
        <w:rPr>
          <w:rFonts w:hint="eastAsia"/>
        </w:rPr>
        <w:t>立法</w:t>
      </w:r>
      <w:r w:rsidRPr="00C3310F">
        <w:rPr>
          <w:rFonts w:hint="eastAsia"/>
          <w:bCs/>
        </w:rPr>
        <w:t>院113年</w:t>
      </w:r>
      <w:r w:rsidR="00B70A9A" w:rsidRPr="00C3310F">
        <w:rPr>
          <w:rFonts w:hint="eastAsia"/>
          <w:bCs/>
        </w:rPr>
        <w:t>7</w:t>
      </w:r>
      <w:r w:rsidRPr="00C3310F">
        <w:rPr>
          <w:rFonts w:hint="eastAsia"/>
          <w:bCs/>
        </w:rPr>
        <w:t>月</w:t>
      </w:r>
      <w:r w:rsidR="00B70A9A" w:rsidRPr="00C3310F">
        <w:rPr>
          <w:rFonts w:hint="eastAsia"/>
          <w:bCs/>
        </w:rPr>
        <w:t>12</w:t>
      </w:r>
      <w:r w:rsidRPr="00C3310F">
        <w:rPr>
          <w:rFonts w:hint="eastAsia"/>
          <w:bCs/>
        </w:rPr>
        <w:t>日</w:t>
      </w:r>
      <w:r w:rsidR="00B70A9A" w:rsidRPr="00C3310F">
        <w:rPr>
          <w:rFonts w:hint="eastAsia"/>
          <w:bCs/>
        </w:rPr>
        <w:t>三讀</w:t>
      </w:r>
      <w:r w:rsidRPr="00C3310F">
        <w:rPr>
          <w:rFonts w:hint="eastAsia"/>
          <w:bCs/>
        </w:rPr>
        <w:t>通過《詐欺犯罪危害防制條例》，其</w:t>
      </w:r>
      <w:r w:rsidRPr="00C3310F">
        <w:rPr>
          <w:rFonts w:hint="eastAsia"/>
          <w:bCs/>
        </w:rPr>
        <w:lastRenderedPageBreak/>
        <w:t>中第30條規定網路廣告平臺業者對其網路廣告服務，應以數位簽章、快速身分識別機制或其他安全性相當之技術或方式驗證委託刊播者及出資者之身分，以降低偽冒他人名義刊登或推播廣告之潛在風險。</w:t>
      </w:r>
    </w:p>
    <w:p w14:paraId="79649E68" w14:textId="77777777" w:rsidR="000B1C3C" w:rsidRPr="00C3310F" w:rsidRDefault="000B1C3C" w:rsidP="000B1C3C">
      <w:pPr>
        <w:pStyle w:val="5"/>
      </w:pPr>
      <w:r w:rsidRPr="00C3310F">
        <w:rPr>
          <w:rFonts w:hint="eastAsia"/>
        </w:rPr>
        <w:t>因各國間存在數位落差，對於數位簽章相關技術的發展情形不一致，為避免跨國驗證技術對接上的困境，爰《詐欺犯罪危害防制條例》第30條規定以數位簽章、快速身分識別機制或其他安全性相當之技術或方式，達到驗證委託刊播者及出資者身分之目的，並避免實務上執行之困難，有效降低偽冒他人名義刊登或推播廣告之潛在風險。</w:t>
      </w:r>
    </w:p>
    <w:p w14:paraId="241E0055" w14:textId="77777777" w:rsidR="000B1C3C" w:rsidRPr="00C3310F" w:rsidRDefault="000B1C3C" w:rsidP="000B1C3C">
      <w:pPr>
        <w:pStyle w:val="5"/>
      </w:pPr>
      <w:r w:rsidRPr="00C3310F">
        <w:rPr>
          <w:rFonts w:hint="eastAsia"/>
        </w:rPr>
        <w:t>為解決過去未落地之境外平臺無法納管問題，《詐欺犯罪危害防制條例》第29條規定，網路廣告平臺業者及其代表人於中華民國無營業所或住居所，且未設立分公司者，網路廣告平臺業者應以書面指定中華民國境內我國國民、依法登記之法人或設有代表人或管理人之非法人團體為其法律代表，並向數位經濟相關產業主管機關提報法律代表之姓名、名稱、住居所、事務所或營業所、電話及電子郵件信箱，以利文書送達及協助執行防詐措施法令遵循事項，並已研擬相關罰則。</w:t>
      </w:r>
    </w:p>
    <w:p w14:paraId="2DFF7CCB" w14:textId="77777777" w:rsidR="000B1C3C" w:rsidRPr="00C3310F" w:rsidRDefault="000B1C3C" w:rsidP="000B1C3C">
      <w:pPr>
        <w:pStyle w:val="5"/>
      </w:pPr>
      <w:r w:rsidRPr="00C3310F">
        <w:rPr>
          <w:rFonts w:hint="eastAsia"/>
        </w:rPr>
        <w:t>至於廣告在境外上架，所採取之防詐管理措施，如前所述，《詐欺犯罪危害防制條例》第30條規定網路廣告平臺業者對其網路廣告服務，應以數位簽章、快速身分識別機制或其他安全性相當之技術或方式驗證委託刊播者及出資者之身分，以降低偽冒他人名義刊登或推播廣告之潛</w:t>
      </w:r>
      <w:r w:rsidRPr="00C3310F">
        <w:rPr>
          <w:rFonts w:hint="eastAsia"/>
        </w:rPr>
        <w:lastRenderedPageBreak/>
        <w:t>在風險。</w:t>
      </w:r>
    </w:p>
    <w:p w14:paraId="3D634F43" w14:textId="1FFFC87E" w:rsidR="000B1C3C" w:rsidRPr="00C3310F" w:rsidRDefault="000B1C3C" w:rsidP="000B1C3C">
      <w:pPr>
        <w:pStyle w:val="4"/>
      </w:pPr>
      <w:r w:rsidRPr="00C3310F">
        <w:rPr>
          <w:rFonts w:hint="eastAsia"/>
        </w:rPr>
        <w:t>至於</w:t>
      </w:r>
      <w:r w:rsidR="00D82B1C" w:rsidRPr="00C3310F">
        <w:rPr>
          <w:rFonts w:hint="eastAsia"/>
        </w:rPr>
        <w:t>數發部</w:t>
      </w:r>
      <w:r w:rsidRPr="00C3310F">
        <w:rPr>
          <w:rFonts w:hint="eastAsia"/>
        </w:rPr>
        <w:t>已協調</w:t>
      </w:r>
      <w:r w:rsidR="00FF1495" w:rsidRPr="00C3310F">
        <w:rPr>
          <w:rFonts w:hint="eastAsia"/>
        </w:rPr>
        <w:t>T</w:t>
      </w:r>
      <w:r w:rsidR="00FF1495" w:rsidRPr="00C3310F">
        <w:t>WNIC</w:t>
      </w:r>
      <w:r w:rsidRPr="00C3310F">
        <w:rPr>
          <w:rFonts w:hint="eastAsia"/>
        </w:rPr>
        <w:t>推動DNS RPZ 1.5透明度：為加速緊急案件處理，TWNIC DNS RPZ（Response Policy Zones）1.5自律機制，針對高檢署、警調機關、</w:t>
      </w:r>
      <w:r w:rsidR="00D82B1C" w:rsidRPr="00C3310F">
        <w:rPr>
          <w:rFonts w:hint="eastAsia"/>
        </w:rPr>
        <w:t>數發部</w:t>
      </w:r>
      <w:r w:rsidRPr="00C3310F">
        <w:rPr>
          <w:rFonts w:hint="eastAsia"/>
        </w:rPr>
        <w:t>數產署等單位認定「選舉期間執法機構緊急申請、重大金融犯罪緊急申請、假冒中央二級公務機關網站、詐騙網站(含電商聯防)」等4種重大案件緊急向TWNIC提出申請，可啟動該機制執行網域名稱限制接取，經統計TWNIC攔阻此類網域名稱之件數110年至111年計2,975件，112年至113年4月底計44,903件。惟</w:t>
      </w:r>
      <w:r w:rsidR="00D82B1C" w:rsidRPr="00C3310F">
        <w:rPr>
          <w:rFonts w:hint="eastAsia"/>
        </w:rPr>
        <w:t>數發部</w:t>
      </w:r>
      <w:r w:rsidRPr="00C3310F">
        <w:rPr>
          <w:rFonts w:hint="eastAsia"/>
        </w:rPr>
        <w:t>亦坦承，網路無國界，現行個人及組織在世界各地申請註冊網域名稱(網站)或經限制接取後更換網域名稱成本低廉，且有關詐騙網站於境外註冊域名，並無法斷源。總而言之，現況實難僅由國內單以DNS RPZ之技術手段達成遏止效果。</w:t>
      </w:r>
    </w:p>
    <w:p w14:paraId="25E49D2D" w14:textId="6D567EC2" w:rsidR="000B1C3C" w:rsidRPr="00C3310F" w:rsidRDefault="000B1C3C" w:rsidP="000B1C3C">
      <w:pPr>
        <w:pStyle w:val="4"/>
      </w:pPr>
      <w:r w:rsidRPr="00C3310F">
        <w:rPr>
          <w:rFonts w:hint="eastAsia"/>
        </w:rPr>
        <w:t>此外根據本院諮詢</w:t>
      </w:r>
      <w:r w:rsidR="00693A40" w:rsidRPr="00C3310F">
        <w:rPr>
          <w:rFonts w:hint="eastAsia"/>
        </w:rPr>
        <w:t>臺北</w:t>
      </w:r>
      <w:r w:rsidR="002549A2" w:rsidRPr="00C3310F">
        <w:rPr>
          <w:rFonts w:hint="eastAsia"/>
        </w:rPr>
        <w:t>地</w:t>
      </w:r>
      <w:r w:rsidRPr="00C3310F">
        <w:rPr>
          <w:rFonts w:hint="eastAsia"/>
        </w:rPr>
        <w:t>檢</w:t>
      </w:r>
      <w:r w:rsidR="002549A2" w:rsidRPr="00C3310F">
        <w:rPr>
          <w:rFonts w:hint="eastAsia"/>
        </w:rPr>
        <w:t>署</w:t>
      </w:r>
      <w:r w:rsidRPr="00C3310F">
        <w:rPr>
          <w:rFonts w:hint="eastAsia"/>
        </w:rPr>
        <w:t>姜長志檢察官指出，詐騙集團開始利用蘋果公司禮物卡，在偵辦時發現，檢察單位必須出具搜索票，蘋果公司才願意提供ID，且回復時間長達半年或一年，難以進行金流查扣等措施，本調查研究建議主管機關應加以重視處理，避免成為堵詐破口。</w:t>
      </w:r>
    </w:p>
    <w:p w14:paraId="4E6E8709" w14:textId="0A2DB209" w:rsidR="000B1C3C" w:rsidRPr="00C3310F" w:rsidRDefault="000B1C3C" w:rsidP="000B1C3C">
      <w:pPr>
        <w:pStyle w:val="4"/>
      </w:pPr>
      <w:r w:rsidRPr="00C3310F">
        <w:rPr>
          <w:rFonts w:hint="eastAsia"/>
        </w:rPr>
        <w:t>根據「資安院首度發表AI打詐技術，詐騙廣告偵測率超過九成」</w:t>
      </w:r>
      <w:r w:rsidRPr="00C3310F">
        <w:rPr>
          <w:rStyle w:val="afe"/>
        </w:rPr>
        <w:footnoteReference w:id="86"/>
      </w:r>
      <w:r w:rsidRPr="00C3310F">
        <w:rPr>
          <w:rFonts w:hint="eastAsia"/>
        </w:rPr>
        <w:t>報導顯示，</w:t>
      </w:r>
      <w:r w:rsidR="00D82B1C" w:rsidRPr="00C3310F">
        <w:rPr>
          <w:rFonts w:hint="eastAsia"/>
        </w:rPr>
        <w:t>數發部</w:t>
      </w:r>
      <w:r w:rsidRPr="00C3310F">
        <w:rPr>
          <w:rFonts w:hint="eastAsia"/>
        </w:rPr>
        <w:t>所</w:t>
      </w:r>
      <w:r w:rsidR="00FF1495" w:rsidRPr="00C3310F">
        <w:rPr>
          <w:rFonts w:hint="eastAsia"/>
        </w:rPr>
        <w:t>屬</w:t>
      </w:r>
      <w:r w:rsidRPr="00C3310F">
        <w:rPr>
          <w:rFonts w:hint="eastAsia"/>
        </w:rPr>
        <w:t>國家資通安全研究院已提出新的技術對策，其技術亮點在於不僅可以進行廣告自動化巡檢，每個月更可檢測超過50萬筆廣告，</w:t>
      </w:r>
      <w:r w:rsidR="00FF1495" w:rsidRPr="00C3310F">
        <w:rPr>
          <w:rFonts w:hint="eastAsia"/>
        </w:rPr>
        <w:t>且</w:t>
      </w:r>
      <w:r w:rsidRPr="00C3310F">
        <w:rPr>
          <w:rFonts w:hint="eastAsia"/>
        </w:rPr>
        <w:t>準確度高達93</w:t>
      </w:r>
      <w:r w:rsidR="00693A40" w:rsidRPr="00C3310F">
        <w:t>%</w:t>
      </w:r>
      <w:r w:rsidRPr="00C3310F">
        <w:rPr>
          <w:rFonts w:hint="eastAsia"/>
        </w:rPr>
        <w:t>；純就處理量能而言，較目前警政署每月平均通報6</w:t>
      </w:r>
      <w:r w:rsidRPr="00C3310F">
        <w:t>,</w:t>
      </w:r>
      <w:r w:rsidRPr="00C3310F">
        <w:rPr>
          <w:rFonts w:hint="eastAsia"/>
        </w:rPr>
        <w:t>800餘件高</w:t>
      </w:r>
      <w:r w:rsidRPr="00C3310F">
        <w:rPr>
          <w:rFonts w:hint="eastAsia"/>
        </w:rPr>
        <w:lastRenderedPageBreak/>
        <w:t>出73.5倍，如實際應用時能發揮前述效能，將能大幅提升處理效率，值得政府重視並進一步評估導入；惟若提升通報量能後，</w:t>
      </w:r>
      <w:r w:rsidR="0004575A" w:rsidRPr="00C3310F">
        <w:rPr>
          <w:rFonts w:hint="eastAsia"/>
        </w:rPr>
        <w:t>平臺</w:t>
      </w:r>
      <w:r w:rsidRPr="00C3310F">
        <w:rPr>
          <w:rFonts w:hint="eastAsia"/>
        </w:rPr>
        <w:t>業者之下架速度是否能夠跟上，仍有一定挑戰。</w:t>
      </w:r>
    </w:p>
    <w:p w14:paraId="013F4D40" w14:textId="6F610B13" w:rsidR="000B1C3C" w:rsidRPr="00C3310F" w:rsidRDefault="000B1C3C" w:rsidP="000B1C3C">
      <w:pPr>
        <w:pStyle w:val="5"/>
      </w:pPr>
      <w:r w:rsidRPr="00C3310F">
        <w:rPr>
          <w:rFonts w:hint="eastAsia"/>
        </w:rPr>
        <w:t>根據報導，資安院表示廣告自動化巡檢技術每個月可以檢測超過50萬筆廣告，一旦偵測到詐騙廣告，會進行後續通報。113年5月詐騙廣告數量超過20萬筆創下新高，資安院採用AI偵測詐騙廣告的準確度達93</w:t>
      </w:r>
      <w:r w:rsidR="00693A40" w:rsidRPr="00C3310F">
        <w:t>%</w:t>
      </w:r>
      <w:r w:rsidRPr="00C3310F">
        <w:rPr>
          <w:rFonts w:hint="eastAsia"/>
        </w:rPr>
        <w:t>，而在巡檢的過程中也發現97</w:t>
      </w:r>
      <w:r w:rsidR="00693A40" w:rsidRPr="00C3310F">
        <w:t>%</w:t>
      </w:r>
      <w:r w:rsidRPr="00C3310F">
        <w:rPr>
          <w:rFonts w:hint="eastAsia"/>
        </w:rPr>
        <w:t>詐騙廣告刊登不到兩天，顯示相關的阻擋機制必須跟時間賽跑，因為處理時機稍縱即逝。</w:t>
      </w:r>
    </w:p>
    <w:p w14:paraId="74832FB8" w14:textId="0DE92877" w:rsidR="000B1C3C" w:rsidRPr="00C3310F" w:rsidRDefault="00D82B1C" w:rsidP="000B1C3C">
      <w:pPr>
        <w:pStyle w:val="5"/>
      </w:pPr>
      <w:r w:rsidRPr="00C3310F">
        <w:rPr>
          <w:rFonts w:hint="eastAsia"/>
        </w:rPr>
        <w:t>數發部</w:t>
      </w:r>
      <w:r w:rsidR="000B1C3C" w:rsidRPr="00C3310F">
        <w:rPr>
          <w:rFonts w:hint="eastAsia"/>
        </w:rPr>
        <w:t>則表示，該部刻正積極規</w:t>
      </w:r>
      <w:r w:rsidR="00FF1495" w:rsidRPr="00C3310F">
        <w:rPr>
          <w:rFonts w:hint="eastAsia"/>
        </w:rPr>
        <w:t>劃</w:t>
      </w:r>
      <w:r w:rsidR="000B1C3C" w:rsidRPr="00C3310F">
        <w:rPr>
          <w:rFonts w:hint="eastAsia"/>
        </w:rPr>
        <w:t>「打詐通報查詢網」，預計三個月內正式上線，將可便利民眾通報並查詢各種可疑廣告資訊，也會顯示被檢舉詐騙廣告的處理進度。</w:t>
      </w:r>
    </w:p>
    <w:p w14:paraId="67CA8AC5" w14:textId="65082123" w:rsidR="000B1C3C" w:rsidRPr="00C3310F" w:rsidRDefault="002549A2" w:rsidP="000B1C3C">
      <w:pPr>
        <w:pStyle w:val="5"/>
      </w:pPr>
      <w:r w:rsidRPr="00C3310F">
        <w:rPr>
          <w:rFonts w:hint="eastAsia"/>
        </w:rPr>
        <w:t>數發部</w:t>
      </w:r>
      <w:r w:rsidR="000B1C3C" w:rsidRPr="00C3310F">
        <w:rPr>
          <w:rFonts w:hint="eastAsia"/>
        </w:rPr>
        <w:t>林宜敬次長在報導中點出，</w:t>
      </w:r>
      <w:r w:rsidR="0004575A" w:rsidRPr="00C3310F">
        <w:rPr>
          <w:rFonts w:hint="eastAsia"/>
        </w:rPr>
        <w:t>平臺</w:t>
      </w:r>
      <w:r w:rsidR="000B1C3C" w:rsidRPr="00C3310F">
        <w:rPr>
          <w:rFonts w:hint="eastAsia"/>
        </w:rPr>
        <w:t>目前雖然也會下架詐騙廣告，但在速度上尚無法令人滿意；平臺雖然可以收到資安院提供的、每天5千至1萬筆的詐騙廣告清單，但因為下架作業仍未做到自動化，所以，平臺每日可以下架廣告的數量或許只有十分之一，顯然下架效率仍有提升的空間。</w:t>
      </w:r>
    </w:p>
    <w:p w14:paraId="603AA6B8" w14:textId="4B99D125" w:rsidR="000B1C3C" w:rsidRPr="00C3310F" w:rsidRDefault="000B1C3C" w:rsidP="000B1C3C">
      <w:pPr>
        <w:pStyle w:val="3"/>
      </w:pPr>
      <w:bookmarkStart w:id="975" w:name="_Toc171525602"/>
      <w:bookmarkStart w:id="976" w:name="_Toc172024123"/>
      <w:bookmarkStart w:id="977" w:name="_Toc172033446"/>
      <w:r w:rsidRPr="00C3310F">
        <w:rPr>
          <w:rFonts w:hint="eastAsia"/>
        </w:rPr>
        <w:t>承上，</w:t>
      </w:r>
      <w:r w:rsidR="00D82B1C" w:rsidRPr="00C3310F">
        <w:rPr>
          <w:rFonts w:hint="eastAsia"/>
        </w:rPr>
        <w:t>數發部</w:t>
      </w:r>
      <w:r w:rsidRPr="00C3310F">
        <w:rPr>
          <w:rFonts w:hint="eastAsia"/>
        </w:rPr>
        <w:t>、警政署及相關機關對於以數位</w:t>
      </w:r>
      <w:r w:rsidR="0004575A" w:rsidRPr="00C3310F">
        <w:rPr>
          <w:rFonts w:hint="eastAsia"/>
        </w:rPr>
        <w:t>平臺</w:t>
      </w:r>
      <w:r w:rsidRPr="00C3310F">
        <w:rPr>
          <w:rFonts w:hint="eastAsia"/>
        </w:rPr>
        <w:t>為管道之詐騙方式，相關行政管理手段已較過去遠為積極，惟需再次強調，該等治理措施及能量相較於跨國</w:t>
      </w:r>
      <w:r w:rsidR="0004575A" w:rsidRPr="00C3310F">
        <w:rPr>
          <w:rFonts w:hint="eastAsia"/>
        </w:rPr>
        <w:t>平臺</w:t>
      </w:r>
      <w:r w:rsidRPr="00C3310F">
        <w:rPr>
          <w:rFonts w:hint="eastAsia"/>
        </w:rPr>
        <w:t>巨頭而言，打詐效益極為有限，又因目前分散式立法方式存在治理盲點，此由「假求職、真詐騙」廣告目前尚無妥善機制可予處置可證。是以</w:t>
      </w:r>
      <w:r w:rsidR="00A1409C" w:rsidRPr="00C3310F">
        <w:rPr>
          <w:rFonts w:hint="eastAsia"/>
        </w:rPr>
        <w:t>本調查研究</w:t>
      </w:r>
      <w:r w:rsidRPr="00C3310F">
        <w:rPr>
          <w:rFonts w:hint="eastAsia"/>
        </w:rPr>
        <w:t>認為，政府之治理高度必須延伸至最源頭之數位</w:t>
      </w:r>
      <w:r w:rsidR="0004575A" w:rsidRPr="00C3310F">
        <w:rPr>
          <w:rFonts w:hint="eastAsia"/>
        </w:rPr>
        <w:t>平臺</w:t>
      </w:r>
      <w:r w:rsidRPr="00C3310F">
        <w:rPr>
          <w:rFonts w:hint="eastAsia"/>
        </w:rPr>
        <w:t>管理；由於此前通傳會推動「數位中介服務</w:t>
      </w:r>
      <w:r w:rsidRPr="00C3310F">
        <w:rPr>
          <w:rFonts w:hint="eastAsia"/>
        </w:rPr>
        <w:lastRenderedPageBreak/>
        <w:t>法」未形成社會共識而遭擱置，以致於目前我國仍缺乏較宏觀而完整之數位治理框架。</w:t>
      </w:r>
      <w:bookmarkEnd w:id="975"/>
      <w:bookmarkEnd w:id="976"/>
      <w:bookmarkEnd w:id="977"/>
    </w:p>
    <w:p w14:paraId="451AC40C" w14:textId="0D35B87C" w:rsidR="000B1C3C" w:rsidRPr="00C3310F" w:rsidRDefault="00A1409C" w:rsidP="000B1C3C">
      <w:pPr>
        <w:pStyle w:val="4"/>
      </w:pPr>
      <w:r w:rsidRPr="00C3310F">
        <w:rPr>
          <w:rFonts w:hint="eastAsia"/>
        </w:rPr>
        <w:t>本調查研究</w:t>
      </w:r>
      <w:r w:rsidR="000B1C3C" w:rsidRPr="00C3310F">
        <w:rPr>
          <w:rFonts w:hint="eastAsia"/>
        </w:rPr>
        <w:t>以有關</w:t>
      </w:r>
      <w:r w:rsidRPr="00C3310F">
        <w:rPr>
          <w:rFonts w:hint="eastAsia"/>
        </w:rPr>
        <w:t>詐騙集團</w:t>
      </w:r>
      <w:r w:rsidR="000B1C3C" w:rsidRPr="00C3310F">
        <w:rPr>
          <w:rFonts w:hint="eastAsia"/>
        </w:rPr>
        <w:t>在網路上張貼「假求職、真收簿」貼文為例，說明目前在數位</w:t>
      </w:r>
      <w:r w:rsidR="0004575A" w:rsidRPr="00C3310F">
        <w:rPr>
          <w:rFonts w:hint="eastAsia"/>
        </w:rPr>
        <w:t>平臺</w:t>
      </w:r>
      <w:r w:rsidR="000B1C3C" w:rsidRPr="00C3310F">
        <w:rPr>
          <w:rFonts w:hint="eastAsia"/>
        </w:rPr>
        <w:t>治理之盲點。所謂「假求職、真詐騙」，依據本院諮詢學者專家表示，</w:t>
      </w:r>
      <w:r w:rsidRPr="00C3310F">
        <w:rPr>
          <w:rFonts w:hint="eastAsia"/>
        </w:rPr>
        <w:t>詐騙集團</w:t>
      </w:r>
      <w:r w:rsidR="000B1C3C" w:rsidRPr="00C3310F">
        <w:rPr>
          <w:rFonts w:hint="eastAsia"/>
        </w:rPr>
        <w:t>經常以張貼兼顧工作、育兒與家庭之工作誘使民眾加入</w:t>
      </w:r>
      <w:r w:rsidR="00DF3BE8" w:rsidRPr="00C3310F">
        <w:rPr>
          <w:rFonts w:hint="eastAsia"/>
        </w:rPr>
        <w:t>LINE</w:t>
      </w:r>
      <w:r w:rsidR="000B1C3C" w:rsidRPr="00C3310F">
        <w:rPr>
          <w:rFonts w:hint="eastAsia"/>
        </w:rPr>
        <w:t>群組遂行詐騙(如下圖</w:t>
      </w:r>
      <w:r w:rsidR="00CB4F4C" w:rsidRPr="00C3310F">
        <w:rPr>
          <w:rFonts w:hint="eastAsia"/>
        </w:rPr>
        <w:t>15</w:t>
      </w:r>
      <w:r w:rsidR="000B1C3C" w:rsidRPr="00C3310F">
        <w:rPr>
          <w:rFonts w:hint="eastAsia"/>
        </w:rPr>
        <w:t>)；然而該等廣告既不屬前述「投資詐欺」範疇，又非「兒少性剝削」內容，因此欠缺可將該廣告下架之依據；復經本院函詢相關部會，勞政主管機關勞動部認為未來「打詐專法」可以處理，警政署及</w:t>
      </w:r>
      <w:r w:rsidR="00D82B1C" w:rsidRPr="00C3310F">
        <w:rPr>
          <w:rFonts w:hint="eastAsia"/>
        </w:rPr>
        <w:t>數發部</w:t>
      </w:r>
      <w:r w:rsidR="000B1C3C" w:rsidRPr="00C3310F">
        <w:rPr>
          <w:rFonts w:hint="eastAsia"/>
        </w:rPr>
        <w:t>則認為貼文並非廣告，故難以運用網路巡邏加以查處或下架；換言之，目前「假求職、真詐騙」之詐騙類型係處於三不管地帶，遑論其他目的事業。此外，非屬投資詐欺性質之廣告或貼文縱經立法通過，其檢舉通報機制及部會分工模式亦尚未建立</w:t>
      </w:r>
      <w:r w:rsidR="00693A40" w:rsidRPr="00C3310F">
        <w:rPr>
          <w:rFonts w:hint="eastAsia"/>
        </w:rPr>
        <w:t>，</w:t>
      </w:r>
      <w:r w:rsidR="000B1C3C" w:rsidRPr="00C3310F">
        <w:rPr>
          <w:rFonts w:hint="eastAsia"/>
        </w:rPr>
        <w:t>更凸顯出我國目前在數位</w:t>
      </w:r>
      <w:r w:rsidR="0004575A" w:rsidRPr="00C3310F">
        <w:rPr>
          <w:rFonts w:hint="eastAsia"/>
        </w:rPr>
        <w:t>平臺</w:t>
      </w:r>
      <w:r w:rsidR="000B1C3C" w:rsidRPr="00C3310F">
        <w:rPr>
          <w:rFonts w:hint="eastAsia"/>
        </w:rPr>
        <w:t>方面採用分散式立法之弊病。</w:t>
      </w:r>
    </w:p>
    <w:p w14:paraId="2EDFED15" w14:textId="77777777" w:rsidR="000B1C3C" w:rsidRPr="00C3310F" w:rsidRDefault="000B1C3C" w:rsidP="000B1C3C">
      <w:pPr>
        <w:pStyle w:val="4"/>
        <w:numPr>
          <w:ilvl w:val="0"/>
          <w:numId w:val="0"/>
        </w:numPr>
        <w:ind w:left="284"/>
      </w:pPr>
      <w:r w:rsidRPr="00C3310F">
        <w:rPr>
          <w:noProof/>
        </w:rPr>
        <w:lastRenderedPageBreak/>
        <w:drawing>
          <wp:inline distT="0" distB="0" distL="0" distR="0" wp14:anchorId="13C84F0E" wp14:editId="068D93F2">
            <wp:extent cx="4778188" cy="3983986"/>
            <wp:effectExtent l="19050" t="19050" r="22860" b="17145"/>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87693" cy="3991911"/>
                    </a:xfrm>
                    <a:prstGeom prst="rect">
                      <a:avLst/>
                    </a:prstGeom>
                    <a:noFill/>
                    <a:ln>
                      <a:solidFill>
                        <a:schemeClr val="tx1"/>
                      </a:solidFill>
                    </a:ln>
                  </pic:spPr>
                </pic:pic>
              </a:graphicData>
            </a:graphic>
          </wp:inline>
        </w:drawing>
      </w:r>
    </w:p>
    <w:p w14:paraId="5F97079C" w14:textId="60F3149B" w:rsidR="000B1C3C" w:rsidRPr="00C3310F" w:rsidRDefault="000B1C3C" w:rsidP="000B1C3C">
      <w:pPr>
        <w:pStyle w:val="a1"/>
        <w:ind w:left="480" w:hanging="480"/>
        <w:rPr>
          <w:rFonts w:hint="eastAsia"/>
          <w:b/>
        </w:rPr>
      </w:pPr>
      <w:bookmarkStart w:id="978" w:name="_Toc172025268"/>
      <w:r w:rsidRPr="00C3310F">
        <w:rPr>
          <w:rFonts w:hint="eastAsia"/>
          <w:b/>
        </w:rPr>
        <w:t>社群</w:t>
      </w:r>
      <w:r w:rsidR="0004575A" w:rsidRPr="00C3310F">
        <w:rPr>
          <w:rFonts w:hint="eastAsia"/>
          <w:b/>
        </w:rPr>
        <w:t>平臺</w:t>
      </w:r>
      <w:r w:rsidRPr="00C3310F">
        <w:rPr>
          <w:rFonts w:hint="eastAsia"/>
          <w:b/>
        </w:rPr>
        <w:t>「假求職、真詐騙」廣告範例</w:t>
      </w:r>
      <w:bookmarkEnd w:id="978"/>
    </w:p>
    <w:p w14:paraId="400BC25D" w14:textId="77777777" w:rsidR="000B1C3C" w:rsidRPr="00C3310F" w:rsidRDefault="000B1C3C" w:rsidP="000B1C3C">
      <w:pPr>
        <w:pStyle w:val="a1"/>
        <w:numPr>
          <w:ilvl w:val="0"/>
          <w:numId w:val="0"/>
        </w:numPr>
        <w:jc w:val="both"/>
        <w:rPr>
          <w:rFonts w:hint="eastAsia"/>
        </w:rPr>
      </w:pPr>
      <w:bookmarkStart w:id="979" w:name="_Toc171587757"/>
      <w:bookmarkStart w:id="980" w:name="_Toc172025269"/>
      <w:r w:rsidRPr="00C3310F">
        <w:t>資料來源</w:t>
      </w:r>
      <w:r w:rsidRPr="00C3310F">
        <w:rPr>
          <w:rFonts w:hint="eastAsia"/>
        </w:rPr>
        <w:t>：本院自行蒐整</w:t>
      </w:r>
      <w:bookmarkEnd w:id="979"/>
      <w:bookmarkEnd w:id="980"/>
      <w:r w:rsidR="00B15A34" w:rsidRPr="00C3310F">
        <w:rPr>
          <w:rStyle w:val="afe"/>
        </w:rPr>
        <w:footnoteReference w:id="87"/>
      </w:r>
    </w:p>
    <w:p w14:paraId="1E2C49B2" w14:textId="3661BDFA" w:rsidR="000B1C3C" w:rsidRPr="00C3310F" w:rsidRDefault="000B1C3C" w:rsidP="000B1C3C">
      <w:pPr>
        <w:pStyle w:val="4"/>
      </w:pPr>
      <w:r w:rsidRPr="00C3310F">
        <w:rPr>
          <w:rFonts w:hint="eastAsia"/>
        </w:rPr>
        <w:t>有關最上游之數位</w:t>
      </w:r>
      <w:r w:rsidR="0004575A" w:rsidRPr="00C3310F">
        <w:rPr>
          <w:rFonts w:hint="eastAsia"/>
        </w:rPr>
        <w:t>平臺</w:t>
      </w:r>
      <w:r w:rsidRPr="00C3310F">
        <w:rPr>
          <w:rFonts w:hint="eastAsia"/>
        </w:rPr>
        <w:t>管理，通傳會曾於111年6月29日對外公布「數位中介服務法」草案，並辦理多場說明會，然而在</w:t>
      </w:r>
      <w:r w:rsidR="0004575A" w:rsidRPr="00C3310F">
        <w:rPr>
          <w:rFonts w:hint="eastAsia"/>
        </w:rPr>
        <w:t>平臺</w:t>
      </w:r>
      <w:r w:rsidRPr="00C3310F">
        <w:rPr>
          <w:rFonts w:hint="eastAsia"/>
        </w:rPr>
        <w:t>規模及涉及言論自由等爭議，欠缺社會共識，目前已暫時擱置，且無立法時程表，其推動概要及擱置原因經通傳會說明如下，顯示我國曾一度試圖以「數位中介服務法」推動數位</w:t>
      </w:r>
      <w:r w:rsidR="0004575A" w:rsidRPr="00C3310F">
        <w:rPr>
          <w:rFonts w:hint="eastAsia"/>
        </w:rPr>
        <w:t>平臺</w:t>
      </w:r>
      <w:r w:rsidRPr="00C3310F">
        <w:rPr>
          <w:rFonts w:hint="eastAsia"/>
        </w:rPr>
        <w:t>治理，卻因故擱置，導致目前仍缺乏較宏觀而完整之數位治理框架。</w:t>
      </w:r>
    </w:p>
    <w:p w14:paraId="2413F853" w14:textId="69B8BCC5" w:rsidR="000B1C3C" w:rsidRPr="00C3310F" w:rsidRDefault="000B1C3C" w:rsidP="000B1C3C">
      <w:pPr>
        <w:pStyle w:val="5"/>
      </w:pPr>
      <w:r w:rsidRPr="00C3310F">
        <w:rPr>
          <w:rFonts w:hint="eastAsia"/>
        </w:rPr>
        <w:t>通傳會說明，網際網路快速普及，民眾日常使用的數位中介服務，帶來生活便利的同時，也引發</w:t>
      </w:r>
      <w:r w:rsidRPr="00C3310F">
        <w:rPr>
          <w:rFonts w:hint="eastAsia"/>
        </w:rPr>
        <w:lastRenderedPageBreak/>
        <w:t>新的風險與挑戰，國際上普遍認為連線服務與線上平臺服務提供者等數位中介服務，具備網路「守門人」</w:t>
      </w:r>
      <w:r w:rsidRPr="00C3310F">
        <w:t>(</w:t>
      </w:r>
      <w:r w:rsidR="00FF1495" w:rsidRPr="00C3310F">
        <w:t>G</w:t>
      </w:r>
      <w:r w:rsidRPr="00C3310F">
        <w:t>atekeeper)</w:t>
      </w:r>
      <w:r w:rsidRPr="00C3310F">
        <w:rPr>
          <w:rFonts w:hint="eastAsia"/>
        </w:rPr>
        <w:t>特性，認為應針對數位中介服務之行為加以規範，「平臺問責」</w:t>
      </w:r>
      <w:r w:rsidRPr="00C3310F">
        <w:t>(</w:t>
      </w:r>
      <w:r w:rsidR="00FF1495" w:rsidRPr="00C3310F">
        <w:t>P</w:t>
      </w:r>
      <w:r w:rsidRPr="00C3310F">
        <w:t xml:space="preserve">latform </w:t>
      </w:r>
      <w:r w:rsidR="00FF1495" w:rsidRPr="00C3310F">
        <w:rPr>
          <w:rFonts w:hint="eastAsia"/>
        </w:rPr>
        <w:t>A</w:t>
      </w:r>
      <w:r w:rsidRPr="00C3310F">
        <w:t>ccountability)</w:t>
      </w:r>
      <w:r w:rsidRPr="00C3310F">
        <w:rPr>
          <w:rFonts w:hint="eastAsia"/>
        </w:rPr>
        <w:t>概念隨之誕生。因此，為保障數位基本人權，促進數位通訊傳播資訊自由流通與服務提供，落實數位中介服務提供者之問責與使用者權益維護，以建立自由、安全及可信賴的數位環境，爰擬具「數位中介服務法」草案。</w:t>
      </w:r>
    </w:p>
    <w:p w14:paraId="2D2A46A5" w14:textId="77777777" w:rsidR="000B1C3C" w:rsidRPr="00C3310F" w:rsidRDefault="000B1C3C" w:rsidP="000B1C3C">
      <w:pPr>
        <w:pStyle w:val="5"/>
      </w:pPr>
      <w:r w:rsidRPr="00C3310F">
        <w:rPr>
          <w:rFonts w:hint="eastAsia"/>
        </w:rPr>
        <w:t>整體而言，「數位中介服務法」 草案與歐盟「數位服務法」所規範對象皆為「網路中介服務業者」，包括連線服務、快速存取服務、資訊儲存服務等，同時也納入問責概念，對於所規範對象，依據類型不同而課予不同義務，例如資訊揭露、透明度報告等，希望能夠降低網路風險，達到安全可信賴的網際網路環境。</w:t>
      </w:r>
    </w:p>
    <w:p w14:paraId="49E4EE26" w14:textId="77777777" w:rsidR="000B1C3C" w:rsidRPr="00C3310F" w:rsidRDefault="000B1C3C" w:rsidP="000B1C3C">
      <w:pPr>
        <w:pStyle w:val="5"/>
      </w:pPr>
      <w:r w:rsidRPr="00C3310F">
        <w:rPr>
          <w:rFonts w:hint="eastAsia"/>
        </w:rPr>
        <w:t>網際網路治理不同於傳統廣電</w:t>
      </w:r>
      <w:r w:rsidR="00AC04D8" w:rsidRPr="00C3310F">
        <w:rPr>
          <w:rFonts w:hint="eastAsia"/>
        </w:rPr>
        <w:t>之</w:t>
      </w:r>
      <w:r w:rsidRPr="00C3310F">
        <w:rPr>
          <w:rFonts w:hint="eastAsia"/>
        </w:rPr>
        <w:t>高權監理模式，須仰賴多方利害關係人參與溝通，尋求各級行政機關、網際網路服務提供者、公民團體、學者專家及使用者等多方共識方能奏效，爰網路治理非以監督管理，而是以共同建立治理框架較為妥適。</w:t>
      </w:r>
    </w:p>
    <w:p w14:paraId="6E910935" w14:textId="36C28DDD" w:rsidR="000B1C3C" w:rsidRPr="00C3310F" w:rsidRDefault="000B1C3C" w:rsidP="000B1C3C">
      <w:pPr>
        <w:pStyle w:val="5"/>
      </w:pPr>
      <w:r w:rsidRPr="00C3310F">
        <w:rPr>
          <w:rFonts w:hint="eastAsia"/>
        </w:rPr>
        <w:t>通傳會於111年6月29日對外公布「數位中介服務法」草案，賡續辦理三場分眾公開說明會，邀集中介服務提供者、公民團體與學者專家等利害關係人與會表達意見，然該草案受外界解讀為涉及影響言論自由的基本權益之爭議，引發諸多批評。未來</w:t>
      </w:r>
      <w:r w:rsidR="00CD44D2" w:rsidRPr="00C3310F">
        <w:rPr>
          <w:rFonts w:hint="eastAsia"/>
        </w:rPr>
        <w:t>通傳</w:t>
      </w:r>
      <w:r w:rsidRPr="00C3310F">
        <w:rPr>
          <w:rFonts w:hint="eastAsia"/>
        </w:rPr>
        <w:t>會將審慎研議與評估，持續觀察產業趨勢及社會脈動，並納入多方利害關</w:t>
      </w:r>
      <w:r w:rsidRPr="00C3310F">
        <w:rPr>
          <w:rFonts w:hint="eastAsia"/>
        </w:rPr>
        <w:lastRenderedPageBreak/>
        <w:t>係人意見，以尋求整體社會共識，目前暫無立法時程表。</w:t>
      </w:r>
    </w:p>
    <w:p w14:paraId="4D1B3B8D" w14:textId="1E9C90CE" w:rsidR="000B1C3C" w:rsidRPr="00C3310F" w:rsidRDefault="000B1C3C" w:rsidP="000B1C3C">
      <w:pPr>
        <w:pStyle w:val="3"/>
      </w:pPr>
      <w:bookmarkStart w:id="981" w:name="_Toc171525603"/>
      <w:bookmarkStart w:id="982" w:name="_Toc172024124"/>
      <w:bookmarkStart w:id="983" w:name="_Toc172033447"/>
      <w:r w:rsidRPr="00C3310F">
        <w:rPr>
          <w:rFonts w:hint="eastAsia"/>
        </w:rPr>
        <w:t>基於我國目前仍欠缺數位</w:t>
      </w:r>
      <w:r w:rsidR="0004575A" w:rsidRPr="00C3310F">
        <w:rPr>
          <w:rFonts w:hint="eastAsia"/>
        </w:rPr>
        <w:t>平臺</w:t>
      </w:r>
      <w:r w:rsidRPr="00C3310F">
        <w:rPr>
          <w:rFonts w:hint="eastAsia"/>
        </w:rPr>
        <w:t>治理之框架性法制，本調查研究特針對國外對於數位</w:t>
      </w:r>
      <w:r w:rsidR="0004575A" w:rsidRPr="00C3310F">
        <w:rPr>
          <w:rFonts w:hint="eastAsia"/>
        </w:rPr>
        <w:t>平臺</w:t>
      </w:r>
      <w:r w:rsidRPr="00C3310F">
        <w:rPr>
          <w:rFonts w:hint="eastAsia"/>
        </w:rPr>
        <w:t>治理之看法，並進一步以文獻探討及赴英交流方式，分析歐盟及英國在數位</w:t>
      </w:r>
      <w:r w:rsidR="0004575A" w:rsidRPr="00C3310F">
        <w:rPr>
          <w:rFonts w:hint="eastAsia"/>
        </w:rPr>
        <w:t>平臺</w:t>
      </w:r>
      <w:r w:rsidRPr="00C3310F">
        <w:rPr>
          <w:rFonts w:hint="eastAsia"/>
        </w:rPr>
        <w:t>治理方面之法制結構，本調查研究認為，先進國家非常重視數位</w:t>
      </w:r>
      <w:r w:rsidR="0004575A" w:rsidRPr="00C3310F">
        <w:rPr>
          <w:rFonts w:hint="eastAsia"/>
        </w:rPr>
        <w:t>平臺</w:t>
      </w:r>
      <w:r w:rsidRPr="00C3310F">
        <w:rPr>
          <w:rFonts w:hint="eastAsia"/>
        </w:rPr>
        <w:t>治理在「堵詐」面之價值，甚至融合「識詐」之功能。整體而言，數位</w:t>
      </w:r>
      <w:r w:rsidR="0004575A" w:rsidRPr="00C3310F">
        <w:rPr>
          <w:rFonts w:hint="eastAsia"/>
        </w:rPr>
        <w:t>平臺</w:t>
      </w:r>
      <w:r w:rsidRPr="00C3310F">
        <w:rPr>
          <w:rFonts w:hint="eastAsia"/>
        </w:rPr>
        <w:t>治理不僅是民主國家趨勢，更應視之為</w:t>
      </w:r>
      <w:r w:rsidR="0004575A" w:rsidRPr="00C3310F">
        <w:rPr>
          <w:rFonts w:hint="eastAsia"/>
        </w:rPr>
        <w:t>平臺</w:t>
      </w:r>
      <w:r w:rsidRPr="00C3310F">
        <w:rPr>
          <w:rFonts w:hint="eastAsia"/>
        </w:rPr>
        <w:t>業者之社會責任；而其法制是否得以衡平治理需求及言論自由疑慮，其關鍵並不在監理或裁罰強度等高權介入，而是以</w:t>
      </w:r>
      <w:r w:rsidR="0004575A" w:rsidRPr="00C3310F">
        <w:rPr>
          <w:rFonts w:hint="eastAsia"/>
        </w:rPr>
        <w:t>平臺</w:t>
      </w:r>
      <w:r w:rsidRPr="00C3310F">
        <w:rPr>
          <w:rFonts w:hint="eastAsia"/>
        </w:rPr>
        <w:t>自律為主，他律制度為輔，並且主責他律之機構必須具備充分之獨立性及社會信任，同時必須有多種法制配套形成複式的治理環境。誠然，無論是歐盟「數位服務法」（</w:t>
      </w:r>
      <w:r w:rsidRPr="00C3310F">
        <w:t>DSA</w:t>
      </w:r>
      <w:r w:rsidRPr="00C3310F">
        <w:rPr>
          <w:rFonts w:hint="eastAsia"/>
        </w:rPr>
        <w:t>）及其配套之「數位市場法」(DMA)、「人工智慧法」(</w:t>
      </w:r>
      <w:r w:rsidR="00FF1495" w:rsidRPr="00C3310F">
        <w:rPr>
          <w:rFonts w:hint="eastAsia"/>
        </w:rPr>
        <w:t xml:space="preserve">EU </w:t>
      </w:r>
      <w:r w:rsidRPr="00C3310F">
        <w:rPr>
          <w:rFonts w:hint="eastAsia"/>
        </w:rPr>
        <w:t>AI Act)及「一般資料保護規則」(GDPR)，以及英國「線上安全法」（</w:t>
      </w:r>
      <w:r w:rsidR="00FF1495" w:rsidRPr="00C3310F">
        <w:rPr>
          <w:rFonts w:hint="eastAsia"/>
        </w:rPr>
        <w:t>On</w:t>
      </w:r>
      <w:r w:rsidR="00FF1495" w:rsidRPr="00C3310F">
        <w:t>line</w:t>
      </w:r>
      <w:r w:rsidRPr="00C3310F">
        <w:rPr>
          <w:rFonts w:hint="eastAsia"/>
        </w:rPr>
        <w:t xml:space="preserve"> Safety Act）等均施行未久，其價值以及潛在爭議尚未完全浮現，仍有待先進國家持續探索；然而，我國在行動寬頻普及率已於2016年超越英國，但數位治理之完整性及法制配套反而遠遠不及，再次證實政府之法制、政策及相關配套長期以來並未跟進數位時代之進程，實有積極凝聚社會共識並建構治理環境之必要。</w:t>
      </w:r>
      <w:bookmarkEnd w:id="981"/>
      <w:bookmarkEnd w:id="982"/>
      <w:bookmarkEnd w:id="983"/>
    </w:p>
    <w:p w14:paraId="28C86F75" w14:textId="474712F2" w:rsidR="000B1C3C" w:rsidRPr="00C3310F" w:rsidRDefault="000B1C3C" w:rsidP="000B1C3C">
      <w:pPr>
        <w:pStyle w:val="4"/>
      </w:pPr>
      <w:r w:rsidRPr="00C3310F">
        <w:rPr>
          <w:rFonts w:hint="eastAsia"/>
        </w:rPr>
        <w:t>G</w:t>
      </w:r>
      <w:r w:rsidRPr="00C3310F">
        <w:t>ASA</w:t>
      </w:r>
      <w:r w:rsidR="00CD44D2" w:rsidRPr="00C3310F">
        <w:rPr>
          <w:rFonts w:hint="eastAsia"/>
        </w:rPr>
        <w:t xml:space="preserve"> </w:t>
      </w:r>
      <w:r w:rsidRPr="00C3310F">
        <w:t>2022</w:t>
      </w:r>
      <w:r w:rsidRPr="00C3310F">
        <w:rPr>
          <w:rFonts w:hint="eastAsia"/>
        </w:rPr>
        <w:t>年報告強調需要針對被用於宣傳詐騙之</w:t>
      </w:r>
      <w:r w:rsidR="0004575A" w:rsidRPr="00C3310F">
        <w:rPr>
          <w:rFonts w:hint="eastAsia"/>
        </w:rPr>
        <w:t>平臺</w:t>
      </w:r>
      <w:r w:rsidRPr="00C3310F">
        <w:rPr>
          <w:rFonts w:hint="eastAsia"/>
        </w:rPr>
        <w:t>（包括大型搜尋引擎和社交媒體）以及促進其基礎設施的</w:t>
      </w:r>
      <w:r w:rsidR="0004575A" w:rsidRPr="00C3310F">
        <w:rPr>
          <w:rFonts w:hint="eastAsia"/>
        </w:rPr>
        <w:t>平臺</w:t>
      </w:r>
      <w:r w:rsidRPr="00C3310F">
        <w:rPr>
          <w:rFonts w:hint="eastAsia"/>
        </w:rPr>
        <w:t>（包括註冊商、註冊管理機構和託管提供者）承擔更多責任。例如，澳洲競爭與消費者委員會已對Meta提起法律行動，指控其在Facebook上發布詐騙名人加密廣告。</w:t>
      </w:r>
    </w:p>
    <w:p w14:paraId="2C68B02D" w14:textId="5012CD9B" w:rsidR="000B1C3C" w:rsidRPr="00C3310F" w:rsidRDefault="000B1C3C" w:rsidP="000B1C3C">
      <w:pPr>
        <w:pStyle w:val="4"/>
      </w:pPr>
      <w:r w:rsidRPr="00C3310F">
        <w:rPr>
          <w:rFonts w:hint="eastAsia"/>
        </w:rPr>
        <w:lastRenderedPageBreak/>
        <w:t>英國政府亦將包含</w:t>
      </w:r>
      <w:r w:rsidR="0004575A" w:rsidRPr="00C3310F">
        <w:rPr>
          <w:rFonts w:hint="eastAsia"/>
        </w:rPr>
        <w:t>平臺</w:t>
      </w:r>
      <w:r w:rsidRPr="00C3310F">
        <w:rPr>
          <w:rFonts w:hint="eastAsia"/>
        </w:rPr>
        <w:t>治理之源頭</w:t>
      </w:r>
      <w:r w:rsidR="003977B9" w:rsidRPr="00C3310F">
        <w:rPr>
          <w:rFonts w:hint="eastAsia"/>
        </w:rPr>
        <w:t>阻詐</w:t>
      </w:r>
      <w:r w:rsidRPr="00C3310F">
        <w:rPr>
          <w:rFonts w:hint="eastAsia"/>
        </w:rPr>
        <w:t>（</w:t>
      </w:r>
      <w:r w:rsidR="003977B9" w:rsidRPr="00C3310F">
        <w:rPr>
          <w:rFonts w:hint="eastAsia"/>
        </w:rPr>
        <w:t>Block fraud</w:t>
      </w:r>
      <w:r w:rsidRPr="00C3310F">
        <w:rPr>
          <w:rFonts w:hint="eastAsia"/>
        </w:rPr>
        <w:t>）視為組成打詐策略的「三本柱」</w:t>
      </w:r>
      <w:r w:rsidR="003977B9" w:rsidRPr="00C3310F">
        <w:rPr>
          <w:rFonts w:hint="eastAsia"/>
        </w:rPr>
        <w:t>(Pursue fraudsters、Block fraud、Empower people)</w:t>
      </w:r>
      <w:r w:rsidRPr="00C3310F">
        <w:rPr>
          <w:rFonts w:hint="eastAsia"/>
        </w:rPr>
        <w:t>之一，其重點如下</w:t>
      </w:r>
    </w:p>
    <w:p w14:paraId="473B6B90" w14:textId="7C668A12" w:rsidR="000B1C3C" w:rsidRPr="00C3310F" w:rsidRDefault="000B1C3C" w:rsidP="000B1C3C">
      <w:pPr>
        <w:pStyle w:val="5"/>
      </w:pPr>
      <w:r w:rsidRPr="00C3310F">
        <w:rPr>
          <w:rFonts w:hint="eastAsia"/>
        </w:rPr>
        <w:t>期望大眾對詐欺始終保持高度警覺是不合理的，最好的防禦措施是</w:t>
      </w:r>
      <w:r w:rsidR="00A1409C" w:rsidRPr="00C3310F">
        <w:rPr>
          <w:rFonts w:hint="eastAsia"/>
        </w:rPr>
        <w:t>詐騙集團</w:t>
      </w:r>
      <w:r w:rsidRPr="00C3310F">
        <w:rPr>
          <w:rFonts w:hint="eastAsia"/>
        </w:rPr>
        <w:t>對受害者造成傷害之前阻止犯罪企圖觸及個人和企業。</w:t>
      </w:r>
    </w:p>
    <w:p w14:paraId="4D9A5C83" w14:textId="77777777" w:rsidR="000B1C3C" w:rsidRPr="00C3310F" w:rsidRDefault="000B1C3C" w:rsidP="000B1C3C">
      <w:pPr>
        <w:pStyle w:val="5"/>
      </w:pPr>
      <w:r w:rsidRPr="00C3310F">
        <w:rPr>
          <w:rFonts w:hint="eastAsia"/>
        </w:rPr>
        <w:t>線上科技巨頭應該採取更多措施阻止詐欺犯罪利用其服務，並且不應從網路犯罪中獲利。</w:t>
      </w:r>
    </w:p>
    <w:p w14:paraId="35DBE854" w14:textId="04CBE1C8" w:rsidR="000B1C3C" w:rsidRPr="00C3310F" w:rsidRDefault="000B1C3C" w:rsidP="000B1C3C">
      <w:pPr>
        <w:pStyle w:val="5"/>
      </w:pPr>
      <w:r w:rsidRPr="00C3310F">
        <w:rPr>
          <w:rFonts w:hint="eastAsia"/>
        </w:rPr>
        <w:t>政府將使數位</w:t>
      </w:r>
      <w:r w:rsidR="0004575A" w:rsidRPr="00C3310F">
        <w:rPr>
          <w:rFonts w:hint="eastAsia"/>
        </w:rPr>
        <w:t>平臺</w:t>
      </w:r>
      <w:r w:rsidRPr="00C3310F">
        <w:rPr>
          <w:rFonts w:hint="eastAsia"/>
        </w:rPr>
        <w:t>企業為客戶提供額外保護，並對那些不遵守網路安全規定的人實施嚴厲處罰</w:t>
      </w:r>
      <w:r w:rsidR="00CD44D2" w:rsidRPr="00C3310F">
        <w:rPr>
          <w:rFonts w:hint="eastAsia"/>
        </w:rPr>
        <w:t>。</w:t>
      </w:r>
    </w:p>
    <w:p w14:paraId="506CB715" w14:textId="1CA17845" w:rsidR="000B1C3C" w:rsidRPr="00C3310F" w:rsidRDefault="000B1C3C" w:rsidP="000B1C3C">
      <w:pPr>
        <w:pStyle w:val="5"/>
      </w:pPr>
      <w:r w:rsidRPr="00C3310F">
        <w:rPr>
          <w:rFonts w:hint="eastAsia"/>
        </w:rPr>
        <w:t>政府將確保大型科技公司讓用戶能夠盡可能簡單地通報其</w:t>
      </w:r>
      <w:r w:rsidR="0004575A" w:rsidRPr="00C3310F">
        <w:rPr>
          <w:rFonts w:hint="eastAsia"/>
        </w:rPr>
        <w:t>平臺</w:t>
      </w:r>
      <w:r w:rsidRPr="00C3310F">
        <w:rPr>
          <w:rFonts w:hint="eastAsia"/>
        </w:rPr>
        <w:t>上的詐欺行為。</w:t>
      </w:r>
    </w:p>
    <w:p w14:paraId="75B86EED" w14:textId="798FB4E5" w:rsidR="000B1C3C" w:rsidRPr="00C3310F" w:rsidRDefault="000B1C3C" w:rsidP="000B1C3C">
      <w:pPr>
        <w:pStyle w:val="5"/>
      </w:pPr>
      <w:r w:rsidRPr="00C3310F">
        <w:rPr>
          <w:rFonts w:hint="eastAsia"/>
        </w:rPr>
        <w:t>政府將公布哪些</w:t>
      </w:r>
      <w:r w:rsidR="0004575A" w:rsidRPr="00C3310F">
        <w:rPr>
          <w:rFonts w:hint="eastAsia"/>
        </w:rPr>
        <w:t>平臺</w:t>
      </w:r>
      <w:r w:rsidRPr="00C3310F">
        <w:rPr>
          <w:rFonts w:hint="eastAsia"/>
        </w:rPr>
        <w:t>最安全，確保企業得有適當的誘因來打擊詐欺。</w:t>
      </w:r>
    </w:p>
    <w:p w14:paraId="3F84732F" w14:textId="460BA623" w:rsidR="000B1C3C" w:rsidRPr="00C3310F" w:rsidRDefault="000B1C3C" w:rsidP="000B1C3C">
      <w:pPr>
        <w:pStyle w:val="4"/>
      </w:pPr>
      <w:r w:rsidRPr="00C3310F">
        <w:rPr>
          <w:rFonts w:hint="eastAsia"/>
        </w:rPr>
        <w:t>本院透過文獻探討及參加2024台灣-英國『傳播媒體與新聞產製』雙邊交流」，對於先進國家之數位治理生態進行更深入的了解並比較，研究結果顯示，數位</w:t>
      </w:r>
      <w:r w:rsidR="0004575A" w:rsidRPr="00C3310F">
        <w:rPr>
          <w:rFonts w:hint="eastAsia"/>
        </w:rPr>
        <w:t>平臺</w:t>
      </w:r>
      <w:r w:rsidRPr="00C3310F">
        <w:rPr>
          <w:rFonts w:hint="eastAsia"/>
        </w:rPr>
        <w:t>治理之建立，至少必須探討「分層治理」、「權力分立」、「</w:t>
      </w:r>
      <w:r w:rsidR="0004575A" w:rsidRPr="00C3310F">
        <w:rPr>
          <w:rFonts w:hint="eastAsia"/>
        </w:rPr>
        <w:t>平臺</w:t>
      </w:r>
      <w:r w:rsidRPr="00C3310F">
        <w:rPr>
          <w:rFonts w:hint="eastAsia"/>
        </w:rPr>
        <w:t>落地」、「賦予業者義務」、「建立內容審查標準」、「業者端內容審查機制」、「主管機關職責」、「政府可採取之通知及手段」以及「裁罰額度」等面向，其比較分析如下表</w:t>
      </w:r>
      <w:r w:rsidR="004B77B6" w:rsidRPr="00C3310F">
        <w:rPr>
          <w:rFonts w:hint="eastAsia"/>
        </w:rPr>
        <w:t>19</w:t>
      </w:r>
      <w:r w:rsidR="00CD44D2" w:rsidRPr="00C3310F">
        <w:rPr>
          <w:rFonts w:hint="eastAsia"/>
        </w:rPr>
        <w:t>。</w:t>
      </w:r>
    </w:p>
    <w:p w14:paraId="574399EE" w14:textId="77777777" w:rsidR="00B7077C" w:rsidRPr="00C3310F" w:rsidRDefault="00B7077C" w:rsidP="00B7077C">
      <w:pPr>
        <w:pStyle w:val="4"/>
        <w:numPr>
          <w:ilvl w:val="0"/>
          <w:numId w:val="0"/>
        </w:numPr>
        <w:ind w:left="1701"/>
      </w:pPr>
    </w:p>
    <w:p w14:paraId="577520B7" w14:textId="06517D06" w:rsidR="00B7077C" w:rsidRPr="00C3310F" w:rsidRDefault="00B7077C" w:rsidP="00B7077C">
      <w:pPr>
        <w:pStyle w:val="4"/>
        <w:numPr>
          <w:ilvl w:val="0"/>
          <w:numId w:val="0"/>
        </w:numPr>
        <w:ind w:left="1701"/>
      </w:pPr>
    </w:p>
    <w:p w14:paraId="7F360367" w14:textId="35C1AAE9" w:rsidR="00BA14B9" w:rsidRPr="00C3310F" w:rsidRDefault="00BA14B9" w:rsidP="00B7077C">
      <w:pPr>
        <w:pStyle w:val="4"/>
        <w:numPr>
          <w:ilvl w:val="0"/>
          <w:numId w:val="0"/>
        </w:numPr>
        <w:ind w:left="1701"/>
      </w:pPr>
    </w:p>
    <w:p w14:paraId="61C67B8B" w14:textId="77777777" w:rsidR="00BA14B9" w:rsidRPr="00C3310F" w:rsidRDefault="00BA14B9" w:rsidP="00B7077C">
      <w:pPr>
        <w:pStyle w:val="4"/>
        <w:numPr>
          <w:ilvl w:val="0"/>
          <w:numId w:val="0"/>
        </w:numPr>
        <w:ind w:left="1701"/>
      </w:pPr>
    </w:p>
    <w:p w14:paraId="7B213681" w14:textId="77777777" w:rsidR="000B1C3C" w:rsidRPr="00C3310F" w:rsidRDefault="000B1C3C" w:rsidP="00CD44D2">
      <w:pPr>
        <w:pStyle w:val="a3"/>
        <w:jc w:val="center"/>
        <w:rPr>
          <w:rFonts w:hint="eastAsia"/>
          <w:b/>
        </w:rPr>
      </w:pPr>
      <w:bookmarkStart w:id="984" w:name="_Toc172025223"/>
      <w:r w:rsidRPr="00C3310F">
        <w:rPr>
          <w:rFonts w:hint="eastAsia"/>
          <w:b/>
        </w:rPr>
        <w:lastRenderedPageBreak/>
        <w:t>歐盟及英國數位治理相關法令分析</w:t>
      </w:r>
      <w:bookmarkEnd w:id="984"/>
    </w:p>
    <w:tbl>
      <w:tblPr>
        <w:tblStyle w:val="af7"/>
        <w:tblW w:w="9924" w:type="dxa"/>
        <w:tblInd w:w="-431" w:type="dxa"/>
        <w:tblLayout w:type="fixed"/>
        <w:tblLook w:val="04A0" w:firstRow="1" w:lastRow="0" w:firstColumn="1" w:lastColumn="0" w:noHBand="0" w:noVBand="1"/>
      </w:tblPr>
      <w:tblGrid>
        <w:gridCol w:w="1532"/>
        <w:gridCol w:w="4281"/>
        <w:gridCol w:w="4111"/>
      </w:tblGrid>
      <w:tr w:rsidR="00C3310F" w:rsidRPr="00C3310F" w14:paraId="631EC9F2" w14:textId="77777777" w:rsidTr="00CD44D2">
        <w:trPr>
          <w:tblHeader/>
        </w:trPr>
        <w:tc>
          <w:tcPr>
            <w:tcW w:w="1532" w:type="dxa"/>
          </w:tcPr>
          <w:p w14:paraId="4434E62E" w14:textId="77777777" w:rsidR="000B1C3C" w:rsidRPr="00C3310F" w:rsidRDefault="000B1C3C" w:rsidP="00062CD2">
            <w:pPr>
              <w:spacing w:line="320" w:lineRule="exact"/>
              <w:rPr>
                <w:rFonts w:hAnsi="標楷體"/>
                <w:sz w:val="28"/>
                <w:szCs w:val="28"/>
              </w:rPr>
            </w:pPr>
            <w:r w:rsidRPr="00C3310F">
              <w:rPr>
                <w:rFonts w:hAnsi="標楷體" w:hint="eastAsia"/>
                <w:sz w:val="28"/>
                <w:szCs w:val="28"/>
              </w:rPr>
              <w:t>面向/法令</w:t>
            </w:r>
          </w:p>
        </w:tc>
        <w:tc>
          <w:tcPr>
            <w:tcW w:w="4281" w:type="dxa"/>
          </w:tcPr>
          <w:p w14:paraId="3C6F3B2B" w14:textId="77777777" w:rsidR="000B1C3C" w:rsidRPr="00C3310F" w:rsidRDefault="000B1C3C" w:rsidP="00062CD2">
            <w:pPr>
              <w:spacing w:line="320" w:lineRule="exact"/>
              <w:rPr>
                <w:rFonts w:hAnsi="標楷體"/>
                <w:sz w:val="28"/>
                <w:szCs w:val="28"/>
              </w:rPr>
            </w:pPr>
            <w:r w:rsidRPr="00C3310F">
              <w:rPr>
                <w:rFonts w:hAnsi="標楷體" w:hint="eastAsia"/>
                <w:sz w:val="28"/>
                <w:szCs w:val="28"/>
              </w:rPr>
              <w:t>歐盟/DSA(</w:t>
            </w:r>
            <w:r w:rsidRPr="00C3310F">
              <w:rPr>
                <w:rFonts w:hAnsi="標楷體"/>
                <w:sz w:val="28"/>
                <w:szCs w:val="28"/>
              </w:rPr>
              <w:t>Digital Services Ac</w:t>
            </w:r>
            <w:r w:rsidRPr="00C3310F">
              <w:rPr>
                <w:rFonts w:hAnsi="標楷體" w:hint="eastAsia"/>
                <w:sz w:val="28"/>
                <w:szCs w:val="28"/>
              </w:rPr>
              <w:t>t</w:t>
            </w:r>
            <w:r w:rsidRPr="00C3310F">
              <w:rPr>
                <w:rFonts w:hAnsi="標楷體"/>
                <w:sz w:val="28"/>
                <w:szCs w:val="28"/>
              </w:rPr>
              <w:t>)</w:t>
            </w:r>
          </w:p>
        </w:tc>
        <w:tc>
          <w:tcPr>
            <w:tcW w:w="4111" w:type="dxa"/>
          </w:tcPr>
          <w:p w14:paraId="123DACE7" w14:textId="0E12767A" w:rsidR="000B1C3C" w:rsidRPr="00C3310F" w:rsidRDefault="000B1C3C" w:rsidP="00062CD2">
            <w:pPr>
              <w:spacing w:line="320" w:lineRule="exact"/>
              <w:rPr>
                <w:rFonts w:hAnsi="標楷體"/>
                <w:sz w:val="28"/>
                <w:szCs w:val="28"/>
              </w:rPr>
            </w:pPr>
            <w:r w:rsidRPr="00C3310F">
              <w:rPr>
                <w:rFonts w:hAnsi="標楷體" w:hint="eastAsia"/>
                <w:sz w:val="28"/>
                <w:szCs w:val="28"/>
              </w:rPr>
              <w:t>英國/</w:t>
            </w:r>
            <w:r w:rsidR="00FF1495" w:rsidRPr="00C3310F">
              <w:rPr>
                <w:rFonts w:hAnsi="標楷體" w:hint="eastAsia"/>
                <w:sz w:val="28"/>
                <w:szCs w:val="28"/>
              </w:rPr>
              <w:t>On</w:t>
            </w:r>
            <w:r w:rsidR="00FF1495" w:rsidRPr="00C3310F">
              <w:rPr>
                <w:rFonts w:hAnsi="標楷體"/>
                <w:sz w:val="28"/>
                <w:szCs w:val="28"/>
              </w:rPr>
              <w:t>line</w:t>
            </w:r>
            <w:r w:rsidRPr="00C3310F">
              <w:rPr>
                <w:rFonts w:hAnsi="標楷體"/>
                <w:sz w:val="28"/>
                <w:szCs w:val="28"/>
              </w:rPr>
              <w:t xml:space="preserve"> Safety Act</w:t>
            </w:r>
          </w:p>
        </w:tc>
      </w:tr>
      <w:tr w:rsidR="00C3310F" w:rsidRPr="00C3310F" w14:paraId="4E8D2413" w14:textId="77777777" w:rsidTr="00CD44D2">
        <w:tc>
          <w:tcPr>
            <w:tcW w:w="1532" w:type="dxa"/>
          </w:tcPr>
          <w:p w14:paraId="2F363350" w14:textId="77777777" w:rsidR="000B1C3C" w:rsidRPr="00C3310F" w:rsidRDefault="000B1C3C" w:rsidP="00062CD2">
            <w:pPr>
              <w:spacing w:line="320" w:lineRule="exact"/>
              <w:rPr>
                <w:rFonts w:hAnsi="標楷體"/>
                <w:sz w:val="28"/>
                <w:szCs w:val="28"/>
              </w:rPr>
            </w:pPr>
            <w:r w:rsidRPr="00C3310F">
              <w:rPr>
                <w:rFonts w:hAnsi="標楷體" w:hint="eastAsia"/>
                <w:sz w:val="28"/>
                <w:szCs w:val="28"/>
              </w:rPr>
              <w:t>分類/分層治理</w:t>
            </w:r>
          </w:p>
        </w:tc>
        <w:tc>
          <w:tcPr>
            <w:tcW w:w="4281" w:type="dxa"/>
          </w:tcPr>
          <w:p w14:paraId="4D5B5B34" w14:textId="77777777"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託管服務：分四級，用戶數量越多，治理強度越強。</w:t>
            </w:r>
          </w:p>
          <w:p w14:paraId="44C6BD3F" w14:textId="77777777"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連線服務</w:t>
            </w:r>
          </w:p>
          <w:p w14:paraId="1756EE2F" w14:textId="77777777"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快速存取服務</w:t>
            </w:r>
          </w:p>
          <w:p w14:paraId="7CFC41CF" w14:textId="77777777" w:rsidR="000B1C3C" w:rsidRPr="00C3310F" w:rsidRDefault="000B1C3C" w:rsidP="00062CD2">
            <w:pPr>
              <w:spacing w:line="320" w:lineRule="exact"/>
              <w:rPr>
                <w:rFonts w:hAnsi="標楷體"/>
                <w:sz w:val="28"/>
                <w:szCs w:val="28"/>
              </w:rPr>
            </w:pPr>
          </w:p>
        </w:tc>
        <w:tc>
          <w:tcPr>
            <w:tcW w:w="4111" w:type="dxa"/>
          </w:tcPr>
          <w:p w14:paraId="7475A000" w14:textId="77777777" w:rsidR="000B1C3C" w:rsidRPr="00C3310F" w:rsidRDefault="000B1C3C" w:rsidP="00062CD2">
            <w:pPr>
              <w:pStyle w:val="af8"/>
              <w:numPr>
                <w:ilvl w:val="0"/>
                <w:numId w:val="9"/>
              </w:numPr>
              <w:spacing w:line="320" w:lineRule="exact"/>
              <w:ind w:leftChars="0" w:right="34"/>
              <w:rPr>
                <w:rFonts w:hAnsi="標楷體"/>
                <w:sz w:val="28"/>
                <w:szCs w:val="28"/>
              </w:rPr>
            </w:pPr>
            <w:r w:rsidRPr="00C3310F">
              <w:rPr>
                <w:rFonts w:hAnsi="標楷體" w:hint="eastAsia"/>
                <w:sz w:val="28"/>
                <w:szCs w:val="28"/>
              </w:rPr>
              <w:t>依據用戶數量、服務性質及國務大臣認定，分為3類</w:t>
            </w:r>
          </w:p>
          <w:p w14:paraId="5F881F4D" w14:textId="7557DBF7"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用戶對用戶:第</w:t>
            </w:r>
            <w:r w:rsidRPr="00C3310F">
              <w:rPr>
                <w:rFonts w:hAnsi="標楷體"/>
                <w:sz w:val="28"/>
                <w:szCs w:val="28"/>
              </w:rPr>
              <w:t>1</w:t>
            </w:r>
            <w:r w:rsidRPr="00C3310F">
              <w:rPr>
                <w:rFonts w:hAnsi="標楷體" w:hint="eastAsia"/>
                <w:sz w:val="28"/>
                <w:szCs w:val="28"/>
              </w:rPr>
              <w:t>類(如社群</w:t>
            </w:r>
            <w:r w:rsidR="0004575A" w:rsidRPr="00C3310F">
              <w:rPr>
                <w:rFonts w:hAnsi="標楷體" w:hint="eastAsia"/>
                <w:sz w:val="28"/>
                <w:szCs w:val="28"/>
              </w:rPr>
              <w:t>平臺</w:t>
            </w:r>
            <w:r w:rsidRPr="00C3310F">
              <w:rPr>
                <w:rFonts w:hAnsi="標楷體" w:hint="eastAsia"/>
                <w:sz w:val="28"/>
                <w:szCs w:val="28"/>
              </w:rPr>
              <w:t>)</w:t>
            </w:r>
          </w:p>
          <w:p w14:paraId="0425BE31" w14:textId="77777777"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搜尋服務：第2A類</w:t>
            </w:r>
          </w:p>
          <w:p w14:paraId="36FE22E3" w14:textId="469E9508"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用戶對用戶:第2B類(社群</w:t>
            </w:r>
            <w:r w:rsidR="0004575A" w:rsidRPr="00C3310F">
              <w:rPr>
                <w:rFonts w:hAnsi="標楷體" w:hint="eastAsia"/>
                <w:sz w:val="28"/>
                <w:szCs w:val="28"/>
              </w:rPr>
              <w:t>平臺</w:t>
            </w:r>
            <w:r w:rsidRPr="00C3310F">
              <w:rPr>
                <w:rFonts w:hAnsi="標楷體" w:hint="eastAsia"/>
                <w:sz w:val="28"/>
                <w:szCs w:val="28"/>
              </w:rPr>
              <w:t>以外)</w:t>
            </w:r>
          </w:p>
        </w:tc>
      </w:tr>
      <w:tr w:rsidR="00C3310F" w:rsidRPr="00C3310F" w14:paraId="166382E7" w14:textId="77777777" w:rsidTr="00CD44D2">
        <w:tc>
          <w:tcPr>
            <w:tcW w:w="1532" w:type="dxa"/>
          </w:tcPr>
          <w:p w14:paraId="17ADBCEE" w14:textId="77777777" w:rsidR="000B1C3C" w:rsidRPr="00C3310F" w:rsidRDefault="000B1C3C" w:rsidP="00062CD2">
            <w:pPr>
              <w:spacing w:line="320" w:lineRule="exact"/>
              <w:rPr>
                <w:rFonts w:hAnsi="標楷體"/>
                <w:sz w:val="28"/>
                <w:szCs w:val="28"/>
              </w:rPr>
            </w:pPr>
            <w:r w:rsidRPr="00C3310F">
              <w:rPr>
                <w:rFonts w:hAnsi="標楷體" w:hint="eastAsia"/>
                <w:sz w:val="28"/>
                <w:szCs w:val="28"/>
              </w:rPr>
              <w:t>權力分立</w:t>
            </w:r>
          </w:p>
        </w:tc>
        <w:tc>
          <w:tcPr>
            <w:tcW w:w="4281" w:type="dxa"/>
          </w:tcPr>
          <w:p w14:paraId="7F35A9A2" w14:textId="77777777"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委員會執行/議會監督/法院救濟</w:t>
            </w:r>
          </w:p>
        </w:tc>
        <w:tc>
          <w:tcPr>
            <w:tcW w:w="4111" w:type="dxa"/>
          </w:tcPr>
          <w:p w14:paraId="48B9AE60" w14:textId="77777777"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sz w:val="28"/>
                <w:szCs w:val="28"/>
              </w:rPr>
              <w:t>DCMS</w:t>
            </w:r>
            <w:r w:rsidRPr="00C3310F">
              <w:rPr>
                <w:rFonts w:hAnsi="標楷體" w:hint="eastAsia"/>
                <w:sz w:val="28"/>
                <w:szCs w:val="28"/>
              </w:rPr>
              <w:t>立法/</w:t>
            </w:r>
            <w:r w:rsidRPr="00C3310F">
              <w:rPr>
                <w:rFonts w:hAnsi="標楷體"/>
                <w:sz w:val="28"/>
                <w:szCs w:val="28"/>
              </w:rPr>
              <w:t>Ofcom</w:t>
            </w:r>
            <w:r w:rsidRPr="00C3310F">
              <w:rPr>
                <w:rFonts w:hAnsi="標楷體" w:hint="eastAsia"/>
                <w:sz w:val="28"/>
                <w:szCs w:val="28"/>
              </w:rPr>
              <w:t>獨立機關執行/法院救濟</w:t>
            </w:r>
          </w:p>
        </w:tc>
      </w:tr>
      <w:tr w:rsidR="00C3310F" w:rsidRPr="00C3310F" w14:paraId="5CC265CC" w14:textId="77777777" w:rsidTr="00CD44D2">
        <w:tc>
          <w:tcPr>
            <w:tcW w:w="1532" w:type="dxa"/>
          </w:tcPr>
          <w:p w14:paraId="02A18C39" w14:textId="77777777" w:rsidR="000B1C3C" w:rsidRPr="00C3310F" w:rsidRDefault="000B1C3C" w:rsidP="00062CD2">
            <w:pPr>
              <w:spacing w:line="320" w:lineRule="exact"/>
              <w:rPr>
                <w:rFonts w:hAnsi="標楷體"/>
                <w:sz w:val="28"/>
                <w:szCs w:val="28"/>
              </w:rPr>
            </w:pPr>
            <w:r w:rsidRPr="00C3310F">
              <w:rPr>
                <w:rFonts w:hAnsi="標楷體" w:hint="eastAsia"/>
                <w:sz w:val="28"/>
                <w:szCs w:val="28"/>
              </w:rPr>
              <w:t>落地</w:t>
            </w:r>
          </w:p>
        </w:tc>
        <w:tc>
          <w:tcPr>
            <w:tcW w:w="4281" w:type="dxa"/>
          </w:tcPr>
          <w:p w14:paraId="0A8D11F2" w14:textId="77777777"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要求落地</w:t>
            </w:r>
          </w:p>
        </w:tc>
        <w:tc>
          <w:tcPr>
            <w:tcW w:w="4111" w:type="dxa"/>
          </w:tcPr>
          <w:p w14:paraId="60F61CF9" w14:textId="77777777"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要求落地</w:t>
            </w:r>
          </w:p>
        </w:tc>
      </w:tr>
      <w:tr w:rsidR="00C3310F" w:rsidRPr="00C3310F" w14:paraId="02827392" w14:textId="77777777" w:rsidTr="00CD44D2">
        <w:tc>
          <w:tcPr>
            <w:tcW w:w="1532" w:type="dxa"/>
          </w:tcPr>
          <w:p w14:paraId="28C81C80" w14:textId="77777777" w:rsidR="000B1C3C" w:rsidRPr="00C3310F" w:rsidRDefault="000B1C3C" w:rsidP="00062CD2">
            <w:pPr>
              <w:spacing w:line="320" w:lineRule="exact"/>
              <w:rPr>
                <w:rFonts w:hAnsi="標楷體"/>
                <w:sz w:val="28"/>
                <w:szCs w:val="28"/>
              </w:rPr>
            </w:pPr>
            <w:r w:rsidRPr="00C3310F">
              <w:rPr>
                <w:rFonts w:hAnsi="標楷體" w:hint="eastAsia"/>
                <w:sz w:val="28"/>
                <w:szCs w:val="28"/>
              </w:rPr>
              <w:t>賦予業者義務</w:t>
            </w:r>
          </w:p>
        </w:tc>
        <w:tc>
          <w:tcPr>
            <w:tcW w:w="4281" w:type="dxa"/>
          </w:tcPr>
          <w:p w14:paraId="1FFA28BA" w14:textId="77777777"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建立風險評估、內容審查、救濟措施等機制。</w:t>
            </w:r>
          </w:p>
          <w:p w14:paraId="5AF93352" w14:textId="77777777"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建立與政府之聯繫管道。</w:t>
            </w:r>
          </w:p>
          <w:p w14:paraId="2532C322" w14:textId="77777777"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向執法機構通報涉嫌違法內容。</w:t>
            </w:r>
          </w:p>
          <w:p w14:paraId="2774A9DF" w14:textId="36346421"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出具透明度報告</w:t>
            </w:r>
          </w:p>
          <w:p w14:paraId="41A5A488" w14:textId="77777777"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簽署行為守則(含K</w:t>
            </w:r>
            <w:r w:rsidRPr="00C3310F">
              <w:rPr>
                <w:rFonts w:hAnsi="標楷體"/>
                <w:sz w:val="28"/>
                <w:szCs w:val="28"/>
              </w:rPr>
              <w:t>PI以檢驗</w:t>
            </w:r>
            <w:r w:rsidRPr="00C3310F">
              <w:rPr>
                <w:rFonts w:hAnsi="標楷體" w:hint="eastAsia"/>
                <w:sz w:val="28"/>
                <w:szCs w:val="28"/>
              </w:rPr>
              <w:t>成效)</w:t>
            </w:r>
          </w:p>
          <w:p w14:paraId="0AA5CB0E" w14:textId="77777777"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V</w:t>
            </w:r>
            <w:r w:rsidRPr="00C3310F">
              <w:rPr>
                <w:rFonts w:hAnsi="標楷體"/>
                <w:sz w:val="28"/>
                <w:szCs w:val="28"/>
              </w:rPr>
              <w:t>LOPs</w:t>
            </w:r>
            <w:r w:rsidRPr="00C3310F">
              <w:rPr>
                <w:rFonts w:hAnsi="標楷體" w:hint="eastAsia"/>
                <w:sz w:val="28"/>
                <w:szCs w:val="28"/>
              </w:rPr>
              <w:t>接受獨立審計、繳交監管費、對協調員開放內部數據</w:t>
            </w:r>
          </w:p>
        </w:tc>
        <w:tc>
          <w:tcPr>
            <w:tcW w:w="4111" w:type="dxa"/>
          </w:tcPr>
          <w:p w14:paraId="156B7CCE" w14:textId="77777777"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進行適當且充分的非法內容風險評估</w:t>
            </w:r>
          </w:p>
          <w:p w14:paraId="579F9E76" w14:textId="77777777"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有關非法內容和優先非法內容的責任</w:t>
            </w:r>
          </w:p>
          <w:p w14:paraId="218EF47A" w14:textId="77777777"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透明度、報告和補救的職責</w:t>
            </w:r>
          </w:p>
          <w:p w14:paraId="0445BD79" w14:textId="77777777"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保護言論自由(第1類業者另有額外義務)</w:t>
            </w:r>
          </w:p>
        </w:tc>
      </w:tr>
      <w:tr w:rsidR="00C3310F" w:rsidRPr="00C3310F" w14:paraId="5FFB9CC4" w14:textId="77777777" w:rsidTr="00CD44D2">
        <w:tc>
          <w:tcPr>
            <w:tcW w:w="1532" w:type="dxa"/>
          </w:tcPr>
          <w:p w14:paraId="61986CBF" w14:textId="77777777" w:rsidR="000B1C3C" w:rsidRPr="00C3310F" w:rsidRDefault="000B1C3C" w:rsidP="00062CD2">
            <w:pPr>
              <w:spacing w:line="320" w:lineRule="exact"/>
              <w:rPr>
                <w:rFonts w:hAnsi="標楷體"/>
                <w:sz w:val="28"/>
                <w:szCs w:val="28"/>
              </w:rPr>
            </w:pPr>
            <w:r w:rsidRPr="00C3310F">
              <w:rPr>
                <w:rFonts w:hAnsi="標楷體" w:hint="eastAsia"/>
                <w:sz w:val="28"/>
                <w:szCs w:val="28"/>
              </w:rPr>
              <w:t>內容審查標準</w:t>
            </w:r>
          </w:p>
        </w:tc>
        <w:tc>
          <w:tcPr>
            <w:tcW w:w="4281" w:type="dxa"/>
          </w:tcPr>
          <w:p w14:paraId="2F90CAE2" w14:textId="2E57EFA5"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由其他法律界定(實體世界違法事項在網路上同樣違法)</w:t>
            </w:r>
            <w:r w:rsidR="00CD44D2" w:rsidRPr="00C3310F">
              <w:rPr>
                <w:rFonts w:hAnsi="標楷體" w:hint="eastAsia"/>
                <w:sz w:val="28"/>
                <w:szCs w:val="28"/>
              </w:rPr>
              <w:t>。</w:t>
            </w:r>
          </w:p>
        </w:tc>
        <w:tc>
          <w:tcPr>
            <w:tcW w:w="4111" w:type="dxa"/>
          </w:tcPr>
          <w:p w14:paraId="60C4155E" w14:textId="67EB541F"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違法內容:再細分為「優先處理」(明文條列)、「其他違法內容」</w:t>
            </w:r>
            <w:r w:rsidR="00CD44D2" w:rsidRPr="00C3310F">
              <w:rPr>
                <w:rFonts w:hAnsi="標楷體" w:hint="eastAsia"/>
                <w:sz w:val="28"/>
                <w:szCs w:val="28"/>
              </w:rPr>
              <w:t>。</w:t>
            </w:r>
          </w:p>
          <w:p w14:paraId="5D74AC1C" w14:textId="77777777"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對兒童有害內容:再細分為首要關注、優先關注、非指定有害等三類。</w:t>
            </w:r>
          </w:p>
        </w:tc>
      </w:tr>
      <w:tr w:rsidR="00C3310F" w:rsidRPr="00C3310F" w14:paraId="0D015E81" w14:textId="77777777" w:rsidTr="00CD44D2">
        <w:tc>
          <w:tcPr>
            <w:tcW w:w="1532" w:type="dxa"/>
          </w:tcPr>
          <w:p w14:paraId="52B9E8F0" w14:textId="77777777" w:rsidR="000B1C3C" w:rsidRPr="00C3310F" w:rsidRDefault="000B1C3C" w:rsidP="00062CD2">
            <w:pPr>
              <w:spacing w:line="320" w:lineRule="exact"/>
              <w:rPr>
                <w:rFonts w:hAnsi="標楷體"/>
                <w:sz w:val="28"/>
                <w:szCs w:val="28"/>
              </w:rPr>
            </w:pPr>
            <w:r w:rsidRPr="00C3310F">
              <w:rPr>
                <w:rFonts w:hAnsi="標楷體" w:hint="eastAsia"/>
                <w:sz w:val="28"/>
                <w:szCs w:val="28"/>
              </w:rPr>
              <w:t>業者端內容管理機制</w:t>
            </w:r>
          </w:p>
        </w:tc>
        <w:tc>
          <w:tcPr>
            <w:tcW w:w="4281" w:type="dxa"/>
          </w:tcPr>
          <w:p w14:paraId="412A21F1" w14:textId="77777777"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共計有「通知與回應機制」、「回報可疑犯罪行為」、「認證舉報者」、「風險評估」、「降低危害風險」、「危機處理機制」、「違法商品告知」等機制。</w:t>
            </w:r>
          </w:p>
          <w:p w14:paraId="086503D4" w14:textId="77777777"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業者級別越高，需建置越多機制。</w:t>
            </w:r>
          </w:p>
          <w:p w14:paraId="2650975C" w14:textId="4CC828F3" w:rsidR="000B1C3C" w:rsidRPr="00C3310F" w:rsidRDefault="0004575A"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平臺</w:t>
            </w:r>
            <w:r w:rsidR="000B1C3C" w:rsidRPr="00C3310F">
              <w:rPr>
                <w:rFonts w:hAnsi="標楷體" w:hint="eastAsia"/>
                <w:sz w:val="28"/>
                <w:szCs w:val="28"/>
              </w:rPr>
              <w:t>受理審查來源包括認證舉報者、大眾告知、自主調查及政府通知等(不同級別略有差異)</w:t>
            </w:r>
            <w:r w:rsidR="00CD44D2" w:rsidRPr="00C3310F">
              <w:rPr>
                <w:rFonts w:hAnsi="標楷體" w:hint="eastAsia"/>
                <w:sz w:val="28"/>
                <w:szCs w:val="28"/>
              </w:rPr>
              <w:t>。</w:t>
            </w:r>
          </w:p>
        </w:tc>
        <w:tc>
          <w:tcPr>
            <w:tcW w:w="4111" w:type="dxa"/>
          </w:tcPr>
          <w:p w14:paraId="7CCB78DD" w14:textId="77777777"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共計有「違法內容風險評估」、「降低和管理違法內容危害風險」、「保障用戶隱私及言論自由」、「通知機制」、「紀錄與檢閱」、「兒童造訪評估」、「向執法機關報告C</w:t>
            </w:r>
            <w:r w:rsidRPr="00C3310F">
              <w:rPr>
                <w:rFonts w:hAnsi="標楷體"/>
                <w:sz w:val="28"/>
                <w:szCs w:val="28"/>
              </w:rPr>
              <w:t>SEA(</w:t>
            </w:r>
            <w:r w:rsidRPr="00C3310F">
              <w:rPr>
                <w:rFonts w:hAnsi="標楷體" w:hint="eastAsia"/>
                <w:sz w:val="28"/>
                <w:szCs w:val="28"/>
              </w:rPr>
              <w:t>兒童性剝削/虐待)報告」等機制。</w:t>
            </w:r>
          </w:p>
          <w:p w14:paraId="24E8AB53" w14:textId="77777777"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不同類別業者需建置之機制略有差異。</w:t>
            </w:r>
          </w:p>
        </w:tc>
      </w:tr>
      <w:tr w:rsidR="00C3310F" w:rsidRPr="00C3310F" w14:paraId="38D86570" w14:textId="77777777" w:rsidTr="00CD44D2">
        <w:tc>
          <w:tcPr>
            <w:tcW w:w="1532" w:type="dxa"/>
          </w:tcPr>
          <w:p w14:paraId="08933C0E" w14:textId="77777777" w:rsidR="000B1C3C" w:rsidRPr="00C3310F" w:rsidRDefault="000B1C3C" w:rsidP="00062CD2">
            <w:pPr>
              <w:spacing w:line="320" w:lineRule="exact"/>
              <w:rPr>
                <w:rFonts w:hAnsi="標楷體"/>
                <w:sz w:val="28"/>
                <w:szCs w:val="28"/>
              </w:rPr>
            </w:pPr>
            <w:r w:rsidRPr="00C3310F">
              <w:rPr>
                <w:rFonts w:hAnsi="標楷體" w:hint="eastAsia"/>
                <w:sz w:val="28"/>
                <w:szCs w:val="28"/>
              </w:rPr>
              <w:lastRenderedPageBreak/>
              <w:t>主管機關職責</w:t>
            </w:r>
          </w:p>
        </w:tc>
        <w:tc>
          <w:tcPr>
            <w:tcW w:w="4281" w:type="dxa"/>
          </w:tcPr>
          <w:p w14:paraId="1373999D" w14:textId="33AD01D6"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要求</w:t>
            </w:r>
            <w:r w:rsidR="0004575A" w:rsidRPr="00C3310F">
              <w:rPr>
                <w:rFonts w:hAnsi="標楷體" w:hint="eastAsia"/>
                <w:sz w:val="28"/>
                <w:szCs w:val="28"/>
              </w:rPr>
              <w:t>平臺</w:t>
            </w:r>
            <w:r w:rsidRPr="00C3310F">
              <w:rPr>
                <w:rFonts w:hAnsi="標楷體" w:hint="eastAsia"/>
                <w:sz w:val="28"/>
                <w:szCs w:val="28"/>
              </w:rPr>
              <w:t>處理違法內容：由各國協調員通報</w:t>
            </w:r>
            <w:r w:rsidR="0004575A" w:rsidRPr="00C3310F">
              <w:rPr>
                <w:rFonts w:hAnsi="標楷體" w:hint="eastAsia"/>
                <w:sz w:val="28"/>
                <w:szCs w:val="28"/>
              </w:rPr>
              <w:t>平臺</w:t>
            </w:r>
            <w:r w:rsidRPr="00C3310F">
              <w:rPr>
                <w:rFonts w:hAnsi="標楷體" w:hint="eastAsia"/>
                <w:sz w:val="28"/>
                <w:szCs w:val="28"/>
              </w:rPr>
              <w:t>處理，需提出證據及理由。</w:t>
            </w:r>
          </w:p>
          <w:p w14:paraId="54D8DC2C" w14:textId="0F2C4B5B"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受理</w:t>
            </w:r>
            <w:r w:rsidR="0004575A" w:rsidRPr="00C3310F">
              <w:rPr>
                <w:rFonts w:hAnsi="標楷體" w:hint="eastAsia"/>
                <w:sz w:val="28"/>
                <w:szCs w:val="28"/>
              </w:rPr>
              <w:t>平臺</w:t>
            </w:r>
            <w:r w:rsidRPr="00C3310F">
              <w:rPr>
                <w:rFonts w:hAnsi="標楷體" w:hint="eastAsia"/>
                <w:sz w:val="28"/>
                <w:szCs w:val="28"/>
              </w:rPr>
              <w:t>處理違法內容之結果報告。</w:t>
            </w:r>
          </w:p>
          <w:p w14:paraId="1E837068" w14:textId="3153A904"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執法機關受理</w:t>
            </w:r>
            <w:r w:rsidR="0004575A" w:rsidRPr="00C3310F">
              <w:rPr>
                <w:rFonts w:hAnsi="標楷體" w:hint="eastAsia"/>
                <w:sz w:val="28"/>
                <w:szCs w:val="28"/>
              </w:rPr>
              <w:t>平臺</w:t>
            </w:r>
            <w:r w:rsidRPr="00C3310F">
              <w:rPr>
                <w:rFonts w:hAnsi="標楷體" w:hint="eastAsia"/>
                <w:sz w:val="28"/>
                <w:szCs w:val="28"/>
              </w:rPr>
              <w:t>報告之涉嫌違法內容</w:t>
            </w:r>
            <w:r w:rsidR="00CD44D2" w:rsidRPr="00C3310F">
              <w:rPr>
                <w:rFonts w:hAnsi="標楷體" w:hint="eastAsia"/>
                <w:sz w:val="28"/>
                <w:szCs w:val="28"/>
              </w:rPr>
              <w:t>。</w:t>
            </w:r>
          </w:p>
          <w:p w14:paraId="337C1941" w14:textId="77777777"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協助業者建置各種自律機制。</w:t>
            </w:r>
          </w:p>
          <w:p w14:paraId="3AE1936D" w14:textId="7187D8D0"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發布報告，對大眾揭露各</w:t>
            </w:r>
            <w:r w:rsidR="0004575A" w:rsidRPr="00C3310F">
              <w:rPr>
                <w:rFonts w:hAnsi="標楷體" w:hint="eastAsia"/>
                <w:sz w:val="28"/>
                <w:szCs w:val="28"/>
              </w:rPr>
              <w:t>平臺</w:t>
            </w:r>
            <w:r w:rsidRPr="00C3310F">
              <w:rPr>
                <w:rFonts w:hAnsi="標楷體" w:hint="eastAsia"/>
                <w:sz w:val="28"/>
                <w:szCs w:val="28"/>
              </w:rPr>
              <w:t>風險。</w:t>
            </w:r>
          </w:p>
        </w:tc>
        <w:tc>
          <w:tcPr>
            <w:tcW w:w="4111" w:type="dxa"/>
          </w:tcPr>
          <w:p w14:paraId="7AE19B01" w14:textId="3C74476E"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違法內容出現前</w:t>
            </w:r>
            <w:r w:rsidR="00CD44D2" w:rsidRPr="00C3310F">
              <w:rPr>
                <w:rFonts w:hAnsi="標楷體" w:hint="eastAsia"/>
                <w:sz w:val="28"/>
                <w:szCs w:val="28"/>
              </w:rPr>
              <w:t>。</w:t>
            </w:r>
          </w:p>
          <w:p w14:paraId="3C047079" w14:textId="77777777"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訂定各類業者的業務守則/方針。</w:t>
            </w:r>
          </w:p>
          <w:p w14:paraId="115B9638" w14:textId="77777777"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審查業者的風險評估或透明度報告。</w:t>
            </w:r>
          </w:p>
          <w:p w14:paraId="019EA808" w14:textId="1F4873B3"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違法內容出現後(不直接干預內容審查)</w:t>
            </w:r>
            <w:r w:rsidR="00CD44D2" w:rsidRPr="00C3310F">
              <w:rPr>
                <w:rFonts w:hAnsi="標楷體" w:hint="eastAsia"/>
                <w:sz w:val="28"/>
                <w:szCs w:val="28"/>
              </w:rPr>
              <w:t>。</w:t>
            </w:r>
          </w:p>
          <w:p w14:paraId="3EA0EB89" w14:textId="0395A604"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監督</w:t>
            </w:r>
            <w:r w:rsidR="0004575A" w:rsidRPr="00C3310F">
              <w:rPr>
                <w:rFonts w:hAnsi="標楷體" w:hint="eastAsia"/>
                <w:sz w:val="28"/>
                <w:szCs w:val="28"/>
              </w:rPr>
              <w:t>平臺</w:t>
            </w:r>
            <w:r w:rsidRPr="00C3310F">
              <w:rPr>
                <w:rFonts w:hAnsi="標楷體" w:hint="eastAsia"/>
                <w:sz w:val="28"/>
                <w:szCs w:val="28"/>
              </w:rPr>
              <w:t>有無按照機制執行。</w:t>
            </w:r>
          </w:p>
          <w:p w14:paraId="3E78BC30" w14:textId="1F0EA413"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發現</w:t>
            </w:r>
            <w:r w:rsidR="0004575A" w:rsidRPr="00C3310F">
              <w:rPr>
                <w:rFonts w:hAnsi="標楷體" w:hint="eastAsia"/>
                <w:sz w:val="28"/>
                <w:szCs w:val="28"/>
              </w:rPr>
              <w:t>平臺</w:t>
            </w:r>
            <w:r w:rsidRPr="00C3310F">
              <w:rPr>
                <w:rFonts w:hAnsi="標楷體" w:hint="eastAsia"/>
                <w:sz w:val="28"/>
                <w:szCs w:val="28"/>
              </w:rPr>
              <w:t>審查技術問題並予以輔導</w:t>
            </w:r>
            <w:r w:rsidR="00CD44D2" w:rsidRPr="00C3310F">
              <w:rPr>
                <w:rFonts w:hAnsi="標楷體" w:hint="eastAsia"/>
                <w:sz w:val="28"/>
                <w:szCs w:val="28"/>
              </w:rPr>
              <w:t>。</w:t>
            </w:r>
          </w:p>
        </w:tc>
      </w:tr>
      <w:tr w:rsidR="00C3310F" w:rsidRPr="00C3310F" w14:paraId="7626FFF7" w14:textId="77777777" w:rsidTr="00CD44D2">
        <w:tc>
          <w:tcPr>
            <w:tcW w:w="1532" w:type="dxa"/>
          </w:tcPr>
          <w:p w14:paraId="60B85805" w14:textId="77777777" w:rsidR="000B1C3C" w:rsidRPr="00C3310F" w:rsidRDefault="000B1C3C" w:rsidP="00062CD2">
            <w:pPr>
              <w:spacing w:line="320" w:lineRule="exact"/>
              <w:rPr>
                <w:rFonts w:hAnsi="標楷體"/>
                <w:sz w:val="28"/>
                <w:szCs w:val="28"/>
              </w:rPr>
            </w:pPr>
            <w:r w:rsidRPr="00C3310F">
              <w:rPr>
                <w:rFonts w:hAnsi="標楷體" w:hint="eastAsia"/>
                <w:sz w:val="28"/>
                <w:szCs w:val="28"/>
              </w:rPr>
              <w:t>政府可採取之通知及手段</w:t>
            </w:r>
          </w:p>
        </w:tc>
        <w:tc>
          <w:tcPr>
            <w:tcW w:w="4281" w:type="dxa"/>
          </w:tcPr>
          <w:p w14:paraId="1B15ABF5" w14:textId="73D168D4"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平時</w:t>
            </w:r>
            <w:r w:rsidR="00CD44D2" w:rsidRPr="00C3310F">
              <w:rPr>
                <w:rFonts w:hAnsi="標楷體" w:hint="eastAsia"/>
                <w:sz w:val="28"/>
                <w:szCs w:val="28"/>
              </w:rPr>
              <w:t>。</w:t>
            </w:r>
          </w:p>
          <w:p w14:paraId="29729E50" w14:textId="77777777"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執委會對VLOPs有獨立監督權。</w:t>
            </w:r>
          </w:p>
          <w:p w14:paraId="2D302168" w14:textId="0FB91E5C"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針對「公安」、「公衛」重大威脅，要求</w:t>
            </w:r>
            <w:r w:rsidR="0004575A" w:rsidRPr="00C3310F">
              <w:rPr>
                <w:rFonts w:hAnsi="標楷體" w:hint="eastAsia"/>
                <w:sz w:val="28"/>
                <w:szCs w:val="28"/>
              </w:rPr>
              <w:t>平臺</w:t>
            </w:r>
            <w:r w:rsidRPr="00C3310F">
              <w:rPr>
                <w:rFonts w:hAnsi="標楷體" w:hint="eastAsia"/>
                <w:sz w:val="28"/>
                <w:szCs w:val="28"/>
              </w:rPr>
              <w:t>採取緊急措施。</w:t>
            </w:r>
          </w:p>
          <w:p w14:paraId="2A7E4B0E" w14:textId="43AF75C4"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業者未盡職責時</w:t>
            </w:r>
            <w:r w:rsidR="00CD44D2" w:rsidRPr="00C3310F">
              <w:rPr>
                <w:rFonts w:hAnsi="標楷體" w:hint="eastAsia"/>
                <w:sz w:val="28"/>
                <w:szCs w:val="28"/>
              </w:rPr>
              <w:t>。</w:t>
            </w:r>
          </w:p>
          <w:p w14:paraId="4A121B5F" w14:textId="4BCE5E67"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受影響國家可向</w:t>
            </w:r>
            <w:r w:rsidR="0004575A" w:rsidRPr="00C3310F">
              <w:rPr>
                <w:rFonts w:hAnsi="標楷體" w:hint="eastAsia"/>
                <w:sz w:val="28"/>
                <w:szCs w:val="28"/>
              </w:rPr>
              <w:t>平臺</w:t>
            </w:r>
            <w:r w:rsidRPr="00C3310F">
              <w:rPr>
                <w:rFonts w:hAnsi="標楷體" w:hint="eastAsia"/>
                <w:sz w:val="28"/>
                <w:szCs w:val="28"/>
              </w:rPr>
              <w:t>所在國家之協調員(機構)要求展開調查。</w:t>
            </w:r>
          </w:p>
          <w:p w14:paraId="33B0E9B3" w14:textId="77777777"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執委會展開調查，要求業者回應，發動訴訟，按D</w:t>
            </w:r>
            <w:r w:rsidRPr="00C3310F">
              <w:rPr>
                <w:rFonts w:hAnsi="標楷體"/>
                <w:sz w:val="28"/>
                <w:szCs w:val="28"/>
              </w:rPr>
              <w:t>SA</w:t>
            </w:r>
            <w:r w:rsidRPr="00C3310F">
              <w:rPr>
                <w:rFonts w:hAnsi="標楷體" w:hint="eastAsia"/>
                <w:sz w:val="28"/>
                <w:szCs w:val="28"/>
              </w:rPr>
              <w:t>予以裁罰。</w:t>
            </w:r>
          </w:p>
          <w:p w14:paraId="250237DE" w14:textId="28558203"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若認定業者遲不改進，各國協調員有權限制部分接取服務，如無法部分限制，則可能全部限制(原則時限為4週，可依法延長)</w:t>
            </w:r>
            <w:r w:rsidR="00CD44D2" w:rsidRPr="00C3310F">
              <w:rPr>
                <w:rFonts w:hAnsi="標楷體" w:hint="eastAsia"/>
                <w:sz w:val="28"/>
                <w:szCs w:val="28"/>
              </w:rPr>
              <w:t>。</w:t>
            </w:r>
          </w:p>
        </w:tc>
        <w:tc>
          <w:tcPr>
            <w:tcW w:w="4111" w:type="dxa"/>
          </w:tcPr>
          <w:p w14:paraId="61261032" w14:textId="77777777"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通知</w:t>
            </w:r>
          </w:p>
          <w:p w14:paraId="0C48321F" w14:textId="77777777"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技術警告通知(針對恐怖主義及C</w:t>
            </w:r>
            <w:r w:rsidRPr="00C3310F">
              <w:rPr>
                <w:rFonts w:hAnsi="標楷體"/>
                <w:sz w:val="28"/>
                <w:szCs w:val="28"/>
              </w:rPr>
              <w:t>SEA</w:t>
            </w:r>
            <w:r w:rsidRPr="00C3310F">
              <w:rPr>
                <w:rFonts w:hAnsi="標楷體" w:hint="eastAsia"/>
                <w:sz w:val="28"/>
                <w:szCs w:val="28"/>
              </w:rPr>
              <w:t>)</w:t>
            </w:r>
          </w:p>
          <w:p w14:paraId="48B78E93" w14:textId="77777777"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技術通知</w:t>
            </w:r>
          </w:p>
          <w:p w14:paraId="44E589E6" w14:textId="77777777"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臨時執法通知</w:t>
            </w:r>
          </w:p>
          <w:p w14:paraId="34E816FE" w14:textId="77777777"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裁定結果</w:t>
            </w:r>
          </w:p>
          <w:p w14:paraId="46C6F154" w14:textId="77777777"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裁罰通知</w:t>
            </w:r>
          </w:p>
          <w:p w14:paraId="5925024C" w14:textId="77777777"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向法院聲請</w:t>
            </w:r>
          </w:p>
          <w:p w14:paraId="7BD61531" w14:textId="77777777"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服務限制令</w:t>
            </w:r>
          </w:p>
          <w:p w14:paraId="5EF7F51B" w14:textId="77777777"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暫時服務限制令</w:t>
            </w:r>
          </w:p>
          <w:p w14:paraId="6982F3D5" w14:textId="77777777"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接取限制令</w:t>
            </w:r>
          </w:p>
          <w:p w14:paraId="5FD12937" w14:textId="77777777"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暫時接取限制令</w:t>
            </w:r>
          </w:p>
        </w:tc>
      </w:tr>
      <w:tr w:rsidR="00C3310F" w:rsidRPr="00C3310F" w14:paraId="0F8489A5" w14:textId="77777777" w:rsidTr="00CD44D2">
        <w:tc>
          <w:tcPr>
            <w:tcW w:w="1532" w:type="dxa"/>
          </w:tcPr>
          <w:p w14:paraId="51369087" w14:textId="77777777" w:rsidR="000B1C3C" w:rsidRPr="00C3310F" w:rsidRDefault="000B1C3C" w:rsidP="00062CD2">
            <w:pPr>
              <w:spacing w:line="320" w:lineRule="exact"/>
              <w:rPr>
                <w:rFonts w:hAnsi="標楷體"/>
                <w:sz w:val="28"/>
                <w:szCs w:val="28"/>
              </w:rPr>
            </w:pPr>
            <w:r w:rsidRPr="00C3310F">
              <w:rPr>
                <w:rFonts w:hAnsi="標楷體" w:hint="eastAsia"/>
                <w:sz w:val="28"/>
                <w:szCs w:val="28"/>
              </w:rPr>
              <w:t>最高罰款(</w:t>
            </w:r>
            <w:r w:rsidRPr="00C3310F">
              <w:rPr>
                <w:rFonts w:hAnsi="標楷體"/>
                <w:sz w:val="28"/>
                <w:szCs w:val="28"/>
              </w:rPr>
              <w:t>NTD</w:t>
            </w:r>
            <w:r w:rsidRPr="00C3310F">
              <w:rPr>
                <w:rFonts w:hAnsi="標楷體" w:hint="eastAsia"/>
                <w:sz w:val="28"/>
                <w:szCs w:val="28"/>
              </w:rPr>
              <w:t>)</w:t>
            </w:r>
          </w:p>
        </w:tc>
        <w:tc>
          <w:tcPr>
            <w:tcW w:w="4281" w:type="dxa"/>
          </w:tcPr>
          <w:p w14:paraId="3553772A" w14:textId="571E01F7"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hint="eastAsia"/>
                <w:sz w:val="28"/>
                <w:szCs w:val="28"/>
              </w:rPr>
              <w:t>全球營收6%</w:t>
            </w:r>
            <w:r w:rsidR="003718DC" w:rsidRPr="00C3310F">
              <w:rPr>
                <w:rFonts w:hAnsi="標楷體" w:hint="eastAsia"/>
                <w:sz w:val="28"/>
                <w:szCs w:val="28"/>
              </w:rPr>
              <w:t>。</w:t>
            </w:r>
          </w:p>
        </w:tc>
        <w:tc>
          <w:tcPr>
            <w:tcW w:w="4111" w:type="dxa"/>
          </w:tcPr>
          <w:p w14:paraId="5E0F6437" w14:textId="77777777" w:rsidR="000B1C3C" w:rsidRPr="00C3310F" w:rsidRDefault="000B1C3C" w:rsidP="00062CD2">
            <w:pPr>
              <w:pStyle w:val="af8"/>
              <w:numPr>
                <w:ilvl w:val="0"/>
                <w:numId w:val="9"/>
              </w:numPr>
              <w:spacing w:line="320" w:lineRule="exact"/>
              <w:ind w:leftChars="0"/>
              <w:rPr>
                <w:rFonts w:hAnsi="標楷體"/>
                <w:sz w:val="28"/>
                <w:szCs w:val="28"/>
              </w:rPr>
            </w:pPr>
            <w:r w:rsidRPr="00C3310F">
              <w:rPr>
                <w:rFonts w:hAnsi="標楷體"/>
                <w:sz w:val="28"/>
                <w:szCs w:val="28"/>
              </w:rPr>
              <w:t>7</w:t>
            </w:r>
            <w:r w:rsidRPr="00C3310F">
              <w:rPr>
                <w:rFonts w:hAnsi="標楷體" w:hint="eastAsia"/>
                <w:sz w:val="28"/>
                <w:szCs w:val="28"/>
              </w:rPr>
              <w:t>億或全球營收10%，另有刑責。</w:t>
            </w:r>
          </w:p>
        </w:tc>
      </w:tr>
      <w:tr w:rsidR="00C3310F" w:rsidRPr="00C3310F" w14:paraId="7DBBCD2B" w14:textId="77777777" w:rsidTr="00B7077C">
        <w:trPr>
          <w:trHeight w:val="2933"/>
        </w:trPr>
        <w:tc>
          <w:tcPr>
            <w:tcW w:w="9924" w:type="dxa"/>
            <w:gridSpan w:val="3"/>
          </w:tcPr>
          <w:p w14:paraId="6AA1357D" w14:textId="77777777" w:rsidR="000B1C3C" w:rsidRPr="00C3310F" w:rsidRDefault="000B1C3C" w:rsidP="00062CD2">
            <w:pPr>
              <w:spacing w:line="320" w:lineRule="exact"/>
              <w:jc w:val="left"/>
              <w:rPr>
                <w:rFonts w:hAnsi="標楷體"/>
                <w:sz w:val="24"/>
                <w:szCs w:val="28"/>
              </w:rPr>
            </w:pPr>
            <w:r w:rsidRPr="00C3310F">
              <w:rPr>
                <w:rFonts w:hAnsi="標楷體" w:hint="eastAsia"/>
                <w:sz w:val="24"/>
                <w:szCs w:val="28"/>
              </w:rPr>
              <w:t>註：本表綜整自以下文獻</w:t>
            </w:r>
          </w:p>
          <w:p w14:paraId="458DDF3E" w14:textId="77777777" w:rsidR="000B1C3C" w:rsidRPr="00C3310F" w:rsidRDefault="000B1C3C" w:rsidP="00062CD2">
            <w:pPr>
              <w:pStyle w:val="af8"/>
              <w:numPr>
                <w:ilvl w:val="0"/>
                <w:numId w:val="27"/>
              </w:numPr>
              <w:spacing w:line="320" w:lineRule="exact"/>
              <w:ind w:leftChars="0"/>
              <w:jc w:val="left"/>
              <w:rPr>
                <w:rFonts w:hAnsi="標楷體"/>
                <w:sz w:val="24"/>
                <w:szCs w:val="28"/>
              </w:rPr>
            </w:pPr>
            <w:r w:rsidRPr="00C3310F">
              <w:rPr>
                <w:rFonts w:hAnsi="標楷體" w:hint="eastAsia"/>
                <w:sz w:val="24"/>
                <w:szCs w:val="28"/>
              </w:rPr>
              <w:t>台灣媒體觀察教育基金會(2023)：「歐洲『網路戒嚴』來臨？數位服務法發威，歐洲會更民主嗎？」(</w:t>
            </w:r>
            <w:r w:rsidRPr="00C3310F">
              <w:rPr>
                <w:rFonts w:hAnsi="標楷體"/>
                <w:sz w:val="24"/>
                <w:szCs w:val="28"/>
              </w:rPr>
              <w:t>https://vocus.cc/article/6502d286fd89780001f4f530</w:t>
            </w:r>
            <w:r w:rsidRPr="00C3310F">
              <w:rPr>
                <w:rFonts w:hAnsi="標楷體" w:hint="eastAsia"/>
                <w:sz w:val="24"/>
                <w:szCs w:val="28"/>
              </w:rPr>
              <w:t>）</w:t>
            </w:r>
          </w:p>
          <w:p w14:paraId="6EBA1766" w14:textId="77777777" w:rsidR="000B1C3C" w:rsidRPr="00C3310F" w:rsidRDefault="000B1C3C" w:rsidP="00062CD2">
            <w:pPr>
              <w:pStyle w:val="af8"/>
              <w:numPr>
                <w:ilvl w:val="0"/>
                <w:numId w:val="27"/>
              </w:numPr>
              <w:spacing w:line="320" w:lineRule="exact"/>
              <w:ind w:leftChars="0"/>
              <w:jc w:val="left"/>
              <w:rPr>
                <w:rFonts w:hAnsi="標楷體"/>
                <w:sz w:val="24"/>
                <w:szCs w:val="28"/>
              </w:rPr>
            </w:pPr>
            <w:r w:rsidRPr="00C3310F">
              <w:rPr>
                <w:rFonts w:hAnsi="標楷體" w:hint="eastAsia"/>
                <w:sz w:val="24"/>
                <w:szCs w:val="28"/>
              </w:rPr>
              <w:t>英國成文法資料庫。(2023)</w:t>
            </w:r>
            <w:hyperlink r:id="rId31" w:history="1">
              <w:r w:rsidRPr="00C3310F">
                <w:rPr>
                  <w:rStyle w:val="ae"/>
                  <w:rFonts w:hAnsi="標楷體"/>
                  <w:color w:val="auto"/>
                  <w:sz w:val="24"/>
                  <w:szCs w:val="28"/>
                </w:rPr>
                <w:t>https://www.legislation.gov.uk/ukpga/2023/50/enacted</w:t>
              </w:r>
            </w:hyperlink>
          </w:p>
          <w:p w14:paraId="7420A800" w14:textId="47086AFC" w:rsidR="000B1C3C" w:rsidRPr="00C3310F" w:rsidRDefault="000B1C3C" w:rsidP="00062CD2">
            <w:pPr>
              <w:pStyle w:val="af8"/>
              <w:numPr>
                <w:ilvl w:val="0"/>
                <w:numId w:val="27"/>
              </w:numPr>
              <w:spacing w:line="320" w:lineRule="exact"/>
              <w:ind w:leftChars="0"/>
              <w:jc w:val="left"/>
              <w:rPr>
                <w:rFonts w:hAnsi="標楷體"/>
                <w:sz w:val="24"/>
                <w:szCs w:val="28"/>
              </w:rPr>
            </w:pPr>
            <w:r w:rsidRPr="00C3310F">
              <w:rPr>
                <w:rFonts w:hAnsi="標楷體" w:hint="eastAsia"/>
                <w:sz w:val="24"/>
                <w:szCs w:val="28"/>
              </w:rPr>
              <w:t>陳寧(2023)，線上</w:t>
            </w:r>
            <w:r w:rsidR="0004575A" w:rsidRPr="00C3310F">
              <w:rPr>
                <w:rFonts w:hAnsi="標楷體" w:hint="eastAsia"/>
                <w:sz w:val="24"/>
                <w:szCs w:val="28"/>
              </w:rPr>
              <w:t>平臺</w:t>
            </w:r>
            <w:r w:rsidRPr="00C3310F">
              <w:rPr>
                <w:rFonts w:hAnsi="標楷體" w:hint="eastAsia"/>
                <w:sz w:val="24"/>
                <w:szCs w:val="28"/>
              </w:rPr>
              <w:t>與內容之治理—以歐盟《數位服務法》與英國《線上安全法》草案為例。</w:t>
            </w:r>
            <w:r w:rsidR="005E17A1" w:rsidRPr="00C3310F">
              <w:rPr>
                <w:rFonts w:hAnsi="標楷體" w:hint="eastAsia"/>
                <w:sz w:val="24"/>
                <w:szCs w:val="28"/>
              </w:rPr>
              <w:t>臺</w:t>
            </w:r>
            <w:r w:rsidRPr="00C3310F">
              <w:rPr>
                <w:rFonts w:hAnsi="標楷體" w:hint="eastAsia"/>
                <w:sz w:val="24"/>
                <w:szCs w:val="28"/>
              </w:rPr>
              <w:t>灣大學新聞所碩士論文。</w:t>
            </w:r>
          </w:p>
          <w:p w14:paraId="23DA0342" w14:textId="77777777" w:rsidR="000B1C3C" w:rsidRPr="00C3310F" w:rsidRDefault="000B1C3C" w:rsidP="00062CD2">
            <w:pPr>
              <w:pStyle w:val="af8"/>
              <w:numPr>
                <w:ilvl w:val="0"/>
                <w:numId w:val="27"/>
              </w:numPr>
              <w:spacing w:line="320" w:lineRule="exact"/>
              <w:ind w:leftChars="0"/>
              <w:jc w:val="left"/>
              <w:rPr>
                <w:rFonts w:hAnsi="標楷體"/>
                <w:sz w:val="28"/>
                <w:szCs w:val="28"/>
              </w:rPr>
            </w:pPr>
            <w:r w:rsidRPr="00C3310F">
              <w:rPr>
                <w:rFonts w:hAnsi="標楷體" w:hint="eastAsia"/>
                <w:sz w:val="24"/>
                <w:szCs w:val="28"/>
              </w:rPr>
              <w:t>歐盟官方網站。</w:t>
            </w:r>
            <w:hyperlink r:id="rId32" w:history="1">
              <w:r w:rsidRPr="00C3310F">
                <w:rPr>
                  <w:rStyle w:val="ae"/>
                  <w:rFonts w:hAnsi="標楷體"/>
                  <w:color w:val="auto"/>
                  <w:sz w:val="24"/>
                  <w:szCs w:val="28"/>
                </w:rPr>
                <w:t>https://digital-strategy.ec.europa.eu/en/policies/digital-services-act-package</w:t>
              </w:r>
            </w:hyperlink>
            <w:r w:rsidRPr="00C3310F">
              <w:rPr>
                <w:rFonts w:hAnsi="標楷體" w:hint="eastAsia"/>
                <w:sz w:val="24"/>
                <w:szCs w:val="28"/>
              </w:rPr>
              <w:t>。</w:t>
            </w:r>
          </w:p>
        </w:tc>
      </w:tr>
    </w:tbl>
    <w:p w14:paraId="28BAF4CA" w14:textId="71BC2B98" w:rsidR="000B1C3C" w:rsidRPr="00C3310F" w:rsidRDefault="000B1C3C" w:rsidP="007441B4">
      <w:pPr>
        <w:pStyle w:val="5"/>
        <w:spacing w:beforeLines="50" w:before="228"/>
        <w:ind w:left="2042" w:hanging="851"/>
      </w:pPr>
      <w:r w:rsidRPr="00C3310F">
        <w:rPr>
          <w:rFonts w:hint="eastAsia"/>
        </w:rPr>
        <w:lastRenderedPageBreak/>
        <w:t>英國在2023年10月通過了</w:t>
      </w:r>
      <w:r w:rsidR="0004575A" w:rsidRPr="00C3310F">
        <w:rPr>
          <w:rFonts w:hint="eastAsia"/>
        </w:rPr>
        <w:t>「線上安全法」(</w:t>
      </w:r>
      <w:r w:rsidR="00FF1495" w:rsidRPr="00C3310F">
        <w:rPr>
          <w:rFonts w:hint="eastAsia"/>
        </w:rPr>
        <w:t>O</w:t>
      </w:r>
      <w:r w:rsidR="00FF1495" w:rsidRPr="00C3310F">
        <w:t>nline</w:t>
      </w:r>
      <w:r w:rsidRPr="00C3310F">
        <w:rPr>
          <w:rFonts w:hint="eastAsia"/>
        </w:rPr>
        <w:t>Safety Act</w:t>
      </w:r>
      <w:r w:rsidR="0004575A" w:rsidRPr="00C3310F">
        <w:rPr>
          <w:rFonts w:hint="eastAsia"/>
        </w:rPr>
        <w:t>)</w:t>
      </w:r>
      <w:r w:rsidRPr="00C3310F">
        <w:rPr>
          <w:rFonts w:hint="eastAsia"/>
        </w:rPr>
        <w:t>，該法是源於「Molly Russell案」而立法，其治理概念與歐盟「數位服務法」(Digital Services Act，2024年2月施行)、加拿大「網路傷害法」(</w:t>
      </w:r>
      <w:r w:rsidR="00FF1495" w:rsidRPr="00C3310F">
        <w:t>Online</w:t>
      </w:r>
      <w:r w:rsidRPr="00C3310F">
        <w:rPr>
          <w:rFonts w:hint="eastAsia"/>
        </w:rPr>
        <w:t xml:space="preserve"> Harms Act，正在立法程序)類似，顯示數位治理是國際趨勢，而且治理架構，包括他律、自律、</w:t>
      </w:r>
      <w:r w:rsidR="0004575A" w:rsidRPr="00C3310F">
        <w:rPr>
          <w:rFonts w:hint="eastAsia"/>
        </w:rPr>
        <w:t>平臺</w:t>
      </w:r>
      <w:r w:rsidRPr="00C3310F">
        <w:rPr>
          <w:rFonts w:hint="eastAsia"/>
        </w:rPr>
        <w:t>分級、透明化、司法救濟等等，求同存異的程度相當高，都在賦予數位</w:t>
      </w:r>
      <w:r w:rsidR="0004575A" w:rsidRPr="00C3310F">
        <w:rPr>
          <w:rFonts w:hint="eastAsia"/>
        </w:rPr>
        <w:t>平臺</w:t>
      </w:r>
      <w:r w:rsidRPr="00C3310F">
        <w:rPr>
          <w:rFonts w:hint="eastAsia"/>
        </w:rPr>
        <w:t>更多的自律機制外，同時強化他律手段，意即賦予主管機關更多的職權並兼顧言論自由，雖然這幾個國家的法律都施行不久，還沒有具體的成功或爭議案件(例如</w:t>
      </w:r>
      <w:r w:rsidR="0004575A" w:rsidRPr="00C3310F">
        <w:rPr>
          <w:rFonts w:hint="eastAsia"/>
        </w:rPr>
        <w:t>平臺</w:t>
      </w:r>
      <w:r w:rsidRPr="00C3310F">
        <w:rPr>
          <w:rFonts w:hint="eastAsia"/>
        </w:rPr>
        <w:t>不服處分而尋求司法救濟)據以檢討或修正，但仍可做為我國尚顯貧弱的數位治理規管參考。</w:t>
      </w:r>
    </w:p>
    <w:p w14:paraId="274DC120" w14:textId="76FD8709" w:rsidR="000B1C3C" w:rsidRPr="00C3310F" w:rsidRDefault="0004575A" w:rsidP="000B1C3C">
      <w:pPr>
        <w:pStyle w:val="5"/>
      </w:pPr>
      <w:r w:rsidRPr="00C3310F">
        <w:rPr>
          <w:rFonts w:hint="eastAsia"/>
        </w:rPr>
        <w:t>「線上安全法」(</w:t>
      </w:r>
      <w:r w:rsidR="000B1C3C" w:rsidRPr="00C3310F">
        <w:rPr>
          <w:rFonts w:hint="eastAsia"/>
        </w:rPr>
        <w:t>On</w:t>
      </w:r>
      <w:r w:rsidR="00077916" w:rsidRPr="00C3310F">
        <w:t>line</w:t>
      </w:r>
      <w:r w:rsidR="000B1C3C" w:rsidRPr="00C3310F">
        <w:rPr>
          <w:rFonts w:hint="eastAsia"/>
        </w:rPr>
        <w:t xml:space="preserve"> Safety Act</w:t>
      </w:r>
      <w:r w:rsidRPr="00C3310F">
        <w:rPr>
          <w:rFonts w:hint="eastAsia"/>
        </w:rPr>
        <w:t>)</w:t>
      </w:r>
      <w:r w:rsidR="000B1C3C" w:rsidRPr="00C3310F">
        <w:rPr>
          <w:rFonts w:hint="eastAsia"/>
        </w:rPr>
        <w:t>是由英國的DCMS</w:t>
      </w:r>
      <w:r w:rsidR="003718DC" w:rsidRPr="00C3310F">
        <w:rPr>
          <w:rFonts w:hint="eastAsia"/>
        </w:rPr>
        <w:t>(相當於數發部)</w:t>
      </w:r>
      <w:r w:rsidR="000B1C3C" w:rsidRPr="00C3310F">
        <w:rPr>
          <w:rFonts w:hint="eastAsia"/>
        </w:rPr>
        <w:t>所推動立法，但執行單位是Ofcom(相當於</w:t>
      </w:r>
      <w:r w:rsidR="00314645" w:rsidRPr="00C3310F">
        <w:rPr>
          <w:rFonts w:hint="eastAsia"/>
        </w:rPr>
        <w:t>通傳會</w:t>
      </w:r>
      <w:r w:rsidR="000B1C3C" w:rsidRPr="00C3310F">
        <w:rPr>
          <w:rFonts w:hint="eastAsia"/>
        </w:rPr>
        <w:t>)，相較於我國目前在數位治理層面係由</w:t>
      </w:r>
      <w:r w:rsidR="00D82B1C" w:rsidRPr="00C3310F">
        <w:rPr>
          <w:rFonts w:hint="eastAsia"/>
        </w:rPr>
        <w:t>數發部</w:t>
      </w:r>
      <w:r w:rsidR="000B1C3C" w:rsidRPr="00C3310F">
        <w:rPr>
          <w:rFonts w:hint="eastAsia"/>
        </w:rPr>
        <w:t>或通傳會主政未有定論，英國的分工情形及其優劣，值得我國進一步加以探討；此外，若以歐盟為例，其數位治理之法制結構並非企圖以「數位服務法」（DSA）作為</w:t>
      </w:r>
      <w:r w:rsidRPr="00C3310F">
        <w:rPr>
          <w:rFonts w:hint="eastAsia"/>
        </w:rPr>
        <w:t>全方位解決方案</w:t>
      </w:r>
      <w:r w:rsidR="000B1C3C" w:rsidRPr="00C3310F">
        <w:rPr>
          <w:rFonts w:hint="eastAsia"/>
        </w:rPr>
        <w:t>來解決數位</w:t>
      </w:r>
      <w:r w:rsidRPr="00C3310F">
        <w:rPr>
          <w:rFonts w:hint="eastAsia"/>
        </w:rPr>
        <w:t>平臺</w:t>
      </w:r>
      <w:r w:rsidR="000B1C3C" w:rsidRPr="00C3310F">
        <w:rPr>
          <w:rFonts w:hint="eastAsia"/>
        </w:rPr>
        <w:t>的所有問題，而是必須搭配「數位市場法」(DMA)、「人工智慧法」(</w:t>
      </w:r>
      <w:r w:rsidRPr="00C3310F">
        <w:rPr>
          <w:rFonts w:hint="eastAsia"/>
        </w:rPr>
        <w:t xml:space="preserve">EU </w:t>
      </w:r>
      <w:r w:rsidR="000B1C3C" w:rsidRPr="00C3310F">
        <w:rPr>
          <w:rFonts w:hint="eastAsia"/>
        </w:rPr>
        <w:t>AI Act)及「一般資料保護規則」(GDPR)等，以形成複式的規管環境，亦可做為我國陸續修訂「資通安全管理法」及「個人資料保護法」及本院後續監督政府在相關領域執法情形之借鑑。</w:t>
      </w:r>
    </w:p>
    <w:p w14:paraId="6CF6B6FF" w14:textId="77777777" w:rsidR="000B1C3C" w:rsidRPr="00C3310F" w:rsidRDefault="000B1C3C" w:rsidP="000B1C3C">
      <w:pPr>
        <w:pStyle w:val="5"/>
      </w:pPr>
      <w:r w:rsidRPr="00C3310F">
        <w:rPr>
          <w:rFonts w:hint="eastAsia"/>
        </w:rPr>
        <w:t>不分民主及威權國家，數位治理已成為顯學，相</w:t>
      </w:r>
      <w:r w:rsidRPr="00C3310F">
        <w:rPr>
          <w:rFonts w:hint="eastAsia"/>
        </w:rPr>
        <w:lastRenderedPageBreak/>
        <w:t>關制度也逐漸完備，我國在這部分似乎因為社會共識和言論自由方面的挑戰尚未跟上國際趨勢。</w:t>
      </w:r>
    </w:p>
    <w:p w14:paraId="4FD754B0" w14:textId="7F7A49EA" w:rsidR="000B1C3C" w:rsidRPr="00C3310F" w:rsidRDefault="000B1C3C" w:rsidP="000B1C3C">
      <w:pPr>
        <w:pStyle w:val="5"/>
      </w:pPr>
      <w:r w:rsidRPr="00C3310F">
        <w:rPr>
          <w:rFonts w:hint="eastAsia"/>
        </w:rPr>
        <w:t>根據卓越新聞獎基金會轉載牛津大學2023</w:t>
      </w:r>
      <w:r w:rsidR="003718DC" w:rsidRPr="00C3310F">
        <w:rPr>
          <w:rFonts w:hint="eastAsia"/>
        </w:rPr>
        <w:t>年</w:t>
      </w:r>
      <w:r w:rsidRPr="00C3310F">
        <w:rPr>
          <w:rFonts w:hint="eastAsia"/>
        </w:rPr>
        <w:t>公布的【2023年度數位新聞產業報告】內容顯示，臺灣民眾對於媒體的整體信任度為調查國家中的後段班（第41名），僅有28%；而被認為可相信媒體則包含：公視、商業周刊、天下雜誌、TVBS與經濟日報等，顯示我國的媒體信賴程度還有許多挑戰有待克服。</w:t>
      </w:r>
    </w:p>
    <w:p w14:paraId="12D8CE1D" w14:textId="40B483A4" w:rsidR="000B1C3C" w:rsidRPr="00C3310F" w:rsidRDefault="000B1C3C" w:rsidP="000B1C3C">
      <w:pPr>
        <w:pStyle w:val="3"/>
      </w:pPr>
      <w:bookmarkStart w:id="985" w:name="_Toc171525604"/>
      <w:bookmarkStart w:id="986" w:name="_Toc172024125"/>
      <w:bookmarkStart w:id="987" w:name="_Toc172033448"/>
      <w:r w:rsidRPr="00C3310F">
        <w:rPr>
          <w:rFonts w:hint="eastAsia"/>
        </w:rPr>
        <w:t>至於「數位中介服務法」未形成社會共識而遭擱置之原因，</w:t>
      </w:r>
      <w:r w:rsidR="00A1409C" w:rsidRPr="00C3310F">
        <w:rPr>
          <w:rFonts w:hint="eastAsia"/>
        </w:rPr>
        <w:t>本調查研究</w:t>
      </w:r>
      <w:r w:rsidRPr="00C3310F">
        <w:rPr>
          <w:rFonts w:hint="eastAsia"/>
        </w:rPr>
        <w:t>經諮詢專家學者認為，通傳會當時提出草案確實未臻周全，包括過度規管小型</w:t>
      </w:r>
      <w:r w:rsidR="0004575A" w:rsidRPr="00C3310F">
        <w:rPr>
          <w:rFonts w:hint="eastAsia"/>
        </w:rPr>
        <w:t>平臺</w:t>
      </w:r>
      <w:r w:rsidRPr="00C3310F">
        <w:rPr>
          <w:rFonts w:hint="eastAsia"/>
        </w:rPr>
        <w:t>、高權過度介入等等，結果不僅導致數位治理法制遭擱置，無法建構數位治理環境，也扼殺近年對於數位治理之討論空間，對於堵詐而言更是平添犯罪機會。對此，政府目前雖已統由行政院協調通傳會及</w:t>
      </w:r>
      <w:r w:rsidR="00D82B1C" w:rsidRPr="00C3310F">
        <w:rPr>
          <w:rFonts w:hint="eastAsia"/>
        </w:rPr>
        <w:t>數發部</w:t>
      </w:r>
      <w:r w:rsidRPr="00C3310F">
        <w:rPr>
          <w:rFonts w:hint="eastAsia"/>
        </w:rPr>
        <w:t>辦理數位</w:t>
      </w:r>
      <w:r w:rsidR="0004575A" w:rsidRPr="00C3310F">
        <w:rPr>
          <w:rFonts w:hint="eastAsia"/>
        </w:rPr>
        <w:t>平臺</w:t>
      </w:r>
      <w:r w:rsidRPr="00C3310F">
        <w:rPr>
          <w:rFonts w:hint="eastAsia"/>
        </w:rPr>
        <w:t>治理事宜，並逐步要求</w:t>
      </w:r>
      <w:r w:rsidR="0004575A" w:rsidRPr="00C3310F">
        <w:rPr>
          <w:rFonts w:hint="eastAsia"/>
        </w:rPr>
        <w:t>平臺</w:t>
      </w:r>
      <w:r w:rsidRPr="00C3310F">
        <w:rPr>
          <w:rFonts w:hint="eastAsia"/>
        </w:rPr>
        <w:t>落地等措施，然</w:t>
      </w:r>
      <w:r w:rsidR="00A1409C" w:rsidRPr="00C3310F">
        <w:rPr>
          <w:rFonts w:hint="eastAsia"/>
        </w:rPr>
        <w:t>本調查研究</w:t>
      </w:r>
      <w:r w:rsidRPr="00C3310F">
        <w:rPr>
          <w:rFonts w:hint="eastAsia"/>
        </w:rPr>
        <w:t>仍建議，行政院應通盤考量「A</w:t>
      </w:r>
      <w:r w:rsidRPr="00C3310F">
        <w:t>I</w:t>
      </w:r>
      <w:r w:rsidRPr="00C3310F">
        <w:rPr>
          <w:rFonts w:hint="eastAsia"/>
        </w:rPr>
        <w:t>基本法」、「G</w:t>
      </w:r>
      <w:r w:rsidRPr="00C3310F">
        <w:t>DPR</w:t>
      </w:r>
      <w:r w:rsidRPr="00C3310F">
        <w:rPr>
          <w:rFonts w:hint="eastAsia"/>
        </w:rPr>
        <w:t>適足性認定」等法制配套，對於數位治理之法制框架持續討論、以實際行動建立社會信任並凝聚社會共識，俾補強我國在數位治理方面之整體框架。</w:t>
      </w:r>
      <w:bookmarkEnd w:id="985"/>
      <w:bookmarkEnd w:id="986"/>
      <w:bookmarkEnd w:id="987"/>
    </w:p>
    <w:p w14:paraId="2267F0C6" w14:textId="2AED7DDF" w:rsidR="000B1C3C" w:rsidRPr="00C3310F" w:rsidRDefault="000B1C3C" w:rsidP="000B1C3C">
      <w:pPr>
        <w:pStyle w:val="4"/>
      </w:pPr>
      <w:r w:rsidRPr="00C3310F">
        <w:rPr>
          <w:rFonts w:hint="eastAsia"/>
        </w:rPr>
        <w:t>本調查研究經諮詢專家學者看法如下，足證通傳會當時提出「數位中介服務法」草案</w:t>
      </w:r>
      <w:r w:rsidR="00AC04D8" w:rsidRPr="00C3310F">
        <w:rPr>
          <w:rFonts w:hint="eastAsia"/>
        </w:rPr>
        <w:t>有欠</w:t>
      </w:r>
      <w:r w:rsidRPr="00C3310F">
        <w:rPr>
          <w:rFonts w:hint="eastAsia"/>
        </w:rPr>
        <w:t>周全；至於未來推動方向，本調查研究建議政府宜深入研究英國及歐盟法</w:t>
      </w:r>
      <w:r w:rsidR="003718DC" w:rsidRPr="00C3310F">
        <w:rPr>
          <w:rFonts w:hint="eastAsia"/>
        </w:rPr>
        <w:t>制</w:t>
      </w:r>
      <w:r w:rsidRPr="00C3310F">
        <w:rPr>
          <w:rFonts w:hint="eastAsia"/>
        </w:rPr>
        <w:t>之設計方式，觀察各國制度近年執行情形及其利弊，並以建立初步寬鬆治理雛型為目標，無須陳義過高。</w:t>
      </w:r>
    </w:p>
    <w:p w14:paraId="088CA54A" w14:textId="1A6996EF" w:rsidR="000B1C3C" w:rsidRPr="00C3310F" w:rsidRDefault="000B1C3C" w:rsidP="000B1C3C">
      <w:pPr>
        <w:pStyle w:val="5"/>
      </w:pPr>
      <w:r w:rsidRPr="00C3310F">
        <w:rPr>
          <w:rFonts w:hint="eastAsia"/>
        </w:rPr>
        <w:t>臺灣對數位平臺的治理，目前其實是沒有法律。</w:t>
      </w:r>
      <w:r w:rsidRPr="00C3310F">
        <w:rPr>
          <w:rFonts w:hint="eastAsia"/>
        </w:rPr>
        <w:lastRenderedPageBreak/>
        <w:t>歐盟跟英國做的比較成熟就是他們有數位服務法，可以</w:t>
      </w:r>
      <w:r w:rsidR="00AC04D8" w:rsidRPr="00C3310F">
        <w:rPr>
          <w:rFonts w:hint="eastAsia"/>
        </w:rPr>
        <w:t>管</w:t>
      </w:r>
      <w:r w:rsidRPr="00C3310F">
        <w:rPr>
          <w:rFonts w:hint="eastAsia"/>
        </w:rPr>
        <w:t>網路的內容包括詐騙、霸凌、恐怖主義、仇恨語言或者是假訊息，至少政府可以跟平臺去協商</w:t>
      </w:r>
      <w:r w:rsidR="00AC04D8" w:rsidRPr="00C3310F">
        <w:rPr>
          <w:rFonts w:hint="eastAsia"/>
        </w:rPr>
        <w:t>，</w:t>
      </w:r>
      <w:r w:rsidRPr="00C3310F">
        <w:rPr>
          <w:rFonts w:hint="eastAsia"/>
        </w:rPr>
        <w:t>或者要求</w:t>
      </w:r>
      <w:r w:rsidR="0004575A" w:rsidRPr="00C3310F">
        <w:rPr>
          <w:rFonts w:hint="eastAsia"/>
        </w:rPr>
        <w:t>平臺</w:t>
      </w:r>
      <w:r w:rsidRPr="00C3310F">
        <w:rPr>
          <w:rFonts w:hint="eastAsia"/>
        </w:rPr>
        <w:t>採取有效措施。</w:t>
      </w:r>
    </w:p>
    <w:p w14:paraId="16ADB4B1" w14:textId="0091EF62" w:rsidR="00AC04D8" w:rsidRPr="00C3310F" w:rsidRDefault="000B1C3C" w:rsidP="00AC04D8">
      <w:pPr>
        <w:pStyle w:val="5"/>
      </w:pPr>
      <w:r w:rsidRPr="00C3310F">
        <w:rPr>
          <w:rFonts w:hint="eastAsia"/>
        </w:rPr>
        <w:t>數位中介服務法如果好好的抄歐盟數位服務法，不會有那麼大問題</w:t>
      </w:r>
      <w:r w:rsidR="00AC04D8" w:rsidRPr="00C3310F">
        <w:rPr>
          <w:rFonts w:hint="eastAsia"/>
        </w:rPr>
        <w:t>，</w:t>
      </w:r>
      <w:r w:rsidR="00AC04D8" w:rsidRPr="00C3310F">
        <w:rPr>
          <w:rFonts w:ascii="新細明體" w:eastAsia="新細明體" w:hAnsi="新細明體" w:hint="eastAsia"/>
        </w:rPr>
        <w:t>……</w:t>
      </w:r>
      <w:r w:rsidR="00AC04D8" w:rsidRPr="00C3310F">
        <w:rPr>
          <w:rFonts w:hint="eastAsia"/>
        </w:rPr>
        <w:t>例如超大型平臺的分層定義，</w:t>
      </w:r>
      <w:r w:rsidR="00314645" w:rsidRPr="00C3310F">
        <w:rPr>
          <w:rFonts w:hint="eastAsia"/>
        </w:rPr>
        <w:t>通傳會</w:t>
      </w:r>
      <w:r w:rsidR="00AC04D8" w:rsidRPr="00C3310F">
        <w:rPr>
          <w:rFonts w:hint="eastAsia"/>
        </w:rPr>
        <w:t>直接抄到臺灣，就變成</w:t>
      </w:r>
      <w:r w:rsidR="0004575A" w:rsidRPr="00C3310F">
        <w:rPr>
          <w:rFonts w:hint="eastAsia"/>
        </w:rPr>
        <w:t>200</w:t>
      </w:r>
      <w:r w:rsidR="00AC04D8" w:rsidRPr="00C3310F">
        <w:rPr>
          <w:rFonts w:hint="eastAsia"/>
        </w:rPr>
        <w:t>萬用戶的</w:t>
      </w:r>
      <w:r w:rsidR="0004575A" w:rsidRPr="00C3310F">
        <w:rPr>
          <w:rFonts w:hint="eastAsia"/>
        </w:rPr>
        <w:t>平臺</w:t>
      </w:r>
      <w:r w:rsidR="00AC04D8" w:rsidRPr="00C3310F">
        <w:rPr>
          <w:rFonts w:hint="eastAsia"/>
        </w:rPr>
        <w:t>就要嚴格監管，……那真正的超大型平臺如M</w:t>
      </w:r>
      <w:r w:rsidR="00916B4C" w:rsidRPr="00C3310F">
        <w:t>eta</w:t>
      </w:r>
      <w:r w:rsidR="00AC04D8" w:rsidRPr="00C3310F">
        <w:rPr>
          <w:rFonts w:hint="eastAsia"/>
        </w:rPr>
        <w:t>跟Google都不用出來反對，網民和各種小平臺就先跳出來了。</w:t>
      </w:r>
    </w:p>
    <w:p w14:paraId="20F9B59B" w14:textId="51EF206F" w:rsidR="000B1C3C" w:rsidRPr="00C3310F" w:rsidRDefault="000B1C3C" w:rsidP="00AC04D8">
      <w:pPr>
        <w:pStyle w:val="5"/>
      </w:pPr>
      <w:r w:rsidRPr="00C3310F">
        <w:rPr>
          <w:rFonts w:hint="eastAsia"/>
        </w:rPr>
        <w:t>當時草案</w:t>
      </w:r>
      <w:r w:rsidR="00766620" w:rsidRPr="00C3310F">
        <w:rPr>
          <w:rFonts w:hint="eastAsia"/>
        </w:rPr>
        <w:t>在</w:t>
      </w:r>
      <w:r w:rsidRPr="00C3310F">
        <w:rPr>
          <w:rFonts w:hint="eastAsia"/>
        </w:rPr>
        <w:t>法律的一致性跟應該要配套的部分沒有考慮清楚。</w:t>
      </w:r>
      <w:r w:rsidRPr="00C3310F">
        <w:rPr>
          <w:rFonts w:ascii="新細明體" w:eastAsia="新細明體" w:hAnsi="新細明體" w:hint="eastAsia"/>
        </w:rPr>
        <w:t>……</w:t>
      </w:r>
      <w:r w:rsidRPr="00C3310F">
        <w:rPr>
          <w:rFonts w:hint="eastAsia"/>
        </w:rPr>
        <w:t>已經扼殺了我們好好去討論數位內容要怎麼樣去建立治理的機會，但政府有責任去重啟有關數位治理法制的討論。其他國家都已經有這個法律。其實我們就是好好把它研究清楚，然後該學的地方就直接學，不應該直接學的部分做一點調整。</w:t>
      </w:r>
    </w:p>
    <w:p w14:paraId="26B8C3D7" w14:textId="648CC4E7" w:rsidR="000B1C3C" w:rsidRPr="00C3310F" w:rsidRDefault="00D82B1C" w:rsidP="000B1C3C">
      <w:pPr>
        <w:pStyle w:val="4"/>
      </w:pPr>
      <w:r w:rsidRPr="00C3310F">
        <w:rPr>
          <w:rFonts w:hint="eastAsia"/>
        </w:rPr>
        <w:t>數發部</w:t>
      </w:r>
      <w:r w:rsidR="000B1C3C" w:rsidRPr="00C3310F">
        <w:rPr>
          <w:rFonts w:hint="eastAsia"/>
        </w:rPr>
        <w:t>則說明現行之數位</w:t>
      </w:r>
      <w:r w:rsidR="0004575A" w:rsidRPr="00C3310F">
        <w:rPr>
          <w:rFonts w:hint="eastAsia"/>
        </w:rPr>
        <w:t>平臺</w:t>
      </w:r>
      <w:r w:rsidR="000B1C3C" w:rsidRPr="00C3310F">
        <w:rPr>
          <w:rFonts w:hint="eastAsia"/>
        </w:rPr>
        <w:t>治理屬於重大政策，行政院</w:t>
      </w:r>
      <w:r w:rsidR="00B15A34" w:rsidRPr="00C3310F">
        <w:rPr>
          <w:rFonts w:hint="eastAsia"/>
        </w:rPr>
        <w:t>也</w:t>
      </w:r>
      <w:r w:rsidR="000B1C3C" w:rsidRPr="00C3310F">
        <w:rPr>
          <w:rFonts w:hint="eastAsia"/>
        </w:rPr>
        <w:t>會持續關注，而個人資料保護委員會也以因應</w:t>
      </w:r>
      <w:r w:rsidR="003718DC" w:rsidRPr="00C3310F">
        <w:rPr>
          <w:rFonts w:hint="eastAsia"/>
        </w:rPr>
        <w:t>111年</w:t>
      </w:r>
      <w:r w:rsidR="000B1C3C" w:rsidRPr="00C3310F">
        <w:rPr>
          <w:rFonts w:hint="eastAsia"/>
        </w:rPr>
        <w:t>憲判字第13號判決而成立籌備處，將在114年內建立個人資料保護之獨立監督機制分工機制，此外，通傳會亦有相關之組織</w:t>
      </w:r>
      <w:r w:rsidR="00AC04D8" w:rsidRPr="00C3310F">
        <w:rPr>
          <w:rFonts w:hint="eastAsia"/>
        </w:rPr>
        <w:t>編</w:t>
      </w:r>
      <w:r w:rsidR="000B1C3C" w:rsidRPr="00C3310F">
        <w:rPr>
          <w:rFonts w:hint="eastAsia"/>
        </w:rPr>
        <w:t>制調整，顯見政府仍在持續跟進數位</w:t>
      </w:r>
      <w:r w:rsidR="0004575A" w:rsidRPr="00C3310F">
        <w:rPr>
          <w:rFonts w:hint="eastAsia"/>
        </w:rPr>
        <w:t>平臺</w:t>
      </w:r>
      <w:r w:rsidR="000B1C3C" w:rsidRPr="00C3310F">
        <w:rPr>
          <w:rFonts w:hint="eastAsia"/>
        </w:rPr>
        <w:t>治理，然而短期內尚無法如同英國或歐盟建立完整架構，有賴政府持續積極推動，俾使堵詐措施獲得實質之源頭管理。</w:t>
      </w:r>
    </w:p>
    <w:p w14:paraId="193DE25A" w14:textId="076AB128" w:rsidR="000B1C3C" w:rsidRPr="00C3310F" w:rsidRDefault="00D82B1C" w:rsidP="000B1C3C">
      <w:pPr>
        <w:pStyle w:val="5"/>
      </w:pPr>
      <w:r w:rsidRPr="00C3310F">
        <w:rPr>
          <w:rFonts w:hint="eastAsia"/>
        </w:rPr>
        <w:t>數發部</w:t>
      </w:r>
      <w:r w:rsidR="000B1C3C" w:rsidRPr="00C3310F">
        <w:rPr>
          <w:rFonts w:hint="eastAsia"/>
        </w:rPr>
        <w:t>說明，亞洲國家如日本與韓國，都已陸續設置個資保護獨立監督機關，因此，我國於</w:t>
      </w:r>
      <w:r w:rsidR="003718DC" w:rsidRPr="00C3310F">
        <w:rPr>
          <w:rFonts w:hint="eastAsia"/>
        </w:rPr>
        <w:t>112</w:t>
      </w:r>
      <w:r w:rsidR="000B1C3C" w:rsidRPr="00C3310F">
        <w:rPr>
          <w:rFonts w:hint="eastAsia"/>
        </w:rPr>
        <w:t>年</w:t>
      </w:r>
      <w:r w:rsidR="000B1C3C" w:rsidRPr="00C3310F">
        <w:t>12</w:t>
      </w:r>
      <w:r w:rsidR="000B1C3C" w:rsidRPr="00C3310F">
        <w:rPr>
          <w:rFonts w:hint="eastAsia"/>
        </w:rPr>
        <w:t>月</w:t>
      </w:r>
      <w:r w:rsidR="000B1C3C" w:rsidRPr="00C3310F">
        <w:t>5</w:t>
      </w:r>
      <w:r w:rsidR="000B1C3C" w:rsidRPr="00C3310F">
        <w:rPr>
          <w:rFonts w:hint="eastAsia"/>
        </w:rPr>
        <w:t>日設置「個人資料保護委員會籌備處」，期能整合各部會力量全力維護民眾個資權益</w:t>
      </w:r>
      <w:r w:rsidR="000B1C3C" w:rsidRPr="00C3310F">
        <w:t xml:space="preserve"> </w:t>
      </w:r>
      <w:r w:rsidR="000B1C3C" w:rsidRPr="00C3310F">
        <w:rPr>
          <w:rFonts w:hint="eastAsia"/>
        </w:rPr>
        <w:lastRenderedPageBreak/>
        <w:t>奠定我國個資保護重要里程碑，以完</w:t>
      </w:r>
      <w:r w:rsidR="00AC04D8" w:rsidRPr="00C3310F">
        <w:rPr>
          <w:rFonts w:hint="eastAsia"/>
        </w:rPr>
        <w:t>備</w:t>
      </w:r>
      <w:r w:rsidR="000B1C3C" w:rsidRPr="00C3310F">
        <w:rPr>
          <w:rFonts w:hint="eastAsia"/>
        </w:rPr>
        <w:t>憲法第</w:t>
      </w:r>
      <w:r w:rsidR="000B1C3C" w:rsidRPr="00C3310F">
        <w:t>22</w:t>
      </w:r>
      <w:r w:rsidR="000B1C3C" w:rsidRPr="00C3310F">
        <w:rPr>
          <w:rFonts w:hint="eastAsia"/>
        </w:rPr>
        <w:t>條對人民「資訊隱私權」的保障，展現政府對國人資訊隱私權的重視。</w:t>
      </w:r>
      <w:r w:rsidR="000B1C3C" w:rsidRPr="00C3310F">
        <w:t xml:space="preserve"> </w:t>
      </w:r>
    </w:p>
    <w:p w14:paraId="762168F7" w14:textId="5CEF6A52" w:rsidR="000B1C3C" w:rsidRPr="00C3310F" w:rsidRDefault="000B1C3C" w:rsidP="000B1C3C">
      <w:pPr>
        <w:pStyle w:val="5"/>
      </w:pPr>
      <w:r w:rsidRPr="00C3310F">
        <w:rPr>
          <w:rFonts w:hint="eastAsia"/>
        </w:rPr>
        <w:t>有關網路</w:t>
      </w:r>
      <w:r w:rsidR="0004575A" w:rsidRPr="00C3310F">
        <w:rPr>
          <w:rFonts w:hint="eastAsia"/>
        </w:rPr>
        <w:t>平臺</w:t>
      </w:r>
      <w:r w:rsidRPr="00C3310F">
        <w:rPr>
          <w:rFonts w:hint="eastAsia"/>
        </w:rPr>
        <w:t>治理分工或</w:t>
      </w:r>
      <w:r w:rsidRPr="00C3310F">
        <w:t>TikTok</w:t>
      </w:r>
      <w:r w:rsidR="0004575A" w:rsidRPr="00C3310F">
        <w:rPr>
          <w:rFonts w:hint="eastAsia"/>
        </w:rPr>
        <w:t>平臺</w:t>
      </w:r>
      <w:r w:rsidRPr="00C3310F">
        <w:rPr>
          <w:rFonts w:hint="eastAsia"/>
        </w:rPr>
        <w:t>治理，係屬重大政策，也涉及適法性與可行性等影響因素評估，行政院所屬相關部會將持續關注美國國會立法進度，並參與行政院跨部會會議，由行政院綜合考量各界意見決定。</w:t>
      </w:r>
    </w:p>
    <w:p w14:paraId="7AC4B680" w14:textId="67CEB4FC" w:rsidR="000B1C3C" w:rsidRPr="00C3310F" w:rsidRDefault="000B1C3C" w:rsidP="000B1C3C">
      <w:pPr>
        <w:pStyle w:val="5"/>
      </w:pPr>
      <w:r w:rsidRPr="00C3310F">
        <w:rPr>
          <w:rFonts w:hint="eastAsia"/>
        </w:rPr>
        <w:t>而因應網際網路治理新趨勢，通傳會也於</w:t>
      </w:r>
      <w:r w:rsidR="0004575A" w:rsidRPr="00C3310F">
        <w:rPr>
          <w:rFonts w:hint="eastAsia"/>
        </w:rPr>
        <w:t>111</w:t>
      </w:r>
      <w:r w:rsidRPr="00C3310F">
        <w:rPr>
          <w:rFonts w:hint="eastAsia"/>
        </w:rPr>
        <w:t>年將「基礎設施與資通安全處」及「射頻與資源管理處」二處之業務項目合併設置「基礎設施處」，進而增設「網際網路傳播治理處」，其負責網際網路傳播相關業務，因目前該會組織法仍在審核中，通傳會目前以「網際網路傳播辦</w:t>
      </w:r>
      <w:r w:rsidR="00974BEA" w:rsidRPr="00C3310F">
        <w:rPr>
          <w:rFonts w:hint="eastAsia"/>
        </w:rPr>
        <w:t>公室」運作</w:t>
      </w:r>
      <w:r w:rsidRPr="00C3310F">
        <w:rPr>
          <w:rFonts w:hint="eastAsia"/>
        </w:rPr>
        <w:t>，最後由行政院統籌規劃研訂分工與治理策略。</w:t>
      </w:r>
    </w:p>
    <w:p w14:paraId="679A468E" w14:textId="0261E0B7" w:rsidR="000B1C3C" w:rsidRPr="00C3310F" w:rsidRDefault="000B1C3C" w:rsidP="000B1C3C">
      <w:pPr>
        <w:pStyle w:val="4"/>
      </w:pPr>
      <w:r w:rsidRPr="00C3310F">
        <w:rPr>
          <w:rFonts w:hint="eastAsia"/>
        </w:rPr>
        <w:t>最後，數位治理由於涉及之目的事業、樣態及技術極為繁複，對於跨部門協作之要求極高，而我國目前行政院層級無論是何種辦公室或會報，大多數仍由現職人員以任務編組方式兼職辦理，此與英國目前以實際編制機關DRCF(</w:t>
      </w:r>
      <w:r w:rsidR="00534E39" w:rsidRPr="00C3310F">
        <w:rPr>
          <w:rFonts w:hint="eastAsia"/>
        </w:rPr>
        <w:t>數位監理合作論壇，</w:t>
      </w:r>
      <w:r w:rsidRPr="00C3310F">
        <w:rPr>
          <w:rFonts w:hint="eastAsia"/>
        </w:rPr>
        <w:t>Digital Regulation Cooperation Forum)之運作方式大相逕庭，至於我國在數位治理方面有無必要參考英國運作模式，以及是否得以因應數位治理需求，仍有待政府進一步評估。</w:t>
      </w:r>
    </w:p>
    <w:p w14:paraId="2491B1BE" w14:textId="000228A7" w:rsidR="000B1C3C" w:rsidRPr="00C3310F" w:rsidRDefault="000B1C3C" w:rsidP="000B1C3C">
      <w:pPr>
        <w:pStyle w:val="5"/>
      </w:pPr>
      <w:r w:rsidRPr="00C3310F">
        <w:rPr>
          <w:rFonts w:hint="eastAsia"/>
        </w:rPr>
        <w:t>本院諮詢國立中正大學傳播</w:t>
      </w:r>
      <w:r w:rsidR="00852112" w:rsidRPr="00C3310F">
        <w:rPr>
          <w:rFonts w:hint="eastAsia"/>
        </w:rPr>
        <w:t>學系</w:t>
      </w:r>
      <w:r w:rsidRPr="00C3310F">
        <w:rPr>
          <w:rFonts w:hint="eastAsia"/>
        </w:rPr>
        <w:t>羅世宏教授表示，英國的一個跨部會的數位治理的機制叫做DRCF，即Digital Regulation Cooperation Forum</w:t>
      </w:r>
      <w:r w:rsidR="00534E39" w:rsidRPr="00C3310F">
        <w:rPr>
          <w:rFonts w:hint="eastAsia"/>
        </w:rPr>
        <w:t xml:space="preserve"> </w:t>
      </w:r>
      <w:r w:rsidRPr="00C3310F">
        <w:rPr>
          <w:rFonts w:hint="eastAsia"/>
        </w:rPr>
        <w:t>數位監理合作論壇，它是實際的組織，有行政運作的的人力，然後有專門的執行長，</w:t>
      </w:r>
      <w:r w:rsidRPr="00C3310F">
        <w:rPr>
          <w:rFonts w:hint="eastAsia"/>
        </w:rPr>
        <w:lastRenderedPageBreak/>
        <w:t>DRCF的執行長需要定期的去對外報告，報告說DRCF幫英國預防處理解決了什麼樣的數位問題。</w:t>
      </w:r>
    </w:p>
    <w:p w14:paraId="045C9F0B" w14:textId="1A39F82C" w:rsidR="000B1C3C" w:rsidRPr="00C3310F" w:rsidRDefault="000B1C3C" w:rsidP="000B1C3C">
      <w:pPr>
        <w:pStyle w:val="5"/>
      </w:pPr>
      <w:r w:rsidRPr="00C3310F">
        <w:rPr>
          <w:rFonts w:hint="eastAsia"/>
        </w:rPr>
        <w:t>DRCF有四個固定一定要參加的機構，一個就是Ofcom，</w:t>
      </w:r>
      <w:bookmarkStart w:id="988" w:name="_Hlk175745062"/>
      <w:r w:rsidR="00534E39" w:rsidRPr="00C3310F">
        <w:rPr>
          <w:rFonts w:hint="eastAsia"/>
        </w:rPr>
        <w:t>也就是臺灣的NCC通傳會，一個就是他們的資訊辦公室(Information Commissioner’s Office,ICO)，大概是臺灣的數位部數發部這樣的一個性質，第三個是這個金管會(Financial Services Authority, FCA)，第四個是英國的公平會(競爭與市場管理局，Competition and Markets Authority, CMA)</w:t>
      </w:r>
      <w:bookmarkEnd w:id="988"/>
      <w:r w:rsidR="00534E39" w:rsidRPr="00C3310F">
        <w:rPr>
          <w:rFonts w:hint="eastAsia"/>
        </w:rPr>
        <w:t>。</w:t>
      </w:r>
    </w:p>
    <w:p w14:paraId="704E1461" w14:textId="042B52F9" w:rsidR="003D434B" w:rsidRPr="00C3310F" w:rsidRDefault="000B1C3C" w:rsidP="00062CD2">
      <w:pPr>
        <w:pStyle w:val="3"/>
        <w:ind w:left="680" w:hangingChars="200" w:hanging="680"/>
      </w:pPr>
      <w:bookmarkStart w:id="989" w:name="_Toc171525605"/>
      <w:bookmarkStart w:id="990" w:name="_Toc172024126"/>
      <w:bookmarkStart w:id="991" w:name="_Toc172033449"/>
      <w:r w:rsidRPr="00C3310F">
        <w:rPr>
          <w:rFonts w:hint="eastAsia"/>
        </w:rPr>
        <w:t>綜上，在堵詐面於網路及數位</w:t>
      </w:r>
      <w:r w:rsidR="0004575A" w:rsidRPr="00C3310F">
        <w:rPr>
          <w:rFonts w:hint="eastAsia"/>
        </w:rPr>
        <w:t>平臺</w:t>
      </w:r>
      <w:r w:rsidRPr="00C3310F">
        <w:rPr>
          <w:rFonts w:hint="eastAsia"/>
        </w:rPr>
        <w:t>部分，內政部及</w:t>
      </w:r>
      <w:r w:rsidR="00D82B1C" w:rsidRPr="00C3310F">
        <w:rPr>
          <w:rFonts w:hint="eastAsia"/>
        </w:rPr>
        <w:t>數發部</w:t>
      </w:r>
      <w:r w:rsidRPr="00C3310F">
        <w:rPr>
          <w:rFonts w:hint="eastAsia"/>
        </w:rPr>
        <w:t>等機關之措施如「綠色通道」等，已</w:t>
      </w:r>
      <w:r w:rsidR="00852112" w:rsidRPr="00C3310F">
        <w:rPr>
          <w:rFonts w:hint="eastAsia"/>
        </w:rPr>
        <w:t>遠</w:t>
      </w:r>
      <w:r w:rsidRPr="00C3310F">
        <w:rPr>
          <w:rFonts w:hint="eastAsia"/>
        </w:rPr>
        <w:t>較過去為積極，然而在打詐或其他更廣泛的治理需求層面，我國目前之數位</w:t>
      </w:r>
      <w:r w:rsidR="0004575A" w:rsidRPr="00C3310F">
        <w:rPr>
          <w:rFonts w:hint="eastAsia"/>
        </w:rPr>
        <w:t>平臺</w:t>
      </w:r>
      <w:r w:rsidRPr="00C3310F">
        <w:rPr>
          <w:rFonts w:hint="eastAsia"/>
        </w:rPr>
        <w:t>治理仍有加以強化之必要，</w:t>
      </w:r>
      <w:r w:rsidR="00A1409C" w:rsidRPr="00C3310F">
        <w:rPr>
          <w:rFonts w:hint="eastAsia"/>
        </w:rPr>
        <w:t>本調查研究</w:t>
      </w:r>
      <w:r w:rsidRPr="00C3310F">
        <w:rPr>
          <w:rFonts w:hint="eastAsia"/>
        </w:rPr>
        <w:t>歸納之理由包括</w:t>
      </w:r>
      <w:r w:rsidR="00852112" w:rsidRPr="00C3310F">
        <w:rPr>
          <w:rFonts w:hint="eastAsia"/>
        </w:rPr>
        <w:t>：</w:t>
      </w:r>
      <w:r w:rsidR="00BA14B9" w:rsidRPr="00C3310F">
        <w:rPr>
          <w:rFonts w:hint="eastAsia"/>
        </w:rPr>
        <w:t>1.民主先進國家亦普遍推動數位平臺治理法制。2.我國行動寬頻上網普及率較英國為高，但治理及規管強度反而較低。3.</w:t>
      </w:r>
      <w:r w:rsidRPr="00C3310F">
        <w:rPr>
          <w:rFonts w:hint="eastAsia"/>
        </w:rPr>
        <w:t>目前規管方式在打詐方面效益不足等因。考量我國國情確實較易觸及言論自由等疑慮，過度介入監理更不符合人權之普世價值及潮流。爰此，政府</w:t>
      </w:r>
      <w:r w:rsidR="00852112" w:rsidRPr="00C3310F">
        <w:rPr>
          <w:rFonts w:hint="eastAsia"/>
        </w:rPr>
        <w:t>允宜</w:t>
      </w:r>
      <w:r w:rsidRPr="00C3310F">
        <w:rPr>
          <w:rFonts w:hint="eastAsia"/>
        </w:rPr>
        <w:t>參考英國打詐綱領，與具公信力之第三方機構合作，研擬涵括</w:t>
      </w:r>
      <w:r w:rsidR="0004575A" w:rsidRPr="00C3310F">
        <w:rPr>
          <w:rFonts w:hint="eastAsia"/>
        </w:rPr>
        <w:t>平臺</w:t>
      </w:r>
      <w:r w:rsidRPr="00C3310F">
        <w:rPr>
          <w:rFonts w:hint="eastAsia"/>
        </w:rPr>
        <w:t>法遵配合度、自律政策嚴謹程度及其執行力、通報檢舉之處置積極程度等指標，辦理公正、公開且定期之評鑑，以揭露風險之方式鼓勵</w:t>
      </w:r>
      <w:r w:rsidR="0004575A" w:rsidRPr="00C3310F">
        <w:rPr>
          <w:rFonts w:hint="eastAsia"/>
        </w:rPr>
        <w:t>平臺</w:t>
      </w:r>
      <w:r w:rsidRPr="00C3310F">
        <w:rPr>
          <w:rFonts w:hint="eastAsia"/>
        </w:rPr>
        <w:t>自律，以作為中短期內數位治理法案未獲社會共識之暫時性替代方案，避免各堵詐主責機關持續以事倍功半之方式辦理數位治理事務。</w:t>
      </w:r>
      <w:bookmarkEnd w:id="989"/>
      <w:bookmarkEnd w:id="990"/>
      <w:bookmarkEnd w:id="991"/>
    </w:p>
    <w:p w14:paraId="7570D1BE" w14:textId="2CA0B47C" w:rsidR="000B1C3C" w:rsidRPr="00C3310F" w:rsidRDefault="003D434B" w:rsidP="003D434B">
      <w:pPr>
        <w:widowControl/>
        <w:overflowPunct/>
        <w:autoSpaceDE/>
        <w:autoSpaceDN/>
        <w:jc w:val="left"/>
        <w:rPr>
          <w:rFonts w:hAnsi="Arial"/>
          <w:bCs/>
          <w:kern w:val="32"/>
          <w:szCs w:val="36"/>
        </w:rPr>
      </w:pPr>
      <w:r w:rsidRPr="00C3310F">
        <w:br w:type="page"/>
      </w:r>
    </w:p>
    <w:p w14:paraId="75400E65" w14:textId="55D54D5B" w:rsidR="000B1C3C" w:rsidRPr="00C3310F" w:rsidRDefault="000B1C3C" w:rsidP="007441B4">
      <w:pPr>
        <w:pStyle w:val="2"/>
        <w:spacing w:beforeLines="50" w:before="228"/>
        <w:ind w:left="1020" w:hanging="680"/>
        <w:rPr>
          <w:b/>
        </w:rPr>
      </w:pPr>
      <w:bookmarkStart w:id="992" w:name="_Toc172033450"/>
      <w:r w:rsidRPr="00C3310F">
        <w:rPr>
          <w:rFonts w:hint="eastAsia"/>
          <w:b/>
        </w:rPr>
        <w:lastRenderedPageBreak/>
        <w:t>詐騙集團詐騙國人之目的不外乎取得金錢，故金流管制及洗錢防制措施實屬打詐政策之核心。</w:t>
      </w:r>
      <w:r w:rsidR="00A1409C" w:rsidRPr="00C3310F">
        <w:rPr>
          <w:rFonts w:hint="eastAsia"/>
          <w:b/>
        </w:rPr>
        <w:t>本調查研究</w:t>
      </w:r>
      <w:r w:rsidRPr="00C3310F">
        <w:rPr>
          <w:rFonts w:hint="eastAsia"/>
          <w:b/>
        </w:rPr>
        <w:t>經盤點政府在金流方面之行政管制措施，在臨櫃阻詐及強化法幣實體帳戶K</w:t>
      </w:r>
      <w:r w:rsidRPr="00C3310F">
        <w:rPr>
          <w:b/>
        </w:rPr>
        <w:t>YC</w:t>
      </w:r>
      <w:r w:rsidRPr="00C3310F">
        <w:rPr>
          <w:rFonts w:hint="eastAsia"/>
          <w:b/>
        </w:rPr>
        <w:t>方面略具成效，</w:t>
      </w:r>
      <w:r w:rsidR="00852112" w:rsidRPr="00C3310F">
        <w:rPr>
          <w:rFonts w:hint="eastAsia"/>
          <w:b/>
        </w:rPr>
        <w:t>惟</w:t>
      </w:r>
      <w:r w:rsidRPr="00C3310F">
        <w:rPr>
          <w:rFonts w:hint="eastAsia"/>
          <w:b/>
        </w:rPr>
        <w:t>第三方支付方面</w:t>
      </w:r>
      <w:r w:rsidR="00D82B1C" w:rsidRPr="00C3310F">
        <w:rPr>
          <w:rFonts w:hint="eastAsia"/>
          <w:b/>
        </w:rPr>
        <w:t>數發部</w:t>
      </w:r>
      <w:r w:rsidR="00852112" w:rsidRPr="00C3310F">
        <w:rPr>
          <w:rFonts w:hint="eastAsia"/>
          <w:b/>
        </w:rPr>
        <w:t>雖</w:t>
      </w:r>
      <w:r w:rsidRPr="00C3310F">
        <w:rPr>
          <w:rFonts w:hint="eastAsia"/>
          <w:b/>
        </w:rPr>
        <w:t>已提出能量登錄制度，然成效仍待觀察。另人頭帳戶及警示帳戶數量仍未有效降低部分，將成為整體政府打詐措施中最薄弱之一環，政府除公布各金融機構人頭帳戶及警示帳戶之情形，並對金融機構管理不力予以課責外，</w:t>
      </w:r>
      <w:r w:rsidR="00852112" w:rsidRPr="00C3310F">
        <w:rPr>
          <w:rFonts w:hint="eastAsia"/>
          <w:b/>
        </w:rPr>
        <w:t>允宜</w:t>
      </w:r>
      <w:r w:rsidRPr="00C3310F">
        <w:rPr>
          <w:rFonts w:hint="eastAsia"/>
          <w:b/>
        </w:rPr>
        <w:t>秉持行政先行及公開透明原則</w:t>
      </w:r>
      <w:r w:rsidR="003977B9" w:rsidRPr="00C3310F">
        <w:rPr>
          <w:rFonts w:hint="eastAsia"/>
          <w:b/>
        </w:rPr>
        <w:t>，</w:t>
      </w:r>
      <w:r w:rsidRPr="00C3310F">
        <w:rPr>
          <w:rFonts w:hint="eastAsia"/>
          <w:b/>
        </w:rPr>
        <w:t>優先檢討打詐不力之金融機構，以避免成為打詐及洗錢防制之破口。</w:t>
      </w:r>
      <w:bookmarkEnd w:id="992"/>
    </w:p>
    <w:p w14:paraId="357523B1" w14:textId="77777777" w:rsidR="000B1C3C" w:rsidRPr="00C3310F" w:rsidRDefault="000B1C3C" w:rsidP="000B1C3C">
      <w:pPr>
        <w:pStyle w:val="3"/>
      </w:pPr>
      <w:bookmarkStart w:id="993" w:name="_Toc171525607"/>
      <w:bookmarkStart w:id="994" w:name="_Toc172024128"/>
      <w:bookmarkStart w:id="995" w:name="_Toc172033451"/>
      <w:r w:rsidRPr="00C3310F">
        <w:rPr>
          <w:rFonts w:hint="eastAsia"/>
        </w:rPr>
        <w:t>刑法上詐欺罪的定義是犯罪者對他人施以詐術，造成被害人財產上損害。而構成詐欺罪之要件為︰行為人有主觀的不法意圖、行為人有主觀的心態故意、行為人傳遞不實資訊（詐術）、被害人誤信不實資訊處分財產、取得財產和損失財產間有關聯。是以，詐欺集團詐騙國人之目的主要係詐取財產與金錢。阻斷詐騙案件之金流及避免詐騙資金經由洗錢管道將資金洗白，實屬政府打詐政策之核心。</w:t>
      </w:r>
      <w:bookmarkEnd w:id="993"/>
      <w:bookmarkEnd w:id="994"/>
      <w:bookmarkEnd w:id="995"/>
    </w:p>
    <w:p w14:paraId="69E6FF76" w14:textId="4E87EBEC" w:rsidR="000B1C3C" w:rsidRPr="00C3310F" w:rsidRDefault="000B1C3C" w:rsidP="000B1C3C">
      <w:pPr>
        <w:pStyle w:val="3"/>
      </w:pPr>
      <w:bookmarkStart w:id="996" w:name="_Toc171525608"/>
      <w:bookmarkStart w:id="997" w:name="_Toc172024129"/>
      <w:bookmarkStart w:id="998" w:name="_Toc172033452"/>
      <w:r w:rsidRPr="00C3310F">
        <w:rPr>
          <w:rFonts w:hint="eastAsia"/>
        </w:rPr>
        <w:t>查詐騙集團採行層級管理、分工細密，組織結構完整，大致可分為首腦核心、前置作業 、國外作業、電話作業及金流作業等五大類。其中金流作業包括車手集團、人頭帳戶管道、洗錢機房、地下匯兌等，主要負責取款、轉帳及交付詐騙款項。金流工作流程主要為：電信機房詐騙所得金額全數匯到洗錢機房帳戶（金額最多），並由電話組向洗錢機房回報結清帳款，再由洗錢機房分帳到小車（小帳戶提款卡），車手提款後由車手頭收款繳交公司帳房，帳房清算盈利核對報表後再分錢給合作客戶。依據前開作業</w:t>
      </w:r>
      <w:r w:rsidRPr="00C3310F">
        <w:rPr>
          <w:rFonts w:hint="eastAsia"/>
        </w:rPr>
        <w:lastRenderedPageBreak/>
        <w:t>流程涉及之金融機構人頭帳戶、警示帳戶</w:t>
      </w:r>
      <w:r w:rsidRPr="00C3310F">
        <w:rPr>
          <w:rStyle w:val="afe"/>
        </w:rPr>
        <w:footnoteReference w:id="88"/>
      </w:r>
      <w:r w:rsidRPr="00C3310F">
        <w:rPr>
          <w:rFonts w:hint="eastAsia"/>
        </w:rPr>
        <w:t>、第三方支付之虛擬帳戶及虛擬通貨(詳結論與建議六)等隱匿贓款流向，設立偵查斷點。政府為有效阻詐，</w:t>
      </w:r>
      <w:r w:rsidRPr="00C3310F">
        <w:rPr>
          <w:rFonts w:hAnsi="標楷體" w:hint="eastAsia"/>
          <w:bCs w:val="0"/>
          <w:kern w:val="2"/>
          <w:szCs w:val="32"/>
        </w:rPr>
        <w:t>透過金融機構與客戶建立業務關係，及辦理一定金額交易時（單筆達50萬元以上）將進行臨櫃關懷，確認客戶身分，並瞭解辦理該筆金流之目的及性質，審視其合理性，如未發現明顯異常，櫃員才可執行帳務交易</w:t>
      </w:r>
      <w:r w:rsidRPr="00C3310F">
        <w:rPr>
          <w:rFonts w:hint="eastAsia"/>
        </w:rPr>
        <w:t>，經統計111年金融機構共協助民眾攔阻詐騙件數7,979件，攔阻金額42.41億元。112年攔阻詐騙件數更增加為11,300件，攔阻金額提升至75.89億元，避免國人遭詐騙金額較前一年度增加33.48億元、攔阻件數則增加為3,321件。今年(113年)第1季攔阻詐騙件數2,425件，金額15.4億元，近兩年已攔阻超過百億元，金管會稱「</w:t>
      </w:r>
      <w:r w:rsidRPr="00C3310F">
        <w:rPr>
          <w:rFonts w:hAnsi="標楷體" w:hint="eastAsia"/>
          <w:bCs w:val="0"/>
          <w:kern w:val="2"/>
          <w:szCs w:val="32"/>
        </w:rPr>
        <w:t>金融機構臨櫃關懷客戶攔阻成效顯著</w:t>
      </w:r>
      <w:r w:rsidRPr="00C3310F">
        <w:rPr>
          <w:rFonts w:hint="eastAsia"/>
        </w:rPr>
        <w:t>」。惟從人頭帳戶增減情形分析，金融機構警示帳戶總數顯示，109年第2季31,735戶，至112年第2季已成長至103,767戶，3年間成長3.27倍</w:t>
      </w:r>
      <w:r w:rsidR="007E397B" w:rsidRPr="00C3310F">
        <w:rPr>
          <w:rStyle w:val="afe"/>
        </w:rPr>
        <w:footnoteReference w:id="89"/>
      </w:r>
      <w:r w:rsidRPr="00C3310F">
        <w:rPr>
          <w:rFonts w:hint="eastAsia"/>
        </w:rPr>
        <w:t>。金管會為有效阻詐，以避免成為人頭帳戶詐欺集團之詐騙工具，研提下列強化金融機構帳戶管理措施：</w:t>
      </w:r>
      <w:bookmarkEnd w:id="996"/>
      <w:bookmarkEnd w:id="997"/>
      <w:bookmarkEnd w:id="998"/>
    </w:p>
    <w:p w14:paraId="5DE33A9E" w14:textId="77777777" w:rsidR="000B1C3C" w:rsidRPr="00C3310F" w:rsidRDefault="000B1C3C" w:rsidP="000B1C3C">
      <w:pPr>
        <w:pStyle w:val="4"/>
      </w:pPr>
      <w:r w:rsidRPr="00C3310F">
        <w:rPr>
          <w:rFonts w:hint="eastAsia"/>
        </w:rPr>
        <w:t>為強化金融機構對於確認客戶身分之作業程序，以防杜偽冒開戶及盜領存款致客戶財務損失等情事，修正「防杜人頭帳戶範本」：</w:t>
      </w:r>
    </w:p>
    <w:p w14:paraId="714C96B0" w14:textId="77777777" w:rsidR="000B1C3C" w:rsidRPr="00C3310F" w:rsidRDefault="000B1C3C" w:rsidP="000B1C3C">
      <w:pPr>
        <w:pStyle w:val="5"/>
      </w:pPr>
      <w:r w:rsidRPr="00C3310F">
        <w:rPr>
          <w:rFonts w:hint="eastAsia"/>
        </w:rPr>
        <w:t>臨櫃面（臨櫃應注意事項）：增列屬非正職職業類別、共用通訊資料、忽然提高轉帳限額、欲辦理變更負責人，新負責人對於公司營運狀況不清楚或無法正確回答等宜注意事項。</w:t>
      </w:r>
    </w:p>
    <w:p w14:paraId="223DCF3B" w14:textId="77777777" w:rsidR="000B1C3C" w:rsidRPr="00C3310F" w:rsidRDefault="000B1C3C" w:rsidP="000B1C3C">
      <w:pPr>
        <w:pStyle w:val="5"/>
      </w:pPr>
      <w:r w:rsidRPr="00C3310F">
        <w:rPr>
          <w:rFonts w:hint="eastAsia"/>
        </w:rPr>
        <w:t>資訊面：客戶申請約定轉入帳戶者，視客戶性質</w:t>
      </w:r>
      <w:r w:rsidRPr="00C3310F">
        <w:rPr>
          <w:rFonts w:hint="eastAsia"/>
        </w:rPr>
        <w:lastRenderedPageBreak/>
        <w:t>及風險程度高低，評估是否拉長申請審核期間為次二日生效。</w:t>
      </w:r>
    </w:p>
    <w:p w14:paraId="3843D67D" w14:textId="77777777" w:rsidR="000B1C3C" w:rsidRPr="00C3310F" w:rsidRDefault="000B1C3C" w:rsidP="000B1C3C">
      <w:pPr>
        <w:pStyle w:val="5"/>
      </w:pPr>
      <w:r w:rsidRPr="00C3310F">
        <w:rPr>
          <w:rFonts w:hint="eastAsia"/>
        </w:rPr>
        <w:t>教育宣導面：請金融機構於提供客戶之存摺加註相關警語，提醒客戶提供帳戶供非法使用，可能招致各項信用損失。</w:t>
      </w:r>
    </w:p>
    <w:p w14:paraId="1D883AE6" w14:textId="77777777" w:rsidR="000B1C3C" w:rsidRPr="00C3310F" w:rsidRDefault="000B1C3C" w:rsidP="000B1C3C">
      <w:pPr>
        <w:pStyle w:val="5"/>
      </w:pPr>
      <w:r w:rsidRPr="00C3310F">
        <w:rPr>
          <w:rFonts w:hint="eastAsia"/>
        </w:rPr>
        <w:t>金融機構接獲司法檢警等執法單位之警示通報，係以公文或警示帳戶簡便式表通知，茲因通報機關未提供詐騙案件類型，故金融機構尚無電信網路詐騙案件警示帳戶相關統計資料。</w:t>
      </w:r>
    </w:p>
    <w:p w14:paraId="0E4859F5" w14:textId="77777777" w:rsidR="000B1C3C" w:rsidRPr="00C3310F" w:rsidRDefault="000B1C3C" w:rsidP="000B1C3C">
      <w:pPr>
        <w:pStyle w:val="4"/>
      </w:pPr>
      <w:r w:rsidRPr="00C3310F">
        <w:rPr>
          <w:rFonts w:hint="eastAsia"/>
        </w:rPr>
        <w:t>有關對水房以短時多筆分帳之因應措施則包括「可將疑涉詐騙帳戶列為警示」、「建立相關異常交易態樣」及「交易監控」。</w:t>
      </w:r>
    </w:p>
    <w:p w14:paraId="08AFBBA9" w14:textId="77777777" w:rsidR="000B1C3C" w:rsidRPr="00C3310F" w:rsidRDefault="000B1C3C" w:rsidP="000B1C3C">
      <w:pPr>
        <w:pStyle w:val="5"/>
      </w:pPr>
      <w:r w:rsidRPr="00C3310F">
        <w:rPr>
          <w:rFonts w:hint="eastAsia"/>
        </w:rPr>
        <w:t>「可將疑涉詐騙帳戶列為警示」部分係依法院、檢察署或司法警察機關以公文書通知銀行可將存款帳戶列為警示，金融機構接獲通知後會依「存款帳戶及其疑似不法或顯屬異常交易管理辦法」之規定暫停該帳戶全部交易功能。</w:t>
      </w:r>
    </w:p>
    <w:p w14:paraId="58BF09F3" w14:textId="77777777" w:rsidR="000B1C3C" w:rsidRPr="00C3310F" w:rsidRDefault="000B1C3C" w:rsidP="000B1C3C">
      <w:pPr>
        <w:pStyle w:val="5"/>
      </w:pPr>
      <w:bookmarkStart w:id="999" w:name="_Hlk170920206"/>
      <w:r w:rsidRPr="00C3310F">
        <w:rPr>
          <w:rFonts w:hint="eastAsia"/>
        </w:rPr>
        <w:t>建立相關異常交易態樣</w:t>
      </w:r>
      <w:bookmarkEnd w:id="999"/>
      <w:r w:rsidRPr="00C3310F">
        <w:rPr>
          <w:rFonts w:hint="eastAsia"/>
        </w:rPr>
        <w:t>：所謂異常交易態樣，依據「存款帳戶及其疑似不法或顯屬異常交易管理辦法」中第二類帳戶</w:t>
      </w:r>
      <w:r w:rsidRPr="00C3310F">
        <w:rPr>
          <w:rStyle w:val="afe"/>
        </w:rPr>
        <w:footnoteReference w:id="90"/>
      </w:r>
      <w:r w:rsidRPr="00C3310F">
        <w:rPr>
          <w:rFonts w:hint="eastAsia"/>
        </w:rPr>
        <w:t>態樣及「彙整銀行間具共通性之疑似不法或顯屬異常交易態樣」，包括「存款帳戶餘額低，頻繁查詢餘額，有款項入帳隨即領現或轉出」、「短期間內頻繁使用自動化設備交易，且借方總額與貸方總額差額小，僅留下象徵性餘額者」等異常交易態樣。</w:t>
      </w:r>
    </w:p>
    <w:p w14:paraId="33ED9B06" w14:textId="77777777" w:rsidR="000B1C3C" w:rsidRPr="00C3310F" w:rsidRDefault="000B1C3C" w:rsidP="000B1C3C">
      <w:pPr>
        <w:pStyle w:val="5"/>
      </w:pPr>
      <w:r w:rsidRPr="00C3310F">
        <w:rPr>
          <w:rFonts w:hint="eastAsia"/>
        </w:rPr>
        <w:lastRenderedPageBreak/>
        <w:t>依第二類帳戶及異常交易態樣進行交易監控：實務上金融機構係依「存款帳戶及其疑似不法或顯屬異常交易管理辦法」中屬於第二類之帳戶及「彙整銀行間具共通性之疑似不法或顯屬異常交易態樣」進行存款帳戶交易監控；經審查如有疑似不法或異常之情事者，除進行存款交易管控外(例:限制自動化交易、交易額度調整等)，並依洗錢防制法等相關法令規定進行相關處理措施。</w:t>
      </w:r>
    </w:p>
    <w:p w14:paraId="3D6116A9" w14:textId="77777777" w:rsidR="000B1C3C" w:rsidRPr="00C3310F" w:rsidRDefault="000B1C3C" w:rsidP="000B1C3C">
      <w:pPr>
        <w:pStyle w:val="3"/>
      </w:pPr>
      <w:bookmarkStart w:id="1000" w:name="_Toc171525609"/>
      <w:bookmarkStart w:id="1001" w:name="_Toc172024130"/>
      <w:bookmarkStart w:id="1002" w:name="_Toc172033453"/>
      <w:r w:rsidRPr="00C3310F">
        <w:rPr>
          <w:rFonts w:hint="eastAsia"/>
        </w:rPr>
        <w:t>金管會雖稱在督促銀行強化各項風控機制後，警示帳戶數成長率已趨緩，由110年59%下降至113年第1季31%。惟113年第1季之警示帳戶仍較112年底增加近8,000戶，整體警示帳戶數量仍呈現持續增加之情形。建議政府除應持續研擬相關控管措施以杜絕人頭帳戶外，並評估定期公布各金融機構之警示帳戶數量，以供大眾檢視，藉以強化金融機構源頭控管人頭帳戶。並對金融機構管理不力予以課責外，並應秉持行政先行及公開透明原則優先檢討打詐不力之金融機構，以避免成為打詐及洗錢防制之破口。此外，金融機構防制人頭帳戶目前主要均係針對個人戶，然大量歇業的企業戶，已逐漸成為詐欺集團鎖定之目標，建議政府亦應檢視該等公司存款帳戶成為人頭帳戶之趨勢，評估研擬相關控管機制。</w:t>
      </w:r>
      <w:bookmarkEnd w:id="1000"/>
      <w:bookmarkEnd w:id="1001"/>
      <w:bookmarkEnd w:id="1002"/>
    </w:p>
    <w:p w14:paraId="50AF374C" w14:textId="6DAC02A5" w:rsidR="000B1C3C" w:rsidRPr="00C3310F" w:rsidRDefault="000B1C3C" w:rsidP="000B1C3C">
      <w:pPr>
        <w:pStyle w:val="4"/>
      </w:pPr>
      <w:r w:rsidRPr="00C3310F">
        <w:rPr>
          <w:rFonts w:hint="eastAsia"/>
        </w:rPr>
        <w:t>按照金管會說明，依「存款帳戶及其疑似不法或顯屬異常交易管理辦法」(下稱疑似不法管理辦法)第3條及第5條規定，銀行係配合法院、檢察署或司法警察機關之通知，將存款帳戶列為警示帳戶；換言之，警示帳戶數量雖未必全數等同人頭帳戶數量，但人頭帳戶用於詐騙後，經司法警察機關通知而成為警示帳戶，爰警示帳戶數量</w:t>
      </w:r>
      <w:r w:rsidR="00DF073C" w:rsidRPr="00C3310F">
        <w:rPr>
          <w:rFonts w:hint="eastAsia"/>
        </w:rPr>
        <w:t>對於政府及金</w:t>
      </w:r>
      <w:r w:rsidR="00DF073C" w:rsidRPr="00C3310F">
        <w:rPr>
          <w:rFonts w:hint="eastAsia"/>
        </w:rPr>
        <w:lastRenderedPageBreak/>
        <w:t>融機構管控人頭帳戶之良窳</w:t>
      </w:r>
      <w:r w:rsidRPr="00C3310F">
        <w:rPr>
          <w:rFonts w:hint="eastAsia"/>
        </w:rPr>
        <w:t>，</w:t>
      </w:r>
      <w:r w:rsidR="00DF073C" w:rsidRPr="00C3310F">
        <w:rPr>
          <w:rFonts w:hint="eastAsia"/>
        </w:rPr>
        <w:t>仍</w:t>
      </w:r>
      <w:r w:rsidRPr="00C3310F">
        <w:rPr>
          <w:rFonts w:hint="eastAsia"/>
        </w:rPr>
        <w:t>具有指標意義，甚至尚不能完全反</w:t>
      </w:r>
      <w:r w:rsidR="00EF021F" w:rsidRPr="00C3310F">
        <w:rPr>
          <w:rFonts w:hint="eastAsia"/>
        </w:rPr>
        <w:t>映</w:t>
      </w:r>
      <w:r w:rsidRPr="00C3310F">
        <w:rPr>
          <w:rFonts w:hint="eastAsia"/>
        </w:rPr>
        <w:t>人頭帳戶之猖獗程度。</w:t>
      </w:r>
    </w:p>
    <w:p w14:paraId="6CE939A5" w14:textId="343DE214" w:rsidR="000B1C3C" w:rsidRPr="00C3310F" w:rsidRDefault="000B1C3C" w:rsidP="000B1C3C">
      <w:pPr>
        <w:pStyle w:val="4"/>
      </w:pPr>
      <w:r w:rsidRPr="00C3310F">
        <w:rPr>
          <w:rFonts w:hint="eastAsia"/>
        </w:rPr>
        <w:t>茲將金管會提供之各金融機構111年迄今警示帳戶數量統計表臚陳如下表</w:t>
      </w:r>
      <w:r w:rsidR="00CB4F4C" w:rsidRPr="00C3310F">
        <w:rPr>
          <w:rFonts w:hint="eastAsia"/>
        </w:rPr>
        <w:t>20</w:t>
      </w:r>
      <w:r w:rsidRPr="00C3310F">
        <w:rPr>
          <w:rFonts w:hint="eastAsia"/>
        </w:rPr>
        <w:t>，內容顯示部分行庫警示帳戶數量明顯偏多。對此，</w:t>
      </w:r>
      <w:r w:rsidR="00EF021F" w:rsidRPr="00C3310F">
        <w:rPr>
          <w:rFonts w:hint="eastAsia"/>
        </w:rPr>
        <w:t>銀行</w:t>
      </w:r>
      <w:r w:rsidRPr="00C3310F">
        <w:rPr>
          <w:rFonts w:hint="eastAsia"/>
        </w:rPr>
        <w:t>局侯立洋主任秘書於本院113年6月3日辦理座談時表示：「警示帳戶每一季有公</w:t>
      </w:r>
      <w:r w:rsidR="00EF021F" w:rsidRPr="00C3310F">
        <w:rPr>
          <w:rFonts w:hint="eastAsia"/>
        </w:rPr>
        <w:t>布</w:t>
      </w:r>
      <w:r w:rsidRPr="00C3310F">
        <w:rPr>
          <w:rFonts w:hint="eastAsia"/>
        </w:rPr>
        <w:t>總數，至於個別金融機構，金管會去年有公</w:t>
      </w:r>
      <w:r w:rsidR="00EF021F" w:rsidRPr="00C3310F">
        <w:rPr>
          <w:rFonts w:hint="eastAsia"/>
        </w:rPr>
        <w:t>布</w:t>
      </w:r>
      <w:r w:rsidRPr="00C3310F">
        <w:rPr>
          <w:rFonts w:hint="eastAsia"/>
        </w:rPr>
        <w:t>1次前10大，銀行局也特別針對所謂前10大、警示帳戶比較多的金融機構，特別找他們過去，要求他們改善，事實上像剛剛提到中信本身也因為這樣，有去設計預防機制，我們發現自從他做了機制後，他的成長率是相對說是比較低的。雖然說他總數來講比較高，可是他的成長率是有下降的」等語，</w:t>
      </w:r>
      <w:r w:rsidR="00EF021F" w:rsidRPr="00C3310F">
        <w:rPr>
          <w:rFonts w:hint="eastAsia"/>
        </w:rPr>
        <w:t>金管</w:t>
      </w:r>
      <w:r w:rsidRPr="00C3310F">
        <w:rPr>
          <w:rFonts w:hint="eastAsia"/>
        </w:rPr>
        <w:t>會並補充警示機制及趨勢如下。</w:t>
      </w:r>
    </w:p>
    <w:p w14:paraId="4A556361" w14:textId="4516FBA6" w:rsidR="007441B4" w:rsidRPr="00C3310F" w:rsidRDefault="007441B4" w:rsidP="007441B4">
      <w:pPr>
        <w:pStyle w:val="a3"/>
        <w:jc w:val="center"/>
        <w:rPr>
          <w:rFonts w:hint="eastAsia"/>
        </w:rPr>
      </w:pPr>
      <w:bookmarkStart w:id="1003" w:name="_Toc172025224"/>
      <w:r w:rsidRPr="00C3310F">
        <w:rPr>
          <w:rFonts w:hint="eastAsia"/>
          <w:b/>
        </w:rPr>
        <w:t>各金融機構111年迄今警示帳戶數量</w:t>
      </w:r>
      <w:bookmarkEnd w:id="1003"/>
    </w:p>
    <w:p w14:paraId="48D26491" w14:textId="77777777" w:rsidR="007441B4" w:rsidRPr="00C3310F" w:rsidRDefault="007441B4" w:rsidP="007441B4">
      <w:pPr>
        <w:pStyle w:val="4"/>
        <w:numPr>
          <w:ilvl w:val="0"/>
          <w:numId w:val="0"/>
        </w:numPr>
        <w:ind w:left="1191"/>
        <w:jc w:val="right"/>
      </w:pPr>
      <w:r w:rsidRPr="00C3310F">
        <w:rPr>
          <w:rFonts w:hint="eastAsia"/>
          <w:sz w:val="28"/>
        </w:rPr>
        <w:t>單位:帳戶數</w:t>
      </w:r>
    </w:p>
    <w:tbl>
      <w:tblPr>
        <w:tblW w:w="9542" w:type="dxa"/>
        <w:tblInd w:w="-714" w:type="dxa"/>
        <w:tblCellMar>
          <w:left w:w="28" w:type="dxa"/>
          <w:right w:w="28" w:type="dxa"/>
        </w:tblCellMar>
        <w:tblLook w:val="04A0" w:firstRow="1" w:lastRow="0" w:firstColumn="1" w:lastColumn="0" w:noHBand="0" w:noVBand="1"/>
      </w:tblPr>
      <w:tblGrid>
        <w:gridCol w:w="1702"/>
        <w:gridCol w:w="850"/>
        <w:gridCol w:w="851"/>
        <w:gridCol w:w="850"/>
        <w:gridCol w:w="851"/>
        <w:gridCol w:w="850"/>
        <w:gridCol w:w="897"/>
        <w:gridCol w:w="897"/>
        <w:gridCol w:w="897"/>
        <w:gridCol w:w="897"/>
      </w:tblGrid>
      <w:tr w:rsidR="00C3310F" w:rsidRPr="00C3310F" w14:paraId="52E5D2F1" w14:textId="77777777" w:rsidTr="007441B4">
        <w:trPr>
          <w:trHeight w:val="648"/>
          <w:tblHeader/>
        </w:trPr>
        <w:tc>
          <w:tcPr>
            <w:tcW w:w="1702" w:type="dxa"/>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14:paraId="4A68F0D5" w14:textId="77777777" w:rsidR="000B1C3C" w:rsidRPr="00C3310F" w:rsidRDefault="000B1C3C" w:rsidP="000B1C3C">
            <w:pPr>
              <w:widowControl/>
              <w:overflowPunct/>
              <w:autoSpaceDE/>
              <w:autoSpaceDN/>
              <w:spacing w:line="280" w:lineRule="exact"/>
              <w:jc w:val="left"/>
              <w:rPr>
                <w:rFonts w:hAnsi="標楷體" w:cs="新細明體"/>
                <w:b/>
                <w:bCs/>
                <w:kern w:val="0"/>
                <w:sz w:val="28"/>
                <w:szCs w:val="28"/>
              </w:rPr>
            </w:pPr>
            <w:r w:rsidRPr="00C3310F">
              <w:rPr>
                <w:rFonts w:hAnsi="標楷體" w:cs="新細明體" w:hint="eastAsia"/>
                <w:b/>
                <w:bCs/>
                <w:kern w:val="0"/>
                <w:sz w:val="28"/>
                <w:szCs w:val="28"/>
              </w:rPr>
              <w:t>金融機構</w:t>
            </w:r>
          </w:p>
        </w:tc>
        <w:tc>
          <w:tcPr>
            <w:tcW w:w="850"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36EBF345" w14:textId="77777777" w:rsidR="000B1C3C" w:rsidRPr="00C3310F" w:rsidRDefault="000B1C3C" w:rsidP="000B1C3C">
            <w:pPr>
              <w:widowControl/>
              <w:overflowPunct/>
              <w:autoSpaceDE/>
              <w:autoSpaceDN/>
              <w:spacing w:line="280" w:lineRule="exact"/>
              <w:jc w:val="center"/>
              <w:rPr>
                <w:rFonts w:hAnsi="標楷體" w:cs="新細明體"/>
                <w:kern w:val="0"/>
                <w:sz w:val="20"/>
              </w:rPr>
            </w:pPr>
            <w:r w:rsidRPr="00C3310F">
              <w:rPr>
                <w:rFonts w:hAnsi="標楷體" w:cs="新細明體"/>
                <w:kern w:val="0"/>
                <w:sz w:val="20"/>
              </w:rPr>
              <w:t xml:space="preserve"> 111年Q1 </w:t>
            </w:r>
          </w:p>
        </w:tc>
        <w:tc>
          <w:tcPr>
            <w:tcW w:w="851"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14E07A62" w14:textId="77777777" w:rsidR="000B1C3C" w:rsidRPr="00C3310F" w:rsidRDefault="000B1C3C" w:rsidP="000B1C3C">
            <w:pPr>
              <w:widowControl/>
              <w:overflowPunct/>
              <w:autoSpaceDE/>
              <w:autoSpaceDN/>
              <w:spacing w:line="280" w:lineRule="exact"/>
              <w:jc w:val="center"/>
              <w:rPr>
                <w:rFonts w:hAnsi="標楷體" w:cs="新細明體"/>
                <w:kern w:val="0"/>
                <w:sz w:val="20"/>
              </w:rPr>
            </w:pPr>
            <w:r w:rsidRPr="00C3310F">
              <w:rPr>
                <w:rFonts w:hAnsi="標楷體" w:cs="新細明體"/>
                <w:kern w:val="0"/>
                <w:sz w:val="20"/>
              </w:rPr>
              <w:t xml:space="preserve"> 111年Q2 </w:t>
            </w:r>
          </w:p>
        </w:tc>
        <w:tc>
          <w:tcPr>
            <w:tcW w:w="850"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02C3ACB0" w14:textId="77777777" w:rsidR="000B1C3C" w:rsidRPr="00C3310F" w:rsidRDefault="000B1C3C" w:rsidP="000B1C3C">
            <w:pPr>
              <w:widowControl/>
              <w:overflowPunct/>
              <w:autoSpaceDE/>
              <w:autoSpaceDN/>
              <w:spacing w:line="280" w:lineRule="exact"/>
              <w:jc w:val="center"/>
              <w:rPr>
                <w:rFonts w:hAnsi="標楷體" w:cs="新細明體"/>
                <w:kern w:val="0"/>
                <w:sz w:val="20"/>
              </w:rPr>
            </w:pPr>
            <w:r w:rsidRPr="00C3310F">
              <w:rPr>
                <w:rFonts w:hAnsi="標楷體" w:cs="新細明體"/>
                <w:kern w:val="0"/>
                <w:sz w:val="20"/>
              </w:rPr>
              <w:t xml:space="preserve"> 111年Q3 </w:t>
            </w:r>
          </w:p>
        </w:tc>
        <w:tc>
          <w:tcPr>
            <w:tcW w:w="851"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27C4A06C" w14:textId="77777777" w:rsidR="000B1C3C" w:rsidRPr="00C3310F" w:rsidRDefault="000B1C3C" w:rsidP="000B1C3C">
            <w:pPr>
              <w:widowControl/>
              <w:overflowPunct/>
              <w:autoSpaceDE/>
              <w:autoSpaceDN/>
              <w:spacing w:line="280" w:lineRule="exact"/>
              <w:jc w:val="center"/>
              <w:rPr>
                <w:rFonts w:hAnsi="標楷體" w:cs="新細明體"/>
                <w:kern w:val="0"/>
                <w:sz w:val="20"/>
              </w:rPr>
            </w:pPr>
            <w:r w:rsidRPr="00C3310F">
              <w:rPr>
                <w:rFonts w:hAnsi="標楷體" w:cs="新細明體"/>
                <w:kern w:val="0"/>
                <w:sz w:val="20"/>
              </w:rPr>
              <w:t xml:space="preserve"> 111年Q4 </w:t>
            </w:r>
          </w:p>
        </w:tc>
        <w:tc>
          <w:tcPr>
            <w:tcW w:w="850"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3D4B29D3" w14:textId="77777777" w:rsidR="000B1C3C" w:rsidRPr="00C3310F" w:rsidRDefault="000B1C3C" w:rsidP="000B1C3C">
            <w:pPr>
              <w:widowControl/>
              <w:overflowPunct/>
              <w:autoSpaceDE/>
              <w:autoSpaceDN/>
              <w:spacing w:line="280" w:lineRule="exact"/>
              <w:jc w:val="center"/>
              <w:rPr>
                <w:rFonts w:hAnsi="標楷體" w:cs="新細明體"/>
                <w:kern w:val="0"/>
                <w:sz w:val="20"/>
              </w:rPr>
            </w:pPr>
            <w:r w:rsidRPr="00C3310F">
              <w:rPr>
                <w:rFonts w:hAnsi="標楷體" w:cs="新細明體"/>
                <w:kern w:val="0"/>
                <w:sz w:val="20"/>
              </w:rPr>
              <w:t xml:space="preserve"> 112年Q1 </w:t>
            </w:r>
          </w:p>
        </w:tc>
        <w:tc>
          <w:tcPr>
            <w:tcW w:w="89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0790654A" w14:textId="77777777" w:rsidR="000B1C3C" w:rsidRPr="00C3310F" w:rsidRDefault="000B1C3C" w:rsidP="000B1C3C">
            <w:pPr>
              <w:widowControl/>
              <w:overflowPunct/>
              <w:autoSpaceDE/>
              <w:autoSpaceDN/>
              <w:spacing w:line="280" w:lineRule="exact"/>
              <w:jc w:val="center"/>
              <w:rPr>
                <w:rFonts w:hAnsi="標楷體" w:cs="新細明體"/>
                <w:kern w:val="0"/>
                <w:sz w:val="20"/>
              </w:rPr>
            </w:pPr>
            <w:r w:rsidRPr="00C3310F">
              <w:rPr>
                <w:rFonts w:hAnsi="標楷體" w:cs="新細明體"/>
                <w:kern w:val="0"/>
                <w:sz w:val="20"/>
              </w:rPr>
              <w:t xml:space="preserve"> 112年Q2 </w:t>
            </w:r>
          </w:p>
        </w:tc>
        <w:tc>
          <w:tcPr>
            <w:tcW w:w="89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498A6EFF" w14:textId="77777777" w:rsidR="000B1C3C" w:rsidRPr="00C3310F" w:rsidRDefault="000B1C3C" w:rsidP="000B1C3C">
            <w:pPr>
              <w:widowControl/>
              <w:overflowPunct/>
              <w:autoSpaceDE/>
              <w:autoSpaceDN/>
              <w:spacing w:line="280" w:lineRule="exact"/>
              <w:jc w:val="center"/>
              <w:rPr>
                <w:rFonts w:hAnsi="標楷體" w:cs="新細明體"/>
                <w:kern w:val="0"/>
                <w:sz w:val="20"/>
              </w:rPr>
            </w:pPr>
            <w:r w:rsidRPr="00C3310F">
              <w:rPr>
                <w:rFonts w:hAnsi="標楷體" w:cs="新細明體"/>
                <w:kern w:val="0"/>
                <w:sz w:val="20"/>
              </w:rPr>
              <w:t xml:space="preserve"> 112年Q3 </w:t>
            </w:r>
          </w:p>
        </w:tc>
        <w:tc>
          <w:tcPr>
            <w:tcW w:w="89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5ED0FF6E" w14:textId="77777777" w:rsidR="000B1C3C" w:rsidRPr="00C3310F" w:rsidRDefault="000B1C3C" w:rsidP="000B1C3C">
            <w:pPr>
              <w:widowControl/>
              <w:overflowPunct/>
              <w:autoSpaceDE/>
              <w:autoSpaceDN/>
              <w:spacing w:line="280" w:lineRule="exact"/>
              <w:jc w:val="center"/>
              <w:rPr>
                <w:rFonts w:hAnsi="標楷體" w:cs="新細明體"/>
                <w:kern w:val="0"/>
                <w:sz w:val="20"/>
              </w:rPr>
            </w:pPr>
            <w:r w:rsidRPr="00C3310F">
              <w:rPr>
                <w:rFonts w:hAnsi="標楷體" w:cs="新細明體"/>
                <w:kern w:val="0"/>
                <w:sz w:val="20"/>
              </w:rPr>
              <w:t xml:space="preserve"> 112年Q4 </w:t>
            </w:r>
          </w:p>
        </w:tc>
        <w:tc>
          <w:tcPr>
            <w:tcW w:w="89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12E41427" w14:textId="77777777" w:rsidR="000B1C3C" w:rsidRPr="00C3310F" w:rsidRDefault="000B1C3C" w:rsidP="000B1C3C">
            <w:pPr>
              <w:widowControl/>
              <w:overflowPunct/>
              <w:autoSpaceDE/>
              <w:autoSpaceDN/>
              <w:spacing w:line="280" w:lineRule="exact"/>
              <w:jc w:val="center"/>
              <w:rPr>
                <w:rFonts w:hAnsi="標楷體" w:cs="新細明體"/>
                <w:kern w:val="0"/>
                <w:sz w:val="20"/>
              </w:rPr>
            </w:pPr>
            <w:r w:rsidRPr="00C3310F">
              <w:rPr>
                <w:rFonts w:hAnsi="標楷體" w:cs="新細明體"/>
                <w:kern w:val="0"/>
                <w:sz w:val="20"/>
              </w:rPr>
              <w:t xml:space="preserve"> 113年Q1 </w:t>
            </w:r>
          </w:p>
        </w:tc>
      </w:tr>
      <w:tr w:rsidR="00C3310F" w:rsidRPr="00C3310F" w14:paraId="5B3E6D77" w14:textId="77777777" w:rsidTr="007441B4">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55DA38EC" w14:textId="3E631C37" w:rsidR="000B1C3C" w:rsidRPr="00C3310F" w:rsidRDefault="000B1C3C" w:rsidP="000B1C3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中</w:t>
            </w:r>
            <w:r w:rsidR="00CB5482" w:rsidRPr="00C3310F">
              <w:rPr>
                <w:rFonts w:hAnsi="標楷體" w:cs="新細明體" w:hint="eastAsia"/>
                <w:kern w:val="0"/>
                <w:sz w:val="24"/>
                <w:szCs w:val="24"/>
              </w:rPr>
              <w:t>○郵</w:t>
            </w:r>
            <w:r w:rsidRPr="00C3310F">
              <w:rPr>
                <w:rFonts w:hAnsi="標楷體" w:cs="新細明體" w:hint="eastAsia"/>
                <w:kern w:val="0"/>
                <w:sz w:val="24"/>
                <w:szCs w:val="24"/>
              </w:rPr>
              <w:t xml:space="preserve">政                </w:t>
            </w:r>
          </w:p>
        </w:tc>
        <w:tc>
          <w:tcPr>
            <w:tcW w:w="850" w:type="dxa"/>
            <w:tcBorders>
              <w:top w:val="nil"/>
              <w:left w:val="nil"/>
              <w:bottom w:val="single" w:sz="4" w:space="0" w:color="auto"/>
              <w:right w:val="single" w:sz="4" w:space="0" w:color="auto"/>
            </w:tcBorders>
            <w:shd w:val="clear" w:color="auto" w:fill="auto"/>
            <w:noWrap/>
            <w:vAlign w:val="bottom"/>
            <w:hideMark/>
          </w:tcPr>
          <w:p w14:paraId="2FC6999D"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14,969 </w:t>
            </w:r>
          </w:p>
        </w:tc>
        <w:tc>
          <w:tcPr>
            <w:tcW w:w="851" w:type="dxa"/>
            <w:tcBorders>
              <w:top w:val="nil"/>
              <w:left w:val="nil"/>
              <w:bottom w:val="single" w:sz="4" w:space="0" w:color="auto"/>
              <w:right w:val="single" w:sz="4" w:space="0" w:color="auto"/>
            </w:tcBorders>
            <w:shd w:val="clear" w:color="auto" w:fill="auto"/>
            <w:noWrap/>
            <w:vAlign w:val="bottom"/>
            <w:hideMark/>
          </w:tcPr>
          <w:p w14:paraId="70FFFABE"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16,127 </w:t>
            </w:r>
          </w:p>
        </w:tc>
        <w:tc>
          <w:tcPr>
            <w:tcW w:w="850" w:type="dxa"/>
            <w:tcBorders>
              <w:top w:val="nil"/>
              <w:left w:val="nil"/>
              <w:bottom w:val="single" w:sz="4" w:space="0" w:color="auto"/>
              <w:right w:val="single" w:sz="4" w:space="0" w:color="auto"/>
            </w:tcBorders>
            <w:shd w:val="clear" w:color="auto" w:fill="auto"/>
            <w:noWrap/>
            <w:vAlign w:val="bottom"/>
            <w:hideMark/>
          </w:tcPr>
          <w:p w14:paraId="27433BA4"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16,253 </w:t>
            </w:r>
          </w:p>
        </w:tc>
        <w:tc>
          <w:tcPr>
            <w:tcW w:w="851" w:type="dxa"/>
            <w:tcBorders>
              <w:top w:val="nil"/>
              <w:left w:val="nil"/>
              <w:bottom w:val="single" w:sz="4" w:space="0" w:color="auto"/>
              <w:right w:val="single" w:sz="4" w:space="0" w:color="auto"/>
            </w:tcBorders>
            <w:shd w:val="clear" w:color="auto" w:fill="auto"/>
            <w:noWrap/>
            <w:vAlign w:val="bottom"/>
            <w:hideMark/>
          </w:tcPr>
          <w:p w14:paraId="5953DCB7"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17,058 </w:t>
            </w:r>
          </w:p>
        </w:tc>
        <w:tc>
          <w:tcPr>
            <w:tcW w:w="850" w:type="dxa"/>
            <w:tcBorders>
              <w:top w:val="nil"/>
              <w:left w:val="nil"/>
              <w:bottom w:val="single" w:sz="4" w:space="0" w:color="auto"/>
              <w:right w:val="single" w:sz="4" w:space="0" w:color="auto"/>
            </w:tcBorders>
            <w:shd w:val="clear" w:color="auto" w:fill="auto"/>
            <w:noWrap/>
            <w:vAlign w:val="bottom"/>
            <w:hideMark/>
          </w:tcPr>
          <w:p w14:paraId="01474608"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17,862 </w:t>
            </w:r>
          </w:p>
        </w:tc>
        <w:tc>
          <w:tcPr>
            <w:tcW w:w="897" w:type="dxa"/>
            <w:tcBorders>
              <w:top w:val="nil"/>
              <w:left w:val="nil"/>
              <w:bottom w:val="single" w:sz="4" w:space="0" w:color="auto"/>
              <w:right w:val="single" w:sz="4" w:space="0" w:color="auto"/>
            </w:tcBorders>
            <w:shd w:val="clear" w:color="auto" w:fill="auto"/>
            <w:noWrap/>
            <w:vAlign w:val="bottom"/>
            <w:hideMark/>
          </w:tcPr>
          <w:p w14:paraId="26564373"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19,511 </w:t>
            </w:r>
          </w:p>
        </w:tc>
        <w:tc>
          <w:tcPr>
            <w:tcW w:w="897" w:type="dxa"/>
            <w:tcBorders>
              <w:top w:val="nil"/>
              <w:left w:val="nil"/>
              <w:bottom w:val="single" w:sz="4" w:space="0" w:color="auto"/>
              <w:right w:val="single" w:sz="4" w:space="0" w:color="auto"/>
            </w:tcBorders>
            <w:shd w:val="clear" w:color="auto" w:fill="auto"/>
            <w:noWrap/>
            <w:vAlign w:val="bottom"/>
            <w:hideMark/>
          </w:tcPr>
          <w:p w14:paraId="56666280"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21,371 </w:t>
            </w:r>
          </w:p>
        </w:tc>
        <w:tc>
          <w:tcPr>
            <w:tcW w:w="897" w:type="dxa"/>
            <w:tcBorders>
              <w:top w:val="nil"/>
              <w:left w:val="nil"/>
              <w:bottom w:val="single" w:sz="4" w:space="0" w:color="auto"/>
              <w:right w:val="single" w:sz="4" w:space="0" w:color="auto"/>
            </w:tcBorders>
            <w:shd w:val="clear" w:color="auto" w:fill="auto"/>
            <w:noWrap/>
            <w:vAlign w:val="bottom"/>
            <w:hideMark/>
          </w:tcPr>
          <w:p w14:paraId="30DDB808"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23,799 </w:t>
            </w:r>
          </w:p>
        </w:tc>
        <w:tc>
          <w:tcPr>
            <w:tcW w:w="897" w:type="dxa"/>
            <w:tcBorders>
              <w:top w:val="nil"/>
              <w:left w:val="nil"/>
              <w:bottom w:val="single" w:sz="4" w:space="0" w:color="auto"/>
              <w:right w:val="single" w:sz="4" w:space="0" w:color="auto"/>
            </w:tcBorders>
            <w:shd w:val="clear" w:color="auto" w:fill="auto"/>
            <w:noWrap/>
            <w:vAlign w:val="bottom"/>
            <w:hideMark/>
          </w:tcPr>
          <w:p w14:paraId="44E9DFE0"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26,379 </w:t>
            </w:r>
          </w:p>
        </w:tc>
      </w:tr>
      <w:tr w:rsidR="00C3310F" w:rsidRPr="00C3310F" w14:paraId="5661B920" w14:textId="77777777" w:rsidTr="007441B4">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04FA46F3" w14:textId="60F1C2DD" w:rsidR="000B1C3C" w:rsidRPr="00C3310F" w:rsidRDefault="000B1C3C" w:rsidP="000B1C3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臺</w:t>
            </w:r>
            <w:r w:rsidR="00CB5482" w:rsidRPr="00C3310F">
              <w:rPr>
                <w:rFonts w:hAnsi="標楷體" w:cs="新細明體" w:hint="eastAsia"/>
                <w:kern w:val="0"/>
                <w:sz w:val="24"/>
                <w:szCs w:val="24"/>
              </w:rPr>
              <w:t>○</w:t>
            </w:r>
            <w:r w:rsidRPr="00C3310F">
              <w:rPr>
                <w:rFonts w:hAnsi="標楷體" w:cs="新細明體" w:hint="eastAsia"/>
                <w:kern w:val="0"/>
                <w:sz w:val="24"/>
                <w:szCs w:val="24"/>
              </w:rPr>
              <w:t xml:space="preserve">銀行                </w:t>
            </w:r>
          </w:p>
        </w:tc>
        <w:tc>
          <w:tcPr>
            <w:tcW w:w="850" w:type="dxa"/>
            <w:tcBorders>
              <w:top w:val="nil"/>
              <w:left w:val="nil"/>
              <w:bottom w:val="single" w:sz="4" w:space="0" w:color="auto"/>
              <w:right w:val="single" w:sz="4" w:space="0" w:color="auto"/>
            </w:tcBorders>
            <w:shd w:val="clear" w:color="auto" w:fill="auto"/>
            <w:noWrap/>
            <w:vAlign w:val="bottom"/>
            <w:hideMark/>
          </w:tcPr>
          <w:p w14:paraId="10808E27"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2,392 </w:t>
            </w:r>
          </w:p>
        </w:tc>
        <w:tc>
          <w:tcPr>
            <w:tcW w:w="851" w:type="dxa"/>
            <w:tcBorders>
              <w:top w:val="nil"/>
              <w:left w:val="nil"/>
              <w:bottom w:val="single" w:sz="4" w:space="0" w:color="auto"/>
              <w:right w:val="single" w:sz="4" w:space="0" w:color="auto"/>
            </w:tcBorders>
            <w:shd w:val="clear" w:color="auto" w:fill="auto"/>
            <w:noWrap/>
            <w:vAlign w:val="bottom"/>
            <w:hideMark/>
          </w:tcPr>
          <w:p w14:paraId="2EDA38A6"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2,621 </w:t>
            </w:r>
          </w:p>
        </w:tc>
        <w:tc>
          <w:tcPr>
            <w:tcW w:w="850" w:type="dxa"/>
            <w:tcBorders>
              <w:top w:val="nil"/>
              <w:left w:val="nil"/>
              <w:bottom w:val="single" w:sz="4" w:space="0" w:color="auto"/>
              <w:right w:val="single" w:sz="4" w:space="0" w:color="auto"/>
            </w:tcBorders>
            <w:shd w:val="clear" w:color="auto" w:fill="auto"/>
            <w:noWrap/>
            <w:vAlign w:val="bottom"/>
            <w:hideMark/>
          </w:tcPr>
          <w:p w14:paraId="04BC00EA"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2,758 </w:t>
            </w:r>
          </w:p>
        </w:tc>
        <w:tc>
          <w:tcPr>
            <w:tcW w:w="851" w:type="dxa"/>
            <w:tcBorders>
              <w:top w:val="nil"/>
              <w:left w:val="nil"/>
              <w:bottom w:val="single" w:sz="4" w:space="0" w:color="auto"/>
              <w:right w:val="single" w:sz="4" w:space="0" w:color="auto"/>
            </w:tcBorders>
            <w:shd w:val="clear" w:color="auto" w:fill="auto"/>
            <w:noWrap/>
            <w:vAlign w:val="bottom"/>
            <w:hideMark/>
          </w:tcPr>
          <w:p w14:paraId="3B7BC4DC"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2,907 </w:t>
            </w:r>
          </w:p>
        </w:tc>
        <w:tc>
          <w:tcPr>
            <w:tcW w:w="850" w:type="dxa"/>
            <w:tcBorders>
              <w:top w:val="nil"/>
              <w:left w:val="nil"/>
              <w:bottom w:val="single" w:sz="4" w:space="0" w:color="auto"/>
              <w:right w:val="single" w:sz="4" w:space="0" w:color="auto"/>
            </w:tcBorders>
            <w:shd w:val="clear" w:color="auto" w:fill="auto"/>
            <w:noWrap/>
            <w:vAlign w:val="bottom"/>
            <w:hideMark/>
          </w:tcPr>
          <w:p w14:paraId="163BFA13"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2,997 </w:t>
            </w:r>
          </w:p>
        </w:tc>
        <w:tc>
          <w:tcPr>
            <w:tcW w:w="897" w:type="dxa"/>
            <w:tcBorders>
              <w:top w:val="nil"/>
              <w:left w:val="nil"/>
              <w:bottom w:val="single" w:sz="4" w:space="0" w:color="auto"/>
              <w:right w:val="single" w:sz="4" w:space="0" w:color="auto"/>
            </w:tcBorders>
            <w:shd w:val="clear" w:color="auto" w:fill="auto"/>
            <w:noWrap/>
            <w:vAlign w:val="bottom"/>
            <w:hideMark/>
          </w:tcPr>
          <w:p w14:paraId="15F56FB0"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3,282 </w:t>
            </w:r>
          </w:p>
        </w:tc>
        <w:tc>
          <w:tcPr>
            <w:tcW w:w="897" w:type="dxa"/>
            <w:tcBorders>
              <w:top w:val="nil"/>
              <w:left w:val="nil"/>
              <w:bottom w:val="single" w:sz="4" w:space="0" w:color="auto"/>
              <w:right w:val="single" w:sz="4" w:space="0" w:color="auto"/>
            </w:tcBorders>
            <w:shd w:val="clear" w:color="auto" w:fill="auto"/>
            <w:noWrap/>
            <w:vAlign w:val="bottom"/>
            <w:hideMark/>
          </w:tcPr>
          <w:p w14:paraId="03CA830A"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3,531 </w:t>
            </w:r>
          </w:p>
        </w:tc>
        <w:tc>
          <w:tcPr>
            <w:tcW w:w="897" w:type="dxa"/>
            <w:tcBorders>
              <w:top w:val="nil"/>
              <w:left w:val="nil"/>
              <w:bottom w:val="single" w:sz="4" w:space="0" w:color="auto"/>
              <w:right w:val="single" w:sz="4" w:space="0" w:color="auto"/>
            </w:tcBorders>
            <w:shd w:val="clear" w:color="auto" w:fill="auto"/>
            <w:noWrap/>
            <w:vAlign w:val="bottom"/>
            <w:hideMark/>
          </w:tcPr>
          <w:p w14:paraId="0B11D0C8"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3,793 </w:t>
            </w:r>
          </w:p>
        </w:tc>
        <w:tc>
          <w:tcPr>
            <w:tcW w:w="897" w:type="dxa"/>
            <w:tcBorders>
              <w:top w:val="nil"/>
              <w:left w:val="nil"/>
              <w:bottom w:val="single" w:sz="4" w:space="0" w:color="auto"/>
              <w:right w:val="single" w:sz="4" w:space="0" w:color="auto"/>
            </w:tcBorders>
            <w:shd w:val="clear" w:color="auto" w:fill="auto"/>
            <w:noWrap/>
            <w:vAlign w:val="bottom"/>
            <w:hideMark/>
          </w:tcPr>
          <w:p w14:paraId="45833A55"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4,093 </w:t>
            </w:r>
          </w:p>
        </w:tc>
      </w:tr>
      <w:tr w:rsidR="00C3310F" w:rsidRPr="00C3310F" w14:paraId="32108E4C" w14:textId="77777777" w:rsidTr="007441B4">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7E07F031" w14:textId="23792851" w:rsidR="000B1C3C" w:rsidRPr="00C3310F" w:rsidRDefault="000B1C3C" w:rsidP="000B1C3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臺灣土</w:t>
            </w:r>
            <w:r w:rsidR="00CB5482" w:rsidRPr="00C3310F">
              <w:rPr>
                <w:rFonts w:hAnsi="標楷體" w:cs="新細明體" w:hint="eastAsia"/>
                <w:kern w:val="0"/>
                <w:sz w:val="24"/>
                <w:szCs w:val="24"/>
              </w:rPr>
              <w:t>○</w:t>
            </w:r>
            <w:r w:rsidRPr="00C3310F">
              <w:rPr>
                <w:rFonts w:hAnsi="標楷體" w:cs="新細明體" w:hint="eastAsia"/>
                <w:kern w:val="0"/>
                <w:sz w:val="24"/>
                <w:szCs w:val="24"/>
              </w:rPr>
              <w:t xml:space="preserve">銀行            </w:t>
            </w:r>
          </w:p>
        </w:tc>
        <w:tc>
          <w:tcPr>
            <w:tcW w:w="850" w:type="dxa"/>
            <w:tcBorders>
              <w:top w:val="nil"/>
              <w:left w:val="nil"/>
              <w:bottom w:val="single" w:sz="4" w:space="0" w:color="auto"/>
              <w:right w:val="single" w:sz="4" w:space="0" w:color="auto"/>
            </w:tcBorders>
            <w:shd w:val="clear" w:color="auto" w:fill="auto"/>
            <w:noWrap/>
            <w:vAlign w:val="bottom"/>
            <w:hideMark/>
          </w:tcPr>
          <w:p w14:paraId="11967367"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1,710 </w:t>
            </w:r>
          </w:p>
        </w:tc>
        <w:tc>
          <w:tcPr>
            <w:tcW w:w="851" w:type="dxa"/>
            <w:tcBorders>
              <w:top w:val="nil"/>
              <w:left w:val="nil"/>
              <w:bottom w:val="single" w:sz="4" w:space="0" w:color="auto"/>
              <w:right w:val="single" w:sz="4" w:space="0" w:color="auto"/>
            </w:tcBorders>
            <w:shd w:val="clear" w:color="auto" w:fill="auto"/>
            <w:noWrap/>
            <w:vAlign w:val="bottom"/>
            <w:hideMark/>
          </w:tcPr>
          <w:p w14:paraId="53D5E399"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1,905 </w:t>
            </w:r>
          </w:p>
        </w:tc>
        <w:tc>
          <w:tcPr>
            <w:tcW w:w="850" w:type="dxa"/>
            <w:tcBorders>
              <w:top w:val="nil"/>
              <w:left w:val="nil"/>
              <w:bottom w:val="single" w:sz="4" w:space="0" w:color="auto"/>
              <w:right w:val="single" w:sz="4" w:space="0" w:color="auto"/>
            </w:tcBorders>
            <w:shd w:val="clear" w:color="auto" w:fill="auto"/>
            <w:noWrap/>
            <w:vAlign w:val="bottom"/>
            <w:hideMark/>
          </w:tcPr>
          <w:p w14:paraId="4F8952BA"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1,996 </w:t>
            </w:r>
          </w:p>
        </w:tc>
        <w:tc>
          <w:tcPr>
            <w:tcW w:w="851" w:type="dxa"/>
            <w:tcBorders>
              <w:top w:val="nil"/>
              <w:left w:val="nil"/>
              <w:bottom w:val="single" w:sz="4" w:space="0" w:color="auto"/>
              <w:right w:val="single" w:sz="4" w:space="0" w:color="auto"/>
            </w:tcBorders>
            <w:shd w:val="clear" w:color="auto" w:fill="auto"/>
            <w:noWrap/>
            <w:vAlign w:val="bottom"/>
            <w:hideMark/>
          </w:tcPr>
          <w:p w14:paraId="623783DB"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2,201 </w:t>
            </w:r>
          </w:p>
        </w:tc>
        <w:tc>
          <w:tcPr>
            <w:tcW w:w="850" w:type="dxa"/>
            <w:tcBorders>
              <w:top w:val="nil"/>
              <w:left w:val="nil"/>
              <w:bottom w:val="single" w:sz="4" w:space="0" w:color="auto"/>
              <w:right w:val="single" w:sz="4" w:space="0" w:color="auto"/>
            </w:tcBorders>
            <w:shd w:val="clear" w:color="auto" w:fill="auto"/>
            <w:noWrap/>
            <w:vAlign w:val="bottom"/>
            <w:hideMark/>
          </w:tcPr>
          <w:p w14:paraId="06CA640B"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2,346 </w:t>
            </w:r>
          </w:p>
        </w:tc>
        <w:tc>
          <w:tcPr>
            <w:tcW w:w="897" w:type="dxa"/>
            <w:tcBorders>
              <w:top w:val="nil"/>
              <w:left w:val="nil"/>
              <w:bottom w:val="single" w:sz="4" w:space="0" w:color="auto"/>
              <w:right w:val="single" w:sz="4" w:space="0" w:color="auto"/>
            </w:tcBorders>
            <w:shd w:val="clear" w:color="auto" w:fill="auto"/>
            <w:noWrap/>
            <w:vAlign w:val="bottom"/>
            <w:hideMark/>
          </w:tcPr>
          <w:p w14:paraId="1D6CBAA9"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2,633 </w:t>
            </w:r>
          </w:p>
        </w:tc>
        <w:tc>
          <w:tcPr>
            <w:tcW w:w="897" w:type="dxa"/>
            <w:tcBorders>
              <w:top w:val="nil"/>
              <w:left w:val="nil"/>
              <w:bottom w:val="single" w:sz="4" w:space="0" w:color="auto"/>
              <w:right w:val="single" w:sz="4" w:space="0" w:color="auto"/>
            </w:tcBorders>
            <w:shd w:val="clear" w:color="auto" w:fill="auto"/>
            <w:noWrap/>
            <w:vAlign w:val="bottom"/>
            <w:hideMark/>
          </w:tcPr>
          <w:p w14:paraId="6F41B5DD"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2,851 </w:t>
            </w:r>
          </w:p>
        </w:tc>
        <w:tc>
          <w:tcPr>
            <w:tcW w:w="897" w:type="dxa"/>
            <w:tcBorders>
              <w:top w:val="nil"/>
              <w:left w:val="nil"/>
              <w:bottom w:val="single" w:sz="4" w:space="0" w:color="auto"/>
              <w:right w:val="single" w:sz="4" w:space="0" w:color="auto"/>
            </w:tcBorders>
            <w:shd w:val="clear" w:color="auto" w:fill="auto"/>
            <w:noWrap/>
            <w:vAlign w:val="bottom"/>
            <w:hideMark/>
          </w:tcPr>
          <w:p w14:paraId="46EAE2A2"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3,151 </w:t>
            </w:r>
          </w:p>
        </w:tc>
        <w:tc>
          <w:tcPr>
            <w:tcW w:w="897" w:type="dxa"/>
            <w:tcBorders>
              <w:top w:val="nil"/>
              <w:left w:val="nil"/>
              <w:bottom w:val="single" w:sz="4" w:space="0" w:color="auto"/>
              <w:right w:val="single" w:sz="4" w:space="0" w:color="auto"/>
            </w:tcBorders>
            <w:shd w:val="clear" w:color="auto" w:fill="auto"/>
            <w:noWrap/>
            <w:vAlign w:val="bottom"/>
            <w:hideMark/>
          </w:tcPr>
          <w:p w14:paraId="3C054ABA"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3,351 </w:t>
            </w:r>
          </w:p>
        </w:tc>
      </w:tr>
      <w:tr w:rsidR="00C3310F" w:rsidRPr="00C3310F" w14:paraId="573F2E01" w14:textId="77777777" w:rsidTr="007441B4">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402FD373" w14:textId="3BCD10C9" w:rsidR="000B1C3C" w:rsidRPr="00C3310F" w:rsidRDefault="000B1C3C" w:rsidP="000B1C3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合</w:t>
            </w:r>
            <w:r w:rsidR="00CB5482" w:rsidRPr="00C3310F">
              <w:rPr>
                <w:rFonts w:hAnsi="標楷體" w:cs="新細明體" w:hint="eastAsia"/>
                <w:kern w:val="0"/>
                <w:sz w:val="24"/>
                <w:szCs w:val="24"/>
              </w:rPr>
              <w:t>○</w:t>
            </w:r>
            <w:r w:rsidRPr="00C3310F">
              <w:rPr>
                <w:rFonts w:hAnsi="標楷體" w:cs="新細明體" w:hint="eastAsia"/>
                <w:kern w:val="0"/>
                <w:sz w:val="24"/>
                <w:szCs w:val="24"/>
              </w:rPr>
              <w:t xml:space="preserve">金庫商業銀行        </w:t>
            </w:r>
          </w:p>
        </w:tc>
        <w:tc>
          <w:tcPr>
            <w:tcW w:w="850" w:type="dxa"/>
            <w:tcBorders>
              <w:top w:val="nil"/>
              <w:left w:val="nil"/>
              <w:bottom w:val="single" w:sz="4" w:space="0" w:color="auto"/>
              <w:right w:val="single" w:sz="4" w:space="0" w:color="auto"/>
            </w:tcBorders>
            <w:shd w:val="clear" w:color="auto" w:fill="auto"/>
            <w:noWrap/>
            <w:vAlign w:val="bottom"/>
            <w:hideMark/>
          </w:tcPr>
          <w:p w14:paraId="05CFB474"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3,420 </w:t>
            </w:r>
          </w:p>
        </w:tc>
        <w:tc>
          <w:tcPr>
            <w:tcW w:w="851" w:type="dxa"/>
            <w:tcBorders>
              <w:top w:val="nil"/>
              <w:left w:val="nil"/>
              <w:bottom w:val="single" w:sz="4" w:space="0" w:color="auto"/>
              <w:right w:val="single" w:sz="4" w:space="0" w:color="auto"/>
            </w:tcBorders>
            <w:shd w:val="clear" w:color="auto" w:fill="auto"/>
            <w:noWrap/>
            <w:vAlign w:val="bottom"/>
            <w:hideMark/>
          </w:tcPr>
          <w:p w14:paraId="0C4A792C"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3,755 </w:t>
            </w:r>
          </w:p>
        </w:tc>
        <w:tc>
          <w:tcPr>
            <w:tcW w:w="850" w:type="dxa"/>
            <w:tcBorders>
              <w:top w:val="nil"/>
              <w:left w:val="nil"/>
              <w:bottom w:val="single" w:sz="4" w:space="0" w:color="auto"/>
              <w:right w:val="single" w:sz="4" w:space="0" w:color="auto"/>
            </w:tcBorders>
            <w:shd w:val="clear" w:color="auto" w:fill="auto"/>
            <w:noWrap/>
            <w:vAlign w:val="bottom"/>
            <w:hideMark/>
          </w:tcPr>
          <w:p w14:paraId="201734D9"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3,952 </w:t>
            </w:r>
          </w:p>
        </w:tc>
        <w:tc>
          <w:tcPr>
            <w:tcW w:w="851" w:type="dxa"/>
            <w:tcBorders>
              <w:top w:val="nil"/>
              <w:left w:val="nil"/>
              <w:bottom w:val="single" w:sz="4" w:space="0" w:color="auto"/>
              <w:right w:val="single" w:sz="4" w:space="0" w:color="auto"/>
            </w:tcBorders>
            <w:shd w:val="clear" w:color="auto" w:fill="auto"/>
            <w:noWrap/>
            <w:vAlign w:val="bottom"/>
            <w:hideMark/>
          </w:tcPr>
          <w:p w14:paraId="35533496"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4,211 </w:t>
            </w:r>
          </w:p>
        </w:tc>
        <w:tc>
          <w:tcPr>
            <w:tcW w:w="850" w:type="dxa"/>
            <w:tcBorders>
              <w:top w:val="nil"/>
              <w:left w:val="nil"/>
              <w:bottom w:val="single" w:sz="4" w:space="0" w:color="auto"/>
              <w:right w:val="single" w:sz="4" w:space="0" w:color="auto"/>
            </w:tcBorders>
            <w:shd w:val="clear" w:color="auto" w:fill="auto"/>
            <w:noWrap/>
            <w:vAlign w:val="bottom"/>
            <w:hideMark/>
          </w:tcPr>
          <w:p w14:paraId="54152A78"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4,417 </w:t>
            </w:r>
          </w:p>
        </w:tc>
        <w:tc>
          <w:tcPr>
            <w:tcW w:w="897" w:type="dxa"/>
            <w:tcBorders>
              <w:top w:val="nil"/>
              <w:left w:val="nil"/>
              <w:bottom w:val="single" w:sz="4" w:space="0" w:color="auto"/>
              <w:right w:val="single" w:sz="4" w:space="0" w:color="auto"/>
            </w:tcBorders>
            <w:shd w:val="clear" w:color="auto" w:fill="auto"/>
            <w:noWrap/>
            <w:vAlign w:val="bottom"/>
            <w:hideMark/>
          </w:tcPr>
          <w:p w14:paraId="4B0B1E7A"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4,916 </w:t>
            </w:r>
          </w:p>
        </w:tc>
        <w:tc>
          <w:tcPr>
            <w:tcW w:w="897" w:type="dxa"/>
            <w:tcBorders>
              <w:top w:val="nil"/>
              <w:left w:val="nil"/>
              <w:bottom w:val="single" w:sz="4" w:space="0" w:color="auto"/>
              <w:right w:val="single" w:sz="4" w:space="0" w:color="auto"/>
            </w:tcBorders>
            <w:shd w:val="clear" w:color="auto" w:fill="auto"/>
            <w:noWrap/>
            <w:vAlign w:val="bottom"/>
            <w:hideMark/>
          </w:tcPr>
          <w:p w14:paraId="049D02D8"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5,495 </w:t>
            </w:r>
          </w:p>
        </w:tc>
        <w:tc>
          <w:tcPr>
            <w:tcW w:w="897" w:type="dxa"/>
            <w:tcBorders>
              <w:top w:val="nil"/>
              <w:left w:val="nil"/>
              <w:bottom w:val="single" w:sz="4" w:space="0" w:color="auto"/>
              <w:right w:val="single" w:sz="4" w:space="0" w:color="auto"/>
            </w:tcBorders>
            <w:shd w:val="clear" w:color="auto" w:fill="auto"/>
            <w:noWrap/>
            <w:vAlign w:val="bottom"/>
            <w:hideMark/>
          </w:tcPr>
          <w:p w14:paraId="1682C7C0"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6,115 </w:t>
            </w:r>
          </w:p>
        </w:tc>
        <w:tc>
          <w:tcPr>
            <w:tcW w:w="897" w:type="dxa"/>
            <w:tcBorders>
              <w:top w:val="nil"/>
              <w:left w:val="nil"/>
              <w:bottom w:val="single" w:sz="4" w:space="0" w:color="auto"/>
              <w:right w:val="single" w:sz="4" w:space="0" w:color="auto"/>
            </w:tcBorders>
            <w:shd w:val="clear" w:color="auto" w:fill="auto"/>
            <w:noWrap/>
            <w:vAlign w:val="bottom"/>
            <w:hideMark/>
          </w:tcPr>
          <w:p w14:paraId="3235DBD4"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6,639 </w:t>
            </w:r>
          </w:p>
        </w:tc>
      </w:tr>
      <w:tr w:rsidR="00C3310F" w:rsidRPr="00C3310F" w14:paraId="323BE7CB" w14:textId="77777777" w:rsidTr="007441B4">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2DD4BBF9" w14:textId="6E0AA4DE" w:rsidR="000B1C3C" w:rsidRPr="00C3310F" w:rsidRDefault="000B1C3C" w:rsidP="000B1C3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第</w:t>
            </w:r>
            <w:r w:rsidR="00CB5482" w:rsidRPr="00C3310F">
              <w:rPr>
                <w:rFonts w:hAnsi="標楷體" w:cs="新細明體" w:hint="eastAsia"/>
                <w:kern w:val="0"/>
                <w:sz w:val="24"/>
                <w:szCs w:val="24"/>
              </w:rPr>
              <w:t>○</w:t>
            </w:r>
            <w:r w:rsidRPr="00C3310F">
              <w:rPr>
                <w:rFonts w:hAnsi="標楷體" w:cs="新細明體" w:hint="eastAsia"/>
                <w:kern w:val="0"/>
                <w:sz w:val="24"/>
                <w:szCs w:val="24"/>
              </w:rPr>
              <w:t xml:space="preserve">銀行                </w:t>
            </w:r>
          </w:p>
        </w:tc>
        <w:tc>
          <w:tcPr>
            <w:tcW w:w="850" w:type="dxa"/>
            <w:tcBorders>
              <w:top w:val="nil"/>
              <w:left w:val="nil"/>
              <w:bottom w:val="single" w:sz="4" w:space="0" w:color="auto"/>
              <w:right w:val="single" w:sz="4" w:space="0" w:color="auto"/>
            </w:tcBorders>
            <w:shd w:val="clear" w:color="auto" w:fill="auto"/>
            <w:noWrap/>
            <w:vAlign w:val="bottom"/>
            <w:hideMark/>
          </w:tcPr>
          <w:p w14:paraId="553C109A"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3,114 </w:t>
            </w:r>
          </w:p>
        </w:tc>
        <w:tc>
          <w:tcPr>
            <w:tcW w:w="851" w:type="dxa"/>
            <w:tcBorders>
              <w:top w:val="nil"/>
              <w:left w:val="nil"/>
              <w:bottom w:val="single" w:sz="4" w:space="0" w:color="auto"/>
              <w:right w:val="single" w:sz="4" w:space="0" w:color="auto"/>
            </w:tcBorders>
            <w:shd w:val="clear" w:color="auto" w:fill="auto"/>
            <w:noWrap/>
            <w:vAlign w:val="bottom"/>
            <w:hideMark/>
          </w:tcPr>
          <w:p w14:paraId="7C55D948"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3,570 </w:t>
            </w:r>
          </w:p>
        </w:tc>
        <w:tc>
          <w:tcPr>
            <w:tcW w:w="850" w:type="dxa"/>
            <w:tcBorders>
              <w:top w:val="nil"/>
              <w:left w:val="nil"/>
              <w:bottom w:val="single" w:sz="4" w:space="0" w:color="auto"/>
              <w:right w:val="single" w:sz="4" w:space="0" w:color="auto"/>
            </w:tcBorders>
            <w:shd w:val="clear" w:color="auto" w:fill="auto"/>
            <w:noWrap/>
            <w:vAlign w:val="bottom"/>
            <w:hideMark/>
          </w:tcPr>
          <w:p w14:paraId="047D8A3C"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3,847 </w:t>
            </w:r>
          </w:p>
        </w:tc>
        <w:tc>
          <w:tcPr>
            <w:tcW w:w="851" w:type="dxa"/>
            <w:tcBorders>
              <w:top w:val="nil"/>
              <w:left w:val="nil"/>
              <w:bottom w:val="single" w:sz="4" w:space="0" w:color="auto"/>
              <w:right w:val="single" w:sz="4" w:space="0" w:color="auto"/>
            </w:tcBorders>
            <w:shd w:val="clear" w:color="auto" w:fill="auto"/>
            <w:noWrap/>
            <w:vAlign w:val="bottom"/>
            <w:hideMark/>
          </w:tcPr>
          <w:p w14:paraId="5F2CC2A3"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4,308 </w:t>
            </w:r>
          </w:p>
        </w:tc>
        <w:tc>
          <w:tcPr>
            <w:tcW w:w="850" w:type="dxa"/>
            <w:tcBorders>
              <w:top w:val="nil"/>
              <w:left w:val="nil"/>
              <w:bottom w:val="single" w:sz="4" w:space="0" w:color="auto"/>
              <w:right w:val="single" w:sz="4" w:space="0" w:color="auto"/>
            </w:tcBorders>
            <w:shd w:val="clear" w:color="auto" w:fill="auto"/>
            <w:noWrap/>
            <w:vAlign w:val="bottom"/>
            <w:hideMark/>
          </w:tcPr>
          <w:p w14:paraId="5333D2D0"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4,648 </w:t>
            </w:r>
          </w:p>
        </w:tc>
        <w:tc>
          <w:tcPr>
            <w:tcW w:w="897" w:type="dxa"/>
            <w:tcBorders>
              <w:top w:val="nil"/>
              <w:left w:val="nil"/>
              <w:bottom w:val="single" w:sz="4" w:space="0" w:color="auto"/>
              <w:right w:val="single" w:sz="4" w:space="0" w:color="auto"/>
            </w:tcBorders>
            <w:shd w:val="clear" w:color="auto" w:fill="auto"/>
            <w:noWrap/>
            <w:vAlign w:val="bottom"/>
            <w:hideMark/>
          </w:tcPr>
          <w:p w14:paraId="062B491D"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5,198 </w:t>
            </w:r>
          </w:p>
        </w:tc>
        <w:tc>
          <w:tcPr>
            <w:tcW w:w="897" w:type="dxa"/>
            <w:tcBorders>
              <w:top w:val="nil"/>
              <w:left w:val="nil"/>
              <w:bottom w:val="single" w:sz="4" w:space="0" w:color="auto"/>
              <w:right w:val="single" w:sz="4" w:space="0" w:color="auto"/>
            </w:tcBorders>
            <w:shd w:val="clear" w:color="auto" w:fill="auto"/>
            <w:noWrap/>
            <w:vAlign w:val="bottom"/>
            <w:hideMark/>
          </w:tcPr>
          <w:p w14:paraId="45A07EF4"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5,664 </w:t>
            </w:r>
          </w:p>
        </w:tc>
        <w:tc>
          <w:tcPr>
            <w:tcW w:w="897" w:type="dxa"/>
            <w:tcBorders>
              <w:top w:val="nil"/>
              <w:left w:val="nil"/>
              <w:bottom w:val="single" w:sz="4" w:space="0" w:color="auto"/>
              <w:right w:val="single" w:sz="4" w:space="0" w:color="auto"/>
            </w:tcBorders>
            <w:shd w:val="clear" w:color="auto" w:fill="auto"/>
            <w:noWrap/>
            <w:vAlign w:val="bottom"/>
            <w:hideMark/>
          </w:tcPr>
          <w:p w14:paraId="393330EE"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6,191 </w:t>
            </w:r>
          </w:p>
        </w:tc>
        <w:tc>
          <w:tcPr>
            <w:tcW w:w="897" w:type="dxa"/>
            <w:tcBorders>
              <w:top w:val="nil"/>
              <w:left w:val="nil"/>
              <w:bottom w:val="single" w:sz="4" w:space="0" w:color="auto"/>
              <w:right w:val="single" w:sz="4" w:space="0" w:color="auto"/>
            </w:tcBorders>
            <w:shd w:val="clear" w:color="auto" w:fill="auto"/>
            <w:noWrap/>
            <w:vAlign w:val="bottom"/>
            <w:hideMark/>
          </w:tcPr>
          <w:p w14:paraId="7BE8EF93"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6,728 </w:t>
            </w:r>
          </w:p>
        </w:tc>
      </w:tr>
      <w:tr w:rsidR="00C3310F" w:rsidRPr="00C3310F" w14:paraId="7F64C080" w14:textId="77777777" w:rsidTr="007441B4">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3F38274B" w14:textId="7FE31861" w:rsidR="000B1C3C" w:rsidRPr="00C3310F" w:rsidRDefault="000B1C3C" w:rsidP="000B1C3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華</w:t>
            </w:r>
            <w:r w:rsidR="00CB5482" w:rsidRPr="00C3310F">
              <w:rPr>
                <w:rFonts w:hAnsi="標楷體" w:cs="新細明體" w:hint="eastAsia"/>
                <w:kern w:val="0"/>
                <w:sz w:val="24"/>
                <w:szCs w:val="24"/>
              </w:rPr>
              <w:t>○</w:t>
            </w:r>
            <w:r w:rsidRPr="00C3310F">
              <w:rPr>
                <w:rFonts w:hAnsi="標楷體" w:cs="新細明體" w:hint="eastAsia"/>
                <w:kern w:val="0"/>
                <w:sz w:val="24"/>
                <w:szCs w:val="24"/>
              </w:rPr>
              <w:t xml:space="preserve">銀行                </w:t>
            </w:r>
          </w:p>
        </w:tc>
        <w:tc>
          <w:tcPr>
            <w:tcW w:w="850" w:type="dxa"/>
            <w:tcBorders>
              <w:top w:val="nil"/>
              <w:left w:val="nil"/>
              <w:bottom w:val="single" w:sz="4" w:space="0" w:color="auto"/>
              <w:right w:val="single" w:sz="4" w:space="0" w:color="auto"/>
            </w:tcBorders>
            <w:shd w:val="clear" w:color="auto" w:fill="auto"/>
            <w:noWrap/>
            <w:vAlign w:val="bottom"/>
            <w:hideMark/>
          </w:tcPr>
          <w:p w14:paraId="68484C33"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2,582 </w:t>
            </w:r>
          </w:p>
        </w:tc>
        <w:tc>
          <w:tcPr>
            <w:tcW w:w="851" w:type="dxa"/>
            <w:tcBorders>
              <w:top w:val="nil"/>
              <w:left w:val="nil"/>
              <w:bottom w:val="single" w:sz="4" w:space="0" w:color="auto"/>
              <w:right w:val="single" w:sz="4" w:space="0" w:color="auto"/>
            </w:tcBorders>
            <w:shd w:val="clear" w:color="auto" w:fill="auto"/>
            <w:noWrap/>
            <w:vAlign w:val="bottom"/>
            <w:hideMark/>
          </w:tcPr>
          <w:p w14:paraId="38A02635"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2,922 </w:t>
            </w:r>
          </w:p>
        </w:tc>
        <w:tc>
          <w:tcPr>
            <w:tcW w:w="850" w:type="dxa"/>
            <w:tcBorders>
              <w:top w:val="nil"/>
              <w:left w:val="nil"/>
              <w:bottom w:val="single" w:sz="4" w:space="0" w:color="auto"/>
              <w:right w:val="single" w:sz="4" w:space="0" w:color="auto"/>
            </w:tcBorders>
            <w:shd w:val="clear" w:color="auto" w:fill="auto"/>
            <w:noWrap/>
            <w:vAlign w:val="bottom"/>
            <w:hideMark/>
          </w:tcPr>
          <w:p w14:paraId="72E68562"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3,148 </w:t>
            </w:r>
          </w:p>
        </w:tc>
        <w:tc>
          <w:tcPr>
            <w:tcW w:w="851" w:type="dxa"/>
            <w:tcBorders>
              <w:top w:val="nil"/>
              <w:left w:val="nil"/>
              <w:bottom w:val="single" w:sz="4" w:space="0" w:color="auto"/>
              <w:right w:val="single" w:sz="4" w:space="0" w:color="auto"/>
            </w:tcBorders>
            <w:shd w:val="clear" w:color="auto" w:fill="auto"/>
            <w:noWrap/>
            <w:vAlign w:val="bottom"/>
            <w:hideMark/>
          </w:tcPr>
          <w:p w14:paraId="10980168"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3,475 </w:t>
            </w:r>
          </w:p>
        </w:tc>
        <w:tc>
          <w:tcPr>
            <w:tcW w:w="850" w:type="dxa"/>
            <w:tcBorders>
              <w:top w:val="nil"/>
              <w:left w:val="nil"/>
              <w:bottom w:val="single" w:sz="4" w:space="0" w:color="auto"/>
              <w:right w:val="single" w:sz="4" w:space="0" w:color="auto"/>
            </w:tcBorders>
            <w:shd w:val="clear" w:color="auto" w:fill="auto"/>
            <w:noWrap/>
            <w:vAlign w:val="bottom"/>
            <w:hideMark/>
          </w:tcPr>
          <w:p w14:paraId="327AAF8D"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3,672 </w:t>
            </w:r>
          </w:p>
        </w:tc>
        <w:tc>
          <w:tcPr>
            <w:tcW w:w="897" w:type="dxa"/>
            <w:tcBorders>
              <w:top w:val="nil"/>
              <w:left w:val="nil"/>
              <w:bottom w:val="single" w:sz="4" w:space="0" w:color="auto"/>
              <w:right w:val="single" w:sz="4" w:space="0" w:color="auto"/>
            </w:tcBorders>
            <w:shd w:val="clear" w:color="auto" w:fill="auto"/>
            <w:noWrap/>
            <w:vAlign w:val="bottom"/>
            <w:hideMark/>
          </w:tcPr>
          <w:p w14:paraId="27AD739D"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4,140 </w:t>
            </w:r>
          </w:p>
        </w:tc>
        <w:tc>
          <w:tcPr>
            <w:tcW w:w="897" w:type="dxa"/>
            <w:tcBorders>
              <w:top w:val="nil"/>
              <w:left w:val="nil"/>
              <w:bottom w:val="single" w:sz="4" w:space="0" w:color="auto"/>
              <w:right w:val="single" w:sz="4" w:space="0" w:color="auto"/>
            </w:tcBorders>
            <w:shd w:val="clear" w:color="auto" w:fill="auto"/>
            <w:noWrap/>
            <w:vAlign w:val="bottom"/>
            <w:hideMark/>
          </w:tcPr>
          <w:p w14:paraId="44391B23"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4,539 </w:t>
            </w:r>
          </w:p>
        </w:tc>
        <w:tc>
          <w:tcPr>
            <w:tcW w:w="897" w:type="dxa"/>
            <w:tcBorders>
              <w:top w:val="nil"/>
              <w:left w:val="nil"/>
              <w:bottom w:val="single" w:sz="4" w:space="0" w:color="auto"/>
              <w:right w:val="single" w:sz="4" w:space="0" w:color="auto"/>
            </w:tcBorders>
            <w:shd w:val="clear" w:color="auto" w:fill="auto"/>
            <w:noWrap/>
            <w:vAlign w:val="bottom"/>
            <w:hideMark/>
          </w:tcPr>
          <w:p w14:paraId="5DD2E408"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5,012 </w:t>
            </w:r>
          </w:p>
        </w:tc>
        <w:tc>
          <w:tcPr>
            <w:tcW w:w="897" w:type="dxa"/>
            <w:tcBorders>
              <w:top w:val="nil"/>
              <w:left w:val="nil"/>
              <w:bottom w:val="single" w:sz="4" w:space="0" w:color="auto"/>
              <w:right w:val="single" w:sz="4" w:space="0" w:color="auto"/>
            </w:tcBorders>
            <w:shd w:val="clear" w:color="auto" w:fill="auto"/>
            <w:noWrap/>
            <w:vAlign w:val="bottom"/>
            <w:hideMark/>
          </w:tcPr>
          <w:p w14:paraId="7E82EA55"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5,442 </w:t>
            </w:r>
          </w:p>
        </w:tc>
      </w:tr>
      <w:tr w:rsidR="00C3310F" w:rsidRPr="00C3310F" w14:paraId="1B783E30" w14:textId="77777777" w:rsidTr="007441B4">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5739F7FE" w14:textId="02D6B0AF" w:rsidR="000B1C3C" w:rsidRPr="00C3310F" w:rsidRDefault="000B1C3C" w:rsidP="000B1C3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彰</w:t>
            </w:r>
            <w:r w:rsidR="00CB5482" w:rsidRPr="00C3310F">
              <w:rPr>
                <w:rFonts w:hAnsi="標楷體" w:cs="新細明體" w:hint="eastAsia"/>
                <w:kern w:val="0"/>
                <w:sz w:val="24"/>
                <w:szCs w:val="24"/>
              </w:rPr>
              <w:t>○</w:t>
            </w:r>
            <w:r w:rsidRPr="00C3310F">
              <w:rPr>
                <w:rFonts w:hAnsi="標楷體" w:cs="新細明體" w:hint="eastAsia"/>
                <w:kern w:val="0"/>
                <w:sz w:val="24"/>
                <w:szCs w:val="24"/>
              </w:rPr>
              <w:t xml:space="preserve">銀行                </w:t>
            </w:r>
          </w:p>
        </w:tc>
        <w:tc>
          <w:tcPr>
            <w:tcW w:w="850" w:type="dxa"/>
            <w:tcBorders>
              <w:top w:val="nil"/>
              <w:left w:val="nil"/>
              <w:bottom w:val="single" w:sz="4" w:space="0" w:color="auto"/>
              <w:right w:val="single" w:sz="4" w:space="0" w:color="auto"/>
            </w:tcBorders>
            <w:shd w:val="clear" w:color="auto" w:fill="auto"/>
            <w:noWrap/>
            <w:vAlign w:val="bottom"/>
            <w:hideMark/>
          </w:tcPr>
          <w:p w14:paraId="65EBB119"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2,275 </w:t>
            </w:r>
          </w:p>
        </w:tc>
        <w:tc>
          <w:tcPr>
            <w:tcW w:w="851" w:type="dxa"/>
            <w:tcBorders>
              <w:top w:val="nil"/>
              <w:left w:val="nil"/>
              <w:bottom w:val="single" w:sz="4" w:space="0" w:color="auto"/>
              <w:right w:val="single" w:sz="4" w:space="0" w:color="auto"/>
            </w:tcBorders>
            <w:shd w:val="clear" w:color="auto" w:fill="auto"/>
            <w:noWrap/>
            <w:vAlign w:val="bottom"/>
            <w:hideMark/>
          </w:tcPr>
          <w:p w14:paraId="1DF60684"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2,447 </w:t>
            </w:r>
          </w:p>
        </w:tc>
        <w:tc>
          <w:tcPr>
            <w:tcW w:w="850" w:type="dxa"/>
            <w:tcBorders>
              <w:top w:val="nil"/>
              <w:left w:val="nil"/>
              <w:bottom w:val="single" w:sz="4" w:space="0" w:color="auto"/>
              <w:right w:val="single" w:sz="4" w:space="0" w:color="auto"/>
            </w:tcBorders>
            <w:shd w:val="clear" w:color="auto" w:fill="auto"/>
            <w:noWrap/>
            <w:vAlign w:val="bottom"/>
            <w:hideMark/>
          </w:tcPr>
          <w:p w14:paraId="0264C827"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2,644 </w:t>
            </w:r>
          </w:p>
        </w:tc>
        <w:tc>
          <w:tcPr>
            <w:tcW w:w="851" w:type="dxa"/>
            <w:tcBorders>
              <w:top w:val="nil"/>
              <w:left w:val="nil"/>
              <w:bottom w:val="single" w:sz="4" w:space="0" w:color="auto"/>
              <w:right w:val="single" w:sz="4" w:space="0" w:color="auto"/>
            </w:tcBorders>
            <w:shd w:val="clear" w:color="auto" w:fill="auto"/>
            <w:noWrap/>
            <w:vAlign w:val="bottom"/>
            <w:hideMark/>
          </w:tcPr>
          <w:p w14:paraId="6F5F3D9B"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2,888 </w:t>
            </w:r>
          </w:p>
        </w:tc>
        <w:tc>
          <w:tcPr>
            <w:tcW w:w="850" w:type="dxa"/>
            <w:tcBorders>
              <w:top w:val="nil"/>
              <w:left w:val="nil"/>
              <w:bottom w:val="single" w:sz="4" w:space="0" w:color="auto"/>
              <w:right w:val="single" w:sz="4" w:space="0" w:color="auto"/>
            </w:tcBorders>
            <w:shd w:val="clear" w:color="auto" w:fill="auto"/>
            <w:noWrap/>
            <w:vAlign w:val="bottom"/>
            <w:hideMark/>
          </w:tcPr>
          <w:p w14:paraId="33CB616B"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3,130 </w:t>
            </w:r>
          </w:p>
        </w:tc>
        <w:tc>
          <w:tcPr>
            <w:tcW w:w="897" w:type="dxa"/>
            <w:tcBorders>
              <w:top w:val="nil"/>
              <w:left w:val="nil"/>
              <w:bottom w:val="single" w:sz="4" w:space="0" w:color="auto"/>
              <w:right w:val="single" w:sz="4" w:space="0" w:color="auto"/>
            </w:tcBorders>
            <w:shd w:val="clear" w:color="auto" w:fill="auto"/>
            <w:noWrap/>
            <w:vAlign w:val="bottom"/>
            <w:hideMark/>
          </w:tcPr>
          <w:p w14:paraId="1C6504E3"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3,434 </w:t>
            </w:r>
          </w:p>
        </w:tc>
        <w:tc>
          <w:tcPr>
            <w:tcW w:w="897" w:type="dxa"/>
            <w:tcBorders>
              <w:top w:val="nil"/>
              <w:left w:val="nil"/>
              <w:bottom w:val="single" w:sz="4" w:space="0" w:color="auto"/>
              <w:right w:val="single" w:sz="4" w:space="0" w:color="auto"/>
            </w:tcBorders>
            <w:shd w:val="clear" w:color="auto" w:fill="auto"/>
            <w:noWrap/>
            <w:vAlign w:val="bottom"/>
            <w:hideMark/>
          </w:tcPr>
          <w:p w14:paraId="6A794916"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3,760 </w:t>
            </w:r>
          </w:p>
        </w:tc>
        <w:tc>
          <w:tcPr>
            <w:tcW w:w="897" w:type="dxa"/>
            <w:tcBorders>
              <w:top w:val="nil"/>
              <w:left w:val="nil"/>
              <w:bottom w:val="single" w:sz="4" w:space="0" w:color="auto"/>
              <w:right w:val="single" w:sz="4" w:space="0" w:color="auto"/>
            </w:tcBorders>
            <w:shd w:val="clear" w:color="auto" w:fill="auto"/>
            <w:noWrap/>
            <w:vAlign w:val="bottom"/>
            <w:hideMark/>
          </w:tcPr>
          <w:p w14:paraId="49F5BBEA"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4,100 </w:t>
            </w:r>
          </w:p>
        </w:tc>
        <w:tc>
          <w:tcPr>
            <w:tcW w:w="897" w:type="dxa"/>
            <w:tcBorders>
              <w:top w:val="nil"/>
              <w:left w:val="nil"/>
              <w:bottom w:val="single" w:sz="4" w:space="0" w:color="auto"/>
              <w:right w:val="single" w:sz="4" w:space="0" w:color="auto"/>
            </w:tcBorders>
            <w:shd w:val="clear" w:color="auto" w:fill="auto"/>
            <w:noWrap/>
            <w:vAlign w:val="bottom"/>
            <w:hideMark/>
          </w:tcPr>
          <w:p w14:paraId="7336E190"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4,441 </w:t>
            </w:r>
          </w:p>
        </w:tc>
      </w:tr>
      <w:tr w:rsidR="00C3310F" w:rsidRPr="00C3310F" w14:paraId="6FD82364" w14:textId="77777777" w:rsidTr="007441B4">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6EF66810" w14:textId="49097719" w:rsidR="000B1C3C" w:rsidRPr="00C3310F" w:rsidRDefault="000B1C3C" w:rsidP="000B1C3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上</w:t>
            </w:r>
            <w:r w:rsidR="00CB5482" w:rsidRPr="00C3310F">
              <w:rPr>
                <w:rFonts w:hAnsi="標楷體" w:cs="新細明體" w:hint="eastAsia"/>
                <w:kern w:val="0"/>
                <w:sz w:val="24"/>
                <w:szCs w:val="24"/>
              </w:rPr>
              <w:t>○</w:t>
            </w:r>
            <w:r w:rsidRPr="00C3310F">
              <w:rPr>
                <w:rFonts w:hAnsi="標楷體" w:cs="新細明體" w:hint="eastAsia"/>
                <w:kern w:val="0"/>
                <w:sz w:val="24"/>
                <w:szCs w:val="24"/>
              </w:rPr>
              <w:t xml:space="preserve">商業儲蓄銀行        </w:t>
            </w:r>
          </w:p>
        </w:tc>
        <w:tc>
          <w:tcPr>
            <w:tcW w:w="850" w:type="dxa"/>
            <w:tcBorders>
              <w:top w:val="nil"/>
              <w:left w:val="nil"/>
              <w:bottom w:val="single" w:sz="4" w:space="0" w:color="auto"/>
              <w:right w:val="single" w:sz="4" w:space="0" w:color="auto"/>
            </w:tcBorders>
            <w:shd w:val="clear" w:color="auto" w:fill="auto"/>
            <w:noWrap/>
            <w:vAlign w:val="bottom"/>
            <w:hideMark/>
          </w:tcPr>
          <w:p w14:paraId="7E032997"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521 </w:t>
            </w:r>
          </w:p>
        </w:tc>
        <w:tc>
          <w:tcPr>
            <w:tcW w:w="851" w:type="dxa"/>
            <w:tcBorders>
              <w:top w:val="nil"/>
              <w:left w:val="nil"/>
              <w:bottom w:val="single" w:sz="4" w:space="0" w:color="auto"/>
              <w:right w:val="single" w:sz="4" w:space="0" w:color="auto"/>
            </w:tcBorders>
            <w:shd w:val="clear" w:color="auto" w:fill="auto"/>
            <w:noWrap/>
            <w:vAlign w:val="bottom"/>
            <w:hideMark/>
          </w:tcPr>
          <w:p w14:paraId="5A5F88C1"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551 </w:t>
            </w:r>
          </w:p>
        </w:tc>
        <w:tc>
          <w:tcPr>
            <w:tcW w:w="850" w:type="dxa"/>
            <w:tcBorders>
              <w:top w:val="nil"/>
              <w:left w:val="nil"/>
              <w:bottom w:val="single" w:sz="4" w:space="0" w:color="auto"/>
              <w:right w:val="single" w:sz="4" w:space="0" w:color="auto"/>
            </w:tcBorders>
            <w:shd w:val="clear" w:color="auto" w:fill="auto"/>
            <w:noWrap/>
            <w:vAlign w:val="bottom"/>
            <w:hideMark/>
          </w:tcPr>
          <w:p w14:paraId="1E0E3A8B"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557 </w:t>
            </w:r>
          </w:p>
        </w:tc>
        <w:tc>
          <w:tcPr>
            <w:tcW w:w="851" w:type="dxa"/>
            <w:tcBorders>
              <w:top w:val="nil"/>
              <w:left w:val="nil"/>
              <w:bottom w:val="single" w:sz="4" w:space="0" w:color="auto"/>
              <w:right w:val="single" w:sz="4" w:space="0" w:color="auto"/>
            </w:tcBorders>
            <w:shd w:val="clear" w:color="auto" w:fill="auto"/>
            <w:noWrap/>
            <w:vAlign w:val="bottom"/>
            <w:hideMark/>
          </w:tcPr>
          <w:p w14:paraId="22E8A596"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595 </w:t>
            </w:r>
          </w:p>
        </w:tc>
        <w:tc>
          <w:tcPr>
            <w:tcW w:w="850" w:type="dxa"/>
            <w:tcBorders>
              <w:top w:val="nil"/>
              <w:left w:val="nil"/>
              <w:bottom w:val="single" w:sz="4" w:space="0" w:color="auto"/>
              <w:right w:val="single" w:sz="4" w:space="0" w:color="auto"/>
            </w:tcBorders>
            <w:shd w:val="clear" w:color="auto" w:fill="auto"/>
            <w:noWrap/>
            <w:vAlign w:val="bottom"/>
            <w:hideMark/>
          </w:tcPr>
          <w:p w14:paraId="52254315"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605 </w:t>
            </w:r>
          </w:p>
        </w:tc>
        <w:tc>
          <w:tcPr>
            <w:tcW w:w="897" w:type="dxa"/>
            <w:tcBorders>
              <w:top w:val="nil"/>
              <w:left w:val="nil"/>
              <w:bottom w:val="single" w:sz="4" w:space="0" w:color="auto"/>
              <w:right w:val="single" w:sz="4" w:space="0" w:color="auto"/>
            </w:tcBorders>
            <w:shd w:val="clear" w:color="auto" w:fill="auto"/>
            <w:noWrap/>
            <w:vAlign w:val="bottom"/>
            <w:hideMark/>
          </w:tcPr>
          <w:p w14:paraId="7A8B636D"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668 </w:t>
            </w:r>
          </w:p>
        </w:tc>
        <w:tc>
          <w:tcPr>
            <w:tcW w:w="897" w:type="dxa"/>
            <w:tcBorders>
              <w:top w:val="nil"/>
              <w:left w:val="nil"/>
              <w:bottom w:val="single" w:sz="4" w:space="0" w:color="auto"/>
              <w:right w:val="single" w:sz="4" w:space="0" w:color="auto"/>
            </w:tcBorders>
            <w:shd w:val="clear" w:color="auto" w:fill="auto"/>
            <w:noWrap/>
            <w:vAlign w:val="bottom"/>
            <w:hideMark/>
          </w:tcPr>
          <w:p w14:paraId="507254E4"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735 </w:t>
            </w:r>
          </w:p>
        </w:tc>
        <w:tc>
          <w:tcPr>
            <w:tcW w:w="897" w:type="dxa"/>
            <w:tcBorders>
              <w:top w:val="nil"/>
              <w:left w:val="nil"/>
              <w:bottom w:val="single" w:sz="4" w:space="0" w:color="auto"/>
              <w:right w:val="single" w:sz="4" w:space="0" w:color="auto"/>
            </w:tcBorders>
            <w:shd w:val="clear" w:color="auto" w:fill="auto"/>
            <w:noWrap/>
            <w:vAlign w:val="bottom"/>
            <w:hideMark/>
          </w:tcPr>
          <w:p w14:paraId="4D2F9840"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766 </w:t>
            </w:r>
          </w:p>
        </w:tc>
        <w:tc>
          <w:tcPr>
            <w:tcW w:w="897" w:type="dxa"/>
            <w:tcBorders>
              <w:top w:val="nil"/>
              <w:left w:val="nil"/>
              <w:bottom w:val="single" w:sz="4" w:space="0" w:color="auto"/>
              <w:right w:val="single" w:sz="4" w:space="0" w:color="auto"/>
            </w:tcBorders>
            <w:shd w:val="clear" w:color="auto" w:fill="auto"/>
            <w:noWrap/>
            <w:vAlign w:val="bottom"/>
            <w:hideMark/>
          </w:tcPr>
          <w:p w14:paraId="35F0BEE5"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796 </w:t>
            </w:r>
          </w:p>
        </w:tc>
      </w:tr>
      <w:tr w:rsidR="00C3310F" w:rsidRPr="00C3310F" w14:paraId="7457B1C3" w14:textId="77777777" w:rsidTr="007441B4">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51D2A91D" w14:textId="0305747A" w:rsidR="000B1C3C" w:rsidRPr="00C3310F" w:rsidRDefault="000B1C3C" w:rsidP="000B1C3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台北富</w:t>
            </w:r>
            <w:r w:rsidR="00CB5482" w:rsidRPr="00C3310F">
              <w:rPr>
                <w:rFonts w:hAnsi="標楷體" w:cs="新細明體" w:hint="eastAsia"/>
                <w:kern w:val="0"/>
                <w:sz w:val="24"/>
                <w:szCs w:val="24"/>
              </w:rPr>
              <w:t>○</w:t>
            </w:r>
            <w:r w:rsidRPr="00C3310F">
              <w:rPr>
                <w:rFonts w:hAnsi="標楷體" w:cs="新細明體" w:hint="eastAsia"/>
                <w:kern w:val="0"/>
                <w:sz w:val="24"/>
                <w:szCs w:val="24"/>
              </w:rPr>
              <w:t xml:space="preserve">銀行            </w:t>
            </w:r>
          </w:p>
        </w:tc>
        <w:tc>
          <w:tcPr>
            <w:tcW w:w="850" w:type="dxa"/>
            <w:tcBorders>
              <w:top w:val="nil"/>
              <w:left w:val="nil"/>
              <w:bottom w:val="single" w:sz="4" w:space="0" w:color="auto"/>
              <w:right w:val="single" w:sz="4" w:space="0" w:color="auto"/>
            </w:tcBorders>
            <w:shd w:val="clear" w:color="auto" w:fill="auto"/>
            <w:noWrap/>
            <w:vAlign w:val="bottom"/>
            <w:hideMark/>
          </w:tcPr>
          <w:p w14:paraId="19AEAC0F"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1,629 </w:t>
            </w:r>
          </w:p>
        </w:tc>
        <w:tc>
          <w:tcPr>
            <w:tcW w:w="851" w:type="dxa"/>
            <w:tcBorders>
              <w:top w:val="nil"/>
              <w:left w:val="nil"/>
              <w:bottom w:val="single" w:sz="4" w:space="0" w:color="auto"/>
              <w:right w:val="single" w:sz="4" w:space="0" w:color="auto"/>
            </w:tcBorders>
            <w:shd w:val="clear" w:color="auto" w:fill="auto"/>
            <w:noWrap/>
            <w:vAlign w:val="bottom"/>
            <w:hideMark/>
          </w:tcPr>
          <w:p w14:paraId="5D0B6BDA"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1,787 </w:t>
            </w:r>
          </w:p>
        </w:tc>
        <w:tc>
          <w:tcPr>
            <w:tcW w:w="850" w:type="dxa"/>
            <w:tcBorders>
              <w:top w:val="nil"/>
              <w:left w:val="nil"/>
              <w:bottom w:val="single" w:sz="4" w:space="0" w:color="auto"/>
              <w:right w:val="single" w:sz="4" w:space="0" w:color="auto"/>
            </w:tcBorders>
            <w:shd w:val="clear" w:color="auto" w:fill="auto"/>
            <w:noWrap/>
            <w:vAlign w:val="bottom"/>
            <w:hideMark/>
          </w:tcPr>
          <w:p w14:paraId="1A357113"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1,835 </w:t>
            </w:r>
          </w:p>
        </w:tc>
        <w:tc>
          <w:tcPr>
            <w:tcW w:w="851" w:type="dxa"/>
            <w:tcBorders>
              <w:top w:val="nil"/>
              <w:left w:val="nil"/>
              <w:bottom w:val="single" w:sz="4" w:space="0" w:color="auto"/>
              <w:right w:val="single" w:sz="4" w:space="0" w:color="auto"/>
            </w:tcBorders>
            <w:shd w:val="clear" w:color="auto" w:fill="auto"/>
            <w:noWrap/>
            <w:vAlign w:val="bottom"/>
            <w:hideMark/>
          </w:tcPr>
          <w:p w14:paraId="0F3FA871"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1,919 </w:t>
            </w:r>
          </w:p>
        </w:tc>
        <w:tc>
          <w:tcPr>
            <w:tcW w:w="850" w:type="dxa"/>
            <w:tcBorders>
              <w:top w:val="nil"/>
              <w:left w:val="nil"/>
              <w:bottom w:val="single" w:sz="4" w:space="0" w:color="auto"/>
              <w:right w:val="single" w:sz="4" w:space="0" w:color="auto"/>
            </w:tcBorders>
            <w:shd w:val="clear" w:color="auto" w:fill="auto"/>
            <w:noWrap/>
            <w:vAlign w:val="bottom"/>
            <w:hideMark/>
          </w:tcPr>
          <w:p w14:paraId="182DB5EB"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2,120 </w:t>
            </w:r>
          </w:p>
        </w:tc>
        <w:tc>
          <w:tcPr>
            <w:tcW w:w="897" w:type="dxa"/>
            <w:tcBorders>
              <w:top w:val="nil"/>
              <w:left w:val="nil"/>
              <w:bottom w:val="single" w:sz="4" w:space="0" w:color="auto"/>
              <w:right w:val="single" w:sz="4" w:space="0" w:color="auto"/>
            </w:tcBorders>
            <w:shd w:val="clear" w:color="auto" w:fill="auto"/>
            <w:noWrap/>
            <w:vAlign w:val="bottom"/>
            <w:hideMark/>
          </w:tcPr>
          <w:p w14:paraId="2CA8BB0F"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2,306 </w:t>
            </w:r>
          </w:p>
        </w:tc>
        <w:tc>
          <w:tcPr>
            <w:tcW w:w="897" w:type="dxa"/>
            <w:tcBorders>
              <w:top w:val="nil"/>
              <w:left w:val="nil"/>
              <w:bottom w:val="single" w:sz="4" w:space="0" w:color="auto"/>
              <w:right w:val="single" w:sz="4" w:space="0" w:color="auto"/>
            </w:tcBorders>
            <w:shd w:val="clear" w:color="auto" w:fill="auto"/>
            <w:noWrap/>
            <w:vAlign w:val="bottom"/>
            <w:hideMark/>
          </w:tcPr>
          <w:p w14:paraId="601CFB40"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2,485 </w:t>
            </w:r>
          </w:p>
        </w:tc>
        <w:tc>
          <w:tcPr>
            <w:tcW w:w="897" w:type="dxa"/>
            <w:tcBorders>
              <w:top w:val="nil"/>
              <w:left w:val="nil"/>
              <w:bottom w:val="single" w:sz="4" w:space="0" w:color="auto"/>
              <w:right w:val="single" w:sz="4" w:space="0" w:color="auto"/>
            </w:tcBorders>
            <w:shd w:val="clear" w:color="auto" w:fill="auto"/>
            <w:noWrap/>
            <w:vAlign w:val="bottom"/>
            <w:hideMark/>
          </w:tcPr>
          <w:p w14:paraId="52DFA70E"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2,726 </w:t>
            </w:r>
          </w:p>
        </w:tc>
        <w:tc>
          <w:tcPr>
            <w:tcW w:w="897" w:type="dxa"/>
            <w:tcBorders>
              <w:top w:val="nil"/>
              <w:left w:val="nil"/>
              <w:bottom w:val="single" w:sz="4" w:space="0" w:color="auto"/>
              <w:right w:val="single" w:sz="4" w:space="0" w:color="auto"/>
            </w:tcBorders>
            <w:shd w:val="clear" w:color="auto" w:fill="auto"/>
            <w:noWrap/>
            <w:vAlign w:val="bottom"/>
            <w:hideMark/>
          </w:tcPr>
          <w:p w14:paraId="6918B7FF"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2,931 </w:t>
            </w:r>
          </w:p>
        </w:tc>
      </w:tr>
      <w:tr w:rsidR="00C3310F" w:rsidRPr="00C3310F" w14:paraId="6FB94795" w14:textId="77777777" w:rsidTr="007441B4">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634B76E8" w14:textId="01DF782D" w:rsidR="000B1C3C" w:rsidRPr="00C3310F" w:rsidRDefault="000B1C3C" w:rsidP="000B1C3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lastRenderedPageBreak/>
              <w:t>國</w:t>
            </w:r>
            <w:r w:rsidR="00CB5482" w:rsidRPr="00C3310F">
              <w:rPr>
                <w:rFonts w:hAnsi="標楷體" w:cs="新細明體" w:hint="eastAsia"/>
                <w:kern w:val="0"/>
                <w:sz w:val="24"/>
                <w:szCs w:val="24"/>
              </w:rPr>
              <w:t>○</w:t>
            </w:r>
            <w:r w:rsidRPr="00C3310F">
              <w:rPr>
                <w:rFonts w:hAnsi="標楷體" w:cs="新細明體" w:hint="eastAsia"/>
                <w:kern w:val="0"/>
                <w:sz w:val="24"/>
                <w:szCs w:val="24"/>
              </w:rPr>
              <w:t xml:space="preserve">世華銀行            </w:t>
            </w:r>
          </w:p>
        </w:tc>
        <w:tc>
          <w:tcPr>
            <w:tcW w:w="850" w:type="dxa"/>
            <w:tcBorders>
              <w:top w:val="nil"/>
              <w:left w:val="nil"/>
              <w:bottom w:val="single" w:sz="4" w:space="0" w:color="auto"/>
              <w:right w:val="single" w:sz="4" w:space="0" w:color="auto"/>
            </w:tcBorders>
            <w:shd w:val="clear" w:color="auto" w:fill="auto"/>
            <w:noWrap/>
            <w:vAlign w:val="bottom"/>
            <w:hideMark/>
          </w:tcPr>
          <w:p w14:paraId="611D7FDD"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5,032 </w:t>
            </w:r>
          </w:p>
        </w:tc>
        <w:tc>
          <w:tcPr>
            <w:tcW w:w="851" w:type="dxa"/>
            <w:tcBorders>
              <w:top w:val="nil"/>
              <w:left w:val="nil"/>
              <w:bottom w:val="single" w:sz="4" w:space="0" w:color="auto"/>
              <w:right w:val="single" w:sz="4" w:space="0" w:color="auto"/>
            </w:tcBorders>
            <w:shd w:val="clear" w:color="auto" w:fill="auto"/>
            <w:noWrap/>
            <w:vAlign w:val="bottom"/>
            <w:hideMark/>
          </w:tcPr>
          <w:p w14:paraId="43BF3C78"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5,494 </w:t>
            </w:r>
          </w:p>
        </w:tc>
        <w:tc>
          <w:tcPr>
            <w:tcW w:w="850" w:type="dxa"/>
            <w:tcBorders>
              <w:top w:val="nil"/>
              <w:left w:val="nil"/>
              <w:bottom w:val="single" w:sz="4" w:space="0" w:color="auto"/>
              <w:right w:val="single" w:sz="4" w:space="0" w:color="auto"/>
            </w:tcBorders>
            <w:shd w:val="clear" w:color="auto" w:fill="auto"/>
            <w:noWrap/>
            <w:vAlign w:val="bottom"/>
            <w:hideMark/>
          </w:tcPr>
          <w:p w14:paraId="1A7F92C0"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5,823 </w:t>
            </w:r>
          </w:p>
        </w:tc>
        <w:tc>
          <w:tcPr>
            <w:tcW w:w="851" w:type="dxa"/>
            <w:tcBorders>
              <w:top w:val="nil"/>
              <w:left w:val="nil"/>
              <w:bottom w:val="single" w:sz="4" w:space="0" w:color="auto"/>
              <w:right w:val="single" w:sz="4" w:space="0" w:color="auto"/>
            </w:tcBorders>
            <w:shd w:val="clear" w:color="auto" w:fill="auto"/>
            <w:noWrap/>
            <w:vAlign w:val="bottom"/>
            <w:hideMark/>
          </w:tcPr>
          <w:p w14:paraId="2B2D8A58"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6,171 </w:t>
            </w:r>
          </w:p>
        </w:tc>
        <w:tc>
          <w:tcPr>
            <w:tcW w:w="850" w:type="dxa"/>
            <w:tcBorders>
              <w:top w:val="nil"/>
              <w:left w:val="nil"/>
              <w:bottom w:val="single" w:sz="4" w:space="0" w:color="auto"/>
              <w:right w:val="single" w:sz="4" w:space="0" w:color="auto"/>
            </w:tcBorders>
            <w:shd w:val="clear" w:color="auto" w:fill="auto"/>
            <w:noWrap/>
            <w:vAlign w:val="bottom"/>
            <w:hideMark/>
          </w:tcPr>
          <w:p w14:paraId="0D212D76"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6,368 </w:t>
            </w:r>
          </w:p>
        </w:tc>
        <w:tc>
          <w:tcPr>
            <w:tcW w:w="897" w:type="dxa"/>
            <w:tcBorders>
              <w:top w:val="nil"/>
              <w:left w:val="nil"/>
              <w:bottom w:val="single" w:sz="4" w:space="0" w:color="auto"/>
              <w:right w:val="single" w:sz="4" w:space="0" w:color="auto"/>
            </w:tcBorders>
            <w:shd w:val="clear" w:color="auto" w:fill="auto"/>
            <w:noWrap/>
            <w:vAlign w:val="bottom"/>
            <w:hideMark/>
          </w:tcPr>
          <w:p w14:paraId="4CD9B307"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6,728 </w:t>
            </w:r>
          </w:p>
        </w:tc>
        <w:tc>
          <w:tcPr>
            <w:tcW w:w="897" w:type="dxa"/>
            <w:tcBorders>
              <w:top w:val="nil"/>
              <w:left w:val="nil"/>
              <w:bottom w:val="single" w:sz="4" w:space="0" w:color="auto"/>
              <w:right w:val="single" w:sz="4" w:space="0" w:color="auto"/>
            </w:tcBorders>
            <w:shd w:val="clear" w:color="auto" w:fill="auto"/>
            <w:noWrap/>
            <w:vAlign w:val="bottom"/>
            <w:hideMark/>
          </w:tcPr>
          <w:p w14:paraId="56B5DEFF"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6,809 </w:t>
            </w:r>
          </w:p>
        </w:tc>
        <w:tc>
          <w:tcPr>
            <w:tcW w:w="897" w:type="dxa"/>
            <w:tcBorders>
              <w:top w:val="nil"/>
              <w:left w:val="nil"/>
              <w:bottom w:val="single" w:sz="4" w:space="0" w:color="auto"/>
              <w:right w:val="single" w:sz="4" w:space="0" w:color="auto"/>
            </w:tcBorders>
            <w:shd w:val="clear" w:color="auto" w:fill="auto"/>
            <w:noWrap/>
            <w:vAlign w:val="bottom"/>
            <w:hideMark/>
          </w:tcPr>
          <w:p w14:paraId="1A38B31B"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7,004 </w:t>
            </w:r>
          </w:p>
        </w:tc>
        <w:tc>
          <w:tcPr>
            <w:tcW w:w="897" w:type="dxa"/>
            <w:tcBorders>
              <w:top w:val="nil"/>
              <w:left w:val="nil"/>
              <w:bottom w:val="single" w:sz="4" w:space="0" w:color="auto"/>
              <w:right w:val="single" w:sz="4" w:space="0" w:color="auto"/>
            </w:tcBorders>
            <w:shd w:val="clear" w:color="auto" w:fill="auto"/>
            <w:noWrap/>
            <w:vAlign w:val="bottom"/>
            <w:hideMark/>
          </w:tcPr>
          <w:p w14:paraId="0C3BDDD1"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7,335 </w:t>
            </w:r>
          </w:p>
        </w:tc>
      </w:tr>
      <w:tr w:rsidR="00C3310F" w:rsidRPr="00C3310F" w14:paraId="6E2BEBBB" w14:textId="77777777" w:rsidTr="007441B4">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31FC02DC" w14:textId="4CE4EBCE" w:rsidR="000B1C3C" w:rsidRPr="00C3310F" w:rsidRDefault="000B1C3C" w:rsidP="000B1C3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中</w:t>
            </w:r>
            <w:r w:rsidR="00CB5482" w:rsidRPr="00C3310F">
              <w:rPr>
                <w:rFonts w:hAnsi="標楷體" w:cs="新細明體" w:hint="eastAsia"/>
                <w:kern w:val="0"/>
                <w:sz w:val="24"/>
                <w:szCs w:val="24"/>
              </w:rPr>
              <w:t>○</w:t>
            </w:r>
            <w:r w:rsidRPr="00C3310F">
              <w:rPr>
                <w:rFonts w:hAnsi="標楷體" w:cs="新細明體" w:hint="eastAsia"/>
                <w:kern w:val="0"/>
                <w:sz w:val="24"/>
                <w:szCs w:val="24"/>
              </w:rPr>
              <w:t xml:space="preserve">輸出入銀行          </w:t>
            </w:r>
          </w:p>
        </w:tc>
        <w:tc>
          <w:tcPr>
            <w:tcW w:w="850" w:type="dxa"/>
            <w:tcBorders>
              <w:top w:val="nil"/>
              <w:left w:val="nil"/>
              <w:bottom w:val="single" w:sz="4" w:space="0" w:color="auto"/>
              <w:right w:val="single" w:sz="4" w:space="0" w:color="auto"/>
            </w:tcBorders>
            <w:shd w:val="clear" w:color="auto" w:fill="auto"/>
            <w:noWrap/>
            <w:vAlign w:val="bottom"/>
            <w:hideMark/>
          </w:tcPr>
          <w:p w14:paraId="2C0682C5"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   </w:t>
            </w:r>
          </w:p>
        </w:tc>
        <w:tc>
          <w:tcPr>
            <w:tcW w:w="851" w:type="dxa"/>
            <w:tcBorders>
              <w:top w:val="nil"/>
              <w:left w:val="nil"/>
              <w:bottom w:val="single" w:sz="4" w:space="0" w:color="auto"/>
              <w:right w:val="single" w:sz="4" w:space="0" w:color="auto"/>
            </w:tcBorders>
            <w:shd w:val="clear" w:color="auto" w:fill="auto"/>
            <w:noWrap/>
            <w:vAlign w:val="bottom"/>
            <w:hideMark/>
          </w:tcPr>
          <w:p w14:paraId="10D39909"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   </w:t>
            </w:r>
          </w:p>
        </w:tc>
        <w:tc>
          <w:tcPr>
            <w:tcW w:w="850" w:type="dxa"/>
            <w:tcBorders>
              <w:top w:val="nil"/>
              <w:left w:val="nil"/>
              <w:bottom w:val="single" w:sz="4" w:space="0" w:color="auto"/>
              <w:right w:val="single" w:sz="4" w:space="0" w:color="auto"/>
            </w:tcBorders>
            <w:shd w:val="clear" w:color="auto" w:fill="auto"/>
            <w:noWrap/>
            <w:vAlign w:val="bottom"/>
            <w:hideMark/>
          </w:tcPr>
          <w:p w14:paraId="20A29D1A"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   </w:t>
            </w:r>
          </w:p>
        </w:tc>
        <w:tc>
          <w:tcPr>
            <w:tcW w:w="851" w:type="dxa"/>
            <w:tcBorders>
              <w:top w:val="nil"/>
              <w:left w:val="nil"/>
              <w:bottom w:val="single" w:sz="4" w:space="0" w:color="auto"/>
              <w:right w:val="single" w:sz="4" w:space="0" w:color="auto"/>
            </w:tcBorders>
            <w:shd w:val="clear" w:color="auto" w:fill="auto"/>
            <w:noWrap/>
            <w:vAlign w:val="bottom"/>
            <w:hideMark/>
          </w:tcPr>
          <w:p w14:paraId="1971B614"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   </w:t>
            </w:r>
          </w:p>
        </w:tc>
        <w:tc>
          <w:tcPr>
            <w:tcW w:w="850" w:type="dxa"/>
            <w:tcBorders>
              <w:top w:val="nil"/>
              <w:left w:val="nil"/>
              <w:bottom w:val="single" w:sz="4" w:space="0" w:color="auto"/>
              <w:right w:val="single" w:sz="4" w:space="0" w:color="auto"/>
            </w:tcBorders>
            <w:shd w:val="clear" w:color="auto" w:fill="auto"/>
            <w:noWrap/>
            <w:vAlign w:val="bottom"/>
            <w:hideMark/>
          </w:tcPr>
          <w:p w14:paraId="3A62E99E"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   </w:t>
            </w:r>
          </w:p>
        </w:tc>
        <w:tc>
          <w:tcPr>
            <w:tcW w:w="897" w:type="dxa"/>
            <w:tcBorders>
              <w:top w:val="nil"/>
              <w:left w:val="nil"/>
              <w:bottom w:val="single" w:sz="4" w:space="0" w:color="auto"/>
              <w:right w:val="single" w:sz="4" w:space="0" w:color="auto"/>
            </w:tcBorders>
            <w:shd w:val="clear" w:color="auto" w:fill="auto"/>
            <w:noWrap/>
            <w:vAlign w:val="bottom"/>
            <w:hideMark/>
          </w:tcPr>
          <w:p w14:paraId="7FA92FC1"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   </w:t>
            </w:r>
          </w:p>
        </w:tc>
        <w:tc>
          <w:tcPr>
            <w:tcW w:w="897" w:type="dxa"/>
            <w:tcBorders>
              <w:top w:val="nil"/>
              <w:left w:val="nil"/>
              <w:bottom w:val="single" w:sz="4" w:space="0" w:color="auto"/>
              <w:right w:val="single" w:sz="4" w:space="0" w:color="auto"/>
            </w:tcBorders>
            <w:shd w:val="clear" w:color="auto" w:fill="auto"/>
            <w:noWrap/>
            <w:vAlign w:val="bottom"/>
            <w:hideMark/>
          </w:tcPr>
          <w:p w14:paraId="189A0BC2"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   </w:t>
            </w:r>
          </w:p>
        </w:tc>
        <w:tc>
          <w:tcPr>
            <w:tcW w:w="897" w:type="dxa"/>
            <w:tcBorders>
              <w:top w:val="nil"/>
              <w:left w:val="nil"/>
              <w:bottom w:val="single" w:sz="4" w:space="0" w:color="auto"/>
              <w:right w:val="single" w:sz="4" w:space="0" w:color="auto"/>
            </w:tcBorders>
            <w:shd w:val="clear" w:color="auto" w:fill="auto"/>
            <w:noWrap/>
            <w:vAlign w:val="bottom"/>
            <w:hideMark/>
          </w:tcPr>
          <w:p w14:paraId="68C1C2B4"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   </w:t>
            </w:r>
          </w:p>
        </w:tc>
        <w:tc>
          <w:tcPr>
            <w:tcW w:w="897" w:type="dxa"/>
            <w:tcBorders>
              <w:top w:val="nil"/>
              <w:left w:val="nil"/>
              <w:bottom w:val="single" w:sz="4" w:space="0" w:color="auto"/>
              <w:right w:val="single" w:sz="4" w:space="0" w:color="auto"/>
            </w:tcBorders>
            <w:shd w:val="clear" w:color="auto" w:fill="auto"/>
            <w:noWrap/>
            <w:vAlign w:val="bottom"/>
            <w:hideMark/>
          </w:tcPr>
          <w:p w14:paraId="6C575A31"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   </w:t>
            </w:r>
          </w:p>
        </w:tc>
      </w:tr>
      <w:tr w:rsidR="00C3310F" w:rsidRPr="00C3310F" w14:paraId="765483B0" w14:textId="77777777" w:rsidTr="007441B4">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25FF4E5C" w14:textId="2D4F1CA0" w:rsidR="000B1C3C" w:rsidRPr="00C3310F" w:rsidRDefault="000B1C3C" w:rsidP="000B1C3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高</w:t>
            </w:r>
            <w:r w:rsidR="00CB5482" w:rsidRPr="00C3310F">
              <w:rPr>
                <w:rFonts w:hAnsi="標楷體" w:cs="新細明體" w:hint="eastAsia"/>
                <w:kern w:val="0"/>
                <w:sz w:val="24"/>
                <w:szCs w:val="24"/>
              </w:rPr>
              <w:t>○</w:t>
            </w:r>
            <w:r w:rsidRPr="00C3310F">
              <w:rPr>
                <w:rFonts w:hAnsi="標楷體" w:cs="新細明體" w:hint="eastAsia"/>
                <w:kern w:val="0"/>
                <w:sz w:val="24"/>
                <w:szCs w:val="24"/>
              </w:rPr>
              <w:t xml:space="preserve">銀行                </w:t>
            </w:r>
          </w:p>
        </w:tc>
        <w:tc>
          <w:tcPr>
            <w:tcW w:w="850" w:type="dxa"/>
            <w:tcBorders>
              <w:top w:val="nil"/>
              <w:left w:val="nil"/>
              <w:bottom w:val="single" w:sz="4" w:space="0" w:color="auto"/>
              <w:right w:val="single" w:sz="4" w:space="0" w:color="auto"/>
            </w:tcBorders>
            <w:shd w:val="clear" w:color="auto" w:fill="auto"/>
            <w:noWrap/>
            <w:vAlign w:val="bottom"/>
            <w:hideMark/>
          </w:tcPr>
          <w:p w14:paraId="4E6DE8C7"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206 </w:t>
            </w:r>
          </w:p>
        </w:tc>
        <w:tc>
          <w:tcPr>
            <w:tcW w:w="851" w:type="dxa"/>
            <w:tcBorders>
              <w:top w:val="nil"/>
              <w:left w:val="nil"/>
              <w:bottom w:val="single" w:sz="4" w:space="0" w:color="auto"/>
              <w:right w:val="single" w:sz="4" w:space="0" w:color="auto"/>
            </w:tcBorders>
            <w:shd w:val="clear" w:color="auto" w:fill="auto"/>
            <w:noWrap/>
            <w:vAlign w:val="bottom"/>
            <w:hideMark/>
          </w:tcPr>
          <w:p w14:paraId="6987ED76"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236 </w:t>
            </w:r>
          </w:p>
        </w:tc>
        <w:tc>
          <w:tcPr>
            <w:tcW w:w="850" w:type="dxa"/>
            <w:tcBorders>
              <w:top w:val="nil"/>
              <w:left w:val="nil"/>
              <w:bottom w:val="single" w:sz="4" w:space="0" w:color="auto"/>
              <w:right w:val="single" w:sz="4" w:space="0" w:color="auto"/>
            </w:tcBorders>
            <w:shd w:val="clear" w:color="auto" w:fill="auto"/>
            <w:noWrap/>
            <w:vAlign w:val="bottom"/>
            <w:hideMark/>
          </w:tcPr>
          <w:p w14:paraId="1EADB989"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259 </w:t>
            </w:r>
          </w:p>
        </w:tc>
        <w:tc>
          <w:tcPr>
            <w:tcW w:w="851" w:type="dxa"/>
            <w:tcBorders>
              <w:top w:val="nil"/>
              <w:left w:val="nil"/>
              <w:bottom w:val="single" w:sz="4" w:space="0" w:color="auto"/>
              <w:right w:val="single" w:sz="4" w:space="0" w:color="auto"/>
            </w:tcBorders>
            <w:shd w:val="clear" w:color="auto" w:fill="auto"/>
            <w:noWrap/>
            <w:vAlign w:val="bottom"/>
            <w:hideMark/>
          </w:tcPr>
          <w:p w14:paraId="09B3854E"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284 </w:t>
            </w:r>
          </w:p>
        </w:tc>
        <w:tc>
          <w:tcPr>
            <w:tcW w:w="850" w:type="dxa"/>
            <w:tcBorders>
              <w:top w:val="nil"/>
              <w:left w:val="nil"/>
              <w:bottom w:val="single" w:sz="4" w:space="0" w:color="auto"/>
              <w:right w:val="single" w:sz="4" w:space="0" w:color="auto"/>
            </w:tcBorders>
            <w:shd w:val="clear" w:color="auto" w:fill="auto"/>
            <w:noWrap/>
            <w:vAlign w:val="bottom"/>
            <w:hideMark/>
          </w:tcPr>
          <w:p w14:paraId="470DAE38"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298 </w:t>
            </w:r>
          </w:p>
        </w:tc>
        <w:tc>
          <w:tcPr>
            <w:tcW w:w="897" w:type="dxa"/>
            <w:tcBorders>
              <w:top w:val="nil"/>
              <w:left w:val="nil"/>
              <w:bottom w:val="single" w:sz="4" w:space="0" w:color="auto"/>
              <w:right w:val="single" w:sz="4" w:space="0" w:color="auto"/>
            </w:tcBorders>
            <w:shd w:val="clear" w:color="auto" w:fill="auto"/>
            <w:noWrap/>
            <w:vAlign w:val="bottom"/>
            <w:hideMark/>
          </w:tcPr>
          <w:p w14:paraId="72E16C9D"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333 </w:t>
            </w:r>
          </w:p>
        </w:tc>
        <w:tc>
          <w:tcPr>
            <w:tcW w:w="897" w:type="dxa"/>
            <w:tcBorders>
              <w:top w:val="nil"/>
              <w:left w:val="nil"/>
              <w:bottom w:val="single" w:sz="4" w:space="0" w:color="auto"/>
              <w:right w:val="single" w:sz="4" w:space="0" w:color="auto"/>
            </w:tcBorders>
            <w:shd w:val="clear" w:color="auto" w:fill="auto"/>
            <w:noWrap/>
            <w:vAlign w:val="bottom"/>
            <w:hideMark/>
          </w:tcPr>
          <w:p w14:paraId="4D10ADCF"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345 </w:t>
            </w:r>
          </w:p>
        </w:tc>
        <w:tc>
          <w:tcPr>
            <w:tcW w:w="897" w:type="dxa"/>
            <w:tcBorders>
              <w:top w:val="nil"/>
              <w:left w:val="nil"/>
              <w:bottom w:val="single" w:sz="4" w:space="0" w:color="auto"/>
              <w:right w:val="single" w:sz="4" w:space="0" w:color="auto"/>
            </w:tcBorders>
            <w:shd w:val="clear" w:color="auto" w:fill="auto"/>
            <w:noWrap/>
            <w:vAlign w:val="bottom"/>
            <w:hideMark/>
          </w:tcPr>
          <w:p w14:paraId="13E8B1E6"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378 </w:t>
            </w:r>
          </w:p>
        </w:tc>
        <w:tc>
          <w:tcPr>
            <w:tcW w:w="897" w:type="dxa"/>
            <w:tcBorders>
              <w:top w:val="nil"/>
              <w:left w:val="nil"/>
              <w:bottom w:val="single" w:sz="4" w:space="0" w:color="auto"/>
              <w:right w:val="single" w:sz="4" w:space="0" w:color="auto"/>
            </w:tcBorders>
            <w:shd w:val="clear" w:color="auto" w:fill="auto"/>
            <w:noWrap/>
            <w:vAlign w:val="bottom"/>
            <w:hideMark/>
          </w:tcPr>
          <w:p w14:paraId="60FD73E8"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410 </w:t>
            </w:r>
          </w:p>
        </w:tc>
      </w:tr>
      <w:tr w:rsidR="00C3310F" w:rsidRPr="00C3310F" w14:paraId="0942003B" w14:textId="77777777" w:rsidTr="007441B4">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234CF32C" w14:textId="4B2F551D" w:rsidR="000B1C3C" w:rsidRPr="00C3310F" w:rsidRDefault="000B1C3C" w:rsidP="000B1C3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兆</w:t>
            </w:r>
            <w:r w:rsidR="00CB5482" w:rsidRPr="00C3310F">
              <w:rPr>
                <w:rFonts w:hAnsi="標楷體" w:cs="新細明體" w:hint="eastAsia"/>
                <w:kern w:val="0"/>
                <w:sz w:val="24"/>
                <w:szCs w:val="24"/>
              </w:rPr>
              <w:t>○</w:t>
            </w:r>
            <w:r w:rsidRPr="00C3310F">
              <w:rPr>
                <w:rFonts w:hAnsi="標楷體" w:cs="新細明體" w:hint="eastAsia"/>
                <w:kern w:val="0"/>
                <w:sz w:val="24"/>
                <w:szCs w:val="24"/>
              </w:rPr>
              <w:t xml:space="preserve">國際商銀            </w:t>
            </w:r>
          </w:p>
        </w:tc>
        <w:tc>
          <w:tcPr>
            <w:tcW w:w="850" w:type="dxa"/>
            <w:tcBorders>
              <w:top w:val="nil"/>
              <w:left w:val="nil"/>
              <w:bottom w:val="single" w:sz="4" w:space="0" w:color="auto"/>
              <w:right w:val="single" w:sz="4" w:space="0" w:color="auto"/>
            </w:tcBorders>
            <w:shd w:val="clear" w:color="auto" w:fill="auto"/>
            <w:noWrap/>
            <w:vAlign w:val="bottom"/>
            <w:hideMark/>
          </w:tcPr>
          <w:p w14:paraId="5A1998C1"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1,078 </w:t>
            </w:r>
          </w:p>
        </w:tc>
        <w:tc>
          <w:tcPr>
            <w:tcW w:w="851" w:type="dxa"/>
            <w:tcBorders>
              <w:top w:val="nil"/>
              <w:left w:val="nil"/>
              <w:bottom w:val="single" w:sz="4" w:space="0" w:color="auto"/>
              <w:right w:val="single" w:sz="4" w:space="0" w:color="auto"/>
            </w:tcBorders>
            <w:shd w:val="clear" w:color="auto" w:fill="auto"/>
            <w:noWrap/>
            <w:vAlign w:val="bottom"/>
            <w:hideMark/>
          </w:tcPr>
          <w:p w14:paraId="2305FFAE"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1,184 </w:t>
            </w:r>
          </w:p>
        </w:tc>
        <w:tc>
          <w:tcPr>
            <w:tcW w:w="850" w:type="dxa"/>
            <w:tcBorders>
              <w:top w:val="nil"/>
              <w:left w:val="nil"/>
              <w:bottom w:val="single" w:sz="4" w:space="0" w:color="auto"/>
              <w:right w:val="single" w:sz="4" w:space="0" w:color="auto"/>
            </w:tcBorders>
            <w:shd w:val="clear" w:color="auto" w:fill="auto"/>
            <w:noWrap/>
            <w:vAlign w:val="bottom"/>
            <w:hideMark/>
          </w:tcPr>
          <w:p w14:paraId="382E6857"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1,270 </w:t>
            </w:r>
          </w:p>
        </w:tc>
        <w:tc>
          <w:tcPr>
            <w:tcW w:w="851" w:type="dxa"/>
            <w:tcBorders>
              <w:top w:val="nil"/>
              <w:left w:val="nil"/>
              <w:bottom w:val="single" w:sz="4" w:space="0" w:color="auto"/>
              <w:right w:val="single" w:sz="4" w:space="0" w:color="auto"/>
            </w:tcBorders>
            <w:shd w:val="clear" w:color="auto" w:fill="auto"/>
            <w:noWrap/>
            <w:vAlign w:val="bottom"/>
            <w:hideMark/>
          </w:tcPr>
          <w:p w14:paraId="676598EF"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1,450 </w:t>
            </w:r>
          </w:p>
        </w:tc>
        <w:tc>
          <w:tcPr>
            <w:tcW w:w="850" w:type="dxa"/>
            <w:tcBorders>
              <w:top w:val="nil"/>
              <w:left w:val="nil"/>
              <w:bottom w:val="single" w:sz="4" w:space="0" w:color="auto"/>
              <w:right w:val="single" w:sz="4" w:space="0" w:color="auto"/>
            </w:tcBorders>
            <w:shd w:val="clear" w:color="auto" w:fill="auto"/>
            <w:noWrap/>
            <w:vAlign w:val="bottom"/>
            <w:hideMark/>
          </w:tcPr>
          <w:p w14:paraId="3FA90608"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1,644 </w:t>
            </w:r>
          </w:p>
        </w:tc>
        <w:tc>
          <w:tcPr>
            <w:tcW w:w="897" w:type="dxa"/>
            <w:tcBorders>
              <w:top w:val="nil"/>
              <w:left w:val="nil"/>
              <w:bottom w:val="single" w:sz="4" w:space="0" w:color="auto"/>
              <w:right w:val="single" w:sz="4" w:space="0" w:color="auto"/>
            </w:tcBorders>
            <w:shd w:val="clear" w:color="auto" w:fill="auto"/>
            <w:noWrap/>
            <w:vAlign w:val="bottom"/>
            <w:hideMark/>
          </w:tcPr>
          <w:p w14:paraId="52592863"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1,866 </w:t>
            </w:r>
          </w:p>
        </w:tc>
        <w:tc>
          <w:tcPr>
            <w:tcW w:w="897" w:type="dxa"/>
            <w:tcBorders>
              <w:top w:val="nil"/>
              <w:left w:val="nil"/>
              <w:bottom w:val="single" w:sz="4" w:space="0" w:color="auto"/>
              <w:right w:val="single" w:sz="4" w:space="0" w:color="auto"/>
            </w:tcBorders>
            <w:shd w:val="clear" w:color="auto" w:fill="auto"/>
            <w:noWrap/>
            <w:vAlign w:val="bottom"/>
            <w:hideMark/>
          </w:tcPr>
          <w:p w14:paraId="416F42BE"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2,058 </w:t>
            </w:r>
          </w:p>
        </w:tc>
        <w:tc>
          <w:tcPr>
            <w:tcW w:w="897" w:type="dxa"/>
            <w:tcBorders>
              <w:top w:val="nil"/>
              <w:left w:val="nil"/>
              <w:bottom w:val="single" w:sz="4" w:space="0" w:color="auto"/>
              <w:right w:val="single" w:sz="4" w:space="0" w:color="auto"/>
            </w:tcBorders>
            <w:shd w:val="clear" w:color="auto" w:fill="auto"/>
            <w:noWrap/>
            <w:vAlign w:val="bottom"/>
            <w:hideMark/>
          </w:tcPr>
          <w:p w14:paraId="646058A0"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2,312 </w:t>
            </w:r>
          </w:p>
        </w:tc>
        <w:tc>
          <w:tcPr>
            <w:tcW w:w="897" w:type="dxa"/>
            <w:tcBorders>
              <w:top w:val="nil"/>
              <w:left w:val="nil"/>
              <w:bottom w:val="single" w:sz="4" w:space="0" w:color="auto"/>
              <w:right w:val="single" w:sz="4" w:space="0" w:color="auto"/>
            </w:tcBorders>
            <w:shd w:val="clear" w:color="auto" w:fill="auto"/>
            <w:noWrap/>
            <w:vAlign w:val="bottom"/>
            <w:hideMark/>
          </w:tcPr>
          <w:p w14:paraId="5F34D7A7"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2,680 </w:t>
            </w:r>
          </w:p>
        </w:tc>
      </w:tr>
      <w:tr w:rsidR="00C3310F" w:rsidRPr="00C3310F" w14:paraId="22E17621" w14:textId="77777777" w:rsidTr="007441B4">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440F93C0" w14:textId="65401124" w:rsidR="000B1C3C" w:rsidRPr="00C3310F" w:rsidRDefault="000B1C3C" w:rsidP="000B1C3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花</w:t>
            </w:r>
            <w:r w:rsidR="00CB5482" w:rsidRPr="00C3310F">
              <w:rPr>
                <w:rFonts w:hAnsi="標楷體" w:cs="新細明體" w:hint="eastAsia"/>
                <w:kern w:val="0"/>
                <w:sz w:val="24"/>
                <w:szCs w:val="24"/>
              </w:rPr>
              <w:t>○</w:t>
            </w:r>
            <w:r w:rsidRPr="00C3310F">
              <w:rPr>
                <w:rFonts w:hAnsi="標楷體" w:cs="新細明體" w:hint="eastAsia"/>
                <w:kern w:val="0"/>
                <w:sz w:val="24"/>
                <w:szCs w:val="24"/>
              </w:rPr>
              <w:t xml:space="preserve">（台灣）銀行        </w:t>
            </w:r>
          </w:p>
        </w:tc>
        <w:tc>
          <w:tcPr>
            <w:tcW w:w="850" w:type="dxa"/>
            <w:tcBorders>
              <w:top w:val="nil"/>
              <w:left w:val="nil"/>
              <w:bottom w:val="single" w:sz="4" w:space="0" w:color="auto"/>
              <w:right w:val="single" w:sz="4" w:space="0" w:color="auto"/>
            </w:tcBorders>
            <w:shd w:val="clear" w:color="auto" w:fill="auto"/>
            <w:noWrap/>
            <w:vAlign w:val="bottom"/>
            <w:hideMark/>
          </w:tcPr>
          <w:p w14:paraId="24A40F0F"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76 </w:t>
            </w:r>
          </w:p>
        </w:tc>
        <w:tc>
          <w:tcPr>
            <w:tcW w:w="851" w:type="dxa"/>
            <w:tcBorders>
              <w:top w:val="nil"/>
              <w:left w:val="nil"/>
              <w:bottom w:val="single" w:sz="4" w:space="0" w:color="auto"/>
              <w:right w:val="single" w:sz="4" w:space="0" w:color="auto"/>
            </w:tcBorders>
            <w:shd w:val="clear" w:color="auto" w:fill="auto"/>
            <w:noWrap/>
            <w:vAlign w:val="bottom"/>
            <w:hideMark/>
          </w:tcPr>
          <w:p w14:paraId="44E271EA"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75 </w:t>
            </w:r>
          </w:p>
        </w:tc>
        <w:tc>
          <w:tcPr>
            <w:tcW w:w="850" w:type="dxa"/>
            <w:tcBorders>
              <w:top w:val="nil"/>
              <w:left w:val="nil"/>
              <w:bottom w:val="single" w:sz="4" w:space="0" w:color="auto"/>
              <w:right w:val="single" w:sz="4" w:space="0" w:color="auto"/>
            </w:tcBorders>
            <w:shd w:val="clear" w:color="auto" w:fill="auto"/>
            <w:noWrap/>
            <w:vAlign w:val="bottom"/>
            <w:hideMark/>
          </w:tcPr>
          <w:p w14:paraId="3E38F214"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79 </w:t>
            </w:r>
          </w:p>
        </w:tc>
        <w:tc>
          <w:tcPr>
            <w:tcW w:w="851" w:type="dxa"/>
            <w:tcBorders>
              <w:top w:val="nil"/>
              <w:left w:val="nil"/>
              <w:bottom w:val="single" w:sz="4" w:space="0" w:color="auto"/>
              <w:right w:val="single" w:sz="4" w:space="0" w:color="auto"/>
            </w:tcBorders>
            <w:shd w:val="clear" w:color="auto" w:fill="auto"/>
            <w:noWrap/>
            <w:vAlign w:val="bottom"/>
            <w:hideMark/>
          </w:tcPr>
          <w:p w14:paraId="29ABBB77"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83 </w:t>
            </w:r>
          </w:p>
        </w:tc>
        <w:tc>
          <w:tcPr>
            <w:tcW w:w="850" w:type="dxa"/>
            <w:tcBorders>
              <w:top w:val="nil"/>
              <w:left w:val="nil"/>
              <w:bottom w:val="single" w:sz="4" w:space="0" w:color="auto"/>
              <w:right w:val="single" w:sz="4" w:space="0" w:color="auto"/>
            </w:tcBorders>
            <w:shd w:val="clear" w:color="auto" w:fill="auto"/>
            <w:noWrap/>
            <w:vAlign w:val="bottom"/>
            <w:hideMark/>
          </w:tcPr>
          <w:p w14:paraId="3C4381AC"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82 </w:t>
            </w:r>
          </w:p>
        </w:tc>
        <w:tc>
          <w:tcPr>
            <w:tcW w:w="897" w:type="dxa"/>
            <w:tcBorders>
              <w:top w:val="nil"/>
              <w:left w:val="nil"/>
              <w:bottom w:val="single" w:sz="4" w:space="0" w:color="auto"/>
              <w:right w:val="single" w:sz="4" w:space="0" w:color="auto"/>
            </w:tcBorders>
            <w:shd w:val="clear" w:color="auto" w:fill="auto"/>
            <w:noWrap/>
            <w:vAlign w:val="bottom"/>
            <w:hideMark/>
          </w:tcPr>
          <w:p w14:paraId="04D27B3B"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82 </w:t>
            </w:r>
          </w:p>
        </w:tc>
        <w:tc>
          <w:tcPr>
            <w:tcW w:w="897" w:type="dxa"/>
            <w:tcBorders>
              <w:top w:val="nil"/>
              <w:left w:val="nil"/>
              <w:bottom w:val="single" w:sz="4" w:space="0" w:color="auto"/>
              <w:right w:val="single" w:sz="4" w:space="0" w:color="auto"/>
            </w:tcBorders>
            <w:shd w:val="clear" w:color="auto" w:fill="auto"/>
            <w:noWrap/>
            <w:vAlign w:val="bottom"/>
            <w:hideMark/>
          </w:tcPr>
          <w:p w14:paraId="19CE2E73"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82 </w:t>
            </w:r>
          </w:p>
        </w:tc>
        <w:tc>
          <w:tcPr>
            <w:tcW w:w="897" w:type="dxa"/>
            <w:tcBorders>
              <w:top w:val="nil"/>
              <w:left w:val="nil"/>
              <w:bottom w:val="single" w:sz="4" w:space="0" w:color="auto"/>
              <w:right w:val="single" w:sz="4" w:space="0" w:color="auto"/>
            </w:tcBorders>
            <w:shd w:val="clear" w:color="auto" w:fill="auto"/>
            <w:noWrap/>
            <w:vAlign w:val="bottom"/>
            <w:hideMark/>
          </w:tcPr>
          <w:p w14:paraId="15D8A51B"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63 </w:t>
            </w:r>
          </w:p>
        </w:tc>
        <w:tc>
          <w:tcPr>
            <w:tcW w:w="897" w:type="dxa"/>
            <w:tcBorders>
              <w:top w:val="nil"/>
              <w:left w:val="nil"/>
              <w:bottom w:val="single" w:sz="4" w:space="0" w:color="auto"/>
              <w:right w:val="single" w:sz="4" w:space="0" w:color="auto"/>
            </w:tcBorders>
            <w:shd w:val="clear" w:color="auto" w:fill="auto"/>
            <w:noWrap/>
            <w:vAlign w:val="bottom"/>
            <w:hideMark/>
          </w:tcPr>
          <w:p w14:paraId="3342C08B"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53 </w:t>
            </w:r>
          </w:p>
        </w:tc>
      </w:tr>
      <w:tr w:rsidR="00C3310F" w:rsidRPr="00C3310F" w14:paraId="6C803FAB" w14:textId="77777777" w:rsidTr="007441B4">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3E7D9D77" w14:textId="26092C8E" w:rsidR="000B1C3C" w:rsidRPr="00C3310F" w:rsidRDefault="000B1C3C" w:rsidP="000B1C3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王</w:t>
            </w:r>
            <w:r w:rsidR="00CB5482" w:rsidRPr="00C3310F">
              <w:rPr>
                <w:rFonts w:hAnsi="標楷體" w:cs="新細明體" w:hint="eastAsia"/>
                <w:kern w:val="0"/>
                <w:sz w:val="24"/>
                <w:szCs w:val="24"/>
              </w:rPr>
              <w:t>○</w:t>
            </w:r>
            <w:r w:rsidRPr="00C3310F">
              <w:rPr>
                <w:rFonts w:hAnsi="標楷體" w:cs="新細明體" w:hint="eastAsia"/>
                <w:kern w:val="0"/>
                <w:sz w:val="24"/>
                <w:szCs w:val="24"/>
              </w:rPr>
              <w:t xml:space="preserve">銀行                </w:t>
            </w:r>
          </w:p>
        </w:tc>
        <w:tc>
          <w:tcPr>
            <w:tcW w:w="850" w:type="dxa"/>
            <w:tcBorders>
              <w:top w:val="nil"/>
              <w:left w:val="nil"/>
              <w:bottom w:val="single" w:sz="4" w:space="0" w:color="auto"/>
              <w:right w:val="single" w:sz="4" w:space="0" w:color="auto"/>
            </w:tcBorders>
            <w:shd w:val="clear" w:color="auto" w:fill="auto"/>
            <w:noWrap/>
            <w:vAlign w:val="bottom"/>
            <w:hideMark/>
          </w:tcPr>
          <w:p w14:paraId="740EB106"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244 </w:t>
            </w:r>
          </w:p>
        </w:tc>
        <w:tc>
          <w:tcPr>
            <w:tcW w:w="851" w:type="dxa"/>
            <w:tcBorders>
              <w:top w:val="nil"/>
              <w:left w:val="nil"/>
              <w:bottom w:val="single" w:sz="4" w:space="0" w:color="auto"/>
              <w:right w:val="single" w:sz="4" w:space="0" w:color="auto"/>
            </w:tcBorders>
            <w:shd w:val="clear" w:color="auto" w:fill="auto"/>
            <w:noWrap/>
            <w:vAlign w:val="bottom"/>
            <w:hideMark/>
          </w:tcPr>
          <w:p w14:paraId="72AA285D"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270 </w:t>
            </w:r>
          </w:p>
        </w:tc>
        <w:tc>
          <w:tcPr>
            <w:tcW w:w="850" w:type="dxa"/>
            <w:tcBorders>
              <w:top w:val="nil"/>
              <w:left w:val="nil"/>
              <w:bottom w:val="single" w:sz="4" w:space="0" w:color="auto"/>
              <w:right w:val="single" w:sz="4" w:space="0" w:color="auto"/>
            </w:tcBorders>
            <w:shd w:val="clear" w:color="auto" w:fill="auto"/>
            <w:noWrap/>
            <w:vAlign w:val="bottom"/>
            <w:hideMark/>
          </w:tcPr>
          <w:p w14:paraId="04DB7B4A"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284 </w:t>
            </w:r>
          </w:p>
        </w:tc>
        <w:tc>
          <w:tcPr>
            <w:tcW w:w="851" w:type="dxa"/>
            <w:tcBorders>
              <w:top w:val="nil"/>
              <w:left w:val="nil"/>
              <w:bottom w:val="single" w:sz="4" w:space="0" w:color="auto"/>
              <w:right w:val="single" w:sz="4" w:space="0" w:color="auto"/>
            </w:tcBorders>
            <w:shd w:val="clear" w:color="auto" w:fill="auto"/>
            <w:noWrap/>
            <w:vAlign w:val="bottom"/>
            <w:hideMark/>
          </w:tcPr>
          <w:p w14:paraId="731570F7"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293 </w:t>
            </w:r>
          </w:p>
        </w:tc>
        <w:tc>
          <w:tcPr>
            <w:tcW w:w="850" w:type="dxa"/>
            <w:tcBorders>
              <w:top w:val="nil"/>
              <w:left w:val="nil"/>
              <w:bottom w:val="single" w:sz="4" w:space="0" w:color="auto"/>
              <w:right w:val="single" w:sz="4" w:space="0" w:color="auto"/>
            </w:tcBorders>
            <w:shd w:val="clear" w:color="auto" w:fill="auto"/>
            <w:noWrap/>
            <w:vAlign w:val="bottom"/>
            <w:hideMark/>
          </w:tcPr>
          <w:p w14:paraId="189B9E95"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301 </w:t>
            </w:r>
          </w:p>
        </w:tc>
        <w:tc>
          <w:tcPr>
            <w:tcW w:w="897" w:type="dxa"/>
            <w:tcBorders>
              <w:top w:val="nil"/>
              <w:left w:val="nil"/>
              <w:bottom w:val="single" w:sz="4" w:space="0" w:color="auto"/>
              <w:right w:val="single" w:sz="4" w:space="0" w:color="auto"/>
            </w:tcBorders>
            <w:shd w:val="clear" w:color="auto" w:fill="auto"/>
            <w:noWrap/>
            <w:vAlign w:val="bottom"/>
            <w:hideMark/>
          </w:tcPr>
          <w:p w14:paraId="251F6E81"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333 </w:t>
            </w:r>
          </w:p>
        </w:tc>
        <w:tc>
          <w:tcPr>
            <w:tcW w:w="897" w:type="dxa"/>
            <w:tcBorders>
              <w:top w:val="nil"/>
              <w:left w:val="nil"/>
              <w:bottom w:val="single" w:sz="4" w:space="0" w:color="auto"/>
              <w:right w:val="single" w:sz="4" w:space="0" w:color="auto"/>
            </w:tcBorders>
            <w:shd w:val="clear" w:color="auto" w:fill="auto"/>
            <w:noWrap/>
            <w:vAlign w:val="bottom"/>
            <w:hideMark/>
          </w:tcPr>
          <w:p w14:paraId="41DF236E"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384 </w:t>
            </w:r>
          </w:p>
        </w:tc>
        <w:tc>
          <w:tcPr>
            <w:tcW w:w="897" w:type="dxa"/>
            <w:tcBorders>
              <w:top w:val="nil"/>
              <w:left w:val="nil"/>
              <w:bottom w:val="single" w:sz="4" w:space="0" w:color="auto"/>
              <w:right w:val="single" w:sz="4" w:space="0" w:color="auto"/>
            </w:tcBorders>
            <w:shd w:val="clear" w:color="auto" w:fill="auto"/>
            <w:noWrap/>
            <w:vAlign w:val="bottom"/>
            <w:hideMark/>
          </w:tcPr>
          <w:p w14:paraId="285F0143"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497 </w:t>
            </w:r>
          </w:p>
        </w:tc>
        <w:tc>
          <w:tcPr>
            <w:tcW w:w="897" w:type="dxa"/>
            <w:tcBorders>
              <w:top w:val="nil"/>
              <w:left w:val="nil"/>
              <w:bottom w:val="single" w:sz="4" w:space="0" w:color="auto"/>
              <w:right w:val="single" w:sz="4" w:space="0" w:color="auto"/>
            </w:tcBorders>
            <w:shd w:val="clear" w:color="auto" w:fill="auto"/>
            <w:noWrap/>
            <w:vAlign w:val="bottom"/>
            <w:hideMark/>
          </w:tcPr>
          <w:p w14:paraId="5FC03A0F"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566 </w:t>
            </w:r>
          </w:p>
        </w:tc>
      </w:tr>
      <w:tr w:rsidR="00C3310F" w:rsidRPr="00C3310F" w14:paraId="3718F24B" w14:textId="77777777" w:rsidTr="007441B4">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0F176462" w14:textId="7BA60C76" w:rsidR="000B1C3C" w:rsidRPr="00C3310F" w:rsidRDefault="000B1C3C" w:rsidP="000B1C3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臺</w:t>
            </w:r>
            <w:r w:rsidR="00CB5482" w:rsidRPr="00C3310F">
              <w:rPr>
                <w:rFonts w:hAnsi="標楷體" w:cs="新細明體" w:hint="eastAsia"/>
                <w:kern w:val="0"/>
                <w:sz w:val="24"/>
                <w:szCs w:val="24"/>
              </w:rPr>
              <w:t>○</w:t>
            </w:r>
            <w:r w:rsidRPr="00C3310F">
              <w:rPr>
                <w:rFonts w:hAnsi="標楷體" w:cs="新細明體" w:hint="eastAsia"/>
                <w:kern w:val="0"/>
                <w:sz w:val="24"/>
                <w:szCs w:val="24"/>
              </w:rPr>
              <w:t xml:space="preserve">企銀                </w:t>
            </w:r>
          </w:p>
        </w:tc>
        <w:tc>
          <w:tcPr>
            <w:tcW w:w="850" w:type="dxa"/>
            <w:tcBorders>
              <w:top w:val="nil"/>
              <w:left w:val="nil"/>
              <w:bottom w:val="single" w:sz="4" w:space="0" w:color="auto"/>
              <w:right w:val="single" w:sz="4" w:space="0" w:color="auto"/>
            </w:tcBorders>
            <w:shd w:val="clear" w:color="auto" w:fill="auto"/>
            <w:noWrap/>
            <w:vAlign w:val="bottom"/>
            <w:hideMark/>
          </w:tcPr>
          <w:p w14:paraId="0F72AE64"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1,398 </w:t>
            </w:r>
          </w:p>
        </w:tc>
        <w:tc>
          <w:tcPr>
            <w:tcW w:w="851" w:type="dxa"/>
            <w:tcBorders>
              <w:top w:val="nil"/>
              <w:left w:val="nil"/>
              <w:bottom w:val="single" w:sz="4" w:space="0" w:color="auto"/>
              <w:right w:val="single" w:sz="4" w:space="0" w:color="auto"/>
            </w:tcBorders>
            <w:shd w:val="clear" w:color="auto" w:fill="auto"/>
            <w:noWrap/>
            <w:vAlign w:val="bottom"/>
            <w:hideMark/>
          </w:tcPr>
          <w:p w14:paraId="3D98DAF1"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1,495 </w:t>
            </w:r>
          </w:p>
        </w:tc>
        <w:tc>
          <w:tcPr>
            <w:tcW w:w="850" w:type="dxa"/>
            <w:tcBorders>
              <w:top w:val="nil"/>
              <w:left w:val="nil"/>
              <w:bottom w:val="single" w:sz="4" w:space="0" w:color="auto"/>
              <w:right w:val="single" w:sz="4" w:space="0" w:color="auto"/>
            </w:tcBorders>
            <w:shd w:val="clear" w:color="auto" w:fill="auto"/>
            <w:noWrap/>
            <w:vAlign w:val="bottom"/>
            <w:hideMark/>
          </w:tcPr>
          <w:p w14:paraId="2C141443"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1,554 </w:t>
            </w:r>
          </w:p>
        </w:tc>
        <w:tc>
          <w:tcPr>
            <w:tcW w:w="851" w:type="dxa"/>
            <w:tcBorders>
              <w:top w:val="nil"/>
              <w:left w:val="nil"/>
              <w:bottom w:val="single" w:sz="4" w:space="0" w:color="auto"/>
              <w:right w:val="single" w:sz="4" w:space="0" w:color="auto"/>
            </w:tcBorders>
            <w:shd w:val="clear" w:color="auto" w:fill="auto"/>
            <w:noWrap/>
            <w:vAlign w:val="bottom"/>
            <w:hideMark/>
          </w:tcPr>
          <w:p w14:paraId="195A1779"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1,722 </w:t>
            </w:r>
          </w:p>
        </w:tc>
        <w:tc>
          <w:tcPr>
            <w:tcW w:w="850" w:type="dxa"/>
            <w:tcBorders>
              <w:top w:val="nil"/>
              <w:left w:val="nil"/>
              <w:bottom w:val="single" w:sz="4" w:space="0" w:color="auto"/>
              <w:right w:val="single" w:sz="4" w:space="0" w:color="auto"/>
            </w:tcBorders>
            <w:shd w:val="clear" w:color="auto" w:fill="auto"/>
            <w:noWrap/>
            <w:vAlign w:val="bottom"/>
            <w:hideMark/>
          </w:tcPr>
          <w:p w14:paraId="30433B39"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1,867 </w:t>
            </w:r>
          </w:p>
        </w:tc>
        <w:tc>
          <w:tcPr>
            <w:tcW w:w="897" w:type="dxa"/>
            <w:tcBorders>
              <w:top w:val="nil"/>
              <w:left w:val="nil"/>
              <w:bottom w:val="single" w:sz="4" w:space="0" w:color="auto"/>
              <w:right w:val="single" w:sz="4" w:space="0" w:color="auto"/>
            </w:tcBorders>
            <w:shd w:val="clear" w:color="auto" w:fill="auto"/>
            <w:noWrap/>
            <w:vAlign w:val="bottom"/>
            <w:hideMark/>
          </w:tcPr>
          <w:p w14:paraId="1E43D160"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2,084 </w:t>
            </w:r>
          </w:p>
        </w:tc>
        <w:tc>
          <w:tcPr>
            <w:tcW w:w="897" w:type="dxa"/>
            <w:tcBorders>
              <w:top w:val="nil"/>
              <w:left w:val="nil"/>
              <w:bottom w:val="single" w:sz="4" w:space="0" w:color="auto"/>
              <w:right w:val="single" w:sz="4" w:space="0" w:color="auto"/>
            </w:tcBorders>
            <w:shd w:val="clear" w:color="auto" w:fill="auto"/>
            <w:noWrap/>
            <w:vAlign w:val="bottom"/>
            <w:hideMark/>
          </w:tcPr>
          <w:p w14:paraId="2AC41749"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2,365 </w:t>
            </w:r>
          </w:p>
        </w:tc>
        <w:tc>
          <w:tcPr>
            <w:tcW w:w="897" w:type="dxa"/>
            <w:tcBorders>
              <w:top w:val="nil"/>
              <w:left w:val="nil"/>
              <w:bottom w:val="single" w:sz="4" w:space="0" w:color="auto"/>
              <w:right w:val="single" w:sz="4" w:space="0" w:color="auto"/>
            </w:tcBorders>
            <w:shd w:val="clear" w:color="auto" w:fill="auto"/>
            <w:noWrap/>
            <w:vAlign w:val="bottom"/>
            <w:hideMark/>
          </w:tcPr>
          <w:p w14:paraId="3FBE02F8"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2,706 </w:t>
            </w:r>
          </w:p>
        </w:tc>
        <w:tc>
          <w:tcPr>
            <w:tcW w:w="897" w:type="dxa"/>
            <w:tcBorders>
              <w:top w:val="nil"/>
              <w:left w:val="nil"/>
              <w:bottom w:val="single" w:sz="4" w:space="0" w:color="auto"/>
              <w:right w:val="single" w:sz="4" w:space="0" w:color="auto"/>
            </w:tcBorders>
            <w:shd w:val="clear" w:color="auto" w:fill="auto"/>
            <w:noWrap/>
            <w:vAlign w:val="bottom"/>
            <w:hideMark/>
          </w:tcPr>
          <w:p w14:paraId="7784A774"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3,075 </w:t>
            </w:r>
          </w:p>
        </w:tc>
      </w:tr>
      <w:tr w:rsidR="00C3310F" w:rsidRPr="00C3310F" w14:paraId="2FABDCC0" w14:textId="77777777" w:rsidTr="007441B4">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5314097A" w14:textId="2000AA9A" w:rsidR="000B1C3C" w:rsidRPr="00C3310F" w:rsidRDefault="000B1C3C" w:rsidP="000B1C3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渣</w:t>
            </w:r>
            <w:r w:rsidR="00CB5482" w:rsidRPr="00C3310F">
              <w:rPr>
                <w:rFonts w:hAnsi="標楷體" w:cs="新細明體" w:hint="eastAsia"/>
                <w:kern w:val="0"/>
                <w:sz w:val="24"/>
                <w:szCs w:val="24"/>
              </w:rPr>
              <w:t>○</w:t>
            </w:r>
            <w:r w:rsidRPr="00C3310F">
              <w:rPr>
                <w:rFonts w:hAnsi="標楷體" w:cs="新細明體" w:hint="eastAsia"/>
                <w:kern w:val="0"/>
                <w:sz w:val="24"/>
                <w:szCs w:val="24"/>
              </w:rPr>
              <w:t xml:space="preserve">國際商業銀行        </w:t>
            </w:r>
          </w:p>
        </w:tc>
        <w:tc>
          <w:tcPr>
            <w:tcW w:w="850" w:type="dxa"/>
            <w:tcBorders>
              <w:top w:val="nil"/>
              <w:left w:val="nil"/>
              <w:bottom w:val="single" w:sz="4" w:space="0" w:color="auto"/>
              <w:right w:val="single" w:sz="4" w:space="0" w:color="auto"/>
            </w:tcBorders>
            <w:shd w:val="clear" w:color="auto" w:fill="auto"/>
            <w:noWrap/>
            <w:vAlign w:val="bottom"/>
            <w:hideMark/>
          </w:tcPr>
          <w:p w14:paraId="42BC6C2E"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740 </w:t>
            </w:r>
          </w:p>
        </w:tc>
        <w:tc>
          <w:tcPr>
            <w:tcW w:w="851" w:type="dxa"/>
            <w:tcBorders>
              <w:top w:val="nil"/>
              <w:left w:val="nil"/>
              <w:bottom w:val="single" w:sz="4" w:space="0" w:color="auto"/>
              <w:right w:val="single" w:sz="4" w:space="0" w:color="auto"/>
            </w:tcBorders>
            <w:shd w:val="clear" w:color="auto" w:fill="auto"/>
            <w:noWrap/>
            <w:vAlign w:val="bottom"/>
            <w:hideMark/>
          </w:tcPr>
          <w:p w14:paraId="518EF8E7"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755 </w:t>
            </w:r>
          </w:p>
        </w:tc>
        <w:tc>
          <w:tcPr>
            <w:tcW w:w="850" w:type="dxa"/>
            <w:tcBorders>
              <w:top w:val="nil"/>
              <w:left w:val="nil"/>
              <w:bottom w:val="single" w:sz="4" w:space="0" w:color="auto"/>
              <w:right w:val="single" w:sz="4" w:space="0" w:color="auto"/>
            </w:tcBorders>
            <w:shd w:val="clear" w:color="auto" w:fill="auto"/>
            <w:noWrap/>
            <w:vAlign w:val="bottom"/>
            <w:hideMark/>
          </w:tcPr>
          <w:p w14:paraId="74EF87BD"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766 </w:t>
            </w:r>
          </w:p>
        </w:tc>
        <w:tc>
          <w:tcPr>
            <w:tcW w:w="851" w:type="dxa"/>
            <w:tcBorders>
              <w:top w:val="nil"/>
              <w:left w:val="nil"/>
              <w:bottom w:val="single" w:sz="4" w:space="0" w:color="auto"/>
              <w:right w:val="single" w:sz="4" w:space="0" w:color="auto"/>
            </w:tcBorders>
            <w:shd w:val="clear" w:color="auto" w:fill="auto"/>
            <w:noWrap/>
            <w:vAlign w:val="bottom"/>
            <w:hideMark/>
          </w:tcPr>
          <w:p w14:paraId="243744FD"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781 </w:t>
            </w:r>
          </w:p>
        </w:tc>
        <w:tc>
          <w:tcPr>
            <w:tcW w:w="850" w:type="dxa"/>
            <w:tcBorders>
              <w:top w:val="nil"/>
              <w:left w:val="nil"/>
              <w:bottom w:val="single" w:sz="4" w:space="0" w:color="auto"/>
              <w:right w:val="single" w:sz="4" w:space="0" w:color="auto"/>
            </w:tcBorders>
            <w:shd w:val="clear" w:color="auto" w:fill="auto"/>
            <w:noWrap/>
            <w:vAlign w:val="bottom"/>
            <w:hideMark/>
          </w:tcPr>
          <w:p w14:paraId="775E63F7"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764 </w:t>
            </w:r>
          </w:p>
        </w:tc>
        <w:tc>
          <w:tcPr>
            <w:tcW w:w="897" w:type="dxa"/>
            <w:tcBorders>
              <w:top w:val="nil"/>
              <w:left w:val="nil"/>
              <w:bottom w:val="single" w:sz="4" w:space="0" w:color="auto"/>
              <w:right w:val="single" w:sz="4" w:space="0" w:color="auto"/>
            </w:tcBorders>
            <w:shd w:val="clear" w:color="auto" w:fill="auto"/>
            <w:noWrap/>
            <w:vAlign w:val="bottom"/>
            <w:hideMark/>
          </w:tcPr>
          <w:p w14:paraId="7B2DF490"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775 </w:t>
            </w:r>
          </w:p>
        </w:tc>
        <w:tc>
          <w:tcPr>
            <w:tcW w:w="897" w:type="dxa"/>
            <w:tcBorders>
              <w:top w:val="nil"/>
              <w:left w:val="nil"/>
              <w:bottom w:val="single" w:sz="4" w:space="0" w:color="auto"/>
              <w:right w:val="single" w:sz="4" w:space="0" w:color="auto"/>
            </w:tcBorders>
            <w:shd w:val="clear" w:color="auto" w:fill="auto"/>
            <w:noWrap/>
            <w:vAlign w:val="bottom"/>
            <w:hideMark/>
          </w:tcPr>
          <w:p w14:paraId="2D0C1FA4"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782 </w:t>
            </w:r>
          </w:p>
        </w:tc>
        <w:tc>
          <w:tcPr>
            <w:tcW w:w="897" w:type="dxa"/>
            <w:tcBorders>
              <w:top w:val="nil"/>
              <w:left w:val="nil"/>
              <w:bottom w:val="single" w:sz="4" w:space="0" w:color="auto"/>
              <w:right w:val="single" w:sz="4" w:space="0" w:color="auto"/>
            </w:tcBorders>
            <w:shd w:val="clear" w:color="auto" w:fill="auto"/>
            <w:noWrap/>
            <w:vAlign w:val="bottom"/>
            <w:hideMark/>
          </w:tcPr>
          <w:p w14:paraId="45269CA3"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804 </w:t>
            </w:r>
          </w:p>
        </w:tc>
        <w:tc>
          <w:tcPr>
            <w:tcW w:w="897" w:type="dxa"/>
            <w:tcBorders>
              <w:top w:val="nil"/>
              <w:left w:val="nil"/>
              <w:bottom w:val="single" w:sz="4" w:space="0" w:color="auto"/>
              <w:right w:val="single" w:sz="4" w:space="0" w:color="auto"/>
            </w:tcBorders>
            <w:shd w:val="clear" w:color="auto" w:fill="auto"/>
            <w:noWrap/>
            <w:vAlign w:val="bottom"/>
            <w:hideMark/>
          </w:tcPr>
          <w:p w14:paraId="7553ECAF"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863 </w:t>
            </w:r>
          </w:p>
        </w:tc>
      </w:tr>
      <w:tr w:rsidR="00C3310F" w:rsidRPr="00C3310F" w14:paraId="52256B95" w14:textId="77777777" w:rsidTr="007441B4">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6F40903B" w14:textId="3F6DAF34" w:rsidR="000B1C3C" w:rsidRPr="00C3310F" w:rsidRDefault="000B1C3C" w:rsidP="000B1C3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台</w:t>
            </w:r>
            <w:r w:rsidR="00CB5482" w:rsidRPr="00C3310F">
              <w:rPr>
                <w:rFonts w:hAnsi="標楷體" w:cs="新細明體" w:hint="eastAsia"/>
                <w:kern w:val="0"/>
                <w:sz w:val="24"/>
                <w:szCs w:val="24"/>
              </w:rPr>
              <w:t>○</w:t>
            </w:r>
            <w:r w:rsidRPr="00C3310F">
              <w:rPr>
                <w:rFonts w:hAnsi="標楷體" w:cs="新細明體" w:hint="eastAsia"/>
                <w:kern w:val="0"/>
                <w:sz w:val="24"/>
                <w:szCs w:val="24"/>
              </w:rPr>
              <w:t xml:space="preserve">商銀                </w:t>
            </w:r>
          </w:p>
        </w:tc>
        <w:tc>
          <w:tcPr>
            <w:tcW w:w="850" w:type="dxa"/>
            <w:tcBorders>
              <w:top w:val="nil"/>
              <w:left w:val="nil"/>
              <w:bottom w:val="single" w:sz="4" w:space="0" w:color="auto"/>
              <w:right w:val="single" w:sz="4" w:space="0" w:color="auto"/>
            </w:tcBorders>
            <w:shd w:val="clear" w:color="auto" w:fill="auto"/>
            <w:noWrap/>
            <w:vAlign w:val="bottom"/>
            <w:hideMark/>
          </w:tcPr>
          <w:p w14:paraId="1AEA2983"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666 </w:t>
            </w:r>
          </w:p>
        </w:tc>
        <w:tc>
          <w:tcPr>
            <w:tcW w:w="851" w:type="dxa"/>
            <w:tcBorders>
              <w:top w:val="nil"/>
              <w:left w:val="nil"/>
              <w:bottom w:val="single" w:sz="4" w:space="0" w:color="auto"/>
              <w:right w:val="single" w:sz="4" w:space="0" w:color="auto"/>
            </w:tcBorders>
            <w:shd w:val="clear" w:color="auto" w:fill="auto"/>
            <w:noWrap/>
            <w:vAlign w:val="bottom"/>
            <w:hideMark/>
          </w:tcPr>
          <w:p w14:paraId="244746A8"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742 </w:t>
            </w:r>
          </w:p>
        </w:tc>
        <w:tc>
          <w:tcPr>
            <w:tcW w:w="850" w:type="dxa"/>
            <w:tcBorders>
              <w:top w:val="nil"/>
              <w:left w:val="nil"/>
              <w:bottom w:val="single" w:sz="4" w:space="0" w:color="auto"/>
              <w:right w:val="single" w:sz="4" w:space="0" w:color="auto"/>
            </w:tcBorders>
            <w:shd w:val="clear" w:color="auto" w:fill="auto"/>
            <w:noWrap/>
            <w:vAlign w:val="bottom"/>
            <w:hideMark/>
          </w:tcPr>
          <w:p w14:paraId="5D6E5A1F"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796 </w:t>
            </w:r>
          </w:p>
        </w:tc>
        <w:tc>
          <w:tcPr>
            <w:tcW w:w="851" w:type="dxa"/>
            <w:tcBorders>
              <w:top w:val="nil"/>
              <w:left w:val="nil"/>
              <w:bottom w:val="single" w:sz="4" w:space="0" w:color="auto"/>
              <w:right w:val="single" w:sz="4" w:space="0" w:color="auto"/>
            </w:tcBorders>
            <w:shd w:val="clear" w:color="auto" w:fill="auto"/>
            <w:noWrap/>
            <w:vAlign w:val="bottom"/>
            <w:hideMark/>
          </w:tcPr>
          <w:p w14:paraId="6D842EDA"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863 </w:t>
            </w:r>
          </w:p>
        </w:tc>
        <w:tc>
          <w:tcPr>
            <w:tcW w:w="850" w:type="dxa"/>
            <w:tcBorders>
              <w:top w:val="nil"/>
              <w:left w:val="nil"/>
              <w:bottom w:val="single" w:sz="4" w:space="0" w:color="auto"/>
              <w:right w:val="single" w:sz="4" w:space="0" w:color="auto"/>
            </w:tcBorders>
            <w:shd w:val="clear" w:color="auto" w:fill="auto"/>
            <w:noWrap/>
            <w:vAlign w:val="bottom"/>
            <w:hideMark/>
          </w:tcPr>
          <w:p w14:paraId="03064800"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924 </w:t>
            </w:r>
          </w:p>
        </w:tc>
        <w:tc>
          <w:tcPr>
            <w:tcW w:w="897" w:type="dxa"/>
            <w:tcBorders>
              <w:top w:val="nil"/>
              <w:left w:val="nil"/>
              <w:bottom w:val="single" w:sz="4" w:space="0" w:color="auto"/>
              <w:right w:val="single" w:sz="4" w:space="0" w:color="auto"/>
            </w:tcBorders>
            <w:shd w:val="clear" w:color="auto" w:fill="auto"/>
            <w:noWrap/>
            <w:vAlign w:val="bottom"/>
            <w:hideMark/>
          </w:tcPr>
          <w:p w14:paraId="2304E392"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1,032 </w:t>
            </w:r>
          </w:p>
        </w:tc>
        <w:tc>
          <w:tcPr>
            <w:tcW w:w="897" w:type="dxa"/>
            <w:tcBorders>
              <w:top w:val="nil"/>
              <w:left w:val="nil"/>
              <w:bottom w:val="single" w:sz="4" w:space="0" w:color="auto"/>
              <w:right w:val="single" w:sz="4" w:space="0" w:color="auto"/>
            </w:tcBorders>
            <w:shd w:val="clear" w:color="auto" w:fill="auto"/>
            <w:noWrap/>
            <w:vAlign w:val="bottom"/>
            <w:hideMark/>
          </w:tcPr>
          <w:p w14:paraId="0D9B1B08"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1,157 </w:t>
            </w:r>
          </w:p>
        </w:tc>
        <w:tc>
          <w:tcPr>
            <w:tcW w:w="897" w:type="dxa"/>
            <w:tcBorders>
              <w:top w:val="nil"/>
              <w:left w:val="nil"/>
              <w:bottom w:val="single" w:sz="4" w:space="0" w:color="auto"/>
              <w:right w:val="single" w:sz="4" w:space="0" w:color="auto"/>
            </w:tcBorders>
            <w:shd w:val="clear" w:color="auto" w:fill="auto"/>
            <w:noWrap/>
            <w:vAlign w:val="bottom"/>
            <w:hideMark/>
          </w:tcPr>
          <w:p w14:paraId="1268B4DC"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1,295 </w:t>
            </w:r>
          </w:p>
        </w:tc>
        <w:tc>
          <w:tcPr>
            <w:tcW w:w="897" w:type="dxa"/>
            <w:tcBorders>
              <w:top w:val="nil"/>
              <w:left w:val="nil"/>
              <w:bottom w:val="single" w:sz="4" w:space="0" w:color="auto"/>
              <w:right w:val="single" w:sz="4" w:space="0" w:color="auto"/>
            </w:tcBorders>
            <w:shd w:val="clear" w:color="auto" w:fill="auto"/>
            <w:noWrap/>
            <w:vAlign w:val="bottom"/>
            <w:hideMark/>
          </w:tcPr>
          <w:p w14:paraId="55EF232D"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1,427 </w:t>
            </w:r>
          </w:p>
        </w:tc>
      </w:tr>
      <w:tr w:rsidR="00C3310F" w:rsidRPr="00C3310F" w14:paraId="08BB7F7C" w14:textId="77777777" w:rsidTr="007441B4">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009D2519" w14:textId="57B9D07B" w:rsidR="000B1C3C" w:rsidRPr="00C3310F" w:rsidRDefault="000B1C3C" w:rsidP="000B1C3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京</w:t>
            </w:r>
            <w:r w:rsidR="00CB5482" w:rsidRPr="00C3310F">
              <w:rPr>
                <w:rFonts w:hAnsi="標楷體" w:cs="新細明體" w:hint="eastAsia"/>
                <w:kern w:val="0"/>
                <w:sz w:val="24"/>
                <w:szCs w:val="24"/>
              </w:rPr>
              <w:t>○</w:t>
            </w:r>
            <w:r w:rsidRPr="00C3310F">
              <w:rPr>
                <w:rFonts w:hAnsi="標楷體" w:cs="新細明體" w:hint="eastAsia"/>
                <w:kern w:val="0"/>
                <w:sz w:val="24"/>
                <w:szCs w:val="24"/>
              </w:rPr>
              <w:t xml:space="preserve">商業銀行            </w:t>
            </w:r>
          </w:p>
        </w:tc>
        <w:tc>
          <w:tcPr>
            <w:tcW w:w="850" w:type="dxa"/>
            <w:tcBorders>
              <w:top w:val="nil"/>
              <w:left w:val="nil"/>
              <w:bottom w:val="single" w:sz="4" w:space="0" w:color="auto"/>
              <w:right w:val="single" w:sz="4" w:space="0" w:color="auto"/>
            </w:tcBorders>
            <w:shd w:val="clear" w:color="auto" w:fill="auto"/>
            <w:noWrap/>
            <w:vAlign w:val="bottom"/>
            <w:hideMark/>
          </w:tcPr>
          <w:p w14:paraId="27A4EE20"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269 </w:t>
            </w:r>
          </w:p>
        </w:tc>
        <w:tc>
          <w:tcPr>
            <w:tcW w:w="851" w:type="dxa"/>
            <w:tcBorders>
              <w:top w:val="nil"/>
              <w:left w:val="nil"/>
              <w:bottom w:val="single" w:sz="4" w:space="0" w:color="auto"/>
              <w:right w:val="single" w:sz="4" w:space="0" w:color="auto"/>
            </w:tcBorders>
            <w:shd w:val="clear" w:color="auto" w:fill="auto"/>
            <w:noWrap/>
            <w:vAlign w:val="bottom"/>
            <w:hideMark/>
          </w:tcPr>
          <w:p w14:paraId="7D500462"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285 </w:t>
            </w:r>
          </w:p>
        </w:tc>
        <w:tc>
          <w:tcPr>
            <w:tcW w:w="850" w:type="dxa"/>
            <w:tcBorders>
              <w:top w:val="nil"/>
              <w:left w:val="nil"/>
              <w:bottom w:val="single" w:sz="4" w:space="0" w:color="auto"/>
              <w:right w:val="single" w:sz="4" w:space="0" w:color="auto"/>
            </w:tcBorders>
            <w:shd w:val="clear" w:color="auto" w:fill="auto"/>
            <w:noWrap/>
            <w:vAlign w:val="bottom"/>
            <w:hideMark/>
          </w:tcPr>
          <w:p w14:paraId="01C5293E"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298 </w:t>
            </w:r>
          </w:p>
        </w:tc>
        <w:tc>
          <w:tcPr>
            <w:tcW w:w="851" w:type="dxa"/>
            <w:tcBorders>
              <w:top w:val="nil"/>
              <w:left w:val="nil"/>
              <w:bottom w:val="single" w:sz="4" w:space="0" w:color="auto"/>
              <w:right w:val="single" w:sz="4" w:space="0" w:color="auto"/>
            </w:tcBorders>
            <w:shd w:val="clear" w:color="auto" w:fill="auto"/>
            <w:noWrap/>
            <w:vAlign w:val="bottom"/>
            <w:hideMark/>
          </w:tcPr>
          <w:p w14:paraId="03CBCE2C"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314 </w:t>
            </w:r>
          </w:p>
        </w:tc>
        <w:tc>
          <w:tcPr>
            <w:tcW w:w="850" w:type="dxa"/>
            <w:tcBorders>
              <w:top w:val="nil"/>
              <w:left w:val="nil"/>
              <w:bottom w:val="single" w:sz="4" w:space="0" w:color="auto"/>
              <w:right w:val="single" w:sz="4" w:space="0" w:color="auto"/>
            </w:tcBorders>
            <w:shd w:val="clear" w:color="auto" w:fill="auto"/>
            <w:noWrap/>
            <w:vAlign w:val="bottom"/>
            <w:hideMark/>
          </w:tcPr>
          <w:p w14:paraId="3CB12CA1"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342 </w:t>
            </w:r>
          </w:p>
        </w:tc>
        <w:tc>
          <w:tcPr>
            <w:tcW w:w="897" w:type="dxa"/>
            <w:tcBorders>
              <w:top w:val="nil"/>
              <w:left w:val="nil"/>
              <w:bottom w:val="single" w:sz="4" w:space="0" w:color="auto"/>
              <w:right w:val="single" w:sz="4" w:space="0" w:color="auto"/>
            </w:tcBorders>
            <w:shd w:val="clear" w:color="auto" w:fill="auto"/>
            <w:noWrap/>
            <w:vAlign w:val="bottom"/>
            <w:hideMark/>
          </w:tcPr>
          <w:p w14:paraId="7409E143"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404 </w:t>
            </w:r>
          </w:p>
        </w:tc>
        <w:tc>
          <w:tcPr>
            <w:tcW w:w="897" w:type="dxa"/>
            <w:tcBorders>
              <w:top w:val="nil"/>
              <w:left w:val="nil"/>
              <w:bottom w:val="single" w:sz="4" w:space="0" w:color="auto"/>
              <w:right w:val="single" w:sz="4" w:space="0" w:color="auto"/>
            </w:tcBorders>
            <w:shd w:val="clear" w:color="auto" w:fill="auto"/>
            <w:noWrap/>
            <w:vAlign w:val="bottom"/>
            <w:hideMark/>
          </w:tcPr>
          <w:p w14:paraId="3A13AE84"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445 </w:t>
            </w:r>
          </w:p>
        </w:tc>
        <w:tc>
          <w:tcPr>
            <w:tcW w:w="897" w:type="dxa"/>
            <w:tcBorders>
              <w:top w:val="nil"/>
              <w:left w:val="nil"/>
              <w:bottom w:val="single" w:sz="4" w:space="0" w:color="auto"/>
              <w:right w:val="single" w:sz="4" w:space="0" w:color="auto"/>
            </w:tcBorders>
            <w:shd w:val="clear" w:color="auto" w:fill="auto"/>
            <w:noWrap/>
            <w:vAlign w:val="bottom"/>
            <w:hideMark/>
          </w:tcPr>
          <w:p w14:paraId="201ADC71"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469 </w:t>
            </w:r>
          </w:p>
        </w:tc>
        <w:tc>
          <w:tcPr>
            <w:tcW w:w="897" w:type="dxa"/>
            <w:tcBorders>
              <w:top w:val="nil"/>
              <w:left w:val="nil"/>
              <w:bottom w:val="single" w:sz="4" w:space="0" w:color="auto"/>
              <w:right w:val="single" w:sz="4" w:space="0" w:color="auto"/>
            </w:tcBorders>
            <w:shd w:val="clear" w:color="auto" w:fill="auto"/>
            <w:noWrap/>
            <w:vAlign w:val="bottom"/>
            <w:hideMark/>
          </w:tcPr>
          <w:p w14:paraId="41879066"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508 </w:t>
            </w:r>
          </w:p>
        </w:tc>
      </w:tr>
      <w:tr w:rsidR="00C3310F" w:rsidRPr="00C3310F" w14:paraId="078C7AC1" w14:textId="77777777" w:rsidTr="007441B4">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1C167724" w14:textId="5882EB48" w:rsidR="000B1C3C" w:rsidRPr="00C3310F" w:rsidRDefault="000B1C3C" w:rsidP="000B1C3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匯</w:t>
            </w:r>
            <w:r w:rsidR="00CB5482" w:rsidRPr="00C3310F">
              <w:rPr>
                <w:rFonts w:hAnsi="標楷體" w:cs="新細明體" w:hint="eastAsia"/>
                <w:kern w:val="0"/>
                <w:sz w:val="24"/>
                <w:szCs w:val="24"/>
              </w:rPr>
              <w:t>○</w:t>
            </w:r>
            <w:r w:rsidRPr="00C3310F">
              <w:rPr>
                <w:rFonts w:hAnsi="標楷體" w:cs="新細明體" w:hint="eastAsia"/>
                <w:kern w:val="0"/>
                <w:sz w:val="24"/>
                <w:szCs w:val="24"/>
              </w:rPr>
              <w:t xml:space="preserve">（台灣）商業銀行    </w:t>
            </w:r>
          </w:p>
        </w:tc>
        <w:tc>
          <w:tcPr>
            <w:tcW w:w="850" w:type="dxa"/>
            <w:tcBorders>
              <w:top w:val="nil"/>
              <w:left w:val="nil"/>
              <w:bottom w:val="single" w:sz="4" w:space="0" w:color="auto"/>
              <w:right w:val="single" w:sz="4" w:space="0" w:color="auto"/>
            </w:tcBorders>
            <w:shd w:val="clear" w:color="auto" w:fill="auto"/>
            <w:noWrap/>
            <w:vAlign w:val="bottom"/>
            <w:hideMark/>
          </w:tcPr>
          <w:p w14:paraId="24E5514F"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19 </w:t>
            </w:r>
          </w:p>
        </w:tc>
        <w:tc>
          <w:tcPr>
            <w:tcW w:w="851" w:type="dxa"/>
            <w:tcBorders>
              <w:top w:val="nil"/>
              <w:left w:val="nil"/>
              <w:bottom w:val="single" w:sz="4" w:space="0" w:color="auto"/>
              <w:right w:val="single" w:sz="4" w:space="0" w:color="auto"/>
            </w:tcBorders>
            <w:shd w:val="clear" w:color="auto" w:fill="auto"/>
            <w:noWrap/>
            <w:vAlign w:val="bottom"/>
            <w:hideMark/>
          </w:tcPr>
          <w:p w14:paraId="0C6D0424"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24 </w:t>
            </w:r>
          </w:p>
        </w:tc>
        <w:tc>
          <w:tcPr>
            <w:tcW w:w="850" w:type="dxa"/>
            <w:tcBorders>
              <w:top w:val="nil"/>
              <w:left w:val="nil"/>
              <w:bottom w:val="single" w:sz="4" w:space="0" w:color="auto"/>
              <w:right w:val="single" w:sz="4" w:space="0" w:color="auto"/>
            </w:tcBorders>
            <w:shd w:val="clear" w:color="auto" w:fill="auto"/>
            <w:noWrap/>
            <w:vAlign w:val="bottom"/>
            <w:hideMark/>
          </w:tcPr>
          <w:p w14:paraId="4D4494A5"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26 </w:t>
            </w:r>
          </w:p>
        </w:tc>
        <w:tc>
          <w:tcPr>
            <w:tcW w:w="851" w:type="dxa"/>
            <w:tcBorders>
              <w:top w:val="nil"/>
              <w:left w:val="nil"/>
              <w:bottom w:val="single" w:sz="4" w:space="0" w:color="auto"/>
              <w:right w:val="single" w:sz="4" w:space="0" w:color="auto"/>
            </w:tcBorders>
            <w:shd w:val="clear" w:color="auto" w:fill="auto"/>
            <w:noWrap/>
            <w:vAlign w:val="bottom"/>
            <w:hideMark/>
          </w:tcPr>
          <w:p w14:paraId="5B07674A"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34 </w:t>
            </w:r>
          </w:p>
        </w:tc>
        <w:tc>
          <w:tcPr>
            <w:tcW w:w="850" w:type="dxa"/>
            <w:tcBorders>
              <w:top w:val="nil"/>
              <w:left w:val="nil"/>
              <w:bottom w:val="single" w:sz="4" w:space="0" w:color="auto"/>
              <w:right w:val="single" w:sz="4" w:space="0" w:color="auto"/>
            </w:tcBorders>
            <w:shd w:val="clear" w:color="auto" w:fill="auto"/>
            <w:noWrap/>
            <w:vAlign w:val="bottom"/>
            <w:hideMark/>
          </w:tcPr>
          <w:p w14:paraId="46126A8F"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46 </w:t>
            </w:r>
          </w:p>
        </w:tc>
        <w:tc>
          <w:tcPr>
            <w:tcW w:w="897" w:type="dxa"/>
            <w:tcBorders>
              <w:top w:val="nil"/>
              <w:left w:val="nil"/>
              <w:bottom w:val="single" w:sz="4" w:space="0" w:color="auto"/>
              <w:right w:val="single" w:sz="4" w:space="0" w:color="auto"/>
            </w:tcBorders>
            <w:shd w:val="clear" w:color="auto" w:fill="auto"/>
            <w:noWrap/>
            <w:vAlign w:val="bottom"/>
            <w:hideMark/>
          </w:tcPr>
          <w:p w14:paraId="4B8EC046"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61 </w:t>
            </w:r>
          </w:p>
        </w:tc>
        <w:tc>
          <w:tcPr>
            <w:tcW w:w="897" w:type="dxa"/>
            <w:tcBorders>
              <w:top w:val="nil"/>
              <w:left w:val="nil"/>
              <w:bottom w:val="single" w:sz="4" w:space="0" w:color="auto"/>
              <w:right w:val="single" w:sz="4" w:space="0" w:color="auto"/>
            </w:tcBorders>
            <w:shd w:val="clear" w:color="auto" w:fill="auto"/>
            <w:noWrap/>
            <w:vAlign w:val="bottom"/>
            <w:hideMark/>
          </w:tcPr>
          <w:p w14:paraId="3E730C7B"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84 </w:t>
            </w:r>
          </w:p>
        </w:tc>
        <w:tc>
          <w:tcPr>
            <w:tcW w:w="897" w:type="dxa"/>
            <w:tcBorders>
              <w:top w:val="nil"/>
              <w:left w:val="nil"/>
              <w:bottom w:val="single" w:sz="4" w:space="0" w:color="auto"/>
              <w:right w:val="single" w:sz="4" w:space="0" w:color="auto"/>
            </w:tcBorders>
            <w:shd w:val="clear" w:color="auto" w:fill="auto"/>
            <w:noWrap/>
            <w:vAlign w:val="bottom"/>
            <w:hideMark/>
          </w:tcPr>
          <w:p w14:paraId="5EB2965C"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98 </w:t>
            </w:r>
          </w:p>
        </w:tc>
        <w:tc>
          <w:tcPr>
            <w:tcW w:w="897" w:type="dxa"/>
            <w:tcBorders>
              <w:top w:val="nil"/>
              <w:left w:val="nil"/>
              <w:bottom w:val="single" w:sz="4" w:space="0" w:color="auto"/>
              <w:right w:val="single" w:sz="4" w:space="0" w:color="auto"/>
            </w:tcBorders>
            <w:shd w:val="clear" w:color="auto" w:fill="auto"/>
            <w:noWrap/>
            <w:vAlign w:val="bottom"/>
            <w:hideMark/>
          </w:tcPr>
          <w:p w14:paraId="043F32CC"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123 </w:t>
            </w:r>
          </w:p>
        </w:tc>
      </w:tr>
      <w:tr w:rsidR="00C3310F" w:rsidRPr="00C3310F" w14:paraId="6BBD8D35" w14:textId="77777777" w:rsidTr="007441B4">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334DEBE5" w14:textId="7477D1F0" w:rsidR="000B1C3C" w:rsidRPr="00C3310F" w:rsidRDefault="000B1C3C" w:rsidP="000B1C3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瑞</w:t>
            </w:r>
            <w:r w:rsidR="00CB5482" w:rsidRPr="00C3310F">
              <w:rPr>
                <w:rFonts w:hAnsi="標楷體" w:cs="新細明體" w:hint="eastAsia"/>
                <w:kern w:val="0"/>
                <w:sz w:val="24"/>
                <w:szCs w:val="24"/>
              </w:rPr>
              <w:t>○</w:t>
            </w:r>
            <w:r w:rsidRPr="00C3310F">
              <w:rPr>
                <w:rFonts w:hAnsi="標楷體" w:cs="新細明體" w:hint="eastAsia"/>
                <w:kern w:val="0"/>
                <w:sz w:val="24"/>
                <w:szCs w:val="24"/>
              </w:rPr>
              <w:t xml:space="preserve">商銀                </w:t>
            </w:r>
          </w:p>
        </w:tc>
        <w:tc>
          <w:tcPr>
            <w:tcW w:w="850" w:type="dxa"/>
            <w:tcBorders>
              <w:top w:val="nil"/>
              <w:left w:val="nil"/>
              <w:bottom w:val="single" w:sz="4" w:space="0" w:color="auto"/>
              <w:right w:val="single" w:sz="4" w:space="0" w:color="auto"/>
            </w:tcBorders>
            <w:shd w:val="clear" w:color="auto" w:fill="auto"/>
            <w:noWrap/>
            <w:vAlign w:val="bottom"/>
            <w:hideMark/>
          </w:tcPr>
          <w:p w14:paraId="4F5F895B"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25 </w:t>
            </w:r>
          </w:p>
        </w:tc>
        <w:tc>
          <w:tcPr>
            <w:tcW w:w="851" w:type="dxa"/>
            <w:tcBorders>
              <w:top w:val="nil"/>
              <w:left w:val="nil"/>
              <w:bottom w:val="single" w:sz="4" w:space="0" w:color="auto"/>
              <w:right w:val="single" w:sz="4" w:space="0" w:color="auto"/>
            </w:tcBorders>
            <w:shd w:val="clear" w:color="auto" w:fill="auto"/>
            <w:noWrap/>
            <w:vAlign w:val="bottom"/>
            <w:hideMark/>
          </w:tcPr>
          <w:p w14:paraId="1F2547BF"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27 </w:t>
            </w:r>
          </w:p>
        </w:tc>
        <w:tc>
          <w:tcPr>
            <w:tcW w:w="850" w:type="dxa"/>
            <w:tcBorders>
              <w:top w:val="nil"/>
              <w:left w:val="nil"/>
              <w:bottom w:val="single" w:sz="4" w:space="0" w:color="auto"/>
              <w:right w:val="single" w:sz="4" w:space="0" w:color="auto"/>
            </w:tcBorders>
            <w:shd w:val="clear" w:color="auto" w:fill="auto"/>
            <w:noWrap/>
            <w:vAlign w:val="bottom"/>
            <w:hideMark/>
          </w:tcPr>
          <w:p w14:paraId="743E1C23"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28 </w:t>
            </w:r>
          </w:p>
        </w:tc>
        <w:tc>
          <w:tcPr>
            <w:tcW w:w="851" w:type="dxa"/>
            <w:tcBorders>
              <w:top w:val="nil"/>
              <w:left w:val="nil"/>
              <w:bottom w:val="single" w:sz="4" w:space="0" w:color="auto"/>
              <w:right w:val="single" w:sz="4" w:space="0" w:color="auto"/>
            </w:tcBorders>
            <w:shd w:val="clear" w:color="auto" w:fill="auto"/>
            <w:noWrap/>
            <w:vAlign w:val="bottom"/>
            <w:hideMark/>
          </w:tcPr>
          <w:p w14:paraId="0DCA5BEF"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28 </w:t>
            </w:r>
          </w:p>
        </w:tc>
        <w:tc>
          <w:tcPr>
            <w:tcW w:w="850" w:type="dxa"/>
            <w:tcBorders>
              <w:top w:val="nil"/>
              <w:left w:val="nil"/>
              <w:bottom w:val="single" w:sz="4" w:space="0" w:color="auto"/>
              <w:right w:val="single" w:sz="4" w:space="0" w:color="auto"/>
            </w:tcBorders>
            <w:shd w:val="clear" w:color="auto" w:fill="auto"/>
            <w:noWrap/>
            <w:vAlign w:val="bottom"/>
            <w:hideMark/>
          </w:tcPr>
          <w:p w14:paraId="2735A4FC"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26 </w:t>
            </w:r>
          </w:p>
        </w:tc>
        <w:tc>
          <w:tcPr>
            <w:tcW w:w="897" w:type="dxa"/>
            <w:tcBorders>
              <w:top w:val="nil"/>
              <w:left w:val="nil"/>
              <w:bottom w:val="single" w:sz="4" w:space="0" w:color="auto"/>
              <w:right w:val="single" w:sz="4" w:space="0" w:color="auto"/>
            </w:tcBorders>
            <w:shd w:val="clear" w:color="auto" w:fill="auto"/>
            <w:noWrap/>
            <w:vAlign w:val="bottom"/>
            <w:hideMark/>
          </w:tcPr>
          <w:p w14:paraId="5007241F"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27 </w:t>
            </w:r>
          </w:p>
        </w:tc>
        <w:tc>
          <w:tcPr>
            <w:tcW w:w="897" w:type="dxa"/>
            <w:tcBorders>
              <w:top w:val="nil"/>
              <w:left w:val="nil"/>
              <w:bottom w:val="single" w:sz="4" w:space="0" w:color="auto"/>
              <w:right w:val="single" w:sz="4" w:space="0" w:color="auto"/>
            </w:tcBorders>
            <w:shd w:val="clear" w:color="auto" w:fill="auto"/>
            <w:noWrap/>
            <w:vAlign w:val="bottom"/>
            <w:hideMark/>
          </w:tcPr>
          <w:p w14:paraId="3D01AB87"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27 </w:t>
            </w:r>
          </w:p>
        </w:tc>
        <w:tc>
          <w:tcPr>
            <w:tcW w:w="897" w:type="dxa"/>
            <w:tcBorders>
              <w:top w:val="nil"/>
              <w:left w:val="nil"/>
              <w:bottom w:val="single" w:sz="4" w:space="0" w:color="auto"/>
              <w:right w:val="single" w:sz="4" w:space="0" w:color="auto"/>
            </w:tcBorders>
            <w:shd w:val="clear" w:color="auto" w:fill="auto"/>
            <w:noWrap/>
            <w:vAlign w:val="bottom"/>
            <w:hideMark/>
          </w:tcPr>
          <w:p w14:paraId="041E33F6"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32 </w:t>
            </w:r>
          </w:p>
        </w:tc>
        <w:tc>
          <w:tcPr>
            <w:tcW w:w="897" w:type="dxa"/>
            <w:tcBorders>
              <w:top w:val="nil"/>
              <w:left w:val="nil"/>
              <w:bottom w:val="single" w:sz="4" w:space="0" w:color="auto"/>
              <w:right w:val="single" w:sz="4" w:space="0" w:color="auto"/>
            </w:tcBorders>
            <w:shd w:val="clear" w:color="auto" w:fill="auto"/>
            <w:noWrap/>
            <w:vAlign w:val="bottom"/>
            <w:hideMark/>
          </w:tcPr>
          <w:p w14:paraId="15BC16A6"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34 </w:t>
            </w:r>
          </w:p>
        </w:tc>
      </w:tr>
      <w:tr w:rsidR="00C3310F" w:rsidRPr="00C3310F" w14:paraId="64C9B90B" w14:textId="77777777" w:rsidTr="007441B4">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61DF1F37" w14:textId="15DBAE7E" w:rsidR="000B1C3C" w:rsidRPr="00C3310F" w:rsidRDefault="000B1C3C" w:rsidP="000B1C3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華</w:t>
            </w:r>
            <w:r w:rsidR="00CB5482" w:rsidRPr="00C3310F">
              <w:rPr>
                <w:rFonts w:hAnsi="標楷體" w:cs="新細明體" w:hint="eastAsia"/>
                <w:kern w:val="0"/>
                <w:sz w:val="24"/>
                <w:szCs w:val="24"/>
              </w:rPr>
              <w:t>○</w:t>
            </w:r>
            <w:r w:rsidRPr="00C3310F">
              <w:rPr>
                <w:rFonts w:hAnsi="標楷體" w:cs="新細明體" w:hint="eastAsia"/>
                <w:kern w:val="0"/>
                <w:sz w:val="24"/>
                <w:szCs w:val="24"/>
              </w:rPr>
              <w:t xml:space="preserve">銀行                </w:t>
            </w:r>
          </w:p>
        </w:tc>
        <w:tc>
          <w:tcPr>
            <w:tcW w:w="850" w:type="dxa"/>
            <w:tcBorders>
              <w:top w:val="nil"/>
              <w:left w:val="nil"/>
              <w:bottom w:val="single" w:sz="4" w:space="0" w:color="auto"/>
              <w:right w:val="single" w:sz="4" w:space="0" w:color="auto"/>
            </w:tcBorders>
            <w:shd w:val="clear" w:color="auto" w:fill="auto"/>
            <w:noWrap/>
            <w:vAlign w:val="bottom"/>
            <w:hideMark/>
          </w:tcPr>
          <w:p w14:paraId="47BD6FA6"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79 </w:t>
            </w:r>
          </w:p>
        </w:tc>
        <w:tc>
          <w:tcPr>
            <w:tcW w:w="851" w:type="dxa"/>
            <w:tcBorders>
              <w:top w:val="nil"/>
              <w:left w:val="nil"/>
              <w:bottom w:val="single" w:sz="4" w:space="0" w:color="auto"/>
              <w:right w:val="single" w:sz="4" w:space="0" w:color="auto"/>
            </w:tcBorders>
            <w:shd w:val="clear" w:color="auto" w:fill="auto"/>
            <w:noWrap/>
            <w:vAlign w:val="bottom"/>
            <w:hideMark/>
          </w:tcPr>
          <w:p w14:paraId="49711802"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89 </w:t>
            </w:r>
          </w:p>
        </w:tc>
        <w:tc>
          <w:tcPr>
            <w:tcW w:w="850" w:type="dxa"/>
            <w:tcBorders>
              <w:top w:val="nil"/>
              <w:left w:val="nil"/>
              <w:bottom w:val="single" w:sz="4" w:space="0" w:color="auto"/>
              <w:right w:val="single" w:sz="4" w:space="0" w:color="auto"/>
            </w:tcBorders>
            <w:shd w:val="clear" w:color="auto" w:fill="auto"/>
            <w:noWrap/>
            <w:vAlign w:val="bottom"/>
            <w:hideMark/>
          </w:tcPr>
          <w:p w14:paraId="12B2E35D"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86 </w:t>
            </w:r>
          </w:p>
        </w:tc>
        <w:tc>
          <w:tcPr>
            <w:tcW w:w="851" w:type="dxa"/>
            <w:tcBorders>
              <w:top w:val="nil"/>
              <w:left w:val="nil"/>
              <w:bottom w:val="single" w:sz="4" w:space="0" w:color="auto"/>
              <w:right w:val="single" w:sz="4" w:space="0" w:color="auto"/>
            </w:tcBorders>
            <w:shd w:val="clear" w:color="auto" w:fill="auto"/>
            <w:noWrap/>
            <w:vAlign w:val="bottom"/>
            <w:hideMark/>
          </w:tcPr>
          <w:p w14:paraId="73C92A11"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100 </w:t>
            </w:r>
          </w:p>
        </w:tc>
        <w:tc>
          <w:tcPr>
            <w:tcW w:w="850" w:type="dxa"/>
            <w:tcBorders>
              <w:top w:val="nil"/>
              <w:left w:val="nil"/>
              <w:bottom w:val="single" w:sz="4" w:space="0" w:color="auto"/>
              <w:right w:val="single" w:sz="4" w:space="0" w:color="auto"/>
            </w:tcBorders>
            <w:shd w:val="clear" w:color="auto" w:fill="auto"/>
            <w:noWrap/>
            <w:vAlign w:val="bottom"/>
            <w:hideMark/>
          </w:tcPr>
          <w:p w14:paraId="075FD2BA"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104 </w:t>
            </w:r>
          </w:p>
        </w:tc>
        <w:tc>
          <w:tcPr>
            <w:tcW w:w="897" w:type="dxa"/>
            <w:tcBorders>
              <w:top w:val="nil"/>
              <w:left w:val="nil"/>
              <w:bottom w:val="single" w:sz="4" w:space="0" w:color="auto"/>
              <w:right w:val="single" w:sz="4" w:space="0" w:color="auto"/>
            </w:tcBorders>
            <w:shd w:val="clear" w:color="auto" w:fill="auto"/>
            <w:noWrap/>
            <w:vAlign w:val="bottom"/>
            <w:hideMark/>
          </w:tcPr>
          <w:p w14:paraId="0223E97D"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108 </w:t>
            </w:r>
          </w:p>
        </w:tc>
        <w:tc>
          <w:tcPr>
            <w:tcW w:w="897" w:type="dxa"/>
            <w:tcBorders>
              <w:top w:val="nil"/>
              <w:left w:val="nil"/>
              <w:bottom w:val="single" w:sz="4" w:space="0" w:color="auto"/>
              <w:right w:val="single" w:sz="4" w:space="0" w:color="auto"/>
            </w:tcBorders>
            <w:shd w:val="clear" w:color="auto" w:fill="auto"/>
            <w:noWrap/>
            <w:vAlign w:val="bottom"/>
            <w:hideMark/>
          </w:tcPr>
          <w:p w14:paraId="36C11190"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122 </w:t>
            </w:r>
          </w:p>
        </w:tc>
        <w:tc>
          <w:tcPr>
            <w:tcW w:w="897" w:type="dxa"/>
            <w:tcBorders>
              <w:top w:val="nil"/>
              <w:left w:val="nil"/>
              <w:bottom w:val="single" w:sz="4" w:space="0" w:color="auto"/>
              <w:right w:val="single" w:sz="4" w:space="0" w:color="auto"/>
            </w:tcBorders>
            <w:shd w:val="clear" w:color="auto" w:fill="auto"/>
            <w:noWrap/>
            <w:vAlign w:val="bottom"/>
            <w:hideMark/>
          </w:tcPr>
          <w:p w14:paraId="27CBA126"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126 </w:t>
            </w:r>
          </w:p>
        </w:tc>
        <w:tc>
          <w:tcPr>
            <w:tcW w:w="897" w:type="dxa"/>
            <w:tcBorders>
              <w:top w:val="nil"/>
              <w:left w:val="nil"/>
              <w:bottom w:val="single" w:sz="4" w:space="0" w:color="auto"/>
              <w:right w:val="single" w:sz="4" w:space="0" w:color="auto"/>
            </w:tcBorders>
            <w:shd w:val="clear" w:color="auto" w:fill="auto"/>
            <w:noWrap/>
            <w:vAlign w:val="bottom"/>
            <w:hideMark/>
          </w:tcPr>
          <w:p w14:paraId="49F2057F"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131 </w:t>
            </w:r>
          </w:p>
        </w:tc>
      </w:tr>
      <w:tr w:rsidR="00C3310F" w:rsidRPr="00C3310F" w14:paraId="260FDD17" w14:textId="77777777" w:rsidTr="007441B4">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29CCC805" w14:textId="536527FA" w:rsidR="000B1C3C" w:rsidRPr="00C3310F" w:rsidRDefault="000B1C3C" w:rsidP="000B1C3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臺灣新</w:t>
            </w:r>
            <w:r w:rsidR="00CB5482" w:rsidRPr="00C3310F">
              <w:rPr>
                <w:rFonts w:hAnsi="標楷體" w:cs="新細明體" w:hint="eastAsia"/>
                <w:kern w:val="0"/>
                <w:sz w:val="24"/>
                <w:szCs w:val="24"/>
              </w:rPr>
              <w:t>○</w:t>
            </w:r>
            <w:r w:rsidRPr="00C3310F">
              <w:rPr>
                <w:rFonts w:hAnsi="標楷體" w:cs="新細明體" w:hint="eastAsia"/>
                <w:kern w:val="0"/>
                <w:sz w:val="24"/>
                <w:szCs w:val="24"/>
              </w:rPr>
              <w:t xml:space="preserve">商業銀行        </w:t>
            </w:r>
          </w:p>
        </w:tc>
        <w:tc>
          <w:tcPr>
            <w:tcW w:w="850" w:type="dxa"/>
            <w:tcBorders>
              <w:top w:val="nil"/>
              <w:left w:val="nil"/>
              <w:bottom w:val="single" w:sz="4" w:space="0" w:color="auto"/>
              <w:right w:val="single" w:sz="4" w:space="0" w:color="auto"/>
            </w:tcBorders>
            <w:shd w:val="clear" w:color="auto" w:fill="auto"/>
            <w:noWrap/>
            <w:vAlign w:val="bottom"/>
            <w:hideMark/>
          </w:tcPr>
          <w:p w14:paraId="3022264F"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931 </w:t>
            </w:r>
          </w:p>
        </w:tc>
        <w:tc>
          <w:tcPr>
            <w:tcW w:w="851" w:type="dxa"/>
            <w:tcBorders>
              <w:top w:val="nil"/>
              <w:left w:val="nil"/>
              <w:bottom w:val="single" w:sz="4" w:space="0" w:color="auto"/>
              <w:right w:val="single" w:sz="4" w:space="0" w:color="auto"/>
            </w:tcBorders>
            <w:shd w:val="clear" w:color="auto" w:fill="auto"/>
            <w:noWrap/>
            <w:vAlign w:val="bottom"/>
            <w:hideMark/>
          </w:tcPr>
          <w:p w14:paraId="29246AE9"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1,007 </w:t>
            </w:r>
          </w:p>
        </w:tc>
        <w:tc>
          <w:tcPr>
            <w:tcW w:w="850" w:type="dxa"/>
            <w:tcBorders>
              <w:top w:val="nil"/>
              <w:left w:val="nil"/>
              <w:bottom w:val="single" w:sz="4" w:space="0" w:color="auto"/>
              <w:right w:val="single" w:sz="4" w:space="0" w:color="auto"/>
            </w:tcBorders>
            <w:shd w:val="clear" w:color="auto" w:fill="auto"/>
            <w:noWrap/>
            <w:vAlign w:val="bottom"/>
            <w:hideMark/>
          </w:tcPr>
          <w:p w14:paraId="752627AF"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1,042 </w:t>
            </w:r>
          </w:p>
        </w:tc>
        <w:tc>
          <w:tcPr>
            <w:tcW w:w="851" w:type="dxa"/>
            <w:tcBorders>
              <w:top w:val="nil"/>
              <w:left w:val="nil"/>
              <w:bottom w:val="single" w:sz="4" w:space="0" w:color="auto"/>
              <w:right w:val="single" w:sz="4" w:space="0" w:color="auto"/>
            </w:tcBorders>
            <w:shd w:val="clear" w:color="auto" w:fill="auto"/>
            <w:noWrap/>
            <w:vAlign w:val="bottom"/>
            <w:hideMark/>
          </w:tcPr>
          <w:p w14:paraId="53CD69DF"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1,141 </w:t>
            </w:r>
          </w:p>
        </w:tc>
        <w:tc>
          <w:tcPr>
            <w:tcW w:w="850" w:type="dxa"/>
            <w:tcBorders>
              <w:top w:val="nil"/>
              <w:left w:val="nil"/>
              <w:bottom w:val="single" w:sz="4" w:space="0" w:color="auto"/>
              <w:right w:val="single" w:sz="4" w:space="0" w:color="auto"/>
            </w:tcBorders>
            <w:shd w:val="clear" w:color="auto" w:fill="auto"/>
            <w:noWrap/>
            <w:vAlign w:val="bottom"/>
            <w:hideMark/>
          </w:tcPr>
          <w:p w14:paraId="0A636F40"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1,190 </w:t>
            </w:r>
          </w:p>
        </w:tc>
        <w:tc>
          <w:tcPr>
            <w:tcW w:w="897" w:type="dxa"/>
            <w:tcBorders>
              <w:top w:val="nil"/>
              <w:left w:val="nil"/>
              <w:bottom w:val="single" w:sz="4" w:space="0" w:color="auto"/>
              <w:right w:val="single" w:sz="4" w:space="0" w:color="auto"/>
            </w:tcBorders>
            <w:shd w:val="clear" w:color="auto" w:fill="auto"/>
            <w:noWrap/>
            <w:vAlign w:val="bottom"/>
            <w:hideMark/>
          </w:tcPr>
          <w:p w14:paraId="23AF988F"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1,316 </w:t>
            </w:r>
          </w:p>
        </w:tc>
        <w:tc>
          <w:tcPr>
            <w:tcW w:w="897" w:type="dxa"/>
            <w:tcBorders>
              <w:top w:val="nil"/>
              <w:left w:val="nil"/>
              <w:bottom w:val="single" w:sz="4" w:space="0" w:color="auto"/>
              <w:right w:val="single" w:sz="4" w:space="0" w:color="auto"/>
            </w:tcBorders>
            <w:shd w:val="clear" w:color="auto" w:fill="auto"/>
            <w:noWrap/>
            <w:vAlign w:val="bottom"/>
            <w:hideMark/>
          </w:tcPr>
          <w:p w14:paraId="227C632B"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1,413 </w:t>
            </w:r>
          </w:p>
        </w:tc>
        <w:tc>
          <w:tcPr>
            <w:tcW w:w="897" w:type="dxa"/>
            <w:tcBorders>
              <w:top w:val="nil"/>
              <w:left w:val="nil"/>
              <w:bottom w:val="single" w:sz="4" w:space="0" w:color="auto"/>
              <w:right w:val="single" w:sz="4" w:space="0" w:color="auto"/>
            </w:tcBorders>
            <w:shd w:val="clear" w:color="auto" w:fill="auto"/>
            <w:noWrap/>
            <w:vAlign w:val="bottom"/>
            <w:hideMark/>
          </w:tcPr>
          <w:p w14:paraId="18F52B76"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1,534 </w:t>
            </w:r>
          </w:p>
        </w:tc>
        <w:tc>
          <w:tcPr>
            <w:tcW w:w="897" w:type="dxa"/>
            <w:tcBorders>
              <w:top w:val="nil"/>
              <w:left w:val="nil"/>
              <w:bottom w:val="single" w:sz="4" w:space="0" w:color="auto"/>
              <w:right w:val="single" w:sz="4" w:space="0" w:color="auto"/>
            </w:tcBorders>
            <w:shd w:val="clear" w:color="auto" w:fill="auto"/>
            <w:noWrap/>
            <w:vAlign w:val="bottom"/>
            <w:hideMark/>
          </w:tcPr>
          <w:p w14:paraId="1091023F"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1,583 </w:t>
            </w:r>
          </w:p>
        </w:tc>
      </w:tr>
      <w:tr w:rsidR="00C3310F" w:rsidRPr="00C3310F" w14:paraId="0BE13B2F" w14:textId="77777777" w:rsidTr="007441B4">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49A189A8" w14:textId="382195EF" w:rsidR="000B1C3C" w:rsidRPr="00C3310F" w:rsidRDefault="000B1C3C" w:rsidP="000B1C3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陽</w:t>
            </w:r>
            <w:r w:rsidR="00CB5482" w:rsidRPr="00C3310F">
              <w:rPr>
                <w:rFonts w:hAnsi="標楷體" w:cs="新細明體" w:hint="eastAsia"/>
                <w:kern w:val="0"/>
                <w:sz w:val="24"/>
                <w:szCs w:val="24"/>
              </w:rPr>
              <w:t>○</w:t>
            </w:r>
            <w:r w:rsidRPr="00C3310F">
              <w:rPr>
                <w:rFonts w:hAnsi="標楷體" w:cs="新細明體" w:hint="eastAsia"/>
                <w:kern w:val="0"/>
                <w:sz w:val="24"/>
                <w:szCs w:val="24"/>
              </w:rPr>
              <w:t xml:space="preserve">銀行                </w:t>
            </w:r>
          </w:p>
        </w:tc>
        <w:tc>
          <w:tcPr>
            <w:tcW w:w="850" w:type="dxa"/>
            <w:tcBorders>
              <w:top w:val="nil"/>
              <w:left w:val="nil"/>
              <w:bottom w:val="single" w:sz="4" w:space="0" w:color="auto"/>
              <w:right w:val="single" w:sz="4" w:space="0" w:color="auto"/>
            </w:tcBorders>
            <w:shd w:val="clear" w:color="auto" w:fill="auto"/>
            <w:noWrap/>
            <w:vAlign w:val="bottom"/>
            <w:hideMark/>
          </w:tcPr>
          <w:p w14:paraId="552AC4C0"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319 </w:t>
            </w:r>
          </w:p>
        </w:tc>
        <w:tc>
          <w:tcPr>
            <w:tcW w:w="851" w:type="dxa"/>
            <w:tcBorders>
              <w:top w:val="nil"/>
              <w:left w:val="nil"/>
              <w:bottom w:val="single" w:sz="4" w:space="0" w:color="auto"/>
              <w:right w:val="single" w:sz="4" w:space="0" w:color="auto"/>
            </w:tcBorders>
            <w:shd w:val="clear" w:color="auto" w:fill="auto"/>
            <w:noWrap/>
            <w:vAlign w:val="bottom"/>
            <w:hideMark/>
          </w:tcPr>
          <w:p w14:paraId="64CAE7F8"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349 </w:t>
            </w:r>
          </w:p>
        </w:tc>
        <w:tc>
          <w:tcPr>
            <w:tcW w:w="850" w:type="dxa"/>
            <w:tcBorders>
              <w:top w:val="nil"/>
              <w:left w:val="nil"/>
              <w:bottom w:val="single" w:sz="4" w:space="0" w:color="auto"/>
              <w:right w:val="single" w:sz="4" w:space="0" w:color="auto"/>
            </w:tcBorders>
            <w:shd w:val="clear" w:color="auto" w:fill="auto"/>
            <w:noWrap/>
            <w:vAlign w:val="bottom"/>
            <w:hideMark/>
          </w:tcPr>
          <w:p w14:paraId="5731F659"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366 </w:t>
            </w:r>
          </w:p>
        </w:tc>
        <w:tc>
          <w:tcPr>
            <w:tcW w:w="851" w:type="dxa"/>
            <w:tcBorders>
              <w:top w:val="nil"/>
              <w:left w:val="nil"/>
              <w:bottom w:val="single" w:sz="4" w:space="0" w:color="auto"/>
              <w:right w:val="single" w:sz="4" w:space="0" w:color="auto"/>
            </w:tcBorders>
            <w:shd w:val="clear" w:color="auto" w:fill="auto"/>
            <w:noWrap/>
            <w:vAlign w:val="bottom"/>
            <w:hideMark/>
          </w:tcPr>
          <w:p w14:paraId="32C4ABB2"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389 </w:t>
            </w:r>
          </w:p>
        </w:tc>
        <w:tc>
          <w:tcPr>
            <w:tcW w:w="850" w:type="dxa"/>
            <w:tcBorders>
              <w:top w:val="nil"/>
              <w:left w:val="nil"/>
              <w:bottom w:val="single" w:sz="4" w:space="0" w:color="auto"/>
              <w:right w:val="single" w:sz="4" w:space="0" w:color="auto"/>
            </w:tcBorders>
            <w:shd w:val="clear" w:color="auto" w:fill="auto"/>
            <w:noWrap/>
            <w:vAlign w:val="bottom"/>
            <w:hideMark/>
          </w:tcPr>
          <w:p w14:paraId="3DFB8CB4"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419 </w:t>
            </w:r>
          </w:p>
        </w:tc>
        <w:tc>
          <w:tcPr>
            <w:tcW w:w="897" w:type="dxa"/>
            <w:tcBorders>
              <w:top w:val="nil"/>
              <w:left w:val="nil"/>
              <w:bottom w:val="single" w:sz="4" w:space="0" w:color="auto"/>
              <w:right w:val="single" w:sz="4" w:space="0" w:color="auto"/>
            </w:tcBorders>
            <w:shd w:val="clear" w:color="auto" w:fill="auto"/>
            <w:noWrap/>
            <w:vAlign w:val="bottom"/>
            <w:hideMark/>
          </w:tcPr>
          <w:p w14:paraId="7651A257"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491 </w:t>
            </w:r>
          </w:p>
        </w:tc>
        <w:tc>
          <w:tcPr>
            <w:tcW w:w="897" w:type="dxa"/>
            <w:tcBorders>
              <w:top w:val="nil"/>
              <w:left w:val="nil"/>
              <w:bottom w:val="single" w:sz="4" w:space="0" w:color="auto"/>
              <w:right w:val="single" w:sz="4" w:space="0" w:color="auto"/>
            </w:tcBorders>
            <w:shd w:val="clear" w:color="auto" w:fill="auto"/>
            <w:noWrap/>
            <w:vAlign w:val="bottom"/>
            <w:hideMark/>
          </w:tcPr>
          <w:p w14:paraId="34CDD25A"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514 </w:t>
            </w:r>
          </w:p>
        </w:tc>
        <w:tc>
          <w:tcPr>
            <w:tcW w:w="897" w:type="dxa"/>
            <w:tcBorders>
              <w:top w:val="nil"/>
              <w:left w:val="nil"/>
              <w:bottom w:val="single" w:sz="4" w:space="0" w:color="auto"/>
              <w:right w:val="single" w:sz="4" w:space="0" w:color="auto"/>
            </w:tcBorders>
            <w:shd w:val="clear" w:color="auto" w:fill="auto"/>
            <w:noWrap/>
            <w:vAlign w:val="bottom"/>
            <w:hideMark/>
          </w:tcPr>
          <w:p w14:paraId="570B8C27"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559 </w:t>
            </w:r>
          </w:p>
        </w:tc>
        <w:tc>
          <w:tcPr>
            <w:tcW w:w="897" w:type="dxa"/>
            <w:tcBorders>
              <w:top w:val="nil"/>
              <w:left w:val="nil"/>
              <w:bottom w:val="single" w:sz="4" w:space="0" w:color="auto"/>
              <w:right w:val="single" w:sz="4" w:space="0" w:color="auto"/>
            </w:tcBorders>
            <w:shd w:val="clear" w:color="auto" w:fill="auto"/>
            <w:noWrap/>
            <w:vAlign w:val="bottom"/>
            <w:hideMark/>
          </w:tcPr>
          <w:p w14:paraId="710C9C9E"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590 </w:t>
            </w:r>
          </w:p>
        </w:tc>
      </w:tr>
      <w:tr w:rsidR="00C3310F" w:rsidRPr="00C3310F" w14:paraId="042FD441" w14:textId="77777777" w:rsidTr="007441B4">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5AA82F32" w14:textId="41419DA0" w:rsidR="000B1C3C" w:rsidRPr="00C3310F" w:rsidRDefault="000B1C3C" w:rsidP="000B1C3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板</w:t>
            </w:r>
            <w:r w:rsidR="00CB5482" w:rsidRPr="00C3310F">
              <w:rPr>
                <w:rFonts w:hAnsi="標楷體" w:cs="新細明體" w:hint="eastAsia"/>
                <w:kern w:val="0"/>
                <w:sz w:val="24"/>
                <w:szCs w:val="24"/>
              </w:rPr>
              <w:t>○</w:t>
            </w:r>
            <w:r w:rsidRPr="00C3310F">
              <w:rPr>
                <w:rFonts w:hAnsi="標楷體" w:cs="新細明體" w:hint="eastAsia"/>
                <w:kern w:val="0"/>
                <w:sz w:val="24"/>
                <w:szCs w:val="24"/>
              </w:rPr>
              <w:t xml:space="preserve">銀行                </w:t>
            </w:r>
          </w:p>
        </w:tc>
        <w:tc>
          <w:tcPr>
            <w:tcW w:w="850" w:type="dxa"/>
            <w:tcBorders>
              <w:top w:val="nil"/>
              <w:left w:val="nil"/>
              <w:bottom w:val="single" w:sz="4" w:space="0" w:color="auto"/>
              <w:right w:val="single" w:sz="4" w:space="0" w:color="auto"/>
            </w:tcBorders>
            <w:shd w:val="clear" w:color="auto" w:fill="auto"/>
            <w:noWrap/>
            <w:vAlign w:val="bottom"/>
            <w:hideMark/>
          </w:tcPr>
          <w:p w14:paraId="0127890E"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173 </w:t>
            </w:r>
          </w:p>
        </w:tc>
        <w:tc>
          <w:tcPr>
            <w:tcW w:w="851" w:type="dxa"/>
            <w:tcBorders>
              <w:top w:val="nil"/>
              <w:left w:val="nil"/>
              <w:bottom w:val="single" w:sz="4" w:space="0" w:color="auto"/>
              <w:right w:val="single" w:sz="4" w:space="0" w:color="auto"/>
            </w:tcBorders>
            <w:shd w:val="clear" w:color="auto" w:fill="auto"/>
            <w:noWrap/>
            <w:vAlign w:val="bottom"/>
            <w:hideMark/>
          </w:tcPr>
          <w:p w14:paraId="64C1832C"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184 </w:t>
            </w:r>
          </w:p>
        </w:tc>
        <w:tc>
          <w:tcPr>
            <w:tcW w:w="850" w:type="dxa"/>
            <w:tcBorders>
              <w:top w:val="nil"/>
              <w:left w:val="nil"/>
              <w:bottom w:val="single" w:sz="4" w:space="0" w:color="auto"/>
              <w:right w:val="single" w:sz="4" w:space="0" w:color="auto"/>
            </w:tcBorders>
            <w:shd w:val="clear" w:color="auto" w:fill="auto"/>
            <w:noWrap/>
            <w:vAlign w:val="bottom"/>
            <w:hideMark/>
          </w:tcPr>
          <w:p w14:paraId="6ED22BD0"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182 </w:t>
            </w:r>
          </w:p>
        </w:tc>
        <w:tc>
          <w:tcPr>
            <w:tcW w:w="851" w:type="dxa"/>
            <w:tcBorders>
              <w:top w:val="nil"/>
              <w:left w:val="nil"/>
              <w:bottom w:val="single" w:sz="4" w:space="0" w:color="auto"/>
              <w:right w:val="single" w:sz="4" w:space="0" w:color="auto"/>
            </w:tcBorders>
            <w:shd w:val="clear" w:color="auto" w:fill="auto"/>
            <w:noWrap/>
            <w:vAlign w:val="bottom"/>
            <w:hideMark/>
          </w:tcPr>
          <w:p w14:paraId="0FE7C765"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188 </w:t>
            </w:r>
          </w:p>
        </w:tc>
        <w:tc>
          <w:tcPr>
            <w:tcW w:w="850" w:type="dxa"/>
            <w:tcBorders>
              <w:top w:val="nil"/>
              <w:left w:val="nil"/>
              <w:bottom w:val="single" w:sz="4" w:space="0" w:color="auto"/>
              <w:right w:val="single" w:sz="4" w:space="0" w:color="auto"/>
            </w:tcBorders>
            <w:shd w:val="clear" w:color="auto" w:fill="auto"/>
            <w:noWrap/>
            <w:vAlign w:val="bottom"/>
            <w:hideMark/>
          </w:tcPr>
          <w:p w14:paraId="49D938D8"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188 </w:t>
            </w:r>
          </w:p>
        </w:tc>
        <w:tc>
          <w:tcPr>
            <w:tcW w:w="897" w:type="dxa"/>
            <w:tcBorders>
              <w:top w:val="nil"/>
              <w:left w:val="nil"/>
              <w:bottom w:val="single" w:sz="4" w:space="0" w:color="auto"/>
              <w:right w:val="single" w:sz="4" w:space="0" w:color="auto"/>
            </w:tcBorders>
            <w:shd w:val="clear" w:color="auto" w:fill="auto"/>
            <w:noWrap/>
            <w:vAlign w:val="bottom"/>
            <w:hideMark/>
          </w:tcPr>
          <w:p w14:paraId="2D66976D"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194 </w:t>
            </w:r>
          </w:p>
        </w:tc>
        <w:tc>
          <w:tcPr>
            <w:tcW w:w="897" w:type="dxa"/>
            <w:tcBorders>
              <w:top w:val="nil"/>
              <w:left w:val="nil"/>
              <w:bottom w:val="single" w:sz="4" w:space="0" w:color="auto"/>
              <w:right w:val="single" w:sz="4" w:space="0" w:color="auto"/>
            </w:tcBorders>
            <w:shd w:val="clear" w:color="auto" w:fill="auto"/>
            <w:noWrap/>
            <w:vAlign w:val="bottom"/>
            <w:hideMark/>
          </w:tcPr>
          <w:p w14:paraId="53CC0C16"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205 </w:t>
            </w:r>
          </w:p>
        </w:tc>
        <w:tc>
          <w:tcPr>
            <w:tcW w:w="897" w:type="dxa"/>
            <w:tcBorders>
              <w:top w:val="nil"/>
              <w:left w:val="nil"/>
              <w:bottom w:val="single" w:sz="4" w:space="0" w:color="auto"/>
              <w:right w:val="single" w:sz="4" w:space="0" w:color="auto"/>
            </w:tcBorders>
            <w:shd w:val="clear" w:color="auto" w:fill="auto"/>
            <w:noWrap/>
            <w:vAlign w:val="bottom"/>
            <w:hideMark/>
          </w:tcPr>
          <w:p w14:paraId="55F87983"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211 </w:t>
            </w:r>
          </w:p>
        </w:tc>
        <w:tc>
          <w:tcPr>
            <w:tcW w:w="897" w:type="dxa"/>
            <w:tcBorders>
              <w:top w:val="nil"/>
              <w:left w:val="nil"/>
              <w:bottom w:val="single" w:sz="4" w:space="0" w:color="auto"/>
              <w:right w:val="single" w:sz="4" w:space="0" w:color="auto"/>
            </w:tcBorders>
            <w:shd w:val="clear" w:color="auto" w:fill="auto"/>
            <w:noWrap/>
            <w:vAlign w:val="bottom"/>
            <w:hideMark/>
          </w:tcPr>
          <w:p w14:paraId="385A8868"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221 </w:t>
            </w:r>
          </w:p>
        </w:tc>
      </w:tr>
      <w:tr w:rsidR="00C3310F" w:rsidRPr="00C3310F" w14:paraId="1D874F0E" w14:textId="77777777" w:rsidTr="007441B4">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39EE6641" w14:textId="3C88E17A" w:rsidR="000B1C3C" w:rsidRPr="00C3310F" w:rsidRDefault="000B1C3C" w:rsidP="000B1C3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三</w:t>
            </w:r>
            <w:r w:rsidR="00CB5482" w:rsidRPr="00C3310F">
              <w:rPr>
                <w:rFonts w:hAnsi="標楷體" w:cs="新細明體" w:hint="eastAsia"/>
                <w:kern w:val="0"/>
                <w:sz w:val="24"/>
                <w:szCs w:val="24"/>
              </w:rPr>
              <w:t>○</w:t>
            </w:r>
            <w:r w:rsidRPr="00C3310F">
              <w:rPr>
                <w:rFonts w:hAnsi="標楷體" w:cs="新細明體" w:hint="eastAsia"/>
                <w:kern w:val="0"/>
                <w:sz w:val="24"/>
                <w:szCs w:val="24"/>
              </w:rPr>
              <w:t xml:space="preserve">銀行                </w:t>
            </w:r>
          </w:p>
        </w:tc>
        <w:tc>
          <w:tcPr>
            <w:tcW w:w="850" w:type="dxa"/>
            <w:tcBorders>
              <w:top w:val="nil"/>
              <w:left w:val="nil"/>
              <w:bottom w:val="single" w:sz="4" w:space="0" w:color="auto"/>
              <w:right w:val="single" w:sz="4" w:space="0" w:color="auto"/>
            </w:tcBorders>
            <w:shd w:val="clear" w:color="auto" w:fill="auto"/>
            <w:noWrap/>
            <w:vAlign w:val="bottom"/>
            <w:hideMark/>
          </w:tcPr>
          <w:p w14:paraId="09D59EA3"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85 </w:t>
            </w:r>
          </w:p>
        </w:tc>
        <w:tc>
          <w:tcPr>
            <w:tcW w:w="851" w:type="dxa"/>
            <w:tcBorders>
              <w:top w:val="nil"/>
              <w:left w:val="nil"/>
              <w:bottom w:val="single" w:sz="4" w:space="0" w:color="auto"/>
              <w:right w:val="single" w:sz="4" w:space="0" w:color="auto"/>
            </w:tcBorders>
            <w:shd w:val="clear" w:color="auto" w:fill="auto"/>
            <w:noWrap/>
            <w:vAlign w:val="bottom"/>
            <w:hideMark/>
          </w:tcPr>
          <w:p w14:paraId="63339094"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88 </w:t>
            </w:r>
          </w:p>
        </w:tc>
        <w:tc>
          <w:tcPr>
            <w:tcW w:w="850" w:type="dxa"/>
            <w:tcBorders>
              <w:top w:val="nil"/>
              <w:left w:val="nil"/>
              <w:bottom w:val="single" w:sz="4" w:space="0" w:color="auto"/>
              <w:right w:val="single" w:sz="4" w:space="0" w:color="auto"/>
            </w:tcBorders>
            <w:shd w:val="clear" w:color="auto" w:fill="auto"/>
            <w:noWrap/>
            <w:vAlign w:val="bottom"/>
            <w:hideMark/>
          </w:tcPr>
          <w:p w14:paraId="4C3E74E7"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98 </w:t>
            </w:r>
          </w:p>
        </w:tc>
        <w:tc>
          <w:tcPr>
            <w:tcW w:w="851" w:type="dxa"/>
            <w:tcBorders>
              <w:top w:val="nil"/>
              <w:left w:val="nil"/>
              <w:bottom w:val="single" w:sz="4" w:space="0" w:color="auto"/>
              <w:right w:val="single" w:sz="4" w:space="0" w:color="auto"/>
            </w:tcBorders>
            <w:shd w:val="clear" w:color="auto" w:fill="auto"/>
            <w:noWrap/>
            <w:vAlign w:val="bottom"/>
            <w:hideMark/>
          </w:tcPr>
          <w:p w14:paraId="1317946B"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102 </w:t>
            </w:r>
          </w:p>
        </w:tc>
        <w:tc>
          <w:tcPr>
            <w:tcW w:w="850" w:type="dxa"/>
            <w:tcBorders>
              <w:top w:val="nil"/>
              <w:left w:val="nil"/>
              <w:bottom w:val="single" w:sz="4" w:space="0" w:color="auto"/>
              <w:right w:val="single" w:sz="4" w:space="0" w:color="auto"/>
            </w:tcBorders>
            <w:shd w:val="clear" w:color="auto" w:fill="auto"/>
            <w:noWrap/>
            <w:vAlign w:val="bottom"/>
            <w:hideMark/>
          </w:tcPr>
          <w:p w14:paraId="0AA57FD3"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109 </w:t>
            </w:r>
          </w:p>
        </w:tc>
        <w:tc>
          <w:tcPr>
            <w:tcW w:w="897" w:type="dxa"/>
            <w:tcBorders>
              <w:top w:val="nil"/>
              <w:left w:val="nil"/>
              <w:bottom w:val="single" w:sz="4" w:space="0" w:color="auto"/>
              <w:right w:val="single" w:sz="4" w:space="0" w:color="auto"/>
            </w:tcBorders>
            <w:shd w:val="clear" w:color="auto" w:fill="auto"/>
            <w:noWrap/>
            <w:vAlign w:val="bottom"/>
            <w:hideMark/>
          </w:tcPr>
          <w:p w14:paraId="0A2588EA"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134 </w:t>
            </w:r>
          </w:p>
        </w:tc>
        <w:tc>
          <w:tcPr>
            <w:tcW w:w="897" w:type="dxa"/>
            <w:tcBorders>
              <w:top w:val="nil"/>
              <w:left w:val="nil"/>
              <w:bottom w:val="single" w:sz="4" w:space="0" w:color="auto"/>
              <w:right w:val="single" w:sz="4" w:space="0" w:color="auto"/>
            </w:tcBorders>
            <w:shd w:val="clear" w:color="auto" w:fill="auto"/>
            <w:noWrap/>
            <w:vAlign w:val="bottom"/>
            <w:hideMark/>
          </w:tcPr>
          <w:p w14:paraId="5D022284"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163 </w:t>
            </w:r>
          </w:p>
        </w:tc>
        <w:tc>
          <w:tcPr>
            <w:tcW w:w="897" w:type="dxa"/>
            <w:tcBorders>
              <w:top w:val="nil"/>
              <w:left w:val="nil"/>
              <w:bottom w:val="single" w:sz="4" w:space="0" w:color="auto"/>
              <w:right w:val="single" w:sz="4" w:space="0" w:color="auto"/>
            </w:tcBorders>
            <w:shd w:val="clear" w:color="auto" w:fill="auto"/>
            <w:noWrap/>
            <w:vAlign w:val="bottom"/>
            <w:hideMark/>
          </w:tcPr>
          <w:p w14:paraId="35F313EC"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190 </w:t>
            </w:r>
          </w:p>
        </w:tc>
        <w:tc>
          <w:tcPr>
            <w:tcW w:w="897" w:type="dxa"/>
            <w:tcBorders>
              <w:top w:val="nil"/>
              <w:left w:val="nil"/>
              <w:bottom w:val="single" w:sz="4" w:space="0" w:color="auto"/>
              <w:right w:val="single" w:sz="4" w:space="0" w:color="auto"/>
            </w:tcBorders>
            <w:shd w:val="clear" w:color="auto" w:fill="auto"/>
            <w:noWrap/>
            <w:vAlign w:val="bottom"/>
            <w:hideMark/>
          </w:tcPr>
          <w:p w14:paraId="495002C6"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210 </w:t>
            </w:r>
          </w:p>
        </w:tc>
      </w:tr>
      <w:tr w:rsidR="00C3310F" w:rsidRPr="00C3310F" w14:paraId="3C313A98" w14:textId="77777777" w:rsidTr="007441B4">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6AF09FDA" w14:textId="06E1D224" w:rsidR="000B1C3C" w:rsidRPr="00C3310F" w:rsidRDefault="000B1C3C" w:rsidP="000B1C3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聯</w:t>
            </w:r>
            <w:r w:rsidR="00CB5482" w:rsidRPr="00C3310F">
              <w:rPr>
                <w:rFonts w:hAnsi="標楷體" w:cs="新細明體" w:hint="eastAsia"/>
                <w:kern w:val="0"/>
                <w:sz w:val="24"/>
                <w:szCs w:val="24"/>
              </w:rPr>
              <w:t>○</w:t>
            </w:r>
            <w:r w:rsidRPr="00C3310F">
              <w:rPr>
                <w:rFonts w:hAnsi="標楷體" w:cs="新細明體" w:hint="eastAsia"/>
                <w:kern w:val="0"/>
                <w:sz w:val="24"/>
                <w:szCs w:val="24"/>
              </w:rPr>
              <w:t xml:space="preserve">銀行                </w:t>
            </w:r>
          </w:p>
        </w:tc>
        <w:tc>
          <w:tcPr>
            <w:tcW w:w="850" w:type="dxa"/>
            <w:tcBorders>
              <w:top w:val="nil"/>
              <w:left w:val="nil"/>
              <w:bottom w:val="single" w:sz="4" w:space="0" w:color="auto"/>
              <w:right w:val="single" w:sz="4" w:space="0" w:color="auto"/>
            </w:tcBorders>
            <w:shd w:val="clear" w:color="auto" w:fill="auto"/>
            <w:noWrap/>
            <w:vAlign w:val="bottom"/>
            <w:hideMark/>
          </w:tcPr>
          <w:p w14:paraId="2C31713F"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832 </w:t>
            </w:r>
          </w:p>
        </w:tc>
        <w:tc>
          <w:tcPr>
            <w:tcW w:w="851" w:type="dxa"/>
            <w:tcBorders>
              <w:top w:val="nil"/>
              <w:left w:val="nil"/>
              <w:bottom w:val="single" w:sz="4" w:space="0" w:color="auto"/>
              <w:right w:val="single" w:sz="4" w:space="0" w:color="auto"/>
            </w:tcBorders>
            <w:shd w:val="clear" w:color="auto" w:fill="auto"/>
            <w:noWrap/>
            <w:vAlign w:val="bottom"/>
            <w:hideMark/>
          </w:tcPr>
          <w:p w14:paraId="7FD24BE2"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913 </w:t>
            </w:r>
          </w:p>
        </w:tc>
        <w:tc>
          <w:tcPr>
            <w:tcW w:w="850" w:type="dxa"/>
            <w:tcBorders>
              <w:top w:val="nil"/>
              <w:left w:val="nil"/>
              <w:bottom w:val="single" w:sz="4" w:space="0" w:color="auto"/>
              <w:right w:val="single" w:sz="4" w:space="0" w:color="auto"/>
            </w:tcBorders>
            <w:shd w:val="clear" w:color="auto" w:fill="auto"/>
            <w:noWrap/>
            <w:vAlign w:val="bottom"/>
            <w:hideMark/>
          </w:tcPr>
          <w:p w14:paraId="41B620AD"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951 </w:t>
            </w:r>
          </w:p>
        </w:tc>
        <w:tc>
          <w:tcPr>
            <w:tcW w:w="851" w:type="dxa"/>
            <w:tcBorders>
              <w:top w:val="nil"/>
              <w:left w:val="nil"/>
              <w:bottom w:val="single" w:sz="4" w:space="0" w:color="auto"/>
              <w:right w:val="single" w:sz="4" w:space="0" w:color="auto"/>
            </w:tcBorders>
            <w:shd w:val="clear" w:color="auto" w:fill="auto"/>
            <w:noWrap/>
            <w:vAlign w:val="bottom"/>
            <w:hideMark/>
          </w:tcPr>
          <w:p w14:paraId="03106531"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993 </w:t>
            </w:r>
          </w:p>
        </w:tc>
        <w:tc>
          <w:tcPr>
            <w:tcW w:w="850" w:type="dxa"/>
            <w:tcBorders>
              <w:top w:val="nil"/>
              <w:left w:val="nil"/>
              <w:bottom w:val="single" w:sz="4" w:space="0" w:color="auto"/>
              <w:right w:val="single" w:sz="4" w:space="0" w:color="auto"/>
            </w:tcBorders>
            <w:shd w:val="clear" w:color="auto" w:fill="auto"/>
            <w:noWrap/>
            <w:vAlign w:val="bottom"/>
            <w:hideMark/>
          </w:tcPr>
          <w:p w14:paraId="2706C233"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1,041 </w:t>
            </w:r>
          </w:p>
        </w:tc>
        <w:tc>
          <w:tcPr>
            <w:tcW w:w="897" w:type="dxa"/>
            <w:tcBorders>
              <w:top w:val="nil"/>
              <w:left w:val="nil"/>
              <w:bottom w:val="single" w:sz="4" w:space="0" w:color="auto"/>
              <w:right w:val="single" w:sz="4" w:space="0" w:color="auto"/>
            </w:tcBorders>
            <w:shd w:val="clear" w:color="auto" w:fill="auto"/>
            <w:noWrap/>
            <w:vAlign w:val="bottom"/>
            <w:hideMark/>
          </w:tcPr>
          <w:p w14:paraId="4954D740"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1,144 </w:t>
            </w:r>
          </w:p>
        </w:tc>
        <w:tc>
          <w:tcPr>
            <w:tcW w:w="897" w:type="dxa"/>
            <w:tcBorders>
              <w:top w:val="nil"/>
              <w:left w:val="nil"/>
              <w:bottom w:val="single" w:sz="4" w:space="0" w:color="auto"/>
              <w:right w:val="single" w:sz="4" w:space="0" w:color="auto"/>
            </w:tcBorders>
            <w:shd w:val="clear" w:color="auto" w:fill="auto"/>
            <w:noWrap/>
            <w:vAlign w:val="bottom"/>
            <w:hideMark/>
          </w:tcPr>
          <w:p w14:paraId="56D28FFC"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1,237 </w:t>
            </w:r>
          </w:p>
        </w:tc>
        <w:tc>
          <w:tcPr>
            <w:tcW w:w="897" w:type="dxa"/>
            <w:tcBorders>
              <w:top w:val="nil"/>
              <w:left w:val="nil"/>
              <w:bottom w:val="single" w:sz="4" w:space="0" w:color="auto"/>
              <w:right w:val="single" w:sz="4" w:space="0" w:color="auto"/>
            </w:tcBorders>
            <w:shd w:val="clear" w:color="auto" w:fill="auto"/>
            <w:noWrap/>
            <w:vAlign w:val="bottom"/>
            <w:hideMark/>
          </w:tcPr>
          <w:p w14:paraId="66EA994D"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1,328 </w:t>
            </w:r>
          </w:p>
        </w:tc>
        <w:tc>
          <w:tcPr>
            <w:tcW w:w="897" w:type="dxa"/>
            <w:tcBorders>
              <w:top w:val="nil"/>
              <w:left w:val="nil"/>
              <w:bottom w:val="single" w:sz="4" w:space="0" w:color="auto"/>
              <w:right w:val="single" w:sz="4" w:space="0" w:color="auto"/>
            </w:tcBorders>
            <w:shd w:val="clear" w:color="auto" w:fill="auto"/>
            <w:noWrap/>
            <w:vAlign w:val="bottom"/>
            <w:hideMark/>
          </w:tcPr>
          <w:p w14:paraId="5108083F"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1,459 </w:t>
            </w:r>
          </w:p>
        </w:tc>
      </w:tr>
      <w:tr w:rsidR="00C3310F" w:rsidRPr="00C3310F" w14:paraId="06CA3375" w14:textId="77777777" w:rsidTr="007441B4">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47A1ADAA" w14:textId="6FE718DF" w:rsidR="000B1C3C" w:rsidRPr="00C3310F" w:rsidRDefault="000B1C3C" w:rsidP="000B1C3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遠</w:t>
            </w:r>
            <w:r w:rsidR="00CB5482" w:rsidRPr="00C3310F">
              <w:rPr>
                <w:rFonts w:hAnsi="標楷體" w:cs="新細明體" w:hint="eastAsia"/>
                <w:kern w:val="0"/>
                <w:sz w:val="24"/>
                <w:szCs w:val="24"/>
              </w:rPr>
              <w:t>○</w:t>
            </w:r>
            <w:r w:rsidRPr="00C3310F">
              <w:rPr>
                <w:rFonts w:hAnsi="標楷體" w:cs="新細明體" w:hint="eastAsia"/>
                <w:kern w:val="0"/>
                <w:sz w:val="24"/>
                <w:szCs w:val="24"/>
              </w:rPr>
              <w:t xml:space="preserve">銀行                </w:t>
            </w:r>
          </w:p>
        </w:tc>
        <w:tc>
          <w:tcPr>
            <w:tcW w:w="850" w:type="dxa"/>
            <w:tcBorders>
              <w:top w:val="nil"/>
              <w:left w:val="nil"/>
              <w:bottom w:val="single" w:sz="4" w:space="0" w:color="auto"/>
              <w:right w:val="single" w:sz="4" w:space="0" w:color="auto"/>
            </w:tcBorders>
            <w:shd w:val="clear" w:color="auto" w:fill="auto"/>
            <w:noWrap/>
            <w:vAlign w:val="bottom"/>
            <w:hideMark/>
          </w:tcPr>
          <w:p w14:paraId="2090216F"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430 </w:t>
            </w:r>
          </w:p>
        </w:tc>
        <w:tc>
          <w:tcPr>
            <w:tcW w:w="851" w:type="dxa"/>
            <w:tcBorders>
              <w:top w:val="nil"/>
              <w:left w:val="nil"/>
              <w:bottom w:val="single" w:sz="4" w:space="0" w:color="auto"/>
              <w:right w:val="single" w:sz="4" w:space="0" w:color="auto"/>
            </w:tcBorders>
            <w:shd w:val="clear" w:color="auto" w:fill="auto"/>
            <w:noWrap/>
            <w:vAlign w:val="bottom"/>
            <w:hideMark/>
          </w:tcPr>
          <w:p w14:paraId="545F6E86"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458 </w:t>
            </w:r>
          </w:p>
        </w:tc>
        <w:tc>
          <w:tcPr>
            <w:tcW w:w="850" w:type="dxa"/>
            <w:tcBorders>
              <w:top w:val="nil"/>
              <w:left w:val="nil"/>
              <w:bottom w:val="single" w:sz="4" w:space="0" w:color="auto"/>
              <w:right w:val="single" w:sz="4" w:space="0" w:color="auto"/>
            </w:tcBorders>
            <w:shd w:val="clear" w:color="auto" w:fill="auto"/>
            <w:noWrap/>
            <w:vAlign w:val="bottom"/>
            <w:hideMark/>
          </w:tcPr>
          <w:p w14:paraId="6C1FE44B"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464 </w:t>
            </w:r>
          </w:p>
        </w:tc>
        <w:tc>
          <w:tcPr>
            <w:tcW w:w="851" w:type="dxa"/>
            <w:tcBorders>
              <w:top w:val="nil"/>
              <w:left w:val="nil"/>
              <w:bottom w:val="single" w:sz="4" w:space="0" w:color="auto"/>
              <w:right w:val="single" w:sz="4" w:space="0" w:color="auto"/>
            </w:tcBorders>
            <w:shd w:val="clear" w:color="auto" w:fill="auto"/>
            <w:noWrap/>
            <w:vAlign w:val="bottom"/>
            <w:hideMark/>
          </w:tcPr>
          <w:p w14:paraId="1E85F461"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510 </w:t>
            </w:r>
          </w:p>
        </w:tc>
        <w:tc>
          <w:tcPr>
            <w:tcW w:w="850" w:type="dxa"/>
            <w:tcBorders>
              <w:top w:val="nil"/>
              <w:left w:val="nil"/>
              <w:bottom w:val="single" w:sz="4" w:space="0" w:color="auto"/>
              <w:right w:val="single" w:sz="4" w:space="0" w:color="auto"/>
            </w:tcBorders>
            <w:shd w:val="clear" w:color="auto" w:fill="auto"/>
            <w:noWrap/>
            <w:vAlign w:val="bottom"/>
            <w:hideMark/>
          </w:tcPr>
          <w:p w14:paraId="13FCECB5"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512 </w:t>
            </w:r>
          </w:p>
        </w:tc>
        <w:tc>
          <w:tcPr>
            <w:tcW w:w="897" w:type="dxa"/>
            <w:tcBorders>
              <w:top w:val="nil"/>
              <w:left w:val="nil"/>
              <w:bottom w:val="single" w:sz="4" w:space="0" w:color="auto"/>
              <w:right w:val="single" w:sz="4" w:space="0" w:color="auto"/>
            </w:tcBorders>
            <w:shd w:val="clear" w:color="auto" w:fill="auto"/>
            <w:noWrap/>
            <w:vAlign w:val="bottom"/>
            <w:hideMark/>
          </w:tcPr>
          <w:p w14:paraId="69118975"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559 </w:t>
            </w:r>
          </w:p>
        </w:tc>
        <w:tc>
          <w:tcPr>
            <w:tcW w:w="897" w:type="dxa"/>
            <w:tcBorders>
              <w:top w:val="nil"/>
              <w:left w:val="nil"/>
              <w:bottom w:val="single" w:sz="4" w:space="0" w:color="auto"/>
              <w:right w:val="single" w:sz="4" w:space="0" w:color="auto"/>
            </w:tcBorders>
            <w:shd w:val="clear" w:color="auto" w:fill="auto"/>
            <w:noWrap/>
            <w:vAlign w:val="bottom"/>
            <w:hideMark/>
          </w:tcPr>
          <w:p w14:paraId="60D34610"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592 </w:t>
            </w:r>
          </w:p>
        </w:tc>
        <w:tc>
          <w:tcPr>
            <w:tcW w:w="897" w:type="dxa"/>
            <w:tcBorders>
              <w:top w:val="nil"/>
              <w:left w:val="nil"/>
              <w:bottom w:val="single" w:sz="4" w:space="0" w:color="auto"/>
              <w:right w:val="single" w:sz="4" w:space="0" w:color="auto"/>
            </w:tcBorders>
            <w:shd w:val="clear" w:color="auto" w:fill="auto"/>
            <w:noWrap/>
            <w:vAlign w:val="bottom"/>
            <w:hideMark/>
          </w:tcPr>
          <w:p w14:paraId="2433B79E"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643 </w:t>
            </w:r>
          </w:p>
        </w:tc>
        <w:tc>
          <w:tcPr>
            <w:tcW w:w="897" w:type="dxa"/>
            <w:tcBorders>
              <w:top w:val="nil"/>
              <w:left w:val="nil"/>
              <w:bottom w:val="single" w:sz="4" w:space="0" w:color="auto"/>
              <w:right w:val="single" w:sz="4" w:space="0" w:color="auto"/>
            </w:tcBorders>
            <w:shd w:val="clear" w:color="auto" w:fill="auto"/>
            <w:noWrap/>
            <w:vAlign w:val="bottom"/>
            <w:hideMark/>
          </w:tcPr>
          <w:p w14:paraId="6F180023"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716 </w:t>
            </w:r>
          </w:p>
        </w:tc>
      </w:tr>
      <w:tr w:rsidR="00C3310F" w:rsidRPr="00C3310F" w14:paraId="5139C7B1" w14:textId="77777777" w:rsidTr="007441B4">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1624C2FC" w14:textId="406B01D0" w:rsidR="000B1C3C" w:rsidRPr="00C3310F" w:rsidRDefault="000B1C3C" w:rsidP="000B1C3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元</w:t>
            </w:r>
            <w:r w:rsidR="00CB5482" w:rsidRPr="00C3310F">
              <w:rPr>
                <w:rFonts w:hAnsi="標楷體" w:cs="新細明體" w:hint="eastAsia"/>
                <w:kern w:val="0"/>
                <w:sz w:val="24"/>
                <w:szCs w:val="24"/>
              </w:rPr>
              <w:t>○</w:t>
            </w:r>
            <w:r w:rsidRPr="00C3310F">
              <w:rPr>
                <w:rFonts w:hAnsi="標楷體" w:cs="新細明體" w:hint="eastAsia"/>
                <w:kern w:val="0"/>
                <w:sz w:val="24"/>
                <w:szCs w:val="24"/>
              </w:rPr>
              <w:t xml:space="preserve">銀行                </w:t>
            </w:r>
          </w:p>
        </w:tc>
        <w:tc>
          <w:tcPr>
            <w:tcW w:w="850" w:type="dxa"/>
            <w:tcBorders>
              <w:top w:val="nil"/>
              <w:left w:val="nil"/>
              <w:bottom w:val="single" w:sz="4" w:space="0" w:color="auto"/>
              <w:right w:val="single" w:sz="4" w:space="0" w:color="auto"/>
            </w:tcBorders>
            <w:shd w:val="clear" w:color="auto" w:fill="auto"/>
            <w:noWrap/>
            <w:vAlign w:val="bottom"/>
            <w:hideMark/>
          </w:tcPr>
          <w:p w14:paraId="1B58E8DC"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839 </w:t>
            </w:r>
          </w:p>
        </w:tc>
        <w:tc>
          <w:tcPr>
            <w:tcW w:w="851" w:type="dxa"/>
            <w:tcBorders>
              <w:top w:val="nil"/>
              <w:left w:val="nil"/>
              <w:bottom w:val="single" w:sz="4" w:space="0" w:color="auto"/>
              <w:right w:val="single" w:sz="4" w:space="0" w:color="auto"/>
            </w:tcBorders>
            <w:shd w:val="clear" w:color="auto" w:fill="auto"/>
            <w:noWrap/>
            <w:vAlign w:val="bottom"/>
            <w:hideMark/>
          </w:tcPr>
          <w:p w14:paraId="3CE9F2F3"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936 </w:t>
            </w:r>
          </w:p>
        </w:tc>
        <w:tc>
          <w:tcPr>
            <w:tcW w:w="850" w:type="dxa"/>
            <w:tcBorders>
              <w:top w:val="nil"/>
              <w:left w:val="nil"/>
              <w:bottom w:val="single" w:sz="4" w:space="0" w:color="auto"/>
              <w:right w:val="single" w:sz="4" w:space="0" w:color="auto"/>
            </w:tcBorders>
            <w:shd w:val="clear" w:color="auto" w:fill="auto"/>
            <w:noWrap/>
            <w:vAlign w:val="bottom"/>
            <w:hideMark/>
          </w:tcPr>
          <w:p w14:paraId="761A2280"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1,022 </w:t>
            </w:r>
          </w:p>
        </w:tc>
        <w:tc>
          <w:tcPr>
            <w:tcW w:w="851" w:type="dxa"/>
            <w:tcBorders>
              <w:top w:val="nil"/>
              <w:left w:val="nil"/>
              <w:bottom w:val="single" w:sz="4" w:space="0" w:color="auto"/>
              <w:right w:val="single" w:sz="4" w:space="0" w:color="auto"/>
            </w:tcBorders>
            <w:shd w:val="clear" w:color="auto" w:fill="auto"/>
            <w:noWrap/>
            <w:vAlign w:val="bottom"/>
            <w:hideMark/>
          </w:tcPr>
          <w:p w14:paraId="63AA7A9D"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1,110 </w:t>
            </w:r>
          </w:p>
        </w:tc>
        <w:tc>
          <w:tcPr>
            <w:tcW w:w="850" w:type="dxa"/>
            <w:tcBorders>
              <w:top w:val="nil"/>
              <w:left w:val="nil"/>
              <w:bottom w:val="single" w:sz="4" w:space="0" w:color="auto"/>
              <w:right w:val="single" w:sz="4" w:space="0" w:color="auto"/>
            </w:tcBorders>
            <w:shd w:val="clear" w:color="auto" w:fill="auto"/>
            <w:noWrap/>
            <w:vAlign w:val="bottom"/>
            <w:hideMark/>
          </w:tcPr>
          <w:p w14:paraId="1E2ECB74"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1,200 </w:t>
            </w:r>
          </w:p>
        </w:tc>
        <w:tc>
          <w:tcPr>
            <w:tcW w:w="897" w:type="dxa"/>
            <w:tcBorders>
              <w:top w:val="nil"/>
              <w:left w:val="nil"/>
              <w:bottom w:val="single" w:sz="4" w:space="0" w:color="auto"/>
              <w:right w:val="single" w:sz="4" w:space="0" w:color="auto"/>
            </w:tcBorders>
            <w:shd w:val="clear" w:color="auto" w:fill="auto"/>
            <w:noWrap/>
            <w:vAlign w:val="bottom"/>
            <w:hideMark/>
          </w:tcPr>
          <w:p w14:paraId="043FE2A2"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1,355 </w:t>
            </w:r>
          </w:p>
        </w:tc>
        <w:tc>
          <w:tcPr>
            <w:tcW w:w="897" w:type="dxa"/>
            <w:tcBorders>
              <w:top w:val="nil"/>
              <w:left w:val="nil"/>
              <w:bottom w:val="single" w:sz="4" w:space="0" w:color="auto"/>
              <w:right w:val="single" w:sz="4" w:space="0" w:color="auto"/>
            </w:tcBorders>
            <w:shd w:val="clear" w:color="auto" w:fill="auto"/>
            <w:noWrap/>
            <w:vAlign w:val="bottom"/>
            <w:hideMark/>
          </w:tcPr>
          <w:p w14:paraId="21E60AE3"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1,465 </w:t>
            </w:r>
          </w:p>
        </w:tc>
        <w:tc>
          <w:tcPr>
            <w:tcW w:w="897" w:type="dxa"/>
            <w:tcBorders>
              <w:top w:val="nil"/>
              <w:left w:val="nil"/>
              <w:bottom w:val="single" w:sz="4" w:space="0" w:color="auto"/>
              <w:right w:val="single" w:sz="4" w:space="0" w:color="auto"/>
            </w:tcBorders>
            <w:shd w:val="clear" w:color="auto" w:fill="auto"/>
            <w:noWrap/>
            <w:vAlign w:val="bottom"/>
            <w:hideMark/>
          </w:tcPr>
          <w:p w14:paraId="113C7C7C"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1,610 </w:t>
            </w:r>
          </w:p>
        </w:tc>
        <w:tc>
          <w:tcPr>
            <w:tcW w:w="897" w:type="dxa"/>
            <w:tcBorders>
              <w:top w:val="nil"/>
              <w:left w:val="nil"/>
              <w:bottom w:val="single" w:sz="4" w:space="0" w:color="auto"/>
              <w:right w:val="single" w:sz="4" w:space="0" w:color="auto"/>
            </w:tcBorders>
            <w:shd w:val="clear" w:color="auto" w:fill="auto"/>
            <w:noWrap/>
            <w:vAlign w:val="bottom"/>
            <w:hideMark/>
          </w:tcPr>
          <w:p w14:paraId="5880689A"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1,748 </w:t>
            </w:r>
          </w:p>
        </w:tc>
      </w:tr>
      <w:tr w:rsidR="00C3310F" w:rsidRPr="00C3310F" w14:paraId="751FD2F4" w14:textId="77777777" w:rsidTr="007441B4">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30AEB2C9" w14:textId="561A3545" w:rsidR="000B1C3C" w:rsidRPr="00C3310F" w:rsidRDefault="000B1C3C" w:rsidP="000B1C3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永</w:t>
            </w:r>
            <w:r w:rsidR="00CB5482" w:rsidRPr="00C3310F">
              <w:rPr>
                <w:rFonts w:hAnsi="標楷體" w:cs="新細明體" w:hint="eastAsia"/>
                <w:kern w:val="0"/>
                <w:sz w:val="24"/>
                <w:szCs w:val="24"/>
              </w:rPr>
              <w:t>○</w:t>
            </w:r>
            <w:r w:rsidRPr="00C3310F">
              <w:rPr>
                <w:rFonts w:hAnsi="標楷體" w:cs="新細明體" w:hint="eastAsia"/>
                <w:kern w:val="0"/>
                <w:sz w:val="24"/>
                <w:szCs w:val="24"/>
              </w:rPr>
              <w:t xml:space="preserve">銀行                </w:t>
            </w:r>
          </w:p>
        </w:tc>
        <w:tc>
          <w:tcPr>
            <w:tcW w:w="850" w:type="dxa"/>
            <w:tcBorders>
              <w:top w:val="nil"/>
              <w:left w:val="nil"/>
              <w:bottom w:val="single" w:sz="4" w:space="0" w:color="auto"/>
              <w:right w:val="single" w:sz="4" w:space="0" w:color="auto"/>
            </w:tcBorders>
            <w:shd w:val="clear" w:color="auto" w:fill="auto"/>
            <w:noWrap/>
            <w:vAlign w:val="bottom"/>
            <w:hideMark/>
          </w:tcPr>
          <w:p w14:paraId="390D888F"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1,725 </w:t>
            </w:r>
          </w:p>
        </w:tc>
        <w:tc>
          <w:tcPr>
            <w:tcW w:w="851" w:type="dxa"/>
            <w:tcBorders>
              <w:top w:val="nil"/>
              <w:left w:val="nil"/>
              <w:bottom w:val="single" w:sz="4" w:space="0" w:color="auto"/>
              <w:right w:val="single" w:sz="4" w:space="0" w:color="auto"/>
            </w:tcBorders>
            <w:shd w:val="clear" w:color="auto" w:fill="auto"/>
            <w:noWrap/>
            <w:vAlign w:val="bottom"/>
            <w:hideMark/>
          </w:tcPr>
          <w:p w14:paraId="573CB0FC"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1,929 </w:t>
            </w:r>
          </w:p>
        </w:tc>
        <w:tc>
          <w:tcPr>
            <w:tcW w:w="850" w:type="dxa"/>
            <w:tcBorders>
              <w:top w:val="nil"/>
              <w:left w:val="nil"/>
              <w:bottom w:val="single" w:sz="4" w:space="0" w:color="auto"/>
              <w:right w:val="single" w:sz="4" w:space="0" w:color="auto"/>
            </w:tcBorders>
            <w:shd w:val="clear" w:color="auto" w:fill="auto"/>
            <w:noWrap/>
            <w:vAlign w:val="bottom"/>
            <w:hideMark/>
          </w:tcPr>
          <w:p w14:paraId="4E5EA7FC"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2,131 </w:t>
            </w:r>
          </w:p>
        </w:tc>
        <w:tc>
          <w:tcPr>
            <w:tcW w:w="851" w:type="dxa"/>
            <w:tcBorders>
              <w:top w:val="nil"/>
              <w:left w:val="nil"/>
              <w:bottom w:val="single" w:sz="4" w:space="0" w:color="auto"/>
              <w:right w:val="single" w:sz="4" w:space="0" w:color="auto"/>
            </w:tcBorders>
            <w:shd w:val="clear" w:color="auto" w:fill="auto"/>
            <w:noWrap/>
            <w:vAlign w:val="bottom"/>
            <w:hideMark/>
          </w:tcPr>
          <w:p w14:paraId="205F52BA"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2,336 </w:t>
            </w:r>
          </w:p>
        </w:tc>
        <w:tc>
          <w:tcPr>
            <w:tcW w:w="850" w:type="dxa"/>
            <w:tcBorders>
              <w:top w:val="nil"/>
              <w:left w:val="nil"/>
              <w:bottom w:val="single" w:sz="4" w:space="0" w:color="auto"/>
              <w:right w:val="single" w:sz="4" w:space="0" w:color="auto"/>
            </w:tcBorders>
            <w:shd w:val="clear" w:color="auto" w:fill="auto"/>
            <w:noWrap/>
            <w:vAlign w:val="bottom"/>
            <w:hideMark/>
          </w:tcPr>
          <w:p w14:paraId="03F57DCB"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2,456 </w:t>
            </w:r>
          </w:p>
        </w:tc>
        <w:tc>
          <w:tcPr>
            <w:tcW w:w="897" w:type="dxa"/>
            <w:tcBorders>
              <w:top w:val="nil"/>
              <w:left w:val="nil"/>
              <w:bottom w:val="single" w:sz="4" w:space="0" w:color="auto"/>
              <w:right w:val="single" w:sz="4" w:space="0" w:color="auto"/>
            </w:tcBorders>
            <w:shd w:val="clear" w:color="auto" w:fill="auto"/>
            <w:noWrap/>
            <w:vAlign w:val="bottom"/>
            <w:hideMark/>
          </w:tcPr>
          <w:p w14:paraId="7BE78E83"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2,735 </w:t>
            </w:r>
          </w:p>
        </w:tc>
        <w:tc>
          <w:tcPr>
            <w:tcW w:w="897" w:type="dxa"/>
            <w:tcBorders>
              <w:top w:val="nil"/>
              <w:left w:val="nil"/>
              <w:bottom w:val="single" w:sz="4" w:space="0" w:color="auto"/>
              <w:right w:val="single" w:sz="4" w:space="0" w:color="auto"/>
            </w:tcBorders>
            <w:shd w:val="clear" w:color="auto" w:fill="auto"/>
            <w:noWrap/>
            <w:vAlign w:val="bottom"/>
            <w:hideMark/>
          </w:tcPr>
          <w:p w14:paraId="7D533983"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2,868 </w:t>
            </w:r>
          </w:p>
        </w:tc>
        <w:tc>
          <w:tcPr>
            <w:tcW w:w="897" w:type="dxa"/>
            <w:tcBorders>
              <w:top w:val="nil"/>
              <w:left w:val="nil"/>
              <w:bottom w:val="single" w:sz="4" w:space="0" w:color="auto"/>
              <w:right w:val="single" w:sz="4" w:space="0" w:color="auto"/>
            </w:tcBorders>
            <w:shd w:val="clear" w:color="auto" w:fill="auto"/>
            <w:noWrap/>
            <w:vAlign w:val="bottom"/>
            <w:hideMark/>
          </w:tcPr>
          <w:p w14:paraId="7CD25597"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3,026 </w:t>
            </w:r>
          </w:p>
        </w:tc>
        <w:tc>
          <w:tcPr>
            <w:tcW w:w="897" w:type="dxa"/>
            <w:tcBorders>
              <w:top w:val="nil"/>
              <w:left w:val="nil"/>
              <w:bottom w:val="single" w:sz="4" w:space="0" w:color="auto"/>
              <w:right w:val="single" w:sz="4" w:space="0" w:color="auto"/>
            </w:tcBorders>
            <w:shd w:val="clear" w:color="auto" w:fill="auto"/>
            <w:noWrap/>
            <w:vAlign w:val="bottom"/>
            <w:hideMark/>
          </w:tcPr>
          <w:p w14:paraId="2C2A7D90"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3,132 </w:t>
            </w:r>
          </w:p>
        </w:tc>
      </w:tr>
      <w:tr w:rsidR="00C3310F" w:rsidRPr="00C3310F" w14:paraId="70C83931" w14:textId="77777777" w:rsidTr="007441B4">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60ECCC15" w14:textId="6353B8BC" w:rsidR="000B1C3C" w:rsidRPr="00C3310F" w:rsidRDefault="000B1C3C" w:rsidP="000B1C3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玉</w:t>
            </w:r>
            <w:r w:rsidR="00CB5482" w:rsidRPr="00C3310F">
              <w:rPr>
                <w:rFonts w:hAnsi="標楷體" w:cs="新細明體" w:hint="eastAsia"/>
                <w:kern w:val="0"/>
                <w:sz w:val="24"/>
                <w:szCs w:val="24"/>
              </w:rPr>
              <w:t>○</w:t>
            </w:r>
            <w:r w:rsidRPr="00C3310F">
              <w:rPr>
                <w:rFonts w:hAnsi="標楷體" w:cs="新細明體" w:hint="eastAsia"/>
                <w:kern w:val="0"/>
                <w:sz w:val="24"/>
                <w:szCs w:val="24"/>
              </w:rPr>
              <w:t xml:space="preserve">銀行                </w:t>
            </w:r>
          </w:p>
        </w:tc>
        <w:tc>
          <w:tcPr>
            <w:tcW w:w="850" w:type="dxa"/>
            <w:tcBorders>
              <w:top w:val="nil"/>
              <w:left w:val="nil"/>
              <w:bottom w:val="single" w:sz="4" w:space="0" w:color="auto"/>
              <w:right w:val="single" w:sz="4" w:space="0" w:color="auto"/>
            </w:tcBorders>
            <w:shd w:val="clear" w:color="auto" w:fill="auto"/>
            <w:noWrap/>
            <w:vAlign w:val="bottom"/>
            <w:hideMark/>
          </w:tcPr>
          <w:p w14:paraId="775E1BC4"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3,897 </w:t>
            </w:r>
          </w:p>
        </w:tc>
        <w:tc>
          <w:tcPr>
            <w:tcW w:w="851" w:type="dxa"/>
            <w:tcBorders>
              <w:top w:val="nil"/>
              <w:left w:val="nil"/>
              <w:bottom w:val="single" w:sz="4" w:space="0" w:color="auto"/>
              <w:right w:val="single" w:sz="4" w:space="0" w:color="auto"/>
            </w:tcBorders>
            <w:shd w:val="clear" w:color="auto" w:fill="auto"/>
            <w:noWrap/>
            <w:vAlign w:val="bottom"/>
            <w:hideMark/>
          </w:tcPr>
          <w:p w14:paraId="705C1BBF"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4,238 </w:t>
            </w:r>
          </w:p>
        </w:tc>
        <w:tc>
          <w:tcPr>
            <w:tcW w:w="850" w:type="dxa"/>
            <w:tcBorders>
              <w:top w:val="nil"/>
              <w:left w:val="nil"/>
              <w:bottom w:val="single" w:sz="4" w:space="0" w:color="auto"/>
              <w:right w:val="single" w:sz="4" w:space="0" w:color="auto"/>
            </w:tcBorders>
            <w:shd w:val="clear" w:color="auto" w:fill="auto"/>
            <w:noWrap/>
            <w:vAlign w:val="bottom"/>
            <w:hideMark/>
          </w:tcPr>
          <w:p w14:paraId="18A15DCF"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4,365 </w:t>
            </w:r>
          </w:p>
        </w:tc>
        <w:tc>
          <w:tcPr>
            <w:tcW w:w="851" w:type="dxa"/>
            <w:tcBorders>
              <w:top w:val="nil"/>
              <w:left w:val="nil"/>
              <w:bottom w:val="single" w:sz="4" w:space="0" w:color="auto"/>
              <w:right w:val="single" w:sz="4" w:space="0" w:color="auto"/>
            </w:tcBorders>
            <w:shd w:val="clear" w:color="auto" w:fill="auto"/>
            <w:noWrap/>
            <w:vAlign w:val="bottom"/>
            <w:hideMark/>
          </w:tcPr>
          <w:p w14:paraId="01988593"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4,745 </w:t>
            </w:r>
          </w:p>
        </w:tc>
        <w:tc>
          <w:tcPr>
            <w:tcW w:w="850" w:type="dxa"/>
            <w:tcBorders>
              <w:top w:val="nil"/>
              <w:left w:val="nil"/>
              <w:bottom w:val="single" w:sz="4" w:space="0" w:color="auto"/>
              <w:right w:val="single" w:sz="4" w:space="0" w:color="auto"/>
            </w:tcBorders>
            <w:shd w:val="clear" w:color="auto" w:fill="auto"/>
            <w:noWrap/>
            <w:vAlign w:val="bottom"/>
            <w:hideMark/>
          </w:tcPr>
          <w:p w14:paraId="534914CB"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5,065 </w:t>
            </w:r>
          </w:p>
        </w:tc>
        <w:tc>
          <w:tcPr>
            <w:tcW w:w="897" w:type="dxa"/>
            <w:tcBorders>
              <w:top w:val="nil"/>
              <w:left w:val="nil"/>
              <w:bottom w:val="single" w:sz="4" w:space="0" w:color="auto"/>
              <w:right w:val="single" w:sz="4" w:space="0" w:color="auto"/>
            </w:tcBorders>
            <w:shd w:val="clear" w:color="auto" w:fill="auto"/>
            <w:noWrap/>
            <w:vAlign w:val="bottom"/>
            <w:hideMark/>
          </w:tcPr>
          <w:p w14:paraId="35AF9906"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5,467 </w:t>
            </w:r>
          </w:p>
        </w:tc>
        <w:tc>
          <w:tcPr>
            <w:tcW w:w="897" w:type="dxa"/>
            <w:tcBorders>
              <w:top w:val="nil"/>
              <w:left w:val="nil"/>
              <w:bottom w:val="single" w:sz="4" w:space="0" w:color="auto"/>
              <w:right w:val="single" w:sz="4" w:space="0" w:color="auto"/>
            </w:tcBorders>
            <w:shd w:val="clear" w:color="auto" w:fill="auto"/>
            <w:noWrap/>
            <w:vAlign w:val="bottom"/>
            <w:hideMark/>
          </w:tcPr>
          <w:p w14:paraId="2C8E41FD"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5,687 </w:t>
            </w:r>
          </w:p>
        </w:tc>
        <w:tc>
          <w:tcPr>
            <w:tcW w:w="897" w:type="dxa"/>
            <w:tcBorders>
              <w:top w:val="nil"/>
              <w:left w:val="nil"/>
              <w:bottom w:val="single" w:sz="4" w:space="0" w:color="auto"/>
              <w:right w:val="single" w:sz="4" w:space="0" w:color="auto"/>
            </w:tcBorders>
            <w:shd w:val="clear" w:color="auto" w:fill="auto"/>
            <w:noWrap/>
            <w:vAlign w:val="bottom"/>
            <w:hideMark/>
          </w:tcPr>
          <w:p w14:paraId="68865356"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5,874 </w:t>
            </w:r>
          </w:p>
        </w:tc>
        <w:tc>
          <w:tcPr>
            <w:tcW w:w="897" w:type="dxa"/>
            <w:tcBorders>
              <w:top w:val="nil"/>
              <w:left w:val="nil"/>
              <w:bottom w:val="single" w:sz="4" w:space="0" w:color="auto"/>
              <w:right w:val="single" w:sz="4" w:space="0" w:color="auto"/>
            </w:tcBorders>
            <w:shd w:val="clear" w:color="auto" w:fill="auto"/>
            <w:noWrap/>
            <w:vAlign w:val="bottom"/>
            <w:hideMark/>
          </w:tcPr>
          <w:p w14:paraId="0437EE93"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6,103 </w:t>
            </w:r>
          </w:p>
        </w:tc>
      </w:tr>
      <w:tr w:rsidR="00C3310F" w:rsidRPr="00C3310F" w14:paraId="2F5C5590" w14:textId="77777777" w:rsidTr="007441B4">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4C470B0E" w14:textId="26537527" w:rsidR="000B1C3C" w:rsidRPr="00C3310F" w:rsidRDefault="000B1C3C" w:rsidP="000B1C3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lastRenderedPageBreak/>
              <w:t>凱</w:t>
            </w:r>
            <w:r w:rsidR="00CB5482" w:rsidRPr="00C3310F">
              <w:rPr>
                <w:rFonts w:hAnsi="標楷體" w:cs="新細明體" w:hint="eastAsia"/>
                <w:kern w:val="0"/>
                <w:sz w:val="24"/>
                <w:szCs w:val="24"/>
              </w:rPr>
              <w:t>○</w:t>
            </w:r>
            <w:r w:rsidRPr="00C3310F">
              <w:rPr>
                <w:rFonts w:hAnsi="標楷體" w:cs="新細明體" w:hint="eastAsia"/>
                <w:kern w:val="0"/>
                <w:sz w:val="24"/>
                <w:szCs w:val="24"/>
              </w:rPr>
              <w:t xml:space="preserve">銀行                </w:t>
            </w:r>
          </w:p>
        </w:tc>
        <w:tc>
          <w:tcPr>
            <w:tcW w:w="850" w:type="dxa"/>
            <w:tcBorders>
              <w:top w:val="nil"/>
              <w:left w:val="nil"/>
              <w:bottom w:val="single" w:sz="4" w:space="0" w:color="auto"/>
              <w:right w:val="single" w:sz="4" w:space="0" w:color="auto"/>
            </w:tcBorders>
            <w:shd w:val="clear" w:color="auto" w:fill="auto"/>
            <w:noWrap/>
            <w:vAlign w:val="bottom"/>
            <w:hideMark/>
          </w:tcPr>
          <w:p w14:paraId="5C7FF479"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260 </w:t>
            </w:r>
          </w:p>
        </w:tc>
        <w:tc>
          <w:tcPr>
            <w:tcW w:w="851" w:type="dxa"/>
            <w:tcBorders>
              <w:top w:val="nil"/>
              <w:left w:val="nil"/>
              <w:bottom w:val="single" w:sz="4" w:space="0" w:color="auto"/>
              <w:right w:val="single" w:sz="4" w:space="0" w:color="auto"/>
            </w:tcBorders>
            <w:shd w:val="clear" w:color="auto" w:fill="auto"/>
            <w:noWrap/>
            <w:vAlign w:val="bottom"/>
            <w:hideMark/>
          </w:tcPr>
          <w:p w14:paraId="33D29E60"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307 </w:t>
            </w:r>
          </w:p>
        </w:tc>
        <w:tc>
          <w:tcPr>
            <w:tcW w:w="850" w:type="dxa"/>
            <w:tcBorders>
              <w:top w:val="nil"/>
              <w:left w:val="nil"/>
              <w:bottom w:val="single" w:sz="4" w:space="0" w:color="auto"/>
              <w:right w:val="single" w:sz="4" w:space="0" w:color="auto"/>
            </w:tcBorders>
            <w:shd w:val="clear" w:color="auto" w:fill="auto"/>
            <w:noWrap/>
            <w:vAlign w:val="bottom"/>
            <w:hideMark/>
          </w:tcPr>
          <w:p w14:paraId="3212893D"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333 </w:t>
            </w:r>
          </w:p>
        </w:tc>
        <w:tc>
          <w:tcPr>
            <w:tcW w:w="851" w:type="dxa"/>
            <w:tcBorders>
              <w:top w:val="nil"/>
              <w:left w:val="nil"/>
              <w:bottom w:val="single" w:sz="4" w:space="0" w:color="auto"/>
              <w:right w:val="single" w:sz="4" w:space="0" w:color="auto"/>
            </w:tcBorders>
            <w:shd w:val="clear" w:color="auto" w:fill="auto"/>
            <w:noWrap/>
            <w:vAlign w:val="bottom"/>
            <w:hideMark/>
          </w:tcPr>
          <w:p w14:paraId="0C27C420"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381 </w:t>
            </w:r>
          </w:p>
        </w:tc>
        <w:tc>
          <w:tcPr>
            <w:tcW w:w="850" w:type="dxa"/>
            <w:tcBorders>
              <w:top w:val="nil"/>
              <w:left w:val="nil"/>
              <w:bottom w:val="single" w:sz="4" w:space="0" w:color="auto"/>
              <w:right w:val="single" w:sz="4" w:space="0" w:color="auto"/>
            </w:tcBorders>
            <w:shd w:val="clear" w:color="auto" w:fill="auto"/>
            <w:noWrap/>
            <w:vAlign w:val="bottom"/>
            <w:hideMark/>
          </w:tcPr>
          <w:p w14:paraId="6C9BC6BB"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417 </w:t>
            </w:r>
          </w:p>
        </w:tc>
        <w:tc>
          <w:tcPr>
            <w:tcW w:w="897" w:type="dxa"/>
            <w:tcBorders>
              <w:top w:val="nil"/>
              <w:left w:val="nil"/>
              <w:bottom w:val="single" w:sz="4" w:space="0" w:color="auto"/>
              <w:right w:val="single" w:sz="4" w:space="0" w:color="auto"/>
            </w:tcBorders>
            <w:shd w:val="clear" w:color="auto" w:fill="auto"/>
            <w:noWrap/>
            <w:vAlign w:val="bottom"/>
            <w:hideMark/>
          </w:tcPr>
          <w:p w14:paraId="2F23DC3C"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456 </w:t>
            </w:r>
          </w:p>
        </w:tc>
        <w:tc>
          <w:tcPr>
            <w:tcW w:w="897" w:type="dxa"/>
            <w:tcBorders>
              <w:top w:val="nil"/>
              <w:left w:val="nil"/>
              <w:bottom w:val="single" w:sz="4" w:space="0" w:color="auto"/>
              <w:right w:val="single" w:sz="4" w:space="0" w:color="auto"/>
            </w:tcBorders>
            <w:shd w:val="clear" w:color="auto" w:fill="auto"/>
            <w:noWrap/>
            <w:vAlign w:val="bottom"/>
            <w:hideMark/>
          </w:tcPr>
          <w:p w14:paraId="0DC4BDA5"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506 </w:t>
            </w:r>
          </w:p>
        </w:tc>
        <w:tc>
          <w:tcPr>
            <w:tcW w:w="897" w:type="dxa"/>
            <w:tcBorders>
              <w:top w:val="nil"/>
              <w:left w:val="nil"/>
              <w:bottom w:val="single" w:sz="4" w:space="0" w:color="auto"/>
              <w:right w:val="single" w:sz="4" w:space="0" w:color="auto"/>
            </w:tcBorders>
            <w:shd w:val="clear" w:color="auto" w:fill="auto"/>
            <w:noWrap/>
            <w:vAlign w:val="bottom"/>
            <w:hideMark/>
          </w:tcPr>
          <w:p w14:paraId="4FAC203B"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540 </w:t>
            </w:r>
          </w:p>
        </w:tc>
        <w:tc>
          <w:tcPr>
            <w:tcW w:w="897" w:type="dxa"/>
            <w:tcBorders>
              <w:top w:val="nil"/>
              <w:left w:val="nil"/>
              <w:bottom w:val="single" w:sz="4" w:space="0" w:color="auto"/>
              <w:right w:val="single" w:sz="4" w:space="0" w:color="auto"/>
            </w:tcBorders>
            <w:shd w:val="clear" w:color="auto" w:fill="auto"/>
            <w:noWrap/>
            <w:vAlign w:val="bottom"/>
            <w:hideMark/>
          </w:tcPr>
          <w:p w14:paraId="195D679B"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589 </w:t>
            </w:r>
          </w:p>
        </w:tc>
      </w:tr>
      <w:tr w:rsidR="00C3310F" w:rsidRPr="00C3310F" w14:paraId="28B4EAF7" w14:textId="77777777" w:rsidTr="007441B4">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044B4E42" w14:textId="339C6E65" w:rsidR="000B1C3C" w:rsidRPr="00C3310F" w:rsidRDefault="000B1C3C" w:rsidP="000B1C3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星</w:t>
            </w:r>
            <w:r w:rsidR="00CB5482" w:rsidRPr="00C3310F">
              <w:rPr>
                <w:rFonts w:hAnsi="標楷體" w:cs="新細明體" w:hint="eastAsia"/>
                <w:kern w:val="0"/>
                <w:sz w:val="24"/>
                <w:szCs w:val="24"/>
              </w:rPr>
              <w:t>○</w:t>
            </w:r>
            <w:r w:rsidRPr="00C3310F">
              <w:rPr>
                <w:rFonts w:hAnsi="標楷體" w:cs="新細明體" w:hint="eastAsia"/>
                <w:kern w:val="0"/>
                <w:sz w:val="24"/>
                <w:szCs w:val="24"/>
              </w:rPr>
              <w:t xml:space="preserve">（台灣）銀行        </w:t>
            </w:r>
          </w:p>
        </w:tc>
        <w:tc>
          <w:tcPr>
            <w:tcW w:w="850" w:type="dxa"/>
            <w:tcBorders>
              <w:top w:val="nil"/>
              <w:left w:val="nil"/>
              <w:bottom w:val="single" w:sz="4" w:space="0" w:color="auto"/>
              <w:right w:val="single" w:sz="4" w:space="0" w:color="auto"/>
            </w:tcBorders>
            <w:shd w:val="clear" w:color="auto" w:fill="auto"/>
            <w:noWrap/>
            <w:vAlign w:val="bottom"/>
            <w:hideMark/>
          </w:tcPr>
          <w:p w14:paraId="5805DE64"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36 </w:t>
            </w:r>
          </w:p>
        </w:tc>
        <w:tc>
          <w:tcPr>
            <w:tcW w:w="851" w:type="dxa"/>
            <w:tcBorders>
              <w:top w:val="nil"/>
              <w:left w:val="nil"/>
              <w:bottom w:val="single" w:sz="4" w:space="0" w:color="auto"/>
              <w:right w:val="single" w:sz="4" w:space="0" w:color="auto"/>
            </w:tcBorders>
            <w:shd w:val="clear" w:color="auto" w:fill="auto"/>
            <w:noWrap/>
            <w:vAlign w:val="bottom"/>
            <w:hideMark/>
          </w:tcPr>
          <w:p w14:paraId="743186CE"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40 </w:t>
            </w:r>
          </w:p>
        </w:tc>
        <w:tc>
          <w:tcPr>
            <w:tcW w:w="850" w:type="dxa"/>
            <w:tcBorders>
              <w:top w:val="nil"/>
              <w:left w:val="nil"/>
              <w:bottom w:val="single" w:sz="4" w:space="0" w:color="auto"/>
              <w:right w:val="single" w:sz="4" w:space="0" w:color="auto"/>
            </w:tcBorders>
            <w:shd w:val="clear" w:color="auto" w:fill="auto"/>
            <w:noWrap/>
            <w:vAlign w:val="bottom"/>
            <w:hideMark/>
          </w:tcPr>
          <w:p w14:paraId="2B0D7CEE"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39 </w:t>
            </w:r>
          </w:p>
        </w:tc>
        <w:tc>
          <w:tcPr>
            <w:tcW w:w="851" w:type="dxa"/>
            <w:tcBorders>
              <w:top w:val="nil"/>
              <w:left w:val="nil"/>
              <w:bottom w:val="single" w:sz="4" w:space="0" w:color="auto"/>
              <w:right w:val="single" w:sz="4" w:space="0" w:color="auto"/>
            </w:tcBorders>
            <w:shd w:val="clear" w:color="auto" w:fill="auto"/>
            <w:noWrap/>
            <w:vAlign w:val="bottom"/>
            <w:hideMark/>
          </w:tcPr>
          <w:p w14:paraId="3F7E861C"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45 </w:t>
            </w:r>
          </w:p>
        </w:tc>
        <w:tc>
          <w:tcPr>
            <w:tcW w:w="850" w:type="dxa"/>
            <w:tcBorders>
              <w:top w:val="nil"/>
              <w:left w:val="nil"/>
              <w:bottom w:val="single" w:sz="4" w:space="0" w:color="auto"/>
              <w:right w:val="single" w:sz="4" w:space="0" w:color="auto"/>
            </w:tcBorders>
            <w:shd w:val="clear" w:color="auto" w:fill="auto"/>
            <w:noWrap/>
            <w:vAlign w:val="bottom"/>
            <w:hideMark/>
          </w:tcPr>
          <w:p w14:paraId="73EBBD3B"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46 </w:t>
            </w:r>
          </w:p>
        </w:tc>
        <w:tc>
          <w:tcPr>
            <w:tcW w:w="897" w:type="dxa"/>
            <w:tcBorders>
              <w:top w:val="nil"/>
              <w:left w:val="nil"/>
              <w:bottom w:val="single" w:sz="4" w:space="0" w:color="auto"/>
              <w:right w:val="single" w:sz="4" w:space="0" w:color="auto"/>
            </w:tcBorders>
            <w:shd w:val="clear" w:color="auto" w:fill="auto"/>
            <w:noWrap/>
            <w:vAlign w:val="bottom"/>
            <w:hideMark/>
          </w:tcPr>
          <w:p w14:paraId="35C77134"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55 </w:t>
            </w:r>
          </w:p>
        </w:tc>
        <w:tc>
          <w:tcPr>
            <w:tcW w:w="897" w:type="dxa"/>
            <w:tcBorders>
              <w:top w:val="nil"/>
              <w:left w:val="nil"/>
              <w:bottom w:val="single" w:sz="4" w:space="0" w:color="auto"/>
              <w:right w:val="single" w:sz="4" w:space="0" w:color="auto"/>
            </w:tcBorders>
            <w:shd w:val="clear" w:color="auto" w:fill="auto"/>
            <w:noWrap/>
            <w:vAlign w:val="bottom"/>
            <w:hideMark/>
          </w:tcPr>
          <w:p w14:paraId="3F4E999A"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74 </w:t>
            </w:r>
          </w:p>
        </w:tc>
        <w:tc>
          <w:tcPr>
            <w:tcW w:w="897" w:type="dxa"/>
            <w:tcBorders>
              <w:top w:val="nil"/>
              <w:left w:val="nil"/>
              <w:bottom w:val="single" w:sz="4" w:space="0" w:color="auto"/>
              <w:right w:val="single" w:sz="4" w:space="0" w:color="auto"/>
            </w:tcBorders>
            <w:shd w:val="clear" w:color="auto" w:fill="auto"/>
            <w:noWrap/>
            <w:vAlign w:val="bottom"/>
            <w:hideMark/>
          </w:tcPr>
          <w:p w14:paraId="45678E40"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87 </w:t>
            </w:r>
          </w:p>
        </w:tc>
        <w:tc>
          <w:tcPr>
            <w:tcW w:w="897" w:type="dxa"/>
            <w:tcBorders>
              <w:top w:val="nil"/>
              <w:left w:val="nil"/>
              <w:bottom w:val="single" w:sz="4" w:space="0" w:color="auto"/>
              <w:right w:val="single" w:sz="4" w:space="0" w:color="auto"/>
            </w:tcBorders>
            <w:shd w:val="clear" w:color="auto" w:fill="auto"/>
            <w:noWrap/>
            <w:vAlign w:val="bottom"/>
            <w:hideMark/>
          </w:tcPr>
          <w:p w14:paraId="30C8F6E8"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102 </w:t>
            </w:r>
          </w:p>
        </w:tc>
      </w:tr>
      <w:tr w:rsidR="00C3310F" w:rsidRPr="00C3310F" w14:paraId="67A3279E" w14:textId="77777777" w:rsidTr="007441B4">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3FA6C08D" w14:textId="792C4710" w:rsidR="000B1C3C" w:rsidRPr="00C3310F" w:rsidRDefault="000B1C3C" w:rsidP="000B1C3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台</w:t>
            </w:r>
            <w:r w:rsidR="00CB5482" w:rsidRPr="00C3310F">
              <w:rPr>
                <w:rFonts w:hAnsi="標楷體" w:cs="新細明體" w:hint="eastAsia"/>
                <w:kern w:val="0"/>
                <w:sz w:val="24"/>
                <w:szCs w:val="24"/>
              </w:rPr>
              <w:t>○</w:t>
            </w:r>
            <w:r w:rsidRPr="00C3310F">
              <w:rPr>
                <w:rFonts w:hAnsi="標楷體" w:cs="新細明體" w:hint="eastAsia"/>
                <w:kern w:val="0"/>
                <w:sz w:val="24"/>
                <w:szCs w:val="24"/>
              </w:rPr>
              <w:t xml:space="preserve">銀行                </w:t>
            </w:r>
          </w:p>
        </w:tc>
        <w:tc>
          <w:tcPr>
            <w:tcW w:w="850" w:type="dxa"/>
            <w:tcBorders>
              <w:top w:val="nil"/>
              <w:left w:val="nil"/>
              <w:bottom w:val="single" w:sz="4" w:space="0" w:color="auto"/>
              <w:right w:val="single" w:sz="4" w:space="0" w:color="auto"/>
            </w:tcBorders>
            <w:shd w:val="clear" w:color="auto" w:fill="auto"/>
            <w:noWrap/>
            <w:vAlign w:val="bottom"/>
            <w:hideMark/>
          </w:tcPr>
          <w:p w14:paraId="7B35AB40"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4,112 </w:t>
            </w:r>
          </w:p>
        </w:tc>
        <w:tc>
          <w:tcPr>
            <w:tcW w:w="851" w:type="dxa"/>
            <w:tcBorders>
              <w:top w:val="nil"/>
              <w:left w:val="nil"/>
              <w:bottom w:val="single" w:sz="4" w:space="0" w:color="auto"/>
              <w:right w:val="single" w:sz="4" w:space="0" w:color="auto"/>
            </w:tcBorders>
            <w:shd w:val="clear" w:color="auto" w:fill="auto"/>
            <w:noWrap/>
            <w:vAlign w:val="bottom"/>
            <w:hideMark/>
          </w:tcPr>
          <w:p w14:paraId="54F7A1C5"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4,533 </w:t>
            </w:r>
          </w:p>
        </w:tc>
        <w:tc>
          <w:tcPr>
            <w:tcW w:w="850" w:type="dxa"/>
            <w:tcBorders>
              <w:top w:val="nil"/>
              <w:left w:val="nil"/>
              <w:bottom w:val="single" w:sz="4" w:space="0" w:color="auto"/>
              <w:right w:val="single" w:sz="4" w:space="0" w:color="auto"/>
            </w:tcBorders>
            <w:shd w:val="clear" w:color="auto" w:fill="auto"/>
            <w:noWrap/>
            <w:vAlign w:val="bottom"/>
            <w:hideMark/>
          </w:tcPr>
          <w:p w14:paraId="3B05F595"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4,881 </w:t>
            </w:r>
          </w:p>
        </w:tc>
        <w:tc>
          <w:tcPr>
            <w:tcW w:w="851" w:type="dxa"/>
            <w:tcBorders>
              <w:top w:val="nil"/>
              <w:left w:val="nil"/>
              <w:bottom w:val="single" w:sz="4" w:space="0" w:color="auto"/>
              <w:right w:val="single" w:sz="4" w:space="0" w:color="auto"/>
            </w:tcBorders>
            <w:shd w:val="clear" w:color="auto" w:fill="auto"/>
            <w:noWrap/>
            <w:vAlign w:val="bottom"/>
            <w:hideMark/>
          </w:tcPr>
          <w:p w14:paraId="6EAB27FF"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5,262 </w:t>
            </w:r>
          </w:p>
        </w:tc>
        <w:tc>
          <w:tcPr>
            <w:tcW w:w="850" w:type="dxa"/>
            <w:tcBorders>
              <w:top w:val="nil"/>
              <w:left w:val="nil"/>
              <w:bottom w:val="single" w:sz="4" w:space="0" w:color="auto"/>
              <w:right w:val="single" w:sz="4" w:space="0" w:color="auto"/>
            </w:tcBorders>
            <w:shd w:val="clear" w:color="auto" w:fill="auto"/>
            <w:noWrap/>
            <w:vAlign w:val="bottom"/>
            <w:hideMark/>
          </w:tcPr>
          <w:p w14:paraId="372A5DCB"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5,503 </w:t>
            </w:r>
          </w:p>
        </w:tc>
        <w:tc>
          <w:tcPr>
            <w:tcW w:w="897" w:type="dxa"/>
            <w:tcBorders>
              <w:top w:val="nil"/>
              <w:left w:val="nil"/>
              <w:bottom w:val="single" w:sz="4" w:space="0" w:color="auto"/>
              <w:right w:val="single" w:sz="4" w:space="0" w:color="auto"/>
            </w:tcBorders>
            <w:shd w:val="clear" w:color="auto" w:fill="auto"/>
            <w:noWrap/>
            <w:vAlign w:val="bottom"/>
            <w:hideMark/>
          </w:tcPr>
          <w:p w14:paraId="6F5D0DD5"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5,952 </w:t>
            </w:r>
          </w:p>
        </w:tc>
        <w:tc>
          <w:tcPr>
            <w:tcW w:w="897" w:type="dxa"/>
            <w:tcBorders>
              <w:top w:val="nil"/>
              <w:left w:val="nil"/>
              <w:bottom w:val="single" w:sz="4" w:space="0" w:color="auto"/>
              <w:right w:val="single" w:sz="4" w:space="0" w:color="auto"/>
            </w:tcBorders>
            <w:shd w:val="clear" w:color="auto" w:fill="auto"/>
            <w:noWrap/>
            <w:vAlign w:val="bottom"/>
            <w:hideMark/>
          </w:tcPr>
          <w:p w14:paraId="5FE8A375"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6,145 </w:t>
            </w:r>
          </w:p>
        </w:tc>
        <w:tc>
          <w:tcPr>
            <w:tcW w:w="897" w:type="dxa"/>
            <w:tcBorders>
              <w:top w:val="nil"/>
              <w:left w:val="nil"/>
              <w:bottom w:val="single" w:sz="4" w:space="0" w:color="auto"/>
              <w:right w:val="single" w:sz="4" w:space="0" w:color="auto"/>
            </w:tcBorders>
            <w:shd w:val="clear" w:color="auto" w:fill="auto"/>
            <w:noWrap/>
            <w:vAlign w:val="bottom"/>
            <w:hideMark/>
          </w:tcPr>
          <w:p w14:paraId="7AD39BBD"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6,316 </w:t>
            </w:r>
          </w:p>
        </w:tc>
        <w:tc>
          <w:tcPr>
            <w:tcW w:w="897" w:type="dxa"/>
            <w:tcBorders>
              <w:top w:val="nil"/>
              <w:left w:val="nil"/>
              <w:bottom w:val="single" w:sz="4" w:space="0" w:color="auto"/>
              <w:right w:val="single" w:sz="4" w:space="0" w:color="auto"/>
            </w:tcBorders>
            <w:shd w:val="clear" w:color="auto" w:fill="auto"/>
            <w:noWrap/>
            <w:vAlign w:val="bottom"/>
            <w:hideMark/>
          </w:tcPr>
          <w:p w14:paraId="230A9281"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6,723 </w:t>
            </w:r>
          </w:p>
        </w:tc>
      </w:tr>
      <w:tr w:rsidR="00C3310F" w:rsidRPr="00C3310F" w14:paraId="6BEE7AB2" w14:textId="77777777" w:rsidTr="007441B4">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7933C08C" w14:textId="04E164D3" w:rsidR="000B1C3C" w:rsidRPr="00C3310F" w:rsidRDefault="000B1C3C" w:rsidP="000B1C3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安</w:t>
            </w:r>
            <w:r w:rsidR="00CB5482" w:rsidRPr="00C3310F">
              <w:rPr>
                <w:rFonts w:hAnsi="標楷體" w:cs="新細明體" w:hint="eastAsia"/>
                <w:kern w:val="0"/>
                <w:sz w:val="24"/>
                <w:szCs w:val="24"/>
              </w:rPr>
              <w:t>○</w:t>
            </w:r>
            <w:r w:rsidRPr="00C3310F">
              <w:rPr>
                <w:rFonts w:hAnsi="標楷體" w:cs="新細明體" w:hint="eastAsia"/>
                <w:kern w:val="0"/>
                <w:sz w:val="24"/>
                <w:szCs w:val="24"/>
              </w:rPr>
              <w:t xml:space="preserve">銀行                </w:t>
            </w:r>
          </w:p>
        </w:tc>
        <w:tc>
          <w:tcPr>
            <w:tcW w:w="850" w:type="dxa"/>
            <w:tcBorders>
              <w:top w:val="nil"/>
              <w:left w:val="nil"/>
              <w:bottom w:val="single" w:sz="4" w:space="0" w:color="auto"/>
              <w:right w:val="single" w:sz="4" w:space="0" w:color="auto"/>
            </w:tcBorders>
            <w:shd w:val="clear" w:color="auto" w:fill="auto"/>
            <w:noWrap/>
            <w:vAlign w:val="bottom"/>
            <w:hideMark/>
          </w:tcPr>
          <w:p w14:paraId="516EA721"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115 </w:t>
            </w:r>
          </w:p>
        </w:tc>
        <w:tc>
          <w:tcPr>
            <w:tcW w:w="851" w:type="dxa"/>
            <w:tcBorders>
              <w:top w:val="nil"/>
              <w:left w:val="nil"/>
              <w:bottom w:val="single" w:sz="4" w:space="0" w:color="auto"/>
              <w:right w:val="single" w:sz="4" w:space="0" w:color="auto"/>
            </w:tcBorders>
            <w:shd w:val="clear" w:color="auto" w:fill="auto"/>
            <w:noWrap/>
            <w:vAlign w:val="bottom"/>
            <w:hideMark/>
          </w:tcPr>
          <w:p w14:paraId="1D0E88F6"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126 </w:t>
            </w:r>
          </w:p>
        </w:tc>
        <w:tc>
          <w:tcPr>
            <w:tcW w:w="850" w:type="dxa"/>
            <w:tcBorders>
              <w:top w:val="nil"/>
              <w:left w:val="nil"/>
              <w:bottom w:val="single" w:sz="4" w:space="0" w:color="auto"/>
              <w:right w:val="single" w:sz="4" w:space="0" w:color="auto"/>
            </w:tcBorders>
            <w:shd w:val="clear" w:color="auto" w:fill="auto"/>
            <w:noWrap/>
            <w:vAlign w:val="bottom"/>
            <w:hideMark/>
          </w:tcPr>
          <w:p w14:paraId="51A91564"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121 </w:t>
            </w:r>
          </w:p>
        </w:tc>
        <w:tc>
          <w:tcPr>
            <w:tcW w:w="851" w:type="dxa"/>
            <w:tcBorders>
              <w:top w:val="nil"/>
              <w:left w:val="nil"/>
              <w:bottom w:val="single" w:sz="4" w:space="0" w:color="auto"/>
              <w:right w:val="single" w:sz="4" w:space="0" w:color="auto"/>
            </w:tcBorders>
            <w:shd w:val="clear" w:color="auto" w:fill="auto"/>
            <w:noWrap/>
            <w:vAlign w:val="bottom"/>
            <w:hideMark/>
          </w:tcPr>
          <w:p w14:paraId="5EA676DE"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127 </w:t>
            </w:r>
          </w:p>
        </w:tc>
        <w:tc>
          <w:tcPr>
            <w:tcW w:w="850" w:type="dxa"/>
            <w:tcBorders>
              <w:top w:val="nil"/>
              <w:left w:val="nil"/>
              <w:bottom w:val="single" w:sz="4" w:space="0" w:color="auto"/>
              <w:right w:val="single" w:sz="4" w:space="0" w:color="auto"/>
            </w:tcBorders>
            <w:shd w:val="clear" w:color="auto" w:fill="auto"/>
            <w:noWrap/>
            <w:vAlign w:val="bottom"/>
            <w:hideMark/>
          </w:tcPr>
          <w:p w14:paraId="332AFED0"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142 </w:t>
            </w:r>
          </w:p>
        </w:tc>
        <w:tc>
          <w:tcPr>
            <w:tcW w:w="897" w:type="dxa"/>
            <w:tcBorders>
              <w:top w:val="nil"/>
              <w:left w:val="nil"/>
              <w:bottom w:val="single" w:sz="4" w:space="0" w:color="auto"/>
              <w:right w:val="single" w:sz="4" w:space="0" w:color="auto"/>
            </w:tcBorders>
            <w:shd w:val="clear" w:color="auto" w:fill="auto"/>
            <w:noWrap/>
            <w:vAlign w:val="bottom"/>
            <w:hideMark/>
          </w:tcPr>
          <w:p w14:paraId="137E3513"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149 </w:t>
            </w:r>
          </w:p>
        </w:tc>
        <w:tc>
          <w:tcPr>
            <w:tcW w:w="897" w:type="dxa"/>
            <w:tcBorders>
              <w:top w:val="nil"/>
              <w:left w:val="nil"/>
              <w:bottom w:val="single" w:sz="4" w:space="0" w:color="auto"/>
              <w:right w:val="single" w:sz="4" w:space="0" w:color="auto"/>
            </w:tcBorders>
            <w:shd w:val="clear" w:color="auto" w:fill="auto"/>
            <w:noWrap/>
            <w:vAlign w:val="bottom"/>
            <w:hideMark/>
          </w:tcPr>
          <w:p w14:paraId="6BC6E6A0"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154 </w:t>
            </w:r>
          </w:p>
        </w:tc>
        <w:tc>
          <w:tcPr>
            <w:tcW w:w="897" w:type="dxa"/>
            <w:tcBorders>
              <w:top w:val="nil"/>
              <w:left w:val="nil"/>
              <w:bottom w:val="single" w:sz="4" w:space="0" w:color="auto"/>
              <w:right w:val="single" w:sz="4" w:space="0" w:color="auto"/>
            </w:tcBorders>
            <w:shd w:val="clear" w:color="auto" w:fill="auto"/>
            <w:noWrap/>
            <w:vAlign w:val="bottom"/>
            <w:hideMark/>
          </w:tcPr>
          <w:p w14:paraId="488A8854"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164 </w:t>
            </w:r>
          </w:p>
        </w:tc>
        <w:tc>
          <w:tcPr>
            <w:tcW w:w="897" w:type="dxa"/>
            <w:tcBorders>
              <w:top w:val="nil"/>
              <w:left w:val="nil"/>
              <w:bottom w:val="single" w:sz="4" w:space="0" w:color="auto"/>
              <w:right w:val="single" w:sz="4" w:space="0" w:color="auto"/>
            </w:tcBorders>
            <w:shd w:val="clear" w:color="auto" w:fill="auto"/>
            <w:noWrap/>
            <w:vAlign w:val="bottom"/>
            <w:hideMark/>
          </w:tcPr>
          <w:p w14:paraId="059CD044"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180 </w:t>
            </w:r>
          </w:p>
        </w:tc>
      </w:tr>
      <w:tr w:rsidR="00C3310F" w:rsidRPr="00C3310F" w14:paraId="33725714" w14:textId="77777777" w:rsidTr="007441B4">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36E5EF22" w14:textId="64D2C0CA" w:rsidR="000B1C3C" w:rsidRPr="00C3310F" w:rsidRDefault="000B1C3C" w:rsidP="000B1C3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中</w:t>
            </w:r>
            <w:r w:rsidR="00CB5482" w:rsidRPr="00C3310F">
              <w:rPr>
                <w:rFonts w:hAnsi="標楷體" w:cs="新細明體" w:hint="eastAsia"/>
                <w:kern w:val="0"/>
                <w:sz w:val="24"/>
                <w:szCs w:val="24"/>
              </w:rPr>
              <w:t>○</w:t>
            </w:r>
            <w:r w:rsidRPr="00C3310F">
              <w:rPr>
                <w:rFonts w:hAnsi="標楷體" w:cs="新細明體" w:hint="eastAsia"/>
                <w:kern w:val="0"/>
                <w:sz w:val="24"/>
                <w:szCs w:val="24"/>
              </w:rPr>
              <w:t xml:space="preserve">信託銀行            </w:t>
            </w:r>
          </w:p>
        </w:tc>
        <w:tc>
          <w:tcPr>
            <w:tcW w:w="850" w:type="dxa"/>
            <w:tcBorders>
              <w:top w:val="nil"/>
              <w:left w:val="nil"/>
              <w:bottom w:val="single" w:sz="4" w:space="0" w:color="auto"/>
              <w:right w:val="single" w:sz="4" w:space="0" w:color="auto"/>
            </w:tcBorders>
            <w:shd w:val="clear" w:color="auto" w:fill="auto"/>
            <w:noWrap/>
            <w:vAlign w:val="bottom"/>
            <w:hideMark/>
          </w:tcPr>
          <w:p w14:paraId="2E13B78E"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13,415 </w:t>
            </w:r>
          </w:p>
        </w:tc>
        <w:tc>
          <w:tcPr>
            <w:tcW w:w="851" w:type="dxa"/>
            <w:tcBorders>
              <w:top w:val="nil"/>
              <w:left w:val="nil"/>
              <w:bottom w:val="single" w:sz="4" w:space="0" w:color="auto"/>
              <w:right w:val="single" w:sz="4" w:space="0" w:color="auto"/>
            </w:tcBorders>
            <w:shd w:val="clear" w:color="auto" w:fill="auto"/>
            <w:noWrap/>
            <w:vAlign w:val="bottom"/>
            <w:hideMark/>
          </w:tcPr>
          <w:p w14:paraId="45759203"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15,550 </w:t>
            </w:r>
          </w:p>
        </w:tc>
        <w:tc>
          <w:tcPr>
            <w:tcW w:w="850" w:type="dxa"/>
            <w:tcBorders>
              <w:top w:val="nil"/>
              <w:left w:val="nil"/>
              <w:bottom w:val="single" w:sz="4" w:space="0" w:color="auto"/>
              <w:right w:val="single" w:sz="4" w:space="0" w:color="auto"/>
            </w:tcBorders>
            <w:shd w:val="clear" w:color="auto" w:fill="auto"/>
            <w:noWrap/>
            <w:vAlign w:val="bottom"/>
            <w:hideMark/>
          </w:tcPr>
          <w:p w14:paraId="4A6F453F"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17,539 </w:t>
            </w:r>
          </w:p>
        </w:tc>
        <w:tc>
          <w:tcPr>
            <w:tcW w:w="851" w:type="dxa"/>
            <w:tcBorders>
              <w:top w:val="nil"/>
              <w:left w:val="nil"/>
              <w:bottom w:val="single" w:sz="4" w:space="0" w:color="auto"/>
              <w:right w:val="single" w:sz="4" w:space="0" w:color="auto"/>
            </w:tcBorders>
            <w:shd w:val="clear" w:color="auto" w:fill="auto"/>
            <w:noWrap/>
            <w:vAlign w:val="bottom"/>
            <w:hideMark/>
          </w:tcPr>
          <w:p w14:paraId="29C058A8"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20,213 </w:t>
            </w:r>
          </w:p>
        </w:tc>
        <w:tc>
          <w:tcPr>
            <w:tcW w:w="850" w:type="dxa"/>
            <w:tcBorders>
              <w:top w:val="nil"/>
              <w:left w:val="nil"/>
              <w:bottom w:val="single" w:sz="4" w:space="0" w:color="auto"/>
              <w:right w:val="single" w:sz="4" w:space="0" w:color="auto"/>
            </w:tcBorders>
            <w:shd w:val="clear" w:color="auto" w:fill="auto"/>
            <w:noWrap/>
            <w:vAlign w:val="bottom"/>
            <w:hideMark/>
          </w:tcPr>
          <w:p w14:paraId="5315E58B"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21,447 </w:t>
            </w:r>
          </w:p>
        </w:tc>
        <w:tc>
          <w:tcPr>
            <w:tcW w:w="897" w:type="dxa"/>
            <w:tcBorders>
              <w:top w:val="nil"/>
              <w:left w:val="nil"/>
              <w:bottom w:val="single" w:sz="4" w:space="0" w:color="auto"/>
              <w:right w:val="single" w:sz="4" w:space="0" w:color="auto"/>
            </w:tcBorders>
            <w:shd w:val="clear" w:color="auto" w:fill="auto"/>
            <w:noWrap/>
            <w:vAlign w:val="bottom"/>
            <w:hideMark/>
          </w:tcPr>
          <w:p w14:paraId="0A13EE66"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22,239 </w:t>
            </w:r>
          </w:p>
        </w:tc>
        <w:tc>
          <w:tcPr>
            <w:tcW w:w="897" w:type="dxa"/>
            <w:tcBorders>
              <w:top w:val="nil"/>
              <w:left w:val="nil"/>
              <w:bottom w:val="single" w:sz="4" w:space="0" w:color="auto"/>
              <w:right w:val="single" w:sz="4" w:space="0" w:color="auto"/>
            </w:tcBorders>
            <w:shd w:val="clear" w:color="auto" w:fill="auto"/>
            <w:noWrap/>
            <w:vAlign w:val="bottom"/>
            <w:hideMark/>
          </w:tcPr>
          <w:p w14:paraId="39AD7DEC"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22,332 </w:t>
            </w:r>
          </w:p>
        </w:tc>
        <w:tc>
          <w:tcPr>
            <w:tcW w:w="897" w:type="dxa"/>
            <w:tcBorders>
              <w:top w:val="nil"/>
              <w:left w:val="nil"/>
              <w:bottom w:val="single" w:sz="4" w:space="0" w:color="auto"/>
              <w:right w:val="single" w:sz="4" w:space="0" w:color="auto"/>
            </w:tcBorders>
            <w:shd w:val="clear" w:color="auto" w:fill="auto"/>
            <w:noWrap/>
            <w:vAlign w:val="bottom"/>
            <w:hideMark/>
          </w:tcPr>
          <w:p w14:paraId="4FC4896B"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22,192 </w:t>
            </w:r>
          </w:p>
        </w:tc>
        <w:tc>
          <w:tcPr>
            <w:tcW w:w="897" w:type="dxa"/>
            <w:tcBorders>
              <w:top w:val="nil"/>
              <w:left w:val="nil"/>
              <w:bottom w:val="single" w:sz="4" w:space="0" w:color="auto"/>
              <w:right w:val="single" w:sz="4" w:space="0" w:color="auto"/>
            </w:tcBorders>
            <w:shd w:val="clear" w:color="auto" w:fill="auto"/>
            <w:noWrap/>
            <w:vAlign w:val="bottom"/>
            <w:hideMark/>
          </w:tcPr>
          <w:p w14:paraId="41D8C109"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22,066 </w:t>
            </w:r>
          </w:p>
        </w:tc>
      </w:tr>
      <w:tr w:rsidR="00C3310F" w:rsidRPr="00C3310F" w14:paraId="2D76A3B6" w14:textId="77777777" w:rsidTr="007441B4">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448367D1" w14:textId="64C59A85" w:rsidR="000B1C3C" w:rsidRPr="00C3310F" w:rsidRDefault="000B1C3C" w:rsidP="000B1C3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將</w:t>
            </w:r>
            <w:r w:rsidR="00CB5482" w:rsidRPr="00C3310F">
              <w:rPr>
                <w:rFonts w:hAnsi="標楷體" w:cs="新細明體" w:hint="eastAsia"/>
                <w:kern w:val="0"/>
                <w:sz w:val="24"/>
                <w:szCs w:val="24"/>
              </w:rPr>
              <w:t>○</w:t>
            </w:r>
            <w:r w:rsidRPr="00C3310F">
              <w:rPr>
                <w:rFonts w:hAnsi="標楷體" w:cs="新細明體" w:hint="eastAsia"/>
                <w:kern w:val="0"/>
                <w:sz w:val="24"/>
                <w:szCs w:val="24"/>
              </w:rPr>
              <w:t xml:space="preserve">商業銀行            </w:t>
            </w:r>
          </w:p>
        </w:tc>
        <w:tc>
          <w:tcPr>
            <w:tcW w:w="850" w:type="dxa"/>
            <w:tcBorders>
              <w:top w:val="nil"/>
              <w:left w:val="nil"/>
              <w:bottom w:val="single" w:sz="4" w:space="0" w:color="auto"/>
              <w:right w:val="single" w:sz="4" w:space="0" w:color="auto"/>
            </w:tcBorders>
            <w:shd w:val="clear" w:color="auto" w:fill="auto"/>
            <w:noWrap/>
            <w:vAlign w:val="bottom"/>
            <w:hideMark/>
          </w:tcPr>
          <w:p w14:paraId="003296B2"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   </w:t>
            </w:r>
          </w:p>
        </w:tc>
        <w:tc>
          <w:tcPr>
            <w:tcW w:w="851" w:type="dxa"/>
            <w:tcBorders>
              <w:top w:val="nil"/>
              <w:left w:val="nil"/>
              <w:bottom w:val="single" w:sz="4" w:space="0" w:color="auto"/>
              <w:right w:val="single" w:sz="4" w:space="0" w:color="auto"/>
            </w:tcBorders>
            <w:shd w:val="clear" w:color="auto" w:fill="auto"/>
            <w:noWrap/>
            <w:vAlign w:val="bottom"/>
            <w:hideMark/>
          </w:tcPr>
          <w:p w14:paraId="2FCBCF01"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   </w:t>
            </w:r>
          </w:p>
        </w:tc>
        <w:tc>
          <w:tcPr>
            <w:tcW w:w="850" w:type="dxa"/>
            <w:tcBorders>
              <w:top w:val="nil"/>
              <w:left w:val="nil"/>
              <w:bottom w:val="single" w:sz="4" w:space="0" w:color="auto"/>
              <w:right w:val="single" w:sz="4" w:space="0" w:color="auto"/>
            </w:tcBorders>
            <w:shd w:val="clear" w:color="auto" w:fill="auto"/>
            <w:noWrap/>
            <w:vAlign w:val="bottom"/>
            <w:hideMark/>
          </w:tcPr>
          <w:p w14:paraId="38D136E0"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   </w:t>
            </w:r>
          </w:p>
        </w:tc>
        <w:tc>
          <w:tcPr>
            <w:tcW w:w="851" w:type="dxa"/>
            <w:tcBorders>
              <w:top w:val="nil"/>
              <w:left w:val="nil"/>
              <w:bottom w:val="single" w:sz="4" w:space="0" w:color="auto"/>
              <w:right w:val="single" w:sz="4" w:space="0" w:color="auto"/>
            </w:tcBorders>
            <w:shd w:val="clear" w:color="auto" w:fill="auto"/>
            <w:noWrap/>
            <w:vAlign w:val="bottom"/>
            <w:hideMark/>
          </w:tcPr>
          <w:p w14:paraId="4D330B9C"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587 </w:t>
            </w:r>
          </w:p>
        </w:tc>
        <w:tc>
          <w:tcPr>
            <w:tcW w:w="850" w:type="dxa"/>
            <w:tcBorders>
              <w:top w:val="nil"/>
              <w:left w:val="nil"/>
              <w:bottom w:val="single" w:sz="4" w:space="0" w:color="auto"/>
              <w:right w:val="single" w:sz="4" w:space="0" w:color="auto"/>
            </w:tcBorders>
            <w:shd w:val="clear" w:color="auto" w:fill="auto"/>
            <w:noWrap/>
            <w:vAlign w:val="bottom"/>
            <w:hideMark/>
          </w:tcPr>
          <w:p w14:paraId="3A515084"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694 </w:t>
            </w:r>
          </w:p>
        </w:tc>
        <w:tc>
          <w:tcPr>
            <w:tcW w:w="897" w:type="dxa"/>
            <w:tcBorders>
              <w:top w:val="nil"/>
              <w:left w:val="nil"/>
              <w:bottom w:val="single" w:sz="4" w:space="0" w:color="auto"/>
              <w:right w:val="single" w:sz="4" w:space="0" w:color="auto"/>
            </w:tcBorders>
            <w:shd w:val="clear" w:color="auto" w:fill="auto"/>
            <w:noWrap/>
            <w:vAlign w:val="bottom"/>
            <w:hideMark/>
          </w:tcPr>
          <w:p w14:paraId="5C8AA08F"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789 </w:t>
            </w:r>
          </w:p>
        </w:tc>
        <w:tc>
          <w:tcPr>
            <w:tcW w:w="897" w:type="dxa"/>
            <w:tcBorders>
              <w:top w:val="nil"/>
              <w:left w:val="nil"/>
              <w:bottom w:val="single" w:sz="4" w:space="0" w:color="auto"/>
              <w:right w:val="single" w:sz="4" w:space="0" w:color="auto"/>
            </w:tcBorders>
            <w:shd w:val="clear" w:color="auto" w:fill="auto"/>
            <w:noWrap/>
            <w:vAlign w:val="bottom"/>
            <w:hideMark/>
          </w:tcPr>
          <w:p w14:paraId="4D3E682A"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850 </w:t>
            </w:r>
          </w:p>
        </w:tc>
        <w:tc>
          <w:tcPr>
            <w:tcW w:w="897" w:type="dxa"/>
            <w:tcBorders>
              <w:top w:val="nil"/>
              <w:left w:val="nil"/>
              <w:bottom w:val="single" w:sz="4" w:space="0" w:color="auto"/>
              <w:right w:val="single" w:sz="4" w:space="0" w:color="auto"/>
            </w:tcBorders>
            <w:shd w:val="clear" w:color="auto" w:fill="auto"/>
            <w:noWrap/>
            <w:vAlign w:val="bottom"/>
            <w:hideMark/>
          </w:tcPr>
          <w:p w14:paraId="6E2EE168"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922 </w:t>
            </w:r>
          </w:p>
        </w:tc>
        <w:tc>
          <w:tcPr>
            <w:tcW w:w="897" w:type="dxa"/>
            <w:tcBorders>
              <w:top w:val="nil"/>
              <w:left w:val="nil"/>
              <w:bottom w:val="single" w:sz="4" w:space="0" w:color="auto"/>
              <w:right w:val="single" w:sz="4" w:space="0" w:color="auto"/>
            </w:tcBorders>
            <w:shd w:val="clear" w:color="auto" w:fill="auto"/>
            <w:noWrap/>
            <w:vAlign w:val="bottom"/>
            <w:hideMark/>
          </w:tcPr>
          <w:p w14:paraId="178A3DEE"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977 </w:t>
            </w:r>
          </w:p>
        </w:tc>
      </w:tr>
      <w:tr w:rsidR="00C3310F" w:rsidRPr="00C3310F" w14:paraId="346B1DF2" w14:textId="77777777" w:rsidTr="007441B4">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3B734533" w14:textId="3DA86981" w:rsidR="000B1C3C" w:rsidRPr="00C3310F" w:rsidRDefault="000B1C3C" w:rsidP="000B1C3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樂</w:t>
            </w:r>
            <w:r w:rsidR="00CB5482" w:rsidRPr="00C3310F">
              <w:rPr>
                <w:rFonts w:hAnsi="標楷體" w:cs="新細明體" w:hint="eastAsia"/>
                <w:kern w:val="0"/>
                <w:sz w:val="24"/>
                <w:szCs w:val="24"/>
              </w:rPr>
              <w:t>○</w:t>
            </w:r>
            <w:r w:rsidRPr="00C3310F">
              <w:rPr>
                <w:rFonts w:hAnsi="標楷體" w:cs="新細明體" w:hint="eastAsia"/>
                <w:kern w:val="0"/>
                <w:sz w:val="24"/>
                <w:szCs w:val="24"/>
              </w:rPr>
              <w:t xml:space="preserve">國際商業銀行        </w:t>
            </w:r>
          </w:p>
        </w:tc>
        <w:tc>
          <w:tcPr>
            <w:tcW w:w="850" w:type="dxa"/>
            <w:tcBorders>
              <w:top w:val="nil"/>
              <w:left w:val="nil"/>
              <w:bottom w:val="single" w:sz="4" w:space="0" w:color="auto"/>
              <w:right w:val="single" w:sz="4" w:space="0" w:color="auto"/>
            </w:tcBorders>
            <w:shd w:val="clear" w:color="auto" w:fill="auto"/>
            <w:noWrap/>
            <w:vAlign w:val="bottom"/>
            <w:hideMark/>
          </w:tcPr>
          <w:p w14:paraId="50328553"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117 </w:t>
            </w:r>
          </w:p>
        </w:tc>
        <w:tc>
          <w:tcPr>
            <w:tcW w:w="851" w:type="dxa"/>
            <w:tcBorders>
              <w:top w:val="nil"/>
              <w:left w:val="nil"/>
              <w:bottom w:val="single" w:sz="4" w:space="0" w:color="auto"/>
              <w:right w:val="single" w:sz="4" w:space="0" w:color="auto"/>
            </w:tcBorders>
            <w:shd w:val="clear" w:color="auto" w:fill="auto"/>
            <w:noWrap/>
            <w:vAlign w:val="bottom"/>
            <w:hideMark/>
          </w:tcPr>
          <w:p w14:paraId="3D31AC27"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127 </w:t>
            </w:r>
          </w:p>
        </w:tc>
        <w:tc>
          <w:tcPr>
            <w:tcW w:w="850" w:type="dxa"/>
            <w:tcBorders>
              <w:top w:val="nil"/>
              <w:left w:val="nil"/>
              <w:bottom w:val="single" w:sz="4" w:space="0" w:color="auto"/>
              <w:right w:val="single" w:sz="4" w:space="0" w:color="auto"/>
            </w:tcBorders>
            <w:shd w:val="clear" w:color="auto" w:fill="auto"/>
            <w:noWrap/>
            <w:vAlign w:val="bottom"/>
            <w:hideMark/>
          </w:tcPr>
          <w:p w14:paraId="35A61655"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150 </w:t>
            </w:r>
          </w:p>
        </w:tc>
        <w:tc>
          <w:tcPr>
            <w:tcW w:w="851" w:type="dxa"/>
            <w:tcBorders>
              <w:top w:val="nil"/>
              <w:left w:val="nil"/>
              <w:bottom w:val="single" w:sz="4" w:space="0" w:color="auto"/>
              <w:right w:val="single" w:sz="4" w:space="0" w:color="auto"/>
            </w:tcBorders>
            <w:shd w:val="clear" w:color="auto" w:fill="auto"/>
            <w:noWrap/>
            <w:vAlign w:val="bottom"/>
            <w:hideMark/>
          </w:tcPr>
          <w:p w14:paraId="3FB37D44"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191 </w:t>
            </w:r>
          </w:p>
        </w:tc>
        <w:tc>
          <w:tcPr>
            <w:tcW w:w="850" w:type="dxa"/>
            <w:tcBorders>
              <w:top w:val="nil"/>
              <w:left w:val="nil"/>
              <w:bottom w:val="single" w:sz="4" w:space="0" w:color="auto"/>
              <w:right w:val="single" w:sz="4" w:space="0" w:color="auto"/>
            </w:tcBorders>
            <w:shd w:val="clear" w:color="auto" w:fill="auto"/>
            <w:noWrap/>
            <w:vAlign w:val="bottom"/>
            <w:hideMark/>
          </w:tcPr>
          <w:p w14:paraId="63D970FE"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219 </w:t>
            </w:r>
          </w:p>
        </w:tc>
        <w:tc>
          <w:tcPr>
            <w:tcW w:w="897" w:type="dxa"/>
            <w:tcBorders>
              <w:top w:val="nil"/>
              <w:left w:val="nil"/>
              <w:bottom w:val="single" w:sz="4" w:space="0" w:color="auto"/>
              <w:right w:val="single" w:sz="4" w:space="0" w:color="auto"/>
            </w:tcBorders>
            <w:shd w:val="clear" w:color="auto" w:fill="auto"/>
            <w:noWrap/>
            <w:vAlign w:val="bottom"/>
            <w:hideMark/>
          </w:tcPr>
          <w:p w14:paraId="27D0B191"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245 </w:t>
            </w:r>
          </w:p>
        </w:tc>
        <w:tc>
          <w:tcPr>
            <w:tcW w:w="897" w:type="dxa"/>
            <w:tcBorders>
              <w:top w:val="nil"/>
              <w:left w:val="nil"/>
              <w:bottom w:val="single" w:sz="4" w:space="0" w:color="auto"/>
              <w:right w:val="single" w:sz="4" w:space="0" w:color="auto"/>
            </w:tcBorders>
            <w:shd w:val="clear" w:color="auto" w:fill="auto"/>
            <w:noWrap/>
            <w:vAlign w:val="bottom"/>
            <w:hideMark/>
          </w:tcPr>
          <w:p w14:paraId="0C38D3BB"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268 </w:t>
            </w:r>
          </w:p>
        </w:tc>
        <w:tc>
          <w:tcPr>
            <w:tcW w:w="897" w:type="dxa"/>
            <w:tcBorders>
              <w:top w:val="nil"/>
              <w:left w:val="nil"/>
              <w:bottom w:val="single" w:sz="4" w:space="0" w:color="auto"/>
              <w:right w:val="single" w:sz="4" w:space="0" w:color="auto"/>
            </w:tcBorders>
            <w:shd w:val="clear" w:color="auto" w:fill="auto"/>
            <w:noWrap/>
            <w:vAlign w:val="bottom"/>
            <w:hideMark/>
          </w:tcPr>
          <w:p w14:paraId="7B1F6E6B"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295 </w:t>
            </w:r>
          </w:p>
        </w:tc>
        <w:tc>
          <w:tcPr>
            <w:tcW w:w="897" w:type="dxa"/>
            <w:tcBorders>
              <w:top w:val="nil"/>
              <w:left w:val="nil"/>
              <w:bottom w:val="single" w:sz="4" w:space="0" w:color="auto"/>
              <w:right w:val="single" w:sz="4" w:space="0" w:color="auto"/>
            </w:tcBorders>
            <w:shd w:val="clear" w:color="auto" w:fill="auto"/>
            <w:noWrap/>
            <w:vAlign w:val="bottom"/>
            <w:hideMark/>
          </w:tcPr>
          <w:p w14:paraId="7FDBF5A1"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304 </w:t>
            </w:r>
          </w:p>
        </w:tc>
      </w:tr>
      <w:tr w:rsidR="00C3310F" w:rsidRPr="00C3310F" w14:paraId="4B5D9BF2" w14:textId="77777777" w:rsidTr="007441B4">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0C689B84" w14:textId="4F60F51C" w:rsidR="000B1C3C" w:rsidRPr="00C3310F" w:rsidRDefault="000B1C3C" w:rsidP="000B1C3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連</w:t>
            </w:r>
            <w:r w:rsidR="00CB5482" w:rsidRPr="00C3310F">
              <w:rPr>
                <w:rFonts w:hAnsi="標楷體" w:cs="新細明體" w:hint="eastAsia"/>
                <w:kern w:val="0"/>
                <w:sz w:val="24"/>
                <w:szCs w:val="24"/>
              </w:rPr>
              <w:t>○</w:t>
            </w:r>
            <w:r w:rsidRPr="00C3310F">
              <w:rPr>
                <w:rFonts w:hAnsi="標楷體" w:cs="新細明體" w:hint="eastAsia"/>
                <w:kern w:val="0"/>
                <w:sz w:val="24"/>
                <w:szCs w:val="24"/>
              </w:rPr>
              <w:t xml:space="preserve">商業銀行            </w:t>
            </w:r>
          </w:p>
        </w:tc>
        <w:tc>
          <w:tcPr>
            <w:tcW w:w="850" w:type="dxa"/>
            <w:tcBorders>
              <w:top w:val="nil"/>
              <w:left w:val="nil"/>
              <w:bottom w:val="single" w:sz="4" w:space="0" w:color="auto"/>
              <w:right w:val="single" w:sz="4" w:space="0" w:color="auto"/>
            </w:tcBorders>
            <w:shd w:val="clear" w:color="auto" w:fill="auto"/>
            <w:noWrap/>
            <w:vAlign w:val="bottom"/>
            <w:hideMark/>
          </w:tcPr>
          <w:p w14:paraId="2422DF30"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85 </w:t>
            </w:r>
          </w:p>
        </w:tc>
        <w:tc>
          <w:tcPr>
            <w:tcW w:w="851" w:type="dxa"/>
            <w:tcBorders>
              <w:top w:val="nil"/>
              <w:left w:val="nil"/>
              <w:bottom w:val="single" w:sz="4" w:space="0" w:color="auto"/>
              <w:right w:val="single" w:sz="4" w:space="0" w:color="auto"/>
            </w:tcBorders>
            <w:shd w:val="clear" w:color="auto" w:fill="auto"/>
            <w:noWrap/>
            <w:vAlign w:val="bottom"/>
            <w:hideMark/>
          </w:tcPr>
          <w:p w14:paraId="68D8EBCF"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153 </w:t>
            </w:r>
          </w:p>
        </w:tc>
        <w:tc>
          <w:tcPr>
            <w:tcW w:w="850" w:type="dxa"/>
            <w:tcBorders>
              <w:top w:val="nil"/>
              <w:left w:val="nil"/>
              <w:bottom w:val="single" w:sz="4" w:space="0" w:color="auto"/>
              <w:right w:val="single" w:sz="4" w:space="0" w:color="auto"/>
            </w:tcBorders>
            <w:shd w:val="clear" w:color="auto" w:fill="auto"/>
            <w:noWrap/>
            <w:vAlign w:val="bottom"/>
            <w:hideMark/>
          </w:tcPr>
          <w:p w14:paraId="64DB46F4"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211 </w:t>
            </w:r>
          </w:p>
        </w:tc>
        <w:tc>
          <w:tcPr>
            <w:tcW w:w="851" w:type="dxa"/>
            <w:tcBorders>
              <w:top w:val="nil"/>
              <w:left w:val="nil"/>
              <w:bottom w:val="single" w:sz="4" w:space="0" w:color="auto"/>
              <w:right w:val="single" w:sz="4" w:space="0" w:color="auto"/>
            </w:tcBorders>
            <w:shd w:val="clear" w:color="auto" w:fill="auto"/>
            <w:noWrap/>
            <w:vAlign w:val="bottom"/>
            <w:hideMark/>
          </w:tcPr>
          <w:p w14:paraId="4B3DE7EA"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338 </w:t>
            </w:r>
          </w:p>
        </w:tc>
        <w:tc>
          <w:tcPr>
            <w:tcW w:w="850" w:type="dxa"/>
            <w:tcBorders>
              <w:top w:val="nil"/>
              <w:left w:val="nil"/>
              <w:bottom w:val="single" w:sz="4" w:space="0" w:color="auto"/>
              <w:right w:val="single" w:sz="4" w:space="0" w:color="auto"/>
            </w:tcBorders>
            <w:shd w:val="clear" w:color="auto" w:fill="auto"/>
            <w:noWrap/>
            <w:vAlign w:val="bottom"/>
            <w:hideMark/>
          </w:tcPr>
          <w:p w14:paraId="20F6DDB7"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439 </w:t>
            </w:r>
          </w:p>
        </w:tc>
        <w:tc>
          <w:tcPr>
            <w:tcW w:w="897" w:type="dxa"/>
            <w:tcBorders>
              <w:top w:val="nil"/>
              <w:left w:val="nil"/>
              <w:bottom w:val="single" w:sz="4" w:space="0" w:color="auto"/>
              <w:right w:val="single" w:sz="4" w:space="0" w:color="auto"/>
            </w:tcBorders>
            <w:shd w:val="clear" w:color="auto" w:fill="auto"/>
            <w:noWrap/>
            <w:vAlign w:val="bottom"/>
            <w:hideMark/>
          </w:tcPr>
          <w:p w14:paraId="39A489ED"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566 </w:t>
            </w:r>
          </w:p>
        </w:tc>
        <w:tc>
          <w:tcPr>
            <w:tcW w:w="897" w:type="dxa"/>
            <w:tcBorders>
              <w:top w:val="nil"/>
              <w:left w:val="nil"/>
              <w:bottom w:val="single" w:sz="4" w:space="0" w:color="auto"/>
              <w:right w:val="single" w:sz="4" w:space="0" w:color="auto"/>
            </w:tcBorders>
            <w:shd w:val="clear" w:color="auto" w:fill="auto"/>
            <w:noWrap/>
            <w:vAlign w:val="bottom"/>
            <w:hideMark/>
          </w:tcPr>
          <w:p w14:paraId="784C17C5"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740 </w:t>
            </w:r>
          </w:p>
        </w:tc>
        <w:tc>
          <w:tcPr>
            <w:tcW w:w="897" w:type="dxa"/>
            <w:tcBorders>
              <w:top w:val="nil"/>
              <w:left w:val="nil"/>
              <w:bottom w:val="single" w:sz="4" w:space="0" w:color="auto"/>
              <w:right w:val="single" w:sz="4" w:space="0" w:color="auto"/>
            </w:tcBorders>
            <w:shd w:val="clear" w:color="auto" w:fill="auto"/>
            <w:noWrap/>
            <w:vAlign w:val="bottom"/>
            <w:hideMark/>
          </w:tcPr>
          <w:p w14:paraId="1A38D622"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902 </w:t>
            </w:r>
          </w:p>
        </w:tc>
        <w:tc>
          <w:tcPr>
            <w:tcW w:w="897" w:type="dxa"/>
            <w:tcBorders>
              <w:top w:val="nil"/>
              <w:left w:val="nil"/>
              <w:bottom w:val="single" w:sz="4" w:space="0" w:color="auto"/>
              <w:right w:val="single" w:sz="4" w:space="0" w:color="auto"/>
            </w:tcBorders>
            <w:shd w:val="clear" w:color="auto" w:fill="auto"/>
            <w:noWrap/>
            <w:vAlign w:val="bottom"/>
            <w:hideMark/>
          </w:tcPr>
          <w:p w14:paraId="117B89AE"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1,048 </w:t>
            </w:r>
          </w:p>
        </w:tc>
      </w:tr>
      <w:tr w:rsidR="00C3310F" w:rsidRPr="00C3310F" w14:paraId="74D341A2" w14:textId="77777777" w:rsidTr="007441B4">
        <w:trPr>
          <w:trHeight w:val="399"/>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6134748B" w14:textId="77777777" w:rsidR="000B1C3C" w:rsidRPr="00C3310F" w:rsidRDefault="000B1C3C" w:rsidP="000B1C3C">
            <w:pPr>
              <w:widowControl/>
              <w:overflowPunct/>
              <w:autoSpaceDE/>
              <w:autoSpaceDN/>
              <w:spacing w:line="280" w:lineRule="exact"/>
              <w:jc w:val="left"/>
              <w:rPr>
                <w:rFonts w:hAnsi="標楷體" w:cs="新細明體"/>
                <w:kern w:val="0"/>
                <w:sz w:val="24"/>
                <w:szCs w:val="24"/>
              </w:rPr>
            </w:pPr>
            <w:r w:rsidRPr="00C3310F">
              <w:rPr>
                <w:rFonts w:hAnsi="標楷體" w:cs="新細明體" w:hint="eastAsia"/>
                <w:kern w:val="0"/>
                <w:sz w:val="24"/>
                <w:szCs w:val="24"/>
              </w:rPr>
              <w:t>合計</w:t>
            </w:r>
          </w:p>
        </w:tc>
        <w:tc>
          <w:tcPr>
            <w:tcW w:w="850" w:type="dxa"/>
            <w:tcBorders>
              <w:top w:val="nil"/>
              <w:left w:val="nil"/>
              <w:bottom w:val="single" w:sz="4" w:space="0" w:color="auto"/>
              <w:right w:val="single" w:sz="4" w:space="0" w:color="auto"/>
            </w:tcBorders>
            <w:shd w:val="clear" w:color="auto" w:fill="auto"/>
            <w:noWrap/>
            <w:vAlign w:val="bottom"/>
            <w:hideMark/>
          </w:tcPr>
          <w:p w14:paraId="3467EC56"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69,815 </w:t>
            </w:r>
          </w:p>
        </w:tc>
        <w:tc>
          <w:tcPr>
            <w:tcW w:w="851" w:type="dxa"/>
            <w:tcBorders>
              <w:top w:val="nil"/>
              <w:left w:val="nil"/>
              <w:bottom w:val="single" w:sz="4" w:space="0" w:color="auto"/>
              <w:right w:val="single" w:sz="4" w:space="0" w:color="auto"/>
            </w:tcBorders>
            <w:shd w:val="clear" w:color="auto" w:fill="auto"/>
            <w:noWrap/>
            <w:vAlign w:val="bottom"/>
            <w:hideMark/>
          </w:tcPr>
          <w:p w14:paraId="11E2720B"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77,299 </w:t>
            </w:r>
          </w:p>
        </w:tc>
        <w:tc>
          <w:tcPr>
            <w:tcW w:w="850" w:type="dxa"/>
            <w:tcBorders>
              <w:top w:val="nil"/>
              <w:left w:val="nil"/>
              <w:bottom w:val="single" w:sz="4" w:space="0" w:color="auto"/>
              <w:right w:val="single" w:sz="4" w:space="0" w:color="auto"/>
            </w:tcBorders>
            <w:shd w:val="clear" w:color="auto" w:fill="auto"/>
            <w:noWrap/>
            <w:vAlign w:val="bottom"/>
            <w:hideMark/>
          </w:tcPr>
          <w:p w14:paraId="373DB875"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82,154 </w:t>
            </w:r>
          </w:p>
        </w:tc>
        <w:tc>
          <w:tcPr>
            <w:tcW w:w="851" w:type="dxa"/>
            <w:tcBorders>
              <w:top w:val="nil"/>
              <w:left w:val="nil"/>
              <w:bottom w:val="single" w:sz="4" w:space="0" w:color="auto"/>
              <w:right w:val="single" w:sz="4" w:space="0" w:color="auto"/>
            </w:tcBorders>
            <w:shd w:val="clear" w:color="auto" w:fill="auto"/>
            <w:noWrap/>
            <w:vAlign w:val="bottom"/>
            <w:hideMark/>
          </w:tcPr>
          <w:p w14:paraId="55DA3DA4"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90,343 </w:t>
            </w:r>
          </w:p>
        </w:tc>
        <w:tc>
          <w:tcPr>
            <w:tcW w:w="850" w:type="dxa"/>
            <w:tcBorders>
              <w:top w:val="nil"/>
              <w:left w:val="nil"/>
              <w:bottom w:val="single" w:sz="4" w:space="0" w:color="auto"/>
              <w:right w:val="single" w:sz="4" w:space="0" w:color="auto"/>
            </w:tcBorders>
            <w:shd w:val="clear" w:color="auto" w:fill="auto"/>
            <w:noWrap/>
            <w:vAlign w:val="bottom"/>
            <w:hideMark/>
          </w:tcPr>
          <w:p w14:paraId="307B8DF4"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95,650 </w:t>
            </w:r>
          </w:p>
        </w:tc>
        <w:tc>
          <w:tcPr>
            <w:tcW w:w="897" w:type="dxa"/>
            <w:tcBorders>
              <w:top w:val="nil"/>
              <w:left w:val="nil"/>
              <w:bottom w:val="single" w:sz="4" w:space="0" w:color="auto"/>
              <w:right w:val="single" w:sz="4" w:space="0" w:color="auto"/>
            </w:tcBorders>
            <w:shd w:val="clear" w:color="auto" w:fill="auto"/>
            <w:noWrap/>
            <w:vAlign w:val="bottom"/>
            <w:hideMark/>
          </w:tcPr>
          <w:p w14:paraId="0F018729"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103,767 </w:t>
            </w:r>
          </w:p>
        </w:tc>
        <w:tc>
          <w:tcPr>
            <w:tcW w:w="897" w:type="dxa"/>
            <w:tcBorders>
              <w:top w:val="nil"/>
              <w:left w:val="nil"/>
              <w:bottom w:val="single" w:sz="4" w:space="0" w:color="auto"/>
              <w:right w:val="single" w:sz="4" w:space="0" w:color="auto"/>
            </w:tcBorders>
            <w:shd w:val="clear" w:color="auto" w:fill="auto"/>
            <w:noWrap/>
            <w:vAlign w:val="bottom"/>
            <w:hideMark/>
          </w:tcPr>
          <w:p w14:paraId="48AAE83E"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110,304 </w:t>
            </w:r>
          </w:p>
        </w:tc>
        <w:tc>
          <w:tcPr>
            <w:tcW w:w="897" w:type="dxa"/>
            <w:tcBorders>
              <w:top w:val="nil"/>
              <w:left w:val="nil"/>
              <w:bottom w:val="single" w:sz="4" w:space="0" w:color="auto"/>
              <w:right w:val="single" w:sz="4" w:space="0" w:color="auto"/>
            </w:tcBorders>
            <w:shd w:val="clear" w:color="auto" w:fill="auto"/>
            <w:noWrap/>
            <w:vAlign w:val="bottom"/>
            <w:hideMark/>
          </w:tcPr>
          <w:p w14:paraId="5F9C5CC7"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117,830 </w:t>
            </w:r>
          </w:p>
        </w:tc>
        <w:tc>
          <w:tcPr>
            <w:tcW w:w="897" w:type="dxa"/>
            <w:tcBorders>
              <w:top w:val="nil"/>
              <w:left w:val="nil"/>
              <w:bottom w:val="single" w:sz="4" w:space="0" w:color="auto"/>
              <w:right w:val="single" w:sz="4" w:space="0" w:color="auto"/>
            </w:tcBorders>
            <w:shd w:val="clear" w:color="auto" w:fill="auto"/>
            <w:noWrap/>
            <w:vAlign w:val="bottom"/>
            <w:hideMark/>
          </w:tcPr>
          <w:p w14:paraId="0CA0185C" w14:textId="77777777" w:rsidR="000B1C3C" w:rsidRPr="00C3310F" w:rsidRDefault="000B1C3C" w:rsidP="000B1C3C">
            <w:pPr>
              <w:widowControl/>
              <w:overflowPunct/>
              <w:autoSpaceDE/>
              <w:autoSpaceDN/>
              <w:spacing w:line="280" w:lineRule="exact"/>
              <w:jc w:val="right"/>
              <w:rPr>
                <w:rFonts w:hAnsi="標楷體" w:cs="新細明體"/>
                <w:kern w:val="0"/>
                <w:sz w:val="22"/>
                <w:szCs w:val="22"/>
              </w:rPr>
            </w:pPr>
            <w:r w:rsidRPr="00C3310F">
              <w:rPr>
                <w:rFonts w:hAnsi="標楷體" w:cs="新細明體" w:hint="eastAsia"/>
                <w:kern w:val="0"/>
                <w:sz w:val="22"/>
                <w:szCs w:val="22"/>
              </w:rPr>
              <w:t xml:space="preserve"> 125,756 </w:t>
            </w:r>
          </w:p>
        </w:tc>
      </w:tr>
    </w:tbl>
    <w:p w14:paraId="6789D73D" w14:textId="77777777" w:rsidR="000B1C3C" w:rsidRPr="00C3310F" w:rsidRDefault="000B1C3C" w:rsidP="007441B4">
      <w:pPr>
        <w:spacing w:afterLines="50" w:after="228"/>
        <w:rPr>
          <w:sz w:val="28"/>
        </w:rPr>
      </w:pPr>
      <w:r w:rsidRPr="00C3310F">
        <w:rPr>
          <w:rFonts w:hint="eastAsia"/>
          <w:sz w:val="28"/>
        </w:rPr>
        <w:t>資料來源：金管會</w:t>
      </w:r>
      <w:r w:rsidR="00974BEA" w:rsidRPr="00C3310F">
        <w:rPr>
          <w:rFonts w:hint="eastAsia"/>
          <w:sz w:val="28"/>
        </w:rPr>
        <w:t>於113年6月3日座談提供書面資料。</w:t>
      </w:r>
    </w:p>
    <w:p w14:paraId="2E1334E0" w14:textId="77777777" w:rsidR="000B1C3C" w:rsidRPr="00C3310F" w:rsidRDefault="000B1C3C" w:rsidP="000B1C3C">
      <w:pPr>
        <w:pStyle w:val="5"/>
      </w:pPr>
      <w:r w:rsidRPr="00C3310F">
        <w:rPr>
          <w:rFonts w:hint="eastAsia"/>
        </w:rPr>
        <w:t>依據「存款帳戶及其疑似不法或顯屬異常交易管理辦法」第9條規定，警示帳戶之警示期限自通報時起算，有效期間為2年，且原通報之司法機關認為有繼續警示之必要者，可再通報延長1年，故</w:t>
      </w:r>
      <w:r w:rsidRPr="00C3310F">
        <w:rPr>
          <w:rFonts w:hint="eastAsia"/>
          <w:b/>
        </w:rPr>
        <w:t>單一存款帳戶警示期間最長可延續3年，爰因警示帳戶統計數為累積餘額，警示帳戶總數量長期會呈現增加趨勢</w:t>
      </w:r>
      <w:r w:rsidRPr="00C3310F">
        <w:rPr>
          <w:rFonts w:hint="eastAsia"/>
        </w:rPr>
        <w:t>。</w:t>
      </w:r>
    </w:p>
    <w:p w14:paraId="31E03690" w14:textId="31DA2029" w:rsidR="000B1C3C" w:rsidRPr="00C3310F" w:rsidRDefault="000B1C3C" w:rsidP="000B1C3C">
      <w:pPr>
        <w:pStyle w:val="5"/>
      </w:pPr>
      <w:r w:rsidRPr="00C3310F">
        <w:rPr>
          <w:rFonts w:hint="eastAsia"/>
        </w:rPr>
        <w:t>經觀察108年至113年第1季警示帳戶數增加率</w:t>
      </w:r>
      <w:r w:rsidR="00DD7F8B" w:rsidRPr="00C3310F">
        <w:rPr>
          <w:rFonts w:hint="eastAsia"/>
        </w:rPr>
        <w:t>，</w:t>
      </w:r>
      <w:r w:rsidRPr="00C3310F">
        <w:rPr>
          <w:rFonts w:hint="eastAsia"/>
        </w:rPr>
        <w:t>在督促金融機構強化各項風險管控機制後，警示帳戶數成長率已趨緩，由108年45%下降至113年第1季31%</w:t>
      </w:r>
      <w:r w:rsidR="007E397B" w:rsidRPr="00C3310F">
        <w:rPr>
          <w:rStyle w:val="afe"/>
        </w:rPr>
        <w:footnoteReference w:id="91"/>
      </w:r>
      <w:r w:rsidRPr="00C3310F">
        <w:rPr>
          <w:rFonts w:hint="eastAsia"/>
        </w:rPr>
        <w:t>。</w:t>
      </w:r>
    </w:p>
    <w:p w14:paraId="019A0D34" w14:textId="1DC0D5BD" w:rsidR="000B1C3C" w:rsidRPr="00C3310F" w:rsidRDefault="000B1C3C" w:rsidP="000B1C3C">
      <w:pPr>
        <w:pStyle w:val="4"/>
      </w:pPr>
      <w:r w:rsidRPr="00C3310F">
        <w:rPr>
          <w:rFonts w:hint="eastAsia"/>
        </w:rPr>
        <w:t>惟查，就警示帳戶總數之成長率而言，所有銀行自111年第1季至113年第1季，兩年</w:t>
      </w:r>
      <w:r w:rsidR="00E33FF6" w:rsidRPr="00C3310F">
        <w:rPr>
          <w:rFonts w:hint="eastAsia"/>
        </w:rPr>
        <w:t>約</w:t>
      </w:r>
      <w:r w:rsidRPr="00C3310F">
        <w:rPr>
          <w:rFonts w:hint="eastAsia"/>
        </w:rPr>
        <w:t>成長</w:t>
      </w:r>
      <w:r w:rsidR="00E33FF6" w:rsidRPr="00C3310F">
        <w:rPr>
          <w:rFonts w:hint="eastAsia"/>
        </w:rPr>
        <w:t>1.8倍</w:t>
      </w:r>
      <w:r w:rsidRPr="00C3310F">
        <w:rPr>
          <w:rFonts w:hint="eastAsia"/>
        </w:rPr>
        <w:t>(125,756/69,815</w:t>
      </w:r>
      <w:r w:rsidR="00974BEA" w:rsidRPr="00C3310F">
        <w:rPr>
          <w:rFonts w:hint="eastAsia"/>
        </w:rPr>
        <w:t>*100%</w:t>
      </w:r>
      <w:r w:rsidRPr="00C3310F">
        <w:rPr>
          <w:rFonts w:hint="eastAsia"/>
        </w:rPr>
        <w:t>)，中國信託銀行之成長率</w:t>
      </w:r>
      <w:r w:rsidRPr="00C3310F">
        <w:rPr>
          <w:rFonts w:hint="eastAsia"/>
        </w:rPr>
        <w:lastRenderedPageBreak/>
        <w:t>為</w:t>
      </w:r>
      <w:r w:rsidR="00DF073C" w:rsidRPr="00C3310F">
        <w:rPr>
          <w:rFonts w:hint="eastAsia"/>
        </w:rPr>
        <w:t>1.6倍(</w:t>
      </w:r>
      <w:r w:rsidR="00974BEA" w:rsidRPr="00C3310F">
        <w:rPr>
          <w:rFonts w:hint="eastAsia"/>
        </w:rPr>
        <w:t>1</w:t>
      </w:r>
      <w:r w:rsidRPr="00C3310F">
        <w:rPr>
          <w:rFonts w:hint="eastAsia"/>
        </w:rPr>
        <w:t>64%</w:t>
      </w:r>
      <w:r w:rsidR="00DF073C" w:rsidRPr="00C3310F">
        <w:rPr>
          <w:rFonts w:hint="eastAsia"/>
        </w:rPr>
        <w:t>)</w:t>
      </w:r>
      <w:r w:rsidRPr="00C3310F">
        <w:rPr>
          <w:rFonts w:hint="eastAsia"/>
        </w:rPr>
        <w:t>，雖低於平均，但其警示帳戶總數仍</w:t>
      </w:r>
      <w:r w:rsidR="00752EB4" w:rsidRPr="00C3310F">
        <w:rPr>
          <w:rFonts w:hint="eastAsia"/>
        </w:rPr>
        <w:t>占</w:t>
      </w:r>
      <w:r w:rsidRPr="00C3310F">
        <w:rPr>
          <w:rFonts w:hint="eastAsia"/>
        </w:rPr>
        <w:t>總數之17.5%，換言之每6個警示帳戶就有1個屬於中國信託銀行，至於金管會說明「警示帳戶數前幾大金融機構皆為分行家數多、客戶數多、ATM數多及網路銀行便民措施多之銀行」尚非可採，</w:t>
      </w:r>
      <w:r w:rsidR="00A1409C" w:rsidRPr="00C3310F">
        <w:rPr>
          <w:rFonts w:hint="eastAsia"/>
        </w:rPr>
        <w:t>本調查研究</w:t>
      </w:r>
      <w:r w:rsidRPr="00C3310F">
        <w:rPr>
          <w:rFonts w:hint="eastAsia"/>
        </w:rPr>
        <w:t>認為。規模龐大之銀行反而應有充裕資源建置完善嚴謹之機制。</w:t>
      </w:r>
    </w:p>
    <w:p w14:paraId="0DF94408" w14:textId="4A7F543E" w:rsidR="000B1C3C" w:rsidRPr="00C3310F" w:rsidRDefault="000B1C3C" w:rsidP="000B1C3C">
      <w:pPr>
        <w:pStyle w:val="5"/>
      </w:pPr>
      <w:r w:rsidRPr="00C3310F">
        <w:rPr>
          <w:rFonts w:hint="eastAsia"/>
        </w:rPr>
        <w:t>進一步分析</w:t>
      </w:r>
      <w:r w:rsidR="006A5D78" w:rsidRPr="00C3310F">
        <w:rPr>
          <w:rFonts w:hint="eastAsia"/>
        </w:rPr>
        <w:t>113年第1季</w:t>
      </w:r>
      <w:r w:rsidRPr="00C3310F">
        <w:rPr>
          <w:rFonts w:hint="eastAsia"/>
        </w:rPr>
        <w:t>之警示帳戶數量，以數量而言前</w:t>
      </w:r>
      <w:r w:rsidR="006A5D78" w:rsidRPr="00C3310F">
        <w:rPr>
          <w:rFonts w:hint="eastAsia"/>
        </w:rPr>
        <w:t>五</w:t>
      </w:r>
      <w:r w:rsidRPr="00C3310F">
        <w:rPr>
          <w:rFonts w:hint="eastAsia"/>
        </w:rPr>
        <w:t>名分別為中</w:t>
      </w:r>
      <w:r w:rsidR="00CB5482" w:rsidRPr="00C3310F">
        <w:rPr>
          <w:rFonts w:hAnsi="標楷體" w:cs="新細明體" w:hint="eastAsia"/>
          <w:kern w:val="0"/>
          <w:sz w:val="24"/>
          <w:szCs w:val="24"/>
        </w:rPr>
        <w:t>○</w:t>
      </w:r>
      <w:r w:rsidRPr="00C3310F">
        <w:rPr>
          <w:rFonts w:hint="eastAsia"/>
        </w:rPr>
        <w:t>郵政(26</w:t>
      </w:r>
      <w:r w:rsidRPr="00C3310F">
        <w:t>,</w:t>
      </w:r>
      <w:r w:rsidRPr="00C3310F">
        <w:rPr>
          <w:rFonts w:hint="eastAsia"/>
        </w:rPr>
        <w:t>379)、中</w:t>
      </w:r>
      <w:r w:rsidR="00CB5482" w:rsidRPr="00C3310F">
        <w:rPr>
          <w:rFonts w:hAnsi="標楷體" w:cs="新細明體" w:hint="eastAsia"/>
          <w:kern w:val="0"/>
          <w:sz w:val="24"/>
          <w:szCs w:val="24"/>
        </w:rPr>
        <w:t>○</w:t>
      </w:r>
      <w:r w:rsidRPr="00C3310F">
        <w:rPr>
          <w:rFonts w:hint="eastAsia"/>
        </w:rPr>
        <w:t>信託銀行(</w:t>
      </w:r>
      <w:r w:rsidRPr="00C3310F">
        <w:t>22</w:t>
      </w:r>
      <w:r w:rsidRPr="00C3310F">
        <w:rPr>
          <w:rFonts w:hint="eastAsia"/>
        </w:rPr>
        <w:t>,</w:t>
      </w:r>
      <w:r w:rsidRPr="00C3310F">
        <w:t>066)</w:t>
      </w:r>
      <w:r w:rsidRPr="00C3310F">
        <w:rPr>
          <w:rFonts w:hint="eastAsia"/>
        </w:rPr>
        <w:t>、國</w:t>
      </w:r>
      <w:r w:rsidR="00CB5482" w:rsidRPr="00C3310F">
        <w:rPr>
          <w:rFonts w:hAnsi="標楷體" w:cs="新細明體" w:hint="eastAsia"/>
          <w:kern w:val="0"/>
          <w:sz w:val="24"/>
          <w:szCs w:val="24"/>
        </w:rPr>
        <w:t>○</w:t>
      </w:r>
      <w:r w:rsidRPr="00C3310F">
        <w:rPr>
          <w:rFonts w:hint="eastAsia"/>
        </w:rPr>
        <w:t>世華銀行(</w:t>
      </w:r>
      <w:r w:rsidRPr="00C3310F">
        <w:t>7</w:t>
      </w:r>
      <w:r w:rsidRPr="00C3310F">
        <w:rPr>
          <w:rFonts w:hint="eastAsia"/>
        </w:rPr>
        <w:t>,</w:t>
      </w:r>
      <w:r w:rsidRPr="00C3310F">
        <w:t>335)</w:t>
      </w:r>
      <w:r w:rsidRPr="00C3310F">
        <w:rPr>
          <w:rFonts w:hint="eastAsia"/>
        </w:rPr>
        <w:t>、第</w:t>
      </w:r>
      <w:r w:rsidR="00CB5482" w:rsidRPr="00C3310F">
        <w:rPr>
          <w:rFonts w:hAnsi="標楷體" w:cs="新細明體" w:hint="eastAsia"/>
          <w:kern w:val="0"/>
          <w:sz w:val="24"/>
          <w:szCs w:val="24"/>
        </w:rPr>
        <w:t>○</w:t>
      </w:r>
      <w:r w:rsidRPr="00C3310F">
        <w:rPr>
          <w:rFonts w:hint="eastAsia"/>
        </w:rPr>
        <w:t>銀行(</w:t>
      </w:r>
      <w:r w:rsidRPr="00C3310F">
        <w:t>6</w:t>
      </w:r>
      <w:r w:rsidRPr="00C3310F">
        <w:rPr>
          <w:rFonts w:hint="eastAsia"/>
        </w:rPr>
        <w:t>,</w:t>
      </w:r>
      <w:r w:rsidRPr="00C3310F">
        <w:t>728)</w:t>
      </w:r>
      <w:r w:rsidR="006A5D78" w:rsidRPr="00C3310F">
        <w:rPr>
          <w:rFonts w:hint="eastAsia"/>
        </w:rPr>
        <w:t>、台</w:t>
      </w:r>
      <w:r w:rsidR="00CB5482" w:rsidRPr="00C3310F">
        <w:rPr>
          <w:rFonts w:hAnsi="標楷體" w:cs="新細明體" w:hint="eastAsia"/>
          <w:kern w:val="0"/>
          <w:sz w:val="24"/>
          <w:szCs w:val="24"/>
        </w:rPr>
        <w:t>○</w:t>
      </w:r>
      <w:r w:rsidR="006A5D78" w:rsidRPr="00C3310F">
        <w:rPr>
          <w:rFonts w:hint="eastAsia"/>
        </w:rPr>
        <w:t>銀行(</w:t>
      </w:r>
      <w:r w:rsidR="006A5D78" w:rsidRPr="00C3310F">
        <w:t>6,723</w:t>
      </w:r>
      <w:r w:rsidR="006A5D78" w:rsidRPr="00C3310F">
        <w:rPr>
          <w:rFonts w:hint="eastAsia"/>
        </w:rPr>
        <w:t>)</w:t>
      </w:r>
      <w:r w:rsidRPr="00C3310F">
        <w:rPr>
          <w:rFonts w:hint="eastAsia"/>
        </w:rPr>
        <w:t>。</w:t>
      </w:r>
    </w:p>
    <w:p w14:paraId="2EB3ACF7" w14:textId="7FC82E54" w:rsidR="000B1C3C" w:rsidRPr="00C3310F" w:rsidRDefault="000B1C3C" w:rsidP="000B1C3C">
      <w:pPr>
        <w:pStyle w:val="5"/>
      </w:pPr>
      <w:r w:rsidRPr="00C3310F">
        <w:rPr>
          <w:rFonts w:hint="eastAsia"/>
        </w:rPr>
        <w:t>如以兩年成長率而言，前五名</w:t>
      </w:r>
      <w:r w:rsidRPr="00C3310F">
        <w:rPr>
          <w:rStyle w:val="afe"/>
        </w:rPr>
        <w:footnoteReference w:id="92"/>
      </w:r>
      <w:r w:rsidRPr="00C3310F">
        <w:rPr>
          <w:rFonts w:hint="eastAsia"/>
        </w:rPr>
        <w:t>分別為連</w:t>
      </w:r>
      <w:r w:rsidR="00CB5482" w:rsidRPr="00C3310F">
        <w:rPr>
          <w:rFonts w:hAnsi="標楷體" w:cs="新細明體" w:hint="eastAsia"/>
          <w:kern w:val="0"/>
          <w:sz w:val="24"/>
          <w:szCs w:val="24"/>
        </w:rPr>
        <w:t>○</w:t>
      </w:r>
      <w:r w:rsidRPr="00C3310F">
        <w:rPr>
          <w:rFonts w:hint="eastAsia"/>
        </w:rPr>
        <w:t>商業銀行</w:t>
      </w:r>
      <w:r w:rsidR="00DF073C" w:rsidRPr="00C3310F">
        <w:rPr>
          <w:rFonts w:hint="eastAsia"/>
        </w:rPr>
        <w:t>12倍</w:t>
      </w:r>
      <w:r w:rsidRPr="00C3310F">
        <w:rPr>
          <w:rFonts w:hint="eastAsia"/>
        </w:rPr>
        <w:t>(1230%)、兆</w:t>
      </w:r>
      <w:r w:rsidR="00CB5482" w:rsidRPr="00C3310F">
        <w:rPr>
          <w:rFonts w:hAnsi="標楷體" w:cs="新細明體" w:hint="eastAsia"/>
          <w:kern w:val="0"/>
          <w:sz w:val="24"/>
          <w:szCs w:val="24"/>
        </w:rPr>
        <w:t>○</w:t>
      </w:r>
      <w:r w:rsidRPr="00C3310F">
        <w:rPr>
          <w:rFonts w:hint="eastAsia"/>
        </w:rPr>
        <w:t>銀行</w:t>
      </w:r>
      <w:r w:rsidR="00DF073C" w:rsidRPr="00C3310F">
        <w:rPr>
          <w:rFonts w:hint="eastAsia"/>
        </w:rPr>
        <w:t>2.5倍</w:t>
      </w:r>
      <w:r w:rsidRPr="00C3310F">
        <w:rPr>
          <w:rFonts w:hint="eastAsia"/>
        </w:rPr>
        <w:t>(249%)、台</w:t>
      </w:r>
      <w:r w:rsidR="00CB5482" w:rsidRPr="00C3310F">
        <w:rPr>
          <w:rFonts w:hAnsi="標楷體" w:cs="新細明體" w:hint="eastAsia"/>
          <w:kern w:val="0"/>
          <w:sz w:val="24"/>
          <w:szCs w:val="24"/>
        </w:rPr>
        <w:t>○</w:t>
      </w:r>
      <w:r w:rsidRPr="00C3310F">
        <w:rPr>
          <w:rFonts w:hint="eastAsia"/>
        </w:rPr>
        <w:t>企銀</w:t>
      </w:r>
      <w:r w:rsidR="00DF073C" w:rsidRPr="00C3310F">
        <w:rPr>
          <w:rFonts w:hint="eastAsia"/>
        </w:rPr>
        <w:t>2.2倍</w:t>
      </w:r>
      <w:r w:rsidRPr="00C3310F">
        <w:rPr>
          <w:rFonts w:hint="eastAsia"/>
        </w:rPr>
        <w:t>（220%）、第</w:t>
      </w:r>
      <w:r w:rsidR="00CB5482" w:rsidRPr="00C3310F">
        <w:rPr>
          <w:rFonts w:hAnsi="標楷體" w:cs="新細明體" w:hint="eastAsia"/>
          <w:kern w:val="0"/>
          <w:sz w:val="24"/>
          <w:szCs w:val="24"/>
        </w:rPr>
        <w:t>○</w:t>
      </w:r>
      <w:r w:rsidRPr="00C3310F">
        <w:rPr>
          <w:rFonts w:hint="eastAsia"/>
        </w:rPr>
        <w:t>銀行</w:t>
      </w:r>
      <w:r w:rsidR="00DF073C" w:rsidRPr="00C3310F">
        <w:rPr>
          <w:rFonts w:hint="eastAsia"/>
        </w:rPr>
        <w:t>2.2倍</w:t>
      </w:r>
      <w:r w:rsidRPr="00C3310F">
        <w:rPr>
          <w:rFonts w:hint="eastAsia"/>
        </w:rPr>
        <w:t>(216%)、華</w:t>
      </w:r>
      <w:r w:rsidR="00CB5482" w:rsidRPr="00C3310F">
        <w:rPr>
          <w:rFonts w:hAnsi="標楷體" w:cs="新細明體" w:hint="eastAsia"/>
          <w:kern w:val="0"/>
          <w:sz w:val="24"/>
          <w:szCs w:val="24"/>
        </w:rPr>
        <w:t>○</w:t>
      </w:r>
      <w:r w:rsidRPr="00C3310F">
        <w:rPr>
          <w:rFonts w:hint="eastAsia"/>
        </w:rPr>
        <w:t>銀行</w:t>
      </w:r>
      <w:r w:rsidR="00DF073C" w:rsidRPr="00C3310F">
        <w:rPr>
          <w:rFonts w:hint="eastAsia"/>
        </w:rPr>
        <w:t>2.1倍</w:t>
      </w:r>
      <w:r w:rsidRPr="00C3310F">
        <w:rPr>
          <w:rFonts w:hint="eastAsia"/>
        </w:rPr>
        <w:t>(211%)。</w:t>
      </w:r>
    </w:p>
    <w:p w14:paraId="3DFF5EB4" w14:textId="79BBE566" w:rsidR="000B1C3C" w:rsidRPr="00C3310F" w:rsidRDefault="000B1C3C" w:rsidP="000B1C3C">
      <w:pPr>
        <w:pStyle w:val="5"/>
      </w:pPr>
      <w:r w:rsidRPr="00C3310F">
        <w:rPr>
          <w:rFonts w:hint="eastAsia"/>
        </w:rPr>
        <w:t>近兩年控管成長率最佳(低)之銀行</w:t>
      </w:r>
      <w:r w:rsidRPr="00C3310F">
        <w:rPr>
          <w:rStyle w:val="afe"/>
        </w:rPr>
        <w:footnoteReference w:id="93"/>
      </w:r>
      <w:r w:rsidRPr="00C3310F">
        <w:rPr>
          <w:rFonts w:hint="eastAsia"/>
        </w:rPr>
        <w:t>則分別為國</w:t>
      </w:r>
      <w:r w:rsidR="00CB5482" w:rsidRPr="00C3310F">
        <w:rPr>
          <w:rFonts w:hAnsi="標楷體" w:cs="新細明體" w:hint="eastAsia"/>
          <w:kern w:val="0"/>
          <w:sz w:val="24"/>
          <w:szCs w:val="24"/>
        </w:rPr>
        <w:t>○</w:t>
      </w:r>
      <w:r w:rsidRPr="00C3310F">
        <w:rPr>
          <w:rFonts w:hint="eastAsia"/>
        </w:rPr>
        <w:t>世華銀行(</w:t>
      </w:r>
      <w:r w:rsidR="00E33FF6" w:rsidRPr="00C3310F">
        <w:rPr>
          <w:rFonts w:hint="eastAsia"/>
        </w:rPr>
        <w:t>1</w:t>
      </w:r>
      <w:r w:rsidRPr="00C3310F">
        <w:rPr>
          <w:rFonts w:hint="eastAsia"/>
        </w:rPr>
        <w:t>46%)、玉</w:t>
      </w:r>
      <w:r w:rsidR="00CB5482" w:rsidRPr="00C3310F">
        <w:rPr>
          <w:rFonts w:hAnsi="標楷體" w:cs="新細明體" w:hint="eastAsia"/>
          <w:kern w:val="0"/>
          <w:sz w:val="24"/>
          <w:szCs w:val="24"/>
        </w:rPr>
        <w:t>○</w:t>
      </w:r>
      <w:r w:rsidRPr="00C3310F">
        <w:rPr>
          <w:rFonts w:hint="eastAsia"/>
        </w:rPr>
        <w:t>銀行(</w:t>
      </w:r>
      <w:r w:rsidR="00E33FF6" w:rsidRPr="00C3310F">
        <w:rPr>
          <w:rFonts w:hint="eastAsia"/>
        </w:rPr>
        <w:t>1</w:t>
      </w:r>
      <w:r w:rsidRPr="00C3310F">
        <w:rPr>
          <w:rFonts w:hint="eastAsia"/>
        </w:rPr>
        <w:t>57%)、台</w:t>
      </w:r>
      <w:r w:rsidR="00CB5482" w:rsidRPr="00C3310F">
        <w:rPr>
          <w:rFonts w:hAnsi="標楷體" w:cs="新細明體" w:hint="eastAsia"/>
          <w:kern w:val="0"/>
          <w:sz w:val="24"/>
          <w:szCs w:val="24"/>
        </w:rPr>
        <w:t>○</w:t>
      </w:r>
      <w:r w:rsidRPr="00C3310F">
        <w:rPr>
          <w:rFonts w:hint="eastAsia"/>
        </w:rPr>
        <w:t>銀行(</w:t>
      </w:r>
      <w:r w:rsidR="00E33FF6" w:rsidRPr="00C3310F">
        <w:rPr>
          <w:rFonts w:hint="eastAsia"/>
        </w:rPr>
        <w:t>1</w:t>
      </w:r>
      <w:r w:rsidRPr="00C3310F">
        <w:rPr>
          <w:rFonts w:hint="eastAsia"/>
        </w:rPr>
        <w:t>64%)、中</w:t>
      </w:r>
      <w:r w:rsidR="00CB5482" w:rsidRPr="00C3310F">
        <w:rPr>
          <w:rFonts w:hAnsi="標楷體" w:cs="新細明體" w:hint="eastAsia"/>
          <w:kern w:val="0"/>
          <w:sz w:val="24"/>
          <w:szCs w:val="24"/>
        </w:rPr>
        <w:t>○</w:t>
      </w:r>
      <w:r w:rsidRPr="00C3310F">
        <w:rPr>
          <w:rFonts w:hint="eastAsia"/>
        </w:rPr>
        <w:t>信託銀行(</w:t>
      </w:r>
      <w:r w:rsidR="00E33FF6" w:rsidRPr="00C3310F">
        <w:rPr>
          <w:rFonts w:hint="eastAsia"/>
        </w:rPr>
        <w:t>1</w:t>
      </w:r>
      <w:r w:rsidRPr="00C3310F">
        <w:rPr>
          <w:rFonts w:hint="eastAsia"/>
        </w:rPr>
        <w:t>64%)、新</w:t>
      </w:r>
      <w:r w:rsidR="00CB5482" w:rsidRPr="00C3310F">
        <w:rPr>
          <w:rFonts w:hAnsi="標楷體" w:cs="新細明體" w:hint="eastAsia"/>
          <w:kern w:val="0"/>
          <w:sz w:val="24"/>
          <w:szCs w:val="24"/>
        </w:rPr>
        <w:t>○</w:t>
      </w:r>
      <w:r w:rsidRPr="00C3310F">
        <w:rPr>
          <w:rFonts w:hint="eastAsia"/>
        </w:rPr>
        <w:t>銀行(</w:t>
      </w:r>
      <w:r w:rsidR="00E33FF6" w:rsidRPr="00C3310F">
        <w:rPr>
          <w:rFonts w:hint="eastAsia"/>
        </w:rPr>
        <w:t>1</w:t>
      </w:r>
      <w:r w:rsidRPr="00C3310F">
        <w:rPr>
          <w:rFonts w:hint="eastAsia"/>
        </w:rPr>
        <w:t>70%)、台</w:t>
      </w:r>
      <w:r w:rsidR="00CB5482" w:rsidRPr="00C3310F">
        <w:rPr>
          <w:rFonts w:hAnsi="標楷體" w:cs="新細明體" w:hint="eastAsia"/>
          <w:kern w:val="0"/>
          <w:sz w:val="24"/>
          <w:szCs w:val="24"/>
        </w:rPr>
        <w:t>○</w:t>
      </w:r>
      <w:r w:rsidRPr="00C3310F">
        <w:rPr>
          <w:rFonts w:hint="eastAsia"/>
        </w:rPr>
        <w:t>銀行(</w:t>
      </w:r>
      <w:r w:rsidR="00E33FF6" w:rsidRPr="00C3310F">
        <w:rPr>
          <w:rFonts w:hint="eastAsia"/>
        </w:rPr>
        <w:t>1</w:t>
      </w:r>
      <w:r w:rsidRPr="00C3310F">
        <w:rPr>
          <w:rFonts w:hint="eastAsia"/>
        </w:rPr>
        <w:t>70%)。</w:t>
      </w:r>
    </w:p>
    <w:p w14:paraId="08E0EEDB" w14:textId="77777777" w:rsidR="000B1C3C" w:rsidRPr="00C3310F" w:rsidRDefault="000B1C3C" w:rsidP="000B1C3C">
      <w:pPr>
        <w:pStyle w:val="4"/>
      </w:pPr>
      <w:r w:rsidRPr="00C3310F">
        <w:rPr>
          <w:rFonts w:hint="eastAsia"/>
        </w:rPr>
        <w:t>另查110年迄今金融機構涉及洗錢防制、人頭帳戶管理缺失之處分情形如下表</w:t>
      </w:r>
      <w:r w:rsidR="004B77B6" w:rsidRPr="00C3310F">
        <w:rPr>
          <w:rFonts w:hint="eastAsia"/>
        </w:rPr>
        <w:t>21</w:t>
      </w:r>
      <w:r w:rsidRPr="00C3310F">
        <w:rPr>
          <w:rFonts w:hint="eastAsia"/>
        </w:rPr>
        <w:t>，金管會說明:共計11件案件，因涉及洗錢防制、人頭帳戶管理缺失，經金管會核處罰鍰或予以糾正，其中與洗錢防制缺失有關部分為6件、帳戶監控缺失部分為5件。然細究及處分事由，絕大多數與房貸及內神通外鬼案件有關，</w:t>
      </w:r>
      <w:r w:rsidRPr="00C3310F">
        <w:rPr>
          <w:rFonts w:hint="eastAsia"/>
          <w:bCs/>
        </w:rPr>
        <w:t>完全看不出有銀行因為控管人頭帳戶不佳遭到處分，對照警示帳戶由111年第一季6.9</w:t>
      </w:r>
      <w:r w:rsidRPr="00C3310F">
        <w:rPr>
          <w:rFonts w:hint="eastAsia"/>
          <w:bCs/>
        </w:rPr>
        <w:lastRenderedPageBreak/>
        <w:t>萬戶成長至112年第一季約12.6萬戶，等於一年增加一倍，顯示金管會對於管控人頭帳戶不佳之金融機構僅憑道德勸說，幾乎完全沒有拘束力及監理功能，實有成為打詐破口之虞。</w:t>
      </w:r>
    </w:p>
    <w:p w14:paraId="3838000E" w14:textId="49E0EAAF" w:rsidR="000B1C3C" w:rsidRPr="00C3310F" w:rsidRDefault="000B1C3C" w:rsidP="000B1C3C">
      <w:pPr>
        <w:pStyle w:val="a3"/>
        <w:rPr>
          <w:rFonts w:hint="eastAsia"/>
          <w:b/>
        </w:rPr>
      </w:pPr>
      <w:bookmarkStart w:id="1004" w:name="_Toc172025225"/>
      <w:r w:rsidRPr="00C3310F">
        <w:rPr>
          <w:rFonts w:hint="eastAsia"/>
          <w:b/>
        </w:rPr>
        <w:t>110年迄今金融機構涉及洗錢防制、人頭帳戶管理缺失之處分情形</w:t>
      </w:r>
      <w:bookmarkEnd w:id="1004"/>
    </w:p>
    <w:tbl>
      <w:tblPr>
        <w:tblW w:w="5980" w:type="pct"/>
        <w:tblInd w:w="-714" w:type="dxa"/>
        <w:tblCellMar>
          <w:left w:w="28" w:type="dxa"/>
          <w:right w:w="28" w:type="dxa"/>
        </w:tblCellMar>
        <w:tblLook w:val="04A0" w:firstRow="1" w:lastRow="0" w:firstColumn="1" w:lastColumn="0" w:noHBand="0" w:noVBand="1"/>
      </w:tblPr>
      <w:tblGrid>
        <w:gridCol w:w="1447"/>
        <w:gridCol w:w="1407"/>
        <w:gridCol w:w="5949"/>
        <w:gridCol w:w="1802"/>
        <w:gridCol w:w="62"/>
      </w:tblGrid>
      <w:tr w:rsidR="00C3310F" w:rsidRPr="00C3310F" w14:paraId="616B7B11" w14:textId="77777777" w:rsidTr="00DB430F">
        <w:trPr>
          <w:gridAfter w:val="1"/>
          <w:wAfter w:w="34" w:type="pct"/>
          <w:trHeight w:val="972"/>
          <w:tblHeader/>
        </w:trPr>
        <w:tc>
          <w:tcPr>
            <w:tcW w:w="5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66F147" w14:textId="77777777" w:rsidR="000B1C3C" w:rsidRPr="00C3310F" w:rsidRDefault="000B1C3C" w:rsidP="000B1C3C">
            <w:pPr>
              <w:widowControl/>
              <w:snapToGrid w:val="0"/>
              <w:ind w:left="190"/>
              <w:jc w:val="center"/>
              <w:rPr>
                <w:rFonts w:hAnsi="標楷體" w:cs="新細明體"/>
                <w:kern w:val="0"/>
                <w:sz w:val="28"/>
                <w:szCs w:val="28"/>
              </w:rPr>
            </w:pPr>
            <w:r w:rsidRPr="00C3310F">
              <w:rPr>
                <w:rFonts w:hAnsi="標楷體" w:cs="新細明體" w:hint="eastAsia"/>
                <w:kern w:val="0"/>
                <w:sz w:val="28"/>
                <w:szCs w:val="28"/>
              </w:rPr>
              <w:t>金融機構</w:t>
            </w:r>
          </w:p>
        </w:tc>
        <w:tc>
          <w:tcPr>
            <w:tcW w:w="666" w:type="pct"/>
            <w:tcBorders>
              <w:top w:val="single" w:sz="4" w:space="0" w:color="auto"/>
              <w:left w:val="nil"/>
              <w:bottom w:val="single" w:sz="4" w:space="0" w:color="auto"/>
              <w:right w:val="single" w:sz="4" w:space="0" w:color="auto"/>
            </w:tcBorders>
            <w:shd w:val="clear" w:color="auto" w:fill="auto"/>
            <w:noWrap/>
            <w:vAlign w:val="center"/>
            <w:hideMark/>
          </w:tcPr>
          <w:p w14:paraId="2343029E" w14:textId="77777777" w:rsidR="000B1C3C" w:rsidRPr="00C3310F" w:rsidRDefault="000B1C3C" w:rsidP="000B1C3C">
            <w:pPr>
              <w:widowControl/>
              <w:snapToGrid w:val="0"/>
              <w:jc w:val="center"/>
              <w:rPr>
                <w:rFonts w:hAnsi="標楷體" w:cs="新細明體"/>
                <w:kern w:val="0"/>
                <w:sz w:val="28"/>
                <w:szCs w:val="28"/>
              </w:rPr>
            </w:pPr>
            <w:r w:rsidRPr="00C3310F">
              <w:rPr>
                <w:rFonts w:hAnsi="標楷體" w:cs="新細明體" w:hint="eastAsia"/>
                <w:kern w:val="0"/>
                <w:sz w:val="28"/>
                <w:szCs w:val="28"/>
              </w:rPr>
              <w:t>日期</w:t>
            </w:r>
          </w:p>
        </w:tc>
        <w:tc>
          <w:tcPr>
            <w:tcW w:w="2832" w:type="pct"/>
            <w:tcBorders>
              <w:top w:val="single" w:sz="4" w:space="0" w:color="auto"/>
              <w:left w:val="nil"/>
              <w:bottom w:val="single" w:sz="4" w:space="0" w:color="auto"/>
              <w:right w:val="single" w:sz="4" w:space="0" w:color="auto"/>
            </w:tcBorders>
            <w:shd w:val="clear" w:color="auto" w:fill="auto"/>
            <w:vAlign w:val="center"/>
            <w:hideMark/>
          </w:tcPr>
          <w:p w14:paraId="5CC8285C" w14:textId="77777777" w:rsidR="000B1C3C" w:rsidRPr="00C3310F" w:rsidRDefault="000B1C3C" w:rsidP="000B1C3C">
            <w:pPr>
              <w:widowControl/>
              <w:snapToGrid w:val="0"/>
              <w:jc w:val="center"/>
              <w:rPr>
                <w:rFonts w:hAnsi="標楷體" w:cs="新細明體"/>
                <w:kern w:val="0"/>
                <w:sz w:val="28"/>
                <w:szCs w:val="28"/>
              </w:rPr>
            </w:pPr>
            <w:r w:rsidRPr="00C3310F">
              <w:rPr>
                <w:rFonts w:hAnsi="標楷體" w:cs="新細明體" w:hint="eastAsia"/>
                <w:kern w:val="0"/>
                <w:sz w:val="28"/>
                <w:szCs w:val="28"/>
              </w:rPr>
              <w:t>處分事由</w:t>
            </w:r>
            <w:r w:rsidRPr="00C3310F">
              <w:rPr>
                <w:rFonts w:hAnsi="標楷體" w:cs="新細明體" w:hint="eastAsia"/>
                <w:kern w:val="0"/>
                <w:sz w:val="28"/>
                <w:szCs w:val="28"/>
              </w:rPr>
              <w:br/>
              <w:t>(僅涉及洗錢防制、人頭帳戶管理缺失之相關情形)</w:t>
            </w:r>
          </w:p>
        </w:tc>
        <w:tc>
          <w:tcPr>
            <w:tcW w:w="873" w:type="pct"/>
            <w:tcBorders>
              <w:top w:val="single" w:sz="4" w:space="0" w:color="auto"/>
              <w:left w:val="nil"/>
              <w:bottom w:val="single" w:sz="4" w:space="0" w:color="auto"/>
              <w:right w:val="single" w:sz="4" w:space="0" w:color="auto"/>
            </w:tcBorders>
            <w:shd w:val="clear" w:color="auto" w:fill="auto"/>
            <w:vAlign w:val="center"/>
            <w:hideMark/>
          </w:tcPr>
          <w:p w14:paraId="05C13DC6" w14:textId="77777777" w:rsidR="000B1C3C" w:rsidRPr="00C3310F" w:rsidRDefault="000B1C3C" w:rsidP="000B1C3C">
            <w:pPr>
              <w:widowControl/>
              <w:snapToGrid w:val="0"/>
              <w:jc w:val="center"/>
              <w:rPr>
                <w:rFonts w:hAnsi="標楷體" w:cs="新細明體"/>
                <w:kern w:val="0"/>
                <w:sz w:val="28"/>
                <w:szCs w:val="28"/>
              </w:rPr>
            </w:pPr>
            <w:r w:rsidRPr="00C3310F">
              <w:rPr>
                <w:rFonts w:hAnsi="標楷體" w:cs="新細明體" w:hint="eastAsia"/>
                <w:kern w:val="0"/>
                <w:sz w:val="28"/>
                <w:szCs w:val="28"/>
              </w:rPr>
              <w:t>處分情形</w:t>
            </w:r>
            <w:r w:rsidRPr="00C3310F">
              <w:rPr>
                <w:rFonts w:hAnsi="標楷體" w:cs="新細明體" w:hint="eastAsia"/>
                <w:kern w:val="0"/>
                <w:sz w:val="28"/>
                <w:szCs w:val="28"/>
              </w:rPr>
              <w:br/>
            </w:r>
          </w:p>
        </w:tc>
      </w:tr>
      <w:tr w:rsidR="00C3310F" w:rsidRPr="00C3310F" w14:paraId="3B0E8F1D" w14:textId="77777777" w:rsidTr="000B1C3C">
        <w:trPr>
          <w:trHeight w:val="20"/>
        </w:trPr>
        <w:tc>
          <w:tcPr>
            <w:tcW w:w="595" w:type="pct"/>
            <w:tcBorders>
              <w:top w:val="nil"/>
              <w:left w:val="single" w:sz="4" w:space="0" w:color="auto"/>
              <w:bottom w:val="single" w:sz="4" w:space="0" w:color="000000"/>
              <w:right w:val="single" w:sz="4" w:space="0" w:color="auto"/>
            </w:tcBorders>
            <w:vAlign w:val="center"/>
          </w:tcPr>
          <w:p w14:paraId="735D2678" w14:textId="79AEBCBE" w:rsidR="000B1C3C" w:rsidRPr="00C3310F" w:rsidRDefault="000B1C3C" w:rsidP="000B1C3C">
            <w:pPr>
              <w:widowControl/>
              <w:snapToGrid w:val="0"/>
              <w:rPr>
                <w:rFonts w:hAnsi="標楷體" w:cs="新細明體"/>
                <w:kern w:val="0"/>
                <w:sz w:val="28"/>
                <w:szCs w:val="28"/>
              </w:rPr>
            </w:pPr>
            <w:r w:rsidRPr="00C3310F">
              <w:rPr>
                <w:rFonts w:hAnsi="標楷體" w:cs="新細明體" w:hint="eastAsia"/>
                <w:kern w:val="0"/>
                <w:sz w:val="28"/>
                <w:szCs w:val="28"/>
              </w:rPr>
              <w:t>聯</w:t>
            </w:r>
            <w:r w:rsidR="00BC64F5" w:rsidRPr="00C3310F">
              <w:rPr>
                <w:rFonts w:hAnsi="標楷體" w:cs="新細明體" w:hint="eastAsia"/>
                <w:kern w:val="0"/>
                <w:sz w:val="28"/>
                <w:szCs w:val="28"/>
              </w:rPr>
              <w:t>○</w:t>
            </w:r>
            <w:r w:rsidRPr="00C3310F">
              <w:rPr>
                <w:rFonts w:hAnsi="標楷體" w:cs="新細明體" w:hint="eastAsia"/>
                <w:kern w:val="0"/>
                <w:sz w:val="28"/>
                <w:szCs w:val="28"/>
              </w:rPr>
              <w:t>商業銀行</w:t>
            </w:r>
          </w:p>
        </w:tc>
        <w:tc>
          <w:tcPr>
            <w:tcW w:w="666" w:type="pct"/>
            <w:tcBorders>
              <w:top w:val="nil"/>
              <w:left w:val="single" w:sz="4" w:space="0" w:color="auto"/>
              <w:bottom w:val="single" w:sz="4" w:space="0" w:color="000000"/>
              <w:right w:val="single" w:sz="4" w:space="0" w:color="auto"/>
            </w:tcBorders>
            <w:vAlign w:val="center"/>
          </w:tcPr>
          <w:p w14:paraId="5799CDFE" w14:textId="77777777" w:rsidR="000B1C3C" w:rsidRPr="00C3310F" w:rsidRDefault="000B1C3C" w:rsidP="000B1C3C">
            <w:pPr>
              <w:widowControl/>
              <w:snapToGrid w:val="0"/>
              <w:rPr>
                <w:rFonts w:hAnsi="標楷體" w:cs="新細明體"/>
                <w:kern w:val="0"/>
                <w:sz w:val="28"/>
                <w:szCs w:val="28"/>
              </w:rPr>
            </w:pPr>
            <w:r w:rsidRPr="00C3310F">
              <w:rPr>
                <w:rFonts w:hAnsi="標楷體" w:cs="新細明體" w:hint="eastAsia"/>
                <w:kern w:val="0"/>
                <w:sz w:val="28"/>
                <w:szCs w:val="28"/>
              </w:rPr>
              <w:t>110.03.02</w:t>
            </w:r>
          </w:p>
        </w:tc>
        <w:tc>
          <w:tcPr>
            <w:tcW w:w="2832" w:type="pct"/>
            <w:tcBorders>
              <w:top w:val="nil"/>
              <w:left w:val="single" w:sz="4" w:space="0" w:color="auto"/>
              <w:bottom w:val="single" w:sz="4" w:space="0" w:color="000000"/>
              <w:right w:val="single" w:sz="4" w:space="0" w:color="auto"/>
            </w:tcBorders>
            <w:vAlign w:val="center"/>
          </w:tcPr>
          <w:p w14:paraId="4280619D" w14:textId="77777777" w:rsidR="000B1C3C" w:rsidRPr="00C3310F" w:rsidRDefault="000B1C3C" w:rsidP="000B1C3C">
            <w:pPr>
              <w:widowControl/>
              <w:snapToGrid w:val="0"/>
              <w:rPr>
                <w:rFonts w:hAnsi="標楷體" w:cs="新細明體"/>
                <w:kern w:val="0"/>
                <w:sz w:val="28"/>
                <w:szCs w:val="28"/>
              </w:rPr>
            </w:pPr>
            <w:r w:rsidRPr="00C3310F">
              <w:rPr>
                <w:rFonts w:hAnsi="標楷體" w:cs="新細明體" w:hint="eastAsia"/>
                <w:kern w:val="0"/>
                <w:sz w:val="28"/>
                <w:szCs w:val="28"/>
              </w:rPr>
              <w:t>對一定金額以上通貨交易未申報缺失，核有礙健全經營之虞。</w:t>
            </w:r>
          </w:p>
        </w:tc>
        <w:tc>
          <w:tcPr>
            <w:tcW w:w="873" w:type="pct"/>
            <w:tcBorders>
              <w:top w:val="nil"/>
              <w:left w:val="single" w:sz="4" w:space="0" w:color="auto"/>
              <w:bottom w:val="single" w:sz="4" w:space="0" w:color="000000"/>
              <w:right w:val="single" w:sz="4" w:space="0" w:color="auto"/>
            </w:tcBorders>
            <w:vAlign w:val="center"/>
          </w:tcPr>
          <w:p w14:paraId="522DA3CB" w14:textId="77777777" w:rsidR="000B1C3C" w:rsidRPr="00C3310F" w:rsidRDefault="000B1C3C" w:rsidP="000B1C3C">
            <w:pPr>
              <w:widowControl/>
              <w:snapToGrid w:val="0"/>
              <w:rPr>
                <w:rFonts w:hAnsi="標楷體" w:cs="新細明體"/>
                <w:kern w:val="0"/>
                <w:sz w:val="28"/>
                <w:szCs w:val="28"/>
              </w:rPr>
            </w:pPr>
            <w:r w:rsidRPr="00C3310F">
              <w:rPr>
                <w:rFonts w:hAnsi="標楷體" w:cs="新細明體" w:hint="eastAsia"/>
                <w:kern w:val="0"/>
                <w:sz w:val="28"/>
                <w:szCs w:val="28"/>
              </w:rPr>
              <w:t>糾正</w:t>
            </w:r>
          </w:p>
        </w:tc>
        <w:tc>
          <w:tcPr>
            <w:tcW w:w="34" w:type="pct"/>
            <w:tcBorders>
              <w:top w:val="nil"/>
              <w:left w:val="nil"/>
              <w:bottom w:val="nil"/>
              <w:right w:val="nil"/>
            </w:tcBorders>
            <w:shd w:val="clear" w:color="auto" w:fill="auto"/>
            <w:noWrap/>
            <w:vAlign w:val="center"/>
            <w:hideMark/>
          </w:tcPr>
          <w:p w14:paraId="3BF181D5" w14:textId="77777777" w:rsidR="000B1C3C" w:rsidRPr="00C3310F" w:rsidRDefault="000B1C3C" w:rsidP="000B1C3C">
            <w:pPr>
              <w:widowControl/>
              <w:snapToGrid w:val="0"/>
              <w:rPr>
                <w:rFonts w:hAnsi="標楷體" w:cs="新細明體"/>
                <w:kern w:val="0"/>
                <w:sz w:val="28"/>
                <w:szCs w:val="28"/>
              </w:rPr>
            </w:pPr>
          </w:p>
        </w:tc>
      </w:tr>
      <w:tr w:rsidR="00C3310F" w:rsidRPr="00C3310F" w14:paraId="217AF854" w14:textId="77777777" w:rsidTr="000B1C3C">
        <w:trPr>
          <w:trHeight w:val="20"/>
        </w:trPr>
        <w:tc>
          <w:tcPr>
            <w:tcW w:w="595" w:type="pct"/>
            <w:tcBorders>
              <w:top w:val="nil"/>
              <w:left w:val="single" w:sz="4" w:space="0" w:color="auto"/>
              <w:bottom w:val="single" w:sz="4" w:space="0" w:color="000000"/>
              <w:right w:val="single" w:sz="4" w:space="0" w:color="auto"/>
            </w:tcBorders>
            <w:vAlign w:val="center"/>
          </w:tcPr>
          <w:p w14:paraId="389510FF" w14:textId="4BB90E84" w:rsidR="000B1C3C" w:rsidRPr="00C3310F" w:rsidRDefault="000B1C3C" w:rsidP="000B1C3C">
            <w:pPr>
              <w:widowControl/>
              <w:snapToGrid w:val="0"/>
              <w:rPr>
                <w:rFonts w:hAnsi="標楷體" w:cs="新細明體"/>
                <w:kern w:val="0"/>
                <w:sz w:val="28"/>
                <w:szCs w:val="28"/>
              </w:rPr>
            </w:pPr>
            <w:r w:rsidRPr="00C3310F">
              <w:rPr>
                <w:rFonts w:hAnsi="標楷體" w:cs="新細明體" w:hint="eastAsia"/>
                <w:kern w:val="0"/>
                <w:sz w:val="28"/>
                <w:szCs w:val="28"/>
              </w:rPr>
              <w:t>台</w:t>
            </w:r>
            <w:r w:rsidR="00BC64F5" w:rsidRPr="00C3310F">
              <w:rPr>
                <w:rFonts w:hAnsi="標楷體" w:cs="新細明體" w:hint="eastAsia"/>
                <w:kern w:val="0"/>
                <w:sz w:val="28"/>
                <w:szCs w:val="28"/>
              </w:rPr>
              <w:t>○</w:t>
            </w:r>
            <w:r w:rsidRPr="00C3310F">
              <w:rPr>
                <w:rFonts w:hAnsi="標楷體" w:cs="新細明體" w:hint="eastAsia"/>
                <w:kern w:val="0"/>
                <w:sz w:val="28"/>
                <w:szCs w:val="28"/>
              </w:rPr>
              <w:t>國際商業銀行</w:t>
            </w:r>
          </w:p>
        </w:tc>
        <w:tc>
          <w:tcPr>
            <w:tcW w:w="666" w:type="pct"/>
            <w:tcBorders>
              <w:top w:val="nil"/>
              <w:left w:val="single" w:sz="4" w:space="0" w:color="auto"/>
              <w:bottom w:val="single" w:sz="4" w:space="0" w:color="000000"/>
              <w:right w:val="single" w:sz="4" w:space="0" w:color="auto"/>
            </w:tcBorders>
            <w:vAlign w:val="center"/>
          </w:tcPr>
          <w:p w14:paraId="49B9C8B9" w14:textId="77777777" w:rsidR="000B1C3C" w:rsidRPr="00C3310F" w:rsidRDefault="000B1C3C" w:rsidP="000B1C3C">
            <w:pPr>
              <w:widowControl/>
              <w:snapToGrid w:val="0"/>
              <w:rPr>
                <w:rFonts w:hAnsi="標楷體" w:cs="新細明體"/>
                <w:kern w:val="0"/>
                <w:sz w:val="28"/>
                <w:szCs w:val="28"/>
              </w:rPr>
            </w:pPr>
            <w:r w:rsidRPr="00C3310F">
              <w:rPr>
                <w:rFonts w:hAnsi="標楷體" w:hint="eastAsia"/>
                <w:sz w:val="28"/>
                <w:szCs w:val="28"/>
              </w:rPr>
              <w:t>110.12.28</w:t>
            </w:r>
          </w:p>
        </w:tc>
        <w:tc>
          <w:tcPr>
            <w:tcW w:w="2832" w:type="pct"/>
            <w:tcBorders>
              <w:top w:val="nil"/>
              <w:left w:val="single" w:sz="4" w:space="0" w:color="auto"/>
              <w:bottom w:val="single" w:sz="4" w:space="0" w:color="000000"/>
              <w:right w:val="single" w:sz="4" w:space="0" w:color="auto"/>
            </w:tcBorders>
            <w:vAlign w:val="center"/>
          </w:tcPr>
          <w:p w14:paraId="775642FC" w14:textId="77777777" w:rsidR="000B1C3C" w:rsidRPr="00C3310F" w:rsidRDefault="000B1C3C" w:rsidP="000B1C3C">
            <w:pPr>
              <w:widowControl/>
              <w:snapToGrid w:val="0"/>
              <w:rPr>
                <w:rFonts w:hAnsi="標楷體" w:cs="新細明體"/>
                <w:kern w:val="0"/>
                <w:sz w:val="28"/>
                <w:szCs w:val="28"/>
              </w:rPr>
            </w:pPr>
            <w:r w:rsidRPr="00C3310F">
              <w:rPr>
                <w:rFonts w:hAnsi="標楷體" w:hint="eastAsia"/>
                <w:sz w:val="28"/>
                <w:szCs w:val="28"/>
              </w:rPr>
              <w:t>有關該行疑似詐欺性質交易款涉及透過該行客戶帳戶進行移轉一案，辦理他行行員開立於該行之存款帳戶之交易持續監控作業相關缺失，顯示該行未能有效執行洗錢表徵交易之審核與通報機制，對於自動化交易之監控態樣及參數設定亦未盡周全。</w:t>
            </w:r>
          </w:p>
        </w:tc>
        <w:tc>
          <w:tcPr>
            <w:tcW w:w="873" w:type="pct"/>
            <w:tcBorders>
              <w:top w:val="nil"/>
              <w:left w:val="single" w:sz="4" w:space="0" w:color="auto"/>
              <w:bottom w:val="single" w:sz="4" w:space="0" w:color="000000"/>
              <w:right w:val="single" w:sz="4" w:space="0" w:color="auto"/>
            </w:tcBorders>
            <w:vAlign w:val="center"/>
          </w:tcPr>
          <w:p w14:paraId="4354BF53" w14:textId="77777777" w:rsidR="000B1C3C" w:rsidRPr="00C3310F" w:rsidRDefault="000B1C3C" w:rsidP="000B1C3C">
            <w:pPr>
              <w:widowControl/>
              <w:snapToGrid w:val="0"/>
              <w:rPr>
                <w:rFonts w:hAnsi="標楷體" w:cs="新細明體"/>
                <w:kern w:val="0"/>
                <w:sz w:val="28"/>
                <w:szCs w:val="28"/>
              </w:rPr>
            </w:pPr>
            <w:r w:rsidRPr="00C3310F">
              <w:rPr>
                <w:rFonts w:hAnsi="標楷體" w:hint="eastAsia"/>
                <w:sz w:val="28"/>
                <w:szCs w:val="28"/>
              </w:rPr>
              <w:t>糾正</w:t>
            </w:r>
          </w:p>
        </w:tc>
        <w:tc>
          <w:tcPr>
            <w:tcW w:w="34" w:type="pct"/>
            <w:tcBorders>
              <w:top w:val="nil"/>
              <w:left w:val="nil"/>
              <w:bottom w:val="nil"/>
              <w:right w:val="nil"/>
            </w:tcBorders>
            <w:shd w:val="clear" w:color="auto" w:fill="auto"/>
            <w:noWrap/>
            <w:vAlign w:val="center"/>
          </w:tcPr>
          <w:p w14:paraId="253C9DB5" w14:textId="77777777" w:rsidR="000B1C3C" w:rsidRPr="00C3310F" w:rsidRDefault="000B1C3C" w:rsidP="000B1C3C">
            <w:pPr>
              <w:widowControl/>
              <w:snapToGrid w:val="0"/>
              <w:rPr>
                <w:rFonts w:hAnsi="標楷體" w:cs="新細明體"/>
                <w:kern w:val="0"/>
                <w:sz w:val="28"/>
                <w:szCs w:val="28"/>
              </w:rPr>
            </w:pPr>
          </w:p>
        </w:tc>
      </w:tr>
      <w:tr w:rsidR="00C3310F" w:rsidRPr="00C3310F" w14:paraId="7DCEF3ED" w14:textId="77777777" w:rsidTr="000B1C3C">
        <w:trPr>
          <w:trHeight w:val="20"/>
        </w:trPr>
        <w:tc>
          <w:tcPr>
            <w:tcW w:w="595" w:type="pct"/>
            <w:tcBorders>
              <w:top w:val="nil"/>
              <w:left w:val="single" w:sz="4" w:space="0" w:color="auto"/>
              <w:bottom w:val="single" w:sz="4" w:space="0" w:color="000000"/>
              <w:right w:val="single" w:sz="4" w:space="0" w:color="auto"/>
            </w:tcBorders>
            <w:shd w:val="clear" w:color="auto" w:fill="auto"/>
            <w:vAlign w:val="center"/>
          </w:tcPr>
          <w:p w14:paraId="0595849D" w14:textId="126303F5" w:rsidR="000B1C3C" w:rsidRPr="00C3310F" w:rsidRDefault="000B1C3C" w:rsidP="000B1C3C">
            <w:pPr>
              <w:widowControl/>
              <w:snapToGrid w:val="0"/>
              <w:rPr>
                <w:rFonts w:hAnsi="標楷體" w:cs="新細明體"/>
                <w:kern w:val="0"/>
                <w:sz w:val="28"/>
                <w:szCs w:val="28"/>
              </w:rPr>
            </w:pPr>
            <w:r w:rsidRPr="00C3310F">
              <w:rPr>
                <w:rFonts w:hAnsi="標楷體" w:cs="新細明體" w:hint="eastAsia"/>
                <w:kern w:val="0"/>
                <w:sz w:val="28"/>
                <w:szCs w:val="28"/>
              </w:rPr>
              <w:t>中</w:t>
            </w:r>
            <w:r w:rsidR="00BC64F5" w:rsidRPr="00C3310F">
              <w:rPr>
                <w:rFonts w:hAnsi="標楷體" w:cs="新細明體" w:hint="eastAsia"/>
                <w:kern w:val="0"/>
                <w:sz w:val="28"/>
                <w:szCs w:val="28"/>
              </w:rPr>
              <w:t>○</w:t>
            </w:r>
            <w:r w:rsidRPr="00C3310F">
              <w:rPr>
                <w:rFonts w:hAnsi="標楷體" w:cs="新細明體" w:hint="eastAsia"/>
                <w:kern w:val="0"/>
                <w:sz w:val="28"/>
                <w:szCs w:val="28"/>
              </w:rPr>
              <w:t>信託商業銀行</w:t>
            </w:r>
          </w:p>
        </w:tc>
        <w:tc>
          <w:tcPr>
            <w:tcW w:w="666" w:type="pct"/>
            <w:tcBorders>
              <w:top w:val="nil"/>
              <w:left w:val="single" w:sz="4" w:space="0" w:color="auto"/>
              <w:bottom w:val="single" w:sz="4" w:space="0" w:color="000000"/>
              <w:right w:val="single" w:sz="4" w:space="0" w:color="auto"/>
            </w:tcBorders>
            <w:shd w:val="clear" w:color="auto" w:fill="auto"/>
            <w:vAlign w:val="center"/>
          </w:tcPr>
          <w:p w14:paraId="540D2332" w14:textId="77777777" w:rsidR="000B1C3C" w:rsidRPr="00C3310F" w:rsidRDefault="000B1C3C" w:rsidP="000B1C3C">
            <w:pPr>
              <w:widowControl/>
              <w:snapToGrid w:val="0"/>
              <w:rPr>
                <w:rFonts w:hAnsi="標楷體"/>
                <w:sz w:val="28"/>
                <w:szCs w:val="28"/>
              </w:rPr>
            </w:pPr>
            <w:r w:rsidRPr="00C3310F">
              <w:rPr>
                <w:rFonts w:hAnsi="標楷體" w:hint="eastAsia"/>
                <w:sz w:val="28"/>
                <w:szCs w:val="28"/>
              </w:rPr>
              <w:t>110.12.28</w:t>
            </w:r>
          </w:p>
        </w:tc>
        <w:tc>
          <w:tcPr>
            <w:tcW w:w="2832" w:type="pct"/>
            <w:tcBorders>
              <w:top w:val="nil"/>
              <w:left w:val="single" w:sz="4" w:space="0" w:color="auto"/>
              <w:bottom w:val="single" w:sz="4" w:space="0" w:color="000000"/>
              <w:right w:val="single" w:sz="4" w:space="0" w:color="auto"/>
            </w:tcBorders>
            <w:shd w:val="clear" w:color="auto" w:fill="auto"/>
            <w:vAlign w:val="center"/>
          </w:tcPr>
          <w:p w14:paraId="170C1CCB" w14:textId="77777777" w:rsidR="000B1C3C" w:rsidRPr="00C3310F" w:rsidRDefault="000B1C3C" w:rsidP="000B1C3C">
            <w:pPr>
              <w:widowControl/>
              <w:snapToGrid w:val="0"/>
              <w:rPr>
                <w:rFonts w:hAnsi="標楷體"/>
                <w:sz w:val="28"/>
                <w:szCs w:val="28"/>
              </w:rPr>
            </w:pPr>
            <w:r w:rsidRPr="00C3310F">
              <w:rPr>
                <w:rFonts w:hAnsi="標楷體" w:hint="eastAsia"/>
                <w:sz w:val="28"/>
                <w:szCs w:val="28"/>
              </w:rPr>
              <w:t>該行南中壢分行及石牌分行前理財專員管員及葉員與客戶間異常資金往來所涉缺失，核有違反銀行法第45條之1第1項規定。</w:t>
            </w:r>
          </w:p>
        </w:tc>
        <w:tc>
          <w:tcPr>
            <w:tcW w:w="873" w:type="pct"/>
            <w:tcBorders>
              <w:top w:val="nil"/>
              <w:left w:val="single" w:sz="4" w:space="0" w:color="auto"/>
              <w:bottom w:val="single" w:sz="4" w:space="0" w:color="000000"/>
              <w:right w:val="single" w:sz="4" w:space="0" w:color="auto"/>
            </w:tcBorders>
            <w:shd w:val="clear" w:color="auto" w:fill="auto"/>
            <w:vAlign w:val="center"/>
          </w:tcPr>
          <w:p w14:paraId="46B9533D" w14:textId="77777777" w:rsidR="000B1C3C" w:rsidRPr="00C3310F" w:rsidRDefault="000B1C3C" w:rsidP="000B1C3C">
            <w:pPr>
              <w:widowControl/>
              <w:snapToGrid w:val="0"/>
              <w:rPr>
                <w:rFonts w:hAnsi="標楷體"/>
                <w:sz w:val="28"/>
                <w:szCs w:val="28"/>
              </w:rPr>
            </w:pPr>
            <w:r w:rsidRPr="00C3310F">
              <w:rPr>
                <w:rFonts w:hAnsi="標楷體" w:hint="eastAsia"/>
                <w:sz w:val="28"/>
                <w:szCs w:val="28"/>
              </w:rPr>
              <w:t>核處1,400萬元罰鍰</w:t>
            </w:r>
          </w:p>
        </w:tc>
        <w:tc>
          <w:tcPr>
            <w:tcW w:w="34" w:type="pct"/>
            <w:tcBorders>
              <w:top w:val="nil"/>
              <w:left w:val="nil"/>
              <w:bottom w:val="nil"/>
              <w:right w:val="nil"/>
            </w:tcBorders>
            <w:shd w:val="clear" w:color="auto" w:fill="auto"/>
            <w:noWrap/>
            <w:vAlign w:val="center"/>
          </w:tcPr>
          <w:p w14:paraId="4EBB2D8A" w14:textId="77777777" w:rsidR="000B1C3C" w:rsidRPr="00C3310F" w:rsidRDefault="000B1C3C" w:rsidP="000B1C3C">
            <w:pPr>
              <w:widowControl/>
              <w:snapToGrid w:val="0"/>
              <w:rPr>
                <w:rFonts w:hAnsi="標楷體" w:cs="新細明體"/>
                <w:kern w:val="0"/>
                <w:sz w:val="28"/>
                <w:szCs w:val="28"/>
              </w:rPr>
            </w:pPr>
          </w:p>
        </w:tc>
      </w:tr>
      <w:tr w:rsidR="00C3310F" w:rsidRPr="00C3310F" w14:paraId="03510F04" w14:textId="77777777" w:rsidTr="000B1C3C">
        <w:trPr>
          <w:trHeight w:val="20"/>
        </w:trPr>
        <w:tc>
          <w:tcPr>
            <w:tcW w:w="595" w:type="pct"/>
            <w:tcBorders>
              <w:top w:val="nil"/>
              <w:left w:val="single" w:sz="4" w:space="0" w:color="auto"/>
              <w:bottom w:val="single" w:sz="4" w:space="0" w:color="000000"/>
              <w:right w:val="single" w:sz="4" w:space="0" w:color="auto"/>
            </w:tcBorders>
            <w:shd w:val="clear" w:color="auto" w:fill="auto"/>
            <w:vAlign w:val="center"/>
          </w:tcPr>
          <w:p w14:paraId="0770C16A" w14:textId="73C5699B" w:rsidR="000B1C3C" w:rsidRPr="00C3310F" w:rsidRDefault="000B1C3C" w:rsidP="000B1C3C">
            <w:pPr>
              <w:widowControl/>
              <w:snapToGrid w:val="0"/>
              <w:rPr>
                <w:rFonts w:hAnsi="標楷體" w:cs="新細明體"/>
                <w:kern w:val="0"/>
                <w:sz w:val="28"/>
                <w:szCs w:val="28"/>
              </w:rPr>
            </w:pPr>
            <w:r w:rsidRPr="00C3310F">
              <w:rPr>
                <w:rFonts w:hAnsi="標楷體" w:cs="新細明體" w:hint="eastAsia"/>
                <w:kern w:val="0"/>
                <w:sz w:val="28"/>
                <w:szCs w:val="28"/>
              </w:rPr>
              <w:t>花</w:t>
            </w:r>
            <w:r w:rsidR="00BC64F5" w:rsidRPr="00C3310F">
              <w:rPr>
                <w:rFonts w:hAnsi="標楷體" w:cs="新細明體" w:hint="eastAsia"/>
                <w:kern w:val="0"/>
                <w:sz w:val="28"/>
                <w:szCs w:val="28"/>
              </w:rPr>
              <w:t>○</w:t>
            </w:r>
            <w:r w:rsidRPr="00C3310F">
              <w:rPr>
                <w:rFonts w:hAnsi="標楷體" w:cs="新細明體"/>
                <w:kern w:val="0"/>
                <w:sz w:val="28"/>
                <w:szCs w:val="28"/>
              </w:rPr>
              <w:t>(</w:t>
            </w:r>
            <w:r w:rsidRPr="00C3310F">
              <w:rPr>
                <w:rFonts w:hAnsi="標楷體" w:cs="新細明體" w:hint="eastAsia"/>
                <w:kern w:val="0"/>
                <w:sz w:val="28"/>
                <w:szCs w:val="28"/>
              </w:rPr>
              <w:t>台灣</w:t>
            </w:r>
            <w:r w:rsidRPr="00C3310F">
              <w:rPr>
                <w:rFonts w:hAnsi="標楷體" w:cs="新細明體"/>
                <w:kern w:val="0"/>
                <w:sz w:val="28"/>
                <w:szCs w:val="28"/>
              </w:rPr>
              <w:t>)</w:t>
            </w:r>
            <w:r w:rsidRPr="00C3310F">
              <w:rPr>
                <w:rFonts w:hAnsi="標楷體" w:cs="新細明體" w:hint="eastAsia"/>
                <w:kern w:val="0"/>
                <w:sz w:val="28"/>
                <w:szCs w:val="28"/>
              </w:rPr>
              <w:t>銀行</w:t>
            </w:r>
          </w:p>
        </w:tc>
        <w:tc>
          <w:tcPr>
            <w:tcW w:w="666" w:type="pct"/>
            <w:tcBorders>
              <w:top w:val="nil"/>
              <w:left w:val="single" w:sz="4" w:space="0" w:color="auto"/>
              <w:bottom w:val="single" w:sz="4" w:space="0" w:color="000000"/>
              <w:right w:val="single" w:sz="4" w:space="0" w:color="auto"/>
            </w:tcBorders>
            <w:shd w:val="clear" w:color="auto" w:fill="auto"/>
            <w:vAlign w:val="center"/>
          </w:tcPr>
          <w:p w14:paraId="0BB8ABCB" w14:textId="77777777" w:rsidR="000B1C3C" w:rsidRPr="00C3310F" w:rsidRDefault="000B1C3C" w:rsidP="000B1C3C">
            <w:pPr>
              <w:widowControl/>
              <w:snapToGrid w:val="0"/>
              <w:rPr>
                <w:rFonts w:hAnsi="標楷體"/>
                <w:sz w:val="28"/>
                <w:szCs w:val="28"/>
              </w:rPr>
            </w:pPr>
            <w:r w:rsidRPr="00C3310F">
              <w:rPr>
                <w:rFonts w:hAnsi="標楷體"/>
                <w:sz w:val="28"/>
                <w:szCs w:val="28"/>
              </w:rPr>
              <w:t>110.5.13</w:t>
            </w:r>
          </w:p>
        </w:tc>
        <w:tc>
          <w:tcPr>
            <w:tcW w:w="2832" w:type="pct"/>
            <w:tcBorders>
              <w:top w:val="nil"/>
              <w:left w:val="single" w:sz="4" w:space="0" w:color="auto"/>
              <w:bottom w:val="single" w:sz="4" w:space="0" w:color="000000"/>
              <w:right w:val="single" w:sz="4" w:space="0" w:color="auto"/>
            </w:tcBorders>
            <w:shd w:val="clear" w:color="auto" w:fill="auto"/>
            <w:vAlign w:val="center"/>
          </w:tcPr>
          <w:p w14:paraId="46A34BA2" w14:textId="77777777" w:rsidR="000B1C3C" w:rsidRPr="00C3310F" w:rsidRDefault="000B1C3C" w:rsidP="000B1C3C">
            <w:pPr>
              <w:widowControl/>
              <w:snapToGrid w:val="0"/>
              <w:rPr>
                <w:rFonts w:hAnsi="標楷體"/>
                <w:sz w:val="28"/>
                <w:szCs w:val="28"/>
              </w:rPr>
            </w:pPr>
            <w:r w:rsidRPr="00C3310F">
              <w:rPr>
                <w:rFonts w:hAnsi="標楷體" w:hint="eastAsia"/>
                <w:sz w:val="28"/>
                <w:szCs w:val="28"/>
              </w:rPr>
              <w:t>金管會對花旗</w:t>
            </w:r>
            <w:r w:rsidRPr="00C3310F">
              <w:rPr>
                <w:rFonts w:hAnsi="標楷體"/>
                <w:sz w:val="28"/>
                <w:szCs w:val="28"/>
              </w:rPr>
              <w:t>(</w:t>
            </w:r>
            <w:r w:rsidRPr="00C3310F">
              <w:rPr>
                <w:rFonts w:hAnsi="標楷體" w:hint="eastAsia"/>
                <w:sz w:val="28"/>
                <w:szCs w:val="28"/>
              </w:rPr>
              <w:t>台灣</w:t>
            </w:r>
            <w:r w:rsidRPr="00C3310F">
              <w:rPr>
                <w:rFonts w:hAnsi="標楷體"/>
                <w:sz w:val="28"/>
                <w:szCs w:val="28"/>
              </w:rPr>
              <w:t>)</w:t>
            </w:r>
            <w:r w:rsidRPr="00C3310F">
              <w:rPr>
                <w:rFonts w:hAnsi="標楷體" w:hint="eastAsia"/>
                <w:sz w:val="28"/>
                <w:szCs w:val="28"/>
              </w:rPr>
              <w:t>商業銀行辦理「貿易金融之防制洗錢、打擊資恐及反資助武器擴散」專案檢查報告</w:t>
            </w:r>
            <w:r w:rsidRPr="00C3310F">
              <w:rPr>
                <w:rFonts w:hAnsi="標楷體"/>
                <w:sz w:val="28"/>
                <w:szCs w:val="28"/>
              </w:rPr>
              <w:t>(</w:t>
            </w:r>
            <w:r w:rsidRPr="00C3310F">
              <w:rPr>
                <w:rFonts w:hAnsi="標楷體" w:hint="eastAsia"/>
                <w:sz w:val="28"/>
                <w:szCs w:val="28"/>
              </w:rPr>
              <w:t>編號：</w:t>
            </w:r>
            <w:r w:rsidRPr="00C3310F">
              <w:rPr>
                <w:rFonts w:hAnsi="標楷體"/>
                <w:sz w:val="28"/>
                <w:szCs w:val="28"/>
              </w:rPr>
              <w:t>108B070)</w:t>
            </w:r>
            <w:r w:rsidRPr="00C3310F">
              <w:rPr>
                <w:rFonts w:hAnsi="標楷體" w:hint="eastAsia"/>
                <w:sz w:val="28"/>
                <w:szCs w:val="28"/>
              </w:rPr>
              <w:t>及一般業務檢查報告</w:t>
            </w:r>
            <w:r w:rsidRPr="00C3310F">
              <w:rPr>
                <w:rFonts w:hAnsi="標楷體"/>
                <w:sz w:val="28"/>
                <w:szCs w:val="28"/>
              </w:rPr>
              <w:t>(</w:t>
            </w:r>
            <w:r w:rsidRPr="00C3310F">
              <w:rPr>
                <w:rFonts w:hAnsi="標楷體" w:hint="eastAsia"/>
                <w:sz w:val="28"/>
                <w:szCs w:val="28"/>
              </w:rPr>
              <w:t>編號：</w:t>
            </w:r>
            <w:r w:rsidRPr="00C3310F">
              <w:rPr>
                <w:rFonts w:hAnsi="標楷體"/>
                <w:sz w:val="28"/>
                <w:szCs w:val="28"/>
              </w:rPr>
              <w:t>109B014)</w:t>
            </w:r>
            <w:r w:rsidRPr="00C3310F">
              <w:rPr>
                <w:rFonts w:hAnsi="標楷體" w:hint="eastAsia"/>
                <w:sz w:val="28"/>
                <w:szCs w:val="28"/>
              </w:rPr>
              <w:t>所列防制洗錢及打擊資恐相關缺失，核有違反銀行法第</w:t>
            </w:r>
            <w:r w:rsidRPr="00C3310F">
              <w:rPr>
                <w:rFonts w:hAnsi="標楷體"/>
                <w:sz w:val="28"/>
                <w:szCs w:val="28"/>
              </w:rPr>
              <w:t>45</w:t>
            </w:r>
            <w:r w:rsidRPr="00C3310F">
              <w:rPr>
                <w:rFonts w:hAnsi="標楷體" w:hint="eastAsia"/>
                <w:sz w:val="28"/>
                <w:szCs w:val="28"/>
              </w:rPr>
              <w:t>條之</w:t>
            </w:r>
            <w:r w:rsidRPr="00C3310F">
              <w:rPr>
                <w:rFonts w:hAnsi="標楷體"/>
                <w:sz w:val="28"/>
                <w:szCs w:val="28"/>
              </w:rPr>
              <w:t>1</w:t>
            </w:r>
            <w:r w:rsidRPr="00C3310F">
              <w:rPr>
                <w:rFonts w:hAnsi="標楷體" w:hint="eastAsia"/>
                <w:sz w:val="28"/>
                <w:szCs w:val="28"/>
              </w:rPr>
              <w:t>第</w:t>
            </w:r>
            <w:r w:rsidRPr="00C3310F">
              <w:rPr>
                <w:rFonts w:hAnsi="標楷體"/>
                <w:sz w:val="28"/>
                <w:szCs w:val="28"/>
              </w:rPr>
              <w:t>1</w:t>
            </w:r>
            <w:r w:rsidRPr="00C3310F">
              <w:rPr>
                <w:rFonts w:hAnsi="標楷體" w:hint="eastAsia"/>
                <w:sz w:val="28"/>
                <w:szCs w:val="28"/>
              </w:rPr>
              <w:t>項規定，依同法第</w:t>
            </w:r>
            <w:r w:rsidRPr="00C3310F">
              <w:rPr>
                <w:rFonts w:hAnsi="標楷體"/>
                <w:sz w:val="28"/>
                <w:szCs w:val="28"/>
              </w:rPr>
              <w:t>129</w:t>
            </w:r>
            <w:r w:rsidRPr="00C3310F">
              <w:rPr>
                <w:rFonts w:hAnsi="標楷體" w:hint="eastAsia"/>
                <w:sz w:val="28"/>
                <w:szCs w:val="28"/>
              </w:rPr>
              <w:t>條第</w:t>
            </w:r>
            <w:r w:rsidRPr="00C3310F">
              <w:rPr>
                <w:rFonts w:hAnsi="標楷體"/>
                <w:sz w:val="28"/>
                <w:szCs w:val="28"/>
              </w:rPr>
              <w:t>7</w:t>
            </w:r>
            <w:r w:rsidRPr="00C3310F">
              <w:rPr>
                <w:rFonts w:hAnsi="標楷體" w:hint="eastAsia"/>
                <w:sz w:val="28"/>
                <w:szCs w:val="28"/>
              </w:rPr>
              <w:t>款規定，核處</w:t>
            </w:r>
            <w:r w:rsidRPr="00C3310F">
              <w:rPr>
                <w:rFonts w:hAnsi="標楷體"/>
                <w:sz w:val="28"/>
                <w:szCs w:val="28"/>
              </w:rPr>
              <w:t>1,000</w:t>
            </w:r>
            <w:r w:rsidRPr="00C3310F">
              <w:rPr>
                <w:rFonts w:hAnsi="標楷體" w:hint="eastAsia"/>
                <w:sz w:val="28"/>
                <w:szCs w:val="28"/>
              </w:rPr>
              <w:t>萬元罰鍰</w:t>
            </w:r>
          </w:p>
        </w:tc>
        <w:tc>
          <w:tcPr>
            <w:tcW w:w="873" w:type="pct"/>
            <w:tcBorders>
              <w:top w:val="nil"/>
              <w:left w:val="single" w:sz="4" w:space="0" w:color="auto"/>
              <w:bottom w:val="single" w:sz="4" w:space="0" w:color="000000"/>
              <w:right w:val="single" w:sz="4" w:space="0" w:color="auto"/>
            </w:tcBorders>
            <w:shd w:val="clear" w:color="auto" w:fill="auto"/>
            <w:vAlign w:val="center"/>
          </w:tcPr>
          <w:p w14:paraId="01996B3C" w14:textId="77777777" w:rsidR="000B1C3C" w:rsidRPr="00C3310F" w:rsidRDefault="000B1C3C" w:rsidP="000B1C3C">
            <w:pPr>
              <w:widowControl/>
              <w:snapToGrid w:val="0"/>
              <w:rPr>
                <w:rFonts w:hAnsi="標楷體"/>
                <w:sz w:val="28"/>
                <w:szCs w:val="28"/>
              </w:rPr>
            </w:pPr>
            <w:r w:rsidRPr="00C3310F">
              <w:rPr>
                <w:rFonts w:hAnsi="標楷體" w:hint="eastAsia"/>
                <w:sz w:val="28"/>
                <w:szCs w:val="28"/>
              </w:rPr>
              <w:t>裁罰</w:t>
            </w:r>
            <w:r w:rsidRPr="00C3310F">
              <w:rPr>
                <w:rFonts w:hAnsi="標楷體"/>
                <w:sz w:val="28"/>
                <w:szCs w:val="28"/>
              </w:rPr>
              <w:t>1,000</w:t>
            </w:r>
            <w:r w:rsidRPr="00C3310F">
              <w:rPr>
                <w:rFonts w:hAnsi="標楷體" w:hint="eastAsia"/>
                <w:sz w:val="28"/>
                <w:szCs w:val="28"/>
              </w:rPr>
              <w:t>萬元罰鍰</w:t>
            </w:r>
          </w:p>
        </w:tc>
        <w:tc>
          <w:tcPr>
            <w:tcW w:w="34" w:type="pct"/>
            <w:tcBorders>
              <w:top w:val="nil"/>
              <w:left w:val="nil"/>
              <w:bottom w:val="nil"/>
              <w:right w:val="nil"/>
            </w:tcBorders>
            <w:shd w:val="clear" w:color="auto" w:fill="auto"/>
            <w:noWrap/>
            <w:vAlign w:val="center"/>
          </w:tcPr>
          <w:p w14:paraId="75B3870E" w14:textId="77777777" w:rsidR="000B1C3C" w:rsidRPr="00C3310F" w:rsidRDefault="000B1C3C" w:rsidP="000B1C3C">
            <w:pPr>
              <w:widowControl/>
              <w:snapToGrid w:val="0"/>
              <w:rPr>
                <w:rFonts w:hAnsi="標楷體" w:cs="新細明體"/>
                <w:kern w:val="0"/>
                <w:sz w:val="28"/>
                <w:szCs w:val="28"/>
              </w:rPr>
            </w:pPr>
          </w:p>
        </w:tc>
      </w:tr>
      <w:tr w:rsidR="00C3310F" w:rsidRPr="00C3310F" w14:paraId="7E17385A" w14:textId="77777777" w:rsidTr="000B1C3C">
        <w:trPr>
          <w:trHeight w:val="20"/>
        </w:trPr>
        <w:tc>
          <w:tcPr>
            <w:tcW w:w="595" w:type="pct"/>
            <w:tcBorders>
              <w:top w:val="nil"/>
              <w:left w:val="single" w:sz="4" w:space="0" w:color="auto"/>
              <w:bottom w:val="single" w:sz="4" w:space="0" w:color="000000"/>
              <w:right w:val="single" w:sz="4" w:space="0" w:color="auto"/>
            </w:tcBorders>
            <w:shd w:val="clear" w:color="auto" w:fill="auto"/>
            <w:vAlign w:val="center"/>
          </w:tcPr>
          <w:p w14:paraId="57B9ACE5" w14:textId="5E37A76A" w:rsidR="000B1C3C" w:rsidRPr="00C3310F" w:rsidRDefault="000B1C3C" w:rsidP="000B1C3C">
            <w:pPr>
              <w:widowControl/>
              <w:snapToGrid w:val="0"/>
              <w:rPr>
                <w:rFonts w:hAnsi="標楷體" w:cs="新細明體"/>
                <w:kern w:val="0"/>
                <w:sz w:val="28"/>
                <w:szCs w:val="28"/>
              </w:rPr>
            </w:pPr>
            <w:r w:rsidRPr="00C3310F">
              <w:rPr>
                <w:rFonts w:hAnsi="標楷體" w:cs="新細明體" w:hint="eastAsia"/>
                <w:kern w:val="0"/>
                <w:sz w:val="28"/>
                <w:szCs w:val="28"/>
              </w:rPr>
              <w:t>星</w:t>
            </w:r>
            <w:r w:rsidR="00BC64F5" w:rsidRPr="00C3310F">
              <w:rPr>
                <w:rFonts w:hAnsi="標楷體" w:cs="新細明體" w:hint="eastAsia"/>
                <w:kern w:val="0"/>
                <w:sz w:val="28"/>
                <w:szCs w:val="28"/>
              </w:rPr>
              <w:t>○</w:t>
            </w:r>
            <w:r w:rsidRPr="00C3310F">
              <w:rPr>
                <w:rFonts w:hAnsi="標楷體" w:cs="新細明體"/>
                <w:kern w:val="0"/>
                <w:sz w:val="28"/>
                <w:szCs w:val="28"/>
              </w:rPr>
              <w:t>(</w:t>
            </w:r>
            <w:r w:rsidRPr="00C3310F">
              <w:rPr>
                <w:rFonts w:hAnsi="標楷體" w:cs="新細明體" w:hint="eastAsia"/>
                <w:kern w:val="0"/>
                <w:sz w:val="28"/>
                <w:szCs w:val="28"/>
              </w:rPr>
              <w:t>台灣</w:t>
            </w:r>
            <w:r w:rsidRPr="00C3310F">
              <w:rPr>
                <w:rFonts w:hAnsi="標楷體" w:cs="新細明體"/>
                <w:kern w:val="0"/>
                <w:sz w:val="28"/>
                <w:szCs w:val="28"/>
              </w:rPr>
              <w:t>)</w:t>
            </w:r>
            <w:r w:rsidRPr="00C3310F">
              <w:rPr>
                <w:rFonts w:hAnsi="標楷體" w:cs="新細明體" w:hint="eastAsia"/>
                <w:kern w:val="0"/>
                <w:sz w:val="28"/>
                <w:szCs w:val="28"/>
              </w:rPr>
              <w:t>商業銀行</w:t>
            </w:r>
          </w:p>
        </w:tc>
        <w:tc>
          <w:tcPr>
            <w:tcW w:w="666" w:type="pct"/>
            <w:tcBorders>
              <w:top w:val="nil"/>
              <w:left w:val="single" w:sz="4" w:space="0" w:color="auto"/>
              <w:bottom w:val="single" w:sz="4" w:space="0" w:color="000000"/>
              <w:right w:val="single" w:sz="4" w:space="0" w:color="auto"/>
            </w:tcBorders>
            <w:shd w:val="clear" w:color="auto" w:fill="auto"/>
            <w:vAlign w:val="center"/>
          </w:tcPr>
          <w:p w14:paraId="092ABFFD" w14:textId="77777777" w:rsidR="000B1C3C" w:rsidRPr="00C3310F" w:rsidRDefault="000B1C3C" w:rsidP="000B1C3C">
            <w:pPr>
              <w:widowControl/>
              <w:snapToGrid w:val="0"/>
              <w:rPr>
                <w:rFonts w:hAnsi="標楷體"/>
                <w:sz w:val="28"/>
                <w:szCs w:val="28"/>
              </w:rPr>
            </w:pPr>
            <w:r w:rsidRPr="00C3310F">
              <w:rPr>
                <w:rFonts w:hAnsi="標楷體"/>
                <w:sz w:val="28"/>
                <w:szCs w:val="28"/>
              </w:rPr>
              <w:t>110.5.13</w:t>
            </w:r>
          </w:p>
        </w:tc>
        <w:tc>
          <w:tcPr>
            <w:tcW w:w="2832" w:type="pct"/>
            <w:tcBorders>
              <w:top w:val="nil"/>
              <w:left w:val="single" w:sz="4" w:space="0" w:color="auto"/>
              <w:bottom w:val="single" w:sz="4" w:space="0" w:color="000000"/>
              <w:right w:val="single" w:sz="4" w:space="0" w:color="auto"/>
            </w:tcBorders>
            <w:shd w:val="clear" w:color="auto" w:fill="auto"/>
            <w:vAlign w:val="center"/>
          </w:tcPr>
          <w:p w14:paraId="4813FB84" w14:textId="77777777" w:rsidR="000B1C3C" w:rsidRPr="00C3310F" w:rsidRDefault="000B1C3C" w:rsidP="000B1C3C">
            <w:pPr>
              <w:widowControl/>
              <w:snapToGrid w:val="0"/>
              <w:rPr>
                <w:rFonts w:hAnsi="標楷體"/>
                <w:sz w:val="28"/>
                <w:szCs w:val="28"/>
              </w:rPr>
            </w:pPr>
            <w:r w:rsidRPr="00C3310F">
              <w:rPr>
                <w:rFonts w:hAnsi="標楷體" w:hint="eastAsia"/>
                <w:sz w:val="28"/>
                <w:szCs w:val="28"/>
              </w:rPr>
              <w:t>辦理一般業務檢查報告</w:t>
            </w:r>
            <w:r w:rsidRPr="00C3310F">
              <w:rPr>
                <w:rFonts w:hAnsi="標楷體"/>
                <w:sz w:val="28"/>
                <w:szCs w:val="28"/>
              </w:rPr>
              <w:t>(</w:t>
            </w:r>
            <w:r w:rsidRPr="00C3310F">
              <w:rPr>
                <w:rFonts w:hAnsi="標楷體" w:hint="eastAsia"/>
                <w:sz w:val="28"/>
                <w:szCs w:val="28"/>
              </w:rPr>
              <w:t>編號：</w:t>
            </w:r>
            <w:r w:rsidRPr="00C3310F">
              <w:rPr>
                <w:rFonts w:hAnsi="標楷體"/>
                <w:sz w:val="28"/>
                <w:szCs w:val="28"/>
              </w:rPr>
              <w:t>107B069)</w:t>
            </w:r>
            <w:r w:rsidRPr="00C3310F">
              <w:rPr>
                <w:rFonts w:hAnsi="標楷體" w:hint="eastAsia"/>
                <w:sz w:val="28"/>
                <w:szCs w:val="28"/>
              </w:rPr>
              <w:t>所列防制洗錢及打擊資恐相關缺失，核有違反銀行法第</w:t>
            </w:r>
            <w:r w:rsidRPr="00C3310F">
              <w:rPr>
                <w:rFonts w:hAnsi="標楷體"/>
                <w:sz w:val="28"/>
                <w:szCs w:val="28"/>
              </w:rPr>
              <w:t>45</w:t>
            </w:r>
            <w:r w:rsidRPr="00C3310F">
              <w:rPr>
                <w:rFonts w:hAnsi="標楷體" w:hint="eastAsia"/>
                <w:sz w:val="28"/>
                <w:szCs w:val="28"/>
              </w:rPr>
              <w:t>條之</w:t>
            </w:r>
            <w:r w:rsidRPr="00C3310F">
              <w:rPr>
                <w:rFonts w:hAnsi="標楷體"/>
                <w:sz w:val="28"/>
                <w:szCs w:val="28"/>
              </w:rPr>
              <w:t>1</w:t>
            </w:r>
            <w:r w:rsidRPr="00C3310F">
              <w:rPr>
                <w:rFonts w:hAnsi="標楷體" w:hint="eastAsia"/>
                <w:sz w:val="28"/>
                <w:szCs w:val="28"/>
              </w:rPr>
              <w:t>第</w:t>
            </w:r>
            <w:r w:rsidRPr="00C3310F">
              <w:rPr>
                <w:rFonts w:hAnsi="標楷體"/>
                <w:sz w:val="28"/>
                <w:szCs w:val="28"/>
              </w:rPr>
              <w:t>1</w:t>
            </w:r>
            <w:r w:rsidRPr="00C3310F">
              <w:rPr>
                <w:rFonts w:hAnsi="標楷體" w:hint="eastAsia"/>
                <w:sz w:val="28"/>
                <w:szCs w:val="28"/>
              </w:rPr>
              <w:t>項規定，依同法第</w:t>
            </w:r>
            <w:r w:rsidRPr="00C3310F">
              <w:rPr>
                <w:rFonts w:hAnsi="標楷體"/>
                <w:sz w:val="28"/>
                <w:szCs w:val="28"/>
              </w:rPr>
              <w:t>129</w:t>
            </w:r>
            <w:r w:rsidRPr="00C3310F">
              <w:rPr>
                <w:rFonts w:hAnsi="標楷體" w:hint="eastAsia"/>
                <w:sz w:val="28"/>
                <w:szCs w:val="28"/>
              </w:rPr>
              <w:t>條第</w:t>
            </w:r>
            <w:r w:rsidRPr="00C3310F">
              <w:rPr>
                <w:rFonts w:hAnsi="標楷體"/>
                <w:sz w:val="28"/>
                <w:szCs w:val="28"/>
              </w:rPr>
              <w:t>7</w:t>
            </w:r>
            <w:r w:rsidRPr="00C3310F">
              <w:rPr>
                <w:rFonts w:hAnsi="標楷體" w:hint="eastAsia"/>
                <w:sz w:val="28"/>
                <w:szCs w:val="28"/>
              </w:rPr>
              <w:t>款規定，核處</w:t>
            </w:r>
            <w:r w:rsidRPr="00C3310F">
              <w:rPr>
                <w:rFonts w:hAnsi="標楷體"/>
                <w:sz w:val="28"/>
                <w:szCs w:val="28"/>
              </w:rPr>
              <w:t>600</w:t>
            </w:r>
            <w:r w:rsidRPr="00C3310F">
              <w:rPr>
                <w:rFonts w:hAnsi="標楷體" w:hint="eastAsia"/>
                <w:sz w:val="28"/>
                <w:szCs w:val="28"/>
              </w:rPr>
              <w:t>萬元罰鍰。</w:t>
            </w:r>
          </w:p>
        </w:tc>
        <w:tc>
          <w:tcPr>
            <w:tcW w:w="873" w:type="pct"/>
            <w:tcBorders>
              <w:top w:val="nil"/>
              <w:left w:val="single" w:sz="4" w:space="0" w:color="auto"/>
              <w:bottom w:val="single" w:sz="4" w:space="0" w:color="000000"/>
              <w:right w:val="single" w:sz="4" w:space="0" w:color="auto"/>
            </w:tcBorders>
            <w:shd w:val="clear" w:color="auto" w:fill="auto"/>
            <w:vAlign w:val="center"/>
          </w:tcPr>
          <w:p w14:paraId="41A4D00B" w14:textId="77777777" w:rsidR="000B1C3C" w:rsidRPr="00C3310F" w:rsidRDefault="000B1C3C" w:rsidP="000B1C3C">
            <w:pPr>
              <w:widowControl/>
              <w:snapToGrid w:val="0"/>
              <w:rPr>
                <w:rFonts w:hAnsi="標楷體"/>
                <w:sz w:val="28"/>
                <w:szCs w:val="28"/>
              </w:rPr>
            </w:pPr>
            <w:r w:rsidRPr="00C3310F">
              <w:rPr>
                <w:rFonts w:hAnsi="標楷體" w:hint="eastAsia"/>
                <w:sz w:val="28"/>
                <w:szCs w:val="28"/>
              </w:rPr>
              <w:t>核處</w:t>
            </w:r>
            <w:r w:rsidRPr="00C3310F">
              <w:rPr>
                <w:rFonts w:hAnsi="標楷體"/>
                <w:sz w:val="28"/>
                <w:szCs w:val="28"/>
              </w:rPr>
              <w:t>600</w:t>
            </w:r>
            <w:r w:rsidRPr="00C3310F">
              <w:rPr>
                <w:rFonts w:hAnsi="標楷體" w:hint="eastAsia"/>
                <w:sz w:val="28"/>
                <w:szCs w:val="28"/>
              </w:rPr>
              <w:t>萬元罰鍰</w:t>
            </w:r>
          </w:p>
        </w:tc>
        <w:tc>
          <w:tcPr>
            <w:tcW w:w="34" w:type="pct"/>
            <w:tcBorders>
              <w:top w:val="nil"/>
              <w:left w:val="nil"/>
              <w:bottom w:val="nil"/>
              <w:right w:val="nil"/>
            </w:tcBorders>
            <w:shd w:val="clear" w:color="auto" w:fill="auto"/>
            <w:noWrap/>
            <w:vAlign w:val="center"/>
          </w:tcPr>
          <w:p w14:paraId="6ACE0EB5" w14:textId="77777777" w:rsidR="000B1C3C" w:rsidRPr="00C3310F" w:rsidRDefault="000B1C3C" w:rsidP="000B1C3C">
            <w:pPr>
              <w:widowControl/>
              <w:snapToGrid w:val="0"/>
              <w:rPr>
                <w:rFonts w:hAnsi="標楷體" w:cs="新細明體"/>
                <w:kern w:val="0"/>
                <w:sz w:val="28"/>
                <w:szCs w:val="28"/>
              </w:rPr>
            </w:pPr>
          </w:p>
        </w:tc>
      </w:tr>
      <w:tr w:rsidR="00C3310F" w:rsidRPr="00C3310F" w14:paraId="4DD67C64" w14:textId="77777777" w:rsidTr="000B1C3C">
        <w:trPr>
          <w:trHeight w:val="20"/>
        </w:trPr>
        <w:tc>
          <w:tcPr>
            <w:tcW w:w="595" w:type="pct"/>
            <w:tcBorders>
              <w:top w:val="nil"/>
              <w:left w:val="single" w:sz="4" w:space="0" w:color="auto"/>
              <w:bottom w:val="single" w:sz="4" w:space="0" w:color="000000"/>
              <w:right w:val="single" w:sz="4" w:space="0" w:color="auto"/>
            </w:tcBorders>
            <w:shd w:val="clear" w:color="auto" w:fill="auto"/>
            <w:vAlign w:val="center"/>
          </w:tcPr>
          <w:p w14:paraId="5BD9C59C" w14:textId="0C9E8EB2" w:rsidR="000B1C3C" w:rsidRPr="00C3310F" w:rsidRDefault="000B1C3C" w:rsidP="000B1C3C">
            <w:pPr>
              <w:widowControl/>
              <w:snapToGrid w:val="0"/>
              <w:rPr>
                <w:rFonts w:hAnsi="標楷體" w:cs="新細明體"/>
                <w:kern w:val="0"/>
                <w:sz w:val="28"/>
                <w:szCs w:val="28"/>
              </w:rPr>
            </w:pPr>
            <w:r w:rsidRPr="00C3310F">
              <w:rPr>
                <w:rFonts w:hAnsi="標楷體" w:cs="新細明體" w:hint="eastAsia"/>
                <w:kern w:val="0"/>
                <w:sz w:val="28"/>
                <w:szCs w:val="28"/>
              </w:rPr>
              <w:t>台北</w:t>
            </w:r>
            <w:r w:rsidR="0067295A" w:rsidRPr="00C3310F">
              <w:rPr>
                <w:rFonts w:hAnsi="標楷體" w:cs="新細明體" w:hint="eastAsia"/>
                <w:kern w:val="0"/>
                <w:sz w:val="28"/>
                <w:szCs w:val="28"/>
              </w:rPr>
              <w:t>富</w:t>
            </w:r>
            <w:r w:rsidR="00BC64F5" w:rsidRPr="00C3310F">
              <w:rPr>
                <w:rFonts w:hAnsi="標楷體" w:cs="新細明體" w:hint="eastAsia"/>
                <w:kern w:val="0"/>
                <w:sz w:val="28"/>
                <w:szCs w:val="28"/>
              </w:rPr>
              <w:t>○</w:t>
            </w:r>
            <w:r w:rsidRPr="00C3310F">
              <w:rPr>
                <w:rFonts w:hAnsi="標楷體" w:cs="新細明體" w:hint="eastAsia"/>
                <w:kern w:val="0"/>
                <w:sz w:val="28"/>
                <w:szCs w:val="28"/>
              </w:rPr>
              <w:t>商業銀行</w:t>
            </w:r>
          </w:p>
        </w:tc>
        <w:tc>
          <w:tcPr>
            <w:tcW w:w="666" w:type="pct"/>
            <w:tcBorders>
              <w:top w:val="nil"/>
              <w:left w:val="single" w:sz="4" w:space="0" w:color="auto"/>
              <w:bottom w:val="single" w:sz="4" w:space="0" w:color="000000"/>
              <w:right w:val="single" w:sz="4" w:space="0" w:color="auto"/>
            </w:tcBorders>
            <w:shd w:val="clear" w:color="auto" w:fill="auto"/>
            <w:vAlign w:val="center"/>
          </w:tcPr>
          <w:p w14:paraId="4C7EE7AF" w14:textId="77777777" w:rsidR="000B1C3C" w:rsidRPr="00C3310F" w:rsidRDefault="000B1C3C" w:rsidP="000B1C3C">
            <w:pPr>
              <w:widowControl/>
              <w:snapToGrid w:val="0"/>
              <w:rPr>
                <w:rFonts w:hAnsi="標楷體"/>
                <w:sz w:val="28"/>
                <w:szCs w:val="28"/>
              </w:rPr>
            </w:pPr>
            <w:r w:rsidRPr="00C3310F">
              <w:rPr>
                <w:rFonts w:hAnsi="標楷體" w:hint="eastAsia"/>
                <w:sz w:val="28"/>
                <w:szCs w:val="28"/>
              </w:rPr>
              <w:t>110.8.19</w:t>
            </w:r>
          </w:p>
        </w:tc>
        <w:tc>
          <w:tcPr>
            <w:tcW w:w="2832" w:type="pct"/>
            <w:tcBorders>
              <w:top w:val="nil"/>
              <w:left w:val="single" w:sz="4" w:space="0" w:color="auto"/>
              <w:bottom w:val="single" w:sz="4" w:space="0" w:color="000000"/>
              <w:right w:val="single" w:sz="4" w:space="0" w:color="auto"/>
            </w:tcBorders>
            <w:shd w:val="clear" w:color="auto" w:fill="auto"/>
            <w:vAlign w:val="center"/>
          </w:tcPr>
          <w:p w14:paraId="3B8B01A3" w14:textId="77777777" w:rsidR="000B1C3C" w:rsidRPr="00C3310F" w:rsidRDefault="000B1C3C" w:rsidP="000B1C3C">
            <w:pPr>
              <w:widowControl/>
              <w:snapToGrid w:val="0"/>
              <w:rPr>
                <w:rFonts w:hAnsi="標楷體"/>
                <w:sz w:val="28"/>
                <w:szCs w:val="28"/>
              </w:rPr>
            </w:pPr>
            <w:r w:rsidRPr="00C3310F">
              <w:rPr>
                <w:rFonts w:hAnsi="標楷體" w:hint="eastAsia"/>
                <w:sz w:val="28"/>
                <w:szCs w:val="28"/>
              </w:rPr>
              <w:t>香港分行107年7月辦理總經理原為實質受益人之久未往來帳戶重新恢復啟用作業，案關客戶之新實質受益人未依該行規定之書件提出申請，該分行即同意解除久未往來帳戶狀態，且匯入、匯出款項，並於108年2月始完成對案</w:t>
            </w:r>
            <w:r w:rsidRPr="00C3310F">
              <w:rPr>
                <w:rFonts w:hAnsi="標楷體" w:hint="eastAsia"/>
                <w:sz w:val="28"/>
                <w:szCs w:val="28"/>
              </w:rPr>
              <w:lastRenderedPageBreak/>
              <w:t>關客戶帳戶重新啟用之確認客戶身分作業，相關缺失已違反該行所定外匯存款辦法及防制洗錢作業等規定之作業原則，涉總行未建立久未往來帳戶重啟之流程與相關作業程序，及未確實督導香港分行辦理久未往來帳戶重啟之確認客戶身分作業，核有違反銀行法第45條之1第1項規定</w:t>
            </w:r>
          </w:p>
        </w:tc>
        <w:tc>
          <w:tcPr>
            <w:tcW w:w="873" w:type="pct"/>
            <w:tcBorders>
              <w:top w:val="nil"/>
              <w:left w:val="single" w:sz="4" w:space="0" w:color="auto"/>
              <w:bottom w:val="single" w:sz="4" w:space="0" w:color="000000"/>
              <w:right w:val="single" w:sz="4" w:space="0" w:color="auto"/>
            </w:tcBorders>
            <w:shd w:val="clear" w:color="auto" w:fill="auto"/>
            <w:vAlign w:val="center"/>
          </w:tcPr>
          <w:p w14:paraId="5ECA949E" w14:textId="77777777" w:rsidR="000B1C3C" w:rsidRPr="00C3310F" w:rsidRDefault="000B1C3C" w:rsidP="000B1C3C">
            <w:pPr>
              <w:widowControl/>
              <w:snapToGrid w:val="0"/>
              <w:rPr>
                <w:rFonts w:hAnsi="標楷體"/>
                <w:sz w:val="28"/>
                <w:szCs w:val="28"/>
              </w:rPr>
            </w:pPr>
            <w:r w:rsidRPr="00C3310F">
              <w:rPr>
                <w:rFonts w:hAnsi="標楷體" w:hint="eastAsia"/>
                <w:sz w:val="28"/>
                <w:szCs w:val="28"/>
              </w:rPr>
              <w:lastRenderedPageBreak/>
              <w:t>核處200萬元罰鍰</w:t>
            </w:r>
          </w:p>
        </w:tc>
        <w:tc>
          <w:tcPr>
            <w:tcW w:w="34" w:type="pct"/>
            <w:tcBorders>
              <w:top w:val="nil"/>
              <w:left w:val="nil"/>
              <w:bottom w:val="nil"/>
              <w:right w:val="nil"/>
            </w:tcBorders>
            <w:shd w:val="clear" w:color="auto" w:fill="auto"/>
            <w:noWrap/>
            <w:vAlign w:val="center"/>
          </w:tcPr>
          <w:p w14:paraId="1CB45967" w14:textId="77777777" w:rsidR="000B1C3C" w:rsidRPr="00C3310F" w:rsidRDefault="000B1C3C" w:rsidP="000B1C3C">
            <w:pPr>
              <w:widowControl/>
              <w:snapToGrid w:val="0"/>
              <w:rPr>
                <w:rFonts w:hAnsi="標楷體" w:cs="新細明體"/>
                <w:kern w:val="0"/>
                <w:sz w:val="28"/>
                <w:szCs w:val="28"/>
              </w:rPr>
            </w:pPr>
          </w:p>
        </w:tc>
      </w:tr>
      <w:tr w:rsidR="00C3310F" w:rsidRPr="00C3310F" w14:paraId="2604D707" w14:textId="77777777" w:rsidTr="000B1C3C">
        <w:trPr>
          <w:trHeight w:val="20"/>
        </w:trPr>
        <w:tc>
          <w:tcPr>
            <w:tcW w:w="595" w:type="pct"/>
            <w:tcBorders>
              <w:top w:val="nil"/>
              <w:left w:val="single" w:sz="4" w:space="0" w:color="auto"/>
              <w:bottom w:val="single" w:sz="4" w:space="0" w:color="000000"/>
              <w:right w:val="single" w:sz="4" w:space="0" w:color="auto"/>
            </w:tcBorders>
            <w:shd w:val="clear" w:color="auto" w:fill="auto"/>
            <w:vAlign w:val="center"/>
          </w:tcPr>
          <w:p w14:paraId="386ED61B" w14:textId="7C11893C" w:rsidR="000B1C3C" w:rsidRPr="00C3310F" w:rsidRDefault="000B1C3C" w:rsidP="000B1C3C">
            <w:pPr>
              <w:widowControl/>
              <w:snapToGrid w:val="0"/>
              <w:rPr>
                <w:rFonts w:hAnsi="標楷體" w:cs="新細明體"/>
                <w:kern w:val="0"/>
                <w:sz w:val="28"/>
                <w:szCs w:val="28"/>
              </w:rPr>
            </w:pPr>
            <w:r w:rsidRPr="00C3310F">
              <w:rPr>
                <w:rFonts w:hAnsi="標楷體" w:cs="新細明體" w:hint="eastAsia"/>
                <w:kern w:val="0"/>
                <w:sz w:val="28"/>
                <w:szCs w:val="28"/>
              </w:rPr>
              <w:t>聯</w:t>
            </w:r>
            <w:r w:rsidR="00BC64F5" w:rsidRPr="00C3310F">
              <w:rPr>
                <w:rFonts w:hAnsi="標楷體" w:cs="新細明體" w:hint="eastAsia"/>
                <w:kern w:val="0"/>
                <w:sz w:val="28"/>
                <w:szCs w:val="28"/>
              </w:rPr>
              <w:t>○</w:t>
            </w:r>
            <w:r w:rsidRPr="00C3310F">
              <w:rPr>
                <w:rFonts w:hAnsi="標楷體" w:cs="新細明體" w:hint="eastAsia"/>
                <w:kern w:val="0"/>
                <w:sz w:val="28"/>
                <w:szCs w:val="28"/>
              </w:rPr>
              <w:t>商業銀行</w:t>
            </w:r>
          </w:p>
        </w:tc>
        <w:tc>
          <w:tcPr>
            <w:tcW w:w="666" w:type="pct"/>
            <w:tcBorders>
              <w:top w:val="nil"/>
              <w:left w:val="single" w:sz="4" w:space="0" w:color="auto"/>
              <w:bottom w:val="single" w:sz="4" w:space="0" w:color="000000"/>
              <w:right w:val="single" w:sz="4" w:space="0" w:color="auto"/>
            </w:tcBorders>
            <w:shd w:val="clear" w:color="auto" w:fill="auto"/>
            <w:vAlign w:val="center"/>
          </w:tcPr>
          <w:p w14:paraId="0F18921E" w14:textId="77777777" w:rsidR="000B1C3C" w:rsidRPr="00C3310F" w:rsidRDefault="000B1C3C" w:rsidP="000B1C3C">
            <w:pPr>
              <w:widowControl/>
              <w:snapToGrid w:val="0"/>
              <w:rPr>
                <w:rFonts w:hAnsi="標楷體"/>
                <w:sz w:val="28"/>
                <w:szCs w:val="28"/>
              </w:rPr>
            </w:pPr>
            <w:r w:rsidRPr="00C3310F">
              <w:rPr>
                <w:rFonts w:hAnsi="標楷體" w:hint="eastAsia"/>
                <w:sz w:val="28"/>
                <w:szCs w:val="28"/>
              </w:rPr>
              <w:t>112.03.31</w:t>
            </w:r>
          </w:p>
        </w:tc>
        <w:tc>
          <w:tcPr>
            <w:tcW w:w="2832" w:type="pct"/>
            <w:tcBorders>
              <w:top w:val="nil"/>
              <w:left w:val="single" w:sz="4" w:space="0" w:color="auto"/>
              <w:bottom w:val="single" w:sz="4" w:space="0" w:color="000000"/>
              <w:right w:val="single" w:sz="4" w:space="0" w:color="auto"/>
            </w:tcBorders>
            <w:shd w:val="clear" w:color="auto" w:fill="auto"/>
          </w:tcPr>
          <w:p w14:paraId="3CAA473D" w14:textId="77777777" w:rsidR="000B1C3C" w:rsidRPr="00C3310F" w:rsidRDefault="000B1C3C" w:rsidP="000B1C3C">
            <w:pPr>
              <w:widowControl/>
              <w:snapToGrid w:val="0"/>
              <w:rPr>
                <w:rFonts w:hAnsi="標楷體"/>
                <w:sz w:val="28"/>
                <w:szCs w:val="28"/>
              </w:rPr>
            </w:pPr>
            <w:r w:rsidRPr="00C3310F">
              <w:rPr>
                <w:rFonts w:hAnsi="標楷體" w:hint="eastAsia"/>
                <w:sz w:val="28"/>
                <w:szCs w:val="28"/>
              </w:rPr>
              <w:t>辦理自然人購屋貸款業務，未完善建立及落實執行洗錢防制作業，核有違反洗錢防制法第7條第1項，同條第4項授權訂定之金融機構防制洗錢辦法第5條及第9條規定。</w:t>
            </w:r>
          </w:p>
        </w:tc>
        <w:tc>
          <w:tcPr>
            <w:tcW w:w="873" w:type="pct"/>
            <w:tcBorders>
              <w:top w:val="nil"/>
              <w:left w:val="single" w:sz="4" w:space="0" w:color="auto"/>
              <w:bottom w:val="single" w:sz="4" w:space="0" w:color="000000"/>
              <w:right w:val="single" w:sz="4" w:space="0" w:color="auto"/>
            </w:tcBorders>
            <w:shd w:val="clear" w:color="auto" w:fill="auto"/>
          </w:tcPr>
          <w:p w14:paraId="6B7BCDCB" w14:textId="77777777" w:rsidR="000B1C3C" w:rsidRPr="00C3310F" w:rsidRDefault="000B1C3C" w:rsidP="000B1C3C">
            <w:pPr>
              <w:widowControl/>
              <w:snapToGrid w:val="0"/>
              <w:rPr>
                <w:rFonts w:hAnsi="標楷體"/>
                <w:sz w:val="28"/>
                <w:szCs w:val="28"/>
              </w:rPr>
            </w:pPr>
            <w:r w:rsidRPr="00C3310F">
              <w:rPr>
                <w:rFonts w:hAnsi="標楷體" w:hint="eastAsia"/>
                <w:sz w:val="28"/>
                <w:szCs w:val="28"/>
              </w:rPr>
              <w:t>核處150萬元罰緩</w:t>
            </w:r>
          </w:p>
        </w:tc>
        <w:tc>
          <w:tcPr>
            <w:tcW w:w="34" w:type="pct"/>
            <w:tcBorders>
              <w:top w:val="nil"/>
              <w:left w:val="nil"/>
              <w:bottom w:val="nil"/>
              <w:right w:val="nil"/>
            </w:tcBorders>
            <w:shd w:val="clear" w:color="auto" w:fill="auto"/>
            <w:noWrap/>
            <w:vAlign w:val="center"/>
          </w:tcPr>
          <w:p w14:paraId="0792CE66" w14:textId="77777777" w:rsidR="000B1C3C" w:rsidRPr="00C3310F" w:rsidRDefault="000B1C3C" w:rsidP="000B1C3C">
            <w:pPr>
              <w:widowControl/>
              <w:snapToGrid w:val="0"/>
              <w:rPr>
                <w:rFonts w:hAnsi="標楷體" w:cs="新細明體"/>
                <w:kern w:val="0"/>
                <w:sz w:val="28"/>
                <w:szCs w:val="28"/>
              </w:rPr>
            </w:pPr>
          </w:p>
        </w:tc>
      </w:tr>
      <w:tr w:rsidR="00C3310F" w:rsidRPr="00C3310F" w14:paraId="66DF20F1" w14:textId="77777777" w:rsidTr="000B1C3C">
        <w:trPr>
          <w:trHeight w:val="20"/>
        </w:trPr>
        <w:tc>
          <w:tcPr>
            <w:tcW w:w="595" w:type="pct"/>
            <w:tcBorders>
              <w:top w:val="nil"/>
              <w:left w:val="single" w:sz="4" w:space="0" w:color="auto"/>
              <w:bottom w:val="single" w:sz="4" w:space="0" w:color="000000"/>
              <w:right w:val="single" w:sz="4" w:space="0" w:color="auto"/>
            </w:tcBorders>
            <w:shd w:val="clear" w:color="auto" w:fill="auto"/>
            <w:vAlign w:val="center"/>
          </w:tcPr>
          <w:p w14:paraId="22B9F552" w14:textId="243530D1" w:rsidR="000B1C3C" w:rsidRPr="00C3310F" w:rsidRDefault="000B1C3C" w:rsidP="000B1C3C">
            <w:pPr>
              <w:widowControl/>
              <w:snapToGrid w:val="0"/>
              <w:rPr>
                <w:rFonts w:hAnsi="標楷體" w:cs="新細明體"/>
                <w:kern w:val="0"/>
                <w:sz w:val="28"/>
                <w:szCs w:val="28"/>
              </w:rPr>
            </w:pPr>
            <w:r w:rsidRPr="00C3310F">
              <w:rPr>
                <w:rFonts w:hAnsi="標楷體" w:cs="新細明體" w:hint="eastAsia"/>
                <w:kern w:val="0"/>
                <w:sz w:val="28"/>
                <w:szCs w:val="28"/>
              </w:rPr>
              <w:t>聯</w:t>
            </w:r>
            <w:r w:rsidR="00BC64F5" w:rsidRPr="00C3310F">
              <w:rPr>
                <w:rFonts w:hAnsi="標楷體" w:cs="新細明體" w:hint="eastAsia"/>
                <w:kern w:val="0"/>
                <w:sz w:val="28"/>
                <w:szCs w:val="28"/>
              </w:rPr>
              <w:t>○</w:t>
            </w:r>
            <w:r w:rsidRPr="00C3310F">
              <w:rPr>
                <w:rFonts w:hAnsi="標楷體" w:cs="新細明體" w:hint="eastAsia"/>
                <w:kern w:val="0"/>
                <w:sz w:val="28"/>
                <w:szCs w:val="28"/>
              </w:rPr>
              <w:t>商業銀行</w:t>
            </w:r>
          </w:p>
        </w:tc>
        <w:tc>
          <w:tcPr>
            <w:tcW w:w="666" w:type="pct"/>
            <w:tcBorders>
              <w:top w:val="nil"/>
              <w:left w:val="single" w:sz="4" w:space="0" w:color="auto"/>
              <w:bottom w:val="single" w:sz="4" w:space="0" w:color="000000"/>
              <w:right w:val="single" w:sz="4" w:space="0" w:color="auto"/>
            </w:tcBorders>
            <w:shd w:val="clear" w:color="auto" w:fill="auto"/>
            <w:vAlign w:val="center"/>
          </w:tcPr>
          <w:p w14:paraId="53051318" w14:textId="77777777" w:rsidR="000B1C3C" w:rsidRPr="00C3310F" w:rsidRDefault="000B1C3C" w:rsidP="000B1C3C">
            <w:pPr>
              <w:widowControl/>
              <w:snapToGrid w:val="0"/>
              <w:rPr>
                <w:rFonts w:hAnsi="標楷體"/>
                <w:sz w:val="28"/>
                <w:szCs w:val="28"/>
              </w:rPr>
            </w:pPr>
            <w:r w:rsidRPr="00C3310F">
              <w:rPr>
                <w:rFonts w:hAnsi="標楷體" w:hint="eastAsia"/>
                <w:sz w:val="28"/>
                <w:szCs w:val="28"/>
              </w:rPr>
              <w:t>112.09.15</w:t>
            </w:r>
          </w:p>
        </w:tc>
        <w:tc>
          <w:tcPr>
            <w:tcW w:w="2832" w:type="pct"/>
            <w:tcBorders>
              <w:top w:val="nil"/>
              <w:left w:val="single" w:sz="4" w:space="0" w:color="auto"/>
              <w:bottom w:val="single" w:sz="4" w:space="0" w:color="000000"/>
              <w:right w:val="single" w:sz="4" w:space="0" w:color="auto"/>
            </w:tcBorders>
            <w:shd w:val="clear" w:color="auto" w:fill="auto"/>
          </w:tcPr>
          <w:p w14:paraId="04BA646D" w14:textId="77777777" w:rsidR="000B1C3C" w:rsidRPr="00C3310F" w:rsidRDefault="000B1C3C" w:rsidP="000B1C3C">
            <w:pPr>
              <w:widowControl/>
              <w:snapToGrid w:val="0"/>
              <w:rPr>
                <w:rFonts w:hAnsi="標楷體"/>
                <w:sz w:val="28"/>
                <w:szCs w:val="28"/>
              </w:rPr>
            </w:pPr>
            <w:r w:rsidRPr="00C3310F">
              <w:rPr>
                <w:rFonts w:hAnsi="標楷體" w:hint="eastAsia"/>
                <w:sz w:val="28"/>
                <w:szCs w:val="28"/>
              </w:rPr>
              <w:t>該行集賢分行辦理國外匯出匯款作業，對於符合疑似洗錢表徵之交易未能有效執行洗錢表徵交易之監控、審核及通報機制，核有礙健全經營之虞。</w:t>
            </w:r>
          </w:p>
        </w:tc>
        <w:tc>
          <w:tcPr>
            <w:tcW w:w="873" w:type="pct"/>
            <w:tcBorders>
              <w:top w:val="nil"/>
              <w:left w:val="single" w:sz="4" w:space="0" w:color="auto"/>
              <w:bottom w:val="single" w:sz="4" w:space="0" w:color="000000"/>
              <w:right w:val="single" w:sz="4" w:space="0" w:color="auto"/>
            </w:tcBorders>
            <w:shd w:val="clear" w:color="auto" w:fill="auto"/>
          </w:tcPr>
          <w:p w14:paraId="7DAB61DE" w14:textId="77777777" w:rsidR="000B1C3C" w:rsidRPr="00C3310F" w:rsidRDefault="000B1C3C" w:rsidP="000B1C3C">
            <w:pPr>
              <w:widowControl/>
              <w:snapToGrid w:val="0"/>
              <w:rPr>
                <w:rFonts w:hAnsi="標楷體"/>
                <w:sz w:val="28"/>
                <w:szCs w:val="28"/>
              </w:rPr>
            </w:pPr>
            <w:r w:rsidRPr="00C3310F">
              <w:rPr>
                <w:rFonts w:hAnsi="標楷體" w:hint="eastAsia"/>
                <w:sz w:val="28"/>
                <w:szCs w:val="28"/>
              </w:rPr>
              <w:t>糾正</w:t>
            </w:r>
          </w:p>
        </w:tc>
        <w:tc>
          <w:tcPr>
            <w:tcW w:w="34" w:type="pct"/>
            <w:tcBorders>
              <w:top w:val="nil"/>
              <w:left w:val="nil"/>
              <w:bottom w:val="nil"/>
              <w:right w:val="nil"/>
            </w:tcBorders>
            <w:shd w:val="clear" w:color="auto" w:fill="auto"/>
            <w:noWrap/>
            <w:vAlign w:val="center"/>
          </w:tcPr>
          <w:p w14:paraId="32D66B4C" w14:textId="77777777" w:rsidR="000B1C3C" w:rsidRPr="00C3310F" w:rsidRDefault="000B1C3C" w:rsidP="000B1C3C">
            <w:pPr>
              <w:widowControl/>
              <w:snapToGrid w:val="0"/>
              <w:rPr>
                <w:rFonts w:hAnsi="標楷體" w:cs="新細明體"/>
                <w:kern w:val="0"/>
                <w:sz w:val="28"/>
                <w:szCs w:val="28"/>
              </w:rPr>
            </w:pPr>
          </w:p>
        </w:tc>
      </w:tr>
      <w:tr w:rsidR="00C3310F" w:rsidRPr="00C3310F" w14:paraId="435648E5" w14:textId="77777777" w:rsidTr="000B1C3C">
        <w:trPr>
          <w:trHeight w:val="20"/>
        </w:trPr>
        <w:tc>
          <w:tcPr>
            <w:tcW w:w="595" w:type="pct"/>
            <w:tcBorders>
              <w:top w:val="nil"/>
              <w:left w:val="single" w:sz="4" w:space="0" w:color="auto"/>
              <w:bottom w:val="single" w:sz="4" w:space="0" w:color="000000"/>
              <w:right w:val="single" w:sz="4" w:space="0" w:color="auto"/>
            </w:tcBorders>
            <w:shd w:val="clear" w:color="auto" w:fill="auto"/>
            <w:vAlign w:val="center"/>
          </w:tcPr>
          <w:p w14:paraId="18FFB1B1" w14:textId="5917F97E" w:rsidR="000B1C3C" w:rsidRPr="00C3310F" w:rsidRDefault="000B1C3C" w:rsidP="000B1C3C">
            <w:pPr>
              <w:widowControl/>
              <w:snapToGrid w:val="0"/>
              <w:rPr>
                <w:rFonts w:hAnsi="標楷體" w:cs="新細明體"/>
                <w:kern w:val="0"/>
                <w:sz w:val="28"/>
                <w:szCs w:val="28"/>
              </w:rPr>
            </w:pPr>
            <w:r w:rsidRPr="00C3310F">
              <w:rPr>
                <w:rFonts w:hAnsi="標楷體" w:cs="新細明體" w:hint="eastAsia"/>
                <w:kern w:val="0"/>
                <w:sz w:val="28"/>
                <w:szCs w:val="28"/>
              </w:rPr>
              <w:t>聯</w:t>
            </w:r>
            <w:r w:rsidR="00BC64F5" w:rsidRPr="00C3310F">
              <w:rPr>
                <w:rFonts w:hAnsi="標楷體" w:cs="新細明體" w:hint="eastAsia"/>
                <w:kern w:val="0"/>
                <w:sz w:val="28"/>
                <w:szCs w:val="28"/>
              </w:rPr>
              <w:t>○</w:t>
            </w:r>
            <w:r w:rsidRPr="00C3310F">
              <w:rPr>
                <w:rFonts w:hAnsi="標楷體" w:cs="新細明體" w:hint="eastAsia"/>
                <w:kern w:val="0"/>
                <w:sz w:val="28"/>
                <w:szCs w:val="28"/>
              </w:rPr>
              <w:t>商業銀行</w:t>
            </w:r>
          </w:p>
        </w:tc>
        <w:tc>
          <w:tcPr>
            <w:tcW w:w="666" w:type="pct"/>
            <w:tcBorders>
              <w:top w:val="nil"/>
              <w:left w:val="single" w:sz="4" w:space="0" w:color="auto"/>
              <w:bottom w:val="single" w:sz="4" w:space="0" w:color="000000"/>
              <w:right w:val="single" w:sz="4" w:space="0" w:color="auto"/>
            </w:tcBorders>
            <w:shd w:val="clear" w:color="auto" w:fill="auto"/>
            <w:vAlign w:val="center"/>
          </w:tcPr>
          <w:p w14:paraId="24509B9C" w14:textId="77777777" w:rsidR="000B1C3C" w:rsidRPr="00C3310F" w:rsidRDefault="000B1C3C" w:rsidP="000B1C3C">
            <w:pPr>
              <w:widowControl/>
              <w:snapToGrid w:val="0"/>
              <w:rPr>
                <w:rFonts w:hAnsi="標楷體"/>
                <w:sz w:val="28"/>
                <w:szCs w:val="28"/>
              </w:rPr>
            </w:pPr>
            <w:r w:rsidRPr="00C3310F">
              <w:rPr>
                <w:rFonts w:hAnsi="標楷體" w:hint="eastAsia"/>
                <w:sz w:val="28"/>
                <w:szCs w:val="28"/>
              </w:rPr>
              <w:t>112.11.24</w:t>
            </w:r>
          </w:p>
        </w:tc>
        <w:tc>
          <w:tcPr>
            <w:tcW w:w="2832" w:type="pct"/>
            <w:tcBorders>
              <w:top w:val="nil"/>
              <w:left w:val="single" w:sz="4" w:space="0" w:color="auto"/>
              <w:bottom w:val="single" w:sz="4" w:space="0" w:color="000000"/>
              <w:right w:val="single" w:sz="4" w:space="0" w:color="auto"/>
            </w:tcBorders>
            <w:shd w:val="clear" w:color="auto" w:fill="auto"/>
          </w:tcPr>
          <w:p w14:paraId="436E6E03" w14:textId="77777777" w:rsidR="000B1C3C" w:rsidRPr="00C3310F" w:rsidRDefault="000B1C3C" w:rsidP="000B1C3C">
            <w:pPr>
              <w:widowControl/>
              <w:snapToGrid w:val="0"/>
              <w:rPr>
                <w:rFonts w:hAnsi="標楷體"/>
                <w:sz w:val="28"/>
                <w:szCs w:val="28"/>
              </w:rPr>
            </w:pPr>
            <w:r w:rsidRPr="00C3310F">
              <w:rPr>
                <w:rFonts w:hAnsi="標楷體" w:hint="eastAsia"/>
                <w:sz w:val="28"/>
                <w:szCs w:val="28"/>
              </w:rPr>
              <w:t>辦理存款開戶及臨櫃提領大額現金作業所涉缺失一案，核有違反銀行法第45條之1第1項及授權訂定之「金融控股公司及銀行業內部控制及稽核制度實施辦法」第3條、第8條規定。</w:t>
            </w:r>
          </w:p>
        </w:tc>
        <w:tc>
          <w:tcPr>
            <w:tcW w:w="873" w:type="pct"/>
            <w:tcBorders>
              <w:top w:val="nil"/>
              <w:left w:val="single" w:sz="4" w:space="0" w:color="auto"/>
              <w:bottom w:val="single" w:sz="4" w:space="0" w:color="000000"/>
              <w:right w:val="single" w:sz="4" w:space="0" w:color="auto"/>
            </w:tcBorders>
            <w:shd w:val="clear" w:color="auto" w:fill="auto"/>
          </w:tcPr>
          <w:p w14:paraId="7E7F47B9" w14:textId="77777777" w:rsidR="000B1C3C" w:rsidRPr="00C3310F" w:rsidRDefault="000B1C3C" w:rsidP="000B1C3C">
            <w:pPr>
              <w:widowControl/>
              <w:snapToGrid w:val="0"/>
              <w:rPr>
                <w:rFonts w:hAnsi="標楷體"/>
                <w:sz w:val="28"/>
                <w:szCs w:val="28"/>
              </w:rPr>
            </w:pPr>
            <w:r w:rsidRPr="00C3310F">
              <w:rPr>
                <w:rFonts w:hAnsi="標楷體" w:hint="eastAsia"/>
                <w:sz w:val="28"/>
                <w:szCs w:val="28"/>
              </w:rPr>
              <w:t>核處1,200萬元罰鍰</w:t>
            </w:r>
          </w:p>
        </w:tc>
        <w:tc>
          <w:tcPr>
            <w:tcW w:w="34" w:type="pct"/>
            <w:tcBorders>
              <w:top w:val="nil"/>
              <w:left w:val="nil"/>
              <w:bottom w:val="nil"/>
              <w:right w:val="nil"/>
            </w:tcBorders>
            <w:shd w:val="clear" w:color="auto" w:fill="auto"/>
            <w:noWrap/>
            <w:vAlign w:val="center"/>
          </w:tcPr>
          <w:p w14:paraId="73EF6DDA" w14:textId="77777777" w:rsidR="000B1C3C" w:rsidRPr="00C3310F" w:rsidRDefault="000B1C3C" w:rsidP="000B1C3C">
            <w:pPr>
              <w:widowControl/>
              <w:snapToGrid w:val="0"/>
              <w:rPr>
                <w:rFonts w:hAnsi="標楷體" w:cs="新細明體"/>
                <w:kern w:val="0"/>
                <w:sz w:val="28"/>
                <w:szCs w:val="28"/>
              </w:rPr>
            </w:pPr>
          </w:p>
        </w:tc>
      </w:tr>
      <w:tr w:rsidR="00C3310F" w:rsidRPr="00C3310F" w14:paraId="4913E261" w14:textId="77777777" w:rsidTr="000B1C3C">
        <w:trPr>
          <w:trHeight w:val="20"/>
        </w:trPr>
        <w:tc>
          <w:tcPr>
            <w:tcW w:w="595" w:type="pct"/>
            <w:tcBorders>
              <w:top w:val="nil"/>
              <w:left w:val="single" w:sz="4" w:space="0" w:color="auto"/>
              <w:bottom w:val="single" w:sz="4" w:space="0" w:color="000000"/>
              <w:right w:val="single" w:sz="4" w:space="0" w:color="auto"/>
            </w:tcBorders>
            <w:shd w:val="clear" w:color="auto" w:fill="auto"/>
            <w:vAlign w:val="center"/>
          </w:tcPr>
          <w:p w14:paraId="6037470A" w14:textId="7C0BF7D8" w:rsidR="000B1C3C" w:rsidRPr="00C3310F" w:rsidRDefault="000B1C3C" w:rsidP="000B1C3C">
            <w:pPr>
              <w:widowControl/>
              <w:snapToGrid w:val="0"/>
              <w:rPr>
                <w:rFonts w:hAnsi="標楷體" w:cs="新細明體"/>
                <w:kern w:val="0"/>
                <w:sz w:val="28"/>
                <w:szCs w:val="28"/>
              </w:rPr>
            </w:pPr>
            <w:r w:rsidRPr="00C3310F">
              <w:rPr>
                <w:rFonts w:hAnsi="標楷體" w:cs="新細明體" w:hint="eastAsia"/>
                <w:kern w:val="0"/>
                <w:sz w:val="28"/>
                <w:szCs w:val="28"/>
              </w:rPr>
              <w:t>臺灣</w:t>
            </w:r>
            <w:r w:rsidR="00BC64F5" w:rsidRPr="00C3310F">
              <w:rPr>
                <w:rFonts w:hAnsi="標楷體" w:cs="新細明體" w:hint="eastAsia"/>
                <w:kern w:val="0"/>
                <w:sz w:val="28"/>
                <w:szCs w:val="28"/>
              </w:rPr>
              <w:t>○</w:t>
            </w:r>
            <w:r w:rsidRPr="00C3310F">
              <w:rPr>
                <w:rFonts w:hAnsi="標楷體" w:cs="新細明體" w:hint="eastAsia"/>
                <w:kern w:val="0"/>
                <w:sz w:val="28"/>
                <w:szCs w:val="28"/>
              </w:rPr>
              <w:t>光商業銀行</w:t>
            </w:r>
          </w:p>
        </w:tc>
        <w:tc>
          <w:tcPr>
            <w:tcW w:w="666" w:type="pct"/>
            <w:tcBorders>
              <w:top w:val="nil"/>
              <w:left w:val="single" w:sz="4" w:space="0" w:color="auto"/>
              <w:bottom w:val="single" w:sz="4" w:space="0" w:color="000000"/>
              <w:right w:val="single" w:sz="4" w:space="0" w:color="auto"/>
            </w:tcBorders>
            <w:shd w:val="clear" w:color="auto" w:fill="auto"/>
            <w:vAlign w:val="center"/>
          </w:tcPr>
          <w:p w14:paraId="43AD4045" w14:textId="77777777" w:rsidR="000B1C3C" w:rsidRPr="00C3310F" w:rsidRDefault="000B1C3C" w:rsidP="000B1C3C">
            <w:pPr>
              <w:widowControl/>
              <w:snapToGrid w:val="0"/>
              <w:rPr>
                <w:rFonts w:hAnsi="標楷體"/>
                <w:sz w:val="28"/>
                <w:szCs w:val="28"/>
              </w:rPr>
            </w:pPr>
            <w:r w:rsidRPr="00C3310F">
              <w:rPr>
                <w:rFonts w:hAnsi="標楷體" w:hint="eastAsia"/>
                <w:sz w:val="28"/>
                <w:szCs w:val="28"/>
              </w:rPr>
              <w:t>112.3.31</w:t>
            </w:r>
          </w:p>
        </w:tc>
        <w:tc>
          <w:tcPr>
            <w:tcW w:w="2832" w:type="pct"/>
            <w:tcBorders>
              <w:top w:val="nil"/>
              <w:left w:val="single" w:sz="4" w:space="0" w:color="auto"/>
              <w:bottom w:val="single" w:sz="4" w:space="0" w:color="000000"/>
              <w:right w:val="single" w:sz="4" w:space="0" w:color="auto"/>
            </w:tcBorders>
            <w:shd w:val="clear" w:color="auto" w:fill="auto"/>
          </w:tcPr>
          <w:p w14:paraId="688777A6" w14:textId="675274DB" w:rsidR="000B1C3C" w:rsidRPr="00C3310F" w:rsidRDefault="006B52AC" w:rsidP="000B1C3C">
            <w:pPr>
              <w:widowControl/>
              <w:snapToGrid w:val="0"/>
              <w:rPr>
                <w:rFonts w:hAnsi="標楷體"/>
                <w:sz w:val="28"/>
                <w:szCs w:val="28"/>
              </w:rPr>
            </w:pPr>
            <w:r w:rsidRPr="00C3310F">
              <w:rPr>
                <w:rFonts w:hAnsi="標楷體" w:hint="eastAsia"/>
                <w:sz w:val="28"/>
                <w:szCs w:val="28"/>
              </w:rPr>
              <w:t>該</w:t>
            </w:r>
            <w:r w:rsidR="000B1C3C" w:rsidRPr="00C3310F">
              <w:rPr>
                <w:rFonts w:hAnsi="標楷體" w:hint="eastAsia"/>
                <w:sz w:val="28"/>
                <w:szCs w:val="28"/>
              </w:rPr>
              <w:t>行辦理自然人購屋貸款作業，未完善建立及落實執行洗錢防制作業，核有違反洗錢防制法第7條第1項、同條第4項授權訂定之金融機構防制洗錢辦法第5條及第9條規定，依洗錢防制法第7條第5項規定。</w:t>
            </w:r>
          </w:p>
        </w:tc>
        <w:tc>
          <w:tcPr>
            <w:tcW w:w="873" w:type="pct"/>
            <w:tcBorders>
              <w:top w:val="nil"/>
              <w:left w:val="single" w:sz="4" w:space="0" w:color="auto"/>
              <w:bottom w:val="single" w:sz="4" w:space="0" w:color="000000"/>
              <w:right w:val="single" w:sz="4" w:space="0" w:color="auto"/>
            </w:tcBorders>
            <w:shd w:val="clear" w:color="auto" w:fill="auto"/>
          </w:tcPr>
          <w:p w14:paraId="3005FA51" w14:textId="77777777" w:rsidR="000B1C3C" w:rsidRPr="00C3310F" w:rsidRDefault="000B1C3C" w:rsidP="000B1C3C">
            <w:pPr>
              <w:widowControl/>
              <w:snapToGrid w:val="0"/>
              <w:rPr>
                <w:rFonts w:hAnsi="標楷體"/>
                <w:sz w:val="28"/>
                <w:szCs w:val="28"/>
              </w:rPr>
            </w:pPr>
            <w:r w:rsidRPr="00C3310F">
              <w:rPr>
                <w:rFonts w:hAnsi="標楷體" w:hint="eastAsia"/>
                <w:sz w:val="28"/>
                <w:szCs w:val="28"/>
              </w:rPr>
              <w:t>核處150萬元罰鍰</w:t>
            </w:r>
          </w:p>
        </w:tc>
        <w:tc>
          <w:tcPr>
            <w:tcW w:w="34" w:type="pct"/>
            <w:tcBorders>
              <w:top w:val="nil"/>
              <w:left w:val="nil"/>
              <w:bottom w:val="nil"/>
              <w:right w:val="nil"/>
            </w:tcBorders>
            <w:shd w:val="clear" w:color="auto" w:fill="auto"/>
            <w:noWrap/>
            <w:vAlign w:val="center"/>
          </w:tcPr>
          <w:p w14:paraId="7060B530" w14:textId="77777777" w:rsidR="000B1C3C" w:rsidRPr="00C3310F" w:rsidRDefault="000B1C3C" w:rsidP="000B1C3C">
            <w:pPr>
              <w:widowControl/>
              <w:snapToGrid w:val="0"/>
              <w:rPr>
                <w:rFonts w:hAnsi="標楷體" w:cs="新細明體"/>
                <w:kern w:val="0"/>
                <w:sz w:val="28"/>
                <w:szCs w:val="28"/>
              </w:rPr>
            </w:pPr>
          </w:p>
        </w:tc>
      </w:tr>
      <w:tr w:rsidR="00C3310F" w:rsidRPr="00C3310F" w14:paraId="7F549E8E" w14:textId="77777777" w:rsidTr="000B1C3C">
        <w:trPr>
          <w:trHeight w:val="20"/>
        </w:trPr>
        <w:tc>
          <w:tcPr>
            <w:tcW w:w="595" w:type="pct"/>
            <w:tcBorders>
              <w:top w:val="nil"/>
              <w:left w:val="single" w:sz="4" w:space="0" w:color="auto"/>
              <w:bottom w:val="single" w:sz="4" w:space="0" w:color="000000"/>
              <w:right w:val="single" w:sz="4" w:space="0" w:color="auto"/>
            </w:tcBorders>
            <w:shd w:val="clear" w:color="auto" w:fill="auto"/>
            <w:vAlign w:val="center"/>
          </w:tcPr>
          <w:p w14:paraId="1AE08B77" w14:textId="2B0D53CC" w:rsidR="000B1C3C" w:rsidRPr="00C3310F" w:rsidRDefault="000B1C3C" w:rsidP="000B1C3C">
            <w:pPr>
              <w:widowControl/>
              <w:snapToGrid w:val="0"/>
              <w:rPr>
                <w:rFonts w:hAnsi="標楷體" w:cs="新細明體"/>
                <w:kern w:val="0"/>
                <w:sz w:val="28"/>
                <w:szCs w:val="28"/>
              </w:rPr>
            </w:pPr>
            <w:r w:rsidRPr="00C3310F">
              <w:rPr>
                <w:rFonts w:hAnsi="標楷體" w:cs="新細明體" w:hint="eastAsia"/>
                <w:kern w:val="0"/>
                <w:sz w:val="28"/>
                <w:szCs w:val="28"/>
              </w:rPr>
              <w:t>中</w:t>
            </w:r>
            <w:r w:rsidR="00BC64F5" w:rsidRPr="00C3310F">
              <w:rPr>
                <w:rFonts w:hAnsi="標楷體" w:cs="新細明體" w:hint="eastAsia"/>
                <w:kern w:val="0"/>
                <w:sz w:val="28"/>
                <w:szCs w:val="28"/>
              </w:rPr>
              <w:t>○</w:t>
            </w:r>
            <w:r w:rsidRPr="00C3310F">
              <w:rPr>
                <w:rFonts w:hAnsi="標楷體" w:cs="新細明體" w:hint="eastAsia"/>
                <w:kern w:val="0"/>
                <w:sz w:val="28"/>
                <w:szCs w:val="28"/>
              </w:rPr>
              <w:t>信託商業銀行</w:t>
            </w:r>
          </w:p>
        </w:tc>
        <w:tc>
          <w:tcPr>
            <w:tcW w:w="666" w:type="pct"/>
            <w:tcBorders>
              <w:top w:val="nil"/>
              <w:left w:val="single" w:sz="4" w:space="0" w:color="auto"/>
              <w:bottom w:val="single" w:sz="4" w:space="0" w:color="000000"/>
              <w:right w:val="single" w:sz="4" w:space="0" w:color="auto"/>
            </w:tcBorders>
            <w:shd w:val="clear" w:color="auto" w:fill="auto"/>
            <w:vAlign w:val="center"/>
          </w:tcPr>
          <w:p w14:paraId="3353211C" w14:textId="77777777" w:rsidR="000B1C3C" w:rsidRPr="00C3310F" w:rsidRDefault="000B1C3C" w:rsidP="000B1C3C">
            <w:pPr>
              <w:widowControl/>
              <w:snapToGrid w:val="0"/>
              <w:rPr>
                <w:rFonts w:hAnsi="標楷體"/>
                <w:sz w:val="28"/>
                <w:szCs w:val="28"/>
              </w:rPr>
            </w:pPr>
            <w:r w:rsidRPr="00C3310F">
              <w:rPr>
                <w:rFonts w:hAnsi="標楷體" w:hint="eastAsia"/>
                <w:sz w:val="28"/>
                <w:szCs w:val="28"/>
              </w:rPr>
              <w:t>112.8.4</w:t>
            </w:r>
          </w:p>
        </w:tc>
        <w:tc>
          <w:tcPr>
            <w:tcW w:w="2832" w:type="pct"/>
            <w:tcBorders>
              <w:top w:val="nil"/>
              <w:left w:val="single" w:sz="4" w:space="0" w:color="auto"/>
              <w:bottom w:val="single" w:sz="4" w:space="0" w:color="000000"/>
              <w:right w:val="single" w:sz="4" w:space="0" w:color="auto"/>
            </w:tcBorders>
            <w:shd w:val="clear" w:color="auto" w:fill="auto"/>
            <w:vAlign w:val="center"/>
          </w:tcPr>
          <w:p w14:paraId="1729F096" w14:textId="77777777" w:rsidR="000B1C3C" w:rsidRPr="00C3310F" w:rsidRDefault="000B1C3C" w:rsidP="000B1C3C">
            <w:pPr>
              <w:widowControl/>
              <w:snapToGrid w:val="0"/>
              <w:rPr>
                <w:rFonts w:hAnsi="標楷體"/>
                <w:sz w:val="28"/>
                <w:szCs w:val="28"/>
              </w:rPr>
            </w:pPr>
            <w:r w:rsidRPr="00C3310F">
              <w:rPr>
                <w:rFonts w:hAnsi="標楷體" w:hint="eastAsia"/>
                <w:sz w:val="28"/>
                <w:szCs w:val="28"/>
              </w:rPr>
              <w:t>該行前理財專員挪用客戶款項、推介客戶短期間進行多筆交易及代客戶辦理網路銀行交易所涉缺失，核有違反銀行法第45條之1第1項及其授權訂定之「金融控股公司及銀行業內部控制及稽核制度實施辦法」第3條第1項、第8條第1項及第3項等規定，依同法第129條第7款規定。</w:t>
            </w:r>
          </w:p>
        </w:tc>
        <w:tc>
          <w:tcPr>
            <w:tcW w:w="873" w:type="pct"/>
            <w:tcBorders>
              <w:top w:val="nil"/>
              <w:left w:val="single" w:sz="4" w:space="0" w:color="auto"/>
              <w:bottom w:val="single" w:sz="4" w:space="0" w:color="000000"/>
              <w:right w:val="single" w:sz="4" w:space="0" w:color="auto"/>
            </w:tcBorders>
            <w:shd w:val="clear" w:color="auto" w:fill="auto"/>
            <w:vAlign w:val="center"/>
          </w:tcPr>
          <w:p w14:paraId="3EFF73EC" w14:textId="77777777" w:rsidR="000B1C3C" w:rsidRPr="00C3310F" w:rsidRDefault="000B1C3C" w:rsidP="000B1C3C">
            <w:pPr>
              <w:widowControl/>
              <w:snapToGrid w:val="0"/>
              <w:rPr>
                <w:rFonts w:hAnsi="標楷體"/>
                <w:sz w:val="28"/>
                <w:szCs w:val="28"/>
              </w:rPr>
            </w:pPr>
            <w:r w:rsidRPr="00C3310F">
              <w:rPr>
                <w:rFonts w:hAnsi="標楷體" w:hint="eastAsia"/>
                <w:sz w:val="28"/>
                <w:szCs w:val="28"/>
              </w:rPr>
              <w:t>核處1,000萬元罰鍰</w:t>
            </w:r>
          </w:p>
        </w:tc>
        <w:tc>
          <w:tcPr>
            <w:tcW w:w="34" w:type="pct"/>
            <w:tcBorders>
              <w:top w:val="nil"/>
              <w:left w:val="nil"/>
              <w:bottom w:val="nil"/>
              <w:right w:val="nil"/>
            </w:tcBorders>
            <w:shd w:val="clear" w:color="auto" w:fill="auto"/>
            <w:noWrap/>
            <w:vAlign w:val="center"/>
          </w:tcPr>
          <w:p w14:paraId="690EFEDF" w14:textId="77777777" w:rsidR="000B1C3C" w:rsidRPr="00C3310F" w:rsidRDefault="000B1C3C" w:rsidP="000B1C3C">
            <w:pPr>
              <w:widowControl/>
              <w:snapToGrid w:val="0"/>
              <w:rPr>
                <w:rFonts w:hAnsi="標楷體" w:cs="新細明體"/>
                <w:kern w:val="0"/>
                <w:sz w:val="28"/>
                <w:szCs w:val="28"/>
              </w:rPr>
            </w:pPr>
          </w:p>
        </w:tc>
      </w:tr>
    </w:tbl>
    <w:p w14:paraId="6C539CDA" w14:textId="77777777" w:rsidR="000B1C3C" w:rsidRPr="00C3310F" w:rsidRDefault="000B1C3C" w:rsidP="000B1C3C">
      <w:pPr>
        <w:rPr>
          <w:sz w:val="28"/>
        </w:rPr>
      </w:pPr>
      <w:r w:rsidRPr="00C3310F">
        <w:rPr>
          <w:rFonts w:hint="eastAsia"/>
          <w:sz w:val="28"/>
        </w:rPr>
        <w:t>資料來源:金管會提供，本院自行整理</w:t>
      </w:r>
    </w:p>
    <w:p w14:paraId="5EB54D5B" w14:textId="77777777" w:rsidR="00752EB4" w:rsidRPr="00C3310F" w:rsidRDefault="00752EB4" w:rsidP="000B1C3C">
      <w:pPr>
        <w:rPr>
          <w:sz w:val="28"/>
        </w:rPr>
      </w:pPr>
    </w:p>
    <w:p w14:paraId="6C658721" w14:textId="77777777" w:rsidR="000B1C3C" w:rsidRPr="00C3310F" w:rsidRDefault="000B1C3C" w:rsidP="000B1C3C">
      <w:pPr>
        <w:pStyle w:val="3"/>
      </w:pPr>
      <w:bookmarkStart w:id="1005" w:name="_Toc171525610"/>
      <w:bookmarkStart w:id="1006" w:name="_Toc172024131"/>
      <w:bookmarkStart w:id="1007" w:name="_Toc172033454"/>
      <w:r w:rsidRPr="00C3310F">
        <w:rPr>
          <w:rFonts w:hint="eastAsia"/>
        </w:rPr>
        <w:lastRenderedPageBreak/>
        <w:t>小結：「打詐綱領1.5版」將銀行臨櫃攔阻率列為績效指標，本院諮詢專家學者表示「銀行行員阻詐做得很累，就給他頒獎，這樣子做一直循環，其實就不會有效果」，顯見臨櫃攔阻仍然是屬於下游措施；本調查研究認為，政府僅進行道德勸說，任由源頭之金融機構警示帳戶以3年暴增3.27倍之速度成長，而不以對銀行造成實際影響之業務縮減或評鑑作為監理工具，卻命行員進行有時極為擾民之阻詐措施而列為績效，實屬本末倒置，金管會難辭其咎。</w:t>
      </w:r>
      <w:bookmarkEnd w:id="1005"/>
      <w:bookmarkEnd w:id="1006"/>
      <w:bookmarkEnd w:id="1007"/>
    </w:p>
    <w:p w14:paraId="0DFDEC7C" w14:textId="77777777" w:rsidR="000B1C3C" w:rsidRPr="00C3310F" w:rsidRDefault="000B1C3C" w:rsidP="000B1C3C">
      <w:pPr>
        <w:pStyle w:val="3"/>
      </w:pPr>
      <w:bookmarkStart w:id="1008" w:name="_Toc171525611"/>
      <w:bookmarkStart w:id="1009" w:name="_Toc172024132"/>
      <w:bookmarkStart w:id="1010" w:name="_Toc172033455"/>
      <w:r w:rsidRPr="00C3310F">
        <w:rPr>
          <w:rFonts w:hint="eastAsia"/>
        </w:rPr>
        <w:t>再查，民眾對於有償或無償提供帳戶予他人使用，未具可能淪為詐欺幫助犯意識，而詐欺集團多利用「代辦貸款」等話術取得人頭帳戶進行詐欺，近年並有轉向利用虛擬帳號收款趨勢〔110年警示帳戶計4萬8,526筆，其中虛擬帳號計2萬1,722筆(44.76%)；111年警示帳戶計7萬1,331筆，其中虛擬帳號計4萬2,016筆(58.9%)〕。且分析110至111年間警示帳戶中虛擬帳號遭利用之公司行號，其中約40%集中於第三方支付或電商業者，顯見犯嫌多利用審核較寬鬆之第三方支付代收款虛擬帳號，作為進行收取贓款之主要帳戶工具，為防制詐騙集團將第三方支付業者使用之虛擬帳號成為詐騙工具，政府對於第三方支付業者使用虛擬帳號服務管控機制如下：</w:t>
      </w:r>
      <w:bookmarkEnd w:id="1008"/>
      <w:bookmarkEnd w:id="1009"/>
      <w:bookmarkEnd w:id="1010"/>
      <w:r w:rsidRPr="00C3310F">
        <w:t xml:space="preserve"> </w:t>
      </w:r>
    </w:p>
    <w:p w14:paraId="61660F50" w14:textId="6159DC5C" w:rsidR="000B1C3C" w:rsidRPr="00C3310F" w:rsidRDefault="00D82B1C" w:rsidP="000B1C3C">
      <w:pPr>
        <w:pStyle w:val="4"/>
      </w:pPr>
      <w:r w:rsidRPr="00C3310F">
        <w:rPr>
          <w:rFonts w:hint="eastAsia"/>
        </w:rPr>
        <w:t>數發部</w:t>
      </w:r>
      <w:r w:rsidR="000B1C3C" w:rsidRPr="00C3310F">
        <w:rPr>
          <w:rFonts w:hint="eastAsia"/>
        </w:rPr>
        <w:t>於</w:t>
      </w:r>
      <w:r w:rsidR="000B1C3C" w:rsidRPr="00C3310F">
        <w:t>112</w:t>
      </w:r>
      <w:r w:rsidR="000B1C3C" w:rsidRPr="00C3310F">
        <w:rPr>
          <w:rFonts w:hint="eastAsia"/>
        </w:rPr>
        <w:t>年</w:t>
      </w:r>
      <w:r w:rsidR="000B1C3C" w:rsidRPr="00C3310F">
        <w:t>7</w:t>
      </w:r>
      <w:r w:rsidR="000B1C3C" w:rsidRPr="00C3310F">
        <w:rPr>
          <w:rFonts w:hint="eastAsia"/>
        </w:rPr>
        <w:t>月啟動第三方支付服務業能量登錄制度，要求申請業者提出洗錢防制及法遵聲明書始能登錄，並審查其人力配置與素質、實績、執行管理能力、財務狀況等項目。</w:t>
      </w:r>
    </w:p>
    <w:p w14:paraId="236647BB" w14:textId="4F67975A" w:rsidR="000B1C3C" w:rsidRPr="00C3310F" w:rsidRDefault="000B1C3C" w:rsidP="000B1C3C">
      <w:pPr>
        <w:pStyle w:val="4"/>
      </w:pPr>
      <w:r w:rsidRPr="00C3310F">
        <w:rPr>
          <w:rFonts w:hint="eastAsia"/>
        </w:rPr>
        <w:t>金管會於同年11月2日函請銀行公會轉知會員機構配合</w:t>
      </w:r>
      <w:r w:rsidR="00D82B1C" w:rsidRPr="00C3310F">
        <w:rPr>
          <w:rFonts w:hint="eastAsia"/>
        </w:rPr>
        <w:t>數發部</w:t>
      </w:r>
      <w:r w:rsidRPr="00C3310F">
        <w:rPr>
          <w:rFonts w:hint="eastAsia"/>
        </w:rPr>
        <w:t>所定第三方支付業者能量登錄機制，督導金融機構強化提供虛擬帳號服務之控管。金融機構將配合上開登錄機制，就第三方支付業</w:t>
      </w:r>
      <w:r w:rsidRPr="00C3310F">
        <w:rPr>
          <w:rFonts w:hint="eastAsia"/>
        </w:rPr>
        <w:lastRenderedPageBreak/>
        <w:t>者未完成能量登錄，金融機構在受理其開戶時（即新戶），則不受理。</w:t>
      </w:r>
    </w:p>
    <w:p w14:paraId="25DA9858" w14:textId="2FC6ED01" w:rsidR="000B1C3C" w:rsidRPr="00C3310F" w:rsidRDefault="000B1C3C" w:rsidP="000B1C3C">
      <w:pPr>
        <w:pStyle w:val="4"/>
      </w:pPr>
      <w:r w:rsidRPr="00C3310F">
        <w:rPr>
          <w:rFonts w:hint="eastAsia"/>
        </w:rPr>
        <w:t>若為銀行既有客戶（即舊戶），在</w:t>
      </w:r>
      <w:r w:rsidR="006A5D78" w:rsidRPr="00C3310F">
        <w:rPr>
          <w:rFonts w:hint="eastAsia"/>
        </w:rPr>
        <w:t>數發</w:t>
      </w:r>
      <w:r w:rsidRPr="00C3310F">
        <w:rPr>
          <w:rFonts w:hint="eastAsia"/>
        </w:rPr>
        <w:t>部訂定之緩衝期內（112年12月31日前）未申請能量登錄者，則不提供虛擬帳戶服務。未先完成能量登錄之第三方支付業者，銀行在受理其開戶時就不會受理；若是銀行現有客戶，未申請能量登錄之業者，銀行將會視為高風險不提供虛擬帳戶服務。</w:t>
      </w:r>
    </w:p>
    <w:p w14:paraId="4E131F6A" w14:textId="5A9A2BAB" w:rsidR="000B1C3C" w:rsidRPr="00C3310F" w:rsidRDefault="000B1C3C" w:rsidP="000B1C3C">
      <w:pPr>
        <w:pStyle w:val="4"/>
      </w:pPr>
      <w:r w:rsidRPr="00C3310F">
        <w:rPr>
          <w:rFonts w:hint="eastAsia"/>
        </w:rPr>
        <w:t>完成修訂《第三方支付服務業防制洗錢及打擊資恐辦法》第</w:t>
      </w:r>
      <w:r w:rsidRPr="00C3310F">
        <w:t>5</w:t>
      </w:r>
      <w:r w:rsidRPr="00C3310F">
        <w:rPr>
          <w:rFonts w:hint="eastAsia"/>
        </w:rPr>
        <w:t>之</w:t>
      </w:r>
      <w:r w:rsidRPr="00C3310F">
        <w:t>1</w:t>
      </w:r>
      <w:r w:rsidRPr="00C3310F">
        <w:rPr>
          <w:rFonts w:hint="eastAsia"/>
        </w:rPr>
        <w:t>條，第三方支付服務業應依</w:t>
      </w:r>
      <w:r w:rsidR="00D82B1C" w:rsidRPr="00C3310F">
        <w:rPr>
          <w:rFonts w:hint="eastAsia"/>
        </w:rPr>
        <w:t>數發部</w:t>
      </w:r>
      <w:r w:rsidRPr="00C3310F">
        <w:rPr>
          <w:rFonts w:hint="eastAsia"/>
        </w:rPr>
        <w:t>指定之程序及方式，申請辦理洗錢防制暨服務能量登錄；其經審查通過者，由</w:t>
      </w:r>
      <w:r w:rsidR="00D82B1C" w:rsidRPr="00C3310F">
        <w:rPr>
          <w:rFonts w:hint="eastAsia"/>
        </w:rPr>
        <w:t>數發部</w:t>
      </w:r>
      <w:r w:rsidRPr="00C3310F">
        <w:rPr>
          <w:rFonts w:hint="eastAsia"/>
        </w:rPr>
        <w:t>通知並予公告。截至</w:t>
      </w:r>
      <w:r w:rsidRPr="00C3310F">
        <w:t>113</w:t>
      </w:r>
      <w:r w:rsidRPr="00C3310F">
        <w:rPr>
          <w:rFonts w:hint="eastAsia"/>
        </w:rPr>
        <w:t>年</w:t>
      </w:r>
      <w:r w:rsidRPr="00C3310F">
        <w:t>5</w:t>
      </w:r>
      <w:r w:rsidRPr="00C3310F">
        <w:rPr>
          <w:rFonts w:hint="eastAsia"/>
        </w:rPr>
        <w:t>月</w:t>
      </w:r>
      <w:r w:rsidRPr="00C3310F">
        <w:t>21</w:t>
      </w:r>
      <w:r w:rsidRPr="00C3310F">
        <w:rPr>
          <w:rFonts w:hint="eastAsia"/>
        </w:rPr>
        <w:t>日止，送件申請登錄業者總計</w:t>
      </w:r>
      <w:r w:rsidRPr="00C3310F">
        <w:t>81</w:t>
      </w:r>
      <w:r w:rsidRPr="00C3310F">
        <w:rPr>
          <w:rFonts w:hint="eastAsia"/>
        </w:rPr>
        <w:t>家，通過審查業者計</w:t>
      </w:r>
      <w:r w:rsidRPr="00C3310F">
        <w:t>53</w:t>
      </w:r>
      <w:r w:rsidRPr="00C3310F">
        <w:rPr>
          <w:rFonts w:hint="eastAsia"/>
        </w:rPr>
        <w:t>家，廢止登錄</w:t>
      </w:r>
      <w:r w:rsidRPr="00C3310F">
        <w:t>1</w:t>
      </w:r>
      <w:r w:rsidRPr="00C3310F">
        <w:rPr>
          <w:rFonts w:hint="eastAsia"/>
        </w:rPr>
        <w:t>家，審查後尚待補件業者計</w:t>
      </w:r>
      <w:r w:rsidRPr="00C3310F">
        <w:t>16</w:t>
      </w:r>
      <w:r w:rsidRPr="00C3310F">
        <w:rPr>
          <w:rFonts w:hint="eastAsia"/>
        </w:rPr>
        <w:t>家，未通過業者計</w:t>
      </w:r>
      <w:r w:rsidRPr="00C3310F">
        <w:t>9</w:t>
      </w:r>
      <w:r w:rsidRPr="00C3310F">
        <w:rPr>
          <w:rFonts w:hint="eastAsia"/>
        </w:rPr>
        <w:t>家；尚在資格審查中業者計</w:t>
      </w:r>
      <w:r w:rsidRPr="00C3310F">
        <w:t>2</w:t>
      </w:r>
      <w:r w:rsidRPr="00C3310F">
        <w:rPr>
          <w:rFonts w:hint="eastAsia"/>
        </w:rPr>
        <w:t>家。</w:t>
      </w:r>
    </w:p>
    <w:p w14:paraId="4EA90F3B" w14:textId="7FC3BE8A" w:rsidR="000B1C3C" w:rsidRPr="00C3310F" w:rsidRDefault="000B1C3C" w:rsidP="000B1C3C">
      <w:pPr>
        <w:pStyle w:val="4"/>
        <w:rPr>
          <w:strike/>
        </w:rPr>
      </w:pPr>
      <w:r w:rsidRPr="00C3310F">
        <w:rPr>
          <w:rFonts w:hint="eastAsia"/>
        </w:rPr>
        <w:t>第三方支付的登錄制度已屬類特許制度，基於洗錢防制目的之管理，更進一步於洗錢防制法第</w:t>
      </w:r>
      <w:r w:rsidRPr="00C3310F">
        <w:t>6</w:t>
      </w:r>
      <w:r w:rsidRPr="00C3310F">
        <w:rPr>
          <w:rFonts w:hint="eastAsia"/>
        </w:rPr>
        <w:t>條增訂：第三方支付服務之事業或人員未向中央目的事業主管機關完成洗錢防制、服務能量登錄者，不得提供第三方支付服務。違反規定者將處二年以下有期徒刑、拘役或科或併科五百萬元以下罰金。</w:t>
      </w:r>
    </w:p>
    <w:p w14:paraId="46BA2F96" w14:textId="678A35CE" w:rsidR="000B1C3C" w:rsidRPr="00C3310F" w:rsidRDefault="000B1C3C" w:rsidP="000B1C3C">
      <w:pPr>
        <w:pStyle w:val="3"/>
      </w:pPr>
      <w:bookmarkStart w:id="1011" w:name="_Toc171525612"/>
      <w:bookmarkStart w:id="1012" w:name="_Toc172024133"/>
      <w:bookmarkStart w:id="1013" w:name="_Toc172033456"/>
      <w:r w:rsidRPr="00C3310F">
        <w:rPr>
          <w:rFonts w:hint="eastAsia"/>
        </w:rPr>
        <w:t>茲因第三方支付業者申請之虛擬帳號占警示帳戶極高之比率，</w:t>
      </w:r>
      <w:r w:rsidR="00D82B1C" w:rsidRPr="00C3310F">
        <w:rPr>
          <w:rFonts w:hint="eastAsia"/>
        </w:rPr>
        <w:t>數發部</w:t>
      </w:r>
      <w:r w:rsidRPr="00C3310F">
        <w:rPr>
          <w:rFonts w:hint="eastAsia"/>
        </w:rPr>
        <w:t>業已提出能量登錄制度以改善虛擬帳號成為人頭帳戶之情形，該部並與金管會達成部會聯防共識，由金融機構配合第三方支付業者能量登錄機制，強化提供虛擬帳號服務之控管</w:t>
      </w:r>
      <w:r w:rsidR="002F6433" w:rsidRPr="00C3310F">
        <w:rPr>
          <w:rFonts w:hint="eastAsia"/>
        </w:rPr>
        <w:t>，</w:t>
      </w:r>
      <w:r w:rsidRPr="00C3310F">
        <w:rPr>
          <w:rFonts w:hint="eastAsia"/>
        </w:rPr>
        <w:t>然成效仍待觀察。建議政府持續觀察第三方支付業者虛擬帳號之管控成效。</w:t>
      </w:r>
      <w:bookmarkEnd w:id="1011"/>
      <w:bookmarkEnd w:id="1012"/>
      <w:bookmarkEnd w:id="1013"/>
    </w:p>
    <w:p w14:paraId="6FC06F92" w14:textId="5A1484FF" w:rsidR="003D434B" w:rsidRPr="00C3310F" w:rsidRDefault="000B1C3C" w:rsidP="000B1C3C">
      <w:pPr>
        <w:pStyle w:val="3"/>
      </w:pPr>
      <w:bookmarkStart w:id="1014" w:name="_Toc171525613"/>
      <w:bookmarkStart w:id="1015" w:name="_Toc172024134"/>
      <w:bookmarkStart w:id="1016" w:name="_Toc172033457"/>
      <w:r w:rsidRPr="00C3310F">
        <w:rPr>
          <w:rFonts w:hint="eastAsia"/>
        </w:rPr>
        <w:lastRenderedPageBreak/>
        <w:t>綜上，詐騙集團詐騙國人之目的不外乎取得金錢，故金流管制及洗錢防制措施實屬打詐政策之核心。</w:t>
      </w:r>
      <w:r w:rsidR="00A1409C" w:rsidRPr="00C3310F">
        <w:rPr>
          <w:rFonts w:hint="eastAsia"/>
        </w:rPr>
        <w:t>本調查研究</w:t>
      </w:r>
      <w:r w:rsidRPr="00C3310F">
        <w:rPr>
          <w:rFonts w:hint="eastAsia"/>
        </w:rPr>
        <w:t>經盤點政府在金流方面之行政管制措施，在臨櫃阻詐及強化法幣實體帳戶K</w:t>
      </w:r>
      <w:r w:rsidRPr="00C3310F">
        <w:t>YC</w:t>
      </w:r>
      <w:r w:rsidRPr="00C3310F">
        <w:rPr>
          <w:rFonts w:hint="eastAsia"/>
        </w:rPr>
        <w:t>方面略具成效，</w:t>
      </w:r>
      <w:r w:rsidR="00E33FF6" w:rsidRPr="00C3310F">
        <w:rPr>
          <w:rFonts w:hint="eastAsia"/>
        </w:rPr>
        <w:t>惟</w:t>
      </w:r>
      <w:r w:rsidRPr="00C3310F">
        <w:rPr>
          <w:rFonts w:hint="eastAsia"/>
        </w:rPr>
        <w:t>第三方支付方面</w:t>
      </w:r>
      <w:r w:rsidR="00D82B1C" w:rsidRPr="00C3310F">
        <w:rPr>
          <w:rFonts w:hint="eastAsia"/>
        </w:rPr>
        <w:t>數發部</w:t>
      </w:r>
      <w:r w:rsidR="00E33FF6" w:rsidRPr="00C3310F">
        <w:rPr>
          <w:rFonts w:hint="eastAsia"/>
        </w:rPr>
        <w:t>雖</w:t>
      </w:r>
      <w:r w:rsidRPr="00C3310F">
        <w:rPr>
          <w:rFonts w:hint="eastAsia"/>
        </w:rPr>
        <w:t>已提出能量登錄制度，然成效仍待觀察。另人頭帳戶及警示帳戶數量仍未有效降低部分，將成為整體政府打詐措施中最薄弱之一環，政府除</w:t>
      </w:r>
      <w:r w:rsidR="00E33FF6" w:rsidRPr="00C3310F">
        <w:rPr>
          <w:rFonts w:hint="eastAsia"/>
        </w:rPr>
        <w:t>宜</w:t>
      </w:r>
      <w:r w:rsidRPr="00C3310F">
        <w:rPr>
          <w:rFonts w:hint="eastAsia"/>
        </w:rPr>
        <w:t>公布各金融機構人頭帳戶及警示帳戶之情形，並對金融機構管理不力予以課責外，並</w:t>
      </w:r>
      <w:r w:rsidR="00E33FF6" w:rsidRPr="00C3310F">
        <w:rPr>
          <w:rFonts w:hint="eastAsia"/>
        </w:rPr>
        <w:t>宜</w:t>
      </w:r>
      <w:r w:rsidRPr="00C3310F">
        <w:rPr>
          <w:rFonts w:hint="eastAsia"/>
        </w:rPr>
        <w:t>秉持行政先行及公開透明原則優先檢討打詐不力之金融機構，以避免成為打詐及洗錢防制之破口。</w:t>
      </w:r>
      <w:bookmarkEnd w:id="1014"/>
      <w:bookmarkEnd w:id="1015"/>
      <w:bookmarkEnd w:id="1016"/>
      <w:r w:rsidRPr="00C3310F">
        <w:t xml:space="preserve"> </w:t>
      </w:r>
    </w:p>
    <w:p w14:paraId="2711346A" w14:textId="6F6A2DA8" w:rsidR="000B1C3C" w:rsidRPr="00C3310F" w:rsidRDefault="003D434B" w:rsidP="003D434B">
      <w:pPr>
        <w:widowControl/>
        <w:overflowPunct/>
        <w:autoSpaceDE/>
        <w:autoSpaceDN/>
        <w:jc w:val="left"/>
        <w:rPr>
          <w:rFonts w:hAnsi="Arial"/>
          <w:bCs/>
          <w:kern w:val="32"/>
          <w:szCs w:val="36"/>
        </w:rPr>
      </w:pPr>
      <w:r w:rsidRPr="00C3310F">
        <w:br w:type="page"/>
      </w:r>
    </w:p>
    <w:p w14:paraId="6A9E2E84" w14:textId="4FE68678" w:rsidR="000B1C3C" w:rsidRPr="00C3310F" w:rsidRDefault="000B1C3C" w:rsidP="000B1C3C">
      <w:pPr>
        <w:pStyle w:val="2"/>
        <w:spacing w:beforeLines="50" w:before="228"/>
        <w:ind w:left="1020" w:hanging="680"/>
        <w:rPr>
          <w:b/>
        </w:rPr>
      </w:pPr>
      <w:bookmarkStart w:id="1017" w:name="_Toc172033458"/>
      <w:r w:rsidRPr="00C3310F">
        <w:rPr>
          <w:rFonts w:hint="eastAsia"/>
          <w:b/>
        </w:rPr>
        <w:lastRenderedPageBreak/>
        <w:t>虛擬貨幣具去中心化、高度匿名及快速跨境移轉等特性，成為詐騙集團詐欺洗錢犯罪之工具。金管會雖已訂定虛擬通貨</w:t>
      </w:r>
      <w:r w:rsidR="008955EF" w:rsidRPr="00C3310F">
        <w:rPr>
          <w:rFonts w:hint="eastAsia"/>
          <w:b/>
        </w:rPr>
        <w:t>平台</w:t>
      </w:r>
      <w:r w:rsidRPr="00C3310F">
        <w:rPr>
          <w:rFonts w:hint="eastAsia"/>
          <w:b/>
        </w:rPr>
        <w:t>及交易業務事業防制洗錢及打擊資恐辦法</w:t>
      </w:r>
      <w:r w:rsidR="002F6433" w:rsidRPr="00C3310F">
        <w:rPr>
          <w:rFonts w:hint="eastAsia"/>
          <w:b/>
        </w:rPr>
        <w:t>，</w:t>
      </w:r>
      <w:r w:rsidRPr="00C3310F">
        <w:rPr>
          <w:rFonts w:hint="eastAsia"/>
          <w:b/>
        </w:rPr>
        <w:t>以管理虛擬通貨</w:t>
      </w:r>
      <w:r w:rsidR="0004575A" w:rsidRPr="00C3310F">
        <w:rPr>
          <w:rFonts w:hint="eastAsia"/>
          <w:b/>
        </w:rPr>
        <w:t>平臺</w:t>
      </w:r>
      <w:r w:rsidRPr="00C3310F">
        <w:rPr>
          <w:rFonts w:hint="eastAsia"/>
          <w:b/>
        </w:rPr>
        <w:t>及交易業務事業（下稱VASP），然基層檢察官指出當前各類詐騙案件中，以虛擬貨幣之詐騙金額最大，被害人損失最重，且質疑幣商之定義不明</w:t>
      </w:r>
      <w:r w:rsidR="003977B9" w:rsidRPr="00C3310F">
        <w:rPr>
          <w:rFonts w:hint="eastAsia"/>
          <w:b/>
        </w:rPr>
        <w:t>，導致基層檢察官對虛擬貨幣管理多有詬病</w:t>
      </w:r>
      <w:r w:rsidRPr="00C3310F">
        <w:rPr>
          <w:rFonts w:hint="eastAsia"/>
          <w:b/>
        </w:rPr>
        <w:t>。主管機關</w:t>
      </w:r>
      <w:r w:rsidR="00D46B33" w:rsidRPr="00C3310F">
        <w:rPr>
          <w:rFonts w:hint="eastAsia"/>
          <w:b/>
        </w:rPr>
        <w:t>允宜</w:t>
      </w:r>
      <w:r w:rsidRPr="00C3310F">
        <w:rPr>
          <w:rFonts w:hint="eastAsia"/>
          <w:b/>
        </w:rPr>
        <w:t>詳細審視檢察官所提出之疑義，修正虛擬貨幣管理之疏漏，以避免於後續懲詐時，衍生更多紛亂，引發更大之民怨。</w:t>
      </w:r>
      <w:bookmarkEnd w:id="1017"/>
    </w:p>
    <w:p w14:paraId="516B7371" w14:textId="4DD5600B" w:rsidR="000B1C3C" w:rsidRPr="00C3310F" w:rsidRDefault="000B1C3C" w:rsidP="000B1C3C">
      <w:pPr>
        <w:pStyle w:val="3"/>
      </w:pPr>
      <w:bookmarkStart w:id="1018" w:name="_Toc171525615"/>
      <w:bookmarkStart w:id="1019" w:name="_Toc172024136"/>
      <w:bookmarkStart w:id="1020" w:name="_Toc172033459"/>
      <w:r w:rsidRPr="00C3310F">
        <w:rPr>
          <w:rFonts w:hint="eastAsia"/>
        </w:rPr>
        <w:t>按「虛擬通貨</w:t>
      </w:r>
      <w:r w:rsidR="008955EF" w:rsidRPr="00C3310F">
        <w:rPr>
          <w:rFonts w:hint="eastAsia"/>
        </w:rPr>
        <w:t>平台</w:t>
      </w:r>
      <w:r w:rsidRPr="00C3310F">
        <w:rPr>
          <w:rFonts w:hint="eastAsia"/>
        </w:rPr>
        <w:t>及交易業務事業防制洗錢及打擊資恐辦法」第2條規定：「</w:t>
      </w:r>
      <w:r w:rsidRPr="00C3310F">
        <w:t>……</w:t>
      </w:r>
      <w:r w:rsidRPr="00C3310F">
        <w:rPr>
          <w:rFonts w:hint="eastAsia"/>
        </w:rPr>
        <w:t>虛擬通貨：指運用密碼學及分散式帳本技術或其他類似技術，表彰得以數位方式儲存、交換或移轉之價值，且用於支付或投資目的者。但不包括數位型式之新臺幣、外國貨幣及大陸地區、香港或澳門發行之貨幣、有價證券及其他依法令發行之金融資產。」</w:t>
      </w:r>
      <w:r w:rsidR="002F6433" w:rsidRPr="00C3310F">
        <w:rPr>
          <w:rFonts w:hint="eastAsia"/>
        </w:rPr>
        <w:t>，</w:t>
      </w:r>
      <w:r w:rsidRPr="00C3310F">
        <w:rPr>
          <w:rFonts w:hint="eastAsia"/>
        </w:rPr>
        <w:t>因此</w:t>
      </w:r>
      <w:r w:rsidRPr="00C3310F">
        <w:rPr>
          <w:rFonts w:hAnsi="標楷體" w:hint="eastAsia"/>
        </w:rPr>
        <w:t>虛擬通貨並非由各國中央銀行以黃金等準備做為擔保，所發行之法償國幣，而是在非特定國家、地區發行，並在全世界通用，且不需支付手續費，更可規避監管，自由地轉移之資產。故虛擬通貨具有匿名性、易於跨境流通、可隨時兌現，及去中心化方式運作等特性，已為詐欺集團作為洗錢或詐欺之工具。</w:t>
      </w:r>
      <w:bookmarkEnd w:id="1018"/>
      <w:bookmarkEnd w:id="1019"/>
      <w:bookmarkEnd w:id="1020"/>
    </w:p>
    <w:p w14:paraId="223888B3" w14:textId="59C18E99" w:rsidR="000B1C3C" w:rsidRPr="00C3310F" w:rsidRDefault="000B1C3C" w:rsidP="000B1C3C">
      <w:pPr>
        <w:pStyle w:val="3"/>
      </w:pPr>
      <w:bookmarkStart w:id="1021" w:name="_Toc171525616"/>
      <w:bookmarkStart w:id="1022" w:name="_Toc172024137"/>
      <w:bookmarkStart w:id="1023" w:name="_Toc172033460"/>
      <w:r w:rsidRPr="00C3310F">
        <w:rPr>
          <w:rFonts w:hAnsi="標楷體" w:hint="eastAsia"/>
        </w:rPr>
        <w:t>詐欺集團要求被害人透過虛擬通貨交易所、BTM或幣商購買虛擬通貨，並將款項匯入犯罪集團指定之電子錢包，經多層移轉及去中心化特性隱匿贓款流向，使執法機關難以追查到資金來源。最後再將資金流回一般金融體系，裝成合法活動取得之金流，再由車手集團取款。「此種方式與以往使用贓款購買鑽石、珠寶的洗錢手法相似，但因虛擬貨幣無國界、流通簡</w:t>
      </w:r>
      <w:r w:rsidRPr="00C3310F">
        <w:rPr>
          <w:rFonts w:hAnsi="標楷體" w:hint="eastAsia"/>
        </w:rPr>
        <w:lastRenderedPageBreak/>
        <w:t>易，更方便去化犯罪所得，一旦現金被兌換成虛擬貨幣，查緝前就已被轉出，加深檢警查緝的難度。</w:t>
      </w:r>
      <w:r w:rsidRPr="00C3310F">
        <w:rPr>
          <w:rStyle w:val="afe"/>
          <w:rFonts w:hAnsi="標楷體"/>
        </w:rPr>
        <w:footnoteReference w:id="94"/>
      </w:r>
      <w:r w:rsidRPr="00C3310F">
        <w:rPr>
          <w:rFonts w:hAnsi="標楷體" w:hint="eastAsia"/>
        </w:rPr>
        <w:t>」</w:t>
      </w:r>
      <w:r w:rsidR="002F6433" w:rsidRPr="00C3310F">
        <w:rPr>
          <w:rFonts w:hAnsi="標楷體" w:hint="eastAsia"/>
        </w:rPr>
        <w:t>。</w:t>
      </w:r>
      <w:r w:rsidRPr="00C3310F">
        <w:rPr>
          <w:rFonts w:hAnsi="標楷體" w:hint="eastAsia"/>
        </w:rPr>
        <w:t>另，詐騙集團亦將虛擬貨幣包裝成新興金融商品，誘人誤入陷阱，詐騙受害人身家財產</w:t>
      </w:r>
      <w:r w:rsidR="002F6433" w:rsidRPr="00C3310F">
        <w:rPr>
          <w:rFonts w:hAnsi="標楷體" w:hint="eastAsia"/>
        </w:rPr>
        <w:t>，</w:t>
      </w:r>
      <w:r w:rsidRPr="00C3310F">
        <w:rPr>
          <w:rFonts w:hAnsi="標楷體" w:hint="eastAsia"/>
        </w:rPr>
        <w:t>檢察官亦指出「當前各類詐騙案件中，以虛擬貨幣之詐騙金額最大，被害人損失最重，許多家庭破碎。此類案件追查困難，原因在於前端行政管理缺漏，導致後端司法難以調閱勾稽，且因為缺乏管理規則」</w:t>
      </w:r>
      <w:r w:rsidRPr="00C3310F">
        <w:rPr>
          <w:rStyle w:val="afe"/>
          <w:rFonts w:hAnsi="標楷體"/>
        </w:rPr>
        <w:footnoteReference w:id="95"/>
      </w:r>
      <w:r w:rsidR="002F6433" w:rsidRPr="00C3310F">
        <w:rPr>
          <w:rFonts w:hAnsi="標楷體" w:hint="eastAsia"/>
        </w:rPr>
        <w:t>。</w:t>
      </w:r>
      <w:r w:rsidRPr="00C3310F">
        <w:rPr>
          <w:rFonts w:hAnsi="標楷體" w:hint="eastAsia"/>
        </w:rPr>
        <w:t>是以，虛擬通貨因其特性，已成為詐欺集團作為犯罪之工具，雖</w:t>
      </w:r>
      <w:r w:rsidRPr="00C3310F">
        <w:rPr>
          <w:rFonts w:hint="eastAsia"/>
        </w:rPr>
        <w:t>金管會已針對虛擬通貨訂有洗錢防制等相關規範</w:t>
      </w:r>
      <w:r w:rsidRPr="00C3310F">
        <w:rPr>
          <w:rFonts w:hAnsi="標楷體" w:hint="eastAsia"/>
        </w:rPr>
        <w:t>，然如BTM等是否已訂定相關管理機制，建議政府仍應審視詐騙集團利用虛擬通貨進行詐欺、洗錢之各種模式，並檢視現有政策是否足以防制虛擬通貨成為洗錢及詐欺之工具。</w:t>
      </w:r>
      <w:bookmarkEnd w:id="1021"/>
      <w:bookmarkEnd w:id="1022"/>
      <w:bookmarkEnd w:id="1023"/>
    </w:p>
    <w:p w14:paraId="6DE0FBEA" w14:textId="398B3322" w:rsidR="000B1C3C" w:rsidRPr="00C3310F" w:rsidRDefault="000B1C3C" w:rsidP="000B1C3C">
      <w:pPr>
        <w:pStyle w:val="3"/>
      </w:pPr>
      <w:bookmarkStart w:id="1024" w:name="_Toc171525617"/>
      <w:bookmarkStart w:id="1025" w:name="_Toc172024138"/>
      <w:bookmarkStart w:id="1026" w:name="_Toc172033461"/>
      <w:r w:rsidRPr="00C3310F">
        <w:rPr>
          <w:rFonts w:hAnsi="標楷體" w:hint="eastAsia"/>
        </w:rPr>
        <w:t>由於各國對於監管虛擬貨幣的態度仍有分歧，多數將其當作商品看待，交易也多由民間組織經手。當前購買虛擬貨幣的方式，包含透過虛擬貨幣兌換所、交易所和場外市場（</w:t>
      </w:r>
      <w:r w:rsidR="009C18AE" w:rsidRPr="00C3310F">
        <w:rPr>
          <w:rFonts w:hAnsi="標楷體"/>
        </w:rPr>
        <w:t>Over-the-counter</w:t>
      </w:r>
      <w:r w:rsidR="009C18AE" w:rsidRPr="00C3310F">
        <w:rPr>
          <w:rFonts w:hAnsi="標楷體" w:hint="eastAsia"/>
        </w:rPr>
        <w:t>,</w:t>
      </w:r>
      <w:r w:rsidR="009C18AE" w:rsidRPr="00C3310F">
        <w:rPr>
          <w:rFonts w:hAnsi="標楷體"/>
        </w:rPr>
        <w:t xml:space="preserve"> </w:t>
      </w:r>
      <w:r w:rsidRPr="00C3310F">
        <w:rPr>
          <w:rFonts w:hAnsi="標楷體" w:hint="eastAsia"/>
        </w:rPr>
        <w:t>OTC）3種管道，但因未經官方認證、擔保，日前就發生全臺第3大虛擬貨幣交易所「ACE王牌交易所」，坑殺客戶的詐騙案件，許多無辜投資人蒙受重大損失</w:t>
      </w:r>
      <w:r w:rsidRPr="00C3310F">
        <w:rPr>
          <w:rStyle w:val="afe"/>
          <w:rFonts w:hAnsi="標楷體"/>
        </w:rPr>
        <w:footnoteReference w:id="96"/>
      </w:r>
      <w:r w:rsidRPr="00C3310F">
        <w:rPr>
          <w:rFonts w:hAnsi="標楷體" w:hint="eastAsia"/>
        </w:rPr>
        <w:t>。金管會已就</w:t>
      </w:r>
      <w:r w:rsidRPr="00C3310F">
        <w:rPr>
          <w:rFonts w:hint="eastAsia"/>
        </w:rPr>
        <w:t>虛擬通貨</w:t>
      </w:r>
      <w:r w:rsidR="0004575A" w:rsidRPr="00C3310F">
        <w:rPr>
          <w:rFonts w:hint="eastAsia"/>
        </w:rPr>
        <w:t>平臺</w:t>
      </w:r>
      <w:r w:rsidRPr="00C3310F">
        <w:rPr>
          <w:rFonts w:hint="eastAsia"/>
        </w:rPr>
        <w:t>及交易業務事業VASP參考國際防制洗錢金融行動工作組織（Financial Action Task Force on Money Laundering，下稱FATF）訂定相關管理規範：</w:t>
      </w:r>
      <w:bookmarkEnd w:id="1024"/>
      <w:bookmarkEnd w:id="1025"/>
      <w:bookmarkEnd w:id="1026"/>
    </w:p>
    <w:p w14:paraId="6B2D2562" w14:textId="1378A40A" w:rsidR="000B1C3C" w:rsidRPr="00C3310F" w:rsidRDefault="000B1C3C" w:rsidP="000B1C3C">
      <w:pPr>
        <w:pStyle w:val="4"/>
      </w:pPr>
      <w:r w:rsidRPr="00C3310F">
        <w:rPr>
          <w:rFonts w:hint="eastAsia"/>
        </w:rPr>
        <w:t>110年6月30日發布「虛擬通貨</w:t>
      </w:r>
      <w:r w:rsidR="008955EF" w:rsidRPr="00C3310F">
        <w:rPr>
          <w:rFonts w:hint="eastAsia"/>
        </w:rPr>
        <w:t>平台</w:t>
      </w:r>
      <w:r w:rsidRPr="00C3310F">
        <w:rPr>
          <w:rFonts w:hint="eastAsia"/>
        </w:rPr>
        <w:t>及交易業務事</w:t>
      </w:r>
      <w:r w:rsidRPr="00C3310F">
        <w:rPr>
          <w:rFonts w:hint="eastAsia"/>
        </w:rPr>
        <w:lastRenderedPageBreak/>
        <w:t>業防制洗錢及打擊資恐辦法」（下稱VASP洗防辦法），規範為他人從事下列五類活動</w:t>
      </w:r>
      <w:r w:rsidRPr="00C3310F">
        <w:rPr>
          <w:rStyle w:val="afe"/>
        </w:rPr>
        <w:footnoteReference w:id="97"/>
      </w:r>
      <w:r w:rsidRPr="00C3310F">
        <w:rPr>
          <w:rFonts w:hint="eastAsia"/>
        </w:rPr>
        <w:t>之一者（包含自然人及法人）即屬VASP範疇，應向</w:t>
      </w:r>
      <w:r w:rsidR="002F6433" w:rsidRPr="00C3310F">
        <w:rPr>
          <w:rFonts w:hint="eastAsia"/>
        </w:rPr>
        <w:t>金管</w:t>
      </w:r>
      <w:r w:rsidRPr="00C3310F">
        <w:rPr>
          <w:rFonts w:hint="eastAsia"/>
        </w:rPr>
        <w:t>會提交文件完成洗錢防制法令遵循聲明（下稱法遵聲明）後始得從業：</w:t>
      </w:r>
    </w:p>
    <w:p w14:paraId="3E0017AA" w14:textId="77777777" w:rsidR="000B1C3C" w:rsidRPr="00C3310F" w:rsidRDefault="000B1C3C" w:rsidP="000B1C3C">
      <w:pPr>
        <w:pStyle w:val="4"/>
      </w:pPr>
      <w:r w:rsidRPr="00C3310F">
        <w:rPr>
          <w:rFonts w:hint="eastAsia"/>
        </w:rPr>
        <w:t>個人幣商核屬VASP事業範疇，應完成法遵聲明後方得從業。</w:t>
      </w:r>
    </w:p>
    <w:p w14:paraId="2498A05D" w14:textId="29B05E44" w:rsidR="000B1C3C" w:rsidRPr="00C3310F" w:rsidRDefault="000B1C3C" w:rsidP="000B1C3C">
      <w:pPr>
        <w:pStyle w:val="4"/>
      </w:pPr>
      <w:r w:rsidRPr="00C3310F">
        <w:rPr>
          <w:rFonts w:hint="eastAsia"/>
        </w:rPr>
        <w:t>為他人從事前揭虛擬資產活動為業之個人幣商（自然人），應依前揭規定向金管會完成法遵聲明，方得從事VASP業務，如未完成法遵聲明即從事VASP活動者，</w:t>
      </w:r>
      <w:r w:rsidR="002F6433" w:rsidRPr="00C3310F">
        <w:rPr>
          <w:rFonts w:hint="eastAsia"/>
        </w:rPr>
        <w:t>金管</w:t>
      </w:r>
      <w:r w:rsidRPr="00C3310F">
        <w:rPr>
          <w:rFonts w:hint="eastAsia"/>
        </w:rPr>
        <w:t>會將依洗錢防制法第6條第4項規定令其限期改善；屆期未改善者，將處50萬元以上1,000萬元以下罰鍰。</w:t>
      </w:r>
    </w:p>
    <w:p w14:paraId="0E4CCDD4" w14:textId="2C355F0B" w:rsidR="000B1C3C" w:rsidRPr="00C3310F" w:rsidRDefault="000B1C3C" w:rsidP="000B1C3C">
      <w:pPr>
        <w:pStyle w:val="4"/>
      </w:pPr>
      <w:r w:rsidRPr="00C3310F">
        <w:rPr>
          <w:rFonts w:hint="eastAsia"/>
        </w:rPr>
        <w:t>為避免外界誤解以個人名義從事VASP業務者免依洗錢防制法及VASP洗防辦法規定向</w:t>
      </w:r>
      <w:r w:rsidR="002F6433" w:rsidRPr="00C3310F">
        <w:rPr>
          <w:rFonts w:hint="eastAsia"/>
        </w:rPr>
        <w:t>金管</w:t>
      </w:r>
      <w:r w:rsidRPr="00C3310F">
        <w:rPr>
          <w:rFonts w:hint="eastAsia"/>
        </w:rPr>
        <w:t>會辦理法遵聲明及遵循洗錢防制義務，</w:t>
      </w:r>
      <w:r w:rsidR="002F6433" w:rsidRPr="00C3310F">
        <w:rPr>
          <w:rFonts w:hint="eastAsia"/>
        </w:rPr>
        <w:t>金管</w:t>
      </w:r>
      <w:r w:rsidRPr="00C3310F">
        <w:rPr>
          <w:rFonts w:hint="eastAsia"/>
        </w:rPr>
        <w:t>會已於洗錢防制法修正草案調整VASP名詞，由「虛擬通貨</w:t>
      </w:r>
      <w:r w:rsidR="0004575A" w:rsidRPr="00C3310F">
        <w:rPr>
          <w:rFonts w:hint="eastAsia"/>
        </w:rPr>
        <w:t>平臺</w:t>
      </w:r>
      <w:r w:rsidRPr="00C3310F">
        <w:rPr>
          <w:rFonts w:hint="eastAsia"/>
        </w:rPr>
        <w:t>及交易業務事業」改為「提供虛擬資產服務之事業或人員」，納管對象仍與現行相同。</w:t>
      </w:r>
    </w:p>
    <w:p w14:paraId="338100C7" w14:textId="52D1AB28" w:rsidR="000B1C3C" w:rsidRPr="00C3310F" w:rsidRDefault="000B1C3C" w:rsidP="000B1C3C">
      <w:pPr>
        <w:pStyle w:val="4"/>
      </w:pPr>
      <w:r w:rsidRPr="00C3310F">
        <w:rPr>
          <w:rFonts w:hint="eastAsia"/>
        </w:rPr>
        <w:t>未符合洗錢防制標準而向金管會辦理法遵聲明者，</w:t>
      </w:r>
      <w:r w:rsidR="002F6433" w:rsidRPr="00C3310F">
        <w:rPr>
          <w:rFonts w:hint="eastAsia"/>
        </w:rPr>
        <w:t>金管</w:t>
      </w:r>
      <w:r w:rsidRPr="00C3310F">
        <w:rPr>
          <w:rFonts w:hint="eastAsia"/>
        </w:rPr>
        <w:t>會將函復其未完成法遵聲明，其仍應待完成法遵聲明後，方得從事VASP活動。</w:t>
      </w:r>
    </w:p>
    <w:p w14:paraId="7707A60F" w14:textId="77777777" w:rsidR="000B1C3C" w:rsidRPr="00C3310F" w:rsidRDefault="000B1C3C" w:rsidP="000B1C3C">
      <w:pPr>
        <w:pStyle w:val="4"/>
      </w:pPr>
      <w:r w:rsidRPr="00C3310F">
        <w:rPr>
          <w:rFonts w:hint="eastAsia"/>
        </w:rPr>
        <w:t>VASP執行業務時應執行確認客戶身分、紀錄保存及可疑交易申報等措施，以因應可疑犯罪金流及作為司法機關認定不法活動之證據，未依規辦理者，金管會將依洗錢防制法相關規定予以處置。</w:t>
      </w:r>
    </w:p>
    <w:p w14:paraId="7B7A907F" w14:textId="0B87BFEC" w:rsidR="000B1C3C" w:rsidRPr="00C3310F" w:rsidRDefault="000B1C3C" w:rsidP="000B1C3C">
      <w:pPr>
        <w:pStyle w:val="4"/>
      </w:pPr>
      <w:r w:rsidRPr="00C3310F">
        <w:rPr>
          <w:rFonts w:hint="eastAsia"/>
        </w:rPr>
        <w:lastRenderedPageBreak/>
        <w:t>為防止不法集團利用人頭帳戶收取犯罪所得，洗錢防制法第15條之1及第15條之2已禁止無正當理由收集或提供虛擬資產帳號，金管會亦於洗</w:t>
      </w:r>
      <w:r w:rsidR="002F6433" w:rsidRPr="00C3310F">
        <w:rPr>
          <w:rFonts w:hint="eastAsia"/>
        </w:rPr>
        <w:t>錢</w:t>
      </w:r>
      <w:r w:rsidRPr="00C3310F">
        <w:rPr>
          <w:rFonts w:hint="eastAsia"/>
        </w:rPr>
        <w:t>防</w:t>
      </w:r>
      <w:r w:rsidR="002F6433" w:rsidRPr="00C3310F">
        <w:rPr>
          <w:rFonts w:hint="eastAsia"/>
        </w:rPr>
        <w:t>制</w:t>
      </w:r>
      <w:r w:rsidRPr="00C3310F">
        <w:rPr>
          <w:rFonts w:hint="eastAsia"/>
        </w:rPr>
        <w:t>法第15</w:t>
      </w:r>
      <w:r w:rsidR="009C18AE" w:rsidRPr="00C3310F">
        <w:rPr>
          <w:rFonts w:hint="eastAsia"/>
        </w:rPr>
        <w:t>條之2</w:t>
      </w:r>
      <w:r w:rsidRPr="00C3310F">
        <w:rPr>
          <w:rFonts w:hint="eastAsia"/>
        </w:rPr>
        <w:t>訂有違反前開規定經警察機關裁處告誡者，VASP將限制其虛擬資產帳號之功能或拒絕開立新帳號之規範。</w:t>
      </w:r>
    </w:p>
    <w:p w14:paraId="28064C81" w14:textId="4B1D5527" w:rsidR="000B1C3C" w:rsidRPr="00C3310F" w:rsidRDefault="000B1C3C" w:rsidP="000B1C3C">
      <w:pPr>
        <w:pStyle w:val="4"/>
      </w:pPr>
      <w:r w:rsidRPr="00C3310F">
        <w:rPr>
          <w:rFonts w:hint="eastAsia"/>
        </w:rPr>
        <w:t>為強化VASP業者之防詐作為，金管會已於「詐欺犯罪危害防制條例草案」（即打詐專法）賦予VASP與金融機構一致之防詐義務，未遵守相關規範者將處以罰鍰，草案於113年5月9日經行政院通過，</w:t>
      </w:r>
      <w:r w:rsidR="00530FF0" w:rsidRPr="00C3310F">
        <w:rPr>
          <w:rFonts w:hint="eastAsia"/>
        </w:rPr>
        <w:t>並於7月</w:t>
      </w:r>
      <w:r w:rsidR="002549A2" w:rsidRPr="00C3310F">
        <w:rPr>
          <w:rFonts w:hint="eastAsia"/>
        </w:rPr>
        <w:t>31日公布</w:t>
      </w:r>
      <w:r w:rsidRPr="00C3310F">
        <w:rPr>
          <w:rFonts w:hint="eastAsia"/>
        </w:rPr>
        <w:t>，重點包括：及時攔阻可疑幣流、警察聯防通報機制、源頭斷詐宣導、加速返還遭詐款項，以及未遵守相關規範之罰鍰，金管會可處20萬元至200萬元之罰鍰，其情節重大者，罰鍰金額將提升至100萬元至1,000萬元。</w:t>
      </w:r>
    </w:p>
    <w:p w14:paraId="14B1A7CA" w14:textId="77777777" w:rsidR="000B1C3C" w:rsidRPr="00C3310F" w:rsidRDefault="000B1C3C" w:rsidP="000B1C3C">
      <w:pPr>
        <w:pStyle w:val="3"/>
      </w:pPr>
      <w:bookmarkStart w:id="1027" w:name="_Toc171525618"/>
      <w:bookmarkStart w:id="1028" w:name="_Toc172024139"/>
      <w:bookmarkStart w:id="1029" w:name="_Toc172033462"/>
      <w:r w:rsidRPr="00C3310F">
        <w:rPr>
          <w:rFonts w:hint="eastAsia"/>
        </w:rPr>
        <w:t>查金管會雖已就虛擬通貨訂定相關規範，且法務部亦積極優化境內外虛擬通貨交易所資料調取、凍結與扣押效率，強化執法機關追緝虛擬通貨金流效能。警政署亦與部分國家及香港地區建立緊急攔阻管道，增加被害人取回款項之機會。然本調查研究蒐整基層檢察官基於實際偵辦案件經驗之觀察，仍發現源頭管理措施有所不足。首先是對於V</w:t>
      </w:r>
      <w:r w:rsidRPr="00C3310F">
        <w:t>ASP</w:t>
      </w:r>
      <w:r w:rsidRPr="00C3310F">
        <w:rPr>
          <w:rFonts w:hint="eastAsia"/>
        </w:rPr>
        <w:t>業者欠缺層級化管理，對於不同規模之業者以同一套定義加以規範，以致於缺乏對於個人幣商之定義，除有將個人幣商逼入地下化經營之虞，更導致後端懲詐階段時缺乏足夠證據連結而加以定罪，其次為VASP業者之違規查處機制幾乎全由金管會以外之機關發動，如檢調、稅務、公司登記等，金管會作為主管機關反而沒有足夠的監理措施；另查高檢署亦稱「虛擬貨幣」成為重要詐欺手段及洗錢手法，大量詐欺車手以</w:t>
      </w:r>
      <w:r w:rsidRPr="00C3310F">
        <w:rPr>
          <w:rFonts w:hint="eastAsia"/>
        </w:rPr>
        <w:lastRenderedPageBreak/>
        <w:t>「個人幣商」抗辯等等。在在顯示虛擬貨幣之治理與其他打詐環節相同，都存在上游治理不足導致下游案件暴增又無法定罪之通病，主管機關金管會似均有改善空間。</w:t>
      </w:r>
      <w:bookmarkEnd w:id="1027"/>
      <w:bookmarkEnd w:id="1028"/>
      <w:bookmarkEnd w:id="1029"/>
    </w:p>
    <w:p w14:paraId="7E7EA953" w14:textId="77777777" w:rsidR="000B1C3C" w:rsidRPr="00C3310F" w:rsidRDefault="000B1C3C" w:rsidP="000B1C3C">
      <w:pPr>
        <w:pStyle w:val="4"/>
      </w:pPr>
      <w:r w:rsidRPr="00C3310F">
        <w:rPr>
          <w:rFonts w:hint="eastAsia"/>
        </w:rPr>
        <w:t>根據本院蒐集劍青檢改於113年4月26日辦理「檢察官打詐實務暨修法研討會」，部分檢察官直言打詐困境包括：</w:t>
      </w:r>
    </w:p>
    <w:p w14:paraId="5C32D727" w14:textId="77777777" w:rsidR="000B1C3C" w:rsidRPr="00C3310F" w:rsidRDefault="000B1C3C" w:rsidP="000B1C3C">
      <w:pPr>
        <w:pStyle w:val="5"/>
      </w:pPr>
      <w:r w:rsidRPr="00C3310F">
        <w:rPr>
          <w:rFonts w:hint="eastAsia"/>
        </w:rPr>
        <w:t>發生問題全部把它刑事化送去判刑，送去判刑有效嗎？我要怎麼證明他跟這些詐騙罪有勾結？</w:t>
      </w:r>
    </w:p>
    <w:p w14:paraId="2574D2B4" w14:textId="77777777" w:rsidR="000B1C3C" w:rsidRPr="00C3310F" w:rsidRDefault="000B1C3C" w:rsidP="000B1C3C">
      <w:pPr>
        <w:pStyle w:val="5"/>
      </w:pPr>
      <w:r w:rsidRPr="00C3310F">
        <w:rPr>
          <w:rFonts w:hint="eastAsia"/>
        </w:rPr>
        <w:t>虛擬通貨原則都沒有規定什麼叫個人幣商，各位可以想像嗎?法院還要自己去定義。</w:t>
      </w:r>
    </w:p>
    <w:p w14:paraId="0DC40D93" w14:textId="77777777" w:rsidR="000B1C3C" w:rsidRPr="00C3310F" w:rsidRDefault="000B1C3C" w:rsidP="000B1C3C">
      <w:pPr>
        <w:pStyle w:val="5"/>
      </w:pPr>
      <w:r w:rsidRPr="00C3310F">
        <w:rPr>
          <w:rFonts w:hint="eastAsia"/>
        </w:rPr>
        <w:t>金管會說什麼違反商業登記規則，沒做稅籍登記，問題是金管會罰得到嗎？金管會是主管機關嗎？這全部都在甩鍋給別人。</w:t>
      </w:r>
    </w:p>
    <w:p w14:paraId="35496D23" w14:textId="77777777" w:rsidR="000B1C3C" w:rsidRPr="00C3310F" w:rsidRDefault="000B1C3C" w:rsidP="000B1C3C">
      <w:pPr>
        <w:pStyle w:val="5"/>
      </w:pPr>
      <w:r w:rsidRPr="00C3310F">
        <w:rPr>
          <w:rFonts w:hint="eastAsia"/>
        </w:rPr>
        <w:t>個人幣商的管制，應該是要由主管機關先訂好行政規範，甚至哪一些等級的虛擬資產服務提供者，必須要符合哪一些等級的這個規範。行政管制甚至要做第2層的輔導，輔導之後如果還有不足，那行政機關的裁罰要先行，刑事手段其實是放在最後。</w:t>
      </w:r>
    </w:p>
    <w:p w14:paraId="5CEC9C0C" w14:textId="43A50A0E" w:rsidR="000B1C3C" w:rsidRPr="00C3310F" w:rsidRDefault="000B1C3C" w:rsidP="000B1C3C">
      <w:pPr>
        <w:pStyle w:val="4"/>
      </w:pPr>
      <w:r w:rsidRPr="00C3310F">
        <w:rPr>
          <w:rFonts w:hint="eastAsia"/>
        </w:rPr>
        <w:t>其次，法務部及高檢署認為目前在懲詐方面的挑戰包括「虛擬貨幣」成為重要詐欺手段及洗錢手法，但管理虛擬資產</w:t>
      </w:r>
      <w:r w:rsidR="0004575A" w:rsidRPr="00C3310F">
        <w:rPr>
          <w:rFonts w:hint="eastAsia"/>
        </w:rPr>
        <w:t>平臺</w:t>
      </w:r>
      <w:r w:rsidRPr="00C3310F">
        <w:rPr>
          <w:rFonts w:hint="eastAsia"/>
        </w:rPr>
        <w:t>及交易業務事業VASP指導原則未臻完善，導致大量詐欺車手以「個人幣商」抗辯，</w:t>
      </w:r>
      <w:r w:rsidR="009C18AE" w:rsidRPr="00C3310F">
        <w:rPr>
          <w:rFonts w:hint="eastAsia"/>
        </w:rPr>
        <w:t>而使</w:t>
      </w:r>
      <w:r w:rsidRPr="00C3310F">
        <w:rPr>
          <w:rFonts w:hint="eastAsia"/>
        </w:rPr>
        <w:t>法院做出對被告有利之認定。</w:t>
      </w:r>
    </w:p>
    <w:p w14:paraId="7C2B6B5F" w14:textId="11AC6358" w:rsidR="000B1C3C" w:rsidRPr="00C3310F" w:rsidRDefault="000B1C3C" w:rsidP="000B1C3C">
      <w:pPr>
        <w:pStyle w:val="4"/>
      </w:pPr>
      <w:r w:rsidRPr="00C3310F">
        <w:rPr>
          <w:rFonts w:hint="eastAsia"/>
        </w:rPr>
        <w:t>對於基層檢察官之意見，行政機關則認為有所誤解如下，</w:t>
      </w:r>
      <w:r w:rsidR="00A1409C" w:rsidRPr="00C3310F">
        <w:rPr>
          <w:rFonts w:hint="eastAsia"/>
        </w:rPr>
        <w:t>本調查研究</w:t>
      </w:r>
      <w:r w:rsidRPr="00C3310F">
        <w:rPr>
          <w:rFonts w:hint="eastAsia"/>
        </w:rPr>
        <w:t>建議行政機關對劍青檢改所提疑義仍宜有效處理。</w:t>
      </w:r>
    </w:p>
    <w:p w14:paraId="28C314BF" w14:textId="71DA75EE" w:rsidR="000B1C3C" w:rsidRPr="00C3310F" w:rsidRDefault="000B1C3C" w:rsidP="000B1C3C">
      <w:pPr>
        <w:pStyle w:val="5"/>
      </w:pPr>
      <w:r w:rsidRPr="00C3310F">
        <w:rPr>
          <w:rFonts w:hint="eastAsia"/>
        </w:rPr>
        <w:t>行政院稱</w:t>
      </w:r>
      <w:r w:rsidRPr="00C3310F">
        <w:rPr>
          <w:rFonts w:hint="eastAsia"/>
        </w:rPr>
        <w:tab/>
        <w:t>「金管會與法務部多次研商，參考美</w:t>
      </w:r>
      <w:r w:rsidRPr="00C3310F">
        <w:rPr>
          <w:rFonts w:hint="eastAsia"/>
        </w:rPr>
        <w:lastRenderedPageBreak/>
        <w:t>國、英國、澳洲、南韓及香港對於未取得執照或註冊之VASP訂有刑事責任之立法例，於洗錢防制法修正草案增訂未依規登記而從事VASP活動者之刑事責任，將可有效避免不法份子佯稱其為個人幣商以規避刑事責任之情形。該草案業經</w:t>
      </w:r>
      <w:r w:rsidR="007E397B" w:rsidRPr="00C3310F">
        <w:rPr>
          <w:rFonts w:hint="eastAsia"/>
        </w:rPr>
        <w:t>行政</w:t>
      </w:r>
      <w:r w:rsidRPr="00C3310F">
        <w:rPr>
          <w:rFonts w:hint="eastAsia"/>
        </w:rPr>
        <w:t>院審查通過，刻由立法院審議中</w:t>
      </w:r>
      <w:r w:rsidR="00114F85" w:rsidRPr="00C3310F">
        <w:rPr>
          <w:rFonts w:hint="eastAsia"/>
        </w:rPr>
        <w:t>(按:已三讀通過)</w:t>
      </w:r>
      <w:r w:rsidRPr="00C3310F">
        <w:rPr>
          <w:rFonts w:hint="eastAsia"/>
        </w:rPr>
        <w:t>。」</w:t>
      </w:r>
    </w:p>
    <w:p w14:paraId="5EFFB954" w14:textId="1D6BD80D" w:rsidR="000B1C3C" w:rsidRPr="00C3310F" w:rsidRDefault="000B1C3C" w:rsidP="000B1C3C">
      <w:pPr>
        <w:pStyle w:val="5"/>
        <w:rPr>
          <w:rFonts w:hAnsi="標楷體"/>
        </w:rPr>
      </w:pPr>
      <w:r w:rsidRPr="00C3310F">
        <w:rPr>
          <w:rFonts w:hAnsi="標楷體" w:hint="eastAsia"/>
        </w:rPr>
        <w:t>金管會亦稱「</w:t>
      </w:r>
      <w:r w:rsidRPr="00C3310F">
        <w:rPr>
          <w:rFonts w:hAnsi="標楷體" w:hint="eastAsia"/>
        </w:rPr>
        <w:tab/>
        <w:t>為避免外界誤解，金管會已於洗錢防制法修正草案修正文字，……由『虛擬通貨</w:t>
      </w:r>
      <w:r w:rsidR="0004575A" w:rsidRPr="00C3310F">
        <w:rPr>
          <w:rFonts w:hAnsi="標楷體" w:hint="eastAsia"/>
        </w:rPr>
        <w:t>平臺</w:t>
      </w:r>
      <w:r w:rsidRPr="00C3310F">
        <w:rPr>
          <w:rFonts w:hAnsi="標楷體" w:hint="eastAsia"/>
        </w:rPr>
        <w:t>及交易業務事業』改為『提供虛擬資產服務之事業或人員』，納管對象仍與現行相同」等語。</w:t>
      </w:r>
    </w:p>
    <w:p w14:paraId="1375B278" w14:textId="77777777" w:rsidR="000B1C3C" w:rsidRPr="00C3310F" w:rsidRDefault="000B1C3C" w:rsidP="000B1C3C">
      <w:pPr>
        <w:pStyle w:val="4"/>
      </w:pPr>
      <w:r w:rsidRPr="00C3310F">
        <w:rPr>
          <w:rFonts w:hint="eastAsia"/>
        </w:rPr>
        <w:t>惟經本調查研究進一步檢視金管會以金管證券字第1120385668號令所訂虛擬通貨幣商之洗錢防制法令遵循聲明書，所應檢附之文件包括「業務章則及業務流程說明」、「經會計師複核之防制洗錢及打擊資恐內部控制與稽核制度檢查表，並出具審查意見書」，顯係針對業者，且非個人幣商所能提出，此與基層檢察官意見相符，是否同樣得以規範個人幣商頗有疑義，似非金管會修改文字即可；而在個人幣商無法提出相關文件後，勢必將其逼入地下化經營，對於整體打詐更為不利。</w:t>
      </w:r>
    </w:p>
    <w:p w14:paraId="254C6F1A" w14:textId="7C09FDE1" w:rsidR="000B1C3C" w:rsidRPr="00C3310F" w:rsidRDefault="000B1C3C" w:rsidP="000B1C3C">
      <w:pPr>
        <w:pStyle w:val="4"/>
      </w:pPr>
      <w:r w:rsidRPr="00C3310F">
        <w:rPr>
          <w:rFonts w:hint="eastAsia"/>
        </w:rPr>
        <w:t>此外，</w:t>
      </w:r>
      <w:r w:rsidR="00347958" w:rsidRPr="00C3310F">
        <w:rPr>
          <w:rFonts w:hint="eastAsia"/>
        </w:rPr>
        <w:t>臺北</w:t>
      </w:r>
      <w:r w:rsidRPr="00C3310F">
        <w:rPr>
          <w:rFonts w:hint="eastAsia"/>
        </w:rPr>
        <w:t>地檢署羅韋淵檢察官奉法務部指派赴美國哈佛大學做訪問學者，研究題目即為網路犯罪以及虛擬貨幣犯罪，渠於113年</w:t>
      </w:r>
      <w:r w:rsidR="00114F85" w:rsidRPr="00C3310F">
        <w:rPr>
          <w:rFonts w:hint="eastAsia"/>
        </w:rPr>
        <w:t>4</w:t>
      </w:r>
      <w:r w:rsidRPr="00C3310F">
        <w:rPr>
          <w:rFonts w:hint="eastAsia"/>
        </w:rPr>
        <w:t>月26日「劍青檢改」研討會上直言，國際防制洗錢行動組織FATF從2021年10月的時候就已經發布了相關的指引，去描述虛擬資產服務提供者應該要有所規範，如果沒有這個遵循FATF相關指引的話，未來可能嚴重的是影響我國的評鑑，甚至我國對外的經貿，值得行政院及相關部會注意。</w:t>
      </w:r>
    </w:p>
    <w:p w14:paraId="004EF331" w14:textId="77777777" w:rsidR="000B1C3C" w:rsidRPr="00C3310F" w:rsidRDefault="000B1C3C" w:rsidP="000B1C3C">
      <w:pPr>
        <w:pStyle w:val="5"/>
      </w:pPr>
      <w:r w:rsidRPr="00C3310F">
        <w:rPr>
          <w:rFonts w:hint="eastAsia"/>
        </w:rPr>
        <w:lastRenderedPageBreak/>
        <w:t>國際防制洗錢行動組織FATF從2021年10月的時候就已經發布了相關指引，去描述虛擬資產服務提供者應有所規範，他們是針對法人公司做規範?還是說連自然人也要規範?關於這一點在我國其實是有很大的爭議。</w:t>
      </w:r>
    </w:p>
    <w:p w14:paraId="6FD461DC" w14:textId="77777777" w:rsidR="000B1C3C" w:rsidRPr="00C3310F" w:rsidRDefault="000B1C3C" w:rsidP="000B1C3C">
      <w:pPr>
        <w:pStyle w:val="5"/>
      </w:pPr>
      <w:r w:rsidRPr="00C3310F">
        <w:rPr>
          <w:rFonts w:hint="eastAsia"/>
        </w:rPr>
        <w:t>個人以跑單幫方式，不做公司登記、商業登記，或稅籍登記，那就不受辦法規範，那既然不受辦法規範，則主管機關也無法依照辦法去裁罰。</w:t>
      </w:r>
    </w:p>
    <w:p w14:paraId="41BB2491" w14:textId="77777777" w:rsidR="000B1C3C" w:rsidRPr="00C3310F" w:rsidRDefault="000B1C3C" w:rsidP="000B1C3C">
      <w:pPr>
        <w:pStyle w:val="5"/>
      </w:pPr>
      <w:r w:rsidRPr="00C3310F">
        <w:rPr>
          <w:rFonts w:hint="eastAsia"/>
        </w:rPr>
        <w:t>如果沒有這個遵循FATF相關指引的話，未來可能嚴重的是影響我國的評鑑，甚至我國對外的經貿。</w:t>
      </w:r>
    </w:p>
    <w:p w14:paraId="4376A944" w14:textId="77777777" w:rsidR="000B1C3C" w:rsidRPr="00C3310F" w:rsidRDefault="000B1C3C" w:rsidP="000B1C3C">
      <w:pPr>
        <w:pStyle w:val="4"/>
      </w:pPr>
      <w:r w:rsidRPr="00C3310F">
        <w:rPr>
          <w:rFonts w:hint="eastAsia"/>
        </w:rPr>
        <w:t>小結：為解決懲詐階段無法對涉詐之個人幣商進行起訴定罪，並建立足夠之上游治理強度，調查研究建議金管會審視虛擬通貨於詐欺及洗錢所運用之各種模式，檢視現有法規是否足以防制虛擬通貨成為洗錢、詐欺之工具。</w:t>
      </w:r>
    </w:p>
    <w:p w14:paraId="7B46CB4B" w14:textId="19608756" w:rsidR="003D434B" w:rsidRPr="00C3310F" w:rsidRDefault="000B1C3C" w:rsidP="003D434B">
      <w:pPr>
        <w:pStyle w:val="3"/>
      </w:pPr>
      <w:bookmarkStart w:id="1030" w:name="_Toc171525619"/>
      <w:bookmarkStart w:id="1031" w:name="_Toc172024140"/>
      <w:bookmarkStart w:id="1032" w:name="_Toc172033463"/>
      <w:r w:rsidRPr="00C3310F">
        <w:rPr>
          <w:rFonts w:hint="eastAsia"/>
        </w:rPr>
        <w:t>綜上，虛擬貨幣具去中心化、高度匿名及快速跨境移轉等特性，成為詐騙集團詐欺洗錢犯罪之工具。金管會雖已訂定虛擬通貨</w:t>
      </w:r>
      <w:r w:rsidR="008955EF" w:rsidRPr="00C3310F">
        <w:rPr>
          <w:rFonts w:hint="eastAsia"/>
        </w:rPr>
        <w:t>平台</w:t>
      </w:r>
      <w:r w:rsidRPr="00C3310F">
        <w:rPr>
          <w:rFonts w:hint="eastAsia"/>
        </w:rPr>
        <w:t>及交易業務事業防制洗錢及打擊資恐辦法以管理</w:t>
      </w:r>
      <w:r w:rsidR="0004575A" w:rsidRPr="00C3310F">
        <w:rPr>
          <w:rFonts w:hint="eastAsia"/>
        </w:rPr>
        <w:t>平臺</w:t>
      </w:r>
      <w:r w:rsidRPr="00C3310F">
        <w:rPr>
          <w:rFonts w:hint="eastAsia"/>
        </w:rPr>
        <w:t>VASP，然基層檢察官指出當前各類詐騙案件中，以虛擬貨幣之詐騙金額最大，被害人損失最重，且質疑幣商之定義不明</w:t>
      </w:r>
      <w:r w:rsidR="00974BEA" w:rsidRPr="00C3310F">
        <w:rPr>
          <w:rFonts w:hint="eastAsia"/>
        </w:rPr>
        <w:t>，導致基層檢察官對虛擬貨幣管理多有詬病</w:t>
      </w:r>
      <w:r w:rsidRPr="00C3310F">
        <w:rPr>
          <w:rFonts w:hint="eastAsia"/>
        </w:rPr>
        <w:t>。</w:t>
      </w:r>
      <w:r w:rsidR="00A1409C" w:rsidRPr="00C3310F">
        <w:rPr>
          <w:rFonts w:hint="eastAsia"/>
        </w:rPr>
        <w:t>本調查研究</w:t>
      </w:r>
      <w:r w:rsidRPr="00C3310F">
        <w:rPr>
          <w:rFonts w:hint="eastAsia"/>
        </w:rPr>
        <w:t>建議主管機關仍應詳細審視檢察官所提出之疑義，修正虛擬貨幣管理之疏漏，以避免於後續懲詐時，衍生更多紛亂，引發更大之民怨。</w:t>
      </w:r>
      <w:bookmarkEnd w:id="1030"/>
      <w:bookmarkEnd w:id="1031"/>
      <w:bookmarkEnd w:id="1032"/>
    </w:p>
    <w:p w14:paraId="4E046341" w14:textId="2D423249" w:rsidR="00BA14B9" w:rsidRPr="00C3310F" w:rsidRDefault="003D434B" w:rsidP="003D434B">
      <w:pPr>
        <w:widowControl/>
        <w:overflowPunct/>
        <w:autoSpaceDE/>
        <w:autoSpaceDN/>
        <w:jc w:val="left"/>
        <w:rPr>
          <w:rFonts w:hAnsi="Arial"/>
          <w:bCs/>
          <w:kern w:val="32"/>
          <w:szCs w:val="36"/>
        </w:rPr>
      </w:pPr>
      <w:r w:rsidRPr="00C3310F">
        <w:br w:type="page"/>
      </w:r>
    </w:p>
    <w:p w14:paraId="66C96827" w14:textId="254268F6" w:rsidR="000B1C3C" w:rsidRPr="00C3310F" w:rsidRDefault="000B1C3C" w:rsidP="000B1C3C">
      <w:pPr>
        <w:pStyle w:val="2"/>
        <w:ind w:left="1023"/>
      </w:pPr>
      <w:bookmarkStart w:id="1033" w:name="_Toc172033464"/>
      <w:r w:rsidRPr="00C3310F">
        <w:rPr>
          <w:rFonts w:hint="eastAsia"/>
          <w:b/>
        </w:rPr>
        <w:lastRenderedPageBreak/>
        <w:t>懲詐面於偵查部分屬於整體打詐環節之末端，檢警在偵破集團、移送案件及查扣返還金額上持續進步，但在近兩年上游行政規管措施及法制配套未臻完善前，各地檢署新收詐欺案件由110年9.8萬餘件暴增至112年近23萬件，對整體偵審體系之處理量能形成巨大壓力，由各基層檢察官每月新收案件超過一半屬於詐欺案件而言，已排擠檢調體系對其他重大犯罪之偵查量能；對此，法務部及高檢署雖已對內提出檢察官助理、AI智慧輔助系統、被告總歸戶、建置全國反詐騙資料庫分析、設立科技偵查支援辦公室等措施，雖可一定程度紓解檢警負荷及提高偵查效率，然而該等內部措施無法解決</w:t>
      </w:r>
      <w:r w:rsidR="009C37F5" w:rsidRPr="00C3310F">
        <w:rPr>
          <w:rFonts w:hint="eastAsia"/>
          <w:b/>
        </w:rPr>
        <w:t>過去</w:t>
      </w:r>
      <w:r w:rsidRPr="00C3310F">
        <w:rPr>
          <w:rFonts w:hint="eastAsia"/>
          <w:b/>
        </w:rPr>
        <w:t>科技偵查法制落後及欠缺證據力之痛點。</w:t>
      </w:r>
      <w:r w:rsidR="005E1B25" w:rsidRPr="00C3310F">
        <w:rPr>
          <w:rFonts w:hint="eastAsia"/>
          <w:b/>
        </w:rPr>
        <w:t>在立法院陸續三讀通過通保法</w:t>
      </w:r>
      <w:r w:rsidR="00114F85" w:rsidRPr="00C3310F">
        <w:rPr>
          <w:rFonts w:hint="eastAsia"/>
          <w:b/>
        </w:rPr>
        <w:t>，</w:t>
      </w:r>
      <w:r w:rsidR="005E1B25" w:rsidRPr="00C3310F">
        <w:rPr>
          <w:rFonts w:hint="eastAsia"/>
          <w:b/>
        </w:rPr>
        <w:t>及將科技偵查內容增訂於刑事訴訟法「特殊強制處分」後，</w:t>
      </w:r>
      <w:r w:rsidRPr="00C3310F">
        <w:rPr>
          <w:rFonts w:hint="eastAsia"/>
          <w:b/>
        </w:rPr>
        <w:t>將可有效縮短檢警與</w:t>
      </w:r>
      <w:r w:rsidR="00A1409C" w:rsidRPr="00C3310F">
        <w:rPr>
          <w:rFonts w:hint="eastAsia"/>
          <w:b/>
        </w:rPr>
        <w:t>詐騙集團</w:t>
      </w:r>
      <w:r w:rsidRPr="00C3310F">
        <w:rPr>
          <w:rFonts w:hint="eastAsia"/>
          <w:b/>
        </w:rPr>
        <w:t>在科技上之差距</w:t>
      </w:r>
      <w:r w:rsidR="005E1B25" w:rsidRPr="00C3310F">
        <w:rPr>
          <w:rFonts w:hint="eastAsia"/>
          <w:b/>
        </w:rPr>
        <w:t>，</w:t>
      </w:r>
      <w:r w:rsidR="00D46B33" w:rsidRPr="00C3310F">
        <w:rPr>
          <w:rFonts w:hint="eastAsia"/>
          <w:b/>
        </w:rPr>
        <w:t>惟</w:t>
      </w:r>
      <w:r w:rsidR="005E1B25" w:rsidRPr="00C3310F">
        <w:rPr>
          <w:rFonts w:hint="eastAsia"/>
          <w:b/>
        </w:rPr>
        <w:t>其效益有待驗證</w:t>
      </w:r>
      <w:r w:rsidRPr="00C3310F">
        <w:rPr>
          <w:rFonts w:hint="eastAsia"/>
          <w:b/>
        </w:rPr>
        <w:t>；民間團體雖</w:t>
      </w:r>
      <w:r w:rsidR="009C37F5" w:rsidRPr="00C3310F">
        <w:rPr>
          <w:rFonts w:hint="eastAsia"/>
          <w:b/>
        </w:rPr>
        <w:t>尚</w:t>
      </w:r>
      <w:r w:rsidRPr="00C3310F">
        <w:rPr>
          <w:rFonts w:hint="eastAsia"/>
          <w:b/>
        </w:rPr>
        <w:t>未對</w:t>
      </w:r>
      <w:r w:rsidR="009C37F5" w:rsidRPr="00C3310F">
        <w:rPr>
          <w:rFonts w:hint="eastAsia"/>
          <w:b/>
        </w:rPr>
        <w:t>刑</w:t>
      </w:r>
      <w:r w:rsidR="00F27209" w:rsidRPr="00C3310F">
        <w:rPr>
          <w:rFonts w:hint="eastAsia"/>
          <w:b/>
        </w:rPr>
        <w:t>事</w:t>
      </w:r>
      <w:r w:rsidR="009C37F5" w:rsidRPr="00C3310F">
        <w:rPr>
          <w:rFonts w:hint="eastAsia"/>
          <w:b/>
        </w:rPr>
        <w:t>訴</w:t>
      </w:r>
      <w:r w:rsidR="00F27209" w:rsidRPr="00C3310F">
        <w:rPr>
          <w:rFonts w:hint="eastAsia"/>
          <w:b/>
        </w:rPr>
        <w:t>訟</w:t>
      </w:r>
      <w:r w:rsidR="009C37F5" w:rsidRPr="00C3310F">
        <w:rPr>
          <w:rFonts w:hint="eastAsia"/>
          <w:b/>
        </w:rPr>
        <w:t>法新增科技偵查內容</w:t>
      </w:r>
      <w:r w:rsidRPr="00C3310F">
        <w:rPr>
          <w:rFonts w:hint="eastAsia"/>
          <w:b/>
        </w:rPr>
        <w:t>提出意見，但仍就通保法部分條文提出疑慮，對此，法務部</w:t>
      </w:r>
      <w:r w:rsidR="00D46B33" w:rsidRPr="00C3310F">
        <w:rPr>
          <w:rFonts w:hint="eastAsia"/>
          <w:b/>
        </w:rPr>
        <w:t>允</w:t>
      </w:r>
      <w:r w:rsidRPr="00C3310F">
        <w:rPr>
          <w:rFonts w:hint="eastAsia"/>
          <w:b/>
        </w:rPr>
        <w:t>宜就內控或相關配套審慎評估，以力求懲詐面之周妥</w:t>
      </w:r>
      <w:r w:rsidRPr="00C3310F">
        <w:rPr>
          <w:rFonts w:hint="eastAsia"/>
        </w:rPr>
        <w:t>。</w:t>
      </w:r>
      <w:bookmarkEnd w:id="1033"/>
    </w:p>
    <w:p w14:paraId="57AD8445" w14:textId="7FC1705E" w:rsidR="000B1C3C" w:rsidRPr="00C3310F" w:rsidRDefault="000B1C3C" w:rsidP="000B1C3C">
      <w:pPr>
        <w:pStyle w:val="3"/>
      </w:pPr>
      <w:bookmarkStart w:id="1034" w:name="_Toc171525621"/>
      <w:bookmarkStart w:id="1035" w:name="_Toc172024142"/>
      <w:bookmarkStart w:id="1036" w:name="_Toc172033465"/>
      <w:r w:rsidRPr="00C3310F">
        <w:rPr>
          <w:rFonts w:hint="eastAsia"/>
        </w:rPr>
        <w:t>有關詐欺案件已對檢警調偵審之作業量能產生嚴重排擠一節，</w:t>
      </w:r>
      <w:r w:rsidR="00A1409C" w:rsidRPr="00C3310F">
        <w:rPr>
          <w:rFonts w:hint="eastAsia"/>
        </w:rPr>
        <w:t>本調查研究</w:t>
      </w:r>
      <w:r w:rsidRPr="00C3310F">
        <w:rPr>
          <w:rFonts w:hint="eastAsia"/>
        </w:rPr>
        <w:t>分別由巨觀之統計數據及微觀之檢察官陳述說明如下</w:t>
      </w:r>
      <w:r w:rsidR="00F27209" w:rsidRPr="00C3310F">
        <w:rPr>
          <w:rFonts w:hint="eastAsia"/>
        </w:rPr>
        <w:t>。</w:t>
      </w:r>
      <w:r w:rsidRPr="00C3310F">
        <w:rPr>
          <w:rFonts w:hint="eastAsia"/>
        </w:rPr>
        <w:t>此外，懲詐相關措施已是打詐政策的最後一道防線，然而由懲詐量能已無力負荷之現象，顯示上游之「識詐」、「堵詐」、「阻詐」等環節需要善盡源頭管理職責，避免因控管鬆散而使案件全由檢警調偵審系統承擔。</w:t>
      </w:r>
      <w:bookmarkEnd w:id="1034"/>
      <w:bookmarkEnd w:id="1035"/>
      <w:bookmarkEnd w:id="1036"/>
    </w:p>
    <w:p w14:paraId="36B83EAF" w14:textId="30E8AC2A" w:rsidR="000B1C3C" w:rsidRPr="00C3310F" w:rsidRDefault="000B1C3C" w:rsidP="000B1C3C">
      <w:pPr>
        <w:pStyle w:val="4"/>
      </w:pPr>
      <w:r w:rsidRPr="00C3310F">
        <w:rPr>
          <w:rFonts w:hint="eastAsia"/>
        </w:rPr>
        <w:t>在巨觀上，根據高檢署提供資料，地檢署110年電信網路詐欺案件新收案數為</w:t>
      </w:r>
      <w:r w:rsidRPr="00C3310F">
        <w:t>98,256</w:t>
      </w:r>
      <w:r w:rsidRPr="00C3310F">
        <w:rPr>
          <w:rFonts w:hint="eastAsia"/>
        </w:rPr>
        <w:t>件，111年暴增至160,803件，112年再成長至229</w:t>
      </w:r>
      <w:r w:rsidRPr="00C3310F">
        <w:t>,</w:t>
      </w:r>
      <w:r w:rsidRPr="00C3310F">
        <w:rPr>
          <w:rFonts w:hint="eastAsia"/>
        </w:rPr>
        <w:t>711件，而據</w:t>
      </w:r>
      <w:r w:rsidR="00085ED8" w:rsidRPr="00C3310F">
        <w:rPr>
          <w:rFonts w:hint="eastAsia"/>
        </w:rPr>
        <w:t>法</w:t>
      </w:r>
      <w:r w:rsidR="00085ED8" w:rsidRPr="00C3310F">
        <w:rPr>
          <w:rFonts w:hint="eastAsia"/>
        </w:rPr>
        <w:lastRenderedPageBreak/>
        <w:t>務部鄭銘謙部長受</w:t>
      </w:r>
      <w:r w:rsidRPr="00C3310F">
        <w:rPr>
          <w:rFonts w:hint="eastAsia"/>
        </w:rPr>
        <w:t>媒體</w:t>
      </w:r>
      <w:r w:rsidR="00085ED8" w:rsidRPr="00C3310F">
        <w:rPr>
          <w:rFonts w:hint="eastAsia"/>
        </w:rPr>
        <w:t>訪問表示</w:t>
      </w:r>
      <w:r w:rsidRPr="00C3310F">
        <w:rPr>
          <w:rStyle w:val="afe"/>
        </w:rPr>
        <w:footnoteReference w:id="98"/>
      </w:r>
      <w:r w:rsidRPr="00C3310F">
        <w:rPr>
          <w:rFonts w:hint="eastAsia"/>
        </w:rPr>
        <w:t>，112年詐欺新收案件數占全國各地檢署總收案的刑案比將近36%，其中電信詐欺及人頭帳戶案件新收案件數，與111年相較分別又增加42.9%、67.3%。換言之，全國各地檢署在兩年之間新收電信網路詐欺案件暴增達13萬件。</w:t>
      </w:r>
    </w:p>
    <w:p w14:paraId="55497D77" w14:textId="77777777" w:rsidR="000B1C3C" w:rsidRPr="00C3310F" w:rsidRDefault="000B1C3C" w:rsidP="000B1C3C">
      <w:pPr>
        <w:pStyle w:val="4"/>
      </w:pPr>
      <w:r w:rsidRPr="00C3310F">
        <w:rPr>
          <w:rFonts w:hint="eastAsia"/>
        </w:rPr>
        <w:t>在微觀上，據本院訪談基層檢察官及摘錄劍青檢改研討會與會者發言，目前詐欺案件已</w:t>
      </w:r>
      <w:r w:rsidR="00752EB4" w:rsidRPr="00C3310F">
        <w:rPr>
          <w:rFonts w:hint="eastAsia"/>
        </w:rPr>
        <w:t>占</w:t>
      </w:r>
      <w:r w:rsidRPr="00C3310F">
        <w:rPr>
          <w:rFonts w:hint="eastAsia"/>
        </w:rPr>
        <w:t>檢察官偵查案件約半數，其中又有超過半數屬於人頭帳戶，本調查研究認為，基於前述「識詐」、「堵詐」及「阻詐」之上游治理不足，而造成下游案件爆量之推論已十分明確，並已嚴重影響檢警偵辦其他重大犯罪或偵破詐騙集團之能力。</w:t>
      </w:r>
    </w:p>
    <w:p w14:paraId="7F5F196A" w14:textId="26C0A823" w:rsidR="000B1C3C" w:rsidRPr="00C3310F" w:rsidRDefault="00974023" w:rsidP="000B1C3C">
      <w:pPr>
        <w:pStyle w:val="5"/>
      </w:pPr>
      <w:r w:rsidRPr="00C3310F">
        <w:rPr>
          <w:rFonts w:hint="eastAsia"/>
        </w:rPr>
        <w:t>臺北</w:t>
      </w:r>
      <w:r w:rsidR="000B1C3C" w:rsidRPr="00C3310F">
        <w:rPr>
          <w:rFonts w:hint="eastAsia"/>
        </w:rPr>
        <w:t>地檢署姜長志檢察官</w:t>
      </w:r>
    </w:p>
    <w:p w14:paraId="7E5EF9E1" w14:textId="77777777" w:rsidR="000B1C3C" w:rsidRPr="00C3310F" w:rsidRDefault="000B1C3C" w:rsidP="000B1C3C">
      <w:pPr>
        <w:pStyle w:val="6"/>
      </w:pPr>
      <w:bookmarkStart w:id="1037" w:name="_Toc171525622"/>
      <w:bookmarkStart w:id="1038" w:name="_Toc172024143"/>
      <w:bookmarkStart w:id="1039" w:name="_Toc172033466"/>
      <w:r w:rsidRPr="00C3310F">
        <w:rPr>
          <w:rFonts w:hint="eastAsia"/>
        </w:rPr>
        <w:t>多數檢察官每月收案80到100件，身上背著3、4百件在轉，哪有能力去追詐騙源頭。</w:t>
      </w:r>
      <w:bookmarkEnd w:id="1037"/>
      <w:bookmarkEnd w:id="1038"/>
      <w:bookmarkEnd w:id="1039"/>
    </w:p>
    <w:p w14:paraId="1CA52F0B" w14:textId="77777777" w:rsidR="000B1C3C" w:rsidRPr="00C3310F" w:rsidRDefault="000B1C3C" w:rsidP="000B1C3C">
      <w:pPr>
        <w:pStyle w:val="6"/>
      </w:pPr>
      <w:bookmarkStart w:id="1040" w:name="_Toc171525623"/>
      <w:bookmarkStart w:id="1041" w:name="_Toc172024144"/>
      <w:bookmarkStart w:id="1042" w:name="_Toc172033467"/>
      <w:r w:rsidRPr="00C3310F">
        <w:rPr>
          <w:rFonts w:hint="eastAsia"/>
        </w:rPr>
        <w:t>我手上案子至少半數以上是詐騙，詐騙案又有8成都是人頭帳戶。</w:t>
      </w:r>
      <w:bookmarkEnd w:id="1040"/>
      <w:bookmarkEnd w:id="1041"/>
      <w:bookmarkEnd w:id="1042"/>
    </w:p>
    <w:p w14:paraId="080A67AE" w14:textId="2034E8E9" w:rsidR="000B1C3C" w:rsidRPr="00C3310F" w:rsidRDefault="00974023" w:rsidP="000B1C3C">
      <w:pPr>
        <w:pStyle w:val="5"/>
      </w:pPr>
      <w:r w:rsidRPr="00C3310F">
        <w:rPr>
          <w:rFonts w:hint="eastAsia"/>
        </w:rPr>
        <w:t>金門</w:t>
      </w:r>
      <w:r w:rsidR="000B1C3C" w:rsidRPr="00C3310F">
        <w:rPr>
          <w:rFonts w:hint="eastAsia"/>
        </w:rPr>
        <w:t>地檢署施家榮主任檢察官</w:t>
      </w:r>
    </w:p>
    <w:p w14:paraId="123837E9" w14:textId="77777777" w:rsidR="000B1C3C" w:rsidRPr="00C3310F" w:rsidRDefault="000B1C3C" w:rsidP="000B1C3C">
      <w:pPr>
        <w:pStyle w:val="6"/>
      </w:pPr>
      <w:bookmarkStart w:id="1043" w:name="_Toc171525624"/>
      <w:bookmarkStart w:id="1044" w:name="_Toc172024145"/>
      <w:bookmarkStart w:id="1045" w:name="_Toc172033468"/>
      <w:r w:rsidRPr="00C3310F">
        <w:rPr>
          <w:rFonts w:hint="eastAsia"/>
        </w:rPr>
        <w:t>如果要你一個月要寫100份起訴書或不起訴處分書，你還有時間去做其他事嗎?有可能召開專案小組要深入追查嗎?</w:t>
      </w:r>
      <w:bookmarkEnd w:id="1043"/>
      <w:bookmarkEnd w:id="1044"/>
      <w:bookmarkEnd w:id="1045"/>
    </w:p>
    <w:p w14:paraId="11C593E1" w14:textId="77777777" w:rsidR="000B1C3C" w:rsidRPr="00C3310F" w:rsidRDefault="000B1C3C" w:rsidP="000B1C3C">
      <w:pPr>
        <w:pStyle w:val="6"/>
      </w:pPr>
      <w:bookmarkStart w:id="1046" w:name="_Toc171525625"/>
      <w:bookmarkStart w:id="1047" w:name="_Toc172024146"/>
      <w:bookmarkStart w:id="1048" w:name="_Toc172033469"/>
      <w:r w:rsidRPr="00C3310F">
        <w:rPr>
          <w:rFonts w:hint="eastAsia"/>
        </w:rPr>
        <w:t>詐欺它也是一個產業，它為什麼會蓬勃發展?他錢多當然要求發展，你就沒有法律，沒有科技偵查手段，一直追不到核心幹部，一直追不到他的錢，他錢越來越多，一間公司錢越來越多，他不發展合理嗎?他一定要蓬勃發展嘛!</w:t>
      </w:r>
      <w:bookmarkEnd w:id="1046"/>
      <w:bookmarkEnd w:id="1047"/>
      <w:bookmarkEnd w:id="1048"/>
    </w:p>
    <w:p w14:paraId="63C6D4FC" w14:textId="28D7E599" w:rsidR="000B1C3C" w:rsidRPr="00C3310F" w:rsidRDefault="000B1C3C" w:rsidP="000B1C3C">
      <w:pPr>
        <w:pStyle w:val="6"/>
      </w:pPr>
      <w:bookmarkStart w:id="1049" w:name="_Toc171525626"/>
      <w:bookmarkStart w:id="1050" w:name="_Toc172024147"/>
      <w:bookmarkStart w:id="1051" w:name="_Toc172033470"/>
      <w:r w:rsidRPr="00C3310F">
        <w:rPr>
          <w:rFonts w:hint="eastAsia"/>
        </w:rPr>
        <w:lastRenderedPageBreak/>
        <w:t>再來說律師涉案、銀行人員幫忙調整轉帳上限、派出所所長查個資、</w:t>
      </w:r>
      <w:r w:rsidR="00314645" w:rsidRPr="00C3310F">
        <w:rPr>
          <w:rFonts w:hint="eastAsia"/>
        </w:rPr>
        <w:t>通傳會</w:t>
      </w:r>
      <w:r w:rsidRPr="00C3310F">
        <w:rPr>
          <w:rFonts w:hint="eastAsia"/>
        </w:rPr>
        <w:t>前委員當二類電信業者顧問這些，為什麼?因為你永遠查不到他的心臟，那他就可以經驗傳承，越教越多人，他獲利高風險低，因為人頭帳戶、人頭門號、個人幣商都沒在管，</w:t>
      </w:r>
      <w:r w:rsidRPr="00C3310F">
        <w:rPr>
          <w:rFonts w:hint="eastAsia"/>
          <w:bCs/>
        </w:rPr>
        <w:t>他就挺而無險</w:t>
      </w:r>
      <w:r w:rsidRPr="00C3310F">
        <w:rPr>
          <w:rFonts w:hint="eastAsia"/>
        </w:rPr>
        <w:t>，他當然要繼續做啊!</w:t>
      </w:r>
      <w:bookmarkEnd w:id="1049"/>
      <w:bookmarkEnd w:id="1050"/>
      <w:bookmarkEnd w:id="1051"/>
      <w:r w:rsidRPr="00C3310F">
        <w:t xml:space="preserve"> </w:t>
      </w:r>
    </w:p>
    <w:p w14:paraId="5DE5B4DE" w14:textId="6921860C" w:rsidR="000B1C3C" w:rsidRPr="00C3310F" w:rsidRDefault="000B1C3C" w:rsidP="000B1C3C">
      <w:pPr>
        <w:pStyle w:val="3"/>
      </w:pPr>
      <w:bookmarkStart w:id="1052" w:name="_Toc171525627"/>
      <w:bookmarkStart w:id="1053" w:name="_Toc172024148"/>
      <w:bookmarkStart w:id="1054" w:name="_Toc172033471"/>
      <w:r w:rsidRPr="00C3310F">
        <w:rPr>
          <w:rFonts w:hint="eastAsia"/>
        </w:rPr>
        <w:t>根據高檢署張斗輝檢察長於112年11月13日本院辦理履勘時說明：「這一、兩年詐欺案件暴增，癱瘓檢警偵查量能，高檢署身處第一線，馬上承受到檢察官的壓力」，為此，高檢署除協調各機關推動源頭管理外，已對內推動檢察官助理、AI智慧輔助系統、被告總歸戶、建置全國反詐騙資料庫分析、設立科技偵查支援辦公室以分析幣流等措施，或可部分紓解偵查量能之負荷。</w:t>
      </w:r>
      <w:bookmarkEnd w:id="1052"/>
      <w:bookmarkEnd w:id="1053"/>
      <w:bookmarkEnd w:id="1054"/>
    </w:p>
    <w:p w14:paraId="50588303" w14:textId="62872BF9" w:rsidR="000B1C3C" w:rsidRPr="00C3310F" w:rsidRDefault="000B1C3C" w:rsidP="000B1C3C">
      <w:pPr>
        <w:pStyle w:val="4"/>
      </w:pPr>
      <w:r w:rsidRPr="00C3310F">
        <w:rPr>
          <w:rFonts w:hint="eastAsia"/>
        </w:rPr>
        <w:t>在法務部極力爭取的檢察官助理部分，法務部雖於112年先行聘用100名，然後續仍有法制化之必要性，據悉</w:t>
      </w:r>
      <w:r w:rsidRPr="00C3310F">
        <w:rPr>
          <w:rStyle w:val="afe"/>
        </w:rPr>
        <w:footnoteReference w:id="99"/>
      </w:r>
      <w:r w:rsidRPr="00C3310F">
        <w:rPr>
          <w:rFonts w:hint="eastAsia"/>
        </w:rPr>
        <w:t>，行政院人事總處於113年6月24日</w:t>
      </w:r>
      <w:r w:rsidRPr="00C3310F">
        <w:t>立法院司法法制委員會審查攸關增設檢察官助理的「法院組織法修正草案」</w:t>
      </w:r>
      <w:r w:rsidRPr="00C3310F">
        <w:rPr>
          <w:rFonts w:hint="eastAsia"/>
        </w:rPr>
        <w:t>時表示，</w:t>
      </w:r>
      <w:r w:rsidRPr="00C3310F">
        <w:t>檢察官助理去年10月開始才開始陸續進用，其效益有待觀察，建議1年後再進行評估是否法制化</w:t>
      </w:r>
      <w:r w:rsidRPr="00C3310F">
        <w:rPr>
          <w:rFonts w:hint="eastAsia"/>
        </w:rPr>
        <w:t>，</w:t>
      </w:r>
      <w:r w:rsidR="002549A2" w:rsidRPr="00C3310F">
        <w:rPr>
          <w:rFonts w:hint="eastAsia"/>
        </w:rPr>
        <w:t>法務部</w:t>
      </w:r>
      <w:r w:rsidRPr="00C3310F">
        <w:t>鄭</w:t>
      </w:r>
      <w:r w:rsidR="001C6CC3" w:rsidRPr="00C3310F">
        <w:rPr>
          <w:rFonts w:hint="eastAsia"/>
        </w:rPr>
        <w:t>銘謙</w:t>
      </w:r>
      <w:r w:rsidRPr="00C3310F">
        <w:rPr>
          <w:rFonts w:hint="eastAsia"/>
        </w:rPr>
        <w:t>部長</w:t>
      </w:r>
      <w:r w:rsidRPr="00C3310F">
        <w:t>則</w:t>
      </w:r>
      <w:r w:rsidRPr="00C3310F">
        <w:rPr>
          <w:rFonts w:hint="eastAsia"/>
        </w:rPr>
        <w:t>表示</w:t>
      </w:r>
      <w:r w:rsidRPr="00C3310F">
        <w:t>，檢察官</w:t>
      </w:r>
      <w:r w:rsidRPr="00C3310F">
        <w:rPr>
          <w:rFonts w:hint="eastAsia"/>
        </w:rPr>
        <w:t>助理</w:t>
      </w:r>
      <w:r w:rsidRPr="00C3310F">
        <w:t>今年開始才再增聘150位，到年底才能達250位，但仍是臨時性的人員，若法制化對於打詐等相關工作會有很大幫助</w:t>
      </w:r>
      <w:r w:rsidRPr="00C3310F">
        <w:rPr>
          <w:rFonts w:hint="eastAsia"/>
        </w:rPr>
        <w:t>。顯見檢察官助理法制化議題暫時無法達成，有賴法務部持續溝通，而法務部既已臨時進用250人，對於紓解</w:t>
      </w:r>
      <w:r w:rsidRPr="00C3310F">
        <w:rPr>
          <w:rFonts w:hint="eastAsia"/>
        </w:rPr>
        <w:lastRenderedPageBreak/>
        <w:t>檢察官相關文書作業負荷，仍具一定效益。</w:t>
      </w:r>
    </w:p>
    <w:p w14:paraId="6EA6E62D" w14:textId="2C22D79D" w:rsidR="000B1C3C" w:rsidRPr="00C3310F" w:rsidRDefault="000B1C3C" w:rsidP="000B1C3C">
      <w:pPr>
        <w:pStyle w:val="4"/>
      </w:pPr>
      <w:r w:rsidRPr="00C3310F">
        <w:rPr>
          <w:rFonts w:hint="eastAsia"/>
        </w:rPr>
        <w:t>有關檢察官指出製作詐欺相關起訴書附表極為繁瑣一節，法務部自110年起，開發AI智慧輔助系統功能，已介接司法警察機關相關165反詐騙</w:t>
      </w:r>
      <w:r w:rsidR="0004575A" w:rsidRPr="00C3310F">
        <w:rPr>
          <w:rFonts w:hint="eastAsia"/>
        </w:rPr>
        <w:t>平臺</w:t>
      </w:r>
      <w:r w:rsidRPr="00C3310F">
        <w:rPr>
          <w:rFonts w:hint="eastAsia"/>
        </w:rPr>
        <w:t>資料庫及案件管理系統，以系統自動產製詐欺案件附表，以取代人工製作。</w:t>
      </w:r>
    </w:p>
    <w:p w14:paraId="13D92F42" w14:textId="3DCAE555" w:rsidR="000B1C3C" w:rsidRPr="00C3310F" w:rsidRDefault="000B1C3C" w:rsidP="000B1C3C">
      <w:pPr>
        <w:pStyle w:val="5"/>
      </w:pPr>
      <w:r w:rsidRPr="00C3310F">
        <w:rPr>
          <w:rFonts w:hint="eastAsia"/>
        </w:rPr>
        <w:t>介接警政署165反詐騙</w:t>
      </w:r>
      <w:r w:rsidR="0004575A" w:rsidRPr="00C3310F">
        <w:rPr>
          <w:rFonts w:hint="eastAsia"/>
        </w:rPr>
        <w:t>平臺</w:t>
      </w:r>
      <w:r w:rsidRPr="00C3310F">
        <w:rPr>
          <w:rFonts w:hint="eastAsia"/>
        </w:rPr>
        <w:t>、辦案資料庫資料：</w:t>
      </w:r>
    </w:p>
    <w:p w14:paraId="0DF6A177" w14:textId="77777777" w:rsidR="000B1C3C" w:rsidRPr="00C3310F" w:rsidRDefault="000B1C3C" w:rsidP="000B1C3C">
      <w:pPr>
        <w:pStyle w:val="6"/>
      </w:pPr>
      <w:bookmarkStart w:id="1055" w:name="_Toc171525628"/>
      <w:bookmarkStart w:id="1056" w:name="_Toc172024149"/>
      <w:bookmarkStart w:id="1057" w:name="_Toc172033472"/>
      <w:r w:rsidRPr="00C3310F">
        <w:rPr>
          <w:rFonts w:hint="eastAsia"/>
        </w:rPr>
        <w:t>警政署165反詐騙資料庫係將詐騙或疑似詐騙之受理資料均建置至系統內，內容繁多，經與警政署多次召會協調，向警政署165反詐騙資料庫產出之「警政署反詐騙諮詢專線紀錄表」（含報告紀錄）、移送書及警詢筆錄電子檔等資料及相應系統欄位進行介接，警政署已於112年6月21日函復同意介接，並配合系統功能增修，目前已介接完成。</w:t>
      </w:r>
      <w:bookmarkEnd w:id="1055"/>
      <w:bookmarkEnd w:id="1056"/>
      <w:bookmarkEnd w:id="1057"/>
    </w:p>
    <w:p w14:paraId="499D0555" w14:textId="77777777" w:rsidR="000B1C3C" w:rsidRPr="00C3310F" w:rsidRDefault="000B1C3C" w:rsidP="000B1C3C">
      <w:pPr>
        <w:pStyle w:val="6"/>
      </w:pPr>
      <w:bookmarkStart w:id="1058" w:name="_Toc171525629"/>
      <w:bookmarkStart w:id="1059" w:name="_Toc172024150"/>
      <w:bookmarkStart w:id="1060" w:name="_Toc172033473"/>
      <w:r w:rsidRPr="00C3310F">
        <w:rPr>
          <w:rFonts w:hint="eastAsia"/>
        </w:rPr>
        <w:t>完成介接警政署辦案資料庫之當事人資料、移送書及電子筆錄，檢察機關可代入至內勤庭前筆錄系統製作，書記官製作筆錄時，毋庸再重複繕打當事人基本資料等事項，提昇偵查庭訊進行之效率。</w:t>
      </w:r>
      <w:bookmarkEnd w:id="1058"/>
      <w:bookmarkEnd w:id="1059"/>
      <w:bookmarkEnd w:id="1060"/>
    </w:p>
    <w:p w14:paraId="27E26313" w14:textId="6A222B15" w:rsidR="000B1C3C" w:rsidRPr="00C3310F" w:rsidRDefault="000B1C3C" w:rsidP="000B1C3C">
      <w:pPr>
        <w:pStyle w:val="6"/>
      </w:pPr>
      <w:bookmarkStart w:id="1061" w:name="_Toc171525630"/>
      <w:bookmarkStart w:id="1062" w:name="_Toc172024151"/>
      <w:bookmarkStart w:id="1063" w:name="_Toc172033474"/>
      <w:r w:rsidRPr="00C3310F">
        <w:rPr>
          <w:rFonts w:hint="eastAsia"/>
        </w:rPr>
        <w:t>開發</w:t>
      </w:r>
      <w:r w:rsidRPr="00C3310F">
        <w:t>AI</w:t>
      </w:r>
      <w:r w:rsidRPr="00C3310F">
        <w:rPr>
          <w:rFonts w:hint="eastAsia"/>
        </w:rPr>
        <w:t>系統產出酒駕案件結案書類初稿。透過自然語言處理</w:t>
      </w:r>
      <w:r w:rsidR="001C6CC3" w:rsidRPr="00C3310F">
        <w:rPr>
          <w:rFonts w:hint="eastAsia"/>
        </w:rPr>
        <w:t>(N</w:t>
      </w:r>
      <w:r w:rsidR="001C6CC3" w:rsidRPr="00C3310F">
        <w:t>atural Languange Proccessing, NLP)</w:t>
      </w:r>
      <w:r w:rsidRPr="00C3310F">
        <w:rPr>
          <w:rFonts w:hint="eastAsia"/>
        </w:rPr>
        <w:t>技術，解讀移送書、警、偵訊筆錄及卷證內容後產出起訴書、聲請簡易判決處刑書、</w:t>
      </w:r>
      <w:r w:rsidR="00D46B33" w:rsidRPr="00C3310F">
        <w:rPr>
          <w:rFonts w:hint="eastAsia"/>
        </w:rPr>
        <w:t>緩</w:t>
      </w:r>
      <w:r w:rsidRPr="00C3310F">
        <w:rPr>
          <w:rFonts w:hint="eastAsia"/>
        </w:rPr>
        <w:t>起訴處分書之結案書類初稿，並自動判讀累犯。</w:t>
      </w:r>
      <w:bookmarkEnd w:id="1061"/>
      <w:bookmarkEnd w:id="1062"/>
      <w:bookmarkEnd w:id="1063"/>
    </w:p>
    <w:p w14:paraId="32FF9789" w14:textId="51B81DBA" w:rsidR="000B1C3C" w:rsidRPr="00C3310F" w:rsidRDefault="000B1C3C" w:rsidP="000B1C3C">
      <w:pPr>
        <w:pStyle w:val="5"/>
      </w:pPr>
      <w:r w:rsidRPr="00C3310F">
        <w:rPr>
          <w:rFonts w:hint="eastAsia"/>
        </w:rPr>
        <w:t>上開功能開發完成後，已於112年11月底於桃園地檢署及臺中地檢署轄區部分分局及署內特定承辦股試辦測試</w:t>
      </w:r>
      <w:r w:rsidR="00974023" w:rsidRPr="00C3310F">
        <w:rPr>
          <w:rFonts w:hint="eastAsia"/>
        </w:rPr>
        <w:t>，</w:t>
      </w:r>
      <w:r w:rsidRPr="00C3310F">
        <w:rPr>
          <w:rFonts w:hint="eastAsia"/>
        </w:rPr>
        <w:t>並於113年5月間與刑事局協調於桃園及臺中警察局全區擴大試辦，獲刑事</w:t>
      </w:r>
      <w:r w:rsidRPr="00C3310F">
        <w:rPr>
          <w:rFonts w:hint="eastAsia"/>
        </w:rPr>
        <w:lastRenderedPageBreak/>
        <w:t>局、桃園及臺中警察局同意配合上傳相關數位資料。復於113年6月13日完成桃園地檢署及臺中地檢署署內擴大試辦AI系統功能教育訓練，並預計於113年6月20日開始全署試用。將於試用二個月後，調查及蒐集使用者回饋意見。</w:t>
      </w:r>
    </w:p>
    <w:p w14:paraId="12652F20" w14:textId="77777777" w:rsidR="000B1C3C" w:rsidRPr="00C3310F" w:rsidRDefault="000B1C3C" w:rsidP="000B1C3C">
      <w:pPr>
        <w:pStyle w:val="4"/>
      </w:pPr>
      <w:r w:rsidRPr="00C3310F">
        <w:rPr>
          <w:rFonts w:hint="eastAsia"/>
        </w:rPr>
        <w:t>在總歸戶措施方面，113年3月、4月較112年同期新收案件數明顯減少39.6%、24.3%，可見總歸戶計畫對於減少幫助詐欺案件數已獲致初步成效。高檢署另補充說明，單純提供人頭帳戶之幫助詐欺案件，被告所提供同一帳戶可能造成多數被害人衍生複數案件，各地司法警察機關接受被害人報案後，應將被害人報案資料統一歸戶至被告戶籍地司法警察機關彙整移送所屬地方檢察署。</w:t>
      </w:r>
    </w:p>
    <w:p w14:paraId="4ECD959F" w14:textId="77777777" w:rsidR="000B1C3C" w:rsidRPr="00C3310F" w:rsidRDefault="000B1C3C" w:rsidP="000B1C3C">
      <w:pPr>
        <w:pStyle w:val="4"/>
      </w:pPr>
      <w:r w:rsidRPr="00C3310F">
        <w:rPr>
          <w:rFonts w:hint="eastAsia"/>
        </w:rPr>
        <w:t>高檢署所建置之「全國反電信詐騙資料庫」，項下功能包括境外停留交集、嫌疑人關聯分析、可疑共犯名單、人脈網絡分析、通聯分析等，除提供資料查詢外，並結合入出境資料、艙單資料、通聯資料與詐騙資料庫豐富資料進行碰撞分析、比對，藉此產出可疑犯罪情資供進一步追查，其功能架構如下表</w:t>
      </w:r>
      <w:r w:rsidR="004B77B6" w:rsidRPr="00C3310F">
        <w:rPr>
          <w:rFonts w:hint="eastAsia"/>
        </w:rPr>
        <w:t>22</w:t>
      </w:r>
      <w:r w:rsidRPr="00C3310F">
        <w:rPr>
          <w:rFonts w:hint="eastAsia"/>
        </w:rPr>
        <w:t>，高檢署亦提出兩案說明資料庫績效。</w:t>
      </w:r>
    </w:p>
    <w:p w14:paraId="3FF1DB0A" w14:textId="77777777" w:rsidR="00CB4F4C" w:rsidRPr="00C3310F" w:rsidRDefault="00CB4F4C" w:rsidP="00CB4F4C">
      <w:pPr>
        <w:pStyle w:val="4"/>
        <w:numPr>
          <w:ilvl w:val="0"/>
          <w:numId w:val="0"/>
        </w:numPr>
        <w:ind w:left="1701"/>
      </w:pPr>
    </w:p>
    <w:p w14:paraId="3C6CE626" w14:textId="77777777" w:rsidR="00CB4F4C" w:rsidRPr="00C3310F" w:rsidRDefault="00CB4F4C" w:rsidP="00CB4F4C">
      <w:pPr>
        <w:pStyle w:val="4"/>
        <w:numPr>
          <w:ilvl w:val="0"/>
          <w:numId w:val="0"/>
        </w:numPr>
        <w:ind w:left="1701"/>
      </w:pPr>
    </w:p>
    <w:p w14:paraId="38C61FA4" w14:textId="77777777" w:rsidR="005E1B25" w:rsidRPr="00C3310F" w:rsidRDefault="005E1B25" w:rsidP="00CB4F4C">
      <w:pPr>
        <w:pStyle w:val="4"/>
        <w:numPr>
          <w:ilvl w:val="0"/>
          <w:numId w:val="0"/>
        </w:numPr>
        <w:ind w:left="1701"/>
      </w:pPr>
    </w:p>
    <w:p w14:paraId="23B89645" w14:textId="77777777" w:rsidR="005E1B25" w:rsidRPr="00C3310F" w:rsidRDefault="005E1B25" w:rsidP="00CB4F4C">
      <w:pPr>
        <w:pStyle w:val="4"/>
        <w:numPr>
          <w:ilvl w:val="0"/>
          <w:numId w:val="0"/>
        </w:numPr>
        <w:ind w:left="1701"/>
      </w:pPr>
    </w:p>
    <w:p w14:paraId="7B6997AD" w14:textId="77777777" w:rsidR="00CB4F4C" w:rsidRPr="00C3310F" w:rsidRDefault="00CB4F4C" w:rsidP="00CB4F4C">
      <w:pPr>
        <w:pStyle w:val="4"/>
        <w:numPr>
          <w:ilvl w:val="0"/>
          <w:numId w:val="0"/>
        </w:numPr>
        <w:ind w:left="1701"/>
      </w:pPr>
    </w:p>
    <w:p w14:paraId="1CECB40C" w14:textId="77777777" w:rsidR="00D15B75" w:rsidRPr="00C3310F" w:rsidRDefault="00D15B75" w:rsidP="00CB4F4C">
      <w:pPr>
        <w:pStyle w:val="4"/>
        <w:numPr>
          <w:ilvl w:val="0"/>
          <w:numId w:val="0"/>
        </w:numPr>
        <w:ind w:left="1701"/>
      </w:pPr>
    </w:p>
    <w:p w14:paraId="3FC3EEED" w14:textId="77777777" w:rsidR="00D15B75" w:rsidRPr="00C3310F" w:rsidRDefault="00D15B75" w:rsidP="00CB4F4C">
      <w:pPr>
        <w:pStyle w:val="4"/>
        <w:numPr>
          <w:ilvl w:val="0"/>
          <w:numId w:val="0"/>
        </w:numPr>
        <w:ind w:left="1701"/>
      </w:pPr>
    </w:p>
    <w:p w14:paraId="5AB1C746" w14:textId="77777777" w:rsidR="00CB4F4C" w:rsidRPr="00C3310F" w:rsidRDefault="00CB4F4C" w:rsidP="00CB4F4C">
      <w:pPr>
        <w:pStyle w:val="4"/>
        <w:numPr>
          <w:ilvl w:val="0"/>
          <w:numId w:val="0"/>
        </w:numPr>
        <w:ind w:left="1701"/>
      </w:pPr>
    </w:p>
    <w:p w14:paraId="7136A5B6" w14:textId="77777777" w:rsidR="00CB4F4C" w:rsidRPr="00C3310F" w:rsidRDefault="00CB4F4C" w:rsidP="00CB4F4C">
      <w:pPr>
        <w:pStyle w:val="4"/>
        <w:numPr>
          <w:ilvl w:val="0"/>
          <w:numId w:val="0"/>
        </w:numPr>
        <w:ind w:left="1701"/>
      </w:pPr>
    </w:p>
    <w:p w14:paraId="58803CCA" w14:textId="77777777" w:rsidR="000B1C3C" w:rsidRPr="00C3310F" w:rsidRDefault="000B1C3C" w:rsidP="000B1C3C">
      <w:pPr>
        <w:pStyle w:val="a3"/>
        <w:rPr>
          <w:rFonts w:hint="eastAsia"/>
          <w:b/>
        </w:rPr>
      </w:pPr>
      <w:bookmarkStart w:id="1064" w:name="_Toc172025226"/>
      <w:r w:rsidRPr="00C3310F">
        <w:rPr>
          <w:rFonts w:hint="eastAsia"/>
          <w:b/>
        </w:rPr>
        <w:lastRenderedPageBreak/>
        <w:t>高檢署「全國反電信詐騙資料庫」功能列表</w:t>
      </w:r>
      <w:bookmarkEnd w:id="1064"/>
    </w:p>
    <w:tbl>
      <w:tblPr>
        <w:tblStyle w:val="af7"/>
        <w:tblW w:w="0" w:type="auto"/>
        <w:tblInd w:w="-5" w:type="dxa"/>
        <w:tblLook w:val="04A0" w:firstRow="1" w:lastRow="0" w:firstColumn="1" w:lastColumn="0" w:noHBand="0" w:noVBand="1"/>
      </w:tblPr>
      <w:tblGrid>
        <w:gridCol w:w="3261"/>
        <w:gridCol w:w="5528"/>
        <w:gridCol w:w="50"/>
      </w:tblGrid>
      <w:tr w:rsidR="00C3310F" w:rsidRPr="00C3310F" w14:paraId="1D3F3F02" w14:textId="77777777" w:rsidTr="000B1C3C">
        <w:tc>
          <w:tcPr>
            <w:tcW w:w="3261" w:type="dxa"/>
          </w:tcPr>
          <w:p w14:paraId="4AA8ED05" w14:textId="77777777" w:rsidR="000B1C3C" w:rsidRPr="00C3310F" w:rsidRDefault="000B1C3C" w:rsidP="000B1C3C">
            <w:pPr>
              <w:pStyle w:val="4"/>
              <w:numPr>
                <w:ilvl w:val="0"/>
                <w:numId w:val="0"/>
              </w:numPr>
              <w:rPr>
                <w:sz w:val="28"/>
                <w:szCs w:val="28"/>
              </w:rPr>
            </w:pPr>
            <w:r w:rsidRPr="00C3310F">
              <w:rPr>
                <w:rFonts w:hint="eastAsia"/>
                <w:sz w:val="28"/>
                <w:szCs w:val="28"/>
              </w:rPr>
              <w:t>主功能</w:t>
            </w:r>
          </w:p>
        </w:tc>
        <w:tc>
          <w:tcPr>
            <w:tcW w:w="5578" w:type="dxa"/>
            <w:gridSpan w:val="2"/>
          </w:tcPr>
          <w:p w14:paraId="4D99B846" w14:textId="77777777" w:rsidR="000B1C3C" w:rsidRPr="00C3310F" w:rsidRDefault="000B1C3C" w:rsidP="000B1C3C">
            <w:pPr>
              <w:pStyle w:val="4"/>
              <w:numPr>
                <w:ilvl w:val="0"/>
                <w:numId w:val="0"/>
              </w:numPr>
              <w:rPr>
                <w:sz w:val="28"/>
                <w:szCs w:val="28"/>
              </w:rPr>
            </w:pPr>
            <w:r w:rsidRPr="00C3310F">
              <w:rPr>
                <w:rFonts w:hint="eastAsia"/>
                <w:sz w:val="28"/>
                <w:szCs w:val="28"/>
              </w:rPr>
              <w:t>子功能</w:t>
            </w:r>
          </w:p>
        </w:tc>
      </w:tr>
      <w:tr w:rsidR="00C3310F" w:rsidRPr="00C3310F" w14:paraId="2BCFDA88" w14:textId="77777777" w:rsidTr="000B1C3C">
        <w:tc>
          <w:tcPr>
            <w:tcW w:w="3261" w:type="dxa"/>
            <w:vMerge w:val="restart"/>
            <w:vAlign w:val="center"/>
          </w:tcPr>
          <w:p w14:paraId="1E60E095" w14:textId="77777777" w:rsidR="000B1C3C" w:rsidRPr="00C3310F" w:rsidRDefault="000B1C3C" w:rsidP="000B1C3C">
            <w:pPr>
              <w:pStyle w:val="4"/>
              <w:numPr>
                <w:ilvl w:val="0"/>
                <w:numId w:val="0"/>
              </w:numPr>
              <w:rPr>
                <w:sz w:val="28"/>
                <w:szCs w:val="28"/>
              </w:rPr>
            </w:pPr>
            <w:r w:rsidRPr="00C3310F">
              <w:rPr>
                <w:rFonts w:hint="eastAsia"/>
                <w:sz w:val="28"/>
                <w:szCs w:val="28"/>
              </w:rPr>
              <w:t>整合查詢</w:t>
            </w:r>
          </w:p>
        </w:tc>
        <w:tc>
          <w:tcPr>
            <w:tcW w:w="5578" w:type="dxa"/>
            <w:gridSpan w:val="2"/>
          </w:tcPr>
          <w:p w14:paraId="05947818" w14:textId="77777777" w:rsidR="000B1C3C" w:rsidRPr="00C3310F" w:rsidRDefault="000B1C3C" w:rsidP="000B1C3C">
            <w:pPr>
              <w:pStyle w:val="4"/>
              <w:numPr>
                <w:ilvl w:val="0"/>
                <w:numId w:val="0"/>
              </w:numPr>
              <w:rPr>
                <w:sz w:val="28"/>
                <w:szCs w:val="28"/>
              </w:rPr>
            </w:pPr>
            <w:r w:rsidRPr="00C3310F">
              <w:rPr>
                <w:rFonts w:hint="eastAsia"/>
                <w:sz w:val="28"/>
                <w:szCs w:val="28"/>
              </w:rPr>
              <w:t>165反詐騙查詢</w:t>
            </w:r>
          </w:p>
        </w:tc>
      </w:tr>
      <w:tr w:rsidR="00C3310F" w:rsidRPr="00C3310F" w14:paraId="5F45566B" w14:textId="77777777" w:rsidTr="000B1C3C">
        <w:tc>
          <w:tcPr>
            <w:tcW w:w="3261" w:type="dxa"/>
            <w:vMerge/>
            <w:vAlign w:val="center"/>
          </w:tcPr>
          <w:p w14:paraId="5FFF5484" w14:textId="77777777" w:rsidR="000B1C3C" w:rsidRPr="00C3310F" w:rsidRDefault="000B1C3C" w:rsidP="000B1C3C">
            <w:pPr>
              <w:pStyle w:val="4"/>
              <w:numPr>
                <w:ilvl w:val="0"/>
                <w:numId w:val="0"/>
              </w:numPr>
              <w:rPr>
                <w:sz w:val="28"/>
                <w:szCs w:val="28"/>
              </w:rPr>
            </w:pPr>
          </w:p>
        </w:tc>
        <w:tc>
          <w:tcPr>
            <w:tcW w:w="5578" w:type="dxa"/>
            <w:gridSpan w:val="2"/>
          </w:tcPr>
          <w:p w14:paraId="615A463C" w14:textId="77777777" w:rsidR="000B1C3C" w:rsidRPr="00C3310F" w:rsidRDefault="000B1C3C" w:rsidP="000B1C3C">
            <w:pPr>
              <w:pStyle w:val="4"/>
              <w:numPr>
                <w:ilvl w:val="0"/>
                <w:numId w:val="0"/>
              </w:numPr>
              <w:rPr>
                <w:sz w:val="28"/>
                <w:szCs w:val="28"/>
              </w:rPr>
            </w:pPr>
            <w:r w:rsidRPr="00C3310F">
              <w:rPr>
                <w:rFonts w:hint="eastAsia"/>
                <w:sz w:val="28"/>
                <w:szCs w:val="28"/>
              </w:rPr>
              <w:t>艙單查詢、交集查詢</w:t>
            </w:r>
          </w:p>
        </w:tc>
      </w:tr>
      <w:tr w:rsidR="00C3310F" w:rsidRPr="00C3310F" w14:paraId="3D0E1D35" w14:textId="77777777" w:rsidTr="000B1C3C">
        <w:tc>
          <w:tcPr>
            <w:tcW w:w="3261" w:type="dxa"/>
            <w:vMerge/>
            <w:vAlign w:val="center"/>
          </w:tcPr>
          <w:p w14:paraId="021132EC" w14:textId="77777777" w:rsidR="000B1C3C" w:rsidRPr="00C3310F" w:rsidRDefault="000B1C3C" w:rsidP="000B1C3C">
            <w:pPr>
              <w:pStyle w:val="4"/>
              <w:numPr>
                <w:ilvl w:val="0"/>
                <w:numId w:val="0"/>
              </w:numPr>
              <w:rPr>
                <w:sz w:val="28"/>
                <w:szCs w:val="28"/>
              </w:rPr>
            </w:pPr>
          </w:p>
        </w:tc>
        <w:tc>
          <w:tcPr>
            <w:tcW w:w="5578" w:type="dxa"/>
            <w:gridSpan w:val="2"/>
          </w:tcPr>
          <w:p w14:paraId="68DB385C" w14:textId="77777777" w:rsidR="000B1C3C" w:rsidRPr="00C3310F" w:rsidRDefault="000B1C3C" w:rsidP="000B1C3C">
            <w:pPr>
              <w:pStyle w:val="4"/>
              <w:numPr>
                <w:ilvl w:val="0"/>
                <w:numId w:val="0"/>
              </w:numPr>
              <w:rPr>
                <w:sz w:val="28"/>
                <w:szCs w:val="28"/>
              </w:rPr>
            </w:pPr>
            <w:r w:rsidRPr="00C3310F">
              <w:rPr>
                <w:rFonts w:hint="eastAsia"/>
                <w:sz w:val="28"/>
                <w:szCs w:val="28"/>
              </w:rPr>
              <w:t>入出境個資模糊查詢</w:t>
            </w:r>
          </w:p>
        </w:tc>
      </w:tr>
      <w:tr w:rsidR="00C3310F" w:rsidRPr="00C3310F" w14:paraId="44736432" w14:textId="77777777" w:rsidTr="000B1C3C">
        <w:tc>
          <w:tcPr>
            <w:tcW w:w="3261" w:type="dxa"/>
            <w:vMerge/>
            <w:vAlign w:val="center"/>
          </w:tcPr>
          <w:p w14:paraId="6183476E" w14:textId="77777777" w:rsidR="000B1C3C" w:rsidRPr="00C3310F" w:rsidRDefault="000B1C3C" w:rsidP="000B1C3C">
            <w:pPr>
              <w:pStyle w:val="4"/>
              <w:numPr>
                <w:ilvl w:val="0"/>
                <w:numId w:val="0"/>
              </w:numPr>
              <w:rPr>
                <w:sz w:val="28"/>
                <w:szCs w:val="28"/>
              </w:rPr>
            </w:pPr>
          </w:p>
        </w:tc>
        <w:tc>
          <w:tcPr>
            <w:tcW w:w="5578" w:type="dxa"/>
            <w:gridSpan w:val="2"/>
          </w:tcPr>
          <w:p w14:paraId="04582440" w14:textId="77777777" w:rsidR="000B1C3C" w:rsidRPr="00C3310F" w:rsidRDefault="000B1C3C" w:rsidP="000B1C3C">
            <w:pPr>
              <w:pStyle w:val="4"/>
              <w:numPr>
                <w:ilvl w:val="0"/>
                <w:numId w:val="0"/>
              </w:numPr>
              <w:rPr>
                <w:sz w:val="28"/>
                <w:szCs w:val="28"/>
              </w:rPr>
            </w:pPr>
            <w:r w:rsidRPr="00C3310F">
              <w:rPr>
                <w:rFonts w:hint="eastAsia"/>
                <w:sz w:val="28"/>
                <w:szCs w:val="28"/>
              </w:rPr>
              <w:t>境外停留交集</w:t>
            </w:r>
          </w:p>
        </w:tc>
      </w:tr>
      <w:tr w:rsidR="00C3310F" w:rsidRPr="00C3310F" w14:paraId="0A80440A" w14:textId="77777777" w:rsidTr="000B1C3C">
        <w:trPr>
          <w:gridAfter w:val="1"/>
          <w:wAfter w:w="50" w:type="dxa"/>
        </w:trPr>
        <w:tc>
          <w:tcPr>
            <w:tcW w:w="3261" w:type="dxa"/>
            <w:vMerge w:val="restart"/>
            <w:vAlign w:val="center"/>
          </w:tcPr>
          <w:p w14:paraId="19D7ADCE" w14:textId="77777777" w:rsidR="000B1C3C" w:rsidRPr="00C3310F" w:rsidRDefault="000B1C3C" w:rsidP="000B1C3C">
            <w:pPr>
              <w:pStyle w:val="4"/>
              <w:numPr>
                <w:ilvl w:val="0"/>
                <w:numId w:val="0"/>
              </w:numPr>
              <w:rPr>
                <w:sz w:val="28"/>
                <w:szCs w:val="28"/>
              </w:rPr>
            </w:pPr>
            <w:r w:rsidRPr="00C3310F">
              <w:rPr>
                <w:rFonts w:hint="eastAsia"/>
                <w:sz w:val="28"/>
                <w:szCs w:val="28"/>
              </w:rPr>
              <w:t>情資分析</w:t>
            </w:r>
          </w:p>
        </w:tc>
        <w:tc>
          <w:tcPr>
            <w:tcW w:w="5528" w:type="dxa"/>
          </w:tcPr>
          <w:p w14:paraId="023370EF" w14:textId="77777777" w:rsidR="000B1C3C" w:rsidRPr="00C3310F" w:rsidRDefault="000B1C3C" w:rsidP="000B1C3C">
            <w:pPr>
              <w:pStyle w:val="4"/>
              <w:numPr>
                <w:ilvl w:val="0"/>
                <w:numId w:val="0"/>
              </w:numPr>
              <w:rPr>
                <w:sz w:val="28"/>
                <w:szCs w:val="28"/>
              </w:rPr>
            </w:pPr>
            <w:r w:rsidRPr="00C3310F">
              <w:rPr>
                <w:rFonts w:hint="eastAsia"/>
                <w:sz w:val="28"/>
                <w:szCs w:val="28"/>
              </w:rPr>
              <w:t>人脈網絡分析</w:t>
            </w:r>
          </w:p>
        </w:tc>
      </w:tr>
      <w:tr w:rsidR="00C3310F" w:rsidRPr="00C3310F" w14:paraId="230D501F" w14:textId="77777777" w:rsidTr="000B1C3C">
        <w:trPr>
          <w:gridAfter w:val="1"/>
          <w:wAfter w:w="50" w:type="dxa"/>
        </w:trPr>
        <w:tc>
          <w:tcPr>
            <w:tcW w:w="3261" w:type="dxa"/>
            <w:vMerge/>
            <w:vAlign w:val="center"/>
          </w:tcPr>
          <w:p w14:paraId="75BEE47C" w14:textId="77777777" w:rsidR="000B1C3C" w:rsidRPr="00C3310F" w:rsidRDefault="000B1C3C" w:rsidP="000B1C3C">
            <w:pPr>
              <w:pStyle w:val="4"/>
              <w:numPr>
                <w:ilvl w:val="0"/>
                <w:numId w:val="0"/>
              </w:numPr>
              <w:rPr>
                <w:sz w:val="28"/>
                <w:szCs w:val="28"/>
              </w:rPr>
            </w:pPr>
          </w:p>
        </w:tc>
        <w:tc>
          <w:tcPr>
            <w:tcW w:w="5528" w:type="dxa"/>
          </w:tcPr>
          <w:p w14:paraId="37506A5D" w14:textId="77777777" w:rsidR="000B1C3C" w:rsidRPr="00C3310F" w:rsidRDefault="000B1C3C" w:rsidP="000B1C3C">
            <w:pPr>
              <w:pStyle w:val="4"/>
              <w:numPr>
                <w:ilvl w:val="0"/>
                <w:numId w:val="0"/>
              </w:numPr>
              <w:rPr>
                <w:sz w:val="28"/>
                <w:szCs w:val="28"/>
              </w:rPr>
            </w:pPr>
            <w:r w:rsidRPr="00C3310F">
              <w:rPr>
                <w:rFonts w:hint="eastAsia"/>
                <w:sz w:val="28"/>
                <w:szCs w:val="28"/>
              </w:rPr>
              <w:t>集團關聯分析</w:t>
            </w:r>
          </w:p>
        </w:tc>
      </w:tr>
      <w:tr w:rsidR="00C3310F" w:rsidRPr="00C3310F" w14:paraId="034781E5" w14:textId="77777777" w:rsidTr="000B1C3C">
        <w:trPr>
          <w:gridAfter w:val="1"/>
          <w:wAfter w:w="50" w:type="dxa"/>
        </w:trPr>
        <w:tc>
          <w:tcPr>
            <w:tcW w:w="3261" w:type="dxa"/>
            <w:vMerge/>
            <w:vAlign w:val="center"/>
          </w:tcPr>
          <w:p w14:paraId="50C78309" w14:textId="77777777" w:rsidR="000B1C3C" w:rsidRPr="00C3310F" w:rsidRDefault="000B1C3C" w:rsidP="000B1C3C">
            <w:pPr>
              <w:pStyle w:val="4"/>
              <w:numPr>
                <w:ilvl w:val="0"/>
                <w:numId w:val="0"/>
              </w:numPr>
              <w:rPr>
                <w:sz w:val="28"/>
                <w:szCs w:val="28"/>
              </w:rPr>
            </w:pPr>
          </w:p>
        </w:tc>
        <w:tc>
          <w:tcPr>
            <w:tcW w:w="5528" w:type="dxa"/>
          </w:tcPr>
          <w:p w14:paraId="10FADEF1" w14:textId="77777777" w:rsidR="000B1C3C" w:rsidRPr="00C3310F" w:rsidRDefault="000B1C3C" w:rsidP="000B1C3C">
            <w:pPr>
              <w:pStyle w:val="4"/>
              <w:numPr>
                <w:ilvl w:val="0"/>
                <w:numId w:val="0"/>
              </w:numPr>
              <w:rPr>
                <w:sz w:val="28"/>
                <w:szCs w:val="28"/>
              </w:rPr>
            </w:pPr>
            <w:r w:rsidRPr="00C3310F">
              <w:rPr>
                <w:rFonts w:hint="eastAsia"/>
                <w:sz w:val="28"/>
                <w:szCs w:val="28"/>
              </w:rPr>
              <w:t>嫌疑人關聯性</w:t>
            </w:r>
          </w:p>
        </w:tc>
      </w:tr>
      <w:tr w:rsidR="00C3310F" w:rsidRPr="00C3310F" w14:paraId="088E8B25" w14:textId="77777777" w:rsidTr="000B1C3C">
        <w:trPr>
          <w:gridAfter w:val="1"/>
          <w:wAfter w:w="50" w:type="dxa"/>
        </w:trPr>
        <w:tc>
          <w:tcPr>
            <w:tcW w:w="3261" w:type="dxa"/>
            <w:vMerge/>
            <w:vAlign w:val="center"/>
          </w:tcPr>
          <w:p w14:paraId="694EE676" w14:textId="77777777" w:rsidR="000B1C3C" w:rsidRPr="00C3310F" w:rsidRDefault="000B1C3C" w:rsidP="000B1C3C">
            <w:pPr>
              <w:pStyle w:val="4"/>
              <w:numPr>
                <w:ilvl w:val="0"/>
                <w:numId w:val="0"/>
              </w:numPr>
              <w:rPr>
                <w:sz w:val="28"/>
                <w:szCs w:val="28"/>
              </w:rPr>
            </w:pPr>
          </w:p>
        </w:tc>
        <w:tc>
          <w:tcPr>
            <w:tcW w:w="5528" w:type="dxa"/>
          </w:tcPr>
          <w:p w14:paraId="12EC2686" w14:textId="77777777" w:rsidR="000B1C3C" w:rsidRPr="00C3310F" w:rsidRDefault="000B1C3C" w:rsidP="000B1C3C">
            <w:pPr>
              <w:pStyle w:val="4"/>
              <w:numPr>
                <w:ilvl w:val="0"/>
                <w:numId w:val="0"/>
              </w:numPr>
              <w:rPr>
                <w:sz w:val="28"/>
                <w:szCs w:val="28"/>
              </w:rPr>
            </w:pPr>
            <w:r w:rsidRPr="00C3310F">
              <w:rPr>
                <w:rFonts w:hint="eastAsia"/>
                <w:sz w:val="28"/>
                <w:szCs w:val="28"/>
              </w:rPr>
              <w:t>可疑共犯名單</w:t>
            </w:r>
          </w:p>
        </w:tc>
      </w:tr>
      <w:tr w:rsidR="00C3310F" w:rsidRPr="00C3310F" w14:paraId="246B5C94" w14:textId="77777777" w:rsidTr="000B1C3C">
        <w:tc>
          <w:tcPr>
            <w:tcW w:w="3261" w:type="dxa"/>
            <w:vMerge w:val="restart"/>
            <w:vAlign w:val="center"/>
          </w:tcPr>
          <w:p w14:paraId="5F7CC136" w14:textId="77777777" w:rsidR="000B1C3C" w:rsidRPr="00C3310F" w:rsidRDefault="000B1C3C" w:rsidP="000B1C3C">
            <w:pPr>
              <w:pStyle w:val="4"/>
              <w:numPr>
                <w:ilvl w:val="0"/>
                <w:numId w:val="0"/>
              </w:numPr>
              <w:rPr>
                <w:sz w:val="28"/>
                <w:szCs w:val="28"/>
              </w:rPr>
            </w:pPr>
            <w:r w:rsidRPr="00C3310F">
              <w:rPr>
                <w:rFonts w:hint="eastAsia"/>
                <w:sz w:val="28"/>
                <w:szCs w:val="28"/>
              </w:rPr>
              <w:t>金流分析平臺</w:t>
            </w:r>
          </w:p>
        </w:tc>
        <w:tc>
          <w:tcPr>
            <w:tcW w:w="5578" w:type="dxa"/>
            <w:gridSpan w:val="2"/>
          </w:tcPr>
          <w:p w14:paraId="500D2C5A" w14:textId="77777777" w:rsidR="000B1C3C" w:rsidRPr="00C3310F" w:rsidRDefault="000B1C3C" w:rsidP="000B1C3C">
            <w:pPr>
              <w:pStyle w:val="4"/>
              <w:numPr>
                <w:ilvl w:val="0"/>
                <w:numId w:val="0"/>
              </w:numPr>
              <w:rPr>
                <w:sz w:val="28"/>
                <w:szCs w:val="28"/>
              </w:rPr>
            </w:pPr>
            <w:r w:rsidRPr="00C3310F">
              <w:rPr>
                <w:rFonts w:hint="eastAsia"/>
                <w:sz w:val="28"/>
                <w:szCs w:val="28"/>
              </w:rPr>
              <w:t>資金流向分析</w:t>
            </w:r>
          </w:p>
        </w:tc>
      </w:tr>
      <w:tr w:rsidR="00C3310F" w:rsidRPr="00C3310F" w14:paraId="119DDB73" w14:textId="77777777" w:rsidTr="000B1C3C">
        <w:tc>
          <w:tcPr>
            <w:tcW w:w="3261" w:type="dxa"/>
            <w:vMerge/>
            <w:vAlign w:val="center"/>
          </w:tcPr>
          <w:p w14:paraId="45CB521D" w14:textId="77777777" w:rsidR="000B1C3C" w:rsidRPr="00C3310F" w:rsidRDefault="000B1C3C" w:rsidP="000B1C3C">
            <w:pPr>
              <w:pStyle w:val="4"/>
              <w:numPr>
                <w:ilvl w:val="0"/>
                <w:numId w:val="0"/>
              </w:numPr>
              <w:rPr>
                <w:sz w:val="28"/>
                <w:szCs w:val="28"/>
              </w:rPr>
            </w:pPr>
          </w:p>
        </w:tc>
        <w:tc>
          <w:tcPr>
            <w:tcW w:w="5578" w:type="dxa"/>
            <w:gridSpan w:val="2"/>
          </w:tcPr>
          <w:p w14:paraId="2419ECCB" w14:textId="77777777" w:rsidR="000B1C3C" w:rsidRPr="00C3310F" w:rsidRDefault="000B1C3C" w:rsidP="000B1C3C">
            <w:pPr>
              <w:pStyle w:val="4"/>
              <w:numPr>
                <w:ilvl w:val="0"/>
                <w:numId w:val="0"/>
              </w:numPr>
              <w:rPr>
                <w:sz w:val="28"/>
                <w:szCs w:val="28"/>
              </w:rPr>
            </w:pPr>
            <w:r w:rsidRPr="00C3310F">
              <w:rPr>
                <w:rFonts w:hint="eastAsia"/>
                <w:sz w:val="28"/>
                <w:szCs w:val="28"/>
              </w:rPr>
              <w:t>扣押裁定附件</w:t>
            </w:r>
          </w:p>
        </w:tc>
      </w:tr>
      <w:tr w:rsidR="00C3310F" w:rsidRPr="00C3310F" w14:paraId="6766FC52" w14:textId="77777777" w:rsidTr="000B1C3C">
        <w:tc>
          <w:tcPr>
            <w:tcW w:w="3261" w:type="dxa"/>
            <w:vMerge/>
            <w:vAlign w:val="center"/>
          </w:tcPr>
          <w:p w14:paraId="6FF88AFD" w14:textId="77777777" w:rsidR="000B1C3C" w:rsidRPr="00C3310F" w:rsidRDefault="000B1C3C" w:rsidP="000B1C3C">
            <w:pPr>
              <w:pStyle w:val="4"/>
              <w:numPr>
                <w:ilvl w:val="0"/>
                <w:numId w:val="0"/>
              </w:numPr>
              <w:rPr>
                <w:sz w:val="28"/>
                <w:szCs w:val="28"/>
              </w:rPr>
            </w:pPr>
          </w:p>
        </w:tc>
        <w:tc>
          <w:tcPr>
            <w:tcW w:w="5578" w:type="dxa"/>
            <w:gridSpan w:val="2"/>
          </w:tcPr>
          <w:p w14:paraId="2CF8FF4D" w14:textId="77777777" w:rsidR="000B1C3C" w:rsidRPr="00C3310F" w:rsidRDefault="000B1C3C" w:rsidP="000B1C3C">
            <w:pPr>
              <w:pStyle w:val="4"/>
              <w:numPr>
                <w:ilvl w:val="0"/>
                <w:numId w:val="0"/>
              </w:numPr>
              <w:rPr>
                <w:sz w:val="28"/>
                <w:szCs w:val="28"/>
              </w:rPr>
            </w:pPr>
            <w:r w:rsidRPr="00C3310F">
              <w:rPr>
                <w:rFonts w:hint="eastAsia"/>
                <w:sz w:val="28"/>
                <w:szCs w:val="28"/>
              </w:rPr>
              <w:t>資金清查表</w:t>
            </w:r>
          </w:p>
        </w:tc>
      </w:tr>
      <w:tr w:rsidR="00C3310F" w:rsidRPr="00C3310F" w14:paraId="68370159" w14:textId="77777777" w:rsidTr="000B1C3C">
        <w:tc>
          <w:tcPr>
            <w:tcW w:w="3261" w:type="dxa"/>
            <w:vMerge/>
            <w:vAlign w:val="center"/>
          </w:tcPr>
          <w:p w14:paraId="74EABD56" w14:textId="77777777" w:rsidR="000B1C3C" w:rsidRPr="00C3310F" w:rsidRDefault="000B1C3C" w:rsidP="000B1C3C">
            <w:pPr>
              <w:pStyle w:val="4"/>
              <w:numPr>
                <w:ilvl w:val="0"/>
                <w:numId w:val="0"/>
              </w:numPr>
              <w:rPr>
                <w:sz w:val="28"/>
                <w:szCs w:val="28"/>
              </w:rPr>
            </w:pPr>
          </w:p>
        </w:tc>
        <w:tc>
          <w:tcPr>
            <w:tcW w:w="5578" w:type="dxa"/>
            <w:gridSpan w:val="2"/>
          </w:tcPr>
          <w:p w14:paraId="6C6E8D7E" w14:textId="77777777" w:rsidR="000B1C3C" w:rsidRPr="00C3310F" w:rsidRDefault="000B1C3C" w:rsidP="000B1C3C">
            <w:pPr>
              <w:pStyle w:val="4"/>
              <w:numPr>
                <w:ilvl w:val="0"/>
                <w:numId w:val="0"/>
              </w:numPr>
              <w:rPr>
                <w:sz w:val="28"/>
                <w:szCs w:val="28"/>
              </w:rPr>
            </w:pPr>
            <w:r w:rsidRPr="00C3310F">
              <w:rPr>
                <w:rFonts w:hint="eastAsia"/>
                <w:sz w:val="28"/>
                <w:szCs w:val="28"/>
              </w:rPr>
              <w:t>金融轉置</w:t>
            </w:r>
          </w:p>
        </w:tc>
      </w:tr>
      <w:tr w:rsidR="00C3310F" w:rsidRPr="00C3310F" w14:paraId="66B55707" w14:textId="77777777" w:rsidTr="000B1C3C">
        <w:tc>
          <w:tcPr>
            <w:tcW w:w="3261" w:type="dxa"/>
            <w:vMerge w:val="restart"/>
            <w:vAlign w:val="center"/>
          </w:tcPr>
          <w:p w14:paraId="213BA6CC" w14:textId="77777777" w:rsidR="000B1C3C" w:rsidRPr="00C3310F" w:rsidRDefault="000B1C3C" w:rsidP="000B1C3C">
            <w:pPr>
              <w:pStyle w:val="4"/>
              <w:numPr>
                <w:ilvl w:val="0"/>
                <w:numId w:val="0"/>
              </w:numPr>
              <w:rPr>
                <w:sz w:val="28"/>
                <w:szCs w:val="28"/>
              </w:rPr>
            </w:pPr>
            <w:r w:rsidRPr="00C3310F">
              <w:rPr>
                <w:rFonts w:hint="eastAsia"/>
                <w:sz w:val="28"/>
                <w:szCs w:val="28"/>
              </w:rPr>
              <w:t>警示預判</w:t>
            </w:r>
          </w:p>
        </w:tc>
        <w:tc>
          <w:tcPr>
            <w:tcW w:w="5578" w:type="dxa"/>
            <w:gridSpan w:val="2"/>
          </w:tcPr>
          <w:p w14:paraId="087AB66E" w14:textId="77777777" w:rsidR="000B1C3C" w:rsidRPr="00C3310F" w:rsidRDefault="000B1C3C" w:rsidP="000B1C3C">
            <w:pPr>
              <w:pStyle w:val="4"/>
              <w:numPr>
                <w:ilvl w:val="0"/>
                <w:numId w:val="0"/>
              </w:numPr>
              <w:rPr>
                <w:sz w:val="28"/>
                <w:szCs w:val="28"/>
              </w:rPr>
            </w:pPr>
            <w:r w:rsidRPr="00C3310F">
              <w:rPr>
                <w:rFonts w:hint="eastAsia"/>
                <w:sz w:val="28"/>
                <w:szCs w:val="28"/>
              </w:rPr>
              <w:t>入出境警示</w:t>
            </w:r>
          </w:p>
        </w:tc>
      </w:tr>
      <w:tr w:rsidR="00C3310F" w:rsidRPr="00C3310F" w14:paraId="35AF58BE" w14:textId="77777777" w:rsidTr="000B1C3C">
        <w:tc>
          <w:tcPr>
            <w:tcW w:w="3261" w:type="dxa"/>
            <w:vMerge/>
          </w:tcPr>
          <w:p w14:paraId="55D882CE" w14:textId="77777777" w:rsidR="000B1C3C" w:rsidRPr="00C3310F" w:rsidRDefault="000B1C3C" w:rsidP="000B1C3C">
            <w:pPr>
              <w:pStyle w:val="4"/>
              <w:numPr>
                <w:ilvl w:val="0"/>
                <w:numId w:val="0"/>
              </w:numPr>
              <w:rPr>
                <w:sz w:val="28"/>
                <w:szCs w:val="28"/>
              </w:rPr>
            </w:pPr>
          </w:p>
        </w:tc>
        <w:tc>
          <w:tcPr>
            <w:tcW w:w="5578" w:type="dxa"/>
            <w:gridSpan w:val="2"/>
          </w:tcPr>
          <w:p w14:paraId="6E1EFBD0" w14:textId="77777777" w:rsidR="000B1C3C" w:rsidRPr="00C3310F" w:rsidRDefault="000B1C3C" w:rsidP="000B1C3C">
            <w:pPr>
              <w:pStyle w:val="4"/>
              <w:numPr>
                <w:ilvl w:val="0"/>
                <w:numId w:val="0"/>
              </w:numPr>
              <w:rPr>
                <w:sz w:val="28"/>
                <w:szCs w:val="28"/>
              </w:rPr>
            </w:pPr>
            <w:r w:rsidRPr="00C3310F">
              <w:rPr>
                <w:rFonts w:hint="eastAsia"/>
                <w:sz w:val="28"/>
                <w:szCs w:val="28"/>
              </w:rPr>
              <w:t>警示訂閱</w:t>
            </w:r>
          </w:p>
        </w:tc>
      </w:tr>
      <w:tr w:rsidR="00C3310F" w:rsidRPr="00C3310F" w14:paraId="0802ABF5" w14:textId="77777777" w:rsidTr="000B1C3C">
        <w:tc>
          <w:tcPr>
            <w:tcW w:w="3261" w:type="dxa"/>
            <w:vMerge/>
          </w:tcPr>
          <w:p w14:paraId="22EC465E" w14:textId="77777777" w:rsidR="000B1C3C" w:rsidRPr="00C3310F" w:rsidRDefault="000B1C3C" w:rsidP="000B1C3C">
            <w:pPr>
              <w:pStyle w:val="4"/>
              <w:numPr>
                <w:ilvl w:val="0"/>
                <w:numId w:val="0"/>
              </w:numPr>
              <w:rPr>
                <w:sz w:val="28"/>
                <w:szCs w:val="28"/>
              </w:rPr>
            </w:pPr>
          </w:p>
        </w:tc>
        <w:tc>
          <w:tcPr>
            <w:tcW w:w="5578" w:type="dxa"/>
            <w:gridSpan w:val="2"/>
          </w:tcPr>
          <w:p w14:paraId="5D5459B7" w14:textId="77777777" w:rsidR="000B1C3C" w:rsidRPr="00C3310F" w:rsidRDefault="000B1C3C" w:rsidP="000B1C3C">
            <w:pPr>
              <w:pStyle w:val="4"/>
              <w:numPr>
                <w:ilvl w:val="0"/>
                <w:numId w:val="0"/>
              </w:numPr>
              <w:rPr>
                <w:sz w:val="28"/>
                <w:szCs w:val="28"/>
              </w:rPr>
            </w:pPr>
            <w:r w:rsidRPr="00C3310F">
              <w:rPr>
                <w:rFonts w:hint="eastAsia"/>
                <w:sz w:val="28"/>
                <w:szCs w:val="28"/>
              </w:rPr>
              <w:t>警示分析</w:t>
            </w:r>
          </w:p>
        </w:tc>
      </w:tr>
    </w:tbl>
    <w:p w14:paraId="698B8DC0" w14:textId="1F594CFA" w:rsidR="000B1C3C" w:rsidRPr="00C3310F" w:rsidRDefault="000B1C3C" w:rsidP="000B1C3C">
      <w:pPr>
        <w:rPr>
          <w:sz w:val="28"/>
        </w:rPr>
      </w:pPr>
      <w:r w:rsidRPr="00C3310F">
        <w:rPr>
          <w:rFonts w:hint="eastAsia"/>
          <w:sz w:val="28"/>
        </w:rPr>
        <w:t>資料來源：高檢署提供，本院自行整理</w:t>
      </w:r>
    </w:p>
    <w:p w14:paraId="3FEAD595" w14:textId="77777777" w:rsidR="00974023" w:rsidRPr="00C3310F" w:rsidRDefault="00974023" w:rsidP="000B1C3C">
      <w:pPr>
        <w:rPr>
          <w:sz w:val="28"/>
        </w:rPr>
      </w:pPr>
    </w:p>
    <w:p w14:paraId="29C9DDFC" w14:textId="772F672A" w:rsidR="000B1C3C" w:rsidRPr="00C3310F" w:rsidRDefault="000B1C3C" w:rsidP="000B1C3C">
      <w:pPr>
        <w:pStyle w:val="3"/>
        <w:ind w:leftChars="200"/>
      </w:pPr>
      <w:bookmarkStart w:id="1065" w:name="_Toc171525631"/>
      <w:bookmarkStart w:id="1066" w:name="_Toc172024152"/>
      <w:bookmarkStart w:id="1067" w:name="_Toc172033475"/>
      <w:r w:rsidRPr="00C3310F">
        <w:rPr>
          <w:rFonts w:hint="eastAsia"/>
        </w:rPr>
        <w:t>至於科技偵查手段鬆綁部分，基於</w:t>
      </w:r>
      <w:r w:rsidR="00A1409C" w:rsidRPr="00C3310F">
        <w:rPr>
          <w:rFonts w:hint="eastAsia"/>
        </w:rPr>
        <w:t>詐騙集團</w:t>
      </w:r>
      <w:r w:rsidRPr="00C3310F">
        <w:rPr>
          <w:rFonts w:hint="eastAsia"/>
        </w:rPr>
        <w:t>大量運用科技手段，傳統偵查手段已相形見</w:t>
      </w:r>
      <w:r w:rsidR="00D46B33" w:rsidRPr="00C3310F">
        <w:rPr>
          <w:rFonts w:hint="eastAsia"/>
        </w:rPr>
        <w:t>絀</w:t>
      </w:r>
      <w:r w:rsidRPr="00C3310F">
        <w:rPr>
          <w:rFonts w:hint="eastAsia"/>
        </w:rPr>
        <w:t>，故在延宕6年之後，科偵法及通保法終因打詐之嚴峻需求，而與「詐欺犯罪危害防制條例」一同納為「打詐新四法」，於113年5月9日通過行政院會並送立法院院審議，</w:t>
      </w:r>
      <w:r w:rsidR="00D15B75" w:rsidRPr="00C3310F">
        <w:rPr>
          <w:rFonts w:hint="eastAsia"/>
        </w:rPr>
        <w:t>通保法嗣於7月12日通過，科偵法草案則因立法政策，將相關內容改於刑事訴訟法增訂「特殊強制處分」，亦於7月16日三讀通過</w:t>
      </w:r>
      <w:r w:rsidRPr="00C3310F">
        <w:rPr>
          <w:rFonts w:hint="eastAsia"/>
        </w:rPr>
        <w:t>，則未來在通訊使用者資料、GPS及</w:t>
      </w:r>
      <w:r w:rsidRPr="00C3310F">
        <w:t>M</w:t>
      </w:r>
      <w:r w:rsidRPr="00C3310F">
        <w:rPr>
          <w:rFonts w:hint="eastAsia"/>
        </w:rPr>
        <w:t>化車方面將可成為偵查利器，以縮短檢警與詐騙集團之科技落差；然而人權團體仍不免對其鬆綁程度及授權情形有所疑慮，</w:t>
      </w:r>
      <w:r w:rsidR="00A1409C" w:rsidRPr="00C3310F">
        <w:rPr>
          <w:rFonts w:hint="eastAsia"/>
        </w:rPr>
        <w:t>本調查研究</w:t>
      </w:r>
      <w:r w:rsidRPr="00C3310F">
        <w:rPr>
          <w:rFonts w:hint="eastAsia"/>
        </w:rPr>
        <w:t>除爬梳雙方見解之外，原則上仍認為，我國詐騙情勢之所以如此嚴峻，本調查研究於結論與建議一已敘明，主要原因就在於政府法制、規管及政策未能充分跟進數位</w:t>
      </w:r>
      <w:r w:rsidRPr="00C3310F">
        <w:rPr>
          <w:rFonts w:hint="eastAsia"/>
        </w:rPr>
        <w:lastRenderedPageBreak/>
        <w:t>化、網路化及全球化之進程並加以治理，相同推論亦可適用於科技偵查，是以證據力與時效性兼備之偵查方法與工具，宜隨技術演進及犯罪模式與時俱進，如同通保法並未拘泥於電話尚未普及之紙本書信時代一樣，然無論人權團體意見是否涉及科技偵查手段適切性，若有部分條文確有需要其他內控或法制配套時，亦請行政院及法務部等相關機關審慎研議。</w:t>
      </w:r>
      <w:bookmarkEnd w:id="1065"/>
      <w:bookmarkEnd w:id="1066"/>
      <w:bookmarkEnd w:id="1067"/>
    </w:p>
    <w:p w14:paraId="4055E137" w14:textId="77777777" w:rsidR="000B1C3C" w:rsidRPr="00C3310F" w:rsidRDefault="000B1C3C" w:rsidP="000B1C3C">
      <w:pPr>
        <w:pStyle w:val="4"/>
      </w:pPr>
      <w:r w:rsidRPr="00C3310F">
        <w:rPr>
          <w:rFonts w:hint="eastAsia"/>
        </w:rPr>
        <w:t>本院諮詢學者專家對於科技偵查之見解:</w:t>
      </w:r>
    </w:p>
    <w:p w14:paraId="39ADDE90" w14:textId="77777777" w:rsidR="000B1C3C" w:rsidRPr="00C3310F" w:rsidRDefault="000B1C3C" w:rsidP="000B1C3C">
      <w:pPr>
        <w:pStyle w:val="5"/>
      </w:pPr>
      <w:r w:rsidRPr="00C3310F">
        <w:rPr>
          <w:rFonts w:hint="eastAsia"/>
        </w:rPr>
        <w:t>可不可以有好的科技工具分析出來他們跑的這個脈絡和路徑，也就是「以科技對付科技」，用傳統偵防是沒辦法逮到它的。</w:t>
      </w:r>
    </w:p>
    <w:p w14:paraId="5E3FFD26" w14:textId="77777777" w:rsidR="000B1C3C" w:rsidRPr="00C3310F" w:rsidRDefault="000B1C3C" w:rsidP="000B1C3C">
      <w:pPr>
        <w:pStyle w:val="5"/>
      </w:pPr>
      <w:r w:rsidRPr="00C3310F">
        <w:rPr>
          <w:rFonts w:hint="eastAsia"/>
        </w:rPr>
        <w:t>政府要給執法部門「科技對付科技」的資源量，我們現在的執法部門比不上這些犯罪集團的科技量，有足夠的科技量，才有辦法提高我們的刑罰的確定性。</w:t>
      </w:r>
    </w:p>
    <w:p w14:paraId="57DF758B" w14:textId="50E20114" w:rsidR="000B1C3C" w:rsidRPr="00C3310F" w:rsidRDefault="00974BEA" w:rsidP="000B1C3C">
      <w:pPr>
        <w:pStyle w:val="4"/>
      </w:pPr>
      <w:r w:rsidRPr="00C3310F">
        <w:rPr>
          <w:rFonts w:hint="eastAsia"/>
        </w:rPr>
        <w:t>臺灣大學</w:t>
      </w:r>
      <w:r w:rsidR="000B1C3C" w:rsidRPr="00C3310F">
        <w:rPr>
          <w:rFonts w:hint="eastAsia"/>
        </w:rPr>
        <w:t>林鈺雄教授於劍青檢改研討會中對科技偵查之重要論述：</w:t>
      </w:r>
    </w:p>
    <w:p w14:paraId="32AD2E10" w14:textId="77777777" w:rsidR="000B1C3C" w:rsidRPr="00C3310F" w:rsidRDefault="000B1C3C" w:rsidP="000B1C3C">
      <w:pPr>
        <w:pStyle w:val="5"/>
      </w:pPr>
      <w:r w:rsidRPr="00C3310F">
        <w:rPr>
          <w:rFonts w:hint="eastAsia"/>
        </w:rPr>
        <w:t>沒有科技偵查，就什麼東西都不用談，這叫做現代科技的武器平等原則。依照研究的結果，我們是全球唯一一個明文規範禁止使用GPS的國家。</w:t>
      </w:r>
    </w:p>
    <w:p w14:paraId="38CCEA1D" w14:textId="77777777" w:rsidR="000B1C3C" w:rsidRPr="00C3310F" w:rsidRDefault="000B1C3C" w:rsidP="000B1C3C">
      <w:pPr>
        <w:pStyle w:val="5"/>
      </w:pPr>
      <w:r w:rsidRPr="00C3310F">
        <w:rPr>
          <w:rFonts w:hint="eastAsia"/>
        </w:rPr>
        <w:t>中央一方面每年編列六</w:t>
      </w:r>
      <w:r w:rsidR="00974BEA" w:rsidRPr="00C3310F">
        <w:rPr>
          <w:rFonts w:hint="eastAsia"/>
        </w:rPr>
        <w:t>、</w:t>
      </w:r>
      <w:r w:rsidRPr="00C3310F">
        <w:rPr>
          <w:rFonts w:hint="eastAsia"/>
        </w:rPr>
        <w:t>七千萬在M化車預算，但是一方面禁用M化車。</w:t>
      </w:r>
    </w:p>
    <w:p w14:paraId="283E2D42" w14:textId="77777777" w:rsidR="000B1C3C" w:rsidRPr="00C3310F" w:rsidRDefault="000B1C3C" w:rsidP="000B1C3C">
      <w:pPr>
        <w:pStyle w:val="5"/>
      </w:pPr>
      <w:r w:rsidRPr="00C3310F">
        <w:rPr>
          <w:rFonts w:hint="eastAsia"/>
        </w:rPr>
        <w:t>據說我們的科技偵查裡面將不會有設備端的通訊監察，也就是說，以後詐騙集團的車手要跟上面的聯絡可以很放心。</w:t>
      </w:r>
    </w:p>
    <w:p w14:paraId="745B04D4" w14:textId="09504AB7" w:rsidR="000B1C3C" w:rsidRPr="00C3310F" w:rsidRDefault="000B1C3C" w:rsidP="000B1C3C">
      <w:pPr>
        <w:pStyle w:val="4"/>
      </w:pPr>
      <w:r w:rsidRPr="00C3310F">
        <w:rPr>
          <w:rFonts w:hint="eastAsia"/>
        </w:rPr>
        <w:t>科偵法及通保法係分別於109年</w:t>
      </w:r>
      <w:r w:rsidR="001C6CC3" w:rsidRPr="00C3310F">
        <w:rPr>
          <w:rFonts w:hint="eastAsia"/>
        </w:rPr>
        <w:t>及</w:t>
      </w:r>
      <w:r w:rsidRPr="00C3310F">
        <w:rPr>
          <w:rFonts w:hint="eastAsia"/>
        </w:rPr>
        <w:t>107年即由法務部提出草案，然經行政院多次召會研商條文，期間不乏招致人權或隱私權疑慮，惟在延宕多年後，終於經調整條文內容後在113年5月9日通過行政院</w:t>
      </w:r>
      <w:r w:rsidRPr="00C3310F">
        <w:rPr>
          <w:rFonts w:hint="eastAsia"/>
        </w:rPr>
        <w:lastRenderedPageBreak/>
        <w:t>會，並送立法院審查，據悉</w:t>
      </w:r>
      <w:r w:rsidRPr="00C3310F">
        <w:rPr>
          <w:rStyle w:val="afe"/>
        </w:rPr>
        <w:footnoteReference w:id="100"/>
      </w:r>
      <w:r w:rsidRPr="00C3310F">
        <w:rPr>
          <w:rFonts w:hint="eastAsia"/>
        </w:rPr>
        <w:t>《通訊保障及監察法》</w:t>
      </w:r>
      <w:r w:rsidR="00D15B75" w:rsidRPr="00C3310F">
        <w:rPr>
          <w:rFonts w:hint="eastAsia"/>
        </w:rPr>
        <w:t>已完成三讀</w:t>
      </w:r>
      <w:r w:rsidRPr="00C3310F">
        <w:rPr>
          <w:rFonts w:hint="eastAsia"/>
        </w:rPr>
        <w:t>，</w:t>
      </w:r>
      <w:r w:rsidR="009C37F5" w:rsidRPr="00C3310F">
        <w:rPr>
          <w:rFonts w:hint="eastAsia"/>
        </w:rPr>
        <w:t>而</w:t>
      </w:r>
      <w:r w:rsidRPr="00C3310F">
        <w:rPr>
          <w:rFonts w:hint="eastAsia"/>
        </w:rPr>
        <w:t>《科技偵查及保障法》</w:t>
      </w:r>
      <w:r w:rsidR="009C37F5" w:rsidRPr="00C3310F">
        <w:rPr>
          <w:rFonts w:hint="eastAsia"/>
        </w:rPr>
        <w:t>之內容則改於刑事訴訟法部分條文修正案增訂「特殊強制處分」</w:t>
      </w:r>
      <w:r w:rsidRPr="00C3310F">
        <w:rPr>
          <w:rFonts w:hint="eastAsia"/>
        </w:rPr>
        <w:t>。</w:t>
      </w:r>
    </w:p>
    <w:p w14:paraId="62D540A2" w14:textId="77777777" w:rsidR="000B1C3C" w:rsidRPr="00C3310F" w:rsidRDefault="000B1C3C" w:rsidP="000B1C3C">
      <w:pPr>
        <w:pStyle w:val="5"/>
      </w:pPr>
      <w:r w:rsidRPr="00C3310F">
        <w:rPr>
          <w:rFonts w:hint="eastAsia"/>
        </w:rPr>
        <w:t>於106年行政院海岸巡防署士官長裝設G</w:t>
      </w:r>
      <w:r w:rsidRPr="00C3310F">
        <w:t>PS</w:t>
      </w:r>
      <w:r w:rsidRPr="00C3310F">
        <w:rPr>
          <w:rFonts w:hint="eastAsia"/>
        </w:rPr>
        <w:t>案件被判有罪確定後，法務部經多次內部研商會議後，提出「科技偵查法草案」，並於1</w:t>
      </w:r>
      <w:r w:rsidRPr="00C3310F">
        <w:t>09</w:t>
      </w:r>
      <w:r w:rsidRPr="00C3310F">
        <w:rPr>
          <w:rFonts w:hint="eastAsia"/>
        </w:rPr>
        <w:t>年9月8月對外預告。鑑於外界對草案有諸多修正建議，法務部再經蒐集國內外實務發展及立法例，並舉辦2次國際研討會，召開2次跨機關及3次學者專家研商會議，於112年7月11日將「科技偵查及保障法」草案送請行政院審議。由行政院召開7次跨部會審查會議後，於113年5月9日行政院院會通過，</w:t>
      </w:r>
      <w:r w:rsidR="005E1B25" w:rsidRPr="00C3310F">
        <w:rPr>
          <w:rFonts w:hint="eastAsia"/>
        </w:rPr>
        <w:t>立法院則於7月16日將《科技偵查及保障法》相關內容改於刑事訴訟法部分條文修正案增訂「特殊強制處分」並經三讀通過</w:t>
      </w:r>
      <w:r w:rsidRPr="00C3310F">
        <w:rPr>
          <w:rFonts w:hint="eastAsia"/>
        </w:rPr>
        <w:t>。</w:t>
      </w:r>
    </w:p>
    <w:p w14:paraId="2A1D7E5D" w14:textId="77777777" w:rsidR="000B1C3C" w:rsidRPr="00C3310F" w:rsidRDefault="000B1C3C" w:rsidP="000B1C3C">
      <w:pPr>
        <w:pStyle w:val="5"/>
      </w:pPr>
      <w:r w:rsidRPr="00C3310F">
        <w:rPr>
          <w:rFonts w:hint="eastAsia"/>
        </w:rPr>
        <w:t>法務部於107年提出通訊保障及監察法修正草案，刪除調取通訊使用者資料及通信紀錄之規定，並增訂G</w:t>
      </w:r>
      <w:r w:rsidRPr="00C3310F">
        <w:t>PS</w:t>
      </w:r>
      <w:r w:rsidRPr="00C3310F">
        <w:rPr>
          <w:rFonts w:hint="eastAsia"/>
        </w:rPr>
        <w:t>條款及電信業者保存網路連線資料之義務，並送請行政院審查。嗣法務部於110年11月23日再度提出修正草案送請行政院審查，刪除G</w:t>
      </w:r>
      <w:r w:rsidRPr="00C3310F">
        <w:t>PS</w:t>
      </w:r>
      <w:r w:rsidRPr="00C3310F">
        <w:rPr>
          <w:rFonts w:hint="eastAsia"/>
        </w:rPr>
        <w:t>條款，並修正通訊使用者資料及通信紀錄之規定，明定保存及調取網路流量紀錄規定，俾利執法機關藉由分析數位足跡，有效溯源、追查網路犯罪。草案經行政院召開逾10次跨部會審查會議後，於113年5月9日經行政院院會通過，</w:t>
      </w:r>
      <w:r w:rsidR="00530FF0" w:rsidRPr="00C3310F">
        <w:rPr>
          <w:rFonts w:hint="eastAsia"/>
        </w:rPr>
        <w:t>業於7月12日立法院三讀通過</w:t>
      </w:r>
      <w:r w:rsidRPr="00C3310F">
        <w:rPr>
          <w:rFonts w:hint="eastAsia"/>
        </w:rPr>
        <w:t>。</w:t>
      </w:r>
    </w:p>
    <w:p w14:paraId="488584C2" w14:textId="2860BC3E" w:rsidR="000B1C3C" w:rsidRPr="00C3310F" w:rsidRDefault="000B1C3C" w:rsidP="000B1C3C">
      <w:pPr>
        <w:pStyle w:val="4"/>
      </w:pPr>
      <w:r w:rsidRPr="00C3310F">
        <w:rPr>
          <w:rFonts w:hint="eastAsia"/>
        </w:rPr>
        <w:t>財團法人民間司法改革基金會(下稱司改會)則於</w:t>
      </w:r>
      <w:r w:rsidRPr="00C3310F">
        <w:rPr>
          <w:rFonts w:hint="eastAsia"/>
        </w:rPr>
        <w:lastRenderedPageBreak/>
        <w:t>113年6月4日發布「</w:t>
      </w:r>
      <w:r w:rsidRPr="00C3310F">
        <w:rPr>
          <w:rFonts w:hint="eastAsia"/>
          <w:bCs/>
        </w:rPr>
        <w:t>監控開</w:t>
      </w:r>
      <w:r w:rsidRPr="00C3310F">
        <w:rPr>
          <w:rFonts w:hint="eastAsia"/>
        </w:rPr>
        <w:t>大門</w:t>
      </w:r>
      <w:r w:rsidRPr="00C3310F">
        <w:rPr>
          <w:rFonts w:hint="eastAsia"/>
          <w:bCs/>
        </w:rPr>
        <w:t>，國會同意嗎？</w:t>
      </w:r>
      <w:r w:rsidRPr="00C3310F">
        <w:rPr>
          <w:rFonts w:hint="eastAsia"/>
        </w:rPr>
        <w:t>民</w:t>
      </w:r>
      <w:r w:rsidRPr="00C3310F">
        <w:rPr>
          <w:rFonts w:hint="eastAsia"/>
          <w:bCs/>
        </w:rPr>
        <w:t>間團體聯合記者會新聞稿」指出對於「詐欺犯罪危害防制條例」及「通保法」提出仍存有人權及隱私權疑慮，包括巨幅擴增監控項目、下修監控門檻：《通保法》草案</w:t>
      </w:r>
      <w:r w:rsidR="00530FF0" w:rsidRPr="00C3310F">
        <w:rPr>
          <w:rFonts w:hint="eastAsia"/>
          <w:bCs/>
          <w:sz w:val="28"/>
        </w:rPr>
        <w:t>(按:通保法已於7月13日三讀通過)</w:t>
      </w:r>
      <w:r w:rsidRPr="00C3310F">
        <w:rPr>
          <w:rFonts w:hint="eastAsia"/>
          <w:bCs/>
        </w:rPr>
        <w:t>侵害隱私、資訊自主等，本節摘述司改會對於「通保法」大幅放寬監控項目及門檻之疑慮如下</w:t>
      </w:r>
      <w:r w:rsidR="00974023" w:rsidRPr="00C3310F">
        <w:rPr>
          <w:rFonts w:hint="eastAsia"/>
          <w:bCs/>
        </w:rPr>
        <w:t>。</w:t>
      </w:r>
      <w:r w:rsidRPr="00C3310F">
        <w:rPr>
          <w:rFonts w:hint="eastAsia"/>
          <w:bCs/>
        </w:rPr>
        <w:t>本調查研究並發現，過去經常遭受質疑的科偵法目前尚未出現質疑聲浪，惟仍建議法務部持續對外溝通，並評估建立適當內控或子法配套機制之可行性。</w:t>
      </w:r>
    </w:p>
    <w:p w14:paraId="4542F18D" w14:textId="77777777" w:rsidR="000B1C3C" w:rsidRPr="00C3310F" w:rsidRDefault="000B1C3C" w:rsidP="000B1C3C">
      <w:pPr>
        <w:pStyle w:val="6"/>
      </w:pPr>
      <w:bookmarkStart w:id="1068" w:name="_Toc171525632"/>
      <w:bookmarkStart w:id="1069" w:name="_Toc172024153"/>
      <w:bookmarkStart w:id="1070" w:name="_Toc172033476"/>
      <w:r w:rsidRPr="00C3310F">
        <w:rPr>
          <w:rFonts w:hint="eastAsia"/>
        </w:rPr>
        <w:t>本次修法，行政院認為不需要「檢察官保留」或「法官保留」，警察偵辦所有的刑事案件，皆可逕行取得嫌疑人的使用者資料；對此重大變革，行政院提出的理由僅為「使用者資料涉及隱私程度較低，因此並非秘密通訊自由的保障範圍」。司改會認為此一政策轉變的正當性有疑問，說明也不充足。</w:t>
      </w:r>
      <w:bookmarkEnd w:id="1068"/>
      <w:bookmarkEnd w:id="1069"/>
      <w:bookmarkEnd w:id="1070"/>
    </w:p>
    <w:p w14:paraId="3439775B" w14:textId="77777777" w:rsidR="000B1C3C" w:rsidRPr="00C3310F" w:rsidRDefault="000B1C3C" w:rsidP="000B1C3C">
      <w:pPr>
        <w:pStyle w:val="6"/>
      </w:pPr>
      <w:bookmarkStart w:id="1071" w:name="_Toc171525633"/>
      <w:bookmarkStart w:id="1072" w:name="_Toc172024154"/>
      <w:bookmarkStart w:id="1073" w:name="_Toc172033477"/>
      <w:r w:rsidRPr="00C3310F">
        <w:rPr>
          <w:rFonts w:hint="eastAsia"/>
        </w:rPr>
        <w:t>草案如通過，9成的案件都不會經過法院，檢警便可取得上開「網路流量紀錄」。對此，行政院也未公布對人權的負面影響，缺乏有具體的評估及說明，僅是舉起「打詐」的大旗，便要人民及立法院同意這張空白的政策支 票。</w:t>
      </w:r>
      <w:bookmarkEnd w:id="1071"/>
      <w:bookmarkEnd w:id="1072"/>
      <w:bookmarkEnd w:id="1073"/>
    </w:p>
    <w:p w14:paraId="1BA49C54" w14:textId="77777777" w:rsidR="000B1C3C" w:rsidRPr="00C3310F" w:rsidRDefault="000B1C3C" w:rsidP="000B1C3C">
      <w:pPr>
        <w:pStyle w:val="4"/>
      </w:pPr>
      <w:r w:rsidRPr="00C3310F">
        <w:rPr>
          <w:rFonts w:hint="eastAsia"/>
        </w:rPr>
        <w:t>法務部認為科偵法及通保法通過</w:t>
      </w:r>
      <w:r w:rsidR="00D15B75" w:rsidRPr="00C3310F">
        <w:rPr>
          <w:rFonts w:hint="eastAsia"/>
        </w:rPr>
        <w:t>後</w:t>
      </w:r>
      <w:r w:rsidRPr="00C3310F">
        <w:rPr>
          <w:rFonts w:hint="eastAsia"/>
        </w:rPr>
        <w:t>，對於檢警使用M化設備將產生偵查實務上的變革包括：</w:t>
      </w:r>
    </w:p>
    <w:p w14:paraId="150DF3D2" w14:textId="77777777" w:rsidR="000B1C3C" w:rsidRPr="00C3310F" w:rsidRDefault="000B1C3C" w:rsidP="000B1C3C">
      <w:pPr>
        <w:pStyle w:val="5"/>
      </w:pPr>
      <w:r w:rsidRPr="00C3310F">
        <w:rPr>
          <w:rFonts w:hint="eastAsia"/>
        </w:rPr>
        <w:t>行政院版草案就M化車之利用規範於「科技偵查及保障法」草案第3條，即調查行動通訊</w:t>
      </w:r>
      <w:r w:rsidR="00974BEA" w:rsidRPr="00C3310F">
        <w:rPr>
          <w:rFonts w:hint="eastAsia"/>
        </w:rPr>
        <w:t>設</w:t>
      </w:r>
      <w:r w:rsidRPr="00C3310F">
        <w:rPr>
          <w:rFonts w:hint="eastAsia"/>
        </w:rPr>
        <w:t>備之位置、設備號碼或使用之卡片號碼。因考量行動通訊設備─如手機，與個人之連結性高，且個人對之有較高隱私期待，故採法官保留原則，實施</w:t>
      </w:r>
      <w:r w:rsidRPr="00C3310F">
        <w:rPr>
          <w:rFonts w:hint="eastAsia"/>
        </w:rPr>
        <w:lastRenderedPageBreak/>
        <w:t>調查前應由檢察官依職權或由司法警察官報請檢察官許可，向法院聲請核發許可書後為之。調查過程中，因技術無可避免取得第三人個人資料，僅得供調查目的之比對，且於調查實施結束後應即刪除。</w:t>
      </w:r>
    </w:p>
    <w:p w14:paraId="534F86B2" w14:textId="77777777" w:rsidR="000B1C3C" w:rsidRPr="00C3310F" w:rsidRDefault="000B1C3C" w:rsidP="000B1C3C">
      <w:pPr>
        <w:pStyle w:val="5"/>
      </w:pPr>
      <w:r w:rsidRPr="00C3310F">
        <w:rPr>
          <w:rFonts w:hint="eastAsia"/>
        </w:rPr>
        <w:t>未來檢、警即可合法利用M化車進行調查，合法蒐證所得之證據亦可為證明詐欺犯罪之有力證據。其中對於車手去向、水房或機房位置，甚至首腦身分、位置，均有一定之查緝效用，助益甚大</w:t>
      </w:r>
    </w:p>
    <w:p w14:paraId="2CEF387A" w14:textId="77777777" w:rsidR="000B1C3C" w:rsidRPr="00C3310F" w:rsidRDefault="000B1C3C" w:rsidP="000B1C3C">
      <w:pPr>
        <w:pStyle w:val="5"/>
      </w:pPr>
      <w:r w:rsidRPr="00C3310F">
        <w:rPr>
          <w:rFonts w:hint="eastAsia"/>
        </w:rPr>
        <w:t>在無法律授權之情況下，使用M化設備執行偵查工作，除可能涉及侵害人民權益外，以往使用M化車定位追蹤手段進行偵查之案件，亦曾有經法院裁定不具證據能力，致犯罪集團最終判決無罪情形。若相關法案按行政院版本通過，在法律規範之要件與程序下授權執法人員使用科技偵查工具，可依比例原則調和偵查目的與科技設備運用手段，避免犯罪調查手段落後科技發展，同時強化對各類犯罪案件之查緝力道，應能兼顧社會安全與民眾權益。</w:t>
      </w:r>
    </w:p>
    <w:p w14:paraId="705663AE" w14:textId="77777777" w:rsidR="000B1C3C" w:rsidRPr="00C3310F" w:rsidRDefault="000B1C3C" w:rsidP="000B1C3C">
      <w:pPr>
        <w:pStyle w:val="5"/>
      </w:pPr>
      <w:r w:rsidRPr="00C3310F">
        <w:rPr>
          <w:rFonts w:hint="eastAsia"/>
        </w:rPr>
        <w:tab/>
        <w:t>使用M化設備可有效精準掌握犯罪地點：利用M化車調查行動通訊設備資訊，能讓執法人員得以掌握可能犯罪處所，如詐欺機（水）房、嫌犯或受拘禁被害人藏匿處所等，透過科技偵查設備可大幅縮短偵查時間，有效掌握犯罪現場狀況並精準打擊犯罪，對於後續溯源追緝集團上游核心具正面幫助。</w:t>
      </w:r>
    </w:p>
    <w:p w14:paraId="3D3AEF5D" w14:textId="77777777" w:rsidR="000B1C3C" w:rsidRPr="00C3310F" w:rsidRDefault="000B1C3C" w:rsidP="000B1C3C">
      <w:pPr>
        <w:pStyle w:val="3"/>
      </w:pPr>
      <w:bookmarkStart w:id="1074" w:name="_Toc171525634"/>
      <w:bookmarkStart w:id="1075" w:name="_Toc172024155"/>
      <w:bookmarkStart w:id="1076" w:name="_Toc172033478"/>
      <w:r w:rsidRPr="00C3310F">
        <w:rPr>
          <w:rFonts w:hint="eastAsia"/>
        </w:rPr>
        <w:t>經研析英國於2023年6月公布之打詐策略(Fraud Strategy: stopping　scams and protecting the public)發現，英國政府在懲詐面欲推動之科技偵</w:t>
      </w:r>
      <w:r w:rsidRPr="00C3310F">
        <w:rPr>
          <w:rFonts w:hint="eastAsia"/>
        </w:rPr>
        <w:lastRenderedPageBreak/>
        <w:t>查、人員招聘、數位證據處理等方向與我國相符；而在情報合作、警務訓練、資料調取方面則優於我國，值得行政院於擬定「打詐綱領2.0」時予以評估。</w:t>
      </w:r>
      <w:bookmarkEnd w:id="1074"/>
      <w:bookmarkEnd w:id="1075"/>
      <w:bookmarkEnd w:id="1076"/>
    </w:p>
    <w:p w14:paraId="18FDA505" w14:textId="77777777" w:rsidR="000B1C3C" w:rsidRPr="00C3310F" w:rsidRDefault="000B1C3C" w:rsidP="000B1C3C">
      <w:pPr>
        <w:pStyle w:val="4"/>
      </w:pPr>
      <w:r w:rsidRPr="00C3310F">
        <w:rPr>
          <w:rFonts w:hint="eastAsia"/>
        </w:rPr>
        <w:t>在強化科技偵查方面，英國政府認為現代科技使得從境外實施詐欺變得容易，這使傳統的偵查方法受挫，並阻礙了將詐欺者繩之以法的能力，政府必須加以因應，是以我國科偵法及通保法之修法方向應屬合乎世界潮流。</w:t>
      </w:r>
    </w:p>
    <w:p w14:paraId="55B06950" w14:textId="77777777" w:rsidR="000B1C3C" w:rsidRPr="00C3310F" w:rsidRDefault="000B1C3C" w:rsidP="000B1C3C">
      <w:pPr>
        <w:pStyle w:val="4"/>
      </w:pPr>
      <w:r w:rsidRPr="00C3310F">
        <w:rPr>
          <w:rFonts w:hint="eastAsia"/>
        </w:rPr>
        <w:t>其次，英國成立一個由400多名新專業調查員組成的新的國家反詐欺小組，在這部分確實優於我國檢警單位多以任務編組或臨時聘僱方式增加人力，卻未實際增加員額之方式，值得法務部及高檢署於爭取檢察官助理時參考。</w:t>
      </w:r>
    </w:p>
    <w:p w14:paraId="6BC4FA40" w14:textId="31768747" w:rsidR="000B1C3C" w:rsidRPr="00C3310F" w:rsidRDefault="000B1C3C" w:rsidP="000B1C3C">
      <w:pPr>
        <w:pStyle w:val="4"/>
      </w:pPr>
      <w:r w:rsidRPr="00C3310F">
        <w:rPr>
          <w:rFonts w:hint="eastAsia"/>
        </w:rPr>
        <w:t>此外，英國內政部和警務學院(</w:t>
      </w:r>
      <w:r w:rsidR="00343424" w:rsidRPr="00C3310F">
        <w:rPr>
          <w:rFonts w:hint="eastAsia"/>
        </w:rPr>
        <w:t>Co</w:t>
      </w:r>
      <w:r w:rsidR="00343424" w:rsidRPr="00C3310F">
        <w:t>llege of Policing,</w:t>
      </w:r>
      <w:r w:rsidRPr="00C3310F">
        <w:rPr>
          <w:rFonts w:hint="eastAsia"/>
        </w:rPr>
        <w:t>CoP)將促進警方數位技能的整體培訓，非常值得警政署進一步了解英國具體作法及訓練方式。</w:t>
      </w:r>
    </w:p>
    <w:p w14:paraId="7EC1616E" w14:textId="3E7FE5CF" w:rsidR="000B1C3C" w:rsidRPr="00C3310F" w:rsidRDefault="000B1C3C" w:rsidP="000B1C3C">
      <w:pPr>
        <w:pStyle w:val="4"/>
      </w:pPr>
      <w:r w:rsidRPr="00C3310F">
        <w:rPr>
          <w:rFonts w:hint="eastAsia"/>
        </w:rPr>
        <w:t>在偵辦詐欺案件方面由於資訊流及金流均已數位化，故特別需要處理數位證據，英國政府僅指出需使擁有大量數位證據的案件的揭露制度現代化，具體</w:t>
      </w:r>
      <w:r w:rsidR="00572038" w:rsidRPr="00C3310F">
        <w:rPr>
          <w:rFonts w:hint="eastAsia"/>
        </w:rPr>
        <w:t>作</w:t>
      </w:r>
      <w:r w:rsidRPr="00C3310F">
        <w:rPr>
          <w:rFonts w:hint="eastAsia"/>
        </w:rPr>
        <w:t>法並未詳述，有待檢警調進一步了解或交流。</w:t>
      </w:r>
    </w:p>
    <w:p w14:paraId="5BC3C6A6" w14:textId="77777777" w:rsidR="000B1C3C" w:rsidRPr="00C3310F" w:rsidRDefault="000B1C3C" w:rsidP="000B1C3C">
      <w:pPr>
        <w:pStyle w:val="4"/>
      </w:pPr>
      <w:r w:rsidRPr="00C3310F">
        <w:rPr>
          <w:rFonts w:hint="eastAsia"/>
        </w:rPr>
        <w:t>英國政府擬在英國情報界部署一個以詐欺情資為重點的部門，以更好的情資驅動調查；換言之，英國已將懲詐提升至國安層級，至於對於我國懲詐措施有無參考價值，則有賴相關機關評估。</w:t>
      </w:r>
    </w:p>
    <w:p w14:paraId="00A8BABB" w14:textId="5862EC7B" w:rsidR="000B1C3C" w:rsidRPr="00C3310F" w:rsidRDefault="000B1C3C" w:rsidP="000B1C3C">
      <w:pPr>
        <w:pStyle w:val="4"/>
      </w:pPr>
      <w:r w:rsidRPr="00C3310F">
        <w:rPr>
          <w:rFonts w:hint="eastAsia"/>
        </w:rPr>
        <w:t>英國政府擬整合使用英美資料存取協定：所有調查人員從美國科技公司取得資料都是困難且耗時的</w:t>
      </w:r>
      <w:r w:rsidR="00572038" w:rsidRPr="00C3310F">
        <w:rPr>
          <w:rFonts w:hint="eastAsia"/>
        </w:rPr>
        <w:t>，</w:t>
      </w:r>
      <w:r w:rsidRPr="00C3310F">
        <w:rPr>
          <w:rFonts w:hint="eastAsia"/>
        </w:rPr>
        <w:t>對於依賴大量數位數據的詐欺調查尤其如此。英國政府正在讓檢察官更輕鬆地獲取偵查和調查</w:t>
      </w:r>
      <w:r w:rsidRPr="00C3310F">
        <w:rPr>
          <w:rFonts w:hint="eastAsia"/>
        </w:rPr>
        <w:lastRenderedPageBreak/>
        <w:t>詐欺並確保起訴所需的數位證據。2022年10月生效的英美數據存取協議允許英國公共當局直接從美國公司獲取數據，以預防、偵查、調查和起訴包括詐欺在內的嚴重犯罪。這部分之規劃在我國雖不具類似條件，但仍建議相關部會應持續透過合作關係強化爭取類似協議。</w:t>
      </w:r>
    </w:p>
    <w:p w14:paraId="5D903CD2" w14:textId="63D0F495" w:rsidR="003D434B" w:rsidRPr="00C3310F" w:rsidRDefault="000B1C3C" w:rsidP="00572038">
      <w:pPr>
        <w:pStyle w:val="3"/>
      </w:pPr>
      <w:bookmarkStart w:id="1077" w:name="_Toc171525635"/>
      <w:bookmarkStart w:id="1078" w:name="_Toc172024156"/>
      <w:bookmarkStart w:id="1079" w:name="_Toc172033479"/>
      <w:r w:rsidRPr="00C3310F">
        <w:rPr>
          <w:rFonts w:hint="eastAsia"/>
        </w:rPr>
        <w:t>綜上，在懲詐面之偵查部分，檢警在偵破集團、移送案件及查扣返還金額上持續進步，惟詐欺案件</w:t>
      </w:r>
      <w:r w:rsidR="00974BEA" w:rsidRPr="00C3310F">
        <w:rPr>
          <w:rFonts w:hint="eastAsia"/>
        </w:rPr>
        <w:t>持</w:t>
      </w:r>
      <w:r w:rsidRPr="00C3310F">
        <w:rPr>
          <w:rFonts w:hint="eastAsia"/>
        </w:rPr>
        <w:t>續高發及欠缺科技偵查工具的情況下，對檢警正常偵辦量能、效率及證據力仍極具挑戰，</w:t>
      </w:r>
      <w:r w:rsidR="00A1409C" w:rsidRPr="00C3310F">
        <w:rPr>
          <w:rFonts w:hint="eastAsia"/>
        </w:rPr>
        <w:t>本調查研究</w:t>
      </w:r>
      <w:r w:rsidRPr="00C3310F">
        <w:rPr>
          <w:rFonts w:hint="eastAsia"/>
        </w:rPr>
        <w:t>建議行政院協助法務部及高檢署持續積極推動及爭取內部措施，如檢察官助理、AI智慧輔助系統、被告總歸戶、建置全國反詐騙資料庫分析、設立科技偵查支援辦公室等措施；而為因應打詐之嚴峻需求並縮短檢警與</w:t>
      </w:r>
      <w:r w:rsidR="00A1409C" w:rsidRPr="00C3310F">
        <w:rPr>
          <w:rFonts w:hint="eastAsia"/>
        </w:rPr>
        <w:t>詐騙集團</w:t>
      </w:r>
      <w:r w:rsidRPr="00C3310F">
        <w:rPr>
          <w:rFonts w:hint="eastAsia"/>
        </w:rPr>
        <w:t>之科技差距，行政院</w:t>
      </w:r>
      <w:r w:rsidR="005E1B25" w:rsidRPr="00C3310F">
        <w:rPr>
          <w:rFonts w:hint="eastAsia"/>
        </w:rPr>
        <w:t>在「通訊保障及監察法」及刑事訴訟法「特殊強制處分」三讀通過後，宜驗證其成效</w:t>
      </w:r>
      <w:r w:rsidRPr="00C3310F">
        <w:rPr>
          <w:rFonts w:hint="eastAsia"/>
        </w:rPr>
        <w:t>，並同時評估內控及配套措施，以降低侵害人權之疑慮。</w:t>
      </w:r>
      <w:bookmarkEnd w:id="1077"/>
      <w:bookmarkEnd w:id="1078"/>
      <w:bookmarkEnd w:id="1079"/>
    </w:p>
    <w:p w14:paraId="2E007D3A" w14:textId="35E339DF" w:rsidR="003F5B7B" w:rsidRPr="00C3310F" w:rsidRDefault="003D434B" w:rsidP="003D434B">
      <w:pPr>
        <w:widowControl/>
        <w:overflowPunct/>
        <w:autoSpaceDE/>
        <w:autoSpaceDN/>
        <w:jc w:val="left"/>
        <w:rPr>
          <w:rFonts w:hAnsi="Arial"/>
          <w:bCs/>
          <w:kern w:val="32"/>
          <w:szCs w:val="36"/>
        </w:rPr>
      </w:pPr>
      <w:r w:rsidRPr="00C3310F">
        <w:br w:type="page"/>
      </w:r>
    </w:p>
    <w:p w14:paraId="017A300A" w14:textId="2067C08A" w:rsidR="000B1C3C" w:rsidRPr="00C3310F" w:rsidRDefault="000B1C3C" w:rsidP="000B1C3C">
      <w:pPr>
        <w:pStyle w:val="2"/>
        <w:ind w:left="1023"/>
        <w:rPr>
          <w:b/>
        </w:rPr>
      </w:pPr>
      <w:bookmarkStart w:id="1080" w:name="_Toc172033480"/>
      <w:r w:rsidRPr="00C3310F">
        <w:rPr>
          <w:rFonts w:hint="eastAsia"/>
          <w:b/>
        </w:rPr>
        <w:lastRenderedPageBreak/>
        <w:t>在懲詐面，</w:t>
      </w:r>
      <w:r w:rsidR="00530FF0" w:rsidRPr="00C3310F">
        <w:rPr>
          <w:rFonts w:hint="eastAsia"/>
          <w:b/>
        </w:rPr>
        <w:t>甫於113年7月12日立法院三讀通過之「詐欺犯罪危害防制條例」(打詐專法)</w:t>
      </w:r>
      <w:r w:rsidR="00572038" w:rsidRPr="00C3310F">
        <w:rPr>
          <w:rFonts w:hint="eastAsia"/>
          <w:b/>
        </w:rPr>
        <w:t>，業</w:t>
      </w:r>
      <w:r w:rsidR="00DD7F8B" w:rsidRPr="00C3310F">
        <w:rPr>
          <w:rFonts w:hint="eastAsia"/>
          <w:b/>
        </w:rPr>
        <w:t>於</w:t>
      </w:r>
      <w:r w:rsidR="00572038" w:rsidRPr="00C3310F">
        <w:rPr>
          <w:rFonts w:hint="eastAsia"/>
          <w:b/>
        </w:rPr>
        <w:t>113年7月31日公布，</w:t>
      </w:r>
      <w:r w:rsidRPr="00C3310F">
        <w:rPr>
          <w:rFonts w:hint="eastAsia"/>
          <w:b/>
        </w:rPr>
        <w:t>雖已加重詐欺相關刑責，但仍不足以對犯罪形成足夠之嚇阻力，尚賴審判體系作為整體打詐環節的最後一道防線，</w:t>
      </w:r>
      <w:r w:rsidR="00A1409C" w:rsidRPr="00C3310F">
        <w:rPr>
          <w:rFonts w:hint="eastAsia"/>
          <w:b/>
        </w:rPr>
        <w:t>本調查研究</w:t>
      </w:r>
      <w:r w:rsidRPr="00C3310F">
        <w:rPr>
          <w:rFonts w:hint="eastAsia"/>
          <w:b/>
        </w:rPr>
        <w:t>經蒐整有關懲詐面於審判階段之各界意見，發現</w:t>
      </w:r>
      <w:r w:rsidR="005E1B25" w:rsidRPr="00C3310F">
        <w:rPr>
          <w:rFonts w:hint="eastAsia"/>
          <w:b/>
        </w:rPr>
        <w:t>立法院於113年7月16日</w:t>
      </w:r>
      <w:r w:rsidR="002A699A" w:rsidRPr="00C3310F">
        <w:rPr>
          <w:rFonts w:hint="eastAsia"/>
          <w:b/>
        </w:rPr>
        <w:t>將科技偵查內容增訂於</w:t>
      </w:r>
      <w:r w:rsidR="005E1B25" w:rsidRPr="00C3310F">
        <w:rPr>
          <w:rFonts w:hint="eastAsia"/>
          <w:b/>
        </w:rPr>
        <w:t>刑訴法「特殊強制處分」</w:t>
      </w:r>
      <w:r w:rsidR="002A699A" w:rsidRPr="00C3310F">
        <w:rPr>
          <w:rFonts w:hint="eastAsia"/>
          <w:b/>
        </w:rPr>
        <w:t>條文後，已部</w:t>
      </w:r>
      <w:r w:rsidR="00D46B33" w:rsidRPr="00C3310F">
        <w:rPr>
          <w:rFonts w:hint="eastAsia"/>
          <w:b/>
        </w:rPr>
        <w:t>分</w:t>
      </w:r>
      <w:r w:rsidR="002A699A" w:rsidRPr="00C3310F">
        <w:rPr>
          <w:rFonts w:hint="eastAsia"/>
          <w:b/>
        </w:rPr>
        <w:t>解決立法政策爭議</w:t>
      </w:r>
      <w:r w:rsidRPr="00C3310F">
        <w:rPr>
          <w:rFonts w:hint="eastAsia"/>
          <w:b/>
        </w:rPr>
        <w:t>，</w:t>
      </w:r>
      <w:r w:rsidR="002A699A" w:rsidRPr="00C3310F">
        <w:rPr>
          <w:rFonts w:hint="eastAsia"/>
          <w:b/>
        </w:rPr>
        <w:t>然而</w:t>
      </w:r>
      <w:r w:rsidRPr="00C3310F">
        <w:rPr>
          <w:rFonts w:hint="eastAsia"/>
          <w:b/>
        </w:rPr>
        <w:t>詐欺犯罪量刑及想像競合犯、數罪併罰定應執行刑之議題</w:t>
      </w:r>
      <w:r w:rsidR="002A699A" w:rsidRPr="00C3310F">
        <w:rPr>
          <w:rFonts w:hint="eastAsia"/>
          <w:b/>
        </w:rPr>
        <w:t>則尚有爭論</w:t>
      </w:r>
      <w:r w:rsidRPr="00C3310F">
        <w:rPr>
          <w:rFonts w:hint="eastAsia"/>
          <w:b/>
        </w:rPr>
        <w:t>；</w:t>
      </w:r>
      <w:r w:rsidR="00A1409C" w:rsidRPr="00C3310F">
        <w:rPr>
          <w:rFonts w:hint="eastAsia"/>
          <w:b/>
        </w:rPr>
        <w:t>本調查研究</w:t>
      </w:r>
      <w:r w:rsidRPr="00C3310F">
        <w:rPr>
          <w:rFonts w:hint="eastAsia"/>
          <w:b/>
        </w:rPr>
        <w:t>於涉及審判獨立原則部分，僅歸納各界及先進國家之意見或作法供審判機關參考，至於其他與司法行政相關之研究發現，例如詐欺專業法庭等，亦一併臚陳供參。</w:t>
      </w:r>
      <w:bookmarkEnd w:id="1080"/>
    </w:p>
    <w:p w14:paraId="4791AAC0" w14:textId="1153FBBE" w:rsidR="000B1C3C" w:rsidRPr="00C3310F" w:rsidRDefault="000B1C3C" w:rsidP="000B1C3C">
      <w:pPr>
        <w:pStyle w:val="3"/>
      </w:pPr>
      <w:bookmarkStart w:id="1081" w:name="_Toc171525637"/>
      <w:bookmarkStart w:id="1082" w:name="_Toc172024158"/>
      <w:bookmarkStart w:id="1083" w:name="_Toc172033481"/>
      <w:r w:rsidRPr="00C3310F">
        <w:rPr>
          <w:rFonts w:hint="eastAsia"/>
        </w:rPr>
        <w:t>在加重詐欺犯罪刑責以增加嚇阻力部分，英國於2023年6月公布之打詐策略敘明將檢討該國2006年《詐欺法》是否能夠應對現代詐欺的挑戰，包括處罰是否仍與犯罪相符等議題；而我國先於112年5月透過「打詐五法」修訂「刑法」，以因應經常發生(強)控車</w:t>
      </w:r>
      <w:r w:rsidR="00085ED8" w:rsidRPr="00C3310F">
        <w:rPr>
          <w:rStyle w:val="afe"/>
        </w:rPr>
        <w:footnoteReference w:id="101"/>
      </w:r>
      <w:r w:rsidRPr="00C3310F">
        <w:rPr>
          <w:rFonts w:hint="eastAsia"/>
        </w:rPr>
        <w:t>事件，甚至導致死亡；另因應</w:t>
      </w:r>
      <w:r w:rsidRPr="00C3310F">
        <w:t>Deepfake</w:t>
      </w:r>
      <w:r w:rsidRPr="00C3310F">
        <w:rPr>
          <w:rFonts w:hint="eastAsia"/>
        </w:rPr>
        <w:t>等新科技成為新詐騙術；行政院復於113年5月9日於行政院會通過「打詐新四法」送立法院審議</w:t>
      </w:r>
      <w:r w:rsidR="00530FF0" w:rsidRPr="00C3310F">
        <w:rPr>
          <w:rFonts w:hint="eastAsia"/>
        </w:rPr>
        <w:t>，詐欺犯罪危害防制條例至</w:t>
      </w:r>
      <w:r w:rsidR="00572038" w:rsidRPr="00C3310F">
        <w:rPr>
          <w:rFonts w:hint="eastAsia"/>
        </w:rPr>
        <w:t>113年</w:t>
      </w:r>
      <w:r w:rsidR="00530FF0" w:rsidRPr="00C3310F">
        <w:rPr>
          <w:rFonts w:hint="eastAsia"/>
        </w:rPr>
        <w:t>7月12日已三讀通過</w:t>
      </w:r>
      <w:r w:rsidRPr="00C3310F">
        <w:rPr>
          <w:rFonts w:hint="eastAsia"/>
        </w:rPr>
        <w:t>，</w:t>
      </w:r>
      <w:r w:rsidR="00530FF0" w:rsidRPr="00C3310F">
        <w:rPr>
          <w:rFonts w:hint="eastAsia"/>
        </w:rPr>
        <w:t>已</w:t>
      </w:r>
      <w:r w:rsidRPr="00C3310F">
        <w:rPr>
          <w:rFonts w:hint="eastAsia"/>
        </w:rPr>
        <w:t>納入高額財損加重詐欺罪與三人以上複合型態及在境外對境內之人犯詐欺罪加重刑責之規定。顯見各國國情及法制架構雖然不同，但加重刑責在打詐環節中仍具重要意義。</w:t>
      </w:r>
      <w:bookmarkEnd w:id="1081"/>
      <w:bookmarkEnd w:id="1082"/>
      <w:bookmarkEnd w:id="1083"/>
    </w:p>
    <w:p w14:paraId="3A506DA8" w14:textId="76E76324" w:rsidR="000B1C3C" w:rsidRPr="00C3310F" w:rsidRDefault="000B1C3C" w:rsidP="000B1C3C">
      <w:pPr>
        <w:pStyle w:val="3"/>
      </w:pPr>
      <w:bookmarkStart w:id="1084" w:name="_Toc171525638"/>
      <w:bookmarkStart w:id="1085" w:name="_Toc172024159"/>
      <w:bookmarkStart w:id="1086" w:name="_Toc172033482"/>
      <w:r w:rsidRPr="00C3310F">
        <w:rPr>
          <w:rFonts w:hint="eastAsia"/>
        </w:rPr>
        <w:t>由各界有關科技偵查應於刑訴法或專法中規範之意見加以綜整，顯示</w:t>
      </w:r>
      <w:r w:rsidR="002A699A" w:rsidRPr="00C3310F">
        <w:rPr>
          <w:rFonts w:hint="eastAsia"/>
        </w:rPr>
        <w:t>立法院雖然於113年7月16日將科</w:t>
      </w:r>
      <w:r w:rsidR="002A699A" w:rsidRPr="00C3310F">
        <w:rPr>
          <w:rFonts w:hint="eastAsia"/>
        </w:rPr>
        <w:lastRenderedPageBreak/>
        <w:t>技偵查內容增訂於刑</w:t>
      </w:r>
      <w:r w:rsidR="00572038" w:rsidRPr="00C3310F">
        <w:rPr>
          <w:rFonts w:hint="eastAsia"/>
        </w:rPr>
        <w:t>事</w:t>
      </w:r>
      <w:r w:rsidR="002A699A" w:rsidRPr="00C3310F">
        <w:rPr>
          <w:rFonts w:hint="eastAsia"/>
        </w:rPr>
        <w:t>訴</w:t>
      </w:r>
      <w:r w:rsidR="00572038" w:rsidRPr="00C3310F">
        <w:rPr>
          <w:rFonts w:hint="eastAsia"/>
        </w:rPr>
        <w:t>訟</w:t>
      </w:r>
      <w:r w:rsidR="002A699A" w:rsidRPr="00C3310F">
        <w:rPr>
          <w:rFonts w:hint="eastAsia"/>
        </w:rPr>
        <w:t>法「特殊強制處分」條文，然而過去對於科技偵查應於專法或刑</w:t>
      </w:r>
      <w:r w:rsidR="00572038" w:rsidRPr="00C3310F">
        <w:rPr>
          <w:rFonts w:hint="eastAsia"/>
        </w:rPr>
        <w:t>事</w:t>
      </w:r>
      <w:r w:rsidR="002A699A" w:rsidRPr="00C3310F">
        <w:rPr>
          <w:rFonts w:hint="eastAsia"/>
        </w:rPr>
        <w:t>訴</w:t>
      </w:r>
      <w:r w:rsidR="00572038" w:rsidRPr="00C3310F">
        <w:rPr>
          <w:rFonts w:hint="eastAsia"/>
        </w:rPr>
        <w:t>訟</w:t>
      </w:r>
      <w:r w:rsidR="002A699A" w:rsidRPr="00C3310F">
        <w:rPr>
          <w:rFonts w:hint="eastAsia"/>
        </w:rPr>
        <w:t>法中規範，</w:t>
      </w:r>
      <w:r w:rsidRPr="00C3310F">
        <w:rPr>
          <w:rFonts w:hint="eastAsia"/>
        </w:rPr>
        <w:t>學界及立法者</w:t>
      </w:r>
      <w:r w:rsidR="002A699A" w:rsidRPr="00C3310F">
        <w:rPr>
          <w:rFonts w:hint="eastAsia"/>
        </w:rPr>
        <w:t>迭有爭論</w:t>
      </w:r>
      <w:r w:rsidRPr="00C3310F">
        <w:rPr>
          <w:rFonts w:hint="eastAsia"/>
        </w:rPr>
        <w:t>，</w:t>
      </w:r>
      <w:r w:rsidR="002A699A" w:rsidRPr="00C3310F">
        <w:rPr>
          <w:rFonts w:hint="eastAsia"/>
        </w:rPr>
        <w:t>論者認為訂於</w:t>
      </w:r>
      <w:r w:rsidR="00343424" w:rsidRPr="00C3310F">
        <w:rPr>
          <w:rFonts w:hint="eastAsia"/>
        </w:rPr>
        <w:t>刑</w:t>
      </w:r>
      <w:r w:rsidR="00572038" w:rsidRPr="00C3310F">
        <w:rPr>
          <w:rFonts w:hint="eastAsia"/>
        </w:rPr>
        <w:t>事</w:t>
      </w:r>
      <w:r w:rsidR="00343424" w:rsidRPr="00C3310F">
        <w:rPr>
          <w:rFonts w:hint="eastAsia"/>
        </w:rPr>
        <w:t>訴</w:t>
      </w:r>
      <w:r w:rsidR="00572038" w:rsidRPr="00C3310F">
        <w:rPr>
          <w:rFonts w:hint="eastAsia"/>
        </w:rPr>
        <w:t>訟</w:t>
      </w:r>
      <w:r w:rsidR="00343424" w:rsidRPr="00C3310F">
        <w:rPr>
          <w:rFonts w:hint="eastAsia"/>
        </w:rPr>
        <w:t>法</w:t>
      </w:r>
      <w:r w:rsidR="002A699A" w:rsidRPr="00C3310F">
        <w:rPr>
          <w:rFonts w:hint="eastAsia"/>
        </w:rPr>
        <w:t>則</w:t>
      </w:r>
      <w:r w:rsidRPr="00C3310F">
        <w:rPr>
          <w:rFonts w:hint="eastAsia"/>
        </w:rPr>
        <w:t>適用範圍較廣，目前每遇新型態之社會問題</w:t>
      </w:r>
      <w:r w:rsidR="00572038" w:rsidRPr="00C3310F">
        <w:rPr>
          <w:rFonts w:hint="eastAsia"/>
        </w:rPr>
        <w:t>即</w:t>
      </w:r>
      <w:r w:rsidRPr="00C3310F">
        <w:rPr>
          <w:rFonts w:hint="eastAsia"/>
        </w:rPr>
        <w:t>立一專法，似非合理作法；但法務部則認為專法修法速度較快且能適切回應執法機關需求；刑事訴訟法主管機關司法院則認為科技偵查規範於專法或刑</w:t>
      </w:r>
      <w:r w:rsidR="00572038" w:rsidRPr="00C3310F">
        <w:rPr>
          <w:rFonts w:hint="eastAsia"/>
        </w:rPr>
        <w:t>事</w:t>
      </w:r>
      <w:r w:rsidRPr="00C3310F">
        <w:rPr>
          <w:rFonts w:hint="eastAsia"/>
        </w:rPr>
        <w:t>訴</w:t>
      </w:r>
      <w:r w:rsidR="00572038" w:rsidRPr="00C3310F">
        <w:rPr>
          <w:rFonts w:hint="eastAsia"/>
        </w:rPr>
        <w:t>訟</w:t>
      </w:r>
      <w:r w:rsidRPr="00C3310F">
        <w:rPr>
          <w:rFonts w:hint="eastAsia"/>
        </w:rPr>
        <w:t>法係屬立法選擇等。</w:t>
      </w:r>
      <w:r w:rsidR="00A1409C" w:rsidRPr="00C3310F">
        <w:rPr>
          <w:rFonts w:hint="eastAsia"/>
        </w:rPr>
        <w:t>本調查研究</w:t>
      </w:r>
      <w:r w:rsidRPr="00C3310F">
        <w:rPr>
          <w:rFonts w:hint="eastAsia"/>
        </w:rPr>
        <w:t>調查首先認為，</w:t>
      </w:r>
      <w:r w:rsidR="002A699A" w:rsidRPr="00C3310F">
        <w:rPr>
          <w:rFonts w:hint="eastAsia"/>
        </w:rPr>
        <w:t>立法院透過修訂刑</w:t>
      </w:r>
      <w:r w:rsidR="00572038" w:rsidRPr="00C3310F">
        <w:rPr>
          <w:rFonts w:hint="eastAsia"/>
        </w:rPr>
        <w:t>事</w:t>
      </w:r>
      <w:r w:rsidR="002A699A" w:rsidRPr="00C3310F">
        <w:rPr>
          <w:rFonts w:hint="eastAsia"/>
        </w:rPr>
        <w:t>訴</w:t>
      </w:r>
      <w:r w:rsidR="00572038" w:rsidRPr="00C3310F">
        <w:rPr>
          <w:rFonts w:hint="eastAsia"/>
        </w:rPr>
        <w:t>訟</w:t>
      </w:r>
      <w:r w:rsidR="002A699A" w:rsidRPr="00C3310F">
        <w:rPr>
          <w:rFonts w:hint="eastAsia"/>
        </w:rPr>
        <w:t>法新增科技偵查事項，確為我國科技偵查法制之重要里程碑，惟其成效或潛在問題仍待後續驗證</w:t>
      </w:r>
      <w:r w:rsidRPr="00C3310F">
        <w:rPr>
          <w:rFonts w:hint="eastAsia"/>
        </w:rPr>
        <w:t>。</w:t>
      </w:r>
      <w:bookmarkEnd w:id="1084"/>
      <w:bookmarkEnd w:id="1085"/>
      <w:bookmarkEnd w:id="1086"/>
    </w:p>
    <w:p w14:paraId="3A8B862C" w14:textId="17EFAB70" w:rsidR="000B1C3C" w:rsidRPr="00C3310F" w:rsidRDefault="000B1C3C" w:rsidP="000B1C3C">
      <w:pPr>
        <w:pStyle w:val="4"/>
      </w:pPr>
      <w:r w:rsidRPr="00C3310F">
        <w:rPr>
          <w:rFonts w:hint="eastAsia"/>
        </w:rPr>
        <w:t>林鈺雄教授於劍青檢改研討會中對科技偵查之重要論述：德國從1992年開始就形式鬆綁開始使用GPS，德國刑事訴訟法的條款這30幾年修了100多條，裡面絕大部分、最重要的就是在修科技偵查；我們臺灣從1992年到現在修法次數已經破了法條的數目(</w:t>
      </w:r>
      <w:r w:rsidRPr="00C3310F">
        <w:t>512</w:t>
      </w:r>
      <w:r w:rsidRPr="00C3310F">
        <w:rPr>
          <w:rFonts w:hint="eastAsia"/>
        </w:rPr>
        <w:t>條</w:t>
      </w:r>
      <w:r w:rsidRPr="00C3310F">
        <w:t>)</w:t>
      </w:r>
      <w:r w:rsidRPr="00C3310F">
        <w:rPr>
          <w:rFonts w:hint="eastAsia"/>
        </w:rPr>
        <w:t>，但我們科技偵查到現在為止，修的是0條，臺灣還要這樣下去嗎?</w:t>
      </w:r>
    </w:p>
    <w:p w14:paraId="15A70C0C" w14:textId="60909458" w:rsidR="000B1C3C" w:rsidRPr="00C3310F" w:rsidRDefault="000B1C3C" w:rsidP="000B1C3C">
      <w:pPr>
        <w:pStyle w:val="4"/>
      </w:pPr>
      <w:r w:rsidRPr="00C3310F">
        <w:rPr>
          <w:rFonts w:hint="eastAsia"/>
        </w:rPr>
        <w:t>黃國昌立法委員:</w:t>
      </w:r>
    </w:p>
    <w:p w14:paraId="4485D577" w14:textId="77777777" w:rsidR="000B1C3C" w:rsidRPr="00C3310F" w:rsidRDefault="000B1C3C" w:rsidP="000B1C3C">
      <w:pPr>
        <w:pStyle w:val="5"/>
      </w:pPr>
      <w:r w:rsidRPr="00C3310F">
        <w:rPr>
          <w:rFonts w:hint="eastAsia"/>
        </w:rPr>
        <w:t>我們為什麼要立特別法?因為</w:t>
      </w:r>
      <w:r w:rsidR="005E17A1" w:rsidRPr="00C3310F">
        <w:rPr>
          <w:rFonts w:hint="eastAsia"/>
        </w:rPr>
        <w:t>臺</w:t>
      </w:r>
      <w:r w:rsidRPr="00C3310F">
        <w:rPr>
          <w:rFonts w:hint="eastAsia"/>
        </w:rPr>
        <w:t>灣政治上面的需求?還是立法技術拙劣?我們不斷的有特別法肥大症，而不管是GPS、 M化車，甚至其他的科技偵查的手段，本來就是在刑事訴訟法裡面應該要規範的對象，為什麼不修在刑事訴訟法?</w:t>
      </w:r>
      <w:r w:rsidRPr="00C3310F">
        <w:t xml:space="preserve"> </w:t>
      </w:r>
    </w:p>
    <w:p w14:paraId="5D5B1D68" w14:textId="77777777" w:rsidR="000B1C3C" w:rsidRPr="00C3310F" w:rsidRDefault="000B1C3C" w:rsidP="000B1C3C">
      <w:pPr>
        <w:pStyle w:val="5"/>
      </w:pPr>
      <w:r w:rsidRPr="00C3310F">
        <w:rPr>
          <w:rFonts w:hint="eastAsia"/>
        </w:rPr>
        <w:t>我們出現一個新型態的社會問題，就立一部專法來加以處理，從整個法規範秩序裡面是完全沒有道理。</w:t>
      </w:r>
    </w:p>
    <w:p w14:paraId="0B83FD32" w14:textId="77777777" w:rsidR="000B1C3C" w:rsidRPr="00C3310F" w:rsidRDefault="000B1C3C" w:rsidP="000B1C3C">
      <w:pPr>
        <w:pStyle w:val="4"/>
      </w:pPr>
      <w:r w:rsidRPr="00C3310F">
        <w:rPr>
          <w:rFonts w:hint="eastAsia"/>
        </w:rPr>
        <w:t>對此，行政院函轉法務部意見表示，修訂專法主要考量修法速度且較能回應執法機關之期待。</w:t>
      </w:r>
    </w:p>
    <w:p w14:paraId="6195158B" w14:textId="77777777" w:rsidR="000B1C3C" w:rsidRPr="00C3310F" w:rsidRDefault="000B1C3C" w:rsidP="000B1C3C">
      <w:pPr>
        <w:pStyle w:val="5"/>
      </w:pPr>
      <w:r w:rsidRPr="00C3310F">
        <w:t>法務部因考量專法較能反應執法機關對立法期</w:t>
      </w:r>
      <w:r w:rsidRPr="00C3310F">
        <w:lastRenderedPageBreak/>
        <w:t>程之期待，刑事訴訟法為刑事程序根本大法，修正速度較難預期，而法務部就偵查實務面，較為了解第一線執法機關運用科技偵查方法之技術面及實務發展情形，故提出科技偵查專法，且未來修法較易，較能反應快速變化之新興科技犯罪。另我國亦有就強制處分另訂專法之立法前例，且專法亦能就特別事項為較完整之規範，故法務部於評估後提出科技偵查及保障法</w:t>
      </w:r>
      <w:r w:rsidRPr="00C3310F">
        <w:rPr>
          <w:rFonts w:hint="eastAsia"/>
        </w:rPr>
        <w:t>。</w:t>
      </w:r>
    </w:p>
    <w:p w14:paraId="2F68600C" w14:textId="77777777" w:rsidR="000B1C3C" w:rsidRPr="00C3310F" w:rsidRDefault="000B1C3C" w:rsidP="000B1C3C">
      <w:pPr>
        <w:pStyle w:val="5"/>
      </w:pPr>
      <w:r w:rsidRPr="00C3310F">
        <w:rPr>
          <w:rFonts w:hint="eastAsia"/>
        </w:rPr>
        <w:t>專法能就相關事項做完整規範：以特別法規定，針對特定事項立法規範，較能劃分基本法與特殊事項之區別，也較有空間對科技偵查之種類、聲請要件及程序、資料保障及銷燬、其他行政控管措施等事項，做較為完整之規範，就落實對人民隱私權保障可更為完善。</w:t>
      </w:r>
    </w:p>
    <w:p w14:paraId="52396B13" w14:textId="40DCCF29" w:rsidR="000B1C3C" w:rsidRPr="00C3310F" w:rsidRDefault="000B1C3C" w:rsidP="000B1C3C">
      <w:pPr>
        <w:pStyle w:val="5"/>
      </w:pPr>
      <w:r w:rsidRPr="00C3310F">
        <w:rPr>
          <w:rFonts w:hint="eastAsia"/>
        </w:rPr>
        <w:t>強制處分性質訂立專法亦有前例，且不致刑事訴訟法過於</w:t>
      </w:r>
      <w:r w:rsidR="00D46B33" w:rsidRPr="00C3310F">
        <w:rPr>
          <w:rFonts w:hint="eastAsia"/>
        </w:rPr>
        <w:t>龐</w:t>
      </w:r>
      <w:r w:rsidRPr="00C3310F">
        <w:rPr>
          <w:rFonts w:hint="eastAsia"/>
        </w:rPr>
        <w:t>大：專法或定於刑事訴訟法，均為政策選擇，我國就具強制處分性質之事項，以專法另外訂定之前例，亦不在少數，例如羈押法、通訊保障及監察法，均為著例，就該事項本身幾乎全為刑事訴訟程序，仍另訂專法者，亦有前例，如國民法官法。我國刑事訴訟法之法條實際上已逾600條，是否要將有關刑事訴訟之事項均訂入刑事訴訟法，致其條文數過於龐大，亦可慎思</w:t>
      </w:r>
      <w:r w:rsidR="00572038" w:rsidRPr="00C3310F">
        <w:rPr>
          <w:rFonts w:hint="eastAsia"/>
        </w:rPr>
        <w:t>。</w:t>
      </w:r>
    </w:p>
    <w:p w14:paraId="7FCD9303" w14:textId="77777777" w:rsidR="000B1C3C" w:rsidRPr="00C3310F" w:rsidRDefault="000B1C3C" w:rsidP="000B1C3C">
      <w:pPr>
        <w:pStyle w:val="4"/>
      </w:pPr>
      <w:r w:rsidRPr="00C3310F">
        <w:rPr>
          <w:rFonts w:hint="eastAsia"/>
        </w:rPr>
        <w:t>對此，司法院於本院113年6月3日辦理座談前書面說明重點如下：</w:t>
      </w:r>
    </w:p>
    <w:p w14:paraId="0C8DD580" w14:textId="77777777" w:rsidR="000B1C3C" w:rsidRPr="00C3310F" w:rsidRDefault="000B1C3C" w:rsidP="000B1C3C">
      <w:pPr>
        <w:pStyle w:val="5"/>
      </w:pPr>
      <w:r w:rsidRPr="00C3310F">
        <w:rPr>
          <w:rFonts w:hint="eastAsia"/>
        </w:rPr>
        <w:t>科技偵查手段究係規定於刑事訴訟法或專法中，乃立法政策。</w:t>
      </w:r>
    </w:p>
    <w:p w14:paraId="38444945" w14:textId="77777777" w:rsidR="000B1C3C" w:rsidRPr="00C3310F" w:rsidRDefault="000B1C3C" w:rsidP="000B1C3C">
      <w:pPr>
        <w:pStyle w:val="5"/>
      </w:pPr>
      <w:r w:rsidRPr="00C3310F">
        <w:rPr>
          <w:rFonts w:hint="eastAsia"/>
        </w:rPr>
        <w:t>以專法同時規範民刑事實體法及相關程序與行政管理、民事責任等事項，在我國亦有諸多前</w:t>
      </w:r>
      <w:r w:rsidRPr="00C3310F">
        <w:rPr>
          <w:rFonts w:hint="eastAsia"/>
        </w:rPr>
        <w:lastRenderedPageBreak/>
        <w:t>例。我國因刑事特定犯罪或民事特定法律關係而制訂包含實體法、程序法及行政程序的專法，所在多有，諸如性侵害犯罪防治法、毒品危害防制條例、家庭暴力防治法等，均是如此。</w:t>
      </w:r>
    </w:p>
    <w:p w14:paraId="2EBBB7A1" w14:textId="77777777" w:rsidR="000B1C3C" w:rsidRPr="00C3310F" w:rsidRDefault="000B1C3C" w:rsidP="000B1C3C">
      <w:pPr>
        <w:pStyle w:val="5"/>
      </w:pPr>
      <w:r w:rsidRPr="00C3310F">
        <w:rPr>
          <w:rFonts w:hint="eastAsia"/>
        </w:rPr>
        <w:t>就現階段而言，以專法方式規範科技偵查作為，為最佳途徑。</w:t>
      </w:r>
    </w:p>
    <w:p w14:paraId="728073FA" w14:textId="25D35C35" w:rsidR="000B1C3C" w:rsidRPr="00C3310F" w:rsidRDefault="000B1C3C" w:rsidP="000B1C3C">
      <w:pPr>
        <w:pStyle w:val="3"/>
        <w:ind w:leftChars="200"/>
      </w:pPr>
      <w:bookmarkStart w:id="1087" w:name="_Toc171525639"/>
      <w:bookmarkStart w:id="1088" w:name="_Toc172024160"/>
      <w:bookmarkStart w:id="1089" w:name="_Toc172033483"/>
      <w:r w:rsidRPr="00C3310F">
        <w:rPr>
          <w:rFonts w:hint="eastAsia"/>
        </w:rPr>
        <w:t>其次有關量刑及想像競合犯、數罪併罰定應執行刑之議題，按現行</w:t>
      </w:r>
      <w:r w:rsidR="004213A2" w:rsidRPr="00C3310F">
        <w:rPr>
          <w:rFonts w:hint="eastAsia"/>
        </w:rPr>
        <w:t>作</w:t>
      </w:r>
      <w:r w:rsidRPr="00C3310F">
        <w:rPr>
          <w:rFonts w:hint="eastAsia"/>
        </w:rPr>
        <w:t>法，無論涉犯多少詐欺犯罪，經前述審探及量刑過程後，仍可定執行刑為最低刑責，復以詐欺犯罪刑責本低</w:t>
      </w:r>
      <w:r w:rsidR="00666D4A" w:rsidRPr="00C3310F">
        <w:rPr>
          <w:rFonts w:hint="eastAsia"/>
        </w:rPr>
        <w:t>。</w:t>
      </w:r>
      <w:r w:rsidRPr="00C3310F">
        <w:rPr>
          <w:rFonts w:hint="eastAsia"/>
        </w:rPr>
        <w:t>綜合前述因素，詐騙集團基於理性選擇自然前仆後繼犯罪，致使懲詐毫無嚇阻力可言，縱然「打詐專法」已設計三振條款以加嚴重複犯罪之假釋，然而嚇阻力恐極為有限，並有目的手段不當連結之疑慮，值得司法機關思考；法務部雖已承諾未來審慎研議</w:t>
      </w:r>
      <w:r w:rsidR="004213A2" w:rsidRPr="00C3310F">
        <w:rPr>
          <w:rFonts w:hint="eastAsia"/>
        </w:rPr>
        <w:t>，</w:t>
      </w:r>
      <w:r w:rsidRPr="00C3310F">
        <w:rPr>
          <w:rFonts w:hint="eastAsia"/>
        </w:rPr>
        <w:t>然而</w:t>
      </w:r>
      <w:r w:rsidR="00A1409C" w:rsidRPr="00C3310F">
        <w:rPr>
          <w:rFonts w:hint="eastAsia"/>
        </w:rPr>
        <w:t>本調查研究</w:t>
      </w:r>
      <w:r w:rsidRPr="00C3310F">
        <w:rPr>
          <w:rFonts w:hint="eastAsia"/>
        </w:rPr>
        <w:t>認為本項議題短期內將不會獲得有效解決，因此仍必須仰賴打詐措施上游各環節發揮綜效，以彌補量刑及定執行刑方面的問題。</w:t>
      </w:r>
      <w:bookmarkEnd w:id="1087"/>
      <w:bookmarkEnd w:id="1088"/>
      <w:bookmarkEnd w:id="1089"/>
    </w:p>
    <w:p w14:paraId="44EE2B84" w14:textId="77777777" w:rsidR="000B1C3C" w:rsidRPr="00C3310F" w:rsidRDefault="000B1C3C" w:rsidP="000B1C3C">
      <w:pPr>
        <w:pStyle w:val="4"/>
      </w:pPr>
      <w:r w:rsidRPr="00C3310F">
        <w:rPr>
          <w:rFonts w:hint="eastAsia"/>
        </w:rPr>
        <w:t>本院112年11月13日履勘高檢署座談時，已有檢察官指出過去已向司法院反</w:t>
      </w:r>
      <w:r w:rsidR="00D46B33" w:rsidRPr="00C3310F">
        <w:rPr>
          <w:rFonts w:hint="eastAsia"/>
        </w:rPr>
        <w:t>映</w:t>
      </w:r>
      <w:r w:rsidRPr="00C3310F">
        <w:rPr>
          <w:rFonts w:hint="eastAsia"/>
        </w:rPr>
        <w:t>刑責問題，但迄今似乎尚未獲有效處理，以致有「臺版柬埔寨」一案因首腦被判31個加重詐欺，卻連一天也不用關而遭人詬病的事件：</w:t>
      </w:r>
    </w:p>
    <w:p w14:paraId="00083DCD" w14:textId="45F066C1" w:rsidR="000B1C3C" w:rsidRPr="00C3310F" w:rsidRDefault="000B1C3C" w:rsidP="000B1C3C">
      <w:pPr>
        <w:pStyle w:val="5"/>
      </w:pPr>
      <w:r w:rsidRPr="00C3310F">
        <w:rPr>
          <w:rFonts w:hint="eastAsia"/>
        </w:rPr>
        <w:t>高檢署劉檢察官海倫：我於2017年參加跨部會會議時，針對法院量刑過低議題進行報告，司法院當時回應會設計相關機制，然而今年我也因法院定應執行刑刑度過低提起3件抗告，但都遭最高法</w:t>
      </w:r>
      <w:r w:rsidR="004213A2" w:rsidRPr="00C3310F">
        <w:rPr>
          <w:rFonts w:hint="eastAsia"/>
        </w:rPr>
        <w:t>院</w:t>
      </w:r>
      <w:r w:rsidRPr="00C3310F">
        <w:rPr>
          <w:rFonts w:hint="eastAsia"/>
        </w:rPr>
        <w:t>駁回。</w:t>
      </w:r>
    </w:p>
    <w:p w14:paraId="57378297" w14:textId="788AE5F9" w:rsidR="000B1C3C" w:rsidRPr="00C3310F" w:rsidRDefault="004213A2" w:rsidP="000B1C3C">
      <w:pPr>
        <w:pStyle w:val="5"/>
      </w:pPr>
      <w:r w:rsidRPr="00C3310F">
        <w:rPr>
          <w:rFonts w:hint="eastAsia"/>
        </w:rPr>
        <w:t>臺北</w:t>
      </w:r>
      <w:r w:rsidR="000B1C3C" w:rsidRPr="00C3310F">
        <w:rPr>
          <w:rFonts w:hint="eastAsia"/>
        </w:rPr>
        <w:t>地檢署劉主任檢察官仕國</w:t>
      </w:r>
    </w:p>
    <w:p w14:paraId="0799BFA4" w14:textId="72DBE95D" w:rsidR="000B1C3C" w:rsidRPr="00C3310F" w:rsidRDefault="000B1C3C" w:rsidP="000B1C3C">
      <w:pPr>
        <w:pStyle w:val="6"/>
      </w:pPr>
      <w:bookmarkStart w:id="1090" w:name="_Toc171525640"/>
      <w:bookmarkStart w:id="1091" w:name="_Toc172024161"/>
      <w:bookmarkStart w:id="1092" w:name="_Toc172033484"/>
      <w:r w:rsidRPr="00C3310F">
        <w:rPr>
          <w:rFonts w:hint="eastAsia"/>
        </w:rPr>
        <w:t>現在司法實務幾乎全部都是從低度刑開始量</w:t>
      </w:r>
      <w:r w:rsidR="004213A2" w:rsidRPr="00C3310F">
        <w:rPr>
          <w:rFonts w:hint="eastAsia"/>
        </w:rPr>
        <w:lastRenderedPageBreak/>
        <w:t>刑</w:t>
      </w:r>
      <w:r w:rsidRPr="00C3310F">
        <w:rPr>
          <w:rFonts w:hint="eastAsia"/>
        </w:rPr>
        <w:t>，只要法官在法律規定範圍內量刑就是合法的，上訴都會被駁回。</w:t>
      </w:r>
      <w:bookmarkEnd w:id="1090"/>
      <w:bookmarkEnd w:id="1091"/>
      <w:bookmarkEnd w:id="1092"/>
    </w:p>
    <w:p w14:paraId="30599D18" w14:textId="14D68C3B" w:rsidR="000B1C3C" w:rsidRPr="00C3310F" w:rsidRDefault="000B1C3C" w:rsidP="000B1C3C">
      <w:pPr>
        <w:pStyle w:val="6"/>
      </w:pPr>
      <w:bookmarkStart w:id="1093" w:name="_Toc171525641"/>
      <w:bookmarkStart w:id="1094" w:name="_Toc172024162"/>
      <w:bookmarkStart w:id="1095" w:name="_Toc172033485"/>
      <w:r w:rsidRPr="00C3310F">
        <w:rPr>
          <w:rFonts w:hint="eastAsia"/>
        </w:rPr>
        <w:t>法院定執行刑時更是容易產生爭議，例如詐欺車手犯了</w:t>
      </w:r>
      <w:r w:rsidRPr="00C3310F">
        <w:t>20</w:t>
      </w:r>
      <w:r w:rsidRPr="00C3310F">
        <w:rPr>
          <w:rFonts w:hint="eastAsia"/>
        </w:rPr>
        <w:t>次，每次都判</w:t>
      </w:r>
      <w:r w:rsidRPr="00C3310F">
        <w:t>1</w:t>
      </w:r>
      <w:r w:rsidRPr="00C3310F">
        <w:rPr>
          <w:rFonts w:hint="eastAsia"/>
        </w:rPr>
        <w:t>年，這</w:t>
      </w:r>
      <w:r w:rsidRPr="00C3310F">
        <w:t>20</w:t>
      </w:r>
      <w:r w:rsidRPr="00C3310F">
        <w:rPr>
          <w:rFonts w:hint="eastAsia"/>
        </w:rPr>
        <w:t>次合</w:t>
      </w:r>
      <w:r w:rsidR="004213A2" w:rsidRPr="00C3310F">
        <w:rPr>
          <w:rFonts w:hint="eastAsia"/>
        </w:rPr>
        <w:t>起</w:t>
      </w:r>
      <w:r w:rsidRPr="00C3310F">
        <w:rPr>
          <w:rFonts w:hint="eastAsia"/>
        </w:rPr>
        <w:t>來定一個執行刑時，加起來你以為要執行</w:t>
      </w:r>
      <w:r w:rsidRPr="00C3310F">
        <w:t>20</w:t>
      </w:r>
      <w:r w:rsidRPr="00C3310F">
        <w:rPr>
          <w:rFonts w:hint="eastAsia"/>
        </w:rPr>
        <w:t>年，錯！只要法院定應執行刑是</w:t>
      </w:r>
      <w:r w:rsidRPr="00C3310F">
        <w:t>l</w:t>
      </w:r>
      <w:r w:rsidRPr="00C3310F">
        <w:rPr>
          <w:rFonts w:hint="eastAsia"/>
        </w:rPr>
        <w:t>年</w:t>
      </w:r>
      <w:r w:rsidRPr="00C3310F">
        <w:t>1</w:t>
      </w:r>
      <w:r w:rsidRPr="00C3310F">
        <w:rPr>
          <w:rFonts w:hint="eastAsia"/>
        </w:rPr>
        <w:t>個月就是合法的，不要說我們檢察官常常無法接受，人民要是知道了，大概也都無法接受。</w:t>
      </w:r>
      <w:bookmarkEnd w:id="1093"/>
      <w:bookmarkEnd w:id="1094"/>
      <w:bookmarkEnd w:id="1095"/>
    </w:p>
    <w:p w14:paraId="78EC6321" w14:textId="77777777" w:rsidR="000B1C3C" w:rsidRPr="00C3310F" w:rsidRDefault="000B1C3C" w:rsidP="000B1C3C">
      <w:pPr>
        <w:pStyle w:val="6"/>
      </w:pPr>
      <w:bookmarkStart w:id="1096" w:name="_Toc171525642"/>
      <w:bookmarkStart w:id="1097" w:name="_Toc172024163"/>
      <w:bookmarkStart w:id="1098" w:name="_Toc172033486"/>
      <w:r w:rsidRPr="00C3310F">
        <w:rPr>
          <w:rFonts w:hint="eastAsia"/>
        </w:rPr>
        <w:t>其實為何詐欺案件量居高不下，如果從一個犯罪者角度思考，這幾年來詐欺案件迅速增加，以及犯罪者年齡逐漸下降，與犯罪成本低廉但獲利豐碩密切相關。</w:t>
      </w:r>
      <w:bookmarkEnd w:id="1096"/>
      <w:bookmarkEnd w:id="1097"/>
      <w:bookmarkEnd w:id="1098"/>
    </w:p>
    <w:p w14:paraId="1FA3D8C9" w14:textId="77777777" w:rsidR="000B1C3C" w:rsidRPr="00C3310F" w:rsidRDefault="000B1C3C" w:rsidP="000B1C3C">
      <w:pPr>
        <w:pStyle w:val="4"/>
      </w:pPr>
      <w:r w:rsidRPr="00C3310F">
        <w:rPr>
          <w:rFonts w:hint="eastAsia"/>
        </w:rPr>
        <w:t>對此，法務部說明如下：</w:t>
      </w:r>
    </w:p>
    <w:p w14:paraId="6BC04ACB" w14:textId="77777777" w:rsidR="000B1C3C" w:rsidRPr="00C3310F" w:rsidRDefault="000B1C3C" w:rsidP="000B1C3C">
      <w:pPr>
        <w:pStyle w:val="5"/>
      </w:pPr>
      <w:r w:rsidRPr="00C3310F">
        <w:rPr>
          <w:rFonts w:hint="eastAsia"/>
        </w:rPr>
        <w:t>有關刑法「想像競合」及「數罪併罰」規定可能之修正方向，法務部已將此議題納入刑法研究修正小組會議討論，有待凝聚各界共識，法務部將審慎研議。</w:t>
      </w:r>
    </w:p>
    <w:p w14:paraId="4B023B4A" w14:textId="3A6C3184" w:rsidR="000B1C3C" w:rsidRPr="00C3310F" w:rsidRDefault="000B1C3C" w:rsidP="000B1C3C">
      <w:pPr>
        <w:pStyle w:val="5"/>
      </w:pPr>
      <w:r w:rsidRPr="00C3310F">
        <w:rPr>
          <w:rFonts w:hint="eastAsia"/>
        </w:rPr>
        <w:t>本議題除涉及刑法想像競合犯、數罪併罰定應執行刑之修法議題外，另涉及刑事訴訟法第288條、第289條及第477條有關量刑調查及量刑辯論程序之規定是否有修正必要，另在宣告刑部分，更涉及司法院目前已建置之量刑資訊系統（包括但不限於量刑趨勢建議系統、事實型量刑資訊系統等）是否確實能對個案法官量刑上產生正面指引效果，以及審判機關量刑時，是否從最低刑</w:t>
      </w:r>
      <w:r w:rsidR="004213A2" w:rsidRPr="00C3310F">
        <w:rPr>
          <w:rFonts w:hint="eastAsia"/>
        </w:rPr>
        <w:t>度</w:t>
      </w:r>
      <w:r w:rsidRPr="00C3310F">
        <w:rPr>
          <w:rFonts w:hint="eastAsia"/>
        </w:rPr>
        <w:t>往上量刑，或能從中間刑</w:t>
      </w:r>
      <w:r w:rsidR="004213A2" w:rsidRPr="00C3310F">
        <w:rPr>
          <w:rFonts w:hint="eastAsia"/>
        </w:rPr>
        <w:t>度</w:t>
      </w:r>
      <w:r w:rsidRPr="00C3310F">
        <w:rPr>
          <w:rFonts w:hint="eastAsia"/>
        </w:rPr>
        <w:t>依個案情節往上或往下量刑，凡此均屬審判機關之量刑職權，並非單純修正刑法即可完全解決此一爭議。</w:t>
      </w:r>
    </w:p>
    <w:p w14:paraId="2FA9754D" w14:textId="77777777" w:rsidR="000B1C3C" w:rsidRPr="00C3310F" w:rsidRDefault="000B1C3C" w:rsidP="000B1C3C">
      <w:pPr>
        <w:pStyle w:val="5"/>
      </w:pPr>
      <w:r w:rsidRPr="00C3310F">
        <w:rPr>
          <w:rFonts w:hint="eastAsia"/>
        </w:rPr>
        <w:t>詐欺犯罪危害防制條例第50條：「檢察官提起公</w:t>
      </w:r>
      <w:r w:rsidRPr="00C3310F">
        <w:rPr>
          <w:rFonts w:hint="eastAsia"/>
        </w:rPr>
        <w:lastRenderedPageBreak/>
        <w:t>訴認有必要時，得於起訴書記載對被告科刑範圍之意見，並敘明理由」，當更能達成審慎監督法院量刑程序，以符罪刑相當原則。</w:t>
      </w:r>
    </w:p>
    <w:p w14:paraId="1305E8A3" w14:textId="77777777" w:rsidR="000B1C3C" w:rsidRPr="00C3310F" w:rsidRDefault="000B1C3C" w:rsidP="000B1C3C">
      <w:pPr>
        <w:pStyle w:val="4"/>
      </w:pPr>
      <w:r w:rsidRPr="00C3310F">
        <w:rPr>
          <w:rFonts w:hint="eastAsia"/>
        </w:rPr>
        <w:t>司法院則針對前揭議題於本院113年6月3日辦理座談前書面說明重點如下:</w:t>
      </w:r>
    </w:p>
    <w:p w14:paraId="64BA6AA3" w14:textId="77777777" w:rsidR="000B1C3C" w:rsidRPr="00C3310F" w:rsidRDefault="000B1C3C" w:rsidP="000B1C3C">
      <w:pPr>
        <w:pStyle w:val="5"/>
      </w:pPr>
      <w:r w:rsidRPr="00C3310F">
        <w:rPr>
          <w:rFonts w:hint="eastAsia"/>
        </w:rPr>
        <w:t>憲法第80條明定：「法官須超出黨派以外，依據法律獨立審判，不受任何干涉」，因此法院審理具體訴訟案件，是由承辦法官根據調查所得的卷證資料，依據法律，並遵循論理法則與經驗法則，本於確信，獨立判斷。。</w:t>
      </w:r>
    </w:p>
    <w:p w14:paraId="5E99DC9C" w14:textId="77777777" w:rsidR="000B1C3C" w:rsidRPr="00C3310F" w:rsidRDefault="000B1C3C" w:rsidP="000B1C3C">
      <w:pPr>
        <w:pStyle w:val="5"/>
      </w:pPr>
      <w:r w:rsidRPr="00C3310F">
        <w:rPr>
          <w:rFonts w:hint="eastAsia"/>
        </w:rPr>
        <w:t>為增進量刑及定執行刑之妥適性，司法院業已訂定「刑事案件量刑及定執行刑參考要點」，提供法官可資參考之具體審酌事項。</w:t>
      </w:r>
    </w:p>
    <w:p w14:paraId="4FB12E01" w14:textId="77777777" w:rsidR="000B1C3C" w:rsidRPr="00C3310F" w:rsidRDefault="000B1C3C" w:rsidP="000B1C3C">
      <w:pPr>
        <w:pStyle w:val="5"/>
      </w:pPr>
      <w:r w:rsidRPr="00C3310F">
        <w:rPr>
          <w:rFonts w:hint="eastAsia"/>
        </w:rPr>
        <w:t>司法院為提升量刑之妥適性，適當發揮刑罰之功能，擬具「刑事案件妥適量刑法草案」，研議未來設立「刑事案件量刑準則委員會」（簡稱「量準會」），並由量準會制定「刑事案件量刑準則」（簡稱「量刑準則」），法官若依照量刑準則所劃定之各項量刑因子及刑度分布區間而為量刑，將可減少量刑歧異過大之問題，並有助於提升量刑結果之透明及公正。</w:t>
      </w:r>
    </w:p>
    <w:p w14:paraId="5B3EB454" w14:textId="0C6F471E" w:rsidR="000B1C3C" w:rsidRPr="00C3310F" w:rsidRDefault="000B1C3C" w:rsidP="000B1C3C">
      <w:pPr>
        <w:pStyle w:val="5"/>
      </w:pPr>
      <w:r w:rsidRPr="00C3310F">
        <w:rPr>
          <w:rFonts w:hint="eastAsia"/>
        </w:rPr>
        <w:t>前揭草案</w:t>
      </w:r>
      <w:r w:rsidR="004213A2" w:rsidRPr="00C3310F">
        <w:rPr>
          <w:rFonts w:hint="eastAsia"/>
        </w:rPr>
        <w:t>司法院</w:t>
      </w:r>
      <w:r w:rsidRPr="00C3310F">
        <w:rPr>
          <w:rFonts w:hint="eastAsia"/>
        </w:rPr>
        <w:t>業於110年12月14日第198次院會通過，並於同年12月22日以院台廳刑二字第1100036472號函請立法院審議。惟因113年立法院改選，前揭草案審查屆期不連續，司法院刻正續為研議妥適量刑之相關法制。</w:t>
      </w:r>
    </w:p>
    <w:p w14:paraId="0F98DDCD" w14:textId="3885281C" w:rsidR="000B1C3C" w:rsidRPr="00C3310F" w:rsidRDefault="000B1C3C" w:rsidP="000B1C3C">
      <w:pPr>
        <w:pStyle w:val="3"/>
      </w:pPr>
      <w:bookmarkStart w:id="1099" w:name="_Toc171525643"/>
      <w:bookmarkStart w:id="1100" w:name="_Toc172024164"/>
      <w:bookmarkStart w:id="1101" w:name="_Toc172033487"/>
      <w:r w:rsidRPr="00C3310F">
        <w:rPr>
          <w:rFonts w:hint="eastAsia"/>
        </w:rPr>
        <w:t>最後有關司法行政面部分，</w:t>
      </w:r>
      <w:r w:rsidR="00A1409C" w:rsidRPr="00C3310F">
        <w:rPr>
          <w:rFonts w:hint="eastAsia"/>
        </w:rPr>
        <w:t>本調查研究</w:t>
      </w:r>
      <w:r w:rsidR="004213A2" w:rsidRPr="00C3310F">
        <w:rPr>
          <w:rFonts w:hint="eastAsia"/>
        </w:rPr>
        <w:t>蒐</w:t>
      </w:r>
      <w:r w:rsidRPr="00C3310F">
        <w:rPr>
          <w:rFonts w:hint="eastAsia"/>
        </w:rPr>
        <w:t>整英國打詐政策涉及司法行政面之推動方向，包括「偵審全生命週期之評估」、「增加法官員額」、「詐欺專業法庭」等等，均為我國目前所無，至於是否有其可行性，有</w:t>
      </w:r>
      <w:r w:rsidRPr="00C3310F">
        <w:rPr>
          <w:rFonts w:hint="eastAsia"/>
        </w:rPr>
        <w:lastRenderedPageBreak/>
        <w:t>待行政院研擬「打詐綱領2.0」時酌予評估。</w:t>
      </w:r>
      <w:bookmarkEnd w:id="1099"/>
      <w:bookmarkEnd w:id="1100"/>
      <w:bookmarkEnd w:id="1101"/>
    </w:p>
    <w:p w14:paraId="7681A86F" w14:textId="77777777" w:rsidR="000B1C3C" w:rsidRPr="00C3310F" w:rsidRDefault="000B1C3C" w:rsidP="000B1C3C">
      <w:pPr>
        <w:pStyle w:val="4"/>
      </w:pPr>
      <w:r w:rsidRPr="00C3310F">
        <w:rPr>
          <w:rFonts w:hint="eastAsia"/>
        </w:rPr>
        <w:t>英國於2023年6月公布之打詐策略(Fraud Strategy: stopping　scams and protecting the public)涉及司法行政面之措施。</w:t>
      </w:r>
    </w:p>
    <w:p w14:paraId="6727958B" w14:textId="77777777" w:rsidR="000B1C3C" w:rsidRPr="00C3310F" w:rsidRDefault="000B1C3C" w:rsidP="000B1C3C">
      <w:pPr>
        <w:pStyle w:val="5"/>
      </w:pPr>
      <w:r w:rsidRPr="00C3310F">
        <w:rPr>
          <w:rFonts w:hint="eastAsia"/>
        </w:rPr>
        <w:t>對詐欺案件偵審的全生命週期進行全面評估，利用證據庫增加此類案件的處理數量和速度。</w:t>
      </w:r>
    </w:p>
    <w:p w14:paraId="74A0F300" w14:textId="77777777" w:rsidR="000B1C3C" w:rsidRPr="00C3310F" w:rsidRDefault="000B1C3C" w:rsidP="000B1C3C">
      <w:pPr>
        <w:pStyle w:val="5"/>
      </w:pPr>
      <w:r w:rsidRPr="00C3310F">
        <w:rPr>
          <w:rFonts w:hint="eastAsia"/>
        </w:rPr>
        <w:t>政府連續第二年取消刑事法院開庭總天數的限制，另在各個轄區招聘約1,000名法官，至2025年總共將招募約2,000名新法官。</w:t>
      </w:r>
    </w:p>
    <w:p w14:paraId="5D972A5A" w14:textId="77777777" w:rsidR="000B1C3C" w:rsidRPr="00C3310F" w:rsidRDefault="000B1C3C" w:rsidP="000B1C3C">
      <w:pPr>
        <w:pStyle w:val="5"/>
      </w:pPr>
      <w:r w:rsidRPr="00C3310F">
        <w:rPr>
          <w:rFonts w:hint="eastAsia"/>
        </w:rPr>
        <w:t>審理詐欺案件的法官和治安法官在司法學院接受專門訓練。這種訓練會定期進行審查，確保法院系統能夠應對詐欺和不斷變化的犯罪性質所帶來的獨特挑戰。</w:t>
      </w:r>
    </w:p>
    <w:p w14:paraId="0B40B982" w14:textId="387B4F2D" w:rsidR="000B1C3C" w:rsidRPr="00C3310F" w:rsidRDefault="000B1C3C" w:rsidP="000B1C3C">
      <w:pPr>
        <w:pStyle w:val="4"/>
      </w:pPr>
      <w:r w:rsidRPr="00C3310F">
        <w:rPr>
          <w:rFonts w:hint="eastAsia"/>
        </w:rPr>
        <w:t>本院諮詢國立中正大學犯罪防治學系許華孚教授則認為「在美國有毒品法庭、家庭暴力法庭、精神障礙犯罪法庭等，所以我認為可不可以成立一個專門打詐的法庭，然後速審速決，我覺得這是刻不容緩的。」</w:t>
      </w:r>
      <w:r w:rsidR="004213A2" w:rsidRPr="00C3310F">
        <w:rPr>
          <w:rFonts w:hint="eastAsia"/>
        </w:rPr>
        <w:t>。</w:t>
      </w:r>
    </w:p>
    <w:p w14:paraId="4D19588A" w14:textId="77777777" w:rsidR="000B1C3C" w:rsidRPr="00C3310F" w:rsidRDefault="000B1C3C" w:rsidP="000B1C3C">
      <w:pPr>
        <w:pStyle w:val="4"/>
      </w:pPr>
      <w:r w:rsidRPr="00C3310F">
        <w:rPr>
          <w:rFonts w:hint="eastAsia"/>
        </w:rPr>
        <w:t>法務部則說明，</w:t>
      </w:r>
      <w:r w:rsidRPr="00C3310F">
        <w:t>基於提升專業性</w:t>
      </w:r>
      <w:r w:rsidRPr="00C3310F">
        <w:rPr>
          <w:rFonts w:hint="eastAsia"/>
        </w:rPr>
        <w:t>及效率，司法院賡續於民、刑事庭設置各類專業法庭。有關詐欺案件是否需成立專業法庭，宜審慎評估相關案件所涉之罪嫌、審理程序及專業性需求，是否有別於其他未以專庭審理之刑事案件，並應考量各地院之人力資源分配狀況。此涉及司法行政，法務部尊重司法院之意見。</w:t>
      </w:r>
    </w:p>
    <w:p w14:paraId="6E662AD3" w14:textId="6D4A7B39" w:rsidR="000B1C3C" w:rsidRPr="00C3310F" w:rsidRDefault="000B1C3C" w:rsidP="003D434B">
      <w:pPr>
        <w:pStyle w:val="3"/>
      </w:pPr>
      <w:bookmarkStart w:id="1102" w:name="_Toc171525644"/>
      <w:bookmarkStart w:id="1103" w:name="_Toc172024165"/>
      <w:bookmarkStart w:id="1104" w:name="_Toc172033488"/>
      <w:r w:rsidRPr="00C3310F">
        <w:rPr>
          <w:rFonts w:hint="eastAsia"/>
        </w:rPr>
        <w:t>綜上，</w:t>
      </w:r>
      <w:r w:rsidR="00666D4A" w:rsidRPr="00C3310F">
        <w:rPr>
          <w:rFonts w:hint="eastAsia"/>
        </w:rPr>
        <w:t>在完成「打詐新四法」之修法後，確為我國打詐、乃至懲詐相關法制建立重要里程碑，而</w:t>
      </w:r>
      <w:r w:rsidRPr="00C3310F">
        <w:rPr>
          <w:rFonts w:hint="eastAsia"/>
        </w:rPr>
        <w:t>基於獨立審判及各國司法制度不同，</w:t>
      </w:r>
      <w:r w:rsidR="00A1409C" w:rsidRPr="00C3310F">
        <w:rPr>
          <w:rFonts w:hint="eastAsia"/>
        </w:rPr>
        <w:t>本調查研究</w:t>
      </w:r>
      <w:r w:rsidRPr="00C3310F">
        <w:rPr>
          <w:rFonts w:hint="eastAsia"/>
        </w:rPr>
        <w:t>所蒐整之意見</w:t>
      </w:r>
      <w:r w:rsidR="00D46B33" w:rsidRPr="00C3310F">
        <w:rPr>
          <w:rFonts w:hint="eastAsia"/>
        </w:rPr>
        <w:t>係提供參考</w:t>
      </w:r>
      <w:r w:rsidRPr="00C3310F">
        <w:rPr>
          <w:rFonts w:hint="eastAsia"/>
        </w:rPr>
        <w:t>，仍有賴司法院及法務部自行評估</w:t>
      </w:r>
      <w:r w:rsidR="00D46B33" w:rsidRPr="00C3310F">
        <w:rPr>
          <w:rFonts w:hint="eastAsia"/>
        </w:rPr>
        <w:t>妥處</w:t>
      </w:r>
      <w:r w:rsidRPr="00C3310F">
        <w:rPr>
          <w:rFonts w:hint="eastAsia"/>
        </w:rPr>
        <w:t>。</w:t>
      </w:r>
      <w:bookmarkEnd w:id="1102"/>
      <w:bookmarkEnd w:id="1103"/>
      <w:bookmarkEnd w:id="1104"/>
    </w:p>
    <w:p w14:paraId="00AA41A2" w14:textId="2C0EABCF" w:rsidR="000B1C3C" w:rsidRPr="00C3310F" w:rsidRDefault="000B1C3C" w:rsidP="000B1C3C">
      <w:pPr>
        <w:pStyle w:val="2"/>
        <w:ind w:left="1023"/>
        <w:rPr>
          <w:b/>
        </w:rPr>
      </w:pPr>
      <w:bookmarkStart w:id="1105" w:name="_Toc172033489"/>
      <w:r w:rsidRPr="00C3310F">
        <w:rPr>
          <w:rFonts w:hint="eastAsia"/>
          <w:b/>
        </w:rPr>
        <w:lastRenderedPageBreak/>
        <w:t>經歸納相關研究及經驗，在政府強化管制力道後，詐欺犯罪仍將試圖開發嶄新模式持續製造犯罪機會，</w:t>
      </w:r>
      <w:r w:rsidR="00A1409C" w:rsidRPr="00C3310F">
        <w:rPr>
          <w:rFonts w:hint="eastAsia"/>
          <w:b/>
        </w:rPr>
        <w:t>本調查研究</w:t>
      </w:r>
      <w:r w:rsidRPr="00C3310F">
        <w:rPr>
          <w:rFonts w:hint="eastAsia"/>
          <w:b/>
        </w:rPr>
        <w:t>研判詐騙集團轉型方向，首先是收買電信、金融及</w:t>
      </w:r>
      <w:r w:rsidR="00752EB4" w:rsidRPr="00C3310F">
        <w:rPr>
          <w:rFonts w:hint="eastAsia"/>
          <w:b/>
        </w:rPr>
        <w:t>司法檢警人員與律師</w:t>
      </w:r>
      <w:r w:rsidRPr="00C3310F">
        <w:rPr>
          <w:rFonts w:hint="eastAsia"/>
          <w:b/>
        </w:rPr>
        <w:t>，其次是電信、網路或金流人頭法人化，最後是逐步開始運用人工智慧及深偽技術，政府</w:t>
      </w:r>
      <w:r w:rsidR="00D46B33" w:rsidRPr="00C3310F">
        <w:rPr>
          <w:rFonts w:hint="eastAsia"/>
          <w:b/>
        </w:rPr>
        <w:t>允</w:t>
      </w:r>
      <w:r w:rsidRPr="00C3310F">
        <w:rPr>
          <w:rFonts w:hint="eastAsia"/>
          <w:b/>
        </w:rPr>
        <w:t>宜提前擬定對策，以收防微杜漸之效。</w:t>
      </w:r>
      <w:bookmarkEnd w:id="1105"/>
    </w:p>
    <w:p w14:paraId="1EA498D4" w14:textId="49E1FFD6" w:rsidR="000B1C3C" w:rsidRPr="00C3310F" w:rsidRDefault="000B1C3C" w:rsidP="000B1C3C">
      <w:pPr>
        <w:pStyle w:val="3"/>
      </w:pPr>
      <w:bookmarkStart w:id="1106" w:name="_Toc171525646"/>
      <w:bookmarkStart w:id="1107" w:name="_Toc172024167"/>
      <w:bookmarkStart w:id="1108" w:name="_Toc172033490"/>
      <w:r w:rsidRPr="00C3310F">
        <w:rPr>
          <w:rFonts w:hint="eastAsia"/>
        </w:rPr>
        <w:t>根據本調查研究蒐整文獻</w:t>
      </w:r>
      <w:r w:rsidRPr="00C3310F">
        <w:rPr>
          <w:rStyle w:val="afe"/>
        </w:rPr>
        <w:footnoteReference w:id="102"/>
      </w:r>
      <w:r w:rsidRPr="00C3310F">
        <w:rPr>
          <w:rFonts w:hint="eastAsia"/>
        </w:rPr>
        <w:t>指出「跨境詐欺集團隨著國家金融及刑事政策的轉變而有不同應對之道，甚至不斷研發創新技術，挑戰司法機關判決基準、偵查單位辦案能力，測試各國刑罰制度及容忍力，並掌握法律程序及證據能力上數位證據的漏洞，持續走在刑事司法單位前方，讓偵查體系疲於追趕。」等語顯示，縱使政府進行強力而完整的規管，詐欺犯罪仍無法根絕而順應社會演進伺機成長；此由詐欺犯罪曾於97、98年大力掃蕩後趨緩，又因獲得犯罪機會及成熟之主客觀條件，於111年、112年再度快速成長可以佐證。為此，</w:t>
      </w:r>
      <w:r w:rsidR="00A1409C" w:rsidRPr="00C3310F">
        <w:rPr>
          <w:rFonts w:hint="eastAsia"/>
        </w:rPr>
        <w:t>本調查研究</w:t>
      </w:r>
      <w:r w:rsidRPr="00C3310F">
        <w:rPr>
          <w:rFonts w:hint="eastAsia"/>
        </w:rPr>
        <w:t>認為，政府若無法於犯罪機會出現端倪時開始研謀對策，詐欺犯罪勢將隨社會或技術演進而呈現週期性之爆發。</w:t>
      </w:r>
      <w:bookmarkEnd w:id="1106"/>
      <w:bookmarkEnd w:id="1107"/>
      <w:bookmarkEnd w:id="1108"/>
    </w:p>
    <w:p w14:paraId="2B87C09B" w14:textId="7E209433" w:rsidR="000B1C3C" w:rsidRPr="00C3310F" w:rsidRDefault="000B1C3C" w:rsidP="000B1C3C">
      <w:pPr>
        <w:pStyle w:val="3"/>
      </w:pPr>
      <w:bookmarkStart w:id="1109" w:name="_Toc171525647"/>
      <w:bookmarkStart w:id="1110" w:name="_Toc172024168"/>
      <w:bookmarkStart w:id="1111" w:name="_Toc172033491"/>
      <w:r w:rsidRPr="00C3310F">
        <w:rPr>
          <w:rFonts w:hint="eastAsia"/>
        </w:rPr>
        <w:t>經</w:t>
      </w:r>
      <w:r w:rsidR="00A1409C" w:rsidRPr="00C3310F">
        <w:rPr>
          <w:rFonts w:hint="eastAsia"/>
        </w:rPr>
        <w:t>本調查研究</w:t>
      </w:r>
      <w:r w:rsidRPr="00C3310F">
        <w:rPr>
          <w:rFonts w:hint="eastAsia"/>
        </w:rPr>
        <w:t>蒐整文獻資料、機關說明及諮詢專家學者，可歸納出近期或未來詐欺犯罪所可能獲得之犯罪機會，包括「勾結各打詐環節關鍵人員」、「電信、網路或金流人頭法人化」以及「逐步開始運用人工智慧及深偽技術」，茲分陳如下</w:t>
      </w:r>
      <w:bookmarkEnd w:id="1109"/>
      <w:bookmarkEnd w:id="1110"/>
      <w:bookmarkEnd w:id="1111"/>
      <w:r w:rsidR="004213A2" w:rsidRPr="00C3310F">
        <w:rPr>
          <w:rFonts w:hint="eastAsia"/>
        </w:rPr>
        <w:t>。</w:t>
      </w:r>
    </w:p>
    <w:p w14:paraId="11F4B325" w14:textId="7F7486BC" w:rsidR="000B1C3C" w:rsidRPr="00C3310F" w:rsidRDefault="004213A2" w:rsidP="000B1C3C">
      <w:pPr>
        <w:pStyle w:val="3"/>
      </w:pPr>
      <w:bookmarkStart w:id="1112" w:name="_Toc171525648"/>
      <w:bookmarkStart w:id="1113" w:name="_Toc172024169"/>
      <w:bookmarkStart w:id="1114" w:name="_Toc172033492"/>
      <w:r w:rsidRPr="00C3310F">
        <w:rPr>
          <w:rFonts w:hint="eastAsia"/>
        </w:rPr>
        <w:t>「勾結各打詐環節關鍵人員」部分，在近兩年已陸續出現電信、金融及司法檢警人員與律師為詐欺集團吸收之案例，甚至出現被害人、被告、起訴檢察官及</w:t>
      </w:r>
      <w:r w:rsidRPr="00C3310F">
        <w:rPr>
          <w:rFonts w:hint="eastAsia"/>
        </w:rPr>
        <w:lastRenderedPageBreak/>
        <w:t>涉嫌協助藏錢之法官均曾為大學室友之荒謬案情</w:t>
      </w:r>
      <w:r w:rsidRPr="00C3310F">
        <w:rPr>
          <w:rStyle w:val="afe"/>
        </w:rPr>
        <w:footnoteReference w:id="103"/>
      </w:r>
      <w:r w:rsidRPr="00C3310F">
        <w:rPr>
          <w:rFonts w:hint="eastAsia"/>
        </w:rPr>
        <w:t>，基於政府機關、電信及金融機構之薪資與詐騙集團獲利差距極鉅，收買將是詐騙集團極具破壞力之反偵查手段，而成為整體打詐措施尚未受控之風險。</w:t>
      </w:r>
      <w:bookmarkEnd w:id="1112"/>
      <w:bookmarkEnd w:id="1113"/>
      <w:bookmarkEnd w:id="1114"/>
    </w:p>
    <w:p w14:paraId="73895071" w14:textId="25BA784F" w:rsidR="000B1C3C" w:rsidRPr="00C3310F" w:rsidRDefault="004213A2" w:rsidP="000B1C3C">
      <w:pPr>
        <w:pStyle w:val="4"/>
      </w:pPr>
      <w:r w:rsidRPr="00C3310F">
        <w:rPr>
          <w:rFonts w:hint="eastAsia"/>
        </w:rPr>
        <w:t>金門</w:t>
      </w:r>
      <w:r w:rsidR="000B1C3C" w:rsidRPr="00C3310F">
        <w:rPr>
          <w:rFonts w:hint="eastAsia"/>
        </w:rPr>
        <w:t>地檢署施家榮主任檢察官：再來說律師涉案、銀行人員幫忙調整轉帳上限、派出所所長查個資、</w:t>
      </w:r>
      <w:r w:rsidR="00314645" w:rsidRPr="00C3310F">
        <w:rPr>
          <w:rFonts w:hint="eastAsia"/>
        </w:rPr>
        <w:t>通傳會</w:t>
      </w:r>
      <w:r w:rsidR="000B1C3C" w:rsidRPr="00C3310F">
        <w:rPr>
          <w:rFonts w:hint="eastAsia"/>
        </w:rPr>
        <w:t>前委員當二類電信業者顧問這些，為什麼?因為你永遠查不到他的心臟，那他就可以經驗傳承，越教越多人，他獲利高風險低。</w:t>
      </w:r>
    </w:p>
    <w:p w14:paraId="75DFF7DF" w14:textId="6AC19B46" w:rsidR="000B1C3C" w:rsidRPr="00C3310F" w:rsidRDefault="004213A2" w:rsidP="000B1C3C">
      <w:pPr>
        <w:pStyle w:val="4"/>
      </w:pPr>
      <w:r w:rsidRPr="00C3310F">
        <w:rPr>
          <w:rFonts w:hint="eastAsia"/>
        </w:rPr>
        <w:t>臺北</w:t>
      </w:r>
      <w:r w:rsidR="000B1C3C" w:rsidRPr="00C3310F">
        <w:rPr>
          <w:rFonts w:hint="eastAsia"/>
        </w:rPr>
        <w:t>地檢署姜長志檢察官：我必須講有些不肖的律師已經在幫詐騙集團做串證的動作，我們目前手上已經有相關的資料在處理。</w:t>
      </w:r>
    </w:p>
    <w:p w14:paraId="2C350F23" w14:textId="77777777" w:rsidR="000B1C3C" w:rsidRPr="00C3310F" w:rsidRDefault="000B1C3C" w:rsidP="000B1C3C">
      <w:pPr>
        <w:pStyle w:val="4"/>
      </w:pPr>
      <w:r w:rsidRPr="00C3310F">
        <w:rPr>
          <w:rFonts w:hint="eastAsia"/>
        </w:rPr>
        <w:t>文獻</w:t>
      </w:r>
      <w:r w:rsidRPr="00C3310F">
        <w:rPr>
          <w:rStyle w:val="afe"/>
        </w:rPr>
        <w:footnoteReference w:id="104"/>
      </w:r>
      <w:r w:rsidRPr="00C3310F">
        <w:rPr>
          <w:rFonts w:hint="eastAsia"/>
        </w:rPr>
        <w:t>指出，幕後金主包含各界人士，黑道大哥、台商、演藝人員、政治人物、民意代表、情治單位人員或部分國內外執法人員等，大多與黑道有掛勾。</w:t>
      </w:r>
    </w:p>
    <w:p w14:paraId="0A928590" w14:textId="77777777" w:rsidR="000B1C3C" w:rsidRPr="00C3310F" w:rsidRDefault="000B1C3C" w:rsidP="000B1C3C">
      <w:pPr>
        <w:pStyle w:val="4"/>
      </w:pPr>
      <w:r w:rsidRPr="00C3310F">
        <w:rPr>
          <w:rFonts w:hint="eastAsia"/>
        </w:rPr>
        <w:t>對本項潛在之犯罪機會，行政院函轉權責機關說明如下，惟均屬目前既有之機制，且未針對</w:t>
      </w:r>
      <w:r w:rsidR="00752EB4" w:rsidRPr="00C3310F">
        <w:rPr>
          <w:rFonts w:hint="eastAsia"/>
        </w:rPr>
        <w:t>律師</w:t>
      </w:r>
      <w:r w:rsidRPr="00C3310F">
        <w:rPr>
          <w:rFonts w:hint="eastAsia"/>
        </w:rPr>
        <w:t>部分提出對策，恐成為未來打詐環節之破口，尚賴政府重視。</w:t>
      </w:r>
    </w:p>
    <w:p w14:paraId="321AA29B" w14:textId="77777777" w:rsidR="000B1C3C" w:rsidRPr="00C3310F" w:rsidRDefault="000B1C3C" w:rsidP="000B1C3C">
      <w:pPr>
        <w:pStyle w:val="5"/>
      </w:pPr>
      <w:r w:rsidRPr="00C3310F">
        <w:rPr>
          <w:rFonts w:hint="eastAsia"/>
        </w:rPr>
        <w:t>關於檢察官的究責或監督考核機制，依法官法規定，概分有內部監督及外部監督機制，內部監督機制有「首長職務監督權」，外部監督機制則有「檢察官個案評鑑制度」、「監察院的彈劾」及「職務法庭的懲戒」機制。</w:t>
      </w:r>
    </w:p>
    <w:p w14:paraId="42DCDE1D" w14:textId="77777777" w:rsidR="000B1C3C" w:rsidRPr="00C3310F" w:rsidRDefault="000B1C3C" w:rsidP="000B1C3C">
      <w:pPr>
        <w:pStyle w:val="5"/>
      </w:pPr>
      <w:r w:rsidRPr="00C3310F">
        <w:rPr>
          <w:rFonts w:hint="eastAsia"/>
        </w:rPr>
        <w:t>法務部透過內部及外部監督機制，若查有不法，</w:t>
      </w:r>
      <w:r w:rsidRPr="00C3310F">
        <w:rPr>
          <w:rFonts w:hint="eastAsia"/>
        </w:rPr>
        <w:lastRenderedPageBreak/>
        <w:t>絕不寬貸，以貫徹對檢察官品德操守的嚴格要求，並維護民眾對司法之信心。</w:t>
      </w:r>
    </w:p>
    <w:p w14:paraId="2E41D527" w14:textId="70C6C903" w:rsidR="000B1C3C" w:rsidRPr="00C3310F" w:rsidRDefault="000B1C3C" w:rsidP="000B1C3C">
      <w:pPr>
        <w:pStyle w:val="5"/>
      </w:pPr>
      <w:r w:rsidRPr="00C3310F">
        <w:rPr>
          <w:rFonts w:hint="eastAsia"/>
        </w:rPr>
        <w:t>警政署針對是類破壞民眾信任之案件至為重視，除針對違法人員涉案情節持續刨根溯源並依法究辦外，並飭請各所屬機關依公務人員考績法、警察人員人事條例，針對違法人員即時予以記二大過與免職處分，並追究相關人員考核監督不周責任。</w:t>
      </w:r>
    </w:p>
    <w:p w14:paraId="2E9B121C" w14:textId="206EC2BE" w:rsidR="000B1C3C" w:rsidRPr="00C3310F" w:rsidRDefault="000B1C3C" w:rsidP="000B1C3C">
      <w:pPr>
        <w:pStyle w:val="5"/>
      </w:pPr>
      <w:r w:rsidRPr="00C3310F">
        <w:rPr>
          <w:rFonts w:hint="eastAsia"/>
        </w:rPr>
        <w:t>此外，為防止員警不當使用警政資訊系統查詢資料，警政署訂有相關使用管理作業規定及稽核制度，不定期實施專案清查，發掘員警疑似異常查詢徵候，並從嚴究責，且為強化警政資訊系統稽核制度，有效防杜各項漏洞及避免衍生不法弊端。</w:t>
      </w:r>
    </w:p>
    <w:p w14:paraId="0E1286F4" w14:textId="5431C598" w:rsidR="000B1C3C" w:rsidRPr="00C3310F" w:rsidRDefault="000B1C3C" w:rsidP="000B1C3C">
      <w:pPr>
        <w:pStyle w:val="4"/>
      </w:pPr>
      <w:r w:rsidRPr="00C3310F">
        <w:rPr>
          <w:rFonts w:hint="eastAsia"/>
        </w:rPr>
        <w:t>小結：在「勾結各打詐環節關鍵人員」之潛在犯罪機會方面，政府似乎尚無研擬對策，推測</w:t>
      </w:r>
      <w:r w:rsidR="00A1409C" w:rsidRPr="00C3310F">
        <w:rPr>
          <w:rFonts w:hint="eastAsia"/>
        </w:rPr>
        <w:t>詐騙集團</w:t>
      </w:r>
      <w:r w:rsidRPr="00C3310F">
        <w:rPr>
          <w:rFonts w:hint="eastAsia"/>
        </w:rPr>
        <w:t>將擴大利用本項漏洞。</w:t>
      </w:r>
    </w:p>
    <w:p w14:paraId="77CFFCC1" w14:textId="371DFF2F" w:rsidR="000B1C3C" w:rsidRPr="00C3310F" w:rsidRDefault="00343424" w:rsidP="000B1C3C">
      <w:pPr>
        <w:pStyle w:val="3"/>
      </w:pPr>
      <w:bookmarkStart w:id="1115" w:name="_Toc171525649"/>
      <w:bookmarkStart w:id="1116" w:name="_Toc172024170"/>
      <w:bookmarkStart w:id="1117" w:name="_Toc172033493"/>
      <w:r w:rsidRPr="00C3310F">
        <w:rPr>
          <w:rFonts w:hint="eastAsia"/>
        </w:rPr>
        <w:t>「</w:t>
      </w:r>
      <w:r w:rsidR="000B1C3C" w:rsidRPr="00C3310F">
        <w:rPr>
          <w:rFonts w:hint="eastAsia"/>
        </w:rPr>
        <w:t>電信、網路或金流人頭由自然人轉向法人化</w:t>
      </w:r>
      <w:r w:rsidRPr="00C3310F">
        <w:rPr>
          <w:rFonts w:hint="eastAsia"/>
        </w:rPr>
        <w:t>」</w:t>
      </w:r>
      <w:r w:rsidR="000B1C3C" w:rsidRPr="00C3310F">
        <w:rPr>
          <w:rFonts w:hint="eastAsia"/>
        </w:rPr>
        <w:t>部分，茲將本院諮詢專家意見摘錄如下，顯示由金融第一線觀察，已開始出現法人化之端倪；復對照「堵詐」面屢傳</w:t>
      </w:r>
      <w:r w:rsidR="000B1C3C" w:rsidRPr="00C3310F">
        <w:t>MNO</w:t>
      </w:r>
      <w:r w:rsidR="000B1C3C" w:rsidRPr="00C3310F">
        <w:rPr>
          <w:rFonts w:hint="eastAsia"/>
        </w:rPr>
        <w:t>及</w:t>
      </w:r>
      <w:r w:rsidR="000B1C3C" w:rsidRPr="00C3310F">
        <w:t>MVNO</w:t>
      </w:r>
      <w:r w:rsidR="000B1C3C" w:rsidRPr="00C3310F">
        <w:rPr>
          <w:rFonts w:hint="eastAsia"/>
        </w:rPr>
        <w:t>電信業者浮濫核配門號予法人公司之案件，顯示詐騙集團在人頭門號及帳戶方面已開始由自然人轉向法人化，若此趨勢不予防堵，將使「洗</w:t>
      </w:r>
      <w:r w:rsidR="00AD0A96" w:rsidRPr="00C3310F">
        <w:rPr>
          <w:rFonts w:hint="eastAsia"/>
        </w:rPr>
        <w:t>錢</w:t>
      </w:r>
      <w:r w:rsidR="000B1C3C" w:rsidRPr="00C3310F">
        <w:rPr>
          <w:rFonts w:hint="eastAsia"/>
        </w:rPr>
        <w:t>防</w:t>
      </w:r>
      <w:r w:rsidR="00AD0A96" w:rsidRPr="00C3310F">
        <w:rPr>
          <w:rFonts w:hint="eastAsia"/>
        </w:rPr>
        <w:t>制</w:t>
      </w:r>
      <w:r w:rsidR="000B1C3C" w:rsidRPr="00C3310F">
        <w:rPr>
          <w:rFonts w:hint="eastAsia"/>
        </w:rPr>
        <w:t>法」對於無正常理由提供帳戶之修法無效化，而無法壓制人頭帳戶之增長，復對照行政院及經濟部之回應，政府雖有研擬輕度規管措施，惟仍建議政府持續關注相關案情樣態並滾動檢討。</w:t>
      </w:r>
      <w:bookmarkEnd w:id="1115"/>
      <w:bookmarkEnd w:id="1116"/>
      <w:bookmarkEnd w:id="1117"/>
    </w:p>
    <w:p w14:paraId="01206836" w14:textId="77777777" w:rsidR="000B1C3C" w:rsidRPr="00C3310F" w:rsidRDefault="000B1C3C" w:rsidP="000B1C3C">
      <w:pPr>
        <w:pStyle w:val="4"/>
      </w:pPr>
      <w:r w:rsidRPr="00C3310F">
        <w:rPr>
          <w:rFonts w:hint="eastAsia"/>
        </w:rPr>
        <w:t>諮詢專家意見如下：</w:t>
      </w:r>
    </w:p>
    <w:p w14:paraId="534A88E7" w14:textId="14763881" w:rsidR="000B1C3C" w:rsidRPr="00C3310F" w:rsidRDefault="000B1C3C" w:rsidP="000B1C3C">
      <w:pPr>
        <w:pStyle w:val="5"/>
      </w:pPr>
      <w:r w:rsidRPr="00C3310F">
        <w:rPr>
          <w:rFonts w:hint="eastAsia"/>
        </w:rPr>
        <w:t>臺灣以經濟立國，所以很重視公司發展，現在有86萬</w:t>
      </w:r>
      <w:r w:rsidR="00343424" w:rsidRPr="00C3310F">
        <w:rPr>
          <w:rFonts w:hint="eastAsia"/>
        </w:rPr>
        <w:t>間</w:t>
      </w:r>
      <w:r w:rsidRPr="00C3310F">
        <w:rPr>
          <w:rFonts w:hint="eastAsia"/>
        </w:rPr>
        <w:t>公司但有四分之一都是假公司，所以我</w:t>
      </w:r>
      <w:r w:rsidRPr="00C3310F">
        <w:rPr>
          <w:rFonts w:hint="eastAsia"/>
        </w:rPr>
        <w:lastRenderedPageBreak/>
        <w:t>預測從明年開始所有的人頭帳戶會轉到法人戶，因為現在金融機構，現在全都在防個人戶。</w:t>
      </w:r>
    </w:p>
    <w:p w14:paraId="6D72E2FA" w14:textId="20A51FD0" w:rsidR="000B1C3C" w:rsidRPr="00C3310F" w:rsidRDefault="000B1C3C" w:rsidP="000B1C3C">
      <w:pPr>
        <w:pStyle w:val="5"/>
      </w:pPr>
      <w:r w:rsidRPr="00C3310F">
        <w:rPr>
          <w:rFonts w:hint="eastAsia"/>
        </w:rPr>
        <w:t>個人戶現在慢慢減少，那我們每天都在看嘛，現在全部都是法人，他們都去收購歇業的公司，那歇業的公司都沒有人管，因為經濟部也沒有任何的查核。</w:t>
      </w:r>
    </w:p>
    <w:p w14:paraId="6B7A8D0D" w14:textId="77777777" w:rsidR="000B1C3C" w:rsidRPr="00C3310F" w:rsidRDefault="000B1C3C" w:rsidP="000B1C3C">
      <w:pPr>
        <w:pStyle w:val="4"/>
      </w:pPr>
      <w:r w:rsidRPr="00C3310F">
        <w:rPr>
          <w:rFonts w:hint="eastAsia"/>
        </w:rPr>
        <w:t>行政院回應：</w:t>
      </w:r>
    </w:p>
    <w:p w14:paraId="57820BDB" w14:textId="77777777" w:rsidR="000B1C3C" w:rsidRPr="00C3310F" w:rsidRDefault="000B1C3C" w:rsidP="000B1C3C">
      <w:pPr>
        <w:pStyle w:val="5"/>
      </w:pPr>
      <w:r w:rsidRPr="00C3310F">
        <w:rPr>
          <w:rFonts w:hint="eastAsia"/>
        </w:rPr>
        <w:t>防杜是類情形發生，金管會業於打詐新四法之詐欺犯罪危害防制條例內納入身分強化辨識機制，針對疑似涉及詐欺犯罪之異常存款帳戶、電子支付帳戶、信用卡或虛擬資產帳號強化確認客戶身分，並得採取對客戶身分持續審查，以利對於疑似涉及詐欺犯罪之異常帳戶、信用卡及虛擬資產帳號有一致性之規範。</w:t>
      </w:r>
    </w:p>
    <w:p w14:paraId="330DAC32" w14:textId="77777777" w:rsidR="000B1C3C" w:rsidRPr="00C3310F" w:rsidRDefault="000B1C3C" w:rsidP="000B1C3C">
      <w:pPr>
        <w:pStyle w:val="5"/>
      </w:pPr>
      <w:r w:rsidRPr="00C3310F">
        <w:rPr>
          <w:rFonts w:hint="eastAsia"/>
        </w:rPr>
        <w:t>另考量犯罪集團可能利用人頭公司大量申辦用戶號碼或電信服務從事詐騙，並透過成立不同法人、非法人團體、商號規避申請電信服務之身分核對措施，通傳會業於打詐新四法之詐欺犯罪危害防制條例中納入相關規範，針對曾受停話、斷話之法人、非法人團體、商號之代表人，於一定期間內再向電信事業以不同法人、非法人團體、商號名義申請電信服務時，應受申請用戶號碼及電信服務之數量限制。</w:t>
      </w:r>
    </w:p>
    <w:p w14:paraId="2E93D9A0" w14:textId="77777777" w:rsidR="000B1C3C" w:rsidRPr="00C3310F" w:rsidRDefault="000B1C3C" w:rsidP="000B1C3C">
      <w:pPr>
        <w:pStyle w:val="4"/>
      </w:pPr>
      <w:r w:rsidRPr="00C3310F">
        <w:rPr>
          <w:rFonts w:hint="eastAsia"/>
        </w:rPr>
        <w:t>經濟部則回應：</w:t>
      </w:r>
    </w:p>
    <w:p w14:paraId="79109255" w14:textId="77777777" w:rsidR="000B1C3C" w:rsidRPr="00C3310F" w:rsidRDefault="000B1C3C" w:rsidP="000B1C3C">
      <w:pPr>
        <w:pStyle w:val="5"/>
      </w:pPr>
      <w:r w:rsidRPr="00C3310F">
        <w:rPr>
          <w:rFonts w:hint="eastAsia"/>
        </w:rPr>
        <w:t>按公司登記主管機關對於設立</w:t>
      </w:r>
      <w:r w:rsidRPr="00C3310F">
        <w:t>(</w:t>
      </w:r>
      <w:r w:rsidRPr="00C3310F">
        <w:rPr>
          <w:rFonts w:hint="eastAsia"/>
        </w:rPr>
        <w:t>變更</w:t>
      </w:r>
      <w:r w:rsidRPr="00C3310F">
        <w:t>)</w:t>
      </w:r>
      <w:r w:rsidRPr="00C3310F">
        <w:rPr>
          <w:rFonts w:hint="eastAsia"/>
        </w:rPr>
        <w:t>登記之申請，如公司所提出之申請書件審核符合公司法之規定，即應准予登記。關於同一人設立多家公司，公司法並無限制。</w:t>
      </w:r>
    </w:p>
    <w:p w14:paraId="0BCAC476" w14:textId="77777777" w:rsidR="000B1C3C" w:rsidRPr="00C3310F" w:rsidRDefault="000B1C3C" w:rsidP="000B1C3C">
      <w:pPr>
        <w:pStyle w:val="5"/>
      </w:pPr>
      <w:r w:rsidRPr="00C3310F">
        <w:rPr>
          <w:rFonts w:hint="eastAsia"/>
        </w:rPr>
        <w:t>有關二家以上之公司登記於同一地址一節，公司法亦無禁止之規定，惟於申請登記時，須依公</w:t>
      </w:r>
      <w:r w:rsidRPr="00C3310F">
        <w:rPr>
          <w:rFonts w:hint="eastAsia"/>
        </w:rPr>
        <w:lastRenderedPageBreak/>
        <w:t>司登記辦法規定，檢送登記地址之「建物所有權人同意書」及「所有權證明文件」供審查，且應以戶政機關編訂之門牌為依歸，並非可由公司任意登記門牌號碼。</w:t>
      </w:r>
    </w:p>
    <w:p w14:paraId="7CDFA6D3" w14:textId="77777777" w:rsidR="000B1C3C" w:rsidRPr="00C3310F" w:rsidRDefault="000B1C3C" w:rsidP="000B1C3C">
      <w:pPr>
        <w:pStyle w:val="5"/>
      </w:pPr>
      <w:r w:rsidRPr="00C3310F">
        <w:rPr>
          <w:rFonts w:hint="eastAsia"/>
        </w:rPr>
        <w:t>另查美國之「企業透明法」與英國之「經濟犯罪與企業透明法」均係企業申報對公司有實質控制權、擔任董事等資訊之相關規範，尚非用以規範或限制同一人申設多家公司或同一地址登記多家公司，併為敘明。</w:t>
      </w:r>
    </w:p>
    <w:p w14:paraId="2B0FE331" w14:textId="133C6EE4" w:rsidR="000B1C3C" w:rsidRPr="00C3310F" w:rsidRDefault="000B1C3C" w:rsidP="000B1C3C">
      <w:pPr>
        <w:pStyle w:val="3"/>
        <w:rPr>
          <w:szCs w:val="32"/>
        </w:rPr>
      </w:pPr>
      <w:bookmarkStart w:id="1118" w:name="_Toc171525650"/>
      <w:bookmarkStart w:id="1119" w:name="_Toc172024171"/>
      <w:bookmarkStart w:id="1120" w:name="_Toc172033494"/>
      <w:r w:rsidRPr="00C3310F">
        <w:rPr>
          <w:rFonts w:hint="eastAsia"/>
        </w:rPr>
        <w:t>「逐步開始運用人工智慧及深偽技術」部分，</w:t>
      </w:r>
      <w:r w:rsidRPr="00C3310F">
        <w:t>GASA</w:t>
      </w:r>
      <w:r w:rsidRPr="00C3310F">
        <w:rPr>
          <w:rFonts w:hint="eastAsia"/>
        </w:rPr>
        <w:t>及英國政府亦</w:t>
      </w:r>
      <w:r w:rsidRPr="00C3310F">
        <w:rPr>
          <w:rFonts w:hint="eastAsia"/>
          <w:szCs w:val="32"/>
        </w:rPr>
        <w:t>均提出相關憂慮，隨著人工智慧及深偽技術之技術門檻及取得成本將逐漸降低，預期</w:t>
      </w:r>
      <w:r w:rsidR="00A1409C" w:rsidRPr="00C3310F">
        <w:rPr>
          <w:rFonts w:hint="eastAsia"/>
          <w:szCs w:val="32"/>
        </w:rPr>
        <w:t>詐騙集團</w:t>
      </w:r>
      <w:r w:rsidRPr="00C3310F">
        <w:rPr>
          <w:rFonts w:hint="eastAsia"/>
          <w:szCs w:val="32"/>
        </w:rPr>
        <w:t>將開始採用相關技術，其用途十分廣泛，不僅在偽冒身分騙取金錢，也可能夠透過偽冒ChatGPT應用App收集個人資料，造成個資外洩，亦可用於駭入資訊系統等；政府雖然已開始因應，然而人工智慧可能涉及之層面太廣，未來仍恐成為打詐之棘手問題，</w:t>
      </w:r>
      <w:r w:rsidR="00A1409C" w:rsidRPr="00C3310F">
        <w:rPr>
          <w:rFonts w:hint="eastAsia"/>
          <w:szCs w:val="32"/>
        </w:rPr>
        <w:t>本調查研究</w:t>
      </w:r>
      <w:r w:rsidRPr="00C3310F">
        <w:rPr>
          <w:rFonts w:hint="eastAsia"/>
          <w:szCs w:val="32"/>
        </w:rPr>
        <w:t>建議政府宜考慮積極推動諸如「A</w:t>
      </w:r>
      <w:r w:rsidRPr="00C3310F">
        <w:rPr>
          <w:szCs w:val="32"/>
        </w:rPr>
        <w:t>I</w:t>
      </w:r>
      <w:r w:rsidRPr="00C3310F">
        <w:rPr>
          <w:rFonts w:hint="eastAsia"/>
          <w:szCs w:val="32"/>
        </w:rPr>
        <w:t>基本法」之基礎法制工作，以因應廣泛威脅。</w:t>
      </w:r>
      <w:bookmarkEnd w:id="1118"/>
      <w:bookmarkEnd w:id="1119"/>
      <w:bookmarkEnd w:id="1120"/>
    </w:p>
    <w:p w14:paraId="1B8B9011" w14:textId="77777777" w:rsidR="000B1C3C" w:rsidRPr="00C3310F" w:rsidRDefault="000B1C3C" w:rsidP="000B1C3C">
      <w:pPr>
        <w:pStyle w:val="4"/>
        <w:rPr>
          <w:szCs w:val="32"/>
        </w:rPr>
      </w:pPr>
      <w:r w:rsidRPr="00C3310F">
        <w:rPr>
          <w:rFonts w:hint="eastAsia"/>
          <w:szCs w:val="32"/>
        </w:rPr>
        <w:t>G</w:t>
      </w:r>
      <w:r w:rsidRPr="00C3310F">
        <w:rPr>
          <w:szCs w:val="32"/>
        </w:rPr>
        <w:t>ASA</w:t>
      </w:r>
      <w:r w:rsidRPr="00C3310F">
        <w:rPr>
          <w:rFonts w:hint="eastAsia"/>
          <w:szCs w:val="32"/>
        </w:rPr>
        <w:t>在2023年11月在臺灣辦理亞洲防詐高峰會（Anti-Scam Asia Summit，ASAS），邀請多位講者均提及A</w:t>
      </w:r>
      <w:r w:rsidRPr="00C3310F">
        <w:rPr>
          <w:szCs w:val="32"/>
        </w:rPr>
        <w:t>I</w:t>
      </w:r>
      <w:r w:rsidRPr="00C3310F">
        <w:rPr>
          <w:rFonts w:hint="eastAsia"/>
          <w:szCs w:val="32"/>
        </w:rPr>
        <w:t>詐騙之風險：</w:t>
      </w:r>
    </w:p>
    <w:p w14:paraId="542297AB" w14:textId="77777777" w:rsidR="000B1C3C" w:rsidRPr="00C3310F" w:rsidRDefault="000B1C3C" w:rsidP="000B1C3C">
      <w:pPr>
        <w:pStyle w:val="5"/>
      </w:pPr>
      <w:r w:rsidRPr="00C3310F">
        <w:rPr>
          <w:rFonts w:hint="eastAsia"/>
        </w:rPr>
        <w:t>從2019年就看到，Deepfake技術門檻開始有大幅降低情況，甚至首起AI軟體偽裝老闆聲音指示匯錢的案例。</w:t>
      </w:r>
    </w:p>
    <w:p w14:paraId="4E215D80" w14:textId="77777777" w:rsidR="000B1C3C" w:rsidRPr="00C3310F" w:rsidRDefault="000B1C3C" w:rsidP="000B1C3C">
      <w:pPr>
        <w:pStyle w:val="5"/>
      </w:pPr>
      <w:r w:rsidRPr="00C3310F">
        <w:rPr>
          <w:rFonts w:hint="eastAsia"/>
        </w:rPr>
        <w:t>現場講者更直接示範運用AI技術建立假網路拍賣網站以騙取個資及施行購物詐騙。</w:t>
      </w:r>
    </w:p>
    <w:p w14:paraId="710CE44B" w14:textId="1076EA30" w:rsidR="000B1C3C" w:rsidRPr="00C3310F" w:rsidRDefault="000B1C3C" w:rsidP="000B1C3C">
      <w:pPr>
        <w:pStyle w:val="4"/>
      </w:pPr>
      <w:r w:rsidRPr="00C3310F">
        <w:rPr>
          <w:rFonts w:hint="eastAsia"/>
        </w:rPr>
        <w:t>英國反詐綱領則指出，ChatGPT等新型人工智慧大型語言模型和巧妙的機器學習工具的出現，使</w:t>
      </w:r>
      <w:r w:rsidR="00A1409C" w:rsidRPr="00C3310F">
        <w:rPr>
          <w:rFonts w:hint="eastAsia"/>
        </w:rPr>
        <w:t>詐騙集團</w:t>
      </w:r>
      <w:r w:rsidRPr="00C3310F">
        <w:rPr>
          <w:rFonts w:hint="eastAsia"/>
        </w:rPr>
        <w:t>能夠更有針對性地進行詐騙。</w:t>
      </w:r>
    </w:p>
    <w:p w14:paraId="169F0790" w14:textId="77777777" w:rsidR="000B1C3C" w:rsidRPr="00C3310F" w:rsidRDefault="000B1C3C" w:rsidP="000B1C3C">
      <w:pPr>
        <w:pStyle w:val="4"/>
        <w:rPr>
          <w:szCs w:val="32"/>
        </w:rPr>
      </w:pPr>
      <w:r w:rsidRPr="00C3310F">
        <w:rPr>
          <w:rFonts w:hint="eastAsia"/>
        </w:rPr>
        <w:lastRenderedPageBreak/>
        <w:t>對於人工智慧及深偽技術前在之威脅，行政</w:t>
      </w:r>
      <w:r w:rsidRPr="00C3310F">
        <w:rPr>
          <w:rFonts w:hint="eastAsia"/>
          <w:szCs w:val="32"/>
        </w:rPr>
        <w:t>院表示:</w:t>
      </w:r>
    </w:p>
    <w:p w14:paraId="6DF1CB98" w14:textId="32619C31" w:rsidR="000B1C3C" w:rsidRPr="00C3310F" w:rsidRDefault="000B1C3C" w:rsidP="000B1C3C">
      <w:pPr>
        <w:pStyle w:val="5"/>
      </w:pPr>
      <w:r w:rsidRPr="00C3310F">
        <w:rPr>
          <w:rFonts w:hAnsi="標楷體" w:hint="eastAsia"/>
          <w:szCs w:val="32"/>
        </w:rPr>
        <w:t>經</w:t>
      </w:r>
      <w:r w:rsidRPr="00C3310F">
        <w:rPr>
          <w:rFonts w:hint="eastAsia"/>
          <w:szCs w:val="32"/>
        </w:rPr>
        <w:t>分析近期涉及AI與深層偽造技術影音之刑事案件，</w:t>
      </w:r>
      <w:r w:rsidRPr="00C3310F">
        <w:rPr>
          <w:rFonts w:hint="eastAsia"/>
        </w:rPr>
        <w:t>以妨害名譽為主要案類，尚無發現應用於詐騙案件之實際案例，惟為因應處置深度偽造影音案件，警政署刑事局業自111年10月起陸續採購荷蘭及美國商用數位鑑識軟體，如各警察機關受理涉及深度偽造假影音內容之刑事案件，可依將證物送交警政署刑事局檢測真偽，以利後續溯源偵辦，未來除持續更新購置最新數位影音鑑識技術與軟體，及加強員警教育訓練外，如經檢測確認屬假影音案件，亦將主動發布新聞強化宣導，避免更多民眾誤信。</w:t>
      </w:r>
    </w:p>
    <w:p w14:paraId="701C6D78" w14:textId="70F8AC1F" w:rsidR="000B1C3C" w:rsidRPr="00C3310F" w:rsidRDefault="00D82B1C" w:rsidP="000B1C3C">
      <w:pPr>
        <w:pStyle w:val="5"/>
      </w:pPr>
      <w:r w:rsidRPr="00C3310F">
        <w:rPr>
          <w:rFonts w:hint="eastAsia"/>
        </w:rPr>
        <w:t>數發部</w:t>
      </w:r>
      <w:r w:rsidR="000B1C3C" w:rsidRPr="00C3310F">
        <w:rPr>
          <w:rFonts w:hint="eastAsia"/>
        </w:rPr>
        <w:t>就目前遭遇AI或Deepfake詐騙之案例情形及趨勢，主要是集中在假冒名人或投資專家，透過網路</w:t>
      </w:r>
      <w:r w:rsidR="0004575A" w:rsidRPr="00C3310F">
        <w:rPr>
          <w:rFonts w:hint="eastAsia"/>
        </w:rPr>
        <w:t>平臺</w:t>
      </w:r>
      <w:r w:rsidR="000B1C3C" w:rsidRPr="00C3310F">
        <w:rPr>
          <w:rFonts w:hint="eastAsia"/>
        </w:rPr>
        <w:t>或社群媒體，向受害者推銷虛假投資商品或服務。</w:t>
      </w:r>
    </w:p>
    <w:p w14:paraId="0DA07A20" w14:textId="7AE65256" w:rsidR="000B1C3C" w:rsidRPr="00C3310F" w:rsidRDefault="000B1C3C" w:rsidP="000B1C3C">
      <w:pPr>
        <w:pStyle w:val="5"/>
      </w:pPr>
      <w:r w:rsidRPr="00C3310F">
        <w:rPr>
          <w:rFonts w:hint="eastAsia"/>
        </w:rPr>
        <w:t>針對投資廣告或假冒名人部</w:t>
      </w:r>
      <w:r w:rsidR="00AD0A96" w:rsidRPr="00C3310F">
        <w:rPr>
          <w:rFonts w:hint="eastAsia"/>
        </w:rPr>
        <w:t>分</w:t>
      </w:r>
      <w:r w:rsidRPr="00C3310F">
        <w:rPr>
          <w:rFonts w:hint="eastAsia"/>
        </w:rPr>
        <w:t>，已由金管會修正《證券投資信託及顧問法》第70條之1，針對不法投資廣告進行規範，要求刊登社群平臺之投資廣告必須要實名制。</w:t>
      </w:r>
    </w:p>
    <w:p w14:paraId="6079D5E5" w14:textId="5AF84798" w:rsidR="000B1C3C" w:rsidRPr="00C3310F" w:rsidRDefault="000B1C3C" w:rsidP="000B1C3C">
      <w:pPr>
        <w:pStyle w:val="5"/>
      </w:pPr>
      <w:r w:rsidRPr="00C3310F">
        <w:rPr>
          <w:rFonts w:hint="eastAsia"/>
        </w:rPr>
        <w:t>另在詐欺犯罪危害防制條例中，亦針對網路廣告業者刊登廣告部</w:t>
      </w:r>
      <w:r w:rsidR="00AD0A96" w:rsidRPr="00C3310F">
        <w:rPr>
          <w:rFonts w:hint="eastAsia"/>
        </w:rPr>
        <w:t>分</w:t>
      </w:r>
      <w:r w:rsidRPr="00C3310F">
        <w:rPr>
          <w:rFonts w:hint="eastAsia"/>
        </w:rPr>
        <w:t>，必須進行實質內容審查及廣告主、出資者身分確認及實名制。</w:t>
      </w:r>
    </w:p>
    <w:p w14:paraId="3D0F9BD7" w14:textId="77777777" w:rsidR="000B1C3C" w:rsidRPr="00C3310F" w:rsidRDefault="000B1C3C" w:rsidP="000B1C3C">
      <w:pPr>
        <w:pStyle w:val="5"/>
      </w:pPr>
      <w:r w:rsidRPr="00C3310F">
        <w:rPr>
          <w:rFonts w:hint="eastAsia"/>
        </w:rPr>
        <w:t>數發部將於近期建構「打詐通報查詢網」，讓民眾可以透過此一網站進行網址是否為詐騙網址，未來系統將以AI技術對抗詐騙AI生成訊息。</w:t>
      </w:r>
    </w:p>
    <w:p w14:paraId="1ADA654B" w14:textId="0EF019E6" w:rsidR="000B1C3C" w:rsidRPr="00C3310F" w:rsidRDefault="000B1C3C" w:rsidP="000B1C3C">
      <w:pPr>
        <w:pStyle w:val="5"/>
      </w:pPr>
      <w:r w:rsidRPr="00C3310F">
        <w:rPr>
          <w:rFonts w:hint="eastAsia"/>
        </w:rPr>
        <w:t>近期偵辦具體個案包括調查局高雄市調查處於花蓮縣偵破電信詐欺機房案：該案係「以AI深偽技術假扮大陸公安之大型電信詐欺機房」案件</w:t>
      </w:r>
      <w:r w:rsidRPr="00C3310F">
        <w:rPr>
          <w:rFonts w:hAnsi="標楷體" w:hint="eastAsia"/>
          <w:szCs w:val="32"/>
        </w:rPr>
        <w:t>。</w:t>
      </w:r>
    </w:p>
    <w:p w14:paraId="476CAE16" w14:textId="2A906115" w:rsidR="003D434B" w:rsidRPr="00C3310F" w:rsidRDefault="000B1C3C" w:rsidP="001C4C47">
      <w:pPr>
        <w:pStyle w:val="3"/>
        <w:ind w:leftChars="200"/>
      </w:pPr>
      <w:bookmarkStart w:id="1121" w:name="_Toc171525651"/>
      <w:bookmarkStart w:id="1122" w:name="_Toc172024172"/>
      <w:bookmarkStart w:id="1123" w:name="_Toc172033495"/>
      <w:r w:rsidRPr="00C3310F">
        <w:rPr>
          <w:rFonts w:hint="eastAsia"/>
        </w:rPr>
        <w:lastRenderedPageBreak/>
        <w:t>綜上，</w:t>
      </w:r>
      <w:r w:rsidR="00A1409C" w:rsidRPr="00C3310F">
        <w:rPr>
          <w:rFonts w:hint="eastAsia"/>
        </w:rPr>
        <w:t>本調查研究</w:t>
      </w:r>
      <w:r w:rsidRPr="00C3310F">
        <w:rPr>
          <w:rFonts w:hint="eastAsia"/>
        </w:rPr>
        <w:t>初步觀察「勾結各打詐環節關鍵人員」、「電信、網路或金流人頭法人化」以及「逐步開始運用人工智慧及深偽技術」將成為</w:t>
      </w:r>
      <w:r w:rsidR="00A1409C" w:rsidRPr="00C3310F">
        <w:rPr>
          <w:rFonts w:hint="eastAsia"/>
        </w:rPr>
        <w:t>詐騙集團</w:t>
      </w:r>
      <w:r w:rsidRPr="00C3310F">
        <w:rPr>
          <w:rFonts w:hint="eastAsia"/>
        </w:rPr>
        <w:t>躲避政府規管及查緝之可能轉型方向；其中「電信、網路或金流人頭法人化」以及「逐步開始運用人工智慧及深偽技術」兩項雖然尚待持續滾動檢討，然政府已有相關之問題意識；但在「勾結各打詐環節關鍵人員」方面，政府似顯束手無策，恐成為未來打詐環節中相對薄弱之一環</w:t>
      </w:r>
      <w:r w:rsidR="001C4C47" w:rsidRPr="00C3310F">
        <w:rPr>
          <w:rFonts w:hint="eastAsia"/>
        </w:rPr>
        <w:t>，允宜提前研謀善策妥處，以收防微杜漸之效</w:t>
      </w:r>
      <w:r w:rsidRPr="00C3310F">
        <w:rPr>
          <w:rFonts w:hint="eastAsia"/>
        </w:rPr>
        <w:t>。</w:t>
      </w:r>
      <w:bookmarkEnd w:id="1121"/>
      <w:bookmarkEnd w:id="1122"/>
      <w:bookmarkEnd w:id="1123"/>
    </w:p>
    <w:p w14:paraId="36104E16" w14:textId="2939B7C0" w:rsidR="000B1C3C" w:rsidRPr="00C3310F" w:rsidRDefault="003D434B" w:rsidP="003D434B">
      <w:pPr>
        <w:widowControl/>
        <w:overflowPunct/>
        <w:autoSpaceDE/>
        <w:autoSpaceDN/>
        <w:jc w:val="left"/>
        <w:rPr>
          <w:rFonts w:hAnsi="Arial"/>
          <w:bCs/>
          <w:kern w:val="32"/>
          <w:szCs w:val="36"/>
        </w:rPr>
      </w:pPr>
      <w:r w:rsidRPr="00C3310F">
        <w:br w:type="page"/>
      </w:r>
    </w:p>
    <w:p w14:paraId="657580DD" w14:textId="77777777" w:rsidR="000B1C3C" w:rsidRPr="00C3310F" w:rsidRDefault="000B1C3C" w:rsidP="000B1C3C">
      <w:pPr>
        <w:pStyle w:val="2"/>
        <w:ind w:left="1023"/>
        <w:rPr>
          <w:b/>
        </w:rPr>
      </w:pPr>
      <w:bookmarkStart w:id="1124" w:name="_Toc172033496"/>
      <w:r w:rsidRPr="00C3310F">
        <w:rPr>
          <w:rFonts w:hint="eastAsia"/>
          <w:b/>
        </w:rPr>
        <w:lastRenderedPageBreak/>
        <w:t>由於電信網路詐欺為世界趨勢且組織分散遍布全球，國際互助及合作較過去更顯重要，政府在外交艱困情形下仍努力簽訂司法互助協議、深化交流及增派常駐或臨時聯絡官等，112年更成功爭取主辦全球反詐聯盟在臺灣辦理，足見我國在資通訊產業發達及公私協力無間之優勢，爰政府宜善用此一優勢，爭取更多國際合作機會，以突破詐欺犯罪利用國際隔閡所製造之偵查斷點。</w:t>
      </w:r>
      <w:bookmarkEnd w:id="1124"/>
    </w:p>
    <w:p w14:paraId="67DD8742" w14:textId="6B5A29FC" w:rsidR="000B1C3C" w:rsidRPr="00C3310F" w:rsidRDefault="00A1409C" w:rsidP="000B1C3C">
      <w:pPr>
        <w:pStyle w:val="3"/>
      </w:pPr>
      <w:bookmarkStart w:id="1125" w:name="_Toc171525653"/>
      <w:bookmarkStart w:id="1126" w:name="_Toc172024174"/>
      <w:bookmarkStart w:id="1127" w:name="_Toc172033497"/>
      <w:r w:rsidRPr="00C3310F">
        <w:rPr>
          <w:rFonts w:hint="eastAsia"/>
        </w:rPr>
        <w:t>本調查研究</w:t>
      </w:r>
      <w:r w:rsidR="000B1C3C" w:rsidRPr="00C3310F">
        <w:rPr>
          <w:rFonts w:hint="eastAsia"/>
        </w:rPr>
        <w:t>蒐整之多數文獻均將電信網路詐欺集團描述為全球化且以弱連結達成各司其職效果之犯罪集團，其分工描繪如下圖</w:t>
      </w:r>
      <w:r w:rsidR="004B77B6" w:rsidRPr="00C3310F">
        <w:rPr>
          <w:rFonts w:hint="eastAsia"/>
        </w:rPr>
        <w:t>16</w:t>
      </w:r>
      <w:r w:rsidR="000B1C3C" w:rsidRPr="00C3310F">
        <w:rPr>
          <w:rFonts w:hint="eastAsia"/>
        </w:rPr>
        <w:t>，並有研究並透過個案分析，對於</w:t>
      </w:r>
      <w:r w:rsidRPr="00C3310F">
        <w:rPr>
          <w:rFonts w:hint="eastAsia"/>
        </w:rPr>
        <w:t>詐騙集團</w:t>
      </w:r>
      <w:r w:rsidR="000B1C3C" w:rsidRPr="00C3310F">
        <w:rPr>
          <w:rFonts w:hint="eastAsia"/>
        </w:rPr>
        <w:t>之空間及社會分工有詳細描述，並點出「跨境電信詐欺犯罪的查緝常會產生司法管轄權競合的問題。依照領域原則，電信詐欺集團的詐欺行為在當地國並無受害者，且並未觸犯當地法律，頂多以違反電信法相關法條處分」之問題：</w:t>
      </w:r>
      <w:bookmarkEnd w:id="1125"/>
      <w:bookmarkEnd w:id="1126"/>
      <w:bookmarkEnd w:id="1127"/>
    </w:p>
    <w:p w14:paraId="389ADB2C" w14:textId="77777777" w:rsidR="000B1C3C" w:rsidRPr="00C3310F" w:rsidRDefault="000B1C3C" w:rsidP="000B1C3C">
      <w:pPr>
        <w:pStyle w:val="3"/>
        <w:numPr>
          <w:ilvl w:val="0"/>
          <w:numId w:val="0"/>
        </w:numPr>
        <w:ind w:left="142"/>
      </w:pPr>
      <w:bookmarkStart w:id="1128" w:name="_Toc171525654"/>
      <w:bookmarkStart w:id="1129" w:name="_Toc172024175"/>
      <w:bookmarkStart w:id="1130" w:name="_Toc172033498"/>
      <w:r w:rsidRPr="00C3310F">
        <w:rPr>
          <w:noProof/>
        </w:rPr>
        <w:lastRenderedPageBreak/>
        <w:drawing>
          <wp:inline distT="0" distB="0" distL="0" distR="0" wp14:anchorId="007165D0" wp14:editId="195B8733">
            <wp:extent cx="5470357" cy="5341620"/>
            <wp:effectExtent l="19050" t="19050" r="16510" b="11430"/>
            <wp:docPr id="23" name="圖片 1">
              <a:extLst xmlns:a="http://schemas.openxmlformats.org/drawingml/2006/main">
                <a:ext uri="{FF2B5EF4-FFF2-40B4-BE49-F238E27FC236}">
                  <a16:creationId xmlns:a16="http://schemas.microsoft.com/office/drawing/2014/main" id="{18616647-9887-423B-A527-A4AC71951D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1">
                      <a:extLst>
                        <a:ext uri="{FF2B5EF4-FFF2-40B4-BE49-F238E27FC236}">
                          <a16:creationId xmlns:a16="http://schemas.microsoft.com/office/drawing/2014/main" id="{18616647-9887-423B-A527-A4AC71951D54}"/>
                        </a:ext>
                      </a:extLst>
                    </pic:cNvPr>
                    <pic:cNvPicPr>
                      <a:picLocks noChangeAspect="1"/>
                    </pic:cNvPicPr>
                  </pic:nvPicPr>
                  <pic:blipFill>
                    <a:blip r:embed="rId9"/>
                    <a:stretch>
                      <a:fillRect/>
                    </a:stretch>
                  </pic:blipFill>
                  <pic:spPr>
                    <a:xfrm>
                      <a:off x="0" y="0"/>
                      <a:ext cx="5493880" cy="5364589"/>
                    </a:xfrm>
                    <a:prstGeom prst="rect">
                      <a:avLst/>
                    </a:prstGeom>
                    <a:ln>
                      <a:solidFill>
                        <a:schemeClr val="tx1"/>
                      </a:solidFill>
                    </a:ln>
                  </pic:spPr>
                </pic:pic>
              </a:graphicData>
            </a:graphic>
          </wp:inline>
        </w:drawing>
      </w:r>
      <w:bookmarkEnd w:id="1128"/>
      <w:bookmarkEnd w:id="1129"/>
      <w:bookmarkEnd w:id="1130"/>
    </w:p>
    <w:p w14:paraId="27D70BEA" w14:textId="77777777" w:rsidR="000B1C3C" w:rsidRPr="00C3310F" w:rsidRDefault="000B1C3C" w:rsidP="000B1C3C">
      <w:pPr>
        <w:pStyle w:val="a1"/>
        <w:ind w:left="480" w:hanging="480"/>
        <w:jc w:val="left"/>
        <w:rPr>
          <w:rFonts w:hint="eastAsia"/>
          <w:b/>
        </w:rPr>
      </w:pPr>
      <w:bookmarkStart w:id="1131" w:name="_Toc172025270"/>
      <w:r w:rsidRPr="00C3310F">
        <w:rPr>
          <w:rFonts w:hint="eastAsia"/>
          <w:b/>
        </w:rPr>
        <w:t>跨國電信網路詐騙集團分工圖。(資料來源：本院蒐整文獻</w:t>
      </w:r>
      <w:r w:rsidRPr="00C3310F">
        <w:rPr>
          <w:rStyle w:val="afe"/>
          <w:b/>
        </w:rPr>
        <w:footnoteReference w:id="105"/>
      </w:r>
      <w:r w:rsidRPr="00C3310F">
        <w:rPr>
          <w:rFonts w:hint="eastAsia"/>
          <w:b/>
        </w:rPr>
        <w:t>)</w:t>
      </w:r>
      <w:bookmarkEnd w:id="1131"/>
    </w:p>
    <w:p w14:paraId="7FF0DD2E" w14:textId="77777777" w:rsidR="000B1C3C" w:rsidRPr="00C3310F" w:rsidRDefault="000B1C3C" w:rsidP="000B1C3C">
      <w:pPr>
        <w:pStyle w:val="3"/>
      </w:pPr>
      <w:bookmarkStart w:id="1132" w:name="_Toc171525655"/>
      <w:bookmarkStart w:id="1133" w:name="_Toc172024176"/>
      <w:bookmarkStart w:id="1134" w:name="_Toc172033499"/>
      <w:r w:rsidRPr="00C3310F">
        <w:rPr>
          <w:rFonts w:hint="eastAsia"/>
        </w:rPr>
        <w:t>詐欺集團空間分析發現可分為幕後首腦、招募組、電話機房、洗錢機房、車手集團、系統機台等</w:t>
      </w:r>
      <w:r w:rsidRPr="00C3310F">
        <w:rPr>
          <w:rStyle w:val="afe"/>
        </w:rPr>
        <w:footnoteReference w:id="106"/>
      </w:r>
      <w:r w:rsidRPr="00C3310F">
        <w:rPr>
          <w:rFonts w:hint="eastAsia"/>
        </w:rPr>
        <w:t>；除最底層之車手集團及招募組以外，其餘部門流竄世界各地，利用網路無國界之特性規避國內之規管及查緝。</w:t>
      </w:r>
      <w:bookmarkEnd w:id="1132"/>
      <w:bookmarkEnd w:id="1133"/>
      <w:bookmarkEnd w:id="1134"/>
    </w:p>
    <w:p w14:paraId="5662315C" w14:textId="77777777" w:rsidR="000B1C3C" w:rsidRPr="00C3310F" w:rsidRDefault="000B1C3C" w:rsidP="000B1C3C">
      <w:pPr>
        <w:pStyle w:val="4"/>
      </w:pPr>
      <w:r w:rsidRPr="00C3310F">
        <w:rPr>
          <w:rFonts w:hint="eastAsia"/>
        </w:rPr>
        <w:t>幕後首腦通常隱匿行蹤在各地流竄。</w:t>
      </w:r>
    </w:p>
    <w:p w14:paraId="100C75CF" w14:textId="77777777" w:rsidR="000B1C3C" w:rsidRPr="00C3310F" w:rsidRDefault="000B1C3C" w:rsidP="000B1C3C">
      <w:pPr>
        <w:pStyle w:val="4"/>
      </w:pPr>
      <w:r w:rsidRPr="00C3310F">
        <w:rPr>
          <w:rFonts w:hint="eastAsia"/>
        </w:rPr>
        <w:lastRenderedPageBreak/>
        <w:t>招募組大多在集團成員所在國家，例如在兩岸招募兩岸成員或泰籍、越籍外勞，或在韓、泰、越招募該國成員。</w:t>
      </w:r>
    </w:p>
    <w:p w14:paraId="49104271" w14:textId="77777777" w:rsidR="000B1C3C" w:rsidRPr="00C3310F" w:rsidRDefault="000B1C3C" w:rsidP="000B1C3C">
      <w:pPr>
        <w:pStyle w:val="4"/>
      </w:pPr>
      <w:r w:rsidRPr="00C3310F">
        <w:rPr>
          <w:rFonts w:hint="eastAsia"/>
        </w:rPr>
        <w:t>電話機房據點早期在兩岸，後移至其他國家，只要可拉網路線的地方，不限大都市、偏遠鄉下或觀光景點。</w:t>
      </w:r>
    </w:p>
    <w:p w14:paraId="0FD1C464" w14:textId="77777777" w:rsidR="000B1C3C" w:rsidRPr="00C3310F" w:rsidRDefault="000B1C3C" w:rsidP="000B1C3C">
      <w:pPr>
        <w:pStyle w:val="4"/>
      </w:pPr>
      <w:r w:rsidRPr="00C3310F">
        <w:rPr>
          <w:rFonts w:hint="eastAsia"/>
        </w:rPr>
        <w:t>洗錢機房（轉帳中心）：早期多在兩岸，後因金融科技發達，透過網路銀行或轉帳匯款，則無需限於同一國家。</w:t>
      </w:r>
    </w:p>
    <w:p w14:paraId="7D67F3E9" w14:textId="77777777" w:rsidR="000B1C3C" w:rsidRPr="00C3310F" w:rsidRDefault="000B1C3C" w:rsidP="000B1C3C">
      <w:pPr>
        <w:pStyle w:val="4"/>
      </w:pPr>
      <w:r w:rsidRPr="00C3310F">
        <w:rPr>
          <w:rFonts w:hint="eastAsia"/>
        </w:rPr>
        <w:t>車手集團:臺灣多在車手居住地以外縣市、偏僻鄉鎮或工業區等人煙稀少地區的便利商店取款</w:t>
      </w:r>
    </w:p>
    <w:p w14:paraId="18052BB5" w14:textId="77777777" w:rsidR="000B1C3C" w:rsidRPr="00C3310F" w:rsidRDefault="000B1C3C" w:rsidP="000B1C3C">
      <w:pPr>
        <w:pStyle w:val="4"/>
      </w:pPr>
      <w:r w:rsidRPr="00C3310F">
        <w:rPr>
          <w:rFonts w:hint="eastAsia"/>
        </w:rPr>
        <w:t>系統機台：所形成的網路跳板則遍布全球各大洲，系統商利用遠端操控可在國內控制，通常一次設定</w:t>
      </w:r>
      <w:r w:rsidRPr="00C3310F">
        <w:t>10</w:t>
      </w:r>
      <w:r w:rsidRPr="00C3310F">
        <w:rPr>
          <w:rFonts w:hint="eastAsia"/>
        </w:rPr>
        <w:t>～</w:t>
      </w:r>
      <w:r w:rsidRPr="00C3310F">
        <w:t>20</w:t>
      </w:r>
      <w:r w:rsidRPr="00C3310F">
        <w:rPr>
          <w:rFonts w:hint="eastAsia"/>
        </w:rPr>
        <w:t>個伺服器據點，偵查機關查到最後三個即出現警示，可立即逃跑，較難查獲。</w:t>
      </w:r>
    </w:p>
    <w:p w14:paraId="196A6E30" w14:textId="7B8DF65C" w:rsidR="000B1C3C" w:rsidRPr="00C3310F" w:rsidRDefault="000B1C3C" w:rsidP="000B1C3C">
      <w:pPr>
        <w:pStyle w:val="3"/>
      </w:pPr>
      <w:bookmarkStart w:id="1135" w:name="_Toc171525656"/>
      <w:bookmarkStart w:id="1136" w:name="_Toc172024177"/>
      <w:bookmarkStart w:id="1137" w:name="_Toc172033500"/>
      <w:r w:rsidRPr="00C3310F">
        <w:rPr>
          <w:rFonts w:hint="eastAsia"/>
        </w:rPr>
        <w:t>G</w:t>
      </w:r>
      <w:r w:rsidRPr="00C3310F">
        <w:t>ASA</w:t>
      </w:r>
      <w:r w:rsidRPr="00C3310F">
        <w:rPr>
          <w:rFonts w:hint="eastAsia"/>
        </w:rPr>
        <w:t>在2022年提出之報告對於國際合作有以下建議，而我國亦由民間企業成功爭取G</w:t>
      </w:r>
      <w:r w:rsidRPr="00C3310F">
        <w:t>ASA</w:t>
      </w:r>
      <w:r w:rsidRPr="00C3310F">
        <w:rPr>
          <w:rFonts w:hint="eastAsia"/>
        </w:rPr>
        <w:t>於2023年11月在</w:t>
      </w:r>
      <w:r w:rsidR="005E17A1" w:rsidRPr="00C3310F">
        <w:rPr>
          <w:rFonts w:hint="eastAsia"/>
        </w:rPr>
        <w:t>臺</w:t>
      </w:r>
      <w:r w:rsidRPr="00C3310F">
        <w:rPr>
          <w:rFonts w:hint="eastAsia"/>
        </w:rPr>
        <w:t>灣辦理亞洲防詐高峰會（Anti-Scam Asia Summit，ASAS）；邀請到</w:t>
      </w:r>
      <w:r w:rsidR="00343424" w:rsidRPr="00C3310F">
        <w:rPr>
          <w:rFonts w:hint="eastAsia"/>
        </w:rPr>
        <w:t>聯邦調查局(F</w:t>
      </w:r>
      <w:r w:rsidR="00343424" w:rsidRPr="00C3310F">
        <w:t>ederal Bureau Investigation,</w:t>
      </w:r>
      <w:r w:rsidRPr="00C3310F">
        <w:rPr>
          <w:rFonts w:hint="eastAsia"/>
        </w:rPr>
        <w:t>FBI</w:t>
      </w:r>
      <w:r w:rsidR="00343424" w:rsidRPr="00C3310F">
        <w:t>)</w:t>
      </w:r>
      <w:r w:rsidRPr="00C3310F">
        <w:rPr>
          <w:rFonts w:hint="eastAsia"/>
        </w:rPr>
        <w:t>網路犯罪投訴中心（</w:t>
      </w:r>
      <w:r w:rsidR="00343424" w:rsidRPr="00C3310F">
        <w:rPr>
          <w:rFonts w:hint="eastAsia"/>
        </w:rPr>
        <w:t>I</w:t>
      </w:r>
      <w:r w:rsidR="00343424" w:rsidRPr="00C3310F">
        <w:t>nternet Crimime Complaint Center,</w:t>
      </w:r>
      <w:r w:rsidRPr="00C3310F">
        <w:rPr>
          <w:rFonts w:hint="eastAsia"/>
        </w:rPr>
        <w:t>IC3）擔任主管的Donna Gregory出席，國內則由資安院、高檢署及調查局等派員出席，向國際分享我國查緝電信網路詐欺之經驗。</w:t>
      </w:r>
      <w:bookmarkEnd w:id="1135"/>
      <w:bookmarkEnd w:id="1136"/>
      <w:bookmarkEnd w:id="1137"/>
    </w:p>
    <w:p w14:paraId="2311DA17" w14:textId="77777777" w:rsidR="000B1C3C" w:rsidRPr="00C3310F" w:rsidRDefault="000B1C3C" w:rsidP="000B1C3C">
      <w:pPr>
        <w:pStyle w:val="4"/>
      </w:pPr>
      <w:r w:rsidRPr="00C3310F">
        <w:rPr>
          <w:rFonts w:hint="eastAsia"/>
        </w:rPr>
        <w:t>應建立全球共享的詐騙情資系統，包括網域、電子郵件地址、加密貨幣地址和銀行帳戶等信息，這些資料不僅能幫助消費者檢視風險，還能用於主動封鎖或移除犯罪所得資產</w:t>
      </w:r>
    </w:p>
    <w:p w14:paraId="7EE87619" w14:textId="77777777" w:rsidR="000B1C3C" w:rsidRPr="00C3310F" w:rsidRDefault="000B1C3C" w:rsidP="000B1C3C">
      <w:pPr>
        <w:pStyle w:val="4"/>
      </w:pPr>
      <w:r w:rsidRPr="00C3310F">
        <w:rPr>
          <w:rFonts w:hint="eastAsia"/>
        </w:rPr>
        <w:t>新加坡警方表示，90%的詐騙源自海外，並將詐騙者描述為聯合組織、資源豐富且技術先進，案件很</w:t>
      </w:r>
      <w:r w:rsidRPr="00C3310F">
        <w:rPr>
          <w:rFonts w:hint="eastAsia"/>
        </w:rPr>
        <w:lastRenderedPageBreak/>
        <w:t>難偵破，其偵查和起訴的成敗取決於國際司法的互助程度。</w:t>
      </w:r>
    </w:p>
    <w:p w14:paraId="3707A3CE" w14:textId="7D099D5B" w:rsidR="000B1C3C" w:rsidRPr="00C3310F" w:rsidRDefault="000B1C3C" w:rsidP="00AD46AC">
      <w:pPr>
        <w:pStyle w:val="3"/>
      </w:pPr>
      <w:r w:rsidRPr="00C3310F">
        <w:rPr>
          <w:rFonts w:hint="eastAsia"/>
        </w:rPr>
        <w:t>另據本院諮詢學者專家意見表示，駐外執法人員的派駐與破案率有正相關，因此，</w:t>
      </w:r>
      <w:r w:rsidR="00A1409C" w:rsidRPr="00C3310F">
        <w:rPr>
          <w:rFonts w:hint="eastAsia"/>
        </w:rPr>
        <w:t>本調查研究</w:t>
      </w:r>
      <w:r w:rsidRPr="00C3310F">
        <w:rPr>
          <w:rFonts w:hint="eastAsia"/>
        </w:rPr>
        <w:t>建議內政部應與外交部協調評估增派駐外執法人員。</w:t>
      </w:r>
    </w:p>
    <w:p w14:paraId="3B23E017" w14:textId="77777777" w:rsidR="000B1C3C" w:rsidRPr="00C3310F" w:rsidRDefault="000B1C3C" w:rsidP="000B1C3C">
      <w:pPr>
        <w:pStyle w:val="3"/>
      </w:pPr>
      <w:bookmarkStart w:id="1138" w:name="_Toc171525657"/>
      <w:bookmarkStart w:id="1139" w:name="_Toc172024178"/>
      <w:bookmarkStart w:id="1140" w:name="_Toc172033501"/>
      <w:r w:rsidRPr="00C3310F">
        <w:rPr>
          <w:rFonts w:hint="eastAsia"/>
        </w:rPr>
        <w:t>根據警政署說明現行打擊跨境犯罪之機制如下，目前我國已有駐外警察聯絡官及任務型聯絡官等執行打詐相關勤務，同時可透過日本獲悉國際刑警組織情資，亦有部分打擊跨國犯罪協議，顯示政府已有基本功能之國際合作機制，但挑戰與困境也相當嚴峻，包括索資(境外犯罪資料)、情資時效性及合作意願等，甚至多種文獻指出詐欺集團與當地政府及機構有所勾結，進一步增加偵查難度，有待政府持續努力克服。</w:t>
      </w:r>
      <w:bookmarkEnd w:id="1138"/>
      <w:bookmarkEnd w:id="1139"/>
      <w:bookmarkEnd w:id="1140"/>
    </w:p>
    <w:p w14:paraId="6A58AC6B" w14:textId="77777777" w:rsidR="000B1C3C" w:rsidRPr="00C3310F" w:rsidRDefault="000B1C3C" w:rsidP="000B1C3C">
      <w:pPr>
        <w:pStyle w:val="4"/>
      </w:pPr>
      <w:r w:rsidRPr="00C3310F">
        <w:rPr>
          <w:rFonts w:hint="eastAsia"/>
        </w:rPr>
        <w:t>警政署目前國際合作概況如下：</w:t>
      </w:r>
    </w:p>
    <w:p w14:paraId="66DB6B72" w14:textId="77777777" w:rsidR="000B1C3C" w:rsidRPr="00C3310F" w:rsidRDefault="000B1C3C" w:rsidP="000B1C3C">
      <w:pPr>
        <w:pStyle w:val="5"/>
      </w:pPr>
      <w:r w:rsidRPr="00C3310F">
        <w:rPr>
          <w:rFonts w:hint="eastAsia"/>
        </w:rPr>
        <w:t>設置駐外警察聯絡官：警政署迄今在美東(華府)、美西(洛杉磯)、南非、印尼、馬來西亞、泰國、越南、菲律賓、日本、韓國、澳洲、荷蘭及新加坡等12國家(13地區)派駐警察聯絡官，負責情資傳遞交換、分析協處及追緝外逃等工作。</w:t>
      </w:r>
    </w:p>
    <w:p w14:paraId="0AB5E7CF" w14:textId="77777777" w:rsidR="000B1C3C" w:rsidRPr="00C3310F" w:rsidRDefault="000B1C3C" w:rsidP="000B1C3C">
      <w:pPr>
        <w:pStyle w:val="5"/>
      </w:pPr>
      <w:r w:rsidRPr="00C3310F">
        <w:rPr>
          <w:rFonts w:hint="eastAsia"/>
        </w:rPr>
        <w:t>與國際刑警組織合作：目前我國雖無國際刑警組織會員地位，仍透過日本東京中央局接收總部發出及傳遞與我國有關之加密電郵，與國際刑警組織各國中央局及各國執法機關保持密切互動與各會員國相互協助，推展業務、請求協查等工作。</w:t>
      </w:r>
    </w:p>
    <w:p w14:paraId="7F8A992E" w14:textId="77777777" w:rsidR="000B1C3C" w:rsidRPr="00C3310F" w:rsidRDefault="000B1C3C" w:rsidP="000B1C3C">
      <w:pPr>
        <w:pStyle w:val="5"/>
      </w:pPr>
      <w:r w:rsidRPr="00C3310F">
        <w:rPr>
          <w:rFonts w:hint="eastAsia"/>
        </w:rPr>
        <w:t>遇案派遣任務型警察聯絡官：藉由案件協查、共同偵辦，派遣任務型警察聯絡官赴他國執行協查蒐證等方式，發展跨國偵查合作機制。</w:t>
      </w:r>
    </w:p>
    <w:p w14:paraId="032387A1" w14:textId="7BFECC95" w:rsidR="000B1C3C" w:rsidRPr="00C3310F" w:rsidRDefault="000B1C3C" w:rsidP="000B1C3C">
      <w:pPr>
        <w:pStyle w:val="5"/>
      </w:pPr>
      <w:r w:rsidRPr="00C3310F">
        <w:rPr>
          <w:rFonts w:hint="eastAsia"/>
        </w:rPr>
        <w:lastRenderedPageBreak/>
        <w:t>簽署警政合作或共同打擊跨國犯罪協定(議):警政署自92年迄今已陸續和友邦及聯絡官駐在國簽定多項共同打擊犯罪協定及備忘錄，包含臺美「強化預防及打擊重大犯罪合作協定」、臺泰「共同打擊跨國經濟及相關犯罪協議」、臺菲「共同打擊跨國犯罪瞭解備忘錄」等，以及112年5月簽定「駐印尼台北經濟貿易代表處與駐台北印尼經濟貿易代表處共同預防毒品、管制類精</w:t>
      </w:r>
      <w:r w:rsidR="00343424" w:rsidRPr="00C3310F">
        <w:rPr>
          <w:rFonts w:hint="eastAsia"/>
        </w:rPr>
        <w:t>神</w:t>
      </w:r>
      <w:r w:rsidRPr="00C3310F">
        <w:rPr>
          <w:rFonts w:hint="eastAsia"/>
        </w:rPr>
        <w:t>藥物及先驅原料非法販運瞭解備忘錄」，目前積極與友邦各國簽訂共同打擊犯罪協定（議），強化國際協議支持。</w:t>
      </w:r>
    </w:p>
    <w:p w14:paraId="0516E02B" w14:textId="77777777" w:rsidR="000B1C3C" w:rsidRPr="00C3310F" w:rsidRDefault="000B1C3C" w:rsidP="000B1C3C">
      <w:pPr>
        <w:pStyle w:val="4"/>
      </w:pPr>
      <w:r w:rsidRPr="00C3310F">
        <w:rPr>
          <w:rFonts w:hint="eastAsia"/>
        </w:rPr>
        <w:t>警政署認為面臨之困境如下：</w:t>
      </w:r>
    </w:p>
    <w:p w14:paraId="59A27956" w14:textId="77777777" w:rsidR="000B1C3C" w:rsidRPr="00C3310F" w:rsidRDefault="000B1C3C" w:rsidP="000B1C3C">
      <w:pPr>
        <w:pStyle w:val="5"/>
      </w:pPr>
      <w:r w:rsidRPr="00C3310F">
        <w:rPr>
          <w:rFonts w:hint="eastAsia"/>
        </w:rPr>
        <w:t>境外犯罪資料(如網路IP，金流紀錄等)取得不易：現今資通訊發達，金流快速轉移，跨境犯罪瞬息萬變，涉境外IP或帳戶等案件遽增，惟各國法令、司法制度、行政效率與國情不同，調閱資料請求經常受限於上述限制，或需透過司法互助等繁複程序始能調閱(例如：美國、日本)，或因駐在國本身對於相關資料管理不全(例如：東南亞國家)，無法有效調閱，造成案件追查之困難與斷點。</w:t>
      </w:r>
    </w:p>
    <w:p w14:paraId="4915AD0D" w14:textId="77777777" w:rsidR="000B1C3C" w:rsidRPr="00C3310F" w:rsidRDefault="000B1C3C" w:rsidP="000B1C3C">
      <w:pPr>
        <w:pStyle w:val="5"/>
      </w:pPr>
      <w:r w:rsidRPr="00C3310F">
        <w:rPr>
          <w:rFonts w:hint="eastAsia"/>
        </w:rPr>
        <w:t>非國際刑警組織之會員國，無法在其所建立之國際執法架構下進行跨國合作：</w:t>
      </w:r>
    </w:p>
    <w:p w14:paraId="5F9CADF4" w14:textId="77777777" w:rsidR="000B1C3C" w:rsidRPr="00C3310F" w:rsidRDefault="000B1C3C" w:rsidP="000B1C3C">
      <w:pPr>
        <w:pStyle w:val="5"/>
      </w:pPr>
      <w:r w:rsidRPr="00C3310F">
        <w:rPr>
          <w:rFonts w:hint="eastAsia"/>
        </w:rPr>
        <w:t>因陸方阻撓，臺灣持續被排除在國際刑警組織之外，迄今仍未獲授權使用其「I-24/7全球警察通訊系統」等19個犯罪資料庫，致與各國情資交流常無法獲得即時回覆，影響是類案件偵辦，並不利全球合作打擊犯罪。</w:t>
      </w:r>
    </w:p>
    <w:p w14:paraId="18CA4881" w14:textId="77777777" w:rsidR="000B1C3C" w:rsidRPr="00C3310F" w:rsidRDefault="000B1C3C" w:rsidP="000B1C3C">
      <w:pPr>
        <w:pStyle w:val="5"/>
      </w:pPr>
      <w:r w:rsidRPr="00C3310F">
        <w:rPr>
          <w:rFonts w:hint="eastAsia"/>
        </w:rPr>
        <w:t>各國法制不同，合作意願因案而異：由於各國對於跨境詐欺案件之法律構成要件及國家社會民</w:t>
      </w:r>
      <w:r w:rsidRPr="00C3310F">
        <w:rPr>
          <w:rFonts w:hint="eastAsia"/>
        </w:rPr>
        <w:lastRenderedPageBreak/>
        <w:t>情等而有相當差異，治安重點也不盡相同，導致各國與臺灣合作意願因案而異，需要依案件繫屬國家來逐一建立合作模式。</w:t>
      </w:r>
    </w:p>
    <w:p w14:paraId="234C2EB1" w14:textId="77777777" w:rsidR="000B1C3C" w:rsidRPr="00C3310F" w:rsidRDefault="000B1C3C" w:rsidP="000B1C3C">
      <w:pPr>
        <w:pStyle w:val="4"/>
      </w:pPr>
      <w:r w:rsidRPr="00C3310F">
        <w:rPr>
          <w:rFonts w:hint="eastAsia"/>
        </w:rPr>
        <w:t>本院諮詢學者專家對於詐欺集團與當地政府機構勾結情形描述。</w:t>
      </w:r>
    </w:p>
    <w:p w14:paraId="3CA80E1F" w14:textId="77777777" w:rsidR="000B1C3C" w:rsidRPr="00C3310F" w:rsidRDefault="000B1C3C" w:rsidP="000B1C3C">
      <w:pPr>
        <w:pStyle w:val="5"/>
      </w:pPr>
      <w:r w:rsidRPr="00C3310F">
        <w:rPr>
          <w:rFonts w:hint="eastAsia"/>
        </w:rPr>
        <w:t>公司會打點好軍隊、水電、網路這些東西。</w:t>
      </w:r>
    </w:p>
    <w:p w14:paraId="1632A297" w14:textId="77777777" w:rsidR="000B1C3C" w:rsidRPr="00C3310F" w:rsidRDefault="000B1C3C" w:rsidP="000B1C3C">
      <w:pPr>
        <w:pStyle w:val="5"/>
      </w:pPr>
      <w:r w:rsidRPr="00C3310F">
        <w:rPr>
          <w:rFonts w:hint="eastAsia"/>
        </w:rPr>
        <w:t>即便他們手上的網域都被封掉，通常也可以直接通知系統商，通常二到三天就會開一批新網域。</w:t>
      </w:r>
    </w:p>
    <w:p w14:paraId="2F9440D7" w14:textId="007D87F7" w:rsidR="003D434B" w:rsidRPr="00C3310F" w:rsidRDefault="000B1C3C" w:rsidP="00CD5025">
      <w:pPr>
        <w:pStyle w:val="3"/>
      </w:pPr>
      <w:bookmarkStart w:id="1141" w:name="_Toc171525658"/>
      <w:bookmarkStart w:id="1142" w:name="_Toc172024179"/>
      <w:bookmarkStart w:id="1143" w:name="_Toc172033502"/>
      <w:r w:rsidRPr="00C3310F">
        <w:rPr>
          <w:rFonts w:hint="eastAsia"/>
        </w:rPr>
        <w:t>綜上，國際合作在所有打詐環節中，屬於較難透由政府本身積極處理即可解決之議題，此為臺灣特有之挑戰，政府在官方管道經營困難之情形下，建議繼續加強非官方之合作管道；此外，臺灣基於資通訊產業發達、資通安全環境特殊及公私協力無間，向受國際矚目，此由臺灣近年密集主辦相關國際會議及大型資通訊產業展覽可證，爰</w:t>
      </w:r>
      <w:r w:rsidR="00A1409C" w:rsidRPr="00C3310F">
        <w:rPr>
          <w:rFonts w:hint="eastAsia"/>
        </w:rPr>
        <w:t>本調查研究</w:t>
      </w:r>
      <w:r w:rsidRPr="00C3310F">
        <w:rPr>
          <w:rFonts w:hint="eastAsia"/>
        </w:rPr>
        <w:t>建議政府應善用此一優勢，以另闢國際合作反詐之蹊徑。</w:t>
      </w:r>
      <w:bookmarkEnd w:id="1141"/>
      <w:bookmarkEnd w:id="1142"/>
      <w:bookmarkEnd w:id="1143"/>
    </w:p>
    <w:p w14:paraId="2531BF1D" w14:textId="296CA9CA" w:rsidR="000B1C3C" w:rsidRPr="00C3310F" w:rsidRDefault="003D434B" w:rsidP="003D434B">
      <w:pPr>
        <w:widowControl/>
        <w:overflowPunct/>
        <w:autoSpaceDE/>
        <w:autoSpaceDN/>
        <w:jc w:val="left"/>
        <w:rPr>
          <w:rFonts w:hAnsi="Arial"/>
          <w:bCs/>
          <w:kern w:val="32"/>
          <w:szCs w:val="36"/>
        </w:rPr>
      </w:pPr>
      <w:r w:rsidRPr="00C3310F">
        <w:br w:type="page"/>
      </w:r>
    </w:p>
    <w:p w14:paraId="29748578" w14:textId="77777777" w:rsidR="000B06E4" w:rsidRPr="00C3310F" w:rsidRDefault="000B06E4" w:rsidP="000B06E4">
      <w:pPr>
        <w:pStyle w:val="1"/>
        <w:rPr>
          <w:b/>
          <w:sz w:val="36"/>
        </w:rPr>
      </w:pPr>
      <w:bookmarkStart w:id="1144" w:name="_Toc375901492"/>
      <w:bookmarkStart w:id="1145" w:name="_Toc30149851"/>
      <w:bookmarkStart w:id="1146" w:name="_Toc77151461"/>
      <w:bookmarkStart w:id="1147" w:name="_Toc108789462"/>
      <w:bookmarkStart w:id="1148" w:name="_Toc108790964"/>
      <w:bookmarkStart w:id="1149" w:name="_Toc108791262"/>
      <w:bookmarkStart w:id="1150" w:name="_Toc172033503"/>
      <w:r w:rsidRPr="00C3310F">
        <w:rPr>
          <w:rFonts w:hint="eastAsia"/>
          <w:b/>
          <w:sz w:val="36"/>
        </w:rPr>
        <w:lastRenderedPageBreak/>
        <w:t>處理辦法</w:t>
      </w:r>
      <w:bookmarkEnd w:id="1144"/>
      <w:r w:rsidRPr="00C3310F">
        <w:rPr>
          <w:rFonts w:hAnsi="標楷體" w:hint="eastAsia"/>
          <w:b/>
          <w:sz w:val="36"/>
        </w:rPr>
        <w:t>：</w:t>
      </w:r>
      <w:bookmarkEnd w:id="1145"/>
      <w:bookmarkEnd w:id="1146"/>
      <w:bookmarkEnd w:id="1147"/>
      <w:bookmarkEnd w:id="1148"/>
      <w:bookmarkEnd w:id="1149"/>
      <w:bookmarkEnd w:id="1150"/>
    </w:p>
    <w:p w14:paraId="76311A4B" w14:textId="77777777" w:rsidR="000B06E4" w:rsidRPr="00C3310F" w:rsidRDefault="000B06E4" w:rsidP="00FE6929">
      <w:pPr>
        <w:pStyle w:val="2"/>
        <w:numPr>
          <w:ilvl w:val="1"/>
          <w:numId w:val="29"/>
        </w:numPr>
        <w:spacing w:line="360" w:lineRule="exact"/>
        <w:ind w:left="1020" w:hanging="680"/>
      </w:pPr>
      <w:bookmarkStart w:id="1151" w:name="_Toc364528633"/>
      <w:bookmarkStart w:id="1152" w:name="_Toc375901493"/>
      <w:bookmarkStart w:id="1153" w:name="_Toc28272063"/>
      <w:bookmarkStart w:id="1154" w:name="_Toc28608294"/>
      <w:bookmarkStart w:id="1155" w:name="_Toc30149852"/>
      <w:bookmarkStart w:id="1156" w:name="_Toc76321855"/>
      <w:bookmarkStart w:id="1157" w:name="_Toc77088200"/>
      <w:bookmarkStart w:id="1158" w:name="_Toc77151462"/>
      <w:bookmarkStart w:id="1159" w:name="_Toc108789463"/>
      <w:bookmarkStart w:id="1160" w:name="_Toc108790965"/>
      <w:bookmarkStart w:id="1161" w:name="_Toc108791263"/>
      <w:bookmarkStart w:id="1162" w:name="_Toc172024181"/>
      <w:bookmarkStart w:id="1163" w:name="_Toc172033504"/>
      <w:r w:rsidRPr="00C3310F">
        <w:rPr>
          <w:rFonts w:hint="eastAsia"/>
          <w:lang w:eastAsia="zh-HK"/>
        </w:rPr>
        <w:t>本</w:t>
      </w:r>
      <w:r w:rsidRPr="00C3310F">
        <w:rPr>
          <w:rFonts w:hint="eastAsia"/>
        </w:rPr>
        <w:t>通案性案件調查研究報告</w:t>
      </w:r>
      <w:r w:rsidR="00AB1543" w:rsidRPr="00C3310F">
        <w:rPr>
          <w:rFonts w:hint="eastAsia"/>
        </w:rPr>
        <w:t>之結論與建議部分，</w:t>
      </w:r>
      <w:r w:rsidRPr="00C3310F">
        <w:rPr>
          <w:rFonts w:hint="eastAsia"/>
        </w:rPr>
        <w:t>送請行政院參處。</w:t>
      </w:r>
      <w:bookmarkEnd w:id="1151"/>
      <w:bookmarkEnd w:id="1152"/>
      <w:bookmarkEnd w:id="1153"/>
      <w:bookmarkEnd w:id="1154"/>
      <w:bookmarkEnd w:id="1155"/>
      <w:bookmarkEnd w:id="1156"/>
      <w:bookmarkEnd w:id="1157"/>
      <w:bookmarkEnd w:id="1158"/>
      <w:bookmarkEnd w:id="1159"/>
      <w:bookmarkEnd w:id="1160"/>
      <w:bookmarkEnd w:id="1161"/>
      <w:bookmarkEnd w:id="1162"/>
      <w:bookmarkEnd w:id="1163"/>
      <w:r w:rsidRPr="00C3310F">
        <w:rPr>
          <w:rFonts w:hint="eastAsia"/>
        </w:rPr>
        <w:tab/>
      </w:r>
    </w:p>
    <w:p w14:paraId="54CA96F2" w14:textId="77777777" w:rsidR="000B06E4" w:rsidRPr="00C3310F" w:rsidRDefault="000B06E4" w:rsidP="000B06E4">
      <w:pPr>
        <w:pStyle w:val="2"/>
        <w:spacing w:line="360" w:lineRule="exact"/>
        <w:ind w:left="1020" w:hanging="680"/>
      </w:pPr>
      <w:bookmarkStart w:id="1164" w:name="_Toc28272064"/>
      <w:bookmarkStart w:id="1165" w:name="_Toc28608295"/>
      <w:bookmarkStart w:id="1166" w:name="_Toc30149853"/>
      <w:bookmarkStart w:id="1167" w:name="_Toc76321856"/>
      <w:bookmarkStart w:id="1168" w:name="_Toc77088201"/>
      <w:bookmarkStart w:id="1169" w:name="_Toc77151463"/>
      <w:bookmarkStart w:id="1170" w:name="_Toc108789464"/>
      <w:bookmarkStart w:id="1171" w:name="_Toc108790966"/>
      <w:bookmarkStart w:id="1172" w:name="_Toc108791264"/>
      <w:bookmarkStart w:id="1173" w:name="_Toc172024182"/>
      <w:bookmarkStart w:id="1174" w:name="_Toc172033505"/>
      <w:bookmarkStart w:id="1175" w:name="_Toc375901495"/>
      <w:r w:rsidRPr="00C3310F">
        <w:rPr>
          <w:rFonts w:hint="eastAsia"/>
        </w:rPr>
        <w:t>本通案性案件調查研究報告</w:t>
      </w:r>
      <w:r w:rsidR="00AB1543" w:rsidRPr="00C3310F">
        <w:rPr>
          <w:rFonts w:hint="eastAsia"/>
        </w:rPr>
        <w:t>全文</w:t>
      </w:r>
      <w:r w:rsidRPr="00C3310F">
        <w:rPr>
          <w:rFonts w:hAnsi="標楷體" w:hint="eastAsia"/>
        </w:rPr>
        <w:t>上網公布</w:t>
      </w:r>
      <w:r w:rsidRPr="00C3310F">
        <w:rPr>
          <w:rFonts w:hint="eastAsia"/>
        </w:rPr>
        <w:t>。</w:t>
      </w:r>
      <w:bookmarkEnd w:id="1164"/>
      <w:bookmarkEnd w:id="1165"/>
      <w:bookmarkEnd w:id="1166"/>
      <w:bookmarkEnd w:id="1167"/>
      <w:bookmarkEnd w:id="1168"/>
      <w:bookmarkEnd w:id="1169"/>
      <w:bookmarkEnd w:id="1170"/>
      <w:bookmarkEnd w:id="1171"/>
      <w:bookmarkEnd w:id="1172"/>
      <w:bookmarkEnd w:id="1173"/>
      <w:bookmarkEnd w:id="1174"/>
    </w:p>
    <w:p w14:paraId="7B0DAABC" w14:textId="01DF8816" w:rsidR="000B06E4" w:rsidRPr="00C3310F" w:rsidRDefault="000B06E4" w:rsidP="000B06E4">
      <w:pPr>
        <w:pStyle w:val="2"/>
        <w:spacing w:line="360" w:lineRule="exact"/>
        <w:ind w:left="1020" w:hanging="680"/>
      </w:pPr>
      <w:bookmarkStart w:id="1176" w:name="_Toc364528634"/>
      <w:bookmarkStart w:id="1177" w:name="_Toc375901496"/>
      <w:bookmarkStart w:id="1178" w:name="_Toc28272066"/>
      <w:bookmarkStart w:id="1179" w:name="_Toc28608297"/>
      <w:bookmarkStart w:id="1180" w:name="_Toc30149855"/>
      <w:bookmarkStart w:id="1181" w:name="_Toc76321857"/>
      <w:bookmarkStart w:id="1182" w:name="_Toc77088202"/>
      <w:bookmarkStart w:id="1183" w:name="_Toc77151464"/>
      <w:bookmarkStart w:id="1184" w:name="_Toc108789465"/>
      <w:bookmarkStart w:id="1185" w:name="_Toc108790967"/>
      <w:bookmarkStart w:id="1186" w:name="_Toc108791265"/>
      <w:bookmarkStart w:id="1187" w:name="_Toc172024183"/>
      <w:bookmarkStart w:id="1188" w:name="_Toc172033506"/>
      <w:bookmarkEnd w:id="1175"/>
      <w:r w:rsidRPr="00C3310F">
        <w:rPr>
          <w:rFonts w:hint="eastAsia"/>
        </w:rPr>
        <w:t>檢附派查函及相關附件，送請交通及採購委員會、內政及族群委員會、財政及經濟委員會、教育及文化委員會、外交及國防委員會、司法及獄政</w:t>
      </w:r>
      <w:r w:rsidRPr="00C3310F">
        <w:rPr>
          <w:rFonts w:hint="eastAsia"/>
          <w:lang w:eastAsia="zh-HK"/>
        </w:rPr>
        <w:t>委員</w:t>
      </w:r>
      <w:r w:rsidRPr="00C3310F">
        <w:rPr>
          <w:rFonts w:hint="eastAsia"/>
        </w:rPr>
        <w:t>會聯席會議處理。</w:t>
      </w:r>
      <w:bookmarkEnd w:id="1176"/>
      <w:bookmarkEnd w:id="1177"/>
      <w:bookmarkEnd w:id="1178"/>
      <w:bookmarkEnd w:id="1179"/>
      <w:bookmarkEnd w:id="1180"/>
      <w:bookmarkEnd w:id="1181"/>
      <w:bookmarkEnd w:id="1182"/>
      <w:bookmarkEnd w:id="1183"/>
      <w:bookmarkEnd w:id="1184"/>
      <w:bookmarkEnd w:id="1185"/>
      <w:bookmarkEnd w:id="1186"/>
      <w:bookmarkEnd w:id="1187"/>
      <w:bookmarkEnd w:id="1188"/>
    </w:p>
    <w:p w14:paraId="77745CC0" w14:textId="270DC15D" w:rsidR="00AD0A96" w:rsidRPr="00C3310F" w:rsidRDefault="00AD0A96" w:rsidP="00AD0A96">
      <w:pPr>
        <w:pStyle w:val="1"/>
        <w:numPr>
          <w:ilvl w:val="0"/>
          <w:numId w:val="0"/>
        </w:numPr>
        <w:ind w:left="1701" w:hanging="1701"/>
      </w:pPr>
    </w:p>
    <w:p w14:paraId="55BFE3AA" w14:textId="3D8DCEE8" w:rsidR="00AD0A96" w:rsidRPr="00C3310F" w:rsidRDefault="00AD0A96" w:rsidP="00AD0A96">
      <w:pPr>
        <w:pStyle w:val="1"/>
        <w:numPr>
          <w:ilvl w:val="0"/>
          <w:numId w:val="0"/>
        </w:numPr>
        <w:ind w:left="1701" w:hanging="1701"/>
      </w:pPr>
    </w:p>
    <w:p w14:paraId="044769DC" w14:textId="77777777" w:rsidR="00AD0A96" w:rsidRPr="00C3310F" w:rsidRDefault="00AD0A96" w:rsidP="00AD0A96">
      <w:pPr>
        <w:pStyle w:val="1"/>
        <w:numPr>
          <w:ilvl w:val="0"/>
          <w:numId w:val="0"/>
        </w:numPr>
        <w:ind w:left="1701" w:hanging="1701"/>
      </w:pPr>
    </w:p>
    <w:p w14:paraId="565BF2EB" w14:textId="77777777" w:rsidR="000B06E4" w:rsidRPr="00C3310F" w:rsidRDefault="000B06E4" w:rsidP="006317FC">
      <w:pPr>
        <w:pStyle w:val="aa"/>
        <w:spacing w:before="0" w:after="0" w:line="600" w:lineRule="exact"/>
        <w:ind w:leftChars="900" w:left="3061"/>
        <w:rPr>
          <w:b w:val="0"/>
          <w:sz w:val="40"/>
        </w:rPr>
      </w:pPr>
      <w:r w:rsidRPr="00C3310F">
        <w:rPr>
          <w:rFonts w:hint="eastAsia"/>
          <w:sz w:val="40"/>
        </w:rPr>
        <w:t>調查研究委員：</w:t>
      </w:r>
      <w:r w:rsidR="006F373A" w:rsidRPr="00C3310F">
        <w:rPr>
          <w:rFonts w:hint="eastAsia"/>
          <w:b w:val="0"/>
          <w:sz w:val="40"/>
        </w:rPr>
        <w:t>賴鼎銘</w:t>
      </w:r>
    </w:p>
    <w:p w14:paraId="20830EB2" w14:textId="77777777" w:rsidR="006317FC" w:rsidRPr="00C3310F" w:rsidRDefault="006317FC" w:rsidP="006317FC">
      <w:pPr>
        <w:pStyle w:val="aa"/>
        <w:spacing w:before="0" w:after="0" w:line="600" w:lineRule="exact"/>
        <w:ind w:leftChars="1770" w:left="6021"/>
        <w:rPr>
          <w:b w:val="0"/>
          <w:sz w:val="40"/>
        </w:rPr>
      </w:pPr>
      <w:r w:rsidRPr="00C3310F">
        <w:rPr>
          <w:rFonts w:hint="eastAsia"/>
          <w:b w:val="0"/>
          <w:sz w:val="40"/>
        </w:rPr>
        <w:t>范巽綠</w:t>
      </w:r>
    </w:p>
    <w:p w14:paraId="5ED776AA" w14:textId="77777777" w:rsidR="006317FC" w:rsidRPr="00C3310F" w:rsidRDefault="006317FC" w:rsidP="006317FC">
      <w:pPr>
        <w:pStyle w:val="aa"/>
        <w:spacing w:before="0" w:after="0" w:line="600" w:lineRule="exact"/>
        <w:ind w:leftChars="1770" w:left="6021"/>
        <w:rPr>
          <w:b w:val="0"/>
          <w:sz w:val="40"/>
        </w:rPr>
      </w:pPr>
      <w:r w:rsidRPr="00C3310F">
        <w:rPr>
          <w:rFonts w:hint="eastAsia"/>
          <w:b w:val="0"/>
          <w:sz w:val="40"/>
        </w:rPr>
        <w:t>趙永清</w:t>
      </w:r>
    </w:p>
    <w:p w14:paraId="0AF033D9" w14:textId="77777777" w:rsidR="006317FC" w:rsidRPr="00C3310F" w:rsidRDefault="006317FC" w:rsidP="006317FC">
      <w:pPr>
        <w:pStyle w:val="aa"/>
        <w:spacing w:before="0" w:after="0" w:line="600" w:lineRule="exact"/>
        <w:ind w:leftChars="1770" w:left="6021"/>
        <w:rPr>
          <w:b w:val="0"/>
          <w:sz w:val="40"/>
        </w:rPr>
      </w:pPr>
      <w:r w:rsidRPr="00C3310F">
        <w:rPr>
          <w:rFonts w:hint="eastAsia"/>
          <w:b w:val="0"/>
          <w:sz w:val="40"/>
        </w:rPr>
        <w:t>葉宜津</w:t>
      </w:r>
    </w:p>
    <w:p w14:paraId="3C01C860" w14:textId="77777777" w:rsidR="006317FC" w:rsidRPr="00C3310F" w:rsidRDefault="006317FC" w:rsidP="006317FC">
      <w:pPr>
        <w:pStyle w:val="aa"/>
        <w:spacing w:before="0" w:after="0" w:line="600" w:lineRule="exact"/>
        <w:ind w:leftChars="1770" w:left="6021"/>
        <w:rPr>
          <w:b w:val="0"/>
          <w:sz w:val="40"/>
        </w:rPr>
      </w:pPr>
      <w:r w:rsidRPr="00C3310F">
        <w:rPr>
          <w:rFonts w:hint="eastAsia"/>
          <w:b w:val="0"/>
          <w:sz w:val="40"/>
        </w:rPr>
        <w:t>林文程</w:t>
      </w:r>
    </w:p>
    <w:p w14:paraId="2B70DBB9" w14:textId="77777777" w:rsidR="006317FC" w:rsidRPr="00C3310F" w:rsidRDefault="006317FC" w:rsidP="006317FC">
      <w:pPr>
        <w:pStyle w:val="aa"/>
        <w:spacing w:before="0" w:after="0" w:line="600" w:lineRule="exact"/>
        <w:ind w:leftChars="1770" w:left="6021"/>
        <w:rPr>
          <w:b w:val="0"/>
          <w:sz w:val="40"/>
        </w:rPr>
      </w:pPr>
      <w:r w:rsidRPr="00C3310F">
        <w:rPr>
          <w:rFonts w:hint="eastAsia"/>
          <w:b w:val="0"/>
          <w:sz w:val="40"/>
        </w:rPr>
        <w:t>賴振昌</w:t>
      </w:r>
    </w:p>
    <w:p w14:paraId="23AA21AC" w14:textId="77777777" w:rsidR="006317FC" w:rsidRPr="00C3310F" w:rsidRDefault="006317FC" w:rsidP="006317FC">
      <w:pPr>
        <w:pStyle w:val="aa"/>
        <w:spacing w:before="0" w:after="0" w:line="600" w:lineRule="exact"/>
        <w:ind w:leftChars="1770" w:left="6021"/>
        <w:rPr>
          <w:b w:val="0"/>
          <w:sz w:val="40"/>
        </w:rPr>
      </w:pPr>
      <w:r w:rsidRPr="00C3310F">
        <w:rPr>
          <w:rFonts w:hint="eastAsia"/>
          <w:b w:val="0"/>
          <w:sz w:val="40"/>
        </w:rPr>
        <w:t>王麗珍</w:t>
      </w:r>
    </w:p>
    <w:p w14:paraId="50DA98AD" w14:textId="77777777" w:rsidR="000B06E4" w:rsidRPr="00C3310F" w:rsidRDefault="000B06E4" w:rsidP="00AA146C">
      <w:pPr>
        <w:pStyle w:val="3"/>
        <w:numPr>
          <w:ilvl w:val="0"/>
          <w:numId w:val="0"/>
        </w:numPr>
        <w:ind w:left="1361"/>
      </w:pPr>
    </w:p>
    <w:p w14:paraId="6D2012D7" w14:textId="4DAF5374" w:rsidR="000B06E4" w:rsidRPr="00C3310F" w:rsidRDefault="000B06E4" w:rsidP="000B06E4">
      <w:pPr>
        <w:pStyle w:val="af"/>
        <w:rPr>
          <w:rFonts w:hAnsi="標楷體"/>
          <w:bCs/>
        </w:rPr>
      </w:pPr>
      <w:r w:rsidRPr="00C3310F">
        <w:rPr>
          <w:rFonts w:hAnsi="標楷體" w:hint="eastAsia"/>
          <w:bCs/>
        </w:rPr>
        <w:t xml:space="preserve">中華民國113年 </w:t>
      </w:r>
      <w:r w:rsidR="00AD0A96" w:rsidRPr="00C3310F">
        <w:rPr>
          <w:rFonts w:hAnsi="標楷體" w:hint="eastAsia"/>
          <w:bCs/>
        </w:rPr>
        <w:t>8</w:t>
      </w:r>
      <w:r w:rsidRPr="00C3310F">
        <w:rPr>
          <w:rFonts w:hAnsi="標楷體" w:hint="eastAsia"/>
          <w:bCs/>
        </w:rPr>
        <w:t xml:space="preserve"> 月 </w:t>
      </w:r>
      <w:r w:rsidR="00AD0A96" w:rsidRPr="00C3310F">
        <w:rPr>
          <w:rFonts w:hAnsi="標楷體" w:hint="eastAsia"/>
          <w:bCs/>
        </w:rPr>
        <w:t>13</w:t>
      </w:r>
      <w:r w:rsidRPr="00C3310F">
        <w:rPr>
          <w:rFonts w:hAnsi="標楷體" w:hint="eastAsia"/>
          <w:bCs/>
        </w:rPr>
        <w:t xml:space="preserve">  日</w:t>
      </w:r>
    </w:p>
    <w:p w14:paraId="027FB4D3" w14:textId="77777777" w:rsidR="000B06E4" w:rsidRPr="00C3310F" w:rsidRDefault="000B06E4" w:rsidP="000B06E4">
      <w:pPr>
        <w:widowControl/>
        <w:overflowPunct/>
        <w:autoSpaceDE/>
        <w:autoSpaceDN/>
        <w:rPr>
          <w:bCs/>
        </w:rPr>
      </w:pPr>
      <w:r w:rsidRPr="00C3310F">
        <w:rPr>
          <w:rFonts w:hint="eastAsia"/>
          <w:bCs/>
        </w:rPr>
        <w:t>附件：附件：「調查案件人權性質調查回條」</w:t>
      </w:r>
      <w:r w:rsidRPr="00C3310F">
        <w:rPr>
          <w:rFonts w:ascii="新細明體" w:eastAsia="新細明體" w:hAnsi="新細明體" w:hint="eastAsia"/>
          <w:bCs/>
        </w:rPr>
        <w:t>、</w:t>
      </w:r>
      <w:r w:rsidRPr="00C3310F">
        <w:rPr>
          <w:rFonts w:hint="eastAsia"/>
          <w:bCs/>
        </w:rPr>
        <w:t>本院112年9月18日院台調壹字第</w:t>
      </w:r>
      <w:r w:rsidRPr="00C3310F">
        <w:rPr>
          <w:bCs/>
        </w:rPr>
        <w:t>1120800197</w:t>
      </w:r>
      <w:r w:rsidRPr="00C3310F">
        <w:rPr>
          <w:rFonts w:hint="eastAsia"/>
          <w:bCs/>
        </w:rPr>
        <w:t>號派查函及相關案卷。</w:t>
      </w:r>
    </w:p>
    <w:p w14:paraId="7848B9B9" w14:textId="77777777" w:rsidR="000B06E4" w:rsidRPr="00C3310F" w:rsidRDefault="000B06E4" w:rsidP="000B06E4">
      <w:pPr>
        <w:widowControl/>
        <w:overflowPunct/>
        <w:autoSpaceDE/>
        <w:autoSpaceDN/>
        <w:spacing w:beforeLines="50" w:before="228"/>
        <w:rPr>
          <w:rFonts w:ascii="Times New Roman"/>
          <w:bCs/>
          <w:kern w:val="0"/>
          <w:szCs w:val="32"/>
        </w:rPr>
      </w:pPr>
      <w:r w:rsidRPr="00C3310F">
        <w:rPr>
          <w:rFonts w:ascii="Times New Roman"/>
          <w:b/>
          <w:bCs/>
          <w:kern w:val="0"/>
          <w:szCs w:val="32"/>
        </w:rPr>
        <w:t>本案案名</w:t>
      </w:r>
      <w:r w:rsidRPr="00C3310F">
        <w:rPr>
          <w:rFonts w:ascii="Times New Roman"/>
          <w:bCs/>
          <w:kern w:val="0"/>
          <w:szCs w:val="32"/>
        </w:rPr>
        <w:t>：</w:t>
      </w:r>
      <w:r w:rsidRPr="00C3310F">
        <w:rPr>
          <w:rFonts w:ascii="Times New Roman" w:hint="eastAsia"/>
          <w:bCs/>
          <w:kern w:val="0"/>
          <w:szCs w:val="32"/>
        </w:rPr>
        <w:t>政府防制電信網路詐欺之對策與檢討</w:t>
      </w:r>
    </w:p>
    <w:p w14:paraId="1909DB75" w14:textId="77777777" w:rsidR="000B06E4" w:rsidRPr="00C3310F" w:rsidRDefault="000B06E4" w:rsidP="000B06E4">
      <w:pPr>
        <w:pStyle w:val="af0"/>
        <w:kinsoku/>
        <w:autoSpaceDE w:val="0"/>
        <w:ind w:left="1702" w:hangingChars="500" w:hanging="1702"/>
        <w:rPr>
          <w:bCs/>
        </w:rPr>
      </w:pPr>
      <w:r w:rsidRPr="00C3310F">
        <w:rPr>
          <w:rFonts w:ascii="Times New Roman"/>
          <w:b/>
          <w:bCs/>
          <w:szCs w:val="32"/>
        </w:rPr>
        <w:t>本案關鍵字</w:t>
      </w:r>
      <w:r w:rsidRPr="00C3310F">
        <w:rPr>
          <w:rFonts w:ascii="Times New Roman"/>
          <w:bCs/>
          <w:szCs w:val="32"/>
        </w:rPr>
        <w:t>：</w:t>
      </w:r>
      <w:r w:rsidRPr="00C3310F">
        <w:rPr>
          <w:rFonts w:ascii="Times New Roman" w:hint="eastAsia"/>
          <w:bCs/>
          <w:szCs w:val="32"/>
        </w:rPr>
        <w:t>電信網路詐</w:t>
      </w:r>
      <w:r w:rsidR="003F5B7B" w:rsidRPr="00C3310F">
        <w:rPr>
          <w:rFonts w:ascii="Times New Roman" w:hint="eastAsia"/>
          <w:bCs/>
          <w:szCs w:val="32"/>
        </w:rPr>
        <w:t>騙</w:t>
      </w:r>
      <w:r w:rsidRPr="00C3310F">
        <w:rPr>
          <w:rFonts w:ascii="Times New Roman" w:hint="eastAsia"/>
          <w:bCs/>
          <w:szCs w:val="32"/>
        </w:rPr>
        <w:t>、識詐、堵詐、阻詐、懲詐、打詐綱領</w:t>
      </w:r>
    </w:p>
    <w:p w14:paraId="2A34DB9E" w14:textId="77777777" w:rsidR="000B06E4" w:rsidRPr="00C3310F" w:rsidRDefault="000B06E4" w:rsidP="00AA146C">
      <w:pPr>
        <w:pStyle w:val="3"/>
        <w:numPr>
          <w:ilvl w:val="0"/>
          <w:numId w:val="0"/>
        </w:numPr>
        <w:ind w:left="1361"/>
      </w:pPr>
    </w:p>
    <w:p w14:paraId="48D9F425" w14:textId="77777777" w:rsidR="000B06E4" w:rsidRPr="00C3310F" w:rsidRDefault="000B06E4" w:rsidP="00AA146C">
      <w:pPr>
        <w:pStyle w:val="3"/>
        <w:numPr>
          <w:ilvl w:val="0"/>
          <w:numId w:val="0"/>
        </w:numPr>
        <w:ind w:left="1361"/>
      </w:pPr>
    </w:p>
    <w:p w14:paraId="2489B281" w14:textId="45FE4794" w:rsidR="003D434B" w:rsidRPr="00C3310F" w:rsidRDefault="003D434B" w:rsidP="003D434B">
      <w:pPr>
        <w:pStyle w:val="3"/>
        <w:numPr>
          <w:ilvl w:val="0"/>
          <w:numId w:val="0"/>
        </w:numPr>
      </w:pPr>
    </w:p>
    <w:p w14:paraId="3621B3DF" w14:textId="54767945" w:rsidR="008D2885" w:rsidRPr="00C3310F" w:rsidRDefault="003D434B" w:rsidP="003D434B">
      <w:pPr>
        <w:widowControl/>
        <w:overflowPunct/>
        <w:autoSpaceDE/>
        <w:autoSpaceDN/>
        <w:jc w:val="left"/>
        <w:rPr>
          <w:rFonts w:hAnsi="Arial"/>
          <w:bCs/>
          <w:kern w:val="32"/>
          <w:szCs w:val="36"/>
        </w:rPr>
      </w:pPr>
      <w:r w:rsidRPr="00C3310F">
        <w:br w:type="page"/>
      </w:r>
    </w:p>
    <w:p w14:paraId="6C780EAC" w14:textId="57C10FD8" w:rsidR="008D2885" w:rsidRPr="00C3310F" w:rsidRDefault="008D2885" w:rsidP="00AA146C">
      <w:pPr>
        <w:pStyle w:val="3"/>
        <w:numPr>
          <w:ilvl w:val="0"/>
          <w:numId w:val="0"/>
        </w:numPr>
        <w:ind w:left="1361"/>
        <w:sectPr w:rsidR="008D2885" w:rsidRPr="00C3310F" w:rsidSect="005A5165">
          <w:type w:val="continuous"/>
          <w:pgSz w:w="11907" w:h="16840" w:code="9"/>
          <w:pgMar w:top="1701" w:right="1418" w:bottom="1418" w:left="1333" w:header="851" w:footer="851" w:gutter="227"/>
          <w:pgNumType w:start="1"/>
          <w:cols w:space="425"/>
          <w:docGrid w:type="linesAndChars" w:linePitch="457" w:charSpace="4127"/>
        </w:sectPr>
      </w:pPr>
    </w:p>
    <w:p w14:paraId="0522FDEC" w14:textId="77777777" w:rsidR="00A77297" w:rsidRPr="00C3310F" w:rsidRDefault="00A77297" w:rsidP="00A77297">
      <w:pPr>
        <w:pStyle w:val="a4"/>
      </w:pPr>
      <w:bookmarkStart w:id="1189" w:name="_Toc172033507"/>
      <w:r w:rsidRPr="00C3310F">
        <w:rPr>
          <w:rFonts w:hint="eastAsia"/>
        </w:rPr>
        <w:lastRenderedPageBreak/>
        <w:t>本院諮詢會議摘要(依場次及姓名筆劃排列)</w:t>
      </w:r>
      <w:bookmarkEnd w:id="1189"/>
    </w:p>
    <w:p w14:paraId="2A73F0FF" w14:textId="34C86078" w:rsidR="00A77297" w:rsidRPr="00C3310F" w:rsidRDefault="00A77297" w:rsidP="00A77297">
      <w:pPr>
        <w:pStyle w:val="2"/>
        <w:numPr>
          <w:ilvl w:val="1"/>
          <w:numId w:val="22"/>
        </w:numPr>
      </w:pPr>
      <w:bookmarkStart w:id="1190" w:name="_Toc171525660"/>
      <w:bookmarkStart w:id="1191" w:name="_Toc172024185"/>
      <w:bookmarkStart w:id="1192" w:name="_Toc172033508"/>
      <w:r w:rsidRPr="00C3310F">
        <w:rPr>
          <w:rFonts w:hint="eastAsia"/>
        </w:rPr>
        <w:t>中央警察大學外事警察學系 孟維德教授</w:t>
      </w:r>
      <w:bookmarkEnd w:id="1190"/>
      <w:bookmarkEnd w:id="1191"/>
      <w:bookmarkEnd w:id="1192"/>
    </w:p>
    <w:p w14:paraId="3CF12B32" w14:textId="77777777" w:rsidR="00A77297" w:rsidRPr="00C3310F" w:rsidRDefault="00A77297" w:rsidP="00A77297">
      <w:pPr>
        <w:pStyle w:val="3"/>
      </w:pPr>
      <w:bookmarkStart w:id="1193" w:name="_Toc171525661"/>
      <w:bookmarkStart w:id="1194" w:name="_Toc172024186"/>
      <w:bookmarkStart w:id="1195" w:name="_Toc172033509"/>
      <w:r w:rsidRPr="00C3310F">
        <w:rPr>
          <w:rFonts w:hint="eastAsia"/>
        </w:rPr>
        <w:t>當我們站在一個全球的角度看詐欺問題的時候，我們很清楚地看到是不是只有臺灣有，其實國外的損失不見得比臺灣小。</w:t>
      </w:r>
      <w:bookmarkEnd w:id="1193"/>
      <w:bookmarkEnd w:id="1194"/>
      <w:bookmarkEnd w:id="1195"/>
    </w:p>
    <w:p w14:paraId="0B12FEB9" w14:textId="77777777" w:rsidR="00A77297" w:rsidRPr="00C3310F" w:rsidRDefault="00A77297" w:rsidP="00A77297">
      <w:pPr>
        <w:pStyle w:val="3"/>
      </w:pPr>
      <w:bookmarkStart w:id="1196" w:name="_Toc171525662"/>
      <w:bookmarkStart w:id="1197" w:name="_Toc172024187"/>
      <w:bookmarkStart w:id="1198" w:name="_Toc172033510"/>
      <w:r w:rsidRPr="00C3310F">
        <w:rPr>
          <w:rFonts w:hint="eastAsia"/>
        </w:rPr>
        <w:t>犯罪這種社會現象很重要的一個元素就是機會。每當金融機構或電信業者提出了新的商品或是服務，我們在做大部分研究犯罪的學者第一個反應，就是又為犯罪增加了很多機會。</w:t>
      </w:r>
      <w:bookmarkEnd w:id="1196"/>
      <w:bookmarkEnd w:id="1197"/>
      <w:bookmarkEnd w:id="1198"/>
    </w:p>
    <w:p w14:paraId="72C2C5B6" w14:textId="77777777" w:rsidR="00A77297" w:rsidRPr="00C3310F" w:rsidRDefault="00A77297" w:rsidP="00A77297">
      <w:pPr>
        <w:pStyle w:val="3"/>
      </w:pPr>
      <w:bookmarkStart w:id="1199" w:name="_Toc171525663"/>
      <w:bookmarkStart w:id="1200" w:name="_Toc172024188"/>
      <w:bookmarkStart w:id="1201" w:name="_Toc172033511"/>
      <w:r w:rsidRPr="00C3310F">
        <w:rPr>
          <w:rFonts w:hint="eastAsia"/>
        </w:rPr>
        <w:t>當業者在開發這些新的商品和服務的時候，在安全上面不會花很大的精力，那這樣子的問題不是只存在電信業者或金融機構，過去在汽車製造商，也發生過很多的瑕疵車，都是一直要到損害非常嚴重的時候，業者才願意做一些修正。</w:t>
      </w:r>
      <w:bookmarkEnd w:id="1199"/>
      <w:bookmarkEnd w:id="1200"/>
      <w:bookmarkEnd w:id="1201"/>
    </w:p>
    <w:p w14:paraId="3527D466" w14:textId="77777777" w:rsidR="00A77297" w:rsidRPr="00C3310F" w:rsidRDefault="00A77297" w:rsidP="00A77297">
      <w:pPr>
        <w:pStyle w:val="3"/>
      </w:pPr>
      <w:bookmarkStart w:id="1202" w:name="_Toc171525664"/>
      <w:bookmarkStart w:id="1203" w:name="_Toc172024189"/>
      <w:bookmarkStart w:id="1204" w:name="_Toc172033512"/>
      <w:r w:rsidRPr="00C3310F">
        <w:rPr>
          <w:rFonts w:hint="eastAsia"/>
        </w:rPr>
        <w:t>犯罪機會只會增加而不會減少。那麼當業者花了很大的經費去研究新的商品跟服務時，我們可能要回頭看看政府部門在新增部門上，在偵查上面，在起訴上面，在矯正上面，大概花了多少的預算?</w:t>
      </w:r>
      <w:r w:rsidRPr="00C3310F">
        <w:rPr>
          <w:rFonts w:hAnsi="標楷體" w:cstheme="minorBidi" w:hint="eastAsia"/>
          <w:kern w:val="2"/>
          <w:sz w:val="28"/>
          <w:szCs w:val="28"/>
          <w14:ligatures w14:val="standardContextual"/>
        </w:rPr>
        <w:t xml:space="preserve"> </w:t>
      </w:r>
      <w:r w:rsidRPr="00C3310F">
        <w:rPr>
          <w:rFonts w:hint="eastAsia"/>
        </w:rPr>
        <w:t>你會很清楚地看到我們一直苦苦的在後頭追趕，而且我跟你保證，不會追上，永遠不會追上。</w:t>
      </w:r>
      <w:bookmarkEnd w:id="1202"/>
      <w:bookmarkEnd w:id="1203"/>
      <w:bookmarkEnd w:id="1204"/>
    </w:p>
    <w:p w14:paraId="540C1B81" w14:textId="77777777" w:rsidR="00A77297" w:rsidRPr="00C3310F" w:rsidRDefault="00A77297" w:rsidP="00A77297">
      <w:pPr>
        <w:pStyle w:val="3"/>
      </w:pPr>
      <w:bookmarkStart w:id="1205" w:name="_Toc171525665"/>
      <w:bookmarkStart w:id="1206" w:name="_Toc172024190"/>
      <w:bookmarkStart w:id="1207" w:name="_Toc172033513"/>
      <w:r w:rsidRPr="00C3310F">
        <w:rPr>
          <w:rFonts w:hint="eastAsia"/>
        </w:rPr>
        <w:t>在10年前，犯罪被害人最大量的不是詐欺，而是竊盜。詐欺是一直到最近，這兩</w:t>
      </w:r>
      <w:r w:rsidR="00D674EB" w:rsidRPr="00C3310F">
        <w:rPr>
          <w:rFonts w:hint="eastAsia"/>
        </w:rPr>
        <w:t>、三</w:t>
      </w:r>
      <w:r w:rsidRPr="00C3310F">
        <w:rPr>
          <w:rFonts w:hint="eastAsia"/>
        </w:rPr>
        <w:t>年才成為臺灣犯罪</w:t>
      </w:r>
      <w:r w:rsidR="00D674EB" w:rsidRPr="00C3310F">
        <w:rPr>
          <w:rFonts w:hint="eastAsia"/>
        </w:rPr>
        <w:t>樣態中</w:t>
      </w:r>
      <w:r w:rsidRPr="00C3310F">
        <w:rPr>
          <w:rFonts w:hint="eastAsia"/>
        </w:rPr>
        <w:t>最大量的被害人。</w:t>
      </w:r>
      <w:bookmarkEnd w:id="1205"/>
      <w:bookmarkEnd w:id="1206"/>
      <w:bookmarkEnd w:id="1207"/>
    </w:p>
    <w:p w14:paraId="6F880485" w14:textId="77777777" w:rsidR="00A77297" w:rsidRPr="00C3310F" w:rsidRDefault="00A77297" w:rsidP="00A77297">
      <w:pPr>
        <w:pStyle w:val="3"/>
      </w:pPr>
      <w:bookmarkStart w:id="1208" w:name="_Toc171525666"/>
      <w:bookmarkStart w:id="1209" w:name="_Toc172024191"/>
      <w:bookmarkStart w:id="1210" w:name="_Toc172033514"/>
      <w:r w:rsidRPr="00C3310F">
        <w:rPr>
          <w:rFonts w:hint="eastAsia"/>
        </w:rPr>
        <w:t>被害人年齡我們再去看。18歲到39歲是詐欺的主要被害人。40歲以上的被害人詐欺就不是首位了。</w:t>
      </w:r>
      <w:bookmarkEnd w:id="1208"/>
      <w:bookmarkEnd w:id="1209"/>
      <w:bookmarkEnd w:id="1210"/>
    </w:p>
    <w:p w14:paraId="5022484B" w14:textId="77777777" w:rsidR="00A77297" w:rsidRPr="00C3310F" w:rsidRDefault="00A77297" w:rsidP="00A77297">
      <w:pPr>
        <w:pStyle w:val="3"/>
      </w:pPr>
      <w:bookmarkStart w:id="1211" w:name="_Toc171525667"/>
      <w:bookmarkStart w:id="1212" w:name="_Toc172024192"/>
      <w:bookmarkStart w:id="1213" w:name="_Toc172033515"/>
      <w:r w:rsidRPr="00C3310F">
        <w:rPr>
          <w:rFonts w:hint="eastAsia"/>
        </w:rPr>
        <w:t>犯罪件數我們去年大概發生了大概19,000多件。但是呢，我們的被害人呢，竟高達了將近50,000個人，所以一件可以害很多人。</w:t>
      </w:r>
      <w:bookmarkEnd w:id="1211"/>
      <w:bookmarkEnd w:id="1212"/>
      <w:bookmarkEnd w:id="1213"/>
    </w:p>
    <w:p w14:paraId="4E3C4754" w14:textId="77777777" w:rsidR="00A77297" w:rsidRPr="00C3310F" w:rsidRDefault="00A77297" w:rsidP="00A77297">
      <w:pPr>
        <w:pStyle w:val="3"/>
      </w:pPr>
      <w:bookmarkStart w:id="1214" w:name="_Toc171525668"/>
      <w:bookmarkStart w:id="1215" w:name="_Toc172024193"/>
      <w:bookmarkStart w:id="1216" w:name="_Toc172033516"/>
      <w:r w:rsidRPr="00C3310F">
        <w:rPr>
          <w:rFonts w:hint="eastAsia"/>
        </w:rPr>
        <w:t>我相信企業應該有不少的被害，但是企業可能顧及</w:t>
      </w:r>
      <w:r w:rsidRPr="00C3310F">
        <w:rPr>
          <w:rFonts w:hint="eastAsia"/>
        </w:rPr>
        <w:lastRenderedPageBreak/>
        <w:t>到企業的形象，還有其他等等因素沒有凸顯出來。</w:t>
      </w:r>
      <w:bookmarkEnd w:id="1214"/>
      <w:bookmarkEnd w:id="1215"/>
      <w:bookmarkEnd w:id="1216"/>
    </w:p>
    <w:p w14:paraId="7989326F" w14:textId="77777777" w:rsidR="00A77297" w:rsidRPr="00C3310F" w:rsidRDefault="00A77297" w:rsidP="00A77297">
      <w:pPr>
        <w:pStyle w:val="3"/>
      </w:pPr>
      <w:bookmarkStart w:id="1217" w:name="_Toc171525669"/>
      <w:bookmarkStart w:id="1218" w:name="_Toc172024194"/>
      <w:bookmarkStart w:id="1219" w:name="_Toc172033517"/>
      <w:r w:rsidRPr="00C3310F">
        <w:rPr>
          <w:rFonts w:hint="eastAsia"/>
        </w:rPr>
        <w:t>只要涉及到跨境跟跨國的這個詐欺案件，勢必一定要透過中央級的執法部門。警政部分的話要透過刑事警察局；地方的警察局對於這種跨國跨境的這種詐欺案件，在偵查上面是沒有辦法的，在組織的結構上，也是放在中央級的執法部門上。</w:t>
      </w:r>
      <w:bookmarkEnd w:id="1217"/>
      <w:bookmarkEnd w:id="1218"/>
      <w:bookmarkEnd w:id="1219"/>
    </w:p>
    <w:p w14:paraId="1F60D31F" w14:textId="626D325D" w:rsidR="00A77297" w:rsidRPr="00C3310F" w:rsidRDefault="00A77297" w:rsidP="00A77297">
      <w:pPr>
        <w:pStyle w:val="3"/>
      </w:pPr>
      <w:bookmarkStart w:id="1220" w:name="_Toc171525670"/>
      <w:bookmarkStart w:id="1221" w:name="_Toc172024195"/>
      <w:bookmarkStart w:id="1222" w:name="_Toc172033518"/>
      <w:r w:rsidRPr="00C3310F">
        <w:rPr>
          <w:rFonts w:hint="eastAsia"/>
        </w:rPr>
        <w:t>在中央級執法部門的資源，我個人覺得是短絀了。調查局大概有20幾個人派在國外，</w:t>
      </w:r>
      <w:r w:rsidR="00D674EB" w:rsidRPr="00C3310F">
        <w:rPr>
          <w:rFonts w:hint="eastAsia"/>
        </w:rPr>
        <w:t>警政</w:t>
      </w:r>
      <w:r w:rsidRPr="00C3310F">
        <w:rPr>
          <w:rFonts w:hint="eastAsia"/>
        </w:rPr>
        <w:t>署大概有10幾個人派到國外，移民署大概有20幾個人派到國外，他們不見得是在做犯罪防</w:t>
      </w:r>
      <w:r w:rsidR="00CC0350" w:rsidRPr="00C3310F">
        <w:rPr>
          <w:rFonts w:hint="eastAsia"/>
        </w:rPr>
        <w:t>制</w:t>
      </w:r>
      <w:r w:rsidRPr="00C3310F">
        <w:rPr>
          <w:rFonts w:hint="eastAsia"/>
        </w:rPr>
        <w:t>工作；個人是建議外館恐怕要多增設有關於執法部門的人員。</w:t>
      </w:r>
      <w:bookmarkEnd w:id="1220"/>
      <w:bookmarkEnd w:id="1221"/>
      <w:bookmarkEnd w:id="1222"/>
    </w:p>
    <w:p w14:paraId="60901D68" w14:textId="77777777" w:rsidR="00A77297" w:rsidRPr="00C3310F" w:rsidRDefault="00A77297" w:rsidP="00A77297">
      <w:pPr>
        <w:pStyle w:val="3"/>
      </w:pPr>
      <w:bookmarkStart w:id="1223" w:name="_Toc171525671"/>
      <w:bookmarkStart w:id="1224" w:name="_Toc172024196"/>
      <w:bookmarkStart w:id="1225" w:name="_Toc172033519"/>
      <w:r w:rsidRPr="00C3310F">
        <w:rPr>
          <w:rFonts w:hint="eastAsia"/>
        </w:rPr>
        <w:t>我也曾經分析過有派與不派駐外執法人員的</w:t>
      </w:r>
      <w:r w:rsidR="00D674EB" w:rsidRPr="00C3310F">
        <w:rPr>
          <w:rFonts w:hint="eastAsia"/>
        </w:rPr>
        <w:t>差異</w:t>
      </w:r>
      <w:r w:rsidRPr="00C3310F">
        <w:rPr>
          <w:rFonts w:hint="eastAsia"/>
        </w:rPr>
        <w:t>；有派駐執法人員的國家破案率高很多，我建議外交部可以的話，應該是讓外館多接受一些法務部或內政部的執法人員，有助於偵辦跨境洗錢。</w:t>
      </w:r>
      <w:bookmarkEnd w:id="1223"/>
      <w:bookmarkEnd w:id="1224"/>
      <w:bookmarkEnd w:id="1225"/>
    </w:p>
    <w:p w14:paraId="13C5141F" w14:textId="2C910885" w:rsidR="00A77297" w:rsidRPr="00C3310F" w:rsidRDefault="00A77297" w:rsidP="00A77297">
      <w:pPr>
        <w:pStyle w:val="3"/>
      </w:pPr>
      <w:bookmarkStart w:id="1226" w:name="_Toc171525672"/>
      <w:bookmarkStart w:id="1227" w:name="_Toc172024197"/>
      <w:bookmarkStart w:id="1228" w:name="_Toc172033520"/>
      <w:r w:rsidRPr="00C3310F">
        <w:rPr>
          <w:rFonts w:hint="eastAsia"/>
        </w:rPr>
        <w:t>詐騙集團的組織結構不是像幫派，而是非常的鬆垮、扁平、彈性的，他們絕對不是以詐騙集團分子自居，他們是以生意人的身</w:t>
      </w:r>
      <w:r w:rsidR="00CC0350" w:rsidRPr="00C3310F">
        <w:rPr>
          <w:rFonts w:hint="eastAsia"/>
        </w:rPr>
        <w:t>分</w:t>
      </w:r>
      <w:r w:rsidRPr="00C3310F">
        <w:rPr>
          <w:rFonts w:hint="eastAsia"/>
        </w:rPr>
        <w:t>自居，大家是一起來做生意的，因此誰在集團裡面創造大的利益，誰講話就大聲。</w:t>
      </w:r>
      <w:bookmarkEnd w:id="1226"/>
      <w:bookmarkEnd w:id="1227"/>
      <w:bookmarkEnd w:id="1228"/>
    </w:p>
    <w:p w14:paraId="0AA1ADF9" w14:textId="77777777" w:rsidR="00A77297" w:rsidRPr="00C3310F" w:rsidRDefault="00A77297" w:rsidP="00A77297">
      <w:pPr>
        <w:pStyle w:val="3"/>
      </w:pPr>
      <w:bookmarkStart w:id="1229" w:name="_Toc171525673"/>
      <w:bookmarkStart w:id="1230" w:name="_Toc172024198"/>
      <w:bookmarkStart w:id="1231" w:name="_Toc172033521"/>
      <w:r w:rsidRPr="00C3310F">
        <w:rPr>
          <w:rFonts w:hint="eastAsia"/>
        </w:rPr>
        <w:t>現在我們要做的，是可不可以有好的科技工具分析出來他們跑的這個脈絡和路徑，也就是「以科技對付科技」，用傳統偵防是沒辦法逮到它的。詐騙集團他們會結交金融機構的行員或是朋友，也會結交電信業的朋友，所以他不像幫派那樣，他是非常靈活的。</w:t>
      </w:r>
      <w:bookmarkEnd w:id="1229"/>
      <w:bookmarkEnd w:id="1230"/>
      <w:bookmarkEnd w:id="1231"/>
    </w:p>
    <w:p w14:paraId="779BF295" w14:textId="77777777" w:rsidR="00A77297" w:rsidRPr="00C3310F" w:rsidRDefault="00A77297" w:rsidP="00A77297">
      <w:pPr>
        <w:pStyle w:val="3"/>
      </w:pPr>
      <w:bookmarkStart w:id="1232" w:name="_Toc171525674"/>
      <w:bookmarkStart w:id="1233" w:name="_Toc172024199"/>
      <w:bookmarkStart w:id="1234" w:name="_Toc172033522"/>
      <w:r w:rsidRPr="00C3310F">
        <w:rPr>
          <w:rFonts w:hint="eastAsia"/>
        </w:rPr>
        <w:t>各位不知道有沒有聽過地下匯兌，也就是地下金融業者，其實是非常大的洗錢管道。或許他是開飲料店、早餐店，機車行，你無法判斷這個做地下匯</w:t>
      </w:r>
      <w:r w:rsidRPr="00C3310F">
        <w:rPr>
          <w:rFonts w:hint="eastAsia"/>
        </w:rPr>
        <w:lastRenderedPageBreak/>
        <w:t>兌的人平時是做什麼的，只有圈內的人找得到他。</w:t>
      </w:r>
      <w:bookmarkEnd w:id="1232"/>
      <w:bookmarkEnd w:id="1233"/>
      <w:bookmarkEnd w:id="1234"/>
    </w:p>
    <w:p w14:paraId="34B6491F" w14:textId="77777777" w:rsidR="00A77297" w:rsidRPr="00C3310F" w:rsidRDefault="00A77297" w:rsidP="00A77297">
      <w:pPr>
        <w:pStyle w:val="3"/>
      </w:pPr>
      <w:bookmarkStart w:id="1235" w:name="_Toc171525675"/>
      <w:bookmarkStart w:id="1236" w:name="_Toc172024200"/>
      <w:bookmarkStart w:id="1237" w:name="_Toc172033523"/>
      <w:r w:rsidRPr="00C3310F">
        <w:rPr>
          <w:rFonts w:hint="eastAsia"/>
        </w:rPr>
        <w:t>犯罪的人多半都是把坐牢當作犯罪的成本，只要不查扣到他的不法利益，他都覺得值得，假設騙800萬判3年有期徒刑，他都會去犯法。</w:t>
      </w:r>
      <w:bookmarkEnd w:id="1235"/>
      <w:bookmarkEnd w:id="1236"/>
      <w:bookmarkEnd w:id="1237"/>
    </w:p>
    <w:p w14:paraId="50200201" w14:textId="77777777" w:rsidR="00A77297" w:rsidRPr="00C3310F" w:rsidRDefault="00A77297" w:rsidP="00A77297">
      <w:pPr>
        <w:pStyle w:val="3"/>
      </w:pPr>
      <w:bookmarkStart w:id="1238" w:name="_Toc171525676"/>
      <w:bookmarkStart w:id="1239" w:name="_Toc172024201"/>
      <w:bookmarkStart w:id="1240" w:name="_Toc172033524"/>
      <w:r w:rsidRPr="00C3310F">
        <w:rPr>
          <w:rFonts w:hint="eastAsia"/>
        </w:rPr>
        <w:t>即使徒刑增高了，但是你擋不到他，因為當刑罰不確定時，再高的刑罰也是沒用的，所以重點在刑罰的確定性，你能不能逮到他？你能不能查扣他的犯罪不法利益？這是重點。</w:t>
      </w:r>
      <w:bookmarkEnd w:id="1238"/>
      <w:bookmarkEnd w:id="1239"/>
      <w:bookmarkEnd w:id="1240"/>
    </w:p>
    <w:p w14:paraId="76F9AEBC" w14:textId="77777777" w:rsidR="00A77297" w:rsidRPr="00C3310F" w:rsidRDefault="00A77297" w:rsidP="00A77297">
      <w:pPr>
        <w:pStyle w:val="3"/>
      </w:pPr>
      <w:bookmarkStart w:id="1241" w:name="_Toc171525677"/>
      <w:bookmarkStart w:id="1242" w:name="_Toc172024202"/>
      <w:bookmarkStart w:id="1243" w:name="_Toc172033525"/>
      <w:r w:rsidRPr="00C3310F">
        <w:rPr>
          <w:rFonts w:hint="eastAsia"/>
        </w:rPr>
        <w:t>政府要給執法部門「科技對付科技」的資源量，現在的執法部門比不上這些犯罪集團的科技量，有足夠的科技量，才有辦法提高刑罰的確定性。</w:t>
      </w:r>
      <w:bookmarkEnd w:id="1241"/>
      <w:bookmarkEnd w:id="1242"/>
      <w:bookmarkEnd w:id="1243"/>
    </w:p>
    <w:p w14:paraId="63B16259" w14:textId="77777777" w:rsidR="00A77297" w:rsidRPr="00C3310F" w:rsidRDefault="00A77297" w:rsidP="00A77297">
      <w:pPr>
        <w:pStyle w:val="3"/>
      </w:pPr>
      <w:bookmarkStart w:id="1244" w:name="_Toc171525678"/>
      <w:bookmarkStart w:id="1245" w:name="_Toc172024203"/>
      <w:bookmarkStart w:id="1246" w:name="_Toc172033526"/>
      <w:r w:rsidRPr="00C3310F">
        <w:rPr>
          <w:rFonts w:hint="eastAsia"/>
        </w:rPr>
        <w:t>柬埔寨假設有我方的刑事司法人員，就可以快速處理，但是最近的在泰國，其他越南、緬甸、寮國、柬埔寨都沒有我們的人。</w:t>
      </w:r>
      <w:bookmarkEnd w:id="1244"/>
      <w:bookmarkEnd w:id="1245"/>
      <w:bookmarkEnd w:id="1246"/>
    </w:p>
    <w:p w14:paraId="2716DA82" w14:textId="77777777" w:rsidR="00A77297" w:rsidRPr="00C3310F" w:rsidRDefault="00A77297" w:rsidP="00A77297">
      <w:pPr>
        <w:pStyle w:val="3"/>
      </w:pPr>
      <w:bookmarkStart w:id="1247" w:name="_Toc171525679"/>
      <w:bookmarkStart w:id="1248" w:name="_Toc172024204"/>
      <w:bookmarkStart w:id="1249" w:name="_Toc172033527"/>
      <w:r w:rsidRPr="00C3310F">
        <w:rPr>
          <w:rFonts w:hint="eastAsia"/>
        </w:rPr>
        <w:t>從研究本土的實證資料上，看不到詐騙集團的核心份子都是幫派這樣的證據。裡面可能有金融機構</w:t>
      </w:r>
      <w:r w:rsidR="00D674EB" w:rsidRPr="00C3310F">
        <w:rPr>
          <w:rFonts w:hint="eastAsia"/>
        </w:rPr>
        <w:t>和</w:t>
      </w:r>
      <w:r w:rsidRPr="00C3310F">
        <w:rPr>
          <w:rFonts w:hint="eastAsia"/>
        </w:rPr>
        <w:t>電信業者</w:t>
      </w:r>
      <w:r w:rsidR="00D674EB" w:rsidRPr="00C3310F">
        <w:rPr>
          <w:rFonts w:hint="eastAsia"/>
        </w:rPr>
        <w:t>，</w:t>
      </w:r>
      <w:r w:rsidRPr="00C3310F">
        <w:rPr>
          <w:rFonts w:hint="eastAsia"/>
        </w:rPr>
        <w:t>我們對於組織犯罪集團的概念已經要脫離幫派的概念</w:t>
      </w:r>
      <w:bookmarkEnd w:id="1247"/>
      <w:bookmarkEnd w:id="1248"/>
      <w:bookmarkEnd w:id="1249"/>
      <w:r w:rsidR="00D674EB" w:rsidRPr="00C3310F">
        <w:rPr>
          <w:rFonts w:hint="eastAsia"/>
        </w:rPr>
        <w:t>。</w:t>
      </w:r>
    </w:p>
    <w:p w14:paraId="32C96F77" w14:textId="77777777" w:rsidR="00A77297" w:rsidRPr="00C3310F" w:rsidRDefault="00A77297" w:rsidP="00A77297">
      <w:pPr>
        <w:pStyle w:val="3"/>
      </w:pPr>
      <w:bookmarkStart w:id="1250" w:name="_Toc171525680"/>
      <w:bookmarkStart w:id="1251" w:name="_Toc172024205"/>
      <w:bookmarkStart w:id="1252" w:name="_Toc172033528"/>
      <w:r w:rsidRPr="00C3310F">
        <w:rPr>
          <w:rFonts w:hint="eastAsia"/>
        </w:rPr>
        <w:t>臺灣並沒有允許臥底偵查的法。混入到犯罪集團，可能會要求他先做一些犯罪的事情，對公務人員來講是為難的，我們法律上也沒有許可。</w:t>
      </w:r>
      <w:bookmarkEnd w:id="1250"/>
      <w:bookmarkEnd w:id="1251"/>
      <w:bookmarkEnd w:id="1252"/>
    </w:p>
    <w:p w14:paraId="74C5F195" w14:textId="77777777" w:rsidR="00A77297" w:rsidRPr="00C3310F" w:rsidRDefault="00A77297" w:rsidP="00A77297">
      <w:pPr>
        <w:pStyle w:val="3"/>
      </w:pPr>
      <w:bookmarkStart w:id="1253" w:name="_Toc171525681"/>
      <w:bookmarkStart w:id="1254" w:name="_Toc172024206"/>
      <w:bookmarkStart w:id="1255" w:name="_Toc172033529"/>
      <w:r w:rsidRPr="00C3310F">
        <w:rPr>
          <w:rFonts w:hint="eastAsia"/>
        </w:rPr>
        <w:t>我補充一下，外派人員不能只是任務型的派駐，它需要培養當地的人脈，等到國內派任</w:t>
      </w:r>
      <w:r w:rsidR="00D674EB" w:rsidRPr="00C3310F">
        <w:rPr>
          <w:rFonts w:hint="eastAsia"/>
        </w:rPr>
        <w:t>務</w:t>
      </w:r>
      <w:r w:rsidRPr="00C3310F">
        <w:rPr>
          <w:rFonts w:hint="eastAsia"/>
        </w:rPr>
        <w:t>給他的時候，他必須已經準備好了。</w:t>
      </w:r>
      <w:bookmarkEnd w:id="1253"/>
      <w:bookmarkEnd w:id="1254"/>
      <w:bookmarkEnd w:id="1255"/>
    </w:p>
    <w:p w14:paraId="68D1DAA9" w14:textId="12320D54" w:rsidR="00A77297" w:rsidRPr="00C3310F" w:rsidRDefault="00A77297" w:rsidP="00A77297">
      <w:pPr>
        <w:pStyle w:val="2"/>
      </w:pPr>
      <w:bookmarkStart w:id="1256" w:name="_Toc171525682"/>
      <w:bookmarkStart w:id="1257" w:name="_Toc172024207"/>
      <w:bookmarkStart w:id="1258" w:name="_Toc172033530"/>
      <w:r w:rsidRPr="00C3310F">
        <w:rPr>
          <w:rFonts w:hint="eastAsia"/>
        </w:rPr>
        <w:t>臺灣臺北地方檢察署 姜長志檢察官</w:t>
      </w:r>
      <w:bookmarkEnd w:id="1256"/>
      <w:bookmarkEnd w:id="1257"/>
      <w:bookmarkEnd w:id="1258"/>
    </w:p>
    <w:p w14:paraId="55BE7736" w14:textId="77777777" w:rsidR="00A77297" w:rsidRPr="00C3310F" w:rsidRDefault="00A77297" w:rsidP="00A77297">
      <w:pPr>
        <w:pStyle w:val="3"/>
      </w:pPr>
      <w:bookmarkStart w:id="1259" w:name="_Toc171525683"/>
      <w:bookmarkStart w:id="1260" w:name="_Toc172024208"/>
      <w:bookmarkStart w:id="1261" w:name="_Toc172033531"/>
      <w:r w:rsidRPr="00C3310F">
        <w:rPr>
          <w:rFonts w:hint="eastAsia"/>
        </w:rPr>
        <w:t>在整個詐騙犯罪裡面，最主要的兩大環節，一個是刑事機關，一個是檢察官，那如果檢察官崩潰撐不下去的時候，這個案子就是會不斷的滋長出來，那現況就是這樣。</w:t>
      </w:r>
      <w:bookmarkEnd w:id="1259"/>
      <w:bookmarkEnd w:id="1260"/>
      <w:bookmarkEnd w:id="1261"/>
    </w:p>
    <w:p w14:paraId="06F02917" w14:textId="77777777" w:rsidR="00A77297" w:rsidRPr="00C3310F" w:rsidRDefault="00A77297" w:rsidP="00A77297">
      <w:pPr>
        <w:pStyle w:val="3"/>
      </w:pPr>
      <w:bookmarkStart w:id="1262" w:name="_Toc171525684"/>
      <w:bookmarkStart w:id="1263" w:name="_Toc172024209"/>
      <w:bookmarkStart w:id="1264" w:name="_Toc172033532"/>
      <w:r w:rsidRPr="00C3310F">
        <w:rPr>
          <w:rFonts w:hint="eastAsia"/>
        </w:rPr>
        <w:lastRenderedPageBreak/>
        <w:t>以我個人在臺北地檢署收案，我每個月收案收80到100件，意思就是這個月如果沒有減掉80到100件，我下個月還要再繼續收80到100件，那所以我們有很多學長姐現在身上背著3、4百件在轉，那各位委員可以試想，我們背著3、4百件，我們哪有能力去想說這個詐騙要追源頭。</w:t>
      </w:r>
      <w:bookmarkEnd w:id="1262"/>
      <w:bookmarkEnd w:id="1263"/>
      <w:bookmarkEnd w:id="1264"/>
    </w:p>
    <w:p w14:paraId="4664FBFF" w14:textId="77777777" w:rsidR="00A77297" w:rsidRPr="00C3310F" w:rsidRDefault="00A77297" w:rsidP="00A77297">
      <w:pPr>
        <w:pStyle w:val="3"/>
      </w:pPr>
      <w:bookmarkStart w:id="1265" w:name="_Toc171525685"/>
      <w:bookmarkStart w:id="1266" w:name="_Toc172024210"/>
      <w:bookmarkStart w:id="1267" w:name="_Toc172033533"/>
      <w:r w:rsidRPr="00C3310F">
        <w:rPr>
          <w:rFonts w:hint="eastAsia"/>
        </w:rPr>
        <w:t>我手上案子假設80件的話，至少有40件以上是詐騙，它已經是高達五成以上，而且而且40件的詐騙案裡面將近有30件都是人頭帳戶。</w:t>
      </w:r>
      <w:bookmarkEnd w:id="1265"/>
      <w:bookmarkEnd w:id="1266"/>
      <w:bookmarkEnd w:id="1267"/>
    </w:p>
    <w:p w14:paraId="2B2438A9" w14:textId="77777777" w:rsidR="00A77297" w:rsidRPr="00C3310F" w:rsidRDefault="00A77297" w:rsidP="00A77297">
      <w:pPr>
        <w:pStyle w:val="3"/>
      </w:pPr>
      <w:bookmarkStart w:id="1268" w:name="_Toc171525686"/>
      <w:bookmarkStart w:id="1269" w:name="_Toc172024211"/>
      <w:bookmarkStart w:id="1270" w:name="_Toc172033534"/>
      <w:r w:rsidRPr="00C3310F">
        <w:rPr>
          <w:rFonts w:hint="eastAsia"/>
        </w:rPr>
        <w:t>監察院過去曾經有針對人頭帳戶開了類似的研討會，那當時給我們的結論，我看到報告的時候，我是覺得心裡面很難過，報告希望我們要注意無罪推定、罪疑惟輕；可是委員今天找我來，我一定要跟委員反映，我所有的詐騙案之所以追不下去，最重要的就是人頭帳戶。因為為什麼?詐騙集團跟其他的犯罪組織很不一樣，詐騙集團的組織是到處充滿斷點，他們集團內部誰都不認識誰</w:t>
      </w:r>
      <w:bookmarkEnd w:id="1268"/>
      <w:bookmarkEnd w:id="1269"/>
      <w:bookmarkEnd w:id="1270"/>
      <w:r w:rsidR="00D674EB" w:rsidRPr="00C3310F">
        <w:rPr>
          <w:rFonts w:hint="eastAsia"/>
        </w:rPr>
        <w:t>。</w:t>
      </w:r>
    </w:p>
    <w:p w14:paraId="279E68C3" w14:textId="77777777" w:rsidR="00A77297" w:rsidRPr="00C3310F" w:rsidRDefault="00A77297" w:rsidP="00A77297">
      <w:pPr>
        <w:pStyle w:val="3"/>
      </w:pPr>
      <w:bookmarkStart w:id="1271" w:name="_Toc171525687"/>
      <w:bookmarkStart w:id="1272" w:name="_Toc172024212"/>
      <w:bookmarkStart w:id="1273" w:name="_Toc172033535"/>
      <w:r w:rsidRPr="00C3310F">
        <w:rPr>
          <w:rFonts w:hint="eastAsia"/>
        </w:rPr>
        <w:t>一個大斷點就在人頭帳戶，被害人第一個匯款匯到人頭帳戶，我們每次追也只能追到人頭帳戶，除非我們有情資、有上線監視、有搜索，才有辦法往上游繼續查。可是如果人頭帳戶這點不處理的狀況下，我們就沒有辦法繼續往上追。如果我們今天檢察官要很輕鬆很好下班的話，我就全部給他不起訴就好，甚至就可以得到一個人權檢察官的名譽。</w:t>
      </w:r>
      <w:bookmarkEnd w:id="1271"/>
      <w:bookmarkEnd w:id="1272"/>
      <w:bookmarkEnd w:id="1273"/>
    </w:p>
    <w:p w14:paraId="0325D19E" w14:textId="5300A0A5" w:rsidR="00A77297" w:rsidRPr="00C3310F" w:rsidRDefault="00A77297" w:rsidP="00A77297">
      <w:pPr>
        <w:pStyle w:val="3"/>
      </w:pPr>
      <w:bookmarkStart w:id="1274" w:name="_Toc171525688"/>
      <w:bookmarkStart w:id="1275" w:name="_Toc172024213"/>
      <w:bookmarkStart w:id="1276" w:name="_Toc172033536"/>
      <w:r w:rsidRPr="00C3310F">
        <w:rPr>
          <w:rFonts w:hint="eastAsia"/>
        </w:rPr>
        <w:t>各位知道人頭帳戶的價格，他跟股市一樣，是隨著檢警的努力而有價格的波動，當我們檢警越查越兇的時候，現在已經高漲到一個帳戶130,000到150,000元，當年我剛出道的時候，人頭帳戶才2、3</w:t>
      </w:r>
      <w:r w:rsidR="00CC0350" w:rsidRPr="00C3310F">
        <w:t>,</w:t>
      </w:r>
      <w:r w:rsidRPr="00C3310F">
        <w:rPr>
          <w:rFonts w:hint="eastAsia"/>
        </w:rPr>
        <w:t>000塊。</w:t>
      </w:r>
      <w:bookmarkEnd w:id="1274"/>
      <w:bookmarkEnd w:id="1275"/>
      <w:bookmarkEnd w:id="1276"/>
    </w:p>
    <w:p w14:paraId="5CE74688" w14:textId="77777777" w:rsidR="00A77297" w:rsidRPr="00C3310F" w:rsidRDefault="00A77297" w:rsidP="00A77297">
      <w:pPr>
        <w:pStyle w:val="3"/>
      </w:pPr>
      <w:bookmarkStart w:id="1277" w:name="_Toc171525689"/>
      <w:bookmarkStart w:id="1278" w:name="_Toc172024214"/>
      <w:bookmarkStart w:id="1279" w:name="_Toc172033537"/>
      <w:r w:rsidRPr="00C3310F">
        <w:rPr>
          <w:rFonts w:hint="eastAsia"/>
        </w:rPr>
        <w:lastRenderedPageBreak/>
        <w:t>今天講的很多都是沒有意義的，一開始源頭就不控管他，銀行端的努力對我們來說是幫助很大。因為在人頭整個K</w:t>
      </w:r>
      <w:r w:rsidRPr="00C3310F">
        <w:t>YC</w:t>
      </w:r>
      <w:r w:rsidRPr="00C3310F">
        <w:rPr>
          <w:rFonts w:hint="eastAsia"/>
        </w:rPr>
        <w:t>做下去之後，人頭帳戶整個量有慢慢的縮減中，有被逐步的控管。</w:t>
      </w:r>
      <w:bookmarkEnd w:id="1277"/>
      <w:bookmarkEnd w:id="1278"/>
      <w:bookmarkEnd w:id="1279"/>
    </w:p>
    <w:p w14:paraId="2F89A8B9" w14:textId="77777777" w:rsidR="00A77297" w:rsidRPr="00C3310F" w:rsidRDefault="00A77297" w:rsidP="00A77297">
      <w:pPr>
        <w:pStyle w:val="3"/>
      </w:pPr>
      <w:bookmarkStart w:id="1280" w:name="_Toc171525690"/>
      <w:bookmarkStart w:id="1281" w:name="_Toc172024215"/>
      <w:bookmarkStart w:id="1282" w:name="_Toc172033538"/>
      <w:r w:rsidRPr="00C3310F">
        <w:rPr>
          <w:rFonts w:hint="eastAsia"/>
        </w:rPr>
        <w:t>如果我的心力全部都在人頭帳戶上面，就沒有精力去處理其他更重要的案件，我根本沒有時間動啊。</w:t>
      </w:r>
      <w:bookmarkEnd w:id="1280"/>
      <w:bookmarkEnd w:id="1281"/>
      <w:bookmarkEnd w:id="1282"/>
    </w:p>
    <w:p w14:paraId="4F1A9F77" w14:textId="77777777" w:rsidR="00A77297" w:rsidRPr="00C3310F" w:rsidRDefault="00A77297" w:rsidP="00A77297">
      <w:pPr>
        <w:pStyle w:val="3"/>
      </w:pPr>
      <w:bookmarkStart w:id="1283" w:name="_Toc171525691"/>
      <w:bookmarkStart w:id="1284" w:name="_Toc172024216"/>
      <w:bookmarkStart w:id="1285" w:name="_Toc172033539"/>
      <w:r w:rsidRPr="00C3310F">
        <w:rPr>
          <w:rFonts w:hint="eastAsia"/>
        </w:rPr>
        <w:t>昨天才發生一件事臺南地院的法官把詐騙跟吸金案的被告，全部在強制處分庭把他放走，我們有扣到他們的教戰守則，就教怎麼應對檢警的對話，那有教戰守則，他(法官)竟然還是認為沒有串證之虞，然後直接把人全部放走，那這個會對我們造成未來，造成</w:t>
      </w:r>
      <w:r w:rsidR="00BD1A8F" w:rsidRPr="00C3310F">
        <w:rPr>
          <w:rFonts w:hint="eastAsia"/>
        </w:rPr>
        <w:t>偵查</w:t>
      </w:r>
      <w:r w:rsidRPr="00C3310F">
        <w:rPr>
          <w:rFonts w:hint="eastAsia"/>
        </w:rPr>
        <w:t>上有多大的阻礙。</w:t>
      </w:r>
      <w:bookmarkEnd w:id="1283"/>
      <w:bookmarkEnd w:id="1284"/>
      <w:bookmarkEnd w:id="1285"/>
    </w:p>
    <w:p w14:paraId="4B648567" w14:textId="77777777" w:rsidR="00A77297" w:rsidRPr="00C3310F" w:rsidRDefault="00A77297" w:rsidP="00A77297">
      <w:pPr>
        <w:pStyle w:val="3"/>
      </w:pPr>
      <w:bookmarkStart w:id="1286" w:name="_Toc171525692"/>
      <w:bookmarkStart w:id="1287" w:name="_Toc172024217"/>
      <w:bookmarkStart w:id="1288" w:name="_Toc172033540"/>
      <w:r w:rsidRPr="00C3310F">
        <w:rPr>
          <w:rFonts w:hint="eastAsia"/>
        </w:rPr>
        <w:t>如果金管會前面不把他緊縮，後面案子就</w:t>
      </w:r>
      <w:r w:rsidR="00BD1A8F" w:rsidRPr="00C3310F">
        <w:rPr>
          <w:rFonts w:hint="eastAsia"/>
        </w:rPr>
        <w:t>流</w:t>
      </w:r>
      <w:r w:rsidRPr="00C3310F">
        <w:rPr>
          <w:rFonts w:hint="eastAsia"/>
        </w:rPr>
        <w:t>到我們手上來了嘛，我追錢追不到，追人追不到，那最後我只能簽結，那對被害人有什麼意義?</w:t>
      </w:r>
      <w:r w:rsidRPr="00C3310F">
        <w:rPr>
          <w:rFonts w:hAnsi="標楷體" w:cstheme="minorBidi" w:hint="eastAsia"/>
          <w:kern w:val="2"/>
          <w:sz w:val="28"/>
          <w:szCs w:val="28"/>
          <w14:ligatures w14:val="standardContextual"/>
        </w:rPr>
        <w:t xml:space="preserve"> </w:t>
      </w:r>
      <w:r w:rsidRPr="00C3310F">
        <w:rPr>
          <w:rFonts w:hint="eastAsia"/>
        </w:rPr>
        <w:t>錢都沒有了也抓不到，那這要怎麼判重刑?</w:t>
      </w:r>
      <w:bookmarkEnd w:id="1286"/>
      <w:bookmarkEnd w:id="1287"/>
      <w:bookmarkEnd w:id="1288"/>
    </w:p>
    <w:p w14:paraId="6A5E8CD8" w14:textId="77777777" w:rsidR="00A77297" w:rsidRPr="00C3310F" w:rsidRDefault="00A77297" w:rsidP="00A77297">
      <w:pPr>
        <w:pStyle w:val="3"/>
      </w:pPr>
      <w:bookmarkStart w:id="1289" w:name="_Toc171525693"/>
      <w:bookmarkStart w:id="1290" w:name="_Toc172024218"/>
      <w:bookmarkStart w:id="1291" w:name="_Toc172033541"/>
      <w:r w:rsidRPr="00C3310F">
        <w:rPr>
          <w:rFonts w:hint="eastAsia"/>
        </w:rPr>
        <w:t>金管會如果認為有法律保留的問題的話，那就修法授權金管會有這個職權，能夠每年對機構做評比，而且如果警示帳戶數量降不下來，就開始限制業務嘛。</w:t>
      </w:r>
      <w:bookmarkEnd w:id="1289"/>
      <w:bookmarkEnd w:id="1290"/>
      <w:bookmarkEnd w:id="1291"/>
    </w:p>
    <w:p w14:paraId="484E1ECC" w14:textId="25360671" w:rsidR="00A77297" w:rsidRPr="00C3310F" w:rsidRDefault="00A77297" w:rsidP="00A77297">
      <w:pPr>
        <w:pStyle w:val="3"/>
      </w:pPr>
      <w:bookmarkStart w:id="1292" w:name="_Toc171525694"/>
      <w:bookmarkStart w:id="1293" w:name="_Toc172024219"/>
      <w:bookmarkStart w:id="1294" w:name="_Toc172033542"/>
      <w:r w:rsidRPr="00C3310F">
        <w:rPr>
          <w:rFonts w:hint="eastAsia"/>
        </w:rPr>
        <w:t>我們發現最新的趨勢，從過去的遊戲臉書詐騙，開始走蘋果的禮物卡，我們在高檢署開會發現蘋果根本不配合嘛，我們一定要開搜索票，蘋果才願意給我們ID，回復的時間都半年一年，錢早就不知道轉到哪裡去了。主管機關為什麼不跟</w:t>
      </w:r>
      <w:r w:rsidR="00586697" w:rsidRPr="00C3310F">
        <w:rPr>
          <w:rFonts w:hint="eastAsia"/>
        </w:rPr>
        <w:t>Ap</w:t>
      </w:r>
      <w:r w:rsidR="00586697" w:rsidRPr="00C3310F">
        <w:t>ple</w:t>
      </w:r>
      <w:r w:rsidR="00586697" w:rsidRPr="00C3310F">
        <w:rPr>
          <w:rFonts w:hint="eastAsia"/>
        </w:rPr>
        <w:t>公司</w:t>
      </w:r>
      <w:r w:rsidRPr="00C3310F">
        <w:rPr>
          <w:rFonts w:hint="eastAsia"/>
        </w:rPr>
        <w:t>談說如果你不配合快速提供資料，就停止發卡?</w:t>
      </w:r>
      <w:r w:rsidRPr="00C3310F">
        <w:rPr>
          <w:rFonts w:hAnsi="標楷體" w:cstheme="minorBidi" w:hint="eastAsia"/>
          <w:kern w:val="2"/>
          <w:sz w:val="28"/>
          <w:szCs w:val="28"/>
          <w14:ligatures w14:val="standardContextual"/>
        </w:rPr>
        <w:t xml:space="preserve"> </w:t>
      </w:r>
      <w:r w:rsidRPr="00C3310F">
        <w:rPr>
          <w:rFonts w:hint="eastAsia"/>
        </w:rPr>
        <w:t>他販售這一種這種不能夠控管的商品，下架有什麼不可以?</w:t>
      </w:r>
      <w:bookmarkEnd w:id="1292"/>
      <w:bookmarkEnd w:id="1293"/>
      <w:bookmarkEnd w:id="1294"/>
    </w:p>
    <w:p w14:paraId="78005A43" w14:textId="77777777" w:rsidR="00A77297" w:rsidRPr="00C3310F" w:rsidRDefault="00A77297" w:rsidP="00A77297">
      <w:pPr>
        <w:pStyle w:val="3"/>
      </w:pPr>
      <w:bookmarkStart w:id="1295" w:name="_Toc171525695"/>
      <w:bookmarkStart w:id="1296" w:name="_Toc172024220"/>
      <w:bookmarkStart w:id="1297" w:name="_Toc172033543"/>
      <w:r w:rsidRPr="00C3310F">
        <w:rPr>
          <w:rFonts w:hint="eastAsia"/>
        </w:rPr>
        <w:t>我們現在已經把(詐騙)刑度拉高，但這刑罰有嚇</w:t>
      </w:r>
      <w:r w:rsidRPr="00C3310F">
        <w:rPr>
          <w:rFonts w:hint="eastAsia"/>
        </w:rPr>
        <w:lastRenderedPageBreak/>
        <w:t>阻力嗎?為什麼現在詐騙集團不怕?因為你抓不到我啊!</w:t>
      </w:r>
      <w:bookmarkEnd w:id="1295"/>
      <w:bookmarkEnd w:id="1296"/>
      <w:bookmarkEnd w:id="1297"/>
    </w:p>
    <w:p w14:paraId="4093BA98" w14:textId="77777777" w:rsidR="00A77297" w:rsidRPr="00C3310F" w:rsidRDefault="00A77297" w:rsidP="00A77297">
      <w:pPr>
        <w:pStyle w:val="3"/>
      </w:pPr>
      <w:bookmarkStart w:id="1298" w:name="_Toc171525696"/>
      <w:bookmarkStart w:id="1299" w:name="_Toc172024221"/>
      <w:bookmarkStart w:id="1300" w:name="_Toc172033544"/>
      <w:r w:rsidRPr="00C3310F">
        <w:rPr>
          <w:rFonts w:hint="eastAsia"/>
        </w:rPr>
        <w:t>委員講那個鼓勵檢舉，我覺得很重要。</w:t>
      </w:r>
      <w:bookmarkEnd w:id="1298"/>
      <w:bookmarkEnd w:id="1299"/>
      <w:bookmarkEnd w:id="1300"/>
    </w:p>
    <w:p w14:paraId="7E6A359A" w14:textId="77777777" w:rsidR="00A77297" w:rsidRPr="00C3310F" w:rsidRDefault="00A77297" w:rsidP="00A77297">
      <w:pPr>
        <w:pStyle w:val="3"/>
      </w:pPr>
      <w:bookmarkStart w:id="1301" w:name="_Toc171525697"/>
      <w:bookmarkStart w:id="1302" w:name="_Toc172024222"/>
      <w:bookmarkStart w:id="1303" w:name="_Toc172033545"/>
      <w:r w:rsidRPr="00C3310F">
        <w:rPr>
          <w:rFonts w:hint="eastAsia"/>
        </w:rPr>
        <w:t>一頁式詐騙的被檢舉應該立刻先把他下架嘛!你下架之後接受申訴，如果確認是合法，再回復起來。真的很需要行政機關跟立法機關配合來做快速反應，要不然我們真的跟不上他們。</w:t>
      </w:r>
      <w:bookmarkEnd w:id="1301"/>
      <w:bookmarkEnd w:id="1302"/>
      <w:bookmarkEnd w:id="1303"/>
    </w:p>
    <w:p w14:paraId="4B9753B9" w14:textId="77777777" w:rsidR="00A77297" w:rsidRPr="00C3310F" w:rsidRDefault="00A77297" w:rsidP="00A77297">
      <w:pPr>
        <w:pStyle w:val="3"/>
      </w:pPr>
      <w:bookmarkStart w:id="1304" w:name="_Toc171525698"/>
      <w:bookmarkStart w:id="1305" w:name="_Toc172024223"/>
      <w:bookmarkStart w:id="1306" w:name="_Toc172033546"/>
      <w:r w:rsidRPr="00C3310F">
        <w:rPr>
          <w:rFonts w:hint="eastAsia"/>
        </w:rPr>
        <w:t>韓國在很早之前提款的部分就有做，大概10年左右，他們只要去卡片提款超過三次，A</w:t>
      </w:r>
      <w:r w:rsidRPr="00C3310F">
        <w:t>TM</w:t>
      </w:r>
      <w:r w:rsidRPr="00C3310F">
        <w:rPr>
          <w:rFonts w:hint="eastAsia"/>
        </w:rPr>
        <w:t>的鐵門就關下來，車手就不敢過去韓國提款。韓國</w:t>
      </w:r>
      <w:r w:rsidR="00BD1A8F" w:rsidRPr="00C3310F">
        <w:rPr>
          <w:rFonts w:hint="eastAsia"/>
        </w:rPr>
        <w:t>對</w:t>
      </w:r>
      <w:r w:rsidRPr="00C3310F">
        <w:rPr>
          <w:rFonts w:hint="eastAsia"/>
        </w:rPr>
        <w:t>詐騙也是從重懲罰，所以犯罪者也不太敢過去。中國一樣也是從重懲罰，是依照詐騙的金額來增加刑度。</w:t>
      </w:r>
      <w:bookmarkEnd w:id="1304"/>
      <w:bookmarkEnd w:id="1305"/>
      <w:bookmarkEnd w:id="1306"/>
    </w:p>
    <w:p w14:paraId="0773C6F0" w14:textId="77777777" w:rsidR="00A77297" w:rsidRPr="00C3310F" w:rsidRDefault="00A77297" w:rsidP="00A77297">
      <w:pPr>
        <w:pStyle w:val="3"/>
      </w:pPr>
      <w:bookmarkStart w:id="1307" w:name="_Toc171525699"/>
      <w:bookmarkStart w:id="1308" w:name="_Toc172024224"/>
      <w:bookmarkStart w:id="1309" w:name="_Toc172033547"/>
      <w:r w:rsidRPr="00C3310F">
        <w:rPr>
          <w:rFonts w:hint="eastAsia"/>
        </w:rPr>
        <w:t>新加坡他們會攔住簡訊，是詐騙訊息的簡訊他們就會把他攔掉。像這種作法，</w:t>
      </w:r>
      <w:r w:rsidR="005E17A1" w:rsidRPr="00C3310F">
        <w:rPr>
          <w:rFonts w:hint="eastAsia"/>
        </w:rPr>
        <w:t>臺</w:t>
      </w:r>
      <w:r w:rsidRPr="00C3310F">
        <w:rPr>
          <w:rFonts w:hint="eastAsia"/>
        </w:rPr>
        <w:t>灣不知道能不能做到。</w:t>
      </w:r>
      <w:bookmarkEnd w:id="1307"/>
      <w:bookmarkEnd w:id="1308"/>
      <w:bookmarkEnd w:id="1309"/>
    </w:p>
    <w:p w14:paraId="7FA399C9" w14:textId="10DDB281" w:rsidR="00A77297" w:rsidRPr="00C3310F" w:rsidRDefault="00A77297" w:rsidP="00A77297">
      <w:pPr>
        <w:pStyle w:val="3"/>
      </w:pPr>
      <w:bookmarkStart w:id="1310" w:name="_Toc171525700"/>
      <w:bookmarkStart w:id="1311" w:name="_Toc172024225"/>
      <w:bookmarkStart w:id="1312" w:name="_Toc172033548"/>
      <w:r w:rsidRPr="00C3310F">
        <w:rPr>
          <w:rFonts w:hint="eastAsia"/>
        </w:rPr>
        <w:t>個資方面，我不知道委員有沒有聽過小白機，去年我們查緝過，你們的所有個資其實都在那個小白機上面，房仲業他們每個人手上都有一台，連總統、院長的資料都在裡面，什麼資料、身</w:t>
      </w:r>
      <w:r w:rsidR="00CC0350" w:rsidRPr="00C3310F">
        <w:rPr>
          <w:rFonts w:hint="eastAsia"/>
        </w:rPr>
        <w:t>分</w:t>
      </w:r>
      <w:r w:rsidRPr="00C3310F">
        <w:rPr>
          <w:rFonts w:hint="eastAsia"/>
        </w:rPr>
        <w:t>證字號、手機號碼、住家地址全部都在裡面。我們那時候進行北臺灣的大搜索，就扣了上百臺。他們房仲業私下都在賣這些東西，你們看民眾個資都流散到到什麼程度了!</w:t>
      </w:r>
      <w:bookmarkEnd w:id="1310"/>
      <w:bookmarkEnd w:id="1311"/>
      <w:bookmarkEnd w:id="1312"/>
    </w:p>
    <w:p w14:paraId="424FA17D" w14:textId="77777777" w:rsidR="00A77297" w:rsidRPr="00C3310F" w:rsidRDefault="00A77297" w:rsidP="00A77297">
      <w:pPr>
        <w:pStyle w:val="3"/>
      </w:pPr>
      <w:bookmarkStart w:id="1313" w:name="_Toc171525701"/>
      <w:bookmarkStart w:id="1314" w:name="_Toc172024226"/>
      <w:bookmarkStart w:id="1315" w:name="_Toc172033549"/>
      <w:r w:rsidRPr="00C3310F">
        <w:rPr>
          <w:rFonts w:hint="eastAsia"/>
        </w:rPr>
        <w:t>防詐我們我們也不用打高空，應該主要密集處理兩件事，一個是人頭帳戶要先降下來；第二是個資的防範要去處理。核心觀念就是，你要在臺灣做生意，你就要遵守我們國家的法律。</w:t>
      </w:r>
      <w:bookmarkEnd w:id="1313"/>
      <w:bookmarkEnd w:id="1314"/>
      <w:bookmarkEnd w:id="1315"/>
    </w:p>
    <w:p w14:paraId="03F320CA" w14:textId="77777777" w:rsidR="00A77297" w:rsidRPr="00C3310F" w:rsidRDefault="00A77297" w:rsidP="00A77297">
      <w:pPr>
        <w:pStyle w:val="3"/>
      </w:pPr>
      <w:bookmarkStart w:id="1316" w:name="_Toc171525702"/>
      <w:bookmarkStart w:id="1317" w:name="_Toc172024227"/>
      <w:bookmarkStart w:id="1318" w:name="_Toc172033550"/>
      <w:r w:rsidRPr="00C3310F">
        <w:rPr>
          <w:rFonts w:hint="eastAsia"/>
        </w:rPr>
        <w:t>再來第二個關於抓車手的科技偵查能量和偵查技術要怎麼提升，真的要請委員多多關心科技偵查</w:t>
      </w:r>
      <w:r w:rsidRPr="00C3310F">
        <w:rPr>
          <w:rFonts w:hint="eastAsia"/>
        </w:rPr>
        <w:lastRenderedPageBreak/>
        <w:t>法，有科偵法就不用派臥底，手機就可以植入木馬做臥底。沒有科偵法，我們不僅不能滲透詐騙集團，反而被詐騙集團滲透。</w:t>
      </w:r>
      <w:bookmarkEnd w:id="1316"/>
      <w:bookmarkEnd w:id="1317"/>
      <w:bookmarkEnd w:id="1318"/>
    </w:p>
    <w:p w14:paraId="213D99D6" w14:textId="77777777" w:rsidR="00A77297" w:rsidRPr="00C3310F" w:rsidRDefault="00A77297" w:rsidP="00A77297">
      <w:pPr>
        <w:pStyle w:val="3"/>
      </w:pPr>
      <w:bookmarkStart w:id="1319" w:name="_Toc171525703"/>
      <w:bookmarkStart w:id="1320" w:name="_Toc172024228"/>
      <w:bookmarkStart w:id="1321" w:name="_Toc172033551"/>
      <w:r w:rsidRPr="00C3310F">
        <w:rPr>
          <w:rFonts w:hint="eastAsia"/>
        </w:rPr>
        <w:t>我必須講有些不肖的律師已經在幫詐騙集團做串證的動作，我們目前手上已經有相關的資料在處理。</w:t>
      </w:r>
      <w:bookmarkEnd w:id="1319"/>
      <w:bookmarkEnd w:id="1320"/>
      <w:bookmarkEnd w:id="1321"/>
    </w:p>
    <w:p w14:paraId="53435FE9" w14:textId="2415C79F" w:rsidR="00A77297" w:rsidRPr="00C3310F" w:rsidRDefault="00A77297" w:rsidP="00A77297">
      <w:pPr>
        <w:pStyle w:val="3"/>
      </w:pPr>
      <w:bookmarkStart w:id="1322" w:name="_Toc171525704"/>
      <w:bookmarkStart w:id="1323" w:name="_Toc172024229"/>
      <w:bookmarkStart w:id="1324" w:name="_Toc172033552"/>
      <w:r w:rsidRPr="00C3310F">
        <w:rPr>
          <w:rFonts w:hint="eastAsia"/>
        </w:rPr>
        <w:t>虛擬貨幣很重要，目前沒有人管，而且第三方支付竟然分2億以下的由</w:t>
      </w:r>
      <w:r w:rsidR="00D82B1C" w:rsidRPr="00C3310F">
        <w:rPr>
          <w:rFonts w:hint="eastAsia"/>
        </w:rPr>
        <w:t>數發部</w:t>
      </w:r>
      <w:r w:rsidRPr="00C3310F">
        <w:rPr>
          <w:rFonts w:hint="eastAsia"/>
        </w:rPr>
        <w:t>管，2億以上由金管會這種方式在管。各位一定要瞭解地下匯兌對國家影響多大，因為地下匯兌洗錢的問題，會直接作為總統大選介選的資金。我們一旦放手會動搖到民主和選舉制度。</w:t>
      </w:r>
      <w:bookmarkEnd w:id="1322"/>
      <w:bookmarkEnd w:id="1323"/>
      <w:bookmarkEnd w:id="1324"/>
    </w:p>
    <w:p w14:paraId="5AC35E2F" w14:textId="77777777" w:rsidR="00A77297" w:rsidRPr="00C3310F" w:rsidRDefault="00A77297" w:rsidP="00A77297">
      <w:pPr>
        <w:pStyle w:val="3"/>
      </w:pPr>
      <w:bookmarkStart w:id="1325" w:name="_Toc171525705"/>
      <w:bookmarkStart w:id="1326" w:name="_Toc172024230"/>
      <w:bookmarkStart w:id="1327" w:name="_Toc172033553"/>
      <w:r w:rsidRPr="00C3310F">
        <w:rPr>
          <w:rFonts w:hint="eastAsia"/>
        </w:rPr>
        <w:t>據我所知美國的某些州已經要求虛擬貨幣業者必須要經過登記，之後去列冊管理，才可以做貨幣買賣。</w:t>
      </w:r>
      <w:bookmarkEnd w:id="1325"/>
      <w:bookmarkEnd w:id="1326"/>
      <w:bookmarkEnd w:id="1327"/>
    </w:p>
    <w:p w14:paraId="14012A89" w14:textId="478E4721" w:rsidR="00A77297" w:rsidRPr="00C3310F" w:rsidRDefault="00A77297" w:rsidP="00A77297">
      <w:pPr>
        <w:pStyle w:val="2"/>
      </w:pPr>
      <w:bookmarkStart w:id="1328" w:name="_Toc171525706"/>
      <w:bookmarkStart w:id="1329" w:name="_Toc172024231"/>
      <w:bookmarkStart w:id="1330" w:name="_Toc172033554"/>
      <w:r w:rsidRPr="00C3310F">
        <w:rPr>
          <w:rFonts w:hint="eastAsia"/>
        </w:rPr>
        <w:t>警政署 曾</w:t>
      </w:r>
      <w:r w:rsidR="001973EA" w:rsidRPr="00C3310F">
        <w:rPr>
          <w:rFonts w:ascii="新細明體" w:eastAsia="新細明體" w:hAnsi="新細明體" w:hint="eastAsia"/>
        </w:rPr>
        <w:t>〇</w:t>
      </w:r>
      <w:r w:rsidRPr="00C3310F">
        <w:rPr>
          <w:rFonts w:hint="eastAsia"/>
        </w:rPr>
        <w:t>芬專員</w:t>
      </w:r>
      <w:bookmarkEnd w:id="1328"/>
      <w:bookmarkEnd w:id="1329"/>
      <w:bookmarkEnd w:id="1330"/>
    </w:p>
    <w:p w14:paraId="0BC98E1C" w14:textId="24FF3820" w:rsidR="00A77297" w:rsidRPr="00C3310F" w:rsidRDefault="00A77297" w:rsidP="00A77297">
      <w:pPr>
        <w:pStyle w:val="3"/>
      </w:pPr>
      <w:bookmarkStart w:id="1331" w:name="_Toc171525707"/>
      <w:bookmarkStart w:id="1332" w:name="_Toc172024232"/>
      <w:bookmarkStart w:id="1333" w:name="_Toc172033555"/>
      <w:r w:rsidRPr="00C3310F">
        <w:rPr>
          <w:rFonts w:hint="eastAsia"/>
        </w:rPr>
        <w:t>受害者覺得他錢追不回來，有些人就根本不想報案，其實目前的狀況</w:t>
      </w:r>
      <w:r w:rsidR="0071783A" w:rsidRPr="00C3310F">
        <w:rPr>
          <w:rFonts w:hint="eastAsia"/>
        </w:rPr>
        <w:t>就</w:t>
      </w:r>
      <w:r w:rsidRPr="00C3310F">
        <w:rPr>
          <w:rFonts w:hint="eastAsia"/>
        </w:rPr>
        <w:t>是這樣。</w:t>
      </w:r>
      <w:bookmarkEnd w:id="1331"/>
      <w:bookmarkEnd w:id="1332"/>
      <w:bookmarkEnd w:id="1333"/>
    </w:p>
    <w:p w14:paraId="4E5D6E76" w14:textId="6DEC1DF1" w:rsidR="00A77297" w:rsidRPr="00C3310F" w:rsidRDefault="00A77297" w:rsidP="00A77297">
      <w:pPr>
        <w:pStyle w:val="3"/>
      </w:pPr>
      <w:bookmarkStart w:id="1334" w:name="_Toc171525708"/>
      <w:bookmarkStart w:id="1335" w:name="_Toc172024233"/>
      <w:bookmarkStart w:id="1336" w:name="_Toc172033556"/>
      <w:r w:rsidRPr="00C3310F">
        <w:rPr>
          <w:rFonts w:hint="eastAsia"/>
        </w:rPr>
        <w:t>檢察官跟警察在後面苦苦的追趕，因為犯罪手法是不斷翻新的，犯罪手法會結合最新的科技，然後不斷的演變，</w:t>
      </w:r>
      <w:r w:rsidR="0071783A" w:rsidRPr="00C3310F">
        <w:rPr>
          <w:rFonts w:hint="eastAsia"/>
        </w:rPr>
        <w:t>這就是為何目</w:t>
      </w:r>
      <w:r w:rsidRPr="00C3310F">
        <w:rPr>
          <w:rFonts w:hint="eastAsia"/>
        </w:rPr>
        <w:t>前為止在斷源的部分，其實還是很難達到</w:t>
      </w:r>
      <w:bookmarkEnd w:id="1334"/>
      <w:bookmarkEnd w:id="1335"/>
      <w:bookmarkEnd w:id="1336"/>
    </w:p>
    <w:p w14:paraId="716377BC" w14:textId="77777777" w:rsidR="00A77297" w:rsidRPr="00C3310F" w:rsidRDefault="00A77297" w:rsidP="00A77297">
      <w:pPr>
        <w:pStyle w:val="3"/>
      </w:pPr>
      <w:bookmarkStart w:id="1337" w:name="_Toc171525709"/>
      <w:bookmarkStart w:id="1338" w:name="_Toc172024234"/>
      <w:bookmarkStart w:id="1339" w:name="_Toc172033557"/>
      <w:r w:rsidRPr="00C3310F">
        <w:rPr>
          <w:rFonts w:hint="eastAsia"/>
        </w:rPr>
        <w:t>從前面金流部分，如果銀行端發現這個帳戶有問題就凍結，把錢卡住的話，他們領不到錢，就斷了他們的生路。</w:t>
      </w:r>
      <w:bookmarkEnd w:id="1337"/>
      <w:bookmarkEnd w:id="1338"/>
      <w:bookmarkEnd w:id="1339"/>
    </w:p>
    <w:p w14:paraId="0FF56375" w14:textId="043B83FE" w:rsidR="00A77297" w:rsidRPr="00C3310F" w:rsidRDefault="00A77297" w:rsidP="00A77297">
      <w:pPr>
        <w:pStyle w:val="3"/>
      </w:pPr>
      <w:bookmarkStart w:id="1340" w:name="_Toc171525710"/>
      <w:bookmarkStart w:id="1341" w:name="_Toc172024235"/>
      <w:bookmarkStart w:id="1342" w:name="_Toc172033558"/>
      <w:r w:rsidRPr="00C3310F">
        <w:rPr>
          <w:rFonts w:hint="eastAsia"/>
        </w:rPr>
        <w:t>金管會是不是可以課責銀行，問題帳戶不要讓他們申請，或是罰錢之類的。</w:t>
      </w:r>
      <w:bookmarkEnd w:id="1340"/>
      <w:bookmarkEnd w:id="1341"/>
      <w:bookmarkEnd w:id="1342"/>
    </w:p>
    <w:p w14:paraId="53F5323B" w14:textId="6BE10B01" w:rsidR="00A77297" w:rsidRPr="00C3310F" w:rsidRDefault="00A77297" w:rsidP="00A77297">
      <w:pPr>
        <w:pStyle w:val="3"/>
      </w:pPr>
      <w:bookmarkStart w:id="1343" w:name="_Toc171525711"/>
      <w:bookmarkStart w:id="1344" w:name="_Toc172024236"/>
      <w:bookmarkStart w:id="1345" w:name="_Toc172033559"/>
      <w:r w:rsidRPr="00C3310F">
        <w:rPr>
          <w:rFonts w:hint="eastAsia"/>
        </w:rPr>
        <w:t>從電信流跟金融業這邊去追源頭，是比較實際的，比檢警從後面追直接多了，後面檢警真的花太多心</w:t>
      </w:r>
      <w:r w:rsidRPr="00C3310F">
        <w:rPr>
          <w:rFonts w:hint="eastAsia"/>
        </w:rPr>
        <w:lastRenderedPageBreak/>
        <w:t>力，快被壓垮了。</w:t>
      </w:r>
      <w:bookmarkEnd w:id="1343"/>
      <w:bookmarkEnd w:id="1344"/>
      <w:bookmarkEnd w:id="1345"/>
    </w:p>
    <w:p w14:paraId="0094DA27" w14:textId="77777777" w:rsidR="00A77297" w:rsidRPr="00C3310F" w:rsidRDefault="004172ED" w:rsidP="00A77297">
      <w:pPr>
        <w:pStyle w:val="2"/>
      </w:pPr>
      <w:r w:rsidRPr="00C3310F">
        <w:rPr>
          <w:rFonts w:hint="eastAsia"/>
        </w:rPr>
        <w:t>金流面 學者專家</w:t>
      </w:r>
    </w:p>
    <w:p w14:paraId="6981C00A" w14:textId="2AF34B59" w:rsidR="00A77297" w:rsidRPr="00C3310F" w:rsidRDefault="00A77297" w:rsidP="00A77297">
      <w:pPr>
        <w:pStyle w:val="3"/>
      </w:pPr>
      <w:bookmarkStart w:id="1346" w:name="_Toc171525714"/>
      <w:bookmarkStart w:id="1347" w:name="_Toc172024239"/>
      <w:bookmarkStart w:id="1348" w:name="_Toc172033562"/>
      <w:r w:rsidRPr="00C3310F">
        <w:rPr>
          <w:rFonts w:hint="eastAsia"/>
        </w:rPr>
        <w:t>打詐綱領1.5版重點都放在後端，但是反詐是跟</w:t>
      </w:r>
      <w:r w:rsidR="00D02E8B" w:rsidRPr="00C3310F">
        <w:t>COVID</w:t>
      </w:r>
      <w:r w:rsidRPr="00C3310F">
        <w:rPr>
          <w:rFonts w:hint="eastAsia"/>
        </w:rPr>
        <w:t>-19一樣，它絕對不是大家全部去臺大加護病房，而是全面都要戴口罩。如果打詐綱領都在說要增加刑罰等等，檢察官、法官那個工作量真的壓垮。都是加班加到滿，去幫被告和犯罪集團寫一大堆附表。所以一定要整個往前推，所以這個是我認為現在的整個政策一直放在後端會產生的問題。</w:t>
      </w:r>
      <w:bookmarkEnd w:id="1346"/>
      <w:bookmarkEnd w:id="1347"/>
      <w:bookmarkEnd w:id="1348"/>
    </w:p>
    <w:p w14:paraId="31B1307A" w14:textId="77777777" w:rsidR="00A77297" w:rsidRPr="00C3310F" w:rsidRDefault="00A77297" w:rsidP="00A77297">
      <w:pPr>
        <w:pStyle w:val="3"/>
      </w:pPr>
      <w:bookmarkStart w:id="1349" w:name="_Toc171525715"/>
      <w:bookmarkStart w:id="1350" w:name="_Toc172024240"/>
      <w:bookmarkStart w:id="1351" w:name="_Toc172033563"/>
      <w:r w:rsidRPr="00C3310F">
        <w:rPr>
          <w:rFonts w:hint="eastAsia"/>
        </w:rPr>
        <w:t>前端要想的，就是詐騙集團他其實要錢，那錢在誰的手上?</w:t>
      </w:r>
      <w:bookmarkEnd w:id="1349"/>
      <w:bookmarkEnd w:id="1350"/>
      <w:bookmarkEnd w:id="1351"/>
      <w:r w:rsidR="00BD1A8F" w:rsidRPr="00C3310F">
        <w:rPr>
          <w:rFonts w:hint="eastAsia"/>
        </w:rPr>
        <w:t>銀行嘛!</w:t>
      </w:r>
    </w:p>
    <w:p w14:paraId="759D8C63" w14:textId="77777777" w:rsidR="00A77297" w:rsidRPr="00C3310F" w:rsidRDefault="00A77297" w:rsidP="00A77297">
      <w:pPr>
        <w:pStyle w:val="3"/>
      </w:pPr>
      <w:bookmarkStart w:id="1352" w:name="_Toc171525716"/>
      <w:bookmarkStart w:id="1353" w:name="_Toc172024241"/>
      <w:bookmarkStart w:id="1354" w:name="_Toc172033564"/>
      <w:r w:rsidRPr="00C3310F">
        <w:rPr>
          <w:rFonts w:hint="eastAsia"/>
        </w:rPr>
        <w:t>以往人流物流都管得非常好，但是整個時代因為科技的變化，現在真正的重點在金流跟資訊流，那就是金融機構跟電信業，所以人流跟物流現在其實我們都規管的沒有問題，哪裡都要身分證啊。</w:t>
      </w:r>
      <w:bookmarkEnd w:id="1352"/>
      <w:bookmarkEnd w:id="1353"/>
      <w:bookmarkEnd w:id="1354"/>
    </w:p>
    <w:p w14:paraId="381FAA86" w14:textId="77777777" w:rsidR="00A77297" w:rsidRPr="00C3310F" w:rsidRDefault="00A77297" w:rsidP="00A77297">
      <w:pPr>
        <w:pStyle w:val="3"/>
      </w:pPr>
      <w:bookmarkStart w:id="1355" w:name="_Toc171525717"/>
      <w:bookmarkStart w:id="1356" w:name="_Toc172024242"/>
      <w:bookmarkStart w:id="1357" w:name="_Toc172033565"/>
      <w:r w:rsidRPr="00C3310F">
        <w:rPr>
          <w:rFonts w:hint="eastAsia"/>
        </w:rPr>
        <w:t>但是金流跟資訊流其實是沒有規管的；就金流來講，金流的部分有二個點，一個是金融機構不覺得防詐是它的事，它的想法是我是幫忙嘛。那為什麼他這樣想，他的想法就是說這都是檢警調的事，那講來講去，他高層其實不關心，所以各位委員，如果你們去看我們現在所有金融機構的董事會都沒有討論這(反詐騙)問題，ESG，其實這(反詐騙)就是最好的ESG的社會責任，但是從來沒有任何董事會討論反詐騙，社會責任都在討論放產假、有沒有給最低工資等等，其實如果要求ESG納入反詐騙去計分，那個對金融機構來講，那個壓力就很大，它的股價受影響。</w:t>
      </w:r>
      <w:bookmarkEnd w:id="1355"/>
      <w:bookmarkEnd w:id="1356"/>
      <w:bookmarkEnd w:id="1357"/>
    </w:p>
    <w:p w14:paraId="31DDBA8F" w14:textId="77777777" w:rsidR="00A77297" w:rsidRPr="00C3310F" w:rsidRDefault="00A77297" w:rsidP="00A77297">
      <w:pPr>
        <w:pStyle w:val="3"/>
      </w:pPr>
      <w:bookmarkStart w:id="1358" w:name="_Toc171525718"/>
      <w:bookmarkStart w:id="1359" w:name="_Toc172024243"/>
      <w:bookmarkStart w:id="1360" w:name="_Toc172033566"/>
      <w:r w:rsidRPr="00C3310F">
        <w:rPr>
          <w:rFonts w:hint="eastAsia"/>
        </w:rPr>
        <w:t>高層主要重視業績和獲利，這都反映在股價上，所以之前證交所有一個承辦人在講說，他們現在要做</w:t>
      </w:r>
      <w:r w:rsidRPr="00C3310F">
        <w:rPr>
          <w:rFonts w:hint="eastAsia"/>
        </w:rPr>
        <w:lastRenderedPageBreak/>
        <w:t>模型，換算金融機構的ESG給外資做投資的考量，看要如何使防詐變成模型的一部分；我覺得這是一個比較好發展的方向，就是說你一定要讓金融機構知道這就是他的責任。</w:t>
      </w:r>
      <w:bookmarkEnd w:id="1358"/>
      <w:bookmarkEnd w:id="1359"/>
      <w:bookmarkEnd w:id="1360"/>
    </w:p>
    <w:p w14:paraId="224ADEA9" w14:textId="78FB6683" w:rsidR="00A77297" w:rsidRPr="00C3310F" w:rsidRDefault="00A77297" w:rsidP="00A77297">
      <w:pPr>
        <w:pStyle w:val="3"/>
      </w:pPr>
      <w:bookmarkStart w:id="1361" w:name="_Toc171525719"/>
      <w:bookmarkStart w:id="1362" w:name="_Toc172024244"/>
      <w:bookmarkStart w:id="1363" w:name="_Toc172033567"/>
      <w:r w:rsidRPr="00C3310F">
        <w:rPr>
          <w:rFonts w:hint="eastAsia"/>
        </w:rPr>
        <w:t>第二個是金流會經過的不是只有金融機構，他現在全部都轉移到外面去了，也就是第三方支付跟虛擬貨幣平臺，這二個我們政府都聽起來是有主管機關，但是如果你去問他，他是從來沒有檢查；也就是說你去問他虛擬貨幣是金管會管理，</w:t>
      </w:r>
      <w:r w:rsidR="00BD1A8F" w:rsidRPr="00C3310F">
        <w:rPr>
          <w:rFonts w:hint="eastAsia"/>
        </w:rPr>
        <w:t>有</w:t>
      </w:r>
      <w:r w:rsidRPr="00C3310F">
        <w:rPr>
          <w:rFonts w:hint="eastAsia"/>
        </w:rPr>
        <w:t>沒有金檢過</w:t>
      </w:r>
      <w:r w:rsidR="00BD1A8F" w:rsidRPr="00C3310F">
        <w:rPr>
          <w:rFonts w:hint="eastAsia"/>
        </w:rPr>
        <w:t>?</w:t>
      </w:r>
      <w:r w:rsidRPr="00C3310F">
        <w:rPr>
          <w:rFonts w:hint="eastAsia"/>
        </w:rPr>
        <w:t>從來沒有</w:t>
      </w:r>
      <w:r w:rsidR="00BD1A8F" w:rsidRPr="00C3310F">
        <w:rPr>
          <w:rFonts w:hint="eastAsia"/>
        </w:rPr>
        <w:t>。</w:t>
      </w:r>
      <w:r w:rsidRPr="00C3310F">
        <w:rPr>
          <w:rFonts w:hint="eastAsia"/>
        </w:rPr>
        <w:t>第三方支付是經濟部管，我們的法條也規定他要檢查，但是他從來沒有檢查。洗防辦公室報告說2021年詐騙就700億，但今(2023)年光上半年就1400億，那一定是透過金融機構大家一起幫忙洗，要洗這麼大量的錢，這三個點(銀行、虛擬貨幣、第三方支付)就沒有看到防範措施嘛。</w:t>
      </w:r>
      <w:bookmarkEnd w:id="1361"/>
      <w:bookmarkEnd w:id="1362"/>
      <w:bookmarkEnd w:id="1363"/>
    </w:p>
    <w:p w14:paraId="2D4CC3A6" w14:textId="499DB564" w:rsidR="00A77297" w:rsidRPr="00C3310F" w:rsidRDefault="00A77297" w:rsidP="00A77297">
      <w:pPr>
        <w:pStyle w:val="3"/>
      </w:pPr>
      <w:bookmarkStart w:id="1364" w:name="_Toc171525720"/>
      <w:bookmarkStart w:id="1365" w:name="_Toc172024245"/>
      <w:bookmarkStart w:id="1366" w:name="_Toc172033568"/>
      <w:bookmarkStart w:id="1367" w:name="_Hlk170371795"/>
      <w:r w:rsidRPr="00C3310F">
        <w:rPr>
          <w:rFonts w:hint="eastAsia"/>
        </w:rPr>
        <w:t>最後一個要講的就是，臺灣因為是以經濟立國，所以我們很重視公司的發展，我們現在有86萬的公司，但有四</w:t>
      </w:r>
      <w:r w:rsidR="009D00AE" w:rsidRPr="00C3310F">
        <w:rPr>
          <w:rFonts w:hint="eastAsia"/>
        </w:rPr>
        <w:t>分</w:t>
      </w:r>
      <w:r w:rsidRPr="00C3310F">
        <w:rPr>
          <w:rFonts w:hint="eastAsia"/>
        </w:rPr>
        <w:t>之一都是假公司，所以我自己的預測，從明年開始所有的人頭帳戶，會轉到法人戶。因為現在金融機構全都在防個人戶。</w:t>
      </w:r>
      <w:bookmarkEnd w:id="1364"/>
      <w:bookmarkEnd w:id="1365"/>
      <w:bookmarkEnd w:id="1366"/>
    </w:p>
    <w:p w14:paraId="74FA915E" w14:textId="77777777" w:rsidR="00A77297" w:rsidRPr="00C3310F" w:rsidRDefault="00A77297" w:rsidP="00A77297">
      <w:pPr>
        <w:pStyle w:val="3"/>
      </w:pPr>
      <w:bookmarkStart w:id="1368" w:name="_Toc171525721"/>
      <w:bookmarkStart w:id="1369" w:name="_Toc172024246"/>
      <w:bookmarkStart w:id="1370" w:name="_Toc172033569"/>
      <w:r w:rsidRPr="00C3310F">
        <w:rPr>
          <w:rFonts w:hint="eastAsia"/>
        </w:rPr>
        <w:t>個人戶現在慢慢減少，那我們每天都在看嘛，現在全部都是法人，他們都去收購歇業的公司，那歇業的公司都沒有人管，因為經濟部也沒有任何的查核，可是法律有規定他要查核，那所以我我講的這幾個，都是我們國家法規其實都有點到，但就是都沒有落實</w:t>
      </w:r>
      <w:bookmarkEnd w:id="1367"/>
      <w:r w:rsidRPr="00C3310F">
        <w:rPr>
          <w:rFonts w:hint="eastAsia"/>
        </w:rPr>
        <w:t>。</w:t>
      </w:r>
      <w:bookmarkEnd w:id="1368"/>
      <w:bookmarkEnd w:id="1369"/>
      <w:bookmarkEnd w:id="1370"/>
    </w:p>
    <w:p w14:paraId="7A2711AB" w14:textId="62269EC3" w:rsidR="00A77297" w:rsidRPr="00C3310F" w:rsidRDefault="00A77297" w:rsidP="00A77297">
      <w:pPr>
        <w:pStyle w:val="3"/>
      </w:pPr>
      <w:bookmarkStart w:id="1371" w:name="_Toc171525723"/>
      <w:bookmarkStart w:id="1372" w:name="_Toc172024248"/>
      <w:bookmarkStart w:id="1373" w:name="_Toc172033571"/>
      <w:r w:rsidRPr="00C3310F">
        <w:rPr>
          <w:rFonts w:hint="eastAsia"/>
        </w:rPr>
        <w:t>其實主管機關是重視的，只是藥下不夠重，在洗錢防制上面，早先的時候</w:t>
      </w:r>
      <w:r w:rsidR="00BD1A8F" w:rsidRPr="00C3310F">
        <w:rPr>
          <w:rFonts w:hint="eastAsia"/>
        </w:rPr>
        <w:t>金融機構</w:t>
      </w:r>
      <w:r w:rsidRPr="00C3310F">
        <w:rPr>
          <w:rFonts w:hint="eastAsia"/>
        </w:rPr>
        <w:t>是非常非常排斥的，洗錢防</w:t>
      </w:r>
      <w:r w:rsidR="00D02E8B" w:rsidRPr="00C3310F">
        <w:rPr>
          <w:rFonts w:hint="eastAsia"/>
        </w:rPr>
        <w:t>制</w:t>
      </w:r>
      <w:r w:rsidRPr="00C3310F">
        <w:rPr>
          <w:rFonts w:hint="eastAsia"/>
        </w:rPr>
        <w:t>給金融機構帶來了很多的不方便，同</w:t>
      </w:r>
      <w:r w:rsidRPr="00C3310F">
        <w:rPr>
          <w:rFonts w:hint="eastAsia"/>
        </w:rPr>
        <w:lastRenderedPageBreak/>
        <w:t>時影響到他們的業績；那國外的經驗呢，那當然在洗錢的方式上面，如果金融機構不配合的話，當然就是從金融機構的商譽著手，讓他受到傷害，那麼金融機構自然會得到這樣子的教訓，像最近上海商業銀行洩漏大筆的個資，會處罰1</w:t>
      </w:r>
      <w:r w:rsidR="002375EF" w:rsidRPr="00C3310F">
        <w:t>,</w:t>
      </w:r>
      <w:r w:rsidRPr="00C3310F">
        <w:rPr>
          <w:rFonts w:hint="eastAsia"/>
        </w:rPr>
        <w:t>500萬，那我相信這個就是一個很好的一個例子。</w:t>
      </w:r>
      <w:bookmarkEnd w:id="1371"/>
      <w:bookmarkEnd w:id="1372"/>
      <w:bookmarkEnd w:id="1373"/>
    </w:p>
    <w:p w14:paraId="47DDC9CD" w14:textId="77777777" w:rsidR="00A77297" w:rsidRPr="00C3310F" w:rsidRDefault="00A77297" w:rsidP="00A77297">
      <w:pPr>
        <w:pStyle w:val="3"/>
      </w:pPr>
      <w:bookmarkStart w:id="1374" w:name="_Toc171525724"/>
      <w:bookmarkStart w:id="1375" w:name="_Toc172024249"/>
      <w:bookmarkStart w:id="1376" w:name="_Toc172033572"/>
      <w:r w:rsidRPr="00C3310F">
        <w:rPr>
          <w:rFonts w:hint="eastAsia"/>
        </w:rPr>
        <w:t>你要金融機構配合，就是棍子跟蘿蔔，金融機構他一定要賺錢，所以要用賺錢去引導他，譬如說限制他業務，那像現在總經理減薪，副總經理減薪，這個都是最近主管機關有宣示，金融機構會怕。主管機關罰他200萬他不怕，他1年賺4、5百億，他怎麼會怕200萬，但是你影響他業務、賺錢或拓展新業務，你公司治理評鑑打下去，高管要負責任，對金融機構來說就很可怕。</w:t>
      </w:r>
      <w:bookmarkEnd w:id="1374"/>
      <w:bookmarkEnd w:id="1375"/>
      <w:bookmarkEnd w:id="1376"/>
    </w:p>
    <w:p w14:paraId="2293A0E8" w14:textId="1F9D9AA0" w:rsidR="00A77297" w:rsidRPr="00C3310F" w:rsidRDefault="00A77297" w:rsidP="00A77297">
      <w:pPr>
        <w:pStyle w:val="3"/>
      </w:pPr>
      <w:bookmarkStart w:id="1377" w:name="_Toc171525725"/>
      <w:bookmarkStart w:id="1378" w:name="_Toc172024250"/>
      <w:bookmarkStart w:id="1379" w:name="_Toc172033573"/>
      <w:r w:rsidRPr="00C3310F">
        <w:rPr>
          <w:rFonts w:hint="eastAsia"/>
        </w:rPr>
        <w:t>現在那個金融機構都是在公佈說阻詐的成績很好，還頒獎給它，其實這個都是基層行員在阻攔被害人；但國內有個名單從來沒公</w:t>
      </w:r>
      <w:r w:rsidR="00D02E8B" w:rsidRPr="00C3310F">
        <w:rPr>
          <w:rFonts w:hint="eastAsia"/>
        </w:rPr>
        <w:t>布</w:t>
      </w:r>
      <w:r w:rsidRPr="00C3310F">
        <w:rPr>
          <w:rFonts w:hint="eastAsia"/>
        </w:rPr>
        <w:t>過，就是金融機構內部警示帳戶的數量，也就是詐騙集團最喜歡收購哪些機構的帳戶，詐騙集團之所以喜歡收購某些機構，就是因為這些帳戶好用，機構都不控管，錢進進出出都沒在攔的，這個名單立委早就請大家提，但是從來沒有提，因為一提就影響商譽；然後再來提了，主管機關要不要罰?</w:t>
      </w:r>
      <w:bookmarkEnd w:id="1377"/>
      <w:bookmarkEnd w:id="1378"/>
      <w:bookmarkEnd w:id="1379"/>
    </w:p>
    <w:p w14:paraId="1490992F" w14:textId="5C5C9ECF" w:rsidR="00A77297" w:rsidRPr="00C3310F" w:rsidRDefault="00A77297" w:rsidP="00A77297">
      <w:pPr>
        <w:pStyle w:val="3"/>
      </w:pPr>
      <w:bookmarkStart w:id="1380" w:name="_Toc171525726"/>
      <w:bookmarkStart w:id="1381" w:name="_Toc172024251"/>
      <w:bookmarkStart w:id="1382" w:name="_Toc172033574"/>
      <w:r w:rsidRPr="00C3310F">
        <w:rPr>
          <w:rFonts w:hint="eastAsia"/>
        </w:rPr>
        <w:t>雖然詐騙集團金流現在一直往外，但第</w:t>
      </w:r>
      <w:r w:rsidR="009D00AE" w:rsidRPr="00C3310F">
        <w:rPr>
          <w:rFonts w:hint="eastAsia"/>
        </w:rPr>
        <w:t>三</w:t>
      </w:r>
      <w:r w:rsidRPr="00C3310F">
        <w:rPr>
          <w:rFonts w:hint="eastAsia"/>
        </w:rPr>
        <w:t>方支付和地下匯兌最終還是要回到銀行來運作，原因是走地下匯兌錢會被吃掉而且出金費用很高，但是在銀行的話，錢不會被吃掉，手續費又低，兩相比較下，詐騙金流最終其實是會回來金融機構。</w:t>
      </w:r>
      <w:bookmarkEnd w:id="1380"/>
      <w:bookmarkEnd w:id="1381"/>
      <w:bookmarkEnd w:id="1382"/>
    </w:p>
    <w:p w14:paraId="0A515CB2" w14:textId="68455512" w:rsidR="00A77297" w:rsidRPr="00C3310F" w:rsidRDefault="00A77297" w:rsidP="00A77297">
      <w:pPr>
        <w:pStyle w:val="3"/>
      </w:pPr>
      <w:bookmarkStart w:id="1383" w:name="_Toc171525727"/>
      <w:bookmarkStart w:id="1384" w:name="_Toc172024252"/>
      <w:bookmarkStart w:id="1385" w:name="_Toc172033575"/>
      <w:r w:rsidRPr="00C3310F">
        <w:rPr>
          <w:rFonts w:hint="eastAsia"/>
        </w:rPr>
        <w:t>還有一個東西是調查局</w:t>
      </w:r>
      <w:r w:rsidR="009D00AE" w:rsidRPr="00C3310F">
        <w:rPr>
          <w:rFonts w:hint="eastAsia"/>
        </w:rPr>
        <w:t>洗錢防</w:t>
      </w:r>
      <w:r w:rsidR="00D02E8B" w:rsidRPr="00C3310F">
        <w:rPr>
          <w:rFonts w:hint="eastAsia"/>
        </w:rPr>
        <w:t>制</w:t>
      </w:r>
      <w:r w:rsidR="009D00AE" w:rsidRPr="00C3310F">
        <w:rPr>
          <w:rFonts w:hint="eastAsia"/>
        </w:rPr>
        <w:t>處</w:t>
      </w:r>
      <w:r w:rsidRPr="00C3310F">
        <w:rPr>
          <w:rFonts w:hint="eastAsia"/>
        </w:rPr>
        <w:t>，現在全部臺</w:t>
      </w:r>
      <w:r w:rsidRPr="00C3310F">
        <w:rPr>
          <w:rFonts w:hint="eastAsia"/>
        </w:rPr>
        <w:lastRenderedPageBreak/>
        <w:t>灣39家機構去掉外商，就是34家的合夥銀行，它所有每天看到異常的金流，都會通報到調查局洗錢防</w:t>
      </w:r>
      <w:r w:rsidR="00D02E8B" w:rsidRPr="00C3310F">
        <w:rPr>
          <w:rFonts w:hint="eastAsia"/>
        </w:rPr>
        <w:t>制</w:t>
      </w:r>
      <w:r w:rsidRPr="00C3310F">
        <w:rPr>
          <w:rFonts w:hint="eastAsia"/>
        </w:rPr>
        <w:t>處，但是委員你們可以瞭解一下，調查局洗錢防</w:t>
      </w:r>
      <w:r w:rsidR="00D02E8B" w:rsidRPr="00C3310F">
        <w:rPr>
          <w:rFonts w:hint="eastAsia"/>
        </w:rPr>
        <w:t>制</w:t>
      </w:r>
      <w:r w:rsidRPr="00C3310F">
        <w:rPr>
          <w:rFonts w:hint="eastAsia"/>
        </w:rPr>
        <w:t>處有沒有送詐騙案出來?就我所知是沒有。為什麼沒有，就是因為案子太多了，到最後乾脆不通報，錢就在人頭帳戶流來流去。</w:t>
      </w:r>
      <w:bookmarkEnd w:id="1383"/>
      <w:bookmarkEnd w:id="1384"/>
      <w:bookmarkEnd w:id="1385"/>
    </w:p>
    <w:p w14:paraId="6E5DCA1D" w14:textId="3B82A854" w:rsidR="00A77297" w:rsidRPr="00C3310F" w:rsidRDefault="00A77297" w:rsidP="00A77297">
      <w:pPr>
        <w:pStyle w:val="3"/>
      </w:pPr>
      <w:bookmarkStart w:id="1386" w:name="_Toc171525728"/>
      <w:bookmarkStart w:id="1387" w:name="_Toc172024253"/>
      <w:bookmarkStart w:id="1388" w:name="_Toc172033576"/>
      <w:r w:rsidRPr="00C3310F">
        <w:rPr>
          <w:rFonts w:hint="eastAsia"/>
        </w:rPr>
        <w:t>金融機構也要增加科技的運用，現在行員就兩隻眼睛，每一次主管機關增加一種洗錢防</w:t>
      </w:r>
      <w:r w:rsidR="00D02E8B" w:rsidRPr="00C3310F">
        <w:rPr>
          <w:rFonts w:hint="eastAsia"/>
        </w:rPr>
        <w:t>制</w:t>
      </w:r>
      <w:r w:rsidRPr="00C3310F">
        <w:rPr>
          <w:rFonts w:hint="eastAsia"/>
        </w:rPr>
        <w:t>或者防詐態樣，內部的報表就增加十項，機構</w:t>
      </w:r>
      <w:r w:rsidR="009D00AE" w:rsidRPr="00C3310F">
        <w:rPr>
          <w:rFonts w:hint="eastAsia"/>
        </w:rPr>
        <w:t>3</w:t>
      </w:r>
      <w:r w:rsidRPr="00C3310F">
        <w:rPr>
          <w:rFonts w:hint="eastAsia"/>
        </w:rPr>
        <w:t>點</w:t>
      </w:r>
      <w:r w:rsidR="009D00AE" w:rsidRPr="00C3310F">
        <w:rPr>
          <w:rFonts w:hint="eastAsia"/>
        </w:rPr>
        <w:t>30分</w:t>
      </w:r>
      <w:r w:rsidRPr="00C3310F">
        <w:rPr>
          <w:rFonts w:hint="eastAsia"/>
        </w:rPr>
        <w:t>關門以後，你知道他要看的報表有多少嗎?</w:t>
      </w:r>
      <w:r w:rsidRPr="00C3310F">
        <w:rPr>
          <w:rFonts w:hAnsi="標楷體" w:cstheme="minorBidi" w:hint="eastAsia"/>
          <w:kern w:val="2"/>
          <w:sz w:val="28"/>
          <w:szCs w:val="28"/>
          <w14:ligatures w14:val="standardContextual"/>
        </w:rPr>
        <w:t xml:space="preserve"> </w:t>
      </w:r>
      <w:r w:rsidRPr="00C3310F">
        <w:rPr>
          <w:rFonts w:hint="eastAsia"/>
        </w:rPr>
        <w:t>我們一個行員沒有科技的時候，關起門要看400多件，他3點半到晚上10點半之間怎麼可能看400多件?他會看得出來嗎?可是我們一運用科技以後，他關起門只要看兩件，差別非常大。這就是為什麼我們運用科技以後警示帳戶會一直降，每年都降20</w:t>
      </w:r>
      <w:r w:rsidRPr="00C3310F">
        <w:t>%</w:t>
      </w:r>
      <w:r w:rsidRPr="00C3310F">
        <w:rPr>
          <w:rFonts w:hint="eastAsia"/>
        </w:rPr>
        <w:t>，所以我們就是要鼓勵他用科技，否則行員只是照章辦事嘛，你主管機關一直叫我阻詐，我就叫行員做，行員做得很累，就給他頒獎，這樣子做一直循環，其實就不會有效果。</w:t>
      </w:r>
      <w:bookmarkEnd w:id="1386"/>
      <w:bookmarkEnd w:id="1387"/>
      <w:bookmarkEnd w:id="1388"/>
    </w:p>
    <w:p w14:paraId="1F1FB63E" w14:textId="77777777" w:rsidR="00A77297" w:rsidRPr="00C3310F" w:rsidRDefault="00A77297" w:rsidP="00A77297">
      <w:pPr>
        <w:pStyle w:val="3"/>
      </w:pPr>
      <w:bookmarkStart w:id="1389" w:name="_Toc171525729"/>
      <w:bookmarkStart w:id="1390" w:name="_Toc172024254"/>
      <w:bookmarkStart w:id="1391" w:name="_Toc172033577"/>
      <w:r w:rsidRPr="00C3310F">
        <w:rPr>
          <w:rFonts w:hint="eastAsia"/>
        </w:rPr>
        <w:t>金管會是要針對這個業者來做約談，我第一次先給警告，第二次如果銀行還是不理，那就開始部分停業或業務限制。</w:t>
      </w:r>
      <w:bookmarkEnd w:id="1389"/>
      <w:bookmarkEnd w:id="1390"/>
      <w:bookmarkEnd w:id="1391"/>
    </w:p>
    <w:p w14:paraId="1E9F3E2B" w14:textId="77777777" w:rsidR="00A77297" w:rsidRPr="00C3310F" w:rsidRDefault="00A77297" w:rsidP="00A77297">
      <w:pPr>
        <w:pStyle w:val="3"/>
      </w:pPr>
      <w:bookmarkStart w:id="1392" w:name="_Toc171525730"/>
      <w:bookmarkStart w:id="1393" w:name="_Toc172024255"/>
      <w:bookmarkStart w:id="1394" w:name="_Toc172033578"/>
      <w:r w:rsidRPr="00C3310F">
        <w:rPr>
          <w:rFonts w:hint="eastAsia"/>
        </w:rPr>
        <w:t>既然被害人要錢，加害人也要錢，所以我們去想這個制度的時候，應該都想錢在誰身上?很簡單就在處理金流的人身上，也就是金融機構。但是現在洗錢防制</w:t>
      </w:r>
      <w:r w:rsidR="00012FC0" w:rsidRPr="00C3310F">
        <w:rPr>
          <w:rFonts w:hint="eastAsia"/>
        </w:rPr>
        <w:t>雖然</w:t>
      </w:r>
      <w:r w:rsidRPr="00C3310F">
        <w:rPr>
          <w:rFonts w:hint="eastAsia"/>
        </w:rPr>
        <w:t>都有金檢相關規定，但都沒有在執行，也沒有哪一家業務受到限制。但是美國2023年7月26日，眾議院已經通過《21世紀金融創新和技術法案》與《區塊鏈監管確定性法案》。</w:t>
      </w:r>
      <w:bookmarkEnd w:id="1392"/>
      <w:bookmarkEnd w:id="1393"/>
      <w:bookmarkEnd w:id="1394"/>
    </w:p>
    <w:p w14:paraId="5E20C2B3" w14:textId="1E807031" w:rsidR="00A77297" w:rsidRPr="00C3310F" w:rsidRDefault="00D02E8B" w:rsidP="00A77297">
      <w:pPr>
        <w:pStyle w:val="2"/>
      </w:pPr>
      <w:bookmarkStart w:id="1395" w:name="_Toc171525731"/>
      <w:bookmarkStart w:id="1396" w:name="_Toc172024256"/>
      <w:bookmarkStart w:id="1397" w:name="_Toc172033579"/>
      <w:r w:rsidRPr="00C3310F">
        <w:lastRenderedPageBreak/>
        <w:t>Gogolook</w:t>
      </w:r>
      <w:r w:rsidR="00A77297" w:rsidRPr="00C3310F">
        <w:rPr>
          <w:rFonts w:hint="eastAsia"/>
        </w:rPr>
        <w:t xml:space="preserve"> 劉彥伯總監</w:t>
      </w:r>
      <w:bookmarkEnd w:id="1395"/>
      <w:bookmarkEnd w:id="1396"/>
      <w:bookmarkEnd w:id="1397"/>
    </w:p>
    <w:p w14:paraId="29DA2705" w14:textId="77777777" w:rsidR="00A77297" w:rsidRPr="00C3310F" w:rsidRDefault="00A77297" w:rsidP="00A77297">
      <w:pPr>
        <w:pStyle w:val="3"/>
      </w:pPr>
      <w:bookmarkStart w:id="1398" w:name="_Toc171525732"/>
      <w:bookmarkStart w:id="1399" w:name="_Toc172024257"/>
      <w:bookmarkStart w:id="1400" w:name="_Toc172033580"/>
      <w:r w:rsidRPr="00C3310F">
        <w:rPr>
          <w:rFonts w:hint="eastAsia"/>
        </w:rPr>
        <w:t>年輕族群和年老族群事實上都是詐騙者主要的鎖定範圍，那以年輕的族群來說主要是購物詐騙啊，投資詐騙這種，老年人則是電話和面對面的詐騙。</w:t>
      </w:r>
      <w:bookmarkEnd w:id="1398"/>
      <w:bookmarkEnd w:id="1399"/>
      <w:bookmarkEnd w:id="1400"/>
    </w:p>
    <w:p w14:paraId="3117A410" w14:textId="77777777" w:rsidR="00A77297" w:rsidRPr="00C3310F" w:rsidRDefault="00A77297" w:rsidP="00A77297">
      <w:pPr>
        <w:pStyle w:val="3"/>
      </w:pPr>
      <w:bookmarkStart w:id="1401" w:name="_Toc171525733"/>
      <w:bookmarkStart w:id="1402" w:name="_Toc172024258"/>
      <w:bookmarkStart w:id="1403" w:name="_Toc172033581"/>
      <w:r w:rsidRPr="00C3310F">
        <w:rPr>
          <w:rFonts w:hint="eastAsia"/>
        </w:rPr>
        <w:t>剛才有提到金流，因為其實詐騙有分兩塊，一塊是他透過原來的臺灣本地的金融把這些錢洗出去；另外一種是透過線上或信用卡的方式來做持續的詐騙，所以金流方面，我們過去可能會要求銀行做一些</w:t>
      </w:r>
      <w:r w:rsidRPr="00C3310F">
        <w:t>SOP</w:t>
      </w:r>
      <w:r w:rsidRPr="00C3310F">
        <w:rPr>
          <w:rFonts w:hint="eastAsia"/>
        </w:rPr>
        <w:t>來控管，但事實上，詐騙還是可以透過交易貨幣或其他方式把錢轉出去，這我們在東南亞市場都看過。</w:t>
      </w:r>
      <w:bookmarkEnd w:id="1401"/>
      <w:bookmarkEnd w:id="1402"/>
      <w:bookmarkEnd w:id="1403"/>
    </w:p>
    <w:p w14:paraId="72FDCAF5" w14:textId="5C398746" w:rsidR="00A77297" w:rsidRPr="00C3310F" w:rsidRDefault="00A77297" w:rsidP="00A77297">
      <w:pPr>
        <w:pStyle w:val="3"/>
      </w:pPr>
      <w:bookmarkStart w:id="1404" w:name="_Toc171525734"/>
      <w:bookmarkStart w:id="1405" w:name="_Toc172024259"/>
      <w:bookmarkStart w:id="1406" w:name="_Toc172033582"/>
      <w:r w:rsidRPr="00C3310F">
        <w:rPr>
          <w:rFonts w:hint="eastAsia"/>
        </w:rPr>
        <w:t>我們各部會事實上都負責一個特別的domain，然後這個domain又跟其他的部會合作，舉例說，</w:t>
      </w:r>
      <w:r w:rsidR="00D82B1C" w:rsidRPr="00C3310F">
        <w:rPr>
          <w:rFonts w:hint="eastAsia"/>
        </w:rPr>
        <w:t>數發部</w:t>
      </w:r>
      <w:r w:rsidRPr="00C3310F">
        <w:rPr>
          <w:rFonts w:hint="eastAsia"/>
        </w:rPr>
        <w:t>把這個網購申請出來，跟</w:t>
      </w:r>
      <w:r w:rsidR="00314645" w:rsidRPr="00C3310F">
        <w:rPr>
          <w:rFonts w:hint="eastAsia"/>
        </w:rPr>
        <w:t>通傳會</w:t>
      </w:r>
      <w:r w:rsidRPr="00C3310F">
        <w:rPr>
          <w:rFonts w:hint="eastAsia"/>
        </w:rPr>
        <w:t>、社群平臺跟廣告，又是另外一些部會；他們這幾個部會事實上並不會互相交流，而是想各自做自己的防詐系統，現在狀況是這樣，我就是常常去開會的時候看到的狀況。</w:t>
      </w:r>
      <w:bookmarkEnd w:id="1404"/>
      <w:bookmarkEnd w:id="1405"/>
      <w:bookmarkEnd w:id="1406"/>
    </w:p>
    <w:p w14:paraId="0D600E58" w14:textId="5F98AF7E" w:rsidR="00A77297" w:rsidRPr="00C3310F" w:rsidRDefault="00A77297" w:rsidP="00A77297">
      <w:pPr>
        <w:pStyle w:val="3"/>
      </w:pPr>
      <w:bookmarkStart w:id="1407" w:name="_Toc171525735"/>
      <w:bookmarkStart w:id="1408" w:name="_Toc172024260"/>
      <w:bookmarkStart w:id="1409" w:name="_Toc172033583"/>
      <w:r w:rsidRPr="00C3310F">
        <w:rPr>
          <w:rFonts w:hint="eastAsia"/>
        </w:rPr>
        <w:t>然後再來一件事情是目前宣導，老實講比較偏向電信的宣導，但事實上不管是</w:t>
      </w:r>
      <w:r w:rsidR="005E17A1" w:rsidRPr="00C3310F">
        <w:rPr>
          <w:rFonts w:hint="eastAsia"/>
        </w:rPr>
        <w:t>臺</w:t>
      </w:r>
      <w:r w:rsidRPr="00C3310F">
        <w:rPr>
          <w:rFonts w:hint="eastAsia"/>
        </w:rPr>
        <w:t>灣還是東南亞歐美，詐騙已經大量的轉移到網路上，剛剛孟老師提到年輕人好像被詐騙比較多，原因就在這裡。</w:t>
      </w:r>
      <w:bookmarkEnd w:id="1407"/>
      <w:bookmarkEnd w:id="1408"/>
      <w:bookmarkEnd w:id="1409"/>
    </w:p>
    <w:p w14:paraId="39130AD4" w14:textId="77777777" w:rsidR="00A77297" w:rsidRPr="00C3310F" w:rsidRDefault="00A77297" w:rsidP="00A77297">
      <w:pPr>
        <w:pStyle w:val="3"/>
      </w:pPr>
      <w:bookmarkStart w:id="1410" w:name="_Toc171525736"/>
      <w:bookmarkStart w:id="1411" w:name="_Toc172024261"/>
      <w:bookmarkStart w:id="1412" w:name="_Toc172033584"/>
      <w:r w:rsidRPr="00C3310F">
        <w:rPr>
          <w:rFonts w:hint="eastAsia"/>
        </w:rPr>
        <w:t>各部會在討論網路詐騙經常會找資安專家，我覺得這是有一點歪樓的，詐騙集團用更多的是像社交工程，更多的時事或日期相關的，比如說現在要聖誕節了，就開始做聖誕節的詐騙，他會去做調整；但資訊安全專家事實上不會在意這個。</w:t>
      </w:r>
      <w:bookmarkEnd w:id="1410"/>
      <w:bookmarkEnd w:id="1411"/>
      <w:bookmarkEnd w:id="1412"/>
    </w:p>
    <w:p w14:paraId="2A933E15" w14:textId="07FDB874" w:rsidR="00A77297" w:rsidRPr="00C3310F" w:rsidRDefault="00A77297" w:rsidP="00A77297">
      <w:pPr>
        <w:pStyle w:val="3"/>
      </w:pPr>
      <w:bookmarkStart w:id="1413" w:name="_Toc171525737"/>
      <w:bookmarkStart w:id="1414" w:name="_Toc172024262"/>
      <w:bookmarkStart w:id="1415" w:name="_Toc172033585"/>
      <w:r w:rsidRPr="00C3310F">
        <w:rPr>
          <w:rFonts w:hint="eastAsia"/>
        </w:rPr>
        <w:t>社群平臺目前的一些困境，以目前臺灣、泰國跟日本碰到一樣的狀況，比如說在臺灣的詐騙集團最喜歡的方式，就把人先洗到</w:t>
      </w:r>
      <w:r w:rsidR="00DF3BE8" w:rsidRPr="00C3310F">
        <w:t>LINE</w:t>
      </w:r>
      <w:r w:rsidRPr="00C3310F">
        <w:rPr>
          <w:rFonts w:hint="eastAsia"/>
        </w:rPr>
        <w:t>上面去。因為像是</w:t>
      </w:r>
      <w:r w:rsidR="00DF3BE8" w:rsidRPr="00C3310F">
        <w:rPr>
          <w:rFonts w:hint="eastAsia"/>
        </w:rPr>
        <w:lastRenderedPageBreak/>
        <w:t>LINE</w:t>
      </w:r>
      <w:r w:rsidRPr="00C3310F">
        <w:rPr>
          <w:rFonts w:hint="eastAsia"/>
        </w:rPr>
        <w:t>在各國都會說我是境外投資，並沒有直接跟你的行政層合作。</w:t>
      </w:r>
      <w:bookmarkEnd w:id="1413"/>
      <w:bookmarkEnd w:id="1414"/>
      <w:bookmarkEnd w:id="1415"/>
    </w:p>
    <w:p w14:paraId="6DC18803" w14:textId="2B99E84C" w:rsidR="00A77297" w:rsidRPr="00C3310F" w:rsidRDefault="00A77297" w:rsidP="00A77297">
      <w:pPr>
        <w:pStyle w:val="3"/>
      </w:pPr>
      <w:bookmarkStart w:id="1416" w:name="_Toc171525738"/>
      <w:bookmarkStart w:id="1417" w:name="_Toc172024263"/>
      <w:bookmarkStart w:id="1418" w:name="_Toc172033586"/>
      <w:r w:rsidRPr="00C3310F">
        <w:rPr>
          <w:rFonts w:hint="eastAsia"/>
        </w:rPr>
        <w:t>在內容審核部份，我們雖然可以要求</w:t>
      </w:r>
      <w:r w:rsidR="009D00AE" w:rsidRPr="00C3310F">
        <w:rPr>
          <w:rFonts w:hint="eastAsia"/>
        </w:rPr>
        <w:t>Fa</w:t>
      </w:r>
      <w:r w:rsidR="009D00AE" w:rsidRPr="00C3310F">
        <w:t>cebook</w:t>
      </w:r>
      <w:r w:rsidRPr="00C3310F">
        <w:rPr>
          <w:rFonts w:hint="eastAsia"/>
        </w:rPr>
        <w:t>要做廣告審核，但詐騙集團跑第三國去做廣告，第三國審核人員對</w:t>
      </w:r>
      <w:r w:rsidR="005E17A1" w:rsidRPr="00C3310F">
        <w:rPr>
          <w:rFonts w:hint="eastAsia"/>
        </w:rPr>
        <w:t>臺</w:t>
      </w:r>
      <w:r w:rsidRPr="00C3310F">
        <w:rPr>
          <w:rFonts w:hint="eastAsia"/>
        </w:rPr>
        <w:t>灣的名人根本一無所知，所以基本上他看文字、格式都對就放行了。</w:t>
      </w:r>
      <w:bookmarkEnd w:id="1416"/>
      <w:bookmarkEnd w:id="1417"/>
      <w:bookmarkEnd w:id="1418"/>
    </w:p>
    <w:p w14:paraId="348BD9DF" w14:textId="76BB2FB1" w:rsidR="00A77297" w:rsidRPr="00C3310F" w:rsidRDefault="00A77297" w:rsidP="00A77297">
      <w:pPr>
        <w:pStyle w:val="3"/>
      </w:pPr>
      <w:bookmarkStart w:id="1419" w:name="_Toc171525739"/>
      <w:bookmarkStart w:id="1420" w:name="_Toc172024264"/>
      <w:bookmarkStart w:id="1421" w:name="_Toc172033587"/>
      <w:r w:rsidRPr="00C3310F">
        <w:rPr>
          <w:rFonts w:hint="eastAsia"/>
        </w:rPr>
        <w:t>馬來西亞、澳大利亞和泰國警方去年開始跟</w:t>
      </w:r>
      <w:r w:rsidR="005E17A1" w:rsidRPr="00C3310F">
        <w:rPr>
          <w:rFonts w:hint="eastAsia"/>
        </w:rPr>
        <w:t>臺</w:t>
      </w:r>
      <w:r w:rsidRPr="00C3310F">
        <w:rPr>
          <w:rFonts w:hint="eastAsia"/>
        </w:rPr>
        <w:t>灣的whoscall合作，把whoscall的安裝率往上提升之後，整個泰國的電信詐騙就往下降。</w:t>
      </w:r>
      <w:bookmarkEnd w:id="1419"/>
      <w:bookmarkEnd w:id="1420"/>
      <w:bookmarkEnd w:id="1421"/>
    </w:p>
    <w:p w14:paraId="7432005F" w14:textId="7F7865B0" w:rsidR="00A77297" w:rsidRPr="00C3310F" w:rsidRDefault="00A77297" w:rsidP="00A77297">
      <w:pPr>
        <w:pStyle w:val="3"/>
      </w:pPr>
      <w:bookmarkStart w:id="1422" w:name="_Toc171525740"/>
      <w:bookmarkStart w:id="1423" w:name="_Toc172024265"/>
      <w:bookmarkStart w:id="1424" w:name="_Toc172033588"/>
      <w:r w:rsidRPr="00C3310F">
        <w:rPr>
          <w:rFonts w:hint="eastAsia"/>
        </w:rPr>
        <w:t>我在網路上看到一個量子醫學方面的廣告，很明顯是詐騙，我就通報警方說這看起來就是詐騙。可是警方碰到一個問題，警方沒辦法在一個沒有明確被害人的情況下，就判斷說這個是有問題的，也沒有足夠的專業去判斷這種醫學方面的狀況。所以警方就建議去跟食藥署檢舉，但食藥署又說有人去警方這邊做一個檢舉嗎?我又跑去跟</w:t>
      </w:r>
      <w:r w:rsidR="00314645" w:rsidRPr="00C3310F">
        <w:rPr>
          <w:rFonts w:hint="eastAsia"/>
        </w:rPr>
        <w:t>通傳會</w:t>
      </w:r>
      <w:r w:rsidRPr="00C3310F">
        <w:rPr>
          <w:rFonts w:hint="eastAsia"/>
        </w:rPr>
        <w:t>通報說這看起來是臉書型的詐騙，但</w:t>
      </w:r>
      <w:r w:rsidR="00314645" w:rsidRPr="00C3310F">
        <w:rPr>
          <w:rFonts w:hint="eastAsia"/>
        </w:rPr>
        <w:t>通傳會</w:t>
      </w:r>
      <w:r w:rsidRPr="00C3310F">
        <w:rPr>
          <w:rFonts w:hint="eastAsia"/>
        </w:rPr>
        <w:t>說這是藥品相關的，所以這變成我找不到一個檢舉的單位。</w:t>
      </w:r>
      <w:bookmarkEnd w:id="1422"/>
      <w:bookmarkEnd w:id="1423"/>
      <w:bookmarkEnd w:id="1424"/>
    </w:p>
    <w:p w14:paraId="3D453DD7" w14:textId="23BE2391" w:rsidR="00A77297" w:rsidRPr="00C3310F" w:rsidRDefault="0027580A" w:rsidP="00A77297">
      <w:pPr>
        <w:pStyle w:val="2"/>
      </w:pPr>
      <w:bookmarkStart w:id="1425" w:name="_Toc171525741"/>
      <w:bookmarkStart w:id="1426" w:name="_Toc172024266"/>
      <w:bookmarkStart w:id="1427" w:name="_Toc172033589"/>
      <w:r w:rsidRPr="00C3310F">
        <w:rPr>
          <w:rFonts w:hint="eastAsia"/>
        </w:rPr>
        <w:t>臺北地檢署林達檢察官</w:t>
      </w:r>
      <w:bookmarkEnd w:id="1425"/>
      <w:bookmarkEnd w:id="1426"/>
      <w:bookmarkEnd w:id="1427"/>
    </w:p>
    <w:p w14:paraId="2462285D" w14:textId="3CD7C808" w:rsidR="00A77297" w:rsidRPr="00C3310F" w:rsidRDefault="00A77297" w:rsidP="00A77297">
      <w:pPr>
        <w:pStyle w:val="3"/>
      </w:pPr>
      <w:bookmarkStart w:id="1428" w:name="_Toc171525742"/>
      <w:bookmarkStart w:id="1429" w:name="_Toc172024267"/>
      <w:bookmarkStart w:id="1430" w:name="_Toc172033590"/>
      <w:r w:rsidRPr="00C3310F">
        <w:rPr>
          <w:rFonts w:hint="eastAsia"/>
        </w:rPr>
        <w:t>我直接切入，問題在虛擬貨幣，目前我們可以看到這個金管會有做了很積極的解決，去年的九月二十六日有發</w:t>
      </w:r>
      <w:r w:rsidR="0027580A" w:rsidRPr="00C3310F">
        <w:rPr>
          <w:rFonts w:hint="eastAsia"/>
        </w:rPr>
        <w:t>布</w:t>
      </w:r>
      <w:r w:rsidRPr="00C3310F">
        <w:rPr>
          <w:rFonts w:hint="eastAsia"/>
        </w:rPr>
        <w:t>【虛擬資產平臺及交易業務事業基礎原則】</w:t>
      </w:r>
      <w:r w:rsidR="009D00AE" w:rsidRPr="00C3310F">
        <w:t>VASP</w:t>
      </w:r>
      <w:r w:rsidRPr="00C3310F">
        <w:rPr>
          <w:rFonts w:hint="eastAsia"/>
        </w:rPr>
        <w:t>，裡面第九點提到了個人幣商的問題，那其實我們檢察官發現在實務問題上最大問題就是所謂個人幣商，因為我們抓到了許多的人，被害人都是匯到他的帳戶，結果他到地檢署就說，他是個人幣商，所以他不知道匯款的是詐欺被害人，因此我們拿個人幣商沒有任何辦法，所以最後就是大量的不起訴，當初檢察官呼籲以後，金管會也受到了</w:t>
      </w:r>
      <w:r w:rsidRPr="00C3310F">
        <w:rPr>
          <w:rFonts w:hint="eastAsia"/>
        </w:rPr>
        <w:lastRenderedPageBreak/>
        <w:t>壓力，所以他現在用</w:t>
      </w:r>
      <w:r w:rsidR="009D00AE" w:rsidRPr="00C3310F">
        <w:t>VASP</w:t>
      </w:r>
      <w:r w:rsidRPr="00C3310F">
        <w:rPr>
          <w:rFonts w:hint="eastAsia"/>
        </w:rPr>
        <w:t>把個人幣商納入。</w:t>
      </w:r>
      <w:bookmarkEnd w:id="1428"/>
      <w:bookmarkEnd w:id="1429"/>
      <w:bookmarkEnd w:id="1430"/>
    </w:p>
    <w:p w14:paraId="64B347A8" w14:textId="7F915102" w:rsidR="00A77297" w:rsidRPr="00C3310F" w:rsidRDefault="00A77297" w:rsidP="00A77297">
      <w:pPr>
        <w:pStyle w:val="3"/>
      </w:pPr>
      <w:bookmarkStart w:id="1431" w:name="_Toc171525743"/>
      <w:bookmarkStart w:id="1432" w:name="_Toc172024268"/>
      <w:bookmarkStart w:id="1433" w:name="_Toc172033591"/>
      <w:r w:rsidRPr="00C3310F">
        <w:rPr>
          <w:rFonts w:hint="eastAsia"/>
        </w:rPr>
        <w:t>但如果仔細看這個個人幣商的部分，它裡面的作法是說自然人從虛擬資產業務要向金管會申請法遵聲明，他的聲明裡也要跟法人組織相同。簡單說，金管會新的作業指導原則就是把個人幣商視同為法人，看起來它就對外宣稱，說他把所有的個人幣商都納管了，但我必須說這個在實務上沒有太直接的幫助。怎麼說，其實很簡單，在金管會的正常作業準則下，法人幣商其實要去做聲明，規範其實是相當嚴格，包含他的資安、責任準備金等等，以個人幣商要達到這樣的聲明，其實都做不到，所以也就會變成說，基本上除非說你是有公司組織，有請技術人員才能做到。但金管會只是簡單地把個人幣商等同法人，但法條是沒有幣商的明確定義的，實務上幣商概念有兩種， 一種是</w:t>
      </w:r>
      <w:r w:rsidR="0004575A" w:rsidRPr="00C3310F">
        <w:rPr>
          <w:rFonts w:hint="eastAsia"/>
        </w:rPr>
        <w:t>平臺</w:t>
      </w:r>
      <w:r w:rsidRPr="00C3310F">
        <w:rPr>
          <w:rFonts w:hint="eastAsia"/>
        </w:rPr>
        <w:t>業者，它設一個平臺讓人家來存放虛擬貨幣或者進行貨幣的轉移，這個我們會理解為一個保存或者是仲介或者是經濟服務的；但是第二種，我們現在實務上大量案件的幣商不是</w:t>
      </w:r>
      <w:r w:rsidR="0004575A" w:rsidRPr="00C3310F">
        <w:rPr>
          <w:rFonts w:hint="eastAsia"/>
        </w:rPr>
        <w:t>平臺</w:t>
      </w:r>
      <w:r w:rsidRPr="00C3310F">
        <w:rPr>
          <w:rFonts w:hint="eastAsia"/>
        </w:rPr>
        <w:t>這個觀念，他們只是個人投資客，他自己買很多賣很多，買買進進出出這樣每年量很大。我們修法方向會說這些人都是幣商啊，所以你應該去法遵聲明，但這都是</w:t>
      </w:r>
      <w:r w:rsidR="0004575A" w:rsidRPr="00C3310F">
        <w:rPr>
          <w:rFonts w:hint="eastAsia"/>
        </w:rPr>
        <w:t>平臺</w:t>
      </w:r>
      <w:r w:rsidRPr="00C3310F">
        <w:rPr>
          <w:rFonts w:hint="eastAsia"/>
        </w:rPr>
        <w:t>概念，因此個人幣商在地檢署就會說我又不是要經營平臺業者，我只是投資客，我幹嘛要去聲明呢? 所以就金管會立法說幣商沒有聲明應該要判罪，最後檢察官應該沒辦法起訴，就算起訴好了，我相信法院可能也不會判有罪。</w:t>
      </w:r>
      <w:bookmarkEnd w:id="1431"/>
      <w:bookmarkEnd w:id="1432"/>
      <w:bookmarkEnd w:id="1433"/>
    </w:p>
    <w:p w14:paraId="4CD0E9FF" w14:textId="04DDAA93" w:rsidR="00A77297" w:rsidRPr="00C3310F" w:rsidRDefault="00A77297" w:rsidP="00A77297">
      <w:pPr>
        <w:pStyle w:val="3"/>
      </w:pPr>
      <w:bookmarkStart w:id="1434" w:name="_Toc171525744"/>
      <w:bookmarkStart w:id="1435" w:name="_Toc172024269"/>
      <w:bookmarkStart w:id="1436" w:name="_Toc172033592"/>
      <w:r w:rsidRPr="00C3310F">
        <w:rPr>
          <w:rFonts w:hint="eastAsia"/>
        </w:rPr>
        <w:t>我個人有幾個建議的結論，第一個就是說我們在虛擬貨幣資恐打擊、資恐辦法裡面，是不是應該把對</w:t>
      </w:r>
      <w:r w:rsidRPr="00C3310F">
        <w:rPr>
          <w:rFonts w:hint="eastAsia"/>
        </w:rPr>
        <w:lastRenderedPageBreak/>
        <w:t>象的定義更清楚地劃分出來，把</w:t>
      </w:r>
      <w:r w:rsidR="0004575A" w:rsidRPr="00C3310F">
        <w:rPr>
          <w:rFonts w:hint="eastAsia"/>
        </w:rPr>
        <w:t>平臺</w:t>
      </w:r>
      <w:r w:rsidRPr="00C3310F">
        <w:rPr>
          <w:rFonts w:hint="eastAsia"/>
        </w:rPr>
        <w:t>業者和投資客兩種能夠劃分出來。那我們對投資客的部分要怎麼管理?那我們建議在一定的量以下，他其實可能真的就是一個單純的玩家就是甚至是被騙的被害人</w:t>
      </w:r>
      <w:r w:rsidR="00EE13C0" w:rsidRPr="00C3310F">
        <w:rPr>
          <w:rFonts w:hint="eastAsia"/>
        </w:rPr>
        <w:t>，</w:t>
      </w:r>
      <w:r w:rsidRPr="00C3310F">
        <w:rPr>
          <w:rFonts w:hint="eastAsia"/>
        </w:rPr>
        <w:t>他一年可能進出次數不多，但有的人他常態每天進出，這種應該是一個資深重要的玩家，甚至以這個差價為獲利的，那在一定次數以上的就應該要給予某一種聲明或管制，換句話說要到金管會去做聲明的人，恐怕有兩種幣商，一種是比較高階品牌業者，他的門檻很高就像法人；另一種比較低階的，聲明就簡單一點，讓大家都做得到。這樣規定之後，你就不能夠免除說你只是個人在買賣，你還是必須要比照營運的事業在繳稅。那我認為說，虛擬貨幣上面有沒有可能畫出一個界線。如果說你虛擬貨幣會變成所謂個人利得，是以這個為主業，那就去繳稅啊；這種應該要在國稅局要有一個稅籍，你去做一個聲明，然後繳一定的稅。不可能說那邊不繳稅，另一邊也不做聲明，然後來地檢署的時候說你是幣商要免刑事責任，等到要起訴的時候，又說你不是平臺性質的幣商所以無罪。簡單說，我們覺得虛擬貨幣交易每年只要超過一定數量次數或金額的人，那你就去聲明，去工</w:t>
      </w:r>
      <w:r w:rsidR="004D342B" w:rsidRPr="00C3310F">
        <w:rPr>
          <w:rFonts w:hint="eastAsia"/>
        </w:rPr>
        <w:t>商</w:t>
      </w:r>
      <w:r w:rsidRPr="00C3310F">
        <w:rPr>
          <w:rFonts w:hint="eastAsia"/>
        </w:rPr>
        <w:t>登記一戶，然後要有一定的教育訓練。那跟人家買賣的時候，一定要有對方的本人身</w:t>
      </w:r>
      <w:r w:rsidR="0027580A" w:rsidRPr="00C3310F">
        <w:rPr>
          <w:rFonts w:hint="eastAsia"/>
        </w:rPr>
        <w:t>分</w:t>
      </w:r>
      <w:r w:rsidRPr="00C3310F">
        <w:rPr>
          <w:rFonts w:hint="eastAsia"/>
        </w:rPr>
        <w:t>證字號等等，你都要做到。如果能夠把這樣的層級化做出來，我認為對虛擬貨幣的整個觀念會比較好，不要都直接用幣商這樣一個非常混淆的概念。</w:t>
      </w:r>
      <w:bookmarkEnd w:id="1434"/>
      <w:bookmarkEnd w:id="1435"/>
      <w:bookmarkEnd w:id="1436"/>
    </w:p>
    <w:p w14:paraId="05ADC00B" w14:textId="46E56BCB" w:rsidR="00A77297" w:rsidRPr="00C3310F" w:rsidRDefault="00A77297" w:rsidP="00A77297">
      <w:pPr>
        <w:pStyle w:val="3"/>
      </w:pPr>
      <w:bookmarkStart w:id="1437" w:name="_Toc171525745"/>
      <w:bookmarkStart w:id="1438" w:name="_Toc172024270"/>
      <w:bookmarkStart w:id="1439" w:name="_Toc172033593"/>
      <w:r w:rsidRPr="00C3310F">
        <w:rPr>
          <w:rFonts w:hint="eastAsia"/>
        </w:rPr>
        <w:t>再來是第三方支付，我自己個人辦過很多案就非常的痛苦，因為以前最多的碰到匯款帳戶是虛擬帳</w:t>
      </w:r>
      <w:r w:rsidRPr="00C3310F">
        <w:rPr>
          <w:rFonts w:hint="eastAsia"/>
        </w:rPr>
        <w:lastRenderedPageBreak/>
        <w:t>號，譬如說玉山銀行，我們問說這個帳號是誰的？結果他就要函復我們說是虛擬帳號，這個虛擬帳號是由某某第三方支付公司發出的，我們就要發函去給那個第三方支付公司函調說這個帳號是你們發出，那請問你們是幫誰代收代付啊？然後八成的案件發過去都不會回函。我怎麼辦？我案子那麼多，只好就結案了。假設我積極一點去查那家公司負責人，然後就把他傳喚來，他要嘛就不來，就算來了，我請他告訴我幾月幾號這一筆</w:t>
      </w:r>
      <w:r w:rsidR="009D00AE" w:rsidRPr="00C3310F">
        <w:rPr>
          <w:rFonts w:hint="eastAsia"/>
        </w:rPr>
        <w:t>6</w:t>
      </w:r>
      <w:r w:rsidR="009D00AE" w:rsidRPr="00C3310F">
        <w:t>5</w:t>
      </w:r>
      <w:r w:rsidR="009D00AE" w:rsidRPr="00C3310F">
        <w:rPr>
          <w:rFonts w:hint="eastAsia"/>
        </w:rPr>
        <w:t>萬</w:t>
      </w:r>
      <w:r w:rsidRPr="00C3310F">
        <w:rPr>
          <w:rFonts w:hint="eastAsia"/>
        </w:rPr>
        <w:t>，為什麼會是你在代收代付，他說檢察官我回去查一下，他回去以後呢就翻箱倒櫃，其實他們就是詐騙集團的，他就隨便拿出很多張的契約書，然後說這個是林達委託的，簽名的人是林達，那我就傳林達來，林達一來說我沒有簽過名啊，曾經遺失過，結果還是不起訴處分，後來就不查了，因為沒有意義啊。</w:t>
      </w:r>
      <w:bookmarkEnd w:id="1437"/>
      <w:bookmarkEnd w:id="1438"/>
      <w:bookmarkEnd w:id="1439"/>
    </w:p>
    <w:p w14:paraId="75AD28C1" w14:textId="2AED7BCC" w:rsidR="00A77297" w:rsidRPr="00C3310F" w:rsidRDefault="00A77297" w:rsidP="00A77297">
      <w:pPr>
        <w:pStyle w:val="3"/>
      </w:pPr>
      <w:bookmarkStart w:id="1440" w:name="_Toc171525746"/>
      <w:bookmarkStart w:id="1441" w:name="_Toc172024271"/>
      <w:bookmarkStart w:id="1442" w:name="_Toc172033594"/>
      <w:r w:rsidRPr="00C3310F">
        <w:rPr>
          <w:rFonts w:hint="eastAsia"/>
        </w:rPr>
        <w:t>除非我們直接把整個第三方支付這家公司認定是犯罪，可是我們沒有足夠的證據，因為他們都會說我們大量的代收代付，</w:t>
      </w:r>
      <w:r w:rsidR="009D00AE" w:rsidRPr="00C3310F">
        <w:rPr>
          <w:rFonts w:hint="eastAsia"/>
        </w:rPr>
        <w:t>70%</w:t>
      </w:r>
      <w:r w:rsidRPr="00C3310F">
        <w:rPr>
          <w:rFonts w:hint="eastAsia"/>
        </w:rPr>
        <w:t>都是正確的，檢察官不能說我今天差一兩筆，就認定主觀上有犯意。他的問題就在於說第三方支付的管理上面沒有設許可制，它不需要責任準備金、不需要資訊安全、不需要會計師簽證，他什麼都不需要，他連會計人員都沒有，他是一群刺龍刺鳳的人自己就設立。我們橋頭地檢</w:t>
      </w:r>
      <w:r w:rsidR="0027580A" w:rsidRPr="00C3310F">
        <w:rPr>
          <w:rFonts w:hint="eastAsia"/>
        </w:rPr>
        <w:t>署</w:t>
      </w:r>
      <w:r w:rsidRPr="00C3310F">
        <w:rPr>
          <w:rFonts w:hint="eastAsia"/>
        </w:rPr>
        <w:t>先前去查的時候衝進去，發現就是一個民宅裡面都有一大堆文件。</w:t>
      </w:r>
      <w:bookmarkEnd w:id="1440"/>
      <w:bookmarkEnd w:id="1441"/>
      <w:bookmarkEnd w:id="1442"/>
    </w:p>
    <w:p w14:paraId="0F016E40" w14:textId="700C5A14" w:rsidR="00A77297" w:rsidRPr="00C3310F" w:rsidRDefault="00A77297" w:rsidP="00A77297">
      <w:pPr>
        <w:pStyle w:val="3"/>
      </w:pPr>
      <w:bookmarkStart w:id="1443" w:name="_Toc171525747"/>
      <w:bookmarkStart w:id="1444" w:name="_Toc172024272"/>
      <w:bookmarkStart w:id="1445" w:name="_Toc172033595"/>
      <w:r w:rsidRPr="00C3310F">
        <w:rPr>
          <w:rFonts w:hint="eastAsia"/>
        </w:rPr>
        <w:t>第三方支付部分去年我們在質疑</w:t>
      </w:r>
      <w:r w:rsidR="00D82B1C" w:rsidRPr="00C3310F">
        <w:rPr>
          <w:rFonts w:hint="eastAsia"/>
        </w:rPr>
        <w:t>數發部</w:t>
      </w:r>
      <w:r w:rsidRPr="00C3310F">
        <w:rPr>
          <w:rFonts w:hint="eastAsia"/>
        </w:rPr>
        <w:t>，我記得是</w:t>
      </w:r>
      <w:r w:rsidR="009D00AE" w:rsidRPr="00C3310F">
        <w:rPr>
          <w:rFonts w:hint="eastAsia"/>
        </w:rPr>
        <w:t>20</w:t>
      </w:r>
      <w:r w:rsidRPr="00C3310F">
        <w:rPr>
          <w:rFonts w:hint="eastAsia"/>
        </w:rPr>
        <w:t>億元以下，跟</w:t>
      </w:r>
      <w:r w:rsidR="009D00AE" w:rsidRPr="00C3310F">
        <w:rPr>
          <w:rFonts w:hint="eastAsia"/>
        </w:rPr>
        <w:t>20</w:t>
      </w:r>
      <w:r w:rsidRPr="00C3310F">
        <w:rPr>
          <w:rFonts w:hint="eastAsia"/>
        </w:rPr>
        <w:t>億元以上分兩個單位在管啦，</w:t>
      </w:r>
      <w:r w:rsidR="009D00AE" w:rsidRPr="00C3310F">
        <w:rPr>
          <w:rFonts w:hint="eastAsia"/>
        </w:rPr>
        <w:t>20</w:t>
      </w:r>
      <w:r w:rsidRPr="00C3310F">
        <w:rPr>
          <w:rFonts w:hint="eastAsia"/>
        </w:rPr>
        <w:t>億元下是經濟部，</w:t>
      </w:r>
      <w:r w:rsidR="009D00AE" w:rsidRPr="00C3310F">
        <w:rPr>
          <w:rFonts w:hint="eastAsia"/>
        </w:rPr>
        <w:t>20</w:t>
      </w:r>
      <w:r w:rsidRPr="00C3310F">
        <w:rPr>
          <w:rFonts w:hint="eastAsia"/>
        </w:rPr>
        <w:t>億元以上是屬於</w:t>
      </w:r>
      <w:r w:rsidR="00D82B1C" w:rsidRPr="00C3310F">
        <w:rPr>
          <w:rFonts w:hint="eastAsia"/>
        </w:rPr>
        <w:t>數發部</w:t>
      </w:r>
      <w:r w:rsidRPr="00C3310F">
        <w:rPr>
          <w:rFonts w:hint="eastAsia"/>
        </w:rPr>
        <w:t>吧，總之我們覺得當初這個業務就被他們推來推去，我們</w:t>
      </w:r>
      <w:r w:rsidRPr="00C3310F">
        <w:rPr>
          <w:rFonts w:hint="eastAsia"/>
        </w:rPr>
        <w:lastRenderedPageBreak/>
        <w:t>瞭解公務人員，我們也不去追責他，我們當初提出具體的解決方案是說，第三方支付涉及到金融業務，要採許可制，許可制裡面一定要有兩大塊，一個就是資訊安全人員，第二個就是財務會計人員；而且許可制只是在最初的許可，後續應該要由會計師去簽證查核。我認為這部分目前稍微解決，為什麼？雖然我們目前政府還沒有給他採取許可制，但是有所謂能量登錄，現在就會鼓勵你們有能量登</w:t>
      </w:r>
      <w:r w:rsidR="004D342B" w:rsidRPr="00C3310F">
        <w:rPr>
          <w:rFonts w:hint="eastAsia"/>
        </w:rPr>
        <w:t>錄</w:t>
      </w:r>
      <w:r w:rsidRPr="00C3310F">
        <w:rPr>
          <w:rFonts w:hint="eastAsia"/>
        </w:rPr>
        <w:t>，然後銀行才會給你虛擬帳號。</w:t>
      </w:r>
      <w:bookmarkEnd w:id="1443"/>
      <w:bookmarkEnd w:id="1444"/>
      <w:bookmarkEnd w:id="1445"/>
    </w:p>
    <w:p w14:paraId="44EF43B9" w14:textId="6A6532E5" w:rsidR="00A77297" w:rsidRPr="00C3310F" w:rsidRDefault="00A77297" w:rsidP="00A77297">
      <w:pPr>
        <w:pStyle w:val="3"/>
      </w:pPr>
      <w:bookmarkStart w:id="1446" w:name="_Toc171525748"/>
      <w:bookmarkStart w:id="1447" w:name="_Toc172024273"/>
      <w:bookmarkStart w:id="1448" w:name="_Toc172033596"/>
      <w:r w:rsidRPr="00C3310F">
        <w:rPr>
          <w:rFonts w:hint="eastAsia"/>
        </w:rPr>
        <w:t>我覺得具體的建議，首先第一個就是所有交易所熱錢包應該要公開，他應該是一個可以被監管的內容，就是熱錢包的意思就是歸戶錢包，我舉例來說好了，比如說幣安、火幣大家比較熟知的幾個交易所，其實交易所就會是洗錢的斷點，合規的交易所的話，基本上檢警都調得到KYC資料，所以我們至少會知道說某一筆資料中間經過很多次的層轉，層轉之後，假設要從幣安的某一個用戶的錢包出金，那我就會找幣安去調那個用戶的充值錢包地址KYC是誰?我就會知道資金後面要跑去哪裡。這個</w:t>
      </w:r>
      <w:r w:rsidR="0027580A" w:rsidRPr="00C3310F">
        <w:rPr>
          <w:rFonts w:hint="eastAsia"/>
        </w:rPr>
        <w:t>作</w:t>
      </w:r>
      <w:r w:rsidRPr="00C3310F">
        <w:rPr>
          <w:rFonts w:hint="eastAsia"/>
        </w:rPr>
        <w:t>法有個前提就是熱錢包應該要被公開，那我們在做金額追蹤的時候才好去判別說現在看到這個錢包是私人的非託管錢包，還是屬於交易所的熱錢包?那以現在臺灣水房來說，他們最常用的其實是一家在柬埔寨的交易所叫</w:t>
      </w:r>
      <w:r w:rsidR="00BB5E3D" w:rsidRPr="00C3310F">
        <w:rPr>
          <w:rFonts w:ascii="新細明體" w:eastAsia="新細明體" w:hAnsi="新細明體" w:hint="eastAsia"/>
        </w:rPr>
        <w:t>〇〇</w:t>
      </w:r>
      <w:r w:rsidRPr="00C3310F">
        <w:rPr>
          <w:rFonts w:hint="eastAsia"/>
        </w:rPr>
        <w:t>，但是我們管不到</w:t>
      </w:r>
      <w:r w:rsidR="00BB5E3D" w:rsidRPr="00C3310F">
        <w:rPr>
          <w:rFonts w:ascii="新細明體" w:eastAsia="新細明體" w:hAnsi="新細明體" w:hint="eastAsia"/>
        </w:rPr>
        <w:t>〇〇</w:t>
      </w:r>
      <w:r w:rsidRPr="00C3310F">
        <w:rPr>
          <w:rFonts w:hint="eastAsia"/>
        </w:rPr>
        <w:t>。</w:t>
      </w:r>
      <w:bookmarkEnd w:id="1446"/>
      <w:bookmarkEnd w:id="1447"/>
      <w:bookmarkEnd w:id="1448"/>
    </w:p>
    <w:p w14:paraId="2A05EC12" w14:textId="475E6776" w:rsidR="00A77297" w:rsidRPr="00C3310F" w:rsidRDefault="00A77297" w:rsidP="00A77297">
      <w:pPr>
        <w:pStyle w:val="3"/>
      </w:pPr>
      <w:bookmarkStart w:id="1449" w:name="_Toc171525749"/>
      <w:bookmarkStart w:id="1450" w:name="_Toc172024274"/>
      <w:bookmarkStart w:id="1451" w:name="_Toc172033597"/>
      <w:r w:rsidRPr="00C3310F">
        <w:rPr>
          <w:rFonts w:hint="eastAsia"/>
        </w:rPr>
        <w:t>教育方面我不知道有沒有可能建議教育單位方面加強區塊鏈的教育，到現在很多公民教育的課程我真的覺得沒有什麼意義，我們發現大量的詐騙投資虛擬貨幣，被害人根本不知道什麼是錢包，他們以為那串數字出現了就算擁有它，其實他們根本就把錢</w:t>
      </w:r>
      <w:r w:rsidRPr="00C3310F">
        <w:rPr>
          <w:rFonts w:hint="eastAsia"/>
        </w:rPr>
        <w:lastRenderedPageBreak/>
        <w:t>包的帳戶密碼都交給了詐騙集團，是他們</w:t>
      </w:r>
      <w:r w:rsidR="004D342B" w:rsidRPr="00C3310F">
        <w:rPr>
          <w:rFonts w:hint="eastAsia"/>
        </w:rPr>
        <w:t>(</w:t>
      </w:r>
      <w:r w:rsidR="00A1409C" w:rsidRPr="00C3310F">
        <w:rPr>
          <w:rFonts w:hint="eastAsia"/>
        </w:rPr>
        <w:t>詐騙集團</w:t>
      </w:r>
      <w:r w:rsidR="004D342B" w:rsidRPr="00C3310F">
        <w:rPr>
          <w:rFonts w:hint="eastAsia"/>
        </w:rPr>
        <w:t>)</w:t>
      </w:r>
      <w:r w:rsidRPr="00C3310F">
        <w:rPr>
          <w:rFonts w:hint="eastAsia"/>
        </w:rPr>
        <w:t>幫他</w:t>
      </w:r>
      <w:r w:rsidR="004D342B" w:rsidRPr="00C3310F">
        <w:rPr>
          <w:rFonts w:hint="eastAsia"/>
        </w:rPr>
        <w:t>(受害者)</w:t>
      </w:r>
      <w:r w:rsidRPr="00C3310F">
        <w:rPr>
          <w:rFonts w:hint="eastAsia"/>
        </w:rPr>
        <w:t>開的戶，所以他</w:t>
      </w:r>
      <w:r w:rsidR="004D342B" w:rsidRPr="00C3310F">
        <w:rPr>
          <w:rFonts w:hint="eastAsia"/>
        </w:rPr>
        <w:t>(受害者)</w:t>
      </w:r>
      <w:r w:rsidRPr="00C3310F">
        <w:rPr>
          <w:rFonts w:hint="eastAsia"/>
        </w:rPr>
        <w:t>買了以後，人家是直接匯到別人</w:t>
      </w:r>
      <w:r w:rsidR="00085ED8" w:rsidRPr="00C3310F">
        <w:rPr>
          <w:rFonts w:hint="eastAsia"/>
        </w:rPr>
        <w:t>那</w:t>
      </w:r>
      <w:r w:rsidR="0027580A" w:rsidRPr="00C3310F">
        <w:rPr>
          <w:rFonts w:hint="eastAsia"/>
        </w:rPr>
        <w:t>裡</w:t>
      </w:r>
      <w:r w:rsidRPr="00C3310F">
        <w:rPr>
          <w:rFonts w:hint="eastAsia"/>
        </w:rPr>
        <w:t>。換句話說，買虛擬貨幣的人連最基本的觀念都不知道，那他還去買</w:t>
      </w:r>
      <w:r w:rsidR="0027580A" w:rsidRPr="00C3310F">
        <w:rPr>
          <w:rFonts w:hint="eastAsia"/>
        </w:rPr>
        <w:t>，</w:t>
      </w:r>
      <w:r w:rsidRPr="00C3310F">
        <w:rPr>
          <w:rFonts w:hint="eastAsia"/>
        </w:rPr>
        <w:t>我們根本連幫他的機會都沒有。</w:t>
      </w:r>
      <w:bookmarkEnd w:id="1449"/>
      <w:bookmarkEnd w:id="1450"/>
      <w:bookmarkEnd w:id="1451"/>
    </w:p>
    <w:p w14:paraId="403E3C8A" w14:textId="0BB405C4" w:rsidR="00A77297" w:rsidRPr="00C3310F" w:rsidRDefault="00A77297" w:rsidP="00A77297">
      <w:pPr>
        <w:pStyle w:val="3"/>
      </w:pPr>
      <w:bookmarkStart w:id="1452" w:name="_Toc171525750"/>
      <w:bookmarkStart w:id="1453" w:name="_Toc172024275"/>
      <w:bookmarkStart w:id="1454" w:name="_Toc172033598"/>
      <w:r w:rsidRPr="00C3310F">
        <w:rPr>
          <w:rFonts w:hint="eastAsia"/>
        </w:rPr>
        <w:t xml:space="preserve">他們現在詐騙也不完全都那麼高科技，他們是用 </w:t>
      </w:r>
      <w:r w:rsidR="00DF3BE8" w:rsidRPr="00C3310F">
        <w:rPr>
          <w:rFonts w:hint="eastAsia"/>
        </w:rPr>
        <w:t>LINE</w:t>
      </w:r>
      <w:r w:rsidR="004D342B" w:rsidRPr="00C3310F">
        <w:rPr>
          <w:rFonts w:hint="eastAsia"/>
        </w:rPr>
        <w:t>，</w:t>
      </w:r>
      <w:r w:rsidRPr="00C3310F">
        <w:rPr>
          <w:rFonts w:hint="eastAsia"/>
        </w:rPr>
        <w:t>很傳統的跟你說在臺北哪一家7-11面交，我們實務上抓的案例，上禮拜值班那天晚上就抓到兩個，一個從高雄來，一個從屏東來，一個</w:t>
      </w:r>
      <w:r w:rsidR="009D00AE" w:rsidRPr="00C3310F">
        <w:rPr>
          <w:rFonts w:hint="eastAsia"/>
        </w:rPr>
        <w:t>19</w:t>
      </w:r>
      <w:r w:rsidRPr="00C3310F">
        <w:rPr>
          <w:rFonts w:hint="eastAsia"/>
        </w:rPr>
        <w:t>歲，一個</w:t>
      </w:r>
      <w:r w:rsidR="009D00AE" w:rsidRPr="00C3310F">
        <w:rPr>
          <w:rFonts w:hint="eastAsia"/>
        </w:rPr>
        <w:t>20</w:t>
      </w:r>
      <w:r w:rsidRPr="00C3310F">
        <w:rPr>
          <w:rFonts w:hint="eastAsia"/>
        </w:rPr>
        <w:t>歲。他們是坐夜車到臺北，然後他們到臺北以後，他們就到7-11的ibon列印一個虛擬貨幣契約書</w:t>
      </w:r>
      <w:r w:rsidR="0027580A" w:rsidRPr="00C3310F">
        <w:rPr>
          <w:rFonts w:hint="eastAsia"/>
        </w:rPr>
        <w:t>，</w:t>
      </w:r>
      <w:r w:rsidRPr="00C3310F">
        <w:rPr>
          <w:rFonts w:hint="eastAsia"/>
        </w:rPr>
        <w:t>然後去向那個被害人說投資要收錢。那</w:t>
      </w:r>
      <w:r w:rsidR="004D342B" w:rsidRPr="00C3310F">
        <w:rPr>
          <w:rFonts w:hint="eastAsia"/>
        </w:rPr>
        <w:t>種</w:t>
      </w:r>
      <w:r w:rsidRPr="00C3310F">
        <w:rPr>
          <w:rFonts w:hint="eastAsia"/>
        </w:rPr>
        <w:t>詐騙金額都在</w:t>
      </w:r>
      <w:r w:rsidR="009D00AE" w:rsidRPr="00C3310F">
        <w:rPr>
          <w:rFonts w:hint="eastAsia"/>
        </w:rPr>
        <w:t>200</w:t>
      </w:r>
      <w:r w:rsidRPr="00C3310F">
        <w:rPr>
          <w:rFonts w:hint="eastAsia"/>
        </w:rPr>
        <w:t>到</w:t>
      </w:r>
      <w:r w:rsidR="009D00AE" w:rsidRPr="00C3310F">
        <w:rPr>
          <w:rFonts w:hint="eastAsia"/>
        </w:rPr>
        <w:t>1</w:t>
      </w:r>
      <w:r w:rsidR="009D00AE" w:rsidRPr="00C3310F">
        <w:t>,</w:t>
      </w:r>
      <w:r w:rsidR="009D00AE" w:rsidRPr="00C3310F">
        <w:rPr>
          <w:rFonts w:hint="eastAsia"/>
        </w:rPr>
        <w:t>000</w:t>
      </w:r>
      <w:r w:rsidRPr="00C3310F">
        <w:rPr>
          <w:rFonts w:hint="eastAsia"/>
        </w:rPr>
        <w:t>萬之間，都是巨量的</w:t>
      </w:r>
      <w:r w:rsidR="00FF3FE4" w:rsidRPr="00C3310F">
        <w:rPr>
          <w:rFonts w:hint="eastAsia"/>
        </w:rPr>
        <w:t>，</w:t>
      </w:r>
      <w:r w:rsidRPr="00C3310F">
        <w:rPr>
          <w:rFonts w:hint="eastAsia"/>
        </w:rPr>
        <w:t>受害人會帶</w:t>
      </w:r>
      <w:r w:rsidR="009D00AE" w:rsidRPr="00C3310F">
        <w:rPr>
          <w:rFonts w:hint="eastAsia"/>
        </w:rPr>
        <w:t>200</w:t>
      </w:r>
      <w:r w:rsidRPr="00C3310F">
        <w:rPr>
          <w:rFonts w:hint="eastAsia"/>
        </w:rPr>
        <w:t>、</w:t>
      </w:r>
      <w:r w:rsidR="009D00AE" w:rsidRPr="00C3310F">
        <w:rPr>
          <w:rFonts w:hint="eastAsia"/>
        </w:rPr>
        <w:t>300</w:t>
      </w:r>
      <w:r w:rsidRPr="00C3310F">
        <w:rPr>
          <w:rFonts w:hint="eastAsia"/>
        </w:rPr>
        <w:t>萬來現場，然後我們這個年輕人就會拿這個紙本契約書給他簽名，簽了以後收到現金就會告訴他，我把虛擬貨幣交給你，那不是很愚蠢嗎？虛擬貨幣再怎麼不懂也知道不會是紙本吧!然後他們叫被害人回到網頁上去看，就會看到說有</w:t>
      </w:r>
      <w:r w:rsidR="009D00AE" w:rsidRPr="00C3310F">
        <w:rPr>
          <w:rFonts w:hint="eastAsia"/>
        </w:rPr>
        <w:t>200</w:t>
      </w:r>
      <w:r w:rsidRPr="00C3310F">
        <w:rPr>
          <w:rFonts w:hint="eastAsia"/>
        </w:rPr>
        <w:t>萬進來了，你這次獲利有</w:t>
      </w:r>
      <w:r w:rsidR="009D00AE" w:rsidRPr="00C3310F">
        <w:rPr>
          <w:rFonts w:hint="eastAsia"/>
        </w:rPr>
        <w:t>20</w:t>
      </w:r>
      <w:r w:rsidRPr="00C3310F">
        <w:rPr>
          <w:rFonts w:hint="eastAsia"/>
        </w:rPr>
        <w:t>萬。假設知道正確的知識的話，他應該就會在臺灣那</w:t>
      </w:r>
      <w:r w:rsidR="00FF3FE4" w:rsidRPr="00C3310F">
        <w:rPr>
          <w:rFonts w:hint="eastAsia"/>
        </w:rPr>
        <w:t>9</w:t>
      </w:r>
      <w:r w:rsidRPr="00C3310F">
        <w:rPr>
          <w:rFonts w:hint="eastAsia"/>
        </w:rPr>
        <w:t>家交易所交易</w:t>
      </w:r>
      <w:r w:rsidR="00FF3FE4" w:rsidRPr="00C3310F">
        <w:rPr>
          <w:rFonts w:hint="eastAsia"/>
        </w:rPr>
        <w:t>，</w:t>
      </w:r>
      <w:r w:rsidRPr="00C3310F">
        <w:rPr>
          <w:rFonts w:hint="eastAsia"/>
        </w:rPr>
        <w:t>可是就因為大家都沒有這種觀念嘛，他就會亂買啊，然後就查不到，最後就完全都沒有辦法。抓到的都是這個</w:t>
      </w:r>
      <w:r w:rsidR="009D00AE" w:rsidRPr="00C3310F">
        <w:rPr>
          <w:rFonts w:hint="eastAsia"/>
        </w:rPr>
        <w:t>19</w:t>
      </w:r>
      <w:r w:rsidRPr="00C3310F">
        <w:rPr>
          <w:rFonts w:hint="eastAsia"/>
        </w:rPr>
        <w:t>歲，我們向法院聲押幾乎都不</w:t>
      </w:r>
      <w:r w:rsidR="009D00AE" w:rsidRPr="00C3310F">
        <w:rPr>
          <w:rFonts w:hint="eastAsia"/>
        </w:rPr>
        <w:t>准</w:t>
      </w:r>
      <w:r w:rsidRPr="00C3310F">
        <w:rPr>
          <w:rFonts w:hint="eastAsia"/>
        </w:rPr>
        <w:t>、都被駁回。說真的我們就算把</w:t>
      </w:r>
      <w:r w:rsidR="00FF3FE4" w:rsidRPr="00C3310F">
        <w:rPr>
          <w:rFonts w:hint="eastAsia"/>
        </w:rPr>
        <w:t>他</w:t>
      </w:r>
      <w:r w:rsidRPr="00C3310F">
        <w:rPr>
          <w:rFonts w:hint="eastAsia"/>
        </w:rPr>
        <w:t>押起來，後面我們也查不到啦。我就問這個</w:t>
      </w:r>
      <w:r w:rsidR="009D00AE" w:rsidRPr="00C3310F">
        <w:rPr>
          <w:rFonts w:hint="eastAsia"/>
        </w:rPr>
        <w:t>19</w:t>
      </w:r>
      <w:r w:rsidRPr="00C3310F">
        <w:rPr>
          <w:rFonts w:hint="eastAsia"/>
        </w:rPr>
        <w:t>歲</w:t>
      </w:r>
      <w:r w:rsidR="00FF3FE4" w:rsidRPr="00C3310F">
        <w:rPr>
          <w:rFonts w:hint="eastAsia"/>
        </w:rPr>
        <w:t>、</w:t>
      </w:r>
      <w:r w:rsidR="009D00AE" w:rsidRPr="00C3310F">
        <w:rPr>
          <w:rFonts w:hint="eastAsia"/>
        </w:rPr>
        <w:t>20</w:t>
      </w:r>
      <w:r w:rsidRPr="00C3310F">
        <w:rPr>
          <w:rFonts w:hint="eastAsia"/>
        </w:rPr>
        <w:t>歲的這個年輕人，他們是從高雄調人上來，臺北會調人下去，我問他什麼時候開始做這個？他們幾乎都說第一天，他就會說他昨天應徵工作，我說你怎麼應徵的？他說他在泡沫紅茶店門口，然後呢用</w:t>
      </w:r>
      <w:r w:rsidR="00DF3BE8" w:rsidRPr="00C3310F">
        <w:rPr>
          <w:rFonts w:hint="eastAsia"/>
        </w:rPr>
        <w:t>LINE</w:t>
      </w:r>
      <w:r w:rsidRPr="00C3310F">
        <w:rPr>
          <w:rFonts w:hint="eastAsia"/>
        </w:rPr>
        <w:t>找工作找到的，然後</w:t>
      </w:r>
      <w:r w:rsidRPr="00C3310F">
        <w:rPr>
          <w:rFonts w:hint="eastAsia"/>
        </w:rPr>
        <w:lastRenderedPageBreak/>
        <w:t>我說你們一定坐高鐵，他就說應徵的時候就給我</w:t>
      </w:r>
      <w:r w:rsidR="009D00AE" w:rsidRPr="00C3310F">
        <w:rPr>
          <w:rFonts w:hint="eastAsia"/>
        </w:rPr>
        <w:t>2</w:t>
      </w:r>
      <w:r w:rsidRPr="00C3310F">
        <w:rPr>
          <w:rFonts w:hint="eastAsia"/>
        </w:rPr>
        <w:t>萬塊錢，工作就是跑外務，我認為我做的是合法的收錢工作，都是虛擬貨幣這個企業，我不知道後面是誰啊，他就那一天跟我有</w:t>
      </w:r>
      <w:r w:rsidR="00DF3BE8" w:rsidRPr="00C3310F">
        <w:rPr>
          <w:rFonts w:hint="eastAsia"/>
        </w:rPr>
        <w:t>LINE</w:t>
      </w:r>
      <w:r w:rsidRPr="00C3310F">
        <w:rPr>
          <w:rFonts w:hint="eastAsia"/>
        </w:rPr>
        <w:t>，他們就會指示他拿到特定地點放在地上、拿到哪裡、交給誰，那後面我們就都查不到了啦。</w:t>
      </w:r>
      <w:bookmarkEnd w:id="1452"/>
      <w:bookmarkEnd w:id="1453"/>
      <w:bookmarkEnd w:id="1454"/>
    </w:p>
    <w:p w14:paraId="2EA55758" w14:textId="055A0EFE" w:rsidR="00A77297" w:rsidRPr="00C3310F" w:rsidRDefault="00A77297" w:rsidP="00A77297">
      <w:pPr>
        <w:pStyle w:val="2"/>
      </w:pPr>
      <w:bookmarkStart w:id="1455" w:name="_Toc171525751"/>
      <w:bookmarkStart w:id="1456" w:name="_Toc172024276"/>
      <w:bookmarkStart w:id="1457" w:name="_Toc172033599"/>
      <w:r w:rsidRPr="00C3310F">
        <w:rPr>
          <w:rFonts w:hint="eastAsia"/>
        </w:rPr>
        <w:t>社團法人</w:t>
      </w:r>
      <w:r w:rsidR="00FF3FE4" w:rsidRPr="00C3310F">
        <w:rPr>
          <w:rFonts w:hint="eastAsia"/>
        </w:rPr>
        <w:t>全球反詐騙組織</w:t>
      </w:r>
      <w:r w:rsidRPr="00C3310F">
        <w:rPr>
          <w:rFonts w:hint="eastAsia"/>
        </w:rPr>
        <w:t>台灣分會理事長</w:t>
      </w:r>
      <w:bookmarkEnd w:id="1455"/>
      <w:bookmarkEnd w:id="1456"/>
      <w:bookmarkEnd w:id="1457"/>
    </w:p>
    <w:p w14:paraId="1814A350" w14:textId="40269E7A" w:rsidR="00A77297" w:rsidRPr="00C3310F" w:rsidRDefault="00A77297" w:rsidP="00A77297">
      <w:pPr>
        <w:pStyle w:val="3"/>
      </w:pPr>
      <w:bookmarkStart w:id="1458" w:name="_Toc171525752"/>
      <w:bookmarkStart w:id="1459" w:name="_Toc172024277"/>
      <w:bookmarkStart w:id="1460" w:name="_Toc172033600"/>
      <w:r w:rsidRPr="00C3310F">
        <w:rPr>
          <w:rFonts w:hint="eastAsia"/>
        </w:rPr>
        <w:t>詐騙集團有綿密的分工，但具體怎麼分工?組織架構是什麼？我先從這邊開始說大家會比較好</w:t>
      </w:r>
      <w:r w:rsidR="00FF3FE4" w:rsidRPr="00C3310F">
        <w:rPr>
          <w:rFonts w:hint="eastAsia"/>
        </w:rPr>
        <w:t>再</w:t>
      </w:r>
      <w:r w:rsidRPr="00C3310F">
        <w:rPr>
          <w:rFonts w:hint="eastAsia"/>
        </w:rPr>
        <w:t>進入後續的討論。今年我們人頭帳戶又創新高，我記得之前的統計是9.6萬，現在已經破10萬了。</w:t>
      </w:r>
      <w:bookmarkEnd w:id="1458"/>
      <w:bookmarkEnd w:id="1459"/>
      <w:bookmarkEnd w:id="1460"/>
    </w:p>
    <w:p w14:paraId="6AC9ED75" w14:textId="77777777" w:rsidR="00A77297" w:rsidRPr="00C3310F" w:rsidRDefault="00A77297" w:rsidP="00A77297">
      <w:pPr>
        <w:pStyle w:val="3"/>
      </w:pPr>
      <w:bookmarkStart w:id="1461" w:name="_Toc171525753"/>
      <w:bookmarkStart w:id="1462" w:name="_Toc172024278"/>
      <w:bookmarkStart w:id="1463" w:name="_Toc172033601"/>
      <w:r w:rsidRPr="00C3310F">
        <w:rPr>
          <w:rFonts w:hint="eastAsia"/>
        </w:rPr>
        <w:t>柬埔寨的</w:t>
      </w:r>
      <w:r w:rsidR="00BB5E3D" w:rsidRPr="00C3310F">
        <w:rPr>
          <w:rFonts w:ascii="新細明體" w:eastAsia="新細明體" w:hAnsi="新細明體" w:hint="eastAsia"/>
        </w:rPr>
        <w:t>〇〇</w:t>
      </w:r>
      <w:r w:rsidRPr="00C3310F">
        <w:rPr>
          <w:rFonts w:hint="eastAsia"/>
        </w:rPr>
        <w:t>，不知道大家有沒有聽過，</w:t>
      </w:r>
      <w:r w:rsidR="00BB5E3D" w:rsidRPr="00C3310F">
        <w:rPr>
          <w:rFonts w:ascii="新細明體" w:eastAsia="新細明體" w:hAnsi="新細明體" w:hint="eastAsia"/>
        </w:rPr>
        <w:t>〇〇</w:t>
      </w:r>
      <w:r w:rsidRPr="00C3310F">
        <w:rPr>
          <w:rFonts w:hint="eastAsia"/>
        </w:rPr>
        <w:t>特區就是之前人口販運很嚴重的地方，</w:t>
      </w:r>
      <w:r w:rsidR="00BB5E3D" w:rsidRPr="00C3310F">
        <w:rPr>
          <w:rFonts w:ascii="新細明體" w:eastAsia="新細明體" w:hAnsi="新細明體" w:hint="eastAsia"/>
        </w:rPr>
        <w:t>〇〇</w:t>
      </w:r>
      <w:r w:rsidRPr="00C3310F">
        <w:rPr>
          <w:rFonts w:hint="eastAsia"/>
        </w:rPr>
        <w:t>那邊有很大型的園區，是由房地產商去開發的，那個房地產也是早期臺灣的一個大賭場去那邊做的，後來轉型做東南亞房產，在那邊開發了</w:t>
      </w:r>
      <w:r w:rsidR="00BB5E3D" w:rsidRPr="00C3310F">
        <w:rPr>
          <w:rFonts w:ascii="新細明體" w:eastAsia="新細明體" w:hAnsi="新細明體" w:hint="eastAsia"/>
        </w:rPr>
        <w:t>〇〇</w:t>
      </w:r>
      <w:r w:rsidRPr="00C3310F">
        <w:rPr>
          <w:rFonts w:hint="eastAsia"/>
        </w:rPr>
        <w:t>這個園區之後呢，蓋了很多大樓，接下來轉包給物業，物業就把它理解成房東，那就是保全公司，保全公司會打點好軍隊、水電、網路這些東西，之後承租出去，大概三年前是由博弈業承租比較多，但是因為疫情的關係和中國逼著停牌的關係，就轉為做電詐，那其實電詐跟博弈本來就是一線之隔。金流技術跟後面的洗錢通路都很好跨越，他們被稱為灰產(灰色產業)啦，但一旦踏到詐欺，就變成是黑產(黑色產業)。</w:t>
      </w:r>
      <w:bookmarkEnd w:id="1461"/>
      <w:bookmarkEnd w:id="1462"/>
      <w:bookmarkEnd w:id="1463"/>
    </w:p>
    <w:p w14:paraId="5FA78096" w14:textId="1C777058" w:rsidR="00A77297" w:rsidRPr="00C3310F" w:rsidRDefault="00A77297" w:rsidP="00A77297">
      <w:pPr>
        <w:pStyle w:val="3"/>
      </w:pPr>
      <w:bookmarkStart w:id="1464" w:name="_Toc171525754"/>
      <w:bookmarkStart w:id="1465" w:name="_Toc172024279"/>
      <w:bookmarkStart w:id="1466" w:name="_Toc172033602"/>
      <w:r w:rsidRPr="00C3310F">
        <w:rPr>
          <w:rFonts w:hint="eastAsia"/>
        </w:rPr>
        <w:t>機房通常是由誰去開設的呢？大多是跟臺灣幫會有關聯，比如說像</w:t>
      </w:r>
      <w:r w:rsidR="00BB5E3D" w:rsidRPr="00C3310F">
        <w:rPr>
          <w:rFonts w:ascii="新細明體" w:eastAsia="新細明體" w:hAnsi="新細明體" w:hint="eastAsia"/>
        </w:rPr>
        <w:t>〇〇</w:t>
      </w:r>
      <w:r w:rsidRPr="00C3310F">
        <w:rPr>
          <w:rFonts w:hint="eastAsia"/>
        </w:rPr>
        <w:t>會、</w:t>
      </w:r>
      <w:r w:rsidR="00BB5E3D" w:rsidRPr="00C3310F">
        <w:rPr>
          <w:rFonts w:ascii="新細明體" w:eastAsia="新細明體" w:hAnsi="新細明體" w:hint="eastAsia"/>
        </w:rPr>
        <w:t>〇〇</w:t>
      </w:r>
      <w:r w:rsidRPr="00C3310F">
        <w:rPr>
          <w:rFonts w:hint="eastAsia"/>
        </w:rPr>
        <w:t>幫，他們通常在組織裡發展27</w:t>
      </w:r>
      <w:r w:rsidR="00FF3FE4" w:rsidRPr="00C3310F">
        <w:rPr>
          <w:rFonts w:hint="eastAsia"/>
        </w:rPr>
        <w:t>至</w:t>
      </w:r>
      <w:r w:rsidRPr="00C3310F">
        <w:rPr>
          <w:rFonts w:hint="eastAsia"/>
        </w:rPr>
        <w:t>29歲間的，鼓勵他們去境外開代理線，這個人會再帶十幾個更小的去那邊起頭，在機房裡工作。還有更大型的機房像連鎖企業，還會有另外</w:t>
      </w:r>
      <w:r w:rsidRPr="00C3310F">
        <w:rPr>
          <w:rFonts w:hint="eastAsia"/>
        </w:rPr>
        <w:lastRenderedPageBreak/>
        <w:t>的角色去督導不同機房的運作。緬甸的話就會落在緬北跟緬東，緬東的話就泰緬邊境那一帶，就是</w:t>
      </w:r>
      <w:r w:rsidR="00A065C7" w:rsidRPr="00C3310F">
        <w:rPr>
          <w:rFonts w:ascii="新細明體" w:eastAsia="新細明體" w:hAnsi="新細明體" w:hint="eastAsia"/>
        </w:rPr>
        <w:t>〇〇〇</w:t>
      </w:r>
      <w:r w:rsidRPr="00C3310F">
        <w:rPr>
          <w:rFonts w:hint="eastAsia"/>
        </w:rPr>
        <w:t>、</w:t>
      </w:r>
      <w:r w:rsidR="00A065C7" w:rsidRPr="00C3310F">
        <w:rPr>
          <w:rFonts w:ascii="新細明體" w:eastAsia="新細明體" w:hAnsi="新細明體" w:hint="eastAsia"/>
        </w:rPr>
        <w:t>〇〇〇</w:t>
      </w:r>
      <w:r w:rsidRPr="00C3310F">
        <w:rPr>
          <w:rFonts w:hint="eastAsia"/>
        </w:rPr>
        <w:t>，大家應該有聽過</w:t>
      </w:r>
      <w:r w:rsidR="00A065C7" w:rsidRPr="00C3310F">
        <w:rPr>
          <w:rFonts w:ascii="新細明體" w:eastAsia="新細明體" w:hAnsi="新細明體" w:hint="eastAsia"/>
        </w:rPr>
        <w:t>〇〇〇</w:t>
      </w:r>
      <w:r w:rsidRPr="00C3310F">
        <w:rPr>
          <w:rFonts w:hint="eastAsia"/>
        </w:rPr>
        <w:t>的話，就是</w:t>
      </w:r>
      <w:r w:rsidRPr="00C3310F">
        <w:t>KK</w:t>
      </w:r>
      <w:r w:rsidRPr="00C3310F">
        <w:rPr>
          <w:rFonts w:hint="eastAsia"/>
        </w:rPr>
        <w:t>園區的所在地。然後</w:t>
      </w:r>
      <w:r w:rsidR="00A065C7" w:rsidRPr="00C3310F">
        <w:rPr>
          <w:rFonts w:ascii="新細明體" w:eastAsia="新細明體" w:hAnsi="新細明體" w:hint="eastAsia"/>
        </w:rPr>
        <w:t>〇〇〇</w:t>
      </w:r>
      <w:r w:rsidRPr="00C3310F">
        <w:rPr>
          <w:rFonts w:hint="eastAsia"/>
        </w:rPr>
        <w:t>的話，就是落在水溝谷，</w:t>
      </w:r>
      <w:r w:rsidR="00A065C7" w:rsidRPr="00C3310F">
        <w:rPr>
          <w:rFonts w:ascii="新細明體" w:eastAsia="新細明體" w:hAnsi="新細明體" w:hint="eastAsia"/>
        </w:rPr>
        <w:t>〇〇〇</w:t>
      </w:r>
      <w:r w:rsidRPr="00C3310F">
        <w:rPr>
          <w:rFonts w:hint="eastAsia"/>
        </w:rPr>
        <w:t>就是世界上最大的園區，規模大約三萬人。</w:t>
      </w:r>
      <w:bookmarkEnd w:id="1464"/>
      <w:bookmarkEnd w:id="1465"/>
      <w:bookmarkEnd w:id="1466"/>
    </w:p>
    <w:p w14:paraId="37FCE7AA" w14:textId="144DF943" w:rsidR="00A77297" w:rsidRPr="00C3310F" w:rsidRDefault="00A77297" w:rsidP="00A77297">
      <w:pPr>
        <w:pStyle w:val="3"/>
      </w:pPr>
      <w:bookmarkStart w:id="1467" w:name="_Toc171525755"/>
      <w:bookmarkStart w:id="1468" w:name="_Toc172024280"/>
      <w:bookmarkStart w:id="1469" w:name="_Toc172033603"/>
      <w:r w:rsidRPr="00C3310F">
        <w:rPr>
          <w:rFonts w:hint="eastAsia"/>
        </w:rPr>
        <w:t>組織架構圖他們有一定的分工，首先是財務、客服，當一個金流進來，他們金流有走虛擬貨幣和法幣，假設做臺灣盤的話，一定要有人去收那個錢，那錢怎麼收?就要同時搭配本地的水房跟車手，就是跟車隊搭，如果他們走匯款的話，那就是跟水商、水房搭，水房就要去收人頭戶，所以水商又會再跟收簿集團搭配。人事部分是負責招募境外機房的基層工作人員，可以把它想像成HR</w:t>
      </w:r>
      <w:r w:rsidR="00032196" w:rsidRPr="00C3310F">
        <w:rPr>
          <w:rFonts w:hint="eastAsia"/>
        </w:rPr>
        <w:t>(</w:t>
      </w:r>
      <w:r w:rsidRPr="00C3310F">
        <w:rPr>
          <w:rFonts w:hint="eastAsia"/>
        </w:rPr>
        <w:t>人事</w:t>
      </w:r>
      <w:r w:rsidR="00032196" w:rsidRPr="00C3310F">
        <w:rPr>
          <w:rFonts w:hint="eastAsia"/>
        </w:rPr>
        <w:t>)</w:t>
      </w:r>
      <w:r w:rsidRPr="00C3310F">
        <w:rPr>
          <w:rFonts w:hint="eastAsia"/>
        </w:rPr>
        <w:t>的角色，那之前人口販運會變得很嚴重，就是因為境外機房那時候大缺工，所以</w:t>
      </w:r>
      <w:r w:rsidR="00A1409C" w:rsidRPr="00C3310F">
        <w:rPr>
          <w:rFonts w:hint="eastAsia"/>
        </w:rPr>
        <w:t>詐騙集團</w:t>
      </w:r>
      <w:r w:rsidRPr="00C3310F">
        <w:rPr>
          <w:rFonts w:hint="eastAsia"/>
        </w:rPr>
        <w:t>開始用騙招的方式來招人，以前的話找人都用正招，通常都找一樣是找幫會，或是比較有幫會脈絡的人，說要不要去那邊作假之類的。但後來因為中國打擊，造成大缺工，那時候就開始大量騙大馬華人跟臺灣人，所以才造成臺灣人口販運的問題。總之，本來是做正招，後來轉成騙招，騙招就跟你講說是去做博弈不會限制你自由，後來發現這個可以，他們就再編更大的謊言，比如你去那邊是賣佛牌或去當翻譯，然後就騙了一大堆人去。</w:t>
      </w:r>
      <w:bookmarkEnd w:id="1467"/>
      <w:bookmarkEnd w:id="1468"/>
      <w:bookmarkEnd w:id="1469"/>
    </w:p>
    <w:p w14:paraId="7C50312E" w14:textId="1BD6D866" w:rsidR="00A77297" w:rsidRPr="00C3310F" w:rsidRDefault="00A77297" w:rsidP="00A77297">
      <w:pPr>
        <w:pStyle w:val="3"/>
      </w:pPr>
      <w:bookmarkStart w:id="1470" w:name="_Toc171525756"/>
      <w:bookmarkStart w:id="1471" w:name="_Toc172024281"/>
      <w:bookmarkStart w:id="1472" w:name="_Toc172033604"/>
      <w:r w:rsidRPr="00C3310F">
        <w:rPr>
          <w:rFonts w:hint="eastAsia"/>
        </w:rPr>
        <w:t>講到所謂狗推</w:t>
      </w:r>
      <w:r w:rsidR="000953E0" w:rsidRPr="00C3310F">
        <w:rPr>
          <w:rStyle w:val="afe"/>
        </w:rPr>
        <w:footnoteReference w:id="107"/>
      </w:r>
      <w:r w:rsidRPr="00C3310F">
        <w:rPr>
          <w:rFonts w:hint="eastAsia"/>
        </w:rPr>
        <w:t>，就是看公司做什麼盤口，如果是做</w:t>
      </w:r>
      <w:r w:rsidR="005E17A1" w:rsidRPr="00C3310F">
        <w:rPr>
          <w:rFonts w:hint="eastAsia"/>
        </w:rPr>
        <w:t>臺</w:t>
      </w:r>
      <w:r w:rsidRPr="00C3310F">
        <w:rPr>
          <w:rFonts w:hint="eastAsia"/>
        </w:rPr>
        <w:t>灣盤，要對到的答案就是</w:t>
      </w:r>
      <w:r w:rsidR="005E17A1" w:rsidRPr="00C3310F">
        <w:rPr>
          <w:rFonts w:hint="eastAsia"/>
        </w:rPr>
        <w:t>臺</w:t>
      </w:r>
      <w:r w:rsidRPr="00C3310F">
        <w:rPr>
          <w:rFonts w:hint="eastAsia"/>
        </w:rPr>
        <w:t>灣人，如果做的是</w:t>
      </w:r>
      <w:r w:rsidRPr="00C3310F">
        <w:rPr>
          <w:rFonts w:hint="eastAsia"/>
        </w:rPr>
        <w:lastRenderedPageBreak/>
        <w:t>日本盤就對日本人，就看他們是選擇什麼樣的市場。以境外來說，大概五六成都已經轉做歐美盤了，大概三成是做亞洲盤，然後兩成都是本地盤(中國盤)。</w:t>
      </w:r>
      <w:bookmarkEnd w:id="1470"/>
      <w:bookmarkEnd w:id="1471"/>
      <w:bookmarkEnd w:id="1472"/>
    </w:p>
    <w:p w14:paraId="2B7BBC68" w14:textId="7BF31A61" w:rsidR="00A77297" w:rsidRPr="00C3310F" w:rsidRDefault="00A77297" w:rsidP="00A77297">
      <w:pPr>
        <w:pStyle w:val="3"/>
      </w:pPr>
      <w:bookmarkStart w:id="1473" w:name="_Toc171525757"/>
      <w:bookmarkStart w:id="1474" w:name="_Toc172024282"/>
      <w:bookmarkStart w:id="1475" w:name="_Toc172033605"/>
      <w:r w:rsidRPr="00C3310F">
        <w:rPr>
          <w:rFonts w:hint="eastAsia"/>
        </w:rPr>
        <w:t>除了這個機房本身之外，那他們還有另外的資訊服務，就是架設詐欺網站，是由另外的系統去處理的，並不是由機房自己去維護。以詐欺網站來說，他們更新非常快速，通常是用一個模板下去架設，所以很多詐欺網站是很雷同的，然後網域也都會事先註冊起來，比如說他們可能一次就註冊大概十幾個銷售網頁，但不會十幾個同時用，他們通常先用一個網頁二到三個月，有被通報的時候，他們會跟被害人說系統要升級了要換新的網域，所以他們都會先鋪墊好，到被BAN掉，他們就會無縫地接到第二個網域，如果再被BAN掉，再換第三個，即便他們手上的網域都BAN掉，通常也可以直接通知系統商，通常二到三天就會開一批新網域。</w:t>
      </w:r>
      <w:bookmarkEnd w:id="1473"/>
      <w:bookmarkEnd w:id="1474"/>
      <w:bookmarkEnd w:id="1475"/>
    </w:p>
    <w:p w14:paraId="44F79DA6" w14:textId="77777777" w:rsidR="00A77297" w:rsidRPr="00C3310F" w:rsidRDefault="00A77297" w:rsidP="00A77297">
      <w:pPr>
        <w:pStyle w:val="3"/>
      </w:pPr>
      <w:bookmarkStart w:id="1476" w:name="_Toc171525758"/>
      <w:bookmarkStart w:id="1477" w:name="_Toc172024283"/>
      <w:bookmarkStart w:id="1478" w:name="_Toc172033606"/>
      <w:r w:rsidRPr="00C3310F">
        <w:rPr>
          <w:rFonts w:hint="eastAsia"/>
        </w:rPr>
        <w:t>2022年的9月有一批大掃蕩，不過現在基本上都已經都回去柬埔寨了。中國國安打擊的狀況大概是2022年9月大掃蕩</w:t>
      </w:r>
      <w:r w:rsidR="00A065C7" w:rsidRPr="00C3310F">
        <w:rPr>
          <w:rFonts w:ascii="新細明體" w:eastAsia="新細明體" w:hAnsi="新細明體" w:hint="eastAsia"/>
        </w:rPr>
        <w:t>〇〇</w:t>
      </w:r>
      <w:r w:rsidRPr="00C3310F">
        <w:rPr>
          <w:rFonts w:hint="eastAsia"/>
        </w:rPr>
        <w:t>，後來半年的期間都是壓在柬埔寨</w:t>
      </w:r>
      <w:r w:rsidR="00A065C7" w:rsidRPr="00C3310F">
        <w:rPr>
          <w:rFonts w:ascii="新細明體" w:eastAsia="新細明體" w:hAnsi="新細明體" w:hint="eastAsia"/>
        </w:rPr>
        <w:t>〇〇</w:t>
      </w:r>
      <w:r w:rsidRPr="00C3310F">
        <w:rPr>
          <w:rFonts w:hint="eastAsia"/>
        </w:rPr>
        <w:t>那邊，有一段時間是機房是沒辦法運作的，就大量就挪移到緬甸。移到緬甸之後就變成了緬甸人口販運很嚴重，所以像以近期來說，大家如果追蹤新聞的話，應該就會看到中國國安大概近三個月都是在打擊</w:t>
      </w:r>
      <w:r w:rsidR="00A065C7" w:rsidRPr="00C3310F">
        <w:rPr>
          <w:rFonts w:ascii="新細明體" w:eastAsia="新細明體" w:hAnsi="新細明體" w:hint="eastAsia"/>
        </w:rPr>
        <w:t>〇〇</w:t>
      </w:r>
      <w:r w:rsidRPr="00C3310F">
        <w:rPr>
          <w:rFonts w:hint="eastAsia"/>
        </w:rPr>
        <w:t>那邊。所以</w:t>
      </w:r>
      <w:r w:rsidR="00A065C7" w:rsidRPr="00C3310F">
        <w:rPr>
          <w:rFonts w:ascii="新細明體" w:eastAsia="新細明體" w:hAnsi="新細明體" w:hint="eastAsia"/>
        </w:rPr>
        <w:t>〇〇</w:t>
      </w:r>
      <w:r w:rsidRPr="00C3310F">
        <w:rPr>
          <w:rFonts w:hint="eastAsia"/>
        </w:rPr>
        <w:t>這波清出了大概上萬人，上萬都是中國人。</w:t>
      </w:r>
      <w:bookmarkEnd w:id="1476"/>
      <w:bookmarkEnd w:id="1477"/>
      <w:bookmarkEnd w:id="1478"/>
    </w:p>
    <w:p w14:paraId="6A67C829" w14:textId="5929D0B8" w:rsidR="00A77297" w:rsidRPr="00C3310F" w:rsidRDefault="00A77297" w:rsidP="00A77297">
      <w:pPr>
        <w:pStyle w:val="3"/>
      </w:pPr>
      <w:bookmarkStart w:id="1479" w:name="_Toc171525759"/>
      <w:bookmarkStart w:id="1480" w:name="_Toc172024284"/>
      <w:bookmarkStart w:id="1481" w:name="_Toc172033607"/>
      <w:r w:rsidRPr="00C3310F">
        <w:rPr>
          <w:rFonts w:hint="eastAsia"/>
        </w:rPr>
        <w:t>詐騙產業鏈的人口級別是百萬人口以上，前面講到做臺灣盤，要收錢的話，客服或是財務單位會對應到臺灣的水房車手；如果是人事的話，會跟臺灣的</w:t>
      </w:r>
      <w:r w:rsidRPr="00C3310F">
        <w:rPr>
          <w:rFonts w:hint="eastAsia"/>
        </w:rPr>
        <w:lastRenderedPageBreak/>
        <w:t>人事跟中游做對接，狗頭的話會跟臺灣做對接。這種對接方式通常是讓臺灣人去處理，招募的話很多就是在偏門的地方社團PO文，PO文是以黑話的方式，只讓行內人看得懂，看不懂的人的話可能就會以為是去當臨時工，行內人看就知道是在收車手收簿。他們PO文就是在各個工作社群PO，然後要你加</w:t>
      </w:r>
      <w:r w:rsidR="00DF3BE8" w:rsidRPr="00C3310F">
        <w:rPr>
          <w:rFonts w:hint="eastAsia"/>
        </w:rPr>
        <w:t>LINE</w:t>
      </w:r>
      <w:r w:rsidRPr="00C3310F">
        <w:rPr>
          <w:rFonts w:hint="eastAsia"/>
        </w:rPr>
        <w:t>，叫你把簿子提供出去。</w:t>
      </w:r>
      <w:bookmarkEnd w:id="1479"/>
      <w:bookmarkEnd w:id="1480"/>
      <w:bookmarkEnd w:id="1481"/>
    </w:p>
    <w:p w14:paraId="2A76CB73" w14:textId="04F37A08" w:rsidR="00A77297" w:rsidRPr="00C3310F" w:rsidRDefault="00A77297" w:rsidP="00A77297">
      <w:pPr>
        <w:pStyle w:val="3"/>
      </w:pPr>
      <w:bookmarkStart w:id="1482" w:name="_Toc171525761"/>
      <w:bookmarkStart w:id="1483" w:name="_Toc172024286"/>
      <w:bookmarkStart w:id="1484" w:name="_Toc172033609"/>
      <w:r w:rsidRPr="00C3310F">
        <w:rPr>
          <w:rFonts w:hint="eastAsia"/>
        </w:rPr>
        <w:t>早期很多都是找街友直接當面收簿，後來開始因為人頭戶大量被查封之後，就處於一個不太夠用的情況，所以他們才會開始收簿，那收簿其中一個話術就是找工作，家庭代工，這也是兩個常見的話術劇本。那現在收簿的話，如果是對行內的人收的話，大概價碼，現在大概快要到</w:t>
      </w:r>
      <w:r w:rsidR="009D00AE" w:rsidRPr="00C3310F">
        <w:rPr>
          <w:rFonts w:hint="eastAsia"/>
        </w:rPr>
        <w:t>30</w:t>
      </w:r>
      <w:r w:rsidRPr="00C3310F">
        <w:rPr>
          <w:rFonts w:hint="eastAsia"/>
        </w:rPr>
        <w:t>萬左右。早年他們是軟控車，控車的意思是說，我這個簿收去給水房用了之後，那水房當然就很擔心這個簿被凍結，因為卡金流對水房來說是唯一的風險，他們會很強烈地去避免帳戶在金流還在跑的時候卡錢在裡面。所以要如何去避免這件事情？就是要搭配控車，搭控車的意思就是這個人頭戶的提供者，他必須要配合做監控，然後早期他們是讓人頭住在民宿裡面，然後這段時間不能用網路，不能用電話，不能有任何聯絡，直到他的簿被凍起來，通常時間就是</w:t>
      </w:r>
      <w:r w:rsidR="009D00AE" w:rsidRPr="00C3310F">
        <w:rPr>
          <w:rFonts w:hint="eastAsia"/>
        </w:rPr>
        <w:t>5</w:t>
      </w:r>
      <w:r w:rsidRPr="00C3310F">
        <w:rPr>
          <w:rFonts w:hint="eastAsia"/>
        </w:rPr>
        <w:t>到</w:t>
      </w:r>
      <w:r w:rsidR="009D00AE" w:rsidRPr="00C3310F">
        <w:rPr>
          <w:rFonts w:hint="eastAsia"/>
        </w:rPr>
        <w:t>7</w:t>
      </w:r>
      <w:r w:rsidRPr="00C3310F">
        <w:rPr>
          <w:rFonts w:hint="eastAsia"/>
        </w:rPr>
        <w:t>天左右，</w:t>
      </w:r>
      <w:r w:rsidR="009D00AE" w:rsidRPr="00C3310F">
        <w:rPr>
          <w:rFonts w:hint="eastAsia"/>
        </w:rPr>
        <w:t>5</w:t>
      </w:r>
      <w:r w:rsidRPr="00C3310F">
        <w:rPr>
          <w:rFonts w:hint="eastAsia"/>
        </w:rPr>
        <w:t>到</w:t>
      </w:r>
      <w:r w:rsidR="009D00AE" w:rsidRPr="00C3310F">
        <w:rPr>
          <w:rFonts w:hint="eastAsia"/>
        </w:rPr>
        <w:t>7</w:t>
      </w:r>
      <w:r w:rsidRPr="00C3310F">
        <w:rPr>
          <w:rFonts w:hint="eastAsia"/>
        </w:rPr>
        <w:t>天就是他們使用這個戶頭的時間。本來是軟控，軟控的前提是這個這個人通常是內部人、是自願就會搭軟控；現在就是發展成強控，強控的意思就是被騙來的劇本是面試，一進門就把你打暈了。收簿團和控車以家庭代工為話術，說要收簿是很合理，因為要給你薪水，所以拿你的簿，這個劇本才會是合理的。這種人物設定下，那中年婦女是</w:t>
      </w:r>
      <w:r w:rsidRPr="00C3310F">
        <w:rPr>
          <w:rFonts w:hint="eastAsia"/>
        </w:rPr>
        <w:lastRenderedPageBreak/>
        <w:t>他們很常去針對的一個群體，在某一套劇本裡面。家庭代工話術很多是以中年婦女為核心，然後還有另外一個的，他們殺豬盤也會是以中年女性為族群，那原因也很簡單，就是如果他想要騙錢的話，這群人是有儲蓄習慣的人，如果我的劇本是假交友，假投資的話，那這群人通常也是生活比較單純，而且可能在婚內是缺乏陪伴的，有感情上面的需求，所以對這群人要騙感情或是騙錢都是相對比較好處理，所以說官方統計跟我這邊統計可能會不一樣，我覺得是通報率太低，所以才產生了這個落差。就我自己統計大概七成的對象是女性，然後裡面大概有四成左右都被騙。他們很愛下這種廣告，就是什麼如何兼顧工作跟育兒和家庭，又照顧小孩，又同時有收入，他們有一陣子很常下這個廣告類型。</w:t>
      </w:r>
      <w:bookmarkEnd w:id="1482"/>
      <w:bookmarkEnd w:id="1483"/>
      <w:bookmarkEnd w:id="1484"/>
    </w:p>
    <w:p w14:paraId="2A67CC9A" w14:textId="5089B774" w:rsidR="00A77297" w:rsidRPr="00C3310F" w:rsidRDefault="00A77297" w:rsidP="00A77297">
      <w:pPr>
        <w:pStyle w:val="3"/>
      </w:pPr>
      <w:bookmarkStart w:id="1485" w:name="_Toc171525762"/>
      <w:bookmarkStart w:id="1486" w:name="_Toc172024287"/>
      <w:bookmarkStart w:id="1487" w:name="_Toc172033610"/>
      <w:r w:rsidRPr="00C3310F">
        <w:rPr>
          <w:rFonts w:hint="eastAsia"/>
        </w:rPr>
        <w:t>資訊服務部分，他們系統商會直接支援，今天只有二十幾歲的人去那邊開機房怎麼會有相應的資源?通常都是由系統商去所謂那邊的扶持，系統商會貼文說要招代理員，他們除了系統的支援之外，還有各種好比說賣微信的、賣F</w:t>
      </w:r>
      <w:r w:rsidR="009D00AE" w:rsidRPr="00C3310F">
        <w:rPr>
          <w:rFonts w:hint="eastAsia"/>
        </w:rPr>
        <w:t>a</w:t>
      </w:r>
      <w:r w:rsidR="009D00AE" w:rsidRPr="00C3310F">
        <w:t>cebook</w:t>
      </w:r>
      <w:r w:rsidRPr="00C3310F">
        <w:rPr>
          <w:rFonts w:hint="eastAsia"/>
        </w:rPr>
        <w:t>的、賣</w:t>
      </w:r>
      <w:r w:rsidR="009D00AE" w:rsidRPr="00C3310F">
        <w:t>Instagram</w:t>
      </w:r>
      <w:r w:rsidRPr="00C3310F">
        <w:rPr>
          <w:rFonts w:hint="eastAsia"/>
        </w:rPr>
        <w:t>的，然後還有跟周邊的素材套件，就是你要執行詐欺的話首先要包裝假的人設，我要去有這些養(帳)號，養號有另外的公司或團隊處理，常用是拿小網紅的生活素材、旅遊照片打包，讓狗推第一線執行詐欺的人有素材可以跟客戶去對話，他們的素材周邊智慧系統比大家想像中齊全，受害人並不是一對一地在跟一個騙子聊天，很多人對此都誤以為說是一個狗推對一個受害者，他們的工作模式一開始是引流，好比說我在591針對房東做狙擊的，先假裝是租客然後假裝要租房，其實他只是創造接觸的話</w:t>
      </w:r>
      <w:r w:rsidRPr="00C3310F">
        <w:rPr>
          <w:rFonts w:hint="eastAsia"/>
        </w:rPr>
        <w:lastRenderedPageBreak/>
        <w:t>題，說因為要工作出差，所以沒辦法去看房子，然後講到臺灣房價很貴，你是怎麼做到這個，可以讓這個房東有所好奇，轉而變成是交友，他可能會說他其實是做虛擬貨幣投資的人，今天臨時出差也是跟交易所有關，你對這個就虛擬貨幣投資有興趣嗎，慢慢地把話題引導到投資這件事情。後面的狗推通常大概是</w:t>
      </w:r>
      <w:r w:rsidR="009D00AE" w:rsidRPr="00C3310F">
        <w:rPr>
          <w:rFonts w:hint="eastAsia"/>
        </w:rPr>
        <w:t>4</w:t>
      </w:r>
      <w:r w:rsidRPr="00C3310F">
        <w:rPr>
          <w:rFonts w:hint="eastAsia"/>
        </w:rPr>
        <w:t>到</w:t>
      </w:r>
      <w:r w:rsidR="009D00AE" w:rsidRPr="00C3310F">
        <w:rPr>
          <w:rFonts w:hint="eastAsia"/>
        </w:rPr>
        <w:t>5</w:t>
      </w:r>
      <w:r w:rsidRPr="00C3310F">
        <w:rPr>
          <w:rFonts w:hint="eastAsia"/>
        </w:rPr>
        <w:t>個，他們會一個小team、一個小team，每個小team會有一個小組長，以一個狗頭來說，因為狗頭他們手上會有大概</w:t>
      </w:r>
      <w:r w:rsidR="009D00AE" w:rsidRPr="00C3310F">
        <w:rPr>
          <w:rFonts w:hint="eastAsia"/>
        </w:rPr>
        <w:t>4</w:t>
      </w:r>
      <w:r w:rsidRPr="00C3310F">
        <w:rPr>
          <w:rFonts w:hint="eastAsia"/>
        </w:rPr>
        <w:t>到</w:t>
      </w:r>
      <w:r w:rsidR="009D00AE" w:rsidRPr="00C3310F">
        <w:rPr>
          <w:rFonts w:hint="eastAsia"/>
        </w:rPr>
        <w:t>5</w:t>
      </w:r>
      <w:r w:rsidRPr="00C3310F">
        <w:rPr>
          <w:rFonts w:hint="eastAsia"/>
        </w:rPr>
        <w:t>支工作機，工作機同時會跟他十幾個被害人聊天，會在裡面去討論如何跟被害人發展關係，由小team去討論出來。比如說他們覺得關係有點卡住了，要怎麼去突破?他們其實是每一天晚上都開會討論，他們會去做客戶管理。</w:t>
      </w:r>
      <w:bookmarkEnd w:id="1485"/>
      <w:bookmarkEnd w:id="1486"/>
      <w:bookmarkEnd w:id="1487"/>
    </w:p>
    <w:p w14:paraId="6B20F0E8" w14:textId="4E4FC72A" w:rsidR="00A77297" w:rsidRPr="00C3310F" w:rsidRDefault="00A77297" w:rsidP="00A77297">
      <w:pPr>
        <w:pStyle w:val="3"/>
      </w:pPr>
      <w:bookmarkStart w:id="1488" w:name="_Toc171525763"/>
      <w:bookmarkStart w:id="1489" w:name="_Toc172024288"/>
      <w:bookmarkStart w:id="1490" w:name="_Toc172033611"/>
      <w:r w:rsidRPr="00C3310F">
        <w:rPr>
          <w:rFonts w:hint="eastAsia"/>
        </w:rPr>
        <w:t>有關虛擬貨幣在產業鏈扮演的角色，有一部分金流是走反方向，用匯款或是面交現金的這種</w:t>
      </w:r>
      <w:r w:rsidR="008808DC" w:rsidRPr="00C3310F">
        <w:rPr>
          <w:rFonts w:hint="eastAsia"/>
        </w:rPr>
        <w:t>作</w:t>
      </w:r>
      <w:r w:rsidRPr="00C3310F">
        <w:rPr>
          <w:rFonts w:hint="eastAsia"/>
        </w:rPr>
        <w:t>法，但到後面七成案件都是以虛擬貨幣方式出去。也有一開始就是直接走虛擬貨幣的，其中特別是裡面的USDT穩定幣，這一類的不法所得其實是會被在區塊鏈安全標註為黑U，這些黑U要如何去洗白?就會是一個對於洗錢方很重要事情，通常會用社群媒體去找可以做兌換的，然後慢慢把黑U消化掉，用各種平臺去做洗錢，中國那時候還弄一個斷卡行動，當時候凍結了</w:t>
      </w:r>
      <w:r w:rsidR="009D00AE" w:rsidRPr="00C3310F">
        <w:rPr>
          <w:rFonts w:hint="eastAsia"/>
        </w:rPr>
        <w:t>14</w:t>
      </w:r>
      <w:r w:rsidRPr="00C3310F">
        <w:rPr>
          <w:rFonts w:hint="eastAsia"/>
        </w:rPr>
        <w:t>億的帳戶，包含留學生要去開帳戶都會變得非常困難，洗錢很難把錢匯出來，因為這個緣故，很多機房就放棄了中國盤轉做臺灣盤，現在就轉做歐美盤，對象還是在歐美的華人。</w:t>
      </w:r>
      <w:bookmarkEnd w:id="1488"/>
      <w:bookmarkEnd w:id="1489"/>
      <w:bookmarkEnd w:id="1490"/>
    </w:p>
    <w:p w14:paraId="69C6E0A0" w14:textId="77777777" w:rsidR="00A77297" w:rsidRPr="00C3310F" w:rsidRDefault="00A77297" w:rsidP="00A77297">
      <w:pPr>
        <w:pStyle w:val="3"/>
      </w:pPr>
      <w:bookmarkStart w:id="1491" w:name="_Toc171525764"/>
      <w:bookmarkStart w:id="1492" w:name="_Toc172024289"/>
      <w:bookmarkStart w:id="1493" w:name="_Toc172033612"/>
      <w:r w:rsidRPr="00C3310F">
        <w:rPr>
          <w:rFonts w:hint="eastAsia"/>
        </w:rPr>
        <w:t>以詐欺來說，他們真正想要的東西是財產，所以目標就應該要放在金流，去降低整個詐欺產業鏈的</w:t>
      </w:r>
      <w:r w:rsidRPr="00C3310F">
        <w:rPr>
          <w:rFonts w:hint="eastAsia"/>
        </w:rPr>
        <w:lastRenderedPageBreak/>
        <w:t>獲利，所以核心要處理就要變成是洗錢了，回到虛擬貨幣增強反洗錢的這個能力，應該是現行所以唯一可以去處理的課題。</w:t>
      </w:r>
      <w:bookmarkEnd w:id="1491"/>
      <w:bookmarkEnd w:id="1492"/>
      <w:bookmarkEnd w:id="1493"/>
    </w:p>
    <w:p w14:paraId="0DA44D25" w14:textId="659870EB" w:rsidR="00A77297" w:rsidRPr="00C3310F" w:rsidRDefault="00A77297" w:rsidP="00A77297">
      <w:pPr>
        <w:pStyle w:val="2"/>
      </w:pPr>
      <w:bookmarkStart w:id="1494" w:name="_Toc171525765"/>
      <w:bookmarkStart w:id="1495" w:name="_Toc172024290"/>
      <w:bookmarkStart w:id="1496" w:name="_Toc172033613"/>
      <w:r w:rsidRPr="00C3310F">
        <w:rPr>
          <w:rFonts w:hint="eastAsia"/>
        </w:rPr>
        <w:t>台灣</w:t>
      </w:r>
      <w:r w:rsidR="008808DC" w:rsidRPr="00C3310F">
        <w:rPr>
          <w:rFonts w:hint="eastAsia"/>
        </w:rPr>
        <w:t>事實查核</w:t>
      </w:r>
      <w:r w:rsidRPr="00C3310F">
        <w:rPr>
          <w:rFonts w:hint="eastAsia"/>
        </w:rPr>
        <w:t>中心邱家宜執行長</w:t>
      </w:r>
      <w:bookmarkEnd w:id="1494"/>
      <w:bookmarkEnd w:id="1495"/>
      <w:bookmarkEnd w:id="1496"/>
    </w:p>
    <w:p w14:paraId="733030F2" w14:textId="2430DF55" w:rsidR="00A77297" w:rsidRPr="00C3310F" w:rsidRDefault="00A77297" w:rsidP="00A77297">
      <w:pPr>
        <w:pStyle w:val="3"/>
      </w:pPr>
      <w:bookmarkStart w:id="1497" w:name="_Toc171525766"/>
      <w:bookmarkStart w:id="1498" w:name="_Toc172024291"/>
      <w:bookmarkStart w:id="1499" w:name="_Toc172033614"/>
      <w:r w:rsidRPr="00C3310F">
        <w:rPr>
          <w:rFonts w:hint="eastAsia"/>
        </w:rPr>
        <w:t>我其實有在跟同事討論。我們查核中心要把詐騙highlight，我們要調整版面，把詐騙的專門就放在最上面的右上角左上角。反正我們要把詐騙放在最上面的地方，讓大家越容易看到，因為詐騙真的是民眾最有感的。</w:t>
      </w:r>
      <w:bookmarkEnd w:id="1497"/>
      <w:bookmarkEnd w:id="1498"/>
      <w:bookmarkEnd w:id="1499"/>
    </w:p>
    <w:p w14:paraId="1AD2B013" w14:textId="176B232C" w:rsidR="00A77297" w:rsidRPr="00C3310F" w:rsidRDefault="00A77297" w:rsidP="00A77297">
      <w:pPr>
        <w:pStyle w:val="3"/>
      </w:pPr>
      <w:bookmarkStart w:id="1500" w:name="_Toc171525767"/>
      <w:bookmarkStart w:id="1501" w:name="_Toc172024292"/>
      <w:bookmarkStart w:id="1502" w:name="_Toc172033615"/>
      <w:r w:rsidRPr="00C3310F">
        <w:rPr>
          <w:rFonts w:hint="eastAsia"/>
        </w:rPr>
        <w:t>然後我們最近發現一個狀況就是二次詐騙，就是有一個假訊息說我們是律師團隊。如果被騙請跟我們聯絡，可以把錢要回來。然後那個是詐騙，他用的是一個新加坡的law firm的照片，你點進去之後，他就是叫你付錢給他，然後他會幫你要錢。那個律師事務所被人家盜用照片。然後他去跟</w:t>
      </w:r>
      <w:r w:rsidR="0004575A" w:rsidRPr="00C3310F">
        <w:rPr>
          <w:rFonts w:hint="eastAsia"/>
        </w:rPr>
        <w:t>平臺</w:t>
      </w:r>
      <w:r w:rsidRPr="00C3310F">
        <w:rPr>
          <w:rFonts w:hint="eastAsia"/>
        </w:rPr>
        <w:t>講說，這個是盜用的趕快把它封鎖下架。事務所說</w:t>
      </w:r>
      <w:r w:rsidR="0004575A" w:rsidRPr="00C3310F">
        <w:rPr>
          <w:rFonts w:hint="eastAsia"/>
        </w:rPr>
        <w:t>平臺</w:t>
      </w:r>
      <w:r w:rsidRPr="00C3310F">
        <w:rPr>
          <w:rFonts w:hint="eastAsia"/>
        </w:rPr>
        <w:t>都不理他，意思就是說，本尊已經出來說有人冒用名義去做廣告詐騙。可是平臺不理他，我記得應該是META吧。</w:t>
      </w:r>
      <w:bookmarkEnd w:id="1500"/>
      <w:bookmarkEnd w:id="1501"/>
      <w:bookmarkEnd w:id="1502"/>
    </w:p>
    <w:p w14:paraId="1FB97BA2" w14:textId="0D224AA2" w:rsidR="00A77297" w:rsidRPr="00C3310F" w:rsidRDefault="00A77297" w:rsidP="00A77297">
      <w:pPr>
        <w:pStyle w:val="3"/>
      </w:pPr>
      <w:bookmarkStart w:id="1503" w:name="_Toc171525768"/>
      <w:bookmarkStart w:id="1504" w:name="_Toc172024293"/>
      <w:bookmarkStart w:id="1505" w:name="_Toc172033616"/>
      <w:r w:rsidRPr="00C3310F">
        <w:rPr>
          <w:rFonts w:hint="eastAsia"/>
        </w:rPr>
        <w:t>監察委員的守備範圍，雖然沒有辦法去要求立法院，可是我們可以去要求行政機構，立法院要通過這個法案，可是行政院可以努力的去做一些設計，也許當然就像羅老師講的源頭管理，我們查核中心也是很下游。我們每天已經是一大堆垃圾，我們只是清垃圾，而我們能夠清的垃圾</w:t>
      </w:r>
      <w:r w:rsidR="008808DC" w:rsidRPr="00C3310F">
        <w:rPr>
          <w:rFonts w:hint="eastAsia"/>
        </w:rPr>
        <w:t>，</w:t>
      </w:r>
      <w:r w:rsidRPr="00C3310F">
        <w:rPr>
          <w:rFonts w:hint="eastAsia"/>
        </w:rPr>
        <w:t>只是讓家門口垃圾稍微掃開殘雪，我們可以走出一條路，還可以勉強走出門而已，其實還是有成堆的那種假訊息完全清理不完，我們也查核不完，我們查核中心也只能針對廣泛的詐騙議題，比如水費詐騙，可是如果是針對</w:t>
      </w:r>
      <w:r w:rsidRPr="00C3310F">
        <w:rPr>
          <w:rFonts w:hint="eastAsia"/>
        </w:rPr>
        <w:lastRenderedPageBreak/>
        <w:t>你個人寄到你的 email 、</w:t>
      </w:r>
      <w:r w:rsidR="00DF3BE8" w:rsidRPr="00C3310F">
        <w:rPr>
          <w:rFonts w:hint="eastAsia"/>
        </w:rPr>
        <w:t>LINE</w:t>
      </w:r>
      <w:r w:rsidRPr="00C3310F">
        <w:rPr>
          <w:rFonts w:hint="eastAsia"/>
        </w:rPr>
        <w:t>什麼的那種客製化的詐騙，我們比較沒有辦法處理，這種客製化我們沒有辦法去查核，因為我們不知道每個人的臉書的網頁上會出現什麼樣的詐騙的內容？而這個完全是依附在他的演算法上的，所以我們如果沒有去做源頭管理，就是說告訴這個平臺說這些東西是有責任的。我們現在的工作就是要怎麼樣讓人民相信說去管理平臺對大家是好的，平臺他賺了很多錢，那他是不是也應該要負起一點社會責任?我們各行各業都有我們自己的社會責任。律師有責任，會計師有責任，對不對，我們都有我們的倫理，那你們平臺業者應該有你們的倫理啊。</w:t>
      </w:r>
      <w:bookmarkEnd w:id="1503"/>
      <w:bookmarkEnd w:id="1504"/>
      <w:bookmarkEnd w:id="1505"/>
    </w:p>
    <w:p w14:paraId="29C8A834" w14:textId="7795D98D" w:rsidR="00A77297" w:rsidRPr="00C3310F" w:rsidRDefault="00A77297" w:rsidP="00A77297">
      <w:pPr>
        <w:pStyle w:val="3"/>
      </w:pPr>
      <w:bookmarkStart w:id="1506" w:name="_Toc171525769"/>
      <w:bookmarkStart w:id="1507" w:name="_Toc172024294"/>
      <w:bookmarkStart w:id="1508" w:name="_Toc172033617"/>
      <w:r w:rsidRPr="00C3310F">
        <w:rPr>
          <w:rFonts w:hint="eastAsia"/>
        </w:rPr>
        <w:t>我們去英國Ofcom交流，就是有點像</w:t>
      </w:r>
      <w:r w:rsidR="00314645" w:rsidRPr="00C3310F">
        <w:t>通傳會</w:t>
      </w:r>
      <w:r w:rsidRPr="00C3310F">
        <w:rPr>
          <w:rFonts w:hint="eastAsia"/>
        </w:rPr>
        <w:t>但更獨立一些，</w:t>
      </w:r>
      <w:r w:rsidRPr="00C3310F">
        <w:t>O</w:t>
      </w:r>
      <w:r w:rsidRPr="00C3310F">
        <w:rPr>
          <w:rFonts w:hint="eastAsia"/>
        </w:rPr>
        <w:t>fcom新成立了一個</w:t>
      </w:r>
      <w:r w:rsidR="008808DC" w:rsidRPr="00C3310F">
        <w:rPr>
          <w:rFonts w:hint="eastAsia"/>
        </w:rPr>
        <w:t>數位部</w:t>
      </w:r>
      <w:r w:rsidRPr="00C3310F">
        <w:rPr>
          <w:rFonts w:hint="eastAsia"/>
        </w:rPr>
        <w:t>門，他們現在聘了三百人在專門在做網路，主要是跟這些業者不斷地去</w:t>
      </w:r>
      <w:r w:rsidR="00A73686" w:rsidRPr="00C3310F">
        <w:rPr>
          <w:rFonts w:hint="eastAsia"/>
        </w:rPr>
        <w:t>磋商</w:t>
      </w:r>
      <w:r w:rsidRPr="00C3310F">
        <w:rPr>
          <w:rFonts w:hint="eastAsia"/>
        </w:rPr>
        <w:t>。我個人的期待就是源頭管理，打蛇打七寸才是比較有效率的，而且是從上游去做一些法律框架，我們不是說去做內容的管理，而是做一個法律框架，然後怎麼從結構面去做一個規範，就是說平臺也有他的責任，平臺也需要遵守某一種規範。</w:t>
      </w:r>
      <w:bookmarkEnd w:id="1506"/>
      <w:bookmarkEnd w:id="1507"/>
      <w:bookmarkEnd w:id="1508"/>
    </w:p>
    <w:p w14:paraId="11E9AF21" w14:textId="2A400F70" w:rsidR="00A77297" w:rsidRPr="00C3310F" w:rsidRDefault="00A77297" w:rsidP="00A77297">
      <w:pPr>
        <w:pStyle w:val="3"/>
      </w:pPr>
      <w:bookmarkStart w:id="1509" w:name="_Toc171525770"/>
      <w:bookmarkStart w:id="1510" w:name="_Toc172024295"/>
      <w:bookmarkStart w:id="1511" w:name="_Toc172033618"/>
      <w:r w:rsidRPr="00C3310F">
        <w:rPr>
          <w:rFonts w:hint="eastAsia"/>
        </w:rPr>
        <w:t>另外一個就是監察院也可以去關注教育部到底在媒體素養這個事情上做了多少事？他當然已經成立了媒體素養推動會，但是我們也知道政府機關有時候有一個會之後，常常就是會而不會，就是說有一個會，可是他也不一定會開會，那他開會也不一定會有產生什麼具體的結果？當然我們其實NGO其實有在做，Google也有給我們funding做media literacy，可是系統性的結構性的，我覺得整個學校體系，教育部如果能夠多做一點，例如公私協力，</w:t>
      </w:r>
      <w:r w:rsidRPr="00C3310F">
        <w:rPr>
          <w:rFonts w:hint="eastAsia"/>
        </w:rPr>
        <w:lastRenderedPageBreak/>
        <w:t>那會更有幫助。</w:t>
      </w:r>
      <w:bookmarkEnd w:id="1509"/>
      <w:bookmarkEnd w:id="1510"/>
      <w:bookmarkEnd w:id="1511"/>
    </w:p>
    <w:p w14:paraId="4CF04F77" w14:textId="4D2A61C4" w:rsidR="00A77297" w:rsidRPr="00C3310F" w:rsidRDefault="00A77297" w:rsidP="00A77297">
      <w:pPr>
        <w:pStyle w:val="3"/>
      </w:pPr>
      <w:bookmarkStart w:id="1512" w:name="_Toc171525771"/>
      <w:bookmarkStart w:id="1513" w:name="_Toc172024296"/>
      <w:bookmarkStart w:id="1514" w:name="_Toc172033619"/>
      <w:r w:rsidRPr="00C3310F">
        <w:rPr>
          <w:rFonts w:hint="eastAsia"/>
        </w:rPr>
        <w:t>我總結一下，</w:t>
      </w:r>
      <w:r w:rsidR="000C250D" w:rsidRPr="00C3310F">
        <w:rPr>
          <w:rFonts w:hint="eastAsia"/>
        </w:rPr>
        <w:t>我們要怎麼去設計一個平台治理的法律框架，進而重啟平台治理的</w:t>
      </w:r>
      <w:r w:rsidR="00EF2D4E" w:rsidRPr="00C3310F">
        <w:rPr>
          <w:rFonts w:hint="eastAsia"/>
        </w:rPr>
        <w:t>社會溝通，</w:t>
      </w:r>
      <w:r w:rsidRPr="00C3310F">
        <w:rPr>
          <w:rFonts w:hint="eastAsia"/>
        </w:rPr>
        <w:t>那當然也就寄望</w:t>
      </w:r>
      <w:r w:rsidR="00314645" w:rsidRPr="00C3310F">
        <w:rPr>
          <w:rFonts w:hint="eastAsia"/>
        </w:rPr>
        <w:t>通傳會</w:t>
      </w:r>
      <w:r w:rsidRPr="00C3310F">
        <w:rPr>
          <w:rFonts w:hint="eastAsia"/>
        </w:rPr>
        <w:t>吧，就新任的委員或者是</w:t>
      </w:r>
      <w:r w:rsidR="00D82B1C" w:rsidRPr="00C3310F">
        <w:rPr>
          <w:rFonts w:hint="eastAsia"/>
        </w:rPr>
        <w:t>數發部</w:t>
      </w:r>
      <w:r w:rsidRPr="00C3310F">
        <w:rPr>
          <w:rFonts w:hint="eastAsia"/>
        </w:rPr>
        <w:t>，未來的就是兩部會怎麼樣去協調，行政院可能要站在這個就是敦促的高度，那教育部就是要去負責使用者端。</w:t>
      </w:r>
      <w:bookmarkEnd w:id="1512"/>
      <w:bookmarkEnd w:id="1513"/>
      <w:bookmarkEnd w:id="1514"/>
    </w:p>
    <w:p w14:paraId="3A257733" w14:textId="39317483" w:rsidR="00A77297" w:rsidRPr="00C3310F" w:rsidRDefault="00A77297" w:rsidP="00A77297">
      <w:pPr>
        <w:pStyle w:val="2"/>
      </w:pPr>
      <w:bookmarkStart w:id="1515" w:name="_Toc171525772"/>
      <w:bookmarkStart w:id="1516" w:name="_Toc172024297"/>
      <w:bookmarkStart w:id="1517" w:name="_Toc172033620"/>
      <w:r w:rsidRPr="00C3310F">
        <w:rPr>
          <w:rFonts w:hint="eastAsia"/>
        </w:rPr>
        <w:t>國立中正大學犯罪防治學系許華孚教授</w:t>
      </w:r>
      <w:bookmarkEnd w:id="1515"/>
      <w:bookmarkEnd w:id="1516"/>
      <w:bookmarkEnd w:id="1517"/>
    </w:p>
    <w:p w14:paraId="4A5AB9BE" w14:textId="21821621" w:rsidR="00A77297" w:rsidRPr="00C3310F" w:rsidRDefault="00A77297" w:rsidP="00A77297">
      <w:pPr>
        <w:pStyle w:val="3"/>
      </w:pPr>
      <w:bookmarkStart w:id="1518" w:name="_Toc171525773"/>
      <w:bookmarkStart w:id="1519" w:name="_Toc172024298"/>
      <w:bookmarkStart w:id="1520" w:name="_Toc172033621"/>
      <w:r w:rsidRPr="00C3310F">
        <w:rPr>
          <w:rFonts w:hint="eastAsia"/>
        </w:rPr>
        <w:t>近年暴力犯罪一直下降，但是詐欺犯罪成長了好幾倍，那我們也要學英國</w:t>
      </w:r>
      <w:r w:rsidR="008808DC" w:rsidRPr="00C3310F">
        <w:rPr>
          <w:rFonts w:hint="eastAsia"/>
        </w:rPr>
        <w:t>、</w:t>
      </w:r>
      <w:r w:rsidRPr="00C3310F">
        <w:rPr>
          <w:rFonts w:hint="eastAsia"/>
        </w:rPr>
        <w:t>日本怎麼去打詐，那我剛才說詐欺是全球化的現象，所以現在很多國家都立這種法律來打詐。</w:t>
      </w:r>
      <w:bookmarkEnd w:id="1518"/>
      <w:bookmarkEnd w:id="1519"/>
      <w:bookmarkEnd w:id="1520"/>
    </w:p>
    <w:p w14:paraId="15947C2D" w14:textId="54ECAB83" w:rsidR="00A77297" w:rsidRPr="00C3310F" w:rsidRDefault="00A77297" w:rsidP="00A77297">
      <w:pPr>
        <w:pStyle w:val="3"/>
      </w:pPr>
      <w:bookmarkStart w:id="1521" w:name="_Toc171525774"/>
      <w:bookmarkStart w:id="1522" w:name="_Toc172024299"/>
      <w:bookmarkStart w:id="1523" w:name="_Toc172033622"/>
      <w:r w:rsidRPr="00C3310F">
        <w:rPr>
          <w:rFonts w:hint="eastAsia"/>
        </w:rPr>
        <w:t>我們可以看到一個數據，我們大概詐欺有起訴的有五萬多人，但是真正被判定入監服刑只有</w:t>
      </w:r>
      <w:r w:rsidR="00A73686" w:rsidRPr="00C3310F">
        <w:rPr>
          <w:rFonts w:hint="eastAsia"/>
        </w:rPr>
        <w:t>1</w:t>
      </w:r>
      <w:r w:rsidRPr="00C3310F">
        <w:rPr>
          <w:rFonts w:hint="eastAsia"/>
        </w:rPr>
        <w:t>萬</w:t>
      </w:r>
      <w:r w:rsidR="00A73686" w:rsidRPr="00C3310F">
        <w:rPr>
          <w:rFonts w:hint="eastAsia"/>
        </w:rPr>
        <w:t>6</w:t>
      </w:r>
      <w:r w:rsidR="00A73686" w:rsidRPr="00C3310F">
        <w:t>,000</w:t>
      </w:r>
      <w:r w:rsidRPr="00C3310F">
        <w:rPr>
          <w:rFonts w:hint="eastAsia"/>
        </w:rPr>
        <w:t>多，表示說只有</w:t>
      </w:r>
      <w:r w:rsidR="00A73686" w:rsidRPr="00C3310F">
        <w:rPr>
          <w:rFonts w:hint="eastAsia"/>
        </w:rPr>
        <w:t>3成</w:t>
      </w:r>
      <w:r w:rsidRPr="00C3310F">
        <w:rPr>
          <w:rFonts w:hint="eastAsia"/>
        </w:rPr>
        <w:t>判定有罪，其他陸陸續續交保的</w:t>
      </w:r>
      <w:r w:rsidR="00A73686" w:rsidRPr="00C3310F">
        <w:rPr>
          <w:rFonts w:hint="eastAsia"/>
        </w:rPr>
        <w:t>7</w:t>
      </w:r>
      <w:r w:rsidRPr="00C3310F">
        <w:rPr>
          <w:rFonts w:hint="eastAsia"/>
        </w:rPr>
        <w:t>成的人，交保出去還是持續在騙，像在美國有毒品法庭、家庭暴力法庭、精神障礙犯罪法庭等，所以我認為可不可以成立一個專門打詐的法庭，然後速審速決，我覺得這是刻不容緩的</w:t>
      </w:r>
      <w:bookmarkEnd w:id="1521"/>
      <w:bookmarkEnd w:id="1522"/>
      <w:bookmarkEnd w:id="1523"/>
      <w:r w:rsidR="008808DC" w:rsidRPr="00C3310F">
        <w:rPr>
          <w:rFonts w:hint="eastAsia"/>
        </w:rPr>
        <w:t>。</w:t>
      </w:r>
    </w:p>
    <w:p w14:paraId="7C6C8F21" w14:textId="0CDB29AF" w:rsidR="00A77297" w:rsidRPr="00C3310F" w:rsidRDefault="00A77297" w:rsidP="00A77297">
      <w:pPr>
        <w:pStyle w:val="3"/>
      </w:pPr>
      <w:bookmarkStart w:id="1524" w:name="_Toc171525775"/>
      <w:bookmarkStart w:id="1525" w:name="_Toc172024300"/>
      <w:bookmarkStart w:id="1526" w:name="_Toc172033623"/>
      <w:r w:rsidRPr="00C3310F">
        <w:rPr>
          <w:rFonts w:hint="eastAsia"/>
        </w:rPr>
        <w:t>其實</w:t>
      </w:r>
      <w:r w:rsidR="008808DC" w:rsidRPr="00C3310F">
        <w:rPr>
          <w:rFonts w:hint="eastAsia"/>
        </w:rPr>
        <w:t>打詐綱領</w:t>
      </w:r>
      <w:r w:rsidRPr="00C3310F">
        <w:rPr>
          <w:rFonts w:hint="eastAsia"/>
        </w:rPr>
        <w:t>1.5版裡面雖然有把五個專法放進來，包括洗錢防</w:t>
      </w:r>
      <w:r w:rsidR="008808DC" w:rsidRPr="00C3310F">
        <w:rPr>
          <w:rFonts w:hint="eastAsia"/>
        </w:rPr>
        <w:t>制</w:t>
      </w:r>
      <w:r w:rsidRPr="00C3310F">
        <w:rPr>
          <w:rFonts w:hint="eastAsia"/>
        </w:rPr>
        <w:t>法、刑法，人口販運防制法、個人資料保護法，還有證券投資信託相關法律，但我要講的是限制，第一個，檢警的犯罪偵查手段是有限的，包括電信流反向追蹤偵查還有相關機關查緝的配合度很低，還有通信軟體監聽還有國際司法互助，此外證據搜查不易，尤其現在很多機房都是在國外，證據取得很困難。</w:t>
      </w:r>
      <w:bookmarkEnd w:id="1524"/>
      <w:bookmarkEnd w:id="1525"/>
      <w:bookmarkEnd w:id="1526"/>
    </w:p>
    <w:p w14:paraId="6BBBDB73" w14:textId="74A740F2" w:rsidR="00A77297" w:rsidRPr="00C3310F" w:rsidRDefault="00A77297" w:rsidP="00A77297">
      <w:pPr>
        <w:pStyle w:val="3"/>
      </w:pPr>
      <w:bookmarkStart w:id="1527" w:name="_Toc171525776"/>
      <w:bookmarkStart w:id="1528" w:name="_Toc172024301"/>
      <w:bookmarkStart w:id="1529" w:name="_Toc172033624"/>
      <w:r w:rsidRPr="00C3310F">
        <w:rPr>
          <w:rFonts w:hint="eastAsia"/>
        </w:rPr>
        <w:t>第二個是金融管理的不完備，虛擬貨幣電子錢包現在都非常的流行，還有人頭帳戶、金流查緝配合度、</w:t>
      </w:r>
      <w:r w:rsidRPr="00C3310F">
        <w:rPr>
          <w:rFonts w:hint="eastAsia"/>
        </w:rPr>
        <w:lastRenderedPageBreak/>
        <w:t>金融機構的問責等有待加強。</w:t>
      </w:r>
      <w:bookmarkEnd w:id="1527"/>
      <w:bookmarkEnd w:id="1528"/>
      <w:bookmarkEnd w:id="1529"/>
    </w:p>
    <w:p w14:paraId="20DEAB5D" w14:textId="77777777" w:rsidR="00A77297" w:rsidRPr="00C3310F" w:rsidRDefault="00A77297" w:rsidP="00A77297">
      <w:pPr>
        <w:pStyle w:val="3"/>
      </w:pPr>
      <w:bookmarkStart w:id="1530" w:name="_Toc171525777"/>
      <w:bookmarkStart w:id="1531" w:name="_Toc172024302"/>
      <w:bookmarkStart w:id="1532" w:name="_Toc172033625"/>
      <w:r w:rsidRPr="00C3310F">
        <w:rPr>
          <w:rFonts w:hint="eastAsia"/>
        </w:rPr>
        <w:t>第三個是刑事司法嚇阻力低，會考慮成立那個詐欺專法原因就是我們刑事司法過程非常冗長，然後犯罪的利益大於這個罰則，所以很多人交保後，又再加入犯罪集團持續犯罪。</w:t>
      </w:r>
      <w:bookmarkEnd w:id="1530"/>
      <w:bookmarkEnd w:id="1531"/>
      <w:bookmarkEnd w:id="1532"/>
    </w:p>
    <w:p w14:paraId="1960C782" w14:textId="13E7C047" w:rsidR="00A77297" w:rsidRPr="00C3310F" w:rsidRDefault="00A77297" w:rsidP="00A77297">
      <w:pPr>
        <w:pStyle w:val="3"/>
      </w:pPr>
      <w:bookmarkStart w:id="1533" w:name="_Toc171525778"/>
      <w:bookmarkStart w:id="1534" w:name="_Toc172024303"/>
      <w:bookmarkStart w:id="1535" w:name="_Toc172033626"/>
      <w:r w:rsidRPr="00C3310F">
        <w:rPr>
          <w:rFonts w:hint="eastAsia"/>
        </w:rPr>
        <w:t>第四個是識詐的資訊效能不彰。刑事局跟警察局很多單位都拍那種反</w:t>
      </w:r>
      <w:r w:rsidR="008808DC" w:rsidRPr="00C3310F">
        <w:rPr>
          <w:rFonts w:hint="eastAsia"/>
        </w:rPr>
        <w:t>詐</w:t>
      </w:r>
      <w:r w:rsidRPr="00C3310F">
        <w:rPr>
          <w:rFonts w:hint="eastAsia"/>
        </w:rPr>
        <w:t>影片，可是普及性到底高不高?有沒有分年齡層?這個我沒有看到。</w:t>
      </w:r>
      <w:bookmarkEnd w:id="1533"/>
      <w:bookmarkEnd w:id="1534"/>
      <w:bookmarkEnd w:id="1535"/>
    </w:p>
    <w:p w14:paraId="30D28CF6" w14:textId="4283436F" w:rsidR="00A77297" w:rsidRPr="00C3310F" w:rsidRDefault="00A77297" w:rsidP="00A77297">
      <w:pPr>
        <w:pStyle w:val="3"/>
      </w:pPr>
      <w:bookmarkStart w:id="1536" w:name="_Toc171525779"/>
      <w:bookmarkStart w:id="1537" w:name="_Toc172024304"/>
      <w:bookmarkStart w:id="1538" w:name="_Toc172033627"/>
      <w:r w:rsidRPr="00C3310F">
        <w:rPr>
          <w:rFonts w:hint="eastAsia"/>
        </w:rPr>
        <w:t>我們看到幾乎抓到8~9成都是車手跟水房，就是專門做洗錢的，因此破案率看起來雖然很高，可是我必須要點出來一個盲點，就是說其實抓到的都是比較下層的這些人。集團的首腦和金主其實都還蠻有社會地位的。我們在2023年大概阻詐89億，但是如果我們以犯罪學的黑數的話，大概要乘以</w:t>
      </w:r>
      <w:r w:rsidR="00A73686" w:rsidRPr="00C3310F">
        <w:rPr>
          <w:rFonts w:hint="eastAsia"/>
        </w:rPr>
        <w:t>1</w:t>
      </w:r>
      <w:r w:rsidR="00A73686" w:rsidRPr="00C3310F">
        <w:t>0</w:t>
      </w:r>
      <w:r w:rsidRPr="00C3310F">
        <w:rPr>
          <w:rFonts w:hint="eastAsia"/>
        </w:rPr>
        <w:t>倍，也就是大概有700~800億，現在的詐騙都是流行小額的，雖然鉅額幾千萬也有，但是大部分的都是2、3萬這種，這種你不會去報案。</w:t>
      </w:r>
      <w:bookmarkEnd w:id="1536"/>
      <w:bookmarkEnd w:id="1537"/>
      <w:bookmarkEnd w:id="1538"/>
    </w:p>
    <w:p w14:paraId="18767ED4" w14:textId="47486818" w:rsidR="00A77297" w:rsidRPr="00C3310F" w:rsidRDefault="00A77297" w:rsidP="00A77297">
      <w:pPr>
        <w:pStyle w:val="3"/>
      </w:pPr>
      <w:bookmarkStart w:id="1539" w:name="_Toc171525780"/>
      <w:bookmarkStart w:id="1540" w:name="_Toc172024305"/>
      <w:bookmarkStart w:id="1541" w:name="_Toc172033628"/>
      <w:r w:rsidRPr="00C3310F">
        <w:rPr>
          <w:rFonts w:hint="eastAsia"/>
        </w:rPr>
        <w:t>其實我們數位媒體有很多的困境沒辦法突破，我們科技偵查工具的使用是沒有法源基礎，也就是說我們沒有正當</w:t>
      </w:r>
      <w:r w:rsidR="008808DC" w:rsidRPr="00C3310F">
        <w:rPr>
          <w:rFonts w:hint="eastAsia"/>
        </w:rPr>
        <w:t>程序(</w:t>
      </w:r>
      <w:r w:rsidRPr="00C3310F">
        <w:rPr>
          <w:rFonts w:hint="eastAsia"/>
        </w:rPr>
        <w:t>due process</w:t>
      </w:r>
      <w:r w:rsidR="008808DC" w:rsidRPr="00C3310F">
        <w:rPr>
          <w:rFonts w:hint="eastAsia"/>
        </w:rPr>
        <w:t>)</w:t>
      </w:r>
      <w:r w:rsidRPr="00C3310F">
        <w:rPr>
          <w:rFonts w:hint="eastAsia"/>
        </w:rPr>
        <w:t>，所以會失去它的證據力，你剛剛講M化車，那我們必須在科技偵查法來完備這個部分，第二個就是人頭戶難以杜絕，那現在不是只有遊民，還有外配和外籍勞工。我們現在有</w:t>
      </w:r>
      <w:r w:rsidR="00A73686" w:rsidRPr="00C3310F">
        <w:t>75</w:t>
      </w:r>
      <w:r w:rsidR="00A73686" w:rsidRPr="00C3310F">
        <w:rPr>
          <w:rFonts w:hint="eastAsia"/>
        </w:rPr>
        <w:t>萬</w:t>
      </w:r>
      <w:r w:rsidRPr="00C3310F">
        <w:rPr>
          <w:rFonts w:hint="eastAsia"/>
        </w:rPr>
        <w:t>的外配，外籍勞工還有外配一個人都可以開好幾個戶頭，這些都是未來潛在的人頭戶，沒辦法杜絕。</w:t>
      </w:r>
      <w:bookmarkEnd w:id="1539"/>
      <w:bookmarkEnd w:id="1540"/>
      <w:bookmarkEnd w:id="1541"/>
    </w:p>
    <w:p w14:paraId="14EC4D1B" w14:textId="3FCE4B58" w:rsidR="00A77297" w:rsidRPr="00C3310F" w:rsidRDefault="00A77297" w:rsidP="00A77297">
      <w:pPr>
        <w:pStyle w:val="2"/>
      </w:pPr>
      <w:bookmarkStart w:id="1542" w:name="_Toc171525781"/>
      <w:bookmarkStart w:id="1543" w:name="_Toc172024306"/>
      <w:bookmarkStart w:id="1544" w:name="_Toc172033629"/>
      <w:r w:rsidRPr="00C3310F">
        <w:rPr>
          <w:rFonts w:hint="eastAsia"/>
        </w:rPr>
        <w:t>國立中正大學傳播學系羅世宏教授</w:t>
      </w:r>
      <w:bookmarkEnd w:id="1542"/>
      <w:bookmarkEnd w:id="1543"/>
      <w:bookmarkEnd w:id="1544"/>
    </w:p>
    <w:p w14:paraId="4856C03A" w14:textId="2027E7C7" w:rsidR="00A77297" w:rsidRPr="00C3310F" w:rsidRDefault="00A77297" w:rsidP="00A77297">
      <w:pPr>
        <w:pStyle w:val="3"/>
      </w:pPr>
      <w:bookmarkStart w:id="1545" w:name="_Toc171525782"/>
      <w:bookmarkStart w:id="1546" w:name="_Toc172024307"/>
      <w:bookmarkStart w:id="1547" w:name="_Toc172033630"/>
      <w:r w:rsidRPr="00C3310F">
        <w:rPr>
          <w:rFonts w:hint="eastAsia"/>
        </w:rPr>
        <w:t>我會關注這個議題，是因為這在臺灣是很嚴重、民眾很重視，然後也影響政府威信、影響社會安定的</w:t>
      </w:r>
      <w:r w:rsidRPr="00C3310F">
        <w:rPr>
          <w:rFonts w:hint="eastAsia"/>
        </w:rPr>
        <w:lastRenderedPageBreak/>
        <w:t>一個很重大的課題</w:t>
      </w:r>
      <w:r w:rsidR="008808DC" w:rsidRPr="00C3310F">
        <w:rPr>
          <w:rFonts w:hint="eastAsia"/>
        </w:rPr>
        <w:t>，</w:t>
      </w:r>
      <w:r w:rsidRPr="00C3310F">
        <w:rPr>
          <w:rFonts w:hint="eastAsia"/>
        </w:rPr>
        <w:t>而且似乎是沒有辦法很短期可以見效的去處理這個複雜的議題。</w:t>
      </w:r>
      <w:bookmarkEnd w:id="1545"/>
      <w:bookmarkEnd w:id="1546"/>
      <w:bookmarkEnd w:id="1547"/>
    </w:p>
    <w:p w14:paraId="43194C7C" w14:textId="3FBB3F27" w:rsidR="00A77297" w:rsidRPr="00C3310F" w:rsidRDefault="00A77297" w:rsidP="00A77297">
      <w:pPr>
        <w:pStyle w:val="3"/>
      </w:pPr>
      <w:bookmarkStart w:id="1548" w:name="_Toc171525783"/>
      <w:bookmarkStart w:id="1549" w:name="_Toc172024308"/>
      <w:bookmarkStart w:id="1550" w:name="_Toc172033631"/>
      <w:r w:rsidRPr="00C3310F">
        <w:rPr>
          <w:rFonts w:hint="eastAsia"/>
        </w:rPr>
        <w:t>它是一個跨境的、全球化的，而且它廣泛的運用了非常普及的數位科技</w:t>
      </w:r>
      <w:r w:rsidR="008808DC" w:rsidRPr="00C3310F">
        <w:rPr>
          <w:rFonts w:hint="eastAsia"/>
        </w:rPr>
        <w:t>，</w:t>
      </w:r>
      <w:r w:rsidRPr="00C3310F">
        <w:rPr>
          <w:rFonts w:hint="eastAsia"/>
        </w:rPr>
        <w:t>又加上智慧型犯罪，而且犯罪集團運用了很精緻的一些心理學的操縱技術，另外我想臺灣人社會上相互信任度是高的，而且很善良</w:t>
      </w:r>
      <w:r w:rsidR="008808DC" w:rsidRPr="00C3310F">
        <w:rPr>
          <w:rFonts w:hint="eastAsia"/>
        </w:rPr>
        <w:t>，</w:t>
      </w:r>
      <w:r w:rsidRPr="00C3310F">
        <w:rPr>
          <w:rFonts w:hint="eastAsia"/>
        </w:rPr>
        <w:t>因此受詐騙的機率是高的，雖然這樣講可能有點簡化，但我覺得臺灣人是容易受騙的。</w:t>
      </w:r>
      <w:bookmarkEnd w:id="1548"/>
      <w:bookmarkEnd w:id="1549"/>
      <w:bookmarkEnd w:id="1550"/>
    </w:p>
    <w:p w14:paraId="3C97FB9A" w14:textId="40BEDE1A" w:rsidR="00A77297" w:rsidRPr="00C3310F" w:rsidRDefault="00A77297" w:rsidP="00A77297">
      <w:pPr>
        <w:pStyle w:val="3"/>
      </w:pPr>
      <w:bookmarkStart w:id="1551" w:name="_Toc171525784"/>
      <w:bookmarkStart w:id="1552" w:name="_Toc172024309"/>
      <w:bookmarkStart w:id="1553" w:name="_Toc172033632"/>
      <w:r w:rsidRPr="00C3310F">
        <w:rPr>
          <w:rFonts w:hint="eastAsia"/>
        </w:rPr>
        <w:t>我們現在要更系統性，更制度化的來看，也就是說要怎麼樣去預防，預防會比事後圍堵或是止損有用。當然發生之後還是要止損，讓民眾有管道可以尋求協助。比方說像165，當然我這樣講可能不太正確，但在很多常民的經驗當中，165沒有什麼用，也許對某些人的</w:t>
      </w:r>
      <w:r w:rsidR="00A73686" w:rsidRPr="00C3310F">
        <w:rPr>
          <w:rFonts w:hint="eastAsia"/>
        </w:rPr>
        <w:t>案例</w:t>
      </w:r>
      <w:r w:rsidRPr="00C3310F">
        <w:rPr>
          <w:rFonts w:hint="eastAsia"/>
        </w:rPr>
        <w:t>他是有發揮作用。不過就我的有限接觸當中，有人被詐了之後甚至沒有興趣打165這個電話。</w:t>
      </w:r>
      <w:bookmarkEnd w:id="1551"/>
      <w:bookmarkEnd w:id="1552"/>
      <w:bookmarkEnd w:id="1553"/>
    </w:p>
    <w:p w14:paraId="2D9C1285" w14:textId="2949C1A9" w:rsidR="00A77297" w:rsidRPr="00C3310F" w:rsidRDefault="00A77297" w:rsidP="00A77297">
      <w:pPr>
        <w:pStyle w:val="3"/>
      </w:pPr>
      <w:bookmarkStart w:id="1554" w:name="_Toc171525785"/>
      <w:bookmarkStart w:id="1555" w:name="_Toc172024310"/>
      <w:bookmarkStart w:id="1556" w:name="_Toc172033633"/>
      <w:r w:rsidRPr="00C3310F">
        <w:rPr>
          <w:rFonts w:hint="eastAsia"/>
        </w:rPr>
        <w:t>我覺得平臺是一個關鍵，從預防角度，平臺成為詐騙集團更加容易去取信或是找尋受害者的工具。其實平臺就是在賣數據，平臺就是讓詐騙集團可以容易地找到特定族群的人，對某種訊息有感的人，然後會有反應，然後你發出交友邀請建立信任關係</w:t>
      </w:r>
      <w:r w:rsidR="00A67A87" w:rsidRPr="00C3310F">
        <w:rPr>
          <w:rFonts w:hint="eastAsia"/>
        </w:rPr>
        <w:t>，</w:t>
      </w:r>
      <w:r w:rsidRPr="00C3310F">
        <w:rPr>
          <w:rFonts w:hint="eastAsia"/>
        </w:rPr>
        <w:t>很多人容易被詐，然後通常都透過臉書交友，之後變成轉到</w:t>
      </w:r>
      <w:r w:rsidR="00DF3BE8" w:rsidRPr="00C3310F">
        <w:rPr>
          <w:rFonts w:hint="eastAsia"/>
        </w:rPr>
        <w:t>LINE</w:t>
      </w:r>
      <w:r w:rsidRPr="00C3310F">
        <w:rPr>
          <w:rFonts w:hint="eastAsia"/>
        </w:rPr>
        <w:t>更私密的聯絡管道當中，透過各種方式去經營信任關係。沒有人一開始就會受騙，但是他如果能成功建立某種信任關係，那就有機會，只是大騙還是小騙而已。</w:t>
      </w:r>
      <w:bookmarkEnd w:id="1554"/>
      <w:bookmarkEnd w:id="1555"/>
      <w:bookmarkEnd w:id="1556"/>
    </w:p>
    <w:p w14:paraId="577F4E68" w14:textId="597E2E8E" w:rsidR="00A77297" w:rsidRPr="00C3310F" w:rsidRDefault="00A77297" w:rsidP="00A77297">
      <w:pPr>
        <w:pStyle w:val="3"/>
      </w:pPr>
      <w:bookmarkStart w:id="1557" w:name="_Toc171525786"/>
      <w:bookmarkStart w:id="1558" w:name="_Toc172024311"/>
      <w:bookmarkStart w:id="1559" w:name="_Toc172033634"/>
      <w:r w:rsidRPr="00C3310F">
        <w:rPr>
          <w:rFonts w:hint="eastAsia"/>
        </w:rPr>
        <w:t>那臺灣除假冒名人和一頁式詐騙外，還有一個很嚴重的樣態不知道政府有沒有去正視，就是複委託的投資，大部分是港股，因為港股有所謂的仙股，就</w:t>
      </w:r>
      <w:r w:rsidRPr="00C3310F">
        <w:rPr>
          <w:rFonts w:hint="eastAsia"/>
        </w:rPr>
        <w:lastRenderedPageBreak/>
        <w:t>是一塊錢兩塊錢，甚至不到一塊錢，臺灣的投資人聽信詐騙集團的投資建議，透過臺灣券商複委託自己下單，詐騙集團等到時機成熟之後，就會操作股價讓他從</w:t>
      </w:r>
      <w:r w:rsidR="00A73686" w:rsidRPr="00C3310F">
        <w:rPr>
          <w:rFonts w:hint="eastAsia"/>
        </w:rPr>
        <w:t>3</w:t>
      </w:r>
      <w:r w:rsidRPr="00C3310F">
        <w:rPr>
          <w:rFonts w:hint="eastAsia"/>
        </w:rPr>
        <w:t>塊錢跌成剩下</w:t>
      </w:r>
      <w:r w:rsidR="001973EA" w:rsidRPr="00C3310F">
        <w:rPr>
          <w:rFonts w:hint="eastAsia"/>
        </w:rPr>
        <w:t>3毛</w:t>
      </w:r>
      <w:r w:rsidRPr="00C3310F">
        <w:rPr>
          <w:rFonts w:hint="eastAsia"/>
        </w:rPr>
        <w:t>，而臺灣的投資人沒有辦法賣出，他其實賣不出去，因為複委託必須是現價交易，他根本不知道他會跌到0.3元。這些券商可以賺複委託手續費，但我想這個詐騙金額是非常龐大。</w:t>
      </w:r>
      <w:bookmarkEnd w:id="1557"/>
      <w:bookmarkEnd w:id="1558"/>
      <w:bookmarkEnd w:id="1559"/>
    </w:p>
    <w:p w14:paraId="49EFE0AB" w14:textId="500CBEE3" w:rsidR="00A77297" w:rsidRPr="00C3310F" w:rsidRDefault="00A77297" w:rsidP="00A77297">
      <w:pPr>
        <w:pStyle w:val="3"/>
      </w:pPr>
      <w:bookmarkStart w:id="1560" w:name="_Toc171525787"/>
      <w:bookmarkStart w:id="1561" w:name="_Toc172024312"/>
      <w:bookmarkStart w:id="1562" w:name="_Toc172033635"/>
      <w:bookmarkStart w:id="1563" w:name="_Hlk172020168"/>
      <w:r w:rsidRPr="00C3310F">
        <w:rPr>
          <w:rFonts w:hint="eastAsia"/>
        </w:rPr>
        <w:t>我覺得臺灣也許從傳播的角</w:t>
      </w:r>
      <w:r w:rsidR="00A67A87" w:rsidRPr="00C3310F">
        <w:rPr>
          <w:rFonts w:hint="eastAsia"/>
        </w:rPr>
        <w:t>度</w:t>
      </w:r>
      <w:r w:rsidRPr="00C3310F">
        <w:rPr>
          <w:rFonts w:hint="eastAsia"/>
        </w:rPr>
        <w:t>應該是要去蒐集案例普為傳播，因為就像我們反擊假訊息，不可能去查每一則，而且通常是事後，所以最好是預先告訴民眾說，這次選舉可能會有哪些類型的假新聞，就是基於國外或臺灣國內的選舉的經驗，我們會預擬劇本，讓這些東西讓更多人知道說，選舉快到了，你可能會看到的，跟選舉有關的一些訊息，那如果是一二三四五這五種類型呢？可能你看到的話要有警覺性，這可能是假訊息，要經過查證，有點像是打預防針，這就是我所謂的預防勝於治療。沒被騙過的人不知道，但最好不是自己親身被騙，是別人騙的經驗之後，他願意公開出來，讓大家知道說這麼聰明的人也是會被騙。我最近看了韓國有一部電影非常好看，叫做金派特攻隊，這樣的一個故事，他把它戲劇化，收視效果很好，那看過之後會幫助民眾知道說會有這樣的事情發生。尤其現在新聞疲勞，現在讓重要事情讓全國人知道是一件困難的事情，但我們要用一些有創意的方法，包括戲劇化，包括跟網紅合作，去打造宣傳。傳統的政令宣導的這種短片，其實點擊率應該很低吧!</w:t>
      </w:r>
      <w:bookmarkEnd w:id="1560"/>
      <w:bookmarkEnd w:id="1561"/>
      <w:bookmarkEnd w:id="1562"/>
    </w:p>
    <w:p w14:paraId="128AE7C0" w14:textId="1403E91A" w:rsidR="00A77297" w:rsidRPr="00C3310F" w:rsidRDefault="00A77297" w:rsidP="00A77297">
      <w:pPr>
        <w:pStyle w:val="3"/>
      </w:pPr>
      <w:bookmarkStart w:id="1564" w:name="_Toc171525788"/>
      <w:bookmarkStart w:id="1565" w:name="_Toc172024313"/>
      <w:bookmarkStart w:id="1566" w:name="_Toc172033636"/>
      <w:bookmarkEnd w:id="1563"/>
      <w:r w:rsidRPr="00C3310F">
        <w:rPr>
          <w:rFonts w:hint="eastAsia"/>
        </w:rPr>
        <w:t>那預防來講，另外一個當然跟電信有關的就是黑莓</w:t>
      </w:r>
      <w:r w:rsidRPr="00C3310F">
        <w:rPr>
          <w:rFonts w:hint="eastAsia"/>
        </w:rPr>
        <w:lastRenderedPageBreak/>
        <w:t>卡，中華電信現在似乎有做一些防堵</w:t>
      </w:r>
      <w:r w:rsidR="00055E6A" w:rsidRPr="00C3310F">
        <w:rPr>
          <w:rFonts w:hint="eastAsia"/>
        </w:rPr>
        <w:t>黑</w:t>
      </w:r>
      <w:r w:rsidRPr="00C3310F">
        <w:rPr>
          <w:rFonts w:hint="eastAsia"/>
        </w:rPr>
        <w:t>莓卡這個部分，比較堵不起來是香港聯通那部分，香港聯通那邊賣的黑莓卡，不需要是臺灣人，他可以買到全世界的黑莓卡，像英國的黑莓卡是不需要實名制，日本也不需要，買了之後他就可以漫遊，你找不到他的身</w:t>
      </w:r>
      <w:bookmarkEnd w:id="1564"/>
      <w:bookmarkEnd w:id="1565"/>
      <w:bookmarkEnd w:id="1566"/>
      <w:r w:rsidR="00055E6A" w:rsidRPr="00C3310F">
        <w:rPr>
          <w:rFonts w:hint="eastAsia"/>
        </w:rPr>
        <w:t>分</w:t>
      </w:r>
      <w:r w:rsidR="00507E96" w:rsidRPr="00C3310F">
        <w:rPr>
          <w:rFonts w:hint="eastAsia"/>
        </w:rPr>
        <w:t>。</w:t>
      </w:r>
    </w:p>
    <w:p w14:paraId="75E96C3D" w14:textId="54473C58" w:rsidR="00A77297" w:rsidRPr="00C3310F" w:rsidRDefault="00A77297" w:rsidP="00A77297">
      <w:pPr>
        <w:pStyle w:val="3"/>
      </w:pPr>
      <w:bookmarkStart w:id="1567" w:name="_Toc171525789"/>
      <w:bookmarkStart w:id="1568" w:name="_Toc172024314"/>
      <w:bookmarkStart w:id="1569" w:name="_Toc172033637"/>
      <w:r w:rsidRPr="00C3310F">
        <w:rPr>
          <w:rFonts w:hint="eastAsia"/>
        </w:rPr>
        <w:t>我覺得預防的這個部分就是我們有缺幾個法律上的東西，第一個就是我們對數位平臺的監管，目前其實是沒有法律。歐盟跟英國現在做的比較成熟就是他們有數位服務法，可以管網路的內容包括詐騙、霸凌、恐怖主義、仇恨語言或者是假訊息，至少政府可以跟平臺去協商或者要求他採取有有效措施，或者是這個notice and take down的這個運作會比較有效。而且</w:t>
      </w:r>
      <w:r w:rsidR="0004575A" w:rsidRPr="00C3310F">
        <w:rPr>
          <w:rFonts w:hint="eastAsia"/>
        </w:rPr>
        <w:t>平臺</w:t>
      </w:r>
      <w:r w:rsidRPr="00C3310F">
        <w:rPr>
          <w:rFonts w:hint="eastAsia"/>
        </w:rPr>
        <w:t>要採取預防性的、有系統的一些措施，不是那麼純粹被動的，因為notice and take down現在其實就有在運作，只是如果涉及到沒有法律禁止的內容，要期待</w:t>
      </w:r>
      <w:r w:rsidR="0004575A" w:rsidRPr="00C3310F">
        <w:rPr>
          <w:rFonts w:hint="eastAsia"/>
        </w:rPr>
        <w:t>平臺</w:t>
      </w:r>
      <w:r w:rsidRPr="00C3310F">
        <w:rPr>
          <w:rFonts w:hint="eastAsia"/>
        </w:rPr>
        <w:t>可以有效的收到notice馬上take down，他可能不會照辦，因為沒有法律的的依據。所以我們必須要補這一塊，也就是數位</w:t>
      </w:r>
      <w:r w:rsidR="00507E96" w:rsidRPr="00C3310F">
        <w:rPr>
          <w:rFonts w:hint="eastAsia"/>
        </w:rPr>
        <w:t>治理</w:t>
      </w:r>
      <w:r w:rsidRPr="00C3310F">
        <w:rPr>
          <w:rFonts w:hint="eastAsia"/>
        </w:rPr>
        <w:t>。</w:t>
      </w:r>
      <w:bookmarkEnd w:id="1567"/>
      <w:bookmarkEnd w:id="1568"/>
      <w:bookmarkEnd w:id="1569"/>
    </w:p>
    <w:p w14:paraId="16EA68E8" w14:textId="3A5E168C" w:rsidR="00A77297" w:rsidRPr="00C3310F" w:rsidRDefault="00A77297" w:rsidP="00E36797">
      <w:pPr>
        <w:pStyle w:val="3"/>
        <w:spacing w:line="480" w:lineRule="exact"/>
      </w:pPr>
      <w:bookmarkStart w:id="1570" w:name="_Toc171525790"/>
      <w:bookmarkStart w:id="1571" w:name="_Toc172024315"/>
      <w:bookmarkStart w:id="1572" w:name="_Toc172033638"/>
      <w:r w:rsidRPr="00C3310F">
        <w:rPr>
          <w:rFonts w:hint="eastAsia"/>
        </w:rPr>
        <w:t>數位中介服務法</w:t>
      </w:r>
      <w:r w:rsidR="00743D74" w:rsidRPr="00C3310F">
        <w:rPr>
          <w:rFonts w:hint="eastAsia"/>
        </w:rPr>
        <w:t>在</w:t>
      </w:r>
      <w:r w:rsidRPr="00C3310F">
        <w:rPr>
          <w:rFonts w:hint="eastAsia"/>
        </w:rPr>
        <w:t>法律的一致性跟很多應該要配套的沒有考慮清楚</w:t>
      </w:r>
      <w:r w:rsidR="00743D74" w:rsidRPr="00C3310F">
        <w:rPr>
          <w:rFonts w:hint="eastAsia"/>
        </w:rPr>
        <w:t>，最後那個</w:t>
      </w:r>
      <w:r w:rsidRPr="00C3310F">
        <w:rPr>
          <w:rFonts w:hint="eastAsia"/>
        </w:rPr>
        <w:t>版本沒有通過。可惜的是這件事已經扼殺了我們好好去討論數位內容要怎麼樣去建立治理的一個機會</w:t>
      </w:r>
      <w:r w:rsidR="00055E6A" w:rsidRPr="00C3310F">
        <w:rPr>
          <w:rFonts w:hint="eastAsia"/>
        </w:rPr>
        <w:t>，</w:t>
      </w:r>
      <w:r w:rsidRPr="00C3310F">
        <w:rPr>
          <w:rFonts w:hint="eastAsia"/>
        </w:rPr>
        <w:t>可能短期內都不太容易有重啟這個討論的機會。</w:t>
      </w:r>
      <w:bookmarkEnd w:id="1570"/>
      <w:bookmarkEnd w:id="1571"/>
      <w:bookmarkEnd w:id="1572"/>
    </w:p>
    <w:p w14:paraId="39C752CA" w14:textId="77777777" w:rsidR="00A77297" w:rsidRPr="00C3310F" w:rsidRDefault="00A77297" w:rsidP="00E36797">
      <w:pPr>
        <w:pStyle w:val="3"/>
        <w:spacing w:line="480" w:lineRule="exact"/>
      </w:pPr>
      <w:bookmarkStart w:id="1573" w:name="_Toc171525791"/>
      <w:bookmarkStart w:id="1574" w:name="_Toc172024316"/>
      <w:bookmarkStart w:id="1575" w:name="_Toc172033639"/>
      <w:r w:rsidRPr="00C3310F">
        <w:rPr>
          <w:rFonts w:hint="eastAsia"/>
        </w:rPr>
        <w:t>不過，我覺得政府有責任去重啟有關數位服務法的討論，或許就不要再用數位中介服務法了。換個名字更好一點，或許就直接用國外比較通用的名字。</w:t>
      </w:r>
      <w:r w:rsidRPr="00C3310F">
        <w:rPr>
          <w:rFonts w:hint="eastAsia"/>
        </w:rPr>
        <w:lastRenderedPageBreak/>
        <w:t>另外就是歐盟的GDPR其實是重要的，我們在個資保護的法律應該要做更與時俱進的修改。其實這部分不太需要學美國，因為美國即使到目前為止，沒有平臺監管的任何法律。他連要通過一個叫誠實廣告法到現在都沒通過，其實就可以用來對付詐騙。那像這一類的我們可能就防詐專法，或者是更通盤的平臺問責的這個法律，他可以降低政府的執法成本，就是說這個成本一部分平臺是要吸收的，他要採取預防性的，有系統的預防性的，以及跟公民社會以及治安機構合作的這樣的一個義務。</w:t>
      </w:r>
      <w:bookmarkEnd w:id="1573"/>
      <w:bookmarkEnd w:id="1574"/>
      <w:bookmarkEnd w:id="1575"/>
    </w:p>
    <w:p w14:paraId="2EBFE64D" w14:textId="5AF1782F" w:rsidR="00A77297" w:rsidRPr="00C3310F" w:rsidRDefault="00A77297" w:rsidP="00E36797">
      <w:pPr>
        <w:pStyle w:val="3"/>
        <w:spacing w:line="480" w:lineRule="exact"/>
      </w:pPr>
      <w:bookmarkStart w:id="1576" w:name="_Toc171525792"/>
      <w:bookmarkStart w:id="1577" w:name="_Toc172024317"/>
      <w:bookmarkStart w:id="1578" w:name="_Toc172033640"/>
      <w:r w:rsidRPr="00C3310F">
        <w:rPr>
          <w:rFonts w:hint="eastAsia"/>
        </w:rPr>
        <w:t>落地還是重要的，只是落地不能解決問題，所以你落地沒有法是不行的，也就是作用法的部分，所以</w:t>
      </w:r>
      <w:r w:rsidR="00D82B1C" w:rsidRPr="00C3310F">
        <w:rPr>
          <w:rFonts w:hint="eastAsia"/>
        </w:rPr>
        <w:t>數發部</w:t>
      </w:r>
      <w:r w:rsidRPr="00C3310F">
        <w:rPr>
          <w:rFonts w:hint="eastAsia"/>
        </w:rPr>
        <w:t>也是要加加油，還有防詐的法律現在草案作用法的部分都還沒有送出來。</w:t>
      </w:r>
      <w:bookmarkEnd w:id="1576"/>
      <w:bookmarkEnd w:id="1577"/>
      <w:bookmarkEnd w:id="1578"/>
    </w:p>
    <w:p w14:paraId="12F2E66D" w14:textId="7C9C969C" w:rsidR="00A77297" w:rsidRPr="00C3310F" w:rsidRDefault="00A77297" w:rsidP="00E36797">
      <w:pPr>
        <w:pStyle w:val="3"/>
        <w:spacing w:line="480" w:lineRule="exact"/>
      </w:pPr>
      <w:bookmarkStart w:id="1579" w:name="_Toc171525793"/>
      <w:bookmarkStart w:id="1580" w:name="_Toc172024318"/>
      <w:bookmarkStart w:id="1581" w:name="_Toc172033641"/>
      <w:r w:rsidRPr="00C3310F">
        <w:rPr>
          <w:rFonts w:hint="eastAsia"/>
        </w:rPr>
        <w:t>另外歐洲的公民的個資被保護的很好，至少在目前的GDPR包括跨境傳輸都有規範，我們可以努力的去學習歐洲還有英國的這個線上安全法，他們都是民主國家，而且從民主的排名上面，他們還比美國還前面，如果學這些國家的作法，我們就可以去defense說，我們立這些法不會違反民主的問題</w:t>
      </w:r>
      <w:r w:rsidR="00055E6A" w:rsidRPr="00C3310F">
        <w:rPr>
          <w:rFonts w:hint="eastAsia"/>
        </w:rPr>
        <w:t>，</w:t>
      </w:r>
      <w:r w:rsidRPr="00C3310F">
        <w:rPr>
          <w:rFonts w:hint="eastAsia"/>
        </w:rPr>
        <w:t>是透明公開，而且是公正的，也有很好的立法諮詢跟公共聽證的過程。而且我們不是第一個，因為其他國家都已經有這個法律。其實我們就是好好把它研究清楚，然後該學的地方就直接學，不應該直接學的部分做一點調整。</w:t>
      </w:r>
      <w:bookmarkEnd w:id="1579"/>
      <w:bookmarkEnd w:id="1580"/>
      <w:bookmarkEnd w:id="1581"/>
    </w:p>
    <w:p w14:paraId="0B7E9DE5" w14:textId="42C5F371" w:rsidR="00A77297" w:rsidRPr="00C3310F" w:rsidRDefault="00A77297" w:rsidP="00E36797">
      <w:pPr>
        <w:pStyle w:val="3"/>
        <w:spacing w:line="480" w:lineRule="exact"/>
      </w:pPr>
      <w:bookmarkStart w:id="1582" w:name="_Toc171525794"/>
      <w:bookmarkStart w:id="1583" w:name="_Toc172024319"/>
      <w:bookmarkStart w:id="1584" w:name="_Toc172033642"/>
      <w:r w:rsidRPr="00C3310F">
        <w:rPr>
          <w:rFonts w:hint="eastAsia"/>
        </w:rPr>
        <w:t>比方說，</w:t>
      </w:r>
      <w:r w:rsidR="00314645" w:rsidRPr="00C3310F">
        <w:rPr>
          <w:rFonts w:hint="eastAsia"/>
        </w:rPr>
        <w:t>通傳會</w:t>
      </w:r>
      <w:r w:rsidRPr="00C3310F">
        <w:rPr>
          <w:rFonts w:hint="eastAsia"/>
        </w:rPr>
        <w:t>的數位中介服務法，他就是抄了歐盟的這個數位服務法在</w:t>
      </w:r>
      <w:r w:rsidR="0004575A" w:rsidRPr="00C3310F">
        <w:rPr>
          <w:rFonts w:hint="eastAsia"/>
        </w:rPr>
        <w:t>平臺</w:t>
      </w:r>
      <w:r w:rsidRPr="00C3310F">
        <w:rPr>
          <w:rFonts w:hint="eastAsia"/>
        </w:rPr>
        <w:t>規模方面的規定，如果你的平臺用戶超過人口數的十分之一的話，你就</w:t>
      </w:r>
      <w:r w:rsidRPr="00C3310F">
        <w:rPr>
          <w:rFonts w:hint="eastAsia"/>
        </w:rPr>
        <w:lastRenderedPageBreak/>
        <w:t>叫超大平臺VLOPs，你就要要受到很嚴格的法遵監管；結果</w:t>
      </w:r>
      <w:r w:rsidR="00314645" w:rsidRPr="00C3310F">
        <w:rPr>
          <w:rFonts w:hint="eastAsia"/>
        </w:rPr>
        <w:t>通傳會</w:t>
      </w:r>
      <w:r w:rsidRPr="00C3310F">
        <w:rPr>
          <w:rFonts w:hint="eastAsia"/>
        </w:rPr>
        <w:t>直接抄到臺灣，就變成兩百萬用戶的</w:t>
      </w:r>
      <w:r w:rsidR="0004575A" w:rsidRPr="00C3310F">
        <w:rPr>
          <w:rFonts w:hint="eastAsia"/>
        </w:rPr>
        <w:t>平臺</w:t>
      </w:r>
      <w:r w:rsidRPr="00C3310F">
        <w:rPr>
          <w:rFonts w:hint="eastAsia"/>
        </w:rPr>
        <w:t>就要嚴格監管。事實上兩百萬在全世界是很小的平臺，所以我就說，為什麼那麼的草率倉促，沒有做好研究，直接抄就抄出問題，連我們本土的小平臺都反對，那 M</w:t>
      </w:r>
      <w:r w:rsidR="00E109BD" w:rsidRPr="00C3310F">
        <w:t>eta</w:t>
      </w:r>
      <w:r w:rsidRPr="00C3310F">
        <w:rPr>
          <w:rFonts w:hint="eastAsia"/>
        </w:rPr>
        <w:t xml:space="preserve"> 跟 Google 都還不用出來反對，我們的網民、在野黨、各種小平臺都跳出來了，所以這個是是他們的很大的一個失誤。要不然的話，其實歐洲和英國已經示範過要怎麼立法，然後M</w:t>
      </w:r>
      <w:r w:rsidR="00E109BD" w:rsidRPr="00C3310F">
        <w:rPr>
          <w:rFonts w:hint="eastAsia"/>
        </w:rPr>
        <w:t>e</w:t>
      </w:r>
      <w:r w:rsidR="00E109BD" w:rsidRPr="00C3310F">
        <w:t>ta</w:t>
      </w:r>
      <w:r w:rsidRPr="00C3310F">
        <w:rPr>
          <w:rFonts w:hint="eastAsia"/>
        </w:rPr>
        <w:t>跟Google也會願意善盡他們的法遵的責任。</w:t>
      </w:r>
      <w:bookmarkEnd w:id="1582"/>
      <w:bookmarkEnd w:id="1583"/>
      <w:bookmarkEnd w:id="1584"/>
    </w:p>
    <w:p w14:paraId="137C19CF" w14:textId="4999A772" w:rsidR="00A77297" w:rsidRPr="00C3310F" w:rsidRDefault="00A77297" w:rsidP="00E36797">
      <w:pPr>
        <w:pStyle w:val="3"/>
        <w:spacing w:line="480" w:lineRule="exact"/>
      </w:pPr>
      <w:bookmarkStart w:id="1585" w:name="_Toc171525795"/>
      <w:bookmarkStart w:id="1586" w:name="_Toc172024320"/>
      <w:bookmarkStart w:id="1587" w:name="_Toc172033643"/>
      <w:r w:rsidRPr="00C3310F">
        <w:rPr>
          <w:rFonts w:hint="eastAsia"/>
        </w:rPr>
        <w:t>最後我認為這個議題永遠是跨部會的，而且我們不能只是只看到打詐這件事情，因為它是數位時代的問題，詐騙只是比較顯性的部分，但是跟數位關聯的有很多問題，防詐專法或許比較能針對防詐，但是數位的、非詐騙相關的問題就無法處理。所以我們還是要去通案的去處理數位治理的時候，就是數位服務法跟GDPR是要有臺灣版本，然後務實的調整，符合臺灣本地的這個需要，但不要比歐盟跟英國更嚴格，要更嚴格必須有很強的defense，因為可能會有侵害言論自由的問題。我們只要學歐盟和英國，甚至學到</w:t>
      </w:r>
      <w:r w:rsidR="00A73686" w:rsidRPr="00C3310F">
        <w:rPr>
          <w:rFonts w:hint="eastAsia"/>
        </w:rPr>
        <w:t>8</w:t>
      </w:r>
      <w:r w:rsidRPr="00C3310F">
        <w:rPr>
          <w:rFonts w:hint="eastAsia"/>
        </w:rPr>
        <w:t>成，我就覺得已經是很大的進步了。</w:t>
      </w:r>
      <w:bookmarkEnd w:id="1585"/>
      <w:bookmarkEnd w:id="1586"/>
      <w:bookmarkEnd w:id="1587"/>
    </w:p>
    <w:p w14:paraId="1AF6D5D8" w14:textId="26B99635" w:rsidR="00A77297" w:rsidRPr="00C3310F" w:rsidRDefault="00A77297" w:rsidP="00E36797">
      <w:pPr>
        <w:pStyle w:val="3"/>
        <w:spacing w:line="480" w:lineRule="exact"/>
        <w:ind w:left="1360" w:hanging="680"/>
      </w:pPr>
      <w:bookmarkStart w:id="1588" w:name="_Toc171525796"/>
      <w:bookmarkStart w:id="1589" w:name="_Toc172024321"/>
      <w:bookmarkStart w:id="1590" w:name="_Toc172033644"/>
      <w:r w:rsidRPr="00C3310F">
        <w:rPr>
          <w:rFonts w:hint="eastAsia"/>
        </w:rPr>
        <w:t>最後一個我還是要強調跨部會合作，其實過去數位的問題，大家都推來推去，最後可能都經過行政院去指定，但是這個指定也不能解決問題，所以未來應該要有一個跨部會的，不管是打詐或防制假新聞，或者是增強我們的數位民主韌性，而且這些問題有些還沒出現，會不斷的出來，我們需要不斷滾動式的，包括這些執法機構都要不斷的提升自己的</w:t>
      </w:r>
      <w:r w:rsidRPr="00C3310F">
        <w:rPr>
          <w:rFonts w:hint="eastAsia"/>
        </w:rPr>
        <w:lastRenderedPageBreak/>
        <w:t>know how，才有辦法去面對新的、還沒發生的，或者正在醞釀中的這些問題。</w:t>
      </w:r>
      <w:bookmarkEnd w:id="1588"/>
      <w:bookmarkEnd w:id="1589"/>
      <w:bookmarkEnd w:id="1590"/>
    </w:p>
    <w:p w14:paraId="75784B30" w14:textId="7BBA67E9" w:rsidR="000F32C8" w:rsidRPr="00C3310F" w:rsidRDefault="00A77297" w:rsidP="000F32C8">
      <w:pPr>
        <w:pStyle w:val="3"/>
        <w:spacing w:line="480" w:lineRule="exact"/>
        <w:ind w:left="1360" w:hanging="680"/>
      </w:pPr>
      <w:bookmarkStart w:id="1591" w:name="_Toc171525797"/>
      <w:bookmarkStart w:id="1592" w:name="_Toc172024322"/>
      <w:bookmarkStart w:id="1593" w:name="_Toc172033645"/>
      <w:r w:rsidRPr="00C3310F">
        <w:rPr>
          <w:rFonts w:hint="eastAsia"/>
        </w:rPr>
        <w:t>所以跨部會的機制非常重要，我覺得有一個例子是需要參考的，就是英國的一個跨部會的數位治理的機制叫做DRCF，即Digital Regulation Cooperation Forum數位監理合作論壇。聽起來好像就是跨部會聯繫機制的論壇而已，其實不是，它是實際的組織，有行政運作的的人力，然後有專門的執行長，DRCF的執行長需要定期的去對外報告，報告說DRCF幫英國預防處理解決了什麼樣的數位問題？DRCF有四個固定一定要參加的機構，一個就是Ofcom，</w:t>
      </w:r>
      <w:r w:rsidR="00055E6A" w:rsidRPr="00C3310F">
        <w:rPr>
          <w:rFonts w:hint="eastAsia"/>
        </w:rPr>
        <w:t>也就是臺灣的NCC通傳會，一個就是他們的資訊辦公室(Information Commissioner’s Office,ICO)，大概是臺灣的數位部數發部這樣的一個性質，第三個是這個金管會(Financial Services Authority, FCA)，第四個是英國的公平會(競爭與市場管理局，Competition and Markets Authority, CMA)</w:t>
      </w:r>
      <w:r w:rsidRPr="00C3310F">
        <w:rPr>
          <w:rFonts w:hint="eastAsia"/>
        </w:rPr>
        <w:t>。因為像詐騙或者是這個網路購物的這些糾紛，都需要不同的部</w:t>
      </w:r>
      <w:r w:rsidR="00055E6A" w:rsidRPr="00C3310F">
        <w:rPr>
          <w:rFonts w:hint="eastAsia"/>
        </w:rPr>
        <w:t>會</w:t>
      </w:r>
      <w:r w:rsidRPr="00C3310F">
        <w:rPr>
          <w:rFonts w:hint="eastAsia"/>
        </w:rPr>
        <w:t>一起來努力，臺灣如果這些部會能夠合併成為一個有固定的、政策性的跨部會的協調機制，而且是要定期去管考的，也就是說這個DRCF是要交出成績單的，而不是今天來開會找次長，甚至有時候是一個更低階的官員來，他可能也不太敢講話，這就是我們的跨部會過去很多都沒有什麼作用，層級雖然很高，但是效果不彰，那就是因為它是一個虛的組織。我們或許還是要有一個像DRCF的實體組織，我們甚至不用去討論說遇到什麼事情到底要找什麼部會，你就直接找DRCF，</w:t>
      </w:r>
      <w:r w:rsidRPr="00C3310F">
        <w:rPr>
          <w:rFonts w:hint="eastAsia"/>
        </w:rPr>
        <w:lastRenderedPageBreak/>
        <w:t>就會解決。</w:t>
      </w:r>
      <w:bookmarkEnd w:id="1591"/>
      <w:bookmarkEnd w:id="1592"/>
      <w:bookmarkEnd w:id="1593"/>
    </w:p>
    <w:p w14:paraId="1B1E7D52" w14:textId="4B0851E6" w:rsidR="00E36797" w:rsidRPr="00C3310F" w:rsidRDefault="000F32C8" w:rsidP="000F32C8">
      <w:pPr>
        <w:widowControl/>
        <w:overflowPunct/>
        <w:autoSpaceDE/>
        <w:autoSpaceDN/>
        <w:jc w:val="left"/>
        <w:rPr>
          <w:rFonts w:hAnsi="Arial"/>
          <w:bCs/>
          <w:kern w:val="32"/>
          <w:szCs w:val="36"/>
        </w:rPr>
      </w:pPr>
      <w:r w:rsidRPr="00C3310F">
        <w:br w:type="page"/>
      </w:r>
    </w:p>
    <w:p w14:paraId="043675E8" w14:textId="77777777" w:rsidR="00F816CB" w:rsidRPr="00C3310F" w:rsidRDefault="00BD2312" w:rsidP="00992F3C">
      <w:pPr>
        <w:pStyle w:val="a4"/>
        <w:widowControl/>
        <w:overflowPunct/>
        <w:autoSpaceDE/>
        <w:autoSpaceDN/>
        <w:ind w:left="1191" w:hanging="1191"/>
        <w:jc w:val="left"/>
      </w:pPr>
      <w:bookmarkStart w:id="1594" w:name="_Toc172033646"/>
      <w:r w:rsidRPr="00C3310F">
        <w:rPr>
          <w:rFonts w:hint="eastAsia"/>
        </w:rPr>
        <w:lastRenderedPageBreak/>
        <w:t>高檢署履勘會議紀錄</w:t>
      </w:r>
      <w:bookmarkEnd w:id="1594"/>
    </w:p>
    <w:p w14:paraId="3855ED25" w14:textId="5D1550D0" w:rsidR="00BD2312" w:rsidRPr="00C3310F" w:rsidRDefault="00BD2312" w:rsidP="00E36797">
      <w:pPr>
        <w:pStyle w:val="2"/>
      </w:pPr>
      <w:bookmarkStart w:id="1595" w:name="_Toc171525799"/>
      <w:bookmarkStart w:id="1596" w:name="_Toc172024324"/>
      <w:bookmarkStart w:id="1597" w:name="_Toc172033647"/>
      <w:r w:rsidRPr="00C3310F">
        <w:rPr>
          <w:rFonts w:hint="eastAsia"/>
        </w:rPr>
        <w:t>法務部</w:t>
      </w:r>
      <w:r w:rsidR="00055E6A" w:rsidRPr="00C3310F">
        <w:rPr>
          <w:rFonts w:hint="eastAsia"/>
        </w:rPr>
        <w:t>檢察</w:t>
      </w:r>
      <w:r w:rsidRPr="00C3310F">
        <w:rPr>
          <w:rFonts w:hint="eastAsia"/>
        </w:rPr>
        <w:t>司郭</w:t>
      </w:r>
      <w:r w:rsidRPr="00C3310F">
        <w:rPr>
          <w:rFonts w:hAnsi="標楷體" w:hint="eastAsia"/>
          <w:szCs w:val="32"/>
        </w:rPr>
        <w:t>司長永發:</w:t>
      </w:r>
      <w:bookmarkEnd w:id="1595"/>
      <w:bookmarkEnd w:id="1596"/>
      <w:bookmarkEnd w:id="1597"/>
    </w:p>
    <w:p w14:paraId="53777031" w14:textId="77777777" w:rsidR="00BD2312" w:rsidRPr="00C3310F" w:rsidRDefault="00BD2312" w:rsidP="006207AF">
      <w:pPr>
        <w:pStyle w:val="3"/>
      </w:pPr>
      <w:bookmarkStart w:id="1598" w:name="_Toc171525800"/>
      <w:bookmarkStart w:id="1599" w:name="_Toc172024325"/>
      <w:bookmarkStart w:id="1600" w:name="_Toc172033648"/>
      <w:r w:rsidRPr="00C3310F">
        <w:rPr>
          <w:rFonts w:hAnsi="標楷體" w:cs="新細明體" w:hint="eastAsia"/>
          <w:kern w:val="0"/>
          <w:szCs w:val="32"/>
        </w:rPr>
        <w:t>法務部刻正</w:t>
      </w:r>
      <w:r w:rsidRPr="00C3310F">
        <w:rPr>
          <w:rFonts w:hAnsi="標楷體" w:hint="eastAsia"/>
          <w:szCs w:val="32"/>
        </w:rPr>
        <w:t>推動「被告總歸戶」，以減少案件，實務上一個帳戶可能有很多被害人匯款，在只有一個被告</w:t>
      </w:r>
      <w:r w:rsidRPr="00C3310F">
        <w:rPr>
          <w:rFonts w:hint="eastAsia"/>
          <w:szCs w:val="32"/>
        </w:rPr>
        <w:t>的情形下，因為被害人眾多，又分別向不同警局報案，就產生不只</w:t>
      </w:r>
      <w:r w:rsidRPr="00C3310F">
        <w:rPr>
          <w:szCs w:val="32"/>
        </w:rPr>
        <w:t>l</w:t>
      </w:r>
      <w:r w:rsidRPr="00C3310F">
        <w:rPr>
          <w:rFonts w:hint="eastAsia"/>
          <w:szCs w:val="32"/>
        </w:rPr>
        <w:t>件案件，案件再移送轄區地檢</w:t>
      </w:r>
      <w:r w:rsidRPr="00C3310F">
        <w:rPr>
          <w:rFonts w:hint="eastAsia"/>
        </w:rPr>
        <w:t>署，產生重複調查情形。推動「被告總歸戶」，就是把全國各地被害人報案資料集中由被告戶籍所在地警局調查，如此不會產生重複調查，並在案件調查完後移送或報告轄區地檢署偵查，也可減少案件量，檢察司也將定期召會追蹤執行成效至案件量確實降低。</w:t>
      </w:r>
      <w:bookmarkEnd w:id="1598"/>
      <w:bookmarkEnd w:id="1599"/>
      <w:bookmarkEnd w:id="1600"/>
    </w:p>
    <w:p w14:paraId="2817FA25" w14:textId="77777777" w:rsidR="00BD2312" w:rsidRPr="00C3310F" w:rsidRDefault="00BD2312" w:rsidP="006207AF">
      <w:pPr>
        <w:pStyle w:val="3"/>
      </w:pPr>
      <w:bookmarkStart w:id="1601" w:name="_Toc171525801"/>
      <w:bookmarkStart w:id="1602" w:name="_Toc172024326"/>
      <w:bookmarkStart w:id="1603" w:name="_Toc172033649"/>
      <w:r w:rsidRPr="00C3310F">
        <w:rPr>
          <w:rFonts w:hint="eastAsia"/>
        </w:rPr>
        <w:t>關於刑度過低部分，因為法官審判獨立，所以在與司法院溝通上稍有困難，目前只能請偵查檢察官，針對被告惡性重大之案件具體求刑，公訴檢察官確實執行公訴蒞庭，若判決刑度過低時積極提起上訴；刑法已無連續犯規定，改採一罪一罰，法院針對被告犯罪行為分別判處之刑期加起來2、30年，但因為要定執行刑，法官只要在法律所規定最低刑度以上量刑都是合法，最後定執行刑只有</w:t>
      </w:r>
      <w:r w:rsidRPr="00C3310F">
        <w:t>l</w:t>
      </w:r>
      <w:r w:rsidRPr="00C3310F">
        <w:rPr>
          <w:rFonts w:hint="eastAsia"/>
        </w:rPr>
        <w:t>至</w:t>
      </w:r>
      <w:r w:rsidRPr="00C3310F">
        <w:t>2</w:t>
      </w:r>
      <w:r w:rsidRPr="00C3310F">
        <w:rPr>
          <w:rFonts w:hint="eastAsia"/>
        </w:rPr>
        <w:t>年，就此法務部會持續與司法院溝通。</w:t>
      </w:r>
      <w:bookmarkEnd w:id="1601"/>
      <w:bookmarkEnd w:id="1602"/>
      <w:bookmarkEnd w:id="1603"/>
    </w:p>
    <w:p w14:paraId="3AE417F6" w14:textId="15CA1BEC" w:rsidR="00BD2312" w:rsidRPr="00C3310F" w:rsidRDefault="00BD2312" w:rsidP="006207AF">
      <w:pPr>
        <w:pStyle w:val="2"/>
      </w:pPr>
      <w:bookmarkStart w:id="1604" w:name="_Toc171525802"/>
      <w:bookmarkStart w:id="1605" w:name="_Toc172024327"/>
      <w:bookmarkStart w:id="1606" w:name="_Toc172033650"/>
      <w:r w:rsidRPr="00C3310F">
        <w:rPr>
          <w:rFonts w:hint="eastAsia"/>
        </w:rPr>
        <w:t>高檢署</w:t>
      </w:r>
      <w:r w:rsidR="00055E6A" w:rsidRPr="00C3310F">
        <w:rPr>
          <w:rFonts w:hint="eastAsia"/>
        </w:rPr>
        <w:t>臺南</w:t>
      </w:r>
      <w:r w:rsidRPr="00C3310F">
        <w:rPr>
          <w:rFonts w:hint="eastAsia"/>
        </w:rPr>
        <w:t>分署吳主任檢察官慧蘭</w:t>
      </w:r>
      <w:bookmarkEnd w:id="1604"/>
      <w:bookmarkEnd w:id="1605"/>
      <w:bookmarkEnd w:id="1606"/>
    </w:p>
    <w:p w14:paraId="5B780CE3" w14:textId="77777777" w:rsidR="00BD2312" w:rsidRPr="00C3310F" w:rsidRDefault="00BD2312" w:rsidP="006207AF">
      <w:pPr>
        <w:pStyle w:val="3"/>
      </w:pPr>
      <w:bookmarkStart w:id="1607" w:name="_Toc171525803"/>
      <w:bookmarkStart w:id="1608" w:name="_Toc172024328"/>
      <w:bookmarkStart w:id="1609" w:name="_Toc172033651"/>
      <w:r w:rsidRPr="00C3310F">
        <w:rPr>
          <w:rFonts w:hint="eastAsia"/>
        </w:rPr>
        <w:t>「窩裡反條款」一直以來都有持續在討論，「窩裡反條款」對貪瀆及毒品案件的查緝有很大的幫助，為何在詐欺案件卻沒有積極推動立法，主要考量</w:t>
      </w:r>
      <w:r w:rsidRPr="00C3310F">
        <w:t>2</w:t>
      </w:r>
      <w:r w:rsidRPr="00C3310F">
        <w:rPr>
          <w:rFonts w:hint="eastAsia"/>
        </w:rPr>
        <w:t>個因素，首先是組成樣態不同，毒品、貪瀆犯罪集團是向上延伸，但詐欺集團是扁平化的組成，賣帳戶、車手、機房各別都是一個獨立的集團；再者是詐欺犯罪，法院的判決的刑度原本就不高，如果被告供</w:t>
      </w:r>
      <w:r w:rsidRPr="00C3310F">
        <w:rPr>
          <w:rFonts w:hint="eastAsia"/>
        </w:rPr>
        <w:lastRenderedPageBreak/>
        <w:t>述出介紹賣帳戶的其他人，因為有「窩裡反條款」規定，又獲得減刑讓刑度更輕，民眾是否可以接受?因此關於「窩裡反條款」還在審慎研議中。(按：已於詐欺犯罪危害防制條例內訂定)</w:t>
      </w:r>
      <w:bookmarkEnd w:id="1607"/>
      <w:bookmarkEnd w:id="1608"/>
      <w:bookmarkEnd w:id="1609"/>
    </w:p>
    <w:p w14:paraId="2793361C" w14:textId="1813623C" w:rsidR="00BD2312" w:rsidRPr="00C3310F" w:rsidRDefault="00BD2312" w:rsidP="006207AF">
      <w:pPr>
        <w:pStyle w:val="3"/>
      </w:pPr>
      <w:bookmarkStart w:id="1610" w:name="_Toc171525804"/>
      <w:bookmarkStart w:id="1611" w:name="_Toc172024329"/>
      <w:bookmarkStart w:id="1612" w:name="_Toc172033652"/>
      <w:r w:rsidRPr="00C3310F">
        <w:rPr>
          <w:rFonts w:hint="eastAsia"/>
        </w:rPr>
        <w:t xml:space="preserve">在這些廣告下架後，可能經過微調又再上架， </w:t>
      </w:r>
      <w:r w:rsidR="00A73686" w:rsidRPr="00C3310F">
        <w:rPr>
          <w:rFonts w:hint="eastAsia"/>
        </w:rPr>
        <w:t>F</w:t>
      </w:r>
      <w:r w:rsidRPr="00C3310F">
        <w:rPr>
          <w:rFonts w:hint="eastAsia"/>
        </w:rPr>
        <w:t>acebook是否可以利用AI方式清查，因為</w:t>
      </w:r>
      <w:r w:rsidR="00A73686" w:rsidRPr="00C3310F">
        <w:rPr>
          <w:rFonts w:hint="eastAsia"/>
        </w:rPr>
        <w:t>F</w:t>
      </w:r>
      <w:r w:rsidRPr="00C3310F">
        <w:rPr>
          <w:rFonts w:hint="eastAsia"/>
        </w:rPr>
        <w:t>acebook是境外公司，又涉及商業利益，在無法源依據上，檢察及行政機關要約束，確實有困難。</w:t>
      </w:r>
      <w:bookmarkEnd w:id="1610"/>
      <w:bookmarkEnd w:id="1611"/>
      <w:bookmarkEnd w:id="1612"/>
    </w:p>
    <w:p w14:paraId="558F9B40" w14:textId="3AAC6041" w:rsidR="00BD2312" w:rsidRPr="00C3310F" w:rsidRDefault="00BD2312" w:rsidP="006207AF">
      <w:pPr>
        <w:pStyle w:val="2"/>
      </w:pPr>
      <w:bookmarkStart w:id="1613" w:name="_Toc171525805"/>
      <w:bookmarkStart w:id="1614" w:name="_Toc172024330"/>
      <w:bookmarkStart w:id="1615" w:name="_Toc172033653"/>
      <w:r w:rsidRPr="00C3310F">
        <w:rPr>
          <w:rFonts w:hint="eastAsia"/>
        </w:rPr>
        <w:t>高檢署劉檢察官海倫:</w:t>
      </w:r>
      <w:bookmarkEnd w:id="1613"/>
      <w:bookmarkEnd w:id="1614"/>
      <w:bookmarkEnd w:id="1615"/>
    </w:p>
    <w:p w14:paraId="0143C03E" w14:textId="246FE4F4" w:rsidR="00BD2312" w:rsidRPr="00C3310F" w:rsidRDefault="00BD2312" w:rsidP="006207AF">
      <w:pPr>
        <w:pStyle w:val="3"/>
      </w:pPr>
      <w:bookmarkStart w:id="1616" w:name="_Toc171525806"/>
      <w:bookmarkStart w:id="1617" w:name="_Toc172024331"/>
      <w:bookmarkStart w:id="1618" w:name="_Toc172033654"/>
      <w:r w:rsidRPr="00C3310F">
        <w:rPr>
          <w:rFonts w:hint="eastAsia"/>
        </w:rPr>
        <w:t>我於2017年參加跨部會會議時，針對法院量刑過低議題進行報告，司法院當時回應會設計相關機制，並將量刑因子納入考量以協助法官量刑，然而今年我也因法院定應執行刑刑度過低提起3件抗告，但都遭最高法</w:t>
      </w:r>
      <w:r w:rsidR="00055E6A" w:rsidRPr="00C3310F">
        <w:rPr>
          <w:rFonts w:hint="eastAsia"/>
        </w:rPr>
        <w:t>院</w:t>
      </w:r>
      <w:r w:rsidRPr="00C3310F">
        <w:rPr>
          <w:rFonts w:hint="eastAsia"/>
        </w:rPr>
        <w:t>駁回，主要還是因為法院認為量刑是法官的裁量權。</w:t>
      </w:r>
      <w:bookmarkEnd w:id="1616"/>
      <w:bookmarkEnd w:id="1617"/>
      <w:bookmarkEnd w:id="1618"/>
    </w:p>
    <w:p w14:paraId="1F32C3C5" w14:textId="77777777" w:rsidR="00BD2312" w:rsidRPr="00C3310F" w:rsidRDefault="00BD2312" w:rsidP="006207AF">
      <w:pPr>
        <w:pStyle w:val="3"/>
      </w:pPr>
      <w:bookmarkStart w:id="1619" w:name="_Toc171525807"/>
      <w:bookmarkStart w:id="1620" w:name="_Toc172024332"/>
      <w:bookmarkStart w:id="1621" w:name="_Toc172033655"/>
      <w:r w:rsidRPr="00C3310F">
        <w:rPr>
          <w:rFonts w:hint="eastAsia"/>
        </w:rPr>
        <w:t>之前我曾調國兩司辦事，據我所知，因為國際情勢，「引渡」又是國與國關係，迄今臺灣沒有跟任何一個國家有成功引渡的案例，目前所採取的方式是撤銷身在國外的我國籍被告的護照，再以遣返方式將被告送回臺灣，即便如此還是很常在被告臨上飛機前，當地警方才告知要將人送到對岸而不讓被告上飛機，這部分雖然突破有難度，但仍會持續努力。</w:t>
      </w:r>
      <w:bookmarkEnd w:id="1619"/>
      <w:bookmarkEnd w:id="1620"/>
      <w:bookmarkEnd w:id="1621"/>
    </w:p>
    <w:p w14:paraId="798D2DB6" w14:textId="04831CC0" w:rsidR="00BD2312" w:rsidRPr="00C3310F" w:rsidRDefault="00055E6A" w:rsidP="006207AF">
      <w:pPr>
        <w:pStyle w:val="2"/>
      </w:pPr>
      <w:bookmarkStart w:id="1622" w:name="_Toc171525808"/>
      <w:bookmarkStart w:id="1623" w:name="_Toc172024333"/>
      <w:bookmarkStart w:id="1624" w:name="_Toc172033656"/>
      <w:r w:rsidRPr="00C3310F">
        <w:rPr>
          <w:rFonts w:hint="eastAsia"/>
        </w:rPr>
        <w:t>臺北地檢署劉主任檢察官仕國</w:t>
      </w:r>
      <w:bookmarkEnd w:id="1622"/>
      <w:bookmarkEnd w:id="1623"/>
      <w:bookmarkEnd w:id="1624"/>
    </w:p>
    <w:p w14:paraId="381F9FF5" w14:textId="75124DBA" w:rsidR="00BD2312" w:rsidRPr="00C3310F" w:rsidRDefault="00BD2312" w:rsidP="006207AF">
      <w:pPr>
        <w:pStyle w:val="3"/>
      </w:pPr>
      <w:bookmarkStart w:id="1625" w:name="_Toc171525809"/>
      <w:bookmarkStart w:id="1626" w:name="_Toc172024334"/>
      <w:bookmarkStart w:id="1627" w:name="_Toc172033657"/>
      <w:r w:rsidRPr="00C3310F">
        <w:rPr>
          <w:rFonts w:hint="eastAsia"/>
        </w:rPr>
        <w:t>現在司法實務，法院不分案件，幾乎全部都是從低度刑開始量</w:t>
      </w:r>
      <w:r w:rsidR="00055E6A" w:rsidRPr="00C3310F">
        <w:rPr>
          <w:rFonts w:hint="eastAsia"/>
        </w:rPr>
        <w:t>刑</w:t>
      </w:r>
      <w:r w:rsidRPr="00C3310F">
        <w:rPr>
          <w:rFonts w:hint="eastAsia"/>
        </w:rPr>
        <w:t>（例如法定刑雖然是六個月以上，五年以下，但司法實務上，幾乎九成多以上都是判</w:t>
      </w:r>
      <w:r w:rsidRPr="00C3310F">
        <w:t>6</w:t>
      </w:r>
      <w:r w:rsidRPr="00C3310F">
        <w:rPr>
          <w:rFonts w:hint="eastAsia"/>
        </w:rPr>
        <w:t>個月、</w:t>
      </w:r>
      <w:r w:rsidRPr="00C3310F">
        <w:t>7</w:t>
      </w:r>
      <w:r w:rsidRPr="00C3310F">
        <w:rPr>
          <w:rFonts w:hint="eastAsia"/>
        </w:rPr>
        <w:t>個月），而這量刑依據判決實務，檢察官還不能干涉，除非檢察官要明確指出量刑有違法之處，否則只要法官在法律規定範圍內量刑就是合法的，</w:t>
      </w:r>
      <w:r w:rsidRPr="00C3310F">
        <w:rPr>
          <w:rFonts w:hint="eastAsia"/>
        </w:rPr>
        <w:lastRenderedPageBreak/>
        <w:t>上訴都會被駁回。</w:t>
      </w:r>
      <w:bookmarkEnd w:id="1625"/>
      <w:bookmarkEnd w:id="1626"/>
      <w:bookmarkEnd w:id="1627"/>
    </w:p>
    <w:p w14:paraId="30484D66" w14:textId="77777777" w:rsidR="00BD2312" w:rsidRPr="00C3310F" w:rsidRDefault="00BD2312" w:rsidP="006207AF">
      <w:pPr>
        <w:pStyle w:val="3"/>
      </w:pPr>
      <w:bookmarkStart w:id="1628" w:name="_Toc171525810"/>
      <w:bookmarkStart w:id="1629" w:name="_Toc172024335"/>
      <w:bookmarkStart w:id="1630" w:name="_Toc172033658"/>
      <w:r w:rsidRPr="00C3310F">
        <w:rPr>
          <w:rFonts w:hint="eastAsia"/>
        </w:rPr>
        <w:t>而量刑最奇特的地方，還有在法院定執行刑時，更是容易產生爭議，例如，詐欺車手，犯了</w:t>
      </w:r>
      <w:r w:rsidRPr="00C3310F">
        <w:t>20</w:t>
      </w:r>
      <w:r w:rsidRPr="00C3310F">
        <w:rPr>
          <w:rFonts w:hint="eastAsia"/>
        </w:rPr>
        <w:t>次，每次都判</w:t>
      </w:r>
      <w:r w:rsidRPr="00C3310F">
        <w:t>1</w:t>
      </w:r>
      <w:r w:rsidRPr="00C3310F">
        <w:rPr>
          <w:rFonts w:hint="eastAsia"/>
        </w:rPr>
        <w:t>年，這</w:t>
      </w:r>
      <w:r w:rsidRPr="00C3310F">
        <w:t>20</w:t>
      </w:r>
      <w:r w:rsidRPr="00C3310F">
        <w:rPr>
          <w:rFonts w:hint="eastAsia"/>
        </w:rPr>
        <w:t>次合超來定一個執行刑時，只要超過</w:t>
      </w:r>
      <w:r w:rsidRPr="00C3310F">
        <w:t>1</w:t>
      </w:r>
      <w:r w:rsidRPr="00C3310F">
        <w:rPr>
          <w:rFonts w:hint="eastAsia"/>
        </w:rPr>
        <w:t>年，</w:t>
      </w:r>
      <w:r w:rsidRPr="00C3310F">
        <w:t>20</w:t>
      </w:r>
      <w:r w:rsidRPr="00C3310F">
        <w:rPr>
          <w:rFonts w:hint="eastAsia"/>
        </w:rPr>
        <w:t>年以下就是合法的，也就是</w:t>
      </w:r>
      <w:r w:rsidRPr="00C3310F">
        <w:t>20</w:t>
      </w:r>
      <w:r w:rsidRPr="00C3310F">
        <w:rPr>
          <w:rFonts w:hint="eastAsia"/>
        </w:rPr>
        <w:t>次犯罪都判</w:t>
      </w:r>
      <w:r w:rsidRPr="00C3310F">
        <w:t>l</w:t>
      </w:r>
      <w:r w:rsidRPr="00C3310F">
        <w:rPr>
          <w:rFonts w:hint="eastAsia"/>
        </w:rPr>
        <w:t>年，加起來你以為要執行</w:t>
      </w:r>
      <w:r w:rsidRPr="00C3310F">
        <w:t>20</w:t>
      </w:r>
      <w:r w:rsidRPr="00C3310F">
        <w:rPr>
          <w:rFonts w:hint="eastAsia"/>
        </w:rPr>
        <w:t>年，錯！只要法院定應執行刑是</w:t>
      </w:r>
      <w:r w:rsidRPr="00C3310F">
        <w:t>l</w:t>
      </w:r>
      <w:r w:rsidRPr="00C3310F">
        <w:rPr>
          <w:rFonts w:hint="eastAsia"/>
        </w:rPr>
        <w:t>年</w:t>
      </w:r>
      <w:r w:rsidRPr="00C3310F">
        <w:t>1</w:t>
      </w:r>
      <w:r w:rsidRPr="00C3310F">
        <w:rPr>
          <w:rFonts w:hint="eastAsia"/>
        </w:rPr>
        <w:t>個月就已經是合法的，我想這不要說我們檢察官常常無法接受，人民要是知道了，大概也都無法接受。</w:t>
      </w:r>
      <w:bookmarkEnd w:id="1628"/>
      <w:bookmarkEnd w:id="1629"/>
      <w:bookmarkEnd w:id="1630"/>
    </w:p>
    <w:p w14:paraId="60CE2243" w14:textId="70095A9F" w:rsidR="00BD2312" w:rsidRPr="00C3310F" w:rsidRDefault="00BD2312" w:rsidP="006207AF">
      <w:pPr>
        <w:pStyle w:val="3"/>
      </w:pPr>
      <w:bookmarkStart w:id="1631" w:name="_Toc171525811"/>
      <w:bookmarkStart w:id="1632" w:name="_Toc172024336"/>
      <w:bookmarkStart w:id="1633" w:name="_Toc172033659"/>
      <w:r w:rsidRPr="00C3310F">
        <w:rPr>
          <w:rFonts w:hint="eastAsia"/>
        </w:rPr>
        <w:t>其實為何詐欺案件量居高不下，如果從一個犯罪者角度思考，這幾年來詐欺案件迅速增加，以及犯罪者年齡逐漸下降，與犯罪成本低廉但獲利豐碩密切相關。大家看看現在有哪個幫派組織不插手詐欺行業？</w:t>
      </w:r>
      <w:bookmarkEnd w:id="1631"/>
      <w:bookmarkEnd w:id="1632"/>
      <w:bookmarkEnd w:id="1633"/>
    </w:p>
    <w:p w14:paraId="5F0546DE" w14:textId="34F2932B" w:rsidR="00BD2312" w:rsidRPr="00C3310F" w:rsidRDefault="00BD2312" w:rsidP="006207AF">
      <w:pPr>
        <w:pStyle w:val="3"/>
      </w:pPr>
      <w:bookmarkStart w:id="1634" w:name="_Toc171525812"/>
      <w:bookmarkStart w:id="1635" w:name="_Toc172024337"/>
      <w:bookmarkStart w:id="1636" w:name="_Toc172033660"/>
      <w:r w:rsidRPr="00C3310F">
        <w:rPr>
          <w:rFonts w:hint="eastAsia"/>
        </w:rPr>
        <w:t>我們看到現在詐欺集團用l個帳戶20萬的代價收購銀行帳戶，許多年輕人趨之若騖，導致詐欺犯罪年齡層一直在下修，這些提供帳戶的人一旦被查獲，偵查中現在都不會說自己是賣帳戶的，反之，都會提供當初跟收購者間虛偽的</w:t>
      </w:r>
      <w:r w:rsidR="00DF3BE8" w:rsidRPr="00C3310F">
        <w:rPr>
          <w:rFonts w:hint="eastAsia"/>
        </w:rPr>
        <w:t>LINE</w:t>
      </w:r>
      <w:r w:rsidRPr="00C3310F">
        <w:rPr>
          <w:rFonts w:hint="eastAsia"/>
        </w:rPr>
        <w:t>對語截圖，證明自己是因為求職、為了辦貸款…等各種原因被騙去提供帳戶的，最後因為證據不足，很多都是不起訴，超訴也很多判無罪。</w:t>
      </w:r>
      <w:bookmarkEnd w:id="1634"/>
      <w:bookmarkEnd w:id="1635"/>
      <w:bookmarkEnd w:id="1636"/>
    </w:p>
    <w:p w14:paraId="687CAD61" w14:textId="5904B2E9" w:rsidR="00BD2312" w:rsidRPr="00C3310F" w:rsidRDefault="00BD2312" w:rsidP="006207AF">
      <w:pPr>
        <w:pStyle w:val="3"/>
      </w:pPr>
      <w:bookmarkStart w:id="1637" w:name="_Toc171525813"/>
      <w:bookmarkStart w:id="1638" w:name="_Toc172024338"/>
      <w:bookmarkStart w:id="1639" w:name="_Toc172033661"/>
      <w:r w:rsidRPr="00C3310F">
        <w:rPr>
          <w:rFonts w:hint="eastAsia"/>
        </w:rPr>
        <w:t>詐欺案件的被告與被害人有時其實很難區分，以近來發生的新聞事件</w:t>
      </w:r>
      <w:r w:rsidR="00507E96" w:rsidRPr="00C3310F">
        <w:rPr>
          <w:rFonts w:ascii="新細明體" w:eastAsia="新細明體" w:hAnsi="新細明體" w:hint="eastAsia"/>
        </w:rPr>
        <w:t>〇〇</w:t>
      </w:r>
      <w:r w:rsidRPr="00C3310F">
        <w:rPr>
          <w:rFonts w:hint="eastAsia"/>
        </w:rPr>
        <w:t>大學100多位學生聲稱被騙去辦手機門號案件而言，學生都聲稱是因為受騙申辦門號，拿了業者5</w:t>
      </w:r>
      <w:r w:rsidR="00055E6A" w:rsidRPr="00C3310F">
        <w:t>,</w:t>
      </w:r>
      <w:r w:rsidRPr="00C3310F">
        <w:rPr>
          <w:rFonts w:hint="eastAsia"/>
        </w:rPr>
        <w:t>000元，就把手機交給對方，以為對方會付每個月的月租費，結果只付了l、2期就沒付了，害他們要承擔被電信公司追討……未來如有被害人報案，因為收到由這批逢甲學生「被騙」</w:t>
      </w:r>
      <w:r w:rsidRPr="00C3310F">
        <w:rPr>
          <w:rFonts w:hint="eastAsia"/>
        </w:rPr>
        <w:lastRenderedPageBreak/>
        <w:t>申辦的門號發送的詐騙簡訊而受騙匯錢時，這些學生究竟是被害人還是被告？</w:t>
      </w:r>
      <w:bookmarkEnd w:id="1637"/>
      <w:bookmarkEnd w:id="1638"/>
      <w:bookmarkEnd w:id="1639"/>
    </w:p>
    <w:p w14:paraId="12145050" w14:textId="55A33FB0" w:rsidR="00511A03" w:rsidRPr="00C3310F" w:rsidRDefault="00055E6A" w:rsidP="006207AF">
      <w:pPr>
        <w:pStyle w:val="3"/>
      </w:pPr>
      <w:bookmarkStart w:id="1640" w:name="_Toc171525814"/>
      <w:bookmarkStart w:id="1641" w:name="_Toc172024339"/>
      <w:bookmarkStart w:id="1642" w:name="_Toc172033662"/>
      <w:r w:rsidRPr="00C3310F">
        <w:rPr>
          <w:rFonts w:hint="eastAsia"/>
        </w:rPr>
        <w:t>新北地檢察署黃主任檢察官筵銘：詐欺案件中，絕大部分提供人頭帳戶、門號案件中的被告，在社會上往往是經濟弱勢，雖然他們犯罪是事實，但有時候法官會認為判太重這些被告也繳不出易科罰金的錢</w:t>
      </w:r>
      <w:bookmarkEnd w:id="1640"/>
      <w:bookmarkEnd w:id="1641"/>
      <w:r w:rsidRPr="00C3310F">
        <w:rPr>
          <w:rFonts w:hint="eastAsia"/>
        </w:rPr>
        <w:t>。</w:t>
      </w:r>
      <w:bookmarkEnd w:id="1642"/>
    </w:p>
    <w:p w14:paraId="6AD3AD10" w14:textId="48A169A6" w:rsidR="00BD2312" w:rsidRPr="00C3310F" w:rsidRDefault="00511A03" w:rsidP="00511A03">
      <w:pPr>
        <w:widowControl/>
        <w:overflowPunct/>
        <w:autoSpaceDE/>
        <w:autoSpaceDN/>
        <w:jc w:val="left"/>
        <w:rPr>
          <w:rFonts w:hAnsi="Arial"/>
          <w:bCs/>
          <w:kern w:val="32"/>
          <w:szCs w:val="36"/>
        </w:rPr>
      </w:pPr>
      <w:r w:rsidRPr="00C3310F">
        <w:br w:type="page"/>
      </w:r>
    </w:p>
    <w:p w14:paraId="554A2CD3" w14:textId="77777777" w:rsidR="00202530" w:rsidRPr="00C3310F" w:rsidRDefault="00B22834" w:rsidP="006207AF">
      <w:pPr>
        <w:pStyle w:val="a4"/>
      </w:pPr>
      <w:bookmarkStart w:id="1643" w:name="_Toc172033663"/>
      <w:r w:rsidRPr="00C3310F">
        <w:rPr>
          <w:rFonts w:hint="eastAsia"/>
        </w:rPr>
        <w:lastRenderedPageBreak/>
        <w:t>檢察官打詐實務暨修法研討會</w:t>
      </w:r>
      <w:bookmarkEnd w:id="1643"/>
    </w:p>
    <w:p w14:paraId="19A69071" w14:textId="727C873F" w:rsidR="006C0E43" w:rsidRPr="00C3310F" w:rsidRDefault="00055E6A" w:rsidP="00342B6E">
      <w:pPr>
        <w:pStyle w:val="2"/>
        <w:numPr>
          <w:ilvl w:val="1"/>
          <w:numId w:val="21"/>
        </w:numPr>
      </w:pPr>
      <w:bookmarkStart w:id="1644" w:name="_Toc171525816"/>
      <w:bookmarkStart w:id="1645" w:name="_Toc172024341"/>
      <w:bookmarkStart w:id="1646" w:name="_Toc172033664"/>
      <w:r w:rsidRPr="00C3310F">
        <w:rPr>
          <w:rFonts w:hint="eastAsia"/>
        </w:rPr>
        <w:t>臺北地檢署蕭永昌檢察官</w:t>
      </w:r>
      <w:bookmarkEnd w:id="1644"/>
      <w:bookmarkEnd w:id="1645"/>
      <w:bookmarkEnd w:id="1646"/>
    </w:p>
    <w:p w14:paraId="26000735" w14:textId="77777777" w:rsidR="006C0E43" w:rsidRPr="00C3310F" w:rsidRDefault="006C0E43" w:rsidP="00B22834">
      <w:pPr>
        <w:pStyle w:val="3"/>
      </w:pPr>
      <w:bookmarkStart w:id="1647" w:name="_Toc171525817"/>
      <w:bookmarkStart w:id="1648" w:name="_Toc172024342"/>
      <w:bookmarkStart w:id="1649" w:name="_Toc172033665"/>
      <w:r w:rsidRPr="00C3310F">
        <w:rPr>
          <w:rFonts w:hint="eastAsia"/>
        </w:rPr>
        <w:t>我們希望增加檢察官助理來協助檢察官處理。大家可以看到一個圖表密密麻麻，這個圖表事實上是我們在這個辦詐欺案很常用的整理表，整理一些被害人的姓名、被騙經過、匯款帳號、匯款細節、地點、收款帳號、轉出細節等等，後面一大堆是所謂的第2層帳戶資訊，如果一罪一罰，全部證據要收集到非常詳細，它是非常的消耗時間，你要說這部分有需要法律專業嗎?好像也沒有。或許有人說檢事官也是協助檢察，但檢事官和助理兩者的定位是完全不一樣。</w:t>
      </w:r>
      <w:bookmarkEnd w:id="1647"/>
      <w:bookmarkEnd w:id="1648"/>
      <w:bookmarkEnd w:id="1649"/>
    </w:p>
    <w:p w14:paraId="6A215305" w14:textId="4FBA683F" w:rsidR="006C0E43" w:rsidRPr="00C3310F" w:rsidRDefault="006C0E43" w:rsidP="00B22834">
      <w:pPr>
        <w:pStyle w:val="3"/>
      </w:pPr>
      <w:bookmarkStart w:id="1650" w:name="_Toc171525818"/>
      <w:bookmarkStart w:id="1651" w:name="_Toc172024343"/>
      <w:bookmarkStart w:id="1652" w:name="_Toc172033666"/>
      <w:r w:rsidRPr="00C3310F">
        <w:rPr>
          <w:rFonts w:hint="eastAsia"/>
        </w:rPr>
        <w:t>大家知道詐騙一騙再騙，交保出去他接著就繼續騙，把他這個交保錢賺回來。但我們能夠不讓他交保嗎?依據刑</w:t>
      </w:r>
      <w:r w:rsidR="00055E6A" w:rsidRPr="00C3310F">
        <w:rPr>
          <w:rFonts w:hint="eastAsia"/>
        </w:rPr>
        <w:t>事</w:t>
      </w:r>
      <w:r w:rsidRPr="00C3310F">
        <w:rPr>
          <w:rFonts w:hint="eastAsia"/>
        </w:rPr>
        <w:t>訴</w:t>
      </w:r>
      <w:r w:rsidR="00055E6A" w:rsidRPr="00C3310F">
        <w:rPr>
          <w:rFonts w:hint="eastAsia"/>
        </w:rPr>
        <w:t>訟</w:t>
      </w:r>
      <w:r w:rsidRPr="00C3310F">
        <w:rPr>
          <w:rFonts w:hint="eastAsia"/>
        </w:rPr>
        <w:t>法</w:t>
      </w:r>
      <w:r w:rsidR="00055E6A" w:rsidRPr="00C3310F">
        <w:rPr>
          <w:rFonts w:hint="eastAsia"/>
        </w:rPr>
        <w:t>第</w:t>
      </w:r>
      <w:r w:rsidRPr="00C3310F">
        <w:rPr>
          <w:rFonts w:hint="eastAsia"/>
        </w:rPr>
        <w:t>108條第2項或第5項，每次不可以超過2個月，那如果所犯的罪</w:t>
      </w:r>
      <w:r w:rsidR="008955EF" w:rsidRPr="00C3310F">
        <w:rPr>
          <w:rFonts w:hint="eastAsia"/>
        </w:rPr>
        <w:t>是</w:t>
      </w:r>
      <w:r w:rsidRPr="00C3310F">
        <w:rPr>
          <w:rFonts w:hint="eastAsia"/>
        </w:rPr>
        <w:t>重刑，是10年以下有期徒刑，一審二審只能夠延押3次，第三審只能一次。普通詐欺罪5年以下，加重其刑1年以上7年以下</w:t>
      </w:r>
      <w:r w:rsidR="008955EF" w:rsidRPr="00C3310F">
        <w:rPr>
          <w:rFonts w:hint="eastAsia"/>
        </w:rPr>
        <w:t>，</w:t>
      </w:r>
      <w:r w:rsidRPr="00C3310F">
        <w:rPr>
          <w:rFonts w:hint="eastAsia"/>
        </w:rPr>
        <w:t>組織犯罪</w:t>
      </w:r>
      <w:r w:rsidR="008955EF" w:rsidRPr="00C3310F">
        <w:rPr>
          <w:rFonts w:hint="eastAsia"/>
        </w:rPr>
        <w:t>防制</w:t>
      </w:r>
      <w:r w:rsidRPr="00C3310F">
        <w:rPr>
          <w:rFonts w:hint="eastAsia"/>
        </w:rPr>
        <w:t>條例也是10年以下的罪；換句話說你最多也是只能延押3次，檢察官這邊都要花很多的心力去做一些分析，甚至法律上的攻防，那現行的這個羈押規定是否夠用?會不會造成防逃的疑慮?我呼籲說要好好的解釋這個關於詐欺集團的這個相關規定。</w:t>
      </w:r>
      <w:bookmarkEnd w:id="1650"/>
      <w:bookmarkEnd w:id="1651"/>
      <w:bookmarkEnd w:id="1652"/>
    </w:p>
    <w:p w14:paraId="1B7ACDB2" w14:textId="6C0C9262" w:rsidR="006C0E43" w:rsidRPr="00C3310F" w:rsidRDefault="008955EF" w:rsidP="00B22834">
      <w:pPr>
        <w:pStyle w:val="2"/>
      </w:pPr>
      <w:bookmarkStart w:id="1653" w:name="_Toc171525819"/>
      <w:bookmarkStart w:id="1654" w:name="_Toc172024344"/>
      <w:bookmarkStart w:id="1655" w:name="_Toc172033667"/>
      <w:r w:rsidRPr="00C3310F">
        <w:rPr>
          <w:rFonts w:hint="eastAsia"/>
        </w:rPr>
        <w:t>金門地檢署施家榮主任檢察官</w:t>
      </w:r>
      <w:bookmarkEnd w:id="1653"/>
      <w:bookmarkEnd w:id="1654"/>
      <w:bookmarkEnd w:id="1655"/>
    </w:p>
    <w:p w14:paraId="5131E833" w14:textId="77777777" w:rsidR="006C0E43" w:rsidRPr="00C3310F" w:rsidRDefault="006C0E43" w:rsidP="00B22834">
      <w:pPr>
        <w:pStyle w:val="3"/>
      </w:pPr>
      <w:bookmarkStart w:id="1656" w:name="_Toc171525820"/>
      <w:bookmarkStart w:id="1657" w:name="_Toc172024345"/>
      <w:bookmarkStart w:id="1658" w:name="_Toc172033668"/>
      <w:r w:rsidRPr="00C3310F">
        <w:rPr>
          <w:rFonts w:hint="eastAsia"/>
        </w:rPr>
        <w:t>對於被害人來講，這樣真的算破案嗎?警方把大部分人力都投入在人頭帳戶，因為人頭帳戶好查，因為人頭帳戶直接有證據，他匯入哪個款項就抓誰，這最輕鬆嘛!可是這些人頭帳戶、車手取款等等，這些</w:t>
      </w:r>
      <w:r w:rsidRPr="00C3310F">
        <w:rPr>
          <w:rFonts w:hint="eastAsia"/>
        </w:rPr>
        <w:lastRenderedPageBreak/>
        <w:t>對他們來講就是工讀生、就是免洗筷，你查到這些有什麼用?他永遠都沒有被瓦解!</w:t>
      </w:r>
      <w:bookmarkEnd w:id="1656"/>
      <w:bookmarkEnd w:id="1657"/>
      <w:bookmarkEnd w:id="1658"/>
    </w:p>
    <w:p w14:paraId="02A5D1C2" w14:textId="643ED542" w:rsidR="006C0E43" w:rsidRPr="00C3310F" w:rsidRDefault="006C0E43" w:rsidP="00B22834">
      <w:pPr>
        <w:pStyle w:val="3"/>
      </w:pPr>
      <w:bookmarkStart w:id="1659" w:name="_Toc171525821"/>
      <w:bookmarkStart w:id="1660" w:name="_Toc172024346"/>
      <w:bookmarkStart w:id="1661" w:name="_Toc172033669"/>
      <w:r w:rsidRPr="00C3310F">
        <w:rPr>
          <w:rFonts w:hint="eastAsia"/>
        </w:rPr>
        <w:t>個人幣商好像又越來越困難了，所以還是那句話，金管會要加油。對被害人來講，錢又沒有追回來，你沒有扣後面的詐騙錢，又沒有返還，你怎麼可以說你破案?所以老百姓的感覺就是你都沒有破案啊!宣稱破案率90幾趴，那是什麼碗糕?</w:t>
      </w:r>
      <w:bookmarkEnd w:id="1659"/>
      <w:bookmarkEnd w:id="1660"/>
      <w:bookmarkEnd w:id="1661"/>
    </w:p>
    <w:p w14:paraId="2E6CC22A" w14:textId="65CD095B" w:rsidR="006C0E43" w:rsidRPr="00C3310F" w:rsidRDefault="006C0E43" w:rsidP="00B22834">
      <w:pPr>
        <w:pStyle w:val="3"/>
      </w:pPr>
      <w:bookmarkStart w:id="1662" w:name="_Toc171525822"/>
      <w:bookmarkStart w:id="1663" w:name="_Toc172024347"/>
      <w:bookmarkStart w:id="1664" w:name="_Toc172033670"/>
      <w:r w:rsidRPr="00C3310F">
        <w:rPr>
          <w:rFonts w:hint="eastAsia"/>
        </w:rPr>
        <w:t>其實也不是說警方不認真，你要想警方有他的困難，比如說我們沒有科技偵查法，那個GPS爭議6年多了還沒有辦法立法，我們不知道這個刑事訴訟法主管機關司法院為什麼不能做強制處分的立法，我們也不知道立法委員、立法院有那麼多委員，每個都可以主動提案，那6年間換了多少立法委員?沒有人有辦法完成這個立法。GPS的科技含量很低，連這麼低都沒有做到，那我們現在可以做的科技監控是什麼?監聽門號的電話或者簡訊，各位你會用你的門號打電話出去嗎?大家都用APP或網路平臺，那還不用錢對不對</w:t>
      </w:r>
      <w:r w:rsidR="008955EF" w:rsidRPr="00C3310F">
        <w:rPr>
          <w:rFonts w:hint="eastAsia"/>
        </w:rPr>
        <w:t>，</w:t>
      </w:r>
      <w:r w:rsidRPr="00C3310F">
        <w:rPr>
          <w:rFonts w:hint="eastAsia"/>
        </w:rPr>
        <w:t>所以現在的科技監控是沒有效的。</w:t>
      </w:r>
      <w:bookmarkEnd w:id="1662"/>
      <w:bookmarkEnd w:id="1663"/>
      <w:bookmarkEnd w:id="1664"/>
    </w:p>
    <w:p w14:paraId="1D619210" w14:textId="55AF8430" w:rsidR="006C0E43" w:rsidRPr="00C3310F" w:rsidRDefault="006C0E43" w:rsidP="00B22834">
      <w:pPr>
        <w:pStyle w:val="3"/>
      </w:pPr>
      <w:bookmarkStart w:id="1665" w:name="_Toc171525823"/>
      <w:bookmarkStart w:id="1666" w:name="_Toc172024348"/>
      <w:bookmarkStart w:id="1667" w:name="_Toc172033671"/>
      <w:r w:rsidRPr="00C3310F">
        <w:rPr>
          <w:rFonts w:hint="eastAsia"/>
        </w:rPr>
        <w:t>當人頭帳戶金管會一直沒有辦法斷絕，每年都有幾萬個人頭帳戶要辦，警方光是辦那個就飽了。當時是有一些亂象就是譬如說一個帳戶可能有10個被害人匯入，那就在10個分局報案，然後就10個地檢</w:t>
      </w:r>
      <w:r w:rsidR="008955EF" w:rsidRPr="00C3310F">
        <w:rPr>
          <w:rFonts w:hint="eastAsia"/>
        </w:rPr>
        <w:t>署</w:t>
      </w:r>
      <w:r w:rsidRPr="00C3310F">
        <w:rPr>
          <w:rFonts w:hint="eastAsia"/>
        </w:rPr>
        <w:t>受理，所以看起來案子會一下子暴增很多，都要辦的結果就是每個月分100件，你光是辦這些都爆了，所以你要期待檢方去追查幕後的犯罪首腦或者洗錢管道?各位都有看過起訴書</w:t>
      </w:r>
      <w:r w:rsidR="008955EF" w:rsidRPr="00C3310F">
        <w:rPr>
          <w:rFonts w:hint="eastAsia"/>
        </w:rPr>
        <w:t>和</w:t>
      </w:r>
      <w:r w:rsidRPr="00C3310F">
        <w:rPr>
          <w:rFonts w:hint="eastAsia"/>
        </w:rPr>
        <w:t>不起訴</w:t>
      </w:r>
      <w:r w:rsidR="008955EF" w:rsidRPr="00C3310F">
        <w:rPr>
          <w:rFonts w:hint="eastAsia"/>
        </w:rPr>
        <w:t>處分</w:t>
      </w:r>
      <w:r w:rsidRPr="00C3310F">
        <w:rPr>
          <w:rFonts w:hint="eastAsia"/>
        </w:rPr>
        <w:t>書吧，如果要你坐在電腦前面，一個月要寫100份，你還有時間去做其他事嗎?可能召開專案小組要深入追查?這部分書記官可能更嚴重，我聽到已經持續5</w:t>
      </w:r>
      <w:r w:rsidRPr="00C3310F">
        <w:rPr>
          <w:rFonts w:hint="eastAsia"/>
        </w:rPr>
        <w:lastRenderedPageBreak/>
        <w:t>年以上，只要分發到新北或者桃檢書記官，他聽到是這2個地點他就不去報到了，所以你永遠在招考，但招考都沒用，因為他就不去報到。</w:t>
      </w:r>
      <w:bookmarkEnd w:id="1665"/>
      <w:bookmarkEnd w:id="1666"/>
      <w:bookmarkEnd w:id="1667"/>
    </w:p>
    <w:p w14:paraId="432D4142" w14:textId="77777777" w:rsidR="006C0E43" w:rsidRPr="00C3310F" w:rsidRDefault="006C0E43" w:rsidP="00B22834">
      <w:pPr>
        <w:pStyle w:val="3"/>
      </w:pPr>
      <w:bookmarkStart w:id="1668" w:name="_Toc171525824"/>
      <w:bookmarkStart w:id="1669" w:name="_Toc172024349"/>
      <w:bookmarkStart w:id="1670" w:name="_Toc172033672"/>
      <w:r w:rsidRPr="00C3310F">
        <w:rPr>
          <w:rFonts w:hint="eastAsia"/>
        </w:rPr>
        <w:t>我們每年剪綵成立一個新的辦公室有沒有用?其實灰色產業，或者說違法產業，它也是一個產業，它為什麼會蓬勃發展?他錢多當然要求發展，你就沒有法律，沒有科技偵查手段，一直追不到核心幹部，一直追不到他的錢，他錢越來越多，一間公司錢越來越多，他不發展合理嗎?他一定要蓬勃發展嘛!</w:t>
      </w:r>
      <w:bookmarkEnd w:id="1668"/>
      <w:bookmarkEnd w:id="1669"/>
      <w:bookmarkEnd w:id="1670"/>
    </w:p>
    <w:p w14:paraId="3A2D6BD3" w14:textId="59883990" w:rsidR="006C0E43" w:rsidRPr="00C3310F" w:rsidRDefault="006C0E43" w:rsidP="00B22834">
      <w:pPr>
        <w:pStyle w:val="3"/>
      </w:pPr>
      <w:bookmarkStart w:id="1671" w:name="_Toc171525825"/>
      <w:bookmarkStart w:id="1672" w:name="_Toc172024350"/>
      <w:bookmarkStart w:id="1673" w:name="_Toc172033673"/>
      <w:r w:rsidRPr="00C3310F">
        <w:rPr>
          <w:rFonts w:hint="eastAsia"/>
        </w:rPr>
        <w:t>再來說律師涉案、銀行人員幫忙調整轉帳上限、派出所所長查個資、NCC前委員當二類電信業者顧問這些，為什麼?因為你永遠查不到他的心臟，那他就可以經驗傳承，越教越多人，他獲利高風險低，因為人頭帳戶、人頭門號、個人幣商都沒在管，他就挺而無險，他當然要繼續做啊!</w:t>
      </w:r>
      <w:r w:rsidRPr="00C3310F">
        <w:rPr>
          <w:rFonts w:ascii="新細明體" w:eastAsia="新細明體" w:hAnsi="新細明體" w:hint="eastAsia"/>
          <w:kern w:val="0"/>
          <w:sz w:val="28"/>
          <w:szCs w:val="28"/>
        </w:rPr>
        <w:t>……</w:t>
      </w:r>
      <w:r w:rsidRPr="00C3310F">
        <w:rPr>
          <w:rFonts w:hint="eastAsia"/>
        </w:rPr>
        <w:t>我們一直在召開這種研討會，不是說我們喜歡罵人或者喜歡抱怨，是因為我們還沒有打算離職，我們對這個社會還有點熱情，我們對辦案還有熱情，所以我們才要做這些呼籲。</w:t>
      </w:r>
      <w:bookmarkEnd w:id="1671"/>
      <w:bookmarkEnd w:id="1672"/>
      <w:bookmarkEnd w:id="1673"/>
    </w:p>
    <w:p w14:paraId="7B8E583D" w14:textId="5A153B6D" w:rsidR="00B22834" w:rsidRPr="00C3310F" w:rsidRDefault="008955EF" w:rsidP="00B22834">
      <w:pPr>
        <w:pStyle w:val="2"/>
      </w:pPr>
      <w:bookmarkStart w:id="1674" w:name="_Toc171525826"/>
      <w:bookmarkStart w:id="1675" w:name="_Toc172024351"/>
      <w:bookmarkStart w:id="1676" w:name="_Toc172033674"/>
      <w:r w:rsidRPr="00C3310F">
        <w:rPr>
          <w:rFonts w:hint="eastAsia"/>
        </w:rPr>
        <w:t>臺灣大學林鈺雄教授：</w:t>
      </w:r>
      <w:bookmarkEnd w:id="1674"/>
      <w:bookmarkEnd w:id="1675"/>
      <w:bookmarkEnd w:id="1676"/>
    </w:p>
    <w:p w14:paraId="1EDC0D28" w14:textId="77777777" w:rsidR="00B22834" w:rsidRPr="00C3310F" w:rsidRDefault="006C0E43" w:rsidP="00B22834">
      <w:pPr>
        <w:pStyle w:val="3"/>
      </w:pPr>
      <w:bookmarkStart w:id="1677" w:name="_Toc171525827"/>
      <w:bookmarkStart w:id="1678" w:name="_Toc172024352"/>
      <w:bookmarkStart w:id="1679" w:name="_Toc172033675"/>
      <w:r w:rsidRPr="00C3310F">
        <w:rPr>
          <w:rFonts w:hint="eastAsia"/>
        </w:rPr>
        <w:t>為什麼在打詐研討會討論科技偵查?因為你沒有科技偵查，就什麼東西都不用談，這叫做現代科技的武器平等原則。依照研究的結果，我們是全球唯一一個明文規範禁止使用GPS的國家，那M化車喔這方面也是臺灣第一，因為中央一方面每年編列六七千萬在M化車預算，但是一方面禁用M化車，這個也是世界第一。所以我覺得我們在很多方面會有很少人有的獨創性的想法，當然也造就了我們這種畸形的現象。科技偵查比較關鍵的第3個部分就是設備端</w:t>
      </w:r>
      <w:r w:rsidRPr="00C3310F">
        <w:rPr>
          <w:rFonts w:hint="eastAsia"/>
        </w:rPr>
        <w:lastRenderedPageBreak/>
        <w:t>的通訊監察，據說我們的科技偵查裡面將不會有設備端的通訊監察，也就是說，以後詐騙集團的車手要跟上面的聯絡可以很放心，因為我們科技偵查最後還是不會有設備端的通訊監察。</w:t>
      </w:r>
      <w:bookmarkEnd w:id="1677"/>
      <w:bookmarkEnd w:id="1678"/>
      <w:bookmarkEnd w:id="1679"/>
    </w:p>
    <w:p w14:paraId="7AF167B5" w14:textId="148900DB" w:rsidR="006C0E43" w:rsidRPr="00C3310F" w:rsidRDefault="006C0E43" w:rsidP="00B22834">
      <w:pPr>
        <w:pStyle w:val="3"/>
      </w:pPr>
      <w:bookmarkStart w:id="1680" w:name="_Toc171525828"/>
      <w:bookmarkStart w:id="1681" w:name="_Toc172024353"/>
      <w:bookmarkStart w:id="1682" w:name="_Toc172033676"/>
      <w:r w:rsidRPr="00C3310F">
        <w:rPr>
          <w:rFonts w:hint="eastAsia"/>
        </w:rPr>
        <w:t>當然就是很奇怪的臺灣現象，我講一個很簡單，從1992年開始，德國就形式鬆綁開始使用GPS，德國刑事訴訟法的條款這30幾年修了100多條，裡面絕大部分、最重要的就是在修科技偵查；我們臺灣從1992年到現在，我們刑</w:t>
      </w:r>
      <w:r w:rsidR="008955EF" w:rsidRPr="00C3310F">
        <w:rPr>
          <w:rFonts w:hint="eastAsia"/>
        </w:rPr>
        <w:t>事</w:t>
      </w:r>
      <w:r w:rsidRPr="00C3310F">
        <w:rPr>
          <w:rFonts w:hint="eastAsia"/>
        </w:rPr>
        <w:t>訴</w:t>
      </w:r>
      <w:r w:rsidR="008955EF" w:rsidRPr="00C3310F">
        <w:rPr>
          <w:rFonts w:hint="eastAsia"/>
        </w:rPr>
        <w:t>訟</w:t>
      </w:r>
      <w:r w:rsidRPr="00C3310F">
        <w:rPr>
          <w:rFonts w:hint="eastAsia"/>
        </w:rPr>
        <w:t>法法條才500多條喔，但是我們修法次數已經破了法條的數目，但我們科技偵查到現在為止，修的是0條。今天研討會就只有一個目的，就是臺灣還要這樣下去嗎?</w:t>
      </w:r>
      <w:bookmarkEnd w:id="1680"/>
      <w:bookmarkEnd w:id="1681"/>
      <w:bookmarkEnd w:id="1682"/>
    </w:p>
    <w:p w14:paraId="1A248317" w14:textId="15C7E523" w:rsidR="006C0E43" w:rsidRPr="00C3310F" w:rsidRDefault="008955EF" w:rsidP="00B22834">
      <w:pPr>
        <w:pStyle w:val="2"/>
      </w:pPr>
      <w:bookmarkStart w:id="1683" w:name="_Toc171525829"/>
      <w:bookmarkStart w:id="1684" w:name="_Toc172024354"/>
      <w:bookmarkStart w:id="1685" w:name="_Toc172033677"/>
      <w:r w:rsidRPr="00C3310F">
        <w:rPr>
          <w:rFonts w:hint="eastAsia"/>
        </w:rPr>
        <w:t>臺北地檢署姜長志檢察官</w:t>
      </w:r>
      <w:bookmarkEnd w:id="1683"/>
      <w:bookmarkEnd w:id="1684"/>
      <w:bookmarkEnd w:id="1685"/>
    </w:p>
    <w:p w14:paraId="05C5D869" w14:textId="77777777" w:rsidR="006C0E43" w:rsidRPr="00C3310F" w:rsidRDefault="006C0E43" w:rsidP="00B22834">
      <w:pPr>
        <w:pStyle w:val="3"/>
      </w:pPr>
      <w:bookmarkStart w:id="1686" w:name="_Toc171525830"/>
      <w:bookmarkStart w:id="1687" w:name="_Toc172024355"/>
      <w:bookmarkStart w:id="1688" w:name="_Toc172033678"/>
      <w:r w:rsidRPr="00C3310F">
        <w:rPr>
          <w:rFonts w:hint="eastAsia"/>
        </w:rPr>
        <w:t>我真的不知道金管會在幹什麼，去年的時候6月同一個場次，我們辦了第一場全國打詐研討會盤點了非常多詐欺的現象，第一個人頭帳戶，再來是虛擬貨幣和第三方支付，各位如果去年有參與的話都知道，所以金管會終於動起來，終於有知覺了，說好吧，人頭帳戶他來處理，結果人頭帳戶處理之後，虛擬貨幣他就不管了。</w:t>
      </w:r>
      <w:bookmarkEnd w:id="1686"/>
      <w:bookmarkEnd w:id="1687"/>
      <w:bookmarkEnd w:id="1688"/>
    </w:p>
    <w:p w14:paraId="120BD976" w14:textId="77777777" w:rsidR="006C0E43" w:rsidRPr="00C3310F" w:rsidRDefault="006C0E43" w:rsidP="00B22834">
      <w:pPr>
        <w:pStyle w:val="3"/>
      </w:pPr>
      <w:bookmarkStart w:id="1689" w:name="_Toc171525831"/>
      <w:bookmarkStart w:id="1690" w:name="_Toc172024356"/>
      <w:bookmarkStart w:id="1691" w:name="_Toc172033679"/>
      <w:r w:rsidRPr="00C3310F">
        <w:rPr>
          <w:rFonts w:hint="eastAsia"/>
        </w:rPr>
        <w:t>我們罵這些事情、講這些事情，不是為了我們自己，我們如果查不到還不是5點半就可以下班，是不是？問題是一個詐騙案件，從被害人被騙到我手上，中間歷經至少兩三個月，甚至半年以上，錢早就不見了啦。你把人關進去又怎樣？重點是錢要拿回來啊！</w:t>
      </w:r>
      <w:bookmarkEnd w:id="1689"/>
      <w:bookmarkEnd w:id="1690"/>
      <w:bookmarkEnd w:id="1691"/>
    </w:p>
    <w:p w14:paraId="6BA248E0" w14:textId="3D3E1A5E" w:rsidR="006C0E43" w:rsidRPr="00C3310F" w:rsidRDefault="006C0E43" w:rsidP="00B22834">
      <w:pPr>
        <w:pStyle w:val="3"/>
      </w:pPr>
      <w:bookmarkStart w:id="1692" w:name="_Toc171525832"/>
      <w:bookmarkStart w:id="1693" w:name="_Toc172024357"/>
      <w:bookmarkStart w:id="1694" w:name="_Toc172033680"/>
      <w:r w:rsidRPr="00C3310F">
        <w:rPr>
          <w:rFonts w:hint="eastAsia"/>
        </w:rPr>
        <w:t>我們就起訴幣商，上到法院去說他也是犯罪集團一部分，法官判的都是無罪嘛，這能怪法官嘛？其實也不能怪法官，因為要怎麼證明他跟這些集</w:t>
      </w:r>
      <w:r w:rsidR="00E36797" w:rsidRPr="00C3310F">
        <w:rPr>
          <w:rFonts w:hint="eastAsia"/>
        </w:rPr>
        <w:t>團</w:t>
      </w:r>
      <w:r w:rsidRPr="00C3310F">
        <w:rPr>
          <w:rFonts w:hint="eastAsia"/>
        </w:rPr>
        <w:t>有主</w:t>
      </w:r>
      <w:r w:rsidRPr="00C3310F">
        <w:rPr>
          <w:rFonts w:hint="eastAsia"/>
        </w:rPr>
        <w:lastRenderedPageBreak/>
        <w:t>觀犯意聯絡？這對法官講也很困難，雖然大家心裡心知肚明，我們是民主國家不能說關就關</w:t>
      </w:r>
      <w:r w:rsidR="008955EF" w:rsidRPr="00C3310F">
        <w:rPr>
          <w:rFonts w:hint="eastAsia"/>
        </w:rPr>
        <w:t>啊</w:t>
      </w:r>
      <w:r w:rsidRPr="00C3310F">
        <w:rPr>
          <w:rFonts w:hint="eastAsia"/>
        </w:rPr>
        <w:t>，現在只要發生問題全部把它刑事化送去判刑，送去判刑有效嗎？</w:t>
      </w:r>
      <w:bookmarkEnd w:id="1692"/>
      <w:bookmarkEnd w:id="1693"/>
      <w:bookmarkEnd w:id="1694"/>
    </w:p>
    <w:p w14:paraId="4BD29E61" w14:textId="3BECF136" w:rsidR="006C0E43" w:rsidRPr="00C3310F" w:rsidRDefault="006C0E43" w:rsidP="00B22834">
      <w:pPr>
        <w:pStyle w:val="3"/>
      </w:pPr>
      <w:bookmarkStart w:id="1695" w:name="_Toc171525833"/>
      <w:bookmarkStart w:id="1696" w:name="_Toc172024358"/>
      <w:bookmarkStart w:id="1697" w:name="_Toc172033681"/>
      <w:r w:rsidRPr="00C3310F">
        <w:rPr>
          <w:rFonts w:hint="eastAsia"/>
        </w:rPr>
        <w:t>第一個問題就是，我要怎麼證明他跟這些詐騙</w:t>
      </w:r>
      <w:r w:rsidR="008955EF" w:rsidRPr="00C3310F">
        <w:rPr>
          <w:rFonts w:hint="eastAsia"/>
        </w:rPr>
        <w:t>集團</w:t>
      </w:r>
      <w:r w:rsidRPr="00C3310F">
        <w:rPr>
          <w:rFonts w:hint="eastAsia"/>
        </w:rPr>
        <w:t>有勾結？那什麼都不做，什麼都不管，是不是你金管會在前端先幫我們把個人幣商的這個部分先處理好，管制好。</w:t>
      </w:r>
      <w:bookmarkEnd w:id="1695"/>
      <w:bookmarkEnd w:id="1696"/>
      <w:bookmarkEnd w:id="1697"/>
    </w:p>
    <w:p w14:paraId="6A12C361" w14:textId="7DEA0596" w:rsidR="006C0E43" w:rsidRPr="00C3310F" w:rsidRDefault="006C0E43" w:rsidP="00B22834">
      <w:pPr>
        <w:pStyle w:val="3"/>
      </w:pPr>
      <w:bookmarkStart w:id="1698" w:name="_Toc171525834"/>
      <w:bookmarkStart w:id="1699" w:name="_Toc172024359"/>
      <w:bookmarkStart w:id="1700" w:name="_Toc172033682"/>
      <w:r w:rsidRPr="00C3310F">
        <w:rPr>
          <w:rFonts w:hint="eastAsia"/>
        </w:rPr>
        <w:t>金管會被我們逼到發這種新聞稿，來各位，新聞稿說個人幣商沒有完成法遵聲明自屬違法。我接下來問，他違什麼法？我說你違法就違法，不是這樣吧！我們民主國家跟他說違法，你要跟他違什麼法嘛！我們來盤點一下他有違反洗</w:t>
      </w:r>
      <w:r w:rsidR="008955EF" w:rsidRPr="00C3310F">
        <w:rPr>
          <w:rFonts w:hint="eastAsia"/>
        </w:rPr>
        <w:t>錢</w:t>
      </w:r>
      <w:r w:rsidRPr="00C3310F">
        <w:rPr>
          <w:rFonts w:hint="eastAsia"/>
        </w:rPr>
        <w:t>防</w:t>
      </w:r>
      <w:r w:rsidR="008955EF" w:rsidRPr="00C3310F">
        <w:rPr>
          <w:rFonts w:hint="eastAsia"/>
        </w:rPr>
        <w:t>制</w:t>
      </w:r>
      <w:r w:rsidRPr="00C3310F">
        <w:rPr>
          <w:rFonts w:hint="eastAsia"/>
        </w:rPr>
        <w:t>法嗎？有違反V</w:t>
      </w:r>
      <w:r w:rsidRPr="00C3310F">
        <w:t>ASP</w:t>
      </w:r>
      <w:r w:rsidRPr="00C3310F">
        <w:rPr>
          <w:rFonts w:hint="eastAsia"/>
        </w:rPr>
        <w:t>原則嗎？沒有嘛！所以到現在到今天4月26號，虛擬通貨原則都沒有規定什麼叫個人幣商啊，各位你可以想像嗎，法院還要自己去想，自己去定義什麼叫個人幣商。</w:t>
      </w:r>
      <w:bookmarkEnd w:id="1698"/>
      <w:bookmarkEnd w:id="1699"/>
      <w:bookmarkEnd w:id="1700"/>
    </w:p>
    <w:p w14:paraId="6CDE5FC4" w14:textId="77777777" w:rsidR="006C0E43" w:rsidRPr="00C3310F" w:rsidRDefault="006C0E43" w:rsidP="00B22834">
      <w:pPr>
        <w:pStyle w:val="3"/>
      </w:pPr>
      <w:bookmarkStart w:id="1701" w:name="_Toc171525835"/>
      <w:bookmarkStart w:id="1702" w:name="_Toc172024360"/>
      <w:bookmarkStart w:id="1703" w:name="_Toc172033683"/>
      <w:r w:rsidRPr="00C3310F">
        <w:rPr>
          <w:rFonts w:hint="eastAsia"/>
        </w:rPr>
        <w:t>第二個他有違反公司法嗎？那金管會說什麼違反商業登記規則，沒做稅籍登記，問題是你罰得到他嗎？你是他的主管機關嗎？這全部都在甩鍋給別人對吧！</w:t>
      </w:r>
      <w:bookmarkEnd w:id="1701"/>
      <w:bookmarkEnd w:id="1702"/>
      <w:bookmarkEnd w:id="1703"/>
    </w:p>
    <w:p w14:paraId="2A0CC1E3" w14:textId="77777777" w:rsidR="006C0E43" w:rsidRPr="00C3310F" w:rsidRDefault="006C0E43" w:rsidP="00B22834">
      <w:pPr>
        <w:pStyle w:val="3"/>
      </w:pPr>
      <w:bookmarkStart w:id="1704" w:name="_Toc171525836"/>
      <w:bookmarkStart w:id="1705" w:name="_Toc172024361"/>
      <w:bookmarkStart w:id="1706" w:name="_Toc172033684"/>
      <w:r w:rsidRPr="00C3310F">
        <w:rPr>
          <w:rFonts w:hint="eastAsia"/>
        </w:rPr>
        <w:t>你不知道怎麼改，我現在告訴你。第一個我們強力要求金管會要開始做幣商的登記，如果你要經營幣商，你就要在金管會開始登記，登記這件事不要再甩鍋給別人，你的個人幣商沒有登記不可以營業，重點是你要修訂規則，什麼人什麼樣的條件才可以來申請幣商？你是不是有稅籍登記？是不是有公司登記？是不是商業登記都登記好再來跟我金管會登記，重點是你錢包要登記，你冷錢包、熱錢包，</w:t>
      </w:r>
      <w:r w:rsidRPr="00C3310F">
        <w:rPr>
          <w:rFonts w:hint="eastAsia"/>
        </w:rPr>
        <w:lastRenderedPageBreak/>
        <w:t>你的相關錢包金流就看得到。</w:t>
      </w:r>
      <w:bookmarkEnd w:id="1704"/>
      <w:bookmarkEnd w:id="1705"/>
      <w:bookmarkEnd w:id="1706"/>
    </w:p>
    <w:p w14:paraId="4676F9A8" w14:textId="77777777" w:rsidR="006C0E43" w:rsidRPr="00C3310F" w:rsidRDefault="006C0E43" w:rsidP="00B22834">
      <w:pPr>
        <w:pStyle w:val="3"/>
      </w:pPr>
      <w:bookmarkStart w:id="1707" w:name="_Toc171525837"/>
      <w:bookmarkStart w:id="1708" w:name="_Toc172024362"/>
      <w:bookmarkStart w:id="1709" w:name="_Toc172033685"/>
      <w:r w:rsidRPr="00C3310F">
        <w:rPr>
          <w:rFonts w:hint="eastAsia"/>
        </w:rPr>
        <w:t>你前端的行政管制呢？你不告訴個人幣商要怎麼登記？怎麼設立？什麼條件都沒有，就跟我說那這樣算犯罪了？金管會說犯罪的潛臺詞是什麼意思？就是那是檢察官的事啊！我們最近有看到委員希望能夠由檢察官當公益代表人，由我們當公益代理人去打訴訟，這個不是什麼大問題，問題是我要能夠追到人，追到錢嗎？要先有錢，才能求償嘛！找不到錢你要怎麼賠？</w:t>
      </w:r>
      <w:bookmarkEnd w:id="1707"/>
      <w:bookmarkEnd w:id="1708"/>
      <w:bookmarkEnd w:id="1709"/>
    </w:p>
    <w:p w14:paraId="5D5473DA" w14:textId="23F33BB1" w:rsidR="006C0E43" w:rsidRPr="00C3310F" w:rsidRDefault="008955EF" w:rsidP="00B22834">
      <w:pPr>
        <w:pStyle w:val="2"/>
      </w:pPr>
      <w:bookmarkStart w:id="1710" w:name="_Toc171525838"/>
      <w:bookmarkStart w:id="1711" w:name="_Toc172024363"/>
      <w:bookmarkStart w:id="1712" w:name="_Toc172033686"/>
      <w:r w:rsidRPr="00C3310F">
        <w:rPr>
          <w:rFonts w:hint="eastAsia"/>
        </w:rPr>
        <w:t>臺北地檢署羅韋淵檢察官</w:t>
      </w:r>
      <w:bookmarkEnd w:id="1710"/>
      <w:bookmarkEnd w:id="1711"/>
      <w:bookmarkEnd w:id="1712"/>
    </w:p>
    <w:p w14:paraId="0BED5986" w14:textId="77777777" w:rsidR="006C0E43" w:rsidRPr="00C3310F" w:rsidRDefault="006C0E43" w:rsidP="00B22834">
      <w:pPr>
        <w:pStyle w:val="3"/>
      </w:pPr>
      <w:bookmarkStart w:id="1713" w:name="_Toc171525839"/>
      <w:bookmarkStart w:id="1714" w:name="_Toc172024364"/>
      <w:bookmarkStart w:id="1715" w:name="_Toc172033687"/>
      <w:r w:rsidRPr="00C3310F">
        <w:rPr>
          <w:rFonts w:hint="eastAsia"/>
        </w:rPr>
        <w:t>法務部去年指派我到美國哈佛大學做訪問學者，研究的題目就是網路犯罪以及虛擬貨幣犯罪，首先談到國際防制洗錢行動組織FATF從2021年10月的時候就已經發布了相關的指引，去描述虛擬資產服務提供者應該要有所規範，他們是針對法人公司做規範?還是說連自然人也要規範?關於這一點在我國其實是有很大的這個爭議?甚至是法律依據不足?其實他們已經明確規定任何法人或自然人都應該要被定位，只要你從事這個虛擬資產的服務的話，那就應該要受到規範。</w:t>
      </w:r>
      <w:bookmarkEnd w:id="1713"/>
      <w:bookmarkEnd w:id="1714"/>
      <w:bookmarkEnd w:id="1715"/>
    </w:p>
    <w:p w14:paraId="2B902FAA" w14:textId="24AFBDE6" w:rsidR="006C0E43" w:rsidRPr="00C3310F" w:rsidRDefault="006C0E43" w:rsidP="00B22834">
      <w:pPr>
        <w:pStyle w:val="3"/>
      </w:pPr>
      <w:bookmarkStart w:id="1716" w:name="_Toc171525840"/>
      <w:bookmarkStart w:id="1717" w:name="_Toc172024365"/>
      <w:bookmarkStart w:id="1718" w:name="_Toc172033688"/>
      <w:r w:rsidRPr="00C3310F">
        <w:rPr>
          <w:rFonts w:hint="eastAsia"/>
        </w:rPr>
        <w:t>我國最大的爭議是在哪裡?依據虛擬通貨平</w:t>
      </w:r>
      <w:r w:rsidR="008955EF" w:rsidRPr="00C3310F">
        <w:rPr>
          <w:rFonts w:hint="eastAsia"/>
        </w:rPr>
        <w:t>台及交易業務事業防制洗錢及打擊資恐辦法</w:t>
      </w:r>
      <w:r w:rsidRPr="00C3310F">
        <w:rPr>
          <w:rFonts w:hint="eastAsia"/>
        </w:rPr>
        <w:t>第2條第</w:t>
      </w:r>
      <w:r w:rsidR="00ED1021" w:rsidRPr="00C3310F">
        <w:rPr>
          <w:rFonts w:hint="eastAsia"/>
        </w:rPr>
        <w:t>2</w:t>
      </w:r>
      <w:r w:rsidRPr="00C3310F">
        <w:rPr>
          <w:rFonts w:hint="eastAsia"/>
        </w:rPr>
        <w:t>項，他所說的這個本事業，也應該依照這一個條款被規範，這個事業是已在國內設立登記者為限。也就是說，如果今天這位所謂的幣商，他是以個人跑單幫的方式，他不去做公司登記商業登記，或其他的稅籍登記，那他就不會在這個辦法裡面被規範，那既然不在這個辦法裡面所規範，那主管機關也就沒辦法依照這個辦法去裁罰，對他做處理，如果沒有這</w:t>
      </w:r>
      <w:r w:rsidRPr="00C3310F">
        <w:rPr>
          <w:rFonts w:hint="eastAsia"/>
        </w:rPr>
        <w:lastRenderedPageBreak/>
        <w:t>個遵循FATF相關指引的話，未來可能嚴重的是影響我國的評鑑，甚至我國對外的經貿。</w:t>
      </w:r>
      <w:bookmarkEnd w:id="1716"/>
      <w:bookmarkEnd w:id="1717"/>
      <w:bookmarkEnd w:id="1718"/>
    </w:p>
    <w:p w14:paraId="55815942" w14:textId="77777777" w:rsidR="006C0E43" w:rsidRPr="00C3310F" w:rsidRDefault="006C0E43" w:rsidP="00B22834">
      <w:pPr>
        <w:pStyle w:val="3"/>
      </w:pPr>
      <w:bookmarkStart w:id="1719" w:name="_Toc171525841"/>
      <w:bookmarkStart w:id="1720" w:name="_Toc172024366"/>
      <w:bookmarkStart w:id="1721" w:name="_Toc172033689"/>
      <w:r w:rsidRPr="00C3310F">
        <w:rPr>
          <w:rFonts w:hint="eastAsia"/>
        </w:rPr>
        <w:t>FATF的相關指引也明確地指出，從事虛擬資產服務提供者必須取得相關證照，或者是許可，而且它強調這些虛擬資產服務提供者，應該要受到權責機關的監理或是監控，特別強調非自律組織。當然我了解金管會目前是想循序漸進的訂出業者自律規範，期待業者有所自律，不過自律依照目前的犯罪案件爆發，可能還是不夠。關於個人幣商的管制，應該是要由主管機關先訂好行政規範，甚至哪一些等級的虛擬資產服務提供者，必須要符合哪一些等級的這個規範。行政管制甚至要做第2層的輔導，輔導之後如果還有不足，那行政機關的裁罰要先行，刑事手段其實是放在最後。</w:t>
      </w:r>
      <w:bookmarkEnd w:id="1719"/>
      <w:bookmarkEnd w:id="1720"/>
      <w:bookmarkEnd w:id="1721"/>
    </w:p>
    <w:p w14:paraId="5E4A2446" w14:textId="77777777" w:rsidR="006C0E43" w:rsidRPr="00C3310F" w:rsidRDefault="006C0E43" w:rsidP="00B22834">
      <w:pPr>
        <w:pStyle w:val="3"/>
      </w:pPr>
      <w:bookmarkStart w:id="1722" w:name="_Toc171525842"/>
      <w:bookmarkStart w:id="1723" w:name="_Toc172024367"/>
      <w:bookmarkStart w:id="1724" w:name="_Toc172033690"/>
      <w:r w:rsidRPr="00C3310F">
        <w:rPr>
          <w:rFonts w:hint="eastAsia"/>
        </w:rPr>
        <w:t>虛擬貨幣跟我們實體的金融產業裡面有一點非常不一樣，我們去銀行開戶必須要提供我們的證件、相關文件，甚至簽名，才有辦法開一個銀行戶頭，因為銀行受到非常嚴格的監理。但虛擬貨幣不是如此，各位只要有手機Google Play或者是App Store裡面就可以任意下載一個非託管錢包，不需要經過任何實名認證，你就可以使用。非託管承包的雖然目前技術上是可以去追查到他的名字，但是這個錢包的背後到底是由誰實質掌控，我們是不知道的，或者是必須要花費很多的資源才有辦法去拼湊出來。</w:t>
      </w:r>
      <w:bookmarkEnd w:id="1722"/>
      <w:bookmarkEnd w:id="1723"/>
      <w:bookmarkEnd w:id="1724"/>
    </w:p>
    <w:p w14:paraId="5D5E6F77" w14:textId="77777777" w:rsidR="006C0E43" w:rsidRPr="00C3310F" w:rsidRDefault="006C0E43" w:rsidP="00B22834">
      <w:pPr>
        <w:pStyle w:val="3"/>
      </w:pPr>
      <w:bookmarkStart w:id="1725" w:name="_Toc171525843"/>
      <w:bookmarkStart w:id="1726" w:name="_Toc172024368"/>
      <w:bookmarkStart w:id="1727" w:name="_Toc172033691"/>
      <w:r w:rsidRPr="00C3310F">
        <w:rPr>
          <w:rFonts w:hint="eastAsia"/>
        </w:rPr>
        <w:t>我們很難期待規定每一個虛擬資產用戶都不能去使用非託管錢包，因為這涉及到人民財產權或者是隱私的問題，但如果今天這個錢包是用於商業使用，那是不是應該要課予業者要有一個呈報錢包地址</w:t>
      </w:r>
      <w:r w:rsidRPr="00C3310F">
        <w:rPr>
          <w:rFonts w:hint="eastAsia"/>
        </w:rPr>
        <w:lastRenderedPageBreak/>
        <w:t>的義務，不管是公司或者是個人幣商。再來一個是目前我國的洗錢防制法其實已經都施行了，但有個例外，第7條他規定的是轉帳規則，轉帳規則講的是，客戶要把虛擬資產轉給虛擬資產服務提供商的時候，那這個客戶必須要先說明資產的上一層來源是誰?什麼姓名?以及他的基本資料，以及他轉進來的用途是什麼?轉出去的話也必須要跟虛擬資產服務提供商說明說我要轉給誰?做什麼用途?否則虛擬資產服務提供他就不應該准許這一筆交易。用這個方式來補強錢包地址可能是匿名的問題。</w:t>
      </w:r>
      <w:bookmarkEnd w:id="1725"/>
      <w:bookmarkEnd w:id="1726"/>
      <w:bookmarkEnd w:id="1727"/>
    </w:p>
    <w:p w14:paraId="0AE70080" w14:textId="77777777" w:rsidR="006C0E43" w:rsidRPr="00C3310F" w:rsidRDefault="006C0E43" w:rsidP="00B22834">
      <w:pPr>
        <w:pStyle w:val="3"/>
      </w:pPr>
      <w:bookmarkStart w:id="1728" w:name="_Toc171525844"/>
      <w:bookmarkStart w:id="1729" w:name="_Toc172024369"/>
      <w:bookmarkStart w:id="1730" w:name="_Toc172033692"/>
      <w:r w:rsidRPr="00C3310F">
        <w:rPr>
          <w:rFonts w:hint="eastAsia"/>
        </w:rPr>
        <w:t>我們都知道被害人去報165之後呢，銀行它有一個機制也就是它可以設定警示帳戶及時的去攔阻這一筆錢，那設定警示帳戶的法律依據是</w:t>
      </w:r>
      <w:r w:rsidRPr="00C3310F">
        <w:rPr>
          <w:rFonts w:hint="eastAsia"/>
        </w:rPr>
        <w:softHyphen/>
        <w:t>「存款帳戶及其疑似不法或顯屬異常交易管理辦法」，那如果今天這是虛擬貨幣被騙到交易所裡面，我們目前有法律依據去阻攔嗎?沒有。但我們需不需要?需要。目前這些虛擬貨幣交易所，他們覺得很困擾，當他們系統偵測到一筆異常的這個虛擬資產流進來的時候，他們覺得這個嚴重的疑似不法，可是他們沒有法律依據去凍結，往往只能靠落落長的用戶條款先暫時扣住，所以個人認為業者呢也需要有一個法律依據給他們當作他們的後盾，去凍結這些疑似不法的虛擬資產。那另外，銀行跟銀行之間如果設警示已經來不及了，錢已經流到下一層，那銀行之間有一個通報的義務，繼續一層一層的通報，及時的做阻攔。但虛擬資產服務業者目前也沒有相關法律依據可以這樣子層層通報。</w:t>
      </w:r>
      <w:bookmarkEnd w:id="1728"/>
      <w:bookmarkEnd w:id="1729"/>
      <w:bookmarkEnd w:id="1730"/>
    </w:p>
    <w:p w14:paraId="5B0AE0ED" w14:textId="025D4112" w:rsidR="006C0E43" w:rsidRPr="00C3310F" w:rsidRDefault="00EB3668" w:rsidP="00B22834">
      <w:pPr>
        <w:pStyle w:val="2"/>
      </w:pPr>
      <w:bookmarkStart w:id="1731" w:name="_Toc171525845"/>
      <w:bookmarkStart w:id="1732" w:name="_Toc172024370"/>
      <w:bookmarkStart w:id="1733" w:name="_Toc172033693"/>
      <w:r w:rsidRPr="00C3310F">
        <w:rPr>
          <w:rFonts w:hint="eastAsia"/>
        </w:rPr>
        <w:t>臺北地檢署洪敏超檢察官</w:t>
      </w:r>
      <w:bookmarkEnd w:id="1731"/>
      <w:bookmarkEnd w:id="1732"/>
      <w:bookmarkEnd w:id="1733"/>
    </w:p>
    <w:p w14:paraId="4B63C74D" w14:textId="797FF215" w:rsidR="006C0E43" w:rsidRPr="00C3310F" w:rsidRDefault="006C0E43" w:rsidP="00B22834">
      <w:pPr>
        <w:pStyle w:val="3"/>
      </w:pPr>
      <w:bookmarkStart w:id="1734" w:name="_Toc171525846"/>
      <w:bookmarkStart w:id="1735" w:name="_Toc172024371"/>
      <w:bookmarkStart w:id="1736" w:name="_Toc172033694"/>
      <w:r w:rsidRPr="00C3310F">
        <w:rPr>
          <w:rFonts w:hint="eastAsia"/>
        </w:rPr>
        <w:t>這個月初一個美國的幣流分析公司做了一個簡報，</w:t>
      </w:r>
      <w:r w:rsidRPr="00C3310F">
        <w:rPr>
          <w:rFonts w:hint="eastAsia"/>
        </w:rPr>
        <w:lastRenderedPageBreak/>
        <w:t>他說現在臺灣跟日本成為洗錢最終場地，原因很簡單啊，因為臺灣在國際政治上的地位比較比較沒人理啦，對有心人士而言很簡單，完成法遵聲明不如直接買下公司，就跟王牌交易所一樣也是直接換人嘛，上次我們證期局副局長說我們就禁止境外的，沒登記不</w:t>
      </w:r>
      <w:r w:rsidR="00EB3668" w:rsidRPr="00C3310F">
        <w:rPr>
          <w:rFonts w:hint="eastAsia"/>
        </w:rPr>
        <w:t>准</w:t>
      </w:r>
      <w:r w:rsidRPr="00C3310F">
        <w:rPr>
          <w:rFonts w:hint="eastAsia"/>
        </w:rPr>
        <w:t>他進行招攬，但是大家看到這個招攬非常多啊!YouTube上放廣告都算招攬嗎?合約王者挑戰賽直接在臺灣辦算嗎?新加坡的</w:t>
      </w:r>
      <w:r w:rsidR="00EB3668" w:rsidRPr="00C3310F">
        <w:rPr>
          <w:rFonts w:hint="eastAsia"/>
        </w:rPr>
        <w:t>MEXC抹茶交易所</w:t>
      </w:r>
      <w:r w:rsidRPr="00C3310F">
        <w:rPr>
          <w:rFonts w:hint="eastAsia"/>
        </w:rPr>
        <w:t>在臺灣辦，那這算不算招攬呢?</w:t>
      </w:r>
      <w:bookmarkEnd w:id="1734"/>
      <w:bookmarkEnd w:id="1735"/>
      <w:bookmarkEnd w:id="1736"/>
    </w:p>
    <w:p w14:paraId="4DE1C1B1" w14:textId="724C9D09" w:rsidR="006C0E43" w:rsidRPr="00C3310F" w:rsidRDefault="006C0E43" w:rsidP="00B22834">
      <w:pPr>
        <w:pStyle w:val="3"/>
      </w:pPr>
      <w:bookmarkStart w:id="1737" w:name="_Toc171525847"/>
      <w:bookmarkStart w:id="1738" w:name="_Toc172024372"/>
      <w:bookmarkStart w:id="1739" w:name="_Toc172033695"/>
      <w:r w:rsidRPr="00C3310F">
        <w:rPr>
          <w:rFonts w:hint="eastAsia"/>
        </w:rPr>
        <w:t>第三方支付也是一樣，其實大家講了一大堆能量登錄，最後沒有並落實，事實上目前為止通過登錄的就是16+1家，我們原本統計的有多少</w:t>
      </w:r>
      <w:r w:rsidR="00E36797" w:rsidRPr="00C3310F">
        <w:rPr>
          <w:rFonts w:hint="eastAsia"/>
        </w:rPr>
        <w:t>?</w:t>
      </w:r>
      <w:r w:rsidRPr="00C3310F">
        <w:rPr>
          <w:rFonts w:hint="eastAsia"/>
        </w:rPr>
        <w:t>1萬多家</w:t>
      </w:r>
      <w:r w:rsidR="00E36797" w:rsidRPr="00C3310F">
        <w:rPr>
          <w:rFonts w:hint="eastAsia"/>
        </w:rPr>
        <w:t>!</w:t>
      </w:r>
      <w:r w:rsidRPr="00C3310F">
        <w:rPr>
          <w:rFonts w:hint="eastAsia"/>
        </w:rPr>
        <w:t>代表1萬多家根本不鳥你!其實你看</w:t>
      </w:r>
      <w:r w:rsidR="00E36797" w:rsidRPr="00C3310F">
        <w:rPr>
          <w:rFonts w:hint="eastAsia"/>
        </w:rPr>
        <w:t>移工</w:t>
      </w:r>
      <w:r w:rsidRPr="00C3310F">
        <w:rPr>
          <w:rFonts w:hint="eastAsia"/>
        </w:rPr>
        <w:t>，現在逃逸移工有大概將近8萬多人其實都是風險，我們不是有罪推定，而是他是一個風險嘛。他的帳戶怎麼使用我們無從控管，因為我們找不到人。目前解法是所有通過這個離境移工去掌握，但實際上我覺得很簡單，像玉山銀行開戶總約定書就是說，如果他沒有去更新自己的資料，導致銀行沒辦法評估做法遵的話，就只會視為不合作帳戶。我覺得很簡單的道理，你在臺灣這個土地上，你就算你不是國民，你有遵守我國法律的義務，你當逃逸移工的時候你都覺得臺灣的法律我不用管，我們為什麼要為這個普惠金融，提供到隨時</w:t>
      </w:r>
      <w:r w:rsidR="005F68B4" w:rsidRPr="00C3310F">
        <w:rPr>
          <w:rFonts w:hint="eastAsia"/>
        </w:rPr>
        <w:t>隨地</w:t>
      </w:r>
      <w:r w:rsidRPr="00C3310F">
        <w:rPr>
          <w:rFonts w:hint="eastAsia"/>
        </w:rPr>
        <w:t>都可以使用你的信用卡?</w:t>
      </w:r>
      <w:bookmarkEnd w:id="1737"/>
      <w:bookmarkEnd w:id="1738"/>
      <w:bookmarkEnd w:id="1739"/>
    </w:p>
    <w:p w14:paraId="68D092A4" w14:textId="4D22836D" w:rsidR="006C0E43" w:rsidRPr="00C3310F" w:rsidRDefault="006C0E43" w:rsidP="00B22834">
      <w:pPr>
        <w:pStyle w:val="3"/>
      </w:pPr>
      <w:bookmarkStart w:id="1740" w:name="_Toc171525848"/>
      <w:bookmarkStart w:id="1741" w:name="_Toc172024373"/>
      <w:bookmarkStart w:id="1742" w:name="_Toc172033696"/>
      <w:r w:rsidRPr="00C3310F">
        <w:rPr>
          <w:rFonts w:hint="eastAsia"/>
        </w:rPr>
        <w:t>黑莓卡這部分，我測試給大家看，我花250塊在蝦皮買的，實名制根本隨便輸入都可以過關，大家看這個IP是香港的，代表我就用這張卡之後，其實你沒有辦法掌握實際的身</w:t>
      </w:r>
      <w:r w:rsidR="00EB3668" w:rsidRPr="00C3310F">
        <w:rPr>
          <w:rFonts w:hint="eastAsia"/>
        </w:rPr>
        <w:t>分</w:t>
      </w:r>
      <w:r w:rsidRPr="00C3310F">
        <w:rPr>
          <w:rFonts w:hint="eastAsia"/>
        </w:rPr>
        <w:t>。</w:t>
      </w:r>
      <w:bookmarkEnd w:id="1740"/>
      <w:bookmarkEnd w:id="1741"/>
      <w:bookmarkEnd w:id="1742"/>
    </w:p>
    <w:p w14:paraId="4B3DB77F" w14:textId="053CC167" w:rsidR="00AB1F1C" w:rsidRPr="00C3310F" w:rsidRDefault="006C0E43" w:rsidP="00062CD2">
      <w:pPr>
        <w:pStyle w:val="3"/>
      </w:pPr>
      <w:bookmarkStart w:id="1743" w:name="_Toc171525849"/>
      <w:bookmarkStart w:id="1744" w:name="_Toc172024374"/>
      <w:bookmarkStart w:id="1745" w:name="_Toc172033697"/>
      <w:r w:rsidRPr="00C3310F">
        <w:rPr>
          <w:rFonts w:hint="eastAsia"/>
        </w:rPr>
        <w:t>社群媒體去投放不實廣告，其實這個要處理這些網</w:t>
      </w:r>
      <w:r w:rsidRPr="00C3310F">
        <w:rPr>
          <w:rFonts w:hint="eastAsia"/>
        </w:rPr>
        <w:lastRenderedPageBreak/>
        <w:t>頁詐欺最快的方式就是用最短的時間最有效率的方式最簡易的程序去阻止，過往的方式都是向法院申請扣押，才再去TWNIC去扣，太慢了，所以最近因為創意私房，他改了一個緊急方式讓警察投單就可以，那這代表什麼?其實過往真的不需要透過檢方。</w:t>
      </w:r>
      <w:bookmarkEnd w:id="1743"/>
      <w:bookmarkEnd w:id="1744"/>
      <w:bookmarkEnd w:id="1745"/>
    </w:p>
    <w:sectPr w:rsidR="00AB1F1C" w:rsidRPr="00C3310F" w:rsidSect="000B06E4">
      <w:footerReference w:type="default" r:id="rId33"/>
      <w:type w:val="continuous"/>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7F3038" w14:textId="77777777" w:rsidR="009A48EB" w:rsidRDefault="009A48EB">
      <w:r>
        <w:separator/>
      </w:r>
    </w:p>
  </w:endnote>
  <w:endnote w:type="continuationSeparator" w:id="0">
    <w:p w14:paraId="4E5CA3EE" w14:textId="77777777" w:rsidR="009A48EB" w:rsidRDefault="009A48EB">
      <w:r>
        <w:continuationSeparator/>
      </w:r>
    </w:p>
  </w:endnote>
  <w:endnote w:type="continuationNotice" w:id="1">
    <w:p w14:paraId="37F8C3EC" w14:textId="77777777" w:rsidR="009A48EB" w:rsidRDefault="009A48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00"/>
    <w:family w:val="auto"/>
    <w:pitch w:val="variable"/>
  </w:font>
  <w:font w:name="Calibri">
    <w:panose1 w:val="020F0502020204030204"/>
    <w:charset w:val="00"/>
    <w:family w:val="swiss"/>
    <w:pitch w:val="variable"/>
    <w:sig w:usb0="E0002A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3782152"/>
      <w:docPartObj>
        <w:docPartGallery w:val="Page Numbers (Bottom of Page)"/>
        <w:docPartUnique/>
      </w:docPartObj>
    </w:sdtPr>
    <w:sdtEndPr>
      <w:rPr>
        <w:rFonts w:ascii="Times New Roman"/>
      </w:rPr>
    </w:sdtEndPr>
    <w:sdtContent>
      <w:p w14:paraId="4A42761A" w14:textId="543E7D6D" w:rsidR="0017588F" w:rsidRPr="005A5165" w:rsidRDefault="0017588F">
        <w:pPr>
          <w:pStyle w:val="af3"/>
          <w:jc w:val="center"/>
          <w:rPr>
            <w:rFonts w:ascii="Times New Roman"/>
          </w:rPr>
        </w:pPr>
        <w:r w:rsidRPr="005A5165">
          <w:rPr>
            <w:rFonts w:ascii="Times New Roman"/>
          </w:rPr>
          <w:fldChar w:fldCharType="begin"/>
        </w:r>
        <w:r w:rsidRPr="005A5165">
          <w:rPr>
            <w:rFonts w:ascii="Times New Roman"/>
          </w:rPr>
          <w:instrText>PAGE   \* MERGEFORMAT</w:instrText>
        </w:r>
        <w:r w:rsidRPr="005A5165">
          <w:rPr>
            <w:rFonts w:ascii="Times New Roman"/>
          </w:rPr>
          <w:fldChar w:fldCharType="separate"/>
        </w:r>
        <w:r w:rsidRPr="005A5165">
          <w:rPr>
            <w:rFonts w:ascii="Times New Roman"/>
            <w:lang w:val="zh-TW"/>
          </w:rPr>
          <w:t>2</w:t>
        </w:r>
        <w:r w:rsidRPr="005A5165">
          <w:rPr>
            <w:rFonts w:ascii="Times New Roman"/>
          </w:rPr>
          <w:fldChar w:fldCharType="end"/>
        </w:r>
      </w:p>
    </w:sdtContent>
  </w:sdt>
  <w:p w14:paraId="41C997CF" w14:textId="77777777" w:rsidR="0017588F" w:rsidRPr="005A5165" w:rsidRDefault="0017588F" w:rsidP="005A5165">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0DF1D" w14:textId="77777777" w:rsidR="0017588F" w:rsidRDefault="0017588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3</w:t>
    </w:r>
    <w:r>
      <w:rPr>
        <w:rStyle w:val="ac"/>
        <w:sz w:val="24"/>
      </w:rPr>
      <w:fldChar w:fldCharType="end"/>
    </w:r>
  </w:p>
  <w:p w14:paraId="482C124F" w14:textId="77777777" w:rsidR="0017588F" w:rsidRDefault="0017588F">
    <w:pPr>
      <w:framePr w:wrap="auto" w:hAnchor="text" w:y="-955"/>
      <w:ind w:left="640" w:right="360" w:firstLine="448"/>
      <w:jc w:val="right"/>
    </w:pPr>
  </w:p>
  <w:p w14:paraId="5DC73212" w14:textId="77777777" w:rsidR="0017588F" w:rsidRDefault="0017588F"/>
  <w:p w14:paraId="3DD8C06B" w14:textId="77777777" w:rsidR="0017588F" w:rsidRDefault="001758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BB8DF4" w14:textId="77777777" w:rsidR="009A48EB" w:rsidRDefault="009A48EB">
      <w:r>
        <w:separator/>
      </w:r>
    </w:p>
  </w:footnote>
  <w:footnote w:type="continuationSeparator" w:id="0">
    <w:p w14:paraId="28B44AB3" w14:textId="77777777" w:rsidR="009A48EB" w:rsidRDefault="009A48EB">
      <w:r>
        <w:continuationSeparator/>
      </w:r>
    </w:p>
  </w:footnote>
  <w:footnote w:type="continuationNotice" w:id="1">
    <w:p w14:paraId="20390461" w14:textId="77777777" w:rsidR="009A48EB" w:rsidRDefault="009A48EB"/>
  </w:footnote>
  <w:footnote w:id="2">
    <w:p w14:paraId="71C98EAA" w14:textId="77777777" w:rsidR="0017588F" w:rsidRPr="007753F8" w:rsidRDefault="0017588F">
      <w:pPr>
        <w:pStyle w:val="afc"/>
      </w:pPr>
      <w:r>
        <w:rPr>
          <w:rStyle w:val="afe"/>
        </w:rPr>
        <w:footnoteRef/>
      </w:r>
      <w:r>
        <w:t xml:space="preserve"> </w:t>
      </w:r>
      <w:r>
        <w:rPr>
          <w:rFonts w:hint="eastAsia"/>
        </w:rPr>
        <w:t>監察院新聞稿。</w:t>
      </w:r>
      <w:r w:rsidRPr="007753F8">
        <w:rPr>
          <w:rFonts w:hint="eastAsia"/>
        </w:rPr>
        <w:t>監察院院長陳菊率監察委員巡察行政院 提出多項社會關注議題意見 並建議檢討修正61項法規</w:t>
      </w:r>
      <w:r>
        <w:rPr>
          <w:rFonts w:hint="eastAsia"/>
        </w:rPr>
        <w:t>(</w:t>
      </w:r>
      <w:r w:rsidRPr="007753F8">
        <w:t>https://www.cy.gov.tw/News_Content.aspx?n=792&amp;s=27484</w:t>
      </w:r>
      <w:r>
        <w:rPr>
          <w:rFonts w:hint="eastAsia"/>
        </w:rPr>
        <w:t>)</w:t>
      </w:r>
    </w:p>
  </w:footnote>
  <w:footnote w:id="3">
    <w:p w14:paraId="5C72F655" w14:textId="77777777" w:rsidR="0017588F" w:rsidRPr="00703F08" w:rsidRDefault="0017588F">
      <w:pPr>
        <w:pStyle w:val="afc"/>
      </w:pPr>
      <w:r>
        <w:rPr>
          <w:rStyle w:val="afe"/>
        </w:rPr>
        <w:footnoteRef/>
      </w:r>
      <w:r>
        <w:t xml:space="preserve"> </w:t>
      </w:r>
      <w:r>
        <w:rPr>
          <w:rFonts w:hint="eastAsia"/>
        </w:rPr>
        <w:t>行政院新聞稿。113年7月16日。</w:t>
      </w:r>
      <w:r w:rsidRPr="00703F08">
        <w:rPr>
          <w:rFonts w:hint="eastAsia"/>
        </w:rPr>
        <w:t>行政、司法、立法三院合作 共同為國家打詐法制建立新里程碑</w:t>
      </w:r>
      <w:r>
        <w:rPr>
          <w:rFonts w:hint="eastAsia"/>
        </w:rPr>
        <w:t>。</w:t>
      </w:r>
    </w:p>
  </w:footnote>
  <w:footnote w:id="4">
    <w:p w14:paraId="41610E58" w14:textId="77777777" w:rsidR="0017588F" w:rsidRPr="005E17A1" w:rsidRDefault="0017588F">
      <w:pPr>
        <w:pStyle w:val="afc"/>
      </w:pPr>
      <w:r>
        <w:rPr>
          <w:rStyle w:val="afe"/>
        </w:rPr>
        <w:footnoteRef/>
      </w:r>
      <w:r>
        <w:t xml:space="preserve"> </w:t>
      </w:r>
      <w:r>
        <w:rPr>
          <w:rFonts w:hint="eastAsia"/>
        </w:rPr>
        <w:t>行政院新聞稿。113年5月9日。</w:t>
      </w:r>
      <w:r w:rsidRPr="005E17A1">
        <w:rPr>
          <w:rFonts w:hint="eastAsia"/>
        </w:rPr>
        <w:t>「打詐綱領1.5」執行成效與策進</w:t>
      </w:r>
      <w:r>
        <w:rPr>
          <w:rFonts w:hint="eastAsia"/>
        </w:rPr>
        <w:t>。</w:t>
      </w:r>
    </w:p>
  </w:footnote>
  <w:footnote w:id="5">
    <w:p w14:paraId="43701C49" w14:textId="77777777" w:rsidR="0017588F" w:rsidRPr="007C5FA3" w:rsidRDefault="0017588F">
      <w:pPr>
        <w:pStyle w:val="afc"/>
      </w:pPr>
      <w:r>
        <w:rPr>
          <w:rStyle w:val="afe"/>
        </w:rPr>
        <w:footnoteRef/>
      </w:r>
      <w:r>
        <w:t xml:space="preserve"> </w:t>
      </w:r>
      <w:r w:rsidRPr="007C5FA3">
        <w:rPr>
          <w:rFonts w:hint="eastAsia"/>
        </w:rPr>
        <w:t>曾雅芬(民105) 行騙天下：臺灣跨境電信詐欺犯罪網絡之分析。博士論文；國立政治大學國家發展研究所。</w:t>
      </w:r>
    </w:p>
  </w:footnote>
  <w:footnote w:id="6">
    <w:p w14:paraId="3EF9FFF3" w14:textId="77777777" w:rsidR="0017588F" w:rsidRPr="0055342B" w:rsidRDefault="0017588F">
      <w:pPr>
        <w:pStyle w:val="afc"/>
      </w:pPr>
      <w:r>
        <w:rPr>
          <w:rStyle w:val="afe"/>
        </w:rPr>
        <w:footnoteRef/>
      </w:r>
      <w:r>
        <w:t xml:space="preserve"> </w:t>
      </w:r>
      <w:r w:rsidRPr="0055342B">
        <w:rPr>
          <w:rFonts w:hint="eastAsia"/>
        </w:rPr>
        <w:t>財團法人台灣網路資訊中心。112年6月。「2023年台灣網路報告」。</w:t>
      </w:r>
    </w:p>
  </w:footnote>
  <w:footnote w:id="7">
    <w:p w14:paraId="17DCE88B" w14:textId="77777777" w:rsidR="0017588F" w:rsidRPr="005E17A1" w:rsidRDefault="0017588F">
      <w:pPr>
        <w:pStyle w:val="afc"/>
      </w:pPr>
      <w:r>
        <w:rPr>
          <w:rStyle w:val="afe"/>
        </w:rPr>
        <w:footnoteRef/>
      </w:r>
      <w:r>
        <w:t xml:space="preserve"> </w:t>
      </w:r>
      <w:r>
        <w:rPr>
          <w:rFonts w:hint="eastAsia"/>
        </w:rPr>
        <w:t>通傳會。112年12月。</w:t>
      </w:r>
      <w:r w:rsidRPr="005E17A1">
        <w:rPr>
          <w:rFonts w:hint="eastAsia"/>
        </w:rPr>
        <w:t>112年通訊傳播市場報告</w:t>
      </w:r>
      <w:r>
        <w:rPr>
          <w:rFonts w:hint="eastAsia"/>
        </w:rPr>
        <w:t>。</w:t>
      </w:r>
    </w:p>
  </w:footnote>
  <w:footnote w:id="8">
    <w:p w14:paraId="10D1D91E" w14:textId="77777777" w:rsidR="0017588F" w:rsidRDefault="0017588F" w:rsidP="0050018E">
      <w:pPr>
        <w:pStyle w:val="afc"/>
        <w:ind w:left="150" w:hangingChars="68" w:hanging="150"/>
      </w:pPr>
      <w:r>
        <w:rPr>
          <w:rStyle w:val="afe"/>
        </w:rPr>
        <w:footnoteRef/>
      </w:r>
      <w:r>
        <w:t xml:space="preserve"> </w:t>
      </w:r>
      <w:r w:rsidRPr="00F217E4">
        <w:rPr>
          <w:rFonts w:hint="eastAsia"/>
        </w:rPr>
        <w:t>曾雅芬(民105) 行騙天下：臺灣跨境電信詐欺犯罪網絡之分析。博士論文；國立政治大學國家發展研究所。</w:t>
      </w:r>
    </w:p>
  </w:footnote>
  <w:footnote w:id="9">
    <w:p w14:paraId="5D83055A" w14:textId="061CF3C1" w:rsidR="0017588F" w:rsidRDefault="0017588F" w:rsidP="00720EB1">
      <w:pPr>
        <w:pStyle w:val="afc"/>
        <w:ind w:left="150" w:hangingChars="68" w:hanging="150"/>
      </w:pPr>
      <w:r>
        <w:rPr>
          <w:rStyle w:val="afe"/>
        </w:rPr>
        <w:footnoteRef/>
      </w:r>
      <w:r>
        <w:t xml:space="preserve"> </w:t>
      </w:r>
      <w:r w:rsidRPr="0070770D">
        <w:rPr>
          <w:rFonts w:hint="eastAsia"/>
        </w:rPr>
        <w:t>曾雅芬(民105) 行騙天下：臺灣跨境電信詐欺犯罪網絡之分析。國立政治大學國家發展研究所博士論文</w:t>
      </w:r>
      <w:r>
        <w:rPr>
          <w:rFonts w:hint="eastAsia"/>
        </w:rPr>
        <w:t>。</w:t>
      </w:r>
    </w:p>
  </w:footnote>
  <w:footnote w:id="10">
    <w:p w14:paraId="0671230B" w14:textId="1FBFDEE0" w:rsidR="0017588F" w:rsidRPr="00BC640C" w:rsidRDefault="0017588F" w:rsidP="0085459C">
      <w:pPr>
        <w:pStyle w:val="afc"/>
      </w:pPr>
      <w:r w:rsidRPr="00B8696E">
        <w:rPr>
          <w:rStyle w:val="afe"/>
        </w:rPr>
        <w:footnoteRef/>
      </w:r>
      <w:r w:rsidRPr="00B8696E">
        <w:t xml:space="preserve"> </w:t>
      </w:r>
      <w:r w:rsidRPr="00B8696E">
        <w:rPr>
          <w:rFonts w:hint="eastAsia"/>
        </w:rPr>
        <w:t>曾雅芬(民105) 行騙天下：臺灣跨境電信詐欺犯罪網絡之分析。國立政治大學國家發展研究所博士論文。引用李宏倫（2009）。跨國電信詐欺發展趨勢。刑事雙月刊第32期，頁21。</w:t>
      </w:r>
    </w:p>
  </w:footnote>
  <w:footnote w:id="11">
    <w:p w14:paraId="3D5A0C34" w14:textId="77777777" w:rsidR="0017588F" w:rsidRPr="00D85141" w:rsidRDefault="0017588F">
      <w:pPr>
        <w:pStyle w:val="afc"/>
      </w:pPr>
      <w:r>
        <w:rPr>
          <w:rStyle w:val="afe"/>
        </w:rPr>
        <w:footnoteRef/>
      </w:r>
      <w:r>
        <w:t xml:space="preserve"> </w:t>
      </w:r>
      <w:bookmarkStart w:id="203" w:name="_Hlk171328893"/>
      <w:r w:rsidRPr="00D85141">
        <w:rPr>
          <w:rFonts w:hint="eastAsia"/>
        </w:rPr>
        <w:t>財團法人台灣網路資訊中心112年6月發布「2023年台灣網路報告」</w:t>
      </w:r>
      <w:bookmarkEnd w:id="203"/>
      <w:r>
        <w:rPr>
          <w:rFonts w:hint="eastAsia"/>
        </w:rPr>
        <w:t>。</w:t>
      </w:r>
    </w:p>
  </w:footnote>
  <w:footnote w:id="12">
    <w:p w14:paraId="4292EB00" w14:textId="77777777" w:rsidR="0017588F" w:rsidRPr="00737FFC" w:rsidRDefault="0017588F" w:rsidP="00737FFC">
      <w:pPr>
        <w:pStyle w:val="afc"/>
      </w:pPr>
      <w:r>
        <w:rPr>
          <w:rStyle w:val="afe"/>
        </w:rPr>
        <w:footnoteRef/>
      </w:r>
      <w:r>
        <w:t xml:space="preserve"> </w:t>
      </w:r>
      <w:r w:rsidRPr="00737FFC">
        <w:rPr>
          <w:rFonts w:hint="eastAsia"/>
        </w:rPr>
        <w:t>財團法人台灣網路資訊中心。112年6月。「2023年台灣網路報告」</w:t>
      </w:r>
    </w:p>
  </w:footnote>
  <w:footnote w:id="13">
    <w:p w14:paraId="194E3D1D" w14:textId="77777777" w:rsidR="0017588F" w:rsidRPr="000C4008" w:rsidRDefault="0017588F">
      <w:pPr>
        <w:pStyle w:val="afc"/>
      </w:pPr>
      <w:r>
        <w:rPr>
          <w:rStyle w:val="afe"/>
        </w:rPr>
        <w:footnoteRef/>
      </w:r>
      <w:r>
        <w:t xml:space="preserve"> </w:t>
      </w:r>
      <w:r>
        <w:rPr>
          <w:rFonts w:hint="eastAsia"/>
        </w:rPr>
        <w:t>反詐綱領1.5版</w:t>
      </w:r>
    </w:p>
  </w:footnote>
  <w:footnote w:id="14">
    <w:p w14:paraId="698B3A67" w14:textId="77777777" w:rsidR="0017588F" w:rsidRPr="00842E84" w:rsidRDefault="0017588F" w:rsidP="00252D47">
      <w:pPr>
        <w:pStyle w:val="afc"/>
      </w:pPr>
      <w:r>
        <w:rPr>
          <w:rStyle w:val="afe"/>
        </w:rPr>
        <w:footnoteRef/>
      </w:r>
      <w:r>
        <w:t xml:space="preserve"> </w:t>
      </w:r>
      <w:r w:rsidRPr="00842E84">
        <w:rPr>
          <w:rFonts w:hint="eastAsia"/>
        </w:rPr>
        <w:t>虛擬帳號：針對付款民眾所建立與指定企業向銀行申請之帳號，可用於分辨每一筆款項之付款來源</w:t>
      </w:r>
    </w:p>
  </w:footnote>
  <w:footnote w:id="15">
    <w:p w14:paraId="1D4C7C74" w14:textId="77777777" w:rsidR="0017588F" w:rsidRPr="00842E84" w:rsidRDefault="0017588F" w:rsidP="00252D47">
      <w:pPr>
        <w:pStyle w:val="afc"/>
      </w:pPr>
      <w:r>
        <w:rPr>
          <w:rStyle w:val="afe"/>
        </w:rPr>
        <w:footnoteRef/>
      </w:r>
      <w:r>
        <w:t xml:space="preserve"> </w:t>
      </w:r>
      <w:r w:rsidRPr="00842E84">
        <w:rPr>
          <w:rFonts w:hint="eastAsia"/>
        </w:rPr>
        <w:t>第三方支付：以個人或公司名義申請之代收款服務。</w:t>
      </w:r>
    </w:p>
  </w:footnote>
  <w:footnote w:id="16">
    <w:p w14:paraId="1A4F2B5C" w14:textId="77777777" w:rsidR="0017588F" w:rsidRDefault="0017588F" w:rsidP="00252D47">
      <w:pPr>
        <w:pStyle w:val="afc"/>
      </w:pPr>
      <w:r>
        <w:rPr>
          <w:rStyle w:val="afe"/>
        </w:rPr>
        <w:footnoteRef/>
      </w:r>
      <w:r>
        <w:t xml:space="preserve"> </w:t>
      </w:r>
      <w:r w:rsidRPr="00842E84">
        <w:rPr>
          <w:rFonts w:hint="eastAsia"/>
        </w:rPr>
        <w:t>虛擬通貨 主管機關為因應金融科技創新，核定虛擬通貨為證券交易法所稱之有價證券 。</w:t>
      </w:r>
    </w:p>
  </w:footnote>
  <w:footnote w:id="17">
    <w:p w14:paraId="5BCDD0CD" w14:textId="60988E5D" w:rsidR="0017588F" w:rsidRPr="003710B9" w:rsidRDefault="0017588F">
      <w:pPr>
        <w:pStyle w:val="afc"/>
      </w:pPr>
      <w:r>
        <w:rPr>
          <w:rStyle w:val="afe"/>
        </w:rPr>
        <w:footnoteRef/>
      </w:r>
      <w:r>
        <w:t xml:space="preserve"> </w:t>
      </w:r>
      <w:r>
        <w:rPr>
          <w:rFonts w:hint="eastAsia"/>
        </w:rPr>
        <w:t>比特幣自動櫃員機(</w:t>
      </w:r>
      <w:r>
        <w:t>Bitcoin Automated Teller Machine,</w:t>
      </w:r>
      <w:r>
        <w:rPr>
          <w:rFonts w:hint="eastAsia"/>
        </w:rPr>
        <w:t>下稱MBT)</w:t>
      </w:r>
    </w:p>
  </w:footnote>
  <w:footnote w:id="18">
    <w:p w14:paraId="6A3F2B41" w14:textId="45B02977" w:rsidR="0017588F" w:rsidRDefault="0017588F">
      <w:pPr>
        <w:pStyle w:val="afc"/>
      </w:pPr>
      <w:r>
        <w:rPr>
          <w:rStyle w:val="afe"/>
        </w:rPr>
        <w:footnoteRef/>
      </w:r>
      <w:r>
        <w:t xml:space="preserve"> </w:t>
      </w:r>
      <w:r>
        <w:rPr>
          <w:rFonts w:hint="eastAsia"/>
        </w:rPr>
        <w:t>本院履勘</w:t>
      </w:r>
      <w:r w:rsidRPr="00E1134E">
        <w:rPr>
          <w:rFonts w:hint="eastAsia"/>
        </w:rPr>
        <w:t>高檢署</w:t>
      </w:r>
      <w:r>
        <w:rPr>
          <w:rFonts w:hint="eastAsia"/>
        </w:rPr>
        <w:t>，</w:t>
      </w:r>
      <w:r w:rsidRPr="000B1C3C">
        <w:rPr>
          <w:rFonts w:hint="eastAsia"/>
        </w:rPr>
        <w:t>臺北地檢署劉主任檢察官仕國</w:t>
      </w:r>
      <w:r>
        <w:rPr>
          <w:rFonts w:hint="eastAsia"/>
        </w:rPr>
        <w:t>說明。</w:t>
      </w:r>
    </w:p>
  </w:footnote>
  <w:footnote w:id="19">
    <w:p w14:paraId="146B5DB8" w14:textId="77777777" w:rsidR="0017588F" w:rsidRPr="00F94A83" w:rsidRDefault="0017588F">
      <w:pPr>
        <w:pStyle w:val="afc"/>
      </w:pPr>
      <w:r>
        <w:rPr>
          <w:rStyle w:val="afe"/>
        </w:rPr>
        <w:footnoteRef/>
      </w:r>
      <w:r>
        <w:t xml:space="preserve"> </w:t>
      </w:r>
      <w:hyperlink r:id="rId1" w:history="1">
        <w:r w:rsidRPr="00F33966">
          <w:rPr>
            <w:rStyle w:val="ae"/>
          </w:rPr>
          <w:t>https://www.cryptocity.tw/How-low-is-the-cost-of-fraud-in-Taiwan</w:t>
        </w:r>
      </w:hyperlink>
      <w:r>
        <w:rPr>
          <w:rFonts w:hint="eastAsia"/>
        </w:rPr>
        <w:t>。</w:t>
      </w:r>
    </w:p>
  </w:footnote>
  <w:footnote w:id="20">
    <w:p w14:paraId="75F70E0B" w14:textId="77777777" w:rsidR="0017588F" w:rsidRPr="001672D4" w:rsidRDefault="0017588F" w:rsidP="00821C9A">
      <w:pPr>
        <w:pStyle w:val="afc"/>
      </w:pPr>
      <w:r>
        <w:rPr>
          <w:rStyle w:val="afe"/>
        </w:rPr>
        <w:footnoteRef/>
      </w:r>
      <w:r w:rsidRPr="002B348B">
        <w:rPr>
          <w:rFonts w:hint="eastAsia"/>
        </w:rPr>
        <w:t>應報理論目標在於讓犯罪行為人受到與其犯罪行為相同程度的處罰</w:t>
      </w:r>
      <w:r>
        <w:rPr>
          <w:rFonts w:hint="eastAsia"/>
        </w:rPr>
        <w:t>。</w:t>
      </w:r>
    </w:p>
  </w:footnote>
  <w:footnote w:id="21">
    <w:p w14:paraId="21E2B0A9" w14:textId="77777777" w:rsidR="0017588F" w:rsidRDefault="0017588F" w:rsidP="00A5106A">
      <w:pPr>
        <w:pStyle w:val="afc"/>
      </w:pPr>
      <w:r>
        <w:rPr>
          <w:rStyle w:val="afe"/>
        </w:rPr>
        <w:footnoteRef/>
      </w:r>
      <w:r>
        <w:t xml:space="preserve"> </w:t>
      </w:r>
      <w:r w:rsidRPr="008A722F">
        <w:rPr>
          <w:rFonts w:hint="eastAsia"/>
        </w:rPr>
        <w:t>全球反詐聯盟(GASA)The Global State of Scams Report–2022</w:t>
      </w:r>
      <w:r>
        <w:rPr>
          <w:rFonts w:hint="eastAsia"/>
        </w:rPr>
        <w:t>及2023</w:t>
      </w:r>
      <w:r w:rsidRPr="008A722F">
        <w:rPr>
          <w:rFonts w:hint="eastAsia"/>
        </w:rPr>
        <w:t>報告</w:t>
      </w:r>
      <w:r>
        <w:rPr>
          <w:rFonts w:hint="eastAsia"/>
        </w:rPr>
        <w:t>。</w:t>
      </w:r>
    </w:p>
  </w:footnote>
  <w:footnote w:id="22">
    <w:p w14:paraId="10A01632" w14:textId="77777777" w:rsidR="0017588F" w:rsidRDefault="0017588F" w:rsidP="00A5106A">
      <w:pPr>
        <w:pStyle w:val="afc"/>
      </w:pPr>
      <w:r>
        <w:rPr>
          <w:rStyle w:val="afe"/>
        </w:rPr>
        <w:footnoteRef/>
      </w:r>
      <w:r>
        <w:t xml:space="preserve"> </w:t>
      </w:r>
      <w:r w:rsidRPr="00B809DB">
        <w:rPr>
          <w:rFonts w:hint="eastAsia"/>
        </w:rPr>
        <w:t>澳洲競爭與消費者委員會(Australian Competition &amp; Consumer Authority)統計</w:t>
      </w:r>
      <w:r>
        <w:rPr>
          <w:rFonts w:hint="eastAsia"/>
        </w:rPr>
        <w:t>。</w:t>
      </w:r>
    </w:p>
  </w:footnote>
  <w:footnote w:id="23">
    <w:p w14:paraId="688024A0" w14:textId="77777777" w:rsidR="0017588F" w:rsidRPr="004D46CC" w:rsidRDefault="0017588F">
      <w:pPr>
        <w:pStyle w:val="afc"/>
      </w:pPr>
      <w:r>
        <w:rPr>
          <w:rStyle w:val="afe"/>
        </w:rPr>
        <w:footnoteRef/>
      </w:r>
      <w:r>
        <w:t xml:space="preserve"> </w:t>
      </w:r>
      <w:r w:rsidRPr="004D46CC">
        <w:rPr>
          <w:rFonts w:hint="eastAsia"/>
        </w:rPr>
        <w:t>童元泓</w:t>
      </w:r>
      <w:r>
        <w:rPr>
          <w:rFonts w:hint="eastAsia"/>
        </w:rPr>
        <w:t>，民111年。</w:t>
      </w:r>
      <w:r w:rsidRPr="004D46CC">
        <w:rPr>
          <w:rFonts w:hint="eastAsia"/>
        </w:rPr>
        <w:t>從金光黨到跨境電信詐欺詐騙犯罪的理性化決策 與福特主義分工</w:t>
      </w:r>
      <w:r>
        <w:rPr>
          <w:rFonts w:hint="eastAsia"/>
        </w:rPr>
        <w:t>。</w:t>
      </w:r>
      <w:r w:rsidRPr="004D46CC">
        <w:rPr>
          <w:rFonts w:hint="eastAsia"/>
        </w:rPr>
        <w:t>中正大學犯罪防治學系碩士論文</w:t>
      </w:r>
      <w:r>
        <w:rPr>
          <w:rFonts w:hint="eastAsia"/>
        </w:rPr>
        <w:t>。</w:t>
      </w:r>
    </w:p>
  </w:footnote>
  <w:footnote w:id="24">
    <w:p w14:paraId="1709EB44" w14:textId="77777777" w:rsidR="0017588F" w:rsidRPr="00836E71" w:rsidRDefault="0017588F">
      <w:pPr>
        <w:pStyle w:val="afc"/>
      </w:pPr>
      <w:r>
        <w:rPr>
          <w:rStyle w:val="afe"/>
        </w:rPr>
        <w:footnoteRef/>
      </w:r>
      <w:r>
        <w:t xml:space="preserve"> </w:t>
      </w:r>
      <w:r>
        <w:rPr>
          <w:rFonts w:hint="eastAsia"/>
        </w:rPr>
        <w:t>吳易泉，民112年。新興詐欺犯罪偵查實務與防治策略之研究-以假投資詐欺為例。逢甲大學公共事務與社會創新研究所碩士論文。</w:t>
      </w:r>
    </w:p>
  </w:footnote>
  <w:footnote w:id="25">
    <w:p w14:paraId="72933AB6" w14:textId="77777777" w:rsidR="0017588F" w:rsidRPr="00E10469" w:rsidRDefault="0017588F" w:rsidP="00535F70">
      <w:pPr>
        <w:pStyle w:val="afc"/>
        <w:ind w:left="1700" w:right="680" w:hanging="680"/>
      </w:pPr>
      <w:r>
        <w:rPr>
          <w:rStyle w:val="afe"/>
        </w:rPr>
        <w:footnoteRef/>
      </w:r>
      <w:r>
        <w:t xml:space="preserve"> </w:t>
      </w:r>
      <w:r>
        <w:rPr>
          <w:rFonts w:hint="eastAsia"/>
        </w:rPr>
        <w:t>打詐綱領1.0版。</w:t>
      </w:r>
    </w:p>
  </w:footnote>
  <w:footnote w:id="26">
    <w:p w14:paraId="15403C00" w14:textId="77777777" w:rsidR="0017588F" w:rsidRPr="004523B0" w:rsidRDefault="0017588F" w:rsidP="00FD66A8">
      <w:pPr>
        <w:pStyle w:val="afc"/>
        <w:ind w:left="150" w:rightChars="-67" w:right="-228" w:hangingChars="68" w:hanging="150"/>
      </w:pPr>
      <w:r>
        <w:rPr>
          <w:rStyle w:val="afe"/>
        </w:rPr>
        <w:footnoteRef/>
      </w:r>
      <w:r>
        <w:rPr>
          <w:rFonts w:hint="eastAsia"/>
        </w:rPr>
        <w:t xml:space="preserve"> </w:t>
      </w:r>
      <w:r w:rsidRPr="004523B0">
        <w:rPr>
          <w:rFonts w:hint="eastAsia"/>
        </w:rPr>
        <w:t>89至104年</w:t>
      </w:r>
      <w:r>
        <w:rPr>
          <w:rFonts w:hint="eastAsia"/>
        </w:rPr>
        <w:t>係</w:t>
      </w:r>
      <w:r w:rsidRPr="008A371D">
        <w:rPr>
          <w:rFonts w:hint="eastAsia"/>
        </w:rPr>
        <w:t>曾雅芬(民105)行騙天下：臺灣跨境電信詐欺犯罪網絡之分析</w:t>
      </w:r>
      <w:r w:rsidRPr="004523B0">
        <w:rPr>
          <w:rFonts w:hint="eastAsia"/>
        </w:rPr>
        <w:t>引用警政署資料</w:t>
      </w:r>
      <w:r>
        <w:rPr>
          <w:rFonts w:hint="eastAsia"/>
        </w:rPr>
        <w:t>。</w:t>
      </w:r>
    </w:p>
  </w:footnote>
  <w:footnote w:id="27">
    <w:p w14:paraId="5C4A846B" w14:textId="77777777" w:rsidR="0017588F" w:rsidRPr="004523B0" w:rsidRDefault="0017588F" w:rsidP="008A371D">
      <w:pPr>
        <w:pStyle w:val="afc"/>
      </w:pPr>
      <w:r>
        <w:rPr>
          <w:rStyle w:val="afe"/>
        </w:rPr>
        <w:footnoteRef/>
      </w:r>
      <w:r>
        <w:rPr>
          <w:rFonts w:hint="eastAsia"/>
        </w:rPr>
        <w:t xml:space="preserve"> </w:t>
      </w:r>
      <w:r w:rsidRPr="004523B0">
        <w:rPr>
          <w:rFonts w:hint="eastAsia"/>
        </w:rPr>
        <w:t>10</w:t>
      </w:r>
      <w:r>
        <w:rPr>
          <w:rFonts w:hint="eastAsia"/>
        </w:rPr>
        <w:t>5</w:t>
      </w:r>
      <w:r w:rsidRPr="004523B0">
        <w:rPr>
          <w:rFonts w:hint="eastAsia"/>
        </w:rPr>
        <w:t>至112年</w:t>
      </w:r>
      <w:r>
        <w:rPr>
          <w:rFonts w:hint="eastAsia"/>
        </w:rPr>
        <w:t>引用</w:t>
      </w:r>
      <w:r w:rsidRPr="004523B0">
        <w:rPr>
          <w:rFonts w:hint="eastAsia"/>
        </w:rPr>
        <w:t>警政署提供資料</w:t>
      </w:r>
      <w:r>
        <w:rPr>
          <w:rFonts w:hint="eastAsia"/>
        </w:rPr>
        <w:t>。</w:t>
      </w:r>
    </w:p>
  </w:footnote>
  <w:footnote w:id="28">
    <w:p w14:paraId="31C6F475" w14:textId="77777777" w:rsidR="0017588F" w:rsidRPr="007A1A81" w:rsidRDefault="0017588F">
      <w:pPr>
        <w:pStyle w:val="afc"/>
      </w:pPr>
      <w:r>
        <w:rPr>
          <w:rStyle w:val="afe"/>
        </w:rPr>
        <w:footnoteRef/>
      </w:r>
      <w:r>
        <w:t xml:space="preserve"> </w:t>
      </w:r>
      <w:r w:rsidRPr="007A1A81">
        <w:rPr>
          <w:rFonts w:hint="eastAsia"/>
        </w:rPr>
        <w:t>曾雅芬(民105) 行騙天下：臺灣跨境電信詐欺犯罪網絡之分析。博士論文；國立政治大學國家發展研究所。</w:t>
      </w:r>
    </w:p>
  </w:footnote>
  <w:footnote w:id="29">
    <w:p w14:paraId="389D0273" w14:textId="77777777" w:rsidR="0017588F" w:rsidRPr="007A1A81" w:rsidRDefault="0017588F">
      <w:pPr>
        <w:pStyle w:val="afc"/>
      </w:pPr>
      <w:r>
        <w:rPr>
          <w:rStyle w:val="afe"/>
        </w:rPr>
        <w:footnoteRef/>
      </w:r>
      <w:r>
        <w:t xml:space="preserve"> </w:t>
      </w:r>
      <w:r>
        <w:rPr>
          <w:rFonts w:hint="eastAsia"/>
        </w:rPr>
        <w:t>113年6月19日內授警字第1130878508號函。</w:t>
      </w:r>
    </w:p>
  </w:footnote>
  <w:footnote w:id="30">
    <w:p w14:paraId="7A73B65D" w14:textId="77777777" w:rsidR="0017588F" w:rsidRPr="00D5024F" w:rsidRDefault="0017588F" w:rsidP="008456BE">
      <w:pPr>
        <w:pStyle w:val="afc"/>
        <w:ind w:leftChars="1" w:left="285" w:hangingChars="128" w:hanging="282"/>
      </w:pPr>
      <w:r>
        <w:rPr>
          <w:rStyle w:val="afe"/>
        </w:rPr>
        <w:footnoteRef/>
      </w:r>
      <w:r>
        <w:t xml:space="preserve"> </w:t>
      </w:r>
      <w:r w:rsidRPr="00D5024F">
        <w:rPr>
          <w:rFonts w:hint="eastAsia"/>
        </w:rPr>
        <w:t>單純提供人頭帳戶：為提供帳戶或手機門號給詐騙集團作為犯罪工具，無論自願或被騙提供均屬之，而未參與其他犯罪階段者。</w:t>
      </w:r>
    </w:p>
  </w:footnote>
  <w:footnote w:id="31">
    <w:p w14:paraId="4427FDA7" w14:textId="77777777" w:rsidR="0017588F" w:rsidRPr="00D5024F" w:rsidRDefault="0017588F" w:rsidP="008456BE">
      <w:pPr>
        <w:pStyle w:val="afc"/>
      </w:pPr>
      <w:r>
        <w:rPr>
          <w:rStyle w:val="afe"/>
        </w:rPr>
        <w:footnoteRef/>
      </w:r>
      <w:r>
        <w:t xml:space="preserve"> </w:t>
      </w:r>
      <w:r w:rsidRPr="00D5024F">
        <w:rPr>
          <w:rFonts w:hint="eastAsia"/>
        </w:rPr>
        <w:t>單純車手：為詐騙集團中負責領取被害人交付款項者。</w:t>
      </w:r>
    </w:p>
  </w:footnote>
  <w:footnote w:id="32">
    <w:p w14:paraId="4D3AD0D9" w14:textId="77777777" w:rsidR="0017588F" w:rsidRPr="00D5024F" w:rsidRDefault="0017588F" w:rsidP="008456BE">
      <w:pPr>
        <w:pStyle w:val="afc"/>
      </w:pPr>
      <w:r>
        <w:rPr>
          <w:rStyle w:val="afe"/>
        </w:rPr>
        <w:footnoteRef/>
      </w:r>
      <w:r>
        <w:t xml:space="preserve"> </w:t>
      </w:r>
      <w:r w:rsidRPr="00D5024F">
        <w:rPr>
          <w:rFonts w:hint="eastAsia"/>
        </w:rPr>
        <w:t>一般電信詐欺</w:t>
      </w:r>
      <w:r>
        <w:rPr>
          <w:rFonts w:hint="eastAsia"/>
        </w:rPr>
        <w:t>：</w:t>
      </w:r>
      <w:r w:rsidRPr="00D5024F">
        <w:rPr>
          <w:rFonts w:hint="eastAsia"/>
        </w:rPr>
        <w:t>非屬單純車手及單純提供人頭帳戶者，皆列入一般電信詐欺。</w:t>
      </w:r>
    </w:p>
  </w:footnote>
  <w:footnote w:id="33">
    <w:p w14:paraId="646B0539" w14:textId="77777777" w:rsidR="0017588F" w:rsidRPr="00D530E1" w:rsidRDefault="0017588F" w:rsidP="00951AB3">
      <w:pPr>
        <w:pStyle w:val="afc"/>
      </w:pPr>
      <w:r>
        <w:rPr>
          <w:rStyle w:val="afe"/>
        </w:rPr>
        <w:footnoteRef/>
      </w:r>
      <w:r>
        <w:t xml:space="preserve"> </w:t>
      </w:r>
      <w:r>
        <w:rPr>
          <w:rFonts w:hint="eastAsia"/>
        </w:rPr>
        <w:t>全部詐欺案件總數。</w:t>
      </w:r>
    </w:p>
  </w:footnote>
  <w:footnote w:id="34">
    <w:p w14:paraId="78B4473A" w14:textId="77777777" w:rsidR="0017588F" w:rsidRDefault="0017588F" w:rsidP="00B1648E">
      <w:pPr>
        <w:pStyle w:val="afc"/>
        <w:ind w:left="150" w:hangingChars="68" w:hanging="150"/>
      </w:pPr>
      <w:r>
        <w:rPr>
          <w:rStyle w:val="afe"/>
        </w:rPr>
        <w:footnoteRef/>
      </w:r>
      <w:r>
        <w:t xml:space="preserve"> </w:t>
      </w:r>
      <w:r w:rsidRPr="00F324DD">
        <w:rPr>
          <w:rFonts w:hint="eastAsia"/>
        </w:rPr>
        <w:t>VPN Virtual Private Network ，虛擬私人網路</w:t>
      </w:r>
      <w:r>
        <w:rPr>
          <w:rFonts w:hint="eastAsia"/>
        </w:rPr>
        <w:t>:</w:t>
      </w:r>
      <w:r w:rsidRPr="00F324DD">
        <w:rPr>
          <w:rFonts w:hint="eastAsia"/>
        </w:rPr>
        <w:t>可透過已加密之網路協定將私人訊息在公用網路中傳送對方</w:t>
      </w:r>
      <w:r>
        <w:rPr>
          <w:rFonts w:hint="eastAsia"/>
        </w:rPr>
        <w:t>。</w:t>
      </w:r>
    </w:p>
  </w:footnote>
  <w:footnote w:id="35">
    <w:p w14:paraId="371D6F03" w14:textId="77777777" w:rsidR="0017588F" w:rsidRPr="00B176BA" w:rsidRDefault="0017588F" w:rsidP="00B1648E">
      <w:pPr>
        <w:pStyle w:val="afc"/>
        <w:ind w:left="150" w:hangingChars="68" w:hanging="150"/>
      </w:pPr>
      <w:r>
        <w:rPr>
          <w:rStyle w:val="afe"/>
        </w:rPr>
        <w:footnoteRef/>
      </w:r>
      <w:r>
        <w:t xml:space="preserve"> </w:t>
      </w:r>
      <w:r>
        <w:rPr>
          <w:rFonts w:hint="eastAsia"/>
        </w:rPr>
        <w:t>透過購物網站販售商品過程進行詐騙，常見可區分為買空賣空付款完未出貨、三方詐欺及團購詐騙前期正常出貨，俟取信大額匯款後未出貨等類型。</w:t>
      </w:r>
    </w:p>
  </w:footnote>
  <w:footnote w:id="36">
    <w:p w14:paraId="7F389223" w14:textId="77777777" w:rsidR="0017588F" w:rsidRPr="00B176BA" w:rsidRDefault="0017588F" w:rsidP="00B1648E">
      <w:pPr>
        <w:pStyle w:val="afc"/>
        <w:ind w:rightChars="-71" w:right="-242"/>
      </w:pPr>
      <w:r>
        <w:rPr>
          <w:rStyle w:val="afe"/>
        </w:rPr>
        <w:footnoteRef/>
      </w:r>
      <w:r>
        <w:t xml:space="preserve"> </w:t>
      </w:r>
      <w:r w:rsidRPr="00B176BA">
        <w:rPr>
          <w:rFonts w:hint="eastAsia"/>
        </w:rPr>
        <w:t>假借投資名義或任何以小搏大換取金錢方式，吸引被害人投入資金含虛擬通貨之詐欺手法。</w:t>
      </w:r>
    </w:p>
  </w:footnote>
  <w:footnote w:id="37">
    <w:p w14:paraId="384B56EE" w14:textId="77777777" w:rsidR="0017588F" w:rsidRPr="00B176BA" w:rsidRDefault="0017588F" w:rsidP="00B1648E">
      <w:pPr>
        <w:pStyle w:val="afc"/>
        <w:ind w:left="150" w:hangingChars="68" w:hanging="150"/>
      </w:pPr>
      <w:r>
        <w:rPr>
          <w:rStyle w:val="afe"/>
        </w:rPr>
        <w:footnoteRef/>
      </w:r>
      <w:r>
        <w:t xml:space="preserve"> </w:t>
      </w:r>
      <w:r>
        <w:rPr>
          <w:rFonts w:hint="eastAsia"/>
        </w:rPr>
        <w:t>詐欺集團假冒商家或金融機構人員，佯稱被害人購物付款方式誤選或遭誤植為分期付款，將按月扣繳商品之原價，誆騙被害人至ATM提款機依指示操作可解除分期付款設定，致被害人遭騙匯款。</w:t>
      </w:r>
    </w:p>
  </w:footnote>
  <w:footnote w:id="38">
    <w:p w14:paraId="3D52B902" w14:textId="77777777" w:rsidR="0017588F" w:rsidRDefault="0017588F" w:rsidP="00B1648E">
      <w:pPr>
        <w:pStyle w:val="afc"/>
        <w:ind w:left="150" w:hangingChars="68" w:hanging="150"/>
      </w:pPr>
      <w:r>
        <w:rPr>
          <w:rStyle w:val="afe"/>
        </w:rPr>
        <w:footnoteRef/>
      </w:r>
      <w:r>
        <w:t xml:space="preserve"> </w:t>
      </w:r>
      <w:r>
        <w:rPr>
          <w:rFonts w:hint="eastAsia"/>
        </w:rPr>
        <w:t>假求職:於報章雜誌或網路訊息刊登求職訊息誘騙被害人，再以設定薪資轉帳等名義騙取被害人之金融帳戶及密碼等，用作詐騙集團人頭帳戶之用。</w:t>
      </w:r>
    </w:p>
  </w:footnote>
  <w:footnote w:id="39">
    <w:p w14:paraId="299065AF" w14:textId="77777777" w:rsidR="0017588F" w:rsidRPr="00B23F8A" w:rsidRDefault="0017588F" w:rsidP="00B1648E">
      <w:pPr>
        <w:pStyle w:val="afc"/>
        <w:ind w:left="284" w:hangingChars="129" w:hanging="284"/>
      </w:pPr>
      <w:r>
        <w:rPr>
          <w:rStyle w:val="afe"/>
        </w:rPr>
        <w:footnoteRef/>
      </w:r>
      <w:r>
        <w:t xml:space="preserve"> </w:t>
      </w:r>
      <w:r w:rsidRPr="007A1E84">
        <w:rPr>
          <w:rFonts w:hint="eastAsia"/>
          <w:bCs/>
          <w:szCs w:val="32"/>
        </w:rPr>
        <w:t>「存款帳戶及其疑似不法或顯屬異常交易管理辦法」第3條及第5條規定，法院、檢察署或司法警察機關為偵辦刑事案件需要，可通報銀行將存款帳戶列為警示帳戶，銀行應即通知財團法人金融聯合徵信中心，並暫停該帳戶全部交易功能。</w:t>
      </w:r>
    </w:p>
  </w:footnote>
  <w:footnote w:id="40">
    <w:p w14:paraId="2399A9E4" w14:textId="77777777" w:rsidR="0017588F" w:rsidRPr="00214A3D" w:rsidRDefault="0017588F" w:rsidP="00B1648E">
      <w:pPr>
        <w:pStyle w:val="afc"/>
        <w:ind w:left="284" w:hangingChars="129" w:hanging="284"/>
        <w:rPr>
          <w:bCs/>
          <w:szCs w:val="32"/>
        </w:rPr>
      </w:pPr>
      <w:r>
        <w:rPr>
          <w:rStyle w:val="afe"/>
        </w:rPr>
        <w:footnoteRef/>
      </w:r>
      <w:r w:rsidRPr="00214A3D">
        <w:rPr>
          <w:rFonts w:hint="eastAsia"/>
          <w:bCs/>
          <w:szCs w:val="32"/>
        </w:rPr>
        <w:t>依據疑似不法管理辦法第9條規定，警示帳戶之警示期限自通報時起算，有效期間為2年，如有必要，可再延長1年，故單一存款帳戶警示期間最長可延續3年，是以，前1年之警示帳戶，於次年會因為超過有效期限等原因而減少，故實際淨增加數會較統計數為高。</w:t>
      </w:r>
    </w:p>
  </w:footnote>
  <w:footnote w:id="41">
    <w:p w14:paraId="591755F6" w14:textId="77777777" w:rsidR="0017588F" w:rsidRPr="00491346" w:rsidRDefault="0017588F">
      <w:pPr>
        <w:pStyle w:val="afc"/>
      </w:pPr>
      <w:r>
        <w:rPr>
          <w:rStyle w:val="afe"/>
        </w:rPr>
        <w:footnoteRef/>
      </w:r>
      <w:r>
        <w:t xml:space="preserve"> </w:t>
      </w:r>
      <w:r w:rsidRPr="00777477">
        <w:t>Adam Satariano</w:t>
      </w:r>
      <w:r>
        <w:rPr>
          <w:rFonts w:hint="eastAsia"/>
        </w:rPr>
        <w:t>.</w:t>
      </w:r>
      <w:r>
        <w:t>2022</w:t>
      </w:r>
      <w:r>
        <w:rPr>
          <w:rFonts w:hint="eastAsia"/>
        </w:rPr>
        <w:t>.10.1</w:t>
      </w:r>
      <w:r>
        <w:t>.</w:t>
      </w:r>
      <w:r w:rsidRPr="00777477">
        <w:t>British Ruling Pins Blame on Social Media for Teenager</w:t>
      </w:r>
      <w:r w:rsidRPr="00777477">
        <w:t>’</w:t>
      </w:r>
      <w:r w:rsidRPr="00777477">
        <w:t>s Suicide</w:t>
      </w:r>
      <w:r>
        <w:t>.</w:t>
      </w:r>
      <w:r w:rsidRPr="00777477">
        <w:rPr>
          <w:i/>
        </w:rPr>
        <w:t>The NewYork Time</w:t>
      </w:r>
      <w:r>
        <w:t>.</w:t>
      </w:r>
    </w:p>
  </w:footnote>
  <w:footnote w:id="42">
    <w:p w14:paraId="6F4998CE" w14:textId="77777777" w:rsidR="0017588F" w:rsidRDefault="0017588F">
      <w:pPr>
        <w:pStyle w:val="afc"/>
      </w:pPr>
      <w:r>
        <w:rPr>
          <w:rStyle w:val="afe"/>
        </w:rPr>
        <w:footnoteRef/>
      </w:r>
      <w:r>
        <w:t xml:space="preserve"> </w:t>
      </w:r>
      <w:r>
        <w:rPr>
          <w:rFonts w:hint="eastAsia"/>
        </w:rPr>
        <w:t>行政院新聞稿。113年7月16日。</w:t>
      </w:r>
      <w:r w:rsidRPr="00E82F5C">
        <w:rPr>
          <w:rFonts w:hint="eastAsia"/>
        </w:rPr>
        <w:t>行政、司法、立法三院合作 共同為國家打詐法制建立新里程碑</w:t>
      </w:r>
      <w:r>
        <w:rPr>
          <w:rFonts w:hint="eastAsia"/>
        </w:rPr>
        <w:t>。</w:t>
      </w:r>
    </w:p>
  </w:footnote>
  <w:footnote w:id="43">
    <w:p w14:paraId="7577F9E3" w14:textId="77777777" w:rsidR="0017588F" w:rsidRDefault="0017588F">
      <w:pPr>
        <w:pStyle w:val="afc"/>
      </w:pPr>
      <w:r>
        <w:rPr>
          <w:rStyle w:val="afe"/>
        </w:rPr>
        <w:footnoteRef/>
      </w:r>
      <w:r>
        <w:t xml:space="preserve"> </w:t>
      </w:r>
      <w:r>
        <w:rPr>
          <w:rFonts w:hint="eastAsia"/>
        </w:rPr>
        <w:t>聯合新聞網。113年7月16日。</w:t>
      </w:r>
      <w:r w:rsidRPr="009C37F5">
        <w:rPr>
          <w:rFonts w:hint="eastAsia"/>
        </w:rPr>
        <w:t>放寬科技偵查！GPS、M化車追犯人 刑訴法三讀通過了</w:t>
      </w:r>
      <w:r>
        <w:rPr>
          <w:rFonts w:hint="eastAsia"/>
        </w:rPr>
        <w:t>。</w:t>
      </w:r>
    </w:p>
  </w:footnote>
  <w:footnote w:id="44">
    <w:p w14:paraId="16BA7EC4" w14:textId="77777777" w:rsidR="0017588F" w:rsidRPr="00B70A9A" w:rsidRDefault="0017588F">
      <w:pPr>
        <w:pStyle w:val="afc"/>
      </w:pPr>
      <w:r>
        <w:rPr>
          <w:rStyle w:val="afe"/>
        </w:rPr>
        <w:footnoteRef/>
      </w:r>
      <w:r>
        <w:t xml:space="preserve"> </w:t>
      </w:r>
      <w:r>
        <w:rPr>
          <w:rFonts w:hint="eastAsia"/>
        </w:rPr>
        <w:t>中央社。113年7月12日。</w:t>
      </w:r>
      <w:r w:rsidRPr="00B70A9A">
        <w:rPr>
          <w:rFonts w:hint="eastAsia"/>
        </w:rPr>
        <w:t>打詐專法三讀通過 高額詐欺最重判12年併科3億罰金</w:t>
      </w:r>
      <w:r>
        <w:rPr>
          <w:rFonts w:hint="eastAsia"/>
        </w:rPr>
        <w:t>。</w:t>
      </w:r>
    </w:p>
  </w:footnote>
  <w:footnote w:id="45">
    <w:p w14:paraId="0B9DDE14" w14:textId="77777777" w:rsidR="0017588F" w:rsidRPr="004523B0" w:rsidRDefault="0017588F" w:rsidP="000B1C3C">
      <w:pPr>
        <w:pStyle w:val="afc"/>
      </w:pPr>
      <w:r>
        <w:rPr>
          <w:rStyle w:val="afe"/>
        </w:rPr>
        <w:footnoteRef/>
      </w:r>
      <w:r>
        <w:t xml:space="preserve"> </w:t>
      </w:r>
      <w:r w:rsidRPr="00B06DF8">
        <w:rPr>
          <w:rFonts w:hint="eastAsia"/>
        </w:rPr>
        <w:t>89至104年</w:t>
      </w:r>
      <w:r>
        <w:rPr>
          <w:rFonts w:hint="eastAsia"/>
        </w:rPr>
        <w:t>，曾雅芬(民105)</w:t>
      </w:r>
      <w:r w:rsidRPr="003D2DE6">
        <w:rPr>
          <w:rFonts w:hint="eastAsia"/>
        </w:rPr>
        <w:t xml:space="preserve"> 行騙天下：臺灣跨境電信詐欺犯罪網絡之分析</w:t>
      </w:r>
      <w:r>
        <w:rPr>
          <w:rFonts w:hint="eastAsia"/>
        </w:rPr>
        <w:t>。國立政治大學國家發展研究所博士論文。(該報告</w:t>
      </w:r>
      <w:r w:rsidRPr="004523B0">
        <w:rPr>
          <w:rFonts w:hint="eastAsia"/>
        </w:rPr>
        <w:t>引用警政署資料</w:t>
      </w:r>
      <w:r>
        <w:rPr>
          <w:rFonts w:hint="eastAsia"/>
        </w:rPr>
        <w:t>繪製)。</w:t>
      </w:r>
    </w:p>
  </w:footnote>
  <w:footnote w:id="46">
    <w:p w14:paraId="425D5392" w14:textId="77777777" w:rsidR="0017588F" w:rsidRPr="004523B0" w:rsidRDefault="0017588F" w:rsidP="000B1C3C">
      <w:pPr>
        <w:pStyle w:val="afc"/>
      </w:pPr>
      <w:r>
        <w:rPr>
          <w:rStyle w:val="afe"/>
        </w:rPr>
        <w:footnoteRef/>
      </w:r>
      <w:r>
        <w:t xml:space="preserve"> </w:t>
      </w:r>
      <w:r>
        <w:rPr>
          <w:rFonts w:hint="eastAsia"/>
        </w:rPr>
        <w:t>105至112年，引用</w:t>
      </w:r>
      <w:r w:rsidRPr="004523B0">
        <w:rPr>
          <w:rFonts w:hint="eastAsia"/>
        </w:rPr>
        <w:t>警政署資料</w:t>
      </w:r>
      <w:r>
        <w:rPr>
          <w:rFonts w:hint="eastAsia"/>
        </w:rPr>
        <w:t>，本院繪製。</w:t>
      </w:r>
    </w:p>
  </w:footnote>
  <w:footnote w:id="47">
    <w:p w14:paraId="115BEB9F" w14:textId="77777777" w:rsidR="0017588F" w:rsidRDefault="0017588F" w:rsidP="000B1C3C">
      <w:pPr>
        <w:pStyle w:val="afc"/>
      </w:pPr>
      <w:r>
        <w:rPr>
          <w:rStyle w:val="afe"/>
        </w:rPr>
        <w:footnoteRef/>
      </w:r>
      <w:r>
        <w:t xml:space="preserve"> </w:t>
      </w:r>
      <w:r w:rsidRPr="00EE6ADA">
        <w:rPr>
          <w:rFonts w:hint="eastAsia"/>
        </w:rPr>
        <w:t>The Global State of Scams Report – 2022</w:t>
      </w:r>
    </w:p>
  </w:footnote>
  <w:footnote w:id="48">
    <w:p w14:paraId="0E6AF59A" w14:textId="77777777" w:rsidR="0017588F" w:rsidRPr="00BB4367" w:rsidRDefault="0017588F">
      <w:pPr>
        <w:pStyle w:val="afc"/>
      </w:pPr>
      <w:r>
        <w:rPr>
          <w:rStyle w:val="afe"/>
        </w:rPr>
        <w:footnoteRef/>
      </w:r>
      <w:r>
        <w:t xml:space="preserve"> </w:t>
      </w:r>
      <w:r w:rsidRPr="00BB4367">
        <w:rPr>
          <w:rFonts w:hint="eastAsia"/>
        </w:rPr>
        <w:t>曾雅芬(民105) 行騙天下：臺灣跨境電信詐欺犯罪網絡之分析。國立政治大學國家發展研究所博士論文</w:t>
      </w:r>
      <w:r>
        <w:rPr>
          <w:rFonts w:hint="eastAsia"/>
        </w:rPr>
        <w:t>。</w:t>
      </w:r>
    </w:p>
  </w:footnote>
  <w:footnote w:id="49">
    <w:p w14:paraId="385CC952" w14:textId="77777777" w:rsidR="0017588F" w:rsidRPr="00B66772" w:rsidRDefault="0017588F" w:rsidP="000B1C3C">
      <w:pPr>
        <w:pStyle w:val="afc"/>
      </w:pPr>
      <w:r>
        <w:rPr>
          <w:rStyle w:val="afe"/>
        </w:rPr>
        <w:footnoteRef/>
      </w:r>
      <w:r>
        <w:t xml:space="preserve"> </w:t>
      </w:r>
      <w:r>
        <w:rPr>
          <w:rFonts w:hint="eastAsia"/>
        </w:rPr>
        <w:t>各地檢署電信網路詐欺新收案件按高檢署提供資料，約有85%來自警察機關移送；爰推估112年警察機關移送約20萬餘件電信網路詐欺案件。</w:t>
      </w:r>
    </w:p>
  </w:footnote>
  <w:footnote w:id="50">
    <w:p w14:paraId="4C704453" w14:textId="2B6312CA" w:rsidR="0017588F" w:rsidRPr="00D27A6A" w:rsidRDefault="0017588F">
      <w:pPr>
        <w:pStyle w:val="afc"/>
      </w:pPr>
      <w:r>
        <w:rPr>
          <w:rStyle w:val="afe"/>
        </w:rPr>
        <w:footnoteRef/>
      </w:r>
      <w:r>
        <w:t xml:space="preserve"> </w:t>
      </w:r>
      <w:r>
        <w:rPr>
          <w:rFonts w:hint="eastAsia"/>
        </w:rPr>
        <w:t>高檢署112年11月13日簡報資料。</w:t>
      </w:r>
    </w:p>
  </w:footnote>
  <w:footnote w:id="51">
    <w:p w14:paraId="7F3C919D" w14:textId="7940FEAB" w:rsidR="0017588F" w:rsidRPr="00EA142E" w:rsidRDefault="0017588F">
      <w:pPr>
        <w:pStyle w:val="afc"/>
      </w:pPr>
      <w:r>
        <w:rPr>
          <w:rStyle w:val="afe"/>
        </w:rPr>
        <w:footnoteRef/>
      </w:r>
      <w:r>
        <w:t xml:space="preserve"> </w:t>
      </w:r>
      <w:r>
        <w:rPr>
          <w:rFonts w:hint="eastAsia"/>
        </w:rPr>
        <w:t>高檢署112年11月13日簡報資料。</w:t>
      </w:r>
    </w:p>
  </w:footnote>
  <w:footnote w:id="52">
    <w:p w14:paraId="7AE37708" w14:textId="1F84A40A" w:rsidR="0017588F" w:rsidRPr="00EA142E" w:rsidRDefault="0017588F">
      <w:pPr>
        <w:pStyle w:val="afc"/>
      </w:pPr>
      <w:r>
        <w:rPr>
          <w:rStyle w:val="afe"/>
        </w:rPr>
        <w:footnoteRef/>
      </w:r>
      <w:r>
        <w:t xml:space="preserve"> </w:t>
      </w:r>
      <w:r>
        <w:rPr>
          <w:rFonts w:hint="eastAsia"/>
        </w:rPr>
        <w:t>高檢署112年11月13日簡報資料。</w:t>
      </w:r>
    </w:p>
  </w:footnote>
  <w:footnote w:id="53">
    <w:p w14:paraId="5AA4275A" w14:textId="7940FEAB" w:rsidR="0017588F" w:rsidRPr="00B528B1" w:rsidRDefault="0017588F" w:rsidP="000B1C3C">
      <w:pPr>
        <w:pStyle w:val="afc"/>
      </w:pPr>
      <w:r>
        <w:rPr>
          <w:rStyle w:val="afe"/>
        </w:rPr>
        <w:footnoteRef/>
      </w:r>
      <w:r>
        <w:t xml:space="preserve"> </w:t>
      </w:r>
      <w:r w:rsidRPr="00B528B1">
        <w:t>https://www.gov.uk/government/publications/fraud-strategy/fraud-strategy-stopping-scams-and-protecting-the-public</w:t>
      </w:r>
    </w:p>
  </w:footnote>
  <w:footnote w:id="54">
    <w:p w14:paraId="66869C5B" w14:textId="77777777" w:rsidR="0017588F" w:rsidRPr="00304658" w:rsidRDefault="0017588F" w:rsidP="000B1C3C">
      <w:pPr>
        <w:pStyle w:val="afc"/>
      </w:pPr>
      <w:r>
        <w:rPr>
          <w:rStyle w:val="afe"/>
        </w:rPr>
        <w:footnoteRef/>
      </w:r>
      <w:r>
        <w:t xml:space="preserve"> </w:t>
      </w:r>
      <w:r w:rsidRPr="00304658">
        <w:rPr>
          <w:rFonts w:hint="eastAsia"/>
        </w:rPr>
        <w:t>曾雅芬</w:t>
      </w:r>
      <w:r>
        <w:rPr>
          <w:rFonts w:hint="eastAsia"/>
        </w:rPr>
        <w:t>。民105。</w:t>
      </w:r>
      <w:r w:rsidRPr="00ED022D">
        <w:rPr>
          <w:rFonts w:hint="eastAsia"/>
          <w:color w:val="000000" w:themeColor="text1"/>
        </w:rPr>
        <w:t>行騙天下：臺灣跨境電信詐欺犯罪網絡之分析</w:t>
      </w:r>
      <w:r>
        <w:rPr>
          <w:rFonts w:hint="eastAsia"/>
          <w:color w:val="000000" w:themeColor="text1"/>
        </w:rPr>
        <w:t>。國立政治大學國家發展研究所博士論文。</w:t>
      </w:r>
    </w:p>
  </w:footnote>
  <w:footnote w:id="55">
    <w:p w14:paraId="55294824" w14:textId="77777777" w:rsidR="0017588F" w:rsidRDefault="0017588F" w:rsidP="000B1C3C">
      <w:pPr>
        <w:pStyle w:val="afc"/>
      </w:pPr>
      <w:r>
        <w:rPr>
          <w:rStyle w:val="afe"/>
        </w:rPr>
        <w:footnoteRef/>
      </w:r>
      <w:r>
        <w:t xml:space="preserve"> </w:t>
      </w:r>
      <w:r w:rsidRPr="00DD4E21">
        <w:rPr>
          <w:rFonts w:hint="eastAsia"/>
        </w:rPr>
        <w:t>財團法人台灣網路資訊中心</w:t>
      </w:r>
      <w:r>
        <w:rPr>
          <w:rFonts w:hint="eastAsia"/>
        </w:rPr>
        <w:t>。112年6月。</w:t>
      </w:r>
      <w:r w:rsidRPr="00DD4E21">
        <w:rPr>
          <w:rFonts w:hint="eastAsia"/>
        </w:rPr>
        <w:t>「2023年台灣網路報告」</w:t>
      </w:r>
      <w:r>
        <w:rPr>
          <w:rFonts w:hint="eastAsia"/>
        </w:rPr>
        <w:t>。</w:t>
      </w:r>
    </w:p>
  </w:footnote>
  <w:footnote w:id="56">
    <w:p w14:paraId="2BC17B4D" w14:textId="77777777" w:rsidR="0017588F" w:rsidRDefault="0017588F" w:rsidP="000B1C3C">
      <w:pPr>
        <w:pStyle w:val="afc"/>
      </w:pPr>
      <w:r>
        <w:rPr>
          <w:rStyle w:val="afe"/>
        </w:rPr>
        <w:footnoteRef/>
      </w:r>
      <w:r>
        <w:t xml:space="preserve"> </w:t>
      </w:r>
      <w:r w:rsidRPr="00DD4E21">
        <w:rPr>
          <w:rFonts w:hint="eastAsia"/>
        </w:rPr>
        <w:t>財團法人台灣網路資訊中心</w:t>
      </w:r>
      <w:r>
        <w:rPr>
          <w:rFonts w:hint="eastAsia"/>
        </w:rPr>
        <w:t>。112年6月。</w:t>
      </w:r>
      <w:r w:rsidRPr="00DD4E21">
        <w:rPr>
          <w:rFonts w:hint="eastAsia"/>
        </w:rPr>
        <w:t>「2023年台灣網路報告」</w:t>
      </w:r>
      <w:r>
        <w:rPr>
          <w:rFonts w:hint="eastAsia"/>
        </w:rPr>
        <w:t>。</w:t>
      </w:r>
    </w:p>
  </w:footnote>
  <w:footnote w:id="57">
    <w:p w14:paraId="38A3F3DE" w14:textId="77777777" w:rsidR="0017588F" w:rsidRPr="00660EEC" w:rsidRDefault="0017588F" w:rsidP="000B1C3C">
      <w:pPr>
        <w:pStyle w:val="afc"/>
      </w:pPr>
      <w:r>
        <w:rPr>
          <w:rStyle w:val="afe"/>
        </w:rPr>
        <w:footnoteRef/>
      </w:r>
      <w:r>
        <w:t xml:space="preserve"> </w:t>
      </w:r>
      <w:r w:rsidRPr="00304658">
        <w:rPr>
          <w:rFonts w:hint="eastAsia"/>
        </w:rPr>
        <w:t>曾雅芬</w:t>
      </w:r>
      <w:r>
        <w:rPr>
          <w:rFonts w:hint="eastAsia"/>
        </w:rPr>
        <w:t>。民105。</w:t>
      </w:r>
      <w:r w:rsidRPr="00ED022D">
        <w:rPr>
          <w:rFonts w:hint="eastAsia"/>
          <w:color w:val="000000" w:themeColor="text1"/>
        </w:rPr>
        <w:t>行騙天下：臺灣跨境電信詐欺犯罪網絡之分析</w:t>
      </w:r>
      <w:r>
        <w:rPr>
          <w:rFonts w:hint="eastAsia"/>
          <w:color w:val="000000" w:themeColor="text1"/>
        </w:rPr>
        <w:t>。國立政治大學國家發展研究所博士論文。</w:t>
      </w:r>
    </w:p>
  </w:footnote>
  <w:footnote w:id="58">
    <w:p w14:paraId="04CF5CA6" w14:textId="77777777" w:rsidR="0017588F" w:rsidRPr="006B1521" w:rsidRDefault="0017588F" w:rsidP="000B1C3C">
      <w:pPr>
        <w:pStyle w:val="afc"/>
      </w:pPr>
      <w:r>
        <w:rPr>
          <w:rStyle w:val="afe"/>
        </w:rPr>
        <w:footnoteRef/>
      </w:r>
      <w:r>
        <w:t xml:space="preserve"> </w:t>
      </w:r>
      <w:r w:rsidRPr="006B1521">
        <w:t>https://www.ndc.gov.tw/News.aspx?n=8E8FA34452E8DBC2&amp;sms=40C8FF59B01AC562</w:t>
      </w:r>
    </w:p>
  </w:footnote>
  <w:footnote w:id="59">
    <w:p w14:paraId="22220D58" w14:textId="77777777" w:rsidR="0017588F" w:rsidRPr="00643F67" w:rsidRDefault="0017588F">
      <w:pPr>
        <w:pStyle w:val="afc"/>
      </w:pPr>
      <w:r>
        <w:rPr>
          <w:rStyle w:val="afe"/>
        </w:rPr>
        <w:footnoteRef/>
      </w:r>
      <w:r>
        <w:t xml:space="preserve"> </w:t>
      </w:r>
      <w:r>
        <w:rPr>
          <w:rFonts w:hint="eastAsia"/>
        </w:rPr>
        <w:t>新世代打擊詐欺策略行動綱領1.5版，第4頁。</w:t>
      </w:r>
    </w:p>
  </w:footnote>
  <w:footnote w:id="60">
    <w:p w14:paraId="0F66B5EC" w14:textId="77777777" w:rsidR="0017588F" w:rsidRPr="003321E2" w:rsidRDefault="0017588F" w:rsidP="000B1C3C">
      <w:pPr>
        <w:pStyle w:val="afc"/>
      </w:pPr>
      <w:r>
        <w:rPr>
          <w:rStyle w:val="afe"/>
        </w:rPr>
        <w:footnoteRef/>
      </w:r>
      <w:r>
        <w:t xml:space="preserve"> </w:t>
      </w:r>
      <w:r w:rsidRPr="001F3D06">
        <w:t>Fraud Strategy: stoppingscams and protecting thepublic</w:t>
      </w:r>
      <w:r>
        <w:rPr>
          <w:rFonts w:hint="eastAsia"/>
        </w:rPr>
        <w:t>(</w:t>
      </w:r>
      <w:r w:rsidRPr="001F3D06">
        <w:t>https://www.gov.uk/government/publications/fraud-strategy/fraud-strategy-stopping-scams-and-protecting-the-public</w:t>
      </w:r>
      <w:r>
        <w:rPr>
          <w:rFonts w:hint="eastAsia"/>
        </w:rPr>
        <w:t>)</w:t>
      </w:r>
    </w:p>
  </w:footnote>
  <w:footnote w:id="61">
    <w:p w14:paraId="725DE71D" w14:textId="77777777" w:rsidR="0017588F" w:rsidRPr="009B2196" w:rsidRDefault="0017588F">
      <w:pPr>
        <w:pStyle w:val="afc"/>
      </w:pPr>
      <w:r>
        <w:rPr>
          <w:rStyle w:val="afe"/>
        </w:rPr>
        <w:footnoteRef/>
      </w:r>
      <w:r>
        <w:t xml:space="preserve"> </w:t>
      </w:r>
      <w:r>
        <w:rPr>
          <w:rFonts w:hint="eastAsia"/>
        </w:rPr>
        <w:t>「打詐新四法」截至113年7月16日為止已全數三讀通過。</w:t>
      </w:r>
    </w:p>
  </w:footnote>
  <w:footnote w:id="62">
    <w:p w14:paraId="17782F36" w14:textId="77777777" w:rsidR="0017588F" w:rsidRPr="00C97943" w:rsidRDefault="0017588F" w:rsidP="000B1C3C">
      <w:pPr>
        <w:pStyle w:val="afc"/>
      </w:pPr>
      <w:r>
        <w:rPr>
          <w:rStyle w:val="afe"/>
        </w:rPr>
        <w:footnoteRef/>
      </w:r>
      <w:r>
        <w:t xml:space="preserve"> </w:t>
      </w:r>
      <w:r w:rsidRPr="00C97943">
        <w:rPr>
          <w:rFonts w:hint="eastAsia"/>
        </w:rPr>
        <w:t>中華民國內政部戶政司全球資訊網- 人口統計資料</w:t>
      </w:r>
      <w:r w:rsidRPr="00C97943">
        <w:t>https://www.ris.gov.tw/app/portal/346</w:t>
      </w:r>
    </w:p>
  </w:footnote>
  <w:footnote w:id="63">
    <w:p w14:paraId="78B7DED7" w14:textId="77777777" w:rsidR="0017588F" w:rsidRPr="00EF3ED4" w:rsidRDefault="0017588F" w:rsidP="000B1C3C">
      <w:pPr>
        <w:pStyle w:val="afc"/>
      </w:pPr>
      <w:r>
        <w:rPr>
          <w:rStyle w:val="afe"/>
        </w:rPr>
        <w:footnoteRef/>
      </w:r>
      <w:r>
        <w:t xml:space="preserve"> </w:t>
      </w:r>
      <w:r>
        <w:rPr>
          <w:rFonts w:hint="eastAsia"/>
        </w:rPr>
        <w:t>行政院</w:t>
      </w:r>
      <w:r w:rsidRPr="00EF3ED4">
        <w:rPr>
          <w:rFonts w:hint="eastAsia"/>
        </w:rPr>
        <w:t>打擊詐欺辦公室</w:t>
      </w:r>
      <w:r>
        <w:rPr>
          <w:rFonts w:hint="eastAsia"/>
        </w:rPr>
        <w:t>。113年5月9日。</w:t>
      </w:r>
      <w:r w:rsidRPr="00EF3ED4">
        <w:rPr>
          <w:rFonts w:hint="eastAsia"/>
        </w:rPr>
        <w:t>「打詐綱領1.5」執行成效與策進</w:t>
      </w:r>
      <w:r>
        <w:rPr>
          <w:rFonts w:hint="eastAsia"/>
        </w:rPr>
        <w:t>。(</w:t>
      </w:r>
      <w:r w:rsidRPr="00EF3ED4">
        <w:t>https://www.ey.gov.tw/Page/448DE008087A1971/46e7c357-b756-467c-81ab-19e70648ee8d</w:t>
      </w:r>
      <w:r>
        <w:rPr>
          <w:rFonts w:hint="eastAsia"/>
        </w:rPr>
        <w:t>)</w:t>
      </w:r>
    </w:p>
  </w:footnote>
  <w:footnote w:id="64">
    <w:p w14:paraId="40ECCF19" w14:textId="77777777" w:rsidR="0017588F" w:rsidRPr="002B573B" w:rsidRDefault="0017588F" w:rsidP="000B1C3C">
      <w:pPr>
        <w:pStyle w:val="afc"/>
      </w:pPr>
      <w:r>
        <w:rPr>
          <w:rStyle w:val="afe"/>
        </w:rPr>
        <w:footnoteRef/>
      </w:r>
      <w:r>
        <w:t xml:space="preserve"> </w:t>
      </w:r>
      <w:r w:rsidRPr="002B573B">
        <w:rPr>
          <w:rFonts w:hint="eastAsia"/>
        </w:rPr>
        <w:t>國泰世華銀行</w:t>
      </w:r>
      <w:r>
        <w:rPr>
          <w:rFonts w:hint="eastAsia"/>
        </w:rPr>
        <w:t>。</w:t>
      </w:r>
      <w:r w:rsidRPr="002B573B">
        <w:rPr>
          <w:rFonts w:hint="eastAsia"/>
        </w:rPr>
        <w:t>113年6月25日</w:t>
      </w:r>
      <w:r>
        <w:rPr>
          <w:rFonts w:hint="eastAsia"/>
        </w:rPr>
        <w:t>。</w:t>
      </w:r>
      <w:r w:rsidRPr="002B573B">
        <w:rPr>
          <w:rFonts w:hint="eastAsia"/>
        </w:rPr>
        <w:t>「每3人就有1人受騙 國泰世華發布首份《反詐行為調查報告》」</w:t>
      </w:r>
      <w:r w:rsidRPr="002B573B">
        <w:t>https://www.cathayholdings.com/holdings/lastest_news/news_archive/newsarticle?newsID=QkVmzZKnzEy76yPAxNFJJA</w:t>
      </w:r>
    </w:p>
  </w:footnote>
  <w:footnote w:id="65">
    <w:p w14:paraId="57D1C8A0" w14:textId="77777777" w:rsidR="0017588F" w:rsidRPr="000A0BA0" w:rsidRDefault="0017588F" w:rsidP="003977B9">
      <w:pPr>
        <w:pStyle w:val="afc"/>
      </w:pPr>
      <w:r>
        <w:rPr>
          <w:rStyle w:val="afe"/>
        </w:rPr>
        <w:footnoteRef/>
      </w:r>
      <w:r>
        <w:t xml:space="preserve"> </w:t>
      </w:r>
      <w:r>
        <w:rPr>
          <w:rFonts w:hint="eastAsia"/>
        </w:rPr>
        <w:t>財團法人台灣網路資訊中心。112年6月。</w:t>
      </w:r>
      <w:r w:rsidRPr="000A0BA0">
        <w:t>2023</w:t>
      </w:r>
      <w:r>
        <w:rPr>
          <w:rFonts w:hint="eastAsia"/>
        </w:rPr>
        <w:t>年台灣網路報告。</w:t>
      </w:r>
    </w:p>
  </w:footnote>
  <w:footnote w:id="66">
    <w:p w14:paraId="260A7419" w14:textId="77777777" w:rsidR="0017588F" w:rsidRPr="00B01864" w:rsidRDefault="0017588F" w:rsidP="000B1C3C">
      <w:pPr>
        <w:pStyle w:val="afc"/>
      </w:pPr>
      <w:r>
        <w:rPr>
          <w:rStyle w:val="afe"/>
        </w:rPr>
        <w:footnoteRef/>
      </w:r>
      <w:r>
        <w:t xml:space="preserve"> GASA</w:t>
      </w:r>
      <w:r>
        <w:rPr>
          <w:rFonts w:hint="eastAsia"/>
        </w:rPr>
        <w:t>。2</w:t>
      </w:r>
      <w:r>
        <w:t>023</w:t>
      </w:r>
      <w:r>
        <w:rPr>
          <w:rFonts w:hint="eastAsia"/>
        </w:rPr>
        <w:t>。</w:t>
      </w:r>
      <w:r>
        <w:t>The Global State of</w:t>
      </w:r>
      <w:r>
        <w:rPr>
          <w:rFonts w:hint="eastAsia"/>
        </w:rPr>
        <w:t xml:space="preserve"> </w:t>
      </w:r>
      <w:r>
        <w:t xml:space="preserve">Scams Report </w:t>
      </w:r>
      <w:r>
        <w:t>–</w:t>
      </w:r>
      <w:r>
        <w:t xml:space="preserve"> 2022</w:t>
      </w:r>
      <w:r>
        <w:rPr>
          <w:rFonts w:hint="eastAsia"/>
        </w:rPr>
        <w:t>。</w:t>
      </w:r>
      <w:r>
        <w:t>(</w:t>
      </w:r>
      <w:r w:rsidRPr="00B01864">
        <w:t>https://www.gasa.org/downloads</w:t>
      </w:r>
      <w:r>
        <w:t>)</w:t>
      </w:r>
    </w:p>
  </w:footnote>
  <w:footnote w:id="67">
    <w:p w14:paraId="7A14B1FA" w14:textId="7F9F5F3B" w:rsidR="0017588F" w:rsidRPr="00952541" w:rsidRDefault="0017588F" w:rsidP="000B1C3C">
      <w:pPr>
        <w:pStyle w:val="afc"/>
      </w:pPr>
      <w:r w:rsidRPr="00140F97">
        <w:rPr>
          <w:rFonts w:hint="eastAsia"/>
        </w:rPr>
        <w:t>教育部重編國語辭典修訂本</w:t>
      </w:r>
      <w:r w:rsidRPr="00140F97">
        <w:rPr>
          <w:rStyle w:val="afe"/>
        </w:rPr>
        <w:footnoteRef/>
      </w:r>
      <w:r w:rsidRPr="00140F97">
        <w:t xml:space="preserve"> </w:t>
      </w:r>
      <w:r w:rsidRPr="00952541">
        <w:t>https://dict.revised.moe.edu.tw/dictView.jsp?ID=18775&amp;la=0&amp;powerMode=0</w:t>
      </w:r>
    </w:p>
  </w:footnote>
  <w:footnote w:id="68">
    <w:p w14:paraId="06FCCE4B" w14:textId="77777777" w:rsidR="0017588F" w:rsidRDefault="0017588F" w:rsidP="000B1C3C">
      <w:pPr>
        <w:pStyle w:val="afc"/>
      </w:pPr>
      <w:r>
        <w:rPr>
          <w:rStyle w:val="afe"/>
        </w:rPr>
        <w:footnoteRef/>
      </w:r>
      <w:r>
        <w:t xml:space="preserve"> </w:t>
      </w:r>
      <w:r>
        <w:rPr>
          <w:rFonts w:ascii="Arial" w:hAnsi="Arial" w:cs="Arial"/>
          <w:color w:val="343434"/>
          <w:shd w:val="clear" w:color="auto" w:fill="FFFFFF"/>
        </w:rPr>
        <w:t>循證治理，指的是以資料、數據分析作為決策依據，而非個人主觀判斷或想法</w:t>
      </w:r>
      <w:r>
        <w:rPr>
          <w:rFonts w:ascii="Arial" w:hAnsi="Arial" w:cs="Arial" w:hint="eastAsia"/>
          <w:color w:val="343434"/>
          <w:shd w:val="clear" w:color="auto" w:fill="FFFFFF"/>
        </w:rPr>
        <w:t>。（</w:t>
      </w:r>
      <w:r w:rsidRPr="00F74ADD">
        <w:rPr>
          <w:rFonts w:ascii="Arial" w:hAnsi="Arial" w:cs="Arial"/>
          <w:color w:val="343434"/>
          <w:shd w:val="clear" w:color="auto" w:fill="FFFFFF"/>
        </w:rPr>
        <w:t>https://pa.ntu.edu.tw/News_Content_n_15075_s_233988.html</w:t>
      </w:r>
      <w:r>
        <w:rPr>
          <w:rFonts w:ascii="Arial" w:hAnsi="Arial" w:cs="Arial" w:hint="eastAsia"/>
          <w:color w:val="343434"/>
          <w:shd w:val="clear" w:color="auto" w:fill="FFFFFF"/>
        </w:rPr>
        <w:t>）</w:t>
      </w:r>
    </w:p>
  </w:footnote>
  <w:footnote w:id="69">
    <w:p w14:paraId="2B82BA23" w14:textId="77777777" w:rsidR="0017588F" w:rsidRDefault="0017588F" w:rsidP="000B1C3C">
      <w:pPr>
        <w:pStyle w:val="afc"/>
      </w:pPr>
      <w:r>
        <w:rPr>
          <w:rStyle w:val="afe"/>
        </w:rPr>
        <w:footnoteRef/>
      </w:r>
      <w:r>
        <w:t xml:space="preserve"> </w:t>
      </w:r>
      <w:r w:rsidRPr="009B3E86">
        <w:rPr>
          <w:rFonts w:hint="eastAsia"/>
        </w:rPr>
        <w:t>「打詐綱領1.5版」關於堵詐面向</w:t>
      </w:r>
      <w:r>
        <w:rPr>
          <w:rFonts w:hint="eastAsia"/>
        </w:rPr>
        <w:t>，</w:t>
      </w:r>
      <w:r w:rsidRPr="009B3E86">
        <w:rPr>
          <w:rFonts w:hint="eastAsia"/>
        </w:rPr>
        <w:t>電信部分之說明</w:t>
      </w:r>
      <w:r>
        <w:rPr>
          <w:rFonts w:hint="eastAsia"/>
        </w:rPr>
        <w:t>。</w:t>
      </w:r>
    </w:p>
  </w:footnote>
  <w:footnote w:id="70">
    <w:p w14:paraId="512B8E9B" w14:textId="77777777" w:rsidR="0017588F" w:rsidRPr="007929D3" w:rsidRDefault="0017588F" w:rsidP="000B1C3C">
      <w:pPr>
        <w:pStyle w:val="afc"/>
      </w:pPr>
      <w:r>
        <w:rPr>
          <w:rStyle w:val="afe"/>
        </w:rPr>
        <w:footnoteRef/>
      </w:r>
      <w:r>
        <w:t xml:space="preserve"> </w:t>
      </w:r>
      <w:r>
        <w:rPr>
          <w:rFonts w:hint="eastAsia"/>
        </w:rPr>
        <w:t>通傳會於本院113年6月3日辦理座談提供書面資料。</w:t>
      </w:r>
    </w:p>
  </w:footnote>
  <w:footnote w:id="71">
    <w:p w14:paraId="0F0AAB80" w14:textId="77777777" w:rsidR="0017588F" w:rsidRPr="00761083" w:rsidRDefault="0017588F" w:rsidP="000B1C3C">
      <w:pPr>
        <w:pStyle w:val="afc"/>
      </w:pPr>
      <w:r>
        <w:rPr>
          <w:rStyle w:val="afe"/>
        </w:rPr>
        <w:footnoteRef/>
      </w:r>
      <w:r>
        <w:t xml:space="preserve"> </w:t>
      </w:r>
      <w:r w:rsidRPr="00761083">
        <w:rPr>
          <w:rFonts w:hint="eastAsia"/>
        </w:rPr>
        <w:t>提供電信服務，且有下列行為之一者，應向主管機關辦理電信事業之登記：一、與他電信事業進行互連協商或申請裁決。二、申請核配第五十六條規定以外之無線電頻率。三、申請核配設置公眾電信網路之識別碼或信號點碼。四、申請核配用戶號碼。</w:t>
      </w:r>
    </w:p>
    <w:p w14:paraId="27620327" w14:textId="77777777" w:rsidR="0017588F" w:rsidRPr="00761083" w:rsidRDefault="0017588F" w:rsidP="000B1C3C">
      <w:pPr>
        <w:pStyle w:val="afc"/>
      </w:pPr>
    </w:p>
  </w:footnote>
  <w:footnote w:id="72">
    <w:p w14:paraId="761FA4BD" w14:textId="201545F5" w:rsidR="0017588F" w:rsidRDefault="0017588F" w:rsidP="000B1C3C">
      <w:pPr>
        <w:pStyle w:val="afc"/>
      </w:pPr>
      <w:r>
        <w:rPr>
          <w:rStyle w:val="afe"/>
        </w:rPr>
        <w:footnoteRef/>
      </w:r>
      <w:r>
        <w:t xml:space="preserve"> </w:t>
      </w:r>
      <w:r w:rsidRPr="00330821">
        <w:rPr>
          <w:rFonts w:hint="eastAsia"/>
        </w:rPr>
        <w:t>讓台灣淪詐欺島！專賣門號給</w:t>
      </w:r>
      <w:r>
        <w:rPr>
          <w:rFonts w:hint="eastAsia"/>
        </w:rPr>
        <w:t>詐騙集團</w:t>
      </w:r>
      <w:r w:rsidRPr="00330821">
        <w:rPr>
          <w:rFonts w:hint="eastAsia"/>
        </w:rPr>
        <w:t xml:space="preserve"> 海峽電信負責人被求重刑20年</w:t>
      </w:r>
      <w:r w:rsidRPr="00330821">
        <w:t>https://news.ltn.com.tw/news/society/breakingnews/4419867</w:t>
      </w:r>
    </w:p>
  </w:footnote>
  <w:footnote w:id="73">
    <w:p w14:paraId="36FFE1FE" w14:textId="77777777" w:rsidR="0017588F" w:rsidRPr="00AB5E87" w:rsidRDefault="0017588F" w:rsidP="000B1C3C">
      <w:pPr>
        <w:pStyle w:val="afc"/>
      </w:pPr>
      <w:r>
        <w:rPr>
          <w:rStyle w:val="afe"/>
        </w:rPr>
        <w:footnoteRef/>
      </w:r>
      <w:r>
        <w:t xml:space="preserve"> </w:t>
      </w:r>
      <w:r>
        <w:rPr>
          <w:rFonts w:hint="eastAsia"/>
        </w:rPr>
        <w:t>高檢署112年11月13日簡報資料。</w:t>
      </w:r>
    </w:p>
    <w:p w14:paraId="118DA684" w14:textId="77777777" w:rsidR="0017588F" w:rsidRPr="00AB5E87" w:rsidRDefault="0017588F" w:rsidP="000B1C3C">
      <w:pPr>
        <w:pStyle w:val="afc"/>
      </w:pPr>
    </w:p>
  </w:footnote>
  <w:footnote w:id="74">
    <w:p w14:paraId="0239D63F" w14:textId="77777777" w:rsidR="0017588F" w:rsidRPr="005F10C3" w:rsidRDefault="0017588F">
      <w:pPr>
        <w:pStyle w:val="afc"/>
      </w:pPr>
      <w:r>
        <w:rPr>
          <w:rStyle w:val="afe"/>
        </w:rPr>
        <w:footnoteRef/>
      </w:r>
      <w:r>
        <w:t xml:space="preserve"> </w:t>
      </w:r>
      <w:r w:rsidRPr="00DD4E21">
        <w:rPr>
          <w:rFonts w:hint="eastAsia"/>
        </w:rPr>
        <w:t>CU HK，香港MVNO業者名稱</w:t>
      </w:r>
    </w:p>
  </w:footnote>
  <w:footnote w:id="75">
    <w:p w14:paraId="7FDCDC84" w14:textId="77777777" w:rsidR="0017588F" w:rsidRPr="002F5DB3" w:rsidRDefault="0017588F" w:rsidP="000B1C3C">
      <w:pPr>
        <w:pStyle w:val="afc"/>
      </w:pPr>
      <w:r>
        <w:rPr>
          <w:rStyle w:val="afe"/>
        </w:rPr>
        <w:footnoteRef/>
      </w:r>
      <w:r>
        <w:t xml:space="preserve"> </w:t>
      </w:r>
      <w:r w:rsidRPr="002F5DB3">
        <w:rPr>
          <w:rFonts w:hint="eastAsia"/>
        </w:rPr>
        <w:t>Fraud Strategy: stopping　scams and protecting the public</w:t>
      </w:r>
      <w:r>
        <w:rPr>
          <w:rFonts w:hint="eastAsia"/>
        </w:rPr>
        <w:t>。(</w:t>
      </w:r>
      <w:r w:rsidRPr="002F5DB3">
        <w:t>https://www.gov.uk/government/publications/fraud-strategy/fraud-strategy-stopping-scams-and-protecting-the-public</w:t>
      </w:r>
      <w:r>
        <w:rPr>
          <w:rFonts w:hint="eastAsia"/>
        </w:rPr>
        <w:t>)</w:t>
      </w:r>
    </w:p>
  </w:footnote>
  <w:footnote w:id="76">
    <w:p w14:paraId="5704A58C" w14:textId="72708D8B" w:rsidR="0017588F" w:rsidRPr="00140F97" w:rsidRDefault="0017588F" w:rsidP="000B1C3C">
      <w:pPr>
        <w:pStyle w:val="afc"/>
        <w:rPr>
          <w:sz w:val="32"/>
        </w:rPr>
      </w:pPr>
      <w:r>
        <w:rPr>
          <w:rStyle w:val="afe"/>
        </w:rPr>
        <w:footnoteRef/>
      </w:r>
      <w:r>
        <w:t xml:space="preserve"> </w:t>
      </w:r>
      <w:r w:rsidRPr="00140F97">
        <w:rPr>
          <w:rFonts w:hint="eastAsia"/>
        </w:rPr>
        <w:t>貓池是一種用於重新將傳統類比電信信號轉換為網路信號，並做資料交換和連接的網絡通信設備。此外，貓池還具有批量通話、群發短信、遠程控制、卡機分離等功能。不同型號的貓池設備上可插入8個、16個甚至更多SIM卡，可以批量自動收發手機驗證碼</w:t>
      </w:r>
      <w:r>
        <w:rPr>
          <w:rFonts w:hint="eastAsia"/>
        </w:rPr>
        <w:t>，</w:t>
      </w:r>
      <w:r>
        <w:rPr>
          <w:rFonts w:ascii="新細明體" w:eastAsia="新細明體" w:hAnsi="新細明體" w:hint="eastAsia"/>
        </w:rPr>
        <w:t>……</w:t>
      </w:r>
      <w:r w:rsidRPr="00140F97">
        <w:rPr>
          <w:rFonts w:hint="eastAsia"/>
        </w:rPr>
        <w:t>也可以同時發送上千條的詐騙簡訊，大大提升詐騙集團的詐騙效率</w:t>
      </w:r>
      <w:r>
        <w:rPr>
          <w:rFonts w:hint="eastAsia"/>
        </w:rPr>
        <w:t>。趨勢科技網站(</w:t>
      </w:r>
      <w:r w:rsidRPr="00140F97">
        <w:t>https://www.nexone.io/zh-tw/card-list/sms-scam/what-is-modempool</w:t>
      </w:r>
      <w:r>
        <w:rPr>
          <w:rFonts w:hint="eastAsia"/>
        </w:rPr>
        <w:t>)</w:t>
      </w:r>
    </w:p>
  </w:footnote>
  <w:footnote w:id="77">
    <w:p w14:paraId="684FC47F" w14:textId="77777777" w:rsidR="0017588F" w:rsidRDefault="0017588F">
      <w:pPr>
        <w:pStyle w:val="afc"/>
      </w:pPr>
      <w:r>
        <w:rPr>
          <w:rStyle w:val="afe"/>
        </w:rPr>
        <w:footnoteRef/>
      </w:r>
      <w:r>
        <w:t xml:space="preserve"> </w:t>
      </w:r>
      <w:r w:rsidRPr="009D74BF">
        <w:rPr>
          <w:rFonts w:hint="eastAsia"/>
        </w:rPr>
        <w:t>通傳會。112年12月。112年通訊傳播市場報告。</w:t>
      </w:r>
    </w:p>
  </w:footnote>
  <w:footnote w:id="78">
    <w:p w14:paraId="573237C4" w14:textId="77777777" w:rsidR="0017588F" w:rsidRPr="00BE2437" w:rsidRDefault="0017588F" w:rsidP="000B1C3C">
      <w:pPr>
        <w:pStyle w:val="afc"/>
      </w:pPr>
      <w:r>
        <w:rPr>
          <w:rStyle w:val="afe"/>
        </w:rPr>
        <w:footnoteRef/>
      </w:r>
      <w:r>
        <w:t xml:space="preserve"> </w:t>
      </w:r>
      <w:r>
        <w:rPr>
          <w:rFonts w:hint="eastAsia"/>
        </w:rPr>
        <w:t>G</w:t>
      </w:r>
      <w:r>
        <w:t>ASA</w:t>
      </w:r>
      <w:r>
        <w:rPr>
          <w:rFonts w:hint="eastAsia"/>
        </w:rPr>
        <w:t>。2</w:t>
      </w:r>
      <w:r>
        <w:t>023</w:t>
      </w:r>
      <w:r>
        <w:rPr>
          <w:rFonts w:hint="eastAsia"/>
        </w:rPr>
        <w:t>。</w:t>
      </w:r>
      <w:r>
        <w:t>The Global State of Scams -2023</w:t>
      </w:r>
      <w:r>
        <w:rPr>
          <w:rFonts w:hint="eastAsia"/>
        </w:rPr>
        <w:t>。</w:t>
      </w:r>
    </w:p>
  </w:footnote>
  <w:footnote w:id="79">
    <w:p w14:paraId="3C924F2B" w14:textId="77777777" w:rsidR="0017588F" w:rsidRDefault="0017588F" w:rsidP="000B1C3C">
      <w:pPr>
        <w:pStyle w:val="afc"/>
      </w:pPr>
      <w:r>
        <w:rPr>
          <w:rStyle w:val="afe"/>
        </w:rPr>
        <w:footnoteRef/>
      </w:r>
      <w:r>
        <w:t xml:space="preserve"> </w:t>
      </w:r>
      <w:r>
        <w:rPr>
          <w:rFonts w:hint="eastAsia"/>
        </w:rPr>
        <w:t>該報告中對於上網率(包括寬頻上網率、行動上網率)的計算，係將網路使用者的操作化定義為近三個月內有上網經驗之年滿18歲以上民眾。</w:t>
      </w:r>
      <w:r w:rsidRPr="001D6DBF">
        <w:rPr>
          <w:rFonts w:hint="eastAsia"/>
        </w:rPr>
        <w:t>上網率則是指</w:t>
      </w:r>
      <w:r>
        <w:rPr>
          <w:rFonts w:hint="eastAsia"/>
        </w:rPr>
        <w:t>該</w:t>
      </w:r>
      <w:r w:rsidRPr="001D6DBF">
        <w:rPr>
          <w:rFonts w:hint="eastAsia"/>
        </w:rPr>
        <w:t>調查的網路使用者</w:t>
      </w:r>
      <w:r>
        <w:rPr>
          <w:rFonts w:hint="eastAsia"/>
        </w:rPr>
        <w:t>占</w:t>
      </w:r>
      <w:r w:rsidRPr="001D6DBF">
        <w:rPr>
          <w:rFonts w:hint="eastAsia"/>
        </w:rPr>
        <w:t>總樣本數的比例。</w:t>
      </w:r>
    </w:p>
  </w:footnote>
  <w:footnote w:id="80">
    <w:p w14:paraId="53F3ECDA" w14:textId="77777777" w:rsidR="0017588F" w:rsidRPr="00CD6D7C" w:rsidRDefault="0017588F" w:rsidP="000B1C3C">
      <w:pPr>
        <w:pStyle w:val="afc"/>
      </w:pPr>
      <w:r>
        <w:rPr>
          <w:rStyle w:val="afe"/>
        </w:rPr>
        <w:footnoteRef/>
      </w:r>
      <w:r>
        <w:t xml:space="preserve"> </w:t>
      </w:r>
      <w:r w:rsidRPr="00CD6D7C">
        <w:rPr>
          <w:rFonts w:hint="eastAsia"/>
        </w:rPr>
        <w:t>楊惟敬</w:t>
      </w:r>
      <w:r>
        <w:rPr>
          <w:rFonts w:hint="eastAsia"/>
        </w:rPr>
        <w:t>譯。2024年4月24日。</w:t>
      </w:r>
      <w:r w:rsidRPr="00CD6D7C">
        <w:rPr>
          <w:rFonts w:hint="eastAsia"/>
        </w:rPr>
        <w:t>日本民眾被詐騙廣告欺 提訴要求Meta賠償</w:t>
      </w:r>
      <w:r>
        <w:rPr>
          <w:rFonts w:hint="eastAsia"/>
        </w:rPr>
        <w:t>。中央社外電報導。</w:t>
      </w:r>
      <w:r w:rsidRPr="00CD6D7C">
        <w:t>https://www.cna.com.tw/news/aopl/202404250259.aspx</w:t>
      </w:r>
    </w:p>
  </w:footnote>
  <w:footnote w:id="81">
    <w:p w14:paraId="4FD244EE" w14:textId="77777777" w:rsidR="0017588F" w:rsidRPr="00CD6D7C" w:rsidRDefault="0017588F" w:rsidP="000B1C3C">
      <w:pPr>
        <w:pStyle w:val="afc"/>
      </w:pPr>
      <w:r>
        <w:rPr>
          <w:rStyle w:val="afe"/>
        </w:rPr>
        <w:footnoteRef/>
      </w:r>
      <w:r>
        <w:t xml:space="preserve"> </w:t>
      </w:r>
      <w:r w:rsidRPr="00CD6D7C">
        <w:t>Jonathan Stempel</w:t>
      </w:r>
      <w:r>
        <w:rPr>
          <w:rFonts w:hint="eastAsia"/>
        </w:rPr>
        <w:t>。2024年3月7日。</w:t>
      </w:r>
      <w:r w:rsidRPr="00CD6D7C">
        <w:t>Meta urged by US states to combat Facebook, Instagram account hijackings</w:t>
      </w:r>
      <w:r>
        <w:rPr>
          <w:rFonts w:hint="eastAsia"/>
        </w:rPr>
        <w:t>。路透社</w:t>
      </w:r>
    </w:p>
  </w:footnote>
  <w:footnote w:id="82">
    <w:p w14:paraId="50AB4137" w14:textId="77777777" w:rsidR="0017588F" w:rsidRPr="00CD6D7C" w:rsidRDefault="0017588F" w:rsidP="000B1C3C">
      <w:pPr>
        <w:pStyle w:val="afc"/>
      </w:pPr>
      <w:r>
        <w:rPr>
          <w:rStyle w:val="afe"/>
        </w:rPr>
        <w:footnoteRef/>
      </w:r>
      <w:r>
        <w:t xml:space="preserve"> F</w:t>
      </w:r>
      <w:r w:rsidRPr="00CD6D7C">
        <w:rPr>
          <w:rFonts w:hint="eastAsia"/>
        </w:rPr>
        <w:t>B、IG詐騙太猖狂！「這一國」不忍了 放話要重鍘Meta</w:t>
      </w:r>
      <w:r>
        <w:rPr>
          <w:rFonts w:hint="eastAsia"/>
        </w:rPr>
        <w:t>。</w:t>
      </w:r>
      <w:r>
        <w:t>TVBS</w:t>
      </w:r>
      <w:r>
        <w:rPr>
          <w:rFonts w:hint="eastAsia"/>
        </w:rPr>
        <w:t>新聞網(</w:t>
      </w:r>
      <w:r w:rsidRPr="00CD6D7C">
        <w:t>https://tw.news.yahoo.com/fb-ig%E8%A9%90%E9%A8%99%E5%A4%AA%E7%8C%96%E7%8B%82-%E9%80%99-%E5%9C%8B-%E4%B8%8D%E5%BF%8D%E4%BA%86-093443856.html</w:t>
      </w:r>
      <w:r>
        <w:rPr>
          <w:rFonts w:hint="eastAsia"/>
        </w:rPr>
        <w:t>)</w:t>
      </w:r>
    </w:p>
  </w:footnote>
  <w:footnote w:id="83">
    <w:p w14:paraId="54F1C441" w14:textId="62F2FC50" w:rsidR="0017588F" w:rsidRPr="00C97BD2" w:rsidRDefault="0017588F" w:rsidP="000B1C3C">
      <w:pPr>
        <w:pStyle w:val="afc"/>
      </w:pPr>
      <w:r>
        <w:rPr>
          <w:rStyle w:val="afe"/>
        </w:rPr>
        <w:footnoteRef/>
      </w:r>
      <w:r>
        <w:t xml:space="preserve"> </w:t>
      </w:r>
      <w:r w:rsidRPr="00C97BD2">
        <w:rPr>
          <w:rFonts w:hint="eastAsia"/>
        </w:rPr>
        <w:t>回應政策區域 (Response Policy Zone, RPZ) 是域名系統服務器提供的功能之一、也可以稱為「DNS防火牆」。因有越來越多惡意程式及殭屍網路利用DNS查詢C&amp;C伺服器(Command and Control Server)，RPZ允許遞歸解析器(recursive resolver)以自定義的資訊修改解析的結果後，再回傳給DNS客戶端，藉由修改查詢結果的方式，以防止駭客攻擊、或避免使用者訪問惡意網站</w:t>
      </w:r>
      <w:r>
        <w:rPr>
          <w:rFonts w:hint="eastAsia"/>
        </w:rPr>
        <w:t>。(資料來源：T</w:t>
      </w:r>
      <w:r>
        <w:t>WNIC</w:t>
      </w:r>
      <w:r>
        <w:rPr>
          <w:rFonts w:hint="eastAsia"/>
        </w:rPr>
        <w:t>)</w:t>
      </w:r>
    </w:p>
  </w:footnote>
  <w:footnote w:id="84">
    <w:p w14:paraId="5A02D352" w14:textId="248CB22F" w:rsidR="0017588F" w:rsidRDefault="0017588F" w:rsidP="000B1C3C">
      <w:pPr>
        <w:pStyle w:val="afc"/>
      </w:pPr>
      <w:r>
        <w:rPr>
          <w:rStyle w:val="afe"/>
        </w:rPr>
        <w:footnoteRef/>
      </w:r>
      <w:r>
        <w:t xml:space="preserve"> </w:t>
      </w:r>
      <w:r>
        <w:rPr>
          <w:rFonts w:hint="eastAsia"/>
        </w:rPr>
        <w:t>據警政署提供資料，</w:t>
      </w:r>
      <w:r w:rsidRPr="00B149BC">
        <w:rPr>
          <w:rFonts w:hint="eastAsia"/>
          <w:color w:val="00B050"/>
        </w:rPr>
        <w:t>112</w:t>
      </w:r>
      <w:r w:rsidRPr="00FD1EC6">
        <w:rPr>
          <w:rFonts w:hint="eastAsia"/>
        </w:rPr>
        <w:t>年7月1日至113年5月15日止，共計通報Meta公司限期改善處分54次、10萬9,672則，故以</w:t>
      </w:r>
      <w:r>
        <w:rPr>
          <w:rFonts w:hint="eastAsia"/>
        </w:rPr>
        <w:t>109672/16=6854.5(則/月)呈現。</w:t>
      </w:r>
    </w:p>
  </w:footnote>
  <w:footnote w:id="85">
    <w:p w14:paraId="3971C53C" w14:textId="40BC86F0" w:rsidR="0017588F" w:rsidRDefault="0017588F" w:rsidP="000B1C3C">
      <w:pPr>
        <w:pStyle w:val="afc"/>
      </w:pPr>
      <w:r>
        <w:rPr>
          <w:rStyle w:val="afe"/>
        </w:rPr>
        <w:footnoteRef/>
      </w:r>
      <w:r>
        <w:t xml:space="preserve"> </w:t>
      </w:r>
      <w:r>
        <w:rPr>
          <w:rFonts w:hint="eastAsia"/>
        </w:rPr>
        <w:t>據警政署提供資料，</w:t>
      </w:r>
      <w:r w:rsidRPr="007E397B">
        <w:rPr>
          <w:color w:val="000000" w:themeColor="text1"/>
        </w:rPr>
        <w:t>112</w:t>
      </w:r>
      <w:r w:rsidRPr="007E397B">
        <w:rPr>
          <w:rFonts w:hint="eastAsia"/>
          <w:color w:val="000000" w:themeColor="text1"/>
        </w:rPr>
        <w:t>年7月1</w:t>
      </w:r>
      <w:r w:rsidRPr="00FD1EC6">
        <w:rPr>
          <w:rFonts w:hint="eastAsia"/>
        </w:rPr>
        <w:t>日至113年5月15日止，共計通報Meta公司限期改善處分54次、10萬9,672則，故以</w:t>
      </w:r>
      <w:r>
        <w:rPr>
          <w:rFonts w:hint="eastAsia"/>
        </w:rPr>
        <w:t>109672/16=6854.5(則/月)呈現。</w:t>
      </w:r>
    </w:p>
  </w:footnote>
  <w:footnote w:id="86">
    <w:p w14:paraId="5CA85D78" w14:textId="1EC67BC8" w:rsidR="0017588F" w:rsidRPr="000B173F" w:rsidRDefault="0017588F" w:rsidP="000B1C3C">
      <w:pPr>
        <w:pStyle w:val="afc"/>
      </w:pPr>
      <w:r>
        <w:rPr>
          <w:rStyle w:val="afe"/>
        </w:rPr>
        <w:footnoteRef/>
      </w:r>
      <w:r>
        <w:t xml:space="preserve"> </w:t>
      </w:r>
      <w:r>
        <w:rPr>
          <w:rFonts w:hint="eastAsia"/>
        </w:rPr>
        <w:t>i</w:t>
      </w:r>
      <w:r w:rsidRPr="000B173F">
        <w:rPr>
          <w:rFonts w:hint="eastAsia"/>
        </w:rPr>
        <w:t>Thome於112年6月20日報導</w:t>
      </w:r>
      <w:r>
        <w:rPr>
          <w:rFonts w:hint="eastAsia"/>
        </w:rPr>
        <w:t>。</w:t>
      </w:r>
      <w:r w:rsidRPr="000B173F">
        <w:t>https://www.ithome.com.tw/news/163576</w:t>
      </w:r>
    </w:p>
  </w:footnote>
  <w:footnote w:id="87">
    <w:p w14:paraId="4216BA28" w14:textId="77777777" w:rsidR="0017588F" w:rsidRDefault="0017588F">
      <w:pPr>
        <w:pStyle w:val="afc"/>
      </w:pPr>
      <w:r>
        <w:rPr>
          <w:rStyle w:val="afe"/>
        </w:rPr>
        <w:footnoteRef/>
      </w:r>
      <w:r>
        <w:t xml:space="preserve"> </w:t>
      </w:r>
      <w:r>
        <w:rPr>
          <w:rFonts w:hint="eastAsia"/>
        </w:rPr>
        <w:t>光泉公司官網聲明：</w:t>
      </w:r>
      <w:r w:rsidRPr="00B15A34">
        <w:rPr>
          <w:rFonts w:hint="eastAsia"/>
        </w:rPr>
        <w:t>近期又有假冒光泉名義之臉書粉絲專頁，並引導民眾另加LINE好友，向民眾傳播不實招募徵才訊息，讓消費者混淆誤認。經過查證，皆屬詐騙集團冒用公司名義，進行不法行為。</w:t>
      </w:r>
      <w:r>
        <w:rPr>
          <w:rFonts w:hint="eastAsia"/>
        </w:rPr>
        <w:t>(</w:t>
      </w:r>
      <w:r w:rsidRPr="00B15A34">
        <w:t>https://www.kuangchuan.com/news/newsContent/2024042301</w:t>
      </w:r>
      <w:r>
        <w:rPr>
          <w:rFonts w:hint="eastAsia"/>
        </w:rPr>
        <w:t>)</w:t>
      </w:r>
    </w:p>
  </w:footnote>
  <w:footnote w:id="88">
    <w:p w14:paraId="2E24F093" w14:textId="77777777" w:rsidR="0017588F" w:rsidRDefault="0017588F" w:rsidP="000B1C3C">
      <w:pPr>
        <w:pStyle w:val="afc"/>
        <w:ind w:left="150" w:hangingChars="68" w:hanging="150"/>
      </w:pPr>
      <w:r>
        <w:rPr>
          <w:rStyle w:val="afe"/>
        </w:rPr>
        <w:footnoteRef/>
      </w:r>
      <w:r>
        <w:t xml:space="preserve"> </w:t>
      </w:r>
      <w:r w:rsidRPr="005C64CF">
        <w:rPr>
          <w:rFonts w:hint="eastAsia"/>
        </w:rPr>
        <w:t>警示帳戶：指法院、檢察署或司法警察機關為偵辦刑事案件需要，通報銀行將存款帳戶列為警示者。</w:t>
      </w:r>
    </w:p>
  </w:footnote>
  <w:footnote w:id="89">
    <w:p w14:paraId="37F40636" w14:textId="73B43779" w:rsidR="0017588F" w:rsidRPr="007E397B" w:rsidRDefault="0017588F">
      <w:pPr>
        <w:pStyle w:val="afc"/>
      </w:pPr>
      <w:r>
        <w:rPr>
          <w:rStyle w:val="afe"/>
        </w:rPr>
        <w:footnoteRef/>
      </w:r>
      <w:r>
        <w:t xml:space="preserve"> </w:t>
      </w:r>
      <w:r>
        <w:rPr>
          <w:rFonts w:hint="eastAsia"/>
        </w:rPr>
        <w:t>高檢署112年11月13日簡報</w:t>
      </w:r>
    </w:p>
  </w:footnote>
  <w:footnote w:id="90">
    <w:p w14:paraId="5A2DF6DE" w14:textId="77777777" w:rsidR="0017588F" w:rsidRDefault="0017588F" w:rsidP="000B1C3C">
      <w:pPr>
        <w:pStyle w:val="afc"/>
        <w:ind w:left="150" w:hangingChars="68" w:hanging="150"/>
      </w:pPr>
      <w:r>
        <w:rPr>
          <w:rStyle w:val="afe"/>
        </w:rPr>
        <w:footnoteRef/>
      </w:r>
      <w:r>
        <w:t xml:space="preserve"> </w:t>
      </w:r>
      <w:r>
        <w:rPr>
          <w:rFonts w:hint="eastAsia"/>
        </w:rPr>
        <w:t>第二類帳戶：（一）短期間內頻繁申請開立存款帳戶，且無法提出合理說明者。（二）客戶申請之交易功能與其年齡或背景顯不相當者。（三）客戶提供之聯絡資料均無法以合理之方式查證者。（四）存款帳戶經金融機構或民眾通知，疑為犯罪行為人使用者。（五）存款帳戶內常有多筆小額轉出入交易，近似測試行為者。（六）短期間內密集使用銀行之電子服務或設備，與客戶日常交易習慣明顯不符者。（七）存款帳戶久未往來，突有異常交易者。（八）符合銀行防制洗錢注意事項範本所列疑似洗錢表徵之交易者。（九）其他經主管機關或銀行認定為疑似不法或顯屬異常交易之存款帳戶。</w:t>
      </w:r>
    </w:p>
  </w:footnote>
  <w:footnote w:id="91">
    <w:p w14:paraId="0157CD5B" w14:textId="4571DB66" w:rsidR="0017588F" w:rsidRPr="007E397B" w:rsidRDefault="0017588F">
      <w:pPr>
        <w:pStyle w:val="afc"/>
      </w:pPr>
      <w:r>
        <w:rPr>
          <w:rStyle w:val="afe"/>
        </w:rPr>
        <w:footnoteRef/>
      </w:r>
      <w:r>
        <w:t xml:space="preserve"> </w:t>
      </w:r>
      <w:r w:rsidRPr="009D52A8">
        <w:rPr>
          <w:rFonts w:hint="eastAsia"/>
        </w:rPr>
        <w:t>行政院出席本院於113年6月24日所辦座談會後之免備文補充資料</w:t>
      </w:r>
      <w:r>
        <w:rPr>
          <w:rFonts w:hint="eastAsia"/>
        </w:rPr>
        <w:t>。</w:t>
      </w:r>
    </w:p>
  </w:footnote>
  <w:footnote w:id="92">
    <w:p w14:paraId="306476B8" w14:textId="77777777" w:rsidR="0017588F" w:rsidRDefault="0017588F" w:rsidP="000B1C3C">
      <w:pPr>
        <w:pStyle w:val="afc"/>
      </w:pPr>
      <w:r>
        <w:rPr>
          <w:rStyle w:val="afe"/>
        </w:rPr>
        <w:footnoteRef/>
      </w:r>
      <w:r>
        <w:t xml:space="preserve"> </w:t>
      </w:r>
      <w:r>
        <w:rPr>
          <w:rFonts w:hint="eastAsia"/>
        </w:rPr>
        <w:t>剔除警示帳戶未達1000戶之銀行。</w:t>
      </w:r>
    </w:p>
  </w:footnote>
  <w:footnote w:id="93">
    <w:p w14:paraId="192B430B" w14:textId="77777777" w:rsidR="0017588F" w:rsidRDefault="0017588F" w:rsidP="000B1C3C">
      <w:pPr>
        <w:pStyle w:val="afc"/>
      </w:pPr>
      <w:r>
        <w:rPr>
          <w:rStyle w:val="afe"/>
        </w:rPr>
        <w:footnoteRef/>
      </w:r>
      <w:r>
        <w:t xml:space="preserve"> </w:t>
      </w:r>
      <w:r>
        <w:rPr>
          <w:rFonts w:hint="eastAsia"/>
        </w:rPr>
        <w:t>剔除警示帳戶未達1000戶之銀行。</w:t>
      </w:r>
    </w:p>
  </w:footnote>
  <w:footnote w:id="94">
    <w:p w14:paraId="4278326E" w14:textId="77777777" w:rsidR="0017588F" w:rsidRPr="0036086F" w:rsidRDefault="0017588F" w:rsidP="000B1C3C">
      <w:pPr>
        <w:pStyle w:val="afc"/>
      </w:pPr>
      <w:r>
        <w:rPr>
          <w:rStyle w:val="afe"/>
        </w:rPr>
        <w:footnoteRef/>
      </w:r>
      <w:r>
        <w:t xml:space="preserve"> </w:t>
      </w:r>
      <w:r w:rsidRPr="0036086F">
        <w:rPr>
          <w:rFonts w:hint="eastAsia"/>
        </w:rPr>
        <w:t>青年日報</w:t>
      </w:r>
      <w:r w:rsidRPr="0036086F">
        <w:t>113</w:t>
      </w:r>
      <w:r w:rsidRPr="0036086F">
        <w:rPr>
          <w:rFonts w:hint="eastAsia"/>
        </w:rPr>
        <w:t>年</w:t>
      </w:r>
      <w:r w:rsidRPr="0036086F">
        <w:t>5</w:t>
      </w:r>
      <w:r w:rsidRPr="0036086F">
        <w:rPr>
          <w:rFonts w:hint="eastAsia"/>
        </w:rPr>
        <w:t>月</w:t>
      </w:r>
      <w:r w:rsidRPr="0036086F">
        <w:t>2</w:t>
      </w:r>
      <w:r w:rsidRPr="0036086F">
        <w:rPr>
          <w:rFonts w:hint="eastAsia"/>
        </w:rPr>
        <w:t>日【社論】提升識詐防詐知能</w:t>
      </w:r>
      <w:r w:rsidRPr="0036086F">
        <w:t> </w:t>
      </w:r>
      <w:r w:rsidRPr="0036086F">
        <w:rPr>
          <w:rFonts w:hint="eastAsia"/>
        </w:rPr>
        <w:t>守護財產安全</w:t>
      </w:r>
      <w:r>
        <w:rPr>
          <w:rFonts w:hint="eastAsia"/>
        </w:rPr>
        <w:t>。</w:t>
      </w:r>
    </w:p>
  </w:footnote>
  <w:footnote w:id="95">
    <w:p w14:paraId="18337457" w14:textId="77777777" w:rsidR="0017588F" w:rsidRDefault="0017588F" w:rsidP="000B1C3C">
      <w:pPr>
        <w:pStyle w:val="afc"/>
      </w:pPr>
      <w:r>
        <w:rPr>
          <w:rStyle w:val="afe"/>
        </w:rPr>
        <w:footnoteRef/>
      </w:r>
      <w:r>
        <w:t xml:space="preserve"> </w:t>
      </w:r>
      <w:r>
        <w:rPr>
          <w:rFonts w:hint="eastAsia"/>
        </w:rPr>
        <w:t>113年4月26日</w:t>
      </w:r>
      <w:r>
        <w:rPr>
          <w:rFonts w:hAnsi="標楷體" w:hint="eastAsia"/>
        </w:rPr>
        <w:t>「</w:t>
      </w:r>
      <w:r>
        <w:rPr>
          <w:rFonts w:hint="eastAsia"/>
        </w:rPr>
        <w:t>檢察官打詐實務暨修法研討會</w:t>
      </w:r>
      <w:r>
        <w:rPr>
          <w:rFonts w:hAnsi="標楷體" w:hint="eastAsia"/>
        </w:rPr>
        <w:t>」報告資料。</w:t>
      </w:r>
    </w:p>
  </w:footnote>
  <w:footnote w:id="96">
    <w:p w14:paraId="0902E0EF" w14:textId="77777777" w:rsidR="0017588F" w:rsidRDefault="0017588F" w:rsidP="000B1C3C">
      <w:pPr>
        <w:pStyle w:val="afc"/>
      </w:pPr>
      <w:r>
        <w:rPr>
          <w:rStyle w:val="afe"/>
        </w:rPr>
        <w:footnoteRef/>
      </w:r>
      <w:r>
        <w:t xml:space="preserve"> </w:t>
      </w:r>
      <w:r>
        <w:rPr>
          <w:rFonts w:hint="eastAsia"/>
        </w:rPr>
        <w:t>青年日報113年5月2日</w:t>
      </w:r>
      <w:r w:rsidRPr="0036086F">
        <w:rPr>
          <w:rFonts w:hint="eastAsia"/>
        </w:rPr>
        <w:t>【社論】提升識詐防詐知能</w:t>
      </w:r>
      <w:r w:rsidRPr="0036086F">
        <w:t> </w:t>
      </w:r>
      <w:r w:rsidRPr="0036086F">
        <w:rPr>
          <w:rFonts w:hint="eastAsia"/>
        </w:rPr>
        <w:t>守護財產安全</w:t>
      </w:r>
    </w:p>
  </w:footnote>
  <w:footnote w:id="97">
    <w:p w14:paraId="4E7BF48F" w14:textId="395479FF" w:rsidR="0017588F" w:rsidRDefault="0017588F" w:rsidP="000B1C3C">
      <w:pPr>
        <w:pStyle w:val="afc"/>
      </w:pPr>
      <w:r>
        <w:rPr>
          <w:rStyle w:val="afe"/>
        </w:rPr>
        <w:footnoteRef/>
      </w:r>
      <w:r>
        <w:rPr>
          <w:rFonts w:hint="eastAsia"/>
        </w:rPr>
        <w:t>（1）虛擬通貨與新臺幣、外國貨幣及大陸地區、香港或澳門發行之貨幣間之交換；</w:t>
      </w:r>
    </w:p>
    <w:p w14:paraId="0461F396" w14:textId="73B76C1F" w:rsidR="0017588F" w:rsidRDefault="00BC64F5" w:rsidP="000B1C3C">
      <w:pPr>
        <w:pStyle w:val="afc"/>
      </w:pPr>
      <w:r>
        <w:rPr>
          <w:rFonts w:hint="eastAsia"/>
        </w:rPr>
        <w:t xml:space="preserve"> </w:t>
      </w:r>
      <w:r w:rsidR="0017588F">
        <w:rPr>
          <w:rFonts w:hint="eastAsia"/>
        </w:rPr>
        <w:t>（2）虛擬通貨間之交換；</w:t>
      </w:r>
    </w:p>
    <w:p w14:paraId="3CCA689B" w14:textId="5EBBDE9D" w:rsidR="0017588F" w:rsidRDefault="00BC64F5" w:rsidP="000B1C3C">
      <w:pPr>
        <w:pStyle w:val="afc"/>
      </w:pPr>
      <w:r>
        <w:rPr>
          <w:rFonts w:hint="eastAsia"/>
        </w:rPr>
        <w:t xml:space="preserve"> </w:t>
      </w:r>
      <w:r w:rsidR="0017588F">
        <w:rPr>
          <w:rFonts w:hint="eastAsia"/>
        </w:rPr>
        <w:t>（3）進行虛擬通貨之移轉；</w:t>
      </w:r>
    </w:p>
    <w:p w14:paraId="3C1BD51B" w14:textId="685828E4" w:rsidR="0017588F" w:rsidRDefault="00BC64F5" w:rsidP="000B1C3C">
      <w:pPr>
        <w:pStyle w:val="afc"/>
      </w:pPr>
      <w:r>
        <w:rPr>
          <w:rFonts w:hint="eastAsia"/>
        </w:rPr>
        <w:t xml:space="preserve"> </w:t>
      </w:r>
      <w:r w:rsidR="0017588F">
        <w:rPr>
          <w:rFonts w:hint="eastAsia"/>
        </w:rPr>
        <w:t>（4）保管、管理虛擬通貨或提供相關管理工具；</w:t>
      </w:r>
    </w:p>
    <w:p w14:paraId="12CB3BA3" w14:textId="19259656" w:rsidR="0017588F" w:rsidRPr="00500F10" w:rsidRDefault="00BC64F5" w:rsidP="000B1C3C">
      <w:pPr>
        <w:pStyle w:val="afc"/>
      </w:pPr>
      <w:r>
        <w:rPr>
          <w:rFonts w:hint="eastAsia"/>
        </w:rPr>
        <w:t xml:space="preserve"> </w:t>
      </w:r>
      <w:r w:rsidR="0017588F">
        <w:rPr>
          <w:rFonts w:hint="eastAsia"/>
        </w:rPr>
        <w:t>（5）參與及提供虛擬通貨發行或銷售之相關金融服務。</w:t>
      </w:r>
    </w:p>
  </w:footnote>
  <w:footnote w:id="98">
    <w:p w14:paraId="19BB92FD" w14:textId="77777777" w:rsidR="0017588F" w:rsidRDefault="0017588F" w:rsidP="000B1C3C">
      <w:pPr>
        <w:pStyle w:val="afc"/>
      </w:pPr>
      <w:r>
        <w:rPr>
          <w:rStyle w:val="afe"/>
        </w:rPr>
        <w:footnoteRef/>
      </w:r>
      <w:r>
        <w:t xml:space="preserve"> </w:t>
      </w:r>
      <w:r w:rsidRPr="0004205E">
        <w:rPr>
          <w:rFonts w:hint="eastAsia"/>
        </w:rPr>
        <w:t>高檢署打詐會議 鄭銘謙：嚴懲重罰詐欺犯罪</w:t>
      </w:r>
      <w:r>
        <w:rPr>
          <w:rFonts w:hint="eastAsia"/>
        </w:rPr>
        <w:t>。聯合新聞網。113年5月29日</w:t>
      </w:r>
      <w:r w:rsidRPr="0004205E">
        <w:t>https://udn.com/news/story/7321/7996882</w:t>
      </w:r>
    </w:p>
  </w:footnote>
  <w:footnote w:id="99">
    <w:p w14:paraId="4C02C548" w14:textId="77777777" w:rsidR="0017588F" w:rsidRDefault="0017588F" w:rsidP="000B1C3C">
      <w:pPr>
        <w:pStyle w:val="afc"/>
      </w:pPr>
      <w:r>
        <w:rPr>
          <w:rStyle w:val="afe"/>
        </w:rPr>
        <w:footnoteRef/>
      </w:r>
      <w:r>
        <w:t xml:space="preserve"> </w:t>
      </w:r>
      <w:r w:rsidRPr="0058145A">
        <w:rPr>
          <w:rFonts w:hint="eastAsia"/>
        </w:rPr>
        <w:t>檢察官助理法制化 人事總處：效益有待觀察盼1年後再評估</w:t>
      </w:r>
      <w:r>
        <w:rPr>
          <w:rFonts w:hint="eastAsia"/>
        </w:rPr>
        <w:t>。中央廣播電台。1113年6月25日</w:t>
      </w:r>
    </w:p>
  </w:footnote>
  <w:footnote w:id="100">
    <w:p w14:paraId="21573F0A" w14:textId="77777777" w:rsidR="0017588F" w:rsidRPr="00095B37" w:rsidRDefault="0017588F" w:rsidP="000B1C3C">
      <w:pPr>
        <w:pStyle w:val="afc"/>
      </w:pPr>
      <w:r>
        <w:rPr>
          <w:rStyle w:val="afe"/>
        </w:rPr>
        <w:footnoteRef/>
      </w:r>
      <w:r>
        <w:t xml:space="preserve"> </w:t>
      </w:r>
      <w:r w:rsidRPr="00095B37">
        <w:t>https://www.cmmedia.com.tw/home/articles/47732</w:t>
      </w:r>
    </w:p>
  </w:footnote>
  <w:footnote w:id="101">
    <w:p w14:paraId="185E2D34" w14:textId="1786395F" w:rsidR="0017588F" w:rsidRPr="00085ED8" w:rsidRDefault="0017588F">
      <w:pPr>
        <w:pStyle w:val="afc"/>
      </w:pPr>
      <w:r>
        <w:rPr>
          <w:rStyle w:val="afe"/>
        </w:rPr>
        <w:footnoteRef/>
      </w:r>
      <w:r>
        <w:t xml:space="preserve"> </w:t>
      </w:r>
      <w:r>
        <w:rPr>
          <w:rFonts w:hint="eastAsia"/>
        </w:rPr>
        <w:t>意指詐騙集團</w:t>
      </w:r>
      <w:r w:rsidRPr="00085ED8">
        <w:rPr>
          <w:rFonts w:hint="eastAsia"/>
        </w:rPr>
        <w:t>運用暴力控制人頭帳戶行動</w:t>
      </w:r>
    </w:p>
  </w:footnote>
  <w:footnote w:id="102">
    <w:p w14:paraId="2B1A1AFB" w14:textId="77777777" w:rsidR="0017588F" w:rsidRPr="001F48E4" w:rsidRDefault="0017588F" w:rsidP="000B1C3C">
      <w:pPr>
        <w:pStyle w:val="afc"/>
      </w:pPr>
      <w:r>
        <w:rPr>
          <w:rStyle w:val="afe"/>
        </w:rPr>
        <w:footnoteRef/>
      </w:r>
      <w:r>
        <w:t xml:space="preserve"> </w:t>
      </w:r>
      <w:r w:rsidRPr="001F48E4">
        <w:rPr>
          <w:rFonts w:hint="eastAsia"/>
        </w:rPr>
        <w:t>曾雅芬(民105) 行騙天下：臺灣跨境電信詐欺犯罪網絡之分析。國立政治大學國家發展研究所博士論文</w:t>
      </w:r>
    </w:p>
  </w:footnote>
  <w:footnote w:id="103">
    <w:p w14:paraId="3B2E0CB1" w14:textId="0CAEA56F" w:rsidR="0017588F" w:rsidRDefault="0017588F" w:rsidP="000B1C3C">
      <w:pPr>
        <w:pStyle w:val="afc"/>
      </w:pPr>
      <w:r>
        <w:rPr>
          <w:rStyle w:val="afe"/>
        </w:rPr>
        <w:footnoteRef/>
      </w:r>
      <w:r>
        <w:t xml:space="preserve"> </w:t>
      </w:r>
      <w:r w:rsidRPr="0030203E">
        <w:rPr>
          <w:rFonts w:hint="eastAsia"/>
        </w:rPr>
        <w:t>涉案人都室友！法官協</w:t>
      </w:r>
      <w:r>
        <w:rPr>
          <w:rFonts w:hint="eastAsia"/>
        </w:rPr>
        <w:t>詐騙集團</w:t>
      </w:r>
      <w:r w:rsidRPr="0030203E">
        <w:rPr>
          <w:rFonts w:hint="eastAsia"/>
        </w:rPr>
        <w:t>藏3百萬　「超諷刺舊合照」流出</w:t>
      </w:r>
      <w:r>
        <w:rPr>
          <w:rFonts w:hint="eastAsia"/>
        </w:rPr>
        <w:t>（</w:t>
      </w:r>
      <w:r w:rsidRPr="0030203E">
        <w:t>https://news.tvbs.com.tw/local/2486512</w:t>
      </w:r>
      <w:r>
        <w:rPr>
          <w:rFonts w:hint="eastAsia"/>
        </w:rPr>
        <w:t>）</w:t>
      </w:r>
    </w:p>
  </w:footnote>
  <w:footnote w:id="104">
    <w:p w14:paraId="7A6777C0" w14:textId="77777777" w:rsidR="0017588F" w:rsidRDefault="0017588F" w:rsidP="000B1C3C">
      <w:pPr>
        <w:pStyle w:val="afc"/>
      </w:pPr>
      <w:r>
        <w:rPr>
          <w:rStyle w:val="afe"/>
        </w:rPr>
        <w:footnoteRef/>
      </w:r>
      <w:r>
        <w:t xml:space="preserve"> </w:t>
      </w:r>
      <w:r w:rsidRPr="001F48E4">
        <w:rPr>
          <w:rFonts w:hint="eastAsia"/>
        </w:rPr>
        <w:t>曾雅芬(民105) 行騙天下：臺灣跨境電信詐欺犯罪網絡之分析。國立政治大學國家發展研究所博士論文</w:t>
      </w:r>
    </w:p>
  </w:footnote>
  <w:footnote w:id="105">
    <w:p w14:paraId="6E69E753" w14:textId="6E8DF80E" w:rsidR="0017588F" w:rsidRPr="00585C0D" w:rsidRDefault="0017588F" w:rsidP="000B1C3C">
      <w:pPr>
        <w:pStyle w:val="afc"/>
      </w:pPr>
      <w:r>
        <w:rPr>
          <w:rStyle w:val="afe"/>
        </w:rPr>
        <w:footnoteRef/>
      </w:r>
      <w:r>
        <w:t xml:space="preserve"> </w:t>
      </w:r>
      <w:r w:rsidRPr="0070770D">
        <w:rPr>
          <w:rFonts w:hint="eastAsia"/>
        </w:rPr>
        <w:t>曾雅芬(民105) 行騙天下：臺灣跨境電信詐欺犯罪網絡之分析。國立政治大學國家發展研究所博士論文</w:t>
      </w:r>
      <w:r>
        <w:rPr>
          <w:rFonts w:hint="eastAsia"/>
        </w:rPr>
        <w:t>。</w:t>
      </w:r>
      <w:r w:rsidRPr="00585C0D">
        <w:rPr>
          <w:rFonts w:hint="eastAsia"/>
        </w:rPr>
        <w:t>引用李宏倫（2009）。跨國電信詐欺發展趨勢。刑事雙月刊，第32期，頁21。</w:t>
      </w:r>
    </w:p>
  </w:footnote>
  <w:footnote w:id="106">
    <w:p w14:paraId="6FDC4E9D" w14:textId="77777777" w:rsidR="0017588F" w:rsidRDefault="0017588F" w:rsidP="000B1C3C">
      <w:pPr>
        <w:pStyle w:val="afc"/>
      </w:pPr>
      <w:r w:rsidRPr="00585C0D">
        <w:rPr>
          <w:rStyle w:val="afe"/>
        </w:rPr>
        <w:footnoteRef/>
      </w:r>
      <w:r w:rsidRPr="00585C0D">
        <w:t xml:space="preserve"> </w:t>
      </w:r>
      <w:r w:rsidRPr="00585C0D">
        <w:rPr>
          <w:rFonts w:hint="eastAsia"/>
        </w:rPr>
        <w:t>曾雅芬(民105) 行騙天下：臺灣跨境電信詐欺犯罪網絡之分析。國立政治大學國家發展研</w:t>
      </w:r>
      <w:r w:rsidRPr="0070770D">
        <w:rPr>
          <w:rFonts w:hint="eastAsia"/>
        </w:rPr>
        <w:t>究所博士論文</w:t>
      </w:r>
      <w:r>
        <w:rPr>
          <w:rFonts w:hint="eastAsia"/>
        </w:rPr>
        <w:t>。</w:t>
      </w:r>
    </w:p>
  </w:footnote>
  <w:footnote w:id="107">
    <w:p w14:paraId="2AD6CF68" w14:textId="3686BCB0" w:rsidR="0017588F" w:rsidRDefault="0017588F">
      <w:pPr>
        <w:pStyle w:val="afc"/>
      </w:pPr>
      <w:r>
        <w:rPr>
          <w:rStyle w:val="afe"/>
        </w:rPr>
        <w:footnoteRef/>
      </w:r>
      <w:r>
        <w:t xml:space="preserve"> </w:t>
      </w:r>
      <w:r>
        <w:rPr>
          <w:rFonts w:hint="eastAsia"/>
        </w:rPr>
        <w:t>指詐騙集團中負責透過網路或電話以話術與被害人聯繫之單位。</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00B09"/>
    <w:multiLevelType w:val="hybridMultilevel"/>
    <w:tmpl w:val="51D838B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FF5DF2"/>
    <w:multiLevelType w:val="hybridMultilevel"/>
    <w:tmpl w:val="36C219F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40E010C"/>
    <w:multiLevelType w:val="multilevel"/>
    <w:tmpl w:val="6D1EB02C"/>
    <w:lvl w:ilvl="0">
      <w:start w:val="1"/>
      <w:numFmt w:val="ideographLegalTraditional"/>
      <w:pStyle w:val="1"/>
      <w:suff w:val="nothing"/>
      <w:lvlText w:val="%1、"/>
      <w:lvlJc w:val="left"/>
      <w:pPr>
        <w:ind w:left="1701" w:hanging="1701"/>
      </w:pPr>
      <w:rPr>
        <w:rFonts w:ascii="標楷體" w:eastAsia="標楷體" w:hint="eastAsia"/>
        <w:b/>
        <w:i w:val="0"/>
        <w:snapToGrid/>
        <w:spacing w:val="0"/>
        <w:w w:val="100"/>
        <w:kern w:val="32"/>
        <w:position w:val="0"/>
        <w:sz w:val="36"/>
        <w:szCs w:val="36"/>
        <w:lang w:val="en-US"/>
      </w:rPr>
    </w:lvl>
    <w:lvl w:ilvl="1">
      <w:start w:val="10"/>
      <w:numFmt w:val="taiwaneseCountingThousand"/>
      <w:pStyle w:val="2"/>
      <w:suff w:val="nothing"/>
      <w:lvlText w:val="%2、"/>
      <w:lvlJc w:val="left"/>
      <w:pPr>
        <w:ind w:left="1021" w:hanging="681"/>
      </w:pPr>
      <w:rPr>
        <w:rFonts w:hAnsi="Times New Roman" w:cs="Times New Roman"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suff w:val="nothing"/>
      <w:lvlText w:val="(%3)"/>
      <w:lvlJc w:val="left"/>
      <w:pPr>
        <w:ind w:left="1361" w:hanging="681"/>
      </w:pPr>
      <w:rPr>
        <w:rFonts w:hAnsi="Times New Roman" w:cs="Times New Roman" w:hint="eastAsia"/>
        <w:b w:val="0"/>
        <w:bCs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suff w:val="nothing"/>
      <w:lvlText w:val="%4、"/>
      <w:lvlJc w:val="left"/>
      <w:pPr>
        <w:ind w:left="1701" w:hanging="510"/>
      </w:pPr>
      <w:rPr>
        <w:rFonts w:ascii="標楷體" w:eastAsia="標楷體" w:hint="eastAsia"/>
        <w:b w:val="0"/>
        <w:i w:val="0"/>
        <w:strike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ADE69F3"/>
    <w:multiLevelType w:val="hybridMultilevel"/>
    <w:tmpl w:val="D96ED57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E3C7237"/>
    <w:multiLevelType w:val="hybridMultilevel"/>
    <w:tmpl w:val="DBB8B0F4"/>
    <w:lvl w:ilvl="0" w:tplc="241A5DD2">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6644602"/>
    <w:multiLevelType w:val="multilevel"/>
    <w:tmpl w:val="D3C486E4"/>
    <w:lvl w:ilvl="0">
      <w:start w:val="1"/>
      <w:numFmt w:val="bullet"/>
      <w:lvlText w:val=""/>
      <w:lvlJc w:val="left"/>
      <w:pPr>
        <w:ind w:left="480" w:hanging="480"/>
      </w:pPr>
      <w:rPr>
        <w:rFonts w:ascii="Wingdings" w:hAnsi="Wingdings" w:hint="default"/>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8" w15:restartNumberingAfterBreak="0">
    <w:nsid w:val="3CFE143F"/>
    <w:multiLevelType w:val="hybridMultilevel"/>
    <w:tmpl w:val="59C0A442"/>
    <w:lvl w:ilvl="0" w:tplc="C72C7574">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289C325E">
      <w:start w:val="1"/>
      <w:numFmt w:val="decimal"/>
      <w:lvlText w:val="%4."/>
      <w:lvlJc w:val="left"/>
      <w:pPr>
        <w:ind w:left="1920" w:hanging="480"/>
      </w:pPr>
      <w:rPr>
        <w:color w:val="000000" w:themeColor="text1"/>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E0C23A9"/>
    <w:multiLevelType w:val="hybridMultilevel"/>
    <w:tmpl w:val="61A2050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7A8EF8C2"/>
    <w:lvl w:ilvl="0" w:tplc="C81691CE">
      <w:start w:val="1"/>
      <w:numFmt w:val="decimal"/>
      <w:pStyle w:val="a3"/>
      <w:lvlText w:val="表%1　"/>
      <w:lvlJc w:val="left"/>
      <w:pPr>
        <w:ind w:left="480" w:hanging="480"/>
      </w:pPr>
      <w:rPr>
        <w:rFonts w:hAnsi="Times New Roman" w:cs="Times New Roman"/>
        <w:b/>
        <w:bCs w:val="0"/>
        <w:i w:val="0"/>
        <w:iCs w:val="0"/>
        <w:caps w:val="0"/>
        <w:smallCaps w:val="0"/>
        <w:strike w:val="0"/>
        <w:dstrike w:val="0"/>
        <w:outline w:val="0"/>
        <w:shadow w:val="0"/>
        <w:emboss w:val="0"/>
        <w:imprint w:val="0"/>
        <w:noProof w:val="0"/>
        <w:vanish w:val="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FCD2107"/>
    <w:multiLevelType w:val="hybridMultilevel"/>
    <w:tmpl w:val="4A0E567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52BA770F"/>
    <w:multiLevelType w:val="hybridMultilevel"/>
    <w:tmpl w:val="4AAC0C20"/>
    <w:lvl w:ilvl="0" w:tplc="623282DC">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F4F2060"/>
    <w:multiLevelType w:val="hybridMultilevel"/>
    <w:tmpl w:val="476673D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685D0809"/>
    <w:multiLevelType w:val="hybridMultilevel"/>
    <w:tmpl w:val="69F8B64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6CD50555"/>
    <w:multiLevelType w:val="hybridMultilevel"/>
    <w:tmpl w:val="92D470D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72754E6B"/>
    <w:multiLevelType w:val="hybridMultilevel"/>
    <w:tmpl w:val="312A97B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72A72F6B"/>
    <w:multiLevelType w:val="hybridMultilevel"/>
    <w:tmpl w:val="931E614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4"/>
  </w:num>
  <w:num w:numId="2">
    <w:abstractNumId w:val="1"/>
  </w:num>
  <w:num w:numId="3">
    <w:abstractNumId w:val="11"/>
  </w:num>
  <w:num w:numId="4">
    <w:abstractNumId w:val="8"/>
  </w:num>
  <w:num w:numId="5">
    <w:abstractNumId w:val="13"/>
  </w:num>
  <w:num w:numId="6">
    <w:abstractNumId w:val="3"/>
  </w:num>
  <w:num w:numId="7">
    <w:abstractNumId w:val="14"/>
  </w:num>
  <w:num w:numId="8">
    <w:abstractNumId w:val="10"/>
  </w:num>
  <w:num w:numId="9">
    <w:abstractNumId w:val="19"/>
  </w:num>
  <w:num w:numId="10">
    <w:abstractNumId w:val="17"/>
  </w:num>
  <w:num w:numId="11">
    <w:abstractNumId w:val="12"/>
  </w:num>
  <w:num w:numId="12">
    <w:abstractNumId w:val="2"/>
  </w:num>
  <w:num w:numId="13">
    <w:abstractNumId w:val="15"/>
  </w:num>
  <w:num w:numId="14">
    <w:abstractNumId w:val="7"/>
  </w:num>
  <w:num w:numId="15">
    <w:abstractNumId w:val="5"/>
  </w:num>
  <w:num w:numId="16">
    <w:abstractNumId w:val="18"/>
  </w:num>
  <w:num w:numId="17">
    <w:abstractNumId w:val="16"/>
  </w:num>
  <w:num w:numId="18">
    <w:abstractNumId w:val="9"/>
  </w:num>
  <w:num w:numId="19">
    <w:abstractNumId w:val="6"/>
  </w:num>
  <w:num w:numId="20">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 w:numId="39">
    <w:abstractNumId w:val="3"/>
  </w:num>
  <w:num w:numId="40">
    <w:abstractNumId w:val="3"/>
  </w:num>
  <w:num w:numId="41">
    <w:abstractNumId w:val="3"/>
  </w:num>
  <w:num w:numId="42">
    <w:abstractNumId w:val="3"/>
  </w:num>
  <w:num w:numId="43">
    <w:abstractNumId w:val="3"/>
  </w:num>
  <w:num w:numId="44">
    <w:abstractNumId w:val="3"/>
  </w:num>
  <w:num w:numId="45">
    <w:abstractNumId w:val="3"/>
  </w:num>
  <w:num w:numId="46">
    <w:abstractNumId w:val="3"/>
  </w:num>
  <w:num w:numId="47">
    <w:abstractNumId w:val="3"/>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 w:id="1"/>
  </w:footnotePr>
  <w:endnotePr>
    <w:endnote w:id="-1"/>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119"/>
    <w:rsid w:val="00000302"/>
    <w:rsid w:val="000019DD"/>
    <w:rsid w:val="00002082"/>
    <w:rsid w:val="000035B3"/>
    <w:rsid w:val="000037D4"/>
    <w:rsid w:val="00004017"/>
    <w:rsid w:val="0000444B"/>
    <w:rsid w:val="000044E8"/>
    <w:rsid w:val="00006961"/>
    <w:rsid w:val="000103DE"/>
    <w:rsid w:val="000105D6"/>
    <w:rsid w:val="00010609"/>
    <w:rsid w:val="000112BF"/>
    <w:rsid w:val="00012233"/>
    <w:rsid w:val="00012B58"/>
    <w:rsid w:val="00012FC0"/>
    <w:rsid w:val="000161F3"/>
    <w:rsid w:val="000167CC"/>
    <w:rsid w:val="00017318"/>
    <w:rsid w:val="00021DBD"/>
    <w:rsid w:val="000246F7"/>
    <w:rsid w:val="00025C70"/>
    <w:rsid w:val="00025D64"/>
    <w:rsid w:val="00026D6D"/>
    <w:rsid w:val="00027286"/>
    <w:rsid w:val="00030782"/>
    <w:rsid w:val="0003114D"/>
    <w:rsid w:val="00031279"/>
    <w:rsid w:val="00032196"/>
    <w:rsid w:val="00035E60"/>
    <w:rsid w:val="00036D76"/>
    <w:rsid w:val="00037502"/>
    <w:rsid w:val="00040009"/>
    <w:rsid w:val="000407DB"/>
    <w:rsid w:val="000419CC"/>
    <w:rsid w:val="00041D88"/>
    <w:rsid w:val="0004205E"/>
    <w:rsid w:val="0004575A"/>
    <w:rsid w:val="00051030"/>
    <w:rsid w:val="00051D83"/>
    <w:rsid w:val="00053454"/>
    <w:rsid w:val="0005466D"/>
    <w:rsid w:val="0005491D"/>
    <w:rsid w:val="00054F06"/>
    <w:rsid w:val="00055E6A"/>
    <w:rsid w:val="00056B9B"/>
    <w:rsid w:val="00057F32"/>
    <w:rsid w:val="00061222"/>
    <w:rsid w:val="00062A25"/>
    <w:rsid w:val="00062CD2"/>
    <w:rsid w:val="00063722"/>
    <w:rsid w:val="00070672"/>
    <w:rsid w:val="00070731"/>
    <w:rsid w:val="00071D2A"/>
    <w:rsid w:val="000722CD"/>
    <w:rsid w:val="00073CB5"/>
    <w:rsid w:val="0007425C"/>
    <w:rsid w:val="00074681"/>
    <w:rsid w:val="00074F56"/>
    <w:rsid w:val="00077553"/>
    <w:rsid w:val="00077916"/>
    <w:rsid w:val="000822E5"/>
    <w:rsid w:val="000851A2"/>
    <w:rsid w:val="00085588"/>
    <w:rsid w:val="00085ED8"/>
    <w:rsid w:val="000860EB"/>
    <w:rsid w:val="00087077"/>
    <w:rsid w:val="000907C9"/>
    <w:rsid w:val="0009352E"/>
    <w:rsid w:val="00094174"/>
    <w:rsid w:val="000953E0"/>
    <w:rsid w:val="00096591"/>
    <w:rsid w:val="00096B96"/>
    <w:rsid w:val="0009708E"/>
    <w:rsid w:val="000A07A4"/>
    <w:rsid w:val="000A0AB0"/>
    <w:rsid w:val="000A2F3F"/>
    <w:rsid w:val="000A3135"/>
    <w:rsid w:val="000A44E0"/>
    <w:rsid w:val="000B06E4"/>
    <w:rsid w:val="000B0B4A"/>
    <w:rsid w:val="000B173F"/>
    <w:rsid w:val="000B1C3C"/>
    <w:rsid w:val="000B279A"/>
    <w:rsid w:val="000B4FB8"/>
    <w:rsid w:val="000B61D2"/>
    <w:rsid w:val="000B70A7"/>
    <w:rsid w:val="000B73DD"/>
    <w:rsid w:val="000C0F6A"/>
    <w:rsid w:val="000C1CBC"/>
    <w:rsid w:val="000C250D"/>
    <w:rsid w:val="000C2A64"/>
    <w:rsid w:val="000C4008"/>
    <w:rsid w:val="000C495F"/>
    <w:rsid w:val="000C5051"/>
    <w:rsid w:val="000C54C3"/>
    <w:rsid w:val="000C753D"/>
    <w:rsid w:val="000D25BE"/>
    <w:rsid w:val="000D47E9"/>
    <w:rsid w:val="000E087C"/>
    <w:rsid w:val="000E19F4"/>
    <w:rsid w:val="000E2BFB"/>
    <w:rsid w:val="000E4953"/>
    <w:rsid w:val="000E5AAC"/>
    <w:rsid w:val="000E6431"/>
    <w:rsid w:val="000E72EC"/>
    <w:rsid w:val="000F11DE"/>
    <w:rsid w:val="000F21A5"/>
    <w:rsid w:val="000F2414"/>
    <w:rsid w:val="000F32C8"/>
    <w:rsid w:val="000F4F23"/>
    <w:rsid w:val="000F51BD"/>
    <w:rsid w:val="000F65A8"/>
    <w:rsid w:val="0010047A"/>
    <w:rsid w:val="00101F5E"/>
    <w:rsid w:val="00102B9F"/>
    <w:rsid w:val="00103A30"/>
    <w:rsid w:val="00104176"/>
    <w:rsid w:val="00104B28"/>
    <w:rsid w:val="00106CAF"/>
    <w:rsid w:val="00107273"/>
    <w:rsid w:val="001109E3"/>
    <w:rsid w:val="00110B3B"/>
    <w:rsid w:val="00110E6D"/>
    <w:rsid w:val="00111C2E"/>
    <w:rsid w:val="00112637"/>
    <w:rsid w:val="00112ABC"/>
    <w:rsid w:val="00113ECD"/>
    <w:rsid w:val="00114F85"/>
    <w:rsid w:val="0012001E"/>
    <w:rsid w:val="001202B0"/>
    <w:rsid w:val="001220B2"/>
    <w:rsid w:val="00122231"/>
    <w:rsid w:val="00125BE8"/>
    <w:rsid w:val="00126A55"/>
    <w:rsid w:val="00130DC4"/>
    <w:rsid w:val="00131D17"/>
    <w:rsid w:val="00132A34"/>
    <w:rsid w:val="00133B2B"/>
    <w:rsid w:val="00133F08"/>
    <w:rsid w:val="001345E6"/>
    <w:rsid w:val="00134879"/>
    <w:rsid w:val="0013501D"/>
    <w:rsid w:val="00135407"/>
    <w:rsid w:val="00135E06"/>
    <w:rsid w:val="0013672B"/>
    <w:rsid w:val="00136C2F"/>
    <w:rsid w:val="001378B0"/>
    <w:rsid w:val="00140F97"/>
    <w:rsid w:val="00141917"/>
    <w:rsid w:val="00141FC6"/>
    <w:rsid w:val="00141FFD"/>
    <w:rsid w:val="0014275A"/>
    <w:rsid w:val="00142E00"/>
    <w:rsid w:val="00143478"/>
    <w:rsid w:val="00143C33"/>
    <w:rsid w:val="00147801"/>
    <w:rsid w:val="00147A52"/>
    <w:rsid w:val="00147D77"/>
    <w:rsid w:val="00151F35"/>
    <w:rsid w:val="00152793"/>
    <w:rsid w:val="00153B7E"/>
    <w:rsid w:val="00153DBE"/>
    <w:rsid w:val="001545A9"/>
    <w:rsid w:val="00154BA1"/>
    <w:rsid w:val="00160A02"/>
    <w:rsid w:val="00160C26"/>
    <w:rsid w:val="00161719"/>
    <w:rsid w:val="00161D8C"/>
    <w:rsid w:val="001637C7"/>
    <w:rsid w:val="00163883"/>
    <w:rsid w:val="00163D54"/>
    <w:rsid w:val="0016434A"/>
    <w:rsid w:val="0016480E"/>
    <w:rsid w:val="00164949"/>
    <w:rsid w:val="00164F32"/>
    <w:rsid w:val="00166F76"/>
    <w:rsid w:val="001672D4"/>
    <w:rsid w:val="00167CF2"/>
    <w:rsid w:val="00173314"/>
    <w:rsid w:val="001737C3"/>
    <w:rsid w:val="00174297"/>
    <w:rsid w:val="00174A00"/>
    <w:rsid w:val="001750E7"/>
    <w:rsid w:val="001753E1"/>
    <w:rsid w:val="00175743"/>
    <w:rsid w:val="0017588F"/>
    <w:rsid w:val="00177363"/>
    <w:rsid w:val="00180E06"/>
    <w:rsid w:val="001817B3"/>
    <w:rsid w:val="00183014"/>
    <w:rsid w:val="001833CE"/>
    <w:rsid w:val="00184726"/>
    <w:rsid w:val="001864D6"/>
    <w:rsid w:val="00186CBD"/>
    <w:rsid w:val="0019014F"/>
    <w:rsid w:val="001917D6"/>
    <w:rsid w:val="00195777"/>
    <w:rsid w:val="001959C2"/>
    <w:rsid w:val="001973EA"/>
    <w:rsid w:val="001A005F"/>
    <w:rsid w:val="001A2990"/>
    <w:rsid w:val="001A35B3"/>
    <w:rsid w:val="001A4409"/>
    <w:rsid w:val="001A4B6F"/>
    <w:rsid w:val="001A4DBB"/>
    <w:rsid w:val="001A51E3"/>
    <w:rsid w:val="001A7968"/>
    <w:rsid w:val="001B05D6"/>
    <w:rsid w:val="001B0D40"/>
    <w:rsid w:val="001B2E98"/>
    <w:rsid w:val="001B3483"/>
    <w:rsid w:val="001B3C1E"/>
    <w:rsid w:val="001B4494"/>
    <w:rsid w:val="001B4F1C"/>
    <w:rsid w:val="001B7204"/>
    <w:rsid w:val="001C000C"/>
    <w:rsid w:val="001C0D8B"/>
    <w:rsid w:val="001C0DA8"/>
    <w:rsid w:val="001C18FE"/>
    <w:rsid w:val="001C4C47"/>
    <w:rsid w:val="001C4FF5"/>
    <w:rsid w:val="001C6CC3"/>
    <w:rsid w:val="001D04D8"/>
    <w:rsid w:val="001D4AD7"/>
    <w:rsid w:val="001D4F66"/>
    <w:rsid w:val="001D65BB"/>
    <w:rsid w:val="001D6B41"/>
    <w:rsid w:val="001D6DBF"/>
    <w:rsid w:val="001E0D8A"/>
    <w:rsid w:val="001E1330"/>
    <w:rsid w:val="001E25FD"/>
    <w:rsid w:val="001E2E6A"/>
    <w:rsid w:val="001E3724"/>
    <w:rsid w:val="001E67BA"/>
    <w:rsid w:val="001E74C2"/>
    <w:rsid w:val="001F0692"/>
    <w:rsid w:val="001F10EF"/>
    <w:rsid w:val="001F4F82"/>
    <w:rsid w:val="001F5A48"/>
    <w:rsid w:val="001F6260"/>
    <w:rsid w:val="00200007"/>
    <w:rsid w:val="00202530"/>
    <w:rsid w:val="002030A5"/>
    <w:rsid w:val="00203131"/>
    <w:rsid w:val="00203956"/>
    <w:rsid w:val="0020439C"/>
    <w:rsid w:val="00210EEB"/>
    <w:rsid w:val="002112B3"/>
    <w:rsid w:val="00211A68"/>
    <w:rsid w:val="00212E88"/>
    <w:rsid w:val="00213162"/>
    <w:rsid w:val="00213C9C"/>
    <w:rsid w:val="0021744F"/>
    <w:rsid w:val="0022009E"/>
    <w:rsid w:val="0022034A"/>
    <w:rsid w:val="00221737"/>
    <w:rsid w:val="00223241"/>
    <w:rsid w:val="00223644"/>
    <w:rsid w:val="0022425C"/>
    <w:rsid w:val="002246DE"/>
    <w:rsid w:val="002247B6"/>
    <w:rsid w:val="00224D0B"/>
    <w:rsid w:val="00224D5B"/>
    <w:rsid w:val="00226FA5"/>
    <w:rsid w:val="002275B6"/>
    <w:rsid w:val="00231C82"/>
    <w:rsid w:val="00233B82"/>
    <w:rsid w:val="0023462B"/>
    <w:rsid w:val="0023586B"/>
    <w:rsid w:val="002375EF"/>
    <w:rsid w:val="00241A9B"/>
    <w:rsid w:val="002431A4"/>
    <w:rsid w:val="00243C3E"/>
    <w:rsid w:val="002448C1"/>
    <w:rsid w:val="002456FC"/>
    <w:rsid w:val="00246A55"/>
    <w:rsid w:val="00252BC4"/>
    <w:rsid w:val="00252D47"/>
    <w:rsid w:val="00253B3E"/>
    <w:rsid w:val="00254014"/>
    <w:rsid w:val="002549A2"/>
    <w:rsid w:val="00254B39"/>
    <w:rsid w:val="00255FD7"/>
    <w:rsid w:val="00261C90"/>
    <w:rsid w:val="00262081"/>
    <w:rsid w:val="002620F9"/>
    <w:rsid w:val="002630C5"/>
    <w:rsid w:val="00264907"/>
    <w:rsid w:val="0026504D"/>
    <w:rsid w:val="00266B20"/>
    <w:rsid w:val="00267EBD"/>
    <w:rsid w:val="00267F9A"/>
    <w:rsid w:val="00273A2F"/>
    <w:rsid w:val="002740C5"/>
    <w:rsid w:val="0027580A"/>
    <w:rsid w:val="002800ED"/>
    <w:rsid w:val="00280986"/>
    <w:rsid w:val="00281ECE"/>
    <w:rsid w:val="002827F8"/>
    <w:rsid w:val="00282CB1"/>
    <w:rsid w:val="002831C7"/>
    <w:rsid w:val="002840C6"/>
    <w:rsid w:val="00284987"/>
    <w:rsid w:val="00285D1C"/>
    <w:rsid w:val="0029135B"/>
    <w:rsid w:val="00292D47"/>
    <w:rsid w:val="00293201"/>
    <w:rsid w:val="00295174"/>
    <w:rsid w:val="00295C8E"/>
    <w:rsid w:val="00296172"/>
    <w:rsid w:val="002961F4"/>
    <w:rsid w:val="002967E1"/>
    <w:rsid w:val="00296B92"/>
    <w:rsid w:val="002A1F16"/>
    <w:rsid w:val="002A2C22"/>
    <w:rsid w:val="002A2F9F"/>
    <w:rsid w:val="002A419C"/>
    <w:rsid w:val="002A5538"/>
    <w:rsid w:val="002A699A"/>
    <w:rsid w:val="002A6C2B"/>
    <w:rsid w:val="002B02EB"/>
    <w:rsid w:val="002B233E"/>
    <w:rsid w:val="002B348B"/>
    <w:rsid w:val="002B48C6"/>
    <w:rsid w:val="002B5CC4"/>
    <w:rsid w:val="002B65D1"/>
    <w:rsid w:val="002B70FF"/>
    <w:rsid w:val="002B7518"/>
    <w:rsid w:val="002C0602"/>
    <w:rsid w:val="002C0DC1"/>
    <w:rsid w:val="002C6C41"/>
    <w:rsid w:val="002C6E12"/>
    <w:rsid w:val="002C7057"/>
    <w:rsid w:val="002C7AA5"/>
    <w:rsid w:val="002C7E3B"/>
    <w:rsid w:val="002D2234"/>
    <w:rsid w:val="002D3137"/>
    <w:rsid w:val="002D3F71"/>
    <w:rsid w:val="002D45F3"/>
    <w:rsid w:val="002D5C16"/>
    <w:rsid w:val="002D66A8"/>
    <w:rsid w:val="002D68BA"/>
    <w:rsid w:val="002E4BC7"/>
    <w:rsid w:val="002E614B"/>
    <w:rsid w:val="002F015D"/>
    <w:rsid w:val="002F21C7"/>
    <w:rsid w:val="002F2476"/>
    <w:rsid w:val="002F256F"/>
    <w:rsid w:val="002F275D"/>
    <w:rsid w:val="002F3DFF"/>
    <w:rsid w:val="002F41C2"/>
    <w:rsid w:val="002F426C"/>
    <w:rsid w:val="002F5E05"/>
    <w:rsid w:val="002F6433"/>
    <w:rsid w:val="002F7A84"/>
    <w:rsid w:val="00301D07"/>
    <w:rsid w:val="0030203E"/>
    <w:rsid w:val="00306199"/>
    <w:rsid w:val="003062D1"/>
    <w:rsid w:val="00307983"/>
    <w:rsid w:val="00307A76"/>
    <w:rsid w:val="003135DF"/>
    <w:rsid w:val="00313ACE"/>
    <w:rsid w:val="003141FE"/>
    <w:rsid w:val="00314645"/>
    <w:rsid w:val="00315A16"/>
    <w:rsid w:val="00317053"/>
    <w:rsid w:val="0032109C"/>
    <w:rsid w:val="003213F4"/>
    <w:rsid w:val="00321BD5"/>
    <w:rsid w:val="00322684"/>
    <w:rsid w:val="00322B45"/>
    <w:rsid w:val="003235D6"/>
    <w:rsid w:val="00323809"/>
    <w:rsid w:val="00323D41"/>
    <w:rsid w:val="0032435C"/>
    <w:rsid w:val="00324F31"/>
    <w:rsid w:val="00325414"/>
    <w:rsid w:val="0032565A"/>
    <w:rsid w:val="003275B8"/>
    <w:rsid w:val="003302F1"/>
    <w:rsid w:val="00330821"/>
    <w:rsid w:val="00331A46"/>
    <w:rsid w:val="00332354"/>
    <w:rsid w:val="003337F6"/>
    <w:rsid w:val="00333CBB"/>
    <w:rsid w:val="00337D13"/>
    <w:rsid w:val="00342B6E"/>
    <w:rsid w:val="00343424"/>
    <w:rsid w:val="0034470E"/>
    <w:rsid w:val="00344857"/>
    <w:rsid w:val="00345EEA"/>
    <w:rsid w:val="00347958"/>
    <w:rsid w:val="00350C42"/>
    <w:rsid w:val="00352DB0"/>
    <w:rsid w:val="00352E5A"/>
    <w:rsid w:val="0035333B"/>
    <w:rsid w:val="00354A50"/>
    <w:rsid w:val="0035608C"/>
    <w:rsid w:val="003568CC"/>
    <w:rsid w:val="00357A46"/>
    <w:rsid w:val="0036083A"/>
    <w:rsid w:val="00361063"/>
    <w:rsid w:val="003617B0"/>
    <w:rsid w:val="00362AAF"/>
    <w:rsid w:val="00364865"/>
    <w:rsid w:val="0037094A"/>
    <w:rsid w:val="003710B9"/>
    <w:rsid w:val="003718DC"/>
    <w:rsid w:val="00371ED3"/>
    <w:rsid w:val="00372FFC"/>
    <w:rsid w:val="0037384C"/>
    <w:rsid w:val="00374182"/>
    <w:rsid w:val="00376193"/>
    <w:rsid w:val="0037728A"/>
    <w:rsid w:val="00380B7D"/>
    <w:rsid w:val="00381220"/>
    <w:rsid w:val="00381A99"/>
    <w:rsid w:val="003829C2"/>
    <w:rsid w:val="003830B2"/>
    <w:rsid w:val="003841C3"/>
    <w:rsid w:val="00384314"/>
    <w:rsid w:val="00384724"/>
    <w:rsid w:val="00385B92"/>
    <w:rsid w:val="003877F4"/>
    <w:rsid w:val="00390D09"/>
    <w:rsid w:val="003919B7"/>
    <w:rsid w:val="00391D57"/>
    <w:rsid w:val="00392292"/>
    <w:rsid w:val="003925AB"/>
    <w:rsid w:val="003966E3"/>
    <w:rsid w:val="0039708A"/>
    <w:rsid w:val="003977B9"/>
    <w:rsid w:val="00397822"/>
    <w:rsid w:val="00397BB7"/>
    <w:rsid w:val="003A1A09"/>
    <w:rsid w:val="003A1C56"/>
    <w:rsid w:val="003A3D5E"/>
    <w:rsid w:val="003A400B"/>
    <w:rsid w:val="003A5927"/>
    <w:rsid w:val="003A6CAE"/>
    <w:rsid w:val="003A7D39"/>
    <w:rsid w:val="003B1017"/>
    <w:rsid w:val="003B11FD"/>
    <w:rsid w:val="003B19D4"/>
    <w:rsid w:val="003B1AA4"/>
    <w:rsid w:val="003B1BF3"/>
    <w:rsid w:val="003B3C07"/>
    <w:rsid w:val="003B40A8"/>
    <w:rsid w:val="003B5148"/>
    <w:rsid w:val="003B6081"/>
    <w:rsid w:val="003B6775"/>
    <w:rsid w:val="003B7A8B"/>
    <w:rsid w:val="003B7C0F"/>
    <w:rsid w:val="003C0693"/>
    <w:rsid w:val="003C3CEA"/>
    <w:rsid w:val="003C40A5"/>
    <w:rsid w:val="003C4ED7"/>
    <w:rsid w:val="003C5FE2"/>
    <w:rsid w:val="003C7CFC"/>
    <w:rsid w:val="003D05FB"/>
    <w:rsid w:val="003D15C0"/>
    <w:rsid w:val="003D1B16"/>
    <w:rsid w:val="003D1D49"/>
    <w:rsid w:val="003D2DE6"/>
    <w:rsid w:val="003D434B"/>
    <w:rsid w:val="003D45BF"/>
    <w:rsid w:val="003D4BD5"/>
    <w:rsid w:val="003D508A"/>
    <w:rsid w:val="003D537F"/>
    <w:rsid w:val="003D55BD"/>
    <w:rsid w:val="003D5AB1"/>
    <w:rsid w:val="003D67A2"/>
    <w:rsid w:val="003D7643"/>
    <w:rsid w:val="003D76E1"/>
    <w:rsid w:val="003D7B75"/>
    <w:rsid w:val="003D7E26"/>
    <w:rsid w:val="003E0208"/>
    <w:rsid w:val="003E1E62"/>
    <w:rsid w:val="003E23C0"/>
    <w:rsid w:val="003E42A1"/>
    <w:rsid w:val="003E4B57"/>
    <w:rsid w:val="003E4F75"/>
    <w:rsid w:val="003E70D2"/>
    <w:rsid w:val="003F041E"/>
    <w:rsid w:val="003F1399"/>
    <w:rsid w:val="003F27E1"/>
    <w:rsid w:val="003F28A3"/>
    <w:rsid w:val="003F352A"/>
    <w:rsid w:val="003F40E8"/>
    <w:rsid w:val="003F437A"/>
    <w:rsid w:val="003F43E4"/>
    <w:rsid w:val="003F4405"/>
    <w:rsid w:val="003F5B7B"/>
    <w:rsid w:val="003F5C2B"/>
    <w:rsid w:val="003F7BF6"/>
    <w:rsid w:val="003F7FF1"/>
    <w:rsid w:val="004007CD"/>
    <w:rsid w:val="00402240"/>
    <w:rsid w:val="004023E9"/>
    <w:rsid w:val="0040454A"/>
    <w:rsid w:val="00406E54"/>
    <w:rsid w:val="004103F5"/>
    <w:rsid w:val="00411B86"/>
    <w:rsid w:val="004126F9"/>
    <w:rsid w:val="00413F83"/>
    <w:rsid w:val="0041490C"/>
    <w:rsid w:val="004158B3"/>
    <w:rsid w:val="00416191"/>
    <w:rsid w:val="00416721"/>
    <w:rsid w:val="00416CF2"/>
    <w:rsid w:val="00416D73"/>
    <w:rsid w:val="004172ED"/>
    <w:rsid w:val="00417B44"/>
    <w:rsid w:val="004207AF"/>
    <w:rsid w:val="004213A2"/>
    <w:rsid w:val="00421EF0"/>
    <w:rsid w:val="004224FA"/>
    <w:rsid w:val="00423D07"/>
    <w:rsid w:val="00426BC1"/>
    <w:rsid w:val="00427936"/>
    <w:rsid w:val="00427FE0"/>
    <w:rsid w:val="00431FCF"/>
    <w:rsid w:val="00432C4F"/>
    <w:rsid w:val="00433530"/>
    <w:rsid w:val="00433A97"/>
    <w:rsid w:val="0043490D"/>
    <w:rsid w:val="00434E4C"/>
    <w:rsid w:val="004358BA"/>
    <w:rsid w:val="004358CD"/>
    <w:rsid w:val="0043594B"/>
    <w:rsid w:val="00435B5E"/>
    <w:rsid w:val="004405C5"/>
    <w:rsid w:val="00440979"/>
    <w:rsid w:val="0044346F"/>
    <w:rsid w:val="00443478"/>
    <w:rsid w:val="00444843"/>
    <w:rsid w:val="00446467"/>
    <w:rsid w:val="00446524"/>
    <w:rsid w:val="00450451"/>
    <w:rsid w:val="00450D31"/>
    <w:rsid w:val="00451DDB"/>
    <w:rsid w:val="00454076"/>
    <w:rsid w:val="00454EB7"/>
    <w:rsid w:val="0045613F"/>
    <w:rsid w:val="004603A3"/>
    <w:rsid w:val="00461B0F"/>
    <w:rsid w:val="00463080"/>
    <w:rsid w:val="00463311"/>
    <w:rsid w:val="00464424"/>
    <w:rsid w:val="004649EC"/>
    <w:rsid w:val="00464EAE"/>
    <w:rsid w:val="0046520A"/>
    <w:rsid w:val="00465DA4"/>
    <w:rsid w:val="004672AB"/>
    <w:rsid w:val="00470967"/>
    <w:rsid w:val="00471284"/>
    <w:rsid w:val="004714FE"/>
    <w:rsid w:val="00472252"/>
    <w:rsid w:val="00477BAA"/>
    <w:rsid w:val="004846E9"/>
    <w:rsid w:val="004871CA"/>
    <w:rsid w:val="00491346"/>
    <w:rsid w:val="00491F30"/>
    <w:rsid w:val="00495053"/>
    <w:rsid w:val="00496470"/>
    <w:rsid w:val="004A0A47"/>
    <w:rsid w:val="004A1F59"/>
    <w:rsid w:val="004A29BE"/>
    <w:rsid w:val="004A3225"/>
    <w:rsid w:val="004A33EE"/>
    <w:rsid w:val="004A3AA8"/>
    <w:rsid w:val="004A468C"/>
    <w:rsid w:val="004A53C9"/>
    <w:rsid w:val="004A56A5"/>
    <w:rsid w:val="004A7ED6"/>
    <w:rsid w:val="004B11B1"/>
    <w:rsid w:val="004B13C7"/>
    <w:rsid w:val="004B1B83"/>
    <w:rsid w:val="004B282A"/>
    <w:rsid w:val="004B333A"/>
    <w:rsid w:val="004B3A3C"/>
    <w:rsid w:val="004B50BE"/>
    <w:rsid w:val="004B5572"/>
    <w:rsid w:val="004B6048"/>
    <w:rsid w:val="004B778F"/>
    <w:rsid w:val="004B77B6"/>
    <w:rsid w:val="004C0609"/>
    <w:rsid w:val="004C17BC"/>
    <w:rsid w:val="004C25C4"/>
    <w:rsid w:val="004C2900"/>
    <w:rsid w:val="004C494B"/>
    <w:rsid w:val="004C67F8"/>
    <w:rsid w:val="004C7109"/>
    <w:rsid w:val="004D0B5A"/>
    <w:rsid w:val="004D141F"/>
    <w:rsid w:val="004D1450"/>
    <w:rsid w:val="004D25ED"/>
    <w:rsid w:val="004D2742"/>
    <w:rsid w:val="004D342B"/>
    <w:rsid w:val="004D4387"/>
    <w:rsid w:val="004D46CC"/>
    <w:rsid w:val="004D55DE"/>
    <w:rsid w:val="004D5F10"/>
    <w:rsid w:val="004D6310"/>
    <w:rsid w:val="004D71CB"/>
    <w:rsid w:val="004E0062"/>
    <w:rsid w:val="004E014E"/>
    <w:rsid w:val="004E05A1"/>
    <w:rsid w:val="004E0F1B"/>
    <w:rsid w:val="004E1518"/>
    <w:rsid w:val="004E79D6"/>
    <w:rsid w:val="004F00B5"/>
    <w:rsid w:val="004F22F0"/>
    <w:rsid w:val="004F3362"/>
    <w:rsid w:val="004F37E1"/>
    <w:rsid w:val="004F4587"/>
    <w:rsid w:val="004F469B"/>
    <w:rsid w:val="004F488D"/>
    <w:rsid w:val="004F49EB"/>
    <w:rsid w:val="004F5E57"/>
    <w:rsid w:val="004F6710"/>
    <w:rsid w:val="004F7084"/>
    <w:rsid w:val="0050018E"/>
    <w:rsid w:val="0050067D"/>
    <w:rsid w:val="00500C3E"/>
    <w:rsid w:val="00502849"/>
    <w:rsid w:val="00503583"/>
    <w:rsid w:val="00503BC6"/>
    <w:rsid w:val="00504334"/>
    <w:rsid w:val="0050498D"/>
    <w:rsid w:val="00506DB9"/>
    <w:rsid w:val="00507E96"/>
    <w:rsid w:val="005104D7"/>
    <w:rsid w:val="00510B9E"/>
    <w:rsid w:val="00511A03"/>
    <w:rsid w:val="00512E91"/>
    <w:rsid w:val="0051545D"/>
    <w:rsid w:val="00517A68"/>
    <w:rsid w:val="0052007D"/>
    <w:rsid w:val="0052148C"/>
    <w:rsid w:val="00523004"/>
    <w:rsid w:val="00524215"/>
    <w:rsid w:val="00524E17"/>
    <w:rsid w:val="0052655C"/>
    <w:rsid w:val="005278AE"/>
    <w:rsid w:val="005304EA"/>
    <w:rsid w:val="00530E49"/>
    <w:rsid w:val="00530FF0"/>
    <w:rsid w:val="00532495"/>
    <w:rsid w:val="00532812"/>
    <w:rsid w:val="00533DBB"/>
    <w:rsid w:val="00534E39"/>
    <w:rsid w:val="0053562B"/>
    <w:rsid w:val="00535F70"/>
    <w:rsid w:val="00536BC2"/>
    <w:rsid w:val="005370D2"/>
    <w:rsid w:val="00537A6C"/>
    <w:rsid w:val="00540128"/>
    <w:rsid w:val="005425E1"/>
    <w:rsid w:val="00542609"/>
    <w:rsid w:val="005427C5"/>
    <w:rsid w:val="005428D1"/>
    <w:rsid w:val="00542CF6"/>
    <w:rsid w:val="00543DA2"/>
    <w:rsid w:val="005458C0"/>
    <w:rsid w:val="00546859"/>
    <w:rsid w:val="00550CB2"/>
    <w:rsid w:val="0055342B"/>
    <w:rsid w:val="00553C03"/>
    <w:rsid w:val="0056101C"/>
    <w:rsid w:val="0056275C"/>
    <w:rsid w:val="0056315F"/>
    <w:rsid w:val="00563692"/>
    <w:rsid w:val="0056504C"/>
    <w:rsid w:val="00566382"/>
    <w:rsid w:val="00566549"/>
    <w:rsid w:val="005668F6"/>
    <w:rsid w:val="0057059F"/>
    <w:rsid w:val="00570E10"/>
    <w:rsid w:val="00571679"/>
    <w:rsid w:val="00572038"/>
    <w:rsid w:val="0057211B"/>
    <w:rsid w:val="005721CD"/>
    <w:rsid w:val="005721F6"/>
    <w:rsid w:val="005739DD"/>
    <w:rsid w:val="0057607E"/>
    <w:rsid w:val="00576A4A"/>
    <w:rsid w:val="00576F5F"/>
    <w:rsid w:val="00576FD8"/>
    <w:rsid w:val="0058145A"/>
    <w:rsid w:val="005844E7"/>
    <w:rsid w:val="005852F3"/>
    <w:rsid w:val="00585C0D"/>
    <w:rsid w:val="00586697"/>
    <w:rsid w:val="005908B8"/>
    <w:rsid w:val="0059303F"/>
    <w:rsid w:val="0059314F"/>
    <w:rsid w:val="00593C03"/>
    <w:rsid w:val="00594043"/>
    <w:rsid w:val="0059512E"/>
    <w:rsid w:val="00595F3D"/>
    <w:rsid w:val="00596691"/>
    <w:rsid w:val="00597DAC"/>
    <w:rsid w:val="005A1033"/>
    <w:rsid w:val="005A36BC"/>
    <w:rsid w:val="005A45E3"/>
    <w:rsid w:val="005A503E"/>
    <w:rsid w:val="005A5165"/>
    <w:rsid w:val="005A6DD2"/>
    <w:rsid w:val="005A7D97"/>
    <w:rsid w:val="005B07FD"/>
    <w:rsid w:val="005B1BEA"/>
    <w:rsid w:val="005B25E0"/>
    <w:rsid w:val="005B2E6E"/>
    <w:rsid w:val="005B522A"/>
    <w:rsid w:val="005B57B1"/>
    <w:rsid w:val="005B5E29"/>
    <w:rsid w:val="005C0625"/>
    <w:rsid w:val="005C308E"/>
    <w:rsid w:val="005C3809"/>
    <w:rsid w:val="005C385D"/>
    <w:rsid w:val="005C4C22"/>
    <w:rsid w:val="005C5E3C"/>
    <w:rsid w:val="005C66DD"/>
    <w:rsid w:val="005D0958"/>
    <w:rsid w:val="005D3B20"/>
    <w:rsid w:val="005D4C46"/>
    <w:rsid w:val="005D7DE9"/>
    <w:rsid w:val="005E17A1"/>
    <w:rsid w:val="005E1B25"/>
    <w:rsid w:val="005E267F"/>
    <w:rsid w:val="005E2D06"/>
    <w:rsid w:val="005E4759"/>
    <w:rsid w:val="005E509C"/>
    <w:rsid w:val="005E5C68"/>
    <w:rsid w:val="005E65C0"/>
    <w:rsid w:val="005E6762"/>
    <w:rsid w:val="005E6B30"/>
    <w:rsid w:val="005F01C9"/>
    <w:rsid w:val="005F0390"/>
    <w:rsid w:val="005F10C3"/>
    <w:rsid w:val="005F18A9"/>
    <w:rsid w:val="005F1FB1"/>
    <w:rsid w:val="005F5805"/>
    <w:rsid w:val="005F68B4"/>
    <w:rsid w:val="005F6E71"/>
    <w:rsid w:val="0060099C"/>
    <w:rsid w:val="00602626"/>
    <w:rsid w:val="006029E7"/>
    <w:rsid w:val="00603356"/>
    <w:rsid w:val="00604626"/>
    <w:rsid w:val="0060503E"/>
    <w:rsid w:val="00605499"/>
    <w:rsid w:val="00605FD9"/>
    <w:rsid w:val="006072CD"/>
    <w:rsid w:val="00610196"/>
    <w:rsid w:val="00610B06"/>
    <w:rsid w:val="00611D2A"/>
    <w:rsid w:val="00612023"/>
    <w:rsid w:val="00614190"/>
    <w:rsid w:val="006173B3"/>
    <w:rsid w:val="00620640"/>
    <w:rsid w:val="006207AF"/>
    <w:rsid w:val="006216C9"/>
    <w:rsid w:val="00622671"/>
    <w:rsid w:val="00622A99"/>
    <w:rsid w:val="00622E67"/>
    <w:rsid w:val="00623987"/>
    <w:rsid w:val="00623E3F"/>
    <w:rsid w:val="00626677"/>
    <w:rsid w:val="006268ED"/>
    <w:rsid w:val="00626EDC"/>
    <w:rsid w:val="006279B5"/>
    <w:rsid w:val="00630664"/>
    <w:rsid w:val="006312CA"/>
    <w:rsid w:val="006317FC"/>
    <w:rsid w:val="00634F54"/>
    <w:rsid w:val="00641040"/>
    <w:rsid w:val="0064139A"/>
    <w:rsid w:val="00641D96"/>
    <w:rsid w:val="00643F67"/>
    <w:rsid w:val="006446BF"/>
    <w:rsid w:val="00645D2C"/>
    <w:rsid w:val="00645E72"/>
    <w:rsid w:val="006470EC"/>
    <w:rsid w:val="00647D70"/>
    <w:rsid w:val="006514FD"/>
    <w:rsid w:val="006521F8"/>
    <w:rsid w:val="00653912"/>
    <w:rsid w:val="00654260"/>
    <w:rsid w:val="006542D6"/>
    <w:rsid w:val="00654309"/>
    <w:rsid w:val="0065561F"/>
    <w:rsid w:val="0065598E"/>
    <w:rsid w:val="00655AF2"/>
    <w:rsid w:val="00655BC5"/>
    <w:rsid w:val="00656174"/>
    <w:rsid w:val="006568BE"/>
    <w:rsid w:val="0066025D"/>
    <w:rsid w:val="0066091A"/>
    <w:rsid w:val="00661E29"/>
    <w:rsid w:val="00662A49"/>
    <w:rsid w:val="00663366"/>
    <w:rsid w:val="00666753"/>
    <w:rsid w:val="00666D4A"/>
    <w:rsid w:val="00666DF4"/>
    <w:rsid w:val="00671BEF"/>
    <w:rsid w:val="006727B8"/>
    <w:rsid w:val="0067295A"/>
    <w:rsid w:val="00675F3C"/>
    <w:rsid w:val="006773EC"/>
    <w:rsid w:val="006801E5"/>
    <w:rsid w:val="00680504"/>
    <w:rsid w:val="00680760"/>
    <w:rsid w:val="00680D50"/>
    <w:rsid w:val="006812F4"/>
    <w:rsid w:val="00681CD9"/>
    <w:rsid w:val="00683860"/>
    <w:rsid w:val="00683E30"/>
    <w:rsid w:val="0068431A"/>
    <w:rsid w:val="00687024"/>
    <w:rsid w:val="006916A6"/>
    <w:rsid w:val="00693A40"/>
    <w:rsid w:val="006949D3"/>
    <w:rsid w:val="00695E22"/>
    <w:rsid w:val="00696695"/>
    <w:rsid w:val="00696D24"/>
    <w:rsid w:val="006A0E2D"/>
    <w:rsid w:val="006A0F0E"/>
    <w:rsid w:val="006A2645"/>
    <w:rsid w:val="006A2FBE"/>
    <w:rsid w:val="006A4F10"/>
    <w:rsid w:val="006A59EB"/>
    <w:rsid w:val="006A5BBC"/>
    <w:rsid w:val="006A5D78"/>
    <w:rsid w:val="006B08FC"/>
    <w:rsid w:val="006B2E67"/>
    <w:rsid w:val="006B3C07"/>
    <w:rsid w:val="006B3C2D"/>
    <w:rsid w:val="006B52AC"/>
    <w:rsid w:val="006B7093"/>
    <w:rsid w:val="006B70FD"/>
    <w:rsid w:val="006B7417"/>
    <w:rsid w:val="006B7664"/>
    <w:rsid w:val="006C089F"/>
    <w:rsid w:val="006C0E43"/>
    <w:rsid w:val="006C1019"/>
    <w:rsid w:val="006C2126"/>
    <w:rsid w:val="006C219E"/>
    <w:rsid w:val="006C262A"/>
    <w:rsid w:val="006D11C2"/>
    <w:rsid w:val="006D181E"/>
    <w:rsid w:val="006D3691"/>
    <w:rsid w:val="006D4D82"/>
    <w:rsid w:val="006D6406"/>
    <w:rsid w:val="006D6DF0"/>
    <w:rsid w:val="006E2829"/>
    <w:rsid w:val="006E44B6"/>
    <w:rsid w:val="006E5EF0"/>
    <w:rsid w:val="006E6A28"/>
    <w:rsid w:val="006E777E"/>
    <w:rsid w:val="006F0E76"/>
    <w:rsid w:val="006F273F"/>
    <w:rsid w:val="006F3563"/>
    <w:rsid w:val="006F373A"/>
    <w:rsid w:val="006F42B9"/>
    <w:rsid w:val="006F6103"/>
    <w:rsid w:val="006F6F4F"/>
    <w:rsid w:val="00700039"/>
    <w:rsid w:val="00700C62"/>
    <w:rsid w:val="00701A6F"/>
    <w:rsid w:val="00702EDC"/>
    <w:rsid w:val="00702EE0"/>
    <w:rsid w:val="00703F08"/>
    <w:rsid w:val="00704B1D"/>
    <w:rsid w:val="00704E00"/>
    <w:rsid w:val="00705949"/>
    <w:rsid w:val="00705AC6"/>
    <w:rsid w:val="00710099"/>
    <w:rsid w:val="00711460"/>
    <w:rsid w:val="007128E8"/>
    <w:rsid w:val="00714F33"/>
    <w:rsid w:val="0071783A"/>
    <w:rsid w:val="00717A60"/>
    <w:rsid w:val="007209E7"/>
    <w:rsid w:val="00720EB1"/>
    <w:rsid w:val="00722265"/>
    <w:rsid w:val="00722A55"/>
    <w:rsid w:val="007246B2"/>
    <w:rsid w:val="00726182"/>
    <w:rsid w:val="00727635"/>
    <w:rsid w:val="00730847"/>
    <w:rsid w:val="00732329"/>
    <w:rsid w:val="00732B1C"/>
    <w:rsid w:val="00732BB5"/>
    <w:rsid w:val="007337CA"/>
    <w:rsid w:val="00734CE4"/>
    <w:rsid w:val="00735123"/>
    <w:rsid w:val="0073517C"/>
    <w:rsid w:val="007360D5"/>
    <w:rsid w:val="00737FFC"/>
    <w:rsid w:val="007413D8"/>
    <w:rsid w:val="00741837"/>
    <w:rsid w:val="00743D74"/>
    <w:rsid w:val="007441B4"/>
    <w:rsid w:val="007453E6"/>
    <w:rsid w:val="00745F19"/>
    <w:rsid w:val="0074626B"/>
    <w:rsid w:val="0074681D"/>
    <w:rsid w:val="0074784B"/>
    <w:rsid w:val="00751701"/>
    <w:rsid w:val="00752EB4"/>
    <w:rsid w:val="00752F62"/>
    <w:rsid w:val="00753A07"/>
    <w:rsid w:val="00761083"/>
    <w:rsid w:val="007613EF"/>
    <w:rsid w:val="00763A6C"/>
    <w:rsid w:val="00764872"/>
    <w:rsid w:val="00764CEA"/>
    <w:rsid w:val="00765A75"/>
    <w:rsid w:val="00766620"/>
    <w:rsid w:val="00771643"/>
    <w:rsid w:val="0077309D"/>
    <w:rsid w:val="00773AD9"/>
    <w:rsid w:val="007747F0"/>
    <w:rsid w:val="007753F8"/>
    <w:rsid w:val="007768FF"/>
    <w:rsid w:val="007774EE"/>
    <w:rsid w:val="0078064C"/>
    <w:rsid w:val="007807E7"/>
    <w:rsid w:val="00781822"/>
    <w:rsid w:val="00783F21"/>
    <w:rsid w:val="00785412"/>
    <w:rsid w:val="00787159"/>
    <w:rsid w:val="007901A7"/>
    <w:rsid w:val="0079043A"/>
    <w:rsid w:val="00791668"/>
    <w:rsid w:val="00791AA1"/>
    <w:rsid w:val="007929D3"/>
    <w:rsid w:val="00793100"/>
    <w:rsid w:val="00793A7B"/>
    <w:rsid w:val="00794490"/>
    <w:rsid w:val="00794682"/>
    <w:rsid w:val="00797739"/>
    <w:rsid w:val="00797BE5"/>
    <w:rsid w:val="00797C50"/>
    <w:rsid w:val="007A1A81"/>
    <w:rsid w:val="007A2748"/>
    <w:rsid w:val="007A3793"/>
    <w:rsid w:val="007A5053"/>
    <w:rsid w:val="007A5B8D"/>
    <w:rsid w:val="007A609B"/>
    <w:rsid w:val="007A76B7"/>
    <w:rsid w:val="007B016C"/>
    <w:rsid w:val="007B2C1F"/>
    <w:rsid w:val="007B2F63"/>
    <w:rsid w:val="007B4EF9"/>
    <w:rsid w:val="007B523C"/>
    <w:rsid w:val="007B6925"/>
    <w:rsid w:val="007C1BA2"/>
    <w:rsid w:val="007C26EF"/>
    <w:rsid w:val="007C2B48"/>
    <w:rsid w:val="007C5FA3"/>
    <w:rsid w:val="007C6F55"/>
    <w:rsid w:val="007D0880"/>
    <w:rsid w:val="007D20E9"/>
    <w:rsid w:val="007D462A"/>
    <w:rsid w:val="007D51D0"/>
    <w:rsid w:val="007D56CF"/>
    <w:rsid w:val="007D69FB"/>
    <w:rsid w:val="007D7881"/>
    <w:rsid w:val="007D7E3A"/>
    <w:rsid w:val="007E0E10"/>
    <w:rsid w:val="007E397B"/>
    <w:rsid w:val="007E4768"/>
    <w:rsid w:val="007E777B"/>
    <w:rsid w:val="007F0EBD"/>
    <w:rsid w:val="007F100F"/>
    <w:rsid w:val="007F1B6F"/>
    <w:rsid w:val="007F2070"/>
    <w:rsid w:val="007F4941"/>
    <w:rsid w:val="007F7A7B"/>
    <w:rsid w:val="007F7EBF"/>
    <w:rsid w:val="008009F7"/>
    <w:rsid w:val="00801D7D"/>
    <w:rsid w:val="00802B8C"/>
    <w:rsid w:val="00802DCB"/>
    <w:rsid w:val="00803F1D"/>
    <w:rsid w:val="008043B6"/>
    <w:rsid w:val="00804417"/>
    <w:rsid w:val="00804E69"/>
    <w:rsid w:val="008053F5"/>
    <w:rsid w:val="00806719"/>
    <w:rsid w:val="00807409"/>
    <w:rsid w:val="00807AF7"/>
    <w:rsid w:val="00810198"/>
    <w:rsid w:val="00810978"/>
    <w:rsid w:val="00815DA8"/>
    <w:rsid w:val="0081759D"/>
    <w:rsid w:val="0082194D"/>
    <w:rsid w:val="00821C9A"/>
    <w:rsid w:val="008221F9"/>
    <w:rsid w:val="008244B3"/>
    <w:rsid w:val="0082492D"/>
    <w:rsid w:val="00826EF5"/>
    <w:rsid w:val="00827ACE"/>
    <w:rsid w:val="00827BC4"/>
    <w:rsid w:val="00831693"/>
    <w:rsid w:val="008360D3"/>
    <w:rsid w:val="00836E71"/>
    <w:rsid w:val="00840104"/>
    <w:rsid w:val="00840C1D"/>
    <w:rsid w:val="00840C1F"/>
    <w:rsid w:val="0084153B"/>
    <w:rsid w:val="00841945"/>
    <w:rsid w:val="00841FC5"/>
    <w:rsid w:val="00842E84"/>
    <w:rsid w:val="00842F7A"/>
    <w:rsid w:val="00842F7D"/>
    <w:rsid w:val="00843AFF"/>
    <w:rsid w:val="008456BE"/>
    <w:rsid w:val="00845709"/>
    <w:rsid w:val="00847774"/>
    <w:rsid w:val="00850212"/>
    <w:rsid w:val="0085179A"/>
    <w:rsid w:val="00852112"/>
    <w:rsid w:val="00853515"/>
    <w:rsid w:val="008541F2"/>
    <w:rsid w:val="0085459C"/>
    <w:rsid w:val="008575B8"/>
    <w:rsid w:val="008576BD"/>
    <w:rsid w:val="00860463"/>
    <w:rsid w:val="008604AB"/>
    <w:rsid w:val="008626B3"/>
    <w:rsid w:val="00872332"/>
    <w:rsid w:val="00872F4F"/>
    <w:rsid w:val="008733DA"/>
    <w:rsid w:val="00875534"/>
    <w:rsid w:val="008760D5"/>
    <w:rsid w:val="008808DC"/>
    <w:rsid w:val="00883153"/>
    <w:rsid w:val="008850E4"/>
    <w:rsid w:val="00885EDB"/>
    <w:rsid w:val="00886AC3"/>
    <w:rsid w:val="00886E77"/>
    <w:rsid w:val="00891A48"/>
    <w:rsid w:val="008939AB"/>
    <w:rsid w:val="00894810"/>
    <w:rsid w:val="008955EF"/>
    <w:rsid w:val="0089752B"/>
    <w:rsid w:val="008977BB"/>
    <w:rsid w:val="008A0337"/>
    <w:rsid w:val="008A0A09"/>
    <w:rsid w:val="008A0D44"/>
    <w:rsid w:val="008A12F5"/>
    <w:rsid w:val="008A150C"/>
    <w:rsid w:val="008A371D"/>
    <w:rsid w:val="008A434E"/>
    <w:rsid w:val="008A5080"/>
    <w:rsid w:val="008A71AC"/>
    <w:rsid w:val="008A722F"/>
    <w:rsid w:val="008A7F40"/>
    <w:rsid w:val="008B1587"/>
    <w:rsid w:val="008B1B01"/>
    <w:rsid w:val="008B1C8E"/>
    <w:rsid w:val="008B2160"/>
    <w:rsid w:val="008B22A7"/>
    <w:rsid w:val="008B35AA"/>
    <w:rsid w:val="008B3BCD"/>
    <w:rsid w:val="008B43A8"/>
    <w:rsid w:val="008B494B"/>
    <w:rsid w:val="008B4C72"/>
    <w:rsid w:val="008B4FED"/>
    <w:rsid w:val="008B56E0"/>
    <w:rsid w:val="008B5947"/>
    <w:rsid w:val="008B6DF8"/>
    <w:rsid w:val="008C0351"/>
    <w:rsid w:val="008C106C"/>
    <w:rsid w:val="008C10F1"/>
    <w:rsid w:val="008C1926"/>
    <w:rsid w:val="008C1E99"/>
    <w:rsid w:val="008C231A"/>
    <w:rsid w:val="008C3AA8"/>
    <w:rsid w:val="008C4687"/>
    <w:rsid w:val="008C4760"/>
    <w:rsid w:val="008C55EF"/>
    <w:rsid w:val="008D01CD"/>
    <w:rsid w:val="008D16E4"/>
    <w:rsid w:val="008D2885"/>
    <w:rsid w:val="008D3518"/>
    <w:rsid w:val="008D4E29"/>
    <w:rsid w:val="008D4E4A"/>
    <w:rsid w:val="008D5E09"/>
    <w:rsid w:val="008E0085"/>
    <w:rsid w:val="008E0823"/>
    <w:rsid w:val="008E17A4"/>
    <w:rsid w:val="008E2AA6"/>
    <w:rsid w:val="008E2DCD"/>
    <w:rsid w:val="008E311B"/>
    <w:rsid w:val="008F1483"/>
    <w:rsid w:val="008F1540"/>
    <w:rsid w:val="008F1B73"/>
    <w:rsid w:val="008F3533"/>
    <w:rsid w:val="008F3DCF"/>
    <w:rsid w:val="008F46E7"/>
    <w:rsid w:val="008F4E9E"/>
    <w:rsid w:val="008F6F0B"/>
    <w:rsid w:val="008F752B"/>
    <w:rsid w:val="00900C5D"/>
    <w:rsid w:val="00900DBC"/>
    <w:rsid w:val="009015DC"/>
    <w:rsid w:val="00901803"/>
    <w:rsid w:val="009021DD"/>
    <w:rsid w:val="00902590"/>
    <w:rsid w:val="0090372D"/>
    <w:rsid w:val="00906D96"/>
    <w:rsid w:val="0090717E"/>
    <w:rsid w:val="00907BA7"/>
    <w:rsid w:val="0091064E"/>
    <w:rsid w:val="00911FC5"/>
    <w:rsid w:val="00913597"/>
    <w:rsid w:val="0091543B"/>
    <w:rsid w:val="00916B4C"/>
    <w:rsid w:val="00917999"/>
    <w:rsid w:val="00920A23"/>
    <w:rsid w:val="009215B8"/>
    <w:rsid w:val="0092227A"/>
    <w:rsid w:val="00924504"/>
    <w:rsid w:val="00924FE8"/>
    <w:rsid w:val="00925958"/>
    <w:rsid w:val="009279B0"/>
    <w:rsid w:val="00927CD8"/>
    <w:rsid w:val="0093019D"/>
    <w:rsid w:val="00931637"/>
    <w:rsid w:val="00931A10"/>
    <w:rsid w:val="009322BA"/>
    <w:rsid w:val="00932823"/>
    <w:rsid w:val="00933496"/>
    <w:rsid w:val="00934169"/>
    <w:rsid w:val="009356D1"/>
    <w:rsid w:val="009419A5"/>
    <w:rsid w:val="00942A46"/>
    <w:rsid w:val="0094490C"/>
    <w:rsid w:val="00947967"/>
    <w:rsid w:val="0095060C"/>
    <w:rsid w:val="00951037"/>
    <w:rsid w:val="00951AB3"/>
    <w:rsid w:val="00952F9D"/>
    <w:rsid w:val="00955201"/>
    <w:rsid w:val="00955987"/>
    <w:rsid w:val="00957BBE"/>
    <w:rsid w:val="00960EDB"/>
    <w:rsid w:val="00961E1C"/>
    <w:rsid w:val="009631CD"/>
    <w:rsid w:val="00964C76"/>
    <w:rsid w:val="009651ED"/>
    <w:rsid w:val="00965200"/>
    <w:rsid w:val="00965D0A"/>
    <w:rsid w:val="009668B3"/>
    <w:rsid w:val="00966F7D"/>
    <w:rsid w:val="00970E79"/>
    <w:rsid w:val="00971471"/>
    <w:rsid w:val="009719B5"/>
    <w:rsid w:val="00974023"/>
    <w:rsid w:val="0097464C"/>
    <w:rsid w:val="00974BEA"/>
    <w:rsid w:val="00975D23"/>
    <w:rsid w:val="0097660F"/>
    <w:rsid w:val="00980B36"/>
    <w:rsid w:val="00981340"/>
    <w:rsid w:val="009838CC"/>
    <w:rsid w:val="00984357"/>
    <w:rsid w:val="00984387"/>
    <w:rsid w:val="009849C2"/>
    <w:rsid w:val="00984D24"/>
    <w:rsid w:val="009858EB"/>
    <w:rsid w:val="00986240"/>
    <w:rsid w:val="009869FD"/>
    <w:rsid w:val="0098727B"/>
    <w:rsid w:val="00992F3C"/>
    <w:rsid w:val="00994338"/>
    <w:rsid w:val="009947C6"/>
    <w:rsid w:val="00997AB1"/>
    <w:rsid w:val="009A1F55"/>
    <w:rsid w:val="009A24A0"/>
    <w:rsid w:val="009A3702"/>
    <w:rsid w:val="009A3B58"/>
    <w:rsid w:val="009A3F47"/>
    <w:rsid w:val="009A48EB"/>
    <w:rsid w:val="009A6633"/>
    <w:rsid w:val="009A785F"/>
    <w:rsid w:val="009B0046"/>
    <w:rsid w:val="009B2196"/>
    <w:rsid w:val="009B21CE"/>
    <w:rsid w:val="009B2BD9"/>
    <w:rsid w:val="009B3F9B"/>
    <w:rsid w:val="009C09A7"/>
    <w:rsid w:val="009C1440"/>
    <w:rsid w:val="009C18AE"/>
    <w:rsid w:val="009C1B4A"/>
    <w:rsid w:val="009C1F86"/>
    <w:rsid w:val="009C2107"/>
    <w:rsid w:val="009C37F5"/>
    <w:rsid w:val="009C5758"/>
    <w:rsid w:val="009C5D9E"/>
    <w:rsid w:val="009C602E"/>
    <w:rsid w:val="009D00AE"/>
    <w:rsid w:val="009D14D8"/>
    <w:rsid w:val="009D15E8"/>
    <w:rsid w:val="009D18F6"/>
    <w:rsid w:val="009D26EF"/>
    <w:rsid w:val="009D2C3E"/>
    <w:rsid w:val="009D52A8"/>
    <w:rsid w:val="009D74BF"/>
    <w:rsid w:val="009D7570"/>
    <w:rsid w:val="009D7777"/>
    <w:rsid w:val="009E0625"/>
    <w:rsid w:val="009E2BB1"/>
    <w:rsid w:val="009E3034"/>
    <w:rsid w:val="009E35B4"/>
    <w:rsid w:val="009E3D73"/>
    <w:rsid w:val="009E4D32"/>
    <w:rsid w:val="009E504E"/>
    <w:rsid w:val="009E5490"/>
    <w:rsid w:val="009E549F"/>
    <w:rsid w:val="009E7139"/>
    <w:rsid w:val="009F0868"/>
    <w:rsid w:val="009F1103"/>
    <w:rsid w:val="009F28A8"/>
    <w:rsid w:val="009F2B53"/>
    <w:rsid w:val="009F3A71"/>
    <w:rsid w:val="009F4411"/>
    <w:rsid w:val="009F473E"/>
    <w:rsid w:val="009F682A"/>
    <w:rsid w:val="00A022BE"/>
    <w:rsid w:val="00A0290D"/>
    <w:rsid w:val="00A04221"/>
    <w:rsid w:val="00A065C7"/>
    <w:rsid w:val="00A07372"/>
    <w:rsid w:val="00A076A7"/>
    <w:rsid w:val="00A07B4B"/>
    <w:rsid w:val="00A07E8B"/>
    <w:rsid w:val="00A1409C"/>
    <w:rsid w:val="00A14376"/>
    <w:rsid w:val="00A15A49"/>
    <w:rsid w:val="00A231A8"/>
    <w:rsid w:val="00A23A3A"/>
    <w:rsid w:val="00A24988"/>
    <w:rsid w:val="00A24C95"/>
    <w:rsid w:val="00A2599A"/>
    <w:rsid w:val="00A26094"/>
    <w:rsid w:val="00A2750D"/>
    <w:rsid w:val="00A27DD5"/>
    <w:rsid w:val="00A301BF"/>
    <w:rsid w:val="00A302B2"/>
    <w:rsid w:val="00A331B4"/>
    <w:rsid w:val="00A335AC"/>
    <w:rsid w:val="00A3484E"/>
    <w:rsid w:val="00A34FDC"/>
    <w:rsid w:val="00A356D3"/>
    <w:rsid w:val="00A36ADA"/>
    <w:rsid w:val="00A378F0"/>
    <w:rsid w:val="00A438D8"/>
    <w:rsid w:val="00A43B7F"/>
    <w:rsid w:val="00A450A0"/>
    <w:rsid w:val="00A473F5"/>
    <w:rsid w:val="00A47767"/>
    <w:rsid w:val="00A47AB6"/>
    <w:rsid w:val="00A47C46"/>
    <w:rsid w:val="00A50BC4"/>
    <w:rsid w:val="00A5106A"/>
    <w:rsid w:val="00A51F9D"/>
    <w:rsid w:val="00A52745"/>
    <w:rsid w:val="00A5416A"/>
    <w:rsid w:val="00A54BF8"/>
    <w:rsid w:val="00A557C2"/>
    <w:rsid w:val="00A577BE"/>
    <w:rsid w:val="00A61400"/>
    <w:rsid w:val="00A62EE4"/>
    <w:rsid w:val="00A635DD"/>
    <w:rsid w:val="00A639F4"/>
    <w:rsid w:val="00A65AA4"/>
    <w:rsid w:val="00A660E7"/>
    <w:rsid w:val="00A668F2"/>
    <w:rsid w:val="00A67538"/>
    <w:rsid w:val="00A67A87"/>
    <w:rsid w:val="00A67F44"/>
    <w:rsid w:val="00A717BD"/>
    <w:rsid w:val="00A73686"/>
    <w:rsid w:val="00A73AA1"/>
    <w:rsid w:val="00A74209"/>
    <w:rsid w:val="00A74AC8"/>
    <w:rsid w:val="00A760A6"/>
    <w:rsid w:val="00A760C2"/>
    <w:rsid w:val="00A77297"/>
    <w:rsid w:val="00A81A32"/>
    <w:rsid w:val="00A826C0"/>
    <w:rsid w:val="00A835BD"/>
    <w:rsid w:val="00A90BD7"/>
    <w:rsid w:val="00A93881"/>
    <w:rsid w:val="00A94F25"/>
    <w:rsid w:val="00A96DD6"/>
    <w:rsid w:val="00A97B15"/>
    <w:rsid w:val="00AA0ABB"/>
    <w:rsid w:val="00AA146C"/>
    <w:rsid w:val="00AA3702"/>
    <w:rsid w:val="00AA4068"/>
    <w:rsid w:val="00AA42D5"/>
    <w:rsid w:val="00AA461F"/>
    <w:rsid w:val="00AA525C"/>
    <w:rsid w:val="00AA6796"/>
    <w:rsid w:val="00AA7013"/>
    <w:rsid w:val="00AA7303"/>
    <w:rsid w:val="00AA7710"/>
    <w:rsid w:val="00AA7A31"/>
    <w:rsid w:val="00AB1543"/>
    <w:rsid w:val="00AB1F1C"/>
    <w:rsid w:val="00AB2FAB"/>
    <w:rsid w:val="00AB39AF"/>
    <w:rsid w:val="00AB45EA"/>
    <w:rsid w:val="00AB4D19"/>
    <w:rsid w:val="00AB5961"/>
    <w:rsid w:val="00AB5C14"/>
    <w:rsid w:val="00AB6040"/>
    <w:rsid w:val="00AC04D8"/>
    <w:rsid w:val="00AC1EE7"/>
    <w:rsid w:val="00AC333F"/>
    <w:rsid w:val="00AC3A29"/>
    <w:rsid w:val="00AC4DEF"/>
    <w:rsid w:val="00AC585C"/>
    <w:rsid w:val="00AC5C93"/>
    <w:rsid w:val="00AC61D0"/>
    <w:rsid w:val="00AD0A96"/>
    <w:rsid w:val="00AD1925"/>
    <w:rsid w:val="00AD2242"/>
    <w:rsid w:val="00AD28F5"/>
    <w:rsid w:val="00AD315B"/>
    <w:rsid w:val="00AD36DE"/>
    <w:rsid w:val="00AD46AC"/>
    <w:rsid w:val="00AD7551"/>
    <w:rsid w:val="00AE067D"/>
    <w:rsid w:val="00AE0B07"/>
    <w:rsid w:val="00AE427C"/>
    <w:rsid w:val="00AE4380"/>
    <w:rsid w:val="00AE5086"/>
    <w:rsid w:val="00AE55BA"/>
    <w:rsid w:val="00AE71B1"/>
    <w:rsid w:val="00AF1181"/>
    <w:rsid w:val="00AF2BCF"/>
    <w:rsid w:val="00AF2F79"/>
    <w:rsid w:val="00AF4653"/>
    <w:rsid w:val="00AF65AC"/>
    <w:rsid w:val="00AF6B7C"/>
    <w:rsid w:val="00AF6F27"/>
    <w:rsid w:val="00AF7DB7"/>
    <w:rsid w:val="00B004D4"/>
    <w:rsid w:val="00B00BFC"/>
    <w:rsid w:val="00B0210B"/>
    <w:rsid w:val="00B03931"/>
    <w:rsid w:val="00B062A7"/>
    <w:rsid w:val="00B06CC1"/>
    <w:rsid w:val="00B06DF8"/>
    <w:rsid w:val="00B10D02"/>
    <w:rsid w:val="00B11C91"/>
    <w:rsid w:val="00B12682"/>
    <w:rsid w:val="00B149BC"/>
    <w:rsid w:val="00B15546"/>
    <w:rsid w:val="00B15A34"/>
    <w:rsid w:val="00B1648E"/>
    <w:rsid w:val="00B16EF8"/>
    <w:rsid w:val="00B176BA"/>
    <w:rsid w:val="00B201E2"/>
    <w:rsid w:val="00B2217C"/>
    <w:rsid w:val="00B22413"/>
    <w:rsid w:val="00B22834"/>
    <w:rsid w:val="00B22A62"/>
    <w:rsid w:val="00B22C13"/>
    <w:rsid w:val="00B239FC"/>
    <w:rsid w:val="00B24CE4"/>
    <w:rsid w:val="00B31D39"/>
    <w:rsid w:val="00B33DC0"/>
    <w:rsid w:val="00B36549"/>
    <w:rsid w:val="00B407F0"/>
    <w:rsid w:val="00B40FEF"/>
    <w:rsid w:val="00B41A68"/>
    <w:rsid w:val="00B43184"/>
    <w:rsid w:val="00B443E4"/>
    <w:rsid w:val="00B44B71"/>
    <w:rsid w:val="00B4516C"/>
    <w:rsid w:val="00B45BBB"/>
    <w:rsid w:val="00B46C00"/>
    <w:rsid w:val="00B50373"/>
    <w:rsid w:val="00B528B1"/>
    <w:rsid w:val="00B5484D"/>
    <w:rsid w:val="00B555CE"/>
    <w:rsid w:val="00B55B86"/>
    <w:rsid w:val="00B563EA"/>
    <w:rsid w:val="00B56CDF"/>
    <w:rsid w:val="00B576F1"/>
    <w:rsid w:val="00B6091D"/>
    <w:rsid w:val="00B60E51"/>
    <w:rsid w:val="00B60F7A"/>
    <w:rsid w:val="00B61C3D"/>
    <w:rsid w:val="00B63A54"/>
    <w:rsid w:val="00B7077C"/>
    <w:rsid w:val="00B70A9A"/>
    <w:rsid w:val="00B7220F"/>
    <w:rsid w:val="00B73353"/>
    <w:rsid w:val="00B73F20"/>
    <w:rsid w:val="00B75ED3"/>
    <w:rsid w:val="00B77D18"/>
    <w:rsid w:val="00B80685"/>
    <w:rsid w:val="00B806C8"/>
    <w:rsid w:val="00B809DB"/>
    <w:rsid w:val="00B820C6"/>
    <w:rsid w:val="00B8313A"/>
    <w:rsid w:val="00B83628"/>
    <w:rsid w:val="00B841B0"/>
    <w:rsid w:val="00B85D3C"/>
    <w:rsid w:val="00B8696E"/>
    <w:rsid w:val="00B869DB"/>
    <w:rsid w:val="00B86C16"/>
    <w:rsid w:val="00B90DA8"/>
    <w:rsid w:val="00B917B5"/>
    <w:rsid w:val="00B92D71"/>
    <w:rsid w:val="00B92F16"/>
    <w:rsid w:val="00B93503"/>
    <w:rsid w:val="00B9467A"/>
    <w:rsid w:val="00B95A7F"/>
    <w:rsid w:val="00B960EE"/>
    <w:rsid w:val="00BA14B9"/>
    <w:rsid w:val="00BA260E"/>
    <w:rsid w:val="00BA31E8"/>
    <w:rsid w:val="00BA3460"/>
    <w:rsid w:val="00BA508F"/>
    <w:rsid w:val="00BA55E0"/>
    <w:rsid w:val="00BA6BD4"/>
    <w:rsid w:val="00BA6C7A"/>
    <w:rsid w:val="00BB03EA"/>
    <w:rsid w:val="00BB17D1"/>
    <w:rsid w:val="00BB1C47"/>
    <w:rsid w:val="00BB2CF5"/>
    <w:rsid w:val="00BB3752"/>
    <w:rsid w:val="00BB4367"/>
    <w:rsid w:val="00BB5E3D"/>
    <w:rsid w:val="00BB612F"/>
    <w:rsid w:val="00BB6688"/>
    <w:rsid w:val="00BB6742"/>
    <w:rsid w:val="00BB722E"/>
    <w:rsid w:val="00BB7364"/>
    <w:rsid w:val="00BC1B75"/>
    <w:rsid w:val="00BC26D4"/>
    <w:rsid w:val="00BC29FF"/>
    <w:rsid w:val="00BC36BE"/>
    <w:rsid w:val="00BC465C"/>
    <w:rsid w:val="00BC483A"/>
    <w:rsid w:val="00BC4B04"/>
    <w:rsid w:val="00BC4C66"/>
    <w:rsid w:val="00BC581F"/>
    <w:rsid w:val="00BC64F5"/>
    <w:rsid w:val="00BD06E5"/>
    <w:rsid w:val="00BD0B13"/>
    <w:rsid w:val="00BD1A8F"/>
    <w:rsid w:val="00BD2312"/>
    <w:rsid w:val="00BD2AE4"/>
    <w:rsid w:val="00BD3857"/>
    <w:rsid w:val="00BD5A6D"/>
    <w:rsid w:val="00BD7E13"/>
    <w:rsid w:val="00BE0C80"/>
    <w:rsid w:val="00BE10C6"/>
    <w:rsid w:val="00BE1BD4"/>
    <w:rsid w:val="00BE1D04"/>
    <w:rsid w:val="00BE4250"/>
    <w:rsid w:val="00BE5DBA"/>
    <w:rsid w:val="00BE602E"/>
    <w:rsid w:val="00BE7343"/>
    <w:rsid w:val="00BE73E2"/>
    <w:rsid w:val="00BF02BA"/>
    <w:rsid w:val="00BF0F96"/>
    <w:rsid w:val="00BF29A8"/>
    <w:rsid w:val="00BF2A42"/>
    <w:rsid w:val="00BF5D42"/>
    <w:rsid w:val="00C00061"/>
    <w:rsid w:val="00C02E5D"/>
    <w:rsid w:val="00C03D8C"/>
    <w:rsid w:val="00C055EC"/>
    <w:rsid w:val="00C07986"/>
    <w:rsid w:val="00C10DC9"/>
    <w:rsid w:val="00C125FD"/>
    <w:rsid w:val="00C12FB3"/>
    <w:rsid w:val="00C13CD9"/>
    <w:rsid w:val="00C1429F"/>
    <w:rsid w:val="00C14BF9"/>
    <w:rsid w:val="00C15BA5"/>
    <w:rsid w:val="00C17341"/>
    <w:rsid w:val="00C2203F"/>
    <w:rsid w:val="00C22EEE"/>
    <w:rsid w:val="00C24EEF"/>
    <w:rsid w:val="00C252CB"/>
    <w:rsid w:val="00C25CF6"/>
    <w:rsid w:val="00C26C36"/>
    <w:rsid w:val="00C32768"/>
    <w:rsid w:val="00C32B9E"/>
    <w:rsid w:val="00C3310F"/>
    <w:rsid w:val="00C34FF0"/>
    <w:rsid w:val="00C365C5"/>
    <w:rsid w:val="00C370AA"/>
    <w:rsid w:val="00C37904"/>
    <w:rsid w:val="00C37AF2"/>
    <w:rsid w:val="00C401FA"/>
    <w:rsid w:val="00C431DF"/>
    <w:rsid w:val="00C433C9"/>
    <w:rsid w:val="00C456BD"/>
    <w:rsid w:val="00C45802"/>
    <w:rsid w:val="00C45E97"/>
    <w:rsid w:val="00C45ED7"/>
    <w:rsid w:val="00C46B84"/>
    <w:rsid w:val="00C472E5"/>
    <w:rsid w:val="00C47568"/>
    <w:rsid w:val="00C514E9"/>
    <w:rsid w:val="00C52351"/>
    <w:rsid w:val="00C530DC"/>
    <w:rsid w:val="00C53411"/>
    <w:rsid w:val="00C5350D"/>
    <w:rsid w:val="00C54400"/>
    <w:rsid w:val="00C6123C"/>
    <w:rsid w:val="00C6311A"/>
    <w:rsid w:val="00C631BB"/>
    <w:rsid w:val="00C63ECA"/>
    <w:rsid w:val="00C6531A"/>
    <w:rsid w:val="00C6532E"/>
    <w:rsid w:val="00C7084D"/>
    <w:rsid w:val="00C717C7"/>
    <w:rsid w:val="00C72F20"/>
    <w:rsid w:val="00C7315E"/>
    <w:rsid w:val="00C7486B"/>
    <w:rsid w:val="00C75895"/>
    <w:rsid w:val="00C76967"/>
    <w:rsid w:val="00C80508"/>
    <w:rsid w:val="00C815AD"/>
    <w:rsid w:val="00C82FEC"/>
    <w:rsid w:val="00C832CF"/>
    <w:rsid w:val="00C8353D"/>
    <w:rsid w:val="00C83C9F"/>
    <w:rsid w:val="00C86CDB"/>
    <w:rsid w:val="00C878FF"/>
    <w:rsid w:val="00C91088"/>
    <w:rsid w:val="00C9204C"/>
    <w:rsid w:val="00C92256"/>
    <w:rsid w:val="00C93EE3"/>
    <w:rsid w:val="00C94840"/>
    <w:rsid w:val="00C9488C"/>
    <w:rsid w:val="00CA0481"/>
    <w:rsid w:val="00CA1651"/>
    <w:rsid w:val="00CA38BF"/>
    <w:rsid w:val="00CA4EE3"/>
    <w:rsid w:val="00CB027F"/>
    <w:rsid w:val="00CB1902"/>
    <w:rsid w:val="00CB2438"/>
    <w:rsid w:val="00CB2917"/>
    <w:rsid w:val="00CB3091"/>
    <w:rsid w:val="00CB3818"/>
    <w:rsid w:val="00CB4775"/>
    <w:rsid w:val="00CB4B3F"/>
    <w:rsid w:val="00CB4F4C"/>
    <w:rsid w:val="00CB5482"/>
    <w:rsid w:val="00CB5E6B"/>
    <w:rsid w:val="00CB605B"/>
    <w:rsid w:val="00CB7E51"/>
    <w:rsid w:val="00CB7F8F"/>
    <w:rsid w:val="00CC00D0"/>
    <w:rsid w:val="00CC0350"/>
    <w:rsid w:val="00CC0EBB"/>
    <w:rsid w:val="00CC1857"/>
    <w:rsid w:val="00CC33F0"/>
    <w:rsid w:val="00CC3B43"/>
    <w:rsid w:val="00CC6297"/>
    <w:rsid w:val="00CC7690"/>
    <w:rsid w:val="00CD1986"/>
    <w:rsid w:val="00CD1C7E"/>
    <w:rsid w:val="00CD34EB"/>
    <w:rsid w:val="00CD384F"/>
    <w:rsid w:val="00CD44D2"/>
    <w:rsid w:val="00CD4B75"/>
    <w:rsid w:val="00CD5025"/>
    <w:rsid w:val="00CD54BF"/>
    <w:rsid w:val="00CD698C"/>
    <w:rsid w:val="00CD6A40"/>
    <w:rsid w:val="00CE179F"/>
    <w:rsid w:val="00CE1831"/>
    <w:rsid w:val="00CE21B1"/>
    <w:rsid w:val="00CE3804"/>
    <w:rsid w:val="00CE4A51"/>
    <w:rsid w:val="00CE4B52"/>
    <w:rsid w:val="00CE4CF5"/>
    <w:rsid w:val="00CE4D5C"/>
    <w:rsid w:val="00CE6D5F"/>
    <w:rsid w:val="00CF05DA"/>
    <w:rsid w:val="00CF101B"/>
    <w:rsid w:val="00CF2608"/>
    <w:rsid w:val="00CF2A69"/>
    <w:rsid w:val="00CF34FC"/>
    <w:rsid w:val="00CF58EB"/>
    <w:rsid w:val="00CF5C0F"/>
    <w:rsid w:val="00CF5C2E"/>
    <w:rsid w:val="00CF65EB"/>
    <w:rsid w:val="00CF6FEC"/>
    <w:rsid w:val="00D0013E"/>
    <w:rsid w:val="00D005ED"/>
    <w:rsid w:val="00D0106E"/>
    <w:rsid w:val="00D0217B"/>
    <w:rsid w:val="00D02E8B"/>
    <w:rsid w:val="00D057A7"/>
    <w:rsid w:val="00D06383"/>
    <w:rsid w:val="00D066B0"/>
    <w:rsid w:val="00D11508"/>
    <w:rsid w:val="00D15B75"/>
    <w:rsid w:val="00D15FD7"/>
    <w:rsid w:val="00D162E8"/>
    <w:rsid w:val="00D20E85"/>
    <w:rsid w:val="00D2162E"/>
    <w:rsid w:val="00D21DEA"/>
    <w:rsid w:val="00D229E4"/>
    <w:rsid w:val="00D24615"/>
    <w:rsid w:val="00D2502A"/>
    <w:rsid w:val="00D2695C"/>
    <w:rsid w:val="00D26DB0"/>
    <w:rsid w:val="00D27A6A"/>
    <w:rsid w:val="00D30EAE"/>
    <w:rsid w:val="00D3176A"/>
    <w:rsid w:val="00D354A7"/>
    <w:rsid w:val="00D37842"/>
    <w:rsid w:val="00D37FB2"/>
    <w:rsid w:val="00D4241B"/>
    <w:rsid w:val="00D42DC2"/>
    <w:rsid w:val="00D436AB"/>
    <w:rsid w:val="00D44D08"/>
    <w:rsid w:val="00D44FB6"/>
    <w:rsid w:val="00D46B33"/>
    <w:rsid w:val="00D47C52"/>
    <w:rsid w:val="00D5024F"/>
    <w:rsid w:val="00D51FF7"/>
    <w:rsid w:val="00D530E1"/>
    <w:rsid w:val="00D537E1"/>
    <w:rsid w:val="00D5380C"/>
    <w:rsid w:val="00D55A07"/>
    <w:rsid w:val="00D55BB2"/>
    <w:rsid w:val="00D57B2C"/>
    <w:rsid w:val="00D57B34"/>
    <w:rsid w:val="00D606F4"/>
    <w:rsid w:val="00D6091A"/>
    <w:rsid w:val="00D622DF"/>
    <w:rsid w:val="00D6605A"/>
    <w:rsid w:val="00D66145"/>
    <w:rsid w:val="00D6695F"/>
    <w:rsid w:val="00D671BC"/>
    <w:rsid w:val="00D674EB"/>
    <w:rsid w:val="00D703F8"/>
    <w:rsid w:val="00D723B8"/>
    <w:rsid w:val="00D724D0"/>
    <w:rsid w:val="00D7267E"/>
    <w:rsid w:val="00D73ECD"/>
    <w:rsid w:val="00D75644"/>
    <w:rsid w:val="00D75C6C"/>
    <w:rsid w:val="00D808E4"/>
    <w:rsid w:val="00D809D4"/>
    <w:rsid w:val="00D81656"/>
    <w:rsid w:val="00D81D88"/>
    <w:rsid w:val="00D824C9"/>
    <w:rsid w:val="00D82B1C"/>
    <w:rsid w:val="00D83848"/>
    <w:rsid w:val="00D83D87"/>
    <w:rsid w:val="00D84A6D"/>
    <w:rsid w:val="00D85141"/>
    <w:rsid w:val="00D86A30"/>
    <w:rsid w:val="00D9140F"/>
    <w:rsid w:val="00D91C30"/>
    <w:rsid w:val="00D958D9"/>
    <w:rsid w:val="00D97CB4"/>
    <w:rsid w:val="00D97DD4"/>
    <w:rsid w:val="00DA43D8"/>
    <w:rsid w:val="00DA4C92"/>
    <w:rsid w:val="00DA5A8A"/>
    <w:rsid w:val="00DB1170"/>
    <w:rsid w:val="00DB20DD"/>
    <w:rsid w:val="00DB26CD"/>
    <w:rsid w:val="00DB2F0A"/>
    <w:rsid w:val="00DB430F"/>
    <w:rsid w:val="00DB441C"/>
    <w:rsid w:val="00DB44AF"/>
    <w:rsid w:val="00DB6209"/>
    <w:rsid w:val="00DC108D"/>
    <w:rsid w:val="00DC1A68"/>
    <w:rsid w:val="00DC1F58"/>
    <w:rsid w:val="00DC339B"/>
    <w:rsid w:val="00DC5D40"/>
    <w:rsid w:val="00DC647B"/>
    <w:rsid w:val="00DC69A7"/>
    <w:rsid w:val="00DC7B65"/>
    <w:rsid w:val="00DD0CC8"/>
    <w:rsid w:val="00DD30E9"/>
    <w:rsid w:val="00DD3554"/>
    <w:rsid w:val="00DD3E7B"/>
    <w:rsid w:val="00DD432E"/>
    <w:rsid w:val="00DD4E21"/>
    <w:rsid w:val="00DD4F47"/>
    <w:rsid w:val="00DD6D7F"/>
    <w:rsid w:val="00DD7BBE"/>
    <w:rsid w:val="00DD7F8B"/>
    <w:rsid w:val="00DD7FBB"/>
    <w:rsid w:val="00DE00B1"/>
    <w:rsid w:val="00DE0B9F"/>
    <w:rsid w:val="00DE2A9E"/>
    <w:rsid w:val="00DE2C68"/>
    <w:rsid w:val="00DE3FA5"/>
    <w:rsid w:val="00DE4238"/>
    <w:rsid w:val="00DE4723"/>
    <w:rsid w:val="00DE5000"/>
    <w:rsid w:val="00DE50E1"/>
    <w:rsid w:val="00DE657F"/>
    <w:rsid w:val="00DE6ACB"/>
    <w:rsid w:val="00DE70E1"/>
    <w:rsid w:val="00DF073C"/>
    <w:rsid w:val="00DF1218"/>
    <w:rsid w:val="00DF183F"/>
    <w:rsid w:val="00DF2374"/>
    <w:rsid w:val="00DF3BE8"/>
    <w:rsid w:val="00DF421B"/>
    <w:rsid w:val="00DF5AAA"/>
    <w:rsid w:val="00DF6462"/>
    <w:rsid w:val="00DF6513"/>
    <w:rsid w:val="00E00027"/>
    <w:rsid w:val="00E00FD0"/>
    <w:rsid w:val="00E011C5"/>
    <w:rsid w:val="00E01B27"/>
    <w:rsid w:val="00E02E45"/>
    <w:rsid w:val="00E02FA0"/>
    <w:rsid w:val="00E036DC"/>
    <w:rsid w:val="00E03E50"/>
    <w:rsid w:val="00E06BF4"/>
    <w:rsid w:val="00E079C4"/>
    <w:rsid w:val="00E10454"/>
    <w:rsid w:val="00E10469"/>
    <w:rsid w:val="00E109BD"/>
    <w:rsid w:val="00E112E5"/>
    <w:rsid w:val="00E1134E"/>
    <w:rsid w:val="00E122D8"/>
    <w:rsid w:val="00E12CC8"/>
    <w:rsid w:val="00E1502D"/>
    <w:rsid w:val="00E15352"/>
    <w:rsid w:val="00E16810"/>
    <w:rsid w:val="00E206C8"/>
    <w:rsid w:val="00E21CC7"/>
    <w:rsid w:val="00E23567"/>
    <w:rsid w:val="00E24D9E"/>
    <w:rsid w:val="00E25849"/>
    <w:rsid w:val="00E270DE"/>
    <w:rsid w:val="00E27E40"/>
    <w:rsid w:val="00E30D71"/>
    <w:rsid w:val="00E313DB"/>
    <w:rsid w:val="00E31880"/>
    <w:rsid w:val="00E3197E"/>
    <w:rsid w:val="00E32A68"/>
    <w:rsid w:val="00E332D7"/>
    <w:rsid w:val="00E33FF6"/>
    <w:rsid w:val="00E341B9"/>
    <w:rsid w:val="00E342F8"/>
    <w:rsid w:val="00E351ED"/>
    <w:rsid w:val="00E3580D"/>
    <w:rsid w:val="00E36797"/>
    <w:rsid w:val="00E42441"/>
    <w:rsid w:val="00E4314B"/>
    <w:rsid w:val="00E43CED"/>
    <w:rsid w:val="00E44196"/>
    <w:rsid w:val="00E47895"/>
    <w:rsid w:val="00E53FFF"/>
    <w:rsid w:val="00E541A7"/>
    <w:rsid w:val="00E56671"/>
    <w:rsid w:val="00E576D1"/>
    <w:rsid w:val="00E6034B"/>
    <w:rsid w:val="00E62B66"/>
    <w:rsid w:val="00E6549E"/>
    <w:rsid w:val="00E6572D"/>
    <w:rsid w:val="00E65EDE"/>
    <w:rsid w:val="00E70F81"/>
    <w:rsid w:val="00E710AE"/>
    <w:rsid w:val="00E718DA"/>
    <w:rsid w:val="00E75C33"/>
    <w:rsid w:val="00E76D79"/>
    <w:rsid w:val="00E77055"/>
    <w:rsid w:val="00E772C2"/>
    <w:rsid w:val="00E77460"/>
    <w:rsid w:val="00E8045C"/>
    <w:rsid w:val="00E81DD2"/>
    <w:rsid w:val="00E82F5C"/>
    <w:rsid w:val="00E833F6"/>
    <w:rsid w:val="00E83ABC"/>
    <w:rsid w:val="00E844F2"/>
    <w:rsid w:val="00E848EF"/>
    <w:rsid w:val="00E8745F"/>
    <w:rsid w:val="00E87633"/>
    <w:rsid w:val="00E876C5"/>
    <w:rsid w:val="00E90AD0"/>
    <w:rsid w:val="00E92FCB"/>
    <w:rsid w:val="00E93650"/>
    <w:rsid w:val="00E9553F"/>
    <w:rsid w:val="00E96620"/>
    <w:rsid w:val="00EA031E"/>
    <w:rsid w:val="00EA142E"/>
    <w:rsid w:val="00EA147F"/>
    <w:rsid w:val="00EA2473"/>
    <w:rsid w:val="00EA48A6"/>
    <w:rsid w:val="00EA4A27"/>
    <w:rsid w:val="00EA4FA6"/>
    <w:rsid w:val="00EA602D"/>
    <w:rsid w:val="00EA6690"/>
    <w:rsid w:val="00EA7540"/>
    <w:rsid w:val="00EA7CDF"/>
    <w:rsid w:val="00EB1A25"/>
    <w:rsid w:val="00EB3668"/>
    <w:rsid w:val="00EB5CF7"/>
    <w:rsid w:val="00EB5FDA"/>
    <w:rsid w:val="00EC0566"/>
    <w:rsid w:val="00EC412A"/>
    <w:rsid w:val="00EC5439"/>
    <w:rsid w:val="00EC5E25"/>
    <w:rsid w:val="00EC71CD"/>
    <w:rsid w:val="00EC7363"/>
    <w:rsid w:val="00ED00DF"/>
    <w:rsid w:val="00ED022D"/>
    <w:rsid w:val="00ED03AB"/>
    <w:rsid w:val="00ED1021"/>
    <w:rsid w:val="00ED17D7"/>
    <w:rsid w:val="00ED1963"/>
    <w:rsid w:val="00ED1CD4"/>
    <w:rsid w:val="00ED1D2B"/>
    <w:rsid w:val="00ED268F"/>
    <w:rsid w:val="00ED4AE8"/>
    <w:rsid w:val="00ED64B5"/>
    <w:rsid w:val="00ED7E6E"/>
    <w:rsid w:val="00ED7F93"/>
    <w:rsid w:val="00EE13C0"/>
    <w:rsid w:val="00EE1F96"/>
    <w:rsid w:val="00EE4586"/>
    <w:rsid w:val="00EE61B3"/>
    <w:rsid w:val="00EE6ADA"/>
    <w:rsid w:val="00EE6D2E"/>
    <w:rsid w:val="00EE7CCA"/>
    <w:rsid w:val="00EF021F"/>
    <w:rsid w:val="00EF2570"/>
    <w:rsid w:val="00EF2D4E"/>
    <w:rsid w:val="00EF2F32"/>
    <w:rsid w:val="00EF3042"/>
    <w:rsid w:val="00EF43F0"/>
    <w:rsid w:val="00EF451B"/>
    <w:rsid w:val="00EF4EE0"/>
    <w:rsid w:val="00EF4F10"/>
    <w:rsid w:val="00EF5206"/>
    <w:rsid w:val="00EF6AF8"/>
    <w:rsid w:val="00F048E3"/>
    <w:rsid w:val="00F05906"/>
    <w:rsid w:val="00F11B43"/>
    <w:rsid w:val="00F123B4"/>
    <w:rsid w:val="00F1612C"/>
    <w:rsid w:val="00F16752"/>
    <w:rsid w:val="00F16860"/>
    <w:rsid w:val="00F16A14"/>
    <w:rsid w:val="00F205F8"/>
    <w:rsid w:val="00F20BDC"/>
    <w:rsid w:val="00F21066"/>
    <w:rsid w:val="00F217E4"/>
    <w:rsid w:val="00F21C84"/>
    <w:rsid w:val="00F230D3"/>
    <w:rsid w:val="00F24372"/>
    <w:rsid w:val="00F24F2D"/>
    <w:rsid w:val="00F27209"/>
    <w:rsid w:val="00F27804"/>
    <w:rsid w:val="00F27900"/>
    <w:rsid w:val="00F31305"/>
    <w:rsid w:val="00F316B6"/>
    <w:rsid w:val="00F31B06"/>
    <w:rsid w:val="00F324DD"/>
    <w:rsid w:val="00F33E3F"/>
    <w:rsid w:val="00F33FF8"/>
    <w:rsid w:val="00F34333"/>
    <w:rsid w:val="00F362D7"/>
    <w:rsid w:val="00F36DC0"/>
    <w:rsid w:val="00F37024"/>
    <w:rsid w:val="00F37D7B"/>
    <w:rsid w:val="00F40D0C"/>
    <w:rsid w:val="00F4139F"/>
    <w:rsid w:val="00F4159D"/>
    <w:rsid w:val="00F425A3"/>
    <w:rsid w:val="00F47305"/>
    <w:rsid w:val="00F5223A"/>
    <w:rsid w:val="00F527A4"/>
    <w:rsid w:val="00F52C87"/>
    <w:rsid w:val="00F5314C"/>
    <w:rsid w:val="00F53E9A"/>
    <w:rsid w:val="00F55D61"/>
    <w:rsid w:val="00F5688C"/>
    <w:rsid w:val="00F56F7F"/>
    <w:rsid w:val="00F60048"/>
    <w:rsid w:val="00F60DD3"/>
    <w:rsid w:val="00F61A1F"/>
    <w:rsid w:val="00F635DD"/>
    <w:rsid w:val="00F6477F"/>
    <w:rsid w:val="00F647D5"/>
    <w:rsid w:val="00F65071"/>
    <w:rsid w:val="00F65269"/>
    <w:rsid w:val="00F6627B"/>
    <w:rsid w:val="00F665DE"/>
    <w:rsid w:val="00F7336E"/>
    <w:rsid w:val="00F734F2"/>
    <w:rsid w:val="00F7383A"/>
    <w:rsid w:val="00F7422B"/>
    <w:rsid w:val="00F74ADD"/>
    <w:rsid w:val="00F75052"/>
    <w:rsid w:val="00F804D3"/>
    <w:rsid w:val="00F81284"/>
    <w:rsid w:val="00F816CB"/>
    <w:rsid w:val="00F8185D"/>
    <w:rsid w:val="00F81CD2"/>
    <w:rsid w:val="00F8214D"/>
    <w:rsid w:val="00F82641"/>
    <w:rsid w:val="00F90F18"/>
    <w:rsid w:val="00F91333"/>
    <w:rsid w:val="00F9158A"/>
    <w:rsid w:val="00F91D92"/>
    <w:rsid w:val="00F92875"/>
    <w:rsid w:val="00F937E4"/>
    <w:rsid w:val="00F93DC9"/>
    <w:rsid w:val="00F9453F"/>
    <w:rsid w:val="00F94A83"/>
    <w:rsid w:val="00F94F10"/>
    <w:rsid w:val="00F95EE7"/>
    <w:rsid w:val="00F965D6"/>
    <w:rsid w:val="00F966CD"/>
    <w:rsid w:val="00FA1061"/>
    <w:rsid w:val="00FA279B"/>
    <w:rsid w:val="00FA39E6"/>
    <w:rsid w:val="00FA3F8C"/>
    <w:rsid w:val="00FA52AD"/>
    <w:rsid w:val="00FA70D5"/>
    <w:rsid w:val="00FA7BC9"/>
    <w:rsid w:val="00FB018F"/>
    <w:rsid w:val="00FB046E"/>
    <w:rsid w:val="00FB166E"/>
    <w:rsid w:val="00FB32C2"/>
    <w:rsid w:val="00FB378E"/>
    <w:rsid w:val="00FB37F1"/>
    <w:rsid w:val="00FB4271"/>
    <w:rsid w:val="00FB47C0"/>
    <w:rsid w:val="00FB4D90"/>
    <w:rsid w:val="00FB501B"/>
    <w:rsid w:val="00FB518F"/>
    <w:rsid w:val="00FB5A15"/>
    <w:rsid w:val="00FB7770"/>
    <w:rsid w:val="00FB7AFD"/>
    <w:rsid w:val="00FB7D8B"/>
    <w:rsid w:val="00FC01A6"/>
    <w:rsid w:val="00FC2B52"/>
    <w:rsid w:val="00FC3845"/>
    <w:rsid w:val="00FC3D98"/>
    <w:rsid w:val="00FC4456"/>
    <w:rsid w:val="00FC4960"/>
    <w:rsid w:val="00FC71BD"/>
    <w:rsid w:val="00FD1408"/>
    <w:rsid w:val="00FD1EC6"/>
    <w:rsid w:val="00FD35C0"/>
    <w:rsid w:val="00FD3B91"/>
    <w:rsid w:val="00FD4E21"/>
    <w:rsid w:val="00FD576B"/>
    <w:rsid w:val="00FD579E"/>
    <w:rsid w:val="00FD66A8"/>
    <w:rsid w:val="00FD6845"/>
    <w:rsid w:val="00FD7F47"/>
    <w:rsid w:val="00FE11A9"/>
    <w:rsid w:val="00FE4516"/>
    <w:rsid w:val="00FE5D46"/>
    <w:rsid w:val="00FE63FF"/>
    <w:rsid w:val="00FE64C8"/>
    <w:rsid w:val="00FE6929"/>
    <w:rsid w:val="00FE6BF6"/>
    <w:rsid w:val="00FF1495"/>
    <w:rsid w:val="00FF3FE4"/>
    <w:rsid w:val="00FF6D45"/>
    <w:rsid w:val="00FF7C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9BC170D"/>
  <w15:docId w15:val="{E1B55203-E0C9-4E48-8741-EF74CBE9B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141917"/>
    <w:pPr>
      <w:widowControl w:val="0"/>
      <w:overflowPunct w:val="0"/>
      <w:autoSpaceDE w:val="0"/>
      <w:autoSpaceDN w:val="0"/>
      <w:jc w:val="both"/>
    </w:pPr>
    <w:rPr>
      <w:rFonts w:ascii="標楷體" w:eastAsia="標楷體"/>
      <w:kern w:val="2"/>
      <w:sz w:val="32"/>
    </w:rPr>
  </w:style>
  <w:style w:type="paragraph" w:styleId="1">
    <w:name w:val="heading 1"/>
    <w:aliases w:val="題號1,壹,標題 1章名,章,章名,標題 1附件"/>
    <w:basedOn w:val="a6"/>
    <w:qFormat/>
    <w:rsid w:val="005E509C"/>
    <w:pPr>
      <w:numPr>
        <w:numId w:val="6"/>
      </w:numPr>
      <w:outlineLvl w:val="0"/>
    </w:pPr>
    <w:rPr>
      <w:rFonts w:hAnsi="Arial"/>
      <w:bCs/>
      <w:kern w:val="32"/>
      <w:szCs w:val="52"/>
    </w:rPr>
  </w:style>
  <w:style w:type="paragraph" w:styleId="2">
    <w:name w:val="heading 2"/>
    <w:aliases w:val="標題110/111,節,節1,標題110/111 + 內文,標題 2節名,標題110/111 字元,一."/>
    <w:basedOn w:val="a6"/>
    <w:link w:val="20"/>
    <w:qFormat/>
    <w:rsid w:val="004F5E57"/>
    <w:pPr>
      <w:numPr>
        <w:ilvl w:val="1"/>
        <w:numId w:val="6"/>
      </w:numPr>
      <w:outlineLvl w:val="1"/>
    </w:pPr>
    <w:rPr>
      <w:rFonts w:hAnsi="Arial"/>
      <w:bCs/>
      <w:kern w:val="32"/>
      <w:szCs w:val="48"/>
    </w:rPr>
  </w:style>
  <w:style w:type="paragraph" w:styleId="3">
    <w:name w:val="heading 3"/>
    <w:aliases w:val="小節標題,sub pro,--1.1.1.,1.1.1,標題 3 字元 字元,標題 3(非粗體)"/>
    <w:basedOn w:val="a6"/>
    <w:link w:val="30"/>
    <w:qFormat/>
    <w:rsid w:val="004F5E57"/>
    <w:pPr>
      <w:numPr>
        <w:ilvl w:val="2"/>
        <w:numId w:val="6"/>
      </w:numPr>
      <w:outlineLvl w:val="2"/>
    </w:pPr>
    <w:rPr>
      <w:rFonts w:hAnsi="Arial"/>
      <w:bCs/>
      <w:kern w:val="32"/>
      <w:szCs w:val="36"/>
    </w:rPr>
  </w:style>
  <w:style w:type="paragraph" w:styleId="4">
    <w:name w:val="heading 4"/>
    <w:aliases w:val="表格,一,一、,H4,--1.,--1,1.1.1.1,1.,標題 4(粗體)"/>
    <w:basedOn w:val="a6"/>
    <w:link w:val="40"/>
    <w:qFormat/>
    <w:rsid w:val="004F5E57"/>
    <w:pPr>
      <w:numPr>
        <w:ilvl w:val="3"/>
        <w:numId w:val="6"/>
      </w:numPr>
      <w:outlineLvl w:val="3"/>
    </w:pPr>
    <w:rPr>
      <w:rFonts w:hAnsi="Arial"/>
      <w:kern w:val="32"/>
      <w:szCs w:val="36"/>
    </w:rPr>
  </w:style>
  <w:style w:type="paragraph" w:styleId="5">
    <w:name w:val="heading 5"/>
    <w:aliases w:val="(一),（一）標題 5,--(1)1,--(1),COA標題 5,A.,H5,12345,h5,l5,hm,[ (1). ],Level 3 - i,標題 5(粗體)"/>
    <w:basedOn w:val="a6"/>
    <w:link w:val="50"/>
    <w:qFormat/>
    <w:rsid w:val="004F5E57"/>
    <w:pPr>
      <w:numPr>
        <w:ilvl w:val="4"/>
        <w:numId w:val="6"/>
      </w:numPr>
      <w:outlineLvl w:val="4"/>
    </w:pPr>
    <w:rPr>
      <w:rFonts w:hAnsi="Arial"/>
      <w:bCs/>
      <w:kern w:val="32"/>
      <w:szCs w:val="36"/>
    </w:rPr>
  </w:style>
  <w:style w:type="paragraph" w:styleId="6">
    <w:name w:val="heading 6"/>
    <w:aliases w:val="1,參考文獻,ref-items,A,--A,ISO標題 6,標題 6 參考文獻,標題 6 標題 6"/>
    <w:basedOn w:val="a6"/>
    <w:link w:val="60"/>
    <w:qFormat/>
    <w:rsid w:val="004F5E57"/>
    <w:pPr>
      <w:numPr>
        <w:ilvl w:val="5"/>
        <w:numId w:val="6"/>
      </w:numPr>
      <w:tabs>
        <w:tab w:val="left" w:pos="2094"/>
      </w:tabs>
      <w:outlineLvl w:val="5"/>
    </w:pPr>
    <w:rPr>
      <w:rFonts w:hAnsi="Arial"/>
      <w:kern w:val="32"/>
      <w:szCs w:val="36"/>
    </w:rPr>
  </w:style>
  <w:style w:type="paragraph" w:styleId="7">
    <w:name w:val="heading 7"/>
    <w:aliases w:val="(1),(A),--(a),--a,標題 7-(a),標題 7 標題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rsid w:val="003E4F75"/>
    <w:pPr>
      <w:snapToGrid w:val="0"/>
      <w:spacing w:before="480" w:after="720"/>
      <w:ind w:left="4423"/>
    </w:pPr>
    <w:rPr>
      <w:b/>
      <w:snapToGrid w:val="0"/>
      <w:spacing w:val="12"/>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link w:val="22"/>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F33E3F"/>
    <w:pPr>
      <w:tabs>
        <w:tab w:val="left" w:pos="1361"/>
        <w:tab w:val="right" w:leader="hyphen" w:pos="8834"/>
      </w:tabs>
      <w:kinsoku w:val="0"/>
      <w:ind w:left="1361" w:rightChars="100" w:right="340" w:hangingChars="400" w:hanging="1361"/>
    </w:pPr>
    <w:rPr>
      <w:noProof/>
      <w:color w:val="000000" w:themeColor="text1"/>
      <w:szCs w:val="32"/>
    </w:rPr>
  </w:style>
  <w:style w:type="paragraph" w:styleId="23">
    <w:name w:val="toc 2"/>
    <w:basedOn w:val="a6"/>
    <w:next w:val="a6"/>
    <w:autoRedefine/>
    <w:uiPriority w:val="39"/>
    <w:rsid w:val="00803F1D"/>
    <w:pPr>
      <w:tabs>
        <w:tab w:val="right" w:leader="hyphen" w:pos="8834"/>
      </w:tabs>
      <w:kinsoku w:val="0"/>
      <w:ind w:leftChars="100" w:left="1360" w:rightChars="100" w:right="340" w:hangingChars="300" w:hanging="1020"/>
    </w:pPr>
    <w:rPr>
      <w:noProof/>
      <w:color w:val="000000" w:themeColor="text1"/>
      <w14:scene3d>
        <w14:camera w14:prst="orthographicFront"/>
        <w14:lightRig w14:rig="threePt" w14:dir="t">
          <w14:rot w14:lat="0" w14:lon="0" w14:rev="0"/>
        </w14:lightRig>
      </w14:scene3d>
    </w:rPr>
  </w:style>
  <w:style w:type="paragraph" w:styleId="31">
    <w:name w:val="toc 3"/>
    <w:basedOn w:val="a6"/>
    <w:next w:val="a6"/>
    <w:autoRedefine/>
    <w:uiPriority w:val="39"/>
    <w:rsid w:val="00CB1902"/>
    <w:pPr>
      <w:tabs>
        <w:tab w:val="right" w:leader="hyphen" w:pos="8834"/>
      </w:tabs>
      <w:kinsoku w:val="0"/>
      <w:ind w:left="1361" w:rightChars="100" w:right="340" w:hangingChars="400" w:hanging="1361"/>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9D26EF"/>
    <w:pPr>
      <w:adjustRightInd w:val="0"/>
      <w:spacing w:before="0"/>
      <w:ind w:left="0" w:firstLine="0"/>
      <w:jc w:val="center"/>
    </w:pPr>
    <w:rPr>
      <w:b/>
      <w:snapToGrid/>
      <w:spacing w:val="20"/>
      <w:kern w:val="0"/>
      <w:sz w:val="36"/>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outlineLvl w:val="0"/>
    </w:pPr>
    <w:rPr>
      <w:kern w:val="32"/>
    </w:rPr>
  </w:style>
  <w:style w:type="paragraph" w:styleId="af8">
    <w:name w:val="List Paragraph"/>
    <w:aliases w:val="List Paragraph1,Recommendation,4 Párrafo de lista,Figuras,Dot pt,List Paragraph Char Char Char,Indicator Text,Numbered Para 1,DH1,1.1.1.1²M³æ¬q¸¨,¦CÂI,(¤G),12 20,¼ÐÃD(¤@),¼ÐÃD¤@,Footnote Sam,List Paragraph (numbered (a)),Te,說明內容(一),內文(一)"/>
    <w:basedOn w:val="a6"/>
    <w:link w:val="af9"/>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2">
    <w:name w:val="段落樣式2 字元"/>
    <w:link w:val="21"/>
    <w:rsid w:val="003141FE"/>
    <w:rPr>
      <w:rFonts w:ascii="標楷體" w:eastAsia="標楷體"/>
      <w:kern w:val="32"/>
      <w:sz w:val="32"/>
    </w:rPr>
  </w:style>
  <w:style w:type="paragraph" w:styleId="afc">
    <w:name w:val="footnote text"/>
    <w:basedOn w:val="a6"/>
    <w:link w:val="afd"/>
    <w:uiPriority w:val="99"/>
    <w:unhideWhenUsed/>
    <w:rsid w:val="002A1F16"/>
    <w:pPr>
      <w:snapToGrid w:val="0"/>
      <w:jc w:val="left"/>
    </w:pPr>
    <w:rPr>
      <w:sz w:val="20"/>
    </w:rPr>
  </w:style>
  <w:style w:type="character" w:customStyle="1" w:styleId="afd">
    <w:name w:val="註腳文字 字元"/>
    <w:basedOn w:val="a7"/>
    <w:link w:val="afc"/>
    <w:uiPriority w:val="99"/>
    <w:rsid w:val="002A1F16"/>
    <w:rPr>
      <w:rFonts w:ascii="標楷體" w:eastAsia="標楷體"/>
      <w:kern w:val="2"/>
    </w:rPr>
  </w:style>
  <w:style w:type="character" w:styleId="afe">
    <w:name w:val="footnote reference"/>
    <w:basedOn w:val="a7"/>
    <w:uiPriority w:val="99"/>
    <w:semiHidden/>
    <w:unhideWhenUsed/>
    <w:rsid w:val="002A1F16"/>
    <w:rPr>
      <w:vertAlign w:val="superscript"/>
    </w:rPr>
  </w:style>
  <w:style w:type="character" w:styleId="aff">
    <w:name w:val="annotation reference"/>
    <w:basedOn w:val="a7"/>
    <w:uiPriority w:val="99"/>
    <w:semiHidden/>
    <w:unhideWhenUsed/>
    <w:rsid w:val="005C5E3C"/>
    <w:rPr>
      <w:sz w:val="18"/>
      <w:szCs w:val="18"/>
    </w:rPr>
  </w:style>
  <w:style w:type="paragraph" w:styleId="aff0">
    <w:name w:val="annotation text"/>
    <w:basedOn w:val="a6"/>
    <w:link w:val="aff1"/>
    <w:uiPriority w:val="99"/>
    <w:semiHidden/>
    <w:unhideWhenUsed/>
    <w:rsid w:val="005C5E3C"/>
    <w:pPr>
      <w:jc w:val="left"/>
    </w:pPr>
  </w:style>
  <w:style w:type="character" w:customStyle="1" w:styleId="aff1">
    <w:name w:val="註解文字 字元"/>
    <w:basedOn w:val="a7"/>
    <w:link w:val="aff0"/>
    <w:uiPriority w:val="99"/>
    <w:semiHidden/>
    <w:rsid w:val="005C5E3C"/>
    <w:rPr>
      <w:rFonts w:ascii="標楷體" w:eastAsia="標楷體"/>
      <w:kern w:val="2"/>
      <w:sz w:val="32"/>
    </w:rPr>
  </w:style>
  <w:style w:type="paragraph" w:styleId="aff2">
    <w:name w:val="annotation subject"/>
    <w:basedOn w:val="aff0"/>
    <w:next w:val="aff0"/>
    <w:link w:val="aff3"/>
    <w:uiPriority w:val="99"/>
    <w:semiHidden/>
    <w:unhideWhenUsed/>
    <w:rsid w:val="005C5E3C"/>
    <w:rPr>
      <w:b/>
      <w:bCs/>
    </w:rPr>
  </w:style>
  <w:style w:type="character" w:customStyle="1" w:styleId="aff3">
    <w:name w:val="註解主旨 字元"/>
    <w:basedOn w:val="aff1"/>
    <w:link w:val="aff2"/>
    <w:uiPriority w:val="99"/>
    <w:semiHidden/>
    <w:rsid w:val="005C5E3C"/>
    <w:rPr>
      <w:rFonts w:ascii="標楷體" w:eastAsia="標楷體"/>
      <w:b/>
      <w:bCs/>
      <w:kern w:val="2"/>
      <w:sz w:val="32"/>
    </w:rPr>
  </w:style>
  <w:style w:type="character" w:styleId="aff4">
    <w:name w:val="Placeholder Text"/>
    <w:basedOn w:val="a7"/>
    <w:uiPriority w:val="99"/>
    <w:semiHidden/>
    <w:rsid w:val="004D4387"/>
    <w:rPr>
      <w:color w:val="808080"/>
    </w:rPr>
  </w:style>
  <w:style w:type="paragraph" w:customStyle="1" w:styleId="Default">
    <w:name w:val="Default"/>
    <w:rsid w:val="007768FF"/>
    <w:pPr>
      <w:widowControl w:val="0"/>
      <w:autoSpaceDE w:val="0"/>
      <w:autoSpaceDN w:val="0"/>
      <w:adjustRightInd w:val="0"/>
    </w:pPr>
    <w:rPr>
      <w:rFonts w:ascii="標楷體" w:eastAsia="標楷體" w:cs="標楷體"/>
      <w:color w:val="000000"/>
      <w:sz w:val="24"/>
      <w:szCs w:val="24"/>
    </w:rPr>
  </w:style>
  <w:style w:type="paragraph" w:styleId="aff5">
    <w:name w:val="Body Text"/>
    <w:basedOn w:val="a6"/>
    <w:link w:val="aff6"/>
    <w:uiPriority w:val="99"/>
    <w:semiHidden/>
    <w:unhideWhenUsed/>
    <w:rsid w:val="00026D6D"/>
    <w:pPr>
      <w:spacing w:after="120"/>
    </w:pPr>
  </w:style>
  <w:style w:type="character" w:customStyle="1" w:styleId="aff6">
    <w:name w:val="本文 字元"/>
    <w:basedOn w:val="a7"/>
    <w:link w:val="aff5"/>
    <w:uiPriority w:val="99"/>
    <w:semiHidden/>
    <w:rsid w:val="00026D6D"/>
    <w:rPr>
      <w:rFonts w:ascii="標楷體" w:eastAsia="標楷體"/>
      <w:kern w:val="2"/>
      <w:sz w:val="32"/>
    </w:rPr>
  </w:style>
  <w:style w:type="character" w:styleId="aff7">
    <w:name w:val="Unresolved Mention"/>
    <w:basedOn w:val="a7"/>
    <w:uiPriority w:val="99"/>
    <w:semiHidden/>
    <w:unhideWhenUsed/>
    <w:rsid w:val="00DB6209"/>
    <w:rPr>
      <w:color w:val="605E5C"/>
      <w:shd w:val="clear" w:color="auto" w:fill="E1DFDD"/>
    </w:rPr>
  </w:style>
  <w:style w:type="character" w:customStyle="1" w:styleId="20">
    <w:name w:val="標題 2 字元"/>
    <w:aliases w:val="標題110/111 字元1,節 字元,節1 字元,標題110/111 + 內文 字元,標題 2節名 字元,標題110/111 字元 字元,一. 字元"/>
    <w:basedOn w:val="a7"/>
    <w:link w:val="2"/>
    <w:rsid w:val="00B41A68"/>
    <w:rPr>
      <w:rFonts w:ascii="標楷體" w:eastAsia="標楷體" w:hAnsi="Arial"/>
      <w:bCs/>
      <w:kern w:val="32"/>
      <w:sz w:val="32"/>
      <w:szCs w:val="48"/>
    </w:rPr>
  </w:style>
  <w:style w:type="character" w:customStyle="1" w:styleId="30">
    <w:name w:val="標題 3 字元"/>
    <w:aliases w:val="小節標題 字元,sub pro 字元,--1.1.1. 字元,1.1.1 字元,標題 3 字元 字元 字元,標題 3(非粗體) 字元"/>
    <w:basedOn w:val="a7"/>
    <w:link w:val="3"/>
    <w:rsid w:val="00B41A68"/>
    <w:rPr>
      <w:rFonts w:ascii="標楷體" w:eastAsia="標楷體" w:hAnsi="Arial"/>
      <w:bCs/>
      <w:kern w:val="32"/>
      <w:sz w:val="32"/>
      <w:szCs w:val="36"/>
    </w:rPr>
  </w:style>
  <w:style w:type="character" w:customStyle="1" w:styleId="40">
    <w:name w:val="標題 4 字元"/>
    <w:aliases w:val="表格 字元,一 字元,一、 字元,H4 字元,--1. 字元,--1 字元,1.1.1.1 字元,1. 字元,標題 4(粗體) 字元"/>
    <w:basedOn w:val="a7"/>
    <w:link w:val="4"/>
    <w:rsid w:val="00B41A68"/>
    <w:rPr>
      <w:rFonts w:ascii="標楷體" w:eastAsia="標楷體" w:hAnsi="Arial"/>
      <w:kern w:val="32"/>
      <w:sz w:val="32"/>
      <w:szCs w:val="36"/>
    </w:rPr>
  </w:style>
  <w:style w:type="character" w:customStyle="1" w:styleId="50">
    <w:name w:val="標題 5 字元"/>
    <w:aliases w:val="(一) 字元,（一）標題 5 字元,--(1)1 字元,--(1) 字元,COA標題 5 字元,A. 字元,H5 字元,12345 字元,h5 字元,l5 字元,hm 字元,[ (1). ] 字元,Level 3 - i 字元,標題 5(粗體) 字元"/>
    <w:basedOn w:val="a7"/>
    <w:link w:val="5"/>
    <w:rsid w:val="00B41A68"/>
    <w:rPr>
      <w:rFonts w:ascii="標楷體" w:eastAsia="標楷體" w:hAnsi="Arial"/>
      <w:bCs/>
      <w:kern w:val="32"/>
      <w:sz w:val="32"/>
      <w:szCs w:val="36"/>
    </w:rPr>
  </w:style>
  <w:style w:type="character" w:customStyle="1" w:styleId="60">
    <w:name w:val="標題 6 字元"/>
    <w:aliases w:val="1 字元,參考文獻 字元,ref-items 字元,A 字元,--A 字元,ISO標題 6 字元,標題 6 參考文獻 字元,標題 6 標題 6 字元"/>
    <w:basedOn w:val="a7"/>
    <w:link w:val="6"/>
    <w:rsid w:val="00B41A68"/>
    <w:rPr>
      <w:rFonts w:ascii="標楷體" w:eastAsia="標楷體" w:hAnsi="Arial"/>
      <w:kern w:val="32"/>
      <w:sz w:val="32"/>
      <w:szCs w:val="36"/>
    </w:rPr>
  </w:style>
  <w:style w:type="paragraph" w:styleId="aff8">
    <w:name w:val="TOC Heading"/>
    <w:basedOn w:val="1"/>
    <w:next w:val="a6"/>
    <w:uiPriority w:val="39"/>
    <w:unhideWhenUsed/>
    <w:qFormat/>
    <w:rsid w:val="005B522A"/>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table" w:customStyle="1" w:styleId="13">
    <w:name w:val="表格格線1"/>
    <w:basedOn w:val="a8"/>
    <w:next w:val="af7"/>
    <w:uiPriority w:val="59"/>
    <w:rsid w:val="003B1AA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9">
    <w:name w:val="清單段落 字元"/>
    <w:aliases w:val="List Paragraph1 字元,Recommendation 字元,4 Párrafo de lista 字元,Figuras 字元,Dot pt 字元,List Paragraph Char Char Char 字元,Indicator Text 字元,Numbered Para 1 字元,DH1 字元,1.1.1.1²M³æ¬q¸¨ 字元,¦CÂI 字元,(¤G) 字元,12 20 字元,¼ÐÃD(¤@) 字元,¼ÐÃD¤@ 字元,Footnote Sam 字元,Te 字元"/>
    <w:link w:val="af8"/>
    <w:uiPriority w:val="34"/>
    <w:qFormat/>
    <w:rsid w:val="00B11C91"/>
    <w:rPr>
      <w:rFonts w:ascii="標楷體" w:eastAsia="標楷體"/>
      <w:kern w:val="2"/>
      <w:sz w:val="32"/>
    </w:rPr>
  </w:style>
  <w:style w:type="character" w:styleId="aff9">
    <w:name w:val="endnote reference"/>
    <w:basedOn w:val="a7"/>
    <w:uiPriority w:val="99"/>
    <w:semiHidden/>
    <w:unhideWhenUsed/>
    <w:rsid w:val="00B11C91"/>
    <w:rPr>
      <w:vertAlign w:val="superscript"/>
    </w:rPr>
  </w:style>
  <w:style w:type="character" w:styleId="affa">
    <w:name w:val="FollowedHyperlink"/>
    <w:basedOn w:val="a7"/>
    <w:uiPriority w:val="99"/>
    <w:semiHidden/>
    <w:unhideWhenUsed/>
    <w:rsid w:val="006F273F"/>
    <w:rPr>
      <w:color w:val="800080" w:themeColor="followedHyperlink"/>
      <w:u w:val="single"/>
    </w:rPr>
  </w:style>
  <w:style w:type="paragraph" w:styleId="affb">
    <w:name w:val="Revision"/>
    <w:hidden/>
    <w:uiPriority w:val="99"/>
    <w:semiHidden/>
    <w:rsid w:val="003977B9"/>
    <w:rPr>
      <w:rFonts w:ascii="標楷體" w:eastAsia="標楷體"/>
      <w:kern w:val="2"/>
      <w:sz w:val="32"/>
    </w:rPr>
  </w:style>
  <w:style w:type="character" w:customStyle="1" w:styleId="af4">
    <w:name w:val="頁尾 字元"/>
    <w:basedOn w:val="a7"/>
    <w:link w:val="af3"/>
    <w:uiPriority w:val="99"/>
    <w:rsid w:val="005A5165"/>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951518">
      <w:bodyDiv w:val="1"/>
      <w:marLeft w:val="0"/>
      <w:marRight w:val="0"/>
      <w:marTop w:val="0"/>
      <w:marBottom w:val="0"/>
      <w:divBdr>
        <w:top w:val="none" w:sz="0" w:space="0" w:color="auto"/>
        <w:left w:val="none" w:sz="0" w:space="0" w:color="auto"/>
        <w:bottom w:val="none" w:sz="0" w:space="0" w:color="auto"/>
        <w:right w:val="none" w:sz="0" w:space="0" w:color="auto"/>
      </w:divBdr>
      <w:divsChild>
        <w:div w:id="36784512">
          <w:marLeft w:val="0"/>
          <w:marRight w:val="0"/>
          <w:marTop w:val="0"/>
          <w:marBottom w:val="48"/>
          <w:divBdr>
            <w:top w:val="none" w:sz="0" w:space="0" w:color="auto"/>
            <w:left w:val="none" w:sz="0" w:space="0" w:color="auto"/>
            <w:bottom w:val="none" w:sz="0" w:space="0" w:color="auto"/>
            <w:right w:val="none" w:sz="0" w:space="0" w:color="auto"/>
          </w:divBdr>
        </w:div>
        <w:div w:id="1480531923">
          <w:marLeft w:val="0"/>
          <w:marRight w:val="0"/>
          <w:marTop w:val="0"/>
          <w:marBottom w:val="48"/>
          <w:divBdr>
            <w:top w:val="none" w:sz="0" w:space="0" w:color="auto"/>
            <w:left w:val="none" w:sz="0" w:space="0" w:color="auto"/>
            <w:bottom w:val="none" w:sz="0" w:space="0" w:color="auto"/>
            <w:right w:val="none" w:sz="0" w:space="0" w:color="auto"/>
          </w:divBdr>
        </w:div>
      </w:divsChild>
    </w:div>
    <w:div w:id="51270180">
      <w:bodyDiv w:val="1"/>
      <w:marLeft w:val="0"/>
      <w:marRight w:val="0"/>
      <w:marTop w:val="0"/>
      <w:marBottom w:val="0"/>
      <w:divBdr>
        <w:top w:val="none" w:sz="0" w:space="0" w:color="auto"/>
        <w:left w:val="none" w:sz="0" w:space="0" w:color="auto"/>
        <w:bottom w:val="none" w:sz="0" w:space="0" w:color="auto"/>
        <w:right w:val="none" w:sz="0" w:space="0" w:color="auto"/>
      </w:divBdr>
    </w:div>
    <w:div w:id="95102340">
      <w:bodyDiv w:val="1"/>
      <w:marLeft w:val="0"/>
      <w:marRight w:val="0"/>
      <w:marTop w:val="0"/>
      <w:marBottom w:val="0"/>
      <w:divBdr>
        <w:top w:val="none" w:sz="0" w:space="0" w:color="auto"/>
        <w:left w:val="none" w:sz="0" w:space="0" w:color="auto"/>
        <w:bottom w:val="none" w:sz="0" w:space="0" w:color="auto"/>
        <w:right w:val="none" w:sz="0" w:space="0" w:color="auto"/>
      </w:divBdr>
    </w:div>
    <w:div w:id="220602650">
      <w:bodyDiv w:val="1"/>
      <w:marLeft w:val="0"/>
      <w:marRight w:val="0"/>
      <w:marTop w:val="0"/>
      <w:marBottom w:val="0"/>
      <w:divBdr>
        <w:top w:val="none" w:sz="0" w:space="0" w:color="auto"/>
        <w:left w:val="none" w:sz="0" w:space="0" w:color="auto"/>
        <w:bottom w:val="none" w:sz="0" w:space="0" w:color="auto"/>
        <w:right w:val="none" w:sz="0" w:space="0" w:color="auto"/>
      </w:divBdr>
    </w:div>
    <w:div w:id="449475950">
      <w:bodyDiv w:val="1"/>
      <w:marLeft w:val="0"/>
      <w:marRight w:val="0"/>
      <w:marTop w:val="0"/>
      <w:marBottom w:val="0"/>
      <w:divBdr>
        <w:top w:val="none" w:sz="0" w:space="0" w:color="auto"/>
        <w:left w:val="none" w:sz="0" w:space="0" w:color="auto"/>
        <w:bottom w:val="none" w:sz="0" w:space="0" w:color="auto"/>
        <w:right w:val="none" w:sz="0" w:space="0" w:color="auto"/>
      </w:divBdr>
    </w:div>
    <w:div w:id="591744194">
      <w:bodyDiv w:val="1"/>
      <w:marLeft w:val="0"/>
      <w:marRight w:val="0"/>
      <w:marTop w:val="0"/>
      <w:marBottom w:val="0"/>
      <w:divBdr>
        <w:top w:val="none" w:sz="0" w:space="0" w:color="auto"/>
        <w:left w:val="none" w:sz="0" w:space="0" w:color="auto"/>
        <w:bottom w:val="none" w:sz="0" w:space="0" w:color="auto"/>
        <w:right w:val="none" w:sz="0" w:space="0" w:color="auto"/>
      </w:divBdr>
    </w:div>
    <w:div w:id="714046651">
      <w:bodyDiv w:val="1"/>
      <w:marLeft w:val="0"/>
      <w:marRight w:val="0"/>
      <w:marTop w:val="0"/>
      <w:marBottom w:val="0"/>
      <w:divBdr>
        <w:top w:val="none" w:sz="0" w:space="0" w:color="auto"/>
        <w:left w:val="none" w:sz="0" w:space="0" w:color="auto"/>
        <w:bottom w:val="none" w:sz="0" w:space="0" w:color="auto"/>
        <w:right w:val="none" w:sz="0" w:space="0" w:color="auto"/>
      </w:divBdr>
    </w:div>
    <w:div w:id="1415128342">
      <w:bodyDiv w:val="1"/>
      <w:marLeft w:val="0"/>
      <w:marRight w:val="0"/>
      <w:marTop w:val="0"/>
      <w:marBottom w:val="0"/>
      <w:divBdr>
        <w:top w:val="none" w:sz="0" w:space="0" w:color="auto"/>
        <w:left w:val="none" w:sz="0" w:space="0" w:color="auto"/>
        <w:bottom w:val="none" w:sz="0" w:space="0" w:color="auto"/>
        <w:right w:val="none" w:sz="0" w:space="0" w:color="auto"/>
      </w:divBdr>
    </w:div>
    <w:div w:id="177570653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6.png"/><Relationship Id="rId26" Type="http://schemas.openxmlformats.org/officeDocument/2006/relationships/hyperlink" Target="https://digital-strategy.ec.europa.eu/en/policies/digital-services-act-package" TargetMode="External"/><Relationship Id="rId3" Type="http://schemas.openxmlformats.org/officeDocument/2006/relationships/styles" Target="styles.xml"/><Relationship Id="rId21" Type="http://schemas.openxmlformats.org/officeDocument/2006/relationships/hyperlink" Target="https://www.rjsd.moj.gov.tw/RJSDWEB/visualize/Visualization.aspx?kind=PC&amp;d=12"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s://www.rjsd.moj.gov.tw/RJSDWEB/visualize/Visualization.aspx?kind=PC&amp;d=12" TargetMode="External"/><Relationship Id="rId25" Type="http://schemas.openxmlformats.org/officeDocument/2006/relationships/hyperlink" Target="https://www.legislation.gov.uk/ukpga/2023/50/enacted"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rjsd.moj.gov.tw/RJSDWEB/visualize/Visualization.aspx?kind=PC&amp;d=12" TargetMode="External"/><Relationship Id="rId20" Type="http://schemas.openxmlformats.org/officeDocument/2006/relationships/hyperlink" Target="https://www.rjsd.moj.gov.tw/RJSDWEB/visualize/Visualization.aspx?kind=PC&amp;d=12" TargetMode="Externa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9.png"/><Relationship Id="rId32" Type="http://schemas.openxmlformats.org/officeDocument/2006/relationships/hyperlink" Target="https://digital-strategy.ec.europa.eu/en/policies/digital-services-act-package"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8.png"/><Relationship Id="rId28" Type="http://schemas.openxmlformats.org/officeDocument/2006/relationships/image" Target="media/image10.png"/><Relationship Id="rId10" Type="http://schemas.openxmlformats.org/officeDocument/2006/relationships/image" Target="media/image2.png"/><Relationship Id="rId19" Type="http://schemas.openxmlformats.org/officeDocument/2006/relationships/hyperlink" Target="https://www.rjsd.moj.gov.tw/RJSDWEB/visualize/Visualization.aspx?kind=PC&amp;d=12" TargetMode="External"/><Relationship Id="rId31" Type="http://schemas.openxmlformats.org/officeDocument/2006/relationships/hyperlink" Target="https://www.legislation.gov.uk/ukpga/2023/50/enacted"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rjsd.moj.gov.tw/RJSDWEB/visualize/Visualization.aspx?kind=PC&amp;d=12" TargetMode="External"/><Relationship Id="rId22" Type="http://schemas.openxmlformats.org/officeDocument/2006/relationships/image" Target="media/image7.png"/><Relationship Id="rId27" Type="http://schemas.openxmlformats.org/officeDocument/2006/relationships/chart" Target="charts/chart2.xml"/><Relationship Id="rId30" Type="http://schemas.openxmlformats.org/officeDocument/2006/relationships/image" Target="media/image12.png"/><Relationship Id="rId35" Type="http://schemas.openxmlformats.org/officeDocument/2006/relationships/theme" Target="theme/theme1.xml"/><Relationship Id="rId8"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cryptocity.tw/How-low-is-the-cost-of-fraud-in-Taiwan"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23376;&#22855;FILE\112&#24180;\&#23560;&#26696;-&#25919;&#24220;&#38450;&#21046;&#38651;&#20449;&#32178;&#36335;&#35408;&#27450;&#20043;&#23565;&#31574;&#33287;&#27298;&#35342;\&#35519;&#26597;&#30740;&#31350;&#22577;&#21578;\&#21453;&#35408;&#36890;&#26696;&#35069;&#34920;0524.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23376;&#22855;FILE\112&#24180;\&#23560;&#26696;-&#25919;&#24220;&#38450;&#21046;&#38651;&#20449;&#32178;&#36335;&#35408;&#27450;&#20043;&#23565;&#31574;&#33287;&#27298;&#35342;\&#35519;&#26597;&#30740;&#31350;&#22577;&#21578;\&#21453;&#35408;&#36890;&#26696;&#35069;&#34920;0524.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721034870641165E-2"/>
          <c:y val="1.999311084266038E-2"/>
          <c:w val="0.91692429327481606"/>
          <c:h val="0.83792877183455516"/>
        </c:manualLayout>
      </c:layout>
      <c:lineChart>
        <c:grouping val="standard"/>
        <c:varyColors val="0"/>
        <c:ser>
          <c:idx val="0"/>
          <c:order val="0"/>
          <c:tx>
            <c:strRef>
              <c:f>歷年案件!$B$1</c:f>
              <c:strCache>
                <c:ptCount val="1"/>
                <c:pt idx="0">
                  <c:v>案件數</c:v>
                </c:pt>
              </c:strCache>
            </c:strRef>
          </c:tx>
          <c:spPr>
            <a:ln w="28575" cap="rnd">
              <a:solidFill>
                <a:schemeClr val="accent1"/>
              </a:solidFill>
              <a:round/>
            </a:ln>
            <a:effectLst/>
          </c:spPr>
          <c:marker>
            <c:symbol val="none"/>
          </c:marker>
          <c:dLbls>
            <c:dLbl>
              <c:idx val="15"/>
              <c:layout>
                <c:manualLayout>
                  <c:x val="-3.1739488870568835E-2"/>
                  <c:y val="-6.75276500842019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AF4-4B40-A214-32346C765640}"/>
                </c:ext>
              </c:extLst>
            </c:dLbl>
            <c:dLbl>
              <c:idx val="16"/>
              <c:layout>
                <c:manualLayout>
                  <c:x val="-3.173948887056894E-2"/>
                  <c:y val="-6.0302216558190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AF4-4B40-A214-32346C765640}"/>
                </c:ext>
              </c:extLst>
            </c:dLbl>
            <c:dLbl>
              <c:idx val="17"/>
              <c:layout>
                <c:manualLayout>
                  <c:x val="-3.3113492717779712E-2"/>
                  <c:y val="-4.58513495061672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AF4-4B40-A214-32346C765640}"/>
                </c:ext>
              </c:extLst>
            </c:dLbl>
            <c:dLbl>
              <c:idx val="18"/>
              <c:layout>
                <c:manualLayout>
                  <c:x val="-3.0365485023358067E-2"/>
                  <c:y val="1.91775522279368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AF4-4B40-A214-32346C765640}"/>
                </c:ext>
              </c:extLst>
            </c:dLbl>
            <c:dLbl>
              <c:idx val="20"/>
              <c:layout>
                <c:manualLayout>
                  <c:x val="-3.173948887056894E-2"/>
                  <c:y val="1.91775522279368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AF4-4B40-A214-32346C765640}"/>
                </c:ext>
              </c:extLst>
            </c:dLbl>
            <c:dLbl>
              <c:idx val="21"/>
              <c:layout>
                <c:manualLayout>
                  <c:x val="-3.998351195383347E-2"/>
                  <c:y val="-6.27106944001941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AF4-4B40-A214-32346C765640}"/>
                </c:ext>
              </c:extLst>
            </c:dLbl>
            <c:dLbl>
              <c:idx val="22"/>
              <c:layout>
                <c:manualLayout>
                  <c:x val="-1.6625446551250544E-2"/>
                  <c:y val="5.51116623427851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AF4-4B40-A214-32346C765640}"/>
                </c:ext>
              </c:extLst>
            </c:dLbl>
            <c:dLbl>
              <c:idx val="23"/>
              <c:layout>
                <c:manualLayout>
                  <c:x val="-3.6728637485854254E-2"/>
                  <c:y val="-3.1400482454144098E-2"/>
                </c:manualLayout>
              </c:layout>
              <c:tx>
                <c:rich>
                  <a:bodyPr/>
                  <a:lstStyle/>
                  <a:p>
                    <a:fld id="{E6ED2EDC-E764-4204-AD2B-0A6553194F81}" type="VALUE">
                      <a:rPr lang="en-US" altLang="zh-TW" sz="1400">
                        <a:solidFill>
                          <a:srgbClr val="FF0000"/>
                        </a:solidFill>
                      </a:rPr>
                      <a:pPr/>
                      <a:t>[值]</a:t>
                    </a:fld>
                    <a:endParaRPr lang="zh-TW" altLang="en-US"/>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CAF4-4B40-A214-32346C765640}"/>
                </c:ext>
              </c:extLst>
            </c:dLbl>
            <c:spPr>
              <a:noFill/>
              <a:ln>
                <a:solidFill>
                  <a:schemeClr val="accent1"/>
                </a:solid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zh-TW"/>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歷年案件!$A$2:$A$25</c:f>
              <c:numCache>
                <c:formatCode>General</c:formatCode>
                <c:ptCount val="24"/>
                <c:pt idx="0">
                  <c:v>89</c:v>
                </c:pt>
                <c:pt idx="1">
                  <c:v>90</c:v>
                </c:pt>
                <c:pt idx="2">
                  <c:v>91</c:v>
                </c:pt>
                <c:pt idx="3">
                  <c:v>92</c:v>
                </c:pt>
                <c:pt idx="4">
                  <c:v>93</c:v>
                </c:pt>
                <c:pt idx="5">
                  <c:v>94</c:v>
                </c:pt>
                <c:pt idx="6">
                  <c:v>95</c:v>
                </c:pt>
                <c:pt idx="7">
                  <c:v>96</c:v>
                </c:pt>
                <c:pt idx="8">
                  <c:v>97</c:v>
                </c:pt>
                <c:pt idx="9">
                  <c:v>98</c:v>
                </c:pt>
                <c:pt idx="10">
                  <c:v>99</c:v>
                </c:pt>
                <c:pt idx="11">
                  <c:v>100</c:v>
                </c:pt>
                <c:pt idx="12">
                  <c:v>101</c:v>
                </c:pt>
                <c:pt idx="13">
                  <c:v>102</c:v>
                </c:pt>
                <c:pt idx="14">
                  <c:v>103</c:v>
                </c:pt>
                <c:pt idx="15">
                  <c:v>104</c:v>
                </c:pt>
                <c:pt idx="16">
                  <c:v>105</c:v>
                </c:pt>
                <c:pt idx="17">
                  <c:v>106</c:v>
                </c:pt>
                <c:pt idx="18">
                  <c:v>107</c:v>
                </c:pt>
                <c:pt idx="19">
                  <c:v>108</c:v>
                </c:pt>
                <c:pt idx="20">
                  <c:v>109</c:v>
                </c:pt>
                <c:pt idx="21">
                  <c:v>110</c:v>
                </c:pt>
                <c:pt idx="22">
                  <c:v>111</c:v>
                </c:pt>
                <c:pt idx="23">
                  <c:v>112</c:v>
                </c:pt>
              </c:numCache>
            </c:numRef>
          </c:cat>
          <c:val>
            <c:numRef>
              <c:f>歷年案件!$B$2:$B$25</c:f>
              <c:numCache>
                <c:formatCode>General</c:formatCode>
                <c:ptCount val="24"/>
                <c:pt idx="0">
                  <c:v>480</c:v>
                </c:pt>
                <c:pt idx="1">
                  <c:v>1513</c:v>
                </c:pt>
                <c:pt idx="2">
                  <c:v>5053</c:v>
                </c:pt>
                <c:pt idx="3">
                  <c:v>11892</c:v>
                </c:pt>
                <c:pt idx="4">
                  <c:v>15606</c:v>
                </c:pt>
                <c:pt idx="5">
                  <c:v>18594</c:v>
                </c:pt>
                <c:pt idx="6">
                  <c:v>17033</c:v>
                </c:pt>
                <c:pt idx="7">
                  <c:v>18236</c:v>
                </c:pt>
                <c:pt idx="8">
                  <c:v>19858</c:v>
                </c:pt>
                <c:pt idx="9">
                  <c:v>18799</c:v>
                </c:pt>
                <c:pt idx="10">
                  <c:v>14198</c:v>
                </c:pt>
                <c:pt idx="11">
                  <c:v>10327</c:v>
                </c:pt>
                <c:pt idx="12">
                  <c:v>7473</c:v>
                </c:pt>
                <c:pt idx="13">
                  <c:v>6355</c:v>
                </c:pt>
                <c:pt idx="14">
                  <c:v>11140</c:v>
                </c:pt>
                <c:pt idx="15">
                  <c:v>11305</c:v>
                </c:pt>
                <c:pt idx="16">
                  <c:v>13238</c:v>
                </c:pt>
                <c:pt idx="17">
                  <c:v>12727</c:v>
                </c:pt>
                <c:pt idx="18">
                  <c:v>12579</c:v>
                </c:pt>
                <c:pt idx="19">
                  <c:v>13283</c:v>
                </c:pt>
                <c:pt idx="20">
                  <c:v>12319</c:v>
                </c:pt>
                <c:pt idx="21">
                  <c:v>13100</c:v>
                </c:pt>
                <c:pt idx="22">
                  <c:v>15744</c:v>
                </c:pt>
                <c:pt idx="23">
                  <c:v>20958</c:v>
                </c:pt>
              </c:numCache>
            </c:numRef>
          </c:val>
          <c:smooth val="0"/>
          <c:extLst>
            <c:ext xmlns:c16="http://schemas.microsoft.com/office/drawing/2014/chart" uri="{C3380CC4-5D6E-409C-BE32-E72D297353CC}">
              <c16:uniqueId val="{00000008-CAF4-4B40-A214-32346C765640}"/>
            </c:ext>
          </c:extLst>
        </c:ser>
        <c:dLbls>
          <c:dLblPos val="t"/>
          <c:showLegendKey val="0"/>
          <c:showVal val="1"/>
          <c:showCatName val="0"/>
          <c:showSerName val="0"/>
          <c:showPercent val="0"/>
          <c:showBubbleSize val="0"/>
        </c:dLbls>
        <c:smooth val="0"/>
        <c:axId val="1992059072"/>
        <c:axId val="1989204416"/>
      </c:lineChart>
      <c:catAx>
        <c:axId val="19920590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zh-TW" altLang="en-US" sz="1200">
                    <a:latin typeface="標楷體" panose="03000509000000000000" pitchFamily="65" charset="-120"/>
                    <a:ea typeface="標楷體" panose="03000509000000000000" pitchFamily="65" charset="-120"/>
                  </a:rPr>
                  <a:t>年度</a:t>
                </a:r>
              </a:p>
            </c:rich>
          </c:tx>
          <c:layout>
            <c:manualLayout>
              <c:xMode val="edge"/>
              <c:yMode val="edge"/>
              <c:x val="0.94215854922504016"/>
              <c:y val="0.862249474562806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zh-TW"/>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989204416"/>
        <c:crosses val="autoZero"/>
        <c:auto val="1"/>
        <c:lblAlgn val="ctr"/>
        <c:lblOffset val="100"/>
        <c:noMultiLvlLbl val="0"/>
      </c:catAx>
      <c:valAx>
        <c:axId val="1989204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9920590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zh-TW" altLang="en-US">
                <a:latin typeface="標楷體" panose="03000509000000000000" pitchFamily="65" charset="-120"/>
                <a:ea typeface="標楷體" panose="03000509000000000000" pitchFamily="65" charset="-120"/>
              </a:rPr>
              <a:t>電信網路詐欺案件數逐年趨勢</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TW"/>
        </a:p>
      </c:txPr>
    </c:title>
    <c:autoTitleDeleted val="0"/>
    <c:plotArea>
      <c:layout>
        <c:manualLayout>
          <c:layoutTarget val="inner"/>
          <c:xMode val="edge"/>
          <c:yMode val="edge"/>
          <c:x val="6.5999203992943511E-2"/>
          <c:y val="9.3930320491547759E-2"/>
          <c:w val="0.91692429327481606"/>
          <c:h val="0.83792877183455516"/>
        </c:manualLayout>
      </c:layout>
      <c:lineChart>
        <c:grouping val="standard"/>
        <c:varyColors val="0"/>
        <c:ser>
          <c:idx val="0"/>
          <c:order val="0"/>
          <c:tx>
            <c:strRef>
              <c:f>歷年案件!$B$1</c:f>
              <c:strCache>
                <c:ptCount val="1"/>
                <c:pt idx="0">
                  <c:v>案件數</c:v>
                </c:pt>
              </c:strCache>
            </c:strRef>
          </c:tx>
          <c:spPr>
            <a:ln w="28575" cap="rnd">
              <a:solidFill>
                <a:schemeClr val="accent1"/>
              </a:solidFill>
              <a:round/>
            </a:ln>
            <a:effectLst/>
          </c:spPr>
          <c:marker>
            <c:symbol val="none"/>
          </c:marker>
          <c:dLbls>
            <c:dLbl>
              <c:idx val="15"/>
              <c:layout>
                <c:manualLayout>
                  <c:x val="-3.1739488870568835E-2"/>
                  <c:y val="-6.75276500842019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15F-47EA-8A2D-8DA9E326752A}"/>
                </c:ext>
              </c:extLst>
            </c:dLbl>
            <c:dLbl>
              <c:idx val="16"/>
              <c:layout>
                <c:manualLayout>
                  <c:x val="-3.173948887056894E-2"/>
                  <c:y val="-6.0302216558190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15F-47EA-8A2D-8DA9E326752A}"/>
                </c:ext>
              </c:extLst>
            </c:dLbl>
            <c:dLbl>
              <c:idx val="17"/>
              <c:layout>
                <c:manualLayout>
                  <c:x val="-3.3113492717779712E-2"/>
                  <c:y val="-4.58513495061672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15F-47EA-8A2D-8DA9E326752A}"/>
                </c:ext>
              </c:extLst>
            </c:dLbl>
            <c:dLbl>
              <c:idx val="18"/>
              <c:layout>
                <c:manualLayout>
                  <c:x val="-3.0365485023358067E-2"/>
                  <c:y val="1.91775522279368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15F-47EA-8A2D-8DA9E326752A}"/>
                </c:ext>
              </c:extLst>
            </c:dLbl>
            <c:dLbl>
              <c:idx val="20"/>
              <c:layout>
                <c:manualLayout>
                  <c:x val="-3.173948887056894E-2"/>
                  <c:y val="1.91775522279368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15F-47EA-8A2D-8DA9E326752A}"/>
                </c:ext>
              </c:extLst>
            </c:dLbl>
            <c:dLbl>
              <c:idx val="21"/>
              <c:layout>
                <c:manualLayout>
                  <c:x val="-3.998351195383347E-2"/>
                  <c:y val="-6.27106944001941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15F-47EA-8A2D-8DA9E326752A}"/>
                </c:ext>
              </c:extLst>
            </c:dLbl>
            <c:dLbl>
              <c:idx val="22"/>
              <c:layout>
                <c:manualLayout>
                  <c:x val="-1.6625446551250544E-2"/>
                  <c:y val="5.51116623427851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15F-47EA-8A2D-8DA9E326752A}"/>
                </c:ext>
              </c:extLst>
            </c:dLbl>
            <c:dLbl>
              <c:idx val="23"/>
              <c:layout>
                <c:manualLayout>
                  <c:x val="-3.6728637485854254E-2"/>
                  <c:y val="-3.1400482454144098E-2"/>
                </c:manualLayout>
              </c:layout>
              <c:tx>
                <c:rich>
                  <a:bodyPr/>
                  <a:lstStyle/>
                  <a:p>
                    <a:fld id="{E6ED2EDC-E764-4204-AD2B-0A6553194F81}" type="VALUE">
                      <a:rPr lang="en-US" altLang="zh-TW" sz="1400">
                        <a:solidFill>
                          <a:srgbClr val="FF0000"/>
                        </a:solidFill>
                      </a:rPr>
                      <a:pPr/>
                      <a:t>[值]</a:t>
                    </a:fld>
                    <a:endParaRPr lang="zh-TW" altLang="en-US"/>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415F-47EA-8A2D-8DA9E326752A}"/>
                </c:ext>
              </c:extLst>
            </c:dLbl>
            <c:spPr>
              <a:noFill/>
              <a:ln>
                <a:solidFill>
                  <a:schemeClr val="accent1"/>
                </a:solid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zh-TW"/>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歷年案件!$A$2:$A$25</c:f>
              <c:numCache>
                <c:formatCode>General</c:formatCode>
                <c:ptCount val="24"/>
                <c:pt idx="0">
                  <c:v>89</c:v>
                </c:pt>
                <c:pt idx="1">
                  <c:v>90</c:v>
                </c:pt>
                <c:pt idx="2">
                  <c:v>91</c:v>
                </c:pt>
                <c:pt idx="3">
                  <c:v>92</c:v>
                </c:pt>
                <c:pt idx="4">
                  <c:v>93</c:v>
                </c:pt>
                <c:pt idx="5">
                  <c:v>94</c:v>
                </c:pt>
                <c:pt idx="6">
                  <c:v>95</c:v>
                </c:pt>
                <c:pt idx="7">
                  <c:v>96</c:v>
                </c:pt>
                <c:pt idx="8">
                  <c:v>97</c:v>
                </c:pt>
                <c:pt idx="9">
                  <c:v>98</c:v>
                </c:pt>
                <c:pt idx="10">
                  <c:v>99</c:v>
                </c:pt>
                <c:pt idx="11">
                  <c:v>100</c:v>
                </c:pt>
                <c:pt idx="12">
                  <c:v>101</c:v>
                </c:pt>
                <c:pt idx="13">
                  <c:v>102</c:v>
                </c:pt>
                <c:pt idx="14">
                  <c:v>103</c:v>
                </c:pt>
                <c:pt idx="15">
                  <c:v>104</c:v>
                </c:pt>
                <c:pt idx="16">
                  <c:v>105</c:v>
                </c:pt>
                <c:pt idx="17">
                  <c:v>106</c:v>
                </c:pt>
                <c:pt idx="18">
                  <c:v>107</c:v>
                </c:pt>
                <c:pt idx="19">
                  <c:v>108</c:v>
                </c:pt>
                <c:pt idx="20">
                  <c:v>109</c:v>
                </c:pt>
                <c:pt idx="21">
                  <c:v>110</c:v>
                </c:pt>
                <c:pt idx="22">
                  <c:v>111</c:v>
                </c:pt>
                <c:pt idx="23">
                  <c:v>112</c:v>
                </c:pt>
              </c:numCache>
            </c:numRef>
          </c:cat>
          <c:val>
            <c:numRef>
              <c:f>歷年案件!$B$2:$B$25</c:f>
              <c:numCache>
                <c:formatCode>General</c:formatCode>
                <c:ptCount val="24"/>
                <c:pt idx="0">
                  <c:v>480</c:v>
                </c:pt>
                <c:pt idx="1">
                  <c:v>1513</c:v>
                </c:pt>
                <c:pt idx="2">
                  <c:v>5053</c:v>
                </c:pt>
                <c:pt idx="3">
                  <c:v>11892</c:v>
                </c:pt>
                <c:pt idx="4">
                  <c:v>15606</c:v>
                </c:pt>
                <c:pt idx="5">
                  <c:v>18594</c:v>
                </c:pt>
                <c:pt idx="6">
                  <c:v>17033</c:v>
                </c:pt>
                <c:pt idx="7">
                  <c:v>18236</c:v>
                </c:pt>
                <c:pt idx="8">
                  <c:v>19858</c:v>
                </c:pt>
                <c:pt idx="9">
                  <c:v>18799</c:v>
                </c:pt>
                <c:pt idx="10">
                  <c:v>14198</c:v>
                </c:pt>
                <c:pt idx="11">
                  <c:v>10327</c:v>
                </c:pt>
                <c:pt idx="12">
                  <c:v>7473</c:v>
                </c:pt>
                <c:pt idx="13">
                  <c:v>6355</c:v>
                </c:pt>
                <c:pt idx="14">
                  <c:v>11140</c:v>
                </c:pt>
                <c:pt idx="15">
                  <c:v>11305</c:v>
                </c:pt>
                <c:pt idx="16">
                  <c:v>13238</c:v>
                </c:pt>
                <c:pt idx="17">
                  <c:v>12727</c:v>
                </c:pt>
                <c:pt idx="18">
                  <c:v>12579</c:v>
                </c:pt>
                <c:pt idx="19">
                  <c:v>13283</c:v>
                </c:pt>
                <c:pt idx="20">
                  <c:v>12319</c:v>
                </c:pt>
                <c:pt idx="21">
                  <c:v>13100</c:v>
                </c:pt>
                <c:pt idx="22">
                  <c:v>15744</c:v>
                </c:pt>
                <c:pt idx="23">
                  <c:v>20958</c:v>
                </c:pt>
              </c:numCache>
            </c:numRef>
          </c:val>
          <c:smooth val="0"/>
          <c:extLst>
            <c:ext xmlns:c16="http://schemas.microsoft.com/office/drawing/2014/chart" uri="{C3380CC4-5D6E-409C-BE32-E72D297353CC}">
              <c16:uniqueId val="{00000008-415F-47EA-8A2D-8DA9E326752A}"/>
            </c:ext>
          </c:extLst>
        </c:ser>
        <c:dLbls>
          <c:dLblPos val="t"/>
          <c:showLegendKey val="0"/>
          <c:showVal val="1"/>
          <c:showCatName val="0"/>
          <c:showSerName val="0"/>
          <c:showPercent val="0"/>
          <c:showBubbleSize val="0"/>
        </c:dLbls>
        <c:smooth val="0"/>
        <c:axId val="1992059072"/>
        <c:axId val="1989204416"/>
      </c:lineChart>
      <c:catAx>
        <c:axId val="19920590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zh-TW" altLang="en-US" sz="1200">
                    <a:latin typeface="標楷體" panose="03000509000000000000" pitchFamily="65" charset="-120"/>
                    <a:ea typeface="標楷體" panose="03000509000000000000" pitchFamily="65" charset="-120"/>
                  </a:rPr>
                  <a:t>年度</a:t>
                </a:r>
              </a:p>
            </c:rich>
          </c:tx>
          <c:layout>
            <c:manualLayout>
              <c:xMode val="edge"/>
              <c:yMode val="edge"/>
              <c:x val="0.94215854922504016"/>
              <c:y val="0.862249474562806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zh-TW"/>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989204416"/>
        <c:crosses val="autoZero"/>
        <c:auto val="1"/>
        <c:lblAlgn val="ctr"/>
        <c:lblOffset val="100"/>
        <c:noMultiLvlLbl val="0"/>
      </c:catAx>
      <c:valAx>
        <c:axId val="1989204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992059072"/>
        <c:crosses val="autoZero"/>
        <c:crossBetween val="between"/>
      </c:valAx>
      <c:spPr>
        <a:noFill/>
        <a:ln>
          <a:noFill/>
        </a:ln>
        <a:effectLst/>
      </c:spPr>
    </c:plotArea>
    <c:legend>
      <c:legendPos val="t"/>
      <c:layout>
        <c:manualLayout>
          <c:xMode val="edge"/>
          <c:yMode val="edge"/>
          <c:x val="8.100084817642067E-2"/>
          <c:y val="2.2318214542836574E-2"/>
          <c:w val="0.18490245971162006"/>
          <c:h val="7.3806851357403225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zh-TW"/>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2328A-9D93-4B11-ADB3-57BED6A6A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26118</Words>
  <Characters>148874</Characters>
  <Application>Microsoft Office Word</Application>
  <DocSecurity>0</DocSecurity>
  <Lines>1240</Lines>
  <Paragraphs>349</Paragraphs>
  <ScaleCrop>false</ScaleCrop>
  <Company/>
  <LinksUpToDate>false</LinksUpToDate>
  <CharactersWithSpaces>174643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楊子奇</dc:creator>
  <cp:keywords/>
  <cp:lastModifiedBy>hamastar</cp:lastModifiedBy>
  <cp:revision>3</cp:revision>
  <cp:lastPrinted>2024-12-23T02:24:00Z</cp:lastPrinted>
  <dcterms:created xsi:type="dcterms:W3CDTF">2024-10-25T09:23:00Z</dcterms:created>
  <dcterms:modified xsi:type="dcterms:W3CDTF">2024-12-23T02:24:00Z</dcterms:modified>
</cp:coreProperties>
</file>