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ED2331" w:rsidRDefault="00D20D26" w:rsidP="00F37D7B">
      <w:pPr>
        <w:pStyle w:val="af2"/>
      </w:pPr>
      <w:r w:rsidRPr="00ED2331">
        <w:rPr>
          <w:rFonts w:hint="eastAsia"/>
        </w:rPr>
        <w:t>調查報告</w:t>
      </w:r>
    </w:p>
    <w:p w:rsidR="00E25849" w:rsidRPr="00ED2331" w:rsidRDefault="00E25849" w:rsidP="004E05A1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ED2331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1C0DA8" w:rsidRPr="00ED2331">
        <w:fldChar w:fldCharType="begin"/>
      </w:r>
      <w:r w:rsidRPr="00ED2331">
        <w:instrText xml:space="preserve"> MERGEFIELD </w:instrText>
      </w:r>
      <w:r w:rsidRPr="00ED2331">
        <w:rPr>
          <w:rFonts w:hint="eastAsia"/>
        </w:rPr>
        <w:instrText>案由</w:instrText>
      </w:r>
      <w:r w:rsidRPr="00ED2331">
        <w:instrText xml:space="preserve"> </w:instrText>
      </w:r>
      <w:r w:rsidR="001C0DA8" w:rsidRPr="00ED2331">
        <w:fldChar w:fldCharType="separate"/>
      </w:r>
      <w:bookmarkEnd w:id="11"/>
      <w:r w:rsidR="00AE22B0" w:rsidRPr="00ED2331">
        <w:rPr>
          <w:rFonts w:hint="eastAsia"/>
          <w:noProof/>
        </w:rPr>
        <w:t>據訴，台灣中油股份有限公司採購處南部採購中心112年採購天然氣渦輪表，疑不當限制投標廠商資格及招標規範；經向經濟部採購稽核小組陳情，亦疑未獲妥適處理等情。究實情為何？採購過程有無違反相關規定？經濟部有無善盡監督管理責任？均有深入瞭解之必要案。</w:t>
      </w:r>
      <w:bookmarkEnd w:id="10"/>
      <w:r w:rsidR="001C0DA8" w:rsidRPr="00ED2331">
        <w:fldChar w:fldCharType="end"/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E25849" w:rsidRPr="00ED2331" w:rsidRDefault="00E25849" w:rsidP="00B761D5">
      <w:pPr>
        <w:pStyle w:val="1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ED2331"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F6710" w:rsidRPr="00ED2331" w:rsidRDefault="006F7CE6" w:rsidP="00A639F4">
      <w:pPr>
        <w:pStyle w:val="10"/>
        <w:ind w:left="680" w:firstLine="680"/>
      </w:pPr>
      <w:bookmarkStart w:id="49" w:name="_Toc524902730"/>
      <w:r w:rsidRPr="00ED2331">
        <w:rPr>
          <w:rFonts w:hAnsi="標楷體" w:hint="eastAsia"/>
        </w:rPr>
        <w:t>本案經調閱經濟部、台灣中油股份有限公司（下稱中油公司）卷證資料，並函請中油公司總經理方振仁率採購處南部採購中心</w:t>
      </w:r>
      <w:r w:rsidR="00005D6A" w:rsidRPr="00ED2331">
        <w:rPr>
          <w:rFonts w:hAnsi="標楷體" w:hint="eastAsia"/>
        </w:rPr>
        <w:t>（下稱南</w:t>
      </w:r>
      <w:proofErr w:type="gramStart"/>
      <w:r w:rsidR="00005D6A" w:rsidRPr="00ED2331">
        <w:rPr>
          <w:rFonts w:hAnsi="標楷體" w:hint="eastAsia"/>
        </w:rPr>
        <w:t>採</w:t>
      </w:r>
      <w:proofErr w:type="gramEnd"/>
      <w:r w:rsidR="00005D6A" w:rsidRPr="00ED2331">
        <w:rPr>
          <w:rFonts w:hAnsi="標楷體" w:hint="eastAsia"/>
        </w:rPr>
        <w:t>中心）</w:t>
      </w:r>
      <w:r w:rsidRPr="00ED2331">
        <w:rPr>
          <w:rFonts w:hAnsi="標楷體" w:hint="eastAsia"/>
        </w:rPr>
        <w:t>、工業</w:t>
      </w:r>
      <w:proofErr w:type="gramStart"/>
      <w:r w:rsidRPr="00ED2331">
        <w:rPr>
          <w:rFonts w:hAnsi="標楷體" w:hint="eastAsia"/>
        </w:rPr>
        <w:t>安全衛生</w:t>
      </w:r>
      <w:proofErr w:type="gramEnd"/>
      <w:r w:rsidRPr="00ED2331">
        <w:rPr>
          <w:rFonts w:hAnsi="標楷體" w:hint="eastAsia"/>
        </w:rPr>
        <w:t>處、天然氣</w:t>
      </w:r>
      <w:proofErr w:type="gramStart"/>
      <w:r w:rsidRPr="00ED2331">
        <w:rPr>
          <w:rFonts w:hAnsi="標楷體" w:hint="eastAsia"/>
        </w:rPr>
        <w:t>事業部及所</w:t>
      </w:r>
      <w:proofErr w:type="gramEnd"/>
      <w:r w:rsidRPr="00ED2331">
        <w:rPr>
          <w:rFonts w:hAnsi="標楷體" w:hint="eastAsia"/>
        </w:rPr>
        <w:t>屬南區營業處（下稱南區處）、公用天然氣營業處（下稱公用處）、工務室等業務主管人員，於民國（下同)</w:t>
      </w:r>
      <w:r w:rsidRPr="00ED2331">
        <w:rPr>
          <w:rFonts w:hAnsi="標楷體"/>
        </w:rPr>
        <w:t>113</w:t>
      </w:r>
      <w:r w:rsidRPr="00ED2331">
        <w:rPr>
          <w:rFonts w:hAnsi="標楷體" w:hint="eastAsia"/>
        </w:rPr>
        <w:t>年1</w:t>
      </w:r>
      <w:r w:rsidRPr="00ED2331">
        <w:rPr>
          <w:rFonts w:hAnsi="標楷體"/>
        </w:rPr>
        <w:t>0</w:t>
      </w:r>
      <w:r w:rsidRPr="00ED2331">
        <w:rPr>
          <w:rFonts w:hAnsi="標楷體" w:hint="eastAsia"/>
        </w:rPr>
        <w:t>月2</w:t>
      </w:r>
      <w:r w:rsidRPr="00ED2331">
        <w:rPr>
          <w:rFonts w:hAnsi="標楷體"/>
        </w:rPr>
        <w:t>1</w:t>
      </w:r>
      <w:r w:rsidRPr="00ED2331">
        <w:rPr>
          <w:rFonts w:hAnsi="標楷體" w:hint="eastAsia"/>
        </w:rPr>
        <w:t>日到院接受詢問</w:t>
      </w:r>
      <w:r w:rsidR="00914FE2" w:rsidRPr="00ED2331">
        <w:rPr>
          <w:rFonts w:hAnsi="標楷體" w:hint="eastAsia"/>
        </w:rPr>
        <w:t>。</w:t>
      </w:r>
      <w:proofErr w:type="gramStart"/>
      <w:r w:rsidR="001E5C6E" w:rsidRPr="00ED2331">
        <w:rPr>
          <w:rFonts w:hAnsi="標楷體" w:hint="eastAsia"/>
        </w:rPr>
        <w:t>嗣</w:t>
      </w:r>
      <w:proofErr w:type="gramEnd"/>
      <w:r w:rsidR="00914FE2" w:rsidRPr="00ED2331">
        <w:rPr>
          <w:rFonts w:hAnsi="標楷體" w:hint="eastAsia"/>
        </w:rPr>
        <w:t>為瞭解天然氣計量用渦輪表</w:t>
      </w:r>
      <w:r w:rsidR="00066448" w:rsidRPr="00ED2331">
        <w:rPr>
          <w:rStyle w:val="afe"/>
          <w:rFonts w:hAnsi="標楷體"/>
        </w:rPr>
        <w:footnoteReference w:id="1"/>
      </w:r>
      <w:r w:rsidR="00F95574" w:rsidRPr="00ED2331">
        <w:rPr>
          <w:rFonts w:hAnsi="標楷體" w:hint="eastAsia"/>
        </w:rPr>
        <w:t>於作業場所之設置應用</w:t>
      </w:r>
      <w:proofErr w:type="gramStart"/>
      <w:r w:rsidR="00F95574" w:rsidRPr="00ED2331">
        <w:rPr>
          <w:rFonts w:hAnsi="標楷體" w:hint="eastAsia"/>
        </w:rPr>
        <w:t>與資安措</w:t>
      </w:r>
      <w:proofErr w:type="gramEnd"/>
      <w:r w:rsidR="00F95574" w:rsidRPr="00ED2331">
        <w:rPr>
          <w:rFonts w:hAnsi="標楷體" w:hint="eastAsia"/>
        </w:rPr>
        <w:t>施，於113年11月4日赴中油公司</w:t>
      </w:r>
      <w:r w:rsidR="00E946F0" w:rsidRPr="00ED2331">
        <w:rPr>
          <w:rFonts w:hAnsi="標楷體" w:hint="eastAsia"/>
        </w:rPr>
        <w:t>公用處</w:t>
      </w:r>
      <w:r w:rsidR="00E946F0">
        <w:rPr>
          <w:rFonts w:hAnsi="標楷體" w:hint="eastAsia"/>
        </w:rPr>
        <w:t>、</w:t>
      </w:r>
      <w:r w:rsidR="00B422AF">
        <w:rPr>
          <w:rFonts w:hAnsi="標楷體" w:hint="eastAsia"/>
        </w:rPr>
        <w:t>該處</w:t>
      </w:r>
      <w:r w:rsidR="00B422AF" w:rsidRPr="00ED2331">
        <w:rPr>
          <w:rFonts w:hAnsi="標楷體" w:hint="eastAsia"/>
        </w:rPr>
        <w:t>苗栗服務中心</w:t>
      </w:r>
      <w:r w:rsidR="00B422AF">
        <w:rPr>
          <w:rFonts w:hAnsi="標楷體" w:hint="eastAsia"/>
        </w:rPr>
        <w:t>及</w:t>
      </w:r>
      <w:proofErr w:type="gramStart"/>
      <w:r w:rsidR="00F95574" w:rsidRPr="00ED2331">
        <w:rPr>
          <w:rFonts w:hAnsi="標楷體" w:hint="eastAsia"/>
        </w:rPr>
        <w:t>裕苗</w:t>
      </w:r>
      <w:proofErr w:type="gramEnd"/>
      <w:r w:rsidR="00F95574" w:rsidRPr="00ED2331">
        <w:rPr>
          <w:rFonts w:hAnsi="標楷體" w:hint="eastAsia"/>
        </w:rPr>
        <w:t>新東站</w:t>
      </w:r>
      <w:r w:rsidR="00E946F0">
        <w:rPr>
          <w:rStyle w:val="afe"/>
          <w:rFonts w:hAnsi="標楷體"/>
        </w:rPr>
        <w:footnoteReference w:id="2"/>
      </w:r>
      <w:r w:rsidR="00F95574" w:rsidRPr="00ED2331">
        <w:rPr>
          <w:rFonts w:hAnsi="標楷體" w:hint="eastAsia"/>
        </w:rPr>
        <w:t>現地履勘、聽取簡報，</w:t>
      </w:r>
      <w:r w:rsidR="00FB501B" w:rsidRPr="00ED2331">
        <w:rPr>
          <w:rFonts w:hint="eastAsia"/>
        </w:rPr>
        <w:t>已調查</w:t>
      </w:r>
      <w:r w:rsidR="00307A76" w:rsidRPr="00ED2331">
        <w:rPr>
          <w:rFonts w:hAnsi="標楷體" w:hint="eastAsia"/>
        </w:rPr>
        <w:t>完畢</w:t>
      </w:r>
      <w:r w:rsidR="00FB501B" w:rsidRPr="00ED2331">
        <w:rPr>
          <w:rFonts w:hint="eastAsia"/>
        </w:rPr>
        <w:t>，</w:t>
      </w:r>
      <w:r w:rsidR="00307A76" w:rsidRPr="00ED2331">
        <w:rPr>
          <w:rFonts w:hint="eastAsia"/>
        </w:rPr>
        <w:t>茲臚</w:t>
      </w:r>
      <w:r w:rsidR="00FB501B" w:rsidRPr="00ED2331">
        <w:rPr>
          <w:rFonts w:hint="eastAsia"/>
        </w:rPr>
        <w:t>列調查意見如下：</w:t>
      </w:r>
    </w:p>
    <w:p w:rsidR="007D1C84" w:rsidRPr="00ED2331" w:rsidRDefault="004A79C2" w:rsidP="007D1C84">
      <w:pPr>
        <w:pStyle w:val="2"/>
        <w:rPr>
          <w:b/>
        </w:rPr>
      </w:pPr>
      <w:r w:rsidRPr="00ED2331">
        <w:rPr>
          <w:rFonts w:hint="eastAsia"/>
          <w:b/>
        </w:rPr>
        <w:t>中油公司</w:t>
      </w:r>
      <w:r w:rsidR="00B422AF">
        <w:rPr>
          <w:rFonts w:hint="eastAsia"/>
          <w:b/>
        </w:rPr>
        <w:t>前於112年9月至10月間</w:t>
      </w:r>
      <w:r w:rsidRPr="00ED2331">
        <w:rPr>
          <w:rFonts w:hint="eastAsia"/>
          <w:b/>
        </w:rPr>
        <w:t>辦理「工業用戶渦輪</w:t>
      </w:r>
      <w:proofErr w:type="gramStart"/>
      <w:r w:rsidRPr="00ED2331">
        <w:rPr>
          <w:rFonts w:hint="eastAsia"/>
          <w:b/>
        </w:rPr>
        <w:t>錶</w:t>
      </w:r>
      <w:proofErr w:type="gramEnd"/>
      <w:r w:rsidRPr="00ED2331">
        <w:rPr>
          <w:rFonts w:hint="eastAsia"/>
          <w:b/>
        </w:rPr>
        <w:t>一批」審標作業，</w:t>
      </w:r>
      <w:r w:rsidR="009F61F2" w:rsidRPr="00ED2331">
        <w:rPr>
          <w:rFonts w:hint="eastAsia"/>
          <w:b/>
        </w:rPr>
        <w:t>基於廣徵廠商之立意，參酌</w:t>
      </w:r>
      <w:r w:rsidRPr="00ED2331">
        <w:rPr>
          <w:rFonts w:hint="eastAsia"/>
          <w:b/>
        </w:rPr>
        <w:t>安全標示與驗證合格標章使用及管理辦法第12條規定</w:t>
      </w:r>
      <w:r w:rsidR="001E5C6E" w:rsidRPr="00ED2331">
        <w:rPr>
          <w:rFonts w:hint="eastAsia"/>
          <w:b/>
        </w:rPr>
        <w:t>，</w:t>
      </w:r>
      <w:r w:rsidR="00B422AF">
        <w:rPr>
          <w:rFonts w:hint="eastAsia"/>
          <w:b/>
        </w:rPr>
        <w:t>乃</w:t>
      </w:r>
      <w:r w:rsidRPr="00ED2331">
        <w:rPr>
          <w:rFonts w:hint="eastAsia"/>
          <w:b/>
        </w:rPr>
        <w:t>同意廠商於</w:t>
      </w:r>
      <w:r w:rsidR="00455439" w:rsidRPr="00ED2331">
        <w:rPr>
          <w:rFonts w:hint="eastAsia"/>
          <w:b/>
        </w:rPr>
        <w:t>「</w:t>
      </w:r>
      <w:r w:rsidRPr="00ED2331">
        <w:rPr>
          <w:rFonts w:hint="eastAsia"/>
          <w:b/>
        </w:rPr>
        <w:t>交貨前」完成張貼TS安全標示</w:t>
      </w:r>
      <w:r w:rsidR="002B19F1">
        <w:rPr>
          <w:rStyle w:val="afe"/>
          <w:b/>
        </w:rPr>
        <w:footnoteReference w:id="3"/>
      </w:r>
      <w:r w:rsidRPr="00ED2331">
        <w:rPr>
          <w:rFonts w:hint="eastAsia"/>
          <w:b/>
        </w:rPr>
        <w:t>；惟其後續1至2個月內</w:t>
      </w:r>
      <w:r w:rsidR="00B422AF">
        <w:rPr>
          <w:rFonts w:hint="eastAsia"/>
          <w:b/>
        </w:rPr>
        <w:t>辦理</w:t>
      </w:r>
      <w:r w:rsidRPr="00ED2331">
        <w:rPr>
          <w:rFonts w:hint="eastAsia"/>
          <w:b/>
        </w:rPr>
        <w:t>同為天然氣計量用渦輪表採購之</w:t>
      </w:r>
      <w:r w:rsidRPr="00ED2331">
        <w:rPr>
          <w:rFonts w:hint="eastAsia"/>
          <w:b/>
        </w:rPr>
        <w:lastRenderedPageBreak/>
        <w:t>「嘉供渦輪表一批」等5案，</w:t>
      </w:r>
      <w:r w:rsidR="00B422AF">
        <w:rPr>
          <w:rFonts w:hint="eastAsia"/>
          <w:b/>
        </w:rPr>
        <w:t>卻</w:t>
      </w:r>
      <w:r w:rsidR="002D522F" w:rsidRPr="00ED2331">
        <w:rPr>
          <w:rFonts w:hint="eastAsia"/>
          <w:b/>
        </w:rPr>
        <w:t>改</w:t>
      </w:r>
      <w:proofErr w:type="gramStart"/>
      <w:r w:rsidR="002D522F" w:rsidRPr="00ED2331">
        <w:rPr>
          <w:rFonts w:hint="eastAsia"/>
          <w:b/>
        </w:rPr>
        <w:t>採</w:t>
      </w:r>
      <w:proofErr w:type="gramEnd"/>
      <w:r w:rsidR="006352A7" w:rsidRPr="00ED2331">
        <w:rPr>
          <w:rFonts w:hint="eastAsia"/>
          <w:b/>
        </w:rPr>
        <w:t>認</w:t>
      </w:r>
      <w:r w:rsidRPr="00ED2331">
        <w:rPr>
          <w:rFonts w:hint="eastAsia"/>
          <w:b/>
        </w:rPr>
        <w:t>投標廠商未能於「投標時」檢附TS安全標示申報登錄完成證明文件，</w:t>
      </w:r>
      <w:r w:rsidR="00B422AF">
        <w:rPr>
          <w:rFonts w:hint="eastAsia"/>
          <w:b/>
        </w:rPr>
        <w:t>即</w:t>
      </w:r>
      <w:r w:rsidR="002D522F" w:rsidRPr="00ED2331">
        <w:rPr>
          <w:rFonts w:hint="eastAsia"/>
          <w:b/>
        </w:rPr>
        <w:t>屬</w:t>
      </w:r>
      <w:r w:rsidRPr="00ED2331">
        <w:rPr>
          <w:rFonts w:hint="eastAsia"/>
          <w:b/>
        </w:rPr>
        <w:t>不合格標</w:t>
      </w:r>
      <w:r w:rsidR="002D522F" w:rsidRPr="00ED2331">
        <w:rPr>
          <w:rFonts w:hint="eastAsia"/>
          <w:b/>
        </w:rPr>
        <w:t>。</w:t>
      </w:r>
      <w:r w:rsidR="009F61F2" w:rsidRPr="00ED2331">
        <w:rPr>
          <w:rFonts w:hint="eastAsia"/>
          <w:b/>
        </w:rPr>
        <w:t>影響所及</w:t>
      </w:r>
      <w:r w:rsidRPr="00ED2331">
        <w:rPr>
          <w:rFonts w:hint="eastAsia"/>
          <w:b/>
        </w:rPr>
        <w:t>，僅1家</w:t>
      </w:r>
      <w:r w:rsidR="001E5C6E" w:rsidRPr="00ED2331">
        <w:rPr>
          <w:rFonts w:hint="eastAsia"/>
          <w:b/>
        </w:rPr>
        <w:t>投標</w:t>
      </w:r>
      <w:r w:rsidRPr="00ED2331">
        <w:rPr>
          <w:rFonts w:hint="eastAsia"/>
          <w:b/>
        </w:rPr>
        <w:t>廠商</w:t>
      </w:r>
      <w:r w:rsidR="001E5C6E" w:rsidRPr="00ED2331">
        <w:rPr>
          <w:rFonts w:hint="eastAsia"/>
          <w:b/>
        </w:rPr>
        <w:t>符合資格</w:t>
      </w:r>
      <w:r w:rsidRPr="00ED2331">
        <w:rPr>
          <w:rFonts w:hint="eastAsia"/>
          <w:b/>
        </w:rPr>
        <w:t>，該廠商及其關係企業為鄰近時間點5案之決標廠商</w:t>
      </w:r>
      <w:r w:rsidR="008B17BC" w:rsidRPr="00ED2331">
        <w:rPr>
          <w:rFonts w:hint="eastAsia"/>
          <w:b/>
        </w:rPr>
        <w:t>，</w:t>
      </w:r>
      <w:r w:rsidR="00B422AF">
        <w:rPr>
          <w:rFonts w:hint="eastAsia"/>
          <w:b/>
        </w:rPr>
        <w:t>雖</w:t>
      </w:r>
      <w:r w:rsidR="008B17BC" w:rsidRPr="00ED2331">
        <w:rPr>
          <w:rFonts w:hint="eastAsia"/>
          <w:b/>
        </w:rPr>
        <w:t>尚查無違法事證</w:t>
      </w:r>
      <w:r w:rsidR="00B422AF">
        <w:rPr>
          <w:rFonts w:hint="eastAsia"/>
          <w:b/>
        </w:rPr>
        <w:t>，</w:t>
      </w:r>
      <w:r w:rsidR="008B17BC" w:rsidRPr="00ED2331">
        <w:rPr>
          <w:rFonts w:hint="eastAsia"/>
          <w:b/>
        </w:rPr>
        <w:t>然</w:t>
      </w:r>
      <w:r w:rsidR="009F61F2" w:rsidRPr="00ED2331">
        <w:rPr>
          <w:rFonts w:hint="eastAsia"/>
          <w:b/>
        </w:rPr>
        <w:t>同一審標單位就相</w:t>
      </w:r>
      <w:proofErr w:type="gramStart"/>
      <w:r w:rsidR="009F61F2" w:rsidRPr="00ED2331">
        <w:rPr>
          <w:rFonts w:hint="eastAsia"/>
          <w:b/>
        </w:rPr>
        <w:t>同類案審標</w:t>
      </w:r>
      <w:proofErr w:type="gramEnd"/>
      <w:r w:rsidR="009F61F2" w:rsidRPr="00ED2331">
        <w:rPr>
          <w:rFonts w:hint="eastAsia"/>
          <w:b/>
        </w:rPr>
        <w:t>認定不一，除不</w:t>
      </w:r>
      <w:r w:rsidR="00B422AF">
        <w:rPr>
          <w:rFonts w:hint="eastAsia"/>
          <w:b/>
        </w:rPr>
        <w:t>無</w:t>
      </w:r>
      <w:r w:rsidR="009F61F2" w:rsidRPr="00ED2331">
        <w:rPr>
          <w:rFonts w:hint="eastAsia"/>
          <w:b/>
        </w:rPr>
        <w:t>影響廠商權益</w:t>
      </w:r>
      <w:r w:rsidR="000A7789" w:rsidRPr="00ED2331">
        <w:rPr>
          <w:rFonts w:hint="eastAsia"/>
          <w:b/>
        </w:rPr>
        <w:t>、</w:t>
      </w:r>
      <w:r w:rsidR="006352A7" w:rsidRPr="00ED2331">
        <w:rPr>
          <w:rFonts w:hint="eastAsia"/>
          <w:b/>
        </w:rPr>
        <w:t>引發</w:t>
      </w:r>
      <w:r w:rsidR="000A7789" w:rsidRPr="00ED2331">
        <w:rPr>
          <w:rFonts w:hint="eastAsia"/>
          <w:b/>
        </w:rPr>
        <w:t>爭議</w:t>
      </w:r>
      <w:r w:rsidR="009F61F2" w:rsidRPr="00ED2331">
        <w:rPr>
          <w:rFonts w:hint="eastAsia"/>
          <w:b/>
        </w:rPr>
        <w:t>，亦</w:t>
      </w:r>
      <w:r w:rsidR="00B422AF">
        <w:rPr>
          <w:rFonts w:hint="eastAsia"/>
          <w:b/>
        </w:rPr>
        <w:t>恐與</w:t>
      </w:r>
      <w:r w:rsidR="00E3617E" w:rsidRPr="00ED2331">
        <w:rPr>
          <w:rFonts w:hint="eastAsia"/>
          <w:b/>
        </w:rPr>
        <w:t>發揮</w:t>
      </w:r>
      <w:r w:rsidR="009F61F2" w:rsidRPr="00ED2331">
        <w:rPr>
          <w:rFonts w:hint="eastAsia"/>
          <w:b/>
        </w:rPr>
        <w:t>政府採購效益</w:t>
      </w:r>
      <w:r w:rsidR="00E3617E" w:rsidRPr="00ED2331">
        <w:rPr>
          <w:rFonts w:hint="eastAsia"/>
          <w:b/>
        </w:rPr>
        <w:t>最大化</w:t>
      </w:r>
      <w:r w:rsidR="00B422AF">
        <w:rPr>
          <w:rFonts w:hint="eastAsia"/>
          <w:b/>
        </w:rPr>
        <w:t>之目的有違</w:t>
      </w:r>
      <w:r w:rsidR="000A7789" w:rsidRPr="00ED2331">
        <w:rPr>
          <w:rFonts w:hint="eastAsia"/>
          <w:b/>
        </w:rPr>
        <w:t>，允應檢討改進</w:t>
      </w:r>
      <w:r w:rsidRPr="00ED2331">
        <w:rPr>
          <w:rFonts w:hint="eastAsia"/>
          <w:b/>
        </w:rPr>
        <w:t>。</w:t>
      </w:r>
    </w:p>
    <w:p w:rsidR="006267AE" w:rsidRPr="00ED2331" w:rsidRDefault="00C147B5" w:rsidP="00D64FFB">
      <w:pPr>
        <w:pStyle w:val="3"/>
      </w:pPr>
      <w:r w:rsidRPr="00ED2331">
        <w:rPr>
          <w:rFonts w:hint="eastAsia"/>
        </w:rPr>
        <w:t>依據職業安全衛生法第7條第1項規定：「製造者、輸入者、供應者或雇主，對於中央主管機關指定之機械、設備或器具，其構造、性能及防護</w:t>
      </w:r>
      <w:r w:rsidRPr="00ED2331">
        <w:rPr>
          <w:rFonts w:hint="eastAsia"/>
          <w:b/>
        </w:rPr>
        <w:t>非符合安全標準者</w:t>
      </w:r>
      <w:r w:rsidRPr="00ED2331">
        <w:rPr>
          <w:rFonts w:hint="eastAsia"/>
        </w:rPr>
        <w:t>，不得</w:t>
      </w:r>
      <w:proofErr w:type="gramStart"/>
      <w:r w:rsidRPr="00ED2331">
        <w:rPr>
          <w:rFonts w:hint="eastAsia"/>
        </w:rPr>
        <w:t>產製運出廠</w:t>
      </w:r>
      <w:proofErr w:type="gramEnd"/>
      <w:r w:rsidRPr="00ED2331">
        <w:rPr>
          <w:rFonts w:hint="eastAsia"/>
        </w:rPr>
        <w:t>場、輸入、租賃、供應或設置。」職業安全衛生法施行細則第12條第1項第7款規定：「</w:t>
      </w:r>
      <w:r w:rsidRPr="00ED2331">
        <w:rPr>
          <w:rFonts w:hint="eastAsia"/>
          <w:b/>
        </w:rPr>
        <w:t>防爆電氣設備</w:t>
      </w:r>
      <w:r w:rsidRPr="00ED2331">
        <w:rPr>
          <w:rFonts w:hint="eastAsia"/>
        </w:rPr>
        <w:t>為中央主管機關指定之設備。」職業安全衛生法第7條第3項規定：「製造者或輸入者對於第一項指定之機械、設備或器具，符合前項安全標準者，</w:t>
      </w:r>
      <w:r w:rsidRPr="00ED2331">
        <w:rPr>
          <w:rFonts w:hint="eastAsia"/>
          <w:b/>
        </w:rPr>
        <w:t>應於中央主管機關指定之資訊申報網站登錄</w:t>
      </w:r>
      <w:r w:rsidRPr="00ED2331">
        <w:rPr>
          <w:rFonts w:hint="eastAsia"/>
        </w:rPr>
        <w:t>，並於其產製</w:t>
      </w:r>
      <w:r w:rsidRPr="002B19F1">
        <w:rPr>
          <w:rFonts w:hint="eastAsia"/>
        </w:rPr>
        <w:t>或輸入之產品明顯處張貼</w:t>
      </w:r>
      <w:r w:rsidRPr="002B19F1">
        <w:rPr>
          <w:rFonts w:hint="eastAsia"/>
          <w:b/>
        </w:rPr>
        <w:t>安全標示</w:t>
      </w:r>
      <w:r w:rsidRPr="002B19F1">
        <w:rPr>
          <w:rFonts w:hint="eastAsia"/>
        </w:rPr>
        <w:t>，以供識別。」</w:t>
      </w:r>
      <w:bookmarkStart w:id="50" w:name="_Hlk180588999"/>
      <w:proofErr w:type="gramStart"/>
      <w:r w:rsidR="001E5C6E" w:rsidRPr="002B19F1">
        <w:rPr>
          <w:rFonts w:hint="eastAsia"/>
        </w:rPr>
        <w:t>次據</w:t>
      </w:r>
      <w:r w:rsidR="002B19F1" w:rsidRPr="002B19F1">
        <w:rPr>
          <w:rFonts w:hint="eastAsia"/>
        </w:rPr>
        <w:t>職業</w:t>
      </w:r>
      <w:proofErr w:type="gramEnd"/>
      <w:r w:rsidR="002B19F1" w:rsidRPr="002B19F1">
        <w:rPr>
          <w:rFonts w:hint="eastAsia"/>
        </w:rPr>
        <w:t>安全衛生法第7條第4項及第8條第5項規定授權之</w:t>
      </w:r>
      <w:r w:rsidR="006267AE" w:rsidRPr="002B19F1">
        <w:rPr>
          <w:rFonts w:hint="eastAsia"/>
        </w:rPr>
        <w:t>安全標示與驗證合格標章使用及管理辦法第12條</w:t>
      </w:r>
      <w:r w:rsidR="006267AE" w:rsidRPr="00ED2331">
        <w:rPr>
          <w:rFonts w:hint="eastAsia"/>
        </w:rPr>
        <w:t>規定：「對本法第7條或第8條所定應張貼安全標示或驗證合格標章之產品，製造者或輸入者</w:t>
      </w:r>
      <w:r w:rsidR="006267AE" w:rsidRPr="00ED2331">
        <w:rPr>
          <w:rFonts w:hint="eastAsia"/>
          <w:b/>
        </w:rPr>
        <w:t>至遲</w:t>
      </w:r>
      <w:r w:rsidR="006267AE" w:rsidRPr="00ED2331">
        <w:rPr>
          <w:rFonts w:hint="eastAsia"/>
        </w:rPr>
        <w:t>應於提供該產品予供應者或雇主前，完成張貼標示或標章。」</w:t>
      </w:r>
      <w:r w:rsidR="002B19F1">
        <w:rPr>
          <w:rFonts w:hint="eastAsia"/>
        </w:rPr>
        <w:t>該條文</w:t>
      </w:r>
      <w:r w:rsidR="006267AE" w:rsidRPr="00ED2331">
        <w:rPr>
          <w:rFonts w:hint="eastAsia"/>
        </w:rPr>
        <w:t>立法理由：「安全標示或驗證合格標章之</w:t>
      </w:r>
      <w:r w:rsidR="006267AE" w:rsidRPr="00ED2331">
        <w:rPr>
          <w:rFonts w:hint="eastAsia"/>
          <w:b/>
        </w:rPr>
        <w:t>張貼時機，至遲</w:t>
      </w:r>
      <w:r w:rsidR="006267AE" w:rsidRPr="00ED2331">
        <w:rPr>
          <w:rFonts w:hint="eastAsia"/>
        </w:rPr>
        <w:t>應以製造者或輸入者</w:t>
      </w:r>
      <w:r w:rsidR="006267AE" w:rsidRPr="00ED2331">
        <w:rPr>
          <w:rFonts w:hint="eastAsia"/>
          <w:b/>
        </w:rPr>
        <w:t>提供該產品予</w:t>
      </w:r>
      <w:r w:rsidR="006267AE" w:rsidRPr="00ED2331">
        <w:rPr>
          <w:rFonts w:hint="eastAsia"/>
        </w:rPr>
        <w:t>供應者或</w:t>
      </w:r>
      <w:r w:rsidR="006267AE" w:rsidRPr="00ED2331">
        <w:rPr>
          <w:rFonts w:hint="eastAsia"/>
          <w:b/>
        </w:rPr>
        <w:t>雇主前完成之</w:t>
      </w:r>
      <w:r w:rsidR="006267AE" w:rsidRPr="00ED2331">
        <w:rPr>
          <w:rFonts w:hint="eastAsia"/>
        </w:rPr>
        <w:t>。」</w:t>
      </w:r>
      <w:bookmarkEnd w:id="50"/>
      <w:r w:rsidRPr="00ED2331">
        <w:rPr>
          <w:rFonts w:hint="eastAsia"/>
        </w:rPr>
        <w:t>是</w:t>
      </w:r>
      <w:proofErr w:type="gramStart"/>
      <w:r w:rsidRPr="00ED2331">
        <w:rPr>
          <w:rFonts w:hint="eastAsia"/>
        </w:rPr>
        <w:t>以</w:t>
      </w:r>
      <w:proofErr w:type="gramEnd"/>
      <w:r w:rsidRPr="00ED2331">
        <w:rPr>
          <w:rFonts w:hint="eastAsia"/>
        </w:rPr>
        <w:t>，</w:t>
      </w:r>
      <w:r w:rsidR="00140E8C" w:rsidRPr="00ED2331">
        <w:rPr>
          <w:rFonts w:hint="eastAsia"/>
        </w:rPr>
        <w:t>本案天然氣渦輪表因屬設置於危險區域之防爆電器設備，</w:t>
      </w:r>
      <w:r w:rsidRPr="00ED2331">
        <w:rPr>
          <w:rFonts w:hint="eastAsia"/>
        </w:rPr>
        <w:t>中油公司辦理天然氣計量用渦輪表採購案之決標廠商，至遲於交貨前完成</w:t>
      </w:r>
      <w:r w:rsidR="001103F3">
        <w:rPr>
          <w:rFonts w:hint="eastAsia"/>
        </w:rPr>
        <w:t>勞動部職業</w:t>
      </w:r>
      <w:proofErr w:type="gramStart"/>
      <w:r w:rsidR="001103F3">
        <w:rPr>
          <w:rFonts w:hint="eastAsia"/>
        </w:rPr>
        <w:t>安全衛生</w:t>
      </w:r>
      <w:proofErr w:type="gramEnd"/>
      <w:r w:rsidR="001103F3">
        <w:rPr>
          <w:rFonts w:hint="eastAsia"/>
        </w:rPr>
        <w:t>署</w:t>
      </w:r>
      <w:r w:rsidR="00FF1553" w:rsidRPr="00FF1553">
        <w:rPr>
          <w:rFonts w:hint="eastAsia"/>
        </w:rPr>
        <w:t>（下稱勞動部職安署）</w:t>
      </w:r>
      <w:r w:rsidRPr="00ED2331">
        <w:rPr>
          <w:rFonts w:hint="eastAsia"/>
        </w:rPr>
        <w:t>安全標</w:t>
      </w:r>
      <w:r w:rsidRPr="00ED2331">
        <w:rPr>
          <w:rFonts w:hint="eastAsia"/>
        </w:rPr>
        <w:lastRenderedPageBreak/>
        <w:t>示</w:t>
      </w:r>
      <w:r w:rsidR="006C06BC">
        <w:rPr>
          <w:rFonts w:hint="eastAsia"/>
        </w:rPr>
        <w:t>（下稱TS安全標示）</w:t>
      </w:r>
      <w:r w:rsidRPr="00ED2331">
        <w:rPr>
          <w:rFonts w:hint="eastAsia"/>
        </w:rPr>
        <w:t>，尚屬合法</w:t>
      </w:r>
      <w:r w:rsidR="006267AE" w:rsidRPr="00ED2331">
        <w:rPr>
          <w:rFonts w:hint="eastAsia"/>
        </w:rPr>
        <w:t>。</w:t>
      </w:r>
    </w:p>
    <w:p w:rsidR="004D47FD" w:rsidRPr="00ED2331" w:rsidRDefault="005F4C72" w:rsidP="00D64FFB">
      <w:pPr>
        <w:pStyle w:val="3"/>
      </w:pPr>
      <w:r w:rsidRPr="00ED2331">
        <w:rPr>
          <w:rFonts w:hint="eastAsia"/>
        </w:rPr>
        <w:t>經查，</w:t>
      </w:r>
      <w:r w:rsidR="004D47FD" w:rsidRPr="00ED2331">
        <w:rPr>
          <w:rFonts w:hint="eastAsia"/>
        </w:rPr>
        <w:t>中油公司「器材採購標準規範PS-97.0002-Rev.1.1；日期111.10.05」第3.7.3節規定：「指數器須有</w:t>
      </w:r>
      <w:r w:rsidR="004D47FD" w:rsidRPr="00ED2331">
        <w:rPr>
          <w:rFonts w:hint="eastAsia"/>
          <w:b/>
        </w:rPr>
        <w:t>脈衝訊號輸出</w:t>
      </w:r>
      <w:r w:rsidR="004D47FD" w:rsidRPr="00ED2331">
        <w:rPr>
          <w:rFonts w:hint="eastAsia"/>
        </w:rPr>
        <w:t>，並以</w:t>
      </w:r>
      <w:r w:rsidR="00EB5623">
        <w:rPr>
          <w:rFonts w:hint="eastAsia"/>
        </w:rPr>
        <w:t>2</w:t>
      </w:r>
      <w:r w:rsidR="004D47FD" w:rsidRPr="00ED2331">
        <w:rPr>
          <w:rFonts w:hint="eastAsia"/>
        </w:rPr>
        <w:t xml:space="preserve">個開關以『感應／確認』模式操作(可規劃為3線式Form-C格式脈衝)，以確保脈衝訊號之正確性。應符合IECEx </w:t>
      </w:r>
      <w:proofErr w:type="spellStart"/>
      <w:r w:rsidR="004D47FD" w:rsidRPr="00ED2331">
        <w:rPr>
          <w:rFonts w:hint="eastAsia"/>
        </w:rPr>
        <w:t>ib</w:t>
      </w:r>
      <w:proofErr w:type="spellEnd"/>
      <w:r w:rsidR="004D47FD" w:rsidRPr="00ED2331">
        <w:rPr>
          <w:rFonts w:hint="eastAsia"/>
        </w:rPr>
        <w:t xml:space="preserve"> IIA T4 Gb 以上或其他標準同等規範，並依職業安全衛生法第7條第3項規定辦理安全資訊申報，經確認符合規定，</w:t>
      </w:r>
      <w:r w:rsidR="004D47FD" w:rsidRPr="00ED2331">
        <w:rPr>
          <w:rFonts w:hint="eastAsia"/>
          <w:b/>
        </w:rPr>
        <w:t>准予登錄並使用</w:t>
      </w:r>
      <w:r w:rsidR="00F2218F">
        <w:rPr>
          <w:rFonts w:hint="eastAsia"/>
          <w:b/>
        </w:rPr>
        <w:t>『</w:t>
      </w:r>
      <w:r w:rsidR="004D47FD" w:rsidRPr="00ED2331">
        <w:rPr>
          <w:rFonts w:hint="eastAsia"/>
          <w:b/>
        </w:rPr>
        <w:t>安全標示TS</w:t>
      </w:r>
      <w:r w:rsidR="00F2218F">
        <w:rPr>
          <w:rFonts w:hint="eastAsia"/>
          <w:b/>
        </w:rPr>
        <w:t>』</w:t>
      </w:r>
      <w:r w:rsidR="004D47FD" w:rsidRPr="00ED2331">
        <w:rPr>
          <w:rFonts w:hint="eastAsia"/>
        </w:rPr>
        <w:t>。」</w:t>
      </w:r>
      <w:r w:rsidR="001E5C6E" w:rsidRPr="00ED2331">
        <w:rPr>
          <w:rFonts w:hint="eastAsia"/>
        </w:rPr>
        <w:t>。</w:t>
      </w:r>
      <w:r w:rsidR="004D47FD" w:rsidRPr="00ED2331">
        <w:rPr>
          <w:rFonts w:hint="eastAsia"/>
        </w:rPr>
        <w:t>該</w:t>
      </w:r>
      <w:r w:rsidRPr="00ED2331">
        <w:rPr>
          <w:rFonts w:hint="eastAsia"/>
        </w:rPr>
        <w:t>器材</w:t>
      </w:r>
      <w:r w:rsidR="004D47FD" w:rsidRPr="00ED2331">
        <w:rPr>
          <w:rFonts w:hint="eastAsia"/>
        </w:rPr>
        <w:t>採購</w:t>
      </w:r>
      <w:r w:rsidRPr="00ED2331">
        <w:rPr>
          <w:rFonts w:hint="eastAsia"/>
        </w:rPr>
        <w:t>標準</w:t>
      </w:r>
      <w:r w:rsidR="004D47FD" w:rsidRPr="00ED2331">
        <w:rPr>
          <w:rFonts w:hint="eastAsia"/>
        </w:rPr>
        <w:t>規範係由中油公司「液化天然氣器材聯合技術小組」訂定，中油公司及所屬單位採購「天然氣計量用渦輪表」設備時，</w:t>
      </w:r>
      <w:proofErr w:type="gramStart"/>
      <w:r w:rsidR="004D47FD" w:rsidRPr="00ED2331">
        <w:rPr>
          <w:rFonts w:hint="eastAsia"/>
        </w:rPr>
        <w:t>均應符合</w:t>
      </w:r>
      <w:proofErr w:type="gramEnd"/>
      <w:r w:rsidR="004D47FD" w:rsidRPr="00ED2331">
        <w:rPr>
          <w:rFonts w:hint="eastAsia"/>
        </w:rPr>
        <w:t>採購標準規範之要求。</w:t>
      </w:r>
      <w:r w:rsidR="00A716B1" w:rsidRPr="00ED2331">
        <w:rPr>
          <w:rFonts w:hint="eastAsia"/>
        </w:rPr>
        <w:t>天然氣計量用渦輪表之「指數器脈衝訊號輸出應有TS安全標示」，為規格審查要件之</w:t>
      </w:r>
      <w:proofErr w:type="gramStart"/>
      <w:r w:rsidR="00A716B1" w:rsidRPr="00ED2331">
        <w:rPr>
          <w:rFonts w:hint="eastAsia"/>
        </w:rPr>
        <w:t>一</w:t>
      </w:r>
      <w:proofErr w:type="gramEnd"/>
      <w:r w:rsidR="00A716B1" w:rsidRPr="00ED2331">
        <w:rPr>
          <w:rFonts w:hint="eastAsia"/>
        </w:rPr>
        <w:t>。</w:t>
      </w:r>
    </w:p>
    <w:p w:rsidR="00AA48FC" w:rsidRPr="00ED2331" w:rsidRDefault="00102980" w:rsidP="00D64FFB">
      <w:pPr>
        <w:pStyle w:val="3"/>
      </w:pPr>
      <w:r w:rsidRPr="00ED2331">
        <w:rPr>
          <w:rFonts w:hint="eastAsia"/>
        </w:rPr>
        <w:t>次</w:t>
      </w:r>
      <w:r w:rsidR="00C147B5" w:rsidRPr="00ED2331">
        <w:rPr>
          <w:rFonts w:hint="eastAsia"/>
        </w:rPr>
        <w:t>查，中油公司</w:t>
      </w:r>
      <w:r w:rsidR="00140E8C" w:rsidRPr="00ED2331">
        <w:rPr>
          <w:rFonts w:hint="eastAsia"/>
        </w:rPr>
        <w:t>辦理</w:t>
      </w:r>
      <w:r w:rsidR="001103F3">
        <w:rPr>
          <w:rFonts w:hint="eastAsia"/>
        </w:rPr>
        <w:t>1</w:t>
      </w:r>
      <w:r w:rsidR="001103F3">
        <w:t>12</w:t>
      </w:r>
      <w:r w:rsidR="001103F3">
        <w:rPr>
          <w:rFonts w:hint="eastAsia"/>
        </w:rPr>
        <w:t>年9月</w:t>
      </w:r>
      <w:r w:rsidR="001103F3" w:rsidRPr="005D59EF">
        <w:rPr>
          <w:rFonts w:hint="eastAsia"/>
        </w:rPr>
        <w:t>至10月間辦理</w:t>
      </w:r>
      <w:r w:rsidR="00140E8C" w:rsidRPr="005D59EF">
        <w:rPr>
          <w:rFonts w:hint="eastAsia"/>
        </w:rPr>
        <w:t>「工業用戶渦輪</w:t>
      </w:r>
      <w:proofErr w:type="gramStart"/>
      <w:r w:rsidR="00140E8C" w:rsidRPr="005D59EF">
        <w:rPr>
          <w:rFonts w:hint="eastAsia"/>
        </w:rPr>
        <w:t>錶</w:t>
      </w:r>
      <w:proofErr w:type="gramEnd"/>
      <w:r w:rsidR="00140E8C" w:rsidRPr="005D59EF">
        <w:rPr>
          <w:rFonts w:hint="eastAsia"/>
        </w:rPr>
        <w:t>一批」（採購案號：L6012P004</w:t>
      </w:r>
      <w:proofErr w:type="gramStart"/>
      <w:r w:rsidR="00140E8C" w:rsidRPr="005D59EF">
        <w:rPr>
          <w:rFonts w:hint="eastAsia"/>
        </w:rPr>
        <w:t>）</w:t>
      </w:r>
      <w:proofErr w:type="gramEnd"/>
      <w:r w:rsidR="00140E8C" w:rsidRPr="005D59EF">
        <w:rPr>
          <w:rFonts w:hint="eastAsia"/>
        </w:rPr>
        <w:t>，採「一次投標、分段開標〔依資格與規格（合併一段）、價格之順序開標〕」，計有</w:t>
      </w:r>
      <w:r w:rsidR="009C2074" w:rsidRPr="005D59EF">
        <w:rPr>
          <w:rFonts w:hint="eastAsia"/>
        </w:rPr>
        <w:t>勵</w:t>
      </w:r>
      <w:r w:rsidR="005D59EF" w:rsidRPr="005D59EF">
        <w:rPr>
          <w:rFonts w:hint="eastAsia"/>
        </w:rPr>
        <w:t>○</w:t>
      </w:r>
      <w:r w:rsidR="009C2074" w:rsidRPr="005D59EF">
        <w:rPr>
          <w:rFonts w:hint="eastAsia"/>
        </w:rPr>
        <w:t>實業有限公司（下稱</w:t>
      </w:r>
      <w:r w:rsidR="005D59EF" w:rsidRPr="005D59EF">
        <w:rPr>
          <w:rFonts w:hint="eastAsia"/>
        </w:rPr>
        <w:t>勵○</w:t>
      </w:r>
      <w:r w:rsidR="009C2074" w:rsidRPr="005D59EF">
        <w:rPr>
          <w:rFonts w:hint="eastAsia"/>
        </w:rPr>
        <w:t>公司）、新</w:t>
      </w:r>
      <w:r w:rsidR="005D59EF" w:rsidRPr="005D59EF">
        <w:rPr>
          <w:rFonts w:hint="eastAsia"/>
        </w:rPr>
        <w:t>○</w:t>
      </w:r>
      <w:r w:rsidR="009C2074" w:rsidRPr="005D59EF">
        <w:rPr>
          <w:rFonts w:hint="eastAsia"/>
        </w:rPr>
        <w:t>光實業股份有限公司（下稱新</w:t>
      </w:r>
      <w:r w:rsidR="005D59EF" w:rsidRPr="005D59EF">
        <w:rPr>
          <w:rFonts w:hint="eastAsia"/>
        </w:rPr>
        <w:t>○</w:t>
      </w:r>
      <w:r w:rsidR="009C2074" w:rsidRPr="005D59EF">
        <w:rPr>
          <w:rFonts w:hint="eastAsia"/>
        </w:rPr>
        <w:t>光公司）</w:t>
      </w:r>
      <w:r w:rsidR="00140E8C" w:rsidRPr="005D59EF">
        <w:rPr>
          <w:rFonts w:hint="eastAsia"/>
        </w:rPr>
        <w:t>2家投標廠商，均進入資格與規格審查階段</w:t>
      </w:r>
      <w:r w:rsidR="001420A5" w:rsidRPr="005D59EF">
        <w:rPr>
          <w:rFonts w:hint="eastAsia"/>
        </w:rPr>
        <w:t>。</w:t>
      </w:r>
      <w:r w:rsidR="009C2074" w:rsidRPr="005D59EF">
        <w:rPr>
          <w:rFonts w:hint="eastAsia"/>
        </w:rPr>
        <w:t>審標內容「天然氣計量用渦輪表規範第3</w:t>
      </w:r>
      <w:r w:rsidR="009C2074" w:rsidRPr="005D59EF">
        <w:t>.7.3</w:t>
      </w:r>
      <w:r w:rsidR="009C2074" w:rsidRPr="005D59EF">
        <w:rPr>
          <w:rFonts w:hint="eastAsia"/>
        </w:rPr>
        <w:t>節</w:t>
      </w:r>
      <w:r w:rsidR="00CB1FD7" w:rsidRPr="005D59EF">
        <w:rPr>
          <w:rFonts w:hint="eastAsia"/>
        </w:rPr>
        <w:t>：</w:t>
      </w:r>
      <w:r w:rsidR="009C2074" w:rsidRPr="005D59EF">
        <w:rPr>
          <w:rFonts w:hint="eastAsia"/>
        </w:rPr>
        <w:t>脈衝產生器應具有T</w:t>
      </w:r>
      <w:r w:rsidR="009C2074" w:rsidRPr="005D59EF">
        <w:t>S</w:t>
      </w:r>
      <w:r w:rsidR="009C2074" w:rsidRPr="005D59EF">
        <w:rPr>
          <w:rFonts w:hint="eastAsia"/>
        </w:rPr>
        <w:t>安全標示」部分，</w:t>
      </w:r>
      <w:r w:rsidR="001420A5" w:rsidRPr="005D59EF">
        <w:rPr>
          <w:rFonts w:hint="eastAsia"/>
        </w:rPr>
        <w:t>投標廠商</w:t>
      </w:r>
      <w:proofErr w:type="gramStart"/>
      <w:r w:rsidR="005D59EF" w:rsidRPr="005D59EF">
        <w:rPr>
          <w:rFonts w:hint="eastAsia"/>
        </w:rPr>
        <w:t>勵</w:t>
      </w:r>
      <w:proofErr w:type="gramEnd"/>
      <w:r w:rsidR="005D59EF" w:rsidRPr="005D59EF">
        <w:rPr>
          <w:rFonts w:hint="eastAsia"/>
        </w:rPr>
        <w:t>○</w:t>
      </w:r>
      <w:r w:rsidR="001420A5" w:rsidRPr="005D59EF">
        <w:rPr>
          <w:rFonts w:hint="eastAsia"/>
        </w:rPr>
        <w:t>公司出具「</w:t>
      </w:r>
      <w:r w:rsidR="005D59EF" w:rsidRPr="005D59EF">
        <w:rPr>
          <w:rFonts w:hint="eastAsia"/>
        </w:rPr>
        <w:t>永○</w:t>
      </w:r>
      <w:r w:rsidR="009C2074" w:rsidRPr="005D59EF">
        <w:rPr>
          <w:rFonts w:hint="eastAsia"/>
        </w:rPr>
        <w:t>工程股份有限公司（下稱</w:t>
      </w:r>
      <w:r w:rsidR="005D59EF" w:rsidRPr="005D59EF">
        <w:rPr>
          <w:rFonts w:hint="eastAsia"/>
        </w:rPr>
        <w:t>永○</w:t>
      </w:r>
      <w:r w:rsidR="009C2074" w:rsidRPr="005D59EF">
        <w:rPr>
          <w:rFonts w:hint="eastAsia"/>
        </w:rPr>
        <w:t>工程公司）</w:t>
      </w:r>
      <w:r w:rsidR="001420A5" w:rsidRPr="005D59EF">
        <w:rPr>
          <w:rFonts w:hint="eastAsia"/>
        </w:rPr>
        <w:t>TS安全標示申報登錄完成資料」，</w:t>
      </w:r>
      <w:r w:rsidR="005D59EF" w:rsidRPr="005D59EF">
        <w:rPr>
          <w:rFonts w:hint="eastAsia"/>
        </w:rPr>
        <w:t>新○光</w:t>
      </w:r>
      <w:r w:rsidR="001420A5" w:rsidRPr="005D59EF">
        <w:rPr>
          <w:rFonts w:hint="eastAsia"/>
        </w:rPr>
        <w:t>公司</w:t>
      </w:r>
      <w:r w:rsidR="009C2074" w:rsidRPr="005D59EF">
        <w:rPr>
          <w:rFonts w:hint="eastAsia"/>
        </w:rPr>
        <w:t>則</w:t>
      </w:r>
      <w:r w:rsidR="001420A5" w:rsidRPr="00ED2331">
        <w:rPr>
          <w:rFonts w:hint="eastAsia"/>
        </w:rPr>
        <w:t>出示「T</w:t>
      </w:r>
      <w:r w:rsidR="001420A5" w:rsidRPr="00ED2331">
        <w:t>S</w:t>
      </w:r>
      <w:r w:rsidR="001420A5" w:rsidRPr="00ED2331">
        <w:rPr>
          <w:rFonts w:hint="eastAsia"/>
        </w:rPr>
        <w:t>保證書」切結書，聲明「三、本公司已於1</w:t>
      </w:r>
      <w:r w:rsidR="001420A5" w:rsidRPr="00ED2331">
        <w:t>12</w:t>
      </w:r>
      <w:r w:rsidR="001420A5" w:rsidRPr="00ED2331">
        <w:rPr>
          <w:rFonts w:hint="eastAsia"/>
        </w:rPr>
        <w:t>年9月1</w:t>
      </w:r>
      <w:r w:rsidR="001420A5" w:rsidRPr="00ED2331">
        <w:t>1</w:t>
      </w:r>
      <w:r w:rsidR="001420A5" w:rsidRPr="00ED2331">
        <w:rPr>
          <w:rFonts w:hint="eastAsia"/>
        </w:rPr>
        <w:t>日提出T</w:t>
      </w:r>
      <w:r w:rsidR="001420A5" w:rsidRPr="00ED2331">
        <w:t>S</w:t>
      </w:r>
      <w:r w:rsidR="001420A5" w:rsidRPr="00ED2331">
        <w:rPr>
          <w:rFonts w:hint="eastAsia"/>
        </w:rPr>
        <w:t>安全標示申請，案號T</w:t>
      </w:r>
      <w:r w:rsidR="001420A5" w:rsidRPr="00ED2331">
        <w:t>D107120499</w:t>
      </w:r>
      <w:r w:rsidR="001420A5" w:rsidRPr="00ED2331">
        <w:rPr>
          <w:rFonts w:hint="eastAsia"/>
        </w:rPr>
        <w:t>，並依據安全標示與驗證合格標章使用管理辦法第12條所示『對本法第7條或第8條所定應張貼安全標示或驗證合格標章之產品，製造者或輸入者至遲應於提供該產品予供應者或雇主前，完</w:t>
      </w:r>
      <w:r w:rsidR="001420A5" w:rsidRPr="00ED2331">
        <w:rPr>
          <w:rFonts w:hint="eastAsia"/>
        </w:rPr>
        <w:lastRenderedPageBreak/>
        <w:t>成張貼標示或標章。』四、本公司保證將於產品交貨前提供據T</w:t>
      </w:r>
      <w:r w:rsidR="001420A5" w:rsidRPr="00ED2331">
        <w:t>S</w:t>
      </w:r>
      <w:r w:rsidR="001420A5" w:rsidRPr="00ED2331">
        <w:rPr>
          <w:rFonts w:hint="eastAsia"/>
        </w:rPr>
        <w:t>安全標示登錄完成的產品，恐口說無憑，特此證明。」審標</w:t>
      </w:r>
      <w:proofErr w:type="gramStart"/>
      <w:r w:rsidR="001420A5" w:rsidRPr="00ED2331">
        <w:rPr>
          <w:rFonts w:hint="eastAsia"/>
        </w:rPr>
        <w:t>結果均為</w:t>
      </w:r>
      <w:proofErr w:type="gramEnd"/>
      <w:r w:rsidR="0000041D" w:rsidRPr="00ED2331">
        <w:rPr>
          <w:rFonts w:hint="eastAsia"/>
        </w:rPr>
        <w:t>「</w:t>
      </w:r>
      <w:r w:rsidR="001420A5" w:rsidRPr="00ED2331">
        <w:rPr>
          <w:rFonts w:hint="eastAsia"/>
        </w:rPr>
        <w:t>合格</w:t>
      </w:r>
      <w:r w:rsidR="0000041D" w:rsidRPr="00ED2331">
        <w:rPr>
          <w:rFonts w:hint="eastAsia"/>
        </w:rPr>
        <w:t>」</w:t>
      </w:r>
      <w:r w:rsidR="001420A5" w:rsidRPr="00ED2331">
        <w:rPr>
          <w:rFonts w:hint="eastAsia"/>
        </w:rPr>
        <w:t>。</w:t>
      </w:r>
    </w:p>
    <w:p w:rsidR="0000041D" w:rsidRPr="00ED2331" w:rsidRDefault="0000041D" w:rsidP="00D64FFB">
      <w:pPr>
        <w:pStyle w:val="3"/>
      </w:pPr>
      <w:r w:rsidRPr="00ED2331">
        <w:rPr>
          <w:rFonts w:hint="eastAsia"/>
        </w:rPr>
        <w:t>有關</w:t>
      </w:r>
      <w:r w:rsidR="005D59EF">
        <w:rPr>
          <w:rFonts w:hint="eastAsia"/>
        </w:rPr>
        <w:t>新○光</w:t>
      </w:r>
      <w:r w:rsidRPr="00ED2331">
        <w:rPr>
          <w:rFonts w:hint="eastAsia"/>
        </w:rPr>
        <w:t>公司以切結書作為T</w:t>
      </w:r>
      <w:r w:rsidRPr="00ED2331">
        <w:t>S</w:t>
      </w:r>
      <w:r w:rsidRPr="00ED2331">
        <w:rPr>
          <w:rFonts w:hint="eastAsia"/>
        </w:rPr>
        <w:t>安全標示證明文件屬合格標一事，</w:t>
      </w:r>
      <w:proofErr w:type="gramStart"/>
      <w:r w:rsidRPr="00ED2331">
        <w:rPr>
          <w:rFonts w:hint="eastAsia"/>
        </w:rPr>
        <w:t>詢</w:t>
      </w:r>
      <w:proofErr w:type="gramEnd"/>
      <w:r w:rsidRPr="00ED2331">
        <w:rPr>
          <w:rFonts w:hint="eastAsia"/>
        </w:rPr>
        <w:t>據中油公司表示：「南區處為廣徵廠商參與，</w:t>
      </w:r>
      <w:proofErr w:type="gramStart"/>
      <w:r w:rsidRPr="00ED2331">
        <w:rPr>
          <w:rFonts w:hint="eastAsia"/>
        </w:rPr>
        <w:t>故審酌</w:t>
      </w:r>
      <w:proofErr w:type="gramEnd"/>
      <w:r w:rsidRPr="00ED2331">
        <w:rPr>
          <w:rFonts w:hint="eastAsia"/>
        </w:rPr>
        <w:t>安全標示與驗證合格標章使用及管理辦法第12條規定：『…</w:t>
      </w:r>
      <w:proofErr w:type="gramStart"/>
      <w:r w:rsidRPr="00ED2331">
        <w:rPr>
          <w:rFonts w:hint="eastAsia"/>
        </w:rPr>
        <w:t>…</w:t>
      </w:r>
      <w:proofErr w:type="gramEnd"/>
      <w:r w:rsidRPr="00ED2331">
        <w:rPr>
          <w:rFonts w:hint="eastAsia"/>
        </w:rPr>
        <w:t>應張貼安全標示或驗證合格標章之產品，製造者或輸入者至遲應於提供該產品予供應者或雇主前，完成張貼標示或標章』，爰</w:t>
      </w:r>
      <w:r w:rsidRPr="00ED2331">
        <w:rPr>
          <w:rFonts w:hint="eastAsia"/>
          <w:b/>
        </w:rPr>
        <w:t>准許廠商在交貨時提供具安全標示TS之產品</w:t>
      </w:r>
      <w:r w:rsidRPr="00ED2331">
        <w:rPr>
          <w:rFonts w:hint="eastAsia"/>
        </w:rPr>
        <w:t>，</w:t>
      </w:r>
      <w:r w:rsidRPr="00ED2331">
        <w:rPr>
          <w:rFonts w:hint="eastAsia"/>
          <w:b/>
        </w:rPr>
        <w:t>判定合格</w:t>
      </w:r>
      <w:r w:rsidRPr="00ED2331">
        <w:rPr>
          <w:rFonts w:hint="eastAsia"/>
        </w:rPr>
        <w:t>。本案廠商於履約完成時取得TS認證，延遲履約部分業依契約規定辦理，</w:t>
      </w:r>
      <w:r w:rsidRPr="00ED2331">
        <w:rPr>
          <w:rFonts w:hint="eastAsia"/>
          <w:b/>
        </w:rPr>
        <w:t>未損及公司與廠商權益</w:t>
      </w:r>
      <w:r w:rsidRPr="00ED2331">
        <w:rPr>
          <w:rFonts w:hint="eastAsia"/>
        </w:rPr>
        <w:t>；另將針對審標人員進行教育訓練。」</w:t>
      </w:r>
    </w:p>
    <w:p w:rsidR="00073CB5" w:rsidRPr="00ED2331" w:rsidRDefault="0000041D" w:rsidP="0000041D">
      <w:pPr>
        <w:pStyle w:val="3"/>
      </w:pPr>
      <w:bookmarkStart w:id="51" w:name="_Toc421794874"/>
      <w:bookmarkStart w:id="52" w:name="_Toc421795440"/>
      <w:bookmarkStart w:id="53" w:name="_Toc421796021"/>
      <w:bookmarkStart w:id="54" w:name="_Toc422834159"/>
      <w:proofErr w:type="gramStart"/>
      <w:r w:rsidRPr="00ED2331">
        <w:rPr>
          <w:rFonts w:hint="eastAsia"/>
          <w:b/>
        </w:rPr>
        <w:t>惟查</w:t>
      </w:r>
      <w:proofErr w:type="gramEnd"/>
      <w:r w:rsidRPr="00ED2331">
        <w:rPr>
          <w:rFonts w:hint="eastAsia"/>
        </w:rPr>
        <w:t>，</w:t>
      </w:r>
      <w:bookmarkEnd w:id="51"/>
      <w:bookmarkEnd w:id="52"/>
      <w:bookmarkEnd w:id="53"/>
      <w:bookmarkEnd w:id="54"/>
      <w:r w:rsidR="005D59EF">
        <w:rPr>
          <w:rFonts w:hint="eastAsia"/>
        </w:rPr>
        <w:t>新○光</w:t>
      </w:r>
      <w:r w:rsidRPr="00ED2331">
        <w:rPr>
          <w:rFonts w:hint="eastAsia"/>
        </w:rPr>
        <w:t>公司</w:t>
      </w:r>
      <w:r w:rsidR="00AF64F0">
        <w:rPr>
          <w:rFonts w:hint="eastAsia"/>
        </w:rPr>
        <w:t>甫</w:t>
      </w:r>
      <w:r w:rsidRPr="00ED2331">
        <w:rPr>
          <w:rFonts w:hint="eastAsia"/>
        </w:rPr>
        <w:t>於112年10月19日為「工業用戶渦輪錶一批」決標廠商，於後續1至2個月內</w:t>
      </w:r>
      <w:r w:rsidR="00AF64F0">
        <w:rPr>
          <w:rFonts w:hint="eastAsia"/>
        </w:rPr>
        <w:t>接續辦理招標公告</w:t>
      </w:r>
      <w:r w:rsidRPr="00ED2331">
        <w:rPr>
          <w:rFonts w:hint="eastAsia"/>
        </w:rPr>
        <w:t>，</w:t>
      </w:r>
      <w:r w:rsidR="00AF64F0">
        <w:rPr>
          <w:rFonts w:hint="eastAsia"/>
        </w:rPr>
        <w:t>並於</w:t>
      </w:r>
      <w:r w:rsidRPr="00ED2331">
        <w:rPr>
          <w:rFonts w:hint="eastAsia"/>
        </w:rPr>
        <w:t>112年11月29日、12月6日決標之「嘉供渦輪表一批」、「中供渦輪錶一批」</w:t>
      </w:r>
      <w:proofErr w:type="gramStart"/>
      <w:r w:rsidRPr="00ED2331">
        <w:rPr>
          <w:rFonts w:hint="eastAsia"/>
        </w:rPr>
        <w:t>均因</w:t>
      </w:r>
      <w:proofErr w:type="gramEnd"/>
      <w:r w:rsidR="007408EA" w:rsidRPr="00ED2331">
        <w:rPr>
          <w:rFonts w:hint="eastAsia"/>
        </w:rPr>
        <w:t>僅提供切結書而</w:t>
      </w:r>
      <w:r w:rsidRPr="00ED2331">
        <w:rPr>
          <w:rFonts w:hint="eastAsia"/>
        </w:rPr>
        <w:t>未能於投標階段即具備「TS安全標示申報登錄完成資料」，遭判定為不合格廠商。</w:t>
      </w:r>
      <w:r w:rsidR="007408EA" w:rsidRPr="00ED2331">
        <w:rPr>
          <w:rFonts w:hint="eastAsia"/>
        </w:rPr>
        <w:t>就此</w:t>
      </w:r>
      <w:r w:rsidR="00AF64F0">
        <w:rPr>
          <w:rFonts w:hint="eastAsia"/>
        </w:rPr>
        <w:t>同類採購卻有</w:t>
      </w:r>
      <w:r w:rsidR="007408EA" w:rsidRPr="00ED2331">
        <w:rPr>
          <w:rFonts w:hint="eastAsia"/>
        </w:rPr>
        <w:t>不同審標認定</w:t>
      </w:r>
      <w:r w:rsidR="00AF64F0">
        <w:rPr>
          <w:rFonts w:hint="eastAsia"/>
        </w:rPr>
        <w:t>等情</w:t>
      </w:r>
      <w:r w:rsidR="007408EA" w:rsidRPr="00ED2331">
        <w:rPr>
          <w:rFonts w:hint="eastAsia"/>
        </w:rPr>
        <w:t>，</w:t>
      </w:r>
      <w:proofErr w:type="gramStart"/>
      <w:r w:rsidR="007408EA" w:rsidRPr="00ED2331">
        <w:rPr>
          <w:rFonts w:hint="eastAsia"/>
        </w:rPr>
        <w:t>詢</w:t>
      </w:r>
      <w:proofErr w:type="gramEnd"/>
      <w:r w:rsidR="007408EA" w:rsidRPr="00ED2331">
        <w:rPr>
          <w:rFonts w:hint="eastAsia"/>
        </w:rPr>
        <w:t>據中油公司表示：「經研討廠商如於交貨時未能取得相關認證，</w:t>
      </w:r>
      <w:proofErr w:type="gramStart"/>
      <w:r w:rsidR="007408EA" w:rsidRPr="00ED2331">
        <w:rPr>
          <w:rFonts w:hint="eastAsia"/>
          <w:b/>
        </w:rPr>
        <w:t>恐致工作</w:t>
      </w:r>
      <w:proofErr w:type="gramEnd"/>
      <w:r w:rsidR="007408EA" w:rsidRPr="00ED2331">
        <w:rPr>
          <w:rFonts w:hint="eastAsia"/>
          <w:b/>
        </w:rPr>
        <w:t>排程延宕</w:t>
      </w:r>
      <w:r w:rsidR="007408EA" w:rsidRPr="00ED2331">
        <w:rPr>
          <w:rFonts w:hint="eastAsia"/>
        </w:rPr>
        <w:t>；</w:t>
      </w:r>
      <w:proofErr w:type="gramStart"/>
      <w:r w:rsidR="007408EA" w:rsidRPr="00ED2331">
        <w:rPr>
          <w:rFonts w:hint="eastAsia"/>
        </w:rPr>
        <w:t>再者，</w:t>
      </w:r>
      <w:proofErr w:type="gramEnd"/>
      <w:r w:rsidR="007408EA" w:rsidRPr="00ED2331">
        <w:rPr>
          <w:rFonts w:hint="eastAsia"/>
        </w:rPr>
        <w:t>防爆區之電氣設備具備TS認證關乎工安問題。基此，南區處</w:t>
      </w:r>
      <w:r w:rsidR="006352A7" w:rsidRPr="00ED2331">
        <w:rPr>
          <w:rFonts w:hint="eastAsia"/>
        </w:rPr>
        <w:t>函請</w:t>
      </w:r>
      <w:r w:rsidR="007408EA" w:rsidRPr="00ED2331">
        <w:rPr>
          <w:rFonts w:hint="eastAsia"/>
        </w:rPr>
        <w:t>該公司</w:t>
      </w:r>
      <w:r w:rsidR="001103F3">
        <w:rPr>
          <w:rFonts w:hint="eastAsia"/>
        </w:rPr>
        <w:t>補</w:t>
      </w:r>
      <w:r w:rsidR="007408EA" w:rsidRPr="00ED2331">
        <w:rPr>
          <w:rFonts w:hint="eastAsia"/>
        </w:rPr>
        <w:t>充說明，</w:t>
      </w:r>
      <w:proofErr w:type="gramStart"/>
      <w:r w:rsidR="007408EA" w:rsidRPr="00ED2331">
        <w:rPr>
          <w:rFonts w:hint="eastAsia"/>
        </w:rPr>
        <w:t>時間屆至仍</w:t>
      </w:r>
      <w:proofErr w:type="gramEnd"/>
      <w:r w:rsidR="007408EA" w:rsidRPr="00ED2331">
        <w:rPr>
          <w:rFonts w:hint="eastAsia"/>
        </w:rPr>
        <w:t>無法提出，即依未能符合本公司『天然氣計量用渦輪表規範3.7.3』，判定</w:t>
      </w:r>
      <w:r w:rsidR="007408EA" w:rsidRPr="00ED2331">
        <w:rPr>
          <w:rFonts w:hint="eastAsia"/>
          <w:b/>
        </w:rPr>
        <w:t>不合格</w:t>
      </w:r>
      <w:r w:rsidR="007408EA" w:rsidRPr="00ED2331">
        <w:rPr>
          <w:rFonts w:hint="eastAsia"/>
        </w:rPr>
        <w:t>。」</w:t>
      </w:r>
    </w:p>
    <w:p w:rsidR="003A1049" w:rsidRPr="00ED2331" w:rsidRDefault="008A743C" w:rsidP="007408EA">
      <w:pPr>
        <w:pStyle w:val="3"/>
      </w:pPr>
      <w:r w:rsidRPr="00ED2331">
        <w:rPr>
          <w:rFonts w:hint="eastAsia"/>
        </w:rPr>
        <w:t>為</w:t>
      </w:r>
      <w:proofErr w:type="gramStart"/>
      <w:r w:rsidRPr="00ED2331">
        <w:rPr>
          <w:rFonts w:hint="eastAsia"/>
          <w:b/>
        </w:rPr>
        <w:t>釐清審</w:t>
      </w:r>
      <w:proofErr w:type="gramEnd"/>
      <w:r w:rsidRPr="00ED2331">
        <w:rPr>
          <w:rFonts w:hint="eastAsia"/>
          <w:b/>
        </w:rPr>
        <w:t>標</w:t>
      </w:r>
      <w:r w:rsidR="00152166" w:rsidRPr="00ED2331">
        <w:rPr>
          <w:rFonts w:hint="eastAsia"/>
          <w:b/>
        </w:rPr>
        <w:t>作業認定</w:t>
      </w:r>
      <w:r w:rsidR="006352A7" w:rsidRPr="00ED2331">
        <w:rPr>
          <w:rFonts w:hint="eastAsia"/>
          <w:b/>
        </w:rPr>
        <w:t>似有</w:t>
      </w:r>
      <w:r w:rsidR="00152166" w:rsidRPr="00ED2331">
        <w:rPr>
          <w:rFonts w:hint="eastAsia"/>
          <w:b/>
        </w:rPr>
        <w:t>不一</w:t>
      </w:r>
      <w:r w:rsidR="00152166" w:rsidRPr="00ED2331">
        <w:rPr>
          <w:rFonts w:hint="eastAsia"/>
        </w:rPr>
        <w:t>之過程，</w:t>
      </w:r>
      <w:r w:rsidR="004D47FD" w:rsidRPr="00ED2331">
        <w:rPr>
          <w:rFonts w:hint="eastAsia"/>
        </w:rPr>
        <w:t>經調閱「工業用戶渦輪錶一批」、「嘉供渦輪表一批」、「中供渦輪錶一批」3案之審標文件</w:t>
      </w:r>
      <w:r w:rsidR="00152166" w:rsidRPr="00ED2331">
        <w:rPr>
          <w:rFonts w:hint="eastAsia"/>
        </w:rPr>
        <w:t>顯示</w:t>
      </w:r>
      <w:r w:rsidR="004D47FD" w:rsidRPr="00ED2331">
        <w:rPr>
          <w:rFonts w:hint="eastAsia"/>
        </w:rPr>
        <w:t>，</w:t>
      </w:r>
      <w:r w:rsidR="009615B1" w:rsidRPr="00ED2331">
        <w:rPr>
          <w:rFonts w:hint="eastAsia"/>
        </w:rPr>
        <w:t>該3案開標</w:t>
      </w:r>
      <w:proofErr w:type="gramStart"/>
      <w:r w:rsidR="009615B1" w:rsidRPr="00ED2331">
        <w:rPr>
          <w:rFonts w:hint="eastAsia"/>
        </w:rPr>
        <w:t>後</w:t>
      </w:r>
      <w:r w:rsidRPr="00ED2331">
        <w:rPr>
          <w:rFonts w:hint="eastAsia"/>
        </w:rPr>
        <w:t>均</w:t>
      </w:r>
      <w:r w:rsidR="006352A7" w:rsidRPr="00ED2331">
        <w:rPr>
          <w:rFonts w:hint="eastAsia"/>
        </w:rPr>
        <w:t>依投</w:t>
      </w:r>
      <w:proofErr w:type="gramEnd"/>
      <w:r w:rsidR="006352A7" w:rsidRPr="00ED2331">
        <w:rPr>
          <w:rFonts w:hint="eastAsia"/>
        </w:rPr>
        <w:t>標須知規定，</w:t>
      </w:r>
      <w:r w:rsidR="009615B1" w:rsidRPr="00ED2331">
        <w:rPr>
          <w:rFonts w:hint="eastAsia"/>
        </w:rPr>
        <w:t>由</w:t>
      </w:r>
      <w:r w:rsidR="004D47FD" w:rsidRPr="00ED2331">
        <w:rPr>
          <w:rFonts w:hint="eastAsia"/>
        </w:rPr>
        <w:t>審標單位</w:t>
      </w:r>
      <w:proofErr w:type="gramStart"/>
      <w:r w:rsidR="004D47FD" w:rsidRPr="00ED2331">
        <w:rPr>
          <w:rFonts w:hint="eastAsia"/>
        </w:rPr>
        <w:t>南區處</w:t>
      </w:r>
      <w:r w:rsidR="009615B1" w:rsidRPr="00ED2331">
        <w:rPr>
          <w:rFonts w:hint="eastAsia"/>
        </w:rPr>
        <w:t>攜</w:t>
      </w:r>
      <w:proofErr w:type="gramEnd"/>
      <w:r w:rsidR="009615B1" w:rsidRPr="00ED2331">
        <w:rPr>
          <w:rFonts w:hint="eastAsia"/>
        </w:rPr>
        <w:t>回辦理審標，</w:t>
      </w:r>
      <w:r w:rsidR="00152166" w:rsidRPr="00ED2331">
        <w:rPr>
          <w:rFonts w:hint="eastAsia"/>
        </w:rPr>
        <w:t>由</w:t>
      </w:r>
      <w:proofErr w:type="gramStart"/>
      <w:r w:rsidR="00152166" w:rsidRPr="00ED2331">
        <w:rPr>
          <w:rFonts w:hint="eastAsia"/>
        </w:rPr>
        <w:t>各案審</w:t>
      </w:r>
      <w:proofErr w:type="gramEnd"/>
      <w:r w:rsidR="00152166" w:rsidRPr="00ED2331">
        <w:rPr>
          <w:rFonts w:hint="eastAsia"/>
        </w:rPr>
        <w:t>標人員針對各項規格文件</w:t>
      </w:r>
      <w:proofErr w:type="gramStart"/>
      <w:r w:rsidR="00152166" w:rsidRPr="00ED2331">
        <w:rPr>
          <w:rFonts w:hint="eastAsia"/>
        </w:rPr>
        <w:t>逐項審</w:t>
      </w:r>
      <w:proofErr w:type="gramEnd"/>
      <w:r w:rsidR="00152166" w:rsidRPr="00ED2331">
        <w:rPr>
          <w:rFonts w:hint="eastAsia"/>
        </w:rPr>
        <w:t>認</w:t>
      </w:r>
      <w:r w:rsidR="003A1049" w:rsidRPr="00ED2331">
        <w:rPr>
          <w:rFonts w:hint="eastAsia"/>
        </w:rPr>
        <w:t>。然</w:t>
      </w:r>
      <w:r w:rsidR="003A1049" w:rsidRPr="00ED2331">
        <w:rPr>
          <w:rFonts w:hint="eastAsia"/>
        </w:rPr>
        <w:lastRenderedPageBreak/>
        <w:t>而，</w:t>
      </w:r>
      <w:r w:rsidR="009615B1" w:rsidRPr="00ED2331">
        <w:rPr>
          <w:rFonts w:hint="eastAsia"/>
        </w:rPr>
        <w:t>涉及</w:t>
      </w:r>
      <w:r w:rsidR="00152166" w:rsidRPr="00ED2331">
        <w:rPr>
          <w:rFonts w:hint="eastAsia"/>
        </w:rPr>
        <w:t>「3</w:t>
      </w:r>
      <w:r w:rsidR="00152166" w:rsidRPr="00ED2331">
        <w:t>.7.3</w:t>
      </w:r>
      <w:r w:rsidR="00152166" w:rsidRPr="00ED2331">
        <w:rPr>
          <w:rFonts w:hint="eastAsia"/>
        </w:rPr>
        <w:t>脈衝產生器應有T</w:t>
      </w:r>
      <w:r w:rsidR="00152166" w:rsidRPr="00ED2331">
        <w:t>S</w:t>
      </w:r>
      <w:r w:rsidR="00152166" w:rsidRPr="00ED2331">
        <w:rPr>
          <w:rFonts w:hint="eastAsia"/>
        </w:rPr>
        <w:t>安全標示」</w:t>
      </w:r>
      <w:r w:rsidR="009615B1" w:rsidRPr="00ED2331">
        <w:rPr>
          <w:rFonts w:hint="eastAsia"/>
        </w:rPr>
        <w:t>部分，</w:t>
      </w:r>
      <w:r w:rsidR="003A1049" w:rsidRPr="00ED2331">
        <w:rPr>
          <w:rFonts w:hint="eastAsia"/>
        </w:rPr>
        <w:t>並</w:t>
      </w:r>
      <w:r w:rsidR="006352A7" w:rsidRPr="00ED2331">
        <w:rPr>
          <w:rFonts w:hint="eastAsia"/>
        </w:rPr>
        <w:t>未</w:t>
      </w:r>
      <w:r w:rsidR="009615B1" w:rsidRPr="00ED2331">
        <w:rPr>
          <w:rFonts w:hint="eastAsia"/>
        </w:rPr>
        <w:t>就</w:t>
      </w:r>
      <w:r w:rsidR="003A1049" w:rsidRPr="00ED2331">
        <w:rPr>
          <w:rFonts w:hint="eastAsia"/>
        </w:rPr>
        <w:t>廠商所提疑義，再次確認職業安全衛生法、安全標示與驗證合格標章使用及管理辦法</w:t>
      </w:r>
      <w:r w:rsidR="00535515" w:rsidRPr="00ED2331">
        <w:rPr>
          <w:rFonts w:hint="eastAsia"/>
        </w:rPr>
        <w:t>等法規</w:t>
      </w:r>
      <w:r w:rsidR="003A1049" w:rsidRPr="00ED2331">
        <w:rPr>
          <w:rFonts w:hint="eastAsia"/>
        </w:rPr>
        <w:t>，</w:t>
      </w:r>
      <w:r w:rsidR="00152166" w:rsidRPr="00ED2331">
        <w:rPr>
          <w:rFonts w:hint="eastAsia"/>
        </w:rPr>
        <w:t>有關「TS安全標示完成時機點」之審認</w:t>
      </w:r>
      <w:r w:rsidR="002A0D84" w:rsidRPr="00ED2331">
        <w:rPr>
          <w:rFonts w:hint="eastAsia"/>
        </w:rPr>
        <w:t>，</w:t>
      </w:r>
      <w:proofErr w:type="gramStart"/>
      <w:r w:rsidR="003A1049" w:rsidRPr="00ED2331">
        <w:rPr>
          <w:rFonts w:hint="eastAsia"/>
        </w:rPr>
        <w:t>未</w:t>
      </w:r>
      <w:r w:rsidR="006352A7" w:rsidRPr="00ED2331">
        <w:rPr>
          <w:rFonts w:hint="eastAsia"/>
        </w:rPr>
        <w:t>函請</w:t>
      </w:r>
      <w:proofErr w:type="gramEnd"/>
      <w:r w:rsidR="006352A7" w:rsidRPr="00ED2331">
        <w:rPr>
          <w:rFonts w:hint="eastAsia"/>
        </w:rPr>
        <w:t>主管機關表示意見</w:t>
      </w:r>
      <w:r w:rsidR="0067153F" w:rsidRPr="00ED2331">
        <w:rPr>
          <w:rFonts w:hint="eastAsia"/>
        </w:rPr>
        <w:t>、未細察安全標示與驗證合格標章使用及管理辦法第12條立法理由（安全標示</w:t>
      </w:r>
      <w:r w:rsidR="0067153F" w:rsidRPr="00ED2331">
        <w:rPr>
          <w:rFonts w:hint="eastAsia"/>
          <w:b/>
        </w:rPr>
        <w:t>至遲</w:t>
      </w:r>
      <w:r w:rsidR="0067153F" w:rsidRPr="00ED2331">
        <w:rPr>
          <w:rFonts w:hint="eastAsia"/>
        </w:rPr>
        <w:t>以</w:t>
      </w:r>
      <w:r w:rsidR="0067153F" w:rsidRPr="00ED2331">
        <w:rPr>
          <w:rFonts w:hint="eastAsia"/>
          <w:b/>
        </w:rPr>
        <w:t>提供該產品予雇主前完成之</w:t>
      </w:r>
      <w:r w:rsidR="0067153F" w:rsidRPr="00ED2331">
        <w:rPr>
          <w:rFonts w:hint="eastAsia"/>
        </w:rPr>
        <w:t>），</w:t>
      </w:r>
      <w:r w:rsidR="006352A7" w:rsidRPr="00ED2331">
        <w:rPr>
          <w:rFonts w:hint="eastAsia"/>
        </w:rPr>
        <w:t>亦未</w:t>
      </w:r>
      <w:r w:rsidR="002A0D84" w:rsidRPr="00ED2331">
        <w:rPr>
          <w:rFonts w:hint="eastAsia"/>
        </w:rPr>
        <w:t>內部</w:t>
      </w:r>
      <w:r w:rsidR="006352A7" w:rsidRPr="00ED2331">
        <w:rPr>
          <w:rFonts w:hint="eastAsia"/>
        </w:rPr>
        <w:t>簽辦</w:t>
      </w:r>
      <w:r w:rsidR="003A1049" w:rsidRPr="00ED2331">
        <w:rPr>
          <w:rFonts w:hint="eastAsia"/>
        </w:rPr>
        <w:t>研商</w:t>
      </w:r>
      <w:r w:rsidR="002A0D84" w:rsidRPr="00ED2331">
        <w:rPr>
          <w:rFonts w:hint="eastAsia"/>
        </w:rPr>
        <w:t>，</w:t>
      </w:r>
      <w:r w:rsidR="006352A7" w:rsidRPr="00ED2331">
        <w:rPr>
          <w:rFonts w:hint="eastAsia"/>
        </w:rPr>
        <w:t>以為一致</w:t>
      </w:r>
      <w:r w:rsidR="003A1049" w:rsidRPr="00ED2331">
        <w:rPr>
          <w:rFonts w:hint="eastAsia"/>
        </w:rPr>
        <w:t>審標</w:t>
      </w:r>
      <w:r w:rsidR="006352A7" w:rsidRPr="00ED2331">
        <w:rPr>
          <w:rFonts w:hint="eastAsia"/>
        </w:rPr>
        <w:t>標準</w:t>
      </w:r>
      <w:r w:rsidR="00152166" w:rsidRPr="00ED2331">
        <w:rPr>
          <w:rFonts w:hint="eastAsia"/>
        </w:rPr>
        <w:t>，導致「工業用戶渦輪錶一批」、「嘉供渦輪表一批」、「中供渦輪錶一批」3案雖係依據同樣之採購規範，審標結果</w:t>
      </w:r>
      <w:r w:rsidR="001103F3">
        <w:rPr>
          <w:rFonts w:hint="eastAsia"/>
        </w:rPr>
        <w:t>卻</w:t>
      </w:r>
      <w:r w:rsidR="00152166" w:rsidRPr="00ED2331">
        <w:rPr>
          <w:rFonts w:hint="eastAsia"/>
        </w:rPr>
        <w:t>迥異</w:t>
      </w:r>
      <w:r w:rsidR="001103F3">
        <w:rPr>
          <w:rFonts w:hint="eastAsia"/>
        </w:rPr>
        <w:t>，</w:t>
      </w:r>
      <w:r w:rsidR="0067153F" w:rsidRPr="00ED2331">
        <w:rPr>
          <w:rFonts w:hint="eastAsia"/>
        </w:rPr>
        <w:t>引發爭議</w:t>
      </w:r>
      <w:r w:rsidR="009615B1" w:rsidRPr="00ED2331">
        <w:rPr>
          <w:rFonts w:hint="eastAsia"/>
        </w:rPr>
        <w:t>。</w:t>
      </w:r>
    </w:p>
    <w:p w:rsidR="00F14632" w:rsidRPr="00ED2331" w:rsidRDefault="00E05A7E" w:rsidP="007408EA">
      <w:pPr>
        <w:pStyle w:val="3"/>
      </w:pPr>
      <w:r w:rsidRPr="00ED2331">
        <w:rPr>
          <w:rFonts w:hint="eastAsia"/>
        </w:rPr>
        <w:t>為瞭解</w:t>
      </w:r>
      <w:r w:rsidR="005D59EF">
        <w:rPr>
          <w:rFonts w:hint="eastAsia"/>
        </w:rPr>
        <w:t>新○光</w:t>
      </w:r>
      <w:r w:rsidRPr="00ED2331">
        <w:rPr>
          <w:rFonts w:hint="eastAsia"/>
        </w:rPr>
        <w:t>公司投標之渦輪表產品申請登錄T</w:t>
      </w:r>
      <w:r w:rsidRPr="00ED2331">
        <w:t>S</w:t>
      </w:r>
      <w:r w:rsidRPr="00ED2331">
        <w:rPr>
          <w:rFonts w:hint="eastAsia"/>
        </w:rPr>
        <w:t>安全標示所須時間，是否將造成中油公司工作排程延宕，本院</w:t>
      </w:r>
      <w:proofErr w:type="gramStart"/>
      <w:r w:rsidRPr="00ED2331">
        <w:rPr>
          <w:rFonts w:hint="eastAsia"/>
        </w:rPr>
        <w:t>詢</w:t>
      </w:r>
      <w:proofErr w:type="gramEnd"/>
      <w:r w:rsidRPr="00ED2331">
        <w:rPr>
          <w:rFonts w:hint="eastAsia"/>
        </w:rPr>
        <w:t>據中油公司表示：「</w:t>
      </w:r>
      <w:r w:rsidR="005D59EF">
        <w:rPr>
          <w:rFonts w:hint="eastAsia"/>
        </w:rPr>
        <w:t>新○光</w:t>
      </w:r>
      <w:r w:rsidRPr="00ED2331">
        <w:rPr>
          <w:rFonts w:hint="eastAsia"/>
        </w:rPr>
        <w:t>公司投標之渦輪表產品已取得國際電工協會（IEC）防爆認證，經通知繳交審查費用後，符合規定者約</w:t>
      </w:r>
      <w:r w:rsidRPr="00ED2331">
        <w:rPr>
          <w:rFonts w:hint="eastAsia"/>
          <w:b/>
        </w:rPr>
        <w:t>15日</w:t>
      </w:r>
      <w:r w:rsidRPr="00ED2331">
        <w:rPr>
          <w:rFonts w:hint="eastAsia"/>
        </w:rPr>
        <w:t>可取得TS安全標示。」</w:t>
      </w:r>
      <w:r w:rsidR="0067153F" w:rsidRPr="00ED2331">
        <w:rPr>
          <w:rFonts w:hint="eastAsia"/>
        </w:rPr>
        <w:t>似與</w:t>
      </w:r>
      <w:r w:rsidR="00CC3667" w:rsidRPr="00ED2331">
        <w:rPr>
          <w:rFonts w:hint="eastAsia"/>
        </w:rPr>
        <w:t>中油公司辯稱</w:t>
      </w:r>
      <w:r w:rsidRPr="00ED2331">
        <w:rPr>
          <w:rFonts w:hint="eastAsia"/>
        </w:rPr>
        <w:t>係考慮</w:t>
      </w:r>
      <w:r w:rsidR="00CC3667" w:rsidRPr="00ED2331">
        <w:rPr>
          <w:rFonts w:hint="eastAsia"/>
        </w:rPr>
        <w:t>「</w:t>
      </w:r>
      <w:proofErr w:type="gramStart"/>
      <w:r w:rsidR="00F14632" w:rsidRPr="00ED2331">
        <w:rPr>
          <w:rFonts w:hint="eastAsia"/>
        </w:rPr>
        <w:t>恐致工作</w:t>
      </w:r>
      <w:proofErr w:type="gramEnd"/>
      <w:r w:rsidR="00F14632" w:rsidRPr="00ED2331">
        <w:rPr>
          <w:rFonts w:hint="eastAsia"/>
        </w:rPr>
        <w:t>排程延宕</w:t>
      </w:r>
      <w:r w:rsidR="00CC3667" w:rsidRPr="00ED2331">
        <w:rPr>
          <w:rFonts w:hint="eastAsia"/>
        </w:rPr>
        <w:t>」</w:t>
      </w:r>
      <w:r w:rsidRPr="00ED2331">
        <w:rPr>
          <w:rFonts w:hint="eastAsia"/>
        </w:rPr>
        <w:t>因而判定</w:t>
      </w:r>
      <w:r w:rsidR="005D59EF">
        <w:rPr>
          <w:rFonts w:hint="eastAsia"/>
        </w:rPr>
        <w:t>新○光</w:t>
      </w:r>
      <w:r w:rsidRPr="00ED2331">
        <w:rPr>
          <w:rFonts w:hint="eastAsia"/>
        </w:rPr>
        <w:t>公司為不合格標</w:t>
      </w:r>
      <w:r w:rsidR="00CC3667" w:rsidRPr="00ED2331">
        <w:rPr>
          <w:rFonts w:hint="eastAsia"/>
        </w:rPr>
        <w:t>，</w:t>
      </w:r>
      <w:r w:rsidR="0067153F" w:rsidRPr="00ED2331">
        <w:rPr>
          <w:rFonts w:hint="eastAsia"/>
        </w:rPr>
        <w:t>有所矛盾。</w:t>
      </w:r>
      <w:r w:rsidR="002A0D84" w:rsidRPr="00ED2331">
        <w:rPr>
          <w:rFonts w:hint="eastAsia"/>
        </w:rPr>
        <w:t>又</w:t>
      </w:r>
      <w:r w:rsidR="0067153F" w:rsidRPr="00ED2331">
        <w:rPr>
          <w:rFonts w:hint="eastAsia"/>
        </w:rPr>
        <w:t>，</w:t>
      </w:r>
      <w:r w:rsidR="005D59EF">
        <w:rPr>
          <w:rFonts w:hint="eastAsia"/>
        </w:rPr>
        <w:t>新○光</w:t>
      </w:r>
      <w:r w:rsidR="002A0D84" w:rsidRPr="00ED2331">
        <w:rPr>
          <w:rFonts w:hint="eastAsia"/>
        </w:rPr>
        <w:t>公司</w:t>
      </w:r>
      <w:proofErr w:type="gramStart"/>
      <w:r w:rsidR="00CC3667" w:rsidRPr="00ED2331">
        <w:rPr>
          <w:rFonts w:hint="eastAsia"/>
        </w:rPr>
        <w:t>甫</w:t>
      </w:r>
      <w:proofErr w:type="gramEnd"/>
      <w:r w:rsidR="00CC3667" w:rsidRPr="00ED2331">
        <w:rPr>
          <w:rFonts w:hint="eastAsia"/>
        </w:rPr>
        <w:t>於112年10月19日為「工業用戶渦輪錶一批」決標廠商，履約期限</w:t>
      </w:r>
      <w:r w:rsidR="00F14632" w:rsidRPr="00ED2331">
        <w:rPr>
          <w:rFonts w:hint="eastAsia"/>
        </w:rPr>
        <w:t>為「決標日次日起180日曆天內交貨」，中油公司審標單位於</w:t>
      </w:r>
      <w:r w:rsidR="00CC3667" w:rsidRPr="00ED2331">
        <w:rPr>
          <w:rFonts w:hint="eastAsia"/>
        </w:rPr>
        <w:t>後續1至2個月內，112年11月29日、12月6日決標之「嘉供渦輪表一批」、「中供渦輪錶一批」即判斷</w:t>
      </w:r>
      <w:r w:rsidR="00F14632" w:rsidRPr="00ED2331">
        <w:rPr>
          <w:rFonts w:hint="eastAsia"/>
        </w:rPr>
        <w:t>「</w:t>
      </w:r>
      <w:proofErr w:type="gramStart"/>
      <w:r w:rsidR="00F14632" w:rsidRPr="00ED2331">
        <w:rPr>
          <w:rFonts w:hint="eastAsia"/>
        </w:rPr>
        <w:t>恐致工</w:t>
      </w:r>
      <w:proofErr w:type="gramEnd"/>
      <w:r w:rsidR="00F14632" w:rsidRPr="00ED2331">
        <w:rPr>
          <w:rFonts w:hint="eastAsia"/>
        </w:rPr>
        <w:t>作排程延宕」</w:t>
      </w:r>
      <w:r w:rsidR="00CC3667" w:rsidRPr="00ED2331">
        <w:rPr>
          <w:rFonts w:hint="eastAsia"/>
        </w:rPr>
        <w:t>，</w:t>
      </w:r>
      <w:r w:rsidR="0067153F" w:rsidRPr="00ED2331">
        <w:rPr>
          <w:rFonts w:hint="eastAsia"/>
        </w:rPr>
        <w:t>復</w:t>
      </w:r>
      <w:r w:rsidR="00F14632" w:rsidRPr="00ED2331">
        <w:rPr>
          <w:rFonts w:hint="eastAsia"/>
        </w:rPr>
        <w:t>查無相關「</w:t>
      </w:r>
      <w:proofErr w:type="gramStart"/>
      <w:r w:rsidR="00F14632" w:rsidRPr="00ED2331">
        <w:rPr>
          <w:rFonts w:hint="eastAsia"/>
        </w:rPr>
        <w:t>恐致工</w:t>
      </w:r>
      <w:proofErr w:type="gramEnd"/>
      <w:r w:rsidR="00F14632" w:rsidRPr="00ED2331">
        <w:rPr>
          <w:rFonts w:hint="eastAsia"/>
        </w:rPr>
        <w:t>作排程延宕」之</w:t>
      </w:r>
      <w:proofErr w:type="gramStart"/>
      <w:r w:rsidR="00F14632" w:rsidRPr="00ED2331">
        <w:rPr>
          <w:rFonts w:hint="eastAsia"/>
        </w:rPr>
        <w:t>公文等審</w:t>
      </w:r>
      <w:proofErr w:type="gramEnd"/>
      <w:r w:rsidR="00F14632" w:rsidRPr="00ED2331">
        <w:rPr>
          <w:rFonts w:hint="eastAsia"/>
        </w:rPr>
        <w:t>認依據，</w:t>
      </w:r>
      <w:proofErr w:type="gramStart"/>
      <w:r w:rsidR="00CC3667" w:rsidRPr="00ED2331">
        <w:rPr>
          <w:rFonts w:hint="eastAsia"/>
        </w:rPr>
        <w:t>難謂非</w:t>
      </w:r>
      <w:proofErr w:type="gramEnd"/>
      <w:r w:rsidR="00CC3667" w:rsidRPr="00ED2331">
        <w:rPr>
          <w:rFonts w:hint="eastAsia"/>
        </w:rPr>
        <w:t>屬事後卸責之詞。</w:t>
      </w:r>
    </w:p>
    <w:p w:rsidR="003A5927" w:rsidRPr="00ED2331" w:rsidRDefault="0067153F" w:rsidP="00E66D8E">
      <w:pPr>
        <w:pStyle w:val="3"/>
      </w:pPr>
      <w:r w:rsidRPr="00ED2331">
        <w:rPr>
          <w:rFonts w:hint="eastAsia"/>
        </w:rPr>
        <w:t>且查，中油公司</w:t>
      </w:r>
      <w:r w:rsidR="00F14632" w:rsidRPr="00ED2331">
        <w:rPr>
          <w:rFonts w:hint="eastAsia"/>
        </w:rPr>
        <w:t>審標單位對於</w:t>
      </w:r>
      <w:r w:rsidRPr="00ED2331">
        <w:rPr>
          <w:rFonts w:hint="eastAsia"/>
        </w:rPr>
        <w:t>投標廠商</w:t>
      </w:r>
      <w:r w:rsidR="00F14632" w:rsidRPr="00ED2331">
        <w:rPr>
          <w:rFonts w:hint="eastAsia"/>
        </w:rPr>
        <w:t>所提供渦輪表</w:t>
      </w:r>
      <w:r w:rsidRPr="00ED2331">
        <w:rPr>
          <w:rFonts w:hint="eastAsia"/>
        </w:rPr>
        <w:t>設備</w:t>
      </w:r>
      <w:r w:rsidR="00F14632" w:rsidRPr="00ED2331">
        <w:rPr>
          <w:rFonts w:hint="eastAsia"/>
        </w:rPr>
        <w:t>應具備「T</w:t>
      </w:r>
      <w:r w:rsidR="00F14632" w:rsidRPr="00ED2331">
        <w:t>S</w:t>
      </w:r>
      <w:r w:rsidR="00F14632" w:rsidRPr="00ED2331">
        <w:rPr>
          <w:rFonts w:hint="eastAsia"/>
        </w:rPr>
        <w:t>安全標示」之時間點</w:t>
      </w:r>
      <w:r w:rsidRPr="00ED2331">
        <w:rPr>
          <w:rFonts w:hint="eastAsia"/>
        </w:rPr>
        <w:t>，</w:t>
      </w:r>
      <w:r w:rsidR="00F14632" w:rsidRPr="00ED2331">
        <w:rPr>
          <w:rFonts w:hint="eastAsia"/>
        </w:rPr>
        <w:t>認定應提早於「投標時」即應具備，影響所及</w:t>
      </w:r>
      <w:r w:rsidRPr="00ED2331">
        <w:rPr>
          <w:rFonts w:hint="eastAsia"/>
        </w:rPr>
        <w:t>，</w:t>
      </w:r>
      <w:r w:rsidR="00F14632" w:rsidRPr="00ED2331">
        <w:rPr>
          <w:rFonts w:hint="eastAsia"/>
        </w:rPr>
        <w:t>中油公司於該段期間鄰接之5個標案，決標對象為</w:t>
      </w:r>
      <w:r w:rsidR="005D59EF">
        <w:rPr>
          <w:rFonts w:hint="eastAsia"/>
        </w:rPr>
        <w:t>永○</w:t>
      </w:r>
      <w:r w:rsidR="00F14632" w:rsidRPr="00ED2331">
        <w:rPr>
          <w:rFonts w:hint="eastAsia"/>
        </w:rPr>
        <w:t>公司與</w:t>
      </w:r>
      <w:proofErr w:type="gramStart"/>
      <w:r w:rsidR="005D59EF">
        <w:rPr>
          <w:rFonts w:hint="eastAsia"/>
        </w:rPr>
        <w:t>勵</w:t>
      </w:r>
      <w:proofErr w:type="gramEnd"/>
      <w:r w:rsidR="005D59EF">
        <w:rPr>
          <w:rFonts w:hint="eastAsia"/>
        </w:rPr>
        <w:t>○</w:t>
      </w:r>
      <w:r w:rsidR="00F14632" w:rsidRPr="00ED2331">
        <w:rPr>
          <w:rFonts w:hint="eastAsia"/>
        </w:rPr>
        <w:t>公司(兩者為關係企業</w:t>
      </w:r>
      <w:r w:rsidR="00402533" w:rsidRPr="00ED2331">
        <w:rPr>
          <w:rFonts w:hint="eastAsia"/>
        </w:rPr>
        <w:t>，</w:t>
      </w:r>
      <w:r w:rsidR="005D59EF">
        <w:rPr>
          <w:rFonts w:hint="eastAsia"/>
        </w:rPr>
        <w:t>勵○</w:t>
      </w:r>
      <w:r w:rsidR="00402533" w:rsidRPr="00ED2331">
        <w:rPr>
          <w:rFonts w:hint="eastAsia"/>
        </w:rPr>
        <w:t>公司持</w:t>
      </w:r>
      <w:r w:rsidR="005D59EF">
        <w:rPr>
          <w:rFonts w:hint="eastAsia"/>
        </w:rPr>
        <w:t>永○</w:t>
      </w:r>
      <w:r w:rsidR="00402533" w:rsidRPr="00ED2331">
        <w:rPr>
          <w:rFonts w:hint="eastAsia"/>
        </w:rPr>
        <w:t>工程</w:t>
      </w:r>
      <w:r w:rsidR="00402533" w:rsidRPr="00ED2331">
        <w:rPr>
          <w:rFonts w:hint="eastAsia"/>
        </w:rPr>
        <w:lastRenderedPageBreak/>
        <w:t>公司</w:t>
      </w:r>
      <w:r w:rsidR="001103F3">
        <w:rPr>
          <w:rFonts w:hint="eastAsia"/>
        </w:rPr>
        <w:t>脈衝產生器之登錄</w:t>
      </w:r>
      <w:r w:rsidR="00402533" w:rsidRPr="00ED2331">
        <w:rPr>
          <w:rFonts w:hint="eastAsia"/>
        </w:rPr>
        <w:t>文件，經審查為合格</w:t>
      </w:r>
      <w:r w:rsidRPr="00ED2331">
        <w:rPr>
          <w:rStyle w:val="afe"/>
        </w:rPr>
        <w:footnoteReference w:id="4"/>
      </w:r>
      <w:r w:rsidR="00F14632" w:rsidRPr="00ED2331">
        <w:rPr>
          <w:rFonts w:hint="eastAsia"/>
        </w:rPr>
        <w:t>)，</w:t>
      </w:r>
      <w:r w:rsidR="00844E25" w:rsidRPr="00ED2331">
        <w:rPr>
          <w:rFonts w:hint="eastAsia"/>
        </w:rPr>
        <w:t>雖</w:t>
      </w:r>
      <w:r w:rsidR="005D59EF">
        <w:rPr>
          <w:rFonts w:hint="eastAsia"/>
        </w:rPr>
        <w:t>勵○</w:t>
      </w:r>
      <w:r w:rsidR="00844E25" w:rsidRPr="00ED2331">
        <w:rPr>
          <w:rFonts w:hint="eastAsia"/>
        </w:rPr>
        <w:t>公司與</w:t>
      </w:r>
      <w:r w:rsidR="005D59EF">
        <w:rPr>
          <w:rFonts w:hint="eastAsia"/>
        </w:rPr>
        <w:t>永○</w:t>
      </w:r>
      <w:r w:rsidR="00844E25" w:rsidRPr="00ED2331">
        <w:rPr>
          <w:rFonts w:hint="eastAsia"/>
        </w:rPr>
        <w:t>工程公司並無同案同時投標情形，非屬政府採購法所禁止異常關聯之情事。</w:t>
      </w:r>
      <w:r w:rsidR="00C368DE" w:rsidRPr="00ED2331">
        <w:rPr>
          <w:rFonts w:hint="eastAsia"/>
        </w:rPr>
        <w:t>然</w:t>
      </w:r>
      <w:r w:rsidR="00844E25" w:rsidRPr="00ED2331">
        <w:rPr>
          <w:rFonts w:hint="eastAsia"/>
        </w:rPr>
        <w:t>，</w:t>
      </w:r>
      <w:r w:rsidR="00F14632" w:rsidRPr="00ED2331">
        <w:rPr>
          <w:rFonts w:hint="eastAsia"/>
        </w:rPr>
        <w:t>是否符於政府採購法第6條</w:t>
      </w:r>
      <w:r w:rsidR="00AF64F0" w:rsidRPr="00AF64F0">
        <w:rPr>
          <w:rFonts w:hint="eastAsia"/>
        </w:rPr>
        <w:t>公共利益及公平合理</w:t>
      </w:r>
      <w:r w:rsidR="00F14632" w:rsidRPr="00ED2331">
        <w:rPr>
          <w:rFonts w:hint="eastAsia"/>
        </w:rPr>
        <w:t>精神</w:t>
      </w:r>
      <w:r w:rsidR="00AF64F0">
        <w:rPr>
          <w:rFonts w:hint="eastAsia"/>
        </w:rPr>
        <w:t>、是否</w:t>
      </w:r>
      <w:r w:rsidR="00F14632" w:rsidRPr="00ED2331">
        <w:rPr>
          <w:rFonts w:hint="eastAsia"/>
        </w:rPr>
        <w:t>有利於政府</w:t>
      </w:r>
      <w:r w:rsidR="00402533" w:rsidRPr="00ED2331">
        <w:rPr>
          <w:rFonts w:hint="eastAsia"/>
        </w:rPr>
        <w:t>預算效能最大化</w:t>
      </w:r>
      <w:r w:rsidR="00F14632" w:rsidRPr="00ED2331">
        <w:rPr>
          <w:rFonts w:hint="eastAsia"/>
        </w:rPr>
        <w:t>，</w:t>
      </w:r>
      <w:r w:rsidR="00AF64F0">
        <w:rPr>
          <w:rFonts w:hint="eastAsia"/>
        </w:rPr>
        <w:t>均</w:t>
      </w:r>
      <w:r w:rsidR="00F14632" w:rsidRPr="00ED2331">
        <w:rPr>
          <w:rFonts w:hint="eastAsia"/>
        </w:rPr>
        <w:t>有所爭議。</w:t>
      </w:r>
      <w:r w:rsidR="00402533" w:rsidRPr="00ED2331">
        <w:rPr>
          <w:rFonts w:hint="eastAsia"/>
        </w:rPr>
        <w:t>中油公司於不違反政府採購法第6條規定範圍內，倘基於公共利益、採購效益或專業判斷之考量，認</w:t>
      </w:r>
      <w:proofErr w:type="gramStart"/>
      <w:r w:rsidR="00402533" w:rsidRPr="00ED2331">
        <w:rPr>
          <w:rFonts w:hint="eastAsia"/>
        </w:rPr>
        <w:t>採</w:t>
      </w:r>
      <w:proofErr w:type="gramEnd"/>
      <w:r w:rsidR="00402533" w:rsidRPr="00ED2331">
        <w:rPr>
          <w:rFonts w:hint="eastAsia"/>
        </w:rPr>
        <w:t>「投標時」即應具備，</w:t>
      </w:r>
      <w:r w:rsidR="00AF64F0">
        <w:rPr>
          <w:rFonts w:hint="eastAsia"/>
        </w:rPr>
        <w:t>而</w:t>
      </w:r>
      <w:r w:rsidR="00402533" w:rsidRPr="00ED2331">
        <w:rPr>
          <w:rFonts w:hint="eastAsia"/>
        </w:rPr>
        <w:t>為適當之採購決定，亦應明確列入招標</w:t>
      </w:r>
      <w:r w:rsidR="001103F3">
        <w:rPr>
          <w:rFonts w:hint="eastAsia"/>
        </w:rPr>
        <w:t>文件</w:t>
      </w:r>
      <w:r w:rsidR="00402533" w:rsidRPr="00ED2331">
        <w:rPr>
          <w:rFonts w:hint="eastAsia"/>
        </w:rPr>
        <w:t>規定，以杜爭議。</w:t>
      </w:r>
    </w:p>
    <w:p w:rsidR="00622407" w:rsidRPr="00ED2331" w:rsidRDefault="00E434D0" w:rsidP="00D64FFB">
      <w:pPr>
        <w:pStyle w:val="3"/>
      </w:pPr>
      <w:r w:rsidRPr="00ED2331">
        <w:rPr>
          <w:rFonts w:hint="eastAsia"/>
        </w:rPr>
        <w:t>另查</w:t>
      </w:r>
      <w:r w:rsidR="00622407" w:rsidRPr="00ED2331">
        <w:rPr>
          <w:rFonts w:hint="eastAsia"/>
        </w:rPr>
        <w:t>：</w:t>
      </w:r>
    </w:p>
    <w:p w:rsidR="00622407" w:rsidRPr="00ED2331" w:rsidRDefault="00E434D0" w:rsidP="00622407">
      <w:pPr>
        <w:pStyle w:val="4"/>
      </w:pPr>
      <w:r w:rsidRPr="00ED2331">
        <w:rPr>
          <w:rFonts w:hint="eastAsia"/>
        </w:rPr>
        <w:t>中油公司</w:t>
      </w:r>
      <w:r w:rsidR="007964C2" w:rsidRPr="00ED2331">
        <w:rPr>
          <w:rFonts w:hint="eastAsia"/>
        </w:rPr>
        <w:t>（公用處）</w:t>
      </w:r>
      <w:r w:rsidR="00CA14CE" w:rsidRPr="00ED2331">
        <w:rPr>
          <w:rFonts w:hint="eastAsia"/>
        </w:rPr>
        <w:t>同時</w:t>
      </w:r>
      <w:r w:rsidRPr="00ED2331">
        <w:rPr>
          <w:rFonts w:hint="eastAsia"/>
        </w:rPr>
        <w:t>辦理「苗栗轄區購置渦輪表(含安裝測試)」及「新竹購置渦輪表(含安裝測試)」</w:t>
      </w:r>
      <w:r w:rsidR="006705E7" w:rsidRPr="00ED2331">
        <w:rPr>
          <w:rFonts w:hint="eastAsia"/>
        </w:rPr>
        <w:t>等</w:t>
      </w:r>
      <w:r w:rsidRPr="00ED2331">
        <w:rPr>
          <w:rFonts w:hint="eastAsia"/>
        </w:rPr>
        <w:t>2採購案</w:t>
      </w:r>
      <w:r w:rsidRPr="00ED2331">
        <w:rPr>
          <w:rStyle w:val="afe"/>
        </w:rPr>
        <w:footnoteReference w:id="5"/>
      </w:r>
      <w:r w:rsidRPr="00ED2331">
        <w:rPr>
          <w:rFonts w:hint="eastAsia"/>
        </w:rPr>
        <w:t>。</w:t>
      </w:r>
      <w:r w:rsidR="00CA14CE" w:rsidRPr="00ED2331">
        <w:rPr>
          <w:rFonts w:hint="eastAsia"/>
        </w:rPr>
        <w:t>經檢視底價簽訂文件，</w:t>
      </w:r>
      <w:r w:rsidR="00930321" w:rsidRPr="00ED2331">
        <w:rPr>
          <w:rFonts w:hint="eastAsia"/>
        </w:rPr>
        <w:t>該2案</w:t>
      </w:r>
      <w:proofErr w:type="gramStart"/>
      <w:r w:rsidR="00930321" w:rsidRPr="00ED2331">
        <w:rPr>
          <w:rFonts w:hint="eastAsia"/>
        </w:rPr>
        <w:t>採</w:t>
      </w:r>
      <w:proofErr w:type="gramEnd"/>
      <w:r w:rsidR="00930321" w:rsidRPr="00ED2331">
        <w:rPr>
          <w:rFonts w:hint="eastAsia"/>
        </w:rPr>
        <w:t>公開招標，</w:t>
      </w:r>
      <w:r w:rsidR="00CA14CE" w:rsidRPr="00ED2331">
        <w:rPr>
          <w:rFonts w:hint="eastAsia"/>
        </w:rPr>
        <w:t>業務單位訪價</w:t>
      </w:r>
      <w:proofErr w:type="gramStart"/>
      <w:r w:rsidR="00CA14CE" w:rsidRPr="00ED2331">
        <w:rPr>
          <w:rFonts w:hint="eastAsia"/>
        </w:rPr>
        <w:t>廠商均為</w:t>
      </w:r>
      <w:proofErr w:type="gramEnd"/>
      <w:r w:rsidR="005D59EF">
        <w:rPr>
          <w:rFonts w:hint="eastAsia"/>
        </w:rPr>
        <w:t>永○</w:t>
      </w:r>
      <w:r w:rsidR="00CA14CE" w:rsidRPr="00ED2331">
        <w:rPr>
          <w:rFonts w:hint="eastAsia"/>
        </w:rPr>
        <w:t>工程公司</w:t>
      </w:r>
      <w:r w:rsidR="00930321" w:rsidRPr="00ED2331">
        <w:rPr>
          <w:rFonts w:hint="eastAsia"/>
        </w:rPr>
        <w:t>1家</w:t>
      </w:r>
      <w:r w:rsidR="00CA14CE" w:rsidRPr="00ED2331">
        <w:rPr>
          <w:rFonts w:hint="eastAsia"/>
        </w:rPr>
        <w:t>，</w:t>
      </w:r>
      <w:r w:rsidR="00225445" w:rsidRPr="00ED2331">
        <w:rPr>
          <w:rFonts w:hint="eastAsia"/>
        </w:rPr>
        <w:t>第1次公開招標均流標，第2次</w:t>
      </w:r>
      <w:r w:rsidR="00337B0F" w:rsidRPr="00ED2331">
        <w:rPr>
          <w:rFonts w:hint="eastAsia"/>
        </w:rPr>
        <w:t>公開</w:t>
      </w:r>
      <w:proofErr w:type="gramStart"/>
      <w:r w:rsidR="00337B0F" w:rsidRPr="00ED2331">
        <w:rPr>
          <w:rFonts w:hint="eastAsia"/>
        </w:rPr>
        <w:t>招標均僅</w:t>
      </w:r>
      <w:proofErr w:type="gramEnd"/>
      <w:r w:rsidR="005D59EF">
        <w:rPr>
          <w:rFonts w:hint="eastAsia"/>
        </w:rPr>
        <w:t>永○</w:t>
      </w:r>
      <w:r w:rsidR="00CA14CE" w:rsidRPr="00ED2331">
        <w:rPr>
          <w:rFonts w:hint="eastAsia"/>
        </w:rPr>
        <w:t>工程公司</w:t>
      </w:r>
      <w:r w:rsidR="00337B0F" w:rsidRPr="00ED2331">
        <w:rPr>
          <w:rFonts w:hint="eastAsia"/>
        </w:rPr>
        <w:t>1家投標，並為決標廠商</w:t>
      </w:r>
      <w:r w:rsidR="00CA14CE" w:rsidRPr="00ED2331">
        <w:rPr>
          <w:rFonts w:hint="eastAsia"/>
        </w:rPr>
        <w:t>。再經分析該2案決標資料，決標價與底價均差異</w:t>
      </w:r>
      <w:r w:rsidR="00F96745" w:rsidRPr="00ED2331">
        <w:rPr>
          <w:rFonts w:hint="eastAsia"/>
        </w:rPr>
        <w:t>新臺幣（下同）</w:t>
      </w:r>
      <w:r w:rsidR="00CA14CE" w:rsidRPr="00ED2331">
        <w:rPr>
          <w:rFonts w:hint="eastAsia"/>
        </w:rPr>
        <w:t>6</w:t>
      </w:r>
      <w:r w:rsidR="00CA14CE" w:rsidRPr="00ED2331">
        <w:t>,</w:t>
      </w:r>
      <w:r w:rsidR="00CA14CE" w:rsidRPr="00ED2331">
        <w:rPr>
          <w:rFonts w:hint="eastAsia"/>
        </w:rPr>
        <w:t>000元，決標</w:t>
      </w:r>
      <w:r w:rsidR="002508FF" w:rsidRPr="00ED2331">
        <w:rPr>
          <w:rFonts w:hint="eastAsia"/>
        </w:rPr>
        <w:t>與</w:t>
      </w:r>
      <w:r w:rsidR="00CA14CE" w:rsidRPr="00ED2331">
        <w:rPr>
          <w:rFonts w:hint="eastAsia"/>
        </w:rPr>
        <w:t>預算</w:t>
      </w:r>
      <w:proofErr w:type="gramStart"/>
      <w:r w:rsidR="00FB3DF7" w:rsidRPr="008D28F6">
        <w:rPr>
          <w:rFonts w:hint="eastAsia"/>
        </w:rPr>
        <w:t>標比</w:t>
      </w:r>
      <w:r w:rsidR="002508FF" w:rsidRPr="008D28F6">
        <w:rPr>
          <w:rFonts w:hint="eastAsia"/>
        </w:rPr>
        <w:t>均為</w:t>
      </w:r>
      <w:proofErr w:type="gramEnd"/>
      <w:r w:rsidR="002508FF" w:rsidRPr="008D28F6">
        <w:rPr>
          <w:rFonts w:hint="eastAsia"/>
        </w:rPr>
        <w:t>0.96</w:t>
      </w:r>
      <w:r w:rsidR="00CA14CE" w:rsidRPr="008D28F6">
        <w:rPr>
          <w:rFonts w:hint="eastAsia"/>
        </w:rPr>
        <w:t>、決標</w:t>
      </w:r>
      <w:r w:rsidR="002508FF" w:rsidRPr="008D28F6">
        <w:rPr>
          <w:rFonts w:hint="eastAsia"/>
        </w:rPr>
        <w:t>與</w:t>
      </w:r>
      <w:r w:rsidR="00CA14CE" w:rsidRPr="008D28F6">
        <w:rPr>
          <w:rFonts w:hint="eastAsia"/>
        </w:rPr>
        <w:t>底價</w:t>
      </w:r>
      <w:proofErr w:type="gramStart"/>
      <w:r w:rsidR="00FB3DF7" w:rsidRPr="008D28F6">
        <w:rPr>
          <w:rFonts w:hint="eastAsia"/>
        </w:rPr>
        <w:t>標比</w:t>
      </w:r>
      <w:r w:rsidR="002508FF" w:rsidRPr="00ED2331">
        <w:rPr>
          <w:rFonts w:hint="eastAsia"/>
        </w:rPr>
        <w:t>均</w:t>
      </w:r>
      <w:proofErr w:type="gramEnd"/>
      <w:r w:rsidR="002508FF" w:rsidRPr="00ED2331">
        <w:rPr>
          <w:rFonts w:hint="eastAsia"/>
        </w:rPr>
        <w:t>為0</w:t>
      </w:r>
      <w:r w:rsidR="002508FF" w:rsidRPr="00ED2331">
        <w:t>.99</w:t>
      </w:r>
      <w:r w:rsidR="00622407" w:rsidRPr="00ED2331">
        <w:rPr>
          <w:rFonts w:hint="eastAsia"/>
        </w:rPr>
        <w:t>。</w:t>
      </w:r>
    </w:p>
    <w:p w:rsidR="00622407" w:rsidRPr="00ED2331" w:rsidRDefault="006A4F6E" w:rsidP="00622407">
      <w:pPr>
        <w:pStyle w:val="4"/>
      </w:pPr>
      <w:r w:rsidRPr="00ED2331">
        <w:rPr>
          <w:rFonts w:hint="eastAsia"/>
        </w:rPr>
        <w:t>中油公司（南</w:t>
      </w:r>
      <w:proofErr w:type="gramStart"/>
      <w:r w:rsidRPr="00ED2331">
        <w:rPr>
          <w:rFonts w:hint="eastAsia"/>
        </w:rPr>
        <w:t>採</w:t>
      </w:r>
      <w:proofErr w:type="gramEnd"/>
      <w:r w:rsidRPr="00ED2331">
        <w:rPr>
          <w:rFonts w:hint="eastAsia"/>
        </w:rPr>
        <w:t>中心）辦理「中供氣量計一批」</w:t>
      </w:r>
      <w:r w:rsidR="00225445" w:rsidRPr="00ED2331">
        <w:rPr>
          <w:rFonts w:hint="eastAsia"/>
        </w:rPr>
        <w:t>，第1次</w:t>
      </w:r>
      <w:r w:rsidR="00337B0F" w:rsidRPr="00ED2331">
        <w:rPr>
          <w:rFonts w:hint="eastAsia"/>
        </w:rPr>
        <w:t>公開招</w:t>
      </w:r>
      <w:r w:rsidR="00225445" w:rsidRPr="00ED2331">
        <w:rPr>
          <w:rFonts w:hint="eastAsia"/>
        </w:rPr>
        <w:t>標</w:t>
      </w:r>
      <w:r w:rsidR="00337B0F" w:rsidRPr="00ED2331">
        <w:rPr>
          <w:rFonts w:hint="eastAsia"/>
        </w:rPr>
        <w:t>流標、第2次超底價廢標、第3次中油公司參考廠商標價後，重新訂定底價，</w:t>
      </w:r>
      <w:r w:rsidR="005D59EF">
        <w:rPr>
          <w:rFonts w:hint="eastAsia"/>
        </w:rPr>
        <w:t>勵○</w:t>
      </w:r>
      <w:r w:rsidR="00337B0F" w:rsidRPr="00ED2331">
        <w:rPr>
          <w:rFonts w:hint="eastAsia"/>
        </w:rPr>
        <w:t>公司以2,387,280元同底價之價格得標（即得標廠商投標金額、決標金額、底價金額均為2,387,280元）。</w:t>
      </w:r>
    </w:p>
    <w:p w:rsidR="00E434D0" w:rsidRDefault="002A0D84" w:rsidP="00622407">
      <w:pPr>
        <w:pStyle w:val="4"/>
      </w:pPr>
      <w:r w:rsidRPr="00ED2331">
        <w:rPr>
          <w:rFonts w:hint="eastAsia"/>
        </w:rPr>
        <w:t>以本院調</w:t>
      </w:r>
      <w:r w:rsidR="001103F3">
        <w:rPr>
          <w:rFonts w:hint="eastAsia"/>
        </w:rPr>
        <w:t>閱</w:t>
      </w:r>
      <w:r w:rsidRPr="00ED2331">
        <w:rPr>
          <w:rFonts w:hint="eastAsia"/>
        </w:rPr>
        <w:t>之</w:t>
      </w:r>
      <w:r w:rsidR="00243073" w:rsidRPr="00ED2331">
        <w:rPr>
          <w:rFonts w:hint="eastAsia"/>
        </w:rPr>
        <w:t>上述3案之</w:t>
      </w:r>
      <w:r w:rsidRPr="00ED2331">
        <w:rPr>
          <w:rFonts w:hint="eastAsia"/>
        </w:rPr>
        <w:t>底價</w:t>
      </w:r>
      <w:r w:rsidR="00243073" w:rsidRPr="00ED2331">
        <w:rPr>
          <w:rFonts w:hint="eastAsia"/>
        </w:rPr>
        <w:t>建議及核定文件</w:t>
      </w:r>
      <w:r w:rsidRPr="00ED2331">
        <w:rPr>
          <w:rFonts w:hint="eastAsia"/>
        </w:rPr>
        <w:t>，</w:t>
      </w:r>
      <w:r w:rsidR="00930321" w:rsidRPr="00ED2331">
        <w:rPr>
          <w:rFonts w:hint="eastAsia"/>
        </w:rPr>
        <w:lastRenderedPageBreak/>
        <w:t>尚查無違法情事</w:t>
      </w:r>
      <w:r w:rsidR="00243073" w:rsidRPr="00ED2331">
        <w:rPr>
          <w:rFonts w:hint="eastAsia"/>
        </w:rPr>
        <w:t>。</w:t>
      </w:r>
      <w:r w:rsidR="00007B58" w:rsidRPr="00ED2331">
        <w:rPr>
          <w:rFonts w:hint="eastAsia"/>
        </w:rPr>
        <w:t>惟</w:t>
      </w:r>
      <w:r w:rsidR="00243073" w:rsidRPr="00ED2331">
        <w:rPr>
          <w:rFonts w:hint="eastAsia"/>
        </w:rPr>
        <w:t>「苗栗轄區購置渦輪表(含安裝測試)」及「新竹購置渦輪表(含安裝測試)」等2採購案</w:t>
      </w:r>
      <w:r w:rsidRPr="00ED2331">
        <w:rPr>
          <w:rFonts w:hint="eastAsia"/>
        </w:rPr>
        <w:t>之決標與預算</w:t>
      </w:r>
      <w:r w:rsidR="00243073" w:rsidRPr="00ED2331">
        <w:rPr>
          <w:rFonts w:hint="eastAsia"/>
        </w:rPr>
        <w:t>金額</w:t>
      </w:r>
      <w:proofErr w:type="gramStart"/>
      <w:r w:rsidR="00FB526D" w:rsidRPr="008D28F6">
        <w:rPr>
          <w:rFonts w:hint="eastAsia"/>
        </w:rPr>
        <w:t>標比</w:t>
      </w:r>
      <w:r w:rsidRPr="008D28F6">
        <w:rPr>
          <w:rFonts w:hint="eastAsia"/>
        </w:rPr>
        <w:t>均為</w:t>
      </w:r>
      <w:proofErr w:type="gramEnd"/>
      <w:r w:rsidRPr="008D28F6">
        <w:rPr>
          <w:rFonts w:hint="eastAsia"/>
        </w:rPr>
        <w:t>0.96、決標與底價</w:t>
      </w:r>
      <w:proofErr w:type="gramStart"/>
      <w:r w:rsidR="00E01622" w:rsidRPr="008D28F6">
        <w:rPr>
          <w:rFonts w:hint="eastAsia"/>
        </w:rPr>
        <w:t>標比</w:t>
      </w:r>
      <w:r w:rsidRPr="008D28F6">
        <w:rPr>
          <w:rFonts w:hint="eastAsia"/>
        </w:rPr>
        <w:t>均</w:t>
      </w:r>
      <w:proofErr w:type="gramEnd"/>
      <w:r w:rsidRPr="00ED2331">
        <w:rPr>
          <w:rFonts w:hint="eastAsia"/>
        </w:rPr>
        <w:t>為0.99，其底價</w:t>
      </w:r>
      <w:r w:rsidR="00243073" w:rsidRPr="00ED2331">
        <w:rPr>
          <w:rFonts w:hint="eastAsia"/>
        </w:rPr>
        <w:t>分析不無</w:t>
      </w:r>
      <w:r w:rsidR="00B65458" w:rsidRPr="00ED2331">
        <w:rPr>
          <w:rFonts w:hint="eastAsia"/>
        </w:rPr>
        <w:t>缺乏市場競爭性、</w:t>
      </w:r>
      <w:proofErr w:type="gramStart"/>
      <w:r w:rsidR="002C0E04" w:rsidRPr="00ED2331">
        <w:rPr>
          <w:rFonts w:hint="eastAsia"/>
        </w:rPr>
        <w:t>標比慣性</w:t>
      </w:r>
      <w:proofErr w:type="gramEnd"/>
      <w:r w:rsidR="002C0E04" w:rsidRPr="00ED2331">
        <w:rPr>
          <w:rFonts w:hint="eastAsia"/>
        </w:rPr>
        <w:t>疑</w:t>
      </w:r>
      <w:r w:rsidR="00243073" w:rsidRPr="00ED2331">
        <w:rPr>
          <w:rFonts w:hint="eastAsia"/>
        </w:rPr>
        <w:t>被</w:t>
      </w:r>
      <w:r w:rsidR="00CD311D" w:rsidRPr="00ED2331">
        <w:rPr>
          <w:rFonts w:hint="eastAsia"/>
        </w:rPr>
        <w:t>特定</w:t>
      </w:r>
      <w:r w:rsidR="00243073" w:rsidRPr="00ED2331">
        <w:rPr>
          <w:rFonts w:hint="eastAsia"/>
        </w:rPr>
        <w:t>廠商掌握</w:t>
      </w:r>
      <w:r w:rsidR="00B65458" w:rsidRPr="00ED2331">
        <w:rPr>
          <w:rFonts w:hint="eastAsia"/>
        </w:rPr>
        <w:t>等因素影響，殊值底價簽辦單位</w:t>
      </w:r>
      <w:proofErr w:type="gramStart"/>
      <w:r w:rsidR="00B65458" w:rsidRPr="00ED2331">
        <w:rPr>
          <w:rFonts w:hint="eastAsia"/>
        </w:rPr>
        <w:t>研議</w:t>
      </w:r>
      <w:proofErr w:type="gramEnd"/>
      <w:r w:rsidR="00B65458" w:rsidRPr="00ED2331">
        <w:rPr>
          <w:rFonts w:hint="eastAsia"/>
        </w:rPr>
        <w:t>策進</w:t>
      </w:r>
      <w:r w:rsidR="002508FF" w:rsidRPr="00ED2331">
        <w:rPr>
          <w:rFonts w:hint="eastAsia"/>
        </w:rPr>
        <w:t>。</w:t>
      </w:r>
    </w:p>
    <w:p w:rsidR="00AF64F0" w:rsidRDefault="00AF64F0" w:rsidP="00AF64F0">
      <w:pPr>
        <w:pStyle w:val="4"/>
        <w:numPr>
          <w:ilvl w:val="0"/>
          <w:numId w:val="0"/>
        </w:numPr>
        <w:ind w:left="1701"/>
      </w:pPr>
    </w:p>
    <w:p w:rsidR="00AF64F0" w:rsidRDefault="00AF64F0" w:rsidP="00AF64F0">
      <w:pPr>
        <w:pStyle w:val="4"/>
        <w:numPr>
          <w:ilvl w:val="0"/>
          <w:numId w:val="0"/>
        </w:numPr>
        <w:ind w:left="1701"/>
      </w:pPr>
    </w:p>
    <w:p w:rsidR="001103F3" w:rsidRPr="00ED2331" w:rsidRDefault="001103F3" w:rsidP="00AF64F0">
      <w:pPr>
        <w:pStyle w:val="a3"/>
        <w:spacing w:after="0"/>
        <w:ind w:left="1560" w:hanging="709"/>
      </w:pPr>
      <w:r>
        <w:rPr>
          <w:rFonts w:hint="eastAsia"/>
        </w:rPr>
        <w:t>「</w:t>
      </w:r>
      <w:r w:rsidRPr="001103F3">
        <w:rPr>
          <w:rFonts w:hint="eastAsia"/>
        </w:rPr>
        <w:t>苗栗轄區購置渦輪表(含安裝測試)</w:t>
      </w:r>
      <w:r>
        <w:rPr>
          <w:rFonts w:hint="eastAsia"/>
        </w:rPr>
        <w:t>」及「</w:t>
      </w:r>
      <w:r w:rsidRPr="001103F3">
        <w:rPr>
          <w:rFonts w:hint="eastAsia"/>
        </w:rPr>
        <w:tab/>
        <w:t>新竹購置渦輪表(含安裝測試)</w:t>
      </w:r>
      <w:r>
        <w:rPr>
          <w:rFonts w:hint="eastAsia"/>
        </w:rPr>
        <w:t>」等2案標比分析</w:t>
      </w:r>
    </w:p>
    <w:tbl>
      <w:tblPr>
        <w:tblStyle w:val="af6"/>
        <w:tblW w:w="7937" w:type="dxa"/>
        <w:tblInd w:w="988" w:type="dxa"/>
        <w:tblLook w:val="04A0" w:firstRow="1" w:lastRow="0" w:firstColumn="1" w:lastColumn="0" w:noHBand="0" w:noVBand="1"/>
      </w:tblPr>
      <w:tblGrid>
        <w:gridCol w:w="2239"/>
        <w:gridCol w:w="2722"/>
        <w:gridCol w:w="2976"/>
      </w:tblGrid>
      <w:tr w:rsidR="0000131E" w:rsidRPr="00ED2331" w:rsidTr="00AF64F0">
        <w:trPr>
          <w:tblHeader/>
        </w:trPr>
        <w:tc>
          <w:tcPr>
            <w:tcW w:w="2239" w:type="dxa"/>
            <w:shd w:val="clear" w:color="auto" w:fill="F2DBDB" w:themeFill="accent2" w:themeFillTint="33"/>
          </w:tcPr>
          <w:p w:rsidR="00692091" w:rsidRPr="00ED2331" w:rsidRDefault="00692091" w:rsidP="00692091">
            <w:pPr>
              <w:pStyle w:val="14"/>
            </w:pPr>
          </w:p>
        </w:tc>
        <w:tc>
          <w:tcPr>
            <w:tcW w:w="2722" w:type="dxa"/>
            <w:shd w:val="clear" w:color="auto" w:fill="F2DBDB" w:themeFill="accent2" w:themeFillTint="33"/>
          </w:tcPr>
          <w:p w:rsidR="00692091" w:rsidRPr="00ED2331" w:rsidRDefault="00692091" w:rsidP="00692091">
            <w:pPr>
              <w:pStyle w:val="14"/>
            </w:pPr>
            <w:r w:rsidRPr="00ED2331">
              <w:rPr>
                <w:rFonts w:hint="eastAsia"/>
              </w:rPr>
              <w:t>苗栗轄區購置渦輪表(含安裝測試)</w:t>
            </w:r>
          </w:p>
        </w:tc>
        <w:tc>
          <w:tcPr>
            <w:tcW w:w="2976" w:type="dxa"/>
            <w:shd w:val="clear" w:color="auto" w:fill="F2DBDB" w:themeFill="accent2" w:themeFillTint="33"/>
          </w:tcPr>
          <w:p w:rsidR="00692091" w:rsidRPr="00ED2331" w:rsidRDefault="00692091" w:rsidP="00692091">
            <w:pPr>
              <w:pStyle w:val="14"/>
            </w:pPr>
            <w:r w:rsidRPr="00ED2331">
              <w:rPr>
                <w:rFonts w:hint="eastAsia"/>
              </w:rPr>
              <w:t>新竹購置渦輪表(含安裝測試)</w:t>
            </w:r>
          </w:p>
        </w:tc>
      </w:tr>
      <w:tr w:rsidR="0000131E" w:rsidRPr="00ED2331" w:rsidTr="00AF64F0">
        <w:tc>
          <w:tcPr>
            <w:tcW w:w="2239" w:type="dxa"/>
            <w:shd w:val="clear" w:color="auto" w:fill="auto"/>
            <w:vAlign w:val="center"/>
          </w:tcPr>
          <w:p w:rsidR="00692091" w:rsidRPr="008D28F6" w:rsidRDefault="00692091" w:rsidP="00692091">
            <w:pPr>
              <w:pStyle w:val="14"/>
            </w:pPr>
            <w:r w:rsidRPr="008D28F6">
              <w:rPr>
                <w:rFonts w:hint="eastAsia"/>
              </w:rPr>
              <w:t>預算金額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692091" w:rsidRPr="008D28F6" w:rsidRDefault="00692091" w:rsidP="00692091">
            <w:pPr>
              <w:pStyle w:val="14"/>
              <w:jc w:val="right"/>
            </w:pPr>
            <w:r w:rsidRPr="008D28F6">
              <w:t>1,664,250</w:t>
            </w:r>
            <w:r w:rsidR="00FB526D" w:rsidRPr="008D28F6">
              <w:rPr>
                <w:rFonts w:hint="eastAsia"/>
              </w:rPr>
              <w:t>元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92091" w:rsidRPr="008D28F6" w:rsidRDefault="00692091" w:rsidP="00692091">
            <w:pPr>
              <w:pStyle w:val="14"/>
              <w:jc w:val="right"/>
            </w:pPr>
            <w:r w:rsidRPr="008D28F6">
              <w:t>2,145,066</w:t>
            </w:r>
            <w:r w:rsidR="00E01622" w:rsidRPr="008D28F6">
              <w:rPr>
                <w:rFonts w:hint="eastAsia"/>
              </w:rPr>
              <w:t>元</w:t>
            </w:r>
          </w:p>
        </w:tc>
      </w:tr>
      <w:tr w:rsidR="0000131E" w:rsidRPr="00ED2331" w:rsidTr="00AF64F0">
        <w:tc>
          <w:tcPr>
            <w:tcW w:w="2239" w:type="dxa"/>
            <w:shd w:val="clear" w:color="auto" w:fill="auto"/>
            <w:vAlign w:val="center"/>
          </w:tcPr>
          <w:p w:rsidR="00692091" w:rsidRPr="008D28F6" w:rsidRDefault="00692091" w:rsidP="00692091">
            <w:pPr>
              <w:pStyle w:val="14"/>
            </w:pPr>
            <w:r w:rsidRPr="008D28F6">
              <w:rPr>
                <w:rFonts w:hint="eastAsia"/>
              </w:rPr>
              <w:t>廠商標價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692091" w:rsidRPr="008D28F6" w:rsidRDefault="00692091" w:rsidP="00692091">
            <w:pPr>
              <w:pStyle w:val="14"/>
              <w:jc w:val="right"/>
            </w:pPr>
            <w:r w:rsidRPr="008D28F6">
              <w:t>1,630,965</w:t>
            </w:r>
            <w:r w:rsidR="00E01622" w:rsidRPr="008D28F6">
              <w:rPr>
                <w:rFonts w:hint="eastAsia"/>
              </w:rPr>
              <w:t>元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92091" w:rsidRPr="008D28F6" w:rsidRDefault="00692091" w:rsidP="00692091">
            <w:pPr>
              <w:pStyle w:val="14"/>
              <w:jc w:val="right"/>
            </w:pPr>
            <w:r w:rsidRPr="008D28F6">
              <w:t>2,102,184</w:t>
            </w:r>
            <w:r w:rsidR="00E01622" w:rsidRPr="008D28F6">
              <w:rPr>
                <w:rFonts w:hint="eastAsia"/>
              </w:rPr>
              <w:t>元</w:t>
            </w:r>
          </w:p>
        </w:tc>
      </w:tr>
      <w:tr w:rsidR="0000131E" w:rsidRPr="00ED2331" w:rsidTr="00AF64F0">
        <w:tc>
          <w:tcPr>
            <w:tcW w:w="2239" w:type="dxa"/>
            <w:shd w:val="clear" w:color="auto" w:fill="auto"/>
            <w:vAlign w:val="center"/>
          </w:tcPr>
          <w:p w:rsidR="00692091" w:rsidRPr="008D28F6" w:rsidRDefault="00692091" w:rsidP="00692091">
            <w:pPr>
              <w:pStyle w:val="14"/>
            </w:pPr>
            <w:r w:rsidRPr="008D28F6">
              <w:rPr>
                <w:rFonts w:hint="eastAsia"/>
              </w:rPr>
              <w:t>決標價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692091" w:rsidRPr="008D28F6" w:rsidRDefault="00692091" w:rsidP="00692091">
            <w:pPr>
              <w:pStyle w:val="14"/>
              <w:jc w:val="right"/>
            </w:pPr>
            <w:r w:rsidRPr="008D28F6">
              <w:t>1,614,000</w:t>
            </w:r>
            <w:r w:rsidR="00E01622" w:rsidRPr="008D28F6">
              <w:rPr>
                <w:rFonts w:hint="eastAsia"/>
              </w:rPr>
              <w:t>元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92091" w:rsidRPr="008D28F6" w:rsidRDefault="00692091" w:rsidP="00692091">
            <w:pPr>
              <w:pStyle w:val="14"/>
              <w:jc w:val="right"/>
            </w:pPr>
            <w:r w:rsidRPr="008D28F6">
              <w:t>2,070,000</w:t>
            </w:r>
            <w:r w:rsidR="00E01622" w:rsidRPr="008D28F6">
              <w:rPr>
                <w:rFonts w:hint="eastAsia"/>
              </w:rPr>
              <w:t>元</w:t>
            </w:r>
          </w:p>
        </w:tc>
      </w:tr>
      <w:tr w:rsidR="0000131E" w:rsidRPr="00ED2331" w:rsidTr="00AF64F0">
        <w:tc>
          <w:tcPr>
            <w:tcW w:w="2239" w:type="dxa"/>
            <w:shd w:val="clear" w:color="auto" w:fill="auto"/>
            <w:vAlign w:val="center"/>
          </w:tcPr>
          <w:p w:rsidR="00692091" w:rsidRPr="008D28F6" w:rsidRDefault="002508FF" w:rsidP="00692091">
            <w:pPr>
              <w:pStyle w:val="14"/>
            </w:pPr>
            <w:r w:rsidRPr="008D28F6">
              <w:rPr>
                <w:rFonts w:hint="eastAsia"/>
              </w:rPr>
              <w:t>核定</w:t>
            </w:r>
            <w:r w:rsidR="00692091" w:rsidRPr="008D28F6">
              <w:rPr>
                <w:rFonts w:hint="eastAsia"/>
              </w:rPr>
              <w:t>底價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692091" w:rsidRPr="008D28F6" w:rsidRDefault="00692091" w:rsidP="00692091">
            <w:pPr>
              <w:pStyle w:val="14"/>
              <w:jc w:val="right"/>
            </w:pPr>
            <w:r w:rsidRPr="008D28F6">
              <w:t>1,620,000</w:t>
            </w:r>
            <w:r w:rsidR="00E01622" w:rsidRPr="008D28F6">
              <w:rPr>
                <w:rFonts w:hint="eastAsia"/>
              </w:rPr>
              <w:t>元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92091" w:rsidRPr="008D28F6" w:rsidRDefault="00692091" w:rsidP="00692091">
            <w:pPr>
              <w:pStyle w:val="14"/>
              <w:jc w:val="right"/>
            </w:pPr>
            <w:r w:rsidRPr="008D28F6">
              <w:t>2,076,000</w:t>
            </w:r>
            <w:r w:rsidR="00E01622" w:rsidRPr="008D28F6">
              <w:rPr>
                <w:rFonts w:hint="eastAsia"/>
              </w:rPr>
              <w:t>元</w:t>
            </w:r>
          </w:p>
        </w:tc>
      </w:tr>
      <w:tr w:rsidR="0000131E" w:rsidRPr="00ED2331" w:rsidTr="00AF64F0">
        <w:tc>
          <w:tcPr>
            <w:tcW w:w="2239" w:type="dxa"/>
            <w:shd w:val="clear" w:color="auto" w:fill="auto"/>
            <w:vAlign w:val="center"/>
          </w:tcPr>
          <w:p w:rsidR="002508FF" w:rsidRPr="008D28F6" w:rsidRDefault="002508FF" w:rsidP="00692091">
            <w:pPr>
              <w:pStyle w:val="14"/>
            </w:pPr>
            <w:r w:rsidRPr="008D28F6">
              <w:rPr>
                <w:rFonts w:hint="eastAsia"/>
              </w:rPr>
              <w:t>底價</w:t>
            </w:r>
            <w:r w:rsidR="00243073" w:rsidRPr="008D28F6">
              <w:rPr>
                <w:rFonts w:hint="eastAsia"/>
              </w:rPr>
              <w:t>、</w:t>
            </w:r>
            <w:r w:rsidRPr="008D28F6">
              <w:rPr>
                <w:rFonts w:hint="eastAsia"/>
              </w:rPr>
              <w:t>決標價差額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C34CCB" w:rsidRPr="008D28F6" w:rsidRDefault="002508FF" w:rsidP="00C34CCB">
            <w:pPr>
              <w:pStyle w:val="14"/>
              <w:jc w:val="right"/>
              <w:rPr>
                <w:b/>
              </w:rPr>
            </w:pPr>
            <w:r w:rsidRPr="008D28F6">
              <w:rPr>
                <w:rFonts w:hint="eastAsia"/>
                <w:b/>
              </w:rPr>
              <w:t>6</w:t>
            </w:r>
            <w:r w:rsidRPr="008D28F6">
              <w:rPr>
                <w:b/>
              </w:rPr>
              <w:t>,000</w:t>
            </w:r>
            <w:r w:rsidR="00E01622" w:rsidRPr="008D28F6">
              <w:rPr>
                <w:rFonts w:hint="eastAsia"/>
              </w:rPr>
              <w:t>元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508FF" w:rsidRPr="008D28F6" w:rsidRDefault="002508FF" w:rsidP="00692091">
            <w:pPr>
              <w:pStyle w:val="14"/>
              <w:jc w:val="right"/>
              <w:rPr>
                <w:b/>
              </w:rPr>
            </w:pPr>
            <w:r w:rsidRPr="008D28F6">
              <w:rPr>
                <w:rFonts w:hint="eastAsia"/>
                <w:b/>
              </w:rPr>
              <w:t>6</w:t>
            </w:r>
            <w:r w:rsidRPr="008D28F6">
              <w:rPr>
                <w:b/>
              </w:rPr>
              <w:t>,000</w:t>
            </w:r>
            <w:r w:rsidR="00E01622" w:rsidRPr="008D28F6">
              <w:rPr>
                <w:rFonts w:hint="eastAsia"/>
              </w:rPr>
              <w:t>元</w:t>
            </w:r>
          </w:p>
        </w:tc>
      </w:tr>
      <w:tr w:rsidR="0000131E" w:rsidRPr="00ED2331" w:rsidTr="00AF64F0">
        <w:tc>
          <w:tcPr>
            <w:tcW w:w="2239" w:type="dxa"/>
            <w:shd w:val="clear" w:color="auto" w:fill="auto"/>
            <w:vAlign w:val="center"/>
          </w:tcPr>
          <w:p w:rsidR="00692091" w:rsidRPr="008D28F6" w:rsidRDefault="00692091" w:rsidP="00692091">
            <w:pPr>
              <w:pStyle w:val="14"/>
            </w:pPr>
            <w:r w:rsidRPr="008D28F6">
              <w:rPr>
                <w:rFonts w:hint="eastAsia"/>
              </w:rPr>
              <w:t>決標/</w:t>
            </w:r>
            <w:proofErr w:type="gramStart"/>
            <w:r w:rsidRPr="008D28F6">
              <w:rPr>
                <w:rFonts w:hint="eastAsia"/>
              </w:rPr>
              <w:t>預算</w:t>
            </w:r>
            <w:r w:rsidR="00FB526D" w:rsidRPr="008D28F6">
              <w:rPr>
                <w:rFonts w:hint="eastAsia"/>
              </w:rPr>
              <w:t>標比</w:t>
            </w:r>
            <w:proofErr w:type="gramEnd"/>
          </w:p>
        </w:tc>
        <w:tc>
          <w:tcPr>
            <w:tcW w:w="2722" w:type="dxa"/>
            <w:shd w:val="clear" w:color="auto" w:fill="auto"/>
            <w:vAlign w:val="center"/>
          </w:tcPr>
          <w:p w:rsidR="00692091" w:rsidRPr="008D28F6" w:rsidRDefault="00692091" w:rsidP="00692091">
            <w:pPr>
              <w:pStyle w:val="14"/>
              <w:jc w:val="right"/>
              <w:rPr>
                <w:b/>
              </w:rPr>
            </w:pPr>
            <w:r w:rsidRPr="008D28F6">
              <w:rPr>
                <w:rFonts w:hint="eastAsia"/>
                <w:b/>
              </w:rPr>
              <w:t>0</w:t>
            </w:r>
            <w:r w:rsidRPr="008D28F6">
              <w:rPr>
                <w:b/>
              </w:rPr>
              <w:t>.96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92091" w:rsidRPr="008D28F6" w:rsidRDefault="00692091" w:rsidP="00692091">
            <w:pPr>
              <w:pStyle w:val="14"/>
              <w:jc w:val="right"/>
              <w:rPr>
                <w:b/>
              </w:rPr>
            </w:pPr>
            <w:r w:rsidRPr="008D28F6">
              <w:rPr>
                <w:rFonts w:hint="eastAsia"/>
                <w:b/>
              </w:rPr>
              <w:t>0</w:t>
            </w:r>
            <w:r w:rsidRPr="008D28F6">
              <w:rPr>
                <w:b/>
              </w:rPr>
              <w:t>.96</w:t>
            </w:r>
          </w:p>
        </w:tc>
      </w:tr>
      <w:tr w:rsidR="0000131E" w:rsidRPr="00ED2331" w:rsidTr="00AF64F0">
        <w:tc>
          <w:tcPr>
            <w:tcW w:w="2239" w:type="dxa"/>
            <w:shd w:val="clear" w:color="auto" w:fill="auto"/>
            <w:vAlign w:val="center"/>
          </w:tcPr>
          <w:p w:rsidR="00692091" w:rsidRPr="008D28F6" w:rsidRDefault="00692091" w:rsidP="00692091">
            <w:pPr>
              <w:pStyle w:val="14"/>
            </w:pPr>
            <w:r w:rsidRPr="008D28F6">
              <w:rPr>
                <w:rFonts w:hint="eastAsia"/>
              </w:rPr>
              <w:t>決標/</w:t>
            </w:r>
            <w:proofErr w:type="gramStart"/>
            <w:r w:rsidRPr="008D28F6">
              <w:rPr>
                <w:rFonts w:hint="eastAsia"/>
              </w:rPr>
              <w:t>底價</w:t>
            </w:r>
            <w:r w:rsidR="00FB526D" w:rsidRPr="008D28F6">
              <w:rPr>
                <w:rFonts w:hint="eastAsia"/>
              </w:rPr>
              <w:t>標比</w:t>
            </w:r>
            <w:proofErr w:type="gramEnd"/>
          </w:p>
        </w:tc>
        <w:tc>
          <w:tcPr>
            <w:tcW w:w="2722" w:type="dxa"/>
            <w:shd w:val="clear" w:color="auto" w:fill="auto"/>
            <w:vAlign w:val="center"/>
          </w:tcPr>
          <w:p w:rsidR="00692091" w:rsidRPr="008D28F6" w:rsidRDefault="00692091" w:rsidP="00692091">
            <w:pPr>
              <w:pStyle w:val="14"/>
              <w:jc w:val="right"/>
              <w:rPr>
                <w:b/>
              </w:rPr>
            </w:pPr>
            <w:r w:rsidRPr="008D28F6">
              <w:rPr>
                <w:rFonts w:hint="eastAsia"/>
                <w:b/>
              </w:rPr>
              <w:t>0</w:t>
            </w:r>
            <w:r w:rsidRPr="008D28F6">
              <w:rPr>
                <w:b/>
              </w:rPr>
              <w:t>.99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92091" w:rsidRPr="008D28F6" w:rsidRDefault="00692091" w:rsidP="00692091">
            <w:pPr>
              <w:pStyle w:val="14"/>
              <w:jc w:val="right"/>
              <w:rPr>
                <w:b/>
              </w:rPr>
            </w:pPr>
            <w:r w:rsidRPr="008D28F6">
              <w:rPr>
                <w:rFonts w:hint="eastAsia"/>
                <w:b/>
              </w:rPr>
              <w:t>0</w:t>
            </w:r>
            <w:r w:rsidRPr="008D28F6">
              <w:rPr>
                <w:b/>
              </w:rPr>
              <w:t>.99</w:t>
            </w:r>
          </w:p>
        </w:tc>
      </w:tr>
    </w:tbl>
    <w:p w:rsidR="00CA14CE" w:rsidRPr="00ED2331" w:rsidRDefault="002508FF" w:rsidP="001D0BB5">
      <w:pPr>
        <w:pStyle w:val="af5"/>
        <w:ind w:firstLineChars="506" w:firstLine="1418"/>
      </w:pPr>
      <w:r w:rsidRPr="00ED2331">
        <w:rPr>
          <w:rFonts w:hint="eastAsia"/>
        </w:rPr>
        <w:t>資料來源：</w:t>
      </w:r>
      <w:r w:rsidR="00F84D99" w:rsidRPr="00F84D99">
        <w:rPr>
          <w:rFonts w:hint="eastAsia"/>
        </w:rPr>
        <w:t>本案整理自政府電子採購網。</w:t>
      </w:r>
    </w:p>
    <w:p w:rsidR="00CC3667" w:rsidRPr="00ED2331" w:rsidRDefault="00DA3236" w:rsidP="004A3533">
      <w:pPr>
        <w:pStyle w:val="3"/>
      </w:pPr>
      <w:r w:rsidRPr="00ED2331">
        <w:rPr>
          <w:rFonts w:hint="eastAsia"/>
        </w:rPr>
        <w:t>綜上，</w:t>
      </w:r>
      <w:r w:rsidR="00555B87" w:rsidRPr="00555B87">
        <w:rPr>
          <w:rFonts w:hint="eastAsia"/>
        </w:rPr>
        <w:t>中油公司前於112年9月至10月間辦理「工業用戶渦輪</w:t>
      </w:r>
      <w:proofErr w:type="gramStart"/>
      <w:r w:rsidR="00555B87" w:rsidRPr="00555B87">
        <w:rPr>
          <w:rFonts w:hint="eastAsia"/>
        </w:rPr>
        <w:t>錶</w:t>
      </w:r>
      <w:proofErr w:type="gramEnd"/>
      <w:r w:rsidR="00555B87" w:rsidRPr="00555B87">
        <w:rPr>
          <w:rFonts w:hint="eastAsia"/>
        </w:rPr>
        <w:t>一批」審標作業，基於廣徵廠商之立意，參酌安全標示與驗證合格標章使用及管理辦法第12條規定，乃同意廠商於「交貨前」完成張貼TS安全標示；惟其後續1至2個月內辦理同為天然氣計量用渦輪表採購之「嘉供渦輪表一批」等5案，卻改</w:t>
      </w:r>
      <w:proofErr w:type="gramStart"/>
      <w:r w:rsidR="00555B87" w:rsidRPr="00555B87">
        <w:rPr>
          <w:rFonts w:hint="eastAsia"/>
        </w:rPr>
        <w:t>採</w:t>
      </w:r>
      <w:proofErr w:type="gramEnd"/>
      <w:r w:rsidR="00555B87" w:rsidRPr="00555B87">
        <w:rPr>
          <w:rFonts w:hint="eastAsia"/>
        </w:rPr>
        <w:t>認投標廠商未能於「投標時」檢附TS安全標示申報登錄完成證明文件，即屬不合格標。影響所及，僅1家投標廠商符合資格，該廠商及其關係企業為鄰近時間點5案之決標廠商，雖尚查無違法事證，然同一審標單位就相</w:t>
      </w:r>
      <w:proofErr w:type="gramStart"/>
      <w:r w:rsidR="00555B87" w:rsidRPr="00555B87">
        <w:rPr>
          <w:rFonts w:hint="eastAsia"/>
        </w:rPr>
        <w:t>同類案審標</w:t>
      </w:r>
      <w:proofErr w:type="gramEnd"/>
      <w:r w:rsidR="00555B87" w:rsidRPr="00555B87">
        <w:rPr>
          <w:rFonts w:hint="eastAsia"/>
        </w:rPr>
        <w:t>認定不一，除不無影響</w:t>
      </w:r>
      <w:r w:rsidR="00555B87" w:rsidRPr="00555B87">
        <w:rPr>
          <w:rFonts w:hint="eastAsia"/>
        </w:rPr>
        <w:lastRenderedPageBreak/>
        <w:t>廠商權益、引發爭議，亦恐與發揮政府採購效益最大化之目的有違，允應檢討改進。</w:t>
      </w:r>
    </w:p>
    <w:p w:rsidR="003A5927" w:rsidRPr="00ED2331" w:rsidRDefault="00FE63B7" w:rsidP="00E33672">
      <w:pPr>
        <w:pStyle w:val="2"/>
        <w:rPr>
          <w:b/>
        </w:rPr>
      </w:pPr>
      <w:r w:rsidRPr="00ED2331">
        <w:rPr>
          <w:rFonts w:hint="eastAsia"/>
          <w:b/>
        </w:rPr>
        <w:t>經濟部採購稽核小組接獲民眾</w:t>
      </w:r>
      <w:r w:rsidR="00343348" w:rsidRPr="00ED2331">
        <w:rPr>
          <w:rFonts w:hint="eastAsia"/>
          <w:b/>
        </w:rPr>
        <w:t>檢舉</w:t>
      </w:r>
      <w:r w:rsidR="00596F11" w:rsidRPr="00ED2331">
        <w:rPr>
          <w:rFonts w:hint="eastAsia"/>
          <w:b/>
        </w:rPr>
        <w:t>「</w:t>
      </w:r>
      <w:r w:rsidRPr="00ED2331">
        <w:rPr>
          <w:rFonts w:hint="eastAsia"/>
          <w:b/>
        </w:rPr>
        <w:t>中油公司</w:t>
      </w:r>
      <w:r w:rsidR="00596F11" w:rsidRPr="00ED2331">
        <w:rPr>
          <w:rFonts w:hint="eastAsia"/>
          <w:b/>
        </w:rPr>
        <w:t>天然氣採購單位</w:t>
      </w:r>
      <w:r w:rsidRPr="00ED2331">
        <w:rPr>
          <w:rFonts w:hint="eastAsia"/>
          <w:b/>
        </w:rPr>
        <w:t>辦理</w:t>
      </w:r>
      <w:r w:rsidR="00596F11" w:rsidRPr="00ED2331">
        <w:rPr>
          <w:rFonts w:hint="eastAsia"/>
          <w:b/>
        </w:rPr>
        <w:t>『</w:t>
      </w:r>
      <w:r w:rsidRPr="00ED2331">
        <w:rPr>
          <w:rFonts w:hint="eastAsia"/>
          <w:b/>
        </w:rPr>
        <w:t>嘉供渦輪表一批</w:t>
      </w:r>
      <w:r w:rsidR="00596F11" w:rsidRPr="00ED2331">
        <w:rPr>
          <w:rFonts w:hint="eastAsia"/>
          <w:b/>
        </w:rPr>
        <w:t>』</w:t>
      </w:r>
      <w:r w:rsidRPr="00ED2331">
        <w:rPr>
          <w:rFonts w:hint="eastAsia"/>
          <w:b/>
        </w:rPr>
        <w:t>、</w:t>
      </w:r>
      <w:r w:rsidR="00596F11" w:rsidRPr="00ED2331">
        <w:rPr>
          <w:rFonts w:hint="eastAsia"/>
          <w:b/>
        </w:rPr>
        <w:t>『</w:t>
      </w:r>
      <w:r w:rsidRPr="00ED2331">
        <w:rPr>
          <w:rFonts w:hint="eastAsia"/>
          <w:b/>
        </w:rPr>
        <w:t>中供渦輪</w:t>
      </w:r>
      <w:proofErr w:type="gramStart"/>
      <w:r w:rsidRPr="00ED2331">
        <w:rPr>
          <w:rFonts w:hint="eastAsia"/>
          <w:b/>
        </w:rPr>
        <w:t>錶</w:t>
      </w:r>
      <w:proofErr w:type="gramEnd"/>
      <w:r w:rsidRPr="00ED2331">
        <w:rPr>
          <w:rFonts w:hint="eastAsia"/>
          <w:b/>
        </w:rPr>
        <w:t>一批</w:t>
      </w:r>
      <w:r w:rsidR="00596F11" w:rsidRPr="00ED2331">
        <w:rPr>
          <w:rFonts w:hint="eastAsia"/>
          <w:b/>
        </w:rPr>
        <w:t>』</w:t>
      </w:r>
      <w:r w:rsidRPr="00ED2331">
        <w:rPr>
          <w:rFonts w:hint="eastAsia"/>
          <w:b/>
        </w:rPr>
        <w:t>，審標</w:t>
      </w:r>
      <w:r w:rsidR="00AA7F9A" w:rsidRPr="00ED2331">
        <w:rPr>
          <w:rFonts w:hint="eastAsia"/>
          <w:b/>
        </w:rPr>
        <w:t>階段</w:t>
      </w:r>
      <w:r w:rsidR="00596F11" w:rsidRPr="00ED2331">
        <w:rPr>
          <w:rFonts w:hint="eastAsia"/>
          <w:b/>
        </w:rPr>
        <w:t>要求檢附</w:t>
      </w:r>
      <w:r w:rsidRPr="00ED2331">
        <w:rPr>
          <w:rFonts w:hint="eastAsia"/>
          <w:b/>
        </w:rPr>
        <w:t>勞動部T</w:t>
      </w:r>
      <w:r w:rsidRPr="00ED2331">
        <w:rPr>
          <w:b/>
        </w:rPr>
        <w:t>S</w:t>
      </w:r>
      <w:r w:rsidR="00596F11" w:rsidRPr="00ED2331">
        <w:rPr>
          <w:rFonts w:hint="eastAsia"/>
          <w:b/>
        </w:rPr>
        <w:t>安全標示登錄完成證明，致合格家數僅維持1家，質疑招標公平性」</w:t>
      </w:r>
      <w:r w:rsidR="00DB1CD8" w:rsidRPr="00ED2331">
        <w:rPr>
          <w:rFonts w:hint="eastAsia"/>
          <w:b/>
        </w:rPr>
        <w:t>等情</w:t>
      </w:r>
      <w:r w:rsidR="00AA7F9A" w:rsidRPr="00ED2331">
        <w:rPr>
          <w:rFonts w:hint="eastAsia"/>
          <w:b/>
        </w:rPr>
        <w:t>，</w:t>
      </w:r>
      <w:proofErr w:type="gramStart"/>
      <w:r w:rsidR="004F65B3">
        <w:rPr>
          <w:rFonts w:hint="eastAsia"/>
          <w:b/>
        </w:rPr>
        <w:t>僅</w:t>
      </w:r>
      <w:r w:rsidR="00E33672" w:rsidRPr="00ED2331">
        <w:rPr>
          <w:rFonts w:hint="eastAsia"/>
          <w:b/>
        </w:rPr>
        <w:t>層</w:t>
      </w:r>
      <w:proofErr w:type="gramEnd"/>
      <w:r w:rsidR="00E33672" w:rsidRPr="00ED2331">
        <w:rPr>
          <w:rFonts w:hint="eastAsia"/>
          <w:b/>
        </w:rPr>
        <w:t>轉公文</w:t>
      </w:r>
      <w:r w:rsidR="00AA7F9A" w:rsidRPr="00ED2331">
        <w:rPr>
          <w:rFonts w:hint="eastAsia"/>
          <w:b/>
        </w:rPr>
        <w:t>責由</w:t>
      </w:r>
      <w:r w:rsidR="00E33672" w:rsidRPr="00ED2331">
        <w:rPr>
          <w:rFonts w:hint="eastAsia"/>
          <w:b/>
        </w:rPr>
        <w:t>被檢舉</w:t>
      </w:r>
      <w:r w:rsidR="004F2E39">
        <w:rPr>
          <w:rFonts w:hint="eastAsia"/>
          <w:b/>
        </w:rPr>
        <w:t>機關</w:t>
      </w:r>
      <w:r w:rsidR="00AA7F9A" w:rsidRPr="00ED2331">
        <w:rPr>
          <w:rFonts w:hint="eastAsia"/>
          <w:b/>
        </w:rPr>
        <w:t>中油公司查明逕復</w:t>
      </w:r>
      <w:r w:rsidR="00DB1CD8" w:rsidRPr="00ED2331">
        <w:rPr>
          <w:rFonts w:hint="eastAsia"/>
          <w:b/>
        </w:rPr>
        <w:t>，</w:t>
      </w:r>
      <w:r w:rsidR="00B3324E" w:rsidRPr="00ED2331">
        <w:rPr>
          <w:rFonts w:hint="eastAsia"/>
          <w:b/>
        </w:rPr>
        <w:t>使</w:t>
      </w:r>
      <w:r w:rsidR="00272EF5" w:rsidRPr="00ED2331">
        <w:rPr>
          <w:rFonts w:hint="eastAsia"/>
          <w:b/>
        </w:rPr>
        <w:t>招標</w:t>
      </w:r>
      <w:r w:rsidR="00B3324E" w:rsidRPr="00ED2331">
        <w:rPr>
          <w:rFonts w:hint="eastAsia"/>
          <w:b/>
        </w:rPr>
        <w:t>公告及</w:t>
      </w:r>
      <w:r w:rsidR="00272EF5" w:rsidRPr="00ED2331">
        <w:rPr>
          <w:rFonts w:hint="eastAsia"/>
          <w:b/>
        </w:rPr>
        <w:t>投標須知</w:t>
      </w:r>
      <w:r w:rsidR="00B3324E" w:rsidRPr="00ED2331">
        <w:rPr>
          <w:rFonts w:hint="eastAsia"/>
          <w:b/>
        </w:rPr>
        <w:t>之</w:t>
      </w:r>
      <w:r w:rsidR="00272EF5" w:rsidRPr="00ED2331">
        <w:rPr>
          <w:rFonts w:hint="eastAsia"/>
          <w:b/>
        </w:rPr>
        <w:t>受理檢舉管道徒具形式；</w:t>
      </w:r>
      <w:r w:rsidR="00DB1CD8" w:rsidRPr="00ED2331">
        <w:rPr>
          <w:rFonts w:hint="eastAsia"/>
          <w:b/>
        </w:rPr>
        <w:t>復</w:t>
      </w:r>
      <w:r w:rsidR="00343348" w:rsidRPr="00ED2331">
        <w:rPr>
          <w:rFonts w:hint="eastAsia"/>
          <w:b/>
        </w:rPr>
        <w:t>未依</w:t>
      </w:r>
      <w:r w:rsidR="00B3324E" w:rsidRPr="00ED2331">
        <w:rPr>
          <w:rFonts w:hint="eastAsia"/>
          <w:b/>
        </w:rPr>
        <w:t>「</w:t>
      </w:r>
      <w:r w:rsidR="00343348" w:rsidRPr="00ED2331">
        <w:rPr>
          <w:rFonts w:hint="eastAsia"/>
          <w:b/>
        </w:rPr>
        <w:t>採購稽核小</w:t>
      </w:r>
      <w:r w:rsidR="00B3324E" w:rsidRPr="00ED2331">
        <w:rPr>
          <w:rFonts w:hint="eastAsia"/>
          <w:b/>
        </w:rPr>
        <w:t>組</w:t>
      </w:r>
      <w:r w:rsidR="00343348" w:rsidRPr="00ED2331">
        <w:rPr>
          <w:rFonts w:hint="eastAsia"/>
          <w:b/>
        </w:rPr>
        <w:t>作業規則</w:t>
      </w:r>
      <w:r w:rsidR="00B3324E" w:rsidRPr="00ED2331">
        <w:rPr>
          <w:rFonts w:hint="eastAsia"/>
          <w:b/>
        </w:rPr>
        <w:t>」及「</w:t>
      </w:r>
      <w:r w:rsidR="00B3324E" w:rsidRPr="00ED2331">
        <w:rPr>
          <w:rFonts w:hint="eastAsia"/>
          <w:b/>
        </w:rPr>
        <w:tab/>
        <w:t>經濟部採購稽核小組作業注意事項」規定，就</w:t>
      </w:r>
      <w:r w:rsidR="00343348" w:rsidRPr="00ED2331">
        <w:rPr>
          <w:rFonts w:hint="eastAsia"/>
          <w:b/>
        </w:rPr>
        <w:t>檢舉事項辦理專案稽查</w:t>
      </w:r>
      <w:r w:rsidR="00E33672" w:rsidRPr="00ED2331">
        <w:rPr>
          <w:rFonts w:hint="eastAsia"/>
          <w:b/>
        </w:rPr>
        <w:t>，難以即時發現採購缺失或澄清民眾誤解，</w:t>
      </w:r>
      <w:proofErr w:type="gramStart"/>
      <w:r w:rsidR="00927F36" w:rsidRPr="00ED2331">
        <w:rPr>
          <w:rFonts w:hint="eastAsia"/>
          <w:b/>
        </w:rPr>
        <w:t>恐損及</w:t>
      </w:r>
      <w:proofErr w:type="gramEnd"/>
      <w:r w:rsidR="001B3A3D" w:rsidRPr="00ED2331">
        <w:rPr>
          <w:rFonts w:hint="eastAsia"/>
          <w:b/>
        </w:rPr>
        <w:t>政府廉能形象，允應檢討改進</w:t>
      </w:r>
      <w:r w:rsidR="00066448" w:rsidRPr="00ED2331">
        <w:rPr>
          <w:rFonts w:hint="eastAsia"/>
          <w:b/>
        </w:rPr>
        <w:t>。</w:t>
      </w:r>
    </w:p>
    <w:p w:rsidR="003A5927" w:rsidRPr="00ED2331" w:rsidRDefault="00DB1CD8" w:rsidP="00D64FFB">
      <w:pPr>
        <w:pStyle w:val="3"/>
      </w:pPr>
      <w:r w:rsidRPr="00ED2331">
        <w:rPr>
          <w:rFonts w:hint="eastAsia"/>
        </w:rPr>
        <w:t>依據</w:t>
      </w:r>
      <w:r w:rsidR="00B3324E" w:rsidRPr="00ED2331">
        <w:rPr>
          <w:rFonts w:hint="eastAsia"/>
        </w:rPr>
        <w:t>採購稽核小組作業規則第8條規定：「</w:t>
      </w:r>
      <w:r w:rsidR="00B3324E" w:rsidRPr="00ED2331">
        <w:rPr>
          <w:rFonts w:hint="eastAsia"/>
        </w:rPr>
        <w:tab/>
        <w:t>稽核小組就下列採購案件應加強稽核監督：一、民眾或廠商檢舉、媒體報導或有資料顯示</w:t>
      </w:r>
      <w:proofErr w:type="gramStart"/>
      <w:r w:rsidR="00B3324E" w:rsidRPr="00ED2331">
        <w:rPr>
          <w:rFonts w:hint="eastAsia"/>
        </w:rPr>
        <w:t>疑</w:t>
      </w:r>
      <w:proofErr w:type="gramEnd"/>
      <w:r w:rsidR="00B3324E" w:rsidRPr="00ED2331">
        <w:rPr>
          <w:rFonts w:hint="eastAsia"/>
        </w:rPr>
        <w:t>有違失或異常之採購。…</w:t>
      </w:r>
      <w:proofErr w:type="gramStart"/>
      <w:r w:rsidR="00B3324E" w:rsidRPr="00ED2331">
        <w:rPr>
          <w:rFonts w:hint="eastAsia"/>
        </w:rPr>
        <w:t>…</w:t>
      </w:r>
      <w:proofErr w:type="gramEnd"/>
      <w:r w:rsidRPr="00ED2331">
        <w:rPr>
          <w:rFonts w:hint="eastAsia"/>
        </w:rPr>
        <w:t>。</w:t>
      </w:r>
      <w:r w:rsidR="00B3324E" w:rsidRPr="00ED2331">
        <w:rPr>
          <w:rFonts w:hint="eastAsia"/>
        </w:rPr>
        <w:t>」</w:t>
      </w:r>
      <w:r w:rsidR="00B3324E" w:rsidRPr="00ED2331">
        <w:rPr>
          <w:rFonts w:hint="eastAsia"/>
        </w:rPr>
        <w:tab/>
      </w:r>
      <w:proofErr w:type="gramStart"/>
      <w:r w:rsidRPr="00ED2331">
        <w:rPr>
          <w:rFonts w:hint="eastAsia"/>
        </w:rPr>
        <w:t>次據</w:t>
      </w:r>
      <w:r w:rsidR="00B3324E" w:rsidRPr="00ED2331">
        <w:rPr>
          <w:rFonts w:hint="eastAsia"/>
        </w:rPr>
        <w:t>經濟部</w:t>
      </w:r>
      <w:proofErr w:type="gramEnd"/>
      <w:r w:rsidR="00B3324E" w:rsidRPr="00ED2331">
        <w:rPr>
          <w:rFonts w:hint="eastAsia"/>
        </w:rPr>
        <w:t>採購稽核小組作業注意事項</w:t>
      </w:r>
      <w:r w:rsidR="00D62EDD" w:rsidRPr="00ED2331">
        <w:rPr>
          <w:rFonts w:hint="eastAsia"/>
        </w:rPr>
        <w:t>第1點規定：「為利經濟部採購稽核小組（以下簡稱本小組）執行經濟部採購稽核作業，有明確遵循機制，除應依照政府採購法、採購稽核小組組織準則及採購稽核小組作業規則辦理外，並配合實務需要，特訂定本注意事項。」</w:t>
      </w:r>
      <w:r w:rsidR="00B3324E" w:rsidRPr="00ED2331">
        <w:rPr>
          <w:rFonts w:hint="eastAsia"/>
        </w:rPr>
        <w:t>第</w:t>
      </w:r>
      <w:r w:rsidR="00272EF5" w:rsidRPr="00ED2331">
        <w:t>3</w:t>
      </w:r>
      <w:r w:rsidR="00B3324E" w:rsidRPr="00ED2331">
        <w:rPr>
          <w:rFonts w:hint="eastAsia"/>
        </w:rPr>
        <w:t>點規定：「</w:t>
      </w:r>
      <w:r w:rsidR="00272EF5" w:rsidRPr="00ED2331">
        <w:rPr>
          <w:rFonts w:hint="eastAsia"/>
        </w:rPr>
        <w:t>本小組就下列採購案件應加強稽核監督：</w:t>
      </w:r>
      <w:r w:rsidRPr="00ED2331">
        <w:rPr>
          <w:rFonts w:hint="eastAsia"/>
        </w:rPr>
        <w:t>(</w:t>
      </w:r>
      <w:proofErr w:type="gramStart"/>
      <w:r w:rsidR="00272EF5" w:rsidRPr="00ED2331">
        <w:rPr>
          <w:rFonts w:hint="eastAsia"/>
        </w:rPr>
        <w:t>一</w:t>
      </w:r>
      <w:proofErr w:type="gramEnd"/>
      <w:r w:rsidRPr="00ED2331">
        <w:rPr>
          <w:rFonts w:hint="eastAsia"/>
        </w:rPr>
        <w:t>)</w:t>
      </w:r>
      <w:r w:rsidR="00272EF5" w:rsidRPr="00ED2331">
        <w:rPr>
          <w:rFonts w:hint="eastAsia"/>
        </w:rPr>
        <w:t>民眾或廠商檢舉、媒體報導或有資料顯示疑有違失或異常之採購。…</w:t>
      </w:r>
      <w:proofErr w:type="gramStart"/>
      <w:r w:rsidR="00272EF5" w:rsidRPr="00ED2331">
        <w:rPr>
          <w:rFonts w:hint="eastAsia"/>
        </w:rPr>
        <w:t>…</w:t>
      </w:r>
      <w:proofErr w:type="gramEnd"/>
      <w:r w:rsidRPr="00ED2331">
        <w:rPr>
          <w:rFonts w:hint="eastAsia"/>
        </w:rPr>
        <w:t>。</w:t>
      </w:r>
      <w:r w:rsidR="00272EF5" w:rsidRPr="00ED2331">
        <w:rPr>
          <w:rFonts w:hint="eastAsia"/>
        </w:rPr>
        <w:t>」</w:t>
      </w:r>
      <w:r w:rsidRPr="00ED2331">
        <w:rPr>
          <w:rFonts w:hint="eastAsia"/>
        </w:rPr>
        <w:t>第5點規定：「稽核案件之處理原則：…</w:t>
      </w:r>
      <w:proofErr w:type="gramStart"/>
      <w:r w:rsidRPr="00ED2331">
        <w:rPr>
          <w:rFonts w:hint="eastAsia"/>
        </w:rPr>
        <w:t>…</w:t>
      </w:r>
      <w:proofErr w:type="gramEnd"/>
      <w:r w:rsidRPr="00ED2331">
        <w:rPr>
          <w:rFonts w:hint="eastAsia"/>
        </w:rPr>
        <w:t>(二)針對民眾(廠商)舉發事項發現可能之缺失予以稽核監督，如尚有發現其他異常情形，一併予稽核監督。」</w:t>
      </w:r>
    </w:p>
    <w:p w:rsidR="001A6EC6" w:rsidRPr="00ED2331" w:rsidRDefault="008E3818" w:rsidP="00D64FFB">
      <w:pPr>
        <w:pStyle w:val="3"/>
      </w:pPr>
      <w:r w:rsidRPr="00ED2331">
        <w:rPr>
          <w:rFonts w:hint="eastAsia"/>
        </w:rPr>
        <w:t>經查，</w:t>
      </w:r>
      <w:r w:rsidR="005D59EF" w:rsidRPr="00ED2331">
        <w:rPr>
          <w:rFonts w:hint="eastAsia"/>
        </w:rPr>
        <w:t>經濟部採購稽核小組</w:t>
      </w:r>
      <w:r w:rsidR="005D59EF">
        <w:rPr>
          <w:rFonts w:hint="eastAsia"/>
        </w:rPr>
        <w:t>接獲</w:t>
      </w:r>
      <w:r w:rsidRPr="00ED2331">
        <w:rPr>
          <w:rFonts w:hint="eastAsia"/>
        </w:rPr>
        <w:t>112年1</w:t>
      </w:r>
      <w:r w:rsidRPr="00ED2331">
        <w:t>1</w:t>
      </w:r>
      <w:r w:rsidRPr="00ED2331">
        <w:rPr>
          <w:rFonts w:hint="eastAsia"/>
        </w:rPr>
        <w:t>月21日光字第1</w:t>
      </w:r>
      <w:r w:rsidRPr="00ED2331">
        <w:t>121121001</w:t>
      </w:r>
      <w:r w:rsidRPr="00ED2331">
        <w:rPr>
          <w:rFonts w:hint="eastAsia"/>
        </w:rPr>
        <w:t>號函</w:t>
      </w:r>
      <w:r w:rsidR="005D59EF">
        <w:rPr>
          <w:rFonts w:hint="eastAsia"/>
        </w:rPr>
        <w:t>說明</w:t>
      </w:r>
      <w:r w:rsidR="001A6EC6" w:rsidRPr="00ED2331">
        <w:rPr>
          <w:rFonts w:hint="eastAsia"/>
        </w:rPr>
        <w:t>略</w:t>
      </w:r>
      <w:proofErr w:type="gramStart"/>
      <w:r w:rsidR="001A6EC6" w:rsidRPr="00ED2331">
        <w:rPr>
          <w:rFonts w:hint="eastAsia"/>
        </w:rPr>
        <w:t>以</w:t>
      </w:r>
      <w:proofErr w:type="gramEnd"/>
      <w:r w:rsidR="001A6EC6" w:rsidRPr="00ED2331">
        <w:rPr>
          <w:rFonts w:hint="eastAsia"/>
        </w:rPr>
        <w:t>：</w:t>
      </w:r>
    </w:p>
    <w:p w:rsidR="008E3818" w:rsidRPr="00ED2331" w:rsidRDefault="008E3818" w:rsidP="001A6EC6">
      <w:pPr>
        <w:pStyle w:val="4"/>
      </w:pPr>
      <w:r w:rsidRPr="00ED2331">
        <w:rPr>
          <w:rFonts w:hint="eastAsia"/>
        </w:rPr>
        <w:t>中油公司南</w:t>
      </w:r>
      <w:proofErr w:type="gramStart"/>
      <w:r w:rsidRPr="00ED2331">
        <w:rPr>
          <w:rFonts w:hint="eastAsia"/>
        </w:rPr>
        <w:t>採</w:t>
      </w:r>
      <w:proofErr w:type="gramEnd"/>
      <w:r w:rsidRPr="00ED2331">
        <w:rPr>
          <w:rFonts w:hint="eastAsia"/>
        </w:rPr>
        <w:t>中心</w:t>
      </w:r>
      <w:r w:rsidR="001A6EC6" w:rsidRPr="00ED2331">
        <w:rPr>
          <w:rFonts w:hint="eastAsia"/>
        </w:rPr>
        <w:t>辦理</w:t>
      </w:r>
      <w:r w:rsidRPr="00ED2331">
        <w:rPr>
          <w:rFonts w:hint="eastAsia"/>
        </w:rPr>
        <w:t>「嘉供渦輪表一批」及「中</w:t>
      </w:r>
      <w:r w:rsidRPr="00ED2331">
        <w:rPr>
          <w:rFonts w:hint="eastAsia"/>
        </w:rPr>
        <w:lastRenderedPageBreak/>
        <w:t>供渦輪錶一批」等2件採購案，</w:t>
      </w:r>
      <w:r w:rsidR="001A6EC6" w:rsidRPr="00ED2331">
        <w:rPr>
          <w:rFonts w:hint="eastAsia"/>
        </w:rPr>
        <w:t>天然氣計量用渦輪表之「指數器脈衝訊號輸出應有TS安全標示」，為規格審查要件之一。雖</w:t>
      </w:r>
      <w:r w:rsidR="00420D2F">
        <w:rPr>
          <w:rFonts w:hint="eastAsia"/>
        </w:rPr>
        <w:t>某一投標廠商</w:t>
      </w:r>
      <w:r w:rsidR="001A6EC6" w:rsidRPr="00ED2331">
        <w:rPr>
          <w:rFonts w:hint="eastAsia"/>
        </w:rPr>
        <w:t>表示將依據「安全標示與驗證合格標章使用及管理辦法」第12條規定，於產品交貨前完成產品登錄、張貼T</w:t>
      </w:r>
      <w:r w:rsidR="001A6EC6" w:rsidRPr="00ED2331">
        <w:t>S</w:t>
      </w:r>
      <w:r w:rsidR="001A6EC6" w:rsidRPr="00ED2331">
        <w:rPr>
          <w:rFonts w:hint="eastAsia"/>
        </w:rPr>
        <w:t>安全標示，中油公司審標單位仍</w:t>
      </w:r>
      <w:r w:rsidRPr="00ED2331">
        <w:rPr>
          <w:rFonts w:hint="eastAsia"/>
        </w:rPr>
        <w:t>以</w:t>
      </w:r>
      <w:r w:rsidR="00A013F1" w:rsidRPr="00ED2331">
        <w:rPr>
          <w:rFonts w:hint="eastAsia"/>
        </w:rPr>
        <w:t>「未見勞動部核發『指定機械、設備或器具安全資訊網站申報登錄完成通知書』」</w:t>
      </w:r>
      <w:r w:rsidRPr="00ED2331">
        <w:rPr>
          <w:rFonts w:hint="eastAsia"/>
        </w:rPr>
        <w:t>為由</w:t>
      </w:r>
      <w:r w:rsidR="00A013F1" w:rsidRPr="00ED2331">
        <w:rPr>
          <w:rFonts w:hint="eastAsia"/>
        </w:rPr>
        <w:t>（即不具T</w:t>
      </w:r>
      <w:r w:rsidR="00A013F1" w:rsidRPr="00ED2331">
        <w:t>S</w:t>
      </w:r>
      <w:r w:rsidR="00A013F1" w:rsidRPr="00ED2331">
        <w:rPr>
          <w:rFonts w:hint="eastAsia"/>
        </w:rPr>
        <w:t>安全標示）</w:t>
      </w:r>
      <w:r w:rsidRPr="00ED2331">
        <w:rPr>
          <w:rFonts w:hint="eastAsia"/>
        </w:rPr>
        <w:t>，將</w:t>
      </w:r>
      <w:r w:rsidR="00420D2F">
        <w:rPr>
          <w:rFonts w:hint="eastAsia"/>
        </w:rPr>
        <w:t>其</w:t>
      </w:r>
      <w:r w:rsidRPr="00ED2331">
        <w:rPr>
          <w:rFonts w:hint="eastAsia"/>
        </w:rPr>
        <w:t>審查判定為不合格</w:t>
      </w:r>
      <w:r w:rsidR="001A6EC6" w:rsidRPr="00ED2331">
        <w:rPr>
          <w:rFonts w:hint="eastAsia"/>
        </w:rPr>
        <w:t>。</w:t>
      </w:r>
      <w:r w:rsidR="001A6EC6" w:rsidRPr="00ED2331">
        <w:t xml:space="preserve"> </w:t>
      </w:r>
    </w:p>
    <w:p w:rsidR="008E3818" w:rsidRPr="00ED2331" w:rsidRDefault="001A6EC6" w:rsidP="001A6EC6">
      <w:pPr>
        <w:pStyle w:val="4"/>
      </w:pPr>
      <w:r w:rsidRPr="00ED2331">
        <w:rPr>
          <w:rFonts w:hint="eastAsia"/>
        </w:rPr>
        <w:t>「嘉供渦輪表一批」及「中供渦輪</w:t>
      </w:r>
      <w:proofErr w:type="gramStart"/>
      <w:r w:rsidRPr="00ED2331">
        <w:rPr>
          <w:rFonts w:hint="eastAsia"/>
        </w:rPr>
        <w:t>錶</w:t>
      </w:r>
      <w:proofErr w:type="gramEnd"/>
      <w:r w:rsidRPr="00ED2331">
        <w:rPr>
          <w:rFonts w:hint="eastAsia"/>
        </w:rPr>
        <w:t>一批」等2件採購</w:t>
      </w:r>
      <w:proofErr w:type="gramStart"/>
      <w:r w:rsidRPr="00ED2331">
        <w:rPr>
          <w:rFonts w:hint="eastAsia"/>
        </w:rPr>
        <w:t>案均因廠</w:t>
      </w:r>
      <w:proofErr w:type="gramEnd"/>
      <w:r w:rsidRPr="00ED2331">
        <w:rPr>
          <w:rFonts w:hint="eastAsia"/>
        </w:rPr>
        <w:t>商家數不足而進行到第2次招標，且於</w:t>
      </w:r>
      <w:r w:rsidR="00F2218F">
        <w:rPr>
          <w:rFonts w:hint="eastAsia"/>
        </w:rPr>
        <w:t>勞動</w:t>
      </w:r>
      <w:proofErr w:type="gramStart"/>
      <w:r w:rsidR="00F2218F">
        <w:rPr>
          <w:rFonts w:hint="eastAsia"/>
        </w:rPr>
        <w:t>部職安</w:t>
      </w:r>
      <w:proofErr w:type="gramEnd"/>
      <w:r w:rsidR="00F2218F">
        <w:rPr>
          <w:rFonts w:hint="eastAsia"/>
        </w:rPr>
        <w:t>署</w:t>
      </w:r>
      <w:r w:rsidR="00A013F1" w:rsidRPr="00ED2331">
        <w:rPr>
          <w:rFonts w:hint="eastAsia"/>
        </w:rPr>
        <w:t>「機械設備器具安全資訊網」</w:t>
      </w:r>
      <w:r w:rsidRPr="00ED2331">
        <w:rPr>
          <w:rFonts w:hint="eastAsia"/>
        </w:rPr>
        <w:t>查詢，查無渦輪表登錄廠商</w:t>
      </w:r>
      <w:r w:rsidR="00A013F1" w:rsidRPr="00ED2331">
        <w:rPr>
          <w:rFonts w:hint="eastAsia"/>
        </w:rPr>
        <w:t>；</w:t>
      </w:r>
      <w:r w:rsidRPr="00ED2331">
        <w:rPr>
          <w:rFonts w:hint="eastAsia"/>
        </w:rPr>
        <w:t>另</w:t>
      </w:r>
      <w:r w:rsidR="00CB1FD7">
        <w:rPr>
          <w:rFonts w:hint="eastAsia"/>
        </w:rPr>
        <w:t>1</w:t>
      </w:r>
      <w:r w:rsidRPr="00ED2331">
        <w:rPr>
          <w:rFonts w:hint="eastAsia"/>
        </w:rPr>
        <w:t>家競標廠商</w:t>
      </w:r>
      <w:r w:rsidR="00A013F1" w:rsidRPr="00ED2331">
        <w:rPr>
          <w:rFonts w:hint="eastAsia"/>
        </w:rPr>
        <w:t>縱</w:t>
      </w:r>
      <w:r w:rsidRPr="00ED2331">
        <w:rPr>
          <w:rFonts w:hint="eastAsia"/>
        </w:rPr>
        <w:t>已通過T</w:t>
      </w:r>
      <w:r w:rsidRPr="00ED2331">
        <w:t>S</w:t>
      </w:r>
      <w:r w:rsidRPr="00ED2331">
        <w:rPr>
          <w:rFonts w:hint="eastAsia"/>
        </w:rPr>
        <w:t>安全標示，其登錄</w:t>
      </w:r>
      <w:proofErr w:type="gramStart"/>
      <w:r w:rsidRPr="00ED2331">
        <w:rPr>
          <w:rFonts w:hint="eastAsia"/>
        </w:rPr>
        <w:t>有效期限亦</w:t>
      </w:r>
      <w:r w:rsidR="00A013F1" w:rsidRPr="00ED2331">
        <w:rPr>
          <w:rFonts w:hint="eastAsia"/>
        </w:rPr>
        <w:t>晚</w:t>
      </w:r>
      <w:r w:rsidRPr="00ED2331">
        <w:rPr>
          <w:rFonts w:hint="eastAsia"/>
        </w:rPr>
        <w:t>於</w:t>
      </w:r>
      <w:proofErr w:type="gramEnd"/>
      <w:r w:rsidRPr="00ED2331">
        <w:rPr>
          <w:rFonts w:hint="eastAsia"/>
        </w:rPr>
        <w:t>該採購案招標期間。合理懷疑第2次招標案係為特定廠商量身訂製。</w:t>
      </w:r>
    </w:p>
    <w:p w:rsidR="001A6EC6" w:rsidRPr="00ED2331" w:rsidRDefault="00DE5882" w:rsidP="001A6EC6">
      <w:pPr>
        <w:pStyle w:val="4"/>
      </w:pPr>
      <w:r w:rsidRPr="00ED2331">
        <w:rPr>
          <w:rFonts w:hint="eastAsia"/>
        </w:rPr>
        <w:t>倘</w:t>
      </w:r>
      <w:r w:rsidR="00F2218F">
        <w:rPr>
          <w:rFonts w:hint="eastAsia"/>
        </w:rPr>
        <w:t>勞動</w:t>
      </w:r>
      <w:proofErr w:type="gramStart"/>
      <w:r w:rsidR="00F2218F">
        <w:rPr>
          <w:rFonts w:hint="eastAsia"/>
        </w:rPr>
        <w:t>部職安署</w:t>
      </w:r>
      <w:proofErr w:type="gramEnd"/>
      <w:r w:rsidR="00A013F1" w:rsidRPr="00ED2331">
        <w:rPr>
          <w:rFonts w:hint="eastAsia"/>
        </w:rPr>
        <w:t>「機械設備器具安全資訊網」</w:t>
      </w:r>
      <w:r w:rsidR="003A5237" w:rsidRPr="00ED2331">
        <w:rPr>
          <w:rFonts w:hint="eastAsia"/>
        </w:rPr>
        <w:t>僅有1家合格渦輪表已取得T</w:t>
      </w:r>
      <w:r w:rsidR="003A5237" w:rsidRPr="00ED2331">
        <w:t>S</w:t>
      </w:r>
      <w:r w:rsidR="002B5059" w:rsidRPr="00ED2331">
        <w:rPr>
          <w:rFonts w:hint="eastAsia"/>
        </w:rPr>
        <w:t>安全標示</w:t>
      </w:r>
      <w:r w:rsidR="003A5237" w:rsidRPr="00ED2331">
        <w:rPr>
          <w:rFonts w:hint="eastAsia"/>
        </w:rPr>
        <w:t>，以中油公司立場仍得考量多家競標為原則，允許投標廠商交貨時張貼T</w:t>
      </w:r>
      <w:r w:rsidR="003A5237" w:rsidRPr="00ED2331">
        <w:t>S</w:t>
      </w:r>
      <w:r w:rsidR="003A5237" w:rsidRPr="00ED2331">
        <w:rPr>
          <w:rFonts w:hint="eastAsia"/>
        </w:rPr>
        <w:t>安全標示即可，不應自行採用特定對象作為招標依據，</w:t>
      </w:r>
      <w:r w:rsidR="004F2E39">
        <w:rPr>
          <w:rFonts w:hint="eastAsia"/>
        </w:rPr>
        <w:t>否則，</w:t>
      </w:r>
      <w:r w:rsidR="003A5237" w:rsidRPr="00ED2331">
        <w:rPr>
          <w:rFonts w:hint="eastAsia"/>
        </w:rPr>
        <w:t>恐涉嫌圖利特定廠商。</w:t>
      </w:r>
      <w:proofErr w:type="gramStart"/>
      <w:r w:rsidR="003A5237" w:rsidRPr="00ED2331">
        <w:rPr>
          <w:rFonts w:hint="eastAsia"/>
        </w:rPr>
        <w:t>若審標</w:t>
      </w:r>
      <w:proofErr w:type="gramEnd"/>
      <w:r w:rsidR="003A5237" w:rsidRPr="00ED2331">
        <w:rPr>
          <w:rFonts w:hint="eastAsia"/>
        </w:rPr>
        <w:t>規範要納入T</w:t>
      </w:r>
      <w:r w:rsidR="003A5237" w:rsidRPr="00ED2331">
        <w:t>S</w:t>
      </w:r>
      <w:r w:rsidR="003A5237" w:rsidRPr="00ED2331">
        <w:rPr>
          <w:rFonts w:hint="eastAsia"/>
        </w:rPr>
        <w:t>安全標示，應依據主管機關勞動部相關規定以為依據。</w:t>
      </w:r>
    </w:p>
    <w:p w:rsidR="00AE7EE6" w:rsidRPr="00ED2331" w:rsidRDefault="00AE7EE6" w:rsidP="00272EF5">
      <w:pPr>
        <w:pStyle w:val="3"/>
      </w:pPr>
      <w:r w:rsidRPr="00ED2331">
        <w:rPr>
          <w:rFonts w:hint="eastAsia"/>
        </w:rPr>
        <w:t>經濟部採購稽核小組於</w:t>
      </w:r>
      <w:r w:rsidR="00AC517B" w:rsidRPr="00ED2331">
        <w:rPr>
          <w:rFonts w:hint="eastAsia"/>
        </w:rPr>
        <w:t>接獲民眾檢舉2日後，於</w:t>
      </w:r>
      <w:r w:rsidRPr="00ED2331">
        <w:rPr>
          <w:rFonts w:hint="eastAsia"/>
        </w:rPr>
        <w:t>1</w:t>
      </w:r>
      <w:r w:rsidRPr="00ED2331">
        <w:t>1</w:t>
      </w:r>
      <w:r w:rsidR="00AC517B" w:rsidRPr="00ED2331">
        <w:t>2</w:t>
      </w:r>
      <w:r w:rsidR="00AC517B" w:rsidRPr="00ED2331">
        <w:rPr>
          <w:rFonts w:hint="eastAsia"/>
        </w:rPr>
        <w:t>年11月2</w:t>
      </w:r>
      <w:r w:rsidR="00AC517B" w:rsidRPr="00ED2331">
        <w:t>3</w:t>
      </w:r>
      <w:r w:rsidR="00AC517B" w:rsidRPr="00ED2331">
        <w:rPr>
          <w:rFonts w:hint="eastAsia"/>
        </w:rPr>
        <w:t>日以經</w:t>
      </w:r>
      <w:proofErr w:type="gramStart"/>
      <w:r w:rsidR="00AC517B" w:rsidRPr="00ED2331">
        <w:rPr>
          <w:rFonts w:hint="eastAsia"/>
        </w:rPr>
        <w:t>稽</w:t>
      </w:r>
      <w:proofErr w:type="gramEnd"/>
      <w:r w:rsidR="00AC517B" w:rsidRPr="00ED2331">
        <w:rPr>
          <w:rFonts w:hint="eastAsia"/>
        </w:rPr>
        <w:t>字第1</w:t>
      </w:r>
      <w:r w:rsidR="00AC517B" w:rsidRPr="00ED2331">
        <w:t>1213605620</w:t>
      </w:r>
      <w:r w:rsidR="00AC517B" w:rsidRPr="00ED2331">
        <w:rPr>
          <w:rFonts w:hint="eastAsia"/>
        </w:rPr>
        <w:t>號書函請中油公司注意保密規定、查明逕復，並副知經濟部採購稽核小組。中油公司</w:t>
      </w:r>
      <w:proofErr w:type="gramStart"/>
      <w:r w:rsidR="00AC517B" w:rsidRPr="00ED2331">
        <w:rPr>
          <w:rFonts w:hint="eastAsia"/>
        </w:rPr>
        <w:t>嗣</w:t>
      </w:r>
      <w:proofErr w:type="gramEnd"/>
      <w:r w:rsidR="00AC517B" w:rsidRPr="00ED2331">
        <w:rPr>
          <w:rFonts w:hint="eastAsia"/>
        </w:rPr>
        <w:t>於112年1</w:t>
      </w:r>
      <w:r w:rsidR="00AC517B" w:rsidRPr="00ED2331">
        <w:t>2</w:t>
      </w:r>
      <w:r w:rsidR="00AC517B" w:rsidRPr="00ED2331">
        <w:rPr>
          <w:rFonts w:hint="eastAsia"/>
        </w:rPr>
        <w:t>月26日以油採購發字第1</w:t>
      </w:r>
      <w:r w:rsidR="00AC517B" w:rsidRPr="00ED2331">
        <w:t>1210933540</w:t>
      </w:r>
      <w:r w:rsidR="00AC517B" w:rsidRPr="00ED2331">
        <w:rPr>
          <w:rFonts w:hint="eastAsia"/>
        </w:rPr>
        <w:t>號書函回復</w:t>
      </w:r>
      <w:r w:rsidR="005D59EF">
        <w:rPr>
          <w:rFonts w:hint="eastAsia"/>
        </w:rPr>
        <w:t>，</w:t>
      </w:r>
      <w:r w:rsidR="00AC517B" w:rsidRPr="00ED2331">
        <w:rPr>
          <w:rFonts w:hint="eastAsia"/>
        </w:rPr>
        <w:t>並副知經濟部採購稽核小組，函復查明情形。</w:t>
      </w:r>
    </w:p>
    <w:p w:rsidR="00272EF5" w:rsidRPr="00ED2331" w:rsidRDefault="00AC517B" w:rsidP="00D64FFB">
      <w:pPr>
        <w:pStyle w:val="3"/>
      </w:pPr>
      <w:proofErr w:type="gramStart"/>
      <w:r w:rsidRPr="00ED2331">
        <w:rPr>
          <w:rFonts w:hint="eastAsia"/>
        </w:rPr>
        <w:t>惟</w:t>
      </w:r>
      <w:proofErr w:type="gramEnd"/>
      <w:r w:rsidRPr="00ED2331">
        <w:rPr>
          <w:rFonts w:hint="eastAsia"/>
        </w:rPr>
        <w:t>，</w:t>
      </w:r>
      <w:proofErr w:type="gramStart"/>
      <w:r w:rsidRPr="00ED2331">
        <w:rPr>
          <w:rFonts w:hint="eastAsia"/>
        </w:rPr>
        <w:t>查</w:t>
      </w:r>
      <w:proofErr w:type="gramEnd"/>
      <w:r w:rsidRPr="00ED2331">
        <w:rPr>
          <w:rFonts w:hint="eastAsia"/>
        </w:rPr>
        <w:t>據</w:t>
      </w:r>
      <w:r w:rsidR="00272EF5" w:rsidRPr="00ED2331">
        <w:rPr>
          <w:rFonts w:hint="eastAsia"/>
        </w:rPr>
        <w:t>「嘉供渦輪表一批」及「中供渦輪錶一批」</w:t>
      </w:r>
      <w:r w:rsidR="00272EF5" w:rsidRPr="00ED2331">
        <w:rPr>
          <w:rFonts w:hint="eastAsia"/>
        </w:rPr>
        <w:lastRenderedPageBreak/>
        <w:t>採購案之投標須知第86點</w:t>
      </w:r>
      <w:r w:rsidRPr="00ED2331">
        <w:rPr>
          <w:rFonts w:hint="eastAsia"/>
        </w:rPr>
        <w:t>與招標公告，</w:t>
      </w:r>
      <w:r w:rsidR="00D25E2B" w:rsidRPr="00ED2331">
        <w:rPr>
          <w:rFonts w:hint="eastAsia"/>
        </w:rPr>
        <w:t>均</w:t>
      </w:r>
      <w:r w:rsidRPr="00ED2331">
        <w:rPr>
          <w:rFonts w:hint="eastAsia"/>
        </w:rPr>
        <w:t>提供檢舉管道並登載：</w:t>
      </w:r>
      <w:r w:rsidR="00272EF5" w:rsidRPr="00ED2331">
        <w:rPr>
          <w:rFonts w:hint="eastAsia"/>
        </w:rPr>
        <w:t>「</w:t>
      </w:r>
      <w:r w:rsidR="00D25E2B" w:rsidRPr="00ED2331">
        <w:rPr>
          <w:rFonts w:hint="eastAsia"/>
        </w:rPr>
        <w:t>經濟部採購稽核小組</w:t>
      </w:r>
      <w:r w:rsidR="00272EF5" w:rsidRPr="00ED2331">
        <w:rPr>
          <w:rFonts w:hint="eastAsia"/>
        </w:rPr>
        <w:t>受理廠商檢舉之採購稽核小組連絡電話、傳真及地址</w:t>
      </w:r>
      <w:r w:rsidRPr="00ED2331">
        <w:rPr>
          <w:rFonts w:hint="eastAsia"/>
        </w:rPr>
        <w:t>」。經濟部採購稽核小組為受理檢舉單位，於接獲檢舉函2日後層轉公文，責由被檢舉機關中油公司查明</w:t>
      </w:r>
      <w:proofErr w:type="gramStart"/>
      <w:r w:rsidRPr="00ED2331">
        <w:rPr>
          <w:rFonts w:hint="eastAsia"/>
        </w:rPr>
        <w:t>逕</w:t>
      </w:r>
      <w:proofErr w:type="gramEnd"/>
      <w:r w:rsidRPr="00ED2331">
        <w:rPr>
          <w:rFonts w:hint="eastAsia"/>
        </w:rPr>
        <w:t>復，而未再</w:t>
      </w:r>
      <w:r w:rsidR="00F470BB" w:rsidRPr="00ED2331">
        <w:rPr>
          <w:rFonts w:hint="eastAsia"/>
        </w:rPr>
        <w:t>基於上級機關採購稽核小組職責，</w:t>
      </w:r>
      <w:r w:rsidRPr="00ED2331">
        <w:rPr>
          <w:rFonts w:hint="eastAsia"/>
        </w:rPr>
        <w:t>確認民眾檢舉事項之實情，</w:t>
      </w:r>
      <w:r w:rsidR="004F2E39">
        <w:rPr>
          <w:rFonts w:hint="eastAsia"/>
        </w:rPr>
        <w:t>以及被檢舉機關之</w:t>
      </w:r>
      <w:r w:rsidR="00D9601E" w:rsidRPr="00ED2331">
        <w:rPr>
          <w:rFonts w:hint="eastAsia"/>
        </w:rPr>
        <w:t>處理</w:t>
      </w:r>
      <w:r w:rsidRPr="00ED2331">
        <w:rPr>
          <w:rFonts w:hint="eastAsia"/>
        </w:rPr>
        <w:t>是否妥適，</w:t>
      </w:r>
      <w:r w:rsidR="00F470BB" w:rsidRPr="00ED2331">
        <w:rPr>
          <w:rFonts w:hint="eastAsia"/>
        </w:rPr>
        <w:t>已</w:t>
      </w:r>
      <w:proofErr w:type="gramStart"/>
      <w:r w:rsidR="00F470BB" w:rsidRPr="00ED2331">
        <w:rPr>
          <w:rFonts w:hint="eastAsia"/>
        </w:rPr>
        <w:t>非</w:t>
      </w:r>
      <w:r w:rsidRPr="00ED2331">
        <w:rPr>
          <w:rFonts w:hint="eastAsia"/>
        </w:rPr>
        <w:t>無</w:t>
      </w:r>
      <w:proofErr w:type="gramEnd"/>
      <w:r w:rsidRPr="00ED2331">
        <w:rPr>
          <w:rFonts w:hint="eastAsia"/>
        </w:rPr>
        <w:t>議。</w:t>
      </w:r>
      <w:proofErr w:type="gramStart"/>
      <w:r w:rsidR="00F470BB" w:rsidRPr="00ED2331">
        <w:rPr>
          <w:rFonts w:hint="eastAsia"/>
        </w:rPr>
        <w:t>嗣</w:t>
      </w:r>
      <w:proofErr w:type="gramEnd"/>
      <w:r w:rsidR="00F470BB" w:rsidRPr="00ED2331">
        <w:rPr>
          <w:rFonts w:hint="eastAsia"/>
        </w:rPr>
        <w:t>中油公司函復檢舉民眾並副知經濟部採購稽核小組後，該採購稽核小組仍未依採購稽核小組作業規則第8條及</w:t>
      </w:r>
      <w:r w:rsidR="00F470BB" w:rsidRPr="00ED2331">
        <w:rPr>
          <w:rFonts w:hint="eastAsia"/>
        </w:rPr>
        <w:tab/>
        <w:t>經濟部採購稽核小組作業注意事項第3點及第5點</w:t>
      </w:r>
      <w:r w:rsidR="00833116" w:rsidRPr="00ED2331">
        <w:rPr>
          <w:rFonts w:hint="eastAsia"/>
        </w:rPr>
        <w:t>等</w:t>
      </w:r>
      <w:r w:rsidR="00F470BB" w:rsidRPr="00ED2331">
        <w:rPr>
          <w:rFonts w:hint="eastAsia"/>
        </w:rPr>
        <w:t>規定，針對民眾檢舉事項與相關案件辦理專案稽查，實難善盡發現並</w:t>
      </w:r>
      <w:r w:rsidR="00E87C5A" w:rsidRPr="00ED2331">
        <w:rPr>
          <w:rFonts w:hint="eastAsia"/>
        </w:rPr>
        <w:t>預防</w:t>
      </w:r>
      <w:r w:rsidR="00F470BB" w:rsidRPr="00ED2331">
        <w:rPr>
          <w:rFonts w:hint="eastAsia"/>
        </w:rPr>
        <w:t>採購</w:t>
      </w:r>
      <w:r w:rsidR="00E87C5A" w:rsidRPr="00ED2331">
        <w:rPr>
          <w:rFonts w:hint="eastAsia"/>
        </w:rPr>
        <w:t>違失</w:t>
      </w:r>
      <w:r w:rsidR="00F470BB" w:rsidRPr="00ED2331">
        <w:rPr>
          <w:rFonts w:hint="eastAsia"/>
        </w:rPr>
        <w:t>職責，</w:t>
      </w:r>
      <w:r w:rsidR="00E87C5A" w:rsidRPr="00ED2331">
        <w:rPr>
          <w:rFonts w:hint="eastAsia"/>
        </w:rPr>
        <w:t>亦</w:t>
      </w:r>
      <w:r w:rsidR="00F470BB" w:rsidRPr="00ED2331">
        <w:rPr>
          <w:rFonts w:hint="eastAsia"/>
        </w:rPr>
        <w:t>未能即時澄清民眾誤解</w:t>
      </w:r>
      <w:r w:rsidR="00D9601E" w:rsidRPr="00ED2331">
        <w:rPr>
          <w:rFonts w:hint="eastAsia"/>
        </w:rPr>
        <w:t>、維護官箴</w:t>
      </w:r>
      <w:r w:rsidR="00F470BB" w:rsidRPr="00ED2331">
        <w:rPr>
          <w:rFonts w:hint="eastAsia"/>
        </w:rPr>
        <w:t>。</w:t>
      </w:r>
      <w:r w:rsidR="00E87C5A" w:rsidRPr="00ED2331">
        <w:rPr>
          <w:rFonts w:hint="eastAsia"/>
        </w:rPr>
        <w:t>而</w:t>
      </w:r>
      <w:r w:rsidR="00F470BB" w:rsidRPr="00ED2331">
        <w:rPr>
          <w:rFonts w:hint="eastAsia"/>
        </w:rPr>
        <w:t>檢舉民眾</w:t>
      </w:r>
      <w:proofErr w:type="gramStart"/>
      <w:r w:rsidR="00F470BB" w:rsidRPr="00ED2331">
        <w:rPr>
          <w:rFonts w:hint="eastAsia"/>
        </w:rPr>
        <w:t>至今均未獲</w:t>
      </w:r>
      <w:proofErr w:type="gramEnd"/>
      <w:r w:rsidR="00F470BB" w:rsidRPr="00ED2331">
        <w:rPr>
          <w:rFonts w:hint="eastAsia"/>
        </w:rPr>
        <w:t>經濟部採購稽核小組查復釐清結果，</w:t>
      </w:r>
      <w:r w:rsidR="00E87C5A" w:rsidRPr="00ED2331">
        <w:rPr>
          <w:rFonts w:hint="eastAsia"/>
        </w:rPr>
        <w:t>相關處理措施，實有改善精進空間</w:t>
      </w:r>
      <w:r w:rsidR="00F470BB" w:rsidRPr="00ED2331">
        <w:rPr>
          <w:rFonts w:hint="eastAsia"/>
        </w:rPr>
        <w:t>。</w:t>
      </w:r>
    </w:p>
    <w:p w:rsidR="001B3A3D" w:rsidRPr="00ED2331" w:rsidRDefault="001B3A3D" w:rsidP="004A3533">
      <w:pPr>
        <w:pStyle w:val="3"/>
      </w:pPr>
      <w:r w:rsidRPr="00ED2331">
        <w:rPr>
          <w:rFonts w:hint="eastAsia"/>
        </w:rPr>
        <w:t>綜上，</w:t>
      </w:r>
      <w:r w:rsidR="004F2E39" w:rsidRPr="004F2E39">
        <w:rPr>
          <w:rFonts w:hint="eastAsia"/>
        </w:rPr>
        <w:t>經濟部採購稽核小組接獲民眾檢舉「中油公司天然氣採購單位辦理『嘉供渦輪表一批』、『中供渦輪</w:t>
      </w:r>
      <w:proofErr w:type="gramStart"/>
      <w:r w:rsidR="004F2E39" w:rsidRPr="004F2E39">
        <w:rPr>
          <w:rFonts w:hint="eastAsia"/>
        </w:rPr>
        <w:t>錶</w:t>
      </w:r>
      <w:proofErr w:type="gramEnd"/>
      <w:r w:rsidR="004F2E39" w:rsidRPr="004F2E39">
        <w:rPr>
          <w:rFonts w:hint="eastAsia"/>
        </w:rPr>
        <w:t>一批』，審標階段要求檢附勞動部TS安全標示登錄完成證明，致合格家數僅維持1家，質疑招標公平性」等情，</w:t>
      </w:r>
      <w:proofErr w:type="gramStart"/>
      <w:r w:rsidR="004F2E39" w:rsidRPr="004F2E39">
        <w:rPr>
          <w:rFonts w:hint="eastAsia"/>
        </w:rPr>
        <w:t>僅層</w:t>
      </w:r>
      <w:proofErr w:type="gramEnd"/>
      <w:r w:rsidR="004F2E39" w:rsidRPr="004F2E39">
        <w:rPr>
          <w:rFonts w:hint="eastAsia"/>
        </w:rPr>
        <w:t>轉公文責由被檢舉機關中油公司查明逕復，使招標公告及投標須知之受理檢舉管道徒具形式；復未依「採購稽核小組作業規則」及「</w:t>
      </w:r>
      <w:r w:rsidR="004F2E39" w:rsidRPr="004F2E39">
        <w:rPr>
          <w:rFonts w:hint="eastAsia"/>
        </w:rPr>
        <w:tab/>
        <w:t>經濟部採購稽核小組作業注意事項」規定，就檢舉事項辦理專案稽查，難以即時發現採購缺失或澄清民眾誤解，</w:t>
      </w:r>
      <w:proofErr w:type="gramStart"/>
      <w:r w:rsidR="004F2E39" w:rsidRPr="004F2E39">
        <w:rPr>
          <w:rFonts w:hint="eastAsia"/>
        </w:rPr>
        <w:t>恐損及</w:t>
      </w:r>
      <w:proofErr w:type="gramEnd"/>
      <w:r w:rsidR="004F2E39" w:rsidRPr="004F2E39">
        <w:rPr>
          <w:rFonts w:hint="eastAsia"/>
        </w:rPr>
        <w:t>政府廉能形象，允應檢討改進。</w:t>
      </w:r>
    </w:p>
    <w:p w:rsidR="00FF6A06" w:rsidRPr="00ED2331" w:rsidRDefault="00DF5DF4" w:rsidP="00D64FFB">
      <w:pPr>
        <w:pStyle w:val="2"/>
        <w:rPr>
          <w:b/>
        </w:rPr>
      </w:pPr>
      <w:r w:rsidRPr="00ED2331">
        <w:rPr>
          <w:rFonts w:hint="eastAsia"/>
          <w:b/>
        </w:rPr>
        <w:t>中油公司</w:t>
      </w:r>
      <w:r w:rsidR="00FF6A06" w:rsidRPr="00ED2331">
        <w:rPr>
          <w:rFonts w:hint="eastAsia"/>
          <w:b/>
        </w:rPr>
        <w:t>肩負穩定供應天然氣之責，於全球氣候變遷、地緣政治挑戰下，其提供輸儲、接收、遮斷等設備，穩定供應天然氣之重要設施及控制系統，為我國關鍵基礎設施之一</w:t>
      </w:r>
      <w:r w:rsidR="004972AB" w:rsidRPr="00ED2331">
        <w:rPr>
          <w:rFonts w:hint="eastAsia"/>
          <w:b/>
        </w:rPr>
        <w:t>。經本</w:t>
      </w:r>
      <w:r w:rsidR="004B2E96">
        <w:rPr>
          <w:rFonts w:hint="eastAsia"/>
          <w:b/>
        </w:rPr>
        <w:t>院</w:t>
      </w:r>
      <w:r w:rsidR="004972AB" w:rsidRPr="00ED2331">
        <w:rPr>
          <w:rFonts w:hint="eastAsia"/>
          <w:b/>
        </w:rPr>
        <w:t>現地履</w:t>
      </w:r>
      <w:proofErr w:type="gramStart"/>
      <w:r w:rsidR="004972AB" w:rsidRPr="00ED2331">
        <w:rPr>
          <w:rFonts w:hint="eastAsia"/>
          <w:b/>
        </w:rPr>
        <w:t>勘</w:t>
      </w:r>
      <w:proofErr w:type="gramEnd"/>
      <w:r w:rsidR="004972AB" w:rsidRPr="00ED2331">
        <w:rPr>
          <w:rFonts w:hint="eastAsia"/>
          <w:b/>
        </w:rPr>
        <w:t>「苗栗轄區購置渦輪表（含安裝測試</w:t>
      </w:r>
      <w:r w:rsidR="006E6D02" w:rsidRPr="00ED2331">
        <w:rPr>
          <w:rFonts w:hint="eastAsia"/>
          <w:b/>
        </w:rPr>
        <w:t>）</w:t>
      </w:r>
      <w:r w:rsidR="004972AB" w:rsidRPr="00ED2331">
        <w:rPr>
          <w:rFonts w:hint="eastAsia"/>
          <w:b/>
        </w:rPr>
        <w:t>」採購案，其天然氣計量用流量</w:t>
      </w:r>
      <w:r w:rsidR="004972AB" w:rsidRPr="00ED2331">
        <w:rPr>
          <w:rFonts w:hint="eastAsia"/>
          <w:b/>
        </w:rPr>
        <w:lastRenderedPageBreak/>
        <w:t>電腦處理流量數值、接收計量參數指令，未及於天然氣輸出入之</w:t>
      </w:r>
      <w:proofErr w:type="gramStart"/>
      <w:r w:rsidR="004972AB" w:rsidRPr="00ED2331">
        <w:rPr>
          <w:rFonts w:hint="eastAsia"/>
          <w:b/>
        </w:rPr>
        <w:t>機械作</w:t>
      </w:r>
      <w:proofErr w:type="gramEnd"/>
      <w:r w:rsidR="004972AB" w:rsidRPr="00ED2331">
        <w:rPr>
          <w:rFonts w:hint="eastAsia"/>
          <w:b/>
        </w:rPr>
        <w:t>動，且與外界網路系統隔離，由專人負責機組控制系統之運作，</w:t>
      </w:r>
      <w:r w:rsidR="00A81DB4" w:rsidRPr="00ED2331">
        <w:rPr>
          <w:rFonts w:hint="eastAsia"/>
          <w:b/>
        </w:rPr>
        <w:t>其</w:t>
      </w:r>
      <w:r w:rsidR="004972AB" w:rsidRPr="00ED2331">
        <w:rPr>
          <w:rFonts w:hint="eastAsia"/>
          <w:b/>
        </w:rPr>
        <w:t>資訊安全</w:t>
      </w:r>
      <w:r w:rsidR="00A81DB4" w:rsidRPr="00ED2331">
        <w:rPr>
          <w:rFonts w:hint="eastAsia"/>
          <w:b/>
        </w:rPr>
        <w:t>與硬體防護</w:t>
      </w:r>
      <w:r w:rsidR="004972AB" w:rsidRPr="00ED2331">
        <w:rPr>
          <w:rFonts w:hint="eastAsia"/>
          <w:b/>
        </w:rPr>
        <w:t>措施</w:t>
      </w:r>
      <w:r w:rsidR="00A81DB4" w:rsidRPr="00ED2331">
        <w:rPr>
          <w:rFonts w:hint="eastAsia"/>
          <w:b/>
        </w:rPr>
        <w:t>，</w:t>
      </w:r>
      <w:r w:rsidR="00B539D2" w:rsidRPr="00ED2331">
        <w:rPr>
          <w:rFonts w:hint="eastAsia"/>
          <w:b/>
        </w:rPr>
        <w:t>迄今雖</w:t>
      </w:r>
      <w:r w:rsidR="00A81DB4" w:rsidRPr="00ED2331">
        <w:rPr>
          <w:rFonts w:hint="eastAsia"/>
          <w:b/>
        </w:rPr>
        <w:t>未發生異常事件</w:t>
      </w:r>
      <w:r w:rsidR="00B539D2" w:rsidRPr="00ED2331">
        <w:rPr>
          <w:rFonts w:hint="eastAsia"/>
          <w:b/>
        </w:rPr>
        <w:t>，然</w:t>
      </w:r>
      <w:r w:rsidR="00AA663D" w:rsidRPr="00ED2331">
        <w:rPr>
          <w:rFonts w:hint="eastAsia"/>
          <w:b/>
        </w:rPr>
        <w:t>美國眾議院議長裴洛西</w:t>
      </w:r>
      <w:r w:rsidR="00B539D2" w:rsidRPr="00ED2331">
        <w:rPr>
          <w:rFonts w:hint="eastAsia"/>
          <w:b/>
        </w:rPr>
        <w:t>於1</w:t>
      </w:r>
      <w:r w:rsidR="00B539D2" w:rsidRPr="00ED2331">
        <w:rPr>
          <w:b/>
        </w:rPr>
        <w:t>11</w:t>
      </w:r>
      <w:r w:rsidR="00B539D2" w:rsidRPr="00ED2331">
        <w:rPr>
          <w:rFonts w:hint="eastAsia"/>
          <w:b/>
        </w:rPr>
        <w:t>年</w:t>
      </w:r>
      <w:r w:rsidR="00AA663D" w:rsidRPr="00ED2331">
        <w:rPr>
          <w:rFonts w:hint="eastAsia"/>
          <w:b/>
        </w:rPr>
        <w:t>訪</w:t>
      </w:r>
      <w:proofErr w:type="gramStart"/>
      <w:r w:rsidR="00AA663D" w:rsidRPr="00ED2331">
        <w:rPr>
          <w:rFonts w:hint="eastAsia"/>
          <w:b/>
        </w:rPr>
        <w:t>臺期間</w:t>
      </w:r>
      <w:proofErr w:type="gramEnd"/>
      <w:r w:rsidR="00AA663D" w:rsidRPr="00ED2331">
        <w:rPr>
          <w:rFonts w:hint="eastAsia"/>
          <w:b/>
        </w:rPr>
        <w:t>，我國各級政府及民間企業之網站、電子看板相繼</w:t>
      </w:r>
      <w:r w:rsidR="00B539D2" w:rsidRPr="00ED2331">
        <w:rPr>
          <w:rFonts w:hint="eastAsia"/>
          <w:b/>
        </w:rPr>
        <w:t>發生</w:t>
      </w:r>
      <w:r w:rsidR="00AA663D" w:rsidRPr="00ED2331">
        <w:rPr>
          <w:rFonts w:hint="eastAsia"/>
          <w:b/>
        </w:rPr>
        <w:t>遭駭客入侵</w:t>
      </w:r>
      <w:r w:rsidR="00B539D2" w:rsidRPr="00ED2331">
        <w:rPr>
          <w:rFonts w:hint="eastAsia"/>
          <w:b/>
        </w:rPr>
        <w:t>事件</w:t>
      </w:r>
      <w:r w:rsidR="00AA663D" w:rsidRPr="00ED2331">
        <w:rPr>
          <w:rFonts w:hint="eastAsia"/>
          <w:b/>
        </w:rPr>
        <w:t>，</w:t>
      </w:r>
      <w:r w:rsidR="00F2630C" w:rsidRPr="00ED2331">
        <w:rPr>
          <w:rFonts w:hint="eastAsia"/>
          <w:b/>
        </w:rPr>
        <w:t>殷鑒不遠</w:t>
      </w:r>
      <w:r w:rsidR="00D24860" w:rsidRPr="00ED2331">
        <w:rPr>
          <w:rFonts w:hint="eastAsia"/>
          <w:b/>
        </w:rPr>
        <w:t>。</w:t>
      </w:r>
      <w:r w:rsidR="00FE0DEA" w:rsidRPr="00ED2331">
        <w:rPr>
          <w:rFonts w:hint="eastAsia"/>
          <w:b/>
        </w:rPr>
        <w:t>中油公司</w:t>
      </w:r>
      <w:r w:rsidR="00D24860" w:rsidRPr="00ED2331">
        <w:rPr>
          <w:rFonts w:hint="eastAsia"/>
          <w:b/>
        </w:rPr>
        <w:t>允宜會同民間瓦斯公司持續精</w:t>
      </w:r>
      <w:proofErr w:type="gramStart"/>
      <w:r w:rsidR="00D24860" w:rsidRPr="00ED2331">
        <w:rPr>
          <w:rFonts w:hint="eastAsia"/>
          <w:b/>
        </w:rPr>
        <w:t>進資安防護</w:t>
      </w:r>
      <w:proofErr w:type="gramEnd"/>
      <w:r w:rsidR="00D24860" w:rsidRPr="00ED2331">
        <w:rPr>
          <w:rFonts w:hint="eastAsia"/>
          <w:b/>
        </w:rPr>
        <w:t>與因應措施，以維我國民生與產業順暢運行。</w:t>
      </w:r>
    </w:p>
    <w:p w:rsidR="000E2836" w:rsidRPr="00ED2331" w:rsidRDefault="003D0E4B" w:rsidP="003D0E4B">
      <w:pPr>
        <w:pStyle w:val="3"/>
      </w:pPr>
      <w:r w:rsidRPr="00ED2331">
        <w:rPr>
          <w:rFonts w:hint="eastAsia"/>
        </w:rPr>
        <w:t>依據1</w:t>
      </w:r>
      <w:r w:rsidRPr="00ED2331">
        <w:t>12</w:t>
      </w:r>
      <w:r w:rsidRPr="00ED2331">
        <w:rPr>
          <w:rFonts w:hint="eastAsia"/>
        </w:rPr>
        <w:t>年10月25日關鍵基礎設施領域分類，經濟部主管能源領域天然氣</w:t>
      </w:r>
      <w:r w:rsidR="00D332B5" w:rsidRPr="00ED2331">
        <w:rPr>
          <w:rFonts w:hint="eastAsia"/>
        </w:rPr>
        <w:t>，</w:t>
      </w:r>
      <w:r w:rsidRPr="00ED2331">
        <w:rPr>
          <w:rFonts w:hint="eastAsia"/>
        </w:rPr>
        <w:t>重要業務功能為</w:t>
      </w:r>
      <w:r w:rsidR="00D332B5" w:rsidRPr="00ED2331">
        <w:rPr>
          <w:rFonts w:hint="eastAsia"/>
        </w:rPr>
        <w:t>「提供輸儲、接收、遮斷等設備，穩定供應天然氣之重要設施及控制系統」。是</w:t>
      </w:r>
      <w:proofErr w:type="gramStart"/>
      <w:r w:rsidR="00D332B5" w:rsidRPr="00ED2331">
        <w:rPr>
          <w:rFonts w:hint="eastAsia"/>
        </w:rPr>
        <w:t>以</w:t>
      </w:r>
      <w:proofErr w:type="gramEnd"/>
      <w:r w:rsidR="00D332B5" w:rsidRPr="00ED2331">
        <w:rPr>
          <w:rFonts w:hint="eastAsia"/>
        </w:rPr>
        <w:t>，經濟部1</w:t>
      </w:r>
      <w:r w:rsidR="00D332B5" w:rsidRPr="00ED2331">
        <w:t>00</w:t>
      </w:r>
      <w:r w:rsidR="00D332B5" w:rsidRPr="00ED2331">
        <w:rPr>
          <w:rFonts w:hint="eastAsia"/>
        </w:rPr>
        <w:t>％持股之國營事業中油公司，肩負穩定供應天然氣之責，於全球氣候變遷、地緣政治挑戰下，其提供輸儲、接收、遮斷等設備，穩定供應天然氣之重要設施及控制系統，為我國關鍵基礎設施之一。</w:t>
      </w:r>
    </w:p>
    <w:p w:rsidR="00DF5DF4" w:rsidRPr="00ED2331" w:rsidRDefault="00A508C9" w:rsidP="00D64FFB">
      <w:pPr>
        <w:pStyle w:val="3"/>
      </w:pPr>
      <w:r w:rsidRPr="00ED2331">
        <w:rPr>
          <w:rFonts w:hint="eastAsia"/>
        </w:rPr>
        <w:t>為瞭解中油公司天然氣計量用渦輪表作業環境</w:t>
      </w:r>
      <w:proofErr w:type="gramStart"/>
      <w:r w:rsidRPr="00ED2331">
        <w:rPr>
          <w:rFonts w:hint="eastAsia"/>
        </w:rPr>
        <w:t>之資安措施</w:t>
      </w:r>
      <w:proofErr w:type="gramEnd"/>
      <w:r w:rsidRPr="00ED2331">
        <w:rPr>
          <w:rFonts w:hint="eastAsia"/>
        </w:rPr>
        <w:t>，本</w:t>
      </w:r>
      <w:r w:rsidR="004B2E96">
        <w:rPr>
          <w:rFonts w:hint="eastAsia"/>
        </w:rPr>
        <w:t>院</w:t>
      </w:r>
      <w:r w:rsidRPr="00ED2331">
        <w:rPr>
          <w:rFonts w:hint="eastAsia"/>
        </w:rPr>
        <w:t>於113年11月4日</w:t>
      </w:r>
      <w:r w:rsidR="004B2E96">
        <w:rPr>
          <w:rFonts w:hint="eastAsia"/>
        </w:rPr>
        <w:t>赴</w:t>
      </w:r>
      <w:r w:rsidRPr="00ED2331">
        <w:rPr>
          <w:rFonts w:hint="eastAsia"/>
        </w:rPr>
        <w:t>「苗栗轄區購置渦輪表(含安裝測試)」採購案（採購案號：L3112N009</w:t>
      </w:r>
      <w:proofErr w:type="gramStart"/>
      <w:r w:rsidRPr="00ED2331">
        <w:rPr>
          <w:rFonts w:hint="eastAsia"/>
        </w:rPr>
        <w:t>）</w:t>
      </w:r>
      <w:proofErr w:type="gramEnd"/>
      <w:r w:rsidR="004B2E96">
        <w:rPr>
          <w:rFonts w:hint="eastAsia"/>
        </w:rPr>
        <w:t>履約地點履勘</w:t>
      </w:r>
      <w:r w:rsidRPr="00ED2331">
        <w:rPr>
          <w:rFonts w:hint="eastAsia"/>
        </w:rPr>
        <w:t>。經中油公司天然氣</w:t>
      </w:r>
      <w:proofErr w:type="gramStart"/>
      <w:r w:rsidRPr="00ED2331">
        <w:rPr>
          <w:rFonts w:hint="eastAsia"/>
        </w:rPr>
        <w:t>事業部</w:t>
      </w:r>
      <w:r w:rsidR="00CB1FD7" w:rsidRPr="00ED2331">
        <w:rPr>
          <w:rFonts w:hint="eastAsia"/>
        </w:rPr>
        <w:t>李</w:t>
      </w:r>
      <w:r w:rsidRPr="00ED2331">
        <w:rPr>
          <w:rFonts w:hint="eastAsia"/>
        </w:rPr>
        <w:t>執行</w:t>
      </w:r>
      <w:proofErr w:type="gramEnd"/>
      <w:r w:rsidRPr="00ED2331">
        <w:rPr>
          <w:rFonts w:hint="eastAsia"/>
        </w:rPr>
        <w:t>長率業務主管人員解說，</w:t>
      </w:r>
      <w:proofErr w:type="gramStart"/>
      <w:r w:rsidRPr="00ED2331">
        <w:rPr>
          <w:rFonts w:hint="eastAsia"/>
        </w:rPr>
        <w:t>該整</w:t>
      </w:r>
      <w:proofErr w:type="gramEnd"/>
      <w:r w:rsidRPr="00ED2331">
        <w:rPr>
          <w:rFonts w:hint="eastAsia"/>
        </w:rPr>
        <w:t>壓站計量用渦輪表將資料傳送至流量電腦（RTU）後，再透過</w:t>
      </w:r>
      <w:proofErr w:type="spellStart"/>
      <w:r w:rsidRPr="00ED2331">
        <w:rPr>
          <w:rFonts w:hint="eastAsia"/>
        </w:rPr>
        <w:t>H</w:t>
      </w:r>
      <w:r w:rsidRPr="00ED2331">
        <w:t>ilink</w:t>
      </w:r>
      <w:proofErr w:type="spellEnd"/>
      <w:r w:rsidRPr="00ED2331">
        <w:rPr>
          <w:rFonts w:hint="eastAsia"/>
        </w:rPr>
        <w:t>網路將資料傳輸至苗栗服務中心之</w:t>
      </w:r>
      <w:r w:rsidR="00E01130" w:rsidRPr="00ED2331">
        <w:rPr>
          <w:rFonts w:hint="eastAsia"/>
        </w:rPr>
        <w:t>獨立網路系統R</w:t>
      </w:r>
      <w:r w:rsidR="00E01130" w:rsidRPr="00ED2331">
        <w:t>TU</w:t>
      </w:r>
      <w:r w:rsidRPr="00ED2331">
        <w:rPr>
          <w:rFonts w:hint="eastAsia"/>
        </w:rPr>
        <w:t>專用電腦</w:t>
      </w:r>
      <w:r w:rsidR="00E01130" w:rsidRPr="00ED2331">
        <w:rPr>
          <w:rFonts w:hint="eastAsia"/>
        </w:rPr>
        <w:t>，後續由專人、專用USB執行</w:t>
      </w:r>
      <w:r w:rsidRPr="00ED2331">
        <w:rPr>
          <w:rFonts w:hint="eastAsia"/>
        </w:rPr>
        <w:t>計量業務。專用USB僅能於負責人專用之公司個人電腦存取資料，其他公司個人電腦無法存取該USB資料。</w:t>
      </w:r>
      <w:r w:rsidR="00E01130" w:rsidRPr="00ED2331">
        <w:rPr>
          <w:rFonts w:hint="eastAsia"/>
        </w:rPr>
        <w:t>天然氣計量用渦輪表與流量電腦，係用於處理流量數值、接收計量參數指令，無法接受或送出任何使天然氣輸出</w:t>
      </w:r>
      <w:r w:rsidR="00F464BA">
        <w:rPr>
          <w:rFonts w:hint="eastAsia"/>
        </w:rPr>
        <w:t>或輸入</w:t>
      </w:r>
      <w:r w:rsidR="00E01130" w:rsidRPr="00ED2331">
        <w:rPr>
          <w:rFonts w:hint="eastAsia"/>
        </w:rPr>
        <w:t>之</w:t>
      </w:r>
      <w:proofErr w:type="gramStart"/>
      <w:r w:rsidR="00E01130" w:rsidRPr="00ED2331">
        <w:rPr>
          <w:rFonts w:hint="eastAsia"/>
        </w:rPr>
        <w:t>機械作動指令</w:t>
      </w:r>
      <w:proofErr w:type="gramEnd"/>
      <w:r w:rsidR="00E01130" w:rsidRPr="00ED2331">
        <w:rPr>
          <w:rFonts w:hint="eastAsia"/>
        </w:rPr>
        <w:t>，</w:t>
      </w:r>
      <w:r w:rsidRPr="00ED2331">
        <w:rPr>
          <w:rFonts w:hint="eastAsia"/>
        </w:rPr>
        <w:t>其資訊安全與硬體防護措施，迄今未發生異常事件</w:t>
      </w:r>
      <w:r w:rsidR="00641C4E">
        <w:rPr>
          <w:rFonts w:hint="eastAsia"/>
        </w:rPr>
        <w:t>。</w:t>
      </w:r>
      <w:r w:rsidR="00E01130" w:rsidRPr="00ED2331">
        <w:rPr>
          <w:rFonts w:hint="eastAsia"/>
        </w:rPr>
        <w:t>然因公用天然氣營業處</w:t>
      </w:r>
      <w:r w:rsidR="00E01130" w:rsidRPr="00ED2331">
        <w:rPr>
          <w:rFonts w:hint="eastAsia"/>
        </w:rPr>
        <w:lastRenderedPageBreak/>
        <w:t>與苗栗服務中心建物老舊，門戶安全及門禁管理，仍有改善提升空間，</w:t>
      </w:r>
      <w:proofErr w:type="gramStart"/>
      <w:r w:rsidR="00E01130" w:rsidRPr="00ED2331">
        <w:rPr>
          <w:rFonts w:hint="eastAsia"/>
        </w:rPr>
        <w:t>併予敘</w:t>
      </w:r>
      <w:proofErr w:type="gramEnd"/>
      <w:r w:rsidR="00E01130" w:rsidRPr="00ED2331">
        <w:rPr>
          <w:rFonts w:hint="eastAsia"/>
        </w:rPr>
        <w:t>明。</w:t>
      </w:r>
    </w:p>
    <w:p w:rsidR="00A22FAE" w:rsidRPr="00ED2331" w:rsidRDefault="004B2E96" w:rsidP="00B539D2">
      <w:pPr>
        <w:pStyle w:val="3"/>
        <w:ind w:leftChars="200"/>
      </w:pPr>
      <w:r>
        <w:rPr>
          <w:rFonts w:hint="eastAsia"/>
        </w:rPr>
        <w:t>另查，</w:t>
      </w:r>
      <w:r w:rsidR="00B275D7" w:rsidRPr="00ED2331">
        <w:rPr>
          <w:rFonts w:hint="eastAsia"/>
        </w:rPr>
        <w:t>本院前於1</w:t>
      </w:r>
      <w:r w:rsidR="00B275D7" w:rsidRPr="00ED2331">
        <w:t>12</w:t>
      </w:r>
      <w:r w:rsidR="00B275D7" w:rsidRPr="00ED2331">
        <w:rPr>
          <w:rFonts w:hint="eastAsia"/>
        </w:rPr>
        <w:t>年6月1</w:t>
      </w:r>
      <w:r w:rsidR="00B275D7" w:rsidRPr="00ED2331">
        <w:t>3</w:t>
      </w:r>
      <w:r w:rsidR="00B275D7" w:rsidRPr="00ED2331">
        <w:rPr>
          <w:rFonts w:hint="eastAsia"/>
        </w:rPr>
        <w:t>日</w:t>
      </w:r>
      <w:r w:rsidR="00351E58" w:rsidRPr="00ED2331">
        <w:rPr>
          <w:rFonts w:hint="eastAsia"/>
        </w:rPr>
        <w:t>就「美國眾議院議長裴洛西於111年8月訪</w:t>
      </w:r>
      <w:proofErr w:type="gramStart"/>
      <w:r w:rsidR="00351E58" w:rsidRPr="00ED2331">
        <w:rPr>
          <w:rFonts w:hint="eastAsia"/>
        </w:rPr>
        <w:t>臺期間，</w:t>
      </w:r>
      <w:proofErr w:type="gramEnd"/>
      <w:r w:rsidR="00351E58" w:rsidRPr="00ED2331">
        <w:rPr>
          <w:rFonts w:hint="eastAsia"/>
        </w:rPr>
        <w:t>我國各級政府及民間企業之網站、電子看板相繼發生遭駭客入侵與阻斷服務事件」</w:t>
      </w:r>
      <w:r w:rsidR="00B275D7" w:rsidRPr="00ED2331">
        <w:rPr>
          <w:rFonts w:hint="eastAsia"/>
        </w:rPr>
        <w:t>提出調查報告，</w:t>
      </w:r>
      <w:r w:rsidR="00A22FAE" w:rsidRPr="00ED2331">
        <w:rPr>
          <w:rFonts w:hint="eastAsia"/>
        </w:rPr>
        <w:t>函請行政院督飭所屬偕同關鍵基礎設施主管機關整合資安防護資源，推動</w:t>
      </w:r>
      <w:proofErr w:type="gramStart"/>
      <w:r w:rsidR="00A22FAE" w:rsidRPr="00ED2331">
        <w:rPr>
          <w:rFonts w:hint="eastAsia"/>
        </w:rPr>
        <w:t>國家資安聯</w:t>
      </w:r>
      <w:proofErr w:type="gramEnd"/>
      <w:r w:rsidR="00A22FAE" w:rsidRPr="00ED2331">
        <w:rPr>
          <w:rFonts w:hint="eastAsia"/>
        </w:rPr>
        <w:t>防機制。基此，</w:t>
      </w:r>
      <w:r w:rsidR="00E01130" w:rsidRPr="00ED2331">
        <w:rPr>
          <w:rFonts w:hint="eastAsia"/>
        </w:rPr>
        <w:t>中油公司</w:t>
      </w:r>
      <w:r w:rsidR="00A22FAE" w:rsidRPr="00ED2331">
        <w:rPr>
          <w:rFonts w:hint="eastAsia"/>
        </w:rPr>
        <w:t>肩負穩定供應天然氣之責，影響我國民生與</w:t>
      </w:r>
      <w:proofErr w:type="gramStart"/>
      <w:r w:rsidR="00A22FAE" w:rsidRPr="00ED2331">
        <w:rPr>
          <w:rFonts w:hint="eastAsia"/>
        </w:rPr>
        <w:t>產業甚劇</w:t>
      </w:r>
      <w:proofErr w:type="gramEnd"/>
      <w:r w:rsidR="00A22FAE" w:rsidRPr="00ED2331">
        <w:rPr>
          <w:rFonts w:hint="eastAsia"/>
        </w:rPr>
        <w:t>，</w:t>
      </w:r>
      <w:r w:rsidR="00B539D2" w:rsidRPr="00ED2331">
        <w:rPr>
          <w:rFonts w:hint="eastAsia"/>
        </w:rPr>
        <w:t>民間瓦斯公司為末端供應商，與民生最為密切，自屬關鍵基礎設施之一環，爰中油公司</w:t>
      </w:r>
      <w:r w:rsidR="00E01130" w:rsidRPr="00ED2331">
        <w:rPr>
          <w:rFonts w:hint="eastAsia"/>
        </w:rPr>
        <w:t>允宜會同民間瓦斯公司持續精</w:t>
      </w:r>
      <w:proofErr w:type="gramStart"/>
      <w:r w:rsidR="00E01130" w:rsidRPr="00ED2331">
        <w:rPr>
          <w:rFonts w:hint="eastAsia"/>
        </w:rPr>
        <w:t>進資安防</w:t>
      </w:r>
      <w:proofErr w:type="gramEnd"/>
      <w:r w:rsidR="00E01130" w:rsidRPr="00ED2331">
        <w:rPr>
          <w:rFonts w:hint="eastAsia"/>
        </w:rPr>
        <w:t>護與因應措施，</w:t>
      </w:r>
      <w:r w:rsidR="00A22FAE" w:rsidRPr="00ED2331">
        <w:rPr>
          <w:rFonts w:hint="eastAsia"/>
        </w:rPr>
        <w:t>就任何可能遭受之實體</w:t>
      </w:r>
      <w:proofErr w:type="gramStart"/>
      <w:r w:rsidR="00A22FAE" w:rsidRPr="00ED2331">
        <w:rPr>
          <w:rFonts w:hint="eastAsia"/>
        </w:rPr>
        <w:t>或資安攻</w:t>
      </w:r>
      <w:proofErr w:type="gramEnd"/>
      <w:r w:rsidR="00A22FAE" w:rsidRPr="00ED2331">
        <w:rPr>
          <w:rFonts w:hint="eastAsia"/>
        </w:rPr>
        <w:t>擊、駭客入侵等事件預為壓力測試與情境模擬，以維持設施正常運行。</w:t>
      </w:r>
    </w:p>
    <w:p w:rsidR="007803C3" w:rsidRPr="00ED2331" w:rsidRDefault="007803C3" w:rsidP="00D64FFB">
      <w:pPr>
        <w:pStyle w:val="3"/>
      </w:pPr>
      <w:r w:rsidRPr="00ED2331">
        <w:rPr>
          <w:rFonts w:hint="eastAsia"/>
        </w:rPr>
        <w:t>綜上，</w:t>
      </w:r>
      <w:r w:rsidR="00351E58" w:rsidRPr="00ED2331">
        <w:rPr>
          <w:rFonts w:hint="eastAsia"/>
        </w:rPr>
        <w:t>中油公司肩負穩定供應天然氣之責，於全球氣候變遷、地緣政治挑戰下，其提供輸儲、接收、遮斷等設備，穩定供應天然氣之重要設施及控制系統，為我國關鍵基礎設施之一。經本</w:t>
      </w:r>
      <w:r w:rsidR="00B127A9">
        <w:rPr>
          <w:rFonts w:hint="eastAsia"/>
        </w:rPr>
        <w:t>院</w:t>
      </w:r>
      <w:r w:rsidR="00351E58" w:rsidRPr="00ED2331">
        <w:rPr>
          <w:rFonts w:hint="eastAsia"/>
        </w:rPr>
        <w:t>現地履</w:t>
      </w:r>
      <w:proofErr w:type="gramStart"/>
      <w:r w:rsidR="00351E58" w:rsidRPr="00ED2331">
        <w:rPr>
          <w:rFonts w:hint="eastAsia"/>
        </w:rPr>
        <w:t>勘</w:t>
      </w:r>
      <w:proofErr w:type="gramEnd"/>
      <w:r w:rsidR="00351E58" w:rsidRPr="00ED2331">
        <w:rPr>
          <w:rFonts w:hint="eastAsia"/>
        </w:rPr>
        <w:t>「苗栗轄區購置渦輪表（含安裝測試）」採購案，其天然氣計量用流量電腦處理流量數值、接收計量參數指令，未及於天然氣輸出入之</w:t>
      </w:r>
      <w:proofErr w:type="gramStart"/>
      <w:r w:rsidR="00351E58" w:rsidRPr="00ED2331">
        <w:rPr>
          <w:rFonts w:hint="eastAsia"/>
        </w:rPr>
        <w:t>機械作</w:t>
      </w:r>
      <w:proofErr w:type="gramEnd"/>
      <w:r w:rsidR="00351E58" w:rsidRPr="00ED2331">
        <w:rPr>
          <w:rFonts w:hint="eastAsia"/>
        </w:rPr>
        <w:t>動，且與外界網路系統隔離，由專人負責機組控制系統之運作，其資訊安全與硬體防護措施，迄今雖未發生異常事件，然美國眾議院議長裴洛西於111年訪</w:t>
      </w:r>
      <w:proofErr w:type="gramStart"/>
      <w:r w:rsidR="00351E58" w:rsidRPr="00ED2331">
        <w:rPr>
          <w:rFonts w:hint="eastAsia"/>
        </w:rPr>
        <w:t>臺期間</w:t>
      </w:r>
      <w:proofErr w:type="gramEnd"/>
      <w:r w:rsidR="00351E58" w:rsidRPr="00ED2331">
        <w:rPr>
          <w:rFonts w:hint="eastAsia"/>
        </w:rPr>
        <w:t>，我國各級政府及民間企業之網站、電子看板相繼發生遭駭客入侵事件，殷鑒不遠。中油公司允宜會同民間瓦斯公司持續精</w:t>
      </w:r>
      <w:proofErr w:type="gramStart"/>
      <w:r w:rsidR="00351E58" w:rsidRPr="00ED2331">
        <w:rPr>
          <w:rFonts w:hint="eastAsia"/>
        </w:rPr>
        <w:t>進資安防護</w:t>
      </w:r>
      <w:proofErr w:type="gramEnd"/>
      <w:r w:rsidR="00351E58" w:rsidRPr="00ED2331">
        <w:rPr>
          <w:rFonts w:hint="eastAsia"/>
        </w:rPr>
        <w:t>與因應措施，以維我國民生與產業順暢運行。</w:t>
      </w:r>
    </w:p>
    <w:p w:rsidR="003A5927" w:rsidRPr="00ED2331" w:rsidRDefault="003A5927" w:rsidP="003A5927">
      <w:pPr>
        <w:pStyle w:val="32"/>
        <w:ind w:leftChars="0" w:left="0" w:firstLineChars="0" w:firstLine="0"/>
      </w:pPr>
    </w:p>
    <w:p w:rsidR="00E25849" w:rsidRPr="00ED2331" w:rsidRDefault="00E25849" w:rsidP="004E05A1">
      <w:pPr>
        <w:pStyle w:val="1"/>
        <w:ind w:left="2380" w:hanging="2380"/>
      </w:pPr>
      <w:bookmarkStart w:id="55" w:name="_Toc524895648"/>
      <w:bookmarkStart w:id="56" w:name="_Toc524896194"/>
      <w:bookmarkStart w:id="57" w:name="_Toc524896224"/>
      <w:bookmarkStart w:id="58" w:name="_Toc524902734"/>
      <w:bookmarkStart w:id="59" w:name="_Toc525066148"/>
      <w:bookmarkStart w:id="60" w:name="_Toc525070839"/>
      <w:bookmarkStart w:id="61" w:name="_Toc525938379"/>
      <w:bookmarkStart w:id="62" w:name="_Toc525939227"/>
      <w:bookmarkStart w:id="63" w:name="_Toc525939732"/>
      <w:bookmarkStart w:id="64" w:name="_Toc529218272"/>
      <w:bookmarkEnd w:id="49"/>
      <w:r w:rsidRPr="00ED2331">
        <w:br w:type="page"/>
      </w:r>
      <w:bookmarkStart w:id="65" w:name="_Toc529222689"/>
      <w:bookmarkStart w:id="66" w:name="_Toc529223111"/>
      <w:bookmarkStart w:id="67" w:name="_Toc529223862"/>
      <w:bookmarkStart w:id="68" w:name="_Toc529228265"/>
      <w:bookmarkStart w:id="69" w:name="_Toc2400395"/>
      <w:bookmarkStart w:id="70" w:name="_Toc4316189"/>
      <w:bookmarkStart w:id="71" w:name="_Toc4473330"/>
      <w:bookmarkStart w:id="72" w:name="_Toc69556897"/>
      <w:bookmarkStart w:id="73" w:name="_Toc69556946"/>
      <w:bookmarkStart w:id="74" w:name="_Toc69609820"/>
      <w:bookmarkStart w:id="75" w:name="_Toc70241816"/>
      <w:bookmarkStart w:id="76" w:name="_Toc70242205"/>
      <w:bookmarkStart w:id="77" w:name="_Toc421794875"/>
      <w:bookmarkStart w:id="78" w:name="_Toc422834160"/>
      <w:r w:rsidRPr="00ED2331">
        <w:rPr>
          <w:rFonts w:hint="eastAsia"/>
        </w:rPr>
        <w:lastRenderedPageBreak/>
        <w:t>處理辦法：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:rsidR="008D28F6" w:rsidRPr="00ED2331" w:rsidRDefault="008D28F6" w:rsidP="008D28F6">
      <w:pPr>
        <w:pStyle w:val="2"/>
      </w:pPr>
      <w:bookmarkStart w:id="79" w:name="_Toc524895649"/>
      <w:bookmarkStart w:id="80" w:name="_Toc524896195"/>
      <w:bookmarkStart w:id="81" w:name="_Toc524896225"/>
      <w:bookmarkStart w:id="82" w:name="_Toc70241820"/>
      <w:bookmarkStart w:id="83" w:name="_Toc70242209"/>
      <w:bookmarkStart w:id="84" w:name="_Toc421794876"/>
      <w:bookmarkStart w:id="85" w:name="_Toc421795442"/>
      <w:bookmarkStart w:id="86" w:name="_Toc421796023"/>
      <w:bookmarkStart w:id="87" w:name="_Toc422728958"/>
      <w:bookmarkStart w:id="88" w:name="_Toc422834161"/>
      <w:bookmarkStart w:id="89" w:name="_Toc2400396"/>
      <w:bookmarkStart w:id="90" w:name="_Toc4316190"/>
      <w:bookmarkStart w:id="91" w:name="_Toc4473331"/>
      <w:bookmarkStart w:id="92" w:name="_Toc69556898"/>
      <w:bookmarkStart w:id="93" w:name="_Toc69556947"/>
      <w:bookmarkStart w:id="94" w:name="_Toc69609821"/>
      <w:bookmarkStart w:id="95" w:name="_Toc70241817"/>
      <w:bookmarkStart w:id="96" w:name="_Toc70242206"/>
      <w:bookmarkStart w:id="97" w:name="_Toc524902735"/>
      <w:bookmarkStart w:id="98" w:name="_Toc525066149"/>
      <w:bookmarkStart w:id="99" w:name="_Toc525070840"/>
      <w:bookmarkStart w:id="100" w:name="_Toc525938380"/>
      <w:bookmarkStart w:id="101" w:name="_Toc525939228"/>
      <w:bookmarkStart w:id="102" w:name="_Toc525939733"/>
      <w:bookmarkStart w:id="103" w:name="_Toc529218273"/>
      <w:bookmarkStart w:id="104" w:name="_Toc529222690"/>
      <w:bookmarkStart w:id="105" w:name="_Toc529223112"/>
      <w:bookmarkStart w:id="106" w:name="_Toc529223863"/>
      <w:bookmarkStart w:id="107" w:name="_Toc529228266"/>
      <w:bookmarkEnd w:id="79"/>
      <w:bookmarkEnd w:id="80"/>
      <w:bookmarkEnd w:id="81"/>
      <w:r>
        <w:rPr>
          <w:rFonts w:hint="eastAsia"/>
        </w:rPr>
        <w:t>抄</w:t>
      </w:r>
      <w:r w:rsidRPr="00ED2331">
        <w:rPr>
          <w:rFonts w:hint="eastAsia"/>
        </w:rPr>
        <w:t>調查意見一至三，函請經濟部督</w:t>
      </w:r>
      <w:r>
        <w:rPr>
          <w:rFonts w:hint="eastAsia"/>
        </w:rPr>
        <w:t>同</w:t>
      </w:r>
      <w:r w:rsidRPr="00ED2331">
        <w:rPr>
          <w:rFonts w:hint="eastAsia"/>
        </w:rPr>
        <w:t>台灣中油股份有限公司確實檢討改進</w:t>
      </w:r>
      <w:proofErr w:type="gramStart"/>
      <w:r>
        <w:rPr>
          <w:rFonts w:hint="eastAsia"/>
        </w:rPr>
        <w:t>見復</w:t>
      </w:r>
      <w:r w:rsidRPr="00ED2331">
        <w:rPr>
          <w:rFonts w:hAnsi="標楷體" w:hint="eastAsia"/>
        </w:rPr>
        <w:t>。</w:t>
      </w:r>
      <w:bookmarkEnd w:id="82"/>
      <w:bookmarkEnd w:id="83"/>
      <w:bookmarkEnd w:id="84"/>
      <w:bookmarkEnd w:id="85"/>
      <w:bookmarkEnd w:id="86"/>
      <w:bookmarkEnd w:id="87"/>
      <w:bookmarkEnd w:id="88"/>
      <w:proofErr w:type="gramEnd"/>
    </w:p>
    <w:p w:rsidR="008D28F6" w:rsidRPr="00ED2331" w:rsidRDefault="008D28F6" w:rsidP="008D28F6">
      <w:pPr>
        <w:pStyle w:val="2"/>
      </w:pPr>
      <w:bookmarkStart w:id="108" w:name="_Toc70241819"/>
      <w:bookmarkStart w:id="109" w:name="_Toc70242208"/>
      <w:bookmarkStart w:id="110" w:name="_Toc421794878"/>
      <w:bookmarkStart w:id="111" w:name="_Toc421795444"/>
      <w:bookmarkStart w:id="112" w:name="_Toc421796025"/>
      <w:bookmarkStart w:id="113" w:name="_Toc422728960"/>
      <w:bookmarkStart w:id="114" w:name="_Toc422834163"/>
      <w:bookmarkStart w:id="115" w:name="_Toc70241818"/>
      <w:bookmarkStart w:id="116" w:name="_Toc70242207"/>
      <w:bookmarkEnd w:id="89"/>
      <w:bookmarkEnd w:id="90"/>
      <w:bookmarkEnd w:id="91"/>
      <w:bookmarkEnd w:id="92"/>
      <w:bookmarkEnd w:id="93"/>
      <w:bookmarkEnd w:id="94"/>
      <w:bookmarkEnd w:id="95"/>
      <w:bookmarkEnd w:id="96"/>
      <w:r>
        <w:rPr>
          <w:rFonts w:hint="eastAsia"/>
        </w:rPr>
        <w:t>抄</w:t>
      </w:r>
      <w:r w:rsidRPr="00ED2331">
        <w:rPr>
          <w:rFonts w:hint="eastAsia"/>
        </w:rPr>
        <w:t>調查意見一至二，函復陳訴人。</w:t>
      </w:r>
      <w:bookmarkEnd w:id="108"/>
      <w:bookmarkEnd w:id="109"/>
      <w:bookmarkEnd w:id="110"/>
      <w:bookmarkEnd w:id="111"/>
      <w:bookmarkEnd w:id="112"/>
      <w:bookmarkEnd w:id="113"/>
      <w:bookmarkEnd w:id="114"/>
    </w:p>
    <w:p w:rsidR="008D28F6" w:rsidRPr="00ED2331" w:rsidRDefault="008D28F6" w:rsidP="008D28F6">
      <w:pPr>
        <w:pStyle w:val="2"/>
      </w:pPr>
      <w:bookmarkStart w:id="117" w:name="_Toc2400397"/>
      <w:bookmarkStart w:id="118" w:name="_Toc4316191"/>
      <w:bookmarkStart w:id="119" w:name="_Toc4473332"/>
      <w:bookmarkStart w:id="120" w:name="_Toc69556901"/>
      <w:bookmarkStart w:id="121" w:name="_Toc69556950"/>
      <w:bookmarkStart w:id="122" w:name="_Toc69609824"/>
      <w:bookmarkStart w:id="123" w:name="_Toc70241822"/>
      <w:bookmarkStart w:id="124" w:name="_Toc70242211"/>
      <w:bookmarkStart w:id="125" w:name="_Toc421794881"/>
      <w:bookmarkStart w:id="126" w:name="_Toc421795447"/>
      <w:bookmarkStart w:id="127" w:name="_Toc421796028"/>
      <w:bookmarkStart w:id="128" w:name="_Toc422728963"/>
      <w:bookmarkStart w:id="129" w:name="_Toc42283416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15"/>
      <w:bookmarkEnd w:id="116"/>
      <w:r>
        <w:rPr>
          <w:rFonts w:hint="eastAsia"/>
        </w:rPr>
        <w:t>調查報告之案由、</w:t>
      </w:r>
      <w:r w:rsidRPr="00ED2331">
        <w:rPr>
          <w:rFonts w:hint="eastAsia"/>
        </w:rPr>
        <w:t>調查意見</w:t>
      </w:r>
      <w:r>
        <w:rPr>
          <w:rFonts w:hint="eastAsia"/>
        </w:rPr>
        <w:t>及處理辦法以公布版上網公布</w:t>
      </w:r>
      <w:r w:rsidRPr="00ED2331">
        <w:rPr>
          <w:rFonts w:hint="eastAsia"/>
        </w:rPr>
        <w:t>。</w:t>
      </w:r>
    </w:p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p w:rsidR="008D28F6" w:rsidRPr="00ED2331" w:rsidRDefault="008D28F6" w:rsidP="008D28F6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:rsidR="008D28F6" w:rsidRPr="00ED2331" w:rsidRDefault="008D28F6" w:rsidP="008D28F6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r w:rsidRPr="00ED2331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>
        <w:rPr>
          <w:rFonts w:hint="eastAsia"/>
          <w:b w:val="0"/>
          <w:bCs/>
          <w:snapToGrid/>
          <w:spacing w:val="12"/>
          <w:kern w:val="0"/>
          <w:sz w:val="40"/>
        </w:rPr>
        <w:t>林郁容</w:t>
      </w:r>
    </w:p>
    <w:p w:rsidR="008D28F6" w:rsidRPr="00ED2331" w:rsidRDefault="008D28F6" w:rsidP="008D28F6">
      <w:pPr>
        <w:pStyle w:val="aa"/>
        <w:spacing w:before="0" w:after="0"/>
        <w:ind w:leftChars="1750" w:left="5953"/>
        <w:rPr>
          <w:rFonts w:ascii="Times New Roman"/>
          <w:b w:val="0"/>
          <w:bCs/>
          <w:snapToGrid/>
          <w:spacing w:val="0"/>
          <w:kern w:val="0"/>
          <w:sz w:val="40"/>
        </w:rPr>
      </w:pPr>
      <w:r>
        <w:rPr>
          <w:rFonts w:ascii="Times New Roman" w:hint="eastAsia"/>
          <w:b w:val="0"/>
          <w:bCs/>
          <w:snapToGrid/>
          <w:spacing w:val="0"/>
          <w:kern w:val="0"/>
          <w:sz w:val="40"/>
        </w:rPr>
        <w:t>葉宜津</w:t>
      </w:r>
    </w:p>
    <w:p w:rsidR="00770453" w:rsidRPr="008D28F6" w:rsidRDefault="00770453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4A3533" w:rsidRDefault="004A3533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4A3533" w:rsidRPr="00ED2331" w:rsidRDefault="004A3533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E25849" w:rsidRPr="00ED2331" w:rsidRDefault="00E25849">
      <w:pPr>
        <w:pStyle w:val="af"/>
        <w:rPr>
          <w:rFonts w:hAnsi="標楷體"/>
          <w:bCs/>
        </w:rPr>
      </w:pPr>
      <w:r w:rsidRPr="00ED2331">
        <w:rPr>
          <w:rFonts w:hAnsi="標楷體" w:hint="eastAsia"/>
          <w:bCs/>
        </w:rPr>
        <w:t>中</w:t>
      </w:r>
      <w:r w:rsidR="00B5484D" w:rsidRPr="00ED2331">
        <w:rPr>
          <w:rFonts w:hAnsi="標楷體" w:hint="eastAsia"/>
          <w:bCs/>
        </w:rPr>
        <w:t xml:space="preserve">  </w:t>
      </w:r>
      <w:r w:rsidRPr="00ED2331">
        <w:rPr>
          <w:rFonts w:hAnsi="標楷體" w:hint="eastAsia"/>
          <w:bCs/>
        </w:rPr>
        <w:t>華</w:t>
      </w:r>
      <w:r w:rsidR="00B5484D" w:rsidRPr="00ED2331">
        <w:rPr>
          <w:rFonts w:hAnsi="標楷體" w:hint="eastAsia"/>
          <w:bCs/>
        </w:rPr>
        <w:t xml:space="preserve">  </w:t>
      </w:r>
      <w:r w:rsidRPr="00ED2331">
        <w:rPr>
          <w:rFonts w:hAnsi="標楷體" w:hint="eastAsia"/>
          <w:bCs/>
        </w:rPr>
        <w:t>民</w:t>
      </w:r>
      <w:r w:rsidR="00B5484D" w:rsidRPr="00ED2331">
        <w:rPr>
          <w:rFonts w:hAnsi="標楷體" w:hint="eastAsia"/>
          <w:bCs/>
        </w:rPr>
        <w:t xml:space="preserve">  </w:t>
      </w:r>
      <w:r w:rsidRPr="00ED2331">
        <w:rPr>
          <w:rFonts w:hAnsi="標楷體" w:hint="eastAsia"/>
          <w:bCs/>
        </w:rPr>
        <w:t xml:space="preserve">國　</w:t>
      </w:r>
      <w:r w:rsidR="0059661D" w:rsidRPr="00ED2331">
        <w:rPr>
          <w:rFonts w:hAnsi="標楷體"/>
          <w:bCs/>
        </w:rPr>
        <w:t>113</w:t>
      </w:r>
      <w:r w:rsidRPr="00ED2331">
        <w:rPr>
          <w:rFonts w:hAnsi="標楷體" w:hint="eastAsia"/>
          <w:bCs/>
        </w:rPr>
        <w:t xml:space="preserve">　年　</w:t>
      </w:r>
      <w:r w:rsidR="0059661D" w:rsidRPr="00ED2331">
        <w:rPr>
          <w:rFonts w:hAnsi="標楷體" w:hint="eastAsia"/>
          <w:bCs/>
        </w:rPr>
        <w:t>1</w:t>
      </w:r>
      <w:r w:rsidR="004A3533">
        <w:rPr>
          <w:rFonts w:hAnsi="標楷體"/>
          <w:bCs/>
        </w:rPr>
        <w:t>2</w:t>
      </w:r>
      <w:bookmarkStart w:id="130" w:name="_GoBack"/>
      <w:bookmarkEnd w:id="130"/>
      <w:r w:rsidRPr="00ED2331">
        <w:rPr>
          <w:rFonts w:hAnsi="標楷體" w:hint="eastAsia"/>
          <w:bCs/>
        </w:rPr>
        <w:t xml:space="preserve">　月　</w:t>
      </w:r>
      <w:r w:rsidR="008D28F6">
        <w:rPr>
          <w:rFonts w:hAnsi="標楷體" w:hint="eastAsia"/>
          <w:bCs/>
        </w:rPr>
        <w:t>4</w:t>
      </w:r>
      <w:r w:rsidRPr="00ED2331">
        <w:rPr>
          <w:rFonts w:hAnsi="標楷體" w:hint="eastAsia"/>
          <w:bCs/>
        </w:rPr>
        <w:t xml:space="preserve">　日</w:t>
      </w:r>
    </w:p>
    <w:p w:rsidR="00416721" w:rsidRPr="00ED2331" w:rsidRDefault="00416721">
      <w:pPr>
        <w:widowControl/>
        <w:overflowPunct/>
        <w:autoSpaceDE/>
        <w:autoSpaceDN/>
        <w:jc w:val="left"/>
        <w:rPr>
          <w:bCs/>
          <w:kern w:val="0"/>
        </w:rPr>
      </w:pPr>
    </w:p>
    <w:p w:rsidR="00F816CB" w:rsidRPr="00ED2331" w:rsidRDefault="00F816CB">
      <w:pPr>
        <w:widowControl/>
        <w:overflowPunct/>
        <w:autoSpaceDE/>
        <w:autoSpaceDN/>
        <w:jc w:val="left"/>
        <w:rPr>
          <w:kern w:val="32"/>
        </w:rPr>
      </w:pPr>
    </w:p>
    <w:sectPr w:rsidR="00F816CB" w:rsidRPr="00ED2331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887" w:rsidRDefault="00085887">
      <w:r>
        <w:separator/>
      </w:r>
    </w:p>
  </w:endnote>
  <w:endnote w:type="continuationSeparator" w:id="0">
    <w:p w:rsidR="00085887" w:rsidRDefault="0008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Shu-SB-Estd-BF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9EF" w:rsidRDefault="005D59EF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:rsidR="005D59EF" w:rsidRDefault="005D59E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887" w:rsidRDefault="00085887">
      <w:r>
        <w:separator/>
      </w:r>
    </w:p>
  </w:footnote>
  <w:footnote w:type="continuationSeparator" w:id="0">
    <w:p w:rsidR="00085887" w:rsidRDefault="00085887">
      <w:r>
        <w:continuationSeparator/>
      </w:r>
    </w:p>
  </w:footnote>
  <w:footnote w:id="1">
    <w:p w:rsidR="005D59EF" w:rsidRPr="00066448" w:rsidRDefault="005D59EF" w:rsidP="002B19F1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經查中油公司採購天然氣計量用渦輪表，採購標案名稱兼有「渦輪</w:t>
      </w:r>
      <w:r w:rsidRPr="00066448">
        <w:rPr>
          <w:rFonts w:hint="eastAsia"/>
          <w:b/>
        </w:rPr>
        <w:t>表</w:t>
      </w:r>
      <w:r>
        <w:rPr>
          <w:rFonts w:hint="eastAsia"/>
        </w:rPr>
        <w:t>」、「渦輪</w:t>
      </w:r>
      <w:proofErr w:type="gramStart"/>
      <w:r w:rsidRPr="00066448">
        <w:rPr>
          <w:rFonts w:hint="eastAsia"/>
          <w:b/>
        </w:rPr>
        <w:t>錶</w:t>
      </w:r>
      <w:proofErr w:type="gramEnd"/>
      <w:r>
        <w:rPr>
          <w:rFonts w:hint="eastAsia"/>
        </w:rPr>
        <w:t>」；</w:t>
      </w:r>
      <w:r w:rsidRPr="00066448">
        <w:rPr>
          <w:rFonts w:hint="eastAsia"/>
        </w:rPr>
        <w:t>勞動部職業</w:t>
      </w:r>
      <w:proofErr w:type="gramStart"/>
      <w:r w:rsidRPr="00066448">
        <w:rPr>
          <w:rFonts w:hint="eastAsia"/>
        </w:rPr>
        <w:t>安全衛生署</w:t>
      </w:r>
      <w:proofErr w:type="gramEnd"/>
      <w:r w:rsidRPr="00066448">
        <w:rPr>
          <w:rFonts w:hint="eastAsia"/>
        </w:rPr>
        <w:t>「機械設備器具安全資訊網」</w:t>
      </w:r>
      <w:r>
        <w:rPr>
          <w:rFonts w:hint="eastAsia"/>
        </w:rPr>
        <w:t>亦查有「渦輪</w:t>
      </w:r>
      <w:r w:rsidRPr="00066448">
        <w:rPr>
          <w:rFonts w:hint="eastAsia"/>
          <w:b/>
        </w:rPr>
        <w:t>表</w:t>
      </w:r>
      <w:r>
        <w:rPr>
          <w:rFonts w:hint="eastAsia"/>
        </w:rPr>
        <w:t>」、「渦輪</w:t>
      </w:r>
      <w:proofErr w:type="gramStart"/>
      <w:r w:rsidRPr="00066448">
        <w:rPr>
          <w:rFonts w:hint="eastAsia"/>
          <w:b/>
        </w:rPr>
        <w:t>錶</w:t>
      </w:r>
      <w:proofErr w:type="gramEnd"/>
      <w:r>
        <w:rPr>
          <w:rFonts w:hint="eastAsia"/>
        </w:rPr>
        <w:t>」。本調查案除沿用採購標案名稱</w:t>
      </w:r>
      <w:proofErr w:type="gramStart"/>
      <w:r>
        <w:rPr>
          <w:rFonts w:hint="eastAsia"/>
        </w:rPr>
        <w:t>以外，</w:t>
      </w:r>
      <w:proofErr w:type="gramEnd"/>
      <w:r>
        <w:rPr>
          <w:rFonts w:hint="eastAsia"/>
        </w:rPr>
        <w:t>均使用「渦輪表」。</w:t>
      </w:r>
    </w:p>
  </w:footnote>
  <w:footnote w:id="2">
    <w:p w:rsidR="005D59EF" w:rsidRPr="00E946F0" w:rsidRDefault="005D59EF" w:rsidP="002B19F1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中油公司</w:t>
      </w:r>
      <w:r w:rsidRPr="00E946F0">
        <w:rPr>
          <w:rFonts w:hint="eastAsia"/>
        </w:rPr>
        <w:t>公用天然氣營業處</w:t>
      </w:r>
      <w:proofErr w:type="gramStart"/>
      <w:r>
        <w:rPr>
          <w:rFonts w:hint="eastAsia"/>
        </w:rPr>
        <w:t>與裕苗天然氣</w:t>
      </w:r>
      <w:proofErr w:type="gramEnd"/>
      <w:r>
        <w:rPr>
          <w:rFonts w:hint="eastAsia"/>
        </w:rPr>
        <w:t>股份有限公司天然氣計量站。</w:t>
      </w:r>
    </w:p>
  </w:footnote>
  <w:footnote w:id="3">
    <w:p w:rsidR="005D59EF" w:rsidRPr="002B19F1" w:rsidRDefault="005D59EF" w:rsidP="002B19F1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 w:rsidRPr="002B19F1">
        <w:rPr>
          <w:rFonts w:hint="eastAsia"/>
        </w:rPr>
        <w:t>依據職業安全衛生法第7條以及安全標示與驗證合格標章使用及管理辦法第12條規定，於危險區域之防爆電器設備，至遲應於提供產品前完成產品登錄、張貼「安全標示」。按勞動部職業</w:t>
      </w:r>
      <w:proofErr w:type="gramStart"/>
      <w:r w:rsidRPr="002B19F1">
        <w:rPr>
          <w:rFonts w:hint="eastAsia"/>
        </w:rPr>
        <w:t>安全衛生署</w:t>
      </w:r>
      <w:proofErr w:type="gramEnd"/>
      <w:r w:rsidRPr="002B19F1">
        <w:rPr>
          <w:rFonts w:hint="eastAsia"/>
        </w:rPr>
        <w:t>網站，均稱為TS mark、TS 安全標示。</w:t>
      </w:r>
    </w:p>
  </w:footnote>
  <w:footnote w:id="4">
    <w:p w:rsidR="005D59EF" w:rsidRPr="0067153F" w:rsidRDefault="005D59EF" w:rsidP="0067153F">
      <w:pPr>
        <w:pStyle w:val="afc"/>
        <w:jc w:val="both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中油公司表示：「</w:t>
      </w:r>
      <w:r w:rsidRPr="0067153F">
        <w:rPr>
          <w:rFonts w:hint="eastAsia"/>
        </w:rPr>
        <w:t>針對廠商提出之設備查詢是否於安全資訊網站申報登錄完成，核對產品</w:t>
      </w:r>
      <w:r>
        <w:rPr>
          <w:rFonts w:hint="eastAsia"/>
        </w:rPr>
        <w:t>『</w:t>
      </w:r>
      <w:r w:rsidRPr="0067153F">
        <w:rPr>
          <w:rFonts w:hint="eastAsia"/>
        </w:rPr>
        <w:t>形式</w:t>
      </w:r>
      <w:r>
        <w:rPr>
          <w:rFonts w:hint="eastAsia"/>
        </w:rPr>
        <w:t>』</w:t>
      </w:r>
      <w:r w:rsidRPr="0067153F">
        <w:rPr>
          <w:rFonts w:hint="eastAsia"/>
        </w:rPr>
        <w:t>、</w:t>
      </w:r>
      <w:r>
        <w:rPr>
          <w:rFonts w:hint="eastAsia"/>
        </w:rPr>
        <w:t>『</w:t>
      </w:r>
      <w:r w:rsidRPr="0067153F">
        <w:rPr>
          <w:rFonts w:hint="eastAsia"/>
        </w:rPr>
        <w:t>登錄完成通知書號碼</w:t>
      </w:r>
      <w:r>
        <w:rPr>
          <w:rFonts w:hint="eastAsia"/>
        </w:rPr>
        <w:t>』</w:t>
      </w:r>
      <w:r w:rsidRPr="0067153F">
        <w:rPr>
          <w:rFonts w:hint="eastAsia"/>
        </w:rPr>
        <w:t>、</w:t>
      </w:r>
      <w:r>
        <w:rPr>
          <w:rFonts w:hint="eastAsia"/>
        </w:rPr>
        <w:t>『</w:t>
      </w:r>
      <w:r w:rsidRPr="0067153F">
        <w:rPr>
          <w:rFonts w:hint="eastAsia"/>
        </w:rPr>
        <w:t>有效期限</w:t>
      </w:r>
      <w:r>
        <w:rPr>
          <w:rFonts w:hint="eastAsia"/>
        </w:rPr>
        <w:t>』</w:t>
      </w:r>
      <w:r w:rsidRPr="0067153F">
        <w:rPr>
          <w:rFonts w:hint="eastAsia"/>
        </w:rPr>
        <w:t>；此係審查產品規格是否符合規範，故無須審查「投標廠商」與申報登錄人是否相同。</w:t>
      </w:r>
      <w:r>
        <w:rPr>
          <w:rFonts w:hint="eastAsia"/>
        </w:rPr>
        <w:t>」</w:t>
      </w:r>
    </w:p>
  </w:footnote>
  <w:footnote w:id="5">
    <w:p w:rsidR="005D59EF" w:rsidRDefault="005D59EF" w:rsidP="0067153F">
      <w:pPr>
        <w:pStyle w:val="afc"/>
        <w:jc w:val="both"/>
      </w:pPr>
      <w:r>
        <w:rPr>
          <w:rStyle w:val="afe"/>
        </w:rPr>
        <w:footnoteRef/>
      </w:r>
      <w:r w:rsidRPr="00CA14CE">
        <w:rPr>
          <w:rFonts w:hint="eastAsia"/>
        </w:rPr>
        <w:t>招標時間分別為112年10月30日及112年10月31日，開標</w:t>
      </w:r>
      <w:proofErr w:type="gramStart"/>
      <w:r w:rsidRPr="00CA14CE">
        <w:rPr>
          <w:rFonts w:hint="eastAsia"/>
        </w:rPr>
        <w:t>日均為同年</w:t>
      </w:r>
      <w:proofErr w:type="gramEnd"/>
      <w:r w:rsidRPr="00CA14CE">
        <w:rPr>
          <w:rFonts w:hint="eastAsia"/>
        </w:rPr>
        <w:t>11月7日，決標</w:t>
      </w:r>
      <w:proofErr w:type="gramStart"/>
      <w:r w:rsidRPr="00CA14CE">
        <w:rPr>
          <w:rFonts w:hint="eastAsia"/>
        </w:rPr>
        <w:t>日均為同年</w:t>
      </w:r>
      <w:proofErr w:type="gramEnd"/>
      <w:r w:rsidRPr="00CA14CE">
        <w:rPr>
          <w:rFonts w:hint="eastAsia"/>
        </w:rPr>
        <w:t>11月17日</w:t>
      </w:r>
      <w:r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D0865518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C52232"/>
    <w:multiLevelType w:val="hybridMultilevel"/>
    <w:tmpl w:val="10F842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FE143F"/>
    <w:multiLevelType w:val="hybridMultilevel"/>
    <w:tmpl w:val="D6308694"/>
    <w:lvl w:ilvl="0" w:tplc="6D18CF36">
      <w:start w:val="1"/>
      <w:numFmt w:val="decimal"/>
      <w:pStyle w:val="a1"/>
      <w:lvlText w:val="圖%1　"/>
      <w:lvlJc w:val="lef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7"/>
  </w:num>
  <w:num w:numId="23">
    <w:abstractNumId w:val="5"/>
  </w:num>
  <w:num w:numId="24">
    <w:abstractNumId w:val="8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9"/>
  </w:num>
  <w:num w:numId="29">
    <w:abstractNumId w:val="9"/>
  </w:num>
  <w:num w:numId="30">
    <w:abstractNumId w:val="6"/>
  </w:num>
  <w:num w:numId="31">
    <w:abstractNumId w:val="6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5"/>
    <w:lvlOverride w:ilvl="0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041D"/>
    <w:rsid w:val="0000131E"/>
    <w:rsid w:val="00005D6A"/>
    <w:rsid w:val="00006961"/>
    <w:rsid w:val="00007B58"/>
    <w:rsid w:val="000112BF"/>
    <w:rsid w:val="00012233"/>
    <w:rsid w:val="0001641C"/>
    <w:rsid w:val="00017318"/>
    <w:rsid w:val="000229AD"/>
    <w:rsid w:val="000246F7"/>
    <w:rsid w:val="0003114D"/>
    <w:rsid w:val="000334C1"/>
    <w:rsid w:val="00036D76"/>
    <w:rsid w:val="00057EDA"/>
    <w:rsid w:val="00057F32"/>
    <w:rsid w:val="00062A25"/>
    <w:rsid w:val="00066448"/>
    <w:rsid w:val="00073CB5"/>
    <w:rsid w:val="0007425C"/>
    <w:rsid w:val="00077553"/>
    <w:rsid w:val="000851A2"/>
    <w:rsid w:val="00085887"/>
    <w:rsid w:val="0009352E"/>
    <w:rsid w:val="00096B96"/>
    <w:rsid w:val="000A2F3F"/>
    <w:rsid w:val="000A6A07"/>
    <w:rsid w:val="000A7789"/>
    <w:rsid w:val="000A7BC0"/>
    <w:rsid w:val="000B0B4A"/>
    <w:rsid w:val="000B0E73"/>
    <w:rsid w:val="000B279A"/>
    <w:rsid w:val="000B61D2"/>
    <w:rsid w:val="000B70A7"/>
    <w:rsid w:val="000B73DD"/>
    <w:rsid w:val="000B7AF3"/>
    <w:rsid w:val="000C15B6"/>
    <w:rsid w:val="000C495F"/>
    <w:rsid w:val="000C720C"/>
    <w:rsid w:val="000D5ABC"/>
    <w:rsid w:val="000D66D9"/>
    <w:rsid w:val="000D6EA4"/>
    <w:rsid w:val="000E2836"/>
    <w:rsid w:val="000E6431"/>
    <w:rsid w:val="000F21A5"/>
    <w:rsid w:val="00102980"/>
    <w:rsid w:val="00102B9F"/>
    <w:rsid w:val="001103F3"/>
    <w:rsid w:val="00112637"/>
    <w:rsid w:val="00112ABC"/>
    <w:rsid w:val="00116A54"/>
    <w:rsid w:val="0012001E"/>
    <w:rsid w:val="00125025"/>
    <w:rsid w:val="00126A55"/>
    <w:rsid w:val="00133F08"/>
    <w:rsid w:val="001345E6"/>
    <w:rsid w:val="00137326"/>
    <w:rsid w:val="001378B0"/>
    <w:rsid w:val="00140E8C"/>
    <w:rsid w:val="001420A5"/>
    <w:rsid w:val="00142E00"/>
    <w:rsid w:val="001456FA"/>
    <w:rsid w:val="00150CAE"/>
    <w:rsid w:val="00152166"/>
    <w:rsid w:val="00152793"/>
    <w:rsid w:val="00153B7E"/>
    <w:rsid w:val="001545A9"/>
    <w:rsid w:val="001637C7"/>
    <w:rsid w:val="0016480E"/>
    <w:rsid w:val="00174297"/>
    <w:rsid w:val="00180E06"/>
    <w:rsid w:val="001817B3"/>
    <w:rsid w:val="00183014"/>
    <w:rsid w:val="001959C2"/>
    <w:rsid w:val="001A25BC"/>
    <w:rsid w:val="001A51E3"/>
    <w:rsid w:val="001A6EC6"/>
    <w:rsid w:val="001A7968"/>
    <w:rsid w:val="001B02A1"/>
    <w:rsid w:val="001B2E98"/>
    <w:rsid w:val="001B2FE3"/>
    <w:rsid w:val="001B3483"/>
    <w:rsid w:val="001B3A3D"/>
    <w:rsid w:val="001B3C1E"/>
    <w:rsid w:val="001B4494"/>
    <w:rsid w:val="001C0B85"/>
    <w:rsid w:val="001C0D8B"/>
    <w:rsid w:val="001C0DA8"/>
    <w:rsid w:val="001C3C02"/>
    <w:rsid w:val="001D0BB5"/>
    <w:rsid w:val="001D4AD7"/>
    <w:rsid w:val="001D776D"/>
    <w:rsid w:val="001E0D8A"/>
    <w:rsid w:val="001E5C6E"/>
    <w:rsid w:val="001E67BA"/>
    <w:rsid w:val="001E7083"/>
    <w:rsid w:val="001E74C2"/>
    <w:rsid w:val="001F1E39"/>
    <w:rsid w:val="001F4494"/>
    <w:rsid w:val="001F4F82"/>
    <w:rsid w:val="001F5A48"/>
    <w:rsid w:val="001F6260"/>
    <w:rsid w:val="00200007"/>
    <w:rsid w:val="00201D4A"/>
    <w:rsid w:val="002030A5"/>
    <w:rsid w:val="00203131"/>
    <w:rsid w:val="00212E88"/>
    <w:rsid w:val="00213C9C"/>
    <w:rsid w:val="0022009E"/>
    <w:rsid w:val="00220191"/>
    <w:rsid w:val="00223241"/>
    <w:rsid w:val="00223721"/>
    <w:rsid w:val="0022425C"/>
    <w:rsid w:val="002246DE"/>
    <w:rsid w:val="00225445"/>
    <w:rsid w:val="00232FA7"/>
    <w:rsid w:val="002378DE"/>
    <w:rsid w:val="002408CE"/>
    <w:rsid w:val="002429E2"/>
    <w:rsid w:val="00243073"/>
    <w:rsid w:val="00243ECC"/>
    <w:rsid w:val="00245DA6"/>
    <w:rsid w:val="00246376"/>
    <w:rsid w:val="002508FF"/>
    <w:rsid w:val="00252BC4"/>
    <w:rsid w:val="00254014"/>
    <w:rsid w:val="00254B39"/>
    <w:rsid w:val="0025530F"/>
    <w:rsid w:val="0026504D"/>
    <w:rsid w:val="00267DB7"/>
    <w:rsid w:val="00272EF5"/>
    <w:rsid w:val="00273A2F"/>
    <w:rsid w:val="00280986"/>
    <w:rsid w:val="00281ECE"/>
    <w:rsid w:val="002831C7"/>
    <w:rsid w:val="00283DD0"/>
    <w:rsid w:val="002840C6"/>
    <w:rsid w:val="00284669"/>
    <w:rsid w:val="00285857"/>
    <w:rsid w:val="00295174"/>
    <w:rsid w:val="00296172"/>
    <w:rsid w:val="00296B92"/>
    <w:rsid w:val="002A0D84"/>
    <w:rsid w:val="002A2C22"/>
    <w:rsid w:val="002B02EB"/>
    <w:rsid w:val="002B19F1"/>
    <w:rsid w:val="002B5059"/>
    <w:rsid w:val="002C0602"/>
    <w:rsid w:val="002C0E04"/>
    <w:rsid w:val="002C2F36"/>
    <w:rsid w:val="002D2FFD"/>
    <w:rsid w:val="002D522F"/>
    <w:rsid w:val="002D5C16"/>
    <w:rsid w:val="002F2476"/>
    <w:rsid w:val="002F3DFF"/>
    <w:rsid w:val="002F4146"/>
    <w:rsid w:val="002F5E05"/>
    <w:rsid w:val="00307A76"/>
    <w:rsid w:val="0031455E"/>
    <w:rsid w:val="00315A16"/>
    <w:rsid w:val="00317053"/>
    <w:rsid w:val="0032109C"/>
    <w:rsid w:val="00322B45"/>
    <w:rsid w:val="00323809"/>
    <w:rsid w:val="00323D41"/>
    <w:rsid w:val="00325414"/>
    <w:rsid w:val="003302F1"/>
    <w:rsid w:val="00337B0F"/>
    <w:rsid w:val="00343348"/>
    <w:rsid w:val="0034470E"/>
    <w:rsid w:val="00351E58"/>
    <w:rsid w:val="00352DB0"/>
    <w:rsid w:val="00354747"/>
    <w:rsid w:val="00355C27"/>
    <w:rsid w:val="00361063"/>
    <w:rsid w:val="003664EC"/>
    <w:rsid w:val="0037094A"/>
    <w:rsid w:val="00371ED3"/>
    <w:rsid w:val="00372659"/>
    <w:rsid w:val="00372FFC"/>
    <w:rsid w:val="0037728A"/>
    <w:rsid w:val="00377509"/>
    <w:rsid w:val="00380B7D"/>
    <w:rsid w:val="00381A99"/>
    <w:rsid w:val="003829C2"/>
    <w:rsid w:val="003830B2"/>
    <w:rsid w:val="00384724"/>
    <w:rsid w:val="003919B7"/>
    <w:rsid w:val="00391D57"/>
    <w:rsid w:val="00392292"/>
    <w:rsid w:val="00394F45"/>
    <w:rsid w:val="003A0499"/>
    <w:rsid w:val="003A1049"/>
    <w:rsid w:val="003A5237"/>
    <w:rsid w:val="003A5927"/>
    <w:rsid w:val="003B1017"/>
    <w:rsid w:val="003B3C07"/>
    <w:rsid w:val="003B4F56"/>
    <w:rsid w:val="003B6081"/>
    <w:rsid w:val="003B6775"/>
    <w:rsid w:val="003C5FE2"/>
    <w:rsid w:val="003D05FB"/>
    <w:rsid w:val="003D0E4B"/>
    <w:rsid w:val="003D1B16"/>
    <w:rsid w:val="003D3302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1542"/>
    <w:rsid w:val="00402240"/>
    <w:rsid w:val="004023E9"/>
    <w:rsid w:val="00402533"/>
    <w:rsid w:val="0040454A"/>
    <w:rsid w:val="00405E27"/>
    <w:rsid w:val="00413F83"/>
    <w:rsid w:val="0041490C"/>
    <w:rsid w:val="00416191"/>
    <w:rsid w:val="00416721"/>
    <w:rsid w:val="00417831"/>
    <w:rsid w:val="00420D2F"/>
    <w:rsid w:val="00421EF0"/>
    <w:rsid w:val="004224FA"/>
    <w:rsid w:val="00423D07"/>
    <w:rsid w:val="00427936"/>
    <w:rsid w:val="004408EA"/>
    <w:rsid w:val="0044346F"/>
    <w:rsid w:val="00453FF6"/>
    <w:rsid w:val="00455439"/>
    <w:rsid w:val="004568F3"/>
    <w:rsid w:val="0046520A"/>
    <w:rsid w:val="004671C7"/>
    <w:rsid w:val="004672AB"/>
    <w:rsid w:val="004714FE"/>
    <w:rsid w:val="00477BAA"/>
    <w:rsid w:val="004835EE"/>
    <w:rsid w:val="00495053"/>
    <w:rsid w:val="004972AB"/>
    <w:rsid w:val="004A1F59"/>
    <w:rsid w:val="004A29BE"/>
    <w:rsid w:val="004A2CB2"/>
    <w:rsid w:val="004A3225"/>
    <w:rsid w:val="004A33EE"/>
    <w:rsid w:val="004A34AD"/>
    <w:rsid w:val="004A3533"/>
    <w:rsid w:val="004A3AA8"/>
    <w:rsid w:val="004A79C2"/>
    <w:rsid w:val="004B13C7"/>
    <w:rsid w:val="004B2E96"/>
    <w:rsid w:val="004B301E"/>
    <w:rsid w:val="004B778F"/>
    <w:rsid w:val="004C0609"/>
    <w:rsid w:val="004C2938"/>
    <w:rsid w:val="004C3313"/>
    <w:rsid w:val="004C639F"/>
    <w:rsid w:val="004C69D8"/>
    <w:rsid w:val="004D141F"/>
    <w:rsid w:val="004D2742"/>
    <w:rsid w:val="004D47FD"/>
    <w:rsid w:val="004D6310"/>
    <w:rsid w:val="004D72B9"/>
    <w:rsid w:val="004D7F19"/>
    <w:rsid w:val="004E0062"/>
    <w:rsid w:val="004E05A1"/>
    <w:rsid w:val="004E73AC"/>
    <w:rsid w:val="004E7F21"/>
    <w:rsid w:val="004F2E39"/>
    <w:rsid w:val="004F472A"/>
    <w:rsid w:val="004F5E57"/>
    <w:rsid w:val="004F65B3"/>
    <w:rsid w:val="004F6710"/>
    <w:rsid w:val="00500C3E"/>
    <w:rsid w:val="00502849"/>
    <w:rsid w:val="00504334"/>
    <w:rsid w:val="0050498D"/>
    <w:rsid w:val="005104D7"/>
    <w:rsid w:val="00510B9E"/>
    <w:rsid w:val="00513EB2"/>
    <w:rsid w:val="00521A32"/>
    <w:rsid w:val="00522F28"/>
    <w:rsid w:val="00535515"/>
    <w:rsid w:val="00536BC2"/>
    <w:rsid w:val="005425E1"/>
    <w:rsid w:val="005427C5"/>
    <w:rsid w:val="00542CF6"/>
    <w:rsid w:val="00553C03"/>
    <w:rsid w:val="005548E7"/>
    <w:rsid w:val="00555B87"/>
    <w:rsid w:val="00560510"/>
    <w:rsid w:val="00560DDA"/>
    <w:rsid w:val="0056121C"/>
    <w:rsid w:val="00563692"/>
    <w:rsid w:val="00571679"/>
    <w:rsid w:val="00572794"/>
    <w:rsid w:val="00584235"/>
    <w:rsid w:val="005844E7"/>
    <w:rsid w:val="005908B8"/>
    <w:rsid w:val="0059512E"/>
    <w:rsid w:val="0059661D"/>
    <w:rsid w:val="00596F11"/>
    <w:rsid w:val="005A21A8"/>
    <w:rsid w:val="005A6DD2"/>
    <w:rsid w:val="005B76C8"/>
    <w:rsid w:val="005C385D"/>
    <w:rsid w:val="005D3B20"/>
    <w:rsid w:val="005D59EF"/>
    <w:rsid w:val="005D71B7"/>
    <w:rsid w:val="005E4759"/>
    <w:rsid w:val="005E58EA"/>
    <w:rsid w:val="005E59BF"/>
    <w:rsid w:val="005E5C68"/>
    <w:rsid w:val="005E65C0"/>
    <w:rsid w:val="005F0390"/>
    <w:rsid w:val="005F4C72"/>
    <w:rsid w:val="005F61BC"/>
    <w:rsid w:val="00606EEB"/>
    <w:rsid w:val="006072CD"/>
    <w:rsid w:val="00612023"/>
    <w:rsid w:val="00614190"/>
    <w:rsid w:val="00615455"/>
    <w:rsid w:val="00622407"/>
    <w:rsid w:val="00622A99"/>
    <w:rsid w:val="00622E67"/>
    <w:rsid w:val="006267AE"/>
    <w:rsid w:val="00626B57"/>
    <w:rsid w:val="00626EDC"/>
    <w:rsid w:val="006352A7"/>
    <w:rsid w:val="00641C4E"/>
    <w:rsid w:val="006452D3"/>
    <w:rsid w:val="006470EC"/>
    <w:rsid w:val="006542D6"/>
    <w:rsid w:val="0065598E"/>
    <w:rsid w:val="00655AF2"/>
    <w:rsid w:val="00655BC5"/>
    <w:rsid w:val="006568BE"/>
    <w:rsid w:val="0066025D"/>
    <w:rsid w:val="0066091A"/>
    <w:rsid w:val="00665589"/>
    <w:rsid w:val="006705E7"/>
    <w:rsid w:val="0067153F"/>
    <w:rsid w:val="00671FCF"/>
    <w:rsid w:val="006773EC"/>
    <w:rsid w:val="00680504"/>
    <w:rsid w:val="00681CD9"/>
    <w:rsid w:val="00683E30"/>
    <w:rsid w:val="00684A09"/>
    <w:rsid w:val="00687024"/>
    <w:rsid w:val="006910C0"/>
    <w:rsid w:val="00692091"/>
    <w:rsid w:val="00695E22"/>
    <w:rsid w:val="006A4047"/>
    <w:rsid w:val="006A4F6E"/>
    <w:rsid w:val="006B41B5"/>
    <w:rsid w:val="006B56EB"/>
    <w:rsid w:val="006B6CC6"/>
    <w:rsid w:val="006B7093"/>
    <w:rsid w:val="006B7417"/>
    <w:rsid w:val="006C06BC"/>
    <w:rsid w:val="006C17A0"/>
    <w:rsid w:val="006D31F9"/>
    <w:rsid w:val="006D3691"/>
    <w:rsid w:val="006D619D"/>
    <w:rsid w:val="006E334F"/>
    <w:rsid w:val="006E3714"/>
    <w:rsid w:val="006E5EF0"/>
    <w:rsid w:val="006E6A97"/>
    <w:rsid w:val="006E6D02"/>
    <w:rsid w:val="006F0B92"/>
    <w:rsid w:val="006F3117"/>
    <w:rsid w:val="006F3563"/>
    <w:rsid w:val="006F42B9"/>
    <w:rsid w:val="006F6103"/>
    <w:rsid w:val="006F7CE6"/>
    <w:rsid w:val="00704E00"/>
    <w:rsid w:val="007209E7"/>
    <w:rsid w:val="00726182"/>
    <w:rsid w:val="00727635"/>
    <w:rsid w:val="00732329"/>
    <w:rsid w:val="007337CA"/>
    <w:rsid w:val="00734CE4"/>
    <w:rsid w:val="00735123"/>
    <w:rsid w:val="007408EA"/>
    <w:rsid w:val="00741837"/>
    <w:rsid w:val="007453E6"/>
    <w:rsid w:val="00754789"/>
    <w:rsid w:val="00760BFB"/>
    <w:rsid w:val="00770453"/>
    <w:rsid w:val="0077309D"/>
    <w:rsid w:val="007774EE"/>
    <w:rsid w:val="007803C3"/>
    <w:rsid w:val="00780B54"/>
    <w:rsid w:val="00781822"/>
    <w:rsid w:val="00783F21"/>
    <w:rsid w:val="00786AE0"/>
    <w:rsid w:val="00787159"/>
    <w:rsid w:val="0079043A"/>
    <w:rsid w:val="0079048C"/>
    <w:rsid w:val="00791668"/>
    <w:rsid w:val="00791AA1"/>
    <w:rsid w:val="00792874"/>
    <w:rsid w:val="007964C2"/>
    <w:rsid w:val="007A1E55"/>
    <w:rsid w:val="007A3793"/>
    <w:rsid w:val="007C1BA2"/>
    <w:rsid w:val="007C2B48"/>
    <w:rsid w:val="007C5DC0"/>
    <w:rsid w:val="007D1C84"/>
    <w:rsid w:val="007D20E9"/>
    <w:rsid w:val="007D363D"/>
    <w:rsid w:val="007D5B32"/>
    <w:rsid w:val="007D7881"/>
    <w:rsid w:val="007D7E3A"/>
    <w:rsid w:val="007E0E10"/>
    <w:rsid w:val="007E4768"/>
    <w:rsid w:val="007E777B"/>
    <w:rsid w:val="007F2070"/>
    <w:rsid w:val="007F63C1"/>
    <w:rsid w:val="00802DE2"/>
    <w:rsid w:val="008053F5"/>
    <w:rsid w:val="00807AF7"/>
    <w:rsid w:val="00810198"/>
    <w:rsid w:val="00815DA8"/>
    <w:rsid w:val="0082194D"/>
    <w:rsid w:val="008221F9"/>
    <w:rsid w:val="00826EF5"/>
    <w:rsid w:val="00831693"/>
    <w:rsid w:val="0083277C"/>
    <w:rsid w:val="00833116"/>
    <w:rsid w:val="00840104"/>
    <w:rsid w:val="00840C1F"/>
    <w:rsid w:val="008411C9"/>
    <w:rsid w:val="00841FC5"/>
    <w:rsid w:val="0084293C"/>
    <w:rsid w:val="00843D0F"/>
    <w:rsid w:val="00844E25"/>
    <w:rsid w:val="00845709"/>
    <w:rsid w:val="00855D01"/>
    <w:rsid w:val="008576BD"/>
    <w:rsid w:val="00860463"/>
    <w:rsid w:val="008644EA"/>
    <w:rsid w:val="00872E93"/>
    <w:rsid w:val="008733DA"/>
    <w:rsid w:val="008850E4"/>
    <w:rsid w:val="00890583"/>
    <w:rsid w:val="008939AB"/>
    <w:rsid w:val="00895705"/>
    <w:rsid w:val="008A12F5"/>
    <w:rsid w:val="008A46C6"/>
    <w:rsid w:val="008A743C"/>
    <w:rsid w:val="008B0C7F"/>
    <w:rsid w:val="008B1587"/>
    <w:rsid w:val="008B17BC"/>
    <w:rsid w:val="008B1B01"/>
    <w:rsid w:val="008B3BCD"/>
    <w:rsid w:val="008B6DF8"/>
    <w:rsid w:val="008C106C"/>
    <w:rsid w:val="008C10F1"/>
    <w:rsid w:val="008C1926"/>
    <w:rsid w:val="008C1E99"/>
    <w:rsid w:val="008D28F6"/>
    <w:rsid w:val="008E0085"/>
    <w:rsid w:val="008E2AA6"/>
    <w:rsid w:val="008E311B"/>
    <w:rsid w:val="008E3818"/>
    <w:rsid w:val="008F46E7"/>
    <w:rsid w:val="008F64CA"/>
    <w:rsid w:val="008F6F0B"/>
    <w:rsid w:val="008F7E4B"/>
    <w:rsid w:val="009005DC"/>
    <w:rsid w:val="00907BA7"/>
    <w:rsid w:val="0091064E"/>
    <w:rsid w:val="00911FC5"/>
    <w:rsid w:val="00914FE2"/>
    <w:rsid w:val="00927F36"/>
    <w:rsid w:val="00930321"/>
    <w:rsid w:val="00931A10"/>
    <w:rsid w:val="00931F49"/>
    <w:rsid w:val="00937B04"/>
    <w:rsid w:val="009422AA"/>
    <w:rsid w:val="00947967"/>
    <w:rsid w:val="00955201"/>
    <w:rsid w:val="009615B1"/>
    <w:rsid w:val="0096204E"/>
    <w:rsid w:val="00962C6B"/>
    <w:rsid w:val="00965200"/>
    <w:rsid w:val="009668B3"/>
    <w:rsid w:val="00971471"/>
    <w:rsid w:val="009748AC"/>
    <w:rsid w:val="009845B6"/>
    <w:rsid w:val="009849C2"/>
    <w:rsid w:val="00984D24"/>
    <w:rsid w:val="009858EB"/>
    <w:rsid w:val="009A3F47"/>
    <w:rsid w:val="009B0046"/>
    <w:rsid w:val="009B1CA2"/>
    <w:rsid w:val="009C1440"/>
    <w:rsid w:val="009C2074"/>
    <w:rsid w:val="009C2107"/>
    <w:rsid w:val="009C5D9E"/>
    <w:rsid w:val="009D2C3E"/>
    <w:rsid w:val="009E0625"/>
    <w:rsid w:val="009E3034"/>
    <w:rsid w:val="009E549F"/>
    <w:rsid w:val="009F28A8"/>
    <w:rsid w:val="009F3088"/>
    <w:rsid w:val="009F473E"/>
    <w:rsid w:val="009F5247"/>
    <w:rsid w:val="009F61F2"/>
    <w:rsid w:val="009F682A"/>
    <w:rsid w:val="00A013F1"/>
    <w:rsid w:val="00A022BE"/>
    <w:rsid w:val="00A03666"/>
    <w:rsid w:val="00A047E2"/>
    <w:rsid w:val="00A07B4B"/>
    <w:rsid w:val="00A2068F"/>
    <w:rsid w:val="00A222C2"/>
    <w:rsid w:val="00A22FAE"/>
    <w:rsid w:val="00A24C95"/>
    <w:rsid w:val="00A2599A"/>
    <w:rsid w:val="00A26094"/>
    <w:rsid w:val="00A301BF"/>
    <w:rsid w:val="00A302B2"/>
    <w:rsid w:val="00A331B4"/>
    <w:rsid w:val="00A3484E"/>
    <w:rsid w:val="00A356D3"/>
    <w:rsid w:val="00A36ADA"/>
    <w:rsid w:val="00A3723B"/>
    <w:rsid w:val="00A37C4D"/>
    <w:rsid w:val="00A438D8"/>
    <w:rsid w:val="00A45321"/>
    <w:rsid w:val="00A473F5"/>
    <w:rsid w:val="00A508C9"/>
    <w:rsid w:val="00A51D56"/>
    <w:rsid w:val="00A51F9D"/>
    <w:rsid w:val="00A5416A"/>
    <w:rsid w:val="00A603D4"/>
    <w:rsid w:val="00A639F4"/>
    <w:rsid w:val="00A65864"/>
    <w:rsid w:val="00A65E0D"/>
    <w:rsid w:val="00A65FAE"/>
    <w:rsid w:val="00A716B1"/>
    <w:rsid w:val="00A75F38"/>
    <w:rsid w:val="00A81A32"/>
    <w:rsid w:val="00A81DB4"/>
    <w:rsid w:val="00A835BD"/>
    <w:rsid w:val="00A90F33"/>
    <w:rsid w:val="00A961D9"/>
    <w:rsid w:val="00A97B15"/>
    <w:rsid w:val="00AA42D5"/>
    <w:rsid w:val="00AA48FC"/>
    <w:rsid w:val="00AA4E71"/>
    <w:rsid w:val="00AA50D9"/>
    <w:rsid w:val="00AA663D"/>
    <w:rsid w:val="00AA7F9A"/>
    <w:rsid w:val="00AB2FAB"/>
    <w:rsid w:val="00AB5C14"/>
    <w:rsid w:val="00AC1EE7"/>
    <w:rsid w:val="00AC333F"/>
    <w:rsid w:val="00AC517B"/>
    <w:rsid w:val="00AC585C"/>
    <w:rsid w:val="00AD1925"/>
    <w:rsid w:val="00AE067D"/>
    <w:rsid w:val="00AE22B0"/>
    <w:rsid w:val="00AE7EE6"/>
    <w:rsid w:val="00AF1181"/>
    <w:rsid w:val="00AF2F79"/>
    <w:rsid w:val="00AF4653"/>
    <w:rsid w:val="00AF64F0"/>
    <w:rsid w:val="00AF6A10"/>
    <w:rsid w:val="00AF7DB7"/>
    <w:rsid w:val="00B10D02"/>
    <w:rsid w:val="00B127A9"/>
    <w:rsid w:val="00B201E2"/>
    <w:rsid w:val="00B275D7"/>
    <w:rsid w:val="00B302B1"/>
    <w:rsid w:val="00B3324E"/>
    <w:rsid w:val="00B33324"/>
    <w:rsid w:val="00B422AF"/>
    <w:rsid w:val="00B443E4"/>
    <w:rsid w:val="00B539D2"/>
    <w:rsid w:val="00B5484D"/>
    <w:rsid w:val="00B563EA"/>
    <w:rsid w:val="00B56CDF"/>
    <w:rsid w:val="00B60E51"/>
    <w:rsid w:val="00B63A54"/>
    <w:rsid w:val="00B65458"/>
    <w:rsid w:val="00B761D5"/>
    <w:rsid w:val="00B77D18"/>
    <w:rsid w:val="00B8313A"/>
    <w:rsid w:val="00B8509B"/>
    <w:rsid w:val="00B93503"/>
    <w:rsid w:val="00BA31E8"/>
    <w:rsid w:val="00BA55E0"/>
    <w:rsid w:val="00BA6BD4"/>
    <w:rsid w:val="00BA6C7A"/>
    <w:rsid w:val="00BA7DA9"/>
    <w:rsid w:val="00BB17D1"/>
    <w:rsid w:val="00BB3752"/>
    <w:rsid w:val="00BB6688"/>
    <w:rsid w:val="00BC26D4"/>
    <w:rsid w:val="00BC567B"/>
    <w:rsid w:val="00BD5301"/>
    <w:rsid w:val="00BE0C80"/>
    <w:rsid w:val="00BE619B"/>
    <w:rsid w:val="00BF2A42"/>
    <w:rsid w:val="00C03D8C"/>
    <w:rsid w:val="00C055EC"/>
    <w:rsid w:val="00C10592"/>
    <w:rsid w:val="00C10DC9"/>
    <w:rsid w:val="00C12FB3"/>
    <w:rsid w:val="00C13C23"/>
    <w:rsid w:val="00C147B5"/>
    <w:rsid w:val="00C17341"/>
    <w:rsid w:val="00C22500"/>
    <w:rsid w:val="00C245A6"/>
    <w:rsid w:val="00C24EEF"/>
    <w:rsid w:val="00C25CF6"/>
    <w:rsid w:val="00C26C36"/>
    <w:rsid w:val="00C27B56"/>
    <w:rsid w:val="00C32768"/>
    <w:rsid w:val="00C33965"/>
    <w:rsid w:val="00C34CCB"/>
    <w:rsid w:val="00C34EEE"/>
    <w:rsid w:val="00C368DE"/>
    <w:rsid w:val="00C431DF"/>
    <w:rsid w:val="00C4567E"/>
    <w:rsid w:val="00C456BD"/>
    <w:rsid w:val="00C460B3"/>
    <w:rsid w:val="00C530DC"/>
    <w:rsid w:val="00C5350D"/>
    <w:rsid w:val="00C57329"/>
    <w:rsid w:val="00C57C2A"/>
    <w:rsid w:val="00C6123C"/>
    <w:rsid w:val="00C6311A"/>
    <w:rsid w:val="00C67611"/>
    <w:rsid w:val="00C7084D"/>
    <w:rsid w:val="00C7315E"/>
    <w:rsid w:val="00C74F96"/>
    <w:rsid w:val="00C75895"/>
    <w:rsid w:val="00C83C9F"/>
    <w:rsid w:val="00C85D0B"/>
    <w:rsid w:val="00C929E5"/>
    <w:rsid w:val="00C94519"/>
    <w:rsid w:val="00C94840"/>
    <w:rsid w:val="00CA14CE"/>
    <w:rsid w:val="00CA1557"/>
    <w:rsid w:val="00CA4EE3"/>
    <w:rsid w:val="00CB027F"/>
    <w:rsid w:val="00CB1FD7"/>
    <w:rsid w:val="00CC0EBB"/>
    <w:rsid w:val="00CC2F38"/>
    <w:rsid w:val="00CC3667"/>
    <w:rsid w:val="00CC6297"/>
    <w:rsid w:val="00CC64CC"/>
    <w:rsid w:val="00CC7690"/>
    <w:rsid w:val="00CD1986"/>
    <w:rsid w:val="00CD311D"/>
    <w:rsid w:val="00CD54BF"/>
    <w:rsid w:val="00CE27BF"/>
    <w:rsid w:val="00CE4D5C"/>
    <w:rsid w:val="00CF05DA"/>
    <w:rsid w:val="00CF54C0"/>
    <w:rsid w:val="00CF58EB"/>
    <w:rsid w:val="00CF6FEC"/>
    <w:rsid w:val="00CF7FB4"/>
    <w:rsid w:val="00D0106E"/>
    <w:rsid w:val="00D06383"/>
    <w:rsid w:val="00D20D26"/>
    <w:rsid w:val="00D20E85"/>
    <w:rsid w:val="00D24615"/>
    <w:rsid w:val="00D24860"/>
    <w:rsid w:val="00D25E2B"/>
    <w:rsid w:val="00D332B5"/>
    <w:rsid w:val="00D36C85"/>
    <w:rsid w:val="00D37842"/>
    <w:rsid w:val="00D42DC2"/>
    <w:rsid w:val="00D4302B"/>
    <w:rsid w:val="00D47EB3"/>
    <w:rsid w:val="00D537E1"/>
    <w:rsid w:val="00D55BB2"/>
    <w:rsid w:val="00D6091A"/>
    <w:rsid w:val="00D62EDD"/>
    <w:rsid w:val="00D64FFB"/>
    <w:rsid w:val="00D6605A"/>
    <w:rsid w:val="00D6695F"/>
    <w:rsid w:val="00D67BE8"/>
    <w:rsid w:val="00D75644"/>
    <w:rsid w:val="00D81656"/>
    <w:rsid w:val="00D83D87"/>
    <w:rsid w:val="00D84A6D"/>
    <w:rsid w:val="00D86A30"/>
    <w:rsid w:val="00D9601E"/>
    <w:rsid w:val="00D97CB4"/>
    <w:rsid w:val="00D97DD4"/>
    <w:rsid w:val="00DA3236"/>
    <w:rsid w:val="00DA39EF"/>
    <w:rsid w:val="00DA5A8A"/>
    <w:rsid w:val="00DB1170"/>
    <w:rsid w:val="00DB1CD8"/>
    <w:rsid w:val="00DB26CD"/>
    <w:rsid w:val="00DB441C"/>
    <w:rsid w:val="00DB44AF"/>
    <w:rsid w:val="00DC1F58"/>
    <w:rsid w:val="00DC339B"/>
    <w:rsid w:val="00DC5D40"/>
    <w:rsid w:val="00DC69A7"/>
    <w:rsid w:val="00DD30E9"/>
    <w:rsid w:val="00DD4F47"/>
    <w:rsid w:val="00DD7FBB"/>
    <w:rsid w:val="00DE0B9F"/>
    <w:rsid w:val="00DE2A3C"/>
    <w:rsid w:val="00DE2A9E"/>
    <w:rsid w:val="00DE4238"/>
    <w:rsid w:val="00DE5882"/>
    <w:rsid w:val="00DE657F"/>
    <w:rsid w:val="00DF1218"/>
    <w:rsid w:val="00DF5DF4"/>
    <w:rsid w:val="00DF6462"/>
    <w:rsid w:val="00E01130"/>
    <w:rsid w:val="00E01622"/>
    <w:rsid w:val="00E02FA0"/>
    <w:rsid w:val="00E036DC"/>
    <w:rsid w:val="00E05A7E"/>
    <w:rsid w:val="00E10454"/>
    <w:rsid w:val="00E112E5"/>
    <w:rsid w:val="00E122D8"/>
    <w:rsid w:val="00E12CC8"/>
    <w:rsid w:val="00E15352"/>
    <w:rsid w:val="00E21CC7"/>
    <w:rsid w:val="00E24D9E"/>
    <w:rsid w:val="00E25849"/>
    <w:rsid w:val="00E3197E"/>
    <w:rsid w:val="00E31F6E"/>
    <w:rsid w:val="00E33672"/>
    <w:rsid w:val="00E342F8"/>
    <w:rsid w:val="00E351ED"/>
    <w:rsid w:val="00E3617E"/>
    <w:rsid w:val="00E40EA1"/>
    <w:rsid w:val="00E42B19"/>
    <w:rsid w:val="00E434D0"/>
    <w:rsid w:val="00E43F10"/>
    <w:rsid w:val="00E5084E"/>
    <w:rsid w:val="00E6034B"/>
    <w:rsid w:val="00E6549E"/>
    <w:rsid w:val="00E65EDE"/>
    <w:rsid w:val="00E66D8E"/>
    <w:rsid w:val="00E70F81"/>
    <w:rsid w:val="00E77055"/>
    <w:rsid w:val="00E77460"/>
    <w:rsid w:val="00E83ABC"/>
    <w:rsid w:val="00E844F2"/>
    <w:rsid w:val="00E87C5A"/>
    <w:rsid w:val="00E90AD0"/>
    <w:rsid w:val="00E92FCB"/>
    <w:rsid w:val="00E946F0"/>
    <w:rsid w:val="00E94FA6"/>
    <w:rsid w:val="00EA0287"/>
    <w:rsid w:val="00EA147F"/>
    <w:rsid w:val="00EA4A27"/>
    <w:rsid w:val="00EA4FA6"/>
    <w:rsid w:val="00EB1A25"/>
    <w:rsid w:val="00EB5623"/>
    <w:rsid w:val="00EC6F6D"/>
    <w:rsid w:val="00EC7363"/>
    <w:rsid w:val="00ED03AB"/>
    <w:rsid w:val="00ED1963"/>
    <w:rsid w:val="00ED1CD4"/>
    <w:rsid w:val="00ED1D2B"/>
    <w:rsid w:val="00ED2331"/>
    <w:rsid w:val="00ED5C8E"/>
    <w:rsid w:val="00ED64B5"/>
    <w:rsid w:val="00EE7CCA"/>
    <w:rsid w:val="00EF196B"/>
    <w:rsid w:val="00F0050D"/>
    <w:rsid w:val="00F06E53"/>
    <w:rsid w:val="00F07C99"/>
    <w:rsid w:val="00F07F82"/>
    <w:rsid w:val="00F14632"/>
    <w:rsid w:val="00F16A14"/>
    <w:rsid w:val="00F2218F"/>
    <w:rsid w:val="00F2630C"/>
    <w:rsid w:val="00F362D7"/>
    <w:rsid w:val="00F37D7B"/>
    <w:rsid w:val="00F459FD"/>
    <w:rsid w:val="00F464BA"/>
    <w:rsid w:val="00F470BB"/>
    <w:rsid w:val="00F5314C"/>
    <w:rsid w:val="00F5688C"/>
    <w:rsid w:val="00F60048"/>
    <w:rsid w:val="00F635DD"/>
    <w:rsid w:val="00F6627B"/>
    <w:rsid w:val="00F66BB1"/>
    <w:rsid w:val="00F7336E"/>
    <w:rsid w:val="00F734F2"/>
    <w:rsid w:val="00F75052"/>
    <w:rsid w:val="00F775E4"/>
    <w:rsid w:val="00F804D3"/>
    <w:rsid w:val="00F816CB"/>
    <w:rsid w:val="00F81CD2"/>
    <w:rsid w:val="00F82641"/>
    <w:rsid w:val="00F84355"/>
    <w:rsid w:val="00F84D99"/>
    <w:rsid w:val="00F90F18"/>
    <w:rsid w:val="00F937E4"/>
    <w:rsid w:val="00F95574"/>
    <w:rsid w:val="00F95EE7"/>
    <w:rsid w:val="00F96745"/>
    <w:rsid w:val="00FA39E6"/>
    <w:rsid w:val="00FA5F70"/>
    <w:rsid w:val="00FA7BC9"/>
    <w:rsid w:val="00FB378E"/>
    <w:rsid w:val="00FB37F1"/>
    <w:rsid w:val="00FB3DF7"/>
    <w:rsid w:val="00FB47C0"/>
    <w:rsid w:val="00FB501B"/>
    <w:rsid w:val="00FB526D"/>
    <w:rsid w:val="00FB719A"/>
    <w:rsid w:val="00FB7770"/>
    <w:rsid w:val="00FC2BDC"/>
    <w:rsid w:val="00FD00E0"/>
    <w:rsid w:val="00FD1BEC"/>
    <w:rsid w:val="00FD3B91"/>
    <w:rsid w:val="00FD576B"/>
    <w:rsid w:val="00FD579E"/>
    <w:rsid w:val="00FD6845"/>
    <w:rsid w:val="00FE0DEA"/>
    <w:rsid w:val="00FE4516"/>
    <w:rsid w:val="00FE63B7"/>
    <w:rsid w:val="00FE64C8"/>
    <w:rsid w:val="00FF1553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A16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6"/>
    <w:link w:val="afd"/>
    <w:uiPriority w:val="99"/>
    <w:semiHidden/>
    <w:unhideWhenUsed/>
    <w:rsid w:val="00C147B5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C147B5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C147B5"/>
    <w:rPr>
      <w:vertAlign w:val="superscript"/>
    </w:rPr>
  </w:style>
  <w:style w:type="character" w:styleId="aff">
    <w:name w:val="annotation reference"/>
    <w:basedOn w:val="a7"/>
    <w:uiPriority w:val="99"/>
    <w:semiHidden/>
    <w:unhideWhenUsed/>
    <w:rsid w:val="00855D01"/>
    <w:rPr>
      <w:sz w:val="18"/>
      <w:szCs w:val="18"/>
    </w:rPr>
  </w:style>
  <w:style w:type="paragraph" w:styleId="aff0">
    <w:name w:val="annotation text"/>
    <w:basedOn w:val="a6"/>
    <w:link w:val="aff1"/>
    <w:uiPriority w:val="99"/>
    <w:semiHidden/>
    <w:unhideWhenUsed/>
    <w:rsid w:val="00855D01"/>
    <w:pPr>
      <w:jc w:val="left"/>
    </w:pPr>
  </w:style>
  <w:style w:type="character" w:customStyle="1" w:styleId="aff1">
    <w:name w:val="註解文字 字元"/>
    <w:basedOn w:val="a7"/>
    <w:link w:val="aff0"/>
    <w:uiPriority w:val="99"/>
    <w:semiHidden/>
    <w:rsid w:val="00855D01"/>
    <w:rPr>
      <w:rFonts w:ascii="標楷體" w:eastAsia="標楷體"/>
      <w:kern w:val="2"/>
      <w:sz w:val="3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855D01"/>
    <w:rPr>
      <w:b/>
      <w:bCs/>
    </w:rPr>
  </w:style>
  <w:style w:type="character" w:customStyle="1" w:styleId="aff3">
    <w:name w:val="註解主旨 字元"/>
    <w:basedOn w:val="aff1"/>
    <w:link w:val="aff2"/>
    <w:uiPriority w:val="99"/>
    <w:semiHidden/>
    <w:rsid w:val="00855D01"/>
    <w:rPr>
      <w:rFonts w:ascii="標楷體" w:eastAsia="標楷體"/>
      <w:b/>
      <w:bCs/>
      <w:kern w:val="2"/>
      <w:sz w:val="32"/>
    </w:rPr>
  </w:style>
  <w:style w:type="character" w:customStyle="1" w:styleId="fontstyle01">
    <w:name w:val="fontstyle01"/>
    <w:basedOn w:val="a7"/>
    <w:rsid w:val="004E73AC"/>
    <w:rPr>
      <w:rFonts w:ascii="DFKaiShu-SB-Estd-BF" w:hAnsi="DFKaiShu-SB-Estd-BF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30">
    <w:name w:val="標題 3 字元"/>
    <w:basedOn w:val="a7"/>
    <w:link w:val="3"/>
    <w:rsid w:val="00243ECC"/>
    <w:rPr>
      <w:rFonts w:ascii="標楷體" w:eastAsia="標楷體" w:hAnsi="Arial"/>
      <w:bCs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87584-82A4-43AF-BF56-A66E13C3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1164</Words>
  <Characters>6637</Characters>
  <Application>Microsoft Office Word</Application>
  <DocSecurity>0</DocSecurity>
  <Lines>55</Lines>
  <Paragraphs>15</Paragraphs>
  <ScaleCrop>false</ScaleCrop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2024-12-05T09:09:00Z</dcterms:created>
  <dcterms:modified xsi:type="dcterms:W3CDTF">2024-12-05T09:09:00Z</dcterms:modified>
  <cp:contentStatus/>
</cp:coreProperties>
</file>