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C1" w:rsidRDefault="00996EC1" w:rsidP="00996EC1">
      <w:pPr>
        <w:pStyle w:val="a5"/>
        <w:kinsoku w:val="0"/>
        <w:spacing w:before="0"/>
        <w:ind w:leftChars="700" w:left="2381" w:firstLine="0"/>
        <w:rPr>
          <w:bCs/>
          <w:snapToGrid/>
          <w:kern w:val="0"/>
          <w:sz w:val="40"/>
        </w:rPr>
      </w:pPr>
      <w:r>
        <w:rPr>
          <w:rFonts w:hint="eastAsia"/>
          <w:bCs/>
          <w:snapToGrid/>
          <w:spacing w:val="200"/>
          <w:kern w:val="0"/>
          <w:sz w:val="40"/>
        </w:rPr>
        <w:t>糾正案文</w:t>
      </w:r>
    </w:p>
    <w:p w:rsidR="00996EC1" w:rsidRDefault="00996EC1" w:rsidP="00996EC1">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rPr>
        <w:t>法務部。</w:t>
      </w:r>
    </w:p>
    <w:p w:rsidR="00996EC1" w:rsidRDefault="00996EC1" w:rsidP="00996EC1">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046827">
        <w:rPr>
          <w:rFonts w:hint="eastAsia"/>
        </w:rPr>
        <w:t>檢察官</w:t>
      </w:r>
      <w:r w:rsidR="00514017">
        <w:rPr>
          <w:rFonts w:hint="eastAsia"/>
        </w:rPr>
        <w:t>對</w:t>
      </w:r>
      <w:r w:rsidR="00046827">
        <w:rPr>
          <w:rFonts w:hint="eastAsia"/>
        </w:rPr>
        <w:t>簡易與協商程序外之一般案件，動輒於起訴時具體求刑</w:t>
      </w:r>
      <w:r w:rsidR="00046827">
        <w:rPr>
          <w:rFonts w:hint="eastAsia"/>
          <w:bCs w:val="0"/>
        </w:rPr>
        <w:t>，然</w:t>
      </w:r>
      <w:r w:rsidR="00046827">
        <w:rPr>
          <w:rFonts w:hint="eastAsia"/>
        </w:rPr>
        <w:t>具體</w:t>
      </w:r>
      <w:proofErr w:type="gramStart"/>
      <w:r w:rsidR="00046827">
        <w:rPr>
          <w:rFonts w:hint="eastAsia"/>
        </w:rPr>
        <w:t>求刑查無</w:t>
      </w:r>
      <w:proofErr w:type="gramEnd"/>
      <w:r w:rsidR="00046827">
        <w:rPr>
          <w:rFonts w:hint="eastAsia"/>
        </w:rPr>
        <w:t>法律依據</w:t>
      </w:r>
      <w:r w:rsidR="00046827">
        <w:rPr>
          <w:rFonts w:hint="eastAsia"/>
          <w:bCs w:val="0"/>
        </w:rPr>
        <w:t>，</w:t>
      </w:r>
      <w:r w:rsidR="00DF5713">
        <w:rPr>
          <w:rFonts w:hint="eastAsia"/>
        </w:rPr>
        <w:t>且</w:t>
      </w:r>
      <w:r w:rsidR="00046827">
        <w:rPr>
          <w:rFonts w:hint="eastAsia"/>
        </w:rPr>
        <w:t>易形成</w:t>
      </w:r>
      <w:proofErr w:type="gramStart"/>
      <w:r w:rsidR="00046827">
        <w:rPr>
          <w:rFonts w:hint="eastAsia"/>
        </w:rPr>
        <w:t>社會預斷及</w:t>
      </w:r>
      <w:proofErr w:type="gramEnd"/>
      <w:r w:rsidR="00046827">
        <w:rPr>
          <w:rFonts w:hint="eastAsia"/>
        </w:rPr>
        <w:t>法官審理壓力</w:t>
      </w:r>
      <w:r w:rsidR="00DF5713">
        <w:rPr>
          <w:rFonts w:hint="eastAsia"/>
        </w:rPr>
        <w:t>，法務部應深切檢討，回歸刑事訴訟法規定</w:t>
      </w:r>
      <w:r>
        <w:rPr>
          <w:rFonts w:hint="eastAsia"/>
        </w:rPr>
        <w:t>。</w:t>
      </w:r>
      <w:bookmarkEnd w:id="14"/>
      <w:bookmarkEnd w:id="15"/>
      <w:bookmarkEnd w:id="16"/>
      <w:bookmarkEnd w:id="17"/>
      <w:bookmarkEnd w:id="18"/>
    </w:p>
    <w:p w:rsidR="00996EC1" w:rsidRDefault="00996EC1" w:rsidP="00996EC1">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96EC1" w:rsidRDefault="00046827" w:rsidP="00996EC1">
      <w:pPr>
        <w:pStyle w:val="11"/>
        <w:ind w:left="680" w:firstLine="680"/>
        <w:rPr>
          <w:bCs/>
        </w:rPr>
      </w:pPr>
      <w:r>
        <w:rPr>
          <w:rFonts w:hint="eastAsia"/>
        </w:rPr>
        <w:t>近來檢方除簡易與協商程序外，對社會矚目案件，動輒於起訴時即於起訴書中具體求刑</w:t>
      </w:r>
      <w:r w:rsidR="00996EC1">
        <w:rPr>
          <w:rFonts w:hint="eastAsia"/>
          <w:bCs/>
        </w:rPr>
        <w:t>，</w:t>
      </w:r>
      <w:r>
        <w:rPr>
          <w:rFonts w:hint="eastAsia"/>
          <w:bCs/>
        </w:rPr>
        <w:t>然</w:t>
      </w:r>
      <w:r>
        <w:rPr>
          <w:rFonts w:hint="eastAsia"/>
        </w:rPr>
        <w:t>具體</w:t>
      </w:r>
      <w:proofErr w:type="gramStart"/>
      <w:r>
        <w:rPr>
          <w:rFonts w:hint="eastAsia"/>
        </w:rPr>
        <w:t>求刑查無</w:t>
      </w:r>
      <w:proofErr w:type="gramEnd"/>
      <w:r>
        <w:rPr>
          <w:rFonts w:hint="eastAsia"/>
        </w:rPr>
        <w:t>法律依據</w:t>
      </w:r>
      <w:r w:rsidR="00996EC1">
        <w:rPr>
          <w:rFonts w:hint="eastAsia"/>
          <w:bCs/>
        </w:rPr>
        <w:t>，</w:t>
      </w:r>
      <w:r w:rsidR="00DF5713">
        <w:rPr>
          <w:rFonts w:hint="eastAsia"/>
        </w:rPr>
        <w:t>且</w:t>
      </w:r>
      <w:r>
        <w:rPr>
          <w:rFonts w:hint="eastAsia"/>
        </w:rPr>
        <w:t>易形成</w:t>
      </w:r>
      <w:proofErr w:type="gramStart"/>
      <w:r>
        <w:rPr>
          <w:rFonts w:hint="eastAsia"/>
        </w:rPr>
        <w:t>社會預斷及</w:t>
      </w:r>
      <w:proofErr w:type="gramEnd"/>
      <w:r>
        <w:rPr>
          <w:rFonts w:hint="eastAsia"/>
        </w:rPr>
        <w:t>法官審理壓力，</w:t>
      </w:r>
      <w:r w:rsidR="00996EC1">
        <w:rPr>
          <w:rFonts w:hint="eastAsia"/>
          <w:bCs/>
        </w:rPr>
        <w:t>案經本院調查</w:t>
      </w:r>
      <w:r w:rsidR="00996EC1">
        <w:rPr>
          <w:rFonts w:hint="eastAsia"/>
        </w:rPr>
        <w:t>，確有下列疏失之處：</w:t>
      </w:r>
    </w:p>
    <w:p w:rsidR="00046827" w:rsidRDefault="00046827" w:rsidP="00046827">
      <w:pPr>
        <w:pStyle w:val="2"/>
        <w:kinsoku w:val="0"/>
        <w:ind w:left="1020" w:hanging="680"/>
      </w:pPr>
      <w:bookmarkStart w:id="33" w:name="_Toc525066147"/>
      <w:bookmarkStart w:id="34" w:name="_Toc525070838"/>
      <w:bookmarkStart w:id="35" w:name="_Toc525938378"/>
      <w:bookmarkStart w:id="36" w:name="_Toc525939226"/>
      <w:bookmarkStart w:id="37" w:name="_Toc525939731"/>
      <w:bookmarkStart w:id="38" w:name="_Toc529218271"/>
      <w:bookmarkStart w:id="39" w:name="_Toc529222688"/>
      <w:bookmarkStart w:id="40" w:name="_Toc529223110"/>
      <w:bookmarkStart w:id="41" w:name="_Toc529223861"/>
      <w:bookmarkStart w:id="42" w:name="_Toc529228264"/>
      <w:bookmarkStart w:id="43" w:name="_Toc2400394"/>
      <w:bookmarkStart w:id="44" w:name="_Toc4316188"/>
      <w:bookmarkStart w:id="45" w:name="_Toc4473329"/>
      <w:bookmarkStart w:id="46" w:name="_Toc69556896"/>
      <w:bookmarkStart w:id="47" w:name="_Toc69556945"/>
      <w:bookmarkStart w:id="48" w:name="_Toc69609819"/>
      <w:bookmarkStart w:id="49" w:name="_Toc529222689"/>
      <w:bookmarkStart w:id="50" w:name="_Toc529223111"/>
      <w:bookmarkStart w:id="51" w:name="_Toc529223862"/>
      <w:bookmarkStart w:id="52" w:name="_Toc529228265"/>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r>
        <w:rPr>
          <w:rFonts w:hint="eastAsia"/>
        </w:rPr>
        <w:t>現行檢察官起訴案件除簡易與協商程序外，具體</w:t>
      </w:r>
      <w:proofErr w:type="gramStart"/>
      <w:r>
        <w:rPr>
          <w:rFonts w:hint="eastAsia"/>
        </w:rPr>
        <w:t>求刑查無</w:t>
      </w:r>
      <w:proofErr w:type="gramEnd"/>
      <w:r>
        <w:rPr>
          <w:rFonts w:hint="eastAsia"/>
        </w:rPr>
        <w:t>法律依據。近來檢方對社會矚目</w:t>
      </w:r>
      <w:proofErr w:type="gramStart"/>
      <w:r>
        <w:rPr>
          <w:rFonts w:hint="eastAsia"/>
        </w:rPr>
        <w:t>案件輒於起訴</w:t>
      </w:r>
      <w:proofErr w:type="gramEnd"/>
      <w:r>
        <w:rPr>
          <w:rFonts w:hint="eastAsia"/>
        </w:rPr>
        <w:t>之時，即於起訴書中具體求刑，</w:t>
      </w:r>
      <w:proofErr w:type="gramStart"/>
      <w:r>
        <w:rPr>
          <w:rFonts w:hint="eastAsia"/>
        </w:rPr>
        <w:t>洵</w:t>
      </w:r>
      <w:proofErr w:type="gramEnd"/>
      <w:r>
        <w:rPr>
          <w:rFonts w:hint="eastAsia"/>
        </w:rPr>
        <w:t>有未當</w:t>
      </w:r>
    </w:p>
    <w:p w:rsidR="00046827" w:rsidRDefault="00046827" w:rsidP="00046827">
      <w:pPr>
        <w:pStyle w:val="3"/>
        <w:kinsoku w:val="0"/>
        <w:ind w:leftChars="200" w:left="1360" w:hangingChars="200" w:hanging="680"/>
      </w:pPr>
      <w:r>
        <w:rPr>
          <w:rFonts w:hint="eastAsia"/>
        </w:rPr>
        <w:t>按</w:t>
      </w:r>
      <w:r w:rsidR="00D3282C">
        <w:rPr>
          <w:rFonts w:hint="eastAsia"/>
        </w:rPr>
        <w:t>中央法規標準法第五條：「</w:t>
      </w:r>
      <w:r w:rsidR="00D3282C" w:rsidRPr="00D3282C">
        <w:rPr>
          <w:rFonts w:hint="eastAsia"/>
        </w:rPr>
        <w:t>應以法律規定之事項，不得以命令定之。左列事項應以法律定之：一、憲法或法律有明文規定，應以法律定之者。二、關於人民之權利、義務者。三、關於國家各機關之組織者。四、其他重要事項之應以法律定之者</w:t>
      </w:r>
      <w:r w:rsidR="00D3282C">
        <w:rPr>
          <w:rFonts w:hint="eastAsia"/>
        </w:rPr>
        <w:t>。」、第六條：「</w:t>
      </w:r>
      <w:r w:rsidR="00D3282C" w:rsidRPr="00D3282C">
        <w:rPr>
          <w:rFonts w:hint="eastAsia"/>
        </w:rPr>
        <w:t>應以法律規定之事項，不得以命令定之。</w:t>
      </w:r>
      <w:r w:rsidR="00D3282C">
        <w:rPr>
          <w:rFonts w:hint="eastAsia"/>
        </w:rPr>
        <w:t>」；</w:t>
      </w:r>
      <w:r w:rsidRPr="006D4A47">
        <w:rPr>
          <w:rFonts w:hAnsi="標楷體" w:hint="eastAsia"/>
          <w:szCs w:val="32"/>
        </w:rPr>
        <w:t>檢察機關辦理刑事訴訟案件應行注意事項</w:t>
      </w:r>
      <w:r>
        <w:rPr>
          <w:rFonts w:hAnsi="標楷體" w:hint="eastAsia"/>
          <w:szCs w:val="32"/>
        </w:rPr>
        <w:t>(以下簡稱應行注意事項)第一○一條第二項：「</w:t>
      </w:r>
      <w:r w:rsidRPr="004A7265">
        <w:rPr>
          <w:rFonts w:hAnsi="標楷體" w:hint="eastAsia"/>
          <w:szCs w:val="32"/>
        </w:rPr>
        <w:t>起訴書除應記載本法第二百六十四條第二項所規定之事項外，對惡性重大，嚴重危害社會治安之犯罪，如認有具體求刑之必要，應於起訴書中就刑法第五十七條所列情狀事證，詳細說明求處該刑度之理由；案件於法院審理時，公訴檢察官除就事實及法律舉證證明並為辯論外，並應就量刑部分，提出具體事證，表</w:t>
      </w:r>
      <w:r w:rsidRPr="004A7265">
        <w:rPr>
          <w:rFonts w:hAnsi="標楷體" w:hint="eastAsia"/>
          <w:szCs w:val="32"/>
        </w:rPr>
        <w:lastRenderedPageBreak/>
        <w:t>示意見。如被告合於刑法第七十四條之要件者，亦可為緩刑期間及條件之表示，惟應注意國家當前刑事政策及被告主觀情形，妥適運用。對於有犯罪習慣之被告，應注意請法院宣告保安處分，被告有自首、累犯等刑之減輕或加重之原因，以及應處以沒收、褫奪公權等從刑亦宜</w:t>
      </w:r>
      <w:proofErr w:type="gramStart"/>
      <w:r w:rsidRPr="004A7265">
        <w:rPr>
          <w:rFonts w:hAnsi="標楷體" w:hint="eastAsia"/>
          <w:szCs w:val="32"/>
        </w:rPr>
        <w:t>併</w:t>
      </w:r>
      <w:proofErr w:type="gramEnd"/>
      <w:r w:rsidRPr="004A7265">
        <w:rPr>
          <w:rFonts w:hAnsi="標楷體" w:hint="eastAsia"/>
          <w:szCs w:val="32"/>
        </w:rPr>
        <w:t>予表明，以促使法院注意。</w:t>
      </w:r>
      <w:r>
        <w:rPr>
          <w:rFonts w:hAnsi="標楷體" w:hint="eastAsia"/>
          <w:szCs w:val="32"/>
        </w:rPr>
        <w:t>」</w:t>
      </w:r>
      <w:r w:rsidR="00D3282C">
        <w:rPr>
          <w:rFonts w:hAnsi="標楷體" w:hint="eastAsia"/>
          <w:szCs w:val="32"/>
        </w:rPr>
        <w:t>；</w:t>
      </w:r>
      <w:r w:rsidR="00D3282C">
        <w:rPr>
          <w:rFonts w:hint="eastAsia"/>
        </w:rPr>
        <w:t>法務部七十四年十二月六日</w:t>
      </w:r>
      <w:r w:rsidR="00D3282C" w:rsidRPr="006D4A47">
        <w:rPr>
          <w:rFonts w:hAnsi="標楷體" w:hint="eastAsia"/>
          <w:szCs w:val="32"/>
        </w:rPr>
        <w:t>法</w:t>
      </w:r>
      <w:r w:rsidR="00D3282C" w:rsidRPr="006D4A47">
        <w:rPr>
          <w:rFonts w:hAnsi="標楷體"/>
          <w:szCs w:val="32"/>
        </w:rPr>
        <w:t>(74)</w:t>
      </w:r>
      <w:r w:rsidR="00D3282C" w:rsidRPr="006D4A47">
        <w:rPr>
          <w:rFonts w:hAnsi="標楷體" w:hint="eastAsia"/>
          <w:szCs w:val="32"/>
        </w:rPr>
        <w:t>檢字第</w:t>
      </w:r>
      <w:r w:rsidR="00D3282C" w:rsidRPr="006D4A47">
        <w:rPr>
          <w:rFonts w:hAnsi="標楷體"/>
          <w:szCs w:val="32"/>
        </w:rPr>
        <w:t>14825</w:t>
      </w:r>
      <w:r w:rsidR="00D3282C" w:rsidRPr="006D4A47">
        <w:rPr>
          <w:rFonts w:hAnsi="標楷體" w:hint="eastAsia"/>
          <w:szCs w:val="32"/>
        </w:rPr>
        <w:t>號函</w:t>
      </w:r>
      <w:r w:rsidR="00D3282C">
        <w:rPr>
          <w:rFonts w:hAnsi="標楷體" w:hint="eastAsia"/>
          <w:szCs w:val="32"/>
        </w:rPr>
        <w:t>：「</w:t>
      </w:r>
      <w:r w:rsidR="00D3282C" w:rsidRPr="006D4A47">
        <w:rPr>
          <w:rFonts w:hAnsi="標楷體" w:hint="eastAsia"/>
          <w:szCs w:val="32"/>
        </w:rPr>
        <w:t>檢察官偵查犯罪，對於應提起公訴案件，得審酌刑法第</w:t>
      </w:r>
      <w:r w:rsidR="00D3282C">
        <w:rPr>
          <w:rFonts w:hAnsi="標楷體" w:hint="eastAsia"/>
          <w:szCs w:val="32"/>
        </w:rPr>
        <w:t>五十七</w:t>
      </w:r>
      <w:r w:rsidR="00D3282C" w:rsidRPr="006D4A47">
        <w:rPr>
          <w:rFonts w:hAnsi="標楷體" w:hint="eastAsia"/>
          <w:szCs w:val="32"/>
        </w:rPr>
        <w:t>條所列事項，於起訴或論告時，為適當求刑之表示；對於惡性重大，嚴重危害社會治安之犯罪，應促請法院</w:t>
      </w:r>
      <w:proofErr w:type="gramStart"/>
      <w:r w:rsidR="00D3282C" w:rsidRPr="006D4A47">
        <w:rPr>
          <w:rFonts w:hAnsi="標楷體" w:hint="eastAsia"/>
          <w:szCs w:val="32"/>
        </w:rPr>
        <w:t>從重科刑</w:t>
      </w:r>
      <w:proofErr w:type="gramEnd"/>
      <w:r w:rsidR="00D3282C" w:rsidRPr="006D4A47">
        <w:rPr>
          <w:rFonts w:hAnsi="標楷體" w:hint="eastAsia"/>
          <w:szCs w:val="32"/>
        </w:rPr>
        <w:t>，以期遏止。被告犯罪事證及刑法第</w:t>
      </w:r>
      <w:r w:rsidR="00D3282C">
        <w:rPr>
          <w:rFonts w:hAnsi="標楷體" w:hint="eastAsia"/>
          <w:szCs w:val="32"/>
        </w:rPr>
        <w:t>五十七</w:t>
      </w:r>
      <w:r w:rsidR="00D3282C" w:rsidRPr="006D4A47">
        <w:rPr>
          <w:rFonts w:hAnsi="標楷體" w:hint="eastAsia"/>
          <w:szCs w:val="32"/>
        </w:rPr>
        <w:t>條</w:t>
      </w:r>
      <w:proofErr w:type="gramStart"/>
      <w:r w:rsidR="00D3282C" w:rsidRPr="006D4A47">
        <w:rPr>
          <w:rFonts w:hAnsi="標楷體" w:hint="eastAsia"/>
          <w:szCs w:val="32"/>
        </w:rPr>
        <w:t>所列科刑</w:t>
      </w:r>
      <w:proofErr w:type="gramEnd"/>
      <w:r w:rsidR="00D3282C" w:rsidRPr="006D4A47">
        <w:rPr>
          <w:rFonts w:hAnsi="標楷體" w:hint="eastAsia"/>
          <w:szCs w:val="32"/>
        </w:rPr>
        <w:t>輕重標準事項，於起訴或論告</w:t>
      </w:r>
      <w:proofErr w:type="gramStart"/>
      <w:r w:rsidR="00D3282C" w:rsidRPr="006D4A47">
        <w:rPr>
          <w:rFonts w:hAnsi="標楷體" w:hint="eastAsia"/>
          <w:szCs w:val="32"/>
        </w:rPr>
        <w:t>時均已調查</w:t>
      </w:r>
      <w:proofErr w:type="gramEnd"/>
      <w:r w:rsidR="00D3282C" w:rsidRPr="006D4A47">
        <w:rPr>
          <w:rFonts w:hAnsi="標楷體" w:hint="eastAsia"/>
          <w:szCs w:val="32"/>
        </w:rPr>
        <w:t>明確者，亦可為具體求刑之表示</w:t>
      </w:r>
      <w:r w:rsidR="00D3282C">
        <w:rPr>
          <w:rFonts w:hAnsi="標楷體" w:hint="eastAsia"/>
          <w:szCs w:val="32"/>
        </w:rPr>
        <w:t>」</w:t>
      </w:r>
    </w:p>
    <w:p w:rsidR="00046827" w:rsidRDefault="00046827" w:rsidP="00046827">
      <w:pPr>
        <w:pStyle w:val="3"/>
        <w:kinsoku w:val="0"/>
        <w:ind w:leftChars="200" w:left="1360" w:hangingChars="200" w:hanging="680"/>
      </w:pPr>
      <w:proofErr w:type="gramStart"/>
      <w:r>
        <w:rPr>
          <w:rFonts w:hint="eastAsia"/>
        </w:rPr>
        <w:t>洵</w:t>
      </w:r>
      <w:proofErr w:type="gramEnd"/>
      <w:r>
        <w:rPr>
          <w:rFonts w:hint="eastAsia"/>
        </w:rPr>
        <w:t>據法務部說明，檢察官依上開七十四年十二月六日</w:t>
      </w:r>
      <w:r w:rsidRPr="006D4A47">
        <w:rPr>
          <w:rFonts w:hAnsi="標楷體" w:hint="eastAsia"/>
          <w:szCs w:val="32"/>
        </w:rPr>
        <w:t>法</w:t>
      </w:r>
      <w:r w:rsidRPr="006D4A47">
        <w:rPr>
          <w:rFonts w:hAnsi="標楷體"/>
          <w:szCs w:val="32"/>
        </w:rPr>
        <w:t>(74)</w:t>
      </w:r>
      <w:r w:rsidRPr="006D4A47">
        <w:rPr>
          <w:rFonts w:hAnsi="標楷體" w:hint="eastAsia"/>
          <w:szCs w:val="32"/>
        </w:rPr>
        <w:t>檢字第</w:t>
      </w:r>
      <w:r w:rsidRPr="006D4A47">
        <w:rPr>
          <w:rFonts w:hAnsi="標楷體"/>
          <w:szCs w:val="32"/>
        </w:rPr>
        <w:t>14825</w:t>
      </w:r>
      <w:r w:rsidRPr="006D4A47">
        <w:rPr>
          <w:rFonts w:hAnsi="標楷體" w:hint="eastAsia"/>
          <w:szCs w:val="32"/>
        </w:rPr>
        <w:t>號函</w:t>
      </w:r>
      <w:r>
        <w:rPr>
          <w:rFonts w:hint="eastAsia"/>
        </w:rPr>
        <w:t>及</w:t>
      </w:r>
      <w:r w:rsidRPr="006D4A47">
        <w:rPr>
          <w:rFonts w:hAnsi="標楷體" w:hint="eastAsia"/>
          <w:szCs w:val="32"/>
        </w:rPr>
        <w:t>應行注意事項</w:t>
      </w:r>
      <w:r>
        <w:rPr>
          <w:rFonts w:hint="eastAsia"/>
        </w:rPr>
        <w:t>，作為對刑事訴訟法第四四九條簡易程序與第四五五條</w:t>
      </w:r>
      <w:r w:rsidR="00866F93">
        <w:rPr>
          <w:rFonts w:hint="eastAsia"/>
        </w:rPr>
        <w:t>之二</w:t>
      </w:r>
      <w:r>
        <w:rPr>
          <w:rFonts w:hint="eastAsia"/>
        </w:rPr>
        <w:t>協商程序以外之一般案件，</w:t>
      </w:r>
      <w:r w:rsidR="00084809">
        <w:rPr>
          <w:rFonts w:hint="eastAsia"/>
        </w:rPr>
        <w:t>於提起公訴時</w:t>
      </w:r>
      <w:r>
        <w:rPr>
          <w:rFonts w:hint="eastAsia"/>
        </w:rPr>
        <w:t>具體求刑之依據</w:t>
      </w:r>
      <w:r>
        <w:rPr>
          <w:rFonts w:hAnsi="標楷體" w:hint="eastAsia"/>
          <w:szCs w:val="32"/>
        </w:rPr>
        <w:t>。</w:t>
      </w:r>
      <w:proofErr w:type="gramStart"/>
      <w:r>
        <w:rPr>
          <w:rFonts w:hAnsi="標楷體" w:hint="eastAsia"/>
          <w:szCs w:val="32"/>
        </w:rPr>
        <w:t>惟查</w:t>
      </w:r>
      <w:proofErr w:type="gramEnd"/>
      <w:r>
        <w:rPr>
          <w:rFonts w:hAnsi="標楷體" w:hint="eastAsia"/>
          <w:szCs w:val="32"/>
        </w:rPr>
        <w:t>，該函及應行注意事項</w:t>
      </w:r>
      <w:proofErr w:type="gramStart"/>
      <w:r>
        <w:rPr>
          <w:rFonts w:hAnsi="標楷體" w:hint="eastAsia"/>
          <w:szCs w:val="32"/>
        </w:rPr>
        <w:t>性質均非法律</w:t>
      </w:r>
      <w:proofErr w:type="gramEnd"/>
      <w:r>
        <w:rPr>
          <w:rFonts w:hAnsi="標楷體" w:hint="eastAsia"/>
          <w:szCs w:val="32"/>
        </w:rPr>
        <w:t>，檢察官依行政命令具體求刑，違反中央法規標準法第五條及第六條之規定，與法律保留原則不符。次查，</w:t>
      </w:r>
      <w:proofErr w:type="gramStart"/>
      <w:r>
        <w:rPr>
          <w:rFonts w:hAnsi="標楷體" w:hint="eastAsia"/>
          <w:szCs w:val="32"/>
        </w:rPr>
        <w:t>上開函及</w:t>
      </w:r>
      <w:proofErr w:type="gramEnd"/>
      <w:r>
        <w:rPr>
          <w:rFonts w:hAnsi="標楷體" w:hint="eastAsia"/>
          <w:szCs w:val="32"/>
        </w:rPr>
        <w:t>應行注意事項就</w:t>
      </w:r>
      <w:proofErr w:type="gramStart"/>
      <w:r>
        <w:rPr>
          <w:rFonts w:hAnsi="標楷體" w:hint="eastAsia"/>
          <w:szCs w:val="32"/>
        </w:rPr>
        <w:t>求刑所定</w:t>
      </w:r>
      <w:proofErr w:type="gramEnd"/>
      <w:r>
        <w:rPr>
          <w:rFonts w:hAnsi="標楷體" w:hint="eastAsia"/>
          <w:szCs w:val="32"/>
        </w:rPr>
        <w:t>範圍，僅限於「</w:t>
      </w:r>
      <w:r w:rsidRPr="004A7265">
        <w:rPr>
          <w:rFonts w:hAnsi="標楷體" w:hint="eastAsia"/>
          <w:szCs w:val="32"/>
        </w:rPr>
        <w:t>惡性重大，嚴重危害社會治安</w:t>
      </w:r>
      <w:r>
        <w:rPr>
          <w:rFonts w:hAnsi="標楷體" w:hint="eastAsia"/>
          <w:szCs w:val="32"/>
        </w:rPr>
        <w:t>」</w:t>
      </w:r>
      <w:r w:rsidRPr="004A7265">
        <w:rPr>
          <w:rFonts w:hAnsi="標楷體" w:hint="eastAsia"/>
          <w:szCs w:val="32"/>
        </w:rPr>
        <w:t>之犯罪</w:t>
      </w:r>
      <w:r>
        <w:rPr>
          <w:rFonts w:hAnsi="標楷體" w:hint="eastAsia"/>
          <w:szCs w:val="32"/>
        </w:rPr>
        <w:t>，亦非允許所有</w:t>
      </w:r>
      <w:proofErr w:type="gramStart"/>
      <w:r>
        <w:rPr>
          <w:rFonts w:hAnsi="標楷體" w:hint="eastAsia"/>
          <w:szCs w:val="32"/>
        </w:rPr>
        <w:t>案件均得為</w:t>
      </w:r>
      <w:proofErr w:type="gramEnd"/>
      <w:r>
        <w:rPr>
          <w:rFonts w:hAnsi="標楷體" w:hint="eastAsia"/>
          <w:szCs w:val="32"/>
        </w:rPr>
        <w:t>具體求刑。然何謂</w:t>
      </w:r>
      <w:r>
        <w:rPr>
          <w:rFonts w:hint="eastAsia"/>
        </w:rPr>
        <w:t>惡性重大嚴重危害社會治安？標準未盡明確。</w:t>
      </w:r>
    </w:p>
    <w:p w:rsidR="00046827" w:rsidRDefault="00046827" w:rsidP="00046827">
      <w:pPr>
        <w:pStyle w:val="3"/>
        <w:kinsoku w:val="0"/>
        <w:ind w:leftChars="200" w:left="1360" w:hangingChars="200" w:hanging="680"/>
      </w:pPr>
      <w:r>
        <w:rPr>
          <w:rFonts w:hint="eastAsia"/>
        </w:rPr>
        <w:t>另查，據財團法人民間司法改革基金會函復略</w:t>
      </w:r>
      <w:proofErr w:type="gramStart"/>
      <w:r>
        <w:rPr>
          <w:rFonts w:hint="eastAsia"/>
        </w:rPr>
        <w:t>以</w:t>
      </w:r>
      <w:proofErr w:type="gramEnd"/>
      <w:r>
        <w:rPr>
          <w:rFonts w:hint="eastAsia"/>
        </w:rPr>
        <w:t>，檢察官就犯罪情狀相近案件所為具體求刑，輕重有別，</w:t>
      </w:r>
      <w:proofErr w:type="gramStart"/>
      <w:r>
        <w:rPr>
          <w:rFonts w:hint="eastAsia"/>
        </w:rPr>
        <w:t>足徵現行</w:t>
      </w:r>
      <w:proofErr w:type="gramEnd"/>
      <w:r>
        <w:rPr>
          <w:rFonts w:hint="eastAsia"/>
        </w:rPr>
        <w:t>檢察官所為具體求刑，未有明確統一之標準。再查，為因應刑事訴訟法修正採取交互詰問，除臺灣</w:t>
      </w:r>
      <w:proofErr w:type="gramStart"/>
      <w:r>
        <w:rPr>
          <w:rFonts w:hint="eastAsia"/>
        </w:rPr>
        <w:t>臺</w:t>
      </w:r>
      <w:proofErr w:type="gramEnd"/>
      <w:r>
        <w:rPr>
          <w:rFonts w:hint="eastAsia"/>
        </w:rPr>
        <w:t>東地方法院檢察署外，各地方及高等</w:t>
      </w:r>
      <w:r>
        <w:rPr>
          <w:rFonts w:hint="eastAsia"/>
        </w:rPr>
        <w:lastRenderedPageBreak/>
        <w:t>法院檢察署均分為公訴與偵查二組，案件經偵查組檢察官提起公訴後，由公訴組檢察官到庭實行公訴。偵查組檢察官未實際參與法庭審理活動與交互詰問，而係公訴組檢察官為之，惟因偵查組檢察官已於</w:t>
      </w:r>
      <w:r w:rsidRPr="00C50DB7">
        <w:rPr>
          <w:rFonts w:hint="eastAsia"/>
        </w:rPr>
        <w:t>起訴書</w:t>
      </w:r>
      <w:r>
        <w:rPr>
          <w:rFonts w:hint="eastAsia"/>
        </w:rPr>
        <w:t>對被告</w:t>
      </w:r>
      <w:r w:rsidRPr="00C50DB7">
        <w:rPr>
          <w:rFonts w:hint="eastAsia"/>
        </w:rPr>
        <w:t>為具體求刑，</w:t>
      </w:r>
      <w:r>
        <w:rPr>
          <w:rFonts w:hint="eastAsia"/>
        </w:rPr>
        <w:t>致公訴組</w:t>
      </w:r>
      <w:proofErr w:type="gramStart"/>
      <w:r>
        <w:rPr>
          <w:rFonts w:hint="eastAsia"/>
        </w:rPr>
        <w:t>檢察官倘對被告</w:t>
      </w:r>
      <w:proofErr w:type="gramEnd"/>
      <w:r>
        <w:rPr>
          <w:rFonts w:hint="eastAsia"/>
        </w:rPr>
        <w:t>求刑</w:t>
      </w:r>
      <w:proofErr w:type="gramStart"/>
      <w:r>
        <w:rPr>
          <w:rFonts w:hint="eastAsia"/>
        </w:rPr>
        <w:t>刑</w:t>
      </w:r>
      <w:proofErr w:type="gramEnd"/>
      <w:r>
        <w:rPr>
          <w:rFonts w:hint="eastAsia"/>
        </w:rPr>
        <w:t>度有意見，仍受偵查組檢察官於起訴書所記載之限制，</w:t>
      </w:r>
      <w:proofErr w:type="gramStart"/>
      <w:r>
        <w:rPr>
          <w:rFonts w:hint="eastAsia"/>
        </w:rPr>
        <w:t>足徵目前</w:t>
      </w:r>
      <w:proofErr w:type="gramEnd"/>
      <w:r>
        <w:rPr>
          <w:rFonts w:hint="eastAsia"/>
        </w:rPr>
        <w:t>檢察官具體求刑情形，亦未能與法庭活動完全相符。</w:t>
      </w:r>
    </w:p>
    <w:p w:rsidR="00046827" w:rsidRDefault="00046827" w:rsidP="00046827">
      <w:pPr>
        <w:pStyle w:val="3"/>
        <w:kinsoku w:val="0"/>
        <w:ind w:leftChars="200" w:left="1360" w:hangingChars="200" w:hanging="680"/>
      </w:pPr>
      <w:r>
        <w:rPr>
          <w:rFonts w:hint="eastAsia"/>
        </w:rPr>
        <w:t>綜上，現行檢察官於簡易與協商程序外之一般案件所為具體求刑，不但無法律依據，且限於</w:t>
      </w:r>
      <w:r w:rsidRPr="004A7265">
        <w:rPr>
          <w:rFonts w:hAnsi="標楷體" w:hint="eastAsia"/>
          <w:szCs w:val="32"/>
        </w:rPr>
        <w:t>惡性重大嚴重危害社會治安之犯罪</w:t>
      </w:r>
      <w:r>
        <w:rPr>
          <w:rFonts w:hAnsi="標楷體" w:hint="eastAsia"/>
          <w:szCs w:val="32"/>
        </w:rPr>
        <w:t>，</w:t>
      </w:r>
      <w:r>
        <w:rPr>
          <w:rFonts w:hint="eastAsia"/>
        </w:rPr>
        <w:t>而非一體及於全部案件。然何謂</w:t>
      </w:r>
      <w:r w:rsidRPr="004A7265">
        <w:rPr>
          <w:rFonts w:hAnsi="標楷體" w:hint="eastAsia"/>
          <w:szCs w:val="32"/>
        </w:rPr>
        <w:t>惡性重大嚴重危害社會治安</w:t>
      </w:r>
      <w:r>
        <w:rPr>
          <w:rFonts w:hAnsi="標楷體" w:hint="eastAsia"/>
          <w:szCs w:val="32"/>
        </w:rPr>
        <w:t>？又人人言</w:t>
      </w:r>
      <w:proofErr w:type="gramStart"/>
      <w:r>
        <w:rPr>
          <w:rFonts w:hAnsi="標楷體" w:hint="eastAsia"/>
          <w:szCs w:val="32"/>
        </w:rPr>
        <w:t>殊</w:t>
      </w:r>
      <w:proofErr w:type="gramEnd"/>
      <w:r>
        <w:rPr>
          <w:rFonts w:hAnsi="標楷體" w:hint="eastAsia"/>
          <w:szCs w:val="32"/>
        </w:rPr>
        <w:t>。</w:t>
      </w:r>
      <w:proofErr w:type="gramStart"/>
      <w:r>
        <w:rPr>
          <w:rFonts w:hAnsi="標楷體" w:hint="eastAsia"/>
          <w:szCs w:val="32"/>
        </w:rPr>
        <w:t>此外，</w:t>
      </w:r>
      <w:proofErr w:type="gramEnd"/>
      <w:r>
        <w:rPr>
          <w:rFonts w:hint="eastAsia"/>
        </w:rPr>
        <w:t>所為具體</w:t>
      </w:r>
      <w:proofErr w:type="gramStart"/>
      <w:r>
        <w:rPr>
          <w:rFonts w:hint="eastAsia"/>
        </w:rPr>
        <w:t>求刑復標準</w:t>
      </w:r>
      <w:proofErr w:type="gramEnd"/>
      <w:r>
        <w:rPr>
          <w:rFonts w:hint="eastAsia"/>
        </w:rPr>
        <w:t>不一，而實際參與法庭活動與證據調查之公訴組檢察官，對於被告刑度之意見，卻受限於偵查組檢察官於起訴書之記載，</w:t>
      </w:r>
      <w:proofErr w:type="gramStart"/>
      <w:r>
        <w:rPr>
          <w:rFonts w:hint="eastAsia"/>
        </w:rPr>
        <w:t>致求刑</w:t>
      </w:r>
      <w:proofErr w:type="gramEnd"/>
      <w:r>
        <w:rPr>
          <w:rFonts w:hint="eastAsia"/>
        </w:rPr>
        <w:t>意見與實際法院審理情況恐未盡一致，</w:t>
      </w:r>
      <w:proofErr w:type="gramStart"/>
      <w:r>
        <w:rPr>
          <w:rFonts w:hint="eastAsia"/>
        </w:rPr>
        <w:t>均有未</w:t>
      </w:r>
      <w:proofErr w:type="gramEnd"/>
      <w:r>
        <w:rPr>
          <w:rFonts w:hint="eastAsia"/>
        </w:rPr>
        <w:t>當。</w:t>
      </w:r>
    </w:p>
    <w:p w:rsidR="00046827" w:rsidRDefault="00046827" w:rsidP="00046827">
      <w:pPr>
        <w:pStyle w:val="2"/>
        <w:kinsoku w:val="0"/>
        <w:ind w:left="1280" w:hanging="640"/>
      </w:pPr>
      <w:r>
        <w:rPr>
          <w:rFonts w:hint="eastAsia"/>
        </w:rPr>
        <w:t>現行檢察官對簡易與協商程序外之一般案件，於起訴書為具體求刑，容易形成社會</w:t>
      </w:r>
      <w:r w:rsidR="00084809">
        <w:rPr>
          <w:rFonts w:hint="eastAsia"/>
        </w:rPr>
        <w:t>大眾有</w:t>
      </w:r>
      <w:proofErr w:type="gramStart"/>
      <w:r w:rsidR="00084809">
        <w:rPr>
          <w:rFonts w:hint="eastAsia"/>
        </w:rPr>
        <w:t>罪</w:t>
      </w:r>
      <w:r>
        <w:rPr>
          <w:rFonts w:hint="eastAsia"/>
        </w:rPr>
        <w:t>預斷</w:t>
      </w:r>
      <w:proofErr w:type="gramEnd"/>
      <w:r>
        <w:rPr>
          <w:rFonts w:hint="eastAsia"/>
        </w:rPr>
        <w:t>，並形成法官審理壓力，倘審判結果與檢察官求刑形成重大落差，</w:t>
      </w:r>
      <w:r w:rsidR="00084809">
        <w:rPr>
          <w:rFonts w:hint="eastAsia"/>
        </w:rPr>
        <w:t>更恐導致</w:t>
      </w:r>
      <w:r>
        <w:rPr>
          <w:rFonts w:hint="eastAsia"/>
        </w:rPr>
        <w:t>民眾對司法之不信任</w:t>
      </w:r>
    </w:p>
    <w:p w:rsidR="00046827" w:rsidRDefault="00046827" w:rsidP="00046827">
      <w:pPr>
        <w:pStyle w:val="3"/>
        <w:kinsoku w:val="0"/>
        <w:ind w:leftChars="200" w:left="1360" w:hangingChars="200" w:hanging="680"/>
      </w:pPr>
      <w:r>
        <w:rPr>
          <w:rFonts w:hint="eastAsia"/>
        </w:rPr>
        <w:t>按刑事訴訟法第一五四條第一項：「被告未經審判證明有罪確定前，推定其為無罪。」；公民與政治權利國際公約第十四條第二項：「</w:t>
      </w:r>
      <w:r w:rsidRPr="002D2D5A">
        <w:rPr>
          <w:rFonts w:hint="eastAsia"/>
        </w:rPr>
        <w:t>受刑事控告之人，未經依法確定有罪以前，應假定其無罪</w:t>
      </w:r>
      <w:r>
        <w:rPr>
          <w:rFonts w:hint="eastAsia"/>
        </w:rPr>
        <w:t>。」；</w:t>
      </w:r>
      <w:r w:rsidRPr="002657EB">
        <w:rPr>
          <w:rFonts w:hint="eastAsia"/>
        </w:rPr>
        <w:t>公民與政治權利國際公約及經濟社會文化權利國際公約施行法</w:t>
      </w:r>
      <w:r>
        <w:rPr>
          <w:rFonts w:hint="eastAsia"/>
        </w:rPr>
        <w:t>第二條：「</w:t>
      </w:r>
      <w:r w:rsidRPr="002657EB">
        <w:rPr>
          <w:rFonts w:hint="eastAsia"/>
        </w:rPr>
        <w:t>兩公約所揭示保障人權之規定，具有國內法律之效力。</w:t>
      </w:r>
      <w:r>
        <w:rPr>
          <w:rFonts w:hint="eastAsia"/>
        </w:rPr>
        <w:t>」</w:t>
      </w:r>
    </w:p>
    <w:p w:rsidR="00046827" w:rsidRDefault="00046827" w:rsidP="00046827">
      <w:pPr>
        <w:pStyle w:val="3"/>
        <w:kinsoku w:val="0"/>
        <w:ind w:leftChars="200" w:left="1360" w:hangingChars="200" w:hanging="680"/>
      </w:pPr>
      <w:r>
        <w:rPr>
          <w:rFonts w:hint="eastAsia"/>
        </w:rPr>
        <w:t>目前新聞媒體對於社會矚目之刑事案件，多採取連續性大幅報導，且對於犯罪動機、背景、手法，甚</w:t>
      </w:r>
      <w:r>
        <w:rPr>
          <w:rFonts w:hint="eastAsia"/>
        </w:rPr>
        <w:lastRenderedPageBreak/>
        <w:t>至偵辦進度等，</w:t>
      </w:r>
      <w:proofErr w:type="gramStart"/>
      <w:r>
        <w:rPr>
          <w:rFonts w:hint="eastAsia"/>
        </w:rPr>
        <w:t>均為深入</w:t>
      </w:r>
      <w:proofErr w:type="gramEnd"/>
      <w:r>
        <w:rPr>
          <w:rFonts w:hint="eastAsia"/>
        </w:rPr>
        <w:t>大幅之報導，在此背景下，檢察官對被告所為具體求刑，不但是新聞媒體報導焦點，更是形成民眾對案件評價與判斷之重要來源。</w:t>
      </w:r>
    </w:p>
    <w:p w:rsidR="00046827" w:rsidRDefault="00046827" w:rsidP="00046827">
      <w:pPr>
        <w:pStyle w:val="3"/>
        <w:kinsoku w:val="0"/>
        <w:ind w:leftChars="200" w:left="1360" w:hangingChars="200" w:hanging="680"/>
      </w:pPr>
      <w:proofErr w:type="gramStart"/>
      <w:r>
        <w:rPr>
          <w:rFonts w:hint="eastAsia"/>
        </w:rPr>
        <w:t>然查</w:t>
      </w:r>
      <w:proofErr w:type="gramEnd"/>
      <w:r>
        <w:rPr>
          <w:rFonts w:hint="eastAsia"/>
        </w:rPr>
        <w:t>，在法院依法作成裁判前，</w:t>
      </w:r>
      <w:proofErr w:type="gramStart"/>
      <w:r>
        <w:rPr>
          <w:rFonts w:hint="eastAsia"/>
        </w:rPr>
        <w:t>檢察官縱對被告</w:t>
      </w:r>
      <w:proofErr w:type="gramEnd"/>
      <w:r>
        <w:rPr>
          <w:rFonts w:hint="eastAsia"/>
        </w:rPr>
        <w:t>提起公訴甚至為具體求刑，究非終局事證，被告係受刑事訴訟法第一五四條第一項及公民與政治權利國際公約第十四條第二項無罪推定原則之保護。而法院在證據調查與交互詰問程序中，亟可能形式上排除檢察官起訴時</w:t>
      </w:r>
      <w:proofErr w:type="gramStart"/>
      <w:r>
        <w:rPr>
          <w:rFonts w:hint="eastAsia"/>
        </w:rPr>
        <w:t>所提事證</w:t>
      </w:r>
      <w:proofErr w:type="gramEnd"/>
      <w:r>
        <w:rPr>
          <w:rFonts w:hint="eastAsia"/>
        </w:rPr>
        <w:t>；證據</w:t>
      </w:r>
      <w:proofErr w:type="gramStart"/>
      <w:r>
        <w:rPr>
          <w:rFonts w:hint="eastAsia"/>
        </w:rPr>
        <w:t>能力尤待言詞</w:t>
      </w:r>
      <w:proofErr w:type="gramEnd"/>
      <w:r>
        <w:rPr>
          <w:rFonts w:hint="eastAsia"/>
        </w:rPr>
        <w:t>辯論後，方得認定。因此，法院審理結果與檢察官之起訴與求刑，自可能存在相當落差。</w:t>
      </w:r>
      <w:proofErr w:type="gramStart"/>
      <w:r>
        <w:rPr>
          <w:rFonts w:hint="eastAsia"/>
        </w:rPr>
        <w:t>惟</w:t>
      </w:r>
      <w:proofErr w:type="gramEnd"/>
      <w:r>
        <w:rPr>
          <w:rFonts w:hint="eastAsia"/>
        </w:rPr>
        <w:t>民眾已因媒體報導及檢察官所為具體求刑，對案件評價已形成在先，並對司法審判結果有所預期，形成法院不必要之審理壓力。倘法院最終裁判結果與檢察官起訴及求刑間存有重大落差，</w:t>
      </w:r>
      <w:proofErr w:type="gramStart"/>
      <w:r>
        <w:rPr>
          <w:rFonts w:hint="eastAsia"/>
        </w:rPr>
        <w:t>亟易</w:t>
      </w:r>
      <w:r w:rsidR="0070348C">
        <w:rPr>
          <w:rFonts w:hint="eastAsia"/>
        </w:rPr>
        <w:t>導致</w:t>
      </w:r>
      <w:proofErr w:type="gramEnd"/>
      <w:r>
        <w:rPr>
          <w:rFonts w:hint="eastAsia"/>
        </w:rPr>
        <w:t>民眾對司法之不信任。</w:t>
      </w:r>
    </w:p>
    <w:p w:rsidR="00046827" w:rsidRDefault="00046827" w:rsidP="00046827">
      <w:pPr>
        <w:pStyle w:val="3"/>
        <w:kinsoku w:val="0"/>
        <w:ind w:leftChars="200" w:left="1360" w:hangingChars="200" w:hanging="680"/>
      </w:pPr>
      <w:r>
        <w:rPr>
          <w:rFonts w:hint="eastAsia"/>
        </w:rPr>
        <w:t>綜上，依刑事訴訟法及公民與政治權利國際公約規定，被告應推定為無罪。目前媒體對於社會矚目刑事案件均</w:t>
      </w:r>
      <w:proofErr w:type="gramStart"/>
      <w:r>
        <w:rPr>
          <w:rFonts w:hint="eastAsia"/>
        </w:rPr>
        <w:t>採</w:t>
      </w:r>
      <w:proofErr w:type="gramEnd"/>
      <w:r>
        <w:rPr>
          <w:rFonts w:hint="eastAsia"/>
        </w:rPr>
        <w:t>連續性大幅報導，檢察官所為具體求刑，形塑了民眾對案件之評價與判斷，此造成民眾在司法審判前預設有罪之審判結果，且有具體之刑度，不僅造成法院不必要之審理壓力，倘嗣後法院裁判結果與檢察官起訴與求刑存有重大落差，徒生民眾對司法之不信任。法務部</w:t>
      </w:r>
      <w:r w:rsidR="00295BBB">
        <w:rPr>
          <w:rFonts w:hint="eastAsia"/>
        </w:rPr>
        <w:t>應</w:t>
      </w:r>
      <w:r>
        <w:rPr>
          <w:rFonts w:hint="eastAsia"/>
        </w:rPr>
        <w:t>深切檢討，回歸法律規定，落實無罪推定原則，並維護司法公正審判。</w:t>
      </w:r>
    </w:p>
    <w:p w:rsidR="00295BBB" w:rsidRDefault="00295BBB" w:rsidP="00295BBB">
      <w:pPr>
        <w:pStyle w:val="3"/>
        <w:numPr>
          <w:ilvl w:val="0"/>
          <w:numId w:val="0"/>
        </w:numPr>
        <w:kinsoku w:val="0"/>
        <w:ind w:left="1360"/>
      </w:pP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996EC1" w:rsidRDefault="00996EC1" w:rsidP="00996EC1">
      <w:pPr>
        <w:pStyle w:val="11"/>
        <w:ind w:left="680" w:firstLine="680"/>
        <w:rPr>
          <w:bCs/>
        </w:rPr>
      </w:pPr>
      <w:r>
        <w:rPr>
          <w:rFonts w:hint="eastAsia"/>
          <w:bCs/>
        </w:rPr>
        <w:t>綜上所述，</w:t>
      </w:r>
      <w:r w:rsidR="00A454D1">
        <w:rPr>
          <w:rFonts w:hint="eastAsia"/>
          <w:bCs/>
        </w:rPr>
        <w:t>法務部</w:t>
      </w:r>
      <w:r w:rsidR="00A454D1">
        <w:rPr>
          <w:rFonts w:hint="eastAsia"/>
        </w:rPr>
        <w:t>應嚴肅依刑事訴訟法規定，辦理案件之偵查起訴，落實無罪推定並維護司法公正審判，</w:t>
      </w:r>
      <w:r w:rsidR="00295BBB">
        <w:rPr>
          <w:rFonts w:hint="eastAsia"/>
          <w:bCs/>
        </w:rPr>
        <w:t>現行</w:t>
      </w:r>
      <w:r w:rsidR="00295BBB">
        <w:rPr>
          <w:rFonts w:hint="eastAsia"/>
        </w:rPr>
        <w:t>檢察官對簡易與協商程序外之一般案件，動輒於起</w:t>
      </w:r>
      <w:r w:rsidR="00295BBB">
        <w:rPr>
          <w:rFonts w:hint="eastAsia"/>
        </w:rPr>
        <w:lastRenderedPageBreak/>
        <w:t>訴時具體求刑</w:t>
      </w:r>
      <w:r w:rsidR="00295BBB">
        <w:rPr>
          <w:rFonts w:hint="eastAsia"/>
          <w:bCs/>
        </w:rPr>
        <w:t>，然</w:t>
      </w:r>
      <w:r w:rsidR="00295BBB">
        <w:rPr>
          <w:rFonts w:hint="eastAsia"/>
        </w:rPr>
        <w:t>具體</w:t>
      </w:r>
      <w:proofErr w:type="gramStart"/>
      <w:r w:rsidR="00295BBB">
        <w:rPr>
          <w:rFonts w:hint="eastAsia"/>
        </w:rPr>
        <w:t>求刑查無</w:t>
      </w:r>
      <w:proofErr w:type="gramEnd"/>
      <w:r w:rsidR="00295BBB">
        <w:rPr>
          <w:rFonts w:hint="eastAsia"/>
        </w:rPr>
        <w:t>法律依據</w:t>
      </w:r>
      <w:r w:rsidR="00295BBB">
        <w:rPr>
          <w:rFonts w:hint="eastAsia"/>
          <w:bCs/>
        </w:rPr>
        <w:t>，</w:t>
      </w:r>
      <w:proofErr w:type="gramStart"/>
      <w:r w:rsidR="00295BBB">
        <w:rPr>
          <w:rFonts w:hint="eastAsia"/>
        </w:rPr>
        <w:t>且亟易形成社會預斷及</w:t>
      </w:r>
      <w:proofErr w:type="gramEnd"/>
      <w:r w:rsidR="00295BBB">
        <w:rPr>
          <w:rFonts w:hint="eastAsia"/>
        </w:rPr>
        <w:t>法官審理壓力，</w:t>
      </w:r>
      <w:proofErr w:type="gramStart"/>
      <w:r>
        <w:rPr>
          <w:rFonts w:hint="eastAsia"/>
          <w:bCs/>
        </w:rPr>
        <w:t>爰</w:t>
      </w:r>
      <w:proofErr w:type="gramEnd"/>
      <w:r>
        <w:rPr>
          <w:rFonts w:hint="eastAsia"/>
          <w:bCs/>
        </w:rPr>
        <w:t>依監察法第</w:t>
      </w:r>
      <w:r w:rsidR="004650CE">
        <w:rPr>
          <w:rFonts w:hint="eastAsia"/>
          <w:bCs/>
        </w:rPr>
        <w:t>二十四</w:t>
      </w:r>
      <w:r>
        <w:rPr>
          <w:rFonts w:hint="eastAsia"/>
          <w:bCs/>
        </w:rPr>
        <w:t>條提案糾正，移送行政院轉</w:t>
      </w:r>
      <w:proofErr w:type="gramStart"/>
      <w:r>
        <w:rPr>
          <w:rFonts w:hint="eastAsia"/>
          <w:bCs/>
        </w:rPr>
        <w:t>飭</w:t>
      </w:r>
      <w:proofErr w:type="gramEnd"/>
      <w:r>
        <w:rPr>
          <w:rFonts w:hint="eastAsia"/>
          <w:bCs/>
        </w:rPr>
        <w:t>所屬確實檢討改善</w:t>
      </w:r>
      <w:proofErr w:type="gramStart"/>
      <w:r>
        <w:rPr>
          <w:rFonts w:hint="eastAsia"/>
          <w:bCs/>
        </w:rPr>
        <w:t>見復。</w:t>
      </w:r>
      <w:bookmarkEnd w:id="49"/>
      <w:bookmarkEnd w:id="50"/>
      <w:bookmarkEnd w:id="51"/>
      <w:bookmarkEnd w:id="52"/>
      <w:proofErr w:type="gramEnd"/>
    </w:p>
    <w:p w:rsidR="00996EC1" w:rsidRDefault="00996EC1" w:rsidP="00996EC1">
      <w:pPr>
        <w:pStyle w:val="11"/>
        <w:ind w:left="680" w:firstLine="680"/>
        <w:rPr>
          <w:bCs/>
        </w:rPr>
      </w:pPr>
    </w:p>
    <w:p w:rsidR="00996EC1" w:rsidRDefault="00996EC1" w:rsidP="00996EC1">
      <w:pPr>
        <w:pStyle w:val="a3"/>
        <w:spacing w:before="0" w:after="0"/>
        <w:ind w:leftChars="1100" w:left="3742"/>
        <w:jc w:val="both"/>
        <w:rPr>
          <w:b w:val="0"/>
          <w:bCs/>
          <w:snapToGrid/>
          <w:spacing w:val="0"/>
          <w:kern w:val="0"/>
          <w:sz w:val="40"/>
        </w:rPr>
      </w:pPr>
    </w:p>
    <w:p w:rsidR="00996EC1" w:rsidRDefault="00996EC1" w:rsidP="00996EC1">
      <w:pPr>
        <w:pStyle w:val="a3"/>
        <w:spacing w:before="0" w:after="0"/>
        <w:ind w:leftChars="1100" w:left="3742" w:firstLineChars="500" w:firstLine="1901"/>
        <w:jc w:val="both"/>
        <w:rPr>
          <w:b w:val="0"/>
          <w:bCs/>
          <w:snapToGrid/>
          <w:spacing w:val="0"/>
          <w:kern w:val="0"/>
        </w:rPr>
      </w:pPr>
    </w:p>
    <w:p w:rsidR="00CE1FAF" w:rsidRDefault="00CE1FAF" w:rsidP="00996EC1">
      <w:pPr>
        <w:pStyle w:val="a3"/>
        <w:spacing w:before="0" w:after="0"/>
        <w:ind w:leftChars="1100" w:left="3742" w:firstLineChars="500" w:firstLine="1901"/>
        <w:jc w:val="both"/>
        <w:rPr>
          <w:b w:val="0"/>
          <w:bCs/>
          <w:snapToGrid/>
          <w:spacing w:val="0"/>
          <w:kern w:val="0"/>
        </w:rPr>
      </w:pPr>
    </w:p>
    <w:p w:rsidR="00996EC1" w:rsidRDefault="00996EC1" w:rsidP="00996EC1">
      <w:pPr>
        <w:pStyle w:val="a3"/>
        <w:spacing w:before="0" w:after="0"/>
        <w:ind w:leftChars="1100" w:left="3742" w:firstLineChars="500" w:firstLine="1901"/>
        <w:jc w:val="both"/>
        <w:rPr>
          <w:b w:val="0"/>
          <w:bCs/>
          <w:snapToGrid/>
          <w:spacing w:val="0"/>
          <w:kern w:val="0"/>
        </w:rPr>
      </w:pPr>
    </w:p>
    <w:p w:rsidR="00996EC1" w:rsidRDefault="00996EC1" w:rsidP="00996EC1">
      <w:pPr>
        <w:pStyle w:val="aa"/>
        <w:rPr>
          <w:bCs/>
        </w:rPr>
      </w:pPr>
    </w:p>
    <w:p w:rsidR="00996EC1" w:rsidRPr="00E603BF" w:rsidRDefault="00996EC1" w:rsidP="00996EC1">
      <w:pPr>
        <w:pStyle w:val="a3"/>
        <w:spacing w:before="0" w:after="0"/>
        <w:ind w:leftChars="1100" w:left="3742" w:firstLineChars="500" w:firstLine="1301"/>
        <w:jc w:val="both"/>
        <w:rPr>
          <w:b w:val="0"/>
          <w:bCs/>
          <w:snapToGrid/>
          <w:spacing w:val="0"/>
          <w:kern w:val="0"/>
          <w:sz w:val="24"/>
          <w:szCs w:val="24"/>
        </w:rPr>
      </w:pPr>
    </w:p>
    <w:p w:rsidR="00996EC1" w:rsidRDefault="00996EC1" w:rsidP="00996EC1">
      <w:pPr>
        <w:pStyle w:val="a3"/>
        <w:spacing w:before="0" w:after="0"/>
        <w:ind w:leftChars="1100" w:left="3742" w:firstLineChars="500" w:firstLine="1901"/>
        <w:jc w:val="both"/>
        <w:rPr>
          <w:b w:val="0"/>
          <w:bCs/>
          <w:snapToGrid/>
          <w:spacing w:val="0"/>
          <w:kern w:val="0"/>
        </w:rPr>
      </w:pPr>
    </w:p>
    <w:p w:rsidR="00996EC1" w:rsidRDefault="00996EC1" w:rsidP="00996EC1">
      <w:pPr>
        <w:pStyle w:val="11"/>
        <w:ind w:left="680" w:firstLine="680"/>
        <w:rPr>
          <w:bCs/>
        </w:rPr>
      </w:pPr>
    </w:p>
    <w:p w:rsidR="00996EC1" w:rsidRDefault="00996EC1" w:rsidP="00996EC1">
      <w:pPr>
        <w:pStyle w:val="11"/>
        <w:ind w:left="680" w:firstLine="680"/>
        <w:rPr>
          <w:bCs/>
        </w:rPr>
      </w:pPr>
    </w:p>
    <w:p w:rsidR="00996EC1" w:rsidRDefault="00996EC1" w:rsidP="00996EC1">
      <w:pPr>
        <w:pStyle w:val="11"/>
        <w:ind w:left="680" w:firstLine="680"/>
        <w:rPr>
          <w:bCs/>
        </w:rPr>
      </w:pPr>
    </w:p>
    <w:p w:rsidR="00996EC1" w:rsidRDefault="00996EC1" w:rsidP="00996EC1">
      <w:pPr>
        <w:pStyle w:val="11"/>
        <w:ind w:left="680" w:firstLine="680"/>
        <w:rPr>
          <w:bCs/>
        </w:rPr>
      </w:pPr>
    </w:p>
    <w:p w:rsidR="00996EC1" w:rsidRDefault="00996EC1" w:rsidP="00996EC1">
      <w:pPr>
        <w:pStyle w:val="11"/>
        <w:ind w:left="680" w:firstLine="680"/>
        <w:rPr>
          <w:bCs/>
        </w:rPr>
      </w:pPr>
    </w:p>
    <w:p w:rsidR="00996EC1" w:rsidRDefault="00996EC1" w:rsidP="00996EC1">
      <w:pPr>
        <w:pStyle w:val="11"/>
        <w:ind w:left="680" w:firstLine="680"/>
        <w:rPr>
          <w:bCs/>
        </w:rPr>
      </w:pPr>
    </w:p>
    <w:bookmarkEnd w:id="53"/>
    <w:bookmarkEnd w:id="54"/>
    <w:bookmarkEnd w:id="55"/>
    <w:bookmarkEnd w:id="56"/>
    <w:bookmarkEnd w:id="57"/>
    <w:bookmarkEnd w:id="58"/>
    <w:bookmarkEnd w:id="59"/>
    <w:bookmarkEnd w:id="60"/>
    <w:bookmarkEnd w:id="61"/>
    <w:bookmarkEnd w:id="62"/>
    <w:p w:rsidR="00996EC1" w:rsidRDefault="00996EC1" w:rsidP="00996EC1">
      <w:pPr>
        <w:jc w:val="distribute"/>
        <w:rPr>
          <w:kern w:val="0"/>
        </w:rPr>
      </w:pPr>
    </w:p>
    <w:p w:rsidR="00584E45" w:rsidRPr="00996EC1" w:rsidRDefault="00584E45"/>
    <w:sectPr w:rsidR="00584E45" w:rsidRPr="00996EC1" w:rsidSect="00227CF7">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480" w:rsidRDefault="00BF4480">
      <w:r>
        <w:separator/>
      </w:r>
    </w:p>
  </w:endnote>
  <w:endnote w:type="continuationSeparator" w:id="0">
    <w:p w:rsidR="00BF4480" w:rsidRDefault="00BF448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AF" w:rsidRDefault="00227CF7">
    <w:pPr>
      <w:framePr w:wrap="around" w:vAnchor="text" w:hAnchor="margin" w:xAlign="center" w:y="1"/>
      <w:ind w:left="640" w:firstLine="400"/>
      <w:textDirection w:val="btLr"/>
      <w:rPr>
        <w:rStyle w:val="a7"/>
      </w:rPr>
    </w:pPr>
    <w:r>
      <w:rPr>
        <w:rStyle w:val="a7"/>
      </w:rPr>
      <w:fldChar w:fldCharType="begin"/>
    </w:r>
    <w:r w:rsidR="00CE1FAF">
      <w:rPr>
        <w:rStyle w:val="a7"/>
      </w:rPr>
      <w:instrText xml:space="preserve">PAGE  </w:instrText>
    </w:r>
    <w:r>
      <w:rPr>
        <w:rStyle w:val="a7"/>
      </w:rPr>
      <w:fldChar w:fldCharType="separate"/>
    </w:r>
    <w:r w:rsidR="00CE1FAF">
      <w:rPr>
        <w:rStyle w:val="a7"/>
        <w:noProof/>
      </w:rPr>
      <w:t>3</w:t>
    </w:r>
    <w:r>
      <w:rPr>
        <w:rStyle w:val="a7"/>
      </w:rPr>
      <w:fldChar w:fldCharType="end"/>
    </w:r>
  </w:p>
  <w:p w:rsidR="00CE1FAF" w:rsidRDefault="00CE1FAF">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AF" w:rsidRDefault="00227CF7">
    <w:pPr>
      <w:pStyle w:val="a8"/>
      <w:framePr w:wrap="around" w:vAnchor="text" w:hAnchor="margin" w:xAlign="center" w:y="1"/>
      <w:rPr>
        <w:rStyle w:val="a7"/>
        <w:sz w:val="24"/>
      </w:rPr>
    </w:pPr>
    <w:r>
      <w:rPr>
        <w:rStyle w:val="a7"/>
        <w:sz w:val="24"/>
      </w:rPr>
      <w:fldChar w:fldCharType="begin"/>
    </w:r>
    <w:r w:rsidR="00CE1FAF">
      <w:rPr>
        <w:rStyle w:val="a7"/>
        <w:sz w:val="24"/>
      </w:rPr>
      <w:instrText xml:space="preserve">PAGE  </w:instrText>
    </w:r>
    <w:r>
      <w:rPr>
        <w:rStyle w:val="a7"/>
        <w:sz w:val="24"/>
      </w:rPr>
      <w:fldChar w:fldCharType="separate"/>
    </w:r>
    <w:r w:rsidR="00966DDC">
      <w:rPr>
        <w:rStyle w:val="a7"/>
        <w:noProof/>
        <w:sz w:val="24"/>
      </w:rPr>
      <w:t>4</w:t>
    </w:r>
    <w:r>
      <w:rPr>
        <w:rStyle w:val="a7"/>
        <w:sz w:val="24"/>
      </w:rPr>
      <w:fldChar w:fldCharType="end"/>
    </w:r>
  </w:p>
  <w:p w:rsidR="00CE1FAF" w:rsidRDefault="00CE1FAF">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480" w:rsidRDefault="00BF4480">
      <w:r>
        <w:separator/>
      </w:r>
    </w:p>
  </w:footnote>
  <w:footnote w:type="continuationSeparator" w:id="0">
    <w:p w:rsidR="00BF4480" w:rsidRDefault="00BF4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6EC1"/>
    <w:rsid w:val="0000761B"/>
    <w:rsid w:val="000179C6"/>
    <w:rsid w:val="00046827"/>
    <w:rsid w:val="00052EF6"/>
    <w:rsid w:val="00084809"/>
    <w:rsid w:val="000F0705"/>
    <w:rsid w:val="00144128"/>
    <w:rsid w:val="00227CF7"/>
    <w:rsid w:val="00231C2B"/>
    <w:rsid w:val="00240723"/>
    <w:rsid w:val="00273E2F"/>
    <w:rsid w:val="002852D7"/>
    <w:rsid w:val="00295BBB"/>
    <w:rsid w:val="00312AB1"/>
    <w:rsid w:val="00316BCB"/>
    <w:rsid w:val="003414C7"/>
    <w:rsid w:val="003572E7"/>
    <w:rsid w:val="00403DFB"/>
    <w:rsid w:val="00415ABF"/>
    <w:rsid w:val="00433355"/>
    <w:rsid w:val="004650CE"/>
    <w:rsid w:val="004A4974"/>
    <w:rsid w:val="004C05A4"/>
    <w:rsid w:val="004E39BB"/>
    <w:rsid w:val="004F4231"/>
    <w:rsid w:val="00514017"/>
    <w:rsid w:val="005462BF"/>
    <w:rsid w:val="00584E45"/>
    <w:rsid w:val="00585BCE"/>
    <w:rsid w:val="00587FF8"/>
    <w:rsid w:val="00604D76"/>
    <w:rsid w:val="00606724"/>
    <w:rsid w:val="00617C81"/>
    <w:rsid w:val="00653A75"/>
    <w:rsid w:val="00700919"/>
    <w:rsid w:val="0070348C"/>
    <w:rsid w:val="0072473E"/>
    <w:rsid w:val="00745715"/>
    <w:rsid w:val="00804AC5"/>
    <w:rsid w:val="0083566A"/>
    <w:rsid w:val="00841897"/>
    <w:rsid w:val="008625E1"/>
    <w:rsid w:val="00866F93"/>
    <w:rsid w:val="0088105C"/>
    <w:rsid w:val="008C1E11"/>
    <w:rsid w:val="008D4FB1"/>
    <w:rsid w:val="008D7522"/>
    <w:rsid w:val="009431EF"/>
    <w:rsid w:val="00966DDC"/>
    <w:rsid w:val="00996EC1"/>
    <w:rsid w:val="009A2725"/>
    <w:rsid w:val="00A3247C"/>
    <w:rsid w:val="00A454D1"/>
    <w:rsid w:val="00A85892"/>
    <w:rsid w:val="00A97687"/>
    <w:rsid w:val="00AD4A89"/>
    <w:rsid w:val="00AE17CB"/>
    <w:rsid w:val="00B07997"/>
    <w:rsid w:val="00B71747"/>
    <w:rsid w:val="00B772AC"/>
    <w:rsid w:val="00BA5E36"/>
    <w:rsid w:val="00BB08D4"/>
    <w:rsid w:val="00BC5FBF"/>
    <w:rsid w:val="00BF4480"/>
    <w:rsid w:val="00C324E9"/>
    <w:rsid w:val="00C6629F"/>
    <w:rsid w:val="00C81C3E"/>
    <w:rsid w:val="00CC7C31"/>
    <w:rsid w:val="00CE1FAF"/>
    <w:rsid w:val="00D01812"/>
    <w:rsid w:val="00D3282C"/>
    <w:rsid w:val="00D60584"/>
    <w:rsid w:val="00D64C98"/>
    <w:rsid w:val="00DA1F50"/>
    <w:rsid w:val="00DF5713"/>
    <w:rsid w:val="00E734F6"/>
    <w:rsid w:val="00E967D9"/>
    <w:rsid w:val="00EA3659"/>
    <w:rsid w:val="00ED367E"/>
    <w:rsid w:val="00F10E63"/>
    <w:rsid w:val="00F2457D"/>
    <w:rsid w:val="00F9250C"/>
    <w:rsid w:val="00FD3A90"/>
    <w:rsid w:val="00FE79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EC1"/>
    <w:pPr>
      <w:widowControl w:val="0"/>
    </w:pPr>
    <w:rPr>
      <w:rFonts w:ascii="Times New Roman" w:eastAsia="標楷體" w:hAnsi="Times New Roman"/>
      <w:kern w:val="2"/>
      <w:sz w:val="32"/>
    </w:rPr>
  </w:style>
  <w:style w:type="paragraph" w:styleId="1">
    <w:name w:val="heading 1"/>
    <w:basedOn w:val="a"/>
    <w:link w:val="10"/>
    <w:qFormat/>
    <w:rsid w:val="00996EC1"/>
    <w:pPr>
      <w:numPr>
        <w:numId w:val="1"/>
      </w:numPr>
      <w:kinsoku w:val="0"/>
      <w:ind w:left="800" w:hangingChars="800" w:hanging="800"/>
      <w:jc w:val="both"/>
      <w:outlineLvl w:val="0"/>
    </w:pPr>
    <w:rPr>
      <w:rFonts w:ascii="標楷體" w:hAnsi="Arial"/>
      <w:bCs/>
      <w:kern w:val="0"/>
      <w:szCs w:val="52"/>
    </w:rPr>
  </w:style>
  <w:style w:type="paragraph" w:styleId="2">
    <w:name w:val="heading 2"/>
    <w:basedOn w:val="a"/>
    <w:link w:val="20"/>
    <w:qFormat/>
    <w:rsid w:val="00996EC1"/>
    <w:pPr>
      <w:numPr>
        <w:ilvl w:val="1"/>
        <w:numId w:val="1"/>
      </w:numPr>
      <w:jc w:val="both"/>
      <w:outlineLvl w:val="1"/>
    </w:pPr>
    <w:rPr>
      <w:rFonts w:ascii="標楷體" w:hAnsi="Arial"/>
      <w:bCs/>
      <w:kern w:val="0"/>
      <w:szCs w:val="48"/>
    </w:rPr>
  </w:style>
  <w:style w:type="paragraph" w:styleId="3">
    <w:name w:val="heading 3"/>
    <w:basedOn w:val="a"/>
    <w:link w:val="30"/>
    <w:qFormat/>
    <w:rsid w:val="00996EC1"/>
    <w:pPr>
      <w:numPr>
        <w:ilvl w:val="2"/>
        <w:numId w:val="1"/>
      </w:numPr>
      <w:jc w:val="both"/>
      <w:outlineLvl w:val="2"/>
    </w:pPr>
    <w:rPr>
      <w:rFonts w:ascii="標楷體" w:hAnsi="Arial"/>
      <w:bCs/>
      <w:kern w:val="0"/>
      <w:szCs w:val="36"/>
    </w:rPr>
  </w:style>
  <w:style w:type="paragraph" w:styleId="4">
    <w:name w:val="heading 4"/>
    <w:basedOn w:val="a"/>
    <w:link w:val="40"/>
    <w:qFormat/>
    <w:rsid w:val="00996EC1"/>
    <w:pPr>
      <w:numPr>
        <w:ilvl w:val="3"/>
        <w:numId w:val="1"/>
      </w:numPr>
      <w:jc w:val="both"/>
      <w:outlineLvl w:val="3"/>
    </w:pPr>
    <w:rPr>
      <w:rFonts w:ascii="標楷體" w:hAnsi="Arial"/>
      <w:szCs w:val="36"/>
    </w:rPr>
  </w:style>
  <w:style w:type="paragraph" w:styleId="5">
    <w:name w:val="heading 5"/>
    <w:basedOn w:val="a"/>
    <w:link w:val="50"/>
    <w:qFormat/>
    <w:rsid w:val="00996EC1"/>
    <w:pPr>
      <w:numPr>
        <w:ilvl w:val="4"/>
        <w:numId w:val="1"/>
      </w:numPr>
      <w:jc w:val="both"/>
      <w:outlineLvl w:val="4"/>
    </w:pPr>
    <w:rPr>
      <w:rFonts w:ascii="標楷體" w:hAnsi="Arial"/>
      <w:bCs/>
      <w:szCs w:val="36"/>
    </w:rPr>
  </w:style>
  <w:style w:type="paragraph" w:styleId="6">
    <w:name w:val="heading 6"/>
    <w:basedOn w:val="a"/>
    <w:link w:val="60"/>
    <w:qFormat/>
    <w:rsid w:val="00996EC1"/>
    <w:pPr>
      <w:numPr>
        <w:ilvl w:val="5"/>
        <w:numId w:val="1"/>
      </w:numPr>
      <w:tabs>
        <w:tab w:val="left" w:pos="2094"/>
      </w:tabs>
      <w:jc w:val="both"/>
      <w:outlineLvl w:val="5"/>
    </w:pPr>
    <w:rPr>
      <w:rFonts w:ascii="標楷體" w:hAnsi="Arial"/>
      <w:szCs w:val="36"/>
    </w:rPr>
  </w:style>
  <w:style w:type="paragraph" w:styleId="7">
    <w:name w:val="heading 7"/>
    <w:basedOn w:val="a"/>
    <w:link w:val="70"/>
    <w:qFormat/>
    <w:rsid w:val="00996EC1"/>
    <w:pPr>
      <w:numPr>
        <w:ilvl w:val="6"/>
        <w:numId w:val="1"/>
      </w:numPr>
      <w:jc w:val="both"/>
      <w:outlineLvl w:val="6"/>
    </w:pPr>
    <w:rPr>
      <w:rFonts w:ascii="標楷體" w:hAnsi="Arial"/>
      <w:bCs/>
      <w:szCs w:val="36"/>
    </w:rPr>
  </w:style>
  <w:style w:type="paragraph" w:styleId="8">
    <w:name w:val="heading 8"/>
    <w:basedOn w:val="a"/>
    <w:link w:val="80"/>
    <w:qFormat/>
    <w:rsid w:val="00996EC1"/>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96EC1"/>
    <w:rPr>
      <w:rFonts w:ascii="標楷體" w:eastAsia="標楷體" w:hAnsi="Arial" w:cs="Times New Roman"/>
      <w:bCs/>
      <w:kern w:val="0"/>
      <w:sz w:val="32"/>
      <w:szCs w:val="52"/>
    </w:rPr>
  </w:style>
  <w:style w:type="character" w:customStyle="1" w:styleId="20">
    <w:name w:val="標題 2 字元"/>
    <w:basedOn w:val="a0"/>
    <w:link w:val="2"/>
    <w:rsid w:val="00996EC1"/>
    <w:rPr>
      <w:rFonts w:ascii="標楷體" w:eastAsia="標楷體" w:hAnsi="Arial" w:cs="Times New Roman"/>
      <w:bCs/>
      <w:kern w:val="0"/>
      <w:sz w:val="32"/>
      <w:szCs w:val="48"/>
    </w:rPr>
  </w:style>
  <w:style w:type="character" w:customStyle="1" w:styleId="30">
    <w:name w:val="標題 3 字元"/>
    <w:basedOn w:val="a0"/>
    <w:link w:val="3"/>
    <w:rsid w:val="00996EC1"/>
    <w:rPr>
      <w:rFonts w:ascii="標楷體" w:eastAsia="標楷體" w:hAnsi="Arial" w:cs="Times New Roman"/>
      <w:bCs/>
      <w:kern w:val="0"/>
      <w:sz w:val="32"/>
      <w:szCs w:val="36"/>
    </w:rPr>
  </w:style>
  <w:style w:type="character" w:customStyle="1" w:styleId="40">
    <w:name w:val="標題 4 字元"/>
    <w:basedOn w:val="a0"/>
    <w:link w:val="4"/>
    <w:rsid w:val="00996EC1"/>
    <w:rPr>
      <w:rFonts w:ascii="標楷體" w:eastAsia="標楷體" w:hAnsi="Arial" w:cs="Times New Roman"/>
      <w:sz w:val="32"/>
      <w:szCs w:val="36"/>
    </w:rPr>
  </w:style>
  <w:style w:type="character" w:customStyle="1" w:styleId="50">
    <w:name w:val="標題 5 字元"/>
    <w:basedOn w:val="a0"/>
    <w:link w:val="5"/>
    <w:rsid w:val="00996EC1"/>
    <w:rPr>
      <w:rFonts w:ascii="標楷體" w:eastAsia="標楷體" w:hAnsi="Arial" w:cs="Times New Roman"/>
      <w:bCs/>
      <w:sz w:val="32"/>
      <w:szCs w:val="36"/>
    </w:rPr>
  </w:style>
  <w:style w:type="character" w:customStyle="1" w:styleId="60">
    <w:name w:val="標題 6 字元"/>
    <w:basedOn w:val="a0"/>
    <w:link w:val="6"/>
    <w:rsid w:val="00996EC1"/>
    <w:rPr>
      <w:rFonts w:ascii="標楷體" w:eastAsia="標楷體" w:hAnsi="Arial" w:cs="Times New Roman"/>
      <w:sz w:val="32"/>
      <w:szCs w:val="36"/>
    </w:rPr>
  </w:style>
  <w:style w:type="character" w:customStyle="1" w:styleId="70">
    <w:name w:val="標題 7 字元"/>
    <w:basedOn w:val="a0"/>
    <w:link w:val="7"/>
    <w:rsid w:val="00996EC1"/>
    <w:rPr>
      <w:rFonts w:ascii="標楷體" w:eastAsia="標楷體" w:hAnsi="Arial" w:cs="Times New Roman"/>
      <w:bCs/>
      <w:sz w:val="32"/>
      <w:szCs w:val="36"/>
    </w:rPr>
  </w:style>
  <w:style w:type="character" w:customStyle="1" w:styleId="80">
    <w:name w:val="標題 8 字元"/>
    <w:basedOn w:val="a0"/>
    <w:link w:val="8"/>
    <w:rsid w:val="00996EC1"/>
    <w:rPr>
      <w:rFonts w:ascii="標楷體" w:eastAsia="標楷體" w:hAnsi="Arial" w:cs="Times New Roman"/>
      <w:sz w:val="32"/>
      <w:szCs w:val="36"/>
    </w:rPr>
  </w:style>
  <w:style w:type="paragraph" w:styleId="a3">
    <w:name w:val="Signature"/>
    <w:basedOn w:val="a"/>
    <w:link w:val="a4"/>
    <w:semiHidden/>
    <w:rsid w:val="00996EC1"/>
    <w:pPr>
      <w:spacing w:before="720" w:after="720"/>
      <w:ind w:left="7371"/>
    </w:pPr>
    <w:rPr>
      <w:rFonts w:ascii="標楷體"/>
      <w:b/>
      <w:snapToGrid w:val="0"/>
      <w:spacing w:val="10"/>
      <w:sz w:val="36"/>
    </w:rPr>
  </w:style>
  <w:style w:type="character" w:customStyle="1" w:styleId="a4">
    <w:name w:val="簽名 字元"/>
    <w:basedOn w:val="a0"/>
    <w:link w:val="a3"/>
    <w:semiHidden/>
    <w:rsid w:val="00996EC1"/>
    <w:rPr>
      <w:rFonts w:ascii="標楷體" w:eastAsia="標楷體" w:hAnsi="Times New Roman" w:cs="Times New Roman"/>
      <w:b/>
      <w:snapToGrid w:val="0"/>
      <w:spacing w:val="10"/>
      <w:sz w:val="36"/>
      <w:szCs w:val="20"/>
    </w:rPr>
  </w:style>
  <w:style w:type="paragraph" w:styleId="a5">
    <w:name w:val="endnote text"/>
    <w:basedOn w:val="a"/>
    <w:link w:val="a6"/>
    <w:semiHidden/>
    <w:rsid w:val="00996EC1"/>
    <w:pPr>
      <w:spacing w:before="240"/>
      <w:ind w:left="1021" w:hanging="1021"/>
      <w:jc w:val="both"/>
    </w:pPr>
    <w:rPr>
      <w:rFonts w:ascii="標楷體"/>
      <w:snapToGrid w:val="0"/>
      <w:spacing w:val="10"/>
    </w:rPr>
  </w:style>
  <w:style w:type="character" w:customStyle="1" w:styleId="a6">
    <w:name w:val="章節附註文字 字元"/>
    <w:basedOn w:val="a0"/>
    <w:link w:val="a5"/>
    <w:semiHidden/>
    <w:rsid w:val="00996EC1"/>
    <w:rPr>
      <w:rFonts w:ascii="標楷體" w:eastAsia="標楷體" w:hAnsi="Times New Roman" w:cs="Times New Roman"/>
      <w:snapToGrid w:val="0"/>
      <w:spacing w:val="10"/>
      <w:sz w:val="32"/>
      <w:szCs w:val="20"/>
    </w:rPr>
  </w:style>
  <w:style w:type="character" w:styleId="a7">
    <w:name w:val="page number"/>
    <w:basedOn w:val="a0"/>
    <w:semiHidden/>
    <w:rsid w:val="00996EC1"/>
    <w:rPr>
      <w:rFonts w:ascii="標楷體" w:eastAsia="標楷體"/>
      <w:sz w:val="20"/>
    </w:rPr>
  </w:style>
  <w:style w:type="paragraph" w:customStyle="1" w:styleId="11">
    <w:name w:val="段落樣式1"/>
    <w:basedOn w:val="a"/>
    <w:rsid w:val="00996EC1"/>
    <w:pPr>
      <w:tabs>
        <w:tab w:val="left" w:pos="567"/>
      </w:tabs>
      <w:kinsoku w:val="0"/>
      <w:ind w:leftChars="200" w:left="200" w:firstLineChars="200" w:firstLine="200"/>
      <w:jc w:val="both"/>
    </w:pPr>
    <w:rPr>
      <w:rFonts w:ascii="標楷體"/>
      <w:kern w:val="0"/>
    </w:rPr>
  </w:style>
  <w:style w:type="paragraph" w:styleId="a8">
    <w:name w:val="footer"/>
    <w:basedOn w:val="a"/>
    <w:link w:val="a9"/>
    <w:semiHidden/>
    <w:rsid w:val="00996EC1"/>
    <w:pPr>
      <w:tabs>
        <w:tab w:val="center" w:pos="4153"/>
        <w:tab w:val="right" w:pos="8306"/>
      </w:tabs>
      <w:snapToGrid w:val="0"/>
    </w:pPr>
    <w:rPr>
      <w:sz w:val="20"/>
    </w:rPr>
  </w:style>
  <w:style w:type="character" w:customStyle="1" w:styleId="a9">
    <w:name w:val="頁尾 字元"/>
    <w:basedOn w:val="a0"/>
    <w:link w:val="a8"/>
    <w:semiHidden/>
    <w:rsid w:val="00996EC1"/>
    <w:rPr>
      <w:rFonts w:ascii="Times New Roman" w:eastAsia="標楷體" w:hAnsi="Times New Roman" w:cs="Times New Roman"/>
      <w:sz w:val="20"/>
      <w:szCs w:val="20"/>
    </w:rPr>
  </w:style>
  <w:style w:type="paragraph" w:customStyle="1" w:styleId="aa">
    <w:name w:val="簽名日期"/>
    <w:basedOn w:val="a"/>
    <w:rsid w:val="00996EC1"/>
    <w:pPr>
      <w:kinsoku w:val="0"/>
      <w:jc w:val="distribute"/>
    </w:pPr>
    <w:rPr>
      <w:kern w:val="0"/>
    </w:rPr>
  </w:style>
  <w:style w:type="paragraph" w:styleId="ab">
    <w:name w:val="header"/>
    <w:basedOn w:val="a"/>
    <w:link w:val="ac"/>
    <w:uiPriority w:val="99"/>
    <w:semiHidden/>
    <w:unhideWhenUsed/>
    <w:rsid w:val="004650CE"/>
    <w:pPr>
      <w:tabs>
        <w:tab w:val="center" w:pos="4153"/>
        <w:tab w:val="right" w:pos="8306"/>
      </w:tabs>
      <w:snapToGrid w:val="0"/>
    </w:pPr>
    <w:rPr>
      <w:sz w:val="20"/>
    </w:rPr>
  </w:style>
  <w:style w:type="character" w:customStyle="1" w:styleId="ac">
    <w:name w:val="頁首 字元"/>
    <w:basedOn w:val="a0"/>
    <w:link w:val="ab"/>
    <w:uiPriority w:val="99"/>
    <w:semiHidden/>
    <w:rsid w:val="004650CE"/>
    <w:rPr>
      <w:rFonts w:ascii="Times New Roman" w:eastAsia="標楷體" w:hAnsi="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377</Words>
  <Characters>2155</Characters>
  <Application>Microsoft Office Word</Application>
  <DocSecurity>0</DocSecurity>
  <Lines>17</Lines>
  <Paragraphs>5</Paragraphs>
  <ScaleCrop>false</ScaleCrop>
  <Company>Hewlett-Packard Company</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2012-05-09T06:40:00Z</cp:lastPrinted>
  <dcterms:created xsi:type="dcterms:W3CDTF">2012-05-02T08:44:00Z</dcterms:created>
  <dcterms:modified xsi:type="dcterms:W3CDTF">2012-05-09T06:43:00Z</dcterms:modified>
</cp:coreProperties>
</file>