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622" w:rsidRDefault="00042520">
      <w:pPr>
        <w:pStyle w:val="af3"/>
        <w:rPr>
          <w:rFonts w:hAnsi="標楷體"/>
        </w:rPr>
      </w:pPr>
      <w:r>
        <w:rPr>
          <w:rFonts w:hAnsi="標楷體" w:hint="eastAsia"/>
        </w:rPr>
        <w:t>調查報告</w:t>
      </w:r>
    </w:p>
    <w:p w:rsidR="00DB7622" w:rsidRDefault="00042520">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Ansi="標楷體"/>
        </w:rPr>
        <w:t>我國部分公開發行公司屬能源密集及主要耗能產業，惟尚毋須強制揭露溫室氣體排放盤查資訊，亟待金融監督管理委員會儘速</w:t>
      </w:r>
      <w:proofErr w:type="gramStart"/>
      <w:r>
        <w:rPr>
          <w:rFonts w:hAnsi="標楷體"/>
        </w:rPr>
        <w:t>研</w:t>
      </w:r>
      <w:proofErr w:type="gramEnd"/>
      <w:r>
        <w:rPr>
          <w:rFonts w:hAnsi="標楷體"/>
        </w:rPr>
        <w:t>議相關揭露規範與後續推動時程</w:t>
      </w:r>
      <w:r>
        <w:rPr>
          <w:rFonts w:hAnsi="標楷體" w:hint="eastAsia"/>
        </w:rPr>
        <w:t>；又</w:t>
      </w:r>
      <w:proofErr w:type="gramStart"/>
      <w:r>
        <w:rPr>
          <w:rFonts w:hAnsi="標楷體" w:hint="eastAsia"/>
        </w:rPr>
        <w:t>環境部就溫室</w:t>
      </w:r>
      <w:proofErr w:type="gramEnd"/>
      <w:r>
        <w:rPr>
          <w:rFonts w:hAnsi="標楷體" w:hint="eastAsia"/>
        </w:rPr>
        <w:t>氣體盤查、碳定價與交易制度、法規之規劃、</w:t>
      </w:r>
      <w:proofErr w:type="gramStart"/>
      <w:r>
        <w:rPr>
          <w:rFonts w:hAnsi="標楷體" w:hint="eastAsia"/>
        </w:rPr>
        <w:t>研</w:t>
      </w:r>
      <w:proofErr w:type="gramEnd"/>
      <w:r>
        <w:rPr>
          <w:rFonts w:hAnsi="標楷體" w:hint="eastAsia"/>
        </w:rPr>
        <w:t>擬、推動及執行等辦理進度及實際情形</w:t>
      </w:r>
      <w:proofErr w:type="gramStart"/>
      <w:r>
        <w:rPr>
          <w:rFonts w:hAnsi="標楷體"/>
        </w:rPr>
        <w:t>等情案</w:t>
      </w:r>
      <w:proofErr w:type="gramEnd"/>
      <w:r>
        <w:rPr>
          <w:rFonts w:hAnsi="標楷體"/>
        </w:rPr>
        <w:t>。</w:t>
      </w:r>
    </w:p>
    <w:p w:rsidR="00DB7622" w:rsidRPr="00BB5FD1" w:rsidRDefault="00042520" w:rsidP="00BB5FD1">
      <w:pPr>
        <w:pStyle w:val="1"/>
        <w:rPr>
          <w:rFonts w:hAnsi="標楷體"/>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4902730"/>
      <w:bookmarkStart w:id="40" w:name="_Toc421794873"/>
      <w:bookmarkStart w:id="41" w:name="_Toc422834158"/>
      <w:r w:rsidRPr="00BB5FD1">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DB7622" w:rsidRDefault="00042520">
      <w:pPr>
        <w:pStyle w:val="11"/>
        <w:ind w:left="680" w:firstLine="680"/>
        <w:rPr>
          <w:rFonts w:hAnsi="標楷體"/>
        </w:rPr>
      </w:pPr>
      <w:r>
        <w:rPr>
          <w:rFonts w:hAnsi="標楷體"/>
        </w:rPr>
        <w:t>我國部分公開發行公司屬能源密集及主要耗能產業，惟尚毋須強制揭露溫室氣體排放盤查資訊，亟待金融監督管理委員會</w:t>
      </w:r>
      <w:r>
        <w:rPr>
          <w:rFonts w:hAnsi="標楷體" w:hint="eastAsia"/>
        </w:rPr>
        <w:t>(下稱金管會)</w:t>
      </w:r>
      <w:r>
        <w:rPr>
          <w:rFonts w:hAnsi="標楷體"/>
        </w:rPr>
        <w:t>儘速</w:t>
      </w:r>
      <w:proofErr w:type="gramStart"/>
      <w:r>
        <w:rPr>
          <w:rFonts w:hAnsi="標楷體"/>
        </w:rPr>
        <w:t>研</w:t>
      </w:r>
      <w:proofErr w:type="gramEnd"/>
      <w:r>
        <w:rPr>
          <w:rFonts w:hAnsi="標楷體"/>
        </w:rPr>
        <w:t>議相關揭露規範與後續推動時程</w:t>
      </w:r>
      <w:r>
        <w:rPr>
          <w:rFonts w:hAnsi="標楷體" w:hint="eastAsia"/>
        </w:rPr>
        <w:t>；又</w:t>
      </w:r>
      <w:proofErr w:type="gramStart"/>
      <w:r>
        <w:rPr>
          <w:rFonts w:hAnsi="標楷體" w:hint="eastAsia"/>
        </w:rPr>
        <w:t>環境部就溫室</w:t>
      </w:r>
      <w:proofErr w:type="gramEnd"/>
      <w:r>
        <w:rPr>
          <w:rFonts w:hAnsi="標楷體" w:hint="eastAsia"/>
        </w:rPr>
        <w:t>氣體盤查、</w:t>
      </w:r>
      <w:proofErr w:type="gramStart"/>
      <w:r>
        <w:rPr>
          <w:rFonts w:hAnsi="標楷體" w:hint="eastAsia"/>
          <w:szCs w:val="52"/>
        </w:rPr>
        <w:t>碳費徵</w:t>
      </w:r>
      <w:proofErr w:type="gramEnd"/>
      <w:r>
        <w:rPr>
          <w:rFonts w:hAnsi="標楷體" w:hint="eastAsia"/>
          <w:szCs w:val="52"/>
        </w:rPr>
        <w:t>收</w:t>
      </w:r>
      <w:r>
        <w:rPr>
          <w:rFonts w:hAnsi="標楷體" w:hint="eastAsia"/>
        </w:rPr>
        <w:t>、碳定價與交易制度、法規之規劃、研擬、推動及執行等辦理進度及實際情形</w:t>
      </w:r>
      <w:proofErr w:type="gramStart"/>
      <w:r>
        <w:rPr>
          <w:rFonts w:hAnsi="標楷體"/>
        </w:rPr>
        <w:t>等情</w:t>
      </w:r>
      <w:proofErr w:type="gramEnd"/>
      <w:r>
        <w:rPr>
          <w:rFonts w:hAnsi="標楷體" w:hint="eastAsia"/>
        </w:rPr>
        <w:t>案，經本院函請環境部、金管會及</w:t>
      </w:r>
      <w:proofErr w:type="gramStart"/>
      <w:r>
        <w:rPr>
          <w:rFonts w:hAnsi="標楷體" w:hint="eastAsia"/>
        </w:rPr>
        <w:t>審計部等機</w:t>
      </w:r>
      <w:proofErr w:type="gramEnd"/>
      <w:r>
        <w:rPr>
          <w:rFonts w:hAnsi="標楷體" w:hint="eastAsia"/>
        </w:rPr>
        <w:t>關到院簡報說明並提供相關卷證資料，嗣</w:t>
      </w:r>
      <w:r>
        <w:rPr>
          <w:rFonts w:hAnsi="標楷體"/>
        </w:rPr>
        <w:t>於</w:t>
      </w:r>
      <w:r>
        <w:rPr>
          <w:rFonts w:hAnsi="標楷體" w:hint="eastAsia"/>
        </w:rPr>
        <w:t>民國(下同)</w:t>
      </w:r>
      <w:r>
        <w:rPr>
          <w:rFonts w:hAnsi="標楷體"/>
        </w:rPr>
        <w:t>113年1月23日</w:t>
      </w:r>
      <w:r>
        <w:rPr>
          <w:rFonts w:hAnsi="標楷體" w:hint="eastAsia"/>
        </w:rPr>
        <w:t>諮詢</w:t>
      </w:r>
      <w:r>
        <w:rPr>
          <w:rFonts w:hAnsi="標楷體"/>
        </w:rPr>
        <w:t>國立臺北大學金融與合作經營學系黃啟瑞教授、國立臺灣大學環境工程學研究所劉銘龍教授、國立臺北大學自然資源與環境管理研究所李堅明教授</w:t>
      </w:r>
      <w:r>
        <w:rPr>
          <w:rFonts w:hAnsi="標楷體" w:hint="eastAsia"/>
        </w:rPr>
        <w:t>，</w:t>
      </w:r>
      <w:r>
        <w:rPr>
          <w:rFonts w:hAnsi="標楷體"/>
        </w:rPr>
        <w:t>及同年2月1日</w:t>
      </w:r>
      <w:r>
        <w:rPr>
          <w:rFonts w:hAnsi="標楷體" w:hint="eastAsia"/>
        </w:rPr>
        <w:t>諮詢</w:t>
      </w:r>
      <w:r>
        <w:rPr>
          <w:rFonts w:hAnsi="標楷體"/>
        </w:rPr>
        <w:t>國立臺灣大學國家發展研究所周桂田教授、國立中央大學大氣科學學系彭啟明教授</w:t>
      </w:r>
      <w:r>
        <w:rPr>
          <w:rStyle w:val="aff8"/>
          <w:rFonts w:hAnsi="標楷體"/>
        </w:rPr>
        <w:footnoteReference w:id="1"/>
      </w:r>
      <w:r>
        <w:rPr>
          <w:rFonts w:hAnsi="標楷體"/>
        </w:rPr>
        <w:t>、</w:t>
      </w:r>
      <w:r>
        <w:rPr>
          <w:rFonts w:hAnsi="標楷體" w:hint="eastAsia"/>
        </w:rPr>
        <w:t>國立</w:t>
      </w:r>
      <w:r>
        <w:rPr>
          <w:rFonts w:hAnsi="標楷體"/>
        </w:rPr>
        <w:t>臺灣師範大學永續管理與環境教育研究所葉欣誠教授等</w:t>
      </w:r>
      <w:r>
        <w:rPr>
          <w:rFonts w:hAnsi="標楷體" w:hint="eastAsia"/>
        </w:rPr>
        <w:t>提供專業意見。</w:t>
      </w:r>
      <w:proofErr w:type="gramStart"/>
      <w:r>
        <w:rPr>
          <w:rFonts w:hAnsi="標楷體" w:hint="eastAsia"/>
        </w:rPr>
        <w:t>本院復於</w:t>
      </w:r>
      <w:proofErr w:type="gramEnd"/>
      <w:r>
        <w:rPr>
          <w:rFonts w:hAnsi="標楷體" w:hint="eastAsia"/>
        </w:rPr>
        <w:t>同年9月9日詢問金管會邱副主任委員淑貞、</w:t>
      </w:r>
      <w:proofErr w:type="gramStart"/>
      <w:r>
        <w:rPr>
          <w:rFonts w:hAnsi="標楷體" w:hint="eastAsia"/>
        </w:rPr>
        <w:t>環境部施政</w:t>
      </w:r>
      <w:proofErr w:type="gramEnd"/>
      <w:r>
        <w:rPr>
          <w:rFonts w:hAnsi="標楷體" w:hint="eastAsia"/>
        </w:rPr>
        <w:t>務次長文真、各相關主管及承辦人員，以釐清案情。</w:t>
      </w:r>
      <w:proofErr w:type="gramStart"/>
      <w:r>
        <w:rPr>
          <w:rFonts w:hAnsi="標楷體" w:hint="eastAsia"/>
        </w:rPr>
        <w:t>茲綜整</w:t>
      </w:r>
      <w:proofErr w:type="gramEnd"/>
      <w:r>
        <w:rPr>
          <w:rFonts w:hAnsi="標楷體" w:hint="eastAsia"/>
        </w:rPr>
        <w:t>調查意見如下：</w:t>
      </w:r>
    </w:p>
    <w:bookmarkEnd w:id="39"/>
    <w:bookmarkEnd w:id="40"/>
    <w:bookmarkEnd w:id="41"/>
    <w:p w:rsidR="00DB7622" w:rsidRDefault="00042520">
      <w:pPr>
        <w:pStyle w:val="2"/>
        <w:rPr>
          <w:b/>
        </w:rPr>
      </w:pPr>
      <w:r>
        <w:rPr>
          <w:rFonts w:hint="eastAsia"/>
          <w:b/>
        </w:rPr>
        <w:t>我國碳定價制度之相關法制及配套措施，環境部辦理</w:t>
      </w:r>
      <w:r>
        <w:rPr>
          <w:rFonts w:hint="eastAsia"/>
          <w:b/>
        </w:rPr>
        <w:lastRenderedPageBreak/>
        <w:t>進度已有延遲情形，實不利溫室氣體減量業務推動，</w:t>
      </w:r>
      <w:proofErr w:type="gramStart"/>
      <w:r>
        <w:rPr>
          <w:rFonts w:hAnsi="標楷體" w:hint="eastAsia"/>
          <w:b/>
          <w:szCs w:val="32"/>
        </w:rPr>
        <w:t>鑑</w:t>
      </w:r>
      <w:proofErr w:type="gramEnd"/>
      <w:r>
        <w:rPr>
          <w:rFonts w:hAnsi="標楷體" w:hint="eastAsia"/>
          <w:b/>
          <w:szCs w:val="32"/>
        </w:rPr>
        <w:t>於國家溫室氣體長期減量目標已修正調整為139年(西元2050年)溫室</w:t>
      </w:r>
      <w:proofErr w:type="gramStart"/>
      <w:r>
        <w:rPr>
          <w:rFonts w:hAnsi="標楷體" w:hint="eastAsia"/>
          <w:b/>
          <w:szCs w:val="32"/>
        </w:rPr>
        <w:t>氣體淨零排</w:t>
      </w:r>
      <w:proofErr w:type="gramEnd"/>
      <w:r>
        <w:rPr>
          <w:rFonts w:hAnsi="標楷體" w:hint="eastAsia"/>
          <w:b/>
          <w:szCs w:val="32"/>
        </w:rPr>
        <w:t>放，第一期溫室氣體階段管制目標未能如期達成，自110年1月起已邁入第二期溫室氣體階段管制目標排放期，截至11</w:t>
      </w:r>
      <w:r>
        <w:rPr>
          <w:rFonts w:hAnsi="標楷體"/>
          <w:b/>
          <w:szCs w:val="32"/>
        </w:rPr>
        <w:t>2</w:t>
      </w:r>
      <w:r>
        <w:rPr>
          <w:rFonts w:hAnsi="標楷體" w:hint="eastAsia"/>
          <w:b/>
          <w:szCs w:val="32"/>
        </w:rPr>
        <w:t>年底止已屆滿3年，減量實際情形未如預期，恐難以達成管制目標，亟需環境部確實檢討改進</w:t>
      </w:r>
      <w:r>
        <w:rPr>
          <w:rFonts w:hint="eastAsia"/>
          <w:b/>
        </w:rPr>
        <w:t>：</w:t>
      </w:r>
    </w:p>
    <w:p w:rsidR="00DB7622" w:rsidRDefault="00042520">
      <w:pPr>
        <w:pStyle w:val="3"/>
        <w:ind w:left="1418"/>
        <w:rPr>
          <w:rFonts w:hAnsi="標楷體"/>
        </w:rPr>
      </w:pPr>
      <w:r>
        <w:rPr>
          <w:rFonts w:hAnsi="標楷體" w:hint="eastAsia"/>
        </w:rPr>
        <w:t>我國氣候變遷因應法</w:t>
      </w:r>
      <w:r>
        <w:rPr>
          <w:rFonts w:hAnsi="標楷體" w:hint="eastAsia"/>
          <w:shd w:val="clear" w:color="auto" w:fill="FFFFFF"/>
        </w:rPr>
        <w:t>(下稱氣候法)</w:t>
      </w:r>
      <w:r>
        <w:rPr>
          <w:rFonts w:hAnsi="標楷體" w:hint="eastAsia"/>
        </w:rPr>
        <w:t>於112年2月15日公布施行，氣候法中規範</w:t>
      </w:r>
      <w:proofErr w:type="gramStart"/>
      <w:r>
        <w:rPr>
          <w:rFonts w:hAnsi="標楷體" w:hint="eastAsia"/>
        </w:rPr>
        <w:t>多種碳</w:t>
      </w:r>
      <w:proofErr w:type="gramEnd"/>
      <w:r>
        <w:rPr>
          <w:rFonts w:hAnsi="標楷體" w:hint="eastAsia"/>
        </w:rPr>
        <w:t>定價工具，規劃分階段透過多元工具以促進國家整體之實質減量，並將優先</w:t>
      </w:r>
      <w:proofErr w:type="gramStart"/>
      <w:r>
        <w:rPr>
          <w:rFonts w:hAnsi="標楷體" w:hint="eastAsia"/>
        </w:rPr>
        <w:t>採用碳費搭</w:t>
      </w:r>
      <w:proofErr w:type="gramEnd"/>
      <w:r>
        <w:rPr>
          <w:rFonts w:hAnsi="標楷體" w:hint="eastAsia"/>
        </w:rPr>
        <w:t>配自願減量核發減量額度之機制，透過管制及獎勵併行作法，擴大減量參與，以利國家減量目標之達成。除此之外，環境部</w:t>
      </w:r>
      <w:proofErr w:type="gramStart"/>
      <w:r>
        <w:rPr>
          <w:rFonts w:hAnsi="標楷體" w:hint="eastAsia"/>
        </w:rPr>
        <w:t>透過碳費徵收</w:t>
      </w:r>
      <w:proofErr w:type="gramEnd"/>
      <w:r>
        <w:rPr>
          <w:rFonts w:hAnsi="標楷體" w:hint="eastAsia"/>
        </w:rPr>
        <w:t>所得之收入，可再透過專款專用於氣候相關事務的方式，進一步加大排放減量。另外，氣候法亦保留總量管制及排放交易機制之規範，</w:t>
      </w:r>
      <w:proofErr w:type="gramStart"/>
      <w:r>
        <w:rPr>
          <w:rFonts w:hAnsi="標楷體" w:hint="eastAsia"/>
        </w:rPr>
        <w:t>該部得參酌</w:t>
      </w:r>
      <w:proofErr w:type="gramEnd"/>
      <w:r>
        <w:rPr>
          <w:rFonts w:hAnsi="標楷體" w:hint="eastAsia"/>
        </w:rPr>
        <w:t>聯合國氣候變化綱要公約與其協議或相關國際公約決議事項，擬訂溫室氣體總量管制及排放交易計畫，報請行政院核定後公告實施。現階段各界共識</w:t>
      </w:r>
      <w:proofErr w:type="gramStart"/>
      <w:r>
        <w:rPr>
          <w:rFonts w:hAnsi="標楷體" w:hint="eastAsia"/>
        </w:rPr>
        <w:t>採碳費</w:t>
      </w:r>
      <w:proofErr w:type="gramEnd"/>
      <w:r>
        <w:rPr>
          <w:rFonts w:hAnsi="標楷體" w:hint="eastAsia"/>
        </w:rPr>
        <w:t>先行，專款專用，以全廠(場)直接及使用電力間接溫室氣體年排放量合計值達2.5萬公噸</w:t>
      </w:r>
      <w:r>
        <w:rPr>
          <w:rFonts w:hAnsi="標楷體" w:hint="eastAsia"/>
          <w:shd w:val="clear" w:color="auto" w:fill="FFFFFF"/>
        </w:rPr>
        <w:t>二氧化碳當量(CO</w:t>
      </w:r>
      <w:r>
        <w:rPr>
          <w:rFonts w:hAnsi="標楷體" w:hint="eastAsia"/>
          <w:shd w:val="clear" w:color="auto" w:fill="FFFFFF"/>
          <w:vertAlign w:val="subscript"/>
        </w:rPr>
        <w:t>2</w:t>
      </w:r>
      <w:r>
        <w:rPr>
          <w:rFonts w:hAnsi="標楷體" w:hint="eastAsia"/>
          <w:shd w:val="clear" w:color="auto" w:fill="FFFFFF"/>
        </w:rPr>
        <w:t>e)</w:t>
      </w:r>
      <w:r>
        <w:rPr>
          <w:rFonts w:hAnsi="標楷體" w:hint="eastAsia"/>
        </w:rPr>
        <w:t>以上之電力業及製造業</w:t>
      </w:r>
      <w:proofErr w:type="gramStart"/>
      <w:r>
        <w:rPr>
          <w:rFonts w:hAnsi="標楷體" w:hint="eastAsia"/>
        </w:rPr>
        <w:t>為碳</w:t>
      </w:r>
      <w:proofErr w:type="gramEnd"/>
      <w:r>
        <w:rPr>
          <w:rFonts w:hAnsi="標楷體" w:hint="eastAsia"/>
        </w:rPr>
        <w:t>費徵收對象，以111年盤查登錄資料推估，占我國總排放量約54%，並搭配自願減量核發減量額度之機制，透過管制及獎勵併行作法，以大帶小擴大減量參與，以利國家減量目標之達成。環境部將</w:t>
      </w:r>
      <w:proofErr w:type="gramStart"/>
      <w:r>
        <w:rPr>
          <w:rFonts w:hAnsi="標楷體" w:hint="eastAsia"/>
        </w:rPr>
        <w:t>視碳費</w:t>
      </w:r>
      <w:proofErr w:type="gramEnd"/>
      <w:r>
        <w:rPr>
          <w:rFonts w:hAnsi="標楷體" w:hint="eastAsia"/>
        </w:rPr>
        <w:t>徵收制度推動情形及減量成效，滾動式調整，並參考國際經驗，逐步發展總量管制下的碳交易制度。前經原</w:t>
      </w:r>
      <w:r>
        <w:rPr>
          <w:rFonts w:hAnsi="標楷體" w:hint="eastAsia"/>
          <w:shd w:val="clear" w:color="auto" w:fill="FFFFFF"/>
        </w:rPr>
        <w:t>行政院環境保護署(下稱原環保署，於112年8月22日改制為環境部)</w:t>
      </w:r>
      <w:r>
        <w:rPr>
          <w:rFonts w:hAnsi="標楷體" w:hint="eastAsia"/>
        </w:rPr>
        <w:t>盤點配合碳定價政策須優先</w:t>
      </w:r>
      <w:proofErr w:type="gramStart"/>
      <w:r>
        <w:rPr>
          <w:rFonts w:hAnsi="標楷體" w:hint="eastAsia"/>
        </w:rPr>
        <w:lastRenderedPageBreak/>
        <w:t>研</w:t>
      </w:r>
      <w:proofErr w:type="gramEnd"/>
      <w:r>
        <w:rPr>
          <w:rFonts w:hAnsi="標楷體" w:hint="eastAsia"/>
        </w:rPr>
        <w:t>擬之子法共計12項(</w:t>
      </w:r>
      <w:proofErr w:type="gramStart"/>
      <w:r>
        <w:rPr>
          <w:rFonts w:hAnsi="標楷體" w:hint="eastAsia"/>
        </w:rPr>
        <w:t>詳表</w:t>
      </w:r>
      <w:proofErr w:type="gramEnd"/>
      <w:r w:rsidR="00F11D98">
        <w:rPr>
          <w:rFonts w:hAnsi="標楷體" w:hint="eastAsia"/>
        </w:rPr>
        <w:t>1</w:t>
      </w:r>
      <w:r>
        <w:rPr>
          <w:rFonts w:hAnsi="標楷體" w:hint="eastAsia"/>
        </w:rPr>
        <w:t>)，包括該法施行細則；溫室氣體排放之盤查登錄、認證、查驗與增量抵換及自願減量等管理辦法；</w:t>
      </w:r>
      <w:proofErr w:type="gramStart"/>
      <w:r>
        <w:rPr>
          <w:rFonts w:hAnsi="標楷體" w:hint="eastAsia"/>
        </w:rPr>
        <w:t>以及碳費收費</w:t>
      </w:r>
      <w:proofErr w:type="gramEnd"/>
      <w:r>
        <w:rPr>
          <w:rFonts w:hAnsi="標楷體" w:hint="eastAsia"/>
        </w:rPr>
        <w:t>辦法、收費對象、費率及其收支保管等規定，該署預定</w:t>
      </w:r>
      <w:proofErr w:type="gramStart"/>
      <w:r>
        <w:rPr>
          <w:rFonts w:hAnsi="標楷體" w:hint="eastAsia"/>
        </w:rPr>
        <w:t>112</w:t>
      </w:r>
      <w:proofErr w:type="gramEnd"/>
      <w:r>
        <w:rPr>
          <w:rFonts w:hAnsi="標楷體" w:hint="eastAsia"/>
        </w:rPr>
        <w:t>年度下半年提出各該草案與各界討論，</w:t>
      </w:r>
      <w:proofErr w:type="gramStart"/>
      <w:r>
        <w:rPr>
          <w:rFonts w:hAnsi="標楷體" w:hint="eastAsia"/>
        </w:rPr>
        <w:t>俟研</w:t>
      </w:r>
      <w:proofErr w:type="gramEnd"/>
      <w:r>
        <w:rPr>
          <w:rFonts w:hAnsi="標楷體" w:hint="eastAsia"/>
        </w:rPr>
        <w:t>商公聽程序後訂之；另為提供誘因促進</w:t>
      </w:r>
      <w:proofErr w:type="gramStart"/>
      <w:r>
        <w:rPr>
          <w:rFonts w:hAnsi="標楷體" w:hint="eastAsia"/>
        </w:rPr>
        <w:t>減碳，</w:t>
      </w:r>
      <w:proofErr w:type="gramEnd"/>
      <w:r>
        <w:rPr>
          <w:rFonts w:hAnsi="標楷體" w:hint="eastAsia"/>
        </w:rPr>
        <w:t>亦鼓勵事業及各級政府執行溫室氣體自願減量專案；</w:t>
      </w:r>
      <w:proofErr w:type="gramStart"/>
      <w:r>
        <w:rPr>
          <w:rFonts w:hAnsi="標楷體" w:hint="eastAsia"/>
        </w:rPr>
        <w:t>惟</w:t>
      </w:r>
      <w:proofErr w:type="gramEnd"/>
      <w:r>
        <w:rPr>
          <w:rFonts w:hAnsi="標楷體" w:hint="eastAsia"/>
        </w:rPr>
        <w:t>有關溫室氣體總量管制及排放交易制度，則因我國排放源集中，各界對總量管制及市場流通等尚有疑慮，</w:t>
      </w:r>
      <w:proofErr w:type="gramStart"/>
      <w:r>
        <w:rPr>
          <w:rFonts w:hAnsi="標楷體" w:hint="eastAsia"/>
        </w:rPr>
        <w:t>故迄未</w:t>
      </w:r>
      <w:proofErr w:type="gramEnd"/>
      <w:r>
        <w:rPr>
          <w:rFonts w:hAnsi="標楷體" w:hint="eastAsia"/>
        </w:rPr>
        <w:t>規劃。</w:t>
      </w:r>
    </w:p>
    <w:p w:rsidR="00DB7622" w:rsidRDefault="00042520">
      <w:pPr>
        <w:pStyle w:val="a4"/>
        <w:rPr>
          <w:rFonts w:hAnsi="標楷體"/>
        </w:rPr>
      </w:pPr>
      <w:r>
        <w:rPr>
          <w:rFonts w:hAnsi="標楷體"/>
        </w:rPr>
        <w:t>盤點須優先</w:t>
      </w:r>
      <w:proofErr w:type="gramStart"/>
      <w:r>
        <w:rPr>
          <w:rFonts w:hAnsi="標楷體"/>
        </w:rPr>
        <w:t>研</w:t>
      </w:r>
      <w:proofErr w:type="gramEnd"/>
      <w:r>
        <w:rPr>
          <w:rFonts w:hAnsi="標楷體"/>
        </w:rPr>
        <w:t>擬氣候法相關子法概況表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0"/>
        <w:gridCol w:w="2693"/>
        <w:gridCol w:w="1986"/>
        <w:gridCol w:w="2885"/>
      </w:tblGrid>
      <w:tr w:rsidR="00DB7622">
        <w:trPr>
          <w:trHeight w:val="397"/>
          <w:tblHeader/>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jc w:val="center"/>
              <w:rPr>
                <w:rFonts w:hAnsi="標楷體"/>
                <w:kern w:val="0"/>
                <w:sz w:val="24"/>
                <w:szCs w:val="24"/>
              </w:rPr>
            </w:pPr>
            <w:r>
              <w:rPr>
                <w:rFonts w:hAnsi="標楷體"/>
                <w:b/>
                <w:bCs/>
                <w:kern w:val="0"/>
                <w:sz w:val="24"/>
                <w:szCs w:val="24"/>
                <w:lang w:val="x-none"/>
              </w:rPr>
              <w:t>法源依據</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jc w:val="center"/>
              <w:rPr>
                <w:rFonts w:hAnsi="標楷體"/>
                <w:kern w:val="0"/>
                <w:sz w:val="24"/>
                <w:szCs w:val="24"/>
              </w:rPr>
            </w:pPr>
            <w:r>
              <w:rPr>
                <w:rFonts w:hAnsi="標楷體"/>
                <w:b/>
                <w:bCs/>
                <w:kern w:val="0"/>
                <w:sz w:val="24"/>
                <w:szCs w:val="24"/>
                <w:lang w:val="x-none"/>
              </w:rPr>
              <w:t>子法名稱（或暫定）</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jc w:val="center"/>
              <w:rPr>
                <w:rFonts w:hAnsi="標楷體"/>
                <w:kern w:val="0"/>
                <w:sz w:val="24"/>
                <w:szCs w:val="24"/>
              </w:rPr>
            </w:pPr>
            <w:r>
              <w:rPr>
                <w:rFonts w:hAnsi="標楷體"/>
                <w:b/>
                <w:bCs/>
                <w:kern w:val="0"/>
                <w:sz w:val="24"/>
                <w:szCs w:val="24"/>
              </w:rPr>
              <w:t>預定進度</w:t>
            </w:r>
          </w:p>
        </w:tc>
        <w:tc>
          <w:tcPr>
            <w:tcW w:w="1633"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jc w:val="center"/>
              <w:rPr>
                <w:rFonts w:hAnsi="標楷體"/>
                <w:kern w:val="0"/>
                <w:sz w:val="24"/>
                <w:szCs w:val="24"/>
              </w:rPr>
            </w:pPr>
            <w:r>
              <w:rPr>
                <w:rFonts w:hAnsi="標楷體"/>
                <w:b/>
                <w:bCs/>
                <w:kern w:val="0"/>
                <w:sz w:val="24"/>
                <w:szCs w:val="24"/>
              </w:rPr>
              <w:t>實際情形</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第61條</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氣候變遷因應法施行細則</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預計112年下半年提出</w:t>
            </w:r>
          </w:p>
        </w:tc>
        <w:tc>
          <w:tcPr>
            <w:tcW w:w="1633" w:type="pct"/>
            <w:shd w:val="clear" w:color="auto" w:fill="FFFFFF"/>
            <w:tcMar>
              <w:top w:w="0" w:type="dxa"/>
              <w:left w:w="28" w:type="dxa"/>
              <w:bottom w:w="0" w:type="dxa"/>
              <w:right w:w="28" w:type="dxa"/>
            </w:tcMar>
            <w:vAlign w:val="center"/>
            <w:hideMark/>
          </w:tcPr>
          <w:p w:rsidR="00DB7622" w:rsidRDefault="00042520">
            <w:pPr>
              <w:widowControl/>
              <w:jc w:val="center"/>
              <w:rPr>
                <w:rFonts w:hAnsi="標楷體"/>
                <w:kern w:val="0"/>
                <w:sz w:val="24"/>
                <w:szCs w:val="24"/>
              </w:rPr>
            </w:pPr>
            <w:r>
              <w:rPr>
                <w:rFonts w:hAnsi="標楷體" w:hint="eastAsia"/>
                <w:kern w:val="0"/>
                <w:sz w:val="24"/>
                <w:szCs w:val="24"/>
                <w:lang w:val="x-none"/>
              </w:rPr>
              <w:t>112年12月29日修正發布</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第21條</w:t>
            </w:r>
            <w:r>
              <w:rPr>
                <w:rFonts w:hAnsi="標楷體"/>
                <w:kern w:val="0"/>
                <w:sz w:val="24"/>
                <w:szCs w:val="24"/>
                <w:lang w:val="x-none"/>
              </w:rPr>
              <w:br/>
              <w:t>第1項</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hint="eastAsia"/>
                <w:kern w:val="0"/>
                <w:sz w:val="24"/>
                <w:szCs w:val="24"/>
                <w:lang w:val="x-none"/>
              </w:rPr>
              <w:t>事業</w:t>
            </w:r>
            <w:r>
              <w:rPr>
                <w:rFonts w:hAnsi="標楷體"/>
                <w:kern w:val="0"/>
                <w:sz w:val="24"/>
                <w:szCs w:val="24"/>
                <w:lang w:val="x-none"/>
              </w:rPr>
              <w:t>應盤查登錄及查驗溫室氣體排放量之排放源</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jc w:val="center"/>
              <w:rPr>
                <w:rFonts w:hAnsi="標楷體"/>
                <w:kern w:val="0"/>
                <w:sz w:val="24"/>
                <w:szCs w:val="24"/>
              </w:rPr>
            </w:pPr>
            <w:r>
              <w:rPr>
                <w:rFonts w:hAnsi="標楷體"/>
                <w:kern w:val="0"/>
                <w:sz w:val="24"/>
                <w:szCs w:val="24"/>
                <w:lang w:val="x-none"/>
              </w:rPr>
              <w:t>同上</w:t>
            </w:r>
          </w:p>
        </w:tc>
        <w:tc>
          <w:tcPr>
            <w:tcW w:w="1633" w:type="pct"/>
            <w:shd w:val="clear" w:color="auto" w:fill="FFFFFF"/>
            <w:tcMar>
              <w:top w:w="0" w:type="dxa"/>
              <w:left w:w="28" w:type="dxa"/>
              <w:bottom w:w="0" w:type="dxa"/>
              <w:right w:w="28" w:type="dxa"/>
            </w:tcMar>
            <w:vAlign w:val="center"/>
            <w:hideMark/>
          </w:tcPr>
          <w:p w:rsidR="00DB7622" w:rsidRDefault="00042520">
            <w:pPr>
              <w:widowControl/>
              <w:jc w:val="center"/>
              <w:rPr>
                <w:rFonts w:hAnsi="標楷體"/>
                <w:kern w:val="0"/>
                <w:sz w:val="24"/>
                <w:szCs w:val="24"/>
                <w:lang w:val="x-none"/>
              </w:rPr>
            </w:pPr>
            <w:r>
              <w:rPr>
                <w:rFonts w:hAnsi="標楷體" w:hint="eastAsia"/>
                <w:kern w:val="0"/>
                <w:sz w:val="24"/>
                <w:szCs w:val="24"/>
                <w:lang w:val="x-none"/>
              </w:rPr>
              <w:t>112年5月31日</w:t>
            </w:r>
          </w:p>
          <w:p w:rsidR="00DB7622" w:rsidRDefault="00042520">
            <w:pPr>
              <w:widowControl/>
              <w:jc w:val="center"/>
              <w:rPr>
                <w:rFonts w:hAnsi="標楷體"/>
                <w:kern w:val="0"/>
                <w:sz w:val="24"/>
                <w:szCs w:val="24"/>
                <w:lang w:val="x-none"/>
              </w:rPr>
            </w:pPr>
            <w:r>
              <w:rPr>
                <w:rFonts w:hAnsi="標楷體" w:hint="eastAsia"/>
                <w:kern w:val="0"/>
                <w:sz w:val="24"/>
                <w:szCs w:val="24"/>
                <w:lang w:val="x-none"/>
              </w:rPr>
              <w:t>修正發布</w:t>
            </w:r>
          </w:p>
          <w:p w:rsidR="00DB7622" w:rsidRDefault="00042520">
            <w:pPr>
              <w:widowControl/>
              <w:jc w:val="center"/>
              <w:rPr>
                <w:rFonts w:hAnsi="標楷體"/>
                <w:kern w:val="0"/>
                <w:sz w:val="24"/>
                <w:szCs w:val="24"/>
                <w:lang w:val="x-none"/>
              </w:rPr>
            </w:pPr>
            <w:r>
              <w:rPr>
                <w:rFonts w:hAnsi="標楷體" w:hint="eastAsia"/>
                <w:kern w:val="0"/>
                <w:sz w:val="24"/>
                <w:szCs w:val="24"/>
                <w:lang w:val="x-none"/>
              </w:rPr>
              <w:t>113年2月22日</w:t>
            </w:r>
          </w:p>
          <w:p w:rsidR="00DB7622" w:rsidRDefault="00042520">
            <w:pPr>
              <w:widowControl/>
              <w:jc w:val="center"/>
              <w:rPr>
                <w:rFonts w:hAnsi="標楷體"/>
                <w:kern w:val="0"/>
                <w:sz w:val="24"/>
                <w:szCs w:val="24"/>
              </w:rPr>
            </w:pPr>
            <w:r>
              <w:rPr>
                <w:rFonts w:hAnsi="標楷體" w:hint="eastAsia"/>
                <w:kern w:val="0"/>
                <w:sz w:val="24"/>
                <w:szCs w:val="24"/>
                <w:lang w:val="x-none"/>
              </w:rPr>
              <w:t>修正發布</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第21條</w:t>
            </w:r>
            <w:r>
              <w:rPr>
                <w:rFonts w:hAnsi="標楷體"/>
                <w:kern w:val="0"/>
                <w:sz w:val="24"/>
                <w:szCs w:val="24"/>
                <w:lang w:val="x-none"/>
              </w:rPr>
              <w:br/>
              <w:t>第2項</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溫室氣體排放量盤查登錄</w:t>
            </w:r>
            <w:r>
              <w:rPr>
                <w:rFonts w:hAnsi="標楷體" w:hint="eastAsia"/>
                <w:kern w:val="0"/>
                <w:sz w:val="24"/>
                <w:szCs w:val="24"/>
                <w:lang w:val="x-none"/>
              </w:rPr>
              <w:t>及查驗</w:t>
            </w:r>
            <w:r>
              <w:rPr>
                <w:rFonts w:hAnsi="標楷體"/>
                <w:kern w:val="0"/>
                <w:sz w:val="24"/>
                <w:szCs w:val="24"/>
                <w:lang w:val="x-none"/>
              </w:rPr>
              <w:t>管理辦法</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112年6月21日預告草案</w:t>
            </w:r>
          </w:p>
        </w:tc>
        <w:tc>
          <w:tcPr>
            <w:tcW w:w="1633" w:type="pct"/>
            <w:shd w:val="clear" w:color="auto" w:fill="FFFFFF"/>
            <w:tcMar>
              <w:top w:w="0" w:type="dxa"/>
              <w:left w:w="28" w:type="dxa"/>
              <w:bottom w:w="0" w:type="dxa"/>
              <w:right w:w="28" w:type="dxa"/>
            </w:tcMar>
            <w:vAlign w:val="center"/>
            <w:hideMark/>
          </w:tcPr>
          <w:p w:rsidR="00DB7622" w:rsidRDefault="00042520">
            <w:pPr>
              <w:widowControl/>
              <w:jc w:val="center"/>
              <w:rPr>
                <w:rFonts w:hAnsi="標楷體"/>
                <w:kern w:val="0"/>
                <w:sz w:val="24"/>
                <w:szCs w:val="24"/>
                <w:lang w:val="x-none"/>
              </w:rPr>
            </w:pPr>
            <w:r>
              <w:rPr>
                <w:rFonts w:hAnsi="標楷體" w:hint="eastAsia"/>
                <w:kern w:val="0"/>
                <w:sz w:val="24"/>
                <w:szCs w:val="24"/>
                <w:lang w:val="x-none"/>
              </w:rPr>
              <w:t>112年9月14日</w:t>
            </w:r>
          </w:p>
          <w:p w:rsidR="00DB7622" w:rsidRDefault="00042520">
            <w:pPr>
              <w:widowControl/>
              <w:jc w:val="center"/>
              <w:rPr>
                <w:rFonts w:hAnsi="標楷體"/>
                <w:kern w:val="0"/>
                <w:sz w:val="24"/>
                <w:szCs w:val="24"/>
              </w:rPr>
            </w:pPr>
            <w:r>
              <w:rPr>
                <w:rFonts w:hAnsi="標楷體" w:hint="eastAsia"/>
                <w:kern w:val="0"/>
                <w:sz w:val="24"/>
                <w:szCs w:val="24"/>
                <w:lang w:val="x-none"/>
              </w:rPr>
              <w:t>修正發布</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第22條</w:t>
            </w:r>
            <w:r>
              <w:rPr>
                <w:rFonts w:hAnsi="標楷體"/>
                <w:kern w:val="0"/>
                <w:sz w:val="24"/>
                <w:szCs w:val="24"/>
                <w:lang w:val="x-none"/>
              </w:rPr>
              <w:br/>
              <w:t>第2項、3項</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溫室氣體認證機構及查驗機構管理辦法</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預計112年下半年提出</w:t>
            </w:r>
          </w:p>
        </w:tc>
        <w:tc>
          <w:tcPr>
            <w:tcW w:w="1633" w:type="pct"/>
            <w:shd w:val="clear" w:color="auto" w:fill="FFFFFF"/>
            <w:tcMar>
              <w:top w:w="0" w:type="dxa"/>
              <w:left w:w="28" w:type="dxa"/>
              <w:bottom w:w="0" w:type="dxa"/>
              <w:right w:w="28" w:type="dxa"/>
            </w:tcMar>
            <w:vAlign w:val="center"/>
            <w:hideMark/>
          </w:tcPr>
          <w:p w:rsidR="00DB7622" w:rsidRDefault="00042520">
            <w:pPr>
              <w:widowControl/>
              <w:jc w:val="center"/>
              <w:rPr>
                <w:rFonts w:hAnsi="標楷體"/>
                <w:kern w:val="0"/>
                <w:sz w:val="24"/>
                <w:szCs w:val="24"/>
                <w:lang w:val="x-none"/>
              </w:rPr>
            </w:pPr>
            <w:r>
              <w:rPr>
                <w:rFonts w:hAnsi="標楷體" w:hint="eastAsia"/>
                <w:kern w:val="0"/>
                <w:sz w:val="24"/>
                <w:szCs w:val="24"/>
                <w:lang w:val="x-none"/>
              </w:rPr>
              <w:t>112年10月5日</w:t>
            </w:r>
          </w:p>
          <w:p w:rsidR="00DB7622" w:rsidRDefault="00042520">
            <w:pPr>
              <w:widowControl/>
              <w:jc w:val="center"/>
              <w:rPr>
                <w:rFonts w:hAnsi="標楷體"/>
                <w:kern w:val="0"/>
                <w:sz w:val="24"/>
                <w:szCs w:val="24"/>
              </w:rPr>
            </w:pPr>
            <w:r>
              <w:rPr>
                <w:rFonts w:hAnsi="標楷體" w:hint="eastAsia"/>
                <w:kern w:val="0"/>
                <w:sz w:val="24"/>
                <w:szCs w:val="24"/>
                <w:lang w:val="x-none"/>
              </w:rPr>
              <w:t>修正發布</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第24條</w:t>
            </w:r>
            <w:r>
              <w:rPr>
                <w:rFonts w:hAnsi="標楷體"/>
                <w:kern w:val="0"/>
                <w:sz w:val="24"/>
                <w:szCs w:val="24"/>
                <w:lang w:val="x-none"/>
              </w:rPr>
              <w:br/>
              <w:t>第2項</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溫室氣體排放量增量抵換管理辦法</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112年7月5日預告草案</w:t>
            </w:r>
          </w:p>
        </w:tc>
        <w:tc>
          <w:tcPr>
            <w:tcW w:w="1633" w:type="pct"/>
            <w:shd w:val="clear" w:color="auto" w:fill="FFFFFF"/>
            <w:tcMar>
              <w:top w:w="0" w:type="dxa"/>
              <w:left w:w="28" w:type="dxa"/>
              <w:bottom w:w="0" w:type="dxa"/>
              <w:right w:w="28" w:type="dxa"/>
            </w:tcMar>
            <w:vAlign w:val="center"/>
            <w:hideMark/>
          </w:tcPr>
          <w:p w:rsidR="00DB7622" w:rsidRDefault="00042520">
            <w:pPr>
              <w:widowControl/>
              <w:snapToGrid w:val="0"/>
              <w:jc w:val="center"/>
              <w:rPr>
                <w:rFonts w:hAnsi="標楷體"/>
                <w:kern w:val="0"/>
                <w:sz w:val="24"/>
                <w:szCs w:val="24"/>
                <w:lang w:val="x-none"/>
              </w:rPr>
            </w:pPr>
            <w:r>
              <w:rPr>
                <w:rFonts w:hAnsi="標楷體" w:hint="eastAsia"/>
                <w:kern w:val="0"/>
                <w:sz w:val="24"/>
                <w:szCs w:val="24"/>
                <w:lang w:val="x-none"/>
              </w:rPr>
              <w:t>112年10月12日</w:t>
            </w:r>
          </w:p>
          <w:p w:rsidR="00DB7622" w:rsidRDefault="00042520">
            <w:pPr>
              <w:widowControl/>
              <w:jc w:val="center"/>
              <w:rPr>
                <w:rFonts w:hAnsi="標楷體"/>
                <w:kern w:val="0"/>
                <w:sz w:val="24"/>
                <w:szCs w:val="24"/>
              </w:rPr>
            </w:pPr>
            <w:r>
              <w:rPr>
                <w:rFonts w:hAnsi="標楷體" w:hint="eastAsia"/>
                <w:kern w:val="0"/>
                <w:sz w:val="24"/>
                <w:szCs w:val="24"/>
                <w:lang w:val="x-none"/>
              </w:rPr>
              <w:t>訂定發布</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第25條</w:t>
            </w:r>
            <w:r>
              <w:rPr>
                <w:rFonts w:hAnsi="標楷體"/>
                <w:kern w:val="0"/>
                <w:sz w:val="24"/>
                <w:szCs w:val="24"/>
                <w:lang w:val="x-none"/>
              </w:rPr>
              <w:br/>
              <w:t>第4項</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溫室氣體自願減量專案管理辦法</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112年6月29日預告草案</w:t>
            </w:r>
          </w:p>
        </w:tc>
        <w:tc>
          <w:tcPr>
            <w:tcW w:w="1633" w:type="pct"/>
            <w:shd w:val="clear" w:color="auto" w:fill="FFFFFF"/>
            <w:tcMar>
              <w:top w:w="0" w:type="dxa"/>
              <w:left w:w="28" w:type="dxa"/>
              <w:bottom w:w="0" w:type="dxa"/>
              <w:right w:w="28" w:type="dxa"/>
            </w:tcMar>
            <w:vAlign w:val="center"/>
            <w:hideMark/>
          </w:tcPr>
          <w:p w:rsidR="00DB7622" w:rsidRDefault="00042520">
            <w:pPr>
              <w:widowControl/>
              <w:snapToGrid w:val="0"/>
              <w:jc w:val="center"/>
              <w:rPr>
                <w:rFonts w:hAnsi="標楷體"/>
                <w:kern w:val="0"/>
                <w:sz w:val="24"/>
                <w:szCs w:val="24"/>
                <w:lang w:val="x-none"/>
              </w:rPr>
            </w:pPr>
            <w:r>
              <w:rPr>
                <w:rFonts w:hAnsi="標楷體" w:hint="eastAsia"/>
                <w:kern w:val="0"/>
                <w:sz w:val="24"/>
                <w:szCs w:val="24"/>
                <w:lang w:val="x-none"/>
              </w:rPr>
              <w:t>112年10月12日</w:t>
            </w:r>
          </w:p>
          <w:p w:rsidR="00DB7622" w:rsidRDefault="00042520">
            <w:pPr>
              <w:widowControl/>
              <w:jc w:val="center"/>
              <w:rPr>
                <w:rFonts w:hAnsi="標楷體"/>
                <w:kern w:val="0"/>
                <w:sz w:val="24"/>
                <w:szCs w:val="24"/>
              </w:rPr>
            </w:pPr>
            <w:r>
              <w:rPr>
                <w:rFonts w:hAnsi="標楷體" w:hint="eastAsia"/>
                <w:kern w:val="0"/>
                <w:sz w:val="24"/>
                <w:szCs w:val="24"/>
                <w:lang w:val="x-none"/>
              </w:rPr>
              <w:t>訂定發布</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第25條</w:t>
            </w:r>
            <w:r>
              <w:rPr>
                <w:rFonts w:hAnsi="標楷體"/>
                <w:kern w:val="0"/>
                <w:sz w:val="24"/>
                <w:szCs w:val="24"/>
                <w:lang w:val="x-none"/>
              </w:rPr>
              <w:br/>
              <w:t>第5項</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hint="eastAsia"/>
                <w:kern w:val="0"/>
                <w:sz w:val="24"/>
                <w:szCs w:val="24"/>
                <w:lang w:val="x-none"/>
              </w:rPr>
              <w:t>溫室氣體減量額度交易拍賣及移轉管理辦法</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預計112年下半年提出</w:t>
            </w:r>
          </w:p>
        </w:tc>
        <w:tc>
          <w:tcPr>
            <w:tcW w:w="1633" w:type="pct"/>
            <w:shd w:val="clear" w:color="auto" w:fill="FFFFFF"/>
            <w:tcMar>
              <w:top w:w="0" w:type="dxa"/>
              <w:left w:w="28" w:type="dxa"/>
              <w:bottom w:w="0" w:type="dxa"/>
              <w:right w:w="28" w:type="dxa"/>
            </w:tcMar>
            <w:vAlign w:val="center"/>
            <w:hideMark/>
          </w:tcPr>
          <w:p w:rsidR="00DB7622" w:rsidRDefault="00042520">
            <w:pPr>
              <w:widowControl/>
              <w:snapToGrid w:val="0"/>
              <w:jc w:val="center"/>
              <w:rPr>
                <w:rFonts w:hAnsi="標楷體"/>
                <w:kern w:val="0"/>
                <w:sz w:val="24"/>
                <w:szCs w:val="24"/>
                <w:lang w:val="x-none"/>
              </w:rPr>
            </w:pPr>
            <w:r>
              <w:rPr>
                <w:rFonts w:hAnsi="標楷體" w:hint="eastAsia"/>
                <w:kern w:val="0"/>
                <w:sz w:val="24"/>
                <w:szCs w:val="24"/>
                <w:lang w:val="x-none"/>
              </w:rPr>
              <w:t>113年7月1日</w:t>
            </w:r>
          </w:p>
          <w:p w:rsidR="00DB7622" w:rsidRDefault="00042520">
            <w:pPr>
              <w:widowControl/>
              <w:snapToGrid w:val="0"/>
              <w:jc w:val="center"/>
              <w:rPr>
                <w:rFonts w:hAnsi="標楷體"/>
                <w:kern w:val="0"/>
                <w:sz w:val="24"/>
                <w:szCs w:val="24"/>
              </w:rPr>
            </w:pPr>
            <w:r>
              <w:rPr>
                <w:rFonts w:hAnsi="標楷體" w:hint="eastAsia"/>
                <w:kern w:val="0"/>
                <w:sz w:val="24"/>
                <w:szCs w:val="24"/>
                <w:lang w:val="x-none"/>
              </w:rPr>
              <w:t>訂定發布</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第28條</w:t>
            </w:r>
            <w:r>
              <w:rPr>
                <w:rFonts w:hAnsi="標楷體"/>
                <w:kern w:val="0"/>
                <w:sz w:val="24"/>
                <w:szCs w:val="24"/>
                <w:lang w:val="x-none"/>
              </w:rPr>
              <w:br/>
              <w:t>第4項</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proofErr w:type="gramStart"/>
            <w:r>
              <w:rPr>
                <w:rFonts w:hAnsi="標楷體"/>
                <w:kern w:val="0"/>
                <w:sz w:val="24"/>
                <w:szCs w:val="24"/>
                <w:lang w:val="x-none"/>
              </w:rPr>
              <w:t>碳費收費</w:t>
            </w:r>
            <w:proofErr w:type="gramEnd"/>
            <w:r>
              <w:rPr>
                <w:rFonts w:hAnsi="標楷體"/>
                <w:kern w:val="0"/>
                <w:sz w:val="24"/>
                <w:szCs w:val="24"/>
                <w:lang w:val="x-none"/>
              </w:rPr>
              <w:t>辦法</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jc w:val="center"/>
              <w:rPr>
                <w:rFonts w:hAnsi="標楷體"/>
                <w:kern w:val="0"/>
                <w:sz w:val="24"/>
                <w:szCs w:val="24"/>
              </w:rPr>
            </w:pPr>
            <w:r>
              <w:rPr>
                <w:rFonts w:hAnsi="標楷體"/>
                <w:kern w:val="0"/>
                <w:sz w:val="24"/>
                <w:szCs w:val="24"/>
                <w:lang w:val="x-none"/>
              </w:rPr>
              <w:t>同上</w:t>
            </w:r>
          </w:p>
        </w:tc>
        <w:tc>
          <w:tcPr>
            <w:tcW w:w="1633" w:type="pct"/>
            <w:shd w:val="clear" w:color="auto" w:fill="FFFFFF"/>
            <w:tcMar>
              <w:top w:w="0" w:type="dxa"/>
              <w:left w:w="28" w:type="dxa"/>
              <w:bottom w:w="0" w:type="dxa"/>
              <w:right w:w="28" w:type="dxa"/>
            </w:tcMar>
            <w:vAlign w:val="center"/>
            <w:hideMark/>
          </w:tcPr>
          <w:p w:rsidR="00DB7622" w:rsidRDefault="00042520">
            <w:pPr>
              <w:widowControl/>
              <w:snapToGrid w:val="0"/>
              <w:jc w:val="center"/>
              <w:rPr>
                <w:rFonts w:hAnsi="標楷體"/>
                <w:kern w:val="0"/>
                <w:sz w:val="24"/>
                <w:szCs w:val="24"/>
                <w:lang w:val="x-none"/>
              </w:rPr>
            </w:pPr>
            <w:r>
              <w:rPr>
                <w:rFonts w:hAnsi="標楷體"/>
                <w:kern w:val="0"/>
                <w:sz w:val="24"/>
                <w:szCs w:val="24"/>
                <w:lang w:val="x-none"/>
              </w:rPr>
              <w:t>113年8月29日</w:t>
            </w:r>
          </w:p>
          <w:p w:rsidR="00DB7622" w:rsidRDefault="00042520">
            <w:pPr>
              <w:widowControl/>
              <w:snapToGrid w:val="0"/>
              <w:jc w:val="center"/>
              <w:rPr>
                <w:rFonts w:hAnsi="標楷體"/>
                <w:kern w:val="0"/>
                <w:sz w:val="24"/>
                <w:szCs w:val="24"/>
              </w:rPr>
            </w:pPr>
            <w:r>
              <w:rPr>
                <w:rFonts w:hAnsi="標楷體"/>
                <w:kern w:val="0"/>
                <w:sz w:val="24"/>
                <w:szCs w:val="24"/>
                <w:lang w:val="x-none"/>
              </w:rPr>
              <w:t>訂定發布</w:t>
            </w:r>
          </w:p>
        </w:tc>
      </w:tr>
      <w:tr w:rsidR="00DB7622">
        <w:trPr>
          <w:trHeight w:val="538"/>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第28條</w:t>
            </w:r>
            <w:r>
              <w:rPr>
                <w:rFonts w:hAnsi="標楷體"/>
                <w:kern w:val="0"/>
                <w:sz w:val="24"/>
                <w:szCs w:val="24"/>
                <w:lang w:val="x-none"/>
              </w:rPr>
              <w:br/>
              <w:t>第3項</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proofErr w:type="gramStart"/>
            <w:r>
              <w:rPr>
                <w:rFonts w:hAnsi="標楷體"/>
                <w:kern w:val="0"/>
                <w:sz w:val="24"/>
                <w:szCs w:val="24"/>
                <w:lang w:val="x-none"/>
              </w:rPr>
              <w:t>公告碳費收費</w:t>
            </w:r>
            <w:proofErr w:type="gramEnd"/>
            <w:r>
              <w:rPr>
                <w:rFonts w:hAnsi="標楷體"/>
                <w:kern w:val="0"/>
                <w:sz w:val="24"/>
                <w:szCs w:val="24"/>
                <w:lang w:val="x-none"/>
              </w:rPr>
              <w:t>費率</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jc w:val="center"/>
              <w:rPr>
                <w:rFonts w:hAnsi="標楷體"/>
                <w:kern w:val="0"/>
                <w:sz w:val="24"/>
                <w:szCs w:val="24"/>
              </w:rPr>
            </w:pPr>
            <w:r>
              <w:rPr>
                <w:rFonts w:hAnsi="標楷體"/>
                <w:kern w:val="0"/>
                <w:sz w:val="24"/>
                <w:szCs w:val="24"/>
                <w:lang w:val="x-none"/>
              </w:rPr>
              <w:t>同上</w:t>
            </w:r>
          </w:p>
        </w:tc>
        <w:tc>
          <w:tcPr>
            <w:tcW w:w="1633" w:type="pct"/>
            <w:shd w:val="clear" w:color="auto" w:fill="FFFFFF"/>
            <w:tcMar>
              <w:top w:w="0" w:type="dxa"/>
              <w:left w:w="28" w:type="dxa"/>
              <w:bottom w:w="0" w:type="dxa"/>
              <w:right w:w="28" w:type="dxa"/>
            </w:tcMar>
            <w:vAlign w:val="center"/>
            <w:hideMark/>
          </w:tcPr>
          <w:p w:rsidR="00DB7622" w:rsidRDefault="00042520">
            <w:pPr>
              <w:widowControl/>
              <w:snapToGrid w:val="0"/>
              <w:jc w:val="center"/>
              <w:rPr>
                <w:rFonts w:hAnsi="標楷體"/>
                <w:kern w:val="0"/>
                <w:sz w:val="24"/>
                <w:szCs w:val="24"/>
              </w:rPr>
            </w:pPr>
            <w:r>
              <w:rPr>
                <w:rFonts w:hAnsi="標楷體"/>
                <w:kern w:val="0"/>
                <w:sz w:val="24"/>
                <w:szCs w:val="24"/>
                <w:lang w:val="x-none"/>
              </w:rPr>
              <w:t>費率審議會於113年10月7日完成審議；由</w:t>
            </w:r>
            <w:proofErr w:type="gramStart"/>
            <w:r>
              <w:rPr>
                <w:rFonts w:hAnsi="標楷體"/>
                <w:kern w:val="0"/>
                <w:sz w:val="24"/>
                <w:szCs w:val="24"/>
                <w:lang w:val="x-none"/>
              </w:rPr>
              <w:t>環境部於</w:t>
            </w:r>
            <w:r>
              <w:rPr>
                <w:rFonts w:hAnsi="標楷體" w:hint="eastAsia"/>
                <w:kern w:val="0"/>
                <w:sz w:val="24"/>
                <w:szCs w:val="24"/>
                <w:lang w:val="x-none"/>
              </w:rPr>
              <w:t>同</w:t>
            </w:r>
            <w:r>
              <w:rPr>
                <w:rFonts w:hAnsi="標楷體"/>
                <w:kern w:val="0"/>
                <w:sz w:val="24"/>
                <w:szCs w:val="24"/>
                <w:lang w:val="x-none"/>
              </w:rPr>
              <w:t>年</w:t>
            </w:r>
            <w:proofErr w:type="gramEnd"/>
            <w:r>
              <w:rPr>
                <w:rFonts w:hAnsi="標楷體"/>
                <w:kern w:val="0"/>
                <w:sz w:val="24"/>
                <w:szCs w:val="24"/>
                <w:lang w:val="x-none"/>
              </w:rPr>
              <w:t>月8日進行預告，114年1月1日生效。</w:t>
            </w:r>
          </w:p>
        </w:tc>
      </w:tr>
      <w:tr w:rsidR="00DB7622">
        <w:trPr>
          <w:trHeight w:val="538"/>
        </w:trPr>
        <w:tc>
          <w:tcPr>
            <w:tcW w:w="719" w:type="pct"/>
            <w:shd w:val="clear" w:color="auto" w:fill="FFFFFF"/>
            <w:tcMar>
              <w:top w:w="0" w:type="dxa"/>
              <w:left w:w="28" w:type="dxa"/>
              <w:bottom w:w="0" w:type="dxa"/>
              <w:right w:w="28" w:type="dxa"/>
            </w:tcMar>
            <w:vAlign w:val="center"/>
          </w:tcPr>
          <w:p w:rsidR="00DB7622" w:rsidRDefault="00042520">
            <w:pPr>
              <w:widowControl/>
              <w:spacing w:before="100" w:beforeAutospacing="1" w:after="100" w:afterAutospacing="1"/>
              <w:rPr>
                <w:rFonts w:hAnsi="標楷體"/>
                <w:kern w:val="0"/>
                <w:sz w:val="24"/>
                <w:szCs w:val="24"/>
                <w:lang w:val="x-none"/>
              </w:rPr>
            </w:pPr>
            <w:r>
              <w:rPr>
                <w:rFonts w:hAnsi="標楷體"/>
                <w:kern w:val="0"/>
                <w:sz w:val="24"/>
                <w:szCs w:val="24"/>
                <w:lang w:val="x-none"/>
              </w:rPr>
              <w:t>第2</w:t>
            </w:r>
            <w:r>
              <w:rPr>
                <w:rFonts w:hAnsi="標楷體" w:hint="eastAsia"/>
                <w:kern w:val="0"/>
                <w:sz w:val="24"/>
                <w:szCs w:val="24"/>
                <w:lang w:val="x-none"/>
              </w:rPr>
              <w:t>8</w:t>
            </w:r>
            <w:r>
              <w:rPr>
                <w:rFonts w:hAnsi="標楷體"/>
                <w:kern w:val="0"/>
                <w:sz w:val="24"/>
                <w:szCs w:val="24"/>
                <w:lang w:val="x-none"/>
              </w:rPr>
              <w:t>條</w:t>
            </w:r>
            <w:r>
              <w:rPr>
                <w:rFonts w:hAnsi="標楷體"/>
                <w:kern w:val="0"/>
                <w:sz w:val="24"/>
                <w:szCs w:val="24"/>
                <w:lang w:val="x-none"/>
              </w:rPr>
              <w:br/>
              <w:t>第</w:t>
            </w:r>
            <w:r>
              <w:rPr>
                <w:rFonts w:hAnsi="標楷體" w:hint="eastAsia"/>
                <w:kern w:val="0"/>
                <w:sz w:val="24"/>
                <w:szCs w:val="24"/>
                <w:lang w:val="x-none"/>
              </w:rPr>
              <w:t>3</w:t>
            </w:r>
            <w:r>
              <w:rPr>
                <w:rFonts w:hAnsi="標楷體"/>
                <w:kern w:val="0"/>
                <w:sz w:val="24"/>
                <w:szCs w:val="24"/>
                <w:lang w:val="x-none"/>
              </w:rPr>
              <w:t>項</w:t>
            </w:r>
          </w:p>
        </w:tc>
        <w:tc>
          <w:tcPr>
            <w:tcW w:w="1524" w:type="pct"/>
            <w:shd w:val="clear" w:color="auto" w:fill="FFFFFF"/>
            <w:tcMar>
              <w:top w:w="0" w:type="dxa"/>
              <w:left w:w="28" w:type="dxa"/>
              <w:bottom w:w="0" w:type="dxa"/>
              <w:right w:w="28" w:type="dxa"/>
            </w:tcMar>
            <w:vAlign w:val="center"/>
          </w:tcPr>
          <w:p w:rsidR="00DB7622" w:rsidRDefault="00042520">
            <w:pPr>
              <w:widowControl/>
              <w:spacing w:before="100" w:beforeAutospacing="1" w:after="100" w:afterAutospacing="1"/>
              <w:rPr>
                <w:rFonts w:hAnsi="標楷體"/>
                <w:kern w:val="0"/>
                <w:sz w:val="24"/>
                <w:szCs w:val="24"/>
                <w:lang w:val="x-none"/>
              </w:rPr>
            </w:pPr>
            <w:proofErr w:type="gramStart"/>
            <w:r>
              <w:rPr>
                <w:rFonts w:hAnsi="標楷體"/>
                <w:kern w:val="0"/>
                <w:sz w:val="24"/>
                <w:szCs w:val="24"/>
                <w:lang w:val="x-none"/>
              </w:rPr>
              <w:t>碳費費率</w:t>
            </w:r>
            <w:proofErr w:type="gramEnd"/>
            <w:r>
              <w:rPr>
                <w:rFonts w:hAnsi="標楷體"/>
                <w:kern w:val="0"/>
                <w:sz w:val="24"/>
                <w:szCs w:val="24"/>
                <w:lang w:val="x-none"/>
              </w:rPr>
              <w:t>審議會設置要點</w:t>
            </w:r>
          </w:p>
        </w:tc>
        <w:tc>
          <w:tcPr>
            <w:tcW w:w="1124" w:type="pct"/>
            <w:shd w:val="clear" w:color="auto" w:fill="FFFFFF"/>
            <w:tcMar>
              <w:top w:w="0" w:type="dxa"/>
              <w:left w:w="28" w:type="dxa"/>
              <w:bottom w:w="0" w:type="dxa"/>
              <w:right w:w="28" w:type="dxa"/>
            </w:tcMar>
            <w:vAlign w:val="center"/>
          </w:tcPr>
          <w:p w:rsidR="00DB7622" w:rsidRDefault="00042520">
            <w:pPr>
              <w:widowControl/>
              <w:spacing w:before="100" w:beforeAutospacing="1" w:after="100" w:afterAutospacing="1"/>
              <w:jc w:val="center"/>
              <w:rPr>
                <w:rFonts w:hAnsi="標楷體"/>
                <w:kern w:val="0"/>
                <w:sz w:val="24"/>
                <w:szCs w:val="24"/>
                <w:lang w:val="x-none"/>
              </w:rPr>
            </w:pPr>
            <w:r>
              <w:rPr>
                <w:rFonts w:hAnsi="標楷體"/>
                <w:kern w:val="0"/>
                <w:sz w:val="24"/>
                <w:szCs w:val="24"/>
                <w:lang w:val="x-none"/>
              </w:rPr>
              <w:t>同上</w:t>
            </w:r>
          </w:p>
        </w:tc>
        <w:tc>
          <w:tcPr>
            <w:tcW w:w="1633" w:type="pct"/>
            <w:shd w:val="clear" w:color="auto" w:fill="FFFFFF"/>
            <w:tcMar>
              <w:top w:w="0" w:type="dxa"/>
              <w:left w:w="28" w:type="dxa"/>
              <w:bottom w:w="0" w:type="dxa"/>
              <w:right w:w="28" w:type="dxa"/>
            </w:tcMar>
            <w:vAlign w:val="center"/>
          </w:tcPr>
          <w:p w:rsidR="00DB7622" w:rsidRDefault="00042520">
            <w:pPr>
              <w:widowControl/>
              <w:snapToGrid w:val="0"/>
              <w:jc w:val="center"/>
              <w:rPr>
                <w:rFonts w:hAnsi="標楷體"/>
                <w:kern w:val="0"/>
                <w:sz w:val="24"/>
                <w:szCs w:val="24"/>
                <w:lang w:val="x-none"/>
              </w:rPr>
            </w:pPr>
            <w:r>
              <w:rPr>
                <w:rFonts w:hAnsi="標楷體"/>
                <w:kern w:val="0"/>
                <w:sz w:val="24"/>
                <w:szCs w:val="24"/>
                <w:lang w:val="x-none"/>
              </w:rPr>
              <w:t>11</w:t>
            </w:r>
            <w:r>
              <w:rPr>
                <w:rFonts w:hAnsi="標楷體" w:hint="eastAsia"/>
                <w:kern w:val="0"/>
                <w:sz w:val="24"/>
                <w:szCs w:val="24"/>
                <w:lang w:val="x-none"/>
              </w:rPr>
              <w:t>2</w:t>
            </w:r>
            <w:r>
              <w:rPr>
                <w:rFonts w:hAnsi="標楷體"/>
                <w:kern w:val="0"/>
                <w:sz w:val="24"/>
                <w:szCs w:val="24"/>
                <w:lang w:val="x-none"/>
              </w:rPr>
              <w:t>年</w:t>
            </w:r>
            <w:r>
              <w:rPr>
                <w:rFonts w:hAnsi="標楷體" w:hint="eastAsia"/>
                <w:kern w:val="0"/>
                <w:sz w:val="24"/>
                <w:szCs w:val="24"/>
                <w:lang w:val="x-none"/>
              </w:rPr>
              <w:t>12</w:t>
            </w:r>
            <w:r>
              <w:rPr>
                <w:rFonts w:hAnsi="標楷體"/>
                <w:kern w:val="0"/>
                <w:sz w:val="24"/>
                <w:szCs w:val="24"/>
                <w:lang w:val="x-none"/>
              </w:rPr>
              <w:t>月</w:t>
            </w:r>
            <w:r>
              <w:rPr>
                <w:rFonts w:hAnsi="標楷體" w:hint="eastAsia"/>
                <w:kern w:val="0"/>
                <w:sz w:val="24"/>
                <w:szCs w:val="24"/>
                <w:lang w:val="x-none"/>
              </w:rPr>
              <w:t>1</w:t>
            </w:r>
            <w:r>
              <w:rPr>
                <w:rFonts w:hAnsi="標楷體"/>
                <w:kern w:val="0"/>
                <w:sz w:val="24"/>
                <w:szCs w:val="24"/>
                <w:lang w:val="x-none"/>
              </w:rPr>
              <w:t>日</w:t>
            </w:r>
          </w:p>
          <w:p w:rsidR="00DB7622" w:rsidRDefault="00042520">
            <w:pPr>
              <w:widowControl/>
              <w:jc w:val="center"/>
              <w:rPr>
                <w:rFonts w:hAnsi="標楷體"/>
                <w:kern w:val="0"/>
                <w:sz w:val="24"/>
                <w:szCs w:val="24"/>
              </w:rPr>
            </w:pPr>
            <w:r>
              <w:rPr>
                <w:rFonts w:hAnsi="標楷體"/>
                <w:kern w:val="0"/>
                <w:sz w:val="24"/>
                <w:szCs w:val="24"/>
                <w:lang w:val="x-none"/>
              </w:rPr>
              <w:t>訂定發布</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lastRenderedPageBreak/>
              <w:t>第29條</w:t>
            </w:r>
            <w:r>
              <w:rPr>
                <w:rFonts w:hAnsi="標楷體"/>
                <w:kern w:val="0"/>
                <w:sz w:val="24"/>
                <w:szCs w:val="24"/>
                <w:lang w:val="x-none"/>
              </w:rPr>
              <w:br/>
              <w:t>第</w:t>
            </w:r>
            <w:r>
              <w:rPr>
                <w:rFonts w:hAnsi="標楷體" w:hint="eastAsia"/>
                <w:kern w:val="0"/>
                <w:sz w:val="24"/>
                <w:szCs w:val="24"/>
                <w:lang w:val="x-none"/>
              </w:rPr>
              <w:t>2</w:t>
            </w:r>
            <w:r>
              <w:rPr>
                <w:rFonts w:hAnsi="標楷體"/>
                <w:kern w:val="0"/>
                <w:sz w:val="24"/>
                <w:szCs w:val="24"/>
                <w:lang w:val="x-none"/>
              </w:rPr>
              <w:t>項</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proofErr w:type="gramStart"/>
            <w:r>
              <w:rPr>
                <w:rFonts w:hAnsi="標楷體" w:hint="eastAsia"/>
                <w:kern w:val="0"/>
                <w:sz w:val="24"/>
                <w:szCs w:val="24"/>
                <w:lang w:val="x-none"/>
              </w:rPr>
              <w:t>碳費徵收</w:t>
            </w:r>
            <w:proofErr w:type="gramEnd"/>
            <w:r>
              <w:rPr>
                <w:rFonts w:hAnsi="標楷體" w:hint="eastAsia"/>
                <w:kern w:val="0"/>
                <w:sz w:val="24"/>
                <w:szCs w:val="24"/>
                <w:lang w:val="x-none"/>
              </w:rPr>
              <w:t>對象溫室氣體減量指定目標</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jc w:val="center"/>
              <w:rPr>
                <w:rFonts w:hAnsi="標楷體"/>
                <w:kern w:val="0"/>
                <w:sz w:val="24"/>
                <w:szCs w:val="24"/>
              </w:rPr>
            </w:pPr>
            <w:r>
              <w:rPr>
                <w:rFonts w:hAnsi="標楷體"/>
                <w:kern w:val="0"/>
                <w:sz w:val="24"/>
                <w:szCs w:val="24"/>
                <w:lang w:val="x-none"/>
              </w:rPr>
              <w:t>同上</w:t>
            </w:r>
          </w:p>
        </w:tc>
        <w:tc>
          <w:tcPr>
            <w:tcW w:w="1633" w:type="pct"/>
            <w:shd w:val="clear" w:color="auto" w:fill="FFFFFF"/>
            <w:tcMar>
              <w:top w:w="0" w:type="dxa"/>
              <w:left w:w="28" w:type="dxa"/>
              <w:bottom w:w="0" w:type="dxa"/>
              <w:right w:w="28" w:type="dxa"/>
            </w:tcMar>
            <w:vAlign w:val="center"/>
            <w:hideMark/>
          </w:tcPr>
          <w:p w:rsidR="00DB7622" w:rsidRDefault="00042520">
            <w:pPr>
              <w:widowControl/>
              <w:snapToGrid w:val="0"/>
              <w:jc w:val="center"/>
              <w:rPr>
                <w:rFonts w:hAnsi="標楷體"/>
                <w:kern w:val="0"/>
                <w:sz w:val="24"/>
                <w:szCs w:val="24"/>
                <w:lang w:val="x-none"/>
              </w:rPr>
            </w:pPr>
            <w:r>
              <w:rPr>
                <w:rFonts w:hAnsi="標楷體"/>
                <w:kern w:val="0"/>
                <w:sz w:val="24"/>
                <w:szCs w:val="24"/>
                <w:lang w:val="x-none"/>
              </w:rPr>
              <w:t>113年8月29日</w:t>
            </w:r>
          </w:p>
          <w:p w:rsidR="00DB7622" w:rsidRDefault="00042520">
            <w:pPr>
              <w:widowControl/>
              <w:jc w:val="center"/>
              <w:rPr>
                <w:rFonts w:hAnsi="標楷體"/>
                <w:kern w:val="0"/>
                <w:sz w:val="24"/>
                <w:szCs w:val="24"/>
              </w:rPr>
            </w:pPr>
            <w:r>
              <w:rPr>
                <w:rFonts w:hAnsi="標楷體"/>
                <w:kern w:val="0"/>
                <w:sz w:val="24"/>
                <w:szCs w:val="24"/>
                <w:lang w:val="x-none"/>
              </w:rPr>
              <w:t>訂定發布</w:t>
            </w:r>
          </w:p>
        </w:tc>
      </w:tr>
      <w:tr w:rsidR="00DB7622">
        <w:trPr>
          <w:trHeight w:val="397"/>
        </w:trPr>
        <w:tc>
          <w:tcPr>
            <w:tcW w:w="719" w:type="pct"/>
            <w:shd w:val="clear" w:color="auto" w:fill="FFFFFF"/>
            <w:tcMar>
              <w:top w:w="0" w:type="dxa"/>
              <w:left w:w="28" w:type="dxa"/>
              <w:bottom w:w="0" w:type="dxa"/>
              <w:right w:w="28" w:type="dxa"/>
            </w:tcMar>
            <w:vAlign w:val="center"/>
          </w:tcPr>
          <w:p w:rsidR="00DB7622" w:rsidRDefault="00042520">
            <w:pPr>
              <w:widowControl/>
              <w:spacing w:before="100" w:beforeAutospacing="1" w:after="100" w:afterAutospacing="1"/>
              <w:rPr>
                <w:rFonts w:hAnsi="標楷體"/>
                <w:kern w:val="0"/>
                <w:sz w:val="24"/>
                <w:szCs w:val="24"/>
                <w:lang w:val="x-none"/>
              </w:rPr>
            </w:pPr>
            <w:r>
              <w:rPr>
                <w:rFonts w:hAnsi="標楷體"/>
                <w:kern w:val="0"/>
                <w:sz w:val="24"/>
                <w:szCs w:val="24"/>
                <w:lang w:val="x-none"/>
              </w:rPr>
              <w:t>第29條</w:t>
            </w:r>
            <w:r>
              <w:rPr>
                <w:rFonts w:hAnsi="標楷體"/>
                <w:kern w:val="0"/>
                <w:sz w:val="24"/>
                <w:szCs w:val="24"/>
                <w:lang w:val="x-none"/>
              </w:rPr>
              <w:br/>
              <w:t>第3項</w:t>
            </w:r>
          </w:p>
        </w:tc>
        <w:tc>
          <w:tcPr>
            <w:tcW w:w="1524" w:type="pct"/>
            <w:shd w:val="clear" w:color="auto" w:fill="FFFFFF"/>
            <w:tcMar>
              <w:top w:w="0" w:type="dxa"/>
              <w:left w:w="28" w:type="dxa"/>
              <w:bottom w:w="0" w:type="dxa"/>
              <w:right w:w="28" w:type="dxa"/>
            </w:tcMar>
            <w:vAlign w:val="center"/>
          </w:tcPr>
          <w:p w:rsidR="00DB7622" w:rsidRDefault="00042520">
            <w:pPr>
              <w:widowControl/>
              <w:spacing w:before="100" w:beforeAutospacing="1" w:after="100" w:afterAutospacing="1"/>
              <w:rPr>
                <w:rFonts w:hAnsi="標楷體"/>
                <w:kern w:val="0"/>
                <w:sz w:val="24"/>
                <w:szCs w:val="24"/>
                <w:lang w:val="x-none"/>
              </w:rPr>
            </w:pPr>
            <w:r>
              <w:rPr>
                <w:rFonts w:hAnsi="標楷體" w:hint="eastAsia"/>
                <w:kern w:val="0"/>
                <w:sz w:val="24"/>
                <w:szCs w:val="24"/>
                <w:lang w:val="x-none"/>
              </w:rPr>
              <w:t>自主減量計畫管理辦法</w:t>
            </w:r>
          </w:p>
        </w:tc>
        <w:tc>
          <w:tcPr>
            <w:tcW w:w="1124" w:type="pct"/>
            <w:shd w:val="clear" w:color="auto" w:fill="FFFFFF"/>
            <w:tcMar>
              <w:top w:w="0" w:type="dxa"/>
              <w:left w:w="28" w:type="dxa"/>
              <w:bottom w:w="0" w:type="dxa"/>
              <w:right w:w="28" w:type="dxa"/>
            </w:tcMar>
            <w:vAlign w:val="center"/>
          </w:tcPr>
          <w:p w:rsidR="00DB7622" w:rsidRDefault="00042520">
            <w:pPr>
              <w:widowControl/>
              <w:spacing w:before="100" w:beforeAutospacing="1" w:after="100" w:afterAutospacing="1"/>
              <w:jc w:val="center"/>
              <w:rPr>
                <w:rFonts w:hAnsi="標楷體"/>
                <w:kern w:val="0"/>
                <w:sz w:val="24"/>
                <w:szCs w:val="24"/>
                <w:lang w:val="x-none"/>
              </w:rPr>
            </w:pPr>
            <w:r>
              <w:rPr>
                <w:rFonts w:hAnsi="標楷體"/>
                <w:kern w:val="0"/>
                <w:sz w:val="24"/>
                <w:szCs w:val="24"/>
                <w:lang w:val="x-none"/>
              </w:rPr>
              <w:t>同上</w:t>
            </w:r>
          </w:p>
        </w:tc>
        <w:tc>
          <w:tcPr>
            <w:tcW w:w="1633" w:type="pct"/>
            <w:shd w:val="clear" w:color="auto" w:fill="FFFFFF"/>
            <w:tcMar>
              <w:top w:w="0" w:type="dxa"/>
              <w:left w:w="28" w:type="dxa"/>
              <w:bottom w:w="0" w:type="dxa"/>
              <w:right w:w="28" w:type="dxa"/>
            </w:tcMar>
            <w:vAlign w:val="center"/>
          </w:tcPr>
          <w:p w:rsidR="00DB7622" w:rsidRDefault="00042520">
            <w:pPr>
              <w:widowControl/>
              <w:snapToGrid w:val="0"/>
              <w:jc w:val="center"/>
              <w:rPr>
                <w:rFonts w:hAnsi="標楷體"/>
                <w:kern w:val="0"/>
                <w:sz w:val="24"/>
                <w:szCs w:val="24"/>
                <w:lang w:val="x-none"/>
              </w:rPr>
            </w:pPr>
            <w:r>
              <w:rPr>
                <w:rFonts w:hAnsi="標楷體"/>
                <w:kern w:val="0"/>
                <w:sz w:val="24"/>
                <w:szCs w:val="24"/>
                <w:lang w:val="x-none"/>
              </w:rPr>
              <w:t>113年8月29日</w:t>
            </w:r>
          </w:p>
          <w:p w:rsidR="00DB7622" w:rsidRDefault="00042520">
            <w:pPr>
              <w:widowControl/>
              <w:snapToGrid w:val="0"/>
              <w:jc w:val="center"/>
              <w:rPr>
                <w:rFonts w:hAnsi="標楷體"/>
                <w:kern w:val="0"/>
                <w:sz w:val="24"/>
                <w:szCs w:val="24"/>
                <w:lang w:val="x-none"/>
              </w:rPr>
            </w:pPr>
            <w:r>
              <w:rPr>
                <w:rFonts w:hAnsi="標楷體"/>
                <w:kern w:val="0"/>
                <w:sz w:val="24"/>
                <w:szCs w:val="24"/>
                <w:lang w:val="x-none"/>
              </w:rPr>
              <w:t>訂定發布</w:t>
            </w:r>
          </w:p>
        </w:tc>
      </w:tr>
      <w:tr w:rsidR="00DB7622">
        <w:trPr>
          <w:trHeight w:val="397"/>
        </w:trPr>
        <w:tc>
          <w:tcPr>
            <w:tcW w:w="719"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預算法</w:t>
            </w:r>
            <w:r>
              <w:rPr>
                <w:rFonts w:hAnsi="標楷體"/>
                <w:kern w:val="0"/>
                <w:sz w:val="24"/>
                <w:szCs w:val="24"/>
                <w:lang w:val="x-none"/>
              </w:rPr>
              <w:br/>
              <w:t>第21條</w:t>
            </w:r>
          </w:p>
        </w:tc>
        <w:tc>
          <w:tcPr>
            <w:tcW w:w="15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rPr>
                <w:rFonts w:hAnsi="標楷體"/>
                <w:kern w:val="0"/>
                <w:sz w:val="24"/>
                <w:szCs w:val="24"/>
              </w:rPr>
            </w:pPr>
            <w:r>
              <w:rPr>
                <w:rFonts w:hAnsi="標楷體"/>
                <w:kern w:val="0"/>
                <w:sz w:val="24"/>
                <w:szCs w:val="24"/>
                <w:lang w:val="x-none"/>
              </w:rPr>
              <w:t>溫室氣體管理基金收支保管及運用辦法</w:t>
            </w:r>
          </w:p>
        </w:tc>
        <w:tc>
          <w:tcPr>
            <w:tcW w:w="1124" w:type="pct"/>
            <w:shd w:val="clear" w:color="auto" w:fill="FFFFFF"/>
            <w:tcMar>
              <w:top w:w="0" w:type="dxa"/>
              <w:left w:w="28" w:type="dxa"/>
              <w:bottom w:w="0" w:type="dxa"/>
              <w:right w:w="28" w:type="dxa"/>
            </w:tcMar>
            <w:vAlign w:val="center"/>
            <w:hideMark/>
          </w:tcPr>
          <w:p w:rsidR="00DB7622" w:rsidRDefault="00042520">
            <w:pPr>
              <w:widowControl/>
              <w:spacing w:before="100" w:beforeAutospacing="1" w:after="100" w:afterAutospacing="1"/>
              <w:jc w:val="center"/>
              <w:rPr>
                <w:rFonts w:hAnsi="標楷體"/>
                <w:kern w:val="0"/>
                <w:sz w:val="24"/>
                <w:szCs w:val="24"/>
              </w:rPr>
            </w:pPr>
            <w:r>
              <w:rPr>
                <w:rFonts w:hAnsi="標楷體"/>
                <w:kern w:val="0"/>
                <w:sz w:val="24"/>
                <w:szCs w:val="24"/>
                <w:lang w:val="x-none"/>
              </w:rPr>
              <w:t>同上</w:t>
            </w:r>
          </w:p>
        </w:tc>
        <w:tc>
          <w:tcPr>
            <w:tcW w:w="1633" w:type="pct"/>
            <w:shd w:val="clear" w:color="auto" w:fill="FFFFFF"/>
            <w:tcMar>
              <w:top w:w="0" w:type="dxa"/>
              <w:left w:w="28" w:type="dxa"/>
              <w:bottom w:w="0" w:type="dxa"/>
              <w:right w:w="28" w:type="dxa"/>
            </w:tcMar>
            <w:vAlign w:val="center"/>
            <w:hideMark/>
          </w:tcPr>
          <w:p w:rsidR="00DB7622" w:rsidRDefault="00042520">
            <w:pPr>
              <w:widowControl/>
              <w:jc w:val="center"/>
              <w:rPr>
                <w:rFonts w:hAnsi="標楷體"/>
                <w:kern w:val="0"/>
                <w:sz w:val="24"/>
                <w:szCs w:val="24"/>
              </w:rPr>
            </w:pPr>
            <w:proofErr w:type="gramStart"/>
            <w:r>
              <w:rPr>
                <w:rFonts w:hAnsi="標楷體" w:hint="eastAsia"/>
                <w:kern w:val="0"/>
                <w:sz w:val="24"/>
                <w:szCs w:val="24"/>
                <w:lang w:val="x-none"/>
              </w:rPr>
              <w:t>研</w:t>
            </w:r>
            <w:proofErr w:type="gramEnd"/>
            <w:r>
              <w:rPr>
                <w:rFonts w:hAnsi="標楷體" w:hint="eastAsia"/>
                <w:kern w:val="0"/>
                <w:sz w:val="24"/>
                <w:szCs w:val="24"/>
                <w:lang w:val="x-none"/>
              </w:rPr>
              <w:t>擬中</w:t>
            </w:r>
          </w:p>
        </w:tc>
      </w:tr>
    </w:tbl>
    <w:p w:rsidR="00DB7622" w:rsidRDefault="00042520">
      <w:pPr>
        <w:pStyle w:val="af7"/>
        <w:rPr>
          <w:rFonts w:hAnsi="標楷體"/>
        </w:rPr>
      </w:pPr>
      <w:r>
        <w:rPr>
          <w:rFonts w:hAnsi="標楷體"/>
        </w:rPr>
        <w:t>資料來源：環</w:t>
      </w:r>
      <w:r>
        <w:rPr>
          <w:rFonts w:hAnsi="標楷體" w:hint="eastAsia"/>
        </w:rPr>
        <w:t>境部提供本院</w:t>
      </w:r>
      <w:r>
        <w:rPr>
          <w:rFonts w:hAnsi="標楷體"/>
        </w:rPr>
        <w:t>資料</w:t>
      </w:r>
      <w:r>
        <w:rPr>
          <w:rFonts w:hAnsi="標楷體" w:hint="eastAsia"/>
        </w:rPr>
        <w:t>。</w:t>
      </w:r>
    </w:p>
    <w:p w:rsidR="00DB7622" w:rsidRDefault="00042520">
      <w:pPr>
        <w:pStyle w:val="3"/>
        <w:ind w:left="1418"/>
      </w:pPr>
      <w:r>
        <w:rPr>
          <w:rFonts w:hint="eastAsia"/>
        </w:rPr>
        <w:t>有關氣候法中涉及碳定價及減量額度交易相關子法，</w:t>
      </w:r>
      <w:proofErr w:type="gramStart"/>
      <w:r>
        <w:rPr>
          <w:rFonts w:hint="eastAsia"/>
        </w:rPr>
        <w:t>該部已於</w:t>
      </w:r>
      <w:proofErr w:type="gramEnd"/>
      <w:r>
        <w:rPr>
          <w:rFonts w:hint="eastAsia"/>
        </w:rPr>
        <w:t>112年10月12日發布「溫室氣體自願減量專案管理辦法」及「溫室氣體排放量增量抵換管理辦法」，並於112年10月31日預告「</w:t>
      </w:r>
      <w:proofErr w:type="gramStart"/>
      <w:r>
        <w:rPr>
          <w:rFonts w:hint="eastAsia"/>
        </w:rPr>
        <w:t>碳費費</w:t>
      </w:r>
      <w:proofErr w:type="gramEnd"/>
      <w:r>
        <w:rPr>
          <w:rFonts w:hint="eastAsia"/>
        </w:rPr>
        <w:t>率審議會設置要點」草案，以推動溫室氣體抵換專案及自願減量專案。113年4月29日預告「</w:t>
      </w:r>
      <w:proofErr w:type="gramStart"/>
      <w:r>
        <w:rPr>
          <w:rFonts w:hint="eastAsia"/>
        </w:rPr>
        <w:t>碳費收費</w:t>
      </w:r>
      <w:proofErr w:type="gramEnd"/>
      <w:r>
        <w:rPr>
          <w:rFonts w:hint="eastAsia"/>
        </w:rPr>
        <w:t>辦法」、「</w:t>
      </w:r>
      <w:proofErr w:type="gramStart"/>
      <w:r>
        <w:rPr>
          <w:rFonts w:hint="eastAsia"/>
        </w:rPr>
        <w:t>碳費徵</w:t>
      </w:r>
      <w:proofErr w:type="gramEnd"/>
      <w:r>
        <w:rPr>
          <w:rFonts w:hint="eastAsia"/>
        </w:rPr>
        <w:t>收對象溫室氣體減量指定目標」及「自主減量計畫管理辦法」草案，於113年8月29日完成三項子法的訂定及公告。初期收費對象為符合「事業應盤查登錄及查驗溫室氣體排放量之排放源」且全廠(場)直接排放及使用電力之間接排放產生溫室氣體年排放量，合計值達2.5萬公噸CO</w:t>
      </w:r>
      <w:r>
        <w:rPr>
          <w:rFonts w:hint="eastAsia"/>
          <w:vertAlign w:val="subscript"/>
        </w:rPr>
        <w:t>2</w:t>
      </w:r>
      <w:r>
        <w:rPr>
          <w:rFonts w:hint="eastAsia"/>
        </w:rPr>
        <w:t>e以上之電力業及製造業，並將自費率公告生效後次年起，於每年5月底前依前一年度溫室氣體排放量，計算應繳納之費額。</w:t>
      </w:r>
      <w:r>
        <w:t>112</w:t>
      </w:r>
      <w:r>
        <w:rPr>
          <w:rFonts w:hint="eastAsia"/>
        </w:rPr>
        <w:t>年12月19日於網站上所公告之「環境部</w:t>
      </w:r>
      <w:proofErr w:type="gramStart"/>
      <w:r>
        <w:rPr>
          <w:rFonts w:hint="eastAsia"/>
        </w:rPr>
        <w:t>113</w:t>
      </w:r>
      <w:proofErr w:type="gramEnd"/>
      <w:r>
        <w:rPr>
          <w:rFonts w:hint="eastAsia"/>
        </w:rPr>
        <w:t>年度擬訂定、修正或廢止之法規命令清單」，此三子法當初預計規劃辦理的時程為113年3月，三項子法草案於113年4月29日預告、於8月29日公告，稍晚於去(1</w:t>
      </w:r>
      <w:r>
        <w:t>12</w:t>
      </w:r>
      <w:r>
        <w:rPr>
          <w:rFonts w:hint="eastAsia"/>
        </w:rPr>
        <w:t>)年底所預期的時程(</w:t>
      </w:r>
      <w:proofErr w:type="gramStart"/>
      <w:r>
        <w:rPr>
          <w:rFonts w:hint="eastAsia"/>
        </w:rPr>
        <w:t>詳</w:t>
      </w:r>
      <w:proofErr w:type="gramEnd"/>
      <w:r>
        <w:rPr>
          <w:rFonts w:hint="eastAsia"/>
        </w:rPr>
        <w:t>表</w:t>
      </w:r>
      <w:r>
        <w:t>7)</w:t>
      </w:r>
      <w:r>
        <w:rPr>
          <w:rFonts w:hint="eastAsia"/>
        </w:rPr>
        <w:t>，延遲主要的原因在於各界</w:t>
      </w:r>
      <w:proofErr w:type="gramStart"/>
      <w:r>
        <w:rPr>
          <w:rFonts w:hint="eastAsia"/>
        </w:rPr>
        <w:t>對於碳費制</w:t>
      </w:r>
      <w:proofErr w:type="gramEnd"/>
      <w:r>
        <w:rPr>
          <w:rFonts w:hint="eastAsia"/>
        </w:rPr>
        <w:t>度有相當大的歧見，環境部需要足夠的時間與社會各界以及利害關係人進行持續的溝通與討論，自112年7月起即展開與各界的溝通，包含與經濟部召開6場次雙次長溝通</w:t>
      </w:r>
      <w:r>
        <w:rPr>
          <w:rFonts w:hint="eastAsia"/>
        </w:rPr>
        <w:lastRenderedPageBreak/>
        <w:t>會議，並分別與各產業公、協會及相關環保團體等召開25場以上會議，於預告上</w:t>
      </w:r>
      <w:proofErr w:type="gramStart"/>
      <w:r>
        <w:rPr>
          <w:rFonts w:hint="eastAsia"/>
        </w:rPr>
        <w:t>開碳</w:t>
      </w:r>
      <w:proofErr w:type="gramEnd"/>
      <w:r>
        <w:rPr>
          <w:rFonts w:hint="eastAsia"/>
        </w:rPr>
        <w:t>費三項子法草案後，邀集各產業公、協會及規劃之收費對象，與經濟部召開共7場次子法草案說明會，使產業深入</w:t>
      </w:r>
      <w:proofErr w:type="gramStart"/>
      <w:r>
        <w:rPr>
          <w:rFonts w:hint="eastAsia"/>
        </w:rPr>
        <w:t>瞭解碳費相</w:t>
      </w:r>
      <w:proofErr w:type="gramEnd"/>
      <w:r>
        <w:rPr>
          <w:rFonts w:hint="eastAsia"/>
        </w:rPr>
        <w:t>關機制設計，並於113年7月12日召開研商會議、於113年8月15日邀集相關環保團體召開座談會，最後於113年8月29日完成訂定及公告。</w:t>
      </w:r>
    </w:p>
    <w:p w:rsidR="00DB7622" w:rsidRDefault="00042520">
      <w:pPr>
        <w:pStyle w:val="3"/>
        <w:ind w:left="1418"/>
      </w:pPr>
      <w:r>
        <w:rPr>
          <w:rFonts w:hint="eastAsia"/>
        </w:rPr>
        <w:t>氣候法第28條第3項規定，</w:t>
      </w:r>
      <w:proofErr w:type="gramStart"/>
      <w:r>
        <w:rPr>
          <w:rFonts w:hint="eastAsia"/>
        </w:rPr>
        <w:t>碳費之</w:t>
      </w:r>
      <w:proofErr w:type="gramEnd"/>
      <w:r>
        <w:rPr>
          <w:rFonts w:hint="eastAsia"/>
        </w:rPr>
        <w:t>徵收費率，由中央主管機關所設之費率審議會依我國溫室氣體減量現況、排放源類型、溫室氣體排放種類、排放量規模、自主減量情形及減量效果及其他相關因素審議，送環境部核定公告，並定期檢討之。</w:t>
      </w:r>
      <w:proofErr w:type="gramStart"/>
      <w:r>
        <w:rPr>
          <w:rFonts w:hint="eastAsia"/>
        </w:rPr>
        <w:t>環境部於112年12月1日</w:t>
      </w:r>
      <w:proofErr w:type="gramEnd"/>
      <w:r>
        <w:rPr>
          <w:rFonts w:hint="eastAsia"/>
        </w:rPr>
        <w:t>訂定發布「</w:t>
      </w:r>
      <w:proofErr w:type="gramStart"/>
      <w:r>
        <w:rPr>
          <w:rFonts w:hint="eastAsia"/>
        </w:rPr>
        <w:t>碳費費</w:t>
      </w:r>
      <w:proofErr w:type="gramEnd"/>
      <w:r>
        <w:rPr>
          <w:rFonts w:hint="eastAsia"/>
        </w:rPr>
        <w:t>率審議會設置要點」，明</w:t>
      </w:r>
      <w:proofErr w:type="gramStart"/>
      <w:r>
        <w:rPr>
          <w:rFonts w:hint="eastAsia"/>
        </w:rPr>
        <w:t>定碳</w:t>
      </w:r>
      <w:proofErr w:type="gramEnd"/>
      <w:r>
        <w:rPr>
          <w:rFonts w:hint="eastAsia"/>
        </w:rPr>
        <w:t>費費率審議會委員的組成及審議會議相關運作方式，後於113年1月公開徵求各界推薦學者專家委員，經113年2月20日召開遴選會議後遴選出8位學者專家委員，並由環境部次長擔任召集人、氣候變遷署署長擔任副召集人，以及5個機關代表及6個民間團體代表，委員人數總計21位，任期將自113年3月1日起至115年2月28日。該</w:t>
      </w:r>
      <w:proofErr w:type="gramStart"/>
      <w:r>
        <w:rPr>
          <w:rFonts w:hint="eastAsia"/>
        </w:rPr>
        <w:t>部已召開4次碳費</w:t>
      </w:r>
      <w:proofErr w:type="gramEnd"/>
      <w:r>
        <w:rPr>
          <w:rFonts w:hint="eastAsia"/>
        </w:rPr>
        <w:t>費率審議會，嗣訂於113年9月9日召開</w:t>
      </w:r>
      <w:proofErr w:type="gramStart"/>
      <w:r>
        <w:rPr>
          <w:rFonts w:hint="eastAsia"/>
        </w:rPr>
        <w:t>第5次碳</w:t>
      </w:r>
      <w:proofErr w:type="gramEnd"/>
      <w:r>
        <w:rPr>
          <w:rFonts w:hint="eastAsia"/>
        </w:rPr>
        <w:t>費費率審議會，將於會上報告</w:t>
      </w:r>
      <w:proofErr w:type="gramStart"/>
      <w:r>
        <w:rPr>
          <w:rFonts w:hint="eastAsia"/>
        </w:rPr>
        <w:t>不同碳</w:t>
      </w:r>
      <w:proofErr w:type="gramEnd"/>
      <w:r>
        <w:rPr>
          <w:rFonts w:hint="eastAsia"/>
        </w:rPr>
        <w:t>費費率方案對個別產業的衝擊影響評估，提供審議會委員</w:t>
      </w:r>
      <w:proofErr w:type="gramStart"/>
      <w:r>
        <w:rPr>
          <w:rFonts w:hint="eastAsia"/>
        </w:rPr>
        <w:t>就碳</w:t>
      </w:r>
      <w:proofErr w:type="gramEnd"/>
      <w:r>
        <w:rPr>
          <w:rFonts w:hint="eastAsia"/>
        </w:rPr>
        <w:t>費費率及優惠費率進行討論及審議。依照1</w:t>
      </w:r>
      <w:r>
        <w:t>12</w:t>
      </w:r>
      <w:r>
        <w:rPr>
          <w:rFonts w:hint="eastAsia"/>
        </w:rPr>
        <w:t>年12月19日於網站上所公告之「環境部</w:t>
      </w:r>
      <w:proofErr w:type="gramStart"/>
      <w:r>
        <w:rPr>
          <w:rFonts w:hint="eastAsia"/>
        </w:rPr>
        <w:t>113</w:t>
      </w:r>
      <w:proofErr w:type="gramEnd"/>
      <w:r>
        <w:rPr>
          <w:rFonts w:hint="eastAsia"/>
        </w:rPr>
        <w:t>年度擬訂定、修正或廢止之法規命令清單」，</w:t>
      </w:r>
      <w:proofErr w:type="gramStart"/>
      <w:r>
        <w:rPr>
          <w:rFonts w:hint="eastAsia"/>
        </w:rPr>
        <w:t>碳費費</w:t>
      </w:r>
      <w:proofErr w:type="gramEnd"/>
      <w:r>
        <w:rPr>
          <w:rFonts w:hint="eastAsia"/>
        </w:rPr>
        <w:t>率當初預計規劃辦理的時程為113年3月預告、6月發布，目前辦理情形落後的原因主要在於依照氣候法第28條第3項，</w:t>
      </w:r>
      <w:proofErr w:type="gramStart"/>
      <w:r>
        <w:rPr>
          <w:rFonts w:hint="eastAsia"/>
        </w:rPr>
        <w:t>碳費費</w:t>
      </w:r>
      <w:proofErr w:type="gramEnd"/>
      <w:r>
        <w:rPr>
          <w:rFonts w:hint="eastAsia"/>
        </w:rPr>
        <w:t>率將由費率審議會進行審議後送環境部核定，故辦理的時程需依照費率審議會審議的進度與</w:t>
      </w:r>
      <w:r>
        <w:rPr>
          <w:rFonts w:hint="eastAsia"/>
        </w:rPr>
        <w:lastRenderedPageBreak/>
        <w:t>狀況而定。如同前述所提</w:t>
      </w:r>
      <w:proofErr w:type="gramStart"/>
      <w:r>
        <w:rPr>
          <w:rFonts w:hint="eastAsia"/>
        </w:rPr>
        <w:t>之碳費</w:t>
      </w:r>
      <w:proofErr w:type="gramEnd"/>
      <w:r>
        <w:rPr>
          <w:rFonts w:hint="eastAsia"/>
        </w:rPr>
        <w:t>三子法，各界</w:t>
      </w:r>
      <w:proofErr w:type="gramStart"/>
      <w:r>
        <w:rPr>
          <w:rFonts w:hint="eastAsia"/>
        </w:rPr>
        <w:t>對碳</w:t>
      </w:r>
      <w:proofErr w:type="gramEnd"/>
      <w:r>
        <w:rPr>
          <w:rFonts w:hint="eastAsia"/>
        </w:rPr>
        <w:t>費費率的意見有相當大的分歧，故費率審議會的委員於審議過程中相當嚴謹且謹慎，需要環境部提供充分的評估數據供審議參考。</w:t>
      </w:r>
      <w:proofErr w:type="gramStart"/>
      <w:r>
        <w:rPr>
          <w:rFonts w:hint="eastAsia"/>
        </w:rPr>
        <w:t>嗣</w:t>
      </w:r>
      <w:proofErr w:type="gramEnd"/>
      <w:r>
        <w:rPr>
          <w:rFonts w:hint="eastAsia"/>
        </w:rPr>
        <w:t>於</w:t>
      </w:r>
      <w:r>
        <w:t>113年10月7日費率審議會完成審議，包括：一般費率及二種優惠費率</w:t>
      </w:r>
      <w:r>
        <w:rPr>
          <w:rStyle w:val="aff8"/>
        </w:rPr>
        <w:footnoteReference w:id="2"/>
      </w:r>
      <w:r>
        <w:t>；由</w:t>
      </w:r>
      <w:proofErr w:type="gramStart"/>
      <w:r>
        <w:t>環境部於</w:t>
      </w:r>
      <w:r>
        <w:rPr>
          <w:rFonts w:hint="eastAsia"/>
        </w:rPr>
        <w:t>同</w:t>
      </w:r>
      <w:r>
        <w:t>年</w:t>
      </w:r>
      <w:proofErr w:type="gramEnd"/>
      <w:r>
        <w:t>月8日進行預告，114年1月1日生效。</w:t>
      </w:r>
    </w:p>
    <w:p w:rsidR="00DB7622" w:rsidRDefault="00042520">
      <w:pPr>
        <w:pStyle w:val="3"/>
        <w:ind w:left="1418"/>
        <w:rPr>
          <w:rFonts w:hAnsi="標楷體"/>
        </w:rPr>
      </w:pPr>
      <w:proofErr w:type="gramStart"/>
      <w:r>
        <w:rPr>
          <w:rFonts w:hAnsi="標楷體" w:hint="eastAsia"/>
        </w:rPr>
        <w:t>鑑</w:t>
      </w:r>
      <w:proofErr w:type="gramEnd"/>
      <w:r>
        <w:rPr>
          <w:rFonts w:hAnsi="標楷體" w:hint="eastAsia"/>
        </w:rPr>
        <w:t>於溫室氣體長期減量目標已修正調整為139年(西元2050年)溫室</w:t>
      </w:r>
      <w:proofErr w:type="gramStart"/>
      <w:r>
        <w:rPr>
          <w:rFonts w:hAnsi="標楷體" w:hint="eastAsia"/>
        </w:rPr>
        <w:t>氣體淨零排</w:t>
      </w:r>
      <w:proofErr w:type="gramEnd"/>
      <w:r>
        <w:rPr>
          <w:rFonts w:hAnsi="標楷體" w:hint="eastAsia"/>
        </w:rPr>
        <w:t>放，原環保署前已邀集相關部門研商目標達成情形檢核結果檢討及未達標成因分析，並於111年12月28日陳報</w:t>
      </w:r>
      <w:r>
        <w:rPr>
          <w:rFonts w:hint="eastAsia"/>
        </w:rPr>
        <w:t>行政院</w:t>
      </w:r>
      <w:r>
        <w:rPr>
          <w:rFonts w:hAnsi="標楷體" w:hint="eastAsia"/>
        </w:rPr>
        <w:t>。經檢討第一期未能達標主要原因，包括：產業暢旺帶動整體電力消費較預期增加，另供給面受</w:t>
      </w:r>
      <w:proofErr w:type="gramStart"/>
      <w:r>
        <w:rPr>
          <w:rFonts w:hAnsi="標楷體" w:hint="eastAsia"/>
        </w:rPr>
        <w:t>水情不佳</w:t>
      </w:r>
      <w:proofErr w:type="gramEnd"/>
      <w:r>
        <w:rPr>
          <w:rFonts w:hAnsi="標楷體" w:hint="eastAsia"/>
        </w:rPr>
        <w:t>與疫情影響再生能源設置進度所致。</w:t>
      </w:r>
      <w:proofErr w:type="gramStart"/>
      <w:r>
        <w:rPr>
          <w:rFonts w:hAnsi="標楷體" w:hint="eastAsia"/>
        </w:rPr>
        <w:t>鑑</w:t>
      </w:r>
      <w:proofErr w:type="gramEnd"/>
      <w:r>
        <w:rPr>
          <w:rFonts w:hAnsi="標楷體" w:hint="eastAsia"/>
        </w:rPr>
        <w:t>於溫室氣體</w:t>
      </w:r>
      <w:proofErr w:type="gramStart"/>
      <w:r>
        <w:rPr>
          <w:rFonts w:hAnsi="標楷體" w:hint="eastAsia"/>
        </w:rPr>
        <w:t>減碳</w:t>
      </w:r>
      <w:proofErr w:type="gramEnd"/>
      <w:r>
        <w:rPr>
          <w:rFonts w:hAnsi="標楷體" w:hint="eastAsia"/>
        </w:rPr>
        <w:t>需長期持續推動，行政院已核定第二期(114年)溫室氣體階段管制目標(為比基準年94年減少10%)及能源、製造、運輸、住商、農業及環境等六大部門提出之第二期溫室氣體排放管制行動方案，相關部會正據以推動落實；另我國亦公布「臺灣2050</w:t>
      </w:r>
      <w:proofErr w:type="gramStart"/>
      <w:r>
        <w:rPr>
          <w:rFonts w:hAnsi="標楷體" w:hint="eastAsia"/>
        </w:rPr>
        <w:t>淨零排放</w:t>
      </w:r>
      <w:proofErr w:type="gramEnd"/>
      <w:r>
        <w:rPr>
          <w:rFonts w:hAnsi="標楷體" w:hint="eastAsia"/>
        </w:rPr>
        <w:t>路徑」，推動能源轉型、產業轉型、生活轉型、社會轉型等四大轉型策略，並輔以12項關鍵戰略行動計畫，透過2050</w:t>
      </w:r>
      <w:proofErr w:type="gramStart"/>
      <w:r>
        <w:rPr>
          <w:rFonts w:hAnsi="標楷體" w:hint="eastAsia"/>
        </w:rPr>
        <w:t>淨零排</w:t>
      </w:r>
      <w:proofErr w:type="gramEnd"/>
      <w:r>
        <w:rPr>
          <w:rFonts w:hAnsi="標楷體" w:hint="eastAsia"/>
        </w:rPr>
        <w:t>放目標及策略路徑推動，以協助部門深化</w:t>
      </w:r>
      <w:proofErr w:type="gramStart"/>
      <w:r>
        <w:rPr>
          <w:rFonts w:hAnsi="標楷體" w:hint="eastAsia"/>
        </w:rPr>
        <w:t>減碳</w:t>
      </w:r>
      <w:proofErr w:type="gramEnd"/>
      <w:r>
        <w:rPr>
          <w:rFonts w:hAnsi="標楷體" w:hint="eastAsia"/>
        </w:rPr>
        <w:t>力道及加速轉型。為強化第二期階段管制目標執行，依112年8月15日行政院國家永續發展委員會第35次委員會議決定，協調六大部門提出年度目標及評量指標，</w:t>
      </w:r>
      <w:proofErr w:type="gramStart"/>
      <w:r>
        <w:rPr>
          <w:rFonts w:hAnsi="標楷體" w:hint="eastAsia"/>
        </w:rPr>
        <w:t>經綜整</w:t>
      </w:r>
      <w:proofErr w:type="gramEnd"/>
      <w:r>
        <w:rPr>
          <w:rFonts w:hAnsi="標楷體" w:hint="eastAsia"/>
        </w:rPr>
        <w:t>，六大</w:t>
      </w:r>
      <w:proofErr w:type="gramStart"/>
      <w:r>
        <w:rPr>
          <w:rFonts w:hAnsi="標楷體" w:hint="eastAsia"/>
        </w:rPr>
        <w:t>部門均已</w:t>
      </w:r>
      <w:proofErr w:type="gramEnd"/>
      <w:r>
        <w:rPr>
          <w:rFonts w:hAnsi="標楷體" w:hint="eastAsia"/>
        </w:rPr>
        <w:t>明列各年度溫室氣體排放目標，並增訂13項個別年度目標，合計年度目標共35項，於113年</w:t>
      </w:r>
      <w:r>
        <w:rPr>
          <w:rFonts w:hAnsi="標楷體" w:hint="eastAsia"/>
        </w:rPr>
        <w:lastRenderedPageBreak/>
        <w:t>8月8日函請各部門主政部會將年度目標執行情形將併入六大部門行動方案年度成果報告，對外公開各項達成情形及改善作法。</w:t>
      </w:r>
      <w:proofErr w:type="gramStart"/>
      <w:r>
        <w:rPr>
          <w:rFonts w:hAnsi="標楷體" w:hint="eastAsia"/>
        </w:rPr>
        <w:t>此外，</w:t>
      </w:r>
      <w:proofErr w:type="gramEnd"/>
      <w:r>
        <w:rPr>
          <w:rFonts w:hAnsi="標楷體" w:hint="eastAsia"/>
        </w:rPr>
        <w:t>依氣候法第10條及第12條規定，每年定期彙整六大部門階段管制目標執行狀況向行政院報告及行動方案成果報告報請行政院核定後公開，以落實管考加速</w:t>
      </w:r>
      <w:proofErr w:type="gramStart"/>
      <w:r>
        <w:rPr>
          <w:rFonts w:hAnsi="標楷體" w:hint="eastAsia"/>
        </w:rPr>
        <w:t>減碳</w:t>
      </w:r>
      <w:proofErr w:type="gramEnd"/>
      <w:r>
        <w:rPr>
          <w:rFonts w:hAnsi="標楷體" w:hint="eastAsia"/>
        </w:rPr>
        <w:t>。惟自110年1月起已邁入第二期溫室氣體階段管制目標排放期，截至11</w:t>
      </w:r>
      <w:r>
        <w:rPr>
          <w:rFonts w:hAnsi="標楷體"/>
        </w:rPr>
        <w:t>2</w:t>
      </w:r>
      <w:r>
        <w:rPr>
          <w:rFonts w:hAnsi="標楷體" w:hint="eastAsia"/>
        </w:rPr>
        <w:t>年底止已屆滿3年，減量實際情形未如預期，</w:t>
      </w:r>
      <w:proofErr w:type="gramStart"/>
      <w:r>
        <w:rPr>
          <w:rFonts w:hAnsi="標楷體" w:hint="eastAsia"/>
        </w:rPr>
        <w:t>詢</w:t>
      </w:r>
      <w:proofErr w:type="gramEnd"/>
      <w:r>
        <w:rPr>
          <w:rFonts w:hAnsi="標楷體" w:hint="eastAsia"/>
        </w:rPr>
        <w:t>據環境部表示恐難以達成管制目標。</w:t>
      </w:r>
    </w:p>
    <w:p w:rsidR="00DB7622" w:rsidRDefault="00042520">
      <w:pPr>
        <w:pStyle w:val="3"/>
        <w:ind w:left="1418"/>
      </w:pPr>
      <w:r>
        <w:t>按原環保署主管</w:t>
      </w:r>
      <w:r>
        <w:rPr>
          <w:rFonts w:hint="eastAsia"/>
        </w:rPr>
        <w:t>溫室氣體管理基金自105年1月成立以來，</w:t>
      </w:r>
      <w:proofErr w:type="gramStart"/>
      <w:r>
        <w:rPr>
          <w:rFonts w:hint="eastAsia"/>
        </w:rPr>
        <w:t>均以空氣</w:t>
      </w:r>
      <w:proofErr w:type="gramEnd"/>
      <w:r>
        <w:rPr>
          <w:rFonts w:hint="eastAsia"/>
        </w:rPr>
        <w:t>污染防制基金撥入款為主要財源，並用於溫室氣體減量業務推動，惟110年底空污基金餘額為新臺幣(下同)負值2.05億元，故</w:t>
      </w:r>
      <w:bookmarkStart w:id="42" w:name="_Hlk141113307"/>
      <w:proofErr w:type="gramStart"/>
      <w:r>
        <w:rPr>
          <w:rFonts w:hint="eastAsia"/>
        </w:rPr>
        <w:t>11</w:t>
      </w:r>
      <w:proofErr w:type="gramEnd"/>
      <w:r>
        <w:rPr>
          <w:rFonts w:hint="eastAsia"/>
        </w:rPr>
        <w:t>1年度及</w:t>
      </w:r>
      <w:proofErr w:type="gramStart"/>
      <w:r>
        <w:rPr>
          <w:rFonts w:hint="eastAsia"/>
        </w:rPr>
        <w:t>11</w:t>
      </w:r>
      <w:proofErr w:type="gramEnd"/>
      <w:r>
        <w:rPr>
          <w:rFonts w:hint="eastAsia"/>
        </w:rPr>
        <w:t>2年度未</w:t>
      </w:r>
      <w:bookmarkEnd w:id="42"/>
      <w:r>
        <w:rPr>
          <w:rFonts w:hint="eastAsia"/>
        </w:rPr>
        <w:t>依預算編列如數挹注溫室氣體管理基金</w:t>
      </w:r>
      <w:r>
        <w:rPr>
          <w:vertAlign w:val="superscript"/>
        </w:rPr>
        <w:footnoteReference w:id="3"/>
      </w:r>
      <w:r>
        <w:rPr>
          <w:rFonts w:hint="eastAsia"/>
        </w:rPr>
        <w:t>，截至112年底止溫室氣體管理基金餘額為負值</w:t>
      </w:r>
      <w:r>
        <w:t>3,279</w:t>
      </w:r>
      <w:r>
        <w:rPr>
          <w:rFonts w:hint="eastAsia"/>
        </w:rPr>
        <w:t>萬</w:t>
      </w:r>
      <w:r>
        <w:t>2,218</w:t>
      </w:r>
      <w:r>
        <w:rPr>
          <w:rFonts w:hint="eastAsia"/>
        </w:rPr>
        <w:t>元。由於氣候法第32條規定</w:t>
      </w:r>
      <w:r>
        <w:rPr>
          <w:vertAlign w:val="superscript"/>
        </w:rPr>
        <w:footnoteReference w:id="4"/>
      </w:r>
      <w:r>
        <w:rPr>
          <w:rFonts w:hint="eastAsia"/>
        </w:rPr>
        <w:t>溫室氣體管理基金之基金來源包含溫室氣體增量抵換代金(第24條)、進口產品應取得減量額度代金(第31條)、</w:t>
      </w:r>
      <w:proofErr w:type="gramStart"/>
      <w:r>
        <w:rPr>
          <w:rFonts w:hint="eastAsia"/>
        </w:rPr>
        <w:t>碳費</w:t>
      </w:r>
      <w:proofErr w:type="gramEnd"/>
      <w:r>
        <w:rPr>
          <w:rFonts w:hint="eastAsia"/>
        </w:rPr>
        <w:t>(第28條)、實施總量管制之拍賣或配售所得(第35條)等，</w:t>
      </w:r>
      <w:proofErr w:type="gramStart"/>
      <w:r>
        <w:rPr>
          <w:rFonts w:hint="eastAsia"/>
        </w:rPr>
        <w:t>故我國碳定</w:t>
      </w:r>
      <w:proofErr w:type="gramEnd"/>
      <w:r>
        <w:rPr>
          <w:rFonts w:hint="eastAsia"/>
        </w:rPr>
        <w:t>價制度尚處起步階段，迄未完備相關法制及配套措施，將延後溫室氣體管理基金財源挹注，加以空氣污染防制基金將自</w:t>
      </w:r>
      <w:proofErr w:type="gramStart"/>
      <w:r>
        <w:rPr>
          <w:rFonts w:hint="eastAsia"/>
        </w:rPr>
        <w:t>11</w:t>
      </w:r>
      <w:proofErr w:type="gramEnd"/>
      <w:r>
        <w:rPr>
          <w:rFonts w:hint="eastAsia"/>
        </w:rPr>
        <w:t>5年度起停止撥款溫室氣體管理基金，該基金餘額已為負數，實不利溫室氣體減量業務推動。</w:t>
      </w:r>
      <w:proofErr w:type="gramStart"/>
      <w:r>
        <w:rPr>
          <w:rFonts w:hint="eastAsia"/>
        </w:rPr>
        <w:t>鑑</w:t>
      </w:r>
      <w:proofErr w:type="gramEnd"/>
      <w:r>
        <w:rPr>
          <w:rFonts w:hint="eastAsia"/>
        </w:rPr>
        <w:t>於國家溫室氣體長期減量目標已修正調整為139年(西元</w:t>
      </w:r>
      <w:r>
        <w:rPr>
          <w:rFonts w:hint="eastAsia"/>
        </w:rPr>
        <w:lastRenderedPageBreak/>
        <w:t>2050年)溫室</w:t>
      </w:r>
      <w:proofErr w:type="gramStart"/>
      <w:r>
        <w:rPr>
          <w:rFonts w:hint="eastAsia"/>
        </w:rPr>
        <w:t>氣體淨零排</w:t>
      </w:r>
      <w:proofErr w:type="gramEnd"/>
      <w:r>
        <w:rPr>
          <w:rFonts w:hint="eastAsia"/>
        </w:rPr>
        <w:t>放，第一期溫室氣體階段管制目標未能如期達成，自110年1月起已邁入第二期溫室氣體階段管制目標排放期，截至11</w:t>
      </w:r>
      <w:r>
        <w:t>2</w:t>
      </w:r>
      <w:r>
        <w:rPr>
          <w:rFonts w:hint="eastAsia"/>
        </w:rPr>
        <w:t>年底止已屆滿3年，減量實際情形未如預期，恐難以達成管制目標，亟需環境部確實檢討改進。</w:t>
      </w:r>
    </w:p>
    <w:p w:rsidR="00DB7622" w:rsidRDefault="00042520">
      <w:pPr>
        <w:pStyle w:val="2"/>
        <w:rPr>
          <w:rFonts w:hAnsi="標楷體"/>
          <w:b/>
          <w:shd w:val="clear" w:color="auto" w:fill="FFFFFF"/>
        </w:rPr>
      </w:pPr>
      <w:r>
        <w:rPr>
          <w:rFonts w:hAnsi="標楷體"/>
          <w:b/>
        </w:rPr>
        <w:t>溫室氣體排放盤查及揭露是企業</w:t>
      </w:r>
      <w:proofErr w:type="gramStart"/>
      <w:r>
        <w:rPr>
          <w:rFonts w:hAnsi="標楷體"/>
          <w:b/>
        </w:rPr>
        <w:t>減碳基本</w:t>
      </w:r>
      <w:proofErr w:type="gramEnd"/>
      <w:r>
        <w:rPr>
          <w:rFonts w:hAnsi="標楷體"/>
          <w:b/>
        </w:rPr>
        <w:t>功</w:t>
      </w:r>
      <w:r>
        <w:rPr>
          <w:rFonts w:hAnsi="標楷體" w:hint="eastAsia"/>
          <w:b/>
        </w:rPr>
        <w:t>，金管</w:t>
      </w:r>
      <w:r>
        <w:rPr>
          <w:rFonts w:hAnsi="標楷體"/>
          <w:b/>
        </w:rPr>
        <w:t>會推動上市櫃公司完成揭露溫室氣體盤查及確信</w:t>
      </w:r>
      <w:r>
        <w:rPr>
          <w:rFonts w:hAnsi="標楷體" w:hint="eastAsia"/>
          <w:b/>
        </w:rPr>
        <w:t>時程規劃雖未落後於國際，然為</w:t>
      </w:r>
      <w:r>
        <w:rPr>
          <w:rFonts w:hAnsi="標楷體"/>
          <w:b/>
        </w:rPr>
        <w:t>提升國家整體</w:t>
      </w:r>
      <w:proofErr w:type="gramStart"/>
      <w:r>
        <w:rPr>
          <w:rFonts w:hAnsi="標楷體"/>
          <w:b/>
        </w:rPr>
        <w:t>減碳</w:t>
      </w:r>
      <w:proofErr w:type="gramEnd"/>
      <w:r>
        <w:rPr>
          <w:rFonts w:hAnsi="標楷體"/>
          <w:b/>
        </w:rPr>
        <w:t>力道</w:t>
      </w:r>
      <w:r>
        <w:rPr>
          <w:rFonts w:hAnsi="標楷體" w:hint="eastAsia"/>
          <w:b/>
        </w:rPr>
        <w:t>，金管會允宜研議加速期程及評估擴大強制揭露對象至公開發行公司之可行性，且</w:t>
      </w:r>
      <w:proofErr w:type="gramStart"/>
      <w:r>
        <w:rPr>
          <w:rFonts w:hAnsi="標楷體" w:hint="eastAsia"/>
          <w:b/>
        </w:rPr>
        <w:t>環境部亦</w:t>
      </w:r>
      <w:proofErr w:type="gramEnd"/>
      <w:r>
        <w:rPr>
          <w:rFonts w:hAnsi="標楷體" w:hint="eastAsia"/>
          <w:b/>
        </w:rPr>
        <w:t>應儘速擴大</w:t>
      </w:r>
      <w:r>
        <w:rPr>
          <w:rFonts w:hAnsi="標楷體"/>
          <w:b/>
        </w:rPr>
        <w:t>公告應盤查登錄對象</w:t>
      </w:r>
      <w:r>
        <w:rPr>
          <w:rFonts w:hAnsi="標楷體" w:hint="eastAsia"/>
          <w:b/>
        </w:rPr>
        <w:t>，</w:t>
      </w:r>
      <w:r>
        <w:rPr>
          <w:rFonts w:hAnsi="標楷體"/>
          <w:b/>
        </w:rPr>
        <w:t>優先將高用電</w:t>
      </w:r>
      <w:r>
        <w:rPr>
          <w:rFonts w:hAnsi="標楷體" w:hint="eastAsia"/>
          <w:b/>
        </w:rPr>
        <w:t>之</w:t>
      </w:r>
      <w:r>
        <w:rPr>
          <w:rFonts w:hAnsi="標楷體"/>
          <w:b/>
        </w:rPr>
        <w:t>服務業</w:t>
      </w:r>
      <w:r>
        <w:rPr>
          <w:rFonts w:hAnsi="標楷體" w:hint="eastAsia"/>
          <w:b/>
        </w:rPr>
        <w:t>、</w:t>
      </w:r>
      <w:r>
        <w:rPr>
          <w:rFonts w:hAnsi="標楷體"/>
          <w:b/>
        </w:rPr>
        <w:t>電信、交通業等</w:t>
      </w:r>
      <w:r>
        <w:rPr>
          <w:rFonts w:hAnsi="標楷體" w:hint="eastAsia"/>
          <w:b/>
        </w:rPr>
        <w:t>納入，方能</w:t>
      </w:r>
      <w:r>
        <w:rPr>
          <w:rFonts w:hAnsi="標楷體"/>
          <w:b/>
        </w:rPr>
        <w:t>加速推動</w:t>
      </w:r>
      <w:proofErr w:type="gramStart"/>
      <w:r>
        <w:rPr>
          <w:rFonts w:hAnsi="標楷體"/>
          <w:b/>
        </w:rPr>
        <w:t>節能</w:t>
      </w:r>
      <w:r>
        <w:rPr>
          <w:rFonts w:hAnsi="標楷體" w:hint="eastAsia"/>
          <w:b/>
        </w:rPr>
        <w:t>減碳</w:t>
      </w:r>
      <w:proofErr w:type="gramEnd"/>
      <w:r>
        <w:rPr>
          <w:rFonts w:hAnsi="標楷體"/>
          <w:b/>
        </w:rPr>
        <w:t>及相關工作</w:t>
      </w:r>
      <w:r>
        <w:rPr>
          <w:rFonts w:hAnsi="標楷體" w:hint="eastAsia"/>
          <w:b/>
        </w:rPr>
        <w:t>：</w:t>
      </w:r>
    </w:p>
    <w:p w:rsidR="00DB7622" w:rsidRDefault="00042520">
      <w:pPr>
        <w:pStyle w:val="3"/>
        <w:ind w:left="1418"/>
        <w:rPr>
          <w:rFonts w:hAnsi="標楷體"/>
          <w:shd w:val="clear" w:color="auto" w:fill="FFFFFF"/>
        </w:rPr>
      </w:pPr>
      <w:r>
        <w:rPr>
          <w:rFonts w:hAnsi="標楷體" w:hint="eastAsia"/>
          <w:shd w:val="clear" w:color="auto" w:fill="FFFFFF"/>
        </w:rPr>
        <w:t>為因應氣候變遷衝擊，配合政府2050</w:t>
      </w:r>
      <w:proofErr w:type="gramStart"/>
      <w:r>
        <w:rPr>
          <w:rFonts w:hAnsi="標楷體" w:hint="eastAsia"/>
          <w:shd w:val="clear" w:color="auto" w:fill="FFFFFF"/>
        </w:rPr>
        <w:t>淨零目標</w:t>
      </w:r>
      <w:proofErr w:type="gramEnd"/>
      <w:r>
        <w:rPr>
          <w:rFonts w:hAnsi="標楷體" w:hint="eastAsia"/>
          <w:shd w:val="clear" w:color="auto" w:fill="FFFFFF"/>
        </w:rPr>
        <w:t>，引導企業及早</w:t>
      </w:r>
      <w:r>
        <w:rPr>
          <w:rFonts w:hAnsi="標楷體" w:hint="eastAsia"/>
        </w:rPr>
        <w:t>因應</w:t>
      </w:r>
      <w:r>
        <w:rPr>
          <w:rFonts w:hAnsi="標楷體" w:hint="eastAsia"/>
          <w:shd w:val="clear" w:color="auto" w:fill="FFFFFF"/>
        </w:rPr>
        <w:t>，訂定</w:t>
      </w:r>
      <w:proofErr w:type="gramStart"/>
      <w:r>
        <w:rPr>
          <w:rFonts w:hAnsi="標楷體" w:hint="eastAsia"/>
          <w:shd w:val="clear" w:color="auto" w:fill="FFFFFF"/>
        </w:rPr>
        <w:t>其減碳目</w:t>
      </w:r>
      <w:proofErr w:type="gramEnd"/>
      <w:r>
        <w:rPr>
          <w:rFonts w:hAnsi="標楷體" w:hint="eastAsia"/>
          <w:shd w:val="clear" w:color="auto" w:fill="FFFFFF"/>
        </w:rPr>
        <w:t>標，溫室氣體盤查成為企業</w:t>
      </w:r>
      <w:r>
        <w:rPr>
          <w:rFonts w:hint="eastAsia"/>
        </w:rPr>
        <w:t>首要</w:t>
      </w:r>
      <w:r>
        <w:rPr>
          <w:rFonts w:hAnsi="標楷體" w:hint="eastAsia"/>
          <w:shd w:val="clear" w:color="auto" w:fill="FFFFFF"/>
        </w:rPr>
        <w:t>工作，金管會爰於</w:t>
      </w:r>
      <w:r>
        <w:rPr>
          <w:rFonts w:hAnsi="標楷體"/>
          <w:shd w:val="clear" w:color="auto" w:fill="FFFFFF"/>
        </w:rPr>
        <w:t>111</w:t>
      </w:r>
      <w:r>
        <w:rPr>
          <w:rFonts w:hAnsi="標楷體" w:hint="eastAsia"/>
          <w:shd w:val="clear" w:color="auto" w:fill="FFFFFF"/>
        </w:rPr>
        <w:t>年3月發布「上市櫃公司永續發展路徑圖」(</w:t>
      </w:r>
      <w:proofErr w:type="gramStart"/>
      <w:r>
        <w:rPr>
          <w:rFonts w:hAnsi="標楷體" w:hint="eastAsia"/>
          <w:shd w:val="clear" w:color="auto" w:fill="FFFFFF"/>
        </w:rPr>
        <w:t>下稱永</w:t>
      </w:r>
      <w:proofErr w:type="gramEnd"/>
      <w:r>
        <w:rPr>
          <w:rFonts w:hAnsi="標楷體" w:hint="eastAsia"/>
          <w:shd w:val="clear" w:color="auto" w:fill="FFFFFF"/>
        </w:rPr>
        <w:t>續路徑圖)，推動上市櫃公司應進行溫室氣體資訊揭露，以協助企業建構溫室氣體盤查能力</w:t>
      </w:r>
      <w:r>
        <w:rPr>
          <w:rFonts w:hAnsi="標楷體" w:hint="eastAsia"/>
        </w:rPr>
        <w:t>。該</w:t>
      </w:r>
      <w:r>
        <w:rPr>
          <w:rFonts w:hAnsi="標楷體" w:hint="eastAsia"/>
          <w:shd w:val="clear" w:color="auto" w:fill="FFFFFF"/>
        </w:rPr>
        <w:t>會於</w:t>
      </w:r>
      <w:r>
        <w:rPr>
          <w:rFonts w:hAnsi="標楷體"/>
          <w:shd w:val="clear" w:color="auto" w:fill="FFFFFF"/>
        </w:rPr>
        <w:t>111</w:t>
      </w:r>
      <w:r>
        <w:rPr>
          <w:rFonts w:hAnsi="標楷體" w:hint="eastAsia"/>
          <w:shd w:val="clear" w:color="auto" w:fill="FFFFFF"/>
        </w:rPr>
        <w:t>年11月修正「公開發行公司年報應行記載事項準則」(下稱</w:t>
      </w:r>
      <w:r>
        <w:rPr>
          <w:rFonts w:hAnsi="標楷體" w:hint="eastAsia"/>
          <w:u w:val="single"/>
          <w:shd w:val="clear" w:color="auto" w:fill="FFFFFF"/>
        </w:rPr>
        <w:t>年報準則</w:t>
      </w:r>
      <w:r>
        <w:rPr>
          <w:rFonts w:hAnsi="標楷體" w:hint="eastAsia"/>
          <w:shd w:val="clear" w:color="auto" w:fill="FFFFFF"/>
        </w:rPr>
        <w:t>)第10條及附表，考量推動初期，企業尚需蒐集相關資訊及建構盤查能力，</w:t>
      </w:r>
      <w:proofErr w:type="gramStart"/>
      <w:r>
        <w:rPr>
          <w:rFonts w:hAnsi="標楷體" w:hint="eastAsia"/>
          <w:shd w:val="clear" w:color="auto" w:fill="FFFFFF"/>
        </w:rPr>
        <w:t>爰</w:t>
      </w:r>
      <w:proofErr w:type="gramEnd"/>
      <w:r>
        <w:rPr>
          <w:rFonts w:hAnsi="標楷體" w:hint="eastAsia"/>
          <w:shd w:val="clear" w:color="auto" w:fill="FFFFFF"/>
        </w:rPr>
        <w:t>訂定一年緩衝，自</w:t>
      </w:r>
      <w:r>
        <w:rPr>
          <w:rFonts w:hAnsi="標楷體"/>
          <w:shd w:val="clear" w:color="auto" w:fill="FFFFFF"/>
        </w:rPr>
        <w:t>113</w:t>
      </w:r>
      <w:r>
        <w:rPr>
          <w:rFonts w:hAnsi="標楷體" w:hint="eastAsia"/>
          <w:shd w:val="clear" w:color="auto" w:fill="FFFFFF"/>
        </w:rPr>
        <w:t>年起於年報揭露。臺灣證券交易所(下稱證交所)與證券櫃檯買賣中心(下稱櫃買中心)亦於</w:t>
      </w:r>
      <w:r>
        <w:rPr>
          <w:rFonts w:hAnsi="標楷體"/>
          <w:shd w:val="clear" w:color="auto" w:fill="FFFFFF"/>
        </w:rPr>
        <w:t>111</w:t>
      </w:r>
      <w:r>
        <w:rPr>
          <w:rFonts w:hAnsi="標楷體" w:hint="eastAsia"/>
          <w:shd w:val="clear" w:color="auto" w:fill="FFFFFF"/>
        </w:rPr>
        <w:t>年9月修正「上市(櫃)公司編製與申報</w:t>
      </w:r>
      <w:r>
        <w:rPr>
          <w:rFonts w:hAnsi="標楷體" w:hint="eastAsia"/>
          <w:u w:val="single"/>
          <w:shd w:val="clear" w:color="auto" w:fill="FFFFFF"/>
        </w:rPr>
        <w:t>永續報告書</w:t>
      </w:r>
      <w:r>
        <w:rPr>
          <w:rFonts w:hAnsi="標楷體" w:hint="eastAsia"/>
          <w:shd w:val="clear" w:color="auto" w:fill="FFFFFF"/>
        </w:rPr>
        <w:t>作業辦法」相關規定，上市櫃公司自</w:t>
      </w:r>
      <w:r>
        <w:rPr>
          <w:rFonts w:hAnsi="標楷體"/>
          <w:shd w:val="clear" w:color="auto" w:fill="FFFFFF"/>
        </w:rPr>
        <w:t>112</w:t>
      </w:r>
      <w:r>
        <w:rPr>
          <w:rFonts w:hAnsi="標楷體" w:hint="eastAsia"/>
          <w:shd w:val="clear" w:color="auto" w:fill="FFFFFF"/>
        </w:rPr>
        <w:t>年起於永續報告書揭露溫室氣體盤查資訊。證交所與櫃買中心於</w:t>
      </w:r>
      <w:r>
        <w:rPr>
          <w:rFonts w:hAnsi="標楷體"/>
          <w:shd w:val="clear" w:color="auto" w:fill="FFFFFF"/>
        </w:rPr>
        <w:t>111</w:t>
      </w:r>
      <w:r>
        <w:rPr>
          <w:rFonts w:hAnsi="標楷體" w:hint="eastAsia"/>
          <w:shd w:val="clear" w:color="auto" w:fill="FFFFFF"/>
        </w:rPr>
        <w:t>年12月發布「上市上櫃公司永續報告書</w:t>
      </w:r>
      <w:r>
        <w:rPr>
          <w:rFonts w:hAnsi="標楷體" w:hint="eastAsia"/>
          <w:u w:val="single"/>
          <w:shd w:val="clear" w:color="auto" w:fill="FFFFFF"/>
        </w:rPr>
        <w:t>確信機構管理</w:t>
      </w:r>
      <w:r>
        <w:rPr>
          <w:rFonts w:hAnsi="標楷體" w:hint="eastAsia"/>
          <w:shd w:val="clear" w:color="auto" w:fill="FFFFFF"/>
        </w:rPr>
        <w:t>要點」，符合一定資格會計師事務所及原環保署核可查證機構，向</w:t>
      </w:r>
      <w:proofErr w:type="gramStart"/>
      <w:r>
        <w:rPr>
          <w:rFonts w:hAnsi="標楷體" w:hint="eastAsia"/>
          <w:shd w:val="clear" w:color="auto" w:fill="FFFFFF"/>
        </w:rPr>
        <w:t>證交所或櫃買</w:t>
      </w:r>
      <w:proofErr w:type="gramEnd"/>
      <w:r>
        <w:rPr>
          <w:rFonts w:hAnsi="標楷體" w:hint="eastAsia"/>
          <w:shd w:val="clear" w:color="auto" w:fill="FFFFFF"/>
        </w:rPr>
        <w:t>中心申請同意後，依國際溫室氣體確信標準出具確信意見，以</w:t>
      </w:r>
      <w:r>
        <w:rPr>
          <w:rFonts w:hAnsi="標楷體" w:hint="eastAsia"/>
          <w:shd w:val="clear" w:color="auto" w:fill="FFFFFF"/>
        </w:rPr>
        <w:lastRenderedPageBreak/>
        <w:t>協助公司進行確信作業。</w:t>
      </w:r>
      <w:r>
        <w:rPr>
          <w:rFonts w:hAnsi="標楷體" w:hint="eastAsia"/>
        </w:rPr>
        <w:t>為達成我國2050</w:t>
      </w:r>
      <w:proofErr w:type="gramStart"/>
      <w:r>
        <w:rPr>
          <w:rFonts w:hAnsi="標楷體" w:hint="eastAsia"/>
        </w:rPr>
        <w:t>淨零排放</w:t>
      </w:r>
      <w:proofErr w:type="gramEnd"/>
      <w:r>
        <w:rPr>
          <w:rFonts w:hAnsi="標楷體" w:hint="eastAsia"/>
        </w:rPr>
        <w:t>目標，金管會延續永續路徑圖規劃，於112年3月發布「上市櫃公司永續發展行動方案」，期透過上市櫃公司藉由溫室氣體盤查，據以訂</w:t>
      </w:r>
      <w:proofErr w:type="gramStart"/>
      <w:r>
        <w:rPr>
          <w:rFonts w:hAnsi="標楷體" w:hint="eastAsia"/>
        </w:rPr>
        <w:t>定減</w:t>
      </w:r>
      <w:proofErr w:type="gramEnd"/>
      <w:r>
        <w:rPr>
          <w:rFonts w:hAnsi="標楷體" w:hint="eastAsia"/>
        </w:rPr>
        <w:t>碳目標，金管會並配合修正「公開發行公司年報應行記載</w:t>
      </w:r>
      <w:r>
        <w:rPr>
          <w:rFonts w:hAnsi="標楷體" w:hint="eastAsia"/>
          <w:shd w:val="clear" w:color="auto" w:fill="FFFFFF"/>
        </w:rPr>
        <w:t>事項</w:t>
      </w:r>
      <w:r>
        <w:rPr>
          <w:rFonts w:hAnsi="標楷體" w:hint="eastAsia"/>
        </w:rPr>
        <w:t>準則」，規範上市櫃公司應自揭露合併財務報告公司盤查資訊之年度起，同時</w:t>
      </w:r>
      <w:proofErr w:type="gramStart"/>
      <w:r>
        <w:rPr>
          <w:rFonts w:hAnsi="標楷體" w:hint="eastAsia"/>
        </w:rPr>
        <w:t>揭露減碳目</w:t>
      </w:r>
      <w:proofErr w:type="gramEnd"/>
      <w:r>
        <w:rPr>
          <w:rFonts w:hAnsi="標楷體" w:hint="eastAsia"/>
        </w:rPr>
        <w:t>標、策略、具體行動計畫及達成情形；另鼓勵上市櫃公司揭露119年(西元2030年)</w:t>
      </w:r>
      <w:proofErr w:type="gramStart"/>
      <w:r>
        <w:rPr>
          <w:rFonts w:hAnsi="標楷體" w:hint="eastAsia"/>
        </w:rPr>
        <w:t>減碳目標</w:t>
      </w:r>
      <w:proofErr w:type="gramEnd"/>
      <w:r>
        <w:rPr>
          <w:rFonts w:hAnsi="標楷體" w:hint="eastAsia"/>
        </w:rPr>
        <w:t>、策略及具體行動計畫，推動企業積極採</w:t>
      </w:r>
      <w:proofErr w:type="gramStart"/>
      <w:r>
        <w:rPr>
          <w:rFonts w:hAnsi="標楷體" w:hint="eastAsia"/>
        </w:rPr>
        <w:t>行減碳作</w:t>
      </w:r>
      <w:proofErr w:type="gramEnd"/>
      <w:r>
        <w:rPr>
          <w:rFonts w:hAnsi="標楷體" w:hint="eastAsia"/>
        </w:rPr>
        <w:t>為，</w:t>
      </w:r>
      <w:proofErr w:type="gramStart"/>
      <w:r>
        <w:rPr>
          <w:rFonts w:hAnsi="標楷體" w:hint="eastAsia"/>
        </w:rPr>
        <w:t>邁向淨零轉</w:t>
      </w:r>
      <w:proofErr w:type="gramEnd"/>
      <w:r>
        <w:rPr>
          <w:rFonts w:hAnsi="標楷體" w:hint="eastAsia"/>
        </w:rPr>
        <w:t>型。</w:t>
      </w:r>
    </w:p>
    <w:p w:rsidR="00DB7622" w:rsidRDefault="00042520">
      <w:pPr>
        <w:pStyle w:val="3"/>
        <w:ind w:left="1418"/>
        <w:rPr>
          <w:rFonts w:hAnsi="標楷體"/>
        </w:rPr>
      </w:pPr>
      <w:r>
        <w:rPr>
          <w:rFonts w:hAnsi="標楷體" w:hint="eastAsia"/>
          <w:shd w:val="clear" w:color="auto" w:fill="FFFFFF"/>
        </w:rPr>
        <w:t>查截至113年6月30日，全體上市上櫃公司家數共計1,</w:t>
      </w:r>
      <w:r>
        <w:rPr>
          <w:rFonts w:hAnsi="標楷體"/>
          <w:shd w:val="clear" w:color="auto" w:fill="FFFFFF"/>
        </w:rPr>
        <w:t>80</w:t>
      </w:r>
      <w:r>
        <w:rPr>
          <w:rFonts w:hAnsi="標楷體" w:hint="eastAsia"/>
          <w:shd w:val="clear" w:color="auto" w:fill="FFFFFF"/>
        </w:rPr>
        <w:t>9家，永續</w:t>
      </w:r>
      <w:proofErr w:type="gramStart"/>
      <w:r>
        <w:rPr>
          <w:rFonts w:hAnsi="標楷體" w:hint="eastAsia"/>
          <w:shd w:val="clear" w:color="auto" w:fill="FFFFFF"/>
        </w:rPr>
        <w:t>路徑圖首波</w:t>
      </w:r>
      <w:proofErr w:type="gramEnd"/>
      <w:r>
        <w:rPr>
          <w:rFonts w:hAnsi="標楷體" w:hint="eastAsia"/>
          <w:shd w:val="clear" w:color="auto" w:fill="FFFFFF"/>
        </w:rPr>
        <w:t>適用之企業，涵蓋溫室氣體排放量較高之鋼鐵業及水泥業上市櫃公司以及實收資本額100億元以上之上市櫃公司，計有16</w:t>
      </w:r>
      <w:r>
        <w:rPr>
          <w:rFonts w:hAnsi="標楷體"/>
          <w:shd w:val="clear" w:color="auto" w:fill="FFFFFF"/>
        </w:rPr>
        <w:t>8</w:t>
      </w:r>
      <w:r>
        <w:rPr>
          <w:rFonts w:hAnsi="標楷體" w:hint="eastAsia"/>
          <w:shd w:val="clear" w:color="auto" w:fill="FFFFFF"/>
        </w:rPr>
        <w:t>家公司，1</w:t>
      </w:r>
      <w:r>
        <w:rPr>
          <w:rFonts w:hAnsi="標楷體"/>
          <w:shd w:val="clear" w:color="auto" w:fill="FFFFFF"/>
        </w:rPr>
        <w:t>12</w:t>
      </w:r>
      <w:r>
        <w:rPr>
          <w:rFonts w:hAnsi="標楷體" w:hint="eastAsia"/>
          <w:shd w:val="clear" w:color="auto" w:fill="FFFFFF"/>
        </w:rPr>
        <w:t>年皆已依規定於永續報告書揭露溫室氣體盤查資訊(</w:t>
      </w:r>
      <w:proofErr w:type="gramStart"/>
      <w:r>
        <w:rPr>
          <w:rFonts w:hAnsi="標楷體" w:hint="eastAsia"/>
          <w:shd w:val="clear" w:color="auto" w:fill="FFFFFF"/>
        </w:rPr>
        <w:t>詳表</w:t>
      </w:r>
      <w:proofErr w:type="gramEnd"/>
      <w:r w:rsidR="00C5144D">
        <w:rPr>
          <w:rFonts w:hAnsi="標楷體" w:hint="eastAsia"/>
          <w:shd w:val="clear" w:color="auto" w:fill="FFFFFF"/>
        </w:rPr>
        <w:t>2</w:t>
      </w:r>
      <w:r>
        <w:rPr>
          <w:rFonts w:hAnsi="標楷體" w:hint="eastAsia"/>
          <w:shd w:val="clear" w:color="auto" w:fill="FFFFFF"/>
        </w:rPr>
        <w:t>，部分鋼鐵、水泥業尚無須</w:t>
      </w:r>
      <w:proofErr w:type="gramStart"/>
      <w:r>
        <w:rPr>
          <w:rFonts w:hAnsi="標楷體" w:hint="eastAsia"/>
          <w:shd w:val="clear" w:color="auto" w:fill="FFFFFF"/>
        </w:rPr>
        <w:t>編製永續</w:t>
      </w:r>
      <w:proofErr w:type="gramEnd"/>
      <w:r>
        <w:rPr>
          <w:rFonts w:hAnsi="標楷體" w:hint="eastAsia"/>
          <w:shd w:val="clear" w:color="auto" w:fill="FFFFFF"/>
        </w:rPr>
        <w:t>報告，已於公開資訊觀測站公告)。</w:t>
      </w:r>
      <w:r>
        <w:rPr>
          <w:rFonts w:hAnsi="標楷體" w:hint="eastAsia"/>
        </w:rPr>
        <w:t>截至113年6月底止，已完成確信之上市櫃公司計142家(上市127家，上櫃15家)，餘未完成確信之26家公司(上市23家，上櫃3家)皆已依規定於</w:t>
      </w:r>
      <w:r>
        <w:rPr>
          <w:rFonts w:hAnsi="標楷體"/>
        </w:rPr>
        <w:t>8</w:t>
      </w:r>
      <w:r>
        <w:rPr>
          <w:rFonts w:hAnsi="標楷體" w:hint="eastAsia"/>
        </w:rPr>
        <w:t>月底公告申報之永續報告書揭露完整確信資訊。另114年至118年預計完成之上市櫃公司家數</w:t>
      </w:r>
      <w:proofErr w:type="gramStart"/>
      <w:r>
        <w:rPr>
          <w:rFonts w:hAnsi="標楷體" w:hint="eastAsia"/>
        </w:rPr>
        <w:t>併</w:t>
      </w:r>
      <w:proofErr w:type="gramEnd"/>
      <w:r>
        <w:rPr>
          <w:rFonts w:hAnsi="標楷體" w:hint="eastAsia"/>
        </w:rPr>
        <w:t>彙</w:t>
      </w:r>
      <w:proofErr w:type="gramStart"/>
      <w:r>
        <w:rPr>
          <w:rFonts w:hAnsi="標楷體" w:hint="eastAsia"/>
        </w:rPr>
        <w:t>整詳表</w:t>
      </w:r>
      <w:proofErr w:type="gramEnd"/>
      <w:r w:rsidR="00C5144D">
        <w:rPr>
          <w:rFonts w:hAnsi="標楷體" w:hint="eastAsia"/>
        </w:rPr>
        <w:t>3</w:t>
      </w:r>
      <w:r>
        <w:rPr>
          <w:rFonts w:hAnsi="標楷體" w:hint="eastAsia"/>
        </w:rPr>
        <w:t>(以112年底上市櫃公司1</w:t>
      </w:r>
      <w:r>
        <w:rPr>
          <w:rFonts w:hAnsi="標楷體"/>
        </w:rPr>
        <w:t>,</w:t>
      </w:r>
      <w:r>
        <w:rPr>
          <w:rFonts w:hAnsi="標楷體" w:hint="eastAsia"/>
        </w:rPr>
        <w:t>813家進行統計)。</w:t>
      </w:r>
    </w:p>
    <w:p w:rsidR="00DB7622" w:rsidRDefault="00042520">
      <w:pPr>
        <w:pStyle w:val="a4"/>
        <w:rPr>
          <w:rFonts w:hAnsi="標楷體"/>
        </w:rPr>
      </w:pPr>
      <w:r>
        <w:rPr>
          <w:rFonts w:hAnsi="標楷體" w:hint="eastAsia"/>
        </w:rPr>
        <w:t>上市櫃公司盤查概況表</w:t>
      </w:r>
    </w:p>
    <w:p w:rsidR="00DB7622" w:rsidRDefault="00042520">
      <w:pPr>
        <w:pStyle w:val="3"/>
        <w:numPr>
          <w:ilvl w:val="0"/>
          <w:numId w:val="0"/>
        </w:numPr>
        <w:ind w:left="1361"/>
        <w:jc w:val="right"/>
        <w:rPr>
          <w:rFonts w:hAnsi="標楷體"/>
          <w:sz w:val="24"/>
          <w:szCs w:val="24"/>
        </w:rPr>
      </w:pPr>
      <w:r>
        <w:rPr>
          <w:rFonts w:hAnsi="標楷體" w:hint="eastAsia"/>
          <w:sz w:val="24"/>
          <w:szCs w:val="24"/>
        </w:rPr>
        <w:t>單位：家數</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5"/>
        <w:gridCol w:w="1276"/>
        <w:gridCol w:w="567"/>
        <w:gridCol w:w="661"/>
        <w:gridCol w:w="661"/>
        <w:gridCol w:w="663"/>
        <w:gridCol w:w="661"/>
        <w:gridCol w:w="663"/>
        <w:gridCol w:w="663"/>
        <w:gridCol w:w="661"/>
        <w:gridCol w:w="661"/>
        <w:gridCol w:w="663"/>
      </w:tblGrid>
      <w:tr w:rsidR="00DB7622">
        <w:trPr>
          <w:trHeight w:val="329"/>
          <w:tblHeader/>
        </w:trPr>
        <w:tc>
          <w:tcPr>
            <w:tcW w:w="1612" w:type="pct"/>
            <w:gridSpan w:val="3"/>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2F2F2"/>
            <w:vAlign w:val="center"/>
          </w:tcPr>
          <w:p w:rsidR="00DB7622" w:rsidRDefault="00042520">
            <w:pPr>
              <w:pStyle w:val="141"/>
              <w:keepNext/>
              <w:keepLines/>
              <w:adjustRightInd w:val="0"/>
              <w:snapToGrid w:val="0"/>
              <w:spacing w:line="260" w:lineRule="exact"/>
              <w:jc w:val="right"/>
              <w:rPr>
                <w:rFonts w:hAnsi="標楷體"/>
                <w:spacing w:val="-20"/>
                <w:szCs w:val="24"/>
              </w:rPr>
            </w:pPr>
            <w:proofErr w:type="spellStart"/>
            <w:r>
              <w:rPr>
                <w:rFonts w:hAnsi="標楷體"/>
                <w:spacing w:val="-20"/>
                <w:szCs w:val="24"/>
              </w:rPr>
              <w:t>年度</w:t>
            </w:r>
            <w:proofErr w:type="spellEnd"/>
          </w:p>
          <w:p w:rsidR="00DB7622" w:rsidRDefault="00042520">
            <w:pPr>
              <w:pStyle w:val="141"/>
              <w:keepNext/>
              <w:keepLines/>
              <w:adjustRightInd w:val="0"/>
              <w:snapToGrid w:val="0"/>
              <w:spacing w:line="260" w:lineRule="exact"/>
              <w:jc w:val="both"/>
              <w:rPr>
                <w:rFonts w:hAnsi="標楷體"/>
                <w:spacing w:val="-20"/>
                <w:szCs w:val="24"/>
              </w:rPr>
            </w:pPr>
            <w:proofErr w:type="spellStart"/>
            <w:r>
              <w:rPr>
                <w:rFonts w:hAnsi="標楷體"/>
                <w:spacing w:val="-20"/>
                <w:szCs w:val="24"/>
              </w:rPr>
              <w:t>產業或</w:t>
            </w:r>
            <w:proofErr w:type="spellEnd"/>
            <w:r>
              <w:rPr>
                <w:rFonts w:hAnsi="標楷體"/>
                <w:spacing w:val="-20"/>
                <w:szCs w:val="24"/>
              </w:rPr>
              <w:br/>
            </w:r>
            <w:proofErr w:type="spellStart"/>
            <w:r>
              <w:rPr>
                <w:rFonts w:hAnsi="標楷體"/>
                <w:spacing w:val="-20"/>
                <w:szCs w:val="24"/>
              </w:rPr>
              <w:t>實收資本額</w:t>
            </w:r>
            <w:proofErr w:type="spellEnd"/>
          </w:p>
        </w:tc>
        <w:tc>
          <w:tcPr>
            <w:tcW w:w="1129"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110</w:t>
            </w:r>
          </w:p>
        </w:tc>
        <w:tc>
          <w:tcPr>
            <w:tcW w:w="113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111</w:t>
            </w:r>
          </w:p>
        </w:tc>
        <w:tc>
          <w:tcPr>
            <w:tcW w:w="113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112年度</w:t>
            </w:r>
          </w:p>
        </w:tc>
      </w:tr>
      <w:tr w:rsidR="00DB7622">
        <w:trPr>
          <w:trHeight w:val="283"/>
          <w:tblHeader/>
        </w:trPr>
        <w:tc>
          <w:tcPr>
            <w:tcW w:w="1612" w:type="pct"/>
            <w:gridSpan w:val="3"/>
            <w:vMerge/>
            <w:tcBorders>
              <w:top w:val="single" w:sz="4" w:space="0" w:color="auto"/>
              <w:left w:val="single" w:sz="4" w:space="0" w:color="auto"/>
              <w:bottom w:val="single" w:sz="4" w:space="0" w:color="auto"/>
              <w:right w:val="single" w:sz="4" w:space="0" w:color="auto"/>
              <w:tl2br w:val="single" w:sz="4" w:space="0" w:color="auto"/>
            </w:tcBorders>
            <w:shd w:val="clear" w:color="auto" w:fill="F2F2F2"/>
            <w:vAlign w:val="center"/>
          </w:tcPr>
          <w:p w:rsidR="00DB7622" w:rsidRDefault="00DB7622">
            <w:pPr>
              <w:pStyle w:val="141"/>
              <w:keepNext/>
              <w:keepLines/>
              <w:adjustRightInd w:val="0"/>
              <w:snapToGrid w:val="0"/>
              <w:spacing w:line="260" w:lineRule="exact"/>
              <w:jc w:val="center"/>
              <w:rPr>
                <w:rFonts w:hAnsi="標楷體"/>
                <w:spacing w:val="-20"/>
                <w:szCs w:val="24"/>
              </w:rPr>
            </w:pPr>
          </w:p>
        </w:tc>
        <w:tc>
          <w:tcPr>
            <w:tcW w:w="376"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已揭露</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未揭露</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合計</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已揭露</w:t>
            </w:r>
            <w:proofErr w:type="spellEnd"/>
          </w:p>
        </w:tc>
        <w:tc>
          <w:tcPr>
            <w:tcW w:w="377"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未揭露</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合計</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已揭露</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未揭露</w:t>
            </w:r>
            <w:proofErr w:type="spellEnd"/>
          </w:p>
        </w:tc>
        <w:tc>
          <w:tcPr>
            <w:tcW w:w="377"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合計</w:t>
            </w:r>
            <w:proofErr w:type="spellEnd"/>
          </w:p>
        </w:tc>
      </w:tr>
      <w:tr w:rsidR="00DB7622">
        <w:trPr>
          <w:trHeight w:val="283"/>
        </w:trPr>
        <w:tc>
          <w:tcPr>
            <w:tcW w:w="1290" w:type="pct"/>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鋼鐵業</w:t>
            </w:r>
            <w:proofErr w:type="spellEnd"/>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上市</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22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31</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31</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31</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31</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0</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31</w:t>
            </w:r>
          </w:p>
        </w:tc>
      </w:tr>
      <w:tr w:rsidR="00DB7622">
        <w:trPr>
          <w:trHeight w:val="283"/>
        </w:trPr>
        <w:tc>
          <w:tcPr>
            <w:tcW w:w="1290" w:type="pct"/>
            <w:gridSpan w:val="2"/>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keepNext/>
              <w:keepLines/>
              <w:adjustRightInd w:val="0"/>
              <w:snapToGrid w:val="0"/>
              <w:spacing w:line="260" w:lineRule="exact"/>
              <w:jc w:val="center"/>
              <w:rPr>
                <w:rFonts w:hAnsi="標楷體"/>
                <w:spacing w:val="-20"/>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keepNext/>
              <w:keepLines/>
              <w:adjustRightInd w:val="0"/>
              <w:snapToGrid w:val="0"/>
              <w:spacing w:line="260" w:lineRule="exact"/>
              <w:jc w:val="center"/>
              <w:rPr>
                <w:rFonts w:hAnsi="標楷體"/>
                <w:spacing w:val="-20"/>
                <w:szCs w:val="24"/>
              </w:rPr>
            </w:pPr>
            <w:proofErr w:type="spellStart"/>
            <w:r>
              <w:rPr>
                <w:rFonts w:hAnsi="標楷體"/>
                <w:spacing w:val="-20"/>
                <w:szCs w:val="24"/>
              </w:rPr>
              <w:t>上櫃</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10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15</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16</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16</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16</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0</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keepNext/>
              <w:keepLines/>
              <w:adjustRightInd w:val="0"/>
              <w:snapToGrid w:val="0"/>
              <w:spacing w:line="260" w:lineRule="exact"/>
              <w:jc w:val="center"/>
              <w:rPr>
                <w:rFonts w:hAnsi="標楷體"/>
                <w:spacing w:val="-20"/>
                <w:szCs w:val="24"/>
              </w:rPr>
            </w:pPr>
            <w:r>
              <w:rPr>
                <w:rFonts w:hAnsi="標楷體"/>
                <w:spacing w:val="-20"/>
                <w:szCs w:val="24"/>
              </w:rPr>
              <w:t>16</w:t>
            </w:r>
          </w:p>
        </w:tc>
      </w:tr>
      <w:tr w:rsidR="00DB7622">
        <w:trPr>
          <w:trHeight w:val="283"/>
        </w:trPr>
        <w:tc>
          <w:tcPr>
            <w:tcW w:w="1290" w:type="pct"/>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水泥業</w:t>
            </w:r>
            <w:proofErr w:type="spellEnd"/>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上市</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w:t>
            </w:r>
          </w:p>
        </w:tc>
      </w:tr>
      <w:tr w:rsidR="00DB7622">
        <w:trPr>
          <w:trHeight w:val="283"/>
        </w:trPr>
        <w:tc>
          <w:tcPr>
            <w:tcW w:w="1290" w:type="pct"/>
            <w:gridSpan w:val="2"/>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上櫃</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r>
      <w:tr w:rsidR="00DB7622">
        <w:trPr>
          <w:trHeight w:val="283"/>
        </w:trPr>
        <w:tc>
          <w:tcPr>
            <w:tcW w:w="565"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上述2產業以外公司資本額</w:t>
            </w:r>
          </w:p>
        </w:tc>
        <w:tc>
          <w:tcPr>
            <w:tcW w:w="725"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100億元以上</w:t>
            </w:r>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上市</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102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110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110</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110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112</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112</w:t>
            </w:r>
          </w:p>
        </w:tc>
      </w:tr>
      <w:tr w:rsidR="00DB7622">
        <w:trPr>
          <w:trHeight w:val="283"/>
        </w:trPr>
        <w:tc>
          <w:tcPr>
            <w:tcW w:w="565"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725"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上櫃</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w:t>
            </w:r>
          </w:p>
        </w:tc>
      </w:tr>
      <w:tr w:rsidR="00DB7622">
        <w:trPr>
          <w:trHeight w:val="283"/>
        </w:trPr>
        <w:tc>
          <w:tcPr>
            <w:tcW w:w="565"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725"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50億元以上未達100億元</w:t>
            </w:r>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上市</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92</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84</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8</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92</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86</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93</w:t>
            </w:r>
          </w:p>
        </w:tc>
      </w:tr>
      <w:tr w:rsidR="00DB7622">
        <w:trPr>
          <w:trHeight w:val="283"/>
        </w:trPr>
        <w:tc>
          <w:tcPr>
            <w:tcW w:w="565"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725"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上櫃</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8</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8</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9</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10</w:t>
            </w:r>
          </w:p>
        </w:tc>
      </w:tr>
      <w:tr w:rsidR="00DB7622">
        <w:trPr>
          <w:trHeight w:val="283"/>
        </w:trPr>
        <w:tc>
          <w:tcPr>
            <w:tcW w:w="565"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725"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未達50億元</w:t>
            </w:r>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上市</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361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360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721</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479</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260</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739</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589</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165</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754</w:t>
            </w:r>
          </w:p>
        </w:tc>
      </w:tr>
      <w:tr w:rsidR="00DB7622">
        <w:trPr>
          <w:trHeight w:val="283"/>
        </w:trPr>
        <w:tc>
          <w:tcPr>
            <w:tcW w:w="565"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725"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上櫃</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339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432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771</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415</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371</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786</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495</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289</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784</w:t>
            </w:r>
          </w:p>
        </w:tc>
      </w:tr>
      <w:tr w:rsidR="00DB7622">
        <w:trPr>
          <w:trHeight w:val="283"/>
        </w:trPr>
        <w:tc>
          <w:tcPr>
            <w:tcW w:w="1290" w:type="pct"/>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合計</w:t>
            </w:r>
            <w:proofErr w:type="spellEnd"/>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上市</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571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390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961</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711</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268</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979</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825</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172</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997</w:t>
            </w:r>
          </w:p>
        </w:tc>
      </w:tr>
      <w:tr w:rsidR="00DB7622">
        <w:trPr>
          <w:trHeight w:val="283"/>
        </w:trPr>
        <w:tc>
          <w:tcPr>
            <w:tcW w:w="1290" w:type="pct"/>
            <w:gridSpan w:val="2"/>
            <w:vMerge/>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DB7622">
            <w:pPr>
              <w:pStyle w:val="141"/>
              <w:adjustRightInd w:val="0"/>
              <w:snapToGrid w:val="0"/>
              <w:spacing w:line="260" w:lineRule="exact"/>
              <w:jc w:val="center"/>
              <w:rPr>
                <w:rFonts w:hAnsi="標楷體"/>
                <w:spacing w:val="-20"/>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DB7622" w:rsidRDefault="00042520">
            <w:pPr>
              <w:pStyle w:val="141"/>
              <w:adjustRightInd w:val="0"/>
              <w:snapToGrid w:val="0"/>
              <w:spacing w:line="260" w:lineRule="exact"/>
              <w:jc w:val="center"/>
              <w:rPr>
                <w:rFonts w:hAnsi="標楷體"/>
                <w:spacing w:val="-20"/>
                <w:szCs w:val="24"/>
              </w:rPr>
            </w:pPr>
            <w:proofErr w:type="spellStart"/>
            <w:r>
              <w:rPr>
                <w:rFonts w:hAnsi="標楷體"/>
                <w:spacing w:val="-20"/>
                <w:szCs w:val="24"/>
              </w:rPr>
              <w:t>上櫃</w:t>
            </w:r>
            <w:proofErr w:type="spellEnd"/>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356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439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795</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441</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371</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812</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522</w:t>
            </w:r>
          </w:p>
        </w:tc>
        <w:tc>
          <w:tcPr>
            <w:tcW w:w="376"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290</w:t>
            </w:r>
          </w:p>
        </w:tc>
        <w:tc>
          <w:tcPr>
            <w:tcW w:w="377" w:type="pct"/>
            <w:tcBorders>
              <w:top w:val="single" w:sz="4" w:space="0" w:color="auto"/>
              <w:left w:val="single" w:sz="4" w:space="0" w:color="auto"/>
              <w:bottom w:val="single" w:sz="4" w:space="0" w:color="auto"/>
              <w:right w:val="single" w:sz="4" w:space="0" w:color="auto"/>
            </w:tcBorders>
            <w:vAlign w:val="center"/>
          </w:tcPr>
          <w:p w:rsidR="00DB7622" w:rsidRDefault="00042520">
            <w:pPr>
              <w:pStyle w:val="141"/>
              <w:adjustRightInd w:val="0"/>
              <w:snapToGrid w:val="0"/>
              <w:spacing w:line="260" w:lineRule="exact"/>
              <w:jc w:val="center"/>
              <w:rPr>
                <w:rFonts w:hAnsi="標楷體"/>
                <w:spacing w:val="-20"/>
                <w:szCs w:val="24"/>
              </w:rPr>
            </w:pPr>
            <w:r>
              <w:rPr>
                <w:rFonts w:hAnsi="標楷體"/>
                <w:spacing w:val="-20"/>
                <w:szCs w:val="24"/>
              </w:rPr>
              <w:t>812</w:t>
            </w:r>
          </w:p>
        </w:tc>
      </w:tr>
    </w:tbl>
    <w:p w:rsidR="00DB7622" w:rsidRDefault="00042520">
      <w:pPr>
        <w:pStyle w:val="af7"/>
        <w:spacing w:after="0"/>
        <w:ind w:left="566" w:hangingChars="202" w:hanging="566"/>
        <w:rPr>
          <w:rFonts w:hAnsi="標楷體"/>
        </w:rPr>
      </w:pPr>
      <w:proofErr w:type="gramStart"/>
      <w:r>
        <w:rPr>
          <w:rFonts w:hAnsi="標楷體" w:hint="eastAsia"/>
        </w:rPr>
        <w:t>註</w:t>
      </w:r>
      <w:proofErr w:type="gramEnd"/>
      <w:r>
        <w:rPr>
          <w:rFonts w:hAnsi="標楷體" w:hint="eastAsia"/>
        </w:rPr>
        <w:t>1：本表資料來源為上市櫃公司於公開資訊觀測站申報之企業ESG資料揭露-彙總資訊。</w:t>
      </w:r>
    </w:p>
    <w:p w:rsidR="00DB7622" w:rsidRDefault="00042520">
      <w:pPr>
        <w:pStyle w:val="af7"/>
        <w:spacing w:after="0"/>
        <w:ind w:left="566" w:hangingChars="202" w:hanging="566"/>
        <w:rPr>
          <w:rFonts w:hAnsi="標楷體"/>
        </w:rPr>
      </w:pPr>
      <w:proofErr w:type="gramStart"/>
      <w:r>
        <w:rPr>
          <w:rFonts w:hAnsi="標楷體" w:hint="eastAsia"/>
        </w:rPr>
        <w:t>註</w:t>
      </w:r>
      <w:proofErr w:type="gramEnd"/>
      <w:r>
        <w:rPr>
          <w:rFonts w:hAnsi="標楷體" w:hint="eastAsia"/>
        </w:rPr>
        <w:t>2：各年度資料統計時點，110及</w:t>
      </w:r>
      <w:proofErr w:type="gramStart"/>
      <w:r>
        <w:rPr>
          <w:rFonts w:hAnsi="標楷體" w:hint="eastAsia"/>
        </w:rPr>
        <w:t>111</w:t>
      </w:r>
      <w:proofErr w:type="gramEnd"/>
      <w:r>
        <w:rPr>
          <w:rFonts w:hAnsi="標楷體" w:hint="eastAsia"/>
        </w:rPr>
        <w:t>年度：截至112年6月30日申報情形。</w:t>
      </w:r>
      <w:proofErr w:type="gramStart"/>
      <w:r>
        <w:rPr>
          <w:rFonts w:hAnsi="標楷體" w:hint="eastAsia"/>
        </w:rPr>
        <w:t>112</w:t>
      </w:r>
      <w:proofErr w:type="gramEnd"/>
      <w:r>
        <w:rPr>
          <w:rFonts w:hAnsi="標楷體" w:hint="eastAsia"/>
        </w:rPr>
        <w:t>年度：截至113年6月30日申報情形。</w:t>
      </w:r>
    </w:p>
    <w:p w:rsidR="00DB7622" w:rsidRDefault="00042520">
      <w:pPr>
        <w:pStyle w:val="af7"/>
        <w:rPr>
          <w:rFonts w:hAnsi="標楷體"/>
        </w:rPr>
      </w:pPr>
      <w:r>
        <w:rPr>
          <w:rFonts w:hAnsi="標楷體" w:hint="eastAsia"/>
        </w:rPr>
        <w:t>資料來源：金管會提供本院資料。</w:t>
      </w:r>
    </w:p>
    <w:p w:rsidR="00DB7622" w:rsidRDefault="00042520">
      <w:pPr>
        <w:pStyle w:val="a4"/>
        <w:rPr>
          <w:rFonts w:hAnsi="標楷體"/>
        </w:rPr>
      </w:pPr>
      <w:r>
        <w:rPr>
          <w:rFonts w:hAnsi="標楷體" w:hint="eastAsia"/>
        </w:rPr>
        <w:t>114年至118年金管會預計完成</w:t>
      </w:r>
      <w:proofErr w:type="gramStart"/>
      <w:r>
        <w:rPr>
          <w:rFonts w:hAnsi="標楷體" w:hint="eastAsia"/>
        </w:rPr>
        <w:t>家數彙整</w:t>
      </w:r>
      <w:proofErr w:type="gramEnd"/>
      <w:r>
        <w:rPr>
          <w:rFonts w:hAnsi="標楷體" w:hint="eastAsia"/>
        </w:rPr>
        <w:t>表</w:t>
      </w:r>
    </w:p>
    <w:tbl>
      <w:tblPr>
        <w:tblpPr w:leftFromText="180" w:rightFromText="180" w:vertAnchor="text" w:horzAnchor="margin" w:tblpY="64"/>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6" w:type="dxa"/>
          <w:bottom w:w="6" w:type="dxa"/>
          <w:right w:w="6" w:type="dxa"/>
        </w:tblCellMar>
        <w:tblLook w:val="04A0" w:firstRow="1" w:lastRow="0" w:firstColumn="1" w:lastColumn="0" w:noHBand="0" w:noVBand="1"/>
      </w:tblPr>
      <w:tblGrid>
        <w:gridCol w:w="2027"/>
        <w:gridCol w:w="1319"/>
        <w:gridCol w:w="1337"/>
        <w:gridCol w:w="1337"/>
        <w:gridCol w:w="1337"/>
        <w:gridCol w:w="1337"/>
      </w:tblGrid>
      <w:tr w:rsidR="00DB7622">
        <w:trPr>
          <w:trHeight w:val="20"/>
          <w:tblHeader/>
        </w:trPr>
        <w:tc>
          <w:tcPr>
            <w:tcW w:w="2027" w:type="dxa"/>
            <w:tcBorders>
              <w:bottom w:val="single" w:sz="4" w:space="0" w:color="auto"/>
            </w:tcBorders>
            <w:shd w:val="clear" w:color="auto" w:fill="F2F2F2"/>
            <w:vAlign w:val="center"/>
          </w:tcPr>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sz w:val="24"/>
                <w:szCs w:val="24"/>
              </w:rPr>
              <w:t>揭露</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sz w:val="24"/>
                <w:szCs w:val="24"/>
              </w:rPr>
              <w:t>年度</w:t>
            </w:r>
          </w:p>
        </w:tc>
        <w:tc>
          <w:tcPr>
            <w:tcW w:w="1319" w:type="dxa"/>
            <w:shd w:val="clear" w:color="auto" w:fill="F2F2F2"/>
            <w:vAlign w:val="center"/>
          </w:tcPr>
          <w:p w:rsidR="00DB7622" w:rsidRDefault="00042520">
            <w:pPr>
              <w:keepNext/>
              <w:overflowPunct/>
              <w:autoSpaceDE/>
              <w:autoSpaceDN/>
              <w:adjustRightInd w:val="0"/>
              <w:snapToGrid w:val="0"/>
              <w:spacing w:line="300" w:lineRule="exact"/>
              <w:jc w:val="center"/>
              <w:rPr>
                <w:rFonts w:hAnsi="標楷體"/>
                <w:spacing w:val="-12"/>
                <w:sz w:val="24"/>
                <w:szCs w:val="24"/>
              </w:rPr>
            </w:pPr>
            <w:r>
              <w:rPr>
                <w:rFonts w:hAnsi="標楷體"/>
                <w:sz w:val="24"/>
                <w:szCs w:val="24"/>
              </w:rPr>
              <w:t>114</w:t>
            </w:r>
            <w:r>
              <w:rPr>
                <w:rFonts w:hAnsi="標楷體"/>
                <w:spacing w:val="-12"/>
                <w:sz w:val="24"/>
                <w:szCs w:val="24"/>
              </w:rPr>
              <w:t>年</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(預計)</w:t>
            </w:r>
          </w:p>
        </w:tc>
        <w:tc>
          <w:tcPr>
            <w:tcW w:w="1337" w:type="dxa"/>
            <w:shd w:val="clear" w:color="auto" w:fill="F2F2F2"/>
            <w:vAlign w:val="center"/>
          </w:tcPr>
          <w:p w:rsidR="00DB7622" w:rsidRDefault="00042520">
            <w:pPr>
              <w:keepNext/>
              <w:overflowPunct/>
              <w:autoSpaceDE/>
              <w:autoSpaceDN/>
              <w:adjustRightInd w:val="0"/>
              <w:snapToGrid w:val="0"/>
              <w:spacing w:line="300" w:lineRule="exact"/>
              <w:jc w:val="center"/>
              <w:rPr>
                <w:rFonts w:hAnsi="標楷體"/>
                <w:spacing w:val="-12"/>
                <w:sz w:val="24"/>
                <w:szCs w:val="24"/>
              </w:rPr>
            </w:pPr>
            <w:r>
              <w:rPr>
                <w:rFonts w:hAnsi="標楷體"/>
                <w:sz w:val="24"/>
                <w:szCs w:val="24"/>
              </w:rPr>
              <w:t>115</w:t>
            </w:r>
            <w:r>
              <w:rPr>
                <w:rFonts w:hAnsi="標楷體"/>
                <w:spacing w:val="-12"/>
                <w:sz w:val="24"/>
                <w:szCs w:val="24"/>
              </w:rPr>
              <w:t>年</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(預計)</w:t>
            </w:r>
          </w:p>
        </w:tc>
        <w:tc>
          <w:tcPr>
            <w:tcW w:w="1337" w:type="dxa"/>
            <w:shd w:val="clear" w:color="auto" w:fill="F2F2F2"/>
            <w:vAlign w:val="center"/>
          </w:tcPr>
          <w:p w:rsidR="00DB7622" w:rsidRDefault="00042520">
            <w:pPr>
              <w:keepNext/>
              <w:overflowPunct/>
              <w:autoSpaceDE/>
              <w:autoSpaceDN/>
              <w:adjustRightInd w:val="0"/>
              <w:snapToGrid w:val="0"/>
              <w:spacing w:line="300" w:lineRule="exact"/>
              <w:jc w:val="center"/>
              <w:rPr>
                <w:rFonts w:hAnsi="標楷體"/>
                <w:spacing w:val="-12"/>
                <w:sz w:val="24"/>
                <w:szCs w:val="24"/>
              </w:rPr>
            </w:pPr>
            <w:r>
              <w:rPr>
                <w:rFonts w:hAnsi="標楷體"/>
                <w:sz w:val="24"/>
                <w:szCs w:val="24"/>
              </w:rPr>
              <w:t>116</w:t>
            </w:r>
            <w:r>
              <w:rPr>
                <w:rFonts w:hAnsi="標楷體"/>
                <w:spacing w:val="-12"/>
                <w:sz w:val="24"/>
                <w:szCs w:val="24"/>
              </w:rPr>
              <w:t>年</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(預計)</w:t>
            </w:r>
          </w:p>
        </w:tc>
        <w:tc>
          <w:tcPr>
            <w:tcW w:w="1337" w:type="dxa"/>
            <w:shd w:val="clear" w:color="auto" w:fill="F2F2F2"/>
            <w:vAlign w:val="center"/>
          </w:tcPr>
          <w:p w:rsidR="00DB7622" w:rsidRDefault="00042520">
            <w:pPr>
              <w:keepNext/>
              <w:overflowPunct/>
              <w:autoSpaceDE/>
              <w:autoSpaceDN/>
              <w:adjustRightInd w:val="0"/>
              <w:snapToGrid w:val="0"/>
              <w:spacing w:line="300" w:lineRule="exact"/>
              <w:jc w:val="center"/>
              <w:rPr>
                <w:rFonts w:hAnsi="標楷體"/>
                <w:spacing w:val="-12"/>
                <w:sz w:val="24"/>
                <w:szCs w:val="24"/>
              </w:rPr>
            </w:pPr>
            <w:r>
              <w:rPr>
                <w:rFonts w:hAnsi="標楷體"/>
                <w:sz w:val="24"/>
                <w:szCs w:val="24"/>
              </w:rPr>
              <w:t>117</w:t>
            </w:r>
            <w:r>
              <w:rPr>
                <w:rFonts w:hAnsi="標楷體"/>
                <w:spacing w:val="-12"/>
                <w:sz w:val="24"/>
                <w:szCs w:val="24"/>
              </w:rPr>
              <w:t>年</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(預計)</w:t>
            </w:r>
          </w:p>
        </w:tc>
        <w:tc>
          <w:tcPr>
            <w:tcW w:w="1337" w:type="dxa"/>
            <w:shd w:val="clear" w:color="auto" w:fill="F2F2F2"/>
            <w:vAlign w:val="center"/>
          </w:tcPr>
          <w:p w:rsidR="00DB7622" w:rsidRDefault="00042520">
            <w:pPr>
              <w:keepNext/>
              <w:overflowPunct/>
              <w:autoSpaceDE/>
              <w:autoSpaceDN/>
              <w:adjustRightInd w:val="0"/>
              <w:snapToGrid w:val="0"/>
              <w:spacing w:line="300" w:lineRule="exact"/>
              <w:jc w:val="center"/>
              <w:rPr>
                <w:rFonts w:hAnsi="標楷體"/>
                <w:spacing w:val="-12"/>
                <w:sz w:val="24"/>
                <w:szCs w:val="24"/>
              </w:rPr>
            </w:pPr>
            <w:r>
              <w:rPr>
                <w:rFonts w:hAnsi="標楷體"/>
                <w:sz w:val="24"/>
                <w:szCs w:val="24"/>
              </w:rPr>
              <w:t>118</w:t>
            </w:r>
            <w:r>
              <w:rPr>
                <w:rFonts w:hAnsi="標楷體"/>
                <w:spacing w:val="-12"/>
                <w:sz w:val="24"/>
                <w:szCs w:val="24"/>
              </w:rPr>
              <w:t>年</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(預計)</w:t>
            </w:r>
          </w:p>
        </w:tc>
      </w:tr>
      <w:tr w:rsidR="00DB7622">
        <w:trPr>
          <w:trHeight w:val="20"/>
        </w:trPr>
        <w:tc>
          <w:tcPr>
            <w:tcW w:w="2027" w:type="dxa"/>
            <w:shd w:val="clear" w:color="auto" w:fill="F2F2F2"/>
            <w:vAlign w:val="center"/>
          </w:tcPr>
          <w:p w:rsidR="00DB7622" w:rsidRDefault="00042520">
            <w:pPr>
              <w:keepNext/>
              <w:overflowPunct/>
              <w:autoSpaceDE/>
              <w:autoSpaceDN/>
              <w:adjustRightInd w:val="0"/>
              <w:snapToGrid w:val="0"/>
              <w:spacing w:line="300" w:lineRule="exact"/>
              <w:jc w:val="left"/>
              <w:rPr>
                <w:rFonts w:hAnsi="標楷體"/>
                <w:spacing w:val="-12"/>
                <w:sz w:val="24"/>
                <w:szCs w:val="24"/>
              </w:rPr>
            </w:pPr>
            <w:r>
              <w:rPr>
                <w:rFonts w:hAnsi="標楷體" w:hint="eastAsia"/>
                <w:spacing w:val="-12"/>
                <w:sz w:val="24"/>
                <w:szCs w:val="24"/>
              </w:rPr>
              <w:t>資本額達100億元以上之上市櫃公司及鋼鐵、水泥業</w:t>
            </w:r>
          </w:p>
        </w:tc>
        <w:tc>
          <w:tcPr>
            <w:tcW w:w="1319" w:type="dxa"/>
            <w:tcBorders>
              <w:top w:val="single" w:sz="4" w:space="0" w:color="auto"/>
              <w:left w:val="single" w:sz="4" w:space="0" w:color="auto"/>
              <w:bottom w:val="single" w:sz="4" w:space="0" w:color="auto"/>
              <w:right w:val="single" w:sz="4" w:space="0" w:color="auto"/>
            </w:tcBorders>
            <w:vAlign w:val="center"/>
          </w:tcPr>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合併</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盤查</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168家</w:t>
            </w: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DB7622">
            <w:pPr>
              <w:keepNext/>
              <w:overflowPunct/>
              <w:autoSpaceDE/>
              <w:autoSpaceDN/>
              <w:adjustRightInd w:val="0"/>
              <w:snapToGrid w:val="0"/>
              <w:spacing w:line="300" w:lineRule="exact"/>
              <w:jc w:val="center"/>
              <w:rPr>
                <w:rFonts w:hAnsi="標楷體"/>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合併</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確信</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168家</w:t>
            </w: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DB7622">
            <w:pPr>
              <w:keepNext/>
              <w:overflowPunct/>
              <w:autoSpaceDE/>
              <w:autoSpaceDN/>
              <w:adjustRightInd w:val="0"/>
              <w:snapToGrid w:val="0"/>
              <w:spacing w:line="300" w:lineRule="exact"/>
              <w:jc w:val="center"/>
              <w:rPr>
                <w:rFonts w:hAnsi="標楷體"/>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DB7622">
            <w:pPr>
              <w:keepNext/>
              <w:overflowPunct/>
              <w:autoSpaceDE/>
              <w:autoSpaceDN/>
              <w:adjustRightInd w:val="0"/>
              <w:snapToGrid w:val="0"/>
              <w:spacing w:line="300" w:lineRule="exact"/>
              <w:jc w:val="center"/>
              <w:rPr>
                <w:rFonts w:hAnsi="標楷體"/>
                <w:sz w:val="24"/>
                <w:szCs w:val="24"/>
              </w:rPr>
            </w:pPr>
          </w:p>
        </w:tc>
      </w:tr>
      <w:tr w:rsidR="00DB7622">
        <w:trPr>
          <w:trHeight w:val="20"/>
        </w:trPr>
        <w:tc>
          <w:tcPr>
            <w:tcW w:w="2027" w:type="dxa"/>
            <w:shd w:val="clear" w:color="auto" w:fill="F2F2F2"/>
            <w:vAlign w:val="center"/>
          </w:tcPr>
          <w:p w:rsidR="00DB7622" w:rsidRDefault="00042520">
            <w:pPr>
              <w:keepNext/>
              <w:overflowPunct/>
              <w:autoSpaceDE/>
              <w:autoSpaceDN/>
              <w:adjustRightInd w:val="0"/>
              <w:snapToGrid w:val="0"/>
              <w:spacing w:line="300" w:lineRule="exact"/>
              <w:jc w:val="left"/>
              <w:rPr>
                <w:rFonts w:hAnsi="標楷體"/>
                <w:sz w:val="24"/>
                <w:szCs w:val="24"/>
              </w:rPr>
            </w:pPr>
            <w:r>
              <w:rPr>
                <w:rFonts w:hAnsi="標楷體" w:hint="eastAsia"/>
                <w:spacing w:val="-12"/>
                <w:sz w:val="24"/>
                <w:szCs w:val="24"/>
              </w:rPr>
              <w:t>資本額達50億元以上未達100億元之上市櫃公司</w:t>
            </w:r>
          </w:p>
        </w:tc>
        <w:tc>
          <w:tcPr>
            <w:tcW w:w="1319" w:type="dxa"/>
            <w:tcBorders>
              <w:top w:val="single" w:sz="4" w:space="0" w:color="auto"/>
              <w:left w:val="single" w:sz="4" w:space="0" w:color="auto"/>
              <w:bottom w:val="single" w:sz="4" w:space="0" w:color="auto"/>
              <w:right w:val="single" w:sz="4" w:space="0" w:color="auto"/>
            </w:tcBorders>
            <w:vAlign w:val="center"/>
          </w:tcPr>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sz w:val="24"/>
                <w:szCs w:val="24"/>
              </w:rPr>
              <w:t>個體</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sz w:val="24"/>
                <w:szCs w:val="24"/>
              </w:rPr>
              <w:t>盤查</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103家</w:t>
            </w: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合併</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sz w:val="24"/>
                <w:szCs w:val="24"/>
              </w:rPr>
              <w:t>盤查</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103家</w:t>
            </w: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sz w:val="24"/>
                <w:szCs w:val="24"/>
              </w:rPr>
              <w:t>個體</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確信</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103家</w:t>
            </w: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合併</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確信</w:t>
            </w:r>
          </w:p>
          <w:p w:rsidR="00DB7622" w:rsidRDefault="00042520">
            <w:pPr>
              <w:keepNext/>
              <w:overflowPunct/>
              <w:autoSpaceDE/>
              <w:autoSpaceDN/>
              <w:adjustRightInd w:val="0"/>
              <w:snapToGrid w:val="0"/>
              <w:spacing w:line="300" w:lineRule="exact"/>
              <w:jc w:val="center"/>
              <w:rPr>
                <w:rFonts w:hAnsi="標楷體"/>
                <w:sz w:val="24"/>
                <w:szCs w:val="24"/>
              </w:rPr>
            </w:pPr>
            <w:r>
              <w:rPr>
                <w:rFonts w:hAnsi="標楷體" w:hint="eastAsia"/>
                <w:sz w:val="24"/>
                <w:szCs w:val="24"/>
              </w:rPr>
              <w:t>103家</w:t>
            </w: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DB7622">
            <w:pPr>
              <w:keepNext/>
              <w:overflowPunct/>
              <w:autoSpaceDE/>
              <w:autoSpaceDN/>
              <w:adjustRightInd w:val="0"/>
              <w:snapToGrid w:val="0"/>
              <w:spacing w:line="300" w:lineRule="exact"/>
              <w:jc w:val="center"/>
              <w:rPr>
                <w:rFonts w:hAnsi="標楷體"/>
                <w:sz w:val="24"/>
                <w:szCs w:val="24"/>
              </w:rPr>
            </w:pPr>
          </w:p>
        </w:tc>
      </w:tr>
      <w:tr w:rsidR="00DB7622">
        <w:trPr>
          <w:trHeight w:val="20"/>
        </w:trPr>
        <w:tc>
          <w:tcPr>
            <w:tcW w:w="2027" w:type="dxa"/>
            <w:shd w:val="clear" w:color="auto" w:fill="F2F2F2"/>
            <w:vAlign w:val="center"/>
          </w:tcPr>
          <w:p w:rsidR="00DB7622" w:rsidRDefault="00042520">
            <w:pPr>
              <w:keepNext/>
              <w:keepLines/>
              <w:overflowPunct/>
              <w:autoSpaceDE/>
              <w:autoSpaceDN/>
              <w:adjustRightInd w:val="0"/>
              <w:snapToGrid w:val="0"/>
              <w:spacing w:line="300" w:lineRule="exact"/>
              <w:jc w:val="left"/>
              <w:rPr>
                <w:rFonts w:hAnsi="標楷體"/>
                <w:spacing w:val="-12"/>
                <w:sz w:val="24"/>
                <w:szCs w:val="24"/>
              </w:rPr>
            </w:pPr>
            <w:r>
              <w:rPr>
                <w:rFonts w:hAnsi="標楷體" w:hint="eastAsia"/>
                <w:spacing w:val="-12"/>
                <w:sz w:val="24"/>
                <w:szCs w:val="24"/>
              </w:rPr>
              <w:t>資本額50億元以下之上市櫃公司</w:t>
            </w:r>
          </w:p>
        </w:tc>
        <w:tc>
          <w:tcPr>
            <w:tcW w:w="1319" w:type="dxa"/>
            <w:tcBorders>
              <w:top w:val="single" w:sz="4" w:space="0" w:color="auto"/>
              <w:left w:val="single" w:sz="4" w:space="0" w:color="auto"/>
              <w:bottom w:val="single" w:sz="4" w:space="0" w:color="auto"/>
              <w:right w:val="single" w:sz="4" w:space="0" w:color="auto"/>
            </w:tcBorders>
            <w:vAlign w:val="center"/>
          </w:tcPr>
          <w:p w:rsidR="00DB7622" w:rsidRDefault="00DB7622">
            <w:pPr>
              <w:keepNext/>
              <w:keepLines/>
              <w:overflowPunct/>
              <w:autoSpaceDE/>
              <w:autoSpaceDN/>
              <w:adjustRightInd w:val="0"/>
              <w:snapToGrid w:val="0"/>
              <w:spacing w:line="300" w:lineRule="exact"/>
              <w:jc w:val="center"/>
              <w:rPr>
                <w:rFonts w:hAnsi="標楷體"/>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042520">
            <w:pPr>
              <w:keepNext/>
              <w:keepLines/>
              <w:overflowPunct/>
              <w:autoSpaceDE/>
              <w:autoSpaceDN/>
              <w:adjustRightInd w:val="0"/>
              <w:snapToGrid w:val="0"/>
              <w:spacing w:line="300" w:lineRule="exact"/>
              <w:jc w:val="center"/>
              <w:rPr>
                <w:rFonts w:hAnsi="標楷體"/>
                <w:sz w:val="24"/>
                <w:szCs w:val="24"/>
              </w:rPr>
            </w:pPr>
            <w:r>
              <w:rPr>
                <w:rFonts w:hAnsi="標楷體"/>
                <w:sz w:val="24"/>
                <w:szCs w:val="24"/>
              </w:rPr>
              <w:t>個體</w:t>
            </w:r>
          </w:p>
          <w:p w:rsidR="00DB7622" w:rsidRDefault="00042520">
            <w:pPr>
              <w:keepNext/>
              <w:keepLines/>
              <w:overflowPunct/>
              <w:autoSpaceDE/>
              <w:autoSpaceDN/>
              <w:adjustRightInd w:val="0"/>
              <w:snapToGrid w:val="0"/>
              <w:spacing w:line="300" w:lineRule="exact"/>
              <w:jc w:val="center"/>
              <w:rPr>
                <w:rFonts w:hAnsi="標楷體"/>
                <w:sz w:val="24"/>
                <w:szCs w:val="24"/>
              </w:rPr>
            </w:pPr>
            <w:r>
              <w:rPr>
                <w:rFonts w:hAnsi="標楷體"/>
                <w:sz w:val="24"/>
                <w:szCs w:val="24"/>
              </w:rPr>
              <w:t>盤查</w:t>
            </w:r>
          </w:p>
          <w:p w:rsidR="00DB7622" w:rsidRDefault="00042520">
            <w:pPr>
              <w:keepNext/>
              <w:keepLines/>
              <w:overflowPunct/>
              <w:autoSpaceDE/>
              <w:autoSpaceDN/>
              <w:adjustRightInd w:val="0"/>
              <w:snapToGrid w:val="0"/>
              <w:spacing w:line="300" w:lineRule="exact"/>
              <w:jc w:val="center"/>
              <w:rPr>
                <w:rFonts w:hAnsi="標楷體"/>
                <w:sz w:val="24"/>
                <w:szCs w:val="24"/>
              </w:rPr>
            </w:pPr>
            <w:r>
              <w:rPr>
                <w:rFonts w:hAnsi="標楷體" w:hint="eastAsia"/>
                <w:sz w:val="24"/>
                <w:szCs w:val="24"/>
              </w:rPr>
              <w:t>1,542家</w:t>
            </w: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042520">
            <w:pPr>
              <w:keepNext/>
              <w:keepLines/>
              <w:overflowPunct/>
              <w:autoSpaceDE/>
              <w:autoSpaceDN/>
              <w:adjustRightInd w:val="0"/>
              <w:snapToGrid w:val="0"/>
              <w:spacing w:line="300" w:lineRule="exact"/>
              <w:jc w:val="center"/>
              <w:rPr>
                <w:rFonts w:hAnsi="標楷體"/>
                <w:sz w:val="24"/>
                <w:szCs w:val="24"/>
              </w:rPr>
            </w:pPr>
            <w:r>
              <w:rPr>
                <w:rFonts w:hAnsi="標楷體" w:hint="eastAsia"/>
                <w:sz w:val="24"/>
                <w:szCs w:val="24"/>
              </w:rPr>
              <w:t>合併</w:t>
            </w:r>
          </w:p>
          <w:p w:rsidR="00DB7622" w:rsidRDefault="00042520">
            <w:pPr>
              <w:keepNext/>
              <w:keepLines/>
              <w:overflowPunct/>
              <w:autoSpaceDE/>
              <w:autoSpaceDN/>
              <w:adjustRightInd w:val="0"/>
              <w:snapToGrid w:val="0"/>
              <w:spacing w:line="300" w:lineRule="exact"/>
              <w:jc w:val="center"/>
              <w:rPr>
                <w:rFonts w:hAnsi="標楷體"/>
                <w:sz w:val="24"/>
                <w:szCs w:val="24"/>
              </w:rPr>
            </w:pPr>
            <w:r>
              <w:rPr>
                <w:rFonts w:hAnsi="標楷體"/>
                <w:sz w:val="24"/>
                <w:szCs w:val="24"/>
              </w:rPr>
              <w:t>盤查</w:t>
            </w:r>
          </w:p>
          <w:p w:rsidR="00DB7622" w:rsidRDefault="00042520">
            <w:pPr>
              <w:keepNext/>
              <w:keepLines/>
              <w:overflowPunct/>
              <w:autoSpaceDE/>
              <w:autoSpaceDN/>
              <w:adjustRightInd w:val="0"/>
              <w:snapToGrid w:val="0"/>
              <w:spacing w:line="300" w:lineRule="exact"/>
              <w:jc w:val="center"/>
              <w:rPr>
                <w:rFonts w:hAnsi="標楷體"/>
                <w:sz w:val="24"/>
                <w:szCs w:val="24"/>
                <w:highlight w:val="yellow"/>
              </w:rPr>
            </w:pPr>
            <w:r>
              <w:rPr>
                <w:rFonts w:hAnsi="標楷體" w:hint="eastAsia"/>
                <w:sz w:val="24"/>
                <w:szCs w:val="24"/>
              </w:rPr>
              <w:t>1,542家</w:t>
            </w: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042520">
            <w:pPr>
              <w:keepNext/>
              <w:keepLines/>
              <w:overflowPunct/>
              <w:autoSpaceDE/>
              <w:autoSpaceDN/>
              <w:adjustRightInd w:val="0"/>
              <w:snapToGrid w:val="0"/>
              <w:spacing w:line="300" w:lineRule="exact"/>
              <w:jc w:val="center"/>
              <w:rPr>
                <w:rFonts w:hAnsi="標楷體"/>
                <w:sz w:val="24"/>
                <w:szCs w:val="24"/>
              </w:rPr>
            </w:pPr>
            <w:r>
              <w:rPr>
                <w:rFonts w:hAnsi="標楷體"/>
                <w:sz w:val="24"/>
                <w:szCs w:val="24"/>
              </w:rPr>
              <w:t>個體</w:t>
            </w:r>
          </w:p>
          <w:p w:rsidR="00DB7622" w:rsidRDefault="00042520">
            <w:pPr>
              <w:keepNext/>
              <w:keepLines/>
              <w:overflowPunct/>
              <w:autoSpaceDE/>
              <w:autoSpaceDN/>
              <w:adjustRightInd w:val="0"/>
              <w:snapToGrid w:val="0"/>
              <w:spacing w:line="300" w:lineRule="exact"/>
              <w:jc w:val="center"/>
              <w:rPr>
                <w:rFonts w:hAnsi="標楷體"/>
                <w:sz w:val="24"/>
                <w:szCs w:val="24"/>
              </w:rPr>
            </w:pPr>
            <w:r>
              <w:rPr>
                <w:rFonts w:hAnsi="標楷體" w:hint="eastAsia"/>
                <w:sz w:val="24"/>
                <w:szCs w:val="24"/>
              </w:rPr>
              <w:t>確信</w:t>
            </w:r>
          </w:p>
          <w:p w:rsidR="00DB7622" w:rsidRDefault="00042520">
            <w:pPr>
              <w:keepNext/>
              <w:keepLines/>
              <w:overflowPunct/>
              <w:autoSpaceDE/>
              <w:autoSpaceDN/>
              <w:adjustRightInd w:val="0"/>
              <w:snapToGrid w:val="0"/>
              <w:spacing w:line="300" w:lineRule="exact"/>
              <w:jc w:val="center"/>
              <w:rPr>
                <w:rFonts w:hAnsi="標楷體"/>
                <w:sz w:val="24"/>
                <w:szCs w:val="24"/>
                <w:highlight w:val="yellow"/>
              </w:rPr>
            </w:pPr>
            <w:r>
              <w:rPr>
                <w:rFonts w:hAnsi="標楷體" w:hint="eastAsia"/>
                <w:sz w:val="24"/>
                <w:szCs w:val="24"/>
              </w:rPr>
              <w:t>1,542家</w:t>
            </w:r>
          </w:p>
        </w:tc>
        <w:tc>
          <w:tcPr>
            <w:tcW w:w="1337" w:type="dxa"/>
            <w:tcBorders>
              <w:top w:val="single" w:sz="4" w:space="0" w:color="auto"/>
              <w:left w:val="single" w:sz="4" w:space="0" w:color="auto"/>
              <w:bottom w:val="single" w:sz="4" w:space="0" w:color="auto"/>
              <w:right w:val="single" w:sz="4" w:space="0" w:color="auto"/>
            </w:tcBorders>
            <w:vAlign w:val="center"/>
          </w:tcPr>
          <w:p w:rsidR="00DB7622" w:rsidRDefault="00042520">
            <w:pPr>
              <w:keepNext/>
              <w:keepLines/>
              <w:overflowPunct/>
              <w:autoSpaceDE/>
              <w:autoSpaceDN/>
              <w:adjustRightInd w:val="0"/>
              <w:snapToGrid w:val="0"/>
              <w:spacing w:line="300" w:lineRule="exact"/>
              <w:jc w:val="center"/>
              <w:rPr>
                <w:rFonts w:hAnsi="標楷體"/>
                <w:sz w:val="24"/>
                <w:szCs w:val="24"/>
              </w:rPr>
            </w:pPr>
            <w:r>
              <w:rPr>
                <w:rFonts w:hAnsi="標楷體" w:hint="eastAsia"/>
                <w:sz w:val="24"/>
                <w:szCs w:val="24"/>
              </w:rPr>
              <w:t>合併</w:t>
            </w:r>
          </w:p>
          <w:p w:rsidR="00DB7622" w:rsidRDefault="00042520">
            <w:pPr>
              <w:keepNext/>
              <w:keepLines/>
              <w:overflowPunct/>
              <w:autoSpaceDE/>
              <w:autoSpaceDN/>
              <w:adjustRightInd w:val="0"/>
              <w:snapToGrid w:val="0"/>
              <w:spacing w:line="300" w:lineRule="exact"/>
              <w:jc w:val="center"/>
              <w:rPr>
                <w:rFonts w:hAnsi="標楷體"/>
                <w:sz w:val="24"/>
                <w:szCs w:val="24"/>
              </w:rPr>
            </w:pPr>
            <w:r>
              <w:rPr>
                <w:rFonts w:hAnsi="標楷體" w:hint="eastAsia"/>
                <w:sz w:val="24"/>
                <w:szCs w:val="24"/>
              </w:rPr>
              <w:t>確信</w:t>
            </w:r>
          </w:p>
          <w:p w:rsidR="00DB7622" w:rsidRDefault="00042520">
            <w:pPr>
              <w:keepNext/>
              <w:keepLines/>
              <w:overflowPunct/>
              <w:autoSpaceDE/>
              <w:autoSpaceDN/>
              <w:adjustRightInd w:val="0"/>
              <w:snapToGrid w:val="0"/>
              <w:spacing w:line="300" w:lineRule="exact"/>
              <w:jc w:val="center"/>
              <w:rPr>
                <w:rFonts w:hAnsi="標楷體"/>
                <w:sz w:val="24"/>
                <w:szCs w:val="24"/>
                <w:highlight w:val="yellow"/>
              </w:rPr>
            </w:pPr>
            <w:r>
              <w:rPr>
                <w:rFonts w:hAnsi="標楷體" w:hint="eastAsia"/>
                <w:sz w:val="24"/>
                <w:szCs w:val="24"/>
              </w:rPr>
              <w:t>1,542家</w:t>
            </w:r>
          </w:p>
        </w:tc>
      </w:tr>
    </w:tbl>
    <w:p w:rsidR="00DB7622" w:rsidRDefault="00042520">
      <w:pPr>
        <w:pStyle w:val="af7"/>
        <w:rPr>
          <w:rFonts w:hAnsi="標楷體"/>
        </w:rPr>
      </w:pPr>
      <w:r>
        <w:rPr>
          <w:rFonts w:hAnsi="標楷體" w:hint="eastAsia"/>
        </w:rPr>
        <w:t>資料來源：金管會提供本院資料。</w:t>
      </w:r>
    </w:p>
    <w:p w:rsidR="00DB7622" w:rsidRDefault="00042520">
      <w:pPr>
        <w:pStyle w:val="3"/>
        <w:ind w:left="1418"/>
        <w:rPr>
          <w:rFonts w:hAnsi="標楷體"/>
        </w:rPr>
      </w:pPr>
      <w:proofErr w:type="gramStart"/>
      <w:r>
        <w:rPr>
          <w:rFonts w:hAnsi="標楷體" w:hint="eastAsia"/>
        </w:rPr>
        <w:t>揆</w:t>
      </w:r>
      <w:proofErr w:type="gramEnd"/>
      <w:r>
        <w:rPr>
          <w:rFonts w:hAnsi="標楷體" w:hint="eastAsia"/>
        </w:rPr>
        <w:t>以國際間推動溫室氣體等氣候相關資訊揭露，考量企業規模以及資訊取得能力有所差異，初期採行遵循或解釋之彈性監理方式，倘公司未具體揭露相關事項，應</w:t>
      </w:r>
      <w:r>
        <w:rPr>
          <w:rFonts w:hAnsi="標楷體" w:hint="eastAsia"/>
          <w:shd w:val="clear" w:color="auto" w:fill="FFFFFF"/>
        </w:rPr>
        <w:t>說明</w:t>
      </w:r>
      <w:r>
        <w:rPr>
          <w:rFonts w:hAnsi="標楷體" w:hint="eastAsia"/>
        </w:rPr>
        <w:t>原因並提供合理解釋。近年來國際主要證券主管機關(如美國及歐盟等，適用對象及揭露時程詳表</w:t>
      </w:r>
      <w:r w:rsidR="00C5144D">
        <w:rPr>
          <w:rFonts w:hAnsi="標楷體" w:hint="eastAsia"/>
        </w:rPr>
        <w:t>4</w:t>
      </w:r>
      <w:r>
        <w:rPr>
          <w:rFonts w:hAnsi="標楷體" w:hint="eastAsia"/>
        </w:rPr>
        <w:t>、</w:t>
      </w:r>
      <w:r w:rsidR="00C5144D">
        <w:rPr>
          <w:rFonts w:hAnsi="標楷體" w:hint="eastAsia"/>
        </w:rPr>
        <w:t>5</w:t>
      </w:r>
      <w:bookmarkStart w:id="43" w:name="_GoBack"/>
      <w:bookmarkEnd w:id="43"/>
      <w:r>
        <w:rPr>
          <w:rFonts w:hAnsi="標楷體" w:hint="eastAsia"/>
        </w:rPr>
        <w:t>)對於溫室氣體等氣候相關資訊，</w:t>
      </w:r>
      <w:r>
        <w:rPr>
          <w:rFonts w:hAnsi="標楷體" w:hint="eastAsia"/>
        </w:rPr>
        <w:lastRenderedPageBreak/>
        <w:t>朝向於證券法令納入溫室氣體等永續資訊揭露規範，要求企業依規模大小，分階段於年報或財務報告附註揭露相關資訊，以提高監理強度或強化非財務資訊透明度。與</w:t>
      </w:r>
      <w:proofErr w:type="gramStart"/>
      <w:r>
        <w:rPr>
          <w:rFonts w:hAnsi="標楷體" w:hint="eastAsia"/>
        </w:rPr>
        <w:t>前開歐</w:t>
      </w:r>
      <w:proofErr w:type="gramEnd"/>
      <w:r>
        <w:rPr>
          <w:rFonts w:hAnsi="標楷體" w:hint="eastAsia"/>
        </w:rPr>
        <w:t>、美推動氣候資訊揭露之規劃及進程相較，金管會說明我國推動方向及進程</w:t>
      </w:r>
      <w:r>
        <w:rPr>
          <w:rFonts w:hAnsi="標楷體" w:hint="eastAsia"/>
          <w:shd w:val="clear" w:color="auto" w:fill="FFFFFF"/>
        </w:rPr>
        <w:t>，</w:t>
      </w:r>
      <w:r>
        <w:rPr>
          <w:rFonts w:hAnsi="標楷體" w:hint="eastAsia"/>
        </w:rPr>
        <w:t>按產業特性及實收資本額分階段推動上市櫃公司自112年起揭露溫室氣體範疇一</w:t>
      </w:r>
      <w:r>
        <w:rPr>
          <w:rStyle w:val="aff8"/>
          <w:rFonts w:hAnsi="標楷體"/>
        </w:rPr>
        <w:footnoteReference w:id="5"/>
      </w:r>
      <w:r>
        <w:rPr>
          <w:rFonts w:hAnsi="標楷體" w:hint="eastAsia"/>
        </w:rPr>
        <w:t>及二</w:t>
      </w:r>
      <w:r>
        <w:rPr>
          <w:rStyle w:val="aff8"/>
          <w:rFonts w:hAnsi="標楷體"/>
        </w:rPr>
        <w:footnoteReference w:id="6"/>
      </w:r>
      <w:r>
        <w:rPr>
          <w:rFonts w:hAnsi="標楷體" w:hint="eastAsia"/>
        </w:rPr>
        <w:t>盤查與確信資訊，規劃於116年全體上市櫃公司完成溫室氣體盤查，118年完成溫室氣體盤查之確信，推動時程規劃尚符合國際趨勢，</w:t>
      </w:r>
      <w:proofErr w:type="gramStart"/>
      <w:r>
        <w:rPr>
          <w:rFonts w:hAnsi="標楷體" w:hint="eastAsia"/>
        </w:rPr>
        <w:t>均係</w:t>
      </w:r>
      <w:proofErr w:type="gramEnd"/>
      <w:r>
        <w:rPr>
          <w:rFonts w:hAnsi="標楷體" w:hint="eastAsia"/>
        </w:rPr>
        <w:t>以分階段優先推動達一定標準或規模以上之公司應強制揭露溫室氣體盤查及確信資訊為主，且時程並未落後國際，並將適時評估擴大強制揭露對象至公開發行公司之可行性。另依經濟合作暨發展組織(OECD)112年10月11日發布之「亞洲各國永續政策及實務報告(Sustainability Policies and Practices for Corporate Governance in Asia)」，截至110年底亞洲地區上市公司揭露溫室氣體排放範疇</w:t>
      </w:r>
      <w:proofErr w:type="gramStart"/>
      <w:r>
        <w:rPr>
          <w:rFonts w:hAnsi="標楷體" w:hint="eastAsia"/>
        </w:rPr>
        <w:t>一</w:t>
      </w:r>
      <w:proofErr w:type="gramEnd"/>
      <w:r>
        <w:rPr>
          <w:rFonts w:hAnsi="標楷體" w:hint="eastAsia"/>
        </w:rPr>
        <w:t>及二資訊之家數及市值占比分別為13%及53%，我國揭露占比分別為28%及82%，為亞洲地區揭露比率最高的國家。</w:t>
      </w:r>
    </w:p>
    <w:p w:rsidR="00DB7622" w:rsidRDefault="00042520">
      <w:pPr>
        <w:pStyle w:val="a4"/>
        <w:rPr>
          <w:rFonts w:hAnsi="標楷體"/>
        </w:rPr>
      </w:pPr>
      <w:r>
        <w:rPr>
          <w:rFonts w:hAnsi="標楷體" w:hint="eastAsia"/>
        </w:rPr>
        <w:t>SEC發布自116年起溫室氣體資訊揭露適用對象</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5" w:type="dxa"/>
          <w:bottom w:w="28" w:type="dxa"/>
          <w:right w:w="45" w:type="dxa"/>
        </w:tblCellMar>
        <w:tblLook w:val="04A0" w:firstRow="1" w:lastRow="0" w:firstColumn="1" w:lastColumn="0" w:noHBand="0" w:noVBand="1"/>
      </w:tblPr>
      <w:tblGrid>
        <w:gridCol w:w="4820"/>
        <w:gridCol w:w="1276"/>
        <w:gridCol w:w="1417"/>
        <w:gridCol w:w="1321"/>
      </w:tblGrid>
      <w:tr w:rsidR="00DB7622">
        <w:trPr>
          <w:trHeight w:val="390"/>
          <w:tblHeader/>
        </w:trPr>
        <w:tc>
          <w:tcPr>
            <w:tcW w:w="4820" w:type="dxa"/>
            <w:vMerge w:val="restart"/>
            <w:tcBorders>
              <w:tr2bl w:val="nil"/>
            </w:tcBorders>
            <w:shd w:val="clear" w:color="auto" w:fill="F2F2F2"/>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sz w:val="28"/>
                <w:szCs w:val="28"/>
              </w:rPr>
              <w:t>適用對象</w:t>
            </w:r>
            <w:r>
              <w:rPr>
                <w:rFonts w:hAnsi="標楷體" w:hint="eastAsia"/>
                <w:sz w:val="28"/>
                <w:szCs w:val="28"/>
              </w:rPr>
              <w:t>(</w:t>
            </w:r>
            <w:proofErr w:type="gramStart"/>
            <w:r>
              <w:rPr>
                <w:rFonts w:hAnsi="標楷體" w:hint="eastAsia"/>
                <w:sz w:val="28"/>
                <w:szCs w:val="28"/>
              </w:rPr>
              <w:t>註</w:t>
            </w:r>
            <w:proofErr w:type="gramEnd"/>
            <w:r>
              <w:rPr>
                <w:rFonts w:hAnsi="標楷體" w:hint="eastAsia"/>
                <w:sz w:val="28"/>
                <w:szCs w:val="28"/>
              </w:rPr>
              <w:t>)</w:t>
            </w:r>
          </w:p>
        </w:tc>
        <w:tc>
          <w:tcPr>
            <w:tcW w:w="4014" w:type="dxa"/>
            <w:gridSpan w:val="3"/>
            <w:shd w:val="clear" w:color="auto" w:fill="F2F2F2"/>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sz w:val="28"/>
                <w:szCs w:val="28"/>
              </w:rPr>
              <w:t>溫室氣體範疇</w:t>
            </w:r>
            <w:proofErr w:type="gramStart"/>
            <w:r>
              <w:rPr>
                <w:rFonts w:hAnsi="標楷體"/>
                <w:sz w:val="28"/>
                <w:szCs w:val="28"/>
              </w:rPr>
              <w:t>一</w:t>
            </w:r>
            <w:proofErr w:type="gramEnd"/>
            <w:r>
              <w:rPr>
                <w:rFonts w:hAnsi="標楷體"/>
                <w:sz w:val="28"/>
                <w:szCs w:val="28"/>
              </w:rPr>
              <w:t>及</w:t>
            </w:r>
            <w:r>
              <w:rPr>
                <w:rFonts w:hAnsi="標楷體" w:hint="eastAsia"/>
                <w:sz w:val="28"/>
                <w:szCs w:val="28"/>
              </w:rPr>
              <w:t>二</w:t>
            </w:r>
            <w:r>
              <w:rPr>
                <w:rFonts w:hAnsi="標楷體"/>
                <w:sz w:val="28"/>
                <w:szCs w:val="28"/>
              </w:rPr>
              <w:t>資訊</w:t>
            </w:r>
          </w:p>
        </w:tc>
      </w:tr>
      <w:tr w:rsidR="00DB7622">
        <w:trPr>
          <w:tblHeader/>
        </w:trPr>
        <w:tc>
          <w:tcPr>
            <w:tcW w:w="4820" w:type="dxa"/>
            <w:vMerge/>
            <w:tcBorders>
              <w:tr2bl w:val="nil"/>
            </w:tcBorders>
            <w:shd w:val="clear" w:color="auto" w:fill="F2F2F2"/>
            <w:vAlign w:val="center"/>
          </w:tcPr>
          <w:p w:rsidR="00DB7622" w:rsidRDefault="00DB7622">
            <w:pPr>
              <w:overflowPunct/>
              <w:autoSpaceDE/>
              <w:autoSpaceDN/>
              <w:adjustRightInd w:val="0"/>
              <w:snapToGrid w:val="0"/>
              <w:spacing w:line="300" w:lineRule="exact"/>
              <w:jc w:val="center"/>
              <w:rPr>
                <w:rFonts w:hAnsi="標楷體"/>
                <w:sz w:val="28"/>
                <w:szCs w:val="28"/>
              </w:rPr>
            </w:pPr>
          </w:p>
        </w:tc>
        <w:tc>
          <w:tcPr>
            <w:tcW w:w="1276" w:type="dxa"/>
            <w:shd w:val="clear" w:color="auto" w:fill="F2F2F2"/>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sz w:val="28"/>
                <w:szCs w:val="28"/>
              </w:rPr>
              <w:t>盤查</w:t>
            </w:r>
          </w:p>
        </w:tc>
        <w:tc>
          <w:tcPr>
            <w:tcW w:w="1417" w:type="dxa"/>
            <w:shd w:val="clear" w:color="auto" w:fill="F2F2F2"/>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sz w:val="28"/>
                <w:szCs w:val="28"/>
              </w:rPr>
              <w:t>有限確信</w:t>
            </w:r>
          </w:p>
        </w:tc>
        <w:tc>
          <w:tcPr>
            <w:tcW w:w="1321" w:type="dxa"/>
            <w:shd w:val="clear" w:color="auto" w:fill="F2F2F2"/>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sz w:val="28"/>
                <w:szCs w:val="28"/>
              </w:rPr>
              <w:t>合理確信</w:t>
            </w:r>
          </w:p>
        </w:tc>
      </w:tr>
      <w:tr w:rsidR="00DB7622">
        <w:tc>
          <w:tcPr>
            <w:tcW w:w="4820" w:type="dxa"/>
            <w:shd w:val="clear" w:color="auto" w:fill="auto"/>
            <w:vAlign w:val="center"/>
          </w:tcPr>
          <w:p w:rsidR="00DB7622" w:rsidRDefault="00042520">
            <w:pPr>
              <w:overflowPunct/>
              <w:autoSpaceDE/>
              <w:autoSpaceDN/>
              <w:adjustRightInd w:val="0"/>
              <w:snapToGrid w:val="0"/>
              <w:spacing w:line="300" w:lineRule="exact"/>
              <w:rPr>
                <w:rFonts w:hAnsi="標楷體" w:cs="標楷體"/>
                <w:spacing w:val="-20"/>
                <w:sz w:val="28"/>
                <w:szCs w:val="28"/>
              </w:rPr>
            </w:pPr>
            <w:r>
              <w:rPr>
                <w:rFonts w:hAnsi="標楷體" w:cs="標楷體"/>
                <w:spacing w:val="-20"/>
                <w:sz w:val="28"/>
                <w:szCs w:val="28"/>
              </w:rPr>
              <w:t>大型加速申報公司</w:t>
            </w:r>
          </w:p>
          <w:p w:rsidR="00DB7622" w:rsidRDefault="00042520">
            <w:pPr>
              <w:overflowPunct/>
              <w:autoSpaceDE/>
              <w:autoSpaceDN/>
              <w:adjustRightInd w:val="0"/>
              <w:snapToGrid w:val="0"/>
              <w:spacing w:line="300" w:lineRule="exact"/>
              <w:rPr>
                <w:rFonts w:hAnsi="標楷體" w:cs="標楷體"/>
                <w:spacing w:val="-20"/>
                <w:sz w:val="28"/>
                <w:szCs w:val="28"/>
              </w:rPr>
            </w:pPr>
            <w:r>
              <w:rPr>
                <w:rFonts w:hAnsi="標楷體" w:cs="標楷體" w:hint="eastAsia"/>
                <w:spacing w:val="-20"/>
                <w:sz w:val="28"/>
                <w:szCs w:val="28"/>
              </w:rPr>
              <w:t>上市</w:t>
            </w:r>
            <w:r>
              <w:rPr>
                <w:rFonts w:hAnsi="標楷體" w:cs="標楷體"/>
                <w:spacing w:val="-20"/>
                <w:sz w:val="28"/>
                <w:szCs w:val="28"/>
              </w:rPr>
              <w:t>總市值</w:t>
            </w:r>
            <w:r>
              <w:rPr>
                <w:rFonts w:ascii="Times New Roman"/>
                <w:spacing w:val="-20"/>
                <w:sz w:val="28"/>
                <w:szCs w:val="28"/>
              </w:rPr>
              <w:t>≥</w:t>
            </w:r>
            <w:r>
              <w:rPr>
                <w:rFonts w:hAnsi="標楷體" w:cs="標楷體"/>
                <w:spacing w:val="-20"/>
                <w:sz w:val="28"/>
                <w:szCs w:val="28"/>
              </w:rPr>
              <w:t xml:space="preserve"> 7億美元</w:t>
            </w:r>
          </w:p>
        </w:tc>
        <w:tc>
          <w:tcPr>
            <w:tcW w:w="1276" w:type="dxa"/>
            <w:shd w:val="clear" w:color="auto" w:fill="auto"/>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hint="eastAsia"/>
                <w:sz w:val="28"/>
                <w:szCs w:val="28"/>
              </w:rPr>
              <w:t>116</w:t>
            </w:r>
            <w:r>
              <w:rPr>
                <w:rFonts w:hAnsi="標楷體"/>
                <w:sz w:val="28"/>
                <w:szCs w:val="28"/>
              </w:rPr>
              <w:t>年</w:t>
            </w:r>
          </w:p>
        </w:tc>
        <w:tc>
          <w:tcPr>
            <w:tcW w:w="1417" w:type="dxa"/>
            <w:shd w:val="clear" w:color="auto" w:fill="auto"/>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hint="eastAsia"/>
                <w:sz w:val="28"/>
                <w:szCs w:val="28"/>
              </w:rPr>
              <w:t>119</w:t>
            </w:r>
            <w:r>
              <w:rPr>
                <w:rFonts w:hAnsi="標楷體"/>
                <w:sz w:val="28"/>
                <w:szCs w:val="28"/>
              </w:rPr>
              <w:t>年</w:t>
            </w:r>
          </w:p>
        </w:tc>
        <w:tc>
          <w:tcPr>
            <w:tcW w:w="1321" w:type="dxa"/>
            <w:shd w:val="clear" w:color="auto" w:fill="auto"/>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hint="eastAsia"/>
                <w:sz w:val="28"/>
                <w:szCs w:val="28"/>
              </w:rPr>
              <w:t>123</w:t>
            </w:r>
            <w:r>
              <w:rPr>
                <w:rFonts w:hAnsi="標楷體"/>
                <w:sz w:val="28"/>
                <w:szCs w:val="28"/>
              </w:rPr>
              <w:t>年</w:t>
            </w:r>
          </w:p>
        </w:tc>
      </w:tr>
      <w:tr w:rsidR="00DB7622">
        <w:tc>
          <w:tcPr>
            <w:tcW w:w="4820" w:type="dxa"/>
            <w:shd w:val="clear" w:color="auto" w:fill="auto"/>
            <w:vAlign w:val="center"/>
          </w:tcPr>
          <w:p w:rsidR="00DB7622" w:rsidRDefault="00042520">
            <w:pPr>
              <w:overflowPunct/>
              <w:autoSpaceDE/>
              <w:autoSpaceDN/>
              <w:adjustRightInd w:val="0"/>
              <w:snapToGrid w:val="0"/>
              <w:spacing w:line="300" w:lineRule="exact"/>
              <w:rPr>
                <w:rFonts w:hAnsi="標楷體" w:cs="標楷體"/>
                <w:spacing w:val="-20"/>
                <w:sz w:val="28"/>
                <w:szCs w:val="28"/>
              </w:rPr>
            </w:pPr>
            <w:r>
              <w:rPr>
                <w:rFonts w:hAnsi="標楷體" w:cs="標楷體"/>
                <w:spacing w:val="-20"/>
                <w:sz w:val="28"/>
                <w:szCs w:val="28"/>
              </w:rPr>
              <w:lastRenderedPageBreak/>
              <w:t>加速申報公司</w:t>
            </w:r>
          </w:p>
          <w:p w:rsidR="00DB7622" w:rsidRDefault="00042520">
            <w:pPr>
              <w:overflowPunct/>
              <w:autoSpaceDE/>
              <w:autoSpaceDN/>
              <w:adjustRightInd w:val="0"/>
              <w:snapToGrid w:val="0"/>
              <w:spacing w:line="300" w:lineRule="exact"/>
              <w:rPr>
                <w:rFonts w:hAnsi="標楷體" w:cs="標楷體"/>
                <w:spacing w:val="-20"/>
                <w:sz w:val="28"/>
                <w:szCs w:val="28"/>
              </w:rPr>
            </w:pPr>
            <w:r>
              <w:rPr>
                <w:rFonts w:hAnsi="標楷體" w:cs="標楷體" w:hint="eastAsia"/>
                <w:spacing w:val="-20"/>
                <w:sz w:val="28"/>
                <w:szCs w:val="28"/>
              </w:rPr>
              <w:t>上市</w:t>
            </w:r>
            <w:r>
              <w:rPr>
                <w:rFonts w:hAnsi="標楷體" w:cs="標楷體"/>
                <w:spacing w:val="-20"/>
                <w:sz w:val="28"/>
                <w:szCs w:val="28"/>
              </w:rPr>
              <w:t>總市值介於7,500萬美元至7億美元</w:t>
            </w:r>
          </w:p>
        </w:tc>
        <w:tc>
          <w:tcPr>
            <w:tcW w:w="1276" w:type="dxa"/>
            <w:shd w:val="clear" w:color="auto" w:fill="auto"/>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hint="eastAsia"/>
                <w:sz w:val="28"/>
                <w:szCs w:val="28"/>
              </w:rPr>
              <w:t>118</w:t>
            </w:r>
            <w:r>
              <w:rPr>
                <w:rFonts w:hAnsi="標楷體"/>
                <w:sz w:val="28"/>
                <w:szCs w:val="28"/>
              </w:rPr>
              <w:t>年</w:t>
            </w:r>
          </w:p>
        </w:tc>
        <w:tc>
          <w:tcPr>
            <w:tcW w:w="1417" w:type="dxa"/>
            <w:shd w:val="clear" w:color="auto" w:fill="auto"/>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hint="eastAsia"/>
                <w:sz w:val="28"/>
                <w:szCs w:val="28"/>
              </w:rPr>
              <w:t>121</w:t>
            </w:r>
            <w:r>
              <w:rPr>
                <w:rFonts w:hAnsi="標楷體"/>
                <w:sz w:val="28"/>
                <w:szCs w:val="28"/>
              </w:rPr>
              <w:t>年</w:t>
            </w:r>
          </w:p>
        </w:tc>
        <w:tc>
          <w:tcPr>
            <w:tcW w:w="1321" w:type="dxa"/>
            <w:shd w:val="clear" w:color="auto" w:fill="auto"/>
            <w:vAlign w:val="center"/>
          </w:tcPr>
          <w:p w:rsidR="00DB7622" w:rsidRDefault="00042520">
            <w:pPr>
              <w:overflowPunct/>
              <w:autoSpaceDE/>
              <w:autoSpaceDN/>
              <w:adjustRightInd w:val="0"/>
              <w:snapToGrid w:val="0"/>
              <w:spacing w:line="300" w:lineRule="exact"/>
              <w:jc w:val="center"/>
              <w:rPr>
                <w:rFonts w:hAnsi="標楷體"/>
                <w:sz w:val="28"/>
                <w:szCs w:val="28"/>
              </w:rPr>
            </w:pPr>
            <w:r>
              <w:rPr>
                <w:rFonts w:hAnsi="標楷體" w:hint="eastAsia"/>
                <w:sz w:val="28"/>
                <w:szCs w:val="28"/>
              </w:rPr>
              <w:t>不適用</w:t>
            </w:r>
          </w:p>
        </w:tc>
      </w:tr>
    </w:tbl>
    <w:p w:rsidR="00DB7622" w:rsidRDefault="00042520">
      <w:pPr>
        <w:pStyle w:val="af7"/>
        <w:spacing w:after="0"/>
        <w:rPr>
          <w:rFonts w:hAnsi="標楷體"/>
        </w:rPr>
      </w:pPr>
      <w:proofErr w:type="gramStart"/>
      <w:r>
        <w:rPr>
          <w:rFonts w:hAnsi="標楷體" w:hint="eastAsia"/>
        </w:rPr>
        <w:t>註</w:t>
      </w:r>
      <w:proofErr w:type="gramEnd"/>
      <w:r>
        <w:rPr>
          <w:rFonts w:hAnsi="標楷體" w:hint="eastAsia"/>
        </w:rPr>
        <w:t>：本國及外國發行人皆適用。</w:t>
      </w:r>
    </w:p>
    <w:p w:rsidR="00DB7622" w:rsidRDefault="00042520">
      <w:pPr>
        <w:pStyle w:val="af7"/>
        <w:rPr>
          <w:rFonts w:hAnsi="標楷體"/>
        </w:rPr>
      </w:pPr>
      <w:r>
        <w:rPr>
          <w:rFonts w:hAnsi="標楷體" w:hint="eastAsia"/>
        </w:rPr>
        <w:t>資料來源：金管會提供本院資料。</w:t>
      </w:r>
    </w:p>
    <w:p w:rsidR="00DB7622" w:rsidRDefault="00042520">
      <w:pPr>
        <w:pStyle w:val="a4"/>
        <w:rPr>
          <w:rFonts w:hAnsi="標楷體"/>
        </w:rPr>
      </w:pPr>
      <w:r>
        <w:rPr>
          <w:rFonts w:hAnsi="標楷體" w:hint="eastAsia"/>
        </w:rPr>
        <w:t>歐盟依(ESRS E1)「氣候變遷」推動適用對象及揭露時程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13"/>
        <w:gridCol w:w="3021"/>
      </w:tblGrid>
      <w:tr w:rsidR="00DB7622">
        <w:trPr>
          <w:trHeight w:val="284"/>
          <w:tblHeader/>
        </w:trPr>
        <w:tc>
          <w:tcPr>
            <w:tcW w:w="3290" w:type="pct"/>
            <w:shd w:val="clear" w:color="auto" w:fill="F2F2F2"/>
            <w:vAlign w:val="center"/>
          </w:tcPr>
          <w:p w:rsidR="00DB7622" w:rsidRDefault="00042520">
            <w:pPr>
              <w:snapToGrid w:val="0"/>
              <w:spacing w:line="300" w:lineRule="exact"/>
              <w:jc w:val="center"/>
              <w:rPr>
                <w:rFonts w:hAnsi="標楷體"/>
                <w:bCs/>
                <w:sz w:val="28"/>
                <w:szCs w:val="28"/>
              </w:rPr>
            </w:pPr>
            <w:r>
              <w:rPr>
                <w:rFonts w:hAnsi="標楷體" w:hint="eastAsia"/>
                <w:bCs/>
                <w:sz w:val="28"/>
                <w:szCs w:val="28"/>
              </w:rPr>
              <w:t>適用對象</w:t>
            </w:r>
          </w:p>
        </w:tc>
        <w:tc>
          <w:tcPr>
            <w:tcW w:w="1710" w:type="pct"/>
            <w:shd w:val="clear" w:color="auto" w:fill="F2F2F2"/>
            <w:vAlign w:val="center"/>
          </w:tcPr>
          <w:p w:rsidR="00DB7622" w:rsidRDefault="00042520">
            <w:pPr>
              <w:snapToGrid w:val="0"/>
              <w:spacing w:line="300" w:lineRule="exact"/>
              <w:jc w:val="center"/>
              <w:rPr>
                <w:rFonts w:hAnsi="標楷體"/>
                <w:bCs/>
                <w:sz w:val="28"/>
                <w:szCs w:val="28"/>
              </w:rPr>
            </w:pPr>
            <w:r>
              <w:rPr>
                <w:rFonts w:hAnsi="標楷體" w:hint="eastAsia"/>
                <w:bCs/>
                <w:sz w:val="28"/>
                <w:szCs w:val="28"/>
              </w:rPr>
              <w:t>揭露</w:t>
            </w:r>
            <w:r>
              <w:rPr>
                <w:rFonts w:hAnsi="標楷體"/>
                <w:bCs/>
                <w:sz w:val="28"/>
                <w:szCs w:val="28"/>
              </w:rPr>
              <w:t>時程</w:t>
            </w:r>
          </w:p>
        </w:tc>
      </w:tr>
      <w:tr w:rsidR="00DB7622">
        <w:trPr>
          <w:trHeight w:val="284"/>
        </w:trPr>
        <w:tc>
          <w:tcPr>
            <w:tcW w:w="3290" w:type="pct"/>
            <w:vAlign w:val="center"/>
          </w:tcPr>
          <w:p w:rsidR="00DB7622" w:rsidRDefault="00042520">
            <w:pPr>
              <w:snapToGrid w:val="0"/>
              <w:spacing w:line="300" w:lineRule="exact"/>
              <w:rPr>
                <w:rFonts w:hAnsi="標楷體"/>
                <w:bCs/>
                <w:sz w:val="28"/>
                <w:szCs w:val="28"/>
              </w:rPr>
            </w:pPr>
            <w:r>
              <w:rPr>
                <w:rFonts w:hAnsi="標楷體" w:hint="eastAsia"/>
                <w:bCs/>
                <w:sz w:val="28"/>
                <w:szCs w:val="28"/>
              </w:rPr>
              <w:t>500名以上員工之上市公司</w:t>
            </w:r>
          </w:p>
          <w:p w:rsidR="00DB7622" w:rsidRDefault="00042520">
            <w:pPr>
              <w:snapToGrid w:val="0"/>
              <w:spacing w:line="300" w:lineRule="exact"/>
              <w:rPr>
                <w:rFonts w:hAnsi="標楷體"/>
                <w:bCs/>
                <w:sz w:val="28"/>
                <w:szCs w:val="28"/>
              </w:rPr>
            </w:pPr>
            <w:r>
              <w:rPr>
                <w:rFonts w:hAnsi="標楷體" w:hint="eastAsia"/>
                <w:bCs/>
                <w:sz w:val="28"/>
                <w:szCs w:val="28"/>
              </w:rPr>
              <w:t>(包含非歐盟上市公司)</w:t>
            </w:r>
          </w:p>
        </w:tc>
        <w:tc>
          <w:tcPr>
            <w:tcW w:w="1710" w:type="pct"/>
            <w:shd w:val="clear" w:color="auto" w:fill="auto"/>
            <w:vAlign w:val="center"/>
          </w:tcPr>
          <w:p w:rsidR="00DB7622" w:rsidRDefault="00042520">
            <w:pPr>
              <w:snapToGrid w:val="0"/>
              <w:spacing w:line="300" w:lineRule="exact"/>
              <w:jc w:val="center"/>
              <w:rPr>
                <w:rFonts w:hAnsi="標楷體"/>
                <w:bCs/>
                <w:sz w:val="28"/>
                <w:szCs w:val="28"/>
              </w:rPr>
            </w:pPr>
            <w:r>
              <w:rPr>
                <w:rFonts w:hAnsi="標楷體" w:hint="eastAsia"/>
                <w:bCs/>
                <w:sz w:val="28"/>
                <w:szCs w:val="28"/>
              </w:rPr>
              <w:t>114</w:t>
            </w:r>
            <w:r>
              <w:rPr>
                <w:rFonts w:hAnsi="標楷體"/>
                <w:bCs/>
                <w:sz w:val="28"/>
                <w:szCs w:val="28"/>
              </w:rPr>
              <w:t>年</w:t>
            </w:r>
          </w:p>
        </w:tc>
      </w:tr>
      <w:tr w:rsidR="00DB7622">
        <w:trPr>
          <w:trHeight w:val="340"/>
        </w:trPr>
        <w:tc>
          <w:tcPr>
            <w:tcW w:w="3290" w:type="pct"/>
            <w:vAlign w:val="center"/>
          </w:tcPr>
          <w:p w:rsidR="00DB7622" w:rsidRDefault="00042520">
            <w:pPr>
              <w:snapToGrid w:val="0"/>
              <w:spacing w:line="300" w:lineRule="exact"/>
              <w:rPr>
                <w:rFonts w:hAnsi="標楷體"/>
                <w:bCs/>
                <w:sz w:val="28"/>
                <w:szCs w:val="28"/>
              </w:rPr>
            </w:pPr>
            <w:r>
              <w:rPr>
                <w:rFonts w:hAnsi="標楷體" w:hint="eastAsia"/>
                <w:sz w:val="28"/>
                <w:szCs w:val="28"/>
              </w:rPr>
              <w:t>符合以下</w:t>
            </w:r>
            <w:r>
              <w:rPr>
                <w:rFonts w:hAnsi="標楷體" w:hint="eastAsia"/>
                <w:sz w:val="28"/>
                <w:szCs w:val="28"/>
                <w:u w:val="single"/>
              </w:rPr>
              <w:t>其中二項</w:t>
            </w:r>
            <w:r>
              <w:rPr>
                <w:rFonts w:hAnsi="標楷體" w:hint="eastAsia"/>
                <w:sz w:val="28"/>
                <w:szCs w:val="28"/>
              </w:rPr>
              <w:t>條件之</w:t>
            </w:r>
            <w:r>
              <w:rPr>
                <w:rFonts w:hAnsi="標楷體" w:hint="eastAsia"/>
                <w:bCs/>
                <w:sz w:val="28"/>
                <w:szCs w:val="28"/>
              </w:rPr>
              <w:t>大型公司</w:t>
            </w:r>
            <w:r>
              <w:rPr>
                <w:rFonts w:hAnsi="標楷體" w:hint="eastAsia"/>
                <w:sz w:val="28"/>
                <w:szCs w:val="28"/>
              </w:rPr>
              <w:t>：</w:t>
            </w:r>
          </w:p>
          <w:p w:rsidR="00DB7622" w:rsidRDefault="00042520">
            <w:pPr>
              <w:snapToGrid w:val="0"/>
              <w:spacing w:line="300" w:lineRule="exact"/>
              <w:rPr>
                <w:rFonts w:hAnsi="標楷體"/>
                <w:sz w:val="28"/>
                <w:szCs w:val="28"/>
              </w:rPr>
            </w:pPr>
            <w:r>
              <w:rPr>
                <w:rFonts w:hAnsi="標楷體" w:hint="eastAsia"/>
                <w:bCs/>
                <w:sz w:val="28"/>
                <w:szCs w:val="28"/>
              </w:rPr>
              <w:t>(上市+非上市，包含非歐盟上市公司)</w:t>
            </w:r>
          </w:p>
          <w:p w:rsidR="00DB7622" w:rsidRDefault="00042520">
            <w:pPr>
              <w:pStyle w:val="5"/>
              <w:numPr>
                <w:ilvl w:val="4"/>
                <w:numId w:val="18"/>
              </w:numPr>
              <w:kinsoku w:val="0"/>
              <w:overflowPunct/>
              <w:autoSpaceDE/>
              <w:autoSpaceDN/>
              <w:snapToGrid w:val="0"/>
              <w:spacing w:line="300" w:lineRule="exact"/>
              <w:ind w:left="396" w:hanging="284"/>
              <w:rPr>
                <w:rFonts w:hAnsi="標楷體"/>
                <w:sz w:val="28"/>
                <w:szCs w:val="28"/>
              </w:rPr>
            </w:pPr>
            <w:r>
              <w:rPr>
                <w:rFonts w:hAnsi="標楷體"/>
                <w:sz w:val="28"/>
                <w:szCs w:val="28"/>
              </w:rPr>
              <w:t>總資產2,500萬歐元；</w:t>
            </w:r>
          </w:p>
          <w:p w:rsidR="00DB7622" w:rsidRDefault="00042520">
            <w:pPr>
              <w:pStyle w:val="5"/>
              <w:numPr>
                <w:ilvl w:val="4"/>
                <w:numId w:val="18"/>
              </w:numPr>
              <w:kinsoku w:val="0"/>
              <w:overflowPunct/>
              <w:autoSpaceDE/>
              <w:autoSpaceDN/>
              <w:snapToGrid w:val="0"/>
              <w:spacing w:line="300" w:lineRule="exact"/>
              <w:ind w:left="396" w:hanging="284"/>
              <w:rPr>
                <w:rFonts w:hAnsi="標楷體"/>
                <w:sz w:val="28"/>
                <w:szCs w:val="28"/>
              </w:rPr>
            </w:pPr>
            <w:r>
              <w:rPr>
                <w:rFonts w:hAnsi="標楷體"/>
                <w:sz w:val="28"/>
                <w:szCs w:val="28"/>
              </w:rPr>
              <w:t>收入5,000萬歐元；</w:t>
            </w:r>
          </w:p>
          <w:p w:rsidR="00DB7622" w:rsidRDefault="00042520">
            <w:pPr>
              <w:pStyle w:val="5"/>
              <w:numPr>
                <w:ilvl w:val="4"/>
                <w:numId w:val="18"/>
              </w:numPr>
              <w:kinsoku w:val="0"/>
              <w:overflowPunct/>
              <w:autoSpaceDE/>
              <w:autoSpaceDN/>
              <w:snapToGrid w:val="0"/>
              <w:spacing w:line="300" w:lineRule="exact"/>
              <w:ind w:left="396" w:hanging="284"/>
              <w:rPr>
                <w:rFonts w:hAnsi="標楷體"/>
                <w:sz w:val="28"/>
                <w:szCs w:val="28"/>
              </w:rPr>
            </w:pPr>
            <w:r>
              <w:rPr>
                <w:rFonts w:hAnsi="標楷體"/>
                <w:sz w:val="28"/>
                <w:szCs w:val="28"/>
              </w:rPr>
              <w:t>員工人數達250名</w:t>
            </w:r>
            <w:r>
              <w:rPr>
                <w:rFonts w:hAnsi="標楷體" w:hint="eastAsia"/>
                <w:sz w:val="28"/>
                <w:szCs w:val="28"/>
              </w:rPr>
              <w:t>。</w:t>
            </w:r>
          </w:p>
        </w:tc>
        <w:tc>
          <w:tcPr>
            <w:tcW w:w="1710" w:type="pct"/>
            <w:shd w:val="clear" w:color="auto" w:fill="auto"/>
            <w:vAlign w:val="center"/>
          </w:tcPr>
          <w:p w:rsidR="00DB7622" w:rsidRDefault="00042520">
            <w:pPr>
              <w:snapToGrid w:val="0"/>
              <w:spacing w:line="300" w:lineRule="exact"/>
              <w:jc w:val="center"/>
              <w:rPr>
                <w:rFonts w:hAnsi="標楷體"/>
                <w:bCs/>
                <w:sz w:val="28"/>
                <w:szCs w:val="28"/>
                <w:vertAlign w:val="subscript"/>
              </w:rPr>
            </w:pPr>
            <w:r>
              <w:rPr>
                <w:rFonts w:hAnsi="標楷體" w:hint="eastAsia"/>
                <w:bCs/>
                <w:sz w:val="28"/>
                <w:szCs w:val="28"/>
              </w:rPr>
              <w:t>115</w:t>
            </w:r>
            <w:r>
              <w:rPr>
                <w:rFonts w:hAnsi="標楷體"/>
                <w:bCs/>
                <w:sz w:val="28"/>
                <w:szCs w:val="28"/>
              </w:rPr>
              <w:t>年</w:t>
            </w:r>
          </w:p>
        </w:tc>
      </w:tr>
      <w:tr w:rsidR="00DB7622">
        <w:trPr>
          <w:trHeight w:val="442"/>
        </w:trPr>
        <w:tc>
          <w:tcPr>
            <w:tcW w:w="3290" w:type="pct"/>
            <w:vAlign w:val="center"/>
          </w:tcPr>
          <w:p w:rsidR="00DB7622" w:rsidRDefault="00042520">
            <w:pPr>
              <w:snapToGrid w:val="0"/>
              <w:spacing w:line="300" w:lineRule="exact"/>
              <w:rPr>
                <w:rFonts w:hAnsi="標楷體"/>
                <w:bCs/>
                <w:sz w:val="28"/>
                <w:szCs w:val="28"/>
              </w:rPr>
            </w:pPr>
            <w:r>
              <w:rPr>
                <w:rFonts w:hAnsi="標楷體" w:hint="eastAsia"/>
                <w:bCs/>
                <w:sz w:val="28"/>
                <w:szCs w:val="28"/>
              </w:rPr>
              <w:t>中小型上市公司</w:t>
            </w:r>
          </w:p>
          <w:p w:rsidR="00DB7622" w:rsidRDefault="00042520">
            <w:pPr>
              <w:snapToGrid w:val="0"/>
              <w:spacing w:line="300" w:lineRule="exact"/>
              <w:rPr>
                <w:rFonts w:hAnsi="標楷體"/>
                <w:bCs/>
                <w:sz w:val="28"/>
                <w:szCs w:val="28"/>
              </w:rPr>
            </w:pPr>
            <w:r>
              <w:rPr>
                <w:rFonts w:hAnsi="標楷體" w:hint="eastAsia"/>
                <w:bCs/>
                <w:sz w:val="28"/>
                <w:szCs w:val="28"/>
              </w:rPr>
              <w:t>(包含非歐盟中小型上市公司)</w:t>
            </w:r>
          </w:p>
        </w:tc>
        <w:tc>
          <w:tcPr>
            <w:tcW w:w="1710" w:type="pct"/>
            <w:shd w:val="clear" w:color="auto" w:fill="auto"/>
            <w:vAlign w:val="center"/>
          </w:tcPr>
          <w:p w:rsidR="00DB7622" w:rsidRDefault="00042520">
            <w:pPr>
              <w:snapToGrid w:val="0"/>
              <w:spacing w:line="300" w:lineRule="exact"/>
              <w:jc w:val="center"/>
              <w:rPr>
                <w:rFonts w:hAnsi="標楷體"/>
                <w:bCs/>
                <w:sz w:val="28"/>
                <w:szCs w:val="28"/>
              </w:rPr>
            </w:pPr>
            <w:r>
              <w:rPr>
                <w:rFonts w:hAnsi="標楷體" w:hint="eastAsia"/>
                <w:bCs/>
                <w:sz w:val="28"/>
                <w:szCs w:val="28"/>
              </w:rPr>
              <w:t>116</w:t>
            </w:r>
            <w:r>
              <w:rPr>
                <w:rFonts w:hAnsi="標楷體"/>
                <w:bCs/>
                <w:sz w:val="28"/>
                <w:szCs w:val="28"/>
              </w:rPr>
              <w:t>年</w:t>
            </w:r>
          </w:p>
          <w:p w:rsidR="00DB7622" w:rsidRDefault="00042520">
            <w:pPr>
              <w:snapToGrid w:val="0"/>
              <w:spacing w:line="300" w:lineRule="exact"/>
              <w:jc w:val="center"/>
              <w:rPr>
                <w:rFonts w:hAnsi="標楷體"/>
                <w:bCs/>
                <w:sz w:val="28"/>
                <w:szCs w:val="28"/>
                <w:vertAlign w:val="subscript"/>
              </w:rPr>
            </w:pPr>
            <w:r>
              <w:rPr>
                <w:rFonts w:hAnsi="標楷體" w:hint="eastAsia"/>
                <w:bCs/>
                <w:sz w:val="28"/>
                <w:szCs w:val="28"/>
              </w:rPr>
              <w:t>(可延後至118年揭露)</w:t>
            </w:r>
          </w:p>
        </w:tc>
      </w:tr>
      <w:tr w:rsidR="00DB7622">
        <w:trPr>
          <w:trHeight w:val="442"/>
        </w:trPr>
        <w:tc>
          <w:tcPr>
            <w:tcW w:w="3290" w:type="pct"/>
            <w:vAlign w:val="center"/>
          </w:tcPr>
          <w:p w:rsidR="00DB7622" w:rsidRDefault="00042520">
            <w:pPr>
              <w:snapToGrid w:val="0"/>
              <w:spacing w:line="300" w:lineRule="exact"/>
              <w:rPr>
                <w:rFonts w:hAnsi="標楷體"/>
                <w:bCs/>
                <w:sz w:val="28"/>
                <w:szCs w:val="28"/>
              </w:rPr>
            </w:pPr>
            <w:r>
              <w:rPr>
                <w:rFonts w:hAnsi="標楷體" w:hint="eastAsia"/>
                <w:bCs/>
                <w:sz w:val="28"/>
                <w:szCs w:val="28"/>
              </w:rPr>
              <w:t>非歐盟公司</w:t>
            </w:r>
          </w:p>
          <w:p w:rsidR="00DB7622" w:rsidRDefault="00042520">
            <w:pPr>
              <w:snapToGrid w:val="0"/>
              <w:spacing w:line="300" w:lineRule="exact"/>
              <w:rPr>
                <w:rFonts w:hAnsi="標楷體"/>
                <w:sz w:val="28"/>
                <w:szCs w:val="28"/>
              </w:rPr>
            </w:pPr>
            <w:r>
              <w:rPr>
                <w:rFonts w:hAnsi="標楷體"/>
                <w:sz w:val="28"/>
                <w:szCs w:val="28"/>
              </w:rPr>
              <w:t>於歐盟境內年營收超過1.5億歐元，且符合以下條件之</w:t>
            </w:r>
            <w:proofErr w:type="gramStart"/>
            <w:r>
              <w:rPr>
                <w:rFonts w:hAnsi="標楷體"/>
                <w:sz w:val="28"/>
                <w:szCs w:val="28"/>
              </w:rPr>
              <w:t>一</w:t>
            </w:r>
            <w:proofErr w:type="gramEnd"/>
            <w:r>
              <w:rPr>
                <w:rFonts w:hAnsi="標楷體"/>
                <w:sz w:val="28"/>
                <w:szCs w:val="28"/>
              </w:rPr>
              <w:t>：</w:t>
            </w:r>
          </w:p>
          <w:p w:rsidR="00DB7622" w:rsidRDefault="00042520">
            <w:pPr>
              <w:pStyle w:val="5"/>
              <w:numPr>
                <w:ilvl w:val="0"/>
                <w:numId w:val="19"/>
              </w:numPr>
              <w:kinsoku w:val="0"/>
              <w:overflowPunct/>
              <w:autoSpaceDE/>
              <w:autoSpaceDN/>
              <w:snapToGrid w:val="0"/>
              <w:spacing w:line="300" w:lineRule="exact"/>
              <w:ind w:left="396" w:hanging="284"/>
              <w:rPr>
                <w:rFonts w:hAnsi="標楷體"/>
                <w:sz w:val="28"/>
                <w:szCs w:val="28"/>
              </w:rPr>
            </w:pPr>
            <w:r>
              <w:rPr>
                <w:rFonts w:hAnsi="標楷體"/>
                <w:sz w:val="28"/>
                <w:szCs w:val="28"/>
              </w:rPr>
              <w:t>於歐盟境內擁有年營收超過4,000萬</w:t>
            </w:r>
            <w:r>
              <w:rPr>
                <w:rFonts w:hAnsi="標楷體" w:hint="eastAsia"/>
                <w:sz w:val="28"/>
                <w:szCs w:val="28"/>
              </w:rPr>
              <w:t>歐</w:t>
            </w:r>
            <w:r>
              <w:rPr>
                <w:rFonts w:hAnsi="標楷體"/>
                <w:sz w:val="28"/>
                <w:szCs w:val="28"/>
              </w:rPr>
              <w:t>元之分支機構</w:t>
            </w:r>
          </w:p>
          <w:p w:rsidR="00DB7622" w:rsidRDefault="00042520">
            <w:pPr>
              <w:pStyle w:val="5"/>
              <w:numPr>
                <w:ilvl w:val="0"/>
                <w:numId w:val="19"/>
              </w:numPr>
              <w:kinsoku w:val="0"/>
              <w:overflowPunct/>
              <w:autoSpaceDE/>
              <w:autoSpaceDN/>
              <w:snapToGrid w:val="0"/>
              <w:spacing w:line="300" w:lineRule="exact"/>
              <w:ind w:left="396" w:hanging="284"/>
              <w:rPr>
                <w:rFonts w:hAnsi="標楷體"/>
                <w:sz w:val="28"/>
                <w:szCs w:val="28"/>
              </w:rPr>
            </w:pPr>
            <w:r>
              <w:rPr>
                <w:rFonts w:hAnsi="標楷體" w:hint="eastAsia"/>
                <w:sz w:val="28"/>
                <w:szCs w:val="28"/>
              </w:rPr>
              <w:t>於歐盟境內有</w:t>
            </w:r>
            <w:r>
              <w:rPr>
                <w:rFonts w:hAnsi="標楷體"/>
                <w:sz w:val="28"/>
                <w:szCs w:val="28"/>
              </w:rPr>
              <w:t>子公司</w:t>
            </w:r>
            <w:r>
              <w:rPr>
                <w:rFonts w:hAnsi="標楷體" w:hint="eastAsia"/>
                <w:sz w:val="28"/>
                <w:szCs w:val="28"/>
              </w:rPr>
              <w:t>，該子公司</w:t>
            </w:r>
            <w:r>
              <w:rPr>
                <w:rFonts w:hAnsi="標楷體"/>
                <w:sz w:val="28"/>
                <w:szCs w:val="28"/>
              </w:rPr>
              <w:t>屬於前開大型公司或中小</w:t>
            </w:r>
            <w:r>
              <w:rPr>
                <w:rFonts w:hAnsi="標楷體" w:hint="eastAsia"/>
                <w:sz w:val="28"/>
                <w:szCs w:val="28"/>
              </w:rPr>
              <w:t>型</w:t>
            </w:r>
            <w:r>
              <w:rPr>
                <w:rFonts w:hAnsi="標楷體"/>
                <w:sz w:val="28"/>
                <w:szCs w:val="28"/>
              </w:rPr>
              <w:t>上市公司</w:t>
            </w:r>
          </w:p>
        </w:tc>
        <w:tc>
          <w:tcPr>
            <w:tcW w:w="1710" w:type="pct"/>
            <w:shd w:val="clear" w:color="auto" w:fill="auto"/>
            <w:vAlign w:val="center"/>
          </w:tcPr>
          <w:p w:rsidR="00DB7622" w:rsidRDefault="00042520">
            <w:pPr>
              <w:snapToGrid w:val="0"/>
              <w:spacing w:line="300" w:lineRule="exact"/>
              <w:jc w:val="center"/>
              <w:rPr>
                <w:rFonts w:hAnsi="標楷體"/>
                <w:bCs/>
                <w:sz w:val="28"/>
                <w:szCs w:val="28"/>
              </w:rPr>
            </w:pPr>
            <w:r>
              <w:rPr>
                <w:rFonts w:hAnsi="標楷體" w:hint="eastAsia"/>
                <w:bCs/>
                <w:sz w:val="28"/>
                <w:szCs w:val="28"/>
              </w:rPr>
              <w:t>118年</w:t>
            </w:r>
          </w:p>
        </w:tc>
      </w:tr>
    </w:tbl>
    <w:p w:rsidR="00DB7622" w:rsidRDefault="00042520">
      <w:pPr>
        <w:pStyle w:val="af7"/>
        <w:rPr>
          <w:rFonts w:hAnsi="標楷體"/>
        </w:rPr>
      </w:pPr>
      <w:r>
        <w:rPr>
          <w:rFonts w:hAnsi="標楷體" w:hint="eastAsia"/>
        </w:rPr>
        <w:t>資料來源：金管會提供本院資料。</w:t>
      </w:r>
    </w:p>
    <w:p w:rsidR="00DB7622" w:rsidRDefault="00042520">
      <w:pPr>
        <w:pStyle w:val="3"/>
        <w:ind w:left="1418"/>
        <w:rPr>
          <w:rFonts w:hAnsi="標楷體"/>
        </w:rPr>
      </w:pPr>
      <w:r>
        <w:rPr>
          <w:rFonts w:hAnsi="標楷體"/>
        </w:rPr>
        <w:t>依</w:t>
      </w:r>
      <w:r>
        <w:rPr>
          <w:rFonts w:hAnsi="標楷體" w:hint="eastAsia"/>
        </w:rPr>
        <w:t>原</w:t>
      </w:r>
      <w:r>
        <w:rPr>
          <w:rFonts w:hAnsi="標楷體"/>
        </w:rPr>
        <w:t>環</w:t>
      </w:r>
      <w:r>
        <w:rPr>
          <w:rFonts w:hAnsi="標楷體" w:hint="eastAsia"/>
        </w:rPr>
        <w:t>保署</w:t>
      </w:r>
      <w:r>
        <w:rPr>
          <w:rFonts w:hAnsi="標楷體"/>
        </w:rPr>
        <w:t>112年5月31日修正公告「事業應盤查登錄及查驗溫室氣體排放量之排放源」，</w:t>
      </w:r>
      <w:r>
        <w:rPr>
          <w:rFonts w:hAnsi="標楷體" w:hint="eastAsia"/>
        </w:rPr>
        <w:t>第一批為發電業、鋼鐵業、石油煉製業、水泥業、半導體業、薄膜電晶體液晶顯示器業及全廠(場)化石燃料燃燒之直接排放溫室氣體年排放量達2.5萬公噸CO</w:t>
      </w:r>
      <w:r>
        <w:rPr>
          <w:rFonts w:hAnsi="標楷體" w:hint="eastAsia"/>
          <w:vertAlign w:val="subscript"/>
        </w:rPr>
        <w:t>2</w:t>
      </w:r>
      <w:r>
        <w:rPr>
          <w:rFonts w:hAnsi="標楷體" w:hint="eastAsia"/>
        </w:rPr>
        <w:t>e之各行業，第二批為全廠(場)化石燃料燃燒之直接排放及使用電力間接排放溫室氣體年排放量合計達2.5萬公噸CO</w:t>
      </w:r>
      <w:r>
        <w:rPr>
          <w:rFonts w:hAnsi="標楷體" w:hint="eastAsia"/>
          <w:vertAlign w:val="subscript"/>
        </w:rPr>
        <w:t>2</w:t>
      </w:r>
      <w:r>
        <w:rPr>
          <w:rFonts w:hAnsi="標楷體" w:hint="eastAsia"/>
        </w:rPr>
        <w:t>e之製造業，公告對象已涵蓋能源密集及主要耗能產業。具有符合公告條件排放源之事業，無論是否為上市櫃公司，</w:t>
      </w:r>
      <w:proofErr w:type="gramStart"/>
      <w:r>
        <w:rPr>
          <w:rFonts w:hAnsi="標楷體" w:hint="eastAsia"/>
        </w:rPr>
        <w:t>均應依法</w:t>
      </w:r>
      <w:proofErr w:type="gramEnd"/>
      <w:r>
        <w:rPr>
          <w:rFonts w:hAnsi="標楷體" w:hint="eastAsia"/>
        </w:rPr>
        <w:t>辦理</w:t>
      </w:r>
      <w:r>
        <w:rPr>
          <w:rFonts w:hAnsi="標楷體"/>
        </w:rPr>
        <w:t>溫室氣</w:t>
      </w:r>
      <w:r>
        <w:rPr>
          <w:rFonts w:hAnsi="標楷體"/>
        </w:rPr>
        <w:lastRenderedPageBreak/>
        <w:t>體排放量</w:t>
      </w:r>
      <w:r>
        <w:rPr>
          <w:rFonts w:hAnsi="標楷體" w:hint="eastAsia"/>
        </w:rPr>
        <w:t>盤查登錄作業，溫室氣體排放量皆公開揭露於環境部氣候變遷署</w:t>
      </w:r>
      <w:r>
        <w:rPr>
          <w:rFonts w:hAnsi="標楷體"/>
        </w:rPr>
        <w:t>事業溫室氣體排放量資訊平台。金管</w:t>
      </w:r>
      <w:r>
        <w:rPr>
          <w:rFonts w:hAnsi="標楷體" w:hint="eastAsia"/>
        </w:rPr>
        <w:t>會依</w:t>
      </w:r>
      <w:r>
        <w:rPr>
          <w:rFonts w:hAnsi="標楷體"/>
        </w:rPr>
        <w:t>證</w:t>
      </w:r>
      <w:r>
        <w:rPr>
          <w:rFonts w:hAnsi="標楷體" w:hint="eastAsia"/>
        </w:rPr>
        <w:t>券</w:t>
      </w:r>
      <w:r>
        <w:rPr>
          <w:rFonts w:hAnsi="標楷體"/>
        </w:rPr>
        <w:t>交</w:t>
      </w:r>
      <w:r>
        <w:rPr>
          <w:rFonts w:hAnsi="標楷體" w:hint="eastAsia"/>
        </w:rPr>
        <w:t>易</w:t>
      </w:r>
      <w:r>
        <w:rPr>
          <w:rFonts w:hAnsi="標楷體"/>
        </w:rPr>
        <w:t>法第36條第4項授權訂定「公開發行公司年報應行記載事項準則」第10條第2項規定，</w:t>
      </w:r>
      <w:r>
        <w:rPr>
          <w:rFonts w:hAnsi="標楷體" w:hint="eastAsia"/>
        </w:rPr>
        <w:t>要求上市櫃公司須按資本額大小及特定產業，分階段揭露溫室氣體盤查及確信情形，邊界範圍</w:t>
      </w:r>
      <w:r>
        <w:rPr>
          <w:rFonts w:hAnsi="標楷體"/>
        </w:rPr>
        <w:t>包含母公司個體及合併報表母子公司，依實施期程逐步揭露</w:t>
      </w:r>
      <w:r>
        <w:rPr>
          <w:rFonts w:hAnsi="標楷體" w:hint="eastAsia"/>
        </w:rPr>
        <w:t>，揭露內容</w:t>
      </w:r>
      <w:r>
        <w:rPr>
          <w:rFonts w:hAnsi="標楷體"/>
        </w:rPr>
        <w:t>包含範疇</w:t>
      </w:r>
      <w:proofErr w:type="gramStart"/>
      <w:r>
        <w:rPr>
          <w:rFonts w:hAnsi="標楷體"/>
        </w:rPr>
        <w:t>一</w:t>
      </w:r>
      <w:proofErr w:type="gramEnd"/>
      <w:r>
        <w:rPr>
          <w:rFonts w:hAnsi="標楷體"/>
        </w:rPr>
        <w:t>及範疇二溫室氣體排放量</w:t>
      </w:r>
      <w:r>
        <w:rPr>
          <w:rFonts w:hAnsi="標楷體" w:hint="eastAsia"/>
        </w:rPr>
        <w:t>，另</w:t>
      </w:r>
      <w:r>
        <w:rPr>
          <w:rFonts w:hAnsi="標楷體"/>
        </w:rPr>
        <w:t>範疇三</w:t>
      </w:r>
      <w:r>
        <w:rPr>
          <w:rStyle w:val="aff8"/>
          <w:rFonts w:hAnsi="標楷體"/>
        </w:rPr>
        <w:footnoteReference w:id="7"/>
      </w:r>
      <w:r>
        <w:rPr>
          <w:rFonts w:hAnsi="標楷體"/>
        </w:rPr>
        <w:t>資訊企業得自願揭露</w:t>
      </w:r>
      <w:r>
        <w:rPr>
          <w:rFonts w:hAnsi="標楷體" w:hint="eastAsia"/>
        </w:rPr>
        <w:t>，揭露時程為</w:t>
      </w:r>
      <w:r>
        <w:rPr>
          <w:rFonts w:hAnsi="標楷體"/>
        </w:rPr>
        <w:t>每年股東會召開日7日前向金管會申報年報(包含溫室氣體盤查資料)</w:t>
      </w:r>
      <w:r>
        <w:rPr>
          <w:rFonts w:hAnsi="標楷體" w:hint="eastAsia"/>
        </w:rPr>
        <w:t>。</w:t>
      </w:r>
      <w:r>
        <w:rPr>
          <w:rFonts w:hAnsi="標楷體"/>
        </w:rPr>
        <w:t>若上市櫃公司個體公司及其合併報表公司年報範圍包括</w:t>
      </w:r>
      <w:proofErr w:type="gramStart"/>
      <w:r>
        <w:rPr>
          <w:rFonts w:hAnsi="標楷體"/>
        </w:rPr>
        <w:t>環境部列管</w:t>
      </w:r>
      <w:proofErr w:type="gramEnd"/>
      <w:r>
        <w:rPr>
          <w:rFonts w:hAnsi="標楷體"/>
        </w:rPr>
        <w:t>排放源之事業，依金管會</w:t>
      </w:r>
      <w:proofErr w:type="gramStart"/>
      <w:r>
        <w:rPr>
          <w:rFonts w:hAnsi="標楷體"/>
        </w:rPr>
        <w:t>證期局112年5</w:t>
      </w:r>
      <w:proofErr w:type="gramEnd"/>
      <w:r>
        <w:rPr>
          <w:rFonts w:hAnsi="標楷體"/>
        </w:rPr>
        <w:t>月永續路徑圖問答集釋疑內容，若</w:t>
      </w:r>
      <w:proofErr w:type="gramStart"/>
      <w:r>
        <w:rPr>
          <w:rFonts w:hAnsi="標楷體"/>
        </w:rPr>
        <w:t>公司依永</w:t>
      </w:r>
      <w:proofErr w:type="gramEnd"/>
      <w:r>
        <w:rPr>
          <w:rFonts w:hAnsi="標楷體"/>
        </w:rPr>
        <w:t>續路徑圖盤查範圍包括</w:t>
      </w:r>
      <w:proofErr w:type="gramStart"/>
      <w:r>
        <w:rPr>
          <w:rFonts w:hAnsi="標楷體"/>
        </w:rPr>
        <w:t>環境部列</w:t>
      </w:r>
      <w:proofErr w:type="gramEnd"/>
      <w:r>
        <w:rPr>
          <w:rFonts w:hAnsi="標楷體"/>
        </w:rPr>
        <w:t>管之排放源，得直接採用環境部規定辦理盤查及確信</w:t>
      </w:r>
      <w:r>
        <w:rPr>
          <w:rFonts w:hAnsi="標楷體" w:hint="eastAsia"/>
        </w:rPr>
        <w:t>，兩者之間並無衝突。</w:t>
      </w:r>
    </w:p>
    <w:p w:rsidR="00DB7622" w:rsidRDefault="00042520">
      <w:pPr>
        <w:pStyle w:val="3"/>
        <w:ind w:left="1418"/>
        <w:rPr>
          <w:rFonts w:hAnsi="標楷體"/>
        </w:rPr>
      </w:pPr>
      <w:r>
        <w:rPr>
          <w:rFonts w:hAnsi="標楷體" w:hint="eastAsia"/>
        </w:rPr>
        <w:t>經本院諮詢</w:t>
      </w:r>
      <w:r>
        <w:rPr>
          <w:rFonts w:hAnsi="標楷體"/>
        </w:rPr>
        <w:t>國立臺灣大學環境工程學研究所劉銘龍教授</w:t>
      </w:r>
      <w:r>
        <w:rPr>
          <w:rFonts w:hAnsi="標楷體" w:hint="eastAsia"/>
        </w:rPr>
        <w:t>表示意見略</w:t>
      </w:r>
      <w:proofErr w:type="gramStart"/>
      <w:r>
        <w:rPr>
          <w:rFonts w:hAnsi="標楷體" w:hint="eastAsia"/>
        </w:rPr>
        <w:t>以</w:t>
      </w:r>
      <w:proofErr w:type="gramEnd"/>
      <w:r>
        <w:rPr>
          <w:rFonts w:hAnsi="標楷體" w:hint="eastAsia"/>
        </w:rPr>
        <w:t>，</w:t>
      </w:r>
      <w:r>
        <w:rPr>
          <w:rFonts w:hAnsi="標楷體"/>
        </w:rPr>
        <w:t>我國溫室氣體排放都維持在高點，原訂</w:t>
      </w:r>
      <w:r>
        <w:rPr>
          <w:rFonts w:hAnsi="標楷體" w:hint="eastAsia"/>
        </w:rPr>
        <w:t>1</w:t>
      </w:r>
      <w:r>
        <w:rPr>
          <w:rFonts w:hAnsi="標楷體"/>
        </w:rPr>
        <w:t>09年要比基準年(94年)減少2%的目標不僅沒達到，人均燃料燃燒二氧化碳排放，由94年10.91公噸CO</w:t>
      </w:r>
      <w:r>
        <w:rPr>
          <w:rFonts w:hAnsi="標楷體"/>
          <w:vertAlign w:val="subscript"/>
        </w:rPr>
        <w:t>2</w:t>
      </w:r>
      <w:r>
        <w:rPr>
          <w:rFonts w:hAnsi="標楷體"/>
        </w:rPr>
        <w:t>e，迄</w:t>
      </w:r>
      <w:r>
        <w:rPr>
          <w:rFonts w:hAnsi="標楷體" w:hint="eastAsia"/>
        </w:rPr>
        <w:t>1</w:t>
      </w:r>
      <w:r>
        <w:rPr>
          <w:rFonts w:hAnsi="標楷體"/>
        </w:rPr>
        <w:t>10年增為11.38公噸CO</w:t>
      </w:r>
      <w:r>
        <w:rPr>
          <w:rFonts w:hAnsi="標楷體"/>
          <w:vertAlign w:val="subscript"/>
        </w:rPr>
        <w:t>2</w:t>
      </w:r>
      <w:r>
        <w:rPr>
          <w:rFonts w:hAnsi="標楷體"/>
        </w:rPr>
        <w:t>e，為全球的1.8倍</w:t>
      </w:r>
      <w:r>
        <w:rPr>
          <w:rFonts w:hAnsi="標楷體" w:hint="eastAsia"/>
        </w:rPr>
        <w:t>，</w:t>
      </w:r>
      <w:r>
        <w:rPr>
          <w:rFonts w:hAnsi="標楷體"/>
        </w:rPr>
        <w:t>更不減反增，比基準年高出2.6%。然而全球各主要國家為達成加嚴的國家自定貢獻目標</w:t>
      </w:r>
      <w:r>
        <w:rPr>
          <w:rFonts w:hAnsi="標楷體" w:hint="eastAsia"/>
        </w:rPr>
        <w:t>(</w:t>
      </w:r>
      <w:r>
        <w:rPr>
          <w:rFonts w:hAnsi="標楷體"/>
        </w:rPr>
        <w:t>Nationally Determined Contributions</w:t>
      </w:r>
      <w:r>
        <w:rPr>
          <w:rFonts w:hAnsi="標楷體" w:hint="eastAsia"/>
        </w:rPr>
        <w:t>，</w:t>
      </w:r>
      <w:r>
        <w:rPr>
          <w:rFonts w:hAnsi="標楷體"/>
        </w:rPr>
        <w:t>NDC)，已透過明確</w:t>
      </w:r>
      <w:proofErr w:type="gramStart"/>
      <w:r>
        <w:rPr>
          <w:rFonts w:hAnsi="標楷體"/>
        </w:rPr>
        <w:t>的淨零政策</w:t>
      </w:r>
      <w:proofErr w:type="gramEnd"/>
      <w:r>
        <w:rPr>
          <w:rFonts w:hAnsi="標楷體"/>
        </w:rPr>
        <w:t>目標，大量投入政府預算、帶動民間對綠色產業投融資、人才培育，進行技術研發與產業轉型。</w:t>
      </w:r>
      <w:r>
        <w:rPr>
          <w:rFonts w:hAnsi="標楷體" w:hint="eastAsia"/>
        </w:rPr>
        <w:t>又</w:t>
      </w:r>
      <w:r>
        <w:rPr>
          <w:rFonts w:hAnsi="標楷體"/>
        </w:rPr>
        <w:t>溫室氣體排放盤查及揭露是企</w:t>
      </w:r>
      <w:r>
        <w:rPr>
          <w:rFonts w:hAnsi="標楷體"/>
        </w:rPr>
        <w:lastRenderedPageBreak/>
        <w:t>業</w:t>
      </w:r>
      <w:proofErr w:type="gramStart"/>
      <w:r>
        <w:rPr>
          <w:rFonts w:hAnsi="標楷體"/>
        </w:rPr>
        <w:t>減碳基本</w:t>
      </w:r>
      <w:proofErr w:type="gramEnd"/>
      <w:r>
        <w:rPr>
          <w:rFonts w:hAnsi="標楷體"/>
        </w:rPr>
        <w:t>功，上市上櫃公司必須要做，也做得到。</w:t>
      </w:r>
      <w:proofErr w:type="gramStart"/>
      <w:r>
        <w:rPr>
          <w:rFonts w:hAnsi="標楷體"/>
        </w:rPr>
        <w:t>鑑</w:t>
      </w:r>
      <w:proofErr w:type="gramEnd"/>
      <w:r>
        <w:rPr>
          <w:rFonts w:hAnsi="標楷體"/>
        </w:rPr>
        <w:t>於巴黎協定與科學基礎目標倡議組織</w:t>
      </w:r>
      <w:r>
        <w:rPr>
          <w:rFonts w:hAnsi="標楷體" w:hint="eastAsia"/>
        </w:rPr>
        <w:t>(</w:t>
      </w:r>
      <w:proofErr w:type="spellStart"/>
      <w:r>
        <w:rPr>
          <w:rFonts w:hAnsi="標楷體"/>
        </w:rPr>
        <w:t>SBT</w:t>
      </w:r>
      <w:r>
        <w:rPr>
          <w:rFonts w:hAnsi="標楷體" w:hint="eastAsia"/>
        </w:rPr>
        <w:t>i</w:t>
      </w:r>
      <w:proofErr w:type="spellEnd"/>
      <w:r>
        <w:rPr>
          <w:rFonts w:hAnsi="標楷體"/>
        </w:rPr>
        <w:t>)等皆以</w:t>
      </w:r>
      <w:r>
        <w:rPr>
          <w:rFonts w:hAnsi="標楷體" w:hint="eastAsia"/>
        </w:rPr>
        <w:t>1</w:t>
      </w:r>
      <w:r>
        <w:rPr>
          <w:rFonts w:hAnsi="標楷體"/>
        </w:rPr>
        <w:t>19年為目標年，但金管會</w:t>
      </w:r>
      <w:r>
        <w:rPr>
          <w:rFonts w:hAnsi="標楷體" w:hint="eastAsia"/>
        </w:rPr>
        <w:t>1</w:t>
      </w:r>
      <w:r>
        <w:rPr>
          <w:rFonts w:hAnsi="標楷體"/>
        </w:rPr>
        <w:t>18年才要求全體上市櫃公司完成溫室氣體盤查查證(確信)，明顯期程太慢，不</w:t>
      </w:r>
      <w:r>
        <w:rPr>
          <w:rFonts w:hAnsi="標楷體" w:hint="eastAsia"/>
        </w:rPr>
        <w:t>利</w:t>
      </w:r>
      <w:r>
        <w:rPr>
          <w:rFonts w:hAnsi="標楷體"/>
        </w:rPr>
        <w:t>企業減量規劃。建議應提前至</w:t>
      </w:r>
      <w:r>
        <w:rPr>
          <w:rFonts w:hAnsi="標楷體" w:hint="eastAsia"/>
        </w:rPr>
        <w:t>1</w:t>
      </w:r>
      <w:r>
        <w:rPr>
          <w:rFonts w:hAnsi="標楷體"/>
        </w:rPr>
        <w:t>14-115年，全面要求上市上櫃公司進行溫室氣體盤查(確信)並公開揭露，讓投資人、金融業乃至於供應鏈了解企業碳排放及減量策略，提升國家整體</w:t>
      </w:r>
      <w:proofErr w:type="gramStart"/>
      <w:r>
        <w:rPr>
          <w:rFonts w:hAnsi="標楷體"/>
        </w:rPr>
        <w:t>減碳力</w:t>
      </w:r>
      <w:proofErr w:type="gramEnd"/>
      <w:r>
        <w:rPr>
          <w:rFonts w:hAnsi="標楷體"/>
        </w:rPr>
        <w:t>道。</w:t>
      </w:r>
      <w:r>
        <w:rPr>
          <w:rFonts w:hAnsi="標楷體" w:hint="eastAsia"/>
        </w:rPr>
        <w:t>另</w:t>
      </w:r>
      <w:r>
        <w:rPr>
          <w:rFonts w:hAnsi="標楷體"/>
        </w:rPr>
        <w:t>有非屬上市櫃的用電大戶，如大型連鎖超市、電信業、交通運輸等無義務須進行盤查，這些企業沒有盤查，政府很難具體掌握其排放變化，遑論有具體減量目標與策略。因此</w:t>
      </w:r>
      <w:proofErr w:type="gramStart"/>
      <w:r>
        <w:rPr>
          <w:rFonts w:hAnsi="標楷體"/>
        </w:rPr>
        <w:t>環境部應加速</w:t>
      </w:r>
      <w:proofErr w:type="gramEnd"/>
      <w:r>
        <w:rPr>
          <w:rFonts w:hAnsi="標楷體"/>
        </w:rPr>
        <w:t>依照氣候法規定，擴大公告應盤查登錄對象，優先將高用電的服務業</w:t>
      </w:r>
      <w:r>
        <w:rPr>
          <w:rFonts w:hAnsi="標楷體" w:hint="eastAsia"/>
        </w:rPr>
        <w:t>、</w:t>
      </w:r>
      <w:r>
        <w:rPr>
          <w:rFonts w:hAnsi="標楷體"/>
        </w:rPr>
        <w:t>電信、交通業等例如：</w:t>
      </w:r>
      <w:r>
        <w:rPr>
          <w:rFonts w:hAnsi="標楷體" w:hint="eastAsia"/>
        </w:rPr>
        <w:t>(</w:t>
      </w:r>
      <w:r>
        <w:rPr>
          <w:rFonts w:hAnsi="標楷體"/>
        </w:rPr>
        <w:t>1)批發零售業之連鎖企業百貨公司及購物中心、量</w:t>
      </w:r>
      <w:proofErr w:type="gramStart"/>
      <w:r>
        <w:rPr>
          <w:rFonts w:hAnsi="標楷體"/>
        </w:rPr>
        <w:t>販店業</w:t>
      </w:r>
      <w:proofErr w:type="gramEnd"/>
      <w:r>
        <w:rPr>
          <w:rFonts w:hAnsi="標楷體"/>
        </w:rPr>
        <w:t>、超級市場業以及連鎖便利商店業。</w:t>
      </w:r>
      <w:r>
        <w:rPr>
          <w:rFonts w:hAnsi="標楷體" w:hint="eastAsia"/>
        </w:rPr>
        <w:t>(</w:t>
      </w:r>
      <w:r>
        <w:rPr>
          <w:rFonts w:hAnsi="標楷體"/>
        </w:rPr>
        <w:t>2)電信業，如中華電信、台哥大、遠傳等</w:t>
      </w:r>
      <w:r>
        <w:rPr>
          <w:rFonts w:hAnsi="標楷體" w:hint="eastAsia"/>
        </w:rPr>
        <w:t>。(</w:t>
      </w:r>
      <w:r>
        <w:rPr>
          <w:rFonts w:hAnsi="標楷體"/>
        </w:rPr>
        <w:t>3)交通運輸，如台鐵、高鐵、捷運、公車業等納入，才能加速推動節能及相關工作。</w:t>
      </w:r>
    </w:p>
    <w:p w:rsidR="00DB7622" w:rsidRDefault="00042520">
      <w:pPr>
        <w:pStyle w:val="3"/>
        <w:ind w:left="1418"/>
        <w:rPr>
          <w:rFonts w:hAnsi="標楷體"/>
        </w:rPr>
      </w:pPr>
      <w:r>
        <w:rPr>
          <w:rFonts w:hAnsi="標楷體" w:hint="eastAsia"/>
        </w:rPr>
        <w:t>綜上，</w:t>
      </w:r>
      <w:r>
        <w:rPr>
          <w:rFonts w:hAnsi="標楷體"/>
        </w:rPr>
        <w:t>溫室氣體排放盤查及揭露是企業</w:t>
      </w:r>
      <w:proofErr w:type="gramStart"/>
      <w:r>
        <w:rPr>
          <w:rFonts w:hAnsi="標楷體"/>
        </w:rPr>
        <w:t>減碳基本</w:t>
      </w:r>
      <w:proofErr w:type="gramEnd"/>
      <w:r>
        <w:rPr>
          <w:rFonts w:hAnsi="標楷體"/>
        </w:rPr>
        <w:t>功</w:t>
      </w:r>
      <w:r>
        <w:rPr>
          <w:rFonts w:hAnsi="標楷體" w:hint="eastAsia"/>
        </w:rPr>
        <w:t>，金管</w:t>
      </w:r>
      <w:r>
        <w:rPr>
          <w:rFonts w:hAnsi="標楷體"/>
        </w:rPr>
        <w:t>會推動上市櫃公司完成揭露溫室氣體盤查及確信</w:t>
      </w:r>
      <w:r>
        <w:rPr>
          <w:rFonts w:hAnsi="標楷體" w:hint="eastAsia"/>
        </w:rPr>
        <w:t>時程規劃雖未落後於國際，然為</w:t>
      </w:r>
      <w:r>
        <w:rPr>
          <w:rFonts w:hAnsi="標楷體"/>
        </w:rPr>
        <w:t>提升國家整體</w:t>
      </w:r>
      <w:proofErr w:type="gramStart"/>
      <w:r>
        <w:rPr>
          <w:rFonts w:hAnsi="標楷體"/>
        </w:rPr>
        <w:t>減碳</w:t>
      </w:r>
      <w:proofErr w:type="gramEnd"/>
      <w:r>
        <w:rPr>
          <w:rFonts w:hAnsi="標楷體"/>
        </w:rPr>
        <w:t>力道</w:t>
      </w:r>
      <w:r>
        <w:rPr>
          <w:rFonts w:hAnsi="標楷體" w:hint="eastAsia"/>
        </w:rPr>
        <w:t>，金管會允宜研議加速期程及評估擴大強制揭露對象至公開發行公司之可行性，且</w:t>
      </w:r>
      <w:proofErr w:type="gramStart"/>
      <w:r>
        <w:rPr>
          <w:rFonts w:hAnsi="標楷體" w:hint="eastAsia"/>
        </w:rPr>
        <w:t>環境部亦</w:t>
      </w:r>
      <w:proofErr w:type="gramEnd"/>
      <w:r>
        <w:rPr>
          <w:rFonts w:hAnsi="標楷體" w:hint="eastAsia"/>
        </w:rPr>
        <w:t>應儘速擴大</w:t>
      </w:r>
      <w:r>
        <w:rPr>
          <w:rFonts w:hAnsi="標楷體"/>
        </w:rPr>
        <w:t>公告應盤查登錄對象</w:t>
      </w:r>
      <w:r>
        <w:rPr>
          <w:rFonts w:hAnsi="標楷體" w:hint="eastAsia"/>
        </w:rPr>
        <w:t>，</w:t>
      </w:r>
      <w:r>
        <w:rPr>
          <w:rFonts w:hAnsi="標楷體"/>
        </w:rPr>
        <w:t>優先將高用電</w:t>
      </w:r>
      <w:r>
        <w:rPr>
          <w:rFonts w:hAnsi="標楷體" w:hint="eastAsia"/>
        </w:rPr>
        <w:t>之</w:t>
      </w:r>
      <w:r>
        <w:rPr>
          <w:rFonts w:hAnsi="標楷體"/>
        </w:rPr>
        <w:t>服務業</w:t>
      </w:r>
      <w:r>
        <w:rPr>
          <w:rFonts w:hAnsi="標楷體" w:hint="eastAsia"/>
        </w:rPr>
        <w:t>;</w:t>
      </w:r>
      <w:r>
        <w:rPr>
          <w:rFonts w:hAnsi="標楷體"/>
        </w:rPr>
        <w:t xml:space="preserve"> 電信、交通業等</w:t>
      </w:r>
      <w:r>
        <w:rPr>
          <w:rFonts w:hAnsi="標楷體" w:hint="eastAsia"/>
        </w:rPr>
        <w:t>納入，方能</w:t>
      </w:r>
      <w:r>
        <w:rPr>
          <w:rFonts w:hAnsi="標楷體"/>
        </w:rPr>
        <w:t>加速推動</w:t>
      </w:r>
      <w:proofErr w:type="gramStart"/>
      <w:r>
        <w:rPr>
          <w:rFonts w:hAnsi="標楷體"/>
        </w:rPr>
        <w:t>節能</w:t>
      </w:r>
      <w:r>
        <w:rPr>
          <w:rFonts w:hAnsi="標楷體" w:hint="eastAsia"/>
        </w:rPr>
        <w:t>減碳</w:t>
      </w:r>
      <w:r>
        <w:rPr>
          <w:rFonts w:hAnsi="標楷體"/>
        </w:rPr>
        <w:t>及</w:t>
      </w:r>
      <w:proofErr w:type="gramEnd"/>
      <w:r>
        <w:rPr>
          <w:rFonts w:hAnsi="標楷體"/>
        </w:rPr>
        <w:t>相關工作</w:t>
      </w:r>
      <w:r>
        <w:rPr>
          <w:rFonts w:hAnsi="標楷體" w:hint="eastAsia"/>
        </w:rPr>
        <w:t>。</w:t>
      </w:r>
    </w:p>
    <w:p w:rsidR="00DB7622" w:rsidRDefault="00042520">
      <w:pPr>
        <w:pStyle w:val="1"/>
        <w:numPr>
          <w:ilvl w:val="0"/>
          <w:numId w:val="6"/>
        </w:numPr>
        <w:ind w:left="2380" w:hanging="2380"/>
        <w:rPr>
          <w:rFonts w:hAnsi="標楷體"/>
        </w:rPr>
      </w:pPr>
      <w:r>
        <w:rPr>
          <w:rFonts w:hAnsi="標楷體"/>
        </w:rPr>
        <w:br w:type="page"/>
      </w:r>
      <w:bookmarkStart w:id="44" w:name="_Toc529222689"/>
      <w:bookmarkStart w:id="45" w:name="_Toc529223111"/>
      <w:bookmarkStart w:id="46" w:name="_Toc529223862"/>
      <w:bookmarkStart w:id="47" w:name="_Toc529228265"/>
      <w:bookmarkStart w:id="48" w:name="_Toc2400395"/>
      <w:bookmarkStart w:id="49" w:name="_Toc4316189"/>
      <w:bookmarkStart w:id="50" w:name="_Toc4473330"/>
      <w:bookmarkStart w:id="51" w:name="_Toc69556897"/>
      <w:bookmarkStart w:id="52" w:name="_Toc69556946"/>
      <w:bookmarkStart w:id="53" w:name="_Toc69609820"/>
      <w:bookmarkStart w:id="54" w:name="_Toc70241816"/>
      <w:bookmarkStart w:id="55" w:name="_Toc70242205"/>
      <w:bookmarkStart w:id="56" w:name="_Toc421794875"/>
      <w:bookmarkStart w:id="57" w:name="_Toc422834160"/>
      <w:r>
        <w:rPr>
          <w:rFonts w:hAnsi="標楷體" w:hint="eastAsia"/>
        </w:rPr>
        <w:lastRenderedPageBreak/>
        <w:t>處理辦法：</w:t>
      </w:r>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241890" w:rsidRDefault="00241890">
      <w:pPr>
        <w:pStyle w:val="2"/>
        <w:numPr>
          <w:ilvl w:val="1"/>
          <w:numId w:val="6"/>
        </w:numPr>
        <w:spacing w:beforeLines="25" w:before="114"/>
        <w:ind w:left="1020" w:hanging="680"/>
        <w:rPr>
          <w:rFonts w:hAnsi="標楷體"/>
        </w:rPr>
      </w:pPr>
      <w:bookmarkStart w:id="58" w:name="_Toc524895649"/>
      <w:bookmarkStart w:id="59" w:name="_Toc524896195"/>
      <w:bookmarkStart w:id="60" w:name="_Toc524896225"/>
      <w:bookmarkStart w:id="61" w:name="_Toc70241820"/>
      <w:bookmarkStart w:id="62" w:name="_Toc70242209"/>
      <w:bookmarkStart w:id="63" w:name="_Toc421794876"/>
      <w:bookmarkStart w:id="64" w:name="_Toc421795442"/>
      <w:bookmarkStart w:id="65" w:name="_Toc421796023"/>
      <w:bookmarkStart w:id="66" w:name="_Toc422728958"/>
      <w:bookmarkStart w:id="67" w:name="_Toc422834161"/>
      <w:bookmarkStart w:id="68" w:name="_Toc2400396"/>
      <w:bookmarkStart w:id="69" w:name="_Toc4316190"/>
      <w:bookmarkStart w:id="70" w:name="_Toc4473331"/>
      <w:bookmarkStart w:id="71" w:name="_Toc69556898"/>
      <w:bookmarkStart w:id="72" w:name="_Toc69556947"/>
      <w:bookmarkStart w:id="73" w:name="_Toc69609821"/>
      <w:bookmarkStart w:id="74" w:name="_Toc70241817"/>
      <w:bookmarkStart w:id="75" w:name="_Toc70242206"/>
      <w:bookmarkStart w:id="76" w:name="_Toc524902735"/>
      <w:bookmarkStart w:id="77" w:name="_Toc525066149"/>
      <w:bookmarkStart w:id="78" w:name="_Toc525070840"/>
      <w:bookmarkStart w:id="79" w:name="_Toc525938380"/>
      <w:bookmarkStart w:id="80" w:name="_Toc525939228"/>
      <w:bookmarkStart w:id="81" w:name="_Toc525939733"/>
      <w:bookmarkStart w:id="82" w:name="_Toc529218273"/>
      <w:bookmarkStart w:id="83" w:name="_Toc529222690"/>
      <w:bookmarkStart w:id="84" w:name="_Toc529223112"/>
      <w:bookmarkStart w:id="85" w:name="_Toc529223863"/>
      <w:bookmarkStart w:id="86" w:name="_Toc529228266"/>
      <w:bookmarkEnd w:id="58"/>
      <w:bookmarkEnd w:id="59"/>
      <w:bookmarkEnd w:id="60"/>
      <w:r>
        <w:rPr>
          <w:rFonts w:hAnsi="標楷體" w:hint="eastAsia"/>
        </w:rPr>
        <w:t>抄調查意見</w:t>
      </w:r>
      <w:bookmarkStart w:id="87" w:name="_Toc421794877"/>
      <w:bookmarkStart w:id="88" w:name="_Toc421795443"/>
      <w:bookmarkStart w:id="89" w:name="_Toc421796024"/>
      <w:bookmarkStart w:id="90" w:name="_Toc422728959"/>
      <w:bookmarkStart w:id="91" w:name="_Toc422834162"/>
      <w:bookmarkEnd w:id="61"/>
      <w:bookmarkEnd w:id="62"/>
      <w:bookmarkEnd w:id="63"/>
      <w:bookmarkEnd w:id="64"/>
      <w:bookmarkEnd w:id="65"/>
      <w:bookmarkEnd w:id="66"/>
      <w:bookmarkEnd w:id="67"/>
      <w:proofErr w:type="gramStart"/>
      <w:r>
        <w:rPr>
          <w:rFonts w:hAnsi="標楷體" w:hint="eastAsia"/>
        </w:rPr>
        <w:t>一</w:t>
      </w:r>
      <w:proofErr w:type="gramEnd"/>
      <w:r>
        <w:rPr>
          <w:rFonts w:hAnsi="標楷體" w:hint="eastAsia"/>
        </w:rPr>
        <w:t>及二，函請環境部確實檢討改進</w:t>
      </w:r>
      <w:proofErr w:type="gramStart"/>
      <w:r>
        <w:rPr>
          <w:rFonts w:hAnsi="標楷體" w:hint="eastAsia"/>
        </w:rPr>
        <w:t>見復。</w:t>
      </w:r>
      <w:bookmarkEnd w:id="68"/>
      <w:bookmarkEnd w:id="69"/>
      <w:bookmarkEnd w:id="70"/>
      <w:bookmarkEnd w:id="71"/>
      <w:bookmarkEnd w:id="72"/>
      <w:bookmarkEnd w:id="73"/>
      <w:bookmarkEnd w:id="74"/>
      <w:bookmarkEnd w:id="75"/>
      <w:bookmarkEnd w:id="87"/>
      <w:bookmarkEnd w:id="88"/>
      <w:bookmarkEnd w:id="89"/>
      <w:bookmarkEnd w:id="90"/>
      <w:bookmarkEnd w:id="91"/>
      <w:proofErr w:type="gramEnd"/>
    </w:p>
    <w:p w:rsidR="00241890" w:rsidRDefault="00241890">
      <w:pPr>
        <w:pStyle w:val="2"/>
        <w:numPr>
          <w:ilvl w:val="1"/>
          <w:numId w:val="6"/>
        </w:numPr>
        <w:spacing w:beforeLines="25" w:before="114"/>
        <w:ind w:left="1020" w:hanging="680"/>
        <w:rPr>
          <w:rFonts w:hAnsi="標楷體"/>
        </w:rPr>
      </w:pPr>
      <w:bookmarkStart w:id="92" w:name="_Toc2400397"/>
      <w:bookmarkStart w:id="93" w:name="_Toc4316191"/>
      <w:bookmarkStart w:id="94" w:name="_Toc4473332"/>
      <w:bookmarkStart w:id="95" w:name="_Toc69556901"/>
      <w:bookmarkStart w:id="96" w:name="_Toc69556950"/>
      <w:bookmarkStart w:id="97" w:name="_Toc69609824"/>
      <w:bookmarkStart w:id="98" w:name="_Toc70241822"/>
      <w:bookmarkStart w:id="99" w:name="_Toc70242211"/>
      <w:bookmarkStart w:id="100" w:name="_Toc421794881"/>
      <w:bookmarkStart w:id="101" w:name="_Toc421795447"/>
      <w:bookmarkStart w:id="102" w:name="_Toc421796028"/>
      <w:bookmarkStart w:id="103" w:name="_Toc422728963"/>
      <w:bookmarkStart w:id="104" w:name="_Toc422834166"/>
      <w:bookmarkEnd w:id="76"/>
      <w:bookmarkEnd w:id="77"/>
      <w:bookmarkEnd w:id="78"/>
      <w:bookmarkEnd w:id="79"/>
      <w:bookmarkEnd w:id="80"/>
      <w:bookmarkEnd w:id="81"/>
      <w:bookmarkEnd w:id="82"/>
      <w:bookmarkEnd w:id="83"/>
      <w:bookmarkEnd w:id="84"/>
      <w:bookmarkEnd w:id="85"/>
      <w:bookmarkEnd w:id="86"/>
      <w:r>
        <w:rPr>
          <w:rFonts w:hAnsi="標楷體" w:hint="eastAsia"/>
        </w:rPr>
        <w:t>抄調查意見二，函請金融監督管理委員會確實檢討改進</w:t>
      </w:r>
      <w:proofErr w:type="gramStart"/>
      <w:r>
        <w:rPr>
          <w:rFonts w:hAnsi="標楷體" w:hint="eastAsia"/>
        </w:rPr>
        <w:t>見復。</w:t>
      </w:r>
      <w:proofErr w:type="gramEnd"/>
    </w:p>
    <w:p w:rsidR="00241890" w:rsidRDefault="00241890">
      <w:pPr>
        <w:pStyle w:val="2"/>
        <w:numPr>
          <w:ilvl w:val="1"/>
          <w:numId w:val="6"/>
        </w:numPr>
        <w:spacing w:beforeLines="25" w:before="114"/>
        <w:ind w:left="1020" w:hanging="680"/>
        <w:rPr>
          <w:rFonts w:hAnsi="標楷體"/>
        </w:rPr>
      </w:pPr>
      <w:r>
        <w:rPr>
          <w:rFonts w:hAnsi="標楷體" w:hint="eastAsia"/>
        </w:rPr>
        <w:t>抄調查意見及處理辦法，函送審計部參考。</w:t>
      </w:r>
    </w:p>
    <w:p w:rsidR="00DB7622" w:rsidRDefault="00241890" w:rsidP="00241890">
      <w:pPr>
        <w:pStyle w:val="2"/>
        <w:numPr>
          <w:ilvl w:val="1"/>
          <w:numId w:val="6"/>
        </w:numPr>
        <w:rPr>
          <w:rFonts w:hAnsi="標楷體"/>
        </w:rPr>
      </w:pPr>
      <w:r>
        <w:rPr>
          <w:rFonts w:hAnsi="標楷體" w:hint="eastAsia"/>
        </w:rPr>
        <w:t>調查報告之案由、調查意見(</w:t>
      </w:r>
      <w:proofErr w:type="gramStart"/>
      <w:r>
        <w:rPr>
          <w:rFonts w:hAnsi="標楷體" w:hint="eastAsia"/>
        </w:rPr>
        <w:t>含表</w:t>
      </w:r>
      <w:proofErr w:type="gramEnd"/>
      <w:r>
        <w:rPr>
          <w:rFonts w:hAnsi="標楷體" w:hint="eastAsia"/>
        </w:rPr>
        <w:t>)、處理辦法及簡報，上網公布。</w:t>
      </w:r>
      <w:bookmarkEnd w:id="92"/>
      <w:bookmarkEnd w:id="93"/>
      <w:bookmarkEnd w:id="94"/>
      <w:bookmarkEnd w:id="95"/>
      <w:bookmarkEnd w:id="96"/>
      <w:bookmarkEnd w:id="97"/>
      <w:bookmarkEnd w:id="98"/>
      <w:bookmarkEnd w:id="99"/>
      <w:bookmarkEnd w:id="100"/>
      <w:bookmarkEnd w:id="101"/>
      <w:bookmarkEnd w:id="102"/>
      <w:bookmarkEnd w:id="103"/>
      <w:bookmarkEnd w:id="104"/>
    </w:p>
    <w:p w:rsidR="00DB7622" w:rsidRDefault="00DB7622">
      <w:pPr>
        <w:pStyle w:val="ab"/>
        <w:spacing w:beforeLines="50" w:before="228" w:afterLines="100" w:after="457"/>
        <w:ind w:leftChars="1100" w:left="3742"/>
        <w:rPr>
          <w:rFonts w:hAnsi="標楷體"/>
          <w:b w:val="0"/>
          <w:bCs/>
          <w:snapToGrid/>
          <w:spacing w:val="12"/>
          <w:kern w:val="0"/>
          <w:sz w:val="40"/>
        </w:rPr>
      </w:pPr>
    </w:p>
    <w:p w:rsidR="00DB7622" w:rsidRDefault="00042520" w:rsidP="003A0B1F">
      <w:pPr>
        <w:pStyle w:val="ab"/>
        <w:spacing w:before="0" w:after="0"/>
        <w:ind w:leftChars="1100" w:left="3742"/>
        <w:rPr>
          <w:rFonts w:hAnsi="標楷體"/>
          <w:b w:val="0"/>
          <w:bCs/>
          <w:snapToGrid/>
          <w:spacing w:val="12"/>
          <w:kern w:val="0"/>
          <w:sz w:val="40"/>
        </w:rPr>
      </w:pPr>
      <w:r>
        <w:rPr>
          <w:rFonts w:hAnsi="標楷體" w:hint="eastAsia"/>
          <w:b w:val="0"/>
          <w:bCs/>
          <w:snapToGrid/>
          <w:spacing w:val="12"/>
          <w:kern w:val="0"/>
          <w:sz w:val="40"/>
        </w:rPr>
        <w:t>調查委員：</w:t>
      </w:r>
      <w:r w:rsidR="00E009F8">
        <w:rPr>
          <w:rFonts w:hAnsi="標楷體" w:hint="eastAsia"/>
          <w:b w:val="0"/>
          <w:bCs/>
          <w:snapToGrid/>
          <w:spacing w:val="12"/>
          <w:kern w:val="0"/>
          <w:sz w:val="40"/>
        </w:rPr>
        <w:t>趙永清</w:t>
      </w:r>
    </w:p>
    <w:p w:rsidR="00DB7622" w:rsidRDefault="00E009F8" w:rsidP="00E009F8">
      <w:pPr>
        <w:pStyle w:val="ab"/>
        <w:spacing w:before="0" w:after="0"/>
        <w:ind w:leftChars="1751" w:left="5956"/>
        <w:rPr>
          <w:rFonts w:hAnsi="標楷體"/>
          <w:b w:val="0"/>
          <w:bCs/>
          <w:snapToGrid/>
          <w:spacing w:val="0"/>
          <w:kern w:val="0"/>
          <w:sz w:val="40"/>
        </w:rPr>
      </w:pPr>
      <w:r>
        <w:rPr>
          <w:rFonts w:hAnsi="標楷體" w:hint="eastAsia"/>
          <w:b w:val="0"/>
          <w:bCs/>
          <w:snapToGrid/>
          <w:spacing w:val="0"/>
          <w:kern w:val="0"/>
          <w:sz w:val="40"/>
        </w:rPr>
        <w:t>田秋</w:t>
      </w:r>
      <w:proofErr w:type="gramStart"/>
      <w:r>
        <w:rPr>
          <w:rFonts w:hAnsi="標楷體" w:hint="eastAsia"/>
          <w:b w:val="0"/>
          <w:bCs/>
          <w:snapToGrid/>
          <w:spacing w:val="0"/>
          <w:kern w:val="0"/>
          <w:sz w:val="40"/>
        </w:rPr>
        <w:t>堇</w:t>
      </w:r>
      <w:proofErr w:type="gramEnd"/>
    </w:p>
    <w:p w:rsidR="00DB7622" w:rsidRDefault="00E009F8" w:rsidP="00E009F8">
      <w:pPr>
        <w:pStyle w:val="ab"/>
        <w:spacing w:before="0" w:after="0"/>
        <w:ind w:leftChars="1751" w:left="5956"/>
        <w:rPr>
          <w:rFonts w:hAnsi="標楷體"/>
          <w:b w:val="0"/>
          <w:bCs/>
          <w:snapToGrid/>
          <w:spacing w:val="0"/>
          <w:kern w:val="0"/>
          <w:sz w:val="40"/>
        </w:rPr>
      </w:pPr>
      <w:r>
        <w:rPr>
          <w:rFonts w:hAnsi="標楷體" w:hint="eastAsia"/>
          <w:b w:val="0"/>
          <w:bCs/>
          <w:snapToGrid/>
          <w:spacing w:val="0"/>
          <w:kern w:val="0"/>
          <w:sz w:val="40"/>
        </w:rPr>
        <w:t>紀惠容</w:t>
      </w:r>
    </w:p>
    <w:p w:rsidR="00DB7622" w:rsidRDefault="00DB7622">
      <w:pPr>
        <w:pStyle w:val="ab"/>
        <w:spacing w:before="0" w:after="0"/>
        <w:ind w:leftChars="1100" w:left="3742"/>
        <w:rPr>
          <w:rFonts w:hAnsi="標楷體"/>
          <w:b w:val="0"/>
          <w:bCs/>
          <w:snapToGrid/>
          <w:spacing w:val="0"/>
          <w:kern w:val="0"/>
          <w:sz w:val="40"/>
        </w:rPr>
      </w:pPr>
    </w:p>
    <w:p w:rsidR="00DB7622" w:rsidRDefault="00042520">
      <w:pPr>
        <w:pStyle w:val="af0"/>
        <w:rPr>
          <w:rFonts w:hAnsi="標楷體"/>
          <w:bCs/>
        </w:rPr>
      </w:pPr>
      <w:r>
        <w:rPr>
          <w:rFonts w:hAnsi="標楷體" w:hint="eastAsia"/>
          <w:bCs/>
        </w:rPr>
        <w:t>中  華  民  國　1</w:t>
      </w:r>
      <w:r>
        <w:rPr>
          <w:rFonts w:hAnsi="標楷體"/>
          <w:bCs/>
        </w:rPr>
        <w:t>13</w:t>
      </w:r>
      <w:r>
        <w:rPr>
          <w:rFonts w:hAnsi="標楷體" w:hint="eastAsia"/>
          <w:bCs/>
        </w:rPr>
        <w:t xml:space="preserve">　年　</w:t>
      </w:r>
      <w:r>
        <w:rPr>
          <w:rFonts w:hAnsi="標楷體"/>
          <w:bCs/>
        </w:rPr>
        <w:t xml:space="preserve"> </w:t>
      </w:r>
      <w:r w:rsidR="00241890">
        <w:rPr>
          <w:rFonts w:hAnsi="標楷體" w:hint="eastAsia"/>
          <w:bCs/>
        </w:rPr>
        <w:t>11</w:t>
      </w:r>
      <w:r>
        <w:rPr>
          <w:rFonts w:hAnsi="標楷體"/>
          <w:bCs/>
        </w:rPr>
        <w:t xml:space="preserve"> </w:t>
      </w:r>
      <w:r>
        <w:rPr>
          <w:rFonts w:hAnsi="標楷體" w:hint="eastAsia"/>
          <w:bCs/>
        </w:rPr>
        <w:t xml:space="preserve">　月 </w:t>
      </w:r>
      <w:r>
        <w:rPr>
          <w:rFonts w:hAnsi="標楷體"/>
          <w:bCs/>
        </w:rPr>
        <w:t xml:space="preserve"> </w:t>
      </w:r>
      <w:r w:rsidR="00241890">
        <w:rPr>
          <w:rFonts w:hAnsi="標楷體" w:hint="eastAsia"/>
          <w:bCs/>
        </w:rPr>
        <w:t>6</w:t>
      </w:r>
      <w:r>
        <w:rPr>
          <w:rFonts w:hAnsi="標楷體" w:hint="eastAsia"/>
          <w:bCs/>
        </w:rPr>
        <w:t xml:space="preserve">　　日</w:t>
      </w:r>
    </w:p>
    <w:p w:rsidR="00DB7622" w:rsidRDefault="00042520">
      <w:pPr>
        <w:pStyle w:val="af1"/>
        <w:kinsoku/>
        <w:autoSpaceDE w:val="0"/>
        <w:spacing w:beforeLines="50" w:before="228"/>
        <w:ind w:left="1020" w:hanging="1020"/>
        <w:rPr>
          <w:rFonts w:hAnsi="標楷體"/>
          <w:bCs/>
        </w:rPr>
      </w:pPr>
      <w:proofErr w:type="gramStart"/>
      <w:r>
        <w:rPr>
          <w:rFonts w:hAnsi="標楷體" w:hint="eastAsia"/>
          <w:bCs/>
        </w:rPr>
        <w:t>案名</w:t>
      </w:r>
      <w:proofErr w:type="gramEnd"/>
      <w:r>
        <w:rPr>
          <w:rFonts w:hAnsi="標楷體" w:hint="eastAsia"/>
          <w:bCs/>
        </w:rPr>
        <w:t>：溫室氣體盤查及揭露案。</w:t>
      </w:r>
    </w:p>
    <w:p w:rsidR="00DB7622" w:rsidRDefault="00042520">
      <w:pPr>
        <w:pStyle w:val="af1"/>
        <w:kinsoku/>
        <w:autoSpaceDE w:val="0"/>
        <w:spacing w:beforeLines="50" w:before="228"/>
        <w:ind w:left="1276" w:hangingChars="375" w:hanging="1276"/>
        <w:rPr>
          <w:rFonts w:hAnsi="標楷體"/>
          <w:bCs/>
        </w:rPr>
      </w:pPr>
      <w:r>
        <w:rPr>
          <w:rFonts w:hAnsi="標楷體" w:hint="eastAsia"/>
          <w:bCs/>
        </w:rPr>
        <w:t>關鍵字：碳定價、溫室</w:t>
      </w:r>
      <w:proofErr w:type="gramStart"/>
      <w:r>
        <w:rPr>
          <w:rFonts w:hAnsi="標楷體" w:hint="eastAsia"/>
          <w:bCs/>
        </w:rPr>
        <w:t>氣體淨零排放</w:t>
      </w:r>
      <w:proofErr w:type="gramEnd"/>
      <w:r>
        <w:rPr>
          <w:rFonts w:hAnsi="標楷體" w:hint="eastAsia"/>
          <w:bCs/>
        </w:rPr>
        <w:t>、</w:t>
      </w:r>
      <w:r>
        <w:rPr>
          <w:rFonts w:hint="eastAsia"/>
        </w:rPr>
        <w:t>溫室氣體管理基金</w:t>
      </w:r>
    </w:p>
    <w:sectPr w:rsidR="00DB762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C48" w:rsidRDefault="00346C48">
      <w:r>
        <w:separator/>
      </w:r>
    </w:p>
  </w:endnote>
  <w:endnote w:type="continuationSeparator" w:id="0">
    <w:p w:rsidR="00346C48" w:rsidRDefault="0034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09477"/>
      <w:docPartObj>
        <w:docPartGallery w:val="Page Numbers (Bottom of Page)"/>
        <w:docPartUnique/>
      </w:docPartObj>
    </w:sdtPr>
    <w:sdtEndPr/>
    <w:sdtContent>
      <w:p w:rsidR="00DB7622" w:rsidRDefault="00042520">
        <w:pPr>
          <w:pStyle w:val="af4"/>
          <w:jc w:val="center"/>
        </w:pPr>
        <w:r>
          <w:fldChar w:fldCharType="begin"/>
        </w:r>
        <w:r>
          <w:instrText>PAGE   \* MERGEFORMAT</w:instrText>
        </w:r>
        <w:r>
          <w:fldChar w:fldCharType="separate"/>
        </w:r>
        <w:r>
          <w:rPr>
            <w:lang w:val="zh-TW"/>
          </w:rPr>
          <w:t>2</w:t>
        </w:r>
        <w:r>
          <w:fldChar w:fldCharType="end"/>
        </w:r>
      </w:p>
    </w:sdtContent>
  </w:sdt>
  <w:p w:rsidR="00DB7622" w:rsidRDefault="00DB762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C48" w:rsidRDefault="00346C48">
      <w:r>
        <w:separator/>
      </w:r>
    </w:p>
  </w:footnote>
  <w:footnote w:type="continuationSeparator" w:id="0">
    <w:p w:rsidR="00346C48" w:rsidRDefault="00346C48">
      <w:r>
        <w:continuationSeparator/>
      </w:r>
    </w:p>
  </w:footnote>
  <w:footnote w:id="1">
    <w:p w:rsidR="00DB7622" w:rsidRDefault="00042520">
      <w:pPr>
        <w:pStyle w:val="aff6"/>
      </w:pPr>
      <w:r>
        <w:rPr>
          <w:rStyle w:val="aff8"/>
        </w:rPr>
        <w:footnoteRef/>
      </w:r>
      <w:r>
        <w:t xml:space="preserve"> </w:t>
      </w:r>
      <w:r>
        <w:rPr>
          <w:rFonts w:hint="eastAsia"/>
        </w:rPr>
        <w:t>彭啟明教授自113年5月20日起擔任環境部部長。</w:t>
      </w:r>
    </w:p>
  </w:footnote>
  <w:footnote w:id="2">
    <w:p w:rsidR="00DB7622" w:rsidRDefault="00042520">
      <w:pPr>
        <w:pStyle w:val="141"/>
        <w:ind w:left="152" w:hangingChars="69" w:hanging="152"/>
        <w:jc w:val="both"/>
        <w:rPr>
          <w:lang w:val="en-US"/>
        </w:rPr>
      </w:pPr>
      <w:r>
        <w:rPr>
          <w:sz w:val="20"/>
          <w:szCs w:val="20"/>
        </w:rPr>
        <w:footnoteRef/>
      </w:r>
      <w:r>
        <w:rPr>
          <w:sz w:val="20"/>
          <w:szCs w:val="20"/>
        </w:rPr>
        <w:t>.一般費率300元/公噸CO</w:t>
      </w:r>
      <w:r>
        <w:rPr>
          <w:sz w:val="20"/>
          <w:szCs w:val="20"/>
          <w:vertAlign w:val="subscript"/>
        </w:rPr>
        <w:t>2</w:t>
      </w:r>
      <w:r>
        <w:rPr>
          <w:sz w:val="20"/>
          <w:szCs w:val="20"/>
        </w:rPr>
        <w:t>e、優惠費率B 100元/公噸CO</w:t>
      </w:r>
      <w:r>
        <w:rPr>
          <w:sz w:val="20"/>
          <w:szCs w:val="20"/>
          <w:vertAlign w:val="subscript"/>
        </w:rPr>
        <w:t>2</w:t>
      </w:r>
      <w:r>
        <w:rPr>
          <w:sz w:val="20"/>
          <w:szCs w:val="20"/>
        </w:rPr>
        <w:t>e、優惠費率A 50元/公噸CO</w:t>
      </w:r>
      <w:r>
        <w:rPr>
          <w:sz w:val="20"/>
          <w:szCs w:val="20"/>
          <w:vertAlign w:val="subscript"/>
        </w:rPr>
        <w:t>2</w:t>
      </w:r>
      <w:r>
        <w:rPr>
          <w:sz w:val="20"/>
          <w:szCs w:val="20"/>
        </w:rPr>
        <w:t>e</w:t>
      </w:r>
      <w:r>
        <w:rPr>
          <w:rFonts w:hint="eastAsia"/>
          <w:sz w:val="20"/>
          <w:szCs w:val="20"/>
          <w:lang w:eastAsia="zh-TW"/>
        </w:rPr>
        <w:t>。</w:t>
      </w:r>
    </w:p>
  </w:footnote>
  <w:footnote w:id="3">
    <w:p w:rsidR="00DB7622" w:rsidRDefault="00042520">
      <w:pPr>
        <w:pStyle w:val="141"/>
        <w:ind w:left="152" w:hangingChars="69" w:hanging="152"/>
        <w:jc w:val="both"/>
        <w:rPr>
          <w:sz w:val="20"/>
          <w:szCs w:val="20"/>
        </w:rPr>
      </w:pPr>
      <w:r>
        <w:rPr>
          <w:sz w:val="20"/>
          <w:szCs w:val="20"/>
        </w:rPr>
        <w:footnoteRef/>
      </w:r>
      <w:r>
        <w:rPr>
          <w:sz w:val="20"/>
          <w:szCs w:val="20"/>
        </w:rPr>
        <w:t>.</w:t>
      </w:r>
      <w:r>
        <w:rPr>
          <w:rFonts w:hint="eastAsia"/>
          <w:sz w:val="20"/>
          <w:szCs w:val="20"/>
        </w:rPr>
        <w:t>溫室氣體管理基金於</w:t>
      </w:r>
      <w:proofErr w:type="gramStart"/>
      <w:r>
        <w:rPr>
          <w:rFonts w:hint="eastAsia"/>
          <w:sz w:val="20"/>
          <w:szCs w:val="20"/>
        </w:rPr>
        <w:t>111</w:t>
      </w:r>
      <w:proofErr w:type="gramEnd"/>
      <w:r>
        <w:rPr>
          <w:rFonts w:hint="eastAsia"/>
          <w:sz w:val="20"/>
          <w:szCs w:val="20"/>
        </w:rPr>
        <w:t>年度及</w:t>
      </w:r>
      <w:proofErr w:type="gramStart"/>
      <w:r>
        <w:rPr>
          <w:rFonts w:hint="eastAsia"/>
          <w:sz w:val="20"/>
          <w:szCs w:val="20"/>
        </w:rPr>
        <w:t>112</w:t>
      </w:r>
      <w:proofErr w:type="gramEnd"/>
      <w:r>
        <w:rPr>
          <w:rFonts w:hint="eastAsia"/>
          <w:sz w:val="20"/>
          <w:szCs w:val="20"/>
        </w:rPr>
        <w:t>年度分別編列空污基金撥入款預算2億元及3億8</w:t>
      </w:r>
      <w:r>
        <w:rPr>
          <w:sz w:val="20"/>
          <w:szCs w:val="20"/>
        </w:rPr>
        <w:t>,</w:t>
      </w:r>
      <w:r>
        <w:rPr>
          <w:rFonts w:hint="eastAsia"/>
          <w:sz w:val="20"/>
          <w:szCs w:val="20"/>
        </w:rPr>
        <w:t>387萬7千元，惟由於110年底空污基金餘額為負值，故</w:t>
      </w:r>
      <w:proofErr w:type="gramStart"/>
      <w:r>
        <w:rPr>
          <w:rFonts w:hint="eastAsia"/>
          <w:sz w:val="20"/>
          <w:szCs w:val="20"/>
        </w:rPr>
        <w:t>111</w:t>
      </w:r>
      <w:proofErr w:type="gramEnd"/>
      <w:r>
        <w:rPr>
          <w:rFonts w:hint="eastAsia"/>
          <w:sz w:val="20"/>
          <w:szCs w:val="20"/>
        </w:rPr>
        <w:t>年度及</w:t>
      </w:r>
      <w:proofErr w:type="gramStart"/>
      <w:r>
        <w:rPr>
          <w:rFonts w:hint="eastAsia"/>
          <w:sz w:val="20"/>
          <w:szCs w:val="20"/>
        </w:rPr>
        <w:t>112</w:t>
      </w:r>
      <w:proofErr w:type="gramEnd"/>
      <w:r>
        <w:rPr>
          <w:rFonts w:hint="eastAsia"/>
          <w:sz w:val="20"/>
          <w:szCs w:val="20"/>
        </w:rPr>
        <w:t>年度撥入款項</w:t>
      </w:r>
      <w:r>
        <w:rPr>
          <w:rFonts w:hint="eastAsia"/>
          <w:sz w:val="20"/>
          <w:szCs w:val="20"/>
          <w:lang w:eastAsia="zh-TW"/>
        </w:rPr>
        <w:t>各為0元及</w:t>
      </w:r>
      <w:r>
        <w:rPr>
          <w:sz w:val="20"/>
          <w:szCs w:val="20"/>
        </w:rPr>
        <w:t>3,073萬4,844元</w:t>
      </w:r>
      <w:r>
        <w:rPr>
          <w:rFonts w:hint="eastAsia"/>
          <w:sz w:val="20"/>
          <w:szCs w:val="20"/>
        </w:rPr>
        <w:t>。</w:t>
      </w:r>
    </w:p>
  </w:footnote>
  <w:footnote w:id="4">
    <w:p w:rsidR="00DB7622" w:rsidRDefault="00042520">
      <w:pPr>
        <w:pStyle w:val="141"/>
        <w:ind w:left="152" w:hangingChars="69" w:hanging="152"/>
        <w:jc w:val="both"/>
        <w:rPr>
          <w:sz w:val="20"/>
          <w:szCs w:val="20"/>
        </w:rPr>
      </w:pPr>
      <w:r>
        <w:rPr>
          <w:sz w:val="20"/>
          <w:szCs w:val="20"/>
        </w:rPr>
        <w:footnoteRef/>
      </w:r>
      <w:r>
        <w:rPr>
          <w:sz w:val="20"/>
          <w:szCs w:val="20"/>
        </w:rPr>
        <w:t>.</w:t>
      </w:r>
      <w:r>
        <w:rPr>
          <w:rFonts w:hint="eastAsia"/>
          <w:sz w:val="20"/>
          <w:szCs w:val="20"/>
        </w:rPr>
        <w:t>氣候法第32條規定：「中央主管機關應成立溫室氣體管理基金，基金來源如下：一、第二十四條與前條之代金及第二十八條之碳費。二、第二十五條及第三十六條之手續費。三、第三十五條拍賣或配售之所得。四、政府循預算程序之撥款。五、人民、事業或團體之捐贈。六、其他之收入。」</w:t>
      </w:r>
    </w:p>
  </w:footnote>
  <w:footnote w:id="5">
    <w:p w:rsidR="00DB7622" w:rsidRDefault="00042520">
      <w:pPr>
        <w:pStyle w:val="aff6"/>
        <w:ind w:left="141" w:hangingChars="64" w:hanging="141"/>
        <w:jc w:val="both"/>
      </w:pPr>
      <w:r>
        <w:footnoteRef/>
      </w:r>
      <w:r>
        <w:t>.</w:t>
      </w:r>
      <w:r>
        <w:rPr>
          <w:rFonts w:hint="eastAsia"/>
        </w:rPr>
        <w:t>依溫室氣體排放量盤查作業指引，直接溫室氣體排放（範疇一）：指來自於製程或設施之直接排放，如：工廠鍋爐、製程操作過程或員工餐廳使用化石燃料，或原物料產生的排放、交通運具使用化石燃料產生的排放，以及冷氣、飲水設備等之</w:t>
      </w:r>
      <w:proofErr w:type="gramStart"/>
      <w:r>
        <w:rPr>
          <w:rFonts w:hint="eastAsia"/>
        </w:rPr>
        <w:t>冷媒逸散</w:t>
      </w:r>
      <w:proofErr w:type="gramEnd"/>
      <w:r>
        <w:rPr>
          <w:rFonts w:hint="eastAsia"/>
        </w:rPr>
        <w:t>排放。</w:t>
      </w:r>
    </w:p>
  </w:footnote>
  <w:footnote w:id="6">
    <w:p w:rsidR="00DB7622" w:rsidRDefault="00042520">
      <w:pPr>
        <w:pStyle w:val="aff6"/>
        <w:ind w:left="141" w:hangingChars="64" w:hanging="141"/>
        <w:jc w:val="both"/>
      </w:pPr>
      <w:r>
        <w:footnoteRef/>
      </w:r>
      <w:r>
        <w:t>.</w:t>
      </w:r>
      <w:r>
        <w:rPr>
          <w:rFonts w:hint="eastAsia"/>
        </w:rPr>
        <w:t>依溫室氣體排放量盤查作業指引，能源間接溫室氣體排放（範疇二）：指來自於使用電力或蒸汽之能源利用所產生之間接排放。</w:t>
      </w:r>
    </w:p>
  </w:footnote>
  <w:footnote w:id="7">
    <w:p w:rsidR="00DB7622" w:rsidRDefault="00042520">
      <w:pPr>
        <w:pStyle w:val="aff6"/>
        <w:ind w:leftChars="3" w:left="151" w:hangingChars="64" w:hanging="141"/>
        <w:jc w:val="both"/>
      </w:pPr>
      <w:r>
        <w:footnoteRef/>
      </w:r>
      <w:r>
        <w:t>.</w:t>
      </w:r>
      <w:r>
        <w:rPr>
          <w:rFonts w:hint="eastAsia"/>
        </w:rPr>
        <w:t>依溫室氣體排放量盤查作業指引，其他間接溫室氣體排放（範疇三）：指由事業活動產生之溫室氣體排放，但該排放源並非事業自有或可控制的，如：租賃、委外業務、員工通勤、商務旅行、上下游運輸和配送等活動之其他間接排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A12"/>
    <w:multiLevelType w:val="multilevel"/>
    <w:tmpl w:val="C50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D1C2AE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68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2D2946"/>
    <w:multiLevelType w:val="multilevel"/>
    <w:tmpl w:val="3C4C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C55C01"/>
    <w:multiLevelType w:val="multilevel"/>
    <w:tmpl w:val="CD5E199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lvlText w:val="%5."/>
      <w:lvlJc w:val="left"/>
      <w:pPr>
        <w:ind w:left="2041" w:hanging="850"/>
      </w:pPr>
      <w:rPr>
        <w:rFonts w:eastAsia="標楷體" w:hint="eastAsia"/>
        <w:b w:val="0"/>
        <w:i w:val="0"/>
        <w:snapToGrid/>
        <w:spacing w:val="0"/>
        <w:w w:val="100"/>
        <w:kern w:val="32"/>
        <w:position w:val="0"/>
        <w:sz w:val="28"/>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2BB27880"/>
    <w:multiLevelType w:val="hybridMultilevel"/>
    <w:tmpl w:val="CB4E1D64"/>
    <w:lvl w:ilvl="0" w:tplc="D4206E76">
      <w:start w:val="1"/>
      <w:numFmt w:val="ideographLegalTraditional"/>
      <w:pStyle w:val="a1"/>
      <w:lvlText w:val="%1、"/>
      <w:lvlJc w:val="left"/>
      <w:pPr>
        <w:ind w:left="764" w:hanging="480"/>
      </w:pPr>
      <w:rPr>
        <w:rFonts w:ascii="標楷體" w:eastAsia="標楷體" w:hAnsi="標楷體" w:hint="eastAsia"/>
        <w:sz w:val="32"/>
        <w:szCs w:val="32"/>
      </w:rPr>
    </w:lvl>
    <w:lvl w:ilvl="1" w:tplc="E33C0D80">
      <w:start w:val="1"/>
      <w:numFmt w:val="taiwaneseCountingThousand"/>
      <w:lvlText w:val="%2、"/>
      <w:lvlJc w:val="left"/>
      <w:pPr>
        <w:ind w:left="1200" w:hanging="720"/>
      </w:pPr>
      <w:rPr>
        <w:rFonts w:ascii="標楷體" w:eastAsia="標楷體" w:hAnsi="標楷體" w:hint="default"/>
        <w:color w:val="000000" w:themeColor="text1"/>
        <w:sz w:val="32"/>
        <w:szCs w:val="32"/>
      </w:rPr>
    </w:lvl>
    <w:lvl w:ilvl="2" w:tplc="FFFFFFFF">
      <w:start w:val="1"/>
      <w:numFmt w:val="lowerRoman"/>
      <w:lvlText w:val="%3."/>
      <w:lvlJc w:val="right"/>
      <w:pPr>
        <w:ind w:left="1440" w:hanging="480"/>
      </w:pPr>
    </w:lvl>
    <w:lvl w:ilvl="3" w:tplc="4FE2276A">
      <w:start w:val="1"/>
      <w:numFmt w:val="taiwaneseCountingThousand"/>
      <w:lvlText w:val="（%4）"/>
      <w:lvlJc w:val="left"/>
      <w:pPr>
        <w:ind w:left="2520" w:hanging="1080"/>
      </w:pPr>
      <w:rPr>
        <w:rFonts w:hint="default"/>
      </w:rPr>
    </w:lvl>
    <w:lvl w:ilvl="4" w:tplc="1ACC73A0">
      <w:start w:val="1"/>
      <w:numFmt w:val="taiwaneseCountingThousand"/>
      <w:lvlText w:val="（%5）"/>
      <w:lvlJc w:val="left"/>
      <w:pPr>
        <w:ind w:left="2280" w:hanging="360"/>
      </w:pPr>
      <w:rPr>
        <w:rFonts w:ascii="Times New Roman" w:eastAsia="標楷體" w:hAnsi="Times New Roman" w:cs="Times New Roman"/>
        <w:sz w:val="32"/>
        <w:lang w:val="en-US"/>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073625B"/>
    <w:multiLevelType w:val="hybridMultilevel"/>
    <w:tmpl w:val="2354B8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92564F"/>
    <w:multiLevelType w:val="multilevel"/>
    <w:tmpl w:val="BAD03A2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lvlText w:val="%5."/>
      <w:lvlJc w:val="left"/>
      <w:pPr>
        <w:ind w:left="2041" w:hanging="850"/>
      </w:pPr>
      <w:rPr>
        <w:rFonts w:eastAsia="標楷體" w:hint="eastAsia"/>
        <w:b w:val="0"/>
        <w:i w:val="0"/>
        <w:snapToGrid/>
        <w:spacing w:val="0"/>
        <w:w w:val="100"/>
        <w:kern w:val="32"/>
        <w:position w:val="0"/>
        <w:sz w:val="28"/>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83543A"/>
    <w:multiLevelType w:val="hybridMultilevel"/>
    <w:tmpl w:val="0308B9EC"/>
    <w:lvl w:ilvl="0" w:tplc="4A6C834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1"/>
  </w:num>
  <w:num w:numId="4">
    <w:abstractNumId w:val="9"/>
  </w:num>
  <w:num w:numId="5">
    <w:abstractNumId w:val="12"/>
  </w:num>
  <w:num w:numId="6">
    <w:abstractNumId w:val="2"/>
  </w:num>
  <w:num w:numId="7">
    <w:abstractNumId w:val="13"/>
  </w:num>
  <w:num w:numId="8">
    <w:abstractNumId w:val="10"/>
  </w:num>
  <w:num w:numId="9">
    <w:abstractNumId w:val="2"/>
  </w:num>
  <w:num w:numId="1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6"/>
  </w:num>
  <w:num w:numId="14">
    <w:abstractNumId w:val="2"/>
  </w:num>
  <w:num w:numId="15">
    <w:abstractNumId w:val="0"/>
  </w:num>
  <w:num w:numId="16">
    <w:abstractNumId w:val="2"/>
  </w:num>
  <w:num w:numId="17">
    <w:abstractNumId w:val="3"/>
  </w:num>
  <w:num w:numId="18">
    <w:abstractNumId w:val="5"/>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22"/>
    <w:rsid w:val="00042520"/>
    <w:rsid w:val="00241890"/>
    <w:rsid w:val="00346C48"/>
    <w:rsid w:val="003A0B1F"/>
    <w:rsid w:val="0050506C"/>
    <w:rsid w:val="007243C8"/>
    <w:rsid w:val="00BB5FD1"/>
    <w:rsid w:val="00C5144D"/>
    <w:rsid w:val="00DB7622"/>
    <w:rsid w:val="00DD3C4C"/>
    <w:rsid w:val="00E009F8"/>
    <w:rsid w:val="00F11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8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uiPriority w:val="9"/>
    <w:qFormat/>
    <w:pPr>
      <w:numPr>
        <w:numId w:val="9"/>
      </w:numPr>
      <w:outlineLvl w:val="0"/>
    </w:pPr>
    <w:rPr>
      <w:rFonts w:hAnsi="Arial"/>
      <w:bCs/>
      <w:kern w:val="32"/>
      <w:szCs w:val="52"/>
    </w:rPr>
  </w:style>
  <w:style w:type="paragraph" w:styleId="2">
    <w:name w:val="heading 2"/>
    <w:aliases w:val="標題110/111,節,節1"/>
    <w:basedOn w:val="a7"/>
    <w:link w:val="20"/>
    <w:uiPriority w:val="9"/>
    <w:qFormat/>
    <w:pPr>
      <w:numPr>
        <w:ilvl w:val="1"/>
        <w:numId w:val="9"/>
      </w:numPr>
      <w:outlineLvl w:val="1"/>
    </w:pPr>
    <w:rPr>
      <w:rFonts w:hAnsi="Arial"/>
      <w:bCs/>
      <w:kern w:val="32"/>
      <w:szCs w:val="48"/>
    </w:rPr>
  </w:style>
  <w:style w:type="paragraph" w:styleId="3">
    <w:name w:val="heading 3"/>
    <w:basedOn w:val="a7"/>
    <w:uiPriority w:val="9"/>
    <w:qFormat/>
    <w:pPr>
      <w:numPr>
        <w:ilvl w:val="2"/>
        <w:numId w:val="9"/>
      </w:numPr>
      <w:outlineLvl w:val="2"/>
    </w:pPr>
    <w:rPr>
      <w:rFonts w:hAnsi="Arial"/>
      <w:bCs/>
      <w:kern w:val="32"/>
      <w:szCs w:val="36"/>
    </w:rPr>
  </w:style>
  <w:style w:type="paragraph" w:styleId="4">
    <w:name w:val="heading 4"/>
    <w:aliases w:val="表格,一"/>
    <w:basedOn w:val="a7"/>
    <w:qFormat/>
    <w:pPr>
      <w:numPr>
        <w:ilvl w:val="3"/>
        <w:numId w:val="9"/>
      </w:numPr>
      <w:outlineLvl w:val="3"/>
    </w:pPr>
    <w:rPr>
      <w:rFonts w:hAnsi="Arial"/>
      <w:kern w:val="32"/>
      <w:szCs w:val="36"/>
    </w:rPr>
  </w:style>
  <w:style w:type="paragraph" w:styleId="5">
    <w:name w:val="heading 5"/>
    <w:basedOn w:val="a7"/>
    <w:qFormat/>
    <w:pPr>
      <w:numPr>
        <w:ilvl w:val="4"/>
        <w:numId w:val="9"/>
      </w:numPr>
      <w:outlineLvl w:val="4"/>
    </w:pPr>
    <w:rPr>
      <w:rFonts w:hAnsi="Arial"/>
      <w:bCs/>
      <w:kern w:val="32"/>
      <w:szCs w:val="36"/>
    </w:rPr>
  </w:style>
  <w:style w:type="paragraph" w:styleId="6">
    <w:name w:val="heading 6"/>
    <w:basedOn w:val="a7"/>
    <w:qFormat/>
    <w:pPr>
      <w:numPr>
        <w:ilvl w:val="5"/>
        <w:numId w:val="9"/>
      </w:numPr>
      <w:tabs>
        <w:tab w:val="left" w:pos="2094"/>
      </w:tabs>
      <w:outlineLvl w:val="5"/>
    </w:pPr>
    <w:rPr>
      <w:rFonts w:hAnsi="Arial"/>
      <w:kern w:val="32"/>
      <w:szCs w:val="36"/>
    </w:rPr>
  </w:style>
  <w:style w:type="paragraph" w:styleId="7">
    <w:name w:val="heading 7"/>
    <w:aliases w:val="(1)"/>
    <w:basedOn w:val="a7"/>
    <w:qFormat/>
    <w:pPr>
      <w:numPr>
        <w:ilvl w:val="6"/>
        <w:numId w:val="9"/>
      </w:numPr>
      <w:outlineLvl w:val="6"/>
    </w:pPr>
    <w:rPr>
      <w:rFonts w:hAnsi="Arial"/>
      <w:bCs/>
      <w:kern w:val="32"/>
      <w:szCs w:val="36"/>
    </w:rPr>
  </w:style>
  <w:style w:type="paragraph" w:styleId="8">
    <w:name w:val="heading 8"/>
    <w:basedOn w:val="a7"/>
    <w:qFormat/>
    <w:pPr>
      <w:numPr>
        <w:ilvl w:val="7"/>
        <w:numId w:val="9"/>
      </w:numPr>
      <w:outlineLvl w:val="7"/>
    </w:pPr>
    <w:rPr>
      <w:rFonts w:hAnsi="Arial"/>
      <w:kern w:val="32"/>
      <w:szCs w:val="36"/>
    </w:rPr>
  </w:style>
  <w:style w:type="paragraph" w:styleId="9">
    <w:name w:val="heading 9"/>
    <w:basedOn w:val="a7"/>
    <w:link w:val="90"/>
    <w:uiPriority w:val="9"/>
    <w:unhideWhenUsed/>
    <w:qFormat/>
    <w:pPr>
      <w:numPr>
        <w:ilvl w:val="8"/>
        <w:numId w:val="9"/>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pPr>
      <w:spacing w:before="720" w:after="720"/>
      <w:ind w:left="7371"/>
    </w:pPr>
    <w:rPr>
      <w:b/>
      <w:snapToGrid w:val="0"/>
      <w:spacing w:val="10"/>
      <w:sz w:val="36"/>
    </w:rPr>
  </w:style>
  <w:style w:type="paragraph" w:styleId="ac">
    <w:name w:val="endnote text"/>
    <w:basedOn w:val="a7"/>
    <w:semiHidden/>
    <w:pPr>
      <w:kinsoku w:val="0"/>
      <w:autoSpaceDE/>
      <w:spacing w:before="240"/>
      <w:ind w:left="1021" w:hanging="1021"/>
    </w:pPr>
    <w:rPr>
      <w:snapToGrid w:val="0"/>
      <w:spacing w:val="10"/>
    </w:rPr>
  </w:style>
  <w:style w:type="paragraph" w:styleId="50">
    <w:name w:val="toc 5"/>
    <w:basedOn w:val="a7"/>
    <w:next w:val="a7"/>
    <w:autoRedefine/>
    <w:semiHidden/>
    <w:pPr>
      <w:ind w:leftChars="400" w:left="600" w:rightChars="200" w:right="200" w:hangingChars="200" w:hanging="200"/>
    </w:pPr>
  </w:style>
  <w:style w:type="character" w:styleId="ad">
    <w:name w:val="page number"/>
    <w:basedOn w:val="a8"/>
    <w:semiHidden/>
    <w:rPr>
      <w:rFonts w:ascii="標楷體" w:eastAsia="標楷體"/>
      <w:sz w:val="20"/>
    </w:rPr>
  </w:style>
  <w:style w:type="paragraph" w:styleId="60">
    <w:name w:val="toc 6"/>
    <w:basedOn w:val="a7"/>
    <w:next w:val="a7"/>
    <w:autoRedefine/>
    <w:semiHidden/>
    <w:pPr>
      <w:ind w:leftChars="500" w:left="500"/>
    </w:pPr>
  </w:style>
  <w:style w:type="paragraph" w:customStyle="1" w:styleId="11">
    <w:name w:val="段落樣式1"/>
    <w:basedOn w:val="a7"/>
    <w:qFormat/>
    <w:pPr>
      <w:tabs>
        <w:tab w:val="left" w:pos="567"/>
      </w:tabs>
      <w:ind w:leftChars="200" w:left="200" w:firstLineChars="200" w:firstLine="200"/>
    </w:pPr>
    <w:rPr>
      <w:kern w:val="32"/>
    </w:rPr>
  </w:style>
  <w:style w:type="paragraph" w:customStyle="1" w:styleId="21">
    <w:name w:val="段落樣式2"/>
    <w:basedOn w:val="a7"/>
    <w:qFormat/>
    <w:pPr>
      <w:tabs>
        <w:tab w:val="left" w:pos="567"/>
      </w:tabs>
      <w:ind w:leftChars="300" w:left="300" w:firstLineChars="200" w:firstLine="200"/>
    </w:pPr>
    <w:rPr>
      <w:kern w:val="32"/>
    </w:rPr>
  </w:style>
  <w:style w:type="paragraph" w:styleId="12">
    <w:name w:val="toc 1"/>
    <w:basedOn w:val="a7"/>
    <w:next w:val="a7"/>
    <w:autoRedefine/>
    <w:uiPriority w:val="39"/>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pPr>
      <w:kinsoku w:val="0"/>
      <w:ind w:leftChars="300" w:left="500" w:rightChars="200" w:right="200" w:hangingChars="200" w:hanging="200"/>
    </w:pPr>
  </w:style>
  <w:style w:type="paragraph" w:styleId="70">
    <w:name w:val="toc 7"/>
    <w:basedOn w:val="a7"/>
    <w:next w:val="a7"/>
    <w:autoRedefine/>
    <w:semiHidden/>
    <w:pPr>
      <w:ind w:leftChars="600" w:left="800" w:hangingChars="200" w:hanging="200"/>
    </w:pPr>
  </w:style>
  <w:style w:type="paragraph" w:styleId="80">
    <w:name w:val="toc 8"/>
    <w:basedOn w:val="a7"/>
    <w:next w:val="a7"/>
    <w:autoRedefine/>
    <w:semiHidden/>
    <w:pPr>
      <w:ind w:leftChars="700" w:left="900" w:hangingChars="200" w:hanging="200"/>
    </w:pPr>
  </w:style>
  <w:style w:type="paragraph" w:styleId="91">
    <w:name w:val="toc 9"/>
    <w:basedOn w:val="a7"/>
    <w:next w:val="a7"/>
    <w:autoRedefine/>
    <w:semiHidden/>
    <w:pPr>
      <w:ind w:leftChars="1600" w:left="3840"/>
    </w:pPr>
  </w:style>
  <w:style w:type="paragraph" w:styleId="ae">
    <w:name w:val="header"/>
    <w:basedOn w:val="a7"/>
    <w:semiHidden/>
    <w:pPr>
      <w:tabs>
        <w:tab w:val="center" w:pos="4153"/>
        <w:tab w:val="right" w:pos="8306"/>
      </w:tabs>
      <w:snapToGrid w:val="0"/>
    </w:pPr>
    <w:rPr>
      <w:sz w:val="20"/>
    </w:rPr>
  </w:style>
  <w:style w:type="paragraph" w:customStyle="1" w:styleId="31">
    <w:name w:val="段落樣式3"/>
    <w:basedOn w:val="21"/>
    <w:qFormat/>
    <w:pPr>
      <w:ind w:leftChars="400" w:left="400"/>
    </w:pPr>
  </w:style>
  <w:style w:type="character" w:styleId="af">
    <w:name w:val="Hyperlink"/>
    <w:basedOn w:val="a8"/>
    <w:uiPriority w:val="99"/>
    <w:rPr>
      <w:color w:val="0000FF"/>
      <w:u w:val="single"/>
    </w:rPr>
  </w:style>
  <w:style w:type="paragraph" w:customStyle="1" w:styleId="af0">
    <w:name w:val="簽名日期"/>
    <w:basedOn w:val="a7"/>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1">
    <w:name w:val="附件"/>
    <w:basedOn w:val="ac"/>
    <w:pPr>
      <w:spacing w:before="0"/>
      <w:ind w:left="1047" w:hangingChars="300" w:hanging="1047"/>
    </w:pPr>
    <w:rPr>
      <w:snapToGrid/>
      <w:spacing w:val="0"/>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7"/>
    <w:qFormat/>
    <w:pPr>
      <w:keepNext/>
      <w:numPr>
        <w:numId w:val="1"/>
      </w:numPr>
      <w:tabs>
        <w:tab w:val="clear" w:pos="1440"/>
      </w:tabs>
      <w:ind w:left="400" w:hangingChars="400" w:hanging="400"/>
      <w:outlineLvl w:val="0"/>
    </w:pPr>
    <w:rPr>
      <w:kern w:val="32"/>
    </w:rPr>
  </w:style>
  <w:style w:type="paragraph" w:styleId="af2">
    <w:name w:val="Body Text Indent"/>
    <w:basedOn w:val="a7"/>
    <w:semiHidden/>
    <w:pPr>
      <w:ind w:left="698" w:hangingChars="200" w:hanging="698"/>
    </w:pPr>
  </w:style>
  <w:style w:type="paragraph" w:customStyle="1" w:styleId="af3">
    <w:name w:val="調查報告"/>
    <w:basedOn w:val="ac"/>
    <w:pPr>
      <w:adjustRightInd w:val="0"/>
      <w:spacing w:before="0"/>
      <w:ind w:left="0" w:firstLine="0"/>
      <w:jc w:val="center"/>
    </w:pPr>
    <w:rPr>
      <w:b/>
      <w:snapToGrid/>
      <w:spacing w:val="200"/>
      <w:kern w:val="0"/>
      <w:sz w:val="40"/>
    </w:rPr>
  </w:style>
  <w:style w:type="paragraph" w:customStyle="1" w:styleId="14">
    <w:name w:val="表格14"/>
    <w:basedOn w:val="a7"/>
    <w:pPr>
      <w:adjustRightInd w:val="0"/>
      <w:snapToGrid w:val="0"/>
      <w:spacing w:line="360" w:lineRule="exact"/>
    </w:pPr>
    <w:rPr>
      <w:snapToGrid w:val="0"/>
      <w:spacing w:val="-14"/>
      <w:kern w:val="0"/>
      <w:sz w:val="28"/>
    </w:rPr>
  </w:style>
  <w:style w:type="paragraph" w:customStyle="1" w:styleId="a">
    <w:name w:val="附圖樣式"/>
    <w:basedOn w:val="a7"/>
    <w:qFormat/>
    <w:pPr>
      <w:keepNext/>
      <w:numPr>
        <w:numId w:val="2"/>
      </w:numPr>
      <w:tabs>
        <w:tab w:val="clear" w:pos="1440"/>
      </w:tabs>
      <w:ind w:left="400" w:hangingChars="400" w:hanging="400"/>
      <w:outlineLvl w:val="0"/>
    </w:pPr>
    <w:rPr>
      <w:kern w:val="32"/>
    </w:rPr>
  </w:style>
  <w:style w:type="paragraph" w:styleId="af4">
    <w:name w:val="footer"/>
    <w:basedOn w:val="a7"/>
    <w:link w:val="af5"/>
    <w:uiPriority w:val="99"/>
    <w:pPr>
      <w:tabs>
        <w:tab w:val="center" w:pos="4153"/>
        <w:tab w:val="right" w:pos="8306"/>
      </w:tabs>
      <w:snapToGrid w:val="0"/>
    </w:pPr>
    <w:rPr>
      <w:sz w:val="20"/>
    </w:rPr>
  </w:style>
  <w:style w:type="paragraph" w:styleId="af6">
    <w:name w:val="table of figures"/>
    <w:basedOn w:val="a7"/>
    <w:next w:val="a7"/>
    <w:semiHidden/>
    <w:pPr>
      <w:ind w:left="400" w:hangingChars="400" w:hanging="400"/>
    </w:pPr>
  </w:style>
  <w:style w:type="paragraph" w:customStyle="1" w:styleId="140">
    <w:name w:val="表格標題14"/>
    <w:basedOn w:val="a7"/>
    <w:pPr>
      <w:keepNext/>
      <w:adjustRightInd w:val="0"/>
      <w:snapToGrid w:val="0"/>
      <w:spacing w:before="40" w:after="40" w:line="320" w:lineRule="exact"/>
      <w:jc w:val="center"/>
    </w:pPr>
    <w:rPr>
      <w:snapToGrid w:val="0"/>
      <w:spacing w:val="-10"/>
      <w:kern w:val="0"/>
      <w:sz w:val="28"/>
    </w:rPr>
  </w:style>
  <w:style w:type="paragraph" w:customStyle="1" w:styleId="a4">
    <w:name w:val="表標題"/>
    <w:qFormat/>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5">
    <w:name w:val="附錄"/>
    <w:basedOn w:val="a7"/>
    <w:qFormat/>
    <w:pPr>
      <w:keepNext/>
      <w:numPr>
        <w:numId w:val="5"/>
      </w:numPr>
      <w:ind w:left="350" w:hangingChars="350" w:hanging="350"/>
      <w:outlineLvl w:val="0"/>
    </w:pPr>
    <w:rPr>
      <w:kern w:val="32"/>
    </w:rPr>
  </w:style>
  <w:style w:type="paragraph" w:styleId="af9">
    <w:name w:val="List Paragraph"/>
    <w:aliases w:val="表格清單,Bullet,Bullet List Paragraph,1.1.1.1清單段落,列點,(二),方程式,Recommendation,Footnote Sam,List Paragraph (numbered (a)),Text,Noise heading,RUS List,Rec para,Dot pt,F5 List Paragraph,No Spacing1,List Paragraph Char Char Char,Indicator Text"/>
    <w:basedOn w:val="a7"/>
    <w:link w:val="afa"/>
    <w:uiPriority w:val="34"/>
    <w:qFormat/>
    <w:pPr>
      <w:ind w:leftChars="200" w:left="480"/>
    </w:pPr>
  </w:style>
  <w:style w:type="paragraph" w:styleId="afb">
    <w:name w:val="Balloon Text"/>
    <w:basedOn w:val="a7"/>
    <w:link w:val="afc"/>
    <w:uiPriority w:val="99"/>
    <w:semiHidden/>
    <w:unhideWhenUsed/>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Pr>
      <w:rFonts w:asciiTheme="majorHAnsi" w:eastAsiaTheme="majorEastAsia" w:hAnsiTheme="majorHAnsi" w:cstheme="majorBidi"/>
      <w:kern w:val="2"/>
      <w:sz w:val="18"/>
      <w:szCs w:val="18"/>
    </w:rPr>
  </w:style>
  <w:style w:type="paragraph" w:customStyle="1" w:styleId="a6">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pPr>
      <w:keepNext/>
      <w:numPr>
        <w:numId w:val="8"/>
      </w:numPr>
      <w:ind w:left="400" w:hangingChars="400" w:hanging="400"/>
      <w:outlineLvl w:val="0"/>
    </w:pPr>
    <w:rPr>
      <w:kern w:val="32"/>
    </w:rPr>
  </w:style>
  <w:style w:type="character" w:customStyle="1" w:styleId="90">
    <w:name w:val="標題 9 字元"/>
    <w:basedOn w:val="a8"/>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styleId="afd">
    <w:name w:val="Plain Text"/>
    <w:basedOn w:val="a7"/>
    <w:link w:val="afe"/>
    <w:uiPriority w:val="99"/>
    <w:semiHidden/>
    <w:unhideWhenUsed/>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8"/>
    <w:link w:val="2"/>
    <w:uiPriority w:val="9"/>
    <w:rPr>
      <w:rFonts w:ascii="標楷體" w:eastAsia="標楷體" w:hAnsi="Arial"/>
      <w:bCs/>
      <w:kern w:val="32"/>
      <w:sz w:val="32"/>
      <w:szCs w:val="48"/>
    </w:rPr>
  </w:style>
  <w:style w:type="paragraph" w:styleId="Web">
    <w:name w:val="Normal (Web)"/>
    <w:basedOn w:val="a7"/>
    <w:uiPriority w:val="99"/>
    <w:semiHidden/>
    <w:unhideWhenUse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
    <w:link w:val="1"/>
    <w:uiPriority w:val="9"/>
    <w:rPr>
      <w:rFonts w:ascii="標楷體" w:eastAsia="標楷體" w:hAnsi="Arial"/>
      <w:bCs/>
      <w:kern w:val="32"/>
      <w:sz w:val="32"/>
      <w:szCs w:val="52"/>
    </w:rPr>
  </w:style>
  <w:style w:type="character" w:styleId="aff">
    <w:name w:val="Strong"/>
    <w:basedOn w:val="a8"/>
    <w:uiPriority w:val="22"/>
    <w:qFormat/>
    <w:rPr>
      <w:b/>
      <w:bCs/>
    </w:rPr>
  </w:style>
  <w:style w:type="paragraph" w:customStyle="1" w:styleId="addicon">
    <w:name w:val="add_icon"/>
    <w:basedOn w:val="a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5">
    <w:name w:val="頁尾 字元"/>
    <w:basedOn w:val="a8"/>
    <w:link w:val="af4"/>
    <w:uiPriority w:val="99"/>
    <w:rPr>
      <w:rFonts w:ascii="標楷體" w:eastAsia="標楷體"/>
      <w:kern w:val="2"/>
    </w:rPr>
  </w:style>
  <w:style w:type="character" w:customStyle="1" w:styleId="afa">
    <w:name w:val="清單段落 字元"/>
    <w:aliases w:val="表格清單 字元,Bullet 字元,Bullet List Paragraph 字元,1.1.1.1清單段落 字元,列點 字元,(二) 字元,方程式 字元,Recommendation 字元,Footnote Sam 字元,List Paragraph (numbered (a)) 字元,Text 字元,Noise heading 字元,RUS List 字元,Rec para 字元,Dot pt 字元,F5 List Paragraph 字元,No Spacing1 字元"/>
    <w:link w:val="af9"/>
    <w:uiPriority w:val="34"/>
    <w:qFormat/>
    <w:rPr>
      <w:rFonts w:ascii="標楷體" w:eastAsia="標楷體"/>
      <w:kern w:val="2"/>
      <w:sz w:val="32"/>
    </w:rPr>
  </w:style>
  <w:style w:type="paragraph" w:customStyle="1" w:styleId="141">
    <w:name w:val="表格內文(14行高)"/>
    <w:basedOn w:val="af6"/>
    <w:link w:val="142"/>
    <w:qFormat/>
    <w:pPr>
      <w:overflowPunct/>
      <w:autoSpaceDE/>
      <w:autoSpaceDN/>
      <w:spacing w:line="280" w:lineRule="exact"/>
      <w:ind w:left="0" w:firstLineChars="0" w:firstLine="0"/>
      <w:jc w:val="left"/>
    </w:pPr>
    <w:rPr>
      <w:snapToGrid w:val="0"/>
      <w:sz w:val="24"/>
      <w:szCs w:val="28"/>
      <w:lang w:val="x-none" w:eastAsia="x-none"/>
    </w:rPr>
  </w:style>
  <w:style w:type="character" w:customStyle="1" w:styleId="142">
    <w:name w:val="表格內文(14行高) 字元"/>
    <w:link w:val="141"/>
    <w:qFormat/>
    <w:rPr>
      <w:rFonts w:ascii="標楷體" w:eastAsia="標楷體"/>
      <w:snapToGrid w:val="0"/>
      <w:kern w:val="2"/>
      <w:sz w:val="24"/>
      <w:szCs w:val="28"/>
      <w:lang w:val="x-none" w:eastAsia="x-none"/>
    </w:rPr>
  </w:style>
  <w:style w:type="character" w:customStyle="1" w:styleId="lewnzc">
    <w:name w:val="lewnzc"/>
    <w:basedOn w:val="a8"/>
  </w:style>
  <w:style w:type="character" w:styleId="aff0">
    <w:name w:val="annotation reference"/>
    <w:basedOn w:val="a8"/>
    <w:uiPriority w:val="99"/>
    <w:semiHidden/>
    <w:unhideWhenUsed/>
    <w:rPr>
      <w:sz w:val="18"/>
      <w:szCs w:val="18"/>
    </w:rPr>
  </w:style>
  <w:style w:type="paragraph" w:styleId="aff1">
    <w:name w:val="annotation text"/>
    <w:basedOn w:val="a7"/>
    <w:link w:val="aff2"/>
    <w:uiPriority w:val="99"/>
    <w:semiHidden/>
    <w:unhideWhenUsed/>
    <w:pPr>
      <w:jc w:val="left"/>
    </w:pPr>
  </w:style>
  <w:style w:type="character" w:customStyle="1" w:styleId="aff2">
    <w:name w:val="註解文字 字元"/>
    <w:basedOn w:val="a8"/>
    <w:link w:val="aff1"/>
    <w:uiPriority w:val="99"/>
    <w:semiHidden/>
    <w:rPr>
      <w:rFonts w:ascii="標楷體" w:eastAsia="標楷體"/>
      <w:kern w:val="2"/>
      <w:sz w:val="32"/>
    </w:rPr>
  </w:style>
  <w:style w:type="paragraph" w:styleId="aff3">
    <w:name w:val="annotation subject"/>
    <w:basedOn w:val="aff1"/>
    <w:next w:val="aff1"/>
    <w:link w:val="aff4"/>
    <w:uiPriority w:val="99"/>
    <w:semiHidden/>
    <w:unhideWhenUsed/>
    <w:rPr>
      <w:b/>
      <w:bCs/>
    </w:rPr>
  </w:style>
  <w:style w:type="character" w:customStyle="1" w:styleId="aff4">
    <w:name w:val="註解主旨 字元"/>
    <w:basedOn w:val="aff2"/>
    <w:link w:val="aff3"/>
    <w:uiPriority w:val="99"/>
    <w:semiHidden/>
    <w:rPr>
      <w:rFonts w:ascii="標楷體" w:eastAsia="標楷體"/>
      <w:b/>
      <w:bCs/>
      <w:kern w:val="2"/>
      <w:sz w:val="32"/>
    </w:rPr>
  </w:style>
  <w:style w:type="paragraph" w:styleId="aff5">
    <w:name w:val="Revision"/>
    <w:hidden/>
    <w:uiPriority w:val="99"/>
    <w:semiHidden/>
    <w:rPr>
      <w:rFonts w:ascii="標楷體" w:eastAsia="標楷體"/>
      <w:kern w:val="2"/>
      <w:sz w:val="32"/>
    </w:rPr>
  </w:style>
  <w:style w:type="paragraph" w:styleId="aff6">
    <w:name w:val="footnote text"/>
    <w:basedOn w:val="a7"/>
    <w:link w:val="aff7"/>
    <w:uiPriority w:val="99"/>
    <w:semiHidden/>
    <w:unhideWhenUsed/>
    <w:pPr>
      <w:snapToGrid w:val="0"/>
      <w:jc w:val="left"/>
    </w:pPr>
    <w:rPr>
      <w:sz w:val="20"/>
    </w:rPr>
  </w:style>
  <w:style w:type="character" w:customStyle="1" w:styleId="aff7">
    <w:name w:val="註腳文字 字元"/>
    <w:basedOn w:val="a8"/>
    <w:link w:val="aff6"/>
    <w:uiPriority w:val="99"/>
    <w:semiHidden/>
    <w:rPr>
      <w:rFonts w:ascii="標楷體" w:eastAsia="標楷體"/>
      <w:kern w:val="2"/>
    </w:rPr>
  </w:style>
  <w:style w:type="character" w:styleId="aff8">
    <w:name w:val="footnote reference"/>
    <w:aliases w:val="FR,Ref,de nota al pie,註腳內容,Error-Fußnotenzeichen5,Error-Fußnotenzeichen6,Error-Fußnotenzeichen3"/>
    <w:basedOn w:val="a8"/>
    <w:unhideWhenUsed/>
    <w:rPr>
      <w:vertAlign w:val="superscript"/>
    </w:rPr>
  </w:style>
  <w:style w:type="paragraph" w:customStyle="1" w:styleId="aff9">
    <w:name w:val="(一)(二)(三)"/>
    <w:basedOn w:val="a7"/>
    <w:link w:val="affa"/>
    <w:qFormat/>
    <w:pPr>
      <w:overflowPunct/>
      <w:autoSpaceDE/>
      <w:autoSpaceDN/>
      <w:spacing w:line="500" w:lineRule="exact"/>
      <w:ind w:leftChars="200" w:left="300" w:hangingChars="100" w:hanging="100"/>
    </w:pPr>
    <w:rPr>
      <w:snapToGrid w:val="0"/>
      <w:sz w:val="28"/>
      <w:szCs w:val="28"/>
    </w:rPr>
  </w:style>
  <w:style w:type="character" w:customStyle="1" w:styleId="affa">
    <w:name w:val="(一)(二)(三) 字元"/>
    <w:link w:val="aff9"/>
    <w:rPr>
      <w:rFonts w:ascii="標楷體" w:eastAsia="標楷體"/>
      <w:snapToGrid w:val="0"/>
      <w:kern w:val="2"/>
      <w:sz w:val="28"/>
      <w:szCs w:val="28"/>
    </w:rPr>
  </w:style>
  <w:style w:type="character" w:customStyle="1" w:styleId="23">
    <w:name w:val="(一)下內文縮2 字元"/>
    <w:link w:val="24"/>
    <w:rPr>
      <w:rFonts w:ascii="標楷體" w:eastAsia="標楷體"/>
      <w:snapToGrid w:val="0"/>
      <w:kern w:val="2"/>
      <w:sz w:val="28"/>
      <w:szCs w:val="28"/>
    </w:rPr>
  </w:style>
  <w:style w:type="paragraph" w:customStyle="1" w:styleId="24">
    <w:name w:val="(一)下內文縮2"/>
    <w:basedOn w:val="a7"/>
    <w:link w:val="23"/>
    <w:qFormat/>
    <w:pPr>
      <w:overflowPunct/>
      <w:autoSpaceDE/>
      <w:autoSpaceDN/>
      <w:adjustRightInd w:val="0"/>
      <w:spacing w:line="500" w:lineRule="exact"/>
      <w:ind w:leftChars="300" w:left="300" w:firstLineChars="200" w:firstLine="200"/>
    </w:pPr>
    <w:rPr>
      <w:snapToGrid w:val="0"/>
      <w:sz w:val="28"/>
      <w:szCs w:val="28"/>
    </w:rPr>
  </w:style>
  <w:style w:type="paragraph" w:customStyle="1" w:styleId="a1">
    <w:name w:val="壹"/>
    <w:basedOn w:val="af9"/>
    <w:qFormat/>
    <w:pPr>
      <w:widowControl/>
      <w:numPr>
        <w:numId w:val="13"/>
      </w:numPr>
      <w:overflowPunct/>
      <w:autoSpaceDE/>
      <w:autoSpaceDN/>
      <w:snapToGrid w:val="0"/>
      <w:spacing w:beforeLines="50" w:before="50" w:line="560" w:lineRule="exact"/>
      <w:ind w:leftChars="0" w:left="0"/>
      <w:jc w:val="left"/>
    </w:pPr>
    <w:rPr>
      <w:rFonts w:ascii="Times New Roman"/>
      <w:bCs/>
      <w:szCs w:val="32"/>
    </w:rPr>
  </w:style>
  <w:style w:type="character" w:styleId="affb">
    <w:name w:val="Emphasis"/>
    <w:basedOn w:val="a8"/>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8232">
      <w:bodyDiv w:val="1"/>
      <w:marLeft w:val="0"/>
      <w:marRight w:val="0"/>
      <w:marTop w:val="0"/>
      <w:marBottom w:val="0"/>
      <w:divBdr>
        <w:top w:val="none" w:sz="0" w:space="0" w:color="auto"/>
        <w:left w:val="none" w:sz="0" w:space="0" w:color="auto"/>
        <w:bottom w:val="none" w:sz="0" w:space="0" w:color="auto"/>
        <w:right w:val="none" w:sz="0" w:space="0" w:color="auto"/>
      </w:divBdr>
    </w:div>
    <w:div w:id="359623450">
      <w:bodyDiv w:val="1"/>
      <w:marLeft w:val="0"/>
      <w:marRight w:val="0"/>
      <w:marTop w:val="0"/>
      <w:marBottom w:val="0"/>
      <w:divBdr>
        <w:top w:val="none" w:sz="0" w:space="0" w:color="auto"/>
        <w:left w:val="none" w:sz="0" w:space="0" w:color="auto"/>
        <w:bottom w:val="none" w:sz="0" w:space="0" w:color="auto"/>
        <w:right w:val="none" w:sz="0" w:space="0" w:color="auto"/>
      </w:divBdr>
    </w:div>
    <w:div w:id="426928427">
      <w:bodyDiv w:val="1"/>
      <w:marLeft w:val="0"/>
      <w:marRight w:val="0"/>
      <w:marTop w:val="0"/>
      <w:marBottom w:val="0"/>
      <w:divBdr>
        <w:top w:val="none" w:sz="0" w:space="0" w:color="auto"/>
        <w:left w:val="none" w:sz="0" w:space="0" w:color="auto"/>
        <w:bottom w:val="none" w:sz="0" w:space="0" w:color="auto"/>
        <w:right w:val="none" w:sz="0" w:space="0" w:color="auto"/>
      </w:divBdr>
    </w:div>
    <w:div w:id="57174355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28191293">
      <w:bodyDiv w:val="1"/>
      <w:marLeft w:val="0"/>
      <w:marRight w:val="0"/>
      <w:marTop w:val="0"/>
      <w:marBottom w:val="0"/>
      <w:divBdr>
        <w:top w:val="none" w:sz="0" w:space="0" w:color="auto"/>
        <w:left w:val="none" w:sz="0" w:space="0" w:color="auto"/>
        <w:bottom w:val="none" w:sz="0" w:space="0" w:color="auto"/>
        <w:right w:val="none" w:sz="0" w:space="0" w:color="auto"/>
      </w:divBdr>
    </w:div>
    <w:div w:id="782186737">
      <w:bodyDiv w:val="1"/>
      <w:marLeft w:val="0"/>
      <w:marRight w:val="0"/>
      <w:marTop w:val="0"/>
      <w:marBottom w:val="0"/>
      <w:divBdr>
        <w:top w:val="none" w:sz="0" w:space="0" w:color="auto"/>
        <w:left w:val="none" w:sz="0" w:space="0" w:color="auto"/>
        <w:bottom w:val="none" w:sz="0" w:space="0" w:color="auto"/>
        <w:right w:val="none" w:sz="0" w:space="0" w:color="auto"/>
      </w:divBdr>
      <w:divsChild>
        <w:div w:id="1665549620">
          <w:marLeft w:val="480"/>
          <w:marRight w:val="0"/>
          <w:marTop w:val="0"/>
          <w:marBottom w:val="120"/>
          <w:divBdr>
            <w:top w:val="none" w:sz="0" w:space="0" w:color="auto"/>
            <w:left w:val="none" w:sz="0" w:space="0" w:color="auto"/>
            <w:bottom w:val="none" w:sz="0" w:space="0" w:color="auto"/>
            <w:right w:val="none" w:sz="0" w:space="0" w:color="auto"/>
          </w:divBdr>
        </w:div>
        <w:div w:id="167522984">
          <w:marLeft w:val="480"/>
          <w:marRight w:val="0"/>
          <w:marTop w:val="0"/>
          <w:marBottom w:val="120"/>
          <w:divBdr>
            <w:top w:val="none" w:sz="0" w:space="0" w:color="auto"/>
            <w:left w:val="none" w:sz="0" w:space="0" w:color="auto"/>
            <w:bottom w:val="none" w:sz="0" w:space="0" w:color="auto"/>
            <w:right w:val="none" w:sz="0" w:space="0" w:color="auto"/>
          </w:divBdr>
        </w:div>
        <w:div w:id="1645700495">
          <w:marLeft w:val="480"/>
          <w:marRight w:val="0"/>
          <w:marTop w:val="0"/>
          <w:marBottom w:val="120"/>
          <w:divBdr>
            <w:top w:val="none" w:sz="0" w:space="0" w:color="auto"/>
            <w:left w:val="none" w:sz="0" w:space="0" w:color="auto"/>
            <w:bottom w:val="none" w:sz="0" w:space="0" w:color="auto"/>
            <w:right w:val="none" w:sz="0" w:space="0" w:color="auto"/>
          </w:divBdr>
        </w:div>
        <w:div w:id="1401901716">
          <w:marLeft w:val="480"/>
          <w:marRight w:val="0"/>
          <w:marTop w:val="0"/>
          <w:marBottom w:val="120"/>
          <w:divBdr>
            <w:top w:val="none" w:sz="0" w:space="0" w:color="auto"/>
            <w:left w:val="none" w:sz="0" w:space="0" w:color="auto"/>
            <w:bottom w:val="none" w:sz="0" w:space="0" w:color="auto"/>
            <w:right w:val="none" w:sz="0" w:space="0" w:color="auto"/>
          </w:divBdr>
        </w:div>
        <w:div w:id="473186100">
          <w:marLeft w:val="480"/>
          <w:marRight w:val="0"/>
          <w:marTop w:val="0"/>
          <w:marBottom w:val="120"/>
          <w:divBdr>
            <w:top w:val="none" w:sz="0" w:space="0" w:color="auto"/>
            <w:left w:val="none" w:sz="0" w:space="0" w:color="auto"/>
            <w:bottom w:val="none" w:sz="0" w:space="0" w:color="auto"/>
            <w:right w:val="none" w:sz="0" w:space="0" w:color="auto"/>
          </w:divBdr>
        </w:div>
        <w:div w:id="1310406469">
          <w:marLeft w:val="480"/>
          <w:marRight w:val="0"/>
          <w:marTop w:val="0"/>
          <w:marBottom w:val="120"/>
          <w:divBdr>
            <w:top w:val="none" w:sz="0" w:space="0" w:color="auto"/>
            <w:left w:val="none" w:sz="0" w:space="0" w:color="auto"/>
            <w:bottom w:val="none" w:sz="0" w:space="0" w:color="auto"/>
            <w:right w:val="none" w:sz="0" w:space="0" w:color="auto"/>
          </w:divBdr>
        </w:div>
        <w:div w:id="1891189572">
          <w:marLeft w:val="48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6716786">
      <w:bodyDiv w:val="1"/>
      <w:marLeft w:val="0"/>
      <w:marRight w:val="0"/>
      <w:marTop w:val="0"/>
      <w:marBottom w:val="0"/>
      <w:divBdr>
        <w:top w:val="none" w:sz="0" w:space="0" w:color="auto"/>
        <w:left w:val="none" w:sz="0" w:space="0" w:color="auto"/>
        <w:bottom w:val="none" w:sz="0" w:space="0" w:color="auto"/>
        <w:right w:val="none" w:sz="0" w:space="0" w:color="auto"/>
      </w:divBdr>
    </w:div>
    <w:div w:id="1382634331">
      <w:bodyDiv w:val="1"/>
      <w:marLeft w:val="0"/>
      <w:marRight w:val="0"/>
      <w:marTop w:val="0"/>
      <w:marBottom w:val="0"/>
      <w:divBdr>
        <w:top w:val="none" w:sz="0" w:space="0" w:color="auto"/>
        <w:left w:val="none" w:sz="0" w:space="0" w:color="auto"/>
        <w:bottom w:val="none" w:sz="0" w:space="0" w:color="auto"/>
        <w:right w:val="none" w:sz="0" w:space="0" w:color="auto"/>
      </w:divBdr>
      <w:divsChild>
        <w:div w:id="706757722">
          <w:marLeft w:val="480"/>
          <w:marRight w:val="0"/>
          <w:marTop w:val="0"/>
          <w:marBottom w:val="120"/>
          <w:divBdr>
            <w:top w:val="none" w:sz="0" w:space="0" w:color="auto"/>
            <w:left w:val="none" w:sz="0" w:space="0" w:color="auto"/>
            <w:bottom w:val="none" w:sz="0" w:space="0" w:color="auto"/>
            <w:right w:val="none" w:sz="0" w:space="0" w:color="auto"/>
          </w:divBdr>
        </w:div>
        <w:div w:id="1225024031">
          <w:marLeft w:val="480"/>
          <w:marRight w:val="0"/>
          <w:marTop w:val="0"/>
          <w:marBottom w:val="120"/>
          <w:divBdr>
            <w:top w:val="none" w:sz="0" w:space="0" w:color="auto"/>
            <w:left w:val="none" w:sz="0" w:space="0" w:color="auto"/>
            <w:bottom w:val="none" w:sz="0" w:space="0" w:color="auto"/>
            <w:right w:val="none" w:sz="0" w:space="0" w:color="auto"/>
          </w:divBdr>
        </w:div>
        <w:div w:id="1438646737">
          <w:marLeft w:val="480"/>
          <w:marRight w:val="0"/>
          <w:marTop w:val="0"/>
          <w:marBottom w:val="120"/>
          <w:divBdr>
            <w:top w:val="none" w:sz="0" w:space="0" w:color="auto"/>
            <w:left w:val="none" w:sz="0" w:space="0" w:color="auto"/>
            <w:bottom w:val="none" w:sz="0" w:space="0" w:color="auto"/>
            <w:right w:val="none" w:sz="0" w:space="0" w:color="auto"/>
          </w:divBdr>
        </w:div>
        <w:div w:id="642781324">
          <w:marLeft w:val="480"/>
          <w:marRight w:val="0"/>
          <w:marTop w:val="0"/>
          <w:marBottom w:val="120"/>
          <w:divBdr>
            <w:top w:val="none" w:sz="0" w:space="0" w:color="auto"/>
            <w:left w:val="none" w:sz="0" w:space="0" w:color="auto"/>
            <w:bottom w:val="none" w:sz="0" w:space="0" w:color="auto"/>
            <w:right w:val="none" w:sz="0" w:space="0" w:color="auto"/>
          </w:divBdr>
        </w:div>
        <w:div w:id="1173030435">
          <w:marLeft w:val="480"/>
          <w:marRight w:val="0"/>
          <w:marTop w:val="0"/>
          <w:marBottom w:val="120"/>
          <w:divBdr>
            <w:top w:val="none" w:sz="0" w:space="0" w:color="auto"/>
            <w:left w:val="none" w:sz="0" w:space="0" w:color="auto"/>
            <w:bottom w:val="none" w:sz="0" w:space="0" w:color="auto"/>
            <w:right w:val="none" w:sz="0" w:space="0" w:color="auto"/>
          </w:divBdr>
        </w:div>
        <w:div w:id="1925457882">
          <w:marLeft w:val="480"/>
          <w:marRight w:val="0"/>
          <w:marTop w:val="0"/>
          <w:marBottom w:val="120"/>
          <w:divBdr>
            <w:top w:val="none" w:sz="0" w:space="0" w:color="auto"/>
            <w:left w:val="none" w:sz="0" w:space="0" w:color="auto"/>
            <w:bottom w:val="none" w:sz="0" w:space="0" w:color="auto"/>
            <w:right w:val="none" w:sz="0" w:space="0" w:color="auto"/>
          </w:divBdr>
        </w:div>
        <w:div w:id="1753431910">
          <w:marLeft w:val="480"/>
          <w:marRight w:val="0"/>
          <w:marTop w:val="0"/>
          <w:marBottom w:val="120"/>
          <w:divBdr>
            <w:top w:val="none" w:sz="0" w:space="0" w:color="auto"/>
            <w:left w:val="none" w:sz="0" w:space="0" w:color="auto"/>
            <w:bottom w:val="none" w:sz="0" w:space="0" w:color="auto"/>
            <w:right w:val="none" w:sz="0" w:space="0" w:color="auto"/>
          </w:divBdr>
        </w:div>
      </w:divsChild>
    </w:div>
    <w:div w:id="20487919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DBEF-8721-4A90-BE70-79815F81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1414</Words>
  <Characters>8064</Characters>
  <Application>Microsoft Office Word</Application>
  <DocSecurity>0</DocSecurity>
  <Lines>67</Lines>
  <Paragraphs>18</Paragraphs>
  <ScaleCrop>false</ScaleCrop>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2024-11-07T06:44:00Z</dcterms:created>
  <dcterms:modified xsi:type="dcterms:W3CDTF">2024-11-07T06:50:00Z</dcterms:modified>
  <cp:contentStatus/>
</cp:coreProperties>
</file>