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Default="00D20D26" w:rsidP="003F05FD">
      <w:pPr>
        <w:pStyle w:val="af3"/>
        <w:spacing w:afterLines="50" w:after="228"/>
        <w:ind w:leftChars="375" w:left="1276"/>
        <w:rPr>
          <w:rFonts w:hAnsi="標楷體"/>
          <w:spacing w:val="0"/>
          <w:sz w:val="28"/>
        </w:rPr>
      </w:pPr>
      <w:r w:rsidRPr="00564BE5">
        <w:rPr>
          <w:rFonts w:hAnsi="標楷體" w:hint="eastAsia"/>
        </w:rPr>
        <w:t>調查</w:t>
      </w:r>
      <w:bookmarkStart w:id="0" w:name="_GoBack"/>
      <w:bookmarkEnd w:id="0"/>
      <w:r w:rsidRPr="00564BE5">
        <w:rPr>
          <w:rFonts w:hAnsi="標楷體" w:hint="eastAsia"/>
        </w:rPr>
        <w:t>報告</w:t>
      </w:r>
      <w:r w:rsidR="00B86B2C" w:rsidRPr="00B86B2C">
        <w:rPr>
          <w:rFonts w:hAnsi="標楷體" w:hint="eastAsia"/>
          <w:spacing w:val="0"/>
          <w:sz w:val="28"/>
        </w:rPr>
        <w:t>(公布版)</w:t>
      </w:r>
    </w:p>
    <w:p w:rsidR="00E25849" w:rsidRDefault="00E25849" w:rsidP="00B86B2C">
      <w:pPr>
        <w:pStyle w:val="1"/>
        <w:ind w:left="2296" w:hanging="2296"/>
        <w:rPr>
          <w:rFonts w:hAnsi="標楷體"/>
        </w:rPr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422834150"/>
      <w:bookmarkStart w:id="12" w:name="_Toc421794865"/>
      <w:bookmarkStart w:id="13" w:name="_Toc529218256"/>
      <w:bookmarkStart w:id="14" w:name="_Toc529222679"/>
      <w:bookmarkStart w:id="15" w:name="_Toc529223101"/>
      <w:bookmarkStart w:id="16" w:name="_Toc529223852"/>
      <w:bookmarkStart w:id="17" w:name="_Toc529228248"/>
      <w:bookmarkStart w:id="18" w:name="_Toc2400384"/>
      <w:bookmarkStart w:id="19" w:name="_Toc4316179"/>
      <w:bookmarkStart w:id="20" w:name="_Toc4473320"/>
      <w:bookmarkStart w:id="21" w:name="_Toc69556887"/>
      <w:bookmarkStart w:id="22" w:name="_Toc69556936"/>
      <w:bookmarkStart w:id="23" w:name="_Toc69609810"/>
      <w:bookmarkStart w:id="24" w:name="_Toc70241806"/>
      <w:bookmarkStart w:id="25" w:name="_Toc70242195"/>
      <w:r w:rsidRPr="00564BE5">
        <w:rPr>
          <w:rFonts w:hAnsi="標楷體" w:hint="eastAsia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A43940" w:rsidRPr="00564BE5">
        <w:rPr>
          <w:rFonts w:hAnsi="標楷體" w:hint="eastAsia"/>
        </w:rPr>
        <w:t>據</w:t>
      </w:r>
      <w:r w:rsidR="00462BE9" w:rsidRPr="00564BE5">
        <w:rPr>
          <w:rFonts w:hAnsi="標楷體" w:hint="eastAsia"/>
        </w:rPr>
        <w:t>悉，臺灣</w:t>
      </w:r>
      <w:proofErr w:type="gramStart"/>
      <w:r w:rsidR="00462BE9" w:rsidRPr="00564BE5">
        <w:rPr>
          <w:rFonts w:hAnsi="標楷體" w:hint="eastAsia"/>
        </w:rPr>
        <w:t>臺</w:t>
      </w:r>
      <w:proofErr w:type="gramEnd"/>
      <w:r w:rsidR="00462BE9" w:rsidRPr="00564BE5">
        <w:rPr>
          <w:rFonts w:hAnsi="標楷體" w:hint="eastAsia"/>
        </w:rPr>
        <w:t>北地方法院劉</w:t>
      </w:r>
      <w:r w:rsidR="00B86B2C">
        <w:rPr>
          <w:rFonts w:hAnsi="標楷體" w:hint="eastAsia"/>
        </w:rPr>
        <w:t>姓</w:t>
      </w:r>
      <w:r w:rsidR="00462BE9" w:rsidRPr="00564BE5">
        <w:rPr>
          <w:rFonts w:hAnsi="標楷體" w:hint="eastAsia"/>
        </w:rPr>
        <w:t>法官審理</w:t>
      </w:r>
      <w:proofErr w:type="gramStart"/>
      <w:r w:rsidR="00462BE9" w:rsidRPr="00564BE5">
        <w:rPr>
          <w:rFonts w:hAnsi="標楷體" w:hint="eastAsia"/>
        </w:rPr>
        <w:t>112</w:t>
      </w:r>
      <w:proofErr w:type="gramEnd"/>
      <w:r w:rsidR="00462BE9" w:rsidRPr="00564BE5">
        <w:rPr>
          <w:rFonts w:hAnsi="標楷體" w:hint="eastAsia"/>
        </w:rPr>
        <w:t>年度</w:t>
      </w:r>
      <w:proofErr w:type="gramStart"/>
      <w:r w:rsidR="00462BE9" w:rsidRPr="00564BE5">
        <w:rPr>
          <w:rFonts w:hAnsi="標楷體" w:hint="eastAsia"/>
        </w:rPr>
        <w:t>審易字</w:t>
      </w:r>
      <w:proofErr w:type="gramEnd"/>
      <w:r w:rsidR="00462BE9" w:rsidRPr="00564BE5">
        <w:rPr>
          <w:rFonts w:hAnsi="標楷體" w:hint="eastAsia"/>
        </w:rPr>
        <w:t>第656號妨害名譽案件，依公然侮辱罪判處被告有期徒刑3個月，所為量刑</w:t>
      </w:r>
      <w:proofErr w:type="gramStart"/>
      <w:r w:rsidR="00462BE9" w:rsidRPr="00564BE5">
        <w:rPr>
          <w:rFonts w:hAnsi="標楷體" w:hint="eastAsia"/>
        </w:rPr>
        <w:t>疑</w:t>
      </w:r>
      <w:proofErr w:type="gramEnd"/>
      <w:r w:rsidR="00462BE9" w:rsidRPr="00564BE5">
        <w:rPr>
          <w:rFonts w:hAnsi="標楷體" w:hint="eastAsia"/>
        </w:rPr>
        <w:t>逾越法定刑</w:t>
      </w:r>
      <w:proofErr w:type="gramStart"/>
      <w:r w:rsidR="00462BE9" w:rsidRPr="00564BE5">
        <w:rPr>
          <w:rFonts w:hAnsi="標楷體" w:hint="eastAsia"/>
        </w:rPr>
        <w:t>度且未及時察悉</w:t>
      </w:r>
      <w:proofErr w:type="gramEnd"/>
      <w:r w:rsidR="00462BE9" w:rsidRPr="00564BE5">
        <w:rPr>
          <w:rFonts w:hAnsi="標楷體" w:hint="eastAsia"/>
        </w:rPr>
        <w:t>判決違誤。</w:t>
      </w:r>
      <w:proofErr w:type="gramStart"/>
      <w:r w:rsidR="00462BE9" w:rsidRPr="00564BE5">
        <w:rPr>
          <w:rFonts w:hAnsi="標楷體" w:hint="eastAsia"/>
        </w:rPr>
        <w:t>嗣</w:t>
      </w:r>
      <w:proofErr w:type="gramEnd"/>
      <w:r w:rsidR="00462BE9" w:rsidRPr="00564BE5">
        <w:rPr>
          <w:rFonts w:hAnsi="標楷體" w:hint="eastAsia"/>
        </w:rPr>
        <w:t>判決正本送達臺灣</w:t>
      </w:r>
      <w:proofErr w:type="gramStart"/>
      <w:r w:rsidR="00462BE9" w:rsidRPr="00564BE5">
        <w:rPr>
          <w:rFonts w:hAnsi="標楷體" w:hint="eastAsia"/>
        </w:rPr>
        <w:t>臺</w:t>
      </w:r>
      <w:proofErr w:type="gramEnd"/>
      <w:r w:rsidR="00462BE9" w:rsidRPr="00564BE5">
        <w:rPr>
          <w:rFonts w:hAnsi="標楷體" w:hint="eastAsia"/>
        </w:rPr>
        <w:t>北地方檢察署，該</w:t>
      </w:r>
      <w:proofErr w:type="gramStart"/>
      <w:r w:rsidR="00462BE9" w:rsidRPr="00564BE5">
        <w:rPr>
          <w:rFonts w:hAnsi="標楷體" w:hint="eastAsia"/>
        </w:rPr>
        <w:t>署翔股</w:t>
      </w:r>
      <w:proofErr w:type="gramEnd"/>
      <w:r w:rsidR="00462BE9" w:rsidRPr="00564BE5">
        <w:rPr>
          <w:rFonts w:hAnsi="標楷體" w:hint="eastAsia"/>
        </w:rPr>
        <w:t>檢察官亦</w:t>
      </w:r>
      <w:proofErr w:type="gramStart"/>
      <w:r w:rsidR="00462BE9" w:rsidRPr="00564BE5">
        <w:rPr>
          <w:rFonts w:hAnsi="標楷體" w:hint="eastAsia"/>
        </w:rPr>
        <w:t>疑</w:t>
      </w:r>
      <w:proofErr w:type="gramEnd"/>
      <w:r w:rsidR="00462BE9" w:rsidRPr="00564BE5">
        <w:rPr>
          <w:rFonts w:hAnsi="標楷體" w:hint="eastAsia"/>
        </w:rPr>
        <w:t>疏漏</w:t>
      </w:r>
      <w:proofErr w:type="gramStart"/>
      <w:r w:rsidR="00462BE9" w:rsidRPr="00564BE5">
        <w:rPr>
          <w:rFonts w:hAnsi="標楷體" w:hint="eastAsia"/>
        </w:rPr>
        <w:t>未查且未</w:t>
      </w:r>
      <w:proofErr w:type="gramEnd"/>
      <w:r w:rsidR="00462BE9" w:rsidRPr="00564BE5">
        <w:rPr>
          <w:rFonts w:hAnsi="標楷體" w:hint="eastAsia"/>
        </w:rPr>
        <w:t>提起上訴，致原判決定</w:t>
      </w:r>
      <w:proofErr w:type="gramStart"/>
      <w:r w:rsidR="00462BE9" w:rsidRPr="00564BE5">
        <w:rPr>
          <w:rFonts w:hAnsi="標楷體" w:hint="eastAsia"/>
        </w:rPr>
        <w:t>讞</w:t>
      </w:r>
      <w:proofErr w:type="gramEnd"/>
      <w:r w:rsidR="00462BE9" w:rsidRPr="00564BE5">
        <w:rPr>
          <w:rFonts w:hAnsi="標楷體" w:hint="eastAsia"/>
        </w:rPr>
        <w:t>，影響人民訴訟權利及對司法之信賴，有深入瞭解之必要</w:t>
      </w:r>
      <w:r w:rsidR="00A43940" w:rsidRPr="00564BE5">
        <w:rPr>
          <w:rFonts w:hAnsi="標楷體" w:hint="eastAsia"/>
        </w:rPr>
        <w:t>案</w:t>
      </w:r>
      <w:r w:rsidR="00A30C8C" w:rsidRPr="00564BE5">
        <w:rPr>
          <w:rFonts w:hAnsi="標楷體" w:hint="eastAsia"/>
        </w:rPr>
        <w:t>。</w:t>
      </w:r>
    </w:p>
    <w:p w:rsidR="00F74B37" w:rsidRPr="00564BE5" w:rsidRDefault="00F74B37" w:rsidP="00F74B37">
      <w:pPr>
        <w:pStyle w:val="1"/>
        <w:numPr>
          <w:ilvl w:val="0"/>
          <w:numId w:val="0"/>
        </w:numPr>
        <w:ind w:left="2296"/>
        <w:rPr>
          <w:rFonts w:hAnsi="標楷體" w:hint="eastAsia"/>
        </w:rPr>
      </w:pPr>
    </w:p>
    <w:p w:rsidR="00E25849" w:rsidRPr="00564BE5" w:rsidRDefault="00E25849" w:rsidP="00B86B2C">
      <w:pPr>
        <w:pStyle w:val="1"/>
        <w:spacing w:line="276" w:lineRule="auto"/>
        <w:ind w:left="2380" w:hanging="2380"/>
        <w:rPr>
          <w:rFonts w:hAnsi="標楷體"/>
        </w:rPr>
      </w:pP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  <w:r w:rsidRPr="00564BE5">
        <w:rPr>
          <w:rFonts w:hAnsi="標楷體"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881E6A" w:rsidRDefault="00881E6A" w:rsidP="00A639F4">
      <w:pPr>
        <w:pStyle w:val="10"/>
        <w:ind w:left="680" w:firstLine="680"/>
        <w:rPr>
          <w:rFonts w:hAnsi="標楷體"/>
        </w:rPr>
      </w:pPr>
      <w:bookmarkStart w:id="50" w:name="_Toc524902730"/>
      <w:r w:rsidRPr="00881E6A">
        <w:rPr>
          <w:rFonts w:hAnsi="標楷體" w:hint="eastAsia"/>
        </w:rPr>
        <w:t>司法正義</w:t>
      </w:r>
      <w:r w:rsidR="009E2573" w:rsidRPr="00881E6A">
        <w:rPr>
          <w:rFonts w:hAnsi="標楷體" w:hint="eastAsia"/>
        </w:rPr>
        <w:t>的</w:t>
      </w:r>
      <w:r w:rsidR="009E2573">
        <w:rPr>
          <w:rFonts w:hAnsi="標楷體" w:hint="eastAsia"/>
        </w:rPr>
        <w:t>本質</w:t>
      </w:r>
      <w:r w:rsidRPr="00881E6A">
        <w:rPr>
          <w:rFonts w:hAnsi="標楷體" w:hint="eastAsia"/>
        </w:rPr>
        <w:t>是確保</w:t>
      </w:r>
      <w:r w:rsidR="009E2573">
        <w:rPr>
          <w:rFonts w:hAnsi="標楷體" w:hint="eastAsia"/>
        </w:rPr>
        <w:t>法律</w:t>
      </w:r>
      <w:r w:rsidRPr="00881E6A">
        <w:rPr>
          <w:rFonts w:hAnsi="標楷體" w:hint="eastAsia"/>
        </w:rPr>
        <w:t>公正</w:t>
      </w:r>
      <w:r w:rsidR="009E2573">
        <w:rPr>
          <w:rFonts w:hAnsi="標楷體" w:hint="eastAsia"/>
        </w:rPr>
        <w:t>、</w:t>
      </w:r>
      <w:r w:rsidRPr="00881E6A">
        <w:rPr>
          <w:rFonts w:hAnsi="標楷體" w:hint="eastAsia"/>
        </w:rPr>
        <w:t>透明</w:t>
      </w:r>
      <w:r w:rsidR="009E2573">
        <w:rPr>
          <w:rFonts w:hAnsi="標楷體" w:hint="eastAsia"/>
        </w:rPr>
        <w:t>且平等的</w:t>
      </w:r>
      <w:r w:rsidRPr="00881E6A">
        <w:rPr>
          <w:rFonts w:hAnsi="標楷體" w:hint="eastAsia"/>
        </w:rPr>
        <w:t>執行，</w:t>
      </w:r>
      <w:r w:rsidR="009E2573">
        <w:rPr>
          <w:rFonts w:hAnsi="標楷體" w:hint="eastAsia"/>
        </w:rPr>
        <w:t>使每個人</w:t>
      </w:r>
      <w:r w:rsidRPr="00881E6A">
        <w:rPr>
          <w:rFonts w:hAnsi="標楷體" w:hint="eastAsia"/>
        </w:rPr>
        <w:t>獲得公平</w:t>
      </w:r>
      <w:r w:rsidR="00C13A80" w:rsidRPr="00881E6A">
        <w:rPr>
          <w:rFonts w:hAnsi="標楷體" w:hint="eastAsia"/>
        </w:rPr>
        <w:t>的</w:t>
      </w:r>
      <w:r w:rsidRPr="00881E6A">
        <w:rPr>
          <w:rFonts w:hAnsi="標楷體" w:hint="eastAsia"/>
        </w:rPr>
        <w:t>對待</w:t>
      </w:r>
      <w:r w:rsidR="009E2573">
        <w:rPr>
          <w:rFonts w:hAnsi="標楷體" w:hint="eastAsia"/>
        </w:rPr>
        <w:t>，</w:t>
      </w:r>
      <w:r w:rsidRPr="00881E6A">
        <w:rPr>
          <w:rFonts w:hAnsi="標楷體" w:hint="eastAsia"/>
        </w:rPr>
        <w:t>包括對個人自由、平等機會和生命安全的保障。正義的實現不僅僅是法律條文的執行，更</w:t>
      </w:r>
      <w:r w:rsidR="009E2573">
        <w:rPr>
          <w:rFonts w:hAnsi="標楷體" w:hint="eastAsia"/>
        </w:rPr>
        <w:t>是</w:t>
      </w:r>
      <w:r w:rsidRPr="00881E6A">
        <w:rPr>
          <w:rFonts w:hAnsi="標楷體" w:hint="eastAsia"/>
        </w:rPr>
        <w:t>社會整體穩定與發展</w:t>
      </w:r>
      <w:r w:rsidR="009E2573">
        <w:rPr>
          <w:rFonts w:hAnsi="標楷體" w:hint="eastAsia"/>
        </w:rPr>
        <w:t>的一環</w:t>
      </w:r>
      <w:r w:rsidRPr="00881E6A">
        <w:rPr>
          <w:rFonts w:hAnsi="標楷體" w:hint="eastAsia"/>
        </w:rPr>
        <w:t>。永續發展目標（SDGs）</w:t>
      </w:r>
      <w:r w:rsidR="009E2573">
        <w:rPr>
          <w:rFonts w:hAnsi="標楷體" w:hint="eastAsia"/>
        </w:rPr>
        <w:t>第1</w:t>
      </w:r>
      <w:r w:rsidR="009E2573">
        <w:rPr>
          <w:rFonts w:hAnsi="標楷體"/>
        </w:rPr>
        <w:t>6</w:t>
      </w:r>
      <w:r w:rsidR="009E2573">
        <w:rPr>
          <w:rFonts w:hAnsi="標楷體" w:hint="eastAsia"/>
        </w:rPr>
        <w:t>項目標為</w:t>
      </w:r>
      <w:r w:rsidR="009E2573" w:rsidRPr="009E2573">
        <w:rPr>
          <w:rFonts w:hAnsi="標楷體" w:hint="eastAsia"/>
        </w:rPr>
        <w:t>促進和平多元的社會，確保司法平等，建立具公</w:t>
      </w:r>
      <w:proofErr w:type="gramStart"/>
      <w:r w:rsidR="009E2573" w:rsidRPr="009E2573">
        <w:rPr>
          <w:rFonts w:hAnsi="標楷體" w:hint="eastAsia"/>
        </w:rPr>
        <w:t>信力且廣</w:t>
      </w:r>
      <w:proofErr w:type="gramEnd"/>
      <w:r w:rsidR="009E2573" w:rsidRPr="009E2573">
        <w:rPr>
          <w:rFonts w:hAnsi="標楷體" w:hint="eastAsia"/>
        </w:rPr>
        <w:t>納民意的體系</w:t>
      </w:r>
      <w:r w:rsidR="009E2573">
        <w:rPr>
          <w:rFonts w:hAnsi="標楷體" w:hint="eastAsia"/>
        </w:rPr>
        <w:t>。</w:t>
      </w:r>
      <w:r w:rsidR="008516CD">
        <w:rPr>
          <w:rFonts w:hAnsi="標楷體" w:hint="eastAsia"/>
        </w:rPr>
        <w:t>因此，</w:t>
      </w:r>
      <w:r w:rsidR="009E2573" w:rsidRPr="00881E6A">
        <w:rPr>
          <w:rFonts w:hAnsi="標楷體" w:hint="eastAsia"/>
        </w:rPr>
        <w:t>司法正義</w:t>
      </w:r>
      <w:r w:rsidR="008516CD">
        <w:rPr>
          <w:rFonts w:hAnsi="標楷體" w:hint="eastAsia"/>
        </w:rPr>
        <w:t>正是</w:t>
      </w:r>
      <w:r w:rsidR="009E2573" w:rsidRPr="00881E6A">
        <w:rPr>
          <w:rFonts w:hAnsi="標楷體" w:hint="eastAsia"/>
        </w:rPr>
        <w:t>SDGs</w:t>
      </w:r>
      <w:r w:rsidR="008516CD">
        <w:rPr>
          <w:rFonts w:hAnsi="標楷體" w:hint="eastAsia"/>
        </w:rPr>
        <w:t>目標之一</w:t>
      </w:r>
      <w:r w:rsidR="008E3E16">
        <w:rPr>
          <w:rFonts w:hAnsi="標楷體" w:hint="eastAsia"/>
        </w:rPr>
        <w:t>，</w:t>
      </w:r>
      <w:r w:rsidR="008516CD">
        <w:rPr>
          <w:rFonts w:hAnsi="標楷體" w:hint="eastAsia"/>
        </w:rPr>
        <w:t>同時</w:t>
      </w:r>
      <w:r w:rsidR="009E2573" w:rsidRPr="00881E6A">
        <w:rPr>
          <w:rFonts w:hAnsi="標楷體" w:hint="eastAsia"/>
        </w:rPr>
        <w:t>體現</w:t>
      </w:r>
      <w:r w:rsidR="008516CD">
        <w:rPr>
          <w:rFonts w:hAnsi="標楷體" w:hint="eastAsia"/>
        </w:rPr>
        <w:t>對</w:t>
      </w:r>
      <w:r w:rsidR="009E2573" w:rsidRPr="00881E6A">
        <w:rPr>
          <w:rFonts w:hAnsi="標楷體" w:hint="eastAsia"/>
        </w:rPr>
        <w:t>人權的保障。SDGs強調包容</w:t>
      </w:r>
      <w:r w:rsidR="008516CD">
        <w:rPr>
          <w:rFonts w:hAnsi="標楷體" w:hint="eastAsia"/>
        </w:rPr>
        <w:t>與</w:t>
      </w:r>
      <w:r w:rsidR="009E2573" w:rsidRPr="00881E6A">
        <w:rPr>
          <w:rFonts w:hAnsi="標楷體" w:hint="eastAsia"/>
        </w:rPr>
        <w:t>不歧視的社會，這正是司法系統所需維護的基本原則。公正的法律環境有助於促進社會平等與和諧，</w:t>
      </w:r>
      <w:r w:rsidR="008516CD">
        <w:rPr>
          <w:rFonts w:hAnsi="標楷體" w:hint="eastAsia"/>
        </w:rPr>
        <w:t>係</w:t>
      </w:r>
      <w:r w:rsidR="00F93E4B">
        <w:rPr>
          <w:rFonts w:hAnsi="標楷體" w:hint="eastAsia"/>
        </w:rPr>
        <w:t>永</w:t>
      </w:r>
      <w:r w:rsidR="009E2573" w:rsidRPr="00881E6A">
        <w:rPr>
          <w:rFonts w:hAnsi="標楷體" w:hint="eastAsia"/>
        </w:rPr>
        <w:t>續發展</w:t>
      </w:r>
      <w:r w:rsidR="008516CD">
        <w:rPr>
          <w:rFonts w:hAnsi="標楷體" w:hint="eastAsia"/>
        </w:rPr>
        <w:t>基石之</w:t>
      </w:r>
      <w:proofErr w:type="gramStart"/>
      <w:r w:rsidR="008516CD">
        <w:rPr>
          <w:rFonts w:hAnsi="標楷體" w:hint="eastAsia"/>
        </w:rPr>
        <w:t>一</w:t>
      </w:r>
      <w:proofErr w:type="gramEnd"/>
      <w:r w:rsidR="009E2573" w:rsidRPr="00881E6A">
        <w:rPr>
          <w:rFonts w:hAnsi="標楷體" w:hint="eastAsia"/>
        </w:rPr>
        <w:t>。</w:t>
      </w:r>
      <w:r w:rsidR="008516CD" w:rsidRPr="00881E6A">
        <w:rPr>
          <w:rFonts w:hAnsi="標楷體" w:hint="eastAsia"/>
        </w:rPr>
        <w:t>健全的法律體系</w:t>
      </w:r>
      <w:r w:rsidR="008516CD">
        <w:rPr>
          <w:rFonts w:hAnsi="標楷體" w:hint="eastAsia"/>
        </w:rPr>
        <w:t>及</w:t>
      </w:r>
      <w:r w:rsidR="008516CD" w:rsidRPr="00881E6A">
        <w:rPr>
          <w:rFonts w:hAnsi="標楷體" w:hint="eastAsia"/>
        </w:rPr>
        <w:t>有效的司法程序</w:t>
      </w:r>
      <w:r w:rsidR="008516CD">
        <w:rPr>
          <w:rFonts w:hAnsi="標楷體" w:hint="eastAsia"/>
        </w:rPr>
        <w:t>，</w:t>
      </w:r>
      <w:r w:rsidR="008516CD" w:rsidRPr="00881E6A">
        <w:rPr>
          <w:rFonts w:hAnsi="標楷體" w:hint="eastAsia"/>
        </w:rPr>
        <w:t>促進社會公平</w:t>
      </w:r>
      <w:r w:rsidR="008516CD">
        <w:rPr>
          <w:rFonts w:hAnsi="標楷體" w:hint="eastAsia"/>
        </w:rPr>
        <w:t>、</w:t>
      </w:r>
      <w:r w:rsidR="008516CD" w:rsidRPr="00881E6A">
        <w:rPr>
          <w:rFonts w:hAnsi="標楷體" w:hint="eastAsia"/>
        </w:rPr>
        <w:t>經濟</w:t>
      </w:r>
      <w:r w:rsidR="008516CD">
        <w:rPr>
          <w:rFonts w:hAnsi="標楷體" w:hint="eastAsia"/>
        </w:rPr>
        <w:t>與</w:t>
      </w:r>
      <w:r w:rsidR="008516CD" w:rsidRPr="00881E6A">
        <w:rPr>
          <w:rFonts w:hAnsi="標楷體" w:hint="eastAsia"/>
        </w:rPr>
        <w:t>環境的</w:t>
      </w:r>
      <w:r w:rsidR="008516CD">
        <w:rPr>
          <w:rFonts w:hAnsi="標楷體" w:hint="eastAsia"/>
        </w:rPr>
        <w:t>永</w:t>
      </w:r>
      <w:r w:rsidR="008516CD" w:rsidRPr="00881E6A">
        <w:rPr>
          <w:rFonts w:hAnsi="標楷體" w:hint="eastAsia"/>
        </w:rPr>
        <w:t>續發展</w:t>
      </w:r>
      <w:r w:rsidR="008516CD">
        <w:rPr>
          <w:rFonts w:hAnsi="標楷體" w:hint="eastAsia"/>
        </w:rPr>
        <w:t>；</w:t>
      </w:r>
      <w:r w:rsidR="009E2573" w:rsidRPr="00881E6A">
        <w:rPr>
          <w:rFonts w:hAnsi="標楷體" w:hint="eastAsia"/>
        </w:rPr>
        <w:t>司法正義不僅保障人民權益，</w:t>
      </w:r>
      <w:r w:rsidR="00F93E4B">
        <w:rPr>
          <w:rFonts w:hAnsi="標楷體" w:hint="eastAsia"/>
        </w:rPr>
        <w:t>同時也</w:t>
      </w:r>
      <w:r w:rsidR="009E2573" w:rsidRPr="00881E6A">
        <w:rPr>
          <w:rFonts w:hAnsi="標楷體" w:hint="eastAsia"/>
        </w:rPr>
        <w:t>是實現SDGs的關鍵因素</w:t>
      </w:r>
      <w:r w:rsidR="008516CD">
        <w:rPr>
          <w:rFonts w:hAnsi="標楷體" w:hint="eastAsia"/>
        </w:rPr>
        <w:t>。</w:t>
      </w:r>
    </w:p>
    <w:p w:rsidR="004F6710" w:rsidRPr="00564BE5" w:rsidRDefault="00D1529A" w:rsidP="00A639F4">
      <w:pPr>
        <w:pStyle w:val="10"/>
        <w:ind w:left="680" w:firstLine="680"/>
        <w:rPr>
          <w:rFonts w:hAnsi="標楷體"/>
        </w:rPr>
      </w:pPr>
      <w:r w:rsidRPr="00D1529A">
        <w:rPr>
          <w:rFonts w:hAnsi="標楷體" w:hint="eastAsia"/>
        </w:rPr>
        <w:t>據悉，臺灣</w:t>
      </w:r>
      <w:proofErr w:type="gramStart"/>
      <w:r w:rsidRPr="00D1529A">
        <w:rPr>
          <w:rFonts w:hAnsi="標楷體" w:hint="eastAsia"/>
        </w:rPr>
        <w:t>臺</w:t>
      </w:r>
      <w:proofErr w:type="gramEnd"/>
      <w:r w:rsidRPr="00D1529A">
        <w:rPr>
          <w:rFonts w:hAnsi="標楷體" w:hint="eastAsia"/>
        </w:rPr>
        <w:t>北地方法院</w:t>
      </w:r>
      <w:r>
        <w:rPr>
          <w:rFonts w:hAnsi="標楷體" w:hint="eastAsia"/>
        </w:rPr>
        <w:t>(下稱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北地院</w:t>
      </w:r>
      <w:r>
        <w:rPr>
          <w:rFonts w:hAnsi="標楷體"/>
        </w:rPr>
        <w:t>)</w:t>
      </w:r>
      <w:r w:rsidR="00B86B2C">
        <w:rPr>
          <w:rFonts w:hAnsi="標楷體" w:hint="eastAsia"/>
        </w:rPr>
        <w:t>劉姓</w:t>
      </w:r>
      <w:r w:rsidRPr="00D1529A">
        <w:rPr>
          <w:rFonts w:hAnsi="標楷體" w:hint="eastAsia"/>
        </w:rPr>
        <w:t>法官</w:t>
      </w:r>
      <w:r w:rsidR="00301457">
        <w:rPr>
          <w:rFonts w:hAnsi="標楷體" w:hint="eastAsia"/>
        </w:rPr>
        <w:t>(下稱劉法官</w:t>
      </w:r>
      <w:r w:rsidR="00301457">
        <w:rPr>
          <w:rFonts w:hAnsi="標楷體"/>
        </w:rPr>
        <w:t>)</w:t>
      </w:r>
      <w:r w:rsidRPr="00D1529A">
        <w:rPr>
          <w:rFonts w:hAnsi="標楷體" w:hint="eastAsia"/>
        </w:rPr>
        <w:t>審理</w:t>
      </w:r>
      <w:proofErr w:type="gramStart"/>
      <w:r w:rsidRPr="00D1529A">
        <w:rPr>
          <w:rFonts w:hAnsi="標楷體" w:hint="eastAsia"/>
        </w:rPr>
        <w:t>112</w:t>
      </w:r>
      <w:proofErr w:type="gramEnd"/>
      <w:r w:rsidRPr="00D1529A">
        <w:rPr>
          <w:rFonts w:hAnsi="標楷體" w:hint="eastAsia"/>
        </w:rPr>
        <w:t>年度</w:t>
      </w:r>
      <w:proofErr w:type="gramStart"/>
      <w:r w:rsidRPr="00D1529A">
        <w:rPr>
          <w:rFonts w:hAnsi="標楷體" w:hint="eastAsia"/>
        </w:rPr>
        <w:t>審易字</w:t>
      </w:r>
      <w:proofErr w:type="gramEnd"/>
      <w:r w:rsidRPr="00D1529A">
        <w:rPr>
          <w:rFonts w:hAnsi="標楷體" w:hint="eastAsia"/>
        </w:rPr>
        <w:t>第656號妨害名譽案件</w:t>
      </w:r>
      <w:r w:rsidR="00301457">
        <w:rPr>
          <w:rFonts w:hAnsi="標楷體" w:hint="eastAsia"/>
        </w:rPr>
        <w:t>(下稱本案</w:t>
      </w:r>
      <w:r w:rsidR="00301457">
        <w:rPr>
          <w:rFonts w:hAnsi="標楷體"/>
        </w:rPr>
        <w:t>)</w:t>
      </w:r>
      <w:r w:rsidRPr="00D1529A">
        <w:rPr>
          <w:rFonts w:hAnsi="標楷體" w:hint="eastAsia"/>
        </w:rPr>
        <w:t>，依公然侮辱罪判處被告有期徒刑3個月，所為量刑</w:t>
      </w:r>
      <w:proofErr w:type="gramStart"/>
      <w:r w:rsidRPr="00D1529A">
        <w:rPr>
          <w:rFonts w:hAnsi="標楷體" w:hint="eastAsia"/>
        </w:rPr>
        <w:t>疑</w:t>
      </w:r>
      <w:proofErr w:type="gramEnd"/>
      <w:r w:rsidRPr="00D1529A">
        <w:rPr>
          <w:rFonts w:hAnsi="標楷體" w:hint="eastAsia"/>
        </w:rPr>
        <w:t>逾越法定刑</w:t>
      </w:r>
      <w:proofErr w:type="gramStart"/>
      <w:r w:rsidRPr="00D1529A">
        <w:rPr>
          <w:rFonts w:hAnsi="標楷體" w:hint="eastAsia"/>
        </w:rPr>
        <w:t>度且未及時察悉</w:t>
      </w:r>
      <w:proofErr w:type="gramEnd"/>
      <w:r w:rsidRPr="00D1529A">
        <w:rPr>
          <w:rFonts w:hAnsi="標楷體" w:hint="eastAsia"/>
        </w:rPr>
        <w:t>判決違誤。</w:t>
      </w:r>
      <w:proofErr w:type="gramStart"/>
      <w:r w:rsidRPr="00D1529A">
        <w:rPr>
          <w:rFonts w:hAnsi="標楷體" w:hint="eastAsia"/>
        </w:rPr>
        <w:t>嗣</w:t>
      </w:r>
      <w:proofErr w:type="gramEnd"/>
      <w:r w:rsidRPr="00D1529A">
        <w:rPr>
          <w:rFonts w:hAnsi="標楷體" w:hint="eastAsia"/>
        </w:rPr>
        <w:t>判決正本送達臺灣</w:t>
      </w:r>
      <w:proofErr w:type="gramStart"/>
      <w:r w:rsidRPr="00D1529A">
        <w:rPr>
          <w:rFonts w:hAnsi="標楷體" w:hint="eastAsia"/>
        </w:rPr>
        <w:t>臺</w:t>
      </w:r>
      <w:proofErr w:type="gramEnd"/>
      <w:r w:rsidRPr="00D1529A">
        <w:rPr>
          <w:rFonts w:hAnsi="標楷體" w:hint="eastAsia"/>
        </w:rPr>
        <w:t>北地方檢察署</w:t>
      </w:r>
      <w:r w:rsidRPr="00564BE5">
        <w:rPr>
          <w:rFonts w:hAnsi="標楷體" w:hint="eastAsia"/>
        </w:rPr>
        <w:t>（下稱</w:t>
      </w:r>
      <w:proofErr w:type="gramStart"/>
      <w:r w:rsidRPr="00564BE5">
        <w:rPr>
          <w:rFonts w:hAnsi="標楷體" w:hint="eastAsia"/>
        </w:rPr>
        <w:t>臺</w:t>
      </w:r>
      <w:proofErr w:type="gramEnd"/>
      <w:r w:rsidRPr="00564BE5">
        <w:rPr>
          <w:rFonts w:hAnsi="標楷體" w:hint="eastAsia"/>
        </w:rPr>
        <w:t>北地檢署）</w:t>
      </w:r>
      <w:r w:rsidRPr="00D1529A">
        <w:rPr>
          <w:rFonts w:hAnsi="標楷體" w:hint="eastAsia"/>
        </w:rPr>
        <w:t>，該</w:t>
      </w:r>
      <w:proofErr w:type="gramStart"/>
      <w:r w:rsidRPr="00D1529A">
        <w:rPr>
          <w:rFonts w:hAnsi="標楷體" w:hint="eastAsia"/>
        </w:rPr>
        <w:t>署</w:t>
      </w:r>
      <w:r w:rsidRPr="00D1529A">
        <w:rPr>
          <w:rFonts w:hAnsi="標楷體" w:hint="eastAsia"/>
        </w:rPr>
        <w:lastRenderedPageBreak/>
        <w:t>翔股</w:t>
      </w:r>
      <w:proofErr w:type="gramEnd"/>
      <w:r w:rsidRPr="00D1529A">
        <w:rPr>
          <w:rFonts w:hAnsi="標楷體" w:hint="eastAsia"/>
        </w:rPr>
        <w:t>檢察官亦</w:t>
      </w:r>
      <w:proofErr w:type="gramStart"/>
      <w:r w:rsidRPr="00D1529A">
        <w:rPr>
          <w:rFonts w:hAnsi="標楷體" w:hint="eastAsia"/>
        </w:rPr>
        <w:t>疑</w:t>
      </w:r>
      <w:proofErr w:type="gramEnd"/>
      <w:r w:rsidRPr="00D1529A">
        <w:rPr>
          <w:rFonts w:hAnsi="標楷體" w:hint="eastAsia"/>
        </w:rPr>
        <w:t>疏漏</w:t>
      </w:r>
      <w:proofErr w:type="gramStart"/>
      <w:r w:rsidRPr="00D1529A">
        <w:rPr>
          <w:rFonts w:hAnsi="標楷體" w:hint="eastAsia"/>
        </w:rPr>
        <w:t>未查且未</w:t>
      </w:r>
      <w:proofErr w:type="gramEnd"/>
      <w:r w:rsidRPr="00D1529A">
        <w:rPr>
          <w:rFonts w:hAnsi="標楷體" w:hint="eastAsia"/>
        </w:rPr>
        <w:t>提起上訴，致原判決定</w:t>
      </w:r>
      <w:proofErr w:type="gramStart"/>
      <w:r w:rsidRPr="00D1529A">
        <w:rPr>
          <w:rFonts w:hAnsi="標楷體" w:hint="eastAsia"/>
        </w:rPr>
        <w:t>讞</w:t>
      </w:r>
      <w:proofErr w:type="gramEnd"/>
      <w:r w:rsidRPr="00D1529A">
        <w:rPr>
          <w:rFonts w:hAnsi="標楷體" w:hint="eastAsia"/>
        </w:rPr>
        <w:t>，影響人民訴訟權利及對司法之信賴，有深入瞭解之必要</w:t>
      </w:r>
      <w:proofErr w:type="gramStart"/>
      <w:r w:rsidR="00B15F11" w:rsidRPr="00564BE5">
        <w:rPr>
          <w:rFonts w:hAnsi="標楷體" w:hint="eastAsia"/>
        </w:rPr>
        <w:t>等情案</w:t>
      </w:r>
      <w:proofErr w:type="gramEnd"/>
      <w:r w:rsidR="00B15F11" w:rsidRPr="00564BE5">
        <w:rPr>
          <w:rFonts w:hAnsi="標楷體" w:hint="eastAsia"/>
        </w:rPr>
        <w:t>，經調閱</w:t>
      </w:r>
      <w:r>
        <w:rPr>
          <w:rFonts w:hAnsi="標楷體" w:hint="eastAsia"/>
        </w:rPr>
        <w:t>法務部、司法院、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北地院、</w:t>
      </w:r>
      <w:proofErr w:type="gramStart"/>
      <w:r w:rsidRPr="00564BE5">
        <w:rPr>
          <w:rFonts w:hAnsi="標楷體" w:hint="eastAsia"/>
        </w:rPr>
        <w:t>臺</w:t>
      </w:r>
      <w:proofErr w:type="gramEnd"/>
      <w:r w:rsidRPr="00564BE5">
        <w:rPr>
          <w:rFonts w:hAnsi="標楷體" w:hint="eastAsia"/>
        </w:rPr>
        <w:t>北地檢署</w:t>
      </w:r>
      <w:r w:rsidR="00B15F11" w:rsidRPr="00564BE5">
        <w:rPr>
          <w:rFonts w:hAnsi="標楷體" w:hint="eastAsia"/>
        </w:rPr>
        <w:t>等機關卷證資料，</w:t>
      </w:r>
      <w:r w:rsidR="007531BA">
        <w:rPr>
          <w:rFonts w:hAnsi="標楷體" w:hint="eastAsia"/>
        </w:rPr>
        <w:t>續</w:t>
      </w:r>
      <w:r w:rsidR="00336160">
        <w:rPr>
          <w:rFonts w:hAnsi="標楷體" w:hint="eastAsia"/>
        </w:rPr>
        <w:t>於</w:t>
      </w:r>
      <w:r w:rsidR="00336160" w:rsidRPr="00564BE5">
        <w:rPr>
          <w:rFonts w:hAnsi="標楷體" w:hint="eastAsia"/>
        </w:rPr>
        <w:t>民國(下同)</w:t>
      </w:r>
      <w:r w:rsidR="00336160" w:rsidRPr="00564BE5">
        <w:rPr>
          <w:rFonts w:hAnsi="標楷體"/>
        </w:rPr>
        <w:t>11</w:t>
      </w:r>
      <w:r w:rsidR="00336160">
        <w:rPr>
          <w:rFonts w:hAnsi="標楷體"/>
        </w:rPr>
        <w:t>3</w:t>
      </w:r>
      <w:r w:rsidR="00336160" w:rsidRPr="00564BE5">
        <w:rPr>
          <w:rFonts w:hAnsi="標楷體" w:hint="eastAsia"/>
        </w:rPr>
        <w:t>年</w:t>
      </w:r>
      <w:r w:rsidR="00336160">
        <w:rPr>
          <w:rFonts w:hAnsi="標楷體"/>
        </w:rPr>
        <w:t>8</w:t>
      </w:r>
      <w:r w:rsidR="00336160" w:rsidRPr="00564BE5">
        <w:rPr>
          <w:rFonts w:hAnsi="標楷體" w:hint="eastAsia"/>
        </w:rPr>
        <w:t>月</w:t>
      </w:r>
      <w:r w:rsidR="00336160">
        <w:rPr>
          <w:rFonts w:hAnsi="標楷體" w:hint="eastAsia"/>
        </w:rPr>
        <w:t>2日舉行諮詢會議，</w:t>
      </w:r>
      <w:r w:rsidR="00B15F11" w:rsidRPr="00564BE5">
        <w:rPr>
          <w:rFonts w:hAnsi="標楷體" w:hint="eastAsia"/>
        </w:rPr>
        <w:t>並於</w:t>
      </w:r>
      <w:r w:rsidR="00336160">
        <w:rPr>
          <w:rFonts w:hAnsi="標楷體" w:hint="eastAsia"/>
        </w:rPr>
        <w:t>同年月</w:t>
      </w:r>
      <w:r>
        <w:rPr>
          <w:rFonts w:hAnsi="標楷體"/>
        </w:rPr>
        <w:t>28</w:t>
      </w:r>
      <w:r w:rsidR="00B15F11" w:rsidRPr="00564BE5">
        <w:rPr>
          <w:rFonts w:hAnsi="標楷體" w:hint="eastAsia"/>
        </w:rPr>
        <w:t>日詢問</w:t>
      </w:r>
      <w:r>
        <w:rPr>
          <w:rFonts w:hAnsi="標楷體" w:hint="eastAsia"/>
        </w:rPr>
        <w:t>司法院等</w:t>
      </w:r>
      <w:r w:rsidR="00A22CFB">
        <w:rPr>
          <w:rFonts w:hAnsi="標楷體" w:hint="eastAsia"/>
        </w:rPr>
        <w:t>機關</w:t>
      </w:r>
      <w:r>
        <w:rPr>
          <w:rFonts w:hAnsi="標楷體" w:hint="eastAsia"/>
        </w:rPr>
        <w:t>人員</w:t>
      </w:r>
      <w:r w:rsidR="00B15F11" w:rsidRPr="00564BE5">
        <w:rPr>
          <w:rFonts w:hAnsi="標楷體" w:hint="eastAsia"/>
        </w:rPr>
        <w:t>，</w:t>
      </w:r>
      <w:r w:rsidR="00FB501B" w:rsidRPr="00564BE5">
        <w:rPr>
          <w:rFonts w:hAnsi="標楷體" w:hint="eastAsia"/>
        </w:rPr>
        <w:t>已調查</w:t>
      </w:r>
      <w:r w:rsidR="00307A76" w:rsidRPr="00564BE5">
        <w:rPr>
          <w:rFonts w:hAnsi="標楷體" w:hint="eastAsia"/>
        </w:rPr>
        <w:t>完畢</w:t>
      </w:r>
      <w:r w:rsidR="00FB501B" w:rsidRPr="00564BE5">
        <w:rPr>
          <w:rFonts w:hAnsi="標楷體" w:hint="eastAsia"/>
        </w:rPr>
        <w:t>，調查意見</w:t>
      </w:r>
      <w:proofErr w:type="gramStart"/>
      <w:r w:rsidR="00A22CFB" w:rsidRPr="00564BE5">
        <w:rPr>
          <w:rFonts w:hAnsi="標楷體" w:hint="eastAsia"/>
        </w:rPr>
        <w:t>臚列</w:t>
      </w:r>
      <w:r w:rsidR="00FB501B" w:rsidRPr="00564BE5">
        <w:rPr>
          <w:rFonts w:hAnsi="標楷體" w:hint="eastAsia"/>
        </w:rPr>
        <w:t>如</w:t>
      </w:r>
      <w:proofErr w:type="gramEnd"/>
      <w:r w:rsidR="00FB501B" w:rsidRPr="00564BE5">
        <w:rPr>
          <w:rFonts w:hAnsi="標楷體" w:hint="eastAsia"/>
        </w:rPr>
        <w:t>下：</w:t>
      </w:r>
    </w:p>
    <w:p w:rsidR="009E442D" w:rsidRPr="00FF5030" w:rsidRDefault="00301457" w:rsidP="009E442D">
      <w:pPr>
        <w:pStyle w:val="2"/>
        <w:rPr>
          <w:rFonts w:hAnsi="標楷體"/>
          <w:b/>
        </w:rPr>
      </w:pPr>
      <w:bookmarkStart w:id="51" w:name="_Toc421794873"/>
      <w:bookmarkStart w:id="52" w:name="_Toc422834158"/>
      <w:proofErr w:type="gramStart"/>
      <w:r w:rsidRPr="00FF5030">
        <w:rPr>
          <w:rFonts w:hAnsi="標楷體" w:hint="eastAsia"/>
          <w:b/>
        </w:rPr>
        <w:t>臺</w:t>
      </w:r>
      <w:proofErr w:type="gramEnd"/>
      <w:r w:rsidRPr="00FF5030">
        <w:rPr>
          <w:rFonts w:hAnsi="標楷體" w:hint="eastAsia"/>
          <w:b/>
        </w:rPr>
        <w:t>北地院劉法官審理本案時，於準備程序</w:t>
      </w:r>
      <w:r w:rsidR="00131A9A" w:rsidRPr="00FF5030">
        <w:rPr>
          <w:rFonts w:hAnsi="標楷體" w:hint="eastAsia"/>
          <w:b/>
        </w:rPr>
        <w:t>末，因陳姓被告</w:t>
      </w:r>
      <w:r w:rsidR="000C4AC9">
        <w:rPr>
          <w:rFonts w:hAnsi="標楷體" w:hint="eastAsia"/>
          <w:b/>
        </w:rPr>
        <w:t>對</w:t>
      </w:r>
      <w:r w:rsidR="000C4AC9" w:rsidRPr="00FF5030">
        <w:rPr>
          <w:rFonts w:hAnsi="標楷體" w:hint="eastAsia"/>
          <w:b/>
        </w:rPr>
        <w:t>劉法官</w:t>
      </w:r>
      <w:r w:rsidR="00131A9A" w:rsidRPr="00FF5030">
        <w:rPr>
          <w:rFonts w:hAnsi="標楷體" w:hint="eastAsia"/>
          <w:b/>
        </w:rPr>
        <w:t>大聲</w:t>
      </w:r>
      <w:proofErr w:type="gramStart"/>
      <w:r w:rsidR="00FD7CA6" w:rsidRPr="00FF5030">
        <w:rPr>
          <w:rFonts w:hAnsi="標楷體" w:hint="eastAsia"/>
          <w:b/>
        </w:rPr>
        <w:t>回嗆很</w:t>
      </w:r>
      <w:proofErr w:type="gramEnd"/>
      <w:r w:rsidR="00FD7CA6" w:rsidRPr="00FF5030">
        <w:rPr>
          <w:rFonts w:hAnsi="標楷體" w:hint="eastAsia"/>
          <w:b/>
        </w:rPr>
        <w:t>不舒服</w:t>
      </w:r>
      <w:r w:rsidR="00131A9A" w:rsidRPr="00FF5030">
        <w:rPr>
          <w:rFonts w:hAnsi="標楷體" w:hint="eastAsia"/>
          <w:b/>
        </w:rPr>
        <w:t>，</w:t>
      </w:r>
      <w:r w:rsidR="00FD7CA6" w:rsidRPr="00FF5030">
        <w:rPr>
          <w:rFonts w:hAnsi="標楷體" w:hint="eastAsia"/>
          <w:b/>
        </w:rPr>
        <w:t>劉法官令法警以其</w:t>
      </w:r>
      <w:r w:rsidR="004C1540" w:rsidRPr="00FF5030">
        <w:rPr>
          <w:rFonts w:hAnsi="標楷體" w:hint="eastAsia"/>
          <w:b/>
        </w:rPr>
        <w:t>妨害公務</w:t>
      </w:r>
      <w:r w:rsidR="00131A9A" w:rsidRPr="00FF5030">
        <w:rPr>
          <w:rFonts w:hAnsi="標楷體" w:hint="eastAsia"/>
          <w:b/>
        </w:rPr>
        <w:t>現行犯</w:t>
      </w:r>
      <w:r w:rsidR="004C1540" w:rsidRPr="00FF5030">
        <w:rPr>
          <w:rFonts w:hAnsi="標楷體" w:hint="eastAsia"/>
          <w:b/>
        </w:rPr>
        <w:t>予以</w:t>
      </w:r>
      <w:r w:rsidR="00131A9A" w:rsidRPr="00FF5030">
        <w:rPr>
          <w:rFonts w:hAnsi="標楷體" w:hint="eastAsia"/>
          <w:b/>
        </w:rPr>
        <w:t>逮捕</w:t>
      </w:r>
      <w:r w:rsidR="004C1540" w:rsidRPr="00FF5030">
        <w:rPr>
          <w:rFonts w:hAnsi="標楷體" w:hint="eastAsia"/>
          <w:b/>
        </w:rPr>
        <w:t>，</w:t>
      </w:r>
      <w:r w:rsidR="00131A9A" w:rsidRPr="00FF5030">
        <w:rPr>
          <w:rFonts w:hAnsi="標楷體" w:hint="eastAsia"/>
          <w:b/>
        </w:rPr>
        <w:t>移送</w:t>
      </w:r>
      <w:proofErr w:type="gramStart"/>
      <w:r w:rsidR="00131A9A" w:rsidRPr="00FF5030">
        <w:rPr>
          <w:rFonts w:hAnsi="標楷體" w:hint="eastAsia"/>
          <w:b/>
        </w:rPr>
        <w:t>臺</w:t>
      </w:r>
      <w:proofErr w:type="gramEnd"/>
      <w:r w:rsidR="00131A9A" w:rsidRPr="00FF5030">
        <w:rPr>
          <w:rFonts w:hAnsi="標楷體" w:hint="eastAsia"/>
          <w:b/>
        </w:rPr>
        <w:t>北地檢署</w:t>
      </w:r>
      <w:r w:rsidR="00FD7CA6" w:rsidRPr="00FF5030">
        <w:rPr>
          <w:rFonts w:hAnsi="標楷體" w:hint="eastAsia"/>
          <w:b/>
        </w:rPr>
        <w:t>。</w:t>
      </w:r>
      <w:r w:rsidR="004C1540" w:rsidRPr="00FF5030">
        <w:rPr>
          <w:rFonts w:hAnsi="標楷體" w:hint="eastAsia"/>
          <w:b/>
        </w:rPr>
        <w:t>本案</w:t>
      </w:r>
      <w:r w:rsidRPr="00FF5030">
        <w:rPr>
          <w:rFonts w:hAnsi="標楷體" w:hint="eastAsia"/>
          <w:b/>
        </w:rPr>
        <w:t>嗣後</w:t>
      </w:r>
      <w:r w:rsidR="00131A9A" w:rsidRPr="00FF5030">
        <w:rPr>
          <w:rFonts w:hAnsi="標楷體" w:hint="eastAsia"/>
          <w:b/>
        </w:rPr>
        <w:t>判決陳姓被告公然侮辱罪有期徒刑3個月，</w:t>
      </w:r>
      <w:proofErr w:type="gramStart"/>
      <w:r w:rsidR="004C1540" w:rsidRPr="00FF5030">
        <w:rPr>
          <w:rFonts w:hAnsi="標楷體" w:hint="eastAsia"/>
          <w:b/>
        </w:rPr>
        <w:t>核屬逾</w:t>
      </w:r>
      <w:r w:rsidR="00131A9A" w:rsidRPr="00FF5030">
        <w:rPr>
          <w:rFonts w:hAnsi="標楷體" w:hint="eastAsia"/>
          <w:b/>
        </w:rPr>
        <w:t>越</w:t>
      </w:r>
      <w:proofErr w:type="gramEnd"/>
      <w:r w:rsidR="00131A9A" w:rsidRPr="00FF5030">
        <w:rPr>
          <w:rFonts w:hAnsi="標楷體" w:hint="eastAsia"/>
          <w:b/>
        </w:rPr>
        <w:t>法定刑度，劉法官</w:t>
      </w:r>
      <w:r w:rsidR="003124A0" w:rsidRPr="00FF5030">
        <w:rPr>
          <w:rFonts w:hAnsi="標楷體" w:hint="eastAsia"/>
          <w:b/>
        </w:rPr>
        <w:t>發現上情，</w:t>
      </w:r>
      <w:r w:rsidR="00131A9A" w:rsidRPr="00FF5030">
        <w:rPr>
          <w:rFonts w:hAnsi="標楷體" w:hint="eastAsia"/>
          <w:b/>
        </w:rPr>
        <w:t>自行</w:t>
      </w:r>
      <w:r w:rsidR="004C1540" w:rsidRPr="00FF5030">
        <w:rPr>
          <w:rFonts w:hAnsi="標楷體" w:hint="eastAsia"/>
          <w:b/>
        </w:rPr>
        <w:t>告知</w:t>
      </w:r>
      <w:proofErr w:type="gramStart"/>
      <w:r w:rsidR="00131A9A" w:rsidRPr="00FF5030">
        <w:rPr>
          <w:rFonts w:hAnsi="標楷體" w:hint="eastAsia"/>
          <w:b/>
        </w:rPr>
        <w:t>臺</w:t>
      </w:r>
      <w:proofErr w:type="gramEnd"/>
      <w:r w:rsidR="00131A9A" w:rsidRPr="00FF5030">
        <w:rPr>
          <w:rFonts w:hAnsi="標楷體" w:hint="eastAsia"/>
          <w:b/>
        </w:rPr>
        <w:t>北地檢署執行檢察官，</w:t>
      </w:r>
      <w:r w:rsidR="00FD7CA6" w:rsidRPr="00FF5030">
        <w:rPr>
          <w:rFonts w:hAnsi="標楷體" w:hint="eastAsia"/>
          <w:b/>
        </w:rPr>
        <w:t>經檢察總長提起非常上訴，再</w:t>
      </w:r>
      <w:r w:rsidR="00FD7CA6" w:rsidRPr="00FF5030">
        <w:rPr>
          <w:rFonts w:hAnsi="標楷體" w:cs="新細明體" w:hint="eastAsia"/>
          <w:b/>
        </w:rPr>
        <w:t>經最高法院</w:t>
      </w:r>
      <w:r w:rsidR="00FD7CA6" w:rsidRPr="00FF5030">
        <w:rPr>
          <w:rFonts w:hAnsi="標楷體" w:hint="eastAsia"/>
          <w:b/>
        </w:rPr>
        <w:t>改判</w:t>
      </w:r>
      <w:r w:rsidR="00FF5030" w:rsidRPr="00FF5030">
        <w:rPr>
          <w:rFonts w:hAnsi="標楷體" w:hint="eastAsia"/>
          <w:b/>
        </w:rPr>
        <w:t>「</w:t>
      </w:r>
      <w:r w:rsidR="00FD7CA6" w:rsidRPr="00FF5030">
        <w:rPr>
          <w:rFonts w:hAnsi="標楷體" w:hint="eastAsia"/>
          <w:b/>
        </w:rPr>
        <w:t>陳姓被告</w:t>
      </w:r>
      <w:r w:rsidR="004C1540" w:rsidRPr="00FF5030">
        <w:rPr>
          <w:rFonts w:hAnsi="標楷體" w:cs="新細明體" w:hint="eastAsia"/>
          <w:b/>
        </w:rPr>
        <w:t>罰金</w:t>
      </w:r>
      <w:r w:rsidR="00232BBB" w:rsidRPr="00FF5030">
        <w:rPr>
          <w:rFonts w:hint="eastAsia"/>
          <w:b/>
        </w:rPr>
        <w:t>新臺幣(下同</w:t>
      </w:r>
      <w:r w:rsidR="00232BBB" w:rsidRPr="00FF5030">
        <w:rPr>
          <w:b/>
        </w:rPr>
        <w:t>)</w:t>
      </w:r>
      <w:r w:rsidR="004C1540" w:rsidRPr="00FF5030">
        <w:rPr>
          <w:rFonts w:hAnsi="標楷體" w:cs="新細明體" w:hint="eastAsia"/>
          <w:b/>
        </w:rPr>
        <w:t>3</w:t>
      </w:r>
      <w:r w:rsidR="004C1540" w:rsidRPr="00FF5030">
        <w:rPr>
          <w:rFonts w:hAnsi="標楷體" w:cs="新細明體"/>
          <w:b/>
        </w:rPr>
        <w:t>,000</w:t>
      </w:r>
      <w:r w:rsidR="004C1540" w:rsidRPr="00FF5030">
        <w:rPr>
          <w:rFonts w:hAnsi="標楷體" w:cs="新細明體" w:hint="eastAsia"/>
          <w:b/>
        </w:rPr>
        <w:t>元，如易服勞役，以1</w:t>
      </w:r>
      <w:r w:rsidR="004C1540" w:rsidRPr="00FF5030">
        <w:rPr>
          <w:rFonts w:hAnsi="標楷體" w:cs="新細明體"/>
          <w:b/>
        </w:rPr>
        <w:t>,000</w:t>
      </w:r>
      <w:r w:rsidR="004C1540" w:rsidRPr="00FF5030">
        <w:rPr>
          <w:rFonts w:hAnsi="標楷體" w:cs="新細明體" w:hint="eastAsia"/>
          <w:b/>
        </w:rPr>
        <w:t>元折算壹日</w:t>
      </w:r>
      <w:r w:rsidR="00232BBB" w:rsidRPr="00FF5030">
        <w:rPr>
          <w:rFonts w:hAnsi="標楷體" w:cs="新細明體" w:hint="eastAsia"/>
          <w:b/>
        </w:rPr>
        <w:t>」</w:t>
      </w:r>
      <w:r w:rsidR="00FD7CA6" w:rsidRPr="00FF5030">
        <w:rPr>
          <w:rFonts w:hAnsi="標楷體" w:hint="eastAsia"/>
          <w:b/>
        </w:rPr>
        <w:t>，逾</w:t>
      </w:r>
      <w:r w:rsidR="00FD7CA6" w:rsidRPr="00FF5030">
        <w:rPr>
          <w:rFonts w:hAnsi="標楷體" w:cs="新細明體" w:hint="eastAsia"/>
          <w:b/>
        </w:rPr>
        <w:t>越法定刑度之判決雖經廢棄</w:t>
      </w:r>
      <w:r w:rsidR="00FD7CA6" w:rsidRPr="00FF5030">
        <w:rPr>
          <w:rFonts w:hAnsi="標楷體" w:hint="eastAsia"/>
          <w:b/>
        </w:rPr>
        <w:t>，惟</w:t>
      </w:r>
      <w:r w:rsidR="00FF5030" w:rsidRPr="00FF5030">
        <w:rPr>
          <w:rFonts w:hAnsi="標楷體" w:hint="eastAsia"/>
          <w:b/>
        </w:rPr>
        <w:t>上開經過</w:t>
      </w:r>
      <w:r w:rsidR="00FD7CA6" w:rsidRPr="00FF5030">
        <w:rPr>
          <w:rFonts w:hAnsi="標楷體" w:hint="eastAsia"/>
          <w:b/>
        </w:rPr>
        <w:t>引發民眾疑慮</w:t>
      </w:r>
      <w:r w:rsidRPr="00FF5030">
        <w:rPr>
          <w:rFonts w:hAnsi="標楷體" w:hint="eastAsia"/>
          <w:b/>
        </w:rPr>
        <w:t>，</w:t>
      </w:r>
      <w:proofErr w:type="gramStart"/>
      <w:r w:rsidR="0036758A">
        <w:rPr>
          <w:rFonts w:hAnsi="標楷體" w:hint="eastAsia"/>
          <w:b/>
        </w:rPr>
        <w:t>核</w:t>
      </w:r>
      <w:r w:rsidR="00FF5030" w:rsidRPr="00FF5030">
        <w:rPr>
          <w:rFonts w:hAnsi="標楷體" w:hint="eastAsia"/>
          <w:b/>
        </w:rPr>
        <w:t>屬</w:t>
      </w:r>
      <w:r w:rsidRPr="00FF5030">
        <w:rPr>
          <w:rFonts w:hAnsi="標楷體" w:hint="eastAsia"/>
          <w:b/>
        </w:rPr>
        <w:t>未</w:t>
      </w:r>
      <w:proofErr w:type="gramEnd"/>
      <w:r w:rsidRPr="00FF5030">
        <w:rPr>
          <w:rFonts w:hAnsi="標楷體" w:hint="eastAsia"/>
          <w:b/>
        </w:rPr>
        <w:t>當</w:t>
      </w:r>
      <w:r w:rsidR="00FD7CA6" w:rsidRPr="00FF5030">
        <w:rPr>
          <w:rFonts w:hAnsi="標楷體" w:hint="eastAsia"/>
          <w:b/>
        </w:rPr>
        <w:t xml:space="preserve"> </w:t>
      </w:r>
    </w:p>
    <w:p w:rsidR="0070110E" w:rsidRPr="00564BE5" w:rsidRDefault="00301457" w:rsidP="009E442D">
      <w:pPr>
        <w:pStyle w:val="3"/>
        <w:rPr>
          <w:rFonts w:hAnsi="標楷體"/>
        </w:rPr>
      </w:pPr>
      <w:r>
        <w:rPr>
          <w:rFonts w:hAnsi="標楷體" w:hint="eastAsia"/>
        </w:rPr>
        <w:t>按</w:t>
      </w:r>
      <w:r w:rsidR="00FD7CA6">
        <w:rPr>
          <w:rFonts w:hAnsi="標楷體" w:hint="eastAsia"/>
        </w:rPr>
        <w:t>刑法</w:t>
      </w:r>
      <w:r w:rsidR="00F5048A">
        <w:rPr>
          <w:rFonts w:hAnsi="標楷體" w:hint="eastAsia"/>
        </w:rPr>
        <w:t>第1</w:t>
      </w:r>
      <w:r w:rsidR="00F5048A">
        <w:rPr>
          <w:rFonts w:hAnsi="標楷體"/>
        </w:rPr>
        <w:t>35</w:t>
      </w:r>
      <w:r w:rsidR="00F5048A">
        <w:rPr>
          <w:rFonts w:hAnsi="標楷體" w:hint="eastAsia"/>
        </w:rPr>
        <w:t>條第1項規定：「</w:t>
      </w:r>
      <w:r w:rsidR="00F5048A" w:rsidRPr="00F5048A">
        <w:rPr>
          <w:rFonts w:hAnsi="標楷體" w:hint="eastAsia"/>
        </w:rPr>
        <w:t>對於公務員依法執行職務時，施強暴脅迫者，處</w:t>
      </w:r>
      <w:r w:rsidR="00F5048A">
        <w:rPr>
          <w:rFonts w:hAnsi="標楷體" w:hint="eastAsia"/>
        </w:rPr>
        <w:t>3</w:t>
      </w:r>
      <w:r w:rsidR="00F5048A" w:rsidRPr="00F5048A">
        <w:rPr>
          <w:rFonts w:hAnsi="標楷體" w:hint="eastAsia"/>
        </w:rPr>
        <w:t>年以下有期徒刑、拘役或</w:t>
      </w:r>
      <w:r w:rsidR="00F5048A">
        <w:rPr>
          <w:rFonts w:hAnsi="標楷體" w:hint="eastAsia"/>
        </w:rPr>
        <w:t>3</w:t>
      </w:r>
      <w:r w:rsidR="00F5048A">
        <w:rPr>
          <w:rFonts w:hAnsi="標楷體"/>
        </w:rPr>
        <w:t>0</w:t>
      </w:r>
      <w:r w:rsidR="00F5048A" w:rsidRPr="00F5048A">
        <w:rPr>
          <w:rFonts w:hAnsi="標楷體" w:hint="eastAsia"/>
        </w:rPr>
        <w:t>萬元以下罰金。</w:t>
      </w:r>
      <w:r w:rsidR="00F5048A">
        <w:rPr>
          <w:rFonts w:hAnsi="標楷體" w:hint="eastAsia"/>
        </w:rPr>
        <w:t>」</w:t>
      </w:r>
      <w:r w:rsidR="00FD7CA6">
        <w:rPr>
          <w:rFonts w:hAnsi="標楷體" w:hint="eastAsia"/>
        </w:rPr>
        <w:t>第</w:t>
      </w:r>
      <w:r w:rsidR="00232BBB">
        <w:rPr>
          <w:rFonts w:hAnsi="標楷體" w:hint="eastAsia"/>
        </w:rPr>
        <w:t>3</w:t>
      </w:r>
      <w:r w:rsidR="00232BBB">
        <w:rPr>
          <w:rFonts w:hAnsi="標楷體"/>
        </w:rPr>
        <w:t>09</w:t>
      </w:r>
      <w:r w:rsidR="00FD7CA6">
        <w:rPr>
          <w:rFonts w:hAnsi="標楷體" w:hint="eastAsia"/>
        </w:rPr>
        <w:t>條規定：「</w:t>
      </w:r>
      <w:r w:rsidR="00AC6F2E" w:rsidRPr="00AC6F2E">
        <w:rPr>
          <w:rFonts w:hAnsi="標楷體" w:hint="eastAsia"/>
        </w:rPr>
        <w:t>公然侮辱人者，處拘役或</w:t>
      </w:r>
      <w:r w:rsidR="00AC6F2E">
        <w:rPr>
          <w:rFonts w:hAnsi="標楷體" w:hint="eastAsia"/>
        </w:rPr>
        <w:t>9</w:t>
      </w:r>
      <w:r w:rsidR="00AC6F2E">
        <w:rPr>
          <w:rFonts w:hAnsi="標楷體" w:cs="新細明體"/>
        </w:rPr>
        <w:t>,</w:t>
      </w:r>
      <w:r w:rsidR="00AC6F2E">
        <w:rPr>
          <w:rFonts w:hAnsi="標楷體"/>
        </w:rPr>
        <w:t>000</w:t>
      </w:r>
      <w:r w:rsidR="00AC6F2E" w:rsidRPr="00AC6F2E">
        <w:rPr>
          <w:rFonts w:hAnsi="標楷體" w:hint="eastAsia"/>
        </w:rPr>
        <w:t>元以下罰金</w:t>
      </w:r>
      <w:r w:rsidR="00AC6F2E">
        <w:rPr>
          <w:rFonts w:hAnsi="標楷體" w:hint="eastAsia"/>
        </w:rPr>
        <w:t>(第1項</w:t>
      </w:r>
      <w:r w:rsidR="00AC6F2E">
        <w:rPr>
          <w:rFonts w:hAnsi="標楷體"/>
        </w:rPr>
        <w:t>)</w:t>
      </w:r>
      <w:r w:rsidR="00AC6F2E" w:rsidRPr="00AC6F2E">
        <w:rPr>
          <w:rFonts w:hAnsi="標楷體" w:hint="eastAsia"/>
        </w:rPr>
        <w:t>。以強暴犯前項之罪者，處</w:t>
      </w:r>
      <w:r w:rsidR="0005657E">
        <w:rPr>
          <w:rFonts w:hAnsi="標楷體" w:hint="eastAsia"/>
        </w:rPr>
        <w:t>1</w:t>
      </w:r>
      <w:r w:rsidR="00AC6F2E" w:rsidRPr="00AC6F2E">
        <w:rPr>
          <w:rFonts w:hAnsi="標楷體" w:hint="eastAsia"/>
        </w:rPr>
        <w:t>年以下有期徒刑、拘役或</w:t>
      </w:r>
      <w:r w:rsidR="00AC6F2E">
        <w:rPr>
          <w:rFonts w:hAnsi="標楷體" w:hint="eastAsia"/>
        </w:rPr>
        <w:t>1</w:t>
      </w:r>
      <w:r w:rsidR="00AC6F2E">
        <w:rPr>
          <w:rFonts w:hAnsi="標楷體"/>
        </w:rPr>
        <w:t>5</w:t>
      </w:r>
      <w:r w:rsidR="00AC6F2E">
        <w:rPr>
          <w:rFonts w:hAnsi="標楷體" w:cs="新細明體"/>
        </w:rPr>
        <w:t>,</w:t>
      </w:r>
      <w:r w:rsidR="00AC6F2E">
        <w:rPr>
          <w:rFonts w:hAnsi="標楷體"/>
        </w:rPr>
        <w:t>000</w:t>
      </w:r>
      <w:r w:rsidR="00AC6F2E" w:rsidRPr="00AC6F2E">
        <w:rPr>
          <w:rFonts w:hAnsi="標楷體" w:hint="eastAsia"/>
        </w:rPr>
        <w:t>元以下罰金</w:t>
      </w:r>
      <w:r w:rsidR="00AC6F2E">
        <w:rPr>
          <w:rFonts w:hAnsi="標楷體"/>
        </w:rPr>
        <w:t>(</w:t>
      </w:r>
      <w:r w:rsidR="00AC6F2E">
        <w:rPr>
          <w:rFonts w:hAnsi="標楷體" w:hint="eastAsia"/>
        </w:rPr>
        <w:t>第2項</w:t>
      </w:r>
      <w:r w:rsidR="00AC6F2E">
        <w:rPr>
          <w:rFonts w:hAnsi="標楷體"/>
        </w:rPr>
        <w:t>)</w:t>
      </w:r>
      <w:r w:rsidR="00AC6F2E" w:rsidRPr="00AC6F2E">
        <w:rPr>
          <w:rFonts w:hAnsi="標楷體" w:hint="eastAsia"/>
        </w:rPr>
        <w:t>。</w:t>
      </w:r>
      <w:r w:rsidR="00FD7CA6">
        <w:rPr>
          <w:rFonts w:hAnsi="標楷體" w:hint="eastAsia"/>
        </w:rPr>
        <w:t>」刑事訴訟法第</w:t>
      </w:r>
      <w:r w:rsidR="0005657E">
        <w:rPr>
          <w:rFonts w:hAnsi="標楷體" w:hint="eastAsia"/>
        </w:rPr>
        <w:t>4</w:t>
      </w:r>
      <w:r w:rsidR="0005657E">
        <w:rPr>
          <w:rFonts w:hAnsi="標楷體"/>
        </w:rPr>
        <w:t>41</w:t>
      </w:r>
      <w:r w:rsidR="00FD7CA6">
        <w:rPr>
          <w:rFonts w:hAnsi="標楷體" w:hint="eastAsia"/>
        </w:rPr>
        <w:t>條規定：「</w:t>
      </w:r>
      <w:r w:rsidR="0005657E" w:rsidRPr="0005657E">
        <w:rPr>
          <w:rFonts w:hAnsi="標楷體" w:hint="eastAsia"/>
        </w:rPr>
        <w:t>判決確定後，</w:t>
      </w:r>
      <w:proofErr w:type="gramStart"/>
      <w:r w:rsidR="0005657E" w:rsidRPr="0005657E">
        <w:rPr>
          <w:rFonts w:hAnsi="標楷體" w:hint="eastAsia"/>
        </w:rPr>
        <w:t>發見該</w:t>
      </w:r>
      <w:proofErr w:type="gramEnd"/>
      <w:r w:rsidR="0005657E" w:rsidRPr="0005657E">
        <w:rPr>
          <w:rFonts w:hAnsi="標楷體" w:hint="eastAsia"/>
        </w:rPr>
        <w:t>案件之審判係違背法令者，最高檢察署檢察總長得向最高法院提起非常上訴</w:t>
      </w:r>
      <w:r w:rsidR="00773007">
        <w:rPr>
          <w:rFonts w:hAnsi="標楷體" w:hint="eastAsia"/>
        </w:rPr>
        <w:t>。</w:t>
      </w:r>
      <w:r w:rsidR="00FD7CA6">
        <w:rPr>
          <w:rFonts w:hAnsi="標楷體" w:hint="eastAsia"/>
        </w:rPr>
        <w:t>」第</w:t>
      </w:r>
      <w:r w:rsidR="00773007">
        <w:rPr>
          <w:rFonts w:hAnsi="標楷體" w:hint="eastAsia"/>
        </w:rPr>
        <w:t>4</w:t>
      </w:r>
      <w:r w:rsidR="00773007">
        <w:rPr>
          <w:rFonts w:hAnsi="標楷體"/>
        </w:rPr>
        <w:t>47</w:t>
      </w:r>
      <w:r w:rsidR="00FD7CA6">
        <w:rPr>
          <w:rFonts w:hAnsi="標楷體" w:hint="eastAsia"/>
        </w:rPr>
        <w:t>條</w:t>
      </w:r>
      <w:r w:rsidR="00773007">
        <w:rPr>
          <w:rFonts w:hAnsi="標楷體" w:hint="eastAsia"/>
        </w:rPr>
        <w:t>第1項</w:t>
      </w:r>
      <w:r w:rsidR="00FD7CA6">
        <w:rPr>
          <w:rFonts w:hAnsi="標楷體" w:hint="eastAsia"/>
        </w:rPr>
        <w:t>規定：「</w:t>
      </w:r>
      <w:r w:rsidR="00773007" w:rsidRPr="00773007">
        <w:rPr>
          <w:rFonts w:hAnsi="標楷體" w:hint="eastAsia"/>
        </w:rPr>
        <w:t>認為非常上訴有理由者，應分別為左列之判決：一、原判決違背法令者，將其違背之部分撤銷。但原判決不利於被告者，應就該案件另行判決。二、訴訟程序違背法令者，撤銷其程序。</w:t>
      </w:r>
      <w:r w:rsidR="00FD7CA6">
        <w:rPr>
          <w:rFonts w:hAnsi="標楷體" w:hint="eastAsia"/>
        </w:rPr>
        <w:t>」</w:t>
      </w:r>
    </w:p>
    <w:p w:rsidR="00301457" w:rsidRPr="00564BE5" w:rsidRDefault="00301457" w:rsidP="00301457">
      <w:pPr>
        <w:pStyle w:val="3"/>
        <w:rPr>
          <w:rFonts w:hAnsi="標楷體"/>
        </w:rPr>
      </w:pPr>
      <w:r>
        <w:rPr>
          <w:rFonts w:hAnsi="標楷體" w:hint="eastAsia"/>
        </w:rPr>
        <w:t>查</w:t>
      </w:r>
      <w:proofErr w:type="gramStart"/>
      <w:r w:rsidR="00CF4FF5">
        <w:rPr>
          <w:rFonts w:hAnsi="標楷體" w:hint="eastAsia"/>
        </w:rPr>
        <w:t>臺</w:t>
      </w:r>
      <w:proofErr w:type="gramEnd"/>
      <w:r w:rsidR="00CF4FF5">
        <w:rPr>
          <w:rFonts w:hAnsi="標楷體" w:hint="eastAsia"/>
        </w:rPr>
        <w:t>北地院劉法官審理本案時，訂於</w:t>
      </w:r>
      <w:r w:rsidR="0057400A" w:rsidRPr="0057400A">
        <w:rPr>
          <w:rFonts w:hAnsi="標楷體" w:hint="eastAsia"/>
        </w:rPr>
        <w:t>112年6月1日進行準備程序，</w:t>
      </w:r>
      <w:r w:rsidR="00CF4FF5">
        <w:rPr>
          <w:rFonts w:hAnsi="標楷體" w:hint="eastAsia"/>
        </w:rPr>
        <w:t>陳姓被告</w:t>
      </w:r>
      <w:proofErr w:type="gramStart"/>
      <w:r w:rsidR="00CF4FF5">
        <w:rPr>
          <w:rFonts w:hAnsi="標楷體" w:hint="eastAsia"/>
        </w:rPr>
        <w:t>到庭並</w:t>
      </w:r>
      <w:r w:rsidR="0057400A" w:rsidRPr="0057400A">
        <w:rPr>
          <w:rFonts w:hAnsi="標楷體" w:hint="eastAsia"/>
        </w:rPr>
        <w:t>否認</w:t>
      </w:r>
      <w:proofErr w:type="gramEnd"/>
      <w:r w:rsidR="0057400A" w:rsidRPr="0057400A">
        <w:rPr>
          <w:rFonts w:hAnsi="標楷體" w:hint="eastAsia"/>
        </w:rPr>
        <w:t>犯行，稱</w:t>
      </w:r>
      <w:proofErr w:type="gramStart"/>
      <w:r w:rsidR="0057400A" w:rsidRPr="0057400A">
        <w:rPr>
          <w:rFonts w:hAnsi="標楷體" w:hint="eastAsia"/>
        </w:rPr>
        <w:t>其係罵</w:t>
      </w:r>
      <w:r w:rsidR="00CF4FF5" w:rsidRPr="00CF4FF5">
        <w:rPr>
          <w:rFonts w:hAnsi="標楷體" w:hint="eastAsia"/>
        </w:rPr>
        <w:t>台灣中油股份有限公司</w:t>
      </w:r>
      <w:proofErr w:type="gramEnd"/>
      <w:r w:rsidR="0057400A" w:rsidRPr="0057400A">
        <w:rPr>
          <w:rFonts w:hAnsi="標楷體" w:hint="eastAsia"/>
        </w:rPr>
        <w:t>，並非針對</w:t>
      </w:r>
      <w:r w:rsidR="00CF4FF5">
        <w:rPr>
          <w:rFonts w:hAnsi="標楷體" w:hint="eastAsia"/>
        </w:rPr>
        <w:t>該公司加油站之</w:t>
      </w:r>
      <w:r w:rsidR="00CF4FF5" w:rsidRPr="0057400A">
        <w:rPr>
          <w:rFonts w:hAnsi="標楷體" w:hint="eastAsia"/>
        </w:rPr>
        <w:lastRenderedPageBreak/>
        <w:t>許</w:t>
      </w:r>
      <w:r w:rsidR="00CF4FF5">
        <w:rPr>
          <w:rFonts w:hAnsi="標楷體" w:hint="eastAsia"/>
        </w:rPr>
        <w:t>姓</w:t>
      </w:r>
      <w:r w:rsidR="0057400A" w:rsidRPr="0057400A">
        <w:rPr>
          <w:rFonts w:hAnsi="標楷體" w:hint="eastAsia"/>
        </w:rPr>
        <w:t>工讀生。準備程序末，</w:t>
      </w:r>
      <w:r w:rsidR="00CF4FF5">
        <w:rPr>
          <w:rFonts w:hAnsi="標楷體" w:hint="eastAsia"/>
        </w:rPr>
        <w:t>陳姓被告</w:t>
      </w:r>
      <w:r w:rsidR="0057400A" w:rsidRPr="0057400A">
        <w:rPr>
          <w:rFonts w:hAnsi="標楷體" w:hint="eastAsia"/>
        </w:rPr>
        <w:t>向劉法官表示：「你講話那麼</w:t>
      </w:r>
      <w:proofErr w:type="gramStart"/>
      <w:r w:rsidR="0057400A" w:rsidRPr="0057400A">
        <w:rPr>
          <w:rFonts w:hAnsi="標楷體" w:hint="eastAsia"/>
        </w:rPr>
        <w:t>兇</w:t>
      </w:r>
      <w:proofErr w:type="gramEnd"/>
      <w:r w:rsidR="0057400A" w:rsidRPr="0057400A">
        <w:rPr>
          <w:rFonts w:hAnsi="標楷體" w:hint="eastAsia"/>
        </w:rPr>
        <w:t>，我實在不以為然</w:t>
      </w:r>
      <w:r w:rsidR="00AE3707">
        <w:rPr>
          <w:rFonts w:hAnsi="標楷體" w:hint="eastAsia"/>
        </w:rPr>
        <w:t>。</w:t>
      </w:r>
      <w:r w:rsidR="0057400A" w:rsidRPr="0057400A">
        <w:rPr>
          <w:rFonts w:hAnsi="標楷體" w:hint="eastAsia"/>
        </w:rPr>
        <w:t>」劉法官答稱：「那你要先看你自己的態度嘛，你先看自己的態度嘛，你那回話是什麼態度？」</w:t>
      </w:r>
      <w:r w:rsidR="00CF4FF5">
        <w:rPr>
          <w:rFonts w:hAnsi="標楷體" w:hint="eastAsia"/>
        </w:rPr>
        <w:t>陳姓被告</w:t>
      </w:r>
      <w:r w:rsidR="0057400A" w:rsidRPr="0057400A">
        <w:rPr>
          <w:rFonts w:hAnsi="標楷體" w:hint="eastAsia"/>
        </w:rPr>
        <w:t>再說：「你坐在那邊你公堂耶，你那麼</w:t>
      </w:r>
      <w:proofErr w:type="gramStart"/>
      <w:r w:rsidR="0057400A" w:rsidRPr="0057400A">
        <w:rPr>
          <w:rFonts w:hAnsi="標楷體" w:hint="eastAsia"/>
        </w:rPr>
        <w:t>兇</w:t>
      </w:r>
      <w:proofErr w:type="gramEnd"/>
      <w:r w:rsidR="0057400A" w:rsidRPr="0057400A">
        <w:rPr>
          <w:rFonts w:hAnsi="標楷體" w:hint="eastAsia"/>
        </w:rPr>
        <w:t>不嚇死人嗎？我們到法院來就已經很低頭了好不好，非常不高興、非常不高興(極大聲)，什麼態度啊！？」劉法官遂令法警</w:t>
      </w:r>
      <w:r w:rsidR="00AE3707">
        <w:rPr>
          <w:rFonts w:hAnsi="標楷體" w:hint="eastAsia"/>
        </w:rPr>
        <w:t>以</w:t>
      </w:r>
      <w:r w:rsidR="00AE3707" w:rsidRPr="000E5002">
        <w:rPr>
          <w:rFonts w:hAnsi="標楷體" w:hint="eastAsia"/>
        </w:rPr>
        <w:t>妨害</w:t>
      </w:r>
      <w:r w:rsidR="00AE3707">
        <w:rPr>
          <w:rFonts w:hAnsi="標楷體" w:hint="eastAsia"/>
        </w:rPr>
        <w:t>公務現行犯將</w:t>
      </w:r>
      <w:r w:rsidR="00CF4FF5">
        <w:rPr>
          <w:rFonts w:hAnsi="標楷體" w:hint="eastAsia"/>
        </w:rPr>
        <w:t>陳姓被告</w:t>
      </w:r>
      <w:r w:rsidR="00AE3707" w:rsidRPr="0057400A">
        <w:rPr>
          <w:rFonts w:hAnsi="標楷體" w:hint="eastAsia"/>
        </w:rPr>
        <w:t>當庭逮捕</w:t>
      </w:r>
      <w:r w:rsidR="0057400A" w:rsidRPr="0057400A">
        <w:rPr>
          <w:rFonts w:hAnsi="標楷體" w:hint="eastAsia"/>
        </w:rPr>
        <w:t>，移送</w:t>
      </w:r>
      <w:proofErr w:type="gramStart"/>
      <w:r w:rsidR="0057400A" w:rsidRPr="0057400A">
        <w:rPr>
          <w:rFonts w:hAnsi="標楷體" w:hint="eastAsia"/>
        </w:rPr>
        <w:t>臺</w:t>
      </w:r>
      <w:proofErr w:type="gramEnd"/>
      <w:r w:rsidR="0057400A" w:rsidRPr="0057400A">
        <w:rPr>
          <w:rFonts w:hAnsi="標楷體" w:hint="eastAsia"/>
        </w:rPr>
        <w:t>北地檢署。</w:t>
      </w:r>
      <w:proofErr w:type="gramStart"/>
      <w:r w:rsidR="009A265B">
        <w:rPr>
          <w:rFonts w:hAnsi="標楷體" w:hint="eastAsia"/>
        </w:rPr>
        <w:t>嗣</w:t>
      </w:r>
      <w:proofErr w:type="gramEnd"/>
      <w:r w:rsidR="00804FD0">
        <w:rPr>
          <w:rFonts w:hAnsi="標楷體" w:hint="eastAsia"/>
        </w:rPr>
        <w:t>劉法官</w:t>
      </w:r>
      <w:r w:rsidR="009A265B" w:rsidRPr="00564BE5">
        <w:rPr>
          <w:rFonts w:hAnsi="標楷體" w:cs="新細明體" w:hint="eastAsia"/>
        </w:rPr>
        <w:t>訂</w:t>
      </w:r>
      <w:r w:rsidR="00AE3707">
        <w:rPr>
          <w:rFonts w:hAnsi="標楷體" w:cs="新細明體" w:hint="eastAsia"/>
        </w:rPr>
        <w:t>本案</w:t>
      </w:r>
      <w:r w:rsidR="009A265B" w:rsidRPr="00564BE5">
        <w:rPr>
          <w:rFonts w:hAnsi="標楷體" w:cs="新細明體" w:hint="eastAsia"/>
        </w:rPr>
        <w:t>於</w:t>
      </w:r>
      <w:proofErr w:type="gramStart"/>
      <w:r w:rsidR="009A265B" w:rsidRPr="00564BE5">
        <w:rPr>
          <w:rFonts w:hAnsi="標楷體" w:cs="新細明體" w:hint="eastAsia"/>
        </w:rPr>
        <w:t>112</w:t>
      </w:r>
      <w:proofErr w:type="gramEnd"/>
      <w:r w:rsidR="009A265B" w:rsidRPr="00564BE5">
        <w:rPr>
          <w:rFonts w:hAnsi="標楷體" w:cs="新細明體" w:hint="eastAsia"/>
        </w:rPr>
        <w:t>月6月13日進行宣判，</w:t>
      </w:r>
      <w:r w:rsidR="00804FD0">
        <w:rPr>
          <w:rFonts w:hAnsi="標楷體" w:cs="新細明體" w:hint="eastAsia"/>
        </w:rPr>
        <w:t>以</w:t>
      </w:r>
      <w:r w:rsidR="00AE3707">
        <w:rPr>
          <w:rFonts w:hAnsi="標楷體" w:cs="新細明體" w:hint="eastAsia"/>
        </w:rPr>
        <w:t>陳姓</w:t>
      </w:r>
      <w:r w:rsidR="009A265B" w:rsidRPr="00564BE5">
        <w:rPr>
          <w:rFonts w:hAnsi="標楷體" w:cs="新細明體" w:hint="eastAsia"/>
        </w:rPr>
        <w:t>被告犯刑法第309條第1項公然侮辱罪，處有期徒刑3月，得易科罰金</w:t>
      </w:r>
      <w:r w:rsidR="00804FD0">
        <w:rPr>
          <w:rFonts w:hAnsi="標楷體" w:cs="新細明體" w:hint="eastAsia"/>
        </w:rPr>
        <w:t>(下稱原判決</w:t>
      </w:r>
      <w:r w:rsidR="00804FD0">
        <w:rPr>
          <w:rFonts w:hAnsi="標楷體" w:cs="新細明體"/>
        </w:rPr>
        <w:t>)</w:t>
      </w:r>
      <w:r w:rsidR="009A265B" w:rsidRPr="00564BE5">
        <w:rPr>
          <w:rFonts w:hAnsi="標楷體" w:cs="新細明體" w:hint="eastAsia"/>
        </w:rPr>
        <w:t>。</w:t>
      </w:r>
      <w:proofErr w:type="gramStart"/>
      <w:r w:rsidR="009A265B" w:rsidRPr="00564BE5">
        <w:rPr>
          <w:rFonts w:hAnsi="標楷體" w:cs="新細明體" w:hint="eastAsia"/>
        </w:rPr>
        <w:t>嗣</w:t>
      </w:r>
      <w:proofErr w:type="gramEnd"/>
      <w:r w:rsidR="009A265B" w:rsidRPr="00564BE5">
        <w:rPr>
          <w:rFonts w:hAnsi="標楷體" w:cs="新細明體" w:hint="eastAsia"/>
        </w:rPr>
        <w:t>因</w:t>
      </w:r>
      <w:r w:rsidR="00CF4FF5">
        <w:rPr>
          <w:rFonts w:hAnsi="標楷體" w:hint="eastAsia"/>
        </w:rPr>
        <w:t>陳姓被告</w:t>
      </w:r>
      <w:r w:rsidR="009A265B" w:rsidRPr="00564BE5">
        <w:rPr>
          <w:rFonts w:hAnsi="標楷體" w:cs="新細明體" w:hint="eastAsia"/>
        </w:rPr>
        <w:t>、</w:t>
      </w:r>
      <w:proofErr w:type="gramStart"/>
      <w:r w:rsidR="009A265B" w:rsidRPr="00564BE5">
        <w:rPr>
          <w:rFonts w:hAnsi="標楷體" w:cs="新細明體" w:hint="eastAsia"/>
        </w:rPr>
        <w:t>檢察官均未上訴</w:t>
      </w:r>
      <w:proofErr w:type="gramEnd"/>
      <w:r w:rsidR="00AE3707">
        <w:rPr>
          <w:rFonts w:hAnsi="標楷體" w:cs="新細明體" w:hint="eastAsia"/>
        </w:rPr>
        <w:t>，該案</w:t>
      </w:r>
      <w:proofErr w:type="gramStart"/>
      <w:r w:rsidR="00AE3707">
        <w:rPr>
          <w:rFonts w:hAnsi="標楷體" w:cs="新細明體" w:hint="eastAsia"/>
        </w:rPr>
        <w:t>爰</w:t>
      </w:r>
      <w:proofErr w:type="gramEnd"/>
      <w:r w:rsidR="00AE3707">
        <w:rPr>
          <w:rFonts w:hAnsi="標楷體" w:cs="新細明體" w:hint="eastAsia"/>
        </w:rPr>
        <w:t>於</w:t>
      </w:r>
      <w:r w:rsidR="009A265B" w:rsidRPr="00564BE5">
        <w:rPr>
          <w:rFonts w:hAnsi="標楷體" w:cs="新細明體" w:hint="eastAsia"/>
        </w:rPr>
        <w:t>同年7月25日確定，移由</w:t>
      </w:r>
      <w:proofErr w:type="gramStart"/>
      <w:r w:rsidR="009A265B" w:rsidRPr="00564BE5">
        <w:rPr>
          <w:rFonts w:hAnsi="標楷體" w:cs="新細明體" w:hint="eastAsia"/>
        </w:rPr>
        <w:t>臺</w:t>
      </w:r>
      <w:proofErr w:type="gramEnd"/>
      <w:r w:rsidR="009A265B" w:rsidRPr="00564BE5">
        <w:rPr>
          <w:rFonts w:hAnsi="標楷體" w:cs="新細明體" w:hint="eastAsia"/>
        </w:rPr>
        <w:t>北地檢署檢察官執行</w:t>
      </w:r>
      <w:r w:rsidR="00AE3707">
        <w:rPr>
          <w:rFonts w:hAnsi="標楷體" w:cs="新細明體" w:hint="eastAsia"/>
        </w:rPr>
        <w:t>。</w:t>
      </w:r>
    </w:p>
    <w:p w:rsidR="00301457" w:rsidRPr="00564BE5" w:rsidRDefault="00301457" w:rsidP="00301457">
      <w:pPr>
        <w:pStyle w:val="3"/>
        <w:rPr>
          <w:rFonts w:hAnsi="標楷體"/>
        </w:rPr>
      </w:pPr>
      <w:proofErr w:type="gramStart"/>
      <w:r>
        <w:rPr>
          <w:rFonts w:hAnsi="標楷體" w:hint="eastAsia"/>
        </w:rPr>
        <w:t>惟查</w:t>
      </w:r>
      <w:proofErr w:type="gramEnd"/>
      <w:r>
        <w:rPr>
          <w:rFonts w:hAnsi="標楷體" w:hint="eastAsia"/>
        </w:rPr>
        <w:t>，</w:t>
      </w:r>
      <w:r w:rsidR="009A265B" w:rsidRPr="00564BE5">
        <w:rPr>
          <w:rFonts w:hint="eastAsia"/>
        </w:rPr>
        <w:t>刑法第309條第1項法定</w:t>
      </w:r>
      <w:r w:rsidR="00B61450">
        <w:rPr>
          <w:rFonts w:hint="eastAsia"/>
        </w:rPr>
        <w:t>刑</w:t>
      </w:r>
      <w:r w:rsidR="009A265B" w:rsidRPr="00564BE5">
        <w:rPr>
          <w:rFonts w:hint="eastAsia"/>
        </w:rPr>
        <w:t>為「處拘役或</w:t>
      </w:r>
      <w:r w:rsidR="009A265B">
        <w:rPr>
          <w:rFonts w:hint="eastAsia"/>
        </w:rPr>
        <w:t>9</w:t>
      </w:r>
      <w:r w:rsidR="009A265B">
        <w:t>,000</w:t>
      </w:r>
      <w:r w:rsidR="009A265B" w:rsidRPr="00564BE5">
        <w:rPr>
          <w:rFonts w:hint="eastAsia"/>
        </w:rPr>
        <w:t>元以下罰金」，</w:t>
      </w:r>
      <w:proofErr w:type="gramStart"/>
      <w:r w:rsidR="00B61450">
        <w:rPr>
          <w:rFonts w:hint="eastAsia"/>
        </w:rPr>
        <w:t>足徵該</w:t>
      </w:r>
      <w:proofErr w:type="gramEnd"/>
      <w:r w:rsidR="00B61450">
        <w:rPr>
          <w:rFonts w:hint="eastAsia"/>
        </w:rPr>
        <w:t>罪</w:t>
      </w:r>
      <w:r w:rsidR="009A265B" w:rsidRPr="00564BE5">
        <w:rPr>
          <w:rFonts w:hint="eastAsia"/>
        </w:rPr>
        <w:t>不得判處有期徒刑，</w:t>
      </w:r>
      <w:r w:rsidR="00B61450">
        <w:rPr>
          <w:rFonts w:hint="eastAsia"/>
        </w:rPr>
        <w:t>而</w:t>
      </w:r>
      <w:r w:rsidR="009A265B">
        <w:rPr>
          <w:rFonts w:hint="eastAsia"/>
        </w:rPr>
        <w:t>劉法官</w:t>
      </w:r>
      <w:r w:rsidR="00D34368">
        <w:rPr>
          <w:rFonts w:hint="eastAsia"/>
        </w:rPr>
        <w:t>卻</w:t>
      </w:r>
      <w:r w:rsidR="009A265B" w:rsidRPr="00564BE5">
        <w:rPr>
          <w:rFonts w:hint="eastAsia"/>
        </w:rPr>
        <w:t>判處</w:t>
      </w:r>
      <w:r w:rsidR="00CF4FF5">
        <w:rPr>
          <w:rFonts w:hint="eastAsia"/>
        </w:rPr>
        <w:t>陳姓被告</w:t>
      </w:r>
      <w:r w:rsidR="00B61450">
        <w:rPr>
          <w:rFonts w:hint="eastAsia"/>
        </w:rPr>
        <w:t>「</w:t>
      </w:r>
      <w:r w:rsidR="009A265B" w:rsidRPr="00564BE5">
        <w:rPr>
          <w:rFonts w:hint="eastAsia"/>
        </w:rPr>
        <w:t>有期徒刑3月</w:t>
      </w:r>
      <w:r w:rsidR="00B61450" w:rsidRPr="00564BE5">
        <w:rPr>
          <w:rFonts w:hAnsi="標楷體" w:cs="新細明體" w:hint="eastAsia"/>
        </w:rPr>
        <w:t>，得易科罰金</w:t>
      </w:r>
      <w:r w:rsidR="00B61450">
        <w:rPr>
          <w:rFonts w:hint="eastAsia"/>
        </w:rPr>
        <w:t>」</w:t>
      </w:r>
      <w:r w:rsidR="009A265B" w:rsidRPr="00564BE5">
        <w:rPr>
          <w:rFonts w:hint="eastAsia"/>
        </w:rPr>
        <w:t>，</w:t>
      </w:r>
      <w:r w:rsidR="00B61450">
        <w:rPr>
          <w:rFonts w:hint="eastAsia"/>
        </w:rPr>
        <w:t>顯</w:t>
      </w:r>
      <w:r w:rsidR="009A265B" w:rsidRPr="00564BE5">
        <w:rPr>
          <w:rFonts w:hint="eastAsia"/>
        </w:rPr>
        <w:t>逾越法定刑度。劉</w:t>
      </w:r>
      <w:proofErr w:type="gramStart"/>
      <w:r w:rsidR="009A265B" w:rsidRPr="00564BE5">
        <w:rPr>
          <w:rFonts w:hint="eastAsia"/>
        </w:rPr>
        <w:t>法官</w:t>
      </w:r>
      <w:r w:rsidR="00D34368">
        <w:rPr>
          <w:rFonts w:hint="eastAsia"/>
        </w:rPr>
        <w:t>固於</w:t>
      </w:r>
      <w:r w:rsidR="009A265B" w:rsidRPr="00564BE5">
        <w:rPr>
          <w:rFonts w:hint="eastAsia"/>
        </w:rPr>
        <w:t>嗣後</w:t>
      </w:r>
      <w:proofErr w:type="gramEnd"/>
      <w:r w:rsidR="00D34368">
        <w:rPr>
          <w:rFonts w:hint="eastAsia"/>
        </w:rPr>
        <w:t>通</w:t>
      </w:r>
      <w:r w:rsidR="009A265B" w:rsidRPr="00564BE5">
        <w:rPr>
          <w:rFonts w:hint="eastAsia"/>
        </w:rPr>
        <w:t>知</w:t>
      </w:r>
      <w:proofErr w:type="gramStart"/>
      <w:r w:rsidR="009A265B" w:rsidRPr="00564BE5">
        <w:rPr>
          <w:rFonts w:hint="eastAsia"/>
        </w:rPr>
        <w:t>臺</w:t>
      </w:r>
      <w:proofErr w:type="gramEnd"/>
      <w:r w:rsidR="009A265B" w:rsidRPr="00564BE5">
        <w:rPr>
          <w:rFonts w:hint="eastAsia"/>
        </w:rPr>
        <w:t>北地檢署執行檢察官上情</w:t>
      </w:r>
      <w:r w:rsidR="009A265B" w:rsidRPr="00564BE5">
        <w:rPr>
          <w:rStyle w:val="aff"/>
          <w:rFonts w:hAnsi="標楷體" w:cs="新細明體"/>
        </w:rPr>
        <w:footnoteReference w:id="1"/>
      </w:r>
      <w:r w:rsidR="009A265B" w:rsidRPr="00564BE5">
        <w:rPr>
          <w:rFonts w:hint="eastAsia"/>
        </w:rPr>
        <w:t>，</w:t>
      </w:r>
      <w:proofErr w:type="gramStart"/>
      <w:r w:rsidR="009A265B" w:rsidRPr="00564BE5">
        <w:rPr>
          <w:rFonts w:hint="eastAsia"/>
        </w:rPr>
        <w:t>臺</w:t>
      </w:r>
      <w:proofErr w:type="gramEnd"/>
      <w:r w:rsidR="009A265B" w:rsidRPr="00564BE5">
        <w:rPr>
          <w:rFonts w:hint="eastAsia"/>
        </w:rPr>
        <w:t>北地檢署</w:t>
      </w:r>
      <w:proofErr w:type="gramStart"/>
      <w:r w:rsidR="00D34368">
        <w:rPr>
          <w:rFonts w:hint="eastAsia"/>
        </w:rPr>
        <w:t>爰</w:t>
      </w:r>
      <w:r w:rsidR="009A265B" w:rsidRPr="00C06310">
        <w:rPr>
          <w:rFonts w:hint="eastAsia"/>
        </w:rPr>
        <w:t>檢陳本案案卷暨聲請</w:t>
      </w:r>
      <w:proofErr w:type="gramEnd"/>
      <w:r w:rsidR="009A265B" w:rsidRPr="00C06310">
        <w:rPr>
          <w:rFonts w:hint="eastAsia"/>
        </w:rPr>
        <w:t>提起非常上訴意見書</w:t>
      </w:r>
      <w:r w:rsidR="009A265B">
        <w:rPr>
          <w:rStyle w:val="aff"/>
          <w:rFonts w:hAnsi="標楷體" w:cs="新細明體"/>
        </w:rPr>
        <w:footnoteReference w:id="2"/>
      </w:r>
      <w:r w:rsidR="009A265B" w:rsidRPr="00C06310">
        <w:rPr>
          <w:rFonts w:hint="eastAsia"/>
        </w:rPr>
        <w:t>，</w:t>
      </w:r>
      <w:r w:rsidR="00D34368">
        <w:rPr>
          <w:rFonts w:hint="eastAsia"/>
        </w:rPr>
        <w:t>由</w:t>
      </w:r>
      <w:r w:rsidR="009A265B" w:rsidRPr="00C06310">
        <w:rPr>
          <w:rFonts w:hint="eastAsia"/>
        </w:rPr>
        <w:t>最高檢察署</w:t>
      </w:r>
      <w:r w:rsidR="009A265B" w:rsidRPr="00564BE5">
        <w:rPr>
          <w:rFonts w:hint="eastAsia"/>
        </w:rPr>
        <w:t>檢察總長以</w:t>
      </w:r>
      <w:proofErr w:type="gramStart"/>
      <w:r w:rsidR="009A265B" w:rsidRPr="00564BE5">
        <w:rPr>
          <w:rFonts w:hint="eastAsia"/>
        </w:rPr>
        <w:t>1</w:t>
      </w:r>
      <w:r w:rsidR="009A265B" w:rsidRPr="00564BE5">
        <w:t>12</w:t>
      </w:r>
      <w:proofErr w:type="gramEnd"/>
      <w:r w:rsidR="009A265B" w:rsidRPr="00564BE5">
        <w:rPr>
          <w:rFonts w:hint="eastAsia"/>
        </w:rPr>
        <w:t>年度非上字第9</w:t>
      </w:r>
      <w:r w:rsidR="009A265B" w:rsidRPr="00564BE5">
        <w:t>2</w:t>
      </w:r>
      <w:r w:rsidR="009A265B" w:rsidRPr="00564BE5">
        <w:rPr>
          <w:rFonts w:hint="eastAsia"/>
        </w:rPr>
        <w:t>號</w:t>
      </w:r>
      <w:r w:rsidR="009A265B" w:rsidRPr="00C06310">
        <w:rPr>
          <w:rFonts w:hint="eastAsia"/>
        </w:rPr>
        <w:t>提起非常上訴</w:t>
      </w:r>
      <w:r w:rsidR="009A265B">
        <w:rPr>
          <w:rStyle w:val="aff"/>
          <w:rFonts w:hAnsi="標楷體" w:cs="新細明體"/>
        </w:rPr>
        <w:footnoteReference w:id="3"/>
      </w:r>
      <w:r w:rsidR="00D34368">
        <w:rPr>
          <w:rFonts w:hint="eastAsia"/>
        </w:rPr>
        <w:t>。經</w:t>
      </w:r>
      <w:r w:rsidR="009A265B" w:rsidRPr="00564BE5">
        <w:rPr>
          <w:rFonts w:hint="eastAsia"/>
        </w:rPr>
        <w:t>最高法院</w:t>
      </w:r>
      <w:r w:rsidR="009A265B">
        <w:rPr>
          <w:rFonts w:hint="eastAsia"/>
        </w:rPr>
        <w:t>於1</w:t>
      </w:r>
      <w:r w:rsidR="009A265B">
        <w:t>12</w:t>
      </w:r>
      <w:r w:rsidR="009A265B">
        <w:rPr>
          <w:rFonts w:hint="eastAsia"/>
        </w:rPr>
        <w:t>年1</w:t>
      </w:r>
      <w:r w:rsidR="009A265B">
        <w:t>0</w:t>
      </w:r>
      <w:r w:rsidR="009A265B">
        <w:rPr>
          <w:rFonts w:hint="eastAsia"/>
        </w:rPr>
        <w:t>月2</w:t>
      </w:r>
      <w:r w:rsidR="009A265B">
        <w:t>5</w:t>
      </w:r>
      <w:r w:rsidR="009A265B">
        <w:rPr>
          <w:rFonts w:hint="eastAsia"/>
        </w:rPr>
        <w:t>日作成</w:t>
      </w:r>
      <w:proofErr w:type="gramStart"/>
      <w:r w:rsidR="009A265B" w:rsidRPr="00047905">
        <w:rPr>
          <w:rFonts w:hint="eastAsia"/>
        </w:rPr>
        <w:t>112</w:t>
      </w:r>
      <w:proofErr w:type="gramEnd"/>
      <w:r w:rsidR="009A265B" w:rsidRPr="00047905">
        <w:rPr>
          <w:rFonts w:hint="eastAsia"/>
        </w:rPr>
        <w:t>年度台非字第9</w:t>
      </w:r>
      <w:r w:rsidR="009A265B">
        <w:t>9</w:t>
      </w:r>
      <w:r w:rsidR="009A265B" w:rsidRPr="00047905">
        <w:rPr>
          <w:rFonts w:hint="eastAsia"/>
        </w:rPr>
        <w:t>號</w:t>
      </w:r>
      <w:r w:rsidR="009A265B">
        <w:rPr>
          <w:rFonts w:hint="eastAsia"/>
        </w:rPr>
        <w:t>判決：「原判決撤銷，</w:t>
      </w:r>
      <w:r w:rsidR="009A265B" w:rsidRPr="00047905">
        <w:rPr>
          <w:rFonts w:hAnsi="標楷體" w:cs="新細明體" w:hint="eastAsia"/>
        </w:rPr>
        <w:t>科罰金</w:t>
      </w:r>
      <w:r w:rsidR="009A265B">
        <w:rPr>
          <w:rFonts w:hAnsi="標楷體" w:cs="新細明體" w:hint="eastAsia"/>
        </w:rPr>
        <w:t>3</w:t>
      </w:r>
      <w:r w:rsidR="009A265B">
        <w:rPr>
          <w:rFonts w:hAnsi="標楷體" w:cs="新細明體"/>
        </w:rPr>
        <w:t>,000</w:t>
      </w:r>
      <w:r w:rsidR="009A265B" w:rsidRPr="00047905">
        <w:rPr>
          <w:rFonts w:hAnsi="標楷體" w:cs="新細明體" w:hint="eastAsia"/>
        </w:rPr>
        <w:t>元，如易服勞役，以</w:t>
      </w:r>
      <w:r w:rsidR="009A265B">
        <w:rPr>
          <w:rFonts w:hAnsi="標楷體" w:cs="新細明體" w:hint="eastAsia"/>
        </w:rPr>
        <w:t>1</w:t>
      </w:r>
      <w:r w:rsidR="009A265B">
        <w:rPr>
          <w:rFonts w:hAnsi="標楷體" w:cs="新細明體"/>
        </w:rPr>
        <w:t>,000</w:t>
      </w:r>
      <w:r w:rsidR="009A265B" w:rsidRPr="00047905">
        <w:rPr>
          <w:rFonts w:hAnsi="標楷體" w:cs="新細明體" w:hint="eastAsia"/>
        </w:rPr>
        <w:t>元折算壹日</w:t>
      </w:r>
      <w:r w:rsidR="009A265B">
        <w:rPr>
          <w:rFonts w:hAnsi="標楷體" w:cs="新細明體" w:hint="eastAsia"/>
        </w:rPr>
        <w:t>。」</w:t>
      </w:r>
    </w:p>
    <w:p w:rsidR="00301457" w:rsidRPr="00564BE5" w:rsidRDefault="009606BE" w:rsidP="00301457">
      <w:pPr>
        <w:pStyle w:val="3"/>
        <w:rPr>
          <w:rFonts w:hAnsi="標楷體"/>
        </w:rPr>
      </w:pPr>
      <w:r>
        <w:rPr>
          <w:rFonts w:hAnsi="標楷體" w:hint="eastAsia"/>
        </w:rPr>
        <w:t>針對上情，</w:t>
      </w:r>
      <w:proofErr w:type="gramStart"/>
      <w:r>
        <w:rPr>
          <w:rFonts w:hAnsi="標楷體" w:hint="eastAsia"/>
        </w:rPr>
        <w:t>臺</w:t>
      </w:r>
      <w:proofErr w:type="gramEnd"/>
      <w:r>
        <w:rPr>
          <w:rFonts w:hAnsi="標楷體" w:hint="eastAsia"/>
        </w:rPr>
        <w:t>北地院於</w:t>
      </w:r>
      <w:r w:rsidRPr="009606BE">
        <w:rPr>
          <w:rFonts w:hAnsi="標楷體" w:hint="eastAsia"/>
        </w:rPr>
        <w:t>113年1月24日</w:t>
      </w:r>
      <w:r>
        <w:rPr>
          <w:rFonts w:hAnsi="標楷體" w:hint="eastAsia"/>
        </w:rPr>
        <w:t>召開</w:t>
      </w:r>
      <w:r w:rsidRPr="009606BE">
        <w:rPr>
          <w:rFonts w:hAnsi="標楷體" w:hint="eastAsia"/>
        </w:rPr>
        <w:t>法官自律委員會</w:t>
      </w:r>
      <w:r>
        <w:rPr>
          <w:rFonts w:hAnsi="標楷體" w:hint="eastAsia"/>
        </w:rPr>
        <w:t>，</w:t>
      </w:r>
      <w:r w:rsidRPr="009606BE">
        <w:rPr>
          <w:rFonts w:hAnsi="標楷體" w:hint="eastAsia"/>
        </w:rPr>
        <w:t>依法官法第21條第1項第1款、法官法施行細則第14條第1項規定，</w:t>
      </w:r>
      <w:r w:rsidR="00804FD0">
        <w:rPr>
          <w:rFonts w:hAnsi="標楷體" w:hint="eastAsia"/>
        </w:rPr>
        <w:t>對劉法官作成</w:t>
      </w:r>
      <w:r w:rsidRPr="009606BE">
        <w:rPr>
          <w:rFonts w:hAnsi="標楷體" w:hint="eastAsia"/>
        </w:rPr>
        <w:t>書面命令促其注意</w:t>
      </w:r>
      <w:r w:rsidR="00804FD0">
        <w:rPr>
          <w:rFonts w:hAnsi="標楷體" w:hint="eastAsia"/>
        </w:rPr>
        <w:t>之處分</w:t>
      </w:r>
      <w:r>
        <w:rPr>
          <w:rFonts w:hAnsi="標楷體" w:hint="eastAsia"/>
        </w:rPr>
        <w:t>。該院並表示，爾後</w:t>
      </w:r>
      <w:r w:rsidRPr="009606BE">
        <w:rPr>
          <w:rFonts w:hAnsi="標楷體" w:hint="eastAsia"/>
        </w:rPr>
        <w:t>如遇被告或訴訟</w:t>
      </w:r>
      <w:r w:rsidRPr="009606BE">
        <w:rPr>
          <w:rFonts w:hAnsi="標楷體" w:hint="eastAsia"/>
        </w:rPr>
        <w:lastRenderedPageBreak/>
        <w:t>關係人對法庭内執法人員出言不遜，</w:t>
      </w:r>
      <w:r>
        <w:rPr>
          <w:rFonts w:hAnsi="標楷體" w:hint="eastAsia"/>
        </w:rPr>
        <w:t>或</w:t>
      </w:r>
      <w:r w:rsidRPr="009606BE">
        <w:rPr>
          <w:rFonts w:hAnsi="標楷體" w:hint="eastAsia"/>
        </w:rPr>
        <w:t>實施侮辱公務員犯罪者，</w:t>
      </w:r>
      <w:r>
        <w:rPr>
          <w:rFonts w:hAnsi="標楷體" w:hint="eastAsia"/>
        </w:rPr>
        <w:t>考量</w:t>
      </w:r>
      <w:r w:rsidRPr="009606BE">
        <w:rPr>
          <w:rFonts w:hAnsi="標楷體" w:hint="eastAsia"/>
        </w:rPr>
        <w:t>該人人別確定、法庭錄影錄音設備完善</w:t>
      </w:r>
      <w:r>
        <w:rPr>
          <w:rFonts w:hAnsi="標楷體" w:hint="eastAsia"/>
        </w:rPr>
        <w:t>，且</w:t>
      </w:r>
      <w:r w:rsidRPr="009606BE">
        <w:rPr>
          <w:rFonts w:hAnsi="標楷體" w:hint="eastAsia"/>
        </w:rPr>
        <w:t>無人</w:t>
      </w:r>
      <w:r>
        <w:rPr>
          <w:rFonts w:hAnsi="標楷體" w:hint="eastAsia"/>
        </w:rPr>
        <w:t>犯</w:t>
      </w:r>
      <w:r w:rsidRPr="009606BE">
        <w:rPr>
          <w:rFonts w:hAnsi="標楷體" w:hint="eastAsia"/>
        </w:rPr>
        <w:t>逃亡、湮滅證據之虞，</w:t>
      </w:r>
      <w:r>
        <w:rPr>
          <w:rFonts w:hAnsi="標楷體" w:hint="eastAsia"/>
        </w:rPr>
        <w:t>認為</w:t>
      </w:r>
      <w:r w:rsidRPr="009606BE">
        <w:rPr>
          <w:rFonts w:hAnsi="標楷體" w:hint="eastAsia"/>
        </w:rPr>
        <w:t>待庭訊結束後再視情形對被告或訴訟關係人</w:t>
      </w:r>
      <w:r>
        <w:rPr>
          <w:rFonts w:hAnsi="標楷體" w:hint="eastAsia"/>
        </w:rPr>
        <w:t>言行</w:t>
      </w:r>
      <w:r w:rsidRPr="009606BE">
        <w:rPr>
          <w:rFonts w:hAnsi="標楷體" w:hint="eastAsia"/>
        </w:rPr>
        <w:t>所涉犯罪</w:t>
      </w:r>
      <w:r>
        <w:rPr>
          <w:rFonts w:hAnsi="標楷體" w:hint="eastAsia"/>
        </w:rPr>
        <w:t>提出</w:t>
      </w:r>
      <w:r w:rsidRPr="009606BE">
        <w:rPr>
          <w:rFonts w:hAnsi="標楷體" w:hint="eastAsia"/>
        </w:rPr>
        <w:t>告訴，較為妥適。</w:t>
      </w:r>
      <w:r w:rsidR="00804FD0">
        <w:rPr>
          <w:rFonts w:hAnsi="標楷體" w:hint="eastAsia"/>
        </w:rPr>
        <w:t>然而，</w:t>
      </w:r>
      <w:r w:rsidR="00A9445D">
        <w:rPr>
          <w:rFonts w:hAnsi="標楷體" w:hint="eastAsia"/>
        </w:rPr>
        <w:t>因</w:t>
      </w:r>
      <w:r w:rsidR="005E6307" w:rsidRPr="005E6307">
        <w:rPr>
          <w:rFonts w:hAnsi="標楷體" w:hint="eastAsia"/>
        </w:rPr>
        <w:t>劉法官宣判逾越法定刑</w:t>
      </w:r>
      <w:r w:rsidR="00177EC7">
        <w:rPr>
          <w:rFonts w:hAnsi="標楷體" w:hint="eastAsia"/>
        </w:rPr>
        <w:t>度之判決</w:t>
      </w:r>
      <w:r w:rsidR="005E6307" w:rsidRPr="005E6307">
        <w:rPr>
          <w:rFonts w:hAnsi="標楷體" w:hint="eastAsia"/>
        </w:rPr>
        <w:t>，</w:t>
      </w:r>
      <w:r w:rsidR="00177EC7">
        <w:rPr>
          <w:rFonts w:hAnsi="標楷體" w:hint="eastAsia"/>
        </w:rPr>
        <w:t>係於與</w:t>
      </w:r>
      <w:r w:rsidR="005E6307" w:rsidRPr="005E6307">
        <w:rPr>
          <w:rFonts w:hAnsi="標楷體" w:hint="eastAsia"/>
        </w:rPr>
        <w:t>陳姓被</w:t>
      </w:r>
      <w:r w:rsidR="00177EC7">
        <w:rPr>
          <w:rFonts w:hAnsi="標楷體" w:hint="eastAsia"/>
        </w:rPr>
        <w:t>告</w:t>
      </w:r>
      <w:r w:rsidR="005E6307" w:rsidRPr="005E6307">
        <w:rPr>
          <w:rFonts w:hAnsi="標楷體" w:hint="eastAsia"/>
        </w:rPr>
        <w:t>口角後</w:t>
      </w:r>
      <w:r w:rsidR="00177EC7">
        <w:rPr>
          <w:rFonts w:hAnsi="標楷體" w:hint="eastAsia"/>
        </w:rPr>
        <w:t>，</w:t>
      </w:r>
      <w:r w:rsidR="00A9445D">
        <w:rPr>
          <w:rFonts w:hAnsi="標楷體" w:hint="eastAsia"/>
        </w:rPr>
        <w:t>前開經過</w:t>
      </w:r>
      <w:r w:rsidR="00177EC7">
        <w:rPr>
          <w:rFonts w:hAnsi="標楷體" w:hint="eastAsia"/>
        </w:rPr>
        <w:t>經媒體報導，社會大眾</w:t>
      </w:r>
      <w:r w:rsidR="005E6307" w:rsidRPr="005E6307">
        <w:rPr>
          <w:rFonts w:hAnsi="標楷體" w:hint="eastAsia"/>
        </w:rPr>
        <w:t>合理</w:t>
      </w:r>
      <w:r w:rsidR="00177EC7">
        <w:rPr>
          <w:rFonts w:hAnsi="標楷體" w:hint="eastAsia"/>
        </w:rPr>
        <w:t>懷疑</w:t>
      </w:r>
      <w:r w:rsidR="005E6307" w:rsidRPr="005E6307">
        <w:rPr>
          <w:rFonts w:hAnsi="標楷體" w:hint="eastAsia"/>
        </w:rPr>
        <w:t>，口角</w:t>
      </w:r>
      <w:r w:rsidR="00177EC7">
        <w:rPr>
          <w:rFonts w:hAnsi="標楷體" w:hint="eastAsia"/>
        </w:rPr>
        <w:t>是</w:t>
      </w:r>
      <w:r w:rsidR="00A9445D">
        <w:rPr>
          <w:rFonts w:hAnsi="標楷體" w:hint="eastAsia"/>
        </w:rPr>
        <w:t>陳姓被告遭判</w:t>
      </w:r>
      <w:r w:rsidR="00177EC7" w:rsidRPr="005E6307">
        <w:rPr>
          <w:rFonts w:hAnsi="標楷體" w:hint="eastAsia"/>
        </w:rPr>
        <w:t>逾越法定刑</w:t>
      </w:r>
      <w:r w:rsidR="00177EC7">
        <w:rPr>
          <w:rFonts w:hAnsi="標楷體" w:hint="eastAsia"/>
        </w:rPr>
        <w:t>度的</w:t>
      </w:r>
      <w:r w:rsidR="00A9445D">
        <w:rPr>
          <w:rFonts w:hAnsi="標楷體" w:hint="eastAsia"/>
        </w:rPr>
        <w:t>可能</w:t>
      </w:r>
      <w:r w:rsidR="00177EC7">
        <w:rPr>
          <w:rFonts w:hAnsi="標楷體" w:hint="eastAsia"/>
        </w:rPr>
        <w:t>原因之</w:t>
      </w:r>
      <w:proofErr w:type="gramStart"/>
      <w:r w:rsidR="00177EC7">
        <w:rPr>
          <w:rFonts w:hAnsi="標楷體" w:hint="eastAsia"/>
        </w:rPr>
        <w:t>一</w:t>
      </w:r>
      <w:proofErr w:type="gramEnd"/>
      <w:r w:rsidR="005E6307" w:rsidRPr="005E6307">
        <w:rPr>
          <w:rFonts w:hAnsi="標楷體" w:hint="eastAsia"/>
        </w:rPr>
        <w:t>。雖然</w:t>
      </w:r>
      <w:r w:rsidR="00177EC7" w:rsidRPr="005E6307">
        <w:rPr>
          <w:rFonts w:hAnsi="標楷體" w:hint="eastAsia"/>
        </w:rPr>
        <w:t>劉法官</w:t>
      </w:r>
      <w:r w:rsidR="00804FD0">
        <w:rPr>
          <w:rFonts w:hAnsi="標楷體" w:hint="eastAsia"/>
        </w:rPr>
        <w:t>嗣後</w:t>
      </w:r>
      <w:r w:rsidR="005E6307" w:rsidRPr="005E6307">
        <w:rPr>
          <w:rFonts w:hAnsi="標楷體" w:hint="eastAsia"/>
        </w:rPr>
        <w:t>自</w:t>
      </w:r>
      <w:r w:rsidR="00177EC7">
        <w:rPr>
          <w:rFonts w:hAnsi="標楷體" w:hint="eastAsia"/>
        </w:rPr>
        <w:t>行向檢察官告知此</w:t>
      </w:r>
      <w:r w:rsidR="005E6307" w:rsidRPr="005E6307">
        <w:rPr>
          <w:rFonts w:hAnsi="標楷體" w:hint="eastAsia"/>
        </w:rPr>
        <w:t>錯誤</w:t>
      </w:r>
      <w:r w:rsidR="00177EC7">
        <w:rPr>
          <w:rFonts w:hAnsi="標楷體" w:hint="eastAsia"/>
        </w:rPr>
        <w:t>，且原</w:t>
      </w:r>
      <w:r w:rsidR="005E6307" w:rsidRPr="005E6307">
        <w:rPr>
          <w:rFonts w:hAnsi="標楷體" w:hint="eastAsia"/>
        </w:rPr>
        <w:t>判決已被</w:t>
      </w:r>
      <w:r w:rsidR="00177EC7">
        <w:rPr>
          <w:rFonts w:hAnsi="標楷體" w:hint="eastAsia"/>
        </w:rPr>
        <w:t>最高法院</w:t>
      </w:r>
      <w:r w:rsidR="005E6307" w:rsidRPr="005E6307">
        <w:rPr>
          <w:rFonts w:hAnsi="標楷體" w:hint="eastAsia"/>
        </w:rPr>
        <w:t>廢棄，但已</w:t>
      </w:r>
      <w:r w:rsidR="00A9445D">
        <w:rPr>
          <w:rFonts w:hAnsi="標楷體" w:hint="eastAsia"/>
        </w:rPr>
        <w:t>使</w:t>
      </w:r>
      <w:r w:rsidR="00177EC7">
        <w:rPr>
          <w:rFonts w:hAnsi="標楷體" w:hint="eastAsia"/>
        </w:rPr>
        <w:t>社會大眾對</w:t>
      </w:r>
      <w:r w:rsidR="00177EC7" w:rsidRPr="005E6307">
        <w:rPr>
          <w:rFonts w:hAnsi="標楷體" w:hint="eastAsia"/>
        </w:rPr>
        <w:t>司法程序</w:t>
      </w:r>
      <w:r w:rsidR="00987DA2">
        <w:rPr>
          <w:rFonts w:hAnsi="標楷體" w:hint="eastAsia"/>
        </w:rPr>
        <w:t>之</w:t>
      </w:r>
      <w:r w:rsidR="00177EC7" w:rsidRPr="005E6307">
        <w:rPr>
          <w:rFonts w:hAnsi="標楷體" w:hint="eastAsia"/>
        </w:rPr>
        <w:t>公正</w:t>
      </w:r>
      <w:r w:rsidR="00177EC7">
        <w:rPr>
          <w:rFonts w:hAnsi="標楷體" w:hint="eastAsia"/>
        </w:rPr>
        <w:t>感到疑慮，及</w:t>
      </w:r>
      <w:r w:rsidR="00177EC7" w:rsidRPr="005E6307">
        <w:rPr>
          <w:rFonts w:hAnsi="標楷體" w:hint="eastAsia"/>
        </w:rPr>
        <w:t>整體司法系統</w:t>
      </w:r>
      <w:r w:rsidR="00177EC7">
        <w:rPr>
          <w:rFonts w:hAnsi="標楷體" w:hint="eastAsia"/>
        </w:rPr>
        <w:t>的</w:t>
      </w:r>
      <w:r w:rsidR="00177EC7" w:rsidRPr="005E6307">
        <w:rPr>
          <w:rFonts w:hAnsi="標楷體" w:hint="eastAsia"/>
        </w:rPr>
        <w:t>不佳</w:t>
      </w:r>
      <w:r w:rsidR="005E6307" w:rsidRPr="005E6307">
        <w:rPr>
          <w:rFonts w:hAnsi="標楷體" w:hint="eastAsia"/>
        </w:rPr>
        <w:t>觀感。</w:t>
      </w:r>
    </w:p>
    <w:p w:rsidR="00F74B37" w:rsidRPr="00F74B37" w:rsidRDefault="00C323B9" w:rsidP="005A3DB9">
      <w:pPr>
        <w:pStyle w:val="3"/>
        <w:numPr>
          <w:ilvl w:val="0"/>
          <w:numId w:val="0"/>
        </w:numPr>
        <w:ind w:left="1361"/>
        <w:rPr>
          <w:rFonts w:hAnsi="標楷體" w:hint="eastAsia"/>
        </w:rPr>
      </w:pPr>
      <w:r w:rsidRPr="00F74B37">
        <w:rPr>
          <w:rFonts w:hAnsi="標楷體" w:hint="eastAsia"/>
        </w:rPr>
        <w:t>綜上，</w:t>
      </w:r>
      <w:proofErr w:type="gramStart"/>
      <w:r w:rsidR="00F5048A" w:rsidRPr="00F74B37">
        <w:rPr>
          <w:rFonts w:hAnsi="標楷體" w:hint="eastAsia"/>
        </w:rPr>
        <w:t>臺</w:t>
      </w:r>
      <w:proofErr w:type="gramEnd"/>
      <w:r w:rsidR="00F5048A" w:rsidRPr="00F74B37">
        <w:rPr>
          <w:rFonts w:hAnsi="標楷體" w:hint="eastAsia"/>
        </w:rPr>
        <w:t>北地院劉法官審理本案時，</w:t>
      </w:r>
      <w:r w:rsidR="0036758A" w:rsidRPr="00F74B37">
        <w:rPr>
          <w:rFonts w:hAnsi="標楷體" w:hint="eastAsia"/>
        </w:rPr>
        <w:t>準備</w:t>
      </w:r>
      <w:proofErr w:type="gramStart"/>
      <w:r w:rsidR="0036758A" w:rsidRPr="00F74B37">
        <w:rPr>
          <w:rFonts w:hAnsi="標楷體" w:hint="eastAsia"/>
        </w:rPr>
        <w:t>程序末</w:t>
      </w:r>
      <w:r w:rsidR="00F5048A" w:rsidRPr="00F74B37">
        <w:rPr>
          <w:rFonts w:hAnsi="標楷體" w:hint="eastAsia"/>
        </w:rPr>
        <w:t>因陳</w:t>
      </w:r>
      <w:proofErr w:type="gramEnd"/>
      <w:r w:rsidR="00F5048A" w:rsidRPr="00F74B37">
        <w:rPr>
          <w:rFonts w:hAnsi="標楷體" w:hint="eastAsia"/>
        </w:rPr>
        <w:t>姓被告</w:t>
      </w:r>
      <w:r w:rsidR="001F755C" w:rsidRPr="00F74B37">
        <w:rPr>
          <w:rFonts w:hAnsi="標楷體" w:hint="eastAsia"/>
        </w:rPr>
        <w:t>對劉法官</w:t>
      </w:r>
      <w:r w:rsidR="00F5048A" w:rsidRPr="00F74B37">
        <w:rPr>
          <w:rFonts w:hAnsi="標楷體" w:hint="eastAsia"/>
        </w:rPr>
        <w:t>大聲</w:t>
      </w:r>
      <w:proofErr w:type="gramStart"/>
      <w:r w:rsidR="00F5048A" w:rsidRPr="00F74B37">
        <w:rPr>
          <w:rFonts w:hAnsi="標楷體" w:hint="eastAsia"/>
        </w:rPr>
        <w:t>回嗆很</w:t>
      </w:r>
      <w:proofErr w:type="gramEnd"/>
      <w:r w:rsidR="00F5048A" w:rsidRPr="00F74B37">
        <w:rPr>
          <w:rFonts w:hAnsi="標楷體" w:hint="eastAsia"/>
        </w:rPr>
        <w:t>不舒服，劉法官令法警以其妨害公務予以逮捕移送</w:t>
      </w:r>
      <w:proofErr w:type="gramStart"/>
      <w:r w:rsidR="00F5048A" w:rsidRPr="00F74B37">
        <w:rPr>
          <w:rFonts w:hAnsi="標楷體" w:hint="eastAsia"/>
        </w:rPr>
        <w:t>臺</w:t>
      </w:r>
      <w:proofErr w:type="gramEnd"/>
      <w:r w:rsidR="00F5048A" w:rsidRPr="00F74B37">
        <w:rPr>
          <w:rFonts w:hAnsi="標楷體" w:hint="eastAsia"/>
        </w:rPr>
        <w:t>北地檢署。</w:t>
      </w:r>
      <w:proofErr w:type="gramStart"/>
      <w:r w:rsidR="00987DA2" w:rsidRPr="00F74B37">
        <w:rPr>
          <w:rFonts w:hAnsi="標楷體" w:hint="eastAsia"/>
        </w:rPr>
        <w:t>嗣</w:t>
      </w:r>
      <w:proofErr w:type="gramEnd"/>
      <w:r w:rsidR="00F5048A" w:rsidRPr="00F74B37">
        <w:rPr>
          <w:rFonts w:hAnsi="標楷體" w:hint="eastAsia"/>
        </w:rPr>
        <w:t>劉法官判</w:t>
      </w:r>
      <w:r w:rsidR="00987DA2" w:rsidRPr="00F74B37">
        <w:rPr>
          <w:rFonts w:hAnsi="標楷體" w:hint="eastAsia"/>
        </w:rPr>
        <w:t>處本案</w:t>
      </w:r>
      <w:r w:rsidR="00F5048A" w:rsidRPr="00F74B37">
        <w:rPr>
          <w:rFonts w:hAnsi="標楷體" w:hint="eastAsia"/>
        </w:rPr>
        <w:t>陳姓被告公然侮辱罪有期徒刑3個月，</w:t>
      </w:r>
      <w:proofErr w:type="gramStart"/>
      <w:r w:rsidR="00F5048A" w:rsidRPr="00F74B37">
        <w:rPr>
          <w:rFonts w:hAnsi="標楷體" w:hint="eastAsia"/>
        </w:rPr>
        <w:t>核屬逾越</w:t>
      </w:r>
      <w:proofErr w:type="gramEnd"/>
      <w:r w:rsidR="00F5048A" w:rsidRPr="00F74B37">
        <w:rPr>
          <w:rFonts w:hAnsi="標楷體" w:hint="eastAsia"/>
        </w:rPr>
        <w:t>法定刑度，劉法官</w:t>
      </w:r>
      <w:r w:rsidR="00987DA2" w:rsidRPr="00F74B37">
        <w:rPr>
          <w:rFonts w:hAnsi="標楷體" w:hint="eastAsia"/>
        </w:rPr>
        <w:t>嗣後雖</w:t>
      </w:r>
      <w:r w:rsidR="00F5048A" w:rsidRPr="00F74B37">
        <w:rPr>
          <w:rFonts w:hAnsi="標楷體" w:hint="eastAsia"/>
        </w:rPr>
        <w:t>自行告知</w:t>
      </w:r>
      <w:proofErr w:type="gramStart"/>
      <w:r w:rsidR="00F5048A" w:rsidRPr="00F74B37">
        <w:rPr>
          <w:rFonts w:hAnsi="標楷體" w:hint="eastAsia"/>
        </w:rPr>
        <w:t>臺</w:t>
      </w:r>
      <w:proofErr w:type="gramEnd"/>
      <w:r w:rsidR="00F5048A" w:rsidRPr="00F74B37">
        <w:rPr>
          <w:rFonts w:hAnsi="標楷體" w:hint="eastAsia"/>
        </w:rPr>
        <w:t>北地檢署</w:t>
      </w:r>
      <w:r w:rsidR="00987DA2" w:rsidRPr="00F74B37">
        <w:rPr>
          <w:rFonts w:hAnsi="標楷體" w:hint="eastAsia"/>
        </w:rPr>
        <w:t>執行</w:t>
      </w:r>
      <w:r w:rsidR="00F5048A" w:rsidRPr="00F74B37">
        <w:rPr>
          <w:rFonts w:hAnsi="標楷體" w:hint="eastAsia"/>
        </w:rPr>
        <w:t>檢察官，經檢察總長提起非常上訴，</w:t>
      </w:r>
      <w:proofErr w:type="gramStart"/>
      <w:r w:rsidR="00F5048A" w:rsidRPr="00F74B37">
        <w:rPr>
          <w:rFonts w:hAnsi="標楷體" w:hint="eastAsia"/>
        </w:rPr>
        <w:t>嗣</w:t>
      </w:r>
      <w:proofErr w:type="gramEnd"/>
      <w:r w:rsidR="00F5048A" w:rsidRPr="00F74B37">
        <w:rPr>
          <w:rFonts w:hAnsi="標楷體" w:hint="eastAsia"/>
        </w:rPr>
        <w:t>經最高法院廢棄原判決，惟</w:t>
      </w:r>
      <w:r w:rsidR="0036758A" w:rsidRPr="00F74B37">
        <w:rPr>
          <w:rFonts w:hAnsi="標楷體" w:hint="eastAsia"/>
        </w:rPr>
        <w:t>上開經過已</w:t>
      </w:r>
      <w:r w:rsidR="00F5048A" w:rsidRPr="00F74B37">
        <w:rPr>
          <w:rFonts w:hAnsi="標楷體" w:hint="eastAsia"/>
        </w:rPr>
        <w:t>使社會大眾對司法程序</w:t>
      </w:r>
      <w:r w:rsidR="00987DA2" w:rsidRPr="00F74B37">
        <w:rPr>
          <w:rFonts w:hAnsi="標楷體" w:hint="eastAsia"/>
        </w:rPr>
        <w:t>之</w:t>
      </w:r>
      <w:r w:rsidR="00F5048A" w:rsidRPr="00F74B37">
        <w:rPr>
          <w:rFonts w:hAnsi="標楷體" w:hint="eastAsia"/>
        </w:rPr>
        <w:t>公正感到疑慮，及整體司法系統的不佳觀感，</w:t>
      </w:r>
      <w:proofErr w:type="gramStart"/>
      <w:r w:rsidR="00C06401" w:rsidRPr="00F74B37">
        <w:rPr>
          <w:rFonts w:hAnsi="標楷體" w:hint="eastAsia"/>
        </w:rPr>
        <w:t>核屬</w:t>
      </w:r>
      <w:r w:rsidR="00F5048A" w:rsidRPr="00F74B37">
        <w:rPr>
          <w:rFonts w:hAnsi="標楷體" w:hint="eastAsia"/>
        </w:rPr>
        <w:t>未</w:t>
      </w:r>
      <w:proofErr w:type="gramEnd"/>
      <w:r w:rsidR="00F5048A" w:rsidRPr="00F74B37">
        <w:rPr>
          <w:rFonts w:hAnsi="標楷體" w:hint="eastAsia"/>
        </w:rPr>
        <w:t xml:space="preserve">當。 </w:t>
      </w:r>
    </w:p>
    <w:p w:rsidR="00183618" w:rsidRPr="00281052" w:rsidRDefault="00115568" w:rsidP="00183618">
      <w:pPr>
        <w:pStyle w:val="2"/>
        <w:rPr>
          <w:rFonts w:hAnsi="標楷體"/>
          <w:b/>
        </w:rPr>
      </w:pPr>
      <w:bookmarkStart w:id="53" w:name="_Hlk176513149"/>
      <w:r w:rsidRPr="00281052">
        <w:rPr>
          <w:rFonts w:hAnsi="標楷體" w:hint="eastAsia"/>
          <w:b/>
        </w:rPr>
        <w:t>部分地方法院</w:t>
      </w:r>
      <w:r w:rsidR="00F441A4" w:rsidRPr="00281052">
        <w:rPr>
          <w:rFonts w:hAnsi="標楷體" w:hint="eastAsia"/>
          <w:b/>
        </w:rPr>
        <w:t>刑事庭</w:t>
      </w:r>
      <w:r w:rsidRPr="00281052">
        <w:rPr>
          <w:rFonts w:hAnsi="標楷體" w:hint="eastAsia"/>
          <w:b/>
        </w:rPr>
        <w:t>採取審查庭制度，</w:t>
      </w:r>
      <w:r w:rsidR="00417F8D" w:rsidRPr="00281052">
        <w:rPr>
          <w:rFonts w:hAnsi="標楷體" w:hint="eastAsia"/>
          <w:b/>
        </w:rPr>
        <w:t>惟據本院諮詢專家表示，目前審查庭實務運作存有部分</w:t>
      </w:r>
      <w:r w:rsidR="00A455E1" w:rsidRPr="00281052">
        <w:rPr>
          <w:rFonts w:hAnsi="標楷體" w:hint="eastAsia"/>
          <w:b/>
        </w:rPr>
        <w:t>瑕疵</w:t>
      </w:r>
      <w:r w:rsidR="00417F8D" w:rsidRPr="00281052">
        <w:rPr>
          <w:rFonts w:hAnsi="標楷體" w:hint="eastAsia"/>
          <w:b/>
        </w:rPr>
        <w:t>，例如被告否認</w:t>
      </w:r>
      <w:r w:rsidR="007847B4" w:rsidRPr="00281052">
        <w:rPr>
          <w:rFonts w:hAnsi="標楷體" w:hint="eastAsia"/>
          <w:b/>
        </w:rPr>
        <w:t>犯罪</w:t>
      </w:r>
      <w:r w:rsidR="004B2E39">
        <w:rPr>
          <w:rFonts w:hAnsi="標楷體" w:hint="eastAsia"/>
          <w:b/>
        </w:rPr>
        <w:t>但</w:t>
      </w:r>
      <w:proofErr w:type="gramStart"/>
      <w:r w:rsidR="00417F8D" w:rsidRPr="00281052">
        <w:rPr>
          <w:rFonts w:hAnsi="標楷體" w:hint="eastAsia"/>
          <w:b/>
        </w:rPr>
        <w:t>審查庭仍自行</w:t>
      </w:r>
      <w:proofErr w:type="gramEnd"/>
      <w:r w:rsidR="00417F8D" w:rsidRPr="00281052">
        <w:rPr>
          <w:rFonts w:hAnsi="標楷體" w:hint="eastAsia"/>
          <w:b/>
        </w:rPr>
        <w:t>審結、法官</w:t>
      </w:r>
      <w:r w:rsidR="00CA6176">
        <w:rPr>
          <w:rFonts w:hAnsi="標楷體" w:hint="eastAsia"/>
          <w:b/>
        </w:rPr>
        <w:t>職權進行</w:t>
      </w:r>
      <w:r w:rsidR="00417F8D" w:rsidRPr="00281052">
        <w:rPr>
          <w:rFonts w:hAnsi="標楷體" w:hint="eastAsia"/>
          <w:b/>
        </w:rPr>
        <w:t>而</w:t>
      </w:r>
      <w:r w:rsidR="00417F8D" w:rsidRPr="00281052">
        <w:rPr>
          <w:rFonts w:hAnsi="標楷體" w:cs="新細明體" w:hint="eastAsia"/>
          <w:b/>
        </w:rPr>
        <w:t>弱化公訴檢察官角色</w:t>
      </w:r>
      <w:r w:rsidR="00417F8D" w:rsidRPr="00281052">
        <w:rPr>
          <w:rFonts w:hAnsi="標楷體" w:hint="eastAsia"/>
          <w:b/>
        </w:rPr>
        <w:t>、案件過多</w:t>
      </w:r>
      <w:proofErr w:type="gramStart"/>
      <w:r w:rsidR="007847B4" w:rsidRPr="00281052">
        <w:rPr>
          <w:rFonts w:hAnsi="標楷體" w:hint="eastAsia"/>
          <w:b/>
        </w:rPr>
        <w:t>造成</w:t>
      </w:r>
      <w:r w:rsidR="00417F8D" w:rsidRPr="00281052">
        <w:rPr>
          <w:rFonts w:hAnsi="標楷體" w:hint="eastAsia"/>
          <w:b/>
        </w:rPr>
        <w:t>拖庭等</w:t>
      </w:r>
      <w:proofErr w:type="gramEnd"/>
      <w:r w:rsidR="00417F8D" w:rsidRPr="00281052">
        <w:rPr>
          <w:rFonts w:hAnsi="標楷體" w:hint="eastAsia"/>
          <w:b/>
        </w:rPr>
        <w:t>，</w:t>
      </w:r>
      <w:r w:rsidR="007847B4" w:rsidRPr="00281052">
        <w:rPr>
          <w:rFonts w:hAnsi="標楷體" w:hint="eastAsia"/>
          <w:b/>
        </w:rPr>
        <w:t>凡此</w:t>
      </w:r>
      <w:r w:rsidR="004E7F30">
        <w:rPr>
          <w:rFonts w:hAnsi="標楷體" w:hint="eastAsia"/>
          <w:b/>
        </w:rPr>
        <w:t>已</w:t>
      </w:r>
      <w:r w:rsidR="001569E3">
        <w:rPr>
          <w:rFonts w:hAnsi="標楷體" w:hint="eastAsia"/>
          <w:b/>
        </w:rPr>
        <w:t>與制度設計初衷不符，</w:t>
      </w:r>
      <w:r w:rsidR="001569E3">
        <w:rPr>
          <w:rFonts w:hAnsi="標楷體" w:cs="新細明體" w:hint="eastAsia"/>
          <w:b/>
        </w:rPr>
        <w:t>甚至</w:t>
      </w:r>
      <w:r w:rsidR="00417F8D" w:rsidRPr="00281052">
        <w:rPr>
          <w:rFonts w:hAnsi="標楷體" w:hint="eastAsia"/>
          <w:b/>
        </w:rPr>
        <w:t>影響當事人權益</w:t>
      </w:r>
      <w:r w:rsidRPr="00281052">
        <w:rPr>
          <w:rFonts w:hAnsi="標楷體" w:hint="eastAsia"/>
          <w:b/>
        </w:rPr>
        <w:t>，</w:t>
      </w:r>
      <w:proofErr w:type="gramStart"/>
      <w:r w:rsidRPr="00281052">
        <w:rPr>
          <w:rFonts w:hAnsi="標楷體" w:hint="eastAsia"/>
          <w:b/>
        </w:rPr>
        <w:t>司法院允宜</w:t>
      </w:r>
      <w:proofErr w:type="gramEnd"/>
      <w:r w:rsidR="007847B4" w:rsidRPr="00281052">
        <w:rPr>
          <w:rFonts w:hAnsi="標楷體" w:hint="eastAsia"/>
          <w:b/>
        </w:rPr>
        <w:t>進行</w:t>
      </w:r>
      <w:proofErr w:type="gramStart"/>
      <w:r w:rsidR="00417F8D" w:rsidRPr="00281052">
        <w:rPr>
          <w:rFonts w:hAnsi="標楷體" w:hint="eastAsia"/>
          <w:b/>
        </w:rPr>
        <w:t>研</w:t>
      </w:r>
      <w:proofErr w:type="gramEnd"/>
      <w:r w:rsidR="00417F8D" w:rsidRPr="00281052">
        <w:rPr>
          <w:rFonts w:hAnsi="標楷體" w:hint="eastAsia"/>
          <w:b/>
        </w:rPr>
        <w:t>議，</w:t>
      </w:r>
      <w:proofErr w:type="gramStart"/>
      <w:r w:rsidR="007847B4" w:rsidRPr="00281052">
        <w:rPr>
          <w:rFonts w:hAnsi="標楷體" w:hint="eastAsia"/>
          <w:b/>
        </w:rPr>
        <w:t>俾</w:t>
      </w:r>
      <w:proofErr w:type="gramEnd"/>
      <w:r w:rsidR="007847B4" w:rsidRPr="00281052">
        <w:rPr>
          <w:rFonts w:hAnsi="標楷體" w:hint="eastAsia"/>
          <w:b/>
        </w:rPr>
        <w:t>維護民眾司法權益</w:t>
      </w:r>
    </w:p>
    <w:bookmarkEnd w:id="53"/>
    <w:p w:rsidR="00A35256" w:rsidRDefault="00C74985" w:rsidP="00183618">
      <w:pPr>
        <w:pStyle w:val="3"/>
        <w:rPr>
          <w:rFonts w:hAnsi="標楷體"/>
        </w:rPr>
      </w:pPr>
      <w:r>
        <w:rPr>
          <w:rFonts w:hAnsi="標楷體" w:hint="eastAsia"/>
        </w:rPr>
        <w:t>按</w:t>
      </w:r>
      <w:r w:rsidR="00F55D70">
        <w:rPr>
          <w:rFonts w:hAnsi="標楷體" w:hint="eastAsia"/>
        </w:rPr>
        <w:t>刑事訴訟法第</w:t>
      </w:r>
      <w:r w:rsidR="00E440F8">
        <w:rPr>
          <w:rFonts w:hAnsi="標楷體" w:hint="eastAsia"/>
        </w:rPr>
        <w:t>2</w:t>
      </w:r>
      <w:r w:rsidR="00E440F8">
        <w:rPr>
          <w:rFonts w:hAnsi="標楷體"/>
        </w:rPr>
        <w:t>73</w:t>
      </w:r>
      <w:r w:rsidR="00F55D70">
        <w:rPr>
          <w:rFonts w:hAnsi="標楷體" w:hint="eastAsia"/>
        </w:rPr>
        <w:t>條</w:t>
      </w:r>
      <w:r w:rsidR="00E440F8">
        <w:rPr>
          <w:rFonts w:hAnsi="標楷體" w:hint="eastAsia"/>
        </w:rPr>
        <w:t>第1項第</w:t>
      </w:r>
      <w:r w:rsidR="00AC3D8E">
        <w:rPr>
          <w:rFonts w:hAnsi="標楷體" w:hint="eastAsia"/>
        </w:rPr>
        <w:t>3</w:t>
      </w:r>
      <w:r w:rsidR="00E440F8">
        <w:rPr>
          <w:rFonts w:hAnsi="標楷體" w:hint="eastAsia"/>
        </w:rPr>
        <w:t>款至第</w:t>
      </w:r>
      <w:r w:rsidR="00AC3D8E">
        <w:rPr>
          <w:rFonts w:hAnsi="標楷體" w:hint="eastAsia"/>
        </w:rPr>
        <w:t>8</w:t>
      </w:r>
      <w:r w:rsidR="00E440F8">
        <w:rPr>
          <w:rFonts w:hAnsi="標楷體" w:hint="eastAsia"/>
        </w:rPr>
        <w:t>款</w:t>
      </w:r>
      <w:r w:rsidR="00F55D70">
        <w:rPr>
          <w:rFonts w:hAnsi="標楷體" w:hint="eastAsia"/>
        </w:rPr>
        <w:t>規定：「</w:t>
      </w:r>
      <w:r w:rsidR="00E440F8" w:rsidRPr="00E440F8">
        <w:rPr>
          <w:rFonts w:hAnsi="標楷體" w:hint="eastAsia"/>
        </w:rPr>
        <w:t>法院得於第</w:t>
      </w:r>
      <w:r w:rsidR="00AC3D8E">
        <w:rPr>
          <w:rFonts w:hAnsi="標楷體" w:hint="eastAsia"/>
        </w:rPr>
        <w:t>1</w:t>
      </w:r>
      <w:r w:rsidR="00E440F8" w:rsidRPr="00E440F8">
        <w:rPr>
          <w:rFonts w:hAnsi="標楷體" w:hint="eastAsia"/>
        </w:rPr>
        <w:t>次審判期日前，傳喚被告或其代理人，並通知檢察官、辯護人、輔佐人到庭，行準備程序，為下列各款事項之處理：</w:t>
      </w:r>
      <w:r w:rsidR="001E2678">
        <w:rPr>
          <w:rFonts w:hAnsi="標楷體" w:hint="eastAsia"/>
        </w:rPr>
        <w:t>…</w:t>
      </w:r>
      <w:proofErr w:type="gramStart"/>
      <w:r w:rsidR="001E2678">
        <w:rPr>
          <w:rFonts w:hAnsi="標楷體" w:hint="eastAsia"/>
        </w:rPr>
        <w:t>…</w:t>
      </w:r>
      <w:proofErr w:type="gramEnd"/>
      <w:r w:rsidR="001E2678" w:rsidRPr="001E2678">
        <w:rPr>
          <w:rFonts w:hAnsi="標楷體" w:hint="eastAsia"/>
        </w:rPr>
        <w:t>三、案件及證據之重</w:t>
      </w:r>
      <w:r w:rsidR="001E2678" w:rsidRPr="001E2678">
        <w:rPr>
          <w:rFonts w:hAnsi="標楷體" w:hint="eastAsia"/>
        </w:rPr>
        <w:lastRenderedPageBreak/>
        <w:t>要爭點。四、有關證據能力之意見。五、曉諭為證據調查之聲請。六、證據調查之範圍、次序及方法。七、命提出證物或可為證據之文書。八、其他與審判有關之事項。</w:t>
      </w:r>
      <w:r w:rsidR="00F55D70">
        <w:rPr>
          <w:rFonts w:hAnsi="標楷體" w:hint="eastAsia"/>
        </w:rPr>
        <w:t>」司法院釋字第</w:t>
      </w:r>
      <w:r w:rsidR="00AC3D8E">
        <w:rPr>
          <w:rFonts w:hAnsi="標楷體" w:hint="eastAsia"/>
        </w:rPr>
        <w:t>6</w:t>
      </w:r>
      <w:r w:rsidR="00AC3D8E">
        <w:rPr>
          <w:rFonts w:hAnsi="標楷體"/>
        </w:rPr>
        <w:t>65</w:t>
      </w:r>
      <w:r w:rsidR="00F55D70">
        <w:rPr>
          <w:rFonts w:hAnsi="標楷體" w:hint="eastAsia"/>
        </w:rPr>
        <w:t>號解釋</w:t>
      </w:r>
      <w:r w:rsidR="00AC3D8E">
        <w:rPr>
          <w:rFonts w:hAnsi="標楷體" w:hint="eastAsia"/>
        </w:rPr>
        <w:t>理由書</w:t>
      </w:r>
      <w:r w:rsidR="00F55D70">
        <w:rPr>
          <w:rFonts w:hAnsi="標楷體" w:hint="eastAsia"/>
        </w:rPr>
        <w:t>：「</w:t>
      </w:r>
      <w:r w:rsidR="008310D1" w:rsidRPr="008310D1">
        <w:rPr>
          <w:rFonts w:hAnsi="標楷體" w:hint="eastAsia"/>
        </w:rPr>
        <w:t>法院經由案件分配作業，決定案件之承辦法官，與司法公正及審判獨立之落實，具有密切關係。為維護法官之公平獨立審判，並增進審判權有效率運作，法院案件之分配，如依事先訂定之一般抽象規範，將案件客觀公平合理分配於法官，足以摒除恣意或其他不當干涉案件分配作業者，即與保障人民訴訟權之憲法意旨，並無不符。法官就受理之案件，負有合法、公正、妥速處理之職責，而各法院之組織規模、案件負擔、法官人數等情況各異，且案件分配涉及法官之獨立審判職責及工作之公平負荷，於</w:t>
      </w:r>
      <w:proofErr w:type="gramStart"/>
      <w:r w:rsidR="008310D1" w:rsidRPr="008310D1">
        <w:rPr>
          <w:rFonts w:hAnsi="標楷體" w:hint="eastAsia"/>
        </w:rPr>
        <w:t>不</w:t>
      </w:r>
      <w:proofErr w:type="gramEnd"/>
      <w:r w:rsidR="008310D1" w:rsidRPr="008310D1">
        <w:rPr>
          <w:rFonts w:hAnsi="標楷體" w:hint="eastAsia"/>
        </w:rPr>
        <w:t>牴觸法律、司法院訂定之法規命令及行政規則（法院組織法第</w:t>
      </w:r>
      <w:r w:rsidR="00583DB8">
        <w:rPr>
          <w:rFonts w:hAnsi="標楷體" w:hint="eastAsia"/>
        </w:rPr>
        <w:t>7</w:t>
      </w:r>
      <w:r w:rsidR="00583DB8">
        <w:rPr>
          <w:rFonts w:hAnsi="標楷體"/>
        </w:rPr>
        <w:t>8</w:t>
      </w:r>
      <w:r w:rsidR="008310D1" w:rsidRPr="008310D1">
        <w:rPr>
          <w:rFonts w:hAnsi="標楷體" w:hint="eastAsia"/>
        </w:rPr>
        <w:t>條、第</w:t>
      </w:r>
      <w:r w:rsidR="00583DB8">
        <w:rPr>
          <w:rFonts w:hAnsi="標楷體" w:hint="eastAsia"/>
        </w:rPr>
        <w:t>7</w:t>
      </w:r>
      <w:r w:rsidR="00583DB8">
        <w:rPr>
          <w:rFonts w:hAnsi="標楷體"/>
        </w:rPr>
        <w:t>9</w:t>
      </w:r>
      <w:r w:rsidR="008310D1" w:rsidRPr="008310D1">
        <w:rPr>
          <w:rFonts w:hAnsi="標楷體" w:hint="eastAsia"/>
        </w:rPr>
        <w:t>條參照）時，法院就受理案件分配之事務，自得於合理及必要之範圍內，訂定補充規範，</w:t>
      </w:r>
      <w:proofErr w:type="gramStart"/>
      <w:r w:rsidR="008310D1" w:rsidRPr="008310D1">
        <w:rPr>
          <w:rFonts w:hAnsi="標楷體" w:hint="eastAsia"/>
        </w:rPr>
        <w:t>俾</w:t>
      </w:r>
      <w:proofErr w:type="gramEnd"/>
      <w:r w:rsidR="008310D1" w:rsidRPr="008310D1">
        <w:rPr>
          <w:rFonts w:hAnsi="標楷體" w:hint="eastAsia"/>
        </w:rPr>
        <w:t>符合各法院受理案件現實狀況之需求，以避免恣意及其他不當之干預，並提升審判運作之效率</w:t>
      </w:r>
      <w:r w:rsidR="00A35256">
        <w:rPr>
          <w:rFonts w:hAnsi="標楷體" w:hint="eastAsia"/>
        </w:rPr>
        <w:t>。</w:t>
      </w:r>
      <w:r w:rsidR="00F55D70">
        <w:rPr>
          <w:rFonts w:hAnsi="標楷體" w:hint="eastAsia"/>
        </w:rPr>
        <w:t>」</w:t>
      </w:r>
    </w:p>
    <w:p w:rsidR="00183618" w:rsidRPr="00564BE5" w:rsidRDefault="00F55D70" w:rsidP="00183618">
      <w:pPr>
        <w:pStyle w:val="3"/>
        <w:rPr>
          <w:rFonts w:hAnsi="標楷體"/>
        </w:rPr>
      </w:pPr>
      <w:r w:rsidRPr="00F55D70">
        <w:rPr>
          <w:rFonts w:hAnsi="標楷體" w:hint="eastAsia"/>
        </w:rPr>
        <w:t>高等法院及所屬法院辦理民刑事訴訟案件流程管理實施要點</w:t>
      </w:r>
      <w:r w:rsidR="008F515E" w:rsidRPr="00F55D70">
        <w:rPr>
          <w:rFonts w:hAnsi="標楷體" w:hint="eastAsia"/>
        </w:rPr>
        <w:t>（下稱</w:t>
      </w:r>
      <w:r w:rsidR="008F515E">
        <w:rPr>
          <w:rFonts w:hAnsi="標楷體" w:hint="eastAsia"/>
        </w:rPr>
        <w:t>案件管理要點</w:t>
      </w:r>
      <w:r w:rsidR="006169E7">
        <w:rPr>
          <w:rFonts w:hAnsi="標楷體"/>
        </w:rPr>
        <w:t>）</w:t>
      </w:r>
      <w:r>
        <w:rPr>
          <w:rFonts w:hAnsi="標楷體" w:hint="eastAsia"/>
        </w:rPr>
        <w:t>第</w:t>
      </w:r>
      <w:r w:rsidR="00022671">
        <w:rPr>
          <w:rFonts w:hAnsi="標楷體" w:hint="eastAsia"/>
        </w:rPr>
        <w:t>3</w:t>
      </w:r>
      <w:r>
        <w:rPr>
          <w:rFonts w:hAnsi="標楷體" w:hint="eastAsia"/>
        </w:rPr>
        <w:t>點</w:t>
      </w:r>
      <w:r w:rsidR="00022671">
        <w:rPr>
          <w:rFonts w:hAnsi="標楷體" w:hint="eastAsia"/>
        </w:rPr>
        <w:t>第1項、第3項</w:t>
      </w:r>
      <w:r>
        <w:rPr>
          <w:rFonts w:hAnsi="標楷體" w:hint="eastAsia"/>
        </w:rPr>
        <w:t>規定：「</w:t>
      </w:r>
      <w:r w:rsidR="00022671" w:rsidRPr="00022671">
        <w:rPr>
          <w:rFonts w:hAnsi="標楷體" w:hint="eastAsia"/>
        </w:rPr>
        <w:t>第</w:t>
      </w:r>
      <w:r w:rsidR="009528E8">
        <w:rPr>
          <w:rFonts w:hAnsi="標楷體" w:hint="eastAsia"/>
        </w:rPr>
        <w:t>1</w:t>
      </w:r>
      <w:r w:rsidR="00022671" w:rsidRPr="00022671">
        <w:rPr>
          <w:rFonts w:hAnsi="標楷體" w:hint="eastAsia"/>
        </w:rPr>
        <w:t>類法院就刑事案件應實施案件流程管理。但法院認實施有窒礙難行，或無實施必要，敘明具體事由，報經司法院同意後，得不予實施</w:t>
      </w:r>
      <w:r w:rsidR="00022671">
        <w:rPr>
          <w:rFonts w:hAnsi="標楷體" w:hint="eastAsia"/>
        </w:rPr>
        <w:t>(第1項</w:t>
      </w:r>
      <w:r w:rsidR="00022671">
        <w:rPr>
          <w:rFonts w:hAnsi="標楷體"/>
        </w:rPr>
        <w:t>)</w:t>
      </w:r>
      <w:r w:rsidR="00022671" w:rsidRPr="00022671">
        <w:rPr>
          <w:rFonts w:hAnsi="標楷體" w:hint="eastAsia"/>
        </w:rPr>
        <w:t>。經法官會議議決後實施案件流程管理之法院，應陳報司法院備查</w:t>
      </w:r>
      <w:r w:rsidR="00022671">
        <w:rPr>
          <w:rFonts w:hAnsi="標楷體" w:hint="eastAsia"/>
        </w:rPr>
        <w:t>(第3項</w:t>
      </w:r>
      <w:r w:rsidR="00022671">
        <w:rPr>
          <w:rFonts w:hAnsi="標楷體"/>
        </w:rPr>
        <w:t>)</w:t>
      </w:r>
      <w:r w:rsidR="00022671" w:rsidRPr="00022671">
        <w:rPr>
          <w:rFonts w:hAnsi="標楷體" w:hint="eastAsia"/>
        </w:rPr>
        <w:t>。</w:t>
      </w:r>
      <w:r>
        <w:rPr>
          <w:rFonts w:hAnsi="標楷體" w:hint="eastAsia"/>
        </w:rPr>
        <w:t>」</w:t>
      </w:r>
      <w:r w:rsidR="000D3715">
        <w:rPr>
          <w:rFonts w:hAnsi="標楷體" w:hint="eastAsia"/>
        </w:rPr>
        <w:t>第4點規定：「</w:t>
      </w:r>
      <w:r w:rsidR="000D3715" w:rsidRPr="000D3715">
        <w:rPr>
          <w:rFonts w:hAnsi="標楷體" w:hint="eastAsia"/>
        </w:rPr>
        <w:t>四、審查庭所辦理之刑事案件，除經法官會議議決外，不包括下列案件：（一）社會矚目之案件。（二）違反總統副總統選舉罷免法、公職人員選舉罷免法或刑</w:t>
      </w:r>
      <w:r w:rsidR="000D3715" w:rsidRPr="000D3715">
        <w:rPr>
          <w:rFonts w:hAnsi="標楷體" w:hint="eastAsia"/>
        </w:rPr>
        <w:lastRenderedPageBreak/>
        <w:t>法分則第六章妨害投票罪之案件。（三）人犯隨案移審之案件。（四）醫療、性侵害之案件。（五）應適用國家機密保護法規定處理卷證之案件。（六）簡易案件。（七）最輕本刑為</w:t>
      </w:r>
      <w:r w:rsidR="000D3715">
        <w:rPr>
          <w:rFonts w:hAnsi="標楷體" w:hint="eastAsia"/>
        </w:rPr>
        <w:t>3</w:t>
      </w:r>
      <w:r w:rsidR="000D3715" w:rsidRPr="000D3715">
        <w:rPr>
          <w:rFonts w:hAnsi="標楷體" w:hint="eastAsia"/>
        </w:rPr>
        <w:t>年以上有期徒刑之強制辯護案件</w:t>
      </w:r>
      <w:r w:rsidR="000D3715">
        <w:rPr>
          <w:rFonts w:hAnsi="標楷體" w:hint="eastAsia"/>
        </w:rPr>
        <w:t>。」</w:t>
      </w:r>
      <w:r>
        <w:rPr>
          <w:rFonts w:hAnsi="標楷體" w:hint="eastAsia"/>
        </w:rPr>
        <w:t>第</w:t>
      </w:r>
      <w:r w:rsidR="00CF5C20">
        <w:rPr>
          <w:rFonts w:hAnsi="標楷體" w:hint="eastAsia"/>
        </w:rPr>
        <w:t>6</w:t>
      </w:r>
      <w:r>
        <w:rPr>
          <w:rFonts w:hAnsi="標楷體" w:hint="eastAsia"/>
        </w:rPr>
        <w:t>點規定：「</w:t>
      </w:r>
      <w:r w:rsidR="00CF5C20" w:rsidRPr="00CF5C20">
        <w:rPr>
          <w:rFonts w:hAnsi="標楷體" w:hint="eastAsia"/>
        </w:rPr>
        <w:t>刑事審查庭法官，就分受案件</w:t>
      </w:r>
      <w:proofErr w:type="gramStart"/>
      <w:r w:rsidR="00CF5C20" w:rsidRPr="00CF5C20">
        <w:rPr>
          <w:rFonts w:hAnsi="標楷體" w:hint="eastAsia"/>
        </w:rPr>
        <w:t>依其審級</w:t>
      </w:r>
      <w:proofErr w:type="gramEnd"/>
      <w:r w:rsidR="00CF5C20" w:rsidRPr="00CF5C20">
        <w:rPr>
          <w:rFonts w:hAnsi="標楷體" w:hint="eastAsia"/>
        </w:rPr>
        <w:t>處理下列各款事項</w:t>
      </w:r>
      <w:r w:rsidR="00CF5C20">
        <w:rPr>
          <w:rFonts w:hAnsi="標楷體" w:hint="eastAsia"/>
        </w:rPr>
        <w:t>：</w:t>
      </w:r>
      <w:r w:rsidR="009528E8">
        <w:rPr>
          <w:rFonts w:hAnsi="標楷體" w:hint="eastAsia"/>
        </w:rPr>
        <w:t>(</w:t>
      </w:r>
      <w:proofErr w:type="gramStart"/>
      <w:r w:rsidR="009528E8">
        <w:rPr>
          <w:rFonts w:hAnsi="標楷體" w:hint="eastAsia"/>
        </w:rPr>
        <w:t>一</w:t>
      </w:r>
      <w:proofErr w:type="gramEnd"/>
      <w:r w:rsidR="009528E8">
        <w:rPr>
          <w:rFonts w:hAnsi="標楷體"/>
        </w:rPr>
        <w:t>)</w:t>
      </w:r>
      <w:r w:rsidR="000D3715" w:rsidRPr="000D3715">
        <w:rPr>
          <w:rFonts w:hAnsi="標楷體" w:hint="eastAsia"/>
        </w:rPr>
        <w:t>起訴於法律上必備之程式有欠缺而應定</w:t>
      </w:r>
      <w:proofErr w:type="gramStart"/>
      <w:r w:rsidR="000D3715" w:rsidRPr="000D3715">
        <w:rPr>
          <w:rFonts w:hAnsi="標楷體" w:hint="eastAsia"/>
        </w:rPr>
        <w:t>期間命</w:t>
      </w:r>
      <w:proofErr w:type="gramEnd"/>
      <w:r w:rsidR="000D3715" w:rsidRPr="000D3715">
        <w:rPr>
          <w:rFonts w:hAnsi="標楷體" w:hint="eastAsia"/>
        </w:rPr>
        <w:t>補正並處理之。（二）應</w:t>
      </w:r>
      <w:proofErr w:type="gramStart"/>
      <w:r w:rsidR="000D3715" w:rsidRPr="000D3715">
        <w:rPr>
          <w:rFonts w:hAnsi="標楷體" w:hint="eastAsia"/>
        </w:rPr>
        <w:t>諭</w:t>
      </w:r>
      <w:proofErr w:type="gramEnd"/>
      <w:r w:rsidR="000D3715" w:rsidRPr="000D3715">
        <w:rPr>
          <w:rFonts w:hAnsi="標楷體" w:hint="eastAsia"/>
        </w:rPr>
        <w:t>知管轄錯誤、不受理</w:t>
      </w:r>
      <w:proofErr w:type="gramStart"/>
      <w:r w:rsidR="000D3715" w:rsidRPr="000D3715">
        <w:rPr>
          <w:rFonts w:hAnsi="標楷體" w:hint="eastAsia"/>
        </w:rPr>
        <w:t>或免訴之</w:t>
      </w:r>
      <w:proofErr w:type="gramEnd"/>
      <w:r w:rsidR="000D3715" w:rsidRPr="000D3715">
        <w:rPr>
          <w:rFonts w:hAnsi="標楷體" w:hint="eastAsia"/>
        </w:rPr>
        <w:t>判決。（三）顯不足認定被告有犯罪之可能而得裁定駁回起訴。（四）起訴效力所及之範圍與有無變更檢察官</w:t>
      </w:r>
      <w:proofErr w:type="gramStart"/>
      <w:r w:rsidR="000D3715" w:rsidRPr="000D3715">
        <w:rPr>
          <w:rFonts w:hAnsi="標楷體" w:hint="eastAsia"/>
        </w:rPr>
        <w:t>所引應適用</w:t>
      </w:r>
      <w:proofErr w:type="gramEnd"/>
      <w:r w:rsidR="000D3715" w:rsidRPr="000D3715">
        <w:rPr>
          <w:rFonts w:hAnsi="標楷體" w:hint="eastAsia"/>
        </w:rPr>
        <w:t>法條之情形。（五）訊問被告、代理人及辯護人對檢察官起訴事實是否為認罪之答辯，決定可否適用簡式審判程序、簡易程序或協商程序並處理之。（六）關於羈押、具保、責付、限制住居、限制出境、限制出海、證據保全及刑事訴訟法第</w:t>
      </w:r>
      <w:r w:rsidR="009F6190">
        <w:rPr>
          <w:rFonts w:hAnsi="標楷體" w:hint="eastAsia"/>
        </w:rPr>
        <w:t>1</w:t>
      </w:r>
      <w:r w:rsidR="009F6190">
        <w:rPr>
          <w:rFonts w:hAnsi="標楷體"/>
        </w:rPr>
        <w:t>05</w:t>
      </w:r>
      <w:r w:rsidR="000D3715" w:rsidRPr="000D3715">
        <w:rPr>
          <w:rFonts w:hAnsi="標楷體" w:hint="eastAsia"/>
        </w:rPr>
        <w:t>條第</w:t>
      </w:r>
      <w:r w:rsidR="009F6190">
        <w:rPr>
          <w:rFonts w:hAnsi="標楷體" w:hint="eastAsia"/>
        </w:rPr>
        <w:t>3</w:t>
      </w:r>
      <w:r w:rsidR="000D3715" w:rsidRPr="000D3715">
        <w:rPr>
          <w:rFonts w:hAnsi="標楷體" w:hint="eastAsia"/>
        </w:rPr>
        <w:t>項、第</w:t>
      </w:r>
      <w:r w:rsidR="009F6190">
        <w:rPr>
          <w:rFonts w:hAnsi="標楷體" w:hint="eastAsia"/>
        </w:rPr>
        <w:t>4</w:t>
      </w:r>
      <w:r w:rsidR="000D3715" w:rsidRPr="000D3715">
        <w:rPr>
          <w:rFonts w:hAnsi="標楷體" w:hint="eastAsia"/>
        </w:rPr>
        <w:t>項規定之禁止或扣押等事宜之裁定。（七）刑事附帶民事訴訟事件</w:t>
      </w:r>
      <w:r w:rsidR="000D3715">
        <w:rPr>
          <w:rFonts w:hAnsi="標楷體" w:hint="eastAsia"/>
        </w:rPr>
        <w:t>。(</w:t>
      </w:r>
      <w:r w:rsidR="00E440F8">
        <w:rPr>
          <w:rFonts w:hAnsi="標楷體" w:hint="eastAsia"/>
        </w:rPr>
        <w:t>八</w:t>
      </w:r>
      <w:r w:rsidR="000D3715">
        <w:rPr>
          <w:rFonts w:hAnsi="標楷體" w:hint="eastAsia"/>
        </w:rPr>
        <w:t>)</w:t>
      </w:r>
      <w:r w:rsidR="00E440F8" w:rsidRPr="00E440F8">
        <w:rPr>
          <w:rFonts w:hAnsi="標楷體" w:hint="eastAsia"/>
        </w:rPr>
        <w:t>經法官會議議決辦理刑事訴訟法第</w:t>
      </w:r>
      <w:r w:rsidR="00E440F8">
        <w:rPr>
          <w:rFonts w:hAnsi="標楷體" w:hint="eastAsia"/>
        </w:rPr>
        <w:t>2</w:t>
      </w:r>
      <w:r w:rsidR="00E440F8">
        <w:rPr>
          <w:rFonts w:hAnsi="標楷體"/>
        </w:rPr>
        <w:t>73</w:t>
      </w:r>
      <w:r w:rsidR="00E440F8" w:rsidRPr="00E440F8">
        <w:rPr>
          <w:rFonts w:hAnsi="標楷體" w:hint="eastAsia"/>
        </w:rPr>
        <w:t>條第</w:t>
      </w:r>
      <w:r w:rsidR="00E440F8">
        <w:rPr>
          <w:rFonts w:hAnsi="標楷體" w:hint="eastAsia"/>
        </w:rPr>
        <w:t>1</w:t>
      </w:r>
      <w:r w:rsidR="00E440F8" w:rsidRPr="00E440F8">
        <w:rPr>
          <w:rFonts w:hAnsi="標楷體" w:hint="eastAsia"/>
        </w:rPr>
        <w:t>項第</w:t>
      </w:r>
      <w:r w:rsidR="00E440F8">
        <w:rPr>
          <w:rFonts w:hAnsi="標楷體" w:hint="eastAsia"/>
        </w:rPr>
        <w:t>3</w:t>
      </w:r>
      <w:r w:rsidR="00E440F8" w:rsidRPr="00E440F8">
        <w:rPr>
          <w:rFonts w:hAnsi="標楷體" w:hint="eastAsia"/>
        </w:rPr>
        <w:t>款至第</w:t>
      </w:r>
      <w:r w:rsidR="00E440F8">
        <w:rPr>
          <w:rFonts w:hAnsi="標楷體" w:hint="eastAsia"/>
        </w:rPr>
        <w:t>8</w:t>
      </w:r>
      <w:r w:rsidR="00E440F8" w:rsidRPr="00E440F8">
        <w:rPr>
          <w:rFonts w:hAnsi="標楷體" w:hint="eastAsia"/>
        </w:rPr>
        <w:t>款之事</w:t>
      </w:r>
      <w:r w:rsidR="00E440F8">
        <w:rPr>
          <w:rFonts w:hAnsi="標楷體" w:hint="eastAsia"/>
        </w:rPr>
        <w:t>項</w:t>
      </w:r>
      <w:r w:rsidR="006169E7">
        <w:rPr>
          <w:rFonts w:hAnsi="標楷體" w:hint="eastAsia"/>
        </w:rPr>
        <w:t>。</w:t>
      </w:r>
      <w:r>
        <w:rPr>
          <w:rFonts w:hAnsi="標楷體" w:hint="eastAsia"/>
        </w:rPr>
        <w:t>」</w:t>
      </w:r>
    </w:p>
    <w:p w:rsidR="00115568" w:rsidRPr="00564BE5" w:rsidRDefault="002C6FBF" w:rsidP="00115568">
      <w:pPr>
        <w:pStyle w:val="3"/>
        <w:rPr>
          <w:rFonts w:hAnsi="標楷體"/>
        </w:rPr>
      </w:pPr>
      <w:r>
        <w:rPr>
          <w:rFonts w:hAnsi="標楷體" w:hint="eastAsia"/>
        </w:rPr>
        <w:t>據</w:t>
      </w:r>
      <w:proofErr w:type="gramStart"/>
      <w:r>
        <w:rPr>
          <w:rFonts w:hAnsi="標楷體" w:hint="eastAsia"/>
        </w:rPr>
        <w:t>司法院查復</w:t>
      </w:r>
      <w:proofErr w:type="gramEnd"/>
      <w:r>
        <w:rPr>
          <w:rFonts w:hAnsi="標楷體" w:hint="eastAsia"/>
        </w:rPr>
        <w:t>，目前地方法院刑事庭</w:t>
      </w:r>
      <w:r w:rsidR="00F55D70">
        <w:rPr>
          <w:rFonts w:hAnsi="標楷體" w:hint="eastAsia"/>
        </w:rPr>
        <w:t>設有</w:t>
      </w:r>
      <w:r>
        <w:rPr>
          <w:rFonts w:hAnsi="標楷體" w:hint="eastAsia"/>
        </w:rPr>
        <w:t>審查庭</w:t>
      </w:r>
      <w:r w:rsidR="00F55D70">
        <w:rPr>
          <w:rFonts w:hAnsi="標楷體" w:hint="eastAsia"/>
        </w:rPr>
        <w:t>機制</w:t>
      </w:r>
      <w:r>
        <w:rPr>
          <w:rFonts w:hAnsi="標楷體" w:hint="eastAsia"/>
        </w:rPr>
        <w:t>者，</w:t>
      </w:r>
      <w:r w:rsidR="00F55D70">
        <w:rPr>
          <w:rFonts w:hAnsi="標楷體" w:hint="eastAsia"/>
        </w:rPr>
        <w:t>除</w:t>
      </w:r>
      <w:proofErr w:type="gramStart"/>
      <w:r w:rsidR="00F55D70">
        <w:rPr>
          <w:rFonts w:hAnsi="標楷體" w:hint="eastAsia"/>
        </w:rPr>
        <w:t>臺</w:t>
      </w:r>
      <w:proofErr w:type="gramEnd"/>
      <w:r w:rsidR="00F55D70">
        <w:rPr>
          <w:rFonts w:hAnsi="標楷體" w:hint="eastAsia"/>
        </w:rPr>
        <w:t>北地院外，尚</w:t>
      </w:r>
      <w:r>
        <w:rPr>
          <w:rFonts w:hAnsi="標楷體" w:hint="eastAsia"/>
        </w:rPr>
        <w:t>有</w:t>
      </w:r>
      <w:r w:rsidR="00F55D70" w:rsidRPr="00B5558E">
        <w:rPr>
          <w:rFonts w:hAnsi="標楷體" w:hint="eastAsia"/>
        </w:rPr>
        <w:t>臺灣新北地方法院、臺灣士林地方法院、臺灣桃園地方法院、臺灣高雄地方法院及臺灣橋頭地方法院</w:t>
      </w:r>
      <w:r w:rsidR="00F55D70">
        <w:rPr>
          <w:rFonts w:hAnsi="標楷體" w:hint="eastAsia"/>
        </w:rPr>
        <w:t>。</w:t>
      </w:r>
      <w:r w:rsidR="001804BA">
        <w:rPr>
          <w:rFonts w:hAnsi="標楷體" w:hint="eastAsia"/>
        </w:rPr>
        <w:t>為</w:t>
      </w:r>
      <w:r w:rsidR="00F55D70" w:rsidRPr="00F55D70">
        <w:rPr>
          <w:rFonts w:hAnsi="標楷體" w:hint="eastAsia"/>
        </w:rPr>
        <w:t>加速案件審結，保障人民權益</w:t>
      </w:r>
      <w:r w:rsidR="001804BA" w:rsidRPr="00F55D70">
        <w:rPr>
          <w:rFonts w:hAnsi="標楷體" w:hint="eastAsia"/>
        </w:rPr>
        <w:t>，提升裁判品質</w:t>
      </w:r>
      <w:r w:rsidR="00F55D70" w:rsidRPr="00F55D70">
        <w:rPr>
          <w:rFonts w:hAnsi="標楷體" w:hint="eastAsia"/>
        </w:rPr>
        <w:t>，</w:t>
      </w:r>
      <w:r w:rsidR="001804BA">
        <w:rPr>
          <w:rFonts w:hAnsi="標楷體" w:hint="eastAsia"/>
        </w:rPr>
        <w:t>該</w:t>
      </w:r>
      <w:r w:rsidR="00F55D70" w:rsidRPr="00F55D70">
        <w:rPr>
          <w:rFonts w:hAnsi="標楷體" w:hint="eastAsia"/>
        </w:rPr>
        <w:t>院訂</w:t>
      </w:r>
      <w:r w:rsidR="00611547">
        <w:rPr>
          <w:rFonts w:hAnsi="標楷體" w:hint="eastAsia"/>
        </w:rPr>
        <w:t>有</w:t>
      </w:r>
      <w:r w:rsidR="00F55D70" w:rsidRPr="00F55D70">
        <w:rPr>
          <w:rFonts w:hAnsi="標楷體" w:hint="eastAsia"/>
        </w:rPr>
        <w:t>案件管理要點，供高等法院及所屬法院辦理訴訟案件流程管理時依循。</w:t>
      </w:r>
      <w:r w:rsidR="00611547">
        <w:rPr>
          <w:rFonts w:hAnsi="標楷體" w:hint="eastAsia"/>
        </w:rPr>
        <w:t>而</w:t>
      </w:r>
      <w:r w:rsidR="00F55D70" w:rsidRPr="00F55D70">
        <w:rPr>
          <w:rFonts w:hAnsi="標楷體" w:hint="eastAsia"/>
        </w:rPr>
        <w:t>因各地方法院之刑事案件質量結構、人力資源等條件</w:t>
      </w:r>
      <w:r w:rsidR="00611547">
        <w:rPr>
          <w:rFonts w:hAnsi="標楷體" w:hint="eastAsia"/>
        </w:rPr>
        <w:t>不盡</w:t>
      </w:r>
      <w:r w:rsidR="00F55D70" w:rsidRPr="00F55D70">
        <w:rPr>
          <w:rFonts w:hAnsi="標楷體" w:hint="eastAsia"/>
        </w:rPr>
        <w:t>相同</w:t>
      </w:r>
      <w:r w:rsidR="00611547">
        <w:rPr>
          <w:rFonts w:hAnsi="標楷體" w:hint="eastAsia"/>
        </w:rPr>
        <w:t>，</w:t>
      </w:r>
      <w:r w:rsidR="00611547" w:rsidRPr="00F55D70">
        <w:rPr>
          <w:rFonts w:hAnsi="標楷體" w:hint="eastAsia"/>
        </w:rPr>
        <w:t>案件管理要點</w:t>
      </w:r>
      <w:r w:rsidR="00021BFF">
        <w:rPr>
          <w:rFonts w:hAnsi="標楷體" w:hint="eastAsia"/>
        </w:rPr>
        <w:t>第3點明定各法院得</w:t>
      </w:r>
      <w:r w:rsidR="00021BFF" w:rsidRPr="00021BFF">
        <w:rPr>
          <w:rFonts w:hAnsi="標楷體" w:hint="eastAsia"/>
        </w:rPr>
        <w:t>決定是否實施案件流程管理</w:t>
      </w:r>
      <w:r w:rsidR="00021BFF">
        <w:rPr>
          <w:rFonts w:hAnsi="標楷體" w:hint="eastAsia"/>
        </w:rPr>
        <w:t>，第4點則明定審查庭不受理之案件類型，包括醫療、</w:t>
      </w:r>
      <w:proofErr w:type="gramStart"/>
      <w:r w:rsidR="00021BFF">
        <w:rPr>
          <w:rFonts w:hAnsi="標楷體" w:hint="eastAsia"/>
        </w:rPr>
        <w:t>性侵案件</w:t>
      </w:r>
      <w:proofErr w:type="gramEnd"/>
      <w:r w:rsidR="00021BFF">
        <w:rPr>
          <w:rFonts w:hAnsi="標楷體" w:hint="eastAsia"/>
        </w:rPr>
        <w:t>、人犯移案移審、總統副總統或公職人員選舉罷免、強制辯護等案件。</w:t>
      </w:r>
    </w:p>
    <w:p w:rsidR="00021BFF" w:rsidRDefault="002C6FBF" w:rsidP="00115568">
      <w:pPr>
        <w:pStyle w:val="3"/>
        <w:rPr>
          <w:rFonts w:hAnsi="標楷體"/>
        </w:rPr>
      </w:pPr>
      <w:r>
        <w:rPr>
          <w:rFonts w:hAnsi="標楷體" w:hint="eastAsia"/>
        </w:rPr>
        <w:lastRenderedPageBreak/>
        <w:t>據本院諮詢專家表示，</w:t>
      </w:r>
      <w:r w:rsidR="00890CEC">
        <w:rPr>
          <w:rFonts w:hAnsi="標楷體" w:hint="eastAsia"/>
        </w:rPr>
        <w:t>據其等</w:t>
      </w:r>
      <w:r w:rsidR="000D2BF6">
        <w:rPr>
          <w:rFonts w:hAnsi="標楷體" w:hint="eastAsia"/>
        </w:rPr>
        <w:t>實務經歷</w:t>
      </w:r>
      <w:r w:rsidR="00890CEC">
        <w:rPr>
          <w:rFonts w:hAnsi="標楷體" w:hint="eastAsia"/>
        </w:rPr>
        <w:t>，</w:t>
      </w:r>
      <w:r w:rsidR="00021BFF">
        <w:rPr>
          <w:rFonts w:hAnsi="標楷體" w:hint="eastAsia"/>
        </w:rPr>
        <w:t>目前地方法院審查庭</w:t>
      </w:r>
      <w:r w:rsidR="00890CEC">
        <w:rPr>
          <w:rFonts w:hAnsi="標楷體" w:hint="eastAsia"/>
        </w:rPr>
        <w:t>之運作實務，</w:t>
      </w:r>
      <w:r w:rsidR="00A455E1">
        <w:rPr>
          <w:rFonts w:hAnsi="標楷體" w:hint="eastAsia"/>
        </w:rPr>
        <w:t>具</w:t>
      </w:r>
      <w:r w:rsidR="00021BFF">
        <w:rPr>
          <w:rFonts w:hAnsi="標楷體" w:hint="eastAsia"/>
        </w:rPr>
        <w:t>下列</w:t>
      </w:r>
      <w:r w:rsidR="00A455E1">
        <w:rPr>
          <w:rFonts w:hAnsi="標楷體" w:hint="eastAsia"/>
        </w:rPr>
        <w:t>瑕疵</w:t>
      </w:r>
      <w:r w:rsidR="00021BFF">
        <w:rPr>
          <w:rFonts w:hAnsi="標楷體" w:hint="eastAsia"/>
        </w:rPr>
        <w:t>：</w:t>
      </w:r>
    </w:p>
    <w:p w:rsidR="00021BFF" w:rsidRDefault="00633F44" w:rsidP="00021BFF">
      <w:pPr>
        <w:pStyle w:val="4"/>
      </w:pPr>
      <w:r>
        <w:rPr>
          <w:rFonts w:hint="eastAsia"/>
        </w:rPr>
        <w:t>各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行審查庭法院之標準未盡一致，部分重大案件</w:t>
      </w:r>
      <w:r w:rsidR="00890CEC">
        <w:rPr>
          <w:rFonts w:hint="eastAsia"/>
        </w:rPr>
        <w:t>仍需經過審查庭，造成程序</w:t>
      </w:r>
      <w:r w:rsidR="00C21DE4">
        <w:rPr>
          <w:rFonts w:hint="eastAsia"/>
        </w:rPr>
        <w:t>重複。</w:t>
      </w:r>
      <w:proofErr w:type="gramStart"/>
      <w:r w:rsidR="00692B35">
        <w:rPr>
          <w:rFonts w:hint="eastAsia"/>
        </w:rPr>
        <w:t>此外</w:t>
      </w:r>
      <w:r w:rsidR="00C21DE4">
        <w:rPr>
          <w:rFonts w:hint="eastAsia"/>
        </w:rPr>
        <w:t>，</w:t>
      </w:r>
      <w:proofErr w:type="gramEnd"/>
      <w:r w:rsidR="000D2BF6">
        <w:rPr>
          <w:rFonts w:hint="eastAsia"/>
        </w:rPr>
        <w:t>當事人與辯護人也未必</w:t>
      </w:r>
      <w:r w:rsidR="00692B35">
        <w:rPr>
          <w:rFonts w:hint="eastAsia"/>
        </w:rPr>
        <w:t>明白</w:t>
      </w:r>
      <w:r w:rsidR="000D2BF6">
        <w:rPr>
          <w:rFonts w:hint="eastAsia"/>
        </w:rPr>
        <w:t>審查庭對於</w:t>
      </w:r>
      <w:r w:rsidR="00A4673B">
        <w:rPr>
          <w:rFonts w:hint="eastAsia"/>
        </w:rPr>
        <w:t>何種</w:t>
      </w:r>
      <w:r w:rsidR="000D2BF6">
        <w:rPr>
          <w:rFonts w:hint="eastAsia"/>
        </w:rPr>
        <w:t>案件有權自行審</w:t>
      </w:r>
      <w:r w:rsidR="00AF050D">
        <w:rPr>
          <w:rFonts w:hint="eastAsia"/>
        </w:rPr>
        <w:t>結</w:t>
      </w:r>
      <w:r w:rsidR="00890CEC">
        <w:rPr>
          <w:rFonts w:hint="eastAsia"/>
        </w:rPr>
        <w:t>。</w:t>
      </w:r>
    </w:p>
    <w:p w:rsidR="00021BFF" w:rsidRDefault="00633F44" w:rsidP="00021BFF">
      <w:pPr>
        <w:pStyle w:val="4"/>
      </w:pPr>
      <w:r>
        <w:rPr>
          <w:rFonts w:hint="eastAsia"/>
        </w:rPr>
        <w:t>審查庭案件量甚大，</w:t>
      </w:r>
      <w:r w:rsidR="00890CEC">
        <w:rPr>
          <w:rFonts w:hint="eastAsia"/>
        </w:rPr>
        <w:t>當事人與辯護人常需</w:t>
      </w:r>
      <w:proofErr w:type="gramStart"/>
      <w:r w:rsidR="00890CEC">
        <w:rPr>
          <w:rFonts w:hint="eastAsia"/>
        </w:rPr>
        <w:t>面對拖庭或</w:t>
      </w:r>
      <w:proofErr w:type="gramEnd"/>
      <w:r w:rsidR="00890CEC">
        <w:rPr>
          <w:rFonts w:hint="eastAsia"/>
        </w:rPr>
        <w:t>長時間等待</w:t>
      </w:r>
      <w:r>
        <w:rPr>
          <w:rFonts w:hint="eastAsia"/>
        </w:rPr>
        <w:t>。</w:t>
      </w:r>
    </w:p>
    <w:p w:rsidR="00021BFF" w:rsidRDefault="00890CEC" w:rsidP="00021BFF">
      <w:pPr>
        <w:pStyle w:val="4"/>
      </w:pPr>
      <w:r>
        <w:rPr>
          <w:rFonts w:hint="eastAsia"/>
        </w:rPr>
        <w:t>審查庭法官在</w:t>
      </w:r>
      <w:proofErr w:type="gramStart"/>
      <w:r>
        <w:rPr>
          <w:rFonts w:hint="eastAsia"/>
        </w:rPr>
        <w:t>自結率影響</w:t>
      </w:r>
      <w:proofErr w:type="gramEnd"/>
      <w:r>
        <w:rPr>
          <w:rFonts w:hint="eastAsia"/>
        </w:rPr>
        <w:t>下，職權色彩加重，進而弱化</w:t>
      </w:r>
      <w:r w:rsidR="00C21DE4">
        <w:rPr>
          <w:rFonts w:hint="eastAsia"/>
        </w:rPr>
        <w:t>公訴</w:t>
      </w:r>
      <w:r>
        <w:rPr>
          <w:rFonts w:hint="eastAsia"/>
        </w:rPr>
        <w:t>檢察官舉證責任，即便被告有委任律師，被告與</w:t>
      </w:r>
      <w:proofErr w:type="gramStart"/>
      <w:r>
        <w:rPr>
          <w:rFonts w:hint="eastAsia"/>
        </w:rPr>
        <w:t>辯護人均會感到</w:t>
      </w:r>
      <w:proofErr w:type="gramEnd"/>
      <w:r>
        <w:rPr>
          <w:rFonts w:hint="eastAsia"/>
        </w:rPr>
        <w:t>法官質問是否認罪的壓力</w:t>
      </w:r>
      <w:r w:rsidR="000D2BF6">
        <w:rPr>
          <w:rFonts w:hint="eastAsia"/>
        </w:rPr>
        <w:t>。</w:t>
      </w:r>
      <w:proofErr w:type="gramStart"/>
      <w:r w:rsidR="000D2BF6">
        <w:rPr>
          <w:rFonts w:hint="eastAsia"/>
        </w:rPr>
        <w:t>此外，</w:t>
      </w:r>
      <w:proofErr w:type="gramEnd"/>
      <w:r w:rsidR="000D2BF6">
        <w:rPr>
          <w:rFonts w:hint="eastAsia"/>
        </w:rPr>
        <w:t>即便</w:t>
      </w:r>
      <w:r w:rsidR="00ED310D">
        <w:rPr>
          <w:rFonts w:hint="eastAsia"/>
        </w:rPr>
        <w:t>被告已否認犯罪，提出答辯方向，甚至</w:t>
      </w:r>
      <w:r w:rsidR="000D2BF6">
        <w:rPr>
          <w:rFonts w:hint="eastAsia"/>
        </w:rPr>
        <w:t>聲請調查證據，部分審查庭法官仍將案件留於審查庭自結，恐已不符審查庭制度之原意。</w:t>
      </w:r>
    </w:p>
    <w:p w:rsidR="00611547" w:rsidRPr="00611547" w:rsidRDefault="00611547" w:rsidP="00611547">
      <w:pPr>
        <w:pStyle w:val="3"/>
        <w:rPr>
          <w:rFonts w:hAnsi="標楷體"/>
        </w:rPr>
      </w:pPr>
      <w:r>
        <w:rPr>
          <w:rFonts w:hAnsi="標楷體" w:hint="eastAsia"/>
        </w:rPr>
        <w:t>對此</w:t>
      </w:r>
      <w:r w:rsidR="000D2BF6">
        <w:rPr>
          <w:rFonts w:hAnsi="標楷體" w:hint="eastAsia"/>
        </w:rPr>
        <w:t>，司法院表示，</w:t>
      </w:r>
      <w:r w:rsidR="008E7297">
        <w:rPr>
          <w:rFonts w:hAnsi="標楷體" w:hint="eastAsia"/>
        </w:rPr>
        <w:t>案件管理要點</w:t>
      </w:r>
      <w:r w:rsidRPr="00611547">
        <w:rPr>
          <w:rFonts w:hAnsi="標楷體" w:hint="eastAsia"/>
        </w:rPr>
        <w:t>第6點規定，審查庭法官需訊問被告就檢察官起訴事實是否為認罪答辯，僅為審查具體個案</w:t>
      </w:r>
      <w:proofErr w:type="gramStart"/>
      <w:r w:rsidRPr="00611547">
        <w:rPr>
          <w:rFonts w:hAnsi="標楷體" w:hint="eastAsia"/>
        </w:rPr>
        <w:t>是否屬明案</w:t>
      </w:r>
      <w:proofErr w:type="gramEnd"/>
      <w:r w:rsidR="00E260B4">
        <w:rPr>
          <w:rFonts w:hAnsi="標楷體" w:hint="eastAsia"/>
        </w:rPr>
        <w:t>。</w:t>
      </w:r>
      <w:r w:rsidRPr="00611547">
        <w:rPr>
          <w:rFonts w:hAnsi="標楷體" w:hint="eastAsia"/>
        </w:rPr>
        <w:t>宜由審查庭處理之程序，並未就該案進行證據調查或辯論。</w:t>
      </w:r>
      <w:r w:rsidR="008E7297" w:rsidRPr="00611547">
        <w:rPr>
          <w:rFonts w:hAnsi="標楷體" w:hint="eastAsia"/>
        </w:rPr>
        <w:t>同點第8款</w:t>
      </w:r>
      <w:r w:rsidR="008E7297">
        <w:rPr>
          <w:rFonts w:hAnsi="標楷體" w:hint="eastAsia"/>
        </w:rPr>
        <w:t>明定</w:t>
      </w:r>
      <w:r w:rsidR="008E7297" w:rsidRPr="00611547">
        <w:rPr>
          <w:rFonts w:hAnsi="標楷體" w:hint="eastAsia"/>
        </w:rPr>
        <w:t>「經法官會議議決辦理刑事訴訟法第273條第1項第3款至第8款之事項」</w:t>
      </w:r>
      <w:r w:rsidR="001E2678">
        <w:rPr>
          <w:rFonts w:hAnsi="標楷體" w:hint="eastAsia"/>
        </w:rPr>
        <w:t>，是審查庭法官得就</w:t>
      </w:r>
      <w:r w:rsidRPr="00611547">
        <w:rPr>
          <w:rFonts w:hAnsi="標楷體" w:hint="eastAsia"/>
        </w:rPr>
        <w:t>「案件及證據之重要爭點」</w:t>
      </w:r>
      <w:r w:rsidR="001E2678">
        <w:rPr>
          <w:rFonts w:hAnsi="標楷體" w:hint="eastAsia"/>
        </w:rPr>
        <w:t>進行審理</w:t>
      </w:r>
      <w:r w:rsidRPr="00611547">
        <w:rPr>
          <w:rFonts w:hAnsi="標楷體" w:hint="eastAsia"/>
        </w:rPr>
        <w:t>，</w:t>
      </w:r>
      <w:r w:rsidR="001E2678">
        <w:rPr>
          <w:rFonts w:hAnsi="標楷體" w:hint="eastAsia"/>
        </w:rPr>
        <w:t>至各法院</w:t>
      </w:r>
      <w:r w:rsidRPr="00611547">
        <w:rPr>
          <w:rFonts w:hAnsi="標楷體" w:hint="eastAsia"/>
        </w:rPr>
        <w:t>審查庭法官是否處理「案件及證據之重要爭點」，尊重各法院法官會議之議決。</w:t>
      </w:r>
      <w:r w:rsidR="003F209D">
        <w:rPr>
          <w:rFonts w:hAnsi="標楷體" w:hint="eastAsia"/>
        </w:rPr>
        <w:t>進入</w:t>
      </w:r>
      <w:r w:rsidR="00ED310D">
        <w:rPr>
          <w:rFonts w:hAnsi="標楷體" w:hint="eastAsia"/>
        </w:rPr>
        <w:t>審查庭</w:t>
      </w:r>
      <w:r w:rsidR="003F209D">
        <w:rPr>
          <w:rFonts w:hAnsi="標楷體" w:hint="eastAsia"/>
        </w:rPr>
        <w:t>之案件，不包括強制辯護案件，故案件委任律師比率偏低，至於審查庭</w:t>
      </w:r>
      <w:r w:rsidR="006F3598">
        <w:rPr>
          <w:rFonts w:hAnsi="標楷體" w:hint="eastAsia"/>
        </w:rPr>
        <w:t>之</w:t>
      </w:r>
      <w:r w:rsidR="00ED310D">
        <w:rPr>
          <w:rFonts w:hAnsi="標楷體" w:hint="eastAsia"/>
        </w:rPr>
        <w:t>法官</w:t>
      </w:r>
      <w:proofErr w:type="gramStart"/>
      <w:r w:rsidR="00E260B4">
        <w:rPr>
          <w:rFonts w:hAnsi="標楷體" w:hint="eastAsia"/>
        </w:rPr>
        <w:t>自結率</w:t>
      </w:r>
      <w:proofErr w:type="gramEnd"/>
      <w:r w:rsidR="00E260B4">
        <w:rPr>
          <w:rFonts w:hAnsi="標楷體" w:hint="eastAsia"/>
        </w:rPr>
        <w:t>，該院並無要求，係各法院</w:t>
      </w:r>
      <w:r w:rsidR="00ED310D">
        <w:rPr>
          <w:rFonts w:hAnsi="標楷體" w:hint="eastAsia"/>
        </w:rPr>
        <w:t>對審查庭之期待。</w:t>
      </w:r>
      <w:r w:rsidR="003F209D">
        <w:rPr>
          <w:rFonts w:hAnsi="標楷體" w:hint="eastAsia"/>
        </w:rPr>
        <w:t>審查庭法官所得辦理事項，仍須符合刑事訴訟法規定</w:t>
      </w:r>
      <w:r w:rsidR="00BD1A7B">
        <w:rPr>
          <w:rFonts w:hAnsi="標楷體" w:hint="eastAsia"/>
        </w:rPr>
        <w:t>。</w:t>
      </w:r>
    </w:p>
    <w:p w:rsidR="00115568" w:rsidRDefault="000D2BF6" w:rsidP="00115568">
      <w:pPr>
        <w:pStyle w:val="3"/>
        <w:rPr>
          <w:rFonts w:hAnsi="標楷體"/>
        </w:rPr>
      </w:pPr>
      <w:proofErr w:type="gramStart"/>
      <w:r>
        <w:rPr>
          <w:rFonts w:hAnsi="標楷體" w:hint="eastAsia"/>
        </w:rPr>
        <w:t>惟查</w:t>
      </w:r>
      <w:proofErr w:type="gramEnd"/>
      <w:r>
        <w:rPr>
          <w:rFonts w:hAnsi="標楷體" w:hint="eastAsia"/>
        </w:rPr>
        <w:t>，</w:t>
      </w:r>
      <w:r w:rsidR="007A0384">
        <w:rPr>
          <w:rFonts w:hAnsi="標楷體" w:hint="eastAsia"/>
        </w:rPr>
        <w:t>據</w:t>
      </w:r>
      <w:proofErr w:type="gramStart"/>
      <w:r w:rsidR="007A0384">
        <w:rPr>
          <w:rFonts w:hAnsi="標楷體" w:hint="eastAsia"/>
        </w:rPr>
        <w:t>臺</w:t>
      </w:r>
      <w:proofErr w:type="gramEnd"/>
      <w:r w:rsidR="007A0384">
        <w:rPr>
          <w:rFonts w:hAnsi="標楷體" w:hint="eastAsia"/>
        </w:rPr>
        <w:t>北地院查復，本案之審查庭劉法官</w:t>
      </w:r>
      <w:r w:rsidR="006F3598">
        <w:rPr>
          <w:rFonts w:hAnsi="標楷體" w:hint="eastAsia"/>
        </w:rPr>
        <w:t>，其</w:t>
      </w:r>
      <w:r w:rsidR="009739FB" w:rsidRPr="009739FB">
        <w:rPr>
          <w:rFonts w:hAnsi="標楷體" w:hint="eastAsia"/>
        </w:rPr>
        <w:lastRenderedPageBreak/>
        <w:t>案件量</w:t>
      </w:r>
      <w:r w:rsidR="00DE0189">
        <w:rPr>
          <w:rFonts w:hAnsi="標楷體" w:hint="eastAsia"/>
        </w:rPr>
        <w:t>甚</w:t>
      </w:r>
      <w:r w:rsidR="007A0384">
        <w:rPr>
          <w:rFonts w:hAnsi="標楷體" w:hint="eastAsia"/>
        </w:rPr>
        <w:t>多</w:t>
      </w:r>
      <w:r w:rsidR="00B742C5">
        <w:rPr>
          <w:rStyle w:val="aff"/>
          <w:rFonts w:hAnsi="標楷體"/>
        </w:rPr>
        <w:footnoteReference w:id="4"/>
      </w:r>
      <w:r w:rsidR="006F3598">
        <w:rPr>
          <w:rFonts w:hAnsi="標楷體" w:hint="eastAsia"/>
        </w:rPr>
        <w:t>而</w:t>
      </w:r>
      <w:proofErr w:type="gramStart"/>
      <w:r w:rsidR="009739FB" w:rsidRPr="009739FB">
        <w:rPr>
          <w:rFonts w:hAnsi="標楷體" w:hint="eastAsia"/>
        </w:rPr>
        <w:t>自結率高</w:t>
      </w:r>
      <w:proofErr w:type="gramEnd"/>
      <w:r w:rsidR="009739FB" w:rsidRPr="009739FB">
        <w:rPr>
          <w:rFonts w:hAnsi="標楷體" w:hint="eastAsia"/>
        </w:rPr>
        <w:t>。雖然</w:t>
      </w:r>
      <w:r w:rsidR="007A0384">
        <w:rPr>
          <w:rFonts w:hAnsi="標楷體" w:hint="eastAsia"/>
        </w:rPr>
        <w:t>刑事訴訟法、案件管理要點</w:t>
      </w:r>
      <w:r w:rsidR="009739FB" w:rsidRPr="009739FB">
        <w:rPr>
          <w:rFonts w:hAnsi="標楷體" w:hint="eastAsia"/>
        </w:rPr>
        <w:t>對審查庭法官</w:t>
      </w:r>
      <w:r w:rsidR="007A0384">
        <w:rPr>
          <w:rFonts w:hAnsi="標楷體" w:hint="eastAsia"/>
        </w:rPr>
        <w:t>之</w:t>
      </w:r>
      <w:proofErr w:type="gramStart"/>
      <w:r w:rsidR="009739FB" w:rsidRPr="009739FB">
        <w:rPr>
          <w:rFonts w:hAnsi="標楷體" w:hint="eastAsia"/>
        </w:rPr>
        <w:t>自結率並</w:t>
      </w:r>
      <w:r w:rsidR="00B22E3C">
        <w:rPr>
          <w:rFonts w:hAnsi="標楷體" w:hint="eastAsia"/>
        </w:rPr>
        <w:t>未</w:t>
      </w:r>
      <w:proofErr w:type="gramEnd"/>
      <w:r w:rsidR="009739FB" w:rsidRPr="009739FB">
        <w:rPr>
          <w:rFonts w:hAnsi="標楷體" w:hint="eastAsia"/>
        </w:rPr>
        <w:t>要求</w:t>
      </w:r>
      <w:r w:rsidR="007A0384" w:rsidRPr="009739FB">
        <w:rPr>
          <w:rFonts w:hAnsi="標楷體" w:hint="eastAsia"/>
        </w:rPr>
        <w:t>，但在同儕期待或機關氛圍下，</w:t>
      </w:r>
      <w:r w:rsidR="007A0384">
        <w:rPr>
          <w:rFonts w:hAnsi="標楷體" w:hint="eastAsia"/>
        </w:rPr>
        <w:t>審查庭</w:t>
      </w:r>
      <w:r w:rsidR="007A0384" w:rsidRPr="009739FB">
        <w:rPr>
          <w:rFonts w:hAnsi="標楷體" w:hint="eastAsia"/>
        </w:rPr>
        <w:t>法官</w:t>
      </w:r>
      <w:r w:rsidR="007A0384">
        <w:rPr>
          <w:rFonts w:hAnsi="標楷體" w:hint="eastAsia"/>
        </w:rPr>
        <w:t>將</w:t>
      </w:r>
      <w:r w:rsidR="007A0384" w:rsidRPr="009739FB">
        <w:rPr>
          <w:rFonts w:hAnsi="標楷體" w:hint="eastAsia"/>
        </w:rPr>
        <w:t>面臨額外的壓力</w:t>
      </w:r>
      <w:r w:rsidR="007A0384">
        <w:rPr>
          <w:rFonts w:hAnsi="標楷體" w:hint="eastAsia"/>
        </w:rPr>
        <w:t>，使其傾向</w:t>
      </w:r>
      <w:r w:rsidR="00F13CAF">
        <w:rPr>
          <w:rFonts w:hAnsi="標楷體" w:hint="eastAsia"/>
        </w:rPr>
        <w:t>於自己承辦下</w:t>
      </w:r>
      <w:r w:rsidR="007A0384">
        <w:rPr>
          <w:rFonts w:hAnsi="標楷體" w:hint="eastAsia"/>
        </w:rPr>
        <w:t>儘速結案</w:t>
      </w:r>
      <w:r w:rsidR="007A0384" w:rsidRPr="009739FB">
        <w:rPr>
          <w:rFonts w:hAnsi="標楷體" w:hint="eastAsia"/>
        </w:rPr>
        <w:t>，進而影響當</w:t>
      </w:r>
      <w:r w:rsidR="00415A07">
        <w:rPr>
          <w:rFonts w:hAnsi="標楷體" w:hint="eastAsia"/>
        </w:rPr>
        <w:t>事人(尤其是被告</w:t>
      </w:r>
      <w:r w:rsidR="00415A07">
        <w:rPr>
          <w:rFonts w:hAnsi="標楷體"/>
        </w:rPr>
        <w:t>)</w:t>
      </w:r>
      <w:r w:rsidR="00415A07">
        <w:rPr>
          <w:rFonts w:hAnsi="標楷體" w:hint="eastAsia"/>
        </w:rPr>
        <w:t>受</w:t>
      </w:r>
      <w:r w:rsidR="007A0384" w:rsidRPr="009739FB">
        <w:rPr>
          <w:rFonts w:hAnsi="標楷體" w:hint="eastAsia"/>
        </w:rPr>
        <w:t>保障</w:t>
      </w:r>
      <w:r w:rsidR="00415A07">
        <w:rPr>
          <w:rFonts w:hAnsi="標楷體" w:hint="eastAsia"/>
        </w:rPr>
        <w:t>之</w:t>
      </w:r>
      <w:r w:rsidR="00415A07" w:rsidRPr="009739FB">
        <w:rPr>
          <w:rFonts w:hAnsi="標楷體" w:hint="eastAsia"/>
        </w:rPr>
        <w:t>權利</w:t>
      </w:r>
      <w:r w:rsidR="00B22E3C">
        <w:rPr>
          <w:rFonts w:hAnsi="標楷體" w:hint="eastAsia"/>
        </w:rPr>
        <w:t>與</w:t>
      </w:r>
      <w:r w:rsidR="00B22E3C" w:rsidRPr="009739FB">
        <w:rPr>
          <w:rFonts w:hAnsi="標楷體" w:hint="eastAsia"/>
        </w:rPr>
        <w:t>案件公平性</w:t>
      </w:r>
      <w:r w:rsidR="007F53B5">
        <w:rPr>
          <w:rFonts w:hAnsi="標楷體" w:hint="eastAsia"/>
        </w:rPr>
        <w:t>。</w:t>
      </w:r>
      <w:r w:rsidR="00D303D1">
        <w:rPr>
          <w:rFonts w:hAnsi="標楷體" w:hint="eastAsia"/>
        </w:rPr>
        <w:t>換</w:t>
      </w:r>
      <w:r w:rsidR="00B22E3C">
        <w:rPr>
          <w:rFonts w:hAnsi="標楷體" w:hint="eastAsia"/>
        </w:rPr>
        <w:t>言之，</w:t>
      </w:r>
      <w:r w:rsidR="00B5251D">
        <w:rPr>
          <w:rFonts w:hAnsi="標楷體" w:hint="eastAsia"/>
        </w:rPr>
        <w:t>如此</w:t>
      </w:r>
      <w:r w:rsidR="00B5251D" w:rsidRPr="009739FB">
        <w:rPr>
          <w:rFonts w:hAnsi="標楷體" w:hint="eastAsia"/>
        </w:rPr>
        <w:t>實</w:t>
      </w:r>
      <w:r w:rsidR="00B5251D">
        <w:rPr>
          <w:rFonts w:hAnsi="標楷體" w:hint="eastAsia"/>
        </w:rPr>
        <w:t>務</w:t>
      </w:r>
      <w:r w:rsidR="00B5251D" w:rsidRPr="009739FB">
        <w:rPr>
          <w:rFonts w:hAnsi="標楷體" w:hint="eastAsia"/>
        </w:rPr>
        <w:t>運作對案件</w:t>
      </w:r>
      <w:r w:rsidR="00B5251D">
        <w:rPr>
          <w:rFonts w:hAnsi="標楷體" w:hint="eastAsia"/>
        </w:rPr>
        <w:t>進行與</w:t>
      </w:r>
      <w:r w:rsidR="00B5251D" w:rsidRPr="009739FB">
        <w:rPr>
          <w:rFonts w:hAnsi="標楷體" w:hint="eastAsia"/>
        </w:rPr>
        <w:t>當事人權利</w:t>
      </w:r>
      <w:r w:rsidR="00415A07">
        <w:rPr>
          <w:rFonts w:hAnsi="標楷體" w:hint="eastAsia"/>
        </w:rPr>
        <w:t>均</w:t>
      </w:r>
      <w:r w:rsidR="00B5251D">
        <w:rPr>
          <w:rFonts w:hAnsi="標楷體" w:hint="eastAsia"/>
        </w:rPr>
        <w:t>產生</w:t>
      </w:r>
      <w:r w:rsidR="00415A07">
        <w:rPr>
          <w:rFonts w:hAnsi="標楷體" w:hint="eastAsia"/>
        </w:rPr>
        <w:t>實際的</w:t>
      </w:r>
      <w:r w:rsidR="00B5251D" w:rsidRPr="009739FB">
        <w:rPr>
          <w:rFonts w:hAnsi="標楷體" w:hint="eastAsia"/>
        </w:rPr>
        <w:t>影響。</w:t>
      </w:r>
      <w:r w:rsidR="00415A07">
        <w:rPr>
          <w:rFonts w:hAnsi="標楷體" w:hint="eastAsia"/>
        </w:rPr>
        <w:t>如同本院諮詢專家表示，</w:t>
      </w:r>
      <w:r w:rsidR="00B5251D" w:rsidRPr="009739FB">
        <w:rPr>
          <w:rFonts w:hAnsi="標楷體" w:hint="eastAsia"/>
        </w:rPr>
        <w:t>即使案件</w:t>
      </w:r>
      <w:proofErr w:type="gramStart"/>
      <w:r w:rsidR="00B5251D" w:rsidRPr="009739FB">
        <w:rPr>
          <w:rFonts w:hAnsi="標楷體" w:hint="eastAsia"/>
        </w:rPr>
        <w:t>已</w:t>
      </w:r>
      <w:r w:rsidR="00415A07">
        <w:rPr>
          <w:rFonts w:hAnsi="標楷體" w:hint="eastAsia"/>
        </w:rPr>
        <w:t>非</w:t>
      </w:r>
      <w:r w:rsidR="00B5251D" w:rsidRPr="009739FB">
        <w:rPr>
          <w:rFonts w:hAnsi="標楷體" w:hint="eastAsia"/>
        </w:rPr>
        <w:t>明案</w:t>
      </w:r>
      <w:proofErr w:type="gramEnd"/>
      <w:r w:rsidR="00415A07">
        <w:rPr>
          <w:rFonts w:hAnsi="標楷體" w:hint="eastAsia"/>
        </w:rPr>
        <w:t>(而應由一般審理庭審理</w:t>
      </w:r>
      <w:r w:rsidR="00415A07">
        <w:rPr>
          <w:rFonts w:hAnsi="標楷體"/>
        </w:rPr>
        <w:t>)</w:t>
      </w:r>
      <w:r w:rsidR="00B5251D" w:rsidRPr="009739FB">
        <w:rPr>
          <w:rFonts w:hAnsi="標楷體" w:hint="eastAsia"/>
        </w:rPr>
        <w:t>，</w:t>
      </w:r>
      <w:r w:rsidR="00415A07">
        <w:rPr>
          <w:rFonts w:hAnsi="標楷體" w:hint="eastAsia"/>
        </w:rPr>
        <w:t>或</w:t>
      </w:r>
      <w:r w:rsidR="00B5251D" w:rsidRPr="009739FB">
        <w:rPr>
          <w:rFonts w:hAnsi="標楷體" w:hint="eastAsia"/>
        </w:rPr>
        <w:t>被告已</w:t>
      </w:r>
      <w:r w:rsidR="00415A07">
        <w:rPr>
          <w:rFonts w:hAnsi="標楷體" w:hint="eastAsia"/>
        </w:rPr>
        <w:t>明確</w:t>
      </w:r>
      <w:r w:rsidR="00B5251D" w:rsidRPr="009739FB">
        <w:rPr>
          <w:rFonts w:hAnsi="標楷體" w:hint="eastAsia"/>
        </w:rPr>
        <w:t>否認犯罪</w:t>
      </w:r>
      <w:r w:rsidR="00415A07">
        <w:rPr>
          <w:rFonts w:hAnsi="標楷體" w:hint="eastAsia"/>
        </w:rPr>
        <w:t>甚至</w:t>
      </w:r>
      <w:r w:rsidR="00B5251D" w:rsidRPr="009739FB">
        <w:rPr>
          <w:rFonts w:hAnsi="標楷體" w:hint="eastAsia"/>
        </w:rPr>
        <w:t>聲請調查證據，審查庭法官因</w:t>
      </w:r>
      <w:proofErr w:type="gramStart"/>
      <w:r w:rsidR="00B5251D" w:rsidRPr="009739FB">
        <w:rPr>
          <w:rFonts w:hAnsi="標楷體" w:hint="eastAsia"/>
        </w:rPr>
        <w:t>自結率</w:t>
      </w:r>
      <w:r w:rsidR="00B742C5">
        <w:rPr>
          <w:rFonts w:hAnsi="標楷體" w:hint="eastAsia"/>
        </w:rPr>
        <w:t>因素</w:t>
      </w:r>
      <w:proofErr w:type="gramEnd"/>
      <w:r w:rsidR="00B5251D" w:rsidRPr="009739FB">
        <w:rPr>
          <w:rFonts w:hAnsi="標楷體" w:hint="eastAsia"/>
        </w:rPr>
        <w:t>而</w:t>
      </w:r>
      <w:r w:rsidR="00B742C5">
        <w:rPr>
          <w:rFonts w:hAnsi="標楷體" w:hint="eastAsia"/>
        </w:rPr>
        <w:t>過於職權</w:t>
      </w:r>
      <w:r w:rsidR="00B5251D" w:rsidRPr="009739FB">
        <w:rPr>
          <w:rFonts w:hAnsi="標楷體" w:hint="eastAsia"/>
        </w:rPr>
        <w:t>主導案件進行</w:t>
      </w:r>
      <w:r w:rsidR="00415A07">
        <w:rPr>
          <w:rFonts w:hAnsi="標楷體" w:hint="eastAsia"/>
        </w:rPr>
        <w:t>，在此情況下，不但弱化檢察官之實質舉證責任，同時超出</w:t>
      </w:r>
      <w:r w:rsidR="00B5251D" w:rsidRPr="009739FB">
        <w:rPr>
          <w:rFonts w:hAnsi="標楷體" w:hint="eastAsia"/>
        </w:rPr>
        <w:t>被告</w:t>
      </w:r>
      <w:r w:rsidR="00415A07">
        <w:rPr>
          <w:rFonts w:hAnsi="標楷體" w:hint="eastAsia"/>
        </w:rPr>
        <w:t>與</w:t>
      </w:r>
      <w:r w:rsidR="00B5251D" w:rsidRPr="009739FB">
        <w:rPr>
          <w:rFonts w:hAnsi="標楷體" w:hint="eastAsia"/>
        </w:rPr>
        <w:t>辯護人</w:t>
      </w:r>
      <w:r w:rsidR="00415A07">
        <w:rPr>
          <w:rFonts w:hAnsi="標楷體" w:hint="eastAsia"/>
        </w:rPr>
        <w:t>的認知</w:t>
      </w:r>
      <w:r w:rsidR="00B742C5">
        <w:rPr>
          <w:rFonts w:hAnsi="標楷體" w:hint="eastAsia"/>
        </w:rPr>
        <w:t>。另一方面，因審查庭法官必須</w:t>
      </w:r>
      <w:r w:rsidR="007F53B5">
        <w:rPr>
          <w:rFonts w:hAnsi="標楷體" w:hint="eastAsia"/>
        </w:rPr>
        <w:t>擔</w:t>
      </w:r>
      <w:r w:rsidR="00B742C5">
        <w:rPr>
          <w:rFonts w:hAnsi="標楷體" w:hint="eastAsia"/>
        </w:rPr>
        <w:t>負日益增加的案件篩選</w:t>
      </w:r>
      <w:r w:rsidR="00B22E3C">
        <w:rPr>
          <w:rStyle w:val="aff"/>
          <w:rFonts w:hAnsi="標楷體"/>
        </w:rPr>
        <w:footnoteReference w:id="5"/>
      </w:r>
      <w:r w:rsidR="00B742C5">
        <w:rPr>
          <w:rFonts w:hAnsi="標楷體" w:hint="eastAsia"/>
        </w:rPr>
        <w:t>，在</w:t>
      </w:r>
      <w:proofErr w:type="gramStart"/>
      <w:r w:rsidR="00B742C5">
        <w:rPr>
          <w:rFonts w:hAnsi="標楷體" w:hint="eastAsia"/>
        </w:rPr>
        <w:t>自結率不減</w:t>
      </w:r>
      <w:proofErr w:type="gramEnd"/>
      <w:r w:rsidR="00B742C5">
        <w:rPr>
          <w:rFonts w:hAnsi="標楷體" w:hint="eastAsia"/>
        </w:rPr>
        <w:t>的情況下，形成</w:t>
      </w:r>
      <w:r w:rsidR="00B22E3C">
        <w:rPr>
          <w:rFonts w:hAnsi="標楷體" w:hint="eastAsia"/>
        </w:rPr>
        <w:t>本院諮詢專家所述</w:t>
      </w:r>
      <w:r w:rsidR="00B742C5" w:rsidRPr="009739FB">
        <w:rPr>
          <w:rFonts w:hAnsi="標楷體" w:hint="eastAsia"/>
        </w:rPr>
        <w:t>漫長等待</w:t>
      </w:r>
      <w:proofErr w:type="gramStart"/>
      <w:r w:rsidR="00B742C5">
        <w:rPr>
          <w:rFonts w:hAnsi="標楷體" w:hint="eastAsia"/>
        </w:rPr>
        <w:t>或拖庭情形</w:t>
      </w:r>
      <w:proofErr w:type="gramEnd"/>
      <w:r w:rsidR="00B22E3C">
        <w:rPr>
          <w:rFonts w:hAnsi="標楷體" w:hint="eastAsia"/>
        </w:rPr>
        <w:t>，亦不利於民眾對司法之</w:t>
      </w:r>
      <w:r w:rsidR="007F53B5">
        <w:rPr>
          <w:rFonts w:hAnsi="標楷體" w:hint="eastAsia"/>
        </w:rPr>
        <w:t>觀感</w:t>
      </w:r>
      <w:r w:rsidR="00B22E3C">
        <w:rPr>
          <w:rFonts w:hAnsi="標楷體" w:hint="eastAsia"/>
        </w:rPr>
        <w:t>。</w:t>
      </w:r>
      <w:r w:rsidR="004A40EC">
        <w:rPr>
          <w:rFonts w:hAnsi="標楷體" w:hint="eastAsia"/>
        </w:rPr>
        <w:t>以上</w:t>
      </w:r>
      <w:r w:rsidR="00D303D1">
        <w:rPr>
          <w:rFonts w:hAnsi="標楷體" w:hint="eastAsia"/>
        </w:rPr>
        <w:t>各節</w:t>
      </w:r>
      <w:r w:rsidR="00B22E3C" w:rsidRPr="009739FB">
        <w:rPr>
          <w:rFonts w:hAnsi="標楷體" w:hint="eastAsia"/>
        </w:rPr>
        <w:t>，司</w:t>
      </w:r>
      <w:r w:rsidR="00B22E3C" w:rsidRPr="004A40EC">
        <w:rPr>
          <w:rFonts w:hAnsi="標楷體" w:hint="eastAsia"/>
        </w:rPr>
        <w:t>法院對於目前審查庭運作實務的現象</w:t>
      </w:r>
      <w:r w:rsidR="00D303D1" w:rsidRPr="004A40EC">
        <w:rPr>
          <w:rFonts w:hAnsi="標楷體" w:hint="eastAsia"/>
        </w:rPr>
        <w:t>允宜</w:t>
      </w:r>
      <w:r w:rsidR="00B22E3C" w:rsidRPr="004A40EC">
        <w:rPr>
          <w:rFonts w:hAnsi="標楷體" w:hint="eastAsia"/>
        </w:rPr>
        <w:t>進行</w:t>
      </w:r>
      <w:proofErr w:type="gramStart"/>
      <w:r w:rsidR="00B22E3C" w:rsidRPr="004A40EC">
        <w:rPr>
          <w:rFonts w:hAnsi="標楷體" w:hint="eastAsia"/>
        </w:rPr>
        <w:t>研</w:t>
      </w:r>
      <w:proofErr w:type="gramEnd"/>
      <w:r w:rsidR="00B22E3C" w:rsidRPr="004A40EC">
        <w:rPr>
          <w:rFonts w:hAnsi="標楷體" w:hint="eastAsia"/>
        </w:rPr>
        <w:t>議</w:t>
      </w:r>
      <w:r w:rsidR="00B55120">
        <w:rPr>
          <w:rStyle w:val="aff"/>
          <w:rFonts w:hAnsi="標楷體"/>
        </w:rPr>
        <w:footnoteReference w:id="6"/>
      </w:r>
      <w:r w:rsidR="00D303D1" w:rsidRPr="004A40EC">
        <w:rPr>
          <w:rFonts w:hAnsi="標楷體" w:hint="eastAsia"/>
        </w:rPr>
        <w:t>，在各地方法院審查庭審查範圍不一的背景下，</w:t>
      </w:r>
      <w:proofErr w:type="gramStart"/>
      <w:r w:rsidR="00D303D1" w:rsidRPr="004A40EC">
        <w:rPr>
          <w:rFonts w:hAnsi="標楷體" w:hint="eastAsia"/>
        </w:rPr>
        <w:t>審查庭得自</w:t>
      </w:r>
      <w:r w:rsidR="004A40EC">
        <w:rPr>
          <w:rFonts w:hAnsi="標楷體" w:hint="eastAsia"/>
        </w:rPr>
        <w:t>行</w:t>
      </w:r>
      <w:proofErr w:type="gramEnd"/>
      <w:r w:rsidR="004A40EC">
        <w:rPr>
          <w:rFonts w:hAnsi="標楷體" w:hint="eastAsia"/>
        </w:rPr>
        <w:t>審結的</w:t>
      </w:r>
      <w:r w:rsidR="00D303D1" w:rsidRPr="004A40EC">
        <w:rPr>
          <w:rFonts w:hAnsi="標楷體" w:hint="eastAsia"/>
        </w:rPr>
        <w:t>範圍</w:t>
      </w:r>
      <w:r w:rsidR="004A40EC">
        <w:rPr>
          <w:rFonts w:hAnsi="標楷體" w:hint="eastAsia"/>
        </w:rPr>
        <w:t>，應</w:t>
      </w:r>
      <w:r w:rsidR="00D303D1" w:rsidRPr="004A40EC">
        <w:rPr>
          <w:rFonts w:hAnsi="標楷體" w:hint="eastAsia"/>
        </w:rPr>
        <w:t>供當事人與辯護人知悉。</w:t>
      </w:r>
      <w:proofErr w:type="gramStart"/>
      <w:r w:rsidR="00D303D1" w:rsidRPr="004A40EC">
        <w:rPr>
          <w:rFonts w:hAnsi="標楷體" w:hint="eastAsia"/>
        </w:rPr>
        <w:t>縱審查庭得自行</w:t>
      </w:r>
      <w:proofErr w:type="gramEnd"/>
      <w:r w:rsidR="00D303D1" w:rsidRPr="004A40EC">
        <w:rPr>
          <w:rFonts w:hAnsi="標楷體" w:hint="eastAsia"/>
        </w:rPr>
        <w:t>審結，遇有被告否認，亦應由公訴檢察官</w:t>
      </w:r>
      <w:r w:rsidR="004A40EC">
        <w:rPr>
          <w:rFonts w:hAnsi="標楷體" w:hint="eastAsia"/>
        </w:rPr>
        <w:t>善</w:t>
      </w:r>
      <w:r w:rsidR="00D303D1" w:rsidRPr="004A40EC">
        <w:rPr>
          <w:rFonts w:hAnsi="標楷體" w:hint="eastAsia"/>
        </w:rPr>
        <w:t>盡</w:t>
      </w:r>
      <w:r w:rsidR="00D303D1" w:rsidRPr="004A40EC">
        <w:rPr>
          <w:rFonts w:hAnsi="標楷體" w:cs="新細明體" w:hint="eastAsia"/>
        </w:rPr>
        <w:t>舉證責任</w:t>
      </w:r>
      <w:r w:rsidR="006C376B">
        <w:rPr>
          <w:rStyle w:val="aff"/>
          <w:rFonts w:hAnsi="標楷體" w:cs="新細明體"/>
        </w:rPr>
        <w:footnoteReference w:id="7"/>
      </w:r>
      <w:r w:rsidR="00985D4E" w:rsidRPr="004A40EC">
        <w:rPr>
          <w:rFonts w:hAnsi="標楷體" w:cs="新細明體" w:hint="eastAsia"/>
        </w:rPr>
        <w:t>，以落實刑事訴訟法規定</w:t>
      </w:r>
      <w:r w:rsidR="004A40EC">
        <w:rPr>
          <w:rFonts w:hAnsi="標楷體" w:cs="新細明體" w:hint="eastAsia"/>
        </w:rPr>
        <w:t>。審查庭</w:t>
      </w:r>
      <w:r w:rsidR="006E6BE6">
        <w:rPr>
          <w:rFonts w:hAnsi="標楷體" w:cs="新細明體" w:hint="eastAsia"/>
        </w:rPr>
        <w:t>制度之建構</w:t>
      </w:r>
      <w:r w:rsidR="004A40EC">
        <w:rPr>
          <w:rFonts w:hAnsi="標楷體" w:cs="新細明體" w:hint="eastAsia"/>
        </w:rPr>
        <w:t>，</w:t>
      </w:r>
      <w:r w:rsidR="00985D4E" w:rsidRPr="004A40EC">
        <w:rPr>
          <w:rFonts w:hAnsi="標楷體" w:cs="新細明體" w:hint="eastAsia"/>
        </w:rPr>
        <w:t>除</w:t>
      </w:r>
      <w:r w:rsidR="004A40EC">
        <w:rPr>
          <w:rFonts w:hAnsi="標楷體" w:cs="新細明體" w:hint="eastAsia"/>
        </w:rPr>
        <w:t>建立</w:t>
      </w:r>
      <w:r w:rsidR="00E039CF">
        <w:rPr>
          <w:rFonts w:hAnsi="標楷體" w:cs="新細明體" w:hint="eastAsia"/>
        </w:rPr>
        <w:t>在</w:t>
      </w:r>
      <w:r w:rsidR="00985D4E" w:rsidRPr="004A40EC">
        <w:rPr>
          <w:rFonts w:hAnsi="標楷體" w:cs="新細明體" w:hint="eastAsia"/>
        </w:rPr>
        <w:t>司法獨立自治</w:t>
      </w:r>
      <w:r w:rsidR="004A40EC">
        <w:rPr>
          <w:rFonts w:hAnsi="標楷體" w:cs="新細明體" w:hint="eastAsia"/>
        </w:rPr>
        <w:t>的基礎</w:t>
      </w:r>
      <w:r w:rsidR="00E039CF">
        <w:rPr>
          <w:rFonts w:hAnsi="標楷體" w:cs="新細明體" w:hint="eastAsia"/>
        </w:rPr>
        <w:t>上</w:t>
      </w:r>
      <w:r w:rsidR="00985D4E" w:rsidRPr="004A40EC">
        <w:rPr>
          <w:rFonts w:hAnsi="標楷體" w:cs="新細明體" w:hint="eastAsia"/>
        </w:rPr>
        <w:t>，</w:t>
      </w:r>
      <w:r w:rsidR="00E039CF">
        <w:rPr>
          <w:rFonts w:hAnsi="標楷體" w:cs="新細明體" w:hint="eastAsia"/>
        </w:rPr>
        <w:t>更需</w:t>
      </w:r>
      <w:r w:rsidR="00985D4E" w:rsidRPr="004A40EC">
        <w:rPr>
          <w:rFonts w:hAnsi="標楷體" w:cs="新細明體" w:hint="eastAsia"/>
        </w:rPr>
        <w:t>將民眾司法權益置於</w:t>
      </w:r>
      <w:r w:rsidR="00E039CF">
        <w:rPr>
          <w:rFonts w:hAnsi="標楷體" w:cs="新細明體" w:hint="eastAsia"/>
        </w:rPr>
        <w:t>核心，</w:t>
      </w:r>
      <w:proofErr w:type="gramStart"/>
      <w:r w:rsidR="00E039CF">
        <w:rPr>
          <w:rFonts w:hAnsi="標楷體" w:cs="新細明體" w:hint="eastAsia"/>
        </w:rPr>
        <w:t>俾</w:t>
      </w:r>
      <w:proofErr w:type="gramEnd"/>
      <w:r w:rsidR="00E039CF">
        <w:rPr>
          <w:rFonts w:hAnsi="標楷體" w:cs="新細明體" w:hint="eastAsia"/>
        </w:rPr>
        <w:t>使</w:t>
      </w:r>
      <w:r w:rsidR="00E039CF" w:rsidRPr="004A40EC">
        <w:rPr>
          <w:rFonts w:hAnsi="標楷體" w:hint="eastAsia"/>
        </w:rPr>
        <w:t>審查庭運作不但顧及案件進</w:t>
      </w:r>
      <w:r w:rsidR="00E039CF" w:rsidRPr="004A40EC">
        <w:rPr>
          <w:rFonts w:hAnsi="標楷體" w:hint="eastAsia"/>
        </w:rPr>
        <w:lastRenderedPageBreak/>
        <w:t>度，</w:t>
      </w:r>
      <w:r w:rsidR="00E039CF">
        <w:rPr>
          <w:rFonts w:hAnsi="標楷體" w:hint="eastAsia"/>
        </w:rPr>
        <w:t>更使</w:t>
      </w:r>
      <w:r w:rsidR="00985D4E" w:rsidRPr="004A40EC">
        <w:rPr>
          <w:rFonts w:hAnsi="標楷體" w:hint="eastAsia"/>
        </w:rPr>
        <w:t>當</w:t>
      </w:r>
      <w:r w:rsidR="00985D4E" w:rsidRPr="009739FB">
        <w:rPr>
          <w:rFonts w:hAnsi="標楷體" w:hint="eastAsia"/>
        </w:rPr>
        <w:t>事人權益</w:t>
      </w:r>
      <w:r w:rsidR="00E039CF">
        <w:rPr>
          <w:rFonts w:hAnsi="標楷體" w:hint="eastAsia"/>
        </w:rPr>
        <w:t>獲得</w:t>
      </w:r>
      <w:r w:rsidR="00985D4E" w:rsidRPr="009739FB">
        <w:rPr>
          <w:rFonts w:hAnsi="標楷體" w:hint="eastAsia"/>
        </w:rPr>
        <w:t>充分保障</w:t>
      </w:r>
      <w:r w:rsidR="00E039CF">
        <w:rPr>
          <w:rFonts w:hAnsi="標楷體" w:hint="eastAsia"/>
        </w:rPr>
        <w:t>。</w:t>
      </w:r>
    </w:p>
    <w:p w:rsidR="009F713F" w:rsidRPr="00564BE5" w:rsidRDefault="009F713F" w:rsidP="00115568">
      <w:pPr>
        <w:pStyle w:val="3"/>
        <w:rPr>
          <w:rFonts w:hAnsi="標楷體"/>
        </w:rPr>
      </w:pPr>
      <w:r>
        <w:rPr>
          <w:rFonts w:hAnsi="標楷體" w:hint="eastAsia"/>
        </w:rPr>
        <w:t>綜上，</w:t>
      </w:r>
      <w:r w:rsidRPr="008B588F">
        <w:rPr>
          <w:rFonts w:hAnsi="標楷體" w:hint="eastAsia"/>
        </w:rPr>
        <w:t>部分地方法院刑事庭採取審查庭制度，惟據本院諮詢專家表示，目前審查庭實務運作存有部分瑕疵，例如被告否認犯罪</w:t>
      </w:r>
      <w:r>
        <w:rPr>
          <w:rFonts w:hAnsi="標楷體" w:hint="eastAsia"/>
        </w:rPr>
        <w:t>但</w:t>
      </w:r>
      <w:r w:rsidRPr="008B588F">
        <w:rPr>
          <w:rFonts w:hAnsi="標楷體" w:hint="eastAsia"/>
        </w:rPr>
        <w:t>審查庭仍自行審結、法官職權</w:t>
      </w:r>
      <w:r w:rsidR="0043747F">
        <w:rPr>
          <w:rFonts w:hAnsi="標楷體" w:hint="eastAsia"/>
        </w:rPr>
        <w:t>進行</w:t>
      </w:r>
      <w:r w:rsidRPr="008B588F">
        <w:rPr>
          <w:rFonts w:hAnsi="標楷體" w:hint="eastAsia"/>
        </w:rPr>
        <w:t>而弱化公訴檢察官角色、案件過多造成拖庭等，凡此</w:t>
      </w:r>
      <w:r>
        <w:rPr>
          <w:rFonts w:hAnsi="標楷體" w:hint="eastAsia"/>
        </w:rPr>
        <w:t>已</w:t>
      </w:r>
      <w:r w:rsidRPr="008B588F">
        <w:rPr>
          <w:rFonts w:hAnsi="標楷體" w:hint="eastAsia"/>
        </w:rPr>
        <w:t>與制度設計初衷不符，甚至影響當事人權益，司法院允宜進行研議，俾維護民眾司法權</w:t>
      </w:r>
      <w:r>
        <w:rPr>
          <w:rFonts w:hAnsi="標楷體" w:hint="eastAsia"/>
        </w:rPr>
        <w:t>益。</w:t>
      </w:r>
    </w:p>
    <w:p w:rsidR="00663F93" w:rsidRPr="007847B4" w:rsidRDefault="00663F93" w:rsidP="00663F93">
      <w:pPr>
        <w:pStyle w:val="3"/>
        <w:numPr>
          <w:ilvl w:val="0"/>
          <w:numId w:val="0"/>
        </w:numPr>
        <w:ind w:left="1361"/>
        <w:rPr>
          <w:rFonts w:hAnsi="標楷體"/>
        </w:rPr>
      </w:pPr>
    </w:p>
    <w:p w:rsidR="00E25849" w:rsidRPr="00564BE5" w:rsidRDefault="00E25849" w:rsidP="004E05A1">
      <w:pPr>
        <w:pStyle w:val="1"/>
        <w:ind w:left="2380" w:hanging="2380"/>
        <w:rPr>
          <w:rFonts w:hAnsi="標楷體"/>
        </w:rPr>
      </w:pPr>
      <w:bookmarkStart w:id="54" w:name="_Toc524895648"/>
      <w:bookmarkStart w:id="55" w:name="_Toc524896194"/>
      <w:bookmarkStart w:id="56" w:name="_Toc524896224"/>
      <w:bookmarkStart w:id="57" w:name="_Toc524902734"/>
      <w:bookmarkStart w:id="58" w:name="_Toc525066148"/>
      <w:bookmarkStart w:id="59" w:name="_Toc525070839"/>
      <w:bookmarkStart w:id="60" w:name="_Toc525938379"/>
      <w:bookmarkStart w:id="61" w:name="_Toc525939227"/>
      <w:bookmarkStart w:id="62" w:name="_Toc525939732"/>
      <w:bookmarkStart w:id="63" w:name="_Toc529218272"/>
      <w:bookmarkStart w:id="64" w:name="_Toc529222689"/>
      <w:bookmarkStart w:id="65" w:name="_Toc529223111"/>
      <w:bookmarkStart w:id="66" w:name="_Toc529223862"/>
      <w:bookmarkStart w:id="67" w:name="_Toc529228265"/>
      <w:bookmarkStart w:id="68" w:name="_Toc2400395"/>
      <w:bookmarkStart w:id="69" w:name="_Toc4316189"/>
      <w:bookmarkStart w:id="70" w:name="_Toc4473330"/>
      <w:bookmarkStart w:id="71" w:name="_Toc69556897"/>
      <w:bookmarkStart w:id="72" w:name="_Toc69556946"/>
      <w:bookmarkStart w:id="73" w:name="_Toc69609820"/>
      <w:bookmarkStart w:id="74" w:name="_Toc70241816"/>
      <w:bookmarkStart w:id="75" w:name="_Toc70242205"/>
      <w:bookmarkStart w:id="76" w:name="_Toc421794875"/>
      <w:bookmarkStart w:id="77" w:name="_Toc422834160"/>
      <w:bookmarkEnd w:id="50"/>
      <w:bookmarkEnd w:id="51"/>
      <w:bookmarkEnd w:id="52"/>
      <w:r w:rsidRPr="00564BE5">
        <w:rPr>
          <w:rFonts w:hAnsi="標楷體" w:hint="eastAsia"/>
        </w:rPr>
        <w:t>處理辦法：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367BF1" w:rsidRPr="00564BE5">
        <w:rPr>
          <w:rFonts w:hAnsi="標楷體"/>
        </w:rPr>
        <w:t xml:space="preserve"> </w:t>
      </w:r>
    </w:p>
    <w:p w:rsidR="00FB7770" w:rsidRPr="00564BE5" w:rsidRDefault="00FB7770" w:rsidP="00770453">
      <w:pPr>
        <w:pStyle w:val="2"/>
        <w:spacing w:beforeLines="25" w:before="114"/>
        <w:ind w:left="1020" w:hanging="680"/>
        <w:rPr>
          <w:rFonts w:hAnsi="標楷體"/>
        </w:rPr>
      </w:pPr>
      <w:bookmarkStart w:id="78" w:name="_Toc524895649"/>
      <w:bookmarkStart w:id="79" w:name="_Toc524896195"/>
      <w:bookmarkStart w:id="80" w:name="_Toc524896225"/>
      <w:bookmarkStart w:id="81" w:name="_Toc70241820"/>
      <w:bookmarkStart w:id="82" w:name="_Toc70242209"/>
      <w:bookmarkStart w:id="83" w:name="_Toc421794876"/>
      <w:bookmarkStart w:id="84" w:name="_Toc421795442"/>
      <w:bookmarkStart w:id="85" w:name="_Toc421796023"/>
      <w:bookmarkStart w:id="86" w:name="_Toc422728958"/>
      <w:bookmarkStart w:id="87" w:name="_Toc422834161"/>
      <w:bookmarkStart w:id="88" w:name="_Toc2400396"/>
      <w:bookmarkStart w:id="89" w:name="_Toc4316190"/>
      <w:bookmarkStart w:id="90" w:name="_Toc4473331"/>
      <w:bookmarkStart w:id="91" w:name="_Toc69556898"/>
      <w:bookmarkStart w:id="92" w:name="_Toc69556947"/>
      <w:bookmarkStart w:id="93" w:name="_Toc69609821"/>
      <w:bookmarkStart w:id="94" w:name="_Toc70241817"/>
      <w:bookmarkStart w:id="95" w:name="_Toc70242206"/>
      <w:bookmarkStart w:id="96" w:name="_Toc524902735"/>
      <w:bookmarkStart w:id="97" w:name="_Toc525066149"/>
      <w:bookmarkStart w:id="98" w:name="_Toc525070840"/>
      <w:bookmarkStart w:id="99" w:name="_Toc525938380"/>
      <w:bookmarkStart w:id="100" w:name="_Toc525939228"/>
      <w:bookmarkStart w:id="101" w:name="_Toc525939733"/>
      <w:bookmarkStart w:id="102" w:name="_Toc529218273"/>
      <w:bookmarkStart w:id="103" w:name="_Toc529222690"/>
      <w:bookmarkStart w:id="104" w:name="_Toc529223112"/>
      <w:bookmarkStart w:id="105" w:name="_Toc529223863"/>
      <w:bookmarkStart w:id="106" w:name="_Toc529228266"/>
      <w:bookmarkEnd w:id="78"/>
      <w:bookmarkEnd w:id="79"/>
      <w:bookmarkEnd w:id="80"/>
      <w:r w:rsidRPr="00564BE5">
        <w:rPr>
          <w:rFonts w:hAnsi="標楷體" w:hint="eastAsia"/>
        </w:rPr>
        <w:t>調查意見</w:t>
      </w:r>
      <w:r w:rsidR="00261C02">
        <w:rPr>
          <w:rFonts w:hAnsi="標楷體" w:hint="eastAsia"/>
        </w:rPr>
        <w:t>一</w:t>
      </w:r>
      <w:r w:rsidRPr="00564BE5">
        <w:rPr>
          <w:rFonts w:hAnsi="標楷體" w:hint="eastAsia"/>
        </w:rPr>
        <w:t>，</w:t>
      </w:r>
      <w:r w:rsidR="00261C02">
        <w:rPr>
          <w:rFonts w:hAnsi="標楷體" w:hint="eastAsia"/>
        </w:rPr>
        <w:t>函請司法院</w:t>
      </w:r>
      <w:r w:rsidR="004F2B0B">
        <w:rPr>
          <w:rFonts w:hAnsi="標楷體" w:hint="eastAsia"/>
        </w:rPr>
        <w:t>檢討改進</w:t>
      </w:r>
      <w:proofErr w:type="gramStart"/>
      <w:r w:rsidR="00261C02">
        <w:rPr>
          <w:rFonts w:hAnsi="標楷體" w:hint="eastAsia"/>
        </w:rPr>
        <w:t>見復</w:t>
      </w:r>
      <w:r w:rsidRPr="00564BE5">
        <w:rPr>
          <w:rFonts w:hAnsi="標楷體" w:hint="eastAsia"/>
        </w:rPr>
        <w:t>。</w:t>
      </w:r>
      <w:bookmarkEnd w:id="81"/>
      <w:bookmarkEnd w:id="82"/>
      <w:bookmarkEnd w:id="83"/>
      <w:bookmarkEnd w:id="84"/>
      <w:bookmarkEnd w:id="85"/>
      <w:bookmarkEnd w:id="86"/>
      <w:bookmarkEnd w:id="87"/>
      <w:proofErr w:type="gramEnd"/>
    </w:p>
    <w:p w:rsidR="00E25849" w:rsidRPr="00564BE5" w:rsidRDefault="00E25849">
      <w:pPr>
        <w:pStyle w:val="2"/>
        <w:rPr>
          <w:rFonts w:hAnsi="標楷體"/>
        </w:rPr>
      </w:pPr>
      <w:bookmarkStart w:id="107" w:name="_Toc421794877"/>
      <w:bookmarkStart w:id="108" w:name="_Toc421795443"/>
      <w:bookmarkStart w:id="109" w:name="_Toc421796024"/>
      <w:bookmarkStart w:id="110" w:name="_Toc422728959"/>
      <w:bookmarkStart w:id="111" w:name="_Toc422834162"/>
      <w:r w:rsidRPr="00564BE5">
        <w:rPr>
          <w:rFonts w:hAnsi="標楷體" w:hint="eastAsia"/>
        </w:rPr>
        <w:t>調查意見</w:t>
      </w:r>
      <w:r w:rsidR="00261C02">
        <w:rPr>
          <w:rFonts w:hAnsi="標楷體" w:hint="eastAsia"/>
        </w:rPr>
        <w:t>二</w:t>
      </w:r>
      <w:r w:rsidRPr="00564BE5">
        <w:rPr>
          <w:rFonts w:hAnsi="標楷體" w:hint="eastAsia"/>
        </w:rPr>
        <w:t>，</w:t>
      </w:r>
      <w:r w:rsidR="00261C02">
        <w:rPr>
          <w:rFonts w:hAnsi="標楷體" w:hint="eastAsia"/>
        </w:rPr>
        <w:t>函請</w:t>
      </w:r>
      <w:proofErr w:type="gramStart"/>
      <w:r w:rsidR="00261C02">
        <w:rPr>
          <w:rFonts w:hAnsi="標楷體" w:hint="eastAsia"/>
        </w:rPr>
        <w:t>司法院參處</w:t>
      </w:r>
      <w:proofErr w:type="gramEnd"/>
      <w:r w:rsidRPr="00564BE5">
        <w:rPr>
          <w:rFonts w:hAnsi="標楷體" w:hint="eastAsia"/>
        </w:rPr>
        <w:t>。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107"/>
      <w:bookmarkEnd w:id="108"/>
      <w:bookmarkEnd w:id="109"/>
      <w:bookmarkEnd w:id="110"/>
      <w:bookmarkEnd w:id="111"/>
    </w:p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p w:rsidR="00B86B2C" w:rsidRDefault="00B86B2C" w:rsidP="00B86B2C">
      <w:pPr>
        <w:pStyle w:val="2"/>
        <w:rPr>
          <w:rFonts w:hAnsi="標楷體"/>
        </w:rPr>
      </w:pPr>
      <w:r>
        <w:rPr>
          <w:rFonts w:hint="eastAsia"/>
        </w:rPr>
        <w:t>調查意見(含案由、處理辦法、調查委員姓名)</w:t>
      </w:r>
      <w:proofErr w:type="gramStart"/>
      <w:r>
        <w:rPr>
          <w:rFonts w:hint="eastAsia"/>
        </w:rPr>
        <w:t>遮隱個</w:t>
      </w:r>
      <w:proofErr w:type="gramEnd"/>
      <w:r>
        <w:rPr>
          <w:rFonts w:hint="eastAsia"/>
        </w:rPr>
        <w:t>資後上網公布</w:t>
      </w:r>
      <w:r>
        <w:rPr>
          <w:rFonts w:hAnsi="標楷體" w:hint="eastAsia"/>
          <w:color w:val="000000"/>
        </w:rPr>
        <w:t>。</w:t>
      </w:r>
    </w:p>
    <w:p w:rsidR="00B86B2C" w:rsidRPr="00B86B2C" w:rsidRDefault="00B86B2C" w:rsidP="00B86B2C">
      <w:pPr>
        <w:pStyle w:val="1"/>
        <w:numPr>
          <w:ilvl w:val="0"/>
          <w:numId w:val="0"/>
        </w:numPr>
        <w:ind w:left="2381" w:hanging="2381"/>
        <w:rPr>
          <w:rFonts w:hint="eastAsia"/>
        </w:rPr>
      </w:pPr>
    </w:p>
    <w:p w:rsidR="00B86B2C" w:rsidRDefault="00B86B2C" w:rsidP="00B86B2C">
      <w:pPr>
        <w:pStyle w:val="aa"/>
        <w:spacing w:beforeLines="50" w:before="228" w:after="0"/>
        <w:ind w:leftChars="833" w:left="3722" w:rightChars="474" w:right="1612" w:hanging="889"/>
        <w:jc w:val="right"/>
        <w:rPr>
          <w:rFonts w:hAnsi="標楷體" w:hint="eastAsia"/>
          <w:b w:val="0"/>
          <w:bCs/>
          <w:spacing w:val="12"/>
          <w:kern w:val="0"/>
          <w:sz w:val="40"/>
        </w:rPr>
      </w:pPr>
      <w:r>
        <w:rPr>
          <w:rFonts w:hAnsi="標楷體" w:hint="eastAsia"/>
          <w:b w:val="0"/>
          <w:bCs/>
          <w:spacing w:val="12"/>
          <w:kern w:val="0"/>
          <w:sz w:val="40"/>
        </w:rPr>
        <w:t>調查委員：王美玉</w:t>
      </w:r>
    </w:p>
    <w:p w:rsidR="00B86B2C" w:rsidRDefault="00B86B2C" w:rsidP="00B86B2C">
      <w:pPr>
        <w:pStyle w:val="aa"/>
        <w:spacing w:beforeLines="50" w:before="228" w:after="0"/>
        <w:ind w:leftChars="833" w:left="3722" w:rightChars="474" w:right="1612" w:hanging="889"/>
        <w:jc w:val="right"/>
        <w:rPr>
          <w:rFonts w:hAnsi="標楷體" w:hint="eastAsia"/>
          <w:b w:val="0"/>
          <w:bCs/>
          <w:spacing w:val="12"/>
          <w:kern w:val="0"/>
          <w:sz w:val="40"/>
        </w:rPr>
      </w:pPr>
      <w:r>
        <w:rPr>
          <w:rFonts w:hAnsi="標楷體" w:hint="eastAsia"/>
          <w:b w:val="0"/>
          <w:bCs/>
          <w:spacing w:val="12"/>
          <w:kern w:val="0"/>
          <w:sz w:val="40"/>
        </w:rPr>
        <w:t>高</w:t>
      </w:r>
      <w:proofErr w:type="gramStart"/>
      <w:r>
        <w:rPr>
          <w:rFonts w:hAnsi="標楷體" w:hint="eastAsia"/>
          <w:b w:val="0"/>
          <w:bCs/>
          <w:spacing w:val="12"/>
          <w:kern w:val="0"/>
          <w:sz w:val="40"/>
        </w:rPr>
        <w:t>涌</w:t>
      </w:r>
      <w:proofErr w:type="gramEnd"/>
      <w:r>
        <w:rPr>
          <w:rFonts w:hAnsi="標楷體" w:hint="eastAsia"/>
          <w:b w:val="0"/>
          <w:bCs/>
          <w:spacing w:val="12"/>
          <w:kern w:val="0"/>
          <w:sz w:val="40"/>
        </w:rPr>
        <w:t>誠</w:t>
      </w:r>
    </w:p>
    <w:sectPr w:rsidR="00B86B2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2EA" w:rsidRDefault="000722EA">
      <w:r>
        <w:separator/>
      </w:r>
    </w:p>
  </w:endnote>
  <w:endnote w:type="continuationSeparator" w:id="0">
    <w:p w:rsidR="000722EA" w:rsidRDefault="000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A80" w:rsidRDefault="00C13A8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C13A80" w:rsidRDefault="00C13A8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2EA" w:rsidRDefault="000722EA">
      <w:r>
        <w:separator/>
      </w:r>
    </w:p>
  </w:footnote>
  <w:footnote w:type="continuationSeparator" w:id="0">
    <w:p w:rsidR="000722EA" w:rsidRDefault="000722EA">
      <w:r>
        <w:continuationSeparator/>
      </w:r>
    </w:p>
  </w:footnote>
  <w:footnote w:id="1">
    <w:p w:rsidR="00C13A80" w:rsidRPr="00D303D1" w:rsidRDefault="00C13A80" w:rsidP="00D303D1">
      <w:pPr>
        <w:pStyle w:val="afd"/>
        <w:jc w:val="both"/>
        <w:rPr>
          <w:rFonts w:ascii="標楷體" w:eastAsia="標楷體" w:hAnsi="標楷體"/>
        </w:rPr>
      </w:pPr>
      <w:r w:rsidRPr="00D303D1">
        <w:rPr>
          <w:rStyle w:val="aff"/>
          <w:rFonts w:ascii="標楷體" w:eastAsia="標楷體" w:hAnsi="標楷體"/>
        </w:rPr>
        <w:footnoteRef/>
      </w:r>
      <w:r w:rsidRPr="00D303D1">
        <w:rPr>
          <w:rFonts w:ascii="標楷體" w:eastAsia="標楷體" w:hAnsi="標楷體" w:hint="eastAsia"/>
        </w:rPr>
        <w:t xml:space="preserve"> </w:t>
      </w:r>
      <w:proofErr w:type="gramStart"/>
      <w:r w:rsidRPr="00D303D1">
        <w:rPr>
          <w:rFonts w:ascii="標楷體" w:eastAsia="標楷體" w:hAnsi="標楷體" w:hint="eastAsia"/>
        </w:rPr>
        <w:t>臺</w:t>
      </w:r>
      <w:proofErr w:type="gramEnd"/>
      <w:r w:rsidRPr="00D303D1">
        <w:rPr>
          <w:rFonts w:ascii="標楷體" w:eastAsia="標楷體" w:hAnsi="標楷體" w:hint="eastAsia"/>
        </w:rPr>
        <w:t>北地院1</w:t>
      </w:r>
      <w:r w:rsidRPr="00D303D1">
        <w:rPr>
          <w:rFonts w:ascii="標楷體" w:eastAsia="標楷體" w:hAnsi="標楷體"/>
        </w:rPr>
        <w:t>12</w:t>
      </w:r>
      <w:r w:rsidRPr="00D303D1">
        <w:rPr>
          <w:rFonts w:ascii="標楷體" w:eastAsia="標楷體" w:hAnsi="標楷體" w:hint="eastAsia"/>
        </w:rPr>
        <w:t>年9月7日</w:t>
      </w:r>
      <w:proofErr w:type="gramStart"/>
      <w:r w:rsidRPr="00D303D1">
        <w:rPr>
          <w:rFonts w:ascii="標楷體" w:eastAsia="標楷體" w:hAnsi="標楷體" w:hint="eastAsia"/>
        </w:rPr>
        <w:t>北院忠刑壬1</w:t>
      </w:r>
      <w:r w:rsidRPr="00D303D1">
        <w:rPr>
          <w:rFonts w:ascii="標楷體" w:eastAsia="標楷體" w:hAnsi="標楷體"/>
        </w:rPr>
        <w:t>12</w:t>
      </w:r>
      <w:r w:rsidRPr="00D303D1">
        <w:rPr>
          <w:rFonts w:ascii="標楷體" w:eastAsia="標楷體" w:hAnsi="標楷體" w:hint="eastAsia"/>
        </w:rPr>
        <w:t>審易</w:t>
      </w:r>
      <w:proofErr w:type="gramEnd"/>
      <w:r w:rsidRPr="00D303D1">
        <w:rPr>
          <w:rFonts w:ascii="標楷體" w:eastAsia="標楷體" w:hAnsi="標楷體" w:hint="eastAsia"/>
        </w:rPr>
        <w:t>6</w:t>
      </w:r>
      <w:r w:rsidRPr="00D303D1">
        <w:rPr>
          <w:rFonts w:ascii="標楷體" w:eastAsia="標楷體" w:hAnsi="標楷體"/>
        </w:rPr>
        <w:t>56</w:t>
      </w:r>
      <w:r w:rsidRPr="00D303D1">
        <w:rPr>
          <w:rFonts w:ascii="標楷體" w:eastAsia="標楷體" w:hAnsi="標楷體" w:hint="eastAsia"/>
        </w:rPr>
        <w:t>字第1</w:t>
      </w:r>
      <w:r w:rsidRPr="00D303D1">
        <w:rPr>
          <w:rFonts w:ascii="標楷體" w:eastAsia="標楷體" w:hAnsi="標楷體"/>
        </w:rPr>
        <w:t>120009821</w:t>
      </w:r>
      <w:r w:rsidRPr="00D303D1">
        <w:rPr>
          <w:rFonts w:ascii="標楷體" w:eastAsia="標楷體" w:hAnsi="標楷體" w:hint="eastAsia"/>
        </w:rPr>
        <w:t>號函。</w:t>
      </w:r>
    </w:p>
  </w:footnote>
  <w:footnote w:id="2">
    <w:p w:rsidR="00C13A80" w:rsidRPr="00D303D1" w:rsidRDefault="00C13A80" w:rsidP="00D303D1">
      <w:pPr>
        <w:pStyle w:val="afd"/>
        <w:jc w:val="both"/>
        <w:rPr>
          <w:rFonts w:ascii="標楷體" w:eastAsia="標楷體" w:hAnsi="標楷體"/>
        </w:rPr>
      </w:pPr>
      <w:r w:rsidRPr="00D303D1">
        <w:rPr>
          <w:rStyle w:val="aff"/>
          <w:rFonts w:ascii="標楷體" w:eastAsia="標楷體" w:hAnsi="標楷體"/>
        </w:rPr>
        <w:footnoteRef/>
      </w:r>
      <w:r w:rsidRPr="00D303D1">
        <w:rPr>
          <w:rFonts w:ascii="標楷體" w:eastAsia="標楷體" w:hAnsi="標楷體"/>
        </w:rPr>
        <w:t xml:space="preserve"> </w:t>
      </w:r>
      <w:r w:rsidRPr="00D303D1">
        <w:rPr>
          <w:rFonts w:ascii="標楷體" w:eastAsia="標楷體" w:hAnsi="標楷體" w:hint="eastAsia"/>
        </w:rPr>
        <w:t>臺北地檢署</w:t>
      </w:r>
      <w:r w:rsidRPr="00D303D1">
        <w:rPr>
          <w:rFonts w:ascii="標楷體" w:eastAsia="標楷體" w:hAnsi="標楷體" w:cs="新細明體" w:hint="eastAsia"/>
        </w:rPr>
        <w:t>112年9月21日北檢銘惻112執聲非4字第1129092838號函。</w:t>
      </w:r>
    </w:p>
  </w:footnote>
  <w:footnote w:id="3">
    <w:p w:rsidR="00C13A80" w:rsidRPr="00D303D1" w:rsidRDefault="00C13A80" w:rsidP="00D303D1">
      <w:pPr>
        <w:pStyle w:val="afd"/>
        <w:jc w:val="both"/>
        <w:rPr>
          <w:rFonts w:ascii="標楷體" w:eastAsia="標楷體" w:hAnsi="標楷體"/>
        </w:rPr>
      </w:pPr>
      <w:r w:rsidRPr="00D303D1">
        <w:rPr>
          <w:rStyle w:val="aff"/>
          <w:rFonts w:ascii="標楷體" w:eastAsia="標楷體" w:hAnsi="標楷體"/>
        </w:rPr>
        <w:footnoteRef/>
      </w:r>
      <w:r w:rsidRPr="00D303D1">
        <w:rPr>
          <w:rFonts w:ascii="標楷體" w:eastAsia="標楷體" w:hAnsi="標楷體"/>
        </w:rPr>
        <w:t xml:space="preserve"> </w:t>
      </w:r>
      <w:r w:rsidRPr="00D303D1">
        <w:rPr>
          <w:rFonts w:ascii="標楷體" w:eastAsia="標楷體" w:hAnsi="標楷體" w:hint="eastAsia"/>
        </w:rPr>
        <w:t>最高檢察署112年9月27日台敬112非1343字第11299140721號函。</w:t>
      </w:r>
    </w:p>
  </w:footnote>
  <w:footnote w:id="4">
    <w:p w:rsidR="00C13A80" w:rsidRPr="00D303D1" w:rsidRDefault="00C13A80" w:rsidP="00D303D1">
      <w:pPr>
        <w:pStyle w:val="afd"/>
        <w:jc w:val="both"/>
        <w:rPr>
          <w:rFonts w:ascii="標楷體" w:eastAsia="標楷體" w:hAnsi="標楷體"/>
        </w:rPr>
      </w:pPr>
      <w:r w:rsidRPr="00D303D1">
        <w:rPr>
          <w:rStyle w:val="aff"/>
          <w:rFonts w:ascii="標楷體" w:eastAsia="標楷體" w:hAnsi="標楷體"/>
        </w:rPr>
        <w:footnoteRef/>
      </w:r>
      <w:r w:rsidRPr="00D303D1">
        <w:rPr>
          <w:rFonts w:ascii="標楷體" w:eastAsia="標楷體" w:hAnsi="標楷體"/>
        </w:rPr>
        <w:t xml:space="preserve"> </w:t>
      </w:r>
      <w:r w:rsidRPr="00D303D1">
        <w:rPr>
          <w:rFonts w:ascii="標楷體" w:eastAsia="標楷體" w:hAnsi="標楷體" w:hint="eastAsia"/>
        </w:rPr>
        <w:t>臺北地院1</w:t>
      </w:r>
      <w:r w:rsidRPr="00D303D1">
        <w:rPr>
          <w:rFonts w:ascii="標楷體" w:eastAsia="標楷體" w:hAnsi="標楷體"/>
        </w:rPr>
        <w:t>12</w:t>
      </w:r>
      <w:r w:rsidRPr="00D303D1">
        <w:rPr>
          <w:rFonts w:ascii="標楷體" w:eastAsia="標楷體" w:hAnsi="標楷體" w:hint="eastAsia"/>
        </w:rPr>
        <w:t>年1</w:t>
      </w:r>
      <w:r w:rsidRPr="00D303D1">
        <w:rPr>
          <w:rFonts w:ascii="標楷體" w:eastAsia="標楷體" w:hAnsi="標楷體"/>
        </w:rPr>
        <w:t>0</w:t>
      </w:r>
      <w:r w:rsidRPr="00D303D1">
        <w:rPr>
          <w:rFonts w:ascii="標楷體" w:eastAsia="標楷體" w:hAnsi="標楷體" w:hint="eastAsia"/>
        </w:rPr>
        <w:t>月2</w:t>
      </w:r>
      <w:r w:rsidRPr="00D303D1">
        <w:rPr>
          <w:rFonts w:ascii="標楷體" w:eastAsia="標楷體" w:hAnsi="標楷體"/>
        </w:rPr>
        <w:t>6</w:t>
      </w:r>
      <w:r w:rsidRPr="00D303D1">
        <w:rPr>
          <w:rFonts w:ascii="標楷體" w:eastAsia="標楷體" w:hAnsi="標楷體" w:hint="eastAsia"/>
        </w:rPr>
        <w:t>日北院忠文澄字第1120005140號函，劉法官自111年9月起進入該院刑事審查庭，至112年7月止，總收案量為1</w:t>
      </w:r>
      <w:r w:rsidRPr="00D303D1">
        <w:rPr>
          <w:rFonts w:ascii="標楷體" w:eastAsia="標楷體" w:hAnsi="標楷體"/>
        </w:rPr>
        <w:t>,</w:t>
      </w:r>
      <w:r w:rsidRPr="00D303D1">
        <w:rPr>
          <w:rFonts w:ascii="標楷體" w:eastAsia="標楷體" w:hAnsi="標楷體" w:hint="eastAsia"/>
        </w:rPr>
        <w:t>586件，自行終結1</w:t>
      </w:r>
      <w:r w:rsidRPr="00D303D1">
        <w:rPr>
          <w:rFonts w:ascii="標楷體" w:eastAsia="標楷體" w:hAnsi="標楷體"/>
        </w:rPr>
        <w:t>,</w:t>
      </w:r>
      <w:r w:rsidRPr="00D303D1">
        <w:rPr>
          <w:rFonts w:ascii="標楷體" w:eastAsia="標楷體" w:hAnsi="標楷體" w:hint="eastAsia"/>
        </w:rPr>
        <w:t>385件，移由審理庭者僅100件，平均自結率為92.78％。</w:t>
      </w:r>
    </w:p>
  </w:footnote>
  <w:footnote w:id="5">
    <w:p w:rsidR="00C13A80" w:rsidRPr="00D303D1" w:rsidRDefault="00C13A80" w:rsidP="00D303D1">
      <w:pPr>
        <w:pStyle w:val="afd"/>
        <w:jc w:val="both"/>
        <w:rPr>
          <w:rFonts w:ascii="標楷體" w:eastAsia="標楷體" w:hAnsi="標楷體"/>
        </w:rPr>
      </w:pPr>
      <w:r w:rsidRPr="00D303D1">
        <w:rPr>
          <w:rStyle w:val="aff"/>
          <w:rFonts w:ascii="標楷體" w:eastAsia="標楷體" w:hAnsi="標楷體"/>
        </w:rPr>
        <w:footnoteRef/>
      </w:r>
      <w:r w:rsidRPr="00D303D1">
        <w:rPr>
          <w:rFonts w:ascii="標楷體" w:eastAsia="標楷體" w:hAnsi="標楷體"/>
        </w:rPr>
        <w:t xml:space="preserve"> </w:t>
      </w:r>
      <w:r w:rsidRPr="00D303D1">
        <w:rPr>
          <w:rFonts w:ascii="標楷體" w:eastAsia="標楷體" w:hAnsi="標楷體" w:hint="eastAsia"/>
        </w:rPr>
        <w:t>依臺北地院1</w:t>
      </w:r>
      <w:r w:rsidRPr="00D303D1">
        <w:rPr>
          <w:rFonts w:ascii="標楷體" w:eastAsia="標楷體" w:hAnsi="標楷體"/>
        </w:rPr>
        <w:t>13</w:t>
      </w:r>
      <w:r w:rsidRPr="00D303D1">
        <w:rPr>
          <w:rFonts w:ascii="標楷體" w:eastAsia="標楷體" w:hAnsi="標楷體" w:hint="eastAsia"/>
        </w:rPr>
        <w:t>年4月2</w:t>
      </w:r>
      <w:r w:rsidRPr="00D303D1">
        <w:rPr>
          <w:rFonts w:ascii="標楷體" w:eastAsia="標楷體" w:hAnsi="標楷體"/>
        </w:rPr>
        <w:t>4</w:t>
      </w:r>
      <w:r w:rsidRPr="00D303D1">
        <w:rPr>
          <w:rFonts w:ascii="標楷體" w:eastAsia="標楷體" w:hAnsi="標楷體" w:hint="eastAsia"/>
        </w:rPr>
        <w:t>日北院英文澄字第1</w:t>
      </w:r>
      <w:r w:rsidRPr="00D303D1">
        <w:rPr>
          <w:rFonts w:ascii="標楷體" w:eastAsia="標楷體" w:hAnsi="標楷體"/>
        </w:rPr>
        <w:t>130028112</w:t>
      </w:r>
      <w:r w:rsidRPr="00D303D1">
        <w:rPr>
          <w:rFonts w:ascii="標楷體" w:eastAsia="標楷體" w:hAnsi="標楷體" w:hint="eastAsia"/>
        </w:rPr>
        <w:t>號函，自1</w:t>
      </w:r>
      <w:r w:rsidRPr="00D303D1">
        <w:rPr>
          <w:rFonts w:ascii="標楷體" w:eastAsia="標楷體" w:hAnsi="標楷體"/>
        </w:rPr>
        <w:t>08</w:t>
      </w:r>
      <w:r w:rsidRPr="00D303D1">
        <w:rPr>
          <w:rFonts w:ascii="標楷體" w:eastAsia="標楷體" w:hAnsi="標楷體" w:hint="eastAsia"/>
        </w:rPr>
        <w:t>年至1</w:t>
      </w:r>
      <w:r w:rsidRPr="00D303D1">
        <w:rPr>
          <w:rFonts w:ascii="標楷體" w:eastAsia="標楷體" w:hAnsi="標楷體"/>
        </w:rPr>
        <w:t>12</w:t>
      </w:r>
      <w:r w:rsidRPr="00D303D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，以</w:t>
      </w:r>
      <w:r w:rsidRPr="00D303D1">
        <w:rPr>
          <w:rFonts w:ascii="標楷體" w:eastAsia="標楷體" w:hAnsi="標楷體" w:hint="eastAsia"/>
        </w:rPr>
        <w:t>該院審查庭自結案件數除以全院新收案件數，分別為2</w:t>
      </w:r>
      <w:r w:rsidRPr="00D303D1">
        <w:rPr>
          <w:rFonts w:ascii="標楷體" w:eastAsia="標楷體" w:hAnsi="標楷體"/>
        </w:rPr>
        <w:t>9.7%</w:t>
      </w:r>
      <w:r w:rsidRPr="00D303D1">
        <w:rPr>
          <w:rFonts w:ascii="標楷體" w:eastAsia="標楷體" w:hAnsi="標楷體" w:hint="eastAsia"/>
        </w:rPr>
        <w:t>、3</w:t>
      </w:r>
      <w:r w:rsidRPr="00D303D1">
        <w:rPr>
          <w:rFonts w:ascii="標楷體" w:eastAsia="標楷體" w:hAnsi="標楷體"/>
        </w:rPr>
        <w:t>2.2%</w:t>
      </w:r>
      <w:r w:rsidRPr="00D303D1">
        <w:rPr>
          <w:rFonts w:ascii="標楷體" w:eastAsia="標楷體" w:hAnsi="標楷體" w:hint="eastAsia"/>
        </w:rPr>
        <w:t>、3</w:t>
      </w:r>
      <w:r w:rsidRPr="00D303D1">
        <w:rPr>
          <w:rFonts w:ascii="標楷體" w:eastAsia="標楷體" w:hAnsi="標楷體"/>
        </w:rPr>
        <w:t>0.9%</w:t>
      </w:r>
      <w:r w:rsidRPr="00D303D1">
        <w:rPr>
          <w:rFonts w:ascii="標楷體" w:eastAsia="標楷體" w:hAnsi="標楷體" w:hint="eastAsia"/>
        </w:rPr>
        <w:t>、3</w:t>
      </w:r>
      <w:r w:rsidRPr="00D303D1">
        <w:rPr>
          <w:rFonts w:ascii="標楷體" w:eastAsia="標楷體" w:hAnsi="標楷體"/>
        </w:rPr>
        <w:t>6%</w:t>
      </w:r>
      <w:r w:rsidRPr="00D303D1">
        <w:rPr>
          <w:rFonts w:ascii="標楷體" w:eastAsia="標楷體" w:hAnsi="標楷體" w:hint="eastAsia"/>
        </w:rPr>
        <w:t>與3</w:t>
      </w:r>
      <w:r w:rsidRPr="00D303D1">
        <w:rPr>
          <w:rFonts w:ascii="標楷體" w:eastAsia="標楷體" w:hAnsi="標楷體"/>
        </w:rPr>
        <w:t>3.1%</w:t>
      </w:r>
      <w:r w:rsidRPr="00D303D1">
        <w:rPr>
          <w:rFonts w:ascii="標楷體" w:eastAsia="標楷體" w:hAnsi="標楷體" w:hint="eastAsia"/>
        </w:rPr>
        <w:t>。換言之，該院審查庭1</w:t>
      </w:r>
      <w:r w:rsidRPr="00D303D1">
        <w:rPr>
          <w:rFonts w:ascii="標楷體" w:eastAsia="標楷體" w:hAnsi="標楷體"/>
        </w:rPr>
        <w:t>1</w:t>
      </w:r>
      <w:r w:rsidRPr="00D303D1">
        <w:rPr>
          <w:rFonts w:ascii="標楷體" w:eastAsia="標楷體" w:hAnsi="標楷體" w:hint="eastAsia"/>
        </w:rPr>
        <w:t>位法官，</w:t>
      </w:r>
      <w:r>
        <w:rPr>
          <w:rFonts w:ascii="標楷體" w:eastAsia="標楷體" w:hAnsi="標楷體" w:hint="eastAsia"/>
        </w:rPr>
        <w:t>每年</w:t>
      </w:r>
      <w:r w:rsidRPr="00D303D1">
        <w:rPr>
          <w:rFonts w:ascii="標楷體" w:eastAsia="標楷體" w:hAnsi="標楷體" w:hint="eastAsia"/>
        </w:rPr>
        <w:t>審結各該年度近1</w:t>
      </w:r>
      <w:r w:rsidRPr="00D303D1">
        <w:rPr>
          <w:rFonts w:ascii="標楷體" w:eastAsia="標楷體" w:hAnsi="標楷體"/>
        </w:rPr>
        <w:t>/3</w:t>
      </w:r>
      <w:r w:rsidRPr="00D303D1">
        <w:rPr>
          <w:rFonts w:ascii="標楷體" w:eastAsia="標楷體" w:hAnsi="標楷體" w:hint="eastAsia"/>
        </w:rPr>
        <w:t>的案件</w:t>
      </w:r>
      <w:r>
        <w:rPr>
          <w:rFonts w:ascii="標楷體" w:eastAsia="標楷體" w:hAnsi="標楷體" w:hint="eastAsia"/>
        </w:rPr>
        <w:t>，案件負擔相當可觀</w:t>
      </w:r>
      <w:r w:rsidRPr="00D303D1">
        <w:rPr>
          <w:rFonts w:ascii="標楷體" w:eastAsia="標楷體" w:hAnsi="標楷體" w:hint="eastAsia"/>
        </w:rPr>
        <w:t>。</w:t>
      </w:r>
    </w:p>
  </w:footnote>
  <w:footnote w:id="6">
    <w:p w:rsidR="00C13A80" w:rsidRPr="004836CD" w:rsidRDefault="00C13A80" w:rsidP="00C82B05">
      <w:pPr>
        <w:pStyle w:val="afd"/>
        <w:jc w:val="both"/>
        <w:rPr>
          <w:rFonts w:ascii="標楷體" w:eastAsia="標楷體" w:hAnsi="標楷體"/>
        </w:rPr>
      </w:pPr>
      <w:r>
        <w:rPr>
          <w:rStyle w:val="aff"/>
        </w:rPr>
        <w:footnoteRef/>
      </w:r>
      <w:r>
        <w:t xml:space="preserve"> </w:t>
      </w:r>
      <w:r>
        <w:rPr>
          <w:rFonts w:ascii="標楷體" w:eastAsia="標楷體" w:hAnsi="標楷體" w:hint="eastAsia"/>
        </w:rPr>
        <w:t>在比較法上，英國的治安法院以大量非職業法官來處理近9</w:t>
      </w:r>
      <w:r>
        <w:rPr>
          <w:rFonts w:ascii="標楷體" w:eastAsia="標楷體" w:hAnsi="標楷體"/>
        </w:rPr>
        <w:t>5%</w:t>
      </w:r>
      <w:r>
        <w:rPr>
          <w:rFonts w:ascii="標楷體" w:eastAsia="標楷體" w:hAnsi="標楷體" w:hint="eastAsia"/>
        </w:rPr>
        <w:t>的刑事案件，同時增加民眾對司法的可近性，亦值參考。參見林超駿，</w:t>
      </w:r>
      <w:r w:rsidRPr="004836CD">
        <w:rPr>
          <w:rFonts w:ascii="標楷體" w:eastAsia="標楷體" w:hAnsi="標楷體" w:hint="eastAsia"/>
        </w:rPr>
        <w:t>法院組織、訴訟程序與案件控管</w:t>
      </w:r>
      <w:r w:rsidRPr="004836CD">
        <w:rPr>
          <w:rFonts w:ascii="Cambria" w:eastAsia="標楷體" w:hAnsi="Cambria" w:cs="Cambria"/>
        </w:rPr>
        <w:t>⎯</w:t>
      </w:r>
      <w:r w:rsidRPr="004836CD">
        <w:rPr>
          <w:rFonts w:ascii="標楷體" w:eastAsia="標楷體" w:hAnsi="標楷體" w:hint="eastAsia"/>
        </w:rPr>
        <w:t>初論英國治安法院制度</w:t>
      </w:r>
      <w:r>
        <w:rPr>
          <w:rFonts w:ascii="標楷體" w:eastAsia="標楷體" w:hAnsi="標楷體" w:hint="eastAsia"/>
        </w:rPr>
        <w:t>，月旦法學雜誌，第1</w:t>
      </w:r>
      <w:r>
        <w:rPr>
          <w:rFonts w:ascii="標楷體" w:eastAsia="標楷體" w:hAnsi="標楷體"/>
        </w:rPr>
        <w:t>94</w:t>
      </w:r>
      <w:r>
        <w:rPr>
          <w:rFonts w:ascii="標楷體" w:eastAsia="標楷體" w:hAnsi="標楷體" w:hint="eastAsia"/>
        </w:rPr>
        <w:t>期，1</w:t>
      </w:r>
      <w:r>
        <w:rPr>
          <w:rFonts w:ascii="標楷體" w:eastAsia="標楷體" w:hAnsi="標楷體"/>
        </w:rPr>
        <w:t>00</w:t>
      </w:r>
      <w:r>
        <w:rPr>
          <w:rFonts w:ascii="標楷體" w:eastAsia="標楷體" w:hAnsi="標楷體" w:hint="eastAsia"/>
        </w:rPr>
        <w:t>年7月，第6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頁以下。</w:t>
      </w:r>
    </w:p>
  </w:footnote>
  <w:footnote w:id="7">
    <w:p w:rsidR="00C13A80" w:rsidRDefault="00C13A80" w:rsidP="001C6CC1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6C376B">
        <w:rPr>
          <w:rFonts w:ascii="標楷體" w:eastAsia="標楷體" w:hAnsi="標楷體" w:hint="eastAsia"/>
        </w:rPr>
        <w:t>在此同時的</w:t>
      </w:r>
      <w:r w:rsidR="006B75D9" w:rsidRPr="006C376B">
        <w:rPr>
          <w:rFonts w:ascii="標楷體" w:eastAsia="標楷體" w:hAnsi="標楷體" w:hint="eastAsia"/>
        </w:rPr>
        <w:t>可能</w:t>
      </w:r>
      <w:r w:rsidRPr="006C376B">
        <w:rPr>
          <w:rFonts w:ascii="標楷體" w:eastAsia="標楷體" w:hAnsi="標楷體" w:hint="eastAsia"/>
        </w:rPr>
        <w:t>配套措施為</w:t>
      </w:r>
      <w:r w:rsidR="006B75D9">
        <w:rPr>
          <w:rFonts w:ascii="標楷體" w:eastAsia="標楷體" w:hAnsi="標楷體" w:hint="eastAsia"/>
        </w:rPr>
        <w:t>：</w:t>
      </w:r>
      <w:r w:rsidRPr="006C376B">
        <w:rPr>
          <w:rFonts w:ascii="標楷體" w:eastAsia="標楷體" w:hAnsi="標楷體" w:hint="eastAsia"/>
        </w:rPr>
        <w:t>犯罪嫌疑人或被告均有辯護人(不論是自行委託或由法院指定)協助。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571B"/>
    <w:rsid w:val="00006961"/>
    <w:rsid w:val="00006A76"/>
    <w:rsid w:val="000112BF"/>
    <w:rsid w:val="00012233"/>
    <w:rsid w:val="00017318"/>
    <w:rsid w:val="00021BFF"/>
    <w:rsid w:val="00022671"/>
    <w:rsid w:val="000229AD"/>
    <w:rsid w:val="000246F7"/>
    <w:rsid w:val="0003114D"/>
    <w:rsid w:val="00036D76"/>
    <w:rsid w:val="00047905"/>
    <w:rsid w:val="0005657E"/>
    <w:rsid w:val="00057F32"/>
    <w:rsid w:val="00062A25"/>
    <w:rsid w:val="00065854"/>
    <w:rsid w:val="000661DF"/>
    <w:rsid w:val="000722EA"/>
    <w:rsid w:val="00072FB3"/>
    <w:rsid w:val="00073CB5"/>
    <w:rsid w:val="0007425C"/>
    <w:rsid w:val="00075D7E"/>
    <w:rsid w:val="00077553"/>
    <w:rsid w:val="000851A2"/>
    <w:rsid w:val="0009352E"/>
    <w:rsid w:val="00096B96"/>
    <w:rsid w:val="00097852"/>
    <w:rsid w:val="000A2F3F"/>
    <w:rsid w:val="000A5E48"/>
    <w:rsid w:val="000B0B4A"/>
    <w:rsid w:val="000B279A"/>
    <w:rsid w:val="000B61D2"/>
    <w:rsid w:val="000B70A7"/>
    <w:rsid w:val="000B73DD"/>
    <w:rsid w:val="000C495F"/>
    <w:rsid w:val="000C4AC9"/>
    <w:rsid w:val="000D2569"/>
    <w:rsid w:val="000D2BF6"/>
    <w:rsid w:val="000D3715"/>
    <w:rsid w:val="000D66D9"/>
    <w:rsid w:val="000E1985"/>
    <w:rsid w:val="000E5002"/>
    <w:rsid w:val="000E6431"/>
    <w:rsid w:val="000F108A"/>
    <w:rsid w:val="000F10E9"/>
    <w:rsid w:val="000F21A5"/>
    <w:rsid w:val="00102B9F"/>
    <w:rsid w:val="00112637"/>
    <w:rsid w:val="00112ABC"/>
    <w:rsid w:val="0011486A"/>
    <w:rsid w:val="00115568"/>
    <w:rsid w:val="0012001E"/>
    <w:rsid w:val="00121EEA"/>
    <w:rsid w:val="001255C9"/>
    <w:rsid w:val="00126A55"/>
    <w:rsid w:val="00131A9A"/>
    <w:rsid w:val="00133F08"/>
    <w:rsid w:val="001345E6"/>
    <w:rsid w:val="001378B0"/>
    <w:rsid w:val="00142E00"/>
    <w:rsid w:val="00146A77"/>
    <w:rsid w:val="00152793"/>
    <w:rsid w:val="00153B7E"/>
    <w:rsid w:val="001545A9"/>
    <w:rsid w:val="001569E3"/>
    <w:rsid w:val="0016022C"/>
    <w:rsid w:val="001637C7"/>
    <w:rsid w:val="0016480E"/>
    <w:rsid w:val="00174297"/>
    <w:rsid w:val="00177EC7"/>
    <w:rsid w:val="001804BA"/>
    <w:rsid w:val="00180E06"/>
    <w:rsid w:val="001817B3"/>
    <w:rsid w:val="00182AE1"/>
    <w:rsid w:val="00183014"/>
    <w:rsid w:val="00183618"/>
    <w:rsid w:val="001867A8"/>
    <w:rsid w:val="001959C2"/>
    <w:rsid w:val="001A01BC"/>
    <w:rsid w:val="001A51E3"/>
    <w:rsid w:val="001A536E"/>
    <w:rsid w:val="001A7968"/>
    <w:rsid w:val="001B02A1"/>
    <w:rsid w:val="001B2E98"/>
    <w:rsid w:val="001B2F16"/>
    <w:rsid w:val="001B3483"/>
    <w:rsid w:val="001B3C1E"/>
    <w:rsid w:val="001B4494"/>
    <w:rsid w:val="001C0D8B"/>
    <w:rsid w:val="001C0DA8"/>
    <w:rsid w:val="001C3C02"/>
    <w:rsid w:val="001C6CC1"/>
    <w:rsid w:val="001D4AD7"/>
    <w:rsid w:val="001D4F22"/>
    <w:rsid w:val="001E0D8A"/>
    <w:rsid w:val="001E2678"/>
    <w:rsid w:val="001E67BA"/>
    <w:rsid w:val="001E74C2"/>
    <w:rsid w:val="001F3ED4"/>
    <w:rsid w:val="001F4F82"/>
    <w:rsid w:val="001F5A48"/>
    <w:rsid w:val="001F5B42"/>
    <w:rsid w:val="001F5B78"/>
    <w:rsid w:val="001F6260"/>
    <w:rsid w:val="001F6EAD"/>
    <w:rsid w:val="001F755C"/>
    <w:rsid w:val="00200007"/>
    <w:rsid w:val="002030A5"/>
    <w:rsid w:val="00203131"/>
    <w:rsid w:val="00203821"/>
    <w:rsid w:val="00212E88"/>
    <w:rsid w:val="00213C9C"/>
    <w:rsid w:val="0021652F"/>
    <w:rsid w:val="0022009E"/>
    <w:rsid w:val="00223241"/>
    <w:rsid w:val="0022425C"/>
    <w:rsid w:val="002246DE"/>
    <w:rsid w:val="00224F0B"/>
    <w:rsid w:val="00232BBB"/>
    <w:rsid w:val="00233EDF"/>
    <w:rsid w:val="002429E2"/>
    <w:rsid w:val="00244921"/>
    <w:rsid w:val="00252BC4"/>
    <w:rsid w:val="00254014"/>
    <w:rsid w:val="00254B39"/>
    <w:rsid w:val="00256715"/>
    <w:rsid w:val="00261C02"/>
    <w:rsid w:val="0026504D"/>
    <w:rsid w:val="002716FE"/>
    <w:rsid w:val="00273A2F"/>
    <w:rsid w:val="00280986"/>
    <w:rsid w:val="00281052"/>
    <w:rsid w:val="00281ECE"/>
    <w:rsid w:val="002831C7"/>
    <w:rsid w:val="002840C6"/>
    <w:rsid w:val="00293BD1"/>
    <w:rsid w:val="00293BE6"/>
    <w:rsid w:val="00295174"/>
    <w:rsid w:val="00296172"/>
    <w:rsid w:val="00296B92"/>
    <w:rsid w:val="002A2C22"/>
    <w:rsid w:val="002B02EB"/>
    <w:rsid w:val="002B5849"/>
    <w:rsid w:val="002C0602"/>
    <w:rsid w:val="002C3358"/>
    <w:rsid w:val="002C6FBF"/>
    <w:rsid w:val="002D5C16"/>
    <w:rsid w:val="002F0D20"/>
    <w:rsid w:val="002F2476"/>
    <w:rsid w:val="002F3DFF"/>
    <w:rsid w:val="002F4539"/>
    <w:rsid w:val="002F5E05"/>
    <w:rsid w:val="002F778E"/>
    <w:rsid w:val="00301457"/>
    <w:rsid w:val="00307A76"/>
    <w:rsid w:val="003124A0"/>
    <w:rsid w:val="0031455E"/>
    <w:rsid w:val="00315A16"/>
    <w:rsid w:val="00317053"/>
    <w:rsid w:val="0032109C"/>
    <w:rsid w:val="00322B45"/>
    <w:rsid w:val="00323809"/>
    <w:rsid w:val="00323D41"/>
    <w:rsid w:val="00325414"/>
    <w:rsid w:val="003262E4"/>
    <w:rsid w:val="003302F1"/>
    <w:rsid w:val="00336160"/>
    <w:rsid w:val="0034470E"/>
    <w:rsid w:val="00347C92"/>
    <w:rsid w:val="00352DB0"/>
    <w:rsid w:val="00361063"/>
    <w:rsid w:val="0036758A"/>
    <w:rsid w:val="00367BF1"/>
    <w:rsid w:val="0037094A"/>
    <w:rsid w:val="00371ED3"/>
    <w:rsid w:val="00372659"/>
    <w:rsid w:val="00372FFC"/>
    <w:rsid w:val="0037728A"/>
    <w:rsid w:val="00377DBC"/>
    <w:rsid w:val="00380B7D"/>
    <w:rsid w:val="00381A99"/>
    <w:rsid w:val="003829C2"/>
    <w:rsid w:val="003830B2"/>
    <w:rsid w:val="00384724"/>
    <w:rsid w:val="003901F5"/>
    <w:rsid w:val="003919B7"/>
    <w:rsid w:val="00391D57"/>
    <w:rsid w:val="00392292"/>
    <w:rsid w:val="00394F45"/>
    <w:rsid w:val="003A5927"/>
    <w:rsid w:val="003B1017"/>
    <w:rsid w:val="003B3C07"/>
    <w:rsid w:val="003B6081"/>
    <w:rsid w:val="003B6775"/>
    <w:rsid w:val="003C1BBC"/>
    <w:rsid w:val="003C5FE2"/>
    <w:rsid w:val="003D05FB"/>
    <w:rsid w:val="003D085C"/>
    <w:rsid w:val="003D1B16"/>
    <w:rsid w:val="003D3D23"/>
    <w:rsid w:val="003D45BF"/>
    <w:rsid w:val="003D508A"/>
    <w:rsid w:val="003D537F"/>
    <w:rsid w:val="003D5707"/>
    <w:rsid w:val="003D5D08"/>
    <w:rsid w:val="003D7B75"/>
    <w:rsid w:val="003E0208"/>
    <w:rsid w:val="003E1506"/>
    <w:rsid w:val="003E4B57"/>
    <w:rsid w:val="003F05FD"/>
    <w:rsid w:val="003F209D"/>
    <w:rsid w:val="003F27E1"/>
    <w:rsid w:val="003F3805"/>
    <w:rsid w:val="003F437A"/>
    <w:rsid w:val="003F5C2B"/>
    <w:rsid w:val="003F77B5"/>
    <w:rsid w:val="00402240"/>
    <w:rsid w:val="004023E9"/>
    <w:rsid w:val="00403CDE"/>
    <w:rsid w:val="0040454A"/>
    <w:rsid w:val="0040458C"/>
    <w:rsid w:val="0041167E"/>
    <w:rsid w:val="00413F83"/>
    <w:rsid w:val="004145C4"/>
    <w:rsid w:val="0041490C"/>
    <w:rsid w:val="00415A07"/>
    <w:rsid w:val="00416191"/>
    <w:rsid w:val="00416721"/>
    <w:rsid w:val="00417F8D"/>
    <w:rsid w:val="00421EF0"/>
    <w:rsid w:val="004224FA"/>
    <w:rsid w:val="00422AAE"/>
    <w:rsid w:val="00423D07"/>
    <w:rsid w:val="00425764"/>
    <w:rsid w:val="00426B8D"/>
    <w:rsid w:val="00427936"/>
    <w:rsid w:val="0043351C"/>
    <w:rsid w:val="00435FFD"/>
    <w:rsid w:val="004365CF"/>
    <w:rsid w:val="0043747F"/>
    <w:rsid w:val="004408EA"/>
    <w:rsid w:val="0044192F"/>
    <w:rsid w:val="0044211E"/>
    <w:rsid w:val="0044346F"/>
    <w:rsid w:val="004516AA"/>
    <w:rsid w:val="00453FF6"/>
    <w:rsid w:val="0045557D"/>
    <w:rsid w:val="004610B7"/>
    <w:rsid w:val="00462BE9"/>
    <w:rsid w:val="00462ECE"/>
    <w:rsid w:val="0046520A"/>
    <w:rsid w:val="004671C7"/>
    <w:rsid w:val="004672AB"/>
    <w:rsid w:val="004714FE"/>
    <w:rsid w:val="00476B9C"/>
    <w:rsid w:val="004770BB"/>
    <w:rsid w:val="00477BAA"/>
    <w:rsid w:val="004836CD"/>
    <w:rsid w:val="00492C74"/>
    <w:rsid w:val="00495053"/>
    <w:rsid w:val="004A1F59"/>
    <w:rsid w:val="004A29BE"/>
    <w:rsid w:val="004A3225"/>
    <w:rsid w:val="004A33EE"/>
    <w:rsid w:val="004A3AA8"/>
    <w:rsid w:val="004A40EC"/>
    <w:rsid w:val="004A55B3"/>
    <w:rsid w:val="004A6D26"/>
    <w:rsid w:val="004A6F61"/>
    <w:rsid w:val="004B13C7"/>
    <w:rsid w:val="004B1F73"/>
    <w:rsid w:val="004B2E39"/>
    <w:rsid w:val="004B73CC"/>
    <w:rsid w:val="004B778F"/>
    <w:rsid w:val="004C056D"/>
    <w:rsid w:val="004C0609"/>
    <w:rsid w:val="004C1540"/>
    <w:rsid w:val="004C4B24"/>
    <w:rsid w:val="004C639F"/>
    <w:rsid w:val="004D141F"/>
    <w:rsid w:val="004D2742"/>
    <w:rsid w:val="004D6310"/>
    <w:rsid w:val="004D73BF"/>
    <w:rsid w:val="004E0062"/>
    <w:rsid w:val="004E05A1"/>
    <w:rsid w:val="004E65A7"/>
    <w:rsid w:val="004E7F21"/>
    <w:rsid w:val="004E7F30"/>
    <w:rsid w:val="004F2B0B"/>
    <w:rsid w:val="004F472A"/>
    <w:rsid w:val="004F5E57"/>
    <w:rsid w:val="004F6710"/>
    <w:rsid w:val="005001B8"/>
    <w:rsid w:val="00500293"/>
    <w:rsid w:val="00500C3E"/>
    <w:rsid w:val="00502849"/>
    <w:rsid w:val="00504334"/>
    <w:rsid w:val="0050498D"/>
    <w:rsid w:val="005104D7"/>
    <w:rsid w:val="00510B9E"/>
    <w:rsid w:val="00513E53"/>
    <w:rsid w:val="005158B8"/>
    <w:rsid w:val="00531150"/>
    <w:rsid w:val="00536BC2"/>
    <w:rsid w:val="005425E1"/>
    <w:rsid w:val="005427C5"/>
    <w:rsid w:val="00542CF6"/>
    <w:rsid w:val="0054425F"/>
    <w:rsid w:val="005459E0"/>
    <w:rsid w:val="00552D0A"/>
    <w:rsid w:val="00553C03"/>
    <w:rsid w:val="00560DDA"/>
    <w:rsid w:val="00563692"/>
    <w:rsid w:val="00564BE5"/>
    <w:rsid w:val="005651CD"/>
    <w:rsid w:val="00566777"/>
    <w:rsid w:val="00571679"/>
    <w:rsid w:val="00572794"/>
    <w:rsid w:val="0057400A"/>
    <w:rsid w:val="00583DB8"/>
    <w:rsid w:val="00584235"/>
    <w:rsid w:val="005844E7"/>
    <w:rsid w:val="005908B8"/>
    <w:rsid w:val="0059512E"/>
    <w:rsid w:val="005A1030"/>
    <w:rsid w:val="005A3BF3"/>
    <w:rsid w:val="005A516F"/>
    <w:rsid w:val="005A6DD2"/>
    <w:rsid w:val="005A6FC2"/>
    <w:rsid w:val="005A7643"/>
    <w:rsid w:val="005C385D"/>
    <w:rsid w:val="005C512B"/>
    <w:rsid w:val="005D3B20"/>
    <w:rsid w:val="005D5449"/>
    <w:rsid w:val="005D71B7"/>
    <w:rsid w:val="005E4759"/>
    <w:rsid w:val="005E5C68"/>
    <w:rsid w:val="005E6307"/>
    <w:rsid w:val="005E65C0"/>
    <w:rsid w:val="005F0390"/>
    <w:rsid w:val="005F4C26"/>
    <w:rsid w:val="005F4CED"/>
    <w:rsid w:val="005F7F06"/>
    <w:rsid w:val="006013F3"/>
    <w:rsid w:val="0060272C"/>
    <w:rsid w:val="006038E8"/>
    <w:rsid w:val="006072CD"/>
    <w:rsid w:val="006114AD"/>
    <w:rsid w:val="00611547"/>
    <w:rsid w:val="00612023"/>
    <w:rsid w:val="006128DD"/>
    <w:rsid w:val="00614190"/>
    <w:rsid w:val="00615B96"/>
    <w:rsid w:val="006169E7"/>
    <w:rsid w:val="00616D01"/>
    <w:rsid w:val="00622A99"/>
    <w:rsid w:val="00622E67"/>
    <w:rsid w:val="0062386A"/>
    <w:rsid w:val="00626B57"/>
    <w:rsid w:val="00626EDC"/>
    <w:rsid w:val="00633F44"/>
    <w:rsid w:val="00636951"/>
    <w:rsid w:val="006406B7"/>
    <w:rsid w:val="00645139"/>
    <w:rsid w:val="006452D3"/>
    <w:rsid w:val="006470EC"/>
    <w:rsid w:val="006542D6"/>
    <w:rsid w:val="0065598C"/>
    <w:rsid w:val="0065598E"/>
    <w:rsid w:val="00655AF2"/>
    <w:rsid w:val="00655BC5"/>
    <w:rsid w:val="006568BE"/>
    <w:rsid w:val="0066025D"/>
    <w:rsid w:val="0066091A"/>
    <w:rsid w:val="00662746"/>
    <w:rsid w:val="00663F93"/>
    <w:rsid w:val="00664DA7"/>
    <w:rsid w:val="00665C41"/>
    <w:rsid w:val="006773EC"/>
    <w:rsid w:val="00680504"/>
    <w:rsid w:val="00681CD9"/>
    <w:rsid w:val="00683E30"/>
    <w:rsid w:val="006859BD"/>
    <w:rsid w:val="00687024"/>
    <w:rsid w:val="00692B35"/>
    <w:rsid w:val="00695E22"/>
    <w:rsid w:val="006967A0"/>
    <w:rsid w:val="006A6E33"/>
    <w:rsid w:val="006B511A"/>
    <w:rsid w:val="006B7093"/>
    <w:rsid w:val="006B7417"/>
    <w:rsid w:val="006B75D9"/>
    <w:rsid w:val="006B7EE4"/>
    <w:rsid w:val="006C1D05"/>
    <w:rsid w:val="006C376B"/>
    <w:rsid w:val="006C3F96"/>
    <w:rsid w:val="006D31F9"/>
    <w:rsid w:val="006D3691"/>
    <w:rsid w:val="006D559F"/>
    <w:rsid w:val="006E39D2"/>
    <w:rsid w:val="006E5EF0"/>
    <w:rsid w:val="006E6BE6"/>
    <w:rsid w:val="006F21A7"/>
    <w:rsid w:val="006F2CDA"/>
    <w:rsid w:val="006F3117"/>
    <w:rsid w:val="006F3563"/>
    <w:rsid w:val="006F3598"/>
    <w:rsid w:val="006F42B9"/>
    <w:rsid w:val="006F6103"/>
    <w:rsid w:val="006F6E9A"/>
    <w:rsid w:val="0070110E"/>
    <w:rsid w:val="00704E00"/>
    <w:rsid w:val="00713B3A"/>
    <w:rsid w:val="00713E1E"/>
    <w:rsid w:val="007209E7"/>
    <w:rsid w:val="00720E44"/>
    <w:rsid w:val="00722214"/>
    <w:rsid w:val="0072250E"/>
    <w:rsid w:val="00726182"/>
    <w:rsid w:val="00727635"/>
    <w:rsid w:val="00732329"/>
    <w:rsid w:val="0073340F"/>
    <w:rsid w:val="007337CA"/>
    <w:rsid w:val="00734CE4"/>
    <w:rsid w:val="00735123"/>
    <w:rsid w:val="00741837"/>
    <w:rsid w:val="007453E6"/>
    <w:rsid w:val="00745DE1"/>
    <w:rsid w:val="007531BA"/>
    <w:rsid w:val="00754789"/>
    <w:rsid w:val="00754AF6"/>
    <w:rsid w:val="00754F43"/>
    <w:rsid w:val="007565DC"/>
    <w:rsid w:val="007621C8"/>
    <w:rsid w:val="00770453"/>
    <w:rsid w:val="00773007"/>
    <w:rsid w:val="0077309D"/>
    <w:rsid w:val="007774EE"/>
    <w:rsid w:val="00777F47"/>
    <w:rsid w:val="00781822"/>
    <w:rsid w:val="00783F21"/>
    <w:rsid w:val="007847B4"/>
    <w:rsid w:val="00784A26"/>
    <w:rsid w:val="00786AE0"/>
    <w:rsid w:val="00787159"/>
    <w:rsid w:val="0079043A"/>
    <w:rsid w:val="00791668"/>
    <w:rsid w:val="00791AA1"/>
    <w:rsid w:val="00792866"/>
    <w:rsid w:val="007A035D"/>
    <w:rsid w:val="007A0384"/>
    <w:rsid w:val="007A3793"/>
    <w:rsid w:val="007A5003"/>
    <w:rsid w:val="007B65C9"/>
    <w:rsid w:val="007C1BA2"/>
    <w:rsid w:val="007C2B48"/>
    <w:rsid w:val="007D20E9"/>
    <w:rsid w:val="007D517A"/>
    <w:rsid w:val="007D7881"/>
    <w:rsid w:val="007D7E3A"/>
    <w:rsid w:val="007E0E10"/>
    <w:rsid w:val="007E3903"/>
    <w:rsid w:val="007E4768"/>
    <w:rsid w:val="007E54F4"/>
    <w:rsid w:val="007E5C3A"/>
    <w:rsid w:val="007E777B"/>
    <w:rsid w:val="007F0FC0"/>
    <w:rsid w:val="007F14C0"/>
    <w:rsid w:val="007F2070"/>
    <w:rsid w:val="007F2B50"/>
    <w:rsid w:val="007F53B5"/>
    <w:rsid w:val="007F63C1"/>
    <w:rsid w:val="00804FD0"/>
    <w:rsid w:val="008053F5"/>
    <w:rsid w:val="00806EB2"/>
    <w:rsid w:val="00807AF7"/>
    <w:rsid w:val="00810198"/>
    <w:rsid w:val="00815DA8"/>
    <w:rsid w:val="0082194D"/>
    <w:rsid w:val="00821961"/>
    <w:rsid w:val="008221F9"/>
    <w:rsid w:val="00826EF5"/>
    <w:rsid w:val="008310D1"/>
    <w:rsid w:val="00831693"/>
    <w:rsid w:val="00834C38"/>
    <w:rsid w:val="00837817"/>
    <w:rsid w:val="00840104"/>
    <w:rsid w:val="00840C1F"/>
    <w:rsid w:val="008411C9"/>
    <w:rsid w:val="0084160C"/>
    <w:rsid w:val="00841FC5"/>
    <w:rsid w:val="0084293C"/>
    <w:rsid w:val="00843D0F"/>
    <w:rsid w:val="008449C2"/>
    <w:rsid w:val="00845709"/>
    <w:rsid w:val="008515EC"/>
    <w:rsid w:val="008516CD"/>
    <w:rsid w:val="00855983"/>
    <w:rsid w:val="00855B67"/>
    <w:rsid w:val="008576BD"/>
    <w:rsid w:val="00860463"/>
    <w:rsid w:val="00872E93"/>
    <w:rsid w:val="008733DA"/>
    <w:rsid w:val="00881E6A"/>
    <w:rsid w:val="008850E4"/>
    <w:rsid w:val="00885B47"/>
    <w:rsid w:val="00890C25"/>
    <w:rsid w:val="00890CEC"/>
    <w:rsid w:val="008922CC"/>
    <w:rsid w:val="00892AC3"/>
    <w:rsid w:val="008939AB"/>
    <w:rsid w:val="008A12F5"/>
    <w:rsid w:val="008B1587"/>
    <w:rsid w:val="008B1B01"/>
    <w:rsid w:val="008B3BCD"/>
    <w:rsid w:val="008B588F"/>
    <w:rsid w:val="008B6DF8"/>
    <w:rsid w:val="008C106C"/>
    <w:rsid w:val="008C10F1"/>
    <w:rsid w:val="008C1926"/>
    <w:rsid w:val="008C1E6B"/>
    <w:rsid w:val="008C1E99"/>
    <w:rsid w:val="008D3774"/>
    <w:rsid w:val="008D550B"/>
    <w:rsid w:val="008D6798"/>
    <w:rsid w:val="008E0085"/>
    <w:rsid w:val="008E2AA6"/>
    <w:rsid w:val="008E311B"/>
    <w:rsid w:val="008E3E16"/>
    <w:rsid w:val="008E7297"/>
    <w:rsid w:val="008F3485"/>
    <w:rsid w:val="008F4004"/>
    <w:rsid w:val="008F4129"/>
    <w:rsid w:val="008F46E7"/>
    <w:rsid w:val="008F515E"/>
    <w:rsid w:val="008F64CA"/>
    <w:rsid w:val="008F6F0B"/>
    <w:rsid w:val="008F7E4B"/>
    <w:rsid w:val="00907BA7"/>
    <w:rsid w:val="0091064E"/>
    <w:rsid w:val="00911BC7"/>
    <w:rsid w:val="00911FC5"/>
    <w:rsid w:val="00930C39"/>
    <w:rsid w:val="00931A10"/>
    <w:rsid w:val="00932188"/>
    <w:rsid w:val="00947967"/>
    <w:rsid w:val="00947E21"/>
    <w:rsid w:val="009528E8"/>
    <w:rsid w:val="00955201"/>
    <w:rsid w:val="009606BE"/>
    <w:rsid w:val="00965200"/>
    <w:rsid w:val="009668B3"/>
    <w:rsid w:val="00971471"/>
    <w:rsid w:val="009739FB"/>
    <w:rsid w:val="00975ADA"/>
    <w:rsid w:val="009762BC"/>
    <w:rsid w:val="009845B6"/>
    <w:rsid w:val="009849C2"/>
    <w:rsid w:val="00984D24"/>
    <w:rsid w:val="009858EB"/>
    <w:rsid w:val="00985D4E"/>
    <w:rsid w:val="00987DA2"/>
    <w:rsid w:val="009A265B"/>
    <w:rsid w:val="009A3F47"/>
    <w:rsid w:val="009B0046"/>
    <w:rsid w:val="009B3D86"/>
    <w:rsid w:val="009B46C0"/>
    <w:rsid w:val="009B72FC"/>
    <w:rsid w:val="009C1440"/>
    <w:rsid w:val="009C2107"/>
    <w:rsid w:val="009C4577"/>
    <w:rsid w:val="009C5D9E"/>
    <w:rsid w:val="009D1BC7"/>
    <w:rsid w:val="009D2C3E"/>
    <w:rsid w:val="009E0625"/>
    <w:rsid w:val="009E2573"/>
    <w:rsid w:val="009E3034"/>
    <w:rsid w:val="009E442D"/>
    <w:rsid w:val="009E549F"/>
    <w:rsid w:val="009E6C21"/>
    <w:rsid w:val="009F28A8"/>
    <w:rsid w:val="009F380B"/>
    <w:rsid w:val="009F473E"/>
    <w:rsid w:val="009F5247"/>
    <w:rsid w:val="009F6190"/>
    <w:rsid w:val="009F682A"/>
    <w:rsid w:val="009F6F8D"/>
    <w:rsid w:val="009F713F"/>
    <w:rsid w:val="00A022BE"/>
    <w:rsid w:val="00A07B4B"/>
    <w:rsid w:val="00A1637B"/>
    <w:rsid w:val="00A22CFB"/>
    <w:rsid w:val="00A24C95"/>
    <w:rsid w:val="00A2599A"/>
    <w:rsid w:val="00A26094"/>
    <w:rsid w:val="00A301BF"/>
    <w:rsid w:val="00A302B2"/>
    <w:rsid w:val="00A30C8C"/>
    <w:rsid w:val="00A331B4"/>
    <w:rsid w:val="00A3484E"/>
    <w:rsid w:val="00A35256"/>
    <w:rsid w:val="00A356D3"/>
    <w:rsid w:val="00A36ADA"/>
    <w:rsid w:val="00A37C4D"/>
    <w:rsid w:val="00A438D8"/>
    <w:rsid w:val="00A43940"/>
    <w:rsid w:val="00A455E1"/>
    <w:rsid w:val="00A4673B"/>
    <w:rsid w:val="00A473F5"/>
    <w:rsid w:val="00A47D9F"/>
    <w:rsid w:val="00A51F9D"/>
    <w:rsid w:val="00A52FFC"/>
    <w:rsid w:val="00A53E44"/>
    <w:rsid w:val="00A5416A"/>
    <w:rsid w:val="00A639F4"/>
    <w:rsid w:val="00A65864"/>
    <w:rsid w:val="00A65FAE"/>
    <w:rsid w:val="00A74814"/>
    <w:rsid w:val="00A77DD9"/>
    <w:rsid w:val="00A81A32"/>
    <w:rsid w:val="00A835BD"/>
    <w:rsid w:val="00A84AC7"/>
    <w:rsid w:val="00A84DF1"/>
    <w:rsid w:val="00A9445D"/>
    <w:rsid w:val="00A978DA"/>
    <w:rsid w:val="00A97B15"/>
    <w:rsid w:val="00AA42D5"/>
    <w:rsid w:val="00AB2FAB"/>
    <w:rsid w:val="00AB5C14"/>
    <w:rsid w:val="00AB73C8"/>
    <w:rsid w:val="00AC1EE7"/>
    <w:rsid w:val="00AC22AE"/>
    <w:rsid w:val="00AC2D99"/>
    <w:rsid w:val="00AC333F"/>
    <w:rsid w:val="00AC3D8E"/>
    <w:rsid w:val="00AC585C"/>
    <w:rsid w:val="00AC6F2E"/>
    <w:rsid w:val="00AD1925"/>
    <w:rsid w:val="00AD661F"/>
    <w:rsid w:val="00AE067D"/>
    <w:rsid w:val="00AE3707"/>
    <w:rsid w:val="00AF0031"/>
    <w:rsid w:val="00AF050D"/>
    <w:rsid w:val="00AF1181"/>
    <w:rsid w:val="00AF2F79"/>
    <w:rsid w:val="00AF4653"/>
    <w:rsid w:val="00AF6534"/>
    <w:rsid w:val="00AF7DB7"/>
    <w:rsid w:val="00B10D02"/>
    <w:rsid w:val="00B11D42"/>
    <w:rsid w:val="00B15F11"/>
    <w:rsid w:val="00B201E2"/>
    <w:rsid w:val="00B22E3C"/>
    <w:rsid w:val="00B22E68"/>
    <w:rsid w:val="00B26F87"/>
    <w:rsid w:val="00B26F97"/>
    <w:rsid w:val="00B33324"/>
    <w:rsid w:val="00B41F24"/>
    <w:rsid w:val="00B443E4"/>
    <w:rsid w:val="00B46661"/>
    <w:rsid w:val="00B5251D"/>
    <w:rsid w:val="00B5484D"/>
    <w:rsid w:val="00B55120"/>
    <w:rsid w:val="00B5558E"/>
    <w:rsid w:val="00B563EA"/>
    <w:rsid w:val="00B56CDF"/>
    <w:rsid w:val="00B60E51"/>
    <w:rsid w:val="00B61450"/>
    <w:rsid w:val="00B62011"/>
    <w:rsid w:val="00B63A54"/>
    <w:rsid w:val="00B71D95"/>
    <w:rsid w:val="00B742C5"/>
    <w:rsid w:val="00B77D18"/>
    <w:rsid w:val="00B8313A"/>
    <w:rsid w:val="00B83F8B"/>
    <w:rsid w:val="00B86B2C"/>
    <w:rsid w:val="00B92418"/>
    <w:rsid w:val="00B9279D"/>
    <w:rsid w:val="00B93503"/>
    <w:rsid w:val="00B96DC0"/>
    <w:rsid w:val="00BA1BB3"/>
    <w:rsid w:val="00BA31E8"/>
    <w:rsid w:val="00BA55E0"/>
    <w:rsid w:val="00BA6BD4"/>
    <w:rsid w:val="00BA6C7A"/>
    <w:rsid w:val="00BB0B42"/>
    <w:rsid w:val="00BB17D1"/>
    <w:rsid w:val="00BB3752"/>
    <w:rsid w:val="00BB6688"/>
    <w:rsid w:val="00BC26D4"/>
    <w:rsid w:val="00BC4C8F"/>
    <w:rsid w:val="00BC74D1"/>
    <w:rsid w:val="00BD1A7B"/>
    <w:rsid w:val="00BD4D57"/>
    <w:rsid w:val="00BD6E87"/>
    <w:rsid w:val="00BE0C80"/>
    <w:rsid w:val="00BE2EC3"/>
    <w:rsid w:val="00BE4645"/>
    <w:rsid w:val="00BF1B69"/>
    <w:rsid w:val="00BF2A42"/>
    <w:rsid w:val="00C01973"/>
    <w:rsid w:val="00C03D8C"/>
    <w:rsid w:val="00C055EC"/>
    <w:rsid w:val="00C06310"/>
    <w:rsid w:val="00C06330"/>
    <w:rsid w:val="00C06401"/>
    <w:rsid w:val="00C10DC9"/>
    <w:rsid w:val="00C12FB3"/>
    <w:rsid w:val="00C13A80"/>
    <w:rsid w:val="00C17341"/>
    <w:rsid w:val="00C215A1"/>
    <w:rsid w:val="00C21DE4"/>
    <w:rsid w:val="00C22500"/>
    <w:rsid w:val="00C24EEF"/>
    <w:rsid w:val="00C25CF6"/>
    <w:rsid w:val="00C26C36"/>
    <w:rsid w:val="00C2745A"/>
    <w:rsid w:val="00C323B9"/>
    <w:rsid w:val="00C32768"/>
    <w:rsid w:val="00C412DB"/>
    <w:rsid w:val="00C4312B"/>
    <w:rsid w:val="00C431DF"/>
    <w:rsid w:val="00C456BD"/>
    <w:rsid w:val="00C460B3"/>
    <w:rsid w:val="00C46E56"/>
    <w:rsid w:val="00C530DC"/>
    <w:rsid w:val="00C5350D"/>
    <w:rsid w:val="00C6123C"/>
    <w:rsid w:val="00C6310B"/>
    <w:rsid w:val="00C6311A"/>
    <w:rsid w:val="00C65D80"/>
    <w:rsid w:val="00C6772A"/>
    <w:rsid w:val="00C7084D"/>
    <w:rsid w:val="00C7315E"/>
    <w:rsid w:val="00C74985"/>
    <w:rsid w:val="00C75895"/>
    <w:rsid w:val="00C77D5A"/>
    <w:rsid w:val="00C8028E"/>
    <w:rsid w:val="00C80DC7"/>
    <w:rsid w:val="00C82B05"/>
    <w:rsid w:val="00C83C9F"/>
    <w:rsid w:val="00C874A0"/>
    <w:rsid w:val="00C91FA4"/>
    <w:rsid w:val="00C94519"/>
    <w:rsid w:val="00C94840"/>
    <w:rsid w:val="00CA1259"/>
    <w:rsid w:val="00CA207C"/>
    <w:rsid w:val="00CA4EE3"/>
    <w:rsid w:val="00CA6176"/>
    <w:rsid w:val="00CB027F"/>
    <w:rsid w:val="00CB7952"/>
    <w:rsid w:val="00CC0557"/>
    <w:rsid w:val="00CC0EBB"/>
    <w:rsid w:val="00CC3790"/>
    <w:rsid w:val="00CC6297"/>
    <w:rsid w:val="00CC7690"/>
    <w:rsid w:val="00CD1986"/>
    <w:rsid w:val="00CD2089"/>
    <w:rsid w:val="00CD54BF"/>
    <w:rsid w:val="00CD56DB"/>
    <w:rsid w:val="00CD6C32"/>
    <w:rsid w:val="00CE4D5C"/>
    <w:rsid w:val="00CF05DA"/>
    <w:rsid w:val="00CF2142"/>
    <w:rsid w:val="00CF3336"/>
    <w:rsid w:val="00CF4139"/>
    <w:rsid w:val="00CF4FF5"/>
    <w:rsid w:val="00CF58EB"/>
    <w:rsid w:val="00CF5C20"/>
    <w:rsid w:val="00CF6FEC"/>
    <w:rsid w:val="00D0106E"/>
    <w:rsid w:val="00D06383"/>
    <w:rsid w:val="00D1529A"/>
    <w:rsid w:val="00D20D26"/>
    <w:rsid w:val="00D20E85"/>
    <w:rsid w:val="00D24615"/>
    <w:rsid w:val="00D25EBE"/>
    <w:rsid w:val="00D265CB"/>
    <w:rsid w:val="00D303D1"/>
    <w:rsid w:val="00D34368"/>
    <w:rsid w:val="00D361AA"/>
    <w:rsid w:val="00D37842"/>
    <w:rsid w:val="00D42DC2"/>
    <w:rsid w:val="00D4302B"/>
    <w:rsid w:val="00D46370"/>
    <w:rsid w:val="00D4754D"/>
    <w:rsid w:val="00D526CC"/>
    <w:rsid w:val="00D537E1"/>
    <w:rsid w:val="00D55BB2"/>
    <w:rsid w:val="00D56B29"/>
    <w:rsid w:val="00D6091A"/>
    <w:rsid w:val="00D61A44"/>
    <w:rsid w:val="00D6605A"/>
    <w:rsid w:val="00D6695F"/>
    <w:rsid w:val="00D7515E"/>
    <w:rsid w:val="00D75644"/>
    <w:rsid w:val="00D76AB5"/>
    <w:rsid w:val="00D81656"/>
    <w:rsid w:val="00D83D87"/>
    <w:rsid w:val="00D8493F"/>
    <w:rsid w:val="00D84A6D"/>
    <w:rsid w:val="00D86A30"/>
    <w:rsid w:val="00D9080B"/>
    <w:rsid w:val="00D92BB3"/>
    <w:rsid w:val="00D95115"/>
    <w:rsid w:val="00D97CB4"/>
    <w:rsid w:val="00D97DD4"/>
    <w:rsid w:val="00DA392F"/>
    <w:rsid w:val="00DA4C28"/>
    <w:rsid w:val="00DA5A8A"/>
    <w:rsid w:val="00DA7D8A"/>
    <w:rsid w:val="00DB1170"/>
    <w:rsid w:val="00DB1956"/>
    <w:rsid w:val="00DB26CD"/>
    <w:rsid w:val="00DB441C"/>
    <w:rsid w:val="00DB44AF"/>
    <w:rsid w:val="00DC1F58"/>
    <w:rsid w:val="00DC339B"/>
    <w:rsid w:val="00DC4CFE"/>
    <w:rsid w:val="00DC5D40"/>
    <w:rsid w:val="00DC69A7"/>
    <w:rsid w:val="00DD122A"/>
    <w:rsid w:val="00DD30E9"/>
    <w:rsid w:val="00DD4F47"/>
    <w:rsid w:val="00DD7FBB"/>
    <w:rsid w:val="00DE0189"/>
    <w:rsid w:val="00DE0B9F"/>
    <w:rsid w:val="00DE2946"/>
    <w:rsid w:val="00DE2A9E"/>
    <w:rsid w:val="00DE4238"/>
    <w:rsid w:val="00DE4D5D"/>
    <w:rsid w:val="00DE657F"/>
    <w:rsid w:val="00DF1218"/>
    <w:rsid w:val="00DF3AFE"/>
    <w:rsid w:val="00DF6462"/>
    <w:rsid w:val="00E027DE"/>
    <w:rsid w:val="00E02FA0"/>
    <w:rsid w:val="00E036DC"/>
    <w:rsid w:val="00E039CF"/>
    <w:rsid w:val="00E10454"/>
    <w:rsid w:val="00E112E5"/>
    <w:rsid w:val="00E122D8"/>
    <w:rsid w:val="00E12CC8"/>
    <w:rsid w:val="00E15352"/>
    <w:rsid w:val="00E205D5"/>
    <w:rsid w:val="00E21CC7"/>
    <w:rsid w:val="00E24D9E"/>
    <w:rsid w:val="00E25849"/>
    <w:rsid w:val="00E260B4"/>
    <w:rsid w:val="00E3197E"/>
    <w:rsid w:val="00E342F8"/>
    <w:rsid w:val="00E351ED"/>
    <w:rsid w:val="00E42B19"/>
    <w:rsid w:val="00E42D9D"/>
    <w:rsid w:val="00E440F8"/>
    <w:rsid w:val="00E47598"/>
    <w:rsid w:val="00E51674"/>
    <w:rsid w:val="00E5655B"/>
    <w:rsid w:val="00E6034B"/>
    <w:rsid w:val="00E6549E"/>
    <w:rsid w:val="00E65B4A"/>
    <w:rsid w:val="00E65EDE"/>
    <w:rsid w:val="00E705EE"/>
    <w:rsid w:val="00E70F81"/>
    <w:rsid w:val="00E77055"/>
    <w:rsid w:val="00E77460"/>
    <w:rsid w:val="00E77CF4"/>
    <w:rsid w:val="00E83036"/>
    <w:rsid w:val="00E83ABC"/>
    <w:rsid w:val="00E844F2"/>
    <w:rsid w:val="00E90AD0"/>
    <w:rsid w:val="00E92A78"/>
    <w:rsid w:val="00E92FCB"/>
    <w:rsid w:val="00E94FA6"/>
    <w:rsid w:val="00EA147F"/>
    <w:rsid w:val="00EA2D2B"/>
    <w:rsid w:val="00EA4A27"/>
    <w:rsid w:val="00EA4A84"/>
    <w:rsid w:val="00EA4D02"/>
    <w:rsid w:val="00EA4FA6"/>
    <w:rsid w:val="00EB1A25"/>
    <w:rsid w:val="00EB6A72"/>
    <w:rsid w:val="00EC7363"/>
    <w:rsid w:val="00ED03AB"/>
    <w:rsid w:val="00ED1963"/>
    <w:rsid w:val="00ED1CD4"/>
    <w:rsid w:val="00ED1D2B"/>
    <w:rsid w:val="00ED310D"/>
    <w:rsid w:val="00ED64B5"/>
    <w:rsid w:val="00EE7CCA"/>
    <w:rsid w:val="00EF4D86"/>
    <w:rsid w:val="00F0605D"/>
    <w:rsid w:val="00F069F1"/>
    <w:rsid w:val="00F06E53"/>
    <w:rsid w:val="00F13CAF"/>
    <w:rsid w:val="00F15EF2"/>
    <w:rsid w:val="00F16A14"/>
    <w:rsid w:val="00F362D7"/>
    <w:rsid w:val="00F37AF1"/>
    <w:rsid w:val="00F37C14"/>
    <w:rsid w:val="00F37D7B"/>
    <w:rsid w:val="00F400C6"/>
    <w:rsid w:val="00F431E2"/>
    <w:rsid w:val="00F441A4"/>
    <w:rsid w:val="00F5048A"/>
    <w:rsid w:val="00F52DF5"/>
    <w:rsid w:val="00F5314C"/>
    <w:rsid w:val="00F5435A"/>
    <w:rsid w:val="00F5465B"/>
    <w:rsid w:val="00F55D70"/>
    <w:rsid w:val="00F5688C"/>
    <w:rsid w:val="00F60048"/>
    <w:rsid w:val="00F635DD"/>
    <w:rsid w:val="00F63D01"/>
    <w:rsid w:val="00F6627B"/>
    <w:rsid w:val="00F71270"/>
    <w:rsid w:val="00F72BD9"/>
    <w:rsid w:val="00F7336E"/>
    <w:rsid w:val="00F734F2"/>
    <w:rsid w:val="00F74B37"/>
    <w:rsid w:val="00F75052"/>
    <w:rsid w:val="00F77D14"/>
    <w:rsid w:val="00F804D3"/>
    <w:rsid w:val="00F816CB"/>
    <w:rsid w:val="00F81CD2"/>
    <w:rsid w:val="00F82641"/>
    <w:rsid w:val="00F832E0"/>
    <w:rsid w:val="00F84C63"/>
    <w:rsid w:val="00F90F18"/>
    <w:rsid w:val="00F937E4"/>
    <w:rsid w:val="00F93E4B"/>
    <w:rsid w:val="00F95EE7"/>
    <w:rsid w:val="00FA39E6"/>
    <w:rsid w:val="00FA7BC9"/>
    <w:rsid w:val="00FB378E"/>
    <w:rsid w:val="00FB37F1"/>
    <w:rsid w:val="00FB47C0"/>
    <w:rsid w:val="00FB501B"/>
    <w:rsid w:val="00FB7010"/>
    <w:rsid w:val="00FB719A"/>
    <w:rsid w:val="00FB7770"/>
    <w:rsid w:val="00FC3E21"/>
    <w:rsid w:val="00FD0354"/>
    <w:rsid w:val="00FD3B91"/>
    <w:rsid w:val="00FD576B"/>
    <w:rsid w:val="00FD579E"/>
    <w:rsid w:val="00FD6845"/>
    <w:rsid w:val="00FD7CA6"/>
    <w:rsid w:val="00FE4516"/>
    <w:rsid w:val="00FE64C8"/>
    <w:rsid w:val="00FE7533"/>
    <w:rsid w:val="00FF0303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D9B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FD0354"/>
    <w:pPr>
      <w:overflowPunct/>
      <w:autoSpaceDE/>
      <w:autoSpaceDN/>
      <w:snapToGrid w:val="0"/>
      <w:jc w:val="left"/>
    </w:pPr>
    <w:rPr>
      <w:rFonts w:ascii="Times New Roman" w:eastAsiaTheme="minorEastAsia" w:cstheme="minorBidi"/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FD0354"/>
    <w:rPr>
      <w:rFonts w:eastAsiaTheme="minorEastAsia" w:cstheme="minorBidi"/>
      <w:kern w:val="2"/>
    </w:rPr>
  </w:style>
  <w:style w:type="character" w:styleId="aff">
    <w:name w:val="footnote reference"/>
    <w:basedOn w:val="a7"/>
    <w:uiPriority w:val="99"/>
    <w:semiHidden/>
    <w:unhideWhenUsed/>
    <w:rsid w:val="00FD0354"/>
    <w:rPr>
      <w:vertAlign w:val="superscript"/>
    </w:rPr>
  </w:style>
  <w:style w:type="character" w:customStyle="1" w:styleId="ab">
    <w:name w:val="簽名 字元"/>
    <w:basedOn w:val="a7"/>
    <w:link w:val="aa"/>
    <w:semiHidden/>
    <w:rsid w:val="00B86B2C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DE173-ADC8-4CBC-AB4B-43FA8EF41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2024-10-09T02:12:00Z</dcterms:created>
  <dcterms:modified xsi:type="dcterms:W3CDTF">2024-10-14T01:48:00Z</dcterms:modified>
  <cp:contentStatus/>
</cp:coreProperties>
</file>