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5F4" w:rsidRDefault="00BA1E13">
      <w:pPr>
        <w:pStyle w:val="af2"/>
        <w:rPr>
          <w:color w:val="000000" w:themeColor="text1"/>
        </w:rPr>
      </w:pPr>
      <w:r>
        <w:rPr>
          <w:rFonts w:hint="eastAsia"/>
          <w:color w:val="000000" w:themeColor="text1"/>
        </w:rPr>
        <w:t>糾正案文</w:t>
      </w:r>
    </w:p>
    <w:p w:rsidR="00E345F4" w:rsidRDefault="00BA1E13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被糾正機關：</w:t>
      </w:r>
      <w:bookmarkStart w:id="0" w:name="_Hlk175561482"/>
      <w:r>
        <w:rPr>
          <w:rFonts w:hint="eastAsia"/>
          <w:color w:val="000000" w:themeColor="text1"/>
        </w:rPr>
        <w:t>海洋委員會海巡署。</w:t>
      </w:r>
      <w:bookmarkEnd w:id="0"/>
    </w:p>
    <w:p w:rsidR="00E345F4" w:rsidRDefault="00BA1E13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案　　　由：</w:t>
      </w:r>
      <w:bookmarkStart w:id="1" w:name="_Hlk175561463"/>
      <w:r>
        <w:rPr>
          <w:rFonts w:hint="eastAsia"/>
          <w:color w:val="000000" w:themeColor="text1"/>
        </w:rPr>
        <w:t>海洋委員會海巡署</w:t>
      </w:r>
      <w:bookmarkEnd w:id="1"/>
      <w:r>
        <w:rPr>
          <w:rFonts w:hint="eastAsia"/>
          <w:color w:val="000000" w:themeColor="text1"/>
        </w:rPr>
        <w:t>所屬就朱國榮利用海葵颱風，戶外監視器影像不清，躲藏船艙逃亡出境乙事，固使用27分鐘為船舶檢查，但並未詳細檢查「TOPSPEED」遊艇之儲藏室空間、食物儲藏室、廚房空間、冷凍（藏）櫃空間 、船員室空間、駕駛（艙）台空間、機艙空間、水櫃空間、油櫃空間等足以藏匿人員之空間，而未能於船舶出港前先期查獲，致朱國榮逃離出境，執法時顯有重大疏失，爰依法提案糾正。</w:t>
      </w:r>
    </w:p>
    <w:p w:rsidR="00E345F4" w:rsidRDefault="00BA1E13">
      <w:pPr>
        <w:pStyle w:val="1"/>
        <w:rPr>
          <w:color w:val="000000" w:themeColor="text1"/>
        </w:rPr>
      </w:pPr>
      <w:bookmarkStart w:id="2" w:name="_Toc524892370"/>
      <w:bookmarkStart w:id="3" w:name="_Toc524895640"/>
      <w:bookmarkStart w:id="4" w:name="_Toc524896186"/>
      <w:bookmarkStart w:id="5" w:name="_Toc524896216"/>
      <w:bookmarkStart w:id="6" w:name="_Toc524902722"/>
      <w:bookmarkStart w:id="7" w:name="_Toc525066141"/>
      <w:bookmarkStart w:id="8" w:name="_Toc525070831"/>
      <w:bookmarkStart w:id="9" w:name="_Toc525938371"/>
      <w:bookmarkStart w:id="10" w:name="_Toc525939219"/>
      <w:bookmarkStart w:id="11" w:name="_Toc525939724"/>
      <w:bookmarkStart w:id="12" w:name="_Toc529218258"/>
      <w:bookmarkStart w:id="13" w:name="_Toc529222681"/>
      <w:bookmarkStart w:id="14" w:name="_Toc529223103"/>
      <w:bookmarkStart w:id="15" w:name="_Toc529223854"/>
      <w:bookmarkStart w:id="16" w:name="_Toc529228250"/>
      <w:bookmarkStart w:id="17" w:name="_Toc2400386"/>
      <w:bookmarkStart w:id="18" w:name="_Toc4316181"/>
      <w:bookmarkStart w:id="19" w:name="_Toc4473322"/>
      <w:bookmarkStart w:id="20" w:name="_Toc69556889"/>
      <w:bookmarkStart w:id="21" w:name="_Toc69556938"/>
      <w:bookmarkStart w:id="22" w:name="_Toc69609812"/>
      <w:bookmarkStart w:id="23" w:name="_Toc70241808"/>
      <w:bookmarkStart w:id="24" w:name="_Toc70242197"/>
      <w:bookmarkStart w:id="25" w:name="_Toc421794867"/>
      <w:bookmarkStart w:id="26" w:name="_Toc422728949"/>
      <w:r>
        <w:rPr>
          <w:rFonts w:hint="eastAsia"/>
          <w:color w:val="000000" w:themeColor="text1"/>
        </w:rPr>
        <w:t>事實與理由：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E345F4" w:rsidRDefault="00BA1E13">
      <w:pPr>
        <w:pStyle w:val="2"/>
        <w:rPr>
          <w:color w:val="000000" w:themeColor="text1"/>
        </w:rPr>
      </w:pPr>
      <w:bookmarkStart w:id="27" w:name="_Toc524895641"/>
      <w:bookmarkStart w:id="28" w:name="_Toc524896187"/>
      <w:bookmarkStart w:id="29" w:name="_Toc524896217"/>
      <w:bookmarkStart w:id="30" w:name="_Toc525066142"/>
      <w:bookmarkStart w:id="31" w:name="_Toc4316182"/>
      <w:bookmarkStart w:id="32" w:name="_Toc4473323"/>
      <w:bookmarkStart w:id="33" w:name="_Toc69556890"/>
      <w:bookmarkStart w:id="34" w:name="_Toc69556939"/>
      <w:bookmarkStart w:id="35" w:name="_Toc69609813"/>
      <w:bookmarkStart w:id="36" w:name="_Toc70241809"/>
      <w:bookmarkStart w:id="37" w:name="_Hlk96013040"/>
      <w:bookmarkStart w:id="38" w:name="_Toc525070834"/>
      <w:bookmarkStart w:id="39" w:name="_Toc525938374"/>
      <w:bookmarkStart w:id="40" w:name="_Toc525939222"/>
      <w:bookmarkStart w:id="41" w:name="_Toc525939727"/>
      <w:bookmarkStart w:id="42" w:name="_Toc525066144"/>
      <w:bookmarkStart w:id="43" w:name="_Toc524892372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/>
          <w:color w:val="000000" w:themeColor="text1"/>
        </w:rPr>
        <w:t>按海岸巡防法第1條規定</w:t>
      </w:r>
      <w:r>
        <w:rPr>
          <w:rFonts w:hint="eastAsia"/>
          <w:color w:val="000000" w:themeColor="text1"/>
        </w:rPr>
        <w:tab/>
        <w:t>，為維護</w:t>
      </w:r>
      <w:bookmarkStart w:id="44" w:name="_Hlk174437944"/>
      <w:r>
        <w:rPr>
          <w:rFonts w:hint="eastAsia"/>
          <w:color w:val="000000" w:themeColor="text1"/>
        </w:rPr>
        <w:t>臺灣地區海域及海岸秩序</w:t>
      </w:r>
      <w:bookmarkEnd w:id="44"/>
      <w:r>
        <w:rPr>
          <w:rFonts w:hint="eastAsia"/>
          <w:color w:val="000000" w:themeColor="text1"/>
        </w:rPr>
        <w:t>，同法第3條第1項第3款規定，</w:t>
      </w:r>
      <w:bookmarkStart w:id="45" w:name="_Hlk174366523"/>
      <w:r>
        <w:rPr>
          <w:rFonts w:hint="eastAsia"/>
          <w:color w:val="000000" w:themeColor="text1"/>
        </w:rPr>
        <w:t>海域、海岸、河口與非通商口岸之查緝走私、</w:t>
      </w:r>
      <w:bookmarkStart w:id="46" w:name="_Hlk174438329"/>
      <w:r>
        <w:rPr>
          <w:rFonts w:hint="eastAsia"/>
          <w:color w:val="000000" w:themeColor="text1"/>
        </w:rPr>
        <w:t>防止非法入出</w:t>
      </w:r>
      <w:r>
        <w:rPr>
          <w:rFonts w:hAnsi="標楷體" w:hint="eastAsia"/>
          <w:color w:val="000000" w:themeColor="text1"/>
          <w:szCs w:val="32"/>
        </w:rPr>
        <w:t>國</w:t>
      </w:r>
      <w:bookmarkEnd w:id="46"/>
      <w:r>
        <w:rPr>
          <w:rFonts w:hAnsi="標楷體" w:hint="eastAsia"/>
          <w:color w:val="000000" w:themeColor="text1"/>
          <w:szCs w:val="32"/>
        </w:rPr>
        <w:t>、</w:t>
      </w:r>
      <w:bookmarkStart w:id="47" w:name="_Hlk175300167"/>
      <w:r>
        <w:rPr>
          <w:rFonts w:hAnsi="標楷體" w:hint="eastAsia"/>
          <w:color w:val="000000" w:themeColor="text1"/>
          <w:szCs w:val="32"/>
        </w:rPr>
        <w:t>執行通商口岸人員之安全檢查及其他犯罪調</w:t>
      </w:r>
      <w:r>
        <w:rPr>
          <w:rFonts w:hint="eastAsia"/>
          <w:color w:val="000000" w:themeColor="text1"/>
        </w:rPr>
        <w:t>查。同法第11條規定，執行犯罪調查職務時，視同刑事訴訟法第229、230條之司法警察官</w:t>
      </w:r>
      <w:bookmarkEnd w:id="47"/>
      <w:r>
        <w:rPr>
          <w:rFonts w:hint="eastAsia"/>
          <w:color w:val="000000" w:themeColor="text1"/>
        </w:rPr>
        <w:t>及第231條之司法警察，並依刑事訴訟法第86條及第87條第1、2項，得依通緝書公告逮捕通緝之被告</w:t>
      </w:r>
      <w:r>
        <w:rPr>
          <w:rFonts w:hAnsi="標楷體"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>是則</w:t>
      </w:r>
      <w:r>
        <w:rPr>
          <w:rFonts w:hAnsi="標楷體" w:hint="eastAsia"/>
          <w:color w:val="000000" w:themeColor="text1"/>
        </w:rPr>
        <w:t>，海巡署執行出港船舶安檢管制登船檢查時，視同司法警察，就防止非法入出國，負有法定職責，合先敘明</w:t>
      </w:r>
      <w:r>
        <w:rPr>
          <w:rFonts w:hint="eastAsia"/>
          <w:color w:val="000000" w:themeColor="text1"/>
        </w:rPr>
        <w:t>。</w:t>
      </w:r>
      <w:bookmarkEnd w:id="45"/>
    </w:p>
    <w:p w:rsidR="00E345F4" w:rsidRDefault="00BA1E13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依據臺灣台北地方檢察署起訴書（偵查案號：112年偵字35322號、113年偵字第8433、11756號）與綜合海巡署查附資料與內政部刑事警察局偵查報告</w:t>
      </w:r>
      <w:r>
        <w:rPr>
          <w:rFonts w:hAnsi="標楷體"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朱國榮早於112年8月間，即登上</w:t>
      </w:r>
      <w:bookmarkStart w:id="48" w:name="_Hlk175557682"/>
      <w:r>
        <w:rPr>
          <w:rFonts w:hint="eastAsia"/>
          <w:color w:val="000000" w:themeColor="text1"/>
        </w:rPr>
        <w:t>「TOPSPEED」遊艇</w:t>
      </w:r>
      <w:bookmarkEnd w:id="48"/>
      <w:r>
        <w:rPr>
          <w:rFonts w:hint="eastAsia"/>
          <w:color w:val="000000" w:themeColor="text1"/>
        </w:rPr>
        <w:t>出海藉以觀察臺灣港口沿岸地形及海象。9月</w:t>
      </w:r>
      <w:bookmarkStart w:id="49" w:name="_Hlk174437234"/>
      <w:r>
        <w:rPr>
          <w:rFonts w:hint="eastAsia"/>
          <w:color w:val="000000" w:themeColor="text1"/>
        </w:rPr>
        <w:t>利用海葵颱風甫離陸出海，受外圍環流影響，戶外監視器影像不清，</w:t>
      </w:r>
      <w:bookmarkEnd w:id="49"/>
      <w:r>
        <w:rPr>
          <w:rFonts w:hint="eastAsia"/>
          <w:color w:val="000000" w:themeColor="text1"/>
        </w:rPr>
        <w:t>朱</w:t>
      </w:r>
      <w:r>
        <w:rPr>
          <w:rFonts w:hint="eastAsia"/>
          <w:color w:val="000000" w:themeColor="text1"/>
        </w:rPr>
        <w:lastRenderedPageBreak/>
        <w:t>國榮藏匿在遊艇船艙內</w:t>
      </w:r>
      <w:r>
        <w:rPr>
          <w:rFonts w:hAnsi="標楷體"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利用海巡署安檢人員疏於檢查</w:t>
      </w:r>
      <w:r>
        <w:rPr>
          <w:rFonts w:hAnsi="標楷體"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潛逃出境</w:t>
      </w:r>
      <w:r>
        <w:rPr>
          <w:rFonts w:hAnsi="標楷體" w:hint="eastAsia"/>
          <w:color w:val="000000" w:themeColor="text1"/>
        </w:rPr>
        <w:t>。</w:t>
      </w:r>
      <w:r>
        <w:rPr>
          <w:color w:val="000000" w:themeColor="text1"/>
        </w:rPr>
        <w:t xml:space="preserve"> </w:t>
      </w:r>
    </w:p>
    <w:p w:rsidR="00E345F4" w:rsidRDefault="00BA1E13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依據地檢署起訴書所載利用遊艇逃亡事實略以</w:t>
      </w:r>
      <w:r>
        <w:rPr>
          <w:rFonts w:hAnsi="標楷體" w:hint="eastAsia"/>
          <w:color w:val="000000" w:themeColor="text1"/>
        </w:rPr>
        <w:t>：</w:t>
      </w:r>
    </w:p>
    <w:p w:rsidR="00E345F4" w:rsidRDefault="00BA1E13">
      <w:pPr>
        <w:pStyle w:val="32"/>
        <w:ind w:left="1361" w:firstLine="680"/>
        <w:rPr>
          <w:color w:val="000000" w:themeColor="text1"/>
        </w:rPr>
      </w:pPr>
      <w:r>
        <w:rPr>
          <w:rFonts w:hint="eastAsia"/>
          <w:color w:val="000000" w:themeColor="text1"/>
        </w:rPr>
        <w:t>朱國榮結識從事遊艇租賃之周○男，以周○男在香港設立之旺鼎國際有限公司名義，以約175萬美金之價格購入義大利製總噸位102GT白色玻璃纖維船名「TOPSPEED」之遊艇1艘，於</w:t>
      </w:r>
      <w:bookmarkStart w:id="50" w:name="_Hlk174366256"/>
      <w:r>
        <w:rPr>
          <w:rFonts w:hint="eastAsia"/>
          <w:color w:val="000000" w:themeColor="text1"/>
        </w:rPr>
        <w:t>112年</w:t>
      </w:r>
      <w:bookmarkEnd w:id="50"/>
      <w:r>
        <w:rPr>
          <w:rFonts w:hint="eastAsia"/>
          <w:color w:val="000000" w:themeColor="text1"/>
        </w:rPr>
        <w:t>7月間駛入基隆八斗子漁港停放，</w:t>
      </w:r>
      <w:bookmarkStart w:id="51" w:name="_Hlk174364924"/>
      <w:r>
        <w:rPr>
          <w:rFonts w:hint="eastAsia"/>
          <w:color w:val="000000" w:themeColor="text1"/>
        </w:rPr>
        <w:t>自112年8月間，多次登上「TOPSPEED」遊艇出海觀察</w:t>
      </w:r>
      <w:bookmarkStart w:id="52" w:name="_Hlk174437416"/>
      <w:r>
        <w:rPr>
          <w:rFonts w:hint="eastAsia"/>
          <w:color w:val="000000" w:themeColor="text1"/>
        </w:rPr>
        <w:t>港口沿岸地形及海象</w:t>
      </w:r>
      <w:bookmarkEnd w:id="52"/>
      <w:r>
        <w:rPr>
          <w:rFonts w:hint="eastAsia"/>
          <w:color w:val="000000" w:themeColor="text1"/>
        </w:rPr>
        <w:t>。</w:t>
      </w:r>
      <w:bookmarkEnd w:id="51"/>
      <w:r>
        <w:rPr>
          <w:rFonts w:hint="eastAsia"/>
          <w:color w:val="000000" w:themeColor="text1"/>
        </w:rPr>
        <w:t>迄112年8月下旬，周○男將朱國榮之偷渡計畫告知其所僱用之船長鍾○華，適逢9月</w:t>
      </w:r>
      <w:bookmarkStart w:id="53" w:name="_Hlk174349211"/>
      <w:r>
        <w:rPr>
          <w:rFonts w:hint="eastAsia"/>
          <w:color w:val="000000" w:themeColor="text1"/>
        </w:rPr>
        <w:t>海葵颱風甫離陸出海，利用各地戶外監視器或因雨勢致影像不清機會，</w:t>
      </w:r>
      <w:bookmarkEnd w:id="53"/>
      <w:r>
        <w:rPr>
          <w:rFonts w:hint="eastAsia"/>
          <w:color w:val="000000" w:themeColor="text1"/>
        </w:rPr>
        <w:t>由鍾○華先指示其子鍾○融、鍾○汶於112年9月7日6時許駕駛上開遊艇自基隆八斗子漁港出發，於當日下午抵達臺南安平港停泊等待，朱國榮則於同日15時許，由周○男駕駛九人座廂型車搭載朱國榮等人出發，於同日19時41分許抵達臺南安平遊艇碼頭，周○男將車輛駛近「</w:t>
      </w:r>
      <w:r>
        <w:rPr>
          <w:color w:val="000000" w:themeColor="text1"/>
        </w:rPr>
        <w:t>TOPSPEED</w:t>
      </w:r>
      <w:r>
        <w:rPr>
          <w:rFonts w:hint="eastAsia"/>
          <w:color w:val="000000" w:themeColor="text1"/>
        </w:rPr>
        <w:t>」遊艇旁，由鍾○華、鍾○融、鍾○汶將航行所需器具及物品陸續搬運上船，準備就緒後，朱國榮於同日</w:t>
      </w:r>
      <w:r>
        <w:rPr>
          <w:color w:val="000000" w:themeColor="text1"/>
        </w:rPr>
        <w:t>20</w:t>
      </w:r>
      <w:r>
        <w:rPr>
          <w:rFonts w:hint="eastAsia"/>
          <w:color w:val="000000" w:themeColor="text1"/>
        </w:rPr>
        <w:t>時許，趁雨勢磅礴，夜色昏暗之際摸黑登艇，周○男隨後再次上船察看，確認妥當後下船，</w:t>
      </w:r>
      <w:bookmarkStart w:id="54" w:name="_Hlk175321626"/>
      <w:r>
        <w:rPr>
          <w:rFonts w:hint="eastAsia"/>
          <w:color w:val="000000" w:themeColor="text1"/>
        </w:rPr>
        <w:t>朱國榮則</w:t>
      </w:r>
      <w:bookmarkStart w:id="55" w:name="_Hlk175300717"/>
      <w:r>
        <w:rPr>
          <w:rFonts w:hint="eastAsia"/>
          <w:color w:val="000000" w:themeColor="text1"/>
        </w:rPr>
        <w:t>藏匿在艙內</w:t>
      </w:r>
      <w:bookmarkEnd w:id="55"/>
      <w:r>
        <w:rPr>
          <w:rFonts w:hint="eastAsia"/>
          <w:color w:val="000000" w:themeColor="text1"/>
        </w:rPr>
        <w:t>。俟遊艇通過安檢</w:t>
      </w:r>
      <w:bookmarkEnd w:id="54"/>
      <w:r>
        <w:rPr>
          <w:rFonts w:hint="eastAsia"/>
          <w:color w:val="000000" w:themeColor="text1"/>
        </w:rPr>
        <w:t>，於同日</w:t>
      </w:r>
      <w:r>
        <w:rPr>
          <w:color w:val="000000" w:themeColor="text1"/>
        </w:rPr>
        <w:t>21</w:t>
      </w:r>
      <w:r>
        <w:rPr>
          <w:rFonts w:hint="eastAsia"/>
          <w:color w:val="000000" w:themeColor="text1"/>
        </w:rPr>
        <w:t>時</w:t>
      </w:r>
      <w:r>
        <w:rPr>
          <w:color w:val="000000" w:themeColor="text1"/>
        </w:rPr>
        <w:t>44</w:t>
      </w:r>
      <w:r>
        <w:rPr>
          <w:rFonts w:hint="eastAsia"/>
          <w:color w:val="000000" w:themeColor="text1"/>
        </w:rPr>
        <w:t>分許啟航，駛離安平港，經過約</w:t>
      </w:r>
      <w:r>
        <w:rPr>
          <w:color w:val="000000" w:themeColor="text1"/>
        </w:rPr>
        <w:t>20</w:t>
      </w:r>
      <w:r>
        <w:rPr>
          <w:rFonts w:hint="eastAsia"/>
          <w:color w:val="000000" w:themeColor="text1"/>
        </w:rPr>
        <w:t>小時之航程，於翌（</w:t>
      </w:r>
      <w:r>
        <w:rPr>
          <w:color w:val="000000" w:themeColor="text1"/>
        </w:rPr>
        <w:t>8</w:t>
      </w:r>
      <w:r>
        <w:rPr>
          <w:rFonts w:hint="eastAsia"/>
          <w:color w:val="000000" w:themeColor="text1"/>
        </w:rPr>
        <w:t>）日</w:t>
      </w:r>
      <w:r>
        <w:rPr>
          <w:color w:val="000000" w:themeColor="text1"/>
        </w:rPr>
        <w:t>17</w:t>
      </w:r>
      <w:r>
        <w:rPr>
          <w:rFonts w:hint="eastAsia"/>
          <w:color w:val="000000" w:themeColor="text1"/>
        </w:rPr>
        <w:t>時許抵達菲律賓佬沃碼頭</w:t>
      </w: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Currimao</w:t>
      </w:r>
      <w:proofErr w:type="spellEnd"/>
      <w:r>
        <w:rPr>
          <w:color w:val="000000" w:themeColor="text1"/>
        </w:rPr>
        <w:t xml:space="preserve"> Port)</w:t>
      </w:r>
      <w:r>
        <w:rPr>
          <w:rFonts w:hAnsi="標楷體" w:hint="eastAsia"/>
          <w:color w:val="000000" w:themeColor="text1"/>
        </w:rPr>
        <w:t>。</w:t>
      </w:r>
    </w:p>
    <w:p w:rsidR="00E345F4" w:rsidRDefault="00BA1E13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依據海巡署與刑事警察局上開資料所示112年9月7日，「TOPSPEED」艇內</w:t>
      </w:r>
      <w:r>
        <w:rPr>
          <w:rFonts w:hAnsi="標楷體"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朱國榮則藏匿在艙內。俟遊艇通過安檢逃避查緝</w:t>
      </w:r>
      <w:r>
        <w:rPr>
          <w:rFonts w:hAnsi="標楷體"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朱國榮潛逃出境情形</w:t>
      </w:r>
      <w:r>
        <w:rPr>
          <w:rFonts w:hAnsi="標楷體" w:hint="eastAsia"/>
          <w:color w:val="000000" w:themeColor="text1"/>
        </w:rPr>
        <w:t>。</w:t>
      </w:r>
    </w:p>
    <w:p w:rsidR="00E345F4" w:rsidRDefault="00BA1E13">
      <w:pPr>
        <w:pStyle w:val="4"/>
        <w:rPr>
          <w:color w:val="000000" w:themeColor="text1"/>
        </w:rPr>
      </w:pPr>
      <w:bookmarkStart w:id="56" w:name="_Hlk174366280"/>
      <w:r>
        <w:rPr>
          <w:rFonts w:hint="eastAsia"/>
          <w:color w:val="000000" w:themeColor="text1"/>
        </w:rPr>
        <w:t>112年9月7日，21時，海巡署安平漁港安檢所接獲移民署通報「TOPSPEED」遊艇欲申報出境， 21時</w:t>
      </w:r>
      <w:r>
        <w:rPr>
          <w:rFonts w:hint="eastAsia"/>
          <w:color w:val="000000" w:themeColor="text1"/>
        </w:rPr>
        <w:lastRenderedPageBreak/>
        <w:t>22分由移民署偕同</w:t>
      </w:r>
      <w:bookmarkStart w:id="57" w:name="_Hlk175300784"/>
      <w:r>
        <w:rPr>
          <w:rFonts w:hint="eastAsia"/>
          <w:color w:val="000000" w:themeColor="text1"/>
        </w:rPr>
        <w:t>海巡署安檢人員</w:t>
      </w:r>
      <w:bookmarkEnd w:id="57"/>
      <w:r>
        <w:rPr>
          <w:rFonts w:hint="eastAsia"/>
          <w:color w:val="000000" w:themeColor="text1"/>
        </w:rPr>
        <w:t>登船檢查（未載運貨物及攜帶動植物出境，爰無申報出口通關及檢疫），經檢查船甲板、駕駛（艙）台、機艙、水櫃及油櫃等艙間（檢查時間約27分鐘），均未發現可疑跡象</w:t>
      </w:r>
      <w:bookmarkEnd w:id="56"/>
      <w:r>
        <w:rPr>
          <w:rFonts w:hint="eastAsia"/>
          <w:color w:val="000000" w:themeColor="text1"/>
        </w:rPr>
        <w:t>，爰於檢查完畢後目視其出港。</w:t>
      </w:r>
    </w:p>
    <w:p w:rsidR="00E345F4" w:rsidRDefault="00BA1E13">
      <w:pPr>
        <w:pStyle w:val="4"/>
        <w:rPr>
          <w:color w:val="000000" w:themeColor="text1"/>
        </w:rPr>
      </w:pPr>
      <w:bookmarkStart w:id="58" w:name="_Hlk175557820"/>
      <w:r>
        <w:rPr>
          <w:rFonts w:hint="eastAsia"/>
          <w:color w:val="000000" w:themeColor="text1"/>
        </w:rPr>
        <w:t>船舶檢查</w:t>
      </w:r>
      <w:bookmarkEnd w:id="58"/>
      <w:r>
        <w:rPr>
          <w:rFonts w:hint="eastAsia"/>
          <w:color w:val="000000" w:themeColor="text1"/>
        </w:rPr>
        <w:t>紀錄</w:t>
      </w:r>
      <w:r>
        <w:rPr>
          <w:rFonts w:hAnsi="標楷體" w:hint="eastAsia"/>
          <w:color w:val="000000" w:themeColor="text1"/>
        </w:rPr>
        <w:t>：</w:t>
      </w:r>
    </w:p>
    <w:p w:rsidR="00E345F4" w:rsidRDefault="00BA1E13">
      <w:pPr>
        <w:pStyle w:val="5"/>
        <w:rPr>
          <w:color w:val="000000" w:themeColor="text1"/>
        </w:rPr>
      </w:pPr>
      <w:r>
        <w:rPr>
          <w:rFonts w:hint="eastAsia"/>
          <w:color w:val="000000" w:themeColor="text1"/>
        </w:rPr>
        <w:t>船舶編號：142116</w:t>
      </w:r>
    </w:p>
    <w:p w:rsidR="00E345F4" w:rsidRDefault="00BA1E13">
      <w:pPr>
        <w:pStyle w:val="5"/>
        <w:rPr>
          <w:color w:val="000000" w:themeColor="text1"/>
        </w:rPr>
      </w:pPr>
      <w:r>
        <w:rPr>
          <w:rFonts w:hint="eastAsia"/>
          <w:color w:val="000000" w:themeColor="text1"/>
        </w:rPr>
        <w:t>船舶名稱：TOPSPEED</w:t>
      </w:r>
    </w:p>
    <w:p w:rsidR="00E345F4" w:rsidRDefault="00BA1E13">
      <w:pPr>
        <w:pStyle w:val="5"/>
        <w:rPr>
          <w:color w:val="000000" w:themeColor="text1"/>
        </w:rPr>
      </w:pPr>
      <w:r>
        <w:rPr>
          <w:rFonts w:hint="eastAsia"/>
          <w:color w:val="000000" w:themeColor="text1"/>
        </w:rPr>
        <w:t>進出港安檢所：安平漁港安檢所</w:t>
      </w:r>
    </w:p>
    <w:p w:rsidR="00E345F4" w:rsidRDefault="00BA1E13">
      <w:pPr>
        <w:pStyle w:val="5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登輪時間：112年9月7日21時12分 </w:t>
      </w:r>
    </w:p>
    <w:p w:rsidR="00E345F4" w:rsidRDefault="00BA1E13">
      <w:pPr>
        <w:pStyle w:val="5"/>
        <w:wordWrap w:val="0"/>
        <w:ind w:left="2042" w:hanging="851"/>
        <w:rPr>
          <w:color w:val="000000" w:themeColor="text1"/>
        </w:rPr>
      </w:pPr>
      <w:r>
        <w:rPr>
          <w:rFonts w:hint="eastAsia"/>
          <w:color w:val="000000" w:themeColor="text1"/>
        </w:rPr>
        <w:t>船員名單：1.A○○○○○○○○○鍾○汶</w:t>
      </w:r>
      <w:r>
        <w:rPr>
          <w:rFonts w:hAnsi="標楷體" w:hint="eastAsia"/>
          <w:color w:val="000000" w:themeColor="text1"/>
        </w:rPr>
        <w:t>；</w:t>
      </w:r>
      <w:r>
        <w:rPr>
          <w:rFonts w:hint="eastAsia"/>
          <w:color w:val="000000" w:themeColor="text1"/>
        </w:rPr>
        <w:t>2.S○○○○○○○○○鍾○融</w:t>
      </w:r>
      <w:r>
        <w:rPr>
          <w:rFonts w:hAnsi="標楷體" w:hint="eastAsia"/>
          <w:color w:val="000000" w:themeColor="text1"/>
        </w:rPr>
        <w:t>。</w:t>
      </w:r>
    </w:p>
    <w:p w:rsidR="00E345F4" w:rsidRDefault="00BA1E13">
      <w:pPr>
        <w:pStyle w:val="5"/>
        <w:rPr>
          <w:color w:val="000000" w:themeColor="text1"/>
        </w:rPr>
      </w:pPr>
      <w:r>
        <w:rPr>
          <w:rFonts w:hint="eastAsia"/>
          <w:color w:val="000000" w:themeColor="text1"/>
        </w:rPr>
        <w:t>船員或旅客檢查情形：依船長給予之報備表查核人員均無境管</w:t>
      </w:r>
    </w:p>
    <w:p w:rsidR="00E345F4" w:rsidRDefault="00BA1E13">
      <w:pPr>
        <w:pStyle w:val="5"/>
        <w:rPr>
          <w:color w:val="000000" w:themeColor="text1"/>
        </w:rPr>
      </w:pPr>
      <w:r>
        <w:rPr>
          <w:rFonts w:hint="eastAsia"/>
          <w:color w:val="000000" w:themeColor="text1"/>
        </w:rPr>
        <w:t>船舶檢查情形</w:t>
      </w:r>
      <w:r>
        <w:rPr>
          <w:rFonts w:hAnsi="標楷體" w:hint="eastAsia"/>
          <w:color w:val="000000" w:themeColor="text1"/>
        </w:rPr>
        <w:t>：</w:t>
      </w:r>
      <w:r>
        <w:rPr>
          <w:rFonts w:hint="eastAsia"/>
          <w:color w:val="000000" w:themeColor="text1"/>
        </w:rPr>
        <w:t>「遊艇預計前往菲律賓，實施登船檢查，依檢查要項表檢查船舶甲板、機儀天線、水桶雜物（含漁具、防碰設備與遮蔽船身部分）</w:t>
      </w:r>
      <w:bookmarkStart w:id="59" w:name="_Hlk174349617"/>
      <w:r>
        <w:rPr>
          <w:rFonts w:hint="eastAsia"/>
          <w:color w:val="000000" w:themeColor="text1"/>
        </w:rPr>
        <w:t>、</w:t>
      </w:r>
      <w:bookmarkEnd w:id="59"/>
      <w:r>
        <w:rPr>
          <w:rFonts w:hint="eastAsia"/>
          <w:color w:val="000000" w:themeColor="text1"/>
        </w:rPr>
        <w:t>船名及編號，吃水線及船身狀況、船緣垂掛物品、</w:t>
      </w:r>
      <w:bookmarkStart w:id="60" w:name="_Hlk175557650"/>
      <w:r>
        <w:rPr>
          <w:rFonts w:hint="eastAsia"/>
          <w:color w:val="000000" w:themeColor="text1"/>
        </w:rPr>
        <w:t>儲藏室空間、食物儲藏室、廚房空間、冷凍（藏）櫃空間 、船員室空間、駕駛（艙）台空間、機艙空間、水櫃空間、油櫃空間</w:t>
      </w:r>
      <w:bookmarkEnd w:id="60"/>
      <w:r>
        <w:rPr>
          <w:rFonts w:hint="eastAsia"/>
          <w:color w:val="000000" w:themeColor="text1"/>
        </w:rPr>
        <w:t>、人員核對無誤等17項實施檢查後，未發現相關可疑跡象，經詢問已通過CIQS檢驗程序 故放行出港。</w:t>
      </w:r>
      <w:r>
        <w:rPr>
          <w:rFonts w:hAnsi="標楷體" w:hint="eastAsia"/>
          <w:color w:val="000000" w:themeColor="text1"/>
        </w:rPr>
        <w:t>」</w:t>
      </w:r>
    </w:p>
    <w:p w:rsidR="00E345F4" w:rsidRDefault="00BA1E13">
      <w:pPr>
        <w:pStyle w:val="4"/>
        <w:rPr>
          <w:color w:val="000000" w:themeColor="text1"/>
        </w:rPr>
      </w:pPr>
      <w:bookmarkStart w:id="61" w:name="_Hlk175301363"/>
      <w:r>
        <w:rPr>
          <w:rFonts w:hint="eastAsia"/>
          <w:color w:val="000000" w:themeColor="text1"/>
        </w:rPr>
        <w:t>9點12分登船</w:t>
      </w:r>
      <w:r>
        <w:rPr>
          <w:rFonts w:hAnsi="標楷體"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39分離船</w:t>
      </w:r>
      <w:bookmarkEnd w:id="61"/>
      <w:r>
        <w:rPr>
          <w:rFonts w:hAnsi="標楷體"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42分卸纜繩</w:t>
      </w:r>
      <w:r>
        <w:rPr>
          <w:rFonts w:hAnsi="標楷體"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44分駛離安平漁港</w:t>
      </w:r>
      <w:r>
        <w:rPr>
          <w:rFonts w:hAnsi="標楷體" w:hint="eastAsia"/>
          <w:color w:val="000000" w:themeColor="text1"/>
        </w:rPr>
        <w:t>。</w:t>
      </w:r>
    </w:p>
    <w:p w:rsidR="00E345F4" w:rsidRDefault="00BA1E13">
      <w:pPr>
        <w:pStyle w:val="1"/>
        <w:numPr>
          <w:ilvl w:val="0"/>
          <w:numId w:val="0"/>
        </w:numPr>
        <w:ind w:firstLineChars="208" w:firstLine="708"/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inline distT="0" distB="0" distL="0" distR="0">
            <wp:extent cx="5192654" cy="3423908"/>
            <wp:effectExtent l="0" t="0" r="8255" b="571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4584" t="30663" r="36666" b="35636"/>
                    <a:stretch/>
                  </pic:blipFill>
                  <pic:spPr bwMode="auto">
                    <a:xfrm>
                      <a:off x="0" y="0"/>
                      <a:ext cx="5244173" cy="3457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45F4" w:rsidRDefault="00BA1E13">
      <w:pPr>
        <w:pStyle w:val="4"/>
        <w:rPr>
          <w:color w:val="000000" w:themeColor="text1"/>
        </w:rPr>
      </w:pPr>
      <w:r>
        <w:rPr>
          <w:rFonts w:hint="eastAsia"/>
          <w:color w:val="000000" w:themeColor="text1"/>
        </w:rPr>
        <w:t>21時44分，「TOPSPEED」遊艇擬駛離碼頭，由安平漁港守望人員監控至港嘴外，同時由北防雷達完成鎖控，「TOPSPEED」持續往南航行，依序交接予二層行、光和、旗后山及海子口雷達，直至9月8日零時6分航至海子口西南方12.2浬處脫鎖。</w:t>
      </w:r>
    </w:p>
    <w:p w:rsidR="00E345F4" w:rsidRDefault="00BA1E13">
      <w:pPr>
        <w:pStyle w:val="2"/>
        <w:rPr>
          <w:color w:val="000000" w:themeColor="text1"/>
        </w:rPr>
      </w:pPr>
      <w:bookmarkStart w:id="62" w:name="_Hlk174349084"/>
      <w:r>
        <w:rPr>
          <w:rFonts w:hint="eastAsia"/>
          <w:color w:val="000000" w:themeColor="text1"/>
        </w:rPr>
        <w:t>海巡署職司海域、海岸之查緝防止非法入出國之安全檢查及犯罪調查，卻遭朱國榮利用天候因素、夜色昏暗及人員繁忙之際，趁隙躲藏船艙，海巡署雖花費27分鐘檢查，但未能於船舶出港前先期查獲，逃離出境，執法時確有疏失。</w:t>
      </w:r>
    </w:p>
    <w:bookmarkEnd w:id="62"/>
    <w:p w:rsidR="00E345F4" w:rsidRDefault="00BA1E13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海巡署自承確有疏失</w:t>
      </w:r>
      <w:r>
        <w:rPr>
          <w:rFonts w:hAnsi="標楷體"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並說明難以查處原因</w:t>
      </w:r>
      <w:r>
        <w:rPr>
          <w:rFonts w:hAnsi="標楷體" w:hint="eastAsia"/>
          <w:color w:val="000000" w:themeColor="text1"/>
        </w:rPr>
        <w:t>：</w:t>
      </w:r>
    </w:p>
    <w:p w:rsidR="00E345F4" w:rsidRDefault="00BA1E13">
      <w:pPr>
        <w:pStyle w:val="4"/>
        <w:rPr>
          <w:color w:val="000000" w:themeColor="text1"/>
        </w:rPr>
      </w:pPr>
      <w:r>
        <w:rPr>
          <w:rFonts w:hint="eastAsia"/>
          <w:color w:val="000000" w:themeColor="text1"/>
        </w:rPr>
        <w:t>按海巡署執行院檢限制出境處分</w:t>
      </w:r>
      <w:r>
        <w:rPr>
          <w:rFonts w:hAnsi="標楷體"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其於接獲各法院及地檢署來函之處分書或系統交換資料後，由偵防分署專責人員即時輸鍵或系統導入於海巡署安檢資訊系統</w:t>
      </w:r>
      <w:r>
        <w:rPr>
          <w:rFonts w:hAnsi="標楷體"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並針對重大刑案或社會囑目案件對象，則由海巡署情報維專人製作重大案件防制出境、出海專刊。</w:t>
      </w:r>
    </w:p>
    <w:p w:rsidR="00E345F4" w:rsidRDefault="00BA1E13">
      <w:pPr>
        <w:pStyle w:val="4"/>
        <w:rPr>
          <w:color w:val="000000" w:themeColor="text1"/>
        </w:rPr>
      </w:pPr>
      <w:r>
        <w:rPr>
          <w:rFonts w:hint="eastAsia"/>
          <w:color w:val="000000" w:themeColor="text1"/>
        </w:rPr>
        <w:t>目前配合政府「向海致敬」政策，鼓勵民眾親海</w:t>
      </w:r>
      <w:r>
        <w:rPr>
          <w:rFonts w:hint="eastAsia"/>
          <w:color w:val="000000" w:themeColor="text1"/>
        </w:rPr>
        <w:lastRenderedPageBreak/>
        <w:t>活動及便民之目的，海巡署針對遊艇出港時，除注檢船</w:t>
      </w:r>
      <w:bookmarkStart w:id="63" w:name="_GoBack"/>
      <w:bookmarkEnd w:id="63"/>
      <w:r>
        <w:rPr>
          <w:rFonts w:hint="eastAsia"/>
          <w:color w:val="000000" w:themeColor="text1"/>
        </w:rPr>
        <w:t>或其他顯有可疑態樣，須「加強檢查」外，餘報備後僅實施「目視航行」檢查，爰就本案查緝限制出境（海）或通緝犯類案時，查艙時間及過程有所限制。</w:t>
      </w:r>
    </w:p>
    <w:p w:rsidR="00E345F4" w:rsidRDefault="00BA1E13">
      <w:pPr>
        <w:pStyle w:val="4"/>
        <w:rPr>
          <w:color w:val="000000" w:themeColor="text1"/>
        </w:rPr>
      </w:pPr>
      <w:r>
        <w:rPr>
          <w:rFonts w:hint="eastAsia"/>
          <w:color w:val="000000" w:themeColor="text1"/>
        </w:rPr>
        <w:t>本案朱嫌於108年遭境管後，時隔4年才潛逃出境，海巡署未能於第一時間接獲警察機關通知該嫌未依規定報到潛逃，致未能同步啟動防逃機制，為本案實難查處之主因。</w:t>
      </w:r>
    </w:p>
    <w:p w:rsidR="00E345F4" w:rsidRDefault="00BA1E13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海巡署針對本案所提策進作為</w:t>
      </w:r>
    </w:p>
    <w:p w:rsidR="00E345F4" w:rsidRDefault="00BA1E13">
      <w:pPr>
        <w:pStyle w:val="4"/>
        <w:rPr>
          <w:color w:val="000000" w:themeColor="text1"/>
        </w:rPr>
      </w:pPr>
      <w:r>
        <w:rPr>
          <w:rFonts w:hint="eastAsia"/>
          <w:color w:val="000000" w:themeColor="text1"/>
        </w:rPr>
        <w:t>加強目標人士辨識作為</w:t>
      </w:r>
    </w:p>
    <w:p w:rsidR="00E345F4" w:rsidRDefault="00BA1E13">
      <w:pPr>
        <w:pStyle w:val="5"/>
        <w:rPr>
          <w:color w:val="000000" w:themeColor="text1"/>
        </w:rPr>
      </w:pPr>
      <w:r>
        <w:rPr>
          <w:rFonts w:hint="eastAsia"/>
          <w:color w:val="000000" w:themeColor="text1"/>
        </w:rPr>
        <w:t>於執行客船、載客小船、遊艇及娛樂漁業漁船安檢時，應提前向船拖業者取得乘客名單，過濾是否有目標人士混入遊客中，伺機偷渡。</w:t>
      </w:r>
    </w:p>
    <w:p w:rsidR="00E345F4" w:rsidRDefault="00BA1E13">
      <w:pPr>
        <w:pStyle w:val="5"/>
        <w:rPr>
          <w:color w:val="000000" w:themeColor="text1"/>
        </w:rPr>
      </w:pPr>
      <w:r>
        <w:rPr>
          <w:rFonts w:hint="eastAsia"/>
          <w:color w:val="000000" w:themeColor="text1"/>
        </w:rPr>
        <w:t>安檢人員應加強警覺、強化知船識人能力，並藉由船筏評鑑機制，主動掌握出港船筏即時徵候，倘發現疑似可疑情事，應立即發動檢查並視況增加執檢強度。</w:t>
      </w:r>
    </w:p>
    <w:p w:rsidR="00E345F4" w:rsidRDefault="00BA1E13">
      <w:pPr>
        <w:pStyle w:val="4"/>
        <w:rPr>
          <w:color w:val="000000" w:themeColor="text1"/>
        </w:rPr>
      </w:pPr>
      <w:r>
        <w:rPr>
          <w:rFonts w:hint="eastAsia"/>
          <w:color w:val="000000" w:themeColor="text1"/>
        </w:rPr>
        <w:t>提升</w:t>
      </w:r>
      <w:bookmarkStart w:id="64" w:name="_Hlk174437717"/>
      <w:r>
        <w:rPr>
          <w:rFonts w:hint="eastAsia"/>
          <w:color w:val="000000" w:themeColor="text1"/>
        </w:rPr>
        <w:t>出港船舶安檢管制</w:t>
      </w:r>
      <w:bookmarkEnd w:id="64"/>
    </w:p>
    <w:p w:rsidR="00E345F4" w:rsidRDefault="00BA1E13">
      <w:pPr>
        <w:pStyle w:val="5"/>
        <w:rPr>
          <w:color w:val="000000" w:themeColor="text1"/>
        </w:rPr>
      </w:pPr>
      <w:r>
        <w:rPr>
          <w:rFonts w:hint="eastAsia"/>
          <w:color w:val="000000" w:themeColor="text1"/>
        </w:rPr>
        <w:t>運用各項科技設備（雷情系統、港區監視系統等），加強識別港區可疑人、車及船，對轄區可能涉及違法態樣船舶，應於監視系統設置告警功能，以利有不明人車接近時即時派員前往查察。</w:t>
      </w:r>
    </w:p>
    <w:p w:rsidR="00E345F4" w:rsidRDefault="00BA1E13">
      <w:pPr>
        <w:pStyle w:val="5"/>
        <w:rPr>
          <w:color w:val="000000" w:themeColor="text1"/>
        </w:rPr>
      </w:pPr>
      <w:r>
        <w:rPr>
          <w:rFonts w:hint="eastAsia"/>
          <w:color w:val="000000" w:themeColor="text1"/>
        </w:rPr>
        <w:t>加強注檢（高風險）船筏出港執檢強度，特別注意各艙間有無夾藏人員；安檢結束目視出港，若發現彎靠岸際堤防，立即通報岸際勤務或在航艇實施登檢。</w:t>
      </w:r>
    </w:p>
    <w:p w:rsidR="00E345F4" w:rsidRDefault="00BA1E13">
      <w:pPr>
        <w:pStyle w:val="4"/>
        <w:rPr>
          <w:color w:val="000000" w:themeColor="text1"/>
        </w:rPr>
      </w:pPr>
      <w:r>
        <w:rPr>
          <w:rFonts w:hint="eastAsia"/>
          <w:color w:val="000000" w:themeColor="text1"/>
        </w:rPr>
        <w:t>強化三道監偵幕運用</w:t>
      </w:r>
    </w:p>
    <w:p w:rsidR="00E345F4" w:rsidRDefault="00BA1E13">
      <w:pPr>
        <w:pStyle w:val="5"/>
        <w:rPr>
          <w:color w:val="000000" w:themeColor="text1"/>
        </w:rPr>
      </w:pPr>
      <w:r>
        <w:rPr>
          <w:rFonts w:hint="eastAsia"/>
          <w:color w:val="000000" w:themeColor="text1"/>
        </w:rPr>
        <w:t>針對易偷渡熱點地區加強巡查外，另運用雷</w:t>
      </w:r>
      <w:r>
        <w:rPr>
          <w:rFonts w:hint="eastAsia"/>
          <w:color w:val="000000" w:themeColor="text1"/>
        </w:rPr>
        <w:lastRenderedPageBreak/>
        <w:t>達、紅外線熱顯像、UAV無人機等科技裝備輔勤，預先掌握海上目標動態。</w:t>
      </w:r>
    </w:p>
    <w:p w:rsidR="00E345F4" w:rsidRDefault="00BA1E13">
      <w:pPr>
        <w:pStyle w:val="5"/>
        <w:rPr>
          <w:color w:val="000000" w:themeColor="text1"/>
        </w:rPr>
      </w:pPr>
      <w:r>
        <w:rPr>
          <w:rFonts w:hint="eastAsia"/>
          <w:color w:val="000000" w:themeColor="text1"/>
        </w:rPr>
        <w:t>守望應確實核對近岸目標，倘發現不明小船、浮具出海（港）時，應立即通報雷達組及巡邏人員協助監控，並由巡防區通報在航海巡艇前往查緝，俾防乘隙出境。</w:t>
      </w:r>
    </w:p>
    <w:p w:rsidR="00E345F4" w:rsidRDefault="00BA1E13">
      <w:pPr>
        <w:pStyle w:val="4"/>
        <w:rPr>
          <w:color w:val="000000" w:themeColor="text1"/>
        </w:rPr>
      </w:pPr>
      <w:r>
        <w:rPr>
          <w:rFonts w:hint="eastAsia"/>
          <w:color w:val="000000" w:themeColor="text1"/>
        </w:rPr>
        <w:t>增加海上船隻檢查密度</w:t>
      </w:r>
    </w:p>
    <w:p w:rsidR="00E345F4" w:rsidRDefault="00BA1E13">
      <w:pPr>
        <w:pStyle w:val="42"/>
        <w:ind w:left="1701" w:firstLine="680"/>
        <w:rPr>
          <w:color w:val="000000" w:themeColor="text1"/>
        </w:rPr>
      </w:pPr>
      <w:r>
        <w:rPr>
          <w:rFonts w:hint="eastAsia"/>
          <w:color w:val="000000" w:themeColor="text1"/>
        </w:rPr>
        <w:t>巡防艇應加強可疑漁船、娛樂漁業漁船及遊艇之檢查密度，對易於發生偷渡案件之水域，納入巡弋重點勤務部署。</w:t>
      </w:r>
    </w:p>
    <w:p w:rsidR="00E345F4" w:rsidRDefault="00BA1E13">
      <w:pPr>
        <w:pStyle w:val="2"/>
        <w:spacing w:line="470" w:lineRule="exact"/>
        <w:ind w:hanging="680"/>
        <w:rPr>
          <w:color w:val="000000" w:themeColor="text1"/>
        </w:rPr>
      </w:pPr>
      <w:r>
        <w:rPr>
          <w:rFonts w:hint="eastAsia"/>
          <w:color w:val="000000" w:themeColor="text1"/>
        </w:rPr>
        <w:t>本院綜合地檢署起訴書及海巡署與刑事警察局之相關資料</w:t>
      </w:r>
      <w:r>
        <w:rPr>
          <w:rFonts w:hAnsi="標楷體" w:hint="eastAsia"/>
          <w:color w:val="000000" w:themeColor="text1"/>
        </w:rPr>
        <w:t>，所得心證如下：</w:t>
      </w:r>
    </w:p>
    <w:p w:rsidR="00E345F4" w:rsidRDefault="00BA1E13">
      <w:pPr>
        <w:pStyle w:val="3"/>
        <w:spacing w:line="470" w:lineRule="exact"/>
        <w:ind w:hanging="680"/>
        <w:rPr>
          <w:color w:val="000000" w:themeColor="text1"/>
        </w:rPr>
      </w:pPr>
      <w:r>
        <w:rPr>
          <w:rFonts w:hint="eastAsia"/>
          <w:color w:val="000000" w:themeColor="text1"/>
        </w:rPr>
        <w:t>海巡署花費27分鐘左右</w:t>
      </w:r>
      <w:r>
        <w:rPr>
          <w:rFonts w:hAnsi="標楷體"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並未詳細檢查「TOPSPEED」遊艇</w:t>
      </w:r>
      <w:r>
        <w:rPr>
          <w:rFonts w:hAnsi="標楷體"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特別是</w:t>
      </w:r>
      <w:bookmarkStart w:id="65" w:name="_Hlk175557908"/>
      <w:r>
        <w:rPr>
          <w:rFonts w:hint="eastAsia"/>
          <w:color w:val="000000" w:themeColor="text1"/>
        </w:rPr>
        <w:t>儲藏室空間、食物儲藏室、廚房空間、冷凍（藏）櫃空間、船員室空間、駕駛（艙）台空間、機艙空間、水櫃空間、油櫃空間等足以藏匿人員之空間</w:t>
      </w:r>
      <w:bookmarkEnd w:id="65"/>
      <w:r>
        <w:rPr>
          <w:rFonts w:hAnsi="標楷體" w:hint="eastAsia"/>
          <w:color w:val="000000" w:themeColor="text1"/>
        </w:rPr>
        <w:t>，</w:t>
      </w:r>
      <w:bookmarkStart w:id="66" w:name="_Hlk175558074"/>
      <w:r>
        <w:rPr>
          <w:rFonts w:hAnsi="標楷體" w:hint="eastAsia"/>
          <w:color w:val="000000" w:themeColor="text1"/>
        </w:rPr>
        <w:t>而未能於船舶出港前先期查獲朱國榮藏匿期間，致逃離出境，執法時確有重大疏失</w:t>
      </w:r>
      <w:bookmarkEnd w:id="66"/>
      <w:r>
        <w:rPr>
          <w:rFonts w:hAnsi="標楷體" w:hint="eastAsia"/>
          <w:color w:val="000000" w:themeColor="text1"/>
        </w:rPr>
        <w:t>。</w:t>
      </w:r>
    </w:p>
    <w:p w:rsidR="00E345F4" w:rsidRDefault="00BA1E13">
      <w:pPr>
        <w:pStyle w:val="3"/>
        <w:spacing w:line="470" w:lineRule="exact"/>
        <w:ind w:hanging="680"/>
        <w:rPr>
          <w:color w:val="000000" w:themeColor="text1"/>
        </w:rPr>
      </w:pPr>
      <w:r>
        <w:rPr>
          <w:rFonts w:hint="eastAsia"/>
          <w:color w:val="000000" w:themeColor="text1"/>
        </w:rPr>
        <w:t>朱國榮出境，係利用海葵颱風甫離陸出海，受外圍環流影響，戶外監視器影像不清，躲藏船艙所致</w:t>
      </w:r>
      <w:r>
        <w:rPr>
          <w:rFonts w:hAnsi="標楷體"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且基於逃亡秘密性</w:t>
      </w:r>
      <w:r>
        <w:rPr>
          <w:rFonts w:hAnsi="標楷體"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朱國榮業於八月時出海勘查港口沿岸地形及海象</w:t>
      </w:r>
      <w:r>
        <w:rPr>
          <w:rFonts w:hAnsi="標楷體"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並無明確證據證明有勾結海巡署官員之情事</w:t>
      </w:r>
      <w:r>
        <w:rPr>
          <w:rFonts w:hAnsi="標楷體" w:hint="eastAsia"/>
          <w:color w:val="000000" w:themeColor="text1"/>
        </w:rPr>
        <w:t>。</w:t>
      </w:r>
    </w:p>
    <w:p w:rsidR="00E345F4" w:rsidRDefault="00BA1E13">
      <w:pPr>
        <w:pStyle w:val="3"/>
        <w:spacing w:line="470" w:lineRule="exact"/>
        <w:ind w:hanging="680"/>
        <w:rPr>
          <w:color w:val="000000" w:themeColor="text1"/>
        </w:rPr>
      </w:pPr>
      <w:r>
        <w:rPr>
          <w:rFonts w:hint="eastAsia"/>
          <w:color w:val="000000" w:themeColor="text1"/>
        </w:rPr>
        <w:t>本件朱國榮逃亡出境雖主要責任係屬法院羈押與否之決定，但海巡署之執法，仍負有重大疏失責任，確有檢討改進之處，例如加入科技設備監控強化執法效能，在出港船舶安檢管制登船檢查時，使用紅外線熱影像；在「目視航行」檢查時，在我國領海海域大量使用「無人機」監控，以維護臺灣地區海</w:t>
      </w:r>
      <w:r>
        <w:rPr>
          <w:rFonts w:hint="eastAsia"/>
          <w:color w:val="000000" w:themeColor="text1"/>
        </w:rPr>
        <w:lastRenderedPageBreak/>
        <w:t>域及海岸安全。</w:t>
      </w:r>
      <w:bookmarkStart w:id="67" w:name="_Toc524902730"/>
      <w:bookmarkEnd w:id="37"/>
      <w:bookmarkEnd w:id="38"/>
      <w:bookmarkEnd w:id="39"/>
      <w:bookmarkEnd w:id="40"/>
      <w:bookmarkEnd w:id="41"/>
      <w:bookmarkEnd w:id="42"/>
      <w:bookmarkEnd w:id="43"/>
    </w:p>
    <w:p w:rsidR="00E345F4" w:rsidRDefault="00E345F4">
      <w:pPr>
        <w:pStyle w:val="3"/>
        <w:numPr>
          <w:ilvl w:val="0"/>
          <w:numId w:val="0"/>
        </w:numPr>
        <w:ind w:left="1361"/>
        <w:rPr>
          <w:color w:val="000000" w:themeColor="text1"/>
        </w:rPr>
      </w:pPr>
    </w:p>
    <w:p w:rsidR="00E345F4" w:rsidRDefault="00BA1E13">
      <w:pPr>
        <w:pStyle w:val="10"/>
        <w:ind w:left="680" w:firstLine="680"/>
        <w:rPr>
          <w:color w:val="000000" w:themeColor="text1"/>
        </w:rPr>
      </w:pPr>
      <w:r>
        <w:rPr>
          <w:rFonts w:hint="eastAsia"/>
          <w:color w:val="000000" w:themeColor="text1"/>
        </w:rPr>
        <w:t>綜上所述，海洋委員會海巡署所屬就朱國榮利用海葵颱風，戶外監視器影像不清，躲藏船艙逃亡出境乙事，固使用27分鐘為船舶檢查，但並未詳細檢查「TOPSPEED」遊艇之儲藏室空間、食物儲藏室、廚房空間、冷凍（藏）櫃空間、船員室空間、駕駛（艙）台空間、機艙空間、水櫃空間、油櫃空間等足以藏匿人員之空間，而未能於船舶出港前先期查獲，致朱國榮逃離出境，執法時顯有重大疏失；又本件海巡署因負有重大疏失責任，自應檢討是否得利用科技設備監控，以強化執法效能，諸如在出港船舶安檢管制登船檢查時，使用紅外線熱影像；在「目視航行」檢查時，在領海大量使用「無人機」監控，俾防止非法入出國，並維護臺灣地區海域及海岸安全。爰依憲法第97條第1項及監察法第24條之規定提案糾正，移送海洋委員會轉飭所屬確實檢討改善見復。</w:t>
      </w:r>
    </w:p>
    <w:p w:rsidR="00E345F4" w:rsidRDefault="00BA1E13" w:rsidP="001E71AF">
      <w:pPr>
        <w:pStyle w:val="aa"/>
        <w:spacing w:beforeLines="150" w:before="685" w:after="0" w:line="240" w:lineRule="exact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bookmarkStart w:id="68" w:name="_Toc524895649"/>
      <w:bookmarkStart w:id="69" w:name="_Toc524896195"/>
      <w:bookmarkStart w:id="70" w:name="_Toc524896225"/>
      <w:bookmarkEnd w:id="68"/>
      <w:bookmarkEnd w:id="69"/>
      <w:bookmarkEnd w:id="70"/>
      <w:r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提案委員：</w:t>
      </w:r>
      <w:bookmarkEnd w:id="67"/>
      <w:r w:rsidR="00961D07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葉宜津</w:t>
      </w:r>
    </w:p>
    <w:p w:rsidR="00961D07" w:rsidRDefault="001E71AF" w:rsidP="001E71AF">
      <w:pPr>
        <w:pStyle w:val="aa"/>
        <w:spacing w:beforeLines="150" w:before="685" w:after="0" w:line="240" w:lineRule="exact"/>
        <w:ind w:leftChars="1100" w:left="3742" w:firstLineChars="500" w:firstLine="2221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>
        <w:rPr>
          <w:b w:val="0"/>
          <w:bCs/>
          <w:snapToGrid/>
          <w:color w:val="000000" w:themeColor="text1"/>
          <w:spacing w:val="12"/>
          <w:kern w:val="0"/>
          <w:sz w:val="40"/>
        </w:rPr>
        <w:t>浦忠成</w:t>
      </w:r>
    </w:p>
    <w:p w:rsidR="001E71AF" w:rsidRDefault="001E71AF" w:rsidP="001E71AF">
      <w:pPr>
        <w:pStyle w:val="aa"/>
        <w:spacing w:beforeLines="150" w:before="685" w:after="0" w:line="240" w:lineRule="exact"/>
        <w:ind w:leftChars="1100" w:left="3742" w:firstLineChars="500" w:firstLine="2221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>
        <w:rPr>
          <w:b w:val="0"/>
          <w:bCs/>
          <w:snapToGrid/>
          <w:color w:val="000000" w:themeColor="text1"/>
          <w:spacing w:val="12"/>
          <w:kern w:val="0"/>
          <w:sz w:val="40"/>
        </w:rPr>
        <w:t>賴鼎銘</w:t>
      </w:r>
    </w:p>
    <w:p w:rsidR="00E345F4" w:rsidRDefault="00E345F4">
      <w:pPr>
        <w:pStyle w:val="aa"/>
        <w:spacing w:beforeLines="150" w:before="685" w:after="0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</w:p>
    <w:p w:rsidR="00E345F4" w:rsidRDefault="00E345F4">
      <w:pPr>
        <w:pStyle w:val="aa"/>
        <w:spacing w:beforeLines="150" w:before="685" w:after="0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</w:p>
    <w:sectPr w:rsidR="00E345F4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41F" w:rsidRDefault="0017041F">
      <w:r>
        <w:separator/>
      </w:r>
    </w:p>
  </w:endnote>
  <w:endnote w:type="continuationSeparator" w:id="0">
    <w:p w:rsidR="0017041F" w:rsidRDefault="0017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5F4" w:rsidRDefault="00BA1E13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6</w:t>
    </w:r>
    <w:r>
      <w:rPr>
        <w:rStyle w:val="ac"/>
        <w:sz w:val="24"/>
      </w:rPr>
      <w:fldChar w:fldCharType="end"/>
    </w:r>
  </w:p>
  <w:p w:rsidR="00E345F4" w:rsidRDefault="00E345F4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41F" w:rsidRDefault="0017041F">
      <w:r>
        <w:separator/>
      </w:r>
    </w:p>
  </w:footnote>
  <w:footnote w:type="continuationSeparator" w:id="0">
    <w:p w:rsidR="0017041F" w:rsidRDefault="00170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4BE03D68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F4"/>
    <w:rsid w:val="0017041F"/>
    <w:rsid w:val="001E71AF"/>
    <w:rsid w:val="002E5B49"/>
    <w:rsid w:val="00961D07"/>
    <w:rsid w:val="00BA1E13"/>
    <w:rsid w:val="00E345F4"/>
    <w:rsid w:val="00FE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2605A6-5FD5-4BE2-A81F-73AD5A47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"/>
    <w:basedOn w:val="a6"/>
    <w:qFormat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pPr>
      <w:numPr>
        <w:ilvl w:val="1"/>
        <w:numId w:val="7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pPr>
      <w:ind w:leftChars="500" w:left="500"/>
    </w:pPr>
  </w:style>
  <w:style w:type="paragraph" w:customStyle="1" w:styleId="10">
    <w:name w:val="段落樣式1"/>
    <w:basedOn w:val="a6"/>
    <w:qFormat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pPr>
      <w:ind w:leftChars="1600" w:left="3840"/>
    </w:pPr>
  </w:style>
  <w:style w:type="paragraph" w:styleId="ad">
    <w:name w:val="header"/>
    <w:basedOn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pPr>
      <w:ind w:leftChars="400" w:left="400"/>
    </w:pPr>
  </w:style>
  <w:style w:type="character" w:styleId="ae">
    <w:name w:val="Hyperlink"/>
    <w:basedOn w:val="a7"/>
    <w:uiPriority w:val="99"/>
    <w:rPr>
      <w:color w:val="0000FF"/>
      <w:u w:val="single"/>
    </w:rPr>
  </w:style>
  <w:style w:type="paragraph" w:customStyle="1" w:styleId="af">
    <w:name w:val="簽名日期"/>
    <w:basedOn w:val="a6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pPr>
      <w:ind w:leftChars="200" w:left="200" w:firstLineChars="0" w:firstLine="0"/>
    </w:pPr>
  </w:style>
  <w:style w:type="paragraph" w:customStyle="1" w:styleId="af0">
    <w:name w:val="附件"/>
    <w:basedOn w:val="ab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pPr>
      <w:ind w:leftChars="500" w:left="500"/>
    </w:pPr>
  </w:style>
  <w:style w:type="paragraph" w:customStyle="1" w:styleId="52">
    <w:name w:val="段落樣式5"/>
    <w:basedOn w:val="42"/>
    <w:qFormat/>
    <w:pPr>
      <w:ind w:leftChars="600" w:left="600"/>
    </w:pPr>
  </w:style>
  <w:style w:type="paragraph" w:customStyle="1" w:styleId="62">
    <w:name w:val="段落樣式6"/>
    <w:basedOn w:val="52"/>
    <w:qFormat/>
    <w:pPr>
      <w:ind w:leftChars="700" w:left="700"/>
    </w:pPr>
  </w:style>
  <w:style w:type="paragraph" w:customStyle="1" w:styleId="71">
    <w:name w:val="段落樣式7"/>
    <w:basedOn w:val="62"/>
    <w:qFormat/>
    <w:pPr>
      <w:ind w:leftChars="800" w:left="800"/>
    </w:pPr>
  </w:style>
  <w:style w:type="paragraph" w:customStyle="1" w:styleId="81">
    <w:name w:val="段落樣式8"/>
    <w:basedOn w:val="71"/>
    <w:qFormat/>
    <w:pPr>
      <w:ind w:leftChars="900" w:left="900"/>
    </w:pPr>
  </w:style>
  <w:style w:type="paragraph" w:customStyle="1" w:styleId="a0">
    <w:name w:val="附表樣式"/>
    <w:basedOn w:val="a6"/>
    <w:qFormat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pPr>
      <w:ind w:left="698" w:hangingChars="200" w:hanging="698"/>
    </w:pPr>
  </w:style>
  <w:style w:type="paragraph" w:customStyle="1" w:styleId="af2">
    <w:name w:val="調查報告"/>
    <w:basedOn w:val="ab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pPr>
      <w:ind w:left="400" w:hangingChars="400" w:hanging="400"/>
    </w:pPr>
  </w:style>
  <w:style w:type="paragraph" w:customStyle="1" w:styleId="140">
    <w:name w:val="表格標題14"/>
    <w:basedOn w:val="a6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Pr>
      <w:vertAlign w:val="superscript"/>
    </w:rPr>
  </w:style>
  <w:style w:type="character" w:customStyle="1" w:styleId="50">
    <w:name w:val="標題 5 字元"/>
    <w:basedOn w:val="a7"/>
    <w:link w:val="5"/>
    <w:rPr>
      <w:rFonts w:ascii="標楷體" w:eastAsia="標楷體" w:hAnsi="Arial"/>
      <w:bCs/>
      <w:kern w:val="32"/>
      <w:sz w:val="32"/>
      <w:szCs w:val="36"/>
    </w:rPr>
  </w:style>
  <w:style w:type="character" w:customStyle="1" w:styleId="30">
    <w:name w:val="標題 3 字元"/>
    <w:aliases w:val="(一) 字元"/>
    <w:basedOn w:val="a7"/>
    <w:link w:val="3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Pr>
      <w:rFonts w:ascii="標楷體" w:eastAsia="標楷體" w:hAnsi="Arial"/>
      <w:kern w:val="32"/>
      <w:sz w:val="32"/>
      <w:szCs w:val="36"/>
    </w:rPr>
  </w:style>
  <w:style w:type="character" w:customStyle="1" w:styleId="60">
    <w:name w:val="標題 6 字元"/>
    <w:basedOn w:val="a7"/>
    <w:link w:val="6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513F9-A130-4ADF-A68E-51D0946C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7</Pages>
  <Words>539</Words>
  <Characters>3073</Characters>
  <Application>Microsoft Office Word</Application>
  <DocSecurity>0</DocSecurity>
  <Lines>25</Lines>
  <Paragraphs>7</Paragraphs>
  <ScaleCrop>false</ScaleCrop>
  <Company>cy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王心芬</dc:creator>
  <cp:lastModifiedBy>賴淑玲</cp:lastModifiedBy>
  <cp:revision>3</cp:revision>
  <cp:lastPrinted>2024-08-30T06:49:00Z</cp:lastPrinted>
  <dcterms:created xsi:type="dcterms:W3CDTF">2024-09-16T03:11:00Z</dcterms:created>
  <dcterms:modified xsi:type="dcterms:W3CDTF">2024-09-16T06:44:00Z</dcterms:modified>
</cp:coreProperties>
</file>