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bookmarkStart w:id="0" w:name="_Hlk173855944"/>
      <w:bookmarkEnd w:id="0"/>
      <w:r>
        <w:rPr>
          <w:rFonts w:hint="eastAsia"/>
        </w:rPr>
        <w:t>調查報告</w:t>
      </w:r>
    </w:p>
    <w:p w:rsidR="00E25849" w:rsidRDefault="00E25849" w:rsidP="00386406">
      <w:pPr>
        <w:pStyle w:val="1"/>
        <w:kinsoku w:val="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4F4224" w:rsidRPr="004F4224">
        <w:rPr>
          <w:rFonts w:hint="eastAsia"/>
        </w:rPr>
        <w:t>據訴</w:t>
      </w:r>
      <w:proofErr w:type="gramEnd"/>
      <w:r w:rsidR="004F4224" w:rsidRPr="004F4224">
        <w:rPr>
          <w:rFonts w:hint="eastAsia"/>
        </w:rPr>
        <w:t>，</w:t>
      </w:r>
      <w:bookmarkStart w:id="26" w:name="_Hlk174111691"/>
      <w:r w:rsidR="004F4224" w:rsidRPr="004F4224">
        <w:rPr>
          <w:rFonts w:hint="eastAsia"/>
        </w:rPr>
        <w:t>我國進口保健品之關稅稅率高達30</w:t>
      </w:r>
      <w:proofErr w:type="gramStart"/>
      <w:r w:rsidR="00533AD9">
        <w:rPr>
          <w:rFonts w:hint="eastAsia"/>
        </w:rPr>
        <w:t>﹪</w:t>
      </w:r>
      <w:proofErr w:type="gramEnd"/>
      <w:r w:rsidR="004F4224" w:rsidRPr="004F4224">
        <w:rPr>
          <w:rFonts w:hint="eastAsia"/>
        </w:rPr>
        <w:t>，且</w:t>
      </w:r>
      <w:proofErr w:type="gramStart"/>
      <w:r w:rsidR="004F4224" w:rsidRPr="004F4224">
        <w:rPr>
          <w:rFonts w:hint="eastAsia"/>
        </w:rPr>
        <w:t>疑</w:t>
      </w:r>
      <w:proofErr w:type="gramEnd"/>
      <w:r w:rsidR="004F4224" w:rsidRPr="004F4224">
        <w:rPr>
          <w:rFonts w:hint="eastAsia"/>
        </w:rPr>
        <w:t>未採取配套措施，恐未能有效保護國內相關產業</w:t>
      </w:r>
      <w:bookmarkEnd w:id="26"/>
      <w:r w:rsidR="004F4224" w:rsidRPr="004F4224">
        <w:rPr>
          <w:rFonts w:hint="eastAsia"/>
        </w:rPr>
        <w:t>等情。究保健食品關稅稅率訂為30</w:t>
      </w:r>
      <w:proofErr w:type="gramStart"/>
      <w:r w:rsidR="00533AD9">
        <w:rPr>
          <w:rFonts w:hint="eastAsia"/>
        </w:rPr>
        <w:t>﹪</w:t>
      </w:r>
      <w:proofErr w:type="gramEnd"/>
      <w:r w:rsidR="004F4224" w:rsidRPr="004F4224">
        <w:rPr>
          <w:rFonts w:hint="eastAsia"/>
        </w:rPr>
        <w:t>，對國內相關產業發揮多少保護效果？相關單位是否確切掌握本土產業的競爭力，以及保健品在課關稅後的進口值變化、關稅稅收的歷年變化等？實有深入調查之必要案</w:t>
      </w:r>
      <w:r w:rsidR="006D3801">
        <w:rPr>
          <w:rFonts w:hint="eastAsia"/>
        </w:rPr>
        <w:t>。</w:t>
      </w:r>
    </w:p>
    <w:p w:rsidR="00E25849"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GoBack"/>
      <w:bookmarkEnd w:id="51"/>
      <w:r>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Default="00183125" w:rsidP="00A639F4">
      <w:pPr>
        <w:pStyle w:val="10"/>
        <w:ind w:left="680" w:firstLine="680"/>
      </w:pPr>
      <w:bookmarkStart w:id="52" w:name="_Toc524902730"/>
      <w:r>
        <w:rPr>
          <w:rFonts w:hint="eastAsia"/>
        </w:rPr>
        <w:t>有關「</w:t>
      </w:r>
      <w:proofErr w:type="gramStart"/>
      <w:r w:rsidRPr="004F4224">
        <w:rPr>
          <w:rFonts w:hint="eastAsia"/>
        </w:rPr>
        <w:t>據訴</w:t>
      </w:r>
      <w:proofErr w:type="gramEnd"/>
      <w:r w:rsidRPr="004F4224">
        <w:rPr>
          <w:rFonts w:hint="eastAsia"/>
        </w:rPr>
        <w:t>，我國進口保健品之關稅稅率高達30</w:t>
      </w:r>
      <w:r w:rsidR="00533AD9">
        <w:rPr>
          <w:rFonts w:hint="eastAsia"/>
        </w:rPr>
        <w:t>﹪</w:t>
      </w:r>
      <w:r w:rsidRPr="004F4224">
        <w:rPr>
          <w:rFonts w:hint="eastAsia"/>
        </w:rPr>
        <w:t>，且疑未採取配套措施，恐未能有效保護國內相關產業等情。究保健食品關稅稅率訂為30</w:t>
      </w:r>
      <w:proofErr w:type="gramStart"/>
      <w:r w:rsidR="00533AD9">
        <w:rPr>
          <w:rFonts w:hint="eastAsia"/>
        </w:rPr>
        <w:t>﹪</w:t>
      </w:r>
      <w:proofErr w:type="gramEnd"/>
      <w:r w:rsidRPr="004F4224">
        <w:rPr>
          <w:rFonts w:hint="eastAsia"/>
        </w:rPr>
        <w:t>，對國內相關產業發揮多少保護效果？相關單位是否確切掌握本土產業的競爭力，以及保健品在課關稅後的進口值變化、關稅稅收的歷年變化等？實有深入調查之必要</w:t>
      </w:r>
      <w:r>
        <w:rPr>
          <w:rFonts w:hint="eastAsia"/>
        </w:rPr>
        <w:t>」一</w:t>
      </w:r>
      <w:r w:rsidRPr="004F4224">
        <w:rPr>
          <w:rFonts w:hint="eastAsia"/>
        </w:rPr>
        <w:t>案</w:t>
      </w:r>
      <w:r>
        <w:rPr>
          <w:rFonts w:hint="eastAsia"/>
        </w:rPr>
        <w:t>，經調閱財政部、經濟部及衛生</w:t>
      </w:r>
      <w:proofErr w:type="gramStart"/>
      <w:r>
        <w:rPr>
          <w:rFonts w:hint="eastAsia"/>
        </w:rPr>
        <w:t>福利部</w:t>
      </w:r>
      <w:r w:rsidRPr="009C7FF2">
        <w:rPr>
          <w:rFonts w:hint="eastAsia"/>
        </w:rPr>
        <w:t>等機關</w:t>
      </w:r>
      <w:proofErr w:type="gramEnd"/>
      <w:r w:rsidRPr="009C7FF2">
        <w:rPr>
          <w:rFonts w:hint="eastAsia"/>
        </w:rPr>
        <w:t>卷證資料</w:t>
      </w:r>
      <w:r w:rsidR="00560279">
        <w:rPr>
          <w:rFonts w:hint="eastAsia"/>
        </w:rPr>
        <w:t>，再蒐集網</w:t>
      </w:r>
      <w:r w:rsidR="00322CB4">
        <w:rPr>
          <w:rFonts w:hint="eastAsia"/>
        </w:rPr>
        <w:t>上通路保健食品銷售</w:t>
      </w:r>
      <w:r w:rsidR="00560279">
        <w:rPr>
          <w:rFonts w:hint="eastAsia"/>
        </w:rPr>
        <w:t>資料</w:t>
      </w:r>
      <w:r>
        <w:rPr>
          <w:rFonts w:hint="eastAsia"/>
        </w:rPr>
        <w:t>，經彙整分析後</w:t>
      </w:r>
      <w:r w:rsidRPr="009C7FF2">
        <w:rPr>
          <w:rFonts w:hint="eastAsia"/>
        </w:rPr>
        <w:t>，</w:t>
      </w:r>
      <w:r w:rsidR="00F45F55">
        <w:rPr>
          <w:rFonts w:hint="eastAsia"/>
        </w:rPr>
        <w:t>爰</w:t>
      </w:r>
      <w:r w:rsidR="00307A76">
        <w:rPr>
          <w:rFonts w:hint="eastAsia"/>
        </w:rPr>
        <w:t>臚</w:t>
      </w:r>
      <w:r w:rsidR="00FB501B" w:rsidRPr="009C7FF2">
        <w:rPr>
          <w:rFonts w:hint="eastAsia"/>
        </w:rPr>
        <w:t>列調查意見如下：</w:t>
      </w:r>
    </w:p>
    <w:p w:rsidR="00F45F55" w:rsidRDefault="00F45F55" w:rsidP="00A639F4">
      <w:pPr>
        <w:pStyle w:val="10"/>
        <w:ind w:left="680" w:firstLine="680"/>
      </w:pPr>
    </w:p>
    <w:p w:rsidR="00073CB5" w:rsidRPr="004853C8" w:rsidRDefault="00560279" w:rsidP="002E0EDF">
      <w:pPr>
        <w:pStyle w:val="2"/>
        <w:rPr>
          <w:b/>
        </w:rPr>
      </w:pPr>
      <w:r w:rsidRPr="004853C8">
        <w:rPr>
          <w:rFonts w:hint="eastAsia"/>
          <w:b/>
        </w:rPr>
        <w:t>民國（下同）</w:t>
      </w:r>
      <w:bookmarkStart w:id="53" w:name="_Hlk175055813"/>
      <w:r w:rsidR="002E0EDF" w:rsidRPr="004853C8">
        <w:rPr>
          <w:rFonts w:hint="eastAsia"/>
          <w:b/>
        </w:rPr>
        <w:t>111年</w:t>
      </w:r>
      <w:r w:rsidR="00BF4F56" w:rsidRPr="004853C8">
        <w:rPr>
          <w:rFonts w:hint="eastAsia"/>
          <w:b/>
        </w:rPr>
        <w:t>及1</w:t>
      </w:r>
      <w:r w:rsidR="00BF4F56" w:rsidRPr="004853C8">
        <w:rPr>
          <w:b/>
        </w:rPr>
        <w:t>12</w:t>
      </w:r>
      <w:r w:rsidR="00BF4F56" w:rsidRPr="004853C8">
        <w:rPr>
          <w:rFonts w:hint="eastAsia"/>
          <w:b/>
        </w:rPr>
        <w:t>年間經濟部為因應調降「</w:t>
      </w:r>
      <w:proofErr w:type="gramStart"/>
      <w:r w:rsidR="002E0EDF" w:rsidRPr="004853C8">
        <w:rPr>
          <w:rFonts w:hint="eastAsia"/>
          <w:b/>
        </w:rPr>
        <w:t>錠劑</w:t>
      </w:r>
      <w:proofErr w:type="gramEnd"/>
      <w:r w:rsidR="002E0EDF" w:rsidRPr="004853C8">
        <w:rPr>
          <w:rFonts w:hint="eastAsia"/>
          <w:b/>
        </w:rPr>
        <w:t>、膠囊狀保健食品</w:t>
      </w:r>
      <w:r w:rsidR="00440734" w:rsidRPr="004853C8">
        <w:rPr>
          <w:rFonts w:hint="eastAsia"/>
          <w:b/>
        </w:rPr>
        <w:t>」</w:t>
      </w:r>
      <w:r w:rsidR="00BF4F56" w:rsidRPr="004853C8">
        <w:rPr>
          <w:rFonts w:hint="eastAsia"/>
          <w:b/>
        </w:rPr>
        <w:t>進口關稅稅率</w:t>
      </w:r>
      <w:r w:rsidR="00E46443" w:rsidRPr="004853C8">
        <w:rPr>
          <w:rFonts w:hint="eastAsia"/>
          <w:b/>
        </w:rPr>
        <w:t>訴</w:t>
      </w:r>
      <w:r w:rsidR="00BF4F56" w:rsidRPr="004853C8">
        <w:rPr>
          <w:rFonts w:hint="eastAsia"/>
          <w:b/>
        </w:rPr>
        <w:t>求，經調查研究並聽取業界意見後，作成「</w:t>
      </w:r>
      <w:r w:rsidR="00DB1916" w:rsidRPr="004853C8">
        <w:rPr>
          <w:b/>
        </w:rPr>
        <w:t>通路端影響保健食品售價的占比最大，平均可達55</w:t>
      </w:r>
      <w:r w:rsidR="00533AD9" w:rsidRPr="004853C8">
        <w:rPr>
          <w:b/>
        </w:rPr>
        <w:t>﹪</w:t>
      </w:r>
      <w:r w:rsidR="00DB1916" w:rsidRPr="004853C8">
        <w:rPr>
          <w:b/>
        </w:rPr>
        <w:t>，該區間為通路商投入的營運成本、行銷廣告費用、活動折扣及利潤等</w:t>
      </w:r>
      <w:r w:rsidR="00DB1916" w:rsidRPr="004853C8">
        <w:rPr>
          <w:rFonts w:hint="eastAsia"/>
          <w:b/>
        </w:rPr>
        <w:t>項目；</w:t>
      </w:r>
      <w:r w:rsidR="00DB1916" w:rsidRPr="004853C8">
        <w:rPr>
          <w:b/>
        </w:rPr>
        <w:t>關稅30</w:t>
      </w:r>
      <w:proofErr w:type="gramStart"/>
      <w:r w:rsidR="00533AD9" w:rsidRPr="004853C8">
        <w:rPr>
          <w:b/>
        </w:rPr>
        <w:t>﹪</w:t>
      </w:r>
      <w:proofErr w:type="gramEnd"/>
      <w:r w:rsidR="00DB1916" w:rsidRPr="004853C8">
        <w:rPr>
          <w:b/>
        </w:rPr>
        <w:t>反應至價格結構，平均為8.4</w:t>
      </w:r>
      <w:r w:rsidR="00533AD9" w:rsidRPr="004853C8">
        <w:rPr>
          <w:b/>
        </w:rPr>
        <w:t>﹪</w:t>
      </w:r>
      <w:r w:rsidR="00D36981" w:rsidRPr="004853C8">
        <w:rPr>
          <w:rFonts w:hint="eastAsia"/>
          <w:b/>
          <w:szCs w:val="32"/>
        </w:rPr>
        <w:t>」之結論，經本院調取海關進口資料，再</w:t>
      </w:r>
      <w:r w:rsidR="009867A5" w:rsidRPr="004853C8">
        <w:rPr>
          <w:rFonts w:hint="eastAsia"/>
          <w:b/>
          <w:szCs w:val="32"/>
        </w:rPr>
        <w:t>蒐尋</w:t>
      </w:r>
      <w:r w:rsidR="00F45F55" w:rsidRPr="004853C8">
        <w:rPr>
          <w:rFonts w:hint="eastAsia"/>
          <w:b/>
          <w:szCs w:val="32"/>
        </w:rPr>
        <w:t>國內</w:t>
      </w:r>
      <w:r w:rsidR="00D36981" w:rsidRPr="004853C8">
        <w:rPr>
          <w:rFonts w:hint="eastAsia"/>
          <w:b/>
          <w:szCs w:val="32"/>
        </w:rPr>
        <w:t>市場</w:t>
      </w:r>
      <w:r w:rsidR="003F5A28" w:rsidRPr="004853C8">
        <w:rPr>
          <w:rFonts w:hint="eastAsia"/>
          <w:b/>
          <w:szCs w:val="32"/>
        </w:rPr>
        <w:t>電商</w:t>
      </w:r>
      <w:r w:rsidR="00D36981" w:rsidRPr="004853C8">
        <w:rPr>
          <w:rFonts w:hint="eastAsia"/>
          <w:b/>
          <w:szCs w:val="32"/>
        </w:rPr>
        <w:t>價格</w:t>
      </w:r>
      <w:r w:rsidR="009867A5" w:rsidRPr="004853C8">
        <w:rPr>
          <w:rFonts w:hint="eastAsia"/>
          <w:b/>
          <w:szCs w:val="32"/>
        </w:rPr>
        <w:t>資料後，推估</w:t>
      </w:r>
      <w:r w:rsidR="00D36981" w:rsidRPr="004853C8">
        <w:rPr>
          <w:rFonts w:hint="eastAsia"/>
          <w:b/>
          <w:szCs w:val="32"/>
        </w:rPr>
        <w:t>計算所得</w:t>
      </w:r>
      <w:r w:rsidR="00E46443" w:rsidRPr="004853C8">
        <w:rPr>
          <w:rFonts w:hint="eastAsia"/>
          <w:b/>
          <w:szCs w:val="32"/>
        </w:rPr>
        <w:t>之</w:t>
      </w:r>
      <w:r w:rsidR="00D36981" w:rsidRPr="004853C8">
        <w:rPr>
          <w:rFonts w:hint="eastAsia"/>
          <w:b/>
          <w:szCs w:val="32"/>
        </w:rPr>
        <w:t>數據，</w:t>
      </w:r>
      <w:r w:rsidR="009867A5" w:rsidRPr="004853C8">
        <w:rPr>
          <w:rFonts w:hint="eastAsia"/>
          <w:b/>
          <w:szCs w:val="32"/>
        </w:rPr>
        <w:t>尚</w:t>
      </w:r>
      <w:r w:rsidR="004105A7" w:rsidRPr="004853C8">
        <w:rPr>
          <w:rFonts w:hint="eastAsia"/>
          <w:b/>
          <w:szCs w:val="32"/>
        </w:rPr>
        <w:t>難謂</w:t>
      </w:r>
      <w:r w:rsidR="00D36981" w:rsidRPr="004853C8">
        <w:rPr>
          <w:rFonts w:hint="eastAsia"/>
          <w:b/>
          <w:szCs w:val="32"/>
        </w:rPr>
        <w:t>無據</w:t>
      </w:r>
      <w:r w:rsidR="00C54D9C" w:rsidRPr="004853C8">
        <w:rPr>
          <w:rFonts w:hint="eastAsia"/>
          <w:b/>
          <w:szCs w:val="32"/>
        </w:rPr>
        <w:t>。</w:t>
      </w:r>
      <w:bookmarkEnd w:id="53"/>
    </w:p>
    <w:p w:rsidR="00073CB5" w:rsidRDefault="004374CE" w:rsidP="00DE4238">
      <w:pPr>
        <w:pStyle w:val="3"/>
      </w:pPr>
      <w:r>
        <w:rPr>
          <w:rFonts w:hint="eastAsia"/>
        </w:rPr>
        <w:t>我國保健食品進口關稅稅率為</w:t>
      </w:r>
      <w:r w:rsidR="00F10D29">
        <w:rPr>
          <w:rFonts w:hint="eastAsia"/>
        </w:rPr>
        <w:t>2</w:t>
      </w:r>
      <w:r w:rsidR="00F10D29">
        <w:t>.5</w:t>
      </w:r>
      <w:proofErr w:type="gramStart"/>
      <w:r w:rsidR="00F10D29">
        <w:rPr>
          <w:rFonts w:hint="eastAsia"/>
        </w:rPr>
        <w:t>﹪</w:t>
      </w:r>
      <w:proofErr w:type="gramEnd"/>
      <w:r w:rsidR="00F10D29">
        <w:rPr>
          <w:rFonts w:hint="eastAsia"/>
        </w:rPr>
        <w:t>至</w:t>
      </w:r>
      <w:r>
        <w:rPr>
          <w:rFonts w:hint="eastAsia"/>
        </w:rPr>
        <w:t>3</w:t>
      </w:r>
      <w:r>
        <w:t>0</w:t>
      </w:r>
      <w:r>
        <w:rPr>
          <w:rFonts w:hint="eastAsia"/>
        </w:rPr>
        <w:t>﹪</w:t>
      </w:r>
      <w:r w:rsidR="00F10D29">
        <w:rPr>
          <w:rFonts w:hint="eastAsia"/>
        </w:rPr>
        <w:t>間</w:t>
      </w:r>
    </w:p>
    <w:p w:rsidR="00F10D29" w:rsidRDefault="00F10D29" w:rsidP="00F10D29">
      <w:pPr>
        <w:pStyle w:val="3"/>
        <w:numPr>
          <w:ilvl w:val="0"/>
          <w:numId w:val="0"/>
        </w:numPr>
        <w:ind w:left="1361" w:firstLineChars="183" w:firstLine="622"/>
      </w:pPr>
      <w:r>
        <w:rPr>
          <w:rFonts w:hint="eastAsia"/>
        </w:rPr>
        <w:lastRenderedPageBreak/>
        <w:t>查</w:t>
      </w:r>
      <w:r w:rsidRPr="00F6728E">
        <w:rPr>
          <w:rFonts w:hint="eastAsia"/>
        </w:rPr>
        <w:t>海關對進口貨物之稅則分類，係按實到貨物之成分比例、加工製程、狀態、</w:t>
      </w:r>
      <w:proofErr w:type="gramStart"/>
      <w:r w:rsidRPr="00F6728E">
        <w:rPr>
          <w:rFonts w:hint="eastAsia"/>
        </w:rPr>
        <w:t>用途等據以</w:t>
      </w:r>
      <w:proofErr w:type="gramEnd"/>
      <w:r w:rsidRPr="00F6728E">
        <w:rPr>
          <w:rFonts w:hint="eastAsia"/>
        </w:rPr>
        <w:t>核定。保健食品可為天然食材或營養成分(單方或複方)經各種不同加工或調製而成之各類型態食物製品，其種類繁多</w:t>
      </w:r>
      <w:r w:rsidR="00E46443">
        <w:rPr>
          <w:rFonts w:hint="eastAsia"/>
        </w:rPr>
        <w:t>並</w:t>
      </w:r>
      <w:r w:rsidRPr="00F6728E">
        <w:rPr>
          <w:rFonts w:hint="eastAsia"/>
        </w:rPr>
        <w:t>無法盡述，</w:t>
      </w:r>
      <w:r>
        <w:rPr>
          <w:rFonts w:hint="eastAsia"/>
        </w:rPr>
        <w:t>案經財政部</w:t>
      </w:r>
      <w:proofErr w:type="gramStart"/>
      <w:r>
        <w:rPr>
          <w:rFonts w:hint="eastAsia"/>
        </w:rPr>
        <w:t>函復</w:t>
      </w:r>
      <w:r w:rsidRPr="00F6728E">
        <w:rPr>
          <w:rFonts w:hint="eastAsia"/>
        </w:rPr>
        <w:t>例</w:t>
      </w:r>
      <w:r>
        <w:rPr>
          <w:rFonts w:hint="eastAsia"/>
        </w:rPr>
        <w:t>示</w:t>
      </w:r>
      <w:proofErr w:type="gramEnd"/>
      <w:r w:rsidRPr="00F6728E">
        <w:rPr>
          <w:rFonts w:hint="eastAsia"/>
        </w:rPr>
        <w:t>說明其稅則分類如下：</w:t>
      </w:r>
    </w:p>
    <w:p w:rsidR="00F10D29" w:rsidRDefault="00F10D29" w:rsidP="00F10D29">
      <w:pPr>
        <w:pStyle w:val="4"/>
      </w:pPr>
      <w:r>
        <w:rPr>
          <w:rFonts w:hint="eastAsia"/>
        </w:rPr>
        <w:t>魚</w:t>
      </w:r>
      <w:r w:rsidRPr="00595E25">
        <w:rPr>
          <w:rFonts w:hint="eastAsia"/>
        </w:rPr>
        <w:t>油(各種型態)，</w:t>
      </w:r>
      <w:proofErr w:type="gramStart"/>
      <w:r w:rsidRPr="00595E25">
        <w:rPr>
          <w:rFonts w:hint="eastAsia"/>
        </w:rPr>
        <w:t>倘僅經化學改</w:t>
      </w:r>
      <w:proofErr w:type="gramEnd"/>
      <w:r w:rsidRPr="00595E25">
        <w:rPr>
          <w:rFonts w:hint="eastAsia"/>
        </w:rPr>
        <w:t>質(氫化、</w:t>
      </w:r>
      <w:proofErr w:type="gramStart"/>
      <w:r w:rsidRPr="00595E25">
        <w:rPr>
          <w:rFonts w:hint="eastAsia"/>
        </w:rPr>
        <w:t>酯</w:t>
      </w:r>
      <w:proofErr w:type="gramEnd"/>
      <w:r w:rsidRPr="00595E25">
        <w:rPr>
          <w:rFonts w:hint="eastAsia"/>
        </w:rPr>
        <w:t>化、反油酸化)，且具三酸甘油酯結構，並未添加其他成分者，歸屬稅則第15章稅則</w:t>
      </w:r>
      <w:proofErr w:type="gramStart"/>
      <w:r w:rsidRPr="00595E25">
        <w:rPr>
          <w:rFonts w:hint="eastAsia"/>
        </w:rPr>
        <w:t>號別</w:t>
      </w:r>
      <w:proofErr w:type="gramEnd"/>
      <w:r w:rsidRPr="00595E25">
        <w:rPr>
          <w:rFonts w:hint="eastAsia"/>
        </w:rPr>
        <w:t>第</w:t>
      </w:r>
      <w:r w:rsidRPr="00595E25">
        <w:t>15</w:t>
      </w:r>
      <w:r w:rsidRPr="00595E25">
        <w:rPr>
          <w:rFonts w:hint="eastAsia"/>
        </w:rPr>
        <w:t>16.10.12號「魚油，</w:t>
      </w:r>
      <w:proofErr w:type="gramStart"/>
      <w:r w:rsidRPr="00595E25">
        <w:rPr>
          <w:rFonts w:hint="eastAsia"/>
        </w:rPr>
        <w:t>酸價</w:t>
      </w:r>
      <w:proofErr w:type="gramEnd"/>
      <w:r w:rsidRPr="00595E25">
        <w:rPr>
          <w:rFonts w:hint="eastAsia"/>
        </w:rPr>
        <w:t>不超過1｣或第</w:t>
      </w:r>
      <w:r w:rsidRPr="00595E25">
        <w:t>15</w:t>
      </w:r>
      <w:r w:rsidRPr="00595E25">
        <w:rPr>
          <w:rFonts w:hint="eastAsia"/>
        </w:rPr>
        <w:t>16.10.22號「魚油，酸價超過1｣，關稅稅率皆為2.5</w:t>
      </w:r>
      <w:r w:rsidR="00533AD9">
        <w:rPr>
          <w:rFonts w:hint="eastAsia"/>
        </w:rPr>
        <w:t>﹪</w:t>
      </w:r>
      <w:r w:rsidRPr="00595E25">
        <w:rPr>
          <w:rFonts w:hint="eastAsia"/>
        </w:rPr>
        <w:t>。</w:t>
      </w:r>
    </w:p>
    <w:p w:rsidR="00F10D29" w:rsidRPr="00DC6864" w:rsidRDefault="00F10D29" w:rsidP="00F10D29">
      <w:pPr>
        <w:pStyle w:val="4"/>
      </w:pPr>
      <w:r w:rsidRPr="007E0C77">
        <w:rPr>
          <w:rFonts w:hint="eastAsia"/>
          <w:color w:val="000000" w:themeColor="text1"/>
        </w:rPr>
        <w:t>病患用特殊營養</w:t>
      </w:r>
      <w:r>
        <w:rPr>
          <w:rFonts w:hint="eastAsia"/>
          <w:color w:val="000000" w:themeColor="text1"/>
        </w:rPr>
        <w:t>調製</w:t>
      </w:r>
      <w:r w:rsidRPr="007E0C77">
        <w:rPr>
          <w:rFonts w:hint="eastAsia"/>
          <w:color w:val="000000" w:themeColor="text1"/>
        </w:rPr>
        <w:t>食品</w:t>
      </w:r>
      <w:r>
        <w:rPr>
          <w:rFonts w:hint="eastAsia"/>
          <w:color w:val="000000" w:themeColor="text1"/>
        </w:rPr>
        <w:t>(各種型態)</w:t>
      </w:r>
      <w:r w:rsidRPr="007E0C77">
        <w:rPr>
          <w:rFonts w:hint="eastAsia"/>
          <w:color w:val="000000" w:themeColor="text1"/>
        </w:rPr>
        <w:t>，歸列稅則</w:t>
      </w:r>
      <w:proofErr w:type="gramStart"/>
      <w:r w:rsidRPr="007E0C77">
        <w:rPr>
          <w:rFonts w:hint="eastAsia"/>
          <w:color w:val="000000" w:themeColor="text1"/>
        </w:rPr>
        <w:t>號別第</w:t>
      </w:r>
      <w:proofErr w:type="gramEnd"/>
      <w:r w:rsidRPr="007E0C77">
        <w:rPr>
          <w:color w:val="000000" w:themeColor="text1"/>
        </w:rPr>
        <w:t>2106.90</w:t>
      </w:r>
      <w:r w:rsidRPr="00DC6864">
        <w:t>.20</w:t>
      </w:r>
      <w:r w:rsidRPr="00DC6864">
        <w:rPr>
          <w:rFonts w:hint="eastAsia"/>
        </w:rPr>
        <w:t>號「專供病患用之合成甜食及特殊營養食品｣項下</w:t>
      </w:r>
      <w:r w:rsidRPr="00DC6864">
        <w:t>CCC code</w:t>
      </w:r>
      <w:r w:rsidR="005218F1" w:rsidRPr="00DC6864">
        <w:rPr>
          <w:rStyle w:val="afe"/>
        </w:rPr>
        <w:footnoteReference w:id="1"/>
      </w:r>
      <w:r w:rsidRPr="00DC6864">
        <w:t xml:space="preserve"> 2106.90.20.20-2</w:t>
      </w:r>
      <w:r w:rsidRPr="00DC6864">
        <w:rPr>
          <w:rFonts w:hint="eastAsia"/>
        </w:rPr>
        <w:t>「專供病患用之特殊營養食品｣，關稅稅率10</w:t>
      </w:r>
      <w:r w:rsidR="00533AD9">
        <w:rPr>
          <w:rFonts w:hint="eastAsia"/>
        </w:rPr>
        <w:t>﹪</w:t>
      </w:r>
      <w:r w:rsidRPr="00DC6864">
        <w:rPr>
          <w:rFonts w:hint="eastAsia"/>
        </w:rPr>
        <w:t xml:space="preserve">。 </w:t>
      </w:r>
    </w:p>
    <w:p w:rsidR="00F10D29" w:rsidRPr="00E46443" w:rsidRDefault="00F10D29" w:rsidP="00F10D29">
      <w:pPr>
        <w:pStyle w:val="4"/>
      </w:pPr>
      <w:r w:rsidRPr="00DC6864">
        <w:rPr>
          <w:rFonts w:hint="eastAsia"/>
        </w:rPr>
        <w:t>含維他命、礦物質等營養成分之保健食品，依其成分、加工製程及用途等，歸列稅則</w:t>
      </w:r>
      <w:proofErr w:type="gramStart"/>
      <w:r w:rsidRPr="00DC6864">
        <w:rPr>
          <w:rFonts w:hint="eastAsia"/>
        </w:rPr>
        <w:t>號別第</w:t>
      </w:r>
      <w:proofErr w:type="gramEnd"/>
      <w:r w:rsidRPr="00DC6864">
        <w:t>2106.90.99</w:t>
      </w:r>
      <w:r w:rsidR="00E12F6D" w:rsidRPr="00DC6864">
        <w:rPr>
          <w:rStyle w:val="afe"/>
        </w:rPr>
        <w:footnoteReference w:id="2"/>
      </w:r>
      <w:r w:rsidRPr="00DC6864">
        <w:rPr>
          <w:rFonts w:hint="eastAsia"/>
        </w:rPr>
        <w:t>號「其他未列名食物調製品｣，又按其形態，屬錠劑或膠囊狀保健食品者，歸列CCC</w:t>
      </w:r>
      <w:r w:rsidRPr="00DC6864">
        <w:t xml:space="preserve"> code</w:t>
      </w:r>
      <w:r w:rsidRPr="00DC6864">
        <w:rPr>
          <w:rFonts w:hint="eastAsia"/>
        </w:rPr>
        <w:t xml:space="preserve"> </w:t>
      </w:r>
      <w:r w:rsidRPr="00DC6864">
        <w:t>2106.90.99.20-8</w:t>
      </w:r>
      <w:r w:rsidRPr="00DC6864">
        <w:rPr>
          <w:rFonts w:hint="eastAsia"/>
        </w:rPr>
        <w:t>「錠劑、膠囊狀食物製品」</w:t>
      </w:r>
      <w:r w:rsidR="00276856" w:rsidRPr="00DC6864">
        <w:rPr>
          <w:rFonts w:hint="eastAsia"/>
        </w:rPr>
        <w:t>；</w:t>
      </w:r>
      <w:r w:rsidRPr="00DC6864">
        <w:rPr>
          <w:rFonts w:hint="eastAsia"/>
        </w:rPr>
        <w:t>非</w:t>
      </w:r>
      <w:proofErr w:type="gramStart"/>
      <w:r w:rsidRPr="00DC6864">
        <w:rPr>
          <w:rFonts w:hint="eastAsia"/>
        </w:rPr>
        <w:t>屬錠劑或</w:t>
      </w:r>
      <w:proofErr w:type="gramEnd"/>
      <w:r w:rsidRPr="00DC6864">
        <w:rPr>
          <w:rFonts w:hint="eastAsia"/>
        </w:rPr>
        <w:t>膠囊</w:t>
      </w:r>
      <w:proofErr w:type="gramStart"/>
      <w:r w:rsidRPr="00DC6864">
        <w:rPr>
          <w:rFonts w:hint="eastAsia"/>
        </w:rPr>
        <w:t>狀樣態</w:t>
      </w:r>
      <w:proofErr w:type="gramEnd"/>
      <w:r w:rsidRPr="00DC6864">
        <w:rPr>
          <w:rFonts w:hint="eastAsia"/>
        </w:rPr>
        <w:t>者，則歸列CCC</w:t>
      </w:r>
      <w:r w:rsidRPr="00DC6864">
        <w:t xml:space="preserve"> code</w:t>
      </w:r>
      <w:r w:rsidRPr="00DC6864">
        <w:rPr>
          <w:rFonts w:hint="eastAsia"/>
        </w:rPr>
        <w:t xml:space="preserve"> 2106.90.99.90-3</w:t>
      </w:r>
      <w:r w:rsidRPr="00DC6864">
        <w:rPr>
          <w:rFonts w:ascii="新細明體" w:eastAsia="新細明體" w:hAnsi="新細明體" w:hint="eastAsia"/>
        </w:rPr>
        <w:t>「</w:t>
      </w:r>
      <w:r w:rsidRPr="00DC6864">
        <w:rPr>
          <w:rFonts w:hAnsi="標楷體" w:hint="eastAsia"/>
        </w:rPr>
        <w:t>其</w:t>
      </w:r>
      <w:r w:rsidRPr="007E0C77">
        <w:rPr>
          <w:rFonts w:hAnsi="標楷體" w:hint="eastAsia"/>
          <w:color w:val="000000" w:themeColor="text1"/>
        </w:rPr>
        <w:t>他未列名食物調製品</w:t>
      </w:r>
      <w:r w:rsidRPr="007E0C77">
        <w:rPr>
          <w:rFonts w:ascii="新細明體" w:eastAsia="新細明體" w:hAnsi="新細明體" w:hint="eastAsia"/>
          <w:color w:val="000000" w:themeColor="text1"/>
        </w:rPr>
        <w:t>｣</w:t>
      </w:r>
      <w:r w:rsidRPr="007E0C77">
        <w:rPr>
          <w:rFonts w:hint="eastAsia"/>
          <w:color w:val="000000" w:themeColor="text1"/>
        </w:rPr>
        <w:t>，關稅稅率皆為30</w:t>
      </w:r>
      <w:r w:rsidR="00533AD9">
        <w:rPr>
          <w:rFonts w:hint="eastAsia"/>
          <w:color w:val="000000" w:themeColor="text1"/>
        </w:rPr>
        <w:t>﹪</w:t>
      </w:r>
      <w:r w:rsidRPr="007E0C77">
        <w:rPr>
          <w:rFonts w:hint="eastAsia"/>
          <w:color w:val="000000" w:themeColor="text1"/>
        </w:rPr>
        <w:t>。</w:t>
      </w:r>
    </w:p>
    <w:p w:rsidR="00E46443" w:rsidRPr="00F36393" w:rsidRDefault="00E46443" w:rsidP="00F10D29">
      <w:pPr>
        <w:pStyle w:val="4"/>
      </w:pPr>
      <w:r>
        <w:rPr>
          <w:rFonts w:hint="eastAsia"/>
        </w:rPr>
        <w:t>綜上，我國進口保健食品之關稅稅率係在2</w:t>
      </w:r>
      <w:r>
        <w:t>.5</w:t>
      </w:r>
      <w:proofErr w:type="gramStart"/>
      <w:r>
        <w:rPr>
          <w:rFonts w:hint="eastAsia"/>
        </w:rPr>
        <w:t>﹪</w:t>
      </w:r>
      <w:proofErr w:type="gramEnd"/>
      <w:r>
        <w:rPr>
          <w:rFonts w:hint="eastAsia"/>
        </w:rPr>
        <w:t>至3</w:t>
      </w:r>
      <w:r>
        <w:t>0</w:t>
      </w:r>
      <w:r>
        <w:rPr>
          <w:rFonts w:hint="eastAsia"/>
        </w:rPr>
        <w:t>﹪間，</w:t>
      </w:r>
      <w:proofErr w:type="gramStart"/>
      <w:r>
        <w:rPr>
          <w:rFonts w:hint="eastAsia"/>
        </w:rPr>
        <w:t>且僅</w:t>
      </w:r>
      <w:r w:rsidRPr="007E0C77">
        <w:rPr>
          <w:rFonts w:hint="eastAsia"/>
          <w:color w:val="000000" w:themeColor="text1"/>
        </w:rPr>
        <w:t>歸</w:t>
      </w:r>
      <w:proofErr w:type="gramEnd"/>
      <w:r w:rsidRPr="007E0C77">
        <w:rPr>
          <w:rFonts w:hint="eastAsia"/>
          <w:color w:val="000000" w:themeColor="text1"/>
        </w:rPr>
        <w:t>列稅則</w:t>
      </w:r>
      <w:proofErr w:type="gramStart"/>
      <w:r w:rsidRPr="007E0C77">
        <w:rPr>
          <w:rFonts w:hint="eastAsia"/>
          <w:color w:val="000000" w:themeColor="text1"/>
        </w:rPr>
        <w:t>號別</w:t>
      </w:r>
      <w:proofErr w:type="gramEnd"/>
      <w:r w:rsidRPr="007E0C77">
        <w:rPr>
          <w:rFonts w:hint="eastAsia"/>
          <w:color w:val="000000" w:themeColor="text1"/>
        </w:rPr>
        <w:t>第</w:t>
      </w:r>
      <w:r w:rsidRPr="007E0C77">
        <w:rPr>
          <w:color w:val="000000" w:themeColor="text1"/>
        </w:rPr>
        <w:t>2106.90.99</w:t>
      </w:r>
      <w:r w:rsidRPr="007E0C77">
        <w:rPr>
          <w:rFonts w:hint="eastAsia"/>
          <w:color w:val="000000" w:themeColor="text1"/>
        </w:rPr>
        <w:t>號</w:t>
      </w:r>
      <w:r w:rsidRPr="007E0C77">
        <w:rPr>
          <w:rFonts w:hint="eastAsia"/>
          <w:color w:val="000000" w:themeColor="text1"/>
        </w:rPr>
        <w:lastRenderedPageBreak/>
        <w:t>「其他未列名食物調製品｣</w:t>
      </w:r>
      <w:r w:rsidR="00567B34">
        <w:rPr>
          <w:rFonts w:hint="eastAsia"/>
          <w:color w:val="000000" w:themeColor="text1"/>
        </w:rPr>
        <w:t>之保健食品關稅稅率始為3</w:t>
      </w:r>
      <w:r w:rsidR="00567B34">
        <w:rPr>
          <w:color w:val="000000" w:themeColor="text1"/>
        </w:rPr>
        <w:t>0</w:t>
      </w:r>
      <w:r w:rsidR="00567B34">
        <w:rPr>
          <w:rFonts w:hint="eastAsia"/>
          <w:color w:val="000000" w:themeColor="text1"/>
        </w:rPr>
        <w:t>﹪，應予敘明。</w:t>
      </w:r>
    </w:p>
    <w:p w:rsidR="00BB68E1" w:rsidRPr="00E602EF" w:rsidRDefault="00F36393" w:rsidP="00BB68E1">
      <w:pPr>
        <w:pStyle w:val="3"/>
      </w:pPr>
      <w:r>
        <w:rPr>
          <w:rFonts w:hint="eastAsia"/>
        </w:rPr>
        <w:t>經濟部為因應調降「</w:t>
      </w:r>
      <w:proofErr w:type="gramStart"/>
      <w:r w:rsidRPr="00F36393">
        <w:rPr>
          <w:rFonts w:hint="eastAsia"/>
        </w:rPr>
        <w:t>錠劑</w:t>
      </w:r>
      <w:proofErr w:type="gramEnd"/>
      <w:r w:rsidRPr="00F36393">
        <w:rPr>
          <w:rFonts w:hint="eastAsia"/>
        </w:rPr>
        <w:t>、膠囊狀保健食品</w:t>
      </w:r>
      <w:r>
        <w:rPr>
          <w:rFonts w:hint="eastAsia"/>
        </w:rPr>
        <w:t>」</w:t>
      </w:r>
      <w:r w:rsidRPr="00F36393">
        <w:rPr>
          <w:rFonts w:hint="eastAsia"/>
        </w:rPr>
        <w:t>關稅稅率</w:t>
      </w:r>
      <w:r w:rsidR="00462B0B">
        <w:rPr>
          <w:rFonts w:hint="eastAsia"/>
        </w:rPr>
        <w:t>訴</w:t>
      </w:r>
      <w:r w:rsidR="009B2FAB">
        <w:rPr>
          <w:rFonts w:hint="eastAsia"/>
        </w:rPr>
        <w:t>求，經</w:t>
      </w:r>
      <w:r w:rsidR="00462B0B">
        <w:rPr>
          <w:rFonts w:hint="eastAsia"/>
        </w:rPr>
        <w:t>於1</w:t>
      </w:r>
      <w:r w:rsidR="00462B0B">
        <w:t>12</w:t>
      </w:r>
      <w:r w:rsidR="00462B0B">
        <w:rPr>
          <w:rFonts w:hint="eastAsia"/>
        </w:rPr>
        <w:t>年8月間</w:t>
      </w:r>
      <w:r>
        <w:rPr>
          <w:rFonts w:hint="eastAsia"/>
        </w:rPr>
        <w:t>作</w:t>
      </w:r>
      <w:r w:rsidR="00BB68E1">
        <w:rPr>
          <w:rFonts w:hint="eastAsia"/>
        </w:rPr>
        <w:t>成</w:t>
      </w:r>
      <w:r w:rsidR="0065749D">
        <w:rPr>
          <w:rFonts w:hint="eastAsia"/>
        </w:rPr>
        <w:t>調</w:t>
      </w:r>
      <w:r>
        <w:rPr>
          <w:rFonts w:hint="eastAsia"/>
        </w:rPr>
        <w:t>研</w:t>
      </w:r>
      <w:r w:rsidR="00BB68E1">
        <w:rPr>
          <w:rFonts w:hint="eastAsia"/>
        </w:rPr>
        <w:t>報告中，有關前揭</w:t>
      </w:r>
      <w:r w:rsidR="00BB68E1" w:rsidRPr="00BB68E1">
        <w:rPr>
          <w:rFonts w:ascii="Times New Roman" w:hAnsi="Times New Roman"/>
          <w:szCs w:val="32"/>
        </w:rPr>
        <w:t>保健食品產品價格結構及</w:t>
      </w:r>
      <w:r w:rsidR="00F45F55">
        <w:rPr>
          <w:rFonts w:ascii="Times New Roman" w:hAnsi="Times New Roman" w:hint="eastAsia"/>
          <w:szCs w:val="32"/>
        </w:rPr>
        <w:t>其中</w:t>
      </w:r>
      <w:r w:rsidR="00BB68E1" w:rsidRPr="00BB68E1">
        <w:rPr>
          <w:rFonts w:ascii="Times New Roman" w:hAnsi="Times New Roman"/>
          <w:szCs w:val="32"/>
        </w:rPr>
        <w:t>關稅</w:t>
      </w:r>
      <w:r w:rsidR="00BB68E1" w:rsidRPr="00BB68E1">
        <w:rPr>
          <w:rFonts w:ascii="Times New Roman" w:hAnsi="Times New Roman" w:hint="eastAsia"/>
          <w:szCs w:val="32"/>
        </w:rPr>
        <w:t>所占比率</w:t>
      </w:r>
      <w:proofErr w:type="gramStart"/>
      <w:r w:rsidR="00BB68E1">
        <w:rPr>
          <w:rFonts w:ascii="Times New Roman" w:hAnsi="Times New Roman" w:hint="eastAsia"/>
          <w:szCs w:val="32"/>
        </w:rPr>
        <w:t>結論摘略如</w:t>
      </w:r>
      <w:proofErr w:type="gramEnd"/>
      <w:r w:rsidR="00BB68E1">
        <w:rPr>
          <w:rFonts w:ascii="Times New Roman" w:hAnsi="Times New Roman" w:hint="eastAsia"/>
          <w:szCs w:val="32"/>
        </w:rPr>
        <w:t>下：</w:t>
      </w:r>
    </w:p>
    <w:p w:rsidR="00BB68E1" w:rsidRDefault="00BB68E1" w:rsidP="00BB68E1">
      <w:pPr>
        <w:pStyle w:val="4"/>
      </w:pPr>
      <w:r w:rsidRPr="00E602EF">
        <w:t>全球保健食品與化</w:t>
      </w:r>
      <w:proofErr w:type="gramStart"/>
      <w:r w:rsidRPr="00E602EF">
        <w:t>粧</w:t>
      </w:r>
      <w:proofErr w:type="gramEnd"/>
      <w:r w:rsidRPr="00E602EF">
        <w:t>品的產品訂價相似，屬巿場認知價值訂價，非成本訂價</w:t>
      </w:r>
      <w:r w:rsidRPr="00E602EF">
        <w:rPr>
          <w:rFonts w:hint="eastAsia"/>
        </w:rPr>
        <w:t>，</w:t>
      </w:r>
      <w:r w:rsidRPr="00DC6864">
        <w:t>成本反應至終端</w:t>
      </w:r>
      <w:proofErr w:type="gramStart"/>
      <w:r w:rsidRPr="00DC6864">
        <w:t>價格間難</w:t>
      </w:r>
      <w:proofErr w:type="gramEnd"/>
      <w:r w:rsidRPr="00DC6864">
        <w:t>有規則定論。</w:t>
      </w:r>
      <w:r w:rsidRPr="00DC6864">
        <w:rPr>
          <w:rFonts w:hint="eastAsia"/>
        </w:rPr>
        <w:t>且</w:t>
      </w:r>
      <w:r w:rsidRPr="00DC6864">
        <w:t>保健</w:t>
      </w:r>
      <w:r w:rsidRPr="00E602EF">
        <w:t>食品需</w:t>
      </w:r>
      <w:r>
        <w:rPr>
          <w:rFonts w:hint="eastAsia"/>
        </w:rPr>
        <w:t>依</w:t>
      </w:r>
      <w:r w:rsidRPr="00E602EF">
        <w:t>賴產品廣告(廠商端或通路端)的產品行銷及消費者健康教育互動與信賴等功能價值，不同通路的產品價值及利潤分配差異大。</w:t>
      </w:r>
      <w:r w:rsidRPr="000821FF">
        <w:t>產品末端價格可能是產品製造/進口成本的10倍；</w:t>
      </w:r>
      <w:r w:rsidRPr="00E602EF">
        <w:t>通路角色不同，利潤可能有5-70</w:t>
      </w:r>
      <w:proofErr w:type="gramStart"/>
      <w:r w:rsidR="00533AD9">
        <w:t>﹪</w:t>
      </w:r>
      <w:proofErr w:type="gramEnd"/>
      <w:r w:rsidRPr="00E602EF">
        <w:t>的差異；廠商進入不同的通路，費用差異亦在5-60</w:t>
      </w:r>
      <w:proofErr w:type="gramStart"/>
      <w:r w:rsidR="00533AD9">
        <w:t>﹪</w:t>
      </w:r>
      <w:proofErr w:type="gramEnd"/>
      <w:r w:rsidRPr="00E602EF">
        <w:t>間。</w:t>
      </w:r>
    </w:p>
    <w:p w:rsidR="00BB68E1" w:rsidRDefault="00BB68E1" w:rsidP="00C6329C">
      <w:pPr>
        <w:pStyle w:val="4"/>
      </w:pPr>
      <w:r>
        <w:rPr>
          <w:rFonts w:hint="eastAsia"/>
        </w:rPr>
        <w:t>經濟部再</w:t>
      </w:r>
      <w:r w:rsidRPr="00022652">
        <w:t>分析海關資訊</w:t>
      </w:r>
      <w:r w:rsidRPr="00022652">
        <w:rPr>
          <w:rFonts w:hint="eastAsia"/>
        </w:rPr>
        <w:t>、</w:t>
      </w:r>
      <w:r>
        <w:rPr>
          <w:rFonts w:hint="eastAsia"/>
        </w:rPr>
        <w:t>並</w:t>
      </w:r>
      <w:r w:rsidRPr="00022652">
        <w:t>調查不同通路產品售價，同時洽詢20餘家</w:t>
      </w:r>
      <w:r w:rsidR="003F5A28">
        <w:rPr>
          <w:rFonts w:hint="eastAsia"/>
        </w:rPr>
        <w:t>在</w:t>
      </w:r>
      <w:proofErr w:type="gramStart"/>
      <w:r w:rsidR="003F5A28">
        <w:rPr>
          <w:rFonts w:hint="eastAsia"/>
        </w:rPr>
        <w:t>臺</w:t>
      </w:r>
      <w:proofErr w:type="gramEnd"/>
      <w:r w:rsidRPr="00022652">
        <w:t>營運</w:t>
      </w:r>
      <w:r w:rsidR="003F5A28">
        <w:rPr>
          <w:rFonts w:hint="eastAsia"/>
        </w:rPr>
        <w:t>中</w:t>
      </w:r>
      <w:r w:rsidRPr="00022652">
        <w:t>國內外保健食品廠商及進口商</w:t>
      </w:r>
      <w:r>
        <w:rPr>
          <w:rFonts w:hint="eastAsia"/>
        </w:rPr>
        <w:t>後</w:t>
      </w:r>
      <w:r w:rsidRPr="00022652">
        <w:rPr>
          <w:rFonts w:hint="eastAsia"/>
        </w:rPr>
        <w:t>，歸納</w:t>
      </w:r>
      <w:r w:rsidRPr="00022652">
        <w:t>進口保健食品價格結構，如</w:t>
      </w:r>
      <w:r w:rsidRPr="000821FF">
        <w:t>圖</w:t>
      </w:r>
      <w:r w:rsidRPr="00022652">
        <w:t>1。</w:t>
      </w:r>
    </w:p>
    <w:p w:rsidR="00BB68E1" w:rsidRDefault="00BB68E1" w:rsidP="00BB68E1"/>
    <w:p w:rsidR="00BB68E1" w:rsidRDefault="00BB68E1" w:rsidP="00BB68E1">
      <w:r w:rsidRPr="00BE3B0C">
        <w:rPr>
          <w:rFonts w:ascii="Times New Roman"/>
          <w:noProof/>
          <w:szCs w:val="32"/>
        </w:rPr>
        <mc:AlternateContent>
          <mc:Choice Requires="wps">
            <w:drawing>
              <wp:anchor distT="0" distB="0" distL="114300" distR="114300" simplePos="0" relativeHeight="251666432" behindDoc="0" locked="0" layoutInCell="1" allowOverlap="1" wp14:anchorId="3EFB0008" wp14:editId="3E3CFE5C">
                <wp:simplePos x="0" y="0"/>
                <wp:positionH relativeFrom="column">
                  <wp:posOffset>-506891</wp:posOffset>
                </wp:positionH>
                <wp:positionV relativeFrom="paragraph">
                  <wp:posOffset>436149</wp:posOffset>
                </wp:positionV>
                <wp:extent cx="6553200" cy="3674962"/>
                <wp:effectExtent l="0" t="0" r="19050" b="20955"/>
                <wp:wrapNone/>
                <wp:docPr id="3" name="矩形 3"/>
                <wp:cNvGraphicFramePr/>
                <a:graphic xmlns:a="http://schemas.openxmlformats.org/drawingml/2006/main">
                  <a:graphicData uri="http://schemas.microsoft.com/office/word/2010/wordprocessingShape">
                    <wps:wsp>
                      <wps:cNvSpPr/>
                      <wps:spPr>
                        <a:xfrm>
                          <a:off x="0" y="0"/>
                          <a:ext cx="6553200" cy="367496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EFA47" id="矩形 3" o:spid="_x0000_s1026" style="position:absolute;margin-left:-39.9pt;margin-top:34.35pt;width:516pt;height:289.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" filled="f" strokecolor="black [3213]" strokeweight=".25pt"/>
            </w:pict>
          </mc:Fallback>
        </mc:AlternateContent>
      </w:r>
      <w:r w:rsidRPr="00022652">
        <w:rPr>
          <w:rFonts w:ascii="Times New Roman" w:cs="Mangal"/>
          <w:noProof/>
          <w:szCs w:val="32"/>
        </w:rPr>
        <mc:AlternateContent>
          <mc:Choice Requires="wps">
            <w:drawing>
              <wp:anchor distT="45720" distB="45720" distL="114300" distR="114300" simplePos="0" relativeHeight="251665408" behindDoc="0" locked="0" layoutInCell="1" allowOverlap="1" wp14:anchorId="44F6E5E4" wp14:editId="4EDE26D5">
                <wp:simplePos x="0" y="0"/>
                <wp:positionH relativeFrom="column">
                  <wp:posOffset>0</wp:posOffset>
                </wp:positionH>
                <wp:positionV relativeFrom="paragraph">
                  <wp:posOffset>1430655</wp:posOffset>
                </wp:positionV>
                <wp:extent cx="6276975" cy="1404620"/>
                <wp:effectExtent l="0" t="0" r="9525" b="889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4620"/>
                        </a:xfrm>
                        <a:prstGeom prst="rect">
                          <a:avLst/>
                        </a:prstGeom>
                        <a:solidFill>
                          <a:srgbClr val="FFFFFF"/>
                        </a:solidFill>
                        <a:ln w="9525">
                          <a:noFill/>
                          <a:miter lim="800000"/>
                          <a:headEnd/>
                          <a:tailEnd/>
                        </a:ln>
                      </wps:spPr>
                      <wps:txbx>
                        <w:txbxContent>
                          <w:p w:rsidR="00812566" w:rsidRPr="00022652" w:rsidRDefault="00812566" w:rsidP="00BB68E1">
                            <w:pPr>
                              <w:snapToGrid w:val="0"/>
                              <w:ind w:right="-51"/>
                              <w:rPr>
                                <w:rFonts w:hAnsi="標楷體"/>
                                <w:sz w:val="24"/>
                                <w:szCs w:val="24"/>
                              </w:rPr>
                            </w:pPr>
                            <w:r w:rsidRPr="00022652">
                              <w:rPr>
                                <w:rFonts w:hAnsi="標楷體" w:hint="eastAsia"/>
                                <w:sz w:val="24"/>
                                <w:szCs w:val="24"/>
                              </w:rPr>
                              <w:t xml:space="preserve">產品進口 </w:t>
                            </w:r>
                            <w:r w:rsidRPr="00022652">
                              <w:rPr>
                                <w:rFonts w:hAnsi="標楷體"/>
                                <w:sz w:val="24"/>
                                <w:szCs w:val="24"/>
                              </w:rPr>
                              <w:t xml:space="preserve">     </w:t>
                            </w:r>
                            <w:r>
                              <w:rPr>
                                <w:rFonts w:hAnsi="標楷體"/>
                                <w:sz w:val="24"/>
                                <w:szCs w:val="24"/>
                              </w:rPr>
                              <w:t xml:space="preserve">     </w:t>
                            </w:r>
                            <w:r w:rsidRPr="00022652">
                              <w:rPr>
                                <w:rFonts w:hAnsi="標楷體"/>
                                <w:sz w:val="24"/>
                                <w:szCs w:val="24"/>
                              </w:rPr>
                              <w:sym w:font="Wingdings" w:char="F0E0"/>
                            </w:r>
                            <w:r w:rsidRPr="00022652">
                              <w:rPr>
                                <w:rFonts w:hAnsi="標楷體" w:hint="eastAsia"/>
                                <w:sz w:val="24"/>
                                <w:szCs w:val="24"/>
                              </w:rPr>
                              <w:t>關稅</w:t>
                            </w:r>
                            <w:r w:rsidRPr="00022652">
                              <w:rPr>
                                <w:rFonts w:hAnsi="標楷體"/>
                                <w:sz w:val="24"/>
                                <w:szCs w:val="24"/>
                              </w:rPr>
                              <w:sym w:font="Wingdings" w:char="F0E0"/>
                            </w:r>
                            <w:r w:rsidRPr="00022652">
                              <w:rPr>
                                <w:rFonts w:hAnsi="標楷體" w:hint="eastAsia"/>
                                <w:w w:val="90"/>
                                <w:sz w:val="24"/>
                                <w:szCs w:val="24"/>
                              </w:rPr>
                              <w:t>物流</w:t>
                            </w:r>
                            <w:r w:rsidRPr="00022652">
                              <w:rPr>
                                <w:rFonts w:hAnsi="標楷體"/>
                                <w:sz w:val="24"/>
                                <w:szCs w:val="24"/>
                              </w:rPr>
                              <w:sym w:font="Wingdings" w:char="F0E0"/>
                            </w:r>
                            <w:r w:rsidRPr="00022652">
                              <w:rPr>
                                <w:rFonts w:hAnsi="標楷體"/>
                                <w:sz w:val="24"/>
                                <w:szCs w:val="24"/>
                              </w:rPr>
                              <w:t xml:space="preserve">      </w:t>
                            </w:r>
                            <w:r>
                              <w:rPr>
                                <w:rFonts w:hAnsi="標楷體"/>
                                <w:sz w:val="24"/>
                                <w:szCs w:val="24"/>
                              </w:rPr>
                              <w:t xml:space="preserve">  </w:t>
                            </w:r>
                            <w:r w:rsidRPr="00022652">
                              <w:rPr>
                                <w:rFonts w:hAnsi="標楷體"/>
                                <w:sz w:val="24"/>
                                <w:szCs w:val="24"/>
                              </w:rPr>
                              <w:t xml:space="preserve">    </w:t>
                            </w:r>
                            <w:r w:rsidRPr="00022652">
                              <w:rPr>
                                <w:rFonts w:hAnsi="標楷體" w:hint="eastAsia"/>
                                <w:sz w:val="24"/>
                                <w:szCs w:val="24"/>
                              </w:rPr>
                              <w:t xml:space="preserve">通路 </w:t>
                            </w:r>
                            <w:r w:rsidRPr="00022652">
                              <w:rPr>
                                <w:rFonts w:hAnsi="標楷體"/>
                                <w:sz w:val="24"/>
                                <w:szCs w:val="24"/>
                              </w:rPr>
                              <w:t xml:space="preserve">       </w:t>
                            </w:r>
                            <w:r>
                              <w:rPr>
                                <w:rFonts w:hAnsi="標楷體"/>
                                <w:sz w:val="24"/>
                                <w:szCs w:val="24"/>
                              </w:rPr>
                              <w:t xml:space="preserve">   </w:t>
                            </w:r>
                            <w:r w:rsidRPr="00022652">
                              <w:rPr>
                                <w:rFonts w:hAnsi="標楷體"/>
                                <w:sz w:val="24"/>
                                <w:szCs w:val="24"/>
                              </w:rPr>
                              <w:t xml:space="preserve"> </w:t>
                            </w:r>
                            <w:r w:rsidRPr="00022652">
                              <w:rPr>
                                <w:rFonts w:hAnsi="標楷體"/>
                                <w:sz w:val="24"/>
                                <w:szCs w:val="24"/>
                              </w:rPr>
                              <w:sym w:font="Wingdings" w:char="F0E0"/>
                            </w:r>
                            <w:r w:rsidRPr="00022652">
                              <w:rPr>
                                <w:rFonts w:hAnsi="標楷體" w:hint="eastAsia"/>
                                <w:sz w:val="24"/>
                                <w:szCs w:val="24"/>
                              </w:rPr>
                              <w:t>巿場售價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6E5E4" id="_x0000_t202" coordsize="21600,21600" o:spt="202" path="m,l,21600r21600,l21600,xe">
                <v:stroke joinstyle="miter"/>
                <v:path gradientshapeok="t" o:connecttype="rect"/>
              </v:shapetype>
              <v:shape id="文字方塊 2" o:spid="_x0000_s1026" type="#_x0000_t202" style="position:absolute;left:0;text-align:left;margin-left:0;margin-top:112.65pt;width:494.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" stroked="f">
                <v:textbox style="mso-fit-shape-to-text:t">
                  <w:txbxContent>
                    <w:p w:rsidR="00812566" w:rsidRPr="00022652" w:rsidRDefault="00812566" w:rsidP="00BB68E1">
                      <w:pPr>
                        <w:snapToGrid w:val="0"/>
                        <w:ind w:right="-51"/>
                        <w:rPr>
                          <w:rFonts w:hAnsi="標楷體"/>
                          <w:sz w:val="24"/>
                          <w:szCs w:val="24"/>
                        </w:rPr>
                      </w:pPr>
                      <w:r w:rsidRPr="00022652">
                        <w:rPr>
                          <w:rFonts w:hAnsi="標楷體" w:hint="eastAsia"/>
                          <w:sz w:val="24"/>
                          <w:szCs w:val="24"/>
                        </w:rPr>
                        <w:t xml:space="preserve">產品進口 </w:t>
                      </w:r>
                      <w:r w:rsidRPr="00022652">
                        <w:rPr>
                          <w:rFonts w:hAnsi="標楷體"/>
                          <w:sz w:val="24"/>
                          <w:szCs w:val="24"/>
                        </w:rPr>
                        <w:t xml:space="preserve">     </w:t>
                      </w:r>
                      <w:r>
                        <w:rPr>
                          <w:rFonts w:hAnsi="標楷體"/>
                          <w:sz w:val="24"/>
                          <w:szCs w:val="24"/>
                        </w:rPr>
                        <w:t xml:space="preserve">     </w:t>
                      </w:r>
                      <w:r w:rsidRPr="00022652">
                        <w:rPr>
                          <w:rFonts w:hAnsi="標楷體"/>
                          <w:sz w:val="24"/>
                          <w:szCs w:val="24"/>
                        </w:rPr>
                        <w:sym w:font="Wingdings" w:char="F0E0"/>
                      </w:r>
                      <w:r w:rsidRPr="00022652">
                        <w:rPr>
                          <w:rFonts w:hAnsi="標楷體" w:hint="eastAsia"/>
                          <w:sz w:val="24"/>
                          <w:szCs w:val="24"/>
                        </w:rPr>
                        <w:t>關稅</w:t>
                      </w:r>
                      <w:r w:rsidRPr="00022652">
                        <w:rPr>
                          <w:rFonts w:hAnsi="標楷體"/>
                          <w:sz w:val="24"/>
                          <w:szCs w:val="24"/>
                        </w:rPr>
                        <w:sym w:font="Wingdings" w:char="F0E0"/>
                      </w:r>
                      <w:r w:rsidRPr="00022652">
                        <w:rPr>
                          <w:rFonts w:hAnsi="標楷體" w:hint="eastAsia"/>
                          <w:w w:val="90"/>
                          <w:sz w:val="24"/>
                          <w:szCs w:val="24"/>
                        </w:rPr>
                        <w:t>物流</w:t>
                      </w:r>
                      <w:r w:rsidRPr="00022652">
                        <w:rPr>
                          <w:rFonts w:hAnsi="標楷體"/>
                          <w:sz w:val="24"/>
                          <w:szCs w:val="24"/>
                        </w:rPr>
                        <w:sym w:font="Wingdings" w:char="F0E0"/>
                      </w:r>
                      <w:r w:rsidRPr="00022652">
                        <w:rPr>
                          <w:rFonts w:hAnsi="標楷體"/>
                          <w:sz w:val="24"/>
                          <w:szCs w:val="24"/>
                        </w:rPr>
                        <w:t xml:space="preserve">      </w:t>
                      </w:r>
                      <w:r>
                        <w:rPr>
                          <w:rFonts w:hAnsi="標楷體"/>
                          <w:sz w:val="24"/>
                          <w:szCs w:val="24"/>
                        </w:rPr>
                        <w:t xml:space="preserve">  </w:t>
                      </w:r>
                      <w:r w:rsidRPr="00022652">
                        <w:rPr>
                          <w:rFonts w:hAnsi="標楷體"/>
                          <w:sz w:val="24"/>
                          <w:szCs w:val="24"/>
                        </w:rPr>
                        <w:t xml:space="preserve">    </w:t>
                      </w:r>
                      <w:r w:rsidRPr="00022652">
                        <w:rPr>
                          <w:rFonts w:hAnsi="標楷體" w:hint="eastAsia"/>
                          <w:sz w:val="24"/>
                          <w:szCs w:val="24"/>
                        </w:rPr>
                        <w:t xml:space="preserve">通路 </w:t>
                      </w:r>
                      <w:r w:rsidRPr="00022652">
                        <w:rPr>
                          <w:rFonts w:hAnsi="標楷體"/>
                          <w:sz w:val="24"/>
                          <w:szCs w:val="24"/>
                        </w:rPr>
                        <w:t xml:space="preserve">       </w:t>
                      </w:r>
                      <w:r>
                        <w:rPr>
                          <w:rFonts w:hAnsi="標楷體"/>
                          <w:sz w:val="24"/>
                          <w:szCs w:val="24"/>
                        </w:rPr>
                        <w:t xml:space="preserve">   </w:t>
                      </w:r>
                      <w:r w:rsidRPr="00022652">
                        <w:rPr>
                          <w:rFonts w:hAnsi="標楷體"/>
                          <w:sz w:val="24"/>
                          <w:szCs w:val="24"/>
                        </w:rPr>
                        <w:t xml:space="preserve"> </w:t>
                      </w:r>
                      <w:r w:rsidRPr="00022652">
                        <w:rPr>
                          <w:rFonts w:hAnsi="標楷體"/>
                          <w:sz w:val="24"/>
                          <w:szCs w:val="24"/>
                        </w:rPr>
                        <w:sym w:font="Wingdings" w:char="F0E0"/>
                      </w:r>
                      <w:r w:rsidRPr="00022652">
                        <w:rPr>
                          <w:rFonts w:hAnsi="標楷體" w:hint="eastAsia"/>
                          <w:sz w:val="24"/>
                          <w:szCs w:val="24"/>
                        </w:rPr>
                        <w:t>巿場售價</w:t>
                      </w:r>
                    </w:p>
                  </w:txbxContent>
                </v:textbox>
              </v:shape>
            </w:pict>
          </mc:Fallback>
        </mc:AlternateContent>
      </w:r>
      <w:r w:rsidRPr="00BE3B0C">
        <w:rPr>
          <w:rFonts w:ascii="Times New Roman"/>
          <w:noProof/>
          <w:sz w:val="28"/>
          <w:szCs w:val="24"/>
        </w:rPr>
        <w:drawing>
          <wp:inline distT="0" distB="0" distL="0" distR="0" wp14:anchorId="3B848C66" wp14:editId="670B08C8">
            <wp:extent cx="6051550" cy="1724025"/>
            <wp:effectExtent l="0" t="0" r="6350" b="0"/>
            <wp:docPr id="5" name="圖表 5">
              <a:extLst xmlns:a="http://schemas.openxmlformats.org/drawingml/2006/main">
                <a:ext uri="{FF2B5EF4-FFF2-40B4-BE49-F238E27FC236}">
                  <a16:creationId xmlns:a16="http://schemas.microsoft.com/office/drawing/2014/main" id="{284897D7-96B8-4892-ADD4-114E25F8C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99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551"/>
        <w:gridCol w:w="850"/>
        <w:gridCol w:w="757"/>
        <w:gridCol w:w="4916"/>
      </w:tblGrid>
      <w:tr w:rsidR="00BB68E1" w:rsidRPr="00022652" w:rsidTr="006A4478">
        <w:tc>
          <w:tcPr>
            <w:tcW w:w="852" w:type="dxa"/>
          </w:tcPr>
          <w:p w:rsidR="00BB68E1" w:rsidRPr="00022652" w:rsidRDefault="00BB68E1" w:rsidP="006A4478">
            <w:pPr>
              <w:widowControl/>
              <w:autoSpaceDE/>
              <w:autoSpaceDN/>
              <w:snapToGrid w:val="0"/>
              <w:jc w:val="center"/>
              <w:textAlignment w:val="baseline"/>
              <w:rPr>
                <w:rFonts w:ascii="Times New Roman" w:cs="標楷體"/>
                <w:kern w:val="0"/>
                <w:sz w:val="24"/>
                <w:szCs w:val="24"/>
              </w:rPr>
            </w:pPr>
          </w:p>
        </w:tc>
        <w:tc>
          <w:tcPr>
            <w:tcW w:w="2551" w:type="dxa"/>
            <w:vAlign w:val="center"/>
          </w:tcPr>
          <w:p w:rsidR="00BB68E1" w:rsidRPr="00022652" w:rsidRDefault="00BB68E1" w:rsidP="006A4478">
            <w:pPr>
              <w:widowControl/>
              <w:autoSpaceDE/>
              <w:autoSpaceDN/>
              <w:snapToGrid w:val="0"/>
              <w:jc w:val="center"/>
              <w:textAlignment w:val="baseline"/>
              <w:rPr>
                <w:rFonts w:ascii="Times New Roman" w:cs="標楷體"/>
                <w:w w:val="80"/>
                <w:kern w:val="0"/>
                <w:sz w:val="24"/>
                <w:szCs w:val="24"/>
              </w:rPr>
            </w:pPr>
            <w:r w:rsidRPr="00022652">
              <w:rPr>
                <w:rFonts w:ascii="Times New Roman" w:cs="標楷體" w:hint="eastAsia"/>
                <w:kern w:val="0"/>
                <w:sz w:val="24"/>
                <w:szCs w:val="24"/>
              </w:rPr>
              <w:t>進口產品價格</w:t>
            </w:r>
          </w:p>
        </w:tc>
        <w:tc>
          <w:tcPr>
            <w:tcW w:w="850" w:type="dxa"/>
            <w:shd w:val="clear" w:color="auto" w:fill="D0CECE"/>
            <w:vAlign w:val="center"/>
          </w:tcPr>
          <w:p w:rsidR="00BB68E1" w:rsidRPr="00022652" w:rsidRDefault="00BB68E1" w:rsidP="006A4478">
            <w:pPr>
              <w:widowControl/>
              <w:autoSpaceDE/>
              <w:autoSpaceDN/>
              <w:snapToGrid w:val="0"/>
              <w:ind w:leftChars="-34" w:left="-116" w:rightChars="-42" w:right="-143"/>
              <w:jc w:val="center"/>
              <w:textAlignment w:val="baseline"/>
              <w:rPr>
                <w:rFonts w:ascii="Times New Roman" w:cs="標楷體"/>
                <w:kern w:val="0"/>
                <w:sz w:val="24"/>
                <w:szCs w:val="24"/>
              </w:rPr>
            </w:pPr>
            <w:r w:rsidRPr="00022652">
              <w:rPr>
                <w:rFonts w:ascii="Times New Roman" w:cs="標楷體" w:hint="eastAsia"/>
                <w:kern w:val="0"/>
                <w:sz w:val="24"/>
                <w:szCs w:val="24"/>
              </w:rPr>
              <w:t>3</w:t>
            </w:r>
            <w:r w:rsidRPr="00022652">
              <w:rPr>
                <w:rFonts w:ascii="Times New Roman" w:cs="標楷體"/>
                <w:kern w:val="0"/>
                <w:sz w:val="24"/>
                <w:szCs w:val="24"/>
              </w:rPr>
              <w:t>0</w:t>
            </w:r>
            <w:proofErr w:type="gramStart"/>
            <w:r w:rsidR="00533AD9">
              <w:rPr>
                <w:rFonts w:ascii="Times New Roman" w:cs="標楷體"/>
                <w:kern w:val="0"/>
                <w:sz w:val="24"/>
                <w:szCs w:val="24"/>
              </w:rPr>
              <w:t>﹪</w:t>
            </w:r>
            <w:proofErr w:type="gramEnd"/>
          </w:p>
          <w:p w:rsidR="00BB68E1" w:rsidRPr="00022652" w:rsidRDefault="00BB68E1" w:rsidP="006A4478">
            <w:pPr>
              <w:widowControl/>
              <w:autoSpaceDE/>
              <w:autoSpaceDN/>
              <w:snapToGrid w:val="0"/>
              <w:ind w:leftChars="-34" w:left="-116" w:rightChars="-42" w:right="-143"/>
              <w:jc w:val="center"/>
              <w:textAlignment w:val="baseline"/>
              <w:rPr>
                <w:rFonts w:ascii="Times New Roman" w:cs="標楷體"/>
                <w:kern w:val="0"/>
                <w:sz w:val="24"/>
                <w:szCs w:val="24"/>
              </w:rPr>
            </w:pPr>
            <w:r w:rsidRPr="00022652">
              <w:rPr>
                <w:rFonts w:ascii="Times New Roman" w:cs="標楷體" w:hint="eastAsia"/>
                <w:kern w:val="0"/>
                <w:sz w:val="24"/>
                <w:szCs w:val="24"/>
              </w:rPr>
              <w:t>關稅</w:t>
            </w:r>
          </w:p>
        </w:tc>
        <w:tc>
          <w:tcPr>
            <w:tcW w:w="757" w:type="dxa"/>
            <w:vAlign w:val="center"/>
          </w:tcPr>
          <w:p w:rsidR="00BB68E1" w:rsidRPr="00022652" w:rsidRDefault="00BB68E1" w:rsidP="006A4478">
            <w:pPr>
              <w:widowControl/>
              <w:autoSpaceDE/>
              <w:autoSpaceDN/>
              <w:snapToGrid w:val="0"/>
              <w:jc w:val="center"/>
              <w:textAlignment w:val="baseline"/>
              <w:rPr>
                <w:rFonts w:ascii="Times New Roman" w:cs="標楷體"/>
                <w:w w:val="80"/>
                <w:kern w:val="0"/>
                <w:sz w:val="24"/>
                <w:szCs w:val="24"/>
              </w:rPr>
            </w:pPr>
            <w:r w:rsidRPr="00022652">
              <w:rPr>
                <w:rFonts w:ascii="Times New Roman" w:cs="標楷體" w:hint="eastAsia"/>
                <w:kern w:val="0"/>
                <w:sz w:val="24"/>
                <w:szCs w:val="24"/>
              </w:rPr>
              <w:t>物流倉儲</w:t>
            </w:r>
          </w:p>
        </w:tc>
        <w:tc>
          <w:tcPr>
            <w:tcW w:w="4916" w:type="dxa"/>
            <w:vAlign w:val="center"/>
          </w:tcPr>
          <w:p w:rsidR="00BB68E1" w:rsidRPr="00022652" w:rsidRDefault="00BB68E1" w:rsidP="006A4478">
            <w:pPr>
              <w:widowControl/>
              <w:autoSpaceDE/>
              <w:autoSpaceDN/>
              <w:snapToGrid w:val="0"/>
              <w:jc w:val="center"/>
              <w:textAlignment w:val="baseline"/>
              <w:rPr>
                <w:rFonts w:ascii="Times New Roman" w:cs="標楷體"/>
                <w:w w:val="90"/>
                <w:kern w:val="0"/>
                <w:sz w:val="24"/>
                <w:szCs w:val="24"/>
              </w:rPr>
            </w:pPr>
            <w:r w:rsidRPr="00022652">
              <w:rPr>
                <w:rFonts w:ascii="Times New Roman" w:cs="標楷體" w:hint="eastAsia"/>
                <w:kern w:val="0"/>
                <w:sz w:val="24"/>
                <w:szCs w:val="24"/>
              </w:rPr>
              <w:t>通路</w:t>
            </w:r>
          </w:p>
        </w:tc>
      </w:tr>
      <w:tr w:rsidR="00BB68E1" w:rsidRPr="00022652" w:rsidTr="001B485A">
        <w:tc>
          <w:tcPr>
            <w:tcW w:w="852" w:type="dxa"/>
          </w:tcPr>
          <w:p w:rsidR="00BB68E1" w:rsidRPr="00022652" w:rsidRDefault="00BB68E1" w:rsidP="006A4478">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平均</w:t>
            </w:r>
          </w:p>
        </w:tc>
        <w:tc>
          <w:tcPr>
            <w:tcW w:w="2551" w:type="dxa"/>
            <w:vAlign w:val="center"/>
          </w:tcPr>
          <w:p w:rsidR="00BB68E1" w:rsidRPr="00BA3372" w:rsidRDefault="00BB68E1" w:rsidP="001B485A">
            <w:pPr>
              <w:widowControl/>
              <w:autoSpaceDE/>
              <w:autoSpaceDN/>
              <w:snapToGrid w:val="0"/>
              <w:jc w:val="center"/>
              <w:textAlignment w:val="baseline"/>
              <w:rPr>
                <w:rFonts w:ascii="Times New Roman" w:cs="標楷體"/>
                <w:b/>
                <w:kern w:val="0"/>
                <w:sz w:val="24"/>
                <w:szCs w:val="24"/>
                <w:u w:val="single"/>
              </w:rPr>
            </w:pPr>
            <w:r w:rsidRPr="00BA3372">
              <w:rPr>
                <w:rFonts w:ascii="Times New Roman" w:cs="標楷體" w:hint="eastAsia"/>
                <w:b/>
                <w:kern w:val="0"/>
                <w:sz w:val="24"/>
                <w:szCs w:val="24"/>
                <w:u w:val="single"/>
              </w:rPr>
              <w:t>2</w:t>
            </w:r>
            <w:r w:rsidRPr="00BA3372">
              <w:rPr>
                <w:rFonts w:ascii="Times New Roman" w:cs="標楷體"/>
                <w:b/>
                <w:kern w:val="0"/>
                <w:sz w:val="24"/>
                <w:szCs w:val="24"/>
                <w:u w:val="single"/>
              </w:rPr>
              <w:t>8</w:t>
            </w:r>
            <w:proofErr w:type="gramStart"/>
            <w:r w:rsidR="00533AD9">
              <w:rPr>
                <w:rFonts w:ascii="Times New Roman" w:cs="標楷體"/>
                <w:b/>
                <w:kern w:val="0"/>
                <w:sz w:val="24"/>
                <w:szCs w:val="24"/>
                <w:u w:val="single"/>
              </w:rPr>
              <w:t>﹪</w:t>
            </w:r>
            <w:proofErr w:type="gramEnd"/>
          </w:p>
        </w:tc>
        <w:tc>
          <w:tcPr>
            <w:tcW w:w="850" w:type="dxa"/>
            <w:shd w:val="clear" w:color="auto" w:fill="D0CECE"/>
            <w:vAlign w:val="center"/>
          </w:tcPr>
          <w:p w:rsidR="00BB68E1" w:rsidRPr="00BA3372" w:rsidRDefault="00BB68E1" w:rsidP="001B485A">
            <w:pPr>
              <w:widowControl/>
              <w:autoSpaceDE/>
              <w:autoSpaceDN/>
              <w:snapToGrid w:val="0"/>
              <w:ind w:leftChars="-34" w:left="-116" w:rightChars="-42" w:right="-143"/>
              <w:jc w:val="center"/>
              <w:textAlignment w:val="baseline"/>
              <w:rPr>
                <w:rFonts w:ascii="Times New Roman" w:cs="標楷體"/>
                <w:b/>
                <w:kern w:val="0"/>
                <w:sz w:val="24"/>
                <w:szCs w:val="24"/>
                <w:u w:val="single"/>
              </w:rPr>
            </w:pPr>
            <w:r w:rsidRPr="00BA3372">
              <w:rPr>
                <w:rFonts w:ascii="Times New Roman" w:cs="標楷體" w:hint="eastAsia"/>
                <w:b/>
                <w:kern w:val="0"/>
                <w:sz w:val="24"/>
                <w:szCs w:val="24"/>
                <w:u w:val="single"/>
              </w:rPr>
              <w:t>8</w:t>
            </w:r>
            <w:r w:rsidRPr="00BA3372">
              <w:rPr>
                <w:rFonts w:ascii="Times New Roman" w:cs="標楷體"/>
                <w:b/>
                <w:kern w:val="0"/>
                <w:sz w:val="24"/>
                <w:szCs w:val="24"/>
                <w:u w:val="single"/>
              </w:rPr>
              <w:t>.4</w:t>
            </w:r>
            <w:proofErr w:type="gramStart"/>
            <w:r w:rsidR="00533AD9">
              <w:rPr>
                <w:rFonts w:ascii="Times New Roman" w:cs="標楷體"/>
                <w:b/>
                <w:kern w:val="0"/>
                <w:sz w:val="24"/>
                <w:szCs w:val="24"/>
                <w:u w:val="single"/>
              </w:rPr>
              <w:t>﹪</w:t>
            </w:r>
            <w:proofErr w:type="gramEnd"/>
          </w:p>
        </w:tc>
        <w:tc>
          <w:tcPr>
            <w:tcW w:w="757" w:type="dxa"/>
            <w:vAlign w:val="center"/>
          </w:tcPr>
          <w:p w:rsidR="00BB68E1" w:rsidRPr="00BA3372" w:rsidRDefault="00BB68E1" w:rsidP="001B485A">
            <w:pPr>
              <w:widowControl/>
              <w:autoSpaceDE/>
              <w:autoSpaceDN/>
              <w:snapToGrid w:val="0"/>
              <w:ind w:rightChars="-18" w:right="-61"/>
              <w:jc w:val="center"/>
              <w:textAlignment w:val="baseline"/>
              <w:rPr>
                <w:rFonts w:ascii="Times New Roman" w:cs="標楷體"/>
                <w:b/>
                <w:kern w:val="0"/>
                <w:sz w:val="24"/>
                <w:szCs w:val="24"/>
                <w:u w:val="single"/>
              </w:rPr>
            </w:pPr>
            <w:r w:rsidRPr="00BA3372">
              <w:rPr>
                <w:rFonts w:ascii="Times New Roman" w:cs="標楷體" w:hint="eastAsia"/>
                <w:b/>
                <w:kern w:val="0"/>
                <w:sz w:val="24"/>
                <w:szCs w:val="24"/>
                <w:u w:val="single"/>
              </w:rPr>
              <w:t>8</w:t>
            </w:r>
            <w:r w:rsidRPr="00BA3372">
              <w:rPr>
                <w:rFonts w:ascii="Times New Roman" w:cs="標楷體"/>
                <w:b/>
                <w:kern w:val="0"/>
                <w:sz w:val="24"/>
                <w:szCs w:val="24"/>
                <w:u w:val="single"/>
              </w:rPr>
              <w:t>.6</w:t>
            </w:r>
            <w:proofErr w:type="gramStart"/>
            <w:r w:rsidR="00533AD9">
              <w:rPr>
                <w:rFonts w:ascii="Times New Roman" w:cs="標楷體"/>
                <w:b/>
                <w:kern w:val="0"/>
                <w:sz w:val="24"/>
                <w:szCs w:val="24"/>
                <w:u w:val="single"/>
              </w:rPr>
              <w:t>﹪</w:t>
            </w:r>
            <w:proofErr w:type="gramEnd"/>
          </w:p>
        </w:tc>
        <w:tc>
          <w:tcPr>
            <w:tcW w:w="4916" w:type="dxa"/>
            <w:vAlign w:val="center"/>
          </w:tcPr>
          <w:p w:rsidR="00BB68E1" w:rsidRPr="00BA3372" w:rsidRDefault="00BB68E1" w:rsidP="001B485A">
            <w:pPr>
              <w:widowControl/>
              <w:autoSpaceDE/>
              <w:autoSpaceDN/>
              <w:snapToGrid w:val="0"/>
              <w:jc w:val="center"/>
              <w:textAlignment w:val="baseline"/>
              <w:rPr>
                <w:rFonts w:ascii="Times New Roman" w:cs="標楷體"/>
                <w:b/>
                <w:kern w:val="0"/>
                <w:sz w:val="24"/>
                <w:szCs w:val="24"/>
                <w:u w:val="single"/>
              </w:rPr>
            </w:pPr>
            <w:r w:rsidRPr="00BA3372">
              <w:rPr>
                <w:rFonts w:ascii="Times New Roman" w:cs="標楷體" w:hint="eastAsia"/>
                <w:b/>
                <w:kern w:val="0"/>
                <w:sz w:val="24"/>
                <w:szCs w:val="24"/>
                <w:u w:val="single"/>
              </w:rPr>
              <w:t>5</w:t>
            </w:r>
            <w:r w:rsidRPr="00BA3372">
              <w:rPr>
                <w:rFonts w:ascii="Times New Roman" w:cs="標楷體"/>
                <w:b/>
                <w:kern w:val="0"/>
                <w:sz w:val="24"/>
                <w:szCs w:val="24"/>
                <w:u w:val="single"/>
              </w:rPr>
              <w:t>5</w:t>
            </w:r>
            <w:proofErr w:type="gramStart"/>
            <w:r w:rsidR="00533AD9">
              <w:rPr>
                <w:rFonts w:ascii="Times New Roman" w:cs="標楷體"/>
                <w:b/>
                <w:kern w:val="0"/>
                <w:sz w:val="24"/>
                <w:szCs w:val="24"/>
                <w:u w:val="single"/>
              </w:rPr>
              <w:t>﹪</w:t>
            </w:r>
            <w:proofErr w:type="gramEnd"/>
          </w:p>
        </w:tc>
      </w:tr>
      <w:tr w:rsidR="00BB68E1" w:rsidRPr="00022652" w:rsidTr="001B485A">
        <w:tc>
          <w:tcPr>
            <w:tcW w:w="852" w:type="dxa"/>
          </w:tcPr>
          <w:p w:rsidR="00BB68E1" w:rsidRPr="00022652" w:rsidRDefault="00BB68E1" w:rsidP="006A4478">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最小值</w:t>
            </w:r>
          </w:p>
        </w:tc>
        <w:tc>
          <w:tcPr>
            <w:tcW w:w="2551" w:type="dxa"/>
            <w:vAlign w:val="center"/>
          </w:tcPr>
          <w:p w:rsidR="00BB68E1" w:rsidRPr="00022652" w:rsidRDefault="00BB68E1" w:rsidP="001B485A">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1</w:t>
            </w:r>
            <w:r w:rsidRPr="00022652">
              <w:rPr>
                <w:rFonts w:ascii="Times New Roman" w:cs="標楷體"/>
                <w:kern w:val="0"/>
                <w:sz w:val="24"/>
                <w:szCs w:val="24"/>
                <w:u w:val="single"/>
              </w:rPr>
              <w:t>3</w:t>
            </w:r>
            <w:proofErr w:type="gramStart"/>
            <w:r w:rsidR="00533AD9">
              <w:rPr>
                <w:rFonts w:ascii="Times New Roman" w:cs="標楷體"/>
                <w:kern w:val="0"/>
                <w:sz w:val="24"/>
                <w:szCs w:val="24"/>
                <w:u w:val="single"/>
              </w:rPr>
              <w:t>﹪</w:t>
            </w:r>
            <w:proofErr w:type="gramEnd"/>
          </w:p>
        </w:tc>
        <w:tc>
          <w:tcPr>
            <w:tcW w:w="850" w:type="dxa"/>
            <w:shd w:val="clear" w:color="auto" w:fill="D0CECE"/>
            <w:vAlign w:val="center"/>
          </w:tcPr>
          <w:p w:rsidR="00BB68E1" w:rsidRPr="00022652" w:rsidRDefault="00BB68E1" w:rsidP="001B485A">
            <w:pPr>
              <w:widowControl/>
              <w:autoSpaceDE/>
              <w:autoSpaceDN/>
              <w:snapToGrid w:val="0"/>
              <w:ind w:leftChars="-34" w:left="-116" w:rightChars="-42" w:right="-143"/>
              <w:jc w:val="center"/>
              <w:textAlignment w:val="baseline"/>
              <w:rPr>
                <w:rFonts w:ascii="Times New Roman" w:cs="標楷體"/>
                <w:kern w:val="0"/>
                <w:sz w:val="24"/>
                <w:szCs w:val="24"/>
                <w:u w:val="single"/>
              </w:rPr>
            </w:pPr>
            <w:r w:rsidRPr="00022652">
              <w:rPr>
                <w:rFonts w:ascii="Times New Roman" w:cs="標楷體"/>
                <w:kern w:val="0"/>
                <w:sz w:val="24"/>
                <w:szCs w:val="24"/>
                <w:u w:val="single"/>
              </w:rPr>
              <w:t>3</w:t>
            </w:r>
            <w:proofErr w:type="gramStart"/>
            <w:r w:rsidR="00533AD9">
              <w:rPr>
                <w:rFonts w:ascii="Times New Roman" w:cs="標楷體"/>
                <w:kern w:val="0"/>
                <w:sz w:val="24"/>
                <w:szCs w:val="24"/>
                <w:u w:val="single"/>
              </w:rPr>
              <w:t>﹪</w:t>
            </w:r>
            <w:proofErr w:type="gramEnd"/>
          </w:p>
        </w:tc>
        <w:tc>
          <w:tcPr>
            <w:tcW w:w="757" w:type="dxa"/>
            <w:vAlign w:val="center"/>
          </w:tcPr>
          <w:p w:rsidR="00BB68E1" w:rsidRPr="00022652" w:rsidRDefault="00BB68E1" w:rsidP="001B485A">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6</w:t>
            </w:r>
            <w:proofErr w:type="gramStart"/>
            <w:r w:rsidR="00533AD9">
              <w:rPr>
                <w:rFonts w:ascii="Times New Roman" w:cs="標楷體"/>
                <w:kern w:val="0"/>
                <w:sz w:val="24"/>
                <w:szCs w:val="24"/>
                <w:u w:val="single"/>
              </w:rPr>
              <w:t>﹪</w:t>
            </w:r>
            <w:proofErr w:type="gramEnd"/>
          </w:p>
        </w:tc>
        <w:tc>
          <w:tcPr>
            <w:tcW w:w="4916" w:type="dxa"/>
            <w:vAlign w:val="center"/>
          </w:tcPr>
          <w:p w:rsidR="00BB68E1" w:rsidRPr="00022652" w:rsidRDefault="00BB68E1" w:rsidP="001B485A">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2</w:t>
            </w:r>
            <w:r w:rsidRPr="00022652">
              <w:rPr>
                <w:rFonts w:ascii="Times New Roman" w:cs="標楷體"/>
                <w:kern w:val="0"/>
                <w:sz w:val="24"/>
                <w:szCs w:val="24"/>
                <w:u w:val="single"/>
              </w:rPr>
              <w:t>0</w:t>
            </w:r>
            <w:proofErr w:type="gramStart"/>
            <w:r w:rsidR="00533AD9">
              <w:rPr>
                <w:rFonts w:ascii="Times New Roman" w:cs="標楷體"/>
                <w:kern w:val="0"/>
                <w:sz w:val="24"/>
                <w:szCs w:val="24"/>
                <w:u w:val="single"/>
              </w:rPr>
              <w:t>﹪</w:t>
            </w:r>
            <w:proofErr w:type="gramEnd"/>
          </w:p>
        </w:tc>
      </w:tr>
      <w:tr w:rsidR="00BB68E1" w:rsidRPr="00022652" w:rsidTr="001B485A">
        <w:tc>
          <w:tcPr>
            <w:tcW w:w="852" w:type="dxa"/>
          </w:tcPr>
          <w:p w:rsidR="00BB68E1" w:rsidRPr="00022652" w:rsidRDefault="00BB68E1" w:rsidP="006A4478">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lastRenderedPageBreak/>
              <w:t>最大值</w:t>
            </w:r>
          </w:p>
        </w:tc>
        <w:tc>
          <w:tcPr>
            <w:tcW w:w="2551" w:type="dxa"/>
            <w:vAlign w:val="center"/>
          </w:tcPr>
          <w:p w:rsidR="00BB68E1" w:rsidRPr="00022652" w:rsidRDefault="00BB68E1" w:rsidP="001B485A">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kern w:val="0"/>
                <w:sz w:val="24"/>
                <w:szCs w:val="24"/>
                <w:u w:val="single"/>
              </w:rPr>
              <w:t>30</w:t>
            </w:r>
            <w:proofErr w:type="gramStart"/>
            <w:r w:rsidR="00533AD9">
              <w:rPr>
                <w:rFonts w:ascii="Times New Roman" w:cs="標楷體"/>
                <w:kern w:val="0"/>
                <w:sz w:val="24"/>
                <w:szCs w:val="24"/>
                <w:u w:val="single"/>
              </w:rPr>
              <w:t>﹪</w:t>
            </w:r>
            <w:proofErr w:type="gramEnd"/>
          </w:p>
        </w:tc>
        <w:tc>
          <w:tcPr>
            <w:tcW w:w="850" w:type="dxa"/>
            <w:shd w:val="clear" w:color="auto" w:fill="D0CECE"/>
            <w:vAlign w:val="center"/>
          </w:tcPr>
          <w:p w:rsidR="00BB68E1" w:rsidRPr="00022652" w:rsidRDefault="00BB68E1" w:rsidP="001B485A">
            <w:pPr>
              <w:widowControl/>
              <w:autoSpaceDE/>
              <w:autoSpaceDN/>
              <w:snapToGrid w:val="0"/>
              <w:ind w:leftChars="-34" w:left="-116" w:rightChars="-42" w:right="-143"/>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1</w:t>
            </w:r>
            <w:r w:rsidRPr="00022652">
              <w:rPr>
                <w:rFonts w:ascii="Times New Roman" w:cs="標楷體"/>
                <w:kern w:val="0"/>
                <w:sz w:val="24"/>
                <w:szCs w:val="24"/>
                <w:u w:val="single"/>
              </w:rPr>
              <w:t>8</w:t>
            </w:r>
            <w:proofErr w:type="gramStart"/>
            <w:r w:rsidR="00533AD9">
              <w:rPr>
                <w:rFonts w:ascii="Times New Roman" w:cs="標楷體"/>
                <w:kern w:val="0"/>
                <w:sz w:val="24"/>
                <w:szCs w:val="24"/>
                <w:u w:val="single"/>
              </w:rPr>
              <w:t>﹪</w:t>
            </w:r>
            <w:proofErr w:type="gramEnd"/>
          </w:p>
        </w:tc>
        <w:tc>
          <w:tcPr>
            <w:tcW w:w="757" w:type="dxa"/>
            <w:vAlign w:val="center"/>
          </w:tcPr>
          <w:p w:rsidR="00BB68E1" w:rsidRPr="00022652" w:rsidRDefault="00BB68E1" w:rsidP="001B485A">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1</w:t>
            </w:r>
            <w:r w:rsidRPr="00022652">
              <w:rPr>
                <w:rFonts w:ascii="Times New Roman" w:cs="標楷體"/>
                <w:kern w:val="0"/>
                <w:sz w:val="24"/>
                <w:szCs w:val="24"/>
                <w:u w:val="single"/>
              </w:rPr>
              <w:t>2</w:t>
            </w:r>
            <w:proofErr w:type="gramStart"/>
            <w:r w:rsidR="00533AD9">
              <w:rPr>
                <w:rFonts w:ascii="Times New Roman" w:cs="標楷體"/>
                <w:kern w:val="0"/>
                <w:sz w:val="24"/>
                <w:szCs w:val="24"/>
                <w:u w:val="single"/>
              </w:rPr>
              <w:t>﹪</w:t>
            </w:r>
            <w:proofErr w:type="gramEnd"/>
          </w:p>
        </w:tc>
        <w:tc>
          <w:tcPr>
            <w:tcW w:w="4916" w:type="dxa"/>
            <w:vAlign w:val="center"/>
          </w:tcPr>
          <w:p w:rsidR="00BB68E1" w:rsidRPr="00022652" w:rsidRDefault="00BB68E1" w:rsidP="001B485A">
            <w:pPr>
              <w:widowControl/>
              <w:autoSpaceDE/>
              <w:autoSpaceDN/>
              <w:snapToGrid w:val="0"/>
              <w:jc w:val="center"/>
              <w:textAlignment w:val="baseline"/>
              <w:rPr>
                <w:rFonts w:ascii="Times New Roman" w:cs="標楷體"/>
                <w:kern w:val="0"/>
                <w:sz w:val="24"/>
                <w:szCs w:val="24"/>
                <w:u w:val="single"/>
              </w:rPr>
            </w:pPr>
            <w:r w:rsidRPr="00022652">
              <w:rPr>
                <w:rFonts w:ascii="Times New Roman" w:cs="標楷體" w:hint="eastAsia"/>
                <w:kern w:val="0"/>
                <w:sz w:val="24"/>
                <w:szCs w:val="24"/>
                <w:u w:val="single"/>
              </w:rPr>
              <w:t>7</w:t>
            </w:r>
            <w:r w:rsidRPr="00022652">
              <w:rPr>
                <w:rFonts w:ascii="Times New Roman" w:cs="標楷體"/>
                <w:kern w:val="0"/>
                <w:sz w:val="24"/>
                <w:szCs w:val="24"/>
                <w:u w:val="single"/>
              </w:rPr>
              <w:t>7</w:t>
            </w:r>
            <w:proofErr w:type="gramStart"/>
            <w:r w:rsidR="00533AD9">
              <w:rPr>
                <w:rFonts w:ascii="Times New Roman" w:cs="標楷體"/>
                <w:kern w:val="0"/>
                <w:sz w:val="24"/>
                <w:szCs w:val="24"/>
                <w:u w:val="single"/>
              </w:rPr>
              <w:t>﹪</w:t>
            </w:r>
            <w:proofErr w:type="gramEnd"/>
          </w:p>
        </w:tc>
      </w:tr>
    </w:tbl>
    <w:p w:rsidR="00BB68E1" w:rsidRPr="00BE3B0C" w:rsidRDefault="00BB68E1" w:rsidP="000D5B9A">
      <w:pPr>
        <w:pStyle w:val="15"/>
        <w:overflowPunct w:val="0"/>
        <w:snapToGrid w:val="0"/>
        <w:ind w:leftChars="-181" w:left="993" w:rightChars="-150" w:right="-510" w:hangingChars="670" w:hanging="1609"/>
        <w:textAlignment w:val="baseline"/>
        <w:rPr>
          <w:rFonts w:ascii="Times New Roman" w:eastAsia="標楷體" w:hAnsi="Times New Roman" w:cs="標楷體"/>
          <w:sz w:val="22"/>
          <w:szCs w:val="22"/>
        </w:rPr>
      </w:pPr>
      <w:proofErr w:type="gramStart"/>
      <w:r w:rsidRPr="00BE3B0C">
        <w:rPr>
          <w:rFonts w:ascii="Times New Roman" w:eastAsia="標楷體" w:hAnsi="Times New Roman" w:cs="標楷體" w:hint="eastAsia"/>
          <w:sz w:val="22"/>
          <w:szCs w:val="22"/>
        </w:rPr>
        <w:t>註</w:t>
      </w:r>
      <w:proofErr w:type="gramEnd"/>
      <w:r w:rsidRPr="00BE3B0C">
        <w:rPr>
          <w:rFonts w:ascii="Times New Roman" w:eastAsia="標楷體" w:hAnsi="Times New Roman" w:cs="標楷體" w:hint="eastAsia"/>
          <w:sz w:val="22"/>
          <w:szCs w:val="22"/>
        </w:rPr>
        <w:t>：</w:t>
      </w:r>
      <w:r w:rsidRPr="00BE3B0C">
        <w:rPr>
          <w:rFonts w:ascii="Times New Roman" w:eastAsia="標楷體" w:hAnsi="Times New Roman" w:cs="標楷體" w:hint="eastAsia"/>
          <w:sz w:val="22"/>
          <w:szCs w:val="22"/>
        </w:rPr>
        <w:t>(</w:t>
      </w:r>
      <w:r w:rsidRPr="00BE3B0C">
        <w:rPr>
          <w:rFonts w:ascii="Times New Roman" w:eastAsia="標楷體" w:hAnsi="Times New Roman" w:cs="標楷體"/>
          <w:sz w:val="22"/>
          <w:szCs w:val="22"/>
        </w:rPr>
        <w:t>1)</w:t>
      </w:r>
      <w:r w:rsidRPr="00BE3B0C">
        <w:rPr>
          <w:rFonts w:ascii="Times New Roman" w:eastAsia="標楷體" w:hAnsi="Times New Roman" w:cs="標楷體" w:hint="eastAsia"/>
          <w:sz w:val="22"/>
          <w:szCs w:val="22"/>
        </w:rPr>
        <w:t>進口產品價格</w:t>
      </w:r>
      <w:r w:rsidRPr="00BE3B0C">
        <w:rPr>
          <w:rFonts w:ascii="Times New Roman" w:eastAsia="標楷體" w:hAnsi="Times New Roman" w:cs="標楷體" w:hint="eastAsia"/>
          <w:sz w:val="22"/>
          <w:szCs w:val="22"/>
        </w:rPr>
        <w:t>=</w:t>
      </w:r>
      <w:r w:rsidRPr="00BE3B0C">
        <w:rPr>
          <w:rFonts w:ascii="Times New Roman" w:eastAsia="標楷體" w:hAnsi="Times New Roman" w:cs="標楷體" w:hint="eastAsia"/>
          <w:sz w:val="22"/>
          <w:szCs w:val="22"/>
        </w:rPr>
        <w:t>進口產品完稅價格，包括進口產品所有的原料、人力、生產、研發、行銷、利潤及進口航運等成本利潤。</w:t>
      </w:r>
    </w:p>
    <w:p w:rsidR="00BB68E1" w:rsidRPr="00BE3B0C" w:rsidRDefault="00BB68E1" w:rsidP="000D5B9A">
      <w:pPr>
        <w:pStyle w:val="15"/>
        <w:overflowPunct w:val="0"/>
        <w:snapToGrid w:val="0"/>
        <w:ind w:leftChars="-181" w:left="911" w:rightChars="339" w:right="1153" w:hangingChars="636" w:hanging="1527"/>
        <w:textAlignment w:val="baseline"/>
        <w:rPr>
          <w:rFonts w:ascii="Times New Roman" w:eastAsia="標楷體" w:hAnsi="Times New Roman" w:cs="標楷體"/>
          <w:sz w:val="22"/>
          <w:szCs w:val="22"/>
        </w:rPr>
      </w:pPr>
      <w:r w:rsidRPr="00BE3B0C">
        <w:rPr>
          <w:rFonts w:ascii="Times New Roman" w:eastAsia="標楷體" w:hAnsi="Times New Roman" w:cs="標楷體"/>
          <w:sz w:val="22"/>
          <w:szCs w:val="22"/>
        </w:rPr>
        <w:t xml:space="preserve">   </w:t>
      </w:r>
      <w:r>
        <w:rPr>
          <w:rFonts w:ascii="Times New Roman" w:eastAsia="標楷體" w:hAnsi="Times New Roman" w:cs="標楷體"/>
          <w:sz w:val="22"/>
          <w:szCs w:val="22"/>
        </w:rPr>
        <w:t xml:space="preserve"> </w:t>
      </w:r>
      <w:r w:rsidRPr="00BE3B0C">
        <w:rPr>
          <w:rFonts w:ascii="Times New Roman" w:eastAsia="標楷體" w:hAnsi="Times New Roman" w:cs="標楷體"/>
          <w:sz w:val="22"/>
          <w:szCs w:val="22"/>
        </w:rPr>
        <w:t>(2)</w:t>
      </w:r>
      <w:r w:rsidRPr="00BE3B0C">
        <w:rPr>
          <w:rFonts w:ascii="Times New Roman" w:eastAsia="標楷體" w:hAnsi="Times New Roman" w:cs="標楷體" w:hint="eastAsia"/>
          <w:sz w:val="22"/>
          <w:szCs w:val="22"/>
        </w:rPr>
        <w:t>關稅</w:t>
      </w:r>
      <w:r w:rsidRPr="00BE3B0C">
        <w:rPr>
          <w:rFonts w:ascii="Times New Roman" w:eastAsia="標楷體" w:hAnsi="Times New Roman" w:cs="標楷體"/>
          <w:sz w:val="22"/>
          <w:szCs w:val="22"/>
        </w:rPr>
        <w:t>=</w:t>
      </w:r>
      <w:r w:rsidRPr="00BE3B0C">
        <w:rPr>
          <w:rFonts w:ascii="Times New Roman" w:eastAsia="標楷體" w:hAnsi="Times New Roman" w:cs="標楷體" w:hint="eastAsia"/>
          <w:sz w:val="22"/>
          <w:szCs w:val="22"/>
        </w:rPr>
        <w:t>進口產品價格</w:t>
      </w:r>
      <w:proofErr w:type="gramStart"/>
      <w:r w:rsidRPr="00BE3B0C">
        <w:rPr>
          <w:rFonts w:ascii="Times New Roman" w:eastAsia="標楷體" w:hAnsi="Times New Roman" w:cs="標楷體" w:hint="eastAsia"/>
          <w:sz w:val="22"/>
          <w:szCs w:val="22"/>
        </w:rPr>
        <w:t>＊</w:t>
      </w:r>
      <w:proofErr w:type="gramEnd"/>
      <w:r w:rsidRPr="00BE3B0C">
        <w:rPr>
          <w:rFonts w:ascii="Times New Roman" w:eastAsia="標楷體" w:hAnsi="Times New Roman" w:cs="標楷體" w:hint="eastAsia"/>
          <w:sz w:val="22"/>
          <w:szCs w:val="22"/>
        </w:rPr>
        <w:t>3</w:t>
      </w:r>
      <w:r w:rsidRPr="00BE3B0C">
        <w:rPr>
          <w:rFonts w:ascii="Times New Roman" w:eastAsia="標楷體" w:hAnsi="Times New Roman" w:cs="標楷體"/>
          <w:sz w:val="22"/>
          <w:szCs w:val="22"/>
        </w:rPr>
        <w:t>0</w:t>
      </w:r>
      <w:r w:rsidR="00533AD9">
        <w:rPr>
          <w:rFonts w:ascii="Times New Roman" w:eastAsia="標楷體" w:hAnsi="Times New Roman" w:cs="標楷體"/>
          <w:sz w:val="22"/>
          <w:szCs w:val="22"/>
        </w:rPr>
        <w:t>﹪</w:t>
      </w:r>
    </w:p>
    <w:p w:rsidR="00BB68E1" w:rsidRPr="00BE3B0C" w:rsidRDefault="00BB68E1" w:rsidP="000D5B9A">
      <w:pPr>
        <w:pStyle w:val="15"/>
        <w:overflowPunct w:val="0"/>
        <w:snapToGrid w:val="0"/>
        <w:ind w:leftChars="-181" w:left="911" w:rightChars="339" w:right="1153" w:hangingChars="636" w:hanging="1527"/>
        <w:textAlignment w:val="baseline"/>
        <w:rPr>
          <w:rFonts w:ascii="Times New Roman" w:eastAsia="標楷體" w:hAnsi="Times New Roman" w:cs="標楷體"/>
          <w:sz w:val="22"/>
          <w:szCs w:val="22"/>
        </w:rPr>
      </w:pPr>
      <w:r w:rsidRPr="00BE3B0C">
        <w:rPr>
          <w:rFonts w:ascii="Times New Roman" w:eastAsia="標楷體" w:hAnsi="Times New Roman" w:cs="標楷體" w:hint="eastAsia"/>
          <w:sz w:val="22"/>
          <w:szCs w:val="22"/>
        </w:rPr>
        <w:t xml:space="preserve"> </w:t>
      </w:r>
      <w:r w:rsidRPr="00BE3B0C">
        <w:rPr>
          <w:rFonts w:ascii="Times New Roman" w:eastAsia="標楷體" w:hAnsi="Times New Roman" w:cs="標楷體"/>
          <w:sz w:val="22"/>
          <w:szCs w:val="22"/>
        </w:rPr>
        <w:t xml:space="preserve">  </w:t>
      </w:r>
      <w:r>
        <w:rPr>
          <w:rFonts w:ascii="Times New Roman" w:eastAsia="標楷體" w:hAnsi="Times New Roman" w:cs="標楷體"/>
          <w:sz w:val="22"/>
          <w:szCs w:val="22"/>
        </w:rPr>
        <w:t xml:space="preserve"> </w:t>
      </w:r>
      <w:r w:rsidRPr="00BE3B0C">
        <w:rPr>
          <w:rFonts w:ascii="Times New Roman" w:eastAsia="標楷體" w:hAnsi="Times New Roman" w:cs="標楷體"/>
          <w:sz w:val="22"/>
          <w:szCs w:val="22"/>
        </w:rPr>
        <w:t>(3)</w:t>
      </w:r>
      <w:r w:rsidRPr="00BE3B0C">
        <w:rPr>
          <w:rFonts w:ascii="Times New Roman" w:eastAsia="標楷體" w:hAnsi="Times New Roman" w:cs="標楷體" w:hint="eastAsia"/>
          <w:sz w:val="22"/>
          <w:szCs w:val="22"/>
        </w:rPr>
        <w:t>物流</w:t>
      </w:r>
      <w:r w:rsidRPr="00BE3B0C">
        <w:rPr>
          <w:rFonts w:ascii="Times New Roman" w:eastAsia="標楷體" w:hAnsi="Times New Roman" w:cs="標楷體" w:hint="eastAsia"/>
          <w:sz w:val="22"/>
          <w:szCs w:val="22"/>
        </w:rPr>
        <w:t>/</w:t>
      </w:r>
      <w:r w:rsidRPr="00BE3B0C">
        <w:rPr>
          <w:rFonts w:ascii="Times New Roman" w:eastAsia="標楷體" w:hAnsi="Times New Roman" w:cs="標楷體" w:hint="eastAsia"/>
          <w:sz w:val="22"/>
          <w:szCs w:val="22"/>
        </w:rPr>
        <w:t>倉儲，包括進口後之運費、保險費、倉儲費等</w:t>
      </w:r>
      <w:r w:rsidRPr="00BE3B0C">
        <w:rPr>
          <w:rFonts w:ascii="Times New Roman" w:eastAsia="標楷體" w:hAnsi="Times New Roman" w:cs="標楷體"/>
          <w:sz w:val="22"/>
          <w:szCs w:val="22"/>
        </w:rPr>
        <w:t>…</w:t>
      </w:r>
      <w:r w:rsidRPr="00BE3B0C">
        <w:rPr>
          <w:rFonts w:ascii="Times New Roman" w:eastAsia="標楷體" w:hAnsi="Times New Roman" w:cs="標楷體" w:hint="eastAsia"/>
          <w:sz w:val="22"/>
          <w:szCs w:val="22"/>
        </w:rPr>
        <w:t>。</w:t>
      </w:r>
    </w:p>
    <w:p w:rsidR="00BB68E1" w:rsidRPr="00022652" w:rsidRDefault="00BB68E1" w:rsidP="000D5B9A">
      <w:pPr>
        <w:snapToGrid w:val="0"/>
        <w:ind w:leftChars="-181" w:left="-49" w:rightChars="-192" w:right="-653" w:hangingChars="236" w:hanging="567"/>
      </w:pPr>
      <w:r w:rsidRPr="00BE3B0C">
        <w:rPr>
          <w:rFonts w:ascii="Times New Roman" w:cs="標楷體" w:hint="eastAsia"/>
          <w:sz w:val="22"/>
          <w:szCs w:val="22"/>
        </w:rPr>
        <w:t xml:space="preserve"> </w:t>
      </w:r>
      <w:r>
        <w:rPr>
          <w:rFonts w:ascii="Times New Roman" w:cs="標楷體"/>
          <w:sz w:val="22"/>
          <w:szCs w:val="22"/>
        </w:rPr>
        <w:t xml:space="preserve">   </w:t>
      </w:r>
      <w:r w:rsidRPr="00BE3B0C">
        <w:rPr>
          <w:rFonts w:ascii="Times New Roman" w:cs="標楷體"/>
          <w:sz w:val="22"/>
          <w:szCs w:val="22"/>
        </w:rPr>
        <w:t>(4)</w:t>
      </w:r>
      <w:r w:rsidRPr="00BE3B0C">
        <w:rPr>
          <w:rFonts w:ascii="Times New Roman" w:cs="標楷體" w:hint="eastAsia"/>
          <w:sz w:val="22"/>
          <w:szCs w:val="22"/>
        </w:rPr>
        <w:t>通路</w:t>
      </w:r>
      <w:bookmarkStart w:id="54" w:name="_Hlk174980531"/>
      <w:r w:rsidRPr="00BE3B0C">
        <w:rPr>
          <w:rFonts w:ascii="Times New Roman" w:cs="標楷體" w:hint="eastAsia"/>
          <w:sz w:val="22"/>
          <w:szCs w:val="22"/>
        </w:rPr>
        <w:t>包括通路端之所有營運成本、行銷廣告費用、消費教育及各式折扣活動及利潤等</w:t>
      </w:r>
      <w:bookmarkEnd w:id="54"/>
      <w:r w:rsidRPr="00BE3B0C">
        <w:rPr>
          <w:rFonts w:ascii="Times New Roman" w:cs="標楷體"/>
          <w:sz w:val="22"/>
          <w:szCs w:val="22"/>
        </w:rPr>
        <w:t>…</w:t>
      </w:r>
      <w:r w:rsidRPr="00BE3B0C">
        <w:rPr>
          <w:rFonts w:ascii="Times New Roman" w:cs="標楷體" w:hint="eastAsia"/>
          <w:sz w:val="22"/>
          <w:szCs w:val="22"/>
        </w:rPr>
        <w:t>。</w:t>
      </w:r>
    </w:p>
    <w:p w:rsidR="00BB68E1" w:rsidRDefault="00BB68E1" w:rsidP="00BB68E1">
      <w:pPr>
        <w:ind w:firstLineChars="400" w:firstLine="1202"/>
        <w:rPr>
          <w:rFonts w:ascii="Times New Roman"/>
          <w:b/>
          <w:sz w:val="28"/>
          <w:szCs w:val="28"/>
        </w:rPr>
      </w:pPr>
    </w:p>
    <w:p w:rsidR="00BB68E1" w:rsidRPr="00AF00E7" w:rsidRDefault="00BB68E1" w:rsidP="00BB68E1">
      <w:pPr>
        <w:snapToGrid w:val="0"/>
        <w:ind w:firstLineChars="189" w:firstLine="568"/>
        <w:rPr>
          <w:rFonts w:ascii="Times New Roman"/>
          <w:b/>
          <w:sz w:val="28"/>
          <w:szCs w:val="28"/>
        </w:rPr>
      </w:pPr>
      <w:r w:rsidRPr="00AF00E7">
        <w:rPr>
          <w:rFonts w:ascii="Times New Roman"/>
          <w:b/>
          <w:sz w:val="28"/>
          <w:szCs w:val="28"/>
        </w:rPr>
        <w:t>圖</w:t>
      </w:r>
      <w:r w:rsidRPr="00AF00E7">
        <w:rPr>
          <w:rFonts w:ascii="Times New Roman"/>
          <w:b/>
          <w:sz w:val="28"/>
          <w:szCs w:val="28"/>
        </w:rPr>
        <w:t xml:space="preserve">1 </w:t>
      </w:r>
      <w:r w:rsidRPr="00AF00E7">
        <w:rPr>
          <w:rFonts w:ascii="Times New Roman" w:hint="eastAsia"/>
          <w:b/>
          <w:sz w:val="28"/>
          <w:szCs w:val="28"/>
        </w:rPr>
        <w:t>進口保健食品價格結構</w:t>
      </w:r>
    </w:p>
    <w:p w:rsidR="00BB68E1" w:rsidRPr="00AF00E7" w:rsidRDefault="00BB68E1" w:rsidP="00BB68E1">
      <w:pPr>
        <w:snapToGrid w:val="0"/>
        <w:ind w:rightChars="-400" w:right="-1361" w:firstLineChars="189" w:firstLine="492"/>
        <w:rPr>
          <w:sz w:val="24"/>
          <w:szCs w:val="24"/>
        </w:rPr>
      </w:pPr>
      <w:r w:rsidRPr="00AF00E7">
        <w:rPr>
          <w:rFonts w:hint="eastAsia"/>
          <w:sz w:val="24"/>
          <w:szCs w:val="24"/>
        </w:rPr>
        <w:t>資料來源：經濟部1</w:t>
      </w:r>
      <w:r w:rsidRPr="00AF00E7">
        <w:rPr>
          <w:sz w:val="24"/>
          <w:szCs w:val="24"/>
        </w:rPr>
        <w:t>12</w:t>
      </w:r>
      <w:r w:rsidRPr="00AF00E7">
        <w:rPr>
          <w:rFonts w:hint="eastAsia"/>
          <w:sz w:val="24"/>
          <w:szCs w:val="24"/>
        </w:rPr>
        <w:t>年8月「我國保健食品調降關稅之效益評估」報告</w:t>
      </w:r>
    </w:p>
    <w:p w:rsidR="00BB68E1" w:rsidRDefault="00BB68E1" w:rsidP="00BB68E1">
      <w:pPr>
        <w:ind w:rightChars="-400" w:right="-1361" w:firstLineChars="189" w:firstLine="568"/>
        <w:rPr>
          <w:b/>
          <w:sz w:val="28"/>
          <w:szCs w:val="28"/>
        </w:rPr>
      </w:pPr>
    </w:p>
    <w:p w:rsidR="00BB68E1" w:rsidRDefault="00BB68E1" w:rsidP="00C6329C">
      <w:pPr>
        <w:pStyle w:val="4"/>
      </w:pPr>
      <w:r w:rsidRPr="00822C04">
        <w:rPr>
          <w:rFonts w:hint="eastAsia"/>
        </w:rPr>
        <w:t>由上圖可知，</w:t>
      </w:r>
      <w:r w:rsidRPr="000821FF">
        <w:t>通路端影</w:t>
      </w:r>
      <w:r w:rsidRPr="00822C04">
        <w:t>響保健食品售價的占比最大，平均可達55</w:t>
      </w:r>
      <w:proofErr w:type="gramStart"/>
      <w:r w:rsidR="00533AD9">
        <w:t>﹪</w:t>
      </w:r>
      <w:proofErr w:type="gramEnd"/>
      <w:r w:rsidRPr="00822C04">
        <w:t>，該區間為通路商投入的營運成本、行銷廣告費用、活動折扣及利潤等</w:t>
      </w:r>
      <w:r w:rsidR="00E12F6D">
        <w:rPr>
          <w:rFonts w:hint="eastAsia"/>
        </w:rPr>
        <w:t>項目</w:t>
      </w:r>
      <w:r w:rsidRPr="00822C04">
        <w:t>。</w:t>
      </w:r>
    </w:p>
    <w:p w:rsidR="00F36393" w:rsidRPr="00C6329C" w:rsidRDefault="00C6329C" w:rsidP="00BB68E1">
      <w:pPr>
        <w:pStyle w:val="4"/>
      </w:pPr>
      <w:r>
        <w:rPr>
          <w:rFonts w:hint="eastAsia"/>
          <w:szCs w:val="32"/>
        </w:rPr>
        <w:t>因此，</w:t>
      </w:r>
      <w:r w:rsidR="00BB68E1" w:rsidRPr="00BA3372">
        <w:rPr>
          <w:b/>
          <w:szCs w:val="32"/>
        </w:rPr>
        <w:t>關稅30</w:t>
      </w:r>
      <w:proofErr w:type="gramStart"/>
      <w:r w:rsidR="00533AD9">
        <w:rPr>
          <w:b/>
          <w:szCs w:val="32"/>
        </w:rPr>
        <w:t>﹪</w:t>
      </w:r>
      <w:proofErr w:type="gramEnd"/>
      <w:r w:rsidR="00BB68E1" w:rsidRPr="00822C04">
        <w:rPr>
          <w:szCs w:val="32"/>
        </w:rPr>
        <w:t>反應至價格結構，</w:t>
      </w:r>
      <w:r w:rsidR="00BB68E1" w:rsidRPr="00BA3372">
        <w:rPr>
          <w:b/>
          <w:szCs w:val="32"/>
        </w:rPr>
        <w:t>平均為8.4</w:t>
      </w:r>
      <w:r w:rsidR="00533AD9">
        <w:rPr>
          <w:b/>
          <w:szCs w:val="32"/>
        </w:rPr>
        <w:t>﹪</w:t>
      </w:r>
      <w:r w:rsidR="00BB68E1" w:rsidRPr="00822C04">
        <w:rPr>
          <w:szCs w:val="32"/>
        </w:rPr>
        <w:t>。</w:t>
      </w:r>
      <w:r w:rsidR="004853C8">
        <w:rPr>
          <w:rFonts w:hint="eastAsia"/>
          <w:szCs w:val="32"/>
        </w:rPr>
        <w:t>經</w:t>
      </w:r>
      <w:r w:rsidR="00BB68E1" w:rsidRPr="00822C04">
        <w:rPr>
          <w:szCs w:val="32"/>
        </w:rPr>
        <w:t>分析不同販售類型的</w:t>
      </w:r>
      <w:proofErr w:type="gramStart"/>
      <w:r w:rsidR="00BB68E1" w:rsidRPr="00822C04">
        <w:rPr>
          <w:szCs w:val="32"/>
        </w:rPr>
        <w:t>進口錠劑</w:t>
      </w:r>
      <w:proofErr w:type="gramEnd"/>
      <w:r w:rsidR="00BB68E1" w:rsidRPr="00822C04">
        <w:rPr>
          <w:szCs w:val="32"/>
        </w:rPr>
        <w:t>、膠囊狀食品製品其關稅成本(關稅</w:t>
      </w:r>
      <w:r w:rsidR="00BB68E1">
        <w:rPr>
          <w:rFonts w:hint="eastAsia"/>
          <w:szCs w:val="32"/>
        </w:rPr>
        <w:t xml:space="preserve"> </w:t>
      </w:r>
      <w:r w:rsidR="00BB68E1" w:rsidRPr="00822C04">
        <w:rPr>
          <w:szCs w:val="32"/>
        </w:rPr>
        <w:t>=</w:t>
      </w:r>
      <w:r w:rsidR="00BB68E1">
        <w:rPr>
          <w:szCs w:val="32"/>
        </w:rPr>
        <w:t xml:space="preserve"> </w:t>
      </w:r>
      <w:r w:rsidR="00BB68E1" w:rsidRPr="00822C04">
        <w:rPr>
          <w:szCs w:val="32"/>
        </w:rPr>
        <w:t>產品進口完稅價格*30</w:t>
      </w:r>
      <w:r w:rsidR="00533AD9">
        <w:rPr>
          <w:szCs w:val="32"/>
        </w:rPr>
        <w:t>﹪</w:t>
      </w:r>
      <w:r w:rsidR="00BB68E1" w:rsidRPr="00822C04">
        <w:rPr>
          <w:szCs w:val="32"/>
        </w:rPr>
        <w:t>)，對應各產品在國內通路平台的售價比重，進口關稅占售價的占比約在3-18</w:t>
      </w:r>
      <w:r w:rsidR="00533AD9">
        <w:rPr>
          <w:szCs w:val="32"/>
        </w:rPr>
        <w:t>﹪</w:t>
      </w:r>
      <w:r w:rsidR="00BB68E1" w:rsidRPr="00822C04">
        <w:rPr>
          <w:szCs w:val="32"/>
        </w:rPr>
        <w:t>間。</w:t>
      </w:r>
    </w:p>
    <w:p w:rsidR="00C6329C" w:rsidRDefault="00C6329C" w:rsidP="00C6329C">
      <w:pPr>
        <w:pStyle w:val="3"/>
      </w:pPr>
      <w:r>
        <w:rPr>
          <w:rFonts w:hint="eastAsia"/>
        </w:rPr>
        <w:t>本院為瞭解經濟部前揭結論</w:t>
      </w:r>
      <w:proofErr w:type="gramStart"/>
      <w:r w:rsidR="00E12F6D">
        <w:rPr>
          <w:rFonts w:hint="eastAsia"/>
        </w:rPr>
        <w:t>是否</w:t>
      </w:r>
      <w:r w:rsidR="00462B0B">
        <w:rPr>
          <w:rFonts w:hint="eastAsia"/>
        </w:rPr>
        <w:t>符</w:t>
      </w:r>
      <w:r w:rsidR="00E12F6D">
        <w:rPr>
          <w:rFonts w:hint="eastAsia"/>
        </w:rPr>
        <w:t>實</w:t>
      </w:r>
      <w:proofErr w:type="gramEnd"/>
      <w:r>
        <w:rPr>
          <w:rFonts w:hint="eastAsia"/>
        </w:rPr>
        <w:t>，經調取</w:t>
      </w:r>
      <w:r w:rsidR="00A97AFF">
        <w:rPr>
          <w:rFonts w:hint="eastAsia"/>
        </w:rPr>
        <w:t>部分知名品牌</w:t>
      </w:r>
      <w:r w:rsidR="00462B0B">
        <w:rPr>
          <w:rFonts w:hint="eastAsia"/>
        </w:rPr>
        <w:t>保</w:t>
      </w:r>
      <w:r>
        <w:rPr>
          <w:rFonts w:hint="eastAsia"/>
        </w:rPr>
        <w:t>健食品進口稅賦</w:t>
      </w:r>
      <w:r w:rsidR="005C6E9B">
        <w:rPr>
          <w:rFonts w:hint="eastAsia"/>
        </w:rPr>
        <w:t>金額</w:t>
      </w:r>
      <w:r w:rsidR="00A97AFF">
        <w:rPr>
          <w:rFonts w:hint="eastAsia"/>
        </w:rPr>
        <w:t>資料</w:t>
      </w:r>
      <w:r w:rsidR="003F5A28">
        <w:rPr>
          <w:rFonts w:hint="eastAsia"/>
        </w:rPr>
        <w:t>，並蒐集網路電商資料</w:t>
      </w:r>
      <w:r>
        <w:rPr>
          <w:rFonts w:hint="eastAsia"/>
        </w:rPr>
        <w:t>，再比較媒體</w:t>
      </w:r>
      <w:r w:rsidR="00BA3372">
        <w:rPr>
          <w:rFonts w:hint="eastAsia"/>
        </w:rPr>
        <w:t>所</w:t>
      </w:r>
      <w:r>
        <w:rPr>
          <w:rFonts w:hint="eastAsia"/>
        </w:rPr>
        <w:t>揭露</w:t>
      </w:r>
      <w:r w:rsidR="00BA3372">
        <w:rPr>
          <w:rFonts w:hint="eastAsia"/>
        </w:rPr>
        <w:t>之</w:t>
      </w:r>
      <w:r>
        <w:rPr>
          <w:rFonts w:hint="eastAsia"/>
        </w:rPr>
        <w:t>零售</w:t>
      </w:r>
      <w:proofErr w:type="gramStart"/>
      <w:r>
        <w:rPr>
          <w:rFonts w:hint="eastAsia"/>
        </w:rPr>
        <w:t>端</w:t>
      </w:r>
      <w:proofErr w:type="gramEnd"/>
      <w:r w:rsidR="005C6E9B">
        <w:rPr>
          <w:rFonts w:hint="eastAsia"/>
        </w:rPr>
        <w:t>金額</w:t>
      </w:r>
      <w:r>
        <w:rPr>
          <w:rFonts w:hint="eastAsia"/>
        </w:rPr>
        <w:t>數據</w:t>
      </w:r>
      <w:r w:rsidR="000D5B9A">
        <w:rPr>
          <w:rFonts w:hint="eastAsia"/>
        </w:rPr>
        <w:t>，</w:t>
      </w:r>
      <w:proofErr w:type="gramStart"/>
      <w:r w:rsidR="00BA3372">
        <w:rPr>
          <w:rFonts w:hint="eastAsia"/>
        </w:rPr>
        <w:t>經</w:t>
      </w:r>
      <w:r w:rsidR="003F5A28">
        <w:rPr>
          <w:rFonts w:hint="eastAsia"/>
        </w:rPr>
        <w:t>推估</w:t>
      </w:r>
      <w:proofErr w:type="gramEnd"/>
      <w:r w:rsidR="00462B0B">
        <w:rPr>
          <w:rFonts w:hint="eastAsia"/>
        </w:rPr>
        <w:t>計算</w:t>
      </w:r>
      <w:r w:rsidR="005C6E9B">
        <w:rPr>
          <w:rFonts w:hint="eastAsia"/>
        </w:rPr>
        <w:t>結果</w:t>
      </w:r>
      <w:r w:rsidR="000D5B9A">
        <w:rPr>
          <w:rFonts w:hint="eastAsia"/>
        </w:rPr>
        <w:t>略述</w:t>
      </w:r>
      <w:r>
        <w:rPr>
          <w:rFonts w:hint="eastAsia"/>
        </w:rPr>
        <w:t>如下：</w:t>
      </w:r>
    </w:p>
    <w:p w:rsidR="00BA2B4A" w:rsidRDefault="00BA2B4A" w:rsidP="005C6E9B">
      <w:pPr>
        <w:pStyle w:val="4"/>
      </w:pPr>
      <w:r>
        <w:rPr>
          <w:rFonts w:hint="eastAsia"/>
        </w:rPr>
        <w:t>據媒體1</w:t>
      </w:r>
      <w:r>
        <w:t>11</w:t>
      </w:r>
      <w:r>
        <w:rPr>
          <w:rFonts w:hint="eastAsia"/>
        </w:rPr>
        <w:t>年披露稱，某品牌</w:t>
      </w:r>
      <w:r w:rsidR="008A7F21">
        <w:rPr>
          <w:rFonts w:hint="eastAsia"/>
        </w:rPr>
        <w:t>女性綜合</w:t>
      </w:r>
      <w:r>
        <w:rPr>
          <w:rFonts w:hint="eastAsia"/>
        </w:rPr>
        <w:t>維他命</w:t>
      </w:r>
      <w:r w:rsidRPr="003F5A28">
        <w:rPr>
          <w:rFonts w:hint="eastAsia"/>
        </w:rPr>
        <w:t>美國售價每</w:t>
      </w:r>
      <w:proofErr w:type="gramStart"/>
      <w:r w:rsidRPr="003F5A28">
        <w:rPr>
          <w:rFonts w:hint="eastAsia"/>
        </w:rPr>
        <w:t>顆約</w:t>
      </w:r>
      <w:r w:rsidR="00947D3D" w:rsidRPr="003F5A28">
        <w:rPr>
          <w:rFonts w:hint="eastAsia"/>
        </w:rPr>
        <w:t>新臺幣</w:t>
      </w:r>
      <w:proofErr w:type="gramEnd"/>
      <w:r w:rsidR="00947D3D" w:rsidRPr="003F5A28">
        <w:rPr>
          <w:rFonts w:hint="eastAsia"/>
        </w:rPr>
        <w:t>（下同）</w:t>
      </w:r>
      <w:r w:rsidRPr="003F5A28">
        <w:rPr>
          <w:rFonts w:hint="eastAsia"/>
        </w:rPr>
        <w:t>2</w:t>
      </w:r>
      <w:r w:rsidRPr="003F5A28">
        <w:t>.8</w:t>
      </w:r>
      <w:r w:rsidRPr="003F5A28">
        <w:rPr>
          <w:rFonts w:hint="eastAsia"/>
        </w:rPr>
        <w:t>元，國內</w:t>
      </w:r>
      <w:r w:rsidR="00E73FD5" w:rsidRPr="003F5A28">
        <w:rPr>
          <w:rFonts w:hint="eastAsia"/>
        </w:rPr>
        <w:t>藥</w:t>
      </w:r>
      <w:r w:rsidR="00947D3D" w:rsidRPr="003F5A28">
        <w:rPr>
          <w:rFonts w:hint="eastAsia"/>
        </w:rPr>
        <w:t>妝店</w:t>
      </w:r>
      <w:r w:rsidRPr="003F5A28">
        <w:rPr>
          <w:rFonts w:hint="eastAsia"/>
        </w:rPr>
        <w:t>售價每顆約6</w:t>
      </w:r>
      <w:r w:rsidRPr="003F5A28">
        <w:t>.9</w:t>
      </w:r>
      <w:r w:rsidRPr="003F5A28">
        <w:rPr>
          <w:rFonts w:hint="eastAsia"/>
        </w:rPr>
        <w:t>元</w:t>
      </w:r>
      <w:r w:rsidR="008A7F21" w:rsidRPr="003F5A28">
        <w:rPr>
          <w:rStyle w:val="afe"/>
        </w:rPr>
        <w:footnoteReference w:id="3"/>
      </w:r>
      <w:r w:rsidRPr="003F5A28">
        <w:rPr>
          <w:rFonts w:hint="eastAsia"/>
        </w:rPr>
        <w:t>，</w:t>
      </w:r>
      <w:r w:rsidR="004853C8">
        <w:rPr>
          <w:rFonts w:hint="eastAsia"/>
        </w:rPr>
        <w:t>約</w:t>
      </w:r>
      <w:r w:rsidRPr="003F5A28">
        <w:rPr>
          <w:rFonts w:hint="eastAsia"/>
        </w:rPr>
        <w:t>為美國大賣場的2</w:t>
      </w:r>
      <w:r w:rsidRPr="003F5A28">
        <w:t>.5</w:t>
      </w:r>
      <w:r w:rsidRPr="003F5A28">
        <w:rPr>
          <w:rFonts w:hint="eastAsia"/>
        </w:rPr>
        <w:t>倍，以每罐2</w:t>
      </w:r>
      <w:r w:rsidRPr="003F5A28">
        <w:t>00</w:t>
      </w:r>
      <w:r w:rsidRPr="003F5A28">
        <w:rPr>
          <w:rFonts w:hint="eastAsia"/>
        </w:rPr>
        <w:t>顆計算價差約8</w:t>
      </w:r>
      <w:r w:rsidRPr="003F5A28">
        <w:t>20</w:t>
      </w:r>
      <w:r w:rsidRPr="003F5A28">
        <w:rPr>
          <w:rFonts w:hint="eastAsia"/>
        </w:rPr>
        <w:t>元</w:t>
      </w:r>
      <w:r w:rsidR="003F5A28" w:rsidRPr="003F5A28">
        <w:rPr>
          <w:rFonts w:hint="eastAsia"/>
        </w:rPr>
        <w:t>等情</w:t>
      </w:r>
      <w:r w:rsidRPr="003F5A28">
        <w:rPr>
          <w:rFonts w:hint="eastAsia"/>
        </w:rPr>
        <w:t>。經調取海關資料顯示，因</w:t>
      </w:r>
      <w:r w:rsidR="003F5A28">
        <w:rPr>
          <w:rFonts w:hint="eastAsia"/>
        </w:rPr>
        <w:t>前揭</w:t>
      </w:r>
      <w:r w:rsidR="00BA3372" w:rsidRPr="003F5A28">
        <w:rPr>
          <w:rFonts w:hint="eastAsia"/>
        </w:rPr>
        <w:t>品牌</w:t>
      </w:r>
      <w:r w:rsidRPr="003F5A28">
        <w:rPr>
          <w:rFonts w:hint="eastAsia"/>
        </w:rPr>
        <w:t>產品進口，多係為個人</w:t>
      </w:r>
      <w:r w:rsidRPr="003F5A28">
        <w:rPr>
          <w:rFonts w:hint="eastAsia"/>
          <w:bCs/>
        </w:rPr>
        <w:t>透過</w:t>
      </w:r>
      <w:r w:rsidRPr="00CB2C7D">
        <w:rPr>
          <w:rFonts w:hint="eastAsia"/>
          <w:bCs/>
        </w:rPr>
        <w:t>電商</w:t>
      </w:r>
      <w:r w:rsidRPr="00CB2C7D">
        <w:rPr>
          <w:rFonts w:hint="eastAsia"/>
        </w:rPr>
        <w:t>網購以快遞方式進口，單筆進口金額大多為1萬元以下，且申報資料不完整，並</w:t>
      </w:r>
      <w:proofErr w:type="gramStart"/>
      <w:r w:rsidRPr="00CB2C7D">
        <w:rPr>
          <w:rFonts w:hint="eastAsia"/>
        </w:rPr>
        <w:t>未詳列貨名</w:t>
      </w:r>
      <w:proofErr w:type="gramEnd"/>
      <w:r w:rsidRPr="00CB2C7D">
        <w:rPr>
          <w:rFonts w:hint="eastAsia"/>
        </w:rPr>
        <w:t>及</w:t>
      </w:r>
      <w:r w:rsidRPr="00CB2C7D">
        <w:rPr>
          <w:rFonts w:hint="eastAsia"/>
        </w:rPr>
        <w:lastRenderedPageBreak/>
        <w:t>每罐包裝顆數等規格資訊</w:t>
      </w:r>
      <w:r w:rsidR="0077146F">
        <w:rPr>
          <w:rFonts w:hint="eastAsia"/>
        </w:rPr>
        <w:t>，僅能推估</w:t>
      </w:r>
      <w:r w:rsidR="009021AE" w:rsidRPr="00CB2C7D">
        <w:rPr>
          <w:rFonts w:hint="eastAsia"/>
        </w:rPr>
        <w:t>每罐</w:t>
      </w:r>
      <w:proofErr w:type="gramStart"/>
      <w:r w:rsidR="0077146F">
        <w:rPr>
          <w:rFonts w:hint="eastAsia"/>
        </w:rPr>
        <w:t>進口稅賦</w:t>
      </w:r>
      <w:proofErr w:type="gramEnd"/>
      <w:r w:rsidR="0077146F">
        <w:rPr>
          <w:rFonts w:hint="eastAsia"/>
        </w:rPr>
        <w:t>約</w:t>
      </w:r>
      <w:r w:rsidR="009021AE">
        <w:rPr>
          <w:rFonts w:hint="eastAsia"/>
        </w:rPr>
        <w:t>8</w:t>
      </w:r>
      <w:r w:rsidR="009021AE">
        <w:t>9</w:t>
      </w:r>
      <w:r w:rsidR="008A7F21">
        <w:rPr>
          <w:rFonts w:hint="eastAsia"/>
        </w:rPr>
        <w:t>（3</w:t>
      </w:r>
      <w:r w:rsidR="008A7F21">
        <w:t>92-303</w:t>
      </w:r>
      <w:r w:rsidR="008A7F21">
        <w:rPr>
          <w:rFonts w:hint="eastAsia"/>
        </w:rPr>
        <w:t>）</w:t>
      </w:r>
      <w:r w:rsidR="009021AE">
        <w:rPr>
          <w:rFonts w:hint="eastAsia"/>
        </w:rPr>
        <w:t>元</w:t>
      </w:r>
      <w:r w:rsidR="00BA3372">
        <w:rPr>
          <w:rFonts w:hint="eastAsia"/>
        </w:rPr>
        <w:t>。</w:t>
      </w:r>
      <w:r w:rsidR="009021AE">
        <w:rPr>
          <w:rFonts w:hint="eastAsia"/>
        </w:rPr>
        <w:t>雖尚</w:t>
      </w:r>
      <w:r w:rsidR="0077146F">
        <w:rPr>
          <w:rFonts w:hint="eastAsia"/>
        </w:rPr>
        <w:t>難依</w:t>
      </w:r>
      <w:r>
        <w:rPr>
          <w:rFonts w:hint="eastAsia"/>
        </w:rPr>
        <w:t>1</w:t>
      </w:r>
      <w:r>
        <w:t>11</w:t>
      </w:r>
      <w:r>
        <w:rPr>
          <w:rFonts w:hint="eastAsia"/>
        </w:rPr>
        <w:t>年海關進口資料</w:t>
      </w:r>
      <w:r w:rsidR="0077146F">
        <w:rPr>
          <w:rFonts w:hint="eastAsia"/>
        </w:rPr>
        <w:t>，</w:t>
      </w:r>
      <w:r w:rsidR="003F5A28">
        <w:rPr>
          <w:rFonts w:hint="eastAsia"/>
        </w:rPr>
        <w:t>計算</w:t>
      </w:r>
      <w:r>
        <w:rPr>
          <w:rFonts w:hint="eastAsia"/>
        </w:rPr>
        <w:t>每顆關稅</w:t>
      </w:r>
      <w:r w:rsidRPr="009C56A3">
        <w:rPr>
          <w:rFonts w:hint="eastAsia"/>
        </w:rPr>
        <w:t>及營業稅金額占前揭國內售價</w:t>
      </w:r>
      <w:r w:rsidR="0077146F" w:rsidRPr="009C56A3">
        <w:rPr>
          <w:rFonts w:hint="eastAsia"/>
        </w:rPr>
        <w:t>比率</w:t>
      </w:r>
      <w:r w:rsidR="009021AE" w:rsidRPr="009C56A3">
        <w:rPr>
          <w:rFonts w:hint="eastAsia"/>
        </w:rPr>
        <w:t>，</w:t>
      </w:r>
      <w:proofErr w:type="gramStart"/>
      <w:r w:rsidR="009021AE" w:rsidRPr="009C56A3">
        <w:rPr>
          <w:rFonts w:hint="eastAsia"/>
        </w:rPr>
        <w:t>惟</w:t>
      </w:r>
      <w:r w:rsidR="00735967" w:rsidRPr="009C56A3">
        <w:rPr>
          <w:rFonts w:hint="eastAsia"/>
        </w:rPr>
        <w:t>倘以</w:t>
      </w:r>
      <w:proofErr w:type="gramEnd"/>
      <w:r w:rsidR="00735967" w:rsidRPr="009C56A3">
        <w:rPr>
          <w:rFonts w:hint="eastAsia"/>
        </w:rPr>
        <w:t>2</w:t>
      </w:r>
      <w:r w:rsidR="00735967" w:rsidRPr="009C56A3">
        <w:t>00</w:t>
      </w:r>
      <w:r w:rsidR="00735967" w:rsidRPr="009C56A3">
        <w:rPr>
          <w:rFonts w:hint="eastAsia"/>
        </w:rPr>
        <w:t>顆罐裝推估，每顆</w:t>
      </w:r>
      <w:r w:rsidR="003F5A28" w:rsidRPr="009C56A3">
        <w:rPr>
          <w:rFonts w:hint="eastAsia"/>
        </w:rPr>
        <w:t>維他命</w:t>
      </w:r>
      <w:r w:rsidR="00735967" w:rsidRPr="009C56A3">
        <w:rPr>
          <w:rFonts w:hint="eastAsia"/>
        </w:rPr>
        <w:t>關稅及營業稅約為0</w:t>
      </w:r>
      <w:r w:rsidR="00735967" w:rsidRPr="009C56A3">
        <w:t>.445</w:t>
      </w:r>
      <w:r w:rsidR="00735967" w:rsidRPr="009C56A3">
        <w:rPr>
          <w:rFonts w:hint="eastAsia"/>
        </w:rPr>
        <w:t>元（8</w:t>
      </w:r>
      <w:r w:rsidR="00735967" w:rsidRPr="009C56A3">
        <w:t>9</w:t>
      </w:r>
      <w:r w:rsidR="00735967" w:rsidRPr="009C56A3">
        <w:rPr>
          <w:rFonts w:hint="eastAsia"/>
        </w:rPr>
        <w:t>/</w:t>
      </w:r>
      <w:r w:rsidR="00735967" w:rsidRPr="009C56A3">
        <w:t>200</w:t>
      </w:r>
      <w:r w:rsidR="00735967" w:rsidRPr="009C56A3">
        <w:rPr>
          <w:rFonts w:hint="eastAsia"/>
        </w:rPr>
        <w:t>），</w:t>
      </w:r>
      <w:r w:rsidR="005C403C" w:rsidRPr="009C56A3">
        <w:rPr>
          <w:rFonts w:hint="eastAsia"/>
        </w:rPr>
        <w:t>約</w:t>
      </w:r>
      <w:r w:rsidR="00735967" w:rsidRPr="009C56A3">
        <w:rPr>
          <w:rFonts w:hint="eastAsia"/>
        </w:rPr>
        <w:t>占前揭國內售價每顆6</w:t>
      </w:r>
      <w:r w:rsidR="00735967" w:rsidRPr="009C56A3">
        <w:t>.9</w:t>
      </w:r>
      <w:r w:rsidR="00735967" w:rsidRPr="009C56A3">
        <w:rPr>
          <w:rFonts w:hint="eastAsia"/>
        </w:rPr>
        <w:t>元之6</w:t>
      </w:r>
      <w:r w:rsidR="00735967" w:rsidRPr="009C56A3">
        <w:t>.45</w:t>
      </w:r>
      <w:r w:rsidR="00735967" w:rsidRPr="009C56A3">
        <w:rPr>
          <w:rFonts w:hint="eastAsia"/>
        </w:rPr>
        <w:t>﹪（0</w:t>
      </w:r>
      <w:r w:rsidR="00735967" w:rsidRPr="009C56A3">
        <w:t>.445/6.9</w:t>
      </w:r>
      <w:r w:rsidR="00735967" w:rsidRPr="009C56A3">
        <w:rPr>
          <w:rFonts w:hint="eastAsia"/>
        </w:rPr>
        <w:t>），倘再扣除海關代徵的營業稅後，該比率</w:t>
      </w:r>
      <w:r w:rsidR="009867A5" w:rsidRPr="009C56A3">
        <w:rPr>
          <w:rFonts w:hint="eastAsia"/>
        </w:rPr>
        <w:t>將</w:t>
      </w:r>
      <w:r w:rsidR="00735967" w:rsidRPr="009C56A3">
        <w:rPr>
          <w:rFonts w:hint="eastAsia"/>
        </w:rPr>
        <w:t>更低。</w:t>
      </w:r>
    </w:p>
    <w:p w:rsidR="005C6E9B" w:rsidRPr="00516AB1" w:rsidRDefault="00FE48C9" w:rsidP="005C6E9B">
      <w:pPr>
        <w:pStyle w:val="4"/>
        <w:rPr>
          <w:color w:val="FF0000"/>
        </w:rPr>
      </w:pPr>
      <w:r>
        <w:rPr>
          <w:rFonts w:hint="eastAsia"/>
        </w:rPr>
        <w:t>另</w:t>
      </w:r>
      <w:r w:rsidR="00BA2B4A">
        <w:rPr>
          <w:rFonts w:hint="eastAsia"/>
        </w:rPr>
        <w:t>有關</w:t>
      </w:r>
      <w:r w:rsidR="004518EE">
        <w:rPr>
          <w:rFonts w:hint="eastAsia"/>
        </w:rPr>
        <w:t>1</w:t>
      </w:r>
      <w:r w:rsidR="004518EE">
        <w:t>11</w:t>
      </w:r>
      <w:r w:rsidR="004518EE">
        <w:rPr>
          <w:rFonts w:hint="eastAsia"/>
        </w:rPr>
        <w:t>年</w:t>
      </w:r>
      <w:r w:rsidR="005C6E9B">
        <w:rPr>
          <w:rFonts w:hint="eastAsia"/>
        </w:rPr>
        <w:t>某進口</w:t>
      </w:r>
      <w:r w:rsidR="00BA3372">
        <w:rPr>
          <w:rFonts w:hint="eastAsia"/>
        </w:rPr>
        <w:t>品牌</w:t>
      </w:r>
      <w:r w:rsidR="005C6E9B" w:rsidRPr="007E0C77">
        <w:rPr>
          <w:rFonts w:hint="eastAsia"/>
        </w:rPr>
        <w:t>500毫克鈣片</w:t>
      </w:r>
      <w:r w:rsidR="005C6E9B">
        <w:rPr>
          <w:rFonts w:hint="eastAsia"/>
        </w:rPr>
        <w:t>在美國零售價</w:t>
      </w:r>
      <w:proofErr w:type="gramStart"/>
      <w:r w:rsidR="005C6E9B">
        <w:rPr>
          <w:rFonts w:hint="eastAsia"/>
        </w:rPr>
        <w:t>每顆只賣</w:t>
      </w:r>
      <w:proofErr w:type="gramEnd"/>
      <w:r w:rsidR="005C6E9B">
        <w:rPr>
          <w:rFonts w:hint="eastAsia"/>
        </w:rPr>
        <w:t>3</w:t>
      </w:r>
      <w:r w:rsidR="005C6E9B">
        <w:t>.6</w:t>
      </w:r>
      <w:r w:rsidR="005C6E9B">
        <w:rPr>
          <w:rFonts w:hint="eastAsia"/>
        </w:rPr>
        <w:t>元，惟在臺灣</w:t>
      </w:r>
      <w:r w:rsidR="004518EE">
        <w:rPr>
          <w:rFonts w:hint="eastAsia"/>
        </w:rPr>
        <w:t>本土電商</w:t>
      </w:r>
      <w:r w:rsidR="005C6E9B">
        <w:rPr>
          <w:rFonts w:hint="eastAsia"/>
        </w:rPr>
        <w:t>賣每顆4</w:t>
      </w:r>
      <w:r w:rsidR="005C6E9B">
        <w:t>.6</w:t>
      </w:r>
      <w:r w:rsidR="005C6E9B">
        <w:rPr>
          <w:rFonts w:hint="eastAsia"/>
        </w:rPr>
        <w:t>元，國內售價較美國高1元，約為美國的1</w:t>
      </w:r>
      <w:r w:rsidR="005C6E9B">
        <w:t>.3</w:t>
      </w:r>
      <w:r w:rsidR="005C6E9B">
        <w:rPr>
          <w:rFonts w:hint="eastAsia"/>
        </w:rPr>
        <w:t>倍</w:t>
      </w:r>
      <w:r w:rsidR="00C35E8E">
        <w:rPr>
          <w:rFonts w:hint="eastAsia"/>
        </w:rPr>
        <w:t>等情</w:t>
      </w:r>
      <w:r w:rsidR="005C6E9B">
        <w:rPr>
          <w:rFonts w:hint="eastAsia"/>
        </w:rPr>
        <w:t>。經依</w:t>
      </w:r>
      <w:r w:rsidR="004518EE">
        <w:rPr>
          <w:rFonts w:hint="eastAsia"/>
        </w:rPr>
        <w:t>1</w:t>
      </w:r>
      <w:r w:rsidR="004518EE">
        <w:t>11</w:t>
      </w:r>
      <w:r w:rsidR="004518EE">
        <w:rPr>
          <w:rFonts w:hint="eastAsia"/>
        </w:rPr>
        <w:t>年</w:t>
      </w:r>
      <w:r w:rsidR="005C6E9B">
        <w:rPr>
          <w:rFonts w:hint="eastAsia"/>
        </w:rPr>
        <w:t>我國海關進口資料，該項產品</w:t>
      </w:r>
      <w:r w:rsidR="00B75119" w:rsidRPr="003F5A28">
        <w:rPr>
          <w:rFonts w:hint="eastAsia"/>
        </w:rPr>
        <w:t>完稅前每顆單價約為1</w:t>
      </w:r>
      <w:r w:rsidR="00B75119" w:rsidRPr="003F5A28">
        <w:t>.63</w:t>
      </w:r>
      <w:r w:rsidR="00B75119" w:rsidRPr="003F5A28">
        <w:rPr>
          <w:rFonts w:hint="eastAsia"/>
        </w:rPr>
        <w:t>元，完稅後每顆單價約為2</w:t>
      </w:r>
      <w:r w:rsidR="00B75119" w:rsidRPr="003F5A28">
        <w:t>.23</w:t>
      </w:r>
      <w:r w:rsidR="00B75119" w:rsidRPr="003F5A28">
        <w:rPr>
          <w:rFonts w:hint="eastAsia"/>
        </w:rPr>
        <w:t>元，其進口關稅及營業稅為每顆為0</w:t>
      </w:r>
      <w:r w:rsidR="00B75119" w:rsidRPr="003F5A28">
        <w:t>.6</w:t>
      </w:r>
      <w:r w:rsidR="00B75119" w:rsidRPr="003F5A28">
        <w:rPr>
          <w:rFonts w:hint="eastAsia"/>
        </w:rPr>
        <w:t>元，約占</w:t>
      </w:r>
      <w:r w:rsidR="00735967" w:rsidRPr="003F5A28">
        <w:rPr>
          <w:rFonts w:hint="eastAsia"/>
        </w:rPr>
        <w:t>媒體所稱</w:t>
      </w:r>
      <w:r w:rsidR="00B75119" w:rsidRPr="003F5A28">
        <w:rPr>
          <w:rFonts w:hint="eastAsia"/>
        </w:rPr>
        <w:t>電商每顆售價4</w:t>
      </w:r>
      <w:r w:rsidR="00B75119" w:rsidRPr="003F5A28">
        <w:t>.6</w:t>
      </w:r>
      <w:r w:rsidR="00B75119" w:rsidRPr="003F5A28">
        <w:rPr>
          <w:rFonts w:hint="eastAsia"/>
        </w:rPr>
        <w:t>元之1</w:t>
      </w:r>
      <w:r w:rsidR="00B75119" w:rsidRPr="003F5A28">
        <w:t>3.04</w:t>
      </w:r>
      <w:r w:rsidR="00B75119" w:rsidRPr="003F5A28">
        <w:rPr>
          <w:rFonts w:hint="eastAsia"/>
        </w:rPr>
        <w:t>﹪</w:t>
      </w:r>
      <w:r w:rsidR="009021AE" w:rsidRPr="003F5A28">
        <w:rPr>
          <w:rFonts w:hint="eastAsia"/>
        </w:rPr>
        <w:t>（0</w:t>
      </w:r>
      <w:r w:rsidR="009021AE" w:rsidRPr="003F5A28">
        <w:t>.6/4.6</w:t>
      </w:r>
      <w:r w:rsidR="009021AE" w:rsidRPr="003F5A28">
        <w:rPr>
          <w:rFonts w:hint="eastAsia"/>
        </w:rPr>
        <w:t>）</w:t>
      </w:r>
      <w:r w:rsidR="00441521">
        <w:rPr>
          <w:rFonts w:hint="eastAsia"/>
        </w:rPr>
        <w:t>，</w:t>
      </w:r>
      <w:r w:rsidR="002B738C">
        <w:rPr>
          <w:rFonts w:hint="eastAsia"/>
        </w:rPr>
        <w:t>核在</w:t>
      </w:r>
      <w:r w:rsidR="00441521" w:rsidRPr="007F6FD1">
        <w:rPr>
          <w:rFonts w:hint="eastAsia"/>
        </w:rPr>
        <w:t>經濟部調研報告中，有關進口稅賦</w:t>
      </w:r>
      <w:r w:rsidR="000168DB" w:rsidRPr="007F6FD1">
        <w:rPr>
          <w:rFonts w:hint="eastAsia"/>
        </w:rPr>
        <w:t>占</w:t>
      </w:r>
      <w:r w:rsidR="00441521" w:rsidRPr="007F6FD1">
        <w:rPr>
          <w:rFonts w:hint="eastAsia"/>
        </w:rPr>
        <w:t>市場售價比率（不含營業稅為3﹪至1</w:t>
      </w:r>
      <w:r w:rsidR="00441521" w:rsidRPr="007F6FD1">
        <w:t>8</w:t>
      </w:r>
      <w:r w:rsidR="00441521" w:rsidRPr="007F6FD1">
        <w:rPr>
          <w:rFonts w:hint="eastAsia"/>
        </w:rPr>
        <w:t>﹪，平均為8</w:t>
      </w:r>
      <w:r w:rsidR="00441521" w:rsidRPr="007F6FD1">
        <w:t>.4</w:t>
      </w:r>
      <w:r w:rsidR="00441521" w:rsidRPr="007F6FD1">
        <w:rPr>
          <w:rFonts w:hint="eastAsia"/>
        </w:rPr>
        <w:t>﹪）</w:t>
      </w:r>
      <w:r w:rsidR="002B738C" w:rsidRPr="007F6FD1">
        <w:rPr>
          <w:rFonts w:hint="eastAsia"/>
        </w:rPr>
        <w:t>區間</w:t>
      </w:r>
      <w:r w:rsidR="00B75119" w:rsidRPr="007F6FD1">
        <w:rPr>
          <w:rFonts w:hint="eastAsia"/>
        </w:rPr>
        <w:t>；再以</w:t>
      </w:r>
      <w:r w:rsidR="00735967" w:rsidRPr="007F6FD1">
        <w:rPr>
          <w:rFonts w:hint="eastAsia"/>
        </w:rPr>
        <w:t>前開</w:t>
      </w:r>
      <w:r w:rsidR="00B75119" w:rsidRPr="007F6FD1">
        <w:rPr>
          <w:rFonts w:hint="eastAsia"/>
        </w:rPr>
        <w:t>終端售價</w:t>
      </w:r>
      <w:r w:rsidR="00735967" w:rsidRPr="007F6FD1">
        <w:rPr>
          <w:rFonts w:hint="eastAsia"/>
        </w:rPr>
        <w:t>為基礎，</w:t>
      </w:r>
      <w:r w:rsidR="00B75119" w:rsidRPr="007F6FD1">
        <w:rPr>
          <w:rFonts w:hint="eastAsia"/>
        </w:rPr>
        <w:t>推估計算</w:t>
      </w:r>
      <w:r w:rsidR="000168DB" w:rsidRPr="007F6FD1">
        <w:rPr>
          <w:rFonts w:hint="eastAsia"/>
        </w:rPr>
        <w:t>每顆</w:t>
      </w:r>
      <w:r w:rsidR="00516AB1" w:rsidRPr="007F6FD1">
        <w:rPr>
          <w:rFonts w:hint="eastAsia"/>
        </w:rPr>
        <w:t>物流</w:t>
      </w:r>
      <w:r w:rsidR="00386406">
        <w:rPr>
          <w:rFonts w:hint="eastAsia"/>
        </w:rPr>
        <w:t>與</w:t>
      </w:r>
      <w:r w:rsidR="00B75119" w:rsidRPr="007F6FD1">
        <w:rPr>
          <w:rFonts w:hint="eastAsia"/>
        </w:rPr>
        <w:t>通路項目</w:t>
      </w:r>
      <w:r w:rsidR="000168DB" w:rsidRPr="007F6FD1">
        <w:rPr>
          <w:rStyle w:val="afe"/>
        </w:rPr>
        <w:footnoteReference w:id="4"/>
      </w:r>
      <w:r w:rsidR="00B75119" w:rsidRPr="007F6FD1">
        <w:rPr>
          <w:rFonts w:hint="eastAsia"/>
        </w:rPr>
        <w:t>之金額合計約2</w:t>
      </w:r>
      <w:r w:rsidR="00B75119" w:rsidRPr="007F6FD1">
        <w:t>.37</w:t>
      </w:r>
      <w:r w:rsidR="00B75119" w:rsidRPr="007F6FD1">
        <w:rPr>
          <w:rFonts w:hint="eastAsia"/>
        </w:rPr>
        <w:t>元（4</w:t>
      </w:r>
      <w:r w:rsidR="00B75119" w:rsidRPr="007F6FD1">
        <w:t>.6-2.23</w:t>
      </w:r>
      <w:r w:rsidR="00B75119" w:rsidRPr="007F6FD1">
        <w:rPr>
          <w:rFonts w:hint="eastAsia"/>
        </w:rPr>
        <w:t>），約占售價5</w:t>
      </w:r>
      <w:r w:rsidR="00B75119" w:rsidRPr="007F6FD1">
        <w:t>1.52</w:t>
      </w:r>
      <w:r w:rsidR="00B75119" w:rsidRPr="007F6FD1">
        <w:rPr>
          <w:rFonts w:hint="eastAsia"/>
        </w:rPr>
        <w:t>﹪</w:t>
      </w:r>
      <w:r w:rsidR="004518EE" w:rsidRPr="007F6FD1">
        <w:rPr>
          <w:rFonts w:hint="eastAsia"/>
        </w:rPr>
        <w:t>（2</w:t>
      </w:r>
      <w:r w:rsidR="004518EE" w:rsidRPr="007F6FD1">
        <w:t>.37/4.6</w:t>
      </w:r>
      <w:r w:rsidR="004518EE" w:rsidRPr="007F6FD1">
        <w:rPr>
          <w:rFonts w:hint="eastAsia"/>
        </w:rPr>
        <w:t>）</w:t>
      </w:r>
      <w:r w:rsidR="002B738C" w:rsidRPr="007F6FD1">
        <w:rPr>
          <w:rFonts w:hint="eastAsia"/>
        </w:rPr>
        <w:t>，亦</w:t>
      </w:r>
      <w:r w:rsidR="009021AE" w:rsidRPr="007F6FD1">
        <w:rPr>
          <w:rFonts w:hint="eastAsia"/>
        </w:rPr>
        <w:t>在</w:t>
      </w:r>
      <w:r w:rsidR="000168DB" w:rsidRPr="007F6FD1">
        <w:rPr>
          <w:rFonts w:hint="eastAsia"/>
        </w:rPr>
        <w:t>前揭報告</w:t>
      </w:r>
      <w:r w:rsidR="009867A5" w:rsidRPr="007F6FD1">
        <w:rPr>
          <w:rFonts w:hint="eastAsia"/>
        </w:rPr>
        <w:t>有關</w:t>
      </w:r>
      <w:r w:rsidR="00516AB1" w:rsidRPr="007F6FD1">
        <w:rPr>
          <w:rFonts w:hint="eastAsia"/>
        </w:rPr>
        <w:t>物流</w:t>
      </w:r>
      <w:r w:rsidR="00386406">
        <w:rPr>
          <w:rFonts w:hint="eastAsia"/>
        </w:rPr>
        <w:t>與</w:t>
      </w:r>
      <w:r w:rsidR="004518EE" w:rsidRPr="007F6FD1">
        <w:rPr>
          <w:rFonts w:hint="eastAsia"/>
        </w:rPr>
        <w:t>通路</w:t>
      </w:r>
      <w:r w:rsidR="002B738C" w:rsidRPr="007F6FD1">
        <w:rPr>
          <w:rFonts w:hint="eastAsia"/>
        </w:rPr>
        <w:t>項目</w:t>
      </w:r>
      <w:r w:rsidR="004518EE" w:rsidRPr="007F6FD1">
        <w:rPr>
          <w:rFonts w:hint="eastAsia"/>
        </w:rPr>
        <w:t>占市場售價之</w:t>
      </w:r>
      <w:r w:rsidR="005C403C" w:rsidRPr="007F6FD1">
        <w:rPr>
          <w:rFonts w:hint="eastAsia"/>
        </w:rPr>
        <w:t>合計</w:t>
      </w:r>
      <w:r w:rsidR="004518EE" w:rsidRPr="007F6FD1">
        <w:rPr>
          <w:rFonts w:hint="eastAsia"/>
        </w:rPr>
        <w:t>比率（2</w:t>
      </w:r>
      <w:r w:rsidR="00516AB1" w:rsidRPr="007F6FD1">
        <w:t>6</w:t>
      </w:r>
      <w:r w:rsidR="004518EE" w:rsidRPr="007F6FD1">
        <w:rPr>
          <w:rFonts w:hint="eastAsia"/>
        </w:rPr>
        <w:t>﹪</w:t>
      </w:r>
      <w:r w:rsidR="002300BF">
        <w:rPr>
          <w:rFonts w:hAnsi="標楷體" w:hint="eastAsia"/>
        </w:rPr>
        <w:t>【6</w:t>
      </w:r>
      <w:r w:rsidR="002300BF" w:rsidRPr="007F6FD1">
        <w:rPr>
          <w:rFonts w:hint="eastAsia"/>
        </w:rPr>
        <w:t>﹪</w:t>
      </w:r>
      <w:r w:rsidR="002300BF">
        <w:rPr>
          <w:rFonts w:hAnsi="標楷體"/>
        </w:rPr>
        <w:t>+20</w:t>
      </w:r>
      <w:r w:rsidR="002300BF" w:rsidRPr="007F6FD1">
        <w:rPr>
          <w:rFonts w:hint="eastAsia"/>
        </w:rPr>
        <w:t>﹪</w:t>
      </w:r>
      <w:r w:rsidR="002300BF">
        <w:rPr>
          <w:rFonts w:hint="eastAsia"/>
        </w:rPr>
        <w:t>】</w:t>
      </w:r>
      <w:r w:rsidR="004518EE" w:rsidRPr="007F6FD1">
        <w:rPr>
          <w:rFonts w:hint="eastAsia"/>
        </w:rPr>
        <w:t>至</w:t>
      </w:r>
      <w:r w:rsidR="00516AB1" w:rsidRPr="007F6FD1">
        <w:t>89</w:t>
      </w:r>
      <w:r w:rsidR="004518EE" w:rsidRPr="007F6FD1">
        <w:rPr>
          <w:rFonts w:hint="eastAsia"/>
        </w:rPr>
        <w:t>﹪</w:t>
      </w:r>
      <w:r w:rsidR="002300BF">
        <w:rPr>
          <w:rFonts w:hAnsi="標楷體" w:hint="eastAsia"/>
        </w:rPr>
        <w:t>【1</w:t>
      </w:r>
      <w:r w:rsidR="002300BF">
        <w:rPr>
          <w:rFonts w:hAnsi="標楷體"/>
        </w:rPr>
        <w:t>2</w:t>
      </w:r>
      <w:r w:rsidR="002300BF" w:rsidRPr="007F6FD1">
        <w:rPr>
          <w:rFonts w:hint="eastAsia"/>
        </w:rPr>
        <w:t>﹪</w:t>
      </w:r>
      <w:r w:rsidR="002300BF">
        <w:rPr>
          <w:rFonts w:hAnsi="標楷體"/>
        </w:rPr>
        <w:t>+77</w:t>
      </w:r>
      <w:r w:rsidR="002300BF" w:rsidRPr="007F6FD1">
        <w:rPr>
          <w:rFonts w:hint="eastAsia"/>
        </w:rPr>
        <w:t>﹪</w:t>
      </w:r>
      <w:r w:rsidR="002300BF">
        <w:rPr>
          <w:rFonts w:hint="eastAsia"/>
        </w:rPr>
        <w:t>】</w:t>
      </w:r>
      <w:r w:rsidR="004518EE" w:rsidRPr="007F6FD1">
        <w:rPr>
          <w:rFonts w:hint="eastAsia"/>
        </w:rPr>
        <w:t>）</w:t>
      </w:r>
      <w:r w:rsidR="009021AE" w:rsidRPr="007F6FD1">
        <w:rPr>
          <w:rFonts w:hint="eastAsia"/>
        </w:rPr>
        <w:t>區間內</w:t>
      </w:r>
      <w:r w:rsidR="00516AB1" w:rsidRPr="007F6FD1">
        <w:rPr>
          <w:rFonts w:hint="eastAsia"/>
        </w:rPr>
        <w:t>。</w:t>
      </w:r>
      <w:proofErr w:type="gramStart"/>
      <w:r w:rsidR="00516AB1" w:rsidRPr="007F6FD1">
        <w:rPr>
          <w:rFonts w:hint="eastAsia"/>
        </w:rPr>
        <w:t>爰</w:t>
      </w:r>
      <w:proofErr w:type="gramEnd"/>
      <w:r w:rsidR="00516AB1" w:rsidRPr="007F6FD1">
        <w:rPr>
          <w:rFonts w:hint="eastAsia"/>
        </w:rPr>
        <w:t>經濟部有關</w:t>
      </w:r>
      <w:r w:rsidR="00516AB1" w:rsidRPr="007F6FD1">
        <w:t>保健食品通路端影響售價的占比最大，平均可達55</w:t>
      </w:r>
      <w:r w:rsidR="00533AD9" w:rsidRPr="007F6FD1">
        <w:t>﹪</w:t>
      </w:r>
      <w:r w:rsidR="00516AB1" w:rsidRPr="007F6FD1">
        <w:rPr>
          <w:rFonts w:hint="eastAsia"/>
        </w:rPr>
        <w:t>；</w:t>
      </w:r>
      <w:r w:rsidR="00516AB1" w:rsidRPr="007F6FD1">
        <w:t>關稅30</w:t>
      </w:r>
      <w:proofErr w:type="gramStart"/>
      <w:r w:rsidR="00533AD9" w:rsidRPr="007F6FD1">
        <w:t>﹪</w:t>
      </w:r>
      <w:proofErr w:type="gramEnd"/>
      <w:r w:rsidR="00516AB1" w:rsidRPr="007F6FD1">
        <w:t>反應至價格結構，平均為8.4</w:t>
      </w:r>
      <w:r w:rsidR="00533AD9" w:rsidRPr="007F6FD1">
        <w:t>﹪</w:t>
      </w:r>
      <w:r w:rsidR="00516AB1" w:rsidRPr="007F6FD1">
        <w:rPr>
          <w:rFonts w:hint="eastAsia"/>
        </w:rPr>
        <w:t>等論點，尚難謂無據</w:t>
      </w:r>
      <w:r w:rsidR="005C6E9B" w:rsidRPr="007F6FD1">
        <w:rPr>
          <w:rFonts w:hint="eastAsia"/>
        </w:rPr>
        <w:t>。</w:t>
      </w:r>
    </w:p>
    <w:p w:rsidR="00C6329C" w:rsidRPr="004E79FC" w:rsidRDefault="00BA2B4A" w:rsidP="005C6E9B">
      <w:pPr>
        <w:pStyle w:val="4"/>
      </w:pPr>
      <w:proofErr w:type="gramStart"/>
      <w:r w:rsidRPr="003F5A28">
        <w:rPr>
          <w:rFonts w:hint="eastAsia"/>
        </w:rPr>
        <w:t>末</w:t>
      </w:r>
      <w:r w:rsidR="00B75119" w:rsidRPr="003F5A28">
        <w:rPr>
          <w:rFonts w:hint="eastAsia"/>
        </w:rPr>
        <w:t>據</w:t>
      </w:r>
      <w:r w:rsidR="000D5B9A">
        <w:rPr>
          <w:rFonts w:hint="eastAsia"/>
        </w:rPr>
        <w:t>經濟部</w:t>
      </w:r>
      <w:proofErr w:type="gramEnd"/>
      <w:r w:rsidR="000D5B9A">
        <w:rPr>
          <w:rFonts w:hint="eastAsia"/>
        </w:rPr>
        <w:t>於1</w:t>
      </w:r>
      <w:r w:rsidR="000D5B9A">
        <w:t>12</w:t>
      </w:r>
      <w:r w:rsidR="000D5B9A">
        <w:rPr>
          <w:rFonts w:hint="eastAsia"/>
        </w:rPr>
        <w:t>年8月9日召集國內保健食品業界座談會，某業者亦表示意見</w:t>
      </w:r>
      <w:r w:rsidR="009B2FAB">
        <w:rPr>
          <w:rFonts w:hint="eastAsia"/>
        </w:rPr>
        <w:t>略以</w:t>
      </w:r>
      <w:r w:rsidR="000D5B9A">
        <w:rPr>
          <w:rFonts w:hint="eastAsia"/>
        </w:rPr>
        <w:t>：</w:t>
      </w:r>
      <w:r w:rsidR="009B2FAB">
        <w:rPr>
          <w:rFonts w:hint="eastAsia"/>
        </w:rPr>
        <w:t>前揭</w:t>
      </w:r>
      <w:r w:rsidR="005C403C">
        <w:rPr>
          <w:rFonts w:hint="eastAsia"/>
        </w:rPr>
        <w:t>媒體披露售價</w:t>
      </w:r>
      <w:r w:rsidR="009B2FAB">
        <w:rPr>
          <w:rFonts w:hint="eastAsia"/>
        </w:rPr>
        <w:t>數據，</w:t>
      </w:r>
      <w:r w:rsidR="000D5B9A" w:rsidRPr="00EB240D">
        <w:rPr>
          <w:rFonts w:hAnsi="標楷體" w:hint="eastAsia"/>
          <w:szCs w:val="32"/>
        </w:rPr>
        <w:t>看似關稅所造成，惟仔細計算</w:t>
      </w:r>
      <w:proofErr w:type="gramStart"/>
      <w:r w:rsidR="000D5B9A" w:rsidRPr="00EB240D">
        <w:rPr>
          <w:rFonts w:hAnsi="標楷體" w:hint="eastAsia"/>
          <w:szCs w:val="32"/>
        </w:rPr>
        <w:t>成本</w:t>
      </w:r>
      <w:r w:rsidR="000D5B9A" w:rsidRPr="00EB240D">
        <w:rPr>
          <w:rFonts w:hAnsi="標楷體" w:hint="eastAsia"/>
          <w:szCs w:val="32"/>
        </w:rPr>
        <w:lastRenderedPageBreak/>
        <w:t>再反推</w:t>
      </w:r>
      <w:proofErr w:type="gramEnd"/>
      <w:r w:rsidR="000D5B9A" w:rsidRPr="00EB240D">
        <w:rPr>
          <w:rFonts w:hAnsi="標楷體" w:hint="eastAsia"/>
          <w:szCs w:val="32"/>
        </w:rPr>
        <w:t>關稅之影</w:t>
      </w:r>
      <w:r w:rsidR="000D5B9A">
        <w:rPr>
          <w:rFonts w:hAnsi="標楷體" w:hint="eastAsia"/>
          <w:szCs w:val="32"/>
        </w:rPr>
        <w:t>響</w:t>
      </w:r>
      <w:r w:rsidR="000D5B9A" w:rsidRPr="00EB240D">
        <w:rPr>
          <w:rFonts w:hAnsi="標楷體" w:hint="eastAsia"/>
          <w:szCs w:val="32"/>
        </w:rPr>
        <w:t>，即可得知售價其實與市場規模及營運成本有關，就算關稅降至</w:t>
      </w:r>
      <w:r w:rsidR="000D5B9A">
        <w:rPr>
          <w:rFonts w:hAnsi="標楷體" w:hint="eastAsia"/>
          <w:szCs w:val="32"/>
        </w:rPr>
        <w:t>0</w:t>
      </w:r>
      <w:r w:rsidR="0077146F">
        <w:rPr>
          <w:rFonts w:hAnsi="標楷體" w:hint="eastAsia"/>
          <w:szCs w:val="32"/>
        </w:rPr>
        <w:t>元</w:t>
      </w:r>
      <w:r w:rsidR="000D5B9A" w:rsidRPr="00EB240D">
        <w:rPr>
          <w:rFonts w:hAnsi="標楷體" w:hint="eastAsia"/>
          <w:szCs w:val="32"/>
        </w:rPr>
        <w:t>，對售價影響還是不大</w:t>
      </w:r>
      <w:r w:rsidR="000D5B9A">
        <w:rPr>
          <w:rFonts w:hAnsi="標楷體" w:hint="eastAsia"/>
          <w:szCs w:val="32"/>
        </w:rPr>
        <w:t>等語，亦</w:t>
      </w:r>
      <w:r w:rsidR="00BA3372">
        <w:rPr>
          <w:rFonts w:hAnsi="標楷體" w:hint="eastAsia"/>
          <w:szCs w:val="32"/>
        </w:rPr>
        <w:t>難謂</w:t>
      </w:r>
      <w:r w:rsidR="000D5B9A">
        <w:rPr>
          <w:rFonts w:hAnsi="標楷體" w:hint="eastAsia"/>
          <w:szCs w:val="32"/>
        </w:rPr>
        <w:t>無據</w:t>
      </w:r>
      <w:r w:rsidR="000D5B9A" w:rsidRPr="00EB240D">
        <w:rPr>
          <w:rFonts w:hAnsi="標楷體" w:hint="eastAsia"/>
          <w:szCs w:val="32"/>
        </w:rPr>
        <w:t>。</w:t>
      </w:r>
    </w:p>
    <w:p w:rsidR="004E79FC" w:rsidRDefault="000D5B9A" w:rsidP="000D5B9A">
      <w:pPr>
        <w:pStyle w:val="3"/>
      </w:pPr>
      <w:r>
        <w:rPr>
          <w:rFonts w:hint="eastAsia"/>
        </w:rPr>
        <w:t>綜上</w:t>
      </w:r>
      <w:r w:rsidR="004E79FC">
        <w:rPr>
          <w:rFonts w:hint="eastAsia"/>
        </w:rPr>
        <w:t>，</w:t>
      </w:r>
      <w:r w:rsidR="004105A7" w:rsidRPr="004105A7">
        <w:rPr>
          <w:rFonts w:hint="eastAsia"/>
        </w:rPr>
        <w:t>111年及1</w:t>
      </w:r>
      <w:r w:rsidR="004105A7" w:rsidRPr="004105A7">
        <w:t>12</w:t>
      </w:r>
      <w:r w:rsidR="004105A7" w:rsidRPr="004105A7">
        <w:rPr>
          <w:rFonts w:hint="eastAsia"/>
        </w:rPr>
        <w:t>年間經濟部為因應調降「</w:t>
      </w:r>
      <w:proofErr w:type="gramStart"/>
      <w:r w:rsidR="004105A7" w:rsidRPr="004105A7">
        <w:rPr>
          <w:rFonts w:hint="eastAsia"/>
        </w:rPr>
        <w:t>錠劑</w:t>
      </w:r>
      <w:proofErr w:type="gramEnd"/>
      <w:r w:rsidR="004105A7" w:rsidRPr="004105A7">
        <w:rPr>
          <w:rFonts w:hint="eastAsia"/>
        </w:rPr>
        <w:t>、膠囊狀保健食品」進口關稅稅率訴求，經調查研究並聽取業界意見後，作成「</w:t>
      </w:r>
      <w:r w:rsidR="004105A7" w:rsidRPr="004105A7">
        <w:t>通路端影響保健食品售價的占比最大，平均可達55</w:t>
      </w:r>
      <w:r w:rsidR="00533AD9">
        <w:t>﹪</w:t>
      </w:r>
      <w:r w:rsidR="004105A7" w:rsidRPr="004105A7">
        <w:t>，該區間為通路商投入的營運成本、行銷廣告費用、活動折扣及利潤等</w:t>
      </w:r>
      <w:r w:rsidR="004105A7" w:rsidRPr="004105A7">
        <w:rPr>
          <w:rFonts w:hint="eastAsia"/>
        </w:rPr>
        <w:t>項目；</w:t>
      </w:r>
      <w:r w:rsidR="004105A7" w:rsidRPr="004105A7">
        <w:t>關稅30</w:t>
      </w:r>
      <w:proofErr w:type="gramStart"/>
      <w:r w:rsidR="00533AD9">
        <w:t>﹪</w:t>
      </w:r>
      <w:proofErr w:type="gramEnd"/>
      <w:r w:rsidR="004105A7" w:rsidRPr="004105A7">
        <w:t>反應至價格結構，平均為8.4</w:t>
      </w:r>
      <w:r w:rsidR="00533AD9">
        <w:t>﹪</w:t>
      </w:r>
      <w:r w:rsidR="004105A7" w:rsidRPr="004105A7">
        <w:rPr>
          <w:rFonts w:hint="eastAsia"/>
        </w:rPr>
        <w:t>」之結論，經本院調取海關進口資料，再蒐尋國內市場電商價格資料後，推估計算所得之數據，尚難謂無據</w:t>
      </w:r>
      <w:r w:rsidR="009B5470" w:rsidRPr="009B5470">
        <w:rPr>
          <w:rFonts w:hint="eastAsia"/>
          <w:szCs w:val="32"/>
        </w:rPr>
        <w:t>。</w:t>
      </w:r>
      <w:r>
        <w:rPr>
          <w:rFonts w:hint="eastAsia"/>
        </w:rPr>
        <w:t xml:space="preserve"> </w:t>
      </w:r>
    </w:p>
    <w:p w:rsidR="003A5927" w:rsidRDefault="003A5927" w:rsidP="00DE4238">
      <w:pPr>
        <w:pStyle w:val="31"/>
        <w:ind w:left="1361" w:firstLine="680"/>
      </w:pPr>
    </w:p>
    <w:p w:rsidR="00B75119" w:rsidRPr="00FD0498" w:rsidRDefault="004105A7" w:rsidP="002D2A39">
      <w:pPr>
        <w:pStyle w:val="2"/>
        <w:rPr>
          <w:b/>
        </w:rPr>
      </w:pPr>
      <w:bookmarkStart w:id="55" w:name="_Hlk174541523"/>
      <w:r w:rsidRPr="0020302E">
        <w:rPr>
          <w:rFonts w:hint="eastAsia"/>
          <w:b/>
        </w:rPr>
        <w:t>我國「錠劑、膠囊狀」保健食品進口關稅稅率確高於菸品，且</w:t>
      </w:r>
      <w:r w:rsidR="0020302E" w:rsidRPr="0020302E">
        <w:rPr>
          <w:rFonts w:hint="eastAsia"/>
          <w:b/>
        </w:rPr>
        <w:t>相較</w:t>
      </w:r>
      <w:r w:rsidRPr="0020302E">
        <w:rPr>
          <w:rFonts w:hint="eastAsia"/>
          <w:b/>
        </w:rPr>
        <w:t>他國亦屬偏高，實有於適當時機調降必要。</w:t>
      </w:r>
      <w:r w:rsidR="00FD0498" w:rsidRPr="0020302E">
        <w:rPr>
          <w:rFonts w:hint="eastAsia"/>
          <w:b/>
        </w:rPr>
        <w:t>惟</w:t>
      </w:r>
      <w:r w:rsidR="00FD0498" w:rsidRPr="00FD0498">
        <w:rPr>
          <w:rFonts w:hint="eastAsia"/>
          <w:b/>
        </w:rPr>
        <w:t>我國</w:t>
      </w:r>
      <w:r w:rsidR="00B75119" w:rsidRPr="0041329C">
        <w:rPr>
          <w:rFonts w:hint="eastAsia"/>
          <w:b/>
        </w:rPr>
        <w:t>保健營養食品產業</w:t>
      </w:r>
      <w:r w:rsidR="006A4478" w:rsidRPr="0041329C">
        <w:rPr>
          <w:rFonts w:hint="eastAsia"/>
          <w:b/>
        </w:rPr>
        <w:t>發展</w:t>
      </w:r>
      <w:r w:rsidR="00547A8A" w:rsidRPr="0041329C">
        <w:rPr>
          <w:rFonts w:hint="eastAsia"/>
          <w:b/>
        </w:rPr>
        <w:t>遲於</w:t>
      </w:r>
      <w:r w:rsidR="006A4478" w:rsidRPr="0041329C">
        <w:rPr>
          <w:rFonts w:hint="eastAsia"/>
          <w:b/>
        </w:rPr>
        <w:t>外國大廠，</w:t>
      </w:r>
      <w:r w:rsidR="000B73E6" w:rsidRPr="0041329C">
        <w:rPr>
          <w:rFonts w:hint="eastAsia"/>
          <w:b/>
        </w:rPr>
        <w:t>且</w:t>
      </w:r>
      <w:r w:rsidR="006A4478" w:rsidRPr="0041329C">
        <w:rPr>
          <w:rFonts w:hint="eastAsia"/>
          <w:b/>
        </w:rPr>
        <w:t>未達經濟規模，近年來整體產值</w:t>
      </w:r>
      <w:r w:rsidR="00EB086C" w:rsidRPr="0041329C">
        <w:rPr>
          <w:rFonts w:hint="eastAsia"/>
          <w:b/>
        </w:rPr>
        <w:t>雖</w:t>
      </w:r>
      <w:r w:rsidR="006A4478" w:rsidRPr="0041329C">
        <w:rPr>
          <w:rFonts w:hint="eastAsia"/>
          <w:b/>
        </w:rPr>
        <w:t>有成長，</w:t>
      </w:r>
      <w:r w:rsidR="00C93A6E">
        <w:rPr>
          <w:rFonts w:hint="eastAsia"/>
          <w:b/>
        </w:rPr>
        <w:t>然</w:t>
      </w:r>
      <w:r w:rsidR="006A4478" w:rsidRPr="0041329C">
        <w:rPr>
          <w:rFonts w:hint="eastAsia"/>
          <w:b/>
        </w:rPr>
        <w:t>成長幅度已趨緩，</w:t>
      </w:r>
      <w:r w:rsidR="0041329C" w:rsidRPr="0041329C">
        <w:rPr>
          <w:rFonts w:hint="eastAsia"/>
          <w:b/>
        </w:rPr>
        <w:t>且</w:t>
      </w:r>
      <w:r w:rsidR="003E0691" w:rsidRPr="0041329C">
        <w:rPr>
          <w:rFonts w:hint="eastAsia"/>
          <w:b/>
        </w:rPr>
        <w:t>錠劑、膠囊狀</w:t>
      </w:r>
      <w:r w:rsidR="0041329C" w:rsidRPr="0041329C">
        <w:rPr>
          <w:rFonts w:hint="eastAsia"/>
          <w:b/>
        </w:rPr>
        <w:t>保健</w:t>
      </w:r>
      <w:r w:rsidR="003E0691" w:rsidRPr="0041329C">
        <w:rPr>
          <w:rFonts w:hint="eastAsia"/>
          <w:b/>
        </w:rPr>
        <w:t>食品</w:t>
      </w:r>
      <w:r w:rsidR="006A4478" w:rsidRPr="0041329C">
        <w:rPr>
          <w:rFonts w:hint="eastAsia"/>
          <w:b/>
        </w:rPr>
        <w:t>進出口呈現</w:t>
      </w:r>
      <w:r w:rsidR="00A15188" w:rsidRPr="0041329C">
        <w:rPr>
          <w:rFonts w:hint="eastAsia"/>
          <w:b/>
        </w:rPr>
        <w:t>之</w:t>
      </w:r>
      <w:r w:rsidR="006A4478" w:rsidRPr="0041329C">
        <w:rPr>
          <w:rFonts w:hint="eastAsia"/>
          <w:b/>
        </w:rPr>
        <w:t>逆</w:t>
      </w:r>
      <w:r w:rsidR="00A15188" w:rsidRPr="0041329C">
        <w:rPr>
          <w:rFonts w:hint="eastAsia"/>
          <w:b/>
        </w:rPr>
        <w:t>差金額亦有擴大現象，倘</w:t>
      </w:r>
      <w:r w:rsidR="00EA2FB7">
        <w:rPr>
          <w:rFonts w:hint="eastAsia"/>
          <w:b/>
        </w:rPr>
        <w:t>貿</w:t>
      </w:r>
      <w:r w:rsidR="00A15188" w:rsidRPr="0041329C">
        <w:rPr>
          <w:rFonts w:hint="eastAsia"/>
          <w:b/>
        </w:rPr>
        <w:t>然自</w:t>
      </w:r>
      <w:r w:rsidR="0041329C" w:rsidRPr="0041329C">
        <w:rPr>
          <w:rFonts w:hint="eastAsia"/>
          <w:b/>
        </w:rPr>
        <w:t>行</w:t>
      </w:r>
      <w:r w:rsidR="00A15188" w:rsidRPr="0041329C">
        <w:rPr>
          <w:rFonts w:hint="eastAsia"/>
          <w:b/>
        </w:rPr>
        <w:t>調降進口關稅稅率，恐發生</w:t>
      </w:r>
      <w:r w:rsidR="00A15188" w:rsidRPr="0041329C">
        <w:rPr>
          <w:rFonts w:hint="eastAsia"/>
          <w:b/>
          <w:szCs w:val="32"/>
        </w:rPr>
        <w:t>消費者未能購得價廉進口產品，</w:t>
      </w:r>
      <w:r w:rsidR="00EB086C" w:rsidRPr="0041329C">
        <w:rPr>
          <w:rFonts w:hint="eastAsia"/>
          <w:b/>
          <w:szCs w:val="32"/>
        </w:rPr>
        <w:t>反有</w:t>
      </w:r>
      <w:r w:rsidR="00A15188" w:rsidRPr="0041329C">
        <w:rPr>
          <w:rFonts w:hint="eastAsia"/>
          <w:b/>
          <w:szCs w:val="32"/>
        </w:rPr>
        <w:t>造成</w:t>
      </w:r>
      <w:r w:rsidR="00A15188" w:rsidRPr="0041329C">
        <w:rPr>
          <w:rFonts w:hint="eastAsia"/>
          <w:b/>
        </w:rPr>
        <w:t>保健營養食品產業外移之</w:t>
      </w:r>
      <w:r w:rsidR="00EB086C" w:rsidRPr="0041329C">
        <w:rPr>
          <w:rFonts w:hint="eastAsia"/>
          <w:b/>
        </w:rPr>
        <w:t>虞</w:t>
      </w:r>
      <w:r w:rsidR="00A15188" w:rsidRPr="0041329C">
        <w:rPr>
          <w:rFonts w:hint="eastAsia"/>
          <w:b/>
        </w:rPr>
        <w:t>。復以國際貿易區域主義逐漸興起，諸多國家藉由簽訂</w:t>
      </w:r>
      <w:r w:rsidR="00614343" w:rsidRPr="00614343">
        <w:rPr>
          <w:rFonts w:hint="eastAsia"/>
          <w:b/>
        </w:rPr>
        <w:t>自由貿易協定</w:t>
      </w:r>
      <w:r w:rsidR="00614343">
        <w:rPr>
          <w:rFonts w:hint="eastAsia"/>
          <w:b/>
        </w:rPr>
        <w:t>（</w:t>
      </w:r>
      <w:r w:rsidR="00A15188" w:rsidRPr="0041329C">
        <w:rPr>
          <w:rFonts w:hint="eastAsia"/>
          <w:b/>
        </w:rPr>
        <w:t>F</w:t>
      </w:r>
      <w:r w:rsidR="00A15188" w:rsidRPr="0041329C">
        <w:rPr>
          <w:b/>
        </w:rPr>
        <w:t>TA</w:t>
      </w:r>
      <w:r w:rsidR="00614343">
        <w:rPr>
          <w:rFonts w:hint="eastAsia"/>
          <w:b/>
        </w:rPr>
        <w:t>）</w:t>
      </w:r>
      <w:r w:rsidR="00A15188" w:rsidRPr="0041329C">
        <w:rPr>
          <w:rFonts w:hint="eastAsia"/>
          <w:b/>
        </w:rPr>
        <w:t>協議</w:t>
      </w:r>
      <w:r w:rsidR="00EB086C" w:rsidRPr="0041329C">
        <w:rPr>
          <w:rFonts w:hint="eastAsia"/>
          <w:b/>
        </w:rPr>
        <w:t>等方式，</w:t>
      </w:r>
      <w:r w:rsidR="00A15188" w:rsidRPr="0041329C">
        <w:rPr>
          <w:b/>
          <w:shd w:val="clear" w:color="auto" w:fill="FFFFFF"/>
        </w:rPr>
        <w:t>制定</w:t>
      </w:r>
      <w:r w:rsidR="00A15188" w:rsidRPr="0041329C">
        <w:rPr>
          <w:rFonts w:hint="eastAsia"/>
          <w:b/>
          <w:shd w:val="clear" w:color="auto" w:fill="FFFFFF"/>
        </w:rPr>
        <w:t>雙邊</w:t>
      </w:r>
      <w:r w:rsidR="00A15188" w:rsidRPr="0041329C">
        <w:rPr>
          <w:b/>
          <w:shd w:val="clear" w:color="auto" w:fill="FFFFFF"/>
        </w:rPr>
        <w:t>經貿規範</w:t>
      </w:r>
      <w:r w:rsidR="00A15188" w:rsidRPr="0041329C">
        <w:rPr>
          <w:rFonts w:hint="eastAsia"/>
          <w:b/>
          <w:shd w:val="clear" w:color="auto" w:fill="FFFFFF"/>
        </w:rPr>
        <w:t>，已逐漸成為趨勢。鑒於關稅稅率的減讓仍為前揭</w:t>
      </w:r>
      <w:r w:rsidR="00547A8A" w:rsidRPr="0041329C">
        <w:rPr>
          <w:rFonts w:hint="eastAsia"/>
          <w:b/>
          <w:shd w:val="clear" w:color="auto" w:fill="FFFFFF"/>
        </w:rPr>
        <w:t>協議談判</w:t>
      </w:r>
      <w:r w:rsidR="00A15188" w:rsidRPr="0041329C">
        <w:rPr>
          <w:rFonts w:hint="eastAsia"/>
          <w:b/>
          <w:shd w:val="clear" w:color="auto" w:fill="FFFFFF"/>
        </w:rPr>
        <w:t>的重要</w:t>
      </w:r>
      <w:r w:rsidR="00547A8A" w:rsidRPr="0041329C">
        <w:rPr>
          <w:rFonts w:hint="eastAsia"/>
          <w:b/>
          <w:shd w:val="clear" w:color="auto" w:fill="FFFFFF"/>
        </w:rPr>
        <w:t>籌碼，</w:t>
      </w:r>
      <w:proofErr w:type="gramStart"/>
      <w:r w:rsidR="003E0691" w:rsidRPr="0041329C">
        <w:rPr>
          <w:rFonts w:hint="eastAsia"/>
          <w:b/>
          <w:shd w:val="clear" w:color="auto" w:fill="FFFFFF"/>
        </w:rPr>
        <w:t>爰</w:t>
      </w:r>
      <w:proofErr w:type="gramEnd"/>
      <w:r w:rsidR="003E0691" w:rsidRPr="0041329C">
        <w:rPr>
          <w:rFonts w:hint="eastAsia"/>
          <w:b/>
          <w:shd w:val="clear" w:color="auto" w:fill="FFFFFF"/>
        </w:rPr>
        <w:t>政府允宜參考</w:t>
      </w:r>
      <w:r w:rsidR="00C8132A" w:rsidRPr="00C8132A">
        <w:rPr>
          <w:rFonts w:hint="eastAsia"/>
          <w:b/>
          <w:shd w:val="clear" w:color="auto" w:fill="FFFFFF"/>
        </w:rPr>
        <w:t>保健營養食品</w:t>
      </w:r>
      <w:r w:rsidR="003E0691" w:rsidRPr="0041329C">
        <w:rPr>
          <w:rFonts w:hint="eastAsia"/>
          <w:b/>
          <w:shd w:val="clear" w:color="auto" w:fill="FFFFFF"/>
        </w:rPr>
        <w:t>業</w:t>
      </w:r>
      <w:r w:rsidR="0041329C" w:rsidRPr="0041329C">
        <w:rPr>
          <w:rFonts w:hint="eastAsia"/>
          <w:b/>
          <w:shd w:val="clear" w:color="auto" w:fill="FFFFFF"/>
        </w:rPr>
        <w:t>界</w:t>
      </w:r>
      <w:r w:rsidR="003E0691" w:rsidRPr="0041329C">
        <w:rPr>
          <w:rFonts w:hint="eastAsia"/>
          <w:b/>
          <w:shd w:val="clear" w:color="auto" w:fill="FFFFFF"/>
        </w:rPr>
        <w:t>意見，在進行貿易協議談判時，爭取雙邊稅率互利減免，</w:t>
      </w:r>
      <w:r w:rsidR="00547A8A" w:rsidRPr="0020302E">
        <w:rPr>
          <w:rFonts w:hint="eastAsia"/>
          <w:b/>
          <w:shd w:val="clear" w:color="auto" w:fill="FFFFFF"/>
        </w:rPr>
        <w:t>以</w:t>
      </w:r>
      <w:r w:rsidR="00FD0498" w:rsidRPr="0020302E">
        <w:rPr>
          <w:rFonts w:hint="eastAsia"/>
          <w:b/>
          <w:shd w:val="clear" w:color="auto" w:fill="FFFFFF"/>
        </w:rPr>
        <w:t>提升消費者權</w:t>
      </w:r>
      <w:r w:rsidR="00741287" w:rsidRPr="0020302E">
        <w:rPr>
          <w:rFonts w:hint="eastAsia"/>
          <w:b/>
          <w:shd w:val="clear" w:color="auto" w:fill="FFFFFF"/>
        </w:rPr>
        <w:t>益</w:t>
      </w:r>
      <w:r w:rsidR="00FD0498" w:rsidRPr="0020302E">
        <w:rPr>
          <w:rFonts w:hint="eastAsia"/>
          <w:b/>
          <w:shd w:val="clear" w:color="auto" w:fill="FFFFFF"/>
        </w:rPr>
        <w:t>，並</w:t>
      </w:r>
      <w:r w:rsidR="00EB086C" w:rsidRPr="0020302E">
        <w:rPr>
          <w:rFonts w:hint="eastAsia"/>
          <w:b/>
          <w:shd w:val="clear" w:color="auto" w:fill="FFFFFF"/>
        </w:rPr>
        <w:t>維</w:t>
      </w:r>
      <w:r w:rsidR="003E0691" w:rsidRPr="0020302E">
        <w:rPr>
          <w:rFonts w:hint="eastAsia"/>
          <w:b/>
          <w:shd w:val="clear" w:color="auto" w:fill="FFFFFF"/>
        </w:rPr>
        <w:t>護我國產業</w:t>
      </w:r>
      <w:r w:rsidR="00560279" w:rsidRPr="0020302E">
        <w:rPr>
          <w:rFonts w:hint="eastAsia"/>
          <w:b/>
          <w:shd w:val="clear" w:color="auto" w:fill="FFFFFF"/>
        </w:rPr>
        <w:t>成長機會</w:t>
      </w:r>
      <w:r w:rsidR="0041329C" w:rsidRPr="0020302E">
        <w:rPr>
          <w:rFonts w:hint="eastAsia"/>
          <w:b/>
          <w:shd w:val="clear" w:color="auto" w:fill="FFFFFF"/>
        </w:rPr>
        <w:t>及</w:t>
      </w:r>
      <w:r w:rsidR="003E0691" w:rsidRPr="0020302E">
        <w:rPr>
          <w:rFonts w:hint="eastAsia"/>
          <w:b/>
          <w:shd w:val="clear" w:color="auto" w:fill="FFFFFF"/>
        </w:rPr>
        <w:t>國家</w:t>
      </w:r>
      <w:r w:rsidR="003E0691" w:rsidRPr="0041329C">
        <w:rPr>
          <w:rFonts w:hint="eastAsia"/>
          <w:b/>
          <w:shd w:val="clear" w:color="auto" w:fill="FFFFFF"/>
        </w:rPr>
        <w:t>最大利益</w:t>
      </w:r>
      <w:bookmarkEnd w:id="55"/>
      <w:r w:rsidR="003E0691" w:rsidRPr="0041329C">
        <w:rPr>
          <w:rFonts w:hint="eastAsia"/>
          <w:b/>
          <w:shd w:val="clear" w:color="auto" w:fill="FFFFFF"/>
        </w:rPr>
        <w:t>。</w:t>
      </w:r>
    </w:p>
    <w:p w:rsidR="00FD0498" w:rsidRPr="0020302E" w:rsidRDefault="00FD0498" w:rsidP="00FD0498">
      <w:pPr>
        <w:pStyle w:val="3"/>
      </w:pPr>
      <w:r w:rsidRPr="0020302E">
        <w:rPr>
          <w:rFonts w:hint="eastAsia"/>
        </w:rPr>
        <w:t>我國「</w:t>
      </w:r>
      <w:r w:rsidRPr="0020302E">
        <w:rPr>
          <w:rFonts w:hint="eastAsia"/>
        </w:rPr>
        <w:tab/>
      </w:r>
      <w:proofErr w:type="gramStart"/>
      <w:r w:rsidRPr="0020302E">
        <w:rPr>
          <w:rFonts w:hint="eastAsia"/>
        </w:rPr>
        <w:t>錠劑</w:t>
      </w:r>
      <w:proofErr w:type="gramEnd"/>
      <w:r w:rsidRPr="0020302E">
        <w:rPr>
          <w:rFonts w:hint="eastAsia"/>
        </w:rPr>
        <w:t>、膠囊狀」</w:t>
      </w:r>
      <w:r w:rsidR="004105A7" w:rsidRPr="0020302E">
        <w:rPr>
          <w:rFonts w:hint="eastAsia"/>
        </w:rPr>
        <w:t>保健食品</w:t>
      </w:r>
      <w:r w:rsidRPr="0020302E">
        <w:rPr>
          <w:rFonts w:hint="eastAsia"/>
        </w:rPr>
        <w:t>進口關稅稅率確高於菸品，且</w:t>
      </w:r>
      <w:r w:rsidR="0020302E" w:rsidRPr="0020302E">
        <w:rPr>
          <w:rFonts w:hint="eastAsia"/>
        </w:rPr>
        <w:t>相較</w:t>
      </w:r>
      <w:r w:rsidRPr="0020302E">
        <w:rPr>
          <w:rFonts w:hint="eastAsia"/>
        </w:rPr>
        <w:t>他國亦屬偏高</w:t>
      </w:r>
    </w:p>
    <w:p w:rsidR="00FD0498" w:rsidRPr="0020302E" w:rsidRDefault="00FD0498" w:rsidP="00FD0498">
      <w:pPr>
        <w:pStyle w:val="4"/>
      </w:pPr>
      <w:r w:rsidRPr="0020302E">
        <w:rPr>
          <w:rFonts w:hint="eastAsia"/>
        </w:rPr>
        <w:t>我國保健食品與</w:t>
      </w:r>
      <w:proofErr w:type="gramStart"/>
      <w:r w:rsidRPr="0020302E">
        <w:rPr>
          <w:rFonts w:hint="eastAsia"/>
        </w:rPr>
        <w:t>菸</w:t>
      </w:r>
      <w:proofErr w:type="gramEnd"/>
      <w:r w:rsidRPr="0020302E">
        <w:rPr>
          <w:rFonts w:hint="eastAsia"/>
        </w:rPr>
        <w:t>品關稅稅率比較</w:t>
      </w:r>
    </w:p>
    <w:p w:rsidR="00FD0498" w:rsidRPr="0020302E" w:rsidRDefault="00FD0498" w:rsidP="00FD0498">
      <w:pPr>
        <w:pStyle w:val="4"/>
        <w:numPr>
          <w:ilvl w:val="0"/>
          <w:numId w:val="0"/>
        </w:numPr>
        <w:ind w:left="1701" w:firstLineChars="208" w:firstLine="708"/>
      </w:pPr>
      <w:r w:rsidRPr="0020302E">
        <w:rPr>
          <w:rFonts w:hint="eastAsia"/>
        </w:rPr>
        <w:lastRenderedPageBreak/>
        <w:t>我國保健食品歸列</w:t>
      </w:r>
      <w:proofErr w:type="gramStart"/>
      <w:r w:rsidRPr="0020302E">
        <w:rPr>
          <w:rFonts w:hint="eastAsia"/>
        </w:rPr>
        <w:t>稅則號別</w:t>
      </w:r>
      <w:proofErr w:type="gramEnd"/>
      <w:r w:rsidRPr="0020302E">
        <w:rPr>
          <w:rFonts w:hint="eastAsia"/>
        </w:rPr>
        <w:t>「其他未列名食物調製品｣項下CCC code 2106.90.99.20-8「</w:t>
      </w:r>
      <w:r w:rsidRPr="0020302E">
        <w:rPr>
          <w:rFonts w:hint="eastAsia"/>
        </w:rPr>
        <w:tab/>
        <w:t>錠劑、膠囊狀食物製品」，倘非屬免稅地區進口者（如紐西蘭及新加坡），屬國定稅率第1欄為30</w:t>
      </w:r>
      <w:r w:rsidR="00533AD9" w:rsidRPr="0020302E">
        <w:rPr>
          <w:rFonts w:hint="eastAsia"/>
        </w:rPr>
        <w:t>﹪</w:t>
      </w:r>
      <w:r w:rsidRPr="0020302E">
        <w:rPr>
          <w:rFonts w:hint="eastAsia"/>
        </w:rPr>
        <w:t>，確已高於菸</w:t>
      </w:r>
      <w:r w:rsidR="00FE20EB" w:rsidRPr="0020302E">
        <w:rPr>
          <w:rFonts w:hint="eastAsia"/>
        </w:rPr>
        <w:t>品類</w:t>
      </w:r>
      <w:r w:rsidRPr="0020302E">
        <w:rPr>
          <w:rFonts w:hint="eastAsia"/>
        </w:rPr>
        <w:t>關稅稅率2</w:t>
      </w:r>
      <w:r w:rsidRPr="0020302E">
        <w:t>0</w:t>
      </w:r>
      <w:r w:rsidRPr="0020302E">
        <w:rPr>
          <w:rFonts w:hint="eastAsia"/>
        </w:rPr>
        <w:t>﹪</w:t>
      </w:r>
      <w:r w:rsidR="00FE20EB" w:rsidRPr="0020302E">
        <w:rPr>
          <w:rFonts w:hint="eastAsia"/>
        </w:rPr>
        <w:t>或</w:t>
      </w:r>
      <w:r w:rsidRPr="0020302E">
        <w:rPr>
          <w:rFonts w:hint="eastAsia"/>
        </w:rPr>
        <w:t>2</w:t>
      </w:r>
      <w:r w:rsidRPr="0020302E">
        <w:t>7</w:t>
      </w:r>
      <w:r w:rsidRPr="0020302E">
        <w:rPr>
          <w:rFonts w:hint="eastAsia"/>
        </w:rPr>
        <w:t>﹪，如下表。</w:t>
      </w:r>
    </w:p>
    <w:p w:rsidR="00FD0498" w:rsidRPr="0020302E" w:rsidRDefault="00FD0498" w:rsidP="00FD0498">
      <w:pPr>
        <w:pStyle w:val="4"/>
        <w:numPr>
          <w:ilvl w:val="0"/>
          <w:numId w:val="0"/>
        </w:numPr>
        <w:ind w:left="1701" w:firstLineChars="208" w:firstLine="708"/>
      </w:pPr>
    </w:p>
    <w:p w:rsidR="00FD0498" w:rsidRPr="0020302E" w:rsidRDefault="00FD0498" w:rsidP="00FD0498">
      <w:pPr>
        <w:pStyle w:val="a3"/>
        <w:rPr>
          <w:b/>
        </w:rPr>
      </w:pPr>
      <w:r w:rsidRPr="0020302E">
        <w:rPr>
          <w:rFonts w:hint="eastAsia"/>
          <w:b/>
        </w:rPr>
        <w:t>我國保健食品與香菸進口關稅稅率比較表</w:t>
      </w:r>
    </w:p>
    <w:tbl>
      <w:tblPr>
        <w:tblStyle w:val="af6"/>
        <w:tblW w:w="9356" w:type="dxa"/>
        <w:jc w:val="center"/>
        <w:tblLook w:val="04A0" w:firstRow="1" w:lastRow="0" w:firstColumn="1" w:lastColumn="0" w:noHBand="0" w:noVBand="1"/>
      </w:tblPr>
      <w:tblGrid>
        <w:gridCol w:w="1423"/>
        <w:gridCol w:w="2693"/>
        <w:gridCol w:w="2977"/>
        <w:gridCol w:w="1275"/>
        <w:gridCol w:w="988"/>
      </w:tblGrid>
      <w:tr w:rsidR="00741287" w:rsidRPr="0020302E" w:rsidTr="00441521">
        <w:trPr>
          <w:tblHeader/>
          <w:jc w:val="center"/>
        </w:trPr>
        <w:tc>
          <w:tcPr>
            <w:tcW w:w="1423" w:type="dxa"/>
            <w:vAlign w:val="center"/>
          </w:tcPr>
          <w:p w:rsidR="00FD0498" w:rsidRPr="0020302E" w:rsidRDefault="00FD0498" w:rsidP="00441521">
            <w:pPr>
              <w:outlineLvl w:val="3"/>
              <w:rPr>
                <w:rFonts w:hAnsi="Arial"/>
                <w:b/>
                <w:kern w:val="32"/>
                <w:sz w:val="24"/>
                <w:szCs w:val="24"/>
              </w:rPr>
            </w:pPr>
            <w:r w:rsidRPr="0020302E">
              <w:rPr>
                <w:rFonts w:hAnsi="Arial" w:hint="eastAsia"/>
                <w:b/>
                <w:kern w:val="32"/>
                <w:sz w:val="24"/>
                <w:szCs w:val="24"/>
              </w:rPr>
              <w:t>品名</w:t>
            </w:r>
          </w:p>
        </w:tc>
        <w:tc>
          <w:tcPr>
            <w:tcW w:w="2693" w:type="dxa"/>
            <w:vAlign w:val="center"/>
          </w:tcPr>
          <w:p w:rsidR="00FD0498" w:rsidRPr="0020302E" w:rsidRDefault="00FD0498" w:rsidP="00441521">
            <w:pPr>
              <w:outlineLvl w:val="3"/>
              <w:rPr>
                <w:rFonts w:hAnsi="Arial"/>
                <w:b/>
                <w:kern w:val="32"/>
                <w:sz w:val="24"/>
                <w:szCs w:val="24"/>
              </w:rPr>
            </w:pPr>
            <w:proofErr w:type="gramStart"/>
            <w:r w:rsidRPr="0020302E">
              <w:rPr>
                <w:rFonts w:hAnsi="Arial" w:hint="eastAsia"/>
                <w:b/>
                <w:kern w:val="32"/>
                <w:sz w:val="24"/>
                <w:szCs w:val="24"/>
              </w:rPr>
              <w:t>稅則號別</w:t>
            </w:r>
            <w:proofErr w:type="gramEnd"/>
          </w:p>
        </w:tc>
        <w:tc>
          <w:tcPr>
            <w:tcW w:w="2977" w:type="dxa"/>
            <w:vAlign w:val="center"/>
          </w:tcPr>
          <w:p w:rsidR="00FD0498" w:rsidRPr="0020302E" w:rsidRDefault="00FD0498" w:rsidP="00441521">
            <w:pPr>
              <w:outlineLvl w:val="3"/>
              <w:rPr>
                <w:rFonts w:hAnsi="Arial"/>
                <w:b/>
                <w:kern w:val="32"/>
                <w:sz w:val="24"/>
                <w:szCs w:val="24"/>
              </w:rPr>
            </w:pPr>
            <w:r w:rsidRPr="0020302E">
              <w:rPr>
                <w:rFonts w:hAnsi="Arial" w:hint="eastAsia"/>
                <w:b/>
                <w:kern w:val="32"/>
                <w:sz w:val="24"/>
                <w:szCs w:val="24"/>
              </w:rPr>
              <w:t>稅則中文貨名</w:t>
            </w:r>
          </w:p>
        </w:tc>
        <w:tc>
          <w:tcPr>
            <w:tcW w:w="1275" w:type="dxa"/>
            <w:vAlign w:val="center"/>
          </w:tcPr>
          <w:p w:rsidR="00FD0498" w:rsidRPr="0020302E" w:rsidRDefault="00FD0498" w:rsidP="00441521">
            <w:pPr>
              <w:outlineLvl w:val="3"/>
              <w:rPr>
                <w:rFonts w:hAnsi="Arial"/>
                <w:b/>
                <w:kern w:val="32"/>
                <w:sz w:val="24"/>
                <w:szCs w:val="24"/>
              </w:rPr>
            </w:pPr>
            <w:r w:rsidRPr="0020302E">
              <w:rPr>
                <w:rFonts w:hAnsi="Arial" w:hint="eastAsia"/>
                <w:b/>
                <w:kern w:val="32"/>
                <w:sz w:val="24"/>
                <w:szCs w:val="24"/>
              </w:rPr>
              <w:t>關稅稅率</w:t>
            </w:r>
          </w:p>
        </w:tc>
        <w:tc>
          <w:tcPr>
            <w:tcW w:w="988" w:type="dxa"/>
            <w:vAlign w:val="center"/>
          </w:tcPr>
          <w:p w:rsidR="00FD0498" w:rsidRPr="0020302E" w:rsidRDefault="00FD0498" w:rsidP="00441521">
            <w:pPr>
              <w:outlineLvl w:val="3"/>
              <w:rPr>
                <w:rFonts w:hAnsi="Arial"/>
                <w:b/>
                <w:kern w:val="32"/>
                <w:sz w:val="24"/>
                <w:szCs w:val="24"/>
              </w:rPr>
            </w:pPr>
            <w:r w:rsidRPr="0020302E">
              <w:rPr>
                <w:rFonts w:hAnsi="Arial" w:hint="eastAsia"/>
                <w:b/>
                <w:kern w:val="32"/>
                <w:sz w:val="24"/>
                <w:szCs w:val="24"/>
              </w:rPr>
              <w:t>備註</w:t>
            </w:r>
          </w:p>
        </w:tc>
      </w:tr>
      <w:tr w:rsidR="00741287" w:rsidRPr="0020302E" w:rsidTr="00441521">
        <w:trPr>
          <w:jc w:val="center"/>
        </w:trPr>
        <w:tc>
          <w:tcPr>
            <w:tcW w:w="1423" w:type="dxa"/>
            <w:vAlign w:val="center"/>
          </w:tcPr>
          <w:p w:rsidR="00FD0498" w:rsidRPr="0020302E" w:rsidRDefault="002F77CE" w:rsidP="00441521">
            <w:pPr>
              <w:jc w:val="left"/>
              <w:outlineLvl w:val="3"/>
              <w:rPr>
                <w:rFonts w:hAnsi="Arial"/>
                <w:kern w:val="32"/>
                <w:sz w:val="24"/>
                <w:szCs w:val="24"/>
              </w:rPr>
            </w:pPr>
            <w:r>
              <w:rPr>
                <w:rFonts w:hAnsi="Arial" w:hint="eastAsia"/>
                <w:kern w:val="32"/>
                <w:sz w:val="24"/>
                <w:szCs w:val="24"/>
              </w:rPr>
              <w:t>保</w:t>
            </w:r>
            <w:r w:rsidR="00FD0498" w:rsidRPr="0020302E">
              <w:rPr>
                <w:rFonts w:hAnsi="Arial" w:hint="eastAsia"/>
                <w:kern w:val="32"/>
                <w:sz w:val="24"/>
                <w:szCs w:val="24"/>
              </w:rPr>
              <w:t>健食品</w:t>
            </w:r>
          </w:p>
        </w:tc>
        <w:tc>
          <w:tcPr>
            <w:tcW w:w="2693" w:type="dxa"/>
          </w:tcPr>
          <w:p w:rsidR="00FD0498" w:rsidRPr="0020302E" w:rsidRDefault="00FD0498" w:rsidP="00441521">
            <w:pPr>
              <w:outlineLvl w:val="3"/>
              <w:rPr>
                <w:rFonts w:hAnsi="Arial"/>
                <w:kern w:val="32"/>
                <w:sz w:val="24"/>
                <w:szCs w:val="24"/>
              </w:rPr>
            </w:pPr>
            <w:r w:rsidRPr="0020302E">
              <w:rPr>
                <w:rFonts w:hAnsi="Arial" w:hint="eastAsia"/>
                <w:kern w:val="32"/>
                <w:sz w:val="24"/>
                <w:szCs w:val="24"/>
              </w:rPr>
              <w:t>第</w:t>
            </w:r>
            <w:r w:rsidRPr="0020302E">
              <w:rPr>
                <w:rFonts w:hAnsi="Arial"/>
                <w:kern w:val="32"/>
                <w:sz w:val="24"/>
                <w:szCs w:val="24"/>
              </w:rPr>
              <w:t>1516.10.12</w:t>
            </w:r>
            <w:r w:rsidRPr="0020302E">
              <w:rPr>
                <w:rFonts w:hAnsi="Arial" w:hint="eastAsia"/>
                <w:kern w:val="32"/>
                <w:sz w:val="24"/>
                <w:szCs w:val="24"/>
              </w:rPr>
              <w:t>號</w:t>
            </w:r>
          </w:p>
          <w:p w:rsidR="00FD0498" w:rsidRPr="0020302E" w:rsidRDefault="00FD0498" w:rsidP="00441521">
            <w:pPr>
              <w:outlineLvl w:val="3"/>
              <w:rPr>
                <w:rFonts w:hAnsi="Arial"/>
                <w:kern w:val="32"/>
                <w:sz w:val="24"/>
                <w:szCs w:val="24"/>
              </w:rPr>
            </w:pPr>
            <w:r w:rsidRPr="0020302E">
              <w:rPr>
                <w:rFonts w:hAnsi="Arial" w:hint="eastAsia"/>
                <w:kern w:val="32"/>
                <w:sz w:val="24"/>
                <w:szCs w:val="24"/>
              </w:rPr>
              <w:t>第</w:t>
            </w:r>
            <w:r w:rsidRPr="0020302E">
              <w:rPr>
                <w:rFonts w:hAnsi="Arial"/>
                <w:kern w:val="32"/>
                <w:sz w:val="24"/>
                <w:szCs w:val="24"/>
              </w:rPr>
              <w:t>1516.10.22</w:t>
            </w:r>
            <w:r w:rsidRPr="0020302E">
              <w:rPr>
                <w:rFonts w:hAnsi="Arial" w:hint="eastAsia"/>
                <w:kern w:val="32"/>
                <w:sz w:val="24"/>
                <w:szCs w:val="24"/>
              </w:rPr>
              <w:t>號</w:t>
            </w:r>
          </w:p>
          <w:p w:rsidR="00FD0498" w:rsidRPr="0020302E" w:rsidRDefault="00FD0498" w:rsidP="00441521">
            <w:pPr>
              <w:outlineLvl w:val="3"/>
              <w:rPr>
                <w:rFonts w:hAnsi="Arial"/>
                <w:kern w:val="32"/>
                <w:sz w:val="24"/>
                <w:szCs w:val="24"/>
              </w:rPr>
            </w:pPr>
            <w:r w:rsidRPr="0020302E">
              <w:rPr>
                <w:rFonts w:hAnsi="Arial" w:hint="eastAsia"/>
                <w:kern w:val="32"/>
                <w:sz w:val="24"/>
                <w:szCs w:val="24"/>
              </w:rPr>
              <w:t>CCC code</w:t>
            </w:r>
          </w:p>
          <w:p w:rsidR="00FD0498" w:rsidRPr="0020302E" w:rsidRDefault="00FD0498" w:rsidP="00441521">
            <w:pPr>
              <w:outlineLvl w:val="3"/>
              <w:rPr>
                <w:rFonts w:hAnsi="Arial"/>
                <w:kern w:val="32"/>
                <w:sz w:val="24"/>
                <w:szCs w:val="24"/>
              </w:rPr>
            </w:pPr>
            <w:r w:rsidRPr="0020302E">
              <w:rPr>
                <w:rFonts w:hAnsi="Arial" w:hint="eastAsia"/>
                <w:kern w:val="32"/>
                <w:sz w:val="24"/>
                <w:szCs w:val="24"/>
              </w:rPr>
              <w:t>2106.90.20.20-2</w:t>
            </w:r>
          </w:p>
          <w:p w:rsidR="00FD0498" w:rsidRPr="0020302E" w:rsidRDefault="00FD0498" w:rsidP="00441521">
            <w:pPr>
              <w:outlineLvl w:val="3"/>
              <w:rPr>
                <w:rFonts w:hAnsi="Arial"/>
                <w:kern w:val="32"/>
                <w:sz w:val="24"/>
                <w:szCs w:val="24"/>
              </w:rPr>
            </w:pPr>
            <w:r w:rsidRPr="0020302E">
              <w:rPr>
                <w:rFonts w:hAnsi="Arial" w:hint="eastAsia"/>
                <w:kern w:val="32"/>
                <w:sz w:val="24"/>
                <w:szCs w:val="24"/>
              </w:rPr>
              <w:t>CCC code</w:t>
            </w:r>
          </w:p>
          <w:p w:rsidR="00FD0498" w:rsidRPr="0020302E" w:rsidRDefault="00FD0498" w:rsidP="00441521">
            <w:pPr>
              <w:outlineLvl w:val="3"/>
              <w:rPr>
                <w:rFonts w:hAnsi="Arial"/>
                <w:kern w:val="32"/>
                <w:sz w:val="24"/>
                <w:szCs w:val="24"/>
              </w:rPr>
            </w:pPr>
            <w:r w:rsidRPr="0020302E">
              <w:rPr>
                <w:rFonts w:hAnsi="Arial" w:hint="eastAsia"/>
                <w:kern w:val="32"/>
                <w:sz w:val="24"/>
                <w:szCs w:val="24"/>
              </w:rPr>
              <w:t>2106.90.99.20-8</w:t>
            </w:r>
          </w:p>
        </w:tc>
        <w:tc>
          <w:tcPr>
            <w:tcW w:w="2977" w:type="dxa"/>
          </w:tcPr>
          <w:p w:rsidR="00FD0498" w:rsidRPr="0020302E" w:rsidRDefault="00FD0498" w:rsidP="00441521">
            <w:pPr>
              <w:outlineLvl w:val="3"/>
              <w:rPr>
                <w:rFonts w:hAnsi="Arial"/>
                <w:kern w:val="32"/>
                <w:sz w:val="24"/>
                <w:szCs w:val="24"/>
              </w:rPr>
            </w:pPr>
            <w:r w:rsidRPr="0020302E">
              <w:rPr>
                <w:rFonts w:hAnsi="Arial" w:hint="eastAsia"/>
                <w:kern w:val="32"/>
                <w:sz w:val="24"/>
                <w:szCs w:val="24"/>
              </w:rPr>
              <w:t>魚油，</w:t>
            </w:r>
            <w:proofErr w:type="gramStart"/>
            <w:r w:rsidRPr="0020302E">
              <w:rPr>
                <w:rFonts w:hAnsi="Arial" w:hint="eastAsia"/>
                <w:kern w:val="32"/>
                <w:sz w:val="24"/>
                <w:szCs w:val="24"/>
              </w:rPr>
              <w:t>酸價不</w:t>
            </w:r>
            <w:proofErr w:type="gramEnd"/>
            <w:r w:rsidRPr="0020302E">
              <w:rPr>
                <w:rFonts w:hAnsi="Arial" w:hint="eastAsia"/>
                <w:kern w:val="32"/>
                <w:sz w:val="24"/>
                <w:szCs w:val="24"/>
              </w:rPr>
              <w:t>超過１</w:t>
            </w:r>
          </w:p>
          <w:p w:rsidR="00FD0498" w:rsidRPr="0020302E" w:rsidRDefault="00FD0498" w:rsidP="00441521">
            <w:pPr>
              <w:outlineLvl w:val="3"/>
              <w:rPr>
                <w:rFonts w:hAnsi="Arial"/>
                <w:kern w:val="32"/>
                <w:sz w:val="24"/>
                <w:szCs w:val="24"/>
              </w:rPr>
            </w:pPr>
            <w:r w:rsidRPr="0020302E">
              <w:rPr>
                <w:rFonts w:hAnsi="Arial" w:hint="eastAsia"/>
                <w:kern w:val="32"/>
                <w:sz w:val="24"/>
                <w:szCs w:val="24"/>
              </w:rPr>
              <w:t>魚油，</w:t>
            </w:r>
            <w:proofErr w:type="gramStart"/>
            <w:r w:rsidRPr="0020302E">
              <w:rPr>
                <w:rFonts w:hAnsi="Arial" w:hint="eastAsia"/>
                <w:kern w:val="32"/>
                <w:sz w:val="24"/>
                <w:szCs w:val="24"/>
              </w:rPr>
              <w:t>酸價超過</w:t>
            </w:r>
            <w:proofErr w:type="gramEnd"/>
            <w:r w:rsidRPr="0020302E">
              <w:rPr>
                <w:rFonts w:hAnsi="Arial" w:hint="eastAsia"/>
                <w:kern w:val="32"/>
                <w:sz w:val="24"/>
                <w:szCs w:val="24"/>
              </w:rPr>
              <w:t>１</w:t>
            </w:r>
          </w:p>
          <w:p w:rsidR="00FD0498" w:rsidRPr="0020302E" w:rsidRDefault="00FD0498" w:rsidP="00441521">
            <w:pPr>
              <w:outlineLvl w:val="3"/>
              <w:rPr>
                <w:rFonts w:hAnsi="Arial"/>
                <w:kern w:val="32"/>
                <w:sz w:val="24"/>
                <w:szCs w:val="24"/>
              </w:rPr>
            </w:pPr>
          </w:p>
          <w:p w:rsidR="00FD0498" w:rsidRPr="0020302E" w:rsidRDefault="00FD0498" w:rsidP="00441521">
            <w:pPr>
              <w:outlineLvl w:val="3"/>
              <w:rPr>
                <w:rFonts w:hAnsi="Arial"/>
                <w:kern w:val="32"/>
                <w:sz w:val="24"/>
                <w:szCs w:val="24"/>
              </w:rPr>
            </w:pPr>
            <w:r w:rsidRPr="0020302E">
              <w:rPr>
                <w:rFonts w:hAnsi="Arial" w:hint="eastAsia"/>
                <w:kern w:val="32"/>
                <w:sz w:val="24"/>
                <w:szCs w:val="24"/>
              </w:rPr>
              <w:t>專供病患用之特殊營養食品</w:t>
            </w:r>
          </w:p>
          <w:p w:rsidR="00FD0498" w:rsidRPr="0020302E" w:rsidRDefault="00FD0498" w:rsidP="00441521">
            <w:pPr>
              <w:outlineLvl w:val="3"/>
              <w:rPr>
                <w:rFonts w:hAnsi="Arial"/>
                <w:kern w:val="32"/>
                <w:sz w:val="24"/>
                <w:szCs w:val="24"/>
              </w:rPr>
            </w:pPr>
            <w:proofErr w:type="gramStart"/>
            <w:r w:rsidRPr="0020302E">
              <w:rPr>
                <w:rFonts w:hAnsi="Arial" w:hint="eastAsia"/>
                <w:kern w:val="32"/>
                <w:sz w:val="24"/>
                <w:szCs w:val="24"/>
              </w:rPr>
              <w:t>錠劑</w:t>
            </w:r>
            <w:proofErr w:type="gramEnd"/>
            <w:r w:rsidRPr="0020302E">
              <w:rPr>
                <w:rFonts w:hAnsi="Arial" w:hint="eastAsia"/>
                <w:kern w:val="32"/>
                <w:sz w:val="24"/>
                <w:szCs w:val="24"/>
              </w:rPr>
              <w:t>、膠囊狀食物製品</w:t>
            </w:r>
          </w:p>
        </w:tc>
        <w:tc>
          <w:tcPr>
            <w:tcW w:w="1275" w:type="dxa"/>
          </w:tcPr>
          <w:p w:rsidR="00FD0498" w:rsidRPr="0020302E" w:rsidRDefault="00FD0498" w:rsidP="00441521">
            <w:pPr>
              <w:jc w:val="center"/>
              <w:outlineLvl w:val="3"/>
              <w:rPr>
                <w:rFonts w:hAnsi="Arial"/>
                <w:kern w:val="32"/>
                <w:sz w:val="24"/>
                <w:szCs w:val="24"/>
              </w:rPr>
            </w:pPr>
            <w:r w:rsidRPr="0020302E">
              <w:rPr>
                <w:rFonts w:hAnsi="Arial" w:hint="eastAsia"/>
                <w:kern w:val="32"/>
                <w:sz w:val="24"/>
                <w:szCs w:val="24"/>
              </w:rPr>
              <w:t>2.5</w:t>
            </w:r>
            <w:proofErr w:type="gramStart"/>
            <w:r w:rsidR="00533AD9" w:rsidRPr="0020302E">
              <w:rPr>
                <w:rFonts w:hAnsi="Arial" w:hint="eastAsia"/>
                <w:kern w:val="32"/>
                <w:sz w:val="24"/>
                <w:szCs w:val="24"/>
              </w:rPr>
              <w:t>﹪</w:t>
            </w:r>
            <w:proofErr w:type="gramEnd"/>
          </w:p>
          <w:p w:rsidR="00FD0498" w:rsidRPr="0020302E" w:rsidRDefault="00FD0498" w:rsidP="00441521">
            <w:pPr>
              <w:jc w:val="center"/>
              <w:outlineLvl w:val="3"/>
              <w:rPr>
                <w:rFonts w:hAnsi="Arial"/>
                <w:kern w:val="32"/>
                <w:sz w:val="24"/>
                <w:szCs w:val="24"/>
              </w:rPr>
            </w:pPr>
            <w:r w:rsidRPr="0020302E">
              <w:rPr>
                <w:rFonts w:hAnsi="Arial" w:hint="eastAsia"/>
                <w:kern w:val="32"/>
                <w:sz w:val="24"/>
                <w:szCs w:val="24"/>
              </w:rPr>
              <w:t>2.5</w:t>
            </w:r>
            <w:proofErr w:type="gramStart"/>
            <w:r w:rsidR="00533AD9" w:rsidRPr="0020302E">
              <w:rPr>
                <w:rFonts w:hAnsi="Arial" w:hint="eastAsia"/>
                <w:kern w:val="32"/>
                <w:sz w:val="24"/>
                <w:szCs w:val="24"/>
              </w:rPr>
              <w:t>﹪</w:t>
            </w:r>
            <w:proofErr w:type="gramEnd"/>
          </w:p>
          <w:p w:rsidR="00FD0498" w:rsidRPr="0020302E" w:rsidRDefault="00FD0498" w:rsidP="00441521">
            <w:pPr>
              <w:jc w:val="center"/>
              <w:outlineLvl w:val="3"/>
              <w:rPr>
                <w:rFonts w:hAnsi="Arial"/>
                <w:kern w:val="32"/>
                <w:sz w:val="24"/>
                <w:szCs w:val="24"/>
              </w:rPr>
            </w:pPr>
          </w:p>
          <w:p w:rsidR="00FD0498" w:rsidRPr="0020302E" w:rsidRDefault="00FD0498" w:rsidP="00441521">
            <w:pPr>
              <w:jc w:val="center"/>
              <w:outlineLvl w:val="3"/>
              <w:rPr>
                <w:rFonts w:hAnsi="Arial"/>
                <w:kern w:val="32"/>
                <w:sz w:val="24"/>
                <w:szCs w:val="24"/>
              </w:rPr>
            </w:pPr>
            <w:r w:rsidRPr="0020302E">
              <w:rPr>
                <w:rFonts w:hAnsi="Arial" w:hint="eastAsia"/>
                <w:kern w:val="32"/>
                <w:sz w:val="24"/>
                <w:szCs w:val="24"/>
              </w:rPr>
              <w:t>10</w:t>
            </w:r>
            <w:proofErr w:type="gramStart"/>
            <w:r w:rsidR="00533AD9" w:rsidRPr="0020302E">
              <w:rPr>
                <w:rFonts w:hAnsi="Arial" w:hint="eastAsia"/>
                <w:kern w:val="32"/>
                <w:sz w:val="24"/>
                <w:szCs w:val="24"/>
              </w:rPr>
              <w:t>﹪</w:t>
            </w:r>
            <w:proofErr w:type="gramEnd"/>
          </w:p>
          <w:p w:rsidR="00FD0498" w:rsidRPr="0020302E" w:rsidRDefault="00FD0498" w:rsidP="00441521">
            <w:pPr>
              <w:jc w:val="center"/>
              <w:outlineLvl w:val="3"/>
              <w:rPr>
                <w:rFonts w:hAnsi="Arial"/>
                <w:kern w:val="32"/>
                <w:sz w:val="24"/>
                <w:szCs w:val="24"/>
              </w:rPr>
            </w:pPr>
          </w:p>
          <w:p w:rsidR="00FD0498" w:rsidRPr="0020302E" w:rsidRDefault="00FD0498" w:rsidP="00441521">
            <w:pPr>
              <w:jc w:val="center"/>
              <w:outlineLvl w:val="3"/>
              <w:rPr>
                <w:rFonts w:hAnsi="Arial"/>
                <w:kern w:val="32"/>
                <w:sz w:val="24"/>
                <w:szCs w:val="24"/>
              </w:rPr>
            </w:pPr>
            <w:r w:rsidRPr="0020302E">
              <w:rPr>
                <w:rFonts w:hAnsi="Arial" w:hint="eastAsia"/>
                <w:kern w:val="32"/>
                <w:sz w:val="24"/>
                <w:szCs w:val="24"/>
              </w:rPr>
              <w:t>30</w:t>
            </w:r>
            <w:proofErr w:type="gramStart"/>
            <w:r w:rsidR="00533AD9" w:rsidRPr="0020302E">
              <w:rPr>
                <w:rFonts w:hAnsi="Arial" w:hint="eastAsia"/>
                <w:kern w:val="32"/>
                <w:sz w:val="24"/>
                <w:szCs w:val="24"/>
              </w:rPr>
              <w:t>﹪</w:t>
            </w:r>
            <w:proofErr w:type="gramEnd"/>
          </w:p>
        </w:tc>
        <w:tc>
          <w:tcPr>
            <w:tcW w:w="988" w:type="dxa"/>
          </w:tcPr>
          <w:p w:rsidR="00FD0498" w:rsidRPr="0020302E" w:rsidRDefault="00FD0498" w:rsidP="00441521">
            <w:pPr>
              <w:outlineLvl w:val="3"/>
              <w:rPr>
                <w:rFonts w:hAnsi="Arial"/>
                <w:kern w:val="32"/>
                <w:sz w:val="24"/>
                <w:szCs w:val="24"/>
              </w:rPr>
            </w:pPr>
          </w:p>
        </w:tc>
      </w:tr>
      <w:tr w:rsidR="00741287" w:rsidRPr="0020302E" w:rsidTr="00441521">
        <w:trPr>
          <w:jc w:val="center"/>
        </w:trPr>
        <w:tc>
          <w:tcPr>
            <w:tcW w:w="1423" w:type="dxa"/>
            <w:vMerge w:val="restart"/>
            <w:vAlign w:val="center"/>
          </w:tcPr>
          <w:p w:rsidR="00FD0498" w:rsidRPr="0020302E" w:rsidRDefault="00FD0498" w:rsidP="00441521">
            <w:pPr>
              <w:jc w:val="left"/>
              <w:outlineLvl w:val="3"/>
              <w:rPr>
                <w:rFonts w:hAnsi="Arial"/>
                <w:kern w:val="32"/>
                <w:sz w:val="24"/>
                <w:szCs w:val="24"/>
              </w:rPr>
            </w:pPr>
            <w:r w:rsidRPr="0020302E">
              <w:rPr>
                <w:rFonts w:hAnsi="Arial" w:hint="eastAsia"/>
                <w:kern w:val="32"/>
                <w:sz w:val="24"/>
                <w:szCs w:val="24"/>
              </w:rPr>
              <w:t>香菸</w:t>
            </w:r>
          </w:p>
        </w:tc>
        <w:tc>
          <w:tcPr>
            <w:tcW w:w="2693" w:type="dxa"/>
          </w:tcPr>
          <w:p w:rsidR="00FD0498" w:rsidRPr="0020302E" w:rsidRDefault="00FD0498" w:rsidP="00441521">
            <w:pPr>
              <w:outlineLvl w:val="3"/>
              <w:rPr>
                <w:rFonts w:hAnsi="Arial"/>
                <w:b/>
                <w:kern w:val="32"/>
                <w:sz w:val="24"/>
                <w:szCs w:val="36"/>
              </w:rPr>
            </w:pPr>
            <w:r w:rsidRPr="0020302E">
              <w:rPr>
                <w:rFonts w:hAnsi="Arial" w:hint="eastAsia"/>
                <w:b/>
                <w:kern w:val="32"/>
                <w:sz w:val="24"/>
                <w:szCs w:val="24"/>
              </w:rPr>
              <w:t>雪茄</w:t>
            </w:r>
          </w:p>
          <w:p w:rsidR="00FD0498" w:rsidRPr="0020302E" w:rsidRDefault="00FD0498" w:rsidP="00441521">
            <w:pPr>
              <w:outlineLvl w:val="3"/>
              <w:rPr>
                <w:rFonts w:hAnsi="Arial"/>
                <w:kern w:val="32"/>
                <w:sz w:val="24"/>
                <w:szCs w:val="36"/>
              </w:rPr>
            </w:pPr>
            <w:r w:rsidRPr="0020302E">
              <w:rPr>
                <w:rFonts w:hAnsi="Arial" w:hint="eastAsia"/>
                <w:kern w:val="32"/>
                <w:sz w:val="24"/>
                <w:szCs w:val="36"/>
              </w:rPr>
              <w:t>第2402.10.00號</w:t>
            </w:r>
          </w:p>
          <w:p w:rsidR="00FD0498" w:rsidRPr="0020302E" w:rsidRDefault="00FD0498" w:rsidP="00441521">
            <w:pPr>
              <w:outlineLvl w:val="3"/>
              <w:rPr>
                <w:rFonts w:hAnsi="Arial"/>
                <w:kern w:val="32"/>
                <w:sz w:val="24"/>
                <w:szCs w:val="36"/>
              </w:rPr>
            </w:pPr>
          </w:p>
          <w:p w:rsidR="00FD0498" w:rsidRPr="0020302E" w:rsidRDefault="00FD0498" w:rsidP="00441521">
            <w:pPr>
              <w:outlineLvl w:val="3"/>
              <w:rPr>
                <w:rFonts w:hAnsi="Arial"/>
                <w:kern w:val="32"/>
                <w:sz w:val="24"/>
                <w:szCs w:val="24"/>
              </w:rPr>
            </w:pPr>
            <w:r w:rsidRPr="0020302E">
              <w:rPr>
                <w:rFonts w:hAnsi="Arial" w:hint="eastAsia"/>
                <w:kern w:val="32"/>
                <w:sz w:val="24"/>
                <w:szCs w:val="36"/>
              </w:rPr>
              <w:t>第2402.90.10號</w:t>
            </w:r>
          </w:p>
        </w:tc>
        <w:tc>
          <w:tcPr>
            <w:tcW w:w="2977" w:type="dxa"/>
          </w:tcPr>
          <w:p w:rsidR="00FD0498" w:rsidRPr="0020302E" w:rsidRDefault="00FD0498" w:rsidP="00441521">
            <w:pPr>
              <w:outlineLvl w:val="3"/>
              <w:rPr>
                <w:rFonts w:hAnsi="Arial"/>
                <w:kern w:val="32"/>
                <w:sz w:val="24"/>
                <w:szCs w:val="36"/>
              </w:rPr>
            </w:pPr>
          </w:p>
          <w:p w:rsidR="00FD0498" w:rsidRPr="0020302E" w:rsidRDefault="00FD0498" w:rsidP="00441521">
            <w:pPr>
              <w:outlineLvl w:val="3"/>
              <w:rPr>
                <w:rFonts w:hAnsi="Arial"/>
                <w:kern w:val="32"/>
                <w:sz w:val="24"/>
                <w:szCs w:val="36"/>
              </w:rPr>
            </w:pPr>
            <w:r w:rsidRPr="0020302E">
              <w:rPr>
                <w:rFonts w:hAnsi="Arial" w:hint="eastAsia"/>
                <w:kern w:val="32"/>
                <w:sz w:val="24"/>
                <w:szCs w:val="36"/>
              </w:rPr>
              <w:t>含菸葉之雪茄</w:t>
            </w:r>
            <w:proofErr w:type="gramStart"/>
            <w:r w:rsidRPr="0020302E">
              <w:rPr>
                <w:rFonts w:hAnsi="Arial" w:hint="eastAsia"/>
                <w:kern w:val="32"/>
                <w:sz w:val="24"/>
                <w:szCs w:val="36"/>
              </w:rPr>
              <w:t>菸</w:t>
            </w:r>
            <w:proofErr w:type="gramEnd"/>
            <w:r w:rsidRPr="0020302E">
              <w:rPr>
                <w:rFonts w:hAnsi="Arial" w:hint="eastAsia"/>
                <w:kern w:val="32"/>
                <w:sz w:val="24"/>
                <w:szCs w:val="36"/>
              </w:rPr>
              <w:t>、呂宋菸及小雪茄菸</w:t>
            </w:r>
          </w:p>
          <w:p w:rsidR="00FD0498" w:rsidRPr="0020302E" w:rsidRDefault="00FD0498" w:rsidP="00441521">
            <w:pPr>
              <w:outlineLvl w:val="3"/>
              <w:rPr>
                <w:rFonts w:hAnsi="Arial"/>
                <w:kern w:val="32"/>
                <w:sz w:val="24"/>
                <w:szCs w:val="24"/>
              </w:rPr>
            </w:pPr>
            <w:r w:rsidRPr="0020302E">
              <w:rPr>
                <w:rFonts w:hAnsi="Arial" w:hint="eastAsia"/>
                <w:kern w:val="32"/>
                <w:sz w:val="24"/>
                <w:szCs w:val="36"/>
              </w:rPr>
              <w:t>含菸葉代用品之雪茄</w:t>
            </w:r>
            <w:proofErr w:type="gramStart"/>
            <w:r w:rsidRPr="0020302E">
              <w:rPr>
                <w:rFonts w:hAnsi="Arial" w:hint="eastAsia"/>
                <w:kern w:val="32"/>
                <w:sz w:val="24"/>
                <w:szCs w:val="36"/>
              </w:rPr>
              <w:t>菸</w:t>
            </w:r>
            <w:proofErr w:type="gramEnd"/>
            <w:r w:rsidRPr="0020302E">
              <w:rPr>
                <w:rFonts w:hAnsi="Arial" w:hint="eastAsia"/>
                <w:kern w:val="32"/>
                <w:sz w:val="24"/>
                <w:szCs w:val="36"/>
              </w:rPr>
              <w:t>、呂宋菸及小雪茄菸</w:t>
            </w:r>
          </w:p>
        </w:tc>
        <w:tc>
          <w:tcPr>
            <w:tcW w:w="1275" w:type="dxa"/>
            <w:vAlign w:val="center"/>
          </w:tcPr>
          <w:p w:rsidR="00FD0498" w:rsidRPr="0020302E" w:rsidRDefault="00FD0498" w:rsidP="00441521">
            <w:pPr>
              <w:jc w:val="center"/>
              <w:outlineLvl w:val="3"/>
              <w:rPr>
                <w:rFonts w:hAnsi="Arial"/>
                <w:kern w:val="32"/>
                <w:sz w:val="24"/>
                <w:szCs w:val="24"/>
              </w:rPr>
            </w:pPr>
            <w:r w:rsidRPr="0020302E">
              <w:rPr>
                <w:rFonts w:hAnsi="Arial" w:hint="eastAsia"/>
                <w:kern w:val="32"/>
                <w:sz w:val="24"/>
                <w:szCs w:val="36"/>
              </w:rPr>
              <w:t>20</w:t>
            </w:r>
            <w:proofErr w:type="gramStart"/>
            <w:r w:rsidR="00533AD9" w:rsidRPr="0020302E">
              <w:rPr>
                <w:rFonts w:hAnsi="Arial" w:hint="eastAsia"/>
                <w:kern w:val="32"/>
                <w:sz w:val="24"/>
                <w:szCs w:val="36"/>
              </w:rPr>
              <w:t>﹪</w:t>
            </w:r>
            <w:proofErr w:type="gramEnd"/>
          </w:p>
        </w:tc>
        <w:tc>
          <w:tcPr>
            <w:tcW w:w="988" w:type="dxa"/>
          </w:tcPr>
          <w:p w:rsidR="00FD0498" w:rsidRPr="0020302E" w:rsidRDefault="00FD0498" w:rsidP="00441521">
            <w:pPr>
              <w:outlineLvl w:val="3"/>
              <w:rPr>
                <w:rFonts w:hAnsi="Arial"/>
                <w:kern w:val="32"/>
                <w:sz w:val="24"/>
                <w:szCs w:val="24"/>
              </w:rPr>
            </w:pPr>
          </w:p>
        </w:tc>
      </w:tr>
      <w:tr w:rsidR="00741287" w:rsidRPr="0020302E" w:rsidTr="00441521">
        <w:trPr>
          <w:jc w:val="center"/>
        </w:trPr>
        <w:tc>
          <w:tcPr>
            <w:tcW w:w="1423" w:type="dxa"/>
            <w:vMerge/>
            <w:vAlign w:val="center"/>
          </w:tcPr>
          <w:p w:rsidR="00FD0498" w:rsidRPr="0020302E" w:rsidRDefault="00FD0498" w:rsidP="00441521">
            <w:pPr>
              <w:outlineLvl w:val="3"/>
              <w:rPr>
                <w:rFonts w:hAnsi="Arial"/>
                <w:kern w:val="32"/>
                <w:sz w:val="24"/>
                <w:szCs w:val="24"/>
              </w:rPr>
            </w:pPr>
          </w:p>
        </w:tc>
        <w:tc>
          <w:tcPr>
            <w:tcW w:w="2693" w:type="dxa"/>
          </w:tcPr>
          <w:p w:rsidR="00FD0498" w:rsidRPr="0020302E" w:rsidRDefault="00FD0498" w:rsidP="00441521">
            <w:pPr>
              <w:outlineLvl w:val="3"/>
              <w:rPr>
                <w:rFonts w:hAnsi="Arial"/>
                <w:b/>
                <w:kern w:val="32"/>
                <w:sz w:val="24"/>
                <w:szCs w:val="24"/>
              </w:rPr>
            </w:pPr>
            <w:r w:rsidRPr="0020302E">
              <w:rPr>
                <w:rFonts w:hAnsi="Arial" w:hint="eastAsia"/>
                <w:b/>
                <w:kern w:val="32"/>
                <w:sz w:val="24"/>
                <w:szCs w:val="24"/>
              </w:rPr>
              <w:t>紙</w:t>
            </w:r>
            <w:proofErr w:type="gramStart"/>
            <w:r w:rsidRPr="0020302E">
              <w:rPr>
                <w:rFonts w:hAnsi="Arial" w:hint="eastAsia"/>
                <w:b/>
                <w:kern w:val="32"/>
                <w:sz w:val="24"/>
                <w:szCs w:val="24"/>
              </w:rPr>
              <w:t>捲</w:t>
            </w:r>
            <w:proofErr w:type="gramEnd"/>
            <w:r w:rsidRPr="0020302E">
              <w:rPr>
                <w:rFonts w:hAnsi="Arial" w:hint="eastAsia"/>
                <w:b/>
                <w:kern w:val="32"/>
                <w:sz w:val="24"/>
                <w:szCs w:val="24"/>
              </w:rPr>
              <w:t>菸</w:t>
            </w:r>
          </w:p>
          <w:p w:rsidR="00FD0498" w:rsidRPr="0020302E" w:rsidRDefault="00FD0498" w:rsidP="00441521">
            <w:pPr>
              <w:outlineLvl w:val="3"/>
              <w:rPr>
                <w:rFonts w:hAnsi="Arial"/>
                <w:kern w:val="32"/>
                <w:sz w:val="24"/>
                <w:szCs w:val="36"/>
              </w:rPr>
            </w:pPr>
            <w:r w:rsidRPr="0020302E">
              <w:rPr>
                <w:rFonts w:hAnsi="Arial" w:hint="eastAsia"/>
                <w:kern w:val="32"/>
                <w:sz w:val="24"/>
                <w:szCs w:val="36"/>
              </w:rPr>
              <w:t>第2402.20.00號</w:t>
            </w:r>
          </w:p>
          <w:p w:rsidR="00FD0498" w:rsidRPr="0020302E" w:rsidRDefault="00FD0498" w:rsidP="00441521">
            <w:pPr>
              <w:outlineLvl w:val="3"/>
              <w:rPr>
                <w:rFonts w:hAnsi="Arial"/>
                <w:kern w:val="32"/>
                <w:sz w:val="24"/>
                <w:szCs w:val="24"/>
              </w:rPr>
            </w:pPr>
            <w:r w:rsidRPr="0020302E">
              <w:rPr>
                <w:rFonts w:hAnsi="Arial" w:hint="eastAsia"/>
                <w:kern w:val="32"/>
                <w:sz w:val="24"/>
                <w:szCs w:val="36"/>
              </w:rPr>
              <w:t>第</w:t>
            </w:r>
            <w:r w:rsidRPr="0020302E">
              <w:rPr>
                <w:rFonts w:hAnsi="Arial" w:hint="eastAsia"/>
                <w:kern w:val="32"/>
                <w:sz w:val="24"/>
                <w:szCs w:val="24"/>
              </w:rPr>
              <w:t>2402.90.20</w:t>
            </w:r>
            <w:r w:rsidRPr="0020302E">
              <w:rPr>
                <w:rFonts w:hAnsi="Arial" w:hint="eastAsia"/>
                <w:kern w:val="32"/>
                <w:sz w:val="24"/>
                <w:szCs w:val="36"/>
              </w:rPr>
              <w:t>號</w:t>
            </w:r>
            <w:r w:rsidRPr="0020302E">
              <w:rPr>
                <w:rFonts w:hAnsi="Arial" w:hint="eastAsia"/>
                <w:kern w:val="32"/>
                <w:sz w:val="24"/>
                <w:szCs w:val="24"/>
              </w:rPr>
              <w:tab/>
            </w:r>
          </w:p>
        </w:tc>
        <w:tc>
          <w:tcPr>
            <w:tcW w:w="2977" w:type="dxa"/>
          </w:tcPr>
          <w:p w:rsidR="00FD0498" w:rsidRPr="0020302E" w:rsidRDefault="00FD0498" w:rsidP="00441521">
            <w:pPr>
              <w:outlineLvl w:val="3"/>
              <w:rPr>
                <w:rFonts w:hAnsi="Arial"/>
                <w:kern w:val="32"/>
                <w:sz w:val="24"/>
                <w:szCs w:val="36"/>
              </w:rPr>
            </w:pPr>
          </w:p>
          <w:p w:rsidR="00FD0498" w:rsidRPr="0020302E" w:rsidRDefault="00FD0498" w:rsidP="00441521">
            <w:pPr>
              <w:outlineLvl w:val="3"/>
              <w:rPr>
                <w:rFonts w:hAnsi="Arial"/>
                <w:kern w:val="32"/>
                <w:sz w:val="24"/>
                <w:szCs w:val="36"/>
              </w:rPr>
            </w:pPr>
            <w:r w:rsidRPr="0020302E">
              <w:rPr>
                <w:rFonts w:hAnsi="Arial" w:hint="eastAsia"/>
                <w:kern w:val="32"/>
                <w:sz w:val="24"/>
                <w:szCs w:val="36"/>
              </w:rPr>
              <w:t>含菸葉之紙</w:t>
            </w:r>
            <w:proofErr w:type="gramStart"/>
            <w:r w:rsidRPr="0020302E">
              <w:rPr>
                <w:rFonts w:hAnsi="Arial" w:hint="eastAsia"/>
                <w:kern w:val="32"/>
                <w:sz w:val="24"/>
                <w:szCs w:val="36"/>
              </w:rPr>
              <w:t>菸</w:t>
            </w:r>
            <w:proofErr w:type="gramEnd"/>
          </w:p>
          <w:p w:rsidR="00FD0498" w:rsidRPr="0020302E" w:rsidRDefault="00FD0498" w:rsidP="00441521">
            <w:pPr>
              <w:outlineLvl w:val="3"/>
              <w:rPr>
                <w:rFonts w:hAnsi="Arial"/>
                <w:kern w:val="32"/>
                <w:sz w:val="24"/>
                <w:szCs w:val="24"/>
              </w:rPr>
            </w:pPr>
            <w:r w:rsidRPr="0020302E">
              <w:rPr>
                <w:rFonts w:hAnsi="Arial" w:hint="eastAsia"/>
                <w:kern w:val="32"/>
                <w:sz w:val="24"/>
                <w:szCs w:val="24"/>
              </w:rPr>
              <w:t>含菸葉代用品之紙</w:t>
            </w:r>
            <w:proofErr w:type="gramStart"/>
            <w:r w:rsidRPr="0020302E">
              <w:rPr>
                <w:rFonts w:hAnsi="Arial" w:hint="eastAsia"/>
                <w:kern w:val="32"/>
                <w:sz w:val="24"/>
                <w:szCs w:val="24"/>
              </w:rPr>
              <w:t>菸</w:t>
            </w:r>
            <w:proofErr w:type="gramEnd"/>
          </w:p>
        </w:tc>
        <w:tc>
          <w:tcPr>
            <w:tcW w:w="1275" w:type="dxa"/>
            <w:vAlign w:val="center"/>
          </w:tcPr>
          <w:p w:rsidR="00FD0498" w:rsidRPr="0020302E" w:rsidRDefault="00FD0498" w:rsidP="00441521">
            <w:pPr>
              <w:jc w:val="center"/>
              <w:outlineLvl w:val="3"/>
              <w:rPr>
                <w:rFonts w:hAnsi="Arial"/>
                <w:kern w:val="32"/>
                <w:sz w:val="24"/>
                <w:szCs w:val="24"/>
              </w:rPr>
            </w:pPr>
            <w:r w:rsidRPr="0020302E">
              <w:rPr>
                <w:rFonts w:hAnsi="Arial" w:hint="eastAsia"/>
                <w:kern w:val="32"/>
                <w:sz w:val="24"/>
                <w:szCs w:val="36"/>
              </w:rPr>
              <w:t>27</w:t>
            </w:r>
            <w:proofErr w:type="gramStart"/>
            <w:r w:rsidR="00533AD9" w:rsidRPr="0020302E">
              <w:rPr>
                <w:rFonts w:hAnsi="Arial" w:hint="eastAsia"/>
                <w:kern w:val="32"/>
                <w:sz w:val="24"/>
                <w:szCs w:val="36"/>
              </w:rPr>
              <w:t>﹪</w:t>
            </w:r>
            <w:proofErr w:type="gramEnd"/>
          </w:p>
        </w:tc>
        <w:tc>
          <w:tcPr>
            <w:tcW w:w="988" w:type="dxa"/>
          </w:tcPr>
          <w:p w:rsidR="00FD0498" w:rsidRPr="0020302E" w:rsidRDefault="00FD0498" w:rsidP="00441521">
            <w:pPr>
              <w:outlineLvl w:val="3"/>
              <w:rPr>
                <w:rFonts w:hAnsi="Arial"/>
                <w:kern w:val="32"/>
                <w:sz w:val="24"/>
                <w:szCs w:val="24"/>
              </w:rPr>
            </w:pPr>
          </w:p>
        </w:tc>
      </w:tr>
    </w:tbl>
    <w:p w:rsidR="00FD0498" w:rsidRPr="0020302E" w:rsidRDefault="00FD0498" w:rsidP="00FD0498">
      <w:pPr>
        <w:pStyle w:val="4"/>
        <w:numPr>
          <w:ilvl w:val="0"/>
          <w:numId w:val="0"/>
        </w:numPr>
        <w:snapToGrid w:val="0"/>
        <w:ind w:leftChars="-83" w:left="2" w:hangingChars="109" w:hanging="284"/>
        <w:rPr>
          <w:sz w:val="24"/>
        </w:rPr>
      </w:pPr>
      <w:proofErr w:type="gramStart"/>
      <w:r w:rsidRPr="0020302E">
        <w:rPr>
          <w:rFonts w:hint="eastAsia"/>
          <w:sz w:val="24"/>
        </w:rPr>
        <w:t>註</w:t>
      </w:r>
      <w:proofErr w:type="gramEnd"/>
      <w:r w:rsidRPr="0020302E">
        <w:rPr>
          <w:rFonts w:hint="eastAsia"/>
          <w:sz w:val="24"/>
        </w:rPr>
        <w:t>：平均名目稅率係以各章所屬各項稅則之關稅稅率總和除以總項數計算。</w:t>
      </w:r>
    </w:p>
    <w:p w:rsidR="00FD0498" w:rsidRPr="0020302E" w:rsidRDefault="00FD0498" w:rsidP="00FD0498">
      <w:pPr>
        <w:pStyle w:val="4"/>
        <w:numPr>
          <w:ilvl w:val="0"/>
          <w:numId w:val="0"/>
        </w:numPr>
        <w:snapToGrid w:val="0"/>
        <w:ind w:leftChars="-83" w:left="2" w:hangingChars="109" w:hanging="284"/>
        <w:rPr>
          <w:sz w:val="24"/>
          <w:szCs w:val="24"/>
        </w:rPr>
      </w:pPr>
      <w:r w:rsidRPr="0020302E">
        <w:rPr>
          <w:rFonts w:hint="eastAsia"/>
          <w:sz w:val="24"/>
          <w:szCs w:val="24"/>
        </w:rPr>
        <w:t>資料來源：財政部。</w:t>
      </w:r>
    </w:p>
    <w:p w:rsidR="00FD0498" w:rsidRPr="0020302E" w:rsidRDefault="00FD0498" w:rsidP="00FD0498"/>
    <w:p w:rsidR="00FD0498" w:rsidRPr="0020302E" w:rsidRDefault="00FD0498" w:rsidP="00FD0498">
      <w:pPr>
        <w:pStyle w:val="4"/>
      </w:pPr>
      <w:r w:rsidRPr="0020302E">
        <w:rPr>
          <w:rFonts w:hint="eastAsia"/>
        </w:rPr>
        <w:t>我國保健食品與他國關稅稅率比較</w:t>
      </w:r>
    </w:p>
    <w:p w:rsidR="00FD0498" w:rsidRPr="0020302E" w:rsidRDefault="00FD0498" w:rsidP="00FD0498">
      <w:pPr>
        <w:pStyle w:val="4"/>
        <w:numPr>
          <w:ilvl w:val="0"/>
          <w:numId w:val="0"/>
        </w:numPr>
        <w:ind w:left="1701" w:firstLineChars="208" w:firstLine="708"/>
      </w:pPr>
      <w:r w:rsidRPr="0020302E">
        <w:rPr>
          <w:rFonts w:hint="eastAsia"/>
        </w:rPr>
        <w:t>我國保健食品「</w:t>
      </w:r>
      <w:r w:rsidRPr="0020302E">
        <w:rPr>
          <w:rFonts w:hint="eastAsia"/>
        </w:rPr>
        <w:tab/>
      </w:r>
      <w:proofErr w:type="gramStart"/>
      <w:r w:rsidRPr="0020302E">
        <w:rPr>
          <w:rFonts w:hint="eastAsia"/>
        </w:rPr>
        <w:t>錠劑</w:t>
      </w:r>
      <w:proofErr w:type="gramEnd"/>
      <w:r w:rsidRPr="0020302E">
        <w:rPr>
          <w:rFonts w:hint="eastAsia"/>
        </w:rPr>
        <w:t>、膠囊狀食物製品」</w:t>
      </w:r>
      <w:r w:rsidR="004105A7" w:rsidRPr="0020302E">
        <w:rPr>
          <w:rFonts w:hint="eastAsia"/>
        </w:rPr>
        <w:t>關稅稅率</w:t>
      </w:r>
      <w:r w:rsidRPr="0020302E">
        <w:rPr>
          <w:rFonts w:hint="eastAsia"/>
        </w:rPr>
        <w:t>，</w:t>
      </w:r>
      <w:proofErr w:type="gramStart"/>
      <w:r w:rsidRPr="0020302E">
        <w:rPr>
          <w:rFonts w:hint="eastAsia"/>
        </w:rPr>
        <w:t>倘非</w:t>
      </w:r>
      <w:proofErr w:type="gramEnd"/>
      <w:r w:rsidRPr="0020302E">
        <w:rPr>
          <w:rFonts w:hint="eastAsia"/>
        </w:rPr>
        <w:t>屬免稅地區進口者（如紐西蘭及新加坡），屬國定稅率第1欄為30</w:t>
      </w:r>
      <w:r w:rsidR="00533AD9" w:rsidRPr="0020302E">
        <w:rPr>
          <w:rFonts w:hint="eastAsia"/>
        </w:rPr>
        <w:t>﹪</w:t>
      </w:r>
      <w:r w:rsidRPr="0020302E">
        <w:rPr>
          <w:rFonts w:hint="eastAsia"/>
        </w:rPr>
        <w:t>，</w:t>
      </w:r>
      <w:r w:rsidR="004105A7" w:rsidRPr="0020302E">
        <w:rPr>
          <w:rFonts w:hint="eastAsia"/>
        </w:rPr>
        <w:t>達</w:t>
      </w:r>
      <w:r w:rsidRPr="0020302E">
        <w:rPr>
          <w:rFonts w:hint="eastAsia"/>
        </w:rPr>
        <w:t>他國最高</w:t>
      </w:r>
      <w:r w:rsidR="0020302E">
        <w:rPr>
          <w:rFonts w:hint="eastAsia"/>
        </w:rPr>
        <w:t>關稅稅率</w:t>
      </w:r>
      <w:r w:rsidRPr="0020302E">
        <w:rPr>
          <w:rFonts w:hint="eastAsia"/>
        </w:rPr>
        <w:t>1</w:t>
      </w:r>
      <w:r w:rsidRPr="0020302E">
        <w:t>5</w:t>
      </w:r>
      <w:r w:rsidRPr="0020302E">
        <w:rPr>
          <w:rFonts w:hint="eastAsia"/>
        </w:rPr>
        <w:t>﹪</w:t>
      </w:r>
      <w:r w:rsidR="004105A7" w:rsidRPr="0020302E">
        <w:rPr>
          <w:rFonts w:hint="eastAsia"/>
        </w:rPr>
        <w:t>之2倍</w:t>
      </w:r>
      <w:r w:rsidRPr="0020302E">
        <w:rPr>
          <w:rFonts w:hint="eastAsia"/>
        </w:rPr>
        <w:t>，</w:t>
      </w:r>
      <w:r w:rsidR="004105A7" w:rsidRPr="0020302E">
        <w:rPr>
          <w:rFonts w:hint="eastAsia"/>
        </w:rPr>
        <w:t>確</w:t>
      </w:r>
      <w:r w:rsidRPr="0020302E">
        <w:rPr>
          <w:rFonts w:hint="eastAsia"/>
        </w:rPr>
        <w:t>屬偏高，如下表。</w:t>
      </w:r>
    </w:p>
    <w:p w:rsidR="00FD0498" w:rsidRPr="0020302E" w:rsidRDefault="00FD0498" w:rsidP="00FD0498"/>
    <w:p w:rsidR="00FD0498" w:rsidRPr="0020302E" w:rsidRDefault="00FD0498" w:rsidP="00FE20EB">
      <w:pPr>
        <w:pStyle w:val="a3"/>
        <w:ind w:hanging="196"/>
        <w:rPr>
          <w:b/>
        </w:rPr>
      </w:pPr>
      <w:r w:rsidRPr="0020302E">
        <w:rPr>
          <w:rFonts w:hint="eastAsia"/>
          <w:b/>
        </w:rPr>
        <w:t>我國</w:t>
      </w:r>
      <w:r w:rsidR="002F77CE">
        <w:rPr>
          <w:rFonts w:hint="eastAsia"/>
          <w:b/>
        </w:rPr>
        <w:t>保</w:t>
      </w:r>
      <w:r w:rsidRPr="0020302E">
        <w:rPr>
          <w:rFonts w:hint="eastAsia"/>
          <w:b/>
        </w:rPr>
        <w:t>健食品與他國關稅稅率比較表</w:t>
      </w:r>
    </w:p>
    <w:tbl>
      <w:tblPr>
        <w:tblStyle w:val="af6"/>
        <w:tblW w:w="8789" w:type="dxa"/>
        <w:tblInd w:w="137" w:type="dxa"/>
        <w:tblLook w:val="04A0" w:firstRow="1" w:lastRow="0" w:firstColumn="1" w:lastColumn="0" w:noHBand="0" w:noVBand="1"/>
      </w:tblPr>
      <w:tblGrid>
        <w:gridCol w:w="1418"/>
        <w:gridCol w:w="2126"/>
        <w:gridCol w:w="1843"/>
        <w:gridCol w:w="1843"/>
        <w:gridCol w:w="1559"/>
      </w:tblGrid>
      <w:tr w:rsidR="00741287" w:rsidRPr="0020302E" w:rsidTr="00441521">
        <w:trPr>
          <w:tblHeader/>
        </w:trPr>
        <w:tc>
          <w:tcPr>
            <w:tcW w:w="1418" w:type="dxa"/>
          </w:tcPr>
          <w:p w:rsidR="00FD0498" w:rsidRPr="0020302E" w:rsidRDefault="00FD0498" w:rsidP="00441521">
            <w:pPr>
              <w:jc w:val="center"/>
              <w:rPr>
                <w:b/>
                <w:sz w:val="24"/>
                <w:szCs w:val="24"/>
              </w:rPr>
            </w:pPr>
            <w:r w:rsidRPr="0020302E">
              <w:rPr>
                <w:rFonts w:hint="eastAsia"/>
                <w:b/>
                <w:sz w:val="24"/>
                <w:szCs w:val="24"/>
              </w:rPr>
              <w:t>國家</w:t>
            </w:r>
          </w:p>
        </w:tc>
        <w:tc>
          <w:tcPr>
            <w:tcW w:w="2126" w:type="dxa"/>
          </w:tcPr>
          <w:p w:rsidR="00FD0498" w:rsidRPr="0020302E" w:rsidRDefault="00FD0498" w:rsidP="00441521">
            <w:pPr>
              <w:jc w:val="center"/>
              <w:rPr>
                <w:b/>
                <w:sz w:val="24"/>
                <w:szCs w:val="24"/>
              </w:rPr>
            </w:pPr>
            <w:r w:rsidRPr="0020302E">
              <w:rPr>
                <w:rFonts w:hint="eastAsia"/>
                <w:b/>
                <w:sz w:val="24"/>
                <w:szCs w:val="24"/>
              </w:rPr>
              <w:t>關稅稅率</w:t>
            </w:r>
          </w:p>
        </w:tc>
        <w:tc>
          <w:tcPr>
            <w:tcW w:w="1843" w:type="dxa"/>
          </w:tcPr>
          <w:p w:rsidR="00FD0498" w:rsidRPr="0020302E" w:rsidRDefault="00FD0498" w:rsidP="00441521">
            <w:pPr>
              <w:jc w:val="center"/>
              <w:rPr>
                <w:b/>
                <w:sz w:val="24"/>
                <w:szCs w:val="24"/>
              </w:rPr>
            </w:pPr>
            <w:r w:rsidRPr="0020302E">
              <w:rPr>
                <w:rFonts w:hint="eastAsia"/>
                <w:b/>
                <w:sz w:val="24"/>
                <w:szCs w:val="24"/>
              </w:rPr>
              <w:t>國家</w:t>
            </w:r>
          </w:p>
        </w:tc>
        <w:tc>
          <w:tcPr>
            <w:tcW w:w="1843" w:type="dxa"/>
          </w:tcPr>
          <w:p w:rsidR="00FD0498" w:rsidRPr="0020302E" w:rsidRDefault="00FD0498" w:rsidP="00441521">
            <w:pPr>
              <w:jc w:val="center"/>
              <w:rPr>
                <w:b/>
                <w:sz w:val="24"/>
                <w:szCs w:val="24"/>
              </w:rPr>
            </w:pPr>
            <w:r w:rsidRPr="0020302E">
              <w:rPr>
                <w:rFonts w:hint="eastAsia"/>
                <w:b/>
                <w:sz w:val="24"/>
                <w:szCs w:val="24"/>
              </w:rPr>
              <w:t>關稅稅率</w:t>
            </w:r>
          </w:p>
        </w:tc>
        <w:tc>
          <w:tcPr>
            <w:tcW w:w="1559" w:type="dxa"/>
          </w:tcPr>
          <w:p w:rsidR="00FD0498" w:rsidRPr="0020302E" w:rsidRDefault="00FD0498" w:rsidP="00441521">
            <w:pPr>
              <w:rPr>
                <w:b/>
                <w:sz w:val="24"/>
                <w:szCs w:val="24"/>
              </w:rPr>
            </w:pPr>
            <w:r w:rsidRPr="0020302E">
              <w:rPr>
                <w:rFonts w:hint="eastAsia"/>
                <w:b/>
                <w:sz w:val="24"/>
                <w:szCs w:val="24"/>
              </w:rPr>
              <w:t>備註</w:t>
            </w:r>
          </w:p>
        </w:tc>
      </w:tr>
      <w:tr w:rsidR="00741287" w:rsidRPr="0020302E" w:rsidTr="00441521">
        <w:tc>
          <w:tcPr>
            <w:tcW w:w="1418" w:type="dxa"/>
          </w:tcPr>
          <w:p w:rsidR="00FD0498" w:rsidRPr="0020302E" w:rsidRDefault="00FD0498" w:rsidP="00441521">
            <w:pPr>
              <w:jc w:val="center"/>
              <w:rPr>
                <w:sz w:val="24"/>
                <w:szCs w:val="24"/>
              </w:rPr>
            </w:pPr>
            <w:r w:rsidRPr="0020302E">
              <w:rPr>
                <w:rFonts w:hint="eastAsia"/>
                <w:sz w:val="24"/>
                <w:szCs w:val="24"/>
              </w:rPr>
              <w:t>我國</w:t>
            </w:r>
          </w:p>
        </w:tc>
        <w:tc>
          <w:tcPr>
            <w:tcW w:w="2126" w:type="dxa"/>
          </w:tcPr>
          <w:p w:rsidR="00FD0498" w:rsidRPr="0020302E" w:rsidRDefault="00FD0498" w:rsidP="00441521">
            <w:pPr>
              <w:jc w:val="center"/>
              <w:rPr>
                <w:sz w:val="24"/>
                <w:szCs w:val="24"/>
              </w:rPr>
            </w:pPr>
            <w:r w:rsidRPr="0020302E">
              <w:rPr>
                <w:rFonts w:hint="eastAsia"/>
                <w:sz w:val="24"/>
                <w:szCs w:val="24"/>
              </w:rPr>
              <w:t>30</w:t>
            </w:r>
            <w:proofErr w:type="gramStart"/>
            <w:r w:rsidR="00533AD9" w:rsidRPr="0020302E">
              <w:rPr>
                <w:rFonts w:hint="eastAsia"/>
                <w:sz w:val="24"/>
                <w:szCs w:val="24"/>
              </w:rPr>
              <w:t>﹪</w:t>
            </w:r>
            <w:proofErr w:type="gramEnd"/>
          </w:p>
        </w:tc>
        <w:tc>
          <w:tcPr>
            <w:tcW w:w="1843" w:type="dxa"/>
          </w:tcPr>
          <w:p w:rsidR="00FD0498" w:rsidRPr="0020302E" w:rsidRDefault="00FD0498" w:rsidP="00441521">
            <w:pPr>
              <w:jc w:val="center"/>
              <w:rPr>
                <w:sz w:val="24"/>
                <w:szCs w:val="24"/>
              </w:rPr>
            </w:pPr>
            <w:r w:rsidRPr="0020302E">
              <w:rPr>
                <w:rFonts w:hint="eastAsia"/>
                <w:sz w:val="24"/>
                <w:szCs w:val="24"/>
              </w:rPr>
              <w:t>美國</w:t>
            </w:r>
          </w:p>
        </w:tc>
        <w:tc>
          <w:tcPr>
            <w:tcW w:w="1843" w:type="dxa"/>
          </w:tcPr>
          <w:p w:rsidR="00FD0498" w:rsidRPr="0020302E" w:rsidRDefault="00FD0498" w:rsidP="00441521">
            <w:pPr>
              <w:jc w:val="center"/>
              <w:rPr>
                <w:sz w:val="24"/>
                <w:szCs w:val="24"/>
              </w:rPr>
            </w:pPr>
            <w:r w:rsidRPr="0020302E">
              <w:rPr>
                <w:rFonts w:hint="eastAsia"/>
                <w:sz w:val="24"/>
                <w:szCs w:val="24"/>
              </w:rPr>
              <w:t>6.4</w:t>
            </w:r>
            <w:proofErr w:type="gramStart"/>
            <w:r w:rsidR="00533AD9" w:rsidRPr="0020302E">
              <w:rPr>
                <w:rFonts w:hint="eastAsia"/>
                <w:sz w:val="24"/>
                <w:szCs w:val="24"/>
              </w:rPr>
              <w:t>﹪</w:t>
            </w:r>
            <w:proofErr w:type="gramEnd"/>
          </w:p>
        </w:tc>
        <w:tc>
          <w:tcPr>
            <w:tcW w:w="1559" w:type="dxa"/>
            <w:vMerge w:val="restart"/>
          </w:tcPr>
          <w:p w:rsidR="00FD0498" w:rsidRPr="0020302E" w:rsidRDefault="00FD0498" w:rsidP="00441521">
            <w:pPr>
              <w:jc w:val="left"/>
              <w:rPr>
                <w:sz w:val="24"/>
                <w:szCs w:val="24"/>
              </w:rPr>
            </w:pPr>
          </w:p>
          <w:p w:rsidR="00FD0498" w:rsidRPr="0020302E" w:rsidRDefault="00FD0498" w:rsidP="00441521">
            <w:pPr>
              <w:jc w:val="left"/>
              <w:rPr>
                <w:sz w:val="24"/>
                <w:szCs w:val="24"/>
              </w:rPr>
            </w:pPr>
          </w:p>
          <w:p w:rsidR="00FD0498" w:rsidRPr="0020302E" w:rsidRDefault="00FD0498" w:rsidP="00441521">
            <w:pPr>
              <w:jc w:val="left"/>
              <w:rPr>
                <w:sz w:val="24"/>
                <w:szCs w:val="24"/>
              </w:rPr>
            </w:pPr>
          </w:p>
          <w:p w:rsidR="00FD0498" w:rsidRPr="0020302E" w:rsidRDefault="00FD0498" w:rsidP="00441521">
            <w:pPr>
              <w:jc w:val="left"/>
              <w:rPr>
                <w:sz w:val="24"/>
                <w:szCs w:val="24"/>
              </w:rPr>
            </w:pPr>
            <w:r w:rsidRPr="0020302E">
              <w:rPr>
                <w:rFonts w:hint="eastAsia"/>
                <w:sz w:val="24"/>
                <w:szCs w:val="24"/>
              </w:rPr>
              <w:t>EA為歐盟針對農產品成分所課額外稅</w:t>
            </w:r>
          </w:p>
        </w:tc>
      </w:tr>
      <w:tr w:rsidR="00741287" w:rsidRPr="0020302E" w:rsidTr="00441521">
        <w:tc>
          <w:tcPr>
            <w:tcW w:w="1418" w:type="dxa"/>
          </w:tcPr>
          <w:p w:rsidR="00FD0498" w:rsidRPr="0020302E" w:rsidRDefault="00FD0498" w:rsidP="00441521">
            <w:pPr>
              <w:jc w:val="center"/>
              <w:rPr>
                <w:sz w:val="24"/>
                <w:szCs w:val="24"/>
              </w:rPr>
            </w:pPr>
            <w:r w:rsidRPr="0020302E">
              <w:rPr>
                <w:rFonts w:hint="eastAsia"/>
                <w:sz w:val="24"/>
                <w:szCs w:val="24"/>
              </w:rPr>
              <w:lastRenderedPageBreak/>
              <w:t>越南</w:t>
            </w:r>
          </w:p>
        </w:tc>
        <w:tc>
          <w:tcPr>
            <w:tcW w:w="2126" w:type="dxa"/>
          </w:tcPr>
          <w:p w:rsidR="00FD0498" w:rsidRPr="0020302E" w:rsidRDefault="00FD0498" w:rsidP="00441521">
            <w:pPr>
              <w:jc w:val="center"/>
              <w:rPr>
                <w:sz w:val="24"/>
                <w:szCs w:val="24"/>
              </w:rPr>
            </w:pPr>
            <w:r w:rsidRPr="0020302E">
              <w:rPr>
                <w:rFonts w:hint="eastAsia"/>
                <w:sz w:val="24"/>
                <w:szCs w:val="24"/>
              </w:rPr>
              <w:t>15</w:t>
            </w:r>
            <w:proofErr w:type="gramStart"/>
            <w:r w:rsidR="00533AD9" w:rsidRPr="0020302E">
              <w:rPr>
                <w:rFonts w:hint="eastAsia"/>
                <w:sz w:val="24"/>
                <w:szCs w:val="24"/>
              </w:rPr>
              <w:t>﹪</w:t>
            </w:r>
            <w:proofErr w:type="gramEnd"/>
          </w:p>
        </w:tc>
        <w:tc>
          <w:tcPr>
            <w:tcW w:w="1843" w:type="dxa"/>
          </w:tcPr>
          <w:p w:rsidR="00FD0498" w:rsidRPr="0020302E" w:rsidRDefault="00FD0498" w:rsidP="00441521">
            <w:pPr>
              <w:jc w:val="center"/>
              <w:rPr>
                <w:sz w:val="24"/>
                <w:szCs w:val="24"/>
              </w:rPr>
            </w:pPr>
            <w:r w:rsidRPr="0020302E">
              <w:rPr>
                <w:rFonts w:hint="eastAsia"/>
                <w:sz w:val="24"/>
                <w:szCs w:val="24"/>
              </w:rPr>
              <w:t>印尼</w:t>
            </w:r>
          </w:p>
        </w:tc>
        <w:tc>
          <w:tcPr>
            <w:tcW w:w="1843" w:type="dxa"/>
          </w:tcPr>
          <w:p w:rsidR="00FD0498" w:rsidRPr="0020302E" w:rsidRDefault="00FD0498" w:rsidP="00441521">
            <w:pPr>
              <w:jc w:val="center"/>
              <w:rPr>
                <w:sz w:val="24"/>
                <w:szCs w:val="24"/>
              </w:rPr>
            </w:pPr>
            <w:r w:rsidRPr="0020302E">
              <w:rPr>
                <w:rFonts w:hint="eastAsia"/>
                <w:sz w:val="24"/>
                <w:szCs w:val="24"/>
              </w:rPr>
              <w:t>5</w:t>
            </w:r>
            <w:proofErr w:type="gramStart"/>
            <w:r w:rsidR="00533AD9" w:rsidRPr="0020302E">
              <w:rPr>
                <w:rFonts w:hint="eastAsia"/>
                <w:sz w:val="24"/>
                <w:szCs w:val="24"/>
              </w:rPr>
              <w:t>﹪</w:t>
            </w:r>
            <w:proofErr w:type="gramEnd"/>
          </w:p>
        </w:tc>
        <w:tc>
          <w:tcPr>
            <w:tcW w:w="1559" w:type="dxa"/>
            <w:vMerge/>
          </w:tcPr>
          <w:p w:rsidR="00FD0498" w:rsidRPr="0020302E" w:rsidRDefault="00FD0498" w:rsidP="00441521">
            <w:pPr>
              <w:rPr>
                <w:sz w:val="24"/>
                <w:szCs w:val="24"/>
              </w:rPr>
            </w:pPr>
          </w:p>
        </w:tc>
      </w:tr>
      <w:tr w:rsidR="00741287" w:rsidRPr="0020302E" w:rsidTr="00441521">
        <w:tc>
          <w:tcPr>
            <w:tcW w:w="1418" w:type="dxa"/>
          </w:tcPr>
          <w:p w:rsidR="00FD0498" w:rsidRPr="0020302E" w:rsidRDefault="00FD0498" w:rsidP="00441521">
            <w:pPr>
              <w:jc w:val="center"/>
              <w:rPr>
                <w:sz w:val="24"/>
                <w:szCs w:val="24"/>
              </w:rPr>
            </w:pPr>
            <w:r w:rsidRPr="0020302E">
              <w:rPr>
                <w:rFonts w:hint="eastAsia"/>
                <w:sz w:val="24"/>
                <w:szCs w:val="24"/>
              </w:rPr>
              <w:t>日本</w:t>
            </w:r>
          </w:p>
        </w:tc>
        <w:tc>
          <w:tcPr>
            <w:tcW w:w="2126" w:type="dxa"/>
          </w:tcPr>
          <w:p w:rsidR="00FD0498" w:rsidRPr="0020302E" w:rsidRDefault="00FD0498" w:rsidP="00441521">
            <w:pPr>
              <w:jc w:val="center"/>
              <w:rPr>
                <w:sz w:val="24"/>
                <w:szCs w:val="24"/>
              </w:rPr>
            </w:pPr>
            <w:r w:rsidRPr="0020302E">
              <w:rPr>
                <w:rFonts w:hint="eastAsia"/>
                <w:sz w:val="24"/>
                <w:szCs w:val="24"/>
              </w:rPr>
              <w:t>12.5</w:t>
            </w:r>
            <w:proofErr w:type="gramStart"/>
            <w:r w:rsidR="00533AD9" w:rsidRPr="0020302E">
              <w:rPr>
                <w:rFonts w:hint="eastAsia"/>
                <w:sz w:val="24"/>
                <w:szCs w:val="24"/>
              </w:rPr>
              <w:t>﹪</w:t>
            </w:r>
            <w:proofErr w:type="gramEnd"/>
            <w:r w:rsidRPr="0020302E">
              <w:rPr>
                <w:rFonts w:hint="eastAsia"/>
                <w:sz w:val="24"/>
                <w:szCs w:val="24"/>
              </w:rPr>
              <w:t>或15</w:t>
            </w:r>
            <w:r w:rsidR="00533AD9" w:rsidRPr="0020302E">
              <w:rPr>
                <w:rFonts w:hint="eastAsia"/>
                <w:sz w:val="24"/>
                <w:szCs w:val="24"/>
              </w:rPr>
              <w:t>﹪</w:t>
            </w:r>
          </w:p>
        </w:tc>
        <w:tc>
          <w:tcPr>
            <w:tcW w:w="1843" w:type="dxa"/>
          </w:tcPr>
          <w:p w:rsidR="00FD0498" w:rsidRPr="0020302E" w:rsidRDefault="00FD0498" w:rsidP="00441521">
            <w:pPr>
              <w:jc w:val="center"/>
              <w:rPr>
                <w:sz w:val="24"/>
                <w:szCs w:val="24"/>
              </w:rPr>
            </w:pPr>
            <w:r w:rsidRPr="0020302E">
              <w:rPr>
                <w:rFonts w:hint="eastAsia"/>
                <w:sz w:val="24"/>
                <w:szCs w:val="24"/>
              </w:rPr>
              <w:t>泰國</w:t>
            </w:r>
          </w:p>
        </w:tc>
        <w:tc>
          <w:tcPr>
            <w:tcW w:w="1843" w:type="dxa"/>
          </w:tcPr>
          <w:p w:rsidR="00FD0498" w:rsidRPr="0020302E" w:rsidRDefault="00FD0498" w:rsidP="00441521">
            <w:pPr>
              <w:jc w:val="center"/>
              <w:rPr>
                <w:sz w:val="24"/>
                <w:szCs w:val="24"/>
              </w:rPr>
            </w:pPr>
            <w:r w:rsidRPr="0020302E">
              <w:rPr>
                <w:rFonts w:hint="eastAsia"/>
                <w:sz w:val="24"/>
                <w:szCs w:val="24"/>
              </w:rPr>
              <w:t>5</w:t>
            </w:r>
            <w:proofErr w:type="gramStart"/>
            <w:r w:rsidR="00533AD9" w:rsidRPr="0020302E">
              <w:rPr>
                <w:rFonts w:hint="eastAsia"/>
                <w:sz w:val="24"/>
                <w:szCs w:val="24"/>
              </w:rPr>
              <w:t>﹪</w:t>
            </w:r>
            <w:proofErr w:type="gramEnd"/>
          </w:p>
        </w:tc>
        <w:tc>
          <w:tcPr>
            <w:tcW w:w="1559" w:type="dxa"/>
            <w:vMerge/>
          </w:tcPr>
          <w:p w:rsidR="00FD0498" w:rsidRPr="0020302E" w:rsidRDefault="00FD0498" w:rsidP="00441521">
            <w:pPr>
              <w:rPr>
                <w:sz w:val="24"/>
                <w:szCs w:val="24"/>
              </w:rPr>
            </w:pPr>
          </w:p>
        </w:tc>
      </w:tr>
      <w:tr w:rsidR="00741287" w:rsidRPr="0020302E" w:rsidTr="00441521">
        <w:tc>
          <w:tcPr>
            <w:tcW w:w="1418" w:type="dxa"/>
          </w:tcPr>
          <w:p w:rsidR="00FD0498" w:rsidRPr="0020302E" w:rsidRDefault="00FD0498" w:rsidP="00441521">
            <w:pPr>
              <w:jc w:val="center"/>
              <w:rPr>
                <w:sz w:val="24"/>
                <w:szCs w:val="24"/>
              </w:rPr>
            </w:pPr>
            <w:r w:rsidRPr="0020302E">
              <w:rPr>
                <w:rFonts w:hint="eastAsia"/>
                <w:sz w:val="24"/>
                <w:szCs w:val="24"/>
              </w:rPr>
              <w:t>歐盟</w:t>
            </w:r>
          </w:p>
        </w:tc>
        <w:tc>
          <w:tcPr>
            <w:tcW w:w="2126" w:type="dxa"/>
          </w:tcPr>
          <w:p w:rsidR="00FD0498" w:rsidRPr="0020302E" w:rsidRDefault="00FD0498" w:rsidP="00441521">
            <w:pPr>
              <w:jc w:val="center"/>
              <w:rPr>
                <w:sz w:val="24"/>
                <w:szCs w:val="24"/>
              </w:rPr>
            </w:pPr>
            <w:r w:rsidRPr="0020302E">
              <w:rPr>
                <w:rFonts w:hint="eastAsia"/>
                <w:sz w:val="24"/>
                <w:szCs w:val="24"/>
              </w:rPr>
              <w:t>9</w:t>
            </w:r>
            <w:proofErr w:type="gramStart"/>
            <w:r w:rsidR="00533AD9" w:rsidRPr="0020302E">
              <w:rPr>
                <w:rFonts w:hint="eastAsia"/>
                <w:sz w:val="24"/>
                <w:szCs w:val="24"/>
              </w:rPr>
              <w:t>﹪</w:t>
            </w:r>
            <w:proofErr w:type="gramEnd"/>
            <w:r w:rsidRPr="0020302E">
              <w:rPr>
                <w:rFonts w:hint="eastAsia"/>
                <w:sz w:val="24"/>
                <w:szCs w:val="24"/>
              </w:rPr>
              <w:t>+EA</w:t>
            </w:r>
          </w:p>
        </w:tc>
        <w:tc>
          <w:tcPr>
            <w:tcW w:w="1843" w:type="dxa"/>
          </w:tcPr>
          <w:p w:rsidR="00FD0498" w:rsidRPr="0020302E" w:rsidRDefault="00FD0498" w:rsidP="00441521">
            <w:pPr>
              <w:jc w:val="center"/>
              <w:rPr>
                <w:sz w:val="24"/>
                <w:szCs w:val="24"/>
              </w:rPr>
            </w:pPr>
            <w:r w:rsidRPr="0020302E">
              <w:rPr>
                <w:rFonts w:hint="eastAsia"/>
                <w:sz w:val="24"/>
                <w:szCs w:val="24"/>
              </w:rPr>
              <w:t>馬來西亞</w:t>
            </w:r>
          </w:p>
        </w:tc>
        <w:tc>
          <w:tcPr>
            <w:tcW w:w="1843" w:type="dxa"/>
          </w:tcPr>
          <w:p w:rsidR="00FD0498" w:rsidRPr="0020302E" w:rsidRDefault="00FD0498" w:rsidP="00441521">
            <w:pPr>
              <w:jc w:val="center"/>
              <w:rPr>
                <w:sz w:val="24"/>
                <w:szCs w:val="24"/>
              </w:rPr>
            </w:pPr>
            <w:r w:rsidRPr="0020302E">
              <w:rPr>
                <w:rFonts w:hint="eastAsia"/>
                <w:sz w:val="24"/>
                <w:szCs w:val="24"/>
              </w:rPr>
              <w:t>免稅</w:t>
            </w:r>
          </w:p>
        </w:tc>
        <w:tc>
          <w:tcPr>
            <w:tcW w:w="1559" w:type="dxa"/>
            <w:vMerge/>
          </w:tcPr>
          <w:p w:rsidR="00FD0498" w:rsidRPr="0020302E" w:rsidRDefault="00FD0498" w:rsidP="00441521">
            <w:pPr>
              <w:rPr>
                <w:sz w:val="24"/>
                <w:szCs w:val="24"/>
              </w:rPr>
            </w:pPr>
          </w:p>
        </w:tc>
      </w:tr>
      <w:tr w:rsidR="00741287" w:rsidRPr="0020302E" w:rsidTr="00441521">
        <w:tc>
          <w:tcPr>
            <w:tcW w:w="1418" w:type="dxa"/>
          </w:tcPr>
          <w:p w:rsidR="00FD0498" w:rsidRPr="0020302E" w:rsidRDefault="00FD0498" w:rsidP="00441521">
            <w:pPr>
              <w:jc w:val="center"/>
              <w:rPr>
                <w:sz w:val="24"/>
                <w:szCs w:val="24"/>
              </w:rPr>
            </w:pPr>
            <w:r w:rsidRPr="0020302E">
              <w:rPr>
                <w:rFonts w:hint="eastAsia"/>
                <w:sz w:val="24"/>
                <w:szCs w:val="24"/>
              </w:rPr>
              <w:t>中國</w:t>
            </w:r>
          </w:p>
        </w:tc>
        <w:tc>
          <w:tcPr>
            <w:tcW w:w="2126" w:type="dxa"/>
          </w:tcPr>
          <w:p w:rsidR="00FD0498" w:rsidRPr="0020302E" w:rsidRDefault="00FD0498" w:rsidP="00441521">
            <w:pPr>
              <w:jc w:val="center"/>
              <w:rPr>
                <w:sz w:val="24"/>
                <w:szCs w:val="24"/>
              </w:rPr>
            </w:pPr>
            <w:r w:rsidRPr="0020302E">
              <w:rPr>
                <w:rFonts w:hint="eastAsia"/>
                <w:sz w:val="24"/>
                <w:szCs w:val="24"/>
              </w:rPr>
              <w:t>12</w:t>
            </w:r>
            <w:proofErr w:type="gramStart"/>
            <w:r w:rsidR="00533AD9" w:rsidRPr="0020302E">
              <w:rPr>
                <w:rFonts w:hint="eastAsia"/>
                <w:sz w:val="24"/>
                <w:szCs w:val="24"/>
              </w:rPr>
              <w:t>﹪</w:t>
            </w:r>
            <w:proofErr w:type="gramEnd"/>
          </w:p>
        </w:tc>
        <w:tc>
          <w:tcPr>
            <w:tcW w:w="1843" w:type="dxa"/>
          </w:tcPr>
          <w:p w:rsidR="00FD0498" w:rsidRPr="0020302E" w:rsidRDefault="00FD0498" w:rsidP="00441521">
            <w:pPr>
              <w:jc w:val="center"/>
              <w:rPr>
                <w:sz w:val="24"/>
                <w:szCs w:val="24"/>
              </w:rPr>
            </w:pPr>
            <w:r w:rsidRPr="0020302E">
              <w:rPr>
                <w:rFonts w:hint="eastAsia"/>
                <w:sz w:val="24"/>
                <w:szCs w:val="24"/>
              </w:rPr>
              <w:t>紐西蘭</w:t>
            </w:r>
          </w:p>
        </w:tc>
        <w:tc>
          <w:tcPr>
            <w:tcW w:w="1843" w:type="dxa"/>
          </w:tcPr>
          <w:p w:rsidR="00FD0498" w:rsidRPr="0020302E" w:rsidRDefault="00FD0498" w:rsidP="00441521">
            <w:pPr>
              <w:jc w:val="center"/>
              <w:rPr>
                <w:sz w:val="24"/>
                <w:szCs w:val="24"/>
              </w:rPr>
            </w:pPr>
            <w:r w:rsidRPr="0020302E">
              <w:rPr>
                <w:rFonts w:hint="eastAsia"/>
                <w:sz w:val="24"/>
                <w:szCs w:val="24"/>
              </w:rPr>
              <w:t>5</w:t>
            </w:r>
            <w:proofErr w:type="gramStart"/>
            <w:r w:rsidR="00533AD9" w:rsidRPr="0020302E">
              <w:rPr>
                <w:rFonts w:hint="eastAsia"/>
                <w:sz w:val="24"/>
                <w:szCs w:val="24"/>
              </w:rPr>
              <w:t>﹪</w:t>
            </w:r>
            <w:proofErr w:type="gramEnd"/>
          </w:p>
        </w:tc>
        <w:tc>
          <w:tcPr>
            <w:tcW w:w="1559" w:type="dxa"/>
            <w:vMerge/>
          </w:tcPr>
          <w:p w:rsidR="00FD0498" w:rsidRPr="0020302E" w:rsidRDefault="00FD0498" w:rsidP="00441521">
            <w:pPr>
              <w:rPr>
                <w:sz w:val="24"/>
                <w:szCs w:val="24"/>
              </w:rPr>
            </w:pPr>
          </w:p>
        </w:tc>
      </w:tr>
      <w:tr w:rsidR="00741287" w:rsidRPr="0020302E" w:rsidTr="00441521">
        <w:tc>
          <w:tcPr>
            <w:tcW w:w="1418" w:type="dxa"/>
          </w:tcPr>
          <w:p w:rsidR="00FD0498" w:rsidRPr="0020302E" w:rsidRDefault="00FD0498" w:rsidP="00441521">
            <w:pPr>
              <w:jc w:val="center"/>
              <w:rPr>
                <w:sz w:val="24"/>
                <w:szCs w:val="24"/>
              </w:rPr>
            </w:pPr>
            <w:r w:rsidRPr="0020302E">
              <w:rPr>
                <w:rFonts w:hint="eastAsia"/>
                <w:sz w:val="24"/>
                <w:szCs w:val="24"/>
              </w:rPr>
              <w:t>韓國</w:t>
            </w:r>
          </w:p>
        </w:tc>
        <w:tc>
          <w:tcPr>
            <w:tcW w:w="2126" w:type="dxa"/>
          </w:tcPr>
          <w:p w:rsidR="00FD0498" w:rsidRPr="0020302E" w:rsidRDefault="00FD0498" w:rsidP="00441521">
            <w:pPr>
              <w:jc w:val="center"/>
              <w:rPr>
                <w:sz w:val="24"/>
                <w:szCs w:val="24"/>
              </w:rPr>
            </w:pPr>
            <w:r w:rsidRPr="0020302E">
              <w:rPr>
                <w:rFonts w:hint="eastAsia"/>
                <w:sz w:val="24"/>
                <w:szCs w:val="24"/>
              </w:rPr>
              <w:t>8</w:t>
            </w:r>
            <w:proofErr w:type="gramStart"/>
            <w:r w:rsidR="00533AD9" w:rsidRPr="0020302E">
              <w:rPr>
                <w:rFonts w:hint="eastAsia"/>
                <w:sz w:val="24"/>
                <w:szCs w:val="24"/>
              </w:rPr>
              <w:t>﹪</w:t>
            </w:r>
            <w:proofErr w:type="gramEnd"/>
          </w:p>
        </w:tc>
        <w:tc>
          <w:tcPr>
            <w:tcW w:w="1843" w:type="dxa"/>
          </w:tcPr>
          <w:p w:rsidR="00FD0498" w:rsidRPr="0020302E" w:rsidRDefault="00FD0498" w:rsidP="00441521">
            <w:pPr>
              <w:jc w:val="center"/>
              <w:rPr>
                <w:sz w:val="24"/>
                <w:szCs w:val="24"/>
              </w:rPr>
            </w:pPr>
            <w:r w:rsidRPr="0020302E">
              <w:rPr>
                <w:rFonts w:hint="eastAsia"/>
                <w:sz w:val="24"/>
                <w:szCs w:val="24"/>
              </w:rPr>
              <w:t>澳洲</w:t>
            </w:r>
          </w:p>
        </w:tc>
        <w:tc>
          <w:tcPr>
            <w:tcW w:w="1843" w:type="dxa"/>
          </w:tcPr>
          <w:p w:rsidR="00FD0498" w:rsidRPr="0020302E" w:rsidRDefault="00FD0498" w:rsidP="00441521">
            <w:pPr>
              <w:jc w:val="center"/>
              <w:rPr>
                <w:sz w:val="24"/>
                <w:szCs w:val="24"/>
              </w:rPr>
            </w:pPr>
            <w:r w:rsidRPr="0020302E">
              <w:rPr>
                <w:rFonts w:hint="eastAsia"/>
                <w:sz w:val="24"/>
                <w:szCs w:val="24"/>
              </w:rPr>
              <w:t>4</w:t>
            </w:r>
            <w:proofErr w:type="gramStart"/>
            <w:r w:rsidR="00533AD9" w:rsidRPr="0020302E">
              <w:rPr>
                <w:rFonts w:hint="eastAsia"/>
                <w:sz w:val="24"/>
                <w:szCs w:val="24"/>
              </w:rPr>
              <w:t>﹪</w:t>
            </w:r>
            <w:proofErr w:type="gramEnd"/>
            <w:r w:rsidRPr="0020302E">
              <w:rPr>
                <w:rFonts w:hint="eastAsia"/>
                <w:sz w:val="24"/>
                <w:szCs w:val="24"/>
              </w:rPr>
              <w:t>或5</w:t>
            </w:r>
            <w:r w:rsidR="00533AD9" w:rsidRPr="0020302E">
              <w:rPr>
                <w:rFonts w:hint="eastAsia"/>
                <w:sz w:val="24"/>
                <w:szCs w:val="24"/>
              </w:rPr>
              <w:t>﹪</w:t>
            </w:r>
          </w:p>
        </w:tc>
        <w:tc>
          <w:tcPr>
            <w:tcW w:w="1559" w:type="dxa"/>
            <w:vMerge/>
          </w:tcPr>
          <w:p w:rsidR="00FD0498" w:rsidRPr="0020302E" w:rsidRDefault="00FD0498" w:rsidP="00441521">
            <w:pPr>
              <w:rPr>
                <w:sz w:val="24"/>
                <w:szCs w:val="24"/>
              </w:rPr>
            </w:pPr>
          </w:p>
        </w:tc>
      </w:tr>
      <w:tr w:rsidR="004105A7" w:rsidRPr="0020302E" w:rsidTr="00441521">
        <w:tc>
          <w:tcPr>
            <w:tcW w:w="1418" w:type="dxa"/>
          </w:tcPr>
          <w:p w:rsidR="004105A7" w:rsidRPr="0020302E" w:rsidRDefault="004105A7" w:rsidP="004105A7">
            <w:pPr>
              <w:jc w:val="center"/>
              <w:rPr>
                <w:sz w:val="24"/>
                <w:szCs w:val="24"/>
              </w:rPr>
            </w:pPr>
            <w:r w:rsidRPr="0020302E">
              <w:rPr>
                <w:rFonts w:hint="eastAsia"/>
                <w:sz w:val="24"/>
                <w:szCs w:val="24"/>
              </w:rPr>
              <w:t>新加坡</w:t>
            </w:r>
          </w:p>
        </w:tc>
        <w:tc>
          <w:tcPr>
            <w:tcW w:w="2126" w:type="dxa"/>
          </w:tcPr>
          <w:p w:rsidR="004105A7" w:rsidRPr="0020302E" w:rsidRDefault="004105A7" w:rsidP="004105A7">
            <w:pPr>
              <w:jc w:val="center"/>
              <w:rPr>
                <w:sz w:val="24"/>
                <w:szCs w:val="24"/>
              </w:rPr>
            </w:pPr>
            <w:r w:rsidRPr="0020302E">
              <w:rPr>
                <w:rFonts w:hint="eastAsia"/>
                <w:sz w:val="24"/>
                <w:szCs w:val="24"/>
              </w:rPr>
              <w:t>免稅</w:t>
            </w:r>
          </w:p>
        </w:tc>
        <w:tc>
          <w:tcPr>
            <w:tcW w:w="1843" w:type="dxa"/>
          </w:tcPr>
          <w:p w:rsidR="004105A7" w:rsidRPr="0020302E" w:rsidRDefault="004105A7" w:rsidP="004105A7">
            <w:pPr>
              <w:jc w:val="center"/>
              <w:rPr>
                <w:sz w:val="24"/>
                <w:szCs w:val="24"/>
              </w:rPr>
            </w:pPr>
          </w:p>
        </w:tc>
        <w:tc>
          <w:tcPr>
            <w:tcW w:w="1843" w:type="dxa"/>
          </w:tcPr>
          <w:p w:rsidR="004105A7" w:rsidRPr="0020302E" w:rsidRDefault="004105A7" w:rsidP="004105A7">
            <w:pPr>
              <w:jc w:val="center"/>
              <w:rPr>
                <w:sz w:val="24"/>
                <w:szCs w:val="24"/>
              </w:rPr>
            </w:pPr>
          </w:p>
        </w:tc>
        <w:tc>
          <w:tcPr>
            <w:tcW w:w="1559" w:type="dxa"/>
            <w:vMerge/>
          </w:tcPr>
          <w:p w:rsidR="004105A7" w:rsidRPr="0020302E" w:rsidRDefault="004105A7" w:rsidP="004105A7">
            <w:pPr>
              <w:rPr>
                <w:sz w:val="24"/>
                <w:szCs w:val="24"/>
              </w:rPr>
            </w:pPr>
          </w:p>
        </w:tc>
      </w:tr>
    </w:tbl>
    <w:p w:rsidR="00FD0498" w:rsidRPr="0020302E" w:rsidRDefault="00FD0498" w:rsidP="00FD0498">
      <w:pPr>
        <w:snapToGrid w:val="0"/>
        <w:spacing w:line="300" w:lineRule="exact"/>
        <w:ind w:leftChars="42" w:left="1132" w:rightChars="-67" w:right="-228" w:hangingChars="380" w:hanging="989"/>
        <w:jc w:val="left"/>
        <w:rPr>
          <w:sz w:val="24"/>
        </w:rPr>
      </w:pPr>
      <w:proofErr w:type="gramStart"/>
      <w:r w:rsidRPr="0020302E">
        <w:rPr>
          <w:rFonts w:hint="eastAsia"/>
          <w:sz w:val="24"/>
        </w:rPr>
        <w:t>註</w:t>
      </w:r>
      <w:proofErr w:type="gramEnd"/>
      <w:r w:rsidRPr="0020302E">
        <w:rPr>
          <w:rFonts w:hint="eastAsia"/>
          <w:sz w:val="24"/>
        </w:rPr>
        <w:t>：1.WTO Tariff Analysis Online，以稅則</w:t>
      </w:r>
      <w:proofErr w:type="gramStart"/>
      <w:r w:rsidRPr="0020302E">
        <w:rPr>
          <w:rFonts w:hint="eastAsia"/>
          <w:sz w:val="24"/>
        </w:rPr>
        <w:t>號別第</w:t>
      </w:r>
      <w:proofErr w:type="gramEnd"/>
      <w:r w:rsidRPr="0020302E">
        <w:rPr>
          <w:rFonts w:hint="eastAsia"/>
          <w:sz w:val="24"/>
        </w:rPr>
        <w:t>2106.90目檢索。</w:t>
      </w:r>
    </w:p>
    <w:p w:rsidR="00FD0498" w:rsidRPr="0020302E" w:rsidRDefault="00FD0498" w:rsidP="00FD0498">
      <w:pPr>
        <w:snapToGrid w:val="0"/>
        <w:ind w:firstLineChars="263" w:firstLine="684"/>
        <w:rPr>
          <w:sz w:val="24"/>
        </w:rPr>
      </w:pPr>
      <w:r w:rsidRPr="0020302E">
        <w:rPr>
          <w:rFonts w:hint="eastAsia"/>
          <w:sz w:val="24"/>
        </w:rPr>
        <w:t>2.關稅稅率係WTO最惠國(MFN)優惠關稅列示。</w:t>
      </w:r>
    </w:p>
    <w:p w:rsidR="00FD0498" w:rsidRPr="0020302E" w:rsidRDefault="00FD0498" w:rsidP="00FD0498">
      <w:pPr>
        <w:pStyle w:val="4"/>
        <w:numPr>
          <w:ilvl w:val="0"/>
          <w:numId w:val="0"/>
        </w:numPr>
        <w:snapToGrid w:val="0"/>
        <w:ind w:left="2" w:firstLineChars="53" w:firstLine="138"/>
        <w:rPr>
          <w:sz w:val="24"/>
          <w:szCs w:val="24"/>
        </w:rPr>
      </w:pPr>
      <w:r w:rsidRPr="0020302E">
        <w:rPr>
          <w:rFonts w:hint="eastAsia"/>
          <w:sz w:val="24"/>
          <w:szCs w:val="24"/>
        </w:rPr>
        <w:t>資料來源：財政部。</w:t>
      </w:r>
    </w:p>
    <w:p w:rsidR="00FD0498" w:rsidRDefault="00FD0498" w:rsidP="00FD0498">
      <w:pPr>
        <w:pStyle w:val="3"/>
        <w:numPr>
          <w:ilvl w:val="0"/>
          <w:numId w:val="0"/>
        </w:numPr>
        <w:ind w:left="1361"/>
      </w:pPr>
    </w:p>
    <w:p w:rsidR="007A2C8C" w:rsidRDefault="00FD0498" w:rsidP="007A2C8C">
      <w:pPr>
        <w:pStyle w:val="3"/>
      </w:pPr>
      <w:proofErr w:type="gramStart"/>
      <w:r>
        <w:rPr>
          <w:rFonts w:hint="eastAsia"/>
        </w:rPr>
        <w:t>惟</w:t>
      </w:r>
      <w:r w:rsidR="007A2C8C">
        <w:rPr>
          <w:rFonts w:hint="eastAsia"/>
        </w:rPr>
        <w:t>查我</w:t>
      </w:r>
      <w:r w:rsidR="007A2C8C" w:rsidRPr="001E243B">
        <w:rPr>
          <w:rFonts w:hint="eastAsia"/>
        </w:rPr>
        <w:t>國</w:t>
      </w:r>
      <w:proofErr w:type="gramEnd"/>
      <w:r w:rsidR="007A2C8C" w:rsidRPr="001E243B">
        <w:rPr>
          <w:rFonts w:hint="eastAsia"/>
        </w:rPr>
        <w:t>保健營養食品發展歷程</w:t>
      </w:r>
      <w:r w:rsidR="00567349">
        <w:rPr>
          <w:rFonts w:hint="eastAsia"/>
        </w:rPr>
        <w:t>遲於</w:t>
      </w:r>
      <w:r w:rsidR="007A2C8C" w:rsidRPr="001E243B">
        <w:rPr>
          <w:rFonts w:hint="eastAsia"/>
        </w:rPr>
        <w:t>歐美等</w:t>
      </w:r>
      <w:r w:rsidR="00547A8A">
        <w:rPr>
          <w:rFonts w:hint="eastAsia"/>
        </w:rPr>
        <w:t>國</w:t>
      </w:r>
      <w:r w:rsidR="007A2C8C" w:rsidRPr="001E243B">
        <w:rPr>
          <w:rFonts w:hint="eastAsia"/>
        </w:rPr>
        <w:t>大廠，</w:t>
      </w:r>
      <w:r w:rsidR="007A2C8C" w:rsidRPr="0041329C">
        <w:rPr>
          <w:rFonts w:hint="eastAsia"/>
        </w:rPr>
        <w:t>整體產業尚處在發展期，上下游</w:t>
      </w:r>
      <w:proofErr w:type="gramStart"/>
      <w:r w:rsidR="007A2C8C" w:rsidRPr="0041329C">
        <w:rPr>
          <w:rFonts w:hint="eastAsia"/>
        </w:rPr>
        <w:t>產業鏈皆未成</w:t>
      </w:r>
      <w:proofErr w:type="gramEnd"/>
      <w:r w:rsidR="007A2C8C" w:rsidRPr="0041329C">
        <w:rPr>
          <w:rFonts w:hint="eastAsia"/>
        </w:rPr>
        <w:t>熟，素材原料仍大量倚賴進口，</w:t>
      </w:r>
      <w:r w:rsidR="007A2C8C" w:rsidRPr="001E243B">
        <w:rPr>
          <w:rFonts w:hint="eastAsia"/>
        </w:rPr>
        <w:t>缺乏具經濟規模之本土保健產品，加上國產保健營養食品業者規模多為中小企業，並且採少量多樣的營業模式</w:t>
      </w:r>
      <w:r w:rsidR="007A2C8C">
        <w:rPr>
          <w:rFonts w:hint="eastAsia"/>
        </w:rPr>
        <w:t>。依經濟部查復資料表示，</w:t>
      </w:r>
      <w:r w:rsidR="007A2C8C" w:rsidRPr="007D1C18">
        <w:rPr>
          <w:rFonts w:hint="eastAsia"/>
        </w:rPr>
        <w:t>目前</w:t>
      </w:r>
      <w:r w:rsidR="007A2C8C">
        <w:rPr>
          <w:rFonts w:hint="eastAsia"/>
        </w:rPr>
        <w:t>（1</w:t>
      </w:r>
      <w:r w:rsidR="007A2C8C">
        <w:t>13</w:t>
      </w:r>
      <w:r w:rsidR="007A2C8C">
        <w:rPr>
          <w:rFonts w:hint="eastAsia"/>
        </w:rPr>
        <w:t>年7月）</w:t>
      </w:r>
      <w:r w:rsidR="007A2C8C" w:rsidRPr="007D1C18">
        <w:t>保健營養食品製造業約有</w:t>
      </w:r>
      <w:r w:rsidR="007A2C8C" w:rsidRPr="007D1C18">
        <w:rPr>
          <w:rFonts w:hint="eastAsia"/>
        </w:rPr>
        <w:t>200</w:t>
      </w:r>
      <w:r w:rsidR="007A2C8C" w:rsidRPr="007D1C18">
        <w:t>家。</w:t>
      </w:r>
      <w:r w:rsidR="007A2C8C">
        <w:rPr>
          <w:rFonts w:hint="eastAsia"/>
        </w:rPr>
        <w:t>且</w:t>
      </w:r>
      <w:r w:rsidR="007A2C8C" w:rsidRPr="007D1C18">
        <w:rPr>
          <w:rFonts w:hint="eastAsia"/>
        </w:rPr>
        <w:t>保健營養食品本質仍是食品，產品種類及型態多元，不少一般食品製造業者，除了生產一般食品，同時也兼具保健營養食品製造及代工身</w:t>
      </w:r>
      <w:r w:rsidR="007A2C8C">
        <w:rPr>
          <w:rFonts w:hint="eastAsia"/>
        </w:rPr>
        <w:t>分，生產</w:t>
      </w:r>
      <w:r w:rsidR="007A2C8C" w:rsidRPr="007D1C18">
        <w:t>品項多元且分散</w:t>
      </w:r>
      <w:r w:rsidR="007A2C8C">
        <w:rPr>
          <w:rFonts w:hint="eastAsia"/>
        </w:rPr>
        <w:t>。相關業者</w:t>
      </w:r>
      <w:r w:rsidR="007A2C8C" w:rsidRPr="007D1C18">
        <w:rPr>
          <w:rFonts w:hint="eastAsia"/>
        </w:rPr>
        <w:t>約有近</w:t>
      </w:r>
      <w:proofErr w:type="gramStart"/>
      <w:r w:rsidR="007A2C8C" w:rsidRPr="007D1C18">
        <w:t>5成</w:t>
      </w:r>
      <w:proofErr w:type="gramEnd"/>
      <w:r w:rsidR="007A2C8C" w:rsidRPr="007D1C18">
        <w:t>製造廠年營業額小於1億元，近4成年營業額約在1</w:t>
      </w:r>
      <w:r w:rsidR="007A2C8C">
        <w:rPr>
          <w:rFonts w:hint="eastAsia"/>
        </w:rPr>
        <w:t>至</w:t>
      </w:r>
      <w:r w:rsidR="007A2C8C" w:rsidRPr="007D1C18">
        <w:t>10億元，</w:t>
      </w:r>
      <w:r w:rsidR="0041329C">
        <w:rPr>
          <w:rFonts w:hint="eastAsia"/>
        </w:rPr>
        <w:t>僅約</w:t>
      </w:r>
      <w:proofErr w:type="gramStart"/>
      <w:r w:rsidR="007A2C8C" w:rsidRPr="007D1C18">
        <w:t>1</w:t>
      </w:r>
      <w:proofErr w:type="gramEnd"/>
      <w:r w:rsidR="007A2C8C" w:rsidRPr="007D1C18">
        <w:t>成</w:t>
      </w:r>
      <w:r w:rsidR="0041329C">
        <w:rPr>
          <w:rFonts w:hint="eastAsia"/>
        </w:rPr>
        <w:t>業者之</w:t>
      </w:r>
      <w:r w:rsidR="007A2C8C" w:rsidRPr="007D1C18">
        <w:t>營業額在10億元以上</w:t>
      </w:r>
      <w:r w:rsidR="007A2C8C">
        <w:rPr>
          <w:rFonts w:hint="eastAsia"/>
        </w:rPr>
        <w:t>，顯示</w:t>
      </w:r>
      <w:r w:rsidR="00547A8A">
        <w:rPr>
          <w:rFonts w:hint="eastAsia"/>
        </w:rPr>
        <w:t>該產業廠家</w:t>
      </w:r>
      <w:r w:rsidR="007A2C8C">
        <w:rPr>
          <w:rFonts w:hint="eastAsia"/>
        </w:rPr>
        <w:t>生產規模偏小，仍待政府扶持</w:t>
      </w:r>
      <w:r w:rsidR="007A2C8C" w:rsidRPr="007D1C18">
        <w:t>。</w:t>
      </w:r>
    </w:p>
    <w:p w:rsidR="0019505E" w:rsidRDefault="007A2C8C" w:rsidP="007A2C8C">
      <w:pPr>
        <w:pStyle w:val="3"/>
      </w:pPr>
      <w:proofErr w:type="gramStart"/>
      <w:r>
        <w:rPr>
          <w:rFonts w:hint="eastAsia"/>
        </w:rPr>
        <w:t>次</w:t>
      </w:r>
      <w:r w:rsidR="0019505E">
        <w:rPr>
          <w:rFonts w:hint="eastAsia"/>
        </w:rPr>
        <w:t>據經濟部</w:t>
      </w:r>
      <w:proofErr w:type="gramEnd"/>
      <w:r w:rsidR="0019505E">
        <w:rPr>
          <w:rFonts w:hint="eastAsia"/>
        </w:rPr>
        <w:t>查復資料，106至111年間我國保健營養食品市場供需狀況，產值由775億元，成長至993億元（成長約28</w:t>
      </w:r>
      <w:r w:rsidR="00533AD9">
        <w:rPr>
          <w:rFonts w:hint="eastAsia"/>
        </w:rPr>
        <w:t>﹪</w:t>
      </w:r>
      <w:r w:rsidR="0019505E">
        <w:rPr>
          <w:rFonts w:hint="eastAsia"/>
        </w:rPr>
        <w:t>）；出口值由179億元，成長至240億元（成長約34</w:t>
      </w:r>
      <w:proofErr w:type="gramStart"/>
      <w:r w:rsidR="00533AD9">
        <w:rPr>
          <w:rFonts w:hint="eastAsia"/>
        </w:rPr>
        <w:t>﹪</w:t>
      </w:r>
      <w:proofErr w:type="gramEnd"/>
      <w:r w:rsidR="0019505E">
        <w:rPr>
          <w:rFonts w:hint="eastAsia"/>
        </w:rPr>
        <w:t>）；</w:t>
      </w:r>
      <w:proofErr w:type="gramStart"/>
      <w:r w:rsidR="00547A8A">
        <w:rPr>
          <w:rFonts w:hint="eastAsia"/>
        </w:rPr>
        <w:t>惟</w:t>
      </w:r>
      <w:proofErr w:type="gramEnd"/>
      <w:r w:rsidR="0019505E">
        <w:rPr>
          <w:rFonts w:hint="eastAsia"/>
        </w:rPr>
        <w:t>進口值</w:t>
      </w:r>
      <w:r w:rsidR="00547A8A">
        <w:rPr>
          <w:rFonts w:hint="eastAsia"/>
        </w:rPr>
        <w:t>亦</w:t>
      </w:r>
      <w:r w:rsidR="0019505E">
        <w:rPr>
          <w:rFonts w:hint="eastAsia"/>
        </w:rPr>
        <w:t>由316億元，成長至410億元（成長約30</w:t>
      </w:r>
      <w:r w:rsidR="00533AD9">
        <w:rPr>
          <w:rFonts w:hint="eastAsia"/>
        </w:rPr>
        <w:t>﹪</w:t>
      </w:r>
      <w:r w:rsidR="0019505E">
        <w:rPr>
          <w:rFonts w:hint="eastAsia"/>
        </w:rPr>
        <w:t>）等數據，可見國內保健食品</w:t>
      </w:r>
      <w:r w:rsidR="00547A8A">
        <w:rPr>
          <w:rFonts w:hint="eastAsia"/>
        </w:rPr>
        <w:t>整體產值及</w:t>
      </w:r>
      <w:r w:rsidR="0019505E">
        <w:rPr>
          <w:rFonts w:hint="eastAsia"/>
        </w:rPr>
        <w:t>出口值雖有</w:t>
      </w:r>
      <w:r w:rsidR="00547A8A">
        <w:rPr>
          <w:rFonts w:hint="eastAsia"/>
        </w:rPr>
        <w:t>逐年</w:t>
      </w:r>
      <w:r w:rsidR="0019505E">
        <w:rPr>
          <w:rFonts w:hint="eastAsia"/>
        </w:rPr>
        <w:t>成長</w:t>
      </w:r>
      <w:r w:rsidR="00547A8A">
        <w:rPr>
          <w:rFonts w:hint="eastAsia"/>
        </w:rPr>
        <w:t>，</w:t>
      </w:r>
      <w:r w:rsidR="0019505E">
        <w:rPr>
          <w:rFonts w:hint="eastAsia"/>
        </w:rPr>
        <w:t>惟</w:t>
      </w:r>
      <w:r w:rsidR="00547A8A">
        <w:rPr>
          <w:rFonts w:hint="eastAsia"/>
        </w:rPr>
        <w:t>經濟部亦指出</w:t>
      </w:r>
      <w:r w:rsidR="0019505E">
        <w:rPr>
          <w:rFonts w:hint="eastAsia"/>
        </w:rPr>
        <w:t>近年成長幅度有趨緩現象，國內市場趨於飽和，業者須努力投入國際市場，發展本土國際品牌，該產業始能成長茁壯。</w:t>
      </w:r>
    </w:p>
    <w:p w:rsidR="0019505E" w:rsidRDefault="0019505E" w:rsidP="0019505E">
      <w:pPr>
        <w:pStyle w:val="3"/>
      </w:pPr>
      <w:r>
        <w:rPr>
          <w:rFonts w:hint="eastAsia"/>
        </w:rPr>
        <w:lastRenderedPageBreak/>
        <w:t>另依財政部進出口統計資料，1</w:t>
      </w:r>
      <w:r>
        <w:t>08</w:t>
      </w:r>
      <w:r>
        <w:rPr>
          <w:rFonts w:hint="eastAsia"/>
        </w:rPr>
        <w:t>年至1</w:t>
      </w:r>
      <w:r>
        <w:t>12</w:t>
      </w:r>
      <w:r>
        <w:rPr>
          <w:rFonts w:hint="eastAsia"/>
        </w:rPr>
        <w:t>年間，</w:t>
      </w:r>
      <w:proofErr w:type="gramStart"/>
      <w:r>
        <w:rPr>
          <w:rFonts w:hint="eastAsia"/>
        </w:rPr>
        <w:t>各年度</w:t>
      </w:r>
      <w:r w:rsidRPr="00693749">
        <w:rPr>
          <w:rFonts w:hint="eastAsia"/>
        </w:rPr>
        <w:t>錠劑</w:t>
      </w:r>
      <w:proofErr w:type="gramEnd"/>
      <w:r w:rsidRPr="00693749">
        <w:rPr>
          <w:rFonts w:hint="eastAsia"/>
        </w:rPr>
        <w:t>、膠囊狀食物製品進口及出口金額分</w:t>
      </w:r>
      <w:r>
        <w:rPr>
          <w:rFonts w:hint="eastAsia"/>
        </w:rPr>
        <w:t>別</w:t>
      </w:r>
      <w:r w:rsidRPr="00693749">
        <w:rPr>
          <w:rFonts w:hint="eastAsia"/>
        </w:rPr>
        <w:t>為6</w:t>
      </w:r>
      <w:r w:rsidRPr="00693749">
        <w:t>3.01</w:t>
      </w:r>
      <w:r w:rsidRPr="00693749">
        <w:rPr>
          <w:rFonts w:hint="eastAsia"/>
        </w:rPr>
        <w:t>億元及2</w:t>
      </w:r>
      <w:r w:rsidRPr="00693749">
        <w:t>4.5</w:t>
      </w:r>
      <w:r w:rsidRPr="00693749">
        <w:rPr>
          <w:rFonts w:hint="eastAsia"/>
        </w:rPr>
        <w:t>億元、6</w:t>
      </w:r>
      <w:r w:rsidRPr="00693749">
        <w:t>5.84</w:t>
      </w:r>
      <w:r w:rsidRPr="00693749">
        <w:rPr>
          <w:rFonts w:hint="eastAsia"/>
        </w:rPr>
        <w:t>億元及2</w:t>
      </w:r>
      <w:r w:rsidRPr="00693749">
        <w:t>5.38</w:t>
      </w:r>
      <w:r w:rsidRPr="00693749">
        <w:rPr>
          <w:rFonts w:hint="eastAsia"/>
        </w:rPr>
        <w:t>億元、7</w:t>
      </w:r>
      <w:r w:rsidRPr="00693749">
        <w:t>0.51</w:t>
      </w:r>
      <w:r w:rsidRPr="00693749">
        <w:rPr>
          <w:rFonts w:hint="eastAsia"/>
        </w:rPr>
        <w:t>億元及2</w:t>
      </w:r>
      <w:r w:rsidRPr="00693749">
        <w:t>5.80</w:t>
      </w:r>
      <w:r w:rsidRPr="00693749">
        <w:rPr>
          <w:rFonts w:hint="eastAsia"/>
        </w:rPr>
        <w:t>億元、8</w:t>
      </w:r>
      <w:r w:rsidRPr="00693749">
        <w:t>7.37</w:t>
      </w:r>
      <w:r w:rsidRPr="00693749">
        <w:rPr>
          <w:rFonts w:hint="eastAsia"/>
        </w:rPr>
        <w:t>億元及2</w:t>
      </w:r>
      <w:r w:rsidRPr="00693749">
        <w:t>4.86</w:t>
      </w:r>
      <w:r w:rsidRPr="00693749">
        <w:rPr>
          <w:rFonts w:hint="eastAsia"/>
        </w:rPr>
        <w:t>億元與8</w:t>
      </w:r>
      <w:r w:rsidRPr="00693749">
        <w:t>9.71</w:t>
      </w:r>
      <w:r w:rsidRPr="00693749">
        <w:rPr>
          <w:rFonts w:hint="eastAsia"/>
        </w:rPr>
        <w:t>億元及2</w:t>
      </w:r>
      <w:r w:rsidRPr="00693749">
        <w:t>0.98</w:t>
      </w:r>
      <w:r w:rsidRPr="00693749">
        <w:rPr>
          <w:rFonts w:hint="eastAsia"/>
        </w:rPr>
        <w:t>億元</w:t>
      </w:r>
      <w:r w:rsidR="00B35FA8">
        <w:rPr>
          <w:rStyle w:val="afe"/>
        </w:rPr>
        <w:footnoteReference w:id="5"/>
      </w:r>
      <w:r w:rsidRPr="00693749">
        <w:rPr>
          <w:rFonts w:hint="eastAsia"/>
        </w:rPr>
        <w:t>，</w:t>
      </w:r>
      <w:r>
        <w:rPr>
          <w:rFonts w:hint="eastAsia"/>
        </w:rPr>
        <w:t>除</w:t>
      </w:r>
      <w:r w:rsidRPr="00693749">
        <w:rPr>
          <w:rFonts w:hint="eastAsia"/>
        </w:rPr>
        <w:t>前揭年</w:t>
      </w:r>
      <w:r>
        <w:rPr>
          <w:rFonts w:hint="eastAsia"/>
        </w:rPr>
        <w:t>度</w:t>
      </w:r>
      <w:r w:rsidRPr="00693749">
        <w:rPr>
          <w:rFonts w:hint="eastAsia"/>
        </w:rPr>
        <w:t>產生之</w:t>
      </w:r>
      <w:r w:rsidRPr="009C56A3">
        <w:rPr>
          <w:rFonts w:hint="eastAsia"/>
        </w:rPr>
        <w:t>逆差金額分別為3</w:t>
      </w:r>
      <w:r w:rsidRPr="009C56A3">
        <w:t>8.51</w:t>
      </w:r>
      <w:r w:rsidRPr="009C56A3">
        <w:rPr>
          <w:rFonts w:hint="eastAsia"/>
        </w:rPr>
        <w:t>億元、4</w:t>
      </w:r>
      <w:r w:rsidRPr="009C56A3">
        <w:t>0.</w:t>
      </w:r>
      <w:r w:rsidRPr="00693749">
        <w:t>46</w:t>
      </w:r>
      <w:r w:rsidRPr="00693749">
        <w:rPr>
          <w:rFonts w:hint="eastAsia"/>
        </w:rPr>
        <w:t>億元、4</w:t>
      </w:r>
      <w:r w:rsidRPr="00693749">
        <w:t>4.71</w:t>
      </w:r>
      <w:r w:rsidRPr="00693749">
        <w:rPr>
          <w:rFonts w:hint="eastAsia"/>
        </w:rPr>
        <w:t>億元、6</w:t>
      </w:r>
      <w:r w:rsidRPr="00693749">
        <w:t>2.51</w:t>
      </w:r>
      <w:r w:rsidRPr="00693749">
        <w:rPr>
          <w:rFonts w:hint="eastAsia"/>
        </w:rPr>
        <w:t>億元與6</w:t>
      </w:r>
      <w:r w:rsidRPr="00693749">
        <w:t>8.73</w:t>
      </w:r>
      <w:r w:rsidRPr="00693749">
        <w:rPr>
          <w:rFonts w:hint="eastAsia"/>
        </w:rPr>
        <w:t>億元</w:t>
      </w:r>
      <w:r>
        <w:rPr>
          <w:rFonts w:hint="eastAsia"/>
        </w:rPr>
        <w:t>，呈現逐年上升外，且出口金額在1</w:t>
      </w:r>
      <w:r>
        <w:t>11</w:t>
      </w:r>
      <w:r>
        <w:rPr>
          <w:rFonts w:hint="eastAsia"/>
        </w:rPr>
        <w:t>年及1</w:t>
      </w:r>
      <w:r>
        <w:t>12</w:t>
      </w:r>
      <w:r>
        <w:rPr>
          <w:rFonts w:hint="eastAsia"/>
        </w:rPr>
        <w:t>年</w:t>
      </w:r>
      <w:r w:rsidR="0041329C">
        <w:rPr>
          <w:rFonts w:hint="eastAsia"/>
        </w:rPr>
        <w:t>亦</w:t>
      </w:r>
      <w:r>
        <w:rPr>
          <w:rFonts w:hint="eastAsia"/>
        </w:rPr>
        <w:t>呈現明顯下</w:t>
      </w:r>
      <w:r w:rsidR="0041329C">
        <w:rPr>
          <w:rFonts w:hint="eastAsia"/>
        </w:rPr>
        <w:t>滑</w:t>
      </w:r>
      <w:r>
        <w:rPr>
          <w:rFonts w:hint="eastAsia"/>
        </w:rPr>
        <w:t>，如下</w:t>
      </w:r>
      <w:r w:rsidRPr="009878CF">
        <w:rPr>
          <w:rFonts w:hint="eastAsia"/>
        </w:rPr>
        <w:t>表</w:t>
      </w:r>
      <w:r w:rsidRPr="00693749">
        <w:rPr>
          <w:rFonts w:hint="eastAsia"/>
        </w:rPr>
        <w:t>。</w:t>
      </w:r>
    </w:p>
    <w:p w:rsidR="0019505E" w:rsidRDefault="0019505E" w:rsidP="0019505E"/>
    <w:p w:rsidR="0019505E" w:rsidRPr="00186615" w:rsidRDefault="0019505E" w:rsidP="0019505E">
      <w:pPr>
        <w:pStyle w:val="a3"/>
        <w:rPr>
          <w:b/>
        </w:rPr>
      </w:pPr>
      <w:r w:rsidRPr="00186615">
        <w:rPr>
          <w:rFonts w:hint="eastAsia"/>
          <w:b/>
        </w:rPr>
        <w:t>近</w:t>
      </w:r>
      <w:proofErr w:type="gramStart"/>
      <w:r w:rsidRPr="00186615">
        <w:rPr>
          <w:rFonts w:hint="eastAsia"/>
          <w:b/>
        </w:rPr>
        <w:t>5年</w:t>
      </w:r>
      <w:bookmarkStart w:id="56" w:name="_Hlk174110845"/>
      <w:r w:rsidRPr="00186615">
        <w:rPr>
          <w:rFonts w:hint="eastAsia"/>
          <w:b/>
        </w:rPr>
        <w:t>錠劑</w:t>
      </w:r>
      <w:proofErr w:type="gramEnd"/>
      <w:r w:rsidRPr="00186615">
        <w:rPr>
          <w:rFonts w:hint="eastAsia"/>
          <w:b/>
        </w:rPr>
        <w:t>、膠囊狀食物製品進</w:t>
      </w:r>
      <w:r>
        <w:rPr>
          <w:rFonts w:hint="eastAsia"/>
          <w:b/>
        </w:rPr>
        <w:t>(</w:t>
      </w:r>
      <w:r w:rsidRPr="00186615">
        <w:rPr>
          <w:rFonts w:hint="eastAsia"/>
          <w:b/>
        </w:rPr>
        <w:t>出</w:t>
      </w:r>
      <w:r>
        <w:rPr>
          <w:rFonts w:hint="eastAsia"/>
          <w:b/>
        </w:rPr>
        <w:t>)</w:t>
      </w:r>
      <w:r w:rsidRPr="00186615">
        <w:rPr>
          <w:rFonts w:hint="eastAsia"/>
          <w:b/>
        </w:rPr>
        <w:t>口</w:t>
      </w:r>
      <w:bookmarkEnd w:id="56"/>
      <w:r w:rsidRPr="00186615">
        <w:rPr>
          <w:rFonts w:hint="eastAsia"/>
          <w:b/>
        </w:rPr>
        <w:t>金額比較 單位：億元</w:t>
      </w:r>
    </w:p>
    <w:tbl>
      <w:tblPr>
        <w:tblStyle w:val="af6"/>
        <w:tblW w:w="8931" w:type="dxa"/>
        <w:tblInd w:w="-5" w:type="dxa"/>
        <w:tblLook w:val="04A0" w:firstRow="1" w:lastRow="0" w:firstColumn="1" w:lastColumn="0" w:noHBand="0" w:noVBand="1"/>
      </w:tblPr>
      <w:tblGrid>
        <w:gridCol w:w="1412"/>
        <w:gridCol w:w="1503"/>
        <w:gridCol w:w="1504"/>
        <w:gridCol w:w="1504"/>
        <w:gridCol w:w="1504"/>
        <w:gridCol w:w="1504"/>
      </w:tblGrid>
      <w:tr w:rsidR="0019505E" w:rsidRPr="00186615" w:rsidTr="006A4478">
        <w:tc>
          <w:tcPr>
            <w:tcW w:w="1412" w:type="dxa"/>
            <w:vAlign w:val="center"/>
          </w:tcPr>
          <w:p w:rsidR="0019505E" w:rsidRPr="00186615" w:rsidRDefault="0019505E" w:rsidP="006A4478">
            <w:pPr>
              <w:ind w:firstLineChars="100" w:firstLine="300"/>
              <w:jc w:val="center"/>
              <w:rPr>
                <w:b/>
                <w:sz w:val="28"/>
                <w:szCs w:val="28"/>
              </w:rPr>
            </w:pPr>
            <w:r w:rsidRPr="00186615">
              <w:rPr>
                <w:rFonts w:hint="eastAsia"/>
                <w:b/>
                <w:sz w:val="28"/>
                <w:szCs w:val="28"/>
              </w:rPr>
              <w:t>年度</w:t>
            </w:r>
          </w:p>
        </w:tc>
        <w:tc>
          <w:tcPr>
            <w:tcW w:w="1503"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08</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09</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10</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11</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12</w:t>
            </w:r>
          </w:p>
        </w:tc>
      </w:tr>
      <w:tr w:rsidR="0019505E" w:rsidRPr="00186615" w:rsidTr="006A4478">
        <w:tc>
          <w:tcPr>
            <w:tcW w:w="1412" w:type="dxa"/>
          </w:tcPr>
          <w:p w:rsidR="0019505E" w:rsidRPr="00186615" w:rsidRDefault="0019505E" w:rsidP="006A4478">
            <w:pPr>
              <w:rPr>
                <w:sz w:val="28"/>
                <w:szCs w:val="28"/>
              </w:rPr>
            </w:pPr>
            <w:r w:rsidRPr="00186615">
              <w:rPr>
                <w:rFonts w:hint="eastAsia"/>
                <w:sz w:val="28"/>
                <w:szCs w:val="28"/>
              </w:rPr>
              <w:t>進口</w:t>
            </w:r>
          </w:p>
        </w:tc>
        <w:tc>
          <w:tcPr>
            <w:tcW w:w="1503" w:type="dxa"/>
            <w:vAlign w:val="center"/>
          </w:tcPr>
          <w:p w:rsidR="0019505E" w:rsidRPr="00186615" w:rsidRDefault="0019505E" w:rsidP="006A4478">
            <w:pPr>
              <w:jc w:val="right"/>
              <w:rPr>
                <w:sz w:val="28"/>
                <w:szCs w:val="28"/>
              </w:rPr>
            </w:pPr>
            <w:r w:rsidRPr="00186615">
              <w:rPr>
                <w:rFonts w:hint="eastAsia"/>
                <w:sz w:val="28"/>
                <w:szCs w:val="28"/>
              </w:rPr>
              <w:t>6</w:t>
            </w:r>
            <w:r w:rsidRPr="00186615">
              <w:rPr>
                <w:sz w:val="28"/>
                <w:szCs w:val="28"/>
              </w:rPr>
              <w:t>3.01</w:t>
            </w:r>
          </w:p>
        </w:tc>
        <w:tc>
          <w:tcPr>
            <w:tcW w:w="1504" w:type="dxa"/>
            <w:vAlign w:val="center"/>
          </w:tcPr>
          <w:p w:rsidR="0019505E" w:rsidRPr="00186615" w:rsidRDefault="0019505E" w:rsidP="006A4478">
            <w:pPr>
              <w:jc w:val="right"/>
              <w:rPr>
                <w:sz w:val="28"/>
                <w:szCs w:val="28"/>
              </w:rPr>
            </w:pPr>
            <w:r w:rsidRPr="00186615">
              <w:rPr>
                <w:rFonts w:hint="eastAsia"/>
                <w:sz w:val="28"/>
                <w:szCs w:val="28"/>
              </w:rPr>
              <w:t>6</w:t>
            </w:r>
            <w:r w:rsidRPr="00186615">
              <w:rPr>
                <w:sz w:val="28"/>
                <w:szCs w:val="28"/>
              </w:rPr>
              <w:t>5.84</w:t>
            </w:r>
          </w:p>
        </w:tc>
        <w:tc>
          <w:tcPr>
            <w:tcW w:w="1504" w:type="dxa"/>
            <w:vAlign w:val="center"/>
          </w:tcPr>
          <w:p w:rsidR="0019505E" w:rsidRPr="00186615" w:rsidRDefault="0019505E" w:rsidP="006A4478">
            <w:pPr>
              <w:jc w:val="right"/>
              <w:rPr>
                <w:sz w:val="28"/>
                <w:szCs w:val="28"/>
              </w:rPr>
            </w:pPr>
            <w:r w:rsidRPr="00186615">
              <w:rPr>
                <w:rFonts w:hint="eastAsia"/>
                <w:sz w:val="28"/>
                <w:szCs w:val="28"/>
              </w:rPr>
              <w:t>7</w:t>
            </w:r>
            <w:r w:rsidRPr="00186615">
              <w:rPr>
                <w:sz w:val="28"/>
                <w:szCs w:val="28"/>
              </w:rPr>
              <w:t>0.51</w:t>
            </w:r>
          </w:p>
        </w:tc>
        <w:tc>
          <w:tcPr>
            <w:tcW w:w="1504" w:type="dxa"/>
            <w:vAlign w:val="center"/>
          </w:tcPr>
          <w:p w:rsidR="0019505E" w:rsidRPr="00186615" w:rsidRDefault="0019505E" w:rsidP="006A4478">
            <w:pPr>
              <w:jc w:val="right"/>
              <w:rPr>
                <w:sz w:val="28"/>
                <w:szCs w:val="28"/>
              </w:rPr>
            </w:pPr>
            <w:r w:rsidRPr="00186615">
              <w:rPr>
                <w:rFonts w:hint="eastAsia"/>
                <w:sz w:val="28"/>
                <w:szCs w:val="28"/>
              </w:rPr>
              <w:t>8</w:t>
            </w:r>
            <w:r w:rsidRPr="00186615">
              <w:rPr>
                <w:sz w:val="28"/>
                <w:szCs w:val="28"/>
              </w:rPr>
              <w:t>7.37</w:t>
            </w:r>
          </w:p>
        </w:tc>
        <w:tc>
          <w:tcPr>
            <w:tcW w:w="1504" w:type="dxa"/>
            <w:vAlign w:val="center"/>
          </w:tcPr>
          <w:p w:rsidR="0019505E" w:rsidRPr="00186615" w:rsidRDefault="0019505E" w:rsidP="006A4478">
            <w:pPr>
              <w:jc w:val="right"/>
              <w:rPr>
                <w:sz w:val="28"/>
                <w:szCs w:val="28"/>
              </w:rPr>
            </w:pPr>
            <w:r w:rsidRPr="00186615">
              <w:rPr>
                <w:rFonts w:hint="eastAsia"/>
                <w:sz w:val="28"/>
                <w:szCs w:val="28"/>
              </w:rPr>
              <w:t>8</w:t>
            </w:r>
            <w:r w:rsidRPr="00186615">
              <w:rPr>
                <w:sz w:val="28"/>
                <w:szCs w:val="28"/>
              </w:rPr>
              <w:t>9.71</w:t>
            </w:r>
          </w:p>
        </w:tc>
      </w:tr>
      <w:tr w:rsidR="0019505E" w:rsidRPr="00186615" w:rsidTr="006A4478">
        <w:tc>
          <w:tcPr>
            <w:tcW w:w="1412" w:type="dxa"/>
          </w:tcPr>
          <w:p w:rsidR="0019505E" w:rsidRPr="00186615" w:rsidRDefault="0019505E" w:rsidP="006A4478">
            <w:pPr>
              <w:rPr>
                <w:sz w:val="28"/>
                <w:szCs w:val="28"/>
              </w:rPr>
            </w:pPr>
            <w:r w:rsidRPr="00186615">
              <w:rPr>
                <w:rFonts w:hint="eastAsia"/>
                <w:sz w:val="28"/>
                <w:szCs w:val="28"/>
              </w:rPr>
              <w:t>出口</w:t>
            </w:r>
          </w:p>
        </w:tc>
        <w:tc>
          <w:tcPr>
            <w:tcW w:w="1503" w:type="dxa"/>
            <w:vAlign w:val="center"/>
          </w:tcPr>
          <w:p w:rsidR="0019505E" w:rsidRPr="00186615" w:rsidRDefault="0019505E" w:rsidP="006A4478">
            <w:pPr>
              <w:jc w:val="right"/>
              <w:rPr>
                <w:sz w:val="28"/>
                <w:szCs w:val="28"/>
              </w:rPr>
            </w:pPr>
            <w:r w:rsidRPr="00186615">
              <w:rPr>
                <w:rFonts w:hint="eastAsia"/>
                <w:sz w:val="28"/>
                <w:szCs w:val="28"/>
              </w:rPr>
              <w:t>2</w:t>
            </w:r>
            <w:r w:rsidRPr="00186615">
              <w:rPr>
                <w:sz w:val="28"/>
                <w:szCs w:val="28"/>
              </w:rPr>
              <w:t>4.5</w:t>
            </w:r>
          </w:p>
        </w:tc>
        <w:tc>
          <w:tcPr>
            <w:tcW w:w="1504" w:type="dxa"/>
            <w:vAlign w:val="center"/>
          </w:tcPr>
          <w:p w:rsidR="0019505E" w:rsidRPr="00186615" w:rsidRDefault="0019505E" w:rsidP="006A4478">
            <w:pPr>
              <w:jc w:val="right"/>
              <w:rPr>
                <w:sz w:val="28"/>
                <w:szCs w:val="28"/>
              </w:rPr>
            </w:pPr>
            <w:r w:rsidRPr="00186615">
              <w:rPr>
                <w:rFonts w:hint="eastAsia"/>
                <w:sz w:val="28"/>
                <w:szCs w:val="28"/>
              </w:rPr>
              <w:t>2</w:t>
            </w:r>
            <w:r w:rsidRPr="00186615">
              <w:rPr>
                <w:sz w:val="28"/>
                <w:szCs w:val="28"/>
              </w:rPr>
              <w:t>5.38</w:t>
            </w:r>
          </w:p>
        </w:tc>
        <w:tc>
          <w:tcPr>
            <w:tcW w:w="1504" w:type="dxa"/>
            <w:vAlign w:val="center"/>
          </w:tcPr>
          <w:p w:rsidR="0019505E" w:rsidRPr="00186615" w:rsidRDefault="0019505E" w:rsidP="006A4478">
            <w:pPr>
              <w:jc w:val="right"/>
              <w:rPr>
                <w:sz w:val="28"/>
                <w:szCs w:val="28"/>
              </w:rPr>
            </w:pPr>
            <w:r w:rsidRPr="00186615">
              <w:rPr>
                <w:rFonts w:hint="eastAsia"/>
                <w:sz w:val="28"/>
                <w:szCs w:val="28"/>
              </w:rPr>
              <w:t>2</w:t>
            </w:r>
            <w:r w:rsidRPr="00186615">
              <w:rPr>
                <w:sz w:val="28"/>
                <w:szCs w:val="28"/>
              </w:rPr>
              <w:t>5.80</w:t>
            </w:r>
          </w:p>
        </w:tc>
        <w:tc>
          <w:tcPr>
            <w:tcW w:w="1504" w:type="dxa"/>
            <w:vAlign w:val="center"/>
          </w:tcPr>
          <w:p w:rsidR="0019505E" w:rsidRPr="00186615" w:rsidRDefault="0019505E" w:rsidP="006A4478">
            <w:pPr>
              <w:jc w:val="right"/>
              <w:rPr>
                <w:sz w:val="28"/>
                <w:szCs w:val="28"/>
              </w:rPr>
            </w:pPr>
            <w:r w:rsidRPr="00186615">
              <w:rPr>
                <w:rFonts w:hint="eastAsia"/>
                <w:sz w:val="28"/>
                <w:szCs w:val="28"/>
              </w:rPr>
              <w:t>2</w:t>
            </w:r>
            <w:r w:rsidRPr="00186615">
              <w:rPr>
                <w:sz w:val="28"/>
                <w:szCs w:val="28"/>
              </w:rPr>
              <w:t>4.86</w:t>
            </w:r>
          </w:p>
        </w:tc>
        <w:tc>
          <w:tcPr>
            <w:tcW w:w="1504" w:type="dxa"/>
            <w:vAlign w:val="center"/>
          </w:tcPr>
          <w:p w:rsidR="0019505E" w:rsidRPr="00186615" w:rsidRDefault="0019505E" w:rsidP="006A4478">
            <w:pPr>
              <w:jc w:val="right"/>
              <w:rPr>
                <w:sz w:val="28"/>
                <w:szCs w:val="28"/>
              </w:rPr>
            </w:pPr>
            <w:r w:rsidRPr="00186615">
              <w:rPr>
                <w:rFonts w:hint="eastAsia"/>
                <w:sz w:val="28"/>
                <w:szCs w:val="28"/>
              </w:rPr>
              <w:t>2</w:t>
            </w:r>
            <w:r w:rsidRPr="00186615">
              <w:rPr>
                <w:sz w:val="28"/>
                <w:szCs w:val="28"/>
              </w:rPr>
              <w:t>0.98</w:t>
            </w:r>
          </w:p>
        </w:tc>
      </w:tr>
      <w:tr w:rsidR="0019505E" w:rsidRPr="00186615" w:rsidTr="006A4478">
        <w:tc>
          <w:tcPr>
            <w:tcW w:w="1412" w:type="dxa"/>
          </w:tcPr>
          <w:p w:rsidR="0019505E" w:rsidRPr="00186615" w:rsidRDefault="0019505E" w:rsidP="006A4478">
            <w:pPr>
              <w:rPr>
                <w:sz w:val="26"/>
                <w:szCs w:val="26"/>
              </w:rPr>
            </w:pPr>
            <w:r w:rsidRPr="00186615">
              <w:rPr>
                <w:rFonts w:hint="eastAsia"/>
                <w:sz w:val="26"/>
                <w:szCs w:val="26"/>
              </w:rPr>
              <w:t>逆差金額</w:t>
            </w:r>
          </w:p>
        </w:tc>
        <w:tc>
          <w:tcPr>
            <w:tcW w:w="1503" w:type="dxa"/>
            <w:vAlign w:val="center"/>
          </w:tcPr>
          <w:p w:rsidR="0019505E" w:rsidRPr="00186615" w:rsidRDefault="0019505E" w:rsidP="006A4478">
            <w:pPr>
              <w:widowControl/>
              <w:overflowPunct/>
              <w:autoSpaceDE/>
              <w:autoSpaceDN/>
              <w:jc w:val="right"/>
              <w:rPr>
                <w:sz w:val="28"/>
                <w:szCs w:val="28"/>
              </w:rPr>
            </w:pPr>
            <w:r w:rsidRPr="00186615">
              <w:rPr>
                <w:rFonts w:hint="eastAsia"/>
                <w:sz w:val="28"/>
                <w:szCs w:val="28"/>
              </w:rPr>
              <w:t>38.51</w:t>
            </w:r>
          </w:p>
        </w:tc>
        <w:tc>
          <w:tcPr>
            <w:tcW w:w="1504" w:type="dxa"/>
            <w:vAlign w:val="center"/>
          </w:tcPr>
          <w:p w:rsidR="0019505E" w:rsidRPr="00186615" w:rsidRDefault="0019505E" w:rsidP="006A4478">
            <w:pPr>
              <w:jc w:val="right"/>
              <w:rPr>
                <w:sz w:val="28"/>
                <w:szCs w:val="28"/>
              </w:rPr>
            </w:pPr>
            <w:r w:rsidRPr="00186615">
              <w:rPr>
                <w:rFonts w:hint="eastAsia"/>
                <w:sz w:val="28"/>
                <w:szCs w:val="28"/>
              </w:rPr>
              <w:t>40.46</w:t>
            </w:r>
          </w:p>
        </w:tc>
        <w:tc>
          <w:tcPr>
            <w:tcW w:w="1504" w:type="dxa"/>
            <w:vAlign w:val="center"/>
          </w:tcPr>
          <w:p w:rsidR="0019505E" w:rsidRPr="00186615" w:rsidRDefault="0019505E" w:rsidP="006A4478">
            <w:pPr>
              <w:jc w:val="right"/>
              <w:rPr>
                <w:sz w:val="28"/>
                <w:szCs w:val="28"/>
              </w:rPr>
            </w:pPr>
            <w:r w:rsidRPr="00186615">
              <w:rPr>
                <w:rFonts w:hint="eastAsia"/>
                <w:sz w:val="28"/>
                <w:szCs w:val="28"/>
              </w:rPr>
              <w:t>44.71</w:t>
            </w:r>
          </w:p>
        </w:tc>
        <w:tc>
          <w:tcPr>
            <w:tcW w:w="1504" w:type="dxa"/>
            <w:vAlign w:val="center"/>
          </w:tcPr>
          <w:p w:rsidR="0019505E" w:rsidRPr="00186615" w:rsidRDefault="0019505E" w:rsidP="006A4478">
            <w:pPr>
              <w:jc w:val="right"/>
              <w:rPr>
                <w:sz w:val="28"/>
                <w:szCs w:val="28"/>
              </w:rPr>
            </w:pPr>
            <w:r w:rsidRPr="00186615">
              <w:rPr>
                <w:rFonts w:hint="eastAsia"/>
                <w:sz w:val="28"/>
                <w:szCs w:val="28"/>
              </w:rPr>
              <w:t>62.51</w:t>
            </w:r>
          </w:p>
        </w:tc>
        <w:tc>
          <w:tcPr>
            <w:tcW w:w="1504" w:type="dxa"/>
            <w:vAlign w:val="center"/>
          </w:tcPr>
          <w:p w:rsidR="0019505E" w:rsidRPr="00186615" w:rsidRDefault="0019505E" w:rsidP="006A4478">
            <w:pPr>
              <w:jc w:val="right"/>
              <w:rPr>
                <w:sz w:val="28"/>
                <w:szCs w:val="28"/>
              </w:rPr>
            </w:pPr>
            <w:r w:rsidRPr="00186615">
              <w:rPr>
                <w:rFonts w:hint="eastAsia"/>
                <w:sz w:val="28"/>
                <w:szCs w:val="28"/>
              </w:rPr>
              <w:t>68.73</w:t>
            </w:r>
          </w:p>
        </w:tc>
      </w:tr>
    </w:tbl>
    <w:p w:rsidR="0019505E" w:rsidRPr="00186615" w:rsidRDefault="0019505E" w:rsidP="00C50435">
      <w:pPr>
        <w:snapToGrid w:val="0"/>
        <w:ind w:left="424" w:rightChars="-25" w:right="-85" w:hangingChars="163" w:hanging="424"/>
        <w:rPr>
          <w:color w:val="000000" w:themeColor="text1"/>
          <w:sz w:val="24"/>
          <w:szCs w:val="24"/>
        </w:rPr>
      </w:pPr>
      <w:proofErr w:type="gramStart"/>
      <w:r w:rsidRPr="00186615">
        <w:rPr>
          <w:rFonts w:hint="eastAsia"/>
          <w:color w:val="000000" w:themeColor="text1"/>
          <w:sz w:val="24"/>
          <w:szCs w:val="24"/>
        </w:rPr>
        <w:t>註</w:t>
      </w:r>
      <w:proofErr w:type="gramEnd"/>
      <w:r w:rsidRPr="00186615">
        <w:rPr>
          <w:rFonts w:hint="eastAsia"/>
          <w:color w:val="000000" w:themeColor="text1"/>
          <w:sz w:val="24"/>
          <w:szCs w:val="24"/>
        </w:rPr>
        <w:t xml:space="preserve">：依申報CCC </w:t>
      </w:r>
      <w:r w:rsidR="00EB086C">
        <w:rPr>
          <w:color w:val="000000" w:themeColor="text1"/>
          <w:sz w:val="24"/>
          <w:szCs w:val="24"/>
        </w:rPr>
        <w:t xml:space="preserve">code </w:t>
      </w:r>
      <w:r w:rsidRPr="00186615">
        <w:rPr>
          <w:rFonts w:hint="eastAsia"/>
          <w:color w:val="000000" w:themeColor="text1"/>
          <w:sz w:val="24"/>
          <w:szCs w:val="24"/>
        </w:rPr>
        <w:t>2106.90.99.20-8之進出口報單，再按國內主要銷售保健食品種類之關鍵字(如魚油、維他命、鈣等)檢索統計。</w:t>
      </w:r>
    </w:p>
    <w:p w:rsidR="0019505E" w:rsidRPr="00186615" w:rsidRDefault="0019505E" w:rsidP="0019505E">
      <w:pPr>
        <w:snapToGrid w:val="0"/>
        <w:rPr>
          <w:sz w:val="24"/>
          <w:szCs w:val="24"/>
        </w:rPr>
      </w:pPr>
      <w:r w:rsidRPr="00186615">
        <w:rPr>
          <w:rFonts w:hint="eastAsia"/>
          <w:color w:val="000000" w:themeColor="text1"/>
          <w:sz w:val="24"/>
          <w:szCs w:val="24"/>
        </w:rPr>
        <w:t>資料來源：財政部海關進出口通關系統（</w:t>
      </w:r>
      <w:r>
        <w:rPr>
          <w:rFonts w:hint="eastAsia"/>
          <w:color w:val="000000" w:themeColor="text1"/>
          <w:sz w:val="24"/>
          <w:szCs w:val="24"/>
        </w:rPr>
        <w:t>以</w:t>
      </w:r>
      <w:r w:rsidRPr="00186615">
        <w:rPr>
          <w:rFonts w:hint="eastAsia"/>
          <w:color w:val="000000" w:themeColor="text1"/>
          <w:sz w:val="24"/>
          <w:szCs w:val="24"/>
        </w:rPr>
        <w:t>進出口日期為統計基礎）</w:t>
      </w:r>
      <w:r>
        <w:rPr>
          <w:rFonts w:hint="eastAsia"/>
          <w:color w:val="000000" w:themeColor="text1"/>
          <w:sz w:val="24"/>
          <w:szCs w:val="24"/>
        </w:rPr>
        <w:t>資料</w:t>
      </w:r>
      <w:r w:rsidRPr="00186615">
        <w:rPr>
          <w:rFonts w:hint="eastAsia"/>
          <w:color w:val="000000" w:themeColor="text1"/>
          <w:sz w:val="24"/>
          <w:szCs w:val="24"/>
        </w:rPr>
        <w:t>。</w:t>
      </w:r>
    </w:p>
    <w:p w:rsidR="0019505E" w:rsidRDefault="0019505E" w:rsidP="0019505E"/>
    <w:p w:rsidR="0019505E" w:rsidRDefault="00836764" w:rsidP="0019505E">
      <w:pPr>
        <w:pStyle w:val="3"/>
      </w:pPr>
      <w:r>
        <w:rPr>
          <w:rFonts w:hint="eastAsia"/>
        </w:rPr>
        <w:t>再據</w:t>
      </w:r>
      <w:r w:rsidR="0019505E">
        <w:rPr>
          <w:rFonts w:hint="eastAsia"/>
        </w:rPr>
        <w:t>經濟部</w:t>
      </w:r>
      <w:r>
        <w:rPr>
          <w:rFonts w:hint="eastAsia"/>
        </w:rPr>
        <w:t>表示</w:t>
      </w:r>
      <w:r w:rsidR="0019505E">
        <w:rPr>
          <w:rFonts w:hint="eastAsia"/>
        </w:rPr>
        <w:t>，</w:t>
      </w:r>
      <w:r w:rsidR="0019505E" w:rsidRPr="001E243B">
        <w:rPr>
          <w:rFonts w:hint="eastAsia"/>
        </w:rPr>
        <w:t>國際大廠為避</w:t>
      </w:r>
      <w:r w:rsidR="0019505E" w:rsidRPr="0041329C">
        <w:rPr>
          <w:rFonts w:hint="eastAsia"/>
        </w:rPr>
        <w:t>免被課徵進口保健食品關稅，常委託國內業者代工，</w:t>
      </w:r>
      <w:r w:rsidR="0019505E" w:rsidRPr="001E243B">
        <w:rPr>
          <w:rFonts w:hint="eastAsia"/>
        </w:rPr>
        <w:t>倘</w:t>
      </w:r>
      <w:r w:rsidR="009C56A3">
        <w:rPr>
          <w:rFonts w:hint="eastAsia"/>
        </w:rPr>
        <w:t>貿然</w:t>
      </w:r>
      <w:r w:rsidR="0019505E" w:rsidRPr="0041329C">
        <w:rPr>
          <w:rFonts w:hint="eastAsia"/>
        </w:rPr>
        <w:t>自</w:t>
      </w:r>
      <w:r w:rsidR="0041329C" w:rsidRPr="0041329C">
        <w:rPr>
          <w:rFonts w:hint="eastAsia"/>
        </w:rPr>
        <w:t>行</w:t>
      </w:r>
      <w:r w:rsidR="0019505E" w:rsidRPr="0041329C">
        <w:rPr>
          <w:rFonts w:hint="eastAsia"/>
        </w:rPr>
        <w:t>降低進口保健食品關稅</w:t>
      </w:r>
      <w:r w:rsidR="0019505E" w:rsidRPr="001E243B">
        <w:rPr>
          <w:rFonts w:hint="eastAsia"/>
        </w:rPr>
        <w:t>，恐造成國際大廠不再委託國內業者代工，除了使國內代工業者失去訂單，代工模式所帶來的技術協助等外溢效益也將一併失去，可預期因國外保健食品大量輸入</w:t>
      </w:r>
      <w:r w:rsidR="007E35CF">
        <w:rPr>
          <w:rFonts w:hint="eastAsia"/>
        </w:rPr>
        <w:t>臺</w:t>
      </w:r>
      <w:r w:rsidR="0019505E" w:rsidRPr="001E243B">
        <w:rPr>
          <w:rFonts w:hint="eastAsia"/>
        </w:rPr>
        <w:t>灣，將導致國內保健食品產業萎縮或外移，影響相關產業數以萬計的員工生計（製造廠約200家，員工數約17,630人）。雖然未來的國際趨勢將打破貿易壁壘走向貿易自由化，惟現階段關稅議題仍舊是我國加入區域貿易合作組織（如跨太平洋夥伴全面進步協定CPTPP或</w:t>
      </w:r>
      <w:r w:rsidR="0019505E" w:rsidRPr="001E243B">
        <w:rPr>
          <w:rFonts w:hint="eastAsia"/>
        </w:rPr>
        <w:lastRenderedPageBreak/>
        <w:t>與其他國家洽簽FTA）的重要談判籌碼。</w:t>
      </w:r>
      <w:r w:rsidR="0019505E">
        <w:rPr>
          <w:rFonts w:hint="eastAsia"/>
        </w:rPr>
        <w:t xml:space="preserve">  </w:t>
      </w:r>
    </w:p>
    <w:p w:rsidR="0019505E" w:rsidRDefault="0019505E" w:rsidP="0019505E">
      <w:pPr>
        <w:pStyle w:val="3"/>
      </w:pPr>
      <w:r>
        <w:rPr>
          <w:rFonts w:hint="eastAsia"/>
        </w:rPr>
        <w:t>再依財政部進出口統計資料，1</w:t>
      </w:r>
      <w:r>
        <w:t>08</w:t>
      </w:r>
      <w:r>
        <w:rPr>
          <w:rFonts w:hint="eastAsia"/>
        </w:rPr>
        <w:t>年至1</w:t>
      </w:r>
      <w:r>
        <w:t>12</w:t>
      </w:r>
      <w:r>
        <w:rPr>
          <w:rFonts w:hint="eastAsia"/>
        </w:rPr>
        <w:t>年間，</w:t>
      </w:r>
      <w:proofErr w:type="gramStart"/>
      <w:r>
        <w:rPr>
          <w:rFonts w:hint="eastAsia"/>
        </w:rPr>
        <w:t>各年度</w:t>
      </w:r>
      <w:r w:rsidRPr="00693749">
        <w:rPr>
          <w:rFonts w:hint="eastAsia"/>
        </w:rPr>
        <w:t>錠劑</w:t>
      </w:r>
      <w:proofErr w:type="gramEnd"/>
      <w:r w:rsidRPr="00693749">
        <w:rPr>
          <w:rFonts w:hint="eastAsia"/>
        </w:rPr>
        <w:t>、膠囊狀食物製品出口金額</w:t>
      </w:r>
      <w:proofErr w:type="gramStart"/>
      <w:r>
        <w:rPr>
          <w:rFonts w:hint="eastAsia"/>
        </w:rPr>
        <w:t>前十高品</w:t>
      </w:r>
      <w:proofErr w:type="gramEnd"/>
      <w:r>
        <w:rPr>
          <w:rFonts w:hint="eastAsia"/>
        </w:rPr>
        <w:t>項金額合計</w:t>
      </w:r>
      <w:r w:rsidRPr="00693749">
        <w:rPr>
          <w:rFonts w:hint="eastAsia"/>
        </w:rPr>
        <w:t>分</w:t>
      </w:r>
      <w:r>
        <w:rPr>
          <w:rFonts w:hint="eastAsia"/>
        </w:rPr>
        <w:t>別</w:t>
      </w:r>
      <w:r w:rsidRPr="00693749">
        <w:rPr>
          <w:rFonts w:hint="eastAsia"/>
        </w:rPr>
        <w:t>為6</w:t>
      </w:r>
      <w:r>
        <w:t>.95</w:t>
      </w:r>
      <w:r w:rsidRPr="00693749">
        <w:rPr>
          <w:rFonts w:hint="eastAsia"/>
        </w:rPr>
        <w:t>億元、</w:t>
      </w:r>
      <w:r>
        <w:rPr>
          <w:rFonts w:hint="eastAsia"/>
        </w:rPr>
        <w:t>7</w:t>
      </w:r>
      <w:r>
        <w:t>.19</w:t>
      </w:r>
      <w:r w:rsidRPr="00693749">
        <w:rPr>
          <w:rFonts w:hint="eastAsia"/>
        </w:rPr>
        <w:t>億元、</w:t>
      </w:r>
      <w:r>
        <w:rPr>
          <w:rFonts w:hint="eastAsia"/>
        </w:rPr>
        <w:t>1</w:t>
      </w:r>
      <w:r>
        <w:t>0.16</w:t>
      </w:r>
      <w:r w:rsidRPr="00693749">
        <w:rPr>
          <w:rFonts w:hint="eastAsia"/>
        </w:rPr>
        <w:t>億元、</w:t>
      </w:r>
      <w:r>
        <w:rPr>
          <w:rFonts w:hint="eastAsia"/>
        </w:rPr>
        <w:t>8</w:t>
      </w:r>
      <w:r>
        <w:t>.50</w:t>
      </w:r>
      <w:r w:rsidRPr="00693749">
        <w:rPr>
          <w:rFonts w:hint="eastAsia"/>
        </w:rPr>
        <w:t>億元及</w:t>
      </w:r>
      <w:r>
        <w:rPr>
          <w:rFonts w:hint="eastAsia"/>
        </w:rPr>
        <w:t>5</w:t>
      </w:r>
      <w:r>
        <w:t>.96</w:t>
      </w:r>
      <w:r w:rsidRPr="00693749">
        <w:rPr>
          <w:rFonts w:hint="eastAsia"/>
        </w:rPr>
        <w:t>億元</w:t>
      </w:r>
      <w:r>
        <w:rPr>
          <w:rFonts w:hint="eastAsia"/>
        </w:rPr>
        <w:t>；</w:t>
      </w:r>
      <w:proofErr w:type="gramStart"/>
      <w:r w:rsidR="00D46BBC">
        <w:rPr>
          <w:rFonts w:hint="eastAsia"/>
        </w:rPr>
        <w:t>本院再以</w:t>
      </w:r>
      <w:proofErr w:type="gramEnd"/>
      <w:r>
        <w:rPr>
          <w:rFonts w:hint="eastAsia"/>
        </w:rPr>
        <w:t>出口品名</w:t>
      </w:r>
      <w:r w:rsidR="00D46BBC">
        <w:rPr>
          <w:rFonts w:hint="eastAsia"/>
        </w:rPr>
        <w:t>為據</w:t>
      </w:r>
      <w:r>
        <w:rPr>
          <w:rFonts w:hint="eastAsia"/>
        </w:rPr>
        <w:t>推估，其中屬</w:t>
      </w:r>
      <w:r w:rsidR="00D46BBC">
        <w:rPr>
          <w:rFonts w:hint="eastAsia"/>
        </w:rPr>
        <w:t>國內業者之</w:t>
      </w:r>
      <w:r>
        <w:rPr>
          <w:rFonts w:hint="eastAsia"/>
        </w:rPr>
        <w:t>代工金額及占比，分別為5</w:t>
      </w:r>
      <w:r>
        <w:t>.68</w:t>
      </w:r>
      <w:r w:rsidRPr="00693749">
        <w:rPr>
          <w:rFonts w:hint="eastAsia"/>
        </w:rPr>
        <w:t>億元及</w:t>
      </w:r>
      <w:r>
        <w:rPr>
          <w:rFonts w:hint="eastAsia"/>
        </w:rPr>
        <w:t>8</w:t>
      </w:r>
      <w:r>
        <w:t>1.73</w:t>
      </w:r>
      <w:r>
        <w:rPr>
          <w:rFonts w:hint="eastAsia"/>
        </w:rPr>
        <w:t>﹪、6</w:t>
      </w:r>
      <w:r>
        <w:t>.14</w:t>
      </w:r>
      <w:r w:rsidRPr="00693749">
        <w:rPr>
          <w:rFonts w:hint="eastAsia"/>
        </w:rPr>
        <w:t>億元及</w:t>
      </w:r>
      <w:r>
        <w:rPr>
          <w:rFonts w:hint="eastAsia"/>
        </w:rPr>
        <w:t>8</w:t>
      </w:r>
      <w:r>
        <w:t>5.40</w:t>
      </w:r>
      <w:r>
        <w:rPr>
          <w:rFonts w:hint="eastAsia"/>
        </w:rPr>
        <w:t>﹪、8</w:t>
      </w:r>
      <w:r>
        <w:t>.64</w:t>
      </w:r>
      <w:r w:rsidRPr="00693749">
        <w:rPr>
          <w:rFonts w:hint="eastAsia"/>
        </w:rPr>
        <w:t>億元及</w:t>
      </w:r>
      <w:r>
        <w:rPr>
          <w:rFonts w:hint="eastAsia"/>
        </w:rPr>
        <w:t>8</w:t>
      </w:r>
      <w:r>
        <w:t>5.04</w:t>
      </w:r>
      <w:r>
        <w:rPr>
          <w:rFonts w:hint="eastAsia"/>
        </w:rPr>
        <w:t>﹪、6</w:t>
      </w:r>
      <w:r>
        <w:t>.94</w:t>
      </w:r>
      <w:r w:rsidRPr="00693749">
        <w:rPr>
          <w:rFonts w:hint="eastAsia"/>
        </w:rPr>
        <w:t>億元及</w:t>
      </w:r>
      <w:r>
        <w:rPr>
          <w:rFonts w:hint="eastAsia"/>
        </w:rPr>
        <w:t>8</w:t>
      </w:r>
      <w:r>
        <w:t>1.65</w:t>
      </w:r>
      <w:r>
        <w:rPr>
          <w:rFonts w:hint="eastAsia"/>
        </w:rPr>
        <w:t>﹪與3</w:t>
      </w:r>
      <w:r>
        <w:t>.81</w:t>
      </w:r>
      <w:r w:rsidRPr="00693749">
        <w:rPr>
          <w:rFonts w:hint="eastAsia"/>
        </w:rPr>
        <w:t>億元及</w:t>
      </w:r>
      <w:r>
        <w:rPr>
          <w:rFonts w:hint="eastAsia"/>
        </w:rPr>
        <w:t>6</w:t>
      </w:r>
      <w:r>
        <w:t>3.93</w:t>
      </w:r>
      <w:r>
        <w:rPr>
          <w:rFonts w:hint="eastAsia"/>
        </w:rPr>
        <w:t>﹪，代工出口金額及占比</w:t>
      </w:r>
      <w:r w:rsidR="0041329C">
        <w:rPr>
          <w:rFonts w:hint="eastAsia"/>
        </w:rPr>
        <w:t>均</w:t>
      </w:r>
      <w:r>
        <w:rPr>
          <w:rFonts w:hint="eastAsia"/>
        </w:rPr>
        <w:t>呈現下滑現象</w:t>
      </w:r>
      <w:r w:rsidR="00836764">
        <w:rPr>
          <w:rFonts w:hint="eastAsia"/>
        </w:rPr>
        <w:t>（</w:t>
      </w:r>
      <w:r>
        <w:rPr>
          <w:rFonts w:hint="eastAsia"/>
        </w:rPr>
        <w:t>如下</w:t>
      </w:r>
      <w:r w:rsidRPr="009878CF">
        <w:rPr>
          <w:rFonts w:hint="eastAsia"/>
        </w:rPr>
        <w:t>表</w:t>
      </w:r>
      <w:r w:rsidR="00836764" w:rsidRPr="009878CF">
        <w:rPr>
          <w:rFonts w:hint="eastAsia"/>
        </w:rPr>
        <w:t>）</w:t>
      </w:r>
      <w:r>
        <w:rPr>
          <w:rFonts w:hint="eastAsia"/>
        </w:rPr>
        <w:t>。</w:t>
      </w:r>
      <w:r w:rsidR="003E0691">
        <w:rPr>
          <w:rFonts w:hint="eastAsia"/>
        </w:rPr>
        <w:t>足見</w:t>
      </w:r>
      <w:r w:rsidR="00836764">
        <w:rPr>
          <w:rFonts w:hint="eastAsia"/>
        </w:rPr>
        <w:t>我國在未</w:t>
      </w:r>
      <w:proofErr w:type="gramStart"/>
      <w:r w:rsidR="00836764">
        <w:rPr>
          <w:rFonts w:hint="eastAsia"/>
        </w:rPr>
        <w:t>調降</w:t>
      </w:r>
      <w:r w:rsidR="00836764" w:rsidRPr="00693749">
        <w:rPr>
          <w:rFonts w:hint="eastAsia"/>
        </w:rPr>
        <w:t>錠劑</w:t>
      </w:r>
      <w:proofErr w:type="gramEnd"/>
      <w:r w:rsidR="00836764" w:rsidRPr="00693749">
        <w:rPr>
          <w:rFonts w:hint="eastAsia"/>
        </w:rPr>
        <w:t>、膠囊狀食物製品</w:t>
      </w:r>
      <w:r w:rsidR="00836764">
        <w:rPr>
          <w:rFonts w:hint="eastAsia"/>
        </w:rPr>
        <w:t>之進口關稅稅率下，國際大廠委託國內</w:t>
      </w:r>
      <w:r w:rsidR="0041329C">
        <w:rPr>
          <w:rFonts w:hint="eastAsia"/>
        </w:rPr>
        <w:t>代工</w:t>
      </w:r>
      <w:r w:rsidR="00836764">
        <w:rPr>
          <w:rFonts w:hint="eastAsia"/>
        </w:rPr>
        <w:t>生產</w:t>
      </w:r>
      <w:r w:rsidR="0041329C">
        <w:rPr>
          <w:rFonts w:hint="eastAsia"/>
        </w:rPr>
        <w:t>金額</w:t>
      </w:r>
      <w:r w:rsidR="00836764">
        <w:rPr>
          <w:rFonts w:hint="eastAsia"/>
        </w:rPr>
        <w:t>已有下降趨勢</w:t>
      </w:r>
      <w:r w:rsidR="00D46BBC">
        <w:rPr>
          <w:rFonts w:hint="eastAsia"/>
        </w:rPr>
        <w:t>。</w:t>
      </w:r>
      <w:proofErr w:type="gramStart"/>
      <w:r w:rsidR="00836764">
        <w:rPr>
          <w:rFonts w:hint="eastAsia"/>
        </w:rPr>
        <w:t>爰</w:t>
      </w:r>
      <w:proofErr w:type="gramEnd"/>
      <w:r w:rsidR="00836764">
        <w:rPr>
          <w:rFonts w:hint="eastAsia"/>
        </w:rPr>
        <w:t>我國</w:t>
      </w:r>
      <w:r w:rsidR="00836764" w:rsidRPr="00836764">
        <w:rPr>
          <w:rFonts w:hint="eastAsia"/>
        </w:rPr>
        <w:t>自</w:t>
      </w:r>
      <w:r w:rsidR="00D46BBC">
        <w:rPr>
          <w:rFonts w:hint="eastAsia"/>
        </w:rPr>
        <w:t>行</w:t>
      </w:r>
      <w:r w:rsidR="0041329C">
        <w:rPr>
          <w:rFonts w:hint="eastAsia"/>
        </w:rPr>
        <w:t>調</w:t>
      </w:r>
      <w:r w:rsidR="00836764" w:rsidRPr="00836764">
        <w:rPr>
          <w:rFonts w:hint="eastAsia"/>
        </w:rPr>
        <w:t>降保健食品關稅稅率</w:t>
      </w:r>
      <w:r w:rsidR="00E87E3B">
        <w:rPr>
          <w:rFonts w:hint="eastAsia"/>
        </w:rPr>
        <w:t>一事</w:t>
      </w:r>
      <w:r w:rsidR="00836764" w:rsidRPr="00836764">
        <w:rPr>
          <w:rFonts w:hint="eastAsia"/>
        </w:rPr>
        <w:t>，</w:t>
      </w:r>
      <w:proofErr w:type="gramStart"/>
      <w:r w:rsidR="00836764">
        <w:rPr>
          <w:rFonts w:hint="eastAsia"/>
        </w:rPr>
        <w:t>參據</w:t>
      </w:r>
      <w:proofErr w:type="gramEnd"/>
      <w:r w:rsidR="00836764">
        <w:rPr>
          <w:rFonts w:hint="eastAsia"/>
        </w:rPr>
        <w:t>前揭經濟部論點</w:t>
      </w:r>
      <w:r w:rsidR="003E0691">
        <w:rPr>
          <w:rFonts w:hint="eastAsia"/>
        </w:rPr>
        <w:t>及</w:t>
      </w:r>
      <w:r w:rsidR="00E87E3B">
        <w:rPr>
          <w:rFonts w:hint="eastAsia"/>
        </w:rPr>
        <w:t>財政部</w:t>
      </w:r>
      <w:r w:rsidR="003E0691">
        <w:rPr>
          <w:rFonts w:hint="eastAsia"/>
        </w:rPr>
        <w:t>出口統計數據資料</w:t>
      </w:r>
      <w:r w:rsidR="00836764">
        <w:rPr>
          <w:rFonts w:hint="eastAsia"/>
        </w:rPr>
        <w:t>，</w:t>
      </w:r>
      <w:r w:rsidR="0041329C">
        <w:rPr>
          <w:rFonts w:hint="eastAsia"/>
        </w:rPr>
        <w:t>允</w:t>
      </w:r>
      <w:r w:rsidR="00836764" w:rsidRPr="00836764">
        <w:rPr>
          <w:rFonts w:hint="eastAsia"/>
        </w:rPr>
        <w:t>宜審慎處理。</w:t>
      </w:r>
    </w:p>
    <w:p w:rsidR="0019505E" w:rsidRDefault="0019505E" w:rsidP="0019505E"/>
    <w:p w:rsidR="0019505E" w:rsidRDefault="0019505E" w:rsidP="0019505E">
      <w:pPr>
        <w:pStyle w:val="a3"/>
        <w:rPr>
          <w:b/>
        </w:rPr>
      </w:pPr>
      <w:r w:rsidRPr="00186615">
        <w:rPr>
          <w:rFonts w:hint="eastAsia"/>
          <w:b/>
        </w:rPr>
        <w:t>近</w:t>
      </w:r>
      <w:proofErr w:type="gramStart"/>
      <w:r w:rsidRPr="00186615">
        <w:rPr>
          <w:rFonts w:hint="eastAsia"/>
          <w:b/>
        </w:rPr>
        <w:t>5年</w:t>
      </w:r>
      <w:bookmarkStart w:id="57" w:name="_Hlk174108845"/>
      <w:r w:rsidRPr="00186615">
        <w:rPr>
          <w:rFonts w:hint="eastAsia"/>
          <w:b/>
        </w:rPr>
        <w:t>錠劑</w:t>
      </w:r>
      <w:proofErr w:type="gramEnd"/>
      <w:r w:rsidRPr="00186615">
        <w:rPr>
          <w:rFonts w:hint="eastAsia"/>
          <w:b/>
        </w:rPr>
        <w:t>、膠囊狀食物製品</w:t>
      </w:r>
      <w:bookmarkEnd w:id="57"/>
      <w:r>
        <w:rPr>
          <w:rFonts w:hint="eastAsia"/>
          <w:b/>
        </w:rPr>
        <w:t>前1</w:t>
      </w:r>
      <w:r>
        <w:rPr>
          <w:b/>
        </w:rPr>
        <w:t>0</w:t>
      </w:r>
      <w:r>
        <w:rPr>
          <w:rFonts w:hint="eastAsia"/>
          <w:b/>
        </w:rPr>
        <w:t>大</w:t>
      </w:r>
      <w:r w:rsidRPr="00186615">
        <w:rPr>
          <w:rFonts w:hint="eastAsia"/>
          <w:b/>
        </w:rPr>
        <w:t>出口</w:t>
      </w:r>
      <w:r>
        <w:rPr>
          <w:rFonts w:hint="eastAsia"/>
          <w:b/>
        </w:rPr>
        <w:t>品項代工、非代工</w:t>
      </w:r>
      <w:r w:rsidRPr="00186615">
        <w:rPr>
          <w:rFonts w:hint="eastAsia"/>
          <w:b/>
        </w:rPr>
        <w:t xml:space="preserve">比較 </w:t>
      </w:r>
    </w:p>
    <w:p w:rsidR="0019505E" w:rsidRPr="00714FF8" w:rsidRDefault="0019505E" w:rsidP="0019505E">
      <w:pPr>
        <w:ind w:firstLineChars="2632" w:firstLine="7381"/>
        <w:rPr>
          <w:rFonts w:hAnsi="華康楷書體W5(P)"/>
          <w:b/>
          <w:bCs/>
          <w:spacing w:val="-10"/>
          <w:kern w:val="28"/>
          <w:sz w:val="28"/>
          <w:szCs w:val="28"/>
        </w:rPr>
      </w:pPr>
      <w:r w:rsidRPr="00714FF8">
        <w:rPr>
          <w:rFonts w:hAnsi="華康楷書體W5(P)" w:hint="eastAsia"/>
          <w:b/>
          <w:bCs/>
          <w:spacing w:val="-10"/>
          <w:kern w:val="28"/>
          <w:sz w:val="28"/>
          <w:szCs w:val="28"/>
        </w:rPr>
        <w:t>單位：億元</w:t>
      </w:r>
    </w:p>
    <w:tbl>
      <w:tblPr>
        <w:tblStyle w:val="af6"/>
        <w:tblW w:w="10497" w:type="dxa"/>
        <w:tblInd w:w="-856" w:type="dxa"/>
        <w:tblLook w:val="04A0" w:firstRow="1" w:lastRow="0" w:firstColumn="1" w:lastColumn="0" w:noHBand="0" w:noVBand="1"/>
      </w:tblPr>
      <w:tblGrid>
        <w:gridCol w:w="851"/>
        <w:gridCol w:w="1063"/>
        <w:gridCol w:w="1064"/>
        <w:gridCol w:w="1503"/>
        <w:gridCol w:w="1504"/>
        <w:gridCol w:w="1504"/>
        <w:gridCol w:w="1504"/>
        <w:gridCol w:w="1504"/>
      </w:tblGrid>
      <w:tr w:rsidR="0019505E" w:rsidRPr="00186615" w:rsidTr="006A4478">
        <w:trPr>
          <w:tblHeader/>
        </w:trPr>
        <w:tc>
          <w:tcPr>
            <w:tcW w:w="2978" w:type="dxa"/>
            <w:gridSpan w:val="3"/>
            <w:vAlign w:val="center"/>
          </w:tcPr>
          <w:p w:rsidR="0019505E" w:rsidRPr="00186615" w:rsidRDefault="0019505E" w:rsidP="006A4478">
            <w:pPr>
              <w:ind w:firstLineChars="100" w:firstLine="300"/>
              <w:jc w:val="center"/>
              <w:rPr>
                <w:b/>
                <w:sz w:val="28"/>
                <w:szCs w:val="28"/>
              </w:rPr>
            </w:pPr>
            <w:r w:rsidRPr="00186615">
              <w:rPr>
                <w:rFonts w:hint="eastAsia"/>
                <w:b/>
                <w:sz w:val="28"/>
                <w:szCs w:val="28"/>
              </w:rPr>
              <w:t>年度</w:t>
            </w:r>
          </w:p>
        </w:tc>
        <w:tc>
          <w:tcPr>
            <w:tcW w:w="1503"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08</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09</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10</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11</w:t>
            </w:r>
          </w:p>
        </w:tc>
        <w:tc>
          <w:tcPr>
            <w:tcW w:w="1504" w:type="dxa"/>
            <w:vAlign w:val="center"/>
          </w:tcPr>
          <w:p w:rsidR="0019505E" w:rsidRPr="00186615" w:rsidRDefault="0019505E" w:rsidP="006A4478">
            <w:pPr>
              <w:jc w:val="center"/>
              <w:rPr>
                <w:b/>
                <w:sz w:val="28"/>
                <w:szCs w:val="28"/>
              </w:rPr>
            </w:pPr>
            <w:r w:rsidRPr="00186615">
              <w:rPr>
                <w:rFonts w:hint="eastAsia"/>
                <w:b/>
                <w:sz w:val="28"/>
                <w:szCs w:val="28"/>
              </w:rPr>
              <w:t>1</w:t>
            </w:r>
            <w:r w:rsidRPr="00186615">
              <w:rPr>
                <w:b/>
                <w:sz w:val="28"/>
                <w:szCs w:val="28"/>
              </w:rPr>
              <w:t>12</w:t>
            </w:r>
          </w:p>
        </w:tc>
      </w:tr>
      <w:tr w:rsidR="0019505E" w:rsidRPr="00186615" w:rsidTr="00AC5CA6">
        <w:tc>
          <w:tcPr>
            <w:tcW w:w="2978" w:type="dxa"/>
            <w:gridSpan w:val="3"/>
            <w:vAlign w:val="center"/>
          </w:tcPr>
          <w:p w:rsidR="0019505E" w:rsidRPr="00186615" w:rsidRDefault="0019505E" w:rsidP="006A4478">
            <w:pPr>
              <w:ind w:leftChars="-32" w:left="-1" w:hangingChars="36" w:hanging="108"/>
              <w:jc w:val="center"/>
              <w:rPr>
                <w:sz w:val="28"/>
                <w:szCs w:val="28"/>
              </w:rPr>
            </w:pPr>
            <w:r w:rsidRPr="00186615">
              <w:rPr>
                <w:rFonts w:hint="eastAsia"/>
                <w:sz w:val="28"/>
                <w:szCs w:val="28"/>
              </w:rPr>
              <w:t>出口</w:t>
            </w:r>
            <w:r>
              <w:rPr>
                <w:rFonts w:hint="eastAsia"/>
                <w:sz w:val="28"/>
                <w:szCs w:val="28"/>
              </w:rPr>
              <w:t>金額</w:t>
            </w:r>
          </w:p>
        </w:tc>
        <w:tc>
          <w:tcPr>
            <w:tcW w:w="1503" w:type="dxa"/>
            <w:vAlign w:val="center"/>
          </w:tcPr>
          <w:p w:rsidR="0019505E" w:rsidRPr="00186615" w:rsidRDefault="0019505E" w:rsidP="00AC5CA6">
            <w:pPr>
              <w:jc w:val="right"/>
              <w:rPr>
                <w:sz w:val="28"/>
                <w:szCs w:val="28"/>
              </w:rPr>
            </w:pPr>
            <w:r w:rsidRPr="00186615">
              <w:rPr>
                <w:rFonts w:hint="eastAsia"/>
                <w:sz w:val="28"/>
                <w:szCs w:val="28"/>
              </w:rPr>
              <w:t>2</w:t>
            </w:r>
            <w:r w:rsidRPr="00186615">
              <w:rPr>
                <w:sz w:val="28"/>
                <w:szCs w:val="28"/>
              </w:rPr>
              <w:t>4.5</w:t>
            </w:r>
          </w:p>
        </w:tc>
        <w:tc>
          <w:tcPr>
            <w:tcW w:w="1504" w:type="dxa"/>
            <w:vAlign w:val="center"/>
          </w:tcPr>
          <w:p w:rsidR="0019505E" w:rsidRPr="00186615" w:rsidRDefault="0019505E" w:rsidP="00AC5CA6">
            <w:pPr>
              <w:jc w:val="right"/>
              <w:rPr>
                <w:sz w:val="28"/>
                <w:szCs w:val="28"/>
              </w:rPr>
            </w:pPr>
            <w:r w:rsidRPr="00186615">
              <w:rPr>
                <w:rFonts w:hint="eastAsia"/>
                <w:sz w:val="28"/>
                <w:szCs w:val="28"/>
              </w:rPr>
              <w:t>2</w:t>
            </w:r>
            <w:r w:rsidRPr="00186615">
              <w:rPr>
                <w:sz w:val="28"/>
                <w:szCs w:val="28"/>
              </w:rPr>
              <w:t>5.38</w:t>
            </w:r>
          </w:p>
        </w:tc>
        <w:tc>
          <w:tcPr>
            <w:tcW w:w="1504" w:type="dxa"/>
            <w:vAlign w:val="center"/>
          </w:tcPr>
          <w:p w:rsidR="0019505E" w:rsidRPr="00186615" w:rsidRDefault="0019505E" w:rsidP="00AC5CA6">
            <w:pPr>
              <w:jc w:val="right"/>
              <w:rPr>
                <w:sz w:val="28"/>
                <w:szCs w:val="28"/>
              </w:rPr>
            </w:pPr>
            <w:r w:rsidRPr="00186615">
              <w:rPr>
                <w:rFonts w:hint="eastAsia"/>
                <w:sz w:val="28"/>
                <w:szCs w:val="28"/>
              </w:rPr>
              <w:t>2</w:t>
            </w:r>
            <w:r w:rsidRPr="00186615">
              <w:rPr>
                <w:sz w:val="28"/>
                <w:szCs w:val="28"/>
              </w:rPr>
              <w:t>5.80</w:t>
            </w:r>
          </w:p>
        </w:tc>
        <w:tc>
          <w:tcPr>
            <w:tcW w:w="1504" w:type="dxa"/>
            <w:vAlign w:val="center"/>
          </w:tcPr>
          <w:p w:rsidR="0019505E" w:rsidRPr="00186615" w:rsidRDefault="0019505E" w:rsidP="00AC5CA6">
            <w:pPr>
              <w:jc w:val="right"/>
              <w:rPr>
                <w:sz w:val="28"/>
                <w:szCs w:val="28"/>
              </w:rPr>
            </w:pPr>
            <w:r w:rsidRPr="00186615">
              <w:rPr>
                <w:rFonts w:hint="eastAsia"/>
                <w:sz w:val="28"/>
                <w:szCs w:val="28"/>
              </w:rPr>
              <w:t>2</w:t>
            </w:r>
            <w:r w:rsidRPr="00186615">
              <w:rPr>
                <w:sz w:val="28"/>
                <w:szCs w:val="28"/>
              </w:rPr>
              <w:t>4.86</w:t>
            </w:r>
          </w:p>
        </w:tc>
        <w:tc>
          <w:tcPr>
            <w:tcW w:w="1504" w:type="dxa"/>
            <w:vAlign w:val="center"/>
          </w:tcPr>
          <w:p w:rsidR="0019505E" w:rsidRPr="00186615" w:rsidRDefault="0019505E" w:rsidP="00AC5CA6">
            <w:pPr>
              <w:jc w:val="right"/>
              <w:rPr>
                <w:sz w:val="28"/>
                <w:szCs w:val="28"/>
              </w:rPr>
            </w:pPr>
            <w:r w:rsidRPr="00186615">
              <w:rPr>
                <w:rFonts w:hint="eastAsia"/>
                <w:sz w:val="28"/>
                <w:szCs w:val="28"/>
              </w:rPr>
              <w:t>2</w:t>
            </w:r>
            <w:r w:rsidRPr="00186615">
              <w:rPr>
                <w:sz w:val="28"/>
                <w:szCs w:val="28"/>
              </w:rPr>
              <w:t>0.98</w:t>
            </w:r>
          </w:p>
        </w:tc>
      </w:tr>
      <w:tr w:rsidR="0019505E" w:rsidRPr="00186615" w:rsidTr="00AC5CA6">
        <w:tc>
          <w:tcPr>
            <w:tcW w:w="851" w:type="dxa"/>
            <w:vMerge w:val="restart"/>
            <w:vAlign w:val="center"/>
          </w:tcPr>
          <w:p w:rsidR="0019505E" w:rsidRPr="00714FF8" w:rsidRDefault="0019505E" w:rsidP="006A4478">
            <w:pPr>
              <w:ind w:leftChars="-32" w:left="-1" w:hangingChars="36" w:hanging="108"/>
              <w:jc w:val="center"/>
              <w:rPr>
                <w:b/>
                <w:sz w:val="28"/>
                <w:szCs w:val="28"/>
              </w:rPr>
            </w:pPr>
            <w:r w:rsidRPr="00714FF8">
              <w:rPr>
                <w:rFonts w:hint="eastAsia"/>
                <w:b/>
                <w:sz w:val="28"/>
                <w:szCs w:val="28"/>
              </w:rPr>
              <w:t>前十大品項</w:t>
            </w:r>
          </w:p>
        </w:tc>
        <w:tc>
          <w:tcPr>
            <w:tcW w:w="1063" w:type="dxa"/>
            <w:vMerge w:val="restart"/>
            <w:vAlign w:val="center"/>
          </w:tcPr>
          <w:p w:rsidR="0019505E" w:rsidRPr="00714FF8" w:rsidRDefault="0019505E" w:rsidP="006A4478">
            <w:pPr>
              <w:ind w:leftChars="-32" w:left="-1" w:hangingChars="36" w:hanging="108"/>
              <w:rPr>
                <w:b/>
                <w:sz w:val="28"/>
                <w:szCs w:val="28"/>
              </w:rPr>
            </w:pPr>
            <w:r w:rsidRPr="00714FF8">
              <w:rPr>
                <w:rFonts w:hint="eastAsia"/>
                <w:b/>
                <w:sz w:val="28"/>
                <w:szCs w:val="28"/>
              </w:rPr>
              <w:t>代工</w:t>
            </w:r>
          </w:p>
        </w:tc>
        <w:tc>
          <w:tcPr>
            <w:tcW w:w="1064" w:type="dxa"/>
            <w:vAlign w:val="center"/>
          </w:tcPr>
          <w:p w:rsidR="0019505E" w:rsidRPr="00714FF8" w:rsidRDefault="0019505E" w:rsidP="006A4478">
            <w:pPr>
              <w:rPr>
                <w:b/>
                <w:sz w:val="28"/>
                <w:szCs w:val="28"/>
              </w:rPr>
            </w:pPr>
            <w:r>
              <w:rPr>
                <w:rFonts w:hint="eastAsia"/>
                <w:b/>
                <w:sz w:val="28"/>
                <w:szCs w:val="28"/>
              </w:rPr>
              <w:t>金額</w:t>
            </w:r>
          </w:p>
        </w:tc>
        <w:tc>
          <w:tcPr>
            <w:tcW w:w="1503" w:type="dxa"/>
            <w:vAlign w:val="center"/>
          </w:tcPr>
          <w:p w:rsidR="0019505E" w:rsidRPr="00186615" w:rsidRDefault="0019505E" w:rsidP="00AC5CA6">
            <w:pPr>
              <w:jc w:val="right"/>
              <w:rPr>
                <w:sz w:val="28"/>
                <w:szCs w:val="28"/>
              </w:rPr>
            </w:pPr>
            <w:r>
              <w:rPr>
                <w:rFonts w:hint="eastAsia"/>
                <w:sz w:val="28"/>
                <w:szCs w:val="28"/>
              </w:rPr>
              <w:t>5</w:t>
            </w:r>
            <w:r>
              <w:rPr>
                <w:sz w:val="28"/>
                <w:szCs w:val="28"/>
              </w:rPr>
              <w:t>.68</w:t>
            </w:r>
          </w:p>
        </w:tc>
        <w:tc>
          <w:tcPr>
            <w:tcW w:w="1504" w:type="dxa"/>
            <w:vAlign w:val="center"/>
          </w:tcPr>
          <w:p w:rsidR="0019505E" w:rsidRPr="00186615" w:rsidRDefault="0019505E" w:rsidP="00AC5CA6">
            <w:pPr>
              <w:jc w:val="right"/>
              <w:rPr>
                <w:sz w:val="28"/>
                <w:szCs w:val="28"/>
              </w:rPr>
            </w:pPr>
            <w:r>
              <w:rPr>
                <w:rFonts w:hint="eastAsia"/>
                <w:sz w:val="28"/>
                <w:szCs w:val="28"/>
              </w:rPr>
              <w:t>6</w:t>
            </w:r>
            <w:r>
              <w:rPr>
                <w:sz w:val="28"/>
                <w:szCs w:val="28"/>
              </w:rPr>
              <w:t>.14</w:t>
            </w:r>
          </w:p>
        </w:tc>
        <w:tc>
          <w:tcPr>
            <w:tcW w:w="1504" w:type="dxa"/>
            <w:vAlign w:val="center"/>
          </w:tcPr>
          <w:p w:rsidR="0019505E" w:rsidRPr="00186615" w:rsidRDefault="0019505E" w:rsidP="00AC5CA6">
            <w:pPr>
              <w:jc w:val="right"/>
              <w:rPr>
                <w:sz w:val="28"/>
                <w:szCs w:val="28"/>
              </w:rPr>
            </w:pPr>
            <w:r>
              <w:rPr>
                <w:rFonts w:hint="eastAsia"/>
                <w:sz w:val="28"/>
                <w:szCs w:val="28"/>
              </w:rPr>
              <w:t>8</w:t>
            </w:r>
            <w:r>
              <w:rPr>
                <w:sz w:val="28"/>
                <w:szCs w:val="28"/>
              </w:rPr>
              <w:t>.64</w:t>
            </w:r>
          </w:p>
        </w:tc>
        <w:tc>
          <w:tcPr>
            <w:tcW w:w="1504" w:type="dxa"/>
            <w:vAlign w:val="center"/>
          </w:tcPr>
          <w:p w:rsidR="0019505E" w:rsidRPr="00186615" w:rsidRDefault="0019505E" w:rsidP="00AC5CA6">
            <w:pPr>
              <w:jc w:val="right"/>
              <w:rPr>
                <w:sz w:val="28"/>
                <w:szCs w:val="28"/>
              </w:rPr>
            </w:pPr>
            <w:r>
              <w:rPr>
                <w:rFonts w:hint="eastAsia"/>
                <w:sz w:val="28"/>
                <w:szCs w:val="28"/>
              </w:rPr>
              <w:t>6</w:t>
            </w:r>
            <w:r>
              <w:rPr>
                <w:sz w:val="28"/>
                <w:szCs w:val="28"/>
              </w:rPr>
              <w:t>.94</w:t>
            </w:r>
          </w:p>
        </w:tc>
        <w:tc>
          <w:tcPr>
            <w:tcW w:w="1504" w:type="dxa"/>
            <w:vAlign w:val="center"/>
          </w:tcPr>
          <w:p w:rsidR="0019505E" w:rsidRPr="00186615" w:rsidRDefault="0019505E" w:rsidP="00AC5CA6">
            <w:pPr>
              <w:jc w:val="right"/>
              <w:rPr>
                <w:sz w:val="28"/>
                <w:szCs w:val="28"/>
              </w:rPr>
            </w:pPr>
            <w:r>
              <w:rPr>
                <w:rFonts w:hint="eastAsia"/>
                <w:sz w:val="28"/>
                <w:szCs w:val="28"/>
              </w:rPr>
              <w:t>3</w:t>
            </w:r>
            <w:r>
              <w:rPr>
                <w:sz w:val="28"/>
                <w:szCs w:val="28"/>
              </w:rPr>
              <w:t>.81</w:t>
            </w:r>
          </w:p>
        </w:tc>
      </w:tr>
      <w:tr w:rsidR="0019505E" w:rsidRPr="00186615" w:rsidTr="00AC5CA6">
        <w:tc>
          <w:tcPr>
            <w:tcW w:w="851" w:type="dxa"/>
            <w:vMerge/>
            <w:vAlign w:val="center"/>
          </w:tcPr>
          <w:p w:rsidR="0019505E" w:rsidRPr="00714FF8" w:rsidRDefault="0019505E" w:rsidP="006A4478">
            <w:pPr>
              <w:ind w:leftChars="-32" w:left="-1" w:hangingChars="36" w:hanging="108"/>
              <w:jc w:val="center"/>
              <w:rPr>
                <w:b/>
                <w:sz w:val="28"/>
                <w:szCs w:val="28"/>
              </w:rPr>
            </w:pPr>
          </w:p>
        </w:tc>
        <w:tc>
          <w:tcPr>
            <w:tcW w:w="1063" w:type="dxa"/>
            <w:vMerge/>
            <w:vAlign w:val="center"/>
          </w:tcPr>
          <w:p w:rsidR="0019505E" w:rsidRPr="00714FF8" w:rsidRDefault="0019505E" w:rsidP="006A4478">
            <w:pPr>
              <w:ind w:leftChars="-32" w:left="-1" w:hangingChars="36" w:hanging="108"/>
              <w:rPr>
                <w:b/>
                <w:sz w:val="28"/>
                <w:szCs w:val="28"/>
              </w:rPr>
            </w:pPr>
          </w:p>
        </w:tc>
        <w:tc>
          <w:tcPr>
            <w:tcW w:w="1064" w:type="dxa"/>
            <w:vAlign w:val="center"/>
          </w:tcPr>
          <w:p w:rsidR="0019505E" w:rsidRPr="00714FF8" w:rsidRDefault="0019505E" w:rsidP="006A4478">
            <w:pPr>
              <w:rPr>
                <w:b/>
                <w:sz w:val="28"/>
                <w:szCs w:val="28"/>
              </w:rPr>
            </w:pPr>
            <w:r>
              <w:rPr>
                <w:rFonts w:hint="eastAsia"/>
                <w:b/>
                <w:sz w:val="28"/>
                <w:szCs w:val="28"/>
              </w:rPr>
              <w:t>占比</w:t>
            </w:r>
          </w:p>
        </w:tc>
        <w:tc>
          <w:tcPr>
            <w:tcW w:w="1503" w:type="dxa"/>
            <w:vAlign w:val="center"/>
          </w:tcPr>
          <w:p w:rsidR="0019505E" w:rsidRDefault="0019505E" w:rsidP="00AC5CA6">
            <w:pPr>
              <w:ind w:rightChars="-49" w:right="-167"/>
              <w:jc w:val="right"/>
              <w:rPr>
                <w:sz w:val="28"/>
                <w:szCs w:val="28"/>
              </w:rPr>
            </w:pPr>
            <w:r>
              <w:rPr>
                <w:rFonts w:hint="eastAsia"/>
                <w:sz w:val="28"/>
                <w:szCs w:val="28"/>
              </w:rPr>
              <w:t>8</w:t>
            </w:r>
            <w:r>
              <w:rPr>
                <w:sz w:val="28"/>
                <w:szCs w:val="28"/>
              </w:rPr>
              <w:t>1.73</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8</w:t>
            </w:r>
            <w:r>
              <w:rPr>
                <w:sz w:val="28"/>
                <w:szCs w:val="28"/>
              </w:rPr>
              <w:t>5.40</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8</w:t>
            </w:r>
            <w:r>
              <w:rPr>
                <w:sz w:val="28"/>
                <w:szCs w:val="28"/>
              </w:rPr>
              <w:t>5.04</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8</w:t>
            </w:r>
            <w:r>
              <w:rPr>
                <w:sz w:val="28"/>
                <w:szCs w:val="28"/>
              </w:rPr>
              <w:t>1.65</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6</w:t>
            </w:r>
            <w:r>
              <w:rPr>
                <w:sz w:val="28"/>
                <w:szCs w:val="28"/>
              </w:rPr>
              <w:t>3.93</w:t>
            </w:r>
            <w:proofErr w:type="gramStart"/>
            <w:r>
              <w:rPr>
                <w:rFonts w:hint="eastAsia"/>
                <w:sz w:val="28"/>
                <w:szCs w:val="28"/>
              </w:rPr>
              <w:t>﹪</w:t>
            </w:r>
            <w:proofErr w:type="gramEnd"/>
          </w:p>
        </w:tc>
      </w:tr>
      <w:tr w:rsidR="0019505E" w:rsidRPr="00186615" w:rsidTr="00AC5CA6">
        <w:tc>
          <w:tcPr>
            <w:tcW w:w="851" w:type="dxa"/>
            <w:vMerge/>
          </w:tcPr>
          <w:p w:rsidR="0019505E" w:rsidRPr="00714FF8" w:rsidRDefault="0019505E" w:rsidP="006A4478">
            <w:pPr>
              <w:rPr>
                <w:b/>
                <w:sz w:val="28"/>
                <w:szCs w:val="28"/>
              </w:rPr>
            </w:pPr>
          </w:p>
        </w:tc>
        <w:tc>
          <w:tcPr>
            <w:tcW w:w="1063" w:type="dxa"/>
            <w:vMerge w:val="restart"/>
            <w:vAlign w:val="center"/>
          </w:tcPr>
          <w:p w:rsidR="0019505E" w:rsidRPr="001E5F65" w:rsidRDefault="0019505E" w:rsidP="00227180">
            <w:pPr>
              <w:ind w:leftChars="-31" w:left="2" w:hangingChars="38" w:hanging="107"/>
              <w:rPr>
                <w:b/>
                <w:sz w:val="26"/>
                <w:szCs w:val="26"/>
              </w:rPr>
            </w:pPr>
            <w:r w:rsidRPr="001E5F65">
              <w:rPr>
                <w:rFonts w:hint="eastAsia"/>
                <w:b/>
                <w:sz w:val="26"/>
                <w:szCs w:val="26"/>
              </w:rPr>
              <w:t>非代工</w:t>
            </w:r>
          </w:p>
        </w:tc>
        <w:tc>
          <w:tcPr>
            <w:tcW w:w="1064" w:type="dxa"/>
          </w:tcPr>
          <w:p w:rsidR="0019505E" w:rsidRPr="00714FF8" w:rsidRDefault="0019505E" w:rsidP="006A4478">
            <w:pPr>
              <w:rPr>
                <w:b/>
                <w:sz w:val="28"/>
                <w:szCs w:val="28"/>
              </w:rPr>
            </w:pPr>
            <w:r>
              <w:rPr>
                <w:rFonts w:hint="eastAsia"/>
                <w:b/>
                <w:sz w:val="28"/>
                <w:szCs w:val="28"/>
              </w:rPr>
              <w:t>金額</w:t>
            </w:r>
          </w:p>
        </w:tc>
        <w:tc>
          <w:tcPr>
            <w:tcW w:w="1503" w:type="dxa"/>
            <w:vAlign w:val="center"/>
          </w:tcPr>
          <w:p w:rsidR="0019505E" w:rsidRPr="00186615" w:rsidRDefault="0019505E" w:rsidP="00AC5CA6">
            <w:pPr>
              <w:widowControl/>
              <w:overflowPunct/>
              <w:autoSpaceDE/>
              <w:autoSpaceDN/>
              <w:jc w:val="right"/>
              <w:rPr>
                <w:sz w:val="28"/>
                <w:szCs w:val="28"/>
              </w:rPr>
            </w:pPr>
            <w:r>
              <w:rPr>
                <w:rFonts w:hint="eastAsia"/>
                <w:sz w:val="28"/>
                <w:szCs w:val="28"/>
              </w:rPr>
              <w:t>1</w:t>
            </w:r>
            <w:r>
              <w:rPr>
                <w:sz w:val="28"/>
                <w:szCs w:val="28"/>
              </w:rPr>
              <w:t>.27</w:t>
            </w:r>
          </w:p>
        </w:tc>
        <w:tc>
          <w:tcPr>
            <w:tcW w:w="1504" w:type="dxa"/>
            <w:vAlign w:val="center"/>
          </w:tcPr>
          <w:p w:rsidR="0019505E" w:rsidRPr="00186615" w:rsidRDefault="0019505E" w:rsidP="00AC5CA6">
            <w:pPr>
              <w:jc w:val="right"/>
              <w:rPr>
                <w:sz w:val="28"/>
                <w:szCs w:val="28"/>
              </w:rPr>
            </w:pPr>
            <w:r>
              <w:rPr>
                <w:rFonts w:hint="eastAsia"/>
                <w:sz w:val="28"/>
                <w:szCs w:val="28"/>
              </w:rPr>
              <w:t>1</w:t>
            </w:r>
            <w:r>
              <w:rPr>
                <w:sz w:val="28"/>
                <w:szCs w:val="28"/>
              </w:rPr>
              <w:t>.05</w:t>
            </w:r>
          </w:p>
        </w:tc>
        <w:tc>
          <w:tcPr>
            <w:tcW w:w="1504" w:type="dxa"/>
            <w:vAlign w:val="center"/>
          </w:tcPr>
          <w:p w:rsidR="0019505E" w:rsidRPr="00186615" w:rsidRDefault="0019505E" w:rsidP="00AC5CA6">
            <w:pPr>
              <w:jc w:val="right"/>
              <w:rPr>
                <w:sz w:val="28"/>
                <w:szCs w:val="28"/>
              </w:rPr>
            </w:pPr>
            <w:r>
              <w:rPr>
                <w:rFonts w:hint="eastAsia"/>
                <w:sz w:val="28"/>
                <w:szCs w:val="28"/>
              </w:rPr>
              <w:t>1</w:t>
            </w:r>
            <w:r>
              <w:rPr>
                <w:sz w:val="28"/>
                <w:szCs w:val="28"/>
              </w:rPr>
              <w:t>.52</w:t>
            </w:r>
          </w:p>
        </w:tc>
        <w:tc>
          <w:tcPr>
            <w:tcW w:w="1504" w:type="dxa"/>
            <w:vAlign w:val="center"/>
          </w:tcPr>
          <w:p w:rsidR="0019505E" w:rsidRPr="00186615" w:rsidRDefault="0019505E" w:rsidP="00AC5CA6">
            <w:pPr>
              <w:jc w:val="right"/>
              <w:rPr>
                <w:sz w:val="28"/>
                <w:szCs w:val="28"/>
              </w:rPr>
            </w:pPr>
            <w:r>
              <w:rPr>
                <w:rFonts w:hint="eastAsia"/>
                <w:sz w:val="28"/>
                <w:szCs w:val="28"/>
              </w:rPr>
              <w:t>1</w:t>
            </w:r>
            <w:r>
              <w:rPr>
                <w:sz w:val="28"/>
                <w:szCs w:val="28"/>
              </w:rPr>
              <w:t>.56</w:t>
            </w:r>
          </w:p>
        </w:tc>
        <w:tc>
          <w:tcPr>
            <w:tcW w:w="1504" w:type="dxa"/>
            <w:vAlign w:val="center"/>
          </w:tcPr>
          <w:p w:rsidR="0019505E" w:rsidRPr="00186615" w:rsidRDefault="0019505E" w:rsidP="00AC5CA6">
            <w:pPr>
              <w:jc w:val="right"/>
              <w:rPr>
                <w:sz w:val="28"/>
                <w:szCs w:val="28"/>
              </w:rPr>
            </w:pPr>
            <w:r>
              <w:rPr>
                <w:rFonts w:hint="eastAsia"/>
                <w:sz w:val="28"/>
                <w:szCs w:val="28"/>
              </w:rPr>
              <w:t>2</w:t>
            </w:r>
            <w:r>
              <w:rPr>
                <w:sz w:val="28"/>
                <w:szCs w:val="28"/>
              </w:rPr>
              <w:t>.15</w:t>
            </w:r>
          </w:p>
        </w:tc>
      </w:tr>
      <w:tr w:rsidR="0019505E" w:rsidRPr="00186615" w:rsidTr="00AC5CA6">
        <w:tc>
          <w:tcPr>
            <w:tcW w:w="851" w:type="dxa"/>
            <w:vMerge/>
          </w:tcPr>
          <w:p w:rsidR="0019505E" w:rsidRPr="00714FF8" w:rsidRDefault="0019505E" w:rsidP="006A4478">
            <w:pPr>
              <w:rPr>
                <w:b/>
                <w:sz w:val="28"/>
                <w:szCs w:val="28"/>
              </w:rPr>
            </w:pPr>
          </w:p>
        </w:tc>
        <w:tc>
          <w:tcPr>
            <w:tcW w:w="1063" w:type="dxa"/>
            <w:vMerge/>
          </w:tcPr>
          <w:p w:rsidR="0019505E" w:rsidRPr="00714FF8" w:rsidRDefault="0019505E" w:rsidP="006A4478">
            <w:pPr>
              <w:rPr>
                <w:b/>
                <w:sz w:val="28"/>
                <w:szCs w:val="28"/>
              </w:rPr>
            </w:pPr>
          </w:p>
        </w:tc>
        <w:tc>
          <w:tcPr>
            <w:tcW w:w="1064" w:type="dxa"/>
          </w:tcPr>
          <w:p w:rsidR="0019505E" w:rsidRPr="00714FF8" w:rsidRDefault="0019505E" w:rsidP="006A4478">
            <w:pPr>
              <w:rPr>
                <w:b/>
                <w:sz w:val="28"/>
                <w:szCs w:val="28"/>
              </w:rPr>
            </w:pPr>
            <w:r>
              <w:rPr>
                <w:rFonts w:hint="eastAsia"/>
                <w:b/>
                <w:sz w:val="28"/>
                <w:szCs w:val="28"/>
              </w:rPr>
              <w:t>占比</w:t>
            </w:r>
          </w:p>
        </w:tc>
        <w:tc>
          <w:tcPr>
            <w:tcW w:w="1503" w:type="dxa"/>
            <w:vAlign w:val="center"/>
          </w:tcPr>
          <w:p w:rsidR="0019505E" w:rsidRDefault="0019505E" w:rsidP="00AC5CA6">
            <w:pPr>
              <w:ind w:rightChars="-49" w:right="-167"/>
              <w:jc w:val="right"/>
              <w:rPr>
                <w:sz w:val="28"/>
                <w:szCs w:val="28"/>
              </w:rPr>
            </w:pPr>
            <w:r>
              <w:rPr>
                <w:rFonts w:hint="eastAsia"/>
                <w:sz w:val="28"/>
                <w:szCs w:val="28"/>
              </w:rPr>
              <w:t>1</w:t>
            </w:r>
            <w:r>
              <w:rPr>
                <w:sz w:val="28"/>
                <w:szCs w:val="28"/>
              </w:rPr>
              <w:t>8.27</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1</w:t>
            </w:r>
            <w:r>
              <w:rPr>
                <w:sz w:val="28"/>
                <w:szCs w:val="28"/>
              </w:rPr>
              <w:t>4.60</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1</w:t>
            </w:r>
            <w:r>
              <w:rPr>
                <w:sz w:val="28"/>
                <w:szCs w:val="28"/>
              </w:rPr>
              <w:t>4.96</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1</w:t>
            </w:r>
            <w:r>
              <w:rPr>
                <w:sz w:val="28"/>
                <w:szCs w:val="28"/>
              </w:rPr>
              <w:t>8.35</w:t>
            </w:r>
            <w:proofErr w:type="gramStart"/>
            <w:r>
              <w:rPr>
                <w:rFonts w:hint="eastAsia"/>
                <w:sz w:val="28"/>
                <w:szCs w:val="28"/>
              </w:rPr>
              <w:t>﹪</w:t>
            </w:r>
            <w:proofErr w:type="gramEnd"/>
          </w:p>
        </w:tc>
        <w:tc>
          <w:tcPr>
            <w:tcW w:w="1504" w:type="dxa"/>
            <w:vAlign w:val="center"/>
          </w:tcPr>
          <w:p w:rsidR="0019505E" w:rsidRDefault="0019505E" w:rsidP="00AC5CA6">
            <w:pPr>
              <w:ind w:rightChars="-49" w:right="-167"/>
              <w:jc w:val="right"/>
              <w:rPr>
                <w:sz w:val="28"/>
                <w:szCs w:val="28"/>
              </w:rPr>
            </w:pPr>
            <w:r>
              <w:rPr>
                <w:rFonts w:hint="eastAsia"/>
                <w:sz w:val="28"/>
                <w:szCs w:val="28"/>
              </w:rPr>
              <w:t>3</w:t>
            </w:r>
            <w:r>
              <w:rPr>
                <w:sz w:val="28"/>
                <w:szCs w:val="28"/>
              </w:rPr>
              <w:t>6.07</w:t>
            </w:r>
            <w:proofErr w:type="gramStart"/>
            <w:r>
              <w:rPr>
                <w:rFonts w:hint="eastAsia"/>
                <w:sz w:val="28"/>
                <w:szCs w:val="28"/>
              </w:rPr>
              <w:t>﹪</w:t>
            </w:r>
            <w:proofErr w:type="gramEnd"/>
          </w:p>
        </w:tc>
      </w:tr>
      <w:tr w:rsidR="0019505E" w:rsidRPr="00186615" w:rsidTr="00AC5CA6">
        <w:tc>
          <w:tcPr>
            <w:tcW w:w="851" w:type="dxa"/>
            <w:vMerge/>
          </w:tcPr>
          <w:p w:rsidR="0019505E" w:rsidRPr="00714FF8" w:rsidRDefault="0019505E" w:rsidP="006A4478">
            <w:pPr>
              <w:rPr>
                <w:b/>
                <w:sz w:val="28"/>
                <w:szCs w:val="28"/>
              </w:rPr>
            </w:pPr>
          </w:p>
        </w:tc>
        <w:tc>
          <w:tcPr>
            <w:tcW w:w="2127" w:type="dxa"/>
            <w:gridSpan w:val="2"/>
          </w:tcPr>
          <w:p w:rsidR="0019505E" w:rsidRPr="00714FF8" w:rsidRDefault="0019505E" w:rsidP="006A4478">
            <w:pPr>
              <w:rPr>
                <w:b/>
                <w:sz w:val="28"/>
                <w:szCs w:val="28"/>
              </w:rPr>
            </w:pPr>
            <w:r w:rsidRPr="00714FF8">
              <w:rPr>
                <w:rFonts w:hint="eastAsia"/>
                <w:b/>
                <w:sz w:val="28"/>
                <w:szCs w:val="28"/>
              </w:rPr>
              <w:t>合計</w:t>
            </w:r>
          </w:p>
        </w:tc>
        <w:tc>
          <w:tcPr>
            <w:tcW w:w="1503" w:type="dxa"/>
            <w:vAlign w:val="center"/>
          </w:tcPr>
          <w:p w:rsidR="0019505E" w:rsidRPr="00186615" w:rsidRDefault="0019505E" w:rsidP="00AC5CA6">
            <w:pPr>
              <w:widowControl/>
              <w:overflowPunct/>
              <w:autoSpaceDE/>
              <w:autoSpaceDN/>
              <w:jc w:val="right"/>
              <w:rPr>
                <w:sz w:val="28"/>
                <w:szCs w:val="28"/>
              </w:rPr>
            </w:pPr>
            <w:r>
              <w:rPr>
                <w:rFonts w:hint="eastAsia"/>
                <w:sz w:val="28"/>
                <w:szCs w:val="28"/>
              </w:rPr>
              <w:t>6</w:t>
            </w:r>
            <w:r>
              <w:rPr>
                <w:sz w:val="28"/>
                <w:szCs w:val="28"/>
              </w:rPr>
              <w:t>.95</w:t>
            </w:r>
          </w:p>
        </w:tc>
        <w:tc>
          <w:tcPr>
            <w:tcW w:w="1504" w:type="dxa"/>
            <w:vAlign w:val="center"/>
          </w:tcPr>
          <w:p w:rsidR="0019505E" w:rsidRPr="00186615" w:rsidRDefault="0019505E" w:rsidP="00AC5CA6">
            <w:pPr>
              <w:jc w:val="right"/>
              <w:rPr>
                <w:sz w:val="28"/>
                <w:szCs w:val="28"/>
              </w:rPr>
            </w:pPr>
            <w:r>
              <w:rPr>
                <w:rFonts w:hint="eastAsia"/>
                <w:sz w:val="28"/>
                <w:szCs w:val="28"/>
              </w:rPr>
              <w:t>7</w:t>
            </w:r>
            <w:r>
              <w:rPr>
                <w:sz w:val="28"/>
                <w:szCs w:val="28"/>
              </w:rPr>
              <w:t>.19</w:t>
            </w:r>
          </w:p>
        </w:tc>
        <w:tc>
          <w:tcPr>
            <w:tcW w:w="1504" w:type="dxa"/>
            <w:vAlign w:val="center"/>
          </w:tcPr>
          <w:p w:rsidR="0019505E" w:rsidRPr="00186615" w:rsidRDefault="0019505E" w:rsidP="00AC5CA6">
            <w:pPr>
              <w:jc w:val="right"/>
              <w:rPr>
                <w:sz w:val="28"/>
                <w:szCs w:val="28"/>
              </w:rPr>
            </w:pPr>
            <w:r>
              <w:rPr>
                <w:rFonts w:hint="eastAsia"/>
                <w:sz w:val="28"/>
                <w:szCs w:val="28"/>
              </w:rPr>
              <w:t>1</w:t>
            </w:r>
            <w:r>
              <w:rPr>
                <w:sz w:val="28"/>
                <w:szCs w:val="28"/>
              </w:rPr>
              <w:t>0.16</w:t>
            </w:r>
          </w:p>
        </w:tc>
        <w:tc>
          <w:tcPr>
            <w:tcW w:w="1504" w:type="dxa"/>
            <w:vAlign w:val="center"/>
          </w:tcPr>
          <w:p w:rsidR="0019505E" w:rsidRPr="00186615" w:rsidRDefault="0019505E" w:rsidP="00AC5CA6">
            <w:pPr>
              <w:jc w:val="right"/>
              <w:rPr>
                <w:sz w:val="28"/>
                <w:szCs w:val="28"/>
              </w:rPr>
            </w:pPr>
            <w:r>
              <w:rPr>
                <w:rFonts w:hint="eastAsia"/>
                <w:sz w:val="28"/>
                <w:szCs w:val="28"/>
              </w:rPr>
              <w:t>8</w:t>
            </w:r>
            <w:r>
              <w:rPr>
                <w:sz w:val="28"/>
                <w:szCs w:val="28"/>
              </w:rPr>
              <w:t>.50</w:t>
            </w:r>
          </w:p>
        </w:tc>
        <w:tc>
          <w:tcPr>
            <w:tcW w:w="1504" w:type="dxa"/>
            <w:vAlign w:val="center"/>
          </w:tcPr>
          <w:p w:rsidR="0019505E" w:rsidRPr="00186615" w:rsidRDefault="0019505E" w:rsidP="00AC5CA6">
            <w:pPr>
              <w:jc w:val="right"/>
              <w:rPr>
                <w:sz w:val="28"/>
                <w:szCs w:val="28"/>
              </w:rPr>
            </w:pPr>
            <w:r>
              <w:rPr>
                <w:rFonts w:hint="eastAsia"/>
                <w:sz w:val="28"/>
                <w:szCs w:val="28"/>
              </w:rPr>
              <w:t>5</w:t>
            </w:r>
            <w:r>
              <w:rPr>
                <w:sz w:val="28"/>
                <w:szCs w:val="28"/>
              </w:rPr>
              <w:t>.96</w:t>
            </w:r>
          </w:p>
        </w:tc>
      </w:tr>
    </w:tbl>
    <w:p w:rsidR="0019505E" w:rsidRPr="00186615" w:rsidRDefault="0019505E" w:rsidP="00615E1A">
      <w:pPr>
        <w:snapToGrid w:val="0"/>
        <w:ind w:leftChars="-250" w:left="-426" w:rightChars="-233" w:right="-793" w:hangingChars="163" w:hanging="424"/>
        <w:rPr>
          <w:color w:val="000000" w:themeColor="text1"/>
          <w:sz w:val="24"/>
          <w:szCs w:val="24"/>
        </w:rPr>
      </w:pPr>
      <w:proofErr w:type="gramStart"/>
      <w:r w:rsidRPr="00186615">
        <w:rPr>
          <w:rFonts w:hint="eastAsia"/>
          <w:color w:val="000000" w:themeColor="text1"/>
          <w:sz w:val="24"/>
          <w:szCs w:val="24"/>
        </w:rPr>
        <w:t>註</w:t>
      </w:r>
      <w:proofErr w:type="gramEnd"/>
      <w:r w:rsidRPr="00186615">
        <w:rPr>
          <w:rFonts w:hint="eastAsia"/>
          <w:color w:val="000000" w:themeColor="text1"/>
          <w:sz w:val="24"/>
          <w:szCs w:val="24"/>
        </w:rPr>
        <w:t xml:space="preserve">：依申報CCC </w:t>
      </w:r>
      <w:r w:rsidR="00615E1A">
        <w:rPr>
          <w:color w:val="000000" w:themeColor="text1"/>
          <w:sz w:val="24"/>
          <w:szCs w:val="24"/>
        </w:rPr>
        <w:t xml:space="preserve">code </w:t>
      </w:r>
      <w:r w:rsidRPr="00186615">
        <w:rPr>
          <w:rFonts w:hint="eastAsia"/>
          <w:color w:val="000000" w:themeColor="text1"/>
          <w:sz w:val="24"/>
          <w:szCs w:val="24"/>
        </w:rPr>
        <w:t>2106.90.99.20-8之進出口報單，再按國內主要銷售保健食品種類之關鍵字(如魚油、維他命、鈣等)檢索統計。</w:t>
      </w:r>
    </w:p>
    <w:p w:rsidR="0019505E" w:rsidRPr="00186615" w:rsidRDefault="0019505E" w:rsidP="0019505E">
      <w:pPr>
        <w:snapToGrid w:val="0"/>
        <w:ind w:leftChars="-250" w:left="425" w:rightChars="-150" w:right="-510" w:hangingChars="490" w:hanging="1275"/>
        <w:rPr>
          <w:sz w:val="24"/>
          <w:szCs w:val="24"/>
        </w:rPr>
      </w:pPr>
      <w:r w:rsidRPr="00186615">
        <w:rPr>
          <w:rFonts w:hint="eastAsia"/>
          <w:color w:val="000000" w:themeColor="text1"/>
          <w:sz w:val="24"/>
          <w:szCs w:val="24"/>
        </w:rPr>
        <w:t>資料來源：</w:t>
      </w:r>
      <w:r w:rsidRPr="009D5CC8">
        <w:rPr>
          <w:rFonts w:hint="eastAsia"/>
          <w:color w:val="000000" w:themeColor="text1"/>
          <w:sz w:val="24"/>
          <w:szCs w:val="24"/>
        </w:rPr>
        <w:t>前1</w:t>
      </w:r>
      <w:r w:rsidRPr="009D5CC8">
        <w:rPr>
          <w:color w:val="000000" w:themeColor="text1"/>
          <w:sz w:val="24"/>
          <w:szCs w:val="24"/>
        </w:rPr>
        <w:t>0大</w:t>
      </w:r>
      <w:r w:rsidRPr="009D5CC8">
        <w:rPr>
          <w:rFonts w:hint="eastAsia"/>
          <w:color w:val="000000" w:themeColor="text1"/>
          <w:sz w:val="24"/>
          <w:szCs w:val="24"/>
        </w:rPr>
        <w:t>出口品項代工、非代工</w:t>
      </w:r>
      <w:r>
        <w:rPr>
          <w:rFonts w:hint="eastAsia"/>
          <w:color w:val="000000" w:themeColor="text1"/>
          <w:sz w:val="24"/>
          <w:szCs w:val="24"/>
        </w:rPr>
        <w:t>金額及比率，係本院依</w:t>
      </w:r>
      <w:r w:rsidRPr="00186615">
        <w:rPr>
          <w:rFonts w:hint="eastAsia"/>
          <w:color w:val="000000" w:themeColor="text1"/>
          <w:sz w:val="24"/>
          <w:szCs w:val="24"/>
        </w:rPr>
        <w:t>財政部海關進出口通關系統（</w:t>
      </w:r>
      <w:r>
        <w:rPr>
          <w:rFonts w:hint="eastAsia"/>
          <w:color w:val="000000" w:themeColor="text1"/>
          <w:sz w:val="24"/>
          <w:szCs w:val="24"/>
        </w:rPr>
        <w:t>以</w:t>
      </w:r>
      <w:r w:rsidRPr="00186615">
        <w:rPr>
          <w:rFonts w:hint="eastAsia"/>
          <w:color w:val="000000" w:themeColor="text1"/>
          <w:sz w:val="24"/>
          <w:szCs w:val="24"/>
        </w:rPr>
        <w:t>進出口日期為統計基礎）</w:t>
      </w:r>
      <w:r>
        <w:rPr>
          <w:rFonts w:hint="eastAsia"/>
          <w:color w:val="000000" w:themeColor="text1"/>
          <w:sz w:val="24"/>
          <w:szCs w:val="24"/>
        </w:rPr>
        <w:t>資料，</w:t>
      </w:r>
      <w:proofErr w:type="gramStart"/>
      <w:r w:rsidR="00C25A0B">
        <w:rPr>
          <w:rFonts w:hint="eastAsia"/>
          <w:color w:val="000000" w:themeColor="text1"/>
          <w:sz w:val="24"/>
          <w:szCs w:val="24"/>
        </w:rPr>
        <w:t>參據通</w:t>
      </w:r>
      <w:proofErr w:type="gramEnd"/>
      <w:r w:rsidR="00C25A0B">
        <w:rPr>
          <w:rFonts w:hint="eastAsia"/>
          <w:color w:val="000000" w:themeColor="text1"/>
          <w:sz w:val="24"/>
          <w:szCs w:val="24"/>
        </w:rPr>
        <w:t>關品牌/品名</w:t>
      </w:r>
      <w:r>
        <w:rPr>
          <w:rFonts w:hint="eastAsia"/>
          <w:color w:val="000000" w:themeColor="text1"/>
          <w:sz w:val="24"/>
          <w:szCs w:val="24"/>
        </w:rPr>
        <w:t>估算而得</w:t>
      </w:r>
      <w:r w:rsidRPr="00186615">
        <w:rPr>
          <w:rFonts w:hint="eastAsia"/>
          <w:color w:val="000000" w:themeColor="text1"/>
          <w:sz w:val="24"/>
          <w:szCs w:val="24"/>
        </w:rPr>
        <w:t>。</w:t>
      </w:r>
    </w:p>
    <w:p w:rsidR="0019505E" w:rsidRPr="00693749" w:rsidRDefault="0019505E" w:rsidP="0019505E"/>
    <w:p w:rsidR="007A2C8C" w:rsidRDefault="00E04AF4" w:rsidP="0019505E">
      <w:pPr>
        <w:pStyle w:val="3"/>
      </w:pPr>
      <w:proofErr w:type="gramStart"/>
      <w:r>
        <w:rPr>
          <w:rFonts w:hint="eastAsia"/>
        </w:rPr>
        <w:t>再者，</w:t>
      </w:r>
      <w:proofErr w:type="gramEnd"/>
      <w:r>
        <w:rPr>
          <w:rFonts w:hint="eastAsia"/>
        </w:rPr>
        <w:t>經濟部就</w:t>
      </w:r>
      <w:proofErr w:type="gramStart"/>
      <w:r>
        <w:rPr>
          <w:rFonts w:hint="eastAsia"/>
        </w:rPr>
        <w:t>調降</w:t>
      </w:r>
      <w:r w:rsidRPr="0041329C">
        <w:rPr>
          <w:rFonts w:hint="eastAsia"/>
        </w:rPr>
        <w:t>錠</w:t>
      </w:r>
      <w:proofErr w:type="gramEnd"/>
      <w:r w:rsidRPr="0041329C">
        <w:rPr>
          <w:rFonts w:hint="eastAsia"/>
        </w:rPr>
        <w:t>劑、膠囊狀食物製品進口關稅稅率事宜，</w:t>
      </w:r>
      <w:r>
        <w:rPr>
          <w:rFonts w:hint="eastAsia"/>
        </w:rPr>
        <w:t>曾二次邀集我國保健食品業者交流座談，</w:t>
      </w:r>
      <w:proofErr w:type="gramStart"/>
      <w:r>
        <w:rPr>
          <w:rFonts w:hint="eastAsia"/>
        </w:rPr>
        <w:t>茲摘</w:t>
      </w:r>
      <w:proofErr w:type="gramEnd"/>
      <w:r>
        <w:rPr>
          <w:rFonts w:hint="eastAsia"/>
        </w:rPr>
        <w:t>敘</w:t>
      </w:r>
      <w:r w:rsidR="00E87E3B">
        <w:rPr>
          <w:rFonts w:hint="eastAsia"/>
        </w:rPr>
        <w:t>業者</w:t>
      </w:r>
      <w:r w:rsidR="006A4478">
        <w:rPr>
          <w:rFonts w:hint="eastAsia"/>
        </w:rPr>
        <w:t>重要</w:t>
      </w:r>
      <w:r>
        <w:rPr>
          <w:rFonts w:hint="eastAsia"/>
        </w:rPr>
        <w:t>意見如下：</w:t>
      </w:r>
    </w:p>
    <w:p w:rsidR="006A4478" w:rsidRDefault="006A4478" w:rsidP="00E04AF4">
      <w:pPr>
        <w:pStyle w:val="4"/>
      </w:pPr>
      <w:r w:rsidRPr="00A97D4B">
        <w:rPr>
          <w:rFonts w:hint="eastAsia"/>
          <w:szCs w:val="32"/>
        </w:rPr>
        <w:lastRenderedPageBreak/>
        <w:t>調降保健食品關稅之訴求，主要訴求為讓消費者買到更便宜的進口產品，但過去其他降稅之案例</w:t>
      </w:r>
      <w:r>
        <w:rPr>
          <w:rFonts w:hint="eastAsia"/>
          <w:szCs w:val="32"/>
        </w:rPr>
        <w:t>，</w:t>
      </w:r>
      <w:r w:rsidRPr="00A97D4B">
        <w:rPr>
          <w:rFonts w:hint="eastAsia"/>
          <w:szCs w:val="32"/>
        </w:rPr>
        <w:t>顯示調降關稅與降低產品價格之間似無直接相關，即降稅很可能對消費者無實質效益。反</w:t>
      </w:r>
      <w:r>
        <w:rPr>
          <w:rFonts w:hint="eastAsia"/>
          <w:szCs w:val="32"/>
        </w:rPr>
        <w:t>觀</w:t>
      </w:r>
      <w:r w:rsidRPr="00A97D4B">
        <w:rPr>
          <w:rFonts w:hint="eastAsia"/>
          <w:szCs w:val="32"/>
        </w:rPr>
        <w:t>降稅對國內保健營養食品產業影響大，且我國原料大多仰賴進口，調降進口關稅將會導致國內保健</w:t>
      </w:r>
      <w:r>
        <w:rPr>
          <w:rFonts w:hint="eastAsia"/>
          <w:szCs w:val="32"/>
        </w:rPr>
        <w:t>營養</w:t>
      </w:r>
      <w:r w:rsidRPr="00A97D4B">
        <w:rPr>
          <w:rFonts w:hint="eastAsia"/>
          <w:szCs w:val="32"/>
        </w:rPr>
        <w:t>食品產業更難跨足海外市場。</w:t>
      </w:r>
    </w:p>
    <w:p w:rsidR="00E04AF4" w:rsidRDefault="00E04AF4" w:rsidP="00E04AF4">
      <w:pPr>
        <w:pStyle w:val="4"/>
      </w:pPr>
      <w:r>
        <w:rPr>
          <w:rFonts w:hint="eastAsia"/>
        </w:rPr>
        <w:t>國內因廠商及市場規模有限，製造成本較高，倘</w:t>
      </w:r>
      <w:r w:rsidR="009C56A3">
        <w:rPr>
          <w:rFonts w:hint="eastAsia"/>
        </w:rPr>
        <w:t>貿然</w:t>
      </w:r>
      <w:r w:rsidRPr="00E87E3B">
        <w:rPr>
          <w:rFonts w:hint="eastAsia"/>
        </w:rPr>
        <w:t>自主降稅，</w:t>
      </w:r>
      <w:r>
        <w:rPr>
          <w:rFonts w:hint="eastAsia"/>
        </w:rPr>
        <w:t>將使國內生產之產品失去競爭力，影響國內保健營養食品產業之發展。</w:t>
      </w:r>
    </w:p>
    <w:p w:rsidR="00E04AF4" w:rsidRPr="0041329C" w:rsidRDefault="00E04AF4" w:rsidP="00E04AF4">
      <w:pPr>
        <w:pStyle w:val="4"/>
        <w:rPr>
          <w:b/>
        </w:rPr>
      </w:pPr>
      <w:r w:rsidRPr="0041329C">
        <w:rPr>
          <w:rFonts w:hint="eastAsia"/>
          <w:b/>
        </w:rPr>
        <w:t>關稅為國際貿易談判的重要籌碼，倘我國自主降稅，將不利於未來與其他國家洽談自由貿易協定。</w:t>
      </w:r>
    </w:p>
    <w:p w:rsidR="00E04AF4" w:rsidRDefault="00E04AF4" w:rsidP="00E04AF4">
      <w:pPr>
        <w:pStyle w:val="4"/>
      </w:pPr>
      <w:r>
        <w:rPr>
          <w:rFonts w:hint="eastAsia"/>
        </w:rPr>
        <w:t>進口保健食品之末端售價通常並不會因降低關稅而調降，</w:t>
      </w:r>
      <w:r w:rsidR="009C56A3">
        <w:rPr>
          <w:rFonts w:hint="eastAsia"/>
        </w:rPr>
        <w:t>貿然</w:t>
      </w:r>
      <w:r>
        <w:rPr>
          <w:rFonts w:hint="eastAsia"/>
        </w:rPr>
        <w:t>調降關稅恐使產業和消費者兩邊雙輸。</w:t>
      </w:r>
    </w:p>
    <w:p w:rsidR="00E04AF4" w:rsidRDefault="00E04AF4" w:rsidP="00E04AF4">
      <w:pPr>
        <w:pStyle w:val="4"/>
      </w:pPr>
      <w:r>
        <w:rPr>
          <w:rFonts w:hint="eastAsia"/>
        </w:rPr>
        <w:t>因臺灣關稅高，故總公司選擇在臺灣設廠生產，供應臺灣及鄰近國家市場。未來若進口關稅降低，總公司很可能重新思考布局，轉向原料及人力成本較低之韓國、東南亞等國家設廠，臺灣廠將面臨關廠危機。</w:t>
      </w:r>
    </w:p>
    <w:p w:rsidR="00E04AF4" w:rsidRDefault="00E04AF4" w:rsidP="00E04AF4">
      <w:pPr>
        <w:pStyle w:val="4"/>
      </w:pPr>
      <w:r>
        <w:rPr>
          <w:rFonts w:hint="eastAsia"/>
        </w:rPr>
        <w:t>建議調降進口關稅之標的，應針對我國無生產之產品或素材，若針對國內有生產之膠囊</w:t>
      </w:r>
      <w:proofErr w:type="gramStart"/>
      <w:r>
        <w:rPr>
          <w:rFonts w:hint="eastAsia"/>
        </w:rPr>
        <w:t>錠劑保健</w:t>
      </w:r>
      <w:proofErr w:type="gramEnd"/>
      <w:r>
        <w:rPr>
          <w:rFonts w:hint="eastAsia"/>
        </w:rPr>
        <w:t>營養食品調降關稅，將衝擊我國產業。</w:t>
      </w:r>
    </w:p>
    <w:p w:rsidR="00E04AF4" w:rsidRDefault="00E04AF4" w:rsidP="00E04AF4">
      <w:pPr>
        <w:pStyle w:val="4"/>
      </w:pPr>
      <w:r>
        <w:rPr>
          <w:rFonts w:hint="eastAsia"/>
        </w:rPr>
        <w:t>產業發展需要長時間培養，法規及投資環境改善亦非</w:t>
      </w:r>
      <w:proofErr w:type="gramStart"/>
      <w:r>
        <w:rPr>
          <w:rFonts w:hint="eastAsia"/>
        </w:rPr>
        <w:t>一</w:t>
      </w:r>
      <w:proofErr w:type="gramEnd"/>
      <w:r>
        <w:rPr>
          <w:rFonts w:hint="eastAsia"/>
        </w:rPr>
        <w:t>蹴可幾，目前提案自主調降關稅而沒有其他配套措施，將嚴重影響國內保健營養食品產業之發展。</w:t>
      </w:r>
    </w:p>
    <w:p w:rsidR="00E04AF4" w:rsidRPr="006A4478" w:rsidRDefault="006A4478" w:rsidP="00E04AF4">
      <w:pPr>
        <w:pStyle w:val="4"/>
      </w:pPr>
      <w:r w:rsidRPr="00A97D4B">
        <w:rPr>
          <w:rFonts w:hint="eastAsia"/>
          <w:szCs w:val="32"/>
        </w:rPr>
        <w:t>美國</w:t>
      </w:r>
      <w:r>
        <w:rPr>
          <w:rFonts w:hint="eastAsia"/>
          <w:szCs w:val="32"/>
        </w:rPr>
        <w:t>、</w:t>
      </w:r>
      <w:r w:rsidRPr="00A97D4B">
        <w:rPr>
          <w:rFonts w:hint="eastAsia"/>
          <w:szCs w:val="32"/>
        </w:rPr>
        <w:t>日本等大國，其保健</w:t>
      </w:r>
      <w:r>
        <w:rPr>
          <w:rFonts w:hint="eastAsia"/>
          <w:szCs w:val="32"/>
        </w:rPr>
        <w:t>營養</w:t>
      </w:r>
      <w:r w:rsidRPr="00A97D4B">
        <w:rPr>
          <w:rFonts w:hint="eastAsia"/>
          <w:szCs w:val="32"/>
        </w:rPr>
        <w:t>食品產業規模比臺灣大十幾</w:t>
      </w:r>
      <w:proofErr w:type="gramStart"/>
      <w:r w:rsidRPr="00A97D4B">
        <w:rPr>
          <w:rFonts w:hint="eastAsia"/>
          <w:szCs w:val="32"/>
        </w:rPr>
        <w:t>倍</w:t>
      </w:r>
      <w:proofErr w:type="gramEnd"/>
      <w:r w:rsidRPr="00A97D4B">
        <w:rPr>
          <w:rFonts w:hint="eastAsia"/>
          <w:szCs w:val="32"/>
        </w:rPr>
        <w:t>，具生產及價格優勢，單方面調降</w:t>
      </w:r>
      <w:r w:rsidRPr="00A97D4B">
        <w:rPr>
          <w:rFonts w:hint="eastAsia"/>
          <w:szCs w:val="32"/>
        </w:rPr>
        <w:lastRenderedPageBreak/>
        <w:t>關税對國內保健食品產業傷害大，</w:t>
      </w:r>
      <w:r w:rsidRPr="0041329C">
        <w:rPr>
          <w:rFonts w:hint="eastAsia"/>
          <w:b/>
          <w:szCs w:val="32"/>
        </w:rPr>
        <w:t>建議若需調降進口關稅，應採國與國對等之方式調整</w:t>
      </w:r>
      <w:r w:rsidRPr="00A97D4B">
        <w:rPr>
          <w:rFonts w:hint="eastAsia"/>
          <w:szCs w:val="32"/>
        </w:rPr>
        <w:t>。</w:t>
      </w:r>
    </w:p>
    <w:p w:rsidR="006A4478" w:rsidRPr="006A4478" w:rsidRDefault="006A4478" w:rsidP="00E04AF4">
      <w:pPr>
        <w:pStyle w:val="4"/>
      </w:pPr>
      <w:r w:rsidRPr="00EC53E6">
        <w:rPr>
          <w:rFonts w:hAnsi="標楷體" w:hint="eastAsia"/>
          <w:szCs w:val="32"/>
        </w:rPr>
        <w:t>關稅為政府對外談判的籌碼，應對等地和其他</w:t>
      </w:r>
      <w:proofErr w:type="gramStart"/>
      <w:r w:rsidRPr="00EC53E6">
        <w:rPr>
          <w:rFonts w:hAnsi="標楷體" w:hint="eastAsia"/>
          <w:szCs w:val="32"/>
        </w:rPr>
        <w:t>國家談降稅</w:t>
      </w:r>
      <w:proofErr w:type="gramEnd"/>
      <w:r w:rsidRPr="00EC53E6">
        <w:rPr>
          <w:rFonts w:hAnsi="標楷體" w:hint="eastAsia"/>
          <w:szCs w:val="32"/>
        </w:rPr>
        <w:t>。目前提案自</w:t>
      </w:r>
      <w:r w:rsidR="0041329C" w:rsidRPr="0041329C">
        <w:rPr>
          <w:rFonts w:hAnsi="標楷體" w:hint="eastAsia"/>
          <w:szCs w:val="32"/>
        </w:rPr>
        <w:t>行</w:t>
      </w:r>
      <w:r w:rsidRPr="0041329C">
        <w:rPr>
          <w:rFonts w:hAnsi="標楷體" w:hint="eastAsia"/>
          <w:szCs w:val="32"/>
        </w:rPr>
        <w:t>調降關稅而沒有其他配套措施，將嚴重影響國內保健營養食品產業之發展。國內外產品之競爭關</w:t>
      </w:r>
      <w:r w:rsidRPr="00EC53E6">
        <w:rPr>
          <w:rFonts w:hAnsi="標楷體" w:hint="eastAsia"/>
          <w:szCs w:val="32"/>
        </w:rPr>
        <w:t>係及雙邊貿易基礎公平與否，係複雜的議題，不應僅看單一</w:t>
      </w:r>
      <w:r>
        <w:rPr>
          <w:rFonts w:hAnsi="標楷體" w:hint="eastAsia"/>
          <w:szCs w:val="32"/>
        </w:rPr>
        <w:t>關</w:t>
      </w:r>
      <w:r w:rsidRPr="00EC53E6">
        <w:rPr>
          <w:rFonts w:hAnsi="標楷體" w:hint="eastAsia"/>
          <w:szCs w:val="32"/>
        </w:rPr>
        <w:t>稅問題。倘考量外界需求須調降關稅，亦應分階段逐步調降（如分</w:t>
      </w:r>
      <w:r w:rsidRPr="00EC53E6">
        <w:rPr>
          <w:rFonts w:hAnsi="標楷體"/>
          <w:szCs w:val="32"/>
        </w:rPr>
        <w:t>3</w:t>
      </w:r>
      <w:r w:rsidRPr="00EC53E6">
        <w:rPr>
          <w:rFonts w:hAnsi="標楷體" w:hint="eastAsia"/>
          <w:szCs w:val="32"/>
        </w:rPr>
        <w:t>年調降</w:t>
      </w:r>
      <w:r w:rsidRPr="00EC53E6">
        <w:rPr>
          <w:rFonts w:hAnsi="標楷體"/>
          <w:szCs w:val="32"/>
        </w:rPr>
        <w:t>5</w:t>
      </w:r>
      <w:proofErr w:type="gramStart"/>
      <w:r w:rsidR="00533AD9">
        <w:rPr>
          <w:rFonts w:hAnsi="標楷體"/>
          <w:szCs w:val="32"/>
        </w:rPr>
        <w:t>﹪</w:t>
      </w:r>
      <w:proofErr w:type="gramEnd"/>
      <w:r w:rsidRPr="00EC53E6">
        <w:rPr>
          <w:rFonts w:hAnsi="標楷體" w:hint="eastAsia"/>
          <w:szCs w:val="32"/>
        </w:rPr>
        <w:t>），或僅針對國內缺乏或無能力生產之品項調降，而非一次就全面性大幅調降。</w:t>
      </w:r>
    </w:p>
    <w:p w:rsidR="006A4478" w:rsidRDefault="006A4478" w:rsidP="00E04AF4">
      <w:pPr>
        <w:pStyle w:val="4"/>
      </w:pPr>
      <w:r>
        <w:rPr>
          <w:rFonts w:hint="eastAsia"/>
        </w:rPr>
        <w:t>國內保健營養食品產業目前正逐步發展中，調降關稅勢必將改變整體產業結構，影響國內產業的發展</w:t>
      </w:r>
      <w:r w:rsidRPr="00EB240D">
        <w:rPr>
          <w:rFonts w:hAnsi="標楷體" w:hint="eastAsia"/>
          <w:szCs w:val="32"/>
        </w:rPr>
        <w:t>。以製藥產業為例，進口關稅幾乎都已降為</w:t>
      </w:r>
      <w:r w:rsidR="0001368A">
        <w:rPr>
          <w:rFonts w:hAnsi="標楷體" w:hint="eastAsia"/>
          <w:szCs w:val="32"/>
        </w:rPr>
        <w:t>零</w:t>
      </w:r>
      <w:r w:rsidRPr="00EB240D">
        <w:rPr>
          <w:rFonts w:hAnsi="標楷體" w:hint="eastAsia"/>
          <w:szCs w:val="32"/>
        </w:rPr>
        <w:t>，外商</w:t>
      </w:r>
      <w:r>
        <w:rPr>
          <w:rFonts w:hAnsi="標楷體" w:hint="eastAsia"/>
          <w:szCs w:val="32"/>
        </w:rPr>
        <w:t>已</w:t>
      </w:r>
      <w:r w:rsidRPr="00EB240D">
        <w:rPr>
          <w:rFonts w:hAnsi="標楷體" w:hint="eastAsia"/>
          <w:szCs w:val="32"/>
        </w:rPr>
        <w:t>不再需要委託國內代工，導致產業外移，進口</w:t>
      </w:r>
      <w:r>
        <w:rPr>
          <w:rFonts w:hAnsi="標楷體" w:hint="eastAsia"/>
          <w:szCs w:val="32"/>
        </w:rPr>
        <w:t>占</w:t>
      </w:r>
      <w:r w:rsidRPr="00EB240D">
        <w:rPr>
          <w:rFonts w:hAnsi="標楷體" w:hint="eastAsia"/>
          <w:szCs w:val="32"/>
        </w:rPr>
        <w:t>比大幅提升，造成國內產</w:t>
      </w:r>
      <w:r w:rsidRPr="00EB240D">
        <w:rPr>
          <w:rFonts w:hAnsi="標楷體" w:cs="微軟正黑體" w:hint="eastAsia"/>
          <w:szCs w:val="32"/>
        </w:rPr>
        <w:t>值</w:t>
      </w:r>
      <w:r w:rsidRPr="00EB240D">
        <w:rPr>
          <w:rFonts w:hAnsi="標楷體" w:cs="Yu Gothic" w:hint="eastAsia"/>
          <w:szCs w:val="32"/>
        </w:rPr>
        <w:t>無法提升，發展受限。</w:t>
      </w:r>
    </w:p>
    <w:p w:rsidR="003A5927" w:rsidRPr="00A428D6" w:rsidRDefault="006A4478" w:rsidP="006A4478">
      <w:pPr>
        <w:pStyle w:val="3"/>
      </w:pPr>
      <w:proofErr w:type="gramStart"/>
      <w:r>
        <w:rPr>
          <w:rFonts w:hint="eastAsia"/>
        </w:rPr>
        <w:t>末按</w:t>
      </w:r>
      <w:r w:rsidR="002D2A39">
        <w:rPr>
          <w:rFonts w:hint="eastAsia"/>
        </w:rPr>
        <w:t>我國</w:t>
      </w:r>
      <w:proofErr w:type="gramEnd"/>
      <w:r w:rsidR="002D2A39">
        <w:rPr>
          <w:rFonts w:hint="eastAsia"/>
        </w:rPr>
        <w:t>加入</w:t>
      </w:r>
      <w:r w:rsidR="002D2A39" w:rsidRPr="002D2A39">
        <w:t>世界貿易組織（</w:t>
      </w:r>
      <w:r w:rsidR="00B75119">
        <w:rPr>
          <w:rFonts w:hint="eastAsia"/>
        </w:rPr>
        <w:t>W</w:t>
      </w:r>
      <w:r w:rsidR="00B75119">
        <w:t>TO</w:t>
      </w:r>
      <w:r w:rsidR="002D2A39" w:rsidRPr="002D2A39">
        <w:t>）</w:t>
      </w:r>
      <w:r w:rsidR="002D2A39">
        <w:rPr>
          <w:rFonts w:hint="eastAsia"/>
        </w:rPr>
        <w:t>後，該組織推動的貿易談判進展不順，</w:t>
      </w:r>
      <w:r w:rsidR="002D2A39">
        <w:rPr>
          <w:rFonts w:hint="eastAsia"/>
          <w:shd w:val="clear" w:color="auto" w:fill="FFFFFF"/>
        </w:rPr>
        <w:t>使我國加入</w:t>
      </w:r>
      <w:r w:rsidR="00B75119">
        <w:rPr>
          <w:rFonts w:hint="eastAsia"/>
        </w:rPr>
        <w:t>W</w:t>
      </w:r>
      <w:r w:rsidR="00B75119">
        <w:t>TO</w:t>
      </w:r>
      <w:r w:rsidR="002D2A39">
        <w:rPr>
          <w:rFonts w:hint="eastAsia"/>
          <w:shd w:val="clear" w:color="auto" w:fill="FFFFFF"/>
        </w:rPr>
        <w:t>的效益不如預期</w:t>
      </w:r>
      <w:r w:rsidR="00404D09">
        <w:rPr>
          <w:rFonts w:hint="eastAsia"/>
          <w:shd w:val="clear" w:color="auto" w:fill="FFFFFF"/>
        </w:rPr>
        <w:t>，而</w:t>
      </w:r>
      <w:r w:rsidR="00404D09" w:rsidRPr="00404D09">
        <w:rPr>
          <w:shd w:val="clear" w:color="auto" w:fill="FFFFFF"/>
        </w:rPr>
        <w:t>無法享受多邊降稅紅利</w:t>
      </w:r>
      <w:r w:rsidR="00DB0754">
        <w:rPr>
          <w:rFonts w:hint="eastAsia"/>
        </w:rPr>
        <w:t>。</w:t>
      </w:r>
      <w:r w:rsidR="002D2A39">
        <w:rPr>
          <w:rFonts w:hint="eastAsia"/>
        </w:rPr>
        <w:t>且</w:t>
      </w:r>
      <w:r w:rsidR="00DB0754">
        <w:rPr>
          <w:rFonts w:hint="eastAsia"/>
        </w:rPr>
        <w:t>因其後</w:t>
      </w:r>
      <w:r w:rsidR="002D2A39">
        <w:rPr>
          <w:rFonts w:hint="eastAsia"/>
        </w:rPr>
        <w:t>區域主義逐漸興起，諸多國家</w:t>
      </w:r>
      <w:r w:rsidR="00C4589C">
        <w:rPr>
          <w:rFonts w:hint="eastAsia"/>
        </w:rPr>
        <w:t>藉由</w:t>
      </w:r>
      <w:r w:rsidR="002D2A39">
        <w:rPr>
          <w:rFonts w:hint="eastAsia"/>
        </w:rPr>
        <w:t>簽訂</w:t>
      </w:r>
      <w:r w:rsidR="00B75119">
        <w:rPr>
          <w:rFonts w:hint="eastAsia"/>
        </w:rPr>
        <w:t>F</w:t>
      </w:r>
      <w:r w:rsidR="00B75119">
        <w:t>TA</w:t>
      </w:r>
      <w:r w:rsidR="002D2A39">
        <w:rPr>
          <w:shd w:val="clear" w:color="auto" w:fill="FFFFFF"/>
        </w:rPr>
        <w:t>來制定經貿規範</w:t>
      </w:r>
      <w:r w:rsidR="00DB0754">
        <w:rPr>
          <w:rFonts w:hint="eastAsia"/>
          <w:shd w:val="clear" w:color="auto" w:fill="FFFFFF"/>
        </w:rPr>
        <w:t>逐漸成為趨勢</w:t>
      </w:r>
      <w:r w:rsidR="00C4589C">
        <w:rPr>
          <w:rFonts w:hint="eastAsia"/>
          <w:shd w:val="clear" w:color="auto" w:fill="FFFFFF"/>
        </w:rPr>
        <w:t>。我國又因</w:t>
      </w:r>
      <w:r w:rsidR="000202FA">
        <w:rPr>
          <w:rFonts w:hint="eastAsia"/>
          <w:shd w:val="clear" w:color="auto" w:fill="FFFFFF"/>
        </w:rPr>
        <w:t>國際處境</w:t>
      </w:r>
      <w:r w:rsidR="00226890">
        <w:rPr>
          <w:rFonts w:hint="eastAsia"/>
          <w:shd w:val="clear" w:color="auto" w:fill="FFFFFF"/>
        </w:rPr>
        <w:t>的特殊性，與他國簽訂</w:t>
      </w:r>
      <w:r w:rsidR="00B75119">
        <w:rPr>
          <w:rFonts w:hint="eastAsia"/>
        </w:rPr>
        <w:t>F</w:t>
      </w:r>
      <w:r w:rsidR="00B75119">
        <w:t>TA</w:t>
      </w:r>
      <w:r w:rsidR="00DB0754">
        <w:rPr>
          <w:rFonts w:hint="eastAsia"/>
          <w:shd w:val="clear" w:color="auto" w:fill="FFFFFF"/>
        </w:rPr>
        <w:t>等類型</w:t>
      </w:r>
      <w:proofErr w:type="gramStart"/>
      <w:r w:rsidR="00DB0754">
        <w:rPr>
          <w:rFonts w:hint="eastAsia"/>
          <w:shd w:val="clear" w:color="auto" w:fill="FFFFFF"/>
        </w:rPr>
        <w:t>協議</w:t>
      </w:r>
      <w:r w:rsidR="00614343">
        <w:rPr>
          <w:rFonts w:hint="eastAsia"/>
          <w:shd w:val="clear" w:color="auto" w:fill="FFFFFF"/>
        </w:rPr>
        <w:t>殊</w:t>
      </w:r>
      <w:proofErr w:type="gramEnd"/>
      <w:r w:rsidR="00226890">
        <w:rPr>
          <w:rFonts w:hint="eastAsia"/>
          <w:shd w:val="clear" w:color="auto" w:fill="FFFFFF"/>
        </w:rPr>
        <w:t>為不易</w:t>
      </w:r>
      <w:r w:rsidR="00AA1C06">
        <w:rPr>
          <w:rFonts w:hint="eastAsia"/>
          <w:shd w:val="clear" w:color="auto" w:fill="FFFFFF"/>
        </w:rPr>
        <w:t>，</w:t>
      </w:r>
      <w:r w:rsidR="00AA1C06" w:rsidRPr="00AA1C06">
        <w:rPr>
          <w:shd w:val="clear" w:color="auto" w:fill="FFFFFF"/>
        </w:rPr>
        <w:t>對</w:t>
      </w:r>
      <w:r w:rsidR="007E35CF">
        <w:rPr>
          <w:rFonts w:hint="eastAsia"/>
          <w:shd w:val="clear" w:color="auto" w:fill="FFFFFF"/>
        </w:rPr>
        <w:t>臺</w:t>
      </w:r>
      <w:r w:rsidR="00AA1C06" w:rsidRPr="00AA1C06">
        <w:rPr>
          <w:shd w:val="clear" w:color="auto" w:fill="FFFFFF"/>
        </w:rPr>
        <w:t>灣產生明顯排擠效果，使</w:t>
      </w:r>
      <w:r w:rsidR="00AA1C06">
        <w:rPr>
          <w:rFonts w:hint="eastAsia"/>
          <w:shd w:val="clear" w:color="auto" w:fill="FFFFFF"/>
        </w:rPr>
        <w:t>我國</w:t>
      </w:r>
      <w:r w:rsidR="00AA1C06" w:rsidRPr="00AA1C06">
        <w:rPr>
          <w:shd w:val="clear" w:color="auto" w:fill="FFFFFF"/>
        </w:rPr>
        <w:t>反而處於更不利的競爭地位</w:t>
      </w:r>
      <w:r w:rsidR="00AA1C06">
        <w:rPr>
          <w:rStyle w:val="afe"/>
          <w:shd w:val="clear" w:color="auto" w:fill="FFFFFF"/>
        </w:rPr>
        <w:footnoteReference w:id="6"/>
      </w:r>
      <w:r w:rsidR="00DB0754">
        <w:rPr>
          <w:rFonts w:hint="eastAsia"/>
          <w:shd w:val="clear" w:color="auto" w:fill="FFFFFF"/>
        </w:rPr>
        <w:t>。鑒於關稅稅率的減讓</w:t>
      </w:r>
      <w:r w:rsidR="0097224D">
        <w:rPr>
          <w:rFonts w:hint="eastAsia"/>
          <w:shd w:val="clear" w:color="auto" w:fill="FFFFFF"/>
        </w:rPr>
        <w:t>仍</w:t>
      </w:r>
      <w:r w:rsidR="00DB0754">
        <w:rPr>
          <w:rFonts w:hint="eastAsia"/>
          <w:shd w:val="clear" w:color="auto" w:fill="FFFFFF"/>
        </w:rPr>
        <w:t>為前揭協定</w:t>
      </w:r>
      <w:r w:rsidR="009D2277">
        <w:rPr>
          <w:rFonts w:hint="eastAsia"/>
          <w:shd w:val="clear" w:color="auto" w:fill="FFFFFF"/>
        </w:rPr>
        <w:t>（議）</w:t>
      </w:r>
      <w:r w:rsidR="00DB0754">
        <w:rPr>
          <w:rFonts w:hint="eastAsia"/>
          <w:shd w:val="clear" w:color="auto" w:fill="FFFFFF"/>
        </w:rPr>
        <w:t>的重要條件，因此保健食品進口關稅稅率</w:t>
      </w:r>
      <w:r w:rsidR="00717F34">
        <w:rPr>
          <w:rFonts w:hint="eastAsia"/>
          <w:shd w:val="clear" w:color="auto" w:fill="FFFFFF"/>
        </w:rPr>
        <w:t>調降，</w:t>
      </w:r>
      <w:r w:rsidR="00AA1C06">
        <w:rPr>
          <w:rFonts w:hint="eastAsia"/>
          <w:shd w:val="clear" w:color="auto" w:fill="FFFFFF"/>
        </w:rPr>
        <w:t>仍</w:t>
      </w:r>
      <w:r w:rsidR="00DB0754">
        <w:rPr>
          <w:rFonts w:hint="eastAsia"/>
          <w:shd w:val="clear" w:color="auto" w:fill="FFFFFF"/>
        </w:rPr>
        <w:t>可作為簽訂協定的</w:t>
      </w:r>
      <w:r w:rsidR="009D2277">
        <w:rPr>
          <w:rFonts w:hint="eastAsia"/>
          <w:shd w:val="clear" w:color="auto" w:fill="FFFFFF"/>
        </w:rPr>
        <w:t>重要</w:t>
      </w:r>
      <w:r w:rsidR="000259CE">
        <w:rPr>
          <w:rFonts w:hint="eastAsia"/>
          <w:shd w:val="clear" w:color="auto" w:fill="FFFFFF"/>
        </w:rPr>
        <w:t>談判</w:t>
      </w:r>
      <w:r w:rsidR="00DB0754">
        <w:rPr>
          <w:rFonts w:hint="eastAsia"/>
          <w:shd w:val="clear" w:color="auto" w:fill="FFFFFF"/>
        </w:rPr>
        <w:t>籌碼</w:t>
      </w:r>
      <w:r w:rsidR="003E0691">
        <w:rPr>
          <w:rFonts w:hint="eastAsia"/>
          <w:shd w:val="clear" w:color="auto" w:fill="FFFFFF"/>
        </w:rPr>
        <w:t>，自應</w:t>
      </w:r>
      <w:r w:rsidR="00717F34">
        <w:rPr>
          <w:rFonts w:hint="eastAsia"/>
          <w:shd w:val="clear" w:color="auto" w:fill="FFFFFF"/>
        </w:rPr>
        <w:t>審慎考量調降時點及相對國家</w:t>
      </w:r>
      <w:r w:rsidR="009D2277">
        <w:rPr>
          <w:rFonts w:hint="eastAsia"/>
          <w:shd w:val="clear" w:color="auto" w:fill="FFFFFF"/>
        </w:rPr>
        <w:t>，</w:t>
      </w:r>
      <w:r w:rsidR="00717F34">
        <w:rPr>
          <w:rFonts w:hint="eastAsia"/>
          <w:shd w:val="clear" w:color="auto" w:fill="FFFFFF"/>
        </w:rPr>
        <w:t>而非全面性自行調降為宜</w:t>
      </w:r>
      <w:r w:rsidR="00DB0754">
        <w:rPr>
          <w:rFonts w:hint="eastAsia"/>
          <w:shd w:val="clear" w:color="auto" w:fill="FFFFFF"/>
        </w:rPr>
        <w:t>。</w:t>
      </w:r>
    </w:p>
    <w:p w:rsidR="00A428D6" w:rsidRPr="0041329C" w:rsidRDefault="00A428D6" w:rsidP="006A4478">
      <w:pPr>
        <w:pStyle w:val="3"/>
      </w:pPr>
      <w:r>
        <w:rPr>
          <w:rFonts w:hint="eastAsia"/>
        </w:rPr>
        <w:lastRenderedPageBreak/>
        <w:t>綜上，</w:t>
      </w:r>
      <w:r w:rsidR="00FE20EB" w:rsidRPr="0020302E">
        <w:rPr>
          <w:rFonts w:hint="eastAsia"/>
        </w:rPr>
        <w:t>我國「</w:t>
      </w:r>
      <w:r w:rsidR="00FE20EB" w:rsidRPr="0020302E">
        <w:rPr>
          <w:rFonts w:hint="eastAsia"/>
        </w:rPr>
        <w:tab/>
      </w:r>
      <w:proofErr w:type="gramStart"/>
      <w:r w:rsidR="00FE20EB" w:rsidRPr="0020302E">
        <w:rPr>
          <w:rFonts w:hint="eastAsia"/>
        </w:rPr>
        <w:t>錠劑</w:t>
      </w:r>
      <w:proofErr w:type="gramEnd"/>
      <w:r w:rsidR="00FE20EB" w:rsidRPr="0020302E">
        <w:rPr>
          <w:rFonts w:hint="eastAsia"/>
        </w:rPr>
        <w:t>、膠囊狀」保健食品進口關稅稅率確高於菸品，且</w:t>
      </w:r>
      <w:r w:rsidR="0020302E" w:rsidRPr="0020302E">
        <w:rPr>
          <w:rFonts w:hint="eastAsia"/>
        </w:rPr>
        <w:t>相較</w:t>
      </w:r>
      <w:r w:rsidR="00FE20EB" w:rsidRPr="0020302E">
        <w:rPr>
          <w:rFonts w:hint="eastAsia"/>
        </w:rPr>
        <w:t>他國亦屬偏高，實有於適當時機調降必要。</w:t>
      </w:r>
      <w:proofErr w:type="gramStart"/>
      <w:r w:rsidR="001912FD" w:rsidRPr="001912FD">
        <w:rPr>
          <w:rFonts w:hint="eastAsia"/>
        </w:rPr>
        <w:t>惟</w:t>
      </w:r>
      <w:proofErr w:type="gramEnd"/>
      <w:r w:rsidR="001912FD" w:rsidRPr="001912FD">
        <w:rPr>
          <w:rFonts w:hint="eastAsia"/>
        </w:rPr>
        <w:t>我國保健營養食品產業發展遲於外國大廠，且未達經濟規模，近年來整體產值雖有成長，</w:t>
      </w:r>
      <w:r w:rsidR="00C93A6E">
        <w:rPr>
          <w:rFonts w:hint="eastAsia"/>
        </w:rPr>
        <w:t>然</w:t>
      </w:r>
      <w:r w:rsidR="001912FD" w:rsidRPr="001912FD">
        <w:rPr>
          <w:rFonts w:hint="eastAsia"/>
        </w:rPr>
        <w:t>成長幅度已趨緩，</w:t>
      </w:r>
      <w:proofErr w:type="gramStart"/>
      <w:r w:rsidR="001912FD" w:rsidRPr="001912FD">
        <w:rPr>
          <w:rFonts w:hint="eastAsia"/>
        </w:rPr>
        <w:t>且錠</w:t>
      </w:r>
      <w:proofErr w:type="gramEnd"/>
      <w:r w:rsidR="001912FD" w:rsidRPr="001912FD">
        <w:rPr>
          <w:rFonts w:hint="eastAsia"/>
        </w:rPr>
        <w:t>劑、膠囊狀保健食品進出口呈現之逆差金額亦有擴大現象，倘貿然自行調降進口關稅稅率，恐發生</w:t>
      </w:r>
      <w:r w:rsidR="001912FD" w:rsidRPr="001912FD">
        <w:rPr>
          <w:rFonts w:hint="eastAsia"/>
          <w:szCs w:val="32"/>
        </w:rPr>
        <w:t>消費者未能購得價廉進口產品，反有造成</w:t>
      </w:r>
      <w:r w:rsidR="001912FD" w:rsidRPr="001912FD">
        <w:rPr>
          <w:rFonts w:hint="eastAsia"/>
        </w:rPr>
        <w:t>保健營養食品產業外移之虞。復以國際貿易區域主義逐漸興起，諸多國家藉由簽訂自由貿易協定（F</w:t>
      </w:r>
      <w:r w:rsidR="001912FD" w:rsidRPr="001912FD">
        <w:t>TA</w:t>
      </w:r>
      <w:r w:rsidR="001912FD" w:rsidRPr="001912FD">
        <w:rPr>
          <w:rFonts w:hint="eastAsia"/>
        </w:rPr>
        <w:t>）協議等方式，</w:t>
      </w:r>
      <w:r w:rsidR="001912FD" w:rsidRPr="001912FD">
        <w:rPr>
          <w:shd w:val="clear" w:color="auto" w:fill="FFFFFF"/>
        </w:rPr>
        <w:t>制定</w:t>
      </w:r>
      <w:r w:rsidR="001912FD" w:rsidRPr="001912FD">
        <w:rPr>
          <w:rFonts w:hint="eastAsia"/>
          <w:shd w:val="clear" w:color="auto" w:fill="FFFFFF"/>
        </w:rPr>
        <w:t>雙邊</w:t>
      </w:r>
      <w:r w:rsidR="001912FD" w:rsidRPr="001912FD">
        <w:rPr>
          <w:shd w:val="clear" w:color="auto" w:fill="FFFFFF"/>
        </w:rPr>
        <w:t>經貿規範</w:t>
      </w:r>
      <w:r w:rsidR="001912FD" w:rsidRPr="001912FD">
        <w:rPr>
          <w:rFonts w:hint="eastAsia"/>
          <w:shd w:val="clear" w:color="auto" w:fill="FFFFFF"/>
        </w:rPr>
        <w:t>，已逐漸成為趨勢。鑒於關稅稅率的減讓仍為前揭協議談判的重要籌碼，</w:t>
      </w:r>
      <w:proofErr w:type="gramStart"/>
      <w:r w:rsidR="001912FD" w:rsidRPr="001912FD">
        <w:rPr>
          <w:rFonts w:hint="eastAsia"/>
          <w:shd w:val="clear" w:color="auto" w:fill="FFFFFF"/>
        </w:rPr>
        <w:t>爰</w:t>
      </w:r>
      <w:proofErr w:type="gramEnd"/>
      <w:r w:rsidR="001912FD" w:rsidRPr="001912FD">
        <w:rPr>
          <w:rFonts w:hint="eastAsia"/>
          <w:shd w:val="clear" w:color="auto" w:fill="FFFFFF"/>
        </w:rPr>
        <w:t>政府允宜參考保健營養食品業界意見，在進行貿易協議談判時，爭取雙邊稅率互利減免，以提升消費者權</w:t>
      </w:r>
      <w:r w:rsidR="00741287">
        <w:rPr>
          <w:rFonts w:hint="eastAsia"/>
          <w:shd w:val="clear" w:color="auto" w:fill="FFFFFF"/>
        </w:rPr>
        <w:t>益</w:t>
      </w:r>
      <w:r w:rsidR="001912FD" w:rsidRPr="001912FD">
        <w:rPr>
          <w:rFonts w:hint="eastAsia"/>
          <w:shd w:val="clear" w:color="auto" w:fill="FFFFFF"/>
        </w:rPr>
        <w:t>，並維護我國產業成長機會及國家最大利益。</w:t>
      </w:r>
    </w:p>
    <w:p w:rsidR="00E25849" w:rsidRDefault="00E25849"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2"/>
      <w: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5224F2">
        <w:t xml:space="preserve"> </w:t>
      </w:r>
    </w:p>
    <w:p w:rsidR="00C56D0F" w:rsidRDefault="00C56D0F" w:rsidP="00770453">
      <w:pPr>
        <w:pStyle w:val="2"/>
        <w:spacing w:beforeLines="25" w:before="114"/>
        <w:ind w:left="1020" w:hanging="680"/>
      </w:pPr>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End w:id="93"/>
      <w:bookmarkEnd w:id="94"/>
      <w:bookmarkEnd w:id="95"/>
      <w:r>
        <w:rPr>
          <w:rFonts w:hint="eastAsia"/>
        </w:rPr>
        <w:t>抄調查意見，函復陳訴人。</w:t>
      </w:r>
      <w:bookmarkEnd w:id="96"/>
      <w:bookmarkEnd w:id="97"/>
      <w:bookmarkEnd w:id="98"/>
      <w:bookmarkEnd w:id="99"/>
      <w:bookmarkEnd w:id="100"/>
      <w:bookmarkEnd w:id="101"/>
      <w:bookmarkEnd w:id="102"/>
    </w:p>
    <w:p w:rsidR="00C56D0F" w:rsidRDefault="00C56D0F">
      <w:pPr>
        <w:pStyle w:val="2"/>
      </w:pPr>
      <w:bookmarkStart w:id="111" w:name="_Toc421794877"/>
      <w:bookmarkStart w:id="112" w:name="_Toc421795443"/>
      <w:bookmarkStart w:id="113" w:name="_Toc421796024"/>
      <w:bookmarkStart w:id="114" w:name="_Toc422728959"/>
      <w:bookmarkStart w:id="115" w:name="_Toc422834162"/>
      <w:r>
        <w:rPr>
          <w:rFonts w:hint="eastAsia"/>
        </w:rPr>
        <w:t>抄調查意見，函送經濟部、財政部參酌後結案存查。</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E25849" w:rsidRDefault="00C56D0F">
      <w:pPr>
        <w:pStyle w:val="2"/>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82"/>
      <w:bookmarkEnd w:id="83"/>
      <w:bookmarkEnd w:id="84"/>
      <w:bookmarkEnd w:id="85"/>
      <w:bookmarkEnd w:id="86"/>
      <w:bookmarkEnd w:id="87"/>
      <w:bookmarkEnd w:id="88"/>
      <w:bookmarkEnd w:id="89"/>
      <w:bookmarkEnd w:id="90"/>
      <w:bookmarkEnd w:id="91"/>
      <w:bookmarkEnd w:id="92"/>
      <w:r>
        <w:rPr>
          <w:rFonts w:hint="eastAsia"/>
          <w:color w:val="000000"/>
        </w:rPr>
        <w:t>調查報告之案由、調查意見及處理辦法上網公布。</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C56D0F">
        <w:rPr>
          <w:rFonts w:hint="eastAsia"/>
          <w:b w:val="0"/>
          <w:bCs/>
          <w:snapToGrid/>
          <w:spacing w:val="12"/>
          <w:kern w:val="0"/>
          <w:sz w:val="40"/>
        </w:rPr>
        <w:t>賴振昌</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5224F2">
        <w:rPr>
          <w:rFonts w:hAnsi="標楷體"/>
          <w:bCs/>
        </w:rPr>
        <w:t>13</w:t>
      </w:r>
      <w:r>
        <w:rPr>
          <w:rFonts w:hAnsi="標楷體" w:hint="eastAsia"/>
          <w:bCs/>
        </w:rPr>
        <w:t xml:space="preserve">　年　</w:t>
      </w:r>
      <w:r w:rsidR="00C56D0F">
        <w:rPr>
          <w:rFonts w:hAnsi="標楷體" w:hint="eastAsia"/>
          <w:bCs/>
        </w:rPr>
        <w:t>9</w:t>
      </w:r>
      <w:r>
        <w:rPr>
          <w:rFonts w:hAnsi="標楷體" w:hint="eastAsia"/>
          <w:bCs/>
        </w:rPr>
        <w:t xml:space="preserve">　月　</w:t>
      </w:r>
      <w:r w:rsidR="00C56D0F">
        <w:rPr>
          <w:rFonts w:hAnsi="標楷體" w:hint="eastAsia"/>
          <w:bCs/>
        </w:rPr>
        <w:t>4</w:t>
      </w:r>
      <w:r>
        <w:rPr>
          <w:rFonts w:hAnsi="標楷體" w:hint="eastAsia"/>
          <w:bCs/>
        </w:rPr>
        <w:t xml:space="preserve">　日</w:t>
      </w:r>
    </w:p>
    <w:p w:rsidR="001C3C02" w:rsidRDefault="001C3C02" w:rsidP="00A07B4B">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sidR="00A428D6" w:rsidRPr="00A428D6">
        <w:rPr>
          <w:rFonts w:hint="eastAsia"/>
          <w:bCs/>
        </w:rPr>
        <w:t>我國保健</w:t>
      </w:r>
      <w:r w:rsidR="00A428D6">
        <w:rPr>
          <w:rFonts w:hint="eastAsia"/>
          <w:bCs/>
        </w:rPr>
        <w:t>食</w:t>
      </w:r>
      <w:r w:rsidR="00A428D6" w:rsidRPr="00A428D6">
        <w:rPr>
          <w:rFonts w:hint="eastAsia"/>
          <w:bCs/>
        </w:rPr>
        <w:t>品</w:t>
      </w:r>
      <w:r w:rsidR="00A428D6">
        <w:rPr>
          <w:rFonts w:hint="eastAsia"/>
          <w:bCs/>
        </w:rPr>
        <w:t>進口</w:t>
      </w:r>
      <w:r w:rsidR="00A428D6" w:rsidRPr="00A428D6">
        <w:rPr>
          <w:rFonts w:hint="eastAsia"/>
          <w:bCs/>
        </w:rPr>
        <w:t>稅率高達30</w:t>
      </w:r>
      <w:proofErr w:type="gramStart"/>
      <w:r w:rsidR="00533AD9">
        <w:rPr>
          <w:rFonts w:hint="eastAsia"/>
          <w:bCs/>
        </w:rPr>
        <w:t>﹪</w:t>
      </w:r>
      <w:proofErr w:type="gramEnd"/>
      <w:r w:rsidR="00A428D6" w:rsidRPr="00A428D6">
        <w:rPr>
          <w:rFonts w:hint="eastAsia"/>
          <w:bCs/>
        </w:rPr>
        <w:t>，恐未能有效保護國內相關產業</w:t>
      </w:r>
      <w:r w:rsidR="00A428D6">
        <w:rPr>
          <w:rFonts w:hint="eastAsia"/>
          <w:bCs/>
        </w:rPr>
        <w:t>案。</w:t>
      </w:r>
    </w:p>
    <w:p w:rsidR="001C3C02" w:rsidRDefault="001C3C02" w:rsidP="00A07B4B">
      <w:pPr>
        <w:pStyle w:val="af0"/>
        <w:kinsoku/>
        <w:autoSpaceDE w:val="0"/>
        <w:spacing w:beforeLines="50" w:before="228"/>
        <w:ind w:left="1020" w:hanging="1020"/>
        <w:rPr>
          <w:bCs/>
        </w:rPr>
      </w:pPr>
      <w:r>
        <w:rPr>
          <w:rFonts w:hint="eastAsia"/>
          <w:bCs/>
        </w:rPr>
        <w:t>關鍵字：</w:t>
      </w:r>
      <w:r w:rsidR="00A428D6" w:rsidRPr="00A428D6">
        <w:rPr>
          <w:rFonts w:hint="eastAsia"/>
          <w:bCs/>
        </w:rPr>
        <w:t>保健</w:t>
      </w:r>
      <w:r w:rsidR="00A428D6">
        <w:rPr>
          <w:rFonts w:hint="eastAsia"/>
          <w:bCs/>
        </w:rPr>
        <w:t>食</w:t>
      </w:r>
      <w:r w:rsidR="00A428D6" w:rsidRPr="00A428D6">
        <w:rPr>
          <w:rFonts w:hint="eastAsia"/>
          <w:bCs/>
        </w:rPr>
        <w:t>品</w:t>
      </w:r>
      <w:r w:rsidR="00A428D6">
        <w:rPr>
          <w:rFonts w:hint="eastAsia"/>
          <w:bCs/>
        </w:rPr>
        <w:t>、關稅稅率、</w:t>
      </w:r>
      <w:r w:rsidR="009D2277" w:rsidRPr="00A428D6">
        <w:rPr>
          <w:rFonts w:hint="eastAsia"/>
          <w:bCs/>
        </w:rPr>
        <w:t>保健</w:t>
      </w:r>
      <w:r w:rsidR="009D2277">
        <w:rPr>
          <w:rFonts w:hint="eastAsia"/>
          <w:bCs/>
        </w:rPr>
        <w:t>食</w:t>
      </w:r>
      <w:r w:rsidR="009D2277" w:rsidRPr="00A428D6">
        <w:rPr>
          <w:rFonts w:hint="eastAsia"/>
          <w:bCs/>
        </w:rPr>
        <w:t>品</w:t>
      </w:r>
      <w:r w:rsidR="009D2277">
        <w:rPr>
          <w:rFonts w:hint="eastAsia"/>
          <w:bCs/>
        </w:rPr>
        <w:t>產業</w:t>
      </w:r>
    </w:p>
    <w:p w:rsidR="00416721" w:rsidRDefault="00416721">
      <w:pPr>
        <w:widowControl/>
        <w:overflowPunct/>
        <w:autoSpaceDE/>
        <w:autoSpaceDN/>
        <w:jc w:val="left"/>
        <w:rPr>
          <w:bCs/>
          <w:kern w:val="0"/>
        </w:rPr>
      </w:pPr>
    </w:p>
    <w:sectPr w:rsidR="00416721" w:rsidSect="00595C09">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7C1" w:rsidRDefault="007257C1">
      <w:r>
        <w:separator/>
      </w:r>
    </w:p>
  </w:endnote>
  <w:endnote w:type="continuationSeparator" w:id="0">
    <w:p w:rsidR="007257C1" w:rsidRDefault="0072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566" w:rsidRDefault="0081256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12566" w:rsidRDefault="0081256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7C1" w:rsidRDefault="007257C1">
      <w:r>
        <w:separator/>
      </w:r>
    </w:p>
  </w:footnote>
  <w:footnote w:type="continuationSeparator" w:id="0">
    <w:p w:rsidR="007257C1" w:rsidRDefault="007257C1">
      <w:r>
        <w:continuationSeparator/>
      </w:r>
    </w:p>
  </w:footnote>
  <w:footnote w:id="1">
    <w:p w:rsidR="00812566" w:rsidRDefault="00812566" w:rsidP="005218F1">
      <w:pPr>
        <w:pStyle w:val="afc"/>
      </w:pPr>
      <w:r>
        <w:rPr>
          <w:rStyle w:val="afe"/>
        </w:rPr>
        <w:footnoteRef/>
      </w:r>
      <w:r>
        <w:t xml:space="preserve"> </w:t>
      </w:r>
      <w:r>
        <w:rPr>
          <w:rFonts w:hint="eastAsia"/>
        </w:rPr>
        <w:t>前</w:t>
      </w:r>
      <w:r w:rsidRPr="00AD62A5">
        <w:rPr>
          <w:rFonts w:hint="eastAsia"/>
        </w:rPr>
        <w:t>6位碼屬於國際</w:t>
      </w:r>
      <w:proofErr w:type="gramStart"/>
      <w:r w:rsidRPr="00AD62A5">
        <w:rPr>
          <w:rFonts w:hint="eastAsia"/>
        </w:rPr>
        <w:t>標準號別</w:t>
      </w:r>
      <w:proofErr w:type="gramEnd"/>
      <w:r w:rsidRPr="00AD62A5">
        <w:rPr>
          <w:rFonts w:hint="eastAsia"/>
        </w:rPr>
        <w:t>，</w:t>
      </w:r>
      <w:r>
        <w:rPr>
          <w:rFonts w:hint="eastAsia"/>
        </w:rPr>
        <w:t>後4</w:t>
      </w:r>
      <w:r w:rsidRPr="00AD62A5">
        <w:rPr>
          <w:rFonts w:hint="eastAsia"/>
        </w:rPr>
        <w:t>位碼則為</w:t>
      </w:r>
      <w:r>
        <w:rPr>
          <w:rFonts w:hint="eastAsia"/>
        </w:rPr>
        <w:t>分別為</w:t>
      </w:r>
      <w:r w:rsidRPr="00AD62A5">
        <w:rPr>
          <w:rFonts w:hint="eastAsia"/>
        </w:rPr>
        <w:t>我國專屬之</w:t>
      </w:r>
      <w:proofErr w:type="gramStart"/>
      <w:r w:rsidRPr="00DC6864">
        <w:rPr>
          <w:rFonts w:hint="eastAsia"/>
        </w:rPr>
        <w:t>稅則號別</w:t>
      </w:r>
      <w:proofErr w:type="gramEnd"/>
      <w:r w:rsidRPr="00AD62A5">
        <w:rPr>
          <w:rFonts w:hint="eastAsia"/>
        </w:rPr>
        <w:t>(Tariff number)及貨品號列(Import and Export Commodity Classification of Republic of China, CCC code)</w:t>
      </w:r>
      <w:r>
        <w:rPr>
          <w:rFonts w:hint="eastAsia"/>
        </w:rPr>
        <w:t>；另</w:t>
      </w:r>
      <w:r w:rsidRPr="00111B57">
        <w:rPr>
          <w:rFonts w:hint="eastAsia"/>
        </w:rPr>
        <w:t>第11位碼</w:t>
      </w:r>
      <w:r>
        <w:rPr>
          <w:rFonts w:hint="eastAsia"/>
        </w:rPr>
        <w:t>為</w:t>
      </w:r>
      <w:r w:rsidRPr="00111B57">
        <w:rPr>
          <w:rFonts w:hint="eastAsia"/>
        </w:rPr>
        <w:t>「電腦檢查碼」</w:t>
      </w:r>
      <w:r>
        <w:rPr>
          <w:rFonts w:hint="eastAsia"/>
        </w:rPr>
        <w:t xml:space="preserve">。 </w:t>
      </w:r>
    </w:p>
  </w:footnote>
  <w:footnote w:id="2">
    <w:p w:rsidR="00812566" w:rsidRDefault="00812566">
      <w:pPr>
        <w:pStyle w:val="afc"/>
      </w:pPr>
      <w:r>
        <w:rPr>
          <w:rStyle w:val="afe"/>
        </w:rPr>
        <w:footnoteRef/>
      </w:r>
      <w:r>
        <w:t xml:space="preserve"> </w:t>
      </w:r>
      <w:r w:rsidRPr="00E12F6D">
        <w:rPr>
          <w:rFonts w:hint="eastAsia"/>
        </w:rPr>
        <w:t>現行稅則</w:t>
      </w:r>
      <w:proofErr w:type="gramStart"/>
      <w:r w:rsidRPr="00E12F6D">
        <w:rPr>
          <w:rFonts w:hint="eastAsia"/>
        </w:rPr>
        <w:t>號別第</w:t>
      </w:r>
      <w:proofErr w:type="gramEnd"/>
      <w:r w:rsidRPr="00E12F6D">
        <w:rPr>
          <w:rFonts w:hint="eastAsia"/>
        </w:rPr>
        <w:t>2106.90.99號之關稅稅率，係91年我國加入世界貿易組織(WTO)時，產業主管機關考量國內產業發展政策，並經與各WTO會員國多邊談判訂定，為我國提交WTO關稅減讓清單之承諾稅率，於我國入會後，關稅稅率由原50</w:t>
      </w:r>
      <w:proofErr w:type="gramStart"/>
      <w:r>
        <w:rPr>
          <w:rFonts w:hint="eastAsia"/>
        </w:rPr>
        <w:t>﹪</w:t>
      </w:r>
      <w:proofErr w:type="gramEnd"/>
      <w:r w:rsidRPr="00E12F6D">
        <w:rPr>
          <w:rFonts w:hint="eastAsia"/>
        </w:rPr>
        <w:t>調降至30</w:t>
      </w:r>
      <w:proofErr w:type="gramStart"/>
      <w:r>
        <w:rPr>
          <w:rFonts w:hint="eastAsia"/>
        </w:rPr>
        <w:t>﹪</w:t>
      </w:r>
      <w:proofErr w:type="gramEnd"/>
      <w:r w:rsidRPr="00E12F6D">
        <w:rPr>
          <w:rFonts w:hint="eastAsia"/>
        </w:rPr>
        <w:t>，迄未再度調降稅率。</w:t>
      </w:r>
    </w:p>
  </w:footnote>
  <w:footnote w:id="3">
    <w:p w:rsidR="00812566" w:rsidRDefault="00812566" w:rsidP="00A374C3">
      <w:pPr>
        <w:pStyle w:val="afc"/>
        <w:kinsoku w:val="0"/>
        <w:ind w:rightChars="-71" w:right="-242"/>
      </w:pPr>
      <w:r>
        <w:rPr>
          <w:rStyle w:val="afe"/>
        </w:rPr>
        <w:footnoteRef/>
      </w:r>
      <w:r>
        <w:t xml:space="preserve"> </w:t>
      </w:r>
      <w:r>
        <w:rPr>
          <w:rFonts w:hint="eastAsia"/>
        </w:rPr>
        <w:t>經依1</w:t>
      </w:r>
      <w:r>
        <w:t>13</w:t>
      </w:r>
      <w:r>
        <w:rPr>
          <w:rFonts w:hint="eastAsia"/>
        </w:rPr>
        <w:t>年8月國內電商平</w:t>
      </w:r>
      <w:proofErr w:type="gramStart"/>
      <w:r>
        <w:rPr>
          <w:rFonts w:hint="eastAsia"/>
        </w:rPr>
        <w:t>臺</w:t>
      </w:r>
      <w:proofErr w:type="gramEnd"/>
      <w:r>
        <w:rPr>
          <w:rFonts w:hint="eastAsia"/>
        </w:rPr>
        <w:t>之銷售資料，尚無發現相同顆數包裝。</w:t>
      </w:r>
      <w:proofErr w:type="gramStart"/>
      <w:r>
        <w:rPr>
          <w:rFonts w:hint="eastAsia"/>
        </w:rPr>
        <w:t>惟</w:t>
      </w:r>
      <w:proofErr w:type="gramEnd"/>
      <w:r>
        <w:rPr>
          <w:rFonts w:hint="eastAsia"/>
        </w:rPr>
        <w:t>國內電商同品牌</w:t>
      </w:r>
      <w:hyperlink r:id="rId1" w:history="1">
        <w:r w:rsidRPr="009C56A3">
          <w:rPr>
            <w:rStyle w:val="ae"/>
            <w:color w:val="auto"/>
          </w:rPr>
          <w:t>女性</w:t>
        </w:r>
        <w:r w:rsidRPr="009C56A3">
          <w:rPr>
            <w:rStyle w:val="ae"/>
            <w:rFonts w:hint="eastAsia"/>
            <w:color w:val="auto"/>
          </w:rPr>
          <w:t>綜合維他命</w:t>
        </w:r>
        <w:r w:rsidRPr="009C56A3">
          <w:rPr>
            <w:rStyle w:val="ae"/>
            <w:color w:val="auto"/>
          </w:rPr>
          <w:t>120錠</w:t>
        </w:r>
      </w:hyperlink>
      <w:r w:rsidRPr="009C56A3">
        <w:rPr>
          <w:rStyle w:val="ae"/>
          <w:rFonts w:hint="eastAsia"/>
          <w:color w:val="auto"/>
        </w:rPr>
        <w:t>之</w:t>
      </w:r>
      <w:r>
        <w:rPr>
          <w:rFonts w:hint="eastAsia"/>
        </w:rPr>
        <w:t>售價為</w:t>
      </w:r>
      <w:r w:rsidRPr="00BE4A6E">
        <w:t>8</w:t>
      </w:r>
      <w:r>
        <w:t>39</w:t>
      </w:r>
      <w:r w:rsidRPr="00BE4A6E">
        <w:rPr>
          <w:rFonts w:hint="eastAsia"/>
        </w:rPr>
        <w:t>元，每顆售價約為</w:t>
      </w:r>
      <w:r>
        <w:rPr>
          <w:rFonts w:hint="eastAsia"/>
        </w:rPr>
        <w:t>6</w:t>
      </w:r>
      <w:r w:rsidRPr="00BE4A6E">
        <w:t>.</w:t>
      </w:r>
      <w:r>
        <w:t>991</w:t>
      </w:r>
      <w:r w:rsidRPr="00BE4A6E">
        <w:rPr>
          <w:rFonts w:hint="eastAsia"/>
        </w:rPr>
        <w:t>元（</w:t>
      </w:r>
      <w:r w:rsidRPr="00BE4A6E">
        <w:t>8</w:t>
      </w:r>
      <w:r>
        <w:t>39</w:t>
      </w:r>
      <w:r w:rsidRPr="00BE4A6E">
        <w:t>/</w:t>
      </w:r>
      <w:r>
        <w:t>1</w:t>
      </w:r>
      <w:r w:rsidRPr="00BE4A6E">
        <w:t>20</w:t>
      </w:r>
      <w:r w:rsidRPr="00BE4A6E">
        <w:rPr>
          <w:rFonts w:hint="eastAsia"/>
        </w:rPr>
        <w:t>）</w:t>
      </w:r>
      <w:r>
        <w:rPr>
          <w:rFonts w:hint="eastAsia"/>
          <w:b/>
          <w:bCs/>
        </w:rPr>
        <w:t>。</w:t>
      </w:r>
      <w:proofErr w:type="gramStart"/>
      <w:r w:rsidRPr="00834CFB">
        <w:rPr>
          <w:rFonts w:hint="eastAsia"/>
          <w:bCs/>
        </w:rPr>
        <w:t>另</w:t>
      </w:r>
      <w:proofErr w:type="gramEnd"/>
      <w:r w:rsidRPr="00834CFB">
        <w:rPr>
          <w:rFonts w:hint="eastAsia"/>
          <w:bCs/>
        </w:rPr>
        <w:t>，國內美式賣場</w:t>
      </w:r>
      <w:r>
        <w:rPr>
          <w:rFonts w:hint="eastAsia"/>
        </w:rPr>
        <w:t>同品牌</w:t>
      </w:r>
      <w:r w:rsidRPr="00834CFB">
        <w:t>女性綜合維他命280錠</w:t>
      </w:r>
      <w:proofErr w:type="gramStart"/>
      <w:r w:rsidRPr="00834CFB">
        <w:rPr>
          <w:rFonts w:hint="eastAsia"/>
        </w:rPr>
        <w:t>之線上售價</w:t>
      </w:r>
      <w:proofErr w:type="gramEnd"/>
      <w:r w:rsidRPr="00834CFB">
        <w:rPr>
          <w:rFonts w:hint="eastAsia"/>
        </w:rPr>
        <w:t>為1</w:t>
      </w:r>
      <w:r>
        <w:t>,</w:t>
      </w:r>
      <w:r w:rsidRPr="00834CFB">
        <w:t>579</w:t>
      </w:r>
      <w:r w:rsidRPr="00834CFB">
        <w:rPr>
          <w:rFonts w:hint="eastAsia"/>
        </w:rPr>
        <w:t>元，每顆售價約為</w:t>
      </w:r>
      <w:r w:rsidRPr="00834CFB">
        <w:t>5.639</w:t>
      </w:r>
      <w:r w:rsidRPr="00834CFB">
        <w:rPr>
          <w:rFonts w:hint="eastAsia"/>
        </w:rPr>
        <w:t>元（</w:t>
      </w:r>
      <w:r w:rsidRPr="00834CFB">
        <w:t>1,5</w:t>
      </w:r>
      <w:r>
        <w:t>79</w:t>
      </w:r>
      <w:r w:rsidRPr="00BE4A6E">
        <w:t>/2</w:t>
      </w:r>
      <w:r>
        <w:t>8</w:t>
      </w:r>
      <w:r w:rsidRPr="00BE4A6E">
        <w:t>0</w:t>
      </w:r>
      <w:r w:rsidRPr="00BE4A6E">
        <w:rPr>
          <w:rFonts w:hint="eastAsia"/>
        </w:rPr>
        <w:t>）</w:t>
      </w:r>
      <w:r>
        <w:rPr>
          <w:rFonts w:hint="eastAsia"/>
        </w:rPr>
        <w:t>。</w:t>
      </w:r>
    </w:p>
  </w:footnote>
  <w:footnote w:id="4">
    <w:p w:rsidR="00812566" w:rsidRDefault="00812566" w:rsidP="000168DB">
      <w:pPr>
        <w:pStyle w:val="afc"/>
      </w:pPr>
      <w:r>
        <w:rPr>
          <w:rStyle w:val="afe"/>
        </w:rPr>
        <w:footnoteRef/>
      </w:r>
      <w:r>
        <w:t xml:space="preserve"> </w:t>
      </w:r>
      <w:r w:rsidRPr="002B738C">
        <w:rPr>
          <w:rFonts w:hint="eastAsia"/>
        </w:rPr>
        <w:t>包括通路端之所有營運成本、行銷廣告費用、消費教育及各式折扣活動及利潤等</w:t>
      </w:r>
      <w:r>
        <w:rPr>
          <w:rFonts w:hint="eastAsia"/>
        </w:rPr>
        <w:t>。</w:t>
      </w:r>
    </w:p>
  </w:footnote>
  <w:footnote w:id="5">
    <w:p w:rsidR="00812566" w:rsidRDefault="00812566" w:rsidP="00C50435">
      <w:pPr>
        <w:pStyle w:val="afc"/>
        <w:kinsoku w:val="0"/>
      </w:pPr>
      <w:r>
        <w:rPr>
          <w:rStyle w:val="afe"/>
        </w:rPr>
        <w:footnoteRef/>
      </w:r>
      <w:r>
        <w:t xml:space="preserve"> </w:t>
      </w:r>
      <w:r>
        <w:rPr>
          <w:rFonts w:hint="eastAsia"/>
        </w:rPr>
        <w:t>1</w:t>
      </w:r>
      <w:r>
        <w:t>08</w:t>
      </w:r>
      <w:r>
        <w:rPr>
          <w:rFonts w:hint="eastAsia"/>
        </w:rPr>
        <w:t>年至</w:t>
      </w:r>
      <w:proofErr w:type="gramStart"/>
      <w:r>
        <w:rPr>
          <w:rFonts w:hint="eastAsia"/>
        </w:rPr>
        <w:t>1</w:t>
      </w:r>
      <w:r>
        <w:t>12</w:t>
      </w:r>
      <w:r>
        <w:rPr>
          <w:rFonts w:hint="eastAsia"/>
        </w:rPr>
        <w:t>年</w:t>
      </w:r>
      <w:r w:rsidRPr="00C50435">
        <w:rPr>
          <w:rFonts w:hint="eastAsia"/>
        </w:rPr>
        <w:t>錠劑</w:t>
      </w:r>
      <w:proofErr w:type="gramEnd"/>
      <w:r w:rsidRPr="00C50435">
        <w:rPr>
          <w:rFonts w:hint="eastAsia"/>
        </w:rPr>
        <w:t>、膠囊狀食物製品進口關稅收入分別為1</w:t>
      </w:r>
      <w:r w:rsidRPr="00C50435">
        <w:t>5.56</w:t>
      </w:r>
      <w:r w:rsidRPr="00C50435">
        <w:rPr>
          <w:rFonts w:hint="eastAsia"/>
        </w:rPr>
        <w:t>億元、1</w:t>
      </w:r>
      <w:r w:rsidRPr="00C50435">
        <w:t>5.37</w:t>
      </w:r>
      <w:r w:rsidRPr="00C50435">
        <w:rPr>
          <w:rFonts w:hint="eastAsia"/>
        </w:rPr>
        <w:t>億元、1</w:t>
      </w:r>
      <w:r w:rsidRPr="00C50435">
        <w:t>8.25</w:t>
      </w:r>
      <w:r w:rsidRPr="00C50435">
        <w:rPr>
          <w:rFonts w:hint="eastAsia"/>
        </w:rPr>
        <w:t>億元、2</w:t>
      </w:r>
      <w:r w:rsidRPr="00C50435">
        <w:t>1.98</w:t>
      </w:r>
      <w:r w:rsidRPr="00C50435">
        <w:rPr>
          <w:rFonts w:hint="eastAsia"/>
        </w:rPr>
        <w:t>億元及1</w:t>
      </w:r>
      <w:r w:rsidRPr="00C50435">
        <w:t>9.59</w:t>
      </w:r>
      <w:r w:rsidRPr="00C50435">
        <w:rPr>
          <w:rFonts w:hint="eastAsia"/>
        </w:rPr>
        <w:t>億元。</w:t>
      </w:r>
    </w:p>
  </w:footnote>
  <w:footnote w:id="6">
    <w:p w:rsidR="00812566" w:rsidRDefault="00812566" w:rsidP="00AA1C06">
      <w:pPr>
        <w:pStyle w:val="afc"/>
      </w:pPr>
      <w:r>
        <w:rPr>
          <w:rStyle w:val="afe"/>
        </w:rPr>
        <w:footnoteRef/>
      </w:r>
      <w:r>
        <w:t xml:space="preserve"> </w:t>
      </w:r>
      <w:r>
        <w:rPr>
          <w:rFonts w:hint="eastAsia"/>
        </w:rPr>
        <w:t>參考資料：中華經濟研究院</w:t>
      </w:r>
      <w:r w:rsidRPr="00FB0B4A">
        <w:t>劉大年：</w:t>
      </w:r>
      <w:r>
        <w:rPr>
          <w:rFonts w:hint="eastAsia"/>
        </w:rPr>
        <w:t>臺</w:t>
      </w:r>
      <w:r w:rsidRPr="00FB0B4A">
        <w:t>灣加入WTO二十年</w:t>
      </w:r>
      <w:r w:rsidRPr="00FB0B4A">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0982B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CC86C67A"/>
    <w:lvl w:ilvl="0" w:tplc="AA0E8500">
      <w:start w:val="1"/>
      <w:numFmt w:val="decimal"/>
      <w:pStyle w:val="a3"/>
      <w:lvlText w:val="表%1　"/>
      <w:lvlJc w:val="left"/>
      <w:pPr>
        <w:ind w:left="480"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D5D"/>
    <w:rsid w:val="000112BF"/>
    <w:rsid w:val="00011B4C"/>
    <w:rsid w:val="00012233"/>
    <w:rsid w:val="0001368A"/>
    <w:rsid w:val="000168DB"/>
    <w:rsid w:val="00017318"/>
    <w:rsid w:val="000202FA"/>
    <w:rsid w:val="00022652"/>
    <w:rsid w:val="000229AD"/>
    <w:rsid w:val="000246F7"/>
    <w:rsid w:val="000259CE"/>
    <w:rsid w:val="0003114D"/>
    <w:rsid w:val="00031DE4"/>
    <w:rsid w:val="00036D76"/>
    <w:rsid w:val="0003794A"/>
    <w:rsid w:val="000561C6"/>
    <w:rsid w:val="00057D8A"/>
    <w:rsid w:val="00057F32"/>
    <w:rsid w:val="00062A25"/>
    <w:rsid w:val="000633D2"/>
    <w:rsid w:val="00066BA8"/>
    <w:rsid w:val="000736EA"/>
    <w:rsid w:val="00073CB5"/>
    <w:rsid w:val="0007425C"/>
    <w:rsid w:val="00077553"/>
    <w:rsid w:val="000821FF"/>
    <w:rsid w:val="000851A2"/>
    <w:rsid w:val="0008693A"/>
    <w:rsid w:val="0009352E"/>
    <w:rsid w:val="00093545"/>
    <w:rsid w:val="00096B96"/>
    <w:rsid w:val="000A12B9"/>
    <w:rsid w:val="000A2F3F"/>
    <w:rsid w:val="000B0B4A"/>
    <w:rsid w:val="000B279A"/>
    <w:rsid w:val="000B3938"/>
    <w:rsid w:val="000B4C25"/>
    <w:rsid w:val="000B61D2"/>
    <w:rsid w:val="000B70A7"/>
    <w:rsid w:val="000B73DD"/>
    <w:rsid w:val="000B73E6"/>
    <w:rsid w:val="000C47D7"/>
    <w:rsid w:val="000C495F"/>
    <w:rsid w:val="000D5B9A"/>
    <w:rsid w:val="000D66D9"/>
    <w:rsid w:val="000D6EA4"/>
    <w:rsid w:val="000E6431"/>
    <w:rsid w:val="000F1B09"/>
    <w:rsid w:val="000F21A5"/>
    <w:rsid w:val="000F2BF3"/>
    <w:rsid w:val="00102B9F"/>
    <w:rsid w:val="001034AA"/>
    <w:rsid w:val="00103882"/>
    <w:rsid w:val="001042BB"/>
    <w:rsid w:val="00111B57"/>
    <w:rsid w:val="00112637"/>
    <w:rsid w:val="00112ABC"/>
    <w:rsid w:val="00113959"/>
    <w:rsid w:val="0012001E"/>
    <w:rsid w:val="00126A55"/>
    <w:rsid w:val="00133F08"/>
    <w:rsid w:val="001345E6"/>
    <w:rsid w:val="00136B47"/>
    <w:rsid w:val="001378B0"/>
    <w:rsid w:val="0014002E"/>
    <w:rsid w:val="00142E00"/>
    <w:rsid w:val="00152793"/>
    <w:rsid w:val="00153B7E"/>
    <w:rsid w:val="001545A9"/>
    <w:rsid w:val="001637C7"/>
    <w:rsid w:val="0016480E"/>
    <w:rsid w:val="00174297"/>
    <w:rsid w:val="00180E06"/>
    <w:rsid w:val="001817B3"/>
    <w:rsid w:val="00183014"/>
    <w:rsid w:val="00183125"/>
    <w:rsid w:val="00183DF6"/>
    <w:rsid w:val="00185B35"/>
    <w:rsid w:val="00186615"/>
    <w:rsid w:val="001912FD"/>
    <w:rsid w:val="0019505E"/>
    <w:rsid w:val="001959C2"/>
    <w:rsid w:val="001A0ECE"/>
    <w:rsid w:val="001A3FE6"/>
    <w:rsid w:val="001A51E3"/>
    <w:rsid w:val="001A57EA"/>
    <w:rsid w:val="001A7968"/>
    <w:rsid w:val="001B02A1"/>
    <w:rsid w:val="001B2E98"/>
    <w:rsid w:val="001B3483"/>
    <w:rsid w:val="001B3C1E"/>
    <w:rsid w:val="001B4494"/>
    <w:rsid w:val="001B485A"/>
    <w:rsid w:val="001C0D8B"/>
    <w:rsid w:val="001C0DA8"/>
    <w:rsid w:val="001C3C02"/>
    <w:rsid w:val="001D2C6E"/>
    <w:rsid w:val="001D45E8"/>
    <w:rsid w:val="001D4AD7"/>
    <w:rsid w:val="001D7A5C"/>
    <w:rsid w:val="001E0D8A"/>
    <w:rsid w:val="001E12A6"/>
    <w:rsid w:val="001E243B"/>
    <w:rsid w:val="001E4157"/>
    <w:rsid w:val="001E5F65"/>
    <w:rsid w:val="001E67BA"/>
    <w:rsid w:val="001E74C2"/>
    <w:rsid w:val="001F4F82"/>
    <w:rsid w:val="001F5A48"/>
    <w:rsid w:val="001F5F32"/>
    <w:rsid w:val="001F6260"/>
    <w:rsid w:val="00200007"/>
    <w:rsid w:val="002003B3"/>
    <w:rsid w:val="0020302E"/>
    <w:rsid w:val="002030A5"/>
    <w:rsid w:val="00203131"/>
    <w:rsid w:val="00212E88"/>
    <w:rsid w:val="00213C9C"/>
    <w:rsid w:val="002146AF"/>
    <w:rsid w:val="0021751F"/>
    <w:rsid w:val="0022009E"/>
    <w:rsid w:val="0022202B"/>
    <w:rsid w:val="00223241"/>
    <w:rsid w:val="0022425C"/>
    <w:rsid w:val="002246DE"/>
    <w:rsid w:val="00226890"/>
    <w:rsid w:val="00227180"/>
    <w:rsid w:val="002300BF"/>
    <w:rsid w:val="00230480"/>
    <w:rsid w:val="002429E2"/>
    <w:rsid w:val="00252BC4"/>
    <w:rsid w:val="00254014"/>
    <w:rsid w:val="00254B39"/>
    <w:rsid w:val="00260E6C"/>
    <w:rsid w:val="0026504D"/>
    <w:rsid w:val="00273A2F"/>
    <w:rsid w:val="00276856"/>
    <w:rsid w:val="00280986"/>
    <w:rsid w:val="00281ECE"/>
    <w:rsid w:val="002831C7"/>
    <w:rsid w:val="002840C6"/>
    <w:rsid w:val="00295174"/>
    <w:rsid w:val="00296172"/>
    <w:rsid w:val="00296B92"/>
    <w:rsid w:val="002A2ACD"/>
    <w:rsid w:val="002A2C22"/>
    <w:rsid w:val="002A5F13"/>
    <w:rsid w:val="002B02EB"/>
    <w:rsid w:val="002B738C"/>
    <w:rsid w:val="002C0602"/>
    <w:rsid w:val="002C21FB"/>
    <w:rsid w:val="002C4E85"/>
    <w:rsid w:val="002D2A39"/>
    <w:rsid w:val="002D5C16"/>
    <w:rsid w:val="002E0EDF"/>
    <w:rsid w:val="002E7DD0"/>
    <w:rsid w:val="002F1113"/>
    <w:rsid w:val="002F121B"/>
    <w:rsid w:val="002F2476"/>
    <w:rsid w:val="002F3DFF"/>
    <w:rsid w:val="002F5E05"/>
    <w:rsid w:val="002F77CE"/>
    <w:rsid w:val="003019DA"/>
    <w:rsid w:val="00307A76"/>
    <w:rsid w:val="00312A6B"/>
    <w:rsid w:val="0031455E"/>
    <w:rsid w:val="00315A16"/>
    <w:rsid w:val="00317053"/>
    <w:rsid w:val="003177F4"/>
    <w:rsid w:val="0032109C"/>
    <w:rsid w:val="00322B45"/>
    <w:rsid w:val="00322CB4"/>
    <w:rsid w:val="00323809"/>
    <w:rsid w:val="00323D41"/>
    <w:rsid w:val="00325414"/>
    <w:rsid w:val="003302F1"/>
    <w:rsid w:val="003348F5"/>
    <w:rsid w:val="0034470E"/>
    <w:rsid w:val="00352DB0"/>
    <w:rsid w:val="00352E07"/>
    <w:rsid w:val="00353170"/>
    <w:rsid w:val="0035706B"/>
    <w:rsid w:val="00361063"/>
    <w:rsid w:val="00366554"/>
    <w:rsid w:val="0037094A"/>
    <w:rsid w:val="00371D92"/>
    <w:rsid w:val="00371ED3"/>
    <w:rsid w:val="00372659"/>
    <w:rsid w:val="00372A6C"/>
    <w:rsid w:val="00372FFC"/>
    <w:rsid w:val="00373693"/>
    <w:rsid w:val="00374169"/>
    <w:rsid w:val="0037728A"/>
    <w:rsid w:val="00380B7D"/>
    <w:rsid w:val="00381A99"/>
    <w:rsid w:val="003829C2"/>
    <w:rsid w:val="003830B2"/>
    <w:rsid w:val="00384724"/>
    <w:rsid w:val="00386406"/>
    <w:rsid w:val="003877C9"/>
    <w:rsid w:val="003919B7"/>
    <w:rsid w:val="00391D57"/>
    <w:rsid w:val="00392292"/>
    <w:rsid w:val="00394F45"/>
    <w:rsid w:val="003951B8"/>
    <w:rsid w:val="00395F47"/>
    <w:rsid w:val="003A13EC"/>
    <w:rsid w:val="003A5927"/>
    <w:rsid w:val="003B1017"/>
    <w:rsid w:val="003B3C07"/>
    <w:rsid w:val="003B6081"/>
    <w:rsid w:val="003B6713"/>
    <w:rsid w:val="003B6775"/>
    <w:rsid w:val="003C21D0"/>
    <w:rsid w:val="003C5FE2"/>
    <w:rsid w:val="003D05FB"/>
    <w:rsid w:val="003D1B16"/>
    <w:rsid w:val="003D45BF"/>
    <w:rsid w:val="003D508A"/>
    <w:rsid w:val="003D537F"/>
    <w:rsid w:val="003D60B1"/>
    <w:rsid w:val="003D7B75"/>
    <w:rsid w:val="003D7D82"/>
    <w:rsid w:val="003E0208"/>
    <w:rsid w:val="003E0691"/>
    <w:rsid w:val="003E4B57"/>
    <w:rsid w:val="003F27E1"/>
    <w:rsid w:val="003F31E5"/>
    <w:rsid w:val="003F437A"/>
    <w:rsid w:val="003F5921"/>
    <w:rsid w:val="003F5A28"/>
    <w:rsid w:val="003F5C2B"/>
    <w:rsid w:val="00402240"/>
    <w:rsid w:val="004023E9"/>
    <w:rsid w:val="0040454A"/>
    <w:rsid w:val="00404D09"/>
    <w:rsid w:val="00405518"/>
    <w:rsid w:val="004066E8"/>
    <w:rsid w:val="004105A7"/>
    <w:rsid w:val="0041329C"/>
    <w:rsid w:val="00413F83"/>
    <w:rsid w:val="0041490C"/>
    <w:rsid w:val="004154B3"/>
    <w:rsid w:val="00416191"/>
    <w:rsid w:val="00416721"/>
    <w:rsid w:val="00421EF0"/>
    <w:rsid w:val="004224FA"/>
    <w:rsid w:val="004233FB"/>
    <w:rsid w:val="00423D07"/>
    <w:rsid w:val="004256D2"/>
    <w:rsid w:val="004271F2"/>
    <w:rsid w:val="00427936"/>
    <w:rsid w:val="004374CE"/>
    <w:rsid w:val="00440734"/>
    <w:rsid w:val="004408EA"/>
    <w:rsid w:val="00441521"/>
    <w:rsid w:val="0044346F"/>
    <w:rsid w:val="004438D9"/>
    <w:rsid w:val="00443C87"/>
    <w:rsid w:val="00445814"/>
    <w:rsid w:val="00450AA0"/>
    <w:rsid w:val="004518EE"/>
    <w:rsid w:val="00453FF6"/>
    <w:rsid w:val="004603CA"/>
    <w:rsid w:val="00462B0B"/>
    <w:rsid w:val="00463E79"/>
    <w:rsid w:val="004648BC"/>
    <w:rsid w:val="0046520A"/>
    <w:rsid w:val="004671C7"/>
    <w:rsid w:val="004672AB"/>
    <w:rsid w:val="004714FE"/>
    <w:rsid w:val="00472A5F"/>
    <w:rsid w:val="00472A76"/>
    <w:rsid w:val="004762C5"/>
    <w:rsid w:val="00477BAA"/>
    <w:rsid w:val="00480C98"/>
    <w:rsid w:val="004853C8"/>
    <w:rsid w:val="00495053"/>
    <w:rsid w:val="0049690B"/>
    <w:rsid w:val="00496D95"/>
    <w:rsid w:val="004A1F59"/>
    <w:rsid w:val="004A26F8"/>
    <w:rsid w:val="004A29BE"/>
    <w:rsid w:val="004A3225"/>
    <w:rsid w:val="004A33EE"/>
    <w:rsid w:val="004A3AA8"/>
    <w:rsid w:val="004A6F3E"/>
    <w:rsid w:val="004B13C7"/>
    <w:rsid w:val="004B1EE7"/>
    <w:rsid w:val="004B730F"/>
    <w:rsid w:val="004B778F"/>
    <w:rsid w:val="004C0609"/>
    <w:rsid w:val="004C2E48"/>
    <w:rsid w:val="004C639F"/>
    <w:rsid w:val="004D141F"/>
    <w:rsid w:val="004D2742"/>
    <w:rsid w:val="004D6310"/>
    <w:rsid w:val="004E0062"/>
    <w:rsid w:val="004E056A"/>
    <w:rsid w:val="004E05A1"/>
    <w:rsid w:val="004E6555"/>
    <w:rsid w:val="004E6873"/>
    <w:rsid w:val="004E79FC"/>
    <w:rsid w:val="004E7F21"/>
    <w:rsid w:val="004F4224"/>
    <w:rsid w:val="004F472A"/>
    <w:rsid w:val="004F47EB"/>
    <w:rsid w:val="004F5E57"/>
    <w:rsid w:val="004F6710"/>
    <w:rsid w:val="004F6B01"/>
    <w:rsid w:val="004F7DEB"/>
    <w:rsid w:val="00500C3E"/>
    <w:rsid w:val="005014D8"/>
    <w:rsid w:val="00502849"/>
    <w:rsid w:val="00504334"/>
    <w:rsid w:val="0050498D"/>
    <w:rsid w:val="005104D7"/>
    <w:rsid w:val="00510B9E"/>
    <w:rsid w:val="00514A93"/>
    <w:rsid w:val="00516AB1"/>
    <w:rsid w:val="005218F1"/>
    <w:rsid w:val="005224F2"/>
    <w:rsid w:val="00533AD9"/>
    <w:rsid w:val="00536BC2"/>
    <w:rsid w:val="005377D7"/>
    <w:rsid w:val="005425E1"/>
    <w:rsid w:val="005427C5"/>
    <w:rsid w:val="00542CF6"/>
    <w:rsid w:val="00545844"/>
    <w:rsid w:val="005468A5"/>
    <w:rsid w:val="00547A8A"/>
    <w:rsid w:val="00553C03"/>
    <w:rsid w:val="005548E7"/>
    <w:rsid w:val="00555595"/>
    <w:rsid w:val="00560279"/>
    <w:rsid w:val="00560DDA"/>
    <w:rsid w:val="00563014"/>
    <w:rsid w:val="00563692"/>
    <w:rsid w:val="00567349"/>
    <w:rsid w:val="00567B34"/>
    <w:rsid w:val="00571679"/>
    <w:rsid w:val="00572794"/>
    <w:rsid w:val="00572F04"/>
    <w:rsid w:val="005750E3"/>
    <w:rsid w:val="005805DC"/>
    <w:rsid w:val="00584235"/>
    <w:rsid w:val="005844E7"/>
    <w:rsid w:val="00584A97"/>
    <w:rsid w:val="005908B8"/>
    <w:rsid w:val="00590F23"/>
    <w:rsid w:val="0059244E"/>
    <w:rsid w:val="0059512E"/>
    <w:rsid w:val="00595C09"/>
    <w:rsid w:val="00595E25"/>
    <w:rsid w:val="00595EC7"/>
    <w:rsid w:val="005A375B"/>
    <w:rsid w:val="005A6DD2"/>
    <w:rsid w:val="005B4A0D"/>
    <w:rsid w:val="005C385D"/>
    <w:rsid w:val="005C403C"/>
    <w:rsid w:val="005C6E9B"/>
    <w:rsid w:val="005D1445"/>
    <w:rsid w:val="005D3B20"/>
    <w:rsid w:val="005D455F"/>
    <w:rsid w:val="005D71B7"/>
    <w:rsid w:val="005E0F94"/>
    <w:rsid w:val="005E22D8"/>
    <w:rsid w:val="005E4759"/>
    <w:rsid w:val="005E5C68"/>
    <w:rsid w:val="005E65C0"/>
    <w:rsid w:val="005F0390"/>
    <w:rsid w:val="0060083B"/>
    <w:rsid w:val="00606ECD"/>
    <w:rsid w:val="006072CD"/>
    <w:rsid w:val="00612023"/>
    <w:rsid w:val="00613E41"/>
    <w:rsid w:val="00614190"/>
    <w:rsid w:val="00614343"/>
    <w:rsid w:val="00615E1A"/>
    <w:rsid w:val="00622A99"/>
    <w:rsid w:val="00622E67"/>
    <w:rsid w:val="00626B57"/>
    <w:rsid w:val="00626EDC"/>
    <w:rsid w:val="00631B2D"/>
    <w:rsid w:val="006452D3"/>
    <w:rsid w:val="00646E6E"/>
    <w:rsid w:val="006470EC"/>
    <w:rsid w:val="006542D6"/>
    <w:rsid w:val="0065598E"/>
    <w:rsid w:val="00655AF2"/>
    <w:rsid w:val="00655BC5"/>
    <w:rsid w:val="006568BE"/>
    <w:rsid w:val="0065749D"/>
    <w:rsid w:val="0066025D"/>
    <w:rsid w:val="0066091A"/>
    <w:rsid w:val="006773EC"/>
    <w:rsid w:val="00680504"/>
    <w:rsid w:val="00681CD9"/>
    <w:rsid w:val="00683E30"/>
    <w:rsid w:val="00684317"/>
    <w:rsid w:val="00687024"/>
    <w:rsid w:val="006923D2"/>
    <w:rsid w:val="00693749"/>
    <w:rsid w:val="00695E22"/>
    <w:rsid w:val="006A0CDD"/>
    <w:rsid w:val="006A4478"/>
    <w:rsid w:val="006B6378"/>
    <w:rsid w:val="006B7093"/>
    <w:rsid w:val="006B7417"/>
    <w:rsid w:val="006C6C08"/>
    <w:rsid w:val="006D31F9"/>
    <w:rsid w:val="006D3691"/>
    <w:rsid w:val="006D3801"/>
    <w:rsid w:val="006D3961"/>
    <w:rsid w:val="006D7A66"/>
    <w:rsid w:val="006E5EF0"/>
    <w:rsid w:val="006E73F0"/>
    <w:rsid w:val="006F3117"/>
    <w:rsid w:val="006F3563"/>
    <w:rsid w:val="006F42B9"/>
    <w:rsid w:val="006F6103"/>
    <w:rsid w:val="006F676B"/>
    <w:rsid w:val="00704E00"/>
    <w:rsid w:val="007053DB"/>
    <w:rsid w:val="00714FF8"/>
    <w:rsid w:val="00716514"/>
    <w:rsid w:val="00717F34"/>
    <w:rsid w:val="007209E7"/>
    <w:rsid w:val="007257C1"/>
    <w:rsid w:val="00726182"/>
    <w:rsid w:val="00726504"/>
    <w:rsid w:val="00727635"/>
    <w:rsid w:val="00732329"/>
    <w:rsid w:val="007337CA"/>
    <w:rsid w:val="00734CE4"/>
    <w:rsid w:val="00735123"/>
    <w:rsid w:val="00735967"/>
    <w:rsid w:val="00737DEF"/>
    <w:rsid w:val="00741287"/>
    <w:rsid w:val="00741837"/>
    <w:rsid w:val="00744035"/>
    <w:rsid w:val="007443A9"/>
    <w:rsid w:val="007453E6"/>
    <w:rsid w:val="00746A93"/>
    <w:rsid w:val="00754789"/>
    <w:rsid w:val="00770453"/>
    <w:rsid w:val="0077146F"/>
    <w:rsid w:val="0077309D"/>
    <w:rsid w:val="00773831"/>
    <w:rsid w:val="007774EE"/>
    <w:rsid w:val="00781822"/>
    <w:rsid w:val="00781B29"/>
    <w:rsid w:val="00783F21"/>
    <w:rsid w:val="00786AE0"/>
    <w:rsid w:val="00787159"/>
    <w:rsid w:val="007878C4"/>
    <w:rsid w:val="0079043A"/>
    <w:rsid w:val="00791668"/>
    <w:rsid w:val="00791AA1"/>
    <w:rsid w:val="007A2C8C"/>
    <w:rsid w:val="007A2D18"/>
    <w:rsid w:val="007A3793"/>
    <w:rsid w:val="007B29B0"/>
    <w:rsid w:val="007B67E9"/>
    <w:rsid w:val="007C1BA2"/>
    <w:rsid w:val="007C2B48"/>
    <w:rsid w:val="007C3511"/>
    <w:rsid w:val="007C53A7"/>
    <w:rsid w:val="007C6CD0"/>
    <w:rsid w:val="007D0CCF"/>
    <w:rsid w:val="007D1421"/>
    <w:rsid w:val="007D1C18"/>
    <w:rsid w:val="007D20E9"/>
    <w:rsid w:val="007D363D"/>
    <w:rsid w:val="007D7881"/>
    <w:rsid w:val="007D7E3A"/>
    <w:rsid w:val="007E0E10"/>
    <w:rsid w:val="007E35CF"/>
    <w:rsid w:val="007E4768"/>
    <w:rsid w:val="007E4DB1"/>
    <w:rsid w:val="007E777B"/>
    <w:rsid w:val="007F19C2"/>
    <w:rsid w:val="007F2070"/>
    <w:rsid w:val="007F63C1"/>
    <w:rsid w:val="007F6FD1"/>
    <w:rsid w:val="00801B15"/>
    <w:rsid w:val="00802140"/>
    <w:rsid w:val="008053F5"/>
    <w:rsid w:val="00806E65"/>
    <w:rsid w:val="00807AF7"/>
    <w:rsid w:val="00810198"/>
    <w:rsid w:val="00812566"/>
    <w:rsid w:val="00815DA8"/>
    <w:rsid w:val="008212AC"/>
    <w:rsid w:val="0082194D"/>
    <w:rsid w:val="008221F9"/>
    <w:rsid w:val="00822C04"/>
    <w:rsid w:val="00826EF5"/>
    <w:rsid w:val="00831443"/>
    <w:rsid w:val="00831693"/>
    <w:rsid w:val="00831EBD"/>
    <w:rsid w:val="00834CFB"/>
    <w:rsid w:val="00836537"/>
    <w:rsid w:val="00836764"/>
    <w:rsid w:val="00840104"/>
    <w:rsid w:val="00840C1F"/>
    <w:rsid w:val="008411C9"/>
    <w:rsid w:val="00841FC5"/>
    <w:rsid w:val="0084293C"/>
    <w:rsid w:val="00843D0F"/>
    <w:rsid w:val="00845709"/>
    <w:rsid w:val="008560BE"/>
    <w:rsid w:val="008576BD"/>
    <w:rsid w:val="00860463"/>
    <w:rsid w:val="00867E42"/>
    <w:rsid w:val="00872E93"/>
    <w:rsid w:val="008733DA"/>
    <w:rsid w:val="00883386"/>
    <w:rsid w:val="008850E4"/>
    <w:rsid w:val="00886C0D"/>
    <w:rsid w:val="008939AB"/>
    <w:rsid w:val="008A12F5"/>
    <w:rsid w:val="008A5275"/>
    <w:rsid w:val="008A57C2"/>
    <w:rsid w:val="008A7F21"/>
    <w:rsid w:val="008B00FC"/>
    <w:rsid w:val="008B1587"/>
    <w:rsid w:val="008B1B01"/>
    <w:rsid w:val="008B3BCD"/>
    <w:rsid w:val="008B3C82"/>
    <w:rsid w:val="008B6617"/>
    <w:rsid w:val="008B6DF8"/>
    <w:rsid w:val="008C106C"/>
    <w:rsid w:val="008C10F1"/>
    <w:rsid w:val="008C1926"/>
    <w:rsid w:val="008C1E99"/>
    <w:rsid w:val="008E0085"/>
    <w:rsid w:val="008E1076"/>
    <w:rsid w:val="008E1164"/>
    <w:rsid w:val="008E2AA6"/>
    <w:rsid w:val="008E311B"/>
    <w:rsid w:val="008E69CD"/>
    <w:rsid w:val="008F2F6D"/>
    <w:rsid w:val="008F46E7"/>
    <w:rsid w:val="008F64CA"/>
    <w:rsid w:val="008F6F0B"/>
    <w:rsid w:val="008F7E4B"/>
    <w:rsid w:val="009021AE"/>
    <w:rsid w:val="00907BA7"/>
    <w:rsid w:val="0091064E"/>
    <w:rsid w:val="00911FC5"/>
    <w:rsid w:val="00915AB9"/>
    <w:rsid w:val="009314BC"/>
    <w:rsid w:val="00931A10"/>
    <w:rsid w:val="00935E44"/>
    <w:rsid w:val="00936E6E"/>
    <w:rsid w:val="00940A9D"/>
    <w:rsid w:val="009464E4"/>
    <w:rsid w:val="00947967"/>
    <w:rsid w:val="00947C8F"/>
    <w:rsid w:val="00947D3D"/>
    <w:rsid w:val="00955201"/>
    <w:rsid w:val="00961C47"/>
    <w:rsid w:val="00965200"/>
    <w:rsid w:val="009668B3"/>
    <w:rsid w:val="00971471"/>
    <w:rsid w:val="0097224D"/>
    <w:rsid w:val="009845B6"/>
    <w:rsid w:val="009849C2"/>
    <w:rsid w:val="00984D24"/>
    <w:rsid w:val="009858EB"/>
    <w:rsid w:val="009867A5"/>
    <w:rsid w:val="009877B0"/>
    <w:rsid w:val="009878CF"/>
    <w:rsid w:val="00987AFE"/>
    <w:rsid w:val="00991610"/>
    <w:rsid w:val="00996CFB"/>
    <w:rsid w:val="009A099D"/>
    <w:rsid w:val="009A2F6C"/>
    <w:rsid w:val="009A3F47"/>
    <w:rsid w:val="009B0046"/>
    <w:rsid w:val="009B2FAB"/>
    <w:rsid w:val="009B5470"/>
    <w:rsid w:val="009B7181"/>
    <w:rsid w:val="009C1440"/>
    <w:rsid w:val="009C2107"/>
    <w:rsid w:val="009C56A3"/>
    <w:rsid w:val="009C5D9E"/>
    <w:rsid w:val="009D2277"/>
    <w:rsid w:val="009D2C3E"/>
    <w:rsid w:val="009D53A9"/>
    <w:rsid w:val="009D5CC8"/>
    <w:rsid w:val="009E0625"/>
    <w:rsid w:val="009E3034"/>
    <w:rsid w:val="009E549F"/>
    <w:rsid w:val="009E590A"/>
    <w:rsid w:val="009F28A8"/>
    <w:rsid w:val="009F473E"/>
    <w:rsid w:val="009F5247"/>
    <w:rsid w:val="009F682A"/>
    <w:rsid w:val="00A022BE"/>
    <w:rsid w:val="00A02AD2"/>
    <w:rsid w:val="00A07B4B"/>
    <w:rsid w:val="00A15188"/>
    <w:rsid w:val="00A24C95"/>
    <w:rsid w:val="00A2599A"/>
    <w:rsid w:val="00A26094"/>
    <w:rsid w:val="00A279EC"/>
    <w:rsid w:val="00A301BF"/>
    <w:rsid w:val="00A302B2"/>
    <w:rsid w:val="00A331B4"/>
    <w:rsid w:val="00A3484E"/>
    <w:rsid w:val="00A356D3"/>
    <w:rsid w:val="00A36ADA"/>
    <w:rsid w:val="00A374C3"/>
    <w:rsid w:val="00A37C4D"/>
    <w:rsid w:val="00A407A8"/>
    <w:rsid w:val="00A428D6"/>
    <w:rsid w:val="00A438D8"/>
    <w:rsid w:val="00A473F5"/>
    <w:rsid w:val="00A51EAC"/>
    <w:rsid w:val="00A51F9D"/>
    <w:rsid w:val="00A5416A"/>
    <w:rsid w:val="00A54A64"/>
    <w:rsid w:val="00A639F4"/>
    <w:rsid w:val="00A65864"/>
    <w:rsid w:val="00A65FAE"/>
    <w:rsid w:val="00A72805"/>
    <w:rsid w:val="00A81A32"/>
    <w:rsid w:val="00A835BD"/>
    <w:rsid w:val="00A85101"/>
    <w:rsid w:val="00A97AFF"/>
    <w:rsid w:val="00A97B15"/>
    <w:rsid w:val="00A97D4B"/>
    <w:rsid w:val="00AA1C06"/>
    <w:rsid w:val="00AA27B0"/>
    <w:rsid w:val="00AA42D5"/>
    <w:rsid w:val="00AA47AD"/>
    <w:rsid w:val="00AA590C"/>
    <w:rsid w:val="00AA717B"/>
    <w:rsid w:val="00AB2FAB"/>
    <w:rsid w:val="00AB5C14"/>
    <w:rsid w:val="00AC1EE7"/>
    <w:rsid w:val="00AC333F"/>
    <w:rsid w:val="00AC585C"/>
    <w:rsid w:val="00AC5CA6"/>
    <w:rsid w:val="00AC6476"/>
    <w:rsid w:val="00AD05BD"/>
    <w:rsid w:val="00AD1925"/>
    <w:rsid w:val="00AD23DA"/>
    <w:rsid w:val="00AD62A5"/>
    <w:rsid w:val="00AE067D"/>
    <w:rsid w:val="00AE0CEE"/>
    <w:rsid w:val="00AF00E7"/>
    <w:rsid w:val="00AF1181"/>
    <w:rsid w:val="00AF2F79"/>
    <w:rsid w:val="00AF3D0C"/>
    <w:rsid w:val="00AF4653"/>
    <w:rsid w:val="00AF7DB7"/>
    <w:rsid w:val="00B02DB7"/>
    <w:rsid w:val="00B04837"/>
    <w:rsid w:val="00B10D02"/>
    <w:rsid w:val="00B12E21"/>
    <w:rsid w:val="00B13D5D"/>
    <w:rsid w:val="00B201E2"/>
    <w:rsid w:val="00B23CD8"/>
    <w:rsid w:val="00B30F23"/>
    <w:rsid w:val="00B31DE0"/>
    <w:rsid w:val="00B332FA"/>
    <w:rsid w:val="00B33324"/>
    <w:rsid w:val="00B35FA8"/>
    <w:rsid w:val="00B4266C"/>
    <w:rsid w:val="00B443E4"/>
    <w:rsid w:val="00B45122"/>
    <w:rsid w:val="00B505BB"/>
    <w:rsid w:val="00B51383"/>
    <w:rsid w:val="00B5484D"/>
    <w:rsid w:val="00B563EA"/>
    <w:rsid w:val="00B56CDF"/>
    <w:rsid w:val="00B60E51"/>
    <w:rsid w:val="00B6169D"/>
    <w:rsid w:val="00B618E2"/>
    <w:rsid w:val="00B63A54"/>
    <w:rsid w:val="00B673CB"/>
    <w:rsid w:val="00B72F76"/>
    <w:rsid w:val="00B75119"/>
    <w:rsid w:val="00B77D18"/>
    <w:rsid w:val="00B8313A"/>
    <w:rsid w:val="00B92A67"/>
    <w:rsid w:val="00B93503"/>
    <w:rsid w:val="00BA2B4A"/>
    <w:rsid w:val="00BA31E8"/>
    <w:rsid w:val="00BA3372"/>
    <w:rsid w:val="00BA55E0"/>
    <w:rsid w:val="00BA6BD4"/>
    <w:rsid w:val="00BA6C7A"/>
    <w:rsid w:val="00BB0461"/>
    <w:rsid w:val="00BB0F0D"/>
    <w:rsid w:val="00BB17D1"/>
    <w:rsid w:val="00BB2495"/>
    <w:rsid w:val="00BB3752"/>
    <w:rsid w:val="00BB61C2"/>
    <w:rsid w:val="00BB6688"/>
    <w:rsid w:val="00BB68E1"/>
    <w:rsid w:val="00BC26D4"/>
    <w:rsid w:val="00BC39FD"/>
    <w:rsid w:val="00BC567B"/>
    <w:rsid w:val="00BD5E5A"/>
    <w:rsid w:val="00BD7E0A"/>
    <w:rsid w:val="00BE0C80"/>
    <w:rsid w:val="00BE4A6E"/>
    <w:rsid w:val="00BF14BC"/>
    <w:rsid w:val="00BF2A42"/>
    <w:rsid w:val="00BF4F56"/>
    <w:rsid w:val="00BF5A63"/>
    <w:rsid w:val="00C02B19"/>
    <w:rsid w:val="00C03D42"/>
    <w:rsid w:val="00C03D8C"/>
    <w:rsid w:val="00C055EC"/>
    <w:rsid w:val="00C10DC9"/>
    <w:rsid w:val="00C12FB3"/>
    <w:rsid w:val="00C135CF"/>
    <w:rsid w:val="00C17341"/>
    <w:rsid w:val="00C22500"/>
    <w:rsid w:val="00C24EEF"/>
    <w:rsid w:val="00C25A0B"/>
    <w:rsid w:val="00C25CF6"/>
    <w:rsid w:val="00C26C36"/>
    <w:rsid w:val="00C32768"/>
    <w:rsid w:val="00C350DE"/>
    <w:rsid w:val="00C35E8E"/>
    <w:rsid w:val="00C431DF"/>
    <w:rsid w:val="00C4415D"/>
    <w:rsid w:val="00C456BD"/>
    <w:rsid w:val="00C4589C"/>
    <w:rsid w:val="00C460B3"/>
    <w:rsid w:val="00C50435"/>
    <w:rsid w:val="00C52C78"/>
    <w:rsid w:val="00C530DC"/>
    <w:rsid w:val="00C5350D"/>
    <w:rsid w:val="00C54D9C"/>
    <w:rsid w:val="00C56D0F"/>
    <w:rsid w:val="00C6123C"/>
    <w:rsid w:val="00C6187A"/>
    <w:rsid w:val="00C6311A"/>
    <w:rsid w:val="00C6329C"/>
    <w:rsid w:val="00C66F1A"/>
    <w:rsid w:val="00C7084D"/>
    <w:rsid w:val="00C71945"/>
    <w:rsid w:val="00C7315E"/>
    <w:rsid w:val="00C75895"/>
    <w:rsid w:val="00C76073"/>
    <w:rsid w:val="00C77E43"/>
    <w:rsid w:val="00C801A1"/>
    <w:rsid w:val="00C8132A"/>
    <w:rsid w:val="00C83605"/>
    <w:rsid w:val="00C83C9F"/>
    <w:rsid w:val="00C91C4C"/>
    <w:rsid w:val="00C93A6E"/>
    <w:rsid w:val="00C94519"/>
    <w:rsid w:val="00C94840"/>
    <w:rsid w:val="00CA19D4"/>
    <w:rsid w:val="00CA4EE3"/>
    <w:rsid w:val="00CA500E"/>
    <w:rsid w:val="00CB027F"/>
    <w:rsid w:val="00CB2C7D"/>
    <w:rsid w:val="00CC0EBB"/>
    <w:rsid w:val="00CC6297"/>
    <w:rsid w:val="00CC7690"/>
    <w:rsid w:val="00CD12C4"/>
    <w:rsid w:val="00CD1986"/>
    <w:rsid w:val="00CD54BF"/>
    <w:rsid w:val="00CD7BEC"/>
    <w:rsid w:val="00CE23C7"/>
    <w:rsid w:val="00CE4B4F"/>
    <w:rsid w:val="00CE4D5C"/>
    <w:rsid w:val="00CE4E2B"/>
    <w:rsid w:val="00CF05DA"/>
    <w:rsid w:val="00CF2DE8"/>
    <w:rsid w:val="00CF58EB"/>
    <w:rsid w:val="00CF6FEC"/>
    <w:rsid w:val="00D0106E"/>
    <w:rsid w:val="00D05F37"/>
    <w:rsid w:val="00D06383"/>
    <w:rsid w:val="00D20D26"/>
    <w:rsid w:val="00D20E85"/>
    <w:rsid w:val="00D216D0"/>
    <w:rsid w:val="00D24615"/>
    <w:rsid w:val="00D33FE7"/>
    <w:rsid w:val="00D36981"/>
    <w:rsid w:val="00D36C85"/>
    <w:rsid w:val="00D37842"/>
    <w:rsid w:val="00D42DC2"/>
    <w:rsid w:val="00D4302B"/>
    <w:rsid w:val="00D46BBC"/>
    <w:rsid w:val="00D51B14"/>
    <w:rsid w:val="00D52BE4"/>
    <w:rsid w:val="00D52EAA"/>
    <w:rsid w:val="00D537E1"/>
    <w:rsid w:val="00D55BB2"/>
    <w:rsid w:val="00D56872"/>
    <w:rsid w:val="00D60203"/>
    <w:rsid w:val="00D6091A"/>
    <w:rsid w:val="00D638C9"/>
    <w:rsid w:val="00D6605A"/>
    <w:rsid w:val="00D6695F"/>
    <w:rsid w:val="00D67447"/>
    <w:rsid w:val="00D734DD"/>
    <w:rsid w:val="00D75644"/>
    <w:rsid w:val="00D8029E"/>
    <w:rsid w:val="00D813CF"/>
    <w:rsid w:val="00D81656"/>
    <w:rsid w:val="00D83D87"/>
    <w:rsid w:val="00D84A6D"/>
    <w:rsid w:val="00D86A30"/>
    <w:rsid w:val="00D86B6C"/>
    <w:rsid w:val="00D900EA"/>
    <w:rsid w:val="00D97CB4"/>
    <w:rsid w:val="00D97CE5"/>
    <w:rsid w:val="00D97DD4"/>
    <w:rsid w:val="00DA41C8"/>
    <w:rsid w:val="00DA5013"/>
    <w:rsid w:val="00DA529B"/>
    <w:rsid w:val="00DA5A8A"/>
    <w:rsid w:val="00DB0021"/>
    <w:rsid w:val="00DB0754"/>
    <w:rsid w:val="00DB1170"/>
    <w:rsid w:val="00DB1916"/>
    <w:rsid w:val="00DB26CD"/>
    <w:rsid w:val="00DB441C"/>
    <w:rsid w:val="00DB44AF"/>
    <w:rsid w:val="00DC1F58"/>
    <w:rsid w:val="00DC339B"/>
    <w:rsid w:val="00DC5D40"/>
    <w:rsid w:val="00DC6864"/>
    <w:rsid w:val="00DC69A7"/>
    <w:rsid w:val="00DD30E9"/>
    <w:rsid w:val="00DD4F47"/>
    <w:rsid w:val="00DD7FBB"/>
    <w:rsid w:val="00DE098B"/>
    <w:rsid w:val="00DE0B9F"/>
    <w:rsid w:val="00DE2A9E"/>
    <w:rsid w:val="00DE4238"/>
    <w:rsid w:val="00DE657F"/>
    <w:rsid w:val="00DE66F6"/>
    <w:rsid w:val="00DF1218"/>
    <w:rsid w:val="00DF6462"/>
    <w:rsid w:val="00E02FA0"/>
    <w:rsid w:val="00E036DC"/>
    <w:rsid w:val="00E04AF4"/>
    <w:rsid w:val="00E05DFA"/>
    <w:rsid w:val="00E0722A"/>
    <w:rsid w:val="00E10454"/>
    <w:rsid w:val="00E112E5"/>
    <w:rsid w:val="00E1221E"/>
    <w:rsid w:val="00E122D8"/>
    <w:rsid w:val="00E12CC8"/>
    <w:rsid w:val="00E12F6D"/>
    <w:rsid w:val="00E15352"/>
    <w:rsid w:val="00E21CC7"/>
    <w:rsid w:val="00E24D9E"/>
    <w:rsid w:val="00E252C5"/>
    <w:rsid w:val="00E25849"/>
    <w:rsid w:val="00E3197E"/>
    <w:rsid w:val="00E31FF4"/>
    <w:rsid w:val="00E342F8"/>
    <w:rsid w:val="00E351ED"/>
    <w:rsid w:val="00E37904"/>
    <w:rsid w:val="00E4022D"/>
    <w:rsid w:val="00E42B19"/>
    <w:rsid w:val="00E44748"/>
    <w:rsid w:val="00E46443"/>
    <w:rsid w:val="00E52C91"/>
    <w:rsid w:val="00E54E9E"/>
    <w:rsid w:val="00E54FC8"/>
    <w:rsid w:val="00E602EF"/>
    <w:rsid w:val="00E6034B"/>
    <w:rsid w:val="00E61D24"/>
    <w:rsid w:val="00E62865"/>
    <w:rsid w:val="00E6549E"/>
    <w:rsid w:val="00E65EDE"/>
    <w:rsid w:val="00E70F81"/>
    <w:rsid w:val="00E73FD5"/>
    <w:rsid w:val="00E77055"/>
    <w:rsid w:val="00E77460"/>
    <w:rsid w:val="00E801A7"/>
    <w:rsid w:val="00E83ABC"/>
    <w:rsid w:val="00E844F2"/>
    <w:rsid w:val="00E84B96"/>
    <w:rsid w:val="00E87E3B"/>
    <w:rsid w:val="00E90AD0"/>
    <w:rsid w:val="00E92FCB"/>
    <w:rsid w:val="00E94FA6"/>
    <w:rsid w:val="00EA147F"/>
    <w:rsid w:val="00EA253D"/>
    <w:rsid w:val="00EA2FB7"/>
    <w:rsid w:val="00EA4A27"/>
    <w:rsid w:val="00EA4FA6"/>
    <w:rsid w:val="00EB086C"/>
    <w:rsid w:val="00EB1A25"/>
    <w:rsid w:val="00EB240D"/>
    <w:rsid w:val="00EC1CC4"/>
    <w:rsid w:val="00EC53E6"/>
    <w:rsid w:val="00EC7363"/>
    <w:rsid w:val="00ED03AB"/>
    <w:rsid w:val="00ED1963"/>
    <w:rsid w:val="00ED1CD4"/>
    <w:rsid w:val="00ED1D2B"/>
    <w:rsid w:val="00ED64B5"/>
    <w:rsid w:val="00EE0800"/>
    <w:rsid w:val="00EE2AA2"/>
    <w:rsid w:val="00EE7CCA"/>
    <w:rsid w:val="00F06E53"/>
    <w:rsid w:val="00F07F82"/>
    <w:rsid w:val="00F10D29"/>
    <w:rsid w:val="00F12905"/>
    <w:rsid w:val="00F16A14"/>
    <w:rsid w:val="00F32E2A"/>
    <w:rsid w:val="00F362D7"/>
    <w:rsid w:val="00F36393"/>
    <w:rsid w:val="00F37D7B"/>
    <w:rsid w:val="00F44AE7"/>
    <w:rsid w:val="00F45F55"/>
    <w:rsid w:val="00F5314C"/>
    <w:rsid w:val="00F5688C"/>
    <w:rsid w:val="00F60048"/>
    <w:rsid w:val="00F635DD"/>
    <w:rsid w:val="00F6627B"/>
    <w:rsid w:val="00F6728E"/>
    <w:rsid w:val="00F7336E"/>
    <w:rsid w:val="00F734F2"/>
    <w:rsid w:val="00F75052"/>
    <w:rsid w:val="00F803D0"/>
    <w:rsid w:val="00F804D3"/>
    <w:rsid w:val="00F816CB"/>
    <w:rsid w:val="00F81CD2"/>
    <w:rsid w:val="00F82641"/>
    <w:rsid w:val="00F90F18"/>
    <w:rsid w:val="00F937E4"/>
    <w:rsid w:val="00F95EE7"/>
    <w:rsid w:val="00FA39E6"/>
    <w:rsid w:val="00FA7BC9"/>
    <w:rsid w:val="00FB0B4A"/>
    <w:rsid w:val="00FB378E"/>
    <w:rsid w:val="00FB37F1"/>
    <w:rsid w:val="00FB47C0"/>
    <w:rsid w:val="00FB501B"/>
    <w:rsid w:val="00FB719A"/>
    <w:rsid w:val="00FB7770"/>
    <w:rsid w:val="00FC03C0"/>
    <w:rsid w:val="00FC2993"/>
    <w:rsid w:val="00FD0498"/>
    <w:rsid w:val="00FD3B91"/>
    <w:rsid w:val="00FD576B"/>
    <w:rsid w:val="00FD579E"/>
    <w:rsid w:val="00FD6845"/>
    <w:rsid w:val="00FE20EB"/>
    <w:rsid w:val="00FE4516"/>
    <w:rsid w:val="00FE48C9"/>
    <w:rsid w:val="00FE52B1"/>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1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233FB"/>
    <w:pPr>
      <w:snapToGrid w:val="0"/>
      <w:jc w:val="left"/>
    </w:pPr>
    <w:rPr>
      <w:sz w:val="20"/>
    </w:rPr>
  </w:style>
  <w:style w:type="character" w:customStyle="1" w:styleId="afd">
    <w:name w:val="註腳文字 字元"/>
    <w:basedOn w:val="a7"/>
    <w:link w:val="afc"/>
    <w:uiPriority w:val="99"/>
    <w:rsid w:val="004233FB"/>
    <w:rPr>
      <w:rFonts w:ascii="標楷體" w:eastAsia="標楷體"/>
      <w:kern w:val="2"/>
    </w:rPr>
  </w:style>
  <w:style w:type="character" w:styleId="afe">
    <w:name w:val="footnote reference"/>
    <w:basedOn w:val="a7"/>
    <w:uiPriority w:val="99"/>
    <w:semiHidden/>
    <w:unhideWhenUsed/>
    <w:rsid w:val="004233FB"/>
    <w:rPr>
      <w:vertAlign w:val="superscript"/>
    </w:rPr>
  </w:style>
  <w:style w:type="paragraph" w:customStyle="1" w:styleId="15">
    <w:name w:val="15"/>
    <w:basedOn w:val="a6"/>
    <w:rsid w:val="00022652"/>
    <w:pPr>
      <w:widowControl/>
      <w:overflowPunct/>
      <w:autoSpaceDE/>
      <w:autoSpaceDN/>
      <w:jc w:val="left"/>
    </w:pPr>
    <w:rPr>
      <w:rFonts w:ascii="新細明體" w:eastAsia="新細明體" w:hAnsi="新細明體" w:cs="新細明體"/>
      <w:kern w:val="0"/>
      <w:sz w:val="24"/>
      <w:szCs w:val="24"/>
    </w:rPr>
  </w:style>
  <w:style w:type="paragraph" w:customStyle="1" w:styleId="Default">
    <w:name w:val="Default"/>
    <w:rsid w:val="00183DF6"/>
    <w:pPr>
      <w:widowControl w:val="0"/>
      <w:autoSpaceDE w:val="0"/>
      <w:autoSpaceDN w:val="0"/>
      <w:adjustRightInd w:val="0"/>
    </w:pPr>
    <w:rPr>
      <w:rFonts w:ascii="標楷體" w:eastAsia="標楷體" w:cs="標楷體"/>
      <w:color w:val="000000"/>
      <w:sz w:val="24"/>
      <w:szCs w:val="24"/>
    </w:rPr>
  </w:style>
  <w:style w:type="character" w:styleId="aff">
    <w:name w:val="Unresolved Mention"/>
    <w:basedOn w:val="a7"/>
    <w:uiPriority w:val="99"/>
    <w:semiHidden/>
    <w:unhideWhenUsed/>
    <w:rsid w:val="00111B57"/>
    <w:rPr>
      <w:color w:val="605E5C"/>
      <w:shd w:val="clear" w:color="auto" w:fill="E1DFDD"/>
    </w:rPr>
  </w:style>
  <w:style w:type="character" w:styleId="aff0">
    <w:name w:val="FollowedHyperlink"/>
    <w:basedOn w:val="a7"/>
    <w:uiPriority w:val="99"/>
    <w:semiHidden/>
    <w:unhideWhenUsed/>
    <w:rsid w:val="00063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400938">
      <w:bodyDiv w:val="1"/>
      <w:marLeft w:val="0"/>
      <w:marRight w:val="0"/>
      <w:marTop w:val="0"/>
      <w:marBottom w:val="0"/>
      <w:divBdr>
        <w:top w:val="none" w:sz="0" w:space="0" w:color="auto"/>
        <w:left w:val="none" w:sz="0" w:space="0" w:color="auto"/>
        <w:bottom w:val="none" w:sz="0" w:space="0" w:color="auto"/>
        <w:right w:val="none" w:sz="0" w:space="0" w:color="auto"/>
      </w:divBdr>
    </w:div>
    <w:div w:id="48301212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9792492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6562266">
      <w:bodyDiv w:val="1"/>
      <w:marLeft w:val="0"/>
      <w:marRight w:val="0"/>
      <w:marTop w:val="0"/>
      <w:marBottom w:val="0"/>
      <w:divBdr>
        <w:top w:val="none" w:sz="0" w:space="0" w:color="auto"/>
        <w:left w:val="none" w:sz="0" w:space="0" w:color="auto"/>
        <w:bottom w:val="none" w:sz="0" w:space="0" w:color="auto"/>
        <w:right w:val="none" w:sz="0" w:space="0" w:color="auto"/>
      </w:divBdr>
    </w:div>
    <w:div w:id="1579628357">
      <w:bodyDiv w:val="1"/>
      <w:marLeft w:val="0"/>
      <w:marRight w:val="0"/>
      <w:marTop w:val="0"/>
      <w:marBottom w:val="0"/>
      <w:divBdr>
        <w:top w:val="none" w:sz="0" w:space="0" w:color="auto"/>
        <w:left w:val="none" w:sz="0" w:space="0" w:color="auto"/>
        <w:bottom w:val="none" w:sz="0" w:space="0" w:color="auto"/>
        <w:right w:val="none" w:sz="0" w:space="0" w:color="auto"/>
      </w:divBdr>
    </w:div>
    <w:div w:id="1658149012">
      <w:bodyDiv w:val="1"/>
      <w:marLeft w:val="0"/>
      <w:marRight w:val="0"/>
      <w:marTop w:val="0"/>
      <w:marBottom w:val="0"/>
      <w:divBdr>
        <w:top w:val="none" w:sz="0" w:space="0" w:color="auto"/>
        <w:left w:val="none" w:sz="0" w:space="0" w:color="auto"/>
        <w:bottom w:val="none" w:sz="0" w:space="0" w:color="auto"/>
        <w:right w:val="none" w:sz="0" w:space="0" w:color="auto"/>
      </w:divBdr>
    </w:div>
    <w:div w:id="209265141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24h.pchome.com.tw/prod/DBBC1E-19008Q1L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27963;&#38913;&#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2.2522157426567414E-2"/>
          <c:y val="0.34817950195249991"/>
          <c:w val="0.94873042917416894"/>
          <c:h val="0.53345778119198517"/>
        </c:manualLayout>
      </c:layout>
      <c:barChart>
        <c:barDir val="bar"/>
        <c:grouping val="stacked"/>
        <c:varyColors val="0"/>
        <c:ser>
          <c:idx val="0"/>
          <c:order val="0"/>
          <c:tx>
            <c:strRef>
              <c:f>工作表1!$A$5</c:f>
              <c:strCache>
                <c:ptCount val="1"/>
                <c:pt idx="0">
                  <c:v>進口產品價格</c:v>
                </c:pt>
              </c:strCache>
            </c:strRef>
          </c:tx>
          <c:spPr>
            <a:solidFill>
              <a:schemeClr val="accent3">
                <a:shade val="58000"/>
              </a:schemeClr>
            </a:solidFill>
            <a:ln>
              <a:noFill/>
            </a:ln>
            <a:effectLst/>
          </c:spPr>
          <c:invertIfNegative val="0"/>
          <c:dLbls>
            <c:dLbl>
              <c:idx val="0"/>
              <c:layout>
                <c:manualLayout>
                  <c:x val="-7.0739750567708759E-3"/>
                  <c:y val="2.1236662220887607E-2"/>
                </c:manualLayout>
              </c:layout>
              <c:showLegendKey val="0"/>
              <c:showVal val="1"/>
              <c:showCatName val="0"/>
              <c:showSerName val="1"/>
              <c:showPercent val="0"/>
              <c:showBubbleSize val="0"/>
              <c:extLst>
                <c:ext xmlns:c15="http://schemas.microsoft.com/office/drawing/2012/chart" uri="{CE6537A1-D6FC-4f65-9D91-7224C49458BB}">
                  <c15:layout>
                    <c:manualLayout>
                      <c:w val="0.26022780485772612"/>
                      <c:h val="0.25626020504343033"/>
                    </c:manualLayout>
                  </c15:layout>
                </c:ext>
                <c:ext xmlns:c16="http://schemas.microsoft.com/office/drawing/2014/chart" uri="{C3380CC4-5D6E-409C-BE32-E72D297353CC}">
                  <c16:uniqueId val="{00000000-5905-49DE-BEC6-744EF3F92912}"/>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標楷體" panose="03000509000000000000" pitchFamily="65" charset="-120"/>
                    <a:cs typeface="+mn-cs"/>
                  </a:defRPr>
                </a:pPr>
                <a:endParaRPr lang="zh-TW"/>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工作表1!$A$6</c:f>
              <c:numCache>
                <c:formatCode>0%</c:formatCode>
                <c:ptCount val="1"/>
                <c:pt idx="0">
                  <c:v>0.28000000000000003</c:v>
                </c:pt>
              </c:numCache>
            </c:numRef>
          </c:val>
          <c:extLst>
            <c:ext xmlns:c16="http://schemas.microsoft.com/office/drawing/2014/chart" uri="{C3380CC4-5D6E-409C-BE32-E72D297353CC}">
              <c16:uniqueId val="{00000001-5905-49DE-BEC6-744EF3F92912}"/>
            </c:ext>
          </c:extLst>
        </c:ser>
        <c:ser>
          <c:idx val="1"/>
          <c:order val="1"/>
          <c:tx>
            <c:strRef>
              <c:f>工作表1!$B$5</c:f>
              <c:strCache>
                <c:ptCount val="1"/>
                <c:pt idx="0">
                  <c:v>30%關稅</c:v>
                </c:pt>
              </c:strCache>
            </c:strRef>
          </c:tx>
          <c:spPr>
            <a:solidFill>
              <a:schemeClr val="accent3">
                <a:shade val="86000"/>
              </a:schemeClr>
            </a:solidFill>
            <a:ln>
              <a:noFill/>
            </a:ln>
            <a:effectLst/>
          </c:spPr>
          <c:invertIfNegative val="0"/>
          <c:dLbls>
            <c:dLbl>
              <c:idx val="0"/>
              <c:layout>
                <c:manualLayout>
                  <c:x val="1.8412638084457701E-3"/>
                  <c:y val="-0.22764229057003238"/>
                </c:manualLayout>
              </c:layout>
              <c:showLegendKey val="0"/>
              <c:showVal val="1"/>
              <c:showCatName val="0"/>
              <c:showSerName val="1"/>
              <c:showPercent val="0"/>
              <c:showBubbleSize val="0"/>
              <c:extLst>
                <c:ext xmlns:c15="http://schemas.microsoft.com/office/drawing/2012/chart" uri="{CE6537A1-D6FC-4f65-9D91-7224C49458BB}">
                  <c15:layout>
                    <c:manualLayout>
                      <c:w val="0.16140419947506562"/>
                      <c:h val="0.36611382113821139"/>
                    </c:manualLayout>
                  </c15:layout>
                </c:ext>
                <c:ext xmlns:c16="http://schemas.microsoft.com/office/drawing/2014/chart" uri="{C3380CC4-5D6E-409C-BE32-E72D297353CC}">
                  <c16:uniqueId val="{00000002-5905-49DE-BEC6-744EF3F92912}"/>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標楷體" panose="03000509000000000000" pitchFamily="65" charset="-120"/>
                    <a:cs typeface="+mn-cs"/>
                  </a:defRPr>
                </a:pPr>
                <a:endParaRPr lang="zh-TW"/>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工作表1!$B$6</c:f>
              <c:numCache>
                <c:formatCode>0.00%</c:formatCode>
                <c:ptCount val="1"/>
                <c:pt idx="0">
                  <c:v>8.4000000000000005E-2</c:v>
                </c:pt>
              </c:numCache>
            </c:numRef>
          </c:val>
          <c:extLst>
            <c:ext xmlns:c16="http://schemas.microsoft.com/office/drawing/2014/chart" uri="{C3380CC4-5D6E-409C-BE32-E72D297353CC}">
              <c16:uniqueId val="{00000003-5905-49DE-BEC6-744EF3F92912}"/>
            </c:ext>
          </c:extLst>
        </c:ser>
        <c:ser>
          <c:idx val="2"/>
          <c:order val="2"/>
          <c:tx>
            <c:strRef>
              <c:f>工作表1!$C$5</c:f>
              <c:strCache>
                <c:ptCount val="1"/>
                <c:pt idx="0">
                  <c:v>物流/倉儲</c:v>
                </c:pt>
              </c:strCache>
            </c:strRef>
          </c:tx>
          <c:spPr>
            <a:solidFill>
              <a:schemeClr val="accent3">
                <a:tint val="86000"/>
              </a:schemeClr>
            </a:solidFill>
            <a:ln>
              <a:noFill/>
            </a:ln>
            <a:effectLst/>
          </c:spPr>
          <c:invertIfNegative val="0"/>
          <c:dLbls>
            <c:dLbl>
              <c:idx val="0"/>
              <c:layout>
                <c:manualLayout>
                  <c:x val="-2.8343461346936564E-4"/>
                  <c:y val="-4.5528199219000066E-2"/>
                </c:manualLayout>
              </c:layout>
              <c:showLegendKey val="0"/>
              <c:showVal val="1"/>
              <c:showCatName val="0"/>
              <c:showSerName val="1"/>
              <c:showPercent val="0"/>
              <c:showBubbleSize val="0"/>
              <c:extLst>
                <c:ext xmlns:c15="http://schemas.microsoft.com/office/drawing/2012/chart" uri="{CE6537A1-D6FC-4f65-9D91-7224C49458BB}">
                  <c15:layout>
                    <c:manualLayout>
                      <c:w val="9.5650757635324116E-2"/>
                      <c:h val="0.4376585365853658"/>
                    </c:manualLayout>
                  </c15:layout>
                </c:ext>
                <c:ext xmlns:c16="http://schemas.microsoft.com/office/drawing/2014/chart" uri="{C3380CC4-5D6E-409C-BE32-E72D297353CC}">
                  <c16:uniqueId val="{00000004-5905-49DE-BEC6-744EF3F92912}"/>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標楷體" panose="03000509000000000000" pitchFamily="65" charset="-120"/>
                    <a:cs typeface="+mn-cs"/>
                  </a:defRPr>
                </a:pPr>
                <a:endParaRPr lang="zh-TW"/>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工作表1!$C$6</c:f>
              <c:numCache>
                <c:formatCode>0.00%</c:formatCode>
                <c:ptCount val="1"/>
                <c:pt idx="0">
                  <c:v>8.5999999999999993E-2</c:v>
                </c:pt>
              </c:numCache>
            </c:numRef>
          </c:val>
          <c:extLst>
            <c:ext xmlns:c16="http://schemas.microsoft.com/office/drawing/2014/chart" uri="{C3380CC4-5D6E-409C-BE32-E72D297353CC}">
              <c16:uniqueId val="{00000005-5905-49DE-BEC6-744EF3F92912}"/>
            </c:ext>
          </c:extLst>
        </c:ser>
        <c:ser>
          <c:idx val="3"/>
          <c:order val="3"/>
          <c:tx>
            <c:strRef>
              <c:f>工作表1!$D$5</c:f>
              <c:strCache>
                <c:ptCount val="1"/>
                <c:pt idx="0">
                  <c:v>通路</c:v>
                </c:pt>
              </c:strCache>
            </c:strRef>
          </c:tx>
          <c:spPr>
            <a:solidFill>
              <a:schemeClr val="accent3">
                <a:tint val="58000"/>
              </a:schemeClr>
            </a:solidFill>
            <a:ln>
              <a:noFill/>
            </a:ln>
            <a:effectLst/>
          </c:spPr>
          <c:invertIfNegative val="0"/>
          <c:dLbls>
            <c:dLbl>
              <c:idx val="0"/>
              <c:layout>
                <c:manualLayout>
                  <c:x val="-4.5662100456621843E-3"/>
                  <c:y val="1.3008130081300754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5905-49DE-BEC6-744EF3F92912}"/>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標楷體" panose="03000509000000000000" pitchFamily="65" charset="-120"/>
                    <a:cs typeface="+mn-cs"/>
                  </a:defRPr>
                </a:pPr>
                <a:endParaRPr lang="zh-TW"/>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工作表1!$D$6</c:f>
              <c:numCache>
                <c:formatCode>0%</c:formatCode>
                <c:ptCount val="1"/>
                <c:pt idx="0">
                  <c:v>0.55000000000000004</c:v>
                </c:pt>
              </c:numCache>
            </c:numRef>
          </c:val>
          <c:extLst>
            <c:ext xmlns:c16="http://schemas.microsoft.com/office/drawing/2014/chart" uri="{C3380CC4-5D6E-409C-BE32-E72D297353CC}">
              <c16:uniqueId val="{00000007-5905-49DE-BEC6-744EF3F92912}"/>
            </c:ext>
          </c:extLst>
        </c:ser>
        <c:dLbls>
          <c:showLegendKey val="0"/>
          <c:showVal val="0"/>
          <c:showCatName val="0"/>
          <c:showSerName val="0"/>
          <c:showPercent val="0"/>
          <c:showBubbleSize val="0"/>
        </c:dLbls>
        <c:gapWidth val="150"/>
        <c:overlap val="100"/>
        <c:axId val="39026176"/>
        <c:axId val="269562944"/>
      </c:barChart>
      <c:catAx>
        <c:axId val="39026176"/>
        <c:scaling>
          <c:orientation val="minMax"/>
        </c:scaling>
        <c:delete val="1"/>
        <c:axPos val="l"/>
        <c:numFmt formatCode="General" sourceLinked="1"/>
        <c:majorTickMark val="none"/>
        <c:minorTickMark val="none"/>
        <c:tickLblPos val="nextTo"/>
        <c:crossAx val="269562944"/>
        <c:crosses val="autoZero"/>
        <c:auto val="1"/>
        <c:lblAlgn val="ctr"/>
        <c:lblOffset val="100"/>
        <c:noMultiLvlLbl val="0"/>
      </c:catAx>
      <c:valAx>
        <c:axId val="269562944"/>
        <c:scaling>
          <c:orientation val="minMax"/>
          <c:max val="1"/>
        </c:scaling>
        <c:delete val="1"/>
        <c:axPos val="b"/>
        <c:numFmt formatCode="0%" sourceLinked="1"/>
        <c:majorTickMark val="none"/>
        <c:minorTickMark val="none"/>
        <c:tickLblPos val="nextTo"/>
        <c:crossAx val="39026176"/>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400" b="1" baseline="0">
          <a:latin typeface="Times New Roman" panose="02020603050405020304" pitchFamily="18" charset="0"/>
          <a:ea typeface="標楷體" panose="03000509000000000000" pitchFamily="65" charset="-12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17C8-9D5B-4104-AB8C-4D9FAC2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2024-09-04T06:20:00Z</dcterms:created>
  <dcterms:modified xsi:type="dcterms:W3CDTF">2024-09-04T06:21:00Z</dcterms:modified>
  <cp:contentStatus/>
</cp:coreProperties>
</file>