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07F7" w:rsidRDefault="001807F7" w:rsidP="001807F7">
      <w:pPr>
        <w:pStyle w:val="a7"/>
        <w:kinsoku w:val="0"/>
        <w:spacing w:before="0"/>
        <w:ind w:leftChars="700" w:left="2381" w:firstLine="0"/>
        <w:rPr>
          <w:rFonts w:ascii="Times New Roman" w:cstheme="minorBidi"/>
          <w:spacing w:val="200"/>
          <w:kern w:val="0"/>
          <w:sz w:val="40"/>
          <w:szCs w:val="40"/>
        </w:rPr>
      </w:pPr>
      <w:r>
        <w:rPr>
          <w:rFonts w:hint="eastAsia"/>
          <w:spacing w:val="200"/>
          <w:kern w:val="0"/>
          <w:sz w:val="40"/>
          <w:szCs w:val="40"/>
        </w:rPr>
        <w:t>調查意見</w:t>
      </w:r>
    </w:p>
    <w:p w:rsidR="001807F7" w:rsidRDefault="001807F7">
      <w:pPr>
        <w:pStyle w:val="1"/>
        <w:ind w:left="2380" w:hanging="2380"/>
        <w:rPr>
          <w:rFonts w:ascii="Times New Roman" w:hAnsi="Times New Roman" w:cs="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r>
        <w:fldChar w:fldCharType="begin"/>
      </w:r>
      <w:r>
        <w:instrText xml:space="preserve"> MERGEFIELD </w:instrText>
      </w:r>
      <w:r>
        <w:rPr>
          <w:rFonts w:hint="eastAsia"/>
        </w:rPr>
        <w:instrText>案由</w:instrText>
      </w:r>
      <w:r>
        <w:instrText xml:space="preserve"> </w:instrText>
      </w:r>
      <w:r>
        <w:fldChar w:fldCharType="separate"/>
      </w:r>
      <w:r>
        <w:rPr>
          <w:rFonts w:hint="eastAsia"/>
          <w:noProof/>
        </w:rPr>
        <w:t>據訴，財政部迄未研擬一套符合資源回收業者繳納營業稅之合理辦法，致業者無所適從，涉有違失乙案。</w:t>
      </w:r>
      <w:r>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1807F7" w:rsidRDefault="001807F7">
      <w:pPr>
        <w:pStyle w:val="1"/>
        <w:ind w:left="2380" w:hanging="2380"/>
        <w:rPr>
          <w:rFonts w:ascii="Times New Roman" w:hAnsi="Times New Roman" w:cs="Times New Roman"/>
        </w:rPr>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1807F7" w:rsidRDefault="001807F7">
      <w:pPr>
        <w:pStyle w:val="11"/>
        <w:ind w:left="680" w:firstLine="680"/>
        <w:rPr>
          <w:rFonts w:ascii="Times New Roman" w:cstheme="minorBidi"/>
        </w:rPr>
      </w:pPr>
      <w:bookmarkStart w:id="45" w:name="_Toc524902730"/>
      <w:r>
        <w:rPr>
          <w:rFonts w:hint="eastAsia"/>
          <w:noProof/>
          <w:color w:val="000000"/>
        </w:rPr>
        <w:t>關於</w:t>
      </w:r>
      <w:r w:rsidR="00E63D53">
        <w:rPr>
          <w:rFonts w:hAnsi="Arial" w:hint="eastAsia"/>
          <w:noProof/>
          <w:color w:val="000000"/>
        </w:rPr>
        <w:t>吳○○</w:t>
      </w:r>
      <w:r>
        <w:rPr>
          <w:rFonts w:hAnsi="Arial" w:hint="eastAsia"/>
          <w:noProof/>
          <w:color w:val="000000"/>
        </w:rPr>
        <w:t>女士等陳訴，財政部迄未研擬一套符合資源回收業者繳納營業稅之合理辦法，致業者無所適從</w:t>
      </w:r>
      <w:r>
        <w:rPr>
          <w:rFonts w:hint="eastAsia"/>
          <w:noProof/>
          <w:color w:val="000000"/>
        </w:rPr>
        <w:t>案</w:t>
      </w:r>
      <w:r>
        <w:rPr>
          <w:rFonts w:hAnsi="Arial" w:hint="eastAsia"/>
          <w:noProof/>
          <w:color w:val="000000"/>
        </w:rPr>
        <w:t>，</w:t>
      </w:r>
      <w:r>
        <w:rPr>
          <w:rFonts w:hint="eastAsia"/>
          <w:noProof/>
          <w:color w:val="000000"/>
        </w:rPr>
        <w:t>經本院函詢</w:t>
      </w:r>
      <w:r>
        <w:rPr>
          <w:rFonts w:hAnsi="Arial" w:hint="eastAsia"/>
          <w:noProof/>
          <w:color w:val="000000"/>
        </w:rPr>
        <w:t>財政部及</w:t>
      </w:r>
      <w:r>
        <w:rPr>
          <w:rFonts w:hAnsi="Arial"/>
          <w:noProof/>
          <w:color w:val="000000"/>
        </w:rPr>
        <w:t>2</w:t>
      </w:r>
      <w:r>
        <w:rPr>
          <w:rFonts w:hAnsi="Arial" w:hint="eastAsia"/>
          <w:noProof/>
          <w:color w:val="000000"/>
        </w:rPr>
        <w:t>度約詢該部相關主管，並約詢該部前部長</w:t>
      </w:r>
      <w:r w:rsidR="00E63D53">
        <w:rPr>
          <w:rFonts w:hAnsi="Arial" w:hint="eastAsia"/>
          <w:noProof/>
          <w:color w:val="000000"/>
        </w:rPr>
        <w:t>顏○○</w:t>
      </w:r>
      <w:r>
        <w:rPr>
          <w:rFonts w:hAnsi="Arial" w:hint="eastAsia"/>
          <w:noProof/>
          <w:color w:val="000000"/>
        </w:rPr>
        <w:t>到院說明</w:t>
      </w:r>
      <w:r>
        <w:rPr>
          <w:rFonts w:hAnsi="標楷體" w:hint="eastAsia"/>
        </w:rPr>
        <w:t>，</w:t>
      </w:r>
      <w:proofErr w:type="gramStart"/>
      <w:r>
        <w:rPr>
          <w:rFonts w:hAnsi="標楷體" w:hint="eastAsia"/>
        </w:rPr>
        <w:t>爰</w:t>
      </w:r>
      <w:proofErr w:type="gramEnd"/>
      <w:r>
        <w:rPr>
          <w:rFonts w:hAnsi="標楷體" w:hint="eastAsia"/>
        </w:rPr>
        <w:t>經</w:t>
      </w:r>
      <w:proofErr w:type="gramStart"/>
      <w:r>
        <w:rPr>
          <w:rFonts w:hint="eastAsia"/>
        </w:rPr>
        <w:t>調查竣事</w:t>
      </w:r>
      <w:proofErr w:type="gramEnd"/>
      <w:r>
        <w:rPr>
          <w:rFonts w:hint="eastAsia"/>
        </w:rPr>
        <w:t>。茲將調查</w:t>
      </w:r>
      <w:proofErr w:type="gramStart"/>
      <w:r>
        <w:rPr>
          <w:rFonts w:hint="eastAsia"/>
        </w:rPr>
        <w:t>意見列述如下</w:t>
      </w:r>
      <w:proofErr w:type="gramEnd"/>
      <w:r>
        <w:rPr>
          <w:rFonts w:hint="eastAsia"/>
          <w:noProof/>
          <w:color w:val="000000"/>
        </w:rPr>
        <w:t>：</w:t>
      </w:r>
    </w:p>
    <w:p w:rsidR="001807F7" w:rsidRDefault="001807F7">
      <w:pPr>
        <w:pStyle w:val="2"/>
        <w:ind w:left="1020" w:hanging="680"/>
        <w:rPr>
          <w:rFonts w:ascii="Times New Roman" w:hAnsi="Times New Roman" w:cs="Times New Roman"/>
        </w:rPr>
      </w:pPr>
      <w:bookmarkStart w:id="46" w:name="_Toc2400393"/>
      <w:bookmarkStart w:id="47" w:name="_Toc4316187"/>
      <w:bookmarkStart w:id="48" w:name="_Toc4473328"/>
      <w:bookmarkStart w:id="49" w:name="_Toc69556895"/>
      <w:bookmarkStart w:id="50" w:name="_Toc69556944"/>
      <w:bookmarkStart w:id="51" w:name="_Toc69609818"/>
      <w:bookmarkStart w:id="52" w:name="_Toc70241814"/>
      <w:bookmarkStart w:id="53" w:name="_Toc70242203"/>
      <w:r>
        <w:rPr>
          <w:rFonts w:hint="eastAsia"/>
        </w:rPr>
        <w:t>財政部積極輔導資源回收業者順利納入營業稅體制，</w:t>
      </w:r>
      <w:bookmarkEnd w:id="46"/>
      <w:bookmarkEnd w:id="47"/>
      <w:bookmarkEnd w:id="48"/>
      <w:bookmarkEnd w:id="49"/>
      <w:bookmarkEnd w:id="50"/>
      <w:bookmarkEnd w:id="51"/>
      <w:bookmarkEnd w:id="52"/>
      <w:bookmarkEnd w:id="53"/>
      <w:r>
        <w:rPr>
          <w:rFonts w:hAnsi="標楷體" w:hint="eastAsia"/>
        </w:rPr>
        <w:t>相關作為，</w:t>
      </w:r>
      <w:r>
        <w:rPr>
          <w:rFonts w:hint="eastAsia"/>
        </w:rPr>
        <w:t>應予肯認；惟亦應確實督導所屬依相關</w:t>
      </w:r>
      <w:proofErr w:type="gramStart"/>
      <w:r>
        <w:rPr>
          <w:rFonts w:hint="eastAsia"/>
        </w:rPr>
        <w:t>函釋及會議</w:t>
      </w:r>
      <w:proofErr w:type="gramEnd"/>
      <w:r>
        <w:rPr>
          <w:rFonts w:hint="eastAsia"/>
        </w:rPr>
        <w:t>結論辦理，以杜爭議。</w:t>
      </w:r>
    </w:p>
    <w:p w:rsidR="001807F7" w:rsidRDefault="001807F7">
      <w:pPr>
        <w:pStyle w:val="3"/>
        <w:rPr>
          <w:rFonts w:ascii="Times New Roman" w:hAnsi="Times New Roman" w:cs="Times New Roman"/>
          <w:color w:val="000000"/>
          <w:u w:color="000000"/>
        </w:rPr>
      </w:pPr>
      <w:bookmarkStart w:id="54" w:name="_Toc525066147"/>
      <w:bookmarkStart w:id="55" w:name="_Toc525070838"/>
      <w:bookmarkStart w:id="56" w:name="_Toc525938378"/>
      <w:bookmarkStart w:id="57" w:name="_Toc525939226"/>
      <w:bookmarkStart w:id="58" w:name="_Toc525939731"/>
      <w:bookmarkStart w:id="59" w:name="_Toc529218271"/>
      <w:bookmarkStart w:id="60" w:name="_Toc529222688"/>
      <w:bookmarkStart w:id="61" w:name="_Toc529223110"/>
      <w:bookmarkStart w:id="62" w:name="_Toc529223861"/>
      <w:bookmarkStart w:id="63" w:name="_Toc529228264"/>
      <w:r>
        <w:rPr>
          <w:rFonts w:hint="eastAsia"/>
          <w:color w:val="000000"/>
          <w:u w:color="000000"/>
        </w:rPr>
        <w:t>按</w:t>
      </w:r>
      <w:r>
        <w:rPr>
          <w:rFonts w:hAnsi="標楷體" w:hint="eastAsia"/>
        </w:rPr>
        <w:t>「</w:t>
      </w:r>
      <w:r>
        <w:rPr>
          <w:rFonts w:hint="eastAsia"/>
        </w:rPr>
        <w:t>關於有限責任臺灣省廢棄物運銷合作社之個人社員將收集之廢棄物交該社辦理共同運銷，准免辦營業登記並免徵營業稅，惟應依法課徵綜合所得稅</w:t>
      </w:r>
      <w:r>
        <w:rPr>
          <w:rFonts w:hAnsi="標楷體" w:hint="eastAsia"/>
        </w:rPr>
        <w:t>」、「如查明營業人確有向臺灣省廢棄物運銷合作社之社員購進廢棄物，並向該合作社支付貨款，其取得該合作社開立金額相符之統一發票作為進項憑證申報扣抵銷項稅額，於法尚無不合，應免依稅捐</w:t>
      </w:r>
      <w:proofErr w:type="gramStart"/>
      <w:r>
        <w:rPr>
          <w:rFonts w:hAnsi="標楷體" w:hint="eastAsia"/>
        </w:rPr>
        <w:t>稽</w:t>
      </w:r>
      <w:proofErr w:type="gramEnd"/>
      <w:r>
        <w:rPr>
          <w:rFonts w:hAnsi="標楷體" w:hint="eastAsia"/>
        </w:rPr>
        <w:t>徵法第</w:t>
      </w:r>
      <w:r>
        <w:rPr>
          <w:rFonts w:hAnsi="標楷體"/>
        </w:rPr>
        <w:t>44</w:t>
      </w:r>
      <w:r>
        <w:rPr>
          <w:rFonts w:hAnsi="標楷體" w:hint="eastAsia"/>
        </w:rPr>
        <w:t>條及營業稅法第</w:t>
      </w:r>
      <w:r>
        <w:rPr>
          <w:rFonts w:hAnsi="標楷體"/>
        </w:rPr>
        <w:t>19</w:t>
      </w:r>
      <w:r>
        <w:rPr>
          <w:rFonts w:hAnsi="標楷體" w:hint="eastAsia"/>
        </w:rPr>
        <w:t>條或第</w:t>
      </w:r>
      <w:r>
        <w:rPr>
          <w:rFonts w:hAnsi="標楷體"/>
        </w:rPr>
        <w:t>51</w:t>
      </w:r>
      <w:r>
        <w:rPr>
          <w:rFonts w:hAnsi="標楷體" w:hint="eastAsia"/>
        </w:rPr>
        <w:t>條第</w:t>
      </w:r>
      <w:r>
        <w:rPr>
          <w:rFonts w:hAnsi="標楷體"/>
        </w:rPr>
        <w:t>5</w:t>
      </w:r>
      <w:r>
        <w:rPr>
          <w:rFonts w:hAnsi="標楷體" w:hint="eastAsia"/>
        </w:rPr>
        <w:t>款規定補稅處罰</w:t>
      </w:r>
      <w:r>
        <w:rPr>
          <w:rFonts w:ascii="Times New Roman" w:hAnsi="標楷體" w:hint="eastAsia"/>
        </w:rPr>
        <w:t>…</w:t>
      </w:r>
      <w:r>
        <w:rPr>
          <w:rFonts w:hAnsi="標楷體" w:hint="eastAsia"/>
        </w:rPr>
        <w:t>請台北縣稅捐稽徵處查明臺灣省廢棄物運銷合作社與社員及再生工廠營業人實際交易情形後，通報省、市</w:t>
      </w:r>
      <w:proofErr w:type="gramStart"/>
      <w:r>
        <w:rPr>
          <w:rFonts w:hAnsi="標楷體" w:hint="eastAsia"/>
        </w:rPr>
        <w:t>稽</w:t>
      </w:r>
      <w:proofErr w:type="gramEnd"/>
      <w:r>
        <w:rPr>
          <w:rFonts w:hAnsi="標楷體" w:hint="eastAsia"/>
        </w:rPr>
        <w:t>徵機關參考運用」及「如查明營業人確有向台灣省廢棄物運銷合作社之社員購進廢棄物，並向該合作社支付貨款，其取得該合作社開立金額相符之統一發票作為進項憑證申報扣抵銷項稅額，於法尚無不合，應免依稅捐</w:t>
      </w:r>
      <w:proofErr w:type="gramStart"/>
      <w:r>
        <w:rPr>
          <w:rFonts w:hAnsi="標楷體" w:hint="eastAsia"/>
        </w:rPr>
        <w:t>稽</w:t>
      </w:r>
      <w:proofErr w:type="gramEnd"/>
      <w:r>
        <w:rPr>
          <w:rFonts w:hAnsi="標楷體" w:hint="eastAsia"/>
        </w:rPr>
        <w:t>徵法第</w:t>
      </w:r>
      <w:r>
        <w:rPr>
          <w:rFonts w:hAnsi="標楷體"/>
        </w:rPr>
        <w:t>44</w:t>
      </w:r>
      <w:r>
        <w:rPr>
          <w:rFonts w:hAnsi="標楷體" w:hint="eastAsia"/>
        </w:rPr>
        <w:t>條及營業稅法第</w:t>
      </w:r>
      <w:r>
        <w:rPr>
          <w:rFonts w:hAnsi="標楷體"/>
        </w:rPr>
        <w:t>19</w:t>
      </w:r>
      <w:r>
        <w:rPr>
          <w:rFonts w:hAnsi="標楷體" w:hint="eastAsia"/>
        </w:rPr>
        <w:t>條或第</w:t>
      </w:r>
      <w:r>
        <w:rPr>
          <w:rFonts w:hAnsi="標楷體"/>
        </w:rPr>
        <w:t>51</w:t>
      </w:r>
      <w:r>
        <w:rPr>
          <w:rFonts w:hAnsi="標楷體" w:hint="eastAsia"/>
        </w:rPr>
        <w:t>條第</w:t>
      </w:r>
      <w:r>
        <w:rPr>
          <w:rFonts w:hAnsi="標楷體"/>
        </w:rPr>
        <w:t>5</w:t>
      </w:r>
      <w:r>
        <w:rPr>
          <w:rFonts w:hAnsi="標楷體" w:hint="eastAsia"/>
        </w:rPr>
        <w:lastRenderedPageBreak/>
        <w:t>款規定補稅處罰。上開情形，如營業人係支付貨款與該合作社未具營利事業負責人身分之司庫，亦有適用。台灣省廢棄物運銷合作社</w:t>
      </w:r>
      <w:proofErr w:type="gramStart"/>
      <w:r>
        <w:rPr>
          <w:rFonts w:hAnsi="標楷體" w:hint="eastAsia"/>
        </w:rPr>
        <w:t>之司庫如</w:t>
      </w:r>
      <w:proofErr w:type="gramEnd"/>
      <w:r>
        <w:rPr>
          <w:rFonts w:hAnsi="標楷體" w:hint="eastAsia"/>
        </w:rPr>
        <w:t>兼具其他營利事業負責人之身分，其交付再生工廠之廢棄物，除調查單位移送之筆錄及報告書外，若尚無其他具體事證</w:t>
      </w:r>
      <w:proofErr w:type="gramStart"/>
      <w:r>
        <w:rPr>
          <w:rFonts w:hAnsi="標楷體" w:hint="eastAsia"/>
        </w:rPr>
        <w:t>證</w:t>
      </w:r>
      <w:proofErr w:type="gramEnd"/>
      <w:r>
        <w:rPr>
          <w:rFonts w:hAnsi="標楷體" w:hint="eastAsia"/>
        </w:rPr>
        <w:t>明確係該營利事業銷售與再生工廠者，基於前述廢棄物回收與一般貨物買賣性質確有不同之考量，宜認定係該社社員共同運銷之廢棄物，依一時貿易所得，歸課社員之綜合所得稅」分別為</w:t>
      </w:r>
      <w:r>
        <w:rPr>
          <w:rFonts w:hint="eastAsia"/>
          <w:color w:val="000000"/>
          <w:u w:color="000000"/>
        </w:rPr>
        <w:t>財政部</w:t>
      </w:r>
      <w:r>
        <w:t>84</w:t>
      </w:r>
      <w:r>
        <w:rPr>
          <w:rFonts w:hint="eastAsia"/>
        </w:rPr>
        <w:t>年</w:t>
      </w:r>
      <w:r>
        <w:t>8</w:t>
      </w:r>
      <w:r>
        <w:rPr>
          <w:rFonts w:hint="eastAsia"/>
        </w:rPr>
        <w:t>月</w:t>
      </w:r>
      <w:r>
        <w:t>21</w:t>
      </w:r>
      <w:r>
        <w:rPr>
          <w:rFonts w:hint="eastAsia"/>
        </w:rPr>
        <w:t>日台財稅第</w:t>
      </w:r>
      <w:r>
        <w:t>841643836</w:t>
      </w:r>
      <w:r>
        <w:rPr>
          <w:rFonts w:hint="eastAsia"/>
        </w:rPr>
        <w:t>號函</w:t>
      </w:r>
      <w:r>
        <w:rPr>
          <w:rFonts w:hAnsi="標楷體" w:hint="eastAsia"/>
        </w:rPr>
        <w:t>、</w:t>
      </w:r>
      <w:r>
        <w:t>86</w:t>
      </w:r>
      <w:r>
        <w:rPr>
          <w:rFonts w:hAnsi="標楷體" w:hint="eastAsia"/>
        </w:rPr>
        <w:t>年</w:t>
      </w:r>
      <w:r>
        <w:t>3</w:t>
      </w:r>
      <w:r>
        <w:rPr>
          <w:rFonts w:hAnsi="標楷體" w:hint="eastAsia"/>
        </w:rPr>
        <w:t>月</w:t>
      </w:r>
      <w:r>
        <w:t>18</w:t>
      </w:r>
      <w:r>
        <w:rPr>
          <w:rFonts w:hAnsi="標楷體" w:hint="eastAsia"/>
        </w:rPr>
        <w:t>日台財稅第</w:t>
      </w:r>
      <w:r>
        <w:t>861888061</w:t>
      </w:r>
      <w:r>
        <w:rPr>
          <w:rFonts w:hAnsi="標楷體" w:hint="eastAsia"/>
        </w:rPr>
        <w:t>號函及</w:t>
      </w:r>
      <w:r>
        <w:t>87</w:t>
      </w:r>
      <w:r>
        <w:rPr>
          <w:rFonts w:hAnsi="標楷體" w:hint="eastAsia"/>
        </w:rPr>
        <w:t>年</w:t>
      </w:r>
      <w:r>
        <w:t>7</w:t>
      </w:r>
      <w:r>
        <w:rPr>
          <w:rFonts w:hAnsi="標楷體" w:hint="eastAsia"/>
        </w:rPr>
        <w:t>月</w:t>
      </w:r>
      <w:r>
        <w:t>14</w:t>
      </w:r>
      <w:r>
        <w:rPr>
          <w:rFonts w:hAnsi="標楷體" w:hint="eastAsia"/>
        </w:rPr>
        <w:t>日台財稅第</w:t>
      </w:r>
      <w:r>
        <w:t>871953090</w:t>
      </w:r>
      <w:r>
        <w:rPr>
          <w:rFonts w:hAnsi="標楷體" w:hint="eastAsia"/>
        </w:rPr>
        <w:t>號函所</w:t>
      </w:r>
      <w:proofErr w:type="gramStart"/>
      <w:r>
        <w:rPr>
          <w:rFonts w:hAnsi="標楷體" w:hint="eastAsia"/>
        </w:rPr>
        <w:t>明</w:t>
      </w:r>
      <w:r>
        <w:rPr>
          <w:rFonts w:hint="eastAsia"/>
        </w:rPr>
        <w:t>釋</w:t>
      </w:r>
      <w:r>
        <w:rPr>
          <w:rFonts w:hAnsi="標楷體" w:hint="eastAsia"/>
        </w:rPr>
        <w:t>。</w:t>
      </w:r>
      <w:proofErr w:type="gramEnd"/>
    </w:p>
    <w:p w:rsidR="001807F7" w:rsidRDefault="001807F7">
      <w:pPr>
        <w:pStyle w:val="3"/>
        <w:rPr>
          <w:rFonts w:ascii="Times New Roman" w:hAnsi="Times New Roman" w:cs="Times New Roman"/>
          <w:color w:val="000000"/>
          <w:u w:color="000000"/>
        </w:rPr>
      </w:pPr>
      <w:r>
        <w:rPr>
          <w:rFonts w:hAnsi="標楷體" w:hint="eastAsia"/>
        </w:rPr>
        <w:t>查</w:t>
      </w:r>
      <w:r>
        <w:rPr>
          <w:rFonts w:hint="eastAsia"/>
          <w:color w:val="000000"/>
          <w:u w:color="000000"/>
        </w:rPr>
        <w:t>財政部</w:t>
      </w:r>
      <w:r>
        <w:rPr>
          <w:color w:val="000000"/>
          <w:u w:color="000000"/>
        </w:rPr>
        <w:t>84</w:t>
      </w:r>
      <w:r>
        <w:rPr>
          <w:rFonts w:hint="eastAsia"/>
          <w:color w:val="000000"/>
          <w:u w:color="000000"/>
        </w:rPr>
        <w:t>年時</w:t>
      </w:r>
      <w:proofErr w:type="gramStart"/>
      <w:r>
        <w:rPr>
          <w:rFonts w:hint="eastAsia"/>
          <w:color w:val="000000"/>
          <w:u w:color="000000"/>
        </w:rPr>
        <w:t>鑑</w:t>
      </w:r>
      <w:proofErr w:type="gramEnd"/>
      <w:r>
        <w:rPr>
          <w:rFonts w:hint="eastAsia"/>
          <w:color w:val="000000"/>
          <w:u w:color="000000"/>
        </w:rPr>
        <w:t>於廢棄物運銷合作社係以辦理社員回收廢棄物之共同運銷為目的，社員實質上並非對該合作社銷售貨物，又合作社個人社員</w:t>
      </w:r>
      <w:proofErr w:type="gramStart"/>
      <w:r>
        <w:rPr>
          <w:rFonts w:hint="eastAsia"/>
          <w:color w:val="000000"/>
          <w:u w:color="000000"/>
        </w:rPr>
        <w:t>多係至各</w:t>
      </w:r>
      <w:proofErr w:type="gramEnd"/>
      <w:r>
        <w:rPr>
          <w:rFonts w:hint="eastAsia"/>
          <w:color w:val="000000"/>
          <w:u w:color="000000"/>
        </w:rPr>
        <w:t>地收購廢棄物後，由該社收集站共同運銷，故社員似不應視為營業</w:t>
      </w:r>
      <w:r>
        <w:rPr>
          <w:rFonts w:hint="eastAsia"/>
        </w:rPr>
        <w:t>人，</w:t>
      </w:r>
      <w:proofErr w:type="gramStart"/>
      <w:r>
        <w:rPr>
          <w:rFonts w:hint="eastAsia"/>
        </w:rPr>
        <w:t>爰</w:t>
      </w:r>
      <w:proofErr w:type="gramEnd"/>
      <w:r>
        <w:rPr>
          <w:rFonts w:hint="eastAsia"/>
        </w:rPr>
        <w:t>以上開</w:t>
      </w:r>
      <w:r>
        <w:t>84</w:t>
      </w:r>
      <w:r>
        <w:rPr>
          <w:rFonts w:hint="eastAsia"/>
        </w:rPr>
        <w:t>年</w:t>
      </w:r>
      <w:r>
        <w:t>8</w:t>
      </w:r>
      <w:r>
        <w:rPr>
          <w:rFonts w:hint="eastAsia"/>
        </w:rPr>
        <w:t>月</w:t>
      </w:r>
      <w:r>
        <w:t>21</w:t>
      </w:r>
      <w:r>
        <w:rPr>
          <w:rFonts w:hint="eastAsia"/>
        </w:rPr>
        <w:t>日台財稅第</w:t>
      </w:r>
      <w:r>
        <w:t>841643836</w:t>
      </w:r>
      <w:r>
        <w:rPr>
          <w:rFonts w:hint="eastAsia"/>
        </w:rPr>
        <w:t>號函釋，廢棄物運銷合作社之個人社員將收集之廢棄物交該社辦理共同運銷，准免辦營業登記並免徵營業稅。該</w:t>
      </w:r>
      <w:proofErr w:type="gramStart"/>
      <w:r>
        <w:rPr>
          <w:rFonts w:hint="eastAsia"/>
        </w:rPr>
        <w:t>部前部長</w:t>
      </w:r>
      <w:r w:rsidR="00E63D53">
        <w:rPr>
          <w:rFonts w:hint="eastAsia"/>
          <w:noProof/>
          <w:color w:val="000000"/>
        </w:rPr>
        <w:t>顏</w:t>
      </w:r>
      <w:proofErr w:type="gramEnd"/>
      <w:r w:rsidR="00E63D53">
        <w:rPr>
          <w:rFonts w:hint="eastAsia"/>
          <w:noProof/>
          <w:color w:val="000000"/>
        </w:rPr>
        <w:t>○○</w:t>
      </w:r>
      <w:r>
        <w:rPr>
          <w:rFonts w:hint="eastAsia"/>
          <w:noProof/>
          <w:color w:val="000000"/>
        </w:rPr>
        <w:t>於接受本院約詢時表示：</w:t>
      </w:r>
      <w:r>
        <w:rPr>
          <w:rFonts w:hAnsi="標楷體" w:hint="eastAsia"/>
        </w:rPr>
        <w:t>「擔任次長期間接到業者的陳情，考量國家整體的利益，協助將資源回收業納入營業稅機制。任何實施加值型營業稅國家，此一稅制之基本特色在於只要交易一旦納入營業稅機制，縱使之前有未開立統一發票情事，即會產生稅額追補效果。且</w:t>
      </w:r>
      <w:proofErr w:type="gramStart"/>
      <w:r>
        <w:rPr>
          <w:rFonts w:hAnsi="標楷體" w:hint="eastAsia"/>
        </w:rPr>
        <w:t>鑑</w:t>
      </w:r>
      <w:proofErr w:type="gramEnd"/>
      <w:r>
        <w:rPr>
          <w:rFonts w:hAnsi="標楷體" w:hint="eastAsia"/>
        </w:rPr>
        <w:t>於廢棄物為國家可利用之再生資源，倘若在賦稅面可協助業者建立交易程序，將可使最終使用廢棄物而予再生之業者獲取資源，亦可避免社會因廢棄物而形成垃圾泛濫問題。</w:t>
      </w:r>
      <w:proofErr w:type="gramStart"/>
      <w:r>
        <w:rPr>
          <w:rFonts w:hAnsi="標楷體" w:hint="eastAsia"/>
        </w:rPr>
        <w:t>爰</w:t>
      </w:r>
      <w:proofErr w:type="gramEnd"/>
      <w:r>
        <w:rPr>
          <w:rFonts w:hAnsi="標楷體" w:hint="eastAsia"/>
        </w:rPr>
        <w:t>經由業者</w:t>
      </w:r>
      <w:proofErr w:type="gramStart"/>
      <w:r>
        <w:rPr>
          <w:rFonts w:hAnsi="標楷體" w:hint="eastAsia"/>
        </w:rPr>
        <w:t>研</w:t>
      </w:r>
      <w:proofErr w:type="gramEnd"/>
      <w:r>
        <w:rPr>
          <w:rFonts w:hAnsi="標楷體" w:hint="eastAsia"/>
        </w:rPr>
        <w:t>擬成立合作社方式，</w:t>
      </w:r>
      <w:proofErr w:type="gramStart"/>
      <w:r>
        <w:rPr>
          <w:rFonts w:hAnsi="標楷體" w:hint="eastAsia"/>
        </w:rPr>
        <w:t>俾</w:t>
      </w:r>
      <w:proofErr w:type="gramEnd"/>
      <w:r>
        <w:rPr>
          <w:rFonts w:hAnsi="標楷體" w:hint="eastAsia"/>
        </w:rPr>
        <w:t>有開立統一發票之機制。</w:t>
      </w:r>
      <w:r>
        <w:rPr>
          <w:rFonts w:hAnsi="標楷體" w:hint="eastAsia"/>
        </w:rPr>
        <w:lastRenderedPageBreak/>
        <w:t>如上所述，廢棄物回收一旦在此階段開立統一發票，因可立即追補之前所有之營業稅，</w:t>
      </w:r>
      <w:proofErr w:type="gramStart"/>
      <w:r>
        <w:rPr>
          <w:rFonts w:hAnsi="標楷體" w:hint="eastAsia"/>
        </w:rPr>
        <w:t>爰</w:t>
      </w:r>
      <w:proofErr w:type="gramEnd"/>
      <w:r>
        <w:rPr>
          <w:rFonts w:hAnsi="標楷體" w:hint="eastAsia"/>
        </w:rPr>
        <w:t>可輔導業者納入加值型營業稅體系。」財政部另為處理廢棄物運銷合作社開立之統一發票涉嫌違章相關事宜，亦分別於</w:t>
      </w:r>
      <w:r>
        <w:t>86</w:t>
      </w:r>
      <w:r>
        <w:rPr>
          <w:rFonts w:hAnsi="標楷體" w:hint="eastAsia"/>
        </w:rPr>
        <w:t>年</w:t>
      </w:r>
      <w:r>
        <w:t>3</w:t>
      </w:r>
      <w:r>
        <w:rPr>
          <w:rFonts w:hAnsi="標楷體" w:hint="eastAsia"/>
        </w:rPr>
        <w:t>月</w:t>
      </w:r>
      <w:r>
        <w:t>18</w:t>
      </w:r>
      <w:r>
        <w:rPr>
          <w:rFonts w:hAnsi="標楷體" w:hint="eastAsia"/>
        </w:rPr>
        <w:t>日及</w:t>
      </w:r>
      <w:r>
        <w:t>87</w:t>
      </w:r>
      <w:r>
        <w:rPr>
          <w:rFonts w:hAnsi="標楷體" w:hint="eastAsia"/>
        </w:rPr>
        <w:t>年</w:t>
      </w:r>
      <w:r>
        <w:t>7</w:t>
      </w:r>
      <w:r>
        <w:rPr>
          <w:rFonts w:hAnsi="標楷體" w:hint="eastAsia"/>
        </w:rPr>
        <w:t>月</w:t>
      </w:r>
      <w:r>
        <w:t>14</w:t>
      </w:r>
      <w:r>
        <w:rPr>
          <w:rFonts w:hAnsi="標楷體" w:hint="eastAsia"/>
        </w:rPr>
        <w:t>日發布</w:t>
      </w:r>
      <w:proofErr w:type="gramStart"/>
      <w:r>
        <w:rPr>
          <w:rFonts w:hAnsi="標楷體" w:hint="eastAsia"/>
        </w:rPr>
        <w:t>前揭函</w:t>
      </w:r>
      <w:r>
        <w:rPr>
          <w:rFonts w:hint="eastAsia"/>
        </w:rPr>
        <w:t>釋</w:t>
      </w:r>
      <w:proofErr w:type="gramEnd"/>
      <w:r>
        <w:rPr>
          <w:rFonts w:hAnsi="標楷體" w:hint="eastAsia"/>
        </w:rPr>
        <w:t>，有效運用加值型營業稅制之稅額追補機制</w:t>
      </w:r>
      <w:r>
        <w:rPr>
          <w:rFonts w:hint="eastAsia"/>
        </w:rPr>
        <w:t>，積極</w:t>
      </w:r>
      <w:r>
        <w:rPr>
          <w:rFonts w:hAnsi="標楷體" w:hint="eastAsia"/>
        </w:rPr>
        <w:t>輔導資源回收業者納入加值型營業稅體系，並</w:t>
      </w:r>
      <w:r>
        <w:rPr>
          <w:rFonts w:hint="eastAsia"/>
          <w:noProof/>
        </w:rPr>
        <w:t>解決開立銷貨憑證及再生工廠取得進項憑證之問題，</w:t>
      </w:r>
      <w:r>
        <w:rPr>
          <w:rFonts w:hAnsi="標楷體" w:hint="eastAsia"/>
        </w:rPr>
        <w:t>核該部相關作為</w:t>
      </w:r>
      <w:r>
        <w:rPr>
          <w:rFonts w:hint="eastAsia"/>
          <w:noProof/>
        </w:rPr>
        <w:t>，有助於維護營業稅制之完整，</w:t>
      </w:r>
      <w:r>
        <w:rPr>
          <w:rFonts w:hAnsi="標楷體" w:hint="eastAsia"/>
        </w:rPr>
        <w:t>應予肯認，並無陳訴人所</w:t>
      </w:r>
      <w:proofErr w:type="gramStart"/>
      <w:r>
        <w:rPr>
          <w:rFonts w:hAnsi="標楷體" w:hint="eastAsia"/>
        </w:rPr>
        <w:t>指</w:t>
      </w:r>
      <w:r>
        <w:rPr>
          <w:rFonts w:hint="eastAsia"/>
          <w:noProof/>
          <w:color w:val="000000"/>
        </w:rPr>
        <w:t>迄未研</w:t>
      </w:r>
      <w:proofErr w:type="gramEnd"/>
      <w:r>
        <w:rPr>
          <w:rFonts w:hint="eastAsia"/>
          <w:noProof/>
          <w:color w:val="000000"/>
        </w:rPr>
        <w:t>擬符合資源回收業者繳納營業稅之合理辦法等情</w:t>
      </w:r>
      <w:r>
        <w:rPr>
          <w:rFonts w:hAnsi="標楷體" w:hint="eastAsia"/>
        </w:rPr>
        <w:t>。</w:t>
      </w:r>
    </w:p>
    <w:p w:rsidR="001807F7" w:rsidRDefault="001807F7">
      <w:pPr>
        <w:pStyle w:val="3"/>
        <w:rPr>
          <w:rFonts w:ascii="Times New Roman" w:hAnsi="Times New Roman" w:cs="Times New Roman"/>
        </w:rPr>
      </w:pPr>
      <w:r>
        <w:rPr>
          <w:rFonts w:hAnsi="標楷體" w:hint="eastAsia"/>
        </w:rPr>
        <w:t>行政院</w:t>
      </w:r>
      <w:r>
        <w:rPr>
          <w:rFonts w:hAnsi="標楷體" w:hint="eastAsia"/>
          <w:noProof/>
        </w:rPr>
        <w:t>於</w:t>
      </w:r>
      <w:r>
        <w:rPr>
          <w:rFonts w:hAnsi="標楷體"/>
          <w:noProof/>
        </w:rPr>
        <w:t>96</w:t>
      </w:r>
      <w:r>
        <w:rPr>
          <w:rFonts w:hAnsi="標楷體" w:hint="eastAsia"/>
          <w:noProof/>
        </w:rPr>
        <w:t>年</w:t>
      </w:r>
      <w:r>
        <w:rPr>
          <w:rFonts w:hAnsi="標楷體"/>
          <w:noProof/>
        </w:rPr>
        <w:t>4</w:t>
      </w:r>
      <w:r>
        <w:rPr>
          <w:rFonts w:hAnsi="標楷體" w:hint="eastAsia"/>
          <w:noProof/>
        </w:rPr>
        <w:t>月</w:t>
      </w:r>
      <w:r>
        <w:rPr>
          <w:rFonts w:hAnsi="標楷體"/>
          <w:noProof/>
        </w:rPr>
        <w:t>19</w:t>
      </w:r>
      <w:r>
        <w:rPr>
          <w:rFonts w:hAnsi="標楷體" w:hint="eastAsia"/>
          <w:noProof/>
        </w:rPr>
        <w:t>日由林政務委員</w:t>
      </w:r>
      <w:r w:rsidR="00CA03A6">
        <w:rPr>
          <w:rFonts w:hAnsi="標楷體" w:hint="eastAsia"/>
          <w:noProof/>
        </w:rPr>
        <w:t>○○</w:t>
      </w:r>
      <w:r>
        <w:rPr>
          <w:rFonts w:hAnsi="標楷體" w:hint="eastAsia"/>
          <w:noProof/>
        </w:rPr>
        <w:t>主持研商廢棄物回收業者繳納稅賦問題會議</w:t>
      </w:r>
      <w:bookmarkStart w:id="64" w:name="_GoBack"/>
      <w:bookmarkEnd w:id="64"/>
      <w:r>
        <w:rPr>
          <w:rFonts w:hAnsi="標楷體" w:hint="eastAsia"/>
          <w:noProof/>
        </w:rPr>
        <w:t>，</w:t>
      </w:r>
      <w:r>
        <w:rPr>
          <w:rFonts w:hint="eastAsia"/>
          <w:noProof/>
        </w:rPr>
        <w:t>其會議結論略以</w:t>
      </w:r>
      <w:r>
        <w:rPr>
          <w:rFonts w:hAnsi="標楷體" w:hint="eastAsia"/>
          <w:noProof/>
        </w:rPr>
        <w:t>：</w:t>
      </w:r>
      <w:r>
        <w:rPr>
          <w:rFonts w:hint="eastAsia"/>
        </w:rPr>
        <w:t>有關廢棄物回收業者繳稅問題，財政部已統一處理方式，即按</w:t>
      </w:r>
      <w:r>
        <w:t>86</w:t>
      </w:r>
      <w:r>
        <w:rPr>
          <w:rFonts w:hint="eastAsia"/>
          <w:noProof/>
        </w:rPr>
        <w:t>、</w:t>
      </w:r>
      <w:r>
        <w:t>87</w:t>
      </w:r>
      <w:r>
        <w:rPr>
          <w:rFonts w:hint="eastAsia"/>
        </w:rPr>
        <w:t>年財政部解釋函辦理，各地區國稅局應即一體照</w:t>
      </w:r>
      <w:proofErr w:type="gramStart"/>
      <w:r>
        <w:rPr>
          <w:rFonts w:hint="eastAsia"/>
        </w:rPr>
        <w:t>遵</w:t>
      </w:r>
      <w:proofErr w:type="gramEnd"/>
      <w:r>
        <w:rPr>
          <w:rFonts w:hint="eastAsia"/>
        </w:rPr>
        <w:t>。廢棄物</w:t>
      </w:r>
      <w:proofErr w:type="gramStart"/>
      <w:r>
        <w:rPr>
          <w:rFonts w:hint="eastAsia"/>
        </w:rPr>
        <w:t>回收業其經營</w:t>
      </w:r>
      <w:proofErr w:type="gramEnd"/>
      <w:r>
        <w:rPr>
          <w:rFonts w:hint="eastAsia"/>
        </w:rPr>
        <w:t>型態與一般行業不同，請財政部就業者提出之行政救濟案件爬梳整理，歸納出案件型態，並考量廢棄物回收業之行業特性，於</w:t>
      </w:r>
      <w:r>
        <w:t>1</w:t>
      </w:r>
      <w:r>
        <w:rPr>
          <w:rFonts w:hint="eastAsia"/>
        </w:rPr>
        <w:t>個月內提報解決之</w:t>
      </w:r>
      <w:proofErr w:type="gramStart"/>
      <w:r>
        <w:rPr>
          <w:rFonts w:hint="eastAsia"/>
        </w:rPr>
        <w:t>研</w:t>
      </w:r>
      <w:proofErr w:type="gramEnd"/>
      <w:r>
        <w:rPr>
          <w:rFonts w:hint="eastAsia"/>
        </w:rPr>
        <w:t>提方案。財政部爰依行政院指示，於</w:t>
      </w:r>
      <w:r>
        <w:t>96</w:t>
      </w:r>
      <w:r>
        <w:rPr>
          <w:rFonts w:hint="eastAsia"/>
        </w:rPr>
        <w:t>年</w:t>
      </w:r>
      <w:r>
        <w:t>5</w:t>
      </w:r>
      <w:r>
        <w:rPr>
          <w:rFonts w:hint="eastAsia"/>
        </w:rPr>
        <w:t>月</w:t>
      </w:r>
      <w:r>
        <w:t>10</w:t>
      </w:r>
      <w:r>
        <w:rPr>
          <w:rFonts w:hint="eastAsia"/>
        </w:rPr>
        <w:t>日邀集各地區國稅局</w:t>
      </w:r>
      <w:proofErr w:type="gramStart"/>
      <w:r>
        <w:rPr>
          <w:rFonts w:hint="eastAsia"/>
        </w:rPr>
        <w:t>研</w:t>
      </w:r>
      <w:proofErr w:type="gramEnd"/>
      <w:r>
        <w:rPr>
          <w:rFonts w:hint="eastAsia"/>
        </w:rPr>
        <w:t>商一致性解決方案，並於同年月</w:t>
      </w:r>
      <w:r>
        <w:t>18</w:t>
      </w:r>
      <w:r>
        <w:rPr>
          <w:rFonts w:hint="eastAsia"/>
        </w:rPr>
        <w:t>日將解決方案報行政院，其中</w:t>
      </w:r>
      <w:proofErr w:type="gramStart"/>
      <w:r>
        <w:rPr>
          <w:rFonts w:hint="eastAsia"/>
        </w:rPr>
        <w:t>該部所列</w:t>
      </w:r>
      <w:proofErr w:type="gramEnd"/>
      <w:r>
        <w:rPr>
          <w:rFonts w:hint="eastAsia"/>
        </w:rPr>
        <w:t>違章類型為「無交易事實，取得臺灣省第二資源回收物運銷合作社（下稱</w:t>
      </w:r>
      <w:r>
        <w:rPr>
          <w:rFonts w:hint="eastAsia"/>
          <w:noProof/>
        </w:rPr>
        <w:t>二資社）</w:t>
      </w:r>
      <w:r>
        <w:rPr>
          <w:rFonts w:hint="eastAsia"/>
        </w:rPr>
        <w:t>統一發票」者，經各地區國稅局自行檢視發現異常而重新查核者計</w:t>
      </w:r>
      <w:r>
        <w:t>24</w:t>
      </w:r>
      <w:r>
        <w:rPr>
          <w:rFonts w:hint="eastAsia"/>
        </w:rPr>
        <w:t>件，顯見部分案件確有檢討空間，財政部應督導</w:t>
      </w:r>
      <w:proofErr w:type="gramStart"/>
      <w:r>
        <w:rPr>
          <w:rFonts w:hint="eastAsia"/>
        </w:rPr>
        <w:t>所屬悉</w:t>
      </w:r>
      <w:proofErr w:type="gramEnd"/>
      <w:r>
        <w:rPr>
          <w:rFonts w:hint="eastAsia"/>
        </w:rPr>
        <w:t>依上</w:t>
      </w:r>
      <w:proofErr w:type="gramStart"/>
      <w:r>
        <w:rPr>
          <w:rFonts w:hint="eastAsia"/>
        </w:rPr>
        <w:t>開函釋及</w:t>
      </w:r>
      <w:proofErr w:type="gramEnd"/>
      <w:r>
        <w:rPr>
          <w:rFonts w:hint="eastAsia"/>
        </w:rPr>
        <w:t>會議結論辦理，以杜爭議。</w:t>
      </w:r>
    </w:p>
    <w:bookmarkEnd w:id="45"/>
    <w:bookmarkEnd w:id="54"/>
    <w:bookmarkEnd w:id="55"/>
    <w:bookmarkEnd w:id="56"/>
    <w:bookmarkEnd w:id="57"/>
    <w:bookmarkEnd w:id="58"/>
    <w:bookmarkEnd w:id="59"/>
    <w:bookmarkEnd w:id="60"/>
    <w:bookmarkEnd w:id="61"/>
    <w:bookmarkEnd w:id="62"/>
    <w:bookmarkEnd w:id="63"/>
    <w:p w:rsidR="001807F7" w:rsidRDefault="001807F7">
      <w:pPr>
        <w:pStyle w:val="2"/>
        <w:ind w:left="1020" w:hanging="680"/>
        <w:rPr>
          <w:rFonts w:ascii="Times New Roman" w:hAnsi="Times New Roman" w:cs="Times New Roman"/>
        </w:rPr>
      </w:pPr>
      <w:r>
        <w:rPr>
          <w:rFonts w:hint="eastAsia"/>
        </w:rPr>
        <w:t>本案財政部</w:t>
      </w:r>
      <w:r>
        <w:rPr>
          <w:rFonts w:hint="eastAsia"/>
          <w:u w:color="000000"/>
        </w:rPr>
        <w:t>相關作為，</w:t>
      </w:r>
      <w:r>
        <w:rPr>
          <w:rFonts w:hint="eastAsia"/>
        </w:rPr>
        <w:t>尚難謂前後不一，惟</w:t>
      </w:r>
      <w:r>
        <w:rPr>
          <w:rFonts w:hint="eastAsia"/>
          <w:u w:color="000000"/>
        </w:rPr>
        <w:t>仍應加強相關法令之教育及宣導工作，以避免當事人等因</w:t>
      </w:r>
      <w:r>
        <w:rPr>
          <w:rFonts w:hint="eastAsia"/>
        </w:rPr>
        <w:t>誤解法令或認知錯誤而誤觸法律情事</w:t>
      </w:r>
      <w:r>
        <w:rPr>
          <w:rFonts w:hint="eastAsia"/>
          <w:u w:color="000000"/>
        </w:rPr>
        <w:t>。</w:t>
      </w:r>
    </w:p>
    <w:p w:rsidR="001807F7" w:rsidRDefault="001807F7">
      <w:pPr>
        <w:pStyle w:val="3"/>
        <w:ind w:left="1360" w:hanging="680"/>
        <w:rPr>
          <w:rFonts w:ascii="Times New Roman" w:hAnsi="Times New Roman" w:cs="Times New Roman"/>
        </w:rPr>
      </w:pPr>
      <w:r>
        <w:rPr>
          <w:rFonts w:hint="eastAsia"/>
        </w:rPr>
        <w:lastRenderedPageBreak/>
        <w:t>按前揭財政部</w:t>
      </w:r>
      <w:r>
        <w:t>87</w:t>
      </w:r>
      <w:r>
        <w:rPr>
          <w:rFonts w:hAnsi="標楷體" w:hint="eastAsia"/>
        </w:rPr>
        <w:t>年</w:t>
      </w:r>
      <w:r>
        <w:t>7</w:t>
      </w:r>
      <w:r>
        <w:rPr>
          <w:rFonts w:hAnsi="標楷體" w:hint="eastAsia"/>
        </w:rPr>
        <w:t>月</w:t>
      </w:r>
      <w:r>
        <w:t>14</w:t>
      </w:r>
      <w:r>
        <w:rPr>
          <w:rFonts w:hAnsi="標楷體" w:hint="eastAsia"/>
        </w:rPr>
        <w:t>日台財稅第</w:t>
      </w:r>
      <w:r>
        <w:t>871953090</w:t>
      </w:r>
      <w:r>
        <w:rPr>
          <w:rFonts w:hAnsi="標楷體" w:hint="eastAsia"/>
        </w:rPr>
        <w:t>號</w:t>
      </w:r>
      <w:proofErr w:type="gramStart"/>
      <w:r>
        <w:rPr>
          <w:rFonts w:hAnsi="標楷體" w:hint="eastAsia"/>
        </w:rPr>
        <w:t>函明</w:t>
      </w:r>
      <w:r>
        <w:rPr>
          <w:rFonts w:hint="eastAsia"/>
        </w:rPr>
        <w:t>釋，</w:t>
      </w:r>
      <w:proofErr w:type="gramEnd"/>
      <w:r>
        <w:rPr>
          <w:rFonts w:hint="eastAsia"/>
        </w:rPr>
        <w:t>臺灣省廢棄物運銷合作社（下稱</w:t>
      </w:r>
      <w:r>
        <w:rPr>
          <w:rFonts w:hint="eastAsia"/>
          <w:noProof/>
        </w:rPr>
        <w:t>廢合社）</w:t>
      </w:r>
      <w:proofErr w:type="gramStart"/>
      <w:r>
        <w:rPr>
          <w:rFonts w:hAnsi="標楷體" w:hint="eastAsia"/>
        </w:rPr>
        <w:t>之司庫如</w:t>
      </w:r>
      <w:proofErr w:type="gramEnd"/>
      <w:r>
        <w:rPr>
          <w:rFonts w:hAnsi="標楷體" w:hint="eastAsia"/>
        </w:rPr>
        <w:t>兼具其他營利事業負責人之身分，其交付再生工廠之廢棄物，除調查單位移送之筆錄及報告書外，若尚無其他具體事證</w:t>
      </w:r>
      <w:proofErr w:type="gramStart"/>
      <w:r>
        <w:rPr>
          <w:rFonts w:hAnsi="標楷體" w:hint="eastAsia"/>
        </w:rPr>
        <w:t>證</w:t>
      </w:r>
      <w:proofErr w:type="gramEnd"/>
      <w:r>
        <w:rPr>
          <w:rFonts w:hAnsi="標楷體" w:hint="eastAsia"/>
        </w:rPr>
        <w:t>明確係該營利事業銷售與再生工廠者，基於前述廢棄物回收與一般貨物買賣性質確有不同之考量，宜認定係該社社員共同運銷之廢棄物，依一時貿易所得，歸課社員之綜合所得稅</w:t>
      </w:r>
      <w:r>
        <w:rPr>
          <w:rFonts w:hint="eastAsia"/>
          <w:u w:color="000000"/>
        </w:rPr>
        <w:t>。</w:t>
      </w:r>
    </w:p>
    <w:p w:rsidR="001807F7" w:rsidRDefault="001807F7">
      <w:pPr>
        <w:pStyle w:val="3"/>
        <w:ind w:left="1360" w:hanging="680"/>
        <w:rPr>
          <w:rFonts w:ascii="Times New Roman" w:hAnsi="Times New Roman" w:cs="Times New Roman"/>
        </w:rPr>
      </w:pPr>
      <w:r>
        <w:rPr>
          <w:rFonts w:hint="eastAsia"/>
          <w:u w:color="000000"/>
        </w:rPr>
        <w:t>本案陳訴人所指</w:t>
      </w:r>
      <w:proofErr w:type="gramStart"/>
      <w:r>
        <w:rPr>
          <w:rFonts w:hint="eastAsia"/>
          <w:u w:color="000000"/>
        </w:rPr>
        <w:t>稽</w:t>
      </w:r>
      <w:proofErr w:type="gramEnd"/>
      <w:r>
        <w:rPr>
          <w:rFonts w:hint="eastAsia"/>
          <w:u w:color="000000"/>
        </w:rPr>
        <w:t>徵機關對二</w:t>
      </w:r>
      <w:proofErr w:type="gramStart"/>
      <w:r>
        <w:rPr>
          <w:rFonts w:hint="eastAsia"/>
          <w:u w:color="000000"/>
        </w:rPr>
        <w:t>資社案件與</w:t>
      </w:r>
      <w:r>
        <w:rPr>
          <w:rFonts w:hint="eastAsia"/>
        </w:rPr>
        <w:t>廢合社</w:t>
      </w:r>
      <w:proofErr w:type="gramEnd"/>
      <w:r>
        <w:rPr>
          <w:rFonts w:hint="eastAsia"/>
          <w:u w:color="000000"/>
        </w:rPr>
        <w:t>案件有不同之</w:t>
      </w:r>
      <w:r>
        <w:rPr>
          <w:rFonts w:hAnsi="標楷體" w:hint="eastAsia"/>
        </w:rPr>
        <w:t>處理</w:t>
      </w:r>
      <w:r>
        <w:rPr>
          <w:rFonts w:hint="eastAsia"/>
          <w:u w:color="000000"/>
        </w:rPr>
        <w:t>，據財政部之說明資料，係因</w:t>
      </w:r>
      <w:proofErr w:type="gramStart"/>
      <w:r>
        <w:rPr>
          <w:rFonts w:hint="eastAsia"/>
          <w:u w:color="000000"/>
        </w:rPr>
        <w:t>對於廢合社</w:t>
      </w:r>
      <w:proofErr w:type="gramEnd"/>
      <w:r>
        <w:rPr>
          <w:rFonts w:hint="eastAsia"/>
          <w:u w:color="000000"/>
        </w:rPr>
        <w:t>相關案件，</w:t>
      </w:r>
      <w:proofErr w:type="gramStart"/>
      <w:r>
        <w:rPr>
          <w:rFonts w:hint="eastAsia"/>
          <w:u w:color="000000"/>
        </w:rPr>
        <w:t>稽</w:t>
      </w:r>
      <w:proofErr w:type="gramEnd"/>
      <w:r>
        <w:rPr>
          <w:rFonts w:hint="eastAsia"/>
          <w:u w:color="000000"/>
        </w:rPr>
        <w:t>徵機關僅有檢調機關移送之筆錄及報告書，未掌握帳載或資金流程等具體違章事證，無法作為核課之依據，致大部分核課案件於行政救濟中遭撤銷，並非財政部允許其可利用人頭社員分散所得</w:t>
      </w:r>
      <w:proofErr w:type="gramStart"/>
      <w:r>
        <w:rPr>
          <w:rFonts w:hint="eastAsia"/>
          <w:u w:color="000000"/>
        </w:rPr>
        <w:t>及替非社員</w:t>
      </w:r>
      <w:proofErr w:type="gramEnd"/>
      <w:r>
        <w:rPr>
          <w:rFonts w:hint="eastAsia"/>
          <w:u w:color="000000"/>
        </w:rPr>
        <w:t>開立或販售統一發票等不法行為。而</w:t>
      </w:r>
      <w:proofErr w:type="gramStart"/>
      <w:r>
        <w:rPr>
          <w:rFonts w:hint="eastAsia"/>
          <w:u w:color="000000"/>
        </w:rPr>
        <w:t>稽</w:t>
      </w:r>
      <w:proofErr w:type="gramEnd"/>
      <w:r>
        <w:rPr>
          <w:rFonts w:hint="eastAsia"/>
          <w:u w:color="000000"/>
        </w:rPr>
        <w:t>徵機關掌握二</w:t>
      </w:r>
      <w:proofErr w:type="gramStart"/>
      <w:r>
        <w:rPr>
          <w:rFonts w:hint="eastAsia"/>
          <w:u w:color="000000"/>
        </w:rPr>
        <w:t>資社相關</w:t>
      </w:r>
      <w:proofErr w:type="gramEnd"/>
      <w:r>
        <w:rPr>
          <w:rFonts w:hint="eastAsia"/>
          <w:u w:color="000000"/>
        </w:rPr>
        <w:t>案件之事證，除臺灣高等法院檢察署移送之調查筆錄及報告書外，尚有內帳資料、銀行往來紀錄及最高行政法院裁定等，事證明確。核財政部相關作為，</w:t>
      </w:r>
      <w:r>
        <w:rPr>
          <w:rFonts w:hint="eastAsia"/>
        </w:rPr>
        <w:t>尚無違反</w:t>
      </w:r>
      <w:proofErr w:type="gramStart"/>
      <w:r>
        <w:rPr>
          <w:rFonts w:hint="eastAsia"/>
        </w:rPr>
        <w:t>上開函釋</w:t>
      </w:r>
      <w:proofErr w:type="gramEnd"/>
      <w:r>
        <w:rPr>
          <w:rFonts w:hint="eastAsia"/>
        </w:rPr>
        <w:t>，難謂前後不一，</w:t>
      </w:r>
      <w:r>
        <w:rPr>
          <w:rFonts w:hint="eastAsia"/>
          <w:u w:color="000000"/>
        </w:rPr>
        <w:t>惟仍應加強相關法令之教育及宣導工作，以避免因核課案件於行政救濟中遭撤銷而造成當事人等</w:t>
      </w:r>
      <w:r>
        <w:rPr>
          <w:rFonts w:hint="eastAsia"/>
        </w:rPr>
        <w:t>誤解法令或認知錯誤而誤觸法律情事</w:t>
      </w:r>
      <w:r>
        <w:rPr>
          <w:rFonts w:hint="eastAsia"/>
          <w:u w:color="000000"/>
        </w:rPr>
        <w:t>。</w:t>
      </w:r>
    </w:p>
    <w:p w:rsidR="001807F7" w:rsidRDefault="001807F7">
      <w:pPr>
        <w:pStyle w:val="2"/>
        <w:ind w:left="1020" w:hanging="680"/>
        <w:rPr>
          <w:rFonts w:ascii="Times New Roman" w:hAnsi="Times New Roman" w:cs="Times New Roman"/>
        </w:rPr>
      </w:pPr>
      <w:r>
        <w:rPr>
          <w:rFonts w:hAnsi="標楷體" w:hint="eastAsia"/>
        </w:rPr>
        <w:t>財政部應</w:t>
      </w:r>
      <w:r>
        <w:rPr>
          <w:rFonts w:hint="eastAsia"/>
          <w:color w:val="000000"/>
          <w:u w:color="000000"/>
        </w:rPr>
        <w:t>考量資源回收業之行業特性，</w:t>
      </w:r>
      <w:r>
        <w:rPr>
          <w:rFonts w:hint="eastAsia"/>
        </w:rPr>
        <w:t>持續教育及輔導業者及納稅義務人注意所得稅法相關規定，避免發生違章情形。</w:t>
      </w:r>
    </w:p>
    <w:p w:rsidR="001807F7" w:rsidRDefault="001807F7">
      <w:pPr>
        <w:pStyle w:val="3"/>
        <w:ind w:left="1360" w:hanging="680"/>
        <w:rPr>
          <w:rFonts w:ascii="Times New Roman" w:hAnsi="Times New Roman" w:cs="Times New Roman"/>
        </w:rPr>
      </w:pPr>
      <w:r>
        <w:rPr>
          <w:rFonts w:hint="eastAsia"/>
          <w:color w:val="000000"/>
          <w:u w:color="000000"/>
        </w:rPr>
        <w:t>按「營利所得：公司股東所獲分配之股利總額、合作社社員所獲分配之盈餘總額</w:t>
      </w:r>
      <w:r>
        <w:rPr>
          <w:rFonts w:ascii="Times New Roman" w:hAnsi="標楷體" w:hint="eastAsia"/>
        </w:rPr>
        <w:t>…</w:t>
      </w:r>
      <w:r>
        <w:rPr>
          <w:rFonts w:hint="eastAsia"/>
          <w:color w:val="000000"/>
          <w:u w:color="000000"/>
        </w:rPr>
        <w:t>及個人一時貿易之盈餘皆屬之」、「營利事業所得之計算，以其本年度收入總額減除各項成本費用、損失及稅捐後之純益額為所得額。所得額之計算，涉有應稅所得及免稅所得者，其相關之成本、費用或損失，除可直接合理明確歸屬者，得個別歸屬認</w:t>
      </w:r>
      <w:proofErr w:type="gramStart"/>
      <w:r>
        <w:rPr>
          <w:rFonts w:hint="eastAsia"/>
          <w:color w:val="000000"/>
          <w:u w:color="000000"/>
        </w:rPr>
        <w:t>列外</w:t>
      </w:r>
      <w:proofErr w:type="gramEnd"/>
      <w:r>
        <w:rPr>
          <w:rFonts w:hint="eastAsia"/>
          <w:color w:val="000000"/>
          <w:u w:color="000000"/>
        </w:rPr>
        <w:t>，應作合理之分攤；其分攤辦法，由財政部定之」及「納稅義務人應於每年</w:t>
      </w:r>
      <w:r>
        <w:rPr>
          <w:color w:val="000000"/>
          <w:u w:color="000000"/>
        </w:rPr>
        <w:t>5</w:t>
      </w:r>
      <w:r>
        <w:rPr>
          <w:rFonts w:hint="eastAsia"/>
          <w:color w:val="000000"/>
          <w:u w:color="000000"/>
        </w:rPr>
        <w:t>月</w:t>
      </w:r>
      <w:r>
        <w:rPr>
          <w:color w:val="000000"/>
          <w:u w:color="000000"/>
        </w:rPr>
        <w:t>1</w:t>
      </w:r>
      <w:r>
        <w:rPr>
          <w:rFonts w:hint="eastAsia"/>
          <w:color w:val="000000"/>
          <w:u w:color="000000"/>
        </w:rPr>
        <w:t>日起至</w:t>
      </w:r>
      <w:r>
        <w:rPr>
          <w:color w:val="000000"/>
          <w:u w:color="000000"/>
        </w:rPr>
        <w:t>5</w:t>
      </w:r>
      <w:r>
        <w:rPr>
          <w:rFonts w:hint="eastAsia"/>
          <w:color w:val="000000"/>
          <w:u w:color="000000"/>
        </w:rPr>
        <w:t>月</w:t>
      </w:r>
      <w:r>
        <w:rPr>
          <w:color w:val="000000"/>
          <w:u w:color="000000"/>
        </w:rPr>
        <w:t>31</w:t>
      </w:r>
      <w:r>
        <w:rPr>
          <w:rFonts w:hint="eastAsia"/>
          <w:color w:val="000000"/>
          <w:u w:color="000000"/>
        </w:rPr>
        <w:t>日止，填具結算申報書，向該管</w:t>
      </w:r>
      <w:proofErr w:type="gramStart"/>
      <w:r>
        <w:rPr>
          <w:rFonts w:hint="eastAsia"/>
          <w:color w:val="000000"/>
          <w:u w:color="000000"/>
        </w:rPr>
        <w:t>稽</w:t>
      </w:r>
      <w:proofErr w:type="gramEnd"/>
      <w:r>
        <w:rPr>
          <w:rFonts w:hint="eastAsia"/>
          <w:color w:val="000000"/>
          <w:u w:color="000000"/>
        </w:rPr>
        <w:t>徵機關，申報其上一年度內構成綜合所得總額或營利事業收入總額之項目及數額，以及有關減免、扣除之事實</w:t>
      </w:r>
      <w:r>
        <w:rPr>
          <w:rFonts w:ascii="Times New Roman" w:hAnsi="標楷體" w:hint="eastAsia"/>
        </w:rPr>
        <w:t>…</w:t>
      </w:r>
      <w:r>
        <w:rPr>
          <w:rFonts w:hint="eastAsia"/>
          <w:color w:val="000000"/>
          <w:u w:color="000000"/>
        </w:rPr>
        <w:t>」分</w:t>
      </w:r>
      <w:r>
        <w:rPr>
          <w:rFonts w:hAnsi="標楷體" w:hint="eastAsia"/>
        </w:rPr>
        <w:t>別為</w:t>
      </w:r>
      <w:r>
        <w:rPr>
          <w:rFonts w:hint="eastAsia"/>
          <w:color w:val="000000"/>
          <w:u w:color="000000"/>
        </w:rPr>
        <w:t>所得稅法第</w:t>
      </w:r>
      <w:r>
        <w:rPr>
          <w:color w:val="000000"/>
          <w:u w:color="000000"/>
        </w:rPr>
        <w:t>14</w:t>
      </w:r>
      <w:r>
        <w:rPr>
          <w:rFonts w:hint="eastAsia"/>
          <w:color w:val="000000"/>
          <w:u w:color="000000"/>
        </w:rPr>
        <w:t>條第</w:t>
      </w:r>
      <w:r>
        <w:rPr>
          <w:color w:val="000000"/>
          <w:u w:color="000000"/>
        </w:rPr>
        <w:t>1</w:t>
      </w:r>
      <w:r>
        <w:rPr>
          <w:rFonts w:hint="eastAsia"/>
          <w:color w:val="000000"/>
          <w:u w:color="000000"/>
        </w:rPr>
        <w:t>項第</w:t>
      </w:r>
      <w:r>
        <w:rPr>
          <w:color w:val="000000"/>
          <w:u w:color="000000"/>
        </w:rPr>
        <w:t>1</w:t>
      </w:r>
      <w:r>
        <w:rPr>
          <w:rFonts w:hint="eastAsia"/>
          <w:color w:val="000000"/>
          <w:u w:color="000000"/>
        </w:rPr>
        <w:t>類前段、第</w:t>
      </w:r>
      <w:r>
        <w:rPr>
          <w:color w:val="000000"/>
          <w:u w:color="000000"/>
        </w:rPr>
        <w:t>24</w:t>
      </w:r>
      <w:r>
        <w:rPr>
          <w:rFonts w:hint="eastAsia"/>
          <w:color w:val="000000"/>
          <w:u w:color="000000"/>
        </w:rPr>
        <w:t>條第</w:t>
      </w:r>
      <w:r>
        <w:rPr>
          <w:color w:val="000000"/>
          <w:u w:color="000000"/>
        </w:rPr>
        <w:t>1</w:t>
      </w:r>
      <w:r>
        <w:rPr>
          <w:rFonts w:hint="eastAsia"/>
          <w:color w:val="000000"/>
          <w:u w:color="000000"/>
        </w:rPr>
        <w:t>項及第</w:t>
      </w:r>
      <w:r>
        <w:rPr>
          <w:color w:val="000000"/>
          <w:u w:color="000000"/>
        </w:rPr>
        <w:t>71</w:t>
      </w:r>
      <w:r>
        <w:rPr>
          <w:rFonts w:hint="eastAsia"/>
          <w:color w:val="000000"/>
          <w:u w:color="000000"/>
        </w:rPr>
        <w:t>條</w:t>
      </w:r>
      <w:r>
        <w:rPr>
          <w:rFonts w:hAnsi="標楷體" w:hint="eastAsia"/>
        </w:rPr>
        <w:t>所明訂</w:t>
      </w:r>
      <w:r>
        <w:rPr>
          <w:rFonts w:hint="eastAsia"/>
          <w:color w:val="000000"/>
          <w:u w:color="000000"/>
        </w:rPr>
        <w:t>。另財政部於</w:t>
      </w:r>
      <w:r>
        <w:rPr>
          <w:color w:val="000000"/>
          <w:u w:color="000000"/>
        </w:rPr>
        <w:t>73</w:t>
      </w:r>
      <w:r>
        <w:rPr>
          <w:rFonts w:hint="eastAsia"/>
          <w:color w:val="000000"/>
          <w:u w:color="000000"/>
        </w:rPr>
        <w:t>年</w:t>
      </w:r>
      <w:r>
        <w:rPr>
          <w:color w:val="000000"/>
          <w:u w:color="000000"/>
        </w:rPr>
        <w:t>12</w:t>
      </w:r>
      <w:r>
        <w:rPr>
          <w:rFonts w:hint="eastAsia"/>
          <w:color w:val="000000"/>
          <w:u w:color="000000"/>
        </w:rPr>
        <w:t>月</w:t>
      </w:r>
      <w:r>
        <w:rPr>
          <w:color w:val="000000"/>
          <w:u w:color="000000"/>
        </w:rPr>
        <w:t>24</w:t>
      </w:r>
      <w:r>
        <w:rPr>
          <w:rFonts w:hint="eastAsia"/>
          <w:color w:val="000000"/>
          <w:u w:color="000000"/>
        </w:rPr>
        <w:t>日以台財稅第</w:t>
      </w:r>
      <w:r>
        <w:rPr>
          <w:color w:val="000000"/>
          <w:u w:color="000000"/>
        </w:rPr>
        <w:t>65468</w:t>
      </w:r>
      <w:r>
        <w:rPr>
          <w:rFonts w:hint="eastAsia"/>
          <w:color w:val="000000"/>
          <w:u w:color="000000"/>
        </w:rPr>
        <w:t>號函，</w:t>
      </w:r>
      <w:r>
        <w:rPr>
          <w:rFonts w:hint="eastAsia"/>
        </w:rPr>
        <w:t>將綜合所得稅個人一時貿易盈餘之單一純益率，自</w:t>
      </w:r>
      <w:r>
        <w:t>74</w:t>
      </w:r>
      <w:r>
        <w:rPr>
          <w:rFonts w:hint="eastAsia"/>
        </w:rPr>
        <w:t>年起調整為百分之六。</w:t>
      </w:r>
    </w:p>
    <w:p w:rsidR="001807F7" w:rsidRDefault="001807F7">
      <w:pPr>
        <w:pStyle w:val="3"/>
        <w:ind w:left="1360" w:hanging="680"/>
        <w:rPr>
          <w:rFonts w:ascii="Times New Roman" w:hAnsi="Times New Roman" w:cs="Times New Roman"/>
        </w:rPr>
      </w:pPr>
      <w:r>
        <w:rPr>
          <w:rFonts w:hint="eastAsia"/>
          <w:color w:val="000000"/>
          <w:u w:color="000000"/>
        </w:rPr>
        <w:t>資源回收業者如以合作社組織型態經營，合作社及其社員申報及繳納所得稅之方式，自應依上揭規定及函釋辦理。據</w:t>
      </w:r>
      <w:r>
        <w:rPr>
          <w:rFonts w:hint="eastAsia"/>
        </w:rPr>
        <w:t>財政部提供之資料，截至</w:t>
      </w:r>
      <w:r>
        <w:t>98</w:t>
      </w:r>
      <w:r>
        <w:rPr>
          <w:rFonts w:hint="eastAsia"/>
        </w:rPr>
        <w:t>年</w:t>
      </w:r>
      <w:r>
        <w:t>6</w:t>
      </w:r>
      <w:r>
        <w:rPr>
          <w:rFonts w:hint="eastAsia"/>
        </w:rPr>
        <w:t>月</w:t>
      </w:r>
      <w:r>
        <w:t>30</w:t>
      </w:r>
      <w:r>
        <w:rPr>
          <w:rFonts w:hint="eastAsia"/>
        </w:rPr>
        <w:t>日止，本案違章類型為「社員運銷以人頭社員分散所得」者，已開徵</w:t>
      </w:r>
      <w:r>
        <w:t>149</w:t>
      </w:r>
      <w:r>
        <w:rPr>
          <w:rFonts w:hint="eastAsia"/>
        </w:rPr>
        <w:t>件、已開徵救濟中</w:t>
      </w:r>
      <w:r>
        <w:t>17</w:t>
      </w:r>
      <w:r>
        <w:rPr>
          <w:rFonts w:hint="eastAsia"/>
        </w:rPr>
        <w:t>件、行政法院訴訟中</w:t>
      </w:r>
      <w:r>
        <w:t>8</w:t>
      </w:r>
      <w:r>
        <w:rPr>
          <w:rFonts w:hint="eastAsia"/>
        </w:rPr>
        <w:t>件。依行政院秘書處</w:t>
      </w:r>
      <w:r>
        <w:t>96</w:t>
      </w:r>
      <w:r>
        <w:rPr>
          <w:rFonts w:hint="eastAsia"/>
        </w:rPr>
        <w:t>年</w:t>
      </w:r>
      <w:r>
        <w:t>6</w:t>
      </w:r>
      <w:r>
        <w:rPr>
          <w:rFonts w:hint="eastAsia"/>
        </w:rPr>
        <w:t>月</w:t>
      </w:r>
      <w:r>
        <w:t>8</w:t>
      </w:r>
      <w:r>
        <w:rPr>
          <w:rFonts w:hint="eastAsia"/>
        </w:rPr>
        <w:t>日院</w:t>
      </w:r>
      <w:proofErr w:type="gramStart"/>
      <w:r>
        <w:rPr>
          <w:rFonts w:hint="eastAsia"/>
        </w:rPr>
        <w:t>臺財字</w:t>
      </w:r>
      <w:proofErr w:type="gramEnd"/>
      <w:r>
        <w:rPr>
          <w:rFonts w:hint="eastAsia"/>
        </w:rPr>
        <w:t>第</w:t>
      </w:r>
      <w:r>
        <w:t>0960024327</w:t>
      </w:r>
      <w:r>
        <w:rPr>
          <w:rFonts w:hint="eastAsia"/>
        </w:rPr>
        <w:t>號函示：「請依法依</w:t>
      </w:r>
      <w:proofErr w:type="gramStart"/>
      <w:r>
        <w:rPr>
          <w:rFonts w:hint="eastAsia"/>
        </w:rPr>
        <w:t>理公平妥適</w:t>
      </w:r>
      <w:proofErr w:type="gramEnd"/>
      <w:r>
        <w:rPr>
          <w:rFonts w:hint="eastAsia"/>
        </w:rPr>
        <w:t>處理，並向關心本案之陳情人及立法委員詳為解說」及該</w:t>
      </w:r>
      <w:proofErr w:type="gramStart"/>
      <w:r>
        <w:rPr>
          <w:rFonts w:hint="eastAsia"/>
        </w:rPr>
        <w:t>部前部長</w:t>
      </w:r>
      <w:r w:rsidR="00E63D53">
        <w:rPr>
          <w:rFonts w:hint="eastAsia"/>
          <w:noProof/>
          <w:color w:val="000000"/>
        </w:rPr>
        <w:t>顏</w:t>
      </w:r>
      <w:proofErr w:type="gramEnd"/>
      <w:r w:rsidR="00E63D53">
        <w:rPr>
          <w:rFonts w:hint="eastAsia"/>
          <w:noProof/>
          <w:color w:val="000000"/>
        </w:rPr>
        <w:t>○○</w:t>
      </w:r>
      <w:r>
        <w:rPr>
          <w:rFonts w:hint="eastAsia"/>
          <w:noProof/>
          <w:color w:val="000000"/>
        </w:rPr>
        <w:t>於接受本院約詢時表示：</w:t>
      </w:r>
      <w:r>
        <w:rPr>
          <w:rFonts w:hint="eastAsia"/>
        </w:rPr>
        <w:t>「</w:t>
      </w:r>
      <w:r>
        <w:rPr>
          <w:rFonts w:hAnsi="標楷體" w:hint="eastAsia"/>
        </w:rPr>
        <w:t>如果業者對所得稅的申報有欠當，財政部應可考慮予以輔導改正</w:t>
      </w:r>
      <w:r>
        <w:rPr>
          <w:rFonts w:hint="eastAsia"/>
        </w:rPr>
        <w:t>」之精神，財政部應</w:t>
      </w:r>
      <w:r>
        <w:rPr>
          <w:rFonts w:hint="eastAsia"/>
          <w:color w:val="000000"/>
          <w:u w:color="000000"/>
        </w:rPr>
        <w:t>考量資源回收業之行業特性，</w:t>
      </w:r>
      <w:r>
        <w:rPr>
          <w:rFonts w:hint="eastAsia"/>
        </w:rPr>
        <w:t>持續教育及輔導相關業者及納稅義務人注意所得稅法相關規定，避免類似違章情形一再發生。</w:t>
      </w:r>
    </w:p>
    <w:p w:rsidR="001807F7" w:rsidRDefault="001807F7">
      <w:pPr>
        <w:pStyle w:val="2"/>
        <w:rPr>
          <w:rFonts w:ascii="Times New Roman" w:hAnsi="Times New Roman" w:cs="Times New Roman"/>
        </w:rPr>
      </w:pPr>
      <w:r>
        <w:rPr>
          <w:rFonts w:hint="eastAsia"/>
          <w:noProof/>
        </w:rPr>
        <w:t>內政部宜召集相關單位</w:t>
      </w:r>
      <w:r>
        <w:rPr>
          <w:rFonts w:hint="eastAsia"/>
        </w:rPr>
        <w:t>進行</w:t>
      </w:r>
      <w:r>
        <w:rPr>
          <w:rFonts w:hint="eastAsia"/>
          <w:noProof/>
        </w:rPr>
        <w:t>研商及檢討，並</w:t>
      </w:r>
      <w:r>
        <w:rPr>
          <w:rFonts w:hAnsi="標楷體" w:hint="eastAsia"/>
        </w:rPr>
        <w:t>參酌國外相關規範，檢視現行規定是否務實、適當，以符政府獎勵資源回收之政策。</w:t>
      </w:r>
    </w:p>
    <w:p w:rsidR="001807F7" w:rsidRDefault="001807F7">
      <w:pPr>
        <w:pStyle w:val="3"/>
        <w:rPr>
          <w:rFonts w:ascii="Times New Roman" w:hAnsi="Times New Roman" w:cs="Times New Roman"/>
        </w:rPr>
      </w:pPr>
      <w:r>
        <w:rPr>
          <w:rFonts w:hint="eastAsia"/>
        </w:rPr>
        <w:t>依合作社法第</w:t>
      </w:r>
      <w:r>
        <w:t>2-1</w:t>
      </w:r>
      <w:r>
        <w:rPr>
          <w:rFonts w:hint="eastAsia"/>
        </w:rPr>
        <w:t>條規定：「合作社之主管機關：在中央為內政部；在直轄市為直轄市政府；在縣</w:t>
      </w:r>
      <w:r>
        <w:t>(</w:t>
      </w:r>
      <w:r>
        <w:rPr>
          <w:rFonts w:hint="eastAsia"/>
        </w:rPr>
        <w:t>市</w:t>
      </w:r>
      <w:r>
        <w:t>)</w:t>
      </w:r>
      <w:r>
        <w:rPr>
          <w:rFonts w:hint="eastAsia"/>
        </w:rPr>
        <w:t>為縣</w:t>
      </w:r>
      <w:r>
        <w:t>(</w:t>
      </w:r>
      <w:r>
        <w:rPr>
          <w:rFonts w:hint="eastAsia"/>
        </w:rPr>
        <w:t>市</w:t>
      </w:r>
      <w:r>
        <w:t>)</w:t>
      </w:r>
      <w:r>
        <w:rPr>
          <w:rFonts w:hint="eastAsia"/>
        </w:rPr>
        <w:t>政府。但其目的事業，應受各該事業之主管機關指導及監督」，同法施行細則第</w:t>
      </w:r>
      <w:r>
        <w:t>3</w:t>
      </w:r>
      <w:r>
        <w:rPr>
          <w:rFonts w:hint="eastAsia"/>
        </w:rPr>
        <w:t>條規定：「合作社之組織區域在直轄市或縣</w:t>
      </w:r>
      <w:r>
        <w:t>(</w:t>
      </w:r>
      <w:r>
        <w:rPr>
          <w:rFonts w:hint="eastAsia"/>
        </w:rPr>
        <w:t>市</w:t>
      </w:r>
      <w:r>
        <w:t>)</w:t>
      </w:r>
      <w:r>
        <w:rPr>
          <w:rFonts w:hint="eastAsia"/>
        </w:rPr>
        <w:t>行政區域者，以直轄市或縣</w:t>
      </w:r>
      <w:r>
        <w:t>(</w:t>
      </w:r>
      <w:r>
        <w:rPr>
          <w:rFonts w:hint="eastAsia"/>
        </w:rPr>
        <w:t>市</w:t>
      </w:r>
      <w:r>
        <w:t>)</w:t>
      </w:r>
      <w:r>
        <w:rPr>
          <w:rFonts w:hint="eastAsia"/>
        </w:rPr>
        <w:t>主管機關為其主管機關；跨越直轄市或縣</w:t>
      </w:r>
      <w:r>
        <w:t>(</w:t>
      </w:r>
      <w:r>
        <w:rPr>
          <w:rFonts w:hint="eastAsia"/>
        </w:rPr>
        <w:t>市</w:t>
      </w:r>
      <w:r>
        <w:t>)</w:t>
      </w:r>
      <w:r>
        <w:rPr>
          <w:rFonts w:hint="eastAsia"/>
        </w:rPr>
        <w:t>行政區域者，以中央主管機關為其主管機關」；另依行政院環境保護署組織條例第</w:t>
      </w:r>
      <w:r>
        <w:t>1</w:t>
      </w:r>
      <w:r>
        <w:rPr>
          <w:rFonts w:hint="eastAsia"/>
        </w:rPr>
        <w:t>條規定：「行政院環境保護署主管全國環境保護行政事務」、同法第</w:t>
      </w:r>
      <w:r>
        <w:t>8</w:t>
      </w:r>
      <w:r>
        <w:rPr>
          <w:rFonts w:hint="eastAsia"/>
        </w:rPr>
        <w:t>條規定：「廢棄物管理處</w:t>
      </w:r>
      <w:proofErr w:type="gramStart"/>
      <w:r>
        <w:rPr>
          <w:rFonts w:hint="eastAsia"/>
        </w:rPr>
        <w:t>掌理左列</w:t>
      </w:r>
      <w:proofErr w:type="gramEnd"/>
      <w:r>
        <w:rPr>
          <w:rFonts w:hint="eastAsia"/>
        </w:rPr>
        <w:t>事項：一、關於廢棄物管理與土壤污染防治政策及法規之</w:t>
      </w:r>
      <w:proofErr w:type="gramStart"/>
      <w:r>
        <w:rPr>
          <w:rFonts w:hint="eastAsia"/>
        </w:rPr>
        <w:t>研</w:t>
      </w:r>
      <w:proofErr w:type="gramEnd"/>
      <w:r>
        <w:rPr>
          <w:rFonts w:hint="eastAsia"/>
        </w:rPr>
        <w:t>訂事項。二、關於一般廢棄物管理與土壤污染防治之策劃、指導及監督事項。三、關於事業廢棄物管理之策劃、指導及監督事項。四、關於廢棄物投棄海洋之管制事項。五、關於其他廢棄物管理及土壤污染防治事項」。</w:t>
      </w:r>
    </w:p>
    <w:p w:rsidR="001807F7" w:rsidRDefault="001807F7">
      <w:pPr>
        <w:pStyle w:val="3"/>
        <w:rPr>
          <w:rFonts w:ascii="HiddenHorzOCR" w:eastAsia="HiddenHorzOCR" w:hAnsi="標楷體" w:cstheme="minorBidi"/>
        </w:rPr>
      </w:pPr>
      <w:r>
        <w:rPr>
          <w:rFonts w:hint="eastAsia"/>
        </w:rPr>
        <w:t>查本案陳訴人係以成立合作社方式於各地從事資源回收業，歷</w:t>
      </w:r>
      <w:r>
        <w:rPr>
          <w:rFonts w:hint="eastAsia"/>
          <w:noProof/>
        </w:rPr>
        <w:t>年來多次循各管道陳訴，惟行政部門似迄未能有效溝通及解決，致陳訴人不服而一再陳訴。內政部依上揭法令係合作事業主管機關，負有輔導管理之責，</w:t>
      </w:r>
      <w:r>
        <w:rPr>
          <w:rFonts w:ascii="?u" w:hAnsi="?u" w:hint="eastAsia"/>
          <w:color w:val="000000"/>
        </w:rPr>
        <w:t>行政院環境保護署</w:t>
      </w:r>
      <w:r>
        <w:rPr>
          <w:rFonts w:hint="eastAsia"/>
          <w:noProof/>
        </w:rPr>
        <w:t>亦應本諸上開權責，協助</w:t>
      </w:r>
      <w:r>
        <w:rPr>
          <w:rFonts w:hint="eastAsia"/>
        </w:rPr>
        <w:t>推動資源回收工作</w:t>
      </w:r>
      <w:r>
        <w:rPr>
          <w:rFonts w:hint="eastAsia"/>
          <w:noProof/>
        </w:rPr>
        <w:t>，</w:t>
      </w:r>
      <w:r>
        <w:rPr>
          <w:rFonts w:hAnsi="標楷體" w:hint="eastAsia"/>
        </w:rPr>
        <w:t>財政部則應如前揭意見，</w:t>
      </w:r>
      <w:r>
        <w:rPr>
          <w:rFonts w:hint="eastAsia"/>
          <w:noProof/>
        </w:rPr>
        <w:t>教育及</w:t>
      </w:r>
      <w:r>
        <w:rPr>
          <w:rFonts w:hint="eastAsia"/>
        </w:rPr>
        <w:t>輔導業者及納稅義務人注意稅法相關規定，各單位分工合作，</w:t>
      </w:r>
      <w:r>
        <w:rPr>
          <w:rFonts w:hint="eastAsia"/>
          <w:noProof/>
        </w:rPr>
        <w:t>以期有效達成資源循環零廢棄並提高垃圾回收率之目標。為求陳訴人多年來疑義能完全釐清與避免行政機關間之認知發生不一致情形，考量資源回收業確有其行業特殊性，內政部宜召集上開相關單位就本案陳訴人</w:t>
      </w:r>
      <w:r>
        <w:rPr>
          <w:rFonts w:hint="eastAsia"/>
        </w:rPr>
        <w:t>以成立合作社方式於各地從事資源回收工作，其運作模式、業務內容及範圍、租稅規定及主管機關如何適時輔導等節進行</w:t>
      </w:r>
      <w:r>
        <w:rPr>
          <w:rFonts w:hint="eastAsia"/>
          <w:noProof/>
        </w:rPr>
        <w:t>研商、檢討，並</w:t>
      </w:r>
      <w:r>
        <w:rPr>
          <w:rFonts w:hAnsi="標楷體" w:hint="eastAsia"/>
        </w:rPr>
        <w:t>參酌國外對資源回收業者之管理、輔導及課稅等相關規範，檢視現行規定是否務實、適當，以符政府獎勵資源回收之政策。</w:t>
      </w:r>
    </w:p>
    <w:p w:rsidR="001807F7" w:rsidRDefault="001807F7">
      <w:pPr>
        <w:pStyle w:val="3"/>
        <w:numPr>
          <w:ilvl w:val="0"/>
          <w:numId w:val="0"/>
        </w:numPr>
        <w:ind w:left="1393"/>
        <w:rPr>
          <w:rFonts w:ascii="Times New Roman" w:hAnsi="Times New Roman" w:cs="Times New Roman"/>
        </w:rPr>
      </w:pPr>
    </w:p>
    <w:p w:rsidR="001807F7" w:rsidRDefault="001807F7">
      <w:pPr>
        <w:pStyle w:val="1"/>
        <w:ind w:left="2380" w:hanging="2380"/>
        <w:rPr>
          <w:rFonts w:ascii="Times New Roman" w:hAnsi="Times New Roman" w:cs="Times New Roman"/>
        </w:rPr>
      </w:pPr>
      <w:bookmarkStart w:id="65" w:name="_Toc524895648"/>
      <w:bookmarkStart w:id="66" w:name="_Toc524896194"/>
      <w:bookmarkStart w:id="67" w:name="_Toc524896224"/>
      <w:bookmarkStart w:id="68" w:name="_Toc524902734"/>
      <w:bookmarkStart w:id="69" w:name="_Toc525066148"/>
      <w:bookmarkStart w:id="70" w:name="_Toc525070839"/>
      <w:bookmarkStart w:id="71" w:name="_Toc525938379"/>
      <w:bookmarkStart w:id="72" w:name="_Toc525939227"/>
      <w:bookmarkStart w:id="73" w:name="_Toc525939732"/>
      <w:bookmarkStart w:id="74" w:name="_Toc529218272"/>
      <w:r>
        <w:rPr>
          <w:rFonts w:ascii="Times New Roman" w:hAnsi="Times New Roman" w:cs="Times New Roman"/>
        </w:rPr>
        <w:br w:type="page"/>
      </w:r>
      <w:bookmarkStart w:id="75" w:name="_Toc529222689"/>
      <w:bookmarkStart w:id="76" w:name="_Toc529223111"/>
      <w:bookmarkStart w:id="77" w:name="_Toc529223862"/>
      <w:bookmarkStart w:id="78" w:name="_Toc529228265"/>
      <w:bookmarkStart w:id="79" w:name="_Toc2400395"/>
      <w:bookmarkStart w:id="80" w:name="_Toc4316189"/>
      <w:bookmarkStart w:id="81" w:name="_Toc4473330"/>
      <w:bookmarkStart w:id="82" w:name="_Toc69556897"/>
      <w:bookmarkStart w:id="83" w:name="_Toc69556946"/>
      <w:bookmarkStart w:id="84" w:name="_Toc69609820"/>
      <w:bookmarkStart w:id="85" w:name="_Toc70241816"/>
      <w:bookmarkStart w:id="86" w:name="_Toc70242205"/>
      <w:r>
        <w:rPr>
          <w:rFonts w:hint="eastAsia"/>
        </w:rPr>
        <w:t>處理辦法：</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rsidR="001807F7" w:rsidRDefault="001807F7">
      <w:pPr>
        <w:pStyle w:val="2"/>
        <w:ind w:left="1020" w:hanging="680"/>
        <w:rPr>
          <w:rFonts w:ascii="Times New Roman" w:hAnsi="Times New Roman" w:cs="Times New Roman"/>
        </w:rPr>
      </w:pPr>
      <w:bookmarkStart w:id="87" w:name="_Toc524895649"/>
      <w:bookmarkStart w:id="88" w:name="_Toc524896195"/>
      <w:bookmarkStart w:id="89" w:name="_Toc524896225"/>
      <w:bookmarkStart w:id="90" w:name="_Toc2400396"/>
      <w:bookmarkStart w:id="91" w:name="_Toc4316190"/>
      <w:bookmarkStart w:id="92" w:name="_Toc4473331"/>
      <w:bookmarkStart w:id="93" w:name="_Toc69556898"/>
      <w:bookmarkStart w:id="94" w:name="_Toc69556947"/>
      <w:bookmarkStart w:id="95" w:name="_Toc69609821"/>
      <w:bookmarkStart w:id="96" w:name="_Toc70241817"/>
      <w:bookmarkStart w:id="97" w:name="_Toc70242206"/>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End w:id="87"/>
      <w:bookmarkEnd w:id="88"/>
      <w:bookmarkEnd w:id="89"/>
      <w:r>
        <w:rPr>
          <w:rFonts w:hint="eastAsia"/>
        </w:rPr>
        <w:t>調查意見一至四，函請行政院轉</w:t>
      </w:r>
      <w:proofErr w:type="gramStart"/>
      <w:r>
        <w:rPr>
          <w:rFonts w:hint="eastAsia"/>
        </w:rPr>
        <w:t>飭</w:t>
      </w:r>
      <w:proofErr w:type="gramEnd"/>
      <w:r>
        <w:rPr>
          <w:rFonts w:hint="eastAsia"/>
        </w:rPr>
        <w:t>所屬確實檢討改進，並於二個月內</w:t>
      </w:r>
      <w:proofErr w:type="gramStart"/>
      <w:r>
        <w:rPr>
          <w:rFonts w:hint="eastAsia"/>
        </w:rPr>
        <w:t>見復。</w:t>
      </w:r>
      <w:bookmarkEnd w:id="90"/>
      <w:bookmarkEnd w:id="91"/>
      <w:bookmarkEnd w:id="92"/>
      <w:bookmarkEnd w:id="93"/>
      <w:bookmarkEnd w:id="94"/>
      <w:bookmarkEnd w:id="95"/>
      <w:bookmarkEnd w:id="96"/>
      <w:bookmarkEnd w:id="97"/>
      <w:proofErr w:type="gramEnd"/>
    </w:p>
    <w:p w:rsidR="001807F7" w:rsidRDefault="001807F7">
      <w:pPr>
        <w:pStyle w:val="2"/>
        <w:ind w:left="1020" w:hanging="680"/>
        <w:rPr>
          <w:rFonts w:ascii="Times New Roman" w:hAnsi="Times New Roman" w:cs="Times New Roman"/>
        </w:rPr>
      </w:pPr>
      <w:bookmarkStart w:id="109" w:name="_Toc70241819"/>
      <w:bookmarkStart w:id="110" w:name="_Toc70242208"/>
      <w:bookmarkStart w:id="111" w:name="_Toc69556899"/>
      <w:bookmarkStart w:id="112" w:name="_Toc69556948"/>
      <w:bookmarkStart w:id="113" w:name="_Toc69609822"/>
      <w:r>
        <w:rPr>
          <w:rFonts w:hint="eastAsia"/>
        </w:rPr>
        <w:t>調查意見一至四，</w:t>
      </w:r>
      <w:proofErr w:type="gramStart"/>
      <w:r>
        <w:rPr>
          <w:rFonts w:hint="eastAsia"/>
        </w:rPr>
        <w:t>函本案</w:t>
      </w:r>
      <w:proofErr w:type="gramEnd"/>
      <w:r>
        <w:rPr>
          <w:rFonts w:hint="eastAsia"/>
        </w:rPr>
        <w:t>陳訴人。</w:t>
      </w:r>
      <w:bookmarkEnd w:id="109"/>
      <w:bookmarkEnd w:id="110"/>
    </w:p>
    <w:p w:rsidR="001807F7" w:rsidRDefault="001807F7">
      <w:pPr>
        <w:pStyle w:val="2"/>
        <w:ind w:left="1020" w:hanging="680"/>
        <w:rPr>
          <w:rFonts w:ascii="Times New Roman" w:hAnsi="Times New Roman" w:cs="Times New Roman"/>
        </w:rPr>
      </w:pPr>
      <w:bookmarkStart w:id="114" w:name="_Toc2400397"/>
      <w:bookmarkStart w:id="115" w:name="_Toc4316191"/>
      <w:bookmarkStart w:id="116" w:name="_Toc4473332"/>
      <w:bookmarkStart w:id="117" w:name="_Toc69556901"/>
      <w:bookmarkStart w:id="118" w:name="_Toc69556950"/>
      <w:bookmarkStart w:id="119" w:name="_Toc69609824"/>
      <w:bookmarkStart w:id="120" w:name="_Toc70241822"/>
      <w:bookmarkStart w:id="121" w:name="_Toc70242211"/>
      <w:bookmarkEnd w:id="98"/>
      <w:bookmarkEnd w:id="99"/>
      <w:bookmarkEnd w:id="100"/>
      <w:bookmarkEnd w:id="101"/>
      <w:bookmarkEnd w:id="102"/>
      <w:bookmarkEnd w:id="103"/>
      <w:bookmarkEnd w:id="104"/>
      <w:bookmarkEnd w:id="105"/>
      <w:bookmarkEnd w:id="106"/>
      <w:bookmarkEnd w:id="107"/>
      <w:bookmarkEnd w:id="108"/>
      <w:bookmarkEnd w:id="111"/>
      <w:bookmarkEnd w:id="112"/>
      <w:bookmarkEnd w:id="113"/>
      <w:r>
        <w:rPr>
          <w:rFonts w:hint="eastAsia"/>
          <w:color w:val="000000"/>
        </w:rPr>
        <w:t>檢</w:t>
      </w:r>
      <w:proofErr w:type="gramStart"/>
      <w:r>
        <w:rPr>
          <w:rFonts w:hint="eastAsia"/>
          <w:color w:val="000000"/>
        </w:rPr>
        <w:t>附派查函</w:t>
      </w:r>
      <w:proofErr w:type="gramEnd"/>
      <w:r>
        <w:rPr>
          <w:rFonts w:hint="eastAsia"/>
          <w:color w:val="000000"/>
        </w:rPr>
        <w:t>及相關附件，送請財政及經濟、內政及少數民族委員會聯席會議處理。</w:t>
      </w:r>
      <w:bookmarkEnd w:id="114"/>
      <w:bookmarkEnd w:id="115"/>
      <w:bookmarkEnd w:id="116"/>
      <w:bookmarkEnd w:id="117"/>
      <w:bookmarkEnd w:id="118"/>
      <w:bookmarkEnd w:id="119"/>
      <w:bookmarkEnd w:id="120"/>
      <w:bookmarkEnd w:id="121"/>
    </w:p>
    <w:p w:rsidR="001807F7" w:rsidRDefault="001807F7">
      <w:pPr>
        <w:pStyle w:val="2"/>
        <w:numPr>
          <w:ilvl w:val="0"/>
          <w:numId w:val="0"/>
        </w:numPr>
        <w:spacing w:afterLines="50" w:after="228"/>
        <w:rPr>
          <w:rFonts w:ascii="Times New Roman" w:hAnsi="Times New Roman" w:cs="Times New Roman"/>
        </w:rPr>
      </w:pPr>
    </w:p>
    <w:sectPr w:rsidR="001807F7" w:rsidSect="001807F7">
      <w:footerReference w:type="default" r:id="rId7"/>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07F7" w:rsidRDefault="001807F7">
      <w:pPr>
        <w:rPr>
          <w:rFonts w:cstheme="minorBidi"/>
        </w:rPr>
      </w:pPr>
      <w:r>
        <w:rPr>
          <w:rFonts w:cstheme="minorBidi"/>
        </w:rPr>
        <w:separator/>
      </w:r>
    </w:p>
  </w:endnote>
  <w:endnote w:type="continuationSeparator" w:id="0">
    <w:p w:rsidR="001807F7" w:rsidRDefault="001807F7">
      <w:pPr>
        <w:rPr>
          <w:rFonts w:cstheme="minorBidi"/>
        </w:rPr>
      </w:pPr>
      <w:r>
        <w:rPr>
          <w:rFonts w:cstheme="minorBidi"/>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8"/>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HiddenHorzOCR">
    <w:altName w:val="MS Gothic"/>
    <w:panose1 w:val="00000000000000000000"/>
    <w:charset w:val="80"/>
    <w:family w:val="auto"/>
    <w:notTrueType/>
    <w:pitch w:val="default"/>
    <w:sig w:usb0="00000000" w:usb1="08070000" w:usb2="00000010" w:usb3="00000000" w:csb0="00020000" w:csb1="00000000"/>
  </w:font>
  <w:font w:name="?u">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7F7" w:rsidRDefault="001807F7">
    <w:pPr>
      <w:pStyle w:val="af4"/>
      <w:framePr w:wrap="auto" w:vAnchor="text" w:hAnchor="margin" w:xAlign="center" w:y="1"/>
      <w:rPr>
        <w:rStyle w:val="a9"/>
        <w:rFonts w:cstheme="minorBidi"/>
        <w:sz w:val="24"/>
        <w:szCs w:val="24"/>
      </w:rPr>
    </w:pPr>
    <w:r>
      <w:rPr>
        <w:rStyle w:val="a9"/>
        <w:sz w:val="24"/>
        <w:szCs w:val="24"/>
      </w:rPr>
      <w:fldChar w:fldCharType="begin"/>
    </w:r>
    <w:r>
      <w:rPr>
        <w:rStyle w:val="a9"/>
        <w:sz w:val="24"/>
        <w:szCs w:val="24"/>
      </w:rPr>
      <w:instrText xml:space="preserve">PAGE  </w:instrText>
    </w:r>
    <w:r>
      <w:rPr>
        <w:rStyle w:val="a9"/>
        <w:sz w:val="24"/>
        <w:szCs w:val="24"/>
      </w:rPr>
      <w:fldChar w:fldCharType="separate"/>
    </w:r>
    <w:r w:rsidR="00CA03A6">
      <w:rPr>
        <w:rStyle w:val="a9"/>
        <w:noProof/>
        <w:sz w:val="24"/>
        <w:szCs w:val="24"/>
      </w:rPr>
      <w:t>8</w:t>
    </w:r>
    <w:r>
      <w:rPr>
        <w:rStyle w:val="a9"/>
        <w:sz w:val="24"/>
        <w:szCs w:val="24"/>
      </w:rPr>
      <w:fldChar w:fldCharType="end"/>
    </w:r>
  </w:p>
  <w:p w:rsidR="001807F7" w:rsidRDefault="001807F7">
    <w:pPr>
      <w:framePr w:wrap="auto" w:hAnchor="text" w:y="-955"/>
      <w:ind w:left="640" w:right="360" w:firstLine="448"/>
      <w:jc w:val="right"/>
      <w:rPr>
        <w:rFonts w:cstheme="minorBid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07F7" w:rsidRDefault="001807F7">
      <w:pPr>
        <w:rPr>
          <w:rFonts w:cstheme="minorBidi"/>
        </w:rPr>
      </w:pPr>
      <w:r>
        <w:rPr>
          <w:rFonts w:cstheme="minorBidi"/>
        </w:rPr>
        <w:separator/>
      </w:r>
    </w:p>
  </w:footnote>
  <w:footnote w:type="continuationSeparator" w:id="0">
    <w:p w:rsidR="001807F7" w:rsidRDefault="001807F7">
      <w:pPr>
        <w:rPr>
          <w:rFonts w:cstheme="minorBidi"/>
        </w:rPr>
      </w:pPr>
      <w:r>
        <w:rPr>
          <w:rFonts w:cstheme="minorBidi"/>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7149D"/>
    <w:multiLevelType w:val="hybridMultilevel"/>
    <w:tmpl w:val="0024A480"/>
    <w:lvl w:ilvl="0" w:tplc="12102FE0">
      <w:start w:val="1"/>
      <w:numFmt w:val="decimal"/>
      <w:lvlText w:val="%1."/>
      <w:lvlJc w:val="left"/>
      <w:pPr>
        <w:ind w:left="360" w:hanging="360"/>
      </w:pPr>
      <w:rPr>
        <w:rFonts w:ascii="Times New Roman" w:hAnsi="Times New Roman" w:cs="Times New Roman" w:hint="default"/>
      </w:rPr>
    </w:lvl>
    <w:lvl w:ilvl="1" w:tplc="04090019">
      <w:start w:val="1"/>
      <w:numFmt w:val="ideographTraditional"/>
      <w:lvlText w:val="%2、"/>
      <w:lvlJc w:val="left"/>
      <w:pPr>
        <w:ind w:left="960" w:hanging="480"/>
      </w:pPr>
      <w:rPr>
        <w:rFonts w:ascii="Times New Roman" w:hAnsi="Times New Roman" w:cs="Times New Roman"/>
      </w:rPr>
    </w:lvl>
    <w:lvl w:ilvl="2" w:tplc="0409001B">
      <w:start w:val="1"/>
      <w:numFmt w:val="lowerRoman"/>
      <w:lvlText w:val="%3."/>
      <w:lvlJc w:val="right"/>
      <w:pPr>
        <w:ind w:left="1440" w:hanging="480"/>
      </w:pPr>
      <w:rPr>
        <w:rFonts w:ascii="Times New Roman" w:hAnsi="Times New Roman" w:cs="Times New Roman"/>
      </w:rPr>
    </w:lvl>
    <w:lvl w:ilvl="3" w:tplc="0409000F">
      <w:start w:val="1"/>
      <w:numFmt w:val="decimal"/>
      <w:lvlText w:val="%4."/>
      <w:lvlJc w:val="left"/>
      <w:pPr>
        <w:ind w:left="1920" w:hanging="480"/>
      </w:pPr>
      <w:rPr>
        <w:rFonts w:ascii="Times New Roman" w:hAnsi="Times New Roman" w:cs="Times New Roman"/>
      </w:rPr>
    </w:lvl>
    <w:lvl w:ilvl="4" w:tplc="04090019">
      <w:start w:val="1"/>
      <w:numFmt w:val="ideographTraditional"/>
      <w:lvlText w:val="%5、"/>
      <w:lvlJc w:val="left"/>
      <w:pPr>
        <w:ind w:left="2400" w:hanging="480"/>
      </w:pPr>
      <w:rPr>
        <w:rFonts w:ascii="Times New Roman" w:hAnsi="Times New Roman" w:cs="Times New Roman"/>
      </w:rPr>
    </w:lvl>
    <w:lvl w:ilvl="5" w:tplc="0409001B">
      <w:start w:val="1"/>
      <w:numFmt w:val="lowerRoman"/>
      <w:lvlText w:val="%6."/>
      <w:lvlJc w:val="right"/>
      <w:pPr>
        <w:ind w:left="2880" w:hanging="480"/>
      </w:pPr>
      <w:rPr>
        <w:rFonts w:ascii="Times New Roman" w:hAnsi="Times New Roman" w:cs="Times New Roman"/>
      </w:rPr>
    </w:lvl>
    <w:lvl w:ilvl="6" w:tplc="0409000F">
      <w:start w:val="1"/>
      <w:numFmt w:val="decimal"/>
      <w:lvlText w:val="%7."/>
      <w:lvlJc w:val="left"/>
      <w:pPr>
        <w:ind w:left="3360" w:hanging="480"/>
      </w:pPr>
      <w:rPr>
        <w:rFonts w:ascii="Times New Roman" w:hAnsi="Times New Roman" w:cs="Times New Roman"/>
      </w:rPr>
    </w:lvl>
    <w:lvl w:ilvl="7" w:tplc="04090019">
      <w:start w:val="1"/>
      <w:numFmt w:val="ideographTraditional"/>
      <w:lvlText w:val="%8、"/>
      <w:lvlJc w:val="left"/>
      <w:pPr>
        <w:ind w:left="3840" w:hanging="480"/>
      </w:pPr>
      <w:rPr>
        <w:rFonts w:ascii="Times New Roman" w:hAnsi="Times New Roman" w:cs="Times New Roman"/>
      </w:rPr>
    </w:lvl>
    <w:lvl w:ilvl="8" w:tplc="0409001B">
      <w:start w:val="1"/>
      <w:numFmt w:val="lowerRoman"/>
      <w:lvlText w:val="%9."/>
      <w:lvlJc w:val="right"/>
      <w:pPr>
        <w:ind w:left="4320" w:hanging="480"/>
      </w:pPr>
      <w:rPr>
        <w:rFonts w:ascii="Times New Roman" w:hAnsi="Times New Roman" w:cs="Times New Roman"/>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Ansi="Times New Roman" w:hint="eastAsia"/>
        <w:b w:val="0"/>
        <w:bCs w:val="0"/>
        <w:i w:val="0"/>
        <w:iCs w:val="0"/>
        <w:sz w:val="32"/>
        <w:szCs w:val="32"/>
      </w:rPr>
    </w:lvl>
    <w:lvl w:ilvl="1" w:tplc="04090019">
      <w:start w:val="1"/>
      <w:numFmt w:val="ideographTraditional"/>
      <w:lvlText w:val="%2、"/>
      <w:lvlJc w:val="left"/>
      <w:pPr>
        <w:tabs>
          <w:tab w:val="num" w:pos="960"/>
        </w:tabs>
        <w:ind w:left="960" w:hanging="480"/>
      </w:pPr>
      <w:rPr>
        <w:rFonts w:ascii="Times New Roman" w:hAnsi="Times New Roman" w:cs="Times New Roman"/>
      </w:rPr>
    </w:lvl>
    <w:lvl w:ilvl="2" w:tplc="0409001B">
      <w:start w:val="1"/>
      <w:numFmt w:val="lowerRoman"/>
      <w:lvlText w:val="%3."/>
      <w:lvlJc w:val="right"/>
      <w:pPr>
        <w:tabs>
          <w:tab w:val="num" w:pos="1440"/>
        </w:tabs>
        <w:ind w:left="1440" w:hanging="480"/>
      </w:pPr>
      <w:rPr>
        <w:rFonts w:ascii="Times New Roman" w:hAnsi="Times New Roman" w:cs="Times New Roman"/>
      </w:rPr>
    </w:lvl>
    <w:lvl w:ilvl="3" w:tplc="0409000F">
      <w:start w:val="1"/>
      <w:numFmt w:val="decimal"/>
      <w:lvlText w:val="%4."/>
      <w:lvlJc w:val="left"/>
      <w:pPr>
        <w:tabs>
          <w:tab w:val="num" w:pos="1920"/>
        </w:tabs>
        <w:ind w:left="1920" w:hanging="480"/>
      </w:pPr>
      <w:rPr>
        <w:rFonts w:ascii="Times New Roman" w:hAnsi="Times New Roman" w:cs="Times New Roman"/>
      </w:rPr>
    </w:lvl>
    <w:lvl w:ilvl="4" w:tplc="04090019">
      <w:start w:val="1"/>
      <w:numFmt w:val="ideographTraditional"/>
      <w:lvlText w:val="%5、"/>
      <w:lvlJc w:val="left"/>
      <w:pPr>
        <w:tabs>
          <w:tab w:val="num" w:pos="2400"/>
        </w:tabs>
        <w:ind w:left="2400" w:hanging="480"/>
      </w:pPr>
      <w:rPr>
        <w:rFonts w:ascii="Times New Roman" w:hAnsi="Times New Roman" w:cs="Times New Roman"/>
      </w:rPr>
    </w:lvl>
    <w:lvl w:ilvl="5" w:tplc="0409001B">
      <w:start w:val="1"/>
      <w:numFmt w:val="lowerRoman"/>
      <w:lvlText w:val="%6."/>
      <w:lvlJc w:val="right"/>
      <w:pPr>
        <w:tabs>
          <w:tab w:val="num" w:pos="2880"/>
        </w:tabs>
        <w:ind w:left="2880" w:hanging="480"/>
      </w:pPr>
      <w:rPr>
        <w:rFonts w:ascii="Times New Roman" w:hAnsi="Times New Roman" w:cs="Times New Roman"/>
      </w:rPr>
    </w:lvl>
    <w:lvl w:ilvl="6" w:tplc="0409000F">
      <w:start w:val="1"/>
      <w:numFmt w:val="decimal"/>
      <w:lvlText w:val="%7."/>
      <w:lvlJc w:val="left"/>
      <w:pPr>
        <w:tabs>
          <w:tab w:val="num" w:pos="3360"/>
        </w:tabs>
        <w:ind w:left="3360" w:hanging="480"/>
      </w:pPr>
      <w:rPr>
        <w:rFonts w:ascii="Times New Roman" w:hAnsi="Times New Roman" w:cs="Times New Roman"/>
      </w:rPr>
    </w:lvl>
    <w:lvl w:ilvl="7" w:tplc="04090019">
      <w:start w:val="1"/>
      <w:numFmt w:val="ideographTraditional"/>
      <w:lvlText w:val="%8、"/>
      <w:lvlJc w:val="left"/>
      <w:pPr>
        <w:tabs>
          <w:tab w:val="num" w:pos="3840"/>
        </w:tabs>
        <w:ind w:left="3840" w:hanging="480"/>
      </w:pPr>
      <w:rPr>
        <w:rFonts w:ascii="Times New Roman" w:hAnsi="Times New Roman" w:cs="Times New Roman"/>
      </w:rPr>
    </w:lvl>
    <w:lvl w:ilvl="8" w:tplc="0409001B">
      <w:start w:val="1"/>
      <w:numFmt w:val="lowerRoman"/>
      <w:lvlText w:val="%9."/>
      <w:lvlJc w:val="right"/>
      <w:pPr>
        <w:tabs>
          <w:tab w:val="num" w:pos="4320"/>
        </w:tabs>
        <w:ind w:left="4320" w:hanging="480"/>
      </w:pPr>
      <w:rPr>
        <w:rFonts w:ascii="Times New Roman" w:hAnsi="Times New Roman" w:cs="Times New Roman"/>
      </w:rPr>
    </w:lvl>
  </w:abstractNum>
  <w:abstractNum w:abstractNumId="2" w15:restartNumberingAfterBreak="0">
    <w:nsid w:val="140E010C"/>
    <w:multiLevelType w:val="multilevel"/>
    <w:tmpl w:val="75CED0C8"/>
    <w:lvl w:ilvl="0">
      <w:start w:val="1"/>
      <w:numFmt w:val="ideographLegalTraditional"/>
      <w:pStyle w:val="1"/>
      <w:suff w:val="nothing"/>
      <w:lvlText w:val="%1、"/>
      <w:lvlJc w:val="left"/>
      <w:pPr>
        <w:ind w:left="699" w:hanging="699"/>
      </w:pPr>
      <w:rPr>
        <w:rFonts w:ascii="標楷體" w:eastAsia="標楷體" w:hAnsi="Times New Roman" w:hint="eastAsia"/>
        <w:b w:val="0"/>
        <w:bCs w:val="0"/>
        <w:i w:val="0"/>
        <w:iCs w:val="0"/>
        <w:snapToGrid/>
        <w:spacing w:val="0"/>
        <w:w w:val="100"/>
        <w:position w:val="0"/>
        <w:sz w:val="32"/>
        <w:szCs w:val="32"/>
      </w:rPr>
    </w:lvl>
    <w:lvl w:ilvl="1">
      <w:start w:val="1"/>
      <w:numFmt w:val="taiwaneseCountingThousand"/>
      <w:pStyle w:val="2"/>
      <w:suff w:val="nothing"/>
      <w:lvlText w:val="%2、"/>
      <w:lvlJc w:val="left"/>
      <w:pPr>
        <w:ind w:left="1045" w:hanging="697"/>
      </w:pPr>
      <w:rPr>
        <w:rFonts w:ascii="標楷體" w:eastAsia="標楷體" w:hAnsi="Times New Roman" w:hint="eastAsia"/>
        <w:b w:val="0"/>
        <w:bCs w:val="0"/>
        <w:i w:val="0"/>
        <w:iCs w:val="0"/>
        <w:snapToGrid/>
        <w:spacing w:val="0"/>
        <w:w w:val="100"/>
        <w:position w:val="0"/>
        <w:sz w:val="32"/>
        <w:szCs w:val="32"/>
      </w:rPr>
    </w:lvl>
    <w:lvl w:ilvl="2">
      <w:start w:val="1"/>
      <w:numFmt w:val="taiwaneseCountingThousand"/>
      <w:pStyle w:val="3"/>
      <w:suff w:val="nothing"/>
      <w:lvlText w:val="(%3)"/>
      <w:lvlJc w:val="left"/>
      <w:pPr>
        <w:ind w:left="1393" w:hanging="697"/>
      </w:pPr>
      <w:rPr>
        <w:rFonts w:ascii="標楷體" w:eastAsia="標楷體" w:hAnsi="Times New Roman" w:hint="eastAsia"/>
        <w:b w:val="0"/>
        <w:bCs w:val="0"/>
        <w:i w:val="0"/>
        <w:iCs w:val="0"/>
        <w:spacing w:val="0"/>
        <w:w w:val="100"/>
        <w:position w:val="0"/>
        <w:sz w:val="32"/>
        <w:szCs w:val="32"/>
      </w:rPr>
    </w:lvl>
    <w:lvl w:ilvl="3">
      <w:start w:val="1"/>
      <w:numFmt w:val="decimalFullWidth"/>
      <w:pStyle w:val="4"/>
      <w:suff w:val="nothing"/>
      <w:lvlText w:val="%4、"/>
      <w:lvlJc w:val="left"/>
      <w:pPr>
        <w:ind w:left="2258" w:hanging="698"/>
      </w:pPr>
      <w:rPr>
        <w:rFonts w:ascii="標楷體" w:eastAsia="標楷體" w:hAnsi="Times New Roman" w:hint="eastAsia"/>
        <w:b w:val="0"/>
        <w:bCs w:val="0"/>
        <w:i w:val="0"/>
        <w:iCs w:val="0"/>
        <w:spacing w:val="0"/>
        <w:w w:val="100"/>
        <w:position w:val="0"/>
        <w:sz w:val="32"/>
        <w:szCs w:val="32"/>
      </w:rPr>
    </w:lvl>
    <w:lvl w:ilvl="4">
      <w:start w:val="1"/>
      <w:numFmt w:val="decimalFullWidth"/>
      <w:pStyle w:val="5"/>
      <w:suff w:val="nothing"/>
      <w:lvlText w:val="(%5)"/>
      <w:lvlJc w:val="left"/>
      <w:pPr>
        <w:ind w:left="2095" w:hanging="700"/>
      </w:pPr>
      <w:rPr>
        <w:rFonts w:ascii="標楷體" w:eastAsia="標楷體" w:hAnsi="Times New Roman" w:hint="eastAsia"/>
        <w:b w:val="0"/>
        <w:bCs w:val="0"/>
        <w:i w:val="0"/>
        <w:iCs w:val="0"/>
        <w:snapToGrid/>
        <w:spacing w:val="0"/>
        <w:w w:val="100"/>
        <w:position w:val="0"/>
        <w:sz w:val="32"/>
        <w:szCs w:val="32"/>
      </w:rPr>
    </w:lvl>
    <w:lvl w:ilvl="5">
      <w:start w:val="1"/>
      <w:numFmt w:val="decimalFullWidth"/>
      <w:pStyle w:val="6"/>
      <w:suff w:val="nothing"/>
      <w:lvlText w:val="&lt;%6&gt;"/>
      <w:lvlJc w:val="left"/>
      <w:pPr>
        <w:ind w:left="2444" w:hanging="715"/>
      </w:pPr>
      <w:rPr>
        <w:rFonts w:ascii="標楷體" w:eastAsia="標楷體" w:hAnsi="Times New Roman" w:hint="eastAsia"/>
        <w:b w:val="0"/>
        <w:bCs w:val="0"/>
        <w:i w:val="0"/>
        <w:iCs w:val="0"/>
        <w:snapToGrid/>
        <w:spacing w:val="0"/>
        <w:w w:val="100"/>
        <w:position w:val="0"/>
        <w:sz w:val="32"/>
        <w:szCs w:val="32"/>
      </w:rPr>
    </w:lvl>
    <w:lvl w:ilvl="6">
      <w:start w:val="1"/>
      <w:numFmt w:val="bullet"/>
      <w:pStyle w:val="7"/>
      <w:suff w:val="nothing"/>
      <w:lvlText w:val="․"/>
      <w:lvlJc w:val="left"/>
      <w:pPr>
        <w:ind w:left="2444" w:hanging="352"/>
      </w:pPr>
      <w:rPr>
        <w:rFonts w:ascii="標楷體" w:eastAsia="標楷體" w:hint="eastAsia"/>
        <w:b w:val="0"/>
        <w:bCs w:val="0"/>
        <w:i w:val="0"/>
        <w:iCs w:val="0"/>
        <w:snapToGrid/>
        <w:spacing w:val="0"/>
        <w:w w:val="100"/>
        <w:position w:val="0"/>
        <w:sz w:val="32"/>
        <w:szCs w:val="32"/>
      </w:rPr>
    </w:lvl>
    <w:lvl w:ilvl="7">
      <w:start w:val="1"/>
      <w:numFmt w:val="bullet"/>
      <w:pStyle w:val="8"/>
      <w:suff w:val="nothing"/>
      <w:lvlText w:val="◇"/>
      <w:lvlJc w:val="left"/>
      <w:pPr>
        <w:ind w:left="2790" w:hanging="349"/>
      </w:pPr>
      <w:rPr>
        <w:rFonts w:ascii="標楷體" w:eastAsia="標楷體" w:hint="eastAsia"/>
        <w:b w:val="0"/>
        <w:bCs w:val="0"/>
        <w:i w:val="0"/>
        <w:iCs w:val="0"/>
        <w:snapToGrid/>
        <w:spacing w:val="0"/>
        <w:w w:val="100"/>
        <w:position w:val="0"/>
        <w:sz w:val="32"/>
        <w:szCs w:val="32"/>
      </w:rPr>
    </w:lvl>
    <w:lvl w:ilvl="8">
      <w:start w:val="1"/>
      <w:numFmt w:val="decimal"/>
      <w:lvlText w:val="%1.%2.%3.%4.%5.%6.%7.%8.%9"/>
      <w:lvlJc w:val="left"/>
      <w:pPr>
        <w:tabs>
          <w:tab w:val="num" w:pos="6195"/>
        </w:tabs>
        <w:ind w:left="5015" w:hanging="1700"/>
      </w:pPr>
      <w:rPr>
        <w:rFonts w:ascii="Times New Roman" w:hAnsi="Times New Roman" w:cs="Times New Roman" w:hint="eastAsia"/>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Ansi="Times New Roman" w:hint="eastAsia"/>
        <w:b w:val="0"/>
        <w:bCs w:val="0"/>
        <w:i w:val="0"/>
        <w:iCs w:val="0"/>
        <w:sz w:val="32"/>
        <w:szCs w:val="32"/>
      </w:rPr>
    </w:lvl>
    <w:lvl w:ilvl="1" w:tplc="04090019">
      <w:start w:val="1"/>
      <w:numFmt w:val="ideographTraditional"/>
      <w:lvlText w:val="%2、"/>
      <w:lvlJc w:val="left"/>
      <w:pPr>
        <w:tabs>
          <w:tab w:val="num" w:pos="960"/>
        </w:tabs>
        <w:ind w:left="960" w:hanging="480"/>
      </w:pPr>
      <w:rPr>
        <w:rFonts w:ascii="Times New Roman" w:hAnsi="Times New Roman" w:cs="Times New Roman"/>
      </w:rPr>
    </w:lvl>
    <w:lvl w:ilvl="2" w:tplc="0409001B">
      <w:start w:val="1"/>
      <w:numFmt w:val="lowerRoman"/>
      <w:lvlText w:val="%3."/>
      <w:lvlJc w:val="right"/>
      <w:pPr>
        <w:tabs>
          <w:tab w:val="num" w:pos="1440"/>
        </w:tabs>
        <w:ind w:left="1440" w:hanging="480"/>
      </w:pPr>
      <w:rPr>
        <w:rFonts w:ascii="Times New Roman" w:hAnsi="Times New Roman" w:cs="Times New Roman"/>
      </w:rPr>
    </w:lvl>
    <w:lvl w:ilvl="3" w:tplc="0409000F">
      <w:start w:val="1"/>
      <w:numFmt w:val="decimal"/>
      <w:lvlText w:val="%4."/>
      <w:lvlJc w:val="left"/>
      <w:pPr>
        <w:tabs>
          <w:tab w:val="num" w:pos="1920"/>
        </w:tabs>
        <w:ind w:left="1920" w:hanging="480"/>
      </w:pPr>
      <w:rPr>
        <w:rFonts w:ascii="Times New Roman" w:hAnsi="Times New Roman" w:cs="Times New Roman"/>
      </w:rPr>
    </w:lvl>
    <w:lvl w:ilvl="4" w:tplc="04090019">
      <w:start w:val="1"/>
      <w:numFmt w:val="ideographTraditional"/>
      <w:lvlText w:val="%5、"/>
      <w:lvlJc w:val="left"/>
      <w:pPr>
        <w:tabs>
          <w:tab w:val="num" w:pos="2400"/>
        </w:tabs>
        <w:ind w:left="2400" w:hanging="480"/>
      </w:pPr>
      <w:rPr>
        <w:rFonts w:ascii="Times New Roman" w:hAnsi="Times New Roman" w:cs="Times New Roman"/>
      </w:rPr>
    </w:lvl>
    <w:lvl w:ilvl="5" w:tplc="0409001B">
      <w:start w:val="1"/>
      <w:numFmt w:val="lowerRoman"/>
      <w:lvlText w:val="%6."/>
      <w:lvlJc w:val="right"/>
      <w:pPr>
        <w:tabs>
          <w:tab w:val="num" w:pos="2880"/>
        </w:tabs>
        <w:ind w:left="2880" w:hanging="480"/>
      </w:pPr>
      <w:rPr>
        <w:rFonts w:ascii="Times New Roman" w:hAnsi="Times New Roman" w:cs="Times New Roman"/>
      </w:rPr>
    </w:lvl>
    <w:lvl w:ilvl="6" w:tplc="0409000F">
      <w:start w:val="1"/>
      <w:numFmt w:val="decimal"/>
      <w:lvlText w:val="%7."/>
      <w:lvlJc w:val="left"/>
      <w:pPr>
        <w:tabs>
          <w:tab w:val="num" w:pos="3360"/>
        </w:tabs>
        <w:ind w:left="3360" w:hanging="480"/>
      </w:pPr>
      <w:rPr>
        <w:rFonts w:ascii="Times New Roman" w:hAnsi="Times New Roman" w:cs="Times New Roman"/>
      </w:rPr>
    </w:lvl>
    <w:lvl w:ilvl="7" w:tplc="04090019">
      <w:start w:val="1"/>
      <w:numFmt w:val="ideographTraditional"/>
      <w:lvlText w:val="%8、"/>
      <w:lvlJc w:val="left"/>
      <w:pPr>
        <w:tabs>
          <w:tab w:val="num" w:pos="3840"/>
        </w:tabs>
        <w:ind w:left="3840" w:hanging="480"/>
      </w:pPr>
      <w:rPr>
        <w:rFonts w:ascii="Times New Roman" w:hAnsi="Times New Roman" w:cs="Times New Roman"/>
      </w:rPr>
    </w:lvl>
    <w:lvl w:ilvl="8" w:tplc="0409001B">
      <w:start w:val="1"/>
      <w:numFmt w:val="lowerRoman"/>
      <w:lvlText w:val="%9."/>
      <w:lvlJc w:val="right"/>
      <w:pPr>
        <w:tabs>
          <w:tab w:val="num" w:pos="4320"/>
        </w:tabs>
        <w:ind w:left="4320" w:hanging="480"/>
      </w:pPr>
      <w:rPr>
        <w:rFonts w:ascii="Times New Roman" w:hAnsi="Times New Roman" w:cs="Times New Roman"/>
      </w:rPr>
    </w:lvl>
  </w:abstractNum>
  <w:abstractNum w:abstractNumId="4" w15:restartNumberingAfterBreak="0">
    <w:nsid w:val="4B757B64"/>
    <w:multiLevelType w:val="multilevel"/>
    <w:tmpl w:val="1C90099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15:restartNumberingAfterBreak="0">
    <w:nsid w:val="4DAD27CF"/>
    <w:multiLevelType w:val="hybridMultilevel"/>
    <w:tmpl w:val="DCA430E6"/>
    <w:lvl w:ilvl="0" w:tplc="944CBD46">
      <w:start w:val="1"/>
      <w:numFmt w:val="decimal"/>
      <w:lvlText w:val="%1."/>
      <w:lvlJc w:val="left"/>
      <w:pPr>
        <w:ind w:left="360" w:hanging="360"/>
      </w:pPr>
      <w:rPr>
        <w:rFonts w:ascii="Times New Roman" w:hAnsi="Times New Roman" w:cs="Times New Roman" w:hint="default"/>
      </w:rPr>
    </w:lvl>
    <w:lvl w:ilvl="1" w:tplc="04090019">
      <w:start w:val="1"/>
      <w:numFmt w:val="ideographTraditional"/>
      <w:lvlText w:val="%2、"/>
      <w:lvlJc w:val="left"/>
      <w:pPr>
        <w:ind w:left="960" w:hanging="480"/>
      </w:pPr>
      <w:rPr>
        <w:rFonts w:ascii="Times New Roman" w:hAnsi="Times New Roman" w:cs="Times New Roman"/>
      </w:rPr>
    </w:lvl>
    <w:lvl w:ilvl="2" w:tplc="0409001B">
      <w:start w:val="1"/>
      <w:numFmt w:val="lowerRoman"/>
      <w:lvlText w:val="%3."/>
      <w:lvlJc w:val="right"/>
      <w:pPr>
        <w:ind w:left="1440" w:hanging="480"/>
      </w:pPr>
      <w:rPr>
        <w:rFonts w:ascii="Times New Roman" w:hAnsi="Times New Roman" w:cs="Times New Roman"/>
      </w:rPr>
    </w:lvl>
    <w:lvl w:ilvl="3" w:tplc="0409000F">
      <w:start w:val="1"/>
      <w:numFmt w:val="decimal"/>
      <w:lvlText w:val="%4."/>
      <w:lvlJc w:val="left"/>
      <w:pPr>
        <w:ind w:left="1920" w:hanging="480"/>
      </w:pPr>
      <w:rPr>
        <w:rFonts w:ascii="Times New Roman" w:hAnsi="Times New Roman" w:cs="Times New Roman"/>
      </w:rPr>
    </w:lvl>
    <w:lvl w:ilvl="4" w:tplc="04090019">
      <w:start w:val="1"/>
      <w:numFmt w:val="ideographTraditional"/>
      <w:lvlText w:val="%5、"/>
      <w:lvlJc w:val="left"/>
      <w:pPr>
        <w:ind w:left="2400" w:hanging="480"/>
      </w:pPr>
      <w:rPr>
        <w:rFonts w:ascii="Times New Roman" w:hAnsi="Times New Roman" w:cs="Times New Roman"/>
      </w:rPr>
    </w:lvl>
    <w:lvl w:ilvl="5" w:tplc="0409001B">
      <w:start w:val="1"/>
      <w:numFmt w:val="lowerRoman"/>
      <w:lvlText w:val="%6."/>
      <w:lvlJc w:val="right"/>
      <w:pPr>
        <w:ind w:left="2880" w:hanging="480"/>
      </w:pPr>
      <w:rPr>
        <w:rFonts w:ascii="Times New Roman" w:hAnsi="Times New Roman" w:cs="Times New Roman"/>
      </w:rPr>
    </w:lvl>
    <w:lvl w:ilvl="6" w:tplc="0409000F">
      <w:start w:val="1"/>
      <w:numFmt w:val="decimal"/>
      <w:lvlText w:val="%7."/>
      <w:lvlJc w:val="left"/>
      <w:pPr>
        <w:ind w:left="3360" w:hanging="480"/>
      </w:pPr>
      <w:rPr>
        <w:rFonts w:ascii="Times New Roman" w:hAnsi="Times New Roman" w:cs="Times New Roman"/>
      </w:rPr>
    </w:lvl>
    <w:lvl w:ilvl="7" w:tplc="04090019">
      <w:start w:val="1"/>
      <w:numFmt w:val="ideographTraditional"/>
      <w:lvlText w:val="%8、"/>
      <w:lvlJc w:val="left"/>
      <w:pPr>
        <w:ind w:left="3840" w:hanging="480"/>
      </w:pPr>
      <w:rPr>
        <w:rFonts w:ascii="Times New Roman" w:hAnsi="Times New Roman" w:cs="Times New Roman"/>
      </w:rPr>
    </w:lvl>
    <w:lvl w:ilvl="8" w:tplc="0409001B">
      <w:start w:val="1"/>
      <w:numFmt w:val="lowerRoman"/>
      <w:lvlText w:val="%9."/>
      <w:lvlJc w:val="right"/>
      <w:pPr>
        <w:ind w:left="4320" w:hanging="480"/>
      </w:pPr>
      <w:rPr>
        <w:rFonts w:ascii="Times New Roman" w:hAnsi="Times New Roman" w:cs="Times New Roman"/>
      </w:rPr>
    </w:lvl>
  </w:abstractNum>
  <w:abstractNum w:abstractNumId="6" w15:restartNumberingAfterBreak="0">
    <w:nsid w:val="6B613C24"/>
    <w:multiLevelType w:val="hybridMultilevel"/>
    <w:tmpl w:val="3D762E1E"/>
    <w:lvl w:ilvl="0" w:tplc="5900A9D8">
      <w:start w:val="1"/>
      <w:numFmt w:val="decimal"/>
      <w:lvlText w:val="%1."/>
      <w:lvlJc w:val="left"/>
      <w:pPr>
        <w:ind w:left="360" w:hanging="360"/>
      </w:pPr>
      <w:rPr>
        <w:rFonts w:ascii="Times New Roman" w:hAnsi="Times New Roman" w:cs="Times New Roman" w:hint="default"/>
      </w:rPr>
    </w:lvl>
    <w:lvl w:ilvl="1" w:tplc="04090019">
      <w:start w:val="1"/>
      <w:numFmt w:val="ideographTraditional"/>
      <w:lvlText w:val="%2、"/>
      <w:lvlJc w:val="left"/>
      <w:pPr>
        <w:ind w:left="960" w:hanging="480"/>
      </w:pPr>
      <w:rPr>
        <w:rFonts w:ascii="Times New Roman" w:hAnsi="Times New Roman" w:cs="Times New Roman"/>
      </w:rPr>
    </w:lvl>
    <w:lvl w:ilvl="2" w:tplc="0409001B">
      <w:start w:val="1"/>
      <w:numFmt w:val="lowerRoman"/>
      <w:lvlText w:val="%3."/>
      <w:lvlJc w:val="right"/>
      <w:pPr>
        <w:ind w:left="1440" w:hanging="480"/>
      </w:pPr>
      <w:rPr>
        <w:rFonts w:ascii="Times New Roman" w:hAnsi="Times New Roman" w:cs="Times New Roman"/>
      </w:rPr>
    </w:lvl>
    <w:lvl w:ilvl="3" w:tplc="0409000F">
      <w:start w:val="1"/>
      <w:numFmt w:val="decimal"/>
      <w:lvlText w:val="%4."/>
      <w:lvlJc w:val="left"/>
      <w:pPr>
        <w:ind w:left="1920" w:hanging="480"/>
      </w:pPr>
      <w:rPr>
        <w:rFonts w:ascii="Times New Roman" w:hAnsi="Times New Roman" w:cs="Times New Roman"/>
      </w:rPr>
    </w:lvl>
    <w:lvl w:ilvl="4" w:tplc="04090019">
      <w:start w:val="1"/>
      <w:numFmt w:val="ideographTraditional"/>
      <w:lvlText w:val="%5、"/>
      <w:lvlJc w:val="left"/>
      <w:pPr>
        <w:ind w:left="2400" w:hanging="480"/>
      </w:pPr>
      <w:rPr>
        <w:rFonts w:ascii="Times New Roman" w:hAnsi="Times New Roman" w:cs="Times New Roman"/>
      </w:rPr>
    </w:lvl>
    <w:lvl w:ilvl="5" w:tplc="0409001B">
      <w:start w:val="1"/>
      <w:numFmt w:val="lowerRoman"/>
      <w:lvlText w:val="%6."/>
      <w:lvlJc w:val="right"/>
      <w:pPr>
        <w:ind w:left="2880" w:hanging="480"/>
      </w:pPr>
      <w:rPr>
        <w:rFonts w:ascii="Times New Roman" w:hAnsi="Times New Roman" w:cs="Times New Roman"/>
      </w:rPr>
    </w:lvl>
    <w:lvl w:ilvl="6" w:tplc="0409000F">
      <w:start w:val="1"/>
      <w:numFmt w:val="decimal"/>
      <w:lvlText w:val="%7."/>
      <w:lvlJc w:val="left"/>
      <w:pPr>
        <w:ind w:left="3360" w:hanging="480"/>
      </w:pPr>
      <w:rPr>
        <w:rFonts w:ascii="Times New Roman" w:hAnsi="Times New Roman" w:cs="Times New Roman"/>
      </w:rPr>
    </w:lvl>
    <w:lvl w:ilvl="7" w:tplc="04090019">
      <w:start w:val="1"/>
      <w:numFmt w:val="ideographTraditional"/>
      <w:lvlText w:val="%8、"/>
      <w:lvlJc w:val="left"/>
      <w:pPr>
        <w:ind w:left="3840" w:hanging="480"/>
      </w:pPr>
      <w:rPr>
        <w:rFonts w:ascii="Times New Roman" w:hAnsi="Times New Roman" w:cs="Times New Roman"/>
      </w:rPr>
    </w:lvl>
    <w:lvl w:ilvl="8" w:tplc="0409001B">
      <w:start w:val="1"/>
      <w:numFmt w:val="lowerRoman"/>
      <w:lvlText w:val="%9."/>
      <w:lvlJc w:val="right"/>
      <w:pPr>
        <w:ind w:left="4320" w:hanging="480"/>
      </w:pPr>
      <w:rPr>
        <w:rFonts w:ascii="Times New Roman" w:hAnsi="Times New Roman" w:cs="Times New Roman"/>
      </w:rPr>
    </w:lvl>
  </w:abstractNum>
  <w:num w:numId="1">
    <w:abstractNumId w:val="2"/>
  </w:num>
  <w:num w:numId="2">
    <w:abstractNumId w:val="3"/>
  </w:num>
  <w:num w:numId="3">
    <w:abstractNumId w:val="1"/>
  </w:num>
  <w:num w:numId="4">
    <w:abstractNumId w:val="0"/>
  </w:num>
  <w:num w:numId="5">
    <w:abstractNumId w:val="5"/>
  </w:num>
  <w:num w:numId="6">
    <w:abstractNumId w:val="6"/>
  </w:num>
  <w:num w:numId="7">
    <w:abstractNumId w:val="2"/>
  </w:num>
  <w:num w:numId="8">
    <w:abstractNumId w:val="2"/>
  </w:num>
  <w:num w:numId="9">
    <w:abstractNumId w:val="2"/>
  </w:num>
  <w:num w:numId="10">
    <w:abstractNumId w:val="2"/>
  </w:num>
  <w:num w:numId="11">
    <w:abstractNumId w:val="2"/>
  </w:num>
  <w:num w:numId="12">
    <w:abstractNumId w:val="4"/>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0"/>
  <w:doNotHyphenateCaps/>
  <w:drawingGridHorizontalSpacing w:val="170"/>
  <w:drawingGridVerticalSpacing w:val="457"/>
  <w:displayHorizontalDrawingGridEvery w:val="0"/>
  <w:characterSpacingControl w:val="compressPunctuation"/>
  <w:noLineBreaksAfter w:lang="zh-TW" w:val="'(57[bcd{£¥‘“‵〈《「『【〔〝︵︷︹︻︽︿﹁﹏﹛﹝（｛"/>
  <w:noLineBreaksBefore w:lang="zh-TW" w:val="!'),.5:;?]c}¢·–—’”•‥…‧′╴、。〉》」』】〕〞︰︱︳︴︶︸︺︼︾﹀﹂﹄﹏﹐﹑﹒﹔﹕﹖﹗﹚﹜﹞！），．：；？］｜｝､"/>
  <w:doNotValidateAgainstSchema/>
  <w:doNotDemarcateInvalidXml/>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7F7"/>
    <w:rsid w:val="001807F7"/>
    <w:rsid w:val="00700B6E"/>
    <w:rsid w:val="00CA03A6"/>
    <w:rsid w:val="00E63D5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8DF975B-3465-4E4D-BEE6-D954B5495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pPr>
    <w:rPr>
      <w:rFonts w:ascii="Times New Roman" w:eastAsia="標楷體" w:hAnsi="Times New Roman" w:cs="Times New Roman"/>
      <w:sz w:val="32"/>
      <w:szCs w:val="32"/>
    </w:rPr>
  </w:style>
  <w:style w:type="paragraph" w:styleId="1">
    <w:name w:val="heading 1"/>
    <w:basedOn w:val="a1"/>
    <w:link w:val="10"/>
    <w:uiPriority w:val="99"/>
    <w:qFormat/>
    <w:pPr>
      <w:numPr>
        <w:numId w:val="1"/>
      </w:numPr>
      <w:kinsoku w:val="0"/>
      <w:jc w:val="both"/>
      <w:outlineLvl w:val="0"/>
    </w:pPr>
    <w:rPr>
      <w:rFonts w:ascii="標楷體" w:hAnsi="Arial" w:cs="標楷體"/>
      <w:kern w:val="0"/>
    </w:rPr>
  </w:style>
  <w:style w:type="paragraph" w:styleId="2">
    <w:name w:val="heading 2"/>
    <w:basedOn w:val="a1"/>
    <w:link w:val="20"/>
    <w:uiPriority w:val="99"/>
    <w:qFormat/>
    <w:pPr>
      <w:numPr>
        <w:ilvl w:val="1"/>
        <w:numId w:val="1"/>
      </w:numPr>
      <w:kinsoku w:val="0"/>
      <w:jc w:val="both"/>
      <w:outlineLvl w:val="1"/>
    </w:pPr>
    <w:rPr>
      <w:rFonts w:ascii="標楷體" w:hAnsi="Arial" w:cs="標楷體"/>
      <w:kern w:val="0"/>
    </w:rPr>
  </w:style>
  <w:style w:type="paragraph" w:styleId="3">
    <w:name w:val="heading 3"/>
    <w:basedOn w:val="a1"/>
    <w:link w:val="30"/>
    <w:uiPriority w:val="99"/>
    <w:qFormat/>
    <w:pPr>
      <w:numPr>
        <w:ilvl w:val="2"/>
        <w:numId w:val="1"/>
      </w:numPr>
      <w:kinsoku w:val="0"/>
      <w:jc w:val="both"/>
      <w:outlineLvl w:val="2"/>
    </w:pPr>
    <w:rPr>
      <w:rFonts w:ascii="標楷體" w:hAnsi="Arial" w:cs="標楷體"/>
      <w:kern w:val="0"/>
    </w:rPr>
  </w:style>
  <w:style w:type="paragraph" w:styleId="4">
    <w:name w:val="heading 4"/>
    <w:basedOn w:val="a1"/>
    <w:link w:val="40"/>
    <w:uiPriority w:val="99"/>
    <w:qFormat/>
    <w:pPr>
      <w:numPr>
        <w:ilvl w:val="3"/>
        <w:numId w:val="1"/>
      </w:numPr>
      <w:jc w:val="both"/>
      <w:outlineLvl w:val="3"/>
    </w:pPr>
    <w:rPr>
      <w:rFonts w:ascii="標楷體" w:hAnsi="Arial" w:cs="標楷體"/>
    </w:rPr>
  </w:style>
  <w:style w:type="paragraph" w:styleId="5">
    <w:name w:val="heading 5"/>
    <w:basedOn w:val="a1"/>
    <w:link w:val="50"/>
    <w:uiPriority w:val="99"/>
    <w:qFormat/>
    <w:pPr>
      <w:numPr>
        <w:ilvl w:val="4"/>
        <w:numId w:val="1"/>
      </w:numPr>
      <w:kinsoku w:val="0"/>
      <w:jc w:val="both"/>
      <w:outlineLvl w:val="4"/>
    </w:pPr>
    <w:rPr>
      <w:rFonts w:ascii="標楷體" w:hAnsi="Arial" w:cs="標楷體"/>
    </w:rPr>
  </w:style>
  <w:style w:type="paragraph" w:styleId="6">
    <w:name w:val="heading 6"/>
    <w:basedOn w:val="a1"/>
    <w:link w:val="60"/>
    <w:uiPriority w:val="99"/>
    <w:qFormat/>
    <w:pPr>
      <w:numPr>
        <w:ilvl w:val="5"/>
        <w:numId w:val="1"/>
      </w:numPr>
      <w:tabs>
        <w:tab w:val="left" w:pos="2094"/>
      </w:tabs>
      <w:kinsoku w:val="0"/>
      <w:jc w:val="both"/>
      <w:outlineLvl w:val="5"/>
    </w:pPr>
    <w:rPr>
      <w:rFonts w:ascii="標楷體" w:hAnsi="Arial" w:cs="標楷體"/>
    </w:rPr>
  </w:style>
  <w:style w:type="paragraph" w:styleId="7">
    <w:name w:val="heading 7"/>
    <w:basedOn w:val="a1"/>
    <w:link w:val="70"/>
    <w:uiPriority w:val="99"/>
    <w:qFormat/>
    <w:pPr>
      <w:numPr>
        <w:ilvl w:val="6"/>
        <w:numId w:val="1"/>
      </w:numPr>
      <w:kinsoku w:val="0"/>
      <w:jc w:val="both"/>
      <w:outlineLvl w:val="6"/>
    </w:pPr>
    <w:rPr>
      <w:rFonts w:ascii="標楷體" w:hAnsi="Arial" w:cs="標楷體"/>
    </w:rPr>
  </w:style>
  <w:style w:type="paragraph" w:styleId="8">
    <w:name w:val="heading 8"/>
    <w:basedOn w:val="a1"/>
    <w:link w:val="80"/>
    <w:uiPriority w:val="99"/>
    <w:qFormat/>
    <w:pPr>
      <w:numPr>
        <w:ilvl w:val="7"/>
        <w:numId w:val="1"/>
      </w:numPr>
      <w:kinsoku w:val="0"/>
      <w:jc w:val="both"/>
      <w:outlineLvl w:val="7"/>
    </w:pPr>
    <w:rPr>
      <w:rFonts w:ascii="標楷體" w:hAnsi="Arial" w:cs="標楷體"/>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basedOn w:val="a2"/>
    <w:link w:val="1"/>
    <w:uiPriority w:val="99"/>
    <w:rPr>
      <w:rFonts w:ascii="Cambria" w:eastAsia="新細明體" w:hAnsi="Cambria" w:cs="Cambria"/>
      <w:b/>
      <w:bCs/>
      <w:kern w:val="52"/>
      <w:sz w:val="52"/>
      <w:szCs w:val="52"/>
    </w:rPr>
  </w:style>
  <w:style w:type="character" w:customStyle="1" w:styleId="20">
    <w:name w:val="標題 2 字元"/>
    <w:basedOn w:val="a2"/>
    <w:link w:val="2"/>
    <w:uiPriority w:val="99"/>
    <w:rPr>
      <w:rFonts w:ascii="標楷體" w:eastAsia="標楷體" w:hAnsi="Arial" w:cs="標楷體"/>
      <w:sz w:val="48"/>
      <w:szCs w:val="48"/>
    </w:rPr>
  </w:style>
  <w:style w:type="character" w:customStyle="1" w:styleId="30">
    <w:name w:val="標題 3 字元"/>
    <w:basedOn w:val="a2"/>
    <w:link w:val="3"/>
    <w:uiPriority w:val="99"/>
    <w:rPr>
      <w:rFonts w:ascii="Cambria" w:eastAsia="新細明體" w:hAnsi="Cambria" w:cs="Cambria"/>
      <w:b/>
      <w:bCs/>
      <w:sz w:val="36"/>
      <w:szCs w:val="36"/>
    </w:rPr>
  </w:style>
  <w:style w:type="character" w:customStyle="1" w:styleId="40">
    <w:name w:val="標題 4 字元"/>
    <w:basedOn w:val="a2"/>
    <w:link w:val="4"/>
    <w:uiPriority w:val="99"/>
    <w:rPr>
      <w:rFonts w:ascii="Cambria" w:eastAsia="新細明體" w:hAnsi="Cambria" w:cs="Cambria"/>
      <w:sz w:val="36"/>
      <w:szCs w:val="36"/>
    </w:rPr>
  </w:style>
  <w:style w:type="character" w:customStyle="1" w:styleId="50">
    <w:name w:val="標題 5 字元"/>
    <w:basedOn w:val="a2"/>
    <w:link w:val="5"/>
    <w:uiPriority w:val="99"/>
    <w:rPr>
      <w:rFonts w:ascii="Cambria" w:eastAsia="新細明體" w:hAnsi="Cambria" w:cs="Cambria"/>
      <w:b/>
      <w:bCs/>
      <w:sz w:val="36"/>
      <w:szCs w:val="36"/>
    </w:rPr>
  </w:style>
  <w:style w:type="character" w:customStyle="1" w:styleId="60">
    <w:name w:val="標題 6 字元"/>
    <w:basedOn w:val="a2"/>
    <w:link w:val="6"/>
    <w:uiPriority w:val="99"/>
    <w:rPr>
      <w:rFonts w:ascii="Cambria" w:eastAsia="新細明體" w:hAnsi="Cambria" w:cs="Cambria"/>
      <w:sz w:val="36"/>
      <w:szCs w:val="36"/>
    </w:rPr>
  </w:style>
  <w:style w:type="character" w:customStyle="1" w:styleId="70">
    <w:name w:val="標題 7 字元"/>
    <w:basedOn w:val="a2"/>
    <w:link w:val="7"/>
    <w:uiPriority w:val="99"/>
    <w:rPr>
      <w:rFonts w:ascii="Cambria" w:eastAsia="新細明體" w:hAnsi="Cambria" w:cs="Cambria"/>
      <w:b/>
      <w:bCs/>
      <w:sz w:val="36"/>
      <w:szCs w:val="36"/>
    </w:rPr>
  </w:style>
  <w:style w:type="character" w:customStyle="1" w:styleId="80">
    <w:name w:val="標題 8 字元"/>
    <w:basedOn w:val="a2"/>
    <w:link w:val="8"/>
    <w:uiPriority w:val="99"/>
    <w:rPr>
      <w:rFonts w:ascii="Cambria" w:eastAsia="新細明體" w:hAnsi="Cambria" w:cs="Cambria"/>
      <w:sz w:val="36"/>
      <w:szCs w:val="36"/>
    </w:rPr>
  </w:style>
  <w:style w:type="paragraph" w:styleId="a5">
    <w:name w:val="Signature"/>
    <w:basedOn w:val="a1"/>
    <w:link w:val="a6"/>
    <w:uiPriority w:val="99"/>
    <w:pPr>
      <w:spacing w:before="720" w:after="720"/>
      <w:ind w:left="7371"/>
    </w:pPr>
    <w:rPr>
      <w:rFonts w:ascii="標楷體" w:cs="標楷體"/>
      <w:b/>
      <w:bCs/>
      <w:spacing w:val="10"/>
      <w:sz w:val="36"/>
      <w:szCs w:val="36"/>
    </w:rPr>
  </w:style>
  <w:style w:type="character" w:customStyle="1" w:styleId="a6">
    <w:name w:val="簽名 字元"/>
    <w:basedOn w:val="a2"/>
    <w:link w:val="a5"/>
    <w:uiPriority w:val="99"/>
    <w:rPr>
      <w:rFonts w:ascii="Times New Roman" w:eastAsia="標楷體" w:hAnsi="Times New Roman" w:cs="Times New Roman"/>
      <w:sz w:val="32"/>
      <w:szCs w:val="32"/>
    </w:rPr>
  </w:style>
  <w:style w:type="paragraph" w:styleId="a7">
    <w:name w:val="endnote text"/>
    <w:basedOn w:val="a1"/>
    <w:link w:val="a8"/>
    <w:uiPriority w:val="99"/>
    <w:pPr>
      <w:spacing w:before="240"/>
      <w:ind w:left="1021" w:hanging="1021"/>
      <w:jc w:val="both"/>
    </w:pPr>
    <w:rPr>
      <w:rFonts w:ascii="標楷體" w:cs="標楷體"/>
      <w:spacing w:val="10"/>
    </w:rPr>
  </w:style>
  <w:style w:type="character" w:customStyle="1" w:styleId="a8">
    <w:name w:val="章節附註文字 字元"/>
    <w:basedOn w:val="a2"/>
    <w:link w:val="a7"/>
    <w:uiPriority w:val="99"/>
    <w:rPr>
      <w:rFonts w:ascii="Times New Roman" w:eastAsia="標楷體" w:hAnsi="Times New Roman" w:cs="Times New Roman"/>
      <w:sz w:val="32"/>
      <w:szCs w:val="32"/>
    </w:rPr>
  </w:style>
  <w:style w:type="paragraph" w:styleId="51">
    <w:name w:val="toc 5"/>
    <w:basedOn w:val="a1"/>
    <w:next w:val="a1"/>
    <w:autoRedefine/>
    <w:uiPriority w:val="99"/>
    <w:pPr>
      <w:ind w:leftChars="400" w:left="600" w:rightChars="200" w:right="200" w:hangingChars="200" w:hanging="200"/>
    </w:pPr>
    <w:rPr>
      <w:rFonts w:ascii="標楷體" w:cs="標楷體"/>
    </w:rPr>
  </w:style>
  <w:style w:type="character" w:styleId="a9">
    <w:name w:val="page number"/>
    <w:basedOn w:val="a2"/>
    <w:uiPriority w:val="99"/>
    <w:rPr>
      <w:rFonts w:ascii="標楷體" w:eastAsia="標楷體" w:hAnsi="Times New Roman" w:cs="標楷體"/>
      <w:sz w:val="20"/>
      <w:szCs w:val="20"/>
    </w:rPr>
  </w:style>
  <w:style w:type="paragraph" w:styleId="61">
    <w:name w:val="toc 6"/>
    <w:basedOn w:val="a1"/>
    <w:next w:val="a1"/>
    <w:autoRedefine/>
    <w:uiPriority w:val="99"/>
    <w:pPr>
      <w:ind w:leftChars="500" w:left="500"/>
    </w:pPr>
    <w:rPr>
      <w:rFonts w:ascii="標楷體" w:cs="標楷體"/>
    </w:rPr>
  </w:style>
  <w:style w:type="paragraph" w:customStyle="1" w:styleId="11">
    <w:name w:val="段落樣式1"/>
    <w:basedOn w:val="a1"/>
    <w:uiPriority w:val="99"/>
    <w:pPr>
      <w:tabs>
        <w:tab w:val="left" w:pos="567"/>
      </w:tabs>
      <w:kinsoku w:val="0"/>
      <w:ind w:leftChars="200" w:left="200" w:firstLineChars="200" w:firstLine="200"/>
      <w:jc w:val="both"/>
    </w:pPr>
    <w:rPr>
      <w:rFonts w:ascii="標楷體" w:cs="標楷體"/>
      <w:kern w:val="0"/>
    </w:rPr>
  </w:style>
  <w:style w:type="paragraph" w:customStyle="1" w:styleId="21">
    <w:name w:val="段落樣式2"/>
    <w:basedOn w:val="a1"/>
    <w:uiPriority w:val="99"/>
    <w:pPr>
      <w:tabs>
        <w:tab w:val="left" w:pos="567"/>
      </w:tabs>
      <w:ind w:leftChars="300" w:left="300" w:firstLineChars="200" w:firstLine="200"/>
      <w:jc w:val="both"/>
    </w:pPr>
    <w:rPr>
      <w:rFonts w:ascii="標楷體" w:cs="標楷體"/>
      <w:kern w:val="0"/>
    </w:rPr>
  </w:style>
  <w:style w:type="paragraph" w:styleId="12">
    <w:name w:val="toc 1"/>
    <w:basedOn w:val="a1"/>
    <w:next w:val="a1"/>
    <w:autoRedefine/>
    <w:uiPriority w:val="99"/>
    <w:pPr>
      <w:kinsoku w:val="0"/>
      <w:ind w:left="2443" w:rightChars="200" w:right="698" w:hangingChars="700" w:hanging="2443"/>
      <w:jc w:val="both"/>
    </w:pPr>
    <w:rPr>
      <w:rFonts w:ascii="標楷體" w:cs="標楷體"/>
      <w:noProof/>
    </w:rPr>
  </w:style>
  <w:style w:type="paragraph" w:styleId="22">
    <w:name w:val="toc 2"/>
    <w:basedOn w:val="a1"/>
    <w:next w:val="a1"/>
    <w:autoRedefine/>
    <w:uiPriority w:val="99"/>
    <w:pPr>
      <w:kinsoku w:val="0"/>
      <w:ind w:leftChars="100" w:left="300" w:rightChars="200" w:right="200" w:hangingChars="200" w:hanging="200"/>
    </w:pPr>
    <w:rPr>
      <w:rFonts w:ascii="標楷體" w:cs="標楷體"/>
      <w:noProof/>
    </w:rPr>
  </w:style>
  <w:style w:type="paragraph" w:styleId="31">
    <w:name w:val="toc 3"/>
    <w:basedOn w:val="a1"/>
    <w:next w:val="a1"/>
    <w:autoRedefine/>
    <w:uiPriority w:val="99"/>
    <w:pPr>
      <w:kinsoku w:val="0"/>
      <w:ind w:leftChars="200" w:left="400" w:rightChars="200" w:right="200" w:hangingChars="200" w:hanging="200"/>
      <w:jc w:val="both"/>
    </w:pPr>
    <w:rPr>
      <w:rFonts w:ascii="標楷體" w:cs="標楷體"/>
      <w:noProof/>
    </w:rPr>
  </w:style>
  <w:style w:type="paragraph" w:styleId="41">
    <w:name w:val="toc 4"/>
    <w:basedOn w:val="a1"/>
    <w:next w:val="a1"/>
    <w:autoRedefine/>
    <w:uiPriority w:val="99"/>
    <w:pPr>
      <w:kinsoku w:val="0"/>
      <w:ind w:leftChars="300" w:left="500" w:rightChars="200" w:right="200" w:hangingChars="200" w:hanging="200"/>
      <w:jc w:val="both"/>
    </w:pPr>
    <w:rPr>
      <w:rFonts w:ascii="標楷體" w:cs="標楷體"/>
    </w:rPr>
  </w:style>
  <w:style w:type="paragraph" w:styleId="71">
    <w:name w:val="toc 7"/>
    <w:basedOn w:val="a1"/>
    <w:next w:val="a1"/>
    <w:autoRedefine/>
    <w:uiPriority w:val="99"/>
    <w:pPr>
      <w:ind w:leftChars="600" w:left="800" w:hangingChars="200" w:hanging="200"/>
    </w:pPr>
    <w:rPr>
      <w:rFonts w:ascii="標楷體" w:cs="標楷體"/>
    </w:rPr>
  </w:style>
  <w:style w:type="paragraph" w:styleId="81">
    <w:name w:val="toc 8"/>
    <w:basedOn w:val="a1"/>
    <w:next w:val="a1"/>
    <w:autoRedefine/>
    <w:uiPriority w:val="99"/>
    <w:pPr>
      <w:ind w:leftChars="700" w:left="900" w:hangingChars="200" w:hanging="200"/>
    </w:pPr>
    <w:rPr>
      <w:rFonts w:ascii="標楷體" w:cs="標楷體"/>
    </w:rPr>
  </w:style>
  <w:style w:type="paragraph" w:styleId="9">
    <w:name w:val="toc 9"/>
    <w:basedOn w:val="a1"/>
    <w:next w:val="a1"/>
    <w:autoRedefine/>
    <w:uiPriority w:val="99"/>
    <w:pPr>
      <w:ind w:leftChars="1600" w:left="3840"/>
    </w:pPr>
  </w:style>
  <w:style w:type="paragraph" w:styleId="aa">
    <w:name w:val="header"/>
    <w:basedOn w:val="a1"/>
    <w:link w:val="ab"/>
    <w:uiPriority w:val="99"/>
    <w:pPr>
      <w:tabs>
        <w:tab w:val="center" w:pos="4153"/>
        <w:tab w:val="right" w:pos="8306"/>
      </w:tabs>
      <w:snapToGrid w:val="0"/>
    </w:pPr>
    <w:rPr>
      <w:sz w:val="20"/>
      <w:szCs w:val="20"/>
    </w:rPr>
  </w:style>
  <w:style w:type="character" w:customStyle="1" w:styleId="ab">
    <w:name w:val="頁首 字元"/>
    <w:basedOn w:val="a2"/>
    <w:link w:val="aa"/>
    <w:uiPriority w:val="99"/>
    <w:rPr>
      <w:rFonts w:ascii="Times New Roman" w:eastAsia="標楷體" w:hAnsi="Times New Roman" w:cs="Times New Roman"/>
      <w:sz w:val="20"/>
      <w:szCs w:val="20"/>
    </w:rPr>
  </w:style>
  <w:style w:type="paragraph" w:customStyle="1" w:styleId="32">
    <w:name w:val="段落樣式3"/>
    <w:basedOn w:val="21"/>
    <w:uiPriority w:val="99"/>
    <w:pPr>
      <w:ind w:leftChars="400" w:left="400"/>
    </w:pPr>
  </w:style>
  <w:style w:type="character" w:styleId="ac">
    <w:name w:val="Hyperlink"/>
    <w:basedOn w:val="a2"/>
    <w:uiPriority w:val="99"/>
    <w:rPr>
      <w:rFonts w:ascii="Times New Roman" w:hAnsi="Times New Roman" w:cs="Times New Roman"/>
      <w:color w:val="0000FF"/>
      <w:u w:val="single"/>
    </w:rPr>
  </w:style>
  <w:style w:type="paragraph" w:customStyle="1" w:styleId="ad">
    <w:name w:val="簽名日期"/>
    <w:basedOn w:val="a1"/>
    <w:uiPriority w:val="99"/>
    <w:pPr>
      <w:kinsoku w:val="0"/>
      <w:jc w:val="distribute"/>
    </w:pPr>
    <w:rPr>
      <w:kern w:val="0"/>
    </w:rPr>
  </w:style>
  <w:style w:type="paragraph" w:customStyle="1" w:styleId="0">
    <w:name w:val="段落樣式0"/>
    <w:basedOn w:val="21"/>
    <w:uiPriority w:val="99"/>
    <w:pPr>
      <w:ind w:leftChars="200" w:left="200" w:firstLineChars="0" w:firstLine="0"/>
    </w:pPr>
  </w:style>
  <w:style w:type="paragraph" w:customStyle="1" w:styleId="ae">
    <w:name w:val="附件"/>
    <w:basedOn w:val="a7"/>
    <w:uiPriority w:val="99"/>
    <w:pPr>
      <w:kinsoku w:val="0"/>
      <w:spacing w:before="0"/>
      <w:ind w:left="1047" w:hangingChars="300" w:hanging="1047"/>
    </w:pPr>
    <w:rPr>
      <w:spacing w:val="0"/>
      <w:kern w:val="0"/>
    </w:rPr>
  </w:style>
  <w:style w:type="paragraph" w:customStyle="1" w:styleId="42">
    <w:name w:val="段落樣式4"/>
    <w:basedOn w:val="32"/>
    <w:uiPriority w:val="99"/>
    <w:pPr>
      <w:ind w:leftChars="500" w:left="500"/>
    </w:pPr>
  </w:style>
  <w:style w:type="paragraph" w:customStyle="1" w:styleId="52">
    <w:name w:val="段落樣式5"/>
    <w:basedOn w:val="42"/>
    <w:uiPriority w:val="99"/>
    <w:pPr>
      <w:ind w:leftChars="600" w:left="600"/>
    </w:pPr>
  </w:style>
  <w:style w:type="paragraph" w:customStyle="1" w:styleId="62">
    <w:name w:val="段落樣式6"/>
    <w:basedOn w:val="52"/>
    <w:uiPriority w:val="99"/>
    <w:pPr>
      <w:ind w:leftChars="700" w:left="700"/>
    </w:pPr>
  </w:style>
  <w:style w:type="paragraph" w:customStyle="1" w:styleId="72">
    <w:name w:val="段落樣式7"/>
    <w:basedOn w:val="62"/>
    <w:uiPriority w:val="99"/>
  </w:style>
  <w:style w:type="paragraph" w:customStyle="1" w:styleId="82">
    <w:name w:val="段落樣式8"/>
    <w:basedOn w:val="72"/>
    <w:uiPriority w:val="99"/>
    <w:pPr>
      <w:ind w:leftChars="800" w:left="800"/>
    </w:pPr>
  </w:style>
  <w:style w:type="paragraph" w:customStyle="1" w:styleId="a0">
    <w:name w:val="表樣式"/>
    <w:basedOn w:val="a1"/>
    <w:next w:val="a1"/>
    <w:uiPriority w:val="99"/>
    <w:pPr>
      <w:numPr>
        <w:numId w:val="2"/>
      </w:numPr>
      <w:jc w:val="both"/>
    </w:pPr>
    <w:rPr>
      <w:rFonts w:ascii="標楷體" w:cs="標楷體"/>
      <w:kern w:val="0"/>
    </w:rPr>
  </w:style>
  <w:style w:type="paragraph" w:styleId="af">
    <w:name w:val="Body Text Indent"/>
    <w:basedOn w:val="a1"/>
    <w:link w:val="af0"/>
    <w:uiPriority w:val="99"/>
    <w:pPr>
      <w:ind w:left="698" w:hangingChars="200" w:hanging="698"/>
    </w:pPr>
  </w:style>
  <w:style w:type="character" w:customStyle="1" w:styleId="af0">
    <w:name w:val="本文縮排 字元"/>
    <w:basedOn w:val="a2"/>
    <w:link w:val="af"/>
    <w:uiPriority w:val="99"/>
    <w:rPr>
      <w:rFonts w:ascii="Times New Roman" w:eastAsia="標楷體" w:hAnsi="Times New Roman" w:cs="Times New Roman"/>
      <w:sz w:val="32"/>
      <w:szCs w:val="32"/>
    </w:rPr>
  </w:style>
  <w:style w:type="paragraph" w:customStyle="1" w:styleId="af1">
    <w:name w:val="調查報告"/>
    <w:basedOn w:val="a7"/>
    <w:uiPriority w:val="99"/>
    <w:pPr>
      <w:kinsoku w:val="0"/>
      <w:spacing w:before="0"/>
      <w:ind w:left="1701" w:firstLine="0"/>
    </w:pPr>
    <w:rPr>
      <w:b/>
      <w:bCs/>
      <w:spacing w:val="200"/>
      <w:kern w:val="0"/>
      <w:sz w:val="36"/>
      <w:szCs w:val="36"/>
    </w:rPr>
  </w:style>
  <w:style w:type="paragraph" w:styleId="af2">
    <w:name w:val="footnote text"/>
    <w:basedOn w:val="a1"/>
    <w:link w:val="af3"/>
    <w:uiPriority w:val="99"/>
    <w:pPr>
      <w:snapToGrid w:val="0"/>
    </w:pPr>
    <w:rPr>
      <w:sz w:val="20"/>
      <w:szCs w:val="20"/>
    </w:rPr>
  </w:style>
  <w:style w:type="character" w:customStyle="1" w:styleId="af3">
    <w:name w:val="註腳文字 字元"/>
    <w:basedOn w:val="a2"/>
    <w:link w:val="af2"/>
    <w:uiPriority w:val="99"/>
    <w:rPr>
      <w:rFonts w:ascii="Times New Roman" w:eastAsia="標楷體" w:hAnsi="Times New Roman" w:cs="Times New Roman"/>
      <w:sz w:val="20"/>
      <w:szCs w:val="20"/>
    </w:rPr>
  </w:style>
  <w:style w:type="paragraph" w:customStyle="1" w:styleId="a">
    <w:name w:val="圖樣式"/>
    <w:basedOn w:val="a1"/>
    <w:next w:val="a1"/>
    <w:uiPriority w:val="99"/>
    <w:pPr>
      <w:numPr>
        <w:numId w:val="3"/>
      </w:numPr>
      <w:tabs>
        <w:tab w:val="clear" w:pos="1440"/>
      </w:tabs>
      <w:ind w:left="400" w:hangingChars="400" w:hanging="400"/>
      <w:jc w:val="both"/>
    </w:pPr>
    <w:rPr>
      <w:rFonts w:ascii="標楷體" w:cs="標楷體"/>
    </w:rPr>
  </w:style>
  <w:style w:type="paragraph" w:styleId="af4">
    <w:name w:val="footer"/>
    <w:basedOn w:val="a1"/>
    <w:link w:val="af5"/>
    <w:uiPriority w:val="99"/>
    <w:pPr>
      <w:tabs>
        <w:tab w:val="center" w:pos="4153"/>
        <w:tab w:val="right" w:pos="8306"/>
      </w:tabs>
      <w:snapToGrid w:val="0"/>
    </w:pPr>
    <w:rPr>
      <w:sz w:val="20"/>
      <w:szCs w:val="20"/>
    </w:rPr>
  </w:style>
  <w:style w:type="character" w:customStyle="1" w:styleId="af5">
    <w:name w:val="頁尾 字元"/>
    <w:basedOn w:val="a2"/>
    <w:link w:val="af4"/>
    <w:uiPriority w:val="99"/>
    <w:rPr>
      <w:rFonts w:ascii="Times New Roman" w:eastAsia="標楷體" w:hAnsi="Times New Roman" w:cs="Times New Roman"/>
      <w:sz w:val="20"/>
      <w:szCs w:val="20"/>
    </w:rPr>
  </w:style>
  <w:style w:type="paragraph" w:styleId="af6">
    <w:name w:val="table of figures"/>
    <w:basedOn w:val="a1"/>
    <w:next w:val="a1"/>
    <w:uiPriority w:val="99"/>
    <w:pPr>
      <w:ind w:left="400" w:hangingChars="400" w:hanging="400"/>
    </w:pPr>
  </w:style>
  <w:style w:type="character" w:styleId="af7">
    <w:name w:val="footnote reference"/>
    <w:basedOn w:val="a2"/>
    <w:uiPriority w:val="99"/>
    <w:rPr>
      <w:rFonts w:ascii="Times New Roman" w:hAnsi="Times New Roman" w:cs="Times New Roman"/>
      <w:vertAlign w:val="superscript"/>
    </w:rPr>
  </w:style>
  <w:style w:type="paragraph" w:styleId="HTML">
    <w:name w:val="HTML Preformatted"/>
    <w:basedOn w:val="a1"/>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hAnsi="Arial Unicode MS" w:cs="Arial Unicode MS"/>
      <w:color w:val="000000"/>
      <w:kern w:val="0"/>
      <w:sz w:val="20"/>
      <w:szCs w:val="20"/>
    </w:rPr>
  </w:style>
  <w:style w:type="character" w:customStyle="1" w:styleId="HTML0">
    <w:name w:val="HTML 預設格式 字元"/>
    <w:basedOn w:val="a2"/>
    <w:link w:val="HTML"/>
    <w:uiPriority w:val="99"/>
    <w:rPr>
      <w:rFonts w:ascii="Arial Unicode MS" w:eastAsia="Times New Roman" w:hAnsi="Arial Unicode MS" w:cs="Arial Unicode MS"/>
      <w:color w:val="000000"/>
    </w:rPr>
  </w:style>
  <w:style w:type="character" w:styleId="af8">
    <w:name w:val="FollowedHyperlink"/>
    <w:basedOn w:val="a2"/>
    <w:uiPriority w:val="99"/>
    <w:rPr>
      <w:rFonts w:ascii="Times New Roman" w:hAnsi="Times New Roman" w:cs="Times New Roman"/>
      <w:color w:val="800080"/>
      <w:u w:val="single"/>
    </w:rPr>
  </w:style>
  <w:style w:type="paragraph" w:customStyle="1" w:styleId="af9">
    <w:name w:val="分項段落"/>
    <w:basedOn w:val="a1"/>
    <w:uiPriority w:val="99"/>
    <w:rPr>
      <w:rFonts w:eastAsia="新細明體"/>
      <w:sz w:val="24"/>
      <w:szCs w:val="24"/>
    </w:rPr>
  </w:style>
  <w:style w:type="paragraph" w:customStyle="1" w:styleId="afa">
    <w:name w:val="字元 字元 字元 字元 字元 字元 字元"/>
    <w:basedOn w:val="a1"/>
    <w:uiPriority w:val="99"/>
    <w:pPr>
      <w:widowControl/>
      <w:spacing w:after="160" w:line="240" w:lineRule="exact"/>
    </w:pPr>
    <w:rPr>
      <w:rFonts w:ascii="Verdana" w:eastAsia="新細明體" w:hAnsi="Verdana" w:cs="Verdana"/>
      <w:kern w:val="0"/>
      <w:sz w:val="20"/>
      <w:szCs w:val="20"/>
      <w:lang w:eastAsia="en-US"/>
    </w:rPr>
  </w:style>
  <w:style w:type="paragraph" w:styleId="afb">
    <w:name w:val="List Paragraph"/>
    <w:basedOn w:val="a1"/>
    <w:uiPriority w:val="99"/>
    <w:qFormat/>
    <w:pPr>
      <w:widowControl/>
      <w:ind w:leftChars="200" w:left="480"/>
    </w:pPr>
    <w:rPr>
      <w:rFonts w:eastAsia="新細明體"/>
      <w:kern w:val="0"/>
      <w:sz w:val="24"/>
      <w:szCs w:val="24"/>
    </w:rPr>
  </w:style>
  <w:style w:type="character" w:styleId="afc">
    <w:name w:val="Strong"/>
    <w:basedOn w:val="a2"/>
    <w:uiPriority w:val="99"/>
    <w:qFormat/>
    <w:rPr>
      <w:rFonts w:ascii="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3914</Words>
  <Characters>95</Characters>
  <Application>Microsoft Office Word</Application>
  <DocSecurity>0</DocSecurity>
  <Lines>1</Lines>
  <Paragraphs>8</Paragraphs>
  <ScaleCrop>false</ScaleCrop>
  <Company>cy</Company>
  <LinksUpToDate>false</LinksUpToDate>
  <CharactersWithSpaces>4001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dc:creator>
  <cp:keywords/>
  <dc:description/>
  <cp:lastModifiedBy>廖春媛</cp:lastModifiedBy>
  <cp:revision>4</cp:revision>
  <cp:lastPrinted>2009-10-29T07:31:00Z</cp:lastPrinted>
  <dcterms:created xsi:type="dcterms:W3CDTF">2016-12-15T03:39:00Z</dcterms:created>
  <dcterms:modified xsi:type="dcterms:W3CDTF">2016-12-15T03:42:00Z</dcterms:modified>
</cp:coreProperties>
</file>