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D4F" w:rsidRPr="00027EFF" w:rsidRDefault="00B92D4F">
      <w:pPr>
        <w:pStyle w:val="a5"/>
        <w:kinsoku w:val="0"/>
        <w:spacing w:before="0"/>
        <w:ind w:leftChars="700" w:left="2381" w:firstLine="0"/>
        <w:rPr>
          <w:rFonts w:hAnsi="標楷體"/>
          <w:bCs/>
          <w:snapToGrid/>
          <w:color w:val="000000"/>
          <w:kern w:val="0"/>
          <w:sz w:val="40"/>
        </w:rPr>
      </w:pPr>
      <w:bookmarkStart w:id="0" w:name="_GoBack"/>
      <w:bookmarkEnd w:id="0"/>
      <w:r w:rsidRPr="00027EFF">
        <w:rPr>
          <w:rFonts w:hAnsi="標楷體"/>
          <w:bCs/>
          <w:snapToGrid/>
          <w:color w:val="000000"/>
          <w:spacing w:val="200"/>
          <w:kern w:val="0"/>
          <w:sz w:val="40"/>
        </w:rPr>
        <w:t>糾正案文</w:t>
      </w:r>
    </w:p>
    <w:p w:rsidR="00B92D4F" w:rsidRPr="00027EFF" w:rsidRDefault="00B92D4F">
      <w:pPr>
        <w:pStyle w:val="1"/>
        <w:ind w:left="2721" w:hanging="2721"/>
        <w:rPr>
          <w:rFonts w:hAnsi="標楷體"/>
          <w:color w:val="000000"/>
        </w:rPr>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sidRPr="00027EFF">
        <w:rPr>
          <w:rFonts w:hAnsi="標楷體"/>
          <w:color w:val="000000"/>
        </w:rPr>
        <w:t>被糾正機關：</w:t>
      </w:r>
      <w:bookmarkEnd w:id="1"/>
      <w:bookmarkEnd w:id="2"/>
      <w:bookmarkEnd w:id="3"/>
      <w:bookmarkEnd w:id="4"/>
      <w:bookmarkEnd w:id="5"/>
      <w:bookmarkEnd w:id="6"/>
      <w:bookmarkEnd w:id="7"/>
      <w:bookmarkEnd w:id="8"/>
      <w:bookmarkEnd w:id="9"/>
      <w:bookmarkEnd w:id="10"/>
      <w:bookmarkEnd w:id="11"/>
      <w:bookmarkEnd w:id="12"/>
      <w:bookmarkEnd w:id="13"/>
      <w:bookmarkEnd w:id="14"/>
      <w:r w:rsidR="00E50A65" w:rsidRPr="00027EFF">
        <w:rPr>
          <w:rFonts w:hAnsi="標楷體"/>
          <w:color w:val="000000"/>
        </w:rPr>
        <w:t>行政院衛生署</w:t>
      </w:r>
      <w:r w:rsidR="002749FE" w:rsidRPr="00027EFF">
        <w:rPr>
          <w:rFonts w:hAnsi="標楷體" w:hint="eastAsia"/>
          <w:color w:val="000000"/>
        </w:rPr>
        <w:t>國民健康局</w:t>
      </w:r>
      <w:r w:rsidR="00E50A65" w:rsidRPr="00027EFF">
        <w:rPr>
          <w:rFonts w:hAnsi="標楷體"/>
          <w:color w:val="000000"/>
        </w:rPr>
        <w:t>、</w:t>
      </w:r>
      <w:r w:rsidR="00FD5BBF" w:rsidRPr="00027EFF">
        <w:rPr>
          <w:rFonts w:hAnsi="標楷體"/>
          <w:color w:val="000000"/>
        </w:rPr>
        <w:t>行政院</w:t>
      </w:r>
      <w:r w:rsidR="002749FE" w:rsidRPr="00027EFF">
        <w:rPr>
          <w:rFonts w:hAnsi="標楷體" w:hint="eastAsia"/>
          <w:color w:val="000000"/>
        </w:rPr>
        <w:t>衛生署食品藥物管理局</w:t>
      </w:r>
      <w:r w:rsidRPr="00027EFF">
        <w:rPr>
          <w:rFonts w:hAnsi="標楷體"/>
          <w:color w:val="000000"/>
        </w:rPr>
        <w:t>。</w:t>
      </w:r>
    </w:p>
    <w:p w:rsidR="00B92D4F" w:rsidRPr="00027EFF" w:rsidRDefault="00B92D4F" w:rsidP="001D17E6">
      <w:pPr>
        <w:pStyle w:val="1"/>
        <w:kinsoku/>
        <w:ind w:left="2721" w:hanging="2721"/>
        <w:rPr>
          <w:rFonts w:hAnsi="標楷體"/>
          <w:color w:val="000000"/>
        </w:rPr>
      </w:pPr>
      <w:bookmarkStart w:id="15" w:name="_Toc529218255"/>
      <w:bookmarkStart w:id="16" w:name="_Toc529222678"/>
      <w:bookmarkStart w:id="17" w:name="_Toc529223100"/>
      <w:bookmarkStart w:id="18" w:name="_Toc529223851"/>
      <w:bookmarkStart w:id="19" w:name="_Toc529228247"/>
      <w:r w:rsidRPr="00027EFF">
        <w:rPr>
          <w:rFonts w:hAnsi="標楷體"/>
          <w:color w:val="000000"/>
        </w:rPr>
        <w:t>案　　　由：</w:t>
      </w:r>
      <w:r w:rsidR="001D17E6" w:rsidRPr="00027EFF">
        <w:rPr>
          <w:rFonts w:hAnsi="標楷體"/>
          <w:color w:val="000000"/>
        </w:rPr>
        <w:t>行政院衛生署</w:t>
      </w:r>
      <w:r w:rsidR="001D17E6" w:rsidRPr="00027EFF">
        <w:rPr>
          <w:rFonts w:hAnsi="標楷體" w:hint="eastAsia"/>
          <w:color w:val="000000"/>
        </w:rPr>
        <w:t>國民健康局</w:t>
      </w:r>
      <w:r w:rsidR="001D17E6" w:rsidRPr="00027EFF">
        <w:rPr>
          <w:rFonts w:hAnsi="標楷體"/>
          <w:color w:val="000000"/>
        </w:rPr>
        <w:t>長久以來未建立人工流產之通報及監控機制，亦未進行實地訪查，且未積極</w:t>
      </w:r>
      <w:proofErr w:type="gramStart"/>
      <w:r w:rsidR="001D17E6" w:rsidRPr="00027EFF">
        <w:rPr>
          <w:rFonts w:hAnsi="標楷體"/>
          <w:color w:val="000000"/>
        </w:rPr>
        <w:t>研</w:t>
      </w:r>
      <w:proofErr w:type="gramEnd"/>
      <w:r w:rsidR="001D17E6" w:rsidRPr="00027EFF">
        <w:rPr>
          <w:rFonts w:hAnsi="標楷體"/>
          <w:color w:val="000000"/>
        </w:rPr>
        <w:t>議有效之稽查原則、重點及流程，遲自99年下半年起始開始推動禁止違法性別篩選與選擇墮胎之措施，並對出生性別比異常之醫療院所進行實地查訪，惟僅查獲1家婦產</w:t>
      </w:r>
      <w:r w:rsidR="001D17E6" w:rsidRPr="00027EFF">
        <w:rPr>
          <w:rFonts w:hAnsi="標楷體" w:hint="eastAsia"/>
          <w:color w:val="000000"/>
        </w:rPr>
        <w:t>科</w:t>
      </w:r>
      <w:r w:rsidR="001D17E6" w:rsidRPr="00027EFF">
        <w:rPr>
          <w:rFonts w:hAnsi="標楷體"/>
          <w:color w:val="000000"/>
        </w:rPr>
        <w:t>診所有違規進行性別</w:t>
      </w:r>
      <w:proofErr w:type="gramStart"/>
      <w:r w:rsidR="001D17E6" w:rsidRPr="00027EFF">
        <w:rPr>
          <w:rFonts w:hAnsi="標楷體"/>
          <w:color w:val="000000"/>
        </w:rPr>
        <w:t>篩檢事證</w:t>
      </w:r>
      <w:proofErr w:type="gramEnd"/>
      <w:r w:rsidR="001D17E6" w:rsidRPr="00027EFF">
        <w:rPr>
          <w:rFonts w:hAnsi="標楷體"/>
          <w:color w:val="000000"/>
        </w:rPr>
        <w:t>，難以落實醫師及醫療機構不得執行非醫療必要之胎兒性別篩選或性別選擇墮胎之法規與政策</w:t>
      </w:r>
      <w:r w:rsidR="001D17E6" w:rsidRPr="00027EFF">
        <w:rPr>
          <w:rFonts w:hAnsi="標楷體" w:hint="eastAsia"/>
          <w:color w:val="000000"/>
        </w:rPr>
        <w:t>；該局與</w:t>
      </w:r>
      <w:proofErr w:type="gramStart"/>
      <w:r w:rsidR="001D17E6" w:rsidRPr="00027EFF">
        <w:rPr>
          <w:rFonts w:hAnsi="標楷體"/>
          <w:color w:val="000000"/>
        </w:rPr>
        <w:t>行政院</w:t>
      </w:r>
      <w:r w:rsidR="001D17E6" w:rsidRPr="00027EFF">
        <w:rPr>
          <w:rFonts w:hAnsi="標楷體" w:hint="eastAsia"/>
          <w:color w:val="000000"/>
        </w:rPr>
        <w:t>衛生署食品藥物管理局</w:t>
      </w:r>
      <w:r w:rsidR="001D17E6" w:rsidRPr="00027EFF">
        <w:rPr>
          <w:rFonts w:hAnsi="標楷體"/>
        </w:rPr>
        <w:t>均未監測</w:t>
      </w:r>
      <w:proofErr w:type="gramEnd"/>
      <w:r w:rsidR="001D17E6" w:rsidRPr="00027EFF">
        <w:rPr>
          <w:rFonts w:hAnsi="標楷體"/>
        </w:rPr>
        <w:t>醫師處方RU486之數量、使用原因或法律上理由，更未針對使用數量異常者查核有無以RU486為孕婦施行違法人工流產情事，對於孕婦以RU486作為性別選擇性墮胎之方法，迄未</w:t>
      </w:r>
      <w:proofErr w:type="gramStart"/>
      <w:r w:rsidR="001D17E6" w:rsidRPr="00027EFF">
        <w:rPr>
          <w:rFonts w:hAnsi="標楷體"/>
        </w:rPr>
        <w:t>採</w:t>
      </w:r>
      <w:proofErr w:type="gramEnd"/>
      <w:r w:rsidR="001D17E6" w:rsidRPr="00027EFF">
        <w:rPr>
          <w:rFonts w:hAnsi="標楷體"/>
        </w:rPr>
        <w:t>行任何防制措施，</w:t>
      </w:r>
      <w:proofErr w:type="gramStart"/>
      <w:r w:rsidR="00E50A65" w:rsidRPr="00027EFF">
        <w:rPr>
          <w:rFonts w:hAnsi="標楷體"/>
          <w:color w:val="000000"/>
        </w:rPr>
        <w:t>均有違</w:t>
      </w:r>
      <w:proofErr w:type="gramEnd"/>
      <w:r w:rsidR="00E50A65" w:rsidRPr="00027EFF">
        <w:rPr>
          <w:rFonts w:hAnsi="標楷體"/>
          <w:color w:val="000000"/>
        </w:rPr>
        <w:t>失，</w:t>
      </w:r>
      <w:proofErr w:type="gramStart"/>
      <w:r w:rsidR="00583A13" w:rsidRPr="00027EFF">
        <w:rPr>
          <w:rFonts w:hAnsi="標楷體"/>
          <w:color w:val="000000"/>
        </w:rPr>
        <w:t>爰</w:t>
      </w:r>
      <w:proofErr w:type="gramEnd"/>
      <w:r w:rsidR="00583A13" w:rsidRPr="00027EFF">
        <w:rPr>
          <w:rFonts w:hAnsi="標楷體"/>
          <w:color w:val="000000"/>
        </w:rPr>
        <w:t>依法提案糾正</w:t>
      </w:r>
      <w:r w:rsidRPr="00027EFF">
        <w:rPr>
          <w:rFonts w:hAnsi="標楷體"/>
          <w:color w:val="000000"/>
        </w:rPr>
        <w:t>。</w:t>
      </w:r>
      <w:bookmarkEnd w:id="15"/>
      <w:bookmarkEnd w:id="16"/>
      <w:bookmarkEnd w:id="17"/>
      <w:bookmarkEnd w:id="18"/>
      <w:bookmarkEnd w:id="19"/>
    </w:p>
    <w:p w:rsidR="00B92D4F" w:rsidRPr="00027EFF" w:rsidRDefault="00B92D4F">
      <w:pPr>
        <w:pStyle w:val="1"/>
        <w:ind w:left="2381" w:hangingChars="700" w:hanging="2381"/>
        <w:rPr>
          <w:rFonts w:hAnsi="標楷體"/>
          <w:color w:val="000000"/>
        </w:rPr>
      </w:pPr>
      <w:bookmarkStart w:id="20" w:name="_Toc524895646"/>
      <w:bookmarkStart w:id="21" w:name="_Toc524896192"/>
      <w:bookmarkStart w:id="22" w:name="_Toc524896222"/>
      <w:bookmarkStart w:id="23" w:name="_Toc524902729"/>
      <w:bookmarkStart w:id="24" w:name="_Toc525066145"/>
      <w:bookmarkStart w:id="25" w:name="_Toc525070836"/>
      <w:bookmarkStart w:id="26" w:name="_Toc525938376"/>
      <w:bookmarkStart w:id="27" w:name="_Toc525939224"/>
      <w:bookmarkStart w:id="28" w:name="_Toc525939729"/>
      <w:bookmarkStart w:id="29" w:name="_Toc529218269"/>
      <w:bookmarkStart w:id="30" w:name="_Toc529222686"/>
      <w:bookmarkStart w:id="31" w:name="_Toc529223108"/>
      <w:bookmarkStart w:id="32" w:name="_Toc529223859"/>
      <w:bookmarkStart w:id="33" w:name="_Toc529228262"/>
      <w:r w:rsidRPr="00027EFF">
        <w:rPr>
          <w:rFonts w:hAnsi="標楷體"/>
          <w:color w:val="000000"/>
        </w:rPr>
        <w:t>事實與理由：</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1D17E6" w:rsidRPr="00027EFF" w:rsidRDefault="001D17E6" w:rsidP="001D17E6">
      <w:pPr>
        <w:pStyle w:val="20"/>
        <w:ind w:leftChars="200" w:left="680" w:firstLine="680"/>
        <w:rPr>
          <w:rFonts w:hAnsi="標楷體"/>
          <w:szCs w:val="32"/>
        </w:rPr>
      </w:pPr>
      <w:bookmarkStart w:id="34" w:name="_Toc524895648"/>
      <w:bookmarkStart w:id="35" w:name="_Toc524896194"/>
      <w:bookmarkStart w:id="36" w:name="_Toc524896224"/>
      <w:bookmarkStart w:id="37" w:name="_Toc524902734"/>
      <w:bookmarkStart w:id="38" w:name="_Toc525066148"/>
      <w:bookmarkStart w:id="39" w:name="_Toc525070839"/>
      <w:bookmarkStart w:id="40" w:name="_Toc525938379"/>
      <w:bookmarkStart w:id="41" w:name="_Toc525939227"/>
      <w:bookmarkStart w:id="42" w:name="_Toc525939732"/>
      <w:bookmarkStart w:id="43" w:name="_Toc529218272"/>
      <w:bookmarkStart w:id="44" w:name="_Toc529222689"/>
      <w:bookmarkStart w:id="45" w:name="_Toc529223111"/>
      <w:bookmarkStart w:id="46" w:name="_Toc529223862"/>
      <w:bookmarkStart w:id="47" w:name="_Toc529228265"/>
      <w:r w:rsidRPr="00027EFF">
        <w:rPr>
          <w:rFonts w:hAnsi="標楷體"/>
          <w:noProof/>
        </w:rPr>
        <w:t>行政院衛生署（下稱衛生署）國民健康局（下稱國健局）公布民國（下同）99年各縣市男女嬰出生比</w:t>
      </w:r>
      <w:r w:rsidRPr="00027EFF">
        <w:rPr>
          <w:rFonts w:hAnsi="標楷體"/>
        </w:rPr>
        <w:t>統計</w:t>
      </w:r>
      <w:r w:rsidRPr="00027EFF">
        <w:rPr>
          <w:rFonts w:hAnsi="標楷體"/>
          <w:noProof/>
        </w:rPr>
        <w:t>資料，發現彰化縣、臺中市、桃園縣及臺北市等4個縣市最「重男輕女」，男女嬰比例嚴重失衡，推估約有高達3千多名女嬰慘遭墮胎；主管機關似未落實監測及查核違法性別篩檢與墮胎，疑涉有違失，爰有</w:t>
      </w:r>
      <w:r w:rsidRPr="00027EFF">
        <w:rPr>
          <w:rFonts w:hAnsi="標楷體"/>
        </w:rPr>
        <w:t>深入瞭解之必要</w:t>
      </w:r>
      <w:r w:rsidRPr="00027EFF">
        <w:rPr>
          <w:rFonts w:hAnsi="標楷體"/>
          <w:szCs w:val="32"/>
        </w:rPr>
        <w:t>。</w:t>
      </w:r>
    </w:p>
    <w:p w:rsidR="001D17E6" w:rsidRPr="00027EFF" w:rsidRDefault="001D17E6" w:rsidP="001D17E6">
      <w:pPr>
        <w:pStyle w:val="20"/>
        <w:ind w:leftChars="200" w:left="680" w:firstLine="680"/>
        <w:rPr>
          <w:rFonts w:hAnsi="標楷體"/>
          <w:bCs/>
        </w:rPr>
      </w:pPr>
      <w:r w:rsidRPr="00027EFF">
        <w:rPr>
          <w:rFonts w:hAnsi="標楷體"/>
        </w:rPr>
        <w:t>本院經向衛生署、中央健康保險局（下稱健保局）、</w:t>
      </w:r>
      <w:r w:rsidRPr="00027EFF">
        <w:rPr>
          <w:rFonts w:hAnsi="標楷體"/>
        </w:rPr>
        <w:lastRenderedPageBreak/>
        <w:t>國健局調取相關卷證資料，詳</w:t>
      </w:r>
      <w:proofErr w:type="gramStart"/>
      <w:r w:rsidRPr="00027EFF">
        <w:rPr>
          <w:rFonts w:hAnsi="標楷體"/>
        </w:rPr>
        <w:t>予審閱</w:t>
      </w:r>
      <w:proofErr w:type="gramEnd"/>
      <w:r w:rsidRPr="00027EFF">
        <w:rPr>
          <w:rFonts w:hAnsi="標楷體"/>
        </w:rPr>
        <w:t>，並召開諮詢會議，復</w:t>
      </w:r>
      <w:r w:rsidRPr="00027EFF">
        <w:rPr>
          <w:rFonts w:hAnsi="標楷體" w:hint="eastAsia"/>
        </w:rPr>
        <w:t>約</w:t>
      </w:r>
      <w:proofErr w:type="gramStart"/>
      <w:r w:rsidRPr="00027EFF">
        <w:rPr>
          <w:rFonts w:hAnsi="標楷體"/>
        </w:rPr>
        <w:t>詢國健局孔副局長</w:t>
      </w:r>
      <w:proofErr w:type="gramEnd"/>
      <w:r w:rsidR="00D56E88">
        <w:rPr>
          <w:rFonts w:hAnsi="標楷體"/>
        </w:rPr>
        <w:t>○○</w:t>
      </w:r>
      <w:r w:rsidRPr="00027EFF">
        <w:rPr>
          <w:rFonts w:hAnsi="標楷體"/>
        </w:rPr>
        <w:t>、國家通訊傳播委員會何處長</w:t>
      </w:r>
      <w:r w:rsidR="00D56E88">
        <w:rPr>
          <w:rFonts w:hAnsi="標楷體"/>
        </w:rPr>
        <w:t>○○</w:t>
      </w:r>
      <w:r w:rsidRPr="00027EFF">
        <w:rPr>
          <w:rFonts w:hAnsi="標楷體"/>
        </w:rPr>
        <w:t>、內政部戶政司謝司長</w:t>
      </w:r>
      <w:r w:rsidR="00D56E88">
        <w:rPr>
          <w:rFonts w:hAnsi="標楷體"/>
        </w:rPr>
        <w:t>○○</w:t>
      </w:r>
      <w:r w:rsidRPr="00027EFF">
        <w:rPr>
          <w:rFonts w:hAnsi="標楷體"/>
        </w:rPr>
        <w:t>及教育部訓育委員會傅專門委員</w:t>
      </w:r>
      <w:r w:rsidR="00D56E88">
        <w:rPr>
          <w:rFonts w:hAnsi="標楷體"/>
        </w:rPr>
        <w:t>○○</w:t>
      </w:r>
      <w:r w:rsidRPr="00027EFF">
        <w:rPr>
          <w:rFonts w:hAnsi="標楷體"/>
        </w:rPr>
        <w:t>等相關人員，業</w:t>
      </w:r>
      <w:proofErr w:type="gramStart"/>
      <w:r w:rsidRPr="00027EFF">
        <w:rPr>
          <w:rFonts w:hAnsi="標楷體"/>
        </w:rPr>
        <w:t>調查竣事</w:t>
      </w:r>
      <w:proofErr w:type="gramEnd"/>
      <w:r w:rsidRPr="00027EFF">
        <w:rPr>
          <w:rFonts w:hAnsi="標楷體"/>
        </w:rPr>
        <w:t>，茲將</w:t>
      </w:r>
      <w:r w:rsidR="004A724F" w:rsidRPr="00027EFF">
        <w:rPr>
          <w:rFonts w:hAnsi="標楷體" w:hint="eastAsia"/>
          <w:color w:val="000000"/>
        </w:rPr>
        <w:t>國健局</w:t>
      </w:r>
      <w:r w:rsidR="004A724F" w:rsidRPr="00027EFF">
        <w:rPr>
          <w:rFonts w:hAnsi="標楷體"/>
          <w:color w:val="000000"/>
        </w:rPr>
        <w:t>、</w:t>
      </w:r>
      <w:r w:rsidR="004A724F" w:rsidRPr="00027EFF">
        <w:rPr>
          <w:rFonts w:hAnsi="標楷體" w:hint="eastAsia"/>
          <w:color w:val="000000"/>
        </w:rPr>
        <w:t>食品藥物管理局（即TFDA）</w:t>
      </w:r>
      <w:r w:rsidR="004A724F" w:rsidRPr="00027EFF">
        <w:rPr>
          <w:rFonts w:hAnsi="標楷體"/>
          <w:color w:val="000000"/>
        </w:rPr>
        <w:t>違失事項</w:t>
      </w:r>
      <w:proofErr w:type="gramStart"/>
      <w:r w:rsidR="004A724F" w:rsidRPr="00027EFF">
        <w:rPr>
          <w:rFonts w:hAnsi="標楷體"/>
          <w:color w:val="000000"/>
        </w:rPr>
        <w:t>臚</w:t>
      </w:r>
      <w:proofErr w:type="gramEnd"/>
      <w:r w:rsidR="004A724F" w:rsidRPr="00027EFF">
        <w:rPr>
          <w:rFonts w:hAnsi="標楷體"/>
          <w:color w:val="000000"/>
        </w:rPr>
        <w:t>陳如下：</w:t>
      </w:r>
    </w:p>
    <w:p w:rsidR="001D17E6" w:rsidRPr="00027EFF" w:rsidRDefault="001D17E6" w:rsidP="001D17E6">
      <w:pPr>
        <w:pStyle w:val="2"/>
        <w:kinsoku w:val="0"/>
        <w:rPr>
          <w:rFonts w:hAnsi="標楷體"/>
          <w:color w:val="000000"/>
        </w:rPr>
      </w:pPr>
      <w:r w:rsidRPr="00027EFF">
        <w:rPr>
          <w:rFonts w:hAnsi="標楷體"/>
        </w:rPr>
        <w:t>我國93年至99年間之</w:t>
      </w:r>
      <w:r w:rsidRPr="00027EFF">
        <w:rPr>
          <w:rFonts w:hAnsi="標楷體" w:hint="eastAsia"/>
        </w:rPr>
        <w:t>男女</w:t>
      </w:r>
      <w:proofErr w:type="gramStart"/>
      <w:r w:rsidRPr="00027EFF">
        <w:rPr>
          <w:rFonts w:hAnsi="標楷體" w:hint="eastAsia"/>
        </w:rPr>
        <w:t>嬰</w:t>
      </w:r>
      <w:proofErr w:type="gramEnd"/>
      <w:r w:rsidRPr="00027EFF">
        <w:rPr>
          <w:rFonts w:hAnsi="標楷體"/>
        </w:rPr>
        <w:t>出生性別比介於1.085至1.108間，每年約有7</w:t>
      </w:r>
      <w:r w:rsidRPr="00027EFF">
        <w:rPr>
          <w:rFonts w:hAnsi="標楷體"/>
          <w:color w:val="000000"/>
        </w:rPr>
        <w:t>萬名胎兒可能遭人工流產，約有3,000名女嬰消失，男女</w:t>
      </w:r>
      <w:proofErr w:type="gramStart"/>
      <w:r w:rsidRPr="00027EFF">
        <w:rPr>
          <w:rFonts w:hAnsi="標楷體"/>
          <w:color w:val="000000"/>
        </w:rPr>
        <w:t>嬰</w:t>
      </w:r>
      <w:proofErr w:type="gramEnd"/>
      <w:r w:rsidRPr="00027EFF">
        <w:rPr>
          <w:rFonts w:hAnsi="標楷體"/>
          <w:color w:val="000000"/>
        </w:rPr>
        <w:t>比率失衡</w:t>
      </w:r>
      <w:r w:rsidRPr="00027EFF">
        <w:rPr>
          <w:rFonts w:hAnsi="標楷體" w:hint="eastAsia"/>
          <w:color w:val="000000"/>
        </w:rPr>
        <w:t>，恐發生婚配失衡及搶奪配偶問題</w:t>
      </w:r>
      <w:r w:rsidRPr="00027EFF">
        <w:rPr>
          <w:rFonts w:hAnsi="標楷體"/>
          <w:color w:val="000000"/>
        </w:rPr>
        <w:t>。</w:t>
      </w:r>
      <w:proofErr w:type="gramStart"/>
      <w:r w:rsidRPr="00027EFF">
        <w:rPr>
          <w:rFonts w:hAnsi="標楷體" w:hint="eastAsia"/>
        </w:rPr>
        <w:t>國健局</w:t>
      </w:r>
      <w:proofErr w:type="gramEnd"/>
      <w:r w:rsidRPr="00027EFF">
        <w:rPr>
          <w:rFonts w:hAnsi="標楷體"/>
          <w:color w:val="000000"/>
        </w:rPr>
        <w:t>長久以來並未建立人工流產之通報及監控機制，亦未進行實地訪查，且未積極</w:t>
      </w:r>
      <w:proofErr w:type="gramStart"/>
      <w:r w:rsidRPr="00027EFF">
        <w:rPr>
          <w:rFonts w:hAnsi="標楷體"/>
          <w:color w:val="000000"/>
        </w:rPr>
        <w:t>研</w:t>
      </w:r>
      <w:proofErr w:type="gramEnd"/>
      <w:r w:rsidRPr="00027EFF">
        <w:rPr>
          <w:rFonts w:hAnsi="標楷體"/>
          <w:color w:val="000000"/>
        </w:rPr>
        <w:t>議有效之稽查原則、重點及流程，遲自99年下半年起始開始推動禁止違法性別篩選與選擇墮胎之措施，並對出生性別比異常之醫療院所進行實地查訪，惟僅查獲1家婦產</w:t>
      </w:r>
      <w:r w:rsidRPr="00027EFF">
        <w:rPr>
          <w:rFonts w:hAnsi="標楷體" w:hint="eastAsia"/>
          <w:color w:val="000000"/>
        </w:rPr>
        <w:t>科</w:t>
      </w:r>
      <w:r w:rsidRPr="00027EFF">
        <w:rPr>
          <w:rFonts w:hAnsi="標楷體"/>
          <w:color w:val="000000"/>
        </w:rPr>
        <w:t>診所有違規進行性別</w:t>
      </w:r>
      <w:proofErr w:type="gramStart"/>
      <w:r w:rsidRPr="00027EFF">
        <w:rPr>
          <w:rFonts w:hAnsi="標楷體"/>
          <w:color w:val="000000"/>
        </w:rPr>
        <w:t>篩檢事證</w:t>
      </w:r>
      <w:proofErr w:type="gramEnd"/>
      <w:r w:rsidRPr="00027EFF">
        <w:rPr>
          <w:rFonts w:hAnsi="標楷體"/>
          <w:color w:val="000000"/>
        </w:rPr>
        <w:t>，難以落實醫師及醫療機構不得執行非醫療必要之胎兒性別篩選或性別選擇墮胎之法規與政策，實有未當：</w:t>
      </w:r>
    </w:p>
    <w:p w:rsidR="00324325" w:rsidRPr="00027EFF" w:rsidRDefault="00324325" w:rsidP="00324325">
      <w:pPr>
        <w:pStyle w:val="3"/>
        <w:kinsoku w:val="0"/>
        <w:rPr>
          <w:rFonts w:hAnsi="標楷體"/>
        </w:rPr>
      </w:pPr>
      <w:r w:rsidRPr="00027EFF">
        <w:rPr>
          <w:rFonts w:hAnsi="標楷體"/>
        </w:rPr>
        <w:t>按醫師執行中央主管機關規定不得執行之醫療行為者，處新臺幣</w:t>
      </w:r>
      <w:r w:rsidRPr="00027EFF">
        <w:rPr>
          <w:rFonts w:hAnsi="標楷體" w:hint="eastAsia"/>
        </w:rPr>
        <w:t>（</w:t>
      </w:r>
      <w:r w:rsidRPr="00027EFF">
        <w:rPr>
          <w:rFonts w:hAnsi="標楷體"/>
        </w:rPr>
        <w:t>下同</w:t>
      </w:r>
      <w:r w:rsidRPr="00027EFF">
        <w:rPr>
          <w:rFonts w:hAnsi="標楷體" w:hint="eastAsia"/>
        </w:rPr>
        <w:t>）</w:t>
      </w:r>
      <w:r w:rsidRPr="00027EFF">
        <w:rPr>
          <w:rFonts w:hAnsi="標楷體"/>
        </w:rPr>
        <w:t>10萬元以上50萬元以下罰鍰，得</w:t>
      </w:r>
      <w:proofErr w:type="gramStart"/>
      <w:r w:rsidRPr="00027EFF">
        <w:rPr>
          <w:rFonts w:hAnsi="標楷體"/>
        </w:rPr>
        <w:t>併</w:t>
      </w:r>
      <w:proofErr w:type="gramEnd"/>
      <w:r w:rsidRPr="00027EFF">
        <w:rPr>
          <w:rFonts w:hAnsi="標楷體"/>
        </w:rPr>
        <w:t>處限制執業範圍、停業處分1個月以上1年以下或廢止其執業執照；情節重大者，並得廢止其醫師證書，醫師法第28條之4第1款定有明文。依衛生署於100年1月13日以衛署</w:t>
      </w:r>
      <w:proofErr w:type="gramStart"/>
      <w:r w:rsidRPr="00027EFF">
        <w:rPr>
          <w:rFonts w:hAnsi="標楷體"/>
        </w:rPr>
        <w:t>醫</w:t>
      </w:r>
      <w:proofErr w:type="gramEnd"/>
      <w:r w:rsidRPr="00027EFF">
        <w:rPr>
          <w:rFonts w:hAnsi="標楷體"/>
        </w:rPr>
        <w:t>字第1000200809號令，醫師</w:t>
      </w:r>
      <w:proofErr w:type="gramStart"/>
      <w:r w:rsidRPr="00027EFF">
        <w:rPr>
          <w:rFonts w:hAnsi="標楷體"/>
        </w:rPr>
        <w:t>執行非性聯</w:t>
      </w:r>
      <w:proofErr w:type="gramEnd"/>
      <w:r w:rsidRPr="00027EFF">
        <w:rPr>
          <w:rFonts w:hAnsi="標楷體"/>
        </w:rPr>
        <w:t>遺傳疾病診斷所施行產前性別篩選之處置，或僅以</w:t>
      </w:r>
      <w:r w:rsidRPr="00027EFF">
        <w:rPr>
          <w:rFonts w:hAnsi="標楷體"/>
          <w:szCs w:val="48"/>
        </w:rPr>
        <w:t>胎</w:t>
      </w:r>
      <w:r w:rsidRPr="00027EFF">
        <w:rPr>
          <w:rFonts w:hAnsi="標楷體"/>
        </w:rPr>
        <w:t>兒性別差異為由進行之人工流產等行為，為醫師法第28條之4第1款</w:t>
      </w:r>
      <w:r w:rsidRPr="00027EFF">
        <w:rPr>
          <w:rFonts w:hAnsi="標楷體" w:hint="eastAsia"/>
        </w:rPr>
        <w:t>所</w:t>
      </w:r>
      <w:r w:rsidRPr="00027EFF">
        <w:rPr>
          <w:rFonts w:hAnsi="標楷體"/>
        </w:rPr>
        <w:t>定不得從事之醫療行為。</w:t>
      </w:r>
      <w:r w:rsidRPr="00027EFF">
        <w:rPr>
          <w:rFonts w:hAnsi="標楷體" w:hint="eastAsia"/>
        </w:rPr>
        <w:t>故</w:t>
      </w:r>
      <w:r w:rsidRPr="00027EFF">
        <w:rPr>
          <w:rFonts w:hAnsi="標楷體"/>
        </w:rPr>
        <w:t>醫師執行非醫療上必要之胎兒性別篩選或性別選擇墮胎，</w:t>
      </w:r>
      <w:proofErr w:type="gramStart"/>
      <w:r w:rsidRPr="00027EFF">
        <w:rPr>
          <w:rFonts w:hAnsi="標楷體"/>
        </w:rPr>
        <w:t>均為醫師</w:t>
      </w:r>
      <w:proofErr w:type="gramEnd"/>
      <w:r w:rsidRPr="00027EFF">
        <w:rPr>
          <w:rFonts w:hAnsi="標楷體"/>
        </w:rPr>
        <w:t>法第28條之4第1款規定所禁止之行為。</w:t>
      </w:r>
    </w:p>
    <w:p w:rsidR="00324325" w:rsidRPr="00027EFF" w:rsidRDefault="00324325" w:rsidP="00324325">
      <w:pPr>
        <w:pStyle w:val="3"/>
        <w:kinsoku w:val="0"/>
        <w:rPr>
          <w:rFonts w:hAnsi="標楷體"/>
        </w:rPr>
      </w:pPr>
      <w:r w:rsidRPr="00027EFF">
        <w:rPr>
          <w:rFonts w:hAnsi="標楷體"/>
          <w:b/>
          <w:color w:val="000000"/>
        </w:rPr>
        <w:t>我國男女</w:t>
      </w:r>
      <w:proofErr w:type="gramStart"/>
      <w:r w:rsidRPr="00027EFF">
        <w:rPr>
          <w:rFonts w:hAnsi="標楷體"/>
          <w:b/>
          <w:color w:val="000000"/>
        </w:rPr>
        <w:t>嬰</w:t>
      </w:r>
      <w:proofErr w:type="gramEnd"/>
      <w:r w:rsidRPr="00027EFF">
        <w:rPr>
          <w:rFonts w:hAnsi="標楷體"/>
          <w:b/>
          <w:color w:val="000000"/>
        </w:rPr>
        <w:t>比率失衡</w:t>
      </w:r>
      <w:r w:rsidRPr="00027EFF">
        <w:rPr>
          <w:rFonts w:hAnsi="標楷體"/>
          <w:color w:val="000000"/>
        </w:rPr>
        <w:t>：</w:t>
      </w:r>
      <w:proofErr w:type="gramStart"/>
      <w:r w:rsidRPr="00027EFF">
        <w:rPr>
          <w:rFonts w:hAnsi="標楷體"/>
        </w:rPr>
        <w:t>依據國健局</w:t>
      </w:r>
      <w:proofErr w:type="gramEnd"/>
      <w:r w:rsidRPr="00027EFF">
        <w:rPr>
          <w:rFonts w:hAnsi="標楷體"/>
        </w:rPr>
        <w:t>之答復說明，在</w:t>
      </w:r>
      <w:r w:rsidRPr="00027EFF">
        <w:rPr>
          <w:rFonts w:hAnsi="標楷體"/>
        </w:rPr>
        <w:lastRenderedPageBreak/>
        <w:t>自然狀況下，出生性別比（總男嬰數÷總女嬰數）應為1.04至1.06間；本案諮詢委員則有認為在1.03至1.07間為合理者。另據衛生署提供之資料，</w:t>
      </w:r>
      <w:r w:rsidRPr="00027EFF">
        <w:rPr>
          <w:rFonts w:hAnsi="標楷體" w:hint="eastAsia"/>
        </w:rPr>
        <w:t>在OECD（即經濟合作開發組織）各國中，出生性別比大於1.07者，僅中國及新加坡（見附表1），而我國</w:t>
      </w:r>
      <w:r w:rsidRPr="00027EFF">
        <w:rPr>
          <w:rFonts w:hAnsi="標楷體"/>
        </w:rPr>
        <w:t>93年至99年間之出生性別比介於1.085至1.108間</w:t>
      </w:r>
      <w:r w:rsidRPr="00027EFF">
        <w:rPr>
          <w:rFonts w:hAnsi="標楷體" w:hint="eastAsia"/>
        </w:rPr>
        <w:t>（見附表2）</w:t>
      </w:r>
      <w:r w:rsidRPr="00027EFF">
        <w:rPr>
          <w:rFonts w:hAnsi="標楷體"/>
        </w:rPr>
        <w:t>，</w:t>
      </w:r>
      <w:r w:rsidRPr="00027EFF">
        <w:rPr>
          <w:rFonts w:hAnsi="標楷體" w:hint="eastAsia"/>
        </w:rPr>
        <w:t>故我國為出生性別比率失衡第二嚴重的國家。</w:t>
      </w:r>
      <w:r w:rsidRPr="00027EFF">
        <w:rPr>
          <w:rFonts w:hAnsi="標楷體"/>
        </w:rPr>
        <w:t>該署並以98年為例，說明該年男嬰數為100,155人，預期自然情況下應有95,386名女嬰，但實際只有92,310名女嬰出生，約有3,000名女嬰消失。又據本案諮詢委員之分析，此單一性別人數多於另一性別之趨勢，恐發生婚配失衡，甚至搶奪配偶之問題。</w:t>
      </w:r>
    </w:p>
    <w:p w:rsidR="001D17E6" w:rsidRPr="00027EFF" w:rsidRDefault="001D17E6" w:rsidP="001D17E6">
      <w:pPr>
        <w:pStyle w:val="3"/>
        <w:kinsoku w:val="0"/>
        <w:rPr>
          <w:rFonts w:hAnsi="標楷體"/>
        </w:rPr>
      </w:pPr>
      <w:r w:rsidRPr="00027EFF">
        <w:rPr>
          <w:rFonts w:hAnsi="標楷體"/>
          <w:b/>
          <w:color w:val="000000"/>
        </w:rPr>
        <w:t>出生性別比偏高之可能原因</w:t>
      </w:r>
      <w:r w:rsidRPr="00027EFF">
        <w:rPr>
          <w:rFonts w:hAnsi="標楷體"/>
        </w:rPr>
        <w:t>：</w:t>
      </w:r>
      <w:proofErr w:type="gramStart"/>
      <w:r w:rsidRPr="00027EFF">
        <w:rPr>
          <w:rFonts w:hAnsi="標楷體"/>
        </w:rPr>
        <w:t>綜整內政部</w:t>
      </w:r>
      <w:proofErr w:type="gramEnd"/>
      <w:r w:rsidRPr="00027EFF">
        <w:rPr>
          <w:rFonts w:hAnsi="標楷體"/>
        </w:rPr>
        <w:t>、</w:t>
      </w:r>
      <w:proofErr w:type="gramStart"/>
      <w:r w:rsidRPr="00027EFF">
        <w:rPr>
          <w:rFonts w:hAnsi="標楷體"/>
        </w:rPr>
        <w:t>國健局</w:t>
      </w:r>
      <w:proofErr w:type="gramEnd"/>
      <w:r w:rsidRPr="00027EFF">
        <w:rPr>
          <w:rFonts w:hAnsi="標楷體"/>
        </w:rPr>
        <w:t>提供之書面資料及諮詢會議所得，歸納國內出生性別比偏高之可能原因為：近年來夫妻生育子女數減少，部分國人仍有傳宗接代、重男輕女之傳統思維，以及運用現已發展之醫療技術進行子女性別檢測，並將女嬰墮胎，而造成性別比失衡。</w:t>
      </w:r>
    </w:p>
    <w:p w:rsidR="001D17E6" w:rsidRPr="00027EFF" w:rsidRDefault="001D17E6" w:rsidP="001D17E6">
      <w:pPr>
        <w:pStyle w:val="4"/>
        <w:rPr>
          <w:rFonts w:hAnsi="標楷體"/>
        </w:rPr>
      </w:pPr>
      <w:r w:rsidRPr="00027EFF">
        <w:rPr>
          <w:rFonts w:hAnsi="標楷體"/>
        </w:rPr>
        <w:t>依據衛生署93年至100年（1-9月）之出生通報資料顯示，第1</w:t>
      </w:r>
      <w:proofErr w:type="gramStart"/>
      <w:r w:rsidRPr="00027EFF">
        <w:rPr>
          <w:rFonts w:hAnsi="標楷體"/>
        </w:rPr>
        <w:t>胎</w:t>
      </w:r>
      <w:proofErr w:type="gramEnd"/>
      <w:r w:rsidRPr="00027EFF">
        <w:rPr>
          <w:rFonts w:hAnsi="標楷體"/>
        </w:rPr>
        <w:t>出生性別比在1.065至1.086間，較接近自然情形下之出生性別比；然第3（或以上）胎之出生性別比介於1.178至1.246間，明顯較第1及2</w:t>
      </w:r>
      <w:proofErr w:type="gramStart"/>
      <w:r w:rsidRPr="00027EFF">
        <w:rPr>
          <w:rFonts w:hAnsi="標楷體"/>
        </w:rPr>
        <w:t>胎高</w:t>
      </w:r>
      <w:proofErr w:type="gramEnd"/>
      <w:r w:rsidRPr="00027EFF">
        <w:rPr>
          <w:rFonts w:hAnsi="標楷體"/>
        </w:rPr>
        <w:t>。又年齡35歲以上產婦之出生性別比在1.09至1.14間，明顯較34歲以下產婦介於1.08至1.10間為高。可能與生育年齡大於35歲者多是生育為第2</w:t>
      </w:r>
      <w:proofErr w:type="gramStart"/>
      <w:r w:rsidRPr="00027EFF">
        <w:rPr>
          <w:rFonts w:hAnsi="標楷體"/>
        </w:rPr>
        <w:t>胎</w:t>
      </w:r>
      <w:proofErr w:type="gramEnd"/>
      <w:r w:rsidRPr="00027EFF">
        <w:rPr>
          <w:rFonts w:hAnsi="標楷體"/>
        </w:rPr>
        <w:t>及第3胎，如有長輩施予生男壓力者，較有可能進行性別選擇有關。</w:t>
      </w:r>
    </w:p>
    <w:p w:rsidR="001D17E6" w:rsidRPr="00027EFF" w:rsidRDefault="001D17E6" w:rsidP="001D17E6">
      <w:pPr>
        <w:pStyle w:val="4"/>
        <w:rPr>
          <w:rFonts w:hAnsi="標楷體"/>
        </w:rPr>
      </w:pPr>
      <w:r w:rsidRPr="00027EFF">
        <w:rPr>
          <w:rFonts w:hAnsi="標楷體"/>
        </w:rPr>
        <w:t>依據內政部之答復說明：與10年前相比，99年</w:t>
      </w:r>
      <w:r w:rsidRPr="00027EFF">
        <w:rPr>
          <w:rFonts w:hAnsi="標楷體"/>
        </w:rPr>
        <w:lastRenderedPageBreak/>
        <w:t>我國出生嬰兒為第2</w:t>
      </w:r>
      <w:proofErr w:type="gramStart"/>
      <w:r w:rsidRPr="00027EFF">
        <w:rPr>
          <w:rFonts w:hAnsi="標楷體"/>
        </w:rPr>
        <w:t>胎</w:t>
      </w:r>
      <w:proofErr w:type="gramEnd"/>
      <w:r w:rsidRPr="00027EFF">
        <w:rPr>
          <w:rFonts w:hAnsi="標楷體"/>
        </w:rPr>
        <w:t>以上者所占比率減少6.5個百分點，平均每名婦女一生中所生育之子女數（即總生育率）降為0.895人。由於部分家庭仍有傳宗接代觀念，若第1胎為男孩，生育第2胎之意願相對較低；</w:t>
      </w:r>
      <w:proofErr w:type="gramStart"/>
      <w:r w:rsidRPr="00027EFF">
        <w:rPr>
          <w:rFonts w:hAnsi="標楷體"/>
        </w:rPr>
        <w:t>反之，</w:t>
      </w:r>
      <w:proofErr w:type="gramEnd"/>
      <w:r w:rsidRPr="00027EFF">
        <w:rPr>
          <w:rFonts w:hAnsi="標楷體"/>
        </w:rPr>
        <w:t>第1胎為女孩，較願意再生第2、甚至</w:t>
      </w:r>
      <w:proofErr w:type="gramStart"/>
      <w:r w:rsidRPr="00027EFF">
        <w:rPr>
          <w:rFonts w:hAnsi="標楷體"/>
        </w:rPr>
        <w:t>第3胎直至</w:t>
      </w:r>
      <w:proofErr w:type="gramEnd"/>
      <w:r w:rsidRPr="00027EFF">
        <w:rPr>
          <w:rFonts w:hAnsi="標楷體"/>
        </w:rPr>
        <w:t>有男嬰出生，因此我國出生嬰兒性別比較其他先進國家高。又本案諮詢委員表示：傳統農業社會婦女生育之子女數較多，即使婦女希生育特定性別之子女，亦較不會</w:t>
      </w:r>
      <w:proofErr w:type="gramStart"/>
      <w:r w:rsidRPr="00027EFF">
        <w:rPr>
          <w:rFonts w:hAnsi="標楷體"/>
        </w:rPr>
        <w:t>將腹中胎兒</w:t>
      </w:r>
      <w:proofErr w:type="gramEnd"/>
      <w:r w:rsidRPr="00027EFF">
        <w:rPr>
          <w:rFonts w:hAnsi="標楷體"/>
        </w:rPr>
        <w:t>人工流產，而以繼續生育預期性別之子女之方法為之。</w:t>
      </w:r>
    </w:p>
    <w:p w:rsidR="001D17E6" w:rsidRPr="00027EFF" w:rsidRDefault="001D17E6" w:rsidP="001D17E6">
      <w:pPr>
        <w:pStyle w:val="4"/>
        <w:rPr>
          <w:rFonts w:hAnsi="標楷體"/>
        </w:rPr>
      </w:pPr>
      <w:proofErr w:type="gramStart"/>
      <w:r w:rsidRPr="00027EFF">
        <w:rPr>
          <w:rFonts w:hAnsi="標楷體"/>
        </w:rPr>
        <w:t>依據國健局</w:t>
      </w:r>
      <w:proofErr w:type="gramEnd"/>
      <w:r w:rsidRPr="00027EFF">
        <w:rPr>
          <w:rFonts w:hAnsi="標楷體"/>
        </w:rPr>
        <w:t>之答復說明，在科技推波助瀾下，有透過性別篩檢或選擇性墮胎，主動或被動使男嬰得以生下，</w:t>
      </w:r>
      <w:proofErr w:type="gramStart"/>
      <w:r w:rsidRPr="00027EFF">
        <w:rPr>
          <w:rFonts w:hAnsi="標楷體"/>
        </w:rPr>
        <w:t>女嬰則遭到</w:t>
      </w:r>
      <w:proofErr w:type="gramEnd"/>
      <w:r w:rsidRPr="00027EFF">
        <w:rPr>
          <w:rFonts w:hAnsi="標楷體"/>
        </w:rPr>
        <w:t>墮胎之情事；另依據衛生署98年台灣地區人工生殖施行結果分析報告，98年施行人工生殖（不含取出夫之精子植入妻體內實施之配偶間人工生殖）後，</w:t>
      </w:r>
      <w:proofErr w:type="gramStart"/>
      <w:r w:rsidRPr="00027EFF">
        <w:rPr>
          <w:rFonts w:hAnsi="標楷體"/>
        </w:rPr>
        <w:t>活產男嬰</w:t>
      </w:r>
      <w:proofErr w:type="gramEnd"/>
      <w:r w:rsidRPr="00027EFF">
        <w:rPr>
          <w:rFonts w:hAnsi="標楷體"/>
        </w:rPr>
        <w:t>為1,884位，</w:t>
      </w:r>
      <w:proofErr w:type="gramStart"/>
      <w:r w:rsidRPr="00027EFF">
        <w:rPr>
          <w:rFonts w:hAnsi="標楷體"/>
        </w:rPr>
        <w:t>女嬰為</w:t>
      </w:r>
      <w:proofErr w:type="gramEnd"/>
      <w:r w:rsidRPr="00027EFF">
        <w:rPr>
          <w:rFonts w:hAnsi="標楷體"/>
        </w:rPr>
        <w:t>1,580位，男女</w:t>
      </w:r>
      <w:proofErr w:type="gramStart"/>
      <w:r w:rsidRPr="00027EFF">
        <w:rPr>
          <w:rFonts w:hAnsi="標楷體"/>
        </w:rPr>
        <w:t>嬰</w:t>
      </w:r>
      <w:proofErr w:type="gramEnd"/>
      <w:r w:rsidRPr="00027EFF">
        <w:rPr>
          <w:rFonts w:hAnsi="標楷體"/>
        </w:rPr>
        <w:t>比例為1.19（98年出生性別比1.085），但人工生殖對整體出生性別比之影響有限。</w:t>
      </w:r>
    </w:p>
    <w:p w:rsidR="001D17E6" w:rsidRPr="00027EFF" w:rsidRDefault="001D17E6" w:rsidP="001D17E6">
      <w:pPr>
        <w:pStyle w:val="3"/>
        <w:kinsoku w:val="0"/>
        <w:rPr>
          <w:rFonts w:hAnsi="標楷體"/>
        </w:rPr>
      </w:pPr>
      <w:r w:rsidRPr="00027EFF">
        <w:rPr>
          <w:rFonts w:hAnsi="標楷體"/>
          <w:b/>
        </w:rPr>
        <w:t>胎兒性別</w:t>
      </w:r>
      <w:proofErr w:type="gramStart"/>
      <w:r w:rsidRPr="00027EFF">
        <w:rPr>
          <w:rFonts w:hAnsi="標楷體"/>
          <w:b/>
        </w:rPr>
        <w:t>篩</w:t>
      </w:r>
      <w:proofErr w:type="gramEnd"/>
      <w:r w:rsidRPr="00027EFF">
        <w:rPr>
          <w:rFonts w:hAnsi="標楷體"/>
          <w:b/>
        </w:rPr>
        <w:t>檢方法</w:t>
      </w:r>
      <w:r w:rsidRPr="00027EFF">
        <w:rPr>
          <w:rFonts w:hAnsi="標楷體"/>
        </w:rPr>
        <w:t>：關於胎兒性別篩檢之方法，衛生署之答復說明如下：</w:t>
      </w:r>
    </w:p>
    <w:p w:rsidR="001D17E6" w:rsidRPr="00027EFF" w:rsidRDefault="001D17E6" w:rsidP="001D17E6">
      <w:pPr>
        <w:pStyle w:val="4"/>
        <w:rPr>
          <w:rFonts w:hAnsi="標楷體"/>
        </w:rPr>
      </w:pPr>
      <w:r w:rsidRPr="00027EFF">
        <w:rPr>
          <w:rFonts w:hAnsi="標楷體"/>
        </w:rPr>
        <w:t>孕前階段：主要為白蛋白精蟲分離法分離特定性別染色體之精液，以提高懷孕婦女生育特定性別嬰兒之機會，或係在體外受精及胚胎植入前，選擇所要之性別胚胎植入子宮。</w:t>
      </w:r>
    </w:p>
    <w:p w:rsidR="001D17E6" w:rsidRPr="00027EFF" w:rsidRDefault="001D17E6" w:rsidP="001D17E6">
      <w:pPr>
        <w:pStyle w:val="4"/>
        <w:rPr>
          <w:rFonts w:hAnsi="標楷體"/>
          <w:color w:val="000000"/>
        </w:rPr>
      </w:pPr>
      <w:r w:rsidRPr="00027EFF">
        <w:rPr>
          <w:rFonts w:hAnsi="標楷體"/>
          <w:color w:val="000000"/>
        </w:rPr>
        <w:t>孕期階段：可能進行之性別</w:t>
      </w:r>
      <w:proofErr w:type="gramStart"/>
      <w:r w:rsidRPr="00027EFF">
        <w:rPr>
          <w:rFonts w:hAnsi="標楷體"/>
          <w:color w:val="000000"/>
        </w:rPr>
        <w:t>篩</w:t>
      </w:r>
      <w:proofErr w:type="gramEnd"/>
      <w:r w:rsidRPr="00027EFF">
        <w:rPr>
          <w:rFonts w:hAnsi="標楷體"/>
          <w:color w:val="000000"/>
        </w:rPr>
        <w:t>檢方法包括：（１）母血檢測X 和Y 基因：抽取早期懷孕之母血（約在懷孕7</w:t>
      </w:r>
      <w:proofErr w:type="gramStart"/>
      <w:r w:rsidRPr="00027EFF">
        <w:rPr>
          <w:rFonts w:hAnsi="標楷體"/>
          <w:color w:val="000000"/>
        </w:rPr>
        <w:t>週</w:t>
      </w:r>
      <w:proofErr w:type="gramEnd"/>
      <w:r w:rsidRPr="00027EFF">
        <w:rPr>
          <w:rFonts w:hAnsi="標楷體"/>
          <w:color w:val="000000"/>
        </w:rPr>
        <w:t xml:space="preserve">時），以遺傳檢測技術，例如：聚合酵素鏈鎖反應法（polymerase chain reaction， </w:t>
      </w:r>
      <w:r w:rsidRPr="00027EFF">
        <w:rPr>
          <w:rFonts w:hAnsi="標楷體"/>
          <w:color w:val="000000"/>
        </w:rPr>
        <w:lastRenderedPageBreak/>
        <w:t>PCR）檢驗其中內含</w:t>
      </w:r>
      <w:proofErr w:type="gramStart"/>
      <w:r w:rsidRPr="00027EFF">
        <w:rPr>
          <w:rFonts w:hAnsi="標楷體"/>
          <w:color w:val="000000"/>
        </w:rPr>
        <w:t>之微少胎兒</w:t>
      </w:r>
      <w:proofErr w:type="gramEnd"/>
      <w:r w:rsidRPr="00027EFF">
        <w:rPr>
          <w:rFonts w:hAnsi="標楷體"/>
          <w:color w:val="000000"/>
        </w:rPr>
        <w:t>細胞。可能因母血中所含胎兒細胞</w:t>
      </w:r>
      <w:r w:rsidRPr="00027EFF">
        <w:rPr>
          <w:rFonts w:hAnsi="標楷體"/>
        </w:rPr>
        <w:t>太過</w:t>
      </w:r>
      <w:proofErr w:type="gramStart"/>
      <w:r w:rsidRPr="00027EFF">
        <w:rPr>
          <w:rFonts w:hAnsi="標楷體"/>
          <w:color w:val="000000"/>
        </w:rPr>
        <w:t>少量，</w:t>
      </w:r>
      <w:proofErr w:type="gramEnd"/>
      <w:r w:rsidRPr="00027EFF">
        <w:rPr>
          <w:rFonts w:hAnsi="標楷體"/>
          <w:color w:val="000000"/>
        </w:rPr>
        <w:t>或</w:t>
      </w:r>
      <w:proofErr w:type="gramStart"/>
      <w:r w:rsidRPr="00027EFF">
        <w:rPr>
          <w:rFonts w:hAnsi="標楷體"/>
          <w:color w:val="000000"/>
        </w:rPr>
        <w:t>前胎次流產</w:t>
      </w:r>
      <w:proofErr w:type="gramEnd"/>
      <w:r w:rsidRPr="00027EFF">
        <w:rPr>
          <w:rFonts w:hAnsi="標楷體"/>
          <w:color w:val="000000"/>
        </w:rPr>
        <w:t>或生產之胎兒細胞殘存於母血中，致使誤判胎兒性別。（２）產前遺傳診斷（限定遺傳性疾病檢測）：懷孕10至12</w:t>
      </w:r>
      <w:proofErr w:type="gramStart"/>
      <w:r w:rsidRPr="00027EFF">
        <w:rPr>
          <w:rFonts w:hAnsi="標楷體"/>
          <w:color w:val="000000"/>
        </w:rPr>
        <w:t>週</w:t>
      </w:r>
      <w:proofErr w:type="gramEnd"/>
      <w:r w:rsidRPr="00027EFF">
        <w:rPr>
          <w:rFonts w:hAnsi="標楷體"/>
          <w:color w:val="000000"/>
        </w:rPr>
        <w:t>採取絨毛膜細胞，或於懷孕16至18</w:t>
      </w:r>
      <w:proofErr w:type="gramStart"/>
      <w:r w:rsidRPr="00027EFF">
        <w:rPr>
          <w:rFonts w:hAnsi="標楷體"/>
          <w:color w:val="000000"/>
        </w:rPr>
        <w:t>週</w:t>
      </w:r>
      <w:proofErr w:type="gramEnd"/>
      <w:r w:rsidRPr="00027EFF">
        <w:rPr>
          <w:rFonts w:hAnsi="標楷體"/>
          <w:color w:val="000000"/>
        </w:rPr>
        <w:t>抽取羊水細胞，再以遺傳檢測技術，確定胎兒23對染色體（含性染色體）有無異常情形，準確率達98%以上。</w:t>
      </w:r>
      <w:proofErr w:type="gramStart"/>
      <w:r w:rsidRPr="00027EFF">
        <w:rPr>
          <w:rFonts w:hAnsi="標楷體"/>
          <w:color w:val="000000"/>
        </w:rPr>
        <w:t>然曾發現</w:t>
      </w:r>
      <w:proofErr w:type="gramEnd"/>
      <w:r w:rsidRPr="00027EFF">
        <w:rPr>
          <w:rFonts w:hAnsi="標楷體"/>
          <w:color w:val="000000"/>
        </w:rPr>
        <w:t>新生兒肢體缺損狀況之臨床案例，故目前已較少以此方法</w:t>
      </w:r>
      <w:proofErr w:type="gramStart"/>
      <w:r w:rsidRPr="00027EFF">
        <w:rPr>
          <w:rFonts w:hAnsi="標楷體"/>
          <w:color w:val="000000"/>
        </w:rPr>
        <w:t>驗</w:t>
      </w:r>
      <w:proofErr w:type="gramEnd"/>
      <w:r w:rsidRPr="00027EFF">
        <w:rPr>
          <w:rFonts w:hAnsi="標楷體"/>
          <w:color w:val="000000"/>
        </w:rPr>
        <w:t>胎兒性別。</w:t>
      </w:r>
    </w:p>
    <w:p w:rsidR="001D17E6" w:rsidRPr="00027EFF" w:rsidRDefault="001D17E6" w:rsidP="001D17E6">
      <w:pPr>
        <w:pStyle w:val="3"/>
        <w:kinsoku w:val="0"/>
        <w:rPr>
          <w:rFonts w:hAnsi="標楷體"/>
        </w:rPr>
      </w:pPr>
      <w:r w:rsidRPr="00027EFF">
        <w:rPr>
          <w:rFonts w:hAnsi="標楷體"/>
          <w:b/>
        </w:rPr>
        <w:t>性別考量為人工流產之情形</w:t>
      </w:r>
      <w:r w:rsidRPr="00027EFF">
        <w:rPr>
          <w:rFonts w:hAnsi="標楷體"/>
        </w:rPr>
        <w:t>：有關國內孕婦因性別考量而將胎兒人工流產之情形如下：</w:t>
      </w:r>
    </w:p>
    <w:p w:rsidR="001D17E6" w:rsidRPr="00027EFF" w:rsidRDefault="001D17E6" w:rsidP="001D17E6">
      <w:pPr>
        <w:pStyle w:val="4"/>
        <w:rPr>
          <w:rFonts w:hAnsi="標楷體"/>
        </w:rPr>
      </w:pPr>
      <w:proofErr w:type="gramStart"/>
      <w:r w:rsidRPr="00027EFF">
        <w:rPr>
          <w:rFonts w:hAnsi="標楷體"/>
        </w:rPr>
        <w:t>依據國健局</w:t>
      </w:r>
      <w:proofErr w:type="gramEnd"/>
      <w:r w:rsidRPr="00027EFF">
        <w:rPr>
          <w:rFonts w:hAnsi="標楷體"/>
        </w:rPr>
        <w:t>之答復資料表示，目前國內並未有人工流產之通報機制及數據，故難以確實掌握人工流產人數。該局參酌國內外推估人工流產之方法，包括：以健保</w:t>
      </w:r>
      <w:proofErr w:type="gramStart"/>
      <w:r w:rsidRPr="00027EFF">
        <w:rPr>
          <w:rFonts w:hAnsi="標楷體"/>
        </w:rPr>
        <w:t>局門住診</w:t>
      </w:r>
      <w:proofErr w:type="gramEnd"/>
      <w:r w:rsidRPr="00027EFF">
        <w:rPr>
          <w:rFonts w:hAnsi="標楷體"/>
        </w:rPr>
        <w:t>就醫資料，或以歐盟、經濟合作暨發展組織（OECD）國家之人工流產比例，並以文獻探討（蘇格蘭經驗）等方法，推估國內每年可能遭人工流產之胎兒數約7萬人。另因分析資料無從瞭解流產原因是否因性別考量，故無法</w:t>
      </w:r>
      <w:proofErr w:type="gramStart"/>
      <w:r w:rsidRPr="00027EFF">
        <w:rPr>
          <w:rFonts w:hAnsi="標楷體"/>
        </w:rPr>
        <w:t>推估因性別</w:t>
      </w:r>
      <w:proofErr w:type="gramEnd"/>
      <w:r w:rsidRPr="00027EFF">
        <w:rPr>
          <w:rFonts w:hAnsi="標楷體"/>
        </w:rPr>
        <w:t>考量而施行女嬰人工流產之情形。</w:t>
      </w:r>
    </w:p>
    <w:p w:rsidR="001D17E6" w:rsidRPr="00027EFF" w:rsidRDefault="001D17E6" w:rsidP="001D17E6">
      <w:pPr>
        <w:pStyle w:val="4"/>
        <w:rPr>
          <w:rFonts w:hAnsi="標楷體"/>
          <w:color w:val="000000"/>
        </w:rPr>
      </w:pPr>
      <w:r w:rsidRPr="00027EFF">
        <w:rPr>
          <w:rFonts w:hAnsi="標楷體"/>
          <w:color w:val="000000"/>
        </w:rPr>
        <w:t>本案諮詢委員表示：目前全民健保未將非治療必要之人工流產列入給付範圍，即無法自健保資料得知孕婦人工流產原因；且臨床上幾乎不會有醫師係以性別因素為孕婦施行人工流產，即使有，亦不會在病歷上記載，而主要理由通常為「</w:t>
      </w:r>
      <w:proofErr w:type="gramStart"/>
      <w:r w:rsidRPr="00027EFF">
        <w:rPr>
          <w:rFonts w:hAnsi="標楷體"/>
          <w:color w:val="000000"/>
        </w:rPr>
        <w:t>不</w:t>
      </w:r>
      <w:proofErr w:type="gramEnd"/>
      <w:r w:rsidRPr="00027EFF">
        <w:rPr>
          <w:rFonts w:hAnsi="標楷體"/>
          <w:color w:val="000000"/>
        </w:rPr>
        <w:t>預期懷孕」或因懷孕造成身體不適等；另部分孕婦在檢驗所或某家醫療院所進行性別篩檢，卻在另家醫療院所施行人工流產，故實際進行人工流產之醫療院所，未必知悉孕婦人工流產之原因係選擇胎兒性別。因此，</w:t>
      </w:r>
      <w:proofErr w:type="gramStart"/>
      <w:r w:rsidRPr="00027EFF">
        <w:rPr>
          <w:rFonts w:hAnsi="標楷體"/>
          <w:color w:val="000000"/>
        </w:rPr>
        <w:t>國健局</w:t>
      </w:r>
      <w:proofErr w:type="gramEnd"/>
      <w:r w:rsidRPr="00027EFF">
        <w:rPr>
          <w:rFonts w:hAnsi="標楷體"/>
          <w:color w:val="000000"/>
        </w:rPr>
        <w:t>之查核，實難以發覺</w:t>
      </w:r>
      <w:r w:rsidRPr="00027EFF">
        <w:rPr>
          <w:rFonts w:hAnsi="標楷體"/>
          <w:color w:val="000000"/>
        </w:rPr>
        <w:lastRenderedPageBreak/>
        <w:t>孕婦係因性別</w:t>
      </w:r>
      <w:proofErr w:type="gramStart"/>
      <w:r w:rsidRPr="00027EFF">
        <w:rPr>
          <w:rFonts w:hAnsi="標楷體"/>
          <w:color w:val="000000"/>
        </w:rPr>
        <w:t>篩檢而要求</w:t>
      </w:r>
      <w:proofErr w:type="gramEnd"/>
      <w:r w:rsidRPr="00027EFF">
        <w:rPr>
          <w:rFonts w:hAnsi="標楷體"/>
          <w:color w:val="000000"/>
        </w:rPr>
        <w:t>人工流產。</w:t>
      </w:r>
    </w:p>
    <w:p w:rsidR="001D17E6" w:rsidRPr="00027EFF" w:rsidRDefault="001D17E6" w:rsidP="001D17E6">
      <w:pPr>
        <w:pStyle w:val="3"/>
        <w:kinsoku w:val="0"/>
        <w:rPr>
          <w:rFonts w:hAnsi="標楷體"/>
        </w:rPr>
      </w:pPr>
      <w:r w:rsidRPr="00027EFF">
        <w:rPr>
          <w:rFonts w:hAnsi="標楷體"/>
        </w:rPr>
        <w:t>查衛生署曾以89年10月5日衛</w:t>
      </w:r>
      <w:proofErr w:type="gramStart"/>
      <w:r w:rsidRPr="00027EFF">
        <w:rPr>
          <w:rFonts w:hAnsi="標楷體"/>
        </w:rPr>
        <w:t>署保字第0890017100號</w:t>
      </w:r>
      <w:proofErr w:type="gramEnd"/>
      <w:r w:rsidRPr="00027EFF">
        <w:rPr>
          <w:rFonts w:hAnsi="標楷體"/>
        </w:rPr>
        <w:t>函，請各直轄市及縣市衛生局、中華民國醫師公會全國聯合會及中華民國婦產科醫學會，不得應病人之要求作產前性別篩檢之處置（如精蟲分離、陰道酸鹼值、絨毛膜穿刺性別鑑定等），更不得為性別差異之人工流產手術，違者將依相關醫療法規論處；並曾於95年10月31日以</w:t>
      </w:r>
      <w:proofErr w:type="gramStart"/>
      <w:r w:rsidRPr="00027EFF">
        <w:rPr>
          <w:rFonts w:hAnsi="標楷體"/>
        </w:rPr>
        <w:t>國健婦字第0950401196號</w:t>
      </w:r>
      <w:proofErr w:type="gramEnd"/>
      <w:r w:rsidRPr="00027EFF">
        <w:rPr>
          <w:rFonts w:hAnsi="標楷體"/>
        </w:rPr>
        <w:t>函請直轄市及各縣市政府衛生局，加強督導並轉知所轄醫療機構，不得</w:t>
      </w:r>
      <w:proofErr w:type="gramStart"/>
      <w:r w:rsidRPr="00027EFF">
        <w:rPr>
          <w:rFonts w:hAnsi="標楷體"/>
        </w:rPr>
        <w:t>為非性聯</w:t>
      </w:r>
      <w:proofErr w:type="gramEnd"/>
      <w:r w:rsidRPr="00027EFF">
        <w:rPr>
          <w:rFonts w:hAnsi="標楷體"/>
        </w:rPr>
        <w:t>遺傳疾病診斷之胎兒從事產前性別鑑定。惟經本院向國健局於本（100）年5月公布出生性別比較高之桃園縣、彰化縣、臺北市及</w:t>
      </w:r>
      <w:proofErr w:type="gramStart"/>
      <w:r w:rsidRPr="00027EFF">
        <w:rPr>
          <w:rFonts w:hAnsi="標楷體"/>
        </w:rPr>
        <w:t>臺</w:t>
      </w:r>
      <w:proofErr w:type="gramEnd"/>
      <w:r w:rsidRPr="00027EFF">
        <w:rPr>
          <w:rFonts w:hAnsi="標楷體"/>
        </w:rPr>
        <w:t>中市政府等4縣市衛生局</w:t>
      </w:r>
      <w:proofErr w:type="gramStart"/>
      <w:r w:rsidRPr="00027EFF">
        <w:rPr>
          <w:rFonts w:hAnsi="標楷體"/>
        </w:rPr>
        <w:t>調閱近10年來</w:t>
      </w:r>
      <w:proofErr w:type="gramEnd"/>
      <w:r w:rsidRPr="00027EFF">
        <w:rPr>
          <w:rFonts w:hAnsi="標楷體"/>
        </w:rPr>
        <w:t>對醫師或機構為孕婦進行性別篩檢之查處情形，上開機關均無法提出98年以前之查訪資料，其理由為自99年下半年起，始依據衛生署提供出生性別比異常之醫療院所名單，進行實地查訪。</w:t>
      </w:r>
      <w:proofErr w:type="gramStart"/>
      <w:r w:rsidRPr="00027EFF">
        <w:rPr>
          <w:rFonts w:hAnsi="標楷體"/>
        </w:rPr>
        <w:t>再者，</w:t>
      </w:r>
      <w:proofErr w:type="gramEnd"/>
      <w:r w:rsidRPr="00027EFF">
        <w:rPr>
          <w:rFonts w:hAnsi="標楷體"/>
        </w:rPr>
        <w:t>依據國健局提供之書面資料，自99年至100年8月底，對出生性別比異常之54家醫療院所、172名接生者進行稽查，僅查獲1家位於</w:t>
      </w:r>
      <w:proofErr w:type="gramStart"/>
      <w:r w:rsidRPr="00027EFF">
        <w:rPr>
          <w:rFonts w:hAnsi="標楷體"/>
        </w:rPr>
        <w:t>臺</w:t>
      </w:r>
      <w:proofErr w:type="gramEnd"/>
      <w:r w:rsidRPr="00027EFF">
        <w:rPr>
          <w:rFonts w:hAnsi="標楷體"/>
        </w:rPr>
        <w:t>中市之某婦產</w:t>
      </w:r>
      <w:r w:rsidRPr="00027EFF">
        <w:rPr>
          <w:rFonts w:hAnsi="標楷體" w:hint="eastAsia"/>
        </w:rPr>
        <w:t>科</w:t>
      </w:r>
      <w:r w:rsidRPr="00027EFF">
        <w:rPr>
          <w:rFonts w:hAnsi="標楷體"/>
        </w:rPr>
        <w:t>診所有違規進行性別</w:t>
      </w:r>
      <w:proofErr w:type="gramStart"/>
      <w:r w:rsidRPr="00027EFF">
        <w:rPr>
          <w:rFonts w:hAnsi="標楷體"/>
        </w:rPr>
        <w:t>篩檢事證</w:t>
      </w:r>
      <w:proofErr w:type="gramEnd"/>
      <w:r w:rsidRPr="00027EFF">
        <w:rPr>
          <w:rFonts w:hAnsi="標楷體"/>
        </w:rPr>
        <w:t>。</w:t>
      </w:r>
    </w:p>
    <w:p w:rsidR="001D17E6" w:rsidRPr="00027EFF" w:rsidRDefault="001D17E6" w:rsidP="001D17E6">
      <w:pPr>
        <w:pStyle w:val="3"/>
        <w:kinsoku w:val="0"/>
        <w:rPr>
          <w:rFonts w:hAnsi="標楷體"/>
          <w:color w:val="000000"/>
        </w:rPr>
      </w:pPr>
      <w:r w:rsidRPr="00027EFF">
        <w:rPr>
          <w:rFonts w:hAnsi="標楷體"/>
          <w:color w:val="000000"/>
        </w:rPr>
        <w:t>綜上所述，醫師執行非醫療上必要之胎兒性別篩選或性別選擇墮胎，</w:t>
      </w:r>
      <w:proofErr w:type="gramStart"/>
      <w:r w:rsidRPr="00027EFF">
        <w:rPr>
          <w:rFonts w:hAnsi="標楷體"/>
          <w:color w:val="000000"/>
        </w:rPr>
        <w:t>均為醫師</w:t>
      </w:r>
      <w:proofErr w:type="gramEnd"/>
      <w:r w:rsidRPr="00027EFF">
        <w:rPr>
          <w:rFonts w:hAnsi="標楷體"/>
          <w:color w:val="000000"/>
        </w:rPr>
        <w:t>法第28條之4第1款規定所禁止之行為。</w:t>
      </w:r>
      <w:r w:rsidRPr="00027EFF">
        <w:rPr>
          <w:rFonts w:hAnsi="標楷體"/>
        </w:rPr>
        <w:t>我國93年至99年間之出生性別比介於1.085至1.108間，每年約有3,000名女嬰消失，男女</w:t>
      </w:r>
      <w:proofErr w:type="gramStart"/>
      <w:r w:rsidRPr="00027EFF">
        <w:rPr>
          <w:rFonts w:hAnsi="標楷體"/>
        </w:rPr>
        <w:t>嬰</w:t>
      </w:r>
      <w:proofErr w:type="gramEnd"/>
      <w:r w:rsidRPr="00027EFF">
        <w:rPr>
          <w:rFonts w:hAnsi="標楷體"/>
        </w:rPr>
        <w:t>比率失衡，恐發生婚配失衡及搶奪配偶問題。國健局</w:t>
      </w:r>
      <w:r w:rsidRPr="00027EFF">
        <w:rPr>
          <w:rFonts w:hAnsi="標楷體"/>
          <w:color w:val="000000"/>
        </w:rPr>
        <w:t>推估我國每年可能遭人工流產之胎兒數約7萬人，早已</w:t>
      </w:r>
      <w:r w:rsidRPr="00027EFF">
        <w:rPr>
          <w:rFonts w:hAnsi="標楷體"/>
        </w:rPr>
        <w:t>知悉重男輕女思維係男女</w:t>
      </w:r>
      <w:proofErr w:type="gramStart"/>
      <w:r w:rsidRPr="00027EFF">
        <w:rPr>
          <w:rFonts w:hAnsi="標楷體"/>
        </w:rPr>
        <w:t>嬰</w:t>
      </w:r>
      <w:proofErr w:type="gramEnd"/>
      <w:r w:rsidRPr="00027EFF">
        <w:rPr>
          <w:rFonts w:hAnsi="標楷體"/>
        </w:rPr>
        <w:t>比率失衡之可能原因，故於89年及95年分別函令</w:t>
      </w:r>
      <w:r w:rsidRPr="00027EFF">
        <w:rPr>
          <w:rFonts w:hAnsi="標楷體"/>
        </w:rPr>
        <w:lastRenderedPageBreak/>
        <w:t>直轄市及各縣市衛生局督導並轉知所轄醫療機構不得應病人</w:t>
      </w:r>
      <w:proofErr w:type="gramStart"/>
      <w:r w:rsidRPr="00027EFF">
        <w:rPr>
          <w:rFonts w:hAnsi="標楷體"/>
        </w:rPr>
        <w:t>之求作產前</w:t>
      </w:r>
      <w:proofErr w:type="gramEnd"/>
      <w:r w:rsidRPr="00027EFF">
        <w:rPr>
          <w:rFonts w:hAnsi="標楷體"/>
        </w:rPr>
        <w:t>性別篩檢，惟迄未</w:t>
      </w:r>
      <w:r w:rsidRPr="00027EFF">
        <w:rPr>
          <w:rFonts w:hAnsi="標楷體"/>
          <w:color w:val="000000"/>
        </w:rPr>
        <w:t>建立人工流產之通報及監控機制，故未能確實掌握因性別考量而施行人工流產之胎兒數，</w:t>
      </w:r>
      <w:proofErr w:type="gramStart"/>
      <w:r w:rsidRPr="00027EFF">
        <w:rPr>
          <w:rFonts w:hAnsi="標楷體"/>
          <w:color w:val="000000"/>
        </w:rPr>
        <w:t>且遲自</w:t>
      </w:r>
      <w:proofErr w:type="gramEnd"/>
      <w:r w:rsidRPr="00027EFF">
        <w:rPr>
          <w:rFonts w:hAnsi="標楷體"/>
          <w:color w:val="000000"/>
        </w:rPr>
        <w:t>99年下半年起，始由國健局對出生性別比異常之醫療院所進行實地查訪，至100年8月底止，僅查獲1家婦產</w:t>
      </w:r>
      <w:r w:rsidRPr="00027EFF">
        <w:rPr>
          <w:rFonts w:hAnsi="標楷體" w:hint="eastAsia"/>
          <w:color w:val="000000"/>
        </w:rPr>
        <w:t>科</w:t>
      </w:r>
      <w:r w:rsidRPr="00027EFF">
        <w:rPr>
          <w:rFonts w:hAnsi="標楷體"/>
          <w:color w:val="000000"/>
        </w:rPr>
        <w:t>診所有違規進行性別</w:t>
      </w:r>
      <w:proofErr w:type="gramStart"/>
      <w:r w:rsidRPr="00027EFF">
        <w:rPr>
          <w:rFonts w:hAnsi="標楷體"/>
          <w:color w:val="000000"/>
        </w:rPr>
        <w:t>篩檢事</w:t>
      </w:r>
      <w:r w:rsidRPr="00027EFF">
        <w:rPr>
          <w:rFonts w:hAnsi="標楷體"/>
        </w:rPr>
        <w:t>證</w:t>
      </w:r>
      <w:proofErr w:type="gramEnd"/>
      <w:r w:rsidRPr="00027EFF">
        <w:rPr>
          <w:rFonts w:hAnsi="標楷體"/>
        </w:rPr>
        <w:t>。國健局未</w:t>
      </w:r>
      <w:r w:rsidRPr="00027EFF">
        <w:rPr>
          <w:rFonts w:hAnsi="標楷體"/>
          <w:color w:val="000000"/>
        </w:rPr>
        <w:t>採取積極作為，</w:t>
      </w:r>
      <w:proofErr w:type="gramStart"/>
      <w:r w:rsidRPr="00027EFF">
        <w:rPr>
          <w:rFonts w:hAnsi="標楷體"/>
          <w:color w:val="000000"/>
        </w:rPr>
        <w:t>研</w:t>
      </w:r>
      <w:proofErr w:type="gramEnd"/>
      <w:r w:rsidRPr="00027EFF">
        <w:rPr>
          <w:rFonts w:hAnsi="標楷體"/>
          <w:color w:val="000000"/>
        </w:rPr>
        <w:t>議有效之稽查原則、重點及流程，落實醫師及醫療機構不得執行非醫療上必要之胎兒性別篩選或性別選擇墮胎之法規與政策，致使國內男女</w:t>
      </w:r>
      <w:proofErr w:type="gramStart"/>
      <w:r w:rsidRPr="00027EFF">
        <w:rPr>
          <w:rFonts w:hAnsi="標楷體"/>
          <w:color w:val="000000"/>
        </w:rPr>
        <w:t>嬰</w:t>
      </w:r>
      <w:proofErr w:type="gramEnd"/>
      <w:r w:rsidRPr="00027EFF">
        <w:rPr>
          <w:rFonts w:hAnsi="標楷體"/>
          <w:color w:val="000000"/>
        </w:rPr>
        <w:t>比率失衡問題居高不下，誠有不當。</w:t>
      </w:r>
    </w:p>
    <w:p w:rsidR="001D17E6" w:rsidRPr="00027EFF" w:rsidRDefault="001D17E6" w:rsidP="001D17E6">
      <w:pPr>
        <w:pStyle w:val="2"/>
        <w:kinsoku w:val="0"/>
        <w:rPr>
          <w:rFonts w:hAnsi="標楷體"/>
        </w:rPr>
      </w:pPr>
      <w:r w:rsidRPr="00027EFF">
        <w:rPr>
          <w:rFonts w:hAnsi="標楷體"/>
        </w:rPr>
        <w:t>RU486</w:t>
      </w:r>
      <w:proofErr w:type="gramStart"/>
      <w:r w:rsidRPr="00027EFF">
        <w:rPr>
          <w:rFonts w:hAnsi="標楷體" w:hint="eastAsia"/>
        </w:rPr>
        <w:t>（</w:t>
      </w:r>
      <w:proofErr w:type="gramEnd"/>
      <w:r w:rsidRPr="00027EFF">
        <w:rPr>
          <w:rFonts w:hAnsi="標楷體"/>
        </w:rPr>
        <w:t>學名「美服培酮」</w:t>
      </w:r>
      <w:r w:rsidRPr="00027EFF">
        <w:rPr>
          <w:rFonts w:hAnsi="標楷體" w:hint="eastAsia"/>
        </w:rPr>
        <w:t>(</w:t>
      </w:r>
      <w:r w:rsidRPr="00027EFF">
        <w:rPr>
          <w:rFonts w:hAnsi="標楷體"/>
        </w:rPr>
        <w:t>Mifepristone</w:t>
      </w:r>
      <w:r w:rsidRPr="00027EFF">
        <w:rPr>
          <w:rFonts w:hAnsi="標楷體" w:hint="eastAsia"/>
        </w:rPr>
        <w:t>))</w:t>
      </w:r>
      <w:r w:rsidRPr="00027EFF">
        <w:rPr>
          <w:rFonts w:hAnsi="標楷體"/>
        </w:rPr>
        <w:t>為國內孕婦最常使用之人工流產方法，每年約有41,000人次至54,000人次使用，但國健局及TFDA</w:t>
      </w:r>
      <w:proofErr w:type="gramStart"/>
      <w:r w:rsidRPr="00027EFF">
        <w:rPr>
          <w:rFonts w:hAnsi="標楷體" w:hint="eastAsia"/>
        </w:rPr>
        <w:t>（</w:t>
      </w:r>
      <w:proofErr w:type="gramEnd"/>
      <w:r w:rsidRPr="00027EFF">
        <w:rPr>
          <w:rFonts w:hAnsi="標楷體" w:hint="eastAsia"/>
        </w:rPr>
        <w:t>即行政院衛生署食品藥物管理局</w:t>
      </w:r>
      <w:proofErr w:type="gramStart"/>
      <w:r w:rsidRPr="00027EFF">
        <w:rPr>
          <w:rFonts w:hAnsi="標楷體" w:hint="eastAsia"/>
        </w:rPr>
        <w:t>）</w:t>
      </w:r>
      <w:r w:rsidRPr="00027EFF">
        <w:rPr>
          <w:rFonts w:hAnsi="標楷體"/>
        </w:rPr>
        <w:t>均未監測</w:t>
      </w:r>
      <w:proofErr w:type="gramEnd"/>
      <w:r w:rsidRPr="00027EFF">
        <w:rPr>
          <w:rFonts w:hAnsi="標楷體"/>
        </w:rPr>
        <w:t>醫師處方RU486之數量、使用原因或法律上理由，更未針對使用數量異常者查核有無以RU486為孕婦施行違法人工流產情事，對於孕婦以RU486作為性別選擇性墮胎之方法，迄未</w:t>
      </w:r>
      <w:proofErr w:type="gramStart"/>
      <w:r w:rsidRPr="00027EFF">
        <w:rPr>
          <w:rFonts w:hAnsi="標楷體"/>
        </w:rPr>
        <w:t>採</w:t>
      </w:r>
      <w:proofErr w:type="gramEnd"/>
      <w:r w:rsidRPr="00027EFF">
        <w:rPr>
          <w:rFonts w:hAnsi="標楷體"/>
        </w:rPr>
        <w:t>行任何防制措施，亦有不當。</w:t>
      </w:r>
    </w:p>
    <w:p w:rsidR="001D17E6" w:rsidRPr="00027EFF" w:rsidRDefault="001D17E6" w:rsidP="001D17E6">
      <w:pPr>
        <w:pStyle w:val="3"/>
        <w:kinsoku w:val="0"/>
        <w:rPr>
          <w:rFonts w:hAnsi="標楷體"/>
        </w:rPr>
      </w:pPr>
      <w:r w:rsidRPr="00027EFF">
        <w:rPr>
          <w:rFonts w:hAnsi="標楷體"/>
        </w:rPr>
        <w:t>依據衛生署提供之資料，95年至99間，國內每年約有7萬件人工流產。若以RU486於機構申報之合法調劑總量約16萬粒推估，每年約41,000人次至54,000人次使用RU486進行人工流產。RU486係黃體素</w:t>
      </w:r>
      <w:proofErr w:type="gramStart"/>
      <w:r w:rsidRPr="00027EFF">
        <w:rPr>
          <w:rFonts w:hAnsi="標楷體"/>
        </w:rPr>
        <w:t>拮抗劑</w:t>
      </w:r>
      <w:proofErr w:type="gramEnd"/>
      <w:r w:rsidRPr="00027EFF">
        <w:rPr>
          <w:rFonts w:hAnsi="標楷體"/>
        </w:rPr>
        <w:t>之墮胎藥，可以使因懷孕而上升之黃體脂酮濃度降低，讓子宮內膜剝落，達到流產目的。該藥品在仿單上記載係屬「限由婦產科醫師使用」之藥品，使用限制為年齡35歲以下及懷孕7</w:t>
      </w:r>
      <w:proofErr w:type="gramStart"/>
      <w:r w:rsidRPr="00027EFF">
        <w:rPr>
          <w:rFonts w:hAnsi="標楷體"/>
        </w:rPr>
        <w:t>週以內，</w:t>
      </w:r>
      <w:proofErr w:type="gramEnd"/>
      <w:r w:rsidRPr="00027EFF">
        <w:rPr>
          <w:rFonts w:hAnsi="標楷體"/>
        </w:rPr>
        <w:t>且經診斷確定排除子宮外孕，並由婦產科醫師處方，在醫護人員面前服用。一次療程使用3粒，搭配前列腺素使用有95.3%之成功率，若一次療程</w:t>
      </w:r>
      <w:r w:rsidRPr="00027EFF">
        <w:rPr>
          <w:rFonts w:hAnsi="標楷體"/>
        </w:rPr>
        <w:lastRenderedPageBreak/>
        <w:t>不成功，第2次療程使用2粒。RU486為健保不給</w:t>
      </w:r>
      <w:proofErr w:type="gramStart"/>
      <w:r w:rsidRPr="00027EFF">
        <w:rPr>
          <w:rFonts w:hAnsi="標楷體"/>
        </w:rPr>
        <w:t>付品</w:t>
      </w:r>
      <w:proofErr w:type="gramEnd"/>
      <w:r w:rsidRPr="00027EFF">
        <w:rPr>
          <w:rFonts w:hAnsi="標楷體"/>
        </w:rPr>
        <w:t>項，並經衛生署90年3月23日公告列為第四級管制藥品管理，醫療院所、藥局依</w:t>
      </w:r>
      <w:proofErr w:type="gramStart"/>
      <w:r w:rsidRPr="00027EFF">
        <w:rPr>
          <w:rFonts w:hAnsi="標楷體"/>
        </w:rPr>
        <w:t>規定需申領</w:t>
      </w:r>
      <w:proofErr w:type="gramEnd"/>
      <w:r w:rsidRPr="00027EFF">
        <w:rPr>
          <w:rFonts w:hAnsi="標楷體"/>
        </w:rPr>
        <w:t>管制藥品登記證始能購買，且須設置簿冊登載藥品之流向，並每年向TFDA及各縣市衛生局申報使用及結存量。</w:t>
      </w:r>
    </w:p>
    <w:p w:rsidR="001D17E6" w:rsidRPr="00027EFF" w:rsidRDefault="001D17E6" w:rsidP="001D17E6">
      <w:pPr>
        <w:pStyle w:val="3"/>
        <w:ind w:left="1394"/>
        <w:rPr>
          <w:rFonts w:hAnsi="標楷體"/>
        </w:rPr>
      </w:pPr>
      <w:r w:rsidRPr="00027EFF">
        <w:rPr>
          <w:rFonts w:hAnsi="標楷體"/>
        </w:rPr>
        <w:t>為防範非醫療必要之性別篩選與性別選擇墮胎，衛生署於99年6月起已</w:t>
      </w:r>
      <w:proofErr w:type="gramStart"/>
      <w:r w:rsidRPr="00027EFF">
        <w:rPr>
          <w:rFonts w:hAnsi="標楷體"/>
        </w:rPr>
        <w:t>採</w:t>
      </w:r>
      <w:proofErr w:type="gramEnd"/>
      <w:r w:rsidRPr="00027EFF">
        <w:rPr>
          <w:rFonts w:hAnsi="標楷體"/>
        </w:rPr>
        <w:t>行多項措施，然以國健局之推估資料，國內孕婦最常使用之人工流產方法為服用RU486，但該局對於是否有孕婦以RU486作為性別選擇性墮胎之方法，或如何針對此問題加以防範，未</w:t>
      </w:r>
      <w:proofErr w:type="gramStart"/>
      <w:r w:rsidRPr="00027EFF">
        <w:rPr>
          <w:rFonts w:hAnsi="標楷體"/>
        </w:rPr>
        <w:t>採</w:t>
      </w:r>
      <w:proofErr w:type="gramEnd"/>
      <w:r w:rsidRPr="00027EFF">
        <w:rPr>
          <w:rFonts w:hAnsi="標楷體"/>
        </w:rPr>
        <w:t>行任何防制措施，且據</w:t>
      </w:r>
      <w:proofErr w:type="gramStart"/>
      <w:r w:rsidRPr="00027EFF">
        <w:rPr>
          <w:rFonts w:hAnsi="標楷體"/>
        </w:rPr>
        <w:t>該局孔副局長</w:t>
      </w:r>
      <w:proofErr w:type="gramEnd"/>
      <w:r w:rsidR="00D56E88">
        <w:rPr>
          <w:rFonts w:hAnsi="標楷體"/>
        </w:rPr>
        <w:t>○○</w:t>
      </w:r>
      <w:r w:rsidRPr="00027EFF">
        <w:rPr>
          <w:rFonts w:hAnsi="標楷體"/>
        </w:rPr>
        <w:t>於本院約</w:t>
      </w:r>
      <w:proofErr w:type="gramStart"/>
      <w:r w:rsidRPr="00027EFF">
        <w:rPr>
          <w:rFonts w:hAnsi="標楷體"/>
        </w:rPr>
        <w:t>詢</w:t>
      </w:r>
      <w:proofErr w:type="gramEnd"/>
      <w:r w:rsidRPr="00027EFF">
        <w:rPr>
          <w:rFonts w:hAnsi="標楷體"/>
        </w:rPr>
        <w:t>時表示：國健局並無RU486流向之申報資料，故未能瞭解孕婦藉此方法進行墮胎之情形。</w:t>
      </w:r>
    </w:p>
    <w:p w:rsidR="001D17E6" w:rsidRPr="00027EFF" w:rsidRDefault="001D17E6" w:rsidP="001D17E6">
      <w:pPr>
        <w:pStyle w:val="3"/>
        <w:kinsoku w:val="0"/>
        <w:rPr>
          <w:rFonts w:hAnsi="標楷體"/>
        </w:rPr>
      </w:pPr>
      <w:r w:rsidRPr="00027EFF">
        <w:rPr>
          <w:rFonts w:hAnsi="標楷體"/>
        </w:rPr>
        <w:t>另查RU486為第四級管制藥品，醫療院所雖應設置簿冊登載藥品之流向，並應每年向TFDA及縣市衛生局申報使用及結存量。</w:t>
      </w:r>
      <w:proofErr w:type="gramStart"/>
      <w:r w:rsidRPr="00027EFF">
        <w:rPr>
          <w:rFonts w:hAnsi="標楷體"/>
        </w:rPr>
        <w:t>惟</w:t>
      </w:r>
      <w:proofErr w:type="gramEnd"/>
      <w:r w:rsidRPr="00027EFF">
        <w:rPr>
          <w:rFonts w:hAnsi="標楷體"/>
        </w:rPr>
        <w:t>目前國健局或TFDA</w:t>
      </w:r>
      <w:proofErr w:type="gramStart"/>
      <w:r w:rsidRPr="00027EFF">
        <w:rPr>
          <w:rFonts w:hAnsi="標楷體"/>
        </w:rPr>
        <w:t>均未監測</w:t>
      </w:r>
      <w:proofErr w:type="gramEnd"/>
      <w:r w:rsidRPr="00027EFF">
        <w:rPr>
          <w:rFonts w:hAnsi="標楷體"/>
        </w:rPr>
        <w:t>醫師處方RU486之數量、使用原因或法律上理由，自未能針對使用數量異常者，查核其病歷或檢驗報告以瞭解是否有因性別考量而以RU486為孕婦施行人工流產之情事。</w:t>
      </w:r>
    </w:p>
    <w:p w:rsidR="001D17E6" w:rsidRPr="00027EFF" w:rsidRDefault="001D17E6" w:rsidP="001D17E6">
      <w:pPr>
        <w:pStyle w:val="3"/>
        <w:kinsoku w:val="0"/>
        <w:rPr>
          <w:rFonts w:hAnsi="標楷體"/>
        </w:rPr>
      </w:pPr>
      <w:r w:rsidRPr="00027EFF">
        <w:rPr>
          <w:rFonts w:hAnsi="標楷體"/>
        </w:rPr>
        <w:t>綜上，衛生署雖自99年6月起開始</w:t>
      </w:r>
      <w:proofErr w:type="gramStart"/>
      <w:r w:rsidRPr="00027EFF">
        <w:rPr>
          <w:rFonts w:hAnsi="標楷體"/>
        </w:rPr>
        <w:t>採</w:t>
      </w:r>
      <w:proofErr w:type="gramEnd"/>
      <w:r w:rsidRPr="00027EFF">
        <w:rPr>
          <w:rFonts w:hAnsi="標楷體"/>
        </w:rPr>
        <w:t>行</w:t>
      </w:r>
      <w:proofErr w:type="gramStart"/>
      <w:r w:rsidRPr="00027EFF">
        <w:rPr>
          <w:rFonts w:hAnsi="標楷體"/>
        </w:rPr>
        <w:t>多項施</w:t>
      </w:r>
      <w:proofErr w:type="gramEnd"/>
      <w:r w:rsidRPr="00027EFF">
        <w:rPr>
          <w:rFonts w:hAnsi="標楷體"/>
        </w:rPr>
        <w:t>，以防範非醫療必要之性別篩選與性別選擇墮胎，但因查證困難，迄今仍效果有限。國內每年約有41,000人次至54,000人次使用RU486進行人工流產，RU486成為國內孕婦最常使用之人工流產方法。但國健局對於是否有孕婦以RU486作為性別選擇性墮胎之方法，或如何針對此問題加以防範，迄未</w:t>
      </w:r>
      <w:proofErr w:type="gramStart"/>
      <w:r w:rsidRPr="00027EFF">
        <w:rPr>
          <w:rFonts w:hAnsi="標楷體"/>
        </w:rPr>
        <w:t>採</w:t>
      </w:r>
      <w:proofErr w:type="gramEnd"/>
      <w:r w:rsidRPr="00027EFF">
        <w:rPr>
          <w:rFonts w:hAnsi="標楷體"/>
        </w:rPr>
        <w:t>行任何防制措施，故未能瞭解孕婦藉此方法進行墮胎之情形。國健局或TFDA</w:t>
      </w:r>
      <w:proofErr w:type="gramStart"/>
      <w:r w:rsidRPr="00027EFF">
        <w:rPr>
          <w:rFonts w:hAnsi="標楷體"/>
        </w:rPr>
        <w:t>均未監測</w:t>
      </w:r>
      <w:proofErr w:type="gramEnd"/>
      <w:r w:rsidRPr="00027EFF">
        <w:rPr>
          <w:rFonts w:hAnsi="標楷體"/>
        </w:rPr>
        <w:t>醫師處方</w:t>
      </w:r>
      <w:r w:rsidRPr="00027EFF">
        <w:rPr>
          <w:rFonts w:hAnsi="標楷體"/>
        </w:rPr>
        <w:lastRenderedPageBreak/>
        <w:t>RU486之數量、使用原因或法律上理由，自未能針對使用數量異常者，查核其病歷或檢驗報告以瞭解是否有因性別考量而以RU486為孕婦施行人工流產之情事，</w:t>
      </w:r>
      <w:proofErr w:type="gramStart"/>
      <w:r w:rsidRPr="00027EFF">
        <w:rPr>
          <w:rFonts w:hAnsi="標楷體"/>
        </w:rPr>
        <w:t>均有不當</w:t>
      </w:r>
      <w:proofErr w:type="gramEnd"/>
      <w:r w:rsidRPr="00027EFF">
        <w:rPr>
          <w:rFonts w:hAnsi="標楷體"/>
        </w:rPr>
        <w:t>。</w:t>
      </w:r>
    </w:p>
    <w:p w:rsidR="004663D3" w:rsidRPr="00027EFF" w:rsidRDefault="004663D3">
      <w:pPr>
        <w:pStyle w:val="11"/>
        <w:ind w:left="680" w:firstLine="680"/>
        <w:rPr>
          <w:rFonts w:hAnsi="標楷體"/>
          <w:bCs/>
          <w:color w:val="000000"/>
        </w:rPr>
      </w:pPr>
    </w:p>
    <w:p w:rsidR="00B92D4F" w:rsidRPr="00027EFF" w:rsidRDefault="00B92D4F">
      <w:pPr>
        <w:pStyle w:val="11"/>
        <w:ind w:left="680" w:firstLine="680"/>
        <w:rPr>
          <w:rFonts w:hAnsi="標楷體"/>
          <w:bCs/>
          <w:color w:val="000000"/>
        </w:rPr>
      </w:pPr>
      <w:r w:rsidRPr="00027EFF">
        <w:rPr>
          <w:rFonts w:hAnsi="標楷體"/>
          <w:bCs/>
          <w:color w:val="000000"/>
        </w:rPr>
        <w:t>綜上所述，</w:t>
      </w:r>
      <w:r w:rsidR="001D17E6" w:rsidRPr="00027EFF">
        <w:rPr>
          <w:rFonts w:hAnsi="標楷體"/>
          <w:color w:val="000000"/>
        </w:rPr>
        <w:t>行政院衛生署</w:t>
      </w:r>
      <w:r w:rsidR="001D17E6" w:rsidRPr="00027EFF">
        <w:rPr>
          <w:rFonts w:hAnsi="標楷體" w:hint="eastAsia"/>
          <w:color w:val="000000"/>
        </w:rPr>
        <w:t>國民健康局</w:t>
      </w:r>
      <w:r w:rsidR="001D17E6" w:rsidRPr="00027EFF">
        <w:rPr>
          <w:rFonts w:hAnsi="標楷體"/>
          <w:color w:val="000000"/>
        </w:rPr>
        <w:t>長久以來未建立人工流產之通報及監控機制，亦未進行實地訪查，且未積極</w:t>
      </w:r>
      <w:proofErr w:type="gramStart"/>
      <w:r w:rsidR="001D17E6" w:rsidRPr="00027EFF">
        <w:rPr>
          <w:rFonts w:hAnsi="標楷體"/>
          <w:color w:val="000000"/>
        </w:rPr>
        <w:t>研</w:t>
      </w:r>
      <w:proofErr w:type="gramEnd"/>
      <w:r w:rsidR="001D17E6" w:rsidRPr="00027EFF">
        <w:rPr>
          <w:rFonts w:hAnsi="標楷體"/>
          <w:color w:val="000000"/>
        </w:rPr>
        <w:t>議有效之稽查原則、重點及流程，遲自99年下半年起始開始推動禁止違法性別篩選與選擇墮胎之措施，並對出生性別比異常之醫療院所進行實地查訪，惟僅查獲1家婦產</w:t>
      </w:r>
      <w:r w:rsidR="001D17E6" w:rsidRPr="00027EFF">
        <w:rPr>
          <w:rFonts w:hAnsi="標楷體" w:hint="eastAsia"/>
          <w:color w:val="000000"/>
        </w:rPr>
        <w:t>科</w:t>
      </w:r>
      <w:r w:rsidR="001D17E6" w:rsidRPr="00027EFF">
        <w:rPr>
          <w:rFonts w:hAnsi="標楷體"/>
          <w:color w:val="000000"/>
        </w:rPr>
        <w:t>診所有違規進行性別</w:t>
      </w:r>
      <w:proofErr w:type="gramStart"/>
      <w:r w:rsidR="001D17E6" w:rsidRPr="00027EFF">
        <w:rPr>
          <w:rFonts w:hAnsi="標楷體"/>
          <w:color w:val="000000"/>
        </w:rPr>
        <w:t>篩檢事證</w:t>
      </w:r>
      <w:proofErr w:type="gramEnd"/>
      <w:r w:rsidR="001D17E6" w:rsidRPr="00027EFF">
        <w:rPr>
          <w:rFonts w:hAnsi="標楷體"/>
          <w:color w:val="000000"/>
        </w:rPr>
        <w:t>，難以落實醫師及醫療機構不得執行非醫療必要之胎兒性別篩選或性別選擇墮胎之法規與政策</w:t>
      </w:r>
      <w:r w:rsidR="001D17E6" w:rsidRPr="00027EFF">
        <w:rPr>
          <w:rFonts w:hAnsi="標楷體" w:hint="eastAsia"/>
          <w:color w:val="000000"/>
        </w:rPr>
        <w:t>；該局與</w:t>
      </w:r>
      <w:proofErr w:type="gramStart"/>
      <w:r w:rsidR="001D17E6" w:rsidRPr="00027EFF">
        <w:rPr>
          <w:rFonts w:hAnsi="標楷體"/>
          <w:color w:val="000000"/>
        </w:rPr>
        <w:t>行政院</w:t>
      </w:r>
      <w:r w:rsidR="001D17E6" w:rsidRPr="00027EFF">
        <w:rPr>
          <w:rFonts w:hAnsi="標楷體" w:hint="eastAsia"/>
          <w:color w:val="000000"/>
        </w:rPr>
        <w:t>衛生署食品藥物管理局</w:t>
      </w:r>
      <w:r w:rsidR="001D17E6" w:rsidRPr="00027EFF">
        <w:rPr>
          <w:rFonts w:hAnsi="標楷體"/>
        </w:rPr>
        <w:t>均未監測</w:t>
      </w:r>
      <w:proofErr w:type="gramEnd"/>
      <w:r w:rsidR="001D17E6" w:rsidRPr="00027EFF">
        <w:rPr>
          <w:rFonts w:hAnsi="標楷體"/>
        </w:rPr>
        <w:t>醫師處方RU486之數量、使用原因或法律上理由，更未針對使用數量異常者查核有無以RU486為孕婦施行違法人工流產情事，對於孕婦以RU486作為性別選擇性墮胎之方法，迄未</w:t>
      </w:r>
      <w:proofErr w:type="gramStart"/>
      <w:r w:rsidR="001D17E6" w:rsidRPr="00027EFF">
        <w:rPr>
          <w:rFonts w:hAnsi="標楷體"/>
        </w:rPr>
        <w:t>採</w:t>
      </w:r>
      <w:proofErr w:type="gramEnd"/>
      <w:r w:rsidR="001D17E6" w:rsidRPr="00027EFF">
        <w:rPr>
          <w:rFonts w:hAnsi="標楷體"/>
        </w:rPr>
        <w:t>行任何防制措施，</w:t>
      </w:r>
      <w:proofErr w:type="gramStart"/>
      <w:r w:rsidR="00E50A65" w:rsidRPr="00027EFF">
        <w:rPr>
          <w:rFonts w:hAnsi="標楷體"/>
          <w:color w:val="000000"/>
        </w:rPr>
        <w:t>均核有</w:t>
      </w:r>
      <w:proofErr w:type="gramEnd"/>
      <w:r w:rsidR="00E50A65" w:rsidRPr="00027EFF">
        <w:rPr>
          <w:rFonts w:hAnsi="標楷體"/>
          <w:color w:val="000000"/>
        </w:rPr>
        <w:t>違失，</w:t>
      </w:r>
      <w:proofErr w:type="gramStart"/>
      <w:r w:rsidRPr="00027EFF">
        <w:rPr>
          <w:rFonts w:hAnsi="標楷體"/>
          <w:bCs/>
          <w:color w:val="000000"/>
        </w:rPr>
        <w:t>爰</w:t>
      </w:r>
      <w:proofErr w:type="gramEnd"/>
      <w:r w:rsidRPr="00027EFF">
        <w:rPr>
          <w:rFonts w:hAnsi="標楷體"/>
          <w:bCs/>
          <w:color w:val="000000"/>
        </w:rPr>
        <w:t>依監察法第24條提案糾正，移送行政院轉</w:t>
      </w:r>
      <w:proofErr w:type="gramStart"/>
      <w:r w:rsidRPr="00027EFF">
        <w:rPr>
          <w:rFonts w:hAnsi="標楷體"/>
          <w:bCs/>
          <w:color w:val="000000"/>
        </w:rPr>
        <w:t>飭</w:t>
      </w:r>
      <w:proofErr w:type="gramEnd"/>
      <w:r w:rsidRPr="00027EFF">
        <w:rPr>
          <w:rFonts w:hAnsi="標楷體"/>
          <w:bCs/>
          <w:color w:val="000000"/>
        </w:rPr>
        <w:t>所屬確實檢討改善</w:t>
      </w:r>
      <w:proofErr w:type="gramStart"/>
      <w:r w:rsidRPr="00027EFF">
        <w:rPr>
          <w:rFonts w:hAnsi="標楷體"/>
          <w:bCs/>
          <w:color w:val="000000"/>
        </w:rPr>
        <w:t>見復。</w:t>
      </w:r>
      <w:bookmarkEnd w:id="34"/>
      <w:bookmarkEnd w:id="35"/>
      <w:bookmarkEnd w:id="36"/>
      <w:bookmarkEnd w:id="37"/>
      <w:bookmarkEnd w:id="38"/>
      <w:bookmarkEnd w:id="39"/>
      <w:bookmarkEnd w:id="40"/>
      <w:bookmarkEnd w:id="41"/>
      <w:bookmarkEnd w:id="42"/>
      <w:bookmarkEnd w:id="43"/>
      <w:bookmarkEnd w:id="44"/>
      <w:bookmarkEnd w:id="45"/>
      <w:bookmarkEnd w:id="46"/>
      <w:bookmarkEnd w:id="47"/>
      <w:proofErr w:type="gramEnd"/>
    </w:p>
    <w:p w:rsidR="00B92D4F" w:rsidRPr="00027EFF" w:rsidRDefault="00B92D4F">
      <w:pPr>
        <w:ind w:leftChars="200" w:left="680" w:firstLineChars="200" w:firstLine="680"/>
        <w:rPr>
          <w:rFonts w:ascii="標楷體" w:hAnsi="標楷體"/>
          <w:bCs/>
          <w:color w:val="000000"/>
          <w:kern w:val="0"/>
        </w:rPr>
      </w:pPr>
    </w:p>
    <w:p w:rsidR="00B92D4F" w:rsidRPr="00027EFF" w:rsidRDefault="00B92D4F">
      <w:pPr>
        <w:pStyle w:val="a4"/>
        <w:spacing w:before="0" w:after="0"/>
        <w:ind w:leftChars="1100" w:left="3742"/>
        <w:jc w:val="both"/>
        <w:rPr>
          <w:rFonts w:hAnsi="標楷體"/>
          <w:b w:val="0"/>
          <w:bCs/>
          <w:snapToGrid/>
          <w:color w:val="000000"/>
          <w:spacing w:val="0"/>
          <w:kern w:val="0"/>
          <w:sz w:val="40"/>
        </w:rPr>
      </w:pPr>
      <w:bookmarkStart w:id="48" w:name="_Toc524895649"/>
      <w:bookmarkStart w:id="49" w:name="_Toc524896195"/>
      <w:bookmarkStart w:id="50" w:name="_Toc524896225"/>
      <w:bookmarkEnd w:id="48"/>
      <w:bookmarkEnd w:id="49"/>
      <w:bookmarkEnd w:id="50"/>
      <w:r w:rsidRPr="00027EFF">
        <w:rPr>
          <w:rFonts w:hAnsi="標楷體"/>
          <w:b w:val="0"/>
          <w:bCs/>
          <w:snapToGrid/>
          <w:color w:val="000000"/>
          <w:spacing w:val="12"/>
          <w:kern w:val="0"/>
          <w:sz w:val="40"/>
        </w:rPr>
        <w:t>提案委員：</w:t>
      </w:r>
      <w:r w:rsidR="00805663" w:rsidRPr="00027EFF">
        <w:rPr>
          <w:rFonts w:hAnsi="標楷體" w:hint="eastAsia"/>
          <w:b w:val="0"/>
          <w:bCs/>
          <w:snapToGrid/>
          <w:color w:val="000000"/>
          <w:spacing w:val="12"/>
          <w:kern w:val="0"/>
          <w:sz w:val="40"/>
        </w:rPr>
        <w:t>高鳳仙</w:t>
      </w:r>
    </w:p>
    <w:p w:rsidR="00B92D4F" w:rsidRPr="00027EFF" w:rsidRDefault="00B92D4F">
      <w:pPr>
        <w:pStyle w:val="a4"/>
        <w:spacing w:before="0" w:after="0"/>
        <w:ind w:leftChars="1100" w:left="3742" w:firstLineChars="500" w:firstLine="1901"/>
        <w:jc w:val="both"/>
        <w:rPr>
          <w:rFonts w:hAnsi="標楷體"/>
          <w:b w:val="0"/>
          <w:bCs/>
          <w:snapToGrid/>
          <w:color w:val="000000"/>
          <w:spacing w:val="0"/>
          <w:kern w:val="0"/>
        </w:rPr>
      </w:pPr>
    </w:p>
    <w:p w:rsidR="00B92D4F" w:rsidRPr="00027EFF" w:rsidRDefault="00B92D4F">
      <w:pPr>
        <w:pStyle w:val="a4"/>
        <w:spacing w:before="0" w:after="0"/>
        <w:ind w:leftChars="1100" w:left="3742" w:firstLineChars="500" w:firstLine="1901"/>
        <w:jc w:val="both"/>
        <w:rPr>
          <w:rFonts w:hAnsi="標楷體"/>
          <w:b w:val="0"/>
          <w:bCs/>
          <w:snapToGrid/>
          <w:color w:val="000000"/>
          <w:spacing w:val="0"/>
          <w:kern w:val="0"/>
        </w:rPr>
      </w:pPr>
    </w:p>
    <w:p w:rsidR="00A26472" w:rsidRPr="00027EFF" w:rsidRDefault="00A26472">
      <w:pPr>
        <w:pStyle w:val="a4"/>
        <w:spacing w:before="0" w:after="0"/>
        <w:ind w:leftChars="1100" w:left="3742" w:firstLineChars="500" w:firstLine="1901"/>
        <w:jc w:val="both"/>
        <w:rPr>
          <w:rFonts w:hAnsi="標楷體"/>
          <w:b w:val="0"/>
          <w:bCs/>
          <w:snapToGrid/>
          <w:color w:val="000000"/>
          <w:spacing w:val="0"/>
          <w:kern w:val="0"/>
        </w:rPr>
      </w:pPr>
    </w:p>
    <w:p w:rsidR="00A26472" w:rsidRPr="00027EFF" w:rsidRDefault="00A26472">
      <w:pPr>
        <w:pStyle w:val="a4"/>
        <w:spacing w:before="0" w:after="0"/>
        <w:ind w:leftChars="1100" w:left="3742" w:firstLineChars="500" w:firstLine="1901"/>
        <w:jc w:val="both"/>
        <w:rPr>
          <w:rFonts w:hAnsi="標楷體"/>
          <w:b w:val="0"/>
          <w:bCs/>
          <w:snapToGrid/>
          <w:color w:val="000000"/>
          <w:spacing w:val="0"/>
          <w:kern w:val="0"/>
        </w:rPr>
      </w:pPr>
    </w:p>
    <w:p w:rsidR="00B92D4F" w:rsidRPr="00027EFF" w:rsidRDefault="00B92D4F">
      <w:pPr>
        <w:pStyle w:val="aa"/>
        <w:rPr>
          <w:rFonts w:ascii="標楷體" w:hAnsi="標楷體"/>
          <w:bCs/>
          <w:color w:val="000000"/>
        </w:rPr>
      </w:pPr>
      <w:r w:rsidRPr="00027EFF">
        <w:rPr>
          <w:rFonts w:ascii="標楷體" w:hAnsi="標楷體"/>
          <w:bCs/>
          <w:color w:val="000000"/>
        </w:rPr>
        <w:lastRenderedPageBreak/>
        <w:t>中華民國</w:t>
      </w:r>
      <w:r w:rsidR="00E50A65" w:rsidRPr="00027EFF">
        <w:rPr>
          <w:rFonts w:ascii="標楷體" w:hAnsi="標楷體" w:hint="eastAsia"/>
          <w:bCs/>
          <w:color w:val="000000"/>
        </w:rPr>
        <w:t>100</w:t>
      </w:r>
      <w:r w:rsidRPr="00027EFF">
        <w:rPr>
          <w:rFonts w:ascii="標楷體" w:hAnsi="標楷體"/>
          <w:bCs/>
          <w:color w:val="000000"/>
        </w:rPr>
        <w:t>年</w:t>
      </w:r>
      <w:r w:rsidR="00607FFB" w:rsidRPr="00027EFF">
        <w:rPr>
          <w:rFonts w:ascii="標楷體" w:hAnsi="標楷體" w:hint="eastAsia"/>
          <w:bCs/>
          <w:color w:val="000000"/>
        </w:rPr>
        <w:t>1</w:t>
      </w:r>
      <w:r w:rsidR="00805663" w:rsidRPr="00027EFF">
        <w:rPr>
          <w:rFonts w:ascii="標楷體" w:hAnsi="標楷體" w:hint="eastAsia"/>
          <w:bCs/>
          <w:color w:val="000000"/>
        </w:rPr>
        <w:t>2</w:t>
      </w:r>
      <w:r w:rsidRPr="00027EFF">
        <w:rPr>
          <w:rFonts w:ascii="標楷體" w:hAnsi="標楷體"/>
          <w:bCs/>
          <w:color w:val="000000"/>
        </w:rPr>
        <w:t>月</w:t>
      </w:r>
      <w:r w:rsidR="00805663" w:rsidRPr="00027EFF">
        <w:rPr>
          <w:rFonts w:ascii="標楷體" w:hAnsi="標楷體" w:hint="eastAsia"/>
          <w:bCs/>
          <w:color w:val="000000"/>
        </w:rPr>
        <w:t>7</w:t>
      </w:r>
      <w:r w:rsidRPr="00027EFF">
        <w:rPr>
          <w:rFonts w:ascii="標楷體" w:hAnsi="標楷體"/>
          <w:bCs/>
          <w:color w:val="000000"/>
        </w:rPr>
        <w:t>日</w:t>
      </w:r>
    </w:p>
    <w:p w:rsidR="00324325" w:rsidRPr="00027EFF" w:rsidRDefault="00324325" w:rsidP="00324325">
      <w:pPr>
        <w:pStyle w:val="3"/>
        <w:numPr>
          <w:ilvl w:val="0"/>
          <w:numId w:val="0"/>
        </w:numPr>
        <w:ind w:leftChars="-126" w:left="-4" w:hangingChars="125" w:hanging="425"/>
        <w:rPr>
          <w:rFonts w:hAnsi="標楷體"/>
        </w:rPr>
      </w:pPr>
      <w:r w:rsidRPr="00027EFF">
        <w:rPr>
          <w:rFonts w:hAnsi="標楷體" w:hint="eastAsia"/>
        </w:rPr>
        <w:t>附表1</w:t>
      </w:r>
    </w:p>
    <w:p w:rsidR="00324325" w:rsidRPr="00027EFF" w:rsidRDefault="00324325" w:rsidP="00324325">
      <w:pPr>
        <w:pStyle w:val="3"/>
        <w:numPr>
          <w:ilvl w:val="0"/>
          <w:numId w:val="0"/>
        </w:numPr>
        <w:ind w:leftChars="-126" w:left="-4" w:hangingChars="125" w:hanging="425"/>
        <w:rPr>
          <w:rFonts w:hAnsi="標楷體"/>
        </w:rPr>
      </w:pPr>
      <w:r w:rsidRPr="00027EFF">
        <w:rPr>
          <w:rFonts w:hAnsi="標楷體" w:hint="eastAsia"/>
        </w:rPr>
        <w:t xml:space="preserve"> OECD國家、中國大陸及新加坡2001-2010年之出生性別比</w:t>
      </w:r>
    </w:p>
    <w:tbl>
      <w:tblPr>
        <w:tblW w:w="9640" w:type="dxa"/>
        <w:tblInd w:w="-398" w:type="dxa"/>
        <w:tblLayout w:type="fixed"/>
        <w:tblCellMar>
          <w:left w:w="28" w:type="dxa"/>
          <w:right w:w="28" w:type="dxa"/>
        </w:tblCellMar>
        <w:tblLook w:val="04A0" w:firstRow="1" w:lastRow="0" w:firstColumn="1" w:lastColumn="0" w:noHBand="0" w:noVBand="1"/>
      </w:tblPr>
      <w:tblGrid>
        <w:gridCol w:w="1397"/>
        <w:gridCol w:w="824"/>
        <w:gridCol w:w="824"/>
        <w:gridCol w:w="824"/>
        <w:gridCol w:w="825"/>
        <w:gridCol w:w="824"/>
        <w:gridCol w:w="824"/>
        <w:gridCol w:w="825"/>
        <w:gridCol w:w="824"/>
        <w:gridCol w:w="824"/>
        <w:gridCol w:w="825"/>
      </w:tblGrid>
      <w:tr w:rsidR="00324325" w:rsidRPr="00027EFF" w:rsidTr="00751DD7">
        <w:trPr>
          <w:trHeight w:val="330"/>
          <w:tblHeader/>
        </w:trPr>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bCs/>
                <w:kern w:val="0"/>
                <w:sz w:val="24"/>
                <w:szCs w:val="24"/>
              </w:rPr>
            </w:pPr>
            <w:r w:rsidRPr="00027EFF">
              <w:rPr>
                <w:rFonts w:ascii="標楷體" w:hAnsi="標楷體"/>
                <w:bCs/>
                <w:kern w:val="0"/>
                <w:sz w:val="24"/>
                <w:szCs w:val="24"/>
              </w:rPr>
              <w:t>Country</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center"/>
              <w:rPr>
                <w:rFonts w:ascii="標楷體" w:hAnsi="標楷體"/>
                <w:bCs/>
                <w:kern w:val="0"/>
                <w:sz w:val="24"/>
                <w:szCs w:val="24"/>
              </w:rPr>
            </w:pPr>
            <w:r w:rsidRPr="00027EFF">
              <w:rPr>
                <w:rFonts w:ascii="標楷體" w:hAnsi="標楷體"/>
                <w:bCs/>
                <w:kern w:val="0"/>
                <w:sz w:val="24"/>
                <w:szCs w:val="24"/>
              </w:rPr>
              <w:t>2001</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center"/>
              <w:rPr>
                <w:rFonts w:ascii="標楷體" w:hAnsi="標楷體"/>
                <w:bCs/>
                <w:kern w:val="0"/>
                <w:sz w:val="24"/>
                <w:szCs w:val="24"/>
              </w:rPr>
            </w:pPr>
            <w:r w:rsidRPr="00027EFF">
              <w:rPr>
                <w:rFonts w:ascii="標楷體" w:hAnsi="標楷體"/>
                <w:bCs/>
                <w:kern w:val="0"/>
                <w:sz w:val="24"/>
                <w:szCs w:val="24"/>
              </w:rPr>
              <w:t>2002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center"/>
              <w:rPr>
                <w:rFonts w:ascii="標楷體" w:hAnsi="標楷體"/>
                <w:bCs/>
                <w:kern w:val="0"/>
                <w:sz w:val="24"/>
                <w:szCs w:val="24"/>
              </w:rPr>
            </w:pPr>
            <w:r w:rsidRPr="00027EFF">
              <w:rPr>
                <w:rFonts w:ascii="標楷體" w:hAnsi="標楷體"/>
                <w:bCs/>
                <w:kern w:val="0"/>
                <w:sz w:val="24"/>
                <w:szCs w:val="24"/>
              </w:rPr>
              <w:t>2003</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center"/>
              <w:rPr>
                <w:rFonts w:ascii="標楷體" w:hAnsi="標楷體"/>
                <w:bCs/>
                <w:kern w:val="0"/>
                <w:sz w:val="24"/>
                <w:szCs w:val="24"/>
              </w:rPr>
            </w:pPr>
            <w:r w:rsidRPr="00027EFF">
              <w:rPr>
                <w:rFonts w:ascii="標楷體" w:hAnsi="標楷體"/>
                <w:bCs/>
                <w:kern w:val="0"/>
                <w:sz w:val="24"/>
                <w:szCs w:val="24"/>
              </w:rPr>
              <w:t>2004</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center"/>
              <w:rPr>
                <w:rFonts w:ascii="標楷體" w:hAnsi="標楷體"/>
                <w:bCs/>
                <w:kern w:val="0"/>
                <w:sz w:val="24"/>
                <w:szCs w:val="24"/>
              </w:rPr>
            </w:pPr>
            <w:r w:rsidRPr="00027EFF">
              <w:rPr>
                <w:rFonts w:ascii="標楷體" w:hAnsi="標楷體"/>
                <w:bCs/>
                <w:kern w:val="0"/>
                <w:sz w:val="24"/>
                <w:szCs w:val="24"/>
              </w:rPr>
              <w:t>2005</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center"/>
              <w:rPr>
                <w:rFonts w:ascii="標楷體" w:hAnsi="標楷體"/>
                <w:bCs/>
                <w:kern w:val="0"/>
                <w:sz w:val="24"/>
                <w:szCs w:val="24"/>
              </w:rPr>
            </w:pPr>
            <w:r w:rsidRPr="00027EFF">
              <w:rPr>
                <w:rFonts w:ascii="標楷體" w:hAnsi="標楷體"/>
                <w:bCs/>
                <w:kern w:val="0"/>
                <w:sz w:val="24"/>
                <w:szCs w:val="24"/>
              </w:rPr>
              <w:t>2006</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center"/>
              <w:rPr>
                <w:rFonts w:ascii="標楷體" w:hAnsi="標楷體"/>
                <w:bCs/>
                <w:kern w:val="0"/>
                <w:sz w:val="24"/>
                <w:szCs w:val="24"/>
              </w:rPr>
            </w:pPr>
            <w:r w:rsidRPr="00027EFF">
              <w:rPr>
                <w:rFonts w:ascii="標楷體" w:hAnsi="標楷體"/>
                <w:bCs/>
                <w:kern w:val="0"/>
                <w:sz w:val="24"/>
                <w:szCs w:val="24"/>
              </w:rPr>
              <w:t>2007</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center"/>
              <w:rPr>
                <w:rFonts w:ascii="標楷體" w:hAnsi="標楷體"/>
                <w:bCs/>
                <w:kern w:val="0"/>
                <w:sz w:val="24"/>
                <w:szCs w:val="24"/>
              </w:rPr>
            </w:pPr>
            <w:r w:rsidRPr="00027EFF">
              <w:rPr>
                <w:rFonts w:ascii="標楷體" w:hAnsi="標楷體"/>
                <w:bCs/>
                <w:kern w:val="0"/>
                <w:sz w:val="24"/>
                <w:szCs w:val="24"/>
              </w:rPr>
              <w:t>2008</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center"/>
              <w:rPr>
                <w:rFonts w:ascii="標楷體" w:hAnsi="標楷體"/>
                <w:bCs/>
                <w:kern w:val="0"/>
                <w:sz w:val="24"/>
                <w:szCs w:val="24"/>
              </w:rPr>
            </w:pPr>
            <w:r w:rsidRPr="00027EFF">
              <w:rPr>
                <w:rFonts w:ascii="標楷體" w:hAnsi="標楷體"/>
                <w:bCs/>
                <w:kern w:val="0"/>
                <w:sz w:val="24"/>
                <w:szCs w:val="24"/>
              </w:rPr>
              <w:t>2009</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center"/>
              <w:rPr>
                <w:rFonts w:ascii="標楷體" w:hAnsi="標楷體"/>
                <w:bCs/>
                <w:kern w:val="0"/>
                <w:sz w:val="24"/>
                <w:szCs w:val="24"/>
              </w:rPr>
            </w:pPr>
            <w:r w:rsidRPr="00027EFF">
              <w:rPr>
                <w:rFonts w:ascii="標楷體" w:hAnsi="標楷體"/>
                <w:bCs/>
                <w:kern w:val="0"/>
                <w:sz w:val="24"/>
                <w:szCs w:val="24"/>
              </w:rPr>
              <w:t>2010</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bCs/>
                <w:kern w:val="0"/>
                <w:sz w:val="24"/>
                <w:szCs w:val="24"/>
              </w:rPr>
            </w:pPr>
            <w:r w:rsidRPr="00027EFF">
              <w:rPr>
                <w:rFonts w:ascii="標楷體" w:hAnsi="標楷體"/>
                <w:bCs/>
                <w:kern w:val="0"/>
                <w:sz w:val="24"/>
                <w:szCs w:val="24"/>
              </w:rPr>
              <w:t>China</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1.210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1.201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1.190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1.170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1.190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1.180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1.160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1.120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1.190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1.180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bCs/>
                <w:kern w:val="0"/>
                <w:sz w:val="24"/>
                <w:szCs w:val="24"/>
              </w:rPr>
            </w:pPr>
            <w:r w:rsidRPr="00027EFF">
              <w:rPr>
                <w:rFonts w:ascii="標楷體" w:hAnsi="標楷體"/>
                <w:bCs/>
                <w:kern w:val="0"/>
                <w:sz w:val="24"/>
                <w:szCs w:val="24"/>
              </w:rPr>
              <w:t>Singapore</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1.071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1.058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1.078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1.080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1.080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1.080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1.080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1.080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Ireland</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1.054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1.047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Spain</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1.062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Luxembourg</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1.047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1.130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1.064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Portugal</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1.077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1.072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1.062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Italy</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Slovenia</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1.064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1.027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Czech Republic</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1.062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Greece</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1.067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Sw</w:t>
            </w:r>
            <w:r w:rsidRPr="00027EFF">
              <w:rPr>
                <w:rFonts w:ascii="標楷體" w:hAnsi="標楷體" w:hint="eastAsia"/>
                <w:kern w:val="0"/>
                <w:sz w:val="24"/>
                <w:szCs w:val="24"/>
              </w:rPr>
              <w:t>e</w:t>
            </w:r>
            <w:r w:rsidRPr="00027EFF">
              <w:rPr>
                <w:rFonts w:ascii="標楷體" w:hAnsi="標楷體"/>
                <w:kern w:val="0"/>
                <w:sz w:val="24"/>
                <w:szCs w:val="24"/>
              </w:rPr>
              <w:t>den</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1.064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1.064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1.062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Poland</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1.062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1.062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1.054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Hungary</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1.064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1.068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Denmark</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Germany</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1.054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bCs/>
                <w:kern w:val="0"/>
                <w:sz w:val="24"/>
                <w:szCs w:val="24"/>
              </w:rPr>
            </w:pPr>
            <w:r w:rsidRPr="00027EFF">
              <w:rPr>
                <w:rFonts w:ascii="標楷體" w:hAnsi="標楷體"/>
                <w:bCs/>
                <w:kern w:val="0"/>
                <w:sz w:val="24"/>
                <w:szCs w:val="24"/>
              </w:rPr>
              <w:t>Korea Rep</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1.091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1.101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1.087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1.083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1.031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1.059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Canada</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1.051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bCs/>
                <w:kern w:val="0"/>
                <w:sz w:val="24"/>
                <w:szCs w:val="24"/>
              </w:rPr>
            </w:pPr>
            <w:r w:rsidRPr="00027EFF">
              <w:rPr>
                <w:rFonts w:ascii="標楷體" w:hAnsi="標楷體"/>
                <w:bCs/>
                <w:kern w:val="0"/>
                <w:sz w:val="24"/>
                <w:szCs w:val="24"/>
              </w:rPr>
              <w:t>Japan</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1.055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1.057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1.059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bCs/>
                <w:kern w:val="0"/>
                <w:sz w:val="24"/>
                <w:szCs w:val="24"/>
              </w:rPr>
            </w:pPr>
            <w:r w:rsidRPr="00027EFF">
              <w:rPr>
                <w:rFonts w:ascii="標楷體" w:hAnsi="標楷體"/>
                <w:bCs/>
                <w:kern w:val="0"/>
                <w:sz w:val="24"/>
                <w:szCs w:val="24"/>
              </w:rPr>
              <w:t xml:space="preserve">1.058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Australia</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1.052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1.052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Norway</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1.052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Switzerland</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1.056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1.031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Belgium</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1.046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1.044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1.043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1.052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Netherlands</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1.056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United Kingdom</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1.054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1.052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France</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1.047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1.049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1.520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1.490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Austria</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1.051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Slovakia</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Mexico</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1.010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0.998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0.969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0.986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Chile</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1.038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1.048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1.042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1.039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Israel</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1.045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1.052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Turkey</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1.066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1.064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1.065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1.042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705"/>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lastRenderedPageBreak/>
              <w:t>United States of America</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1.047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1.048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New Zealand</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1.032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1.055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1.067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Finland</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1.044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1.038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1.042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r>
      <w:tr w:rsidR="00324325" w:rsidRPr="00027EFF" w:rsidTr="00751DD7">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324325" w:rsidRPr="00027EFF" w:rsidRDefault="00324325" w:rsidP="00751DD7">
            <w:pPr>
              <w:widowControl/>
              <w:rPr>
                <w:rFonts w:ascii="標楷體" w:hAnsi="標楷體"/>
                <w:kern w:val="0"/>
                <w:sz w:val="24"/>
                <w:szCs w:val="24"/>
              </w:rPr>
            </w:pPr>
            <w:r w:rsidRPr="00027EFF">
              <w:rPr>
                <w:rFonts w:ascii="標楷體" w:hAnsi="標楷體"/>
                <w:kern w:val="0"/>
                <w:sz w:val="24"/>
                <w:szCs w:val="24"/>
              </w:rPr>
              <w:t>Iceland</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1.043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1.030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c>
          <w:tcPr>
            <w:tcW w:w="824"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c>
          <w:tcPr>
            <w:tcW w:w="825" w:type="dxa"/>
            <w:tcBorders>
              <w:top w:val="nil"/>
              <w:left w:val="nil"/>
              <w:bottom w:val="single" w:sz="4" w:space="0" w:color="auto"/>
              <w:right w:val="single" w:sz="4" w:space="0" w:color="auto"/>
            </w:tcBorders>
            <w:shd w:val="clear" w:color="auto" w:fill="auto"/>
            <w:noWrap/>
            <w:vAlign w:val="center"/>
            <w:hideMark/>
          </w:tcPr>
          <w:p w:rsidR="00324325" w:rsidRPr="00027EFF" w:rsidRDefault="00324325" w:rsidP="00751DD7">
            <w:pPr>
              <w:widowControl/>
              <w:jc w:val="right"/>
              <w:rPr>
                <w:rFonts w:ascii="標楷體" w:hAnsi="標楷體"/>
                <w:kern w:val="0"/>
                <w:sz w:val="24"/>
                <w:szCs w:val="24"/>
              </w:rPr>
            </w:pPr>
            <w:r w:rsidRPr="00027EFF">
              <w:rPr>
                <w:rFonts w:ascii="標楷體" w:hAnsi="標楷體"/>
                <w:kern w:val="0"/>
                <w:sz w:val="24"/>
                <w:szCs w:val="24"/>
              </w:rPr>
              <w:t xml:space="preserve">1.040 </w:t>
            </w:r>
          </w:p>
        </w:tc>
      </w:tr>
    </w:tbl>
    <w:p w:rsidR="00324325" w:rsidRPr="00027EFF" w:rsidRDefault="00324325" w:rsidP="00324325">
      <w:pPr>
        <w:pStyle w:val="3"/>
        <w:numPr>
          <w:ilvl w:val="0"/>
          <w:numId w:val="0"/>
        </w:numPr>
        <w:spacing w:line="360" w:lineRule="exact"/>
        <w:ind w:leftChars="-125" w:left="4" w:hangingChars="165" w:hanging="429"/>
        <w:rPr>
          <w:rFonts w:hAnsi="標楷體"/>
          <w:sz w:val="24"/>
          <w:szCs w:val="24"/>
        </w:rPr>
      </w:pPr>
      <w:proofErr w:type="gramStart"/>
      <w:r w:rsidRPr="00027EFF">
        <w:rPr>
          <w:rFonts w:hAnsi="標楷體" w:hint="eastAsia"/>
          <w:sz w:val="24"/>
          <w:szCs w:val="24"/>
        </w:rPr>
        <w:t>註</w:t>
      </w:r>
      <w:proofErr w:type="gramEnd"/>
      <w:r w:rsidRPr="00027EFF">
        <w:rPr>
          <w:rFonts w:hAnsi="標楷體" w:hint="eastAsia"/>
          <w:sz w:val="24"/>
          <w:szCs w:val="24"/>
        </w:rPr>
        <w:t>：</w:t>
      </w:r>
      <w:r w:rsidRPr="00027EFF">
        <w:rPr>
          <w:rFonts w:hAnsi="標楷體"/>
          <w:sz w:val="24"/>
          <w:szCs w:val="24"/>
        </w:rPr>
        <w:t>OECD（The Organization For Economic Cooperation And Development）即</w:t>
      </w:r>
      <w:r w:rsidRPr="00027EFF">
        <w:rPr>
          <w:rFonts w:hAnsi="標楷體" w:hint="eastAsia"/>
          <w:sz w:val="24"/>
          <w:szCs w:val="24"/>
        </w:rPr>
        <w:t>「</w:t>
      </w:r>
      <w:r w:rsidRPr="00027EFF">
        <w:rPr>
          <w:rFonts w:hAnsi="標楷體"/>
          <w:sz w:val="24"/>
          <w:szCs w:val="24"/>
        </w:rPr>
        <w:t>經濟合作開發組織</w:t>
      </w:r>
      <w:r w:rsidRPr="00027EFF">
        <w:rPr>
          <w:rFonts w:hAnsi="標楷體" w:hint="eastAsia"/>
          <w:sz w:val="24"/>
          <w:szCs w:val="24"/>
        </w:rPr>
        <w:t>」</w:t>
      </w:r>
    </w:p>
    <w:p w:rsidR="00324325" w:rsidRPr="00027EFF" w:rsidRDefault="00324325" w:rsidP="00324325">
      <w:pPr>
        <w:pStyle w:val="3"/>
        <w:numPr>
          <w:ilvl w:val="0"/>
          <w:numId w:val="0"/>
        </w:numPr>
        <w:ind w:leftChars="-126" w:left="-4" w:hangingChars="125" w:hanging="425"/>
        <w:rPr>
          <w:rFonts w:hAnsi="標楷體"/>
        </w:rPr>
      </w:pPr>
      <w:r w:rsidRPr="00027EFF">
        <w:rPr>
          <w:rFonts w:hAnsi="標楷體"/>
        </w:rPr>
        <w:br w:type="page"/>
      </w:r>
      <w:r w:rsidRPr="00027EFF">
        <w:rPr>
          <w:rFonts w:hAnsi="標楷體" w:hint="eastAsia"/>
        </w:rPr>
        <w:lastRenderedPageBreak/>
        <w:t>附表2</w:t>
      </w:r>
    </w:p>
    <w:p w:rsidR="00324325" w:rsidRPr="00027EFF" w:rsidRDefault="00324325" w:rsidP="00324325">
      <w:pPr>
        <w:pStyle w:val="3"/>
        <w:numPr>
          <w:ilvl w:val="0"/>
          <w:numId w:val="0"/>
        </w:numPr>
        <w:ind w:leftChars="-126" w:left="-4" w:hangingChars="125" w:hanging="425"/>
        <w:rPr>
          <w:rFonts w:hAnsi="標楷體"/>
        </w:rPr>
      </w:pPr>
      <w:r w:rsidRPr="00027EFF">
        <w:rPr>
          <w:rFonts w:hAnsi="標楷體" w:hint="eastAsia"/>
        </w:rPr>
        <w:t>我國93年至100年1至4月各縣市男、女嬰兒出生性別比</w:t>
      </w:r>
    </w:p>
    <w:tbl>
      <w:tblPr>
        <w:tblW w:w="9215" w:type="dxa"/>
        <w:tblInd w:w="-256" w:type="dxa"/>
        <w:tblCellMar>
          <w:left w:w="28" w:type="dxa"/>
          <w:right w:w="28" w:type="dxa"/>
        </w:tblCellMar>
        <w:tblLook w:val="04A0" w:firstRow="1" w:lastRow="0" w:firstColumn="1" w:lastColumn="0" w:noHBand="0" w:noVBand="1"/>
      </w:tblPr>
      <w:tblGrid>
        <w:gridCol w:w="1263"/>
        <w:gridCol w:w="994"/>
        <w:gridCol w:w="994"/>
        <w:gridCol w:w="994"/>
        <w:gridCol w:w="994"/>
        <w:gridCol w:w="994"/>
        <w:gridCol w:w="994"/>
        <w:gridCol w:w="994"/>
        <w:gridCol w:w="994"/>
      </w:tblGrid>
      <w:tr w:rsidR="00324325" w:rsidRPr="00027EFF" w:rsidTr="00751DD7">
        <w:trPr>
          <w:trHeight w:val="330"/>
        </w:trPr>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hint="eastAsia"/>
                <w:kern w:val="0"/>
                <w:sz w:val="24"/>
                <w:szCs w:val="24"/>
              </w:rPr>
              <w:t>年度</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93</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94年</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95年</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96年</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97年</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98年</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99年</w:t>
            </w:r>
          </w:p>
        </w:tc>
        <w:tc>
          <w:tcPr>
            <w:tcW w:w="994" w:type="dxa"/>
            <w:tcBorders>
              <w:top w:val="single" w:sz="4" w:space="0" w:color="000000"/>
              <w:left w:val="nil"/>
              <w:bottom w:val="single" w:sz="4" w:space="0" w:color="000000"/>
              <w:right w:val="single" w:sz="4" w:space="0" w:color="000000"/>
            </w:tcBorders>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100年</w:t>
            </w:r>
          </w:p>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1至</w:t>
            </w:r>
            <w:r w:rsidRPr="00027EFF">
              <w:rPr>
                <w:rFonts w:ascii="標楷體" w:hAnsi="標楷體" w:hint="eastAsia"/>
                <w:kern w:val="0"/>
                <w:sz w:val="24"/>
                <w:szCs w:val="24"/>
              </w:rPr>
              <w:t>4</w:t>
            </w:r>
            <w:r w:rsidRPr="00027EFF">
              <w:rPr>
                <w:rFonts w:ascii="標楷體" w:hAnsi="標楷體"/>
                <w:kern w:val="0"/>
                <w:sz w:val="24"/>
                <w:szCs w:val="24"/>
              </w:rPr>
              <w:t>月</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總計</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1.091</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1.090</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1.084</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金門縣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1.029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1.025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0.983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1.538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0.987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0.988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1.144</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1.054</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屏東縣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1.143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1.063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1.123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1.119</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1.131</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花蓮縣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1.038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1.143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1.063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1.113</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1.231</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proofErr w:type="gramStart"/>
            <w:r w:rsidRPr="00027EFF">
              <w:rPr>
                <w:rFonts w:ascii="標楷體" w:hAnsi="標楷體"/>
                <w:kern w:val="0"/>
                <w:sz w:val="24"/>
                <w:szCs w:val="24"/>
              </w:rPr>
              <w:t>臺</w:t>
            </w:r>
            <w:proofErr w:type="gramEnd"/>
            <w:r w:rsidRPr="00027EFF">
              <w:rPr>
                <w:rFonts w:ascii="標楷體" w:hAnsi="標楷體"/>
                <w:kern w:val="0"/>
                <w:sz w:val="24"/>
                <w:szCs w:val="24"/>
              </w:rPr>
              <w:t>東縣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1.061</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1.044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1.184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1.111</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0.939</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嘉義市</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1.153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1.048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1.176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1.154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1.108</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1.061</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原高雄縣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1.063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1.108</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新竹市</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1.128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1.112</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1.043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1.081</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1.192</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1.107</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1.096</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彰化縣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1.125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1.123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1.132</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1.064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1.106</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1.068</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原</w:t>
            </w:r>
            <w:proofErr w:type="gramStart"/>
            <w:r w:rsidRPr="00027EFF">
              <w:rPr>
                <w:rFonts w:ascii="標楷體" w:hAnsi="標楷體"/>
                <w:kern w:val="0"/>
                <w:sz w:val="24"/>
                <w:szCs w:val="24"/>
              </w:rPr>
              <w:t>臺</w:t>
            </w:r>
            <w:proofErr w:type="gramEnd"/>
            <w:r w:rsidRPr="00027EFF">
              <w:rPr>
                <w:rFonts w:ascii="標楷體" w:hAnsi="標楷體"/>
                <w:kern w:val="0"/>
                <w:sz w:val="24"/>
                <w:szCs w:val="24"/>
              </w:rPr>
              <w:t>中市</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1.102</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1.105</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原</w:t>
            </w:r>
            <w:proofErr w:type="gramStart"/>
            <w:r w:rsidRPr="00027EFF">
              <w:rPr>
                <w:rFonts w:ascii="標楷體" w:hAnsi="標楷體"/>
                <w:kern w:val="0"/>
                <w:sz w:val="24"/>
                <w:szCs w:val="24"/>
              </w:rPr>
              <w:t>臺</w:t>
            </w:r>
            <w:proofErr w:type="gramEnd"/>
            <w:r w:rsidRPr="00027EFF">
              <w:rPr>
                <w:rFonts w:ascii="標楷體" w:hAnsi="標楷體"/>
                <w:kern w:val="0"/>
                <w:sz w:val="24"/>
                <w:szCs w:val="24"/>
              </w:rPr>
              <w:t>南縣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1.112</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1.102</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桃園縣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1.120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1.097</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1.070</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原</w:t>
            </w:r>
            <w:proofErr w:type="gramStart"/>
            <w:r w:rsidRPr="00027EFF">
              <w:rPr>
                <w:rFonts w:ascii="標楷體" w:hAnsi="標楷體"/>
                <w:kern w:val="0"/>
                <w:sz w:val="24"/>
                <w:szCs w:val="24"/>
              </w:rPr>
              <w:t>臺</w:t>
            </w:r>
            <w:proofErr w:type="gramEnd"/>
            <w:r w:rsidRPr="00027EFF">
              <w:rPr>
                <w:rFonts w:ascii="標楷體" w:hAnsi="標楷體"/>
                <w:kern w:val="0"/>
                <w:sz w:val="24"/>
                <w:szCs w:val="24"/>
              </w:rPr>
              <w:t>南市</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1.050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1.047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1.055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1.096</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臺北市</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1.123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1.072</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1.068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1.094</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1.075</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澎湖縣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1.048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0.972</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1.230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1.157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1.157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0.975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1.090</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1.014</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雲林縣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1.129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1.031</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1.084</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1.081</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嘉義縣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1.028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1.168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1.083</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1.164</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原</w:t>
            </w:r>
            <w:proofErr w:type="gramStart"/>
            <w:r w:rsidRPr="00027EFF">
              <w:rPr>
                <w:rFonts w:ascii="標楷體" w:hAnsi="標楷體"/>
                <w:kern w:val="0"/>
                <w:sz w:val="24"/>
                <w:szCs w:val="24"/>
              </w:rPr>
              <w:t>臺</w:t>
            </w:r>
            <w:proofErr w:type="gramEnd"/>
            <w:r w:rsidRPr="00027EFF">
              <w:rPr>
                <w:rFonts w:ascii="標楷體" w:hAnsi="標楷體"/>
                <w:kern w:val="0"/>
                <w:sz w:val="24"/>
                <w:szCs w:val="24"/>
              </w:rPr>
              <w:t>中縣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1.082</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1.082</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1.058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1.076</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原高雄市</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1.101</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1.128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1.056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1.076</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南投縣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1.068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1.032</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1.069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1.075</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1.099</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新北市</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1.111</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1.075</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1.095</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新竹縣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1.123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1.124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1.060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1.050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1.072</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0.904</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基隆市</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1.053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1.179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1.059</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1.063</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苗栗縣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1.171</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1.137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1.130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1.098</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1.077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1.058</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1.115</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proofErr w:type="gramStart"/>
            <w:r w:rsidRPr="00027EFF">
              <w:rPr>
                <w:rFonts w:ascii="標楷體" w:hAnsi="標楷體"/>
                <w:kern w:val="0"/>
                <w:sz w:val="24"/>
                <w:szCs w:val="24"/>
              </w:rPr>
              <w:t>臺</w:t>
            </w:r>
            <w:proofErr w:type="gramEnd"/>
            <w:r w:rsidRPr="00027EFF">
              <w:rPr>
                <w:rFonts w:ascii="標楷體" w:hAnsi="標楷體"/>
                <w:kern w:val="0"/>
                <w:sz w:val="24"/>
                <w:szCs w:val="24"/>
              </w:rPr>
              <w:t>中市</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1.047</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1.095</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proofErr w:type="gramStart"/>
            <w:r w:rsidRPr="00027EFF">
              <w:rPr>
                <w:rFonts w:ascii="標楷體" w:hAnsi="標楷體"/>
                <w:kern w:val="0"/>
                <w:sz w:val="24"/>
                <w:szCs w:val="24"/>
              </w:rPr>
              <w:t>臺</w:t>
            </w:r>
            <w:proofErr w:type="gramEnd"/>
            <w:r w:rsidRPr="00027EFF">
              <w:rPr>
                <w:rFonts w:ascii="標楷體" w:hAnsi="標楷體"/>
                <w:kern w:val="0"/>
                <w:sz w:val="24"/>
                <w:szCs w:val="24"/>
              </w:rPr>
              <w:t>南市</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1.045</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1.083</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宜蘭縣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1.090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1.047</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1.081</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1.089</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1.133</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1.042</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1.128</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連江縣</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1.000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1.375</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5.500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0.846</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1.400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1.100</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0.875</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4.000</w:t>
            </w:r>
          </w:p>
        </w:tc>
      </w:tr>
      <w:tr w:rsidR="00324325" w:rsidRPr="00027EFF" w:rsidTr="00751DD7">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324325" w:rsidRPr="00027EFF" w:rsidRDefault="00324325" w:rsidP="00751DD7">
            <w:pPr>
              <w:widowControl/>
              <w:jc w:val="center"/>
              <w:rPr>
                <w:rFonts w:ascii="標楷體" w:hAnsi="標楷體"/>
                <w:kern w:val="0"/>
                <w:sz w:val="24"/>
                <w:szCs w:val="24"/>
              </w:rPr>
            </w:pPr>
            <w:r w:rsidRPr="00027EFF">
              <w:rPr>
                <w:rFonts w:ascii="標楷體" w:hAnsi="標楷體"/>
                <w:kern w:val="0"/>
                <w:sz w:val="24"/>
                <w:szCs w:val="24"/>
              </w:rPr>
              <w:t>高雄市</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324325" w:rsidRPr="00027EFF" w:rsidRDefault="00324325" w:rsidP="00751DD7">
            <w:pPr>
              <w:jc w:val="right"/>
              <w:rPr>
                <w:rFonts w:ascii="標楷體" w:hAnsi="標楷體"/>
                <w:sz w:val="24"/>
                <w:szCs w:val="24"/>
              </w:rPr>
            </w:pPr>
            <w:r w:rsidRPr="00027EFF">
              <w:rPr>
                <w:rFonts w:ascii="標楷體" w:hAnsi="標楷體"/>
                <w:sz w:val="24"/>
                <w:szCs w:val="24"/>
              </w:rPr>
              <w:t>0.866</w:t>
            </w:r>
          </w:p>
        </w:tc>
        <w:tc>
          <w:tcPr>
            <w:tcW w:w="994" w:type="dxa"/>
            <w:tcBorders>
              <w:top w:val="nil"/>
              <w:left w:val="nil"/>
              <w:bottom w:val="single" w:sz="4" w:space="0" w:color="000000"/>
              <w:right w:val="single" w:sz="4" w:space="0" w:color="000000"/>
            </w:tcBorders>
          </w:tcPr>
          <w:p w:rsidR="00324325" w:rsidRPr="00027EFF" w:rsidRDefault="00324325" w:rsidP="00751DD7">
            <w:pPr>
              <w:jc w:val="right"/>
              <w:rPr>
                <w:rFonts w:ascii="標楷體" w:hAnsi="標楷體"/>
                <w:sz w:val="24"/>
                <w:szCs w:val="24"/>
              </w:rPr>
            </w:pPr>
            <w:r w:rsidRPr="00027EFF">
              <w:rPr>
                <w:rFonts w:ascii="標楷體" w:hAnsi="標楷體"/>
                <w:sz w:val="24"/>
                <w:szCs w:val="24"/>
              </w:rPr>
              <w:t>1.089</w:t>
            </w:r>
          </w:p>
        </w:tc>
      </w:tr>
    </w:tbl>
    <w:p w:rsidR="00200183" w:rsidRPr="00027EFF" w:rsidRDefault="00200183">
      <w:pPr>
        <w:jc w:val="distribute"/>
        <w:rPr>
          <w:rFonts w:ascii="標楷體" w:hAnsi="標楷體"/>
          <w:kern w:val="0"/>
        </w:rPr>
      </w:pPr>
    </w:p>
    <w:p w:rsidR="00D56E88" w:rsidRPr="00027EFF" w:rsidRDefault="00D56E88">
      <w:pPr>
        <w:jc w:val="distribute"/>
        <w:rPr>
          <w:rFonts w:ascii="標楷體" w:hAnsi="標楷體"/>
          <w:kern w:val="0"/>
        </w:rPr>
      </w:pPr>
    </w:p>
    <w:sectPr w:rsidR="00D56E88" w:rsidRPr="00027EFF">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EEE" w:rsidRDefault="00406EEE" w:rsidP="00B92D4F">
      <w:r>
        <w:separator/>
      </w:r>
    </w:p>
  </w:endnote>
  <w:endnote w:type="continuationSeparator" w:id="0">
    <w:p w:rsidR="00406EEE" w:rsidRDefault="00406EEE" w:rsidP="00B9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4F" w:rsidRDefault="00B92D4F">
    <w:pPr>
      <w:framePr w:wrap="around" w:vAnchor="text" w:hAnchor="margin" w:xAlign="center" w:y="1"/>
      <w:ind w:left="640" w:firstLine="400"/>
      <w:textDirection w:val="btLr"/>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B92D4F" w:rsidRDefault="00B92D4F">
    <w:pPr>
      <w:ind w:left="768" w:right="360" w:hanging="4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D4F" w:rsidRDefault="00B92D4F">
    <w:pPr>
      <w:pStyle w:val="a9"/>
      <w:framePr w:wrap="around" w:vAnchor="text" w:hAnchor="margin" w:xAlign="center" w:y="1"/>
      <w:rPr>
        <w:rStyle w:val="a6"/>
        <w:sz w:val="24"/>
      </w:rPr>
    </w:pPr>
    <w:r>
      <w:rPr>
        <w:rStyle w:val="a6"/>
        <w:sz w:val="24"/>
      </w:rPr>
      <w:fldChar w:fldCharType="begin"/>
    </w:r>
    <w:r>
      <w:rPr>
        <w:rStyle w:val="a6"/>
        <w:sz w:val="24"/>
      </w:rPr>
      <w:instrText xml:space="preserve">PAGE  </w:instrText>
    </w:r>
    <w:r>
      <w:rPr>
        <w:rStyle w:val="a6"/>
        <w:sz w:val="24"/>
      </w:rPr>
      <w:fldChar w:fldCharType="separate"/>
    </w:r>
    <w:r w:rsidR="00D56E88">
      <w:rPr>
        <w:rStyle w:val="a6"/>
        <w:noProof/>
        <w:sz w:val="24"/>
      </w:rPr>
      <w:t>1</w:t>
    </w:r>
    <w:r>
      <w:rPr>
        <w:rStyle w:val="a6"/>
        <w:sz w:val="24"/>
      </w:rPr>
      <w:fldChar w:fldCharType="end"/>
    </w:r>
  </w:p>
  <w:p w:rsidR="00B92D4F" w:rsidRDefault="00B92D4F">
    <w:pPr>
      <w:ind w:left="640" w:right="360" w:firstLine="4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EEE" w:rsidRDefault="00406EEE" w:rsidP="00B92D4F">
      <w:r>
        <w:separator/>
      </w:r>
    </w:p>
  </w:footnote>
  <w:footnote w:type="continuationSeparator" w:id="0">
    <w:p w:rsidR="00406EEE" w:rsidRDefault="00406EEE" w:rsidP="00B9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84BAE"/>
    <w:multiLevelType w:val="multilevel"/>
    <w:tmpl w:val="5978A97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lvlText w:val="%2、"/>
      <w:lvlJc w:val="left"/>
      <w:pPr>
        <w:ind w:left="1045" w:hanging="697"/>
      </w:pPr>
      <w:rPr>
        <w:rFonts w:hint="eastAsia"/>
        <w:b w:val="0"/>
        <w:i w:val="0"/>
        <w:snapToGrid/>
        <w:spacing w:val="0"/>
        <w:w w:val="100"/>
        <w:position w:val="0"/>
        <w:sz w:val="32"/>
        <w:em w:val="none"/>
        <w:lang w:val="en-US"/>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15:restartNumberingAfterBreak="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0E4A8A04">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63F4EB22" w:tentative="1">
      <w:start w:val="1"/>
      <w:numFmt w:val="ideographTraditional"/>
      <w:lvlText w:val="%2、"/>
      <w:lvlJc w:val="left"/>
      <w:pPr>
        <w:tabs>
          <w:tab w:val="num" w:pos="960"/>
        </w:tabs>
        <w:ind w:left="960" w:hanging="480"/>
      </w:pPr>
    </w:lvl>
    <w:lvl w:ilvl="2" w:tplc="279CD1A8" w:tentative="1">
      <w:start w:val="1"/>
      <w:numFmt w:val="lowerRoman"/>
      <w:lvlText w:val="%3."/>
      <w:lvlJc w:val="right"/>
      <w:pPr>
        <w:tabs>
          <w:tab w:val="num" w:pos="1440"/>
        </w:tabs>
        <w:ind w:left="1440" w:hanging="480"/>
      </w:pPr>
    </w:lvl>
    <w:lvl w:ilvl="3" w:tplc="A3FC6C56" w:tentative="1">
      <w:start w:val="1"/>
      <w:numFmt w:val="decimal"/>
      <w:lvlText w:val="%4."/>
      <w:lvlJc w:val="left"/>
      <w:pPr>
        <w:tabs>
          <w:tab w:val="num" w:pos="1920"/>
        </w:tabs>
        <w:ind w:left="1920" w:hanging="480"/>
      </w:pPr>
    </w:lvl>
    <w:lvl w:ilvl="4" w:tplc="91BEC784" w:tentative="1">
      <w:start w:val="1"/>
      <w:numFmt w:val="ideographTraditional"/>
      <w:lvlText w:val="%5、"/>
      <w:lvlJc w:val="left"/>
      <w:pPr>
        <w:tabs>
          <w:tab w:val="num" w:pos="2400"/>
        </w:tabs>
        <w:ind w:left="2400" w:hanging="480"/>
      </w:pPr>
    </w:lvl>
    <w:lvl w:ilvl="5" w:tplc="8E444B62" w:tentative="1">
      <w:start w:val="1"/>
      <w:numFmt w:val="lowerRoman"/>
      <w:lvlText w:val="%6."/>
      <w:lvlJc w:val="right"/>
      <w:pPr>
        <w:tabs>
          <w:tab w:val="num" w:pos="2880"/>
        </w:tabs>
        <w:ind w:left="2880" w:hanging="480"/>
      </w:pPr>
    </w:lvl>
    <w:lvl w:ilvl="6" w:tplc="41ACF1D2" w:tentative="1">
      <w:start w:val="1"/>
      <w:numFmt w:val="decimal"/>
      <w:lvlText w:val="%7."/>
      <w:lvlJc w:val="left"/>
      <w:pPr>
        <w:tabs>
          <w:tab w:val="num" w:pos="3360"/>
        </w:tabs>
        <w:ind w:left="3360" w:hanging="480"/>
      </w:pPr>
    </w:lvl>
    <w:lvl w:ilvl="7" w:tplc="AF668DD2" w:tentative="1">
      <w:start w:val="1"/>
      <w:numFmt w:val="ideographTraditional"/>
      <w:lvlText w:val="%8、"/>
      <w:lvlJc w:val="left"/>
      <w:pPr>
        <w:tabs>
          <w:tab w:val="num" w:pos="3840"/>
        </w:tabs>
        <w:ind w:left="3840" w:hanging="480"/>
      </w:pPr>
    </w:lvl>
    <w:lvl w:ilvl="8" w:tplc="3FC6DF7A"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13"/>
    <w:rsid w:val="000279E3"/>
    <w:rsid w:val="00027EFF"/>
    <w:rsid w:val="000D0FA8"/>
    <w:rsid w:val="001102CB"/>
    <w:rsid w:val="001D17E6"/>
    <w:rsid w:val="00200183"/>
    <w:rsid w:val="002749FE"/>
    <w:rsid w:val="0028008A"/>
    <w:rsid w:val="002B219F"/>
    <w:rsid w:val="002F049E"/>
    <w:rsid w:val="00324325"/>
    <w:rsid w:val="00330861"/>
    <w:rsid w:val="00406EEE"/>
    <w:rsid w:val="004663D3"/>
    <w:rsid w:val="004A724F"/>
    <w:rsid w:val="004C1EF8"/>
    <w:rsid w:val="00583A13"/>
    <w:rsid w:val="00607FFB"/>
    <w:rsid w:val="006457CB"/>
    <w:rsid w:val="00685A8F"/>
    <w:rsid w:val="006B6017"/>
    <w:rsid w:val="007514C7"/>
    <w:rsid w:val="00751DD7"/>
    <w:rsid w:val="00805663"/>
    <w:rsid w:val="0085483E"/>
    <w:rsid w:val="00911FE7"/>
    <w:rsid w:val="00936AC0"/>
    <w:rsid w:val="00956A82"/>
    <w:rsid w:val="00965B4D"/>
    <w:rsid w:val="00A26472"/>
    <w:rsid w:val="00A52DAD"/>
    <w:rsid w:val="00AC37B7"/>
    <w:rsid w:val="00B92D4F"/>
    <w:rsid w:val="00BA6023"/>
    <w:rsid w:val="00D0698E"/>
    <w:rsid w:val="00D35E41"/>
    <w:rsid w:val="00D46FB4"/>
    <w:rsid w:val="00D56E88"/>
    <w:rsid w:val="00D87A6C"/>
    <w:rsid w:val="00E07682"/>
    <w:rsid w:val="00E146C5"/>
    <w:rsid w:val="00E50A65"/>
    <w:rsid w:val="00E93FD0"/>
    <w:rsid w:val="00F24234"/>
    <w:rsid w:val="00F3710D"/>
    <w:rsid w:val="00F74218"/>
    <w:rsid w:val="00F96964"/>
    <w:rsid w:val="00FB43D4"/>
    <w:rsid w:val="00FD5BBF"/>
    <w:rsid w:val="00FE31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57D5C3-CF86-4443-BA5B-EFFAD4AE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rFonts w:eastAsia="標楷體"/>
      <w:kern w:val="2"/>
      <w:sz w:val="32"/>
    </w:rPr>
  </w:style>
  <w:style w:type="paragraph" w:styleId="1">
    <w:name w:val="heading 1"/>
    <w:aliases w:val="題號1"/>
    <w:basedOn w:val="a0"/>
    <w:qFormat/>
    <w:pPr>
      <w:numPr>
        <w:numId w:val="1"/>
      </w:numPr>
      <w:kinsoku w:val="0"/>
      <w:ind w:left="800" w:hangingChars="800" w:hanging="800"/>
      <w:jc w:val="both"/>
      <w:outlineLvl w:val="0"/>
    </w:pPr>
    <w:rPr>
      <w:rFonts w:ascii="標楷體" w:hAnsi="Arial"/>
      <w:bCs/>
      <w:kern w:val="0"/>
      <w:szCs w:val="52"/>
    </w:rPr>
  </w:style>
  <w:style w:type="paragraph" w:styleId="2">
    <w:name w:val="heading 2"/>
    <w:aliases w:val="標題110/111,節,節1"/>
    <w:basedOn w:val="a0"/>
    <w:qFormat/>
    <w:pPr>
      <w:numPr>
        <w:ilvl w:val="1"/>
        <w:numId w:val="1"/>
      </w:numPr>
      <w:jc w:val="both"/>
      <w:outlineLvl w:val="1"/>
    </w:pPr>
    <w:rPr>
      <w:rFonts w:ascii="標楷體" w:hAnsi="Arial"/>
      <w:bCs/>
      <w:kern w:val="0"/>
      <w:szCs w:val="48"/>
    </w:rPr>
  </w:style>
  <w:style w:type="paragraph" w:styleId="3">
    <w:name w:val="heading 3"/>
    <w:basedOn w:val="a0"/>
    <w:qFormat/>
    <w:pPr>
      <w:numPr>
        <w:ilvl w:val="2"/>
        <w:numId w:val="1"/>
      </w:numPr>
      <w:jc w:val="both"/>
      <w:outlineLvl w:val="2"/>
    </w:pPr>
    <w:rPr>
      <w:rFonts w:ascii="標楷體" w:hAnsi="Arial"/>
      <w:bCs/>
      <w:kern w:val="0"/>
      <w:szCs w:val="36"/>
    </w:rPr>
  </w:style>
  <w:style w:type="paragraph" w:styleId="4">
    <w:name w:val="heading 4"/>
    <w:aliases w:val="表格"/>
    <w:basedOn w:val="a0"/>
    <w:link w:val="40"/>
    <w:qFormat/>
    <w:pPr>
      <w:numPr>
        <w:ilvl w:val="3"/>
        <w:numId w:val="1"/>
      </w:numPr>
      <w:jc w:val="both"/>
      <w:outlineLvl w:val="3"/>
    </w:pPr>
    <w:rPr>
      <w:rFonts w:ascii="標楷體" w:hAnsi="Arial"/>
      <w:szCs w:val="36"/>
    </w:rPr>
  </w:style>
  <w:style w:type="paragraph" w:styleId="5">
    <w:name w:val="heading 5"/>
    <w:basedOn w:val="a0"/>
    <w:qFormat/>
    <w:pPr>
      <w:numPr>
        <w:ilvl w:val="4"/>
        <w:numId w:val="1"/>
      </w:numPr>
      <w:jc w:val="both"/>
      <w:outlineLvl w:val="4"/>
    </w:pPr>
    <w:rPr>
      <w:rFonts w:ascii="標楷體" w:hAnsi="Arial"/>
      <w:bCs/>
      <w:szCs w:val="36"/>
    </w:rPr>
  </w:style>
  <w:style w:type="paragraph" w:styleId="6">
    <w:name w:val="heading 6"/>
    <w:basedOn w:val="a0"/>
    <w:qFormat/>
    <w:pPr>
      <w:numPr>
        <w:ilvl w:val="5"/>
        <w:numId w:val="1"/>
      </w:numPr>
      <w:tabs>
        <w:tab w:val="left" w:pos="2094"/>
      </w:tabs>
      <w:jc w:val="both"/>
      <w:outlineLvl w:val="5"/>
    </w:pPr>
    <w:rPr>
      <w:rFonts w:ascii="標楷體" w:hAnsi="Arial"/>
      <w:szCs w:val="36"/>
    </w:rPr>
  </w:style>
  <w:style w:type="paragraph" w:styleId="7">
    <w:name w:val="heading 7"/>
    <w:basedOn w:val="a0"/>
    <w:qFormat/>
    <w:pPr>
      <w:numPr>
        <w:ilvl w:val="6"/>
        <w:numId w:val="1"/>
      </w:numPr>
      <w:jc w:val="both"/>
      <w:outlineLvl w:val="6"/>
    </w:pPr>
    <w:rPr>
      <w:rFonts w:ascii="標楷體" w:hAnsi="Arial"/>
      <w:bCs/>
      <w:szCs w:val="36"/>
    </w:rPr>
  </w:style>
  <w:style w:type="paragraph" w:styleId="8">
    <w:name w:val="heading 8"/>
    <w:basedOn w:val="a0"/>
    <w:qFormat/>
    <w:pPr>
      <w:numPr>
        <w:ilvl w:val="7"/>
        <w:numId w:val="1"/>
      </w:numPr>
      <w:jc w:val="both"/>
      <w:outlineLvl w:val="7"/>
    </w:pPr>
    <w:rPr>
      <w:rFonts w:ascii="標楷體" w:hAnsi="Arial"/>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0"/>
    <w:pPr>
      <w:tabs>
        <w:tab w:val="left" w:pos="567"/>
      </w:tabs>
      <w:ind w:leftChars="300" w:left="300" w:firstLineChars="200" w:firstLine="200"/>
      <w:jc w:val="both"/>
    </w:pPr>
    <w:rPr>
      <w:rFonts w:ascii="標楷體"/>
      <w:kern w:val="0"/>
    </w:rPr>
  </w:style>
  <w:style w:type="paragraph" w:customStyle="1" w:styleId="41">
    <w:name w:val="段落樣式4"/>
    <w:basedOn w:val="30"/>
    <w:pPr>
      <w:ind w:leftChars="500" w:left="500"/>
    </w:pPr>
  </w:style>
  <w:style w:type="paragraph" w:customStyle="1" w:styleId="50">
    <w:name w:val="段落樣式5"/>
    <w:basedOn w:val="41"/>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4">
    <w:name w:val="Signature"/>
    <w:basedOn w:val="a0"/>
    <w:semiHidden/>
    <w:pPr>
      <w:spacing w:before="720" w:after="720"/>
      <w:ind w:left="7371"/>
    </w:pPr>
    <w:rPr>
      <w:rFonts w:ascii="標楷體"/>
      <w:b/>
      <w:snapToGrid w:val="0"/>
      <w:spacing w:val="10"/>
      <w:sz w:val="36"/>
    </w:rPr>
  </w:style>
  <w:style w:type="paragraph" w:styleId="a5">
    <w:name w:val="endnote text"/>
    <w:basedOn w:val="a0"/>
    <w:semiHidden/>
    <w:pPr>
      <w:spacing w:before="240"/>
      <w:ind w:left="1021" w:hanging="1021"/>
      <w:jc w:val="both"/>
    </w:pPr>
    <w:rPr>
      <w:rFonts w:ascii="標楷體"/>
      <w:snapToGrid w:val="0"/>
      <w:spacing w:val="10"/>
    </w:rPr>
  </w:style>
  <w:style w:type="character" w:styleId="a6">
    <w:name w:val="page number"/>
    <w:basedOn w:val="a1"/>
    <w:semiHidden/>
    <w:rPr>
      <w:rFonts w:ascii="標楷體" w:eastAsia="標楷體"/>
      <w:sz w:val="20"/>
    </w:rPr>
  </w:style>
  <w:style w:type="paragraph" w:styleId="10">
    <w:name w:val="toc 1"/>
    <w:basedOn w:val="a0"/>
    <w:next w:val="a0"/>
    <w:semiHidden/>
    <w:pPr>
      <w:ind w:left="200" w:hangingChars="200" w:hanging="200"/>
      <w:jc w:val="both"/>
    </w:pPr>
    <w:rPr>
      <w:rFonts w:ascii="標楷體"/>
    </w:rPr>
  </w:style>
  <w:style w:type="paragraph" w:styleId="21">
    <w:name w:val="toc 2"/>
    <w:basedOn w:val="a0"/>
    <w:next w:val="a0"/>
    <w:autoRedefine/>
    <w:semiHidden/>
    <w:pPr>
      <w:ind w:leftChars="100" w:left="300" w:hangingChars="200" w:hanging="200"/>
      <w:jc w:val="both"/>
    </w:pPr>
    <w:rPr>
      <w:rFonts w:ascii="標楷體"/>
    </w:rPr>
  </w:style>
  <w:style w:type="paragraph" w:styleId="31">
    <w:name w:val="toc 3"/>
    <w:basedOn w:val="a0"/>
    <w:next w:val="a0"/>
    <w:semiHidden/>
    <w:pPr>
      <w:ind w:leftChars="200" w:left="400" w:hangingChars="200" w:hanging="200"/>
      <w:jc w:val="both"/>
    </w:pPr>
    <w:rPr>
      <w:rFonts w:ascii="標楷體"/>
      <w:noProof/>
    </w:rPr>
  </w:style>
  <w:style w:type="paragraph" w:styleId="42">
    <w:name w:val="toc 4"/>
    <w:basedOn w:val="a0"/>
    <w:next w:val="a0"/>
    <w:semiHidden/>
    <w:pPr>
      <w:kinsoku w:val="0"/>
      <w:ind w:leftChars="300" w:left="500" w:hangingChars="200" w:hanging="200"/>
      <w:jc w:val="both"/>
    </w:pPr>
    <w:rPr>
      <w:rFonts w:ascii="標楷體"/>
    </w:rPr>
  </w:style>
  <w:style w:type="paragraph" w:styleId="51">
    <w:name w:val="toc 5"/>
    <w:basedOn w:val="a0"/>
    <w:next w:val="a0"/>
    <w:autoRedefine/>
    <w:semiHidden/>
    <w:pPr>
      <w:kinsoku w:val="0"/>
      <w:ind w:leftChars="400" w:left="600" w:hangingChars="200" w:hanging="200"/>
      <w:jc w:val="both"/>
    </w:pPr>
    <w:rPr>
      <w:rFonts w:ascii="標楷體"/>
    </w:rPr>
  </w:style>
  <w:style w:type="paragraph" w:styleId="61">
    <w:name w:val="toc 6"/>
    <w:basedOn w:val="a0"/>
    <w:next w:val="a0"/>
    <w:autoRedefine/>
    <w:semiHidden/>
    <w:pPr>
      <w:ind w:leftChars="500" w:left="700" w:hangingChars="200" w:hanging="200"/>
    </w:pPr>
    <w:rPr>
      <w:rFonts w:ascii="標楷體"/>
    </w:rPr>
  </w:style>
  <w:style w:type="paragraph" w:styleId="71">
    <w:name w:val="toc 7"/>
    <w:basedOn w:val="a0"/>
    <w:next w:val="a0"/>
    <w:autoRedefine/>
    <w:semiHidden/>
    <w:pPr>
      <w:ind w:leftChars="600" w:left="700" w:hangingChars="100" w:hanging="100"/>
    </w:pPr>
    <w:rPr>
      <w:rFonts w:ascii="標楷體"/>
    </w:rPr>
  </w:style>
  <w:style w:type="paragraph" w:styleId="81">
    <w:name w:val="toc 8"/>
    <w:basedOn w:val="a0"/>
    <w:next w:val="a0"/>
    <w:autoRedefine/>
    <w:semiHidden/>
    <w:pPr>
      <w:ind w:leftChars="700" w:left="2792" w:hangingChars="100" w:hanging="349"/>
    </w:pPr>
    <w:rPr>
      <w:rFonts w:ascii="標楷體"/>
    </w:rPr>
  </w:style>
  <w:style w:type="paragraph" w:styleId="9">
    <w:name w:val="toc 9"/>
    <w:basedOn w:val="a0"/>
    <w:next w:val="a0"/>
    <w:autoRedefine/>
    <w:semiHidden/>
    <w:pPr>
      <w:ind w:leftChars="1600" w:left="3840"/>
    </w:pPr>
  </w:style>
  <w:style w:type="character" w:styleId="a7">
    <w:name w:val="Hyperlink"/>
    <w:basedOn w:val="a1"/>
    <w:semiHidden/>
    <w:rPr>
      <w:color w:val="0000FF"/>
      <w:u w:val="single"/>
    </w:rPr>
  </w:style>
  <w:style w:type="paragraph" w:customStyle="1" w:styleId="11">
    <w:name w:val="段落樣式1"/>
    <w:basedOn w:val="a0"/>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8">
    <w:name w:val="header"/>
    <w:basedOn w:val="a0"/>
    <w:semiHidden/>
    <w:pPr>
      <w:tabs>
        <w:tab w:val="center" w:pos="4153"/>
        <w:tab w:val="right" w:pos="8306"/>
      </w:tabs>
      <w:snapToGrid w:val="0"/>
    </w:pPr>
    <w:rPr>
      <w:sz w:val="20"/>
    </w:rPr>
  </w:style>
  <w:style w:type="paragraph" w:styleId="a9">
    <w:name w:val="footer"/>
    <w:basedOn w:val="a0"/>
    <w:semiHidden/>
    <w:pPr>
      <w:tabs>
        <w:tab w:val="center" w:pos="4153"/>
        <w:tab w:val="right" w:pos="8306"/>
      </w:tabs>
      <w:snapToGrid w:val="0"/>
    </w:pPr>
    <w:rPr>
      <w:sz w:val="20"/>
    </w:rPr>
  </w:style>
  <w:style w:type="paragraph" w:customStyle="1" w:styleId="aa">
    <w:name w:val="簽名日期"/>
    <w:basedOn w:val="a0"/>
    <w:pPr>
      <w:kinsoku w:val="0"/>
      <w:jc w:val="distribute"/>
    </w:pPr>
    <w:rPr>
      <w:kern w:val="0"/>
    </w:rPr>
  </w:style>
  <w:style w:type="paragraph" w:customStyle="1" w:styleId="a">
    <w:name w:val="表樣式"/>
    <w:basedOn w:val="a0"/>
    <w:next w:val="a0"/>
    <w:rsid w:val="00FD5BBF"/>
    <w:pPr>
      <w:numPr>
        <w:numId w:val="2"/>
      </w:numPr>
      <w:jc w:val="both"/>
    </w:pPr>
    <w:rPr>
      <w:rFonts w:ascii="標楷體"/>
      <w:kern w:val="0"/>
    </w:rPr>
  </w:style>
  <w:style w:type="paragraph" w:customStyle="1" w:styleId="90">
    <w:name w:val="標題9"/>
    <w:basedOn w:val="a0"/>
    <w:rsid w:val="00330861"/>
    <w:pPr>
      <w:tabs>
        <w:tab w:val="num" w:pos="6195"/>
      </w:tabs>
      <w:ind w:left="5015" w:hanging="1700"/>
    </w:pPr>
  </w:style>
  <w:style w:type="character" w:customStyle="1" w:styleId="40">
    <w:name w:val="標題 4 字元"/>
    <w:aliases w:val="表格 字元"/>
    <w:basedOn w:val="a1"/>
    <w:link w:val="4"/>
    <w:rsid w:val="001D17E6"/>
    <w:rPr>
      <w:rFonts w:ascii="標楷體" w:eastAsia="標楷體" w:hAnsi="Arial"/>
      <w:kern w:val="2"/>
      <w:sz w:val="32"/>
      <w:szCs w:val="36"/>
    </w:rPr>
  </w:style>
  <w:style w:type="paragraph" w:customStyle="1" w:styleId="ab">
    <w:name w:val="圖樣式"/>
    <w:basedOn w:val="a0"/>
    <w:next w:val="a0"/>
    <w:rsid w:val="001D17E6"/>
    <w:pPr>
      <w:ind w:left="400" w:hangingChars="400" w:hanging="400"/>
      <w:jc w:val="both"/>
    </w:pPr>
    <w:rPr>
      <w:rFonts w:asci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lin\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833ADAF-B81C-47ED-97DB-FC4FC031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3</TotalTime>
  <Pages>12</Pages>
  <Words>1501</Words>
  <Characters>8561</Characters>
  <Application>Microsoft Office Word</Application>
  <DocSecurity>0</DocSecurity>
  <Lines>71</Lines>
  <Paragraphs>20</Paragraphs>
  <ScaleCrop>false</ScaleCrop>
  <Company>cy</Company>
  <LinksUpToDate>false</LinksUpToDate>
  <CharactersWithSpaces>10042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周慶安</cp:lastModifiedBy>
  <cp:revision>4</cp:revision>
  <cp:lastPrinted>2011-11-28T08:46:00Z</cp:lastPrinted>
  <dcterms:created xsi:type="dcterms:W3CDTF">2016-12-15T01:10:00Z</dcterms:created>
  <dcterms:modified xsi:type="dcterms:W3CDTF">2016-12-15T01:16:00Z</dcterms:modified>
</cp:coreProperties>
</file>