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D33C79" w:rsidRDefault="00B05BB2" w:rsidP="001E54FF">
      <w:pPr>
        <w:pStyle w:val="a6"/>
        <w:kinsoku w:val="0"/>
        <w:overflowPunct w:val="0"/>
        <w:spacing w:before="0"/>
        <w:ind w:leftChars="833" w:left="2833" w:firstLine="0"/>
        <w:rPr>
          <w:b/>
          <w:bCs/>
          <w:snapToGrid/>
          <w:spacing w:val="200"/>
          <w:kern w:val="0"/>
          <w:sz w:val="40"/>
        </w:rPr>
      </w:pPr>
      <w:r w:rsidRPr="00D33C79">
        <w:rPr>
          <w:rFonts w:hint="eastAsia"/>
          <w:b/>
          <w:bCs/>
          <w:snapToGrid/>
          <w:spacing w:val="200"/>
          <w:kern w:val="0"/>
          <w:sz w:val="40"/>
        </w:rPr>
        <w:t>調查</w:t>
      </w:r>
      <w:r w:rsidR="00AF33B7" w:rsidRPr="00D33C79">
        <w:rPr>
          <w:rFonts w:hint="eastAsia"/>
          <w:b/>
          <w:bCs/>
          <w:snapToGrid/>
          <w:spacing w:val="200"/>
          <w:kern w:val="0"/>
          <w:sz w:val="40"/>
        </w:rPr>
        <w:t>報告</w:t>
      </w:r>
    </w:p>
    <w:p w:rsidR="001463DD" w:rsidRPr="00D33C79" w:rsidRDefault="00AF33B7" w:rsidP="001E54FF">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D33C79">
        <w:rPr>
          <w:rFonts w:hint="eastAsia"/>
        </w:rPr>
        <w:t>案　　由：</w:t>
      </w:r>
      <w:bookmarkEnd w:id="0"/>
      <w:bookmarkEnd w:id="1"/>
      <w:bookmarkEnd w:id="2"/>
      <w:bookmarkEnd w:id="3"/>
      <w:bookmarkEnd w:id="4"/>
      <w:bookmarkEnd w:id="5"/>
      <w:bookmarkEnd w:id="6"/>
      <w:bookmarkEnd w:id="7"/>
      <w:bookmarkEnd w:id="8"/>
      <w:bookmarkEnd w:id="9"/>
      <w:r w:rsidRPr="00D33C79">
        <w:rPr>
          <w:szCs w:val="32"/>
        </w:rPr>
        <w:fldChar w:fldCharType="begin"/>
      </w:r>
      <w:r w:rsidRPr="00D33C79">
        <w:rPr>
          <w:szCs w:val="32"/>
        </w:rPr>
        <w:instrText xml:space="preserve"> MERGEFIELD </w:instrText>
      </w:r>
      <w:r w:rsidRPr="00D33C79">
        <w:rPr>
          <w:rFonts w:hint="eastAsia"/>
          <w:szCs w:val="32"/>
        </w:rPr>
        <w:instrText>案由</w:instrText>
      </w:r>
      <w:r w:rsidRPr="00D33C79">
        <w:rPr>
          <w:szCs w:val="32"/>
        </w:rPr>
        <w:instrText xml:space="preserve"> </w:instrText>
      </w:r>
      <w:r w:rsidRPr="00D33C79">
        <w:rPr>
          <w:szCs w:val="32"/>
        </w:rPr>
        <w:fldChar w:fldCharType="separate"/>
      </w:r>
      <w:r w:rsidR="00ED7BC8" w:rsidRPr="00D33C79">
        <w:rPr>
          <w:rFonts w:hint="eastAsia"/>
          <w:noProof/>
          <w:szCs w:val="32"/>
        </w:rPr>
        <w:t>據審計部111年度中央政府總決算審核報告，臺灣港務股份有限公司推動疫後郵輪旅運發展，惟耗費鉅資完工之基隆港及高雄港旅運設施招商情形未如預期，且高雄港郵輪預報到港情形未盡理想，為免旅運設施閒置，允宜積極檢討改善等情案</w:t>
      </w:r>
      <w:r w:rsidR="00A27D27" w:rsidRPr="00D33C79">
        <w:rPr>
          <w:rFonts w:hint="eastAsia"/>
          <w:noProof/>
          <w:szCs w:val="32"/>
        </w:rPr>
        <w:t>。</w:t>
      </w:r>
      <w:r w:rsidRPr="00D33C79">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D33C79" w:rsidRDefault="00322781" w:rsidP="001E54FF">
      <w:pPr>
        <w:pStyle w:val="1"/>
        <w:overflowPunct w:val="0"/>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D33C79">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463DD" w:rsidRPr="00D33C79" w:rsidRDefault="00165120" w:rsidP="001E54FF">
      <w:pPr>
        <w:pStyle w:val="10"/>
        <w:overflowPunct w:val="0"/>
        <w:ind w:left="680" w:firstLine="680"/>
        <w:rPr>
          <w:bCs/>
        </w:rPr>
      </w:pPr>
      <w:bookmarkStart w:id="45" w:name="_Toc524902730"/>
      <w:r w:rsidRPr="00D33C79">
        <w:rPr>
          <w:rFonts w:hint="eastAsia"/>
          <w:bCs/>
        </w:rPr>
        <w:t>本</w:t>
      </w:r>
      <w:proofErr w:type="gramStart"/>
      <w:r w:rsidRPr="00D33C79">
        <w:rPr>
          <w:rFonts w:hint="eastAsia"/>
          <w:bCs/>
        </w:rPr>
        <w:t>案</w:t>
      </w:r>
      <w:r w:rsidR="00007A9C" w:rsidRPr="00D33C79">
        <w:rPr>
          <w:rFonts w:hint="eastAsia"/>
          <w:bCs/>
        </w:rPr>
        <w:t>係據審計</w:t>
      </w:r>
      <w:proofErr w:type="gramEnd"/>
      <w:r w:rsidR="00007A9C" w:rsidRPr="00D33C79">
        <w:rPr>
          <w:rFonts w:hint="eastAsia"/>
          <w:bCs/>
        </w:rPr>
        <w:t>部民國（下同）</w:t>
      </w:r>
      <w:proofErr w:type="gramStart"/>
      <w:r w:rsidR="00007A9C" w:rsidRPr="00D33C79">
        <w:rPr>
          <w:rFonts w:hint="eastAsia"/>
          <w:bCs/>
        </w:rPr>
        <w:t>11</w:t>
      </w:r>
      <w:proofErr w:type="gramEnd"/>
      <w:r w:rsidR="00007A9C" w:rsidRPr="00D33C79">
        <w:rPr>
          <w:rFonts w:hint="eastAsia"/>
          <w:bCs/>
        </w:rPr>
        <w:t>1年度中央政府總決算審核報告，臺灣港務股份有限公司（下稱港務公司）推動疫後郵輪旅運發展，惟耗費鉅資完工之基隆港及高雄港旅運設施招商情形未如預期，且高雄港郵輪預報到港情形未盡理想，</w:t>
      </w:r>
      <w:proofErr w:type="gramStart"/>
      <w:r w:rsidR="00007A9C" w:rsidRPr="00D33C79">
        <w:rPr>
          <w:rFonts w:hint="eastAsia"/>
          <w:bCs/>
        </w:rPr>
        <w:t>為免旅</w:t>
      </w:r>
      <w:proofErr w:type="gramEnd"/>
      <w:r w:rsidR="00007A9C" w:rsidRPr="00D33C79">
        <w:rPr>
          <w:rFonts w:hint="eastAsia"/>
          <w:bCs/>
        </w:rPr>
        <w:t>運設施閒置，允宜積極檢討改善</w:t>
      </w:r>
      <w:proofErr w:type="gramStart"/>
      <w:r w:rsidR="00007A9C" w:rsidRPr="00D33C79">
        <w:rPr>
          <w:rFonts w:hint="eastAsia"/>
          <w:bCs/>
        </w:rPr>
        <w:t>等情</w:t>
      </w:r>
      <w:proofErr w:type="gramEnd"/>
      <w:r w:rsidR="00007A9C" w:rsidRPr="00D33C79">
        <w:rPr>
          <w:rFonts w:hint="eastAsia"/>
          <w:bCs/>
        </w:rPr>
        <w:t>案，經本院交通及採購委員會會議決議推派調查。本案經調閱本</w:t>
      </w:r>
      <w:proofErr w:type="gramStart"/>
      <w:r w:rsidR="00007A9C" w:rsidRPr="00D33C79">
        <w:rPr>
          <w:rFonts w:hint="eastAsia"/>
          <w:bCs/>
        </w:rPr>
        <w:t>院前卷</w:t>
      </w:r>
      <w:proofErr w:type="gramEnd"/>
      <w:r w:rsidR="00F561F3" w:rsidRPr="00D33C79">
        <w:rPr>
          <w:rStyle w:val="af4"/>
          <w:bCs/>
        </w:rPr>
        <w:footnoteReference w:id="1"/>
      </w:r>
      <w:r w:rsidR="004D2030" w:rsidRPr="00D33C79">
        <w:rPr>
          <w:rFonts w:hint="eastAsia"/>
          <w:bCs/>
        </w:rPr>
        <w:t>，及</w:t>
      </w:r>
      <w:r w:rsidR="00007A9C" w:rsidRPr="00D33C79">
        <w:rPr>
          <w:rFonts w:hint="eastAsia"/>
          <w:bCs/>
        </w:rPr>
        <w:t>審計部</w:t>
      </w:r>
      <w:r w:rsidR="00F561F3" w:rsidRPr="00D33C79">
        <w:rPr>
          <w:rStyle w:val="af4"/>
          <w:bCs/>
        </w:rPr>
        <w:footnoteReference w:id="2"/>
      </w:r>
      <w:r w:rsidR="004D2030" w:rsidRPr="00D33C79">
        <w:rPr>
          <w:rFonts w:hint="eastAsia"/>
          <w:bCs/>
        </w:rPr>
        <w:t>、</w:t>
      </w:r>
      <w:r w:rsidR="00007A9C" w:rsidRPr="00D33C79">
        <w:rPr>
          <w:rFonts w:hint="eastAsia"/>
          <w:bCs/>
        </w:rPr>
        <w:t>交通部</w:t>
      </w:r>
      <w:r w:rsidR="00F561F3" w:rsidRPr="00D33C79">
        <w:rPr>
          <w:rStyle w:val="af4"/>
          <w:bCs/>
        </w:rPr>
        <w:footnoteReference w:id="3"/>
      </w:r>
      <w:r w:rsidR="00007A9C" w:rsidRPr="00D33C79">
        <w:rPr>
          <w:rFonts w:hint="eastAsia"/>
          <w:bCs/>
        </w:rPr>
        <w:t>等機關</w:t>
      </w:r>
      <w:r w:rsidR="004D2030" w:rsidRPr="00D33C79">
        <w:rPr>
          <w:rFonts w:hint="eastAsia"/>
          <w:bCs/>
        </w:rPr>
        <w:t>函復</w:t>
      </w:r>
      <w:r w:rsidR="00001C58" w:rsidRPr="00D33C79">
        <w:rPr>
          <w:rFonts w:hint="eastAsia"/>
          <w:bCs/>
        </w:rPr>
        <w:t>資料</w:t>
      </w:r>
      <w:r w:rsidR="00007A9C" w:rsidRPr="00D33C79">
        <w:rPr>
          <w:rFonts w:hint="eastAsia"/>
          <w:bCs/>
        </w:rPr>
        <w:t>，</w:t>
      </w:r>
      <w:r w:rsidR="00F561F3" w:rsidRPr="00D33C79">
        <w:rPr>
          <w:rFonts w:hint="eastAsia"/>
          <w:bCs/>
        </w:rPr>
        <w:t>本院</w:t>
      </w:r>
      <w:r w:rsidR="00007A9C" w:rsidRPr="00D33C79">
        <w:rPr>
          <w:rFonts w:hint="eastAsia"/>
          <w:bCs/>
        </w:rPr>
        <w:t>嗣於</w:t>
      </w:r>
      <w:bookmarkStart w:id="46" w:name="_Hlk168663274"/>
      <w:r w:rsidR="00007A9C" w:rsidRPr="00D33C79">
        <w:rPr>
          <w:rFonts w:hint="eastAsia"/>
          <w:bCs/>
        </w:rPr>
        <w:t>113年5月13日</w:t>
      </w:r>
      <w:r w:rsidR="004D2030" w:rsidRPr="00D33C79">
        <w:rPr>
          <w:rFonts w:hint="eastAsia"/>
          <w:bCs/>
        </w:rPr>
        <w:t>及6月17日</w:t>
      </w:r>
      <w:r w:rsidR="00F561F3" w:rsidRPr="00D33C79">
        <w:rPr>
          <w:rFonts w:hint="eastAsia"/>
          <w:bCs/>
        </w:rPr>
        <w:t>分別</w:t>
      </w:r>
      <w:r w:rsidR="00007A9C" w:rsidRPr="00D33C79">
        <w:rPr>
          <w:rFonts w:hint="eastAsia"/>
          <w:bCs/>
        </w:rPr>
        <w:t>現地履勘</w:t>
      </w:r>
      <w:r w:rsidR="004D2030" w:rsidRPr="00D33C79">
        <w:rPr>
          <w:rFonts w:hint="eastAsia"/>
          <w:bCs/>
        </w:rPr>
        <w:t>高雄港</w:t>
      </w:r>
      <w:r w:rsidR="00F561F3" w:rsidRPr="00D33C79">
        <w:rPr>
          <w:rFonts w:hint="eastAsia"/>
          <w:bCs/>
        </w:rPr>
        <w:t>及</w:t>
      </w:r>
      <w:r w:rsidR="004D2030" w:rsidRPr="00D33C79">
        <w:rPr>
          <w:rFonts w:hint="eastAsia"/>
          <w:bCs/>
        </w:rPr>
        <w:t>基隆港</w:t>
      </w:r>
      <w:r w:rsidR="00F561F3" w:rsidRPr="00D33C79">
        <w:rPr>
          <w:rFonts w:hint="eastAsia"/>
          <w:bCs/>
        </w:rPr>
        <w:t>相關旅運設施</w:t>
      </w:r>
      <w:bookmarkEnd w:id="46"/>
      <w:r w:rsidR="00F561F3" w:rsidRPr="00D33C79">
        <w:rPr>
          <w:rFonts w:hint="eastAsia"/>
          <w:bCs/>
        </w:rPr>
        <w:t>，並</w:t>
      </w:r>
      <w:r w:rsidR="00007A9C" w:rsidRPr="00D33C79">
        <w:rPr>
          <w:rFonts w:hint="eastAsia"/>
          <w:bCs/>
        </w:rPr>
        <w:t>約詢交通部暨所屬</w:t>
      </w:r>
      <w:r w:rsidR="001E0686" w:rsidRPr="00D33C79">
        <w:rPr>
          <w:rFonts w:hint="eastAsia"/>
          <w:bCs/>
        </w:rPr>
        <w:t>港務公司、</w:t>
      </w:r>
      <w:r w:rsidR="00823966" w:rsidRPr="00D33C79">
        <w:rPr>
          <w:rFonts w:hint="eastAsia"/>
          <w:bCs/>
        </w:rPr>
        <w:t>航港局、</w:t>
      </w:r>
      <w:r w:rsidR="001E0686" w:rsidRPr="00D33C79">
        <w:rPr>
          <w:rFonts w:hint="eastAsia"/>
          <w:bCs/>
        </w:rPr>
        <w:t>觀光署等</w:t>
      </w:r>
      <w:r w:rsidR="00007A9C" w:rsidRPr="00D33C79">
        <w:rPr>
          <w:rFonts w:hint="eastAsia"/>
          <w:bCs/>
        </w:rPr>
        <w:t>相關主管人員</w:t>
      </w:r>
      <w:r w:rsidRPr="00D33C79">
        <w:rPr>
          <w:rFonts w:hint="eastAsia"/>
          <w:bCs/>
        </w:rPr>
        <w:t>。</w:t>
      </w:r>
      <w:r w:rsidR="00FF51A8" w:rsidRPr="00D33C79">
        <w:rPr>
          <w:rFonts w:hint="eastAsia"/>
          <w:bCs/>
        </w:rPr>
        <w:t>已</w:t>
      </w:r>
      <w:proofErr w:type="gramStart"/>
      <w:r w:rsidR="00FF51A8" w:rsidRPr="00D33C79">
        <w:rPr>
          <w:rFonts w:hint="eastAsia"/>
          <w:bCs/>
        </w:rPr>
        <w:t>調查竣事</w:t>
      </w:r>
      <w:proofErr w:type="gramEnd"/>
      <w:r w:rsidR="00FF51A8" w:rsidRPr="00D33C79">
        <w:rPr>
          <w:rFonts w:hint="eastAsia"/>
          <w:bCs/>
        </w:rPr>
        <w:t>，茲臚列調查意見如下：</w:t>
      </w:r>
    </w:p>
    <w:p w:rsidR="00367FBD" w:rsidRPr="00D33C79" w:rsidRDefault="00367FBD" w:rsidP="00367FBD">
      <w:pPr>
        <w:pStyle w:val="2"/>
        <w:overflowPunct w:val="0"/>
        <w:ind w:left="1020" w:hanging="680"/>
        <w:rPr>
          <w:b/>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45"/>
      <w:r w:rsidRPr="00D33C79">
        <w:rPr>
          <w:rFonts w:hint="eastAsia"/>
          <w:b/>
        </w:rPr>
        <w:t>港務公司推動基隆港西2倉庫1樓暨停車場招商，原規劃為旅客服務中心目的使用，因該標的物為市定歷史建物，受限於文化資產保存法之規定，致生服務旅客使用之樓地板面積減少，且有招商不易之窘境，後續推動應兼顧活化歷史建築資產及優化旅客服務之目的，允宜檢討改進。</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查基隆港西2～西6碼頭後線原規劃做為西岸客運</w:t>
      </w:r>
      <w:r w:rsidRPr="00D33C79">
        <w:rPr>
          <w:rFonts w:hAnsi="Times New Roman" w:hint="eastAsia"/>
          <w:szCs w:val="20"/>
        </w:rPr>
        <w:lastRenderedPageBreak/>
        <w:t>專區港務大樓，惟基隆市政府103年12月公告指定西2、3倉庫為歷史建築，致未能拆除舊倉庫新建大樓，</w:t>
      </w:r>
      <w:proofErr w:type="gramStart"/>
      <w:r w:rsidRPr="00D33C79">
        <w:rPr>
          <w:rFonts w:hAnsi="Times New Roman" w:hint="eastAsia"/>
          <w:szCs w:val="20"/>
        </w:rPr>
        <w:t>爰</w:t>
      </w:r>
      <w:proofErr w:type="gramEnd"/>
      <w:r w:rsidRPr="00D33C79">
        <w:rPr>
          <w:rFonts w:hAnsi="Times New Roman" w:hint="eastAsia"/>
          <w:szCs w:val="20"/>
        </w:rPr>
        <w:t>調整西2～西3倉庫整建旅客服務中心，西4～6後線土地引進民間投資興建西岸旅運複合商業大樓。其中，西2倉庫及西3倉庫111年4月完成整體修復後，規劃西2倉庫1樓打造</w:t>
      </w:r>
      <w:proofErr w:type="gramStart"/>
      <w:r w:rsidRPr="00D33C79">
        <w:rPr>
          <w:rFonts w:hAnsi="Times New Roman" w:hint="eastAsia"/>
          <w:szCs w:val="20"/>
        </w:rPr>
        <w:t>為文創空間</w:t>
      </w:r>
      <w:proofErr w:type="gramEnd"/>
      <w:r w:rsidRPr="00D33C79">
        <w:rPr>
          <w:rFonts w:hAnsi="Times New Roman" w:hint="eastAsia"/>
          <w:szCs w:val="20"/>
        </w:rPr>
        <w:t>，作為都市文化產業及豐富水岸活動，至西3倉庫及西2倉庫2樓已改造為旅客服務中心，最大可服務25萬總噸郵輪，通關速度由1,200人</w:t>
      </w:r>
      <w:r w:rsidR="002F42C0" w:rsidRPr="00D33C79">
        <w:rPr>
          <w:rFonts w:hAnsi="Times New Roman" w:hint="eastAsia"/>
          <w:szCs w:val="20"/>
        </w:rPr>
        <w:t>/時</w:t>
      </w:r>
      <w:r w:rsidRPr="00D33C79">
        <w:rPr>
          <w:rFonts w:hAnsi="Times New Roman" w:hint="eastAsia"/>
          <w:szCs w:val="20"/>
        </w:rPr>
        <w:t>提升至2,100人/時，完成後總樓地板面積達18,310平方公尺。相關新建期程108年</w:t>
      </w:r>
      <w:r w:rsidR="00993209" w:rsidRPr="00D33C79">
        <w:rPr>
          <w:rFonts w:hAnsi="Times New Roman" w:hint="eastAsia"/>
          <w:szCs w:val="20"/>
        </w:rPr>
        <w:t>至</w:t>
      </w:r>
      <w:r w:rsidRPr="00D33C79">
        <w:rPr>
          <w:rFonts w:hAnsi="Times New Roman" w:hint="eastAsia"/>
          <w:szCs w:val="20"/>
        </w:rPr>
        <w:t>111年，使用總經費為</w:t>
      </w:r>
      <w:r w:rsidR="00993209" w:rsidRPr="00D33C79">
        <w:rPr>
          <w:rFonts w:hAnsi="Times New Roman" w:hint="eastAsia"/>
          <w:szCs w:val="20"/>
        </w:rPr>
        <w:t>新臺幣（下同）</w:t>
      </w:r>
      <w:r w:rsidRPr="00D33C79">
        <w:rPr>
          <w:rFonts w:hAnsi="Times New Roman" w:hint="eastAsia"/>
          <w:szCs w:val="20"/>
        </w:rPr>
        <w:t>5.64億元。故由上開說明可知，西2倉庫1樓打造</w:t>
      </w:r>
      <w:proofErr w:type="gramStart"/>
      <w:r w:rsidRPr="00D33C79">
        <w:rPr>
          <w:rFonts w:hAnsi="Times New Roman" w:hint="eastAsia"/>
          <w:szCs w:val="20"/>
        </w:rPr>
        <w:t>為文創空間</w:t>
      </w:r>
      <w:proofErr w:type="gramEnd"/>
      <w:r w:rsidRPr="00D33C79">
        <w:rPr>
          <w:rFonts w:hAnsi="Times New Roman" w:hint="eastAsia"/>
          <w:szCs w:val="20"/>
        </w:rPr>
        <w:t>，2樓則仍為原規劃目的之旅客服務中心，惟與原規劃興建作為西岸客運專區港務大樓之用已有使用空間限縮之虞，允應考量是否影響</w:t>
      </w:r>
      <w:r w:rsidR="00993209" w:rsidRPr="00D33C79">
        <w:rPr>
          <w:rFonts w:hAnsi="Times New Roman" w:hint="eastAsia"/>
          <w:szCs w:val="20"/>
        </w:rPr>
        <w:t>基隆港</w:t>
      </w:r>
      <w:r w:rsidRPr="00D33C79">
        <w:rPr>
          <w:rFonts w:hAnsi="Times New Roman" w:hint="eastAsia"/>
          <w:szCs w:val="20"/>
        </w:rPr>
        <w:t>西岸客運專區服務品質。</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港務公司目前辦理基隆西2倉庫1樓暨停車場招商案，已於111年10月辦理招商說明會，於112年11月30日至113年1月29日進行第二次公告招商，將藉由投資人經營能力引進知名品牌進駐，並結合西2、西3碼頭倉庫日式風格與其悠遠的歷史背景，共同打造基隆港西岸為水岸文化創意觀光景點。基隆港西2倉庫1樓暨停車場做為生活</w:t>
      </w:r>
      <w:proofErr w:type="gramStart"/>
      <w:r w:rsidRPr="00D33C79">
        <w:rPr>
          <w:rFonts w:hAnsi="Times New Roman" w:hint="eastAsia"/>
          <w:szCs w:val="20"/>
        </w:rPr>
        <w:t>與文創園區</w:t>
      </w:r>
      <w:proofErr w:type="gramEnd"/>
      <w:r w:rsidRPr="00D33C79">
        <w:rPr>
          <w:rFonts w:hAnsi="Times New Roman" w:hint="eastAsia"/>
          <w:szCs w:val="20"/>
        </w:rPr>
        <w:t>之規劃，惟因建物屬歷史建築無法使用明火，且受限於文化資產保存法之規定，無法隨意變更建物內部結構，影響部分業者進駐意願，故至今仍</w:t>
      </w:r>
      <w:proofErr w:type="gramStart"/>
      <w:r w:rsidRPr="00D33C79">
        <w:rPr>
          <w:rFonts w:hAnsi="Times New Roman" w:hint="eastAsia"/>
          <w:szCs w:val="20"/>
        </w:rPr>
        <w:t>未完成招</w:t>
      </w:r>
      <w:proofErr w:type="gramEnd"/>
      <w:r w:rsidRPr="00D33C79">
        <w:rPr>
          <w:rFonts w:hAnsi="Times New Roman" w:hint="eastAsia"/>
          <w:szCs w:val="20"/>
        </w:rPr>
        <w:t>商業務。據港務公司表示，將持續積極拜訪潛在業者，結合在地資源及郵輪商機，儘早完成招商</w:t>
      </w:r>
      <w:r w:rsidR="00993209" w:rsidRPr="00D33C79">
        <w:rPr>
          <w:rFonts w:hAnsi="Times New Roman" w:hint="eastAsia"/>
          <w:szCs w:val="20"/>
        </w:rPr>
        <w:t>業務</w:t>
      </w:r>
      <w:r w:rsidRPr="00D33C79">
        <w:rPr>
          <w:rFonts w:hAnsi="Times New Roman" w:hint="eastAsia"/>
          <w:szCs w:val="20"/>
        </w:rPr>
        <w:t>。另據本院實地履</w:t>
      </w:r>
      <w:proofErr w:type="gramStart"/>
      <w:r w:rsidRPr="00D33C79">
        <w:rPr>
          <w:rFonts w:hAnsi="Times New Roman" w:hint="eastAsia"/>
          <w:szCs w:val="20"/>
        </w:rPr>
        <w:t>勘</w:t>
      </w:r>
      <w:proofErr w:type="gramEnd"/>
      <w:r w:rsidRPr="00D33C79">
        <w:rPr>
          <w:rFonts w:hAnsi="Times New Roman" w:hint="eastAsia"/>
          <w:szCs w:val="20"/>
        </w:rPr>
        <w:t>發現，西2倉庫整體規劃及設置欠缺歷史建物的特色傳遞與表達，無法凸顯</w:t>
      </w:r>
      <w:r w:rsidRPr="00D33C79">
        <w:rPr>
          <w:rFonts w:hAnsi="Times New Roman" w:hint="eastAsia"/>
          <w:szCs w:val="20"/>
        </w:rPr>
        <w:lastRenderedPageBreak/>
        <w:t>歷史建物保存的美意與意象。</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另據港務公司陳稱，西4～6碼頭後線腹地</w:t>
      </w:r>
      <w:r w:rsidR="00993209" w:rsidRPr="00D33C79">
        <w:rPr>
          <w:rFonts w:hAnsi="Times New Roman" w:hint="eastAsia"/>
          <w:szCs w:val="20"/>
        </w:rPr>
        <w:t>目前</w:t>
      </w:r>
      <w:r w:rsidRPr="00D33C79">
        <w:rPr>
          <w:rFonts w:hAnsi="Times New Roman" w:hint="eastAsia"/>
          <w:szCs w:val="20"/>
        </w:rPr>
        <w:t>雖無法依計畫興建港務大樓，惟為提升使用率，該公司已先將後線空地作為客貨輪貨物作業場地，除提供客貨輪補給空間、亦作為內港散雜貨儲放場地收益使用；</w:t>
      </w:r>
      <w:proofErr w:type="gramStart"/>
      <w:r w:rsidRPr="00D33C79">
        <w:rPr>
          <w:rFonts w:hAnsi="Times New Roman" w:hint="eastAsia"/>
          <w:szCs w:val="20"/>
        </w:rPr>
        <w:t>另臨基隆市</w:t>
      </w:r>
      <w:proofErr w:type="gramEnd"/>
      <w:r w:rsidRPr="00D33C79">
        <w:rPr>
          <w:rFonts w:hAnsi="Times New Roman" w:hint="eastAsia"/>
          <w:szCs w:val="20"/>
        </w:rPr>
        <w:t>中山一、二路之空地作為鄰里、轉運旅客之停車空間收益使用。該公司將持續積極洽詢潛在投資廠商意願，並視業者投資意願再啟動推動招商。由以上說明可知，港務公司為因應基隆港郵輪旅客快速成長、郵輪大型化等趨勢，暨活化歷史建築，以提升港埠旅運服務品質，規劃將基隆港西岸西2、西3倉庫增建或修復作為郵輪出入、停泊及民眾出入境之旅運設施，辦理「基隆港西岸客運專區港務大樓興建工程」，惟基隆港西2倉庫1樓暨停車場之招商案，因無廠商投標，迄</w:t>
      </w:r>
      <w:proofErr w:type="gramStart"/>
      <w:r w:rsidRPr="00D33C79">
        <w:rPr>
          <w:rFonts w:hAnsi="Times New Roman" w:hint="eastAsia"/>
          <w:szCs w:val="20"/>
        </w:rPr>
        <w:t>未完成招商</w:t>
      </w:r>
      <w:proofErr w:type="gramEnd"/>
      <w:r w:rsidRPr="00D33C79">
        <w:rPr>
          <w:rFonts w:hAnsi="Times New Roman" w:hint="eastAsia"/>
          <w:szCs w:val="20"/>
        </w:rPr>
        <w:t>，已有減少旅客服務樓地板面積之虞，又因西4～6碼頭後線腹地無法依計畫興建港務大樓等情，恐將危及基隆港西岸客運服務品質。另就旅客服務中心之相關硬體擴建完成後，其旅客出入境通關之相關CIQS(海關、證照查驗、檢疫、安全檢查等單位)之編制人力應予配合調整，以因應船舶大型化之趨勢及檢討軟、硬體之服務能量提升，提供充足通關查驗服務品質。</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綜上，港務公司推動基隆港西2倉庫1樓暨停車場招商案，原規劃為旅客服務中心目的使用，因該標的物為市定歷史建物，且受限於文化資產保存法之規定，致生使用樓地板面積減少，且建物屬歷史建築無法使用明火，受限於文化資產保存法之規定，無法變更建物內部結構，影響部分業者進駐意願，面臨至今仍</w:t>
      </w:r>
      <w:proofErr w:type="gramStart"/>
      <w:r w:rsidRPr="00D33C79">
        <w:rPr>
          <w:rFonts w:hAnsi="Times New Roman" w:hint="eastAsia"/>
          <w:szCs w:val="20"/>
        </w:rPr>
        <w:t>未完成招商</w:t>
      </w:r>
      <w:proofErr w:type="gramEnd"/>
      <w:r w:rsidRPr="00D33C79">
        <w:rPr>
          <w:rFonts w:hAnsi="Times New Roman" w:hint="eastAsia"/>
          <w:szCs w:val="20"/>
        </w:rPr>
        <w:t>業務之窘境，另因西4～6碼</w:t>
      </w:r>
      <w:r w:rsidRPr="00D33C79">
        <w:rPr>
          <w:rFonts w:hAnsi="Times New Roman" w:hint="eastAsia"/>
          <w:szCs w:val="20"/>
        </w:rPr>
        <w:lastRenderedPageBreak/>
        <w:t>頭後線腹地無法依計畫興建港務大樓等情，恐將危及基隆港西岸客運服務品質，後續推動方向應兼顧活化歷史建築資產及優化旅客服務之目的，允宜檢討改進。</w:t>
      </w:r>
    </w:p>
    <w:p w:rsidR="00367FBD" w:rsidRPr="00D33C79" w:rsidRDefault="00367FBD" w:rsidP="00367FBD">
      <w:pPr>
        <w:pStyle w:val="2"/>
        <w:overflowPunct w:val="0"/>
        <w:ind w:left="1020" w:hanging="680"/>
        <w:rPr>
          <w:b/>
        </w:rPr>
      </w:pPr>
      <w:r w:rsidRPr="00D33C79">
        <w:rPr>
          <w:rFonts w:hint="eastAsia"/>
          <w:b/>
        </w:rPr>
        <w:t>港務公司推動高雄港旅運中心招商作業，部分空間係配合高雄市政府「</w:t>
      </w:r>
      <w:proofErr w:type="gramStart"/>
      <w:r w:rsidRPr="00D33C79">
        <w:rPr>
          <w:rFonts w:hint="eastAsia"/>
          <w:b/>
        </w:rPr>
        <w:t>亞灣</w:t>
      </w:r>
      <w:proofErr w:type="gramEnd"/>
      <w:r w:rsidRPr="00D33C79">
        <w:rPr>
          <w:rFonts w:hint="eastAsia"/>
          <w:b/>
        </w:rPr>
        <w:t>2.0-智慧科技創新園區推動方案」，推動高雄港旅運中心朝5GAIOT智慧化運用發展，惟相關配套卻仍未到位，如周邊交通設施不足及產業尚未進駐等因素，致整體區域活動人流與</w:t>
      </w:r>
      <w:proofErr w:type="gramStart"/>
      <w:r w:rsidRPr="00D33C79">
        <w:rPr>
          <w:rFonts w:hint="eastAsia"/>
          <w:b/>
        </w:rPr>
        <w:t>商圈均未</w:t>
      </w:r>
      <w:proofErr w:type="gramEnd"/>
      <w:r w:rsidRPr="00D33C79">
        <w:rPr>
          <w:rFonts w:hint="eastAsia"/>
          <w:b/>
        </w:rPr>
        <w:t>成形，商業消費需求與誘因明顯不足，</w:t>
      </w:r>
      <w:r w:rsidR="006078C9" w:rsidRPr="00D33C79">
        <w:rPr>
          <w:rFonts w:hint="eastAsia"/>
          <w:b/>
        </w:rPr>
        <w:t>致招商作業未如預期，</w:t>
      </w:r>
      <w:r w:rsidRPr="00D33C79">
        <w:rPr>
          <w:rFonts w:hint="eastAsia"/>
          <w:b/>
        </w:rPr>
        <w:t>允應檢討改善。</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港務公司為吸引國際大型郵輪靠泊高雄港，選定高雄港18至21號碼頭區辦理「高雄港客運專區建設計畫」，並於19至20號碼頭區辦理港埠旅運中心工程，建構現代化國際旅運設施暨整合辦公廳舍，</w:t>
      </w:r>
      <w:r w:rsidR="00001C58" w:rsidRPr="00D33C79">
        <w:rPr>
          <w:rFonts w:hAnsi="Times New Roman" w:hint="eastAsia"/>
          <w:szCs w:val="20"/>
        </w:rPr>
        <w:t>規劃</w:t>
      </w:r>
      <w:r w:rsidRPr="00D33C79">
        <w:rPr>
          <w:rFonts w:hAnsi="Times New Roman" w:hint="eastAsia"/>
          <w:szCs w:val="20"/>
        </w:rPr>
        <w:t>以打造郵輪母港為目標，提供旅客舒適之候船空間，供22.5萬總噸大型郵輪靠泊，通關效率則可達母港作業2,100人/小時或掛靠港作業3,500人/小時，並預期啟用營運後每年可新增13萬6,390人次至29萬1,911人次之旅客，及增加2億9,723萬餘元至6億3,616萬餘元之觀光效益。該計畫報經行政院於98年10月核定，</w:t>
      </w:r>
      <w:proofErr w:type="gramStart"/>
      <w:r w:rsidRPr="00D33C79">
        <w:rPr>
          <w:rFonts w:hAnsi="Times New Roman" w:hint="eastAsia"/>
          <w:szCs w:val="20"/>
        </w:rPr>
        <w:t>嗣</w:t>
      </w:r>
      <w:proofErr w:type="gramEnd"/>
      <w:r w:rsidRPr="00D33C79">
        <w:rPr>
          <w:rFonts w:hAnsi="Times New Roman" w:hint="eastAsia"/>
          <w:szCs w:val="20"/>
        </w:rPr>
        <w:t>經5次修正，總經費由28億5,109萬餘元增至45億1,700萬元，完工期程則由102年底展延至110年底。另港務公司增辦「高雄港旅運中心空間及公共設施調整工程」所需經費5億8,000萬元，自111年8月起陸續分批完工，已於112年4月前全數取得使用執照，規劃招租之商業空間計7,839.66平方公尺。</w:t>
      </w:r>
      <w:r w:rsidR="002636E2" w:rsidRPr="00D33C79">
        <w:rPr>
          <w:rFonts w:hAnsi="Times New Roman" w:hint="eastAsia"/>
          <w:szCs w:val="20"/>
        </w:rPr>
        <w:t>惟</w:t>
      </w:r>
      <w:r w:rsidRPr="00D33C79">
        <w:rPr>
          <w:rFonts w:hAnsi="Times New Roman" w:hint="eastAsia"/>
          <w:szCs w:val="20"/>
        </w:rPr>
        <w:t>據報，截至111年12月6日止，已取得使用執照之面積僅2,802.80平方公尺（約35.75％），完成招商之面</w:t>
      </w:r>
      <w:r w:rsidRPr="00D33C79">
        <w:rPr>
          <w:rFonts w:hAnsi="Times New Roman" w:hint="eastAsia"/>
          <w:szCs w:val="20"/>
        </w:rPr>
        <w:lastRenderedPageBreak/>
        <w:t>積僅991.86平方公尺（約12.65％）</w:t>
      </w:r>
      <w:r w:rsidR="00992F30" w:rsidRPr="00D33C79">
        <w:rPr>
          <w:rFonts w:hAnsi="Times New Roman" w:hint="eastAsia"/>
          <w:szCs w:val="20"/>
        </w:rPr>
        <w:t>等情。</w:t>
      </w:r>
      <w:r w:rsidRPr="00D33C79">
        <w:rPr>
          <w:rFonts w:hAnsi="Times New Roman" w:hint="eastAsia"/>
          <w:szCs w:val="20"/>
        </w:rPr>
        <w:t>直至</w:t>
      </w:r>
      <w:r w:rsidR="006078C9" w:rsidRPr="00D33C79">
        <w:rPr>
          <w:rFonts w:hAnsi="Times New Roman" w:hint="eastAsia"/>
          <w:szCs w:val="20"/>
        </w:rPr>
        <w:t>本院實地履</w:t>
      </w:r>
      <w:proofErr w:type="gramStart"/>
      <w:r w:rsidR="006078C9" w:rsidRPr="00D33C79">
        <w:rPr>
          <w:rFonts w:hAnsi="Times New Roman" w:hint="eastAsia"/>
          <w:szCs w:val="20"/>
        </w:rPr>
        <w:t>勘</w:t>
      </w:r>
      <w:proofErr w:type="gramEnd"/>
      <w:r w:rsidR="006078C9" w:rsidRPr="00D33C79">
        <w:rPr>
          <w:rFonts w:hAnsi="Times New Roman" w:hint="eastAsia"/>
          <w:szCs w:val="20"/>
        </w:rPr>
        <w:t>時，港務公司陳稱，</w:t>
      </w:r>
      <w:r w:rsidRPr="00D33C79">
        <w:rPr>
          <w:rFonts w:hAnsi="Times New Roman" w:hint="eastAsia"/>
          <w:szCs w:val="20"/>
        </w:rPr>
        <w:t>112年4月28日</w:t>
      </w:r>
      <w:r w:rsidR="006078C9" w:rsidRPr="00D33C79">
        <w:rPr>
          <w:rFonts w:hAnsi="Times New Roman" w:hint="eastAsia"/>
          <w:szCs w:val="20"/>
        </w:rPr>
        <w:t>已</w:t>
      </w:r>
      <w:r w:rsidRPr="00D33C79">
        <w:rPr>
          <w:rFonts w:hAnsi="Times New Roman" w:hint="eastAsia"/>
          <w:szCs w:val="20"/>
        </w:rPr>
        <w:t>取得全部使用執照。</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高雄港旅運中心依功能用途區分</w:t>
      </w:r>
      <w:proofErr w:type="gramStart"/>
      <w:r w:rsidRPr="00D33C79">
        <w:rPr>
          <w:rFonts w:hAnsi="Times New Roman" w:hint="eastAsia"/>
          <w:szCs w:val="20"/>
        </w:rPr>
        <w:t>為裙樓</w:t>
      </w:r>
      <w:proofErr w:type="gramEnd"/>
      <w:r w:rsidRPr="00D33C79">
        <w:rPr>
          <w:rFonts w:hAnsi="Times New Roman" w:hint="eastAsia"/>
          <w:szCs w:val="20"/>
        </w:rPr>
        <w:t>（旅運大樓）及塔樓（港埠大樓）2部分。</w:t>
      </w:r>
      <w:proofErr w:type="gramStart"/>
      <w:r w:rsidRPr="00D33C79">
        <w:rPr>
          <w:rFonts w:hAnsi="Times New Roman" w:hint="eastAsia"/>
          <w:szCs w:val="20"/>
        </w:rPr>
        <w:t>裙樓屬旅</w:t>
      </w:r>
      <w:proofErr w:type="gramEnd"/>
      <w:r w:rsidRPr="00D33C79">
        <w:rPr>
          <w:rFonts w:hAnsi="Times New Roman" w:hint="eastAsia"/>
          <w:szCs w:val="20"/>
        </w:rPr>
        <w:t>運設施，提供旅客</w:t>
      </w:r>
      <w:proofErr w:type="gramStart"/>
      <w:r w:rsidRPr="00D33C79">
        <w:rPr>
          <w:rFonts w:hAnsi="Times New Roman" w:hint="eastAsia"/>
          <w:szCs w:val="20"/>
        </w:rPr>
        <w:t>搭船通關</w:t>
      </w:r>
      <w:proofErr w:type="gramEnd"/>
      <w:r w:rsidRPr="00D33C79">
        <w:rPr>
          <w:rFonts w:hAnsi="Times New Roman" w:hint="eastAsia"/>
          <w:szCs w:val="20"/>
        </w:rPr>
        <w:t>機能及規劃附屬商業空間，以滿足旅客需求；</w:t>
      </w:r>
      <w:proofErr w:type="gramStart"/>
      <w:r w:rsidRPr="00D33C79">
        <w:rPr>
          <w:rFonts w:hAnsi="Times New Roman" w:hint="eastAsia"/>
          <w:szCs w:val="20"/>
        </w:rPr>
        <w:t>塔樓屬辦公</w:t>
      </w:r>
      <w:proofErr w:type="gramEnd"/>
      <w:r w:rsidRPr="00D33C79">
        <w:rPr>
          <w:rFonts w:hAnsi="Times New Roman" w:hint="eastAsia"/>
          <w:szCs w:val="20"/>
        </w:rPr>
        <w:t>空間。</w:t>
      </w:r>
      <w:proofErr w:type="gramStart"/>
      <w:r w:rsidRPr="00D33C79">
        <w:rPr>
          <w:rFonts w:hAnsi="Times New Roman" w:hint="eastAsia"/>
          <w:szCs w:val="20"/>
        </w:rPr>
        <w:t>裙樓</w:t>
      </w:r>
      <w:proofErr w:type="gramEnd"/>
      <w:r w:rsidRPr="00D33C79">
        <w:rPr>
          <w:rFonts w:hAnsi="Times New Roman" w:hint="eastAsia"/>
          <w:szCs w:val="20"/>
        </w:rPr>
        <w:t>（旅運大樓）2樓已引進澎坊（股）公司經營免稅貨物銷售業務並於112年9月26日正式營運；</w:t>
      </w:r>
      <w:proofErr w:type="gramStart"/>
      <w:r w:rsidRPr="00D33C79">
        <w:rPr>
          <w:rFonts w:hAnsi="Times New Roman" w:hint="eastAsia"/>
          <w:szCs w:val="20"/>
        </w:rPr>
        <w:t>懸挑區A與懸挑區</w:t>
      </w:r>
      <w:proofErr w:type="gramEnd"/>
      <w:r w:rsidRPr="00D33C79">
        <w:rPr>
          <w:rFonts w:hAnsi="Times New Roman" w:hint="eastAsia"/>
          <w:szCs w:val="20"/>
        </w:rPr>
        <w:t>B商業空間已於112年10月16日進行招商甄選作業，並</w:t>
      </w:r>
      <w:proofErr w:type="gramStart"/>
      <w:r w:rsidRPr="00D33C79">
        <w:rPr>
          <w:rFonts w:hAnsi="Times New Roman" w:hint="eastAsia"/>
          <w:szCs w:val="20"/>
        </w:rPr>
        <w:t>由承億酒</w:t>
      </w:r>
      <w:proofErr w:type="gramEnd"/>
      <w:r w:rsidRPr="00D33C79">
        <w:rPr>
          <w:rFonts w:hAnsi="Times New Roman" w:hint="eastAsia"/>
          <w:szCs w:val="20"/>
        </w:rPr>
        <w:t>店（股）公司取得最優投資人資格。塔樓（港埠大樓）2樓目前由港務公司設置附屬教保中心使用，3至15樓則規劃作為辦公空間使用，其中3至8樓辦公空間配合高雄市政府「</w:t>
      </w:r>
      <w:proofErr w:type="gramStart"/>
      <w:r w:rsidRPr="00D33C79">
        <w:rPr>
          <w:rFonts w:hAnsi="Times New Roman" w:hint="eastAsia"/>
          <w:szCs w:val="20"/>
        </w:rPr>
        <w:t>亞灣</w:t>
      </w:r>
      <w:proofErr w:type="gramEnd"/>
      <w:r w:rsidRPr="00D33C79">
        <w:rPr>
          <w:rFonts w:hAnsi="Times New Roman" w:hint="eastAsia"/>
          <w:szCs w:val="20"/>
        </w:rPr>
        <w:t>2.0-智慧科技創新園區推動方案」，推動高雄港旅運中心朝5GAIOT智慧化運用發展，辦理大樓智慧化應用統包工程，於112年10月完成，亦將逐步引進智慧化科技，提供港埠旅運大樓智慧旅運、觀光與營運服務，優化國際旅運設施服務水準並帶動港區智慧化發展，</w:t>
      </w:r>
      <w:r w:rsidR="0066401C" w:rsidRPr="00D33C79">
        <w:rPr>
          <w:rFonts w:hAnsi="Times New Roman" w:hint="eastAsia"/>
          <w:szCs w:val="20"/>
        </w:rPr>
        <w:t>將</w:t>
      </w:r>
      <w:r w:rsidRPr="00D33C79">
        <w:rPr>
          <w:rFonts w:hAnsi="Times New Roman" w:hint="eastAsia"/>
          <w:szCs w:val="20"/>
        </w:rPr>
        <w:t>持續接洽相關業者進駐及辦理招商作業，目前僅10樓</w:t>
      </w:r>
      <w:r w:rsidR="006F3E29" w:rsidRPr="00D33C79">
        <w:rPr>
          <w:rFonts w:hAnsi="Times New Roman" w:hint="eastAsia"/>
          <w:szCs w:val="20"/>
        </w:rPr>
        <w:t>（原承租樓層為6樓）</w:t>
      </w:r>
      <w:r w:rsidRPr="00D33C79">
        <w:rPr>
          <w:rFonts w:hAnsi="Times New Roman" w:hint="eastAsia"/>
          <w:szCs w:val="20"/>
        </w:rPr>
        <w:t>辦公空間由遠傳電信（股）公司承租，已於112年12月27日啟用。</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經查，高雄港旅運中心周邊土地多為未開發之素地，整體區域活動人流與商圈均尚未成形，商業消費需求與誘因仍明顯不足，需待整體環境開發後引入活動人流所產生之消費需求，以提高潛在業者投資意願。近期國境雖</w:t>
      </w:r>
      <w:proofErr w:type="gramStart"/>
      <w:r w:rsidRPr="00D33C79">
        <w:rPr>
          <w:rFonts w:hAnsi="Times New Roman" w:hint="eastAsia"/>
          <w:szCs w:val="20"/>
        </w:rPr>
        <w:t>已解封開放</w:t>
      </w:r>
      <w:proofErr w:type="gramEnd"/>
      <w:r w:rsidRPr="00D33C79">
        <w:rPr>
          <w:rFonts w:hAnsi="Times New Roman" w:hint="eastAsia"/>
          <w:szCs w:val="20"/>
        </w:rPr>
        <w:t>，惟國際郵輪市場尚待復甦中，整體投資不確定性風險仍高，潛在廠商投資意願仍趨保守，多採觀望狀態，故目前僅有2</w:t>
      </w:r>
      <w:r w:rsidRPr="00D33C79">
        <w:rPr>
          <w:rFonts w:hAnsi="Times New Roman" w:hint="eastAsia"/>
          <w:szCs w:val="20"/>
        </w:rPr>
        <w:lastRenderedPageBreak/>
        <w:t>樓免稅商店空間於109年12月31日與澎坊公司</w:t>
      </w:r>
      <w:r w:rsidR="0066401C" w:rsidRPr="00D33C79">
        <w:rPr>
          <w:rFonts w:hAnsi="Times New Roman" w:hint="eastAsia"/>
          <w:szCs w:val="20"/>
        </w:rPr>
        <w:t>簽約承租</w:t>
      </w:r>
      <w:r w:rsidRPr="00D33C79">
        <w:rPr>
          <w:rFonts w:hAnsi="Times New Roman" w:hint="eastAsia"/>
          <w:szCs w:val="20"/>
        </w:rPr>
        <w:t>，及</w:t>
      </w:r>
      <w:r w:rsidR="0066401C" w:rsidRPr="00D33C79">
        <w:rPr>
          <w:rFonts w:hAnsi="Times New Roman"/>
          <w:szCs w:val="20"/>
        </w:rPr>
        <w:t>10</w:t>
      </w:r>
      <w:r w:rsidRPr="00D33C79">
        <w:rPr>
          <w:rFonts w:hAnsi="Times New Roman" w:hint="eastAsia"/>
          <w:szCs w:val="20"/>
        </w:rPr>
        <w:t>樓部分辦公空間於111年11月13日與遠傳電信公司簽約，配合旅運中心相關工程進度進行裝修作業。另查</w:t>
      </w:r>
      <w:r w:rsidR="006F3E29" w:rsidRPr="00D33C79">
        <w:rPr>
          <w:rFonts w:hAnsi="Times New Roman" w:hint="eastAsia"/>
          <w:szCs w:val="20"/>
        </w:rPr>
        <w:t>，</w:t>
      </w:r>
      <w:r w:rsidRPr="00D33C79">
        <w:rPr>
          <w:rFonts w:hAnsi="Times New Roman" w:hint="eastAsia"/>
          <w:szCs w:val="20"/>
        </w:rPr>
        <w:t>規劃於高雄港旅運中心設站之高雄捷運黃線Y15站，將於117年始能完工，其捷運黃線聯結捷運紅</w:t>
      </w:r>
      <w:proofErr w:type="gramStart"/>
      <w:r w:rsidRPr="00D33C79">
        <w:rPr>
          <w:rFonts w:hAnsi="Times New Roman" w:hint="eastAsia"/>
          <w:szCs w:val="20"/>
        </w:rPr>
        <w:t>橘</w:t>
      </w:r>
      <w:proofErr w:type="gramEnd"/>
      <w:r w:rsidRPr="00D33C79">
        <w:rPr>
          <w:rFonts w:hAnsi="Times New Roman" w:hint="eastAsia"/>
          <w:szCs w:val="20"/>
        </w:rPr>
        <w:t>線、輕軌、鐵路等運輸系統後，將在市區形成</w:t>
      </w:r>
      <w:proofErr w:type="gramStart"/>
      <w:r w:rsidRPr="00D33C79">
        <w:rPr>
          <w:rFonts w:hAnsi="Times New Roman" w:hint="eastAsia"/>
          <w:szCs w:val="20"/>
        </w:rPr>
        <w:t>格狀路</w:t>
      </w:r>
      <w:proofErr w:type="gramEnd"/>
      <w:r w:rsidRPr="00D33C79">
        <w:rPr>
          <w:rFonts w:hAnsi="Times New Roman" w:hint="eastAsia"/>
          <w:szCs w:val="20"/>
        </w:rPr>
        <w:t>網，方可吸引企業投資，於目前大眾運輸路網尚未完成串連之際，亦不利設施活化招商。由以上說明可知，該計畫於高雄港19至20號碼頭區自99年執行迄今，已</w:t>
      </w:r>
      <w:r w:rsidR="006F3E29" w:rsidRPr="00D33C79">
        <w:rPr>
          <w:rFonts w:hAnsi="Times New Roman" w:hint="eastAsia"/>
          <w:szCs w:val="20"/>
        </w:rPr>
        <w:t>超過</w:t>
      </w:r>
      <w:r w:rsidRPr="00D33C79">
        <w:rPr>
          <w:rFonts w:hAnsi="Times New Roman" w:hint="eastAsia"/>
          <w:szCs w:val="20"/>
        </w:rPr>
        <w:t>14年仍未能產生</w:t>
      </w:r>
      <w:r w:rsidR="00131FC8" w:rsidRPr="00D33C79">
        <w:rPr>
          <w:rFonts w:hAnsi="Times New Roman" w:hint="eastAsia"/>
          <w:szCs w:val="20"/>
        </w:rPr>
        <w:t>預期</w:t>
      </w:r>
      <w:r w:rsidRPr="00D33C79">
        <w:rPr>
          <w:rFonts w:hAnsi="Times New Roman" w:hint="eastAsia"/>
          <w:szCs w:val="20"/>
        </w:rPr>
        <w:t>效益，已有低度利用情事，而未能達成原訂興建目標。</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綜上，港務公司推動高雄港旅運中心招商作業，該中心部分空間係配合高雄市政府「</w:t>
      </w:r>
      <w:proofErr w:type="gramStart"/>
      <w:r w:rsidRPr="00D33C79">
        <w:rPr>
          <w:rFonts w:hAnsi="Times New Roman" w:hint="eastAsia"/>
          <w:szCs w:val="20"/>
        </w:rPr>
        <w:t>亞灣</w:t>
      </w:r>
      <w:proofErr w:type="gramEnd"/>
      <w:r w:rsidRPr="00D33C79">
        <w:rPr>
          <w:rFonts w:hAnsi="Times New Roman" w:hint="eastAsia"/>
          <w:szCs w:val="20"/>
        </w:rPr>
        <w:t>2.0-智慧科技創新園區推動方案」，推動高雄港旅運中心朝5GAIOT智慧化運用發展，惟相關配套卻仍未到位，如周邊土地多為未開發之素地，整體區域活動人流與商圈均尚未成形，商業消費需求與誘因仍明顯不足，且周邊交通設施不足，如高雄捷運黃線Y15站，將於117年始能完工，尚待捷運黃線聯結捷運紅橘線、輕軌、鐵路等運輸系統後，方可在市區形成</w:t>
      </w:r>
      <w:proofErr w:type="gramStart"/>
      <w:r w:rsidRPr="00D33C79">
        <w:rPr>
          <w:rFonts w:hAnsi="Times New Roman" w:hint="eastAsia"/>
          <w:szCs w:val="20"/>
        </w:rPr>
        <w:t>格狀路</w:t>
      </w:r>
      <w:proofErr w:type="gramEnd"/>
      <w:r w:rsidRPr="00D33C79">
        <w:rPr>
          <w:rFonts w:hAnsi="Times New Roman" w:hint="eastAsia"/>
          <w:szCs w:val="20"/>
        </w:rPr>
        <w:t>網及相關產業尚未進駐等因素，致整體區域活動人流與</w:t>
      </w:r>
      <w:proofErr w:type="gramStart"/>
      <w:r w:rsidRPr="00D33C79">
        <w:rPr>
          <w:rFonts w:hAnsi="Times New Roman" w:hint="eastAsia"/>
          <w:szCs w:val="20"/>
        </w:rPr>
        <w:t>商圈均未</w:t>
      </w:r>
      <w:proofErr w:type="gramEnd"/>
      <w:r w:rsidRPr="00D33C79">
        <w:rPr>
          <w:rFonts w:hAnsi="Times New Roman" w:hint="eastAsia"/>
          <w:szCs w:val="20"/>
        </w:rPr>
        <w:t>成形，商業消費需求與誘因明顯不足</w:t>
      </w:r>
      <w:r w:rsidR="00D1737B" w:rsidRPr="00D33C79">
        <w:rPr>
          <w:rFonts w:hAnsi="Times New Roman" w:hint="eastAsia"/>
          <w:szCs w:val="20"/>
        </w:rPr>
        <w:t>，致招商作業未如預期</w:t>
      </w:r>
      <w:r w:rsidRPr="00D33C79">
        <w:rPr>
          <w:rFonts w:hAnsi="Times New Roman" w:hint="eastAsia"/>
          <w:szCs w:val="20"/>
        </w:rPr>
        <w:t>，允應檢討改善。</w:t>
      </w:r>
    </w:p>
    <w:p w:rsidR="00367FBD" w:rsidRPr="00D33C79" w:rsidRDefault="00367FBD" w:rsidP="00367FBD">
      <w:pPr>
        <w:pStyle w:val="2"/>
        <w:overflowPunct w:val="0"/>
        <w:ind w:left="1020" w:hanging="680"/>
        <w:rPr>
          <w:b/>
        </w:rPr>
      </w:pPr>
      <w:r w:rsidRPr="00D33C79">
        <w:rPr>
          <w:rFonts w:hint="eastAsia"/>
          <w:b/>
        </w:rPr>
        <w:t>港務公司推動國際郵輪靠泊業務受</w:t>
      </w:r>
      <w:proofErr w:type="gramStart"/>
      <w:r w:rsidRPr="00D33C79">
        <w:rPr>
          <w:rFonts w:hint="eastAsia"/>
          <w:b/>
        </w:rPr>
        <w:t>新型冠</w:t>
      </w:r>
      <w:proofErr w:type="gramEnd"/>
      <w:r w:rsidRPr="00D33C79">
        <w:rPr>
          <w:rFonts w:hint="eastAsia"/>
          <w:b/>
        </w:rPr>
        <w:t>狀病毒肺炎疫情嚴重影響，惟疫情解禁後續復航業務推動事宜僅限於靠港優惠、碼頭行銷與旅運設施增設等作為，允宜加強與其他中央單位及地方政府共同配合，以推動國際郵輪靠泊業務。</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據運輸計劃季刊103年12月「探討臺灣港口發展國</w:t>
      </w:r>
      <w:r w:rsidRPr="00D33C79">
        <w:rPr>
          <w:rFonts w:hAnsi="Times New Roman" w:hint="eastAsia"/>
          <w:szCs w:val="20"/>
        </w:rPr>
        <w:lastRenderedPageBreak/>
        <w:t>際郵輪母港之策略分析」指出，現今國際郵輪市場蓬勃發展，隨著歐美地區市場漸趨於飽和，亞洲地區搭乘郵輪人數亦逐年增加，根據交通部規劃，未來兩岸客貨船及國際郵輪將以基隆及高雄港為主要靠泊港，港務公司亦希望發展南北兩大國際郵輪母港，因此探討如何發展國際郵輪母港之策略分析為本研究之重點。</w:t>
      </w:r>
      <w:r w:rsidR="008144C7" w:rsidRPr="00D33C79">
        <w:rPr>
          <w:rFonts w:hAnsi="Times New Roman" w:hint="eastAsia"/>
          <w:szCs w:val="20"/>
        </w:rPr>
        <w:t>其結論指出，</w:t>
      </w:r>
      <w:r w:rsidRPr="00D33C79">
        <w:rPr>
          <w:rFonts w:hAnsi="Times New Roman" w:hint="eastAsia"/>
          <w:szCs w:val="20"/>
        </w:rPr>
        <w:t>發展國際郵輪母港的利害關係者包括港口經營者、郵輪業者、中央政府及母港所在地之城市主管機關。因此在港口經營策略上，港務公司應配合地方政府整體都市計畫將鄰近市區舊碼頭轉型成客運碼頭與親水空間，並投注更多資源發展郵輪相關產業，增進對於郵輪船舶的服務，吸引郵輪前來靠泊。另外也持續改善碼頭的相關硬體設施，例如在基隆與高雄</w:t>
      </w:r>
      <w:proofErr w:type="gramStart"/>
      <w:r w:rsidRPr="00D33C79">
        <w:rPr>
          <w:rFonts w:hAnsi="Times New Roman" w:hint="eastAsia"/>
          <w:szCs w:val="20"/>
        </w:rPr>
        <w:t>兩港皆有</w:t>
      </w:r>
      <w:proofErr w:type="gramEnd"/>
      <w:r w:rsidRPr="00D33C79">
        <w:rPr>
          <w:rFonts w:hAnsi="Times New Roman" w:hint="eastAsia"/>
          <w:szCs w:val="20"/>
        </w:rPr>
        <w:t>新建旅運大樓的計畫，並加速通關的效率，以增進對旅客的服務。對於政府來說，則應該推行有利於郵輪產業發展之政策，放寬對於通關檢疫及旅遊簽證的限制，促進郵輪產業發展，增進郵輪航商前來設立郵輪母港的意願等結論。</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受</w:t>
      </w:r>
      <w:proofErr w:type="gramStart"/>
      <w:r w:rsidRPr="00D33C79">
        <w:rPr>
          <w:rFonts w:hAnsi="Times New Roman" w:hint="eastAsia"/>
          <w:szCs w:val="20"/>
        </w:rPr>
        <w:t>新型冠</w:t>
      </w:r>
      <w:proofErr w:type="gramEnd"/>
      <w:r w:rsidRPr="00D33C79">
        <w:rPr>
          <w:rFonts w:hAnsi="Times New Roman" w:hint="eastAsia"/>
          <w:szCs w:val="20"/>
        </w:rPr>
        <w:t>狀病毒肺炎（COVID-19）疫情影響，我國國際郵輪自109年2月6日起經中央流行疫情指揮中心函示禁止靠泊我國港口，嗣經疫情解禁後，該指揮中心於111年10月24日核定交通部陳報「國際郵輪掛靠入港及母港作業操作指引」，始開放國際郵輪得靠泊我國港口，解除自109年以來禁止國際郵輪靠泊我國港口之「</w:t>
      </w:r>
      <w:proofErr w:type="gramStart"/>
      <w:r w:rsidRPr="00D33C79">
        <w:rPr>
          <w:rFonts w:hAnsi="Times New Roman" w:hint="eastAsia"/>
          <w:szCs w:val="20"/>
        </w:rPr>
        <w:t>禁郵</w:t>
      </w:r>
      <w:proofErr w:type="gramEnd"/>
      <w:r w:rsidRPr="00D33C79">
        <w:rPr>
          <w:rFonts w:hAnsi="Times New Roman" w:hint="eastAsia"/>
          <w:szCs w:val="20"/>
        </w:rPr>
        <w:t>令」</w:t>
      </w:r>
      <w:r w:rsidR="00914CCC" w:rsidRPr="00D33C79">
        <w:rPr>
          <w:rFonts w:hAnsi="Times New Roman" w:hint="eastAsia"/>
          <w:szCs w:val="20"/>
        </w:rPr>
        <w:t>。</w:t>
      </w:r>
      <w:r w:rsidRPr="00D33C79">
        <w:rPr>
          <w:rFonts w:hAnsi="Times New Roman" w:hint="eastAsia"/>
          <w:szCs w:val="20"/>
        </w:rPr>
        <w:t>依據112年3月1日預報船期，高雄港已新增掛靠港3航次及母港82航次，郵輪預報共計有94航次。</w:t>
      </w:r>
      <w:proofErr w:type="gramStart"/>
      <w:r w:rsidRPr="00D33C79">
        <w:rPr>
          <w:rFonts w:hAnsi="Times New Roman" w:hint="eastAsia"/>
          <w:szCs w:val="20"/>
        </w:rPr>
        <w:t>嗣</w:t>
      </w:r>
      <w:proofErr w:type="gramEnd"/>
      <w:r w:rsidRPr="00D33C79">
        <w:rPr>
          <w:rFonts w:hAnsi="Times New Roman" w:hint="eastAsia"/>
          <w:szCs w:val="20"/>
        </w:rPr>
        <w:t>經</w:t>
      </w:r>
      <w:proofErr w:type="gramStart"/>
      <w:r w:rsidRPr="00D33C79">
        <w:rPr>
          <w:rFonts w:hAnsi="Times New Roman" w:hint="eastAsia"/>
          <w:szCs w:val="20"/>
        </w:rPr>
        <w:t>審計部前抽</w:t>
      </w:r>
      <w:proofErr w:type="gramEnd"/>
      <w:r w:rsidRPr="00D33C79">
        <w:rPr>
          <w:rFonts w:hAnsi="Times New Roman" w:hint="eastAsia"/>
          <w:szCs w:val="20"/>
        </w:rPr>
        <w:t>查港務公司110年1至9月財務收支時，曾就國際郵輪停泊業務因受疫情影響，致</w:t>
      </w:r>
      <w:proofErr w:type="gramStart"/>
      <w:r w:rsidRPr="00D33C79">
        <w:rPr>
          <w:rFonts w:hAnsi="Times New Roman" w:hint="eastAsia"/>
          <w:szCs w:val="20"/>
        </w:rPr>
        <w:t>11</w:t>
      </w:r>
      <w:proofErr w:type="gramEnd"/>
      <w:r w:rsidRPr="00D33C79">
        <w:rPr>
          <w:rFonts w:hAnsi="Times New Roman" w:hint="eastAsia"/>
          <w:szCs w:val="20"/>
        </w:rPr>
        <w:t>0年度發生</w:t>
      </w:r>
      <w:r w:rsidRPr="00D33C79">
        <w:rPr>
          <w:rFonts w:hAnsi="Times New Roman" w:hint="eastAsia"/>
          <w:szCs w:val="20"/>
        </w:rPr>
        <w:lastRenderedPageBreak/>
        <w:t>營運虧損等情，函請檢討妥謀因應對策，據港務公司函復：已持續與相關單位針對復航後國際郵輪業務推動事宜進行商討，隨</w:t>
      </w:r>
      <w:proofErr w:type="gramStart"/>
      <w:r w:rsidRPr="00D33C79">
        <w:rPr>
          <w:rFonts w:hAnsi="Times New Roman" w:hint="eastAsia"/>
          <w:szCs w:val="20"/>
        </w:rPr>
        <w:t>疫情趨</w:t>
      </w:r>
      <w:proofErr w:type="gramEnd"/>
      <w:r w:rsidRPr="00D33C79">
        <w:rPr>
          <w:rFonts w:hAnsi="Times New Roman" w:hint="eastAsia"/>
          <w:szCs w:val="20"/>
        </w:rPr>
        <w:t>緩後，將</w:t>
      </w:r>
      <w:proofErr w:type="gramStart"/>
      <w:r w:rsidRPr="00D33C79">
        <w:rPr>
          <w:rFonts w:hAnsi="Times New Roman" w:hint="eastAsia"/>
          <w:szCs w:val="20"/>
        </w:rPr>
        <w:t>爭取跳島郵</w:t>
      </w:r>
      <w:proofErr w:type="gramEnd"/>
      <w:r w:rsidRPr="00D33C79">
        <w:rPr>
          <w:rFonts w:hAnsi="Times New Roman" w:hint="eastAsia"/>
          <w:szCs w:val="20"/>
        </w:rPr>
        <w:t>輪靠泊，以提升郵輪碼頭停泊收入；另亦積極招商，期引進企業進駐港區，推動各項客運空間活化等。</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經查，依港務公司郵輪旅遊網111年11月30日預報之郵輪船期資訊情形，預計112年到港航次計99筆，包括基隆港79航次、花蓮港11航次及高雄港9航次，其中高雄港112年國際郵輪預計</w:t>
      </w:r>
      <w:proofErr w:type="gramStart"/>
      <w:r w:rsidRPr="00D33C79">
        <w:rPr>
          <w:rFonts w:hAnsi="Times New Roman" w:hint="eastAsia"/>
          <w:szCs w:val="20"/>
        </w:rPr>
        <w:t>到港僅</w:t>
      </w:r>
      <w:proofErr w:type="gramEnd"/>
      <w:r w:rsidRPr="00D33C79">
        <w:rPr>
          <w:rFonts w:hAnsi="Times New Roman" w:hint="eastAsia"/>
          <w:szCs w:val="20"/>
        </w:rPr>
        <w:t>9航次，</w:t>
      </w:r>
      <w:proofErr w:type="gramStart"/>
      <w:r w:rsidRPr="00D33C79">
        <w:rPr>
          <w:rFonts w:hAnsi="Times New Roman" w:hint="eastAsia"/>
          <w:szCs w:val="20"/>
        </w:rPr>
        <w:t>且均</w:t>
      </w:r>
      <w:proofErr w:type="gramEnd"/>
      <w:r w:rsidRPr="00D33C79">
        <w:rPr>
          <w:rFonts w:hAnsi="Times New Roman" w:hint="eastAsia"/>
          <w:szCs w:val="20"/>
        </w:rPr>
        <w:t>為「掛靠」（短程過境）；又據報載，相關旅遊業者觀察，</w:t>
      </w:r>
      <w:proofErr w:type="gramStart"/>
      <w:r w:rsidRPr="00D33C79">
        <w:rPr>
          <w:rFonts w:hAnsi="Times New Roman" w:hint="eastAsia"/>
          <w:szCs w:val="20"/>
        </w:rPr>
        <w:t>預報表雖有</w:t>
      </w:r>
      <w:proofErr w:type="gramEnd"/>
      <w:r w:rsidRPr="00D33C79">
        <w:rPr>
          <w:rFonts w:hAnsi="Times New Roman" w:hint="eastAsia"/>
          <w:szCs w:val="20"/>
        </w:rPr>
        <w:t>不少國際郵輪來臺，惟實際</w:t>
      </w:r>
      <w:proofErr w:type="gramStart"/>
      <w:r w:rsidRPr="00D33C79">
        <w:rPr>
          <w:rFonts w:hAnsi="Times New Roman" w:hint="eastAsia"/>
          <w:szCs w:val="20"/>
        </w:rPr>
        <w:t>掛靠者可</w:t>
      </w:r>
      <w:proofErr w:type="gramEnd"/>
      <w:r w:rsidRPr="00D33C79">
        <w:rPr>
          <w:rFonts w:hAnsi="Times New Roman" w:hint="eastAsia"/>
          <w:szCs w:val="20"/>
        </w:rPr>
        <w:t>能僅有</w:t>
      </w:r>
      <w:proofErr w:type="gramStart"/>
      <w:r w:rsidRPr="00D33C79">
        <w:rPr>
          <w:rFonts w:hAnsi="Times New Roman" w:hint="eastAsia"/>
          <w:szCs w:val="20"/>
        </w:rPr>
        <w:t>5</w:t>
      </w:r>
      <w:proofErr w:type="gramEnd"/>
      <w:r w:rsidRPr="00D33C79">
        <w:rPr>
          <w:rFonts w:hAnsi="Times New Roman" w:hint="eastAsia"/>
          <w:szCs w:val="20"/>
        </w:rPr>
        <w:t>成，變數仍大，憂心112年郵輪市場恐只能復甦至</w:t>
      </w:r>
      <w:proofErr w:type="gramStart"/>
      <w:r w:rsidRPr="00D33C79">
        <w:rPr>
          <w:rFonts w:hAnsi="Times New Roman" w:hint="eastAsia"/>
          <w:szCs w:val="20"/>
        </w:rPr>
        <w:t>疫情</w:t>
      </w:r>
      <w:proofErr w:type="gramEnd"/>
      <w:r w:rsidRPr="00D33C79">
        <w:rPr>
          <w:rFonts w:hAnsi="Times New Roman" w:hint="eastAsia"/>
          <w:szCs w:val="20"/>
        </w:rPr>
        <w:t>前之</w:t>
      </w:r>
      <w:proofErr w:type="gramStart"/>
      <w:r w:rsidRPr="00D33C79">
        <w:rPr>
          <w:rFonts w:hAnsi="Times New Roman" w:hint="eastAsia"/>
          <w:szCs w:val="20"/>
        </w:rPr>
        <w:t>4</w:t>
      </w:r>
      <w:proofErr w:type="gramEnd"/>
      <w:r w:rsidRPr="00D33C79">
        <w:rPr>
          <w:rFonts w:hAnsi="Times New Roman" w:hint="eastAsia"/>
          <w:szCs w:val="20"/>
        </w:rPr>
        <w:t>成等情。另據交通部112年3月對立法院「高雄港國際郵輪業務推展報告」指出，依目前國際郵輪到港預報資料，</w:t>
      </w:r>
      <w:proofErr w:type="gramStart"/>
      <w:r w:rsidRPr="00D33C79">
        <w:rPr>
          <w:rFonts w:hAnsi="Times New Roman" w:hint="eastAsia"/>
          <w:szCs w:val="20"/>
        </w:rPr>
        <w:t>112</w:t>
      </w:r>
      <w:proofErr w:type="gramEnd"/>
      <w:r w:rsidRPr="00D33C79">
        <w:rPr>
          <w:rFonts w:hAnsi="Times New Roman" w:hint="eastAsia"/>
          <w:szCs w:val="20"/>
        </w:rPr>
        <w:t>年度已預報靠泊高雄港郵輪計154艘次，其中母港130艘次、掛靠港24艘次，預計帶來22.1萬旅客</w:t>
      </w:r>
      <w:proofErr w:type="gramStart"/>
      <w:r w:rsidRPr="00D33C79">
        <w:rPr>
          <w:rFonts w:hAnsi="Times New Roman" w:hint="eastAsia"/>
          <w:szCs w:val="20"/>
        </w:rPr>
        <w:t>人次</w:t>
      </w:r>
      <w:proofErr w:type="gramEnd"/>
      <w:r w:rsidRPr="00D33C79">
        <w:rPr>
          <w:rFonts w:hAnsi="Times New Roman" w:hint="eastAsia"/>
          <w:szCs w:val="20"/>
        </w:rPr>
        <w:t>，將創高雄港歷年新高等情。由以上說明可知，因應基隆港及高雄港旅運中心完工，及</w:t>
      </w:r>
      <w:proofErr w:type="gramStart"/>
      <w:r w:rsidRPr="00D33C79">
        <w:rPr>
          <w:rFonts w:hAnsi="Times New Roman" w:hint="eastAsia"/>
          <w:szCs w:val="20"/>
        </w:rPr>
        <w:t>疫情後</w:t>
      </w:r>
      <w:proofErr w:type="gramEnd"/>
      <w:r w:rsidRPr="00D33C79">
        <w:rPr>
          <w:rFonts w:hAnsi="Times New Roman" w:hint="eastAsia"/>
          <w:szCs w:val="20"/>
        </w:rPr>
        <w:t>國際郵輪陸續到港，港務公司應予持續加強國際郵輪行銷及區域港口合作，並與相關單位共同推廣郵輪業務，另亦應積極推動港埠旅運大樓智慧化應用相關工程，提供智慧旅運、智慧觀光與智慧營運等多樣服務，持續提升旅運設施服務水準，帶動郵輪產業發展。</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據復，港務公司於111年12月14日公告「112年國際客船優惠措施」，提供來</w:t>
      </w:r>
      <w:proofErr w:type="gramStart"/>
      <w:r w:rsidRPr="00D33C79">
        <w:rPr>
          <w:rFonts w:hAnsi="Times New Roman" w:hint="eastAsia"/>
          <w:szCs w:val="20"/>
        </w:rPr>
        <w:t>臺</w:t>
      </w:r>
      <w:proofErr w:type="gramEnd"/>
      <w:r w:rsidRPr="00D33C79">
        <w:rPr>
          <w:rFonts w:hAnsi="Times New Roman" w:hint="eastAsia"/>
          <w:szCs w:val="20"/>
        </w:rPr>
        <w:t>郵輪碼頭碇泊費，碼頭碇泊費全免、旅客服務費至少7折的優惠及旅客服務費，其中停靠超過目標航次享有旅客服務費</w:t>
      </w:r>
      <w:r w:rsidRPr="00D33C79">
        <w:rPr>
          <w:rFonts w:hAnsi="Times New Roman" w:hint="eastAsia"/>
          <w:szCs w:val="20"/>
        </w:rPr>
        <w:lastRenderedPageBreak/>
        <w:t>全免之優惠。</w:t>
      </w:r>
      <w:r w:rsidR="00914CCC" w:rsidRPr="00D33C79">
        <w:rPr>
          <w:rFonts w:hAnsi="Times New Roman" w:hint="eastAsia"/>
          <w:szCs w:val="20"/>
        </w:rPr>
        <w:t>該公司</w:t>
      </w:r>
      <w:r w:rsidRPr="00D33C79">
        <w:rPr>
          <w:rFonts w:hAnsi="Times New Roman" w:hint="eastAsia"/>
          <w:szCs w:val="20"/>
        </w:rPr>
        <w:t>另於111年12月分別前往歐洲、日本</w:t>
      </w:r>
      <w:r w:rsidR="00001C58" w:rsidRPr="00D33C79">
        <w:rPr>
          <w:rFonts w:hAnsi="Times New Roman" w:hint="eastAsia"/>
          <w:szCs w:val="20"/>
        </w:rPr>
        <w:t>、</w:t>
      </w:r>
      <w:r w:rsidRPr="00D33C79">
        <w:rPr>
          <w:rFonts w:hAnsi="Times New Roman" w:hint="eastAsia"/>
          <w:szCs w:val="20"/>
        </w:rPr>
        <w:t>新加坡</w:t>
      </w:r>
      <w:r w:rsidR="00001C58" w:rsidRPr="00D33C79">
        <w:rPr>
          <w:rFonts w:hAnsi="Times New Roman" w:hint="eastAsia"/>
          <w:szCs w:val="20"/>
        </w:rPr>
        <w:t>及</w:t>
      </w:r>
      <w:r w:rsidRPr="00D33C79">
        <w:rPr>
          <w:rFonts w:hAnsi="Times New Roman" w:hint="eastAsia"/>
          <w:szCs w:val="20"/>
        </w:rPr>
        <w:t>馬來西亞，拜訪郵輪及港口相關業者，直接向郵輪航商總部說明臺灣各港口之優惠方案，爭取國際郵輪來</w:t>
      </w:r>
      <w:proofErr w:type="gramStart"/>
      <w:r w:rsidRPr="00D33C79">
        <w:rPr>
          <w:rFonts w:hAnsi="Times New Roman" w:hint="eastAsia"/>
          <w:szCs w:val="20"/>
        </w:rPr>
        <w:t>臺</w:t>
      </w:r>
      <w:proofErr w:type="gramEnd"/>
      <w:r w:rsidRPr="00D33C79">
        <w:rPr>
          <w:rFonts w:hAnsi="Times New Roman" w:hint="eastAsia"/>
          <w:szCs w:val="20"/>
        </w:rPr>
        <w:t>靠泊；於112年3月與觀光署及航港局共同參加「全球郵輪界年度盛會Sea trade Cruise Global 2023郵輪展」，爭取各大國際郵輪復航臺灣。另國際郵輪掛靠、母港操作指引已於112年3月3日獲中央流行</w:t>
      </w:r>
      <w:proofErr w:type="gramStart"/>
      <w:r w:rsidRPr="00D33C79">
        <w:rPr>
          <w:rFonts w:hAnsi="Times New Roman" w:hint="eastAsia"/>
          <w:szCs w:val="20"/>
        </w:rPr>
        <w:t>疫</w:t>
      </w:r>
      <w:proofErr w:type="gramEnd"/>
      <w:r w:rsidRPr="00D33C79">
        <w:rPr>
          <w:rFonts w:hAnsi="Times New Roman" w:hint="eastAsia"/>
          <w:szCs w:val="20"/>
        </w:rPr>
        <w:t>情指揮中心核定放寬，其中掛靠入境旅客已改為「有症狀時再</w:t>
      </w:r>
      <w:proofErr w:type="gramStart"/>
      <w:r w:rsidRPr="00D33C79">
        <w:rPr>
          <w:rFonts w:hAnsi="Times New Roman" w:hint="eastAsia"/>
          <w:szCs w:val="20"/>
        </w:rPr>
        <w:t>快篩</w:t>
      </w:r>
      <w:proofErr w:type="gramEnd"/>
      <w:r w:rsidRPr="00D33C79">
        <w:rPr>
          <w:rFonts w:hAnsi="Times New Roman" w:hint="eastAsia"/>
          <w:szCs w:val="20"/>
        </w:rPr>
        <w:t>」，可望提升國際郵輪來臺意願，並持續加強國際行銷及區域港口合作並提升旅運設施，提供旅客完善之通關環境等情，惟因目前國際大型化郵輪趨勢，通關作業出入境旅客單次高達萬人，後續進出市區、旅客中心場站周邊，比平日增加為數可觀的交通量，除請市區道路、公路主管機關及警察單位協助周邊區域交通管制及指揮，以維持郵輪作業期間週邊的交通順暢外，並請交通部協助檢視，優化出入市區大眾運輸工具之便利性及服務水準。由以上說明可知，推動國際郵輪靠泊業務，</w:t>
      </w:r>
      <w:proofErr w:type="gramStart"/>
      <w:r w:rsidRPr="00D33C79">
        <w:rPr>
          <w:rFonts w:hAnsi="Times New Roman" w:hint="eastAsia"/>
          <w:szCs w:val="20"/>
        </w:rPr>
        <w:t>除於靠港</w:t>
      </w:r>
      <w:proofErr w:type="gramEnd"/>
      <w:r w:rsidRPr="00D33C79">
        <w:rPr>
          <w:rFonts w:hAnsi="Times New Roman" w:hint="eastAsia"/>
          <w:szCs w:val="20"/>
        </w:rPr>
        <w:t>優惠、碼頭行銷與旅運設施增設等作為，尚須與其他中央單位，如觀光推廣、運補、檢疫及簽證等配合，及地方政府共同配合推動。另依據運輸計劃季刊「探討臺灣港口發展國際郵輪母港之策略分析」結論</w:t>
      </w:r>
      <w:r w:rsidR="00914CCC" w:rsidRPr="00D33C79">
        <w:rPr>
          <w:rFonts w:hAnsi="Times New Roman" w:hint="eastAsia"/>
          <w:szCs w:val="20"/>
        </w:rPr>
        <w:t>亦</w:t>
      </w:r>
      <w:r w:rsidRPr="00D33C79">
        <w:rPr>
          <w:rFonts w:hAnsi="Times New Roman" w:hint="eastAsia"/>
          <w:szCs w:val="20"/>
        </w:rPr>
        <w:t>指出，發展國際郵輪母港的利害關係者包括港口經營者、郵輪業者、中央政府及母港所在地之城市主管機關，</w:t>
      </w:r>
      <w:r w:rsidR="00914CCC" w:rsidRPr="00D33C79">
        <w:rPr>
          <w:rFonts w:hAnsi="Times New Roman" w:hint="eastAsia"/>
          <w:szCs w:val="20"/>
        </w:rPr>
        <w:t>各單位的配合</w:t>
      </w:r>
      <w:r w:rsidRPr="00D33C79">
        <w:rPr>
          <w:rFonts w:hAnsi="Times New Roman" w:hint="eastAsia"/>
          <w:szCs w:val="20"/>
        </w:rPr>
        <w:t>缺一不可。</w:t>
      </w:r>
    </w:p>
    <w:p w:rsidR="00367FBD" w:rsidRPr="00D33C79" w:rsidRDefault="00367FBD" w:rsidP="00367FBD">
      <w:pPr>
        <w:pStyle w:val="3"/>
        <w:overflowPunct w:val="0"/>
        <w:ind w:left="1344"/>
        <w:rPr>
          <w:rFonts w:hAnsi="Times New Roman"/>
          <w:szCs w:val="20"/>
        </w:rPr>
      </w:pPr>
      <w:r w:rsidRPr="00D33C79">
        <w:rPr>
          <w:rFonts w:hAnsi="Times New Roman" w:hint="eastAsia"/>
          <w:szCs w:val="20"/>
        </w:rPr>
        <w:t>綜上，港務公司推動國際郵輪靠泊業務受</w:t>
      </w:r>
      <w:proofErr w:type="gramStart"/>
      <w:r w:rsidRPr="00D33C79">
        <w:rPr>
          <w:rFonts w:hAnsi="Times New Roman" w:hint="eastAsia"/>
          <w:szCs w:val="20"/>
        </w:rPr>
        <w:t>新型冠</w:t>
      </w:r>
      <w:proofErr w:type="gramEnd"/>
      <w:r w:rsidRPr="00D33C79">
        <w:rPr>
          <w:rFonts w:hAnsi="Times New Roman" w:hint="eastAsia"/>
          <w:szCs w:val="20"/>
        </w:rPr>
        <w:t>狀病毒肺炎疫情嚴重影響，惟疫情解禁後續復航業務推動事宜僅限於靠港優惠、碼頭行銷與旅運設施增設等作為，允宜加強與其他中央單位及地方政府共</w:t>
      </w:r>
      <w:r w:rsidRPr="00D33C79">
        <w:rPr>
          <w:rFonts w:hAnsi="Times New Roman" w:hint="eastAsia"/>
          <w:szCs w:val="20"/>
        </w:rPr>
        <w:lastRenderedPageBreak/>
        <w:t>同配合，如國際郵輪趨勢</w:t>
      </w:r>
      <w:r w:rsidR="00057E20" w:rsidRPr="00D33C79">
        <w:rPr>
          <w:rFonts w:hAnsi="Times New Roman" w:hint="eastAsia"/>
          <w:szCs w:val="20"/>
        </w:rPr>
        <w:t>，</w:t>
      </w:r>
      <w:r w:rsidRPr="00D33C79">
        <w:rPr>
          <w:rFonts w:hAnsi="Times New Roman" w:hint="eastAsia"/>
          <w:szCs w:val="20"/>
        </w:rPr>
        <w:t>通關作業出入境旅客單次</w:t>
      </w:r>
      <w:r w:rsidR="00057E20" w:rsidRPr="00D33C79">
        <w:rPr>
          <w:rFonts w:hAnsi="Times New Roman" w:hint="eastAsia"/>
          <w:szCs w:val="20"/>
        </w:rPr>
        <w:t>即</w:t>
      </w:r>
      <w:r w:rsidRPr="00D33C79">
        <w:rPr>
          <w:rFonts w:hAnsi="Times New Roman" w:hint="eastAsia"/>
          <w:szCs w:val="20"/>
        </w:rPr>
        <w:t>高達萬人，進出市區、旅客中心場站周邊，除由市區道路、公路主管機關及警察單位協助周邊區域交通管制及指揮，並可由交通部協助檢視，優化出入市區大眾運輸工具之便利性及服務水準，以推動國際郵輪靠泊業務。</w:t>
      </w:r>
    </w:p>
    <w:p w:rsidR="001463DD" w:rsidRPr="00D33C79" w:rsidRDefault="00AF33B7" w:rsidP="001E54FF">
      <w:pPr>
        <w:pStyle w:val="1"/>
        <w:overflowPunct w:val="0"/>
        <w:ind w:left="2380" w:hanging="2380"/>
      </w:pPr>
      <w:r w:rsidRPr="00D33C79">
        <w:br w:type="page"/>
      </w:r>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r w:rsidRPr="00D33C79">
        <w:rPr>
          <w:rFonts w:hint="eastAsia"/>
        </w:rPr>
        <w:lastRenderedPageBreak/>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C07177" w:rsidRPr="00D33C79" w:rsidRDefault="00C07177" w:rsidP="001E54FF">
      <w:pPr>
        <w:pStyle w:val="2"/>
        <w:overflowPunct w:val="0"/>
        <w:ind w:left="1020" w:hanging="680"/>
      </w:pPr>
      <w:bookmarkStart w:id="69" w:name="_Toc524895649"/>
      <w:bookmarkStart w:id="70" w:name="_Toc524896195"/>
      <w:bookmarkStart w:id="71" w:name="_Toc524896225"/>
      <w:bookmarkStart w:id="72" w:name="_Toc70241820"/>
      <w:bookmarkStart w:id="73" w:name="_Toc70242209"/>
      <w:bookmarkStart w:id="74" w:name="_Toc70241819"/>
      <w:bookmarkStart w:id="75" w:name="_Toc70242208"/>
      <w:bookmarkStart w:id="76" w:name="_Toc524902735"/>
      <w:bookmarkStart w:id="77" w:name="_Toc525066149"/>
      <w:bookmarkStart w:id="78" w:name="_Toc525070840"/>
      <w:bookmarkStart w:id="79" w:name="_Toc525938380"/>
      <w:bookmarkStart w:id="80" w:name="_Toc525939228"/>
      <w:bookmarkStart w:id="81" w:name="_Toc525939733"/>
      <w:bookmarkStart w:id="82" w:name="_Toc529218273"/>
      <w:bookmarkStart w:id="83" w:name="_Toc529222690"/>
      <w:bookmarkStart w:id="84" w:name="_Toc529223112"/>
      <w:bookmarkStart w:id="85" w:name="_Toc529223863"/>
      <w:bookmarkStart w:id="86" w:name="_Toc529228266"/>
      <w:bookmarkStart w:id="87" w:name="_Toc69556899"/>
      <w:bookmarkStart w:id="88" w:name="_Toc69556948"/>
      <w:bookmarkStart w:id="89" w:name="_Toc69609822"/>
      <w:bookmarkEnd w:id="69"/>
      <w:bookmarkEnd w:id="70"/>
      <w:bookmarkEnd w:id="71"/>
      <w:r w:rsidRPr="00D33C79">
        <w:rPr>
          <w:rFonts w:hint="eastAsia"/>
        </w:rPr>
        <w:t>調查意見</w:t>
      </w:r>
      <w:r w:rsidR="0055720C" w:rsidRPr="00D33C79">
        <w:rPr>
          <w:rFonts w:hint="eastAsia"/>
        </w:rPr>
        <w:t>一</w:t>
      </w:r>
      <w:r w:rsidRPr="00D33C79">
        <w:rPr>
          <w:rFonts w:hint="eastAsia"/>
        </w:rPr>
        <w:t>至</w:t>
      </w:r>
      <w:r w:rsidR="0055720C" w:rsidRPr="00D33C79">
        <w:rPr>
          <w:rFonts w:hint="eastAsia"/>
        </w:rPr>
        <w:t>三</w:t>
      </w:r>
      <w:r w:rsidRPr="00D33C79">
        <w:rPr>
          <w:rFonts w:hint="eastAsia"/>
        </w:rPr>
        <w:t>，</w:t>
      </w:r>
      <w:r w:rsidR="00125C7D" w:rsidRPr="00D33C79">
        <w:rPr>
          <w:rFonts w:hint="eastAsia"/>
        </w:rPr>
        <w:t>函請交通部督促臺灣港務股份有限公司確實檢討改進</w:t>
      </w:r>
      <w:proofErr w:type="gramStart"/>
      <w:r w:rsidR="00125C7D" w:rsidRPr="00D33C79">
        <w:rPr>
          <w:rFonts w:hint="eastAsia"/>
        </w:rPr>
        <w:t>見復</w:t>
      </w:r>
      <w:r w:rsidRPr="00D33C79">
        <w:rPr>
          <w:rFonts w:hAnsi="標楷體" w:hint="eastAsia"/>
        </w:rPr>
        <w:t>。</w:t>
      </w:r>
      <w:bookmarkEnd w:id="72"/>
      <w:bookmarkEnd w:id="73"/>
      <w:proofErr w:type="gramEnd"/>
    </w:p>
    <w:p w:rsidR="001463DD" w:rsidRPr="00D33C79" w:rsidRDefault="00AF33B7" w:rsidP="001E54FF">
      <w:pPr>
        <w:pStyle w:val="2"/>
        <w:overflowPunct w:val="0"/>
        <w:ind w:left="1020" w:hanging="680"/>
      </w:pPr>
      <w:r w:rsidRPr="00D33C79">
        <w:rPr>
          <w:rFonts w:hint="eastAsia"/>
        </w:rPr>
        <w:t>調查意見</w:t>
      </w:r>
      <w:r w:rsidR="004D15E4" w:rsidRPr="00D33C79">
        <w:rPr>
          <w:rFonts w:hint="eastAsia"/>
        </w:rPr>
        <w:t>一至三，</w:t>
      </w:r>
      <w:r w:rsidRPr="00D33C79">
        <w:rPr>
          <w:rFonts w:hint="eastAsia"/>
        </w:rPr>
        <w:t>函</w:t>
      </w:r>
      <w:r w:rsidR="004D15E4" w:rsidRPr="00D33C79">
        <w:rPr>
          <w:rFonts w:hint="eastAsia"/>
        </w:rPr>
        <w:t>復</w:t>
      </w:r>
      <w:r w:rsidR="0055720C" w:rsidRPr="00D33C79">
        <w:rPr>
          <w:rFonts w:hint="eastAsia"/>
        </w:rPr>
        <w:t>審計部</w:t>
      </w:r>
      <w:r w:rsidRPr="00D33C79">
        <w:rPr>
          <w:rFonts w:hint="eastAsia"/>
        </w:rPr>
        <w:t>。</w:t>
      </w:r>
      <w:bookmarkEnd w:id="74"/>
      <w:bookmarkEnd w:id="75"/>
    </w:p>
    <w:p w:rsidR="001463DD" w:rsidRPr="00D33C79" w:rsidRDefault="00AF33B7" w:rsidP="001E54FF">
      <w:pPr>
        <w:pStyle w:val="2"/>
        <w:overflowPunct w:val="0"/>
        <w:ind w:left="1020" w:hanging="680"/>
      </w:pPr>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D33C79">
        <w:rPr>
          <w:rFonts w:hint="eastAsia"/>
        </w:rPr>
        <w:t>檢</w:t>
      </w:r>
      <w:proofErr w:type="gramStart"/>
      <w:r w:rsidRPr="00D33C79">
        <w:rPr>
          <w:rFonts w:hint="eastAsia"/>
        </w:rPr>
        <w:t>附派查函</w:t>
      </w:r>
      <w:proofErr w:type="gramEnd"/>
      <w:r w:rsidRPr="00D33C79">
        <w:rPr>
          <w:rFonts w:hint="eastAsia"/>
        </w:rPr>
        <w:t>及相關附件，送請</w:t>
      </w:r>
      <w:r w:rsidR="004D15E4" w:rsidRPr="00D33C79">
        <w:rPr>
          <w:rFonts w:hint="eastAsia"/>
        </w:rPr>
        <w:t>交通</w:t>
      </w:r>
      <w:r w:rsidRPr="00D33C79">
        <w:rPr>
          <w:rFonts w:hint="eastAsia"/>
        </w:rPr>
        <w:t>及</w:t>
      </w:r>
      <w:r w:rsidR="004D15E4" w:rsidRPr="00D33C79">
        <w:rPr>
          <w:rFonts w:hint="eastAsia"/>
        </w:rPr>
        <w:t>採購</w:t>
      </w:r>
      <w:r w:rsidRPr="00D33C79">
        <w:rPr>
          <w:rFonts w:hint="eastAsia"/>
        </w:rPr>
        <w:t>委員會處理。</w:t>
      </w:r>
      <w:bookmarkEnd w:id="90"/>
      <w:bookmarkEnd w:id="91"/>
      <w:bookmarkEnd w:id="92"/>
      <w:bookmarkEnd w:id="93"/>
      <w:bookmarkEnd w:id="94"/>
      <w:bookmarkEnd w:id="95"/>
      <w:bookmarkEnd w:id="96"/>
      <w:bookmarkEnd w:id="97"/>
    </w:p>
    <w:p w:rsidR="001463DD" w:rsidRPr="00D33C79" w:rsidRDefault="00AF33B7" w:rsidP="001E54FF">
      <w:pPr>
        <w:pStyle w:val="a5"/>
        <w:kinsoku w:val="0"/>
        <w:overflowPunct w:val="0"/>
        <w:spacing w:before="0" w:after="0"/>
        <w:ind w:leftChars="1100" w:left="3742"/>
        <w:jc w:val="both"/>
        <w:rPr>
          <w:rFonts w:ascii="Times New Roman"/>
          <w:b w:val="0"/>
          <w:bCs/>
          <w:snapToGrid/>
          <w:spacing w:val="0"/>
          <w:kern w:val="0"/>
          <w:sz w:val="40"/>
        </w:rPr>
      </w:pPr>
      <w:r w:rsidRPr="00D33C79">
        <w:rPr>
          <w:rFonts w:hint="eastAsia"/>
          <w:b w:val="0"/>
          <w:bCs/>
          <w:snapToGrid/>
          <w:spacing w:val="12"/>
          <w:kern w:val="0"/>
          <w:sz w:val="40"/>
        </w:rPr>
        <w:t>調查委員：</w:t>
      </w:r>
      <w:r w:rsidR="00235072" w:rsidRPr="00D33C79">
        <w:rPr>
          <w:rFonts w:hint="eastAsia"/>
          <w:b w:val="0"/>
          <w:bCs/>
          <w:snapToGrid/>
          <w:spacing w:val="12"/>
          <w:kern w:val="0"/>
          <w:sz w:val="40"/>
        </w:rPr>
        <w:t>陳景峻</w:t>
      </w:r>
    </w:p>
    <w:p w:rsidR="001463DD" w:rsidRPr="00D33C79" w:rsidRDefault="00235072" w:rsidP="001E54FF">
      <w:pPr>
        <w:pStyle w:val="a5"/>
        <w:kinsoku w:val="0"/>
        <w:overflowPunct w:val="0"/>
        <w:spacing w:before="0" w:after="0"/>
        <w:ind w:leftChars="1100" w:left="3742" w:firstLineChars="500" w:firstLine="2021"/>
        <w:jc w:val="both"/>
        <w:rPr>
          <w:b w:val="0"/>
          <w:bCs/>
          <w:snapToGrid/>
          <w:spacing w:val="12"/>
          <w:kern w:val="0"/>
          <w:sz w:val="40"/>
          <w:szCs w:val="40"/>
        </w:rPr>
      </w:pPr>
      <w:r w:rsidRPr="00D33C79">
        <w:rPr>
          <w:rFonts w:hint="eastAsia"/>
          <w:b w:val="0"/>
          <w:bCs/>
          <w:snapToGrid/>
          <w:spacing w:val="12"/>
          <w:kern w:val="0"/>
        </w:rPr>
        <w:t xml:space="preserve"> </w:t>
      </w:r>
      <w:r w:rsidRPr="00D33C79">
        <w:rPr>
          <w:rFonts w:hint="eastAsia"/>
          <w:b w:val="0"/>
          <w:bCs/>
          <w:snapToGrid/>
          <w:spacing w:val="12"/>
          <w:kern w:val="0"/>
          <w:sz w:val="40"/>
          <w:szCs w:val="40"/>
        </w:rPr>
        <w:t>郭文東</w:t>
      </w:r>
    </w:p>
    <w:p w:rsidR="001463DD" w:rsidRPr="00D33C79" w:rsidRDefault="001463DD" w:rsidP="001E54FF">
      <w:pPr>
        <w:pStyle w:val="a5"/>
        <w:kinsoku w:val="0"/>
        <w:overflowPunct w:val="0"/>
        <w:spacing w:before="0" w:after="0"/>
        <w:ind w:leftChars="1100" w:left="3742" w:firstLineChars="500" w:firstLine="2021"/>
        <w:jc w:val="both"/>
        <w:rPr>
          <w:b w:val="0"/>
          <w:bCs/>
          <w:snapToGrid/>
          <w:spacing w:val="12"/>
          <w:kern w:val="0"/>
        </w:rPr>
      </w:pPr>
    </w:p>
    <w:p w:rsidR="004D15E4" w:rsidRPr="00D33C79" w:rsidRDefault="004D15E4" w:rsidP="001E54FF">
      <w:pPr>
        <w:pStyle w:val="a5"/>
        <w:kinsoku w:val="0"/>
        <w:overflowPunct w:val="0"/>
        <w:spacing w:before="0" w:after="0"/>
        <w:ind w:leftChars="1100" w:left="3742" w:firstLineChars="500" w:firstLine="2021"/>
        <w:jc w:val="both"/>
        <w:rPr>
          <w:b w:val="0"/>
          <w:bCs/>
          <w:snapToGrid/>
          <w:spacing w:val="12"/>
          <w:kern w:val="0"/>
        </w:rPr>
      </w:pPr>
    </w:p>
    <w:p w:rsidR="004D15E4" w:rsidRPr="00D33C79" w:rsidRDefault="004D15E4" w:rsidP="001E54FF">
      <w:pPr>
        <w:pStyle w:val="a5"/>
        <w:kinsoku w:val="0"/>
        <w:overflowPunct w:val="0"/>
        <w:spacing w:before="0" w:after="0"/>
        <w:ind w:leftChars="1100" w:left="3742" w:firstLineChars="500" w:firstLine="2021"/>
        <w:jc w:val="both"/>
        <w:rPr>
          <w:b w:val="0"/>
          <w:bCs/>
          <w:snapToGrid/>
          <w:spacing w:val="12"/>
          <w:kern w:val="0"/>
        </w:rPr>
      </w:pPr>
    </w:p>
    <w:p w:rsidR="001463DD" w:rsidRPr="00D33C79" w:rsidRDefault="001463DD" w:rsidP="001E54FF">
      <w:pPr>
        <w:pStyle w:val="a5"/>
        <w:kinsoku w:val="0"/>
        <w:overflowPunct w:val="0"/>
        <w:spacing w:before="0" w:after="0"/>
        <w:ind w:leftChars="1100" w:left="3742" w:firstLineChars="500" w:firstLine="2021"/>
        <w:jc w:val="both"/>
        <w:rPr>
          <w:b w:val="0"/>
          <w:bCs/>
          <w:snapToGrid/>
          <w:spacing w:val="12"/>
          <w:kern w:val="0"/>
        </w:rPr>
      </w:pPr>
    </w:p>
    <w:p w:rsidR="001463DD" w:rsidRPr="00D33C79" w:rsidRDefault="00AF33B7" w:rsidP="001E54FF">
      <w:pPr>
        <w:pStyle w:val="aa"/>
        <w:overflowPunct w:val="0"/>
        <w:rPr>
          <w:bCs/>
        </w:rPr>
      </w:pPr>
      <w:r w:rsidRPr="00D33C79">
        <w:rPr>
          <w:rFonts w:hint="eastAsia"/>
          <w:bCs/>
        </w:rPr>
        <w:t>中華民國</w:t>
      </w:r>
      <w:r w:rsidR="009F342C" w:rsidRPr="00D33C79">
        <w:rPr>
          <w:bCs/>
        </w:rPr>
        <w:t>11</w:t>
      </w:r>
      <w:r w:rsidR="005E6574" w:rsidRPr="00D33C79">
        <w:rPr>
          <w:bCs/>
        </w:rPr>
        <w:t>3</w:t>
      </w:r>
      <w:r w:rsidRPr="00D33C79">
        <w:rPr>
          <w:rFonts w:hint="eastAsia"/>
          <w:bCs/>
        </w:rPr>
        <w:t>年</w:t>
      </w:r>
      <w:r w:rsidR="00D33C79">
        <w:rPr>
          <w:rFonts w:hint="eastAsia"/>
          <w:bCs/>
        </w:rPr>
        <w:t>8</w:t>
      </w:r>
      <w:r w:rsidRPr="00D33C79">
        <w:rPr>
          <w:rFonts w:hint="eastAsia"/>
          <w:bCs/>
        </w:rPr>
        <w:t>月</w:t>
      </w:r>
      <w:r w:rsidR="00D33C79">
        <w:rPr>
          <w:rFonts w:hint="eastAsia"/>
          <w:bCs/>
        </w:rPr>
        <w:t>13</w:t>
      </w:r>
      <w:bookmarkStart w:id="98" w:name="_GoBack"/>
      <w:bookmarkEnd w:id="98"/>
      <w:r w:rsidRPr="00D33C79">
        <w:rPr>
          <w:rFonts w:hint="eastAsia"/>
          <w:bCs/>
        </w:rPr>
        <w:t>日</w:t>
      </w:r>
    </w:p>
    <w:p w:rsidR="000E4600" w:rsidRPr="00D33C79" w:rsidRDefault="000E4600" w:rsidP="001E54FF">
      <w:pPr>
        <w:pStyle w:val="aa"/>
        <w:overflowPunct w:val="0"/>
        <w:rPr>
          <w:bCs/>
        </w:rPr>
      </w:pPr>
    </w:p>
    <w:p w:rsidR="00E82598" w:rsidRPr="00D33C79" w:rsidRDefault="00E82598" w:rsidP="001E54FF">
      <w:pPr>
        <w:pStyle w:val="ab"/>
        <w:overflowPunct w:val="0"/>
        <w:ind w:left="1020" w:hanging="1020"/>
        <w:rPr>
          <w:bCs/>
        </w:rPr>
      </w:pPr>
      <w:r w:rsidRPr="00D33C79">
        <w:rPr>
          <w:rFonts w:hint="eastAsia"/>
          <w:bCs/>
        </w:rPr>
        <w:t>關鍵字：</w:t>
      </w:r>
      <w:r w:rsidR="00E2436D" w:rsidRPr="00D33C79">
        <w:rPr>
          <w:rFonts w:hint="eastAsia"/>
          <w:bCs/>
        </w:rPr>
        <w:t>郵輪旅運、基隆港旅運設施、高雄港旅運設施</w:t>
      </w:r>
    </w:p>
    <w:sectPr w:rsidR="00E82598" w:rsidRPr="00D33C7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709" w:rsidRDefault="00546709">
      <w:r>
        <w:separator/>
      </w:r>
    </w:p>
  </w:endnote>
  <w:endnote w:type="continuationSeparator" w:id="0">
    <w:p w:rsidR="00546709" w:rsidRDefault="0054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A25" w:rsidRDefault="00781A25">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781A25" w:rsidRDefault="00781A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709" w:rsidRDefault="00546709">
      <w:r>
        <w:separator/>
      </w:r>
    </w:p>
  </w:footnote>
  <w:footnote w:type="continuationSeparator" w:id="0">
    <w:p w:rsidR="00546709" w:rsidRDefault="00546709">
      <w:r>
        <w:continuationSeparator/>
      </w:r>
    </w:p>
  </w:footnote>
  <w:footnote w:id="1">
    <w:p w:rsidR="00F561F3" w:rsidRPr="00437D63" w:rsidRDefault="00F561F3">
      <w:pPr>
        <w:pStyle w:val="af2"/>
        <w:rPr>
          <w:rFonts w:ascii="標楷體" w:eastAsia="標楷體" w:hAnsi="標楷體"/>
        </w:rPr>
      </w:pPr>
      <w:r w:rsidRPr="00437D63">
        <w:rPr>
          <w:rStyle w:val="af4"/>
          <w:rFonts w:ascii="標楷體" w:eastAsia="標楷體" w:hAnsi="標楷體"/>
        </w:rPr>
        <w:footnoteRef/>
      </w:r>
      <w:r w:rsidRPr="00437D63">
        <w:rPr>
          <w:rFonts w:ascii="標楷體" w:eastAsia="標楷體" w:hAnsi="標楷體"/>
        </w:rPr>
        <w:t xml:space="preserve"> </w:t>
      </w:r>
      <w:r w:rsidR="0068701A" w:rsidRPr="00437D63">
        <w:rPr>
          <w:rFonts w:ascii="標楷體" w:eastAsia="標楷體" w:hAnsi="標楷體" w:hint="eastAsia"/>
        </w:rPr>
        <w:t>本院書狀</w:t>
      </w:r>
      <w:r w:rsidR="00437D63" w:rsidRPr="00437D63">
        <w:rPr>
          <w:rFonts w:ascii="標楷體" w:eastAsia="標楷體" w:hAnsi="標楷體" w:hint="eastAsia"/>
        </w:rPr>
        <w:t>字</w:t>
      </w:r>
      <w:r w:rsidR="0068701A" w:rsidRPr="00437D63">
        <w:rPr>
          <w:rFonts w:ascii="標楷體" w:eastAsia="標楷體" w:hAnsi="標楷體" w:hint="eastAsia"/>
        </w:rPr>
        <w:t>號：</w:t>
      </w:r>
      <w:r w:rsidR="00437D63" w:rsidRPr="00437D63">
        <w:rPr>
          <w:rFonts w:ascii="標楷體" w:eastAsia="標楷體" w:hAnsi="標楷體" w:hint="eastAsia"/>
        </w:rPr>
        <w:t>1</w:t>
      </w:r>
      <w:r w:rsidR="00437D63" w:rsidRPr="00437D63">
        <w:rPr>
          <w:rFonts w:ascii="標楷體" w:eastAsia="標楷體" w:hAnsi="標楷體"/>
        </w:rPr>
        <w:t>06</w:t>
      </w:r>
      <w:r w:rsidR="00437D63" w:rsidRPr="00437D63">
        <w:rPr>
          <w:rFonts w:ascii="標楷體" w:eastAsia="標楷體" w:hAnsi="標楷體" w:hint="eastAsia"/>
        </w:rPr>
        <w:t>年1</w:t>
      </w:r>
      <w:r w:rsidR="00437D63" w:rsidRPr="00437D63">
        <w:rPr>
          <w:rFonts w:ascii="標楷體" w:eastAsia="標楷體" w:hAnsi="標楷體"/>
        </w:rPr>
        <w:t>0</w:t>
      </w:r>
      <w:r w:rsidR="00437D63" w:rsidRPr="00437D63">
        <w:rPr>
          <w:rFonts w:ascii="標楷體" w:eastAsia="標楷體" w:hAnsi="標楷體" w:hint="eastAsia"/>
        </w:rPr>
        <w:t>月19日第1060707187號</w:t>
      </w:r>
    </w:p>
  </w:footnote>
  <w:footnote w:id="2">
    <w:p w:rsidR="00F561F3" w:rsidRPr="00437D63" w:rsidRDefault="00F561F3" w:rsidP="00125C7D">
      <w:pPr>
        <w:pStyle w:val="af2"/>
        <w:rPr>
          <w:rFonts w:ascii="標楷體" w:eastAsia="標楷體" w:hAnsi="標楷體"/>
        </w:rPr>
      </w:pPr>
      <w:r w:rsidRPr="00437D63">
        <w:rPr>
          <w:rStyle w:val="af4"/>
          <w:rFonts w:ascii="標楷體" w:eastAsia="標楷體" w:hAnsi="標楷體"/>
        </w:rPr>
        <w:footnoteRef/>
      </w:r>
      <w:r w:rsidRPr="00437D63">
        <w:rPr>
          <w:rFonts w:ascii="標楷體" w:eastAsia="標楷體" w:hAnsi="標楷體"/>
        </w:rPr>
        <w:t xml:space="preserve"> </w:t>
      </w:r>
      <w:r w:rsidR="00125C7D" w:rsidRPr="00437D63">
        <w:rPr>
          <w:rFonts w:ascii="標楷體" w:eastAsia="標楷體" w:hAnsi="標楷體" w:hint="eastAsia"/>
        </w:rPr>
        <w:t>審計部112年11月20日台審部交字第1128408976號函</w:t>
      </w:r>
    </w:p>
  </w:footnote>
  <w:footnote w:id="3">
    <w:p w:rsidR="00F561F3" w:rsidRPr="00437D63" w:rsidRDefault="00F561F3" w:rsidP="00125C7D">
      <w:pPr>
        <w:pStyle w:val="af2"/>
        <w:rPr>
          <w:rFonts w:ascii="標楷體" w:eastAsia="標楷體" w:hAnsi="標楷體"/>
        </w:rPr>
      </w:pPr>
      <w:r w:rsidRPr="00437D63">
        <w:rPr>
          <w:rStyle w:val="af4"/>
          <w:rFonts w:ascii="標楷體" w:eastAsia="標楷體" w:hAnsi="標楷體"/>
        </w:rPr>
        <w:footnoteRef/>
      </w:r>
      <w:r w:rsidRPr="00437D63">
        <w:rPr>
          <w:rFonts w:ascii="標楷體" w:eastAsia="標楷體" w:hAnsi="標楷體"/>
        </w:rPr>
        <w:t xml:space="preserve"> </w:t>
      </w:r>
      <w:r w:rsidR="00125C7D" w:rsidRPr="00437D63">
        <w:rPr>
          <w:rFonts w:ascii="標楷體" w:eastAsia="標楷體" w:hAnsi="標楷體" w:hint="eastAsia"/>
        </w:rPr>
        <w:t>交通部113年1月10日交航字第1120041290號函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3148F1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3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665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31293A43"/>
    <w:multiLevelType w:val="multilevel"/>
    <w:tmpl w:val="228CC204"/>
    <w:lvl w:ilvl="0">
      <w:start w:val="1"/>
      <w:numFmt w:val="taiwaneseCountingThousand"/>
      <w:suff w:val="space"/>
      <w:lvlText w:val="%1、"/>
      <w:lvlJc w:val="left"/>
      <w:pPr>
        <w:ind w:left="953" w:hanging="641"/>
      </w:pPr>
      <w:rPr>
        <w:rFonts w:ascii="標楷體" w:eastAsia="標楷體" w:hint="eastAsia"/>
        <w:b w:val="0"/>
        <w:i w:val="0"/>
        <w:caps w:val="0"/>
        <w:strike w:val="0"/>
        <w:dstrike w:val="0"/>
        <w:outline w:val="0"/>
        <w:shadow w:val="0"/>
        <w:emboss w:val="0"/>
        <w:imprint w:val="0"/>
        <w:vanish w:val="0"/>
        <w:sz w:val="32"/>
        <w:vertAlign w:val="baseline"/>
      </w:rPr>
    </w:lvl>
    <w:lvl w:ilvl="1">
      <w:start w:val="1"/>
      <w:numFmt w:val="taiwaneseCountingThousand"/>
      <w:suff w:val="nothing"/>
      <w:lvlText w:val="（%2）"/>
      <w:lvlJc w:val="left"/>
      <w:pPr>
        <w:ind w:left="1605" w:hanging="959"/>
      </w:pPr>
      <w:rPr>
        <w:rFonts w:ascii="標楷體" w:eastAsia="標楷體" w:hint="eastAsia"/>
        <w:b w:val="0"/>
        <w:i w:val="0"/>
        <w:caps w:val="0"/>
        <w:strike w:val="0"/>
        <w:dstrike w:val="0"/>
        <w:outline w:val="0"/>
        <w:shadow w:val="0"/>
        <w:emboss w:val="0"/>
        <w:imprint w:val="0"/>
        <w:vanish w:val="0"/>
        <w:sz w:val="32"/>
        <w:vertAlign w:val="baseline"/>
      </w:rPr>
    </w:lvl>
    <w:lvl w:ilvl="2">
      <w:start w:val="1"/>
      <w:numFmt w:val="decimalFullWidth"/>
      <w:suff w:val="nothing"/>
      <w:lvlText w:val="%3、"/>
      <w:lvlJc w:val="left"/>
      <w:pPr>
        <w:ind w:left="1605" w:hanging="641"/>
      </w:pPr>
      <w:rPr>
        <w:rFonts w:ascii="標楷體" w:eastAsia="標楷體" w:hint="eastAsia"/>
        <w:b w:val="0"/>
        <w:i w:val="0"/>
        <w:caps w:val="0"/>
        <w:strike w:val="0"/>
        <w:dstrike w:val="0"/>
        <w:outline w:val="0"/>
        <w:shadow w:val="0"/>
        <w:emboss w:val="0"/>
        <w:imprint w:val="0"/>
        <w:vanish w:val="0"/>
        <w:sz w:val="32"/>
        <w:vertAlign w:val="baseline"/>
      </w:rPr>
    </w:lvl>
    <w:lvl w:ilvl="3">
      <w:start w:val="1"/>
      <w:numFmt w:val="decimalFullWidth"/>
      <w:suff w:val="nothing"/>
      <w:lvlText w:val="（%4）"/>
      <w:lvlJc w:val="left"/>
      <w:pPr>
        <w:ind w:left="2240" w:hanging="970"/>
      </w:pPr>
      <w:rPr>
        <w:rFonts w:ascii="標楷體" w:eastAsia="標楷體" w:hint="eastAsia"/>
        <w:b w:val="0"/>
        <w:i w:val="0"/>
        <w:caps w:val="0"/>
        <w:strike w:val="0"/>
        <w:dstrike w:val="0"/>
        <w:outline w:val="0"/>
        <w:shadow w:val="0"/>
        <w:emboss w:val="0"/>
        <w:imprint w:val="0"/>
        <w:vanish w:val="0"/>
        <w:sz w:val="32"/>
        <w:vertAlign w:val="baseline"/>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1C58"/>
    <w:rsid w:val="00002EDE"/>
    <w:rsid w:val="000032B8"/>
    <w:rsid w:val="000059E9"/>
    <w:rsid w:val="00005B5A"/>
    <w:rsid w:val="00007A9C"/>
    <w:rsid w:val="00007F48"/>
    <w:rsid w:val="00015D93"/>
    <w:rsid w:val="0002055F"/>
    <w:rsid w:val="00020DA2"/>
    <w:rsid w:val="00033D7C"/>
    <w:rsid w:val="00036FD4"/>
    <w:rsid w:val="00040F1B"/>
    <w:rsid w:val="000444F2"/>
    <w:rsid w:val="00045ACA"/>
    <w:rsid w:val="00047511"/>
    <w:rsid w:val="000477C9"/>
    <w:rsid w:val="00047C2D"/>
    <w:rsid w:val="00052439"/>
    <w:rsid w:val="000554F4"/>
    <w:rsid w:val="00057779"/>
    <w:rsid w:val="00057E20"/>
    <w:rsid w:val="00061A85"/>
    <w:rsid w:val="0006542A"/>
    <w:rsid w:val="00066AAA"/>
    <w:rsid w:val="00076ADF"/>
    <w:rsid w:val="000828D4"/>
    <w:rsid w:val="000869BB"/>
    <w:rsid w:val="000B2136"/>
    <w:rsid w:val="000B6B95"/>
    <w:rsid w:val="000D1BD6"/>
    <w:rsid w:val="000D58ED"/>
    <w:rsid w:val="000D7403"/>
    <w:rsid w:val="000E4600"/>
    <w:rsid w:val="000F0236"/>
    <w:rsid w:val="000F6504"/>
    <w:rsid w:val="000F65C8"/>
    <w:rsid w:val="00102D14"/>
    <w:rsid w:val="001037C6"/>
    <w:rsid w:val="0011126A"/>
    <w:rsid w:val="001137F7"/>
    <w:rsid w:val="0012448D"/>
    <w:rsid w:val="00125C7D"/>
    <w:rsid w:val="00131F02"/>
    <w:rsid w:val="00131FC8"/>
    <w:rsid w:val="0013615E"/>
    <w:rsid w:val="0014272C"/>
    <w:rsid w:val="00143565"/>
    <w:rsid w:val="0014369B"/>
    <w:rsid w:val="00145EA5"/>
    <w:rsid w:val="001463DD"/>
    <w:rsid w:val="00147067"/>
    <w:rsid w:val="001475C8"/>
    <w:rsid w:val="001523D7"/>
    <w:rsid w:val="00164DD7"/>
    <w:rsid w:val="00165120"/>
    <w:rsid w:val="0018094D"/>
    <w:rsid w:val="0018132B"/>
    <w:rsid w:val="00184AE8"/>
    <w:rsid w:val="00196998"/>
    <w:rsid w:val="0019724E"/>
    <w:rsid w:val="001A4294"/>
    <w:rsid w:val="001A4F3D"/>
    <w:rsid w:val="001A7D61"/>
    <w:rsid w:val="001B122F"/>
    <w:rsid w:val="001B2844"/>
    <w:rsid w:val="001C1310"/>
    <w:rsid w:val="001C2E75"/>
    <w:rsid w:val="001C7ABC"/>
    <w:rsid w:val="001D596E"/>
    <w:rsid w:val="001E0686"/>
    <w:rsid w:val="001E07DB"/>
    <w:rsid w:val="001E0D16"/>
    <w:rsid w:val="001E54FF"/>
    <w:rsid w:val="001F1150"/>
    <w:rsid w:val="001F6E83"/>
    <w:rsid w:val="002004EB"/>
    <w:rsid w:val="002036F6"/>
    <w:rsid w:val="002047F7"/>
    <w:rsid w:val="002067E4"/>
    <w:rsid w:val="0021069E"/>
    <w:rsid w:val="0021481D"/>
    <w:rsid w:val="00214902"/>
    <w:rsid w:val="002168DF"/>
    <w:rsid w:val="00216C47"/>
    <w:rsid w:val="0022051D"/>
    <w:rsid w:val="0022274F"/>
    <w:rsid w:val="00232C8E"/>
    <w:rsid w:val="0023319A"/>
    <w:rsid w:val="0023341E"/>
    <w:rsid w:val="002343A5"/>
    <w:rsid w:val="00235072"/>
    <w:rsid w:val="00235A44"/>
    <w:rsid w:val="00236138"/>
    <w:rsid w:val="00240C19"/>
    <w:rsid w:val="00245E17"/>
    <w:rsid w:val="002516D7"/>
    <w:rsid w:val="002524D1"/>
    <w:rsid w:val="00253279"/>
    <w:rsid w:val="00262CD2"/>
    <w:rsid w:val="002636E2"/>
    <w:rsid w:val="00263BF2"/>
    <w:rsid w:val="00265197"/>
    <w:rsid w:val="00267AB5"/>
    <w:rsid w:val="00276409"/>
    <w:rsid w:val="00276654"/>
    <w:rsid w:val="00277702"/>
    <w:rsid w:val="0028161C"/>
    <w:rsid w:val="00293EC3"/>
    <w:rsid w:val="0029426F"/>
    <w:rsid w:val="002A0C48"/>
    <w:rsid w:val="002B40E8"/>
    <w:rsid w:val="002B5B1D"/>
    <w:rsid w:val="002C4C50"/>
    <w:rsid w:val="002D05FB"/>
    <w:rsid w:val="002D1491"/>
    <w:rsid w:val="002D23FC"/>
    <w:rsid w:val="002D3D07"/>
    <w:rsid w:val="002D3FB1"/>
    <w:rsid w:val="002D4F71"/>
    <w:rsid w:val="002D6D73"/>
    <w:rsid w:val="002E0E4B"/>
    <w:rsid w:val="002E1A32"/>
    <w:rsid w:val="002E2021"/>
    <w:rsid w:val="002E5761"/>
    <w:rsid w:val="002F3B8B"/>
    <w:rsid w:val="002F42C0"/>
    <w:rsid w:val="002F44DE"/>
    <w:rsid w:val="002F5958"/>
    <w:rsid w:val="002F5CD1"/>
    <w:rsid w:val="003017EA"/>
    <w:rsid w:val="00301906"/>
    <w:rsid w:val="00302560"/>
    <w:rsid w:val="00306682"/>
    <w:rsid w:val="0031005C"/>
    <w:rsid w:val="00316D35"/>
    <w:rsid w:val="00322781"/>
    <w:rsid w:val="00322FCE"/>
    <w:rsid w:val="00323BBE"/>
    <w:rsid w:val="0032414E"/>
    <w:rsid w:val="003306F0"/>
    <w:rsid w:val="003409C4"/>
    <w:rsid w:val="00341F6D"/>
    <w:rsid w:val="00342F3C"/>
    <w:rsid w:val="00345A81"/>
    <w:rsid w:val="0035331C"/>
    <w:rsid w:val="003551D3"/>
    <w:rsid w:val="003614FE"/>
    <w:rsid w:val="00365105"/>
    <w:rsid w:val="00365923"/>
    <w:rsid w:val="00367FBD"/>
    <w:rsid w:val="0037297C"/>
    <w:rsid w:val="00373730"/>
    <w:rsid w:val="003767CC"/>
    <w:rsid w:val="0038181F"/>
    <w:rsid w:val="00381EA9"/>
    <w:rsid w:val="00382622"/>
    <w:rsid w:val="00382D69"/>
    <w:rsid w:val="0038369D"/>
    <w:rsid w:val="00386136"/>
    <w:rsid w:val="00387854"/>
    <w:rsid w:val="0039438F"/>
    <w:rsid w:val="003A1159"/>
    <w:rsid w:val="003A1FE8"/>
    <w:rsid w:val="003A28D5"/>
    <w:rsid w:val="003A2CE1"/>
    <w:rsid w:val="003A312D"/>
    <w:rsid w:val="003A3830"/>
    <w:rsid w:val="003A693E"/>
    <w:rsid w:val="003B0396"/>
    <w:rsid w:val="003B0743"/>
    <w:rsid w:val="003C1A9E"/>
    <w:rsid w:val="003C1C1B"/>
    <w:rsid w:val="003C31F5"/>
    <w:rsid w:val="003D0A3B"/>
    <w:rsid w:val="003D17BE"/>
    <w:rsid w:val="003E2204"/>
    <w:rsid w:val="003F692E"/>
    <w:rsid w:val="00400570"/>
    <w:rsid w:val="004018C4"/>
    <w:rsid w:val="00406837"/>
    <w:rsid w:val="00416DB6"/>
    <w:rsid w:val="00423AB2"/>
    <w:rsid w:val="00424CC6"/>
    <w:rsid w:val="00425B89"/>
    <w:rsid w:val="00426507"/>
    <w:rsid w:val="0042793C"/>
    <w:rsid w:val="004344BC"/>
    <w:rsid w:val="00437D63"/>
    <w:rsid w:val="00445CE7"/>
    <w:rsid w:val="00446238"/>
    <w:rsid w:val="00453274"/>
    <w:rsid w:val="00453D7E"/>
    <w:rsid w:val="0045527E"/>
    <w:rsid w:val="004571D0"/>
    <w:rsid w:val="004573E4"/>
    <w:rsid w:val="00457B30"/>
    <w:rsid w:val="00457F80"/>
    <w:rsid w:val="00463D37"/>
    <w:rsid w:val="0047056C"/>
    <w:rsid w:val="0047420F"/>
    <w:rsid w:val="004802DD"/>
    <w:rsid w:val="00482677"/>
    <w:rsid w:val="00482FF4"/>
    <w:rsid w:val="00487FFD"/>
    <w:rsid w:val="00490EEC"/>
    <w:rsid w:val="0049204B"/>
    <w:rsid w:val="0049214E"/>
    <w:rsid w:val="00492E2A"/>
    <w:rsid w:val="00493A3F"/>
    <w:rsid w:val="0049441A"/>
    <w:rsid w:val="00494A66"/>
    <w:rsid w:val="00497CFF"/>
    <w:rsid w:val="004B1D66"/>
    <w:rsid w:val="004C1A1C"/>
    <w:rsid w:val="004D15E4"/>
    <w:rsid w:val="004D2030"/>
    <w:rsid w:val="004E0373"/>
    <w:rsid w:val="004F2FDA"/>
    <w:rsid w:val="00503225"/>
    <w:rsid w:val="005053DF"/>
    <w:rsid w:val="005053F3"/>
    <w:rsid w:val="0050783B"/>
    <w:rsid w:val="005106F2"/>
    <w:rsid w:val="00511A87"/>
    <w:rsid w:val="00512763"/>
    <w:rsid w:val="005149D1"/>
    <w:rsid w:val="005207B9"/>
    <w:rsid w:val="00522AF1"/>
    <w:rsid w:val="00526DE5"/>
    <w:rsid w:val="005325EB"/>
    <w:rsid w:val="00532F8F"/>
    <w:rsid w:val="00535FF4"/>
    <w:rsid w:val="00543C90"/>
    <w:rsid w:val="00546709"/>
    <w:rsid w:val="00546C27"/>
    <w:rsid w:val="00554869"/>
    <w:rsid w:val="005552AD"/>
    <w:rsid w:val="005561F6"/>
    <w:rsid w:val="005563A0"/>
    <w:rsid w:val="00556884"/>
    <w:rsid w:val="00556F7D"/>
    <w:rsid w:val="0055720C"/>
    <w:rsid w:val="00557D28"/>
    <w:rsid w:val="00571537"/>
    <w:rsid w:val="00582203"/>
    <w:rsid w:val="005834CD"/>
    <w:rsid w:val="005848CA"/>
    <w:rsid w:val="005960C1"/>
    <w:rsid w:val="005A1D36"/>
    <w:rsid w:val="005A65C9"/>
    <w:rsid w:val="005A6D32"/>
    <w:rsid w:val="005C1B3E"/>
    <w:rsid w:val="005C3145"/>
    <w:rsid w:val="005C453D"/>
    <w:rsid w:val="005D2BF5"/>
    <w:rsid w:val="005D4195"/>
    <w:rsid w:val="005D7991"/>
    <w:rsid w:val="005E0134"/>
    <w:rsid w:val="005E198F"/>
    <w:rsid w:val="005E45BC"/>
    <w:rsid w:val="005E5541"/>
    <w:rsid w:val="005E6574"/>
    <w:rsid w:val="005F1E44"/>
    <w:rsid w:val="005F63B1"/>
    <w:rsid w:val="005F6FF1"/>
    <w:rsid w:val="006020BB"/>
    <w:rsid w:val="006078C9"/>
    <w:rsid w:val="0061322D"/>
    <w:rsid w:val="00614581"/>
    <w:rsid w:val="00614942"/>
    <w:rsid w:val="00614ADE"/>
    <w:rsid w:val="0061793F"/>
    <w:rsid w:val="00620688"/>
    <w:rsid w:val="00620904"/>
    <w:rsid w:val="0062099A"/>
    <w:rsid w:val="00623C64"/>
    <w:rsid w:val="0063028B"/>
    <w:rsid w:val="00630B07"/>
    <w:rsid w:val="00630F93"/>
    <w:rsid w:val="00634E07"/>
    <w:rsid w:val="006362D4"/>
    <w:rsid w:val="006374CB"/>
    <w:rsid w:val="00640378"/>
    <w:rsid w:val="00645CD7"/>
    <w:rsid w:val="00647E27"/>
    <w:rsid w:val="006520D4"/>
    <w:rsid w:val="00663C1B"/>
    <w:rsid w:val="0066401C"/>
    <w:rsid w:val="006648C8"/>
    <w:rsid w:val="00671A43"/>
    <w:rsid w:val="00674914"/>
    <w:rsid w:val="00680CCB"/>
    <w:rsid w:val="0068132E"/>
    <w:rsid w:val="0068701A"/>
    <w:rsid w:val="00691C15"/>
    <w:rsid w:val="00692ECF"/>
    <w:rsid w:val="006A0FEB"/>
    <w:rsid w:val="006A4B5B"/>
    <w:rsid w:val="006B03F4"/>
    <w:rsid w:val="006B1C76"/>
    <w:rsid w:val="006B66D5"/>
    <w:rsid w:val="006C7120"/>
    <w:rsid w:val="006D0FFC"/>
    <w:rsid w:val="006D1679"/>
    <w:rsid w:val="006E1461"/>
    <w:rsid w:val="006E25B6"/>
    <w:rsid w:val="006E2905"/>
    <w:rsid w:val="006F0586"/>
    <w:rsid w:val="006F1497"/>
    <w:rsid w:val="006F3E29"/>
    <w:rsid w:val="006F7E98"/>
    <w:rsid w:val="00701CD2"/>
    <w:rsid w:val="007108FF"/>
    <w:rsid w:val="00714696"/>
    <w:rsid w:val="00715224"/>
    <w:rsid w:val="00724333"/>
    <w:rsid w:val="007364A9"/>
    <w:rsid w:val="00737AA5"/>
    <w:rsid w:val="007452FC"/>
    <w:rsid w:val="00752903"/>
    <w:rsid w:val="0075487D"/>
    <w:rsid w:val="0076281D"/>
    <w:rsid w:val="007708D3"/>
    <w:rsid w:val="00772235"/>
    <w:rsid w:val="00780F00"/>
    <w:rsid w:val="00781A25"/>
    <w:rsid w:val="00786A28"/>
    <w:rsid w:val="007945A4"/>
    <w:rsid w:val="00794F99"/>
    <w:rsid w:val="007A494B"/>
    <w:rsid w:val="007C2F41"/>
    <w:rsid w:val="007D0632"/>
    <w:rsid w:val="007E099C"/>
    <w:rsid w:val="007E3EC4"/>
    <w:rsid w:val="007E56B9"/>
    <w:rsid w:val="007E645E"/>
    <w:rsid w:val="007F16C1"/>
    <w:rsid w:val="007F28CC"/>
    <w:rsid w:val="007F330F"/>
    <w:rsid w:val="007F3E1D"/>
    <w:rsid w:val="007F4421"/>
    <w:rsid w:val="007F4641"/>
    <w:rsid w:val="007F5160"/>
    <w:rsid w:val="00810AB5"/>
    <w:rsid w:val="008144C7"/>
    <w:rsid w:val="0082021C"/>
    <w:rsid w:val="00821575"/>
    <w:rsid w:val="00823966"/>
    <w:rsid w:val="008239FB"/>
    <w:rsid w:val="00826991"/>
    <w:rsid w:val="00827D47"/>
    <w:rsid w:val="008378C1"/>
    <w:rsid w:val="008463C6"/>
    <w:rsid w:val="00847345"/>
    <w:rsid w:val="00851B76"/>
    <w:rsid w:val="00852C4F"/>
    <w:rsid w:val="008538B9"/>
    <w:rsid w:val="00855BBE"/>
    <w:rsid w:val="0085771B"/>
    <w:rsid w:val="0086057E"/>
    <w:rsid w:val="00860F98"/>
    <w:rsid w:val="00862352"/>
    <w:rsid w:val="00862928"/>
    <w:rsid w:val="00863DA5"/>
    <w:rsid w:val="0086576B"/>
    <w:rsid w:val="00870A8D"/>
    <w:rsid w:val="008723E7"/>
    <w:rsid w:val="00874A7A"/>
    <w:rsid w:val="008800DB"/>
    <w:rsid w:val="00886FEA"/>
    <w:rsid w:val="00893812"/>
    <w:rsid w:val="0089569C"/>
    <w:rsid w:val="00895E92"/>
    <w:rsid w:val="008A14E9"/>
    <w:rsid w:val="008A20E2"/>
    <w:rsid w:val="008A31B3"/>
    <w:rsid w:val="008A3993"/>
    <w:rsid w:val="008A7BFC"/>
    <w:rsid w:val="008B089D"/>
    <w:rsid w:val="008B3118"/>
    <w:rsid w:val="008B3A9C"/>
    <w:rsid w:val="008B48C6"/>
    <w:rsid w:val="008B7AE1"/>
    <w:rsid w:val="008C3999"/>
    <w:rsid w:val="008C5FA1"/>
    <w:rsid w:val="008C766F"/>
    <w:rsid w:val="008D03AC"/>
    <w:rsid w:val="008D3C43"/>
    <w:rsid w:val="008E0608"/>
    <w:rsid w:val="008E3B1A"/>
    <w:rsid w:val="008E5E4B"/>
    <w:rsid w:val="008F121A"/>
    <w:rsid w:val="008F1A2F"/>
    <w:rsid w:val="008F23C0"/>
    <w:rsid w:val="008F48D1"/>
    <w:rsid w:val="008F4B72"/>
    <w:rsid w:val="008F4F31"/>
    <w:rsid w:val="008F5CDC"/>
    <w:rsid w:val="0090387D"/>
    <w:rsid w:val="009100EB"/>
    <w:rsid w:val="00914CCC"/>
    <w:rsid w:val="009177EA"/>
    <w:rsid w:val="00923105"/>
    <w:rsid w:val="00927CC6"/>
    <w:rsid w:val="00930841"/>
    <w:rsid w:val="009323FB"/>
    <w:rsid w:val="009327D5"/>
    <w:rsid w:val="00936C1B"/>
    <w:rsid w:val="00937321"/>
    <w:rsid w:val="00942A6C"/>
    <w:rsid w:val="0094481D"/>
    <w:rsid w:val="00945A4B"/>
    <w:rsid w:val="00953A57"/>
    <w:rsid w:val="009609AB"/>
    <w:rsid w:val="009616CB"/>
    <w:rsid w:val="00962218"/>
    <w:rsid w:val="00964106"/>
    <w:rsid w:val="00967D00"/>
    <w:rsid w:val="00971D6B"/>
    <w:rsid w:val="00971ED3"/>
    <w:rsid w:val="009723DA"/>
    <w:rsid w:val="009754A1"/>
    <w:rsid w:val="00976281"/>
    <w:rsid w:val="009902CA"/>
    <w:rsid w:val="00992F30"/>
    <w:rsid w:val="00993209"/>
    <w:rsid w:val="00993A99"/>
    <w:rsid w:val="00993ED9"/>
    <w:rsid w:val="00996A01"/>
    <w:rsid w:val="009A0DB5"/>
    <w:rsid w:val="009A262D"/>
    <w:rsid w:val="009C47BE"/>
    <w:rsid w:val="009C76DE"/>
    <w:rsid w:val="009D6EDD"/>
    <w:rsid w:val="009E1444"/>
    <w:rsid w:val="009E5DCA"/>
    <w:rsid w:val="009F148C"/>
    <w:rsid w:val="009F342C"/>
    <w:rsid w:val="009F417B"/>
    <w:rsid w:val="00A07A54"/>
    <w:rsid w:val="00A20093"/>
    <w:rsid w:val="00A25B18"/>
    <w:rsid w:val="00A27D27"/>
    <w:rsid w:val="00A35FCC"/>
    <w:rsid w:val="00A40D78"/>
    <w:rsid w:val="00A43B07"/>
    <w:rsid w:val="00A43E4E"/>
    <w:rsid w:val="00A44237"/>
    <w:rsid w:val="00A50292"/>
    <w:rsid w:val="00A53E68"/>
    <w:rsid w:val="00A734EB"/>
    <w:rsid w:val="00A7651B"/>
    <w:rsid w:val="00A822FF"/>
    <w:rsid w:val="00A83F76"/>
    <w:rsid w:val="00A8487A"/>
    <w:rsid w:val="00A84B79"/>
    <w:rsid w:val="00A90053"/>
    <w:rsid w:val="00A900AB"/>
    <w:rsid w:val="00A959C8"/>
    <w:rsid w:val="00A9734B"/>
    <w:rsid w:val="00AA1FFC"/>
    <w:rsid w:val="00AA35EE"/>
    <w:rsid w:val="00AA57D3"/>
    <w:rsid w:val="00AA760E"/>
    <w:rsid w:val="00AB36E4"/>
    <w:rsid w:val="00AC4572"/>
    <w:rsid w:val="00AC63DC"/>
    <w:rsid w:val="00AC7A78"/>
    <w:rsid w:val="00AD1E17"/>
    <w:rsid w:val="00AD2C68"/>
    <w:rsid w:val="00AD72D4"/>
    <w:rsid w:val="00AE5DE6"/>
    <w:rsid w:val="00AF33B7"/>
    <w:rsid w:val="00AF5373"/>
    <w:rsid w:val="00B05BB2"/>
    <w:rsid w:val="00B13D80"/>
    <w:rsid w:val="00B16046"/>
    <w:rsid w:val="00B216B7"/>
    <w:rsid w:val="00B24444"/>
    <w:rsid w:val="00B32D62"/>
    <w:rsid w:val="00B34A5B"/>
    <w:rsid w:val="00B34AF6"/>
    <w:rsid w:val="00B3695C"/>
    <w:rsid w:val="00B3768A"/>
    <w:rsid w:val="00B44F94"/>
    <w:rsid w:val="00B50330"/>
    <w:rsid w:val="00B63C77"/>
    <w:rsid w:val="00B80EFF"/>
    <w:rsid w:val="00B906A1"/>
    <w:rsid w:val="00BA02E3"/>
    <w:rsid w:val="00BA5134"/>
    <w:rsid w:val="00BB0F46"/>
    <w:rsid w:val="00BB1D62"/>
    <w:rsid w:val="00BB3D1F"/>
    <w:rsid w:val="00BB49E4"/>
    <w:rsid w:val="00BB4B6C"/>
    <w:rsid w:val="00BC20C1"/>
    <w:rsid w:val="00BC2436"/>
    <w:rsid w:val="00BC2F7C"/>
    <w:rsid w:val="00BC42B8"/>
    <w:rsid w:val="00BC4A63"/>
    <w:rsid w:val="00BD0238"/>
    <w:rsid w:val="00BD2ABF"/>
    <w:rsid w:val="00BE07EB"/>
    <w:rsid w:val="00BE30D4"/>
    <w:rsid w:val="00BE6DBE"/>
    <w:rsid w:val="00BF10A3"/>
    <w:rsid w:val="00BF1E11"/>
    <w:rsid w:val="00BF3DAD"/>
    <w:rsid w:val="00BF5DF9"/>
    <w:rsid w:val="00BF7BB4"/>
    <w:rsid w:val="00C0140D"/>
    <w:rsid w:val="00C03428"/>
    <w:rsid w:val="00C03851"/>
    <w:rsid w:val="00C0418C"/>
    <w:rsid w:val="00C049BC"/>
    <w:rsid w:val="00C07177"/>
    <w:rsid w:val="00C078C3"/>
    <w:rsid w:val="00C13EB8"/>
    <w:rsid w:val="00C153E4"/>
    <w:rsid w:val="00C200C9"/>
    <w:rsid w:val="00C20431"/>
    <w:rsid w:val="00C23F60"/>
    <w:rsid w:val="00C31071"/>
    <w:rsid w:val="00C31327"/>
    <w:rsid w:val="00C41149"/>
    <w:rsid w:val="00C45B86"/>
    <w:rsid w:val="00C5111D"/>
    <w:rsid w:val="00C51194"/>
    <w:rsid w:val="00C525C7"/>
    <w:rsid w:val="00C5557C"/>
    <w:rsid w:val="00C64EC4"/>
    <w:rsid w:val="00C66CF1"/>
    <w:rsid w:val="00C711E0"/>
    <w:rsid w:val="00C73856"/>
    <w:rsid w:val="00C75F83"/>
    <w:rsid w:val="00C75F9E"/>
    <w:rsid w:val="00C75FAE"/>
    <w:rsid w:val="00C82771"/>
    <w:rsid w:val="00C83A2A"/>
    <w:rsid w:val="00C83DCE"/>
    <w:rsid w:val="00C84456"/>
    <w:rsid w:val="00C845A8"/>
    <w:rsid w:val="00C86D58"/>
    <w:rsid w:val="00C87031"/>
    <w:rsid w:val="00C92184"/>
    <w:rsid w:val="00C9476F"/>
    <w:rsid w:val="00C94CC3"/>
    <w:rsid w:val="00C95B19"/>
    <w:rsid w:val="00C97436"/>
    <w:rsid w:val="00CA06B1"/>
    <w:rsid w:val="00CA2319"/>
    <w:rsid w:val="00CA5362"/>
    <w:rsid w:val="00CB2815"/>
    <w:rsid w:val="00CB40B8"/>
    <w:rsid w:val="00CC1783"/>
    <w:rsid w:val="00CC18E4"/>
    <w:rsid w:val="00CC1A11"/>
    <w:rsid w:val="00CC5068"/>
    <w:rsid w:val="00CD08D7"/>
    <w:rsid w:val="00CD2E68"/>
    <w:rsid w:val="00CD6354"/>
    <w:rsid w:val="00D00001"/>
    <w:rsid w:val="00D01E56"/>
    <w:rsid w:val="00D045E7"/>
    <w:rsid w:val="00D06262"/>
    <w:rsid w:val="00D12CCD"/>
    <w:rsid w:val="00D1737B"/>
    <w:rsid w:val="00D21A85"/>
    <w:rsid w:val="00D22006"/>
    <w:rsid w:val="00D23FB6"/>
    <w:rsid w:val="00D24F6E"/>
    <w:rsid w:val="00D33C79"/>
    <w:rsid w:val="00D47BA9"/>
    <w:rsid w:val="00D52B1E"/>
    <w:rsid w:val="00D567EA"/>
    <w:rsid w:val="00D6340D"/>
    <w:rsid w:val="00D64E24"/>
    <w:rsid w:val="00D66789"/>
    <w:rsid w:val="00D66CED"/>
    <w:rsid w:val="00D67B53"/>
    <w:rsid w:val="00D74D68"/>
    <w:rsid w:val="00D74F4C"/>
    <w:rsid w:val="00D76A8C"/>
    <w:rsid w:val="00D81CF2"/>
    <w:rsid w:val="00D859DB"/>
    <w:rsid w:val="00D9349D"/>
    <w:rsid w:val="00D94E46"/>
    <w:rsid w:val="00DA1CCA"/>
    <w:rsid w:val="00DA5594"/>
    <w:rsid w:val="00DA6B84"/>
    <w:rsid w:val="00DB4F12"/>
    <w:rsid w:val="00DB6E35"/>
    <w:rsid w:val="00DC02FF"/>
    <w:rsid w:val="00DD0822"/>
    <w:rsid w:val="00DD2649"/>
    <w:rsid w:val="00DD2BF0"/>
    <w:rsid w:val="00DD4B71"/>
    <w:rsid w:val="00DD5D44"/>
    <w:rsid w:val="00DE5C12"/>
    <w:rsid w:val="00DE623D"/>
    <w:rsid w:val="00DE72D5"/>
    <w:rsid w:val="00DF668F"/>
    <w:rsid w:val="00E005EA"/>
    <w:rsid w:val="00E029C9"/>
    <w:rsid w:val="00E1005A"/>
    <w:rsid w:val="00E100B6"/>
    <w:rsid w:val="00E10AEB"/>
    <w:rsid w:val="00E1323B"/>
    <w:rsid w:val="00E145A5"/>
    <w:rsid w:val="00E16EDC"/>
    <w:rsid w:val="00E2436D"/>
    <w:rsid w:val="00E25DA5"/>
    <w:rsid w:val="00E32518"/>
    <w:rsid w:val="00E349A3"/>
    <w:rsid w:val="00E403F2"/>
    <w:rsid w:val="00E411A1"/>
    <w:rsid w:val="00E5264A"/>
    <w:rsid w:val="00E57D52"/>
    <w:rsid w:val="00E64427"/>
    <w:rsid w:val="00E65311"/>
    <w:rsid w:val="00E655C6"/>
    <w:rsid w:val="00E70553"/>
    <w:rsid w:val="00E71CC7"/>
    <w:rsid w:val="00E73599"/>
    <w:rsid w:val="00E811AB"/>
    <w:rsid w:val="00E82143"/>
    <w:rsid w:val="00E82598"/>
    <w:rsid w:val="00E9758D"/>
    <w:rsid w:val="00EA1B58"/>
    <w:rsid w:val="00EA54EF"/>
    <w:rsid w:val="00EB0964"/>
    <w:rsid w:val="00EB3F7C"/>
    <w:rsid w:val="00EB4029"/>
    <w:rsid w:val="00EB500A"/>
    <w:rsid w:val="00EC56BB"/>
    <w:rsid w:val="00ED0494"/>
    <w:rsid w:val="00ED456A"/>
    <w:rsid w:val="00ED7BC8"/>
    <w:rsid w:val="00EE63D3"/>
    <w:rsid w:val="00EF1CEE"/>
    <w:rsid w:val="00EF5E73"/>
    <w:rsid w:val="00F03A26"/>
    <w:rsid w:val="00F074DD"/>
    <w:rsid w:val="00F14DA4"/>
    <w:rsid w:val="00F16C67"/>
    <w:rsid w:val="00F256F7"/>
    <w:rsid w:val="00F305FE"/>
    <w:rsid w:val="00F318A0"/>
    <w:rsid w:val="00F33E44"/>
    <w:rsid w:val="00F35353"/>
    <w:rsid w:val="00F37FC5"/>
    <w:rsid w:val="00F561F3"/>
    <w:rsid w:val="00F62015"/>
    <w:rsid w:val="00F668E1"/>
    <w:rsid w:val="00F72138"/>
    <w:rsid w:val="00F75F8D"/>
    <w:rsid w:val="00F859CF"/>
    <w:rsid w:val="00F96899"/>
    <w:rsid w:val="00FA01B0"/>
    <w:rsid w:val="00FA0D9B"/>
    <w:rsid w:val="00FA278E"/>
    <w:rsid w:val="00FC6680"/>
    <w:rsid w:val="00FD26E6"/>
    <w:rsid w:val="00FD44AC"/>
    <w:rsid w:val="00FE1466"/>
    <w:rsid w:val="00FE4496"/>
    <w:rsid w:val="00FE6658"/>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A3D72"/>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1741"/>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paragraph" w:styleId="af6">
    <w:name w:val="Balloon Text"/>
    <w:basedOn w:val="a1"/>
    <w:link w:val="af7"/>
    <w:uiPriority w:val="99"/>
    <w:semiHidden/>
    <w:unhideWhenUsed/>
    <w:rsid w:val="000E4600"/>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0E46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C8F3-EC9A-451A-A0C3-2404ECA5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11</Pages>
  <Words>911</Words>
  <Characters>5195</Characters>
  <Application>Microsoft Office Word</Application>
  <DocSecurity>0</DocSecurity>
  <Lines>43</Lines>
  <Paragraphs>12</Paragraphs>
  <ScaleCrop>false</ScaleCrop>
  <Company>cy</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蔡昀穎</cp:lastModifiedBy>
  <cp:revision>4</cp:revision>
  <cp:lastPrinted>2024-08-15T08:05:00Z</cp:lastPrinted>
  <dcterms:created xsi:type="dcterms:W3CDTF">2024-08-15T08:01:00Z</dcterms:created>
  <dcterms:modified xsi:type="dcterms:W3CDTF">2024-08-22T03:32:00Z</dcterms:modified>
</cp:coreProperties>
</file>