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621B" w:rsidRPr="000140B3" w:rsidRDefault="0064621B" w:rsidP="0064621B">
      <w:pPr>
        <w:pStyle w:val="af5"/>
        <w:rPr>
          <w:rFonts w:ascii="Times New Roman"/>
        </w:rPr>
      </w:pPr>
      <w:bookmarkStart w:id="0" w:name="_GoBack"/>
      <w:r w:rsidRPr="000140B3">
        <w:rPr>
          <w:rFonts w:ascii="Times New Roman"/>
        </w:rPr>
        <w:t>調查報告</w:t>
      </w:r>
    </w:p>
    <w:p w:rsidR="0064621B" w:rsidRPr="000140B3" w:rsidRDefault="0064621B" w:rsidP="0064621B">
      <w:pPr>
        <w:pStyle w:val="1"/>
        <w:rPr>
          <w:rFonts w:ascii="Times New Roman" w:hAnsi="Times New Roman"/>
        </w:rPr>
      </w:pPr>
      <w:r w:rsidRPr="000140B3">
        <w:rPr>
          <w:rFonts w:ascii="Times New Roman" w:hAnsi="Times New Roman"/>
        </w:rPr>
        <w:t>案　　由：中國是我國</w:t>
      </w:r>
      <w:proofErr w:type="gramStart"/>
      <w:r w:rsidRPr="000140B3">
        <w:rPr>
          <w:rFonts w:ascii="Times New Roman" w:hAnsi="Times New Roman"/>
        </w:rPr>
        <w:t>銀行暴險排名</w:t>
      </w:r>
      <w:proofErr w:type="gramEnd"/>
      <w:r w:rsidRPr="000140B3">
        <w:rPr>
          <w:rFonts w:ascii="Times New Roman" w:hAnsi="Times New Roman"/>
        </w:rPr>
        <w:t>第二的國家。近年中國經濟疲軟，房地產業成為重災區，繼</w:t>
      </w:r>
      <w:r w:rsidRPr="000140B3">
        <w:rPr>
          <w:rFonts w:ascii="Times New Roman" w:hAnsi="Times New Roman"/>
        </w:rPr>
        <w:t>2021</w:t>
      </w:r>
      <w:r w:rsidRPr="000140B3">
        <w:rPr>
          <w:rFonts w:ascii="Times New Roman" w:hAnsi="Times New Roman"/>
        </w:rPr>
        <w:t>年</w:t>
      </w:r>
      <w:proofErr w:type="gramStart"/>
      <w:r w:rsidR="00011A7F" w:rsidRPr="000140B3">
        <w:rPr>
          <w:rFonts w:ascii="Times New Roman" w:hAnsi="Times New Roman"/>
        </w:rPr>
        <w:t>恒</w:t>
      </w:r>
      <w:proofErr w:type="gramEnd"/>
      <w:r w:rsidR="00011A7F" w:rsidRPr="000140B3">
        <w:rPr>
          <w:rFonts w:ascii="Times New Roman" w:hAnsi="Times New Roman"/>
        </w:rPr>
        <w:t>大</w:t>
      </w:r>
      <w:r w:rsidRPr="000140B3">
        <w:rPr>
          <w:rFonts w:ascii="Times New Roman" w:hAnsi="Times New Roman"/>
        </w:rPr>
        <w:t>集團破產，</w:t>
      </w:r>
      <w:r w:rsidRPr="000140B3">
        <w:rPr>
          <w:rFonts w:ascii="Times New Roman" w:hAnsi="Times New Roman"/>
        </w:rPr>
        <w:t>2023</w:t>
      </w:r>
      <w:r w:rsidRPr="000140B3">
        <w:rPr>
          <w:rFonts w:ascii="Times New Roman" w:hAnsi="Times New Roman"/>
        </w:rPr>
        <w:t>年</w:t>
      </w:r>
      <w:r w:rsidRPr="000140B3">
        <w:rPr>
          <w:rFonts w:ascii="Times New Roman" w:hAnsi="Times New Roman"/>
        </w:rPr>
        <w:t>8</w:t>
      </w:r>
      <w:r w:rsidRPr="000140B3">
        <w:rPr>
          <w:rFonts w:ascii="Times New Roman" w:hAnsi="Times New Roman"/>
        </w:rPr>
        <w:t>月再度發生碧</w:t>
      </w:r>
      <w:proofErr w:type="gramStart"/>
      <w:r w:rsidRPr="000140B3">
        <w:rPr>
          <w:rFonts w:ascii="Times New Roman" w:hAnsi="Times New Roman"/>
        </w:rPr>
        <w:t>桂</w:t>
      </w:r>
      <w:proofErr w:type="gramEnd"/>
      <w:r w:rsidRPr="000140B3">
        <w:rPr>
          <w:rFonts w:ascii="Times New Roman" w:hAnsi="Times New Roman"/>
        </w:rPr>
        <w:t>園重大財務危機，且我國金融產業於</w:t>
      </w:r>
      <w:proofErr w:type="gramStart"/>
      <w:r w:rsidRPr="000140B3">
        <w:rPr>
          <w:rFonts w:ascii="Times New Roman" w:hAnsi="Times New Roman"/>
        </w:rPr>
        <w:t>其中暴險總</w:t>
      </w:r>
      <w:proofErr w:type="gramEnd"/>
      <w:r w:rsidRPr="000140B3">
        <w:rPr>
          <w:rFonts w:ascii="Times New Roman" w:hAnsi="Times New Roman"/>
        </w:rPr>
        <w:t>額超過新臺幣二十億元。中國房地產業仍有不少未爆彈，政府就我國金融產業對</w:t>
      </w:r>
      <w:proofErr w:type="gramStart"/>
      <w:r w:rsidRPr="000140B3">
        <w:rPr>
          <w:rFonts w:ascii="Times New Roman" w:hAnsi="Times New Roman"/>
        </w:rPr>
        <w:t>中國暴險情形</w:t>
      </w:r>
      <w:proofErr w:type="gramEnd"/>
      <w:r w:rsidRPr="000140B3">
        <w:rPr>
          <w:rFonts w:ascii="Times New Roman" w:hAnsi="Times New Roman"/>
        </w:rPr>
        <w:t>是否有完善預防及危機管控措施，有深入瞭解之必要案。</w:t>
      </w:r>
    </w:p>
    <w:p w:rsidR="0064621B" w:rsidRPr="000140B3" w:rsidRDefault="0064621B" w:rsidP="0064621B">
      <w:pPr>
        <w:pStyle w:val="1"/>
        <w:rPr>
          <w:rFonts w:ascii="Times New Roman" w:hAnsi="Times New Roman"/>
        </w:rPr>
      </w:pPr>
      <w:r w:rsidRPr="000140B3">
        <w:rPr>
          <w:rFonts w:ascii="Times New Roman" w:hAnsi="Times New Roman"/>
        </w:rPr>
        <w:t>調查意見：</w:t>
      </w:r>
      <w:r w:rsidRPr="000140B3">
        <w:rPr>
          <w:rFonts w:ascii="Times New Roman" w:hAnsi="Times New Roman"/>
        </w:rPr>
        <w:t xml:space="preserve"> </w:t>
      </w:r>
    </w:p>
    <w:p w:rsidR="0064621B" w:rsidRPr="000140B3" w:rsidRDefault="00AC54C8" w:rsidP="0064621B">
      <w:pPr>
        <w:pStyle w:val="3"/>
        <w:numPr>
          <w:ilvl w:val="0"/>
          <w:numId w:val="0"/>
        </w:numPr>
        <w:ind w:left="680" w:firstLineChars="217" w:firstLine="738"/>
        <w:rPr>
          <w:rFonts w:ascii="Times New Roman" w:hAnsi="Times New Roman"/>
        </w:rPr>
      </w:pPr>
      <w:r w:rsidRPr="000140B3">
        <w:rPr>
          <w:rFonts w:ascii="Times New Roman" w:hAnsi="Times New Roman"/>
        </w:rPr>
        <w:t>中國大陸國務院於</w:t>
      </w:r>
      <w:r w:rsidR="0064621B" w:rsidRPr="000140B3">
        <w:rPr>
          <w:rFonts w:ascii="Times New Roman" w:hAnsi="Times New Roman"/>
        </w:rPr>
        <w:t>西元</w:t>
      </w:r>
      <w:r w:rsidR="0064621B" w:rsidRPr="000140B3">
        <w:rPr>
          <w:rFonts w:ascii="Times New Roman" w:hAnsi="Times New Roman"/>
        </w:rPr>
        <w:t>(</w:t>
      </w:r>
      <w:r w:rsidR="0064621B" w:rsidRPr="000140B3">
        <w:rPr>
          <w:rFonts w:ascii="Times New Roman" w:hAnsi="Times New Roman"/>
        </w:rPr>
        <w:t>下同</w:t>
      </w:r>
      <w:r w:rsidR="0064621B" w:rsidRPr="000140B3">
        <w:rPr>
          <w:rFonts w:ascii="Times New Roman" w:hAnsi="Times New Roman"/>
        </w:rPr>
        <w:t>)</w:t>
      </w:r>
      <w:r w:rsidRPr="000140B3">
        <w:rPr>
          <w:rFonts w:ascii="Times New Roman" w:hAnsi="Times New Roman"/>
        </w:rPr>
        <w:t xml:space="preserve"> 2008</w:t>
      </w:r>
      <w:r w:rsidRPr="000140B3">
        <w:rPr>
          <w:rFonts w:ascii="Times New Roman" w:hAnsi="Times New Roman"/>
        </w:rPr>
        <w:t>年</w:t>
      </w:r>
      <w:r w:rsidRPr="000140B3">
        <w:rPr>
          <w:rFonts w:ascii="Times New Roman" w:hAnsi="Times New Roman"/>
        </w:rPr>
        <w:t>11</w:t>
      </w:r>
      <w:r w:rsidRPr="000140B3">
        <w:rPr>
          <w:rFonts w:ascii="Times New Roman" w:hAnsi="Times New Roman"/>
        </w:rPr>
        <w:t>月推動「四萬億投資計畫」帶來的貨幣泛濫造成產能過剩、通貨膨脹、房價</w:t>
      </w:r>
      <w:proofErr w:type="gramStart"/>
      <w:r w:rsidRPr="000140B3">
        <w:rPr>
          <w:rFonts w:ascii="Times New Roman" w:hAnsi="Times New Roman"/>
        </w:rPr>
        <w:t>飆</w:t>
      </w:r>
      <w:proofErr w:type="gramEnd"/>
      <w:r w:rsidRPr="000140B3">
        <w:rPr>
          <w:rFonts w:ascii="Times New Roman" w:hAnsi="Times New Roman"/>
        </w:rPr>
        <w:t>漲等負面效果</w:t>
      </w:r>
      <w:r w:rsidRPr="000140B3">
        <w:rPr>
          <w:rFonts w:ascii="Times New Roman" w:hAnsi="Times New Roman"/>
        </w:rPr>
        <w:t xml:space="preserve"> </w:t>
      </w:r>
      <w:r w:rsidRPr="000140B3">
        <w:rPr>
          <w:rFonts w:ascii="Times New Roman" w:hAnsi="Times New Roman"/>
        </w:rPr>
        <w:t>，</w:t>
      </w:r>
      <w:r w:rsidRPr="000140B3">
        <w:rPr>
          <w:rFonts w:ascii="Times New Roman" w:hAnsi="Times New Roman"/>
        </w:rPr>
        <w:t>2009</w:t>
      </w:r>
      <w:r w:rsidRPr="000140B3">
        <w:rPr>
          <w:rFonts w:ascii="Times New Roman" w:hAnsi="Times New Roman"/>
        </w:rPr>
        <w:t>年後中國大陸房市</w:t>
      </w:r>
      <w:proofErr w:type="gramStart"/>
      <w:r w:rsidRPr="000140B3">
        <w:rPr>
          <w:rFonts w:ascii="Times New Roman" w:hAnsi="Times New Roman"/>
        </w:rPr>
        <w:t>漲勢更</w:t>
      </w:r>
      <w:proofErr w:type="gramEnd"/>
      <w:r w:rsidRPr="000140B3">
        <w:rPr>
          <w:rFonts w:ascii="Times New Roman" w:hAnsi="Times New Roman"/>
        </w:rPr>
        <w:t>劇。除了</w:t>
      </w:r>
      <w:r w:rsidRPr="000140B3">
        <w:rPr>
          <w:rFonts w:ascii="Times New Roman" w:hAnsi="Times New Roman"/>
        </w:rPr>
        <w:t>2014</w:t>
      </w:r>
      <w:r w:rsidRPr="000140B3">
        <w:rPr>
          <w:rFonts w:ascii="Times New Roman" w:hAnsi="Times New Roman"/>
        </w:rPr>
        <w:t>年成長率略低，</w:t>
      </w:r>
      <w:r w:rsidRPr="000140B3">
        <w:rPr>
          <w:rFonts w:ascii="Times New Roman" w:hAnsi="Times New Roman"/>
        </w:rPr>
        <w:t>2009</w:t>
      </w:r>
      <w:r w:rsidRPr="000140B3">
        <w:rPr>
          <w:rFonts w:ascii="Times New Roman" w:hAnsi="Times New Roman"/>
        </w:rPr>
        <w:t>至</w:t>
      </w:r>
      <w:r w:rsidRPr="000140B3">
        <w:rPr>
          <w:rFonts w:ascii="Times New Roman" w:hAnsi="Times New Roman"/>
        </w:rPr>
        <w:t>2018</w:t>
      </w:r>
      <w:r w:rsidRPr="000140B3">
        <w:rPr>
          <w:rFonts w:ascii="Times New Roman" w:hAnsi="Times New Roman"/>
        </w:rPr>
        <w:t>年商品房平均銷售</w:t>
      </w:r>
      <w:proofErr w:type="gramStart"/>
      <w:r w:rsidRPr="000140B3">
        <w:rPr>
          <w:rFonts w:ascii="Times New Roman" w:hAnsi="Times New Roman"/>
        </w:rPr>
        <w:t>價格均以</w:t>
      </w:r>
      <w:proofErr w:type="gramEnd"/>
      <w:r w:rsidRPr="000140B3">
        <w:rPr>
          <w:rFonts w:ascii="Times New Roman" w:hAnsi="Times New Roman"/>
        </w:rPr>
        <w:t>5%</w:t>
      </w:r>
      <w:r w:rsidRPr="000140B3">
        <w:rPr>
          <w:rFonts w:ascii="Times New Roman" w:hAnsi="Times New Roman"/>
        </w:rPr>
        <w:t>以上的速度成長，</w:t>
      </w:r>
      <w:r w:rsidRPr="000140B3">
        <w:rPr>
          <w:rFonts w:ascii="Times New Roman" w:hAnsi="Times New Roman"/>
        </w:rPr>
        <w:t>2016</w:t>
      </w:r>
      <w:r w:rsidRPr="000140B3">
        <w:rPr>
          <w:rFonts w:ascii="Times New Roman" w:hAnsi="Times New Roman"/>
        </w:rPr>
        <w:t>與</w:t>
      </w:r>
      <w:r w:rsidRPr="000140B3">
        <w:rPr>
          <w:rFonts w:ascii="Times New Roman" w:hAnsi="Times New Roman"/>
        </w:rPr>
        <w:t>2018</w:t>
      </w:r>
      <w:r w:rsidRPr="000140B3">
        <w:rPr>
          <w:rFonts w:ascii="Times New Roman" w:hAnsi="Times New Roman"/>
        </w:rPr>
        <w:t>年甚至超過</w:t>
      </w:r>
      <w:r w:rsidRPr="000140B3">
        <w:rPr>
          <w:rFonts w:ascii="Times New Roman" w:hAnsi="Times New Roman"/>
        </w:rPr>
        <w:t xml:space="preserve">10% </w:t>
      </w:r>
      <w:r w:rsidRPr="000140B3">
        <w:rPr>
          <w:rFonts w:ascii="Times New Roman" w:hAnsi="Times New Roman"/>
        </w:rPr>
        <w:t>。雖</w:t>
      </w:r>
      <w:r w:rsidR="00F47039" w:rsidRPr="000140B3">
        <w:rPr>
          <w:rFonts w:ascii="Times New Roman" w:hAnsi="Times New Roman" w:hint="eastAsia"/>
        </w:rPr>
        <w:t>後續亦</w:t>
      </w:r>
      <w:r w:rsidRPr="000140B3">
        <w:rPr>
          <w:rFonts w:ascii="Times New Roman" w:hAnsi="Times New Roman"/>
        </w:rPr>
        <w:t>制定一連串房市調控措施，但是只有短期效果，</w:t>
      </w:r>
      <w:r w:rsidR="00F47039" w:rsidRPr="000140B3">
        <w:rPr>
          <w:rFonts w:ascii="Times New Roman" w:hAnsi="Times New Roman" w:hint="eastAsia"/>
        </w:rPr>
        <w:t>無法有效</w:t>
      </w:r>
      <w:r w:rsidRPr="000140B3">
        <w:rPr>
          <w:rFonts w:ascii="Times New Roman" w:hAnsi="Times New Roman"/>
        </w:rPr>
        <w:t>降低房價。</w:t>
      </w:r>
      <w:r w:rsidRPr="000140B3">
        <w:rPr>
          <w:rFonts w:ascii="Times New Roman" w:hAnsi="Times New Roman"/>
        </w:rPr>
        <w:t>2016</w:t>
      </w:r>
      <w:r w:rsidRPr="000140B3">
        <w:rPr>
          <w:rFonts w:ascii="Times New Roman" w:hAnsi="Times New Roman"/>
        </w:rPr>
        <w:t>年中國共產黨中央總書記習近平提出「房子是用來住的，不是用來炒的」。</w:t>
      </w:r>
      <w:r w:rsidR="00F47039" w:rsidRPr="000140B3">
        <w:rPr>
          <w:rFonts w:ascii="Times New Roman" w:hAnsi="Times New Roman" w:hint="eastAsia"/>
        </w:rPr>
        <w:t>及後續</w:t>
      </w:r>
      <w:r w:rsidR="0064621B" w:rsidRPr="000140B3">
        <w:rPr>
          <w:rFonts w:ascii="Times New Roman" w:hAnsi="Times New Roman"/>
        </w:rPr>
        <w:t>一系列市場降溫政策，使房企的負債和資金鏈問題愈滾愈大。復因美中貿易戰、新冠</w:t>
      </w:r>
      <w:proofErr w:type="gramStart"/>
      <w:r w:rsidR="0064621B" w:rsidRPr="000140B3">
        <w:rPr>
          <w:rFonts w:ascii="Times New Roman" w:hAnsi="Times New Roman"/>
        </w:rPr>
        <w:t>疫情等</w:t>
      </w:r>
      <w:proofErr w:type="gramEnd"/>
      <w:r w:rsidR="0064621B" w:rsidRPr="000140B3">
        <w:rPr>
          <w:rFonts w:ascii="Times New Roman" w:hAnsi="Times New Roman"/>
        </w:rPr>
        <w:t>情事影響，肇致經濟衰退，最終引發</w:t>
      </w:r>
      <w:r w:rsidR="0064621B" w:rsidRPr="000140B3">
        <w:rPr>
          <w:rFonts w:ascii="Times New Roman" w:hAnsi="Times New Roman"/>
        </w:rPr>
        <w:t>2021</w:t>
      </w:r>
      <w:r w:rsidR="0064621B" w:rsidRPr="000140B3">
        <w:rPr>
          <w:rFonts w:ascii="Times New Roman" w:hAnsi="Times New Roman"/>
        </w:rPr>
        <w:t>年下半年以來，多個房企出現的流動性危機和風險事件。中國大陸為世界第</w:t>
      </w:r>
      <w:r w:rsidR="0064621B" w:rsidRPr="000140B3">
        <w:rPr>
          <w:rFonts w:ascii="Times New Roman" w:hAnsi="Times New Roman"/>
        </w:rPr>
        <w:t>2</w:t>
      </w:r>
      <w:r w:rsidR="0064621B" w:rsidRPr="000140B3">
        <w:rPr>
          <w:rFonts w:ascii="Times New Roman" w:hAnsi="Times New Roman"/>
        </w:rPr>
        <w:t>大經濟體，統計</w:t>
      </w:r>
      <w:r w:rsidR="0064621B" w:rsidRPr="000140B3">
        <w:rPr>
          <w:rFonts w:ascii="Times New Roman" w:hAnsi="Times New Roman"/>
        </w:rPr>
        <w:t>1991</w:t>
      </w:r>
      <w:r w:rsidR="0064621B" w:rsidRPr="000140B3">
        <w:rPr>
          <w:rFonts w:ascii="Times New Roman" w:hAnsi="Times New Roman"/>
        </w:rPr>
        <w:t>至</w:t>
      </w:r>
      <w:r w:rsidR="0064621B" w:rsidRPr="000140B3">
        <w:rPr>
          <w:rFonts w:ascii="Times New Roman" w:hAnsi="Times New Roman"/>
        </w:rPr>
        <w:t>2023</w:t>
      </w:r>
      <w:r w:rsidR="0064621B" w:rsidRPr="000140B3">
        <w:rPr>
          <w:rFonts w:ascii="Times New Roman" w:hAnsi="Times New Roman"/>
        </w:rPr>
        <w:t>年，國人至中國大陸投資件數達</w:t>
      </w:r>
      <w:r w:rsidR="0064621B" w:rsidRPr="000140B3">
        <w:rPr>
          <w:rFonts w:ascii="Times New Roman" w:hAnsi="Times New Roman"/>
        </w:rPr>
        <w:t>45,523</w:t>
      </w:r>
      <w:r w:rsidR="0064621B" w:rsidRPr="000140B3">
        <w:rPr>
          <w:rFonts w:ascii="Times New Roman" w:hAnsi="Times New Roman"/>
        </w:rPr>
        <w:t>件，金額高達</w:t>
      </w:r>
      <w:r w:rsidR="0064621B" w:rsidRPr="000140B3">
        <w:rPr>
          <w:rFonts w:ascii="Times New Roman" w:hAnsi="Times New Roman"/>
        </w:rPr>
        <w:t>2</w:t>
      </w:r>
      <w:r w:rsidR="0064621B" w:rsidRPr="000140B3">
        <w:rPr>
          <w:rFonts w:ascii="Times New Roman" w:hAnsi="Times New Roman"/>
        </w:rPr>
        <w:t>千餘億美元</w:t>
      </w:r>
      <w:r w:rsidR="0064621B" w:rsidRPr="000140B3">
        <w:rPr>
          <w:rStyle w:val="aff4"/>
          <w:rFonts w:ascii="Times New Roman" w:hAnsi="Times New Roman"/>
        </w:rPr>
        <w:footnoteReference w:id="1"/>
      </w:r>
      <w:r w:rsidR="0064621B" w:rsidRPr="000140B3">
        <w:rPr>
          <w:rFonts w:ascii="Times New Roman" w:hAnsi="Times New Roman"/>
        </w:rPr>
        <w:t>，金融業為</w:t>
      </w:r>
      <w:r w:rsidR="00927F24" w:rsidRPr="000140B3">
        <w:rPr>
          <w:rFonts w:ascii="Times New Roman" w:hAnsi="Times New Roman" w:hint="eastAsia"/>
        </w:rPr>
        <w:t>服務</w:t>
      </w:r>
      <w:proofErr w:type="gramStart"/>
      <w:r w:rsidR="0064621B" w:rsidRPr="000140B3">
        <w:rPr>
          <w:rFonts w:ascii="Times New Roman" w:hAnsi="Times New Roman"/>
        </w:rPr>
        <w:t>臺</w:t>
      </w:r>
      <w:proofErr w:type="gramEnd"/>
      <w:r w:rsidR="0064621B" w:rsidRPr="000140B3">
        <w:rPr>
          <w:rFonts w:ascii="Times New Roman" w:hAnsi="Times New Roman"/>
        </w:rPr>
        <w:t>商及</w:t>
      </w:r>
      <w:r w:rsidR="00927F24" w:rsidRPr="000140B3">
        <w:rPr>
          <w:rFonts w:ascii="Times New Roman" w:hAnsi="Times New Roman" w:hint="eastAsia"/>
        </w:rPr>
        <w:t>國際化等因素</w:t>
      </w:r>
      <w:r w:rsidR="0064621B" w:rsidRPr="000140B3">
        <w:rPr>
          <w:rFonts w:ascii="Times New Roman" w:hAnsi="Times New Roman"/>
        </w:rPr>
        <w:t>，</w:t>
      </w:r>
      <w:r w:rsidR="00927F24" w:rsidRPr="000140B3">
        <w:rPr>
          <w:rFonts w:ascii="Times New Roman" w:hAnsi="Times New Roman" w:hint="eastAsia"/>
        </w:rPr>
        <w:t>於中國大陸設置許多據點，</w:t>
      </w:r>
      <w:r w:rsidR="0064621B" w:rsidRPr="000140B3">
        <w:rPr>
          <w:rFonts w:ascii="Times New Roman" w:hAnsi="Times New Roman"/>
        </w:rPr>
        <w:t>使中國大陸成為我國</w:t>
      </w:r>
      <w:proofErr w:type="gramStart"/>
      <w:r w:rsidR="0064621B" w:rsidRPr="000140B3">
        <w:rPr>
          <w:rFonts w:ascii="Times New Roman" w:hAnsi="Times New Roman"/>
        </w:rPr>
        <w:t>銀行業暴險第</w:t>
      </w:r>
      <w:proofErr w:type="gramEnd"/>
      <w:r w:rsidR="0064621B" w:rsidRPr="000140B3">
        <w:rPr>
          <w:rFonts w:ascii="Times New Roman" w:hAnsi="Times New Roman"/>
        </w:rPr>
        <w:t>2</w:t>
      </w:r>
      <w:r w:rsidR="0064621B" w:rsidRPr="000140B3">
        <w:rPr>
          <w:rFonts w:ascii="Times New Roman" w:hAnsi="Times New Roman"/>
        </w:rPr>
        <w:t>大之國家，該國房企財務危機所造成之影響，是否危及我國金融業之營運</w:t>
      </w:r>
      <w:r w:rsidR="0064621B" w:rsidRPr="000140B3">
        <w:rPr>
          <w:rFonts w:ascii="Times New Roman" w:hAnsi="Times New Roman"/>
        </w:rPr>
        <w:t>?</w:t>
      </w:r>
      <w:r w:rsidR="0064621B" w:rsidRPr="000140B3">
        <w:rPr>
          <w:rFonts w:ascii="Times New Roman" w:hAnsi="Times New Roman"/>
        </w:rPr>
        <w:t>事涉金融穩定的重大問題，為瞭解政府對我</w:t>
      </w:r>
      <w:r w:rsidR="0064621B" w:rsidRPr="000140B3">
        <w:rPr>
          <w:rFonts w:ascii="Times New Roman" w:hAnsi="Times New Roman"/>
        </w:rPr>
        <w:lastRenderedPageBreak/>
        <w:t>國金融產業於</w:t>
      </w:r>
      <w:proofErr w:type="gramStart"/>
      <w:r w:rsidR="0064621B" w:rsidRPr="000140B3">
        <w:rPr>
          <w:rFonts w:ascii="Times New Roman" w:hAnsi="Times New Roman"/>
        </w:rPr>
        <w:t>中國暴險情形</w:t>
      </w:r>
      <w:proofErr w:type="gramEnd"/>
      <w:r w:rsidR="0064621B" w:rsidRPr="000140B3">
        <w:rPr>
          <w:rFonts w:ascii="Times New Roman" w:hAnsi="Times New Roman"/>
        </w:rPr>
        <w:t>是否有完善預防及危機管控措施，爰本院立案進行調查。</w:t>
      </w:r>
    </w:p>
    <w:p w:rsidR="0064621B" w:rsidRPr="000140B3" w:rsidRDefault="0064621B" w:rsidP="00927F24">
      <w:pPr>
        <w:pStyle w:val="3"/>
        <w:numPr>
          <w:ilvl w:val="0"/>
          <w:numId w:val="0"/>
        </w:numPr>
        <w:spacing w:afterLines="50" w:after="228"/>
        <w:ind w:left="680" w:firstLineChars="217" w:firstLine="738"/>
        <w:rPr>
          <w:rFonts w:ascii="Times New Roman" w:hAnsi="Times New Roman"/>
        </w:rPr>
      </w:pPr>
      <w:r w:rsidRPr="000140B3">
        <w:rPr>
          <w:rFonts w:ascii="Times New Roman" w:hAnsi="Times New Roman"/>
        </w:rPr>
        <w:t>為瞭解我國金融業於中國大陸及香港地區</w:t>
      </w:r>
      <w:r w:rsidR="00927F24" w:rsidRPr="000140B3">
        <w:rPr>
          <w:rFonts w:ascii="Times New Roman" w:hAnsi="Times New Roman" w:hint="eastAsia"/>
        </w:rPr>
        <w:t>據點</w:t>
      </w:r>
      <w:r w:rsidRPr="000140B3">
        <w:rPr>
          <w:rFonts w:ascii="Times New Roman" w:hAnsi="Times New Roman"/>
        </w:rPr>
        <w:t>設置概況、政府對於</w:t>
      </w:r>
      <w:proofErr w:type="gramStart"/>
      <w:r w:rsidRPr="000140B3">
        <w:rPr>
          <w:rFonts w:ascii="Times New Roman" w:hAnsi="Times New Roman"/>
        </w:rPr>
        <w:t>金融業暴險管理</w:t>
      </w:r>
      <w:proofErr w:type="gramEnd"/>
      <w:r w:rsidRPr="000140B3">
        <w:rPr>
          <w:rFonts w:ascii="Times New Roman" w:hAnsi="Times New Roman"/>
        </w:rPr>
        <w:t>機制、我國金融業於中國大陸及香港</w:t>
      </w:r>
      <w:proofErr w:type="gramStart"/>
      <w:r w:rsidRPr="000140B3">
        <w:rPr>
          <w:rFonts w:ascii="Times New Roman" w:hAnsi="Times New Roman"/>
        </w:rPr>
        <w:t>地區暴險情</w:t>
      </w:r>
      <w:proofErr w:type="gramEnd"/>
      <w:r w:rsidRPr="000140B3">
        <w:rPr>
          <w:rFonts w:ascii="Times New Roman" w:hAnsi="Times New Roman"/>
        </w:rPr>
        <w:t>形等，於民國</w:t>
      </w:r>
      <w:r w:rsidRPr="000140B3">
        <w:rPr>
          <w:rFonts w:ascii="Times New Roman" w:hAnsi="Times New Roman"/>
        </w:rPr>
        <w:t>(</w:t>
      </w:r>
      <w:r w:rsidRPr="000140B3">
        <w:rPr>
          <w:rFonts w:ascii="Times New Roman" w:hAnsi="Times New Roman"/>
        </w:rPr>
        <w:t>下同</w:t>
      </w:r>
      <w:r w:rsidRPr="000140B3">
        <w:rPr>
          <w:rFonts w:ascii="Times New Roman" w:hAnsi="Times New Roman"/>
        </w:rPr>
        <w:t>)112</w:t>
      </w:r>
      <w:r w:rsidRPr="000140B3">
        <w:rPr>
          <w:rFonts w:ascii="Times New Roman" w:hAnsi="Times New Roman"/>
        </w:rPr>
        <w:t>年</w:t>
      </w:r>
      <w:r w:rsidRPr="000140B3">
        <w:rPr>
          <w:rFonts w:ascii="Times New Roman" w:hAnsi="Times New Roman"/>
        </w:rPr>
        <w:t>9</w:t>
      </w:r>
      <w:r w:rsidRPr="000140B3">
        <w:rPr>
          <w:rFonts w:ascii="Times New Roman" w:hAnsi="Times New Roman"/>
        </w:rPr>
        <w:t>月</w:t>
      </w:r>
      <w:r w:rsidRPr="000140B3">
        <w:rPr>
          <w:rFonts w:ascii="Times New Roman" w:hAnsi="Times New Roman"/>
        </w:rPr>
        <w:t>20</w:t>
      </w:r>
      <w:r w:rsidRPr="000140B3">
        <w:rPr>
          <w:rFonts w:ascii="Times New Roman" w:hAnsi="Times New Roman"/>
        </w:rPr>
        <w:t>日邀請金融監督管理委員會</w:t>
      </w:r>
      <w:r w:rsidRPr="000140B3">
        <w:rPr>
          <w:rFonts w:ascii="Times New Roman" w:hAnsi="Times New Roman"/>
        </w:rPr>
        <w:t>(</w:t>
      </w:r>
      <w:r w:rsidRPr="000140B3">
        <w:rPr>
          <w:rFonts w:ascii="Times New Roman" w:hAnsi="Times New Roman"/>
        </w:rPr>
        <w:t>下稱金管會</w:t>
      </w:r>
      <w:r w:rsidRPr="000140B3">
        <w:rPr>
          <w:rFonts w:ascii="Times New Roman" w:hAnsi="Times New Roman"/>
        </w:rPr>
        <w:t>)</w:t>
      </w:r>
      <w:r w:rsidRPr="000140B3">
        <w:rPr>
          <w:rFonts w:ascii="Times New Roman" w:hAnsi="Times New Roman"/>
        </w:rPr>
        <w:t>邱淑貞副主任委員、銀行局林志吉副局長、保險局古坤榮主任秘書、證券期貨局</w:t>
      </w:r>
      <w:r w:rsidRPr="000140B3">
        <w:rPr>
          <w:rFonts w:ascii="Times New Roman" w:hAnsi="Times New Roman"/>
        </w:rPr>
        <w:t>(</w:t>
      </w:r>
      <w:r w:rsidRPr="000140B3">
        <w:rPr>
          <w:rFonts w:ascii="Times New Roman" w:hAnsi="Times New Roman"/>
        </w:rPr>
        <w:t>下</w:t>
      </w:r>
      <w:proofErr w:type="gramStart"/>
      <w:r w:rsidRPr="000140B3">
        <w:rPr>
          <w:rFonts w:ascii="Times New Roman" w:hAnsi="Times New Roman"/>
        </w:rPr>
        <w:t>稱證期</w:t>
      </w:r>
      <w:proofErr w:type="gramEnd"/>
      <w:r w:rsidRPr="000140B3">
        <w:rPr>
          <w:rFonts w:ascii="Times New Roman" w:hAnsi="Times New Roman"/>
        </w:rPr>
        <w:t>局</w:t>
      </w:r>
      <w:r w:rsidRPr="000140B3">
        <w:rPr>
          <w:rFonts w:ascii="Times New Roman" w:hAnsi="Times New Roman"/>
        </w:rPr>
        <w:t>)</w:t>
      </w:r>
      <w:r w:rsidRPr="000140B3">
        <w:rPr>
          <w:rFonts w:ascii="Times New Roman" w:hAnsi="Times New Roman"/>
        </w:rPr>
        <w:t>黃厚銘副局長等相關主管人員到院簡報</w:t>
      </w:r>
      <w:r w:rsidRPr="000140B3">
        <w:rPr>
          <w:rStyle w:val="aff4"/>
          <w:rFonts w:ascii="Times New Roman" w:hAnsi="Times New Roman"/>
        </w:rPr>
        <w:footnoteReference w:id="2"/>
      </w:r>
      <w:r w:rsidRPr="000140B3">
        <w:rPr>
          <w:rFonts w:ascii="Times New Roman" w:hAnsi="Times New Roman"/>
        </w:rPr>
        <w:t>；另為瞭解金管會對我國金融業於</w:t>
      </w:r>
      <w:proofErr w:type="gramStart"/>
      <w:r w:rsidRPr="000140B3">
        <w:rPr>
          <w:rFonts w:ascii="Times New Roman" w:hAnsi="Times New Roman"/>
        </w:rPr>
        <w:t>中國大陸暴險管理</w:t>
      </w:r>
      <w:proofErr w:type="gramEnd"/>
      <w:r w:rsidRPr="000140B3">
        <w:rPr>
          <w:rFonts w:ascii="Times New Roman" w:hAnsi="Times New Roman"/>
        </w:rPr>
        <w:t>機制與其他國家管理機制之差異、國銀對</w:t>
      </w:r>
      <w:proofErr w:type="gramStart"/>
      <w:r w:rsidRPr="000140B3">
        <w:rPr>
          <w:rFonts w:ascii="Times New Roman" w:hAnsi="Times New Roman"/>
        </w:rPr>
        <w:t>中國大陸暴險列</w:t>
      </w:r>
      <w:proofErr w:type="gramEnd"/>
      <w:r w:rsidRPr="000140B3">
        <w:rPr>
          <w:rFonts w:ascii="Times New Roman" w:hAnsi="Times New Roman"/>
        </w:rPr>
        <w:t>入年度金融檢查重點等情，於同年</w:t>
      </w:r>
      <w:r w:rsidRPr="000140B3">
        <w:rPr>
          <w:rFonts w:ascii="Times New Roman" w:hAnsi="Times New Roman"/>
        </w:rPr>
        <w:t>9</w:t>
      </w:r>
      <w:r w:rsidRPr="000140B3">
        <w:rPr>
          <w:rFonts w:ascii="Times New Roman" w:hAnsi="Times New Roman"/>
        </w:rPr>
        <w:t>月</w:t>
      </w:r>
      <w:r w:rsidRPr="000140B3">
        <w:rPr>
          <w:rFonts w:ascii="Times New Roman" w:hAnsi="Times New Roman"/>
        </w:rPr>
        <w:t>28</w:t>
      </w:r>
      <w:r w:rsidRPr="000140B3">
        <w:rPr>
          <w:rFonts w:ascii="Times New Roman" w:hAnsi="Times New Roman"/>
        </w:rPr>
        <w:t>日向該會調閱相關資料</w:t>
      </w:r>
      <w:r w:rsidRPr="000140B3">
        <w:rPr>
          <w:rStyle w:val="aff4"/>
          <w:rFonts w:ascii="Times New Roman" w:hAnsi="Times New Roman"/>
        </w:rPr>
        <w:footnoteReference w:id="3"/>
      </w:r>
      <w:r w:rsidRPr="000140B3">
        <w:rPr>
          <w:rFonts w:ascii="Times New Roman" w:hAnsi="Times New Roman"/>
        </w:rPr>
        <w:t>。</w:t>
      </w:r>
      <w:proofErr w:type="gramStart"/>
      <w:r w:rsidRPr="000140B3">
        <w:rPr>
          <w:rFonts w:ascii="Times New Roman" w:hAnsi="Times New Roman"/>
        </w:rPr>
        <w:t>嗣</w:t>
      </w:r>
      <w:proofErr w:type="gramEnd"/>
      <w:r w:rsidRPr="000140B3">
        <w:rPr>
          <w:rFonts w:ascii="Times New Roman" w:hAnsi="Times New Roman"/>
        </w:rPr>
        <w:t>於</w:t>
      </w:r>
      <w:r w:rsidRPr="000140B3">
        <w:rPr>
          <w:rFonts w:ascii="Times New Roman" w:hAnsi="Times New Roman"/>
        </w:rPr>
        <w:t>113</w:t>
      </w:r>
      <w:r w:rsidRPr="000140B3">
        <w:rPr>
          <w:rFonts w:ascii="Times New Roman" w:hAnsi="Times New Roman"/>
        </w:rPr>
        <w:t>年</w:t>
      </w:r>
      <w:r w:rsidRPr="000140B3">
        <w:rPr>
          <w:rFonts w:ascii="Times New Roman" w:hAnsi="Times New Roman"/>
        </w:rPr>
        <w:t>4</w:t>
      </w:r>
      <w:r w:rsidRPr="000140B3">
        <w:rPr>
          <w:rFonts w:ascii="Times New Roman" w:hAnsi="Times New Roman"/>
        </w:rPr>
        <w:t>月</w:t>
      </w:r>
      <w:r w:rsidRPr="000140B3">
        <w:rPr>
          <w:rFonts w:ascii="Times New Roman" w:hAnsi="Times New Roman"/>
        </w:rPr>
        <w:t>1</w:t>
      </w:r>
      <w:r w:rsidRPr="000140B3">
        <w:rPr>
          <w:rFonts w:ascii="Times New Roman" w:hAnsi="Times New Roman"/>
        </w:rPr>
        <w:t>日詢問金管會邱淑貞副主任委員、銀行局童政彰副局長、保險局蔡火炎副局長、</w:t>
      </w:r>
      <w:proofErr w:type="gramStart"/>
      <w:r w:rsidRPr="000140B3">
        <w:rPr>
          <w:rFonts w:ascii="Times New Roman" w:hAnsi="Times New Roman"/>
        </w:rPr>
        <w:t>證期局黃厚</w:t>
      </w:r>
      <w:proofErr w:type="gramEnd"/>
      <w:r w:rsidRPr="000140B3">
        <w:rPr>
          <w:rFonts w:ascii="Times New Roman" w:hAnsi="Times New Roman"/>
        </w:rPr>
        <w:t>銘副局長等相關主管人員</w:t>
      </w:r>
      <w:r w:rsidRPr="000140B3">
        <w:rPr>
          <w:rStyle w:val="aff4"/>
          <w:rFonts w:ascii="Times New Roman" w:hAnsi="Times New Roman"/>
        </w:rPr>
        <w:footnoteReference w:id="4"/>
      </w:r>
      <w:r w:rsidRPr="000140B3">
        <w:rPr>
          <w:rFonts w:ascii="Times New Roman" w:hAnsi="Times New Roman"/>
        </w:rPr>
        <w:t>，復參酌前揭機關後續補充說明資料，全案業已</w:t>
      </w:r>
      <w:proofErr w:type="gramStart"/>
      <w:r w:rsidRPr="000140B3">
        <w:rPr>
          <w:rFonts w:ascii="Times New Roman" w:hAnsi="Times New Roman"/>
        </w:rPr>
        <w:t>調查竣</w:t>
      </w:r>
      <w:proofErr w:type="gramEnd"/>
      <w:r w:rsidRPr="000140B3">
        <w:rPr>
          <w:rFonts w:ascii="Times New Roman" w:hAnsi="Times New Roman"/>
        </w:rPr>
        <w:t>事，茲臚列意見如下：</w:t>
      </w:r>
      <w:r w:rsidRPr="000140B3">
        <w:rPr>
          <w:rFonts w:ascii="Times New Roman" w:hAnsi="Times New Roman"/>
        </w:rPr>
        <w:t xml:space="preserve"> </w:t>
      </w:r>
    </w:p>
    <w:p w:rsidR="0064621B" w:rsidRPr="000140B3" w:rsidRDefault="0064621B" w:rsidP="0064621B">
      <w:pPr>
        <w:pStyle w:val="2"/>
        <w:rPr>
          <w:rFonts w:ascii="Times New Roman" w:hAnsi="Times New Roman"/>
          <w:b/>
        </w:rPr>
      </w:pPr>
      <w:r w:rsidRPr="000140B3">
        <w:rPr>
          <w:rFonts w:ascii="Times New Roman" w:hAnsi="Times New Roman"/>
          <w:b/>
        </w:rPr>
        <w:t>因兩岸特殊關係，金管會對金融業於中國大陸之</w:t>
      </w:r>
      <w:proofErr w:type="gramStart"/>
      <w:r w:rsidRPr="000140B3">
        <w:rPr>
          <w:rFonts w:ascii="Times New Roman" w:hAnsi="Times New Roman"/>
          <w:b/>
        </w:rPr>
        <w:t>暴險相</w:t>
      </w:r>
      <w:proofErr w:type="gramEnd"/>
      <w:r w:rsidRPr="000140B3">
        <w:rPr>
          <w:rFonts w:ascii="Times New Roman" w:hAnsi="Times New Roman"/>
          <w:b/>
        </w:rPr>
        <w:t>較於其他國家訂有較嚴格之管理機制。近年中國大陸因美中貿易等因素，造成產能過剩、房市泡沫和金融槓桿過高等後遺症，經濟遭遇到自</w:t>
      </w:r>
      <w:r w:rsidRPr="000140B3">
        <w:rPr>
          <w:rFonts w:ascii="Times New Roman" w:hAnsi="Times New Roman"/>
          <w:b/>
        </w:rPr>
        <w:t>1979</w:t>
      </w:r>
      <w:r w:rsidRPr="000140B3">
        <w:rPr>
          <w:rFonts w:ascii="Times New Roman" w:hAnsi="Times New Roman"/>
          <w:b/>
        </w:rPr>
        <w:t>年改革開放</w:t>
      </w:r>
      <w:r w:rsidRPr="000140B3">
        <w:rPr>
          <w:rFonts w:ascii="Times New Roman" w:hAnsi="Times New Roman"/>
          <w:b/>
        </w:rPr>
        <w:t>45</w:t>
      </w:r>
      <w:r w:rsidRPr="000140B3">
        <w:rPr>
          <w:rFonts w:ascii="Times New Roman" w:hAnsi="Times New Roman"/>
          <w:b/>
        </w:rPr>
        <w:t>年來最大的不景氣</w:t>
      </w:r>
      <w:r w:rsidRPr="000140B3">
        <w:rPr>
          <w:rStyle w:val="aff4"/>
          <w:rFonts w:ascii="Times New Roman" w:hAnsi="Times New Roman"/>
          <w:b/>
        </w:rPr>
        <w:footnoteReference w:id="5"/>
      </w:r>
      <w:r w:rsidRPr="000140B3">
        <w:rPr>
          <w:rFonts w:ascii="Times New Roman" w:hAnsi="Times New Roman"/>
          <w:b/>
        </w:rPr>
        <w:t>，我國金融業於中國大陸之</w:t>
      </w:r>
      <w:proofErr w:type="gramStart"/>
      <w:r w:rsidRPr="000140B3">
        <w:rPr>
          <w:rFonts w:ascii="Times New Roman" w:hAnsi="Times New Roman"/>
          <w:b/>
        </w:rPr>
        <w:t>暴險亦</w:t>
      </w:r>
      <w:proofErr w:type="gramEnd"/>
      <w:r w:rsidR="00CE6DC8" w:rsidRPr="000140B3">
        <w:rPr>
          <w:rFonts w:ascii="Times New Roman" w:hAnsi="Times New Roman" w:hint="eastAsia"/>
          <w:b/>
        </w:rPr>
        <w:t>因其政經環境，</w:t>
      </w:r>
      <w:r w:rsidRPr="000140B3">
        <w:rPr>
          <w:rFonts w:ascii="Times New Roman" w:hAnsi="Times New Roman"/>
          <w:b/>
        </w:rPr>
        <w:t>呈現逐年下滑趨勢，</w:t>
      </w:r>
      <w:r w:rsidRPr="000140B3">
        <w:rPr>
          <w:rFonts w:ascii="Times New Roman" w:hAnsi="Times New Roman"/>
          <w:b/>
        </w:rPr>
        <w:t>112</w:t>
      </w:r>
      <w:r w:rsidRPr="000140B3">
        <w:rPr>
          <w:rFonts w:ascii="Times New Roman" w:hAnsi="Times New Roman"/>
          <w:b/>
        </w:rPr>
        <w:t>年銀行業及保險業於中國大陸</w:t>
      </w:r>
      <w:proofErr w:type="gramStart"/>
      <w:r w:rsidR="00CE6DC8" w:rsidRPr="000140B3">
        <w:rPr>
          <w:rFonts w:ascii="Times New Roman" w:hAnsi="Times New Roman" w:hint="eastAsia"/>
          <w:b/>
        </w:rPr>
        <w:t>之暴險</w:t>
      </w:r>
      <w:proofErr w:type="gramEnd"/>
      <w:r w:rsidRPr="000140B3">
        <w:rPr>
          <w:rFonts w:ascii="Times New Roman" w:hAnsi="Times New Roman"/>
          <w:b/>
        </w:rPr>
        <w:t>已較</w:t>
      </w:r>
      <w:r w:rsidRPr="000140B3">
        <w:rPr>
          <w:rFonts w:ascii="Times New Roman" w:hAnsi="Times New Roman"/>
          <w:b/>
        </w:rPr>
        <w:t>108</w:t>
      </w:r>
      <w:r w:rsidRPr="000140B3">
        <w:rPr>
          <w:rFonts w:ascii="Times New Roman" w:hAnsi="Times New Roman"/>
          <w:b/>
        </w:rPr>
        <w:t>年下滑超過</w:t>
      </w:r>
      <w:proofErr w:type="gramStart"/>
      <w:r w:rsidRPr="000140B3">
        <w:rPr>
          <w:rFonts w:ascii="Times New Roman" w:hAnsi="Times New Roman"/>
          <w:b/>
        </w:rPr>
        <w:t>5</w:t>
      </w:r>
      <w:proofErr w:type="gramEnd"/>
      <w:r w:rsidRPr="000140B3">
        <w:rPr>
          <w:rFonts w:ascii="Times New Roman" w:hAnsi="Times New Roman"/>
          <w:b/>
        </w:rPr>
        <w:t>成。金管會於期間採取相關強化</w:t>
      </w:r>
      <w:proofErr w:type="gramStart"/>
      <w:r w:rsidRPr="000140B3">
        <w:rPr>
          <w:rFonts w:ascii="Times New Roman" w:hAnsi="Times New Roman"/>
          <w:b/>
        </w:rPr>
        <w:t>中國大陸暴險管理</w:t>
      </w:r>
      <w:proofErr w:type="gramEnd"/>
      <w:r w:rsidRPr="000140B3">
        <w:rPr>
          <w:rFonts w:ascii="Times New Roman" w:hAnsi="Times New Roman"/>
          <w:b/>
        </w:rPr>
        <w:t>措施以為因應，應予肯</w:t>
      </w:r>
      <w:r w:rsidR="00BD32E3" w:rsidRPr="000140B3">
        <w:rPr>
          <w:rFonts w:ascii="Times New Roman" w:hAnsi="Times New Roman" w:hint="eastAsia"/>
          <w:b/>
        </w:rPr>
        <w:t>定</w:t>
      </w:r>
      <w:r w:rsidRPr="000140B3">
        <w:rPr>
          <w:rFonts w:ascii="Times New Roman" w:hAnsi="Times New Roman"/>
          <w:b/>
        </w:rPr>
        <w:t>。然仍有部分金融機構對中國大陸</w:t>
      </w:r>
      <w:proofErr w:type="gramStart"/>
      <w:r w:rsidRPr="000140B3">
        <w:rPr>
          <w:rFonts w:ascii="Times New Roman" w:hAnsi="Times New Roman"/>
          <w:b/>
        </w:rPr>
        <w:t>之暴險金額</w:t>
      </w:r>
      <w:proofErr w:type="gramEnd"/>
      <w:r w:rsidRPr="000140B3">
        <w:rPr>
          <w:rFonts w:ascii="Times New Roman" w:hAnsi="Times New Roman"/>
          <w:b/>
        </w:rPr>
        <w:t>及比率雖符合相關規範，惟不跌反升，仍請金管會持續關注中國大陸相關政經情勢發展，</w:t>
      </w:r>
      <w:r w:rsidR="00CE6DC8" w:rsidRPr="000140B3">
        <w:rPr>
          <w:rFonts w:ascii="Times New Roman" w:hAnsi="Times New Roman" w:hint="eastAsia"/>
          <w:b/>
        </w:rPr>
        <w:t>以</w:t>
      </w:r>
      <w:r w:rsidRPr="000140B3">
        <w:rPr>
          <w:rFonts w:ascii="Times New Roman" w:hAnsi="Times New Roman"/>
          <w:b/>
        </w:rPr>
        <w:t>避免因其</w:t>
      </w:r>
      <w:r w:rsidR="00CE6DC8" w:rsidRPr="000140B3">
        <w:rPr>
          <w:rFonts w:ascii="Times New Roman" w:hAnsi="Times New Roman" w:hint="eastAsia"/>
          <w:b/>
        </w:rPr>
        <w:t>政經</w:t>
      </w:r>
      <w:r w:rsidRPr="000140B3">
        <w:rPr>
          <w:rFonts w:ascii="Times New Roman" w:hAnsi="Times New Roman"/>
          <w:b/>
        </w:rPr>
        <w:t>因素，影響</w:t>
      </w:r>
      <w:r w:rsidRPr="000140B3">
        <w:rPr>
          <w:rFonts w:ascii="Times New Roman" w:hAnsi="Times New Roman"/>
          <w:b/>
        </w:rPr>
        <w:lastRenderedPageBreak/>
        <w:t>我國金融業之穩定。</w:t>
      </w:r>
    </w:p>
    <w:p w:rsidR="0064621B" w:rsidRPr="000140B3" w:rsidRDefault="0064621B" w:rsidP="0064621B">
      <w:pPr>
        <w:pStyle w:val="3"/>
        <w:rPr>
          <w:rFonts w:ascii="Times New Roman" w:hAnsi="Times New Roman"/>
        </w:rPr>
      </w:pPr>
      <w:r w:rsidRPr="000140B3">
        <w:rPr>
          <w:rFonts w:ascii="Times New Roman" w:hAnsi="Times New Roman"/>
          <w:szCs w:val="32"/>
        </w:rPr>
        <w:t>金管會對於我國海外金融機構</w:t>
      </w:r>
      <w:proofErr w:type="gramStart"/>
      <w:r w:rsidRPr="000140B3">
        <w:rPr>
          <w:rFonts w:ascii="Times New Roman" w:hAnsi="Times New Roman"/>
          <w:szCs w:val="32"/>
        </w:rPr>
        <w:t>之暴險管理</w:t>
      </w:r>
      <w:proofErr w:type="gramEnd"/>
      <w:r w:rsidRPr="000140B3">
        <w:rPr>
          <w:rFonts w:ascii="Times New Roman" w:hAnsi="Times New Roman"/>
          <w:szCs w:val="32"/>
        </w:rPr>
        <w:t>係</w:t>
      </w:r>
      <w:proofErr w:type="gramStart"/>
      <w:r w:rsidRPr="000140B3">
        <w:rPr>
          <w:rFonts w:ascii="Times New Roman" w:hAnsi="Times New Roman"/>
          <w:szCs w:val="32"/>
        </w:rPr>
        <w:t>依循各</w:t>
      </w:r>
      <w:proofErr w:type="gramEnd"/>
      <w:r w:rsidRPr="000140B3">
        <w:rPr>
          <w:rFonts w:ascii="Times New Roman" w:hAnsi="Times New Roman"/>
          <w:szCs w:val="32"/>
        </w:rPr>
        <w:t>業別</w:t>
      </w:r>
      <w:r w:rsidRPr="000140B3">
        <w:rPr>
          <w:rFonts w:ascii="Times New Roman" w:hAnsi="Times New Roman"/>
          <w:szCs w:val="32"/>
        </w:rPr>
        <w:t>(</w:t>
      </w:r>
      <w:r w:rsidRPr="000140B3">
        <w:rPr>
          <w:rFonts w:ascii="Times New Roman" w:hAnsi="Times New Roman"/>
          <w:szCs w:val="32"/>
        </w:rPr>
        <w:t>銀行業、保險業、證券期貨業</w:t>
      </w:r>
      <w:r w:rsidRPr="000140B3">
        <w:rPr>
          <w:rFonts w:ascii="Times New Roman" w:hAnsi="Times New Roman"/>
          <w:szCs w:val="32"/>
        </w:rPr>
        <w:t>)</w:t>
      </w:r>
      <w:r w:rsidRPr="000140B3">
        <w:rPr>
          <w:rFonts w:ascii="Times New Roman" w:hAnsi="Times New Roman"/>
          <w:szCs w:val="32"/>
        </w:rPr>
        <w:t>對海外</w:t>
      </w:r>
      <w:proofErr w:type="gramStart"/>
      <w:r w:rsidRPr="000140B3">
        <w:rPr>
          <w:rFonts w:ascii="Times New Roman" w:hAnsi="Times New Roman"/>
          <w:szCs w:val="32"/>
        </w:rPr>
        <w:t>地區暴險</w:t>
      </w:r>
      <w:proofErr w:type="gramEnd"/>
      <w:r w:rsidRPr="000140B3">
        <w:rPr>
          <w:rFonts w:ascii="Times New Roman" w:hAnsi="Times New Roman"/>
          <w:szCs w:val="32"/>
        </w:rPr>
        <w:t>之規定管理，然考量</w:t>
      </w:r>
      <w:r w:rsidR="00543724" w:rsidRPr="000140B3">
        <w:rPr>
          <w:rFonts w:ascii="Times New Roman" w:hAnsi="Times New Roman" w:hint="eastAsia"/>
          <w:szCs w:val="32"/>
        </w:rPr>
        <w:t>中國</w:t>
      </w:r>
      <w:r w:rsidRPr="000140B3">
        <w:rPr>
          <w:rFonts w:ascii="Times New Roman" w:hAnsi="Times New Roman"/>
          <w:szCs w:val="32"/>
        </w:rPr>
        <w:t>大陸與我國政經之特殊性，</w:t>
      </w:r>
      <w:r w:rsidR="00543724" w:rsidRPr="000140B3">
        <w:rPr>
          <w:rFonts w:ascii="Times New Roman" w:hAnsi="Times New Roman" w:hint="eastAsia"/>
          <w:szCs w:val="32"/>
        </w:rPr>
        <w:t>該</w:t>
      </w:r>
      <w:r w:rsidRPr="000140B3">
        <w:rPr>
          <w:rFonts w:ascii="Times New Roman" w:hAnsi="Times New Roman"/>
          <w:szCs w:val="32"/>
        </w:rPr>
        <w:t>會</w:t>
      </w:r>
      <w:r w:rsidRPr="000140B3">
        <w:rPr>
          <w:rFonts w:ascii="Times New Roman" w:hAnsi="Times New Roman"/>
        </w:rPr>
        <w:t>依據「臺灣地區與大陸地區人民關係條例」</w:t>
      </w:r>
      <w:r w:rsidRPr="000140B3">
        <w:rPr>
          <w:rFonts w:ascii="Times New Roman" w:hAnsi="Times New Roman"/>
        </w:rPr>
        <w:t>(</w:t>
      </w:r>
      <w:r w:rsidRPr="000140B3">
        <w:rPr>
          <w:rFonts w:ascii="Times New Roman" w:hAnsi="Times New Roman"/>
        </w:rPr>
        <w:t>下稱兩岸人民關係條例</w:t>
      </w:r>
      <w:r w:rsidRPr="000140B3">
        <w:rPr>
          <w:rFonts w:ascii="Times New Roman" w:hAnsi="Times New Roman"/>
        </w:rPr>
        <w:t>)</w:t>
      </w:r>
      <w:r w:rsidRPr="000140B3">
        <w:rPr>
          <w:rFonts w:ascii="Times New Roman" w:hAnsi="Times New Roman"/>
        </w:rPr>
        <w:t>第</w:t>
      </w:r>
      <w:r w:rsidRPr="000140B3">
        <w:rPr>
          <w:rFonts w:ascii="Times New Roman" w:hAnsi="Times New Roman"/>
        </w:rPr>
        <w:t>35</w:t>
      </w:r>
      <w:r w:rsidRPr="000140B3">
        <w:rPr>
          <w:rFonts w:ascii="Times New Roman" w:hAnsi="Times New Roman"/>
        </w:rPr>
        <w:t>條第</w:t>
      </w:r>
      <w:r w:rsidRPr="000140B3">
        <w:rPr>
          <w:rFonts w:ascii="Times New Roman" w:hAnsi="Times New Roman"/>
        </w:rPr>
        <w:t>4</w:t>
      </w:r>
      <w:r w:rsidRPr="000140B3">
        <w:rPr>
          <w:rFonts w:ascii="Times New Roman" w:hAnsi="Times New Roman"/>
        </w:rPr>
        <w:t>項、第</w:t>
      </w:r>
      <w:r w:rsidRPr="000140B3">
        <w:rPr>
          <w:rFonts w:ascii="Times New Roman" w:hAnsi="Times New Roman"/>
        </w:rPr>
        <w:t>36</w:t>
      </w:r>
      <w:r w:rsidRPr="000140B3">
        <w:rPr>
          <w:rFonts w:ascii="Times New Roman" w:hAnsi="Times New Roman"/>
        </w:rPr>
        <w:t>條第</w:t>
      </w:r>
      <w:r w:rsidRPr="000140B3">
        <w:rPr>
          <w:rFonts w:ascii="Times New Roman" w:hAnsi="Times New Roman"/>
        </w:rPr>
        <w:t>3</w:t>
      </w:r>
      <w:r w:rsidRPr="000140B3">
        <w:rPr>
          <w:rFonts w:ascii="Times New Roman" w:hAnsi="Times New Roman"/>
        </w:rPr>
        <w:t>項、第</w:t>
      </w:r>
      <w:r w:rsidRPr="000140B3">
        <w:rPr>
          <w:rFonts w:ascii="Times New Roman" w:hAnsi="Times New Roman"/>
        </w:rPr>
        <w:t>72</w:t>
      </w:r>
      <w:r w:rsidRPr="000140B3">
        <w:rPr>
          <w:rFonts w:ascii="Times New Roman" w:hAnsi="Times New Roman"/>
        </w:rPr>
        <w:t>條第</w:t>
      </w:r>
      <w:r w:rsidRPr="000140B3">
        <w:rPr>
          <w:rFonts w:ascii="Times New Roman" w:hAnsi="Times New Roman"/>
        </w:rPr>
        <w:t>2</w:t>
      </w:r>
      <w:r w:rsidRPr="000140B3">
        <w:rPr>
          <w:rFonts w:ascii="Times New Roman" w:hAnsi="Times New Roman"/>
        </w:rPr>
        <w:t>項及第</w:t>
      </w:r>
      <w:r w:rsidRPr="000140B3">
        <w:rPr>
          <w:rFonts w:ascii="Times New Roman" w:hAnsi="Times New Roman"/>
        </w:rPr>
        <w:t>73</w:t>
      </w:r>
      <w:r w:rsidRPr="000140B3">
        <w:rPr>
          <w:rFonts w:ascii="Times New Roman" w:hAnsi="Times New Roman"/>
        </w:rPr>
        <w:t>第</w:t>
      </w:r>
      <w:r w:rsidRPr="000140B3">
        <w:rPr>
          <w:rFonts w:ascii="Times New Roman" w:hAnsi="Times New Roman"/>
        </w:rPr>
        <w:t>3</w:t>
      </w:r>
      <w:r w:rsidRPr="000140B3">
        <w:rPr>
          <w:rFonts w:ascii="Times New Roman" w:hAnsi="Times New Roman"/>
        </w:rPr>
        <w:t>項授權規定訂定「臺灣地區與大陸地區金融業務往來及投資許可管理辦法」（下稱金融業務往來許可辦法）、「臺灣地區與大陸地區保險業務往來及投資許可管理辦法」</w:t>
      </w:r>
      <w:r w:rsidRPr="000140B3">
        <w:rPr>
          <w:rFonts w:ascii="Times New Roman" w:hAnsi="Times New Roman"/>
        </w:rPr>
        <w:t>(</w:t>
      </w:r>
      <w:r w:rsidRPr="000140B3">
        <w:rPr>
          <w:rFonts w:ascii="Times New Roman" w:hAnsi="Times New Roman"/>
        </w:rPr>
        <w:t>下稱保險業務往來許可辦法</w:t>
      </w:r>
      <w:r w:rsidRPr="000140B3">
        <w:rPr>
          <w:rFonts w:ascii="Times New Roman" w:hAnsi="Times New Roman"/>
        </w:rPr>
        <w:t>)</w:t>
      </w:r>
      <w:r w:rsidRPr="000140B3">
        <w:rPr>
          <w:rFonts w:ascii="Times New Roman" w:hAnsi="Times New Roman"/>
        </w:rPr>
        <w:t>、「臺灣地區與大陸地區證券期貨業務往來及投資許可管理辦法」（下稱證券期貨業務往來許可辦法）</w:t>
      </w:r>
      <w:r w:rsidR="00543724" w:rsidRPr="000140B3">
        <w:rPr>
          <w:rFonts w:ascii="Times New Roman" w:hAnsi="Times New Roman" w:hint="eastAsia"/>
        </w:rPr>
        <w:t>規範</w:t>
      </w:r>
      <w:r w:rsidRPr="000140B3">
        <w:rPr>
          <w:rFonts w:ascii="Times New Roman" w:hAnsi="Times New Roman"/>
        </w:rPr>
        <w:t>我國金融業於中國大陸之往來機制</w:t>
      </w:r>
      <w:r w:rsidR="00543724" w:rsidRPr="000140B3">
        <w:rPr>
          <w:rFonts w:ascii="Times New Roman" w:hAnsi="Times New Roman" w:hint="eastAsia"/>
        </w:rPr>
        <w:t>，並訂定較其他國家更嚴格之</w:t>
      </w:r>
      <w:proofErr w:type="gramStart"/>
      <w:r w:rsidR="00543724" w:rsidRPr="000140B3">
        <w:rPr>
          <w:rFonts w:ascii="Times New Roman" w:hAnsi="Times New Roman" w:hint="eastAsia"/>
        </w:rPr>
        <w:t>金融暴險管</w:t>
      </w:r>
      <w:proofErr w:type="gramEnd"/>
      <w:r w:rsidR="00543724" w:rsidRPr="000140B3">
        <w:rPr>
          <w:rFonts w:ascii="Times New Roman" w:hAnsi="Times New Roman" w:hint="eastAsia"/>
        </w:rPr>
        <w:t>理措施。</w:t>
      </w:r>
      <w:r w:rsidRPr="000140B3">
        <w:rPr>
          <w:rFonts w:ascii="Times New Roman" w:hAnsi="Times New Roman"/>
        </w:rPr>
        <w:t>與</w:t>
      </w:r>
      <w:r w:rsidR="00D16A02" w:rsidRPr="000140B3">
        <w:rPr>
          <w:rFonts w:ascii="Times New Roman" w:hAnsi="Times New Roman" w:hint="eastAsia"/>
        </w:rPr>
        <w:t>美國、</w:t>
      </w:r>
      <w:r w:rsidRPr="000140B3">
        <w:rPr>
          <w:rFonts w:ascii="Times New Roman" w:hAnsi="Times New Roman"/>
        </w:rPr>
        <w:t>日本、韓國</w:t>
      </w:r>
      <w:r w:rsidR="00D16A02" w:rsidRPr="000140B3">
        <w:rPr>
          <w:rFonts w:ascii="Times New Roman" w:hAnsi="Times New Roman" w:hint="eastAsia"/>
        </w:rPr>
        <w:t>等國，</w:t>
      </w:r>
      <w:r w:rsidRPr="000140B3">
        <w:rPr>
          <w:rFonts w:ascii="Times New Roman" w:hAnsi="Times New Roman"/>
        </w:rPr>
        <w:t>將中</w:t>
      </w:r>
      <w:r w:rsidRPr="000140B3">
        <w:rPr>
          <w:rFonts w:ascii="Times New Roman" w:hAnsi="Times New Roman"/>
          <w:szCs w:val="32"/>
        </w:rPr>
        <w:t>國大陸視同</w:t>
      </w:r>
      <w:r w:rsidR="00D16A02" w:rsidRPr="000140B3">
        <w:rPr>
          <w:rFonts w:ascii="Times New Roman" w:hAnsi="Times New Roman" w:hint="eastAsia"/>
          <w:szCs w:val="32"/>
        </w:rPr>
        <w:t>海外地區，適用相同規定</w:t>
      </w:r>
      <w:r w:rsidRPr="000140B3">
        <w:rPr>
          <w:rFonts w:ascii="Times New Roman" w:hAnsi="Times New Roman"/>
          <w:szCs w:val="32"/>
        </w:rPr>
        <w:t>，未對中國大陸</w:t>
      </w:r>
      <w:proofErr w:type="gramStart"/>
      <w:r w:rsidRPr="000140B3">
        <w:rPr>
          <w:rFonts w:ascii="Times New Roman" w:hAnsi="Times New Roman"/>
          <w:szCs w:val="32"/>
        </w:rPr>
        <w:t>暴險訂</w:t>
      </w:r>
      <w:proofErr w:type="gramEnd"/>
      <w:r w:rsidRPr="000140B3">
        <w:rPr>
          <w:rFonts w:ascii="Times New Roman" w:hAnsi="Times New Roman"/>
          <w:szCs w:val="32"/>
        </w:rPr>
        <w:t>定特別規範</w:t>
      </w:r>
      <w:r w:rsidR="00D16A02" w:rsidRPr="000140B3">
        <w:rPr>
          <w:rFonts w:ascii="Times New Roman" w:hAnsi="Times New Roman" w:hint="eastAsia"/>
          <w:szCs w:val="32"/>
        </w:rPr>
        <w:t>，顯有不同</w:t>
      </w:r>
      <w:r w:rsidR="00D26FFC" w:rsidRPr="000140B3">
        <w:rPr>
          <w:rFonts w:ascii="Times New Roman" w:hAnsi="Times New Roman"/>
        </w:rPr>
        <w:t>：</w:t>
      </w:r>
    </w:p>
    <w:p w:rsidR="0064621B" w:rsidRPr="000140B3" w:rsidRDefault="0064621B" w:rsidP="0064621B">
      <w:pPr>
        <w:pStyle w:val="4"/>
        <w:rPr>
          <w:rFonts w:ascii="Times New Roman" w:hAnsi="Times New Roman"/>
        </w:rPr>
      </w:pPr>
      <w:r w:rsidRPr="000140B3">
        <w:rPr>
          <w:rFonts w:ascii="Times New Roman" w:hAnsi="Times New Roman"/>
        </w:rPr>
        <w:t>銀行業：</w:t>
      </w:r>
    </w:p>
    <w:p w:rsidR="0064621B" w:rsidRPr="000140B3" w:rsidRDefault="0064621B" w:rsidP="0064621B">
      <w:pPr>
        <w:pStyle w:val="4"/>
        <w:numPr>
          <w:ilvl w:val="0"/>
          <w:numId w:val="0"/>
        </w:numPr>
        <w:ind w:left="1701" w:firstLineChars="208" w:firstLine="708"/>
        <w:rPr>
          <w:rFonts w:ascii="Times New Roman" w:hAnsi="Times New Roman"/>
        </w:rPr>
      </w:pPr>
      <w:r w:rsidRPr="000140B3">
        <w:rPr>
          <w:rFonts w:ascii="Times New Roman" w:hAnsi="Times New Roman"/>
        </w:rPr>
        <w:t>依據金融業務往來許可辦法等規範對金融控股公司</w:t>
      </w:r>
      <w:r w:rsidRPr="000140B3">
        <w:rPr>
          <w:rFonts w:ascii="Times New Roman" w:hAnsi="Times New Roman"/>
        </w:rPr>
        <w:t>(</w:t>
      </w:r>
      <w:r w:rsidRPr="000140B3">
        <w:rPr>
          <w:rFonts w:ascii="Times New Roman" w:hAnsi="Times New Roman"/>
        </w:rPr>
        <w:t>下</w:t>
      </w:r>
      <w:proofErr w:type="gramStart"/>
      <w:r w:rsidRPr="000140B3">
        <w:rPr>
          <w:rFonts w:ascii="Times New Roman" w:hAnsi="Times New Roman"/>
        </w:rPr>
        <w:t>稱金控公司</w:t>
      </w:r>
      <w:proofErr w:type="gramEnd"/>
      <w:r w:rsidRPr="000140B3">
        <w:rPr>
          <w:rFonts w:ascii="Times New Roman" w:hAnsi="Times New Roman"/>
        </w:rPr>
        <w:t>)</w:t>
      </w:r>
      <w:r w:rsidRPr="000140B3">
        <w:rPr>
          <w:rFonts w:ascii="Times New Roman" w:hAnsi="Times New Roman"/>
        </w:rPr>
        <w:t>及銀行業於</w:t>
      </w:r>
      <w:r w:rsidR="00D16A02" w:rsidRPr="000140B3">
        <w:rPr>
          <w:rFonts w:ascii="Times New Roman" w:hAnsi="Times New Roman" w:hint="eastAsia"/>
        </w:rPr>
        <w:t>中國</w:t>
      </w:r>
      <w:r w:rsidRPr="000140B3">
        <w:rPr>
          <w:rFonts w:ascii="Times New Roman" w:hAnsi="Times New Roman"/>
        </w:rPr>
        <w:t>大陸訂</w:t>
      </w:r>
      <w:proofErr w:type="gramStart"/>
      <w:r w:rsidRPr="000140B3">
        <w:rPr>
          <w:rFonts w:ascii="Times New Roman" w:hAnsi="Times New Roman"/>
        </w:rPr>
        <w:t>有暴險管</w:t>
      </w:r>
      <w:proofErr w:type="gramEnd"/>
      <w:r w:rsidRPr="000140B3">
        <w:rPr>
          <w:rFonts w:ascii="Times New Roman" w:hAnsi="Times New Roman"/>
        </w:rPr>
        <w:t>理規定：</w:t>
      </w:r>
    </w:p>
    <w:p w:rsidR="0064621B" w:rsidRPr="000140B3" w:rsidRDefault="0064621B" w:rsidP="0064621B">
      <w:pPr>
        <w:pStyle w:val="5"/>
        <w:rPr>
          <w:rFonts w:ascii="Times New Roman" w:hAnsi="Times New Roman"/>
        </w:rPr>
      </w:pPr>
      <w:proofErr w:type="gramStart"/>
      <w:r w:rsidRPr="000140B3">
        <w:rPr>
          <w:rFonts w:ascii="Times New Roman" w:hAnsi="Times New Roman"/>
        </w:rPr>
        <w:t>金控公司</w:t>
      </w:r>
      <w:proofErr w:type="gramEnd"/>
      <w:r w:rsidRPr="000140B3">
        <w:rPr>
          <w:rFonts w:ascii="Times New Roman" w:hAnsi="Times New Roman"/>
        </w:rPr>
        <w:t>在大陸地區參股投資及其所屬銀行、保險、證券以外子公司在大陸地區投資之合計數不得逾</w:t>
      </w:r>
      <w:proofErr w:type="gramStart"/>
      <w:r w:rsidRPr="000140B3">
        <w:rPr>
          <w:rFonts w:ascii="Times New Roman" w:hAnsi="Times New Roman"/>
        </w:rPr>
        <w:t>該金控淨</w:t>
      </w:r>
      <w:proofErr w:type="gramEnd"/>
      <w:r w:rsidRPr="000140B3">
        <w:rPr>
          <w:rFonts w:ascii="Times New Roman" w:hAnsi="Times New Roman"/>
        </w:rPr>
        <w:t>值之</w:t>
      </w:r>
      <w:r w:rsidRPr="000140B3">
        <w:rPr>
          <w:rFonts w:ascii="Times New Roman" w:hAnsi="Times New Roman"/>
        </w:rPr>
        <w:t>10%</w:t>
      </w:r>
      <w:r w:rsidRPr="000140B3">
        <w:rPr>
          <w:rFonts w:ascii="Times New Roman" w:hAnsi="Times New Roman"/>
        </w:rPr>
        <w:t>。</w:t>
      </w:r>
    </w:p>
    <w:p w:rsidR="0064621B" w:rsidRPr="000140B3" w:rsidRDefault="0064621B" w:rsidP="0064621B">
      <w:pPr>
        <w:pStyle w:val="5"/>
        <w:rPr>
          <w:rFonts w:ascii="Times New Roman" w:hAnsi="Times New Roman"/>
        </w:rPr>
      </w:pPr>
      <w:r w:rsidRPr="000140B3">
        <w:rPr>
          <w:rFonts w:ascii="Times New Roman" w:hAnsi="Times New Roman"/>
        </w:rPr>
        <w:t>銀行對大陸地區之授信、投資及</w:t>
      </w:r>
      <w:proofErr w:type="gramStart"/>
      <w:r w:rsidRPr="000140B3">
        <w:rPr>
          <w:rFonts w:ascii="Times New Roman" w:hAnsi="Times New Roman"/>
        </w:rPr>
        <w:t>資金拆存總額</w:t>
      </w:r>
      <w:proofErr w:type="gramEnd"/>
      <w:r w:rsidRPr="000140B3">
        <w:rPr>
          <w:rFonts w:ascii="Times New Roman" w:hAnsi="Times New Roman"/>
        </w:rPr>
        <w:t>度，不得超過其上年度決算後淨值之一倍。</w:t>
      </w:r>
    </w:p>
    <w:p w:rsidR="0064621B" w:rsidRPr="000140B3" w:rsidRDefault="0064621B" w:rsidP="0064621B">
      <w:pPr>
        <w:pStyle w:val="5"/>
        <w:rPr>
          <w:rFonts w:ascii="Times New Roman" w:hAnsi="Times New Roman"/>
        </w:rPr>
      </w:pPr>
      <w:r w:rsidRPr="000140B3">
        <w:rPr>
          <w:rFonts w:ascii="Times New Roman" w:hAnsi="Times New Roman"/>
          <w:szCs w:val="32"/>
        </w:rPr>
        <w:t>相較於海外</w:t>
      </w:r>
      <w:proofErr w:type="gramStart"/>
      <w:r w:rsidRPr="000140B3">
        <w:rPr>
          <w:rFonts w:ascii="Times New Roman" w:hAnsi="Times New Roman"/>
          <w:szCs w:val="32"/>
        </w:rPr>
        <w:t>地區暴險</w:t>
      </w:r>
      <w:proofErr w:type="gramEnd"/>
      <w:r w:rsidRPr="000140B3">
        <w:rPr>
          <w:rFonts w:ascii="Times New Roman" w:hAnsi="Times New Roman"/>
          <w:szCs w:val="32"/>
        </w:rPr>
        <w:t>，金管會要求國銀對大陸地區授信第一類授信資產餘額</w:t>
      </w:r>
      <w:r w:rsidRPr="000140B3">
        <w:rPr>
          <w:rFonts w:ascii="Times New Roman" w:hAnsi="Times New Roman"/>
          <w:szCs w:val="32"/>
        </w:rPr>
        <w:t>(</w:t>
      </w:r>
      <w:r w:rsidRPr="000140B3">
        <w:rPr>
          <w:rFonts w:ascii="Times New Roman" w:hAnsi="Times New Roman"/>
          <w:szCs w:val="32"/>
        </w:rPr>
        <w:t>含短期貿易融資</w:t>
      </w:r>
      <w:r w:rsidRPr="000140B3">
        <w:rPr>
          <w:rFonts w:ascii="Times New Roman" w:hAnsi="Times New Roman"/>
          <w:szCs w:val="32"/>
        </w:rPr>
        <w:t>)</w:t>
      </w:r>
      <w:r w:rsidRPr="000140B3">
        <w:rPr>
          <w:rFonts w:ascii="Times New Roman" w:hAnsi="Times New Roman"/>
          <w:szCs w:val="32"/>
        </w:rPr>
        <w:t>之備抵呆帳及保證責任準備提存比率由</w:t>
      </w:r>
      <w:r w:rsidRPr="000140B3">
        <w:rPr>
          <w:rFonts w:ascii="Times New Roman" w:hAnsi="Times New Roman"/>
          <w:szCs w:val="32"/>
        </w:rPr>
        <w:t>1%</w:t>
      </w:r>
      <w:r w:rsidRPr="000140B3">
        <w:rPr>
          <w:rFonts w:ascii="Times New Roman" w:hAnsi="Times New Roman"/>
          <w:szCs w:val="32"/>
        </w:rPr>
        <w:t>提高至</w:t>
      </w:r>
      <w:r w:rsidRPr="000140B3">
        <w:rPr>
          <w:rFonts w:ascii="Times New Roman" w:hAnsi="Times New Roman"/>
          <w:szCs w:val="32"/>
        </w:rPr>
        <w:t>1.5%</w:t>
      </w:r>
      <w:r w:rsidRPr="000140B3">
        <w:rPr>
          <w:rFonts w:ascii="Times New Roman" w:hAnsi="Times New Roman"/>
          <w:szCs w:val="32"/>
        </w:rPr>
        <w:t>。</w:t>
      </w:r>
    </w:p>
    <w:p w:rsidR="0064621B" w:rsidRPr="000140B3" w:rsidRDefault="0064621B" w:rsidP="0064621B">
      <w:pPr>
        <w:pStyle w:val="4"/>
        <w:rPr>
          <w:rFonts w:ascii="Times New Roman" w:hAnsi="Times New Roman"/>
        </w:rPr>
      </w:pPr>
      <w:r w:rsidRPr="000140B3">
        <w:rPr>
          <w:rFonts w:ascii="Times New Roman" w:hAnsi="Times New Roman"/>
        </w:rPr>
        <w:t>保險業：</w:t>
      </w:r>
    </w:p>
    <w:p w:rsidR="0064621B" w:rsidRPr="000140B3" w:rsidRDefault="0064621B" w:rsidP="0064621B">
      <w:pPr>
        <w:pStyle w:val="4"/>
        <w:numPr>
          <w:ilvl w:val="0"/>
          <w:numId w:val="0"/>
        </w:numPr>
        <w:ind w:left="1701" w:firstLineChars="250" w:firstLine="850"/>
        <w:rPr>
          <w:rFonts w:ascii="Times New Roman" w:hAnsi="Times New Roman"/>
        </w:rPr>
      </w:pPr>
      <w:r w:rsidRPr="000140B3">
        <w:rPr>
          <w:rFonts w:ascii="Times New Roman" w:hAnsi="Times New Roman"/>
        </w:rPr>
        <w:lastRenderedPageBreak/>
        <w:t>金管會對保險業</w:t>
      </w:r>
      <w:r w:rsidR="00D16A02" w:rsidRPr="000140B3">
        <w:rPr>
          <w:rFonts w:ascii="Times New Roman" w:hAnsi="Times New Roman" w:hint="eastAsia"/>
        </w:rPr>
        <w:t>於中國大陸</w:t>
      </w:r>
      <w:proofErr w:type="gramStart"/>
      <w:r w:rsidR="00D16A02" w:rsidRPr="000140B3">
        <w:rPr>
          <w:rFonts w:ascii="Times New Roman" w:hAnsi="Times New Roman" w:hint="eastAsia"/>
        </w:rPr>
        <w:t>之</w:t>
      </w:r>
      <w:r w:rsidRPr="000140B3">
        <w:rPr>
          <w:rFonts w:ascii="Times New Roman" w:hAnsi="Times New Roman"/>
        </w:rPr>
        <w:t>暴險管理</w:t>
      </w:r>
      <w:proofErr w:type="gramEnd"/>
      <w:r w:rsidRPr="000140B3">
        <w:rPr>
          <w:rFonts w:ascii="Times New Roman" w:hAnsi="Times New Roman"/>
        </w:rPr>
        <w:t>機制，係依保險業務往來許可辦法等相關法規，對保險業於大陸地區</w:t>
      </w:r>
      <w:proofErr w:type="gramStart"/>
      <w:r w:rsidRPr="000140B3">
        <w:rPr>
          <w:rFonts w:ascii="Times New Roman" w:hAnsi="Times New Roman"/>
        </w:rPr>
        <w:t>暴險訂有</w:t>
      </w:r>
      <w:r w:rsidR="00D16A02" w:rsidRPr="000140B3">
        <w:rPr>
          <w:rFonts w:ascii="Times New Roman" w:hAnsi="Times New Roman" w:hint="eastAsia"/>
        </w:rPr>
        <w:t>暴</w:t>
      </w:r>
      <w:proofErr w:type="gramEnd"/>
      <w:r w:rsidR="00D16A02" w:rsidRPr="000140B3">
        <w:rPr>
          <w:rFonts w:ascii="Times New Roman" w:hAnsi="Times New Roman" w:hint="eastAsia"/>
        </w:rPr>
        <w:t>險管理</w:t>
      </w:r>
      <w:r w:rsidRPr="000140B3">
        <w:rPr>
          <w:rFonts w:ascii="Times New Roman" w:hAnsi="Times New Roman"/>
        </w:rPr>
        <w:t>規定：</w:t>
      </w:r>
    </w:p>
    <w:p w:rsidR="0064621B" w:rsidRPr="000140B3" w:rsidRDefault="0064621B" w:rsidP="0064621B">
      <w:pPr>
        <w:pStyle w:val="5"/>
        <w:rPr>
          <w:rFonts w:ascii="Times New Roman" w:hAnsi="Times New Roman"/>
        </w:rPr>
      </w:pPr>
      <w:r w:rsidRPr="000140B3">
        <w:rPr>
          <w:rFonts w:ascii="Times New Roman" w:hAnsi="Times New Roman"/>
          <w:szCs w:val="32"/>
        </w:rPr>
        <w:t>限額規定：</w:t>
      </w:r>
    </w:p>
    <w:p w:rsidR="0064621B" w:rsidRPr="000140B3" w:rsidRDefault="0064621B" w:rsidP="0064621B">
      <w:pPr>
        <w:pStyle w:val="6"/>
        <w:rPr>
          <w:rFonts w:ascii="Times New Roman" w:hAnsi="Times New Roman"/>
        </w:rPr>
      </w:pPr>
      <w:r w:rsidRPr="000140B3">
        <w:rPr>
          <w:rFonts w:ascii="Times New Roman" w:hAnsi="Times New Roman"/>
        </w:rPr>
        <w:t>大陸地區：投資有價證券合計最高不得超過保險業經核定國外投資額度</w:t>
      </w:r>
      <w:r w:rsidRPr="000140B3">
        <w:rPr>
          <w:rFonts w:ascii="Times New Roman" w:hAnsi="Times New Roman"/>
        </w:rPr>
        <w:t>10%</w:t>
      </w:r>
      <w:r w:rsidRPr="000140B3">
        <w:rPr>
          <w:rFonts w:ascii="Times New Roman" w:hAnsi="Times New Roman"/>
        </w:rPr>
        <w:t>。</w:t>
      </w:r>
    </w:p>
    <w:p w:rsidR="0064621B" w:rsidRPr="000140B3" w:rsidRDefault="0064621B" w:rsidP="0064621B">
      <w:pPr>
        <w:pStyle w:val="6"/>
        <w:rPr>
          <w:rFonts w:ascii="Times New Roman" w:hAnsi="Times New Roman"/>
        </w:rPr>
      </w:pPr>
      <w:r w:rsidRPr="000140B3">
        <w:rPr>
          <w:rFonts w:ascii="Times New Roman" w:hAnsi="Times New Roman"/>
        </w:rPr>
        <w:t>其他國家：包含大陸地區及香港，最高不得超過保險業資金</w:t>
      </w:r>
      <w:r w:rsidRPr="000140B3">
        <w:rPr>
          <w:rFonts w:ascii="Times New Roman" w:hAnsi="Times New Roman"/>
        </w:rPr>
        <w:t>45%</w:t>
      </w:r>
      <w:r w:rsidRPr="000140B3">
        <w:rPr>
          <w:rFonts w:ascii="Times New Roman" w:hAnsi="Times New Roman"/>
        </w:rPr>
        <w:t>。</w:t>
      </w:r>
    </w:p>
    <w:p w:rsidR="0064621B" w:rsidRPr="000140B3" w:rsidRDefault="0064621B" w:rsidP="0064621B">
      <w:pPr>
        <w:pStyle w:val="5"/>
        <w:rPr>
          <w:rFonts w:ascii="Times New Roman" w:hAnsi="Times New Roman"/>
        </w:rPr>
      </w:pPr>
      <w:r w:rsidRPr="000140B3">
        <w:rPr>
          <w:rFonts w:ascii="Times New Roman" w:hAnsi="Times New Roman"/>
          <w:szCs w:val="32"/>
        </w:rPr>
        <w:t>信用評等：</w:t>
      </w:r>
    </w:p>
    <w:p w:rsidR="0064621B" w:rsidRPr="000140B3" w:rsidRDefault="0064621B" w:rsidP="0064621B">
      <w:pPr>
        <w:pStyle w:val="6"/>
        <w:rPr>
          <w:rFonts w:ascii="Times New Roman" w:hAnsi="Times New Roman"/>
        </w:rPr>
      </w:pPr>
      <w:r w:rsidRPr="000140B3">
        <w:rPr>
          <w:rFonts w:ascii="Times New Roman" w:hAnsi="Times New Roman"/>
          <w:szCs w:val="32"/>
        </w:rPr>
        <w:t>大陸地區：公司債及金融債券之債券發行評等等級須為</w:t>
      </w:r>
      <w:r w:rsidRPr="000140B3">
        <w:rPr>
          <w:rFonts w:ascii="Times New Roman" w:hAnsi="Times New Roman"/>
          <w:szCs w:val="32"/>
        </w:rPr>
        <w:t>BBB+</w:t>
      </w:r>
      <w:r w:rsidRPr="000140B3">
        <w:rPr>
          <w:rFonts w:ascii="Times New Roman" w:hAnsi="Times New Roman"/>
          <w:szCs w:val="32"/>
        </w:rPr>
        <w:t>級或相當等級以上，倘無債券發行評等者，其發行公司或保證公司之信用評等等級須為</w:t>
      </w:r>
      <w:r w:rsidRPr="000140B3">
        <w:rPr>
          <w:rFonts w:ascii="Times New Roman" w:hAnsi="Times New Roman"/>
          <w:szCs w:val="32"/>
        </w:rPr>
        <w:t>A-</w:t>
      </w:r>
      <w:r w:rsidRPr="000140B3">
        <w:rPr>
          <w:rFonts w:ascii="Times New Roman" w:hAnsi="Times New Roman"/>
          <w:szCs w:val="32"/>
        </w:rPr>
        <w:t>級或相當等級以上</w:t>
      </w:r>
      <w:r w:rsidRPr="000140B3">
        <w:rPr>
          <w:rFonts w:ascii="Times New Roman" w:hAnsi="Times New Roman"/>
          <w:szCs w:val="32"/>
        </w:rPr>
        <w:t>(</w:t>
      </w:r>
      <w:r w:rsidRPr="000140B3">
        <w:rPr>
          <w:rFonts w:ascii="Times New Roman" w:hAnsi="Times New Roman"/>
          <w:szCs w:val="32"/>
        </w:rPr>
        <w:t>倘發行次順位債券者，</w:t>
      </w:r>
      <w:proofErr w:type="gramStart"/>
      <w:r w:rsidRPr="000140B3">
        <w:rPr>
          <w:rFonts w:ascii="Times New Roman" w:hAnsi="Times New Roman"/>
          <w:szCs w:val="32"/>
        </w:rPr>
        <w:t>信評須為</w:t>
      </w:r>
      <w:proofErr w:type="gramEnd"/>
      <w:r w:rsidRPr="000140B3">
        <w:rPr>
          <w:rFonts w:ascii="Times New Roman" w:hAnsi="Times New Roman"/>
          <w:szCs w:val="32"/>
        </w:rPr>
        <w:t>A+</w:t>
      </w:r>
      <w:r w:rsidRPr="000140B3">
        <w:rPr>
          <w:rFonts w:ascii="Times New Roman" w:hAnsi="Times New Roman"/>
          <w:szCs w:val="32"/>
        </w:rPr>
        <w:t>級或相當等級以上</w:t>
      </w:r>
      <w:r w:rsidRPr="000140B3">
        <w:rPr>
          <w:rFonts w:ascii="Times New Roman" w:hAnsi="Times New Roman"/>
          <w:szCs w:val="32"/>
        </w:rPr>
        <w:t>)</w:t>
      </w:r>
      <w:r w:rsidRPr="000140B3">
        <w:rPr>
          <w:rFonts w:ascii="Times New Roman" w:hAnsi="Times New Roman"/>
          <w:szCs w:val="32"/>
        </w:rPr>
        <w:t>。</w:t>
      </w:r>
    </w:p>
    <w:p w:rsidR="0064621B" w:rsidRPr="000140B3" w:rsidRDefault="0064621B" w:rsidP="0064621B">
      <w:pPr>
        <w:pStyle w:val="6"/>
        <w:rPr>
          <w:rFonts w:ascii="Times New Roman" w:hAnsi="Times New Roman"/>
        </w:rPr>
      </w:pPr>
      <w:r w:rsidRPr="000140B3">
        <w:rPr>
          <w:rFonts w:ascii="Times New Roman" w:hAnsi="Times New Roman"/>
        </w:rPr>
        <w:t>其他國家：保險業符合特定條件者，得投資評等等級為</w:t>
      </w:r>
      <w:r w:rsidRPr="000140B3">
        <w:rPr>
          <w:rFonts w:ascii="Times New Roman" w:hAnsi="Times New Roman"/>
        </w:rPr>
        <w:t>BBB</w:t>
      </w:r>
      <w:r w:rsidRPr="000140B3">
        <w:rPr>
          <w:rFonts w:ascii="Times New Roman" w:hAnsi="Times New Roman"/>
        </w:rPr>
        <w:t>、</w:t>
      </w:r>
      <w:r w:rsidRPr="000140B3">
        <w:rPr>
          <w:rFonts w:ascii="Times New Roman" w:hAnsi="Times New Roman"/>
        </w:rPr>
        <w:t>BBB-</w:t>
      </w:r>
      <w:r w:rsidRPr="000140B3">
        <w:rPr>
          <w:rFonts w:ascii="Times New Roman" w:hAnsi="Times New Roman"/>
        </w:rPr>
        <w:t>級、</w:t>
      </w:r>
      <w:r w:rsidRPr="000140B3">
        <w:rPr>
          <w:rFonts w:ascii="Times New Roman" w:hAnsi="Times New Roman"/>
        </w:rPr>
        <w:t>BB+</w:t>
      </w:r>
      <w:r w:rsidRPr="000140B3">
        <w:rPr>
          <w:rFonts w:ascii="Times New Roman" w:hAnsi="Times New Roman"/>
        </w:rPr>
        <w:t>級或相當等級之金融債券，倘無債券發行評等者，得以發行公司或保證公司之信用評等等級替代。</w:t>
      </w:r>
    </w:p>
    <w:p w:rsidR="0064621B" w:rsidRPr="000140B3" w:rsidRDefault="0064621B" w:rsidP="0064621B">
      <w:pPr>
        <w:pStyle w:val="5"/>
        <w:rPr>
          <w:rFonts w:ascii="Times New Roman" w:hAnsi="Times New Roman"/>
        </w:rPr>
      </w:pPr>
      <w:r w:rsidRPr="000140B3">
        <w:rPr>
          <w:rFonts w:ascii="Times New Roman" w:hAnsi="Times New Roman"/>
        </w:rPr>
        <w:t>金管會</w:t>
      </w:r>
      <w:r w:rsidR="00D16A02" w:rsidRPr="000140B3">
        <w:rPr>
          <w:rFonts w:ascii="Times New Roman" w:hAnsi="Times New Roman" w:hint="eastAsia"/>
        </w:rPr>
        <w:t>對</w:t>
      </w:r>
      <w:r w:rsidRPr="000140B3">
        <w:rPr>
          <w:rFonts w:ascii="Times New Roman" w:hAnsi="Times New Roman"/>
        </w:rPr>
        <w:t>保險業</w:t>
      </w:r>
      <w:r w:rsidR="00D16A02" w:rsidRPr="000140B3">
        <w:rPr>
          <w:rFonts w:ascii="Times New Roman" w:hAnsi="Times New Roman" w:hint="eastAsia"/>
        </w:rPr>
        <w:t>於</w:t>
      </w:r>
      <w:r w:rsidRPr="000140B3">
        <w:rPr>
          <w:rFonts w:ascii="Times New Roman" w:hAnsi="Times New Roman"/>
        </w:rPr>
        <w:t>中國大陸</w:t>
      </w:r>
      <w:r w:rsidRPr="000140B3">
        <w:rPr>
          <w:rFonts w:ascii="Times New Roman" w:hAnsi="Times New Roman"/>
          <w:szCs w:val="32"/>
        </w:rPr>
        <w:t>得投資之條件、得投資之項目、設立分支機構</w:t>
      </w:r>
      <w:proofErr w:type="gramStart"/>
      <w:r w:rsidRPr="000140B3">
        <w:rPr>
          <w:rFonts w:ascii="Times New Roman" w:hAnsi="Times New Roman"/>
          <w:szCs w:val="32"/>
        </w:rPr>
        <w:t>方面均訂定</w:t>
      </w:r>
      <w:proofErr w:type="gramEnd"/>
      <w:r w:rsidRPr="000140B3">
        <w:rPr>
          <w:rFonts w:ascii="Times New Roman" w:hAnsi="Times New Roman"/>
          <w:szCs w:val="32"/>
        </w:rPr>
        <w:t>較其他國家更嚴格之規定。</w:t>
      </w:r>
    </w:p>
    <w:p w:rsidR="0064621B" w:rsidRPr="000140B3" w:rsidRDefault="0064621B" w:rsidP="0064621B">
      <w:pPr>
        <w:pStyle w:val="4"/>
        <w:rPr>
          <w:rFonts w:ascii="Times New Roman" w:hAnsi="Times New Roman"/>
        </w:rPr>
      </w:pPr>
      <w:r w:rsidRPr="000140B3">
        <w:rPr>
          <w:rFonts w:ascii="Times New Roman" w:hAnsi="Times New Roman"/>
        </w:rPr>
        <w:t>證券期貨業：</w:t>
      </w:r>
    </w:p>
    <w:p w:rsidR="0064621B" w:rsidRPr="000140B3" w:rsidRDefault="0064621B" w:rsidP="0064621B">
      <w:pPr>
        <w:pStyle w:val="4"/>
        <w:numPr>
          <w:ilvl w:val="0"/>
          <w:numId w:val="0"/>
        </w:numPr>
        <w:ind w:left="1701" w:firstLineChars="208" w:firstLine="708"/>
        <w:rPr>
          <w:rFonts w:ascii="Times New Roman" w:hAnsi="Times New Roman"/>
        </w:rPr>
      </w:pPr>
      <w:r w:rsidRPr="000140B3">
        <w:rPr>
          <w:rFonts w:ascii="Times New Roman" w:hAnsi="Times New Roman"/>
        </w:rPr>
        <w:t>金管會對證券期貨業</w:t>
      </w:r>
      <w:r w:rsidR="00D16A02" w:rsidRPr="000140B3">
        <w:rPr>
          <w:rFonts w:ascii="Times New Roman" w:hAnsi="Times New Roman" w:hint="eastAsia"/>
        </w:rPr>
        <w:t>於</w:t>
      </w:r>
      <w:proofErr w:type="gramStart"/>
      <w:r w:rsidR="00D16A02" w:rsidRPr="000140B3">
        <w:rPr>
          <w:rFonts w:ascii="Times New Roman" w:hAnsi="Times New Roman" w:hint="eastAsia"/>
        </w:rPr>
        <w:t>中國大陸</w:t>
      </w:r>
      <w:r w:rsidRPr="000140B3">
        <w:rPr>
          <w:rFonts w:ascii="Times New Roman" w:hAnsi="Times New Roman"/>
        </w:rPr>
        <w:t>暴險管理</w:t>
      </w:r>
      <w:proofErr w:type="gramEnd"/>
      <w:r w:rsidRPr="000140B3">
        <w:rPr>
          <w:rFonts w:ascii="Times New Roman" w:hAnsi="Times New Roman"/>
        </w:rPr>
        <w:t>機制</w:t>
      </w:r>
      <w:r w:rsidR="00D16A02" w:rsidRPr="000140B3">
        <w:rPr>
          <w:rFonts w:ascii="Times New Roman" w:hAnsi="Times New Roman" w:hint="eastAsia"/>
        </w:rPr>
        <w:t>，</w:t>
      </w:r>
      <w:r w:rsidRPr="000140B3">
        <w:rPr>
          <w:rFonts w:ascii="Times New Roman" w:hAnsi="Times New Roman"/>
        </w:rPr>
        <w:t>係依證券期貨業務往來許可辦法等規定，對證券期貨業於</w:t>
      </w:r>
      <w:r w:rsidR="00D16A02" w:rsidRPr="000140B3">
        <w:rPr>
          <w:rFonts w:ascii="Times New Roman" w:hAnsi="Times New Roman" w:hint="eastAsia"/>
        </w:rPr>
        <w:t>中國</w:t>
      </w:r>
      <w:r w:rsidRPr="000140B3">
        <w:rPr>
          <w:rFonts w:ascii="Times New Roman" w:hAnsi="Times New Roman"/>
        </w:rPr>
        <w:t>大陸</w:t>
      </w:r>
      <w:proofErr w:type="gramStart"/>
      <w:r w:rsidRPr="000140B3">
        <w:rPr>
          <w:rFonts w:ascii="Times New Roman" w:hAnsi="Times New Roman"/>
        </w:rPr>
        <w:t>暴險</w:t>
      </w:r>
      <w:proofErr w:type="gramEnd"/>
      <w:r w:rsidRPr="000140B3">
        <w:rPr>
          <w:rFonts w:ascii="Times New Roman" w:hAnsi="Times New Roman"/>
        </w:rPr>
        <w:t>訂有相關規定：</w:t>
      </w:r>
    </w:p>
    <w:p w:rsidR="0064621B" w:rsidRPr="000140B3" w:rsidRDefault="0064621B" w:rsidP="0064621B">
      <w:pPr>
        <w:pStyle w:val="5"/>
        <w:rPr>
          <w:rFonts w:ascii="Times New Roman" w:hAnsi="Times New Roman"/>
        </w:rPr>
      </w:pPr>
      <w:r w:rsidRPr="000140B3">
        <w:rPr>
          <w:rFonts w:ascii="Times New Roman" w:hAnsi="Times New Roman"/>
          <w:szCs w:val="32"/>
        </w:rPr>
        <w:t>在事業性投資方面為申請資格條件</w:t>
      </w:r>
      <w:r w:rsidRPr="000140B3">
        <w:rPr>
          <w:rFonts w:ascii="Times New Roman" w:hAnsi="Times New Roman"/>
          <w:szCs w:val="32"/>
        </w:rPr>
        <w:t>(</w:t>
      </w:r>
      <w:r w:rsidRPr="000140B3">
        <w:rPr>
          <w:rFonts w:ascii="Times New Roman" w:hAnsi="Times New Roman"/>
          <w:szCs w:val="32"/>
        </w:rPr>
        <w:t>如證券商投資外國事業，係要求證券商無累積虧損，</w:t>
      </w:r>
      <w:proofErr w:type="gramStart"/>
      <w:r w:rsidRPr="000140B3">
        <w:rPr>
          <w:rFonts w:ascii="Times New Roman" w:hAnsi="Times New Roman"/>
          <w:szCs w:val="32"/>
        </w:rPr>
        <w:t>若參</w:t>
      </w:r>
      <w:proofErr w:type="gramEnd"/>
      <w:r w:rsidRPr="000140B3">
        <w:rPr>
          <w:rFonts w:ascii="Times New Roman" w:hAnsi="Times New Roman"/>
          <w:szCs w:val="32"/>
        </w:rPr>
        <w:t>股大陸地區事業，證券商淨值須高於新臺幣</w:t>
      </w:r>
      <w:r w:rsidRPr="000140B3">
        <w:rPr>
          <w:rFonts w:ascii="Times New Roman" w:hAnsi="Times New Roman"/>
          <w:szCs w:val="32"/>
        </w:rPr>
        <w:t>(</w:t>
      </w:r>
      <w:r w:rsidRPr="000140B3">
        <w:rPr>
          <w:rFonts w:ascii="Times New Roman" w:hAnsi="Times New Roman"/>
          <w:szCs w:val="32"/>
        </w:rPr>
        <w:t>下同</w:t>
      </w:r>
      <w:r w:rsidRPr="000140B3">
        <w:rPr>
          <w:rFonts w:ascii="Times New Roman" w:hAnsi="Times New Roman"/>
          <w:szCs w:val="32"/>
        </w:rPr>
        <w:t>)70</w:t>
      </w:r>
      <w:r w:rsidRPr="000140B3">
        <w:rPr>
          <w:rFonts w:ascii="Times New Roman" w:hAnsi="Times New Roman"/>
          <w:szCs w:val="32"/>
        </w:rPr>
        <w:t>億元；設立大陸地區子公司，則要求淨值須高於</w:t>
      </w:r>
      <w:r w:rsidRPr="000140B3">
        <w:rPr>
          <w:rFonts w:ascii="Times New Roman" w:hAnsi="Times New Roman"/>
          <w:szCs w:val="32"/>
        </w:rPr>
        <w:t>100</w:t>
      </w:r>
      <w:r w:rsidRPr="000140B3">
        <w:rPr>
          <w:rFonts w:ascii="Times New Roman" w:hAnsi="Times New Roman"/>
          <w:szCs w:val="32"/>
        </w:rPr>
        <w:t>億元，且須為綜合證券商並具備國際證</w:t>
      </w:r>
      <w:r w:rsidRPr="000140B3">
        <w:rPr>
          <w:rFonts w:ascii="Times New Roman" w:hAnsi="Times New Roman"/>
          <w:szCs w:val="32"/>
        </w:rPr>
        <w:lastRenderedPageBreak/>
        <w:t>券期貨業務專業經驗</w:t>
      </w:r>
      <w:r w:rsidRPr="000140B3">
        <w:rPr>
          <w:rFonts w:ascii="Times New Roman" w:hAnsi="Times New Roman"/>
          <w:szCs w:val="32"/>
        </w:rPr>
        <w:t>)</w:t>
      </w:r>
    </w:p>
    <w:p w:rsidR="0064621B" w:rsidRPr="000140B3" w:rsidRDefault="0064621B" w:rsidP="0064621B">
      <w:pPr>
        <w:pStyle w:val="5"/>
        <w:rPr>
          <w:rFonts w:ascii="Times New Roman" w:hAnsi="Times New Roman"/>
        </w:rPr>
      </w:pPr>
      <w:r w:rsidRPr="000140B3">
        <w:rPr>
          <w:rFonts w:ascii="Times New Roman" w:hAnsi="Times New Roman"/>
          <w:szCs w:val="32"/>
        </w:rPr>
        <w:t>相關應申報事項：</w:t>
      </w:r>
    </w:p>
    <w:p w:rsidR="0064621B" w:rsidRPr="000140B3" w:rsidRDefault="0064621B" w:rsidP="0064621B">
      <w:pPr>
        <w:pStyle w:val="6"/>
        <w:rPr>
          <w:rFonts w:ascii="Times New Roman" w:hAnsi="Times New Roman"/>
        </w:rPr>
      </w:pPr>
      <w:r w:rsidRPr="000140B3">
        <w:rPr>
          <w:rFonts w:ascii="Times New Roman" w:hAnsi="Times New Roman"/>
        </w:rPr>
        <w:t>業者</w:t>
      </w:r>
      <w:proofErr w:type="gramStart"/>
      <w:r w:rsidRPr="000140B3">
        <w:rPr>
          <w:rFonts w:ascii="Times New Roman" w:hAnsi="Times New Roman"/>
        </w:rPr>
        <w:t>每季須向</w:t>
      </w:r>
      <w:proofErr w:type="gramEnd"/>
      <w:r w:rsidRPr="000140B3">
        <w:rPr>
          <w:rFonts w:ascii="Times New Roman" w:hAnsi="Times New Roman"/>
        </w:rPr>
        <w:t>金管會提交大陸地區子公司之業務報告及稽核報告。</w:t>
      </w:r>
    </w:p>
    <w:p w:rsidR="0064621B" w:rsidRPr="000140B3" w:rsidRDefault="0064621B" w:rsidP="0064621B">
      <w:pPr>
        <w:pStyle w:val="6"/>
        <w:rPr>
          <w:rFonts w:ascii="Times New Roman" w:hAnsi="Times New Roman"/>
        </w:rPr>
      </w:pPr>
      <w:r w:rsidRPr="000140B3">
        <w:rPr>
          <w:rFonts w:ascii="Times New Roman" w:hAnsi="Times New Roman"/>
        </w:rPr>
        <w:t>大陸地區子公司營運出現虧損時，應立即向金管會申報。</w:t>
      </w:r>
    </w:p>
    <w:p w:rsidR="0064621B" w:rsidRPr="000140B3" w:rsidRDefault="0064621B" w:rsidP="0064621B">
      <w:pPr>
        <w:pStyle w:val="5"/>
        <w:rPr>
          <w:rFonts w:ascii="Times New Roman" w:hAnsi="Times New Roman"/>
        </w:rPr>
      </w:pPr>
      <w:r w:rsidRPr="000140B3">
        <w:rPr>
          <w:rFonts w:ascii="Times New Roman" w:hAnsi="Times New Roman"/>
        </w:rPr>
        <w:t>虧損超過資本總額</w:t>
      </w:r>
      <w:r w:rsidRPr="000140B3">
        <w:rPr>
          <w:rFonts w:ascii="Times New Roman" w:hAnsi="Times New Roman"/>
        </w:rPr>
        <w:t>1/3</w:t>
      </w:r>
      <w:r w:rsidRPr="000140B3">
        <w:rPr>
          <w:rFonts w:ascii="Times New Roman" w:hAnsi="Times New Roman"/>
        </w:rPr>
        <w:t>者，金管會得令業者提出業務改善計畫。</w:t>
      </w:r>
    </w:p>
    <w:p w:rsidR="0064621B" w:rsidRPr="000140B3" w:rsidRDefault="0064621B" w:rsidP="0064621B">
      <w:pPr>
        <w:pStyle w:val="5"/>
        <w:numPr>
          <w:ilvl w:val="0"/>
          <w:numId w:val="0"/>
        </w:numPr>
        <w:ind w:left="1418" w:firstLineChars="208" w:firstLine="708"/>
        <w:rPr>
          <w:rFonts w:ascii="Times New Roman" w:hAnsi="Times New Roman"/>
        </w:rPr>
      </w:pPr>
      <w:r w:rsidRPr="000140B3">
        <w:rPr>
          <w:rFonts w:ascii="Times New Roman" w:hAnsi="Times New Roman"/>
        </w:rPr>
        <w:t>是</w:t>
      </w:r>
      <w:proofErr w:type="gramStart"/>
      <w:r w:rsidRPr="000140B3">
        <w:rPr>
          <w:rFonts w:ascii="Times New Roman" w:hAnsi="Times New Roman"/>
        </w:rPr>
        <w:t>以</w:t>
      </w:r>
      <w:proofErr w:type="gramEnd"/>
      <w:r w:rsidRPr="000140B3">
        <w:rPr>
          <w:rFonts w:ascii="Times New Roman" w:hAnsi="Times New Roman"/>
        </w:rPr>
        <w:t>，金管會對於我國金融業之管理，係依銀行業、保險業、證券期貨業三業別分別管理，對該等金融機構於海外之營運管理，則因</w:t>
      </w:r>
      <w:r w:rsidRPr="000140B3">
        <w:rPr>
          <w:rFonts w:ascii="Times New Roman" w:hAnsi="Times New Roman"/>
          <w:szCs w:val="32"/>
        </w:rPr>
        <w:t>兩岸特殊關係，對</w:t>
      </w:r>
      <w:r w:rsidR="00D16A02" w:rsidRPr="000140B3">
        <w:rPr>
          <w:rFonts w:ascii="Times New Roman" w:hAnsi="Times New Roman" w:hint="eastAsia"/>
          <w:szCs w:val="32"/>
        </w:rPr>
        <w:t>中國</w:t>
      </w:r>
      <w:r w:rsidRPr="000140B3">
        <w:rPr>
          <w:rFonts w:ascii="Times New Roman" w:hAnsi="Times New Roman"/>
          <w:szCs w:val="32"/>
        </w:rPr>
        <w:t>大陸相較於其他國家</w:t>
      </w:r>
      <w:r w:rsidR="00D16A02" w:rsidRPr="000140B3">
        <w:rPr>
          <w:rFonts w:ascii="Times New Roman" w:hAnsi="Times New Roman" w:hint="eastAsia"/>
          <w:szCs w:val="32"/>
        </w:rPr>
        <w:t>訂有較嚴格</w:t>
      </w:r>
      <w:proofErr w:type="gramStart"/>
      <w:r w:rsidR="00D16A02" w:rsidRPr="000140B3">
        <w:rPr>
          <w:rFonts w:ascii="Times New Roman" w:hAnsi="Times New Roman" w:hint="eastAsia"/>
          <w:szCs w:val="32"/>
        </w:rPr>
        <w:t>之</w:t>
      </w:r>
      <w:r w:rsidRPr="000140B3">
        <w:rPr>
          <w:rFonts w:ascii="Times New Roman" w:hAnsi="Times New Roman"/>
          <w:szCs w:val="32"/>
        </w:rPr>
        <w:t>暴險管</w:t>
      </w:r>
      <w:proofErr w:type="gramEnd"/>
      <w:r w:rsidRPr="000140B3">
        <w:rPr>
          <w:rFonts w:ascii="Times New Roman" w:hAnsi="Times New Roman"/>
          <w:szCs w:val="32"/>
        </w:rPr>
        <w:t>理機制。</w:t>
      </w:r>
    </w:p>
    <w:p w:rsidR="0064621B" w:rsidRPr="000140B3" w:rsidRDefault="0064621B" w:rsidP="0064621B">
      <w:pPr>
        <w:pStyle w:val="3"/>
        <w:rPr>
          <w:rFonts w:ascii="Times New Roman" w:hAnsi="Times New Roman"/>
        </w:rPr>
      </w:pPr>
      <w:r w:rsidRPr="000140B3">
        <w:rPr>
          <w:rFonts w:ascii="Times New Roman" w:hAnsi="Times New Roman"/>
        </w:rPr>
        <w:t>查金管會為強化對金融業於中國大陸之風險控管，歷年多次提出</w:t>
      </w:r>
      <w:proofErr w:type="gramStart"/>
      <w:r w:rsidRPr="000140B3">
        <w:rPr>
          <w:rFonts w:ascii="Times New Roman" w:hAnsi="Times New Roman"/>
        </w:rPr>
        <w:t>強化暴險管理</w:t>
      </w:r>
      <w:proofErr w:type="gramEnd"/>
      <w:r w:rsidRPr="000140B3">
        <w:rPr>
          <w:rFonts w:ascii="Times New Roman" w:hAnsi="Times New Roman"/>
        </w:rPr>
        <w:t>措施：</w:t>
      </w:r>
    </w:p>
    <w:p w:rsidR="0064621B" w:rsidRPr="000140B3" w:rsidRDefault="0064621B" w:rsidP="0064621B">
      <w:pPr>
        <w:pStyle w:val="4"/>
        <w:rPr>
          <w:rFonts w:ascii="Times New Roman" w:hAnsi="Times New Roman"/>
        </w:rPr>
      </w:pPr>
      <w:r w:rsidRPr="000140B3">
        <w:rPr>
          <w:rFonts w:ascii="Times New Roman" w:hAnsi="Times New Roman"/>
        </w:rPr>
        <w:t>104</w:t>
      </w:r>
      <w:r w:rsidRPr="000140B3">
        <w:rPr>
          <w:rFonts w:ascii="Times New Roman" w:hAnsi="Times New Roman"/>
        </w:rPr>
        <w:t>年</w:t>
      </w:r>
      <w:r w:rsidRPr="000140B3">
        <w:rPr>
          <w:rFonts w:ascii="Times New Roman" w:hAnsi="Times New Roman"/>
        </w:rPr>
        <w:t>3</w:t>
      </w:r>
      <w:r w:rsidRPr="000140B3">
        <w:rPr>
          <w:rFonts w:ascii="Times New Roman" w:hAnsi="Times New Roman"/>
        </w:rPr>
        <w:t>月</w:t>
      </w:r>
      <w:r w:rsidRPr="000140B3">
        <w:rPr>
          <w:rFonts w:ascii="Times New Roman" w:hAnsi="Times New Roman"/>
        </w:rPr>
        <w:t>2</w:t>
      </w:r>
      <w:r w:rsidRPr="000140B3">
        <w:rPr>
          <w:rFonts w:ascii="Times New Roman" w:hAnsi="Times New Roman"/>
        </w:rPr>
        <w:t>日</w:t>
      </w:r>
      <w:proofErr w:type="gramStart"/>
      <w:r w:rsidRPr="000140B3">
        <w:rPr>
          <w:rFonts w:ascii="Times New Roman" w:hAnsi="Times New Roman"/>
        </w:rPr>
        <w:t>研</w:t>
      </w:r>
      <w:proofErr w:type="gramEnd"/>
      <w:r w:rsidRPr="000140B3">
        <w:rPr>
          <w:rFonts w:ascii="Times New Roman" w:hAnsi="Times New Roman"/>
        </w:rPr>
        <w:t>商加強管控本國銀行海外及大陸</w:t>
      </w:r>
      <w:proofErr w:type="gramStart"/>
      <w:r w:rsidRPr="000140B3">
        <w:rPr>
          <w:rFonts w:ascii="Times New Roman" w:hAnsi="Times New Roman"/>
        </w:rPr>
        <w:t>地區暴險</w:t>
      </w:r>
      <w:proofErr w:type="gramEnd"/>
      <w:r w:rsidRPr="000140B3">
        <w:rPr>
          <w:rFonts w:ascii="Times New Roman" w:hAnsi="Times New Roman"/>
        </w:rPr>
        <w:t>之監理協助事宜會議：</w:t>
      </w:r>
    </w:p>
    <w:p w:rsidR="0064621B" w:rsidRPr="000140B3" w:rsidRDefault="0064621B" w:rsidP="0064621B">
      <w:pPr>
        <w:pStyle w:val="5"/>
        <w:rPr>
          <w:rFonts w:ascii="Times New Roman" w:hAnsi="Times New Roman"/>
        </w:rPr>
      </w:pPr>
      <w:r w:rsidRPr="000140B3">
        <w:rPr>
          <w:rFonts w:ascii="Times New Roman" w:hAnsi="Times New Roman"/>
        </w:rPr>
        <w:t>協調中央存款保險股份有限公司</w:t>
      </w:r>
      <w:r w:rsidRPr="000140B3">
        <w:rPr>
          <w:rFonts w:ascii="Times New Roman" w:hAnsi="Times New Roman"/>
        </w:rPr>
        <w:t>(</w:t>
      </w:r>
      <w:r w:rsidRPr="000140B3">
        <w:rPr>
          <w:rFonts w:ascii="Times New Roman" w:hAnsi="Times New Roman"/>
        </w:rPr>
        <w:t>下稱存保公司</w:t>
      </w:r>
      <w:r w:rsidRPr="000140B3">
        <w:rPr>
          <w:rFonts w:ascii="Times New Roman" w:hAnsi="Times New Roman"/>
        </w:rPr>
        <w:t>)</w:t>
      </w:r>
      <w:r w:rsidRPr="000140B3">
        <w:rPr>
          <w:rFonts w:ascii="Times New Roman" w:hAnsi="Times New Roman"/>
        </w:rPr>
        <w:t>及財團法人聯合徵信中心等單位，利用相關資料庫協助監控中國大陸信用風險。</w:t>
      </w:r>
    </w:p>
    <w:p w:rsidR="0064621B" w:rsidRPr="000140B3" w:rsidRDefault="0064621B" w:rsidP="0064621B">
      <w:pPr>
        <w:pStyle w:val="5"/>
        <w:rPr>
          <w:rFonts w:ascii="Times New Roman" w:hAnsi="Times New Roman"/>
        </w:rPr>
      </w:pPr>
      <w:r w:rsidRPr="000140B3">
        <w:rPr>
          <w:rFonts w:ascii="Times New Roman" w:hAnsi="Times New Roman"/>
        </w:rPr>
        <w:t>蒐集國內外報章媒體、大陸主管機關網站及信評公司等相關資訊及觀點，就近期金融情勢及風險較高產業，彙整分析應予注意趨勢，並將</w:t>
      </w:r>
      <w:proofErr w:type="gramStart"/>
      <w:r w:rsidRPr="000140B3">
        <w:rPr>
          <w:rFonts w:ascii="Times New Roman" w:hAnsi="Times New Roman"/>
        </w:rPr>
        <w:t>中國大陸暴險之</w:t>
      </w:r>
      <w:proofErr w:type="gramEnd"/>
      <w:r w:rsidRPr="000140B3">
        <w:rPr>
          <w:rFonts w:ascii="Times New Roman" w:hAnsi="Times New Roman"/>
        </w:rPr>
        <w:t>分析報告予</w:t>
      </w:r>
      <w:r w:rsidR="00D16A02" w:rsidRPr="000140B3">
        <w:rPr>
          <w:rFonts w:ascii="Times New Roman" w:hAnsi="Times New Roman" w:hint="eastAsia"/>
        </w:rPr>
        <w:t>該</w:t>
      </w:r>
      <w:r w:rsidRPr="000140B3">
        <w:rPr>
          <w:rFonts w:ascii="Times New Roman" w:hAnsi="Times New Roman"/>
        </w:rPr>
        <w:t>會。</w:t>
      </w:r>
    </w:p>
    <w:p w:rsidR="0064621B" w:rsidRPr="000140B3" w:rsidRDefault="0064621B" w:rsidP="0064621B">
      <w:pPr>
        <w:pStyle w:val="5"/>
        <w:rPr>
          <w:rFonts w:ascii="Times New Roman" w:hAnsi="Times New Roman"/>
        </w:rPr>
      </w:pPr>
      <w:r w:rsidRPr="000140B3">
        <w:rPr>
          <w:rFonts w:ascii="Times New Roman" w:hAnsi="Times New Roman"/>
        </w:rPr>
        <w:t>當有媒體報導中國大陸企業之負面訊息且本國銀行對其涉有債權，或銀行以重大偶發機制通報中國大陸重大信用風險個案事件等情形，存保公司可協助調查本國銀行對案關個案</w:t>
      </w:r>
      <w:proofErr w:type="gramStart"/>
      <w:r w:rsidRPr="000140B3">
        <w:rPr>
          <w:rFonts w:ascii="Times New Roman" w:hAnsi="Times New Roman"/>
        </w:rPr>
        <w:t>之暴險及</w:t>
      </w:r>
      <w:proofErr w:type="gramEnd"/>
      <w:r w:rsidRPr="000140B3">
        <w:rPr>
          <w:rFonts w:ascii="Times New Roman" w:hAnsi="Times New Roman"/>
        </w:rPr>
        <w:t>分析情形提供予該會。</w:t>
      </w:r>
    </w:p>
    <w:p w:rsidR="0064621B" w:rsidRPr="000140B3" w:rsidRDefault="0064621B" w:rsidP="0064621B">
      <w:pPr>
        <w:pStyle w:val="4"/>
        <w:rPr>
          <w:rFonts w:ascii="Times New Roman" w:hAnsi="Times New Roman"/>
        </w:rPr>
      </w:pPr>
      <w:r w:rsidRPr="000140B3">
        <w:rPr>
          <w:rFonts w:ascii="Times New Roman" w:hAnsi="Times New Roman"/>
        </w:rPr>
        <w:t>110</w:t>
      </w:r>
      <w:r w:rsidRPr="000140B3">
        <w:rPr>
          <w:rFonts w:ascii="Times New Roman" w:hAnsi="Times New Roman"/>
        </w:rPr>
        <w:t>年</w:t>
      </w:r>
      <w:r w:rsidRPr="000140B3">
        <w:rPr>
          <w:rFonts w:ascii="Times New Roman" w:hAnsi="Times New Roman"/>
        </w:rPr>
        <w:t>12</w:t>
      </w:r>
      <w:r w:rsidRPr="000140B3">
        <w:rPr>
          <w:rFonts w:ascii="Times New Roman" w:hAnsi="Times New Roman"/>
        </w:rPr>
        <w:t>月</w:t>
      </w:r>
      <w:r w:rsidRPr="000140B3">
        <w:rPr>
          <w:rFonts w:ascii="Times New Roman" w:hAnsi="Times New Roman"/>
        </w:rPr>
        <w:t>30</w:t>
      </w:r>
      <w:r w:rsidRPr="000140B3">
        <w:rPr>
          <w:rFonts w:ascii="Times New Roman" w:hAnsi="Times New Roman"/>
        </w:rPr>
        <w:t>日為因應中國</w:t>
      </w:r>
      <w:r w:rsidR="008D58E7" w:rsidRPr="000140B3">
        <w:rPr>
          <w:rFonts w:ascii="Times New Roman" w:hAnsi="Times New Roman" w:hint="eastAsia"/>
        </w:rPr>
        <w:t>大陸</w:t>
      </w:r>
      <w:r w:rsidRPr="000140B3">
        <w:rPr>
          <w:rFonts w:ascii="Times New Roman" w:hAnsi="Times New Roman"/>
        </w:rPr>
        <w:t>對房地產、網路科</w:t>
      </w:r>
      <w:r w:rsidRPr="000140B3">
        <w:rPr>
          <w:rFonts w:ascii="Times New Roman" w:hAnsi="Times New Roman"/>
        </w:rPr>
        <w:lastRenderedPageBreak/>
        <w:t>技及補教業等監管措施改變、美國持續公布對中國軍工企業制裁名單、發布實施外國公司</w:t>
      </w:r>
      <w:proofErr w:type="gramStart"/>
      <w:r w:rsidRPr="000140B3">
        <w:rPr>
          <w:rFonts w:ascii="Times New Roman" w:hAnsi="Times New Roman"/>
        </w:rPr>
        <w:t>問責法</w:t>
      </w:r>
      <w:proofErr w:type="gramEnd"/>
      <w:r w:rsidRPr="000140B3">
        <w:rPr>
          <w:rFonts w:ascii="Times New Roman" w:hAnsi="Times New Roman"/>
        </w:rPr>
        <w:t>，造成金融市場波動，</w:t>
      </w:r>
      <w:r w:rsidR="008D58E7" w:rsidRPr="000140B3">
        <w:rPr>
          <w:rFonts w:ascii="Times New Roman" w:hAnsi="Times New Roman" w:hint="eastAsia"/>
        </w:rPr>
        <w:t>金管會</w:t>
      </w:r>
      <w:r w:rsidRPr="000140B3">
        <w:rPr>
          <w:rFonts w:ascii="Times New Roman" w:hAnsi="Times New Roman"/>
        </w:rPr>
        <w:t>為即時掌握並預為因應，爰提出強化國銀</w:t>
      </w:r>
      <w:r w:rsidR="008D58E7" w:rsidRPr="000140B3">
        <w:rPr>
          <w:rFonts w:ascii="Times New Roman" w:hAnsi="Times New Roman" w:hint="eastAsia"/>
        </w:rPr>
        <w:t>於</w:t>
      </w:r>
      <w:proofErr w:type="gramStart"/>
      <w:r w:rsidRPr="000140B3">
        <w:rPr>
          <w:rFonts w:ascii="Times New Roman" w:hAnsi="Times New Roman"/>
        </w:rPr>
        <w:t>中國大陸暴險</w:t>
      </w:r>
      <w:proofErr w:type="gramEnd"/>
      <w:r w:rsidRPr="000140B3">
        <w:rPr>
          <w:rFonts w:ascii="Times New Roman" w:hAnsi="Times New Roman"/>
        </w:rPr>
        <w:t>控管措施：</w:t>
      </w:r>
    </w:p>
    <w:p w:rsidR="0064621B" w:rsidRPr="000140B3" w:rsidRDefault="0064621B" w:rsidP="0064621B">
      <w:pPr>
        <w:pStyle w:val="5"/>
        <w:rPr>
          <w:rFonts w:ascii="Times New Roman" w:hAnsi="Times New Roman"/>
        </w:rPr>
      </w:pPr>
      <w:r w:rsidRPr="000140B3">
        <w:rPr>
          <w:rFonts w:ascii="Times New Roman" w:hAnsi="Times New Roman"/>
        </w:rPr>
        <w:t>函請國銀建立高風險產業及政經風險評估控管機制外。</w:t>
      </w:r>
    </w:p>
    <w:p w:rsidR="0064621B" w:rsidRPr="000140B3" w:rsidRDefault="0064621B" w:rsidP="0064621B">
      <w:pPr>
        <w:pStyle w:val="5"/>
        <w:rPr>
          <w:rFonts w:ascii="Times New Roman" w:hAnsi="Times New Roman"/>
        </w:rPr>
      </w:pPr>
      <w:r w:rsidRPr="000140B3">
        <w:rPr>
          <w:rFonts w:ascii="Times New Roman" w:hAnsi="Times New Roman"/>
        </w:rPr>
        <w:t>函請存保公司協助強化國銀對中國大陸及香港</w:t>
      </w:r>
      <w:proofErr w:type="gramStart"/>
      <w:r w:rsidRPr="000140B3">
        <w:rPr>
          <w:rFonts w:ascii="Times New Roman" w:hAnsi="Times New Roman"/>
        </w:rPr>
        <w:t>地區暴險之</w:t>
      </w:r>
      <w:proofErr w:type="gramEnd"/>
      <w:r w:rsidRPr="000140B3">
        <w:rPr>
          <w:rFonts w:ascii="Times New Roman" w:hAnsi="Times New Roman"/>
        </w:rPr>
        <w:t>監理。</w:t>
      </w:r>
    </w:p>
    <w:p w:rsidR="0064621B" w:rsidRPr="000140B3" w:rsidRDefault="0064621B" w:rsidP="0064621B">
      <w:pPr>
        <w:pStyle w:val="5"/>
        <w:rPr>
          <w:rFonts w:ascii="Times New Roman" w:hAnsi="Times New Roman"/>
        </w:rPr>
      </w:pPr>
      <w:r w:rsidRPr="000140B3">
        <w:rPr>
          <w:rFonts w:ascii="Times New Roman" w:hAnsi="Times New Roman"/>
        </w:rPr>
        <w:t>鑒於大陸及香港地區政經情勢發展與國銀當地分支機構營運密切相關，金管會就上海等</w:t>
      </w:r>
      <w:proofErr w:type="gramStart"/>
      <w:r w:rsidRPr="000140B3">
        <w:rPr>
          <w:rFonts w:ascii="Times New Roman" w:hAnsi="Times New Roman"/>
        </w:rPr>
        <w:t>地封城</w:t>
      </w:r>
      <w:proofErr w:type="gramEnd"/>
      <w:r w:rsidRPr="000140B3">
        <w:rPr>
          <w:rFonts w:ascii="Times New Roman" w:hAnsi="Times New Roman"/>
        </w:rPr>
        <w:t>、金融穩定法草案公布、村鎮銀行擠兌</w:t>
      </w:r>
      <w:proofErr w:type="gramStart"/>
      <w:r w:rsidRPr="000140B3">
        <w:rPr>
          <w:rFonts w:ascii="Times New Roman" w:hAnsi="Times New Roman"/>
        </w:rPr>
        <w:t>及爛尾</w:t>
      </w:r>
      <w:proofErr w:type="gramEnd"/>
      <w:r w:rsidRPr="000140B3">
        <w:rPr>
          <w:rFonts w:ascii="Times New Roman" w:hAnsi="Times New Roman"/>
        </w:rPr>
        <w:t>樓事件及重大信用風險個案等議題，擬具「大陸及香港比區政經情勢發展對國銀之影響及因應措施」。</w:t>
      </w:r>
    </w:p>
    <w:p w:rsidR="0064621B" w:rsidRPr="000140B3" w:rsidRDefault="0064621B" w:rsidP="0064621B">
      <w:pPr>
        <w:pStyle w:val="4"/>
        <w:rPr>
          <w:rFonts w:ascii="Times New Roman" w:hAnsi="Times New Roman"/>
        </w:rPr>
      </w:pPr>
      <w:r w:rsidRPr="000140B3">
        <w:rPr>
          <w:rFonts w:ascii="Times New Roman" w:hAnsi="Times New Roman"/>
        </w:rPr>
        <w:t>111</w:t>
      </w:r>
      <w:r w:rsidRPr="000140B3">
        <w:rPr>
          <w:rFonts w:ascii="Times New Roman" w:hAnsi="Times New Roman"/>
        </w:rPr>
        <w:t>年</w:t>
      </w:r>
      <w:r w:rsidRPr="000140B3">
        <w:rPr>
          <w:rFonts w:ascii="Times New Roman" w:hAnsi="Times New Roman"/>
        </w:rPr>
        <w:t>7</w:t>
      </w:r>
      <w:r w:rsidRPr="000140B3">
        <w:rPr>
          <w:rFonts w:ascii="Times New Roman" w:hAnsi="Times New Roman"/>
        </w:rPr>
        <w:t>月</w:t>
      </w:r>
      <w:r w:rsidRPr="000140B3">
        <w:rPr>
          <w:rFonts w:ascii="Times New Roman" w:hAnsi="Times New Roman"/>
        </w:rPr>
        <w:t>19</w:t>
      </w:r>
      <w:r w:rsidRPr="000140B3">
        <w:rPr>
          <w:rFonts w:ascii="Times New Roman" w:hAnsi="Times New Roman"/>
        </w:rPr>
        <w:t>日金管會考量國際政經情勢變化之影響，全球央行採取貨幣緊縮政策，利率上升致銀行投資部位面臨評價減損、俄烏戰爭、新冠</w:t>
      </w:r>
      <w:proofErr w:type="gramStart"/>
      <w:r w:rsidRPr="000140B3">
        <w:rPr>
          <w:rFonts w:ascii="Times New Roman" w:hAnsi="Times New Roman"/>
        </w:rPr>
        <w:t>疫</w:t>
      </w:r>
      <w:proofErr w:type="gramEnd"/>
      <w:r w:rsidRPr="000140B3">
        <w:rPr>
          <w:rFonts w:ascii="Times New Roman" w:hAnsi="Times New Roman"/>
        </w:rPr>
        <w:t>情衝擊以及地緣政治因素引起之供應鏈問題，邀集存保公司、檢查局及銀行局召開強化銀行對海外及</w:t>
      </w:r>
      <w:proofErr w:type="gramStart"/>
      <w:r w:rsidR="008D58E7" w:rsidRPr="000140B3">
        <w:rPr>
          <w:rFonts w:ascii="Times New Roman" w:hAnsi="Times New Roman" w:hint="eastAsia"/>
        </w:rPr>
        <w:t>中國</w:t>
      </w:r>
      <w:r w:rsidRPr="000140B3">
        <w:rPr>
          <w:rFonts w:ascii="Times New Roman" w:hAnsi="Times New Roman"/>
        </w:rPr>
        <w:t>大陸暴險</w:t>
      </w:r>
      <w:proofErr w:type="gramEnd"/>
      <w:r w:rsidRPr="000140B3">
        <w:rPr>
          <w:rFonts w:ascii="Times New Roman" w:hAnsi="Times New Roman"/>
        </w:rPr>
        <w:t>之控管會議：</w:t>
      </w:r>
    </w:p>
    <w:p w:rsidR="0064621B" w:rsidRPr="000140B3" w:rsidRDefault="0064621B" w:rsidP="0064621B">
      <w:pPr>
        <w:pStyle w:val="5"/>
        <w:rPr>
          <w:rFonts w:ascii="Times New Roman" w:hAnsi="Times New Roman"/>
        </w:rPr>
      </w:pPr>
      <w:r w:rsidRPr="000140B3">
        <w:rPr>
          <w:rFonts w:ascii="Times New Roman" w:hAnsi="Times New Roman"/>
        </w:rPr>
        <w:t>為確保國銀確實落實遵循上開強化控管措施，</w:t>
      </w:r>
      <w:proofErr w:type="gramStart"/>
      <w:r w:rsidRPr="000140B3">
        <w:rPr>
          <w:rFonts w:ascii="Times New Roman" w:hAnsi="Times New Roman"/>
        </w:rPr>
        <w:t>併</w:t>
      </w:r>
      <w:proofErr w:type="gramEnd"/>
      <w:r w:rsidRPr="000140B3">
        <w:rPr>
          <w:rFonts w:ascii="Times New Roman" w:hAnsi="Times New Roman"/>
        </w:rPr>
        <w:t>請國銀內部稽核單位就相關控管機制執行情形辦理查核，並將查核報告提報董事會。</w:t>
      </w:r>
    </w:p>
    <w:p w:rsidR="0064621B" w:rsidRPr="000140B3" w:rsidRDefault="0064621B" w:rsidP="0064621B">
      <w:pPr>
        <w:pStyle w:val="5"/>
        <w:rPr>
          <w:rFonts w:ascii="Times New Roman" w:hAnsi="Times New Roman"/>
        </w:rPr>
      </w:pPr>
      <w:r w:rsidRPr="000140B3">
        <w:rPr>
          <w:rFonts w:ascii="Times New Roman" w:hAnsi="Times New Roman"/>
        </w:rPr>
        <w:t>國銀於海外及中國大陸辦理與當地政府政策相關或受政策高度補助產業之授信或投資，應審慎評估風險並納入高風險產業評估控管機制。</w:t>
      </w:r>
    </w:p>
    <w:p w:rsidR="0064621B" w:rsidRPr="000140B3" w:rsidRDefault="0064621B" w:rsidP="0064621B">
      <w:pPr>
        <w:pStyle w:val="4"/>
        <w:rPr>
          <w:rFonts w:ascii="Times New Roman" w:hAnsi="Times New Roman"/>
        </w:rPr>
      </w:pPr>
      <w:r w:rsidRPr="000140B3">
        <w:rPr>
          <w:rFonts w:ascii="Times New Roman" w:hAnsi="Times New Roman"/>
        </w:rPr>
        <w:t>金管會於</w:t>
      </w:r>
      <w:r w:rsidRPr="000140B3">
        <w:rPr>
          <w:rFonts w:ascii="Times New Roman" w:hAnsi="Times New Roman"/>
        </w:rPr>
        <w:t>111</w:t>
      </w:r>
      <w:r w:rsidRPr="000140B3">
        <w:rPr>
          <w:rFonts w:ascii="Times New Roman" w:hAnsi="Times New Roman"/>
        </w:rPr>
        <w:t>年</w:t>
      </w:r>
      <w:r w:rsidRPr="000140B3">
        <w:rPr>
          <w:rFonts w:ascii="Times New Roman" w:hAnsi="Times New Roman"/>
        </w:rPr>
        <w:t>1</w:t>
      </w:r>
      <w:r w:rsidRPr="000140B3">
        <w:rPr>
          <w:rFonts w:ascii="Times New Roman" w:hAnsi="Times New Roman"/>
        </w:rPr>
        <w:t>月</w:t>
      </w:r>
      <w:r w:rsidRPr="000140B3">
        <w:rPr>
          <w:rFonts w:ascii="Times New Roman" w:hAnsi="Times New Roman"/>
        </w:rPr>
        <w:t>22</w:t>
      </w:r>
      <w:r w:rsidRPr="000140B3">
        <w:rPr>
          <w:rFonts w:ascii="Times New Roman" w:hAnsi="Times New Roman"/>
        </w:rPr>
        <w:t>日及</w:t>
      </w:r>
      <w:r w:rsidRPr="000140B3">
        <w:rPr>
          <w:rFonts w:ascii="Times New Roman" w:hAnsi="Times New Roman"/>
        </w:rPr>
        <w:t>8</w:t>
      </w:r>
      <w:r w:rsidRPr="000140B3">
        <w:rPr>
          <w:rFonts w:ascii="Times New Roman" w:hAnsi="Times New Roman"/>
        </w:rPr>
        <w:t>月</w:t>
      </w:r>
      <w:r w:rsidRPr="000140B3">
        <w:rPr>
          <w:rFonts w:ascii="Times New Roman" w:hAnsi="Times New Roman"/>
        </w:rPr>
        <w:t>12</w:t>
      </w:r>
      <w:r w:rsidRPr="000140B3">
        <w:rPr>
          <w:rFonts w:ascii="Times New Roman" w:hAnsi="Times New Roman"/>
        </w:rPr>
        <w:t>日發函提醒保險業者於</w:t>
      </w:r>
      <w:r w:rsidR="008D58E7" w:rsidRPr="000140B3">
        <w:rPr>
          <w:rFonts w:ascii="Times New Roman" w:hAnsi="Times New Roman" w:hint="eastAsia"/>
        </w:rPr>
        <w:t>中國</w:t>
      </w:r>
      <w:r w:rsidRPr="000140B3">
        <w:rPr>
          <w:rFonts w:ascii="Times New Roman" w:hAnsi="Times New Roman"/>
        </w:rPr>
        <w:t>大陸及香港地區投資時，應審慎評估政經風險之影響並加強高風險產業之風險控管：</w:t>
      </w:r>
    </w:p>
    <w:p w:rsidR="0064621B" w:rsidRPr="000140B3" w:rsidRDefault="0064621B" w:rsidP="0064621B">
      <w:pPr>
        <w:pStyle w:val="5"/>
        <w:rPr>
          <w:rFonts w:ascii="Times New Roman" w:hAnsi="Times New Roman"/>
        </w:rPr>
      </w:pPr>
      <w:r w:rsidRPr="000140B3">
        <w:rPr>
          <w:rFonts w:ascii="Times New Roman" w:hAnsi="Times New Roman"/>
        </w:rPr>
        <w:t>111</w:t>
      </w:r>
      <w:r w:rsidRPr="000140B3">
        <w:rPr>
          <w:rFonts w:ascii="Times New Roman" w:hAnsi="Times New Roman"/>
        </w:rPr>
        <w:t>年</w:t>
      </w:r>
      <w:r w:rsidRPr="000140B3">
        <w:rPr>
          <w:rFonts w:ascii="Times New Roman" w:hAnsi="Times New Roman"/>
        </w:rPr>
        <w:t>1</w:t>
      </w:r>
      <w:r w:rsidRPr="000140B3">
        <w:rPr>
          <w:rFonts w:ascii="Times New Roman" w:hAnsi="Times New Roman"/>
        </w:rPr>
        <w:t>月</w:t>
      </w:r>
      <w:r w:rsidRPr="000140B3">
        <w:rPr>
          <w:rFonts w:ascii="Times New Roman" w:hAnsi="Times New Roman"/>
        </w:rPr>
        <w:t>22</w:t>
      </w:r>
      <w:r w:rsidRPr="000140B3">
        <w:rPr>
          <w:rFonts w:ascii="Times New Roman" w:hAnsi="Times New Roman"/>
        </w:rPr>
        <w:t>日函請保險業就</w:t>
      </w:r>
      <w:r w:rsidR="008D58E7" w:rsidRPr="000140B3">
        <w:rPr>
          <w:rFonts w:ascii="Times New Roman" w:hAnsi="Times New Roman" w:hint="eastAsia"/>
        </w:rPr>
        <w:t>中國</w:t>
      </w:r>
      <w:r w:rsidRPr="000140B3">
        <w:rPr>
          <w:rFonts w:ascii="Times New Roman" w:hAnsi="Times New Roman"/>
        </w:rPr>
        <w:t>大陸及香港地</w:t>
      </w:r>
      <w:r w:rsidRPr="000140B3">
        <w:rPr>
          <w:rFonts w:ascii="Times New Roman" w:hAnsi="Times New Roman"/>
        </w:rPr>
        <w:lastRenderedPageBreak/>
        <w:t>區之</w:t>
      </w:r>
      <w:proofErr w:type="gramStart"/>
      <w:r w:rsidRPr="000140B3">
        <w:rPr>
          <w:rFonts w:ascii="Times New Roman" w:hAnsi="Times New Roman"/>
        </w:rPr>
        <w:t>投資暴險</w:t>
      </w:r>
      <w:proofErr w:type="gramEnd"/>
      <w:r w:rsidRPr="000140B3">
        <w:rPr>
          <w:rFonts w:ascii="Times New Roman" w:hAnsi="Times New Roman"/>
        </w:rPr>
        <w:t>，投資決策應評估檢視投資標的發行公司之治理情形、善盡環境保護、企業誠信及社會責任，同時將相關政經風險納入考量，定期檢討投資政策之妥適性，據以審視投資組合，追蹤評估是否採取因應措施，並應加強對高風險產業相關投資標的之風險控管措施。</w:t>
      </w:r>
    </w:p>
    <w:p w:rsidR="0064621B" w:rsidRPr="000140B3" w:rsidRDefault="0064621B" w:rsidP="0064621B">
      <w:pPr>
        <w:pStyle w:val="5"/>
        <w:rPr>
          <w:rFonts w:ascii="Times New Roman" w:hAnsi="Times New Roman"/>
        </w:rPr>
      </w:pPr>
      <w:r w:rsidRPr="000140B3">
        <w:rPr>
          <w:rFonts w:ascii="Times New Roman" w:hAnsi="Times New Roman"/>
        </w:rPr>
        <w:t>111</w:t>
      </w:r>
      <w:r w:rsidRPr="000140B3">
        <w:rPr>
          <w:rFonts w:ascii="Times New Roman" w:hAnsi="Times New Roman"/>
        </w:rPr>
        <w:t>年</w:t>
      </w:r>
      <w:r w:rsidRPr="000140B3">
        <w:rPr>
          <w:rFonts w:ascii="Times New Roman" w:hAnsi="Times New Roman"/>
        </w:rPr>
        <w:t>8</w:t>
      </w:r>
      <w:r w:rsidRPr="000140B3">
        <w:rPr>
          <w:rFonts w:ascii="Times New Roman" w:hAnsi="Times New Roman"/>
        </w:rPr>
        <w:t>月</w:t>
      </w:r>
      <w:r w:rsidRPr="000140B3">
        <w:rPr>
          <w:rFonts w:ascii="Times New Roman" w:hAnsi="Times New Roman"/>
        </w:rPr>
        <w:t>12</w:t>
      </w:r>
      <w:r w:rsidRPr="000140B3">
        <w:rPr>
          <w:rFonts w:ascii="Times New Roman" w:hAnsi="Times New Roman"/>
        </w:rPr>
        <w:t>日再函請保險業強化對海外及</w:t>
      </w:r>
      <w:proofErr w:type="gramStart"/>
      <w:r w:rsidRPr="000140B3">
        <w:rPr>
          <w:rFonts w:ascii="Times New Roman" w:hAnsi="Times New Roman"/>
        </w:rPr>
        <w:t>中國大陸暴險之</w:t>
      </w:r>
      <w:proofErr w:type="gramEnd"/>
      <w:r w:rsidRPr="000140B3">
        <w:rPr>
          <w:rFonts w:ascii="Times New Roman" w:hAnsi="Times New Roman"/>
        </w:rPr>
        <w:t>控管，對於海外及中國大陸辦理與當地政府政策相關或受政策高度補助產業之投資，保險公司應審慎評估風險並納入高風險產業評估控管機制，並責成公司內部稽核單位於</w:t>
      </w:r>
      <w:r w:rsidRPr="000140B3">
        <w:rPr>
          <w:rFonts w:ascii="Times New Roman" w:hAnsi="Times New Roman"/>
        </w:rPr>
        <w:t>111</w:t>
      </w:r>
      <w:r w:rsidRPr="000140B3">
        <w:rPr>
          <w:rFonts w:ascii="Times New Roman" w:hAnsi="Times New Roman"/>
        </w:rPr>
        <w:t>年</w:t>
      </w:r>
      <w:r w:rsidRPr="000140B3">
        <w:rPr>
          <w:rFonts w:ascii="Times New Roman" w:hAnsi="Times New Roman"/>
        </w:rPr>
        <w:t>12</w:t>
      </w:r>
      <w:r w:rsidRPr="000140B3">
        <w:rPr>
          <w:rFonts w:ascii="Times New Roman" w:hAnsi="Times New Roman"/>
        </w:rPr>
        <w:t>月底前就相關控管機制執行情形辦理查核，並將查核結果提報董事會。</w:t>
      </w:r>
    </w:p>
    <w:p w:rsidR="0064621B" w:rsidRPr="000140B3" w:rsidRDefault="0064621B" w:rsidP="0064621B">
      <w:pPr>
        <w:pStyle w:val="4"/>
        <w:rPr>
          <w:rFonts w:ascii="Times New Roman" w:hAnsi="Times New Roman"/>
        </w:rPr>
      </w:pPr>
      <w:r w:rsidRPr="000140B3">
        <w:rPr>
          <w:rFonts w:ascii="Times New Roman" w:hAnsi="Times New Roman"/>
        </w:rPr>
        <w:t>中國大陸發生碧</w:t>
      </w:r>
      <w:proofErr w:type="gramStart"/>
      <w:r w:rsidRPr="000140B3">
        <w:rPr>
          <w:rFonts w:ascii="Times New Roman" w:hAnsi="Times New Roman"/>
        </w:rPr>
        <w:t>桂園</w:t>
      </w:r>
      <w:proofErr w:type="gramEnd"/>
      <w:r w:rsidRPr="000140B3">
        <w:rPr>
          <w:rFonts w:ascii="Times New Roman" w:hAnsi="Times New Roman"/>
        </w:rPr>
        <w:t>等房產違約事件時，保險局經洽主要保險業者表示，短期內發生系統性風險不大，但將持續關注中國大陸不動產及金融市場風險，適時進行股、債部位之調整。</w:t>
      </w:r>
    </w:p>
    <w:p w:rsidR="0064621B" w:rsidRPr="000140B3" w:rsidRDefault="0064621B" w:rsidP="0064621B">
      <w:pPr>
        <w:pStyle w:val="3"/>
        <w:numPr>
          <w:ilvl w:val="0"/>
          <w:numId w:val="0"/>
        </w:numPr>
        <w:ind w:left="1361" w:firstLineChars="225" w:firstLine="765"/>
        <w:rPr>
          <w:rFonts w:ascii="Times New Roman" w:hAnsi="Times New Roman"/>
        </w:rPr>
      </w:pPr>
      <w:r w:rsidRPr="000140B3">
        <w:rPr>
          <w:rFonts w:ascii="Times New Roman" w:hAnsi="Times New Roman"/>
        </w:rPr>
        <w:t>是</w:t>
      </w:r>
      <w:proofErr w:type="gramStart"/>
      <w:r w:rsidRPr="000140B3">
        <w:rPr>
          <w:rFonts w:ascii="Times New Roman" w:hAnsi="Times New Roman"/>
        </w:rPr>
        <w:t>以</w:t>
      </w:r>
      <w:proofErr w:type="gramEnd"/>
      <w:r w:rsidRPr="000140B3">
        <w:rPr>
          <w:rFonts w:ascii="Times New Roman" w:hAnsi="Times New Roman"/>
        </w:rPr>
        <w:t>，金管會對我國金融業於中國大陸</w:t>
      </w:r>
      <w:proofErr w:type="gramStart"/>
      <w:r w:rsidRPr="000140B3">
        <w:rPr>
          <w:rFonts w:ascii="Times New Roman" w:hAnsi="Times New Roman"/>
        </w:rPr>
        <w:t>之暴</w:t>
      </w:r>
      <w:proofErr w:type="gramEnd"/>
      <w:r w:rsidRPr="000140B3">
        <w:rPr>
          <w:rFonts w:ascii="Times New Roman" w:hAnsi="Times New Roman"/>
        </w:rPr>
        <w:t>險，除依據相關法規進行</w:t>
      </w:r>
      <w:proofErr w:type="gramStart"/>
      <w:r w:rsidRPr="000140B3">
        <w:rPr>
          <w:rFonts w:ascii="Times New Roman" w:hAnsi="Times New Roman"/>
        </w:rPr>
        <w:t>監理</w:t>
      </w:r>
      <w:proofErr w:type="gramEnd"/>
      <w:r w:rsidRPr="000140B3">
        <w:rPr>
          <w:rFonts w:ascii="Times New Roman" w:hAnsi="Times New Roman"/>
        </w:rPr>
        <w:t>外，另亦於中國大陸或國際上發生重大事件時，採取強化管理措施，</w:t>
      </w:r>
      <w:proofErr w:type="gramStart"/>
      <w:r w:rsidRPr="000140B3">
        <w:rPr>
          <w:rFonts w:ascii="Times New Roman" w:hAnsi="Times New Roman"/>
        </w:rPr>
        <w:t>以管</w:t>
      </w:r>
      <w:proofErr w:type="gramEnd"/>
      <w:r w:rsidRPr="000140B3">
        <w:rPr>
          <w:rFonts w:ascii="Times New Roman" w:hAnsi="Times New Roman"/>
        </w:rPr>
        <w:t>控我國金融業於</w:t>
      </w:r>
      <w:r w:rsidR="008D58E7" w:rsidRPr="000140B3">
        <w:rPr>
          <w:rFonts w:ascii="Times New Roman" w:hAnsi="Times New Roman" w:hint="eastAsia"/>
        </w:rPr>
        <w:t>中國</w:t>
      </w:r>
      <w:r w:rsidRPr="000140B3">
        <w:rPr>
          <w:rFonts w:ascii="Times New Roman" w:hAnsi="Times New Roman"/>
        </w:rPr>
        <w:t>大陸</w:t>
      </w:r>
      <w:proofErr w:type="gramStart"/>
      <w:r w:rsidRPr="000140B3">
        <w:rPr>
          <w:rFonts w:ascii="Times New Roman" w:hAnsi="Times New Roman"/>
        </w:rPr>
        <w:t>之暴</w:t>
      </w:r>
      <w:proofErr w:type="gramEnd"/>
      <w:r w:rsidRPr="000140B3">
        <w:rPr>
          <w:rFonts w:ascii="Times New Roman" w:hAnsi="Times New Roman"/>
        </w:rPr>
        <w:t>險，相關作為應予肯認。</w:t>
      </w:r>
    </w:p>
    <w:p w:rsidR="0064621B" w:rsidRPr="000140B3" w:rsidRDefault="0064621B" w:rsidP="0064621B">
      <w:pPr>
        <w:pStyle w:val="3"/>
        <w:rPr>
          <w:rFonts w:ascii="Times New Roman" w:hAnsi="Times New Roman"/>
        </w:rPr>
      </w:pPr>
      <w:r w:rsidRPr="000140B3">
        <w:rPr>
          <w:rFonts w:ascii="Times New Roman" w:hAnsi="Times New Roman"/>
        </w:rPr>
        <w:t>再查我國金融業於中國大陸之</w:t>
      </w:r>
      <w:proofErr w:type="gramStart"/>
      <w:r w:rsidRPr="000140B3">
        <w:rPr>
          <w:rFonts w:ascii="Times New Roman" w:hAnsi="Times New Roman"/>
        </w:rPr>
        <w:t>暴險呈</w:t>
      </w:r>
      <w:proofErr w:type="gramEnd"/>
      <w:r w:rsidRPr="000140B3">
        <w:rPr>
          <w:rFonts w:ascii="Times New Roman" w:hAnsi="Times New Roman"/>
        </w:rPr>
        <w:t>逐年下滑之趨勢：</w:t>
      </w:r>
    </w:p>
    <w:p w:rsidR="0064621B" w:rsidRPr="000140B3" w:rsidRDefault="0064621B" w:rsidP="0064621B">
      <w:pPr>
        <w:pStyle w:val="4"/>
        <w:rPr>
          <w:rFonts w:ascii="Times New Roman" w:hAnsi="Times New Roman"/>
        </w:rPr>
      </w:pPr>
      <w:r w:rsidRPr="000140B3">
        <w:rPr>
          <w:rFonts w:ascii="Times New Roman" w:hAnsi="Times New Roman"/>
        </w:rPr>
        <w:t>我國銀行業於</w:t>
      </w:r>
      <w:proofErr w:type="gramStart"/>
      <w:r w:rsidRPr="000140B3">
        <w:rPr>
          <w:rFonts w:ascii="Times New Roman" w:hAnsi="Times New Roman"/>
        </w:rPr>
        <w:t>中國大陸暴險概況</w:t>
      </w:r>
      <w:proofErr w:type="gramEnd"/>
      <w:r w:rsidRPr="000140B3">
        <w:rPr>
          <w:rFonts w:ascii="Times New Roman" w:hAnsi="Times New Roman"/>
        </w:rPr>
        <w:t>：</w:t>
      </w:r>
    </w:p>
    <w:p w:rsidR="0064621B" w:rsidRPr="000140B3" w:rsidRDefault="0064621B" w:rsidP="0064621B">
      <w:pPr>
        <w:pStyle w:val="5"/>
        <w:rPr>
          <w:rFonts w:ascii="Times New Roman" w:hAnsi="Times New Roman"/>
        </w:rPr>
      </w:pPr>
      <w:r w:rsidRPr="000140B3">
        <w:rPr>
          <w:rFonts w:ascii="Times New Roman" w:hAnsi="Times New Roman"/>
        </w:rPr>
        <w:t>整體銀行業於</w:t>
      </w:r>
      <w:proofErr w:type="gramStart"/>
      <w:r w:rsidRPr="000140B3">
        <w:rPr>
          <w:rFonts w:ascii="Times New Roman" w:hAnsi="Times New Roman"/>
        </w:rPr>
        <w:t>中國大陸暴險情形</w:t>
      </w:r>
      <w:proofErr w:type="gramEnd"/>
      <w:r w:rsidRPr="000140B3">
        <w:rPr>
          <w:rFonts w:ascii="Times New Roman" w:hAnsi="Times New Roman"/>
        </w:rPr>
        <w:t>，</w:t>
      </w:r>
      <w:proofErr w:type="gramStart"/>
      <w:r w:rsidRPr="000140B3">
        <w:rPr>
          <w:rFonts w:ascii="Times New Roman" w:hAnsi="Times New Roman"/>
        </w:rPr>
        <w:t>詳</w:t>
      </w:r>
      <w:proofErr w:type="gramEnd"/>
      <w:r w:rsidRPr="000140B3">
        <w:rPr>
          <w:rFonts w:ascii="Times New Roman" w:hAnsi="Times New Roman"/>
        </w:rPr>
        <w:t>表</w:t>
      </w:r>
      <w:r w:rsidR="0055028A" w:rsidRPr="000140B3">
        <w:rPr>
          <w:rFonts w:ascii="Times New Roman" w:hAnsi="Times New Roman" w:hint="eastAsia"/>
        </w:rPr>
        <w:t>1</w:t>
      </w:r>
      <w:r w:rsidRPr="000140B3">
        <w:rPr>
          <w:rFonts w:ascii="Times New Roman" w:hAnsi="Times New Roman"/>
        </w:rPr>
        <w:t>：</w:t>
      </w:r>
    </w:p>
    <w:p w:rsidR="0064621B" w:rsidRPr="000140B3" w:rsidRDefault="0064621B" w:rsidP="0064621B">
      <w:pPr>
        <w:pStyle w:val="6"/>
        <w:rPr>
          <w:rFonts w:ascii="Times New Roman" w:hAnsi="Times New Roman"/>
        </w:rPr>
      </w:pPr>
      <w:r w:rsidRPr="000140B3">
        <w:rPr>
          <w:rFonts w:ascii="Times New Roman" w:hAnsi="Times New Roman"/>
        </w:rPr>
        <w:t>我國銀行業對</w:t>
      </w:r>
      <w:proofErr w:type="gramStart"/>
      <w:r w:rsidRPr="000140B3">
        <w:rPr>
          <w:rFonts w:ascii="Times New Roman" w:hAnsi="Times New Roman"/>
        </w:rPr>
        <w:t>中國大陸暴險金額</w:t>
      </w:r>
      <w:proofErr w:type="gramEnd"/>
      <w:r w:rsidRPr="000140B3">
        <w:rPr>
          <w:rFonts w:ascii="Times New Roman" w:hAnsi="Times New Roman"/>
        </w:rPr>
        <w:t>由</w:t>
      </w:r>
      <w:r w:rsidRPr="000140B3">
        <w:rPr>
          <w:rFonts w:ascii="Times New Roman" w:hAnsi="Times New Roman"/>
        </w:rPr>
        <w:t>108</w:t>
      </w:r>
      <w:r w:rsidRPr="000140B3">
        <w:rPr>
          <w:rFonts w:ascii="Times New Roman" w:hAnsi="Times New Roman"/>
        </w:rPr>
        <w:t>年底之</w:t>
      </w:r>
      <w:r w:rsidRPr="000140B3">
        <w:rPr>
          <w:rFonts w:ascii="Times New Roman" w:hAnsi="Times New Roman"/>
        </w:rPr>
        <w:t>16,453</w:t>
      </w:r>
      <w:r w:rsidRPr="000140B3">
        <w:rPr>
          <w:rFonts w:ascii="Times New Roman" w:hAnsi="Times New Roman"/>
        </w:rPr>
        <w:t>億元，逐年下降至</w:t>
      </w:r>
      <w:r w:rsidRPr="000140B3">
        <w:rPr>
          <w:rFonts w:ascii="Times New Roman" w:hAnsi="Times New Roman"/>
        </w:rPr>
        <w:t>112</w:t>
      </w:r>
      <w:r w:rsidRPr="000140B3">
        <w:rPr>
          <w:rFonts w:ascii="Times New Roman" w:hAnsi="Times New Roman"/>
        </w:rPr>
        <w:t>年底之</w:t>
      </w:r>
      <w:r w:rsidRPr="000140B3">
        <w:rPr>
          <w:rFonts w:ascii="Times New Roman" w:hAnsi="Times New Roman"/>
        </w:rPr>
        <w:t>9,610</w:t>
      </w:r>
      <w:r w:rsidRPr="000140B3">
        <w:rPr>
          <w:rFonts w:ascii="Times New Roman" w:hAnsi="Times New Roman"/>
        </w:rPr>
        <w:t>億元，</w:t>
      </w:r>
      <w:r w:rsidRPr="000140B3">
        <w:rPr>
          <w:rFonts w:ascii="Times New Roman" w:hAnsi="Times New Roman"/>
        </w:rPr>
        <w:t>5</w:t>
      </w:r>
      <w:proofErr w:type="gramStart"/>
      <w:r w:rsidRPr="000140B3">
        <w:rPr>
          <w:rFonts w:ascii="Times New Roman" w:hAnsi="Times New Roman"/>
        </w:rPr>
        <w:t>年間暴險金</w:t>
      </w:r>
      <w:proofErr w:type="gramEnd"/>
      <w:r w:rsidRPr="000140B3">
        <w:rPr>
          <w:rFonts w:ascii="Times New Roman" w:hAnsi="Times New Roman"/>
        </w:rPr>
        <w:t>額減少</w:t>
      </w:r>
      <w:r w:rsidRPr="000140B3">
        <w:rPr>
          <w:rFonts w:ascii="Times New Roman" w:hAnsi="Times New Roman"/>
        </w:rPr>
        <w:t>6,843</w:t>
      </w:r>
      <w:r w:rsidRPr="000140B3">
        <w:rPr>
          <w:rFonts w:ascii="Times New Roman" w:hAnsi="Times New Roman"/>
        </w:rPr>
        <w:t>億元。</w:t>
      </w:r>
    </w:p>
    <w:p w:rsidR="0064621B" w:rsidRPr="000140B3" w:rsidRDefault="0064621B" w:rsidP="0064621B">
      <w:pPr>
        <w:pStyle w:val="6"/>
        <w:rPr>
          <w:rFonts w:ascii="Times New Roman" w:hAnsi="Times New Roman"/>
        </w:rPr>
      </w:pPr>
      <w:r w:rsidRPr="000140B3">
        <w:rPr>
          <w:rFonts w:ascii="Times New Roman" w:hAnsi="Times New Roman"/>
        </w:rPr>
        <w:t>我國銀行業對</w:t>
      </w:r>
      <w:proofErr w:type="gramStart"/>
      <w:r w:rsidRPr="000140B3">
        <w:rPr>
          <w:rFonts w:ascii="Times New Roman" w:hAnsi="Times New Roman"/>
        </w:rPr>
        <w:t>中國大陸暴險總額</w:t>
      </w:r>
      <w:proofErr w:type="gramEnd"/>
      <w:r w:rsidRPr="000140B3">
        <w:rPr>
          <w:rFonts w:ascii="Times New Roman" w:hAnsi="Times New Roman"/>
        </w:rPr>
        <w:t>占上年度決算後淨值比率由</w:t>
      </w:r>
      <w:r w:rsidRPr="000140B3">
        <w:rPr>
          <w:rFonts w:ascii="Times New Roman" w:hAnsi="Times New Roman"/>
        </w:rPr>
        <w:t>108</w:t>
      </w:r>
      <w:r w:rsidRPr="000140B3">
        <w:rPr>
          <w:rFonts w:ascii="Times New Roman" w:hAnsi="Times New Roman"/>
        </w:rPr>
        <w:t>年底之</w:t>
      </w:r>
      <w:r w:rsidRPr="000140B3">
        <w:rPr>
          <w:rFonts w:ascii="Times New Roman" w:hAnsi="Times New Roman"/>
        </w:rPr>
        <w:t>46.0%</w:t>
      </w:r>
      <w:r w:rsidRPr="000140B3">
        <w:rPr>
          <w:rFonts w:ascii="Times New Roman" w:hAnsi="Times New Roman"/>
        </w:rPr>
        <w:t>，逐年下滑至</w:t>
      </w:r>
      <w:r w:rsidRPr="000140B3">
        <w:rPr>
          <w:rFonts w:ascii="Times New Roman" w:hAnsi="Times New Roman"/>
        </w:rPr>
        <w:lastRenderedPageBreak/>
        <w:t>112</w:t>
      </w:r>
      <w:r w:rsidRPr="000140B3">
        <w:rPr>
          <w:rFonts w:ascii="Times New Roman" w:hAnsi="Times New Roman"/>
        </w:rPr>
        <w:t>年之</w:t>
      </w:r>
      <w:r w:rsidRPr="000140B3">
        <w:rPr>
          <w:rFonts w:ascii="Times New Roman" w:hAnsi="Times New Roman"/>
        </w:rPr>
        <w:t>22.7%</w:t>
      </w:r>
      <w:r w:rsidRPr="000140B3">
        <w:rPr>
          <w:rFonts w:ascii="Times New Roman" w:hAnsi="Times New Roman"/>
        </w:rPr>
        <w:t>，</w:t>
      </w:r>
      <w:r w:rsidRPr="000140B3">
        <w:rPr>
          <w:rFonts w:ascii="Times New Roman" w:hAnsi="Times New Roman"/>
        </w:rPr>
        <w:t>5</w:t>
      </w:r>
      <w:r w:rsidRPr="000140B3">
        <w:rPr>
          <w:rFonts w:ascii="Times New Roman" w:hAnsi="Times New Roman"/>
        </w:rPr>
        <w:t>年間下滑</w:t>
      </w:r>
      <w:r w:rsidRPr="000140B3">
        <w:rPr>
          <w:rFonts w:ascii="Times New Roman" w:hAnsi="Times New Roman"/>
        </w:rPr>
        <w:t>23.3%</w:t>
      </w:r>
      <w:r w:rsidRPr="000140B3">
        <w:rPr>
          <w:rFonts w:ascii="Times New Roman" w:hAnsi="Times New Roman"/>
        </w:rPr>
        <w:t>。風險仍在法定限額</w:t>
      </w:r>
      <w:r w:rsidRPr="000140B3">
        <w:rPr>
          <w:rFonts w:ascii="Times New Roman" w:hAnsi="Times New Roman"/>
        </w:rPr>
        <w:t>100%</w:t>
      </w:r>
      <w:r w:rsidRPr="000140B3">
        <w:rPr>
          <w:rFonts w:ascii="Times New Roman" w:hAnsi="Times New Roman"/>
        </w:rPr>
        <w:t>之內。</w:t>
      </w:r>
    </w:p>
    <w:p w:rsidR="008D58E7" w:rsidRPr="000140B3" w:rsidRDefault="008D58E7" w:rsidP="008D58E7">
      <w:pPr>
        <w:pStyle w:val="6"/>
        <w:numPr>
          <w:ilvl w:val="0"/>
          <w:numId w:val="0"/>
        </w:numPr>
        <w:ind w:left="2381"/>
        <w:rPr>
          <w:rFonts w:ascii="Times New Roman" w:hAnsi="Times New Roman"/>
        </w:rPr>
      </w:pPr>
    </w:p>
    <w:p w:rsidR="008D58E7" w:rsidRPr="000140B3" w:rsidRDefault="008D58E7" w:rsidP="008D58E7">
      <w:pPr>
        <w:pStyle w:val="6"/>
        <w:numPr>
          <w:ilvl w:val="0"/>
          <w:numId w:val="0"/>
        </w:numPr>
        <w:ind w:left="2381"/>
        <w:rPr>
          <w:rFonts w:ascii="Times New Roman" w:hAnsi="Times New Roman"/>
        </w:rPr>
      </w:pPr>
    </w:p>
    <w:p w:rsidR="008D58E7" w:rsidRPr="000140B3" w:rsidRDefault="008D58E7" w:rsidP="008D58E7">
      <w:pPr>
        <w:pStyle w:val="6"/>
        <w:numPr>
          <w:ilvl w:val="0"/>
          <w:numId w:val="0"/>
        </w:numPr>
        <w:ind w:left="2381"/>
        <w:rPr>
          <w:rFonts w:ascii="Times New Roman" w:hAnsi="Times New Roman"/>
        </w:rPr>
      </w:pPr>
    </w:p>
    <w:p w:rsidR="008D58E7" w:rsidRPr="000140B3" w:rsidRDefault="008D58E7" w:rsidP="008D58E7">
      <w:pPr>
        <w:pStyle w:val="6"/>
        <w:numPr>
          <w:ilvl w:val="0"/>
          <w:numId w:val="0"/>
        </w:numPr>
        <w:ind w:left="2381"/>
        <w:rPr>
          <w:rFonts w:ascii="Times New Roman" w:hAnsi="Times New Roman"/>
        </w:rPr>
      </w:pPr>
    </w:p>
    <w:p w:rsidR="008D58E7" w:rsidRPr="000140B3" w:rsidRDefault="008D58E7" w:rsidP="008D58E7">
      <w:pPr>
        <w:pStyle w:val="6"/>
        <w:numPr>
          <w:ilvl w:val="0"/>
          <w:numId w:val="0"/>
        </w:numPr>
        <w:ind w:left="2381"/>
        <w:rPr>
          <w:rFonts w:ascii="Times New Roman" w:hAnsi="Times New Roman"/>
        </w:rPr>
      </w:pPr>
    </w:p>
    <w:p w:rsidR="0064621B" w:rsidRPr="000140B3" w:rsidRDefault="0064621B" w:rsidP="0064621B">
      <w:pPr>
        <w:pStyle w:val="a4"/>
        <w:jc w:val="center"/>
        <w:rPr>
          <w:rFonts w:ascii="Times New Roman" w:hAnsi="Times New Roman"/>
          <w:b/>
        </w:rPr>
      </w:pPr>
      <w:r w:rsidRPr="000140B3">
        <w:rPr>
          <w:rFonts w:ascii="Times New Roman" w:hAnsi="Times New Roman"/>
          <w:b/>
        </w:rPr>
        <w:t>銀行業於</w:t>
      </w:r>
      <w:proofErr w:type="gramStart"/>
      <w:r w:rsidRPr="000140B3">
        <w:rPr>
          <w:rFonts w:ascii="Times New Roman" w:hAnsi="Times New Roman"/>
          <w:b/>
        </w:rPr>
        <w:t>中國大陸暴險情形</w:t>
      </w:r>
      <w:proofErr w:type="gramEnd"/>
    </w:p>
    <w:p w:rsidR="0064621B" w:rsidRPr="000140B3" w:rsidRDefault="0064621B" w:rsidP="0064621B">
      <w:pPr>
        <w:spacing w:afterLines="25" w:after="114" w:line="320" w:lineRule="exact"/>
        <w:jc w:val="right"/>
        <w:rPr>
          <w:rFonts w:ascii="Times New Roman"/>
        </w:rPr>
      </w:pPr>
      <w:r w:rsidRPr="000140B3">
        <w:rPr>
          <w:rFonts w:ascii="Times New Roman"/>
          <w:sz w:val="24"/>
          <w:szCs w:val="24"/>
        </w:rPr>
        <w:t>單位</w:t>
      </w:r>
      <w:r w:rsidRPr="000140B3">
        <w:rPr>
          <w:rFonts w:ascii="Times New Roman"/>
          <w:sz w:val="24"/>
          <w:szCs w:val="24"/>
        </w:rPr>
        <w:t>:</w:t>
      </w:r>
      <w:r w:rsidRPr="000140B3">
        <w:rPr>
          <w:rFonts w:ascii="Times New Roman"/>
          <w:sz w:val="24"/>
          <w:szCs w:val="24"/>
        </w:rPr>
        <w:t>新臺幣億元</w:t>
      </w:r>
    </w:p>
    <w:tbl>
      <w:tblPr>
        <w:tblW w:w="1034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68"/>
        <w:gridCol w:w="1134"/>
        <w:gridCol w:w="2835"/>
        <w:gridCol w:w="5103"/>
      </w:tblGrid>
      <w:tr w:rsidR="0064621B" w:rsidRPr="000140B3" w:rsidTr="00EC5AF2">
        <w:trPr>
          <w:trHeight w:val="199"/>
          <w:jc w:val="center"/>
        </w:trPr>
        <w:tc>
          <w:tcPr>
            <w:tcW w:w="1268" w:type="dxa"/>
            <w:vAlign w:val="center"/>
          </w:tcPr>
          <w:p w:rsidR="0064621B" w:rsidRPr="000140B3" w:rsidRDefault="0064621B" w:rsidP="00EC5AF2">
            <w:pPr>
              <w:jc w:val="center"/>
              <w:rPr>
                <w:rFonts w:ascii="Times New Roman"/>
                <w:sz w:val="28"/>
                <w:szCs w:val="28"/>
              </w:rPr>
            </w:pPr>
          </w:p>
        </w:tc>
        <w:tc>
          <w:tcPr>
            <w:tcW w:w="1134" w:type="dxa"/>
            <w:vAlign w:val="center"/>
          </w:tcPr>
          <w:p w:rsidR="0064621B" w:rsidRPr="000140B3" w:rsidRDefault="0064621B" w:rsidP="0064679A">
            <w:pPr>
              <w:ind w:leftChars="-31" w:left="-105" w:rightChars="-31" w:right="-105"/>
              <w:jc w:val="center"/>
              <w:rPr>
                <w:rFonts w:ascii="Times New Roman"/>
                <w:sz w:val="28"/>
                <w:szCs w:val="28"/>
              </w:rPr>
            </w:pPr>
            <w:r w:rsidRPr="000140B3">
              <w:rPr>
                <w:rFonts w:ascii="Times New Roman"/>
                <w:w w:val="115"/>
                <w:sz w:val="28"/>
                <w:szCs w:val="28"/>
              </w:rPr>
              <w:t>總額度</w:t>
            </w:r>
          </w:p>
        </w:tc>
        <w:tc>
          <w:tcPr>
            <w:tcW w:w="2835" w:type="dxa"/>
            <w:vAlign w:val="center"/>
          </w:tcPr>
          <w:p w:rsidR="0064621B" w:rsidRPr="000140B3" w:rsidRDefault="0064621B" w:rsidP="0064679A">
            <w:pPr>
              <w:ind w:leftChars="-31" w:left="-105" w:rightChars="-32" w:right="-109"/>
              <w:jc w:val="center"/>
              <w:rPr>
                <w:rFonts w:ascii="Times New Roman"/>
                <w:sz w:val="28"/>
                <w:szCs w:val="28"/>
              </w:rPr>
            </w:pPr>
            <w:r w:rsidRPr="000140B3">
              <w:rPr>
                <w:rFonts w:ascii="Times New Roman"/>
                <w:w w:val="115"/>
                <w:sz w:val="28"/>
                <w:szCs w:val="28"/>
              </w:rPr>
              <w:t>上年度決算後淨值</w:t>
            </w:r>
          </w:p>
        </w:tc>
        <w:tc>
          <w:tcPr>
            <w:tcW w:w="5103" w:type="dxa"/>
            <w:vAlign w:val="center"/>
          </w:tcPr>
          <w:p w:rsidR="0064621B" w:rsidRPr="000140B3" w:rsidRDefault="0064621B" w:rsidP="0064679A">
            <w:pPr>
              <w:ind w:left="-104" w:rightChars="-32" w:right="-109"/>
              <w:jc w:val="center"/>
              <w:rPr>
                <w:rFonts w:ascii="Times New Roman"/>
                <w:sz w:val="26"/>
                <w:szCs w:val="26"/>
              </w:rPr>
            </w:pPr>
            <w:proofErr w:type="gramStart"/>
            <w:r w:rsidRPr="000140B3">
              <w:rPr>
                <w:rFonts w:ascii="Times New Roman"/>
                <w:w w:val="115"/>
                <w:sz w:val="26"/>
                <w:szCs w:val="26"/>
              </w:rPr>
              <w:t>總額度占上年度</w:t>
            </w:r>
            <w:proofErr w:type="gramEnd"/>
            <w:r w:rsidRPr="000140B3">
              <w:rPr>
                <w:rFonts w:ascii="Times New Roman"/>
                <w:w w:val="110"/>
                <w:sz w:val="26"/>
                <w:szCs w:val="26"/>
              </w:rPr>
              <w:t>決算後淨值之百</w:t>
            </w:r>
            <w:r w:rsidRPr="000140B3">
              <w:rPr>
                <w:rFonts w:ascii="Times New Roman"/>
                <w:w w:val="115"/>
                <w:sz w:val="26"/>
                <w:szCs w:val="26"/>
              </w:rPr>
              <w:t>分比</w:t>
            </w:r>
          </w:p>
        </w:tc>
      </w:tr>
      <w:tr w:rsidR="0064621B" w:rsidRPr="000140B3" w:rsidTr="00EC5AF2">
        <w:trPr>
          <w:trHeight w:val="429"/>
          <w:jc w:val="center"/>
        </w:trPr>
        <w:tc>
          <w:tcPr>
            <w:tcW w:w="1268" w:type="dxa"/>
            <w:vAlign w:val="center"/>
          </w:tcPr>
          <w:p w:rsidR="0064621B" w:rsidRPr="000140B3" w:rsidRDefault="0064621B" w:rsidP="0064679A">
            <w:pPr>
              <w:ind w:leftChars="-34" w:left="-116" w:rightChars="-32" w:right="-109"/>
              <w:jc w:val="center"/>
              <w:rPr>
                <w:rFonts w:ascii="Times New Roman"/>
                <w:sz w:val="28"/>
                <w:szCs w:val="28"/>
              </w:rPr>
            </w:pPr>
            <w:r w:rsidRPr="000140B3">
              <w:rPr>
                <w:rFonts w:ascii="Times New Roman"/>
                <w:w w:val="110"/>
                <w:sz w:val="28"/>
                <w:szCs w:val="28"/>
              </w:rPr>
              <w:t>108</w:t>
            </w:r>
            <w:r w:rsidRPr="000140B3">
              <w:rPr>
                <w:rFonts w:ascii="Times New Roman"/>
                <w:w w:val="110"/>
                <w:sz w:val="28"/>
                <w:szCs w:val="28"/>
              </w:rPr>
              <w:t>年底</w:t>
            </w:r>
          </w:p>
        </w:tc>
        <w:tc>
          <w:tcPr>
            <w:tcW w:w="1134" w:type="dxa"/>
            <w:vAlign w:val="center"/>
          </w:tcPr>
          <w:p w:rsidR="0064621B" w:rsidRPr="000140B3" w:rsidRDefault="0064621B" w:rsidP="00EC5AF2">
            <w:pPr>
              <w:jc w:val="center"/>
              <w:rPr>
                <w:rFonts w:ascii="Times New Roman"/>
                <w:sz w:val="28"/>
                <w:szCs w:val="28"/>
              </w:rPr>
            </w:pPr>
            <w:r w:rsidRPr="000140B3">
              <w:rPr>
                <w:rFonts w:ascii="Times New Roman"/>
                <w:sz w:val="28"/>
                <w:szCs w:val="28"/>
              </w:rPr>
              <w:t>16,453</w:t>
            </w:r>
          </w:p>
        </w:tc>
        <w:tc>
          <w:tcPr>
            <w:tcW w:w="2835" w:type="dxa"/>
            <w:vAlign w:val="center"/>
          </w:tcPr>
          <w:p w:rsidR="0064621B" w:rsidRPr="000140B3" w:rsidRDefault="0064621B" w:rsidP="0064679A">
            <w:pPr>
              <w:ind w:leftChars="-31" w:left="-105" w:rightChars="-32" w:right="-109"/>
              <w:jc w:val="center"/>
              <w:rPr>
                <w:rFonts w:ascii="Times New Roman"/>
                <w:sz w:val="28"/>
                <w:szCs w:val="28"/>
              </w:rPr>
            </w:pPr>
            <w:r w:rsidRPr="000140B3">
              <w:rPr>
                <w:rFonts w:ascii="Times New Roman"/>
                <w:sz w:val="28"/>
                <w:szCs w:val="28"/>
              </w:rPr>
              <w:t>35,799</w:t>
            </w:r>
          </w:p>
        </w:tc>
        <w:tc>
          <w:tcPr>
            <w:tcW w:w="5103" w:type="dxa"/>
            <w:vAlign w:val="center"/>
          </w:tcPr>
          <w:p w:rsidR="0064621B" w:rsidRPr="000140B3" w:rsidRDefault="0064621B" w:rsidP="00EC5AF2">
            <w:pPr>
              <w:jc w:val="center"/>
              <w:rPr>
                <w:rFonts w:ascii="Times New Roman"/>
                <w:sz w:val="28"/>
                <w:szCs w:val="28"/>
              </w:rPr>
            </w:pPr>
            <w:r w:rsidRPr="000140B3">
              <w:rPr>
                <w:rFonts w:ascii="Times New Roman"/>
                <w:sz w:val="28"/>
                <w:szCs w:val="28"/>
              </w:rPr>
              <w:t>46.0%</w:t>
            </w:r>
          </w:p>
        </w:tc>
      </w:tr>
      <w:tr w:rsidR="0064621B" w:rsidRPr="000140B3" w:rsidTr="00EC5AF2">
        <w:trPr>
          <w:trHeight w:val="463"/>
          <w:jc w:val="center"/>
        </w:trPr>
        <w:tc>
          <w:tcPr>
            <w:tcW w:w="1268" w:type="dxa"/>
            <w:vAlign w:val="center"/>
          </w:tcPr>
          <w:p w:rsidR="0064621B" w:rsidRPr="000140B3" w:rsidRDefault="0064621B" w:rsidP="0064679A">
            <w:pPr>
              <w:ind w:leftChars="-34" w:left="-116" w:rightChars="-32" w:right="-109"/>
              <w:jc w:val="center"/>
              <w:rPr>
                <w:rFonts w:ascii="Times New Roman"/>
                <w:sz w:val="28"/>
                <w:szCs w:val="28"/>
              </w:rPr>
            </w:pPr>
            <w:r w:rsidRPr="000140B3">
              <w:rPr>
                <w:rFonts w:ascii="Times New Roman"/>
                <w:w w:val="105"/>
                <w:sz w:val="28"/>
                <w:szCs w:val="28"/>
              </w:rPr>
              <w:t>109</w:t>
            </w:r>
            <w:r w:rsidRPr="000140B3">
              <w:rPr>
                <w:rFonts w:ascii="Times New Roman"/>
                <w:w w:val="105"/>
                <w:sz w:val="28"/>
                <w:szCs w:val="28"/>
              </w:rPr>
              <w:t>年底</w:t>
            </w:r>
          </w:p>
        </w:tc>
        <w:tc>
          <w:tcPr>
            <w:tcW w:w="1134" w:type="dxa"/>
            <w:vAlign w:val="center"/>
          </w:tcPr>
          <w:p w:rsidR="0064621B" w:rsidRPr="000140B3" w:rsidRDefault="0064621B" w:rsidP="00EC5AF2">
            <w:pPr>
              <w:jc w:val="center"/>
              <w:rPr>
                <w:rFonts w:ascii="Times New Roman"/>
                <w:sz w:val="28"/>
                <w:szCs w:val="28"/>
              </w:rPr>
            </w:pPr>
            <w:r w:rsidRPr="000140B3">
              <w:rPr>
                <w:rFonts w:ascii="Times New Roman"/>
                <w:sz w:val="28"/>
                <w:szCs w:val="28"/>
              </w:rPr>
              <w:t>15,088</w:t>
            </w:r>
          </w:p>
        </w:tc>
        <w:tc>
          <w:tcPr>
            <w:tcW w:w="2835" w:type="dxa"/>
            <w:vAlign w:val="center"/>
          </w:tcPr>
          <w:p w:rsidR="0064621B" w:rsidRPr="000140B3" w:rsidRDefault="0064621B" w:rsidP="0064679A">
            <w:pPr>
              <w:ind w:leftChars="-31" w:left="-105" w:rightChars="-32" w:right="-109"/>
              <w:jc w:val="center"/>
              <w:rPr>
                <w:rFonts w:ascii="Times New Roman"/>
                <w:sz w:val="28"/>
                <w:szCs w:val="28"/>
              </w:rPr>
            </w:pPr>
            <w:r w:rsidRPr="000140B3">
              <w:rPr>
                <w:rFonts w:ascii="Times New Roman"/>
                <w:sz w:val="28"/>
                <w:szCs w:val="28"/>
              </w:rPr>
              <w:t>38,492</w:t>
            </w:r>
          </w:p>
        </w:tc>
        <w:tc>
          <w:tcPr>
            <w:tcW w:w="5103" w:type="dxa"/>
            <w:vAlign w:val="center"/>
          </w:tcPr>
          <w:p w:rsidR="0064621B" w:rsidRPr="000140B3" w:rsidRDefault="0064621B" w:rsidP="00EC5AF2">
            <w:pPr>
              <w:jc w:val="center"/>
              <w:rPr>
                <w:rFonts w:ascii="Times New Roman"/>
                <w:sz w:val="28"/>
                <w:szCs w:val="28"/>
              </w:rPr>
            </w:pPr>
            <w:r w:rsidRPr="000140B3">
              <w:rPr>
                <w:rFonts w:ascii="Times New Roman"/>
                <w:sz w:val="28"/>
                <w:szCs w:val="28"/>
              </w:rPr>
              <w:t>39.2%</w:t>
            </w:r>
          </w:p>
        </w:tc>
      </w:tr>
      <w:tr w:rsidR="0064621B" w:rsidRPr="000140B3" w:rsidTr="00EC5AF2">
        <w:trPr>
          <w:trHeight w:val="463"/>
          <w:jc w:val="center"/>
        </w:trPr>
        <w:tc>
          <w:tcPr>
            <w:tcW w:w="1268" w:type="dxa"/>
            <w:vAlign w:val="center"/>
          </w:tcPr>
          <w:p w:rsidR="0064621B" w:rsidRPr="000140B3" w:rsidRDefault="0064621B" w:rsidP="0064679A">
            <w:pPr>
              <w:ind w:leftChars="-34" w:left="-116" w:rightChars="-32" w:right="-109"/>
              <w:jc w:val="center"/>
              <w:rPr>
                <w:rFonts w:ascii="Times New Roman"/>
                <w:sz w:val="28"/>
                <w:szCs w:val="28"/>
              </w:rPr>
            </w:pPr>
            <w:r w:rsidRPr="000140B3">
              <w:rPr>
                <w:rFonts w:ascii="Times New Roman"/>
                <w:w w:val="105"/>
                <w:sz w:val="28"/>
                <w:szCs w:val="28"/>
              </w:rPr>
              <w:t>110</w:t>
            </w:r>
            <w:r w:rsidRPr="000140B3">
              <w:rPr>
                <w:rFonts w:ascii="Times New Roman"/>
                <w:w w:val="105"/>
                <w:sz w:val="28"/>
                <w:szCs w:val="28"/>
              </w:rPr>
              <w:t>年底</w:t>
            </w:r>
          </w:p>
        </w:tc>
        <w:tc>
          <w:tcPr>
            <w:tcW w:w="1134" w:type="dxa"/>
            <w:vAlign w:val="center"/>
          </w:tcPr>
          <w:p w:rsidR="0064621B" w:rsidRPr="000140B3" w:rsidRDefault="0064621B" w:rsidP="00EC5AF2">
            <w:pPr>
              <w:jc w:val="center"/>
              <w:rPr>
                <w:rFonts w:ascii="Times New Roman"/>
                <w:sz w:val="28"/>
                <w:szCs w:val="28"/>
              </w:rPr>
            </w:pPr>
            <w:r w:rsidRPr="000140B3">
              <w:rPr>
                <w:rFonts w:ascii="Times New Roman"/>
                <w:sz w:val="28"/>
                <w:szCs w:val="28"/>
              </w:rPr>
              <w:t>13,395</w:t>
            </w:r>
          </w:p>
        </w:tc>
        <w:tc>
          <w:tcPr>
            <w:tcW w:w="2835" w:type="dxa"/>
            <w:vAlign w:val="center"/>
          </w:tcPr>
          <w:p w:rsidR="0064621B" w:rsidRPr="000140B3" w:rsidRDefault="0064621B" w:rsidP="0064679A">
            <w:pPr>
              <w:ind w:leftChars="-31" w:left="-105" w:rightChars="-32" w:right="-109"/>
              <w:jc w:val="center"/>
              <w:rPr>
                <w:rFonts w:ascii="Times New Roman"/>
                <w:sz w:val="28"/>
                <w:szCs w:val="28"/>
              </w:rPr>
            </w:pPr>
            <w:r w:rsidRPr="000140B3">
              <w:rPr>
                <w:rFonts w:ascii="Times New Roman"/>
                <w:sz w:val="28"/>
                <w:szCs w:val="28"/>
              </w:rPr>
              <w:t>39,886</w:t>
            </w:r>
          </w:p>
        </w:tc>
        <w:tc>
          <w:tcPr>
            <w:tcW w:w="5103" w:type="dxa"/>
            <w:vAlign w:val="center"/>
          </w:tcPr>
          <w:p w:rsidR="0064621B" w:rsidRPr="000140B3" w:rsidRDefault="0064621B" w:rsidP="00EC5AF2">
            <w:pPr>
              <w:jc w:val="center"/>
              <w:rPr>
                <w:rFonts w:ascii="Times New Roman"/>
                <w:sz w:val="28"/>
                <w:szCs w:val="28"/>
              </w:rPr>
            </w:pPr>
            <w:r w:rsidRPr="000140B3">
              <w:rPr>
                <w:rFonts w:ascii="Times New Roman"/>
                <w:sz w:val="28"/>
                <w:szCs w:val="28"/>
              </w:rPr>
              <w:t>33.6%</w:t>
            </w:r>
          </w:p>
        </w:tc>
      </w:tr>
      <w:tr w:rsidR="0064621B" w:rsidRPr="000140B3" w:rsidTr="00EC5AF2">
        <w:trPr>
          <w:trHeight w:val="468"/>
          <w:jc w:val="center"/>
        </w:trPr>
        <w:tc>
          <w:tcPr>
            <w:tcW w:w="1268" w:type="dxa"/>
            <w:vAlign w:val="center"/>
          </w:tcPr>
          <w:p w:rsidR="0064621B" w:rsidRPr="000140B3" w:rsidRDefault="0064621B" w:rsidP="0064679A">
            <w:pPr>
              <w:ind w:leftChars="-34" w:left="-116" w:rightChars="-32" w:right="-109"/>
              <w:jc w:val="center"/>
              <w:rPr>
                <w:rFonts w:ascii="Times New Roman"/>
                <w:sz w:val="28"/>
                <w:szCs w:val="28"/>
              </w:rPr>
            </w:pPr>
            <w:r w:rsidRPr="000140B3">
              <w:rPr>
                <w:rFonts w:ascii="Times New Roman"/>
                <w:w w:val="110"/>
                <w:sz w:val="28"/>
                <w:szCs w:val="28"/>
              </w:rPr>
              <w:t>111</w:t>
            </w:r>
            <w:r w:rsidRPr="000140B3">
              <w:rPr>
                <w:rFonts w:ascii="Times New Roman"/>
                <w:w w:val="110"/>
                <w:sz w:val="28"/>
                <w:szCs w:val="28"/>
              </w:rPr>
              <w:t>年底</w:t>
            </w:r>
          </w:p>
        </w:tc>
        <w:tc>
          <w:tcPr>
            <w:tcW w:w="1134" w:type="dxa"/>
            <w:vAlign w:val="center"/>
          </w:tcPr>
          <w:p w:rsidR="0064621B" w:rsidRPr="000140B3" w:rsidRDefault="0064621B" w:rsidP="00EC5AF2">
            <w:pPr>
              <w:jc w:val="center"/>
              <w:rPr>
                <w:rFonts w:ascii="Times New Roman"/>
                <w:sz w:val="28"/>
                <w:szCs w:val="28"/>
              </w:rPr>
            </w:pPr>
            <w:r w:rsidRPr="000140B3">
              <w:rPr>
                <w:rFonts w:ascii="Times New Roman"/>
                <w:sz w:val="28"/>
                <w:szCs w:val="28"/>
              </w:rPr>
              <w:t>10,757</w:t>
            </w:r>
          </w:p>
        </w:tc>
        <w:tc>
          <w:tcPr>
            <w:tcW w:w="2835" w:type="dxa"/>
            <w:vAlign w:val="center"/>
          </w:tcPr>
          <w:p w:rsidR="0064621B" w:rsidRPr="000140B3" w:rsidRDefault="0064621B" w:rsidP="0064679A">
            <w:pPr>
              <w:ind w:leftChars="-31" w:left="-105" w:rightChars="-32" w:right="-109"/>
              <w:jc w:val="center"/>
              <w:rPr>
                <w:rFonts w:ascii="Times New Roman"/>
                <w:sz w:val="28"/>
                <w:szCs w:val="28"/>
              </w:rPr>
            </w:pPr>
            <w:r w:rsidRPr="000140B3">
              <w:rPr>
                <w:rFonts w:ascii="Times New Roman"/>
                <w:sz w:val="28"/>
                <w:szCs w:val="28"/>
              </w:rPr>
              <w:t>41,349</w:t>
            </w:r>
          </w:p>
        </w:tc>
        <w:tc>
          <w:tcPr>
            <w:tcW w:w="5103" w:type="dxa"/>
            <w:vAlign w:val="center"/>
          </w:tcPr>
          <w:p w:rsidR="0064621B" w:rsidRPr="000140B3" w:rsidRDefault="0064621B" w:rsidP="00EC5AF2">
            <w:pPr>
              <w:jc w:val="center"/>
              <w:rPr>
                <w:rFonts w:ascii="Times New Roman"/>
                <w:sz w:val="28"/>
                <w:szCs w:val="28"/>
              </w:rPr>
            </w:pPr>
            <w:r w:rsidRPr="000140B3">
              <w:rPr>
                <w:rFonts w:ascii="Times New Roman"/>
                <w:sz w:val="28"/>
                <w:szCs w:val="28"/>
              </w:rPr>
              <w:t>26.0%</w:t>
            </w:r>
          </w:p>
        </w:tc>
      </w:tr>
      <w:tr w:rsidR="0064621B" w:rsidRPr="000140B3" w:rsidTr="00EC5AF2">
        <w:trPr>
          <w:trHeight w:val="453"/>
          <w:jc w:val="center"/>
        </w:trPr>
        <w:tc>
          <w:tcPr>
            <w:tcW w:w="1268" w:type="dxa"/>
            <w:vAlign w:val="center"/>
          </w:tcPr>
          <w:p w:rsidR="0064621B" w:rsidRPr="000140B3" w:rsidRDefault="0064621B" w:rsidP="0064679A">
            <w:pPr>
              <w:ind w:leftChars="-34" w:left="-116" w:rightChars="-32" w:right="-109"/>
              <w:jc w:val="center"/>
              <w:rPr>
                <w:rFonts w:ascii="Times New Roman"/>
                <w:bCs/>
                <w:sz w:val="28"/>
                <w:szCs w:val="28"/>
              </w:rPr>
            </w:pPr>
            <w:r w:rsidRPr="000140B3">
              <w:rPr>
                <w:rFonts w:ascii="Times New Roman"/>
                <w:bCs/>
                <w:w w:val="110"/>
                <w:sz w:val="28"/>
                <w:szCs w:val="28"/>
              </w:rPr>
              <w:t>112</w:t>
            </w:r>
            <w:r w:rsidRPr="000140B3">
              <w:rPr>
                <w:rFonts w:ascii="Times New Roman"/>
                <w:bCs/>
                <w:w w:val="110"/>
                <w:sz w:val="28"/>
                <w:szCs w:val="28"/>
              </w:rPr>
              <w:t>年底</w:t>
            </w:r>
          </w:p>
        </w:tc>
        <w:tc>
          <w:tcPr>
            <w:tcW w:w="1134" w:type="dxa"/>
            <w:vAlign w:val="center"/>
          </w:tcPr>
          <w:p w:rsidR="0064621B" w:rsidRPr="000140B3" w:rsidRDefault="0064621B" w:rsidP="00EC5AF2">
            <w:pPr>
              <w:jc w:val="center"/>
              <w:rPr>
                <w:rFonts w:ascii="Times New Roman"/>
                <w:bCs/>
                <w:sz w:val="28"/>
                <w:szCs w:val="28"/>
              </w:rPr>
            </w:pPr>
            <w:r w:rsidRPr="000140B3">
              <w:rPr>
                <w:rFonts w:ascii="Times New Roman"/>
                <w:bCs/>
                <w:sz w:val="28"/>
                <w:szCs w:val="28"/>
              </w:rPr>
              <w:t>9,610</w:t>
            </w:r>
          </w:p>
        </w:tc>
        <w:tc>
          <w:tcPr>
            <w:tcW w:w="2835" w:type="dxa"/>
            <w:vAlign w:val="center"/>
          </w:tcPr>
          <w:p w:rsidR="0064621B" w:rsidRPr="000140B3" w:rsidRDefault="0064621B" w:rsidP="0064679A">
            <w:pPr>
              <w:ind w:leftChars="-31" w:left="-105" w:rightChars="-32" w:right="-109"/>
              <w:jc w:val="center"/>
              <w:rPr>
                <w:rFonts w:ascii="Times New Roman"/>
                <w:bCs/>
                <w:sz w:val="28"/>
                <w:szCs w:val="28"/>
              </w:rPr>
            </w:pPr>
            <w:r w:rsidRPr="000140B3">
              <w:rPr>
                <w:rFonts w:ascii="Times New Roman"/>
                <w:bCs/>
                <w:sz w:val="28"/>
                <w:szCs w:val="28"/>
              </w:rPr>
              <w:t>42,323</w:t>
            </w:r>
          </w:p>
        </w:tc>
        <w:tc>
          <w:tcPr>
            <w:tcW w:w="5103" w:type="dxa"/>
            <w:vAlign w:val="center"/>
          </w:tcPr>
          <w:p w:rsidR="0064621B" w:rsidRPr="000140B3" w:rsidRDefault="0064621B" w:rsidP="00EC5AF2">
            <w:pPr>
              <w:jc w:val="center"/>
              <w:rPr>
                <w:rFonts w:ascii="Times New Roman"/>
                <w:bCs/>
                <w:sz w:val="28"/>
                <w:szCs w:val="28"/>
              </w:rPr>
            </w:pPr>
            <w:r w:rsidRPr="000140B3">
              <w:rPr>
                <w:rFonts w:ascii="Times New Roman"/>
                <w:bCs/>
                <w:sz w:val="28"/>
                <w:szCs w:val="28"/>
              </w:rPr>
              <w:t>22.7%</w:t>
            </w:r>
          </w:p>
        </w:tc>
      </w:tr>
    </w:tbl>
    <w:p w:rsidR="0064621B" w:rsidRPr="000140B3" w:rsidRDefault="0064621B" w:rsidP="0064621B">
      <w:pPr>
        <w:pStyle w:val="5"/>
        <w:numPr>
          <w:ilvl w:val="0"/>
          <w:numId w:val="0"/>
        </w:numPr>
        <w:spacing w:afterLines="50" w:after="228"/>
        <w:ind w:leftChars="-208" w:left="-81" w:hangingChars="241" w:hanging="627"/>
        <w:rPr>
          <w:rFonts w:ascii="Times New Roman" w:hAnsi="Times New Roman"/>
          <w:sz w:val="24"/>
          <w:szCs w:val="24"/>
        </w:rPr>
      </w:pPr>
      <w:r w:rsidRPr="000140B3">
        <w:rPr>
          <w:rFonts w:ascii="Times New Roman" w:hAnsi="Times New Roman"/>
          <w:sz w:val="24"/>
          <w:szCs w:val="24"/>
        </w:rPr>
        <w:t>資料來源：金管會。</w:t>
      </w:r>
    </w:p>
    <w:p w:rsidR="0064621B" w:rsidRPr="000140B3" w:rsidRDefault="0064621B" w:rsidP="0064621B">
      <w:pPr>
        <w:pStyle w:val="5"/>
        <w:rPr>
          <w:rFonts w:ascii="Times New Roman" w:hAnsi="Times New Roman"/>
        </w:rPr>
      </w:pPr>
      <w:r w:rsidRPr="000140B3">
        <w:rPr>
          <w:rFonts w:ascii="Times New Roman" w:hAnsi="Times New Roman"/>
        </w:rPr>
        <w:t>本國銀行近</w:t>
      </w:r>
      <w:r w:rsidRPr="000140B3">
        <w:rPr>
          <w:rFonts w:ascii="Times New Roman" w:hAnsi="Times New Roman"/>
        </w:rPr>
        <w:t>3</w:t>
      </w:r>
      <w:r w:rsidRPr="000140B3">
        <w:rPr>
          <w:rFonts w:ascii="Times New Roman" w:hAnsi="Times New Roman"/>
        </w:rPr>
        <w:t>年對中國大陸</w:t>
      </w:r>
      <w:proofErr w:type="gramStart"/>
      <w:r w:rsidRPr="000140B3">
        <w:rPr>
          <w:rFonts w:ascii="Times New Roman" w:hAnsi="Times New Roman"/>
        </w:rPr>
        <w:t>之暴險概況</w:t>
      </w:r>
      <w:proofErr w:type="gramEnd"/>
      <w:r w:rsidRPr="000140B3">
        <w:rPr>
          <w:rFonts w:ascii="Times New Roman" w:hAnsi="Times New Roman"/>
        </w:rPr>
        <w:t>：</w:t>
      </w:r>
    </w:p>
    <w:p w:rsidR="0064621B" w:rsidRPr="000140B3" w:rsidRDefault="0064621B" w:rsidP="0064621B">
      <w:pPr>
        <w:pStyle w:val="6"/>
        <w:rPr>
          <w:rFonts w:ascii="Times New Roman" w:hAnsi="Times New Roman"/>
        </w:rPr>
      </w:pPr>
      <w:r w:rsidRPr="000140B3">
        <w:rPr>
          <w:rFonts w:ascii="Times New Roman" w:hAnsi="Times New Roman"/>
        </w:rPr>
        <w:t>110</w:t>
      </w:r>
      <w:r w:rsidRPr="000140B3">
        <w:rPr>
          <w:rFonts w:ascii="Times New Roman" w:hAnsi="Times New Roman"/>
        </w:rPr>
        <w:t>年：</w:t>
      </w:r>
    </w:p>
    <w:p w:rsidR="0064621B" w:rsidRPr="000140B3" w:rsidRDefault="0064621B" w:rsidP="0064621B">
      <w:pPr>
        <w:pStyle w:val="7"/>
        <w:rPr>
          <w:rFonts w:ascii="Times New Roman" w:hAnsi="Times New Roman"/>
        </w:rPr>
      </w:pPr>
      <w:r w:rsidRPr="000140B3">
        <w:rPr>
          <w:rFonts w:ascii="Times New Roman" w:hAnsi="Times New Roman"/>
        </w:rPr>
        <w:t>於</w:t>
      </w:r>
      <w:proofErr w:type="gramStart"/>
      <w:r w:rsidRPr="000140B3">
        <w:rPr>
          <w:rFonts w:ascii="Times New Roman" w:hAnsi="Times New Roman"/>
        </w:rPr>
        <w:t>中國大陸暴險金額</w:t>
      </w:r>
      <w:proofErr w:type="gramEnd"/>
      <w:r w:rsidRPr="000140B3">
        <w:rPr>
          <w:rFonts w:ascii="Times New Roman" w:hAnsi="Times New Roman"/>
        </w:rPr>
        <w:t>前</w:t>
      </w:r>
      <w:r w:rsidRPr="000140B3">
        <w:rPr>
          <w:rFonts w:ascii="Times New Roman" w:hAnsi="Times New Roman"/>
        </w:rPr>
        <w:t>3</w:t>
      </w:r>
      <w:r w:rsidRPr="000140B3">
        <w:rPr>
          <w:rFonts w:ascii="Times New Roman" w:hAnsi="Times New Roman"/>
        </w:rPr>
        <w:t>高之國內銀行：</w:t>
      </w:r>
    </w:p>
    <w:p w:rsidR="0064621B" w:rsidRPr="000140B3" w:rsidRDefault="0064621B" w:rsidP="0064621B">
      <w:pPr>
        <w:pStyle w:val="8"/>
        <w:rPr>
          <w:rFonts w:ascii="Times New Roman" w:hAnsi="Times New Roman"/>
        </w:rPr>
      </w:pPr>
      <w:r w:rsidRPr="000140B3">
        <w:rPr>
          <w:rFonts w:ascii="Times New Roman" w:hAnsi="Times New Roman"/>
        </w:rPr>
        <w:t>中國信託商業銀行</w:t>
      </w:r>
      <w:r w:rsidR="00B449AB" w:rsidRPr="000140B3">
        <w:rPr>
          <w:rFonts w:ascii="Times New Roman" w:hAnsi="Times New Roman" w:hint="eastAsia"/>
        </w:rPr>
        <w:t>股份有限公司</w:t>
      </w:r>
      <w:r w:rsidRPr="000140B3">
        <w:rPr>
          <w:rFonts w:ascii="Times New Roman" w:hAnsi="Times New Roman"/>
        </w:rPr>
        <w:t>(</w:t>
      </w:r>
      <w:r w:rsidRPr="000140B3">
        <w:rPr>
          <w:rFonts w:ascii="Times New Roman" w:hAnsi="Times New Roman"/>
        </w:rPr>
        <w:t>下稱中國信託</w:t>
      </w:r>
      <w:r w:rsidRPr="000140B3">
        <w:rPr>
          <w:rFonts w:ascii="Times New Roman" w:hAnsi="Times New Roman"/>
        </w:rPr>
        <w:t>)185,180</w:t>
      </w:r>
      <w:r w:rsidRPr="000140B3">
        <w:rPr>
          <w:rFonts w:ascii="Times New Roman" w:hAnsi="Times New Roman"/>
        </w:rPr>
        <w:t>百萬元。</w:t>
      </w:r>
    </w:p>
    <w:p w:rsidR="0064621B" w:rsidRPr="000140B3" w:rsidRDefault="0064621B" w:rsidP="0064621B">
      <w:pPr>
        <w:pStyle w:val="8"/>
        <w:rPr>
          <w:rFonts w:ascii="Times New Roman" w:hAnsi="Times New Roman"/>
        </w:rPr>
      </w:pPr>
      <w:r w:rsidRPr="000140B3">
        <w:rPr>
          <w:rFonts w:ascii="Times New Roman" w:hAnsi="Times New Roman"/>
        </w:rPr>
        <w:t>國泰</w:t>
      </w:r>
      <w:proofErr w:type="gramStart"/>
      <w:r w:rsidRPr="000140B3">
        <w:rPr>
          <w:rFonts w:ascii="Times New Roman" w:hAnsi="Times New Roman"/>
        </w:rPr>
        <w:t>世</w:t>
      </w:r>
      <w:proofErr w:type="gramEnd"/>
      <w:r w:rsidRPr="000140B3">
        <w:rPr>
          <w:rFonts w:ascii="Times New Roman" w:hAnsi="Times New Roman"/>
        </w:rPr>
        <w:t>華商業銀行</w:t>
      </w:r>
      <w:r w:rsidR="00B449AB" w:rsidRPr="000140B3">
        <w:rPr>
          <w:rFonts w:ascii="Times New Roman" w:hAnsi="Times New Roman" w:hint="eastAsia"/>
        </w:rPr>
        <w:t>股份有限公司</w:t>
      </w:r>
      <w:r w:rsidRPr="000140B3">
        <w:rPr>
          <w:rFonts w:ascii="Times New Roman" w:hAnsi="Times New Roman"/>
        </w:rPr>
        <w:t>(</w:t>
      </w:r>
      <w:r w:rsidRPr="000140B3">
        <w:rPr>
          <w:rFonts w:ascii="Times New Roman" w:hAnsi="Times New Roman"/>
        </w:rPr>
        <w:t>下稱國泰世華</w:t>
      </w:r>
      <w:r w:rsidRPr="000140B3">
        <w:rPr>
          <w:rFonts w:ascii="Times New Roman" w:hAnsi="Times New Roman"/>
        </w:rPr>
        <w:t>)114,499</w:t>
      </w:r>
      <w:r w:rsidRPr="000140B3">
        <w:rPr>
          <w:rFonts w:ascii="Times New Roman" w:hAnsi="Times New Roman"/>
        </w:rPr>
        <w:t>百萬元。</w:t>
      </w:r>
    </w:p>
    <w:p w:rsidR="0064621B" w:rsidRPr="000140B3" w:rsidRDefault="0064621B" w:rsidP="0064621B">
      <w:pPr>
        <w:pStyle w:val="8"/>
        <w:rPr>
          <w:rFonts w:ascii="Times New Roman" w:hAnsi="Times New Roman"/>
        </w:rPr>
      </w:pPr>
      <w:r w:rsidRPr="000140B3">
        <w:rPr>
          <w:rFonts w:ascii="Times New Roman" w:hAnsi="Times New Roman"/>
        </w:rPr>
        <w:t>台北富邦商業銀行</w:t>
      </w:r>
      <w:r w:rsidR="00B449AB" w:rsidRPr="000140B3">
        <w:rPr>
          <w:rFonts w:ascii="Times New Roman" w:hAnsi="Times New Roman" w:hint="eastAsia"/>
        </w:rPr>
        <w:t>股份有限公司</w:t>
      </w:r>
      <w:r w:rsidRPr="000140B3">
        <w:rPr>
          <w:rFonts w:ascii="Times New Roman" w:hAnsi="Times New Roman"/>
        </w:rPr>
        <w:t>(</w:t>
      </w:r>
      <w:r w:rsidRPr="000140B3">
        <w:rPr>
          <w:rFonts w:ascii="Times New Roman" w:hAnsi="Times New Roman"/>
        </w:rPr>
        <w:t>下稱台北富邦</w:t>
      </w:r>
      <w:r w:rsidRPr="000140B3">
        <w:rPr>
          <w:rFonts w:ascii="Times New Roman" w:hAnsi="Times New Roman"/>
        </w:rPr>
        <w:t>)111,307</w:t>
      </w:r>
      <w:r w:rsidRPr="000140B3">
        <w:rPr>
          <w:rFonts w:ascii="Times New Roman" w:hAnsi="Times New Roman"/>
        </w:rPr>
        <w:t>百萬元。</w:t>
      </w:r>
    </w:p>
    <w:p w:rsidR="0064621B" w:rsidRPr="000140B3" w:rsidRDefault="0064621B" w:rsidP="0064621B">
      <w:pPr>
        <w:pStyle w:val="7"/>
        <w:rPr>
          <w:rFonts w:ascii="Times New Roman" w:hAnsi="Times New Roman"/>
        </w:rPr>
      </w:pPr>
      <w:r w:rsidRPr="000140B3">
        <w:rPr>
          <w:rFonts w:ascii="Times New Roman" w:hAnsi="Times New Roman"/>
        </w:rPr>
        <w:t>於</w:t>
      </w:r>
      <w:proofErr w:type="gramStart"/>
      <w:r w:rsidRPr="000140B3">
        <w:rPr>
          <w:rFonts w:ascii="Times New Roman" w:hAnsi="Times New Roman"/>
        </w:rPr>
        <w:t>中國大陸暴險總額</w:t>
      </w:r>
      <w:proofErr w:type="gramEnd"/>
      <w:r w:rsidRPr="000140B3">
        <w:rPr>
          <w:rFonts w:ascii="Times New Roman" w:hAnsi="Times New Roman"/>
        </w:rPr>
        <w:t>占上年度決算後淨值百分比前</w:t>
      </w:r>
      <w:r w:rsidRPr="000140B3">
        <w:rPr>
          <w:rFonts w:ascii="Times New Roman" w:hAnsi="Times New Roman"/>
        </w:rPr>
        <w:t>3</w:t>
      </w:r>
      <w:r w:rsidRPr="000140B3">
        <w:rPr>
          <w:rFonts w:ascii="Times New Roman" w:hAnsi="Times New Roman"/>
        </w:rPr>
        <w:t>高之國內銀行：</w:t>
      </w:r>
    </w:p>
    <w:p w:rsidR="0064621B" w:rsidRPr="000140B3" w:rsidRDefault="0064621B" w:rsidP="0064621B">
      <w:pPr>
        <w:pStyle w:val="8"/>
        <w:rPr>
          <w:rFonts w:ascii="Times New Roman" w:hAnsi="Times New Roman"/>
        </w:rPr>
      </w:pPr>
      <w:r w:rsidRPr="000140B3">
        <w:rPr>
          <w:rFonts w:ascii="Times New Roman" w:hAnsi="Times New Roman"/>
        </w:rPr>
        <w:t>中國信託占比：</w:t>
      </w:r>
      <w:r w:rsidRPr="000140B3">
        <w:rPr>
          <w:rFonts w:ascii="Times New Roman" w:hAnsi="Times New Roman"/>
        </w:rPr>
        <w:t>63%</w:t>
      </w:r>
      <w:r w:rsidRPr="000140B3">
        <w:rPr>
          <w:rFonts w:ascii="Times New Roman" w:hAnsi="Times New Roman"/>
        </w:rPr>
        <w:t>。</w:t>
      </w:r>
    </w:p>
    <w:p w:rsidR="0064621B" w:rsidRPr="000140B3" w:rsidRDefault="0064621B" w:rsidP="0064621B">
      <w:pPr>
        <w:pStyle w:val="8"/>
        <w:rPr>
          <w:rFonts w:ascii="Times New Roman" w:hAnsi="Times New Roman"/>
        </w:rPr>
      </w:pPr>
      <w:r w:rsidRPr="000140B3">
        <w:rPr>
          <w:rFonts w:ascii="Times New Roman" w:hAnsi="Times New Roman"/>
        </w:rPr>
        <w:t>永豐商業銀行</w:t>
      </w:r>
      <w:r w:rsidR="00B449AB" w:rsidRPr="000140B3">
        <w:rPr>
          <w:rFonts w:ascii="Times New Roman" w:hAnsi="Times New Roman" w:hint="eastAsia"/>
        </w:rPr>
        <w:t>股份有限公司</w:t>
      </w:r>
      <w:r w:rsidRPr="000140B3">
        <w:rPr>
          <w:rFonts w:ascii="Times New Roman" w:hAnsi="Times New Roman"/>
        </w:rPr>
        <w:t>(</w:t>
      </w:r>
      <w:r w:rsidRPr="000140B3">
        <w:rPr>
          <w:rFonts w:ascii="Times New Roman" w:hAnsi="Times New Roman"/>
        </w:rPr>
        <w:t>下稱永豐銀</w:t>
      </w:r>
      <w:r w:rsidRPr="000140B3">
        <w:rPr>
          <w:rFonts w:ascii="Times New Roman" w:hAnsi="Times New Roman"/>
        </w:rPr>
        <w:lastRenderedPageBreak/>
        <w:t>行</w:t>
      </w:r>
      <w:r w:rsidRPr="000140B3">
        <w:rPr>
          <w:rFonts w:ascii="Times New Roman" w:hAnsi="Times New Roman"/>
        </w:rPr>
        <w:t>)</w:t>
      </w:r>
      <w:r w:rsidRPr="000140B3">
        <w:rPr>
          <w:rFonts w:ascii="Times New Roman" w:hAnsi="Times New Roman"/>
        </w:rPr>
        <w:t>占比：</w:t>
      </w:r>
      <w:r w:rsidRPr="000140B3">
        <w:rPr>
          <w:rFonts w:ascii="Times New Roman" w:hAnsi="Times New Roman"/>
        </w:rPr>
        <w:t>57%</w:t>
      </w:r>
      <w:r w:rsidRPr="000140B3">
        <w:rPr>
          <w:rFonts w:ascii="Times New Roman" w:hAnsi="Times New Roman"/>
        </w:rPr>
        <w:t>。</w:t>
      </w:r>
    </w:p>
    <w:p w:rsidR="0064621B" w:rsidRPr="000140B3" w:rsidRDefault="0064621B" w:rsidP="0064621B">
      <w:pPr>
        <w:pStyle w:val="8"/>
        <w:rPr>
          <w:rFonts w:ascii="Times New Roman" w:hAnsi="Times New Roman"/>
        </w:rPr>
      </w:pPr>
      <w:r w:rsidRPr="000140B3">
        <w:rPr>
          <w:rFonts w:ascii="Times New Roman" w:hAnsi="Times New Roman"/>
        </w:rPr>
        <w:t>玉山商業銀行</w:t>
      </w:r>
      <w:r w:rsidR="00B449AB" w:rsidRPr="000140B3">
        <w:rPr>
          <w:rFonts w:ascii="Times New Roman" w:hAnsi="Times New Roman" w:hint="eastAsia"/>
        </w:rPr>
        <w:t>股份有限公司</w:t>
      </w:r>
      <w:r w:rsidRPr="000140B3">
        <w:rPr>
          <w:rFonts w:ascii="Times New Roman" w:hAnsi="Times New Roman"/>
        </w:rPr>
        <w:t>(</w:t>
      </w:r>
      <w:r w:rsidRPr="000140B3">
        <w:rPr>
          <w:rFonts w:ascii="Times New Roman" w:hAnsi="Times New Roman"/>
        </w:rPr>
        <w:t>下稱玉山銀行</w:t>
      </w:r>
      <w:r w:rsidRPr="000140B3">
        <w:rPr>
          <w:rFonts w:ascii="Times New Roman" w:hAnsi="Times New Roman"/>
        </w:rPr>
        <w:t>)</w:t>
      </w:r>
      <w:r w:rsidRPr="000140B3">
        <w:rPr>
          <w:rFonts w:ascii="Times New Roman" w:hAnsi="Times New Roman"/>
        </w:rPr>
        <w:t>、</w:t>
      </w:r>
      <w:proofErr w:type="gramStart"/>
      <w:r w:rsidRPr="000140B3">
        <w:rPr>
          <w:rFonts w:ascii="Times New Roman" w:hAnsi="Times New Roman"/>
        </w:rPr>
        <w:t>凱</w:t>
      </w:r>
      <w:proofErr w:type="gramEnd"/>
      <w:r w:rsidRPr="000140B3">
        <w:rPr>
          <w:rFonts w:ascii="Times New Roman" w:hAnsi="Times New Roman"/>
        </w:rPr>
        <w:t>基商業銀行</w:t>
      </w:r>
      <w:r w:rsidR="00B449AB" w:rsidRPr="000140B3">
        <w:rPr>
          <w:rFonts w:ascii="Times New Roman" w:hAnsi="Times New Roman" w:hint="eastAsia"/>
        </w:rPr>
        <w:t>股份有限公司</w:t>
      </w:r>
      <w:r w:rsidRPr="000140B3">
        <w:rPr>
          <w:rFonts w:ascii="Times New Roman" w:hAnsi="Times New Roman"/>
        </w:rPr>
        <w:t>(</w:t>
      </w:r>
      <w:r w:rsidRPr="000140B3">
        <w:rPr>
          <w:rFonts w:ascii="Times New Roman" w:hAnsi="Times New Roman"/>
        </w:rPr>
        <w:t>下稱凱基銀行</w:t>
      </w:r>
      <w:r w:rsidRPr="000140B3">
        <w:rPr>
          <w:rFonts w:ascii="Times New Roman" w:hAnsi="Times New Roman"/>
        </w:rPr>
        <w:t>)</w:t>
      </w:r>
      <w:r w:rsidRPr="000140B3">
        <w:rPr>
          <w:rFonts w:ascii="Times New Roman" w:hAnsi="Times New Roman"/>
        </w:rPr>
        <w:t>占</w:t>
      </w:r>
      <w:proofErr w:type="gramStart"/>
      <w:r w:rsidRPr="000140B3">
        <w:rPr>
          <w:rFonts w:ascii="Times New Roman" w:hAnsi="Times New Roman"/>
        </w:rPr>
        <w:t>比均</w:t>
      </w:r>
      <w:proofErr w:type="gramEnd"/>
      <w:r w:rsidRPr="000140B3">
        <w:rPr>
          <w:rFonts w:ascii="Times New Roman" w:hAnsi="Times New Roman"/>
        </w:rPr>
        <w:t>為：</w:t>
      </w:r>
      <w:r w:rsidRPr="000140B3">
        <w:rPr>
          <w:rFonts w:ascii="Times New Roman" w:hAnsi="Times New Roman"/>
        </w:rPr>
        <w:t>55%</w:t>
      </w:r>
      <w:r w:rsidRPr="000140B3">
        <w:rPr>
          <w:rFonts w:ascii="Times New Roman" w:hAnsi="Times New Roman"/>
        </w:rPr>
        <w:t>。</w:t>
      </w:r>
    </w:p>
    <w:p w:rsidR="0064621B" w:rsidRPr="000140B3" w:rsidRDefault="0064621B" w:rsidP="0064621B">
      <w:pPr>
        <w:pStyle w:val="6"/>
        <w:rPr>
          <w:rFonts w:ascii="Times New Roman" w:hAnsi="Times New Roman"/>
        </w:rPr>
      </w:pPr>
      <w:r w:rsidRPr="000140B3">
        <w:rPr>
          <w:rFonts w:ascii="Times New Roman" w:hAnsi="Times New Roman"/>
        </w:rPr>
        <w:t>111</w:t>
      </w:r>
      <w:r w:rsidRPr="000140B3">
        <w:rPr>
          <w:rFonts w:ascii="Times New Roman" w:hAnsi="Times New Roman"/>
        </w:rPr>
        <w:t>年：</w:t>
      </w:r>
    </w:p>
    <w:p w:rsidR="0064621B" w:rsidRPr="000140B3" w:rsidRDefault="0064621B" w:rsidP="0064621B">
      <w:pPr>
        <w:pStyle w:val="7"/>
        <w:rPr>
          <w:rFonts w:ascii="Times New Roman" w:hAnsi="Times New Roman"/>
        </w:rPr>
      </w:pPr>
      <w:r w:rsidRPr="000140B3">
        <w:rPr>
          <w:rFonts w:ascii="Times New Roman" w:hAnsi="Times New Roman"/>
        </w:rPr>
        <w:t>於</w:t>
      </w:r>
      <w:proofErr w:type="gramStart"/>
      <w:r w:rsidRPr="000140B3">
        <w:rPr>
          <w:rFonts w:ascii="Times New Roman" w:hAnsi="Times New Roman"/>
        </w:rPr>
        <w:t>中國大陸暴險金額</w:t>
      </w:r>
      <w:proofErr w:type="gramEnd"/>
      <w:r w:rsidRPr="000140B3">
        <w:rPr>
          <w:rFonts w:ascii="Times New Roman" w:hAnsi="Times New Roman"/>
        </w:rPr>
        <w:t>前</w:t>
      </w:r>
      <w:r w:rsidRPr="000140B3">
        <w:rPr>
          <w:rFonts w:ascii="Times New Roman" w:hAnsi="Times New Roman"/>
        </w:rPr>
        <w:t>3</w:t>
      </w:r>
      <w:r w:rsidRPr="000140B3">
        <w:rPr>
          <w:rFonts w:ascii="Times New Roman" w:hAnsi="Times New Roman"/>
        </w:rPr>
        <w:t>高之國內銀行：</w:t>
      </w:r>
    </w:p>
    <w:p w:rsidR="0064621B" w:rsidRPr="000140B3" w:rsidRDefault="0064621B" w:rsidP="0064621B">
      <w:pPr>
        <w:pStyle w:val="8"/>
        <w:rPr>
          <w:rFonts w:ascii="Times New Roman" w:hAnsi="Times New Roman"/>
        </w:rPr>
      </w:pPr>
      <w:r w:rsidRPr="000140B3">
        <w:rPr>
          <w:rFonts w:ascii="Times New Roman" w:hAnsi="Times New Roman"/>
        </w:rPr>
        <w:t>中國信託</w:t>
      </w:r>
      <w:r w:rsidRPr="000140B3">
        <w:rPr>
          <w:rFonts w:ascii="Times New Roman" w:hAnsi="Times New Roman"/>
        </w:rPr>
        <w:t>170,162</w:t>
      </w:r>
      <w:r w:rsidRPr="000140B3">
        <w:rPr>
          <w:rFonts w:ascii="Times New Roman" w:hAnsi="Times New Roman"/>
        </w:rPr>
        <w:t>百萬元。</w:t>
      </w:r>
    </w:p>
    <w:p w:rsidR="0064621B" w:rsidRPr="000140B3" w:rsidRDefault="0064621B" w:rsidP="0064621B">
      <w:pPr>
        <w:pStyle w:val="8"/>
        <w:rPr>
          <w:rFonts w:ascii="Times New Roman" w:hAnsi="Times New Roman"/>
        </w:rPr>
      </w:pPr>
      <w:r w:rsidRPr="000140B3">
        <w:rPr>
          <w:rFonts w:ascii="Times New Roman" w:hAnsi="Times New Roman"/>
        </w:rPr>
        <w:t>台北富邦</w:t>
      </w:r>
      <w:r w:rsidRPr="000140B3">
        <w:rPr>
          <w:rFonts w:ascii="Times New Roman" w:hAnsi="Times New Roman"/>
        </w:rPr>
        <w:t>93,103</w:t>
      </w:r>
      <w:r w:rsidRPr="000140B3">
        <w:rPr>
          <w:rFonts w:ascii="Times New Roman" w:hAnsi="Times New Roman"/>
        </w:rPr>
        <w:t>百萬元。</w:t>
      </w:r>
    </w:p>
    <w:p w:rsidR="0064621B" w:rsidRPr="000140B3" w:rsidRDefault="0064621B" w:rsidP="0064621B">
      <w:pPr>
        <w:pStyle w:val="8"/>
        <w:rPr>
          <w:rFonts w:ascii="Times New Roman" w:hAnsi="Times New Roman"/>
        </w:rPr>
      </w:pPr>
      <w:r w:rsidRPr="000140B3">
        <w:rPr>
          <w:rFonts w:ascii="Times New Roman" w:hAnsi="Times New Roman"/>
        </w:rPr>
        <w:t>玉山銀行</w:t>
      </w:r>
      <w:r w:rsidRPr="000140B3">
        <w:rPr>
          <w:rFonts w:ascii="Times New Roman" w:hAnsi="Times New Roman"/>
        </w:rPr>
        <w:t>84,247</w:t>
      </w:r>
      <w:r w:rsidRPr="000140B3">
        <w:rPr>
          <w:rFonts w:ascii="Times New Roman" w:hAnsi="Times New Roman"/>
        </w:rPr>
        <w:t>百萬元。</w:t>
      </w:r>
    </w:p>
    <w:p w:rsidR="0064621B" w:rsidRPr="000140B3" w:rsidRDefault="0064621B" w:rsidP="0064621B">
      <w:pPr>
        <w:pStyle w:val="7"/>
        <w:rPr>
          <w:rFonts w:ascii="Times New Roman" w:hAnsi="Times New Roman"/>
        </w:rPr>
      </w:pPr>
      <w:r w:rsidRPr="000140B3">
        <w:rPr>
          <w:rFonts w:ascii="Times New Roman" w:hAnsi="Times New Roman"/>
        </w:rPr>
        <w:t>於</w:t>
      </w:r>
      <w:proofErr w:type="gramStart"/>
      <w:r w:rsidRPr="000140B3">
        <w:rPr>
          <w:rFonts w:ascii="Times New Roman" w:hAnsi="Times New Roman"/>
        </w:rPr>
        <w:t>中國大陸暴險總額</w:t>
      </w:r>
      <w:proofErr w:type="gramEnd"/>
      <w:r w:rsidRPr="000140B3">
        <w:rPr>
          <w:rFonts w:ascii="Times New Roman" w:hAnsi="Times New Roman"/>
        </w:rPr>
        <w:t>占上年度決算後淨值百分比前</w:t>
      </w:r>
      <w:r w:rsidRPr="000140B3">
        <w:rPr>
          <w:rFonts w:ascii="Times New Roman" w:hAnsi="Times New Roman"/>
        </w:rPr>
        <w:t>3</w:t>
      </w:r>
      <w:r w:rsidRPr="000140B3">
        <w:rPr>
          <w:rFonts w:ascii="Times New Roman" w:hAnsi="Times New Roman"/>
        </w:rPr>
        <w:t>高之國內銀行：</w:t>
      </w:r>
    </w:p>
    <w:p w:rsidR="0064621B" w:rsidRPr="000140B3" w:rsidRDefault="0064621B" w:rsidP="0064621B">
      <w:pPr>
        <w:pStyle w:val="8"/>
        <w:rPr>
          <w:rFonts w:ascii="Times New Roman" w:hAnsi="Times New Roman"/>
        </w:rPr>
      </w:pPr>
      <w:r w:rsidRPr="000140B3">
        <w:rPr>
          <w:rFonts w:ascii="Times New Roman" w:hAnsi="Times New Roman"/>
        </w:rPr>
        <w:t>中國信託占比：</w:t>
      </w:r>
      <w:r w:rsidRPr="000140B3">
        <w:rPr>
          <w:rFonts w:ascii="Times New Roman" w:hAnsi="Times New Roman"/>
        </w:rPr>
        <w:t>56%</w:t>
      </w:r>
      <w:r w:rsidRPr="000140B3">
        <w:rPr>
          <w:rFonts w:ascii="Times New Roman" w:hAnsi="Times New Roman"/>
        </w:rPr>
        <w:t>。</w:t>
      </w:r>
    </w:p>
    <w:p w:rsidR="0064621B" w:rsidRPr="000140B3" w:rsidRDefault="0064621B" w:rsidP="0064621B">
      <w:pPr>
        <w:pStyle w:val="8"/>
        <w:rPr>
          <w:rFonts w:ascii="Times New Roman" w:hAnsi="Times New Roman"/>
        </w:rPr>
      </w:pPr>
      <w:proofErr w:type="gramStart"/>
      <w:r w:rsidRPr="000140B3">
        <w:rPr>
          <w:rFonts w:ascii="Times New Roman" w:hAnsi="Times New Roman"/>
        </w:rPr>
        <w:t>凱</w:t>
      </w:r>
      <w:proofErr w:type="gramEnd"/>
      <w:r w:rsidRPr="000140B3">
        <w:rPr>
          <w:rFonts w:ascii="Times New Roman" w:hAnsi="Times New Roman"/>
        </w:rPr>
        <w:t>基銀行占比：</w:t>
      </w:r>
      <w:r w:rsidRPr="000140B3">
        <w:rPr>
          <w:rFonts w:ascii="Times New Roman" w:hAnsi="Times New Roman"/>
        </w:rPr>
        <w:t>52%</w:t>
      </w:r>
      <w:r w:rsidRPr="000140B3">
        <w:rPr>
          <w:rFonts w:ascii="Times New Roman" w:hAnsi="Times New Roman"/>
        </w:rPr>
        <w:t>。</w:t>
      </w:r>
    </w:p>
    <w:p w:rsidR="0064621B" w:rsidRPr="000140B3" w:rsidRDefault="0064621B" w:rsidP="0064621B">
      <w:pPr>
        <w:pStyle w:val="8"/>
        <w:rPr>
          <w:rFonts w:ascii="Times New Roman" w:hAnsi="Times New Roman"/>
        </w:rPr>
      </w:pPr>
      <w:r w:rsidRPr="000140B3">
        <w:rPr>
          <w:rFonts w:ascii="Times New Roman" w:hAnsi="Times New Roman"/>
        </w:rPr>
        <w:t>永豐銀行占比：</w:t>
      </w:r>
      <w:r w:rsidRPr="000140B3">
        <w:rPr>
          <w:rFonts w:ascii="Times New Roman" w:hAnsi="Times New Roman"/>
        </w:rPr>
        <w:t>49%</w:t>
      </w:r>
      <w:r w:rsidRPr="000140B3">
        <w:rPr>
          <w:rFonts w:ascii="Times New Roman" w:hAnsi="Times New Roman"/>
        </w:rPr>
        <w:t>。</w:t>
      </w:r>
    </w:p>
    <w:p w:rsidR="0064621B" w:rsidRPr="000140B3" w:rsidRDefault="0064621B" w:rsidP="0064621B">
      <w:pPr>
        <w:pStyle w:val="6"/>
        <w:rPr>
          <w:rFonts w:ascii="Times New Roman" w:hAnsi="Times New Roman"/>
        </w:rPr>
      </w:pPr>
      <w:r w:rsidRPr="000140B3">
        <w:rPr>
          <w:rFonts w:ascii="Times New Roman" w:hAnsi="Times New Roman"/>
        </w:rPr>
        <w:t>112</w:t>
      </w:r>
      <w:r w:rsidRPr="000140B3">
        <w:rPr>
          <w:rFonts w:ascii="Times New Roman" w:hAnsi="Times New Roman"/>
        </w:rPr>
        <w:t>年：</w:t>
      </w:r>
    </w:p>
    <w:p w:rsidR="0064621B" w:rsidRPr="000140B3" w:rsidRDefault="0064621B" w:rsidP="0064621B">
      <w:pPr>
        <w:pStyle w:val="7"/>
        <w:rPr>
          <w:rFonts w:ascii="Times New Roman" w:hAnsi="Times New Roman"/>
        </w:rPr>
      </w:pPr>
      <w:r w:rsidRPr="000140B3">
        <w:rPr>
          <w:rFonts w:ascii="Times New Roman" w:hAnsi="Times New Roman"/>
        </w:rPr>
        <w:t>於</w:t>
      </w:r>
      <w:proofErr w:type="gramStart"/>
      <w:r w:rsidRPr="000140B3">
        <w:rPr>
          <w:rFonts w:ascii="Times New Roman" w:hAnsi="Times New Roman"/>
        </w:rPr>
        <w:t>中國大陸暴險金額</w:t>
      </w:r>
      <w:proofErr w:type="gramEnd"/>
      <w:r w:rsidRPr="000140B3">
        <w:rPr>
          <w:rFonts w:ascii="Times New Roman" w:hAnsi="Times New Roman"/>
        </w:rPr>
        <w:t>前</w:t>
      </w:r>
      <w:r w:rsidRPr="000140B3">
        <w:rPr>
          <w:rFonts w:ascii="Times New Roman" w:hAnsi="Times New Roman"/>
        </w:rPr>
        <w:t>3</w:t>
      </w:r>
      <w:r w:rsidRPr="000140B3">
        <w:rPr>
          <w:rFonts w:ascii="Times New Roman" w:hAnsi="Times New Roman"/>
        </w:rPr>
        <w:t>高之國內銀行：</w:t>
      </w:r>
    </w:p>
    <w:p w:rsidR="0064621B" w:rsidRPr="000140B3" w:rsidRDefault="0064621B" w:rsidP="0064621B">
      <w:pPr>
        <w:pStyle w:val="8"/>
        <w:rPr>
          <w:rFonts w:ascii="Times New Roman" w:hAnsi="Times New Roman"/>
        </w:rPr>
      </w:pPr>
      <w:r w:rsidRPr="000140B3">
        <w:rPr>
          <w:rFonts w:ascii="Times New Roman" w:hAnsi="Times New Roman"/>
        </w:rPr>
        <w:t>中國信託</w:t>
      </w:r>
      <w:r w:rsidRPr="000140B3">
        <w:rPr>
          <w:rFonts w:ascii="Times New Roman" w:hAnsi="Times New Roman"/>
        </w:rPr>
        <w:t>211,972</w:t>
      </w:r>
      <w:r w:rsidRPr="000140B3">
        <w:rPr>
          <w:rFonts w:ascii="Times New Roman" w:hAnsi="Times New Roman"/>
        </w:rPr>
        <w:t>百萬元。</w:t>
      </w:r>
    </w:p>
    <w:p w:rsidR="0064621B" w:rsidRPr="000140B3" w:rsidRDefault="0064621B" w:rsidP="0064621B">
      <w:pPr>
        <w:pStyle w:val="8"/>
        <w:rPr>
          <w:rFonts w:ascii="Times New Roman" w:hAnsi="Times New Roman"/>
        </w:rPr>
      </w:pPr>
      <w:r w:rsidRPr="000140B3">
        <w:rPr>
          <w:rFonts w:ascii="Times New Roman" w:hAnsi="Times New Roman"/>
        </w:rPr>
        <w:t>台北富邦</w:t>
      </w:r>
      <w:r w:rsidRPr="000140B3">
        <w:rPr>
          <w:rFonts w:ascii="Times New Roman" w:hAnsi="Times New Roman"/>
        </w:rPr>
        <w:t>94,081</w:t>
      </w:r>
      <w:r w:rsidRPr="000140B3">
        <w:rPr>
          <w:rFonts w:ascii="Times New Roman" w:hAnsi="Times New Roman"/>
        </w:rPr>
        <w:t>百萬元。</w:t>
      </w:r>
    </w:p>
    <w:p w:rsidR="0064621B" w:rsidRPr="000140B3" w:rsidRDefault="0064621B" w:rsidP="0064621B">
      <w:pPr>
        <w:pStyle w:val="8"/>
        <w:rPr>
          <w:rFonts w:ascii="Times New Roman" w:hAnsi="Times New Roman"/>
        </w:rPr>
      </w:pPr>
      <w:r w:rsidRPr="000140B3">
        <w:rPr>
          <w:rFonts w:ascii="Times New Roman" w:hAnsi="Times New Roman"/>
        </w:rPr>
        <w:t>台新國際商業銀行</w:t>
      </w:r>
      <w:r w:rsidR="00B449AB" w:rsidRPr="000140B3">
        <w:rPr>
          <w:rFonts w:ascii="Times New Roman" w:hAnsi="Times New Roman" w:hint="eastAsia"/>
        </w:rPr>
        <w:t>股份有限公司</w:t>
      </w:r>
      <w:r w:rsidRPr="000140B3">
        <w:rPr>
          <w:rFonts w:ascii="Times New Roman" w:hAnsi="Times New Roman"/>
        </w:rPr>
        <w:t>(</w:t>
      </w:r>
      <w:r w:rsidRPr="000140B3">
        <w:rPr>
          <w:rFonts w:ascii="Times New Roman" w:hAnsi="Times New Roman"/>
        </w:rPr>
        <w:t>下稱台新銀行</w:t>
      </w:r>
      <w:r w:rsidRPr="000140B3">
        <w:rPr>
          <w:rFonts w:ascii="Times New Roman" w:hAnsi="Times New Roman"/>
        </w:rPr>
        <w:t>)66,498</w:t>
      </w:r>
      <w:r w:rsidRPr="000140B3">
        <w:rPr>
          <w:rFonts w:ascii="Times New Roman" w:hAnsi="Times New Roman"/>
        </w:rPr>
        <w:t>百萬元。</w:t>
      </w:r>
    </w:p>
    <w:p w:rsidR="0064621B" w:rsidRPr="000140B3" w:rsidRDefault="0064621B" w:rsidP="0064621B">
      <w:pPr>
        <w:pStyle w:val="7"/>
        <w:rPr>
          <w:rFonts w:ascii="Times New Roman" w:hAnsi="Times New Roman"/>
        </w:rPr>
      </w:pPr>
      <w:r w:rsidRPr="000140B3">
        <w:rPr>
          <w:rFonts w:ascii="Times New Roman" w:hAnsi="Times New Roman"/>
        </w:rPr>
        <w:t>於</w:t>
      </w:r>
      <w:proofErr w:type="gramStart"/>
      <w:r w:rsidRPr="000140B3">
        <w:rPr>
          <w:rFonts w:ascii="Times New Roman" w:hAnsi="Times New Roman"/>
        </w:rPr>
        <w:t>中國大陸暴險總額</w:t>
      </w:r>
      <w:proofErr w:type="gramEnd"/>
      <w:r w:rsidRPr="000140B3">
        <w:rPr>
          <w:rFonts w:ascii="Times New Roman" w:hAnsi="Times New Roman"/>
        </w:rPr>
        <w:t>占上年度決算後淨值百分比前</w:t>
      </w:r>
      <w:r w:rsidRPr="000140B3">
        <w:rPr>
          <w:rFonts w:ascii="Times New Roman" w:hAnsi="Times New Roman"/>
        </w:rPr>
        <w:t>3</w:t>
      </w:r>
      <w:r w:rsidRPr="000140B3">
        <w:rPr>
          <w:rFonts w:ascii="Times New Roman" w:hAnsi="Times New Roman"/>
        </w:rPr>
        <w:t>高之國內銀行：</w:t>
      </w:r>
    </w:p>
    <w:p w:rsidR="0064621B" w:rsidRPr="000140B3" w:rsidRDefault="0064621B" w:rsidP="0064621B">
      <w:pPr>
        <w:pStyle w:val="8"/>
        <w:rPr>
          <w:rFonts w:ascii="Times New Roman" w:hAnsi="Times New Roman"/>
        </w:rPr>
      </w:pPr>
      <w:r w:rsidRPr="000140B3">
        <w:rPr>
          <w:rFonts w:ascii="Times New Roman" w:hAnsi="Times New Roman"/>
        </w:rPr>
        <w:t>中國信託占比：</w:t>
      </w:r>
      <w:r w:rsidRPr="000140B3">
        <w:rPr>
          <w:rFonts w:ascii="Times New Roman" w:hAnsi="Times New Roman"/>
        </w:rPr>
        <w:t>67</w:t>
      </w:r>
      <w:r w:rsidR="00543724" w:rsidRPr="000140B3">
        <w:rPr>
          <w:rFonts w:ascii="Times New Roman" w:hAnsi="Times New Roman" w:hint="eastAsia"/>
        </w:rPr>
        <w:t>%</w:t>
      </w:r>
      <w:r w:rsidRPr="000140B3">
        <w:rPr>
          <w:rFonts w:ascii="Times New Roman" w:hAnsi="Times New Roman"/>
        </w:rPr>
        <w:t>。</w:t>
      </w:r>
    </w:p>
    <w:p w:rsidR="0064621B" w:rsidRPr="000140B3" w:rsidRDefault="0064621B" w:rsidP="0064621B">
      <w:pPr>
        <w:pStyle w:val="8"/>
        <w:rPr>
          <w:rFonts w:ascii="Times New Roman" w:hAnsi="Times New Roman"/>
        </w:rPr>
      </w:pPr>
      <w:proofErr w:type="gramStart"/>
      <w:r w:rsidRPr="000140B3">
        <w:rPr>
          <w:rFonts w:ascii="Times New Roman" w:hAnsi="Times New Roman"/>
        </w:rPr>
        <w:t>凱</w:t>
      </w:r>
      <w:proofErr w:type="gramEnd"/>
      <w:r w:rsidRPr="000140B3">
        <w:rPr>
          <w:rFonts w:ascii="Times New Roman" w:hAnsi="Times New Roman"/>
        </w:rPr>
        <w:t>基銀行占比：</w:t>
      </w:r>
      <w:r w:rsidRPr="000140B3">
        <w:rPr>
          <w:rFonts w:ascii="Times New Roman" w:hAnsi="Times New Roman"/>
        </w:rPr>
        <w:t>49%</w:t>
      </w:r>
      <w:r w:rsidRPr="000140B3">
        <w:rPr>
          <w:rFonts w:ascii="Times New Roman" w:hAnsi="Times New Roman"/>
        </w:rPr>
        <w:t>。</w:t>
      </w:r>
    </w:p>
    <w:p w:rsidR="0064621B" w:rsidRPr="000140B3" w:rsidRDefault="0064621B" w:rsidP="0064621B">
      <w:pPr>
        <w:pStyle w:val="8"/>
        <w:rPr>
          <w:rFonts w:ascii="Times New Roman" w:hAnsi="Times New Roman"/>
        </w:rPr>
      </w:pPr>
      <w:r w:rsidRPr="000140B3">
        <w:rPr>
          <w:rFonts w:ascii="Times New Roman" w:hAnsi="Times New Roman"/>
        </w:rPr>
        <w:t>台新銀行占比：</w:t>
      </w:r>
      <w:r w:rsidRPr="000140B3">
        <w:rPr>
          <w:rFonts w:ascii="Times New Roman" w:hAnsi="Times New Roman"/>
        </w:rPr>
        <w:t>38%</w:t>
      </w:r>
      <w:r w:rsidRPr="000140B3">
        <w:rPr>
          <w:rFonts w:ascii="Times New Roman" w:hAnsi="Times New Roman"/>
        </w:rPr>
        <w:t>。</w:t>
      </w:r>
    </w:p>
    <w:p w:rsidR="0064621B" w:rsidRPr="000140B3" w:rsidRDefault="0064621B" w:rsidP="0064621B">
      <w:pPr>
        <w:pStyle w:val="4"/>
        <w:rPr>
          <w:rFonts w:ascii="Times New Roman" w:hAnsi="Times New Roman"/>
        </w:rPr>
      </w:pPr>
      <w:r w:rsidRPr="000140B3">
        <w:rPr>
          <w:rFonts w:ascii="Times New Roman" w:hAnsi="Times New Roman"/>
        </w:rPr>
        <w:t>我國保險業於</w:t>
      </w:r>
      <w:proofErr w:type="gramStart"/>
      <w:r w:rsidRPr="000140B3">
        <w:rPr>
          <w:rFonts w:ascii="Times New Roman" w:hAnsi="Times New Roman"/>
        </w:rPr>
        <w:t>中國大陸暴險概況</w:t>
      </w:r>
      <w:proofErr w:type="gramEnd"/>
      <w:r w:rsidRPr="000140B3">
        <w:rPr>
          <w:rFonts w:ascii="Times New Roman" w:hAnsi="Times New Roman"/>
        </w:rPr>
        <w:t>，</w:t>
      </w:r>
      <w:proofErr w:type="gramStart"/>
      <w:r w:rsidRPr="000140B3">
        <w:rPr>
          <w:rFonts w:ascii="Times New Roman" w:hAnsi="Times New Roman"/>
        </w:rPr>
        <w:t>詳</w:t>
      </w:r>
      <w:proofErr w:type="gramEnd"/>
      <w:r w:rsidRPr="000140B3">
        <w:rPr>
          <w:rFonts w:ascii="Times New Roman" w:hAnsi="Times New Roman"/>
        </w:rPr>
        <w:t>表</w:t>
      </w:r>
      <w:r w:rsidRPr="000140B3">
        <w:rPr>
          <w:rFonts w:ascii="Times New Roman" w:hAnsi="Times New Roman"/>
        </w:rPr>
        <w:t>2</w:t>
      </w:r>
      <w:r w:rsidRPr="000140B3">
        <w:rPr>
          <w:rFonts w:ascii="Times New Roman" w:hAnsi="Times New Roman"/>
        </w:rPr>
        <w:t>：</w:t>
      </w:r>
    </w:p>
    <w:p w:rsidR="0064621B" w:rsidRPr="000140B3" w:rsidRDefault="0064621B" w:rsidP="0064621B">
      <w:pPr>
        <w:pStyle w:val="5"/>
        <w:rPr>
          <w:rFonts w:ascii="Times New Roman" w:hAnsi="Times New Roman"/>
        </w:rPr>
      </w:pPr>
      <w:r w:rsidRPr="000140B3">
        <w:rPr>
          <w:rFonts w:ascii="Times New Roman" w:hAnsi="Times New Roman"/>
        </w:rPr>
        <w:t>我國保險業對</w:t>
      </w:r>
      <w:proofErr w:type="gramStart"/>
      <w:r w:rsidRPr="000140B3">
        <w:rPr>
          <w:rFonts w:ascii="Times New Roman" w:hAnsi="Times New Roman"/>
        </w:rPr>
        <w:t>中國大陸暴險金額</w:t>
      </w:r>
      <w:proofErr w:type="gramEnd"/>
      <w:r w:rsidRPr="000140B3">
        <w:rPr>
          <w:rFonts w:ascii="Times New Roman" w:hAnsi="Times New Roman"/>
        </w:rPr>
        <w:t>由</w:t>
      </w:r>
      <w:r w:rsidRPr="000140B3">
        <w:rPr>
          <w:rFonts w:ascii="Times New Roman" w:hAnsi="Times New Roman"/>
        </w:rPr>
        <w:t>109</w:t>
      </w:r>
      <w:r w:rsidRPr="000140B3">
        <w:rPr>
          <w:rFonts w:ascii="Times New Roman" w:hAnsi="Times New Roman"/>
        </w:rPr>
        <w:t>年底之</w:t>
      </w:r>
      <w:r w:rsidRPr="000140B3">
        <w:rPr>
          <w:rFonts w:ascii="Times New Roman" w:hAnsi="Times New Roman"/>
        </w:rPr>
        <w:t>3,411</w:t>
      </w:r>
      <w:r w:rsidRPr="000140B3">
        <w:rPr>
          <w:rFonts w:ascii="Times New Roman" w:hAnsi="Times New Roman"/>
        </w:rPr>
        <w:t>億元逐年下滑至</w:t>
      </w:r>
      <w:r w:rsidRPr="000140B3">
        <w:rPr>
          <w:rFonts w:ascii="Times New Roman" w:hAnsi="Times New Roman"/>
        </w:rPr>
        <w:t>112</w:t>
      </w:r>
      <w:r w:rsidRPr="000140B3">
        <w:rPr>
          <w:rFonts w:ascii="Times New Roman" w:hAnsi="Times New Roman"/>
        </w:rPr>
        <w:t>年底之</w:t>
      </w:r>
      <w:r w:rsidRPr="000140B3">
        <w:rPr>
          <w:rFonts w:ascii="Times New Roman" w:hAnsi="Times New Roman"/>
        </w:rPr>
        <w:t>1,268</w:t>
      </w:r>
      <w:r w:rsidRPr="000140B3">
        <w:rPr>
          <w:rFonts w:ascii="Times New Roman" w:hAnsi="Times New Roman"/>
        </w:rPr>
        <w:t>億元，</w:t>
      </w:r>
      <w:r w:rsidRPr="000140B3">
        <w:rPr>
          <w:rFonts w:ascii="Times New Roman" w:hAnsi="Times New Roman"/>
        </w:rPr>
        <w:t>4</w:t>
      </w:r>
      <w:r w:rsidRPr="000140B3">
        <w:rPr>
          <w:rFonts w:ascii="Times New Roman" w:hAnsi="Times New Roman"/>
        </w:rPr>
        <w:t>年間下滑</w:t>
      </w:r>
      <w:r w:rsidRPr="000140B3">
        <w:rPr>
          <w:rFonts w:ascii="Times New Roman" w:hAnsi="Times New Roman"/>
        </w:rPr>
        <w:t>2,143</w:t>
      </w:r>
      <w:r w:rsidRPr="000140B3">
        <w:rPr>
          <w:rFonts w:ascii="Times New Roman" w:hAnsi="Times New Roman"/>
        </w:rPr>
        <w:t>億元，下滑金額超過</w:t>
      </w:r>
      <w:proofErr w:type="gramStart"/>
      <w:r w:rsidRPr="000140B3">
        <w:rPr>
          <w:rFonts w:ascii="Times New Roman" w:hAnsi="Times New Roman"/>
        </w:rPr>
        <w:t>6</w:t>
      </w:r>
      <w:proofErr w:type="gramEnd"/>
      <w:r w:rsidRPr="000140B3">
        <w:rPr>
          <w:rFonts w:ascii="Times New Roman" w:hAnsi="Times New Roman"/>
        </w:rPr>
        <w:t>成。</w:t>
      </w:r>
    </w:p>
    <w:p w:rsidR="0064621B" w:rsidRPr="000140B3" w:rsidRDefault="0064621B" w:rsidP="0064621B">
      <w:pPr>
        <w:pStyle w:val="5"/>
        <w:rPr>
          <w:rFonts w:ascii="Times New Roman" w:hAnsi="Times New Roman"/>
        </w:rPr>
      </w:pPr>
      <w:r w:rsidRPr="000140B3">
        <w:rPr>
          <w:rFonts w:ascii="Times New Roman" w:hAnsi="Times New Roman"/>
        </w:rPr>
        <w:t>我國保險業對</w:t>
      </w:r>
      <w:proofErr w:type="gramStart"/>
      <w:r w:rsidRPr="000140B3">
        <w:rPr>
          <w:rFonts w:ascii="Times New Roman" w:hAnsi="Times New Roman"/>
        </w:rPr>
        <w:t>中國大陸暴險金額</w:t>
      </w:r>
      <w:proofErr w:type="gramEnd"/>
      <w:r w:rsidRPr="000140B3">
        <w:rPr>
          <w:rFonts w:ascii="Times New Roman" w:hAnsi="Times New Roman"/>
        </w:rPr>
        <w:t>占保險業資金</w:t>
      </w:r>
      <w:r w:rsidRPr="000140B3">
        <w:rPr>
          <w:rFonts w:ascii="Times New Roman" w:hAnsi="Times New Roman"/>
        </w:rPr>
        <w:lastRenderedPageBreak/>
        <w:t>之百分比由</w:t>
      </w:r>
      <w:r w:rsidRPr="000140B3">
        <w:rPr>
          <w:rFonts w:ascii="Times New Roman" w:hAnsi="Times New Roman"/>
        </w:rPr>
        <w:t>109</w:t>
      </w:r>
      <w:r w:rsidRPr="000140B3">
        <w:rPr>
          <w:rFonts w:ascii="Times New Roman" w:hAnsi="Times New Roman"/>
        </w:rPr>
        <w:t>年底之</w:t>
      </w:r>
      <w:r w:rsidRPr="000140B3">
        <w:rPr>
          <w:rFonts w:ascii="Times New Roman" w:hAnsi="Times New Roman"/>
        </w:rPr>
        <w:t>1.18%</w:t>
      </w:r>
      <w:r w:rsidRPr="000140B3">
        <w:rPr>
          <w:rFonts w:ascii="Times New Roman" w:hAnsi="Times New Roman"/>
        </w:rPr>
        <w:t>，逐年下滑至</w:t>
      </w:r>
      <w:r w:rsidRPr="000140B3">
        <w:rPr>
          <w:rFonts w:ascii="Times New Roman" w:hAnsi="Times New Roman"/>
        </w:rPr>
        <w:t>112</w:t>
      </w:r>
      <w:r w:rsidRPr="000140B3">
        <w:rPr>
          <w:rFonts w:ascii="Times New Roman" w:hAnsi="Times New Roman"/>
        </w:rPr>
        <w:t>年之</w:t>
      </w:r>
      <w:r w:rsidRPr="000140B3">
        <w:rPr>
          <w:rFonts w:ascii="Times New Roman" w:hAnsi="Times New Roman"/>
        </w:rPr>
        <w:t>0.40%</w:t>
      </w:r>
      <w:r w:rsidRPr="000140B3">
        <w:rPr>
          <w:rFonts w:ascii="Times New Roman" w:hAnsi="Times New Roman"/>
        </w:rPr>
        <w:t>。</w:t>
      </w:r>
    </w:p>
    <w:p w:rsidR="008D58E7" w:rsidRPr="000140B3" w:rsidRDefault="008D58E7" w:rsidP="008D58E7">
      <w:pPr>
        <w:pStyle w:val="5"/>
        <w:numPr>
          <w:ilvl w:val="0"/>
          <w:numId w:val="0"/>
        </w:numPr>
        <w:ind w:left="2041"/>
        <w:rPr>
          <w:rFonts w:ascii="Times New Roman" w:hAnsi="Times New Roman"/>
        </w:rPr>
      </w:pPr>
    </w:p>
    <w:p w:rsidR="008D58E7" w:rsidRPr="000140B3" w:rsidRDefault="008D58E7" w:rsidP="008D58E7">
      <w:pPr>
        <w:pStyle w:val="5"/>
        <w:numPr>
          <w:ilvl w:val="0"/>
          <w:numId w:val="0"/>
        </w:numPr>
        <w:ind w:left="2041"/>
        <w:rPr>
          <w:rFonts w:ascii="Times New Roman" w:hAnsi="Times New Roman"/>
        </w:rPr>
      </w:pPr>
    </w:p>
    <w:p w:rsidR="008D58E7" w:rsidRPr="000140B3" w:rsidRDefault="008D58E7" w:rsidP="008D58E7">
      <w:pPr>
        <w:pStyle w:val="5"/>
        <w:numPr>
          <w:ilvl w:val="0"/>
          <w:numId w:val="0"/>
        </w:numPr>
        <w:ind w:left="2041"/>
        <w:rPr>
          <w:rFonts w:ascii="Times New Roman" w:hAnsi="Times New Roman"/>
        </w:rPr>
      </w:pPr>
    </w:p>
    <w:p w:rsidR="008D58E7" w:rsidRPr="000140B3" w:rsidRDefault="008D58E7" w:rsidP="008D58E7">
      <w:pPr>
        <w:pStyle w:val="5"/>
        <w:numPr>
          <w:ilvl w:val="0"/>
          <w:numId w:val="0"/>
        </w:numPr>
        <w:ind w:left="2041"/>
        <w:rPr>
          <w:rFonts w:ascii="Times New Roman" w:hAnsi="Times New Roman"/>
        </w:rPr>
      </w:pPr>
    </w:p>
    <w:p w:rsidR="008D58E7" w:rsidRPr="000140B3" w:rsidRDefault="008D58E7" w:rsidP="008D58E7">
      <w:pPr>
        <w:pStyle w:val="5"/>
        <w:numPr>
          <w:ilvl w:val="0"/>
          <w:numId w:val="0"/>
        </w:numPr>
        <w:ind w:left="2041"/>
        <w:rPr>
          <w:rFonts w:ascii="Times New Roman" w:hAnsi="Times New Roman"/>
        </w:rPr>
      </w:pPr>
    </w:p>
    <w:p w:rsidR="0064621B" w:rsidRPr="000140B3" w:rsidRDefault="0064621B" w:rsidP="0064621B">
      <w:pPr>
        <w:pStyle w:val="a4"/>
        <w:spacing w:after="120"/>
        <w:jc w:val="center"/>
        <w:rPr>
          <w:rFonts w:ascii="Times New Roman" w:hAnsi="Times New Roman"/>
          <w:b/>
        </w:rPr>
      </w:pPr>
      <w:r w:rsidRPr="000140B3">
        <w:rPr>
          <w:rFonts w:ascii="Times New Roman" w:hAnsi="Times New Roman"/>
          <w:b/>
        </w:rPr>
        <w:t>保險業於</w:t>
      </w:r>
      <w:proofErr w:type="gramStart"/>
      <w:r w:rsidRPr="000140B3">
        <w:rPr>
          <w:rFonts w:ascii="Times New Roman" w:hAnsi="Times New Roman"/>
          <w:b/>
        </w:rPr>
        <w:t>中國大陸暴險情形</w:t>
      </w:r>
      <w:proofErr w:type="gramEnd"/>
    </w:p>
    <w:p w:rsidR="0064621B" w:rsidRPr="000140B3" w:rsidRDefault="0064621B" w:rsidP="0064621B">
      <w:pPr>
        <w:jc w:val="right"/>
        <w:rPr>
          <w:rFonts w:ascii="Times New Roman"/>
          <w:b/>
          <w:sz w:val="24"/>
          <w:szCs w:val="24"/>
        </w:rPr>
      </w:pPr>
      <w:r w:rsidRPr="000140B3">
        <w:rPr>
          <w:rFonts w:ascii="Times New Roman"/>
          <w:sz w:val="24"/>
          <w:szCs w:val="24"/>
        </w:rPr>
        <w:t>單位：新臺幣億元</w:t>
      </w:r>
    </w:p>
    <w:tbl>
      <w:tblPr>
        <w:tblW w:w="999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6"/>
        <w:gridCol w:w="2621"/>
        <w:gridCol w:w="2560"/>
        <w:gridCol w:w="3656"/>
      </w:tblGrid>
      <w:tr w:rsidR="0064621B" w:rsidRPr="000140B3" w:rsidTr="008D58E7">
        <w:trPr>
          <w:trHeight w:val="572"/>
        </w:trPr>
        <w:tc>
          <w:tcPr>
            <w:tcW w:w="1156" w:type="dxa"/>
            <w:vMerge w:val="restart"/>
            <w:vAlign w:val="center"/>
          </w:tcPr>
          <w:p w:rsidR="0064621B" w:rsidRPr="000140B3" w:rsidRDefault="0064621B" w:rsidP="00543724">
            <w:pPr>
              <w:jc w:val="center"/>
              <w:rPr>
                <w:rFonts w:ascii="Times New Roman"/>
                <w:w w:val="115"/>
                <w:sz w:val="28"/>
                <w:szCs w:val="28"/>
              </w:rPr>
            </w:pPr>
            <w:r w:rsidRPr="000140B3">
              <w:rPr>
                <w:rFonts w:ascii="Times New Roman"/>
                <w:w w:val="115"/>
                <w:sz w:val="28"/>
                <w:szCs w:val="28"/>
              </w:rPr>
              <w:t>年度</w:t>
            </w:r>
          </w:p>
        </w:tc>
        <w:tc>
          <w:tcPr>
            <w:tcW w:w="2621" w:type="dxa"/>
            <w:vMerge w:val="restart"/>
            <w:vAlign w:val="center"/>
          </w:tcPr>
          <w:p w:rsidR="0064621B" w:rsidRPr="000140B3" w:rsidRDefault="0064621B" w:rsidP="00543724">
            <w:pPr>
              <w:jc w:val="center"/>
              <w:rPr>
                <w:rFonts w:ascii="Times New Roman"/>
                <w:w w:val="115"/>
                <w:sz w:val="28"/>
                <w:szCs w:val="28"/>
              </w:rPr>
            </w:pPr>
            <w:proofErr w:type="gramStart"/>
            <w:r w:rsidRPr="000140B3">
              <w:rPr>
                <w:rFonts w:ascii="Times New Roman"/>
                <w:w w:val="115"/>
                <w:sz w:val="28"/>
                <w:szCs w:val="28"/>
              </w:rPr>
              <w:t>大陸暴險金額</w:t>
            </w:r>
            <w:proofErr w:type="gramEnd"/>
            <w:r w:rsidRPr="000140B3">
              <w:rPr>
                <w:rFonts w:ascii="Times New Roman"/>
                <w:w w:val="115"/>
                <w:sz w:val="28"/>
                <w:szCs w:val="28"/>
              </w:rPr>
              <w:t>(1)</w:t>
            </w:r>
          </w:p>
        </w:tc>
        <w:tc>
          <w:tcPr>
            <w:tcW w:w="2560" w:type="dxa"/>
            <w:vMerge w:val="restart"/>
            <w:vAlign w:val="center"/>
          </w:tcPr>
          <w:p w:rsidR="0064621B" w:rsidRPr="000140B3" w:rsidRDefault="0064621B" w:rsidP="00543724">
            <w:pPr>
              <w:jc w:val="center"/>
              <w:rPr>
                <w:rFonts w:ascii="Times New Roman"/>
                <w:w w:val="115"/>
                <w:sz w:val="28"/>
                <w:szCs w:val="28"/>
              </w:rPr>
            </w:pPr>
            <w:r w:rsidRPr="000140B3">
              <w:rPr>
                <w:rFonts w:ascii="Times New Roman"/>
                <w:w w:val="115"/>
                <w:sz w:val="28"/>
                <w:szCs w:val="28"/>
              </w:rPr>
              <w:t>保險業資金</w:t>
            </w:r>
            <w:r w:rsidRPr="000140B3">
              <w:rPr>
                <w:rFonts w:ascii="Times New Roman"/>
                <w:w w:val="115"/>
                <w:sz w:val="28"/>
                <w:szCs w:val="28"/>
              </w:rPr>
              <w:t>(2)</w:t>
            </w:r>
          </w:p>
        </w:tc>
        <w:tc>
          <w:tcPr>
            <w:tcW w:w="3656" w:type="dxa"/>
            <w:vAlign w:val="center"/>
          </w:tcPr>
          <w:p w:rsidR="0064621B" w:rsidRPr="000140B3" w:rsidRDefault="0064621B" w:rsidP="00543724">
            <w:pPr>
              <w:jc w:val="center"/>
              <w:rPr>
                <w:rFonts w:ascii="Times New Roman"/>
                <w:w w:val="115"/>
                <w:sz w:val="28"/>
                <w:szCs w:val="28"/>
              </w:rPr>
            </w:pPr>
            <w:proofErr w:type="gramStart"/>
            <w:r w:rsidRPr="000140B3">
              <w:rPr>
                <w:rFonts w:ascii="Times New Roman"/>
                <w:w w:val="115"/>
                <w:sz w:val="28"/>
                <w:szCs w:val="28"/>
              </w:rPr>
              <w:t>大陸暴險金額</w:t>
            </w:r>
            <w:proofErr w:type="gramEnd"/>
            <w:r w:rsidRPr="000140B3">
              <w:rPr>
                <w:rFonts w:ascii="Times New Roman"/>
                <w:w w:val="115"/>
                <w:sz w:val="28"/>
                <w:szCs w:val="28"/>
              </w:rPr>
              <w:t>占保險業資金之百分比</w:t>
            </w:r>
          </w:p>
        </w:tc>
      </w:tr>
      <w:tr w:rsidR="0064621B" w:rsidRPr="000140B3" w:rsidTr="008D58E7">
        <w:trPr>
          <w:trHeight w:val="443"/>
        </w:trPr>
        <w:tc>
          <w:tcPr>
            <w:tcW w:w="1156" w:type="dxa"/>
            <w:vMerge/>
            <w:vAlign w:val="center"/>
          </w:tcPr>
          <w:p w:rsidR="0064621B" w:rsidRPr="000140B3" w:rsidRDefault="0064621B" w:rsidP="00543724">
            <w:pPr>
              <w:pStyle w:val="TableParagraph"/>
              <w:jc w:val="center"/>
              <w:rPr>
                <w:rFonts w:ascii="Times New Roman" w:eastAsia="標楷體" w:hAnsi="Times New Roman" w:cs="Times New Roman"/>
                <w:sz w:val="28"/>
                <w:szCs w:val="28"/>
                <w:lang w:eastAsia="zh-TW"/>
              </w:rPr>
            </w:pPr>
          </w:p>
        </w:tc>
        <w:tc>
          <w:tcPr>
            <w:tcW w:w="2621" w:type="dxa"/>
            <w:vMerge/>
            <w:vAlign w:val="center"/>
          </w:tcPr>
          <w:p w:rsidR="0064621B" w:rsidRPr="000140B3" w:rsidRDefault="0064621B" w:rsidP="00543724">
            <w:pPr>
              <w:pStyle w:val="TableParagraph"/>
              <w:jc w:val="center"/>
              <w:rPr>
                <w:rFonts w:ascii="Times New Roman" w:eastAsia="標楷體" w:hAnsi="Times New Roman" w:cs="Times New Roman"/>
                <w:sz w:val="28"/>
                <w:szCs w:val="28"/>
                <w:lang w:eastAsia="zh-TW"/>
              </w:rPr>
            </w:pPr>
          </w:p>
        </w:tc>
        <w:tc>
          <w:tcPr>
            <w:tcW w:w="2560" w:type="dxa"/>
            <w:vMerge/>
            <w:vAlign w:val="center"/>
          </w:tcPr>
          <w:p w:rsidR="0064621B" w:rsidRPr="000140B3" w:rsidRDefault="0064621B" w:rsidP="00543724">
            <w:pPr>
              <w:pStyle w:val="TableParagraph"/>
              <w:jc w:val="center"/>
              <w:rPr>
                <w:rFonts w:ascii="Times New Roman" w:eastAsia="標楷體" w:hAnsi="Times New Roman" w:cs="Times New Roman"/>
                <w:sz w:val="28"/>
                <w:szCs w:val="28"/>
                <w:lang w:eastAsia="zh-TW"/>
              </w:rPr>
            </w:pPr>
          </w:p>
        </w:tc>
        <w:tc>
          <w:tcPr>
            <w:tcW w:w="3656" w:type="dxa"/>
            <w:vAlign w:val="center"/>
          </w:tcPr>
          <w:p w:rsidR="0064621B" w:rsidRPr="000140B3" w:rsidRDefault="0064621B" w:rsidP="00543724">
            <w:pPr>
              <w:pStyle w:val="TableParagraph"/>
              <w:ind w:left="294" w:right="210"/>
              <w:jc w:val="center"/>
              <w:rPr>
                <w:rFonts w:ascii="Times New Roman" w:eastAsia="標楷體" w:hAnsi="Times New Roman" w:cs="Times New Roman"/>
                <w:sz w:val="28"/>
                <w:szCs w:val="28"/>
              </w:rPr>
            </w:pPr>
            <w:r w:rsidRPr="000140B3">
              <w:rPr>
                <w:rFonts w:ascii="Times New Roman" w:eastAsia="標楷體" w:hAnsi="Times New Roman" w:cs="Times New Roman"/>
                <w:sz w:val="28"/>
                <w:szCs w:val="28"/>
              </w:rPr>
              <w:t>(</w:t>
            </w:r>
            <w:proofErr w:type="gramStart"/>
            <w:r w:rsidRPr="000140B3">
              <w:rPr>
                <w:rFonts w:ascii="Times New Roman" w:eastAsia="標楷體" w:hAnsi="Times New Roman" w:cs="Times New Roman"/>
                <w:sz w:val="28"/>
                <w:szCs w:val="28"/>
              </w:rPr>
              <w:t>3)=</w:t>
            </w:r>
            <w:proofErr w:type="gramEnd"/>
            <w:r w:rsidRPr="000140B3">
              <w:rPr>
                <w:rFonts w:ascii="Times New Roman" w:eastAsia="標楷體" w:hAnsi="Times New Roman" w:cs="Times New Roman"/>
                <w:sz w:val="28"/>
                <w:szCs w:val="28"/>
              </w:rPr>
              <w:t>(1)/(2)</w:t>
            </w:r>
          </w:p>
        </w:tc>
      </w:tr>
      <w:tr w:rsidR="0064621B" w:rsidRPr="000140B3" w:rsidTr="008D58E7">
        <w:trPr>
          <w:trHeight w:val="363"/>
        </w:trPr>
        <w:tc>
          <w:tcPr>
            <w:tcW w:w="1156" w:type="dxa"/>
            <w:vAlign w:val="center"/>
          </w:tcPr>
          <w:p w:rsidR="0064621B" w:rsidRPr="000140B3" w:rsidRDefault="0064621B" w:rsidP="00EC5AF2">
            <w:pPr>
              <w:pStyle w:val="TableParagraph"/>
              <w:spacing w:line="297" w:lineRule="exact"/>
              <w:ind w:left="109"/>
              <w:jc w:val="center"/>
              <w:rPr>
                <w:rFonts w:ascii="Times New Roman" w:eastAsia="標楷體" w:hAnsi="Times New Roman" w:cs="Times New Roman"/>
                <w:sz w:val="28"/>
                <w:szCs w:val="28"/>
              </w:rPr>
            </w:pPr>
            <w:r w:rsidRPr="000140B3">
              <w:rPr>
                <w:rFonts w:ascii="Times New Roman" w:eastAsia="標楷體" w:hAnsi="Times New Roman" w:cs="Times New Roman"/>
                <w:w w:val="105"/>
                <w:sz w:val="28"/>
                <w:szCs w:val="28"/>
              </w:rPr>
              <w:t>108</w:t>
            </w:r>
          </w:p>
        </w:tc>
        <w:tc>
          <w:tcPr>
            <w:tcW w:w="2621" w:type="dxa"/>
            <w:vAlign w:val="center"/>
          </w:tcPr>
          <w:p w:rsidR="0064621B" w:rsidRPr="000140B3" w:rsidRDefault="0064621B" w:rsidP="00EC5AF2">
            <w:pPr>
              <w:pStyle w:val="TableParagraph"/>
              <w:spacing w:line="297" w:lineRule="exact"/>
              <w:ind w:right="60"/>
              <w:jc w:val="center"/>
              <w:rPr>
                <w:rFonts w:ascii="Times New Roman" w:eastAsia="標楷體" w:hAnsi="Times New Roman" w:cs="Times New Roman"/>
                <w:sz w:val="28"/>
                <w:szCs w:val="28"/>
              </w:rPr>
            </w:pPr>
            <w:r w:rsidRPr="000140B3">
              <w:rPr>
                <w:rFonts w:ascii="Times New Roman" w:eastAsia="標楷體" w:hAnsi="Times New Roman" w:cs="Times New Roman"/>
                <w:w w:val="105"/>
                <w:sz w:val="28"/>
                <w:szCs w:val="28"/>
              </w:rPr>
              <w:t>2,648</w:t>
            </w:r>
          </w:p>
        </w:tc>
        <w:tc>
          <w:tcPr>
            <w:tcW w:w="2560" w:type="dxa"/>
            <w:vAlign w:val="center"/>
          </w:tcPr>
          <w:p w:rsidR="0064621B" w:rsidRPr="000140B3" w:rsidRDefault="0064621B" w:rsidP="00EC5AF2">
            <w:pPr>
              <w:pStyle w:val="TableParagraph"/>
              <w:spacing w:line="297" w:lineRule="exact"/>
              <w:ind w:right="49"/>
              <w:jc w:val="center"/>
              <w:rPr>
                <w:rFonts w:ascii="Times New Roman" w:eastAsia="標楷體" w:hAnsi="Times New Roman" w:cs="Times New Roman"/>
                <w:sz w:val="28"/>
                <w:szCs w:val="28"/>
              </w:rPr>
            </w:pPr>
            <w:r w:rsidRPr="000140B3">
              <w:rPr>
                <w:rFonts w:ascii="Times New Roman" w:eastAsia="標楷體" w:hAnsi="Times New Roman" w:cs="Times New Roman"/>
                <w:w w:val="105"/>
                <w:sz w:val="28"/>
                <w:szCs w:val="28"/>
              </w:rPr>
              <w:t>267,837</w:t>
            </w:r>
          </w:p>
        </w:tc>
        <w:tc>
          <w:tcPr>
            <w:tcW w:w="3656" w:type="dxa"/>
            <w:vAlign w:val="center"/>
          </w:tcPr>
          <w:p w:rsidR="0064621B" w:rsidRPr="000140B3" w:rsidRDefault="0064621B" w:rsidP="00EC5AF2">
            <w:pPr>
              <w:pStyle w:val="TableParagraph"/>
              <w:spacing w:line="297" w:lineRule="exact"/>
              <w:ind w:left="272" w:right="210"/>
              <w:jc w:val="center"/>
              <w:rPr>
                <w:rFonts w:ascii="Times New Roman" w:eastAsia="標楷體" w:hAnsi="Times New Roman" w:cs="Times New Roman"/>
                <w:sz w:val="28"/>
                <w:szCs w:val="28"/>
              </w:rPr>
            </w:pPr>
            <w:r w:rsidRPr="000140B3">
              <w:rPr>
                <w:rFonts w:ascii="Times New Roman" w:eastAsia="標楷體" w:hAnsi="Times New Roman" w:cs="Times New Roman"/>
                <w:w w:val="105"/>
                <w:sz w:val="28"/>
                <w:szCs w:val="28"/>
              </w:rPr>
              <w:t>0.99%</w:t>
            </w:r>
          </w:p>
        </w:tc>
      </w:tr>
      <w:tr w:rsidR="0064621B" w:rsidRPr="000140B3" w:rsidTr="008D58E7">
        <w:trPr>
          <w:trHeight w:val="370"/>
        </w:trPr>
        <w:tc>
          <w:tcPr>
            <w:tcW w:w="1156" w:type="dxa"/>
            <w:vAlign w:val="center"/>
          </w:tcPr>
          <w:p w:rsidR="0064621B" w:rsidRPr="000140B3" w:rsidRDefault="0064621B" w:rsidP="00EC5AF2">
            <w:pPr>
              <w:pStyle w:val="TableParagraph"/>
              <w:spacing w:before="5"/>
              <w:ind w:left="109"/>
              <w:jc w:val="center"/>
              <w:rPr>
                <w:rFonts w:ascii="Times New Roman" w:eastAsia="標楷體" w:hAnsi="Times New Roman" w:cs="Times New Roman"/>
                <w:sz w:val="28"/>
                <w:szCs w:val="28"/>
              </w:rPr>
            </w:pPr>
            <w:r w:rsidRPr="000140B3">
              <w:rPr>
                <w:rFonts w:ascii="Times New Roman" w:eastAsia="標楷體" w:hAnsi="Times New Roman" w:cs="Times New Roman"/>
                <w:w w:val="105"/>
                <w:sz w:val="28"/>
                <w:szCs w:val="28"/>
              </w:rPr>
              <w:t>109</w:t>
            </w:r>
          </w:p>
        </w:tc>
        <w:tc>
          <w:tcPr>
            <w:tcW w:w="2621" w:type="dxa"/>
            <w:vAlign w:val="center"/>
          </w:tcPr>
          <w:p w:rsidR="0064621B" w:rsidRPr="000140B3" w:rsidRDefault="0064621B" w:rsidP="00EC5AF2">
            <w:pPr>
              <w:pStyle w:val="TableParagraph"/>
              <w:spacing w:line="297" w:lineRule="exact"/>
              <w:ind w:right="65"/>
              <w:jc w:val="center"/>
              <w:rPr>
                <w:rFonts w:ascii="Times New Roman" w:eastAsia="標楷體" w:hAnsi="Times New Roman" w:cs="Times New Roman"/>
                <w:sz w:val="28"/>
                <w:szCs w:val="28"/>
              </w:rPr>
            </w:pPr>
            <w:r w:rsidRPr="000140B3">
              <w:rPr>
                <w:rFonts w:ascii="Times New Roman" w:eastAsia="標楷體" w:hAnsi="Times New Roman" w:cs="Times New Roman"/>
                <w:w w:val="105"/>
                <w:sz w:val="28"/>
                <w:szCs w:val="28"/>
              </w:rPr>
              <w:t>3,411</w:t>
            </w:r>
          </w:p>
        </w:tc>
        <w:tc>
          <w:tcPr>
            <w:tcW w:w="2560" w:type="dxa"/>
            <w:vAlign w:val="center"/>
          </w:tcPr>
          <w:p w:rsidR="0064621B" w:rsidRPr="000140B3" w:rsidRDefault="0064621B" w:rsidP="00EC5AF2">
            <w:pPr>
              <w:pStyle w:val="TableParagraph"/>
              <w:spacing w:line="297" w:lineRule="exact"/>
              <w:ind w:right="73"/>
              <w:jc w:val="center"/>
              <w:rPr>
                <w:rFonts w:ascii="Times New Roman" w:eastAsia="標楷體" w:hAnsi="Times New Roman" w:cs="Times New Roman"/>
                <w:sz w:val="28"/>
                <w:szCs w:val="28"/>
              </w:rPr>
            </w:pPr>
            <w:r w:rsidRPr="000140B3">
              <w:rPr>
                <w:rFonts w:ascii="Times New Roman" w:eastAsia="標楷體" w:hAnsi="Times New Roman" w:cs="Times New Roman"/>
                <w:sz w:val="28"/>
                <w:szCs w:val="28"/>
              </w:rPr>
              <w:t>289,163</w:t>
            </w:r>
          </w:p>
        </w:tc>
        <w:tc>
          <w:tcPr>
            <w:tcW w:w="3656" w:type="dxa"/>
            <w:vAlign w:val="center"/>
          </w:tcPr>
          <w:p w:rsidR="0064621B" w:rsidRPr="000140B3" w:rsidRDefault="0064621B" w:rsidP="00EC5AF2">
            <w:pPr>
              <w:pStyle w:val="TableParagraph"/>
              <w:spacing w:line="297" w:lineRule="exact"/>
              <w:ind w:left="266" w:right="210"/>
              <w:jc w:val="center"/>
              <w:rPr>
                <w:rFonts w:ascii="Times New Roman" w:eastAsia="標楷體" w:hAnsi="Times New Roman" w:cs="Times New Roman"/>
                <w:sz w:val="28"/>
                <w:szCs w:val="28"/>
              </w:rPr>
            </w:pPr>
            <w:r w:rsidRPr="000140B3">
              <w:rPr>
                <w:rFonts w:ascii="Times New Roman" w:eastAsia="標楷體" w:hAnsi="Times New Roman" w:cs="Times New Roman"/>
                <w:w w:val="105"/>
                <w:sz w:val="28"/>
                <w:szCs w:val="28"/>
              </w:rPr>
              <w:t>1.18%</w:t>
            </w:r>
          </w:p>
        </w:tc>
      </w:tr>
      <w:tr w:rsidR="0064621B" w:rsidRPr="000140B3" w:rsidTr="008D58E7">
        <w:trPr>
          <w:trHeight w:val="363"/>
        </w:trPr>
        <w:tc>
          <w:tcPr>
            <w:tcW w:w="1156" w:type="dxa"/>
            <w:vAlign w:val="center"/>
          </w:tcPr>
          <w:p w:rsidR="0064621B" w:rsidRPr="000140B3" w:rsidRDefault="0064621B" w:rsidP="00EC5AF2">
            <w:pPr>
              <w:pStyle w:val="TableParagraph"/>
              <w:spacing w:before="7"/>
              <w:ind w:left="132"/>
              <w:jc w:val="center"/>
              <w:rPr>
                <w:rFonts w:ascii="Times New Roman" w:eastAsia="標楷體" w:hAnsi="Times New Roman" w:cs="Times New Roman"/>
                <w:sz w:val="28"/>
                <w:szCs w:val="28"/>
              </w:rPr>
            </w:pPr>
            <w:r w:rsidRPr="000140B3">
              <w:rPr>
                <w:rFonts w:ascii="Times New Roman" w:eastAsia="標楷體" w:hAnsi="Times New Roman" w:cs="Times New Roman"/>
                <w:sz w:val="28"/>
                <w:szCs w:val="28"/>
                <w:lang w:eastAsia="zh-TW"/>
              </w:rPr>
              <w:t>110</w:t>
            </w:r>
          </w:p>
        </w:tc>
        <w:tc>
          <w:tcPr>
            <w:tcW w:w="2621" w:type="dxa"/>
            <w:vAlign w:val="center"/>
          </w:tcPr>
          <w:p w:rsidR="0064621B" w:rsidRPr="000140B3" w:rsidRDefault="0064621B" w:rsidP="00EC5AF2">
            <w:pPr>
              <w:pStyle w:val="TableParagraph"/>
              <w:spacing w:line="290" w:lineRule="exact"/>
              <w:ind w:right="50"/>
              <w:jc w:val="center"/>
              <w:rPr>
                <w:rFonts w:ascii="Times New Roman" w:eastAsia="標楷體" w:hAnsi="Times New Roman" w:cs="Times New Roman"/>
                <w:sz w:val="28"/>
                <w:szCs w:val="28"/>
              </w:rPr>
            </w:pPr>
            <w:r w:rsidRPr="000140B3">
              <w:rPr>
                <w:rFonts w:ascii="Times New Roman" w:eastAsia="標楷體" w:hAnsi="Times New Roman" w:cs="Times New Roman"/>
                <w:w w:val="110"/>
                <w:sz w:val="28"/>
                <w:szCs w:val="28"/>
              </w:rPr>
              <w:t>2,961</w:t>
            </w:r>
          </w:p>
        </w:tc>
        <w:tc>
          <w:tcPr>
            <w:tcW w:w="2560" w:type="dxa"/>
            <w:vAlign w:val="center"/>
          </w:tcPr>
          <w:p w:rsidR="0064621B" w:rsidRPr="000140B3" w:rsidRDefault="0064621B" w:rsidP="00EC5AF2">
            <w:pPr>
              <w:pStyle w:val="TableParagraph"/>
              <w:spacing w:line="290" w:lineRule="exact"/>
              <w:ind w:right="58"/>
              <w:jc w:val="center"/>
              <w:rPr>
                <w:rFonts w:ascii="Times New Roman" w:eastAsia="標楷體" w:hAnsi="Times New Roman" w:cs="Times New Roman"/>
                <w:sz w:val="28"/>
                <w:szCs w:val="28"/>
              </w:rPr>
            </w:pPr>
            <w:r w:rsidRPr="000140B3">
              <w:rPr>
                <w:rFonts w:ascii="Times New Roman" w:eastAsia="標楷體" w:hAnsi="Times New Roman" w:cs="Times New Roman"/>
                <w:w w:val="105"/>
                <w:sz w:val="28"/>
                <w:szCs w:val="28"/>
              </w:rPr>
              <w:t>303,585</w:t>
            </w:r>
          </w:p>
        </w:tc>
        <w:tc>
          <w:tcPr>
            <w:tcW w:w="3656" w:type="dxa"/>
            <w:vAlign w:val="center"/>
          </w:tcPr>
          <w:p w:rsidR="0064621B" w:rsidRPr="000140B3" w:rsidRDefault="0064621B" w:rsidP="00EC5AF2">
            <w:pPr>
              <w:pStyle w:val="TableParagraph"/>
              <w:spacing w:line="290" w:lineRule="exact"/>
              <w:ind w:left="279" w:right="210"/>
              <w:jc w:val="center"/>
              <w:rPr>
                <w:rFonts w:ascii="Times New Roman" w:eastAsia="標楷體" w:hAnsi="Times New Roman" w:cs="Times New Roman"/>
                <w:sz w:val="28"/>
                <w:szCs w:val="28"/>
              </w:rPr>
            </w:pPr>
            <w:r w:rsidRPr="000140B3">
              <w:rPr>
                <w:rFonts w:ascii="Times New Roman" w:eastAsia="標楷體" w:hAnsi="Times New Roman" w:cs="Times New Roman"/>
                <w:w w:val="110"/>
                <w:sz w:val="28"/>
                <w:szCs w:val="28"/>
              </w:rPr>
              <w:t>0.98%</w:t>
            </w:r>
          </w:p>
        </w:tc>
      </w:tr>
      <w:tr w:rsidR="0064621B" w:rsidRPr="000140B3" w:rsidTr="008D58E7">
        <w:trPr>
          <w:trHeight w:val="363"/>
        </w:trPr>
        <w:tc>
          <w:tcPr>
            <w:tcW w:w="1156" w:type="dxa"/>
            <w:vAlign w:val="center"/>
          </w:tcPr>
          <w:p w:rsidR="0064621B" w:rsidRPr="000140B3" w:rsidRDefault="0064621B" w:rsidP="00EC5AF2">
            <w:pPr>
              <w:pStyle w:val="TableParagraph"/>
              <w:spacing w:before="5" w:line="298" w:lineRule="exact"/>
              <w:ind w:left="109"/>
              <w:jc w:val="center"/>
              <w:rPr>
                <w:rFonts w:ascii="Times New Roman" w:eastAsia="標楷體" w:hAnsi="Times New Roman" w:cs="Times New Roman"/>
                <w:sz w:val="28"/>
                <w:szCs w:val="28"/>
              </w:rPr>
            </w:pPr>
            <w:r w:rsidRPr="000140B3">
              <w:rPr>
                <w:rFonts w:ascii="Times New Roman" w:eastAsia="標楷體" w:hAnsi="Times New Roman" w:cs="Times New Roman"/>
                <w:w w:val="105"/>
                <w:sz w:val="28"/>
                <w:szCs w:val="28"/>
              </w:rPr>
              <w:t>111</w:t>
            </w:r>
          </w:p>
        </w:tc>
        <w:tc>
          <w:tcPr>
            <w:tcW w:w="2621" w:type="dxa"/>
            <w:vAlign w:val="center"/>
          </w:tcPr>
          <w:p w:rsidR="0064621B" w:rsidRPr="000140B3" w:rsidRDefault="0064621B" w:rsidP="00EC5AF2">
            <w:pPr>
              <w:pStyle w:val="TableParagraph"/>
              <w:spacing w:line="290" w:lineRule="exact"/>
              <w:ind w:right="79"/>
              <w:jc w:val="center"/>
              <w:rPr>
                <w:rFonts w:ascii="Times New Roman" w:eastAsia="標楷體" w:hAnsi="Times New Roman" w:cs="Times New Roman"/>
                <w:sz w:val="28"/>
                <w:szCs w:val="28"/>
              </w:rPr>
            </w:pPr>
            <w:r w:rsidRPr="000140B3">
              <w:rPr>
                <w:rFonts w:ascii="Times New Roman" w:eastAsia="標楷體" w:hAnsi="Times New Roman" w:cs="Times New Roman"/>
                <w:sz w:val="28"/>
                <w:szCs w:val="28"/>
              </w:rPr>
              <w:t>1,657</w:t>
            </w:r>
          </w:p>
        </w:tc>
        <w:tc>
          <w:tcPr>
            <w:tcW w:w="2560" w:type="dxa"/>
            <w:vAlign w:val="center"/>
          </w:tcPr>
          <w:p w:rsidR="0064621B" w:rsidRPr="000140B3" w:rsidRDefault="0064621B" w:rsidP="00EC5AF2">
            <w:pPr>
              <w:pStyle w:val="TableParagraph"/>
              <w:spacing w:line="290" w:lineRule="exact"/>
              <w:ind w:right="69"/>
              <w:jc w:val="center"/>
              <w:rPr>
                <w:rFonts w:ascii="Times New Roman" w:eastAsia="標楷體" w:hAnsi="Times New Roman" w:cs="Times New Roman"/>
                <w:sz w:val="28"/>
                <w:szCs w:val="28"/>
              </w:rPr>
            </w:pPr>
            <w:r w:rsidRPr="000140B3">
              <w:rPr>
                <w:rFonts w:ascii="Times New Roman" w:eastAsia="標楷體" w:hAnsi="Times New Roman" w:cs="Times New Roman"/>
                <w:sz w:val="28"/>
                <w:szCs w:val="28"/>
              </w:rPr>
              <w:t>306,408</w:t>
            </w:r>
          </w:p>
        </w:tc>
        <w:tc>
          <w:tcPr>
            <w:tcW w:w="3656" w:type="dxa"/>
            <w:vAlign w:val="center"/>
          </w:tcPr>
          <w:p w:rsidR="0064621B" w:rsidRPr="000140B3" w:rsidRDefault="0064621B" w:rsidP="00EC5AF2">
            <w:pPr>
              <w:pStyle w:val="TableParagraph"/>
              <w:spacing w:line="290" w:lineRule="exact"/>
              <w:ind w:left="279" w:right="210"/>
              <w:jc w:val="center"/>
              <w:rPr>
                <w:rFonts w:ascii="Times New Roman" w:eastAsia="標楷體" w:hAnsi="Times New Roman" w:cs="Times New Roman"/>
                <w:sz w:val="28"/>
                <w:szCs w:val="28"/>
              </w:rPr>
            </w:pPr>
            <w:r w:rsidRPr="000140B3">
              <w:rPr>
                <w:rFonts w:ascii="Times New Roman" w:eastAsia="標楷體" w:hAnsi="Times New Roman" w:cs="Times New Roman"/>
                <w:w w:val="110"/>
                <w:sz w:val="28"/>
                <w:szCs w:val="28"/>
              </w:rPr>
              <w:t>0.54%</w:t>
            </w:r>
          </w:p>
        </w:tc>
      </w:tr>
      <w:tr w:rsidR="0064621B" w:rsidRPr="000140B3" w:rsidTr="008D58E7">
        <w:trPr>
          <w:trHeight w:val="355"/>
        </w:trPr>
        <w:tc>
          <w:tcPr>
            <w:tcW w:w="1156" w:type="dxa"/>
            <w:vAlign w:val="center"/>
          </w:tcPr>
          <w:p w:rsidR="0064621B" w:rsidRPr="000140B3" w:rsidRDefault="0064621B" w:rsidP="00EC5AF2">
            <w:pPr>
              <w:pStyle w:val="TableParagraph"/>
              <w:spacing w:line="297" w:lineRule="exact"/>
              <w:ind w:left="117"/>
              <w:jc w:val="center"/>
              <w:rPr>
                <w:rFonts w:ascii="Times New Roman" w:eastAsia="標楷體" w:hAnsi="Times New Roman" w:cs="Times New Roman"/>
                <w:sz w:val="28"/>
                <w:szCs w:val="28"/>
              </w:rPr>
            </w:pPr>
            <w:r w:rsidRPr="000140B3">
              <w:rPr>
                <w:rFonts w:ascii="Times New Roman" w:eastAsia="標楷體" w:hAnsi="Times New Roman" w:cs="Times New Roman"/>
                <w:w w:val="105"/>
                <w:sz w:val="28"/>
                <w:szCs w:val="28"/>
              </w:rPr>
              <w:t>112</w:t>
            </w:r>
          </w:p>
        </w:tc>
        <w:tc>
          <w:tcPr>
            <w:tcW w:w="2621" w:type="dxa"/>
            <w:vAlign w:val="center"/>
          </w:tcPr>
          <w:p w:rsidR="0064621B" w:rsidRPr="000140B3" w:rsidRDefault="0064621B" w:rsidP="00EC5AF2">
            <w:pPr>
              <w:pStyle w:val="TableParagraph"/>
              <w:spacing w:line="290" w:lineRule="exact"/>
              <w:ind w:right="72"/>
              <w:jc w:val="center"/>
              <w:rPr>
                <w:rFonts w:ascii="Times New Roman" w:eastAsia="標楷體" w:hAnsi="Times New Roman" w:cs="Times New Roman"/>
                <w:sz w:val="28"/>
                <w:szCs w:val="28"/>
              </w:rPr>
            </w:pPr>
            <w:r w:rsidRPr="000140B3">
              <w:rPr>
                <w:rFonts w:ascii="Times New Roman" w:eastAsia="標楷體" w:hAnsi="Times New Roman" w:cs="Times New Roman"/>
                <w:bCs/>
                <w:sz w:val="28"/>
                <w:szCs w:val="28"/>
                <w:lang w:eastAsia="zh-TW"/>
              </w:rPr>
              <w:t>1,268</w:t>
            </w:r>
          </w:p>
        </w:tc>
        <w:tc>
          <w:tcPr>
            <w:tcW w:w="2560" w:type="dxa"/>
            <w:vAlign w:val="center"/>
          </w:tcPr>
          <w:p w:rsidR="0064621B" w:rsidRPr="000140B3" w:rsidRDefault="0064621B" w:rsidP="00EC5AF2">
            <w:pPr>
              <w:pStyle w:val="TableParagraph"/>
              <w:spacing w:line="297" w:lineRule="exact"/>
              <w:ind w:right="69"/>
              <w:jc w:val="center"/>
              <w:rPr>
                <w:rFonts w:ascii="Times New Roman" w:eastAsia="標楷體" w:hAnsi="Times New Roman" w:cs="Times New Roman"/>
                <w:sz w:val="28"/>
                <w:szCs w:val="28"/>
              </w:rPr>
            </w:pPr>
            <w:r w:rsidRPr="000140B3">
              <w:rPr>
                <w:rFonts w:ascii="Times New Roman" w:eastAsia="標楷體" w:hAnsi="Times New Roman" w:cs="Times New Roman"/>
                <w:bCs/>
                <w:sz w:val="28"/>
                <w:szCs w:val="28"/>
                <w:lang w:eastAsia="zh-TW"/>
              </w:rPr>
              <w:t>319,312</w:t>
            </w:r>
          </w:p>
        </w:tc>
        <w:tc>
          <w:tcPr>
            <w:tcW w:w="3656" w:type="dxa"/>
            <w:vAlign w:val="center"/>
          </w:tcPr>
          <w:p w:rsidR="0064621B" w:rsidRPr="000140B3" w:rsidRDefault="0064621B" w:rsidP="00EC5AF2">
            <w:pPr>
              <w:pStyle w:val="TableParagraph"/>
              <w:spacing w:line="297" w:lineRule="exact"/>
              <w:ind w:left="276" w:right="210"/>
              <w:jc w:val="center"/>
              <w:rPr>
                <w:rFonts w:ascii="Times New Roman" w:eastAsia="標楷體" w:hAnsi="Times New Roman" w:cs="Times New Roman"/>
                <w:sz w:val="28"/>
                <w:szCs w:val="28"/>
              </w:rPr>
            </w:pPr>
            <w:r w:rsidRPr="000140B3">
              <w:rPr>
                <w:rFonts w:ascii="Times New Roman" w:eastAsia="標楷體" w:hAnsi="Times New Roman" w:cs="Times New Roman"/>
                <w:bCs/>
                <w:sz w:val="28"/>
                <w:szCs w:val="28"/>
                <w:lang w:eastAsia="zh-TW"/>
              </w:rPr>
              <w:t>0.40%</w:t>
            </w:r>
          </w:p>
        </w:tc>
      </w:tr>
    </w:tbl>
    <w:p w:rsidR="0064621B" w:rsidRPr="000140B3" w:rsidRDefault="0064621B" w:rsidP="0064621B">
      <w:pPr>
        <w:pStyle w:val="5"/>
        <w:numPr>
          <w:ilvl w:val="0"/>
          <w:numId w:val="0"/>
        </w:numPr>
        <w:spacing w:afterLines="50" w:after="228"/>
        <w:ind w:leftChars="-100" w:left="-80" w:hangingChars="100" w:hanging="260"/>
        <w:rPr>
          <w:rFonts w:ascii="Times New Roman" w:hAnsi="Times New Roman"/>
          <w:sz w:val="24"/>
          <w:szCs w:val="24"/>
        </w:rPr>
      </w:pPr>
      <w:r w:rsidRPr="000140B3">
        <w:rPr>
          <w:rFonts w:ascii="Times New Roman" w:hAnsi="Times New Roman"/>
          <w:sz w:val="24"/>
          <w:szCs w:val="24"/>
        </w:rPr>
        <w:t>資料來源：金管會。</w:t>
      </w:r>
    </w:p>
    <w:p w:rsidR="0064621B" w:rsidRPr="000140B3" w:rsidRDefault="0064621B" w:rsidP="0064621B">
      <w:pPr>
        <w:pStyle w:val="4"/>
        <w:rPr>
          <w:rFonts w:ascii="Times New Roman" w:hAnsi="Times New Roman"/>
        </w:rPr>
      </w:pPr>
      <w:r w:rsidRPr="000140B3">
        <w:rPr>
          <w:rFonts w:ascii="Times New Roman" w:hAnsi="Times New Roman"/>
        </w:rPr>
        <w:t>我國證券期貨業於</w:t>
      </w:r>
      <w:proofErr w:type="gramStart"/>
      <w:r w:rsidRPr="000140B3">
        <w:rPr>
          <w:rFonts w:ascii="Times New Roman" w:hAnsi="Times New Roman"/>
        </w:rPr>
        <w:t>中國大陸暴險概況</w:t>
      </w:r>
      <w:proofErr w:type="gramEnd"/>
      <w:r w:rsidRPr="000140B3">
        <w:rPr>
          <w:rFonts w:ascii="Times New Roman" w:hAnsi="Times New Roman"/>
        </w:rPr>
        <w:t>，</w:t>
      </w:r>
      <w:proofErr w:type="gramStart"/>
      <w:r w:rsidRPr="000140B3">
        <w:rPr>
          <w:rFonts w:ascii="Times New Roman" w:hAnsi="Times New Roman"/>
        </w:rPr>
        <w:t>詳</w:t>
      </w:r>
      <w:proofErr w:type="gramEnd"/>
      <w:r w:rsidRPr="000140B3">
        <w:rPr>
          <w:rFonts w:ascii="Times New Roman" w:hAnsi="Times New Roman"/>
        </w:rPr>
        <w:t>表</w:t>
      </w:r>
      <w:r w:rsidR="0055028A" w:rsidRPr="000140B3">
        <w:rPr>
          <w:rFonts w:ascii="Times New Roman" w:hAnsi="Times New Roman" w:hint="eastAsia"/>
        </w:rPr>
        <w:t>3</w:t>
      </w:r>
      <w:r w:rsidRPr="000140B3">
        <w:rPr>
          <w:rFonts w:ascii="Times New Roman" w:hAnsi="Times New Roman"/>
        </w:rPr>
        <w:t>：</w:t>
      </w:r>
    </w:p>
    <w:p w:rsidR="0064621B" w:rsidRPr="000140B3" w:rsidRDefault="0064621B" w:rsidP="0064621B">
      <w:pPr>
        <w:pStyle w:val="5"/>
        <w:rPr>
          <w:rFonts w:ascii="Times New Roman" w:hAnsi="Times New Roman"/>
        </w:rPr>
      </w:pPr>
      <w:r w:rsidRPr="000140B3">
        <w:rPr>
          <w:rFonts w:ascii="Times New Roman" w:hAnsi="Times New Roman"/>
        </w:rPr>
        <w:t>我國證券期貨業對</w:t>
      </w:r>
      <w:proofErr w:type="gramStart"/>
      <w:r w:rsidRPr="000140B3">
        <w:rPr>
          <w:rFonts w:ascii="Times New Roman" w:hAnsi="Times New Roman"/>
        </w:rPr>
        <w:t>中國大陸暴險金額</w:t>
      </w:r>
      <w:proofErr w:type="gramEnd"/>
      <w:r w:rsidRPr="000140B3">
        <w:rPr>
          <w:rFonts w:ascii="Times New Roman" w:hAnsi="Times New Roman"/>
        </w:rPr>
        <w:t>由</w:t>
      </w:r>
      <w:r w:rsidRPr="000140B3">
        <w:rPr>
          <w:rFonts w:ascii="Times New Roman" w:hAnsi="Times New Roman"/>
        </w:rPr>
        <w:t>109</w:t>
      </w:r>
      <w:r w:rsidRPr="000140B3">
        <w:rPr>
          <w:rFonts w:ascii="Times New Roman" w:hAnsi="Times New Roman"/>
        </w:rPr>
        <w:t>年底之</w:t>
      </w:r>
      <w:r w:rsidRPr="000140B3">
        <w:rPr>
          <w:rFonts w:ascii="Times New Roman" w:hAnsi="Times New Roman"/>
        </w:rPr>
        <w:t>168.26</w:t>
      </w:r>
      <w:r w:rsidRPr="000140B3">
        <w:rPr>
          <w:rFonts w:ascii="Times New Roman" w:hAnsi="Times New Roman"/>
        </w:rPr>
        <w:t>億元逐年下滑至</w:t>
      </w:r>
      <w:r w:rsidRPr="000140B3">
        <w:rPr>
          <w:rFonts w:ascii="Times New Roman" w:hAnsi="Times New Roman"/>
        </w:rPr>
        <w:t>112</w:t>
      </w:r>
      <w:r w:rsidRPr="000140B3">
        <w:rPr>
          <w:rFonts w:ascii="Times New Roman" w:hAnsi="Times New Roman"/>
        </w:rPr>
        <w:t>年底之</w:t>
      </w:r>
      <w:r w:rsidRPr="000140B3">
        <w:rPr>
          <w:rFonts w:ascii="Times New Roman" w:hAnsi="Times New Roman"/>
        </w:rPr>
        <w:t>129.38</w:t>
      </w:r>
      <w:r w:rsidRPr="000140B3">
        <w:rPr>
          <w:rFonts w:ascii="Times New Roman" w:hAnsi="Times New Roman"/>
        </w:rPr>
        <w:t>億元。</w:t>
      </w:r>
    </w:p>
    <w:p w:rsidR="0064621B" w:rsidRPr="000140B3" w:rsidRDefault="0064621B" w:rsidP="0064621B">
      <w:pPr>
        <w:pStyle w:val="5"/>
        <w:rPr>
          <w:rFonts w:ascii="Times New Roman" w:hAnsi="Times New Roman"/>
        </w:rPr>
      </w:pPr>
      <w:r w:rsidRPr="000140B3">
        <w:rPr>
          <w:rFonts w:ascii="Times New Roman" w:hAnsi="Times New Roman"/>
        </w:rPr>
        <w:t>我國證券期貨業對</w:t>
      </w:r>
      <w:proofErr w:type="gramStart"/>
      <w:r w:rsidRPr="000140B3">
        <w:rPr>
          <w:rFonts w:ascii="Times New Roman" w:hAnsi="Times New Roman"/>
        </w:rPr>
        <w:t>中國大陸暴險金額</w:t>
      </w:r>
      <w:proofErr w:type="gramEnd"/>
      <w:r w:rsidRPr="000140B3">
        <w:rPr>
          <w:rFonts w:ascii="Times New Roman" w:hAnsi="Times New Roman"/>
        </w:rPr>
        <w:t>占證券期貨業淨值之百分比由</w:t>
      </w:r>
      <w:r w:rsidRPr="000140B3">
        <w:rPr>
          <w:rFonts w:ascii="Times New Roman" w:hAnsi="Times New Roman"/>
        </w:rPr>
        <w:t>109</w:t>
      </w:r>
      <w:r w:rsidRPr="000140B3">
        <w:rPr>
          <w:rFonts w:ascii="Times New Roman" w:hAnsi="Times New Roman"/>
        </w:rPr>
        <w:t>年底之</w:t>
      </w:r>
      <w:r w:rsidRPr="000140B3">
        <w:rPr>
          <w:rFonts w:ascii="Times New Roman" w:hAnsi="Times New Roman"/>
        </w:rPr>
        <w:t>2.63%</w:t>
      </w:r>
      <w:r w:rsidRPr="000140B3">
        <w:rPr>
          <w:rFonts w:ascii="Times New Roman" w:hAnsi="Times New Roman"/>
        </w:rPr>
        <w:t>，逐年下滑至</w:t>
      </w:r>
      <w:r w:rsidRPr="000140B3">
        <w:rPr>
          <w:rFonts w:ascii="Times New Roman" w:hAnsi="Times New Roman"/>
        </w:rPr>
        <w:t>112</w:t>
      </w:r>
      <w:r w:rsidRPr="000140B3">
        <w:rPr>
          <w:rFonts w:ascii="Times New Roman" w:hAnsi="Times New Roman"/>
        </w:rPr>
        <w:t>年之</w:t>
      </w:r>
      <w:r w:rsidRPr="000140B3">
        <w:rPr>
          <w:rFonts w:ascii="Times New Roman" w:hAnsi="Times New Roman"/>
        </w:rPr>
        <w:t>1.76%</w:t>
      </w:r>
      <w:r w:rsidRPr="000140B3">
        <w:rPr>
          <w:rFonts w:ascii="Times New Roman" w:hAnsi="Times New Roman"/>
        </w:rPr>
        <w:t>。</w:t>
      </w:r>
    </w:p>
    <w:p w:rsidR="0064621B" w:rsidRPr="000140B3" w:rsidRDefault="0064621B" w:rsidP="0064621B">
      <w:pPr>
        <w:pStyle w:val="a4"/>
        <w:jc w:val="center"/>
        <w:rPr>
          <w:rFonts w:ascii="Times New Roman" w:hAnsi="Times New Roman"/>
          <w:b/>
        </w:rPr>
      </w:pPr>
      <w:r w:rsidRPr="000140B3">
        <w:rPr>
          <w:rFonts w:ascii="Times New Roman" w:hAnsi="Times New Roman"/>
          <w:b/>
        </w:rPr>
        <w:t>證券期貨業於</w:t>
      </w:r>
      <w:proofErr w:type="gramStart"/>
      <w:r w:rsidRPr="000140B3">
        <w:rPr>
          <w:rFonts w:ascii="Times New Roman" w:hAnsi="Times New Roman"/>
          <w:b/>
        </w:rPr>
        <w:t>中國大陸暴險情形</w:t>
      </w:r>
      <w:proofErr w:type="gramEnd"/>
    </w:p>
    <w:p w:rsidR="0064621B" w:rsidRPr="000140B3" w:rsidRDefault="0064621B" w:rsidP="0064621B">
      <w:pPr>
        <w:pStyle w:val="affb"/>
        <w:spacing w:afterLines="25" w:after="114"/>
        <w:ind w:left="1276" w:right="-284"/>
        <w:jc w:val="right"/>
        <w:rPr>
          <w:sz w:val="24"/>
        </w:rPr>
      </w:pPr>
      <w:r w:rsidRPr="000140B3">
        <w:rPr>
          <w:sz w:val="24"/>
        </w:rPr>
        <w:t>單位：新臺幣億元</w:t>
      </w:r>
    </w:p>
    <w:tbl>
      <w:tblPr>
        <w:tblW w:w="10907"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7"/>
        <w:gridCol w:w="1003"/>
        <w:gridCol w:w="851"/>
        <w:gridCol w:w="1074"/>
        <w:gridCol w:w="839"/>
        <w:gridCol w:w="1119"/>
        <w:gridCol w:w="839"/>
        <w:gridCol w:w="979"/>
        <w:gridCol w:w="838"/>
        <w:gridCol w:w="1119"/>
        <w:gridCol w:w="839"/>
      </w:tblGrid>
      <w:tr w:rsidR="0064621B" w:rsidRPr="000140B3" w:rsidTr="008D58E7">
        <w:trPr>
          <w:trHeight w:val="242"/>
          <w:tblHeader/>
        </w:trPr>
        <w:tc>
          <w:tcPr>
            <w:tcW w:w="1407" w:type="dxa"/>
          </w:tcPr>
          <w:p w:rsidR="0064621B" w:rsidRPr="000140B3" w:rsidRDefault="0064621B" w:rsidP="00EC5AF2">
            <w:pPr>
              <w:rPr>
                <w:rFonts w:ascii="Times New Roman"/>
                <w:sz w:val="18"/>
                <w:szCs w:val="18"/>
              </w:rPr>
            </w:pPr>
          </w:p>
        </w:tc>
        <w:tc>
          <w:tcPr>
            <w:tcW w:w="1854" w:type="dxa"/>
            <w:gridSpan w:val="2"/>
          </w:tcPr>
          <w:p w:rsidR="0064621B" w:rsidRPr="000140B3" w:rsidRDefault="0064621B" w:rsidP="00EC5AF2">
            <w:pPr>
              <w:jc w:val="center"/>
              <w:rPr>
                <w:rFonts w:ascii="Times New Roman"/>
                <w:sz w:val="18"/>
                <w:szCs w:val="18"/>
              </w:rPr>
            </w:pPr>
            <w:r w:rsidRPr="000140B3">
              <w:rPr>
                <w:rFonts w:ascii="Times New Roman"/>
                <w:w w:val="105"/>
                <w:sz w:val="18"/>
                <w:szCs w:val="18"/>
              </w:rPr>
              <w:t>108</w:t>
            </w:r>
            <w:r w:rsidRPr="000140B3">
              <w:rPr>
                <w:rFonts w:ascii="Times New Roman"/>
                <w:w w:val="105"/>
                <w:sz w:val="18"/>
                <w:szCs w:val="18"/>
              </w:rPr>
              <w:t>年底</w:t>
            </w:r>
          </w:p>
        </w:tc>
        <w:tc>
          <w:tcPr>
            <w:tcW w:w="1913" w:type="dxa"/>
            <w:gridSpan w:val="2"/>
          </w:tcPr>
          <w:p w:rsidR="0064621B" w:rsidRPr="000140B3" w:rsidRDefault="0064621B" w:rsidP="00EC5AF2">
            <w:pPr>
              <w:jc w:val="center"/>
              <w:rPr>
                <w:rFonts w:ascii="Times New Roman"/>
                <w:sz w:val="18"/>
                <w:szCs w:val="18"/>
              </w:rPr>
            </w:pPr>
            <w:r w:rsidRPr="000140B3">
              <w:rPr>
                <w:rFonts w:ascii="Times New Roman"/>
                <w:w w:val="105"/>
                <w:sz w:val="18"/>
                <w:szCs w:val="18"/>
              </w:rPr>
              <w:t>109</w:t>
            </w:r>
            <w:r w:rsidRPr="000140B3">
              <w:rPr>
                <w:rFonts w:ascii="Times New Roman"/>
                <w:w w:val="105"/>
                <w:sz w:val="18"/>
                <w:szCs w:val="18"/>
              </w:rPr>
              <w:t>年底</w:t>
            </w:r>
          </w:p>
        </w:tc>
        <w:tc>
          <w:tcPr>
            <w:tcW w:w="1958" w:type="dxa"/>
            <w:gridSpan w:val="2"/>
          </w:tcPr>
          <w:p w:rsidR="0064621B" w:rsidRPr="000140B3" w:rsidRDefault="0064621B" w:rsidP="00EC5AF2">
            <w:pPr>
              <w:jc w:val="center"/>
              <w:rPr>
                <w:rFonts w:ascii="Times New Roman"/>
                <w:sz w:val="18"/>
                <w:szCs w:val="18"/>
              </w:rPr>
            </w:pPr>
            <w:r w:rsidRPr="000140B3">
              <w:rPr>
                <w:rFonts w:ascii="Times New Roman"/>
                <w:w w:val="105"/>
                <w:sz w:val="18"/>
                <w:szCs w:val="18"/>
              </w:rPr>
              <w:t>110</w:t>
            </w:r>
            <w:r w:rsidRPr="000140B3">
              <w:rPr>
                <w:rFonts w:ascii="Times New Roman"/>
                <w:w w:val="105"/>
                <w:sz w:val="18"/>
                <w:szCs w:val="18"/>
              </w:rPr>
              <w:t>年底</w:t>
            </w:r>
          </w:p>
        </w:tc>
        <w:tc>
          <w:tcPr>
            <w:tcW w:w="1817" w:type="dxa"/>
            <w:gridSpan w:val="2"/>
          </w:tcPr>
          <w:p w:rsidR="0064621B" w:rsidRPr="000140B3" w:rsidRDefault="0064621B" w:rsidP="00EC5AF2">
            <w:pPr>
              <w:jc w:val="center"/>
              <w:rPr>
                <w:rFonts w:ascii="Times New Roman"/>
                <w:sz w:val="18"/>
                <w:szCs w:val="18"/>
              </w:rPr>
            </w:pPr>
            <w:r w:rsidRPr="000140B3">
              <w:rPr>
                <w:rFonts w:ascii="Times New Roman"/>
                <w:w w:val="105"/>
                <w:sz w:val="18"/>
                <w:szCs w:val="18"/>
              </w:rPr>
              <w:t>111</w:t>
            </w:r>
            <w:r w:rsidRPr="000140B3">
              <w:rPr>
                <w:rFonts w:ascii="Times New Roman"/>
                <w:w w:val="105"/>
                <w:sz w:val="18"/>
                <w:szCs w:val="18"/>
              </w:rPr>
              <w:t>年底</w:t>
            </w:r>
          </w:p>
        </w:tc>
        <w:tc>
          <w:tcPr>
            <w:tcW w:w="1958" w:type="dxa"/>
            <w:gridSpan w:val="2"/>
          </w:tcPr>
          <w:p w:rsidR="0064621B" w:rsidRPr="000140B3" w:rsidRDefault="0064621B" w:rsidP="00EC5AF2">
            <w:pPr>
              <w:jc w:val="center"/>
              <w:rPr>
                <w:rFonts w:ascii="Times New Roman"/>
                <w:sz w:val="18"/>
                <w:szCs w:val="18"/>
              </w:rPr>
            </w:pPr>
            <w:r w:rsidRPr="000140B3">
              <w:rPr>
                <w:rFonts w:ascii="Times New Roman"/>
                <w:sz w:val="18"/>
                <w:szCs w:val="18"/>
              </w:rPr>
              <w:t>112</w:t>
            </w:r>
            <w:r w:rsidRPr="000140B3">
              <w:rPr>
                <w:rFonts w:ascii="Times New Roman"/>
                <w:sz w:val="18"/>
                <w:szCs w:val="18"/>
              </w:rPr>
              <w:t>年</w:t>
            </w:r>
            <w:r w:rsidRPr="000140B3">
              <w:rPr>
                <w:rFonts w:ascii="Times New Roman"/>
                <w:spacing w:val="22"/>
                <w:sz w:val="18"/>
                <w:szCs w:val="18"/>
              </w:rPr>
              <w:t>底</w:t>
            </w:r>
          </w:p>
        </w:tc>
      </w:tr>
      <w:tr w:rsidR="0064621B" w:rsidRPr="000140B3" w:rsidTr="008D58E7">
        <w:trPr>
          <w:trHeight w:val="78"/>
          <w:tblHeader/>
        </w:trPr>
        <w:tc>
          <w:tcPr>
            <w:tcW w:w="1407" w:type="dxa"/>
          </w:tcPr>
          <w:p w:rsidR="0064621B" w:rsidRPr="000140B3" w:rsidRDefault="0064621B" w:rsidP="00EC5AF2">
            <w:pPr>
              <w:rPr>
                <w:rFonts w:ascii="Times New Roman"/>
                <w:sz w:val="18"/>
                <w:szCs w:val="18"/>
              </w:rPr>
            </w:pPr>
          </w:p>
        </w:tc>
        <w:tc>
          <w:tcPr>
            <w:tcW w:w="1003" w:type="dxa"/>
          </w:tcPr>
          <w:p w:rsidR="0064621B" w:rsidRPr="000140B3" w:rsidRDefault="0064621B" w:rsidP="008D58E7">
            <w:pPr>
              <w:ind w:leftChars="-28" w:left="1" w:rightChars="-61" w:right="-207" w:hangingChars="44" w:hanging="96"/>
              <w:rPr>
                <w:rFonts w:ascii="Times New Roman"/>
                <w:sz w:val="18"/>
                <w:szCs w:val="18"/>
              </w:rPr>
            </w:pPr>
            <w:r w:rsidRPr="000140B3">
              <w:rPr>
                <w:rFonts w:ascii="Times New Roman"/>
                <w:w w:val="110"/>
                <w:sz w:val="18"/>
                <w:szCs w:val="18"/>
              </w:rPr>
              <w:t>事業</w:t>
            </w:r>
            <w:r w:rsidRPr="000140B3">
              <w:rPr>
                <w:rFonts w:ascii="Times New Roman"/>
                <w:w w:val="105"/>
                <w:sz w:val="18"/>
                <w:szCs w:val="18"/>
              </w:rPr>
              <w:t>性投資</w:t>
            </w:r>
          </w:p>
        </w:tc>
        <w:tc>
          <w:tcPr>
            <w:tcW w:w="851" w:type="dxa"/>
          </w:tcPr>
          <w:p w:rsidR="0064621B" w:rsidRPr="000140B3" w:rsidRDefault="0064621B" w:rsidP="008D58E7">
            <w:pPr>
              <w:ind w:leftChars="-20" w:left="2" w:rightChars="-34" w:right="-116" w:hangingChars="35" w:hanging="70"/>
              <w:rPr>
                <w:rFonts w:ascii="Times New Roman"/>
                <w:sz w:val="18"/>
                <w:szCs w:val="18"/>
              </w:rPr>
            </w:pPr>
            <w:r w:rsidRPr="000140B3">
              <w:rPr>
                <w:rFonts w:ascii="Times New Roman"/>
                <w:sz w:val="18"/>
                <w:szCs w:val="18"/>
              </w:rPr>
              <w:t>自營部位</w:t>
            </w:r>
          </w:p>
        </w:tc>
        <w:tc>
          <w:tcPr>
            <w:tcW w:w="1074" w:type="dxa"/>
          </w:tcPr>
          <w:p w:rsidR="0064621B" w:rsidRPr="000140B3" w:rsidRDefault="0064621B" w:rsidP="008D58E7">
            <w:pPr>
              <w:ind w:leftChars="-19" w:left="-2" w:rightChars="-48" w:right="-163" w:hangingChars="29" w:hanging="63"/>
              <w:rPr>
                <w:rFonts w:ascii="Times New Roman"/>
                <w:sz w:val="18"/>
                <w:szCs w:val="18"/>
              </w:rPr>
            </w:pPr>
            <w:r w:rsidRPr="000140B3">
              <w:rPr>
                <w:rFonts w:ascii="Times New Roman"/>
                <w:w w:val="110"/>
                <w:sz w:val="18"/>
                <w:szCs w:val="18"/>
              </w:rPr>
              <w:t>事業</w:t>
            </w:r>
            <w:r w:rsidRPr="000140B3">
              <w:rPr>
                <w:rFonts w:ascii="Times New Roman"/>
                <w:w w:val="105"/>
                <w:sz w:val="18"/>
                <w:szCs w:val="18"/>
              </w:rPr>
              <w:t>性投資</w:t>
            </w:r>
          </w:p>
        </w:tc>
        <w:tc>
          <w:tcPr>
            <w:tcW w:w="839" w:type="dxa"/>
          </w:tcPr>
          <w:p w:rsidR="0064621B" w:rsidRPr="000140B3" w:rsidRDefault="0064621B" w:rsidP="008D58E7">
            <w:pPr>
              <w:ind w:leftChars="-25" w:left="5" w:rightChars="-32" w:right="-109" w:hangingChars="45" w:hanging="90"/>
              <w:rPr>
                <w:rFonts w:ascii="Times New Roman"/>
                <w:sz w:val="18"/>
                <w:szCs w:val="18"/>
              </w:rPr>
            </w:pPr>
            <w:r w:rsidRPr="000140B3">
              <w:rPr>
                <w:rFonts w:ascii="Times New Roman"/>
                <w:sz w:val="18"/>
                <w:szCs w:val="18"/>
              </w:rPr>
              <w:t>自營部位</w:t>
            </w:r>
          </w:p>
        </w:tc>
        <w:tc>
          <w:tcPr>
            <w:tcW w:w="1119" w:type="dxa"/>
          </w:tcPr>
          <w:p w:rsidR="0064621B" w:rsidRPr="000140B3" w:rsidRDefault="0064621B" w:rsidP="008D58E7">
            <w:pPr>
              <w:ind w:leftChars="-9" w:left="2" w:rightChars="-44" w:right="-150" w:hangingChars="15" w:hanging="33"/>
              <w:rPr>
                <w:rFonts w:ascii="Times New Roman"/>
                <w:sz w:val="18"/>
                <w:szCs w:val="18"/>
              </w:rPr>
            </w:pPr>
            <w:r w:rsidRPr="000140B3">
              <w:rPr>
                <w:rFonts w:ascii="Times New Roman"/>
                <w:w w:val="110"/>
                <w:sz w:val="18"/>
                <w:szCs w:val="18"/>
              </w:rPr>
              <w:t>事業</w:t>
            </w:r>
            <w:r w:rsidRPr="000140B3">
              <w:rPr>
                <w:rFonts w:ascii="Times New Roman"/>
                <w:w w:val="105"/>
                <w:sz w:val="18"/>
                <w:szCs w:val="18"/>
              </w:rPr>
              <w:t>性投資</w:t>
            </w:r>
          </w:p>
        </w:tc>
        <w:tc>
          <w:tcPr>
            <w:tcW w:w="839" w:type="dxa"/>
          </w:tcPr>
          <w:p w:rsidR="0064621B" w:rsidRPr="000140B3" w:rsidRDefault="0064621B" w:rsidP="00FD74D2">
            <w:pPr>
              <w:ind w:leftChars="-8" w:left="-1" w:rightChars="-61" w:right="-207" w:hangingChars="13" w:hanging="26"/>
              <w:jc w:val="left"/>
              <w:rPr>
                <w:rFonts w:ascii="Times New Roman"/>
                <w:sz w:val="18"/>
                <w:szCs w:val="18"/>
              </w:rPr>
            </w:pPr>
            <w:r w:rsidRPr="000140B3">
              <w:rPr>
                <w:rFonts w:ascii="Times New Roman"/>
                <w:sz w:val="18"/>
                <w:szCs w:val="18"/>
              </w:rPr>
              <w:t>自營部位</w:t>
            </w:r>
          </w:p>
        </w:tc>
        <w:tc>
          <w:tcPr>
            <w:tcW w:w="979" w:type="dxa"/>
          </w:tcPr>
          <w:p w:rsidR="0064621B" w:rsidRPr="000140B3" w:rsidRDefault="0064621B" w:rsidP="00FD74D2">
            <w:pPr>
              <w:ind w:leftChars="-43" w:left="2" w:rightChars="-65" w:right="-221" w:hangingChars="68" w:hanging="148"/>
              <w:rPr>
                <w:rFonts w:ascii="Times New Roman"/>
                <w:sz w:val="18"/>
                <w:szCs w:val="18"/>
              </w:rPr>
            </w:pPr>
            <w:r w:rsidRPr="000140B3">
              <w:rPr>
                <w:rFonts w:ascii="Times New Roman"/>
                <w:w w:val="110"/>
                <w:sz w:val="18"/>
                <w:szCs w:val="18"/>
              </w:rPr>
              <w:t>事業</w:t>
            </w:r>
            <w:r w:rsidRPr="000140B3">
              <w:rPr>
                <w:rFonts w:ascii="Times New Roman"/>
                <w:w w:val="105"/>
                <w:sz w:val="18"/>
                <w:szCs w:val="18"/>
              </w:rPr>
              <w:t>性投資</w:t>
            </w:r>
          </w:p>
        </w:tc>
        <w:tc>
          <w:tcPr>
            <w:tcW w:w="838" w:type="dxa"/>
          </w:tcPr>
          <w:p w:rsidR="0064621B" w:rsidRPr="000140B3" w:rsidRDefault="0064621B" w:rsidP="00FD74D2">
            <w:pPr>
              <w:ind w:leftChars="-40" w:rightChars="-56" w:right="-190" w:hangingChars="68" w:hanging="136"/>
              <w:rPr>
                <w:rFonts w:ascii="Times New Roman"/>
                <w:sz w:val="18"/>
                <w:szCs w:val="18"/>
              </w:rPr>
            </w:pPr>
            <w:r w:rsidRPr="000140B3">
              <w:rPr>
                <w:rFonts w:ascii="Times New Roman"/>
                <w:sz w:val="18"/>
                <w:szCs w:val="18"/>
              </w:rPr>
              <w:t>自營部位</w:t>
            </w:r>
          </w:p>
        </w:tc>
        <w:tc>
          <w:tcPr>
            <w:tcW w:w="1119" w:type="dxa"/>
          </w:tcPr>
          <w:p w:rsidR="0064621B" w:rsidRPr="000140B3" w:rsidRDefault="0064621B" w:rsidP="00FD74D2">
            <w:pPr>
              <w:ind w:leftChars="-37" w:rightChars="-63" w:right="-214" w:hangingChars="58" w:hanging="126"/>
              <w:rPr>
                <w:rFonts w:ascii="Times New Roman"/>
                <w:w w:val="110"/>
                <w:sz w:val="18"/>
                <w:szCs w:val="18"/>
              </w:rPr>
            </w:pPr>
            <w:r w:rsidRPr="000140B3">
              <w:rPr>
                <w:rFonts w:ascii="Times New Roman"/>
                <w:w w:val="110"/>
                <w:sz w:val="18"/>
                <w:szCs w:val="18"/>
              </w:rPr>
              <w:t>事業性投資</w:t>
            </w:r>
          </w:p>
        </w:tc>
        <w:tc>
          <w:tcPr>
            <w:tcW w:w="839" w:type="dxa"/>
          </w:tcPr>
          <w:p w:rsidR="0064621B" w:rsidRPr="000140B3" w:rsidRDefault="0064621B" w:rsidP="00FD74D2">
            <w:pPr>
              <w:ind w:leftChars="-32" w:rightChars="-63" w:right="-214" w:hangingChars="50" w:hanging="109"/>
              <w:rPr>
                <w:rFonts w:ascii="Times New Roman"/>
                <w:w w:val="110"/>
                <w:sz w:val="18"/>
                <w:szCs w:val="18"/>
              </w:rPr>
            </w:pPr>
            <w:r w:rsidRPr="000140B3">
              <w:rPr>
                <w:rFonts w:ascii="Times New Roman"/>
                <w:w w:val="110"/>
                <w:sz w:val="18"/>
                <w:szCs w:val="18"/>
              </w:rPr>
              <w:t>自營部位</w:t>
            </w:r>
          </w:p>
        </w:tc>
      </w:tr>
      <w:tr w:rsidR="0064621B" w:rsidRPr="000140B3" w:rsidTr="008D58E7">
        <w:trPr>
          <w:trHeight w:val="272"/>
        </w:trPr>
        <w:tc>
          <w:tcPr>
            <w:tcW w:w="1407" w:type="dxa"/>
          </w:tcPr>
          <w:p w:rsidR="0064621B" w:rsidRPr="000140B3" w:rsidRDefault="0064621B" w:rsidP="008D58E7">
            <w:pPr>
              <w:ind w:leftChars="-31" w:left="-105"/>
              <w:rPr>
                <w:rFonts w:ascii="Times New Roman"/>
                <w:sz w:val="18"/>
                <w:szCs w:val="18"/>
              </w:rPr>
            </w:pPr>
            <w:r w:rsidRPr="000140B3">
              <w:rPr>
                <w:rFonts w:ascii="Times New Roman"/>
                <w:sz w:val="18"/>
                <w:szCs w:val="18"/>
              </w:rPr>
              <w:t>證券商</w:t>
            </w:r>
          </w:p>
        </w:tc>
        <w:tc>
          <w:tcPr>
            <w:tcW w:w="1003" w:type="dxa"/>
          </w:tcPr>
          <w:p w:rsidR="0064621B" w:rsidRPr="000140B3" w:rsidRDefault="0064621B" w:rsidP="00EC5AF2">
            <w:pPr>
              <w:jc w:val="right"/>
              <w:rPr>
                <w:rFonts w:ascii="Times New Roman"/>
                <w:sz w:val="18"/>
                <w:szCs w:val="18"/>
              </w:rPr>
            </w:pPr>
            <w:r w:rsidRPr="000140B3">
              <w:rPr>
                <w:rFonts w:ascii="Times New Roman"/>
                <w:w w:val="95"/>
                <w:sz w:val="18"/>
                <w:szCs w:val="18"/>
              </w:rPr>
              <w:t>18.16</w:t>
            </w:r>
          </w:p>
        </w:tc>
        <w:tc>
          <w:tcPr>
            <w:tcW w:w="851" w:type="dxa"/>
          </w:tcPr>
          <w:p w:rsidR="0064621B" w:rsidRPr="000140B3" w:rsidRDefault="0064621B" w:rsidP="00EC5AF2">
            <w:pPr>
              <w:jc w:val="right"/>
              <w:rPr>
                <w:rFonts w:ascii="Times New Roman"/>
                <w:sz w:val="18"/>
                <w:szCs w:val="18"/>
              </w:rPr>
            </w:pPr>
            <w:r w:rsidRPr="000140B3">
              <w:rPr>
                <w:rFonts w:ascii="Times New Roman"/>
                <w:w w:val="105"/>
                <w:sz w:val="18"/>
                <w:szCs w:val="18"/>
              </w:rPr>
              <w:t>106.75</w:t>
            </w:r>
          </w:p>
        </w:tc>
        <w:tc>
          <w:tcPr>
            <w:tcW w:w="1074" w:type="dxa"/>
          </w:tcPr>
          <w:p w:rsidR="0064621B" w:rsidRPr="000140B3" w:rsidRDefault="0064621B" w:rsidP="00EC5AF2">
            <w:pPr>
              <w:jc w:val="right"/>
              <w:rPr>
                <w:rFonts w:ascii="Times New Roman"/>
                <w:sz w:val="18"/>
                <w:szCs w:val="18"/>
              </w:rPr>
            </w:pPr>
            <w:r w:rsidRPr="000140B3">
              <w:rPr>
                <w:rFonts w:ascii="Times New Roman"/>
                <w:sz w:val="18"/>
                <w:szCs w:val="18"/>
              </w:rPr>
              <w:t>34.00</w:t>
            </w:r>
          </w:p>
        </w:tc>
        <w:tc>
          <w:tcPr>
            <w:tcW w:w="839" w:type="dxa"/>
          </w:tcPr>
          <w:p w:rsidR="0064621B" w:rsidRPr="000140B3" w:rsidRDefault="0064621B" w:rsidP="00EC5AF2">
            <w:pPr>
              <w:jc w:val="right"/>
              <w:rPr>
                <w:rFonts w:ascii="Times New Roman"/>
                <w:sz w:val="18"/>
                <w:szCs w:val="18"/>
              </w:rPr>
            </w:pPr>
            <w:r w:rsidRPr="000140B3">
              <w:rPr>
                <w:rFonts w:ascii="Times New Roman"/>
                <w:sz w:val="18"/>
                <w:szCs w:val="18"/>
              </w:rPr>
              <w:t>104.86</w:t>
            </w:r>
          </w:p>
        </w:tc>
        <w:tc>
          <w:tcPr>
            <w:tcW w:w="1119" w:type="dxa"/>
          </w:tcPr>
          <w:p w:rsidR="0064621B" w:rsidRPr="000140B3" w:rsidRDefault="0064621B" w:rsidP="00EC5AF2">
            <w:pPr>
              <w:jc w:val="right"/>
              <w:rPr>
                <w:rFonts w:ascii="Times New Roman"/>
                <w:sz w:val="18"/>
                <w:szCs w:val="18"/>
              </w:rPr>
            </w:pPr>
            <w:r w:rsidRPr="000140B3">
              <w:rPr>
                <w:rFonts w:ascii="Times New Roman"/>
                <w:sz w:val="18"/>
                <w:szCs w:val="18"/>
              </w:rPr>
              <w:t>32.27</w:t>
            </w:r>
          </w:p>
        </w:tc>
        <w:tc>
          <w:tcPr>
            <w:tcW w:w="839" w:type="dxa"/>
          </w:tcPr>
          <w:p w:rsidR="0064621B" w:rsidRPr="000140B3" w:rsidRDefault="0064621B" w:rsidP="00EC5AF2">
            <w:pPr>
              <w:jc w:val="right"/>
              <w:rPr>
                <w:rFonts w:ascii="Times New Roman"/>
                <w:sz w:val="18"/>
                <w:szCs w:val="18"/>
              </w:rPr>
            </w:pPr>
            <w:r w:rsidRPr="000140B3">
              <w:rPr>
                <w:rFonts w:ascii="Times New Roman"/>
                <w:w w:val="105"/>
                <w:sz w:val="18"/>
                <w:szCs w:val="18"/>
              </w:rPr>
              <w:t>93.81</w:t>
            </w:r>
          </w:p>
        </w:tc>
        <w:tc>
          <w:tcPr>
            <w:tcW w:w="979" w:type="dxa"/>
          </w:tcPr>
          <w:p w:rsidR="0064621B" w:rsidRPr="000140B3" w:rsidRDefault="0064621B" w:rsidP="00EC5AF2">
            <w:pPr>
              <w:jc w:val="right"/>
              <w:rPr>
                <w:rFonts w:ascii="Times New Roman"/>
                <w:sz w:val="18"/>
                <w:szCs w:val="18"/>
              </w:rPr>
            </w:pPr>
            <w:r w:rsidRPr="000140B3">
              <w:rPr>
                <w:rFonts w:ascii="Times New Roman"/>
                <w:w w:val="105"/>
                <w:sz w:val="18"/>
                <w:szCs w:val="18"/>
              </w:rPr>
              <w:t>38.84</w:t>
            </w:r>
          </w:p>
        </w:tc>
        <w:tc>
          <w:tcPr>
            <w:tcW w:w="838" w:type="dxa"/>
          </w:tcPr>
          <w:p w:rsidR="0064621B" w:rsidRPr="000140B3" w:rsidRDefault="0064621B" w:rsidP="00EC5AF2">
            <w:pPr>
              <w:jc w:val="right"/>
              <w:rPr>
                <w:rFonts w:ascii="Times New Roman"/>
                <w:sz w:val="18"/>
                <w:szCs w:val="18"/>
              </w:rPr>
            </w:pPr>
            <w:r w:rsidRPr="000140B3">
              <w:rPr>
                <w:rFonts w:ascii="Times New Roman"/>
                <w:sz w:val="18"/>
                <w:szCs w:val="18"/>
              </w:rPr>
              <w:t>75.96</w:t>
            </w:r>
          </w:p>
        </w:tc>
        <w:tc>
          <w:tcPr>
            <w:tcW w:w="1119" w:type="dxa"/>
          </w:tcPr>
          <w:p w:rsidR="0064621B" w:rsidRPr="000140B3" w:rsidRDefault="0064621B" w:rsidP="00EC5AF2">
            <w:pPr>
              <w:jc w:val="right"/>
              <w:rPr>
                <w:rFonts w:ascii="Times New Roman"/>
                <w:w w:val="110"/>
                <w:sz w:val="18"/>
                <w:szCs w:val="18"/>
              </w:rPr>
            </w:pPr>
            <w:r w:rsidRPr="000140B3">
              <w:rPr>
                <w:rFonts w:ascii="Times New Roman"/>
                <w:w w:val="110"/>
                <w:sz w:val="18"/>
                <w:szCs w:val="18"/>
              </w:rPr>
              <w:t>38.84</w:t>
            </w:r>
          </w:p>
        </w:tc>
        <w:tc>
          <w:tcPr>
            <w:tcW w:w="839" w:type="dxa"/>
          </w:tcPr>
          <w:p w:rsidR="0064621B" w:rsidRPr="000140B3" w:rsidRDefault="0064621B" w:rsidP="00EC5AF2">
            <w:pPr>
              <w:jc w:val="right"/>
              <w:rPr>
                <w:rFonts w:ascii="Times New Roman"/>
                <w:w w:val="110"/>
                <w:sz w:val="18"/>
                <w:szCs w:val="18"/>
              </w:rPr>
            </w:pPr>
            <w:r w:rsidRPr="000140B3">
              <w:rPr>
                <w:rFonts w:ascii="Times New Roman"/>
                <w:w w:val="110"/>
                <w:sz w:val="18"/>
                <w:szCs w:val="18"/>
              </w:rPr>
              <w:t>61.14</w:t>
            </w:r>
          </w:p>
        </w:tc>
      </w:tr>
      <w:tr w:rsidR="0064621B" w:rsidRPr="000140B3" w:rsidTr="008D58E7">
        <w:trPr>
          <w:trHeight w:val="278"/>
        </w:trPr>
        <w:tc>
          <w:tcPr>
            <w:tcW w:w="1407" w:type="dxa"/>
          </w:tcPr>
          <w:p w:rsidR="0064621B" w:rsidRPr="000140B3" w:rsidRDefault="0064621B" w:rsidP="008D58E7">
            <w:pPr>
              <w:ind w:leftChars="-31" w:left="-105"/>
              <w:rPr>
                <w:rFonts w:ascii="Times New Roman"/>
                <w:sz w:val="18"/>
                <w:szCs w:val="18"/>
              </w:rPr>
            </w:pPr>
            <w:r w:rsidRPr="000140B3">
              <w:rPr>
                <w:rFonts w:ascii="Times New Roman"/>
                <w:w w:val="105"/>
                <w:sz w:val="18"/>
                <w:szCs w:val="18"/>
              </w:rPr>
              <w:t>期貨商</w:t>
            </w:r>
          </w:p>
        </w:tc>
        <w:tc>
          <w:tcPr>
            <w:tcW w:w="1003" w:type="dxa"/>
          </w:tcPr>
          <w:p w:rsidR="0064621B" w:rsidRPr="000140B3" w:rsidRDefault="0064621B" w:rsidP="00EC5AF2">
            <w:pPr>
              <w:jc w:val="right"/>
              <w:rPr>
                <w:rFonts w:ascii="Times New Roman"/>
                <w:sz w:val="18"/>
                <w:szCs w:val="18"/>
              </w:rPr>
            </w:pPr>
            <w:r w:rsidRPr="000140B3">
              <w:rPr>
                <w:rFonts w:ascii="Times New Roman"/>
                <w:w w:val="105"/>
                <w:sz w:val="18"/>
                <w:szCs w:val="18"/>
              </w:rPr>
              <w:t>2.51</w:t>
            </w:r>
          </w:p>
        </w:tc>
        <w:tc>
          <w:tcPr>
            <w:tcW w:w="851" w:type="dxa"/>
          </w:tcPr>
          <w:p w:rsidR="0064621B" w:rsidRPr="000140B3" w:rsidRDefault="0064621B" w:rsidP="00EC5AF2">
            <w:pPr>
              <w:jc w:val="right"/>
              <w:rPr>
                <w:rFonts w:ascii="Times New Roman"/>
                <w:sz w:val="18"/>
                <w:szCs w:val="18"/>
              </w:rPr>
            </w:pPr>
          </w:p>
        </w:tc>
        <w:tc>
          <w:tcPr>
            <w:tcW w:w="1074" w:type="dxa"/>
          </w:tcPr>
          <w:p w:rsidR="0064621B" w:rsidRPr="000140B3" w:rsidRDefault="0064621B" w:rsidP="00EC5AF2">
            <w:pPr>
              <w:jc w:val="right"/>
              <w:rPr>
                <w:rFonts w:ascii="Times New Roman"/>
                <w:sz w:val="18"/>
                <w:szCs w:val="18"/>
              </w:rPr>
            </w:pPr>
            <w:r w:rsidRPr="000140B3">
              <w:rPr>
                <w:rFonts w:ascii="Times New Roman"/>
                <w:w w:val="105"/>
                <w:sz w:val="18"/>
                <w:szCs w:val="18"/>
              </w:rPr>
              <w:t>2.51</w:t>
            </w:r>
          </w:p>
        </w:tc>
        <w:tc>
          <w:tcPr>
            <w:tcW w:w="839" w:type="dxa"/>
          </w:tcPr>
          <w:p w:rsidR="0064621B" w:rsidRPr="000140B3" w:rsidRDefault="0064621B" w:rsidP="00EC5AF2">
            <w:pPr>
              <w:jc w:val="right"/>
              <w:rPr>
                <w:rFonts w:ascii="Times New Roman"/>
                <w:sz w:val="18"/>
                <w:szCs w:val="18"/>
              </w:rPr>
            </w:pPr>
          </w:p>
        </w:tc>
        <w:tc>
          <w:tcPr>
            <w:tcW w:w="1119" w:type="dxa"/>
          </w:tcPr>
          <w:p w:rsidR="0064621B" w:rsidRPr="000140B3" w:rsidRDefault="0064621B" w:rsidP="00EC5AF2">
            <w:pPr>
              <w:jc w:val="right"/>
              <w:rPr>
                <w:rFonts w:ascii="Times New Roman"/>
                <w:sz w:val="18"/>
                <w:szCs w:val="18"/>
              </w:rPr>
            </w:pPr>
            <w:r w:rsidRPr="000140B3">
              <w:rPr>
                <w:rFonts w:ascii="Times New Roman"/>
                <w:w w:val="105"/>
                <w:sz w:val="18"/>
                <w:szCs w:val="18"/>
              </w:rPr>
              <w:t>2.51</w:t>
            </w:r>
          </w:p>
        </w:tc>
        <w:tc>
          <w:tcPr>
            <w:tcW w:w="839" w:type="dxa"/>
          </w:tcPr>
          <w:p w:rsidR="0064621B" w:rsidRPr="000140B3" w:rsidRDefault="0064621B" w:rsidP="00EC5AF2">
            <w:pPr>
              <w:jc w:val="right"/>
              <w:rPr>
                <w:rFonts w:ascii="Times New Roman"/>
                <w:sz w:val="18"/>
                <w:szCs w:val="18"/>
              </w:rPr>
            </w:pPr>
          </w:p>
        </w:tc>
        <w:tc>
          <w:tcPr>
            <w:tcW w:w="979" w:type="dxa"/>
          </w:tcPr>
          <w:p w:rsidR="0064621B" w:rsidRPr="000140B3" w:rsidRDefault="0064621B" w:rsidP="00EC5AF2">
            <w:pPr>
              <w:jc w:val="right"/>
              <w:rPr>
                <w:rFonts w:ascii="Times New Roman"/>
                <w:sz w:val="18"/>
                <w:szCs w:val="18"/>
              </w:rPr>
            </w:pPr>
            <w:r w:rsidRPr="000140B3">
              <w:rPr>
                <w:rFonts w:ascii="Times New Roman"/>
                <w:w w:val="105"/>
                <w:sz w:val="18"/>
                <w:szCs w:val="18"/>
              </w:rPr>
              <w:t>2.51</w:t>
            </w:r>
          </w:p>
        </w:tc>
        <w:tc>
          <w:tcPr>
            <w:tcW w:w="838" w:type="dxa"/>
          </w:tcPr>
          <w:p w:rsidR="0064621B" w:rsidRPr="000140B3" w:rsidRDefault="0064621B" w:rsidP="00EC5AF2">
            <w:pPr>
              <w:jc w:val="right"/>
              <w:rPr>
                <w:rFonts w:ascii="Times New Roman"/>
                <w:sz w:val="18"/>
                <w:szCs w:val="18"/>
              </w:rPr>
            </w:pPr>
          </w:p>
        </w:tc>
        <w:tc>
          <w:tcPr>
            <w:tcW w:w="1119" w:type="dxa"/>
          </w:tcPr>
          <w:p w:rsidR="0064621B" w:rsidRPr="000140B3" w:rsidRDefault="0064621B" w:rsidP="00EC5AF2">
            <w:pPr>
              <w:jc w:val="right"/>
              <w:rPr>
                <w:rFonts w:ascii="Times New Roman"/>
                <w:w w:val="110"/>
                <w:sz w:val="18"/>
                <w:szCs w:val="18"/>
              </w:rPr>
            </w:pPr>
            <w:r w:rsidRPr="000140B3">
              <w:rPr>
                <w:rFonts w:ascii="Times New Roman"/>
                <w:w w:val="110"/>
                <w:sz w:val="18"/>
                <w:szCs w:val="18"/>
              </w:rPr>
              <w:t>2.51</w:t>
            </w:r>
          </w:p>
        </w:tc>
        <w:tc>
          <w:tcPr>
            <w:tcW w:w="839" w:type="dxa"/>
          </w:tcPr>
          <w:p w:rsidR="0064621B" w:rsidRPr="000140B3" w:rsidRDefault="0064621B" w:rsidP="00EC5AF2">
            <w:pPr>
              <w:jc w:val="right"/>
              <w:rPr>
                <w:rFonts w:ascii="Times New Roman"/>
                <w:w w:val="110"/>
                <w:sz w:val="18"/>
                <w:szCs w:val="18"/>
              </w:rPr>
            </w:pPr>
            <w:r w:rsidRPr="000140B3">
              <w:rPr>
                <w:rFonts w:ascii="Times New Roman"/>
                <w:w w:val="110"/>
                <w:sz w:val="18"/>
                <w:szCs w:val="18"/>
              </w:rPr>
              <w:t>－</w:t>
            </w:r>
          </w:p>
        </w:tc>
      </w:tr>
      <w:tr w:rsidR="0064621B" w:rsidRPr="000140B3" w:rsidTr="008D58E7">
        <w:trPr>
          <w:trHeight w:val="48"/>
        </w:trPr>
        <w:tc>
          <w:tcPr>
            <w:tcW w:w="1407" w:type="dxa"/>
          </w:tcPr>
          <w:p w:rsidR="0064621B" w:rsidRPr="000140B3" w:rsidRDefault="0064621B" w:rsidP="008D58E7">
            <w:pPr>
              <w:ind w:leftChars="-31" w:left="-105" w:rightChars="-62" w:right="-211"/>
              <w:rPr>
                <w:rFonts w:ascii="Times New Roman"/>
                <w:sz w:val="18"/>
                <w:szCs w:val="18"/>
              </w:rPr>
            </w:pPr>
            <w:r w:rsidRPr="000140B3">
              <w:rPr>
                <w:rFonts w:ascii="Times New Roman"/>
                <w:w w:val="115"/>
                <w:sz w:val="18"/>
                <w:szCs w:val="18"/>
              </w:rPr>
              <w:t>投信投顧</w:t>
            </w:r>
            <w:r w:rsidRPr="000140B3">
              <w:rPr>
                <w:rFonts w:ascii="Times New Roman"/>
                <w:w w:val="106"/>
                <w:sz w:val="18"/>
                <w:szCs w:val="18"/>
              </w:rPr>
              <w:t>業</w:t>
            </w:r>
          </w:p>
        </w:tc>
        <w:tc>
          <w:tcPr>
            <w:tcW w:w="1003" w:type="dxa"/>
          </w:tcPr>
          <w:p w:rsidR="0064621B" w:rsidRPr="000140B3" w:rsidRDefault="0064621B" w:rsidP="00EC5AF2">
            <w:pPr>
              <w:jc w:val="right"/>
              <w:rPr>
                <w:rFonts w:ascii="Times New Roman"/>
                <w:sz w:val="18"/>
                <w:szCs w:val="18"/>
              </w:rPr>
            </w:pPr>
            <w:r w:rsidRPr="000140B3">
              <w:rPr>
                <w:rFonts w:ascii="Times New Roman"/>
                <w:sz w:val="18"/>
                <w:szCs w:val="18"/>
              </w:rPr>
              <w:t>26.89</w:t>
            </w:r>
          </w:p>
        </w:tc>
        <w:tc>
          <w:tcPr>
            <w:tcW w:w="851" w:type="dxa"/>
          </w:tcPr>
          <w:p w:rsidR="0064621B" w:rsidRPr="000140B3" w:rsidRDefault="0064621B" w:rsidP="00EC5AF2">
            <w:pPr>
              <w:jc w:val="right"/>
              <w:rPr>
                <w:rFonts w:ascii="Times New Roman"/>
                <w:sz w:val="18"/>
                <w:szCs w:val="18"/>
              </w:rPr>
            </w:pPr>
          </w:p>
        </w:tc>
        <w:tc>
          <w:tcPr>
            <w:tcW w:w="1074" w:type="dxa"/>
          </w:tcPr>
          <w:p w:rsidR="0064621B" w:rsidRPr="000140B3" w:rsidRDefault="0064621B" w:rsidP="00EC5AF2">
            <w:pPr>
              <w:jc w:val="right"/>
              <w:rPr>
                <w:rFonts w:ascii="Times New Roman"/>
                <w:sz w:val="18"/>
                <w:szCs w:val="18"/>
              </w:rPr>
            </w:pPr>
            <w:r w:rsidRPr="000140B3">
              <w:rPr>
                <w:rFonts w:ascii="Times New Roman"/>
                <w:w w:val="115"/>
                <w:sz w:val="18"/>
                <w:szCs w:val="18"/>
              </w:rPr>
              <w:t>26.89</w:t>
            </w:r>
          </w:p>
        </w:tc>
        <w:tc>
          <w:tcPr>
            <w:tcW w:w="839" w:type="dxa"/>
          </w:tcPr>
          <w:p w:rsidR="0064621B" w:rsidRPr="000140B3" w:rsidRDefault="0064621B" w:rsidP="00EC5AF2">
            <w:pPr>
              <w:jc w:val="right"/>
              <w:rPr>
                <w:rFonts w:ascii="Times New Roman"/>
                <w:sz w:val="18"/>
                <w:szCs w:val="18"/>
              </w:rPr>
            </w:pPr>
          </w:p>
        </w:tc>
        <w:tc>
          <w:tcPr>
            <w:tcW w:w="1119" w:type="dxa"/>
          </w:tcPr>
          <w:p w:rsidR="0064621B" w:rsidRPr="000140B3" w:rsidRDefault="0064621B" w:rsidP="00EC5AF2">
            <w:pPr>
              <w:jc w:val="right"/>
              <w:rPr>
                <w:rFonts w:ascii="Times New Roman"/>
                <w:sz w:val="18"/>
                <w:szCs w:val="18"/>
              </w:rPr>
            </w:pPr>
            <w:r w:rsidRPr="000140B3">
              <w:rPr>
                <w:rFonts w:ascii="Times New Roman"/>
                <w:sz w:val="18"/>
                <w:szCs w:val="18"/>
              </w:rPr>
              <w:t>26.89</w:t>
            </w:r>
          </w:p>
        </w:tc>
        <w:tc>
          <w:tcPr>
            <w:tcW w:w="839" w:type="dxa"/>
          </w:tcPr>
          <w:p w:rsidR="0064621B" w:rsidRPr="000140B3" w:rsidRDefault="0064621B" w:rsidP="00EC5AF2">
            <w:pPr>
              <w:jc w:val="right"/>
              <w:rPr>
                <w:rFonts w:ascii="Times New Roman"/>
                <w:sz w:val="18"/>
                <w:szCs w:val="18"/>
              </w:rPr>
            </w:pPr>
            <w:r w:rsidRPr="000140B3">
              <w:rPr>
                <w:rFonts w:ascii="Times New Roman"/>
                <w:w w:val="105"/>
                <w:sz w:val="18"/>
                <w:szCs w:val="18"/>
              </w:rPr>
              <w:t>－</w:t>
            </w:r>
          </w:p>
        </w:tc>
        <w:tc>
          <w:tcPr>
            <w:tcW w:w="979" w:type="dxa"/>
          </w:tcPr>
          <w:p w:rsidR="0064621B" w:rsidRPr="000140B3" w:rsidRDefault="0064621B" w:rsidP="00EC5AF2">
            <w:pPr>
              <w:jc w:val="right"/>
              <w:rPr>
                <w:rFonts w:ascii="Times New Roman"/>
                <w:sz w:val="18"/>
                <w:szCs w:val="18"/>
              </w:rPr>
            </w:pPr>
            <w:r w:rsidRPr="000140B3">
              <w:rPr>
                <w:rFonts w:ascii="Times New Roman"/>
                <w:sz w:val="18"/>
                <w:szCs w:val="18"/>
              </w:rPr>
              <w:t>26.89</w:t>
            </w:r>
          </w:p>
        </w:tc>
        <w:tc>
          <w:tcPr>
            <w:tcW w:w="838" w:type="dxa"/>
          </w:tcPr>
          <w:p w:rsidR="0064621B" w:rsidRPr="000140B3" w:rsidRDefault="0064621B" w:rsidP="00EC5AF2">
            <w:pPr>
              <w:jc w:val="right"/>
              <w:rPr>
                <w:rFonts w:ascii="Times New Roman"/>
                <w:sz w:val="18"/>
                <w:szCs w:val="18"/>
              </w:rPr>
            </w:pPr>
            <w:r w:rsidRPr="000140B3">
              <w:rPr>
                <w:rFonts w:ascii="Times New Roman"/>
                <w:w w:val="89"/>
                <w:sz w:val="18"/>
                <w:szCs w:val="18"/>
              </w:rPr>
              <w:t>-</w:t>
            </w:r>
          </w:p>
        </w:tc>
        <w:tc>
          <w:tcPr>
            <w:tcW w:w="1119" w:type="dxa"/>
          </w:tcPr>
          <w:p w:rsidR="0064621B" w:rsidRPr="000140B3" w:rsidRDefault="0064621B" w:rsidP="00EC5AF2">
            <w:pPr>
              <w:jc w:val="right"/>
              <w:rPr>
                <w:rFonts w:ascii="Times New Roman"/>
                <w:w w:val="110"/>
                <w:sz w:val="18"/>
                <w:szCs w:val="18"/>
              </w:rPr>
            </w:pPr>
            <w:r w:rsidRPr="000140B3">
              <w:rPr>
                <w:rFonts w:ascii="Times New Roman"/>
                <w:w w:val="110"/>
                <w:sz w:val="18"/>
                <w:szCs w:val="18"/>
              </w:rPr>
              <w:t>26.89</w:t>
            </w:r>
          </w:p>
        </w:tc>
        <w:tc>
          <w:tcPr>
            <w:tcW w:w="839" w:type="dxa"/>
          </w:tcPr>
          <w:p w:rsidR="0064621B" w:rsidRPr="000140B3" w:rsidRDefault="0064621B" w:rsidP="00EC5AF2">
            <w:pPr>
              <w:jc w:val="right"/>
              <w:rPr>
                <w:rFonts w:ascii="Times New Roman"/>
                <w:w w:val="110"/>
                <w:sz w:val="18"/>
                <w:szCs w:val="18"/>
              </w:rPr>
            </w:pPr>
            <w:r w:rsidRPr="000140B3">
              <w:rPr>
                <w:rFonts w:ascii="Times New Roman"/>
                <w:w w:val="110"/>
                <w:sz w:val="18"/>
                <w:szCs w:val="18"/>
              </w:rPr>
              <w:t>－</w:t>
            </w:r>
          </w:p>
        </w:tc>
      </w:tr>
      <w:tr w:rsidR="0064621B" w:rsidRPr="000140B3" w:rsidTr="008D58E7">
        <w:trPr>
          <w:trHeight w:val="278"/>
        </w:trPr>
        <w:tc>
          <w:tcPr>
            <w:tcW w:w="1407" w:type="dxa"/>
          </w:tcPr>
          <w:p w:rsidR="0064621B" w:rsidRPr="000140B3" w:rsidRDefault="0064621B" w:rsidP="008D58E7">
            <w:pPr>
              <w:ind w:leftChars="-31" w:left="-105"/>
              <w:rPr>
                <w:rFonts w:ascii="Times New Roman"/>
                <w:sz w:val="18"/>
                <w:szCs w:val="18"/>
              </w:rPr>
            </w:pPr>
            <w:r w:rsidRPr="000140B3">
              <w:rPr>
                <w:rFonts w:ascii="Times New Roman"/>
                <w:w w:val="105"/>
                <w:sz w:val="18"/>
                <w:szCs w:val="18"/>
              </w:rPr>
              <w:lastRenderedPageBreak/>
              <w:t>小計</w:t>
            </w:r>
          </w:p>
        </w:tc>
        <w:tc>
          <w:tcPr>
            <w:tcW w:w="1003" w:type="dxa"/>
          </w:tcPr>
          <w:p w:rsidR="0064621B" w:rsidRPr="000140B3" w:rsidRDefault="0064621B" w:rsidP="00EC5AF2">
            <w:pPr>
              <w:jc w:val="right"/>
              <w:rPr>
                <w:rFonts w:ascii="Times New Roman"/>
                <w:sz w:val="18"/>
                <w:szCs w:val="18"/>
              </w:rPr>
            </w:pPr>
            <w:r w:rsidRPr="000140B3">
              <w:rPr>
                <w:rFonts w:ascii="Times New Roman"/>
                <w:sz w:val="18"/>
                <w:szCs w:val="18"/>
              </w:rPr>
              <w:t>47.56</w:t>
            </w:r>
          </w:p>
        </w:tc>
        <w:tc>
          <w:tcPr>
            <w:tcW w:w="851" w:type="dxa"/>
          </w:tcPr>
          <w:p w:rsidR="0064621B" w:rsidRPr="000140B3" w:rsidRDefault="0064621B" w:rsidP="00EC5AF2">
            <w:pPr>
              <w:jc w:val="right"/>
              <w:rPr>
                <w:rFonts w:ascii="Times New Roman"/>
                <w:sz w:val="18"/>
                <w:szCs w:val="18"/>
              </w:rPr>
            </w:pPr>
            <w:r w:rsidRPr="000140B3">
              <w:rPr>
                <w:rFonts w:ascii="Times New Roman"/>
                <w:w w:val="105"/>
                <w:sz w:val="18"/>
                <w:szCs w:val="18"/>
              </w:rPr>
              <w:t>106.75</w:t>
            </w:r>
          </w:p>
        </w:tc>
        <w:tc>
          <w:tcPr>
            <w:tcW w:w="1074" w:type="dxa"/>
          </w:tcPr>
          <w:p w:rsidR="0064621B" w:rsidRPr="000140B3" w:rsidRDefault="0064621B" w:rsidP="00EC5AF2">
            <w:pPr>
              <w:jc w:val="right"/>
              <w:rPr>
                <w:rFonts w:ascii="Times New Roman"/>
                <w:sz w:val="18"/>
                <w:szCs w:val="18"/>
              </w:rPr>
            </w:pPr>
            <w:r w:rsidRPr="000140B3">
              <w:rPr>
                <w:rFonts w:ascii="Times New Roman"/>
                <w:w w:val="105"/>
                <w:sz w:val="18"/>
                <w:szCs w:val="18"/>
              </w:rPr>
              <w:t>63.40</w:t>
            </w:r>
          </w:p>
        </w:tc>
        <w:tc>
          <w:tcPr>
            <w:tcW w:w="839" w:type="dxa"/>
          </w:tcPr>
          <w:p w:rsidR="0064621B" w:rsidRPr="000140B3" w:rsidRDefault="0064621B" w:rsidP="00EC5AF2">
            <w:pPr>
              <w:jc w:val="right"/>
              <w:rPr>
                <w:rFonts w:ascii="Times New Roman"/>
                <w:sz w:val="18"/>
                <w:szCs w:val="18"/>
              </w:rPr>
            </w:pPr>
            <w:r w:rsidRPr="000140B3">
              <w:rPr>
                <w:rFonts w:ascii="Times New Roman"/>
                <w:sz w:val="18"/>
                <w:szCs w:val="18"/>
              </w:rPr>
              <w:t>104.86</w:t>
            </w:r>
          </w:p>
        </w:tc>
        <w:tc>
          <w:tcPr>
            <w:tcW w:w="1119" w:type="dxa"/>
          </w:tcPr>
          <w:p w:rsidR="0064621B" w:rsidRPr="000140B3" w:rsidRDefault="0064621B" w:rsidP="00EC5AF2">
            <w:pPr>
              <w:jc w:val="right"/>
              <w:rPr>
                <w:rFonts w:ascii="Times New Roman"/>
                <w:sz w:val="18"/>
                <w:szCs w:val="18"/>
              </w:rPr>
            </w:pPr>
            <w:r w:rsidRPr="000140B3">
              <w:rPr>
                <w:rFonts w:ascii="Times New Roman"/>
                <w:sz w:val="18"/>
                <w:szCs w:val="18"/>
              </w:rPr>
              <w:t>61.67</w:t>
            </w:r>
          </w:p>
        </w:tc>
        <w:tc>
          <w:tcPr>
            <w:tcW w:w="839" w:type="dxa"/>
          </w:tcPr>
          <w:p w:rsidR="0064621B" w:rsidRPr="000140B3" w:rsidRDefault="0064621B" w:rsidP="00EC5AF2">
            <w:pPr>
              <w:jc w:val="right"/>
              <w:rPr>
                <w:rFonts w:ascii="Times New Roman"/>
                <w:sz w:val="18"/>
                <w:szCs w:val="18"/>
              </w:rPr>
            </w:pPr>
            <w:r w:rsidRPr="000140B3">
              <w:rPr>
                <w:rFonts w:ascii="Times New Roman"/>
                <w:sz w:val="18"/>
                <w:szCs w:val="18"/>
              </w:rPr>
              <w:t>93.81</w:t>
            </w:r>
          </w:p>
        </w:tc>
        <w:tc>
          <w:tcPr>
            <w:tcW w:w="979" w:type="dxa"/>
          </w:tcPr>
          <w:p w:rsidR="0064621B" w:rsidRPr="000140B3" w:rsidRDefault="0064621B" w:rsidP="00EC5AF2">
            <w:pPr>
              <w:jc w:val="right"/>
              <w:rPr>
                <w:rFonts w:ascii="Times New Roman"/>
                <w:sz w:val="18"/>
                <w:szCs w:val="18"/>
              </w:rPr>
            </w:pPr>
            <w:r w:rsidRPr="000140B3">
              <w:rPr>
                <w:rFonts w:ascii="Times New Roman"/>
                <w:sz w:val="18"/>
                <w:szCs w:val="18"/>
              </w:rPr>
              <w:t>68.24</w:t>
            </w:r>
          </w:p>
        </w:tc>
        <w:tc>
          <w:tcPr>
            <w:tcW w:w="838" w:type="dxa"/>
          </w:tcPr>
          <w:p w:rsidR="0064621B" w:rsidRPr="000140B3" w:rsidRDefault="0064621B" w:rsidP="00EC5AF2">
            <w:pPr>
              <w:jc w:val="right"/>
              <w:rPr>
                <w:rFonts w:ascii="Times New Roman"/>
                <w:sz w:val="18"/>
                <w:szCs w:val="18"/>
              </w:rPr>
            </w:pPr>
            <w:r w:rsidRPr="000140B3">
              <w:rPr>
                <w:rFonts w:ascii="Times New Roman"/>
                <w:sz w:val="18"/>
                <w:szCs w:val="18"/>
              </w:rPr>
              <w:t>75.96</w:t>
            </w:r>
          </w:p>
        </w:tc>
        <w:tc>
          <w:tcPr>
            <w:tcW w:w="1119" w:type="dxa"/>
          </w:tcPr>
          <w:p w:rsidR="0064621B" w:rsidRPr="000140B3" w:rsidRDefault="0064621B" w:rsidP="00EC5AF2">
            <w:pPr>
              <w:jc w:val="right"/>
              <w:rPr>
                <w:rFonts w:ascii="Times New Roman"/>
                <w:w w:val="110"/>
                <w:sz w:val="18"/>
                <w:szCs w:val="18"/>
              </w:rPr>
            </w:pPr>
            <w:r w:rsidRPr="000140B3">
              <w:rPr>
                <w:rFonts w:ascii="Times New Roman"/>
                <w:w w:val="110"/>
                <w:sz w:val="18"/>
                <w:szCs w:val="18"/>
              </w:rPr>
              <w:t>68.24</w:t>
            </w:r>
          </w:p>
        </w:tc>
        <w:tc>
          <w:tcPr>
            <w:tcW w:w="839" w:type="dxa"/>
          </w:tcPr>
          <w:p w:rsidR="0064621B" w:rsidRPr="000140B3" w:rsidRDefault="0064621B" w:rsidP="00EC5AF2">
            <w:pPr>
              <w:jc w:val="right"/>
              <w:rPr>
                <w:rFonts w:ascii="Times New Roman"/>
                <w:w w:val="110"/>
                <w:sz w:val="18"/>
                <w:szCs w:val="18"/>
              </w:rPr>
            </w:pPr>
            <w:r w:rsidRPr="000140B3">
              <w:rPr>
                <w:rFonts w:ascii="Times New Roman"/>
                <w:w w:val="110"/>
                <w:sz w:val="18"/>
                <w:szCs w:val="18"/>
              </w:rPr>
              <w:t>61.14</w:t>
            </w:r>
          </w:p>
        </w:tc>
      </w:tr>
      <w:tr w:rsidR="0064621B" w:rsidRPr="000140B3" w:rsidTr="008D58E7">
        <w:trPr>
          <w:trHeight w:val="272"/>
        </w:trPr>
        <w:tc>
          <w:tcPr>
            <w:tcW w:w="1407" w:type="dxa"/>
          </w:tcPr>
          <w:p w:rsidR="0064621B" w:rsidRPr="000140B3" w:rsidRDefault="0064621B" w:rsidP="008D58E7">
            <w:pPr>
              <w:ind w:leftChars="-31" w:left="-105"/>
              <w:rPr>
                <w:rFonts w:ascii="Times New Roman"/>
                <w:sz w:val="18"/>
                <w:szCs w:val="18"/>
              </w:rPr>
            </w:pPr>
            <w:proofErr w:type="gramStart"/>
            <w:r w:rsidRPr="000140B3">
              <w:rPr>
                <w:rFonts w:ascii="Times New Roman"/>
                <w:w w:val="110"/>
                <w:sz w:val="18"/>
                <w:szCs w:val="18"/>
              </w:rPr>
              <w:t>暴險合計</w:t>
            </w:r>
            <w:proofErr w:type="gramEnd"/>
          </w:p>
        </w:tc>
        <w:tc>
          <w:tcPr>
            <w:tcW w:w="1854" w:type="dxa"/>
            <w:gridSpan w:val="2"/>
          </w:tcPr>
          <w:p w:rsidR="0064621B" w:rsidRPr="000140B3" w:rsidRDefault="0064621B" w:rsidP="00EC5AF2">
            <w:pPr>
              <w:jc w:val="right"/>
              <w:rPr>
                <w:rFonts w:ascii="Times New Roman"/>
                <w:sz w:val="18"/>
                <w:szCs w:val="18"/>
              </w:rPr>
            </w:pPr>
            <w:r w:rsidRPr="000140B3">
              <w:rPr>
                <w:rFonts w:ascii="Times New Roman"/>
                <w:w w:val="110"/>
                <w:sz w:val="18"/>
                <w:szCs w:val="18"/>
              </w:rPr>
              <w:t>154.31</w:t>
            </w:r>
          </w:p>
        </w:tc>
        <w:tc>
          <w:tcPr>
            <w:tcW w:w="1913" w:type="dxa"/>
            <w:gridSpan w:val="2"/>
          </w:tcPr>
          <w:p w:rsidR="0064621B" w:rsidRPr="000140B3" w:rsidRDefault="0064621B" w:rsidP="00EC5AF2">
            <w:pPr>
              <w:jc w:val="right"/>
              <w:rPr>
                <w:rFonts w:ascii="Times New Roman"/>
                <w:sz w:val="18"/>
                <w:szCs w:val="18"/>
              </w:rPr>
            </w:pPr>
            <w:r w:rsidRPr="000140B3">
              <w:rPr>
                <w:rFonts w:ascii="Times New Roman"/>
                <w:w w:val="110"/>
                <w:sz w:val="18"/>
                <w:szCs w:val="18"/>
              </w:rPr>
              <w:t>168.26</w:t>
            </w:r>
          </w:p>
        </w:tc>
        <w:tc>
          <w:tcPr>
            <w:tcW w:w="1958" w:type="dxa"/>
            <w:gridSpan w:val="2"/>
          </w:tcPr>
          <w:p w:rsidR="0064621B" w:rsidRPr="000140B3" w:rsidRDefault="0064621B" w:rsidP="00EC5AF2">
            <w:pPr>
              <w:jc w:val="right"/>
              <w:rPr>
                <w:rFonts w:ascii="Times New Roman"/>
                <w:sz w:val="18"/>
                <w:szCs w:val="18"/>
              </w:rPr>
            </w:pPr>
            <w:r w:rsidRPr="000140B3">
              <w:rPr>
                <w:rFonts w:ascii="Times New Roman"/>
                <w:w w:val="110"/>
                <w:sz w:val="18"/>
                <w:szCs w:val="18"/>
              </w:rPr>
              <w:t>155.48</w:t>
            </w:r>
          </w:p>
        </w:tc>
        <w:tc>
          <w:tcPr>
            <w:tcW w:w="1817" w:type="dxa"/>
            <w:gridSpan w:val="2"/>
          </w:tcPr>
          <w:p w:rsidR="0064621B" w:rsidRPr="000140B3" w:rsidRDefault="0064621B" w:rsidP="00EC5AF2">
            <w:pPr>
              <w:jc w:val="right"/>
              <w:rPr>
                <w:rFonts w:ascii="Times New Roman"/>
                <w:sz w:val="18"/>
                <w:szCs w:val="18"/>
              </w:rPr>
            </w:pPr>
            <w:r w:rsidRPr="000140B3">
              <w:rPr>
                <w:rFonts w:ascii="Times New Roman"/>
                <w:w w:val="110"/>
                <w:sz w:val="18"/>
                <w:szCs w:val="18"/>
              </w:rPr>
              <w:t>144.2</w:t>
            </w:r>
          </w:p>
        </w:tc>
        <w:tc>
          <w:tcPr>
            <w:tcW w:w="1958" w:type="dxa"/>
            <w:gridSpan w:val="2"/>
          </w:tcPr>
          <w:p w:rsidR="0064621B" w:rsidRPr="000140B3" w:rsidRDefault="0064621B" w:rsidP="00EC5AF2">
            <w:pPr>
              <w:jc w:val="right"/>
              <w:rPr>
                <w:rFonts w:ascii="Times New Roman"/>
                <w:w w:val="110"/>
                <w:sz w:val="18"/>
                <w:szCs w:val="18"/>
              </w:rPr>
            </w:pPr>
            <w:r w:rsidRPr="000140B3">
              <w:rPr>
                <w:rFonts w:ascii="Times New Roman"/>
                <w:w w:val="110"/>
                <w:sz w:val="18"/>
                <w:szCs w:val="18"/>
              </w:rPr>
              <w:t>129.38</w:t>
            </w:r>
          </w:p>
        </w:tc>
      </w:tr>
      <w:tr w:rsidR="0064621B" w:rsidRPr="000140B3" w:rsidTr="008D58E7">
        <w:trPr>
          <w:trHeight w:val="65"/>
        </w:trPr>
        <w:tc>
          <w:tcPr>
            <w:tcW w:w="1407" w:type="dxa"/>
          </w:tcPr>
          <w:p w:rsidR="0064621B" w:rsidRPr="000140B3" w:rsidRDefault="0064621B" w:rsidP="008D58E7">
            <w:pPr>
              <w:ind w:leftChars="-31" w:left="-105" w:rightChars="-51" w:right="-173"/>
              <w:rPr>
                <w:rFonts w:ascii="Times New Roman"/>
                <w:sz w:val="18"/>
                <w:szCs w:val="18"/>
              </w:rPr>
            </w:pPr>
            <w:r w:rsidRPr="000140B3">
              <w:rPr>
                <w:rFonts w:ascii="Times New Roman"/>
                <w:sz w:val="18"/>
                <w:szCs w:val="18"/>
              </w:rPr>
              <w:t>證券期貨</w:t>
            </w:r>
            <w:r w:rsidRPr="000140B3">
              <w:rPr>
                <w:rFonts w:ascii="Times New Roman"/>
                <w:w w:val="105"/>
                <w:sz w:val="18"/>
                <w:szCs w:val="18"/>
              </w:rPr>
              <w:t>業淨值</w:t>
            </w:r>
          </w:p>
        </w:tc>
        <w:tc>
          <w:tcPr>
            <w:tcW w:w="1854" w:type="dxa"/>
            <w:gridSpan w:val="2"/>
          </w:tcPr>
          <w:p w:rsidR="0064621B" w:rsidRPr="000140B3" w:rsidRDefault="0064621B" w:rsidP="00EC5AF2">
            <w:pPr>
              <w:jc w:val="right"/>
              <w:rPr>
                <w:rFonts w:ascii="Times New Roman"/>
                <w:sz w:val="18"/>
                <w:szCs w:val="18"/>
              </w:rPr>
            </w:pPr>
            <w:r w:rsidRPr="000140B3">
              <w:rPr>
                <w:rFonts w:ascii="Times New Roman"/>
                <w:w w:val="110"/>
                <w:sz w:val="18"/>
                <w:szCs w:val="18"/>
              </w:rPr>
              <w:t>5,995.40</w:t>
            </w:r>
          </w:p>
        </w:tc>
        <w:tc>
          <w:tcPr>
            <w:tcW w:w="1913" w:type="dxa"/>
            <w:gridSpan w:val="2"/>
          </w:tcPr>
          <w:p w:rsidR="0064621B" w:rsidRPr="000140B3" w:rsidRDefault="0064621B" w:rsidP="00EC5AF2">
            <w:pPr>
              <w:jc w:val="right"/>
              <w:rPr>
                <w:rFonts w:ascii="Times New Roman"/>
                <w:sz w:val="18"/>
                <w:szCs w:val="18"/>
              </w:rPr>
            </w:pPr>
            <w:r w:rsidRPr="000140B3">
              <w:rPr>
                <w:rFonts w:ascii="Times New Roman"/>
                <w:w w:val="110"/>
                <w:sz w:val="18"/>
                <w:szCs w:val="18"/>
              </w:rPr>
              <w:t>6,408.04</w:t>
            </w:r>
          </w:p>
        </w:tc>
        <w:tc>
          <w:tcPr>
            <w:tcW w:w="1958" w:type="dxa"/>
            <w:gridSpan w:val="2"/>
          </w:tcPr>
          <w:p w:rsidR="0064621B" w:rsidRPr="000140B3" w:rsidRDefault="0064621B" w:rsidP="00EC5AF2">
            <w:pPr>
              <w:jc w:val="right"/>
              <w:rPr>
                <w:rFonts w:ascii="Times New Roman"/>
                <w:sz w:val="18"/>
                <w:szCs w:val="18"/>
              </w:rPr>
            </w:pPr>
            <w:r w:rsidRPr="000140B3">
              <w:rPr>
                <w:rFonts w:ascii="Times New Roman"/>
                <w:sz w:val="18"/>
                <w:szCs w:val="18"/>
              </w:rPr>
              <w:t>7,132.72</w:t>
            </w:r>
          </w:p>
        </w:tc>
        <w:tc>
          <w:tcPr>
            <w:tcW w:w="1817" w:type="dxa"/>
            <w:gridSpan w:val="2"/>
          </w:tcPr>
          <w:p w:rsidR="0064621B" w:rsidRPr="000140B3" w:rsidRDefault="0064621B" w:rsidP="00EC5AF2">
            <w:pPr>
              <w:jc w:val="right"/>
              <w:rPr>
                <w:rFonts w:ascii="Times New Roman"/>
                <w:sz w:val="18"/>
                <w:szCs w:val="18"/>
              </w:rPr>
            </w:pPr>
            <w:r w:rsidRPr="000140B3">
              <w:rPr>
                <w:rFonts w:ascii="Times New Roman"/>
                <w:sz w:val="18"/>
                <w:szCs w:val="18"/>
              </w:rPr>
              <w:t>6,717.75</w:t>
            </w:r>
          </w:p>
        </w:tc>
        <w:tc>
          <w:tcPr>
            <w:tcW w:w="1958" w:type="dxa"/>
            <w:gridSpan w:val="2"/>
          </w:tcPr>
          <w:p w:rsidR="0064621B" w:rsidRPr="000140B3" w:rsidRDefault="0064621B" w:rsidP="00EC5AF2">
            <w:pPr>
              <w:jc w:val="right"/>
              <w:rPr>
                <w:rFonts w:ascii="Times New Roman"/>
                <w:w w:val="110"/>
                <w:sz w:val="18"/>
                <w:szCs w:val="18"/>
              </w:rPr>
            </w:pPr>
            <w:r w:rsidRPr="000140B3">
              <w:rPr>
                <w:rFonts w:ascii="Times New Roman"/>
                <w:w w:val="110"/>
                <w:sz w:val="18"/>
                <w:szCs w:val="18"/>
              </w:rPr>
              <w:t>7,340.61</w:t>
            </w:r>
          </w:p>
        </w:tc>
      </w:tr>
      <w:tr w:rsidR="0064621B" w:rsidRPr="000140B3" w:rsidTr="008D58E7">
        <w:trPr>
          <w:trHeight w:val="48"/>
        </w:trPr>
        <w:tc>
          <w:tcPr>
            <w:tcW w:w="1407" w:type="dxa"/>
          </w:tcPr>
          <w:p w:rsidR="0064621B" w:rsidRPr="000140B3" w:rsidRDefault="0064621B" w:rsidP="008D58E7">
            <w:pPr>
              <w:ind w:leftChars="-31" w:left="-105"/>
              <w:rPr>
                <w:rFonts w:ascii="Times New Roman"/>
                <w:sz w:val="18"/>
                <w:szCs w:val="18"/>
              </w:rPr>
            </w:pPr>
            <w:proofErr w:type="gramStart"/>
            <w:r w:rsidRPr="000140B3">
              <w:rPr>
                <w:rFonts w:ascii="Times New Roman"/>
                <w:sz w:val="18"/>
                <w:szCs w:val="18"/>
              </w:rPr>
              <w:t>暴險占</w:t>
            </w:r>
            <w:proofErr w:type="gramEnd"/>
            <w:r w:rsidRPr="000140B3">
              <w:rPr>
                <w:rFonts w:ascii="Times New Roman"/>
                <w:sz w:val="18"/>
                <w:szCs w:val="18"/>
              </w:rPr>
              <w:t>淨值比</w:t>
            </w:r>
          </w:p>
        </w:tc>
        <w:tc>
          <w:tcPr>
            <w:tcW w:w="1854" w:type="dxa"/>
            <w:gridSpan w:val="2"/>
          </w:tcPr>
          <w:p w:rsidR="0064621B" w:rsidRPr="000140B3" w:rsidRDefault="0064621B" w:rsidP="00EC5AF2">
            <w:pPr>
              <w:jc w:val="right"/>
              <w:rPr>
                <w:rFonts w:ascii="Times New Roman"/>
                <w:sz w:val="18"/>
                <w:szCs w:val="18"/>
              </w:rPr>
            </w:pPr>
            <w:r w:rsidRPr="000140B3">
              <w:rPr>
                <w:rFonts w:ascii="Times New Roman"/>
                <w:w w:val="105"/>
                <w:sz w:val="18"/>
                <w:szCs w:val="18"/>
              </w:rPr>
              <w:t>2.57%</w:t>
            </w:r>
          </w:p>
        </w:tc>
        <w:tc>
          <w:tcPr>
            <w:tcW w:w="1913" w:type="dxa"/>
            <w:gridSpan w:val="2"/>
          </w:tcPr>
          <w:p w:rsidR="0064621B" w:rsidRPr="000140B3" w:rsidRDefault="0064621B" w:rsidP="00EC5AF2">
            <w:pPr>
              <w:jc w:val="right"/>
              <w:rPr>
                <w:rFonts w:ascii="Times New Roman"/>
                <w:sz w:val="18"/>
                <w:szCs w:val="18"/>
              </w:rPr>
            </w:pPr>
            <w:r w:rsidRPr="000140B3">
              <w:rPr>
                <w:rFonts w:ascii="Times New Roman"/>
                <w:w w:val="105"/>
                <w:sz w:val="18"/>
                <w:szCs w:val="18"/>
              </w:rPr>
              <w:t>2.63%</w:t>
            </w:r>
          </w:p>
        </w:tc>
        <w:tc>
          <w:tcPr>
            <w:tcW w:w="1958" w:type="dxa"/>
            <w:gridSpan w:val="2"/>
          </w:tcPr>
          <w:p w:rsidR="0064621B" w:rsidRPr="000140B3" w:rsidRDefault="0064621B" w:rsidP="00EC5AF2">
            <w:pPr>
              <w:jc w:val="right"/>
              <w:rPr>
                <w:rFonts w:ascii="Times New Roman"/>
                <w:sz w:val="18"/>
                <w:szCs w:val="18"/>
              </w:rPr>
            </w:pPr>
            <w:r w:rsidRPr="000140B3">
              <w:rPr>
                <w:rFonts w:ascii="Times New Roman"/>
                <w:w w:val="105"/>
                <w:sz w:val="18"/>
                <w:szCs w:val="18"/>
              </w:rPr>
              <w:t>2.18%</w:t>
            </w:r>
          </w:p>
        </w:tc>
        <w:tc>
          <w:tcPr>
            <w:tcW w:w="1817" w:type="dxa"/>
            <w:gridSpan w:val="2"/>
          </w:tcPr>
          <w:p w:rsidR="0064621B" w:rsidRPr="000140B3" w:rsidRDefault="0064621B" w:rsidP="00EC5AF2">
            <w:pPr>
              <w:jc w:val="right"/>
              <w:rPr>
                <w:rFonts w:ascii="Times New Roman"/>
                <w:sz w:val="18"/>
                <w:szCs w:val="18"/>
              </w:rPr>
            </w:pPr>
            <w:r w:rsidRPr="000140B3">
              <w:rPr>
                <w:rFonts w:ascii="Times New Roman"/>
                <w:w w:val="105"/>
                <w:sz w:val="18"/>
                <w:szCs w:val="18"/>
              </w:rPr>
              <w:t>2.15%</w:t>
            </w:r>
          </w:p>
        </w:tc>
        <w:tc>
          <w:tcPr>
            <w:tcW w:w="1958" w:type="dxa"/>
            <w:gridSpan w:val="2"/>
          </w:tcPr>
          <w:p w:rsidR="0064621B" w:rsidRPr="000140B3" w:rsidRDefault="0064621B" w:rsidP="00EC5AF2">
            <w:pPr>
              <w:jc w:val="right"/>
              <w:rPr>
                <w:rFonts w:ascii="Times New Roman"/>
                <w:w w:val="110"/>
                <w:sz w:val="18"/>
                <w:szCs w:val="18"/>
              </w:rPr>
            </w:pPr>
            <w:r w:rsidRPr="000140B3">
              <w:rPr>
                <w:rFonts w:ascii="Times New Roman"/>
                <w:w w:val="110"/>
                <w:sz w:val="18"/>
                <w:szCs w:val="18"/>
              </w:rPr>
              <w:t>1.76%</w:t>
            </w:r>
          </w:p>
        </w:tc>
      </w:tr>
    </w:tbl>
    <w:p w:rsidR="0064621B" w:rsidRPr="000140B3" w:rsidRDefault="0064621B" w:rsidP="0064621B">
      <w:pPr>
        <w:pStyle w:val="affb"/>
        <w:spacing w:afterLines="50" w:after="228" w:line="240" w:lineRule="auto"/>
        <w:ind w:leftChars="-292" w:left="-2" w:right="238" w:hangingChars="381" w:hanging="991"/>
        <w:rPr>
          <w:sz w:val="24"/>
        </w:rPr>
      </w:pPr>
      <w:r w:rsidRPr="000140B3">
        <w:rPr>
          <w:sz w:val="24"/>
        </w:rPr>
        <w:t>資料來源：金管會。</w:t>
      </w:r>
    </w:p>
    <w:p w:rsidR="0064621B" w:rsidRPr="000140B3" w:rsidRDefault="0064621B" w:rsidP="0064621B">
      <w:pPr>
        <w:pStyle w:val="3"/>
        <w:numPr>
          <w:ilvl w:val="0"/>
          <w:numId w:val="0"/>
        </w:numPr>
        <w:ind w:left="1361" w:firstLineChars="225" w:firstLine="765"/>
        <w:rPr>
          <w:rFonts w:ascii="Times New Roman" w:hAnsi="Times New Roman"/>
        </w:rPr>
      </w:pPr>
      <w:r w:rsidRPr="000140B3">
        <w:rPr>
          <w:rFonts w:ascii="Times New Roman" w:hAnsi="Times New Roman"/>
        </w:rPr>
        <w:t>是</w:t>
      </w:r>
      <w:proofErr w:type="gramStart"/>
      <w:r w:rsidRPr="000140B3">
        <w:rPr>
          <w:rFonts w:ascii="Times New Roman" w:hAnsi="Times New Roman"/>
        </w:rPr>
        <w:t>以</w:t>
      </w:r>
      <w:proofErr w:type="gramEnd"/>
      <w:r w:rsidRPr="000140B3">
        <w:rPr>
          <w:rFonts w:ascii="Times New Roman" w:hAnsi="Times New Roman"/>
        </w:rPr>
        <w:t>，我國金融業於中國大陸</w:t>
      </w:r>
      <w:proofErr w:type="gramStart"/>
      <w:r w:rsidRPr="000140B3">
        <w:rPr>
          <w:rFonts w:ascii="Times New Roman" w:hAnsi="Times New Roman"/>
        </w:rPr>
        <w:t>之暴險</w:t>
      </w:r>
      <w:proofErr w:type="gramEnd"/>
      <w:r w:rsidRPr="000140B3">
        <w:rPr>
          <w:rFonts w:ascii="Times New Roman" w:hAnsi="Times New Roman"/>
        </w:rPr>
        <w:t>成逐年下滑趨勢，然中國大陸因美中</w:t>
      </w:r>
      <w:r w:rsidR="00BD32E3" w:rsidRPr="000140B3">
        <w:rPr>
          <w:rFonts w:ascii="Times New Roman" w:hAnsi="Times New Roman" w:hint="eastAsia"/>
        </w:rPr>
        <w:t>經濟競爭尤其是</w:t>
      </w:r>
      <w:r w:rsidRPr="000140B3">
        <w:rPr>
          <w:rFonts w:ascii="Times New Roman" w:hAnsi="Times New Roman"/>
        </w:rPr>
        <w:t>貿易</w:t>
      </w:r>
      <w:r w:rsidR="00BD32E3" w:rsidRPr="000140B3">
        <w:rPr>
          <w:rFonts w:ascii="Times New Roman" w:hAnsi="Times New Roman" w:hint="eastAsia"/>
        </w:rPr>
        <w:t>戰</w:t>
      </w:r>
      <w:r w:rsidRPr="000140B3">
        <w:rPr>
          <w:rFonts w:ascii="Times New Roman" w:hAnsi="Times New Roman"/>
        </w:rPr>
        <w:t>等因素，造成產能過剩、房市泡沫和金融槓桿過高等後遺症，經濟遭遇到了自</w:t>
      </w:r>
      <w:r w:rsidRPr="000140B3">
        <w:rPr>
          <w:rFonts w:ascii="Times New Roman" w:hAnsi="Times New Roman"/>
        </w:rPr>
        <w:t>1979</w:t>
      </w:r>
      <w:r w:rsidRPr="000140B3">
        <w:rPr>
          <w:rFonts w:ascii="Times New Roman" w:hAnsi="Times New Roman"/>
        </w:rPr>
        <w:t>年改革開放</w:t>
      </w:r>
      <w:r w:rsidRPr="000140B3">
        <w:rPr>
          <w:rFonts w:ascii="Times New Roman" w:hAnsi="Times New Roman"/>
        </w:rPr>
        <w:t>45</w:t>
      </w:r>
      <w:r w:rsidRPr="000140B3">
        <w:rPr>
          <w:rFonts w:ascii="Times New Roman" w:hAnsi="Times New Roman"/>
        </w:rPr>
        <w:t>年來最大的不景氣</w:t>
      </w:r>
      <w:r w:rsidRPr="000140B3">
        <w:rPr>
          <w:rStyle w:val="aff4"/>
          <w:rFonts w:ascii="Times New Roman" w:hAnsi="Times New Roman"/>
        </w:rPr>
        <w:footnoteReference w:id="6"/>
      </w:r>
      <w:r w:rsidR="009C65B2" w:rsidRPr="000140B3">
        <w:rPr>
          <w:rFonts w:ascii="Times New Roman" w:hAnsi="Times New Roman" w:hint="eastAsia"/>
        </w:rPr>
        <w:t>，年輕人失業率大增、經濟成長大為趨緩、不少企業破產</w:t>
      </w:r>
      <w:r w:rsidRPr="000140B3">
        <w:rPr>
          <w:rFonts w:ascii="Times New Roman" w:hAnsi="Times New Roman"/>
        </w:rPr>
        <w:t>。仍有部分金融機構對中國大陸</w:t>
      </w:r>
      <w:proofErr w:type="gramStart"/>
      <w:r w:rsidRPr="000140B3">
        <w:rPr>
          <w:rFonts w:ascii="Times New Roman" w:hAnsi="Times New Roman"/>
        </w:rPr>
        <w:t>之暴險金額</w:t>
      </w:r>
      <w:proofErr w:type="gramEnd"/>
      <w:r w:rsidRPr="000140B3">
        <w:rPr>
          <w:rFonts w:ascii="Times New Roman" w:hAnsi="Times New Roman"/>
        </w:rPr>
        <w:t>及比率雖符合相關規範，惟不跌反升，仍請金管會持續關注中國大陸相關政經情勢發展，</w:t>
      </w:r>
      <w:r w:rsidR="000547F4" w:rsidRPr="000140B3">
        <w:rPr>
          <w:rFonts w:ascii="Times New Roman" w:hAnsi="Times New Roman" w:hint="eastAsia"/>
        </w:rPr>
        <w:t>以</w:t>
      </w:r>
      <w:r w:rsidRPr="000140B3">
        <w:rPr>
          <w:rFonts w:ascii="Times New Roman" w:hAnsi="Times New Roman"/>
        </w:rPr>
        <w:t>避免因其經濟因素，影響我國金融之穩定</w:t>
      </w:r>
      <w:r w:rsidR="009C65B2" w:rsidRPr="000140B3">
        <w:rPr>
          <w:rFonts w:ascii="Times New Roman" w:hAnsi="Times New Roman" w:hint="eastAsia"/>
        </w:rPr>
        <w:t>，</w:t>
      </w:r>
      <w:r w:rsidR="000547F4" w:rsidRPr="000140B3">
        <w:rPr>
          <w:rFonts w:ascii="Times New Roman" w:hAnsi="Times New Roman" w:hint="eastAsia"/>
        </w:rPr>
        <w:t>並</w:t>
      </w:r>
      <w:r w:rsidR="009C65B2" w:rsidRPr="000140B3">
        <w:rPr>
          <w:rFonts w:ascii="Times New Roman" w:hAnsi="Times New Roman" w:hint="eastAsia"/>
        </w:rPr>
        <w:t>持續研究中國大陸經濟發展情勢，擬訂相對因應措施</w:t>
      </w:r>
      <w:r w:rsidRPr="000140B3">
        <w:rPr>
          <w:rFonts w:ascii="Times New Roman" w:hAnsi="Times New Roman"/>
        </w:rPr>
        <w:t>。</w:t>
      </w:r>
    </w:p>
    <w:p w:rsidR="0064621B" w:rsidRPr="000140B3" w:rsidRDefault="0064621B" w:rsidP="0064621B">
      <w:pPr>
        <w:pStyle w:val="3"/>
        <w:rPr>
          <w:rFonts w:ascii="Times New Roman" w:hAnsi="Times New Roman"/>
        </w:rPr>
      </w:pPr>
      <w:r w:rsidRPr="000140B3">
        <w:rPr>
          <w:rFonts w:ascii="Times New Roman" w:hAnsi="Times New Roman"/>
        </w:rPr>
        <w:t>綜上，</w:t>
      </w:r>
      <w:r w:rsidR="00543724" w:rsidRPr="000140B3">
        <w:rPr>
          <w:rFonts w:ascii="Times New Roman" w:hAnsi="Times New Roman"/>
        </w:rPr>
        <w:t>因兩岸特殊關係，金管會對金融業於中國大陸之</w:t>
      </w:r>
      <w:proofErr w:type="gramStart"/>
      <w:r w:rsidR="00543724" w:rsidRPr="000140B3">
        <w:rPr>
          <w:rFonts w:ascii="Times New Roman" w:hAnsi="Times New Roman"/>
        </w:rPr>
        <w:t>暴險相</w:t>
      </w:r>
      <w:proofErr w:type="gramEnd"/>
      <w:r w:rsidR="00543724" w:rsidRPr="000140B3">
        <w:rPr>
          <w:rFonts w:ascii="Times New Roman" w:hAnsi="Times New Roman"/>
        </w:rPr>
        <w:t>較於其他國家訂有較嚴格之管理機制。近年中國大陸因美中貿易等因素，造成產能過剩、房市泡沫和金融槓桿過高等後遺症，經濟遭遇到自</w:t>
      </w:r>
      <w:r w:rsidR="00543724" w:rsidRPr="000140B3">
        <w:rPr>
          <w:rFonts w:ascii="Times New Roman" w:hAnsi="Times New Roman"/>
        </w:rPr>
        <w:t>1979</w:t>
      </w:r>
      <w:r w:rsidR="00543724" w:rsidRPr="000140B3">
        <w:rPr>
          <w:rFonts w:ascii="Times New Roman" w:hAnsi="Times New Roman"/>
        </w:rPr>
        <w:t>年改革開放</w:t>
      </w:r>
      <w:r w:rsidR="00543724" w:rsidRPr="000140B3">
        <w:rPr>
          <w:rFonts w:ascii="Times New Roman" w:hAnsi="Times New Roman"/>
        </w:rPr>
        <w:t>45</w:t>
      </w:r>
      <w:r w:rsidR="00543724" w:rsidRPr="000140B3">
        <w:rPr>
          <w:rFonts w:ascii="Times New Roman" w:hAnsi="Times New Roman"/>
        </w:rPr>
        <w:t>年來最大的不景氣</w:t>
      </w:r>
      <w:r w:rsidR="00543724" w:rsidRPr="000140B3">
        <w:rPr>
          <w:rStyle w:val="aff4"/>
          <w:rFonts w:ascii="Times New Roman" w:hAnsi="Times New Roman"/>
        </w:rPr>
        <w:footnoteReference w:id="7"/>
      </w:r>
      <w:r w:rsidR="00543724" w:rsidRPr="000140B3">
        <w:rPr>
          <w:rFonts w:ascii="Times New Roman" w:hAnsi="Times New Roman"/>
        </w:rPr>
        <w:t>，我國金融業於中國大陸之</w:t>
      </w:r>
      <w:proofErr w:type="gramStart"/>
      <w:r w:rsidR="00543724" w:rsidRPr="000140B3">
        <w:rPr>
          <w:rFonts w:ascii="Times New Roman" w:hAnsi="Times New Roman"/>
        </w:rPr>
        <w:t>暴險亦</w:t>
      </w:r>
      <w:proofErr w:type="gramEnd"/>
      <w:r w:rsidR="00543724" w:rsidRPr="000140B3">
        <w:rPr>
          <w:rFonts w:ascii="Times New Roman" w:hAnsi="Times New Roman" w:hint="eastAsia"/>
        </w:rPr>
        <w:t>因其政經環境，</w:t>
      </w:r>
      <w:r w:rsidR="00543724" w:rsidRPr="000140B3">
        <w:rPr>
          <w:rFonts w:ascii="Times New Roman" w:hAnsi="Times New Roman"/>
        </w:rPr>
        <w:t>呈現逐年下滑趨勢，</w:t>
      </w:r>
      <w:r w:rsidR="00543724" w:rsidRPr="000140B3">
        <w:rPr>
          <w:rFonts w:ascii="Times New Roman" w:hAnsi="Times New Roman"/>
        </w:rPr>
        <w:t>112</w:t>
      </w:r>
      <w:r w:rsidR="00543724" w:rsidRPr="000140B3">
        <w:rPr>
          <w:rFonts w:ascii="Times New Roman" w:hAnsi="Times New Roman"/>
        </w:rPr>
        <w:t>年銀行業及保險業於中國大陸</w:t>
      </w:r>
      <w:proofErr w:type="gramStart"/>
      <w:r w:rsidR="00543724" w:rsidRPr="000140B3">
        <w:rPr>
          <w:rFonts w:ascii="Times New Roman" w:hAnsi="Times New Roman" w:hint="eastAsia"/>
        </w:rPr>
        <w:t>之暴險</w:t>
      </w:r>
      <w:proofErr w:type="gramEnd"/>
      <w:r w:rsidR="00543724" w:rsidRPr="000140B3">
        <w:rPr>
          <w:rFonts w:ascii="Times New Roman" w:hAnsi="Times New Roman"/>
        </w:rPr>
        <w:t>已較</w:t>
      </w:r>
      <w:r w:rsidR="00543724" w:rsidRPr="000140B3">
        <w:rPr>
          <w:rFonts w:ascii="Times New Roman" w:hAnsi="Times New Roman"/>
        </w:rPr>
        <w:t>108</w:t>
      </w:r>
      <w:r w:rsidR="00543724" w:rsidRPr="000140B3">
        <w:rPr>
          <w:rFonts w:ascii="Times New Roman" w:hAnsi="Times New Roman"/>
        </w:rPr>
        <w:t>年下滑超過</w:t>
      </w:r>
      <w:proofErr w:type="gramStart"/>
      <w:r w:rsidR="00543724" w:rsidRPr="000140B3">
        <w:rPr>
          <w:rFonts w:ascii="Times New Roman" w:hAnsi="Times New Roman"/>
        </w:rPr>
        <w:t>5</w:t>
      </w:r>
      <w:proofErr w:type="gramEnd"/>
      <w:r w:rsidR="00543724" w:rsidRPr="000140B3">
        <w:rPr>
          <w:rFonts w:ascii="Times New Roman" w:hAnsi="Times New Roman"/>
        </w:rPr>
        <w:t>成。金管會於期間採取相關強化</w:t>
      </w:r>
      <w:proofErr w:type="gramStart"/>
      <w:r w:rsidR="00543724" w:rsidRPr="000140B3">
        <w:rPr>
          <w:rFonts w:ascii="Times New Roman" w:hAnsi="Times New Roman"/>
        </w:rPr>
        <w:t>中國大陸暴險管理</w:t>
      </w:r>
      <w:proofErr w:type="gramEnd"/>
      <w:r w:rsidR="00543724" w:rsidRPr="000140B3">
        <w:rPr>
          <w:rFonts w:ascii="Times New Roman" w:hAnsi="Times New Roman"/>
        </w:rPr>
        <w:t>措施以為因應，應予肯認。然仍有部分金融機構對中國大陸</w:t>
      </w:r>
      <w:proofErr w:type="gramStart"/>
      <w:r w:rsidR="00543724" w:rsidRPr="000140B3">
        <w:rPr>
          <w:rFonts w:ascii="Times New Roman" w:hAnsi="Times New Roman"/>
        </w:rPr>
        <w:t>之暴險金額</w:t>
      </w:r>
      <w:proofErr w:type="gramEnd"/>
      <w:r w:rsidR="00543724" w:rsidRPr="000140B3">
        <w:rPr>
          <w:rFonts w:ascii="Times New Roman" w:hAnsi="Times New Roman"/>
        </w:rPr>
        <w:t>及比率雖符合相關規範，惟不跌反升，仍請金管會持續關注中國大陸相關政經情勢發展，</w:t>
      </w:r>
      <w:r w:rsidR="00543724" w:rsidRPr="000140B3">
        <w:rPr>
          <w:rFonts w:ascii="Times New Roman" w:hAnsi="Times New Roman" w:hint="eastAsia"/>
        </w:rPr>
        <w:t>以</w:t>
      </w:r>
      <w:r w:rsidR="00543724" w:rsidRPr="000140B3">
        <w:rPr>
          <w:rFonts w:ascii="Times New Roman" w:hAnsi="Times New Roman"/>
        </w:rPr>
        <w:t>避免因其</w:t>
      </w:r>
      <w:r w:rsidR="00543724" w:rsidRPr="000140B3">
        <w:rPr>
          <w:rFonts w:ascii="Times New Roman" w:hAnsi="Times New Roman" w:hint="eastAsia"/>
        </w:rPr>
        <w:t>政經</w:t>
      </w:r>
      <w:r w:rsidR="00543724" w:rsidRPr="000140B3">
        <w:rPr>
          <w:rFonts w:ascii="Times New Roman" w:hAnsi="Times New Roman"/>
        </w:rPr>
        <w:t>因素，影響我國金融業之穩定。</w:t>
      </w:r>
      <w:r w:rsidRPr="000140B3">
        <w:rPr>
          <w:rFonts w:ascii="Times New Roman" w:hAnsi="Times New Roman"/>
        </w:rPr>
        <w:t xml:space="preserve"> </w:t>
      </w:r>
    </w:p>
    <w:p w:rsidR="0064621B" w:rsidRPr="000140B3" w:rsidRDefault="0064621B" w:rsidP="0064621B">
      <w:pPr>
        <w:pStyle w:val="2"/>
        <w:spacing w:beforeLines="50" w:before="228"/>
        <w:ind w:left="1020" w:hanging="680"/>
        <w:rPr>
          <w:rFonts w:ascii="Times New Roman" w:hAnsi="Times New Roman"/>
          <w:b/>
        </w:rPr>
      </w:pPr>
      <w:r w:rsidRPr="000140B3">
        <w:rPr>
          <w:rFonts w:ascii="Times New Roman" w:hAnsi="Times New Roman"/>
          <w:b/>
        </w:rPr>
        <w:lastRenderedPageBreak/>
        <w:t>中國大陸房地產企業財務狀況明顯不佳。我國金融業</w:t>
      </w:r>
      <w:proofErr w:type="gramStart"/>
      <w:r w:rsidRPr="000140B3">
        <w:rPr>
          <w:rFonts w:ascii="Times New Roman" w:hAnsi="Times New Roman"/>
          <w:b/>
        </w:rPr>
        <w:t>對其暴險金額</w:t>
      </w:r>
      <w:proofErr w:type="gramEnd"/>
      <w:r w:rsidRPr="000140B3">
        <w:rPr>
          <w:rFonts w:ascii="Times New Roman" w:hAnsi="Times New Roman"/>
          <w:b/>
        </w:rPr>
        <w:t>亦逐年下降，雖</w:t>
      </w:r>
      <w:r w:rsidR="00FD74D2" w:rsidRPr="000140B3">
        <w:rPr>
          <w:rFonts w:ascii="Times New Roman" w:hAnsi="Times New Roman" w:hint="eastAsia"/>
          <w:b/>
        </w:rPr>
        <w:t>部分國銀對</w:t>
      </w:r>
      <w:r w:rsidRPr="000140B3">
        <w:rPr>
          <w:rFonts w:ascii="Times New Roman" w:hAnsi="Times New Roman"/>
          <w:b/>
        </w:rPr>
        <w:t>碧</w:t>
      </w:r>
      <w:proofErr w:type="gramStart"/>
      <w:r w:rsidRPr="000140B3">
        <w:rPr>
          <w:rFonts w:ascii="Times New Roman" w:hAnsi="Times New Roman"/>
          <w:b/>
        </w:rPr>
        <w:t>桂</w:t>
      </w:r>
      <w:proofErr w:type="gramEnd"/>
      <w:r w:rsidR="00EC5AF2" w:rsidRPr="000140B3">
        <w:rPr>
          <w:rFonts w:ascii="Times New Roman" w:hAnsi="Times New Roman"/>
          <w:b/>
        </w:rPr>
        <w:t>園</w:t>
      </w:r>
      <w:r w:rsidRPr="000140B3">
        <w:rPr>
          <w:rFonts w:ascii="Times New Roman" w:hAnsi="Times New Roman"/>
          <w:b/>
        </w:rPr>
        <w:t>及</w:t>
      </w:r>
      <w:r w:rsidR="00AD46E0" w:rsidRPr="000140B3">
        <w:rPr>
          <w:rFonts w:ascii="Times New Roman" w:hAnsi="Times New Roman" w:hint="eastAsia"/>
          <w:b/>
        </w:rPr>
        <w:t>萬科企業股份有限公司</w:t>
      </w:r>
      <w:r w:rsidR="00FD74D2" w:rsidRPr="000140B3">
        <w:rPr>
          <w:rFonts w:ascii="Times New Roman" w:hAnsi="Times New Roman"/>
          <w:b/>
        </w:rPr>
        <w:t>仍有</w:t>
      </w:r>
      <w:r w:rsidRPr="000140B3">
        <w:rPr>
          <w:rFonts w:ascii="Times New Roman" w:hAnsi="Times New Roman"/>
          <w:b/>
        </w:rPr>
        <w:t>授信，然</w:t>
      </w:r>
      <w:r w:rsidR="00FD74D2" w:rsidRPr="000140B3">
        <w:rPr>
          <w:rFonts w:ascii="Times New Roman" w:hAnsi="Times New Roman" w:hint="eastAsia"/>
          <w:b/>
        </w:rPr>
        <w:t>其</w:t>
      </w:r>
      <w:r w:rsidRPr="000140B3">
        <w:rPr>
          <w:rFonts w:ascii="Times New Roman" w:hAnsi="Times New Roman"/>
          <w:b/>
        </w:rPr>
        <w:t>還款情形正常，且相關銀行已依金管會要求，提列備抵呆帳比率</w:t>
      </w:r>
      <w:r w:rsidRPr="000140B3">
        <w:rPr>
          <w:rFonts w:ascii="Times New Roman" w:hAnsi="Times New Roman"/>
          <w:b/>
        </w:rPr>
        <w:t>1.5%</w:t>
      </w:r>
      <w:r w:rsidRPr="000140B3">
        <w:rPr>
          <w:rFonts w:ascii="Times New Roman" w:hAnsi="Times New Roman"/>
          <w:b/>
        </w:rPr>
        <w:t>以上，</w:t>
      </w:r>
      <w:r w:rsidR="00FD74D2" w:rsidRPr="000140B3">
        <w:rPr>
          <w:rFonts w:ascii="Times New Roman" w:hAnsi="Times New Roman" w:hint="eastAsia"/>
          <w:b/>
        </w:rPr>
        <w:t>該等餘額</w:t>
      </w:r>
      <w:r w:rsidRPr="000140B3">
        <w:rPr>
          <w:rFonts w:ascii="Times New Roman" w:hAnsi="Times New Roman"/>
          <w:b/>
        </w:rPr>
        <w:t>其占銀行業於</w:t>
      </w:r>
      <w:proofErr w:type="gramStart"/>
      <w:r w:rsidRPr="000140B3">
        <w:rPr>
          <w:rFonts w:ascii="Times New Roman" w:hAnsi="Times New Roman"/>
          <w:b/>
        </w:rPr>
        <w:t>中國大陸暴險總</w:t>
      </w:r>
      <w:proofErr w:type="gramEnd"/>
      <w:r w:rsidRPr="000140B3">
        <w:rPr>
          <w:rFonts w:ascii="Times New Roman" w:hAnsi="Times New Roman"/>
          <w:b/>
        </w:rPr>
        <w:t>額度</w:t>
      </w:r>
      <w:r w:rsidRPr="000140B3">
        <w:rPr>
          <w:rFonts w:ascii="Times New Roman" w:hAnsi="Times New Roman"/>
          <w:b/>
        </w:rPr>
        <w:t>9,610</w:t>
      </w:r>
      <w:r w:rsidRPr="000140B3">
        <w:rPr>
          <w:rFonts w:ascii="Times New Roman" w:hAnsi="Times New Roman"/>
          <w:b/>
        </w:rPr>
        <w:t>億元比率未達</w:t>
      </w:r>
      <w:r w:rsidRPr="000140B3">
        <w:rPr>
          <w:rFonts w:ascii="Times New Roman" w:hAnsi="Times New Roman"/>
          <w:b/>
        </w:rPr>
        <w:t>0.4%</w:t>
      </w:r>
      <w:r w:rsidRPr="000140B3">
        <w:rPr>
          <w:rFonts w:ascii="Times New Roman" w:hAnsi="Times New Roman"/>
          <w:b/>
        </w:rPr>
        <w:t>，占</w:t>
      </w:r>
      <w:r w:rsidR="00FD74D2" w:rsidRPr="000140B3">
        <w:rPr>
          <w:rFonts w:ascii="Times New Roman" w:hAnsi="Times New Roman" w:hint="eastAsia"/>
          <w:b/>
        </w:rPr>
        <w:t>國銀</w:t>
      </w:r>
      <w:r w:rsidRPr="000140B3">
        <w:rPr>
          <w:rFonts w:ascii="Times New Roman" w:hAnsi="Times New Roman"/>
          <w:b/>
        </w:rPr>
        <w:t>上年度決算後淨值</w:t>
      </w:r>
      <w:r w:rsidRPr="000140B3">
        <w:rPr>
          <w:rFonts w:ascii="Times New Roman" w:hAnsi="Times New Roman"/>
          <w:b/>
        </w:rPr>
        <w:t>42,323</w:t>
      </w:r>
      <w:r w:rsidRPr="000140B3">
        <w:rPr>
          <w:rFonts w:ascii="Times New Roman" w:hAnsi="Times New Roman"/>
          <w:b/>
        </w:rPr>
        <w:t>億元亦僅</w:t>
      </w:r>
      <w:r w:rsidRPr="000140B3">
        <w:rPr>
          <w:rFonts w:ascii="Times New Roman" w:hAnsi="Times New Roman"/>
          <w:b/>
        </w:rPr>
        <w:t>0.08%</w:t>
      </w:r>
      <w:r w:rsidRPr="000140B3">
        <w:rPr>
          <w:rFonts w:ascii="Times New Roman" w:hAnsi="Times New Roman"/>
          <w:b/>
        </w:rPr>
        <w:t>，顯示金融業於中國大陸房地產業</w:t>
      </w:r>
      <w:proofErr w:type="gramStart"/>
      <w:r w:rsidRPr="000140B3">
        <w:rPr>
          <w:rFonts w:ascii="Times New Roman" w:hAnsi="Times New Roman"/>
          <w:b/>
        </w:rPr>
        <w:t>之暴險情</w:t>
      </w:r>
      <w:proofErr w:type="gramEnd"/>
      <w:r w:rsidRPr="000140B3">
        <w:rPr>
          <w:rFonts w:ascii="Times New Roman" w:hAnsi="Times New Roman"/>
          <w:b/>
        </w:rPr>
        <w:t>形，尚屬可控範圍。然</w:t>
      </w:r>
      <w:r w:rsidRPr="000140B3">
        <w:rPr>
          <w:rFonts w:ascii="Times New Roman" w:hAnsi="Times New Roman"/>
          <w:b/>
        </w:rPr>
        <w:t>2024</w:t>
      </w:r>
      <w:r w:rsidRPr="000140B3">
        <w:rPr>
          <w:rFonts w:ascii="Times New Roman" w:hAnsi="Times New Roman"/>
          <w:b/>
        </w:rPr>
        <w:t>年美國以</w:t>
      </w:r>
      <w:r w:rsidRPr="000140B3">
        <w:rPr>
          <w:rFonts w:ascii="Times New Roman" w:hAnsi="Times New Roman"/>
          <w:b/>
        </w:rPr>
        <w:t>301</w:t>
      </w:r>
      <w:r w:rsidRPr="000140B3">
        <w:rPr>
          <w:rFonts w:ascii="Times New Roman" w:hAnsi="Times New Roman"/>
          <w:b/>
        </w:rPr>
        <w:t>條款</w:t>
      </w:r>
      <w:r w:rsidR="00FD74D2" w:rsidRPr="000140B3">
        <w:rPr>
          <w:rStyle w:val="aff4"/>
          <w:rFonts w:ascii="Times New Roman" w:hAnsi="Times New Roman"/>
          <w:b/>
        </w:rPr>
        <w:footnoteReference w:id="8"/>
      </w:r>
      <w:r w:rsidRPr="000140B3">
        <w:rPr>
          <w:rFonts w:ascii="Times New Roman" w:hAnsi="Times New Roman"/>
          <w:b/>
        </w:rPr>
        <w:t>對中國大陸極具競爭力之電動車、鋰電池、太陽能電池等產品加徵關稅，將對中國大陸產業產生更全面之衝擊，金管會允應持續關注中國大陸之產業發展，並積極督促金融業強化對中國大陸</w:t>
      </w:r>
      <w:proofErr w:type="gramStart"/>
      <w:r w:rsidRPr="000140B3">
        <w:rPr>
          <w:rFonts w:ascii="Times New Roman" w:hAnsi="Times New Roman"/>
          <w:b/>
        </w:rPr>
        <w:t>之暴險管理</w:t>
      </w:r>
      <w:proofErr w:type="gramEnd"/>
      <w:r w:rsidRPr="000140B3">
        <w:rPr>
          <w:rFonts w:ascii="Times New Roman" w:hAnsi="Times New Roman"/>
          <w:b/>
        </w:rPr>
        <w:t>。</w:t>
      </w:r>
    </w:p>
    <w:p w:rsidR="00192838" w:rsidRPr="000140B3" w:rsidRDefault="00192838" w:rsidP="0064621B">
      <w:pPr>
        <w:pStyle w:val="3"/>
        <w:rPr>
          <w:rFonts w:ascii="Times New Roman" w:hAnsi="Times New Roman"/>
        </w:rPr>
      </w:pPr>
      <w:r w:rsidRPr="000140B3">
        <w:rPr>
          <w:rFonts w:ascii="Times New Roman" w:hAnsi="Times New Roman" w:hint="eastAsia"/>
        </w:rPr>
        <w:t>中國大陸是一個高度人治而非法治的社會，對產業發展或政策的制定，常因領導人的喜好甚至一句話而</w:t>
      </w:r>
      <w:r w:rsidR="00BE1257" w:rsidRPr="000140B3">
        <w:rPr>
          <w:rFonts w:ascii="Times New Roman" w:hAnsi="Times New Roman" w:hint="eastAsia"/>
        </w:rPr>
        <w:t>徒然</w:t>
      </w:r>
      <w:r w:rsidRPr="000140B3">
        <w:rPr>
          <w:rFonts w:ascii="Times New Roman" w:hAnsi="Times New Roman" w:hint="eastAsia"/>
        </w:rPr>
        <w:t>改變，因此對中國大陸的投資風險不僅受市場發展影響，還會受到政治面的影響，房地產業的發展就是最好例子之</w:t>
      </w:r>
      <w:proofErr w:type="gramStart"/>
      <w:r w:rsidRPr="000140B3">
        <w:rPr>
          <w:rFonts w:ascii="Times New Roman" w:hAnsi="Times New Roman" w:hint="eastAsia"/>
        </w:rPr>
        <w:t>一</w:t>
      </w:r>
      <w:proofErr w:type="gramEnd"/>
      <w:r w:rsidRPr="000140B3">
        <w:rPr>
          <w:rFonts w:ascii="Times New Roman" w:hAnsi="Times New Roman" w:hint="eastAsia"/>
        </w:rPr>
        <w:t>。原先房地產扮演帶動中國大陸經濟快速成長的火車頭角色，中共政權採取各項政策鼓勵和支持房地產業的迅速蓬勃發展，但是這些鼓勵政策卻因習近平的一句話而轉向打壓房地產業。此例子顯示投資中國大陸的高風險性。</w:t>
      </w:r>
    </w:p>
    <w:p w:rsidR="00AD46E0" w:rsidRPr="000140B3" w:rsidRDefault="0064621B" w:rsidP="0064621B">
      <w:pPr>
        <w:pStyle w:val="3"/>
        <w:rPr>
          <w:rFonts w:ascii="Times New Roman" w:hAnsi="Times New Roman"/>
        </w:rPr>
      </w:pPr>
      <w:r w:rsidRPr="000140B3">
        <w:rPr>
          <w:rFonts w:ascii="Times New Roman" w:hAnsi="Times New Roman"/>
        </w:rPr>
        <w:t>查</w:t>
      </w:r>
      <w:r w:rsidRPr="000140B3">
        <w:rPr>
          <w:rFonts w:ascii="Times New Roman" w:hAnsi="Times New Roman"/>
        </w:rPr>
        <w:t>1998</w:t>
      </w:r>
      <w:r w:rsidRPr="000140B3">
        <w:rPr>
          <w:rFonts w:ascii="Times New Roman" w:hAnsi="Times New Roman"/>
        </w:rPr>
        <w:t>年</w:t>
      </w:r>
      <w:r w:rsidRPr="000140B3">
        <w:rPr>
          <w:rFonts w:ascii="Times New Roman" w:hAnsi="Times New Roman"/>
        </w:rPr>
        <w:t>7</w:t>
      </w:r>
      <w:r w:rsidRPr="000140B3">
        <w:rPr>
          <w:rFonts w:ascii="Times New Roman" w:hAnsi="Times New Roman"/>
        </w:rPr>
        <w:t>月</w:t>
      </w:r>
      <w:r w:rsidRPr="000140B3">
        <w:rPr>
          <w:rFonts w:ascii="Times New Roman" w:hAnsi="Times New Roman"/>
        </w:rPr>
        <w:t>3</w:t>
      </w:r>
      <w:r w:rsidRPr="000140B3">
        <w:rPr>
          <w:rFonts w:ascii="Times New Roman" w:hAnsi="Times New Roman"/>
        </w:rPr>
        <w:t>日中國大陸國務院發布《關於進一步深化城鎮住房制度改革加快住房建設的通知》確定了中國大陸住宅政策由福利分房制度</w:t>
      </w:r>
      <w:r w:rsidRPr="000140B3">
        <w:rPr>
          <w:rStyle w:val="aff4"/>
          <w:rFonts w:ascii="Times New Roman" w:hAnsi="Times New Roman"/>
        </w:rPr>
        <w:footnoteReference w:id="9"/>
      </w:r>
      <w:r w:rsidR="00157A4F" w:rsidRPr="000140B3">
        <w:rPr>
          <w:rFonts w:ascii="Times New Roman" w:hAnsi="Times New Roman" w:hint="eastAsia"/>
        </w:rPr>
        <w:t>變革為</w:t>
      </w:r>
      <w:r w:rsidRPr="000140B3">
        <w:rPr>
          <w:rFonts w:ascii="Times New Roman" w:hAnsi="Times New Roman"/>
        </w:rPr>
        <w:t>城鎮住房市場化、貨幣化、商品化</w:t>
      </w:r>
      <w:r w:rsidR="00157A4F" w:rsidRPr="000140B3">
        <w:rPr>
          <w:rFonts w:ascii="Times New Roman" w:hAnsi="Times New Roman" w:hint="eastAsia"/>
        </w:rPr>
        <w:t>之</w:t>
      </w:r>
      <w:r w:rsidRPr="000140B3">
        <w:rPr>
          <w:rFonts w:ascii="Times New Roman" w:hAnsi="Times New Roman"/>
        </w:rPr>
        <w:t>改革方向。</w:t>
      </w:r>
      <w:r w:rsidRPr="000140B3">
        <w:rPr>
          <w:rFonts w:ascii="Times New Roman" w:hAnsi="Times New Roman"/>
        </w:rPr>
        <w:t>2003</w:t>
      </w:r>
      <w:r w:rsidRPr="000140B3">
        <w:rPr>
          <w:rFonts w:ascii="Times New Roman" w:hAnsi="Times New Roman"/>
        </w:rPr>
        <w:t>年</w:t>
      </w:r>
      <w:r w:rsidRPr="000140B3">
        <w:rPr>
          <w:rFonts w:ascii="Times New Roman" w:hAnsi="Times New Roman"/>
        </w:rPr>
        <w:t>8</w:t>
      </w:r>
      <w:r w:rsidRPr="000140B3">
        <w:rPr>
          <w:rFonts w:ascii="Times New Roman" w:hAnsi="Times New Roman"/>
        </w:rPr>
        <w:t>月</w:t>
      </w:r>
      <w:r w:rsidRPr="000140B3">
        <w:rPr>
          <w:rFonts w:ascii="Times New Roman" w:hAnsi="Times New Roman"/>
        </w:rPr>
        <w:t>12</w:t>
      </w:r>
      <w:r w:rsidRPr="000140B3">
        <w:rPr>
          <w:rFonts w:ascii="Times New Roman" w:hAnsi="Times New Roman"/>
        </w:rPr>
        <w:t>日該院又發布《國務院關於進一步深化城鎮住房制度改</w:t>
      </w:r>
      <w:r w:rsidRPr="000140B3">
        <w:rPr>
          <w:rFonts w:ascii="Times New Roman" w:hAnsi="Times New Roman"/>
        </w:rPr>
        <w:lastRenderedPageBreak/>
        <w:t>革加快住房建設的通知》加大城鎮住房制度</w:t>
      </w:r>
      <w:r w:rsidR="00157A4F" w:rsidRPr="000140B3">
        <w:rPr>
          <w:rFonts w:ascii="Times New Roman" w:hAnsi="Times New Roman" w:hint="eastAsia"/>
        </w:rPr>
        <w:t>之</w:t>
      </w:r>
      <w:r w:rsidRPr="000140B3">
        <w:rPr>
          <w:rFonts w:ascii="Times New Roman" w:hAnsi="Times New Roman"/>
        </w:rPr>
        <w:t>改革</w:t>
      </w:r>
      <w:r w:rsidR="00157A4F" w:rsidRPr="000140B3">
        <w:rPr>
          <w:rFonts w:ascii="Times New Roman" w:hAnsi="Times New Roman" w:hint="eastAsia"/>
        </w:rPr>
        <w:t>。中國大陸</w:t>
      </w:r>
      <w:r w:rsidRPr="000140B3">
        <w:rPr>
          <w:rFonts w:ascii="Times New Roman" w:hAnsi="Times New Roman"/>
        </w:rPr>
        <w:t>因住房政策的改革，自</w:t>
      </w:r>
      <w:r w:rsidRPr="000140B3">
        <w:rPr>
          <w:rFonts w:ascii="Times New Roman" w:hAnsi="Times New Roman"/>
        </w:rPr>
        <w:t>2003</w:t>
      </w:r>
      <w:r w:rsidRPr="000140B3">
        <w:rPr>
          <w:rFonts w:ascii="Times New Roman" w:hAnsi="Times New Roman"/>
        </w:rPr>
        <w:t>年起，開始了第一波的房價</w:t>
      </w:r>
      <w:proofErr w:type="gramStart"/>
      <w:r w:rsidRPr="000140B3">
        <w:rPr>
          <w:rFonts w:ascii="Times New Roman" w:hAnsi="Times New Roman"/>
        </w:rPr>
        <w:t>飆</w:t>
      </w:r>
      <w:proofErr w:type="gramEnd"/>
      <w:r w:rsidRPr="000140B3">
        <w:rPr>
          <w:rFonts w:ascii="Times New Roman" w:hAnsi="Times New Roman"/>
        </w:rPr>
        <w:t>升。</w:t>
      </w:r>
      <w:r w:rsidRPr="000140B3">
        <w:rPr>
          <w:rFonts w:ascii="Times New Roman" w:hAnsi="Times New Roman"/>
        </w:rPr>
        <w:t>2008</w:t>
      </w:r>
      <w:r w:rsidRPr="000140B3">
        <w:rPr>
          <w:rFonts w:ascii="Times New Roman" w:hAnsi="Times New Roman"/>
        </w:rPr>
        <w:t>年全球金融海嘯時漲勢雖有停歇。然為了因應全球金融海嘯的衝擊，中國大陸國務院於</w:t>
      </w:r>
      <w:r w:rsidRPr="000140B3">
        <w:rPr>
          <w:rFonts w:ascii="Times New Roman" w:hAnsi="Times New Roman"/>
        </w:rPr>
        <w:t>2008</w:t>
      </w:r>
      <w:r w:rsidRPr="000140B3">
        <w:rPr>
          <w:rFonts w:ascii="Times New Roman" w:hAnsi="Times New Roman"/>
        </w:rPr>
        <w:t>年</w:t>
      </w:r>
      <w:r w:rsidRPr="000140B3">
        <w:rPr>
          <w:rFonts w:ascii="Times New Roman" w:hAnsi="Times New Roman"/>
        </w:rPr>
        <w:t>11</w:t>
      </w:r>
      <w:r w:rsidRPr="000140B3">
        <w:rPr>
          <w:rFonts w:ascii="Times New Roman" w:hAnsi="Times New Roman"/>
        </w:rPr>
        <w:t>月推動「四萬億投資計畫</w:t>
      </w:r>
      <w:r w:rsidR="00157A4F" w:rsidRPr="000140B3">
        <w:rPr>
          <w:rFonts w:ascii="Times New Roman" w:hAnsi="Times New Roman"/>
        </w:rPr>
        <w:t>」</w:t>
      </w:r>
      <w:r w:rsidRPr="000140B3">
        <w:rPr>
          <w:rFonts w:ascii="Times New Roman" w:hAnsi="Times New Roman"/>
        </w:rPr>
        <w:t>，</w:t>
      </w:r>
      <w:r w:rsidRPr="000140B3">
        <w:rPr>
          <w:rFonts w:ascii="Times New Roman" w:hAnsi="Times New Roman"/>
          <w:shd w:val="clear" w:color="auto" w:fill="FFFFFF"/>
        </w:rPr>
        <w:t>因為貨幣泛濫</w:t>
      </w:r>
      <w:r w:rsidR="00157A4F" w:rsidRPr="000140B3">
        <w:rPr>
          <w:rFonts w:ascii="Times New Roman" w:hAnsi="Times New Roman" w:hint="eastAsia"/>
          <w:shd w:val="clear" w:color="auto" w:fill="FFFFFF"/>
        </w:rPr>
        <w:t>，</w:t>
      </w:r>
      <w:r w:rsidRPr="000140B3">
        <w:rPr>
          <w:rFonts w:ascii="Times New Roman" w:hAnsi="Times New Roman"/>
          <w:shd w:val="clear" w:color="auto" w:fill="FFFFFF"/>
        </w:rPr>
        <w:t>造成產能過剩、通貨膨脹、房價</w:t>
      </w:r>
      <w:proofErr w:type="gramStart"/>
      <w:r w:rsidRPr="000140B3">
        <w:rPr>
          <w:rFonts w:ascii="Times New Roman" w:hAnsi="Times New Roman"/>
          <w:shd w:val="clear" w:color="auto" w:fill="FFFFFF"/>
        </w:rPr>
        <w:t>飆</w:t>
      </w:r>
      <w:proofErr w:type="gramEnd"/>
      <w:r w:rsidRPr="000140B3">
        <w:rPr>
          <w:rFonts w:ascii="Times New Roman" w:hAnsi="Times New Roman"/>
          <w:shd w:val="clear" w:color="auto" w:fill="FFFFFF"/>
        </w:rPr>
        <w:t>漲等負面效果</w:t>
      </w:r>
      <w:r w:rsidRPr="000140B3">
        <w:rPr>
          <w:rStyle w:val="aff4"/>
          <w:rFonts w:ascii="Times New Roman" w:hAnsi="Times New Roman"/>
          <w:shd w:val="clear" w:color="auto" w:fill="FFFFFF"/>
        </w:rPr>
        <w:footnoteReference w:id="10"/>
      </w:r>
      <w:r w:rsidRPr="000140B3">
        <w:rPr>
          <w:rFonts w:ascii="Times New Roman" w:hAnsi="Times New Roman"/>
        </w:rPr>
        <w:t>，</w:t>
      </w:r>
      <w:r w:rsidRPr="000140B3">
        <w:rPr>
          <w:rFonts w:ascii="Times New Roman" w:hAnsi="Times New Roman"/>
        </w:rPr>
        <w:t>2009</w:t>
      </w:r>
      <w:r w:rsidRPr="000140B3">
        <w:rPr>
          <w:rFonts w:ascii="Times New Roman" w:hAnsi="Times New Roman"/>
        </w:rPr>
        <w:t>年後中國大陸房市漲勢更</w:t>
      </w:r>
      <w:r w:rsidR="00157A4F" w:rsidRPr="000140B3">
        <w:rPr>
          <w:rFonts w:ascii="Times New Roman" w:hAnsi="Times New Roman" w:hint="eastAsia"/>
        </w:rPr>
        <w:t>為</w:t>
      </w:r>
      <w:r w:rsidRPr="000140B3">
        <w:rPr>
          <w:rFonts w:ascii="Times New Roman" w:hAnsi="Times New Roman"/>
        </w:rPr>
        <w:t>劇</w:t>
      </w:r>
      <w:r w:rsidR="00157A4F" w:rsidRPr="000140B3">
        <w:rPr>
          <w:rFonts w:ascii="Times New Roman" w:hAnsi="Times New Roman" w:hint="eastAsia"/>
        </w:rPr>
        <w:t>烈</w:t>
      </w:r>
      <w:r w:rsidRPr="000140B3">
        <w:rPr>
          <w:rFonts w:ascii="Times New Roman" w:hAnsi="Times New Roman"/>
        </w:rPr>
        <w:t>。除了</w:t>
      </w:r>
      <w:r w:rsidRPr="000140B3">
        <w:rPr>
          <w:rFonts w:ascii="Times New Roman" w:hAnsi="Times New Roman"/>
        </w:rPr>
        <w:t>2014</w:t>
      </w:r>
      <w:r w:rsidRPr="000140B3">
        <w:rPr>
          <w:rFonts w:ascii="Times New Roman" w:hAnsi="Times New Roman"/>
        </w:rPr>
        <w:t>年成長率略低，</w:t>
      </w:r>
      <w:r w:rsidRPr="000140B3">
        <w:rPr>
          <w:rFonts w:ascii="Times New Roman" w:hAnsi="Times New Roman"/>
        </w:rPr>
        <w:t>2009</w:t>
      </w:r>
      <w:r w:rsidRPr="000140B3">
        <w:rPr>
          <w:rFonts w:ascii="Times New Roman" w:hAnsi="Times New Roman"/>
        </w:rPr>
        <w:t>至</w:t>
      </w:r>
      <w:r w:rsidRPr="000140B3">
        <w:rPr>
          <w:rFonts w:ascii="Times New Roman" w:hAnsi="Times New Roman"/>
        </w:rPr>
        <w:t>2018</w:t>
      </w:r>
      <w:r w:rsidRPr="000140B3">
        <w:rPr>
          <w:rFonts w:ascii="Times New Roman" w:hAnsi="Times New Roman"/>
        </w:rPr>
        <w:t>年商品房平均銷售</w:t>
      </w:r>
      <w:proofErr w:type="gramStart"/>
      <w:r w:rsidRPr="000140B3">
        <w:rPr>
          <w:rFonts w:ascii="Times New Roman" w:hAnsi="Times New Roman"/>
        </w:rPr>
        <w:t>價格均以</w:t>
      </w:r>
      <w:proofErr w:type="gramEnd"/>
      <w:r w:rsidRPr="000140B3">
        <w:rPr>
          <w:rFonts w:ascii="Times New Roman" w:hAnsi="Times New Roman"/>
        </w:rPr>
        <w:t>5</w:t>
      </w:r>
      <w:r w:rsidR="00157A4F" w:rsidRPr="000140B3">
        <w:rPr>
          <w:rFonts w:ascii="Times New Roman" w:hAnsi="Times New Roman" w:hint="eastAsia"/>
        </w:rPr>
        <w:t>%</w:t>
      </w:r>
      <w:r w:rsidRPr="000140B3">
        <w:rPr>
          <w:rFonts w:ascii="Times New Roman" w:hAnsi="Times New Roman"/>
        </w:rPr>
        <w:t>以上的速度成長，</w:t>
      </w:r>
      <w:r w:rsidRPr="000140B3">
        <w:rPr>
          <w:rFonts w:ascii="Times New Roman" w:hAnsi="Times New Roman"/>
        </w:rPr>
        <w:t>2016</w:t>
      </w:r>
      <w:r w:rsidRPr="000140B3">
        <w:rPr>
          <w:rFonts w:ascii="Times New Roman" w:hAnsi="Times New Roman"/>
        </w:rPr>
        <w:t>與</w:t>
      </w:r>
      <w:r w:rsidRPr="000140B3">
        <w:rPr>
          <w:rFonts w:ascii="Times New Roman" w:hAnsi="Times New Roman"/>
        </w:rPr>
        <w:t>2018</w:t>
      </w:r>
      <w:r w:rsidRPr="000140B3">
        <w:rPr>
          <w:rFonts w:ascii="Times New Roman" w:hAnsi="Times New Roman"/>
        </w:rPr>
        <w:t>年甚至超過</w:t>
      </w:r>
      <w:r w:rsidRPr="000140B3">
        <w:rPr>
          <w:rFonts w:ascii="Times New Roman" w:hAnsi="Times New Roman"/>
        </w:rPr>
        <w:t>10%</w:t>
      </w:r>
      <w:r w:rsidRPr="000140B3">
        <w:rPr>
          <w:rStyle w:val="aff4"/>
          <w:rFonts w:ascii="Times New Roman" w:hAnsi="Times New Roman"/>
        </w:rPr>
        <w:footnoteReference w:id="11"/>
      </w:r>
      <w:r w:rsidRPr="000140B3">
        <w:rPr>
          <w:rFonts w:ascii="Times New Roman" w:hAnsi="Times New Roman"/>
        </w:rPr>
        <w:t>。雖</w:t>
      </w:r>
      <w:r w:rsidRPr="000140B3">
        <w:rPr>
          <w:rFonts w:ascii="Times New Roman" w:hAnsi="Times New Roman"/>
          <w:sz w:val="31"/>
          <w:szCs w:val="31"/>
          <w:shd w:val="clear" w:color="auto" w:fill="FFFFFF"/>
        </w:rPr>
        <w:t>2009</w:t>
      </w:r>
      <w:r w:rsidRPr="000140B3">
        <w:rPr>
          <w:rFonts w:ascii="Times New Roman" w:hAnsi="Times New Roman"/>
          <w:sz w:val="31"/>
          <w:szCs w:val="31"/>
          <w:shd w:val="clear" w:color="auto" w:fill="FFFFFF"/>
        </w:rPr>
        <w:t>年開始中國大陸官方即制定一連串房市調控的「</w:t>
      </w:r>
      <w:proofErr w:type="gramStart"/>
      <w:r w:rsidRPr="000140B3">
        <w:rPr>
          <w:rFonts w:ascii="Times New Roman" w:hAnsi="Times New Roman"/>
          <w:sz w:val="31"/>
          <w:szCs w:val="31"/>
          <w:shd w:val="clear" w:color="auto" w:fill="FFFFFF"/>
        </w:rPr>
        <w:t>打房</w:t>
      </w:r>
      <w:proofErr w:type="gramEnd"/>
      <w:r w:rsidRPr="000140B3">
        <w:rPr>
          <w:rFonts w:ascii="Times New Roman" w:hAnsi="Times New Roman"/>
          <w:sz w:val="31"/>
          <w:szCs w:val="31"/>
          <w:shd w:val="clear" w:color="auto" w:fill="FFFFFF"/>
        </w:rPr>
        <w:t>」措施，包括</w:t>
      </w:r>
      <w:r w:rsidRPr="000140B3">
        <w:rPr>
          <w:rFonts w:ascii="Times New Roman" w:hAnsi="Times New Roman"/>
          <w:sz w:val="31"/>
          <w:szCs w:val="31"/>
          <w:shd w:val="clear" w:color="auto" w:fill="FFFFFF"/>
        </w:rPr>
        <w:t>2009</w:t>
      </w:r>
      <w:r w:rsidRPr="000140B3">
        <w:rPr>
          <w:rFonts w:ascii="Times New Roman" w:hAnsi="Times New Roman"/>
          <w:sz w:val="31"/>
          <w:szCs w:val="31"/>
          <w:shd w:val="clear" w:color="auto" w:fill="FFFFFF"/>
        </w:rPr>
        <w:t>年的「國四條」、</w:t>
      </w:r>
      <w:r w:rsidRPr="000140B3">
        <w:rPr>
          <w:rFonts w:ascii="Times New Roman" w:hAnsi="Times New Roman"/>
          <w:sz w:val="31"/>
          <w:szCs w:val="31"/>
          <w:shd w:val="clear" w:color="auto" w:fill="FFFFFF"/>
        </w:rPr>
        <w:t>2010</w:t>
      </w:r>
      <w:r w:rsidRPr="000140B3">
        <w:rPr>
          <w:rFonts w:ascii="Times New Roman" w:hAnsi="Times New Roman"/>
          <w:sz w:val="31"/>
          <w:szCs w:val="31"/>
          <w:shd w:val="clear" w:color="auto" w:fill="FFFFFF"/>
        </w:rPr>
        <w:t>年推出「國十條」、</w:t>
      </w:r>
      <w:r w:rsidRPr="000140B3">
        <w:rPr>
          <w:rFonts w:ascii="Times New Roman" w:hAnsi="Times New Roman"/>
          <w:sz w:val="31"/>
          <w:szCs w:val="31"/>
          <w:shd w:val="clear" w:color="auto" w:fill="FFFFFF"/>
        </w:rPr>
        <w:t>2011</w:t>
      </w:r>
      <w:r w:rsidRPr="000140B3">
        <w:rPr>
          <w:rFonts w:ascii="Times New Roman" w:hAnsi="Times New Roman"/>
          <w:sz w:val="31"/>
          <w:szCs w:val="31"/>
          <w:shd w:val="clear" w:color="auto" w:fill="FFFFFF"/>
        </w:rPr>
        <w:t>年「新國八條」、</w:t>
      </w:r>
      <w:r w:rsidRPr="000140B3">
        <w:rPr>
          <w:rFonts w:ascii="Times New Roman" w:hAnsi="Times New Roman"/>
          <w:sz w:val="31"/>
          <w:szCs w:val="31"/>
          <w:shd w:val="clear" w:color="auto" w:fill="FFFFFF"/>
        </w:rPr>
        <w:t>2013</w:t>
      </w:r>
      <w:r w:rsidRPr="000140B3">
        <w:rPr>
          <w:rFonts w:ascii="Times New Roman" w:hAnsi="Times New Roman"/>
          <w:sz w:val="31"/>
          <w:szCs w:val="31"/>
          <w:shd w:val="clear" w:color="auto" w:fill="FFFFFF"/>
        </w:rPr>
        <w:t>年再推出「新國五條」，但是只有短期效果，而且該</w:t>
      </w:r>
      <w:r w:rsidR="00AD46E0" w:rsidRPr="000140B3">
        <w:rPr>
          <w:rFonts w:ascii="Times New Roman" w:hAnsi="Times New Roman" w:hint="eastAsia"/>
          <w:sz w:val="31"/>
          <w:szCs w:val="31"/>
          <w:shd w:val="clear" w:color="auto" w:fill="FFFFFF"/>
        </w:rPr>
        <w:t>等</w:t>
      </w:r>
      <w:r w:rsidRPr="000140B3">
        <w:rPr>
          <w:rFonts w:ascii="Times New Roman" w:hAnsi="Times New Roman"/>
          <w:sz w:val="31"/>
          <w:szCs w:val="31"/>
          <w:shd w:val="clear" w:color="auto" w:fill="FFFFFF"/>
        </w:rPr>
        <w:t>措施僅為了防止房市過熱，而非真正降低房價</w:t>
      </w:r>
      <w:r w:rsidRPr="000140B3">
        <w:rPr>
          <w:rStyle w:val="aff4"/>
          <w:rFonts w:ascii="Times New Roman" w:hAnsi="Times New Roman"/>
          <w:sz w:val="31"/>
          <w:szCs w:val="31"/>
          <w:shd w:val="clear" w:color="auto" w:fill="FFFFFF"/>
        </w:rPr>
        <w:footnoteReference w:id="12"/>
      </w:r>
      <w:r w:rsidRPr="000140B3">
        <w:rPr>
          <w:rFonts w:ascii="Times New Roman" w:hAnsi="Times New Roman"/>
          <w:sz w:val="31"/>
          <w:szCs w:val="31"/>
          <w:shd w:val="clear" w:color="auto" w:fill="FFFFFF"/>
        </w:rPr>
        <w:t>。</w:t>
      </w:r>
      <w:r w:rsidRPr="000140B3">
        <w:rPr>
          <w:rFonts w:ascii="Times New Roman" w:hAnsi="Times New Roman"/>
        </w:rPr>
        <w:t>然</w:t>
      </w:r>
      <w:r w:rsidRPr="000140B3">
        <w:rPr>
          <w:rFonts w:ascii="Times New Roman" w:hAnsi="Times New Roman"/>
        </w:rPr>
        <w:t>2016</w:t>
      </w:r>
      <w:r w:rsidRPr="000140B3">
        <w:rPr>
          <w:rFonts w:ascii="Times New Roman" w:hAnsi="Times New Roman"/>
        </w:rPr>
        <w:t>年</w:t>
      </w:r>
      <w:r w:rsidRPr="000140B3">
        <w:rPr>
          <w:rFonts w:ascii="Times New Roman" w:hAnsi="Times New Roman"/>
        </w:rPr>
        <w:t>12</w:t>
      </w:r>
      <w:r w:rsidRPr="000140B3">
        <w:rPr>
          <w:rFonts w:ascii="Times New Roman" w:hAnsi="Times New Roman"/>
        </w:rPr>
        <w:t>月</w:t>
      </w:r>
      <w:r w:rsidRPr="000140B3">
        <w:rPr>
          <w:rFonts w:ascii="Times New Roman" w:hAnsi="Times New Roman"/>
        </w:rPr>
        <w:t>14</w:t>
      </w:r>
      <w:r w:rsidRPr="000140B3">
        <w:rPr>
          <w:rFonts w:ascii="Times New Roman" w:hAnsi="Times New Roman"/>
        </w:rPr>
        <w:t>至</w:t>
      </w:r>
      <w:r w:rsidRPr="000140B3">
        <w:rPr>
          <w:rFonts w:ascii="Times New Roman" w:hAnsi="Times New Roman"/>
        </w:rPr>
        <w:t>16</w:t>
      </w:r>
      <w:r w:rsidRPr="000140B3">
        <w:rPr>
          <w:rFonts w:ascii="Times New Roman" w:hAnsi="Times New Roman"/>
        </w:rPr>
        <w:t>日中國共產黨中央總書記習近平提出「房子是用來住的，不是用來炒的」。</w:t>
      </w:r>
      <w:r w:rsidR="00AD46E0" w:rsidRPr="000140B3">
        <w:rPr>
          <w:rFonts w:ascii="Times New Roman" w:hAnsi="Times New Roman" w:hint="eastAsia"/>
        </w:rPr>
        <w:t>依據該等理念，</w:t>
      </w:r>
      <w:r w:rsidRPr="000140B3">
        <w:rPr>
          <w:rFonts w:ascii="Times New Roman" w:hAnsi="Times New Roman"/>
        </w:rPr>
        <w:t>2020</w:t>
      </w:r>
      <w:r w:rsidRPr="000140B3">
        <w:rPr>
          <w:rFonts w:ascii="Times New Roman" w:hAnsi="Times New Roman"/>
        </w:rPr>
        <w:t>年中國共產黨和中國政府，對中國房地產企業債務風險提出的「三條紅線、四檔管理」監管要求。以遏制房地產企業舉債擴張的金融風險。</w:t>
      </w:r>
      <w:r w:rsidR="00AD46E0" w:rsidRPr="000140B3">
        <w:rPr>
          <w:rFonts w:ascii="Times New Roman" w:hAnsi="Times New Roman" w:hint="eastAsia"/>
        </w:rPr>
        <w:t>該等</w:t>
      </w:r>
      <w:r w:rsidRPr="000140B3">
        <w:rPr>
          <w:rFonts w:ascii="Times New Roman" w:hAnsi="Times New Roman"/>
        </w:rPr>
        <w:t>市場降溫政策使房企負債和資金鏈問題愈滾愈大，最終引發</w:t>
      </w:r>
      <w:r w:rsidRPr="000140B3">
        <w:rPr>
          <w:rFonts w:ascii="Times New Roman" w:hAnsi="Times New Roman"/>
        </w:rPr>
        <w:t>2021</w:t>
      </w:r>
      <w:r w:rsidRPr="000140B3">
        <w:rPr>
          <w:rFonts w:ascii="Times New Roman" w:hAnsi="Times New Roman"/>
        </w:rPr>
        <w:t>年下半年，多個頭部房企出現的流動性危機和風險事件</w:t>
      </w:r>
      <w:r w:rsidR="00AD46E0" w:rsidRPr="000140B3">
        <w:rPr>
          <w:rFonts w:ascii="Times New Roman" w:hAnsi="Times New Roman" w:hint="eastAsia"/>
        </w:rPr>
        <w:t>：</w:t>
      </w:r>
    </w:p>
    <w:p w:rsidR="00AD46E0" w:rsidRPr="000140B3" w:rsidRDefault="0064621B" w:rsidP="00AD46E0">
      <w:pPr>
        <w:pStyle w:val="4"/>
      </w:pPr>
      <w:r w:rsidRPr="000140B3">
        <w:t>2016年進入《財星》世界500強，2020年排行第152位</w:t>
      </w:r>
      <w:r w:rsidRPr="000140B3">
        <w:rPr>
          <w:rStyle w:val="aff4"/>
          <w:rFonts w:ascii="Times New Roman" w:hAnsi="Times New Roman"/>
        </w:rPr>
        <w:footnoteReference w:id="13"/>
      </w:r>
      <w:r w:rsidRPr="000140B3">
        <w:t>之</w:t>
      </w:r>
      <w:proofErr w:type="gramStart"/>
      <w:r w:rsidR="00011A7F" w:rsidRPr="000140B3">
        <w:t>恒</w:t>
      </w:r>
      <w:proofErr w:type="gramEnd"/>
      <w:r w:rsidR="00011A7F" w:rsidRPr="000140B3">
        <w:t>大</w:t>
      </w:r>
      <w:r w:rsidRPr="000140B3">
        <w:t>集團，2023年7月公布2021、2022兩年度財報，兩年共虧損8,120億人民幣（約</w:t>
      </w:r>
      <w:r w:rsidR="00AD46E0" w:rsidRPr="000140B3">
        <w:t>新臺</w:t>
      </w:r>
      <w:r w:rsidR="00AD46E0" w:rsidRPr="000140B3">
        <w:rPr>
          <w:rFonts w:hint="eastAsia"/>
        </w:rPr>
        <w:t>幣</w:t>
      </w:r>
      <w:r w:rsidRPr="000140B3">
        <w:t>3.49</w:t>
      </w:r>
      <w:r w:rsidRPr="000140B3">
        <w:lastRenderedPageBreak/>
        <w:t>兆），負債從1.96兆人民幣（近</w:t>
      </w:r>
      <w:r w:rsidR="00AD46E0" w:rsidRPr="000140B3">
        <w:t>新臺幣</w:t>
      </w:r>
      <w:r w:rsidRPr="000140B3">
        <w:t>8.43兆）升高到2.4376兆人民幣（約</w:t>
      </w:r>
      <w:r w:rsidR="00AD46E0" w:rsidRPr="000140B3">
        <w:t>新臺幣</w:t>
      </w:r>
      <w:r w:rsidRPr="000140B3">
        <w:t>10.48兆），2024年1月</w:t>
      </w:r>
      <w:r w:rsidR="00011A7F" w:rsidRPr="000140B3">
        <w:t>恒大</w:t>
      </w:r>
      <w:r w:rsidRPr="000140B3">
        <w:t>公司被香港高等法院頒布強制清盤</w:t>
      </w:r>
      <w:r w:rsidRPr="000140B3">
        <w:rPr>
          <w:rStyle w:val="aff4"/>
          <w:rFonts w:ascii="Times New Roman" w:hAnsi="Times New Roman"/>
        </w:rPr>
        <w:footnoteReference w:id="14"/>
      </w:r>
      <w:r w:rsidRPr="000140B3">
        <w:t>令。</w:t>
      </w:r>
    </w:p>
    <w:p w:rsidR="00AD46E0" w:rsidRPr="000140B3" w:rsidRDefault="0064621B" w:rsidP="00AD46E0">
      <w:pPr>
        <w:pStyle w:val="4"/>
      </w:pPr>
      <w:r w:rsidRPr="000140B3">
        <w:t>2017至2022年銷售額為中國大陸乃至全球房企之首位，高峰期年均銷售額在7</w:t>
      </w:r>
      <w:r w:rsidR="00AD46E0" w:rsidRPr="000140B3">
        <w:t>,</w:t>
      </w:r>
      <w:r w:rsidRPr="000140B3">
        <w:t>000億人民幣以上，被網民稱為「宇宙第一房企」</w:t>
      </w:r>
      <w:r w:rsidRPr="000140B3">
        <w:rPr>
          <w:rStyle w:val="aff4"/>
          <w:rFonts w:ascii="Times New Roman" w:hAnsi="Times New Roman"/>
        </w:rPr>
        <w:footnoteReference w:id="15"/>
      </w:r>
      <w:r w:rsidRPr="000140B3">
        <w:t>之碧</w:t>
      </w:r>
      <w:proofErr w:type="gramStart"/>
      <w:r w:rsidRPr="000140B3">
        <w:t>桂園</w:t>
      </w:r>
      <w:proofErr w:type="gramEnd"/>
      <w:r w:rsidRPr="000140B3">
        <w:t>，2023年8月6日因未能如期支付兩筆債券共2,250萬美元的利息，出現債務違約問題。同時亦公布高達489億人民幣（約新臺幣2,150億）虧損，虧損規模高達1/4個股本，</w:t>
      </w:r>
      <w:proofErr w:type="gramStart"/>
      <w:r w:rsidRPr="000140B3">
        <w:t>未償</w:t>
      </w:r>
      <w:proofErr w:type="gramEnd"/>
      <w:r w:rsidRPr="000140B3">
        <w:t>還的國際債券和貸款的負債總額達人民幣1.36兆元（約新臺幣6.05兆元），該公司在中國發行的11檔，規模約160億人民幣之債券於8月14日停牌，債券殖利率衝上300%，價格僅剩面額5%至6%。違約前，</w:t>
      </w:r>
      <w:r w:rsidR="00B449AB" w:rsidRPr="000140B3">
        <w:rPr>
          <w:rFonts w:ascii="Times New Roman" w:hAnsi="Times New Roman" w:hint="eastAsia"/>
        </w:rPr>
        <w:t>穆迪國際信評機構</w:t>
      </w:r>
      <w:r w:rsidR="00B449AB" w:rsidRPr="000140B3">
        <w:rPr>
          <w:rFonts w:ascii="Times New Roman" w:hAnsi="Times New Roman" w:hint="eastAsia"/>
        </w:rPr>
        <w:t>(</w:t>
      </w:r>
      <w:r w:rsidR="00B449AB" w:rsidRPr="000140B3">
        <w:rPr>
          <w:rFonts w:ascii="Times New Roman" w:hAnsi="Times New Roman"/>
        </w:rPr>
        <w:t>Moody's</w:t>
      </w:r>
      <w:r w:rsidR="00B449AB" w:rsidRPr="000140B3">
        <w:rPr>
          <w:rFonts w:ascii="Times New Roman" w:hAnsi="Times New Roman" w:hint="eastAsia"/>
        </w:rPr>
        <w:t xml:space="preserve"> </w:t>
      </w:r>
      <w:proofErr w:type="spellStart"/>
      <w:r w:rsidR="00B449AB" w:rsidRPr="000140B3">
        <w:rPr>
          <w:rFonts w:ascii="Times New Roman" w:hAnsi="Times New Roman" w:hint="eastAsia"/>
        </w:rPr>
        <w:t>CreditView</w:t>
      </w:r>
      <w:proofErr w:type="spellEnd"/>
      <w:r w:rsidR="00B449AB" w:rsidRPr="000140B3">
        <w:rPr>
          <w:rFonts w:ascii="Times New Roman" w:hAnsi="Times New Roman" w:hint="eastAsia"/>
        </w:rPr>
        <w:t>，下稱穆迪信評</w:t>
      </w:r>
      <w:r w:rsidR="00B449AB" w:rsidRPr="000140B3">
        <w:rPr>
          <w:rFonts w:ascii="Times New Roman" w:hAnsi="Times New Roman" w:hint="eastAsia"/>
        </w:rPr>
        <w:t>)</w:t>
      </w:r>
      <w:r w:rsidRPr="000140B3">
        <w:t>已將碧</w:t>
      </w:r>
      <w:proofErr w:type="gramStart"/>
      <w:r w:rsidRPr="000140B3">
        <w:t>桂園</w:t>
      </w:r>
      <w:proofErr w:type="gramEnd"/>
      <w:r w:rsidRPr="000140B3">
        <w:t>信用評等從Ba3降至B1，屬於非投資等級債券；違約危機爆發後，信用評等更進一步降至Caa1</w:t>
      </w:r>
      <w:r w:rsidRPr="000140B3">
        <w:rPr>
          <w:rStyle w:val="aff4"/>
          <w:rFonts w:ascii="Times New Roman" w:hAnsi="Times New Roman"/>
        </w:rPr>
        <w:footnoteReference w:id="16"/>
      </w:r>
      <w:r w:rsidRPr="000140B3">
        <w:t>。該公司又無法遵守香港交易及結算所有限公司</w:t>
      </w:r>
      <w:r w:rsidR="0008226F" w:rsidRPr="000140B3">
        <w:rPr>
          <w:rFonts w:hint="eastAsia"/>
        </w:rPr>
        <w:t>(下</w:t>
      </w:r>
      <w:proofErr w:type="gramStart"/>
      <w:r w:rsidR="0008226F" w:rsidRPr="000140B3">
        <w:rPr>
          <w:rFonts w:hint="eastAsia"/>
        </w:rPr>
        <w:t>稱港交所</w:t>
      </w:r>
      <w:proofErr w:type="gramEnd"/>
      <w:r w:rsidR="0008226F" w:rsidRPr="000140B3">
        <w:rPr>
          <w:rFonts w:hint="eastAsia"/>
        </w:rPr>
        <w:t>)</w:t>
      </w:r>
      <w:r w:rsidRPr="000140B3">
        <w:t>上市規則規定發布2023年財報份於2024年4月2日暫停交易。</w:t>
      </w:r>
    </w:p>
    <w:p w:rsidR="00AD46E0" w:rsidRPr="000140B3" w:rsidRDefault="0064621B" w:rsidP="00AD46E0">
      <w:pPr>
        <w:pStyle w:val="4"/>
      </w:pPr>
      <w:r w:rsidRPr="000140B3">
        <w:t>具有國企背景之萬科企業股份有限公司</w:t>
      </w:r>
      <w:r w:rsidR="00AD46E0" w:rsidRPr="000140B3">
        <w:rPr>
          <w:rFonts w:hint="eastAsia"/>
        </w:rPr>
        <w:t>(下稱萬科公司)</w:t>
      </w:r>
      <w:r w:rsidRPr="000140B3">
        <w:t>，國際信評機構穆迪</w:t>
      </w:r>
      <w:r w:rsidR="00B449AB" w:rsidRPr="000140B3">
        <w:rPr>
          <w:rFonts w:hint="eastAsia"/>
        </w:rPr>
        <w:t>信評</w:t>
      </w:r>
      <w:r w:rsidRPr="000140B3">
        <w:t>在113年3月中以該</w:t>
      </w:r>
      <w:r w:rsidRPr="000140B3">
        <w:lastRenderedPageBreak/>
        <w:t>集團的流動性</w:t>
      </w:r>
      <w:r w:rsidRPr="000140B3">
        <w:rPr>
          <w:szCs w:val="32"/>
        </w:rPr>
        <w:t>與資金取得疑慮為由，將其評等從投資級降至垃圾級，而且還有進一步調降的可能。</w:t>
      </w:r>
    </w:p>
    <w:p w:rsidR="0064621B" w:rsidRPr="000140B3" w:rsidRDefault="00AD46E0" w:rsidP="00AD46E0">
      <w:pPr>
        <w:pStyle w:val="3"/>
        <w:numPr>
          <w:ilvl w:val="0"/>
          <w:numId w:val="0"/>
        </w:numPr>
        <w:ind w:left="1361" w:firstLineChars="225" w:firstLine="765"/>
      </w:pPr>
      <w:r w:rsidRPr="000140B3">
        <w:rPr>
          <w:rFonts w:hint="eastAsia"/>
        </w:rPr>
        <w:t>上開資料</w:t>
      </w:r>
      <w:r w:rsidR="0064621B" w:rsidRPr="000140B3">
        <w:t>顯示，中國大陸房地產企業財務狀況明顯不佳。</w:t>
      </w:r>
    </w:p>
    <w:p w:rsidR="0064621B" w:rsidRPr="000140B3" w:rsidRDefault="0064621B" w:rsidP="0064621B">
      <w:pPr>
        <w:pStyle w:val="3"/>
        <w:rPr>
          <w:rFonts w:ascii="Times New Roman" w:hAnsi="Times New Roman"/>
        </w:rPr>
      </w:pPr>
      <w:r w:rsidRPr="000140B3">
        <w:rPr>
          <w:rFonts w:ascii="Times New Roman" w:hAnsi="Times New Roman"/>
        </w:rPr>
        <w:t>再查，</w:t>
      </w:r>
      <w:r w:rsidRPr="000140B3">
        <w:rPr>
          <w:rFonts w:ascii="Times New Roman" w:hAnsi="Times New Roman"/>
        </w:rPr>
        <w:t>109</w:t>
      </w:r>
      <w:r w:rsidRPr="000140B3">
        <w:rPr>
          <w:rFonts w:ascii="Times New Roman" w:hAnsi="Times New Roman"/>
        </w:rPr>
        <w:t>至</w:t>
      </w:r>
      <w:r w:rsidRPr="000140B3">
        <w:rPr>
          <w:rFonts w:ascii="Times New Roman" w:hAnsi="Times New Roman"/>
        </w:rPr>
        <w:t>112</w:t>
      </w:r>
      <w:r w:rsidRPr="000140B3">
        <w:rPr>
          <w:rFonts w:ascii="Times New Roman" w:hAnsi="Times New Roman"/>
        </w:rPr>
        <w:t>年起我國金融機構對中國大陸房地產業</w:t>
      </w:r>
      <w:proofErr w:type="gramStart"/>
      <w:r w:rsidRPr="000140B3">
        <w:rPr>
          <w:rFonts w:ascii="Times New Roman" w:hAnsi="Times New Roman"/>
        </w:rPr>
        <w:t>暴險呈</w:t>
      </w:r>
      <w:proofErr w:type="gramEnd"/>
      <w:r w:rsidRPr="000140B3">
        <w:rPr>
          <w:rFonts w:ascii="Times New Roman" w:hAnsi="Times New Roman"/>
        </w:rPr>
        <w:t>逐年下滑趨勢，</w:t>
      </w:r>
      <w:proofErr w:type="gramStart"/>
      <w:r w:rsidRPr="000140B3">
        <w:rPr>
          <w:rFonts w:ascii="Times New Roman" w:hAnsi="Times New Roman"/>
        </w:rPr>
        <w:t>詳</w:t>
      </w:r>
      <w:proofErr w:type="gramEnd"/>
      <w:r w:rsidRPr="000140B3">
        <w:rPr>
          <w:rFonts w:ascii="Times New Roman" w:hAnsi="Times New Roman"/>
        </w:rPr>
        <w:t>表</w:t>
      </w:r>
      <w:r w:rsidR="0055028A" w:rsidRPr="000140B3">
        <w:rPr>
          <w:rFonts w:ascii="Times New Roman" w:hAnsi="Times New Roman" w:hint="eastAsia"/>
        </w:rPr>
        <w:t>4</w:t>
      </w:r>
      <w:r w:rsidRPr="000140B3">
        <w:rPr>
          <w:rFonts w:ascii="Times New Roman" w:hAnsi="Times New Roman"/>
        </w:rPr>
        <w:t>。金管會</w:t>
      </w:r>
      <w:r w:rsidR="00AD46E0" w:rsidRPr="000140B3">
        <w:rPr>
          <w:rFonts w:ascii="Times New Roman" w:hAnsi="Times New Roman" w:hint="eastAsia"/>
        </w:rPr>
        <w:t>就我國金融業對</w:t>
      </w:r>
      <w:r w:rsidRPr="000140B3">
        <w:rPr>
          <w:rFonts w:ascii="Times New Roman" w:hAnsi="Times New Roman"/>
        </w:rPr>
        <w:t>中國大陸房地產業</w:t>
      </w:r>
      <w:proofErr w:type="gramStart"/>
      <w:r w:rsidRPr="000140B3">
        <w:rPr>
          <w:rFonts w:ascii="Times New Roman" w:hAnsi="Times New Roman"/>
        </w:rPr>
        <w:t>之暴險管理</w:t>
      </w:r>
      <w:proofErr w:type="gramEnd"/>
      <w:r w:rsidRPr="000140B3">
        <w:rPr>
          <w:rFonts w:ascii="Times New Roman" w:hAnsi="Times New Roman"/>
        </w:rPr>
        <w:t>作為：</w:t>
      </w:r>
    </w:p>
    <w:p w:rsidR="0064621B" w:rsidRPr="000140B3" w:rsidRDefault="0064621B" w:rsidP="0064621B">
      <w:pPr>
        <w:pStyle w:val="4"/>
        <w:rPr>
          <w:rFonts w:ascii="Times New Roman" w:hAnsi="Times New Roman"/>
        </w:rPr>
      </w:pPr>
      <w:r w:rsidRPr="000140B3">
        <w:rPr>
          <w:rFonts w:ascii="Times New Roman" w:hAnsi="Times New Roman"/>
        </w:rPr>
        <w:t>銀行業：</w:t>
      </w:r>
    </w:p>
    <w:p w:rsidR="0064621B" w:rsidRPr="000140B3" w:rsidRDefault="0064621B" w:rsidP="0064621B">
      <w:pPr>
        <w:pStyle w:val="5"/>
        <w:rPr>
          <w:rFonts w:ascii="Times New Roman" w:hAnsi="Times New Roman"/>
        </w:rPr>
      </w:pPr>
      <w:r w:rsidRPr="000140B3">
        <w:rPr>
          <w:rFonts w:ascii="Times New Roman" w:hAnsi="Times New Roman"/>
        </w:rPr>
        <w:t>金管會請存保公司監控國銀之</w:t>
      </w:r>
      <w:proofErr w:type="gramStart"/>
      <w:r w:rsidRPr="000140B3">
        <w:rPr>
          <w:rFonts w:ascii="Times New Roman" w:hAnsi="Times New Roman"/>
        </w:rPr>
        <w:t>中國大陸暴險及</w:t>
      </w:r>
      <w:proofErr w:type="gramEnd"/>
      <w:r w:rsidRPr="000140B3">
        <w:rPr>
          <w:rFonts w:ascii="Times New Roman" w:hAnsi="Times New Roman"/>
        </w:rPr>
        <w:t>當地分子行之財業務狀況及資產品質，如國銀不良授信戶</w:t>
      </w:r>
      <w:r w:rsidRPr="000140B3">
        <w:rPr>
          <w:rFonts w:ascii="Times New Roman" w:hAnsi="Times New Roman"/>
        </w:rPr>
        <w:t>(</w:t>
      </w:r>
      <w:r w:rsidRPr="000140B3">
        <w:rPr>
          <w:rFonts w:ascii="Times New Roman" w:hAnsi="Times New Roman"/>
        </w:rPr>
        <w:t>已列報其他有欠正常放款或逾期放款者</w:t>
      </w:r>
      <w:r w:rsidRPr="000140B3">
        <w:rPr>
          <w:rFonts w:ascii="Times New Roman" w:hAnsi="Times New Roman"/>
        </w:rPr>
        <w:t>)</w:t>
      </w:r>
      <w:r w:rsidRPr="000140B3">
        <w:rPr>
          <w:rFonts w:ascii="Times New Roman" w:hAnsi="Times New Roman"/>
        </w:rPr>
        <w:t>，或有投資其商品，為發生財務危機之地產商，該會已掌握國銀</w:t>
      </w:r>
      <w:proofErr w:type="gramStart"/>
      <w:r w:rsidRPr="000140B3">
        <w:rPr>
          <w:rFonts w:ascii="Times New Roman" w:hAnsi="Times New Roman"/>
        </w:rPr>
        <w:t>對其暴險金</w:t>
      </w:r>
      <w:proofErr w:type="gramEnd"/>
      <w:r w:rsidRPr="000140B3">
        <w:rPr>
          <w:rFonts w:ascii="Times New Roman" w:hAnsi="Times New Roman"/>
        </w:rPr>
        <w:t>額。</w:t>
      </w:r>
    </w:p>
    <w:p w:rsidR="0064621B" w:rsidRPr="000140B3" w:rsidRDefault="0064621B" w:rsidP="0064621B">
      <w:pPr>
        <w:pStyle w:val="5"/>
        <w:rPr>
          <w:rFonts w:ascii="Times New Roman" w:hAnsi="Times New Roman"/>
        </w:rPr>
      </w:pPr>
      <w:r w:rsidRPr="000140B3">
        <w:rPr>
          <w:rFonts w:ascii="Times New Roman" w:hAnsi="Times New Roman"/>
        </w:rPr>
        <w:t>截至</w:t>
      </w:r>
      <w:r w:rsidRPr="000140B3">
        <w:rPr>
          <w:rFonts w:ascii="Times New Roman" w:hAnsi="Times New Roman"/>
        </w:rPr>
        <w:t>112</w:t>
      </w:r>
      <w:r w:rsidRPr="000140B3">
        <w:rPr>
          <w:rFonts w:ascii="Times New Roman" w:hAnsi="Times New Roman"/>
        </w:rPr>
        <w:t>年</w:t>
      </w:r>
      <w:r w:rsidRPr="000140B3">
        <w:rPr>
          <w:rFonts w:ascii="Times New Roman" w:hAnsi="Times New Roman"/>
        </w:rPr>
        <w:t>8</w:t>
      </w:r>
      <w:r w:rsidRPr="000140B3">
        <w:rPr>
          <w:rFonts w:ascii="Times New Roman" w:hAnsi="Times New Roman"/>
        </w:rPr>
        <w:t>月底，國銀對中國大陸房地產業授</w:t>
      </w:r>
      <w:proofErr w:type="gramStart"/>
      <w:r w:rsidRPr="000140B3">
        <w:rPr>
          <w:rFonts w:ascii="Times New Roman" w:hAnsi="Times New Roman"/>
        </w:rPr>
        <w:t>信暴險</w:t>
      </w:r>
      <w:r w:rsidRPr="000140B3">
        <w:rPr>
          <w:rFonts w:ascii="Times New Roman" w:hAnsi="Times New Roman"/>
        </w:rPr>
        <w:t>40.25</w:t>
      </w:r>
      <w:r w:rsidRPr="000140B3">
        <w:rPr>
          <w:rFonts w:ascii="Times New Roman" w:hAnsi="Times New Roman"/>
        </w:rPr>
        <w:t>億元</w:t>
      </w:r>
      <w:proofErr w:type="gramEnd"/>
      <w:r w:rsidRPr="000140B3">
        <w:rPr>
          <w:rFonts w:ascii="Times New Roman" w:hAnsi="Times New Roman"/>
        </w:rPr>
        <w:t>，授信對象為萬科與碧</w:t>
      </w:r>
      <w:proofErr w:type="gramStart"/>
      <w:r w:rsidRPr="000140B3">
        <w:rPr>
          <w:rFonts w:ascii="Times New Roman" w:hAnsi="Times New Roman"/>
        </w:rPr>
        <w:t>桂</w:t>
      </w:r>
      <w:proofErr w:type="gramEnd"/>
      <w:r w:rsidRPr="000140B3">
        <w:rPr>
          <w:rFonts w:ascii="Times New Roman" w:hAnsi="Times New Roman"/>
        </w:rPr>
        <w:t>園，目前還款</w:t>
      </w:r>
      <w:proofErr w:type="gramStart"/>
      <w:r w:rsidRPr="000140B3">
        <w:rPr>
          <w:rFonts w:ascii="Times New Roman" w:hAnsi="Times New Roman"/>
        </w:rPr>
        <w:t>情形均為正</w:t>
      </w:r>
      <w:proofErr w:type="gramEnd"/>
      <w:r w:rsidRPr="000140B3">
        <w:rPr>
          <w:rFonts w:ascii="Times New Roman" w:hAnsi="Times New Roman"/>
        </w:rPr>
        <w:t>常，相關銀行並已依該會要求，提列備抵呆帳</w:t>
      </w:r>
      <w:proofErr w:type="gramStart"/>
      <w:r w:rsidRPr="000140B3">
        <w:rPr>
          <w:rFonts w:ascii="Times New Roman" w:hAnsi="Times New Roman"/>
        </w:rPr>
        <w:t>比率均</w:t>
      </w:r>
      <w:proofErr w:type="gramEnd"/>
      <w:r w:rsidRPr="000140B3">
        <w:rPr>
          <w:rFonts w:ascii="Times New Roman" w:hAnsi="Times New Roman"/>
        </w:rPr>
        <w:t>為</w:t>
      </w:r>
      <w:r w:rsidRPr="000140B3">
        <w:rPr>
          <w:rFonts w:ascii="Times New Roman" w:hAnsi="Times New Roman"/>
        </w:rPr>
        <w:t>1.5%</w:t>
      </w:r>
      <w:r w:rsidRPr="000140B3">
        <w:rPr>
          <w:rFonts w:ascii="Times New Roman" w:hAnsi="Times New Roman"/>
        </w:rPr>
        <w:t>以上，且無</w:t>
      </w:r>
      <w:proofErr w:type="gramStart"/>
      <w:r w:rsidRPr="000140B3">
        <w:rPr>
          <w:rFonts w:ascii="Times New Roman" w:hAnsi="Times New Roman"/>
        </w:rPr>
        <w:t>投資暴</w:t>
      </w:r>
      <w:proofErr w:type="gramEnd"/>
      <w:r w:rsidRPr="000140B3">
        <w:rPr>
          <w:rFonts w:ascii="Times New Roman" w:hAnsi="Times New Roman"/>
        </w:rPr>
        <w:t>險。</w:t>
      </w:r>
    </w:p>
    <w:p w:rsidR="0064621B" w:rsidRPr="000140B3" w:rsidRDefault="0064621B" w:rsidP="0064621B">
      <w:pPr>
        <w:pStyle w:val="5"/>
        <w:rPr>
          <w:rFonts w:ascii="Times New Roman" w:hAnsi="Times New Roman"/>
        </w:rPr>
      </w:pPr>
      <w:r w:rsidRPr="000140B3">
        <w:rPr>
          <w:rFonts w:ascii="Times New Roman" w:hAnsi="Times New Roman"/>
        </w:rPr>
        <w:t>112</w:t>
      </w:r>
      <w:r w:rsidRPr="000140B3">
        <w:rPr>
          <w:rFonts w:ascii="Times New Roman" w:hAnsi="Times New Roman"/>
        </w:rPr>
        <w:t>年底，我國銀行業對中國大陸房地</w:t>
      </w:r>
      <w:proofErr w:type="gramStart"/>
      <w:r w:rsidRPr="000140B3">
        <w:rPr>
          <w:rFonts w:ascii="Times New Roman" w:hAnsi="Times New Roman"/>
        </w:rPr>
        <w:t>產業暴險情形</w:t>
      </w:r>
      <w:proofErr w:type="gramEnd"/>
      <w:r w:rsidRPr="000140B3">
        <w:rPr>
          <w:rFonts w:ascii="Times New Roman" w:hAnsi="Times New Roman"/>
        </w:rPr>
        <w:t>，</w:t>
      </w:r>
      <w:proofErr w:type="gramStart"/>
      <w:r w:rsidRPr="000140B3">
        <w:rPr>
          <w:rFonts w:ascii="Times New Roman" w:hAnsi="Times New Roman"/>
        </w:rPr>
        <w:t>詳</w:t>
      </w:r>
      <w:proofErr w:type="gramEnd"/>
      <w:r w:rsidRPr="000140B3">
        <w:rPr>
          <w:rFonts w:ascii="Times New Roman" w:hAnsi="Times New Roman"/>
        </w:rPr>
        <w:t>表</w:t>
      </w:r>
      <w:r w:rsidR="0055028A" w:rsidRPr="000140B3">
        <w:rPr>
          <w:rFonts w:ascii="Times New Roman" w:hAnsi="Times New Roman" w:hint="eastAsia"/>
        </w:rPr>
        <w:t>5</w:t>
      </w:r>
      <w:r w:rsidRPr="000140B3">
        <w:rPr>
          <w:rFonts w:ascii="Times New Roman" w:hAnsi="Times New Roman"/>
        </w:rPr>
        <w:t>。</w:t>
      </w:r>
    </w:p>
    <w:p w:rsidR="0064621B" w:rsidRPr="000140B3" w:rsidRDefault="0064621B" w:rsidP="0064621B">
      <w:pPr>
        <w:pStyle w:val="4"/>
        <w:rPr>
          <w:rFonts w:ascii="Times New Roman" w:hAnsi="Times New Roman"/>
        </w:rPr>
      </w:pPr>
      <w:r w:rsidRPr="000140B3">
        <w:rPr>
          <w:rFonts w:ascii="Times New Roman" w:hAnsi="Times New Roman"/>
        </w:rPr>
        <w:t>保險業：</w:t>
      </w:r>
    </w:p>
    <w:p w:rsidR="0064621B" w:rsidRPr="000140B3" w:rsidRDefault="0064621B" w:rsidP="0064621B">
      <w:pPr>
        <w:pStyle w:val="5"/>
        <w:rPr>
          <w:rFonts w:ascii="Times New Roman" w:hAnsi="Times New Roman"/>
        </w:rPr>
      </w:pPr>
      <w:r w:rsidRPr="000140B3">
        <w:rPr>
          <w:rFonts w:ascii="Times New Roman" w:hAnsi="Times New Roman"/>
        </w:rPr>
        <w:t>我國保險業及其參股投資大陸</w:t>
      </w:r>
      <w:proofErr w:type="gramStart"/>
      <w:r w:rsidRPr="000140B3">
        <w:rPr>
          <w:rFonts w:ascii="Times New Roman" w:hAnsi="Times New Roman"/>
        </w:rPr>
        <w:t>保險公司均未投資</w:t>
      </w:r>
      <w:proofErr w:type="gramEnd"/>
      <w:r w:rsidRPr="000140B3">
        <w:rPr>
          <w:rFonts w:ascii="Times New Roman" w:hAnsi="Times New Roman"/>
        </w:rPr>
        <w:t>碧</w:t>
      </w:r>
      <w:proofErr w:type="gramStart"/>
      <w:r w:rsidRPr="000140B3">
        <w:rPr>
          <w:rFonts w:ascii="Times New Roman" w:hAnsi="Times New Roman"/>
        </w:rPr>
        <w:t>桂</w:t>
      </w:r>
      <w:proofErr w:type="gramEnd"/>
      <w:r w:rsidRPr="000140B3">
        <w:rPr>
          <w:rFonts w:ascii="Times New Roman" w:hAnsi="Times New Roman"/>
        </w:rPr>
        <w:t>園、</w:t>
      </w:r>
      <w:r w:rsidR="00011A7F" w:rsidRPr="000140B3">
        <w:rPr>
          <w:rFonts w:ascii="Times New Roman" w:hAnsi="Times New Roman"/>
        </w:rPr>
        <w:t>恒大</w:t>
      </w:r>
      <w:r w:rsidRPr="000140B3">
        <w:rPr>
          <w:rFonts w:ascii="Times New Roman" w:hAnsi="Times New Roman"/>
        </w:rPr>
        <w:t>集團有價證券。截至</w:t>
      </w:r>
      <w:r w:rsidRPr="000140B3">
        <w:rPr>
          <w:rFonts w:ascii="Times New Roman" w:hAnsi="Times New Roman"/>
        </w:rPr>
        <w:t>112</w:t>
      </w:r>
      <w:r w:rsidRPr="000140B3">
        <w:rPr>
          <w:rFonts w:ascii="Times New Roman" w:hAnsi="Times New Roman"/>
        </w:rPr>
        <w:t>年底，我國保險業持有中國大陸不動產</w:t>
      </w:r>
      <w:r w:rsidRPr="000140B3">
        <w:rPr>
          <w:rFonts w:ascii="Times New Roman" w:hAnsi="Times New Roman"/>
        </w:rPr>
        <w:t>6.93</w:t>
      </w:r>
      <w:r w:rsidRPr="000140B3">
        <w:rPr>
          <w:rFonts w:ascii="Times New Roman" w:hAnsi="Times New Roman"/>
        </w:rPr>
        <w:t>億元，占保險業整體可運用資金</w:t>
      </w:r>
      <w:r w:rsidRPr="000140B3">
        <w:rPr>
          <w:rFonts w:ascii="Times New Roman" w:hAnsi="Times New Roman"/>
        </w:rPr>
        <w:t>31</w:t>
      </w:r>
      <w:r w:rsidRPr="000140B3">
        <w:rPr>
          <w:rFonts w:ascii="Times New Roman" w:hAnsi="Times New Roman"/>
        </w:rPr>
        <w:t>兆</w:t>
      </w:r>
      <w:r w:rsidRPr="000140B3">
        <w:rPr>
          <w:rFonts w:ascii="Times New Roman" w:hAnsi="Times New Roman"/>
        </w:rPr>
        <w:t>9,312</w:t>
      </w:r>
      <w:r w:rsidRPr="000140B3">
        <w:rPr>
          <w:rFonts w:ascii="Times New Roman" w:hAnsi="Times New Roman"/>
        </w:rPr>
        <w:t>億元比</w:t>
      </w:r>
      <w:r w:rsidR="00A87E01" w:rsidRPr="000140B3">
        <w:rPr>
          <w:rFonts w:ascii="Times New Roman" w:hAnsi="Times New Roman" w:hint="eastAsia"/>
        </w:rPr>
        <w:t>率</w:t>
      </w:r>
      <w:r w:rsidRPr="000140B3">
        <w:rPr>
          <w:rFonts w:ascii="Times New Roman" w:hAnsi="Times New Roman"/>
        </w:rPr>
        <w:t>0.0022%</w:t>
      </w:r>
    </w:p>
    <w:p w:rsidR="0064621B" w:rsidRPr="000140B3" w:rsidRDefault="0064621B" w:rsidP="0064621B">
      <w:pPr>
        <w:pStyle w:val="5"/>
        <w:rPr>
          <w:rFonts w:ascii="Times New Roman" w:hAnsi="Times New Roman"/>
        </w:rPr>
      </w:pPr>
      <w:r w:rsidRPr="000140B3">
        <w:rPr>
          <w:rFonts w:ascii="Times New Roman" w:hAnsi="Times New Roman"/>
        </w:rPr>
        <w:t>112</w:t>
      </w:r>
      <w:r w:rsidRPr="000140B3">
        <w:rPr>
          <w:rFonts w:ascii="Times New Roman" w:hAnsi="Times New Roman"/>
        </w:rPr>
        <w:t>年底，我國保險業對中國大陸房地</w:t>
      </w:r>
      <w:proofErr w:type="gramStart"/>
      <w:r w:rsidRPr="000140B3">
        <w:rPr>
          <w:rFonts w:ascii="Times New Roman" w:hAnsi="Times New Roman"/>
        </w:rPr>
        <w:t>產業暴險情形</w:t>
      </w:r>
      <w:proofErr w:type="gramEnd"/>
      <w:r w:rsidRPr="000140B3">
        <w:rPr>
          <w:rFonts w:ascii="Times New Roman" w:hAnsi="Times New Roman"/>
        </w:rPr>
        <w:t>，</w:t>
      </w:r>
      <w:proofErr w:type="gramStart"/>
      <w:r w:rsidRPr="000140B3">
        <w:rPr>
          <w:rFonts w:ascii="Times New Roman" w:hAnsi="Times New Roman"/>
        </w:rPr>
        <w:t>詳</w:t>
      </w:r>
      <w:proofErr w:type="gramEnd"/>
      <w:r w:rsidRPr="000140B3">
        <w:rPr>
          <w:rFonts w:ascii="Times New Roman" w:hAnsi="Times New Roman"/>
        </w:rPr>
        <w:t>表</w:t>
      </w:r>
      <w:r w:rsidR="0055028A" w:rsidRPr="000140B3">
        <w:rPr>
          <w:rFonts w:ascii="Times New Roman" w:hAnsi="Times New Roman" w:hint="eastAsia"/>
        </w:rPr>
        <w:t>6</w:t>
      </w:r>
      <w:r w:rsidR="00AD46E0" w:rsidRPr="000140B3">
        <w:rPr>
          <w:rFonts w:ascii="Times New Roman" w:hAnsi="Times New Roman" w:hint="eastAsia"/>
        </w:rPr>
        <w:t>。</w:t>
      </w:r>
    </w:p>
    <w:p w:rsidR="0064621B" w:rsidRPr="000140B3" w:rsidRDefault="0064621B" w:rsidP="0064621B">
      <w:pPr>
        <w:pStyle w:val="4"/>
        <w:rPr>
          <w:rFonts w:ascii="Times New Roman" w:hAnsi="Times New Roman"/>
        </w:rPr>
      </w:pPr>
      <w:r w:rsidRPr="000140B3">
        <w:rPr>
          <w:rFonts w:ascii="Times New Roman" w:hAnsi="Times New Roman"/>
        </w:rPr>
        <w:t>證券期貨業：</w:t>
      </w:r>
    </w:p>
    <w:p w:rsidR="0064621B" w:rsidRPr="000140B3" w:rsidRDefault="0064621B" w:rsidP="0064621B">
      <w:pPr>
        <w:pStyle w:val="5"/>
        <w:rPr>
          <w:rFonts w:ascii="Times New Roman" w:hAnsi="Times New Roman"/>
        </w:rPr>
      </w:pPr>
      <w:r w:rsidRPr="000140B3">
        <w:rPr>
          <w:rFonts w:ascii="Times New Roman" w:hAnsi="Times New Roman"/>
        </w:rPr>
        <w:t>截至</w:t>
      </w:r>
      <w:r w:rsidRPr="000140B3">
        <w:rPr>
          <w:rFonts w:ascii="Times New Roman" w:hAnsi="Times New Roman"/>
        </w:rPr>
        <w:t>112</w:t>
      </w:r>
      <w:r w:rsidRPr="000140B3">
        <w:rPr>
          <w:rFonts w:ascii="Times New Roman" w:hAnsi="Times New Roman"/>
        </w:rPr>
        <w:t>年</w:t>
      </w:r>
      <w:r w:rsidRPr="000140B3">
        <w:rPr>
          <w:rFonts w:ascii="Times New Roman" w:hAnsi="Times New Roman"/>
        </w:rPr>
        <w:t>8</w:t>
      </w:r>
      <w:r w:rsidRPr="000140B3">
        <w:rPr>
          <w:rFonts w:ascii="Times New Roman" w:hAnsi="Times New Roman"/>
        </w:rPr>
        <w:t>月底止，證券自營部位對於中國大陸地產業之投資金額為</w:t>
      </w:r>
      <w:r w:rsidRPr="000140B3">
        <w:rPr>
          <w:rFonts w:ascii="Times New Roman" w:hAnsi="Times New Roman"/>
        </w:rPr>
        <w:t>6,752</w:t>
      </w:r>
      <w:r w:rsidRPr="000140B3">
        <w:rPr>
          <w:rFonts w:ascii="Times New Roman" w:hAnsi="Times New Roman"/>
        </w:rPr>
        <w:t>萬元，其中並未對發</w:t>
      </w:r>
      <w:r w:rsidRPr="000140B3">
        <w:rPr>
          <w:rFonts w:ascii="Times New Roman" w:hAnsi="Times New Roman"/>
        </w:rPr>
        <w:lastRenderedPageBreak/>
        <w:t>生財務危機之地產業進行投資。</w:t>
      </w:r>
    </w:p>
    <w:p w:rsidR="0064621B" w:rsidRPr="000140B3" w:rsidRDefault="0064621B" w:rsidP="0064621B">
      <w:pPr>
        <w:pStyle w:val="5"/>
        <w:rPr>
          <w:rFonts w:ascii="Times New Roman" w:hAnsi="Times New Roman"/>
        </w:rPr>
      </w:pPr>
      <w:r w:rsidRPr="000140B3">
        <w:rPr>
          <w:rFonts w:ascii="Times New Roman" w:hAnsi="Times New Roman"/>
        </w:rPr>
        <w:t>112</w:t>
      </w:r>
      <w:r w:rsidRPr="000140B3">
        <w:rPr>
          <w:rFonts w:ascii="Times New Roman" w:hAnsi="Times New Roman"/>
        </w:rPr>
        <w:t>年底，我國證券期貨業對中國大陸房地</w:t>
      </w:r>
      <w:proofErr w:type="gramStart"/>
      <w:r w:rsidRPr="000140B3">
        <w:rPr>
          <w:rFonts w:ascii="Times New Roman" w:hAnsi="Times New Roman"/>
        </w:rPr>
        <w:t>產業暴險情形</w:t>
      </w:r>
      <w:proofErr w:type="gramEnd"/>
      <w:r w:rsidRPr="000140B3">
        <w:rPr>
          <w:rFonts w:ascii="Times New Roman" w:hAnsi="Times New Roman"/>
        </w:rPr>
        <w:t>：</w:t>
      </w:r>
    </w:p>
    <w:p w:rsidR="0064621B" w:rsidRPr="000140B3" w:rsidRDefault="0064621B" w:rsidP="0064621B">
      <w:pPr>
        <w:pStyle w:val="6"/>
        <w:rPr>
          <w:rFonts w:ascii="Times New Roman" w:hAnsi="Times New Roman"/>
        </w:rPr>
      </w:pPr>
      <w:r w:rsidRPr="000140B3">
        <w:rPr>
          <w:rFonts w:ascii="Times New Roman" w:hAnsi="Times New Roman"/>
        </w:rPr>
        <w:t>證券投資業</w:t>
      </w:r>
      <w:proofErr w:type="gramStart"/>
      <w:r w:rsidRPr="000140B3">
        <w:rPr>
          <w:rFonts w:ascii="Times New Roman" w:hAnsi="Times New Roman"/>
        </w:rPr>
        <w:t>無暴險金額</w:t>
      </w:r>
      <w:proofErr w:type="gramEnd"/>
      <w:r w:rsidRPr="000140B3">
        <w:rPr>
          <w:rFonts w:ascii="Times New Roman" w:hAnsi="Times New Roman"/>
        </w:rPr>
        <w:t>。</w:t>
      </w:r>
    </w:p>
    <w:p w:rsidR="0064621B" w:rsidRPr="000140B3" w:rsidRDefault="0064621B" w:rsidP="0064621B">
      <w:pPr>
        <w:pStyle w:val="6"/>
        <w:rPr>
          <w:rFonts w:ascii="Times New Roman" w:hAnsi="Times New Roman"/>
        </w:rPr>
      </w:pPr>
      <w:r w:rsidRPr="000140B3">
        <w:rPr>
          <w:rFonts w:ascii="Times New Roman" w:hAnsi="Times New Roman"/>
        </w:rPr>
        <w:t>投信基金對中國大陸</w:t>
      </w:r>
      <w:proofErr w:type="gramStart"/>
      <w:r w:rsidRPr="000140B3">
        <w:rPr>
          <w:rFonts w:ascii="Times New Roman" w:hAnsi="Times New Roman"/>
        </w:rPr>
        <w:t>房地產暴險情形</w:t>
      </w:r>
      <w:proofErr w:type="gramEnd"/>
      <w:r w:rsidRPr="000140B3">
        <w:rPr>
          <w:rFonts w:ascii="Times New Roman" w:hAnsi="Times New Roman"/>
        </w:rPr>
        <w:t>，</w:t>
      </w:r>
      <w:proofErr w:type="gramStart"/>
      <w:r w:rsidRPr="000140B3">
        <w:rPr>
          <w:rFonts w:ascii="Times New Roman" w:hAnsi="Times New Roman"/>
        </w:rPr>
        <w:t>詳</w:t>
      </w:r>
      <w:proofErr w:type="gramEnd"/>
      <w:r w:rsidRPr="000140B3">
        <w:rPr>
          <w:rFonts w:ascii="Times New Roman" w:hAnsi="Times New Roman"/>
        </w:rPr>
        <w:t>表</w:t>
      </w:r>
      <w:r w:rsidR="0055028A" w:rsidRPr="000140B3">
        <w:rPr>
          <w:rFonts w:ascii="Times New Roman" w:hAnsi="Times New Roman" w:hint="eastAsia"/>
        </w:rPr>
        <w:t>7</w:t>
      </w:r>
      <w:r w:rsidR="0055028A" w:rsidRPr="000140B3">
        <w:rPr>
          <w:rFonts w:ascii="Times New Roman" w:hAnsi="Times New Roman" w:hint="eastAsia"/>
        </w:rPr>
        <w:t>。</w:t>
      </w:r>
    </w:p>
    <w:p w:rsidR="0064621B" w:rsidRPr="000140B3" w:rsidRDefault="0064621B" w:rsidP="0064621B">
      <w:pPr>
        <w:pStyle w:val="6"/>
        <w:rPr>
          <w:rFonts w:ascii="Times New Roman" w:hAnsi="Times New Roman"/>
        </w:rPr>
      </w:pPr>
      <w:r w:rsidRPr="000140B3">
        <w:rPr>
          <w:rFonts w:ascii="Times New Roman" w:hAnsi="Times New Roman"/>
        </w:rPr>
        <w:t>112</w:t>
      </w:r>
      <w:r w:rsidRPr="000140B3">
        <w:rPr>
          <w:rFonts w:ascii="Times New Roman" w:hAnsi="Times New Roman"/>
        </w:rPr>
        <w:t>年國人投資中國大陸地產業庫存資料，</w:t>
      </w:r>
      <w:proofErr w:type="gramStart"/>
      <w:r w:rsidRPr="000140B3">
        <w:rPr>
          <w:rFonts w:ascii="Times New Roman" w:hAnsi="Times New Roman"/>
        </w:rPr>
        <w:t>詳表</w:t>
      </w:r>
      <w:proofErr w:type="gramEnd"/>
      <w:r w:rsidR="0055028A" w:rsidRPr="000140B3">
        <w:rPr>
          <w:rFonts w:ascii="Times New Roman" w:hAnsi="Times New Roman" w:hint="eastAsia"/>
        </w:rPr>
        <w:t>8</w:t>
      </w:r>
      <w:r w:rsidRPr="000140B3">
        <w:rPr>
          <w:rFonts w:ascii="Times New Roman" w:hAnsi="Times New Roman"/>
        </w:rPr>
        <w:t>。</w:t>
      </w:r>
    </w:p>
    <w:p w:rsidR="0064621B" w:rsidRPr="000140B3" w:rsidRDefault="0064621B" w:rsidP="0064621B">
      <w:pPr>
        <w:pStyle w:val="a4"/>
        <w:spacing w:after="120"/>
        <w:jc w:val="center"/>
        <w:rPr>
          <w:rFonts w:ascii="Times New Roman" w:hAnsi="Times New Roman"/>
          <w:b/>
        </w:rPr>
      </w:pPr>
      <w:r w:rsidRPr="000140B3">
        <w:rPr>
          <w:rFonts w:ascii="Times New Roman" w:hAnsi="Times New Roman"/>
          <w:b/>
        </w:rPr>
        <w:t>金融業對中國大陸房地</w:t>
      </w:r>
      <w:proofErr w:type="gramStart"/>
      <w:r w:rsidRPr="000140B3">
        <w:rPr>
          <w:rFonts w:ascii="Times New Roman" w:hAnsi="Times New Roman"/>
          <w:b/>
        </w:rPr>
        <w:t>產業暴險情形</w:t>
      </w:r>
      <w:proofErr w:type="gramEnd"/>
      <w:r w:rsidRPr="000140B3">
        <w:rPr>
          <w:rFonts w:ascii="Times New Roman" w:hAnsi="Times New Roman"/>
          <w:b/>
        </w:rPr>
        <w:t>表</w:t>
      </w:r>
    </w:p>
    <w:p w:rsidR="0064621B" w:rsidRPr="000140B3" w:rsidRDefault="0064621B" w:rsidP="0064621B">
      <w:pPr>
        <w:jc w:val="right"/>
        <w:rPr>
          <w:rFonts w:ascii="Times New Roman"/>
          <w:b/>
          <w:sz w:val="24"/>
          <w:szCs w:val="24"/>
        </w:rPr>
      </w:pPr>
      <w:r w:rsidRPr="000140B3">
        <w:rPr>
          <w:rFonts w:ascii="Times New Roman"/>
          <w:sz w:val="24"/>
          <w:szCs w:val="24"/>
        </w:rPr>
        <w:t>單位</w:t>
      </w:r>
      <w:r w:rsidRPr="000140B3">
        <w:rPr>
          <w:rFonts w:ascii="Times New Roman"/>
          <w:sz w:val="24"/>
          <w:szCs w:val="24"/>
        </w:rPr>
        <w:t>:</w:t>
      </w:r>
      <w:r w:rsidRPr="000140B3">
        <w:rPr>
          <w:rFonts w:ascii="Times New Roman"/>
          <w:sz w:val="24"/>
          <w:szCs w:val="24"/>
        </w:rPr>
        <w:t>新臺幣億元</w:t>
      </w:r>
    </w:p>
    <w:tbl>
      <w:tblPr>
        <w:tblW w:w="977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98"/>
        <w:gridCol w:w="1709"/>
        <w:gridCol w:w="1566"/>
        <w:gridCol w:w="5505"/>
      </w:tblGrid>
      <w:tr w:rsidR="0064621B" w:rsidRPr="000140B3" w:rsidTr="00AD46E0">
        <w:trPr>
          <w:trHeight w:val="379"/>
          <w:tblHeader/>
        </w:trPr>
        <w:tc>
          <w:tcPr>
            <w:tcW w:w="998" w:type="dxa"/>
          </w:tcPr>
          <w:p w:rsidR="0064621B" w:rsidRPr="000140B3" w:rsidRDefault="0064621B" w:rsidP="00EC5AF2">
            <w:pPr>
              <w:jc w:val="center"/>
              <w:rPr>
                <w:rFonts w:ascii="Times New Roman"/>
                <w:sz w:val="28"/>
                <w:szCs w:val="28"/>
              </w:rPr>
            </w:pPr>
          </w:p>
        </w:tc>
        <w:tc>
          <w:tcPr>
            <w:tcW w:w="1709" w:type="dxa"/>
          </w:tcPr>
          <w:p w:rsidR="0064621B" w:rsidRPr="000140B3" w:rsidRDefault="0064621B" w:rsidP="00EC5AF2">
            <w:pPr>
              <w:jc w:val="center"/>
              <w:rPr>
                <w:rFonts w:ascii="Times New Roman"/>
                <w:sz w:val="28"/>
                <w:szCs w:val="28"/>
              </w:rPr>
            </w:pPr>
            <w:r w:rsidRPr="000140B3">
              <w:rPr>
                <w:rFonts w:ascii="Times New Roman"/>
                <w:sz w:val="28"/>
                <w:szCs w:val="28"/>
              </w:rPr>
              <w:t>銀行業</w:t>
            </w:r>
          </w:p>
        </w:tc>
        <w:tc>
          <w:tcPr>
            <w:tcW w:w="1566" w:type="dxa"/>
          </w:tcPr>
          <w:p w:rsidR="0064621B" w:rsidRPr="000140B3" w:rsidRDefault="0064621B" w:rsidP="00EC5AF2">
            <w:pPr>
              <w:jc w:val="center"/>
              <w:rPr>
                <w:rFonts w:ascii="Times New Roman"/>
                <w:sz w:val="28"/>
                <w:szCs w:val="28"/>
              </w:rPr>
            </w:pPr>
            <w:r w:rsidRPr="000140B3">
              <w:rPr>
                <w:rFonts w:ascii="Times New Roman"/>
                <w:sz w:val="28"/>
                <w:szCs w:val="28"/>
              </w:rPr>
              <w:t>保險業</w:t>
            </w:r>
          </w:p>
        </w:tc>
        <w:tc>
          <w:tcPr>
            <w:tcW w:w="5505" w:type="dxa"/>
          </w:tcPr>
          <w:p w:rsidR="0064621B" w:rsidRPr="000140B3" w:rsidRDefault="0064621B" w:rsidP="00EC5AF2">
            <w:pPr>
              <w:jc w:val="center"/>
              <w:rPr>
                <w:rFonts w:ascii="Times New Roman"/>
                <w:sz w:val="28"/>
                <w:szCs w:val="28"/>
              </w:rPr>
            </w:pPr>
            <w:r w:rsidRPr="000140B3">
              <w:rPr>
                <w:rFonts w:ascii="Times New Roman"/>
                <w:sz w:val="28"/>
                <w:szCs w:val="28"/>
              </w:rPr>
              <w:t>證券期貨業</w:t>
            </w:r>
          </w:p>
        </w:tc>
      </w:tr>
      <w:tr w:rsidR="0064621B" w:rsidRPr="000140B3" w:rsidTr="00AD46E0">
        <w:trPr>
          <w:trHeight w:val="430"/>
        </w:trPr>
        <w:tc>
          <w:tcPr>
            <w:tcW w:w="998" w:type="dxa"/>
            <w:vAlign w:val="center"/>
          </w:tcPr>
          <w:p w:rsidR="0064621B" w:rsidRPr="000140B3" w:rsidRDefault="0064621B" w:rsidP="00EC5AF2">
            <w:pPr>
              <w:jc w:val="center"/>
              <w:rPr>
                <w:rFonts w:ascii="Times New Roman"/>
                <w:sz w:val="28"/>
                <w:szCs w:val="28"/>
              </w:rPr>
            </w:pPr>
            <w:r w:rsidRPr="000140B3">
              <w:rPr>
                <w:rFonts w:ascii="Times New Roman"/>
                <w:sz w:val="28"/>
                <w:szCs w:val="28"/>
              </w:rPr>
              <w:t>109</w:t>
            </w:r>
          </w:p>
        </w:tc>
        <w:tc>
          <w:tcPr>
            <w:tcW w:w="1709" w:type="dxa"/>
            <w:vAlign w:val="center"/>
          </w:tcPr>
          <w:p w:rsidR="0064621B" w:rsidRPr="000140B3" w:rsidRDefault="0064621B" w:rsidP="00EC5AF2">
            <w:pPr>
              <w:jc w:val="center"/>
              <w:rPr>
                <w:rFonts w:ascii="Times New Roman"/>
                <w:sz w:val="28"/>
                <w:szCs w:val="28"/>
              </w:rPr>
            </w:pPr>
            <w:r w:rsidRPr="000140B3">
              <w:rPr>
                <w:rFonts w:ascii="Times New Roman"/>
                <w:sz w:val="28"/>
                <w:szCs w:val="28"/>
              </w:rPr>
              <w:t>無資料</w:t>
            </w:r>
          </w:p>
        </w:tc>
        <w:tc>
          <w:tcPr>
            <w:tcW w:w="1566" w:type="dxa"/>
            <w:vAlign w:val="center"/>
          </w:tcPr>
          <w:p w:rsidR="0064621B" w:rsidRPr="000140B3" w:rsidRDefault="0064621B" w:rsidP="00EC5AF2">
            <w:pPr>
              <w:jc w:val="center"/>
              <w:rPr>
                <w:rFonts w:ascii="Times New Roman"/>
                <w:sz w:val="28"/>
                <w:szCs w:val="28"/>
              </w:rPr>
            </w:pPr>
            <w:r w:rsidRPr="000140B3">
              <w:rPr>
                <w:rFonts w:ascii="Times New Roman"/>
                <w:sz w:val="28"/>
                <w:szCs w:val="28"/>
              </w:rPr>
              <w:t>60.16</w:t>
            </w:r>
          </w:p>
        </w:tc>
        <w:tc>
          <w:tcPr>
            <w:tcW w:w="5505" w:type="dxa"/>
            <w:vAlign w:val="center"/>
          </w:tcPr>
          <w:p w:rsidR="0064621B" w:rsidRPr="000140B3" w:rsidRDefault="0064621B" w:rsidP="00EC5AF2">
            <w:pPr>
              <w:rPr>
                <w:rFonts w:ascii="Times New Roman"/>
                <w:sz w:val="28"/>
                <w:szCs w:val="28"/>
              </w:rPr>
            </w:pPr>
            <w:r w:rsidRPr="000140B3">
              <w:rPr>
                <w:rFonts w:ascii="Times New Roman"/>
                <w:sz w:val="28"/>
                <w:szCs w:val="28"/>
              </w:rPr>
              <w:t>無資料</w:t>
            </w:r>
            <w:r w:rsidR="00157A4F" w:rsidRPr="000140B3">
              <w:rPr>
                <w:rFonts w:ascii="Times New Roman" w:hint="eastAsia"/>
                <w:sz w:val="28"/>
                <w:szCs w:val="28"/>
              </w:rPr>
              <w:t>。</w:t>
            </w:r>
          </w:p>
        </w:tc>
      </w:tr>
      <w:tr w:rsidR="0064621B" w:rsidRPr="000140B3" w:rsidTr="00AD46E0">
        <w:trPr>
          <w:trHeight w:val="234"/>
        </w:trPr>
        <w:tc>
          <w:tcPr>
            <w:tcW w:w="998" w:type="dxa"/>
            <w:vAlign w:val="center"/>
          </w:tcPr>
          <w:p w:rsidR="0064621B" w:rsidRPr="000140B3" w:rsidRDefault="0064621B" w:rsidP="00EC5AF2">
            <w:pPr>
              <w:jc w:val="center"/>
              <w:rPr>
                <w:rFonts w:ascii="Times New Roman"/>
                <w:sz w:val="28"/>
                <w:szCs w:val="28"/>
              </w:rPr>
            </w:pPr>
            <w:r w:rsidRPr="000140B3">
              <w:rPr>
                <w:rFonts w:ascii="Times New Roman"/>
                <w:sz w:val="28"/>
                <w:szCs w:val="28"/>
              </w:rPr>
              <w:t>110</w:t>
            </w:r>
          </w:p>
        </w:tc>
        <w:tc>
          <w:tcPr>
            <w:tcW w:w="1709" w:type="dxa"/>
            <w:vAlign w:val="center"/>
          </w:tcPr>
          <w:p w:rsidR="0064621B" w:rsidRPr="000140B3" w:rsidRDefault="0064621B" w:rsidP="00EC5AF2">
            <w:pPr>
              <w:jc w:val="center"/>
              <w:rPr>
                <w:rFonts w:ascii="Times New Roman"/>
                <w:sz w:val="28"/>
                <w:szCs w:val="28"/>
              </w:rPr>
            </w:pPr>
            <w:r w:rsidRPr="000140B3">
              <w:rPr>
                <w:rFonts w:ascii="Times New Roman"/>
                <w:sz w:val="28"/>
                <w:szCs w:val="28"/>
              </w:rPr>
              <w:t>46.65</w:t>
            </w:r>
          </w:p>
        </w:tc>
        <w:tc>
          <w:tcPr>
            <w:tcW w:w="1566" w:type="dxa"/>
            <w:vAlign w:val="center"/>
          </w:tcPr>
          <w:p w:rsidR="0064621B" w:rsidRPr="000140B3" w:rsidRDefault="0064621B" w:rsidP="00EC5AF2">
            <w:pPr>
              <w:jc w:val="center"/>
              <w:rPr>
                <w:rFonts w:ascii="Times New Roman"/>
                <w:sz w:val="28"/>
                <w:szCs w:val="28"/>
              </w:rPr>
            </w:pPr>
            <w:r w:rsidRPr="000140B3">
              <w:rPr>
                <w:rFonts w:ascii="Times New Roman"/>
                <w:sz w:val="28"/>
                <w:szCs w:val="28"/>
              </w:rPr>
              <w:t>28.42</w:t>
            </w:r>
          </w:p>
        </w:tc>
        <w:tc>
          <w:tcPr>
            <w:tcW w:w="5505" w:type="dxa"/>
          </w:tcPr>
          <w:p w:rsidR="0064621B" w:rsidRPr="000140B3" w:rsidRDefault="0064621B" w:rsidP="00EC5AF2">
            <w:pPr>
              <w:rPr>
                <w:rFonts w:ascii="Times New Roman"/>
                <w:sz w:val="28"/>
                <w:szCs w:val="28"/>
              </w:rPr>
            </w:pPr>
            <w:r w:rsidRPr="000140B3">
              <w:rPr>
                <w:rFonts w:ascii="Times New Roman"/>
                <w:sz w:val="28"/>
                <w:szCs w:val="28"/>
              </w:rPr>
              <w:t>證券商自營部</w:t>
            </w:r>
            <w:proofErr w:type="gramStart"/>
            <w:r w:rsidRPr="000140B3">
              <w:rPr>
                <w:rFonts w:ascii="Times New Roman"/>
                <w:sz w:val="28"/>
                <w:szCs w:val="28"/>
              </w:rPr>
              <w:t>位暴險</w:t>
            </w:r>
            <w:r w:rsidRPr="000140B3">
              <w:rPr>
                <w:rFonts w:ascii="Times New Roman"/>
                <w:sz w:val="28"/>
                <w:szCs w:val="28"/>
              </w:rPr>
              <w:t>2.48</w:t>
            </w:r>
            <w:r w:rsidRPr="000140B3">
              <w:rPr>
                <w:rFonts w:ascii="Times New Roman"/>
                <w:sz w:val="28"/>
                <w:szCs w:val="28"/>
              </w:rPr>
              <w:t>億元</w:t>
            </w:r>
            <w:proofErr w:type="gramEnd"/>
            <w:r w:rsidRPr="000140B3">
              <w:rPr>
                <w:rFonts w:ascii="Times New Roman"/>
                <w:sz w:val="28"/>
                <w:szCs w:val="28"/>
              </w:rPr>
              <w:t>；投信</w:t>
            </w:r>
            <w:proofErr w:type="gramStart"/>
            <w:r w:rsidRPr="000140B3">
              <w:rPr>
                <w:rFonts w:ascii="Times New Roman"/>
                <w:sz w:val="28"/>
                <w:szCs w:val="28"/>
              </w:rPr>
              <w:t>基金暴險部位</w:t>
            </w:r>
            <w:proofErr w:type="gramEnd"/>
            <w:r w:rsidRPr="000140B3">
              <w:rPr>
                <w:rFonts w:ascii="Times New Roman"/>
                <w:sz w:val="28"/>
                <w:szCs w:val="28"/>
              </w:rPr>
              <w:t>：</w:t>
            </w:r>
            <w:r w:rsidRPr="000140B3">
              <w:rPr>
                <w:rFonts w:ascii="Times New Roman"/>
                <w:sz w:val="28"/>
                <w:szCs w:val="28"/>
              </w:rPr>
              <w:t>342.96</w:t>
            </w:r>
            <w:r w:rsidRPr="000140B3">
              <w:rPr>
                <w:rFonts w:ascii="Times New Roman"/>
                <w:sz w:val="28"/>
                <w:szCs w:val="28"/>
              </w:rPr>
              <w:t>億元</w:t>
            </w:r>
            <w:r w:rsidR="00157A4F" w:rsidRPr="000140B3">
              <w:rPr>
                <w:rFonts w:ascii="Times New Roman" w:hint="eastAsia"/>
                <w:sz w:val="28"/>
                <w:szCs w:val="28"/>
              </w:rPr>
              <w:t>。</w:t>
            </w:r>
          </w:p>
        </w:tc>
      </w:tr>
      <w:tr w:rsidR="0064621B" w:rsidRPr="000140B3" w:rsidTr="00AD46E0">
        <w:trPr>
          <w:trHeight w:val="318"/>
        </w:trPr>
        <w:tc>
          <w:tcPr>
            <w:tcW w:w="998" w:type="dxa"/>
            <w:vAlign w:val="center"/>
          </w:tcPr>
          <w:p w:rsidR="0064621B" w:rsidRPr="000140B3" w:rsidRDefault="0064621B" w:rsidP="00EC5AF2">
            <w:pPr>
              <w:jc w:val="center"/>
              <w:rPr>
                <w:rFonts w:ascii="Times New Roman"/>
                <w:sz w:val="28"/>
                <w:szCs w:val="28"/>
              </w:rPr>
            </w:pPr>
            <w:r w:rsidRPr="000140B3">
              <w:rPr>
                <w:rFonts w:ascii="Times New Roman"/>
                <w:sz w:val="28"/>
                <w:szCs w:val="28"/>
              </w:rPr>
              <w:t>111</w:t>
            </w:r>
          </w:p>
        </w:tc>
        <w:tc>
          <w:tcPr>
            <w:tcW w:w="1709" w:type="dxa"/>
            <w:vAlign w:val="center"/>
          </w:tcPr>
          <w:p w:rsidR="0064621B" w:rsidRPr="000140B3" w:rsidRDefault="0064621B" w:rsidP="00EC5AF2">
            <w:pPr>
              <w:jc w:val="center"/>
              <w:rPr>
                <w:rFonts w:ascii="Times New Roman"/>
                <w:sz w:val="28"/>
                <w:szCs w:val="28"/>
              </w:rPr>
            </w:pPr>
            <w:r w:rsidRPr="000140B3">
              <w:rPr>
                <w:rFonts w:ascii="Times New Roman"/>
                <w:sz w:val="28"/>
                <w:szCs w:val="28"/>
              </w:rPr>
              <w:t>37.48</w:t>
            </w:r>
          </w:p>
        </w:tc>
        <w:tc>
          <w:tcPr>
            <w:tcW w:w="1566" w:type="dxa"/>
            <w:vAlign w:val="center"/>
          </w:tcPr>
          <w:p w:rsidR="0064621B" w:rsidRPr="000140B3" w:rsidRDefault="0064621B" w:rsidP="00EC5AF2">
            <w:pPr>
              <w:jc w:val="center"/>
              <w:rPr>
                <w:rFonts w:ascii="Times New Roman"/>
                <w:sz w:val="28"/>
                <w:szCs w:val="28"/>
              </w:rPr>
            </w:pPr>
            <w:r w:rsidRPr="000140B3">
              <w:rPr>
                <w:rFonts w:ascii="Times New Roman"/>
                <w:sz w:val="28"/>
                <w:szCs w:val="28"/>
              </w:rPr>
              <w:t>22.94</w:t>
            </w:r>
          </w:p>
        </w:tc>
        <w:tc>
          <w:tcPr>
            <w:tcW w:w="5505" w:type="dxa"/>
          </w:tcPr>
          <w:p w:rsidR="0064621B" w:rsidRPr="000140B3" w:rsidRDefault="0064621B" w:rsidP="00EC5AF2">
            <w:pPr>
              <w:rPr>
                <w:rFonts w:ascii="Times New Roman"/>
                <w:sz w:val="28"/>
                <w:szCs w:val="28"/>
              </w:rPr>
            </w:pPr>
            <w:r w:rsidRPr="000140B3">
              <w:rPr>
                <w:rFonts w:ascii="Times New Roman"/>
                <w:sz w:val="28"/>
                <w:szCs w:val="28"/>
              </w:rPr>
              <w:t>證券商自營部</w:t>
            </w:r>
            <w:proofErr w:type="gramStart"/>
            <w:r w:rsidRPr="000140B3">
              <w:rPr>
                <w:rFonts w:ascii="Times New Roman"/>
                <w:sz w:val="28"/>
                <w:szCs w:val="28"/>
              </w:rPr>
              <w:t>位暴險</w:t>
            </w:r>
            <w:r w:rsidRPr="000140B3">
              <w:rPr>
                <w:rFonts w:ascii="Times New Roman"/>
                <w:sz w:val="28"/>
                <w:szCs w:val="28"/>
              </w:rPr>
              <w:t>0.12</w:t>
            </w:r>
            <w:r w:rsidRPr="000140B3">
              <w:rPr>
                <w:rFonts w:ascii="Times New Roman"/>
                <w:sz w:val="28"/>
                <w:szCs w:val="28"/>
              </w:rPr>
              <w:t>億元</w:t>
            </w:r>
            <w:proofErr w:type="gramEnd"/>
            <w:r w:rsidRPr="000140B3">
              <w:rPr>
                <w:rFonts w:ascii="Times New Roman"/>
                <w:sz w:val="28"/>
                <w:szCs w:val="28"/>
              </w:rPr>
              <w:t>；投信基金投資大陸房產</w:t>
            </w:r>
            <w:proofErr w:type="gramStart"/>
            <w:r w:rsidRPr="000140B3">
              <w:rPr>
                <w:rFonts w:ascii="Times New Roman"/>
                <w:sz w:val="28"/>
                <w:szCs w:val="28"/>
              </w:rPr>
              <w:t>企業暴險金額</w:t>
            </w:r>
            <w:proofErr w:type="gramEnd"/>
            <w:r w:rsidRPr="000140B3">
              <w:rPr>
                <w:rFonts w:ascii="Times New Roman"/>
                <w:sz w:val="28"/>
                <w:szCs w:val="28"/>
              </w:rPr>
              <w:t>：</w:t>
            </w:r>
            <w:r w:rsidRPr="000140B3">
              <w:rPr>
                <w:rFonts w:ascii="Times New Roman"/>
                <w:sz w:val="28"/>
                <w:szCs w:val="28"/>
              </w:rPr>
              <w:t>141.06</w:t>
            </w:r>
            <w:r w:rsidRPr="000140B3">
              <w:rPr>
                <w:rFonts w:ascii="Times New Roman"/>
                <w:sz w:val="28"/>
                <w:szCs w:val="28"/>
              </w:rPr>
              <w:t>億元</w:t>
            </w:r>
            <w:r w:rsidR="00157A4F" w:rsidRPr="000140B3">
              <w:rPr>
                <w:rFonts w:ascii="Times New Roman" w:hint="eastAsia"/>
                <w:sz w:val="28"/>
                <w:szCs w:val="28"/>
              </w:rPr>
              <w:t>。</w:t>
            </w:r>
          </w:p>
        </w:tc>
      </w:tr>
      <w:tr w:rsidR="0064621B" w:rsidRPr="000140B3" w:rsidTr="00AD46E0">
        <w:trPr>
          <w:trHeight w:val="215"/>
        </w:trPr>
        <w:tc>
          <w:tcPr>
            <w:tcW w:w="998" w:type="dxa"/>
            <w:vAlign w:val="center"/>
          </w:tcPr>
          <w:p w:rsidR="0064621B" w:rsidRPr="000140B3" w:rsidRDefault="0064621B" w:rsidP="00EC5AF2">
            <w:pPr>
              <w:jc w:val="center"/>
              <w:rPr>
                <w:rFonts w:ascii="Times New Roman"/>
                <w:sz w:val="28"/>
                <w:szCs w:val="28"/>
              </w:rPr>
            </w:pPr>
            <w:r w:rsidRPr="000140B3">
              <w:rPr>
                <w:rFonts w:ascii="Times New Roman"/>
                <w:sz w:val="28"/>
                <w:szCs w:val="28"/>
              </w:rPr>
              <w:t>112</w:t>
            </w:r>
          </w:p>
        </w:tc>
        <w:tc>
          <w:tcPr>
            <w:tcW w:w="1709" w:type="dxa"/>
            <w:vAlign w:val="center"/>
          </w:tcPr>
          <w:p w:rsidR="0064621B" w:rsidRPr="000140B3" w:rsidRDefault="0064621B" w:rsidP="00EC5AF2">
            <w:pPr>
              <w:jc w:val="center"/>
              <w:rPr>
                <w:rFonts w:ascii="Times New Roman"/>
                <w:sz w:val="28"/>
                <w:szCs w:val="28"/>
              </w:rPr>
            </w:pPr>
            <w:r w:rsidRPr="000140B3">
              <w:rPr>
                <w:rFonts w:ascii="Times New Roman"/>
                <w:sz w:val="28"/>
                <w:szCs w:val="28"/>
              </w:rPr>
              <w:t>36.37</w:t>
            </w:r>
          </w:p>
        </w:tc>
        <w:tc>
          <w:tcPr>
            <w:tcW w:w="1566" w:type="dxa"/>
            <w:vAlign w:val="center"/>
          </w:tcPr>
          <w:p w:rsidR="0064621B" w:rsidRPr="000140B3" w:rsidRDefault="0064621B" w:rsidP="00EC5AF2">
            <w:pPr>
              <w:jc w:val="center"/>
              <w:rPr>
                <w:rFonts w:ascii="Times New Roman"/>
                <w:sz w:val="28"/>
                <w:szCs w:val="28"/>
              </w:rPr>
            </w:pPr>
            <w:r w:rsidRPr="000140B3">
              <w:rPr>
                <w:rFonts w:ascii="Times New Roman"/>
                <w:sz w:val="28"/>
                <w:szCs w:val="28"/>
              </w:rPr>
              <w:t>6.93</w:t>
            </w:r>
          </w:p>
        </w:tc>
        <w:tc>
          <w:tcPr>
            <w:tcW w:w="5505" w:type="dxa"/>
          </w:tcPr>
          <w:p w:rsidR="0064621B" w:rsidRPr="000140B3" w:rsidRDefault="0064621B" w:rsidP="00EC5AF2">
            <w:pPr>
              <w:rPr>
                <w:rFonts w:ascii="Times New Roman"/>
                <w:sz w:val="28"/>
                <w:szCs w:val="28"/>
              </w:rPr>
            </w:pPr>
            <w:r w:rsidRPr="000140B3">
              <w:rPr>
                <w:rFonts w:ascii="Times New Roman"/>
                <w:sz w:val="28"/>
                <w:szCs w:val="28"/>
              </w:rPr>
              <w:t>證券商自營部</w:t>
            </w:r>
            <w:proofErr w:type="gramStart"/>
            <w:r w:rsidRPr="000140B3">
              <w:rPr>
                <w:rFonts w:ascii="Times New Roman"/>
                <w:sz w:val="28"/>
                <w:szCs w:val="28"/>
              </w:rPr>
              <w:t>位暴險</w:t>
            </w:r>
            <w:r w:rsidRPr="000140B3">
              <w:rPr>
                <w:rFonts w:ascii="Times New Roman"/>
                <w:sz w:val="28"/>
                <w:szCs w:val="28"/>
              </w:rPr>
              <w:t>0</w:t>
            </w:r>
            <w:r w:rsidRPr="000140B3">
              <w:rPr>
                <w:rFonts w:ascii="Times New Roman"/>
                <w:sz w:val="28"/>
                <w:szCs w:val="28"/>
              </w:rPr>
              <w:t>億元</w:t>
            </w:r>
            <w:proofErr w:type="gramEnd"/>
            <w:r w:rsidRPr="000140B3">
              <w:rPr>
                <w:rFonts w:ascii="Times New Roman"/>
                <w:sz w:val="28"/>
                <w:szCs w:val="28"/>
              </w:rPr>
              <w:t>；投信基金投資大陸房產</w:t>
            </w:r>
            <w:proofErr w:type="gramStart"/>
            <w:r w:rsidRPr="000140B3">
              <w:rPr>
                <w:rFonts w:ascii="Times New Roman"/>
                <w:sz w:val="28"/>
                <w:szCs w:val="28"/>
              </w:rPr>
              <w:t>企業暴險金額</w:t>
            </w:r>
            <w:proofErr w:type="gramEnd"/>
            <w:r w:rsidRPr="000140B3">
              <w:rPr>
                <w:rFonts w:ascii="Times New Roman"/>
                <w:sz w:val="28"/>
                <w:szCs w:val="28"/>
              </w:rPr>
              <w:t>：</w:t>
            </w:r>
            <w:r w:rsidRPr="000140B3">
              <w:rPr>
                <w:rFonts w:ascii="Times New Roman"/>
                <w:sz w:val="28"/>
                <w:szCs w:val="28"/>
              </w:rPr>
              <w:t>36.58</w:t>
            </w:r>
            <w:r w:rsidRPr="000140B3">
              <w:rPr>
                <w:rFonts w:ascii="Times New Roman"/>
                <w:sz w:val="28"/>
                <w:szCs w:val="28"/>
              </w:rPr>
              <w:t>億元</w:t>
            </w:r>
            <w:r w:rsidR="00157A4F" w:rsidRPr="000140B3">
              <w:rPr>
                <w:rFonts w:ascii="Times New Roman" w:hint="eastAsia"/>
                <w:sz w:val="28"/>
                <w:szCs w:val="28"/>
              </w:rPr>
              <w:t>。</w:t>
            </w:r>
          </w:p>
        </w:tc>
      </w:tr>
    </w:tbl>
    <w:p w:rsidR="0064621B" w:rsidRPr="000140B3" w:rsidRDefault="0064621B" w:rsidP="00AD46E0">
      <w:pPr>
        <w:pStyle w:val="a7"/>
        <w:widowControl/>
        <w:numPr>
          <w:ilvl w:val="0"/>
          <w:numId w:val="0"/>
        </w:numPr>
        <w:spacing w:line="340" w:lineRule="exact"/>
        <w:ind w:leftChars="-83" w:left="2" w:hangingChars="109" w:hanging="284"/>
        <w:jc w:val="both"/>
        <w:rPr>
          <w:sz w:val="24"/>
          <w:szCs w:val="24"/>
        </w:rPr>
      </w:pPr>
      <w:proofErr w:type="gramStart"/>
      <w:r w:rsidRPr="000140B3">
        <w:rPr>
          <w:sz w:val="24"/>
          <w:szCs w:val="24"/>
        </w:rPr>
        <w:t>註</w:t>
      </w:r>
      <w:proofErr w:type="gramEnd"/>
      <w:r w:rsidRPr="000140B3">
        <w:rPr>
          <w:sz w:val="24"/>
          <w:szCs w:val="24"/>
        </w:rPr>
        <w:t>：上述金額係對中國大陸所有房地</w:t>
      </w:r>
      <w:proofErr w:type="gramStart"/>
      <w:r w:rsidRPr="000140B3">
        <w:rPr>
          <w:sz w:val="24"/>
          <w:szCs w:val="24"/>
        </w:rPr>
        <w:t>產業暴險情形</w:t>
      </w:r>
      <w:proofErr w:type="gramEnd"/>
      <w:r w:rsidRPr="000140B3">
        <w:rPr>
          <w:sz w:val="24"/>
          <w:szCs w:val="24"/>
        </w:rPr>
        <w:t>。</w:t>
      </w:r>
    </w:p>
    <w:p w:rsidR="0064621B" w:rsidRPr="000140B3" w:rsidRDefault="0064621B" w:rsidP="00AD46E0">
      <w:pPr>
        <w:pStyle w:val="4"/>
        <w:numPr>
          <w:ilvl w:val="0"/>
          <w:numId w:val="0"/>
        </w:numPr>
        <w:spacing w:afterLines="50" w:after="228"/>
        <w:ind w:leftChars="-83" w:left="2" w:hangingChars="109" w:hanging="284"/>
        <w:rPr>
          <w:rFonts w:ascii="Times New Roman" w:hAnsi="Times New Roman"/>
          <w:sz w:val="24"/>
          <w:szCs w:val="24"/>
        </w:rPr>
      </w:pPr>
      <w:r w:rsidRPr="000140B3">
        <w:rPr>
          <w:rFonts w:ascii="Times New Roman" w:hAnsi="Times New Roman"/>
          <w:sz w:val="24"/>
          <w:szCs w:val="24"/>
        </w:rPr>
        <w:t>資料來源：金管會。</w:t>
      </w:r>
    </w:p>
    <w:p w:rsidR="0064621B" w:rsidRPr="000140B3" w:rsidRDefault="0064621B" w:rsidP="0064621B">
      <w:pPr>
        <w:pStyle w:val="a4"/>
        <w:jc w:val="center"/>
        <w:rPr>
          <w:rFonts w:ascii="Times New Roman" w:hAnsi="Times New Roman"/>
          <w:b/>
        </w:rPr>
      </w:pPr>
      <w:r w:rsidRPr="000140B3">
        <w:rPr>
          <w:rFonts w:ascii="Times New Roman" w:hAnsi="Times New Roman"/>
          <w:b/>
        </w:rPr>
        <w:t>112</w:t>
      </w:r>
      <w:r w:rsidRPr="000140B3">
        <w:rPr>
          <w:rFonts w:ascii="Times New Roman" w:hAnsi="Times New Roman"/>
          <w:b/>
        </w:rPr>
        <w:t>年底國銀對中國大陸房地</w:t>
      </w:r>
      <w:proofErr w:type="gramStart"/>
      <w:r w:rsidRPr="000140B3">
        <w:rPr>
          <w:rFonts w:ascii="Times New Roman" w:hAnsi="Times New Roman"/>
          <w:b/>
        </w:rPr>
        <w:t>產業暴險情形</w:t>
      </w:r>
      <w:proofErr w:type="gramEnd"/>
      <w:r w:rsidRPr="000140B3">
        <w:rPr>
          <w:rFonts w:ascii="Times New Roman" w:hAnsi="Times New Roman"/>
          <w:b/>
        </w:rPr>
        <w:t>表</w:t>
      </w:r>
    </w:p>
    <w:p w:rsidR="0064621B" w:rsidRPr="000140B3" w:rsidRDefault="0064621B" w:rsidP="0064621B">
      <w:pPr>
        <w:overflowPunct/>
        <w:autoSpaceDE/>
        <w:autoSpaceDN/>
        <w:spacing w:afterLines="25" w:after="114" w:line="320" w:lineRule="exact"/>
        <w:ind w:left="1242" w:right="278"/>
        <w:jc w:val="right"/>
        <w:rPr>
          <w:rFonts w:ascii="Times New Roman"/>
          <w:sz w:val="24"/>
          <w:szCs w:val="24"/>
        </w:rPr>
      </w:pPr>
      <w:r w:rsidRPr="000140B3">
        <w:rPr>
          <w:rFonts w:ascii="Times New Roman"/>
          <w:sz w:val="24"/>
          <w:szCs w:val="24"/>
        </w:rPr>
        <w:t>單位：新臺幣億元</w:t>
      </w: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230"/>
        <w:gridCol w:w="1417"/>
      </w:tblGrid>
      <w:tr w:rsidR="0064621B" w:rsidRPr="000140B3" w:rsidTr="00FC43F4">
        <w:trPr>
          <w:trHeight w:val="432"/>
        </w:trPr>
        <w:tc>
          <w:tcPr>
            <w:tcW w:w="851" w:type="dxa"/>
          </w:tcPr>
          <w:p w:rsidR="0064621B" w:rsidRPr="000140B3" w:rsidRDefault="0064621B" w:rsidP="00EC5AF2">
            <w:pPr>
              <w:overflowPunct/>
              <w:autoSpaceDE/>
              <w:autoSpaceDN/>
              <w:spacing w:line="400" w:lineRule="exact"/>
              <w:jc w:val="center"/>
              <w:rPr>
                <w:rFonts w:ascii="Times New Roman"/>
                <w:sz w:val="28"/>
                <w:szCs w:val="28"/>
              </w:rPr>
            </w:pPr>
            <w:r w:rsidRPr="000140B3">
              <w:rPr>
                <w:rFonts w:ascii="Times New Roman"/>
                <w:sz w:val="28"/>
                <w:szCs w:val="28"/>
              </w:rPr>
              <w:t>序號</w:t>
            </w:r>
          </w:p>
        </w:tc>
        <w:tc>
          <w:tcPr>
            <w:tcW w:w="7230" w:type="dxa"/>
          </w:tcPr>
          <w:p w:rsidR="0064621B" w:rsidRPr="000140B3" w:rsidRDefault="0064621B" w:rsidP="00EC5AF2">
            <w:pPr>
              <w:overflowPunct/>
              <w:autoSpaceDE/>
              <w:autoSpaceDN/>
              <w:spacing w:line="400" w:lineRule="exact"/>
              <w:jc w:val="center"/>
              <w:rPr>
                <w:rFonts w:ascii="Times New Roman"/>
                <w:sz w:val="28"/>
                <w:szCs w:val="28"/>
              </w:rPr>
            </w:pPr>
            <w:r w:rsidRPr="000140B3">
              <w:rPr>
                <w:rFonts w:ascii="Times New Roman"/>
                <w:sz w:val="28"/>
                <w:szCs w:val="28"/>
              </w:rPr>
              <w:t>房地產企業</w:t>
            </w:r>
          </w:p>
        </w:tc>
        <w:tc>
          <w:tcPr>
            <w:tcW w:w="1417" w:type="dxa"/>
          </w:tcPr>
          <w:p w:rsidR="0064621B" w:rsidRPr="000140B3" w:rsidRDefault="0064621B" w:rsidP="00EC5AF2">
            <w:pPr>
              <w:overflowPunct/>
              <w:autoSpaceDE/>
              <w:autoSpaceDN/>
              <w:spacing w:line="400" w:lineRule="exact"/>
              <w:jc w:val="center"/>
              <w:rPr>
                <w:rFonts w:ascii="Times New Roman"/>
                <w:sz w:val="28"/>
                <w:szCs w:val="28"/>
              </w:rPr>
            </w:pPr>
            <w:r w:rsidRPr="000140B3">
              <w:rPr>
                <w:rFonts w:ascii="Times New Roman"/>
                <w:sz w:val="28"/>
                <w:szCs w:val="28"/>
              </w:rPr>
              <w:t>投資金額</w:t>
            </w:r>
          </w:p>
        </w:tc>
      </w:tr>
      <w:tr w:rsidR="0064621B" w:rsidRPr="000140B3" w:rsidTr="00FC43F4">
        <w:tc>
          <w:tcPr>
            <w:tcW w:w="851" w:type="dxa"/>
          </w:tcPr>
          <w:p w:rsidR="0064621B" w:rsidRPr="000140B3" w:rsidRDefault="0064621B" w:rsidP="00EC5AF2">
            <w:pPr>
              <w:overflowPunct/>
              <w:autoSpaceDE/>
              <w:autoSpaceDN/>
              <w:spacing w:line="400" w:lineRule="exact"/>
              <w:jc w:val="center"/>
              <w:rPr>
                <w:rFonts w:ascii="Times New Roman"/>
                <w:sz w:val="28"/>
                <w:szCs w:val="28"/>
              </w:rPr>
            </w:pPr>
            <w:r w:rsidRPr="000140B3">
              <w:rPr>
                <w:rFonts w:ascii="Times New Roman"/>
                <w:sz w:val="28"/>
                <w:szCs w:val="28"/>
              </w:rPr>
              <w:t>1</w:t>
            </w:r>
          </w:p>
        </w:tc>
        <w:tc>
          <w:tcPr>
            <w:tcW w:w="7230" w:type="dxa"/>
          </w:tcPr>
          <w:p w:rsidR="0064621B" w:rsidRPr="000140B3" w:rsidRDefault="0064621B" w:rsidP="00EC5AF2">
            <w:pPr>
              <w:overflowPunct/>
              <w:autoSpaceDE/>
              <w:autoSpaceDN/>
              <w:spacing w:line="400" w:lineRule="exact"/>
              <w:rPr>
                <w:rFonts w:ascii="Times New Roman"/>
                <w:sz w:val="28"/>
                <w:szCs w:val="28"/>
              </w:rPr>
            </w:pPr>
            <w:r w:rsidRPr="000140B3">
              <w:rPr>
                <w:rFonts w:ascii="Times New Roman"/>
                <w:sz w:val="28"/>
                <w:szCs w:val="28"/>
              </w:rPr>
              <w:t>萬科</w:t>
            </w:r>
          </w:p>
        </w:tc>
        <w:tc>
          <w:tcPr>
            <w:tcW w:w="1417" w:type="dxa"/>
            <w:vAlign w:val="center"/>
          </w:tcPr>
          <w:p w:rsidR="0064621B" w:rsidRPr="000140B3" w:rsidRDefault="0064621B" w:rsidP="00EC5AF2">
            <w:pPr>
              <w:overflowPunct/>
              <w:autoSpaceDE/>
              <w:autoSpaceDN/>
              <w:spacing w:line="400" w:lineRule="exact"/>
              <w:jc w:val="center"/>
              <w:rPr>
                <w:rFonts w:ascii="Times New Roman"/>
                <w:sz w:val="28"/>
                <w:szCs w:val="28"/>
              </w:rPr>
            </w:pPr>
            <w:r w:rsidRPr="000140B3">
              <w:rPr>
                <w:rFonts w:ascii="Times New Roman"/>
                <w:sz w:val="28"/>
                <w:szCs w:val="28"/>
              </w:rPr>
              <w:t>33.60</w:t>
            </w:r>
          </w:p>
        </w:tc>
      </w:tr>
      <w:tr w:rsidR="0064621B" w:rsidRPr="000140B3" w:rsidTr="00FC43F4">
        <w:tc>
          <w:tcPr>
            <w:tcW w:w="851" w:type="dxa"/>
          </w:tcPr>
          <w:p w:rsidR="0064621B" w:rsidRPr="000140B3" w:rsidRDefault="0064621B" w:rsidP="00EC5AF2">
            <w:pPr>
              <w:overflowPunct/>
              <w:autoSpaceDE/>
              <w:autoSpaceDN/>
              <w:spacing w:line="400" w:lineRule="exact"/>
              <w:jc w:val="center"/>
              <w:rPr>
                <w:rFonts w:ascii="Times New Roman"/>
                <w:sz w:val="28"/>
                <w:szCs w:val="28"/>
              </w:rPr>
            </w:pPr>
            <w:r w:rsidRPr="000140B3">
              <w:rPr>
                <w:rFonts w:ascii="Times New Roman"/>
                <w:sz w:val="28"/>
                <w:szCs w:val="28"/>
              </w:rPr>
              <w:t>2</w:t>
            </w:r>
          </w:p>
        </w:tc>
        <w:tc>
          <w:tcPr>
            <w:tcW w:w="7230" w:type="dxa"/>
          </w:tcPr>
          <w:p w:rsidR="0064621B" w:rsidRPr="000140B3" w:rsidRDefault="0064621B" w:rsidP="00EC5AF2">
            <w:pPr>
              <w:overflowPunct/>
              <w:autoSpaceDE/>
              <w:autoSpaceDN/>
              <w:spacing w:line="400" w:lineRule="exact"/>
              <w:rPr>
                <w:rFonts w:ascii="Times New Roman"/>
                <w:sz w:val="28"/>
                <w:szCs w:val="28"/>
              </w:rPr>
            </w:pPr>
            <w:r w:rsidRPr="000140B3">
              <w:rPr>
                <w:rFonts w:ascii="Times New Roman"/>
                <w:sz w:val="28"/>
                <w:szCs w:val="28"/>
              </w:rPr>
              <w:t>碧</w:t>
            </w:r>
            <w:proofErr w:type="gramStart"/>
            <w:r w:rsidRPr="000140B3">
              <w:rPr>
                <w:rFonts w:ascii="Times New Roman"/>
                <w:sz w:val="28"/>
                <w:szCs w:val="28"/>
              </w:rPr>
              <w:t>桂園</w:t>
            </w:r>
            <w:proofErr w:type="gramEnd"/>
          </w:p>
        </w:tc>
        <w:tc>
          <w:tcPr>
            <w:tcW w:w="1417" w:type="dxa"/>
            <w:vAlign w:val="center"/>
          </w:tcPr>
          <w:p w:rsidR="0064621B" w:rsidRPr="000140B3" w:rsidRDefault="0064621B" w:rsidP="00EC5AF2">
            <w:pPr>
              <w:overflowPunct/>
              <w:autoSpaceDE/>
              <w:autoSpaceDN/>
              <w:spacing w:line="400" w:lineRule="exact"/>
              <w:jc w:val="center"/>
              <w:rPr>
                <w:rFonts w:ascii="Times New Roman"/>
                <w:sz w:val="28"/>
                <w:szCs w:val="28"/>
              </w:rPr>
            </w:pPr>
            <w:r w:rsidRPr="000140B3">
              <w:rPr>
                <w:rFonts w:ascii="Times New Roman"/>
                <w:sz w:val="28"/>
                <w:szCs w:val="28"/>
              </w:rPr>
              <w:t>2.77</w:t>
            </w:r>
          </w:p>
        </w:tc>
      </w:tr>
      <w:tr w:rsidR="0064621B" w:rsidRPr="000140B3" w:rsidTr="00FC43F4">
        <w:tc>
          <w:tcPr>
            <w:tcW w:w="851" w:type="dxa"/>
          </w:tcPr>
          <w:p w:rsidR="0064621B" w:rsidRPr="000140B3" w:rsidRDefault="0064621B" w:rsidP="00EC5AF2">
            <w:pPr>
              <w:overflowPunct/>
              <w:autoSpaceDE/>
              <w:autoSpaceDN/>
              <w:spacing w:line="400" w:lineRule="exact"/>
              <w:jc w:val="center"/>
              <w:rPr>
                <w:rFonts w:ascii="Times New Roman"/>
                <w:sz w:val="28"/>
                <w:szCs w:val="28"/>
              </w:rPr>
            </w:pPr>
            <w:r w:rsidRPr="000140B3">
              <w:rPr>
                <w:rFonts w:ascii="Times New Roman"/>
                <w:sz w:val="28"/>
                <w:szCs w:val="28"/>
              </w:rPr>
              <w:t>3</w:t>
            </w:r>
          </w:p>
        </w:tc>
        <w:tc>
          <w:tcPr>
            <w:tcW w:w="7230" w:type="dxa"/>
          </w:tcPr>
          <w:p w:rsidR="0064621B" w:rsidRPr="000140B3" w:rsidRDefault="0064621B" w:rsidP="00EC5AF2">
            <w:pPr>
              <w:overflowPunct/>
              <w:autoSpaceDE/>
              <w:autoSpaceDN/>
              <w:spacing w:line="400" w:lineRule="exact"/>
              <w:rPr>
                <w:rFonts w:ascii="Times New Roman"/>
                <w:sz w:val="28"/>
                <w:szCs w:val="28"/>
              </w:rPr>
            </w:pPr>
            <w:r w:rsidRPr="000140B3">
              <w:rPr>
                <w:rFonts w:ascii="Times New Roman"/>
                <w:sz w:val="28"/>
                <w:szCs w:val="28"/>
              </w:rPr>
              <w:t>其他</w:t>
            </w:r>
            <w:r w:rsidRPr="000140B3">
              <w:rPr>
                <w:rFonts w:ascii="Times New Roman"/>
                <w:sz w:val="28"/>
                <w:szCs w:val="28"/>
              </w:rPr>
              <w:t>(</w:t>
            </w:r>
            <w:proofErr w:type="gramStart"/>
            <w:r w:rsidR="00011A7F" w:rsidRPr="000140B3">
              <w:rPr>
                <w:rFonts w:ascii="Times New Roman"/>
                <w:sz w:val="28"/>
                <w:szCs w:val="28"/>
              </w:rPr>
              <w:t>恒</w:t>
            </w:r>
            <w:proofErr w:type="gramEnd"/>
            <w:r w:rsidR="00011A7F" w:rsidRPr="000140B3">
              <w:rPr>
                <w:rFonts w:ascii="Times New Roman"/>
                <w:sz w:val="28"/>
                <w:szCs w:val="28"/>
              </w:rPr>
              <w:t>大</w:t>
            </w:r>
            <w:r w:rsidRPr="000140B3">
              <w:rPr>
                <w:rFonts w:ascii="Times New Roman"/>
                <w:sz w:val="28"/>
                <w:szCs w:val="28"/>
              </w:rPr>
              <w:t>、</w:t>
            </w:r>
            <w:proofErr w:type="gramStart"/>
            <w:r w:rsidRPr="000140B3">
              <w:rPr>
                <w:rFonts w:ascii="Times New Roman"/>
                <w:sz w:val="28"/>
                <w:szCs w:val="28"/>
              </w:rPr>
              <w:t>融創中</w:t>
            </w:r>
            <w:proofErr w:type="gramEnd"/>
            <w:r w:rsidRPr="000140B3">
              <w:rPr>
                <w:rFonts w:ascii="Times New Roman"/>
                <w:sz w:val="28"/>
                <w:szCs w:val="28"/>
              </w:rPr>
              <w:t>國、綠地控股、保力發展</w:t>
            </w:r>
            <w:r w:rsidRPr="000140B3">
              <w:rPr>
                <w:rFonts w:ascii="Times New Roman"/>
                <w:sz w:val="28"/>
                <w:szCs w:val="28"/>
              </w:rPr>
              <w:t>…</w:t>
            </w:r>
            <w:r w:rsidRPr="000140B3">
              <w:rPr>
                <w:rFonts w:ascii="Times New Roman"/>
                <w:sz w:val="28"/>
                <w:szCs w:val="28"/>
              </w:rPr>
              <w:t>等</w:t>
            </w:r>
            <w:r w:rsidRPr="000140B3">
              <w:rPr>
                <w:rFonts w:ascii="Times New Roman"/>
                <w:sz w:val="28"/>
                <w:szCs w:val="28"/>
              </w:rPr>
              <w:t>30</w:t>
            </w:r>
            <w:r w:rsidRPr="000140B3">
              <w:rPr>
                <w:rFonts w:ascii="Times New Roman"/>
                <w:sz w:val="28"/>
                <w:szCs w:val="28"/>
              </w:rPr>
              <w:t>家</w:t>
            </w:r>
            <w:r w:rsidRPr="000140B3">
              <w:rPr>
                <w:rFonts w:ascii="Times New Roman"/>
                <w:sz w:val="28"/>
                <w:szCs w:val="28"/>
              </w:rPr>
              <w:t>)</w:t>
            </w:r>
          </w:p>
        </w:tc>
        <w:tc>
          <w:tcPr>
            <w:tcW w:w="1417" w:type="dxa"/>
            <w:vAlign w:val="center"/>
          </w:tcPr>
          <w:p w:rsidR="0064621B" w:rsidRPr="000140B3" w:rsidRDefault="0064621B" w:rsidP="00EC5AF2">
            <w:pPr>
              <w:overflowPunct/>
              <w:autoSpaceDE/>
              <w:autoSpaceDN/>
              <w:spacing w:line="400" w:lineRule="exact"/>
              <w:jc w:val="center"/>
              <w:rPr>
                <w:rFonts w:ascii="Times New Roman"/>
                <w:sz w:val="28"/>
                <w:szCs w:val="28"/>
              </w:rPr>
            </w:pPr>
            <w:r w:rsidRPr="000140B3">
              <w:rPr>
                <w:rFonts w:ascii="Times New Roman"/>
                <w:sz w:val="28"/>
                <w:szCs w:val="28"/>
              </w:rPr>
              <w:t>0</w:t>
            </w:r>
          </w:p>
        </w:tc>
      </w:tr>
      <w:tr w:rsidR="0064621B" w:rsidRPr="000140B3" w:rsidTr="00FC43F4">
        <w:tc>
          <w:tcPr>
            <w:tcW w:w="851" w:type="dxa"/>
          </w:tcPr>
          <w:p w:rsidR="0064621B" w:rsidRPr="000140B3" w:rsidRDefault="0064621B" w:rsidP="00EC5AF2">
            <w:pPr>
              <w:overflowPunct/>
              <w:autoSpaceDE/>
              <w:autoSpaceDN/>
              <w:spacing w:line="400" w:lineRule="exact"/>
              <w:rPr>
                <w:rFonts w:ascii="Times New Roman"/>
                <w:sz w:val="28"/>
                <w:szCs w:val="28"/>
              </w:rPr>
            </w:pPr>
          </w:p>
        </w:tc>
        <w:tc>
          <w:tcPr>
            <w:tcW w:w="7230" w:type="dxa"/>
          </w:tcPr>
          <w:p w:rsidR="0064621B" w:rsidRPr="000140B3" w:rsidRDefault="0064621B" w:rsidP="00EC5AF2">
            <w:pPr>
              <w:overflowPunct/>
              <w:autoSpaceDE/>
              <w:autoSpaceDN/>
              <w:spacing w:line="400" w:lineRule="exact"/>
              <w:rPr>
                <w:rFonts w:ascii="Times New Roman"/>
                <w:sz w:val="28"/>
                <w:szCs w:val="28"/>
              </w:rPr>
            </w:pPr>
            <w:r w:rsidRPr="000140B3">
              <w:rPr>
                <w:rFonts w:ascii="Times New Roman"/>
                <w:sz w:val="28"/>
                <w:szCs w:val="28"/>
              </w:rPr>
              <w:t>總計</w:t>
            </w:r>
          </w:p>
        </w:tc>
        <w:tc>
          <w:tcPr>
            <w:tcW w:w="1417" w:type="dxa"/>
            <w:vAlign w:val="center"/>
          </w:tcPr>
          <w:p w:rsidR="0064621B" w:rsidRPr="000140B3" w:rsidRDefault="0064621B" w:rsidP="00EC5AF2">
            <w:pPr>
              <w:overflowPunct/>
              <w:autoSpaceDE/>
              <w:autoSpaceDN/>
              <w:spacing w:line="400" w:lineRule="exact"/>
              <w:jc w:val="center"/>
              <w:rPr>
                <w:rFonts w:ascii="Times New Roman"/>
                <w:sz w:val="28"/>
                <w:szCs w:val="28"/>
              </w:rPr>
            </w:pPr>
            <w:r w:rsidRPr="000140B3">
              <w:rPr>
                <w:rFonts w:ascii="Times New Roman"/>
                <w:sz w:val="28"/>
                <w:szCs w:val="28"/>
              </w:rPr>
              <w:t>36.37</w:t>
            </w:r>
          </w:p>
        </w:tc>
      </w:tr>
    </w:tbl>
    <w:p w:rsidR="0064621B" w:rsidRPr="000140B3" w:rsidRDefault="0064621B" w:rsidP="0064621B">
      <w:pPr>
        <w:pStyle w:val="5"/>
        <w:numPr>
          <w:ilvl w:val="0"/>
          <w:numId w:val="0"/>
        </w:numPr>
        <w:spacing w:line="340" w:lineRule="exact"/>
        <w:ind w:leftChars="-83" w:left="283" w:hangingChars="217" w:hanging="565"/>
        <w:rPr>
          <w:rFonts w:ascii="Times New Roman" w:hAnsi="Times New Roman"/>
          <w:sz w:val="24"/>
          <w:szCs w:val="24"/>
        </w:rPr>
      </w:pPr>
      <w:proofErr w:type="gramStart"/>
      <w:r w:rsidRPr="000140B3">
        <w:rPr>
          <w:rFonts w:ascii="Times New Roman" w:hAnsi="Times New Roman"/>
          <w:sz w:val="24"/>
          <w:szCs w:val="24"/>
        </w:rPr>
        <w:t>註</w:t>
      </w:r>
      <w:proofErr w:type="gramEnd"/>
      <w:r w:rsidRPr="000140B3">
        <w:rPr>
          <w:rFonts w:ascii="Times New Roman" w:hAnsi="Times New Roman"/>
          <w:sz w:val="24"/>
          <w:szCs w:val="24"/>
        </w:rPr>
        <w:t>：上述</w:t>
      </w:r>
      <w:proofErr w:type="gramStart"/>
      <w:r w:rsidRPr="000140B3">
        <w:rPr>
          <w:rFonts w:ascii="Times New Roman" w:hAnsi="Times New Roman"/>
          <w:sz w:val="24"/>
          <w:szCs w:val="24"/>
        </w:rPr>
        <w:t>均屬授信暴險</w:t>
      </w:r>
      <w:proofErr w:type="gramEnd"/>
      <w:r w:rsidRPr="000140B3">
        <w:rPr>
          <w:rFonts w:ascii="Times New Roman" w:hAnsi="Times New Roman"/>
          <w:sz w:val="24"/>
          <w:szCs w:val="24"/>
        </w:rPr>
        <w:t>，目前還款</w:t>
      </w:r>
      <w:proofErr w:type="gramStart"/>
      <w:r w:rsidRPr="000140B3">
        <w:rPr>
          <w:rFonts w:ascii="Times New Roman" w:hAnsi="Times New Roman"/>
          <w:sz w:val="24"/>
          <w:szCs w:val="24"/>
        </w:rPr>
        <w:t>情形均為正</w:t>
      </w:r>
      <w:proofErr w:type="gramEnd"/>
      <w:r w:rsidRPr="000140B3">
        <w:rPr>
          <w:rFonts w:ascii="Times New Roman" w:hAnsi="Times New Roman"/>
          <w:sz w:val="24"/>
          <w:szCs w:val="24"/>
        </w:rPr>
        <w:t>常，相關銀行並已依金管會要求，提列備抵呆帳</w:t>
      </w:r>
      <w:proofErr w:type="gramStart"/>
      <w:r w:rsidRPr="000140B3">
        <w:rPr>
          <w:rFonts w:ascii="Times New Roman" w:hAnsi="Times New Roman"/>
          <w:sz w:val="24"/>
          <w:szCs w:val="24"/>
        </w:rPr>
        <w:t>比率均</w:t>
      </w:r>
      <w:proofErr w:type="gramEnd"/>
      <w:r w:rsidRPr="000140B3">
        <w:rPr>
          <w:rFonts w:ascii="Times New Roman" w:hAnsi="Times New Roman"/>
          <w:sz w:val="24"/>
          <w:szCs w:val="24"/>
        </w:rPr>
        <w:t>為</w:t>
      </w:r>
      <w:r w:rsidRPr="000140B3">
        <w:rPr>
          <w:rFonts w:ascii="Times New Roman" w:hAnsi="Times New Roman"/>
          <w:sz w:val="24"/>
          <w:szCs w:val="24"/>
        </w:rPr>
        <w:t>1.5%</w:t>
      </w:r>
      <w:r w:rsidRPr="000140B3">
        <w:rPr>
          <w:rFonts w:ascii="Times New Roman" w:hAnsi="Times New Roman"/>
          <w:sz w:val="24"/>
          <w:szCs w:val="24"/>
        </w:rPr>
        <w:t>以上。</w:t>
      </w:r>
    </w:p>
    <w:p w:rsidR="0064621B" w:rsidRPr="000140B3" w:rsidRDefault="0064621B" w:rsidP="0064621B">
      <w:pPr>
        <w:pStyle w:val="5"/>
        <w:numPr>
          <w:ilvl w:val="0"/>
          <w:numId w:val="0"/>
        </w:numPr>
        <w:spacing w:afterLines="50" w:after="228" w:line="340" w:lineRule="exact"/>
        <w:ind w:leftChars="-83" w:left="283" w:hangingChars="217" w:hanging="565"/>
        <w:rPr>
          <w:rFonts w:ascii="Times New Roman" w:hAnsi="Times New Roman"/>
          <w:sz w:val="24"/>
          <w:szCs w:val="24"/>
        </w:rPr>
      </w:pPr>
      <w:r w:rsidRPr="000140B3">
        <w:rPr>
          <w:rFonts w:ascii="Times New Roman" w:hAnsi="Times New Roman"/>
          <w:sz w:val="24"/>
          <w:szCs w:val="24"/>
        </w:rPr>
        <w:t>資料來源：金管會。</w:t>
      </w:r>
    </w:p>
    <w:p w:rsidR="0064621B" w:rsidRPr="000140B3" w:rsidRDefault="0064621B" w:rsidP="0064621B">
      <w:pPr>
        <w:pStyle w:val="a4"/>
        <w:jc w:val="center"/>
        <w:rPr>
          <w:rFonts w:ascii="Times New Roman" w:hAnsi="Times New Roman"/>
          <w:b/>
        </w:rPr>
      </w:pPr>
      <w:r w:rsidRPr="000140B3">
        <w:rPr>
          <w:rFonts w:ascii="Times New Roman" w:hAnsi="Times New Roman"/>
          <w:b/>
        </w:rPr>
        <w:t>112</w:t>
      </w:r>
      <w:r w:rsidRPr="000140B3">
        <w:rPr>
          <w:rFonts w:ascii="Times New Roman" w:hAnsi="Times New Roman"/>
          <w:b/>
        </w:rPr>
        <w:t>年底保險業對中國大陸房地</w:t>
      </w:r>
      <w:proofErr w:type="gramStart"/>
      <w:r w:rsidRPr="000140B3">
        <w:rPr>
          <w:rFonts w:ascii="Times New Roman" w:hAnsi="Times New Roman"/>
          <w:b/>
        </w:rPr>
        <w:t>產業暴險情形</w:t>
      </w:r>
      <w:proofErr w:type="gramEnd"/>
      <w:r w:rsidRPr="000140B3">
        <w:rPr>
          <w:rFonts w:ascii="Times New Roman" w:hAnsi="Times New Roman"/>
          <w:b/>
        </w:rPr>
        <w:t>表</w:t>
      </w:r>
    </w:p>
    <w:p w:rsidR="0064621B" w:rsidRPr="000140B3" w:rsidRDefault="0064621B" w:rsidP="0064621B">
      <w:pPr>
        <w:overflowPunct/>
        <w:autoSpaceDE/>
        <w:autoSpaceDN/>
        <w:spacing w:afterLines="25" w:after="114" w:line="320" w:lineRule="exact"/>
        <w:ind w:left="1242"/>
        <w:jc w:val="right"/>
        <w:rPr>
          <w:rFonts w:ascii="Times New Roman"/>
          <w:sz w:val="24"/>
          <w:szCs w:val="24"/>
        </w:rPr>
      </w:pPr>
      <w:r w:rsidRPr="000140B3">
        <w:rPr>
          <w:rFonts w:ascii="Times New Roman"/>
          <w:sz w:val="24"/>
          <w:szCs w:val="24"/>
        </w:rPr>
        <w:t>單位：新臺幣億元</w:t>
      </w:r>
    </w:p>
    <w:tbl>
      <w:tblPr>
        <w:tblW w:w="879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2"/>
        <w:gridCol w:w="3875"/>
        <w:gridCol w:w="3727"/>
      </w:tblGrid>
      <w:tr w:rsidR="0064621B" w:rsidRPr="000140B3" w:rsidTr="00FC43F4">
        <w:trPr>
          <w:trHeight w:val="397"/>
          <w:tblHeader/>
        </w:trPr>
        <w:tc>
          <w:tcPr>
            <w:tcW w:w="1192" w:type="dxa"/>
          </w:tcPr>
          <w:p w:rsidR="0064621B" w:rsidRPr="000140B3" w:rsidRDefault="0064621B" w:rsidP="00EC5AF2">
            <w:pPr>
              <w:overflowPunct/>
              <w:autoSpaceDE/>
              <w:autoSpaceDN/>
              <w:spacing w:line="400" w:lineRule="exact"/>
              <w:jc w:val="center"/>
              <w:rPr>
                <w:rFonts w:ascii="Times New Roman"/>
                <w:sz w:val="28"/>
                <w:szCs w:val="28"/>
              </w:rPr>
            </w:pPr>
            <w:r w:rsidRPr="000140B3">
              <w:rPr>
                <w:rFonts w:ascii="Times New Roman"/>
                <w:sz w:val="28"/>
                <w:szCs w:val="28"/>
              </w:rPr>
              <w:lastRenderedPageBreak/>
              <w:t>序號</w:t>
            </w:r>
          </w:p>
        </w:tc>
        <w:tc>
          <w:tcPr>
            <w:tcW w:w="3875" w:type="dxa"/>
          </w:tcPr>
          <w:p w:rsidR="0064621B" w:rsidRPr="000140B3" w:rsidRDefault="0064621B" w:rsidP="00EC5AF2">
            <w:pPr>
              <w:overflowPunct/>
              <w:autoSpaceDE/>
              <w:autoSpaceDN/>
              <w:spacing w:line="400" w:lineRule="exact"/>
              <w:jc w:val="center"/>
              <w:rPr>
                <w:rFonts w:ascii="Times New Roman"/>
                <w:sz w:val="28"/>
                <w:szCs w:val="28"/>
              </w:rPr>
            </w:pPr>
            <w:r w:rsidRPr="000140B3">
              <w:rPr>
                <w:rFonts w:ascii="Times New Roman"/>
                <w:sz w:val="28"/>
                <w:szCs w:val="28"/>
              </w:rPr>
              <w:t>房地產企業</w:t>
            </w:r>
          </w:p>
        </w:tc>
        <w:tc>
          <w:tcPr>
            <w:tcW w:w="3727" w:type="dxa"/>
          </w:tcPr>
          <w:p w:rsidR="0064621B" w:rsidRPr="000140B3" w:rsidRDefault="0064621B" w:rsidP="00EC5AF2">
            <w:pPr>
              <w:overflowPunct/>
              <w:autoSpaceDE/>
              <w:autoSpaceDN/>
              <w:spacing w:line="400" w:lineRule="exact"/>
              <w:jc w:val="center"/>
              <w:rPr>
                <w:rFonts w:ascii="Times New Roman"/>
                <w:sz w:val="28"/>
                <w:szCs w:val="28"/>
              </w:rPr>
            </w:pPr>
            <w:r w:rsidRPr="000140B3">
              <w:rPr>
                <w:rFonts w:ascii="Times New Roman"/>
                <w:sz w:val="28"/>
                <w:szCs w:val="28"/>
              </w:rPr>
              <w:t>投資金額</w:t>
            </w:r>
          </w:p>
        </w:tc>
      </w:tr>
      <w:tr w:rsidR="0064621B" w:rsidRPr="000140B3" w:rsidTr="00FC43F4">
        <w:trPr>
          <w:trHeight w:val="397"/>
        </w:trPr>
        <w:tc>
          <w:tcPr>
            <w:tcW w:w="1192" w:type="dxa"/>
          </w:tcPr>
          <w:p w:rsidR="0064621B" w:rsidRPr="000140B3" w:rsidRDefault="0064621B" w:rsidP="00EC5AF2">
            <w:pPr>
              <w:overflowPunct/>
              <w:autoSpaceDE/>
              <w:autoSpaceDN/>
              <w:spacing w:line="400" w:lineRule="exact"/>
              <w:jc w:val="center"/>
              <w:rPr>
                <w:rFonts w:ascii="Times New Roman"/>
                <w:sz w:val="28"/>
                <w:szCs w:val="28"/>
              </w:rPr>
            </w:pPr>
            <w:r w:rsidRPr="000140B3">
              <w:rPr>
                <w:rFonts w:ascii="Times New Roman"/>
                <w:sz w:val="28"/>
                <w:szCs w:val="28"/>
              </w:rPr>
              <w:t>1</w:t>
            </w:r>
          </w:p>
        </w:tc>
        <w:tc>
          <w:tcPr>
            <w:tcW w:w="3875" w:type="dxa"/>
          </w:tcPr>
          <w:p w:rsidR="0064621B" w:rsidRPr="000140B3" w:rsidRDefault="0064621B" w:rsidP="00EC5AF2">
            <w:pPr>
              <w:overflowPunct/>
              <w:autoSpaceDE/>
              <w:autoSpaceDN/>
              <w:spacing w:line="400" w:lineRule="exact"/>
              <w:rPr>
                <w:rFonts w:ascii="Times New Roman"/>
                <w:sz w:val="28"/>
                <w:szCs w:val="28"/>
              </w:rPr>
            </w:pPr>
            <w:r w:rsidRPr="000140B3">
              <w:rPr>
                <w:rFonts w:ascii="Times New Roman"/>
                <w:sz w:val="28"/>
                <w:szCs w:val="28"/>
              </w:rPr>
              <w:t>中國海外發展投資公司</w:t>
            </w:r>
          </w:p>
        </w:tc>
        <w:tc>
          <w:tcPr>
            <w:tcW w:w="3727" w:type="dxa"/>
          </w:tcPr>
          <w:p w:rsidR="0064621B" w:rsidRPr="000140B3" w:rsidRDefault="0064621B" w:rsidP="00EC5AF2">
            <w:pPr>
              <w:overflowPunct/>
              <w:autoSpaceDE/>
              <w:autoSpaceDN/>
              <w:spacing w:line="400" w:lineRule="exact"/>
              <w:jc w:val="center"/>
              <w:rPr>
                <w:rFonts w:ascii="Times New Roman"/>
                <w:sz w:val="28"/>
                <w:szCs w:val="28"/>
              </w:rPr>
            </w:pPr>
            <w:r w:rsidRPr="000140B3">
              <w:rPr>
                <w:rFonts w:ascii="Times New Roman"/>
                <w:sz w:val="28"/>
                <w:szCs w:val="28"/>
              </w:rPr>
              <w:t>3.46</w:t>
            </w:r>
          </w:p>
        </w:tc>
      </w:tr>
      <w:tr w:rsidR="0064621B" w:rsidRPr="000140B3" w:rsidTr="00FC43F4">
        <w:trPr>
          <w:trHeight w:val="409"/>
        </w:trPr>
        <w:tc>
          <w:tcPr>
            <w:tcW w:w="1192" w:type="dxa"/>
          </w:tcPr>
          <w:p w:rsidR="0064621B" w:rsidRPr="000140B3" w:rsidRDefault="0064621B" w:rsidP="00EC5AF2">
            <w:pPr>
              <w:overflowPunct/>
              <w:autoSpaceDE/>
              <w:autoSpaceDN/>
              <w:spacing w:line="400" w:lineRule="exact"/>
              <w:jc w:val="center"/>
              <w:rPr>
                <w:rFonts w:ascii="Times New Roman"/>
                <w:sz w:val="28"/>
                <w:szCs w:val="28"/>
              </w:rPr>
            </w:pPr>
            <w:r w:rsidRPr="000140B3">
              <w:rPr>
                <w:rFonts w:ascii="Times New Roman"/>
                <w:sz w:val="28"/>
                <w:szCs w:val="28"/>
              </w:rPr>
              <w:t>2</w:t>
            </w:r>
          </w:p>
        </w:tc>
        <w:tc>
          <w:tcPr>
            <w:tcW w:w="3875" w:type="dxa"/>
          </w:tcPr>
          <w:p w:rsidR="0064621B" w:rsidRPr="000140B3" w:rsidRDefault="0064621B" w:rsidP="00EC5AF2">
            <w:pPr>
              <w:overflowPunct/>
              <w:autoSpaceDE/>
              <w:autoSpaceDN/>
              <w:spacing w:line="400" w:lineRule="exact"/>
              <w:rPr>
                <w:rFonts w:ascii="Times New Roman"/>
                <w:sz w:val="28"/>
                <w:szCs w:val="28"/>
              </w:rPr>
            </w:pPr>
            <w:proofErr w:type="gramStart"/>
            <w:r w:rsidRPr="000140B3">
              <w:rPr>
                <w:rFonts w:ascii="Times New Roman"/>
                <w:sz w:val="28"/>
                <w:szCs w:val="28"/>
              </w:rPr>
              <w:t>華潤置地</w:t>
            </w:r>
            <w:proofErr w:type="gramEnd"/>
          </w:p>
        </w:tc>
        <w:tc>
          <w:tcPr>
            <w:tcW w:w="3727" w:type="dxa"/>
          </w:tcPr>
          <w:p w:rsidR="0064621B" w:rsidRPr="000140B3" w:rsidRDefault="0064621B" w:rsidP="00EC5AF2">
            <w:pPr>
              <w:overflowPunct/>
              <w:autoSpaceDE/>
              <w:autoSpaceDN/>
              <w:spacing w:line="400" w:lineRule="exact"/>
              <w:jc w:val="center"/>
              <w:rPr>
                <w:rFonts w:ascii="Times New Roman"/>
                <w:sz w:val="28"/>
                <w:szCs w:val="28"/>
              </w:rPr>
            </w:pPr>
            <w:r w:rsidRPr="000140B3">
              <w:rPr>
                <w:rFonts w:ascii="Times New Roman"/>
                <w:sz w:val="28"/>
                <w:szCs w:val="28"/>
              </w:rPr>
              <w:t>1.76</w:t>
            </w:r>
          </w:p>
        </w:tc>
      </w:tr>
      <w:tr w:rsidR="0064621B" w:rsidRPr="000140B3" w:rsidTr="00FC43F4">
        <w:trPr>
          <w:trHeight w:val="397"/>
        </w:trPr>
        <w:tc>
          <w:tcPr>
            <w:tcW w:w="1192" w:type="dxa"/>
          </w:tcPr>
          <w:p w:rsidR="0064621B" w:rsidRPr="000140B3" w:rsidRDefault="0064621B" w:rsidP="00EC5AF2">
            <w:pPr>
              <w:overflowPunct/>
              <w:autoSpaceDE/>
              <w:autoSpaceDN/>
              <w:spacing w:line="400" w:lineRule="exact"/>
              <w:jc w:val="center"/>
              <w:rPr>
                <w:rFonts w:ascii="Times New Roman"/>
                <w:sz w:val="28"/>
                <w:szCs w:val="28"/>
              </w:rPr>
            </w:pPr>
            <w:r w:rsidRPr="000140B3">
              <w:rPr>
                <w:rFonts w:ascii="Times New Roman"/>
                <w:sz w:val="28"/>
                <w:szCs w:val="28"/>
              </w:rPr>
              <w:t>3</w:t>
            </w:r>
          </w:p>
        </w:tc>
        <w:tc>
          <w:tcPr>
            <w:tcW w:w="3875" w:type="dxa"/>
          </w:tcPr>
          <w:p w:rsidR="0064621B" w:rsidRPr="000140B3" w:rsidRDefault="0064621B" w:rsidP="00EC5AF2">
            <w:pPr>
              <w:overflowPunct/>
              <w:autoSpaceDE/>
              <w:autoSpaceDN/>
              <w:spacing w:line="400" w:lineRule="exact"/>
              <w:rPr>
                <w:rFonts w:ascii="Times New Roman"/>
                <w:sz w:val="28"/>
                <w:szCs w:val="28"/>
              </w:rPr>
            </w:pPr>
            <w:r w:rsidRPr="000140B3">
              <w:rPr>
                <w:rFonts w:ascii="Times New Roman"/>
                <w:sz w:val="28"/>
                <w:szCs w:val="28"/>
              </w:rPr>
              <w:t>保利發展</w:t>
            </w:r>
          </w:p>
        </w:tc>
        <w:tc>
          <w:tcPr>
            <w:tcW w:w="3727" w:type="dxa"/>
          </w:tcPr>
          <w:p w:rsidR="0064621B" w:rsidRPr="000140B3" w:rsidRDefault="0064621B" w:rsidP="00EC5AF2">
            <w:pPr>
              <w:overflowPunct/>
              <w:autoSpaceDE/>
              <w:autoSpaceDN/>
              <w:spacing w:line="400" w:lineRule="exact"/>
              <w:jc w:val="center"/>
              <w:rPr>
                <w:rFonts w:ascii="Times New Roman"/>
                <w:sz w:val="28"/>
                <w:szCs w:val="28"/>
              </w:rPr>
            </w:pPr>
            <w:r w:rsidRPr="000140B3">
              <w:rPr>
                <w:rFonts w:ascii="Times New Roman"/>
                <w:sz w:val="28"/>
                <w:szCs w:val="28"/>
              </w:rPr>
              <w:t>1.07</w:t>
            </w:r>
          </w:p>
        </w:tc>
      </w:tr>
      <w:tr w:rsidR="0064621B" w:rsidRPr="000140B3" w:rsidTr="00FC43F4">
        <w:trPr>
          <w:trHeight w:val="397"/>
        </w:trPr>
        <w:tc>
          <w:tcPr>
            <w:tcW w:w="1192" w:type="dxa"/>
          </w:tcPr>
          <w:p w:rsidR="0064621B" w:rsidRPr="000140B3" w:rsidRDefault="0064621B" w:rsidP="00EC5AF2">
            <w:pPr>
              <w:overflowPunct/>
              <w:autoSpaceDE/>
              <w:autoSpaceDN/>
              <w:spacing w:line="400" w:lineRule="exact"/>
              <w:jc w:val="center"/>
              <w:rPr>
                <w:rFonts w:ascii="Times New Roman"/>
                <w:sz w:val="28"/>
                <w:szCs w:val="28"/>
              </w:rPr>
            </w:pPr>
            <w:r w:rsidRPr="000140B3">
              <w:rPr>
                <w:rFonts w:ascii="Times New Roman"/>
                <w:sz w:val="28"/>
                <w:szCs w:val="28"/>
              </w:rPr>
              <w:t>4</w:t>
            </w:r>
          </w:p>
        </w:tc>
        <w:tc>
          <w:tcPr>
            <w:tcW w:w="3875" w:type="dxa"/>
          </w:tcPr>
          <w:p w:rsidR="0064621B" w:rsidRPr="000140B3" w:rsidRDefault="0064621B" w:rsidP="00EC5AF2">
            <w:pPr>
              <w:overflowPunct/>
              <w:autoSpaceDE/>
              <w:autoSpaceDN/>
              <w:spacing w:line="400" w:lineRule="exact"/>
              <w:rPr>
                <w:rFonts w:ascii="Times New Roman"/>
                <w:sz w:val="28"/>
                <w:szCs w:val="28"/>
              </w:rPr>
            </w:pPr>
            <w:r w:rsidRPr="000140B3">
              <w:rPr>
                <w:rFonts w:ascii="Times New Roman"/>
                <w:sz w:val="28"/>
                <w:szCs w:val="28"/>
              </w:rPr>
              <w:t>招商局蛇口工業區控股公司</w:t>
            </w:r>
          </w:p>
        </w:tc>
        <w:tc>
          <w:tcPr>
            <w:tcW w:w="3727" w:type="dxa"/>
          </w:tcPr>
          <w:p w:rsidR="0064621B" w:rsidRPr="000140B3" w:rsidRDefault="0064621B" w:rsidP="00EC5AF2">
            <w:pPr>
              <w:overflowPunct/>
              <w:autoSpaceDE/>
              <w:autoSpaceDN/>
              <w:spacing w:line="400" w:lineRule="exact"/>
              <w:jc w:val="center"/>
              <w:rPr>
                <w:rFonts w:ascii="Times New Roman"/>
                <w:sz w:val="28"/>
                <w:szCs w:val="28"/>
              </w:rPr>
            </w:pPr>
            <w:r w:rsidRPr="000140B3">
              <w:rPr>
                <w:rFonts w:ascii="Times New Roman"/>
                <w:sz w:val="28"/>
                <w:szCs w:val="28"/>
              </w:rPr>
              <w:t>0.41</w:t>
            </w:r>
          </w:p>
        </w:tc>
      </w:tr>
      <w:tr w:rsidR="0064621B" w:rsidRPr="000140B3" w:rsidTr="00FC43F4">
        <w:trPr>
          <w:trHeight w:val="397"/>
        </w:trPr>
        <w:tc>
          <w:tcPr>
            <w:tcW w:w="1192" w:type="dxa"/>
          </w:tcPr>
          <w:p w:rsidR="0064621B" w:rsidRPr="000140B3" w:rsidRDefault="0064621B" w:rsidP="00EC5AF2">
            <w:pPr>
              <w:overflowPunct/>
              <w:autoSpaceDE/>
              <w:autoSpaceDN/>
              <w:spacing w:line="400" w:lineRule="exact"/>
              <w:jc w:val="center"/>
              <w:rPr>
                <w:rFonts w:ascii="Times New Roman"/>
                <w:sz w:val="28"/>
                <w:szCs w:val="28"/>
              </w:rPr>
            </w:pPr>
            <w:r w:rsidRPr="000140B3">
              <w:rPr>
                <w:rFonts w:ascii="Times New Roman"/>
                <w:sz w:val="28"/>
                <w:szCs w:val="28"/>
              </w:rPr>
              <w:t>5</w:t>
            </w:r>
          </w:p>
        </w:tc>
        <w:tc>
          <w:tcPr>
            <w:tcW w:w="3875" w:type="dxa"/>
          </w:tcPr>
          <w:p w:rsidR="0064621B" w:rsidRPr="000140B3" w:rsidRDefault="0064621B" w:rsidP="00EC5AF2">
            <w:pPr>
              <w:overflowPunct/>
              <w:autoSpaceDE/>
              <w:autoSpaceDN/>
              <w:spacing w:line="400" w:lineRule="exact"/>
              <w:rPr>
                <w:rFonts w:ascii="Times New Roman"/>
                <w:sz w:val="28"/>
                <w:szCs w:val="28"/>
              </w:rPr>
            </w:pPr>
            <w:r w:rsidRPr="000140B3">
              <w:rPr>
                <w:rFonts w:ascii="Times New Roman"/>
                <w:sz w:val="28"/>
                <w:szCs w:val="28"/>
              </w:rPr>
              <w:t>龍湖地產</w:t>
            </w:r>
          </w:p>
        </w:tc>
        <w:tc>
          <w:tcPr>
            <w:tcW w:w="3727" w:type="dxa"/>
          </w:tcPr>
          <w:p w:rsidR="0064621B" w:rsidRPr="000140B3" w:rsidRDefault="0064621B" w:rsidP="00EC5AF2">
            <w:pPr>
              <w:overflowPunct/>
              <w:autoSpaceDE/>
              <w:autoSpaceDN/>
              <w:spacing w:line="400" w:lineRule="exact"/>
              <w:jc w:val="center"/>
              <w:rPr>
                <w:rFonts w:ascii="Times New Roman"/>
                <w:sz w:val="28"/>
                <w:szCs w:val="28"/>
              </w:rPr>
            </w:pPr>
            <w:r w:rsidRPr="000140B3">
              <w:rPr>
                <w:rFonts w:ascii="Times New Roman"/>
                <w:sz w:val="28"/>
                <w:szCs w:val="28"/>
              </w:rPr>
              <w:t>0.14</w:t>
            </w:r>
          </w:p>
        </w:tc>
      </w:tr>
      <w:tr w:rsidR="0064621B" w:rsidRPr="000140B3" w:rsidTr="00FC43F4">
        <w:trPr>
          <w:trHeight w:val="397"/>
        </w:trPr>
        <w:tc>
          <w:tcPr>
            <w:tcW w:w="1192" w:type="dxa"/>
          </w:tcPr>
          <w:p w:rsidR="0064621B" w:rsidRPr="000140B3" w:rsidRDefault="0064621B" w:rsidP="00EC5AF2">
            <w:pPr>
              <w:overflowPunct/>
              <w:autoSpaceDE/>
              <w:autoSpaceDN/>
              <w:spacing w:line="400" w:lineRule="exact"/>
              <w:jc w:val="center"/>
              <w:rPr>
                <w:rFonts w:ascii="Times New Roman"/>
                <w:sz w:val="28"/>
                <w:szCs w:val="28"/>
              </w:rPr>
            </w:pPr>
            <w:r w:rsidRPr="000140B3">
              <w:rPr>
                <w:rFonts w:ascii="Times New Roman"/>
                <w:sz w:val="28"/>
                <w:szCs w:val="28"/>
              </w:rPr>
              <w:t>6</w:t>
            </w:r>
          </w:p>
        </w:tc>
        <w:tc>
          <w:tcPr>
            <w:tcW w:w="3875" w:type="dxa"/>
          </w:tcPr>
          <w:p w:rsidR="0064621B" w:rsidRPr="000140B3" w:rsidRDefault="0064621B" w:rsidP="00EC5AF2">
            <w:pPr>
              <w:overflowPunct/>
              <w:autoSpaceDE/>
              <w:autoSpaceDN/>
              <w:spacing w:line="400" w:lineRule="exact"/>
              <w:rPr>
                <w:rFonts w:ascii="Times New Roman"/>
                <w:sz w:val="28"/>
                <w:szCs w:val="28"/>
              </w:rPr>
            </w:pPr>
            <w:r w:rsidRPr="000140B3">
              <w:rPr>
                <w:rFonts w:ascii="Times New Roman"/>
                <w:sz w:val="28"/>
                <w:szCs w:val="28"/>
              </w:rPr>
              <w:t>中國金茂</w:t>
            </w:r>
          </w:p>
        </w:tc>
        <w:tc>
          <w:tcPr>
            <w:tcW w:w="3727" w:type="dxa"/>
          </w:tcPr>
          <w:p w:rsidR="0064621B" w:rsidRPr="000140B3" w:rsidRDefault="0064621B" w:rsidP="00EC5AF2">
            <w:pPr>
              <w:overflowPunct/>
              <w:autoSpaceDE/>
              <w:autoSpaceDN/>
              <w:spacing w:line="400" w:lineRule="exact"/>
              <w:jc w:val="center"/>
              <w:rPr>
                <w:rFonts w:ascii="Times New Roman"/>
                <w:sz w:val="28"/>
                <w:szCs w:val="28"/>
              </w:rPr>
            </w:pPr>
            <w:r w:rsidRPr="000140B3">
              <w:rPr>
                <w:rFonts w:ascii="Times New Roman"/>
                <w:sz w:val="28"/>
                <w:szCs w:val="28"/>
              </w:rPr>
              <w:t>0.09</w:t>
            </w:r>
          </w:p>
        </w:tc>
      </w:tr>
      <w:tr w:rsidR="0064621B" w:rsidRPr="000140B3" w:rsidTr="00FC43F4">
        <w:trPr>
          <w:trHeight w:val="397"/>
        </w:trPr>
        <w:tc>
          <w:tcPr>
            <w:tcW w:w="1192" w:type="dxa"/>
          </w:tcPr>
          <w:p w:rsidR="0064621B" w:rsidRPr="000140B3" w:rsidRDefault="0064621B" w:rsidP="00EC5AF2">
            <w:pPr>
              <w:overflowPunct/>
              <w:autoSpaceDE/>
              <w:autoSpaceDN/>
              <w:spacing w:line="400" w:lineRule="exact"/>
              <w:jc w:val="center"/>
              <w:rPr>
                <w:rFonts w:ascii="Times New Roman"/>
                <w:sz w:val="28"/>
                <w:szCs w:val="28"/>
              </w:rPr>
            </w:pPr>
            <w:r w:rsidRPr="000140B3">
              <w:rPr>
                <w:rFonts w:ascii="Times New Roman"/>
                <w:sz w:val="28"/>
                <w:szCs w:val="28"/>
              </w:rPr>
              <w:t>7</w:t>
            </w:r>
          </w:p>
        </w:tc>
        <w:tc>
          <w:tcPr>
            <w:tcW w:w="3875" w:type="dxa"/>
          </w:tcPr>
          <w:p w:rsidR="0064621B" w:rsidRPr="000140B3" w:rsidRDefault="0064621B" w:rsidP="00EC5AF2">
            <w:pPr>
              <w:overflowPunct/>
              <w:autoSpaceDE/>
              <w:autoSpaceDN/>
              <w:spacing w:line="400" w:lineRule="exact"/>
              <w:rPr>
                <w:rFonts w:ascii="Times New Roman"/>
                <w:sz w:val="28"/>
                <w:szCs w:val="28"/>
              </w:rPr>
            </w:pPr>
            <w:r w:rsidRPr="000140B3">
              <w:rPr>
                <w:rFonts w:ascii="Times New Roman"/>
                <w:sz w:val="28"/>
                <w:szCs w:val="28"/>
              </w:rPr>
              <w:t>其他</w:t>
            </w:r>
          </w:p>
        </w:tc>
        <w:tc>
          <w:tcPr>
            <w:tcW w:w="3727" w:type="dxa"/>
          </w:tcPr>
          <w:p w:rsidR="0064621B" w:rsidRPr="000140B3" w:rsidRDefault="0064621B" w:rsidP="00EC5AF2">
            <w:pPr>
              <w:overflowPunct/>
              <w:autoSpaceDE/>
              <w:autoSpaceDN/>
              <w:spacing w:line="400" w:lineRule="exact"/>
              <w:jc w:val="center"/>
              <w:rPr>
                <w:rFonts w:ascii="Times New Roman"/>
                <w:sz w:val="28"/>
                <w:szCs w:val="28"/>
              </w:rPr>
            </w:pPr>
            <w:r w:rsidRPr="000140B3">
              <w:rPr>
                <w:rFonts w:ascii="Times New Roman"/>
                <w:sz w:val="28"/>
                <w:szCs w:val="28"/>
              </w:rPr>
              <w:t>0</w:t>
            </w:r>
          </w:p>
        </w:tc>
      </w:tr>
      <w:tr w:rsidR="0064621B" w:rsidRPr="000140B3" w:rsidTr="00FC43F4">
        <w:trPr>
          <w:trHeight w:val="397"/>
        </w:trPr>
        <w:tc>
          <w:tcPr>
            <w:tcW w:w="1192" w:type="dxa"/>
          </w:tcPr>
          <w:p w:rsidR="0064621B" w:rsidRPr="000140B3" w:rsidRDefault="0064621B" w:rsidP="00EC5AF2">
            <w:pPr>
              <w:overflowPunct/>
              <w:autoSpaceDE/>
              <w:autoSpaceDN/>
              <w:spacing w:line="400" w:lineRule="exact"/>
              <w:rPr>
                <w:rFonts w:ascii="Times New Roman"/>
                <w:sz w:val="28"/>
                <w:szCs w:val="28"/>
              </w:rPr>
            </w:pPr>
          </w:p>
        </w:tc>
        <w:tc>
          <w:tcPr>
            <w:tcW w:w="3875" w:type="dxa"/>
          </w:tcPr>
          <w:p w:rsidR="0064621B" w:rsidRPr="000140B3" w:rsidRDefault="0064621B" w:rsidP="00EC5AF2">
            <w:pPr>
              <w:overflowPunct/>
              <w:autoSpaceDE/>
              <w:autoSpaceDN/>
              <w:spacing w:line="400" w:lineRule="exact"/>
              <w:rPr>
                <w:rFonts w:ascii="Times New Roman"/>
                <w:sz w:val="28"/>
                <w:szCs w:val="28"/>
              </w:rPr>
            </w:pPr>
            <w:r w:rsidRPr="000140B3">
              <w:rPr>
                <w:rFonts w:ascii="Times New Roman"/>
                <w:sz w:val="28"/>
                <w:szCs w:val="28"/>
              </w:rPr>
              <w:t>總計</w:t>
            </w:r>
          </w:p>
        </w:tc>
        <w:tc>
          <w:tcPr>
            <w:tcW w:w="3727" w:type="dxa"/>
          </w:tcPr>
          <w:p w:rsidR="0064621B" w:rsidRPr="000140B3" w:rsidRDefault="0064621B" w:rsidP="00EC5AF2">
            <w:pPr>
              <w:overflowPunct/>
              <w:autoSpaceDE/>
              <w:autoSpaceDN/>
              <w:spacing w:line="400" w:lineRule="exact"/>
              <w:jc w:val="center"/>
              <w:rPr>
                <w:rFonts w:ascii="Times New Roman"/>
                <w:sz w:val="28"/>
                <w:szCs w:val="28"/>
              </w:rPr>
            </w:pPr>
            <w:r w:rsidRPr="000140B3">
              <w:rPr>
                <w:rFonts w:ascii="Times New Roman"/>
                <w:sz w:val="28"/>
                <w:szCs w:val="28"/>
              </w:rPr>
              <w:t>6.93</w:t>
            </w:r>
          </w:p>
        </w:tc>
      </w:tr>
    </w:tbl>
    <w:p w:rsidR="0064621B" w:rsidRPr="000140B3" w:rsidRDefault="0064621B" w:rsidP="0064621B">
      <w:pPr>
        <w:overflowPunct/>
        <w:autoSpaceDE/>
        <w:autoSpaceDN/>
        <w:spacing w:line="340" w:lineRule="exact"/>
        <w:ind w:firstLineChars="163" w:firstLine="424"/>
        <w:rPr>
          <w:rFonts w:ascii="Times New Roman"/>
          <w:sz w:val="24"/>
          <w:szCs w:val="24"/>
        </w:rPr>
      </w:pPr>
      <w:proofErr w:type="gramStart"/>
      <w:r w:rsidRPr="000140B3">
        <w:rPr>
          <w:rFonts w:ascii="Times New Roman"/>
          <w:sz w:val="24"/>
          <w:szCs w:val="24"/>
        </w:rPr>
        <w:t>註</w:t>
      </w:r>
      <w:proofErr w:type="gramEnd"/>
      <w:r w:rsidRPr="000140B3">
        <w:rPr>
          <w:rFonts w:ascii="Times New Roman"/>
          <w:sz w:val="24"/>
          <w:szCs w:val="24"/>
        </w:rPr>
        <w:t>：占保險業資金</w:t>
      </w:r>
      <w:r w:rsidRPr="000140B3">
        <w:rPr>
          <w:rFonts w:ascii="Times New Roman"/>
          <w:sz w:val="24"/>
          <w:szCs w:val="24"/>
        </w:rPr>
        <w:t>31</w:t>
      </w:r>
      <w:r w:rsidRPr="000140B3">
        <w:rPr>
          <w:rFonts w:ascii="Times New Roman"/>
          <w:sz w:val="24"/>
          <w:szCs w:val="24"/>
        </w:rPr>
        <w:t>兆</w:t>
      </w:r>
      <w:r w:rsidRPr="000140B3">
        <w:rPr>
          <w:rFonts w:ascii="Times New Roman"/>
          <w:sz w:val="24"/>
          <w:szCs w:val="24"/>
        </w:rPr>
        <w:t>9,312</w:t>
      </w:r>
      <w:r w:rsidRPr="000140B3">
        <w:rPr>
          <w:rFonts w:ascii="Times New Roman"/>
          <w:sz w:val="24"/>
          <w:szCs w:val="24"/>
        </w:rPr>
        <w:t>億元比</w:t>
      </w:r>
      <w:r w:rsidR="00A87E01" w:rsidRPr="000140B3">
        <w:rPr>
          <w:rFonts w:ascii="Times New Roman" w:hint="eastAsia"/>
          <w:sz w:val="24"/>
          <w:szCs w:val="24"/>
        </w:rPr>
        <w:t>率</w:t>
      </w:r>
      <w:r w:rsidRPr="000140B3">
        <w:rPr>
          <w:rFonts w:ascii="Times New Roman"/>
          <w:sz w:val="24"/>
          <w:szCs w:val="24"/>
        </w:rPr>
        <w:t>0.0022%</w:t>
      </w:r>
      <w:r w:rsidRPr="000140B3">
        <w:rPr>
          <w:rFonts w:ascii="Times New Roman"/>
          <w:sz w:val="24"/>
          <w:szCs w:val="24"/>
        </w:rPr>
        <w:t>。</w:t>
      </w:r>
    </w:p>
    <w:p w:rsidR="0064621B" w:rsidRPr="000140B3" w:rsidRDefault="0064621B" w:rsidP="0064621B">
      <w:pPr>
        <w:overflowPunct/>
        <w:autoSpaceDE/>
        <w:autoSpaceDN/>
        <w:spacing w:afterLines="50" w:after="228" w:line="340" w:lineRule="exact"/>
        <w:ind w:firstLineChars="163" w:firstLine="424"/>
        <w:rPr>
          <w:rFonts w:ascii="Times New Roman"/>
          <w:sz w:val="24"/>
          <w:szCs w:val="24"/>
        </w:rPr>
      </w:pPr>
      <w:r w:rsidRPr="000140B3">
        <w:rPr>
          <w:rFonts w:ascii="Times New Roman"/>
          <w:sz w:val="24"/>
          <w:szCs w:val="24"/>
        </w:rPr>
        <w:t>資料來源：金管會。</w:t>
      </w:r>
    </w:p>
    <w:p w:rsidR="0064621B" w:rsidRPr="000140B3" w:rsidRDefault="0064621B" w:rsidP="0064621B">
      <w:pPr>
        <w:pStyle w:val="a4"/>
        <w:jc w:val="center"/>
        <w:rPr>
          <w:rFonts w:ascii="Times New Roman" w:hAnsi="Times New Roman"/>
          <w:b/>
        </w:rPr>
      </w:pPr>
      <w:r w:rsidRPr="000140B3">
        <w:rPr>
          <w:rFonts w:ascii="Times New Roman" w:hAnsi="Times New Roman"/>
          <w:b/>
        </w:rPr>
        <w:t>投信基金對中國大陸</w:t>
      </w:r>
      <w:proofErr w:type="gramStart"/>
      <w:r w:rsidRPr="000140B3">
        <w:rPr>
          <w:rFonts w:ascii="Times New Roman" w:hAnsi="Times New Roman"/>
          <w:b/>
        </w:rPr>
        <w:t>房地產暴險情形</w:t>
      </w:r>
      <w:proofErr w:type="gramEnd"/>
      <w:r w:rsidRPr="000140B3">
        <w:rPr>
          <w:rFonts w:ascii="Times New Roman" w:hAnsi="Times New Roman"/>
          <w:b/>
        </w:rPr>
        <w:t>表</w:t>
      </w:r>
    </w:p>
    <w:p w:rsidR="0064621B" w:rsidRPr="000140B3" w:rsidRDefault="0064621B" w:rsidP="0064621B">
      <w:pPr>
        <w:overflowPunct/>
        <w:autoSpaceDE/>
        <w:autoSpaceDN/>
        <w:spacing w:afterLines="25" w:after="114" w:line="320" w:lineRule="exact"/>
        <w:ind w:left="1242" w:right="238"/>
        <w:jc w:val="right"/>
        <w:rPr>
          <w:rFonts w:ascii="Times New Roman"/>
          <w:sz w:val="24"/>
          <w:szCs w:val="24"/>
        </w:rPr>
      </w:pPr>
      <w:r w:rsidRPr="000140B3">
        <w:rPr>
          <w:rFonts w:ascii="Times New Roman"/>
          <w:sz w:val="24"/>
          <w:szCs w:val="24"/>
        </w:rPr>
        <w:t>單位：新臺幣億元</w:t>
      </w:r>
    </w:p>
    <w:tbl>
      <w:tblPr>
        <w:tblW w:w="9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3"/>
        <w:gridCol w:w="1594"/>
        <w:gridCol w:w="1788"/>
        <w:gridCol w:w="5152"/>
      </w:tblGrid>
      <w:tr w:rsidR="0064621B" w:rsidRPr="000140B3" w:rsidTr="00FC43F4">
        <w:trPr>
          <w:trHeight w:val="391"/>
          <w:jc w:val="center"/>
        </w:trPr>
        <w:tc>
          <w:tcPr>
            <w:tcW w:w="1013" w:type="dxa"/>
            <w:vAlign w:val="center"/>
          </w:tcPr>
          <w:p w:rsidR="0064621B" w:rsidRPr="000140B3" w:rsidRDefault="0064621B" w:rsidP="00EC5AF2">
            <w:pPr>
              <w:jc w:val="center"/>
              <w:rPr>
                <w:rFonts w:ascii="Times New Roman"/>
                <w:sz w:val="28"/>
                <w:szCs w:val="28"/>
              </w:rPr>
            </w:pPr>
            <w:r w:rsidRPr="000140B3">
              <w:rPr>
                <w:rFonts w:ascii="Times New Roman"/>
                <w:w w:val="115"/>
                <w:sz w:val="28"/>
                <w:szCs w:val="28"/>
              </w:rPr>
              <w:t>序號</w:t>
            </w:r>
          </w:p>
        </w:tc>
        <w:tc>
          <w:tcPr>
            <w:tcW w:w="1594" w:type="dxa"/>
            <w:vAlign w:val="center"/>
          </w:tcPr>
          <w:p w:rsidR="0064621B" w:rsidRPr="000140B3" w:rsidRDefault="0064621B" w:rsidP="00EC5AF2">
            <w:pPr>
              <w:jc w:val="center"/>
              <w:rPr>
                <w:rFonts w:ascii="Times New Roman"/>
                <w:sz w:val="28"/>
                <w:szCs w:val="28"/>
              </w:rPr>
            </w:pPr>
            <w:r w:rsidRPr="000140B3">
              <w:rPr>
                <w:rFonts w:ascii="Times New Roman"/>
                <w:w w:val="115"/>
                <w:sz w:val="28"/>
                <w:szCs w:val="28"/>
              </w:rPr>
              <w:t>房產企業</w:t>
            </w:r>
          </w:p>
        </w:tc>
        <w:tc>
          <w:tcPr>
            <w:tcW w:w="1788" w:type="dxa"/>
            <w:vAlign w:val="center"/>
          </w:tcPr>
          <w:p w:rsidR="0064621B" w:rsidRPr="000140B3" w:rsidRDefault="0064621B" w:rsidP="00EC5AF2">
            <w:pPr>
              <w:jc w:val="center"/>
              <w:rPr>
                <w:rFonts w:ascii="Times New Roman"/>
                <w:sz w:val="28"/>
                <w:szCs w:val="28"/>
              </w:rPr>
            </w:pPr>
            <w:r w:rsidRPr="000140B3">
              <w:rPr>
                <w:rFonts w:ascii="Times New Roman"/>
                <w:w w:val="115"/>
                <w:sz w:val="28"/>
                <w:szCs w:val="28"/>
              </w:rPr>
              <w:t>投資金額</w:t>
            </w:r>
          </w:p>
        </w:tc>
        <w:tc>
          <w:tcPr>
            <w:tcW w:w="5152" w:type="dxa"/>
          </w:tcPr>
          <w:p w:rsidR="00FC43F4" w:rsidRPr="000140B3" w:rsidRDefault="0064621B" w:rsidP="00FC43F4">
            <w:pPr>
              <w:ind w:rightChars="-16" w:right="-54"/>
              <w:jc w:val="center"/>
              <w:rPr>
                <w:rFonts w:ascii="Times New Roman"/>
                <w:w w:val="115"/>
                <w:sz w:val="28"/>
                <w:szCs w:val="28"/>
              </w:rPr>
            </w:pPr>
            <w:r w:rsidRPr="000140B3">
              <w:rPr>
                <w:rFonts w:ascii="Times New Roman"/>
                <w:w w:val="115"/>
                <w:sz w:val="28"/>
                <w:szCs w:val="28"/>
              </w:rPr>
              <w:t>占整體基金投資大陸房產企業</w:t>
            </w:r>
          </w:p>
          <w:p w:rsidR="0064621B" w:rsidRPr="000140B3" w:rsidRDefault="0064621B" w:rsidP="00FC43F4">
            <w:pPr>
              <w:ind w:rightChars="-16" w:right="-54"/>
              <w:jc w:val="center"/>
              <w:rPr>
                <w:rFonts w:ascii="Times New Roman"/>
                <w:sz w:val="28"/>
                <w:szCs w:val="28"/>
              </w:rPr>
            </w:pPr>
            <w:proofErr w:type="gramStart"/>
            <w:r w:rsidRPr="000140B3">
              <w:rPr>
                <w:rFonts w:ascii="Times New Roman"/>
                <w:w w:val="115"/>
                <w:sz w:val="28"/>
                <w:szCs w:val="28"/>
              </w:rPr>
              <w:t>暴險金</w:t>
            </w:r>
            <w:r w:rsidRPr="000140B3">
              <w:rPr>
                <w:rFonts w:ascii="Times New Roman"/>
                <w:spacing w:val="-7"/>
                <w:w w:val="110"/>
                <w:sz w:val="28"/>
                <w:szCs w:val="28"/>
              </w:rPr>
              <w:t>額</w:t>
            </w:r>
            <w:proofErr w:type="gramEnd"/>
            <w:r w:rsidRPr="000140B3">
              <w:rPr>
                <w:rFonts w:ascii="Times New Roman"/>
                <w:bCs/>
                <w:spacing w:val="-7"/>
                <w:w w:val="110"/>
                <w:sz w:val="28"/>
                <w:szCs w:val="28"/>
              </w:rPr>
              <w:t>36.58</w:t>
            </w:r>
            <w:r w:rsidRPr="000140B3">
              <w:rPr>
                <w:rFonts w:ascii="Times New Roman"/>
                <w:bCs/>
                <w:spacing w:val="24"/>
                <w:w w:val="110"/>
                <w:sz w:val="28"/>
                <w:szCs w:val="28"/>
              </w:rPr>
              <w:t>億元</w:t>
            </w:r>
            <w:r w:rsidRPr="000140B3">
              <w:rPr>
                <w:rFonts w:ascii="Times New Roman"/>
                <w:spacing w:val="24"/>
                <w:w w:val="110"/>
                <w:sz w:val="28"/>
                <w:szCs w:val="28"/>
              </w:rPr>
              <w:t>之占比</w:t>
            </w:r>
          </w:p>
        </w:tc>
      </w:tr>
      <w:tr w:rsidR="0064621B" w:rsidRPr="000140B3" w:rsidTr="00FC43F4">
        <w:trPr>
          <w:trHeight w:val="331"/>
          <w:jc w:val="center"/>
        </w:trPr>
        <w:tc>
          <w:tcPr>
            <w:tcW w:w="1013" w:type="dxa"/>
          </w:tcPr>
          <w:p w:rsidR="0064621B" w:rsidRPr="000140B3" w:rsidRDefault="0064621B" w:rsidP="00EC5AF2">
            <w:pPr>
              <w:jc w:val="center"/>
              <w:rPr>
                <w:rFonts w:ascii="Times New Roman"/>
                <w:sz w:val="28"/>
                <w:szCs w:val="28"/>
              </w:rPr>
            </w:pPr>
            <w:r w:rsidRPr="000140B3">
              <w:rPr>
                <w:rFonts w:ascii="Times New Roman"/>
                <w:w w:val="109"/>
                <w:sz w:val="28"/>
                <w:szCs w:val="28"/>
              </w:rPr>
              <w:t>1</w:t>
            </w:r>
          </w:p>
        </w:tc>
        <w:tc>
          <w:tcPr>
            <w:tcW w:w="1594" w:type="dxa"/>
          </w:tcPr>
          <w:p w:rsidR="0064621B" w:rsidRPr="000140B3" w:rsidRDefault="0064621B" w:rsidP="00EC5AF2">
            <w:pPr>
              <w:rPr>
                <w:rFonts w:ascii="Times New Roman"/>
                <w:sz w:val="28"/>
                <w:szCs w:val="28"/>
              </w:rPr>
            </w:pPr>
            <w:r w:rsidRPr="000140B3">
              <w:rPr>
                <w:rFonts w:ascii="Times New Roman"/>
                <w:w w:val="115"/>
                <w:sz w:val="28"/>
                <w:szCs w:val="28"/>
              </w:rPr>
              <w:t>越秀地產</w:t>
            </w:r>
          </w:p>
        </w:tc>
        <w:tc>
          <w:tcPr>
            <w:tcW w:w="1788" w:type="dxa"/>
          </w:tcPr>
          <w:p w:rsidR="0064621B" w:rsidRPr="000140B3" w:rsidRDefault="0064621B" w:rsidP="00EC5AF2">
            <w:pPr>
              <w:jc w:val="center"/>
              <w:rPr>
                <w:rFonts w:ascii="Times New Roman"/>
                <w:sz w:val="28"/>
                <w:szCs w:val="28"/>
              </w:rPr>
            </w:pPr>
            <w:r w:rsidRPr="000140B3">
              <w:rPr>
                <w:rFonts w:ascii="Times New Roman"/>
                <w:bCs/>
                <w:w w:val="115"/>
                <w:sz w:val="28"/>
                <w:szCs w:val="28"/>
              </w:rPr>
              <w:t>7.71</w:t>
            </w:r>
          </w:p>
        </w:tc>
        <w:tc>
          <w:tcPr>
            <w:tcW w:w="5152" w:type="dxa"/>
          </w:tcPr>
          <w:p w:rsidR="0064621B" w:rsidRPr="000140B3" w:rsidRDefault="0064621B" w:rsidP="00EC5AF2">
            <w:pPr>
              <w:jc w:val="right"/>
              <w:rPr>
                <w:rFonts w:ascii="Times New Roman"/>
                <w:sz w:val="28"/>
                <w:szCs w:val="28"/>
              </w:rPr>
            </w:pPr>
            <w:r w:rsidRPr="000140B3">
              <w:rPr>
                <w:rFonts w:ascii="Times New Roman"/>
                <w:bCs/>
                <w:w w:val="115"/>
                <w:sz w:val="28"/>
                <w:szCs w:val="28"/>
              </w:rPr>
              <w:t>21.08%</w:t>
            </w:r>
          </w:p>
        </w:tc>
      </w:tr>
      <w:tr w:rsidR="0064621B" w:rsidRPr="000140B3" w:rsidTr="00FC43F4">
        <w:trPr>
          <w:trHeight w:val="331"/>
          <w:jc w:val="center"/>
        </w:trPr>
        <w:tc>
          <w:tcPr>
            <w:tcW w:w="1013" w:type="dxa"/>
          </w:tcPr>
          <w:p w:rsidR="0064621B" w:rsidRPr="000140B3" w:rsidRDefault="0064621B" w:rsidP="00EC5AF2">
            <w:pPr>
              <w:jc w:val="center"/>
              <w:rPr>
                <w:rFonts w:ascii="Times New Roman"/>
                <w:sz w:val="28"/>
                <w:szCs w:val="28"/>
              </w:rPr>
            </w:pPr>
            <w:r w:rsidRPr="000140B3">
              <w:rPr>
                <w:rFonts w:ascii="Times New Roman"/>
                <w:w w:val="103"/>
                <w:sz w:val="28"/>
                <w:szCs w:val="28"/>
              </w:rPr>
              <w:t>2</w:t>
            </w:r>
          </w:p>
        </w:tc>
        <w:tc>
          <w:tcPr>
            <w:tcW w:w="1594" w:type="dxa"/>
          </w:tcPr>
          <w:p w:rsidR="0064621B" w:rsidRPr="000140B3" w:rsidRDefault="0064621B" w:rsidP="00EC5AF2">
            <w:pPr>
              <w:rPr>
                <w:rFonts w:ascii="Times New Roman"/>
                <w:sz w:val="28"/>
                <w:szCs w:val="28"/>
              </w:rPr>
            </w:pPr>
            <w:r w:rsidRPr="000140B3">
              <w:rPr>
                <w:rFonts w:ascii="Times New Roman"/>
                <w:w w:val="110"/>
                <w:sz w:val="28"/>
                <w:szCs w:val="28"/>
              </w:rPr>
              <w:t>萬科地產</w:t>
            </w:r>
          </w:p>
        </w:tc>
        <w:tc>
          <w:tcPr>
            <w:tcW w:w="1788" w:type="dxa"/>
          </w:tcPr>
          <w:p w:rsidR="0064621B" w:rsidRPr="000140B3" w:rsidRDefault="0064621B" w:rsidP="00EC5AF2">
            <w:pPr>
              <w:jc w:val="center"/>
              <w:rPr>
                <w:rFonts w:ascii="Times New Roman"/>
                <w:sz w:val="28"/>
                <w:szCs w:val="28"/>
              </w:rPr>
            </w:pPr>
            <w:r w:rsidRPr="000140B3">
              <w:rPr>
                <w:rFonts w:ascii="Times New Roman"/>
                <w:bCs/>
                <w:w w:val="115"/>
                <w:sz w:val="28"/>
                <w:szCs w:val="28"/>
              </w:rPr>
              <w:t>5.63</w:t>
            </w:r>
          </w:p>
        </w:tc>
        <w:tc>
          <w:tcPr>
            <w:tcW w:w="5152" w:type="dxa"/>
          </w:tcPr>
          <w:p w:rsidR="0064621B" w:rsidRPr="000140B3" w:rsidRDefault="0064621B" w:rsidP="00EC5AF2">
            <w:pPr>
              <w:jc w:val="right"/>
              <w:rPr>
                <w:rFonts w:ascii="Times New Roman"/>
                <w:sz w:val="28"/>
                <w:szCs w:val="28"/>
              </w:rPr>
            </w:pPr>
            <w:r w:rsidRPr="000140B3">
              <w:rPr>
                <w:rFonts w:ascii="Times New Roman"/>
                <w:bCs/>
                <w:w w:val="115"/>
                <w:sz w:val="28"/>
                <w:szCs w:val="28"/>
              </w:rPr>
              <w:t>15.40%</w:t>
            </w:r>
          </w:p>
        </w:tc>
      </w:tr>
      <w:tr w:rsidR="0064621B" w:rsidRPr="000140B3" w:rsidTr="00FC43F4">
        <w:trPr>
          <w:trHeight w:val="331"/>
          <w:jc w:val="center"/>
        </w:trPr>
        <w:tc>
          <w:tcPr>
            <w:tcW w:w="1013" w:type="dxa"/>
          </w:tcPr>
          <w:p w:rsidR="0064621B" w:rsidRPr="000140B3" w:rsidRDefault="0064621B" w:rsidP="00EC5AF2">
            <w:pPr>
              <w:jc w:val="center"/>
              <w:rPr>
                <w:rFonts w:ascii="Times New Roman"/>
                <w:sz w:val="28"/>
                <w:szCs w:val="28"/>
              </w:rPr>
            </w:pPr>
            <w:r w:rsidRPr="000140B3">
              <w:rPr>
                <w:rFonts w:ascii="Times New Roman"/>
                <w:w w:val="103"/>
                <w:sz w:val="28"/>
                <w:szCs w:val="28"/>
              </w:rPr>
              <w:t>3</w:t>
            </w:r>
          </w:p>
        </w:tc>
        <w:tc>
          <w:tcPr>
            <w:tcW w:w="1594" w:type="dxa"/>
          </w:tcPr>
          <w:p w:rsidR="0064621B" w:rsidRPr="000140B3" w:rsidRDefault="0064621B" w:rsidP="00EC5AF2">
            <w:pPr>
              <w:rPr>
                <w:rFonts w:ascii="Times New Roman"/>
                <w:sz w:val="28"/>
                <w:szCs w:val="28"/>
              </w:rPr>
            </w:pPr>
            <w:r w:rsidRPr="000140B3">
              <w:rPr>
                <w:rFonts w:ascii="Times New Roman"/>
                <w:w w:val="105"/>
                <w:sz w:val="28"/>
                <w:szCs w:val="28"/>
              </w:rPr>
              <w:t>碧</w:t>
            </w:r>
            <w:proofErr w:type="gramStart"/>
            <w:r w:rsidRPr="000140B3">
              <w:rPr>
                <w:rFonts w:ascii="Times New Roman"/>
                <w:w w:val="105"/>
                <w:sz w:val="28"/>
                <w:szCs w:val="28"/>
              </w:rPr>
              <w:t>桂園</w:t>
            </w:r>
            <w:proofErr w:type="gramEnd"/>
          </w:p>
        </w:tc>
        <w:tc>
          <w:tcPr>
            <w:tcW w:w="1788" w:type="dxa"/>
          </w:tcPr>
          <w:p w:rsidR="0064621B" w:rsidRPr="000140B3" w:rsidRDefault="0064621B" w:rsidP="00EC5AF2">
            <w:pPr>
              <w:jc w:val="center"/>
              <w:rPr>
                <w:rFonts w:ascii="Times New Roman"/>
                <w:sz w:val="28"/>
                <w:szCs w:val="28"/>
              </w:rPr>
            </w:pPr>
            <w:r w:rsidRPr="000140B3">
              <w:rPr>
                <w:rFonts w:ascii="Times New Roman"/>
                <w:bCs/>
                <w:w w:val="115"/>
                <w:sz w:val="28"/>
                <w:szCs w:val="28"/>
              </w:rPr>
              <w:t>0.65</w:t>
            </w:r>
          </w:p>
        </w:tc>
        <w:tc>
          <w:tcPr>
            <w:tcW w:w="5152" w:type="dxa"/>
          </w:tcPr>
          <w:p w:rsidR="0064621B" w:rsidRPr="000140B3" w:rsidRDefault="0064621B" w:rsidP="00EC5AF2">
            <w:pPr>
              <w:jc w:val="right"/>
              <w:rPr>
                <w:rFonts w:ascii="Times New Roman"/>
                <w:sz w:val="28"/>
                <w:szCs w:val="28"/>
              </w:rPr>
            </w:pPr>
            <w:r w:rsidRPr="000140B3">
              <w:rPr>
                <w:rFonts w:ascii="Times New Roman"/>
                <w:bCs/>
                <w:w w:val="115"/>
                <w:sz w:val="28"/>
                <w:szCs w:val="28"/>
              </w:rPr>
              <w:t>1.78%</w:t>
            </w:r>
          </w:p>
        </w:tc>
      </w:tr>
      <w:tr w:rsidR="0064621B" w:rsidRPr="000140B3" w:rsidTr="00FC43F4">
        <w:trPr>
          <w:trHeight w:val="331"/>
          <w:jc w:val="center"/>
        </w:trPr>
        <w:tc>
          <w:tcPr>
            <w:tcW w:w="1013" w:type="dxa"/>
          </w:tcPr>
          <w:p w:rsidR="0064621B" w:rsidRPr="000140B3" w:rsidRDefault="0064621B" w:rsidP="00EC5AF2">
            <w:pPr>
              <w:jc w:val="center"/>
              <w:rPr>
                <w:rFonts w:ascii="Times New Roman"/>
                <w:sz w:val="28"/>
                <w:szCs w:val="28"/>
              </w:rPr>
            </w:pPr>
            <w:r w:rsidRPr="000140B3">
              <w:rPr>
                <w:rFonts w:ascii="Times New Roman"/>
                <w:w w:val="110"/>
                <w:sz w:val="28"/>
                <w:szCs w:val="28"/>
              </w:rPr>
              <w:t>4</w:t>
            </w:r>
          </w:p>
        </w:tc>
        <w:tc>
          <w:tcPr>
            <w:tcW w:w="1594" w:type="dxa"/>
          </w:tcPr>
          <w:p w:rsidR="0064621B" w:rsidRPr="000140B3" w:rsidRDefault="0064621B" w:rsidP="00EC5AF2">
            <w:pPr>
              <w:rPr>
                <w:rFonts w:ascii="Times New Roman"/>
                <w:sz w:val="28"/>
                <w:szCs w:val="28"/>
              </w:rPr>
            </w:pPr>
            <w:r w:rsidRPr="000140B3">
              <w:rPr>
                <w:rFonts w:ascii="Times New Roman"/>
                <w:w w:val="115"/>
                <w:sz w:val="28"/>
                <w:szCs w:val="28"/>
              </w:rPr>
              <w:t>龍湖集團</w:t>
            </w:r>
          </w:p>
        </w:tc>
        <w:tc>
          <w:tcPr>
            <w:tcW w:w="1788" w:type="dxa"/>
          </w:tcPr>
          <w:p w:rsidR="0064621B" w:rsidRPr="000140B3" w:rsidRDefault="0064621B" w:rsidP="00EC5AF2">
            <w:pPr>
              <w:jc w:val="center"/>
              <w:rPr>
                <w:rFonts w:ascii="Times New Roman"/>
                <w:sz w:val="28"/>
                <w:szCs w:val="28"/>
              </w:rPr>
            </w:pPr>
            <w:r w:rsidRPr="000140B3">
              <w:rPr>
                <w:rFonts w:ascii="Times New Roman"/>
                <w:bCs/>
                <w:w w:val="115"/>
                <w:sz w:val="28"/>
                <w:szCs w:val="28"/>
              </w:rPr>
              <w:t>2.95</w:t>
            </w:r>
          </w:p>
        </w:tc>
        <w:tc>
          <w:tcPr>
            <w:tcW w:w="5152" w:type="dxa"/>
          </w:tcPr>
          <w:p w:rsidR="0064621B" w:rsidRPr="000140B3" w:rsidRDefault="0064621B" w:rsidP="00EC5AF2">
            <w:pPr>
              <w:jc w:val="right"/>
              <w:rPr>
                <w:rFonts w:ascii="Times New Roman"/>
                <w:sz w:val="28"/>
                <w:szCs w:val="28"/>
              </w:rPr>
            </w:pPr>
            <w:r w:rsidRPr="000140B3">
              <w:rPr>
                <w:rFonts w:ascii="Times New Roman"/>
                <w:bCs/>
                <w:w w:val="115"/>
                <w:sz w:val="28"/>
                <w:szCs w:val="28"/>
              </w:rPr>
              <w:t>8.07%</w:t>
            </w:r>
          </w:p>
        </w:tc>
      </w:tr>
      <w:tr w:rsidR="0064621B" w:rsidRPr="000140B3" w:rsidTr="00FC43F4">
        <w:trPr>
          <w:trHeight w:val="335"/>
          <w:jc w:val="center"/>
        </w:trPr>
        <w:tc>
          <w:tcPr>
            <w:tcW w:w="1013" w:type="dxa"/>
          </w:tcPr>
          <w:p w:rsidR="0064621B" w:rsidRPr="000140B3" w:rsidRDefault="0064621B" w:rsidP="00EC5AF2">
            <w:pPr>
              <w:jc w:val="center"/>
              <w:rPr>
                <w:rFonts w:ascii="Times New Roman"/>
                <w:sz w:val="28"/>
                <w:szCs w:val="28"/>
              </w:rPr>
            </w:pPr>
            <w:r w:rsidRPr="000140B3">
              <w:rPr>
                <w:rFonts w:ascii="Times New Roman"/>
                <w:w w:val="103"/>
                <w:sz w:val="28"/>
                <w:szCs w:val="28"/>
              </w:rPr>
              <w:t>5</w:t>
            </w:r>
          </w:p>
        </w:tc>
        <w:tc>
          <w:tcPr>
            <w:tcW w:w="1594" w:type="dxa"/>
          </w:tcPr>
          <w:p w:rsidR="0064621B" w:rsidRPr="000140B3" w:rsidRDefault="0064621B" w:rsidP="00EC5AF2">
            <w:pPr>
              <w:rPr>
                <w:rFonts w:ascii="Times New Roman"/>
                <w:sz w:val="28"/>
                <w:szCs w:val="28"/>
              </w:rPr>
            </w:pPr>
            <w:proofErr w:type="gramStart"/>
            <w:r w:rsidRPr="000140B3">
              <w:rPr>
                <w:rFonts w:ascii="Times New Roman"/>
                <w:w w:val="115"/>
                <w:sz w:val="28"/>
                <w:szCs w:val="28"/>
              </w:rPr>
              <w:t>華潤置地</w:t>
            </w:r>
            <w:proofErr w:type="gramEnd"/>
          </w:p>
        </w:tc>
        <w:tc>
          <w:tcPr>
            <w:tcW w:w="1788" w:type="dxa"/>
          </w:tcPr>
          <w:p w:rsidR="0064621B" w:rsidRPr="000140B3" w:rsidRDefault="0064621B" w:rsidP="00EC5AF2">
            <w:pPr>
              <w:jc w:val="center"/>
              <w:rPr>
                <w:rFonts w:ascii="Times New Roman"/>
                <w:sz w:val="28"/>
                <w:szCs w:val="28"/>
              </w:rPr>
            </w:pPr>
            <w:r w:rsidRPr="000140B3">
              <w:rPr>
                <w:rFonts w:ascii="Times New Roman"/>
                <w:bCs/>
                <w:w w:val="115"/>
                <w:sz w:val="28"/>
                <w:szCs w:val="28"/>
              </w:rPr>
              <w:t>2.38</w:t>
            </w:r>
          </w:p>
        </w:tc>
        <w:tc>
          <w:tcPr>
            <w:tcW w:w="5152" w:type="dxa"/>
          </w:tcPr>
          <w:p w:rsidR="0064621B" w:rsidRPr="000140B3" w:rsidRDefault="0064621B" w:rsidP="00EC5AF2">
            <w:pPr>
              <w:jc w:val="right"/>
              <w:rPr>
                <w:rFonts w:ascii="Times New Roman"/>
                <w:sz w:val="28"/>
                <w:szCs w:val="28"/>
              </w:rPr>
            </w:pPr>
            <w:r w:rsidRPr="000140B3">
              <w:rPr>
                <w:rFonts w:ascii="Times New Roman"/>
                <w:bCs/>
                <w:w w:val="115"/>
                <w:sz w:val="28"/>
                <w:szCs w:val="28"/>
              </w:rPr>
              <w:t>6.49%</w:t>
            </w:r>
          </w:p>
        </w:tc>
      </w:tr>
    </w:tbl>
    <w:p w:rsidR="0064621B" w:rsidRPr="000140B3" w:rsidRDefault="0064621B" w:rsidP="0064621B">
      <w:pPr>
        <w:pStyle w:val="affb"/>
        <w:spacing w:afterLines="50" w:after="228" w:line="340" w:lineRule="exact"/>
        <w:ind w:left="0"/>
        <w:jc w:val="both"/>
        <w:rPr>
          <w:bCs/>
          <w:sz w:val="24"/>
        </w:rPr>
      </w:pPr>
      <w:r w:rsidRPr="000140B3">
        <w:rPr>
          <w:bCs/>
          <w:sz w:val="24"/>
        </w:rPr>
        <w:t>資料來源：金管會。</w:t>
      </w:r>
    </w:p>
    <w:p w:rsidR="0064621B" w:rsidRPr="000140B3" w:rsidRDefault="0064621B" w:rsidP="0064621B">
      <w:pPr>
        <w:pStyle w:val="a4"/>
        <w:jc w:val="center"/>
        <w:rPr>
          <w:rFonts w:ascii="Times New Roman" w:hAnsi="Times New Roman"/>
          <w:b/>
          <w:sz w:val="24"/>
          <w:szCs w:val="24"/>
        </w:rPr>
      </w:pPr>
      <w:r w:rsidRPr="000140B3">
        <w:rPr>
          <w:rFonts w:ascii="Times New Roman" w:hAnsi="Times New Roman"/>
          <w:b/>
        </w:rPr>
        <w:t>國人對中國大陸</w:t>
      </w:r>
      <w:proofErr w:type="gramStart"/>
      <w:r w:rsidRPr="000140B3">
        <w:rPr>
          <w:rFonts w:ascii="Times New Roman" w:hAnsi="Times New Roman"/>
          <w:b/>
        </w:rPr>
        <w:t>房地產暴險情形</w:t>
      </w:r>
      <w:proofErr w:type="gramEnd"/>
    </w:p>
    <w:p w:rsidR="0064621B" w:rsidRPr="000140B3" w:rsidRDefault="0064621B" w:rsidP="0064621B">
      <w:pPr>
        <w:pStyle w:val="affb"/>
        <w:spacing w:afterLines="25" w:after="114" w:line="340" w:lineRule="exact"/>
        <w:ind w:left="845" w:rightChars="41" w:right="139"/>
        <w:jc w:val="right"/>
        <w:rPr>
          <w:bCs/>
          <w:sz w:val="24"/>
        </w:rPr>
      </w:pPr>
      <w:r w:rsidRPr="000140B3">
        <w:rPr>
          <w:bCs/>
          <w:sz w:val="24"/>
        </w:rPr>
        <w:t>單位</w:t>
      </w:r>
      <w:r w:rsidRPr="000140B3">
        <w:rPr>
          <w:bCs/>
          <w:sz w:val="24"/>
        </w:rPr>
        <w:t>:</w:t>
      </w:r>
      <w:r w:rsidRPr="000140B3">
        <w:rPr>
          <w:bCs/>
          <w:sz w:val="24"/>
        </w:rPr>
        <w:t>新臺幣億元</w:t>
      </w:r>
    </w:p>
    <w:tbl>
      <w:tblPr>
        <w:tblW w:w="954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233"/>
        <w:gridCol w:w="1697"/>
        <w:gridCol w:w="4610"/>
      </w:tblGrid>
      <w:tr w:rsidR="0064621B" w:rsidRPr="000140B3" w:rsidTr="00EC5AF2">
        <w:trPr>
          <w:trHeight w:val="320"/>
          <w:tblHeader/>
          <w:jc w:val="center"/>
        </w:trPr>
        <w:tc>
          <w:tcPr>
            <w:tcW w:w="3233" w:type="dxa"/>
            <w:vAlign w:val="center"/>
          </w:tcPr>
          <w:p w:rsidR="0064621B" w:rsidRPr="000140B3" w:rsidRDefault="0064621B" w:rsidP="00EC5AF2">
            <w:pPr>
              <w:jc w:val="center"/>
              <w:rPr>
                <w:rFonts w:ascii="Times New Roman"/>
                <w:w w:val="115"/>
                <w:sz w:val="28"/>
                <w:szCs w:val="28"/>
              </w:rPr>
            </w:pPr>
            <w:r w:rsidRPr="000140B3">
              <w:rPr>
                <w:rFonts w:ascii="Times New Roman"/>
                <w:w w:val="115"/>
                <w:sz w:val="28"/>
                <w:szCs w:val="28"/>
              </w:rPr>
              <w:t>房產企業</w:t>
            </w:r>
          </w:p>
        </w:tc>
        <w:tc>
          <w:tcPr>
            <w:tcW w:w="1697" w:type="dxa"/>
            <w:vAlign w:val="center"/>
          </w:tcPr>
          <w:p w:rsidR="0064621B" w:rsidRPr="000140B3" w:rsidRDefault="0064621B" w:rsidP="00EC5AF2">
            <w:pPr>
              <w:jc w:val="center"/>
              <w:rPr>
                <w:rFonts w:ascii="Times New Roman"/>
                <w:w w:val="115"/>
                <w:sz w:val="28"/>
                <w:szCs w:val="28"/>
              </w:rPr>
            </w:pPr>
            <w:r w:rsidRPr="000140B3">
              <w:rPr>
                <w:rFonts w:ascii="Times New Roman"/>
                <w:w w:val="115"/>
                <w:sz w:val="28"/>
                <w:szCs w:val="28"/>
              </w:rPr>
              <w:t>投資金額</w:t>
            </w:r>
          </w:p>
        </w:tc>
        <w:tc>
          <w:tcPr>
            <w:tcW w:w="4610" w:type="dxa"/>
          </w:tcPr>
          <w:p w:rsidR="0064621B" w:rsidRPr="000140B3" w:rsidRDefault="0064621B" w:rsidP="00EC5AF2">
            <w:pPr>
              <w:rPr>
                <w:rFonts w:ascii="Times New Roman"/>
                <w:w w:val="115"/>
                <w:sz w:val="28"/>
                <w:szCs w:val="28"/>
              </w:rPr>
            </w:pPr>
            <w:r w:rsidRPr="000140B3">
              <w:rPr>
                <w:rFonts w:ascii="Times New Roman"/>
                <w:w w:val="115"/>
                <w:sz w:val="28"/>
                <w:szCs w:val="28"/>
              </w:rPr>
              <w:t>占整體</w:t>
            </w:r>
            <w:proofErr w:type="gramStart"/>
            <w:r w:rsidRPr="000140B3">
              <w:rPr>
                <w:rFonts w:ascii="Times New Roman"/>
                <w:w w:val="115"/>
                <w:sz w:val="28"/>
                <w:szCs w:val="28"/>
              </w:rPr>
              <w:t>複</w:t>
            </w:r>
            <w:proofErr w:type="gramEnd"/>
            <w:r w:rsidRPr="000140B3">
              <w:rPr>
                <w:rFonts w:ascii="Times New Roman"/>
                <w:w w:val="115"/>
                <w:sz w:val="28"/>
                <w:szCs w:val="28"/>
              </w:rPr>
              <w:t>委託投資大陸房產企業金額</w:t>
            </w:r>
            <w:r w:rsidRPr="000140B3">
              <w:rPr>
                <w:rFonts w:ascii="Times New Roman"/>
                <w:bCs/>
                <w:w w:val="115"/>
                <w:sz w:val="28"/>
                <w:szCs w:val="28"/>
              </w:rPr>
              <w:t>7.02</w:t>
            </w:r>
            <w:r w:rsidRPr="000140B3">
              <w:rPr>
                <w:rFonts w:ascii="Times New Roman"/>
                <w:bCs/>
                <w:w w:val="115"/>
                <w:sz w:val="28"/>
                <w:szCs w:val="28"/>
              </w:rPr>
              <w:t>億元</w:t>
            </w:r>
            <w:r w:rsidRPr="000140B3">
              <w:rPr>
                <w:rFonts w:ascii="Times New Roman"/>
                <w:w w:val="115"/>
                <w:sz w:val="28"/>
                <w:szCs w:val="28"/>
              </w:rPr>
              <w:t>之占比</w:t>
            </w:r>
          </w:p>
        </w:tc>
      </w:tr>
      <w:tr w:rsidR="0064621B" w:rsidRPr="000140B3" w:rsidTr="00EC5AF2">
        <w:trPr>
          <w:trHeight w:val="377"/>
          <w:jc w:val="center"/>
        </w:trPr>
        <w:tc>
          <w:tcPr>
            <w:tcW w:w="3233" w:type="dxa"/>
          </w:tcPr>
          <w:p w:rsidR="0064621B" w:rsidRPr="000140B3" w:rsidRDefault="0064621B" w:rsidP="00EC5AF2">
            <w:pPr>
              <w:rPr>
                <w:rFonts w:ascii="Times New Roman"/>
                <w:bCs/>
                <w:w w:val="115"/>
                <w:sz w:val="28"/>
                <w:szCs w:val="28"/>
              </w:rPr>
            </w:pPr>
            <w:r w:rsidRPr="000140B3">
              <w:rPr>
                <w:rFonts w:ascii="Times New Roman"/>
                <w:bCs/>
                <w:w w:val="115"/>
                <w:sz w:val="28"/>
                <w:szCs w:val="28"/>
              </w:rPr>
              <w:t>碧</w:t>
            </w:r>
            <w:proofErr w:type="gramStart"/>
            <w:r w:rsidRPr="000140B3">
              <w:rPr>
                <w:rFonts w:ascii="Times New Roman"/>
                <w:bCs/>
                <w:w w:val="115"/>
                <w:sz w:val="28"/>
                <w:szCs w:val="28"/>
              </w:rPr>
              <w:t>桂園</w:t>
            </w:r>
            <w:proofErr w:type="gramEnd"/>
          </w:p>
        </w:tc>
        <w:tc>
          <w:tcPr>
            <w:tcW w:w="1697" w:type="dxa"/>
          </w:tcPr>
          <w:p w:rsidR="0064621B" w:rsidRPr="000140B3" w:rsidRDefault="0064621B" w:rsidP="00EC5AF2">
            <w:pPr>
              <w:jc w:val="center"/>
              <w:rPr>
                <w:rFonts w:ascii="Times New Roman"/>
                <w:bCs/>
                <w:w w:val="115"/>
                <w:sz w:val="28"/>
                <w:szCs w:val="28"/>
              </w:rPr>
            </w:pPr>
            <w:r w:rsidRPr="000140B3">
              <w:rPr>
                <w:rFonts w:ascii="Times New Roman"/>
                <w:bCs/>
                <w:w w:val="115"/>
                <w:sz w:val="28"/>
                <w:szCs w:val="28"/>
              </w:rPr>
              <w:t>2.15</w:t>
            </w:r>
          </w:p>
        </w:tc>
        <w:tc>
          <w:tcPr>
            <w:tcW w:w="4610" w:type="dxa"/>
          </w:tcPr>
          <w:p w:rsidR="0064621B" w:rsidRPr="000140B3" w:rsidRDefault="0064621B" w:rsidP="00EC5AF2">
            <w:pPr>
              <w:jc w:val="center"/>
              <w:rPr>
                <w:rFonts w:ascii="Times New Roman"/>
                <w:bCs/>
                <w:w w:val="115"/>
                <w:sz w:val="28"/>
                <w:szCs w:val="28"/>
              </w:rPr>
            </w:pPr>
            <w:r w:rsidRPr="000140B3">
              <w:rPr>
                <w:rFonts w:ascii="Times New Roman"/>
                <w:bCs/>
                <w:w w:val="115"/>
                <w:sz w:val="28"/>
                <w:szCs w:val="28"/>
              </w:rPr>
              <w:t>30.56%</w:t>
            </w:r>
          </w:p>
        </w:tc>
      </w:tr>
      <w:tr w:rsidR="0064621B" w:rsidRPr="000140B3" w:rsidTr="00EC5AF2">
        <w:trPr>
          <w:trHeight w:val="377"/>
          <w:jc w:val="center"/>
        </w:trPr>
        <w:tc>
          <w:tcPr>
            <w:tcW w:w="3233" w:type="dxa"/>
          </w:tcPr>
          <w:p w:rsidR="0064621B" w:rsidRPr="000140B3" w:rsidRDefault="0064621B" w:rsidP="00EC5AF2">
            <w:pPr>
              <w:rPr>
                <w:rFonts w:ascii="Times New Roman"/>
                <w:bCs/>
                <w:w w:val="115"/>
                <w:sz w:val="28"/>
                <w:szCs w:val="28"/>
              </w:rPr>
            </w:pPr>
            <w:r w:rsidRPr="000140B3">
              <w:rPr>
                <w:rFonts w:ascii="Times New Roman"/>
                <w:bCs/>
                <w:w w:val="115"/>
                <w:sz w:val="28"/>
                <w:szCs w:val="28"/>
              </w:rPr>
              <w:t>萬科地產</w:t>
            </w:r>
          </w:p>
        </w:tc>
        <w:tc>
          <w:tcPr>
            <w:tcW w:w="1697" w:type="dxa"/>
          </w:tcPr>
          <w:p w:rsidR="0064621B" w:rsidRPr="000140B3" w:rsidRDefault="0064621B" w:rsidP="00EC5AF2">
            <w:pPr>
              <w:jc w:val="center"/>
              <w:rPr>
                <w:rFonts w:ascii="Times New Roman"/>
                <w:bCs/>
                <w:w w:val="115"/>
                <w:sz w:val="28"/>
                <w:szCs w:val="28"/>
              </w:rPr>
            </w:pPr>
            <w:r w:rsidRPr="000140B3">
              <w:rPr>
                <w:rFonts w:ascii="Times New Roman"/>
                <w:bCs/>
                <w:w w:val="115"/>
                <w:sz w:val="28"/>
                <w:szCs w:val="28"/>
              </w:rPr>
              <w:t>0.89</w:t>
            </w:r>
          </w:p>
        </w:tc>
        <w:tc>
          <w:tcPr>
            <w:tcW w:w="4610" w:type="dxa"/>
          </w:tcPr>
          <w:p w:rsidR="0064621B" w:rsidRPr="000140B3" w:rsidRDefault="0064621B" w:rsidP="00EC5AF2">
            <w:pPr>
              <w:jc w:val="center"/>
              <w:rPr>
                <w:rFonts w:ascii="Times New Roman"/>
                <w:bCs/>
                <w:w w:val="115"/>
                <w:sz w:val="28"/>
                <w:szCs w:val="28"/>
              </w:rPr>
            </w:pPr>
            <w:r w:rsidRPr="000140B3">
              <w:rPr>
                <w:rFonts w:ascii="Times New Roman"/>
                <w:bCs/>
                <w:w w:val="115"/>
                <w:sz w:val="28"/>
                <w:szCs w:val="28"/>
              </w:rPr>
              <w:t>12.67%</w:t>
            </w:r>
          </w:p>
        </w:tc>
      </w:tr>
      <w:tr w:rsidR="0064621B" w:rsidRPr="000140B3" w:rsidTr="00EC5AF2">
        <w:trPr>
          <w:trHeight w:val="377"/>
          <w:jc w:val="center"/>
        </w:trPr>
        <w:tc>
          <w:tcPr>
            <w:tcW w:w="3233" w:type="dxa"/>
          </w:tcPr>
          <w:p w:rsidR="0064621B" w:rsidRPr="000140B3" w:rsidRDefault="0064621B" w:rsidP="00EC5AF2">
            <w:pPr>
              <w:rPr>
                <w:rFonts w:ascii="Times New Roman"/>
                <w:bCs/>
                <w:w w:val="115"/>
                <w:sz w:val="28"/>
                <w:szCs w:val="28"/>
              </w:rPr>
            </w:pPr>
            <w:r w:rsidRPr="000140B3">
              <w:rPr>
                <w:rFonts w:ascii="Times New Roman"/>
                <w:bCs/>
                <w:w w:val="115"/>
                <w:sz w:val="28"/>
                <w:szCs w:val="28"/>
              </w:rPr>
              <w:t>中國</w:t>
            </w:r>
            <w:proofErr w:type="gramStart"/>
            <w:r w:rsidR="00011A7F" w:rsidRPr="000140B3">
              <w:rPr>
                <w:rFonts w:ascii="Times New Roman"/>
                <w:bCs/>
                <w:w w:val="115"/>
                <w:sz w:val="28"/>
                <w:szCs w:val="28"/>
              </w:rPr>
              <w:t>恒</w:t>
            </w:r>
            <w:proofErr w:type="gramEnd"/>
            <w:r w:rsidR="00011A7F" w:rsidRPr="000140B3">
              <w:rPr>
                <w:rFonts w:ascii="Times New Roman"/>
                <w:bCs/>
                <w:w w:val="115"/>
                <w:sz w:val="28"/>
                <w:szCs w:val="28"/>
              </w:rPr>
              <w:t>大</w:t>
            </w:r>
          </w:p>
        </w:tc>
        <w:tc>
          <w:tcPr>
            <w:tcW w:w="1697" w:type="dxa"/>
          </w:tcPr>
          <w:p w:rsidR="0064621B" w:rsidRPr="000140B3" w:rsidRDefault="0064621B" w:rsidP="00EC5AF2">
            <w:pPr>
              <w:jc w:val="center"/>
              <w:rPr>
                <w:rFonts w:ascii="Times New Roman"/>
                <w:bCs/>
                <w:w w:val="115"/>
                <w:sz w:val="28"/>
                <w:szCs w:val="28"/>
              </w:rPr>
            </w:pPr>
            <w:r w:rsidRPr="000140B3">
              <w:rPr>
                <w:rFonts w:ascii="Times New Roman"/>
                <w:bCs/>
                <w:w w:val="115"/>
                <w:sz w:val="28"/>
                <w:szCs w:val="28"/>
              </w:rPr>
              <w:t>0.55</w:t>
            </w:r>
          </w:p>
        </w:tc>
        <w:tc>
          <w:tcPr>
            <w:tcW w:w="4610" w:type="dxa"/>
          </w:tcPr>
          <w:p w:rsidR="0064621B" w:rsidRPr="000140B3" w:rsidRDefault="0064621B" w:rsidP="00EC5AF2">
            <w:pPr>
              <w:jc w:val="center"/>
              <w:rPr>
                <w:rFonts w:ascii="Times New Roman"/>
                <w:bCs/>
                <w:w w:val="115"/>
                <w:sz w:val="28"/>
                <w:szCs w:val="28"/>
              </w:rPr>
            </w:pPr>
            <w:r w:rsidRPr="000140B3">
              <w:rPr>
                <w:rFonts w:ascii="Times New Roman"/>
                <w:bCs/>
                <w:w w:val="115"/>
                <w:sz w:val="28"/>
                <w:szCs w:val="28"/>
              </w:rPr>
              <w:t>7.82%</w:t>
            </w:r>
          </w:p>
        </w:tc>
      </w:tr>
      <w:tr w:rsidR="0064621B" w:rsidRPr="000140B3" w:rsidTr="00EC5AF2">
        <w:trPr>
          <w:trHeight w:val="384"/>
          <w:jc w:val="center"/>
        </w:trPr>
        <w:tc>
          <w:tcPr>
            <w:tcW w:w="3233" w:type="dxa"/>
          </w:tcPr>
          <w:p w:rsidR="0064621B" w:rsidRPr="000140B3" w:rsidRDefault="0064621B" w:rsidP="00EC5AF2">
            <w:pPr>
              <w:rPr>
                <w:rFonts w:ascii="Times New Roman"/>
                <w:bCs/>
                <w:w w:val="115"/>
                <w:sz w:val="28"/>
                <w:szCs w:val="28"/>
              </w:rPr>
            </w:pPr>
            <w:proofErr w:type="gramStart"/>
            <w:r w:rsidRPr="000140B3">
              <w:rPr>
                <w:rFonts w:ascii="Times New Roman"/>
                <w:bCs/>
                <w:w w:val="115"/>
                <w:sz w:val="28"/>
                <w:szCs w:val="28"/>
              </w:rPr>
              <w:t>融創中國</w:t>
            </w:r>
            <w:proofErr w:type="gramEnd"/>
          </w:p>
        </w:tc>
        <w:tc>
          <w:tcPr>
            <w:tcW w:w="1697" w:type="dxa"/>
          </w:tcPr>
          <w:p w:rsidR="0064621B" w:rsidRPr="000140B3" w:rsidRDefault="0064621B" w:rsidP="00EC5AF2">
            <w:pPr>
              <w:jc w:val="center"/>
              <w:rPr>
                <w:rFonts w:ascii="Times New Roman"/>
                <w:bCs/>
                <w:w w:val="115"/>
                <w:sz w:val="28"/>
                <w:szCs w:val="28"/>
              </w:rPr>
            </w:pPr>
            <w:r w:rsidRPr="000140B3">
              <w:rPr>
                <w:rFonts w:ascii="Times New Roman"/>
                <w:bCs/>
                <w:w w:val="115"/>
                <w:sz w:val="28"/>
                <w:szCs w:val="28"/>
              </w:rPr>
              <w:t>0.52</w:t>
            </w:r>
          </w:p>
        </w:tc>
        <w:tc>
          <w:tcPr>
            <w:tcW w:w="4610" w:type="dxa"/>
          </w:tcPr>
          <w:p w:rsidR="0064621B" w:rsidRPr="000140B3" w:rsidRDefault="0064621B" w:rsidP="00EC5AF2">
            <w:pPr>
              <w:jc w:val="center"/>
              <w:rPr>
                <w:rFonts w:ascii="Times New Roman"/>
                <w:bCs/>
                <w:w w:val="115"/>
                <w:sz w:val="28"/>
                <w:szCs w:val="28"/>
              </w:rPr>
            </w:pPr>
            <w:r w:rsidRPr="000140B3">
              <w:rPr>
                <w:rFonts w:ascii="Times New Roman"/>
                <w:bCs/>
                <w:w w:val="115"/>
                <w:sz w:val="28"/>
                <w:szCs w:val="28"/>
              </w:rPr>
              <w:t>7.47%</w:t>
            </w:r>
          </w:p>
        </w:tc>
      </w:tr>
      <w:tr w:rsidR="0064621B" w:rsidRPr="000140B3" w:rsidTr="00EC5AF2">
        <w:trPr>
          <w:trHeight w:val="370"/>
          <w:jc w:val="center"/>
        </w:trPr>
        <w:tc>
          <w:tcPr>
            <w:tcW w:w="3233" w:type="dxa"/>
          </w:tcPr>
          <w:p w:rsidR="0064621B" w:rsidRPr="000140B3" w:rsidRDefault="0064621B" w:rsidP="00EC5AF2">
            <w:pPr>
              <w:rPr>
                <w:rFonts w:ascii="Times New Roman"/>
                <w:bCs/>
                <w:w w:val="115"/>
                <w:sz w:val="28"/>
                <w:szCs w:val="28"/>
              </w:rPr>
            </w:pPr>
            <w:r w:rsidRPr="000140B3">
              <w:rPr>
                <w:rFonts w:ascii="Times New Roman"/>
                <w:bCs/>
                <w:w w:val="115"/>
                <w:sz w:val="28"/>
                <w:szCs w:val="28"/>
              </w:rPr>
              <w:t>中國海外發展</w:t>
            </w:r>
          </w:p>
        </w:tc>
        <w:tc>
          <w:tcPr>
            <w:tcW w:w="1697" w:type="dxa"/>
          </w:tcPr>
          <w:p w:rsidR="0064621B" w:rsidRPr="000140B3" w:rsidRDefault="0064621B" w:rsidP="00EC5AF2">
            <w:pPr>
              <w:jc w:val="center"/>
              <w:rPr>
                <w:rFonts w:ascii="Times New Roman"/>
                <w:bCs/>
                <w:w w:val="115"/>
                <w:sz w:val="28"/>
                <w:szCs w:val="28"/>
              </w:rPr>
            </w:pPr>
            <w:r w:rsidRPr="000140B3">
              <w:rPr>
                <w:rFonts w:ascii="Times New Roman"/>
                <w:bCs/>
                <w:w w:val="115"/>
                <w:sz w:val="28"/>
                <w:szCs w:val="28"/>
              </w:rPr>
              <w:t>0.37</w:t>
            </w:r>
          </w:p>
        </w:tc>
        <w:tc>
          <w:tcPr>
            <w:tcW w:w="4610" w:type="dxa"/>
          </w:tcPr>
          <w:p w:rsidR="0064621B" w:rsidRPr="000140B3" w:rsidRDefault="0064621B" w:rsidP="00EC5AF2">
            <w:pPr>
              <w:jc w:val="center"/>
              <w:rPr>
                <w:rFonts w:ascii="Times New Roman"/>
                <w:bCs/>
                <w:w w:val="115"/>
                <w:sz w:val="28"/>
                <w:szCs w:val="28"/>
              </w:rPr>
            </w:pPr>
            <w:r w:rsidRPr="000140B3">
              <w:rPr>
                <w:rFonts w:ascii="Times New Roman"/>
                <w:bCs/>
                <w:w w:val="115"/>
                <w:sz w:val="28"/>
                <w:szCs w:val="28"/>
              </w:rPr>
              <w:t>5.31%</w:t>
            </w:r>
          </w:p>
        </w:tc>
      </w:tr>
      <w:tr w:rsidR="0064621B" w:rsidRPr="000140B3" w:rsidTr="00EC5AF2">
        <w:trPr>
          <w:trHeight w:val="377"/>
          <w:jc w:val="center"/>
        </w:trPr>
        <w:tc>
          <w:tcPr>
            <w:tcW w:w="3233" w:type="dxa"/>
          </w:tcPr>
          <w:p w:rsidR="0064621B" w:rsidRPr="000140B3" w:rsidRDefault="0064621B" w:rsidP="00EC5AF2">
            <w:pPr>
              <w:rPr>
                <w:rFonts w:ascii="Times New Roman"/>
                <w:bCs/>
                <w:w w:val="115"/>
                <w:sz w:val="28"/>
                <w:szCs w:val="28"/>
              </w:rPr>
            </w:pPr>
            <w:r w:rsidRPr="000140B3">
              <w:rPr>
                <w:rFonts w:ascii="Times New Roman"/>
                <w:bCs/>
                <w:w w:val="115"/>
                <w:sz w:val="28"/>
                <w:szCs w:val="28"/>
              </w:rPr>
              <w:t>深圳控股</w:t>
            </w:r>
          </w:p>
        </w:tc>
        <w:tc>
          <w:tcPr>
            <w:tcW w:w="1697" w:type="dxa"/>
          </w:tcPr>
          <w:p w:rsidR="0064621B" w:rsidRPr="000140B3" w:rsidRDefault="0064621B" w:rsidP="00EC5AF2">
            <w:pPr>
              <w:jc w:val="center"/>
              <w:rPr>
                <w:rFonts w:ascii="Times New Roman"/>
                <w:bCs/>
                <w:w w:val="115"/>
                <w:sz w:val="28"/>
                <w:szCs w:val="28"/>
              </w:rPr>
            </w:pPr>
            <w:r w:rsidRPr="000140B3">
              <w:rPr>
                <w:rFonts w:ascii="Times New Roman"/>
                <w:bCs/>
                <w:w w:val="115"/>
                <w:sz w:val="28"/>
                <w:szCs w:val="28"/>
              </w:rPr>
              <w:t>0.22</w:t>
            </w:r>
          </w:p>
        </w:tc>
        <w:tc>
          <w:tcPr>
            <w:tcW w:w="4610" w:type="dxa"/>
          </w:tcPr>
          <w:p w:rsidR="0064621B" w:rsidRPr="000140B3" w:rsidRDefault="0064621B" w:rsidP="00EC5AF2">
            <w:pPr>
              <w:jc w:val="center"/>
              <w:rPr>
                <w:rFonts w:ascii="Times New Roman"/>
                <w:bCs/>
                <w:w w:val="115"/>
                <w:sz w:val="28"/>
                <w:szCs w:val="28"/>
              </w:rPr>
            </w:pPr>
            <w:r w:rsidRPr="000140B3">
              <w:rPr>
                <w:rFonts w:ascii="Times New Roman"/>
                <w:bCs/>
                <w:w w:val="115"/>
                <w:sz w:val="28"/>
                <w:szCs w:val="28"/>
              </w:rPr>
              <w:t>3.07%</w:t>
            </w:r>
          </w:p>
        </w:tc>
      </w:tr>
      <w:tr w:rsidR="0064621B" w:rsidRPr="000140B3" w:rsidTr="00EC5AF2">
        <w:trPr>
          <w:trHeight w:val="384"/>
          <w:jc w:val="center"/>
        </w:trPr>
        <w:tc>
          <w:tcPr>
            <w:tcW w:w="3233" w:type="dxa"/>
          </w:tcPr>
          <w:p w:rsidR="0064621B" w:rsidRPr="000140B3" w:rsidRDefault="0064621B" w:rsidP="00EC5AF2">
            <w:pPr>
              <w:rPr>
                <w:rFonts w:ascii="Times New Roman"/>
                <w:bCs/>
                <w:w w:val="115"/>
                <w:sz w:val="28"/>
                <w:szCs w:val="28"/>
              </w:rPr>
            </w:pPr>
            <w:r w:rsidRPr="000140B3">
              <w:rPr>
                <w:rFonts w:ascii="Times New Roman"/>
                <w:bCs/>
                <w:w w:val="115"/>
                <w:sz w:val="28"/>
                <w:szCs w:val="28"/>
              </w:rPr>
              <w:t>中國華融</w:t>
            </w:r>
          </w:p>
        </w:tc>
        <w:tc>
          <w:tcPr>
            <w:tcW w:w="1697" w:type="dxa"/>
          </w:tcPr>
          <w:p w:rsidR="0064621B" w:rsidRPr="000140B3" w:rsidRDefault="0064621B" w:rsidP="00EC5AF2">
            <w:pPr>
              <w:jc w:val="center"/>
              <w:rPr>
                <w:rFonts w:ascii="Times New Roman"/>
                <w:bCs/>
                <w:w w:val="115"/>
                <w:sz w:val="28"/>
                <w:szCs w:val="28"/>
              </w:rPr>
            </w:pPr>
            <w:r w:rsidRPr="000140B3">
              <w:rPr>
                <w:rFonts w:ascii="Times New Roman"/>
                <w:bCs/>
                <w:w w:val="115"/>
                <w:sz w:val="28"/>
                <w:szCs w:val="28"/>
              </w:rPr>
              <w:t>0.17</w:t>
            </w:r>
          </w:p>
        </w:tc>
        <w:tc>
          <w:tcPr>
            <w:tcW w:w="4610" w:type="dxa"/>
          </w:tcPr>
          <w:p w:rsidR="0064621B" w:rsidRPr="000140B3" w:rsidRDefault="0064621B" w:rsidP="00EC5AF2">
            <w:pPr>
              <w:jc w:val="center"/>
              <w:rPr>
                <w:rFonts w:ascii="Times New Roman"/>
                <w:bCs/>
                <w:w w:val="115"/>
                <w:sz w:val="28"/>
                <w:szCs w:val="28"/>
              </w:rPr>
            </w:pPr>
            <w:r w:rsidRPr="000140B3">
              <w:rPr>
                <w:rFonts w:ascii="Times New Roman"/>
                <w:bCs/>
                <w:w w:val="115"/>
                <w:sz w:val="28"/>
                <w:szCs w:val="28"/>
              </w:rPr>
              <w:t>2.48%</w:t>
            </w:r>
          </w:p>
        </w:tc>
      </w:tr>
      <w:tr w:rsidR="0064621B" w:rsidRPr="000140B3" w:rsidTr="00EC5AF2">
        <w:trPr>
          <w:trHeight w:val="384"/>
          <w:jc w:val="center"/>
        </w:trPr>
        <w:tc>
          <w:tcPr>
            <w:tcW w:w="3233" w:type="dxa"/>
          </w:tcPr>
          <w:p w:rsidR="0064621B" w:rsidRPr="000140B3" w:rsidRDefault="0064621B" w:rsidP="00EC5AF2">
            <w:pPr>
              <w:rPr>
                <w:rFonts w:ascii="Times New Roman"/>
                <w:bCs/>
                <w:w w:val="115"/>
                <w:sz w:val="28"/>
                <w:szCs w:val="28"/>
              </w:rPr>
            </w:pPr>
            <w:proofErr w:type="gramStart"/>
            <w:r w:rsidRPr="000140B3">
              <w:rPr>
                <w:rFonts w:ascii="Times New Roman"/>
                <w:bCs/>
                <w:w w:val="115"/>
                <w:sz w:val="28"/>
                <w:szCs w:val="28"/>
              </w:rPr>
              <w:t>春泉產業</w:t>
            </w:r>
            <w:proofErr w:type="gramEnd"/>
          </w:p>
        </w:tc>
        <w:tc>
          <w:tcPr>
            <w:tcW w:w="1697" w:type="dxa"/>
          </w:tcPr>
          <w:p w:rsidR="0064621B" w:rsidRPr="000140B3" w:rsidRDefault="0064621B" w:rsidP="00EC5AF2">
            <w:pPr>
              <w:jc w:val="center"/>
              <w:rPr>
                <w:rFonts w:ascii="Times New Roman"/>
                <w:bCs/>
                <w:w w:val="115"/>
                <w:sz w:val="28"/>
                <w:szCs w:val="28"/>
              </w:rPr>
            </w:pPr>
            <w:r w:rsidRPr="000140B3">
              <w:rPr>
                <w:rFonts w:ascii="Times New Roman"/>
                <w:bCs/>
                <w:w w:val="115"/>
                <w:sz w:val="28"/>
                <w:szCs w:val="28"/>
              </w:rPr>
              <w:t>0.17</w:t>
            </w:r>
          </w:p>
        </w:tc>
        <w:tc>
          <w:tcPr>
            <w:tcW w:w="4610" w:type="dxa"/>
          </w:tcPr>
          <w:p w:rsidR="0064621B" w:rsidRPr="000140B3" w:rsidRDefault="0064621B" w:rsidP="00EC5AF2">
            <w:pPr>
              <w:jc w:val="center"/>
              <w:rPr>
                <w:rFonts w:ascii="Times New Roman"/>
                <w:bCs/>
                <w:w w:val="115"/>
                <w:sz w:val="28"/>
                <w:szCs w:val="28"/>
              </w:rPr>
            </w:pPr>
            <w:r w:rsidRPr="000140B3">
              <w:rPr>
                <w:rFonts w:ascii="Times New Roman"/>
                <w:bCs/>
                <w:w w:val="115"/>
                <w:sz w:val="28"/>
                <w:szCs w:val="28"/>
              </w:rPr>
              <w:t>2.44%</w:t>
            </w:r>
          </w:p>
        </w:tc>
      </w:tr>
      <w:tr w:rsidR="0064621B" w:rsidRPr="000140B3" w:rsidTr="00EC5AF2">
        <w:trPr>
          <w:trHeight w:val="377"/>
          <w:jc w:val="center"/>
        </w:trPr>
        <w:tc>
          <w:tcPr>
            <w:tcW w:w="3233" w:type="dxa"/>
          </w:tcPr>
          <w:p w:rsidR="0064621B" w:rsidRPr="000140B3" w:rsidRDefault="0064621B" w:rsidP="00EC5AF2">
            <w:pPr>
              <w:rPr>
                <w:rFonts w:ascii="Times New Roman"/>
                <w:bCs/>
                <w:w w:val="115"/>
                <w:sz w:val="28"/>
                <w:szCs w:val="28"/>
              </w:rPr>
            </w:pPr>
            <w:r w:rsidRPr="000140B3">
              <w:rPr>
                <w:rFonts w:ascii="Times New Roman"/>
                <w:bCs/>
                <w:w w:val="115"/>
                <w:sz w:val="28"/>
                <w:szCs w:val="28"/>
              </w:rPr>
              <w:lastRenderedPageBreak/>
              <w:t>龍湖集團</w:t>
            </w:r>
          </w:p>
        </w:tc>
        <w:tc>
          <w:tcPr>
            <w:tcW w:w="1697" w:type="dxa"/>
          </w:tcPr>
          <w:p w:rsidR="0064621B" w:rsidRPr="000140B3" w:rsidRDefault="0064621B" w:rsidP="00EC5AF2">
            <w:pPr>
              <w:jc w:val="center"/>
              <w:rPr>
                <w:rFonts w:ascii="Times New Roman"/>
                <w:bCs/>
                <w:w w:val="115"/>
                <w:sz w:val="28"/>
                <w:szCs w:val="28"/>
              </w:rPr>
            </w:pPr>
            <w:r w:rsidRPr="000140B3">
              <w:rPr>
                <w:rFonts w:ascii="Times New Roman"/>
                <w:bCs/>
                <w:w w:val="115"/>
                <w:sz w:val="28"/>
                <w:szCs w:val="28"/>
              </w:rPr>
              <w:t>0.13</w:t>
            </w:r>
          </w:p>
        </w:tc>
        <w:tc>
          <w:tcPr>
            <w:tcW w:w="4610" w:type="dxa"/>
          </w:tcPr>
          <w:p w:rsidR="0064621B" w:rsidRPr="000140B3" w:rsidRDefault="0064621B" w:rsidP="00EC5AF2">
            <w:pPr>
              <w:jc w:val="center"/>
              <w:rPr>
                <w:rFonts w:ascii="Times New Roman"/>
                <w:bCs/>
                <w:w w:val="115"/>
                <w:sz w:val="28"/>
                <w:szCs w:val="28"/>
              </w:rPr>
            </w:pPr>
            <w:r w:rsidRPr="000140B3">
              <w:rPr>
                <w:rFonts w:ascii="Times New Roman"/>
                <w:bCs/>
                <w:w w:val="115"/>
                <w:sz w:val="28"/>
                <w:szCs w:val="28"/>
              </w:rPr>
              <w:t>1.86%</w:t>
            </w:r>
          </w:p>
        </w:tc>
      </w:tr>
      <w:tr w:rsidR="0064621B" w:rsidRPr="000140B3" w:rsidTr="00EC5AF2">
        <w:trPr>
          <w:trHeight w:val="377"/>
          <w:jc w:val="center"/>
        </w:trPr>
        <w:tc>
          <w:tcPr>
            <w:tcW w:w="3233" w:type="dxa"/>
          </w:tcPr>
          <w:p w:rsidR="0064621B" w:rsidRPr="000140B3" w:rsidRDefault="0064621B" w:rsidP="00EC5AF2">
            <w:pPr>
              <w:rPr>
                <w:rFonts w:ascii="Times New Roman"/>
                <w:bCs/>
                <w:sz w:val="28"/>
                <w:szCs w:val="28"/>
              </w:rPr>
            </w:pPr>
            <w:proofErr w:type="gramStart"/>
            <w:r w:rsidRPr="000140B3">
              <w:rPr>
                <w:rFonts w:ascii="Times New Roman"/>
                <w:bCs/>
                <w:sz w:val="28"/>
                <w:szCs w:val="28"/>
              </w:rPr>
              <w:t>世</w:t>
            </w:r>
            <w:proofErr w:type="gramEnd"/>
            <w:r w:rsidRPr="000140B3">
              <w:rPr>
                <w:rFonts w:ascii="Times New Roman"/>
                <w:bCs/>
                <w:sz w:val="28"/>
                <w:szCs w:val="28"/>
              </w:rPr>
              <w:t>茂</w:t>
            </w:r>
          </w:p>
        </w:tc>
        <w:tc>
          <w:tcPr>
            <w:tcW w:w="1697" w:type="dxa"/>
          </w:tcPr>
          <w:p w:rsidR="0064621B" w:rsidRPr="000140B3" w:rsidRDefault="0064621B" w:rsidP="00EC5AF2">
            <w:pPr>
              <w:jc w:val="center"/>
              <w:rPr>
                <w:rFonts w:ascii="Times New Roman"/>
                <w:bCs/>
                <w:sz w:val="28"/>
                <w:szCs w:val="28"/>
              </w:rPr>
            </w:pPr>
            <w:r w:rsidRPr="000140B3">
              <w:rPr>
                <w:rFonts w:ascii="Times New Roman"/>
                <w:bCs/>
                <w:w w:val="115"/>
                <w:sz w:val="28"/>
                <w:szCs w:val="28"/>
              </w:rPr>
              <w:t>0.11</w:t>
            </w:r>
          </w:p>
        </w:tc>
        <w:tc>
          <w:tcPr>
            <w:tcW w:w="4610" w:type="dxa"/>
          </w:tcPr>
          <w:p w:rsidR="0064621B" w:rsidRPr="000140B3" w:rsidRDefault="0064621B" w:rsidP="00EC5AF2">
            <w:pPr>
              <w:jc w:val="center"/>
              <w:rPr>
                <w:rFonts w:ascii="Times New Roman"/>
                <w:bCs/>
                <w:sz w:val="28"/>
                <w:szCs w:val="28"/>
              </w:rPr>
            </w:pPr>
            <w:r w:rsidRPr="000140B3">
              <w:rPr>
                <w:rFonts w:ascii="Times New Roman"/>
                <w:bCs/>
                <w:w w:val="115"/>
                <w:sz w:val="28"/>
                <w:szCs w:val="28"/>
              </w:rPr>
              <w:t>1.60%</w:t>
            </w:r>
          </w:p>
        </w:tc>
      </w:tr>
      <w:tr w:rsidR="0064621B" w:rsidRPr="000140B3" w:rsidTr="00EC5AF2">
        <w:trPr>
          <w:trHeight w:val="377"/>
          <w:jc w:val="center"/>
        </w:trPr>
        <w:tc>
          <w:tcPr>
            <w:tcW w:w="3233" w:type="dxa"/>
          </w:tcPr>
          <w:p w:rsidR="0064621B" w:rsidRPr="000140B3" w:rsidRDefault="0064621B" w:rsidP="00EC5AF2">
            <w:pPr>
              <w:rPr>
                <w:rFonts w:ascii="Times New Roman"/>
                <w:bCs/>
                <w:sz w:val="28"/>
                <w:szCs w:val="28"/>
              </w:rPr>
            </w:pPr>
            <w:r w:rsidRPr="000140B3">
              <w:rPr>
                <w:rFonts w:ascii="Times New Roman"/>
                <w:bCs/>
                <w:spacing w:val="7"/>
                <w:w w:val="105"/>
                <w:sz w:val="28"/>
                <w:szCs w:val="28"/>
              </w:rPr>
              <w:t>其他</w:t>
            </w:r>
            <w:r w:rsidRPr="000140B3">
              <w:rPr>
                <w:rFonts w:ascii="Times New Roman"/>
                <w:bCs/>
                <w:w w:val="105"/>
                <w:sz w:val="28"/>
                <w:szCs w:val="28"/>
              </w:rPr>
              <w:t>（共</w:t>
            </w:r>
            <w:r w:rsidRPr="000140B3">
              <w:rPr>
                <w:rFonts w:ascii="Times New Roman"/>
                <w:bCs/>
                <w:w w:val="105"/>
                <w:sz w:val="28"/>
                <w:szCs w:val="28"/>
              </w:rPr>
              <w:t>112</w:t>
            </w:r>
            <w:r w:rsidRPr="000140B3">
              <w:rPr>
                <w:rFonts w:ascii="Times New Roman"/>
                <w:bCs/>
                <w:spacing w:val="7"/>
                <w:w w:val="105"/>
                <w:sz w:val="28"/>
                <w:szCs w:val="28"/>
              </w:rPr>
              <w:t>家房產</w:t>
            </w:r>
            <w:r w:rsidRPr="000140B3">
              <w:rPr>
                <w:rFonts w:ascii="Times New Roman"/>
                <w:bCs/>
                <w:w w:val="105"/>
                <w:sz w:val="28"/>
                <w:szCs w:val="28"/>
              </w:rPr>
              <w:t>）</w:t>
            </w:r>
          </w:p>
        </w:tc>
        <w:tc>
          <w:tcPr>
            <w:tcW w:w="1697" w:type="dxa"/>
          </w:tcPr>
          <w:p w:rsidR="0064621B" w:rsidRPr="000140B3" w:rsidRDefault="0064621B" w:rsidP="00EC5AF2">
            <w:pPr>
              <w:ind w:right="44"/>
              <w:jc w:val="center"/>
              <w:rPr>
                <w:rFonts w:ascii="Times New Roman"/>
                <w:bCs/>
                <w:sz w:val="28"/>
                <w:szCs w:val="28"/>
              </w:rPr>
            </w:pPr>
            <w:r w:rsidRPr="000140B3">
              <w:rPr>
                <w:rFonts w:ascii="Times New Roman"/>
                <w:bCs/>
                <w:sz w:val="28"/>
                <w:szCs w:val="28"/>
              </w:rPr>
              <w:t>1.73</w:t>
            </w:r>
          </w:p>
        </w:tc>
        <w:tc>
          <w:tcPr>
            <w:tcW w:w="4610" w:type="dxa"/>
          </w:tcPr>
          <w:p w:rsidR="0064621B" w:rsidRPr="000140B3" w:rsidRDefault="0064621B" w:rsidP="00EC5AF2">
            <w:pPr>
              <w:jc w:val="center"/>
              <w:rPr>
                <w:rFonts w:ascii="Times New Roman"/>
                <w:bCs/>
                <w:sz w:val="28"/>
                <w:szCs w:val="28"/>
              </w:rPr>
            </w:pPr>
            <w:r w:rsidRPr="000140B3">
              <w:rPr>
                <w:rFonts w:ascii="Times New Roman"/>
                <w:bCs/>
                <w:sz w:val="28"/>
                <w:szCs w:val="28"/>
              </w:rPr>
              <w:t>24.72%</w:t>
            </w:r>
          </w:p>
        </w:tc>
      </w:tr>
    </w:tbl>
    <w:p w:rsidR="0064621B" w:rsidRPr="000140B3" w:rsidRDefault="0064621B" w:rsidP="0064621B">
      <w:pPr>
        <w:pStyle w:val="a7"/>
        <w:numPr>
          <w:ilvl w:val="0"/>
          <w:numId w:val="0"/>
        </w:numPr>
        <w:spacing w:afterLines="50" w:after="228" w:line="340" w:lineRule="exact"/>
        <w:ind w:leftChars="-66" w:left="2" w:hangingChars="87" w:hanging="226"/>
        <w:rPr>
          <w:sz w:val="24"/>
          <w:szCs w:val="24"/>
        </w:rPr>
      </w:pPr>
      <w:r w:rsidRPr="000140B3">
        <w:rPr>
          <w:sz w:val="24"/>
          <w:szCs w:val="24"/>
        </w:rPr>
        <w:t>資金來源：金管會。</w:t>
      </w:r>
    </w:p>
    <w:p w:rsidR="0064621B" w:rsidRPr="000140B3" w:rsidRDefault="0064621B" w:rsidP="0064621B">
      <w:pPr>
        <w:pStyle w:val="3"/>
        <w:numPr>
          <w:ilvl w:val="0"/>
          <w:numId w:val="0"/>
        </w:numPr>
        <w:ind w:left="1361" w:firstLineChars="183" w:firstLine="622"/>
        <w:rPr>
          <w:rFonts w:ascii="Times New Roman" w:hAnsi="Times New Roman"/>
        </w:rPr>
      </w:pPr>
      <w:r w:rsidRPr="000140B3">
        <w:rPr>
          <w:rFonts w:ascii="Times New Roman" w:hAnsi="Times New Roman"/>
          <w:bCs w:val="0"/>
        </w:rPr>
        <w:t>我國金融業對中國大陸房地產業</w:t>
      </w:r>
      <w:proofErr w:type="gramStart"/>
      <w:r w:rsidRPr="000140B3">
        <w:rPr>
          <w:rFonts w:ascii="Times New Roman" w:hAnsi="Times New Roman"/>
          <w:bCs w:val="0"/>
        </w:rPr>
        <w:t>之暴險金額</w:t>
      </w:r>
      <w:proofErr w:type="gramEnd"/>
      <w:r w:rsidRPr="000140B3">
        <w:rPr>
          <w:rFonts w:ascii="Times New Roman" w:hAnsi="Times New Roman"/>
          <w:bCs w:val="0"/>
        </w:rPr>
        <w:t>逐年下降，其中以銀行業對萬科</w:t>
      </w:r>
      <w:r w:rsidR="00AD46E0" w:rsidRPr="000140B3">
        <w:rPr>
          <w:rFonts w:ascii="Times New Roman" w:hAnsi="Times New Roman" w:hint="eastAsia"/>
          <w:bCs w:val="0"/>
        </w:rPr>
        <w:t>公司</w:t>
      </w:r>
      <w:r w:rsidRPr="000140B3">
        <w:rPr>
          <w:rFonts w:ascii="Times New Roman" w:hAnsi="Times New Roman"/>
          <w:bCs w:val="0"/>
        </w:rPr>
        <w:t>之授信金額</w:t>
      </w:r>
      <w:r w:rsidRPr="000140B3">
        <w:rPr>
          <w:rFonts w:ascii="Times New Roman" w:hAnsi="Times New Roman"/>
          <w:bCs w:val="0"/>
        </w:rPr>
        <w:t>33.6</w:t>
      </w:r>
      <w:r w:rsidRPr="000140B3">
        <w:rPr>
          <w:rFonts w:ascii="Times New Roman" w:hAnsi="Times New Roman"/>
          <w:bCs w:val="0"/>
        </w:rPr>
        <w:t>億元較大，然該公司有國企背景，目前還款情形正常，相關銀行並已依金管會要求，提列備抵呆帳比率</w:t>
      </w:r>
      <w:r w:rsidRPr="000140B3">
        <w:rPr>
          <w:rFonts w:ascii="Times New Roman" w:hAnsi="Times New Roman"/>
          <w:bCs w:val="0"/>
        </w:rPr>
        <w:t>1.5%</w:t>
      </w:r>
      <w:r w:rsidRPr="000140B3">
        <w:rPr>
          <w:rFonts w:ascii="Times New Roman" w:hAnsi="Times New Roman"/>
          <w:bCs w:val="0"/>
        </w:rPr>
        <w:t>以上，且占銀行業於</w:t>
      </w:r>
      <w:proofErr w:type="gramStart"/>
      <w:r w:rsidRPr="000140B3">
        <w:rPr>
          <w:rFonts w:ascii="Times New Roman" w:hAnsi="Times New Roman"/>
          <w:bCs w:val="0"/>
        </w:rPr>
        <w:t>中國大陸暴險總</w:t>
      </w:r>
      <w:proofErr w:type="gramEnd"/>
      <w:r w:rsidRPr="000140B3">
        <w:rPr>
          <w:rFonts w:ascii="Times New Roman" w:hAnsi="Times New Roman"/>
          <w:bCs w:val="0"/>
        </w:rPr>
        <w:t>額度</w:t>
      </w:r>
      <w:r w:rsidRPr="000140B3">
        <w:rPr>
          <w:rFonts w:ascii="Times New Roman" w:hAnsi="Times New Roman"/>
          <w:bCs w:val="0"/>
        </w:rPr>
        <w:t>9,610</w:t>
      </w:r>
      <w:r w:rsidRPr="000140B3">
        <w:rPr>
          <w:rFonts w:ascii="Times New Roman" w:hAnsi="Times New Roman"/>
          <w:bCs w:val="0"/>
        </w:rPr>
        <w:t>億元之比率未達</w:t>
      </w:r>
      <w:r w:rsidRPr="000140B3">
        <w:rPr>
          <w:rFonts w:ascii="Times New Roman" w:hAnsi="Times New Roman"/>
          <w:bCs w:val="0"/>
        </w:rPr>
        <w:t>0.4%</w:t>
      </w:r>
      <w:r w:rsidRPr="000140B3">
        <w:rPr>
          <w:rFonts w:ascii="Times New Roman" w:hAnsi="Times New Roman"/>
          <w:bCs w:val="0"/>
        </w:rPr>
        <w:t>，</w:t>
      </w:r>
      <w:r w:rsidRPr="000140B3">
        <w:rPr>
          <w:rFonts w:ascii="Times New Roman" w:hAnsi="Times New Roman"/>
        </w:rPr>
        <w:t>占上年度決算後淨值</w:t>
      </w:r>
      <w:r w:rsidRPr="000140B3">
        <w:rPr>
          <w:rFonts w:ascii="Times New Roman" w:hAnsi="Times New Roman"/>
        </w:rPr>
        <w:t>42,323</w:t>
      </w:r>
      <w:r w:rsidRPr="000140B3">
        <w:rPr>
          <w:rFonts w:ascii="Times New Roman" w:hAnsi="Times New Roman"/>
        </w:rPr>
        <w:t>億元亦僅</w:t>
      </w:r>
      <w:r w:rsidRPr="000140B3">
        <w:rPr>
          <w:rFonts w:ascii="Times New Roman" w:hAnsi="Times New Roman"/>
        </w:rPr>
        <w:t>0.08%</w:t>
      </w:r>
      <w:r w:rsidRPr="000140B3">
        <w:rPr>
          <w:rFonts w:ascii="Times New Roman" w:hAnsi="Times New Roman"/>
        </w:rPr>
        <w:t>，</w:t>
      </w:r>
      <w:r w:rsidRPr="000140B3">
        <w:rPr>
          <w:rFonts w:ascii="Times New Roman" w:hAnsi="Times New Roman"/>
          <w:bCs w:val="0"/>
        </w:rPr>
        <w:t>顯示金融業於中國大陸房地產業</w:t>
      </w:r>
      <w:proofErr w:type="gramStart"/>
      <w:r w:rsidRPr="000140B3">
        <w:rPr>
          <w:rFonts w:ascii="Times New Roman" w:hAnsi="Times New Roman"/>
          <w:bCs w:val="0"/>
        </w:rPr>
        <w:t>之暴險情</w:t>
      </w:r>
      <w:proofErr w:type="gramEnd"/>
      <w:r w:rsidRPr="000140B3">
        <w:rPr>
          <w:rFonts w:ascii="Times New Roman" w:hAnsi="Times New Roman"/>
          <w:bCs w:val="0"/>
        </w:rPr>
        <w:t>形，尚屬可控範圍。</w:t>
      </w:r>
    </w:p>
    <w:p w:rsidR="0064621B" w:rsidRPr="000140B3" w:rsidRDefault="0064621B" w:rsidP="0064621B">
      <w:pPr>
        <w:pStyle w:val="3"/>
        <w:rPr>
          <w:rFonts w:ascii="Times New Roman" w:hAnsi="Times New Roman"/>
        </w:rPr>
      </w:pPr>
      <w:r w:rsidRPr="000140B3">
        <w:rPr>
          <w:rFonts w:ascii="Times New Roman" w:hAnsi="Times New Roman"/>
        </w:rPr>
        <w:t>美國政府於</w:t>
      </w:r>
      <w:r w:rsidRPr="000140B3">
        <w:rPr>
          <w:rFonts w:ascii="Times New Roman" w:hAnsi="Times New Roman"/>
        </w:rPr>
        <w:t>2018</w:t>
      </w:r>
      <w:r w:rsidRPr="000140B3">
        <w:rPr>
          <w:rFonts w:ascii="Times New Roman" w:hAnsi="Times New Roman"/>
        </w:rPr>
        <w:t>年對中國大陸約</w:t>
      </w:r>
      <w:r w:rsidRPr="000140B3">
        <w:rPr>
          <w:rFonts w:ascii="Times New Roman" w:hAnsi="Times New Roman"/>
        </w:rPr>
        <w:t>3,000</w:t>
      </w:r>
      <w:r w:rsidRPr="000140B3">
        <w:rPr>
          <w:rFonts w:ascii="Times New Roman" w:hAnsi="Times New Roman"/>
        </w:rPr>
        <w:t>億美元商品徵收關稅，引發美中貿易戰起，美國陸續針對中國大陸之商品及廠商發出禁令。然</w:t>
      </w:r>
      <w:r w:rsidRPr="000140B3">
        <w:rPr>
          <w:rFonts w:ascii="Times New Roman" w:hAnsi="Times New Roman"/>
        </w:rPr>
        <w:t>2024</w:t>
      </w:r>
      <w:r w:rsidRPr="000140B3">
        <w:rPr>
          <w:rFonts w:ascii="Times New Roman" w:hAnsi="Times New Roman"/>
        </w:rPr>
        <w:t>年</w:t>
      </w:r>
      <w:r w:rsidRPr="000140B3">
        <w:rPr>
          <w:rFonts w:ascii="Times New Roman" w:hAnsi="Times New Roman"/>
        </w:rPr>
        <w:t>5</w:t>
      </w:r>
      <w:r w:rsidRPr="000140B3">
        <w:rPr>
          <w:rFonts w:ascii="Times New Roman" w:hAnsi="Times New Roman"/>
        </w:rPr>
        <w:t>月</w:t>
      </w:r>
      <w:r w:rsidRPr="000140B3">
        <w:rPr>
          <w:rFonts w:ascii="Times New Roman" w:hAnsi="Times New Roman"/>
        </w:rPr>
        <w:t>22</w:t>
      </w:r>
      <w:r w:rsidRPr="000140B3">
        <w:rPr>
          <w:rFonts w:ascii="Times New Roman" w:hAnsi="Times New Roman"/>
        </w:rPr>
        <w:t>日美國貿易代表署（</w:t>
      </w:r>
      <w:r w:rsidRPr="000140B3">
        <w:rPr>
          <w:rFonts w:ascii="Times New Roman" w:hAnsi="Times New Roman"/>
        </w:rPr>
        <w:t>Office of the United States Trade Representative</w:t>
      </w:r>
      <w:r w:rsidRPr="000140B3">
        <w:rPr>
          <w:rFonts w:ascii="Times New Roman" w:hAnsi="Times New Roman"/>
        </w:rPr>
        <w:t>，下稱</w:t>
      </w:r>
      <w:r w:rsidRPr="000140B3">
        <w:rPr>
          <w:rFonts w:ascii="Times New Roman" w:hAnsi="Times New Roman"/>
        </w:rPr>
        <w:t>USTR</w:t>
      </w:r>
      <w:r w:rsidRPr="000140B3">
        <w:rPr>
          <w:rFonts w:ascii="Times New Roman" w:hAnsi="Times New Roman"/>
        </w:rPr>
        <w:t>）就對中國大陸加徵</w:t>
      </w:r>
      <w:r w:rsidRPr="000140B3">
        <w:rPr>
          <w:rFonts w:ascii="Times New Roman" w:hAnsi="Times New Roman"/>
        </w:rPr>
        <w:t>301</w:t>
      </w:r>
      <w:r w:rsidRPr="000140B3">
        <w:rPr>
          <w:rFonts w:ascii="Times New Roman" w:hAnsi="Times New Roman"/>
        </w:rPr>
        <w:t>關稅發佈公告稱，美國將對來自中國的</w:t>
      </w:r>
      <w:proofErr w:type="gramStart"/>
      <w:r w:rsidRPr="000140B3">
        <w:rPr>
          <w:rFonts w:ascii="Times New Roman" w:hAnsi="Times New Roman"/>
        </w:rPr>
        <w:t>電動車及鋰離子</w:t>
      </w:r>
      <w:proofErr w:type="gramEnd"/>
      <w:r w:rsidRPr="000140B3">
        <w:rPr>
          <w:rFonts w:ascii="Times New Roman" w:hAnsi="Times New Roman"/>
        </w:rPr>
        <w:t>電動車電池、鋰離子非電動車電池、電池零件、太陽能電池、醫療產品等等戰略領域的產品加徵</w:t>
      </w:r>
      <w:r w:rsidRPr="000140B3">
        <w:rPr>
          <w:rFonts w:ascii="Times New Roman" w:hAnsi="Times New Roman"/>
        </w:rPr>
        <w:t>25%</w:t>
      </w:r>
      <w:r w:rsidRPr="000140B3">
        <w:rPr>
          <w:rFonts w:ascii="Times New Roman" w:hAnsi="Times New Roman"/>
        </w:rPr>
        <w:t>到</w:t>
      </w:r>
      <w:r w:rsidRPr="000140B3">
        <w:rPr>
          <w:rFonts w:ascii="Times New Roman" w:hAnsi="Times New Roman"/>
        </w:rPr>
        <w:t>100%</w:t>
      </w:r>
      <w:r w:rsidRPr="000140B3">
        <w:rPr>
          <w:rFonts w:ascii="Times New Roman" w:hAnsi="Times New Roman"/>
        </w:rPr>
        <w:t>的關稅，因本次加徵關稅涉及近年來在中國大陸出口商品中表現極為突出的電動車、鋰電池、太陽能電池等產品，加徵關稅將對中國大陸相關產業產生極大衝擊，更甚是引發其他國家</w:t>
      </w:r>
      <w:r w:rsidR="0008226F" w:rsidRPr="000140B3">
        <w:rPr>
          <w:rFonts w:ascii="Times New Roman" w:hAnsi="Times New Roman" w:hint="eastAsia"/>
        </w:rPr>
        <w:t>對其</w:t>
      </w:r>
      <w:r w:rsidRPr="000140B3">
        <w:rPr>
          <w:rFonts w:ascii="Times New Roman" w:hAnsi="Times New Roman"/>
        </w:rPr>
        <w:t>進行調查後，同樣採取加徵關稅措施，如</w:t>
      </w:r>
      <w:r w:rsidRPr="000140B3">
        <w:rPr>
          <w:rFonts w:ascii="Times New Roman" w:hAnsi="Times New Roman"/>
        </w:rPr>
        <w:t>2024</w:t>
      </w:r>
      <w:r w:rsidRPr="000140B3">
        <w:rPr>
          <w:rFonts w:ascii="Times New Roman" w:hAnsi="Times New Roman"/>
        </w:rPr>
        <w:t>年</w:t>
      </w:r>
      <w:r w:rsidRPr="000140B3">
        <w:rPr>
          <w:rFonts w:ascii="Times New Roman" w:hAnsi="Times New Roman"/>
        </w:rPr>
        <w:t>6</w:t>
      </w:r>
      <w:r w:rsidRPr="000140B3">
        <w:rPr>
          <w:rFonts w:ascii="Times New Roman" w:hAnsi="Times New Roman"/>
        </w:rPr>
        <w:t>月</w:t>
      </w:r>
      <w:r w:rsidRPr="000140B3">
        <w:rPr>
          <w:rFonts w:ascii="Times New Roman" w:hAnsi="Times New Roman"/>
        </w:rPr>
        <w:t>12</w:t>
      </w:r>
      <w:r w:rsidRPr="000140B3">
        <w:rPr>
          <w:rFonts w:ascii="Times New Roman" w:hAnsi="Times New Roman"/>
        </w:rPr>
        <w:t>日歐盟宣布對中國進口電動車加徵最高</w:t>
      </w:r>
      <w:r w:rsidRPr="000140B3">
        <w:rPr>
          <w:rFonts w:ascii="Times New Roman" w:hAnsi="Times New Roman"/>
        </w:rPr>
        <w:t>38%</w:t>
      </w:r>
      <w:r w:rsidRPr="000140B3">
        <w:rPr>
          <w:rFonts w:ascii="Times New Roman" w:hAnsi="Times New Roman"/>
        </w:rPr>
        <w:t>關稅，反制其過度補貼政策。顯示，美中貿易戰及地緣政治複雜化後，全球化不再是各國追求的方向，產業分工出現重大變化。</w:t>
      </w:r>
      <w:r w:rsidRPr="000140B3">
        <w:rPr>
          <w:rFonts w:ascii="Times New Roman" w:hAnsi="Times New Roman"/>
        </w:rPr>
        <w:lastRenderedPageBreak/>
        <w:t>全球供應鏈重組，廠商陸續轉往越南、印尼、馬來西亞、泰國、印度和墨西哥等地布局。使中國大陸外國人投資大幅下滑。</w:t>
      </w:r>
      <w:r w:rsidRPr="000140B3">
        <w:rPr>
          <w:rFonts w:ascii="Times New Roman" w:hAnsi="Times New Roman"/>
        </w:rPr>
        <w:t>2024</w:t>
      </w:r>
      <w:r w:rsidRPr="000140B3">
        <w:rPr>
          <w:rFonts w:ascii="Times New Roman" w:hAnsi="Times New Roman"/>
        </w:rPr>
        <w:t>年美國再以</w:t>
      </w:r>
      <w:r w:rsidRPr="000140B3">
        <w:rPr>
          <w:rFonts w:ascii="Times New Roman" w:hAnsi="Times New Roman"/>
        </w:rPr>
        <w:t>301</w:t>
      </w:r>
      <w:r w:rsidRPr="000140B3">
        <w:rPr>
          <w:rFonts w:ascii="Times New Roman" w:hAnsi="Times New Roman"/>
        </w:rPr>
        <w:t>條款對中國大陸極具競爭力之產品加徵關稅，對中國大陸之衝擊更為全面。雖我國金融業對中國大陸</w:t>
      </w:r>
      <w:proofErr w:type="gramStart"/>
      <w:r w:rsidRPr="000140B3">
        <w:rPr>
          <w:rFonts w:ascii="Times New Roman" w:hAnsi="Times New Roman"/>
        </w:rPr>
        <w:t>之暴險逐年</w:t>
      </w:r>
      <w:proofErr w:type="gramEnd"/>
      <w:r w:rsidRPr="000140B3">
        <w:rPr>
          <w:rFonts w:ascii="Times New Roman" w:hAnsi="Times New Roman"/>
        </w:rPr>
        <w:t>下滑，然如前所述，中國大陸產業將面臨更全面之衝擊，金管會允應持續關注中國大陸之產業發展，並積極督促金融業強化對中國大陸</w:t>
      </w:r>
      <w:proofErr w:type="gramStart"/>
      <w:r w:rsidRPr="000140B3">
        <w:rPr>
          <w:rFonts w:ascii="Times New Roman" w:hAnsi="Times New Roman"/>
        </w:rPr>
        <w:t>之暴險管</w:t>
      </w:r>
      <w:proofErr w:type="gramEnd"/>
      <w:r w:rsidRPr="000140B3">
        <w:rPr>
          <w:rFonts w:ascii="Times New Roman" w:hAnsi="Times New Roman"/>
        </w:rPr>
        <w:t>理。</w:t>
      </w:r>
    </w:p>
    <w:p w:rsidR="0064621B" w:rsidRPr="000140B3" w:rsidRDefault="0064621B" w:rsidP="0064621B">
      <w:pPr>
        <w:pStyle w:val="3"/>
        <w:rPr>
          <w:rFonts w:ascii="Times New Roman" w:hAnsi="Times New Roman"/>
        </w:rPr>
      </w:pPr>
      <w:r w:rsidRPr="000140B3">
        <w:rPr>
          <w:rFonts w:ascii="Times New Roman" w:hAnsi="Times New Roman"/>
        </w:rPr>
        <w:t>綜上，</w:t>
      </w:r>
      <w:r w:rsidR="00FD74D2" w:rsidRPr="000140B3">
        <w:rPr>
          <w:rFonts w:ascii="Times New Roman" w:hAnsi="Times New Roman"/>
        </w:rPr>
        <w:t>中國大陸房地產企業財務狀況明顯不佳。我國金融業</w:t>
      </w:r>
      <w:proofErr w:type="gramStart"/>
      <w:r w:rsidR="00FD74D2" w:rsidRPr="000140B3">
        <w:rPr>
          <w:rFonts w:ascii="Times New Roman" w:hAnsi="Times New Roman"/>
        </w:rPr>
        <w:t>對其暴險金額</w:t>
      </w:r>
      <w:proofErr w:type="gramEnd"/>
      <w:r w:rsidR="00FD74D2" w:rsidRPr="000140B3">
        <w:rPr>
          <w:rFonts w:ascii="Times New Roman" w:hAnsi="Times New Roman"/>
        </w:rPr>
        <w:t>亦逐年下降，雖</w:t>
      </w:r>
      <w:r w:rsidR="00FD74D2" w:rsidRPr="000140B3">
        <w:rPr>
          <w:rFonts w:ascii="Times New Roman" w:hAnsi="Times New Roman" w:hint="eastAsia"/>
        </w:rPr>
        <w:t>部分國銀對</w:t>
      </w:r>
      <w:r w:rsidR="00FD74D2" w:rsidRPr="000140B3">
        <w:rPr>
          <w:rFonts w:ascii="Times New Roman" w:hAnsi="Times New Roman"/>
        </w:rPr>
        <w:t>碧</w:t>
      </w:r>
      <w:proofErr w:type="gramStart"/>
      <w:r w:rsidR="00FD74D2" w:rsidRPr="000140B3">
        <w:rPr>
          <w:rFonts w:ascii="Times New Roman" w:hAnsi="Times New Roman"/>
        </w:rPr>
        <w:t>桂</w:t>
      </w:r>
      <w:proofErr w:type="gramEnd"/>
      <w:r w:rsidR="00FD74D2" w:rsidRPr="000140B3">
        <w:rPr>
          <w:rFonts w:ascii="Times New Roman" w:hAnsi="Times New Roman"/>
        </w:rPr>
        <w:t>園及萬科仍有授信，然</w:t>
      </w:r>
      <w:r w:rsidR="00FD74D2" w:rsidRPr="000140B3">
        <w:rPr>
          <w:rFonts w:ascii="Times New Roman" w:hAnsi="Times New Roman" w:hint="eastAsia"/>
        </w:rPr>
        <w:t>其</w:t>
      </w:r>
      <w:r w:rsidR="00FD74D2" w:rsidRPr="000140B3">
        <w:rPr>
          <w:rFonts w:ascii="Times New Roman" w:hAnsi="Times New Roman"/>
        </w:rPr>
        <w:t>還款情形正常，且相關銀行已依金管會要求，提列備抵呆帳比率</w:t>
      </w:r>
      <w:r w:rsidR="00FD74D2" w:rsidRPr="000140B3">
        <w:rPr>
          <w:rFonts w:ascii="Times New Roman" w:hAnsi="Times New Roman"/>
        </w:rPr>
        <w:t>1.5%</w:t>
      </w:r>
      <w:r w:rsidR="00FD74D2" w:rsidRPr="000140B3">
        <w:rPr>
          <w:rFonts w:ascii="Times New Roman" w:hAnsi="Times New Roman"/>
        </w:rPr>
        <w:t>以上，</w:t>
      </w:r>
      <w:r w:rsidR="00FD74D2" w:rsidRPr="000140B3">
        <w:rPr>
          <w:rFonts w:ascii="Times New Roman" w:hAnsi="Times New Roman" w:hint="eastAsia"/>
        </w:rPr>
        <w:t>該等餘額</w:t>
      </w:r>
      <w:r w:rsidR="00FD74D2" w:rsidRPr="000140B3">
        <w:rPr>
          <w:rFonts w:ascii="Times New Roman" w:hAnsi="Times New Roman"/>
        </w:rPr>
        <w:t>其占銀行業於</w:t>
      </w:r>
      <w:proofErr w:type="gramStart"/>
      <w:r w:rsidR="00FD74D2" w:rsidRPr="000140B3">
        <w:rPr>
          <w:rFonts w:ascii="Times New Roman" w:hAnsi="Times New Roman"/>
        </w:rPr>
        <w:t>中國大陸暴險總</w:t>
      </w:r>
      <w:proofErr w:type="gramEnd"/>
      <w:r w:rsidR="00FD74D2" w:rsidRPr="000140B3">
        <w:rPr>
          <w:rFonts w:ascii="Times New Roman" w:hAnsi="Times New Roman"/>
        </w:rPr>
        <w:t>額度</w:t>
      </w:r>
      <w:r w:rsidR="00FD74D2" w:rsidRPr="000140B3">
        <w:rPr>
          <w:rFonts w:ascii="Times New Roman" w:hAnsi="Times New Roman"/>
        </w:rPr>
        <w:t>9,610</w:t>
      </w:r>
      <w:r w:rsidR="00FD74D2" w:rsidRPr="000140B3">
        <w:rPr>
          <w:rFonts w:ascii="Times New Roman" w:hAnsi="Times New Roman"/>
        </w:rPr>
        <w:t>億元比率未達</w:t>
      </w:r>
      <w:r w:rsidR="00FD74D2" w:rsidRPr="000140B3">
        <w:rPr>
          <w:rFonts w:ascii="Times New Roman" w:hAnsi="Times New Roman"/>
        </w:rPr>
        <w:t>0.4%</w:t>
      </w:r>
      <w:r w:rsidR="00FD74D2" w:rsidRPr="000140B3">
        <w:rPr>
          <w:rFonts w:ascii="Times New Roman" w:hAnsi="Times New Roman"/>
        </w:rPr>
        <w:t>，占</w:t>
      </w:r>
      <w:r w:rsidR="00FD74D2" w:rsidRPr="000140B3">
        <w:rPr>
          <w:rFonts w:ascii="Times New Roman" w:hAnsi="Times New Roman" w:hint="eastAsia"/>
        </w:rPr>
        <w:t>國銀</w:t>
      </w:r>
      <w:r w:rsidR="00FD74D2" w:rsidRPr="000140B3">
        <w:rPr>
          <w:rFonts w:ascii="Times New Roman" w:hAnsi="Times New Roman"/>
        </w:rPr>
        <w:t>上年度決算後淨值</w:t>
      </w:r>
      <w:r w:rsidR="00FD74D2" w:rsidRPr="000140B3">
        <w:rPr>
          <w:rFonts w:ascii="Times New Roman" w:hAnsi="Times New Roman"/>
        </w:rPr>
        <w:t>42,323</w:t>
      </w:r>
      <w:r w:rsidR="00FD74D2" w:rsidRPr="000140B3">
        <w:rPr>
          <w:rFonts w:ascii="Times New Roman" w:hAnsi="Times New Roman"/>
        </w:rPr>
        <w:t>億元亦僅</w:t>
      </w:r>
      <w:r w:rsidR="00FD74D2" w:rsidRPr="000140B3">
        <w:rPr>
          <w:rFonts w:ascii="Times New Roman" w:hAnsi="Times New Roman"/>
        </w:rPr>
        <w:t>0.08%</w:t>
      </w:r>
      <w:r w:rsidR="00FD74D2" w:rsidRPr="000140B3">
        <w:rPr>
          <w:rFonts w:ascii="Times New Roman" w:hAnsi="Times New Roman"/>
        </w:rPr>
        <w:t>，顯示金融業於中國大陸房地產業</w:t>
      </w:r>
      <w:proofErr w:type="gramStart"/>
      <w:r w:rsidR="00FD74D2" w:rsidRPr="000140B3">
        <w:rPr>
          <w:rFonts w:ascii="Times New Roman" w:hAnsi="Times New Roman"/>
        </w:rPr>
        <w:t>之暴險情</w:t>
      </w:r>
      <w:proofErr w:type="gramEnd"/>
      <w:r w:rsidR="00FD74D2" w:rsidRPr="000140B3">
        <w:rPr>
          <w:rFonts w:ascii="Times New Roman" w:hAnsi="Times New Roman"/>
        </w:rPr>
        <w:t>形，尚屬可控範圍。然</w:t>
      </w:r>
      <w:r w:rsidR="00FD74D2" w:rsidRPr="000140B3">
        <w:rPr>
          <w:rFonts w:ascii="Times New Roman" w:hAnsi="Times New Roman"/>
        </w:rPr>
        <w:t>2024</w:t>
      </w:r>
      <w:r w:rsidR="00FD74D2" w:rsidRPr="000140B3">
        <w:rPr>
          <w:rFonts w:ascii="Times New Roman" w:hAnsi="Times New Roman"/>
        </w:rPr>
        <w:t>年美國以</w:t>
      </w:r>
      <w:r w:rsidR="00FD74D2" w:rsidRPr="000140B3">
        <w:rPr>
          <w:rFonts w:ascii="Times New Roman" w:hAnsi="Times New Roman"/>
        </w:rPr>
        <w:t>301</w:t>
      </w:r>
      <w:r w:rsidR="00FD74D2" w:rsidRPr="000140B3">
        <w:rPr>
          <w:rFonts w:ascii="Times New Roman" w:hAnsi="Times New Roman"/>
        </w:rPr>
        <w:t>條款</w:t>
      </w:r>
      <w:r w:rsidR="00FD74D2" w:rsidRPr="000140B3">
        <w:rPr>
          <w:rStyle w:val="aff4"/>
          <w:rFonts w:ascii="Times New Roman" w:hAnsi="Times New Roman"/>
        </w:rPr>
        <w:footnoteReference w:id="17"/>
      </w:r>
      <w:r w:rsidR="00FD74D2" w:rsidRPr="000140B3">
        <w:rPr>
          <w:rFonts w:ascii="Times New Roman" w:hAnsi="Times New Roman"/>
        </w:rPr>
        <w:t>對中國大陸極具競爭力之電動車、鋰電池、太陽能電池等產品加徵關稅，將對中國大陸產業產生更全面之衝擊，金管會允應持續關注中國大陸之產業發展，並積極督促金融業強化對中國大陸</w:t>
      </w:r>
      <w:proofErr w:type="gramStart"/>
      <w:r w:rsidR="00FD74D2" w:rsidRPr="000140B3">
        <w:rPr>
          <w:rFonts w:ascii="Times New Roman" w:hAnsi="Times New Roman"/>
        </w:rPr>
        <w:t>之暴險管理</w:t>
      </w:r>
      <w:proofErr w:type="gramEnd"/>
      <w:r w:rsidR="00FD74D2" w:rsidRPr="000140B3">
        <w:rPr>
          <w:rFonts w:ascii="Times New Roman" w:hAnsi="Times New Roman"/>
        </w:rPr>
        <w:t>。</w:t>
      </w:r>
    </w:p>
    <w:p w:rsidR="0064621B" w:rsidRPr="000140B3" w:rsidRDefault="0064621B" w:rsidP="0064621B">
      <w:pPr>
        <w:pStyle w:val="2"/>
        <w:spacing w:beforeLines="50" w:before="228"/>
        <w:ind w:left="1020" w:hanging="680"/>
        <w:rPr>
          <w:rFonts w:ascii="Times New Roman" w:hAnsi="Times New Roman"/>
          <w:b/>
        </w:rPr>
      </w:pPr>
      <w:r w:rsidRPr="000140B3">
        <w:rPr>
          <w:rFonts w:ascii="Times New Roman" w:hAnsi="Times New Roman"/>
          <w:b/>
        </w:rPr>
        <w:t>香港是全球最大的離岸人民幣結算中心，占全球人民幣支付交易約</w:t>
      </w:r>
      <w:r w:rsidRPr="000140B3">
        <w:rPr>
          <w:rFonts w:ascii="Times New Roman" w:hAnsi="Times New Roman"/>
          <w:b/>
        </w:rPr>
        <w:t>70%</w:t>
      </w:r>
      <w:r w:rsidRPr="000140B3">
        <w:rPr>
          <w:rFonts w:ascii="Times New Roman" w:hAnsi="Times New Roman"/>
          <w:b/>
        </w:rPr>
        <w:t>。香港也是中國大陸企業重要的離岸集資中心。截至</w:t>
      </w:r>
      <w:r w:rsidRPr="000140B3">
        <w:rPr>
          <w:rFonts w:ascii="Times New Roman" w:hAnsi="Times New Roman"/>
          <w:b/>
        </w:rPr>
        <w:t>2021</w:t>
      </w:r>
      <w:r w:rsidRPr="000140B3">
        <w:rPr>
          <w:rFonts w:ascii="Times New Roman" w:hAnsi="Times New Roman"/>
          <w:b/>
        </w:rPr>
        <w:t>年底，在香港上市的中國大陸企業有</w:t>
      </w:r>
      <w:r w:rsidRPr="000140B3">
        <w:rPr>
          <w:rFonts w:ascii="Times New Roman" w:hAnsi="Times New Roman"/>
          <w:b/>
        </w:rPr>
        <w:t>1,455</w:t>
      </w:r>
      <w:r w:rsidRPr="000140B3">
        <w:rPr>
          <w:rFonts w:ascii="Times New Roman" w:hAnsi="Times New Roman"/>
          <w:b/>
        </w:rPr>
        <w:t>家，其中包括</w:t>
      </w:r>
      <w:r w:rsidRPr="000140B3">
        <w:rPr>
          <w:rFonts w:ascii="Times New Roman" w:hAnsi="Times New Roman"/>
          <w:b/>
        </w:rPr>
        <w:t>H</w:t>
      </w:r>
      <w:r w:rsidRPr="000140B3">
        <w:rPr>
          <w:rFonts w:ascii="Times New Roman" w:hAnsi="Times New Roman"/>
          <w:b/>
        </w:rPr>
        <w:t>股、紅籌股及民營企業，總市值約為</w:t>
      </w:r>
      <w:r w:rsidRPr="000140B3">
        <w:rPr>
          <w:rFonts w:ascii="Times New Roman" w:hAnsi="Times New Roman"/>
          <w:b/>
        </w:rPr>
        <w:t>4.3</w:t>
      </w:r>
      <w:r w:rsidRPr="000140B3">
        <w:rPr>
          <w:rFonts w:ascii="Times New Roman" w:hAnsi="Times New Roman"/>
          <w:b/>
        </w:rPr>
        <w:t>兆美元，占市場總值的</w:t>
      </w:r>
      <w:r w:rsidRPr="000140B3">
        <w:rPr>
          <w:rFonts w:ascii="Times New Roman" w:hAnsi="Times New Roman"/>
          <w:b/>
        </w:rPr>
        <w:t>79</w:t>
      </w:r>
      <w:r w:rsidR="0008226F" w:rsidRPr="000140B3">
        <w:rPr>
          <w:rFonts w:ascii="Times New Roman" w:hAnsi="Times New Roman" w:hint="eastAsia"/>
          <w:b/>
        </w:rPr>
        <w:t>%</w:t>
      </w:r>
      <w:r w:rsidRPr="000140B3">
        <w:rPr>
          <w:rStyle w:val="aff4"/>
          <w:rFonts w:ascii="Times New Roman" w:hAnsi="Times New Roman"/>
          <w:b/>
        </w:rPr>
        <w:footnoteReference w:id="18"/>
      </w:r>
      <w:r w:rsidRPr="000140B3">
        <w:rPr>
          <w:rFonts w:ascii="Times New Roman" w:hAnsi="Times New Roman"/>
          <w:b/>
        </w:rPr>
        <w:t>。故</w:t>
      </w:r>
      <w:r w:rsidRPr="000140B3">
        <w:rPr>
          <w:rFonts w:ascii="Times New Roman" w:hAnsi="Times New Roman"/>
          <w:b/>
          <w:szCs w:val="32"/>
        </w:rPr>
        <w:t>中國大陸企業營運良</w:t>
      </w:r>
      <w:proofErr w:type="gramStart"/>
      <w:r w:rsidRPr="000140B3">
        <w:rPr>
          <w:rFonts w:ascii="Times New Roman" w:hAnsi="Times New Roman"/>
          <w:b/>
          <w:szCs w:val="32"/>
        </w:rPr>
        <w:t>窳</w:t>
      </w:r>
      <w:proofErr w:type="gramEnd"/>
      <w:r w:rsidRPr="000140B3">
        <w:rPr>
          <w:rFonts w:ascii="Times New Roman" w:hAnsi="Times New Roman"/>
          <w:b/>
          <w:szCs w:val="32"/>
        </w:rPr>
        <w:t>連動香港經濟甚深。我國金融業於香港</w:t>
      </w:r>
      <w:proofErr w:type="gramStart"/>
      <w:r w:rsidRPr="000140B3">
        <w:rPr>
          <w:rFonts w:ascii="Times New Roman" w:hAnsi="Times New Roman"/>
          <w:b/>
          <w:szCs w:val="32"/>
        </w:rPr>
        <w:t>之暴險金</w:t>
      </w:r>
      <w:r w:rsidRPr="000140B3">
        <w:rPr>
          <w:rFonts w:ascii="Times New Roman" w:hAnsi="Times New Roman"/>
          <w:b/>
          <w:szCs w:val="32"/>
        </w:rPr>
        <w:lastRenderedPageBreak/>
        <w:t>額</w:t>
      </w:r>
      <w:proofErr w:type="gramEnd"/>
      <w:r w:rsidRPr="000140B3">
        <w:rPr>
          <w:rFonts w:ascii="Times New Roman" w:hAnsi="Times New Roman"/>
          <w:b/>
          <w:szCs w:val="32"/>
        </w:rPr>
        <w:t>，除銀行業稍低於中國大陸</w:t>
      </w:r>
      <w:proofErr w:type="gramStart"/>
      <w:r w:rsidRPr="000140B3">
        <w:rPr>
          <w:rFonts w:ascii="Times New Roman" w:hAnsi="Times New Roman"/>
          <w:b/>
          <w:szCs w:val="32"/>
        </w:rPr>
        <w:t>之暴險金</w:t>
      </w:r>
      <w:proofErr w:type="gramEnd"/>
      <w:r w:rsidRPr="000140B3">
        <w:rPr>
          <w:rFonts w:ascii="Times New Roman" w:hAnsi="Times New Roman"/>
          <w:b/>
          <w:szCs w:val="32"/>
        </w:rPr>
        <w:t>額外，保險業及證券期貨</w:t>
      </w:r>
      <w:proofErr w:type="gramStart"/>
      <w:r w:rsidRPr="000140B3">
        <w:rPr>
          <w:rFonts w:ascii="Times New Roman" w:hAnsi="Times New Roman"/>
          <w:b/>
          <w:szCs w:val="32"/>
        </w:rPr>
        <w:t>業其暴</w:t>
      </w:r>
      <w:proofErr w:type="gramEnd"/>
      <w:r w:rsidRPr="000140B3">
        <w:rPr>
          <w:rFonts w:ascii="Times New Roman" w:hAnsi="Times New Roman"/>
          <w:b/>
          <w:szCs w:val="32"/>
        </w:rPr>
        <w:t>險金額均高於中國大陸，然因中國大陸對香港地區管理日漸緊密，造成香港金融重鎮逐漸</w:t>
      </w:r>
      <w:r w:rsidR="00A87E01" w:rsidRPr="000140B3">
        <w:rPr>
          <w:rFonts w:ascii="Times New Roman" w:hAnsi="Times New Roman" w:hint="eastAsia"/>
          <w:b/>
          <w:szCs w:val="32"/>
        </w:rPr>
        <w:t>褪</w:t>
      </w:r>
      <w:r w:rsidRPr="000140B3">
        <w:rPr>
          <w:rFonts w:ascii="Times New Roman" w:hAnsi="Times New Roman"/>
          <w:b/>
          <w:szCs w:val="32"/>
        </w:rPr>
        <w:t>色。為有效管控我國金融業於香港地區</w:t>
      </w:r>
      <w:proofErr w:type="gramStart"/>
      <w:r w:rsidRPr="000140B3">
        <w:rPr>
          <w:rFonts w:ascii="Times New Roman" w:hAnsi="Times New Roman"/>
          <w:b/>
          <w:szCs w:val="32"/>
        </w:rPr>
        <w:t>之暴險</w:t>
      </w:r>
      <w:proofErr w:type="gramEnd"/>
      <w:r w:rsidRPr="000140B3">
        <w:rPr>
          <w:rFonts w:ascii="Times New Roman" w:hAnsi="Times New Roman"/>
          <w:b/>
          <w:szCs w:val="32"/>
        </w:rPr>
        <w:t>，</w:t>
      </w:r>
      <w:r w:rsidRPr="000140B3">
        <w:rPr>
          <w:rFonts w:ascii="Times New Roman" w:hAnsi="Times New Roman"/>
          <w:b/>
        </w:rPr>
        <w:t>金管會允應持續關注中國大陸官方及企業對香港地區政經環境之影響，密切注意國銀香港分支機構營運情</w:t>
      </w:r>
      <w:r w:rsidR="0008226F" w:rsidRPr="000140B3">
        <w:rPr>
          <w:rFonts w:ascii="Times New Roman" w:hAnsi="Times New Roman" w:hint="eastAsia"/>
          <w:b/>
        </w:rPr>
        <w:t>形</w:t>
      </w:r>
      <w:r w:rsidRPr="000140B3">
        <w:rPr>
          <w:rFonts w:ascii="Times New Roman" w:hAnsi="Times New Roman"/>
          <w:b/>
        </w:rPr>
        <w:t>，並積極督促</w:t>
      </w:r>
      <w:r w:rsidR="0008226F" w:rsidRPr="000140B3">
        <w:rPr>
          <w:rFonts w:ascii="Times New Roman" w:hAnsi="Times New Roman" w:hint="eastAsia"/>
          <w:b/>
        </w:rPr>
        <w:t>國內</w:t>
      </w:r>
      <w:r w:rsidRPr="000140B3">
        <w:rPr>
          <w:rFonts w:ascii="Times New Roman" w:hAnsi="Times New Roman"/>
          <w:b/>
        </w:rPr>
        <w:t>金融業者強化香港地區之風險控管措施。</w:t>
      </w:r>
    </w:p>
    <w:p w:rsidR="0064621B" w:rsidRPr="000140B3" w:rsidRDefault="0064621B" w:rsidP="0064621B">
      <w:pPr>
        <w:pStyle w:val="3"/>
        <w:rPr>
          <w:rFonts w:ascii="Times New Roman" w:hAnsi="Times New Roman"/>
        </w:rPr>
      </w:pPr>
      <w:r w:rsidRPr="000140B3">
        <w:rPr>
          <w:rFonts w:ascii="Times New Roman" w:hAnsi="Times New Roman"/>
        </w:rPr>
        <w:t>按政府對於我國金融業於香港地區之管理係依據香港澳門關係條例、臺灣地區銀行在香港澳門設立分支機構子公司許可辦法、臺灣地區保險機構在香港澳門設立分支機構子公司許可辦法、臺灣地區證券及期貨機構在香港澳門設立分支機構子公司許可辦法等規範進行管理。</w:t>
      </w:r>
      <w:proofErr w:type="gramStart"/>
      <w:r w:rsidRPr="000140B3">
        <w:rPr>
          <w:rFonts w:ascii="Times New Roman" w:hAnsi="Times New Roman"/>
        </w:rPr>
        <w:t>對其暴險則</w:t>
      </w:r>
      <w:proofErr w:type="gramEnd"/>
      <w:r w:rsidR="0008226F" w:rsidRPr="000140B3">
        <w:rPr>
          <w:rFonts w:ascii="Times New Roman" w:hAnsi="Times New Roman" w:hint="eastAsia"/>
        </w:rPr>
        <w:t>採取</w:t>
      </w:r>
      <w:r w:rsidRPr="000140B3">
        <w:rPr>
          <w:rFonts w:ascii="Times New Roman" w:hAnsi="Times New Roman"/>
        </w:rPr>
        <w:t>金融機構於其他國家之相同方式管理，是以，我國金融業於香港地區</w:t>
      </w:r>
      <w:proofErr w:type="gramStart"/>
      <w:r w:rsidRPr="000140B3">
        <w:rPr>
          <w:rFonts w:ascii="Times New Roman" w:hAnsi="Times New Roman"/>
        </w:rPr>
        <w:t>之暴險管</w:t>
      </w:r>
      <w:proofErr w:type="gramEnd"/>
      <w:r w:rsidRPr="000140B3">
        <w:rPr>
          <w:rFonts w:ascii="Times New Roman" w:hAnsi="Times New Roman"/>
        </w:rPr>
        <w:t>理與於中國大陸之方式不同，於中國大陸係採更嚴格之管理方式。</w:t>
      </w:r>
    </w:p>
    <w:p w:rsidR="0064621B" w:rsidRPr="000140B3" w:rsidRDefault="0064621B" w:rsidP="0064621B">
      <w:pPr>
        <w:pStyle w:val="3"/>
        <w:rPr>
          <w:rFonts w:ascii="Times New Roman" w:hAnsi="Times New Roman"/>
        </w:rPr>
      </w:pPr>
      <w:r w:rsidRPr="000140B3">
        <w:rPr>
          <w:rFonts w:ascii="Times New Roman" w:hAnsi="Times New Roman"/>
        </w:rPr>
        <w:t>查</w:t>
      </w:r>
      <w:r w:rsidRPr="000140B3">
        <w:rPr>
          <w:rFonts w:ascii="Times New Roman" w:hAnsi="Times New Roman"/>
        </w:rPr>
        <w:t>108</w:t>
      </w:r>
      <w:r w:rsidRPr="000140B3">
        <w:rPr>
          <w:rFonts w:ascii="Times New Roman" w:hAnsi="Times New Roman"/>
        </w:rPr>
        <w:t>至</w:t>
      </w:r>
      <w:r w:rsidRPr="000140B3">
        <w:rPr>
          <w:rFonts w:ascii="Times New Roman" w:hAnsi="Times New Roman"/>
        </w:rPr>
        <w:t>112</w:t>
      </w:r>
      <w:r w:rsidRPr="000140B3">
        <w:rPr>
          <w:rFonts w:ascii="Times New Roman" w:hAnsi="Times New Roman"/>
        </w:rPr>
        <w:t>年起我國金融機構對香港</w:t>
      </w:r>
      <w:proofErr w:type="gramStart"/>
      <w:r w:rsidRPr="000140B3">
        <w:rPr>
          <w:rFonts w:ascii="Times New Roman" w:hAnsi="Times New Roman"/>
        </w:rPr>
        <w:t>暴險呈</w:t>
      </w:r>
      <w:proofErr w:type="gramEnd"/>
      <w:r w:rsidRPr="000140B3">
        <w:rPr>
          <w:rFonts w:ascii="Times New Roman" w:hAnsi="Times New Roman"/>
        </w:rPr>
        <w:t>逐年下滑趨勢：</w:t>
      </w:r>
    </w:p>
    <w:p w:rsidR="0064621B" w:rsidRPr="000140B3" w:rsidRDefault="0064621B" w:rsidP="0064621B">
      <w:pPr>
        <w:pStyle w:val="4"/>
        <w:rPr>
          <w:rFonts w:ascii="Times New Roman" w:hAnsi="Times New Roman"/>
        </w:rPr>
      </w:pPr>
      <w:r w:rsidRPr="000140B3">
        <w:rPr>
          <w:rFonts w:ascii="Times New Roman" w:hAnsi="Times New Roman"/>
        </w:rPr>
        <w:t>銀行業，</w:t>
      </w:r>
      <w:proofErr w:type="gramStart"/>
      <w:r w:rsidRPr="000140B3">
        <w:rPr>
          <w:rFonts w:ascii="Times New Roman" w:hAnsi="Times New Roman"/>
        </w:rPr>
        <w:t>詳表</w:t>
      </w:r>
      <w:proofErr w:type="gramEnd"/>
      <w:r w:rsidR="009A7522" w:rsidRPr="000140B3">
        <w:rPr>
          <w:rFonts w:ascii="Times New Roman" w:hAnsi="Times New Roman" w:hint="eastAsia"/>
        </w:rPr>
        <w:t>9</w:t>
      </w:r>
      <w:r w:rsidRPr="000140B3">
        <w:rPr>
          <w:rFonts w:ascii="Times New Roman" w:hAnsi="Times New Roman"/>
        </w:rPr>
        <w:t>：</w:t>
      </w:r>
    </w:p>
    <w:p w:rsidR="0064621B" w:rsidRPr="000140B3" w:rsidRDefault="0064621B" w:rsidP="0064621B">
      <w:pPr>
        <w:pStyle w:val="5"/>
        <w:rPr>
          <w:rFonts w:ascii="Times New Roman" w:hAnsi="Times New Roman"/>
        </w:rPr>
      </w:pPr>
      <w:r w:rsidRPr="000140B3">
        <w:rPr>
          <w:rFonts w:ascii="Times New Roman" w:hAnsi="Times New Roman"/>
        </w:rPr>
        <w:t>我國銀行業對香港</w:t>
      </w:r>
      <w:proofErr w:type="gramStart"/>
      <w:r w:rsidRPr="000140B3">
        <w:rPr>
          <w:rFonts w:ascii="Times New Roman" w:hAnsi="Times New Roman"/>
        </w:rPr>
        <w:t>地區暴險金額</w:t>
      </w:r>
      <w:proofErr w:type="gramEnd"/>
      <w:r w:rsidRPr="000140B3">
        <w:rPr>
          <w:rFonts w:ascii="Times New Roman" w:hAnsi="Times New Roman"/>
        </w:rPr>
        <w:t>由</w:t>
      </w:r>
      <w:r w:rsidRPr="000140B3">
        <w:rPr>
          <w:rFonts w:ascii="Times New Roman" w:hAnsi="Times New Roman"/>
        </w:rPr>
        <w:t>108</w:t>
      </w:r>
      <w:r w:rsidRPr="000140B3">
        <w:rPr>
          <w:rFonts w:ascii="Times New Roman" w:hAnsi="Times New Roman"/>
        </w:rPr>
        <w:t>年底之</w:t>
      </w:r>
      <w:r w:rsidRPr="000140B3">
        <w:rPr>
          <w:rFonts w:ascii="Times New Roman" w:hAnsi="Times New Roman"/>
        </w:rPr>
        <w:t>7,681</w:t>
      </w:r>
      <w:r w:rsidRPr="000140B3">
        <w:rPr>
          <w:rFonts w:ascii="Times New Roman" w:hAnsi="Times New Roman"/>
        </w:rPr>
        <w:t>億元略升至</w:t>
      </w:r>
      <w:r w:rsidRPr="000140B3">
        <w:rPr>
          <w:rFonts w:ascii="Times New Roman" w:hAnsi="Times New Roman"/>
        </w:rPr>
        <w:t>112</w:t>
      </w:r>
      <w:r w:rsidRPr="000140B3">
        <w:rPr>
          <w:rFonts w:ascii="Times New Roman" w:hAnsi="Times New Roman"/>
        </w:rPr>
        <w:t>年底之</w:t>
      </w:r>
      <w:r w:rsidRPr="000140B3">
        <w:rPr>
          <w:rFonts w:ascii="Times New Roman" w:hAnsi="Times New Roman"/>
        </w:rPr>
        <w:t>7,822</w:t>
      </w:r>
      <w:r w:rsidRPr="000140B3">
        <w:rPr>
          <w:rFonts w:ascii="Times New Roman" w:hAnsi="Times New Roman"/>
        </w:rPr>
        <w:t>億元，然</w:t>
      </w:r>
      <w:r w:rsidRPr="000140B3">
        <w:rPr>
          <w:rFonts w:ascii="Times New Roman" w:hAnsi="Times New Roman"/>
        </w:rPr>
        <w:t>109</w:t>
      </w:r>
      <w:r w:rsidRPr="000140B3">
        <w:rPr>
          <w:rFonts w:ascii="Times New Roman" w:hAnsi="Times New Roman"/>
        </w:rPr>
        <w:t>至</w:t>
      </w:r>
      <w:r w:rsidRPr="000140B3">
        <w:rPr>
          <w:rFonts w:ascii="Times New Roman" w:hAnsi="Times New Roman"/>
        </w:rPr>
        <w:t>111</w:t>
      </w:r>
      <w:r w:rsidRPr="000140B3">
        <w:rPr>
          <w:rFonts w:ascii="Times New Roman" w:hAnsi="Times New Roman"/>
        </w:rPr>
        <w:t>年底則呈逐年下滑趨勢。</w:t>
      </w:r>
    </w:p>
    <w:p w:rsidR="0064621B" w:rsidRPr="000140B3" w:rsidRDefault="0064621B" w:rsidP="0064621B">
      <w:pPr>
        <w:pStyle w:val="5"/>
        <w:rPr>
          <w:rFonts w:ascii="Times New Roman" w:hAnsi="Times New Roman"/>
        </w:rPr>
      </w:pPr>
      <w:r w:rsidRPr="000140B3">
        <w:rPr>
          <w:rFonts w:ascii="Times New Roman" w:hAnsi="Times New Roman"/>
        </w:rPr>
        <w:t>我國銀行業對香港</w:t>
      </w:r>
      <w:proofErr w:type="gramStart"/>
      <w:r w:rsidRPr="000140B3">
        <w:rPr>
          <w:rFonts w:ascii="Times New Roman" w:hAnsi="Times New Roman"/>
        </w:rPr>
        <w:t>地區暴險總額</w:t>
      </w:r>
      <w:proofErr w:type="gramEnd"/>
      <w:r w:rsidRPr="000140B3">
        <w:rPr>
          <w:rFonts w:ascii="Times New Roman" w:hAnsi="Times New Roman"/>
        </w:rPr>
        <w:t>占上年度決算後淨值比率由</w:t>
      </w:r>
      <w:r w:rsidRPr="000140B3">
        <w:rPr>
          <w:rFonts w:ascii="Times New Roman" w:hAnsi="Times New Roman"/>
        </w:rPr>
        <w:t>108</w:t>
      </w:r>
      <w:r w:rsidRPr="000140B3">
        <w:rPr>
          <w:rFonts w:ascii="Times New Roman" w:hAnsi="Times New Roman"/>
        </w:rPr>
        <w:t>年底之</w:t>
      </w:r>
      <w:r w:rsidRPr="000140B3">
        <w:rPr>
          <w:rFonts w:ascii="Times New Roman" w:hAnsi="Times New Roman"/>
        </w:rPr>
        <w:t>21.46%</w:t>
      </w:r>
      <w:r w:rsidRPr="000140B3">
        <w:rPr>
          <w:rFonts w:ascii="Times New Roman" w:hAnsi="Times New Roman"/>
        </w:rPr>
        <w:t>，下滑至</w:t>
      </w:r>
      <w:r w:rsidRPr="000140B3">
        <w:rPr>
          <w:rFonts w:ascii="Times New Roman" w:hAnsi="Times New Roman"/>
        </w:rPr>
        <w:t>112</w:t>
      </w:r>
      <w:r w:rsidRPr="000140B3">
        <w:rPr>
          <w:rFonts w:ascii="Times New Roman" w:hAnsi="Times New Roman"/>
        </w:rPr>
        <w:t>年之</w:t>
      </w:r>
      <w:r w:rsidRPr="000140B3">
        <w:rPr>
          <w:rFonts w:ascii="Times New Roman" w:hAnsi="Times New Roman"/>
        </w:rPr>
        <w:t>18.48%</w:t>
      </w:r>
      <w:r w:rsidRPr="000140B3">
        <w:rPr>
          <w:rFonts w:ascii="Times New Roman" w:hAnsi="Times New Roman"/>
        </w:rPr>
        <w:t>，其中</w:t>
      </w:r>
      <w:r w:rsidRPr="000140B3">
        <w:rPr>
          <w:rFonts w:ascii="Times New Roman" w:hAnsi="Times New Roman"/>
        </w:rPr>
        <w:t>109</w:t>
      </w:r>
      <w:r w:rsidRPr="000140B3">
        <w:rPr>
          <w:rFonts w:ascii="Times New Roman" w:hAnsi="Times New Roman"/>
        </w:rPr>
        <w:t>至</w:t>
      </w:r>
      <w:r w:rsidRPr="000140B3">
        <w:rPr>
          <w:rFonts w:ascii="Times New Roman" w:hAnsi="Times New Roman"/>
        </w:rPr>
        <w:t>111</w:t>
      </w:r>
      <w:r w:rsidRPr="000140B3">
        <w:rPr>
          <w:rFonts w:ascii="Times New Roman" w:hAnsi="Times New Roman"/>
        </w:rPr>
        <w:t>年亦呈逐年下滑之趨勢。</w:t>
      </w:r>
    </w:p>
    <w:p w:rsidR="0064621B" w:rsidRPr="000140B3" w:rsidRDefault="0064621B" w:rsidP="0064621B">
      <w:pPr>
        <w:pStyle w:val="4"/>
        <w:rPr>
          <w:rFonts w:ascii="Times New Roman" w:hAnsi="Times New Roman"/>
        </w:rPr>
      </w:pPr>
      <w:r w:rsidRPr="000140B3">
        <w:rPr>
          <w:rFonts w:ascii="Times New Roman" w:hAnsi="Times New Roman"/>
        </w:rPr>
        <w:t>保險業，</w:t>
      </w:r>
      <w:proofErr w:type="gramStart"/>
      <w:r w:rsidRPr="000140B3">
        <w:rPr>
          <w:rFonts w:ascii="Times New Roman" w:hAnsi="Times New Roman"/>
        </w:rPr>
        <w:t>詳表</w:t>
      </w:r>
      <w:proofErr w:type="gramEnd"/>
      <w:r w:rsidR="009A7522" w:rsidRPr="000140B3">
        <w:rPr>
          <w:rFonts w:ascii="Times New Roman" w:hAnsi="Times New Roman" w:hint="eastAsia"/>
        </w:rPr>
        <w:t>10</w:t>
      </w:r>
      <w:r w:rsidRPr="000140B3">
        <w:rPr>
          <w:rFonts w:ascii="Times New Roman" w:hAnsi="Times New Roman"/>
        </w:rPr>
        <w:t>：</w:t>
      </w:r>
    </w:p>
    <w:p w:rsidR="0064621B" w:rsidRPr="000140B3" w:rsidRDefault="0064621B" w:rsidP="0064621B">
      <w:pPr>
        <w:pStyle w:val="5"/>
        <w:rPr>
          <w:rFonts w:ascii="Times New Roman" w:hAnsi="Times New Roman"/>
        </w:rPr>
      </w:pPr>
      <w:r w:rsidRPr="000140B3">
        <w:rPr>
          <w:rFonts w:ascii="Times New Roman" w:hAnsi="Times New Roman"/>
        </w:rPr>
        <w:t>我國保險業對香港</w:t>
      </w:r>
      <w:proofErr w:type="gramStart"/>
      <w:r w:rsidRPr="000140B3">
        <w:rPr>
          <w:rFonts w:ascii="Times New Roman" w:hAnsi="Times New Roman"/>
        </w:rPr>
        <w:t>地區暴險金額</w:t>
      </w:r>
      <w:proofErr w:type="gramEnd"/>
      <w:r w:rsidRPr="000140B3">
        <w:rPr>
          <w:rFonts w:ascii="Times New Roman" w:hAnsi="Times New Roman"/>
        </w:rPr>
        <w:t>由</w:t>
      </w:r>
      <w:r w:rsidRPr="000140B3">
        <w:rPr>
          <w:rFonts w:ascii="Times New Roman" w:hAnsi="Times New Roman"/>
        </w:rPr>
        <w:t>108</w:t>
      </w:r>
      <w:r w:rsidRPr="000140B3">
        <w:rPr>
          <w:rFonts w:ascii="Times New Roman" w:hAnsi="Times New Roman"/>
        </w:rPr>
        <w:t>年底之</w:t>
      </w:r>
      <w:r w:rsidRPr="000140B3">
        <w:rPr>
          <w:rFonts w:ascii="Times New Roman" w:hAnsi="Times New Roman"/>
        </w:rPr>
        <w:t>1,901</w:t>
      </w:r>
      <w:r w:rsidRPr="000140B3">
        <w:rPr>
          <w:rFonts w:ascii="Times New Roman" w:hAnsi="Times New Roman"/>
        </w:rPr>
        <w:t>億元下滑至</w:t>
      </w:r>
      <w:r w:rsidRPr="000140B3">
        <w:rPr>
          <w:rFonts w:ascii="Times New Roman" w:hAnsi="Times New Roman"/>
        </w:rPr>
        <w:t>112</w:t>
      </w:r>
      <w:r w:rsidRPr="000140B3">
        <w:rPr>
          <w:rFonts w:ascii="Times New Roman" w:hAnsi="Times New Roman"/>
        </w:rPr>
        <w:t>年底之</w:t>
      </w:r>
      <w:r w:rsidRPr="000140B3">
        <w:rPr>
          <w:rFonts w:ascii="Times New Roman" w:hAnsi="Times New Roman"/>
        </w:rPr>
        <w:t>1,472</w:t>
      </w:r>
      <w:r w:rsidRPr="000140B3">
        <w:rPr>
          <w:rFonts w:ascii="Times New Roman" w:hAnsi="Times New Roman"/>
        </w:rPr>
        <w:t>億元，其中</w:t>
      </w:r>
      <w:proofErr w:type="gramStart"/>
      <w:r w:rsidRPr="000140B3">
        <w:rPr>
          <w:rFonts w:ascii="Times New Roman" w:hAnsi="Times New Roman"/>
        </w:rPr>
        <w:t>110</w:t>
      </w:r>
      <w:r w:rsidRPr="000140B3">
        <w:rPr>
          <w:rFonts w:ascii="Times New Roman" w:hAnsi="Times New Roman"/>
        </w:rPr>
        <w:t>年起暴險金</w:t>
      </w:r>
      <w:proofErr w:type="gramEnd"/>
      <w:r w:rsidRPr="000140B3">
        <w:rPr>
          <w:rFonts w:ascii="Times New Roman" w:hAnsi="Times New Roman"/>
        </w:rPr>
        <w:t>額由</w:t>
      </w:r>
      <w:r w:rsidRPr="000140B3">
        <w:rPr>
          <w:rFonts w:ascii="Times New Roman" w:hAnsi="Times New Roman"/>
        </w:rPr>
        <w:t>1,335</w:t>
      </w:r>
      <w:r w:rsidRPr="000140B3">
        <w:rPr>
          <w:rFonts w:ascii="Times New Roman" w:hAnsi="Times New Roman"/>
        </w:rPr>
        <w:t>億元，逐年上升至</w:t>
      </w:r>
      <w:r w:rsidRPr="000140B3">
        <w:rPr>
          <w:rFonts w:ascii="Times New Roman" w:hAnsi="Times New Roman"/>
        </w:rPr>
        <w:t>112</w:t>
      </w:r>
      <w:r w:rsidRPr="000140B3">
        <w:rPr>
          <w:rFonts w:ascii="Times New Roman" w:hAnsi="Times New Roman"/>
        </w:rPr>
        <w:t>年之</w:t>
      </w:r>
      <w:r w:rsidRPr="000140B3">
        <w:rPr>
          <w:rFonts w:ascii="Times New Roman" w:hAnsi="Times New Roman"/>
        </w:rPr>
        <w:t>1,472</w:t>
      </w:r>
      <w:r w:rsidRPr="000140B3">
        <w:rPr>
          <w:rFonts w:ascii="Times New Roman" w:hAnsi="Times New Roman"/>
        </w:rPr>
        <w:t>億元。</w:t>
      </w:r>
    </w:p>
    <w:p w:rsidR="0064621B" w:rsidRPr="000140B3" w:rsidRDefault="0064621B" w:rsidP="0064621B">
      <w:pPr>
        <w:pStyle w:val="5"/>
        <w:rPr>
          <w:rFonts w:ascii="Times New Roman" w:hAnsi="Times New Roman"/>
        </w:rPr>
      </w:pPr>
      <w:r w:rsidRPr="000140B3">
        <w:rPr>
          <w:rFonts w:ascii="Times New Roman" w:hAnsi="Times New Roman"/>
        </w:rPr>
        <w:lastRenderedPageBreak/>
        <w:t>我國保險業對香港</w:t>
      </w:r>
      <w:proofErr w:type="gramStart"/>
      <w:r w:rsidRPr="000140B3">
        <w:rPr>
          <w:rFonts w:ascii="Times New Roman" w:hAnsi="Times New Roman"/>
        </w:rPr>
        <w:t>地區暴險金額</w:t>
      </w:r>
      <w:proofErr w:type="gramEnd"/>
      <w:r w:rsidRPr="000140B3">
        <w:rPr>
          <w:rFonts w:ascii="Times New Roman" w:hAnsi="Times New Roman"/>
        </w:rPr>
        <w:t>占保險業資金之百分比由</w:t>
      </w:r>
      <w:r w:rsidRPr="000140B3">
        <w:rPr>
          <w:rFonts w:ascii="Times New Roman" w:hAnsi="Times New Roman"/>
        </w:rPr>
        <w:t>109</w:t>
      </w:r>
      <w:r w:rsidRPr="000140B3">
        <w:rPr>
          <w:rFonts w:ascii="Times New Roman" w:hAnsi="Times New Roman"/>
        </w:rPr>
        <w:t>年底之</w:t>
      </w:r>
      <w:r w:rsidRPr="000140B3">
        <w:rPr>
          <w:rFonts w:ascii="Times New Roman" w:hAnsi="Times New Roman"/>
        </w:rPr>
        <w:t>0.71%</w:t>
      </w:r>
      <w:r w:rsidRPr="000140B3">
        <w:rPr>
          <w:rFonts w:ascii="Times New Roman" w:hAnsi="Times New Roman"/>
        </w:rPr>
        <w:t>，下滑至</w:t>
      </w:r>
      <w:r w:rsidRPr="000140B3">
        <w:rPr>
          <w:rFonts w:ascii="Times New Roman" w:hAnsi="Times New Roman"/>
        </w:rPr>
        <w:t>112</w:t>
      </w:r>
      <w:r w:rsidRPr="000140B3">
        <w:rPr>
          <w:rFonts w:ascii="Times New Roman" w:hAnsi="Times New Roman"/>
        </w:rPr>
        <w:t>年之</w:t>
      </w:r>
      <w:r w:rsidRPr="000140B3">
        <w:rPr>
          <w:rFonts w:ascii="Times New Roman" w:hAnsi="Times New Roman"/>
        </w:rPr>
        <w:t>0.46</w:t>
      </w:r>
      <w:r w:rsidRPr="000140B3">
        <w:rPr>
          <w:rFonts w:ascii="Times New Roman" w:hAnsi="Times New Roman"/>
        </w:rPr>
        <w:t>。</w:t>
      </w:r>
    </w:p>
    <w:p w:rsidR="0064621B" w:rsidRPr="000140B3" w:rsidRDefault="0064621B" w:rsidP="0064621B">
      <w:pPr>
        <w:pStyle w:val="4"/>
        <w:rPr>
          <w:rFonts w:ascii="Times New Roman" w:hAnsi="Times New Roman"/>
        </w:rPr>
      </w:pPr>
      <w:r w:rsidRPr="000140B3">
        <w:rPr>
          <w:rFonts w:ascii="Times New Roman" w:hAnsi="Times New Roman"/>
        </w:rPr>
        <w:t>證券期貨業，</w:t>
      </w:r>
      <w:proofErr w:type="gramStart"/>
      <w:r w:rsidRPr="000140B3">
        <w:rPr>
          <w:rFonts w:ascii="Times New Roman" w:hAnsi="Times New Roman"/>
        </w:rPr>
        <w:t>詳表</w:t>
      </w:r>
      <w:proofErr w:type="gramEnd"/>
      <w:r w:rsidR="009A7522" w:rsidRPr="000140B3">
        <w:rPr>
          <w:rFonts w:ascii="Times New Roman" w:hAnsi="Times New Roman" w:hint="eastAsia"/>
        </w:rPr>
        <w:t>11</w:t>
      </w:r>
      <w:r w:rsidRPr="000140B3">
        <w:rPr>
          <w:rFonts w:ascii="Times New Roman" w:hAnsi="Times New Roman"/>
        </w:rPr>
        <w:t>：</w:t>
      </w:r>
    </w:p>
    <w:p w:rsidR="0064621B" w:rsidRPr="000140B3" w:rsidRDefault="0064621B" w:rsidP="0064621B">
      <w:pPr>
        <w:pStyle w:val="5"/>
        <w:rPr>
          <w:rFonts w:ascii="Times New Roman" w:hAnsi="Times New Roman"/>
        </w:rPr>
      </w:pPr>
      <w:r w:rsidRPr="000140B3">
        <w:rPr>
          <w:rFonts w:ascii="Times New Roman" w:hAnsi="Times New Roman"/>
        </w:rPr>
        <w:t>我國證券期貨業對香港</w:t>
      </w:r>
      <w:proofErr w:type="gramStart"/>
      <w:r w:rsidRPr="000140B3">
        <w:rPr>
          <w:rFonts w:ascii="Times New Roman" w:hAnsi="Times New Roman"/>
        </w:rPr>
        <w:t>地區暴險金額</w:t>
      </w:r>
      <w:proofErr w:type="gramEnd"/>
      <w:r w:rsidRPr="000140B3">
        <w:rPr>
          <w:rFonts w:ascii="Times New Roman" w:hAnsi="Times New Roman"/>
        </w:rPr>
        <w:t>由</w:t>
      </w:r>
      <w:r w:rsidRPr="000140B3">
        <w:rPr>
          <w:rFonts w:ascii="Times New Roman" w:hAnsi="Times New Roman"/>
        </w:rPr>
        <w:t>108</w:t>
      </w:r>
      <w:r w:rsidRPr="000140B3">
        <w:rPr>
          <w:rFonts w:ascii="Times New Roman" w:hAnsi="Times New Roman"/>
        </w:rPr>
        <w:t>年底之</w:t>
      </w:r>
      <w:r w:rsidRPr="000140B3">
        <w:rPr>
          <w:rFonts w:ascii="Times New Roman" w:hAnsi="Times New Roman"/>
        </w:rPr>
        <w:t>814.94</w:t>
      </w:r>
      <w:r w:rsidRPr="000140B3">
        <w:rPr>
          <w:rFonts w:ascii="Times New Roman" w:hAnsi="Times New Roman"/>
        </w:rPr>
        <w:t>億元逐年下滑至</w:t>
      </w:r>
      <w:r w:rsidRPr="000140B3">
        <w:rPr>
          <w:rFonts w:ascii="Times New Roman" w:hAnsi="Times New Roman"/>
        </w:rPr>
        <w:t>112</w:t>
      </w:r>
      <w:r w:rsidRPr="000140B3">
        <w:rPr>
          <w:rFonts w:ascii="Times New Roman" w:hAnsi="Times New Roman"/>
        </w:rPr>
        <w:t>年底之</w:t>
      </w:r>
      <w:r w:rsidRPr="000140B3">
        <w:rPr>
          <w:rFonts w:ascii="Times New Roman" w:hAnsi="Times New Roman"/>
        </w:rPr>
        <w:t>532.5</w:t>
      </w:r>
      <w:r w:rsidRPr="000140B3">
        <w:rPr>
          <w:rFonts w:ascii="Times New Roman" w:hAnsi="Times New Roman"/>
        </w:rPr>
        <w:t>億元。</w:t>
      </w:r>
    </w:p>
    <w:p w:rsidR="0064621B" w:rsidRPr="000140B3" w:rsidRDefault="0064621B" w:rsidP="0064621B">
      <w:pPr>
        <w:pStyle w:val="5"/>
        <w:rPr>
          <w:rFonts w:ascii="Times New Roman" w:hAnsi="Times New Roman"/>
        </w:rPr>
      </w:pPr>
      <w:r w:rsidRPr="000140B3">
        <w:rPr>
          <w:rFonts w:ascii="Times New Roman" w:hAnsi="Times New Roman"/>
        </w:rPr>
        <w:t>我國證券期貨業對香港</w:t>
      </w:r>
      <w:proofErr w:type="gramStart"/>
      <w:r w:rsidRPr="000140B3">
        <w:rPr>
          <w:rFonts w:ascii="Times New Roman" w:hAnsi="Times New Roman"/>
        </w:rPr>
        <w:t>地區暴險金額</w:t>
      </w:r>
      <w:proofErr w:type="gramEnd"/>
      <w:r w:rsidRPr="000140B3">
        <w:rPr>
          <w:rFonts w:ascii="Times New Roman" w:hAnsi="Times New Roman"/>
        </w:rPr>
        <w:t>占證券期貨業淨值之百分比由</w:t>
      </w:r>
      <w:r w:rsidRPr="000140B3">
        <w:rPr>
          <w:rFonts w:ascii="Times New Roman" w:hAnsi="Times New Roman"/>
        </w:rPr>
        <w:t>108</w:t>
      </w:r>
      <w:r w:rsidRPr="000140B3">
        <w:rPr>
          <w:rFonts w:ascii="Times New Roman" w:hAnsi="Times New Roman"/>
        </w:rPr>
        <w:t>年底之</w:t>
      </w:r>
      <w:r w:rsidRPr="000140B3">
        <w:rPr>
          <w:rFonts w:ascii="Times New Roman" w:hAnsi="Times New Roman"/>
        </w:rPr>
        <w:t>13.59%</w:t>
      </w:r>
      <w:r w:rsidRPr="000140B3">
        <w:rPr>
          <w:rFonts w:ascii="Times New Roman" w:hAnsi="Times New Roman"/>
        </w:rPr>
        <w:t>，逐年下滑至</w:t>
      </w:r>
      <w:r w:rsidRPr="000140B3">
        <w:rPr>
          <w:rFonts w:ascii="Times New Roman" w:hAnsi="Times New Roman"/>
        </w:rPr>
        <w:t>112</w:t>
      </w:r>
      <w:r w:rsidRPr="000140B3">
        <w:rPr>
          <w:rFonts w:ascii="Times New Roman" w:hAnsi="Times New Roman"/>
        </w:rPr>
        <w:t>年之</w:t>
      </w:r>
      <w:r w:rsidRPr="000140B3">
        <w:rPr>
          <w:rFonts w:ascii="Times New Roman" w:hAnsi="Times New Roman"/>
        </w:rPr>
        <w:t>7.25%</w:t>
      </w:r>
      <w:r w:rsidRPr="000140B3">
        <w:rPr>
          <w:rFonts w:ascii="Times New Roman" w:hAnsi="Times New Roman"/>
        </w:rPr>
        <w:t>。</w:t>
      </w:r>
    </w:p>
    <w:p w:rsidR="0064621B" w:rsidRPr="000140B3" w:rsidRDefault="0064621B" w:rsidP="0064621B">
      <w:pPr>
        <w:pStyle w:val="a4"/>
        <w:jc w:val="center"/>
        <w:rPr>
          <w:rFonts w:ascii="Times New Roman" w:hAnsi="Times New Roman"/>
          <w:b/>
        </w:rPr>
      </w:pPr>
      <w:r w:rsidRPr="000140B3">
        <w:rPr>
          <w:rFonts w:ascii="Times New Roman" w:hAnsi="Times New Roman"/>
          <w:b/>
        </w:rPr>
        <w:t>銀行業於香港</w:t>
      </w:r>
      <w:proofErr w:type="gramStart"/>
      <w:r w:rsidRPr="000140B3">
        <w:rPr>
          <w:rFonts w:ascii="Times New Roman" w:hAnsi="Times New Roman"/>
          <w:b/>
        </w:rPr>
        <w:t>地區暴險情形</w:t>
      </w:r>
      <w:proofErr w:type="gramEnd"/>
    </w:p>
    <w:p w:rsidR="0064621B" w:rsidRPr="000140B3" w:rsidRDefault="0064621B" w:rsidP="0064621B">
      <w:pPr>
        <w:pStyle w:val="6"/>
        <w:numPr>
          <w:ilvl w:val="0"/>
          <w:numId w:val="0"/>
        </w:numPr>
        <w:spacing w:afterLines="25" w:after="114" w:line="320" w:lineRule="exact"/>
        <w:ind w:left="1531"/>
        <w:jc w:val="right"/>
        <w:rPr>
          <w:rFonts w:ascii="Times New Roman" w:hAnsi="Times New Roman"/>
        </w:rPr>
      </w:pPr>
      <w:r w:rsidRPr="000140B3">
        <w:rPr>
          <w:rFonts w:ascii="Times New Roman" w:hAnsi="Times New Roman"/>
          <w:sz w:val="24"/>
          <w:szCs w:val="24"/>
        </w:rPr>
        <w:t>單位</w:t>
      </w:r>
      <w:r w:rsidRPr="000140B3">
        <w:rPr>
          <w:rFonts w:ascii="Times New Roman" w:hAnsi="Times New Roman"/>
          <w:sz w:val="24"/>
          <w:szCs w:val="24"/>
        </w:rPr>
        <w:t>:</w:t>
      </w:r>
      <w:r w:rsidRPr="000140B3">
        <w:rPr>
          <w:rFonts w:ascii="Times New Roman" w:hAnsi="Times New Roman"/>
          <w:sz w:val="24"/>
          <w:szCs w:val="24"/>
        </w:rPr>
        <w:t>新臺幣億元</w:t>
      </w:r>
    </w:p>
    <w:tbl>
      <w:tblPr>
        <w:tblW w:w="1034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338"/>
        <w:gridCol w:w="1064"/>
        <w:gridCol w:w="2835"/>
        <w:gridCol w:w="5103"/>
      </w:tblGrid>
      <w:tr w:rsidR="0064621B" w:rsidRPr="000140B3" w:rsidTr="00EC5AF2">
        <w:trPr>
          <w:trHeight w:val="175"/>
          <w:tblHeader/>
          <w:jc w:val="center"/>
        </w:trPr>
        <w:tc>
          <w:tcPr>
            <w:tcW w:w="1338" w:type="dxa"/>
            <w:vAlign w:val="center"/>
          </w:tcPr>
          <w:p w:rsidR="0064621B" w:rsidRPr="000140B3" w:rsidRDefault="0064621B" w:rsidP="00EC5AF2">
            <w:pPr>
              <w:jc w:val="center"/>
              <w:rPr>
                <w:rFonts w:ascii="Times New Roman"/>
                <w:sz w:val="28"/>
                <w:szCs w:val="28"/>
              </w:rPr>
            </w:pPr>
          </w:p>
        </w:tc>
        <w:tc>
          <w:tcPr>
            <w:tcW w:w="1064" w:type="dxa"/>
            <w:vAlign w:val="center"/>
          </w:tcPr>
          <w:p w:rsidR="0064621B" w:rsidRPr="000140B3" w:rsidRDefault="0064621B" w:rsidP="00FC43F4">
            <w:pPr>
              <w:ind w:leftChars="-51" w:left="-173" w:rightChars="-31" w:right="-105"/>
              <w:jc w:val="center"/>
              <w:rPr>
                <w:rFonts w:ascii="Times New Roman"/>
                <w:sz w:val="28"/>
                <w:szCs w:val="28"/>
              </w:rPr>
            </w:pPr>
            <w:r w:rsidRPr="000140B3">
              <w:rPr>
                <w:rFonts w:ascii="Times New Roman"/>
                <w:w w:val="115"/>
                <w:sz w:val="28"/>
                <w:szCs w:val="28"/>
              </w:rPr>
              <w:t>總額度</w:t>
            </w:r>
          </w:p>
        </w:tc>
        <w:tc>
          <w:tcPr>
            <w:tcW w:w="2835" w:type="dxa"/>
            <w:vAlign w:val="center"/>
          </w:tcPr>
          <w:p w:rsidR="0064621B" w:rsidRPr="000140B3" w:rsidRDefault="0064621B" w:rsidP="00FC43F4">
            <w:pPr>
              <w:ind w:leftChars="-31" w:left="-105" w:rightChars="-32" w:right="-109"/>
              <w:jc w:val="center"/>
              <w:rPr>
                <w:rFonts w:ascii="Times New Roman"/>
                <w:sz w:val="28"/>
                <w:szCs w:val="28"/>
              </w:rPr>
            </w:pPr>
            <w:r w:rsidRPr="000140B3">
              <w:rPr>
                <w:rFonts w:ascii="Times New Roman"/>
                <w:w w:val="115"/>
                <w:sz w:val="28"/>
                <w:szCs w:val="28"/>
              </w:rPr>
              <w:t>上年度決算後淨值</w:t>
            </w:r>
          </w:p>
        </w:tc>
        <w:tc>
          <w:tcPr>
            <w:tcW w:w="5103" w:type="dxa"/>
            <w:vAlign w:val="center"/>
          </w:tcPr>
          <w:p w:rsidR="0064621B" w:rsidRPr="000140B3" w:rsidRDefault="0064621B" w:rsidP="00FC43F4">
            <w:pPr>
              <w:ind w:leftChars="-30" w:left="-102" w:rightChars="-32" w:right="-109"/>
              <w:jc w:val="center"/>
              <w:rPr>
                <w:rFonts w:ascii="Times New Roman"/>
                <w:sz w:val="26"/>
                <w:szCs w:val="26"/>
              </w:rPr>
            </w:pPr>
            <w:proofErr w:type="gramStart"/>
            <w:r w:rsidRPr="000140B3">
              <w:rPr>
                <w:rFonts w:ascii="Times New Roman"/>
                <w:w w:val="115"/>
                <w:sz w:val="26"/>
                <w:szCs w:val="26"/>
              </w:rPr>
              <w:t>總額度占上年度</w:t>
            </w:r>
            <w:proofErr w:type="gramEnd"/>
            <w:r w:rsidRPr="000140B3">
              <w:rPr>
                <w:rFonts w:ascii="Times New Roman"/>
                <w:w w:val="110"/>
                <w:sz w:val="26"/>
                <w:szCs w:val="26"/>
              </w:rPr>
              <w:t>決算後淨值之百</w:t>
            </w:r>
            <w:r w:rsidRPr="000140B3">
              <w:rPr>
                <w:rFonts w:ascii="Times New Roman"/>
                <w:w w:val="115"/>
                <w:sz w:val="26"/>
                <w:szCs w:val="26"/>
              </w:rPr>
              <w:t>分比</w:t>
            </w:r>
          </w:p>
        </w:tc>
      </w:tr>
      <w:tr w:rsidR="0064621B" w:rsidRPr="000140B3" w:rsidTr="00EC5AF2">
        <w:trPr>
          <w:trHeight w:val="380"/>
          <w:jc w:val="center"/>
        </w:trPr>
        <w:tc>
          <w:tcPr>
            <w:tcW w:w="1338" w:type="dxa"/>
            <w:vAlign w:val="center"/>
          </w:tcPr>
          <w:p w:rsidR="0064621B" w:rsidRPr="000140B3" w:rsidRDefault="0064621B" w:rsidP="00FC43F4">
            <w:pPr>
              <w:ind w:leftChars="-34" w:left="-116" w:rightChars="-12" w:right="-41"/>
              <w:jc w:val="center"/>
              <w:rPr>
                <w:rFonts w:ascii="Times New Roman"/>
                <w:sz w:val="28"/>
                <w:szCs w:val="28"/>
              </w:rPr>
            </w:pPr>
            <w:r w:rsidRPr="000140B3">
              <w:rPr>
                <w:rFonts w:ascii="Times New Roman"/>
                <w:w w:val="110"/>
                <w:sz w:val="28"/>
                <w:szCs w:val="28"/>
              </w:rPr>
              <w:t>108</w:t>
            </w:r>
            <w:r w:rsidRPr="000140B3">
              <w:rPr>
                <w:rFonts w:ascii="Times New Roman"/>
                <w:w w:val="110"/>
                <w:sz w:val="28"/>
                <w:szCs w:val="28"/>
              </w:rPr>
              <w:t>年底</w:t>
            </w:r>
          </w:p>
        </w:tc>
        <w:tc>
          <w:tcPr>
            <w:tcW w:w="1064" w:type="dxa"/>
            <w:vAlign w:val="center"/>
          </w:tcPr>
          <w:p w:rsidR="0064621B" w:rsidRPr="000140B3" w:rsidRDefault="0064621B" w:rsidP="00EC5AF2">
            <w:pPr>
              <w:jc w:val="center"/>
              <w:rPr>
                <w:rFonts w:ascii="Times New Roman"/>
                <w:sz w:val="28"/>
                <w:szCs w:val="28"/>
              </w:rPr>
            </w:pPr>
            <w:r w:rsidRPr="000140B3">
              <w:rPr>
                <w:rFonts w:ascii="Times New Roman"/>
                <w:w w:val="110"/>
                <w:sz w:val="28"/>
                <w:szCs w:val="28"/>
              </w:rPr>
              <w:t>7,681</w:t>
            </w:r>
          </w:p>
        </w:tc>
        <w:tc>
          <w:tcPr>
            <w:tcW w:w="2835" w:type="dxa"/>
            <w:vAlign w:val="center"/>
          </w:tcPr>
          <w:p w:rsidR="0064621B" w:rsidRPr="000140B3" w:rsidRDefault="0064621B" w:rsidP="00EC5AF2">
            <w:pPr>
              <w:jc w:val="center"/>
              <w:rPr>
                <w:rFonts w:ascii="Times New Roman"/>
                <w:sz w:val="28"/>
                <w:szCs w:val="28"/>
              </w:rPr>
            </w:pPr>
            <w:r w:rsidRPr="000140B3">
              <w:rPr>
                <w:rFonts w:ascii="Times New Roman"/>
                <w:sz w:val="28"/>
                <w:szCs w:val="28"/>
              </w:rPr>
              <w:t>35,799</w:t>
            </w:r>
          </w:p>
        </w:tc>
        <w:tc>
          <w:tcPr>
            <w:tcW w:w="5103" w:type="dxa"/>
            <w:vAlign w:val="center"/>
          </w:tcPr>
          <w:p w:rsidR="0064621B" w:rsidRPr="000140B3" w:rsidRDefault="0064621B" w:rsidP="00EC5AF2">
            <w:pPr>
              <w:jc w:val="center"/>
              <w:rPr>
                <w:rFonts w:ascii="Times New Roman"/>
                <w:sz w:val="28"/>
                <w:szCs w:val="28"/>
              </w:rPr>
            </w:pPr>
            <w:r w:rsidRPr="000140B3">
              <w:rPr>
                <w:rFonts w:ascii="Times New Roman"/>
                <w:w w:val="105"/>
                <w:sz w:val="28"/>
                <w:szCs w:val="28"/>
              </w:rPr>
              <w:t>21.46%</w:t>
            </w:r>
          </w:p>
        </w:tc>
      </w:tr>
      <w:tr w:rsidR="0064621B" w:rsidRPr="000140B3" w:rsidTr="00EC5AF2">
        <w:trPr>
          <w:trHeight w:val="410"/>
          <w:jc w:val="center"/>
        </w:trPr>
        <w:tc>
          <w:tcPr>
            <w:tcW w:w="1338" w:type="dxa"/>
            <w:vAlign w:val="center"/>
          </w:tcPr>
          <w:p w:rsidR="0064621B" w:rsidRPr="000140B3" w:rsidRDefault="0064621B" w:rsidP="00FC43F4">
            <w:pPr>
              <w:ind w:leftChars="-34" w:left="-116" w:rightChars="-12" w:right="-41"/>
              <w:jc w:val="center"/>
              <w:rPr>
                <w:rFonts w:ascii="Times New Roman"/>
                <w:sz w:val="28"/>
                <w:szCs w:val="28"/>
              </w:rPr>
            </w:pPr>
            <w:r w:rsidRPr="000140B3">
              <w:rPr>
                <w:rFonts w:ascii="Times New Roman"/>
                <w:w w:val="105"/>
                <w:sz w:val="28"/>
                <w:szCs w:val="28"/>
              </w:rPr>
              <w:t>109</w:t>
            </w:r>
            <w:r w:rsidRPr="000140B3">
              <w:rPr>
                <w:rFonts w:ascii="Times New Roman"/>
                <w:w w:val="105"/>
                <w:sz w:val="28"/>
                <w:szCs w:val="28"/>
              </w:rPr>
              <w:t>年底</w:t>
            </w:r>
          </w:p>
        </w:tc>
        <w:tc>
          <w:tcPr>
            <w:tcW w:w="1064" w:type="dxa"/>
            <w:vAlign w:val="center"/>
          </w:tcPr>
          <w:p w:rsidR="0064621B" w:rsidRPr="000140B3" w:rsidRDefault="0064621B" w:rsidP="00EC5AF2">
            <w:pPr>
              <w:jc w:val="center"/>
              <w:rPr>
                <w:rFonts w:ascii="Times New Roman"/>
                <w:sz w:val="28"/>
                <w:szCs w:val="28"/>
              </w:rPr>
            </w:pPr>
            <w:r w:rsidRPr="000140B3">
              <w:rPr>
                <w:rFonts w:ascii="Times New Roman"/>
                <w:w w:val="105"/>
                <w:sz w:val="28"/>
                <w:szCs w:val="28"/>
              </w:rPr>
              <w:t>8,446</w:t>
            </w:r>
          </w:p>
        </w:tc>
        <w:tc>
          <w:tcPr>
            <w:tcW w:w="2835" w:type="dxa"/>
            <w:vAlign w:val="center"/>
          </w:tcPr>
          <w:p w:rsidR="0064621B" w:rsidRPr="000140B3" w:rsidRDefault="0064621B" w:rsidP="00EC5AF2">
            <w:pPr>
              <w:jc w:val="center"/>
              <w:rPr>
                <w:rFonts w:ascii="Times New Roman"/>
                <w:sz w:val="28"/>
                <w:szCs w:val="28"/>
              </w:rPr>
            </w:pPr>
            <w:r w:rsidRPr="000140B3">
              <w:rPr>
                <w:rFonts w:ascii="Times New Roman"/>
                <w:w w:val="105"/>
                <w:sz w:val="28"/>
                <w:szCs w:val="28"/>
              </w:rPr>
              <w:t>38,492</w:t>
            </w:r>
          </w:p>
        </w:tc>
        <w:tc>
          <w:tcPr>
            <w:tcW w:w="5103" w:type="dxa"/>
            <w:vAlign w:val="center"/>
          </w:tcPr>
          <w:p w:rsidR="0064621B" w:rsidRPr="000140B3" w:rsidRDefault="0064621B" w:rsidP="00EC5AF2">
            <w:pPr>
              <w:jc w:val="center"/>
              <w:rPr>
                <w:rFonts w:ascii="Times New Roman"/>
                <w:sz w:val="28"/>
                <w:szCs w:val="28"/>
              </w:rPr>
            </w:pPr>
            <w:r w:rsidRPr="000140B3">
              <w:rPr>
                <w:rFonts w:ascii="Times New Roman"/>
                <w:w w:val="105"/>
                <w:sz w:val="28"/>
                <w:szCs w:val="28"/>
              </w:rPr>
              <w:t>21.94%</w:t>
            </w:r>
          </w:p>
        </w:tc>
      </w:tr>
      <w:tr w:rsidR="0064621B" w:rsidRPr="000140B3" w:rsidTr="00EC5AF2">
        <w:trPr>
          <w:trHeight w:val="410"/>
          <w:jc w:val="center"/>
        </w:trPr>
        <w:tc>
          <w:tcPr>
            <w:tcW w:w="1338" w:type="dxa"/>
            <w:vAlign w:val="center"/>
          </w:tcPr>
          <w:p w:rsidR="0064621B" w:rsidRPr="000140B3" w:rsidRDefault="0064621B" w:rsidP="00FC43F4">
            <w:pPr>
              <w:ind w:leftChars="-34" w:left="-116" w:rightChars="-12" w:right="-41"/>
              <w:jc w:val="center"/>
              <w:rPr>
                <w:rFonts w:ascii="Times New Roman"/>
                <w:sz w:val="28"/>
                <w:szCs w:val="28"/>
              </w:rPr>
            </w:pPr>
            <w:r w:rsidRPr="000140B3">
              <w:rPr>
                <w:rFonts w:ascii="Times New Roman"/>
                <w:w w:val="105"/>
                <w:sz w:val="28"/>
                <w:szCs w:val="28"/>
              </w:rPr>
              <w:t>110</w:t>
            </w:r>
            <w:r w:rsidRPr="000140B3">
              <w:rPr>
                <w:rFonts w:ascii="Times New Roman"/>
                <w:w w:val="105"/>
                <w:sz w:val="28"/>
                <w:szCs w:val="28"/>
              </w:rPr>
              <w:t>年底</w:t>
            </w:r>
          </w:p>
        </w:tc>
        <w:tc>
          <w:tcPr>
            <w:tcW w:w="1064" w:type="dxa"/>
            <w:vAlign w:val="center"/>
          </w:tcPr>
          <w:p w:rsidR="0064621B" w:rsidRPr="000140B3" w:rsidRDefault="0064621B" w:rsidP="00EC5AF2">
            <w:pPr>
              <w:jc w:val="center"/>
              <w:rPr>
                <w:rFonts w:ascii="Times New Roman"/>
                <w:sz w:val="28"/>
                <w:szCs w:val="28"/>
              </w:rPr>
            </w:pPr>
            <w:r w:rsidRPr="000140B3">
              <w:rPr>
                <w:rFonts w:ascii="Times New Roman"/>
                <w:sz w:val="28"/>
                <w:szCs w:val="28"/>
              </w:rPr>
              <w:t>8,139</w:t>
            </w:r>
          </w:p>
        </w:tc>
        <w:tc>
          <w:tcPr>
            <w:tcW w:w="2835" w:type="dxa"/>
            <w:vAlign w:val="center"/>
          </w:tcPr>
          <w:p w:rsidR="0064621B" w:rsidRPr="000140B3" w:rsidRDefault="0064621B" w:rsidP="00EC5AF2">
            <w:pPr>
              <w:jc w:val="center"/>
              <w:rPr>
                <w:rFonts w:ascii="Times New Roman"/>
                <w:sz w:val="28"/>
                <w:szCs w:val="28"/>
              </w:rPr>
            </w:pPr>
            <w:r w:rsidRPr="000140B3">
              <w:rPr>
                <w:rFonts w:ascii="Times New Roman"/>
                <w:sz w:val="28"/>
                <w:szCs w:val="28"/>
              </w:rPr>
              <w:t>39,886</w:t>
            </w:r>
          </w:p>
        </w:tc>
        <w:tc>
          <w:tcPr>
            <w:tcW w:w="5103" w:type="dxa"/>
            <w:vAlign w:val="center"/>
          </w:tcPr>
          <w:p w:rsidR="0064621B" w:rsidRPr="000140B3" w:rsidRDefault="0064621B" w:rsidP="00EC5AF2">
            <w:pPr>
              <w:jc w:val="center"/>
              <w:rPr>
                <w:rFonts w:ascii="Times New Roman"/>
                <w:sz w:val="28"/>
                <w:szCs w:val="28"/>
              </w:rPr>
            </w:pPr>
            <w:r w:rsidRPr="000140B3">
              <w:rPr>
                <w:rFonts w:ascii="Times New Roman"/>
                <w:w w:val="105"/>
                <w:sz w:val="28"/>
                <w:szCs w:val="28"/>
              </w:rPr>
              <w:t>20.41%</w:t>
            </w:r>
          </w:p>
        </w:tc>
      </w:tr>
      <w:tr w:rsidR="0064621B" w:rsidRPr="000140B3" w:rsidTr="00EC5AF2">
        <w:trPr>
          <w:trHeight w:val="415"/>
          <w:jc w:val="center"/>
        </w:trPr>
        <w:tc>
          <w:tcPr>
            <w:tcW w:w="1338" w:type="dxa"/>
            <w:vAlign w:val="center"/>
          </w:tcPr>
          <w:p w:rsidR="0064621B" w:rsidRPr="000140B3" w:rsidRDefault="0064621B" w:rsidP="00FC43F4">
            <w:pPr>
              <w:ind w:leftChars="-34" w:left="-116" w:rightChars="-12" w:right="-41"/>
              <w:jc w:val="center"/>
              <w:rPr>
                <w:rFonts w:ascii="Times New Roman"/>
                <w:sz w:val="28"/>
                <w:szCs w:val="28"/>
              </w:rPr>
            </w:pPr>
            <w:r w:rsidRPr="000140B3">
              <w:rPr>
                <w:rFonts w:ascii="Times New Roman"/>
                <w:w w:val="110"/>
                <w:sz w:val="28"/>
                <w:szCs w:val="28"/>
              </w:rPr>
              <w:t>111</w:t>
            </w:r>
            <w:r w:rsidRPr="000140B3">
              <w:rPr>
                <w:rFonts w:ascii="Times New Roman"/>
                <w:w w:val="110"/>
                <w:sz w:val="28"/>
                <w:szCs w:val="28"/>
              </w:rPr>
              <w:t>年底</w:t>
            </w:r>
          </w:p>
        </w:tc>
        <w:tc>
          <w:tcPr>
            <w:tcW w:w="1064" w:type="dxa"/>
            <w:vAlign w:val="center"/>
          </w:tcPr>
          <w:p w:rsidR="0064621B" w:rsidRPr="000140B3" w:rsidRDefault="0064621B" w:rsidP="00EC5AF2">
            <w:pPr>
              <w:jc w:val="center"/>
              <w:rPr>
                <w:rFonts w:ascii="Times New Roman"/>
                <w:sz w:val="28"/>
                <w:szCs w:val="28"/>
              </w:rPr>
            </w:pPr>
            <w:r w:rsidRPr="000140B3">
              <w:rPr>
                <w:rFonts w:ascii="Times New Roman"/>
                <w:w w:val="105"/>
                <w:sz w:val="28"/>
                <w:szCs w:val="28"/>
              </w:rPr>
              <w:t>7,448</w:t>
            </w:r>
          </w:p>
        </w:tc>
        <w:tc>
          <w:tcPr>
            <w:tcW w:w="2835" w:type="dxa"/>
            <w:vAlign w:val="center"/>
          </w:tcPr>
          <w:p w:rsidR="0064621B" w:rsidRPr="000140B3" w:rsidRDefault="0064621B" w:rsidP="00EC5AF2">
            <w:pPr>
              <w:jc w:val="center"/>
              <w:rPr>
                <w:rFonts w:ascii="Times New Roman"/>
                <w:sz w:val="28"/>
                <w:szCs w:val="28"/>
              </w:rPr>
            </w:pPr>
            <w:r w:rsidRPr="000140B3">
              <w:rPr>
                <w:rFonts w:ascii="Times New Roman"/>
                <w:w w:val="105"/>
                <w:sz w:val="28"/>
                <w:szCs w:val="28"/>
              </w:rPr>
              <w:t>41,349</w:t>
            </w:r>
          </w:p>
        </w:tc>
        <w:tc>
          <w:tcPr>
            <w:tcW w:w="5103" w:type="dxa"/>
            <w:vAlign w:val="center"/>
          </w:tcPr>
          <w:p w:rsidR="0064621B" w:rsidRPr="000140B3" w:rsidRDefault="0064621B" w:rsidP="00EC5AF2">
            <w:pPr>
              <w:jc w:val="center"/>
              <w:rPr>
                <w:rFonts w:ascii="Times New Roman"/>
                <w:sz w:val="28"/>
                <w:szCs w:val="28"/>
              </w:rPr>
            </w:pPr>
            <w:r w:rsidRPr="000140B3">
              <w:rPr>
                <w:rFonts w:ascii="Times New Roman"/>
                <w:w w:val="105"/>
                <w:sz w:val="28"/>
                <w:szCs w:val="28"/>
              </w:rPr>
              <w:t>18.01%</w:t>
            </w:r>
          </w:p>
        </w:tc>
      </w:tr>
      <w:tr w:rsidR="0064621B" w:rsidRPr="000140B3" w:rsidTr="00EC5AF2">
        <w:trPr>
          <w:trHeight w:val="402"/>
          <w:jc w:val="center"/>
        </w:trPr>
        <w:tc>
          <w:tcPr>
            <w:tcW w:w="1338" w:type="dxa"/>
            <w:vAlign w:val="center"/>
          </w:tcPr>
          <w:p w:rsidR="0064621B" w:rsidRPr="000140B3" w:rsidRDefault="0064621B" w:rsidP="00FC43F4">
            <w:pPr>
              <w:ind w:leftChars="-34" w:left="-116" w:rightChars="-12" w:right="-41"/>
              <w:jc w:val="center"/>
              <w:rPr>
                <w:rFonts w:ascii="Times New Roman"/>
                <w:bCs/>
                <w:sz w:val="28"/>
                <w:szCs w:val="28"/>
              </w:rPr>
            </w:pPr>
            <w:r w:rsidRPr="000140B3">
              <w:rPr>
                <w:rFonts w:ascii="Times New Roman"/>
                <w:bCs/>
                <w:w w:val="110"/>
                <w:sz w:val="28"/>
                <w:szCs w:val="28"/>
              </w:rPr>
              <w:t>112</w:t>
            </w:r>
            <w:r w:rsidRPr="000140B3">
              <w:rPr>
                <w:rFonts w:ascii="Times New Roman"/>
                <w:bCs/>
                <w:w w:val="110"/>
                <w:sz w:val="28"/>
                <w:szCs w:val="28"/>
              </w:rPr>
              <w:t>年底</w:t>
            </w:r>
          </w:p>
        </w:tc>
        <w:tc>
          <w:tcPr>
            <w:tcW w:w="1064" w:type="dxa"/>
            <w:vAlign w:val="center"/>
          </w:tcPr>
          <w:p w:rsidR="0064621B" w:rsidRPr="000140B3" w:rsidRDefault="0064621B" w:rsidP="00EC5AF2">
            <w:pPr>
              <w:jc w:val="center"/>
              <w:rPr>
                <w:rFonts w:ascii="Times New Roman"/>
                <w:bCs/>
                <w:sz w:val="28"/>
                <w:szCs w:val="28"/>
              </w:rPr>
            </w:pPr>
            <w:r w:rsidRPr="000140B3">
              <w:rPr>
                <w:rFonts w:ascii="Times New Roman"/>
                <w:bCs/>
                <w:sz w:val="28"/>
                <w:szCs w:val="28"/>
              </w:rPr>
              <w:t>7,822</w:t>
            </w:r>
          </w:p>
        </w:tc>
        <w:tc>
          <w:tcPr>
            <w:tcW w:w="2835" w:type="dxa"/>
            <w:vAlign w:val="center"/>
          </w:tcPr>
          <w:p w:rsidR="0064621B" w:rsidRPr="000140B3" w:rsidRDefault="0064621B" w:rsidP="00EC5AF2">
            <w:pPr>
              <w:jc w:val="center"/>
              <w:rPr>
                <w:rFonts w:ascii="Times New Roman"/>
                <w:bCs/>
                <w:sz w:val="28"/>
                <w:szCs w:val="28"/>
              </w:rPr>
            </w:pPr>
            <w:r w:rsidRPr="000140B3">
              <w:rPr>
                <w:rFonts w:ascii="Times New Roman"/>
                <w:bCs/>
                <w:sz w:val="28"/>
                <w:szCs w:val="28"/>
              </w:rPr>
              <w:t>42,323</w:t>
            </w:r>
          </w:p>
        </w:tc>
        <w:tc>
          <w:tcPr>
            <w:tcW w:w="5103" w:type="dxa"/>
            <w:vAlign w:val="center"/>
          </w:tcPr>
          <w:p w:rsidR="0064621B" w:rsidRPr="000140B3" w:rsidRDefault="0064621B" w:rsidP="00EC5AF2">
            <w:pPr>
              <w:jc w:val="center"/>
              <w:rPr>
                <w:rFonts w:ascii="Times New Roman"/>
                <w:bCs/>
                <w:sz w:val="28"/>
                <w:szCs w:val="28"/>
              </w:rPr>
            </w:pPr>
            <w:r w:rsidRPr="000140B3">
              <w:rPr>
                <w:rFonts w:ascii="Times New Roman"/>
                <w:bCs/>
                <w:sz w:val="28"/>
                <w:szCs w:val="28"/>
              </w:rPr>
              <w:t>18.48%</w:t>
            </w:r>
          </w:p>
        </w:tc>
      </w:tr>
    </w:tbl>
    <w:p w:rsidR="0064621B" w:rsidRPr="000140B3" w:rsidRDefault="0064621B" w:rsidP="0064621B">
      <w:pPr>
        <w:pStyle w:val="5"/>
        <w:numPr>
          <w:ilvl w:val="0"/>
          <w:numId w:val="0"/>
        </w:numPr>
        <w:spacing w:afterLines="50" w:after="228"/>
        <w:ind w:leftChars="-141" w:left="1" w:hangingChars="185" w:hanging="481"/>
        <w:rPr>
          <w:rFonts w:ascii="Times New Roman" w:hAnsi="Times New Roman"/>
        </w:rPr>
      </w:pPr>
      <w:r w:rsidRPr="000140B3">
        <w:rPr>
          <w:rFonts w:ascii="Times New Roman" w:hAnsi="Times New Roman"/>
          <w:sz w:val="24"/>
          <w:szCs w:val="24"/>
        </w:rPr>
        <w:t>資料來源：金管會。</w:t>
      </w:r>
    </w:p>
    <w:p w:rsidR="0064621B" w:rsidRPr="000140B3" w:rsidRDefault="0064621B" w:rsidP="0064621B">
      <w:pPr>
        <w:pStyle w:val="a4"/>
        <w:spacing w:after="120"/>
        <w:jc w:val="center"/>
        <w:rPr>
          <w:rFonts w:ascii="Times New Roman" w:hAnsi="Times New Roman"/>
          <w:b/>
        </w:rPr>
      </w:pPr>
      <w:r w:rsidRPr="000140B3">
        <w:rPr>
          <w:rFonts w:ascii="Times New Roman" w:hAnsi="Times New Roman"/>
          <w:b/>
        </w:rPr>
        <w:t>保險業於中國大陸及香港</w:t>
      </w:r>
      <w:proofErr w:type="gramStart"/>
      <w:r w:rsidRPr="000140B3">
        <w:rPr>
          <w:rFonts w:ascii="Times New Roman" w:hAnsi="Times New Roman"/>
          <w:b/>
        </w:rPr>
        <w:t>地區暴險情形</w:t>
      </w:r>
      <w:proofErr w:type="gramEnd"/>
    </w:p>
    <w:p w:rsidR="0064621B" w:rsidRPr="000140B3" w:rsidRDefault="0064621B" w:rsidP="0064621B">
      <w:pPr>
        <w:jc w:val="right"/>
        <w:rPr>
          <w:rFonts w:ascii="Times New Roman"/>
          <w:b/>
          <w:sz w:val="24"/>
          <w:szCs w:val="24"/>
        </w:rPr>
      </w:pPr>
      <w:r w:rsidRPr="000140B3">
        <w:rPr>
          <w:rFonts w:ascii="Times New Roman"/>
          <w:sz w:val="24"/>
          <w:szCs w:val="24"/>
        </w:rPr>
        <w:t>單位：新臺幣億元</w:t>
      </w:r>
    </w:p>
    <w:tbl>
      <w:tblPr>
        <w:tblW w:w="1004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9"/>
        <w:gridCol w:w="1328"/>
        <w:gridCol w:w="1182"/>
        <w:gridCol w:w="1646"/>
        <w:gridCol w:w="2670"/>
        <w:gridCol w:w="2483"/>
      </w:tblGrid>
      <w:tr w:rsidR="0064621B" w:rsidRPr="000140B3" w:rsidTr="00FC43F4">
        <w:trPr>
          <w:trHeight w:val="460"/>
        </w:trPr>
        <w:tc>
          <w:tcPr>
            <w:tcW w:w="739" w:type="dxa"/>
            <w:vMerge w:val="restart"/>
            <w:vAlign w:val="center"/>
          </w:tcPr>
          <w:p w:rsidR="0064621B" w:rsidRPr="000140B3" w:rsidRDefault="0064621B" w:rsidP="00FC43F4">
            <w:pPr>
              <w:ind w:leftChars="-31" w:left="1" w:rightChars="-24" w:right="-82" w:hangingChars="36" w:hanging="106"/>
              <w:jc w:val="center"/>
              <w:rPr>
                <w:rFonts w:ascii="Times New Roman"/>
                <w:w w:val="115"/>
                <w:sz w:val="24"/>
                <w:szCs w:val="24"/>
              </w:rPr>
            </w:pPr>
            <w:r w:rsidRPr="000140B3">
              <w:rPr>
                <w:rFonts w:ascii="Times New Roman"/>
                <w:w w:val="115"/>
                <w:sz w:val="24"/>
                <w:szCs w:val="24"/>
              </w:rPr>
              <w:t>年度</w:t>
            </w:r>
          </w:p>
        </w:tc>
        <w:tc>
          <w:tcPr>
            <w:tcW w:w="1328" w:type="dxa"/>
            <w:vMerge w:val="restart"/>
            <w:vAlign w:val="center"/>
          </w:tcPr>
          <w:p w:rsidR="0064621B" w:rsidRPr="000140B3" w:rsidRDefault="0064621B" w:rsidP="00FC43F4">
            <w:pPr>
              <w:ind w:leftChars="-39" w:left="-3" w:rightChars="-49" w:right="-167" w:hangingChars="44" w:hanging="130"/>
              <w:jc w:val="center"/>
              <w:rPr>
                <w:rFonts w:ascii="Times New Roman"/>
                <w:w w:val="115"/>
                <w:sz w:val="24"/>
                <w:szCs w:val="24"/>
              </w:rPr>
            </w:pPr>
            <w:proofErr w:type="gramStart"/>
            <w:r w:rsidRPr="000140B3">
              <w:rPr>
                <w:rFonts w:ascii="Times New Roman"/>
                <w:w w:val="115"/>
                <w:sz w:val="24"/>
                <w:szCs w:val="24"/>
              </w:rPr>
              <w:t>大陸暴險金額</w:t>
            </w:r>
            <w:proofErr w:type="gramEnd"/>
            <w:r w:rsidRPr="000140B3">
              <w:rPr>
                <w:rFonts w:ascii="Times New Roman"/>
                <w:w w:val="115"/>
                <w:sz w:val="24"/>
                <w:szCs w:val="24"/>
              </w:rPr>
              <w:t>(1)</w:t>
            </w:r>
          </w:p>
        </w:tc>
        <w:tc>
          <w:tcPr>
            <w:tcW w:w="1182" w:type="dxa"/>
            <w:vMerge w:val="restart"/>
            <w:vAlign w:val="center"/>
          </w:tcPr>
          <w:p w:rsidR="0064621B" w:rsidRPr="000140B3" w:rsidRDefault="0064621B" w:rsidP="00FC43F4">
            <w:pPr>
              <w:ind w:leftChars="-55" w:left="2" w:rightChars="-37" w:right="-126" w:hangingChars="64" w:hanging="189"/>
              <w:jc w:val="center"/>
              <w:rPr>
                <w:rFonts w:ascii="Times New Roman"/>
                <w:w w:val="115"/>
                <w:sz w:val="24"/>
                <w:szCs w:val="24"/>
              </w:rPr>
            </w:pPr>
            <w:proofErr w:type="gramStart"/>
            <w:r w:rsidRPr="000140B3">
              <w:rPr>
                <w:rFonts w:ascii="Times New Roman"/>
                <w:w w:val="115"/>
                <w:sz w:val="24"/>
                <w:szCs w:val="24"/>
              </w:rPr>
              <w:t>香港暴險金額</w:t>
            </w:r>
            <w:proofErr w:type="gramEnd"/>
            <w:r w:rsidRPr="000140B3">
              <w:rPr>
                <w:rFonts w:ascii="Times New Roman"/>
                <w:w w:val="115"/>
                <w:sz w:val="24"/>
                <w:szCs w:val="24"/>
              </w:rPr>
              <w:t>(2)</w:t>
            </w:r>
          </w:p>
        </w:tc>
        <w:tc>
          <w:tcPr>
            <w:tcW w:w="1646" w:type="dxa"/>
            <w:vMerge w:val="restart"/>
            <w:vAlign w:val="center"/>
          </w:tcPr>
          <w:p w:rsidR="0064621B" w:rsidRPr="000140B3" w:rsidRDefault="0064621B" w:rsidP="00FC43F4">
            <w:pPr>
              <w:ind w:leftChars="-26" w:left="-88" w:rightChars="-53" w:right="-180"/>
              <w:jc w:val="center"/>
              <w:rPr>
                <w:rFonts w:ascii="Times New Roman"/>
                <w:w w:val="115"/>
                <w:sz w:val="24"/>
                <w:szCs w:val="24"/>
              </w:rPr>
            </w:pPr>
            <w:r w:rsidRPr="000140B3">
              <w:rPr>
                <w:rFonts w:ascii="Times New Roman"/>
                <w:w w:val="115"/>
                <w:sz w:val="24"/>
                <w:szCs w:val="24"/>
              </w:rPr>
              <w:t>保險業資金</w:t>
            </w:r>
            <w:r w:rsidRPr="000140B3">
              <w:rPr>
                <w:rFonts w:ascii="Times New Roman"/>
                <w:w w:val="115"/>
                <w:sz w:val="24"/>
                <w:szCs w:val="24"/>
              </w:rPr>
              <w:t>(3)</w:t>
            </w:r>
          </w:p>
        </w:tc>
        <w:tc>
          <w:tcPr>
            <w:tcW w:w="2670" w:type="dxa"/>
            <w:vAlign w:val="center"/>
          </w:tcPr>
          <w:p w:rsidR="0064621B" w:rsidRPr="000140B3" w:rsidRDefault="0064621B" w:rsidP="00FC43F4">
            <w:pPr>
              <w:jc w:val="center"/>
              <w:rPr>
                <w:rFonts w:ascii="Times New Roman"/>
                <w:w w:val="115"/>
                <w:sz w:val="24"/>
                <w:szCs w:val="24"/>
              </w:rPr>
            </w:pPr>
            <w:proofErr w:type="gramStart"/>
            <w:r w:rsidRPr="000140B3">
              <w:rPr>
                <w:rFonts w:ascii="Times New Roman"/>
                <w:w w:val="115"/>
                <w:sz w:val="24"/>
                <w:szCs w:val="24"/>
              </w:rPr>
              <w:t>大陸暴險金額</w:t>
            </w:r>
            <w:proofErr w:type="gramEnd"/>
            <w:r w:rsidRPr="000140B3">
              <w:rPr>
                <w:rFonts w:ascii="Times New Roman"/>
                <w:w w:val="115"/>
                <w:sz w:val="24"/>
                <w:szCs w:val="24"/>
              </w:rPr>
              <w:t>占保險業資金之百分比</w:t>
            </w:r>
          </w:p>
        </w:tc>
        <w:tc>
          <w:tcPr>
            <w:tcW w:w="2483" w:type="dxa"/>
            <w:vAlign w:val="center"/>
          </w:tcPr>
          <w:p w:rsidR="0064621B" w:rsidRPr="000140B3" w:rsidRDefault="0064621B" w:rsidP="00FC43F4">
            <w:pPr>
              <w:ind w:leftChars="-4" w:left="-14" w:rightChars="-38" w:right="-129"/>
              <w:jc w:val="center"/>
              <w:rPr>
                <w:rFonts w:ascii="Times New Roman"/>
                <w:w w:val="115"/>
                <w:sz w:val="24"/>
                <w:szCs w:val="24"/>
              </w:rPr>
            </w:pPr>
            <w:proofErr w:type="gramStart"/>
            <w:r w:rsidRPr="000140B3">
              <w:rPr>
                <w:rFonts w:ascii="Times New Roman"/>
                <w:w w:val="115"/>
                <w:sz w:val="24"/>
                <w:szCs w:val="24"/>
              </w:rPr>
              <w:t>香港暴險金額</w:t>
            </w:r>
            <w:proofErr w:type="gramEnd"/>
            <w:r w:rsidRPr="000140B3">
              <w:rPr>
                <w:rFonts w:ascii="Times New Roman"/>
                <w:w w:val="115"/>
                <w:sz w:val="24"/>
                <w:szCs w:val="24"/>
              </w:rPr>
              <w:t>占保險業資金之百分比</w:t>
            </w:r>
          </w:p>
        </w:tc>
      </w:tr>
      <w:tr w:rsidR="0064621B" w:rsidRPr="000140B3" w:rsidTr="00FC43F4">
        <w:trPr>
          <w:trHeight w:val="279"/>
        </w:trPr>
        <w:tc>
          <w:tcPr>
            <w:tcW w:w="739" w:type="dxa"/>
            <w:vMerge/>
            <w:vAlign w:val="center"/>
          </w:tcPr>
          <w:p w:rsidR="0064621B" w:rsidRPr="000140B3" w:rsidRDefault="0064621B" w:rsidP="00EC5AF2">
            <w:pPr>
              <w:pStyle w:val="TableParagraph"/>
              <w:jc w:val="center"/>
              <w:rPr>
                <w:rFonts w:ascii="Times New Roman" w:eastAsia="標楷體" w:hAnsi="Times New Roman" w:cs="Times New Roman"/>
                <w:sz w:val="24"/>
                <w:szCs w:val="24"/>
                <w:lang w:eastAsia="zh-TW"/>
              </w:rPr>
            </w:pPr>
          </w:p>
        </w:tc>
        <w:tc>
          <w:tcPr>
            <w:tcW w:w="1328" w:type="dxa"/>
            <w:vMerge/>
            <w:vAlign w:val="center"/>
          </w:tcPr>
          <w:p w:rsidR="0064621B" w:rsidRPr="000140B3" w:rsidRDefault="0064621B" w:rsidP="00EC5AF2">
            <w:pPr>
              <w:pStyle w:val="TableParagraph"/>
              <w:jc w:val="center"/>
              <w:rPr>
                <w:rFonts w:ascii="Times New Roman" w:eastAsia="標楷體" w:hAnsi="Times New Roman" w:cs="Times New Roman"/>
                <w:sz w:val="24"/>
                <w:szCs w:val="24"/>
                <w:lang w:eastAsia="zh-TW"/>
              </w:rPr>
            </w:pPr>
          </w:p>
        </w:tc>
        <w:tc>
          <w:tcPr>
            <w:tcW w:w="1182" w:type="dxa"/>
            <w:vMerge/>
            <w:vAlign w:val="center"/>
          </w:tcPr>
          <w:p w:rsidR="0064621B" w:rsidRPr="000140B3" w:rsidRDefault="0064621B" w:rsidP="00EC5AF2">
            <w:pPr>
              <w:pStyle w:val="TableParagraph"/>
              <w:jc w:val="center"/>
              <w:rPr>
                <w:rFonts w:ascii="Times New Roman" w:eastAsia="標楷體" w:hAnsi="Times New Roman" w:cs="Times New Roman"/>
                <w:sz w:val="24"/>
                <w:szCs w:val="24"/>
                <w:lang w:eastAsia="zh-TW"/>
              </w:rPr>
            </w:pPr>
          </w:p>
        </w:tc>
        <w:tc>
          <w:tcPr>
            <w:tcW w:w="1646" w:type="dxa"/>
            <w:vMerge/>
            <w:vAlign w:val="center"/>
          </w:tcPr>
          <w:p w:rsidR="0064621B" w:rsidRPr="000140B3" w:rsidRDefault="0064621B" w:rsidP="00EC5AF2">
            <w:pPr>
              <w:pStyle w:val="TableParagraph"/>
              <w:jc w:val="center"/>
              <w:rPr>
                <w:rFonts w:ascii="Times New Roman" w:eastAsia="標楷體" w:hAnsi="Times New Roman" w:cs="Times New Roman"/>
                <w:sz w:val="24"/>
                <w:szCs w:val="24"/>
                <w:lang w:eastAsia="zh-TW"/>
              </w:rPr>
            </w:pPr>
          </w:p>
        </w:tc>
        <w:tc>
          <w:tcPr>
            <w:tcW w:w="2670" w:type="dxa"/>
            <w:vAlign w:val="center"/>
          </w:tcPr>
          <w:p w:rsidR="0064621B" w:rsidRPr="000140B3" w:rsidRDefault="0064621B" w:rsidP="00EC5AF2">
            <w:pPr>
              <w:pStyle w:val="TableParagraph"/>
              <w:spacing w:line="256" w:lineRule="exact"/>
              <w:ind w:left="294" w:right="210"/>
              <w:jc w:val="center"/>
              <w:rPr>
                <w:rFonts w:ascii="Times New Roman" w:eastAsia="標楷體" w:hAnsi="Times New Roman" w:cs="Times New Roman"/>
                <w:sz w:val="24"/>
                <w:szCs w:val="24"/>
              </w:rPr>
            </w:pPr>
            <w:r w:rsidRPr="000140B3">
              <w:rPr>
                <w:rFonts w:ascii="Times New Roman" w:eastAsia="標楷體" w:hAnsi="Times New Roman" w:cs="Times New Roman"/>
                <w:sz w:val="24"/>
                <w:szCs w:val="24"/>
              </w:rPr>
              <w:t>(</w:t>
            </w:r>
            <w:proofErr w:type="gramStart"/>
            <w:r w:rsidRPr="000140B3">
              <w:rPr>
                <w:rFonts w:ascii="Times New Roman" w:eastAsia="標楷體" w:hAnsi="Times New Roman" w:cs="Times New Roman"/>
                <w:sz w:val="24"/>
                <w:szCs w:val="24"/>
              </w:rPr>
              <w:t>4)=</w:t>
            </w:r>
            <w:proofErr w:type="gramEnd"/>
            <w:r w:rsidRPr="000140B3">
              <w:rPr>
                <w:rFonts w:ascii="Times New Roman" w:eastAsia="標楷體" w:hAnsi="Times New Roman" w:cs="Times New Roman"/>
                <w:sz w:val="24"/>
                <w:szCs w:val="24"/>
              </w:rPr>
              <w:t>(1)/(3)</w:t>
            </w:r>
          </w:p>
        </w:tc>
        <w:tc>
          <w:tcPr>
            <w:tcW w:w="2483" w:type="dxa"/>
            <w:vAlign w:val="center"/>
          </w:tcPr>
          <w:p w:rsidR="0064621B" w:rsidRPr="000140B3" w:rsidRDefault="0064621B" w:rsidP="00EC5AF2">
            <w:pPr>
              <w:pStyle w:val="TableParagraph"/>
              <w:spacing w:line="256" w:lineRule="exact"/>
              <w:ind w:left="192" w:right="115"/>
              <w:jc w:val="center"/>
              <w:rPr>
                <w:rFonts w:ascii="Times New Roman" w:eastAsia="標楷體" w:hAnsi="Times New Roman" w:cs="Times New Roman"/>
                <w:sz w:val="24"/>
                <w:szCs w:val="24"/>
              </w:rPr>
            </w:pPr>
            <w:r w:rsidRPr="000140B3">
              <w:rPr>
                <w:rFonts w:ascii="Times New Roman" w:eastAsia="標楷體" w:hAnsi="Times New Roman" w:cs="Times New Roman"/>
                <w:sz w:val="24"/>
                <w:szCs w:val="24"/>
              </w:rPr>
              <w:t>(</w:t>
            </w:r>
            <w:proofErr w:type="gramStart"/>
            <w:r w:rsidRPr="000140B3">
              <w:rPr>
                <w:rFonts w:ascii="Times New Roman" w:eastAsia="標楷體" w:hAnsi="Times New Roman" w:cs="Times New Roman"/>
                <w:sz w:val="24"/>
                <w:szCs w:val="24"/>
              </w:rPr>
              <w:t>5)=</w:t>
            </w:r>
            <w:proofErr w:type="gramEnd"/>
            <w:r w:rsidRPr="000140B3">
              <w:rPr>
                <w:rFonts w:ascii="Times New Roman" w:eastAsia="標楷體" w:hAnsi="Times New Roman" w:cs="Times New Roman"/>
                <w:sz w:val="24"/>
                <w:szCs w:val="24"/>
              </w:rPr>
              <w:t>(2)/(3)</w:t>
            </w:r>
          </w:p>
        </w:tc>
      </w:tr>
      <w:tr w:rsidR="0064621B" w:rsidRPr="000140B3" w:rsidTr="00FC43F4">
        <w:trPr>
          <w:trHeight w:val="291"/>
        </w:trPr>
        <w:tc>
          <w:tcPr>
            <w:tcW w:w="739" w:type="dxa"/>
          </w:tcPr>
          <w:p w:rsidR="0064621B" w:rsidRPr="000140B3" w:rsidRDefault="0064621B" w:rsidP="00FC43F4">
            <w:pPr>
              <w:pStyle w:val="TableParagraph"/>
              <w:spacing w:line="297" w:lineRule="exact"/>
              <w:ind w:leftChars="-22" w:left="-2" w:rightChars="-24" w:right="-82" w:hangingChars="27" w:hanging="73"/>
              <w:jc w:val="center"/>
              <w:rPr>
                <w:rFonts w:ascii="Times New Roman" w:eastAsia="標楷體" w:hAnsi="Times New Roman" w:cs="Times New Roman"/>
                <w:sz w:val="24"/>
                <w:szCs w:val="24"/>
              </w:rPr>
            </w:pPr>
            <w:r w:rsidRPr="000140B3">
              <w:rPr>
                <w:rFonts w:ascii="Times New Roman" w:eastAsia="標楷體" w:hAnsi="Times New Roman" w:cs="Times New Roman"/>
                <w:w w:val="105"/>
                <w:sz w:val="24"/>
                <w:szCs w:val="24"/>
              </w:rPr>
              <w:t>108</w:t>
            </w:r>
          </w:p>
        </w:tc>
        <w:tc>
          <w:tcPr>
            <w:tcW w:w="1328" w:type="dxa"/>
          </w:tcPr>
          <w:p w:rsidR="0064621B" w:rsidRPr="000140B3" w:rsidRDefault="0064621B" w:rsidP="00EC5AF2">
            <w:pPr>
              <w:pStyle w:val="TableParagraph"/>
              <w:spacing w:line="297" w:lineRule="exact"/>
              <w:ind w:right="60"/>
              <w:jc w:val="right"/>
              <w:rPr>
                <w:rFonts w:ascii="Times New Roman" w:eastAsia="標楷體" w:hAnsi="Times New Roman" w:cs="Times New Roman"/>
                <w:sz w:val="24"/>
                <w:szCs w:val="24"/>
              </w:rPr>
            </w:pPr>
            <w:r w:rsidRPr="000140B3">
              <w:rPr>
                <w:rFonts w:ascii="Times New Roman" w:eastAsia="標楷體" w:hAnsi="Times New Roman" w:cs="Times New Roman"/>
                <w:w w:val="105"/>
                <w:sz w:val="24"/>
                <w:szCs w:val="24"/>
              </w:rPr>
              <w:t>2,648</w:t>
            </w:r>
          </w:p>
        </w:tc>
        <w:tc>
          <w:tcPr>
            <w:tcW w:w="1182" w:type="dxa"/>
          </w:tcPr>
          <w:p w:rsidR="0064621B" w:rsidRPr="000140B3" w:rsidRDefault="0064621B" w:rsidP="00EC5AF2">
            <w:pPr>
              <w:pStyle w:val="TableParagraph"/>
              <w:spacing w:line="297" w:lineRule="exact"/>
              <w:ind w:right="40"/>
              <w:jc w:val="right"/>
              <w:rPr>
                <w:rFonts w:ascii="Times New Roman" w:eastAsia="標楷體" w:hAnsi="Times New Roman" w:cs="Times New Roman"/>
                <w:sz w:val="24"/>
                <w:szCs w:val="24"/>
              </w:rPr>
            </w:pPr>
            <w:r w:rsidRPr="000140B3">
              <w:rPr>
                <w:rFonts w:ascii="Times New Roman" w:eastAsia="標楷體" w:hAnsi="Times New Roman" w:cs="Times New Roman"/>
                <w:w w:val="105"/>
                <w:sz w:val="24"/>
                <w:szCs w:val="24"/>
              </w:rPr>
              <w:t>1,901</w:t>
            </w:r>
          </w:p>
        </w:tc>
        <w:tc>
          <w:tcPr>
            <w:tcW w:w="1646" w:type="dxa"/>
          </w:tcPr>
          <w:p w:rsidR="0064621B" w:rsidRPr="000140B3" w:rsidRDefault="0064621B" w:rsidP="00EC5AF2">
            <w:pPr>
              <w:pStyle w:val="TableParagraph"/>
              <w:spacing w:line="297" w:lineRule="exact"/>
              <w:ind w:right="49"/>
              <w:jc w:val="right"/>
              <w:rPr>
                <w:rFonts w:ascii="Times New Roman" w:eastAsia="標楷體" w:hAnsi="Times New Roman" w:cs="Times New Roman"/>
                <w:sz w:val="24"/>
                <w:szCs w:val="24"/>
              </w:rPr>
            </w:pPr>
            <w:r w:rsidRPr="000140B3">
              <w:rPr>
                <w:rFonts w:ascii="Times New Roman" w:eastAsia="標楷體" w:hAnsi="Times New Roman" w:cs="Times New Roman"/>
                <w:w w:val="105"/>
                <w:sz w:val="24"/>
                <w:szCs w:val="24"/>
              </w:rPr>
              <w:t>267,837</w:t>
            </w:r>
          </w:p>
        </w:tc>
        <w:tc>
          <w:tcPr>
            <w:tcW w:w="2670" w:type="dxa"/>
          </w:tcPr>
          <w:p w:rsidR="0064621B" w:rsidRPr="000140B3" w:rsidRDefault="0064621B" w:rsidP="00EC5AF2">
            <w:pPr>
              <w:pStyle w:val="TableParagraph"/>
              <w:spacing w:line="297" w:lineRule="exact"/>
              <w:ind w:left="272" w:right="210"/>
              <w:jc w:val="center"/>
              <w:rPr>
                <w:rFonts w:ascii="Times New Roman" w:eastAsia="標楷體" w:hAnsi="Times New Roman" w:cs="Times New Roman"/>
                <w:sz w:val="24"/>
                <w:szCs w:val="24"/>
              </w:rPr>
            </w:pPr>
            <w:r w:rsidRPr="000140B3">
              <w:rPr>
                <w:rFonts w:ascii="Times New Roman" w:eastAsia="標楷體" w:hAnsi="Times New Roman" w:cs="Times New Roman"/>
                <w:w w:val="105"/>
                <w:sz w:val="24"/>
                <w:szCs w:val="24"/>
              </w:rPr>
              <w:t>0.99%</w:t>
            </w:r>
          </w:p>
        </w:tc>
        <w:tc>
          <w:tcPr>
            <w:tcW w:w="2483" w:type="dxa"/>
          </w:tcPr>
          <w:p w:rsidR="0064621B" w:rsidRPr="000140B3" w:rsidRDefault="0064621B" w:rsidP="00EC5AF2">
            <w:pPr>
              <w:pStyle w:val="TableParagraph"/>
              <w:spacing w:line="297" w:lineRule="exact"/>
              <w:ind w:left="192" w:right="137"/>
              <w:jc w:val="center"/>
              <w:rPr>
                <w:rFonts w:ascii="Times New Roman" w:eastAsia="標楷體" w:hAnsi="Times New Roman" w:cs="Times New Roman"/>
                <w:sz w:val="24"/>
                <w:szCs w:val="24"/>
              </w:rPr>
            </w:pPr>
            <w:r w:rsidRPr="000140B3">
              <w:rPr>
                <w:rFonts w:ascii="Times New Roman" w:eastAsia="標楷體" w:hAnsi="Times New Roman" w:cs="Times New Roman"/>
                <w:w w:val="105"/>
                <w:sz w:val="24"/>
                <w:szCs w:val="24"/>
              </w:rPr>
              <w:t>0.71%</w:t>
            </w:r>
          </w:p>
        </w:tc>
      </w:tr>
      <w:tr w:rsidR="0064621B" w:rsidRPr="000140B3" w:rsidTr="00FC43F4">
        <w:trPr>
          <w:trHeight w:val="297"/>
        </w:trPr>
        <w:tc>
          <w:tcPr>
            <w:tcW w:w="739" w:type="dxa"/>
          </w:tcPr>
          <w:p w:rsidR="0064621B" w:rsidRPr="000140B3" w:rsidRDefault="0064621B" w:rsidP="00FC43F4">
            <w:pPr>
              <w:pStyle w:val="TableParagraph"/>
              <w:spacing w:before="5"/>
              <w:ind w:leftChars="-22" w:left="-2" w:rightChars="-24" w:right="-82" w:hangingChars="27" w:hanging="73"/>
              <w:jc w:val="center"/>
              <w:rPr>
                <w:rFonts w:ascii="Times New Roman" w:eastAsia="標楷體" w:hAnsi="Times New Roman" w:cs="Times New Roman"/>
                <w:sz w:val="24"/>
                <w:szCs w:val="24"/>
              </w:rPr>
            </w:pPr>
            <w:r w:rsidRPr="000140B3">
              <w:rPr>
                <w:rFonts w:ascii="Times New Roman" w:eastAsia="標楷體" w:hAnsi="Times New Roman" w:cs="Times New Roman"/>
                <w:w w:val="105"/>
                <w:sz w:val="24"/>
                <w:szCs w:val="24"/>
              </w:rPr>
              <w:t>109</w:t>
            </w:r>
          </w:p>
        </w:tc>
        <w:tc>
          <w:tcPr>
            <w:tcW w:w="1328" w:type="dxa"/>
          </w:tcPr>
          <w:p w:rsidR="0064621B" w:rsidRPr="000140B3" w:rsidRDefault="0064621B" w:rsidP="00EC5AF2">
            <w:pPr>
              <w:pStyle w:val="TableParagraph"/>
              <w:spacing w:line="297" w:lineRule="exact"/>
              <w:ind w:right="65"/>
              <w:jc w:val="right"/>
              <w:rPr>
                <w:rFonts w:ascii="Times New Roman" w:eastAsia="標楷體" w:hAnsi="Times New Roman" w:cs="Times New Roman"/>
                <w:sz w:val="24"/>
                <w:szCs w:val="24"/>
              </w:rPr>
            </w:pPr>
            <w:r w:rsidRPr="000140B3">
              <w:rPr>
                <w:rFonts w:ascii="Times New Roman" w:eastAsia="標楷體" w:hAnsi="Times New Roman" w:cs="Times New Roman"/>
                <w:w w:val="105"/>
                <w:sz w:val="24"/>
                <w:szCs w:val="24"/>
              </w:rPr>
              <w:t>3,411</w:t>
            </w:r>
          </w:p>
        </w:tc>
        <w:tc>
          <w:tcPr>
            <w:tcW w:w="1182" w:type="dxa"/>
          </w:tcPr>
          <w:p w:rsidR="0064621B" w:rsidRPr="000140B3" w:rsidRDefault="0064621B" w:rsidP="00EC5AF2">
            <w:pPr>
              <w:pStyle w:val="TableParagraph"/>
              <w:spacing w:line="297" w:lineRule="exact"/>
              <w:ind w:right="41"/>
              <w:jc w:val="right"/>
              <w:rPr>
                <w:rFonts w:ascii="Times New Roman" w:eastAsia="標楷體" w:hAnsi="Times New Roman" w:cs="Times New Roman"/>
                <w:sz w:val="24"/>
                <w:szCs w:val="24"/>
              </w:rPr>
            </w:pPr>
            <w:r w:rsidRPr="000140B3">
              <w:rPr>
                <w:rFonts w:ascii="Times New Roman" w:eastAsia="標楷體" w:hAnsi="Times New Roman" w:cs="Times New Roman"/>
                <w:w w:val="105"/>
                <w:sz w:val="24"/>
                <w:szCs w:val="24"/>
              </w:rPr>
              <w:t>1,480</w:t>
            </w:r>
          </w:p>
        </w:tc>
        <w:tc>
          <w:tcPr>
            <w:tcW w:w="1646" w:type="dxa"/>
          </w:tcPr>
          <w:p w:rsidR="0064621B" w:rsidRPr="000140B3" w:rsidRDefault="0064621B" w:rsidP="00EC5AF2">
            <w:pPr>
              <w:pStyle w:val="TableParagraph"/>
              <w:spacing w:line="297" w:lineRule="exact"/>
              <w:ind w:right="73"/>
              <w:jc w:val="right"/>
              <w:rPr>
                <w:rFonts w:ascii="Times New Roman" w:eastAsia="標楷體" w:hAnsi="Times New Roman" w:cs="Times New Roman"/>
                <w:sz w:val="24"/>
                <w:szCs w:val="24"/>
              </w:rPr>
            </w:pPr>
            <w:r w:rsidRPr="000140B3">
              <w:rPr>
                <w:rFonts w:ascii="Times New Roman" w:eastAsia="標楷體" w:hAnsi="Times New Roman" w:cs="Times New Roman"/>
                <w:sz w:val="24"/>
                <w:szCs w:val="24"/>
              </w:rPr>
              <w:t>289,163</w:t>
            </w:r>
          </w:p>
        </w:tc>
        <w:tc>
          <w:tcPr>
            <w:tcW w:w="2670" w:type="dxa"/>
          </w:tcPr>
          <w:p w:rsidR="0064621B" w:rsidRPr="000140B3" w:rsidRDefault="0064621B" w:rsidP="00EC5AF2">
            <w:pPr>
              <w:pStyle w:val="TableParagraph"/>
              <w:spacing w:line="297" w:lineRule="exact"/>
              <w:ind w:left="266" w:right="210"/>
              <w:jc w:val="center"/>
              <w:rPr>
                <w:rFonts w:ascii="Times New Roman" w:eastAsia="標楷體" w:hAnsi="Times New Roman" w:cs="Times New Roman"/>
                <w:sz w:val="24"/>
                <w:szCs w:val="24"/>
              </w:rPr>
            </w:pPr>
            <w:r w:rsidRPr="000140B3">
              <w:rPr>
                <w:rFonts w:ascii="Times New Roman" w:eastAsia="標楷體" w:hAnsi="Times New Roman" w:cs="Times New Roman"/>
                <w:w w:val="105"/>
                <w:sz w:val="24"/>
                <w:szCs w:val="24"/>
              </w:rPr>
              <w:t>1.18%</w:t>
            </w:r>
          </w:p>
        </w:tc>
        <w:tc>
          <w:tcPr>
            <w:tcW w:w="2483" w:type="dxa"/>
          </w:tcPr>
          <w:p w:rsidR="0064621B" w:rsidRPr="000140B3" w:rsidRDefault="0064621B" w:rsidP="00EC5AF2">
            <w:pPr>
              <w:pStyle w:val="TableParagraph"/>
              <w:spacing w:before="5"/>
              <w:ind w:left="192" w:right="129"/>
              <w:jc w:val="center"/>
              <w:rPr>
                <w:rFonts w:ascii="Times New Roman" w:eastAsia="標楷體" w:hAnsi="Times New Roman" w:cs="Times New Roman"/>
                <w:sz w:val="24"/>
                <w:szCs w:val="24"/>
              </w:rPr>
            </w:pPr>
            <w:r w:rsidRPr="000140B3">
              <w:rPr>
                <w:rFonts w:ascii="Times New Roman" w:eastAsia="標楷體" w:hAnsi="Times New Roman" w:cs="Times New Roman"/>
                <w:w w:val="110"/>
                <w:sz w:val="24"/>
                <w:szCs w:val="24"/>
              </w:rPr>
              <w:t>0.51%</w:t>
            </w:r>
          </w:p>
        </w:tc>
      </w:tr>
      <w:tr w:rsidR="0064621B" w:rsidRPr="000140B3" w:rsidTr="00FC43F4">
        <w:trPr>
          <w:trHeight w:val="291"/>
        </w:trPr>
        <w:tc>
          <w:tcPr>
            <w:tcW w:w="739" w:type="dxa"/>
          </w:tcPr>
          <w:p w:rsidR="0064621B" w:rsidRPr="000140B3" w:rsidRDefault="0064621B" w:rsidP="00FC43F4">
            <w:pPr>
              <w:pStyle w:val="TableParagraph"/>
              <w:spacing w:before="7"/>
              <w:ind w:leftChars="-22" w:left="-5" w:rightChars="-24" w:right="-82" w:hangingChars="27" w:hanging="70"/>
              <w:jc w:val="center"/>
              <w:rPr>
                <w:rFonts w:ascii="Times New Roman" w:eastAsia="標楷體" w:hAnsi="Times New Roman" w:cs="Times New Roman"/>
                <w:sz w:val="24"/>
                <w:szCs w:val="24"/>
              </w:rPr>
            </w:pPr>
            <w:r w:rsidRPr="000140B3">
              <w:rPr>
                <w:rFonts w:ascii="Times New Roman" w:eastAsia="標楷體" w:hAnsi="Times New Roman" w:cs="Times New Roman"/>
                <w:sz w:val="24"/>
                <w:szCs w:val="24"/>
                <w:lang w:eastAsia="zh-TW"/>
              </w:rPr>
              <w:t>110</w:t>
            </w:r>
          </w:p>
        </w:tc>
        <w:tc>
          <w:tcPr>
            <w:tcW w:w="1328" w:type="dxa"/>
          </w:tcPr>
          <w:p w:rsidR="0064621B" w:rsidRPr="000140B3" w:rsidRDefault="0064621B" w:rsidP="00EC5AF2">
            <w:pPr>
              <w:pStyle w:val="TableParagraph"/>
              <w:spacing w:line="290" w:lineRule="exact"/>
              <w:ind w:right="50"/>
              <w:jc w:val="right"/>
              <w:rPr>
                <w:rFonts w:ascii="Times New Roman" w:eastAsia="標楷體" w:hAnsi="Times New Roman" w:cs="Times New Roman"/>
                <w:sz w:val="24"/>
                <w:szCs w:val="24"/>
              </w:rPr>
            </w:pPr>
            <w:r w:rsidRPr="000140B3">
              <w:rPr>
                <w:rFonts w:ascii="Times New Roman" w:eastAsia="標楷體" w:hAnsi="Times New Roman" w:cs="Times New Roman"/>
                <w:w w:val="110"/>
                <w:sz w:val="24"/>
                <w:szCs w:val="24"/>
              </w:rPr>
              <w:t>2,961</w:t>
            </w:r>
          </w:p>
        </w:tc>
        <w:tc>
          <w:tcPr>
            <w:tcW w:w="1182" w:type="dxa"/>
          </w:tcPr>
          <w:p w:rsidR="0064621B" w:rsidRPr="000140B3" w:rsidRDefault="0064621B" w:rsidP="00EC5AF2">
            <w:pPr>
              <w:pStyle w:val="TableParagraph"/>
              <w:spacing w:line="290" w:lineRule="exact"/>
              <w:ind w:right="55"/>
              <w:jc w:val="right"/>
              <w:rPr>
                <w:rFonts w:ascii="Times New Roman" w:eastAsia="標楷體" w:hAnsi="Times New Roman" w:cs="Times New Roman"/>
                <w:sz w:val="24"/>
                <w:szCs w:val="24"/>
              </w:rPr>
            </w:pPr>
            <w:r w:rsidRPr="000140B3">
              <w:rPr>
                <w:rFonts w:ascii="Times New Roman" w:eastAsia="標楷體" w:hAnsi="Times New Roman" w:cs="Times New Roman"/>
                <w:w w:val="105"/>
                <w:sz w:val="24"/>
                <w:szCs w:val="24"/>
              </w:rPr>
              <w:t>1,335</w:t>
            </w:r>
          </w:p>
        </w:tc>
        <w:tc>
          <w:tcPr>
            <w:tcW w:w="1646" w:type="dxa"/>
          </w:tcPr>
          <w:p w:rsidR="0064621B" w:rsidRPr="000140B3" w:rsidRDefault="0064621B" w:rsidP="00EC5AF2">
            <w:pPr>
              <w:pStyle w:val="TableParagraph"/>
              <w:spacing w:line="290" w:lineRule="exact"/>
              <w:ind w:right="58"/>
              <w:jc w:val="right"/>
              <w:rPr>
                <w:rFonts w:ascii="Times New Roman" w:eastAsia="標楷體" w:hAnsi="Times New Roman" w:cs="Times New Roman"/>
                <w:sz w:val="24"/>
                <w:szCs w:val="24"/>
              </w:rPr>
            </w:pPr>
            <w:r w:rsidRPr="000140B3">
              <w:rPr>
                <w:rFonts w:ascii="Times New Roman" w:eastAsia="標楷體" w:hAnsi="Times New Roman" w:cs="Times New Roman"/>
                <w:w w:val="105"/>
                <w:sz w:val="24"/>
                <w:szCs w:val="24"/>
              </w:rPr>
              <w:t>303,585</w:t>
            </w:r>
          </w:p>
        </w:tc>
        <w:tc>
          <w:tcPr>
            <w:tcW w:w="2670" w:type="dxa"/>
          </w:tcPr>
          <w:p w:rsidR="0064621B" w:rsidRPr="000140B3" w:rsidRDefault="0064621B" w:rsidP="00EC5AF2">
            <w:pPr>
              <w:pStyle w:val="TableParagraph"/>
              <w:spacing w:line="290" w:lineRule="exact"/>
              <w:ind w:left="279" w:right="210"/>
              <w:jc w:val="center"/>
              <w:rPr>
                <w:rFonts w:ascii="Times New Roman" w:eastAsia="標楷體" w:hAnsi="Times New Roman" w:cs="Times New Roman"/>
                <w:sz w:val="24"/>
                <w:szCs w:val="24"/>
              </w:rPr>
            </w:pPr>
            <w:r w:rsidRPr="000140B3">
              <w:rPr>
                <w:rFonts w:ascii="Times New Roman" w:eastAsia="標楷體" w:hAnsi="Times New Roman" w:cs="Times New Roman"/>
                <w:w w:val="110"/>
                <w:sz w:val="24"/>
                <w:szCs w:val="24"/>
              </w:rPr>
              <w:t>0.98%</w:t>
            </w:r>
          </w:p>
        </w:tc>
        <w:tc>
          <w:tcPr>
            <w:tcW w:w="2483" w:type="dxa"/>
          </w:tcPr>
          <w:p w:rsidR="0064621B" w:rsidRPr="000140B3" w:rsidRDefault="0064621B" w:rsidP="00EC5AF2">
            <w:pPr>
              <w:pStyle w:val="TableParagraph"/>
              <w:spacing w:line="297" w:lineRule="exact"/>
              <w:ind w:left="192" w:right="129"/>
              <w:jc w:val="center"/>
              <w:rPr>
                <w:rFonts w:ascii="Times New Roman" w:eastAsia="標楷體" w:hAnsi="Times New Roman" w:cs="Times New Roman"/>
                <w:sz w:val="24"/>
                <w:szCs w:val="24"/>
              </w:rPr>
            </w:pPr>
            <w:r w:rsidRPr="000140B3">
              <w:rPr>
                <w:rFonts w:ascii="Times New Roman" w:eastAsia="標楷體" w:hAnsi="Times New Roman" w:cs="Times New Roman"/>
                <w:w w:val="110"/>
                <w:sz w:val="24"/>
                <w:szCs w:val="24"/>
              </w:rPr>
              <w:t>0.44%</w:t>
            </w:r>
          </w:p>
        </w:tc>
      </w:tr>
      <w:tr w:rsidR="0064621B" w:rsidRPr="000140B3" w:rsidTr="00FC43F4">
        <w:trPr>
          <w:trHeight w:val="291"/>
        </w:trPr>
        <w:tc>
          <w:tcPr>
            <w:tcW w:w="739" w:type="dxa"/>
          </w:tcPr>
          <w:p w:rsidR="0064621B" w:rsidRPr="000140B3" w:rsidRDefault="0064621B" w:rsidP="00FC43F4">
            <w:pPr>
              <w:pStyle w:val="TableParagraph"/>
              <w:spacing w:before="5" w:line="298" w:lineRule="exact"/>
              <w:ind w:leftChars="-22" w:left="-2" w:rightChars="-24" w:right="-82" w:hangingChars="27" w:hanging="73"/>
              <w:jc w:val="center"/>
              <w:rPr>
                <w:rFonts w:ascii="Times New Roman" w:eastAsia="標楷體" w:hAnsi="Times New Roman" w:cs="Times New Roman"/>
                <w:sz w:val="24"/>
                <w:szCs w:val="24"/>
              </w:rPr>
            </w:pPr>
            <w:r w:rsidRPr="000140B3">
              <w:rPr>
                <w:rFonts w:ascii="Times New Roman" w:eastAsia="標楷體" w:hAnsi="Times New Roman" w:cs="Times New Roman"/>
                <w:w w:val="105"/>
                <w:sz w:val="24"/>
                <w:szCs w:val="24"/>
              </w:rPr>
              <w:t>111</w:t>
            </w:r>
          </w:p>
        </w:tc>
        <w:tc>
          <w:tcPr>
            <w:tcW w:w="1328" w:type="dxa"/>
          </w:tcPr>
          <w:p w:rsidR="0064621B" w:rsidRPr="000140B3" w:rsidRDefault="0064621B" w:rsidP="00EC5AF2">
            <w:pPr>
              <w:pStyle w:val="TableParagraph"/>
              <w:spacing w:line="290" w:lineRule="exact"/>
              <w:ind w:right="79"/>
              <w:jc w:val="right"/>
              <w:rPr>
                <w:rFonts w:ascii="Times New Roman" w:eastAsia="標楷體" w:hAnsi="Times New Roman" w:cs="Times New Roman"/>
                <w:sz w:val="24"/>
                <w:szCs w:val="24"/>
              </w:rPr>
            </w:pPr>
            <w:r w:rsidRPr="000140B3">
              <w:rPr>
                <w:rFonts w:ascii="Times New Roman" w:eastAsia="標楷體" w:hAnsi="Times New Roman" w:cs="Times New Roman"/>
                <w:sz w:val="24"/>
                <w:szCs w:val="24"/>
              </w:rPr>
              <w:t>1,657</w:t>
            </w:r>
          </w:p>
        </w:tc>
        <w:tc>
          <w:tcPr>
            <w:tcW w:w="1182" w:type="dxa"/>
          </w:tcPr>
          <w:p w:rsidR="0064621B" w:rsidRPr="000140B3" w:rsidRDefault="0064621B" w:rsidP="00EC5AF2">
            <w:pPr>
              <w:pStyle w:val="TableParagraph"/>
              <w:spacing w:line="290" w:lineRule="exact"/>
              <w:ind w:right="41"/>
              <w:jc w:val="right"/>
              <w:rPr>
                <w:rFonts w:ascii="Times New Roman" w:eastAsia="標楷體" w:hAnsi="Times New Roman" w:cs="Times New Roman"/>
                <w:sz w:val="24"/>
                <w:szCs w:val="24"/>
              </w:rPr>
            </w:pPr>
            <w:r w:rsidRPr="000140B3">
              <w:rPr>
                <w:rFonts w:ascii="Times New Roman" w:eastAsia="標楷體" w:hAnsi="Times New Roman" w:cs="Times New Roman"/>
                <w:w w:val="105"/>
                <w:sz w:val="24"/>
                <w:szCs w:val="24"/>
              </w:rPr>
              <w:t>1,454</w:t>
            </w:r>
          </w:p>
        </w:tc>
        <w:tc>
          <w:tcPr>
            <w:tcW w:w="1646" w:type="dxa"/>
          </w:tcPr>
          <w:p w:rsidR="0064621B" w:rsidRPr="000140B3" w:rsidRDefault="0064621B" w:rsidP="00EC5AF2">
            <w:pPr>
              <w:pStyle w:val="TableParagraph"/>
              <w:spacing w:line="290" w:lineRule="exact"/>
              <w:ind w:right="69"/>
              <w:jc w:val="right"/>
              <w:rPr>
                <w:rFonts w:ascii="Times New Roman" w:eastAsia="標楷體" w:hAnsi="Times New Roman" w:cs="Times New Roman"/>
                <w:sz w:val="24"/>
                <w:szCs w:val="24"/>
              </w:rPr>
            </w:pPr>
            <w:r w:rsidRPr="000140B3">
              <w:rPr>
                <w:rFonts w:ascii="Times New Roman" w:eastAsia="標楷體" w:hAnsi="Times New Roman" w:cs="Times New Roman"/>
                <w:sz w:val="24"/>
                <w:szCs w:val="24"/>
              </w:rPr>
              <w:t>306,408</w:t>
            </w:r>
          </w:p>
        </w:tc>
        <w:tc>
          <w:tcPr>
            <w:tcW w:w="2670" w:type="dxa"/>
          </w:tcPr>
          <w:p w:rsidR="0064621B" w:rsidRPr="000140B3" w:rsidRDefault="0064621B" w:rsidP="00EC5AF2">
            <w:pPr>
              <w:pStyle w:val="TableParagraph"/>
              <w:spacing w:line="290" w:lineRule="exact"/>
              <w:ind w:left="279" w:right="210"/>
              <w:jc w:val="center"/>
              <w:rPr>
                <w:rFonts w:ascii="Times New Roman" w:eastAsia="標楷體" w:hAnsi="Times New Roman" w:cs="Times New Roman"/>
                <w:sz w:val="24"/>
                <w:szCs w:val="24"/>
              </w:rPr>
            </w:pPr>
            <w:r w:rsidRPr="000140B3">
              <w:rPr>
                <w:rFonts w:ascii="Times New Roman" w:eastAsia="標楷體" w:hAnsi="Times New Roman" w:cs="Times New Roman"/>
                <w:w w:val="110"/>
                <w:sz w:val="24"/>
                <w:szCs w:val="24"/>
              </w:rPr>
              <w:t>0.54%</w:t>
            </w:r>
          </w:p>
        </w:tc>
        <w:tc>
          <w:tcPr>
            <w:tcW w:w="2483" w:type="dxa"/>
          </w:tcPr>
          <w:p w:rsidR="0064621B" w:rsidRPr="000140B3" w:rsidRDefault="0064621B" w:rsidP="00EC5AF2">
            <w:pPr>
              <w:pStyle w:val="TableParagraph"/>
              <w:spacing w:before="5" w:line="298" w:lineRule="exact"/>
              <w:ind w:left="192" w:right="137"/>
              <w:jc w:val="center"/>
              <w:rPr>
                <w:rFonts w:ascii="Times New Roman" w:eastAsia="標楷體" w:hAnsi="Times New Roman" w:cs="Times New Roman"/>
                <w:sz w:val="24"/>
                <w:szCs w:val="24"/>
              </w:rPr>
            </w:pPr>
            <w:r w:rsidRPr="000140B3">
              <w:rPr>
                <w:rFonts w:ascii="Times New Roman" w:eastAsia="標楷體" w:hAnsi="Times New Roman" w:cs="Times New Roman"/>
                <w:w w:val="105"/>
                <w:sz w:val="24"/>
                <w:szCs w:val="24"/>
              </w:rPr>
              <w:t>0.47%</w:t>
            </w:r>
          </w:p>
        </w:tc>
      </w:tr>
      <w:tr w:rsidR="0064621B" w:rsidRPr="000140B3" w:rsidTr="00FC43F4">
        <w:trPr>
          <w:trHeight w:val="291"/>
        </w:trPr>
        <w:tc>
          <w:tcPr>
            <w:tcW w:w="739" w:type="dxa"/>
          </w:tcPr>
          <w:p w:rsidR="0064621B" w:rsidRPr="000140B3" w:rsidRDefault="0064621B" w:rsidP="00FC43F4">
            <w:pPr>
              <w:pStyle w:val="TableParagraph"/>
              <w:spacing w:line="297" w:lineRule="exact"/>
              <w:ind w:leftChars="-22" w:left="-2" w:rightChars="-24" w:right="-82" w:hangingChars="27" w:hanging="73"/>
              <w:jc w:val="center"/>
              <w:rPr>
                <w:rFonts w:ascii="Times New Roman" w:eastAsia="標楷體" w:hAnsi="Times New Roman" w:cs="Times New Roman"/>
                <w:sz w:val="24"/>
                <w:szCs w:val="24"/>
              </w:rPr>
            </w:pPr>
            <w:r w:rsidRPr="000140B3">
              <w:rPr>
                <w:rFonts w:ascii="Times New Roman" w:eastAsia="標楷體" w:hAnsi="Times New Roman" w:cs="Times New Roman"/>
                <w:w w:val="105"/>
                <w:sz w:val="24"/>
                <w:szCs w:val="24"/>
              </w:rPr>
              <w:t>112</w:t>
            </w:r>
          </w:p>
        </w:tc>
        <w:tc>
          <w:tcPr>
            <w:tcW w:w="1328" w:type="dxa"/>
          </w:tcPr>
          <w:p w:rsidR="0064621B" w:rsidRPr="000140B3" w:rsidRDefault="0064621B" w:rsidP="00EC5AF2">
            <w:pPr>
              <w:pStyle w:val="TableParagraph"/>
              <w:spacing w:line="290" w:lineRule="exact"/>
              <w:ind w:right="72"/>
              <w:jc w:val="right"/>
              <w:rPr>
                <w:rFonts w:ascii="Times New Roman" w:eastAsia="標楷體" w:hAnsi="Times New Roman" w:cs="Times New Roman"/>
                <w:sz w:val="24"/>
                <w:szCs w:val="24"/>
              </w:rPr>
            </w:pPr>
            <w:r w:rsidRPr="000140B3">
              <w:rPr>
                <w:rFonts w:ascii="Times New Roman" w:eastAsia="標楷體" w:hAnsi="Times New Roman" w:cs="Times New Roman"/>
                <w:bCs/>
                <w:sz w:val="24"/>
                <w:szCs w:val="24"/>
                <w:lang w:eastAsia="zh-TW"/>
              </w:rPr>
              <w:t>1,268</w:t>
            </w:r>
          </w:p>
        </w:tc>
        <w:tc>
          <w:tcPr>
            <w:tcW w:w="1182" w:type="dxa"/>
          </w:tcPr>
          <w:p w:rsidR="0064621B" w:rsidRPr="000140B3" w:rsidRDefault="0064621B" w:rsidP="00EC5AF2">
            <w:pPr>
              <w:pStyle w:val="TableParagraph"/>
              <w:spacing w:line="290" w:lineRule="exact"/>
              <w:ind w:right="64"/>
              <w:jc w:val="right"/>
              <w:rPr>
                <w:rFonts w:ascii="Times New Roman" w:eastAsia="標楷體" w:hAnsi="Times New Roman" w:cs="Times New Roman"/>
                <w:sz w:val="24"/>
                <w:szCs w:val="24"/>
              </w:rPr>
            </w:pPr>
            <w:r w:rsidRPr="000140B3">
              <w:rPr>
                <w:rFonts w:ascii="Times New Roman" w:eastAsia="標楷體" w:hAnsi="Times New Roman" w:cs="Times New Roman"/>
                <w:bCs/>
                <w:sz w:val="24"/>
                <w:szCs w:val="24"/>
                <w:lang w:eastAsia="zh-TW"/>
              </w:rPr>
              <w:t>1,472</w:t>
            </w:r>
          </w:p>
        </w:tc>
        <w:tc>
          <w:tcPr>
            <w:tcW w:w="1646" w:type="dxa"/>
          </w:tcPr>
          <w:p w:rsidR="0064621B" w:rsidRPr="000140B3" w:rsidRDefault="0064621B" w:rsidP="00EC5AF2">
            <w:pPr>
              <w:pStyle w:val="TableParagraph"/>
              <w:spacing w:line="297" w:lineRule="exact"/>
              <w:ind w:right="69"/>
              <w:jc w:val="right"/>
              <w:rPr>
                <w:rFonts w:ascii="Times New Roman" w:eastAsia="標楷體" w:hAnsi="Times New Roman" w:cs="Times New Roman"/>
                <w:sz w:val="24"/>
                <w:szCs w:val="24"/>
              </w:rPr>
            </w:pPr>
            <w:r w:rsidRPr="000140B3">
              <w:rPr>
                <w:rFonts w:ascii="Times New Roman" w:eastAsia="標楷體" w:hAnsi="Times New Roman" w:cs="Times New Roman"/>
                <w:bCs/>
                <w:sz w:val="24"/>
                <w:szCs w:val="24"/>
                <w:lang w:eastAsia="zh-TW"/>
              </w:rPr>
              <w:t>319,312</w:t>
            </w:r>
          </w:p>
        </w:tc>
        <w:tc>
          <w:tcPr>
            <w:tcW w:w="2670" w:type="dxa"/>
          </w:tcPr>
          <w:p w:rsidR="0064621B" w:rsidRPr="000140B3" w:rsidRDefault="0064621B" w:rsidP="00EC5AF2">
            <w:pPr>
              <w:pStyle w:val="TableParagraph"/>
              <w:spacing w:line="297" w:lineRule="exact"/>
              <w:ind w:left="276" w:right="210"/>
              <w:jc w:val="center"/>
              <w:rPr>
                <w:rFonts w:ascii="Times New Roman" w:eastAsia="標楷體" w:hAnsi="Times New Roman" w:cs="Times New Roman"/>
                <w:sz w:val="24"/>
                <w:szCs w:val="24"/>
              </w:rPr>
            </w:pPr>
            <w:r w:rsidRPr="000140B3">
              <w:rPr>
                <w:rFonts w:ascii="Times New Roman" w:eastAsia="標楷體" w:hAnsi="Times New Roman" w:cs="Times New Roman"/>
                <w:bCs/>
                <w:sz w:val="24"/>
                <w:szCs w:val="24"/>
                <w:lang w:eastAsia="zh-TW"/>
              </w:rPr>
              <w:t>0.40%</w:t>
            </w:r>
          </w:p>
        </w:tc>
        <w:tc>
          <w:tcPr>
            <w:tcW w:w="2483" w:type="dxa"/>
          </w:tcPr>
          <w:p w:rsidR="0064621B" w:rsidRPr="000140B3" w:rsidRDefault="0064621B" w:rsidP="00EC5AF2">
            <w:pPr>
              <w:pStyle w:val="TableParagraph"/>
              <w:spacing w:before="5" w:line="298" w:lineRule="exact"/>
              <w:ind w:left="192" w:right="137"/>
              <w:jc w:val="center"/>
              <w:rPr>
                <w:rFonts w:ascii="Times New Roman" w:eastAsia="標楷體" w:hAnsi="Times New Roman" w:cs="Times New Roman"/>
                <w:sz w:val="24"/>
                <w:szCs w:val="24"/>
              </w:rPr>
            </w:pPr>
            <w:r w:rsidRPr="000140B3">
              <w:rPr>
                <w:rFonts w:ascii="Times New Roman" w:eastAsia="標楷體" w:hAnsi="Times New Roman" w:cs="Times New Roman"/>
                <w:bCs/>
                <w:sz w:val="24"/>
                <w:szCs w:val="24"/>
                <w:lang w:eastAsia="zh-TW"/>
              </w:rPr>
              <w:t>0.46%</w:t>
            </w:r>
          </w:p>
        </w:tc>
      </w:tr>
    </w:tbl>
    <w:p w:rsidR="0064621B" w:rsidRPr="000140B3" w:rsidRDefault="0064621B" w:rsidP="0064621B">
      <w:pPr>
        <w:pStyle w:val="5"/>
        <w:numPr>
          <w:ilvl w:val="0"/>
          <w:numId w:val="0"/>
        </w:numPr>
        <w:spacing w:afterLines="50" w:after="228"/>
        <w:ind w:leftChars="-100" w:left="-80" w:hangingChars="100" w:hanging="260"/>
        <w:rPr>
          <w:rFonts w:ascii="Times New Roman" w:hAnsi="Times New Roman"/>
          <w:sz w:val="24"/>
          <w:szCs w:val="24"/>
        </w:rPr>
      </w:pPr>
      <w:r w:rsidRPr="000140B3">
        <w:rPr>
          <w:rFonts w:ascii="Times New Roman" w:hAnsi="Times New Roman"/>
          <w:sz w:val="24"/>
          <w:szCs w:val="24"/>
        </w:rPr>
        <w:t>資料來源：金管會。</w:t>
      </w:r>
    </w:p>
    <w:p w:rsidR="0064621B" w:rsidRPr="000140B3" w:rsidRDefault="0064621B" w:rsidP="0064621B">
      <w:pPr>
        <w:pStyle w:val="a4"/>
        <w:jc w:val="center"/>
        <w:rPr>
          <w:rFonts w:ascii="Times New Roman" w:hAnsi="Times New Roman"/>
          <w:b/>
        </w:rPr>
      </w:pPr>
      <w:r w:rsidRPr="000140B3">
        <w:rPr>
          <w:rFonts w:ascii="Times New Roman" w:hAnsi="Times New Roman"/>
          <w:b/>
        </w:rPr>
        <w:t>證券期貨業於</w:t>
      </w:r>
      <w:proofErr w:type="gramStart"/>
      <w:r w:rsidRPr="000140B3">
        <w:rPr>
          <w:rFonts w:ascii="Times New Roman" w:hAnsi="Times New Roman"/>
          <w:b/>
        </w:rPr>
        <w:t>香港暴險情形</w:t>
      </w:r>
      <w:proofErr w:type="gramEnd"/>
    </w:p>
    <w:p w:rsidR="0064621B" w:rsidRPr="000140B3" w:rsidRDefault="0064621B" w:rsidP="0064621B">
      <w:pPr>
        <w:pStyle w:val="affb"/>
        <w:spacing w:afterLines="25" w:after="114"/>
        <w:ind w:left="1276" w:right="-284"/>
        <w:jc w:val="right"/>
        <w:rPr>
          <w:sz w:val="24"/>
        </w:rPr>
      </w:pPr>
      <w:r w:rsidRPr="000140B3">
        <w:rPr>
          <w:sz w:val="24"/>
        </w:rPr>
        <w:t>單位：新臺幣億元</w:t>
      </w:r>
    </w:p>
    <w:tbl>
      <w:tblPr>
        <w:tblW w:w="11078"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9"/>
        <w:gridCol w:w="1123"/>
        <w:gridCol w:w="857"/>
        <w:gridCol w:w="995"/>
        <w:gridCol w:w="851"/>
        <w:gridCol w:w="1124"/>
        <w:gridCol w:w="865"/>
        <w:gridCol w:w="994"/>
        <w:gridCol w:w="851"/>
        <w:gridCol w:w="1136"/>
        <w:gridCol w:w="853"/>
      </w:tblGrid>
      <w:tr w:rsidR="0064621B" w:rsidRPr="000140B3" w:rsidTr="00EC5AF2">
        <w:trPr>
          <w:trHeight w:val="191"/>
          <w:tblHeader/>
        </w:trPr>
        <w:tc>
          <w:tcPr>
            <w:tcW w:w="1429" w:type="dxa"/>
          </w:tcPr>
          <w:p w:rsidR="0064621B" w:rsidRPr="000140B3" w:rsidRDefault="0064621B" w:rsidP="00EC5AF2">
            <w:pPr>
              <w:rPr>
                <w:rFonts w:ascii="Times New Roman"/>
                <w:sz w:val="18"/>
                <w:szCs w:val="18"/>
              </w:rPr>
            </w:pPr>
          </w:p>
        </w:tc>
        <w:tc>
          <w:tcPr>
            <w:tcW w:w="1980" w:type="dxa"/>
            <w:gridSpan w:val="2"/>
          </w:tcPr>
          <w:p w:rsidR="0064621B" w:rsidRPr="000140B3" w:rsidRDefault="0064621B" w:rsidP="00EC5AF2">
            <w:pPr>
              <w:jc w:val="center"/>
              <w:rPr>
                <w:rFonts w:ascii="Times New Roman"/>
                <w:sz w:val="18"/>
                <w:szCs w:val="18"/>
              </w:rPr>
            </w:pPr>
            <w:r w:rsidRPr="000140B3">
              <w:rPr>
                <w:rFonts w:ascii="Times New Roman"/>
                <w:w w:val="105"/>
                <w:sz w:val="18"/>
                <w:szCs w:val="18"/>
              </w:rPr>
              <w:t>108</w:t>
            </w:r>
            <w:r w:rsidRPr="000140B3">
              <w:rPr>
                <w:rFonts w:ascii="Times New Roman"/>
                <w:w w:val="105"/>
                <w:sz w:val="18"/>
                <w:szCs w:val="18"/>
              </w:rPr>
              <w:t>年底</w:t>
            </w:r>
          </w:p>
        </w:tc>
        <w:tc>
          <w:tcPr>
            <w:tcW w:w="1846" w:type="dxa"/>
            <w:gridSpan w:val="2"/>
          </w:tcPr>
          <w:p w:rsidR="0064621B" w:rsidRPr="000140B3" w:rsidRDefault="0064621B" w:rsidP="00EC5AF2">
            <w:pPr>
              <w:jc w:val="center"/>
              <w:rPr>
                <w:rFonts w:ascii="Times New Roman"/>
                <w:sz w:val="18"/>
                <w:szCs w:val="18"/>
              </w:rPr>
            </w:pPr>
            <w:r w:rsidRPr="000140B3">
              <w:rPr>
                <w:rFonts w:ascii="Times New Roman"/>
                <w:w w:val="105"/>
                <w:sz w:val="18"/>
                <w:szCs w:val="18"/>
              </w:rPr>
              <w:t>109</w:t>
            </w:r>
            <w:r w:rsidRPr="000140B3">
              <w:rPr>
                <w:rFonts w:ascii="Times New Roman"/>
                <w:w w:val="105"/>
                <w:sz w:val="18"/>
                <w:szCs w:val="18"/>
              </w:rPr>
              <w:t>年底</w:t>
            </w:r>
          </w:p>
        </w:tc>
        <w:tc>
          <w:tcPr>
            <w:tcW w:w="1989" w:type="dxa"/>
            <w:gridSpan w:val="2"/>
          </w:tcPr>
          <w:p w:rsidR="0064621B" w:rsidRPr="000140B3" w:rsidRDefault="0064621B" w:rsidP="00EC5AF2">
            <w:pPr>
              <w:jc w:val="center"/>
              <w:rPr>
                <w:rFonts w:ascii="Times New Roman"/>
                <w:sz w:val="18"/>
                <w:szCs w:val="18"/>
              </w:rPr>
            </w:pPr>
            <w:r w:rsidRPr="000140B3">
              <w:rPr>
                <w:rFonts w:ascii="Times New Roman"/>
                <w:w w:val="105"/>
                <w:sz w:val="18"/>
                <w:szCs w:val="18"/>
              </w:rPr>
              <w:t>110</w:t>
            </w:r>
            <w:r w:rsidRPr="000140B3">
              <w:rPr>
                <w:rFonts w:ascii="Times New Roman"/>
                <w:w w:val="105"/>
                <w:sz w:val="18"/>
                <w:szCs w:val="18"/>
              </w:rPr>
              <w:t>年底</w:t>
            </w:r>
          </w:p>
        </w:tc>
        <w:tc>
          <w:tcPr>
            <w:tcW w:w="1845" w:type="dxa"/>
            <w:gridSpan w:val="2"/>
          </w:tcPr>
          <w:p w:rsidR="0064621B" w:rsidRPr="000140B3" w:rsidRDefault="0064621B" w:rsidP="00EC5AF2">
            <w:pPr>
              <w:jc w:val="center"/>
              <w:rPr>
                <w:rFonts w:ascii="Times New Roman"/>
                <w:sz w:val="18"/>
                <w:szCs w:val="18"/>
              </w:rPr>
            </w:pPr>
            <w:r w:rsidRPr="000140B3">
              <w:rPr>
                <w:rFonts w:ascii="Times New Roman"/>
                <w:w w:val="105"/>
                <w:sz w:val="18"/>
                <w:szCs w:val="18"/>
              </w:rPr>
              <w:t>111</w:t>
            </w:r>
            <w:r w:rsidRPr="000140B3">
              <w:rPr>
                <w:rFonts w:ascii="Times New Roman"/>
                <w:w w:val="105"/>
                <w:sz w:val="18"/>
                <w:szCs w:val="18"/>
              </w:rPr>
              <w:t>年底</w:t>
            </w:r>
          </w:p>
        </w:tc>
        <w:tc>
          <w:tcPr>
            <w:tcW w:w="1989" w:type="dxa"/>
            <w:gridSpan w:val="2"/>
          </w:tcPr>
          <w:p w:rsidR="0064621B" w:rsidRPr="000140B3" w:rsidRDefault="0064621B" w:rsidP="00EC5AF2">
            <w:pPr>
              <w:jc w:val="center"/>
              <w:rPr>
                <w:rFonts w:ascii="Times New Roman"/>
                <w:sz w:val="18"/>
                <w:szCs w:val="18"/>
              </w:rPr>
            </w:pPr>
            <w:r w:rsidRPr="000140B3">
              <w:rPr>
                <w:rFonts w:ascii="Times New Roman"/>
                <w:sz w:val="18"/>
                <w:szCs w:val="18"/>
              </w:rPr>
              <w:t>112</w:t>
            </w:r>
            <w:r w:rsidRPr="000140B3">
              <w:rPr>
                <w:rFonts w:ascii="Times New Roman"/>
                <w:sz w:val="18"/>
                <w:szCs w:val="18"/>
              </w:rPr>
              <w:t>年</w:t>
            </w:r>
            <w:r w:rsidRPr="000140B3">
              <w:rPr>
                <w:rFonts w:ascii="Times New Roman"/>
                <w:spacing w:val="22"/>
                <w:sz w:val="18"/>
                <w:szCs w:val="18"/>
              </w:rPr>
              <w:t>底</w:t>
            </w:r>
          </w:p>
        </w:tc>
      </w:tr>
      <w:tr w:rsidR="0064621B" w:rsidRPr="000140B3" w:rsidTr="00FC43F4">
        <w:trPr>
          <w:trHeight w:val="61"/>
          <w:tblHeader/>
        </w:trPr>
        <w:tc>
          <w:tcPr>
            <w:tcW w:w="1429" w:type="dxa"/>
          </w:tcPr>
          <w:p w:rsidR="0064621B" w:rsidRPr="000140B3" w:rsidRDefault="0064621B" w:rsidP="00EC5AF2">
            <w:pPr>
              <w:rPr>
                <w:rFonts w:ascii="Times New Roman"/>
                <w:sz w:val="18"/>
                <w:szCs w:val="18"/>
              </w:rPr>
            </w:pPr>
          </w:p>
        </w:tc>
        <w:tc>
          <w:tcPr>
            <w:tcW w:w="1123" w:type="dxa"/>
          </w:tcPr>
          <w:p w:rsidR="0064621B" w:rsidRPr="000140B3" w:rsidRDefault="0064621B" w:rsidP="00FC43F4">
            <w:pPr>
              <w:ind w:leftChars="-34" w:left="2" w:rightChars="-61" w:right="-207" w:hangingChars="54" w:hanging="118"/>
              <w:rPr>
                <w:rFonts w:ascii="Times New Roman"/>
                <w:sz w:val="18"/>
                <w:szCs w:val="18"/>
              </w:rPr>
            </w:pPr>
            <w:r w:rsidRPr="000140B3">
              <w:rPr>
                <w:rFonts w:ascii="Times New Roman"/>
                <w:w w:val="110"/>
                <w:sz w:val="18"/>
                <w:szCs w:val="18"/>
              </w:rPr>
              <w:t>事業</w:t>
            </w:r>
            <w:r w:rsidRPr="000140B3">
              <w:rPr>
                <w:rFonts w:ascii="Times New Roman"/>
                <w:w w:val="105"/>
                <w:sz w:val="18"/>
                <w:szCs w:val="18"/>
              </w:rPr>
              <w:t>性投資</w:t>
            </w:r>
          </w:p>
        </w:tc>
        <w:tc>
          <w:tcPr>
            <w:tcW w:w="857" w:type="dxa"/>
          </w:tcPr>
          <w:p w:rsidR="0064621B" w:rsidRPr="000140B3" w:rsidRDefault="0064621B" w:rsidP="00FC43F4">
            <w:pPr>
              <w:ind w:leftChars="-32" w:left="1" w:rightChars="-31" w:right="-105" w:hangingChars="55" w:hanging="110"/>
              <w:rPr>
                <w:rFonts w:ascii="Times New Roman"/>
                <w:sz w:val="18"/>
                <w:szCs w:val="18"/>
              </w:rPr>
            </w:pPr>
            <w:r w:rsidRPr="000140B3">
              <w:rPr>
                <w:rFonts w:ascii="Times New Roman"/>
                <w:sz w:val="18"/>
                <w:szCs w:val="18"/>
              </w:rPr>
              <w:t>自營部位</w:t>
            </w:r>
          </w:p>
        </w:tc>
        <w:tc>
          <w:tcPr>
            <w:tcW w:w="995" w:type="dxa"/>
          </w:tcPr>
          <w:p w:rsidR="0064621B" w:rsidRPr="000140B3" w:rsidRDefault="0064621B" w:rsidP="00FC43F4">
            <w:pPr>
              <w:ind w:leftChars="-33" w:left="-1" w:rightChars="-70" w:right="-238" w:hangingChars="51" w:hanging="111"/>
              <w:rPr>
                <w:rFonts w:ascii="Times New Roman"/>
                <w:sz w:val="18"/>
                <w:szCs w:val="18"/>
              </w:rPr>
            </w:pPr>
            <w:r w:rsidRPr="000140B3">
              <w:rPr>
                <w:rFonts w:ascii="Times New Roman"/>
                <w:w w:val="110"/>
                <w:sz w:val="18"/>
                <w:szCs w:val="18"/>
              </w:rPr>
              <w:t>事業</w:t>
            </w:r>
            <w:r w:rsidRPr="000140B3">
              <w:rPr>
                <w:rFonts w:ascii="Times New Roman"/>
                <w:w w:val="105"/>
                <w:sz w:val="18"/>
                <w:szCs w:val="18"/>
              </w:rPr>
              <w:t>性投資</w:t>
            </w:r>
          </w:p>
        </w:tc>
        <w:tc>
          <w:tcPr>
            <w:tcW w:w="851" w:type="dxa"/>
          </w:tcPr>
          <w:p w:rsidR="0064621B" w:rsidRPr="000140B3" w:rsidRDefault="0064621B" w:rsidP="00FC43F4">
            <w:pPr>
              <w:ind w:leftChars="-35" w:left="-1" w:rightChars="-34" w:right="-116" w:hangingChars="59" w:hanging="118"/>
              <w:rPr>
                <w:rFonts w:ascii="Times New Roman"/>
                <w:sz w:val="18"/>
                <w:szCs w:val="18"/>
              </w:rPr>
            </w:pPr>
            <w:r w:rsidRPr="000140B3">
              <w:rPr>
                <w:rFonts w:ascii="Times New Roman"/>
                <w:sz w:val="18"/>
                <w:szCs w:val="18"/>
              </w:rPr>
              <w:t>自營部位</w:t>
            </w:r>
          </w:p>
        </w:tc>
        <w:tc>
          <w:tcPr>
            <w:tcW w:w="1124" w:type="dxa"/>
          </w:tcPr>
          <w:p w:rsidR="0064621B" w:rsidRPr="000140B3" w:rsidRDefault="0064621B" w:rsidP="00FC43F4">
            <w:pPr>
              <w:ind w:leftChars="-35" w:left="1" w:rightChars="-44" w:right="-150" w:hangingChars="55" w:hanging="120"/>
              <w:rPr>
                <w:rFonts w:ascii="Times New Roman"/>
                <w:sz w:val="18"/>
                <w:szCs w:val="18"/>
              </w:rPr>
            </w:pPr>
            <w:r w:rsidRPr="000140B3">
              <w:rPr>
                <w:rFonts w:ascii="Times New Roman"/>
                <w:w w:val="110"/>
                <w:sz w:val="18"/>
                <w:szCs w:val="18"/>
              </w:rPr>
              <w:t>事業</w:t>
            </w:r>
            <w:r w:rsidRPr="000140B3">
              <w:rPr>
                <w:rFonts w:ascii="Times New Roman"/>
                <w:w w:val="105"/>
                <w:sz w:val="18"/>
                <w:szCs w:val="18"/>
              </w:rPr>
              <w:t>性投資</w:t>
            </w:r>
          </w:p>
        </w:tc>
        <w:tc>
          <w:tcPr>
            <w:tcW w:w="865" w:type="dxa"/>
          </w:tcPr>
          <w:p w:rsidR="0064621B" w:rsidRPr="000140B3" w:rsidRDefault="0064621B" w:rsidP="00FC43F4">
            <w:pPr>
              <w:ind w:leftChars="-30" w:left="2" w:rightChars="-30" w:right="-102" w:hangingChars="52" w:hanging="104"/>
              <w:rPr>
                <w:rFonts w:ascii="Times New Roman"/>
                <w:sz w:val="18"/>
                <w:szCs w:val="18"/>
              </w:rPr>
            </w:pPr>
            <w:r w:rsidRPr="000140B3">
              <w:rPr>
                <w:rFonts w:ascii="Times New Roman"/>
                <w:sz w:val="18"/>
                <w:szCs w:val="18"/>
              </w:rPr>
              <w:t>自營部位</w:t>
            </w:r>
          </w:p>
        </w:tc>
        <w:tc>
          <w:tcPr>
            <w:tcW w:w="994" w:type="dxa"/>
          </w:tcPr>
          <w:p w:rsidR="0064621B" w:rsidRPr="000140B3" w:rsidRDefault="0064621B" w:rsidP="00FC43F4">
            <w:pPr>
              <w:ind w:leftChars="-36" w:left="2" w:rightChars="-69" w:right="-235" w:hangingChars="57" w:hanging="124"/>
              <w:rPr>
                <w:rFonts w:ascii="Times New Roman"/>
                <w:sz w:val="18"/>
                <w:szCs w:val="18"/>
              </w:rPr>
            </w:pPr>
            <w:r w:rsidRPr="000140B3">
              <w:rPr>
                <w:rFonts w:ascii="Times New Roman"/>
                <w:w w:val="110"/>
                <w:sz w:val="18"/>
                <w:szCs w:val="18"/>
              </w:rPr>
              <w:t>事業</w:t>
            </w:r>
            <w:r w:rsidRPr="000140B3">
              <w:rPr>
                <w:rFonts w:ascii="Times New Roman"/>
                <w:w w:val="105"/>
                <w:sz w:val="18"/>
                <w:szCs w:val="18"/>
              </w:rPr>
              <w:t>性投資</w:t>
            </w:r>
          </w:p>
        </w:tc>
        <w:tc>
          <w:tcPr>
            <w:tcW w:w="851" w:type="dxa"/>
          </w:tcPr>
          <w:p w:rsidR="0064621B" w:rsidRPr="000140B3" w:rsidRDefault="0064621B" w:rsidP="00FC43F4">
            <w:pPr>
              <w:ind w:leftChars="-35" w:left="3" w:rightChars="-56" w:right="-190" w:hangingChars="61" w:hanging="122"/>
              <w:rPr>
                <w:rFonts w:ascii="Times New Roman"/>
                <w:sz w:val="18"/>
                <w:szCs w:val="18"/>
              </w:rPr>
            </w:pPr>
            <w:r w:rsidRPr="000140B3">
              <w:rPr>
                <w:rFonts w:ascii="Times New Roman"/>
                <w:sz w:val="18"/>
                <w:szCs w:val="18"/>
              </w:rPr>
              <w:t>自營部位</w:t>
            </w:r>
          </w:p>
        </w:tc>
        <w:tc>
          <w:tcPr>
            <w:tcW w:w="1136" w:type="dxa"/>
          </w:tcPr>
          <w:p w:rsidR="0064621B" w:rsidRPr="000140B3" w:rsidRDefault="0064621B" w:rsidP="00FC43F4">
            <w:pPr>
              <w:ind w:leftChars="-36" w:rightChars="-63" w:right="-214" w:hangingChars="56" w:hanging="122"/>
              <w:rPr>
                <w:rFonts w:ascii="Times New Roman"/>
                <w:w w:val="110"/>
                <w:sz w:val="18"/>
                <w:szCs w:val="18"/>
              </w:rPr>
            </w:pPr>
            <w:r w:rsidRPr="000140B3">
              <w:rPr>
                <w:rFonts w:ascii="Times New Roman"/>
                <w:w w:val="110"/>
                <w:sz w:val="18"/>
                <w:szCs w:val="18"/>
              </w:rPr>
              <w:t>事業性投資</w:t>
            </w:r>
          </w:p>
        </w:tc>
        <w:tc>
          <w:tcPr>
            <w:tcW w:w="853" w:type="dxa"/>
          </w:tcPr>
          <w:p w:rsidR="0064621B" w:rsidRPr="000140B3" w:rsidRDefault="0064621B" w:rsidP="00FC43F4">
            <w:pPr>
              <w:ind w:leftChars="-37" w:rightChars="-63" w:right="-214" w:hangingChars="58" w:hanging="126"/>
              <w:rPr>
                <w:rFonts w:ascii="Times New Roman"/>
                <w:w w:val="110"/>
                <w:sz w:val="18"/>
                <w:szCs w:val="18"/>
              </w:rPr>
            </w:pPr>
            <w:r w:rsidRPr="000140B3">
              <w:rPr>
                <w:rFonts w:ascii="Times New Roman"/>
                <w:w w:val="110"/>
                <w:sz w:val="18"/>
                <w:szCs w:val="18"/>
              </w:rPr>
              <w:t>自營部位</w:t>
            </w:r>
          </w:p>
        </w:tc>
      </w:tr>
      <w:tr w:rsidR="0064621B" w:rsidRPr="000140B3" w:rsidTr="00FC43F4">
        <w:trPr>
          <w:trHeight w:val="215"/>
        </w:trPr>
        <w:tc>
          <w:tcPr>
            <w:tcW w:w="1429" w:type="dxa"/>
          </w:tcPr>
          <w:p w:rsidR="0064621B" w:rsidRPr="000140B3" w:rsidRDefault="0064621B" w:rsidP="00FC43F4">
            <w:pPr>
              <w:ind w:leftChars="-31" w:left="-105"/>
              <w:rPr>
                <w:rFonts w:ascii="Times New Roman"/>
                <w:sz w:val="18"/>
                <w:szCs w:val="18"/>
              </w:rPr>
            </w:pPr>
            <w:r w:rsidRPr="000140B3">
              <w:rPr>
                <w:rFonts w:ascii="Times New Roman"/>
                <w:sz w:val="18"/>
                <w:szCs w:val="18"/>
              </w:rPr>
              <w:t>證券商</w:t>
            </w:r>
          </w:p>
        </w:tc>
        <w:tc>
          <w:tcPr>
            <w:tcW w:w="1123" w:type="dxa"/>
          </w:tcPr>
          <w:p w:rsidR="0064621B" w:rsidRPr="000140B3" w:rsidRDefault="0064621B" w:rsidP="00EC5AF2">
            <w:pPr>
              <w:pStyle w:val="TableParagraph"/>
              <w:ind w:right="63"/>
              <w:jc w:val="right"/>
              <w:rPr>
                <w:rFonts w:ascii="Times New Roman" w:eastAsia="標楷體" w:hAnsi="Times New Roman" w:cs="Times New Roman"/>
                <w:sz w:val="18"/>
                <w:szCs w:val="18"/>
              </w:rPr>
            </w:pPr>
            <w:r w:rsidRPr="000140B3">
              <w:rPr>
                <w:rFonts w:ascii="Times New Roman" w:eastAsia="標楷體" w:hAnsi="Times New Roman" w:cs="Times New Roman"/>
                <w:sz w:val="18"/>
                <w:szCs w:val="18"/>
              </w:rPr>
              <w:t>477.43</w:t>
            </w:r>
          </w:p>
        </w:tc>
        <w:tc>
          <w:tcPr>
            <w:tcW w:w="857" w:type="dxa"/>
          </w:tcPr>
          <w:p w:rsidR="0064621B" w:rsidRPr="000140B3" w:rsidRDefault="0064621B" w:rsidP="00FC43F4">
            <w:pPr>
              <w:pStyle w:val="TableParagraph"/>
              <w:ind w:leftChars="-19" w:left="4" w:rightChars="-30" w:right="-102" w:hangingChars="33" w:hanging="69"/>
              <w:jc w:val="center"/>
              <w:rPr>
                <w:rFonts w:ascii="Times New Roman" w:eastAsia="標楷體" w:hAnsi="Times New Roman" w:cs="Times New Roman"/>
                <w:sz w:val="18"/>
                <w:szCs w:val="18"/>
              </w:rPr>
            </w:pPr>
            <w:r w:rsidRPr="000140B3">
              <w:rPr>
                <w:rFonts w:ascii="Times New Roman" w:eastAsia="標楷體" w:hAnsi="Times New Roman" w:cs="Times New Roman"/>
                <w:w w:val="105"/>
                <w:sz w:val="18"/>
                <w:szCs w:val="18"/>
              </w:rPr>
              <w:t>317.47</w:t>
            </w:r>
          </w:p>
        </w:tc>
        <w:tc>
          <w:tcPr>
            <w:tcW w:w="995" w:type="dxa"/>
          </w:tcPr>
          <w:p w:rsidR="0064621B" w:rsidRPr="000140B3" w:rsidRDefault="0064621B" w:rsidP="00EC5AF2">
            <w:pPr>
              <w:pStyle w:val="TableParagraph"/>
              <w:ind w:right="69"/>
              <w:jc w:val="right"/>
              <w:rPr>
                <w:rFonts w:ascii="Times New Roman" w:eastAsia="標楷體" w:hAnsi="Times New Roman" w:cs="Times New Roman"/>
                <w:sz w:val="18"/>
                <w:szCs w:val="18"/>
              </w:rPr>
            </w:pPr>
            <w:r w:rsidRPr="000140B3">
              <w:rPr>
                <w:rFonts w:ascii="Times New Roman" w:eastAsia="標楷體" w:hAnsi="Times New Roman" w:cs="Times New Roman"/>
                <w:sz w:val="18"/>
                <w:szCs w:val="18"/>
              </w:rPr>
              <w:t>472.28</w:t>
            </w:r>
          </w:p>
        </w:tc>
        <w:tc>
          <w:tcPr>
            <w:tcW w:w="851" w:type="dxa"/>
          </w:tcPr>
          <w:p w:rsidR="0064621B" w:rsidRPr="000140B3" w:rsidRDefault="0064621B" w:rsidP="00EC5AF2">
            <w:pPr>
              <w:pStyle w:val="TableParagraph"/>
              <w:ind w:right="56"/>
              <w:jc w:val="right"/>
              <w:rPr>
                <w:rFonts w:ascii="Times New Roman" w:eastAsia="標楷體" w:hAnsi="Times New Roman" w:cs="Times New Roman"/>
                <w:sz w:val="18"/>
                <w:szCs w:val="18"/>
              </w:rPr>
            </w:pPr>
            <w:r w:rsidRPr="000140B3">
              <w:rPr>
                <w:rFonts w:ascii="Times New Roman" w:eastAsia="標楷體" w:hAnsi="Times New Roman" w:cs="Times New Roman"/>
                <w:sz w:val="18"/>
                <w:szCs w:val="18"/>
              </w:rPr>
              <w:t>277.63</w:t>
            </w:r>
          </w:p>
        </w:tc>
        <w:tc>
          <w:tcPr>
            <w:tcW w:w="1124" w:type="dxa"/>
          </w:tcPr>
          <w:p w:rsidR="0064621B" w:rsidRPr="000140B3" w:rsidRDefault="0064621B" w:rsidP="00EC5AF2">
            <w:pPr>
              <w:pStyle w:val="TableParagraph"/>
              <w:ind w:right="61"/>
              <w:jc w:val="right"/>
              <w:rPr>
                <w:rFonts w:ascii="Times New Roman" w:eastAsia="標楷體" w:hAnsi="Times New Roman" w:cs="Times New Roman"/>
                <w:sz w:val="18"/>
                <w:szCs w:val="18"/>
              </w:rPr>
            </w:pPr>
            <w:r w:rsidRPr="000140B3">
              <w:rPr>
                <w:rFonts w:ascii="Times New Roman" w:eastAsia="標楷體" w:hAnsi="Times New Roman" w:cs="Times New Roman"/>
                <w:sz w:val="18"/>
                <w:szCs w:val="18"/>
              </w:rPr>
              <w:t>468.11</w:t>
            </w:r>
          </w:p>
        </w:tc>
        <w:tc>
          <w:tcPr>
            <w:tcW w:w="865" w:type="dxa"/>
          </w:tcPr>
          <w:p w:rsidR="0064621B" w:rsidRPr="000140B3" w:rsidRDefault="0064621B" w:rsidP="00EC5AF2">
            <w:pPr>
              <w:pStyle w:val="TableParagraph"/>
              <w:ind w:right="58"/>
              <w:jc w:val="right"/>
              <w:rPr>
                <w:rFonts w:ascii="Times New Roman" w:eastAsia="標楷體" w:hAnsi="Times New Roman" w:cs="Times New Roman"/>
                <w:sz w:val="18"/>
                <w:szCs w:val="18"/>
              </w:rPr>
            </w:pPr>
            <w:r w:rsidRPr="000140B3">
              <w:rPr>
                <w:rFonts w:ascii="Times New Roman" w:eastAsia="標楷體" w:hAnsi="Times New Roman" w:cs="Times New Roman"/>
                <w:sz w:val="18"/>
                <w:szCs w:val="18"/>
              </w:rPr>
              <w:t>107.78</w:t>
            </w:r>
          </w:p>
        </w:tc>
        <w:tc>
          <w:tcPr>
            <w:tcW w:w="994" w:type="dxa"/>
          </w:tcPr>
          <w:p w:rsidR="0064621B" w:rsidRPr="000140B3" w:rsidRDefault="0064621B" w:rsidP="00EC5AF2">
            <w:pPr>
              <w:pStyle w:val="TableParagraph"/>
              <w:ind w:right="60"/>
              <w:jc w:val="right"/>
              <w:rPr>
                <w:rFonts w:ascii="Times New Roman" w:eastAsia="標楷體" w:hAnsi="Times New Roman" w:cs="Times New Roman"/>
                <w:sz w:val="18"/>
                <w:szCs w:val="18"/>
              </w:rPr>
            </w:pPr>
            <w:r w:rsidRPr="000140B3">
              <w:rPr>
                <w:rFonts w:ascii="Times New Roman" w:eastAsia="標楷體" w:hAnsi="Times New Roman" w:cs="Times New Roman"/>
                <w:sz w:val="18"/>
                <w:szCs w:val="18"/>
              </w:rPr>
              <w:t>468.11</w:t>
            </w:r>
          </w:p>
        </w:tc>
        <w:tc>
          <w:tcPr>
            <w:tcW w:w="851" w:type="dxa"/>
          </w:tcPr>
          <w:p w:rsidR="0064621B" w:rsidRPr="000140B3" w:rsidRDefault="0064621B" w:rsidP="00EC5AF2">
            <w:pPr>
              <w:pStyle w:val="TableParagraph"/>
              <w:ind w:left="85" w:right="29"/>
              <w:jc w:val="center"/>
              <w:rPr>
                <w:rFonts w:ascii="Times New Roman" w:eastAsia="標楷體" w:hAnsi="Times New Roman" w:cs="Times New Roman"/>
                <w:sz w:val="18"/>
                <w:szCs w:val="18"/>
              </w:rPr>
            </w:pPr>
            <w:r w:rsidRPr="000140B3">
              <w:rPr>
                <w:rFonts w:ascii="Times New Roman" w:eastAsia="標楷體" w:hAnsi="Times New Roman" w:cs="Times New Roman"/>
                <w:w w:val="105"/>
                <w:sz w:val="18"/>
                <w:szCs w:val="18"/>
              </w:rPr>
              <w:t>64.74</w:t>
            </w:r>
          </w:p>
        </w:tc>
        <w:tc>
          <w:tcPr>
            <w:tcW w:w="1136" w:type="dxa"/>
          </w:tcPr>
          <w:p w:rsidR="0064621B" w:rsidRPr="000140B3" w:rsidRDefault="0064621B" w:rsidP="00EC5AF2">
            <w:pPr>
              <w:jc w:val="right"/>
              <w:rPr>
                <w:rFonts w:ascii="Times New Roman"/>
                <w:sz w:val="18"/>
                <w:szCs w:val="18"/>
              </w:rPr>
            </w:pPr>
            <w:r w:rsidRPr="000140B3">
              <w:rPr>
                <w:rFonts w:ascii="Times New Roman"/>
                <w:bCs/>
                <w:sz w:val="18"/>
                <w:szCs w:val="18"/>
              </w:rPr>
              <w:t>460.38</w:t>
            </w:r>
          </w:p>
        </w:tc>
        <w:tc>
          <w:tcPr>
            <w:tcW w:w="853" w:type="dxa"/>
          </w:tcPr>
          <w:p w:rsidR="0064621B" w:rsidRPr="000140B3" w:rsidRDefault="0064621B" w:rsidP="00EC5AF2">
            <w:pPr>
              <w:jc w:val="right"/>
              <w:rPr>
                <w:rFonts w:ascii="Times New Roman"/>
                <w:sz w:val="18"/>
                <w:szCs w:val="18"/>
              </w:rPr>
            </w:pPr>
            <w:r w:rsidRPr="000140B3">
              <w:rPr>
                <w:rFonts w:ascii="Times New Roman"/>
                <w:bCs/>
                <w:sz w:val="18"/>
                <w:szCs w:val="18"/>
              </w:rPr>
              <w:t>49.11</w:t>
            </w:r>
          </w:p>
        </w:tc>
      </w:tr>
      <w:tr w:rsidR="0064621B" w:rsidRPr="000140B3" w:rsidTr="00FC43F4">
        <w:trPr>
          <w:trHeight w:val="220"/>
        </w:trPr>
        <w:tc>
          <w:tcPr>
            <w:tcW w:w="1429" w:type="dxa"/>
          </w:tcPr>
          <w:p w:rsidR="0064621B" w:rsidRPr="000140B3" w:rsidRDefault="0064621B" w:rsidP="00FC43F4">
            <w:pPr>
              <w:ind w:leftChars="-31" w:left="-105"/>
              <w:rPr>
                <w:rFonts w:ascii="Times New Roman"/>
                <w:sz w:val="18"/>
                <w:szCs w:val="18"/>
              </w:rPr>
            </w:pPr>
            <w:r w:rsidRPr="000140B3">
              <w:rPr>
                <w:rFonts w:ascii="Times New Roman"/>
                <w:w w:val="105"/>
                <w:sz w:val="18"/>
                <w:szCs w:val="18"/>
              </w:rPr>
              <w:t>期貨商</w:t>
            </w:r>
          </w:p>
        </w:tc>
        <w:tc>
          <w:tcPr>
            <w:tcW w:w="1123" w:type="dxa"/>
          </w:tcPr>
          <w:p w:rsidR="0064621B" w:rsidRPr="000140B3" w:rsidRDefault="0064621B" w:rsidP="00EC5AF2">
            <w:pPr>
              <w:pStyle w:val="TableParagraph"/>
              <w:ind w:right="56"/>
              <w:jc w:val="right"/>
              <w:rPr>
                <w:rFonts w:ascii="Times New Roman" w:eastAsia="標楷體" w:hAnsi="Times New Roman" w:cs="Times New Roman"/>
                <w:sz w:val="18"/>
                <w:szCs w:val="18"/>
              </w:rPr>
            </w:pPr>
            <w:r w:rsidRPr="000140B3">
              <w:rPr>
                <w:rFonts w:ascii="Times New Roman" w:eastAsia="標楷體" w:hAnsi="Times New Roman" w:cs="Times New Roman"/>
                <w:sz w:val="18"/>
                <w:szCs w:val="18"/>
              </w:rPr>
              <w:t>19.33</w:t>
            </w:r>
          </w:p>
        </w:tc>
        <w:tc>
          <w:tcPr>
            <w:tcW w:w="857" w:type="dxa"/>
          </w:tcPr>
          <w:p w:rsidR="0064621B" w:rsidRPr="000140B3" w:rsidRDefault="0064621B" w:rsidP="00FC43F4">
            <w:pPr>
              <w:pStyle w:val="TableParagraph"/>
              <w:ind w:leftChars="-19" w:left="1" w:rightChars="-30" w:right="-102" w:hangingChars="33" w:hanging="66"/>
              <w:rPr>
                <w:rFonts w:ascii="Times New Roman" w:eastAsia="標楷體" w:hAnsi="Times New Roman" w:cs="Times New Roman"/>
                <w:sz w:val="18"/>
                <w:szCs w:val="18"/>
              </w:rPr>
            </w:pPr>
          </w:p>
        </w:tc>
        <w:tc>
          <w:tcPr>
            <w:tcW w:w="995" w:type="dxa"/>
          </w:tcPr>
          <w:p w:rsidR="0064621B" w:rsidRPr="000140B3" w:rsidRDefault="0064621B" w:rsidP="00EC5AF2">
            <w:pPr>
              <w:pStyle w:val="TableParagraph"/>
              <w:ind w:right="63"/>
              <w:jc w:val="right"/>
              <w:rPr>
                <w:rFonts w:ascii="Times New Roman" w:eastAsia="標楷體" w:hAnsi="Times New Roman" w:cs="Times New Roman"/>
                <w:sz w:val="18"/>
                <w:szCs w:val="18"/>
              </w:rPr>
            </w:pPr>
            <w:r w:rsidRPr="000140B3">
              <w:rPr>
                <w:rFonts w:ascii="Times New Roman" w:eastAsia="標楷體" w:hAnsi="Times New Roman" w:cs="Times New Roman"/>
                <w:sz w:val="18"/>
                <w:szCs w:val="18"/>
              </w:rPr>
              <w:t>19.33</w:t>
            </w:r>
          </w:p>
        </w:tc>
        <w:tc>
          <w:tcPr>
            <w:tcW w:w="851" w:type="dxa"/>
          </w:tcPr>
          <w:p w:rsidR="0064621B" w:rsidRPr="000140B3" w:rsidRDefault="0064621B" w:rsidP="00EC5AF2">
            <w:pPr>
              <w:pStyle w:val="TableParagraph"/>
              <w:rPr>
                <w:rFonts w:ascii="Times New Roman" w:eastAsia="標楷體" w:hAnsi="Times New Roman" w:cs="Times New Roman"/>
                <w:sz w:val="18"/>
                <w:szCs w:val="18"/>
              </w:rPr>
            </w:pPr>
          </w:p>
        </w:tc>
        <w:tc>
          <w:tcPr>
            <w:tcW w:w="1124" w:type="dxa"/>
          </w:tcPr>
          <w:p w:rsidR="0064621B" w:rsidRPr="000140B3" w:rsidRDefault="0064621B" w:rsidP="00EC5AF2">
            <w:pPr>
              <w:pStyle w:val="TableParagraph"/>
              <w:ind w:right="51"/>
              <w:jc w:val="right"/>
              <w:rPr>
                <w:rFonts w:ascii="Times New Roman" w:eastAsia="標楷體" w:hAnsi="Times New Roman" w:cs="Times New Roman"/>
                <w:sz w:val="18"/>
                <w:szCs w:val="18"/>
              </w:rPr>
            </w:pPr>
            <w:r w:rsidRPr="000140B3">
              <w:rPr>
                <w:rFonts w:ascii="Times New Roman" w:eastAsia="標楷體" w:hAnsi="Times New Roman" w:cs="Times New Roman"/>
                <w:w w:val="105"/>
                <w:sz w:val="18"/>
                <w:szCs w:val="18"/>
              </w:rPr>
              <w:t>19.33</w:t>
            </w:r>
          </w:p>
        </w:tc>
        <w:tc>
          <w:tcPr>
            <w:tcW w:w="865" w:type="dxa"/>
          </w:tcPr>
          <w:p w:rsidR="0064621B" w:rsidRPr="000140B3" w:rsidRDefault="0064621B" w:rsidP="00EC5AF2">
            <w:pPr>
              <w:pStyle w:val="TableParagraph"/>
              <w:rPr>
                <w:rFonts w:ascii="Times New Roman" w:eastAsia="標楷體" w:hAnsi="Times New Roman" w:cs="Times New Roman"/>
                <w:sz w:val="18"/>
                <w:szCs w:val="18"/>
              </w:rPr>
            </w:pPr>
          </w:p>
        </w:tc>
        <w:tc>
          <w:tcPr>
            <w:tcW w:w="994" w:type="dxa"/>
          </w:tcPr>
          <w:p w:rsidR="0064621B" w:rsidRPr="000140B3" w:rsidRDefault="0064621B" w:rsidP="00EC5AF2">
            <w:pPr>
              <w:pStyle w:val="TableParagraph"/>
              <w:ind w:right="67"/>
              <w:jc w:val="right"/>
              <w:rPr>
                <w:rFonts w:ascii="Times New Roman" w:eastAsia="標楷體" w:hAnsi="Times New Roman" w:cs="Times New Roman"/>
                <w:sz w:val="18"/>
                <w:szCs w:val="18"/>
              </w:rPr>
            </w:pPr>
            <w:r w:rsidRPr="000140B3">
              <w:rPr>
                <w:rFonts w:ascii="Times New Roman" w:eastAsia="標楷體" w:hAnsi="Times New Roman" w:cs="Times New Roman"/>
                <w:sz w:val="18"/>
                <w:szCs w:val="18"/>
              </w:rPr>
              <w:t>19.20</w:t>
            </w:r>
          </w:p>
        </w:tc>
        <w:tc>
          <w:tcPr>
            <w:tcW w:w="851" w:type="dxa"/>
          </w:tcPr>
          <w:p w:rsidR="0064621B" w:rsidRPr="000140B3" w:rsidRDefault="0064621B" w:rsidP="00EC5AF2">
            <w:pPr>
              <w:pStyle w:val="TableParagraph"/>
              <w:rPr>
                <w:rFonts w:ascii="Times New Roman" w:eastAsia="標楷體" w:hAnsi="Times New Roman" w:cs="Times New Roman"/>
                <w:sz w:val="18"/>
                <w:szCs w:val="18"/>
              </w:rPr>
            </w:pPr>
          </w:p>
        </w:tc>
        <w:tc>
          <w:tcPr>
            <w:tcW w:w="1136" w:type="dxa"/>
          </w:tcPr>
          <w:p w:rsidR="0064621B" w:rsidRPr="000140B3" w:rsidRDefault="0064621B" w:rsidP="00EC5AF2">
            <w:pPr>
              <w:jc w:val="right"/>
              <w:rPr>
                <w:rFonts w:ascii="Times New Roman"/>
                <w:sz w:val="18"/>
                <w:szCs w:val="18"/>
              </w:rPr>
            </w:pPr>
            <w:r w:rsidRPr="000140B3">
              <w:rPr>
                <w:rFonts w:ascii="Times New Roman"/>
                <w:bCs/>
                <w:sz w:val="18"/>
                <w:szCs w:val="18"/>
              </w:rPr>
              <w:t>19.20</w:t>
            </w:r>
          </w:p>
        </w:tc>
        <w:tc>
          <w:tcPr>
            <w:tcW w:w="853" w:type="dxa"/>
          </w:tcPr>
          <w:p w:rsidR="0064621B" w:rsidRPr="000140B3" w:rsidRDefault="0064621B" w:rsidP="00EC5AF2">
            <w:pPr>
              <w:jc w:val="right"/>
              <w:rPr>
                <w:rFonts w:ascii="Times New Roman"/>
                <w:sz w:val="18"/>
                <w:szCs w:val="18"/>
              </w:rPr>
            </w:pPr>
            <w:r w:rsidRPr="000140B3">
              <w:rPr>
                <w:rFonts w:ascii="Times New Roman"/>
                <w:bCs/>
                <w:w w:val="105"/>
                <w:sz w:val="18"/>
                <w:szCs w:val="18"/>
              </w:rPr>
              <w:t>－</w:t>
            </w:r>
          </w:p>
        </w:tc>
      </w:tr>
      <w:tr w:rsidR="0064621B" w:rsidRPr="000140B3" w:rsidTr="00FC43F4">
        <w:trPr>
          <w:trHeight w:val="37"/>
        </w:trPr>
        <w:tc>
          <w:tcPr>
            <w:tcW w:w="1429" w:type="dxa"/>
          </w:tcPr>
          <w:p w:rsidR="0064621B" w:rsidRPr="000140B3" w:rsidRDefault="0064621B" w:rsidP="00FC43F4">
            <w:pPr>
              <w:ind w:leftChars="-31" w:left="-105" w:rightChars="-62" w:right="-211"/>
              <w:rPr>
                <w:rFonts w:ascii="Times New Roman"/>
                <w:sz w:val="18"/>
                <w:szCs w:val="18"/>
              </w:rPr>
            </w:pPr>
            <w:r w:rsidRPr="000140B3">
              <w:rPr>
                <w:rFonts w:ascii="Times New Roman"/>
                <w:w w:val="115"/>
                <w:sz w:val="18"/>
                <w:szCs w:val="18"/>
              </w:rPr>
              <w:t>投信投顧</w:t>
            </w:r>
            <w:r w:rsidRPr="000140B3">
              <w:rPr>
                <w:rFonts w:ascii="Times New Roman"/>
                <w:w w:val="106"/>
                <w:sz w:val="18"/>
                <w:szCs w:val="18"/>
              </w:rPr>
              <w:t>業</w:t>
            </w:r>
          </w:p>
        </w:tc>
        <w:tc>
          <w:tcPr>
            <w:tcW w:w="1123" w:type="dxa"/>
          </w:tcPr>
          <w:p w:rsidR="0064621B" w:rsidRPr="000140B3" w:rsidRDefault="0064621B" w:rsidP="00EC5AF2">
            <w:pPr>
              <w:pStyle w:val="TableParagraph"/>
              <w:ind w:right="64"/>
              <w:jc w:val="right"/>
              <w:rPr>
                <w:rFonts w:ascii="Times New Roman" w:eastAsia="標楷體" w:hAnsi="Times New Roman" w:cs="Times New Roman"/>
                <w:sz w:val="18"/>
                <w:szCs w:val="18"/>
              </w:rPr>
            </w:pPr>
            <w:r w:rsidRPr="000140B3">
              <w:rPr>
                <w:rFonts w:ascii="Times New Roman" w:eastAsia="標楷體" w:hAnsi="Times New Roman" w:cs="Times New Roman"/>
                <w:sz w:val="18"/>
                <w:szCs w:val="18"/>
              </w:rPr>
              <w:t>0.71</w:t>
            </w:r>
          </w:p>
        </w:tc>
        <w:tc>
          <w:tcPr>
            <w:tcW w:w="857" w:type="dxa"/>
          </w:tcPr>
          <w:p w:rsidR="0064621B" w:rsidRPr="000140B3" w:rsidRDefault="0064621B" w:rsidP="00FC43F4">
            <w:pPr>
              <w:pStyle w:val="TableParagraph"/>
              <w:ind w:leftChars="-19" w:left="1" w:rightChars="-30" w:right="-102" w:hangingChars="33" w:hanging="66"/>
              <w:rPr>
                <w:rFonts w:ascii="Times New Roman" w:eastAsia="標楷體" w:hAnsi="Times New Roman" w:cs="Times New Roman"/>
                <w:sz w:val="18"/>
                <w:szCs w:val="18"/>
              </w:rPr>
            </w:pPr>
          </w:p>
        </w:tc>
        <w:tc>
          <w:tcPr>
            <w:tcW w:w="995" w:type="dxa"/>
          </w:tcPr>
          <w:p w:rsidR="0064621B" w:rsidRPr="000140B3" w:rsidRDefault="0064621B" w:rsidP="00EC5AF2">
            <w:pPr>
              <w:pStyle w:val="TableParagraph"/>
              <w:ind w:right="67"/>
              <w:jc w:val="right"/>
              <w:rPr>
                <w:rFonts w:ascii="Times New Roman" w:eastAsia="標楷體" w:hAnsi="Times New Roman" w:cs="Times New Roman"/>
                <w:sz w:val="18"/>
                <w:szCs w:val="18"/>
              </w:rPr>
            </w:pPr>
            <w:r w:rsidRPr="000140B3">
              <w:rPr>
                <w:rFonts w:ascii="Times New Roman" w:eastAsia="標楷體" w:hAnsi="Times New Roman" w:cs="Times New Roman"/>
                <w:sz w:val="18"/>
                <w:szCs w:val="18"/>
              </w:rPr>
              <w:t>2.08</w:t>
            </w:r>
          </w:p>
        </w:tc>
        <w:tc>
          <w:tcPr>
            <w:tcW w:w="851" w:type="dxa"/>
          </w:tcPr>
          <w:p w:rsidR="0064621B" w:rsidRPr="000140B3" w:rsidRDefault="0064621B" w:rsidP="00EC5AF2">
            <w:pPr>
              <w:pStyle w:val="TableParagraph"/>
              <w:ind w:right="58"/>
              <w:jc w:val="right"/>
              <w:rPr>
                <w:rFonts w:ascii="Times New Roman" w:eastAsia="標楷體" w:hAnsi="Times New Roman" w:cs="Times New Roman"/>
                <w:sz w:val="18"/>
                <w:szCs w:val="18"/>
              </w:rPr>
            </w:pPr>
          </w:p>
        </w:tc>
        <w:tc>
          <w:tcPr>
            <w:tcW w:w="1124" w:type="dxa"/>
          </w:tcPr>
          <w:p w:rsidR="0064621B" w:rsidRPr="000140B3" w:rsidRDefault="0064621B" w:rsidP="00EC5AF2">
            <w:pPr>
              <w:pStyle w:val="TableParagraph"/>
              <w:ind w:right="57"/>
              <w:jc w:val="right"/>
              <w:rPr>
                <w:rFonts w:ascii="Times New Roman" w:eastAsia="標楷體" w:hAnsi="Times New Roman" w:cs="Times New Roman"/>
                <w:sz w:val="18"/>
                <w:szCs w:val="18"/>
              </w:rPr>
            </w:pPr>
            <w:r w:rsidRPr="000140B3">
              <w:rPr>
                <w:rFonts w:ascii="Times New Roman" w:eastAsia="標楷體" w:hAnsi="Times New Roman" w:cs="Times New Roman"/>
                <w:sz w:val="18"/>
                <w:szCs w:val="18"/>
              </w:rPr>
              <w:t>3.01</w:t>
            </w:r>
          </w:p>
        </w:tc>
        <w:tc>
          <w:tcPr>
            <w:tcW w:w="865" w:type="dxa"/>
          </w:tcPr>
          <w:p w:rsidR="0064621B" w:rsidRPr="000140B3" w:rsidRDefault="0064621B" w:rsidP="00EC5AF2">
            <w:pPr>
              <w:pStyle w:val="TableParagraph"/>
              <w:ind w:right="62"/>
              <w:jc w:val="right"/>
              <w:rPr>
                <w:rFonts w:ascii="Times New Roman" w:eastAsia="標楷體" w:hAnsi="Times New Roman" w:cs="Times New Roman"/>
                <w:sz w:val="18"/>
                <w:szCs w:val="18"/>
              </w:rPr>
            </w:pPr>
          </w:p>
        </w:tc>
        <w:tc>
          <w:tcPr>
            <w:tcW w:w="994" w:type="dxa"/>
          </w:tcPr>
          <w:p w:rsidR="0064621B" w:rsidRPr="000140B3" w:rsidRDefault="0064621B" w:rsidP="00EC5AF2">
            <w:pPr>
              <w:pStyle w:val="TableParagraph"/>
              <w:ind w:right="61"/>
              <w:jc w:val="right"/>
              <w:rPr>
                <w:rFonts w:ascii="Times New Roman" w:eastAsia="標楷體" w:hAnsi="Times New Roman" w:cs="Times New Roman"/>
                <w:sz w:val="18"/>
                <w:szCs w:val="18"/>
              </w:rPr>
            </w:pPr>
            <w:r w:rsidRPr="000140B3">
              <w:rPr>
                <w:rFonts w:ascii="Times New Roman" w:eastAsia="標楷體" w:hAnsi="Times New Roman" w:cs="Times New Roman"/>
                <w:w w:val="105"/>
                <w:sz w:val="18"/>
                <w:szCs w:val="18"/>
              </w:rPr>
              <w:t>3.01</w:t>
            </w:r>
          </w:p>
        </w:tc>
        <w:tc>
          <w:tcPr>
            <w:tcW w:w="851" w:type="dxa"/>
          </w:tcPr>
          <w:p w:rsidR="0064621B" w:rsidRPr="000140B3" w:rsidRDefault="0064621B" w:rsidP="00EC5AF2">
            <w:pPr>
              <w:pStyle w:val="TableParagraph"/>
              <w:rPr>
                <w:rFonts w:ascii="Times New Roman" w:eastAsia="標楷體" w:hAnsi="Times New Roman" w:cs="Times New Roman"/>
                <w:sz w:val="18"/>
                <w:szCs w:val="18"/>
              </w:rPr>
            </w:pPr>
          </w:p>
        </w:tc>
        <w:tc>
          <w:tcPr>
            <w:tcW w:w="1136" w:type="dxa"/>
          </w:tcPr>
          <w:p w:rsidR="0064621B" w:rsidRPr="000140B3" w:rsidRDefault="0064621B" w:rsidP="00EC5AF2">
            <w:pPr>
              <w:jc w:val="right"/>
              <w:rPr>
                <w:rFonts w:ascii="Times New Roman"/>
                <w:sz w:val="18"/>
                <w:szCs w:val="18"/>
              </w:rPr>
            </w:pPr>
            <w:r w:rsidRPr="000140B3">
              <w:rPr>
                <w:rFonts w:ascii="Times New Roman"/>
                <w:bCs/>
                <w:sz w:val="18"/>
                <w:szCs w:val="18"/>
              </w:rPr>
              <w:t>3.81</w:t>
            </w:r>
          </w:p>
        </w:tc>
        <w:tc>
          <w:tcPr>
            <w:tcW w:w="853" w:type="dxa"/>
          </w:tcPr>
          <w:p w:rsidR="0064621B" w:rsidRPr="000140B3" w:rsidRDefault="0064621B" w:rsidP="00EC5AF2">
            <w:pPr>
              <w:jc w:val="right"/>
              <w:rPr>
                <w:rFonts w:ascii="Times New Roman"/>
                <w:sz w:val="18"/>
                <w:szCs w:val="18"/>
              </w:rPr>
            </w:pPr>
            <w:r w:rsidRPr="000140B3">
              <w:rPr>
                <w:rFonts w:ascii="Times New Roman"/>
                <w:bCs/>
                <w:w w:val="105"/>
                <w:sz w:val="18"/>
                <w:szCs w:val="18"/>
              </w:rPr>
              <w:t>－</w:t>
            </w:r>
          </w:p>
        </w:tc>
      </w:tr>
      <w:tr w:rsidR="0064621B" w:rsidRPr="000140B3" w:rsidTr="00FC43F4">
        <w:trPr>
          <w:trHeight w:val="220"/>
        </w:trPr>
        <w:tc>
          <w:tcPr>
            <w:tcW w:w="1429" w:type="dxa"/>
          </w:tcPr>
          <w:p w:rsidR="0064621B" w:rsidRPr="000140B3" w:rsidRDefault="0064621B" w:rsidP="00FC43F4">
            <w:pPr>
              <w:ind w:leftChars="-31" w:left="-105"/>
              <w:rPr>
                <w:rFonts w:ascii="Times New Roman"/>
                <w:sz w:val="18"/>
                <w:szCs w:val="18"/>
              </w:rPr>
            </w:pPr>
            <w:r w:rsidRPr="000140B3">
              <w:rPr>
                <w:rFonts w:ascii="Times New Roman"/>
                <w:w w:val="105"/>
                <w:sz w:val="18"/>
                <w:szCs w:val="18"/>
              </w:rPr>
              <w:t>小計</w:t>
            </w:r>
          </w:p>
        </w:tc>
        <w:tc>
          <w:tcPr>
            <w:tcW w:w="1123" w:type="dxa"/>
          </w:tcPr>
          <w:p w:rsidR="0064621B" w:rsidRPr="000140B3" w:rsidRDefault="0064621B" w:rsidP="00EC5AF2">
            <w:pPr>
              <w:pStyle w:val="TableParagraph"/>
              <w:ind w:right="70"/>
              <w:jc w:val="right"/>
              <w:rPr>
                <w:rFonts w:ascii="Times New Roman" w:eastAsia="標楷體" w:hAnsi="Times New Roman" w:cs="Times New Roman"/>
                <w:sz w:val="18"/>
                <w:szCs w:val="18"/>
              </w:rPr>
            </w:pPr>
            <w:r w:rsidRPr="000140B3">
              <w:rPr>
                <w:rFonts w:ascii="Times New Roman" w:eastAsia="標楷體" w:hAnsi="Times New Roman" w:cs="Times New Roman"/>
                <w:sz w:val="18"/>
                <w:szCs w:val="18"/>
              </w:rPr>
              <w:t>497.47</w:t>
            </w:r>
          </w:p>
        </w:tc>
        <w:tc>
          <w:tcPr>
            <w:tcW w:w="857" w:type="dxa"/>
          </w:tcPr>
          <w:p w:rsidR="0064621B" w:rsidRPr="000140B3" w:rsidRDefault="0064621B" w:rsidP="00FC43F4">
            <w:pPr>
              <w:pStyle w:val="TableParagraph"/>
              <w:ind w:leftChars="-19" w:left="4" w:rightChars="-30" w:right="-102" w:hangingChars="33" w:hanging="69"/>
              <w:jc w:val="center"/>
              <w:rPr>
                <w:rFonts w:ascii="Times New Roman" w:eastAsia="標楷體" w:hAnsi="Times New Roman" w:cs="Times New Roman"/>
                <w:sz w:val="18"/>
                <w:szCs w:val="18"/>
              </w:rPr>
            </w:pPr>
            <w:r w:rsidRPr="000140B3">
              <w:rPr>
                <w:rFonts w:ascii="Times New Roman" w:eastAsia="標楷體" w:hAnsi="Times New Roman" w:cs="Times New Roman"/>
                <w:w w:val="105"/>
                <w:sz w:val="18"/>
                <w:szCs w:val="18"/>
              </w:rPr>
              <w:t>317.47</w:t>
            </w:r>
          </w:p>
        </w:tc>
        <w:tc>
          <w:tcPr>
            <w:tcW w:w="995" w:type="dxa"/>
          </w:tcPr>
          <w:p w:rsidR="0064621B" w:rsidRPr="000140B3" w:rsidRDefault="0064621B" w:rsidP="00EC5AF2">
            <w:pPr>
              <w:pStyle w:val="TableParagraph"/>
              <w:ind w:right="76"/>
              <w:jc w:val="right"/>
              <w:rPr>
                <w:rFonts w:ascii="Times New Roman" w:eastAsia="標楷體" w:hAnsi="Times New Roman" w:cs="Times New Roman"/>
                <w:sz w:val="18"/>
                <w:szCs w:val="18"/>
              </w:rPr>
            </w:pPr>
            <w:r w:rsidRPr="000140B3">
              <w:rPr>
                <w:rFonts w:ascii="Times New Roman" w:eastAsia="標楷體" w:hAnsi="Times New Roman" w:cs="Times New Roman"/>
                <w:sz w:val="18"/>
                <w:szCs w:val="18"/>
              </w:rPr>
              <w:t>493.69</w:t>
            </w:r>
          </w:p>
        </w:tc>
        <w:tc>
          <w:tcPr>
            <w:tcW w:w="851" w:type="dxa"/>
          </w:tcPr>
          <w:p w:rsidR="0064621B" w:rsidRPr="000140B3" w:rsidRDefault="0064621B" w:rsidP="00EC5AF2">
            <w:pPr>
              <w:pStyle w:val="TableParagraph"/>
              <w:ind w:right="70"/>
              <w:jc w:val="right"/>
              <w:rPr>
                <w:rFonts w:ascii="Times New Roman" w:eastAsia="標楷體" w:hAnsi="Times New Roman" w:cs="Times New Roman"/>
                <w:sz w:val="18"/>
                <w:szCs w:val="18"/>
              </w:rPr>
            </w:pPr>
            <w:r w:rsidRPr="000140B3">
              <w:rPr>
                <w:rFonts w:ascii="Times New Roman" w:eastAsia="標楷體" w:hAnsi="Times New Roman" w:cs="Times New Roman"/>
                <w:sz w:val="18"/>
                <w:szCs w:val="18"/>
              </w:rPr>
              <w:t>277.63</w:t>
            </w:r>
          </w:p>
        </w:tc>
        <w:tc>
          <w:tcPr>
            <w:tcW w:w="1124" w:type="dxa"/>
          </w:tcPr>
          <w:p w:rsidR="0064621B" w:rsidRPr="000140B3" w:rsidRDefault="0064621B" w:rsidP="00EC5AF2">
            <w:pPr>
              <w:pStyle w:val="TableParagraph"/>
              <w:ind w:right="76"/>
              <w:jc w:val="right"/>
              <w:rPr>
                <w:rFonts w:ascii="Times New Roman" w:eastAsia="標楷體" w:hAnsi="Times New Roman" w:cs="Times New Roman"/>
                <w:sz w:val="18"/>
                <w:szCs w:val="18"/>
              </w:rPr>
            </w:pPr>
            <w:r w:rsidRPr="000140B3">
              <w:rPr>
                <w:rFonts w:ascii="Times New Roman" w:eastAsia="標楷體" w:hAnsi="Times New Roman" w:cs="Times New Roman"/>
                <w:sz w:val="18"/>
                <w:szCs w:val="18"/>
              </w:rPr>
              <w:t>490.45</w:t>
            </w:r>
          </w:p>
        </w:tc>
        <w:tc>
          <w:tcPr>
            <w:tcW w:w="865" w:type="dxa"/>
          </w:tcPr>
          <w:p w:rsidR="0064621B" w:rsidRPr="000140B3" w:rsidRDefault="0064621B" w:rsidP="00EC5AF2">
            <w:pPr>
              <w:pStyle w:val="TableParagraph"/>
              <w:ind w:right="72"/>
              <w:jc w:val="right"/>
              <w:rPr>
                <w:rFonts w:ascii="Times New Roman" w:eastAsia="標楷體" w:hAnsi="Times New Roman" w:cs="Times New Roman"/>
                <w:sz w:val="18"/>
                <w:szCs w:val="18"/>
              </w:rPr>
            </w:pPr>
            <w:r w:rsidRPr="000140B3">
              <w:rPr>
                <w:rFonts w:ascii="Times New Roman" w:eastAsia="標楷體" w:hAnsi="Times New Roman" w:cs="Times New Roman"/>
                <w:sz w:val="18"/>
                <w:szCs w:val="18"/>
              </w:rPr>
              <w:t>107.78</w:t>
            </w:r>
          </w:p>
        </w:tc>
        <w:tc>
          <w:tcPr>
            <w:tcW w:w="994" w:type="dxa"/>
          </w:tcPr>
          <w:p w:rsidR="0064621B" w:rsidRPr="000140B3" w:rsidRDefault="0064621B" w:rsidP="00EC5AF2">
            <w:pPr>
              <w:pStyle w:val="TableParagraph"/>
              <w:ind w:right="82"/>
              <w:jc w:val="right"/>
              <w:rPr>
                <w:rFonts w:ascii="Times New Roman" w:eastAsia="標楷體" w:hAnsi="Times New Roman" w:cs="Times New Roman"/>
                <w:sz w:val="18"/>
                <w:szCs w:val="18"/>
              </w:rPr>
            </w:pPr>
            <w:r w:rsidRPr="000140B3">
              <w:rPr>
                <w:rFonts w:ascii="Times New Roman" w:eastAsia="標楷體" w:hAnsi="Times New Roman" w:cs="Times New Roman"/>
                <w:sz w:val="18"/>
                <w:szCs w:val="18"/>
              </w:rPr>
              <w:t>490.32</w:t>
            </w:r>
          </w:p>
        </w:tc>
        <w:tc>
          <w:tcPr>
            <w:tcW w:w="851" w:type="dxa"/>
          </w:tcPr>
          <w:p w:rsidR="0064621B" w:rsidRPr="000140B3" w:rsidRDefault="0064621B" w:rsidP="00EC5AF2">
            <w:pPr>
              <w:pStyle w:val="TableParagraph"/>
              <w:ind w:left="67" w:right="48"/>
              <w:jc w:val="center"/>
              <w:rPr>
                <w:rFonts w:ascii="Times New Roman" w:eastAsia="標楷體" w:hAnsi="Times New Roman" w:cs="Times New Roman"/>
                <w:sz w:val="18"/>
                <w:szCs w:val="18"/>
              </w:rPr>
            </w:pPr>
            <w:r w:rsidRPr="000140B3">
              <w:rPr>
                <w:rFonts w:ascii="Times New Roman" w:eastAsia="標楷體" w:hAnsi="Times New Roman" w:cs="Times New Roman"/>
                <w:w w:val="105"/>
                <w:sz w:val="18"/>
                <w:szCs w:val="18"/>
              </w:rPr>
              <w:t>64.74</w:t>
            </w:r>
          </w:p>
        </w:tc>
        <w:tc>
          <w:tcPr>
            <w:tcW w:w="1136" w:type="dxa"/>
          </w:tcPr>
          <w:p w:rsidR="0064621B" w:rsidRPr="000140B3" w:rsidRDefault="0064621B" w:rsidP="00EC5AF2">
            <w:pPr>
              <w:jc w:val="right"/>
              <w:rPr>
                <w:rFonts w:ascii="Times New Roman"/>
                <w:sz w:val="18"/>
                <w:szCs w:val="18"/>
              </w:rPr>
            </w:pPr>
            <w:r w:rsidRPr="000140B3">
              <w:rPr>
                <w:rFonts w:ascii="Times New Roman"/>
                <w:bCs/>
                <w:sz w:val="18"/>
                <w:szCs w:val="18"/>
              </w:rPr>
              <w:t>483.39</w:t>
            </w:r>
          </w:p>
        </w:tc>
        <w:tc>
          <w:tcPr>
            <w:tcW w:w="853" w:type="dxa"/>
          </w:tcPr>
          <w:p w:rsidR="0064621B" w:rsidRPr="000140B3" w:rsidRDefault="0064621B" w:rsidP="00EC5AF2">
            <w:pPr>
              <w:jc w:val="right"/>
              <w:rPr>
                <w:rFonts w:ascii="Times New Roman"/>
                <w:sz w:val="18"/>
                <w:szCs w:val="18"/>
              </w:rPr>
            </w:pPr>
            <w:r w:rsidRPr="000140B3">
              <w:rPr>
                <w:rFonts w:ascii="Times New Roman"/>
                <w:bCs/>
                <w:sz w:val="18"/>
                <w:szCs w:val="18"/>
              </w:rPr>
              <w:t>49.11</w:t>
            </w:r>
          </w:p>
        </w:tc>
      </w:tr>
      <w:tr w:rsidR="0064621B" w:rsidRPr="000140B3" w:rsidTr="00EC5AF2">
        <w:trPr>
          <w:trHeight w:val="215"/>
        </w:trPr>
        <w:tc>
          <w:tcPr>
            <w:tcW w:w="1429" w:type="dxa"/>
          </w:tcPr>
          <w:p w:rsidR="0064621B" w:rsidRPr="000140B3" w:rsidRDefault="0064621B" w:rsidP="00FC43F4">
            <w:pPr>
              <w:ind w:leftChars="-31" w:left="-105"/>
              <w:rPr>
                <w:rFonts w:ascii="Times New Roman"/>
                <w:sz w:val="18"/>
                <w:szCs w:val="18"/>
              </w:rPr>
            </w:pPr>
            <w:proofErr w:type="gramStart"/>
            <w:r w:rsidRPr="000140B3">
              <w:rPr>
                <w:rFonts w:ascii="Times New Roman"/>
                <w:w w:val="110"/>
                <w:sz w:val="18"/>
                <w:szCs w:val="18"/>
              </w:rPr>
              <w:t>暴險合計</w:t>
            </w:r>
            <w:proofErr w:type="gramEnd"/>
          </w:p>
        </w:tc>
        <w:tc>
          <w:tcPr>
            <w:tcW w:w="1980" w:type="dxa"/>
            <w:gridSpan w:val="2"/>
          </w:tcPr>
          <w:p w:rsidR="0064621B" w:rsidRPr="000140B3" w:rsidRDefault="0064621B" w:rsidP="00EC5AF2">
            <w:pPr>
              <w:pStyle w:val="TableParagraph"/>
              <w:ind w:left="598"/>
              <w:rPr>
                <w:rFonts w:ascii="Times New Roman" w:eastAsia="標楷體" w:hAnsi="Times New Roman" w:cs="Times New Roman"/>
                <w:sz w:val="18"/>
                <w:szCs w:val="18"/>
              </w:rPr>
            </w:pPr>
            <w:r w:rsidRPr="000140B3">
              <w:rPr>
                <w:rFonts w:ascii="Times New Roman" w:eastAsia="標楷體" w:hAnsi="Times New Roman" w:cs="Times New Roman"/>
                <w:w w:val="110"/>
                <w:sz w:val="18"/>
                <w:szCs w:val="18"/>
              </w:rPr>
              <w:t>814.94</w:t>
            </w:r>
          </w:p>
        </w:tc>
        <w:tc>
          <w:tcPr>
            <w:tcW w:w="1846" w:type="dxa"/>
            <w:gridSpan w:val="2"/>
          </w:tcPr>
          <w:p w:rsidR="0064621B" w:rsidRPr="000140B3" w:rsidRDefault="0064621B" w:rsidP="00EC5AF2">
            <w:pPr>
              <w:pStyle w:val="TableParagraph"/>
              <w:ind w:left="590"/>
              <w:rPr>
                <w:rFonts w:ascii="Times New Roman" w:eastAsia="標楷體" w:hAnsi="Times New Roman" w:cs="Times New Roman"/>
                <w:sz w:val="18"/>
                <w:szCs w:val="18"/>
              </w:rPr>
            </w:pPr>
            <w:r w:rsidRPr="000140B3">
              <w:rPr>
                <w:rFonts w:ascii="Times New Roman" w:eastAsia="標楷體" w:hAnsi="Times New Roman" w:cs="Times New Roman"/>
                <w:w w:val="105"/>
                <w:sz w:val="18"/>
                <w:szCs w:val="18"/>
              </w:rPr>
              <w:t>771.32</w:t>
            </w:r>
          </w:p>
        </w:tc>
        <w:tc>
          <w:tcPr>
            <w:tcW w:w="1989" w:type="dxa"/>
            <w:gridSpan w:val="2"/>
          </w:tcPr>
          <w:p w:rsidR="0064621B" w:rsidRPr="000140B3" w:rsidRDefault="0064621B" w:rsidP="00EC5AF2">
            <w:pPr>
              <w:pStyle w:val="TableParagraph"/>
              <w:ind w:left="588"/>
              <w:rPr>
                <w:rFonts w:ascii="Times New Roman" w:eastAsia="標楷體" w:hAnsi="Times New Roman" w:cs="Times New Roman"/>
                <w:sz w:val="18"/>
                <w:szCs w:val="18"/>
              </w:rPr>
            </w:pPr>
            <w:r w:rsidRPr="000140B3">
              <w:rPr>
                <w:rFonts w:ascii="Times New Roman" w:eastAsia="標楷體" w:hAnsi="Times New Roman" w:cs="Times New Roman"/>
                <w:sz w:val="18"/>
                <w:szCs w:val="18"/>
              </w:rPr>
              <w:t>598.23</w:t>
            </w:r>
          </w:p>
        </w:tc>
        <w:tc>
          <w:tcPr>
            <w:tcW w:w="1845" w:type="dxa"/>
            <w:gridSpan w:val="2"/>
          </w:tcPr>
          <w:p w:rsidR="0064621B" w:rsidRPr="000140B3" w:rsidRDefault="0064621B" w:rsidP="00EC5AF2">
            <w:pPr>
              <w:pStyle w:val="TableParagraph"/>
              <w:ind w:left="517"/>
              <w:rPr>
                <w:rFonts w:ascii="Times New Roman" w:eastAsia="標楷體" w:hAnsi="Times New Roman" w:cs="Times New Roman"/>
                <w:sz w:val="18"/>
                <w:szCs w:val="18"/>
              </w:rPr>
            </w:pPr>
            <w:r w:rsidRPr="000140B3">
              <w:rPr>
                <w:rFonts w:ascii="Times New Roman" w:eastAsia="標楷體" w:hAnsi="Times New Roman" w:cs="Times New Roman"/>
                <w:w w:val="105"/>
                <w:sz w:val="18"/>
                <w:szCs w:val="18"/>
              </w:rPr>
              <w:t>555.06</w:t>
            </w:r>
          </w:p>
        </w:tc>
        <w:tc>
          <w:tcPr>
            <w:tcW w:w="1989" w:type="dxa"/>
            <w:gridSpan w:val="2"/>
          </w:tcPr>
          <w:p w:rsidR="0064621B" w:rsidRPr="000140B3" w:rsidRDefault="0064621B" w:rsidP="00EC5AF2">
            <w:pPr>
              <w:pStyle w:val="TableParagraph"/>
              <w:ind w:left="588"/>
              <w:jc w:val="right"/>
              <w:rPr>
                <w:rFonts w:ascii="Times New Roman" w:eastAsia="標楷體" w:hAnsi="Times New Roman" w:cs="Times New Roman"/>
                <w:sz w:val="18"/>
                <w:szCs w:val="18"/>
              </w:rPr>
            </w:pPr>
            <w:r w:rsidRPr="000140B3">
              <w:rPr>
                <w:rFonts w:ascii="Times New Roman" w:eastAsia="標楷體" w:hAnsi="Times New Roman" w:cs="Times New Roman"/>
                <w:bCs/>
                <w:sz w:val="18"/>
                <w:szCs w:val="18"/>
                <w:lang w:eastAsia="zh-TW"/>
              </w:rPr>
              <w:t>532.5</w:t>
            </w:r>
          </w:p>
        </w:tc>
      </w:tr>
      <w:tr w:rsidR="0064621B" w:rsidRPr="000140B3" w:rsidTr="00EC5AF2">
        <w:trPr>
          <w:trHeight w:val="51"/>
        </w:trPr>
        <w:tc>
          <w:tcPr>
            <w:tcW w:w="1429" w:type="dxa"/>
          </w:tcPr>
          <w:p w:rsidR="0064621B" w:rsidRPr="000140B3" w:rsidRDefault="0064621B" w:rsidP="00FC43F4">
            <w:pPr>
              <w:ind w:leftChars="-31" w:left="-105" w:rightChars="-51" w:right="-173"/>
              <w:rPr>
                <w:rFonts w:ascii="Times New Roman"/>
                <w:sz w:val="18"/>
                <w:szCs w:val="18"/>
              </w:rPr>
            </w:pPr>
            <w:r w:rsidRPr="000140B3">
              <w:rPr>
                <w:rFonts w:ascii="Times New Roman"/>
                <w:sz w:val="18"/>
                <w:szCs w:val="18"/>
              </w:rPr>
              <w:t>證券期貨</w:t>
            </w:r>
            <w:r w:rsidRPr="000140B3">
              <w:rPr>
                <w:rFonts w:ascii="Times New Roman"/>
                <w:w w:val="105"/>
                <w:sz w:val="18"/>
                <w:szCs w:val="18"/>
              </w:rPr>
              <w:t>業淨值</w:t>
            </w:r>
          </w:p>
        </w:tc>
        <w:tc>
          <w:tcPr>
            <w:tcW w:w="1980" w:type="dxa"/>
            <w:gridSpan w:val="2"/>
          </w:tcPr>
          <w:p w:rsidR="0064621B" w:rsidRPr="000140B3" w:rsidRDefault="0064621B" w:rsidP="00EC5AF2">
            <w:pPr>
              <w:pStyle w:val="TableParagraph"/>
              <w:ind w:left="500"/>
              <w:rPr>
                <w:rFonts w:ascii="Times New Roman" w:eastAsia="標楷體" w:hAnsi="Times New Roman" w:cs="Times New Roman"/>
                <w:sz w:val="18"/>
                <w:szCs w:val="18"/>
              </w:rPr>
            </w:pPr>
            <w:r w:rsidRPr="000140B3">
              <w:rPr>
                <w:rFonts w:ascii="Times New Roman" w:eastAsia="標楷體" w:hAnsi="Times New Roman" w:cs="Times New Roman"/>
                <w:sz w:val="18"/>
                <w:szCs w:val="18"/>
              </w:rPr>
              <w:t>5,995.40</w:t>
            </w:r>
          </w:p>
        </w:tc>
        <w:tc>
          <w:tcPr>
            <w:tcW w:w="1846" w:type="dxa"/>
            <w:gridSpan w:val="2"/>
          </w:tcPr>
          <w:p w:rsidR="0064621B" w:rsidRPr="000140B3" w:rsidRDefault="0064621B" w:rsidP="00EC5AF2">
            <w:pPr>
              <w:pStyle w:val="TableParagraph"/>
              <w:ind w:left="480"/>
              <w:rPr>
                <w:rFonts w:ascii="Times New Roman" w:eastAsia="標楷體" w:hAnsi="Times New Roman" w:cs="Times New Roman"/>
                <w:sz w:val="18"/>
                <w:szCs w:val="18"/>
              </w:rPr>
            </w:pPr>
            <w:r w:rsidRPr="000140B3">
              <w:rPr>
                <w:rFonts w:ascii="Times New Roman" w:eastAsia="標楷體" w:hAnsi="Times New Roman" w:cs="Times New Roman"/>
                <w:sz w:val="18"/>
                <w:szCs w:val="18"/>
              </w:rPr>
              <w:t>6,408.04</w:t>
            </w:r>
          </w:p>
        </w:tc>
        <w:tc>
          <w:tcPr>
            <w:tcW w:w="1989" w:type="dxa"/>
            <w:gridSpan w:val="2"/>
          </w:tcPr>
          <w:p w:rsidR="0064621B" w:rsidRPr="000140B3" w:rsidRDefault="0064621B" w:rsidP="00EC5AF2">
            <w:pPr>
              <w:pStyle w:val="TableParagraph"/>
              <w:ind w:left="476"/>
              <w:rPr>
                <w:rFonts w:ascii="Times New Roman" w:eastAsia="標楷體" w:hAnsi="Times New Roman" w:cs="Times New Roman"/>
                <w:sz w:val="18"/>
                <w:szCs w:val="18"/>
              </w:rPr>
            </w:pPr>
            <w:r w:rsidRPr="000140B3">
              <w:rPr>
                <w:rFonts w:ascii="Times New Roman" w:eastAsia="標楷體" w:hAnsi="Times New Roman" w:cs="Times New Roman"/>
                <w:sz w:val="18"/>
                <w:szCs w:val="18"/>
              </w:rPr>
              <w:t>7,132.72</w:t>
            </w:r>
          </w:p>
        </w:tc>
        <w:tc>
          <w:tcPr>
            <w:tcW w:w="1845" w:type="dxa"/>
            <w:gridSpan w:val="2"/>
          </w:tcPr>
          <w:p w:rsidR="0064621B" w:rsidRPr="000140B3" w:rsidRDefault="0064621B" w:rsidP="00EC5AF2">
            <w:pPr>
              <w:pStyle w:val="TableParagraph"/>
              <w:ind w:left="410"/>
              <w:rPr>
                <w:rFonts w:ascii="Times New Roman" w:eastAsia="標楷體" w:hAnsi="Times New Roman" w:cs="Times New Roman"/>
                <w:sz w:val="18"/>
                <w:szCs w:val="18"/>
              </w:rPr>
            </w:pPr>
            <w:r w:rsidRPr="000140B3">
              <w:rPr>
                <w:rFonts w:ascii="Times New Roman" w:eastAsia="標楷體" w:hAnsi="Times New Roman" w:cs="Times New Roman"/>
                <w:sz w:val="18"/>
                <w:szCs w:val="18"/>
              </w:rPr>
              <w:t>6,717.75</w:t>
            </w:r>
          </w:p>
        </w:tc>
        <w:tc>
          <w:tcPr>
            <w:tcW w:w="1989" w:type="dxa"/>
            <w:gridSpan w:val="2"/>
          </w:tcPr>
          <w:p w:rsidR="0064621B" w:rsidRPr="000140B3" w:rsidRDefault="0064621B" w:rsidP="00EC5AF2">
            <w:pPr>
              <w:pStyle w:val="TableParagraph"/>
              <w:ind w:left="476"/>
              <w:jc w:val="right"/>
              <w:rPr>
                <w:rFonts w:ascii="Times New Roman" w:eastAsia="標楷體" w:hAnsi="Times New Roman" w:cs="Times New Roman"/>
                <w:sz w:val="18"/>
                <w:szCs w:val="18"/>
              </w:rPr>
            </w:pPr>
            <w:r w:rsidRPr="000140B3">
              <w:rPr>
                <w:rFonts w:ascii="Times New Roman" w:eastAsia="標楷體" w:hAnsi="Times New Roman" w:cs="Times New Roman"/>
                <w:bCs/>
                <w:sz w:val="18"/>
                <w:szCs w:val="18"/>
                <w:lang w:eastAsia="zh-TW"/>
              </w:rPr>
              <w:t>7,340.61</w:t>
            </w:r>
          </w:p>
        </w:tc>
      </w:tr>
      <w:tr w:rsidR="0064621B" w:rsidRPr="000140B3" w:rsidTr="00EC5AF2">
        <w:trPr>
          <w:trHeight w:val="37"/>
        </w:trPr>
        <w:tc>
          <w:tcPr>
            <w:tcW w:w="1429" w:type="dxa"/>
          </w:tcPr>
          <w:p w:rsidR="0064621B" w:rsidRPr="000140B3" w:rsidRDefault="0064621B" w:rsidP="00FC43F4">
            <w:pPr>
              <w:ind w:leftChars="-31" w:left="-105"/>
              <w:rPr>
                <w:rFonts w:ascii="Times New Roman"/>
                <w:sz w:val="18"/>
                <w:szCs w:val="18"/>
              </w:rPr>
            </w:pPr>
            <w:proofErr w:type="gramStart"/>
            <w:r w:rsidRPr="000140B3">
              <w:rPr>
                <w:rFonts w:ascii="Times New Roman"/>
                <w:sz w:val="18"/>
                <w:szCs w:val="18"/>
              </w:rPr>
              <w:t>暴險占</w:t>
            </w:r>
            <w:proofErr w:type="gramEnd"/>
            <w:r w:rsidRPr="000140B3">
              <w:rPr>
                <w:rFonts w:ascii="Times New Roman"/>
                <w:sz w:val="18"/>
                <w:szCs w:val="18"/>
              </w:rPr>
              <w:t>淨值比</w:t>
            </w:r>
          </w:p>
        </w:tc>
        <w:tc>
          <w:tcPr>
            <w:tcW w:w="1980" w:type="dxa"/>
            <w:gridSpan w:val="2"/>
          </w:tcPr>
          <w:p w:rsidR="0064621B" w:rsidRPr="000140B3" w:rsidRDefault="0064621B" w:rsidP="00EC5AF2">
            <w:pPr>
              <w:pStyle w:val="TableParagraph"/>
              <w:ind w:left="547"/>
              <w:rPr>
                <w:rFonts w:ascii="Times New Roman" w:eastAsia="標楷體" w:hAnsi="Times New Roman" w:cs="Times New Roman"/>
                <w:sz w:val="18"/>
                <w:szCs w:val="18"/>
              </w:rPr>
            </w:pPr>
            <w:r w:rsidRPr="000140B3">
              <w:rPr>
                <w:rFonts w:ascii="Times New Roman" w:eastAsia="標楷體" w:hAnsi="Times New Roman" w:cs="Times New Roman"/>
                <w:w w:val="105"/>
                <w:sz w:val="18"/>
                <w:szCs w:val="18"/>
              </w:rPr>
              <w:t>13.59%</w:t>
            </w:r>
          </w:p>
        </w:tc>
        <w:tc>
          <w:tcPr>
            <w:tcW w:w="1846" w:type="dxa"/>
            <w:gridSpan w:val="2"/>
          </w:tcPr>
          <w:p w:rsidR="0064621B" w:rsidRPr="000140B3" w:rsidRDefault="0064621B" w:rsidP="00EC5AF2">
            <w:pPr>
              <w:pStyle w:val="TableParagraph"/>
              <w:ind w:left="541"/>
              <w:rPr>
                <w:rFonts w:ascii="Times New Roman" w:eastAsia="標楷體" w:hAnsi="Times New Roman" w:cs="Times New Roman"/>
                <w:sz w:val="18"/>
                <w:szCs w:val="18"/>
              </w:rPr>
            </w:pPr>
            <w:r w:rsidRPr="000140B3">
              <w:rPr>
                <w:rFonts w:ascii="Times New Roman" w:eastAsia="標楷體" w:hAnsi="Times New Roman" w:cs="Times New Roman"/>
                <w:sz w:val="18"/>
                <w:szCs w:val="18"/>
              </w:rPr>
              <w:t>12.04%</w:t>
            </w:r>
          </w:p>
        </w:tc>
        <w:tc>
          <w:tcPr>
            <w:tcW w:w="1989" w:type="dxa"/>
            <w:gridSpan w:val="2"/>
          </w:tcPr>
          <w:p w:rsidR="0064621B" w:rsidRPr="000140B3" w:rsidRDefault="0064621B" w:rsidP="00EC5AF2">
            <w:pPr>
              <w:pStyle w:val="TableParagraph"/>
              <w:ind w:left="592"/>
              <w:rPr>
                <w:rFonts w:ascii="Times New Roman" w:eastAsia="標楷體" w:hAnsi="Times New Roman" w:cs="Times New Roman"/>
                <w:sz w:val="18"/>
                <w:szCs w:val="18"/>
              </w:rPr>
            </w:pPr>
            <w:r w:rsidRPr="000140B3">
              <w:rPr>
                <w:rFonts w:ascii="Times New Roman" w:eastAsia="標楷體" w:hAnsi="Times New Roman" w:cs="Times New Roman"/>
                <w:w w:val="105"/>
                <w:sz w:val="18"/>
                <w:szCs w:val="18"/>
              </w:rPr>
              <w:t>8.39%</w:t>
            </w:r>
          </w:p>
        </w:tc>
        <w:tc>
          <w:tcPr>
            <w:tcW w:w="1845" w:type="dxa"/>
            <w:gridSpan w:val="2"/>
          </w:tcPr>
          <w:p w:rsidR="0064621B" w:rsidRPr="000140B3" w:rsidRDefault="0064621B" w:rsidP="00EC5AF2">
            <w:pPr>
              <w:pStyle w:val="TableParagraph"/>
              <w:ind w:left="528"/>
              <w:rPr>
                <w:rFonts w:ascii="Times New Roman" w:eastAsia="標楷體" w:hAnsi="Times New Roman" w:cs="Times New Roman"/>
                <w:sz w:val="18"/>
                <w:szCs w:val="18"/>
              </w:rPr>
            </w:pPr>
            <w:r w:rsidRPr="000140B3">
              <w:rPr>
                <w:rFonts w:ascii="Times New Roman" w:eastAsia="標楷體" w:hAnsi="Times New Roman" w:cs="Times New Roman"/>
                <w:w w:val="105"/>
                <w:sz w:val="18"/>
                <w:szCs w:val="18"/>
              </w:rPr>
              <w:t>8.26%</w:t>
            </w:r>
          </w:p>
        </w:tc>
        <w:tc>
          <w:tcPr>
            <w:tcW w:w="1989" w:type="dxa"/>
            <w:gridSpan w:val="2"/>
          </w:tcPr>
          <w:p w:rsidR="0064621B" w:rsidRPr="000140B3" w:rsidRDefault="0064621B" w:rsidP="00EC5AF2">
            <w:pPr>
              <w:pStyle w:val="TableParagraph"/>
              <w:ind w:left="592"/>
              <w:jc w:val="right"/>
              <w:rPr>
                <w:rFonts w:ascii="Times New Roman" w:eastAsia="標楷體" w:hAnsi="Times New Roman" w:cs="Times New Roman"/>
                <w:sz w:val="18"/>
                <w:szCs w:val="18"/>
              </w:rPr>
            </w:pPr>
            <w:r w:rsidRPr="000140B3">
              <w:rPr>
                <w:rFonts w:ascii="Times New Roman" w:eastAsia="標楷體" w:hAnsi="Times New Roman" w:cs="Times New Roman"/>
                <w:bCs/>
                <w:sz w:val="18"/>
                <w:szCs w:val="18"/>
                <w:lang w:eastAsia="zh-TW"/>
              </w:rPr>
              <w:t>7.25%</w:t>
            </w:r>
          </w:p>
        </w:tc>
      </w:tr>
    </w:tbl>
    <w:p w:rsidR="0064621B" w:rsidRPr="000140B3" w:rsidRDefault="0064621B" w:rsidP="0064621B">
      <w:pPr>
        <w:pStyle w:val="3"/>
        <w:numPr>
          <w:ilvl w:val="0"/>
          <w:numId w:val="0"/>
        </w:numPr>
        <w:ind w:leftChars="-292" w:left="-2" w:hangingChars="381" w:hanging="991"/>
        <w:rPr>
          <w:rFonts w:ascii="Times New Roman" w:hAnsi="Times New Roman"/>
        </w:rPr>
      </w:pPr>
      <w:r w:rsidRPr="000140B3">
        <w:rPr>
          <w:rFonts w:ascii="Times New Roman" w:hAnsi="Times New Roman"/>
          <w:sz w:val="24"/>
        </w:rPr>
        <w:t>資料來源：金管會。</w:t>
      </w:r>
    </w:p>
    <w:p w:rsidR="0064621B" w:rsidRPr="000140B3" w:rsidRDefault="0064621B" w:rsidP="0064621B">
      <w:pPr>
        <w:pStyle w:val="3"/>
        <w:numPr>
          <w:ilvl w:val="0"/>
          <w:numId w:val="0"/>
        </w:numPr>
        <w:ind w:left="1361" w:firstLineChars="225" w:firstLine="765"/>
        <w:rPr>
          <w:rFonts w:ascii="Times New Roman" w:hAnsi="Times New Roman"/>
        </w:rPr>
      </w:pPr>
      <w:r w:rsidRPr="000140B3">
        <w:rPr>
          <w:rFonts w:ascii="Times New Roman" w:hAnsi="Times New Roman"/>
        </w:rPr>
        <w:t>顯示，我國金融業於香港地區之</w:t>
      </w:r>
      <w:proofErr w:type="gramStart"/>
      <w:r w:rsidRPr="000140B3">
        <w:rPr>
          <w:rFonts w:ascii="Times New Roman" w:hAnsi="Times New Roman"/>
        </w:rPr>
        <w:t>暴險雖</w:t>
      </w:r>
      <w:proofErr w:type="gramEnd"/>
      <w:r w:rsidRPr="000140B3">
        <w:rPr>
          <w:rFonts w:ascii="Times New Roman" w:hAnsi="Times New Roman"/>
        </w:rPr>
        <w:t>呈下滑趨勢，然下滑情勢相較中國大陸和緩許多。</w:t>
      </w:r>
    </w:p>
    <w:p w:rsidR="0064621B" w:rsidRPr="000140B3" w:rsidRDefault="0064621B" w:rsidP="0064621B">
      <w:pPr>
        <w:pStyle w:val="3"/>
        <w:rPr>
          <w:rFonts w:ascii="Times New Roman" w:hAnsi="Times New Roman"/>
        </w:rPr>
      </w:pPr>
      <w:r w:rsidRPr="000140B3">
        <w:rPr>
          <w:rFonts w:ascii="Times New Roman" w:hAnsi="Times New Roman"/>
        </w:rPr>
        <w:t>香港地區截至</w:t>
      </w:r>
      <w:r w:rsidRPr="000140B3">
        <w:rPr>
          <w:rFonts w:ascii="Times New Roman" w:hAnsi="Times New Roman"/>
        </w:rPr>
        <w:t>2022</w:t>
      </w:r>
      <w:r w:rsidRPr="000140B3">
        <w:rPr>
          <w:rFonts w:ascii="Times New Roman" w:hAnsi="Times New Roman"/>
        </w:rPr>
        <w:t>年</w:t>
      </w:r>
      <w:r w:rsidRPr="000140B3">
        <w:rPr>
          <w:rFonts w:ascii="Times New Roman" w:hAnsi="Times New Roman"/>
        </w:rPr>
        <w:t>6</w:t>
      </w:r>
      <w:r w:rsidRPr="000140B3">
        <w:rPr>
          <w:rFonts w:ascii="Times New Roman" w:hAnsi="Times New Roman"/>
        </w:rPr>
        <w:t>月底，以市值計算，香港是亞洲第四大及全球第</w:t>
      </w:r>
      <w:r w:rsidRPr="000140B3">
        <w:rPr>
          <w:rFonts w:ascii="Times New Roman" w:hAnsi="Times New Roman"/>
        </w:rPr>
        <w:t>7</w:t>
      </w:r>
      <w:r w:rsidRPr="000140B3">
        <w:rPr>
          <w:rFonts w:ascii="Times New Roman" w:hAnsi="Times New Roman"/>
        </w:rPr>
        <w:t>大證券市場。同期，共有</w:t>
      </w:r>
      <w:r w:rsidRPr="000140B3">
        <w:rPr>
          <w:rFonts w:ascii="Times New Roman" w:hAnsi="Times New Roman"/>
        </w:rPr>
        <w:t>2,238</w:t>
      </w:r>
      <w:r w:rsidRPr="000140B3">
        <w:rPr>
          <w:rFonts w:ascii="Times New Roman" w:hAnsi="Times New Roman"/>
        </w:rPr>
        <w:t>家公司</w:t>
      </w:r>
      <w:proofErr w:type="gramStart"/>
      <w:r w:rsidRPr="000140B3">
        <w:rPr>
          <w:rFonts w:ascii="Times New Roman" w:hAnsi="Times New Roman"/>
        </w:rPr>
        <w:t>在</w:t>
      </w:r>
      <w:r w:rsidR="0008226F" w:rsidRPr="000140B3">
        <w:rPr>
          <w:rFonts w:ascii="Times New Roman" w:hAnsi="Times New Roman" w:hint="eastAsia"/>
        </w:rPr>
        <w:t>港交所</w:t>
      </w:r>
      <w:proofErr w:type="gramEnd"/>
      <w:r w:rsidRPr="000140B3">
        <w:rPr>
          <w:rFonts w:ascii="Times New Roman" w:hAnsi="Times New Roman"/>
        </w:rPr>
        <w:t>上市，總市值約</w:t>
      </w:r>
      <w:r w:rsidRPr="000140B3">
        <w:rPr>
          <w:rFonts w:ascii="Times New Roman" w:hAnsi="Times New Roman"/>
        </w:rPr>
        <w:t>50,000</w:t>
      </w:r>
      <w:r w:rsidRPr="000140B3">
        <w:rPr>
          <w:rFonts w:ascii="Times New Roman" w:hAnsi="Times New Roman"/>
        </w:rPr>
        <w:t>億美元。</w:t>
      </w:r>
      <w:r w:rsidRPr="000140B3">
        <w:rPr>
          <w:rFonts w:ascii="Times New Roman" w:hAnsi="Times New Roman"/>
        </w:rPr>
        <w:t>2020</w:t>
      </w:r>
      <w:r w:rsidRPr="000140B3">
        <w:rPr>
          <w:rFonts w:ascii="Times New Roman" w:hAnsi="Times New Roman"/>
        </w:rPr>
        <w:t>年</w:t>
      </w:r>
      <w:r w:rsidRPr="000140B3">
        <w:rPr>
          <w:rFonts w:ascii="Times New Roman" w:hAnsi="Times New Roman"/>
        </w:rPr>
        <w:t>6</w:t>
      </w:r>
      <w:r w:rsidRPr="000140B3">
        <w:rPr>
          <w:rFonts w:ascii="Times New Roman" w:hAnsi="Times New Roman"/>
        </w:rPr>
        <w:t>月，中國人民銀行、香港金融管理局及澳門金融管理局宣布在大灣區開展雙向跨境理財通業務試點（理財通），讓包括香港、澳門和廣東省內九市居民可在</w:t>
      </w:r>
      <w:proofErr w:type="gramStart"/>
      <w:r w:rsidRPr="000140B3">
        <w:rPr>
          <w:rFonts w:ascii="Times New Roman" w:hAnsi="Times New Roman"/>
        </w:rPr>
        <w:t>大灣區跨境</w:t>
      </w:r>
      <w:proofErr w:type="gramEnd"/>
      <w:r w:rsidRPr="000140B3">
        <w:rPr>
          <w:rFonts w:ascii="Times New Roman" w:hAnsi="Times New Roman"/>
        </w:rPr>
        <w:t>投資區內銀行銷售的理財產品。與此同時，香港是全球離岸人民幣業務樞紐，根據環球銀行金融電訊協會（</w:t>
      </w:r>
      <w:r w:rsidRPr="000140B3">
        <w:rPr>
          <w:rFonts w:ascii="Times New Roman" w:hAnsi="Times New Roman"/>
        </w:rPr>
        <w:t>SWIFT</w:t>
      </w:r>
      <w:r w:rsidRPr="000140B3">
        <w:rPr>
          <w:rFonts w:ascii="Times New Roman" w:hAnsi="Times New Roman"/>
        </w:rPr>
        <w:t>）的資料，</w:t>
      </w:r>
      <w:r w:rsidRPr="000140B3">
        <w:rPr>
          <w:rFonts w:ascii="Times New Roman" w:hAnsi="Times New Roman"/>
        </w:rPr>
        <w:t>2022</w:t>
      </w:r>
      <w:r w:rsidRPr="000140B3">
        <w:rPr>
          <w:rFonts w:ascii="Times New Roman" w:hAnsi="Times New Roman"/>
        </w:rPr>
        <w:t>年，香港是全球最大的離岸人民幣結算中心，占全球人民幣支付交易約</w:t>
      </w:r>
      <w:r w:rsidRPr="000140B3">
        <w:rPr>
          <w:rFonts w:ascii="Times New Roman" w:hAnsi="Times New Roman"/>
        </w:rPr>
        <w:t>70%</w:t>
      </w:r>
      <w:r w:rsidRPr="000140B3">
        <w:rPr>
          <w:rFonts w:ascii="Times New Roman" w:hAnsi="Times New Roman"/>
        </w:rPr>
        <w:t>。香港也是中國大陸企業重要的離岸集資中心。截至</w:t>
      </w:r>
      <w:r w:rsidRPr="000140B3">
        <w:rPr>
          <w:rFonts w:ascii="Times New Roman" w:hAnsi="Times New Roman"/>
        </w:rPr>
        <w:t>2021</w:t>
      </w:r>
      <w:r w:rsidRPr="000140B3">
        <w:rPr>
          <w:rFonts w:ascii="Times New Roman" w:hAnsi="Times New Roman"/>
        </w:rPr>
        <w:t>年底，在香港上市的中國大陸企業有</w:t>
      </w:r>
      <w:r w:rsidRPr="000140B3">
        <w:rPr>
          <w:rFonts w:ascii="Times New Roman" w:hAnsi="Times New Roman"/>
        </w:rPr>
        <w:t>1,455</w:t>
      </w:r>
      <w:r w:rsidRPr="000140B3">
        <w:rPr>
          <w:rFonts w:ascii="Times New Roman" w:hAnsi="Times New Roman"/>
        </w:rPr>
        <w:t>家，其中包括</w:t>
      </w:r>
      <w:r w:rsidRPr="000140B3">
        <w:rPr>
          <w:rFonts w:ascii="Times New Roman" w:hAnsi="Times New Roman"/>
        </w:rPr>
        <w:t>H</w:t>
      </w:r>
      <w:r w:rsidRPr="000140B3">
        <w:rPr>
          <w:rFonts w:ascii="Times New Roman" w:hAnsi="Times New Roman"/>
        </w:rPr>
        <w:t>股、紅籌股及民營企業，總市值約為</w:t>
      </w:r>
      <w:r w:rsidRPr="000140B3">
        <w:rPr>
          <w:rFonts w:ascii="Times New Roman" w:hAnsi="Times New Roman"/>
        </w:rPr>
        <w:t>4.3</w:t>
      </w:r>
      <w:r w:rsidRPr="000140B3">
        <w:rPr>
          <w:rFonts w:ascii="Times New Roman" w:hAnsi="Times New Roman"/>
        </w:rPr>
        <w:t>兆美元，占市場總值的</w:t>
      </w:r>
      <w:r w:rsidRPr="000140B3">
        <w:rPr>
          <w:rFonts w:ascii="Times New Roman" w:hAnsi="Times New Roman"/>
        </w:rPr>
        <w:t>79%</w:t>
      </w:r>
      <w:r w:rsidRPr="000140B3">
        <w:rPr>
          <w:rFonts w:ascii="Times New Roman" w:hAnsi="Times New Roman"/>
        </w:rPr>
        <w:t>，而</w:t>
      </w:r>
      <w:r w:rsidRPr="000140B3">
        <w:rPr>
          <w:rFonts w:ascii="Times New Roman" w:hAnsi="Times New Roman"/>
        </w:rPr>
        <w:t>2022</w:t>
      </w:r>
      <w:r w:rsidRPr="000140B3">
        <w:rPr>
          <w:rFonts w:ascii="Times New Roman" w:hAnsi="Times New Roman"/>
        </w:rPr>
        <w:t>年共有</w:t>
      </w:r>
      <w:r w:rsidRPr="000140B3">
        <w:rPr>
          <w:rFonts w:ascii="Times New Roman" w:hAnsi="Times New Roman"/>
        </w:rPr>
        <w:t>75</w:t>
      </w:r>
      <w:r w:rsidRPr="000140B3">
        <w:rPr>
          <w:rFonts w:ascii="Times New Roman" w:hAnsi="Times New Roman"/>
        </w:rPr>
        <w:t>家中國大陸企業在香港上市</w:t>
      </w:r>
      <w:r w:rsidRPr="000140B3">
        <w:rPr>
          <w:rStyle w:val="aff4"/>
          <w:rFonts w:ascii="Times New Roman" w:hAnsi="Times New Roman"/>
        </w:rPr>
        <w:footnoteReference w:id="19"/>
      </w:r>
      <w:r w:rsidRPr="000140B3">
        <w:rPr>
          <w:rFonts w:ascii="Times New Roman" w:hAnsi="Times New Roman"/>
        </w:rPr>
        <w:t>。</w:t>
      </w:r>
      <w:r w:rsidRPr="000140B3">
        <w:rPr>
          <w:rFonts w:ascii="Times New Roman" w:hAnsi="Times New Roman"/>
          <w:szCs w:val="32"/>
        </w:rPr>
        <w:t>顯見，中國大陸企業營運良</w:t>
      </w:r>
      <w:proofErr w:type="gramStart"/>
      <w:r w:rsidRPr="000140B3">
        <w:rPr>
          <w:rFonts w:ascii="Times New Roman" w:hAnsi="Times New Roman"/>
          <w:szCs w:val="32"/>
        </w:rPr>
        <w:t>窳</w:t>
      </w:r>
      <w:proofErr w:type="gramEnd"/>
      <w:r w:rsidRPr="000140B3">
        <w:rPr>
          <w:rFonts w:ascii="Times New Roman" w:hAnsi="Times New Roman"/>
          <w:szCs w:val="32"/>
        </w:rPr>
        <w:t>連動香港經濟甚深。然因中國大陸對香港之管理日漸緊密，造成香港金融重鎮逐漸</w:t>
      </w:r>
      <w:r w:rsidR="00A87E01" w:rsidRPr="000140B3">
        <w:rPr>
          <w:rFonts w:ascii="Times New Roman" w:hAnsi="Times New Roman" w:hint="eastAsia"/>
          <w:szCs w:val="32"/>
        </w:rPr>
        <w:t>褪</w:t>
      </w:r>
      <w:r w:rsidRPr="000140B3">
        <w:rPr>
          <w:rFonts w:ascii="Times New Roman" w:hAnsi="Times New Roman"/>
          <w:szCs w:val="32"/>
        </w:rPr>
        <w:t>色，部分國際組織統計資料已將香港併入中國大陸。雖金管會稱兩地法規</w:t>
      </w:r>
      <w:proofErr w:type="gramStart"/>
      <w:r w:rsidRPr="000140B3">
        <w:rPr>
          <w:rFonts w:ascii="Times New Roman" w:hAnsi="Times New Roman"/>
          <w:szCs w:val="32"/>
        </w:rPr>
        <w:t>之暴險限額</w:t>
      </w:r>
      <w:proofErr w:type="gramEnd"/>
      <w:r w:rsidRPr="000140B3">
        <w:rPr>
          <w:rFonts w:ascii="Times New Roman" w:hAnsi="Times New Roman"/>
          <w:szCs w:val="32"/>
        </w:rPr>
        <w:t>、投資條件</w:t>
      </w:r>
      <w:proofErr w:type="gramStart"/>
      <w:r w:rsidRPr="000140B3">
        <w:rPr>
          <w:rFonts w:ascii="Times New Roman" w:hAnsi="Times New Roman"/>
          <w:szCs w:val="32"/>
        </w:rPr>
        <w:t>或暴險部位</w:t>
      </w:r>
      <w:proofErr w:type="gramEnd"/>
      <w:r w:rsidRPr="000140B3">
        <w:rPr>
          <w:rFonts w:ascii="Times New Roman" w:hAnsi="Times New Roman"/>
          <w:szCs w:val="32"/>
        </w:rPr>
        <w:t>公開揭露之規範不同，</w:t>
      </w:r>
      <w:r w:rsidRPr="000140B3">
        <w:rPr>
          <w:rFonts w:ascii="Times New Roman" w:hAnsi="Times New Roman"/>
        </w:rPr>
        <w:t>且其後</w:t>
      </w:r>
      <w:proofErr w:type="gramStart"/>
      <w:r w:rsidRPr="000140B3">
        <w:rPr>
          <w:rFonts w:ascii="Times New Roman" w:hAnsi="Times New Roman"/>
        </w:rPr>
        <w:t>臺</w:t>
      </w:r>
      <w:proofErr w:type="gramEnd"/>
      <w:r w:rsidRPr="000140B3">
        <w:rPr>
          <w:rFonts w:ascii="Times New Roman" w:hAnsi="Times New Roman"/>
        </w:rPr>
        <w:t>事務多在臺灣處理，</w:t>
      </w:r>
      <w:proofErr w:type="gramStart"/>
      <w:r w:rsidRPr="000140B3">
        <w:rPr>
          <w:rFonts w:ascii="Times New Roman" w:hAnsi="Times New Roman"/>
        </w:rPr>
        <w:t>爰</w:t>
      </w:r>
      <w:proofErr w:type="gramEnd"/>
      <w:r w:rsidRPr="000140B3">
        <w:rPr>
          <w:rFonts w:ascii="Times New Roman" w:hAnsi="Times New Roman"/>
        </w:rPr>
        <w:t>倘若香</w:t>
      </w:r>
      <w:r w:rsidRPr="000140B3">
        <w:rPr>
          <w:rFonts w:ascii="Times New Roman" w:hAnsi="Times New Roman"/>
        </w:rPr>
        <w:lastRenderedPageBreak/>
        <w:t>港政經情勢發生變動，短期對國銀在港營運應不至有重大影響。惟該會亦稱</w:t>
      </w:r>
      <w:proofErr w:type="gramStart"/>
      <w:r w:rsidRPr="000140B3">
        <w:rPr>
          <w:rFonts w:ascii="Times New Roman" w:hAnsi="Times New Roman"/>
        </w:rPr>
        <w:t>臺</w:t>
      </w:r>
      <w:proofErr w:type="gramEnd"/>
      <w:r w:rsidRPr="000140B3">
        <w:rPr>
          <w:rFonts w:ascii="Times New Roman" w:hAnsi="Times New Roman"/>
        </w:rPr>
        <w:t>商常以香港作為資金調度中心，且為國銀香港分支機構之主要客源，倘香港之國際金融中心地位動搖，將影響</w:t>
      </w:r>
      <w:proofErr w:type="gramStart"/>
      <w:r w:rsidRPr="000140B3">
        <w:rPr>
          <w:rFonts w:ascii="Times New Roman" w:hAnsi="Times New Roman"/>
        </w:rPr>
        <w:t>臺</w:t>
      </w:r>
      <w:proofErr w:type="gramEnd"/>
      <w:r w:rsidRPr="000140B3">
        <w:rPr>
          <w:rFonts w:ascii="Times New Roman" w:hAnsi="Times New Roman"/>
        </w:rPr>
        <w:t>商相關財務規劃。</w:t>
      </w:r>
      <w:r w:rsidRPr="000140B3">
        <w:rPr>
          <w:rFonts w:ascii="Times New Roman" w:hAnsi="Times New Roman"/>
          <w:szCs w:val="32"/>
        </w:rPr>
        <w:t>為有效管控我國金融業於香港地區</w:t>
      </w:r>
      <w:proofErr w:type="gramStart"/>
      <w:r w:rsidRPr="000140B3">
        <w:rPr>
          <w:rFonts w:ascii="Times New Roman" w:hAnsi="Times New Roman"/>
          <w:szCs w:val="32"/>
        </w:rPr>
        <w:t>之暴險</w:t>
      </w:r>
      <w:proofErr w:type="gramEnd"/>
      <w:r w:rsidRPr="000140B3">
        <w:rPr>
          <w:rFonts w:ascii="Times New Roman" w:hAnsi="Times New Roman"/>
          <w:szCs w:val="32"/>
        </w:rPr>
        <w:t>，</w:t>
      </w:r>
      <w:r w:rsidRPr="000140B3">
        <w:rPr>
          <w:rFonts w:ascii="Times New Roman" w:hAnsi="Times New Roman"/>
        </w:rPr>
        <w:t>金管會允應持續關注中國大陸官方及企業對香港地區政經環境之影響，密切注意國銀香港分支機構營運情</w:t>
      </w:r>
      <w:proofErr w:type="gramStart"/>
      <w:r w:rsidRPr="000140B3">
        <w:rPr>
          <w:rFonts w:ascii="Times New Roman" w:hAnsi="Times New Roman"/>
        </w:rPr>
        <w:t>情</w:t>
      </w:r>
      <w:proofErr w:type="gramEnd"/>
      <w:r w:rsidRPr="000140B3">
        <w:rPr>
          <w:rFonts w:ascii="Times New Roman" w:hAnsi="Times New Roman"/>
        </w:rPr>
        <w:t>，並積極督促金融業者強化香港地區之風險控管措施。</w:t>
      </w:r>
    </w:p>
    <w:p w:rsidR="0064621B" w:rsidRPr="000140B3" w:rsidRDefault="0064621B" w:rsidP="0064621B">
      <w:pPr>
        <w:pStyle w:val="3"/>
        <w:rPr>
          <w:rFonts w:ascii="Times New Roman" w:hAnsi="Times New Roman"/>
        </w:rPr>
      </w:pPr>
      <w:r w:rsidRPr="000140B3">
        <w:rPr>
          <w:rFonts w:ascii="Times New Roman" w:hAnsi="Times New Roman"/>
        </w:rPr>
        <w:t>綜上，</w:t>
      </w:r>
      <w:r w:rsidR="0008226F" w:rsidRPr="000140B3">
        <w:rPr>
          <w:rFonts w:ascii="Times New Roman" w:hAnsi="Times New Roman"/>
        </w:rPr>
        <w:t>香港是全球最大的離岸人民幣結算中心，占全球人民幣支付交易約</w:t>
      </w:r>
      <w:r w:rsidR="0008226F" w:rsidRPr="000140B3">
        <w:rPr>
          <w:rFonts w:ascii="Times New Roman" w:hAnsi="Times New Roman"/>
        </w:rPr>
        <w:t>70%</w:t>
      </w:r>
      <w:r w:rsidR="0008226F" w:rsidRPr="000140B3">
        <w:rPr>
          <w:rFonts w:ascii="Times New Roman" w:hAnsi="Times New Roman"/>
        </w:rPr>
        <w:t>。香港也是中國大陸企業重要的離岸集資中心。截至</w:t>
      </w:r>
      <w:r w:rsidR="0008226F" w:rsidRPr="000140B3">
        <w:rPr>
          <w:rFonts w:ascii="Times New Roman" w:hAnsi="Times New Roman"/>
        </w:rPr>
        <w:t>2021</w:t>
      </w:r>
      <w:r w:rsidR="0008226F" w:rsidRPr="000140B3">
        <w:rPr>
          <w:rFonts w:ascii="Times New Roman" w:hAnsi="Times New Roman"/>
        </w:rPr>
        <w:t>年底，在香港上市的中國大陸企業有</w:t>
      </w:r>
      <w:r w:rsidR="0008226F" w:rsidRPr="000140B3">
        <w:rPr>
          <w:rFonts w:ascii="Times New Roman" w:hAnsi="Times New Roman"/>
        </w:rPr>
        <w:t>1,455</w:t>
      </w:r>
      <w:r w:rsidR="0008226F" w:rsidRPr="000140B3">
        <w:rPr>
          <w:rFonts w:ascii="Times New Roman" w:hAnsi="Times New Roman"/>
        </w:rPr>
        <w:t>家，其中包括</w:t>
      </w:r>
      <w:r w:rsidR="0008226F" w:rsidRPr="000140B3">
        <w:rPr>
          <w:rFonts w:ascii="Times New Roman" w:hAnsi="Times New Roman"/>
        </w:rPr>
        <w:t>H</w:t>
      </w:r>
      <w:r w:rsidR="0008226F" w:rsidRPr="000140B3">
        <w:rPr>
          <w:rFonts w:ascii="Times New Roman" w:hAnsi="Times New Roman"/>
        </w:rPr>
        <w:t>股、紅籌股及民營企業，總市值約為</w:t>
      </w:r>
      <w:r w:rsidR="0008226F" w:rsidRPr="000140B3">
        <w:rPr>
          <w:rFonts w:ascii="Times New Roman" w:hAnsi="Times New Roman"/>
        </w:rPr>
        <w:t>4.3</w:t>
      </w:r>
      <w:r w:rsidR="0008226F" w:rsidRPr="000140B3">
        <w:rPr>
          <w:rFonts w:ascii="Times New Roman" w:hAnsi="Times New Roman"/>
        </w:rPr>
        <w:t>兆美元，占市場總值的</w:t>
      </w:r>
      <w:r w:rsidR="0008226F" w:rsidRPr="000140B3">
        <w:rPr>
          <w:rFonts w:ascii="Times New Roman" w:hAnsi="Times New Roman"/>
        </w:rPr>
        <w:t>79</w:t>
      </w:r>
      <w:r w:rsidR="0008226F" w:rsidRPr="000140B3">
        <w:rPr>
          <w:rFonts w:ascii="Times New Roman" w:hAnsi="Times New Roman" w:hint="eastAsia"/>
        </w:rPr>
        <w:t>%</w:t>
      </w:r>
      <w:r w:rsidR="0008226F" w:rsidRPr="000140B3">
        <w:rPr>
          <w:rStyle w:val="aff4"/>
          <w:rFonts w:ascii="Times New Roman" w:hAnsi="Times New Roman"/>
        </w:rPr>
        <w:footnoteReference w:id="20"/>
      </w:r>
      <w:r w:rsidR="0008226F" w:rsidRPr="000140B3">
        <w:rPr>
          <w:rFonts w:ascii="Times New Roman" w:hAnsi="Times New Roman"/>
        </w:rPr>
        <w:t>。故</w:t>
      </w:r>
      <w:r w:rsidR="0008226F" w:rsidRPr="000140B3">
        <w:rPr>
          <w:rFonts w:ascii="Times New Roman" w:hAnsi="Times New Roman"/>
          <w:szCs w:val="32"/>
        </w:rPr>
        <w:t>中國大陸企業營運良</w:t>
      </w:r>
      <w:proofErr w:type="gramStart"/>
      <w:r w:rsidR="0008226F" w:rsidRPr="000140B3">
        <w:rPr>
          <w:rFonts w:ascii="Times New Roman" w:hAnsi="Times New Roman"/>
          <w:szCs w:val="32"/>
        </w:rPr>
        <w:t>窳</w:t>
      </w:r>
      <w:proofErr w:type="gramEnd"/>
      <w:r w:rsidR="0008226F" w:rsidRPr="000140B3">
        <w:rPr>
          <w:rFonts w:ascii="Times New Roman" w:hAnsi="Times New Roman"/>
          <w:szCs w:val="32"/>
        </w:rPr>
        <w:t>連動香港經濟甚深。我國金融業於香港</w:t>
      </w:r>
      <w:proofErr w:type="gramStart"/>
      <w:r w:rsidR="0008226F" w:rsidRPr="000140B3">
        <w:rPr>
          <w:rFonts w:ascii="Times New Roman" w:hAnsi="Times New Roman"/>
          <w:szCs w:val="32"/>
        </w:rPr>
        <w:t>之暴險金額</w:t>
      </w:r>
      <w:proofErr w:type="gramEnd"/>
      <w:r w:rsidR="0008226F" w:rsidRPr="000140B3">
        <w:rPr>
          <w:rFonts w:ascii="Times New Roman" w:hAnsi="Times New Roman"/>
          <w:szCs w:val="32"/>
        </w:rPr>
        <w:t>，除銀行業稍低於中國大陸</w:t>
      </w:r>
      <w:proofErr w:type="gramStart"/>
      <w:r w:rsidR="0008226F" w:rsidRPr="000140B3">
        <w:rPr>
          <w:rFonts w:ascii="Times New Roman" w:hAnsi="Times New Roman"/>
          <w:szCs w:val="32"/>
        </w:rPr>
        <w:t>之暴險金額</w:t>
      </w:r>
      <w:proofErr w:type="gramEnd"/>
      <w:r w:rsidR="0008226F" w:rsidRPr="000140B3">
        <w:rPr>
          <w:rFonts w:ascii="Times New Roman" w:hAnsi="Times New Roman"/>
          <w:szCs w:val="32"/>
        </w:rPr>
        <w:t>外，保險業及證券期貨</w:t>
      </w:r>
      <w:proofErr w:type="gramStart"/>
      <w:r w:rsidR="0008226F" w:rsidRPr="000140B3">
        <w:rPr>
          <w:rFonts w:ascii="Times New Roman" w:hAnsi="Times New Roman"/>
          <w:szCs w:val="32"/>
        </w:rPr>
        <w:t>業其暴險</w:t>
      </w:r>
      <w:proofErr w:type="gramEnd"/>
      <w:r w:rsidR="0008226F" w:rsidRPr="000140B3">
        <w:rPr>
          <w:rFonts w:ascii="Times New Roman" w:hAnsi="Times New Roman"/>
          <w:szCs w:val="32"/>
        </w:rPr>
        <w:t>金額均高於中國大陸，然因中國大陸對香港地區管理日漸緊密，造成香港金融重鎮逐漸</w:t>
      </w:r>
      <w:r w:rsidR="00A87E01" w:rsidRPr="000140B3">
        <w:rPr>
          <w:rFonts w:ascii="Times New Roman" w:hAnsi="Times New Roman" w:hint="eastAsia"/>
          <w:szCs w:val="32"/>
        </w:rPr>
        <w:t>褪</w:t>
      </w:r>
      <w:r w:rsidR="0008226F" w:rsidRPr="000140B3">
        <w:rPr>
          <w:rFonts w:ascii="Times New Roman" w:hAnsi="Times New Roman"/>
          <w:szCs w:val="32"/>
        </w:rPr>
        <w:t>色。為有效管控我國金融業於香港地區</w:t>
      </w:r>
      <w:proofErr w:type="gramStart"/>
      <w:r w:rsidR="0008226F" w:rsidRPr="000140B3">
        <w:rPr>
          <w:rFonts w:ascii="Times New Roman" w:hAnsi="Times New Roman"/>
          <w:szCs w:val="32"/>
        </w:rPr>
        <w:t>之暴險</w:t>
      </w:r>
      <w:proofErr w:type="gramEnd"/>
      <w:r w:rsidR="0008226F" w:rsidRPr="000140B3">
        <w:rPr>
          <w:rFonts w:ascii="Times New Roman" w:hAnsi="Times New Roman"/>
          <w:szCs w:val="32"/>
        </w:rPr>
        <w:t>，</w:t>
      </w:r>
      <w:r w:rsidR="0008226F" w:rsidRPr="000140B3">
        <w:rPr>
          <w:rFonts w:ascii="Times New Roman" w:hAnsi="Times New Roman"/>
        </w:rPr>
        <w:t>金管會允應持續關注中國大陸官方及企業對香港地區政經環境之影響，密切注意國銀香港分支機構營運情</w:t>
      </w:r>
      <w:r w:rsidR="0008226F" w:rsidRPr="000140B3">
        <w:rPr>
          <w:rFonts w:ascii="Times New Roman" w:hAnsi="Times New Roman" w:hint="eastAsia"/>
        </w:rPr>
        <w:t>形</w:t>
      </w:r>
      <w:r w:rsidR="0008226F" w:rsidRPr="000140B3">
        <w:rPr>
          <w:rFonts w:ascii="Times New Roman" w:hAnsi="Times New Roman"/>
        </w:rPr>
        <w:t>，並積極督促</w:t>
      </w:r>
      <w:r w:rsidR="0008226F" w:rsidRPr="000140B3">
        <w:rPr>
          <w:rFonts w:ascii="Times New Roman" w:hAnsi="Times New Roman" w:hint="eastAsia"/>
        </w:rPr>
        <w:t>國內</w:t>
      </w:r>
      <w:r w:rsidR="0008226F" w:rsidRPr="000140B3">
        <w:rPr>
          <w:rFonts w:ascii="Times New Roman" w:hAnsi="Times New Roman"/>
        </w:rPr>
        <w:t>金融業者強化香港地區之風險控管措施。</w:t>
      </w:r>
    </w:p>
    <w:p w:rsidR="0064621B" w:rsidRPr="000140B3" w:rsidRDefault="0064621B" w:rsidP="0064621B">
      <w:pPr>
        <w:widowControl/>
        <w:overflowPunct/>
        <w:autoSpaceDE/>
        <w:autoSpaceDN/>
        <w:jc w:val="left"/>
        <w:rPr>
          <w:rFonts w:ascii="Times New Roman"/>
          <w:bCs/>
          <w:kern w:val="32"/>
          <w:szCs w:val="52"/>
        </w:rPr>
      </w:pPr>
      <w:r w:rsidRPr="000140B3">
        <w:rPr>
          <w:rFonts w:ascii="Times New Roman"/>
        </w:rPr>
        <w:br w:type="page"/>
      </w:r>
    </w:p>
    <w:p w:rsidR="0064621B" w:rsidRPr="000140B3" w:rsidRDefault="0064621B" w:rsidP="0064621B">
      <w:pPr>
        <w:pStyle w:val="1"/>
        <w:rPr>
          <w:rFonts w:ascii="Times New Roman" w:hAnsi="Times New Roman"/>
        </w:rPr>
      </w:pPr>
      <w:r w:rsidRPr="000140B3">
        <w:rPr>
          <w:rFonts w:ascii="Times New Roman" w:hAnsi="Times New Roman"/>
        </w:rPr>
        <w:lastRenderedPageBreak/>
        <w:t>處理辦法：</w:t>
      </w:r>
      <w:r w:rsidRPr="000140B3">
        <w:rPr>
          <w:rFonts w:ascii="Times New Roman" w:hAnsi="Times New Roman"/>
        </w:rPr>
        <w:t xml:space="preserve"> </w:t>
      </w:r>
    </w:p>
    <w:p w:rsidR="00661A08" w:rsidRPr="000140B3" w:rsidRDefault="00661A08" w:rsidP="00661A08">
      <w:pPr>
        <w:pStyle w:val="2"/>
        <w:numPr>
          <w:ilvl w:val="1"/>
          <w:numId w:val="14"/>
        </w:numPr>
        <w:rPr>
          <w:rFonts w:ascii="Times New Roman" w:hAnsi="Times New Roman"/>
        </w:rPr>
      </w:pPr>
      <w:r w:rsidRPr="000140B3">
        <w:rPr>
          <w:rFonts w:ascii="Times New Roman" w:hAnsi="Times New Roman" w:hint="eastAsia"/>
        </w:rPr>
        <w:t>抄調查意見，函請金融監督管理委員會</w:t>
      </w:r>
      <w:proofErr w:type="gramStart"/>
      <w:r w:rsidRPr="000140B3">
        <w:rPr>
          <w:rFonts w:ascii="Times New Roman" w:hAnsi="Times New Roman" w:hint="eastAsia"/>
        </w:rPr>
        <w:t>研</w:t>
      </w:r>
      <w:proofErr w:type="gramEnd"/>
      <w:r w:rsidRPr="000140B3">
        <w:rPr>
          <w:rFonts w:ascii="Times New Roman" w:hAnsi="Times New Roman" w:hint="eastAsia"/>
        </w:rPr>
        <w:t>處</w:t>
      </w:r>
      <w:proofErr w:type="gramStart"/>
      <w:r w:rsidRPr="000140B3">
        <w:rPr>
          <w:rFonts w:ascii="Times New Roman" w:hAnsi="Times New Roman" w:hint="eastAsia"/>
        </w:rPr>
        <w:t>見復。</w:t>
      </w:r>
      <w:proofErr w:type="gramEnd"/>
    </w:p>
    <w:p w:rsidR="0064621B" w:rsidRPr="000140B3" w:rsidRDefault="00661A08" w:rsidP="00661A08">
      <w:pPr>
        <w:pStyle w:val="2"/>
        <w:numPr>
          <w:ilvl w:val="1"/>
          <w:numId w:val="14"/>
        </w:numPr>
        <w:rPr>
          <w:rFonts w:ascii="Times New Roman" w:hAnsi="Times New Roman"/>
        </w:rPr>
      </w:pPr>
      <w:r w:rsidRPr="000140B3">
        <w:rPr>
          <w:rFonts w:ascii="Times New Roman" w:hAnsi="Times New Roman" w:hint="eastAsia"/>
        </w:rPr>
        <w:t>調查報告之案由、調查意見及處理辦法上網公布。</w:t>
      </w:r>
    </w:p>
    <w:p w:rsidR="0064621B" w:rsidRPr="000140B3" w:rsidRDefault="0064621B" w:rsidP="0064621B">
      <w:pPr>
        <w:pStyle w:val="2"/>
        <w:numPr>
          <w:ilvl w:val="0"/>
          <w:numId w:val="0"/>
        </w:numPr>
        <w:ind w:left="1021"/>
        <w:rPr>
          <w:rFonts w:ascii="Times New Roman" w:hAnsi="Times New Roman"/>
        </w:rPr>
      </w:pPr>
    </w:p>
    <w:p w:rsidR="0064621B" w:rsidRPr="000140B3" w:rsidRDefault="0064621B" w:rsidP="0064621B">
      <w:pPr>
        <w:pStyle w:val="ac"/>
        <w:spacing w:beforeLines="50" w:before="228" w:afterLines="100" w:after="457"/>
        <w:ind w:leftChars="1100" w:left="5520" w:right="340" w:hanging="1778"/>
        <w:rPr>
          <w:rFonts w:ascii="Times New Roman"/>
          <w:b w:val="0"/>
          <w:bCs/>
          <w:snapToGrid/>
          <w:spacing w:val="12"/>
          <w:kern w:val="0"/>
          <w:sz w:val="40"/>
        </w:rPr>
      </w:pPr>
    </w:p>
    <w:p w:rsidR="0064621B" w:rsidRPr="000140B3" w:rsidRDefault="0064621B" w:rsidP="0064621B">
      <w:pPr>
        <w:pStyle w:val="ac"/>
        <w:spacing w:beforeLines="50" w:before="228" w:afterLines="100" w:after="457"/>
        <w:ind w:leftChars="1100" w:left="5519" w:right="340" w:hanging="1777"/>
        <w:rPr>
          <w:rFonts w:ascii="Times New Roman"/>
          <w:b w:val="0"/>
          <w:bCs/>
          <w:snapToGrid/>
          <w:spacing w:val="12"/>
          <w:kern w:val="0"/>
          <w:sz w:val="40"/>
        </w:rPr>
      </w:pPr>
      <w:r w:rsidRPr="000140B3">
        <w:rPr>
          <w:rFonts w:ascii="Times New Roman"/>
          <w:b w:val="0"/>
          <w:bCs/>
          <w:snapToGrid/>
          <w:spacing w:val="12"/>
          <w:kern w:val="0"/>
          <w:sz w:val="40"/>
        </w:rPr>
        <w:t>調查委員：</w:t>
      </w:r>
      <w:r w:rsidR="00661A08" w:rsidRPr="000140B3">
        <w:rPr>
          <w:rFonts w:ascii="Times New Roman" w:hint="eastAsia"/>
          <w:b w:val="0"/>
          <w:bCs/>
          <w:snapToGrid/>
          <w:spacing w:val="12"/>
          <w:kern w:val="0"/>
          <w:sz w:val="40"/>
        </w:rPr>
        <w:t>林文程</w:t>
      </w:r>
    </w:p>
    <w:p w:rsidR="00661A08" w:rsidRPr="000140B3" w:rsidRDefault="00661A08" w:rsidP="00661A08">
      <w:pPr>
        <w:pStyle w:val="ac"/>
        <w:spacing w:beforeLines="50" w:before="228" w:afterLines="100" w:after="457"/>
        <w:ind w:leftChars="1500" w:left="5102" w:rightChars="100" w:right="340" w:firstLine="861"/>
        <w:rPr>
          <w:rFonts w:ascii="Times New Roman"/>
          <w:b w:val="0"/>
          <w:bCs/>
          <w:snapToGrid/>
          <w:spacing w:val="12"/>
          <w:kern w:val="0"/>
          <w:sz w:val="40"/>
        </w:rPr>
      </w:pPr>
      <w:r w:rsidRPr="000140B3">
        <w:rPr>
          <w:rFonts w:ascii="Times New Roman" w:hint="eastAsia"/>
          <w:b w:val="0"/>
          <w:bCs/>
          <w:snapToGrid/>
          <w:spacing w:val="12"/>
          <w:kern w:val="0"/>
          <w:sz w:val="40"/>
        </w:rPr>
        <w:t>賴振昌</w:t>
      </w:r>
    </w:p>
    <w:p w:rsidR="00661A08" w:rsidRPr="000140B3" w:rsidRDefault="00661A08" w:rsidP="00661A08">
      <w:pPr>
        <w:pStyle w:val="ac"/>
        <w:spacing w:beforeLines="50" w:before="228" w:afterLines="100" w:after="457"/>
        <w:ind w:leftChars="1500" w:left="5102" w:rightChars="100" w:right="340" w:firstLine="861"/>
        <w:rPr>
          <w:rFonts w:ascii="Times New Roman"/>
          <w:b w:val="0"/>
          <w:bCs/>
          <w:snapToGrid/>
          <w:spacing w:val="12"/>
          <w:kern w:val="0"/>
          <w:sz w:val="40"/>
        </w:rPr>
      </w:pPr>
      <w:r w:rsidRPr="000140B3">
        <w:rPr>
          <w:rFonts w:ascii="Times New Roman" w:hint="eastAsia"/>
          <w:b w:val="0"/>
          <w:bCs/>
          <w:snapToGrid/>
          <w:spacing w:val="12"/>
          <w:kern w:val="0"/>
          <w:sz w:val="40"/>
        </w:rPr>
        <w:t>施錦芳</w:t>
      </w:r>
    </w:p>
    <w:p w:rsidR="0064621B" w:rsidRPr="000140B3" w:rsidRDefault="0064621B" w:rsidP="0064621B">
      <w:pPr>
        <w:pStyle w:val="ac"/>
        <w:spacing w:before="0" w:after="0"/>
        <w:ind w:leftChars="1100" w:left="5424" w:right="340" w:hanging="1682"/>
        <w:rPr>
          <w:rFonts w:ascii="Times New Roman"/>
          <w:b w:val="0"/>
          <w:bCs/>
          <w:snapToGrid/>
          <w:spacing w:val="0"/>
          <w:kern w:val="0"/>
          <w:sz w:val="40"/>
        </w:rPr>
      </w:pPr>
    </w:p>
    <w:p w:rsidR="0064621B" w:rsidRPr="000140B3" w:rsidRDefault="0064621B" w:rsidP="0064621B">
      <w:pPr>
        <w:pStyle w:val="ac"/>
        <w:spacing w:before="0" w:after="0"/>
        <w:ind w:leftChars="1100" w:left="5424" w:right="340" w:hanging="1682"/>
        <w:rPr>
          <w:rFonts w:ascii="Times New Roman"/>
          <w:b w:val="0"/>
          <w:bCs/>
          <w:snapToGrid/>
          <w:spacing w:val="0"/>
          <w:kern w:val="0"/>
          <w:sz w:val="40"/>
        </w:rPr>
      </w:pPr>
    </w:p>
    <w:p w:rsidR="0064621B" w:rsidRPr="000140B3" w:rsidRDefault="0064621B" w:rsidP="0064621B">
      <w:pPr>
        <w:pStyle w:val="ac"/>
        <w:spacing w:before="0" w:after="0"/>
        <w:ind w:leftChars="1100" w:left="5424" w:right="340" w:hanging="1682"/>
        <w:rPr>
          <w:rFonts w:ascii="Times New Roman"/>
          <w:b w:val="0"/>
          <w:bCs/>
          <w:snapToGrid/>
          <w:spacing w:val="0"/>
          <w:kern w:val="0"/>
          <w:sz w:val="40"/>
        </w:rPr>
      </w:pPr>
    </w:p>
    <w:p w:rsidR="0064621B" w:rsidRPr="000140B3" w:rsidRDefault="0064621B" w:rsidP="0064621B">
      <w:pPr>
        <w:pStyle w:val="af2"/>
        <w:ind w:left="680" w:hanging="680"/>
        <w:rPr>
          <w:rFonts w:ascii="Times New Roman"/>
          <w:bCs/>
        </w:rPr>
      </w:pPr>
      <w:r w:rsidRPr="000140B3">
        <w:rPr>
          <w:rFonts w:ascii="Times New Roman"/>
          <w:bCs/>
        </w:rPr>
        <w:t>中</w:t>
      </w:r>
      <w:r w:rsidRPr="000140B3">
        <w:rPr>
          <w:rFonts w:ascii="Times New Roman"/>
          <w:bCs/>
        </w:rPr>
        <w:t xml:space="preserve">  </w:t>
      </w:r>
      <w:r w:rsidRPr="000140B3">
        <w:rPr>
          <w:rFonts w:ascii="Times New Roman"/>
          <w:bCs/>
        </w:rPr>
        <w:t>華</w:t>
      </w:r>
      <w:r w:rsidRPr="000140B3">
        <w:rPr>
          <w:rFonts w:ascii="Times New Roman"/>
          <w:bCs/>
        </w:rPr>
        <w:t xml:space="preserve">  </w:t>
      </w:r>
      <w:r w:rsidRPr="000140B3">
        <w:rPr>
          <w:rFonts w:ascii="Times New Roman"/>
          <w:bCs/>
        </w:rPr>
        <w:t>民</w:t>
      </w:r>
      <w:r w:rsidRPr="000140B3">
        <w:rPr>
          <w:rFonts w:ascii="Times New Roman"/>
          <w:bCs/>
        </w:rPr>
        <w:t xml:space="preserve">  </w:t>
      </w:r>
      <w:r w:rsidRPr="000140B3">
        <w:rPr>
          <w:rFonts w:ascii="Times New Roman"/>
          <w:bCs/>
        </w:rPr>
        <w:t xml:space="preserve">國　</w:t>
      </w:r>
      <w:r w:rsidRPr="000140B3">
        <w:rPr>
          <w:rFonts w:ascii="Times New Roman"/>
          <w:bCs/>
        </w:rPr>
        <w:t>113</w:t>
      </w:r>
      <w:r w:rsidRPr="000140B3">
        <w:rPr>
          <w:rFonts w:ascii="Times New Roman"/>
          <w:bCs/>
        </w:rPr>
        <w:t xml:space="preserve">　年　</w:t>
      </w:r>
      <w:r w:rsidR="00661A08" w:rsidRPr="000140B3">
        <w:rPr>
          <w:rFonts w:ascii="Times New Roman" w:hint="eastAsia"/>
          <w:bCs/>
        </w:rPr>
        <w:t>8</w:t>
      </w:r>
      <w:r w:rsidRPr="000140B3">
        <w:rPr>
          <w:rFonts w:ascii="Times New Roman"/>
          <w:bCs/>
        </w:rPr>
        <w:t xml:space="preserve">　月　</w:t>
      </w:r>
      <w:r w:rsidR="00661A08" w:rsidRPr="000140B3">
        <w:rPr>
          <w:rFonts w:ascii="Times New Roman" w:hint="eastAsia"/>
          <w:bCs/>
        </w:rPr>
        <w:t>7</w:t>
      </w:r>
      <w:r w:rsidRPr="000140B3">
        <w:rPr>
          <w:rFonts w:ascii="Times New Roman"/>
          <w:bCs/>
        </w:rPr>
        <w:t xml:space="preserve">　日</w:t>
      </w:r>
    </w:p>
    <w:p w:rsidR="0064621B" w:rsidRPr="000140B3" w:rsidRDefault="0064621B" w:rsidP="0064621B">
      <w:pPr>
        <w:pStyle w:val="af3"/>
        <w:kinsoku/>
        <w:autoSpaceDE w:val="0"/>
        <w:spacing w:beforeLines="50" w:before="228"/>
        <w:ind w:left="1020" w:hanging="1020"/>
        <w:rPr>
          <w:rFonts w:ascii="Times New Roman"/>
          <w:bCs/>
        </w:rPr>
      </w:pPr>
      <w:proofErr w:type="gramStart"/>
      <w:r w:rsidRPr="000140B3">
        <w:rPr>
          <w:rFonts w:ascii="Times New Roman"/>
          <w:bCs/>
        </w:rPr>
        <w:t>案名</w:t>
      </w:r>
      <w:proofErr w:type="gramEnd"/>
      <w:r w:rsidRPr="000140B3">
        <w:rPr>
          <w:rFonts w:ascii="Times New Roman"/>
          <w:bCs/>
        </w:rPr>
        <w:t>：中國大陸金融</w:t>
      </w:r>
      <w:proofErr w:type="gramStart"/>
      <w:r w:rsidRPr="000140B3">
        <w:rPr>
          <w:rFonts w:ascii="Times New Roman"/>
          <w:bCs/>
        </w:rPr>
        <w:t>暴險案</w:t>
      </w:r>
      <w:proofErr w:type="gramEnd"/>
      <w:r w:rsidRPr="000140B3">
        <w:rPr>
          <w:rFonts w:ascii="Times New Roman"/>
          <w:bCs/>
        </w:rPr>
        <w:t>。</w:t>
      </w:r>
    </w:p>
    <w:p w:rsidR="0064621B" w:rsidRPr="000140B3" w:rsidRDefault="0064621B" w:rsidP="0064621B">
      <w:pPr>
        <w:pStyle w:val="1"/>
        <w:numPr>
          <w:ilvl w:val="0"/>
          <w:numId w:val="0"/>
        </w:numPr>
        <w:rPr>
          <w:rFonts w:ascii="Times New Roman" w:hAnsi="Times New Roman"/>
        </w:rPr>
      </w:pPr>
      <w:r w:rsidRPr="000140B3">
        <w:rPr>
          <w:rFonts w:ascii="Times New Roman" w:hAnsi="Times New Roman"/>
        </w:rPr>
        <w:t>關鍵字：</w:t>
      </w:r>
      <w:proofErr w:type="gramStart"/>
      <w:r w:rsidRPr="000140B3">
        <w:rPr>
          <w:rFonts w:ascii="Times New Roman" w:hAnsi="Times New Roman"/>
        </w:rPr>
        <w:t>金融業暴險</w:t>
      </w:r>
      <w:proofErr w:type="gramEnd"/>
      <w:r w:rsidRPr="000140B3">
        <w:rPr>
          <w:rFonts w:ascii="Times New Roman" w:hAnsi="Times New Roman"/>
        </w:rPr>
        <w:t>、三道紅線、碧</w:t>
      </w:r>
      <w:proofErr w:type="gramStart"/>
      <w:r w:rsidRPr="000140B3">
        <w:rPr>
          <w:rFonts w:ascii="Times New Roman" w:hAnsi="Times New Roman"/>
        </w:rPr>
        <w:t>桂園</w:t>
      </w:r>
      <w:proofErr w:type="gramEnd"/>
      <w:r w:rsidRPr="000140B3">
        <w:rPr>
          <w:rFonts w:ascii="Times New Roman" w:hAnsi="Times New Roman"/>
        </w:rPr>
        <w:t>、</w:t>
      </w:r>
      <w:proofErr w:type="gramStart"/>
      <w:r w:rsidR="00011A7F" w:rsidRPr="000140B3">
        <w:rPr>
          <w:rFonts w:ascii="Times New Roman" w:hAnsi="Times New Roman"/>
        </w:rPr>
        <w:t>恒</w:t>
      </w:r>
      <w:proofErr w:type="gramEnd"/>
      <w:r w:rsidR="00011A7F" w:rsidRPr="000140B3">
        <w:rPr>
          <w:rFonts w:ascii="Times New Roman" w:hAnsi="Times New Roman"/>
        </w:rPr>
        <w:t>大</w:t>
      </w:r>
      <w:r w:rsidRPr="000140B3">
        <w:rPr>
          <w:rFonts w:ascii="Times New Roman" w:hAnsi="Times New Roman"/>
        </w:rPr>
        <w:t>公司。</w:t>
      </w:r>
    </w:p>
    <w:bookmarkEnd w:id="0"/>
    <w:p w:rsidR="0064621B" w:rsidRPr="000140B3" w:rsidRDefault="0064621B" w:rsidP="0064621B">
      <w:pPr>
        <w:pStyle w:val="af2"/>
        <w:spacing w:line="300" w:lineRule="exact"/>
        <w:ind w:left="680" w:hanging="680"/>
        <w:rPr>
          <w:rFonts w:ascii="Times New Roman"/>
        </w:rPr>
      </w:pPr>
    </w:p>
    <w:sectPr w:rsidR="0064621B" w:rsidRPr="000140B3" w:rsidSect="00C4797D">
      <w:footerReference w:type="default" r:id="rId9"/>
      <w:pgSz w:w="11907" w:h="16840" w:code="9"/>
      <w:pgMar w:top="1701" w:right="1418" w:bottom="1418" w:left="1191"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6E8F" w:rsidRDefault="00946E8F">
      <w:r>
        <w:separator/>
      </w:r>
    </w:p>
  </w:endnote>
  <w:endnote w:type="continuationSeparator" w:id="0">
    <w:p w:rsidR="00946E8F" w:rsidRDefault="00946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2E3"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1574351"/>
      <w:docPartObj>
        <w:docPartGallery w:val="Page Numbers (Bottom of Page)"/>
        <w:docPartUnique/>
      </w:docPartObj>
    </w:sdtPr>
    <w:sdtEndPr/>
    <w:sdtContent>
      <w:p w:rsidR="0055028A" w:rsidRDefault="0055028A">
        <w:pPr>
          <w:pStyle w:val="af6"/>
          <w:jc w:val="center"/>
        </w:pPr>
        <w:r>
          <w:fldChar w:fldCharType="begin"/>
        </w:r>
        <w:r>
          <w:instrText>PAGE   \* MERGEFORMAT</w:instrText>
        </w:r>
        <w:r>
          <w:fldChar w:fldCharType="separate"/>
        </w:r>
        <w:r>
          <w:rPr>
            <w:lang w:val="zh-TW"/>
          </w:rPr>
          <w:t>2</w:t>
        </w:r>
        <w:r>
          <w:fldChar w:fldCharType="end"/>
        </w:r>
      </w:p>
    </w:sdtContent>
  </w:sdt>
  <w:p w:rsidR="0055028A" w:rsidRDefault="0055028A">
    <w:pPr>
      <w:pStyle w:val="aff9"/>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6E8F" w:rsidRDefault="00946E8F">
      <w:r>
        <w:separator/>
      </w:r>
    </w:p>
  </w:footnote>
  <w:footnote w:type="continuationSeparator" w:id="0">
    <w:p w:rsidR="00946E8F" w:rsidRDefault="00946E8F">
      <w:r>
        <w:continuationSeparator/>
      </w:r>
    </w:p>
  </w:footnote>
  <w:footnote w:id="1">
    <w:p w:rsidR="0055028A" w:rsidRPr="00CB138C" w:rsidRDefault="0055028A" w:rsidP="0064621B">
      <w:pPr>
        <w:pStyle w:val="aff2"/>
      </w:pPr>
      <w:r>
        <w:rPr>
          <w:rStyle w:val="aff4"/>
        </w:rPr>
        <w:footnoteRef/>
      </w:r>
      <w:r>
        <w:t xml:space="preserve"> </w:t>
      </w:r>
      <w:r w:rsidRPr="00CB138C">
        <w:rPr>
          <w:rFonts w:hint="eastAsia"/>
        </w:rPr>
        <w:t>投審會112年8月份核准僑外投資、陸資來</w:t>
      </w:r>
      <w:proofErr w:type="gramStart"/>
      <w:r w:rsidRPr="00CB138C">
        <w:rPr>
          <w:rFonts w:hint="eastAsia"/>
        </w:rPr>
        <w:t>臺</w:t>
      </w:r>
      <w:proofErr w:type="gramEnd"/>
      <w:r w:rsidRPr="00CB138C">
        <w:rPr>
          <w:rFonts w:hint="eastAsia"/>
        </w:rPr>
        <w:t>投資、國外投資、對中國大陸投資統計月報</w:t>
      </w:r>
      <w:r>
        <w:rPr>
          <w:rFonts w:hint="eastAsia"/>
        </w:rPr>
        <w:t>。</w:t>
      </w:r>
    </w:p>
  </w:footnote>
  <w:footnote w:id="2">
    <w:p w:rsidR="0055028A" w:rsidRPr="006757D6" w:rsidRDefault="0055028A" w:rsidP="0064621B">
      <w:pPr>
        <w:pStyle w:val="aff2"/>
      </w:pPr>
      <w:r>
        <w:rPr>
          <w:rStyle w:val="aff4"/>
        </w:rPr>
        <w:footnoteRef/>
      </w:r>
      <w:r>
        <w:t xml:space="preserve"> </w:t>
      </w:r>
      <w:r w:rsidRPr="006757D6">
        <w:rPr>
          <w:rFonts w:hint="eastAsia"/>
        </w:rPr>
        <w:t>金管會112年9月14日金</w:t>
      </w:r>
      <w:proofErr w:type="gramStart"/>
      <w:r w:rsidRPr="006757D6">
        <w:rPr>
          <w:rFonts w:hint="eastAsia"/>
        </w:rPr>
        <w:t>管銀法字</w:t>
      </w:r>
      <w:proofErr w:type="gramEnd"/>
      <w:r w:rsidRPr="006757D6">
        <w:rPr>
          <w:rFonts w:hint="eastAsia"/>
        </w:rPr>
        <w:t>第1120146614號函。</w:t>
      </w:r>
    </w:p>
  </w:footnote>
  <w:footnote w:id="3">
    <w:p w:rsidR="0055028A" w:rsidRDefault="0055028A" w:rsidP="0064621B">
      <w:pPr>
        <w:pStyle w:val="aff2"/>
        <w:ind w:left="150" w:hangingChars="68" w:hanging="150"/>
      </w:pPr>
      <w:r>
        <w:rPr>
          <w:rStyle w:val="aff4"/>
        </w:rPr>
        <w:footnoteRef/>
      </w:r>
      <w:r>
        <w:rPr>
          <w:rFonts w:hint="eastAsia"/>
        </w:rPr>
        <w:t xml:space="preserve"> 金管會112年10月30日金</w:t>
      </w:r>
      <w:proofErr w:type="gramStart"/>
      <w:r>
        <w:rPr>
          <w:rFonts w:hint="eastAsia"/>
        </w:rPr>
        <w:t>管銀法字</w:t>
      </w:r>
      <w:proofErr w:type="gramEnd"/>
      <w:r>
        <w:rPr>
          <w:rFonts w:hint="eastAsia"/>
        </w:rPr>
        <w:t>第1120273601號函。</w:t>
      </w:r>
    </w:p>
  </w:footnote>
  <w:footnote w:id="4">
    <w:p w:rsidR="0055028A" w:rsidRPr="006757D6" w:rsidRDefault="0055028A" w:rsidP="0064621B">
      <w:pPr>
        <w:pStyle w:val="aff2"/>
      </w:pPr>
      <w:r>
        <w:rPr>
          <w:rStyle w:val="aff4"/>
        </w:rPr>
        <w:footnoteRef/>
      </w:r>
      <w:r>
        <w:t xml:space="preserve"> </w:t>
      </w:r>
      <w:r>
        <w:rPr>
          <w:rFonts w:hint="eastAsia"/>
        </w:rPr>
        <w:t>金管會</w:t>
      </w:r>
      <w:r w:rsidRPr="006757D6">
        <w:rPr>
          <w:rFonts w:hint="eastAsia"/>
        </w:rPr>
        <w:t>113年3月22日金</w:t>
      </w:r>
      <w:proofErr w:type="gramStart"/>
      <w:r w:rsidRPr="006757D6">
        <w:rPr>
          <w:rFonts w:hint="eastAsia"/>
        </w:rPr>
        <w:t>管銀法字</w:t>
      </w:r>
      <w:proofErr w:type="gramEnd"/>
      <w:r w:rsidRPr="006757D6">
        <w:rPr>
          <w:rFonts w:hint="eastAsia"/>
        </w:rPr>
        <w:t>第1130134151號。</w:t>
      </w:r>
    </w:p>
  </w:footnote>
  <w:footnote w:id="5">
    <w:p w:rsidR="0055028A" w:rsidRPr="00801C36" w:rsidRDefault="0055028A" w:rsidP="0064621B">
      <w:pPr>
        <w:pStyle w:val="aff2"/>
      </w:pPr>
      <w:r>
        <w:rPr>
          <w:rStyle w:val="aff4"/>
        </w:rPr>
        <w:footnoteRef/>
      </w:r>
      <w:r>
        <w:t xml:space="preserve"> </w:t>
      </w:r>
      <w:r>
        <w:rPr>
          <w:rFonts w:hint="eastAsia"/>
          <w:szCs w:val="36"/>
        </w:rPr>
        <w:t>113年7月13日</w:t>
      </w:r>
      <w:r w:rsidRPr="0053195C">
        <w:rPr>
          <w:rFonts w:hAnsi="Arial" w:hint="eastAsia"/>
          <w:szCs w:val="36"/>
        </w:rPr>
        <w:t>經濟日報社論／中國大陸經濟盛衰的虛與實</w:t>
      </w:r>
      <w:r>
        <w:rPr>
          <w:rFonts w:hAnsi="Arial" w:hint="eastAsia"/>
          <w:szCs w:val="36"/>
        </w:rPr>
        <w:t>。</w:t>
      </w:r>
    </w:p>
  </w:footnote>
  <w:footnote w:id="6">
    <w:p w:rsidR="0055028A" w:rsidRDefault="0055028A" w:rsidP="0064621B">
      <w:pPr>
        <w:pStyle w:val="aff2"/>
      </w:pPr>
      <w:r>
        <w:rPr>
          <w:rStyle w:val="aff4"/>
        </w:rPr>
        <w:footnoteRef/>
      </w:r>
      <w:r>
        <w:t xml:space="preserve"> </w:t>
      </w:r>
      <w:r>
        <w:rPr>
          <w:rFonts w:hint="eastAsia"/>
          <w:szCs w:val="36"/>
        </w:rPr>
        <w:t>113年7月13日</w:t>
      </w:r>
      <w:r w:rsidRPr="0053195C">
        <w:rPr>
          <w:rFonts w:hAnsi="Arial" w:hint="eastAsia"/>
          <w:szCs w:val="36"/>
        </w:rPr>
        <w:t>經濟日報社論／中國大陸經濟盛衰的虛與實</w:t>
      </w:r>
      <w:r>
        <w:rPr>
          <w:rFonts w:hAnsi="Arial" w:hint="eastAsia"/>
          <w:szCs w:val="36"/>
        </w:rPr>
        <w:t>。</w:t>
      </w:r>
    </w:p>
  </w:footnote>
  <w:footnote w:id="7">
    <w:p w:rsidR="0055028A" w:rsidRPr="00801C36" w:rsidRDefault="0055028A" w:rsidP="00543724">
      <w:pPr>
        <w:pStyle w:val="aff2"/>
      </w:pPr>
      <w:r>
        <w:rPr>
          <w:rStyle w:val="aff4"/>
        </w:rPr>
        <w:footnoteRef/>
      </w:r>
      <w:r>
        <w:t xml:space="preserve"> </w:t>
      </w:r>
      <w:r>
        <w:rPr>
          <w:rFonts w:hint="eastAsia"/>
          <w:szCs w:val="36"/>
        </w:rPr>
        <w:t>113年7月13日</w:t>
      </w:r>
      <w:r w:rsidRPr="0053195C">
        <w:rPr>
          <w:rFonts w:hAnsi="Arial" w:hint="eastAsia"/>
          <w:szCs w:val="36"/>
        </w:rPr>
        <w:t>經濟日報社論／中國大陸經濟盛衰的虛與實</w:t>
      </w:r>
      <w:r>
        <w:rPr>
          <w:rFonts w:hAnsi="Arial" w:hint="eastAsia"/>
          <w:szCs w:val="36"/>
        </w:rPr>
        <w:t>。</w:t>
      </w:r>
    </w:p>
  </w:footnote>
  <w:footnote w:id="8">
    <w:p w:rsidR="0055028A" w:rsidRPr="00FD74D2" w:rsidRDefault="0055028A" w:rsidP="00FD74D2">
      <w:pPr>
        <w:pStyle w:val="aff2"/>
        <w:ind w:left="150" w:hangingChars="68" w:hanging="150"/>
      </w:pPr>
      <w:r>
        <w:rPr>
          <w:rStyle w:val="aff4"/>
        </w:rPr>
        <w:footnoteRef/>
      </w:r>
      <w:r>
        <w:t xml:space="preserve"> </w:t>
      </w:r>
      <w:r>
        <w:rPr>
          <w:rFonts w:hint="eastAsia"/>
        </w:rPr>
        <w:t>美國</w:t>
      </w:r>
      <w:r w:rsidRPr="00FD74D2">
        <w:rPr>
          <w:rFonts w:hint="eastAsia"/>
        </w:rPr>
        <w:t>貿易法第301條，簡稱301條款</w:t>
      </w:r>
      <w:r>
        <w:rPr>
          <w:rFonts w:hint="eastAsia"/>
        </w:rPr>
        <w:t>，該條文係</w:t>
      </w:r>
      <w:r w:rsidRPr="00FD74D2">
        <w:rPr>
          <w:rFonts w:hint="eastAsia"/>
        </w:rPr>
        <w:t>美國政府為平衡進出口貿易的順逆差，透過美國國會立法授權美國總統實施保護措施，以避免國內產業遭受國外競爭壓力影響，其方法包括對進口產品設定高關稅、限定或減少進口配額等經濟政策。</w:t>
      </w:r>
    </w:p>
  </w:footnote>
  <w:footnote w:id="9">
    <w:p w:rsidR="0055028A" w:rsidRPr="00B665D6" w:rsidRDefault="0055028A" w:rsidP="0064621B">
      <w:pPr>
        <w:pStyle w:val="aff2"/>
        <w:ind w:left="141" w:hangingChars="64" w:hanging="141"/>
      </w:pPr>
      <w:r>
        <w:rPr>
          <w:rStyle w:val="aff4"/>
        </w:rPr>
        <w:footnoteRef/>
      </w:r>
      <w:r>
        <w:rPr>
          <w:rFonts w:ascii="Times New Roman"/>
        </w:rPr>
        <w:t>中國大陸</w:t>
      </w:r>
      <w:r w:rsidRPr="00A862B4">
        <w:rPr>
          <w:rFonts w:ascii="Times New Roman"/>
        </w:rPr>
        <w:t>計畫經濟時代，</w:t>
      </w:r>
      <w:r>
        <w:rPr>
          <w:rFonts w:ascii="Times New Roman" w:hint="eastAsia"/>
        </w:rPr>
        <w:t>住房係</w:t>
      </w:r>
      <w:proofErr w:type="gramStart"/>
      <w:r>
        <w:rPr>
          <w:rFonts w:ascii="Times New Roman" w:hint="eastAsia"/>
        </w:rPr>
        <w:t>採</w:t>
      </w:r>
      <w:proofErr w:type="gramEnd"/>
      <w:r w:rsidRPr="00A862B4">
        <w:rPr>
          <w:rFonts w:ascii="Times New Roman"/>
        </w:rPr>
        <w:t>福利分房</w:t>
      </w:r>
      <w:r>
        <w:rPr>
          <w:rFonts w:ascii="Times New Roman" w:hint="eastAsia"/>
        </w:rPr>
        <w:t>制度</w:t>
      </w:r>
      <w:r w:rsidRPr="00A862B4">
        <w:rPr>
          <w:rFonts w:ascii="Times New Roman"/>
        </w:rPr>
        <w:t>，</w:t>
      </w:r>
      <w:r>
        <w:rPr>
          <w:rFonts w:ascii="Times New Roman" w:hint="eastAsia"/>
        </w:rPr>
        <w:t>該制度</w:t>
      </w:r>
      <w:r w:rsidRPr="00A862B4">
        <w:rPr>
          <w:rFonts w:ascii="Times New Roman"/>
        </w:rPr>
        <w:t>特徵就是「等國家建房，靠組織分房，要</w:t>
      </w:r>
      <w:proofErr w:type="gramStart"/>
      <w:r w:rsidRPr="00A862B4">
        <w:rPr>
          <w:rFonts w:ascii="Times New Roman"/>
        </w:rPr>
        <w:t>單位給房</w:t>
      </w:r>
      <w:proofErr w:type="gramEnd"/>
      <w:r w:rsidRPr="00A862B4">
        <w:rPr>
          <w:rFonts w:ascii="Times New Roman"/>
        </w:rPr>
        <w:t>」。城市中的住房全都是政府修建，土地使用變更也需要得到批准。</w:t>
      </w:r>
    </w:p>
  </w:footnote>
  <w:footnote w:id="10">
    <w:p w:rsidR="0055028A" w:rsidRPr="002119F0" w:rsidRDefault="0055028A" w:rsidP="0064621B">
      <w:pPr>
        <w:pStyle w:val="aff2"/>
        <w:ind w:left="141" w:hangingChars="64" w:hanging="141"/>
      </w:pPr>
      <w:r>
        <w:rPr>
          <w:rStyle w:val="aff4"/>
        </w:rPr>
        <w:footnoteRef/>
      </w:r>
      <w:r>
        <w:t xml:space="preserve"> </w:t>
      </w:r>
      <w:r w:rsidRPr="002119F0">
        <w:t>https://zh.wikipedia.org/zh-tw/%E5%9B%9B%E4%B8%87%E4%BA%BF%E6%8A%95%E8%B5%84%</w:t>
      </w:r>
      <w:r>
        <w:t xml:space="preserve"> </w:t>
      </w:r>
      <w:r w:rsidRPr="002119F0">
        <w:t>E8%AE%A1%E5%88%92</w:t>
      </w:r>
      <w:r>
        <w:t>。</w:t>
      </w:r>
    </w:p>
  </w:footnote>
  <w:footnote w:id="11">
    <w:p w:rsidR="0055028A" w:rsidRPr="001A6B5E" w:rsidRDefault="0055028A" w:rsidP="00D96E90">
      <w:pPr>
        <w:pStyle w:val="aff2"/>
        <w:ind w:left="150" w:hangingChars="68" w:hanging="150"/>
      </w:pPr>
      <w:r>
        <w:rPr>
          <w:rStyle w:val="aff4"/>
        </w:rPr>
        <w:footnoteRef/>
      </w:r>
      <w:r>
        <w:rPr>
          <w:rFonts w:hint="eastAsia"/>
        </w:rPr>
        <w:t>摘自</w:t>
      </w:r>
      <w:r w:rsidRPr="00DD4632">
        <w:rPr>
          <w:rFonts w:hint="eastAsia"/>
        </w:rPr>
        <w:t>「</w:t>
      </w:r>
      <w:r>
        <w:rPr>
          <w:rFonts w:ascii="Arial" w:hAnsi="Arial" w:cs="Arial"/>
          <w:color w:val="212529"/>
        </w:rPr>
        <w:t>吳明澤／中國房地產泡沫真要破滅？</w:t>
      </w:r>
      <w:r w:rsidRPr="00DD4632">
        <w:rPr>
          <w:rFonts w:hint="eastAsia"/>
        </w:rPr>
        <w:t>」之內容。網址：</w:t>
      </w:r>
      <w:hyperlink r:id="rId1" w:history="1">
        <w:r w:rsidRPr="00B401EF">
          <w:rPr>
            <w:rStyle w:val="af1"/>
          </w:rPr>
          <w:t>https://www.cier.edu.tw/news/detail/49225</w:t>
        </w:r>
      </w:hyperlink>
      <w:r>
        <w:t>。</w:t>
      </w:r>
    </w:p>
  </w:footnote>
  <w:footnote w:id="12">
    <w:p w:rsidR="0055028A" w:rsidRPr="001A6B5E" w:rsidRDefault="0055028A" w:rsidP="0064621B">
      <w:pPr>
        <w:pStyle w:val="aff2"/>
      </w:pPr>
      <w:r>
        <w:rPr>
          <w:rStyle w:val="aff4"/>
        </w:rPr>
        <w:footnoteRef/>
      </w:r>
      <w:r>
        <w:rPr>
          <w:rFonts w:hint="eastAsia"/>
        </w:rPr>
        <w:t>同</w:t>
      </w:r>
      <w:proofErr w:type="gramStart"/>
      <w:r>
        <w:rPr>
          <w:rFonts w:hint="eastAsia"/>
        </w:rPr>
        <w:t>註</w:t>
      </w:r>
      <w:proofErr w:type="gramEnd"/>
      <w:r>
        <w:rPr>
          <w:rFonts w:hint="eastAsia"/>
        </w:rPr>
        <w:t>45</w:t>
      </w:r>
      <w:r>
        <w:t>。</w:t>
      </w:r>
    </w:p>
  </w:footnote>
  <w:footnote w:id="13">
    <w:p w:rsidR="0055028A" w:rsidRPr="007F0FCB" w:rsidRDefault="0055028A" w:rsidP="0064621B">
      <w:pPr>
        <w:pStyle w:val="aff2"/>
        <w:ind w:left="143" w:hangingChars="65" w:hanging="143"/>
      </w:pPr>
      <w:r>
        <w:rPr>
          <w:rStyle w:val="aff4"/>
        </w:rPr>
        <w:footnoteRef/>
      </w:r>
      <w:r>
        <w:rPr>
          <w:rFonts w:hint="eastAsia"/>
        </w:rPr>
        <w:t>摘自</w:t>
      </w:r>
      <w:r w:rsidRPr="00DD4632">
        <w:rPr>
          <w:rFonts w:hint="eastAsia"/>
        </w:rPr>
        <w:t>「</w:t>
      </w:r>
      <w:proofErr w:type="gramStart"/>
      <w:r>
        <w:rPr>
          <w:rFonts w:hint="eastAsia"/>
        </w:rPr>
        <w:t>恒</w:t>
      </w:r>
      <w:proofErr w:type="gramEnd"/>
      <w:r>
        <w:rPr>
          <w:rFonts w:hint="eastAsia"/>
        </w:rPr>
        <w:t>大</w:t>
      </w:r>
      <w:r w:rsidRPr="007F0FCB">
        <w:rPr>
          <w:rFonts w:hint="eastAsia"/>
        </w:rPr>
        <w:t>集團</w:t>
      </w:r>
      <w:r w:rsidRPr="00DD4632">
        <w:rPr>
          <w:rFonts w:hint="eastAsia"/>
        </w:rPr>
        <w:t>」之內容。網址：</w:t>
      </w:r>
      <w:hyperlink r:id="rId2" w:history="1">
        <w:r w:rsidRPr="008E2C8D">
          <w:rPr>
            <w:rStyle w:val="af1"/>
          </w:rPr>
          <w:t>https://zh.wikipedia.org/wiki/%E6%81%92%E5%A4%A7%E9%9B%86%E5%9C%98</w:t>
        </w:r>
      </w:hyperlink>
      <w:r>
        <w:rPr>
          <w:rFonts w:hint="eastAsia"/>
        </w:rPr>
        <w:t>。</w:t>
      </w:r>
    </w:p>
  </w:footnote>
  <w:footnote w:id="14">
    <w:p w:rsidR="0055028A" w:rsidRPr="00413A4D" w:rsidRDefault="0055028A" w:rsidP="0064621B">
      <w:pPr>
        <w:pStyle w:val="aff2"/>
        <w:ind w:left="150" w:hangingChars="68" w:hanging="150"/>
      </w:pPr>
      <w:r>
        <w:rPr>
          <w:rStyle w:val="aff4"/>
        </w:rPr>
        <w:footnoteRef/>
      </w:r>
      <w:r w:rsidRPr="00413A4D">
        <w:rPr>
          <w:rFonts w:hint="eastAsia"/>
        </w:rPr>
        <w:t>清盤</w:t>
      </w:r>
      <w:proofErr w:type="gramStart"/>
      <w:r w:rsidRPr="00413A4D">
        <w:rPr>
          <w:rFonts w:hint="eastAsia"/>
        </w:rPr>
        <w:t>（</w:t>
      </w:r>
      <w:proofErr w:type="gramEnd"/>
      <w:r w:rsidRPr="00413A4D">
        <w:rPr>
          <w:rFonts w:hint="eastAsia"/>
        </w:rPr>
        <w:t>英語：Liquidation</w:t>
      </w:r>
      <w:proofErr w:type="gramStart"/>
      <w:r w:rsidRPr="00413A4D">
        <w:rPr>
          <w:rFonts w:hint="eastAsia"/>
        </w:rPr>
        <w:t>）</w:t>
      </w:r>
      <w:proofErr w:type="gramEnd"/>
      <w:r w:rsidRPr="00413A4D">
        <w:rPr>
          <w:rFonts w:hint="eastAsia"/>
        </w:rPr>
        <w:t>是一種法律程序，公司的生產運作停止，所有資產（包括生財工具的機械、工廠、辦公室、物業以及所持有的專利、債權和有價證券等），在短期內出售，變回現金，按先後次序償還（分派給）未付</w:t>
      </w:r>
      <w:proofErr w:type="gramStart"/>
      <w:r w:rsidRPr="00413A4D">
        <w:rPr>
          <w:rFonts w:hint="eastAsia"/>
        </w:rPr>
        <w:t>的債項</w:t>
      </w:r>
      <w:proofErr w:type="gramEnd"/>
      <w:r w:rsidRPr="00413A4D">
        <w:rPr>
          <w:rFonts w:hint="eastAsia"/>
        </w:rPr>
        <w:t>，之後按法律程序，宣佈公司解散的一連串過程。</w:t>
      </w:r>
    </w:p>
  </w:footnote>
  <w:footnote w:id="15">
    <w:p w:rsidR="0055028A" w:rsidRPr="00BD2126" w:rsidRDefault="0055028A" w:rsidP="0064621B">
      <w:pPr>
        <w:pStyle w:val="aff2"/>
        <w:ind w:left="150" w:hangingChars="68" w:hanging="150"/>
      </w:pPr>
      <w:r>
        <w:rPr>
          <w:rStyle w:val="aff4"/>
        </w:rPr>
        <w:footnoteRef/>
      </w:r>
      <w:r>
        <w:t xml:space="preserve"> </w:t>
      </w:r>
      <w:r w:rsidRPr="00BD2126">
        <w:rPr>
          <w:rFonts w:hint="eastAsia"/>
        </w:rPr>
        <w:t>摘自「</w:t>
      </w:r>
      <w:r>
        <w:rPr>
          <w:rFonts w:hint="eastAsia"/>
        </w:rPr>
        <w:t>碧</w:t>
      </w:r>
      <w:proofErr w:type="gramStart"/>
      <w:r>
        <w:rPr>
          <w:rFonts w:hint="eastAsia"/>
        </w:rPr>
        <w:t>桂園</w:t>
      </w:r>
      <w:proofErr w:type="gramEnd"/>
      <w:r w:rsidRPr="00BD2126">
        <w:rPr>
          <w:rFonts w:hint="eastAsia"/>
        </w:rPr>
        <w:t>」之內容。網址：</w:t>
      </w:r>
      <w:hyperlink r:id="rId3" w:history="1">
        <w:r w:rsidRPr="00AC2F69">
          <w:rPr>
            <w:rStyle w:val="af1"/>
          </w:rPr>
          <w:t>https://zh.wikipedia.org/zh-tw/%E7%A2%A7%E6%A1%82%E5%9C%92</w:t>
        </w:r>
      </w:hyperlink>
      <w:r>
        <w:rPr>
          <w:rFonts w:hint="eastAsia"/>
        </w:rPr>
        <w:t>。</w:t>
      </w:r>
    </w:p>
  </w:footnote>
  <w:footnote w:id="16">
    <w:p w:rsidR="0055028A" w:rsidRPr="00BD2126" w:rsidRDefault="0055028A" w:rsidP="0064621B">
      <w:pPr>
        <w:pStyle w:val="aff2"/>
        <w:ind w:left="150" w:hangingChars="68" w:hanging="150"/>
      </w:pPr>
      <w:r>
        <w:rPr>
          <w:rStyle w:val="aff4"/>
        </w:rPr>
        <w:footnoteRef/>
      </w:r>
      <w:r>
        <w:t xml:space="preserve"> </w:t>
      </w:r>
      <w:r w:rsidRPr="00BD2126">
        <w:rPr>
          <w:rFonts w:hint="eastAsia"/>
        </w:rPr>
        <w:t>摘自「</w:t>
      </w:r>
      <w:r w:rsidRPr="00E17F08">
        <w:rPr>
          <w:rFonts w:hint="eastAsia"/>
        </w:rPr>
        <w:t>碧</w:t>
      </w:r>
      <w:proofErr w:type="gramStart"/>
      <w:r w:rsidRPr="00E17F08">
        <w:rPr>
          <w:rFonts w:hint="eastAsia"/>
        </w:rPr>
        <w:t>桂園爆</w:t>
      </w:r>
      <w:proofErr w:type="gramEnd"/>
      <w:r w:rsidRPr="00E17F08">
        <w:rPr>
          <w:rFonts w:hint="eastAsia"/>
        </w:rPr>
        <w:t>財務危機，中國房地產還好嗎？</w:t>
      </w:r>
      <w:r w:rsidRPr="00BD2126">
        <w:rPr>
          <w:rFonts w:hint="eastAsia"/>
        </w:rPr>
        <w:t>」之內容。網址：</w:t>
      </w:r>
      <w:hyperlink r:id="rId4" w:history="1">
        <w:r w:rsidRPr="00AC2F69">
          <w:rPr>
            <w:rStyle w:val="af1"/>
          </w:rPr>
          <w:t>https://www.taroboadvisors.com/articles/2023-08-23-%E7%A2%A7%E6%A1%82%E5%9C%92%E7%88%86%E8%B2%A1%E5%8B%99%E5%8D%B1%E6%A9%9F-%E4%B8%AD%E5%9C%8B%E6%88%BF%E5%9C%B0%E7%94%A2%E9%82%84%E5%A5%BD%E5%97%8E%EF%BC%9F</w:t>
        </w:r>
      </w:hyperlink>
      <w:r>
        <w:rPr>
          <w:rFonts w:hint="eastAsia"/>
        </w:rPr>
        <w:t>。</w:t>
      </w:r>
    </w:p>
  </w:footnote>
  <w:footnote w:id="17">
    <w:p w:rsidR="0055028A" w:rsidRPr="00FD74D2" w:rsidRDefault="0055028A" w:rsidP="00FD74D2">
      <w:pPr>
        <w:pStyle w:val="aff2"/>
        <w:ind w:left="150" w:hangingChars="68" w:hanging="150"/>
      </w:pPr>
      <w:r>
        <w:rPr>
          <w:rStyle w:val="aff4"/>
        </w:rPr>
        <w:footnoteRef/>
      </w:r>
      <w:r>
        <w:t xml:space="preserve"> </w:t>
      </w:r>
      <w:r>
        <w:rPr>
          <w:rFonts w:hint="eastAsia"/>
        </w:rPr>
        <w:t>美國</w:t>
      </w:r>
      <w:r w:rsidRPr="00FD74D2">
        <w:rPr>
          <w:rFonts w:hint="eastAsia"/>
        </w:rPr>
        <w:t>貿易法第301條，簡稱301條款</w:t>
      </w:r>
      <w:r>
        <w:rPr>
          <w:rFonts w:hint="eastAsia"/>
        </w:rPr>
        <w:t>，該條文係</w:t>
      </w:r>
      <w:r w:rsidRPr="00FD74D2">
        <w:rPr>
          <w:rFonts w:hint="eastAsia"/>
        </w:rPr>
        <w:t>美國政府為平衡進出口貿易的順逆差，透過美國國會立法授權美國總統實施保護措施，以避免國內產業遭受國外競爭壓力影響，其方法包括對進口產品設定高關稅、限定或減少進口配額等經濟政策。</w:t>
      </w:r>
    </w:p>
  </w:footnote>
  <w:footnote w:id="18">
    <w:p w:rsidR="0055028A" w:rsidRPr="00B72972" w:rsidRDefault="0055028A" w:rsidP="0064621B">
      <w:pPr>
        <w:pStyle w:val="aff2"/>
      </w:pPr>
      <w:r>
        <w:rPr>
          <w:rStyle w:val="aff4"/>
        </w:rPr>
        <w:footnoteRef/>
      </w:r>
      <w:r>
        <w:rPr>
          <w:rFonts w:hint="eastAsia"/>
        </w:rPr>
        <w:t xml:space="preserve"> </w:t>
      </w:r>
      <w:r w:rsidRPr="00B72972">
        <w:rPr>
          <w:rFonts w:hint="eastAsia"/>
        </w:rPr>
        <w:t>經濟部投資促進司</w:t>
      </w:r>
      <w:r>
        <w:rPr>
          <w:rFonts w:hint="eastAsia"/>
        </w:rPr>
        <w:t>編印</w:t>
      </w:r>
      <w:r>
        <w:rPr>
          <w:rFonts w:hAnsi="標楷體" w:hint="eastAsia"/>
        </w:rPr>
        <w:t>「</w:t>
      </w:r>
      <w:r w:rsidRPr="00B72972">
        <w:rPr>
          <w:rFonts w:hAnsi="標楷體" w:hint="eastAsia"/>
        </w:rPr>
        <w:t>香港投資環境簡介</w:t>
      </w:r>
      <w:r>
        <w:rPr>
          <w:rFonts w:hAnsi="標楷體" w:hint="eastAsia"/>
        </w:rPr>
        <w:t>」。</w:t>
      </w:r>
    </w:p>
  </w:footnote>
  <w:footnote w:id="19">
    <w:p w:rsidR="0055028A" w:rsidRPr="00B72972" w:rsidRDefault="0055028A" w:rsidP="0064621B">
      <w:pPr>
        <w:pStyle w:val="aff2"/>
      </w:pPr>
      <w:r>
        <w:rPr>
          <w:rStyle w:val="aff4"/>
        </w:rPr>
        <w:footnoteRef/>
      </w:r>
      <w:r>
        <w:rPr>
          <w:rFonts w:hint="eastAsia"/>
        </w:rPr>
        <w:t xml:space="preserve"> </w:t>
      </w:r>
      <w:r w:rsidRPr="00B72972">
        <w:rPr>
          <w:rFonts w:hint="eastAsia"/>
        </w:rPr>
        <w:t>經濟部投資促進司</w:t>
      </w:r>
      <w:r>
        <w:rPr>
          <w:rFonts w:hint="eastAsia"/>
        </w:rPr>
        <w:t>編印</w:t>
      </w:r>
      <w:r>
        <w:rPr>
          <w:rFonts w:hAnsi="標楷體" w:hint="eastAsia"/>
        </w:rPr>
        <w:t>「</w:t>
      </w:r>
      <w:r w:rsidRPr="00B72972">
        <w:rPr>
          <w:rFonts w:hAnsi="標楷體" w:hint="eastAsia"/>
        </w:rPr>
        <w:t>香港投資環境簡介</w:t>
      </w:r>
      <w:r>
        <w:rPr>
          <w:rFonts w:hAnsi="標楷體" w:hint="eastAsia"/>
        </w:rPr>
        <w:t>」。</w:t>
      </w:r>
    </w:p>
  </w:footnote>
  <w:footnote w:id="20">
    <w:p w:rsidR="0055028A" w:rsidRPr="00B72972" w:rsidRDefault="0055028A" w:rsidP="0008226F">
      <w:pPr>
        <w:pStyle w:val="aff2"/>
      </w:pPr>
      <w:r>
        <w:rPr>
          <w:rStyle w:val="aff4"/>
        </w:rPr>
        <w:footnoteRef/>
      </w:r>
      <w:r>
        <w:rPr>
          <w:rFonts w:hint="eastAsia"/>
        </w:rPr>
        <w:t xml:space="preserve"> </w:t>
      </w:r>
      <w:r w:rsidRPr="00B72972">
        <w:rPr>
          <w:rFonts w:hint="eastAsia"/>
        </w:rPr>
        <w:t>經濟部投資促進司</w:t>
      </w:r>
      <w:r>
        <w:rPr>
          <w:rFonts w:hint="eastAsia"/>
        </w:rPr>
        <w:t>編印</w:t>
      </w:r>
      <w:r>
        <w:rPr>
          <w:rFonts w:hAnsi="標楷體" w:hint="eastAsia"/>
        </w:rPr>
        <w:t>「</w:t>
      </w:r>
      <w:r w:rsidRPr="00B72972">
        <w:rPr>
          <w:rFonts w:hAnsi="標楷體" w:hint="eastAsia"/>
        </w:rPr>
        <w:t>香港投資環境簡介</w:t>
      </w:r>
      <w:r>
        <w:rPr>
          <w:rFonts w:hAnsi="標楷體"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E4C5CE6"/>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A784B04"/>
    <w:multiLevelType w:val="multilevel"/>
    <w:tmpl w:val="DBFAB6C2"/>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21"/>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lang w:val="en-US"/>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33B2BFE2"/>
    <w:lvl w:ilvl="0" w:tplc="E9E8ECF2">
      <w:start w:val="1"/>
      <w:numFmt w:val="taiwaneseCountingThousand"/>
      <w:pStyle w:val="a1"/>
      <w:lvlText w:val="附表%1、"/>
      <w:lvlJc w:val="left"/>
      <w:pPr>
        <w:tabs>
          <w:tab w:val="num" w:pos="1440"/>
        </w:tabs>
        <w:ind w:left="695" w:hanging="695"/>
      </w:pPr>
      <w:rPr>
        <w:rFonts w:ascii="標楷體" w:eastAsia="標楷體" w:hint="eastAsia"/>
        <w:b/>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1F959B7"/>
    <w:multiLevelType w:val="hybridMultilevel"/>
    <w:tmpl w:val="5D46CBA2"/>
    <w:lvl w:ilvl="0" w:tplc="08BA196A">
      <w:start w:val="1"/>
      <w:numFmt w:val="decimal"/>
      <w:lvlText w:val="%1."/>
      <w:lvlJc w:val="left"/>
      <w:pPr>
        <w:ind w:left="643" w:hanging="36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5" w15:restartNumberingAfterBreak="0">
    <w:nsid w:val="3CFE143F"/>
    <w:multiLevelType w:val="hybridMultilevel"/>
    <w:tmpl w:val="3CFE30A6"/>
    <w:lvl w:ilvl="0" w:tplc="A6EC3A04">
      <w:start w:val="1"/>
      <w:numFmt w:val="decimal"/>
      <w:pStyle w:val="a2"/>
      <w:lvlText w:val="圖%1　"/>
      <w:lvlJc w:val="left"/>
      <w:pPr>
        <w:ind w:left="480" w:hanging="480"/>
      </w:pPr>
      <w:rPr>
        <w:rFonts w:ascii="標楷體" w:eastAsia="標楷體" w:hint="eastAsia"/>
        <w:b/>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7B7020F"/>
    <w:multiLevelType w:val="multilevel"/>
    <w:tmpl w:val="D376D3E8"/>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8" w15:restartNumberingAfterBreak="0">
    <w:nsid w:val="4A5F5684"/>
    <w:multiLevelType w:val="hybridMultilevel"/>
    <w:tmpl w:val="00DA0442"/>
    <w:lvl w:ilvl="0" w:tplc="BE0A182A">
      <w:start w:val="1"/>
      <w:numFmt w:val="decimal"/>
      <w:pStyle w:val="a4"/>
      <w:lvlText w:val="表%1　"/>
      <w:lvlJc w:val="left"/>
      <w:pPr>
        <w:ind w:left="480"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81E20B7"/>
    <w:multiLevelType w:val="multilevel"/>
    <w:tmpl w:val="999A311E"/>
    <w:lvl w:ilvl="0">
      <w:start w:val="1"/>
      <w:numFmt w:val="taiwaneseCountingThousand"/>
      <w:pStyle w:val="a7"/>
      <w:suff w:val="nothing"/>
      <w:lvlText w:val="%1、"/>
      <w:lvlJc w:val="left"/>
      <w:pPr>
        <w:ind w:left="936" w:hanging="652"/>
      </w:pPr>
      <w:rPr>
        <w:rFonts w:ascii="標楷體" w:eastAsia="標楷體" w:hint="eastAsia"/>
        <w:b w:val="0"/>
        <w:i w:val="0"/>
        <w:sz w:val="32"/>
      </w:rPr>
    </w:lvl>
    <w:lvl w:ilvl="1">
      <w:start w:val="1"/>
      <w:numFmt w:val="taiwaneseCountingThousand"/>
      <w:suff w:val="nothing"/>
      <w:lvlText w:val="(%2)"/>
      <w:lvlJc w:val="left"/>
      <w:pPr>
        <w:ind w:left="1287" w:hanging="652"/>
      </w:pPr>
      <w:rPr>
        <w:rFonts w:ascii="標楷體" w:eastAsia="標楷體" w:hint="eastAsia"/>
        <w:b w:val="0"/>
        <w:i w:val="0"/>
        <w:sz w:val="32"/>
      </w:rPr>
    </w:lvl>
    <w:lvl w:ilvl="2">
      <w:start w:val="1"/>
      <w:numFmt w:val="decimalFullWidth"/>
      <w:suff w:val="nothing"/>
      <w:lvlText w:val="%3、"/>
      <w:lvlJc w:val="left"/>
      <w:pPr>
        <w:ind w:left="1605" w:hanging="641"/>
      </w:pPr>
      <w:rPr>
        <w:rFonts w:ascii="標楷體" w:eastAsia="標楷體" w:hint="eastAsia"/>
        <w:b w:val="0"/>
        <w:i w:val="0"/>
        <w:sz w:val="32"/>
        <w:lang w:val="en-US"/>
      </w:rPr>
    </w:lvl>
    <w:lvl w:ilvl="3">
      <w:start w:val="1"/>
      <w:numFmt w:val="decimalFullWidth"/>
      <w:suff w:val="nothing"/>
      <w:lvlText w:val="(%4)"/>
      <w:lvlJc w:val="left"/>
      <w:pPr>
        <w:ind w:left="1928" w:hanging="641"/>
      </w:pPr>
      <w:rPr>
        <w:rFonts w:ascii="標楷體" w:eastAsia="標楷體" w:hint="eastAsia"/>
        <w:b w:val="0"/>
        <w:i w:val="0"/>
        <w:sz w:val="32"/>
      </w:rPr>
    </w:lvl>
    <w:lvl w:ilvl="4">
      <w:start w:val="1"/>
      <w:numFmt w:val="ideographTraditional"/>
      <w:suff w:val="nothing"/>
      <w:lvlText w:val="%5、"/>
      <w:lvlJc w:val="left"/>
      <w:pPr>
        <w:ind w:left="2240" w:hanging="635"/>
      </w:pPr>
      <w:rPr>
        <w:rFonts w:ascii="標楷體" w:eastAsia="標楷體" w:hint="eastAsia"/>
        <w:b w:val="0"/>
        <w:i w:val="0"/>
        <w:sz w:val="32"/>
      </w:rPr>
    </w:lvl>
    <w:lvl w:ilvl="5">
      <w:start w:val="5"/>
      <w:numFmt w:val="taiwaneseCountingThousand"/>
      <w:lvlText w:val="（%6)、"/>
      <w:lvlJc w:val="left"/>
      <w:pPr>
        <w:tabs>
          <w:tab w:val="num" w:pos="3912"/>
        </w:tabs>
        <w:ind w:left="3912" w:hanging="3061"/>
      </w:pPr>
      <w:rPr>
        <w:rFonts w:hint="eastAsia"/>
      </w:rPr>
    </w:lvl>
    <w:lvl w:ilvl="6">
      <w:start w:val="1"/>
      <w:numFmt w:val="none"/>
      <w:lvlText w:val=""/>
      <w:lvlJc w:val="left"/>
      <w:pPr>
        <w:tabs>
          <w:tab w:val="num" w:pos="3912"/>
        </w:tabs>
        <w:ind w:left="3912" w:hanging="3061"/>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12" w15:restartNumberingAfterBreak="0">
    <w:nsid w:val="68C650C0"/>
    <w:multiLevelType w:val="multilevel"/>
    <w:tmpl w:val="4E28E88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lang w:val="en-US"/>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7E5B4F69"/>
    <w:multiLevelType w:val="multilevel"/>
    <w:tmpl w:val="0F14EF7A"/>
    <w:lvl w:ilvl="0">
      <w:start w:val="1"/>
      <w:numFmt w:val="taiwaneseCountingThousand"/>
      <w:pStyle w:val="10"/>
      <w:lvlText w:val="%1、"/>
      <w:lvlJc w:val="left"/>
      <w:pPr>
        <w:ind w:left="556" w:hanging="554"/>
      </w:pPr>
      <w:rPr>
        <w:rFonts w:hint="default"/>
        <w:b w:val="0"/>
        <w:i w:val="0"/>
        <w:caps w:val="0"/>
        <w:strike w:val="0"/>
        <w:dstrike w:val="0"/>
        <w:snapToGrid/>
        <w:vanish w:val="0"/>
        <w:color w:val="auto"/>
        <w:spacing w:val="0"/>
        <w:w w:val="100"/>
        <w:kern w:val="28"/>
        <w:position w:val="0"/>
        <w:sz w:val="28"/>
        <w:u w:val="none"/>
        <w:vertAlign w:val="baseline"/>
      </w:rPr>
    </w:lvl>
    <w:lvl w:ilvl="1">
      <w:start w:val="1"/>
      <w:numFmt w:val="taiwaneseCountingThousand"/>
      <w:suff w:val="nothing"/>
      <w:lvlText w:val="(%2)"/>
      <w:lvlJc w:val="left"/>
      <w:pPr>
        <w:ind w:left="839" w:hanging="555"/>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rPr>
    </w:lvl>
    <w:lvl w:ilvl="2">
      <w:start w:val="1"/>
      <w:numFmt w:val="decimal"/>
      <w:pStyle w:val="30"/>
      <w:suff w:val="nothing"/>
      <w:lvlText w:val="%3、"/>
      <w:lvlJc w:val="left"/>
      <w:pPr>
        <w:ind w:left="1123" w:hanging="420"/>
      </w:pPr>
      <w:rPr>
        <w:rFonts w:eastAsia="標楷體" w:hint="eastAsia"/>
        <w:b w:val="0"/>
        <w:i w:val="0"/>
        <w:caps w:val="0"/>
        <w:strike w:val="0"/>
        <w:dstrike w:val="0"/>
        <w:snapToGrid/>
        <w:vanish w:val="0"/>
        <w:color w:val="auto"/>
        <w:spacing w:val="0"/>
        <w:w w:val="100"/>
        <w:kern w:val="28"/>
        <w:position w:val="0"/>
        <w:sz w:val="28"/>
        <w:u w:val="none"/>
        <w:vertAlign w:val="baseline"/>
        <w:em w:val="none"/>
      </w:rPr>
    </w:lvl>
    <w:lvl w:ilvl="3">
      <w:start w:val="1"/>
      <w:numFmt w:val="decimal"/>
      <w:pStyle w:val="40"/>
      <w:suff w:val="nothing"/>
      <w:lvlText w:val="(%4)"/>
      <w:lvlJc w:val="left"/>
      <w:pPr>
        <w:ind w:left="1406" w:hanging="419"/>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rPr>
    </w:lvl>
    <w:lvl w:ilvl="4">
      <w:start w:val="1"/>
      <w:numFmt w:val="decimal"/>
      <w:pStyle w:val="50"/>
      <w:suff w:val="nothing"/>
      <w:lvlText w:val="&lt;%5&gt;"/>
      <w:lvlJc w:val="left"/>
      <w:pPr>
        <w:ind w:left="1690" w:hanging="420"/>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rPr>
    </w:lvl>
    <w:lvl w:ilvl="5">
      <w:start w:val="1"/>
      <w:numFmt w:val="none"/>
      <w:lvlText w:val="%6"/>
      <w:lvlJc w:val="right"/>
      <w:pPr>
        <w:ind w:left="2890" w:hanging="480"/>
      </w:pPr>
      <w:rPr>
        <w:rFonts w:hint="eastAsia"/>
      </w:rPr>
    </w:lvl>
    <w:lvl w:ilvl="6">
      <w:start w:val="1"/>
      <w:numFmt w:val="none"/>
      <w:lvlText w:val="%7"/>
      <w:lvlJc w:val="left"/>
      <w:pPr>
        <w:ind w:left="3370" w:hanging="480"/>
      </w:pPr>
      <w:rPr>
        <w:rFonts w:hint="eastAsia"/>
      </w:rPr>
    </w:lvl>
    <w:lvl w:ilvl="7">
      <w:start w:val="1"/>
      <w:numFmt w:val="none"/>
      <w:lvlText w:val="%8"/>
      <w:lvlJc w:val="left"/>
      <w:pPr>
        <w:ind w:left="3850" w:hanging="480"/>
      </w:pPr>
      <w:rPr>
        <w:rFonts w:hint="eastAsia"/>
      </w:rPr>
    </w:lvl>
    <w:lvl w:ilvl="8">
      <w:start w:val="1"/>
      <w:numFmt w:val="none"/>
      <w:lvlText w:val="%9"/>
      <w:lvlJc w:val="right"/>
      <w:pPr>
        <w:ind w:left="4330" w:hanging="480"/>
      </w:pPr>
      <w:rPr>
        <w:rFonts w:hint="eastAsia"/>
      </w:rPr>
    </w:lvl>
  </w:abstractNum>
  <w:num w:numId="1">
    <w:abstractNumId w:val="3"/>
  </w:num>
  <w:num w:numId="2">
    <w:abstractNumId w:val="1"/>
  </w:num>
  <w:num w:numId="3">
    <w:abstractNumId w:val="8"/>
  </w:num>
  <w:num w:numId="4">
    <w:abstractNumId w:val="5"/>
  </w:num>
  <w:num w:numId="5">
    <w:abstractNumId w:val="9"/>
  </w:num>
  <w:num w:numId="6">
    <w:abstractNumId w:val="10"/>
  </w:num>
  <w:num w:numId="7">
    <w:abstractNumId w:val="6"/>
  </w:num>
  <w:num w:numId="8">
    <w:abstractNumId w:val="0"/>
  </w:num>
  <w:num w:numId="9">
    <w:abstractNumId w:val="13"/>
  </w:num>
  <w:num w:numId="10">
    <w:abstractNumId w:val="11"/>
  </w:num>
  <w:num w:numId="11">
    <w:abstractNumId w:val="2"/>
  </w:num>
  <w:num w:numId="12">
    <w:abstractNumId w:val="12"/>
  </w:num>
  <w:num w:numId="13">
    <w:abstractNumId w:val="4"/>
  </w:num>
  <w:num w:numId="14">
    <w:abstractNumId w:val="7"/>
  </w:num>
  <w:num w:numId="15">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4F9"/>
    <w:rsid w:val="00001B28"/>
    <w:rsid w:val="000046F6"/>
    <w:rsid w:val="000056FA"/>
    <w:rsid w:val="00005B4A"/>
    <w:rsid w:val="00006090"/>
    <w:rsid w:val="000063F2"/>
    <w:rsid w:val="00006961"/>
    <w:rsid w:val="00010633"/>
    <w:rsid w:val="00010A2E"/>
    <w:rsid w:val="000112BF"/>
    <w:rsid w:val="00011A7F"/>
    <w:rsid w:val="00012233"/>
    <w:rsid w:val="00013192"/>
    <w:rsid w:val="00013D88"/>
    <w:rsid w:val="000140B3"/>
    <w:rsid w:val="00014618"/>
    <w:rsid w:val="000150BE"/>
    <w:rsid w:val="00015D3B"/>
    <w:rsid w:val="00017318"/>
    <w:rsid w:val="0001783D"/>
    <w:rsid w:val="00017D72"/>
    <w:rsid w:val="00023C29"/>
    <w:rsid w:val="000246F7"/>
    <w:rsid w:val="00025A30"/>
    <w:rsid w:val="00027CAF"/>
    <w:rsid w:val="0003114D"/>
    <w:rsid w:val="000313D5"/>
    <w:rsid w:val="000328C4"/>
    <w:rsid w:val="000358D6"/>
    <w:rsid w:val="00035BBF"/>
    <w:rsid w:val="000367D3"/>
    <w:rsid w:val="00036D76"/>
    <w:rsid w:val="00036F78"/>
    <w:rsid w:val="000449E4"/>
    <w:rsid w:val="00044F64"/>
    <w:rsid w:val="000478E8"/>
    <w:rsid w:val="00051B74"/>
    <w:rsid w:val="00052DD0"/>
    <w:rsid w:val="000547F4"/>
    <w:rsid w:val="00055E82"/>
    <w:rsid w:val="0005663B"/>
    <w:rsid w:val="0005690E"/>
    <w:rsid w:val="000572FA"/>
    <w:rsid w:val="00057D7F"/>
    <w:rsid w:val="00057F32"/>
    <w:rsid w:val="000603A6"/>
    <w:rsid w:val="00062A25"/>
    <w:rsid w:val="00062E3E"/>
    <w:rsid w:val="000632A4"/>
    <w:rsid w:val="00073CB5"/>
    <w:rsid w:val="00073FED"/>
    <w:rsid w:val="00074211"/>
    <w:rsid w:val="0007425C"/>
    <w:rsid w:val="00076605"/>
    <w:rsid w:val="00077553"/>
    <w:rsid w:val="0008168B"/>
    <w:rsid w:val="0008226F"/>
    <w:rsid w:val="00083CB0"/>
    <w:rsid w:val="000851A2"/>
    <w:rsid w:val="0008578A"/>
    <w:rsid w:val="00086A9D"/>
    <w:rsid w:val="00087BE2"/>
    <w:rsid w:val="0009141B"/>
    <w:rsid w:val="000926BE"/>
    <w:rsid w:val="00092B14"/>
    <w:rsid w:val="0009352E"/>
    <w:rsid w:val="00095D9C"/>
    <w:rsid w:val="00096B96"/>
    <w:rsid w:val="00096C87"/>
    <w:rsid w:val="000978A7"/>
    <w:rsid w:val="00097904"/>
    <w:rsid w:val="000A29FC"/>
    <w:rsid w:val="000A2F3F"/>
    <w:rsid w:val="000A3333"/>
    <w:rsid w:val="000A40CB"/>
    <w:rsid w:val="000A4265"/>
    <w:rsid w:val="000A48BC"/>
    <w:rsid w:val="000A78B0"/>
    <w:rsid w:val="000A795F"/>
    <w:rsid w:val="000A7D67"/>
    <w:rsid w:val="000B015E"/>
    <w:rsid w:val="000B0B4A"/>
    <w:rsid w:val="000B279A"/>
    <w:rsid w:val="000B4097"/>
    <w:rsid w:val="000B61D2"/>
    <w:rsid w:val="000B68C4"/>
    <w:rsid w:val="000B70A7"/>
    <w:rsid w:val="000B73DD"/>
    <w:rsid w:val="000B74F8"/>
    <w:rsid w:val="000B7BE1"/>
    <w:rsid w:val="000C1A71"/>
    <w:rsid w:val="000C1AA0"/>
    <w:rsid w:val="000C47CC"/>
    <w:rsid w:val="000C493C"/>
    <w:rsid w:val="000C495F"/>
    <w:rsid w:val="000C499F"/>
    <w:rsid w:val="000C5747"/>
    <w:rsid w:val="000C5820"/>
    <w:rsid w:val="000C5BDF"/>
    <w:rsid w:val="000C68E6"/>
    <w:rsid w:val="000D2C8F"/>
    <w:rsid w:val="000D4A37"/>
    <w:rsid w:val="000D588B"/>
    <w:rsid w:val="000E0C88"/>
    <w:rsid w:val="000E1083"/>
    <w:rsid w:val="000E1167"/>
    <w:rsid w:val="000E3E31"/>
    <w:rsid w:val="000E6431"/>
    <w:rsid w:val="000E6D9D"/>
    <w:rsid w:val="000F21A5"/>
    <w:rsid w:val="000F351B"/>
    <w:rsid w:val="000F4441"/>
    <w:rsid w:val="000F468B"/>
    <w:rsid w:val="000F556E"/>
    <w:rsid w:val="000F55CC"/>
    <w:rsid w:val="001023CF"/>
    <w:rsid w:val="00102B9F"/>
    <w:rsid w:val="001035C5"/>
    <w:rsid w:val="0011025B"/>
    <w:rsid w:val="00111A05"/>
    <w:rsid w:val="00112637"/>
    <w:rsid w:val="00112ABC"/>
    <w:rsid w:val="001143B6"/>
    <w:rsid w:val="00116EA5"/>
    <w:rsid w:val="00116EFA"/>
    <w:rsid w:val="00117BFD"/>
    <w:rsid w:val="0012001E"/>
    <w:rsid w:val="0012053B"/>
    <w:rsid w:val="00123474"/>
    <w:rsid w:val="001240FB"/>
    <w:rsid w:val="001249EC"/>
    <w:rsid w:val="001253BF"/>
    <w:rsid w:val="00125E32"/>
    <w:rsid w:val="00126A55"/>
    <w:rsid w:val="001302C3"/>
    <w:rsid w:val="00132364"/>
    <w:rsid w:val="00132DFA"/>
    <w:rsid w:val="00133095"/>
    <w:rsid w:val="00133F08"/>
    <w:rsid w:val="001345E6"/>
    <w:rsid w:val="0013499C"/>
    <w:rsid w:val="00134B5B"/>
    <w:rsid w:val="00137055"/>
    <w:rsid w:val="001376CC"/>
    <w:rsid w:val="001378B0"/>
    <w:rsid w:val="001378D8"/>
    <w:rsid w:val="0013794B"/>
    <w:rsid w:val="00137A4E"/>
    <w:rsid w:val="00140F2C"/>
    <w:rsid w:val="0014171E"/>
    <w:rsid w:val="00142E00"/>
    <w:rsid w:val="001455FD"/>
    <w:rsid w:val="00145941"/>
    <w:rsid w:val="00146747"/>
    <w:rsid w:val="00147526"/>
    <w:rsid w:val="00147940"/>
    <w:rsid w:val="00152793"/>
    <w:rsid w:val="001534A4"/>
    <w:rsid w:val="00153631"/>
    <w:rsid w:val="00153922"/>
    <w:rsid w:val="00153B7E"/>
    <w:rsid w:val="001545A9"/>
    <w:rsid w:val="00154E72"/>
    <w:rsid w:val="00154FE2"/>
    <w:rsid w:val="00157163"/>
    <w:rsid w:val="00157A4F"/>
    <w:rsid w:val="00162E4C"/>
    <w:rsid w:val="001637C7"/>
    <w:rsid w:val="0016480E"/>
    <w:rsid w:val="0016679C"/>
    <w:rsid w:val="00167EB3"/>
    <w:rsid w:val="00171CD2"/>
    <w:rsid w:val="00174297"/>
    <w:rsid w:val="00175001"/>
    <w:rsid w:val="00180E06"/>
    <w:rsid w:val="001817B3"/>
    <w:rsid w:val="00183014"/>
    <w:rsid w:val="001867E1"/>
    <w:rsid w:val="00186BAE"/>
    <w:rsid w:val="00190CB7"/>
    <w:rsid w:val="00190D1A"/>
    <w:rsid w:val="00191B7B"/>
    <w:rsid w:val="00192838"/>
    <w:rsid w:val="001933C4"/>
    <w:rsid w:val="001959C2"/>
    <w:rsid w:val="00195EB5"/>
    <w:rsid w:val="001971FE"/>
    <w:rsid w:val="001A090A"/>
    <w:rsid w:val="001A0CF8"/>
    <w:rsid w:val="001A31D9"/>
    <w:rsid w:val="001A51E3"/>
    <w:rsid w:val="001A5999"/>
    <w:rsid w:val="001A6FE2"/>
    <w:rsid w:val="001A7305"/>
    <w:rsid w:val="001A7968"/>
    <w:rsid w:val="001A7C48"/>
    <w:rsid w:val="001B2846"/>
    <w:rsid w:val="001B2E98"/>
    <w:rsid w:val="001B3461"/>
    <w:rsid w:val="001B3483"/>
    <w:rsid w:val="001B391F"/>
    <w:rsid w:val="001B3C1E"/>
    <w:rsid w:val="001B4494"/>
    <w:rsid w:val="001B5F14"/>
    <w:rsid w:val="001B71F1"/>
    <w:rsid w:val="001C0D8B"/>
    <w:rsid w:val="001C0DA8"/>
    <w:rsid w:val="001C12A7"/>
    <w:rsid w:val="001C234C"/>
    <w:rsid w:val="001C3878"/>
    <w:rsid w:val="001C4065"/>
    <w:rsid w:val="001C62EB"/>
    <w:rsid w:val="001C73AB"/>
    <w:rsid w:val="001D4AD7"/>
    <w:rsid w:val="001D5377"/>
    <w:rsid w:val="001D7C94"/>
    <w:rsid w:val="001E0212"/>
    <w:rsid w:val="001E03CF"/>
    <w:rsid w:val="001E08BA"/>
    <w:rsid w:val="001E0D8A"/>
    <w:rsid w:val="001E3C3F"/>
    <w:rsid w:val="001E43B6"/>
    <w:rsid w:val="001E4B6C"/>
    <w:rsid w:val="001E59EA"/>
    <w:rsid w:val="001E67BA"/>
    <w:rsid w:val="001E68E4"/>
    <w:rsid w:val="001E74C2"/>
    <w:rsid w:val="001F06C7"/>
    <w:rsid w:val="001F269A"/>
    <w:rsid w:val="001F2A9E"/>
    <w:rsid w:val="001F4F82"/>
    <w:rsid w:val="001F540C"/>
    <w:rsid w:val="001F5A48"/>
    <w:rsid w:val="001F6260"/>
    <w:rsid w:val="00200007"/>
    <w:rsid w:val="00200B88"/>
    <w:rsid w:val="002011A2"/>
    <w:rsid w:val="002030A5"/>
    <w:rsid w:val="00203131"/>
    <w:rsid w:val="00203937"/>
    <w:rsid w:val="00203CA7"/>
    <w:rsid w:val="0020541A"/>
    <w:rsid w:val="002106E7"/>
    <w:rsid w:val="00211003"/>
    <w:rsid w:val="002116DC"/>
    <w:rsid w:val="00211B65"/>
    <w:rsid w:val="0021231F"/>
    <w:rsid w:val="00212E88"/>
    <w:rsid w:val="00213C9C"/>
    <w:rsid w:val="00213FAA"/>
    <w:rsid w:val="0022009E"/>
    <w:rsid w:val="002201F0"/>
    <w:rsid w:val="00222810"/>
    <w:rsid w:val="00222875"/>
    <w:rsid w:val="00222DD7"/>
    <w:rsid w:val="00223241"/>
    <w:rsid w:val="00223925"/>
    <w:rsid w:val="0022425C"/>
    <w:rsid w:val="00224356"/>
    <w:rsid w:val="002246DE"/>
    <w:rsid w:val="00224DFF"/>
    <w:rsid w:val="002258AB"/>
    <w:rsid w:val="002267E2"/>
    <w:rsid w:val="002303A5"/>
    <w:rsid w:val="002306EC"/>
    <w:rsid w:val="00230905"/>
    <w:rsid w:val="00230C2C"/>
    <w:rsid w:val="00234F81"/>
    <w:rsid w:val="002359FE"/>
    <w:rsid w:val="00235C2B"/>
    <w:rsid w:val="0024067F"/>
    <w:rsid w:val="00240AB5"/>
    <w:rsid w:val="00241DF7"/>
    <w:rsid w:val="002421A6"/>
    <w:rsid w:val="00242EF9"/>
    <w:rsid w:val="00243CD7"/>
    <w:rsid w:val="00244D50"/>
    <w:rsid w:val="00245719"/>
    <w:rsid w:val="0024620D"/>
    <w:rsid w:val="00247937"/>
    <w:rsid w:val="00250126"/>
    <w:rsid w:val="00250A19"/>
    <w:rsid w:val="00252BC4"/>
    <w:rsid w:val="00254014"/>
    <w:rsid w:val="00254963"/>
    <w:rsid w:val="00254B39"/>
    <w:rsid w:val="002578E4"/>
    <w:rsid w:val="00261BCE"/>
    <w:rsid w:val="00262A4B"/>
    <w:rsid w:val="00262FA4"/>
    <w:rsid w:val="00264327"/>
    <w:rsid w:val="0026504D"/>
    <w:rsid w:val="002660B7"/>
    <w:rsid w:val="00271690"/>
    <w:rsid w:val="00271991"/>
    <w:rsid w:val="002737B9"/>
    <w:rsid w:val="00273A2F"/>
    <w:rsid w:val="00275D7E"/>
    <w:rsid w:val="00276619"/>
    <w:rsid w:val="00277CDF"/>
    <w:rsid w:val="002808C3"/>
    <w:rsid w:val="00280986"/>
    <w:rsid w:val="002810CB"/>
    <w:rsid w:val="00281ECE"/>
    <w:rsid w:val="002831C7"/>
    <w:rsid w:val="00283AE4"/>
    <w:rsid w:val="00283AF2"/>
    <w:rsid w:val="002840C6"/>
    <w:rsid w:val="002863DC"/>
    <w:rsid w:val="00287272"/>
    <w:rsid w:val="00290993"/>
    <w:rsid w:val="00292D26"/>
    <w:rsid w:val="00293372"/>
    <w:rsid w:val="0029360A"/>
    <w:rsid w:val="002946A1"/>
    <w:rsid w:val="00295174"/>
    <w:rsid w:val="0029534F"/>
    <w:rsid w:val="00296172"/>
    <w:rsid w:val="00296B92"/>
    <w:rsid w:val="0029711B"/>
    <w:rsid w:val="00297D6A"/>
    <w:rsid w:val="002A2C22"/>
    <w:rsid w:val="002A3967"/>
    <w:rsid w:val="002A476C"/>
    <w:rsid w:val="002A5991"/>
    <w:rsid w:val="002A63F2"/>
    <w:rsid w:val="002A64BF"/>
    <w:rsid w:val="002A65D3"/>
    <w:rsid w:val="002A684E"/>
    <w:rsid w:val="002A7299"/>
    <w:rsid w:val="002A7C29"/>
    <w:rsid w:val="002B007D"/>
    <w:rsid w:val="002B02EB"/>
    <w:rsid w:val="002B0AC1"/>
    <w:rsid w:val="002B138D"/>
    <w:rsid w:val="002B43AD"/>
    <w:rsid w:val="002B4B59"/>
    <w:rsid w:val="002B50B6"/>
    <w:rsid w:val="002B6CC6"/>
    <w:rsid w:val="002C0028"/>
    <w:rsid w:val="002C0602"/>
    <w:rsid w:val="002C2586"/>
    <w:rsid w:val="002C2D9D"/>
    <w:rsid w:val="002C5C55"/>
    <w:rsid w:val="002C5D4E"/>
    <w:rsid w:val="002C6B7C"/>
    <w:rsid w:val="002C721A"/>
    <w:rsid w:val="002D09B3"/>
    <w:rsid w:val="002D09F3"/>
    <w:rsid w:val="002D2838"/>
    <w:rsid w:val="002D4390"/>
    <w:rsid w:val="002D5C16"/>
    <w:rsid w:val="002D6991"/>
    <w:rsid w:val="002E33F0"/>
    <w:rsid w:val="002E69A8"/>
    <w:rsid w:val="002E7672"/>
    <w:rsid w:val="002E77D5"/>
    <w:rsid w:val="002F05F5"/>
    <w:rsid w:val="002F0C9D"/>
    <w:rsid w:val="002F1515"/>
    <w:rsid w:val="002F2476"/>
    <w:rsid w:val="002F2F9E"/>
    <w:rsid w:val="002F39D8"/>
    <w:rsid w:val="002F3DFF"/>
    <w:rsid w:val="002F40C0"/>
    <w:rsid w:val="002F4488"/>
    <w:rsid w:val="002F49B7"/>
    <w:rsid w:val="002F4E09"/>
    <w:rsid w:val="002F5E05"/>
    <w:rsid w:val="0030080B"/>
    <w:rsid w:val="00301831"/>
    <w:rsid w:val="00302087"/>
    <w:rsid w:val="00307957"/>
    <w:rsid w:val="00307A76"/>
    <w:rsid w:val="00307DD3"/>
    <w:rsid w:val="003111C1"/>
    <w:rsid w:val="00312B33"/>
    <w:rsid w:val="00314E47"/>
    <w:rsid w:val="00315A16"/>
    <w:rsid w:val="00317053"/>
    <w:rsid w:val="00320A4D"/>
    <w:rsid w:val="0032109C"/>
    <w:rsid w:val="00321C7D"/>
    <w:rsid w:val="00322B45"/>
    <w:rsid w:val="00322E3E"/>
    <w:rsid w:val="00322E88"/>
    <w:rsid w:val="003236A2"/>
    <w:rsid w:val="00323809"/>
    <w:rsid w:val="00323D41"/>
    <w:rsid w:val="00325414"/>
    <w:rsid w:val="003258B5"/>
    <w:rsid w:val="003262E8"/>
    <w:rsid w:val="0032638F"/>
    <w:rsid w:val="00327278"/>
    <w:rsid w:val="003302F1"/>
    <w:rsid w:val="0033182B"/>
    <w:rsid w:val="00332D2D"/>
    <w:rsid w:val="003338EC"/>
    <w:rsid w:val="00333B89"/>
    <w:rsid w:val="00333C2E"/>
    <w:rsid w:val="00335193"/>
    <w:rsid w:val="00335585"/>
    <w:rsid w:val="00335A4D"/>
    <w:rsid w:val="00341896"/>
    <w:rsid w:val="003440F7"/>
    <w:rsid w:val="0034470E"/>
    <w:rsid w:val="00344A83"/>
    <w:rsid w:val="00346046"/>
    <w:rsid w:val="003466E7"/>
    <w:rsid w:val="00346D6F"/>
    <w:rsid w:val="00347071"/>
    <w:rsid w:val="003519BA"/>
    <w:rsid w:val="00352DB0"/>
    <w:rsid w:val="00352EFB"/>
    <w:rsid w:val="0035433E"/>
    <w:rsid w:val="003551B3"/>
    <w:rsid w:val="00355C03"/>
    <w:rsid w:val="00355E18"/>
    <w:rsid w:val="003562C6"/>
    <w:rsid w:val="00361063"/>
    <w:rsid w:val="0036124A"/>
    <w:rsid w:val="00361CCF"/>
    <w:rsid w:val="00362746"/>
    <w:rsid w:val="00362EE7"/>
    <w:rsid w:val="00363462"/>
    <w:rsid w:val="00364E9E"/>
    <w:rsid w:val="00364FD7"/>
    <w:rsid w:val="00367C21"/>
    <w:rsid w:val="003701A9"/>
    <w:rsid w:val="0037094A"/>
    <w:rsid w:val="00371ED3"/>
    <w:rsid w:val="003728A6"/>
    <w:rsid w:val="00372FFC"/>
    <w:rsid w:val="00373B32"/>
    <w:rsid w:val="00374850"/>
    <w:rsid w:val="003751BF"/>
    <w:rsid w:val="00375857"/>
    <w:rsid w:val="00375D64"/>
    <w:rsid w:val="00376411"/>
    <w:rsid w:val="0037728A"/>
    <w:rsid w:val="00377577"/>
    <w:rsid w:val="003802AB"/>
    <w:rsid w:val="00380B7D"/>
    <w:rsid w:val="0038141B"/>
    <w:rsid w:val="00381A99"/>
    <w:rsid w:val="00381F4D"/>
    <w:rsid w:val="00381FC1"/>
    <w:rsid w:val="003829C2"/>
    <w:rsid w:val="00382CC0"/>
    <w:rsid w:val="00382F24"/>
    <w:rsid w:val="00382F85"/>
    <w:rsid w:val="003830B2"/>
    <w:rsid w:val="00384724"/>
    <w:rsid w:val="0038794D"/>
    <w:rsid w:val="003919B7"/>
    <w:rsid w:val="00391D57"/>
    <w:rsid w:val="00392292"/>
    <w:rsid w:val="003A07CD"/>
    <w:rsid w:val="003A20CB"/>
    <w:rsid w:val="003A2B48"/>
    <w:rsid w:val="003A4AA1"/>
    <w:rsid w:val="003A4DF6"/>
    <w:rsid w:val="003A4F04"/>
    <w:rsid w:val="003A54CD"/>
    <w:rsid w:val="003A5927"/>
    <w:rsid w:val="003A5A09"/>
    <w:rsid w:val="003A6685"/>
    <w:rsid w:val="003A67B9"/>
    <w:rsid w:val="003A7299"/>
    <w:rsid w:val="003B1017"/>
    <w:rsid w:val="003B38BB"/>
    <w:rsid w:val="003B3C07"/>
    <w:rsid w:val="003B3EFE"/>
    <w:rsid w:val="003B6081"/>
    <w:rsid w:val="003B6775"/>
    <w:rsid w:val="003C397B"/>
    <w:rsid w:val="003C3E4B"/>
    <w:rsid w:val="003C4CA3"/>
    <w:rsid w:val="003C59FC"/>
    <w:rsid w:val="003C5FE2"/>
    <w:rsid w:val="003C690E"/>
    <w:rsid w:val="003D05FB"/>
    <w:rsid w:val="003D1B16"/>
    <w:rsid w:val="003D1F2C"/>
    <w:rsid w:val="003D2421"/>
    <w:rsid w:val="003D25E4"/>
    <w:rsid w:val="003D3656"/>
    <w:rsid w:val="003D45BF"/>
    <w:rsid w:val="003D493C"/>
    <w:rsid w:val="003D508A"/>
    <w:rsid w:val="003D537F"/>
    <w:rsid w:val="003D5AD1"/>
    <w:rsid w:val="003D7B75"/>
    <w:rsid w:val="003E0208"/>
    <w:rsid w:val="003E1D32"/>
    <w:rsid w:val="003E4B57"/>
    <w:rsid w:val="003E63BF"/>
    <w:rsid w:val="003E674A"/>
    <w:rsid w:val="003E6BF2"/>
    <w:rsid w:val="003E72AF"/>
    <w:rsid w:val="003F0397"/>
    <w:rsid w:val="003F0B7D"/>
    <w:rsid w:val="003F27E1"/>
    <w:rsid w:val="003F437A"/>
    <w:rsid w:val="003F4ED1"/>
    <w:rsid w:val="003F55ED"/>
    <w:rsid w:val="003F5B29"/>
    <w:rsid w:val="003F5C2B"/>
    <w:rsid w:val="003F7134"/>
    <w:rsid w:val="003F7B71"/>
    <w:rsid w:val="003F7BFF"/>
    <w:rsid w:val="0040063A"/>
    <w:rsid w:val="004020B2"/>
    <w:rsid w:val="00402240"/>
    <w:rsid w:val="004023E9"/>
    <w:rsid w:val="00402991"/>
    <w:rsid w:val="00402C8D"/>
    <w:rsid w:val="00402EA7"/>
    <w:rsid w:val="004032FA"/>
    <w:rsid w:val="0040454A"/>
    <w:rsid w:val="00404F13"/>
    <w:rsid w:val="004051FE"/>
    <w:rsid w:val="0040669D"/>
    <w:rsid w:val="004074DC"/>
    <w:rsid w:val="00412339"/>
    <w:rsid w:val="00412C63"/>
    <w:rsid w:val="00413A39"/>
    <w:rsid w:val="00413A4D"/>
    <w:rsid w:val="00413F83"/>
    <w:rsid w:val="00414499"/>
    <w:rsid w:val="0041490C"/>
    <w:rsid w:val="00414F0F"/>
    <w:rsid w:val="0041504F"/>
    <w:rsid w:val="004158FA"/>
    <w:rsid w:val="00416191"/>
    <w:rsid w:val="00416721"/>
    <w:rsid w:val="00417650"/>
    <w:rsid w:val="00420E7C"/>
    <w:rsid w:val="00420ECE"/>
    <w:rsid w:val="0042106B"/>
    <w:rsid w:val="0042158D"/>
    <w:rsid w:val="00421EF0"/>
    <w:rsid w:val="004220ED"/>
    <w:rsid w:val="004224FA"/>
    <w:rsid w:val="004233F9"/>
    <w:rsid w:val="00423D07"/>
    <w:rsid w:val="00424336"/>
    <w:rsid w:val="0042520E"/>
    <w:rsid w:val="00427936"/>
    <w:rsid w:val="00430BA3"/>
    <w:rsid w:val="00430E27"/>
    <w:rsid w:val="00432E6A"/>
    <w:rsid w:val="0043392A"/>
    <w:rsid w:val="00433C78"/>
    <w:rsid w:val="00433C86"/>
    <w:rsid w:val="004341D3"/>
    <w:rsid w:val="004348CD"/>
    <w:rsid w:val="004362D3"/>
    <w:rsid w:val="00436BB7"/>
    <w:rsid w:val="00437161"/>
    <w:rsid w:val="00437A99"/>
    <w:rsid w:val="0044346F"/>
    <w:rsid w:val="00444325"/>
    <w:rsid w:val="004446E3"/>
    <w:rsid w:val="004454CA"/>
    <w:rsid w:val="00446C6F"/>
    <w:rsid w:val="00447DC2"/>
    <w:rsid w:val="00447F8F"/>
    <w:rsid w:val="0045319E"/>
    <w:rsid w:val="00460B3D"/>
    <w:rsid w:val="00462B9B"/>
    <w:rsid w:val="004634F1"/>
    <w:rsid w:val="00463FA7"/>
    <w:rsid w:val="00464646"/>
    <w:rsid w:val="0046520A"/>
    <w:rsid w:val="0046691F"/>
    <w:rsid w:val="004672AB"/>
    <w:rsid w:val="00467574"/>
    <w:rsid w:val="00467AB8"/>
    <w:rsid w:val="00470E43"/>
    <w:rsid w:val="004714FE"/>
    <w:rsid w:val="004717A0"/>
    <w:rsid w:val="00471ACA"/>
    <w:rsid w:val="00473FA7"/>
    <w:rsid w:val="00474F39"/>
    <w:rsid w:val="00477BAA"/>
    <w:rsid w:val="00477BF2"/>
    <w:rsid w:val="00481100"/>
    <w:rsid w:val="00483E2A"/>
    <w:rsid w:val="0048550A"/>
    <w:rsid w:val="004858A7"/>
    <w:rsid w:val="004866CB"/>
    <w:rsid w:val="00486D7E"/>
    <w:rsid w:val="00487330"/>
    <w:rsid w:val="00487630"/>
    <w:rsid w:val="0049105B"/>
    <w:rsid w:val="0049127E"/>
    <w:rsid w:val="00493253"/>
    <w:rsid w:val="0049347E"/>
    <w:rsid w:val="00493CFB"/>
    <w:rsid w:val="00494392"/>
    <w:rsid w:val="00494AA1"/>
    <w:rsid w:val="00495053"/>
    <w:rsid w:val="00495907"/>
    <w:rsid w:val="00496732"/>
    <w:rsid w:val="00497553"/>
    <w:rsid w:val="004A1F59"/>
    <w:rsid w:val="004A29BE"/>
    <w:rsid w:val="004A2FDC"/>
    <w:rsid w:val="004A3225"/>
    <w:rsid w:val="004A33EE"/>
    <w:rsid w:val="004A3AA8"/>
    <w:rsid w:val="004A44C7"/>
    <w:rsid w:val="004A4C88"/>
    <w:rsid w:val="004A6F75"/>
    <w:rsid w:val="004A7929"/>
    <w:rsid w:val="004B13C7"/>
    <w:rsid w:val="004B21B7"/>
    <w:rsid w:val="004B23AF"/>
    <w:rsid w:val="004B2592"/>
    <w:rsid w:val="004B27E8"/>
    <w:rsid w:val="004B4224"/>
    <w:rsid w:val="004B5020"/>
    <w:rsid w:val="004B629C"/>
    <w:rsid w:val="004B7437"/>
    <w:rsid w:val="004B778F"/>
    <w:rsid w:val="004B7C20"/>
    <w:rsid w:val="004C0609"/>
    <w:rsid w:val="004C1006"/>
    <w:rsid w:val="004C6147"/>
    <w:rsid w:val="004C78F7"/>
    <w:rsid w:val="004D141F"/>
    <w:rsid w:val="004D19C2"/>
    <w:rsid w:val="004D2742"/>
    <w:rsid w:val="004D2E53"/>
    <w:rsid w:val="004D47C5"/>
    <w:rsid w:val="004D4DD8"/>
    <w:rsid w:val="004D5B3F"/>
    <w:rsid w:val="004D5FB6"/>
    <w:rsid w:val="004D6310"/>
    <w:rsid w:val="004D69B5"/>
    <w:rsid w:val="004D6F31"/>
    <w:rsid w:val="004D7C19"/>
    <w:rsid w:val="004E0062"/>
    <w:rsid w:val="004E05A1"/>
    <w:rsid w:val="004E10C1"/>
    <w:rsid w:val="004E1525"/>
    <w:rsid w:val="004E3219"/>
    <w:rsid w:val="004E69AF"/>
    <w:rsid w:val="004E7836"/>
    <w:rsid w:val="004F0E77"/>
    <w:rsid w:val="004F147F"/>
    <w:rsid w:val="004F1A1E"/>
    <w:rsid w:val="004F22A9"/>
    <w:rsid w:val="004F4A5D"/>
    <w:rsid w:val="004F5E57"/>
    <w:rsid w:val="004F668B"/>
    <w:rsid w:val="004F6710"/>
    <w:rsid w:val="004F7BE4"/>
    <w:rsid w:val="00500370"/>
    <w:rsid w:val="00500C3E"/>
    <w:rsid w:val="0050247C"/>
    <w:rsid w:val="00502849"/>
    <w:rsid w:val="00503422"/>
    <w:rsid w:val="00503D98"/>
    <w:rsid w:val="00504334"/>
    <w:rsid w:val="0050459C"/>
    <w:rsid w:val="0050498D"/>
    <w:rsid w:val="00505473"/>
    <w:rsid w:val="00505F59"/>
    <w:rsid w:val="005079D0"/>
    <w:rsid w:val="005104D7"/>
    <w:rsid w:val="00510702"/>
    <w:rsid w:val="00510762"/>
    <w:rsid w:val="0051083B"/>
    <w:rsid w:val="00510B9E"/>
    <w:rsid w:val="00512E76"/>
    <w:rsid w:val="00513702"/>
    <w:rsid w:val="00513F2E"/>
    <w:rsid w:val="00515803"/>
    <w:rsid w:val="00517FAB"/>
    <w:rsid w:val="00520C79"/>
    <w:rsid w:val="00521AE3"/>
    <w:rsid w:val="00524242"/>
    <w:rsid w:val="005248D4"/>
    <w:rsid w:val="005257CE"/>
    <w:rsid w:val="005260A4"/>
    <w:rsid w:val="00526B66"/>
    <w:rsid w:val="00527DCA"/>
    <w:rsid w:val="00530658"/>
    <w:rsid w:val="005351F9"/>
    <w:rsid w:val="005354C8"/>
    <w:rsid w:val="00536875"/>
    <w:rsid w:val="00536BC2"/>
    <w:rsid w:val="00540776"/>
    <w:rsid w:val="005425E1"/>
    <w:rsid w:val="00542636"/>
    <w:rsid w:val="005426D7"/>
    <w:rsid w:val="005427C5"/>
    <w:rsid w:val="00542CF6"/>
    <w:rsid w:val="0054352C"/>
    <w:rsid w:val="00543724"/>
    <w:rsid w:val="00543922"/>
    <w:rsid w:val="00543E4C"/>
    <w:rsid w:val="0054424B"/>
    <w:rsid w:val="00544322"/>
    <w:rsid w:val="0054465A"/>
    <w:rsid w:val="00546F19"/>
    <w:rsid w:val="00546FB9"/>
    <w:rsid w:val="00547A78"/>
    <w:rsid w:val="00547C01"/>
    <w:rsid w:val="0055028A"/>
    <w:rsid w:val="00551B8E"/>
    <w:rsid w:val="00552B48"/>
    <w:rsid w:val="00553257"/>
    <w:rsid w:val="0055347E"/>
    <w:rsid w:val="00553C03"/>
    <w:rsid w:val="00563692"/>
    <w:rsid w:val="00563AFF"/>
    <w:rsid w:val="00564257"/>
    <w:rsid w:val="00564F40"/>
    <w:rsid w:val="005658A1"/>
    <w:rsid w:val="00565A88"/>
    <w:rsid w:val="00565E8D"/>
    <w:rsid w:val="00566AC1"/>
    <w:rsid w:val="00567A52"/>
    <w:rsid w:val="00567CA1"/>
    <w:rsid w:val="00567F45"/>
    <w:rsid w:val="00571679"/>
    <w:rsid w:val="00571BAB"/>
    <w:rsid w:val="005727FC"/>
    <w:rsid w:val="00572B39"/>
    <w:rsid w:val="00573001"/>
    <w:rsid w:val="005767F1"/>
    <w:rsid w:val="0057739A"/>
    <w:rsid w:val="005773C4"/>
    <w:rsid w:val="005802FA"/>
    <w:rsid w:val="0058069E"/>
    <w:rsid w:val="005810EE"/>
    <w:rsid w:val="00582642"/>
    <w:rsid w:val="0058291F"/>
    <w:rsid w:val="005844E7"/>
    <w:rsid w:val="00586DE1"/>
    <w:rsid w:val="005908B8"/>
    <w:rsid w:val="00591C74"/>
    <w:rsid w:val="00594FE2"/>
    <w:rsid w:val="0059512E"/>
    <w:rsid w:val="0059529B"/>
    <w:rsid w:val="005A149F"/>
    <w:rsid w:val="005A1F2E"/>
    <w:rsid w:val="005A32D8"/>
    <w:rsid w:val="005A3A48"/>
    <w:rsid w:val="005A6DD2"/>
    <w:rsid w:val="005B09C6"/>
    <w:rsid w:val="005B09CA"/>
    <w:rsid w:val="005B0A22"/>
    <w:rsid w:val="005B0D0B"/>
    <w:rsid w:val="005B2C55"/>
    <w:rsid w:val="005B4247"/>
    <w:rsid w:val="005B484F"/>
    <w:rsid w:val="005B4D14"/>
    <w:rsid w:val="005B62A6"/>
    <w:rsid w:val="005C198D"/>
    <w:rsid w:val="005C223B"/>
    <w:rsid w:val="005C385D"/>
    <w:rsid w:val="005C5576"/>
    <w:rsid w:val="005C61D6"/>
    <w:rsid w:val="005C630C"/>
    <w:rsid w:val="005C6459"/>
    <w:rsid w:val="005C65DD"/>
    <w:rsid w:val="005D26C6"/>
    <w:rsid w:val="005D2944"/>
    <w:rsid w:val="005D30DD"/>
    <w:rsid w:val="005D3B20"/>
    <w:rsid w:val="005D55C1"/>
    <w:rsid w:val="005D5CA3"/>
    <w:rsid w:val="005D7FB6"/>
    <w:rsid w:val="005E0263"/>
    <w:rsid w:val="005E0746"/>
    <w:rsid w:val="005E13C5"/>
    <w:rsid w:val="005E4481"/>
    <w:rsid w:val="005E464C"/>
    <w:rsid w:val="005E4759"/>
    <w:rsid w:val="005E5C68"/>
    <w:rsid w:val="005E5EF0"/>
    <w:rsid w:val="005E65C0"/>
    <w:rsid w:val="005E6D19"/>
    <w:rsid w:val="005F0390"/>
    <w:rsid w:val="005F051A"/>
    <w:rsid w:val="005F08AB"/>
    <w:rsid w:val="005F11CF"/>
    <w:rsid w:val="005F5BD4"/>
    <w:rsid w:val="005F6A52"/>
    <w:rsid w:val="005F6AF0"/>
    <w:rsid w:val="005F77D5"/>
    <w:rsid w:val="005F7FA6"/>
    <w:rsid w:val="00606B68"/>
    <w:rsid w:val="006072CD"/>
    <w:rsid w:val="00607897"/>
    <w:rsid w:val="00607B16"/>
    <w:rsid w:val="00607D53"/>
    <w:rsid w:val="0061064D"/>
    <w:rsid w:val="0061070B"/>
    <w:rsid w:val="0061081B"/>
    <w:rsid w:val="00610836"/>
    <w:rsid w:val="00610F4D"/>
    <w:rsid w:val="00611735"/>
    <w:rsid w:val="00612023"/>
    <w:rsid w:val="00612883"/>
    <w:rsid w:val="00612933"/>
    <w:rsid w:val="00614190"/>
    <w:rsid w:val="00615632"/>
    <w:rsid w:val="00617B46"/>
    <w:rsid w:val="00620491"/>
    <w:rsid w:val="00622A99"/>
    <w:rsid w:val="00622E67"/>
    <w:rsid w:val="00623763"/>
    <w:rsid w:val="006239BF"/>
    <w:rsid w:val="00624574"/>
    <w:rsid w:val="00624C6D"/>
    <w:rsid w:val="00624E72"/>
    <w:rsid w:val="00626EDC"/>
    <w:rsid w:val="00632654"/>
    <w:rsid w:val="00633065"/>
    <w:rsid w:val="00637681"/>
    <w:rsid w:val="0064001F"/>
    <w:rsid w:val="00641AF4"/>
    <w:rsid w:val="00642EE9"/>
    <w:rsid w:val="006439EC"/>
    <w:rsid w:val="0064621B"/>
    <w:rsid w:val="0064679A"/>
    <w:rsid w:val="006470EC"/>
    <w:rsid w:val="006475A9"/>
    <w:rsid w:val="00647792"/>
    <w:rsid w:val="00650C79"/>
    <w:rsid w:val="00651D30"/>
    <w:rsid w:val="00651EAE"/>
    <w:rsid w:val="00651EDA"/>
    <w:rsid w:val="0065421C"/>
    <w:rsid w:val="006542D6"/>
    <w:rsid w:val="00654643"/>
    <w:rsid w:val="0065598E"/>
    <w:rsid w:val="00655AF2"/>
    <w:rsid w:val="00655BC5"/>
    <w:rsid w:val="0065619C"/>
    <w:rsid w:val="006568BE"/>
    <w:rsid w:val="0066025D"/>
    <w:rsid w:val="0066091A"/>
    <w:rsid w:val="0066199A"/>
    <w:rsid w:val="00661A08"/>
    <w:rsid w:val="00662ABD"/>
    <w:rsid w:val="00662D25"/>
    <w:rsid w:val="00672A2C"/>
    <w:rsid w:val="00674D2B"/>
    <w:rsid w:val="006756BE"/>
    <w:rsid w:val="006757D6"/>
    <w:rsid w:val="00676270"/>
    <w:rsid w:val="00676541"/>
    <w:rsid w:val="00676FB1"/>
    <w:rsid w:val="006773EC"/>
    <w:rsid w:val="00680504"/>
    <w:rsid w:val="00681CD9"/>
    <w:rsid w:val="006825A6"/>
    <w:rsid w:val="00683E30"/>
    <w:rsid w:val="00684E87"/>
    <w:rsid w:val="00684EB7"/>
    <w:rsid w:val="006866EA"/>
    <w:rsid w:val="00686977"/>
    <w:rsid w:val="00686FE7"/>
    <w:rsid w:val="00687024"/>
    <w:rsid w:val="00690FD1"/>
    <w:rsid w:val="00691126"/>
    <w:rsid w:val="00692ED4"/>
    <w:rsid w:val="00693878"/>
    <w:rsid w:val="006939E8"/>
    <w:rsid w:val="0069567A"/>
    <w:rsid w:val="00695B39"/>
    <w:rsid w:val="00695E22"/>
    <w:rsid w:val="00697B40"/>
    <w:rsid w:val="006A0D3E"/>
    <w:rsid w:val="006A3434"/>
    <w:rsid w:val="006A41E7"/>
    <w:rsid w:val="006A5470"/>
    <w:rsid w:val="006A6B23"/>
    <w:rsid w:val="006B0401"/>
    <w:rsid w:val="006B0B41"/>
    <w:rsid w:val="006B10C5"/>
    <w:rsid w:val="006B20FD"/>
    <w:rsid w:val="006B3B5A"/>
    <w:rsid w:val="006B4095"/>
    <w:rsid w:val="006B41FF"/>
    <w:rsid w:val="006B4450"/>
    <w:rsid w:val="006B5C15"/>
    <w:rsid w:val="006B7093"/>
    <w:rsid w:val="006B7417"/>
    <w:rsid w:val="006C3285"/>
    <w:rsid w:val="006C4471"/>
    <w:rsid w:val="006C5925"/>
    <w:rsid w:val="006C5D85"/>
    <w:rsid w:val="006C6193"/>
    <w:rsid w:val="006C6585"/>
    <w:rsid w:val="006C72ED"/>
    <w:rsid w:val="006D020F"/>
    <w:rsid w:val="006D1128"/>
    <w:rsid w:val="006D18B1"/>
    <w:rsid w:val="006D1AE8"/>
    <w:rsid w:val="006D2424"/>
    <w:rsid w:val="006D28CA"/>
    <w:rsid w:val="006D2938"/>
    <w:rsid w:val="006D3691"/>
    <w:rsid w:val="006D5DFF"/>
    <w:rsid w:val="006E1385"/>
    <w:rsid w:val="006E14A8"/>
    <w:rsid w:val="006E2784"/>
    <w:rsid w:val="006E2BCF"/>
    <w:rsid w:val="006E3204"/>
    <w:rsid w:val="006E5EF0"/>
    <w:rsid w:val="006E6AF3"/>
    <w:rsid w:val="006F3563"/>
    <w:rsid w:val="006F373E"/>
    <w:rsid w:val="006F42B9"/>
    <w:rsid w:val="006F6103"/>
    <w:rsid w:val="006F6A43"/>
    <w:rsid w:val="00702AA1"/>
    <w:rsid w:val="0070382E"/>
    <w:rsid w:val="00703BDC"/>
    <w:rsid w:val="00703D07"/>
    <w:rsid w:val="00704E00"/>
    <w:rsid w:val="00704F5D"/>
    <w:rsid w:val="007057F0"/>
    <w:rsid w:val="007057FC"/>
    <w:rsid w:val="00707478"/>
    <w:rsid w:val="00707D90"/>
    <w:rsid w:val="00707F89"/>
    <w:rsid w:val="007106D8"/>
    <w:rsid w:val="00711C92"/>
    <w:rsid w:val="00712812"/>
    <w:rsid w:val="007134C0"/>
    <w:rsid w:val="007147CB"/>
    <w:rsid w:val="007166AF"/>
    <w:rsid w:val="00717115"/>
    <w:rsid w:val="00717F7E"/>
    <w:rsid w:val="00720850"/>
    <w:rsid w:val="007209E7"/>
    <w:rsid w:val="007211C3"/>
    <w:rsid w:val="007217D8"/>
    <w:rsid w:val="00721841"/>
    <w:rsid w:val="00722E1C"/>
    <w:rsid w:val="00723348"/>
    <w:rsid w:val="00723C19"/>
    <w:rsid w:val="00726182"/>
    <w:rsid w:val="00727635"/>
    <w:rsid w:val="007277B8"/>
    <w:rsid w:val="00732329"/>
    <w:rsid w:val="0073365A"/>
    <w:rsid w:val="007337CA"/>
    <w:rsid w:val="00734CE4"/>
    <w:rsid w:val="00735123"/>
    <w:rsid w:val="00735294"/>
    <w:rsid w:val="00736296"/>
    <w:rsid w:val="00736508"/>
    <w:rsid w:val="007365D5"/>
    <w:rsid w:val="00740632"/>
    <w:rsid w:val="00741210"/>
    <w:rsid w:val="0074144B"/>
    <w:rsid w:val="00741837"/>
    <w:rsid w:val="00741F17"/>
    <w:rsid w:val="007424B5"/>
    <w:rsid w:val="00742DB9"/>
    <w:rsid w:val="007444FE"/>
    <w:rsid w:val="007453E6"/>
    <w:rsid w:val="0074690E"/>
    <w:rsid w:val="00746CD9"/>
    <w:rsid w:val="00747EF1"/>
    <w:rsid w:val="00750795"/>
    <w:rsid w:val="0075085F"/>
    <w:rsid w:val="007516D7"/>
    <w:rsid w:val="00752D84"/>
    <w:rsid w:val="00752E63"/>
    <w:rsid w:val="00753538"/>
    <w:rsid w:val="00753EBB"/>
    <w:rsid w:val="007546DC"/>
    <w:rsid w:val="0075589B"/>
    <w:rsid w:val="00757A94"/>
    <w:rsid w:val="00757C33"/>
    <w:rsid w:val="00760806"/>
    <w:rsid w:val="007615A8"/>
    <w:rsid w:val="00761F63"/>
    <w:rsid w:val="00766470"/>
    <w:rsid w:val="00770396"/>
    <w:rsid w:val="0077134E"/>
    <w:rsid w:val="0077206A"/>
    <w:rsid w:val="00772FDA"/>
    <w:rsid w:val="0077309D"/>
    <w:rsid w:val="00775D7B"/>
    <w:rsid w:val="0077602F"/>
    <w:rsid w:val="00776FA8"/>
    <w:rsid w:val="007774EE"/>
    <w:rsid w:val="00781822"/>
    <w:rsid w:val="00781B92"/>
    <w:rsid w:val="00782D7A"/>
    <w:rsid w:val="00783F21"/>
    <w:rsid w:val="00784380"/>
    <w:rsid w:val="007849F9"/>
    <w:rsid w:val="0078619F"/>
    <w:rsid w:val="00787159"/>
    <w:rsid w:val="00787676"/>
    <w:rsid w:val="0079043A"/>
    <w:rsid w:val="007911FB"/>
    <w:rsid w:val="007915E3"/>
    <w:rsid w:val="00791668"/>
    <w:rsid w:val="00791921"/>
    <w:rsid w:val="00791AA1"/>
    <w:rsid w:val="00792EB8"/>
    <w:rsid w:val="00794F08"/>
    <w:rsid w:val="00794F84"/>
    <w:rsid w:val="00795545"/>
    <w:rsid w:val="0079711B"/>
    <w:rsid w:val="007A01C0"/>
    <w:rsid w:val="007A19B6"/>
    <w:rsid w:val="007A1B9C"/>
    <w:rsid w:val="007A24DF"/>
    <w:rsid w:val="007A3387"/>
    <w:rsid w:val="007A3793"/>
    <w:rsid w:val="007A760A"/>
    <w:rsid w:val="007A7AD9"/>
    <w:rsid w:val="007B344F"/>
    <w:rsid w:val="007B5A5C"/>
    <w:rsid w:val="007B6017"/>
    <w:rsid w:val="007C126C"/>
    <w:rsid w:val="007C1B25"/>
    <w:rsid w:val="007C1BA2"/>
    <w:rsid w:val="007C21C2"/>
    <w:rsid w:val="007C2B48"/>
    <w:rsid w:val="007C3E23"/>
    <w:rsid w:val="007C42FB"/>
    <w:rsid w:val="007C49A8"/>
    <w:rsid w:val="007C5061"/>
    <w:rsid w:val="007C5D0F"/>
    <w:rsid w:val="007D0A1D"/>
    <w:rsid w:val="007D1F18"/>
    <w:rsid w:val="007D20E9"/>
    <w:rsid w:val="007D4326"/>
    <w:rsid w:val="007D5574"/>
    <w:rsid w:val="007D55C9"/>
    <w:rsid w:val="007D7881"/>
    <w:rsid w:val="007D7E3A"/>
    <w:rsid w:val="007E09CE"/>
    <w:rsid w:val="007E0E10"/>
    <w:rsid w:val="007E4768"/>
    <w:rsid w:val="007E5232"/>
    <w:rsid w:val="007E52EA"/>
    <w:rsid w:val="007E60E0"/>
    <w:rsid w:val="007E777B"/>
    <w:rsid w:val="007F0714"/>
    <w:rsid w:val="007F0FCB"/>
    <w:rsid w:val="007F2070"/>
    <w:rsid w:val="007F230B"/>
    <w:rsid w:val="007F2537"/>
    <w:rsid w:val="007F25BD"/>
    <w:rsid w:val="007F28D4"/>
    <w:rsid w:val="007F32B0"/>
    <w:rsid w:val="007F5949"/>
    <w:rsid w:val="007F5E63"/>
    <w:rsid w:val="0080146B"/>
    <w:rsid w:val="0080207F"/>
    <w:rsid w:val="008020C6"/>
    <w:rsid w:val="008038BD"/>
    <w:rsid w:val="008047E1"/>
    <w:rsid w:val="00804A8F"/>
    <w:rsid w:val="008053F5"/>
    <w:rsid w:val="00807AF7"/>
    <w:rsid w:val="00810196"/>
    <w:rsid w:val="00810198"/>
    <w:rsid w:val="00810E1B"/>
    <w:rsid w:val="00810FF5"/>
    <w:rsid w:val="00812328"/>
    <w:rsid w:val="00812A42"/>
    <w:rsid w:val="00813052"/>
    <w:rsid w:val="00813937"/>
    <w:rsid w:val="00813C6F"/>
    <w:rsid w:val="0081461A"/>
    <w:rsid w:val="00814A22"/>
    <w:rsid w:val="00815DA8"/>
    <w:rsid w:val="008166CF"/>
    <w:rsid w:val="00816833"/>
    <w:rsid w:val="00816EE3"/>
    <w:rsid w:val="0082194D"/>
    <w:rsid w:val="00821B01"/>
    <w:rsid w:val="00822140"/>
    <w:rsid w:val="008221F9"/>
    <w:rsid w:val="00822280"/>
    <w:rsid w:val="00826EF5"/>
    <w:rsid w:val="0083067B"/>
    <w:rsid w:val="00831693"/>
    <w:rsid w:val="00831BFA"/>
    <w:rsid w:val="0083258E"/>
    <w:rsid w:val="008325C1"/>
    <w:rsid w:val="00833384"/>
    <w:rsid w:val="008345E5"/>
    <w:rsid w:val="00834C0D"/>
    <w:rsid w:val="008367F4"/>
    <w:rsid w:val="00836B52"/>
    <w:rsid w:val="00836DDE"/>
    <w:rsid w:val="00840104"/>
    <w:rsid w:val="008401B2"/>
    <w:rsid w:val="00840C1F"/>
    <w:rsid w:val="00840E3C"/>
    <w:rsid w:val="00841FC5"/>
    <w:rsid w:val="00842B16"/>
    <w:rsid w:val="00842F97"/>
    <w:rsid w:val="00844D9C"/>
    <w:rsid w:val="00845709"/>
    <w:rsid w:val="00845D35"/>
    <w:rsid w:val="00845ED3"/>
    <w:rsid w:val="00846041"/>
    <w:rsid w:val="00847E45"/>
    <w:rsid w:val="008547D7"/>
    <w:rsid w:val="00854D37"/>
    <w:rsid w:val="00854F1A"/>
    <w:rsid w:val="008576BD"/>
    <w:rsid w:val="00860463"/>
    <w:rsid w:val="00861961"/>
    <w:rsid w:val="00862755"/>
    <w:rsid w:val="008634D7"/>
    <w:rsid w:val="0086353B"/>
    <w:rsid w:val="00863D3A"/>
    <w:rsid w:val="008648A3"/>
    <w:rsid w:val="008649BE"/>
    <w:rsid w:val="008653E3"/>
    <w:rsid w:val="0086772D"/>
    <w:rsid w:val="00870D8E"/>
    <w:rsid w:val="008715D0"/>
    <w:rsid w:val="00871B35"/>
    <w:rsid w:val="008720D5"/>
    <w:rsid w:val="008720F5"/>
    <w:rsid w:val="008733DA"/>
    <w:rsid w:val="00874CA1"/>
    <w:rsid w:val="008761CB"/>
    <w:rsid w:val="00876E4C"/>
    <w:rsid w:val="0087715F"/>
    <w:rsid w:val="00877A92"/>
    <w:rsid w:val="00881E14"/>
    <w:rsid w:val="00883C2B"/>
    <w:rsid w:val="008841F8"/>
    <w:rsid w:val="008844E8"/>
    <w:rsid w:val="008846CE"/>
    <w:rsid w:val="008850E4"/>
    <w:rsid w:val="008865F6"/>
    <w:rsid w:val="00886EDF"/>
    <w:rsid w:val="008879EE"/>
    <w:rsid w:val="008939AB"/>
    <w:rsid w:val="00893A62"/>
    <w:rsid w:val="00895D5D"/>
    <w:rsid w:val="00895DBA"/>
    <w:rsid w:val="00896291"/>
    <w:rsid w:val="00896443"/>
    <w:rsid w:val="00896772"/>
    <w:rsid w:val="008972DB"/>
    <w:rsid w:val="00897AEC"/>
    <w:rsid w:val="00897E78"/>
    <w:rsid w:val="008A0423"/>
    <w:rsid w:val="008A0E21"/>
    <w:rsid w:val="008A12F5"/>
    <w:rsid w:val="008A19C5"/>
    <w:rsid w:val="008A39D7"/>
    <w:rsid w:val="008A5CB7"/>
    <w:rsid w:val="008A5EC8"/>
    <w:rsid w:val="008A6227"/>
    <w:rsid w:val="008A6D3F"/>
    <w:rsid w:val="008A6F4E"/>
    <w:rsid w:val="008A74D6"/>
    <w:rsid w:val="008B0C63"/>
    <w:rsid w:val="008B1587"/>
    <w:rsid w:val="008B1B01"/>
    <w:rsid w:val="008B30E8"/>
    <w:rsid w:val="008B3431"/>
    <w:rsid w:val="008B3BCD"/>
    <w:rsid w:val="008B4038"/>
    <w:rsid w:val="008B41F3"/>
    <w:rsid w:val="008B5C4F"/>
    <w:rsid w:val="008B6054"/>
    <w:rsid w:val="008B621D"/>
    <w:rsid w:val="008B6DF8"/>
    <w:rsid w:val="008B7936"/>
    <w:rsid w:val="008C08AA"/>
    <w:rsid w:val="008C0CB9"/>
    <w:rsid w:val="008C106C"/>
    <w:rsid w:val="008C10F1"/>
    <w:rsid w:val="008C1926"/>
    <w:rsid w:val="008C1A60"/>
    <w:rsid w:val="008C1E99"/>
    <w:rsid w:val="008C28FB"/>
    <w:rsid w:val="008C47FA"/>
    <w:rsid w:val="008C5D59"/>
    <w:rsid w:val="008C79F2"/>
    <w:rsid w:val="008D3E70"/>
    <w:rsid w:val="008D4556"/>
    <w:rsid w:val="008D4EE5"/>
    <w:rsid w:val="008D56BA"/>
    <w:rsid w:val="008D58E7"/>
    <w:rsid w:val="008D613F"/>
    <w:rsid w:val="008D69CD"/>
    <w:rsid w:val="008D6FAD"/>
    <w:rsid w:val="008E0085"/>
    <w:rsid w:val="008E1DFF"/>
    <w:rsid w:val="008E2AA6"/>
    <w:rsid w:val="008E311B"/>
    <w:rsid w:val="008E394F"/>
    <w:rsid w:val="008E7275"/>
    <w:rsid w:val="008F1975"/>
    <w:rsid w:val="008F1BCD"/>
    <w:rsid w:val="008F46E7"/>
    <w:rsid w:val="008F54FD"/>
    <w:rsid w:val="008F6F0B"/>
    <w:rsid w:val="008F7BB6"/>
    <w:rsid w:val="008F7C62"/>
    <w:rsid w:val="009015E0"/>
    <w:rsid w:val="00902E2F"/>
    <w:rsid w:val="00903911"/>
    <w:rsid w:val="00904D7D"/>
    <w:rsid w:val="00906843"/>
    <w:rsid w:val="009070D3"/>
    <w:rsid w:val="00907A1A"/>
    <w:rsid w:val="00907BA7"/>
    <w:rsid w:val="0091064E"/>
    <w:rsid w:val="00910A13"/>
    <w:rsid w:val="00911FC5"/>
    <w:rsid w:val="0091441F"/>
    <w:rsid w:val="00914DA1"/>
    <w:rsid w:val="00915F86"/>
    <w:rsid w:val="0092097E"/>
    <w:rsid w:val="0092111C"/>
    <w:rsid w:val="00921D97"/>
    <w:rsid w:val="009239E7"/>
    <w:rsid w:val="00923A0F"/>
    <w:rsid w:val="00923E91"/>
    <w:rsid w:val="00924777"/>
    <w:rsid w:val="009265A2"/>
    <w:rsid w:val="00927F24"/>
    <w:rsid w:val="00930754"/>
    <w:rsid w:val="00930A6E"/>
    <w:rsid w:val="00931A10"/>
    <w:rsid w:val="00932710"/>
    <w:rsid w:val="009329F0"/>
    <w:rsid w:val="00932AA6"/>
    <w:rsid w:val="0093532D"/>
    <w:rsid w:val="00936B75"/>
    <w:rsid w:val="00936C39"/>
    <w:rsid w:val="009404B6"/>
    <w:rsid w:val="009406EE"/>
    <w:rsid w:val="00940859"/>
    <w:rsid w:val="00941134"/>
    <w:rsid w:val="00944002"/>
    <w:rsid w:val="009450B8"/>
    <w:rsid w:val="009458BA"/>
    <w:rsid w:val="00946E8F"/>
    <w:rsid w:val="00947967"/>
    <w:rsid w:val="00952C0F"/>
    <w:rsid w:val="00952F7F"/>
    <w:rsid w:val="009544E5"/>
    <w:rsid w:val="00955201"/>
    <w:rsid w:val="009555A8"/>
    <w:rsid w:val="00955C5B"/>
    <w:rsid w:val="0095604B"/>
    <w:rsid w:val="0095698F"/>
    <w:rsid w:val="0095710C"/>
    <w:rsid w:val="0096046E"/>
    <w:rsid w:val="00962EA9"/>
    <w:rsid w:val="009635F8"/>
    <w:rsid w:val="00965200"/>
    <w:rsid w:val="009656FB"/>
    <w:rsid w:val="009665D1"/>
    <w:rsid w:val="009668B3"/>
    <w:rsid w:val="00970CB7"/>
    <w:rsid w:val="00970E34"/>
    <w:rsid w:val="00971471"/>
    <w:rsid w:val="00971B4E"/>
    <w:rsid w:val="0097203D"/>
    <w:rsid w:val="0097248A"/>
    <w:rsid w:val="0097396D"/>
    <w:rsid w:val="00974537"/>
    <w:rsid w:val="0097521B"/>
    <w:rsid w:val="009754E0"/>
    <w:rsid w:val="00976125"/>
    <w:rsid w:val="009776F1"/>
    <w:rsid w:val="00977FB9"/>
    <w:rsid w:val="00980B2F"/>
    <w:rsid w:val="0098112A"/>
    <w:rsid w:val="0098167D"/>
    <w:rsid w:val="009816DD"/>
    <w:rsid w:val="00982A64"/>
    <w:rsid w:val="0098310B"/>
    <w:rsid w:val="00983207"/>
    <w:rsid w:val="00984203"/>
    <w:rsid w:val="009849C2"/>
    <w:rsid w:val="00984D24"/>
    <w:rsid w:val="009858EB"/>
    <w:rsid w:val="00985C33"/>
    <w:rsid w:val="0098689C"/>
    <w:rsid w:val="00990F15"/>
    <w:rsid w:val="00993FFA"/>
    <w:rsid w:val="00994859"/>
    <w:rsid w:val="00997B0F"/>
    <w:rsid w:val="009A1400"/>
    <w:rsid w:val="009A3F47"/>
    <w:rsid w:val="009A529B"/>
    <w:rsid w:val="009A7470"/>
    <w:rsid w:val="009A7522"/>
    <w:rsid w:val="009B0046"/>
    <w:rsid w:val="009B4942"/>
    <w:rsid w:val="009B4CB9"/>
    <w:rsid w:val="009B4DA3"/>
    <w:rsid w:val="009B586D"/>
    <w:rsid w:val="009B58B4"/>
    <w:rsid w:val="009B62A8"/>
    <w:rsid w:val="009B7098"/>
    <w:rsid w:val="009C1385"/>
    <w:rsid w:val="009C1440"/>
    <w:rsid w:val="009C1938"/>
    <w:rsid w:val="009C1EBD"/>
    <w:rsid w:val="009C2107"/>
    <w:rsid w:val="009C48D7"/>
    <w:rsid w:val="009C49EE"/>
    <w:rsid w:val="009C5D9E"/>
    <w:rsid w:val="009C65B2"/>
    <w:rsid w:val="009C6A50"/>
    <w:rsid w:val="009D1651"/>
    <w:rsid w:val="009D28D5"/>
    <w:rsid w:val="009D2C3E"/>
    <w:rsid w:val="009D3B6E"/>
    <w:rsid w:val="009D3DED"/>
    <w:rsid w:val="009D401A"/>
    <w:rsid w:val="009D4EEC"/>
    <w:rsid w:val="009D67CA"/>
    <w:rsid w:val="009D7606"/>
    <w:rsid w:val="009E0625"/>
    <w:rsid w:val="009E1AA1"/>
    <w:rsid w:val="009E28FA"/>
    <w:rsid w:val="009E2EC8"/>
    <w:rsid w:val="009E3034"/>
    <w:rsid w:val="009E3852"/>
    <w:rsid w:val="009E5278"/>
    <w:rsid w:val="009E549F"/>
    <w:rsid w:val="009E66EF"/>
    <w:rsid w:val="009E6F2D"/>
    <w:rsid w:val="009E7649"/>
    <w:rsid w:val="009E7B22"/>
    <w:rsid w:val="009F28A8"/>
    <w:rsid w:val="009F2D70"/>
    <w:rsid w:val="009F3B2F"/>
    <w:rsid w:val="009F473E"/>
    <w:rsid w:val="009F682A"/>
    <w:rsid w:val="009F79B6"/>
    <w:rsid w:val="00A0052A"/>
    <w:rsid w:val="00A0061C"/>
    <w:rsid w:val="00A022BE"/>
    <w:rsid w:val="00A04122"/>
    <w:rsid w:val="00A04A66"/>
    <w:rsid w:val="00A04B92"/>
    <w:rsid w:val="00A054E8"/>
    <w:rsid w:val="00A0601D"/>
    <w:rsid w:val="00A069F9"/>
    <w:rsid w:val="00A07B4B"/>
    <w:rsid w:val="00A10BAD"/>
    <w:rsid w:val="00A11BFB"/>
    <w:rsid w:val="00A11E06"/>
    <w:rsid w:val="00A12C42"/>
    <w:rsid w:val="00A14DFB"/>
    <w:rsid w:val="00A15AD0"/>
    <w:rsid w:val="00A164A0"/>
    <w:rsid w:val="00A17240"/>
    <w:rsid w:val="00A206C1"/>
    <w:rsid w:val="00A2077C"/>
    <w:rsid w:val="00A22A2E"/>
    <w:rsid w:val="00A24C95"/>
    <w:rsid w:val="00A24CD5"/>
    <w:rsid w:val="00A2599A"/>
    <w:rsid w:val="00A26094"/>
    <w:rsid w:val="00A2647D"/>
    <w:rsid w:val="00A264D8"/>
    <w:rsid w:val="00A301BF"/>
    <w:rsid w:val="00A302B2"/>
    <w:rsid w:val="00A303A9"/>
    <w:rsid w:val="00A30913"/>
    <w:rsid w:val="00A331B4"/>
    <w:rsid w:val="00A33464"/>
    <w:rsid w:val="00A3484E"/>
    <w:rsid w:val="00A356D3"/>
    <w:rsid w:val="00A36ADA"/>
    <w:rsid w:val="00A36F6D"/>
    <w:rsid w:val="00A4236E"/>
    <w:rsid w:val="00A4303C"/>
    <w:rsid w:val="00A43754"/>
    <w:rsid w:val="00A438D8"/>
    <w:rsid w:val="00A44613"/>
    <w:rsid w:val="00A44A8F"/>
    <w:rsid w:val="00A44CAC"/>
    <w:rsid w:val="00A44D67"/>
    <w:rsid w:val="00A45E0D"/>
    <w:rsid w:val="00A473AA"/>
    <w:rsid w:val="00A473F5"/>
    <w:rsid w:val="00A47F51"/>
    <w:rsid w:val="00A51F9D"/>
    <w:rsid w:val="00A5416A"/>
    <w:rsid w:val="00A549D8"/>
    <w:rsid w:val="00A55E96"/>
    <w:rsid w:val="00A56B06"/>
    <w:rsid w:val="00A56C2E"/>
    <w:rsid w:val="00A56F20"/>
    <w:rsid w:val="00A57DDD"/>
    <w:rsid w:val="00A60DE9"/>
    <w:rsid w:val="00A63210"/>
    <w:rsid w:val="00A63645"/>
    <w:rsid w:val="00A639F4"/>
    <w:rsid w:val="00A712FE"/>
    <w:rsid w:val="00A72D1E"/>
    <w:rsid w:val="00A72FAC"/>
    <w:rsid w:val="00A73A35"/>
    <w:rsid w:val="00A7798A"/>
    <w:rsid w:val="00A80171"/>
    <w:rsid w:val="00A81A32"/>
    <w:rsid w:val="00A82D08"/>
    <w:rsid w:val="00A8305E"/>
    <w:rsid w:val="00A833D8"/>
    <w:rsid w:val="00A835BD"/>
    <w:rsid w:val="00A8474F"/>
    <w:rsid w:val="00A84CF4"/>
    <w:rsid w:val="00A8562B"/>
    <w:rsid w:val="00A87E01"/>
    <w:rsid w:val="00A9067C"/>
    <w:rsid w:val="00A91CF5"/>
    <w:rsid w:val="00A9230C"/>
    <w:rsid w:val="00A9248A"/>
    <w:rsid w:val="00A925E7"/>
    <w:rsid w:val="00A94333"/>
    <w:rsid w:val="00A943F4"/>
    <w:rsid w:val="00A95467"/>
    <w:rsid w:val="00A9638C"/>
    <w:rsid w:val="00A97B15"/>
    <w:rsid w:val="00AA19CC"/>
    <w:rsid w:val="00AA245C"/>
    <w:rsid w:val="00AA42D5"/>
    <w:rsid w:val="00AA70F7"/>
    <w:rsid w:val="00AA7577"/>
    <w:rsid w:val="00AB2927"/>
    <w:rsid w:val="00AB2D92"/>
    <w:rsid w:val="00AB2FAB"/>
    <w:rsid w:val="00AB3D9B"/>
    <w:rsid w:val="00AB4A29"/>
    <w:rsid w:val="00AB5C14"/>
    <w:rsid w:val="00AB5F26"/>
    <w:rsid w:val="00AB7A97"/>
    <w:rsid w:val="00AC1165"/>
    <w:rsid w:val="00AC1BF9"/>
    <w:rsid w:val="00AC1EE7"/>
    <w:rsid w:val="00AC2B85"/>
    <w:rsid w:val="00AC333F"/>
    <w:rsid w:val="00AC40C3"/>
    <w:rsid w:val="00AC533C"/>
    <w:rsid w:val="00AC54C8"/>
    <w:rsid w:val="00AC585C"/>
    <w:rsid w:val="00AC5C12"/>
    <w:rsid w:val="00AC7109"/>
    <w:rsid w:val="00AD06F1"/>
    <w:rsid w:val="00AD1925"/>
    <w:rsid w:val="00AD32B8"/>
    <w:rsid w:val="00AD46E0"/>
    <w:rsid w:val="00AD563E"/>
    <w:rsid w:val="00AD78BC"/>
    <w:rsid w:val="00AE067D"/>
    <w:rsid w:val="00AE1F1F"/>
    <w:rsid w:val="00AE2E8E"/>
    <w:rsid w:val="00AE3680"/>
    <w:rsid w:val="00AE4F54"/>
    <w:rsid w:val="00AE5082"/>
    <w:rsid w:val="00AE6DAA"/>
    <w:rsid w:val="00AE76B3"/>
    <w:rsid w:val="00AF1181"/>
    <w:rsid w:val="00AF13F3"/>
    <w:rsid w:val="00AF159B"/>
    <w:rsid w:val="00AF2F79"/>
    <w:rsid w:val="00AF4653"/>
    <w:rsid w:val="00AF5305"/>
    <w:rsid w:val="00AF6B23"/>
    <w:rsid w:val="00AF6EDF"/>
    <w:rsid w:val="00AF7DB7"/>
    <w:rsid w:val="00B007D8"/>
    <w:rsid w:val="00B030CD"/>
    <w:rsid w:val="00B03CDA"/>
    <w:rsid w:val="00B04B99"/>
    <w:rsid w:val="00B05706"/>
    <w:rsid w:val="00B057B2"/>
    <w:rsid w:val="00B05D1D"/>
    <w:rsid w:val="00B10D02"/>
    <w:rsid w:val="00B1434A"/>
    <w:rsid w:val="00B16B03"/>
    <w:rsid w:val="00B201E2"/>
    <w:rsid w:val="00B206E1"/>
    <w:rsid w:val="00B20EAB"/>
    <w:rsid w:val="00B21209"/>
    <w:rsid w:val="00B222FE"/>
    <w:rsid w:val="00B25467"/>
    <w:rsid w:val="00B263E8"/>
    <w:rsid w:val="00B269B6"/>
    <w:rsid w:val="00B2723A"/>
    <w:rsid w:val="00B301DD"/>
    <w:rsid w:val="00B33527"/>
    <w:rsid w:val="00B33EE4"/>
    <w:rsid w:val="00B3489B"/>
    <w:rsid w:val="00B40380"/>
    <w:rsid w:val="00B40467"/>
    <w:rsid w:val="00B40A0B"/>
    <w:rsid w:val="00B43616"/>
    <w:rsid w:val="00B443E4"/>
    <w:rsid w:val="00B449AB"/>
    <w:rsid w:val="00B44A71"/>
    <w:rsid w:val="00B44B3B"/>
    <w:rsid w:val="00B45473"/>
    <w:rsid w:val="00B50616"/>
    <w:rsid w:val="00B520D3"/>
    <w:rsid w:val="00B533B1"/>
    <w:rsid w:val="00B5484D"/>
    <w:rsid w:val="00B563EA"/>
    <w:rsid w:val="00B56CDF"/>
    <w:rsid w:val="00B57AD6"/>
    <w:rsid w:val="00B57FDD"/>
    <w:rsid w:val="00B60E51"/>
    <w:rsid w:val="00B61D17"/>
    <w:rsid w:val="00B61F01"/>
    <w:rsid w:val="00B62227"/>
    <w:rsid w:val="00B6289B"/>
    <w:rsid w:val="00B638A3"/>
    <w:rsid w:val="00B63A54"/>
    <w:rsid w:val="00B6663A"/>
    <w:rsid w:val="00B6688E"/>
    <w:rsid w:val="00B720A7"/>
    <w:rsid w:val="00B72972"/>
    <w:rsid w:val="00B75112"/>
    <w:rsid w:val="00B75561"/>
    <w:rsid w:val="00B756DC"/>
    <w:rsid w:val="00B76611"/>
    <w:rsid w:val="00B77D18"/>
    <w:rsid w:val="00B77E08"/>
    <w:rsid w:val="00B816F2"/>
    <w:rsid w:val="00B818C7"/>
    <w:rsid w:val="00B81B18"/>
    <w:rsid w:val="00B8313A"/>
    <w:rsid w:val="00B83EF6"/>
    <w:rsid w:val="00B84030"/>
    <w:rsid w:val="00B85272"/>
    <w:rsid w:val="00B85356"/>
    <w:rsid w:val="00B8748E"/>
    <w:rsid w:val="00B909B0"/>
    <w:rsid w:val="00B93503"/>
    <w:rsid w:val="00B93A74"/>
    <w:rsid w:val="00B94FF4"/>
    <w:rsid w:val="00B97551"/>
    <w:rsid w:val="00BA0BD7"/>
    <w:rsid w:val="00BA21EB"/>
    <w:rsid w:val="00BA31E8"/>
    <w:rsid w:val="00BA4182"/>
    <w:rsid w:val="00BA4523"/>
    <w:rsid w:val="00BA55E0"/>
    <w:rsid w:val="00BA67E0"/>
    <w:rsid w:val="00BA6BD4"/>
    <w:rsid w:val="00BA6C7A"/>
    <w:rsid w:val="00BA6DB9"/>
    <w:rsid w:val="00BA717B"/>
    <w:rsid w:val="00BB17D1"/>
    <w:rsid w:val="00BB3752"/>
    <w:rsid w:val="00BB48A3"/>
    <w:rsid w:val="00BB4F48"/>
    <w:rsid w:val="00BB59A7"/>
    <w:rsid w:val="00BB631D"/>
    <w:rsid w:val="00BB6688"/>
    <w:rsid w:val="00BB7647"/>
    <w:rsid w:val="00BC26D4"/>
    <w:rsid w:val="00BC4EB2"/>
    <w:rsid w:val="00BC5CC9"/>
    <w:rsid w:val="00BC5F1F"/>
    <w:rsid w:val="00BC7D1E"/>
    <w:rsid w:val="00BD1D9A"/>
    <w:rsid w:val="00BD2126"/>
    <w:rsid w:val="00BD32E3"/>
    <w:rsid w:val="00BD564F"/>
    <w:rsid w:val="00BD5BEC"/>
    <w:rsid w:val="00BD6D9A"/>
    <w:rsid w:val="00BD7A77"/>
    <w:rsid w:val="00BE0C80"/>
    <w:rsid w:val="00BE1257"/>
    <w:rsid w:val="00BE2857"/>
    <w:rsid w:val="00BE69E7"/>
    <w:rsid w:val="00BE7880"/>
    <w:rsid w:val="00BE7CDE"/>
    <w:rsid w:val="00BE7DBF"/>
    <w:rsid w:val="00BF06D6"/>
    <w:rsid w:val="00BF0C8C"/>
    <w:rsid w:val="00BF103E"/>
    <w:rsid w:val="00BF2155"/>
    <w:rsid w:val="00BF2A42"/>
    <w:rsid w:val="00BF47F2"/>
    <w:rsid w:val="00BF4E3C"/>
    <w:rsid w:val="00BF5314"/>
    <w:rsid w:val="00BF66D7"/>
    <w:rsid w:val="00C016EA"/>
    <w:rsid w:val="00C023A3"/>
    <w:rsid w:val="00C029CD"/>
    <w:rsid w:val="00C03B47"/>
    <w:rsid w:val="00C03C64"/>
    <w:rsid w:val="00C03D8C"/>
    <w:rsid w:val="00C04060"/>
    <w:rsid w:val="00C04BB6"/>
    <w:rsid w:val="00C055EC"/>
    <w:rsid w:val="00C070EC"/>
    <w:rsid w:val="00C10DC9"/>
    <w:rsid w:val="00C11364"/>
    <w:rsid w:val="00C1168E"/>
    <w:rsid w:val="00C12CED"/>
    <w:rsid w:val="00C12FB3"/>
    <w:rsid w:val="00C133E0"/>
    <w:rsid w:val="00C13BB1"/>
    <w:rsid w:val="00C13FFF"/>
    <w:rsid w:val="00C14F92"/>
    <w:rsid w:val="00C16DF1"/>
    <w:rsid w:val="00C17341"/>
    <w:rsid w:val="00C176B9"/>
    <w:rsid w:val="00C17CE9"/>
    <w:rsid w:val="00C202F2"/>
    <w:rsid w:val="00C205E0"/>
    <w:rsid w:val="00C20F32"/>
    <w:rsid w:val="00C218E3"/>
    <w:rsid w:val="00C229A9"/>
    <w:rsid w:val="00C2455F"/>
    <w:rsid w:val="00C24669"/>
    <w:rsid w:val="00C24EEF"/>
    <w:rsid w:val="00C25912"/>
    <w:rsid w:val="00C25CF6"/>
    <w:rsid w:val="00C26C36"/>
    <w:rsid w:val="00C307F5"/>
    <w:rsid w:val="00C32768"/>
    <w:rsid w:val="00C32B3C"/>
    <w:rsid w:val="00C33A27"/>
    <w:rsid w:val="00C3509B"/>
    <w:rsid w:val="00C35365"/>
    <w:rsid w:val="00C3583D"/>
    <w:rsid w:val="00C360F0"/>
    <w:rsid w:val="00C3619B"/>
    <w:rsid w:val="00C419E9"/>
    <w:rsid w:val="00C420AB"/>
    <w:rsid w:val="00C4254D"/>
    <w:rsid w:val="00C42831"/>
    <w:rsid w:val="00C431DF"/>
    <w:rsid w:val="00C43EAC"/>
    <w:rsid w:val="00C452A0"/>
    <w:rsid w:val="00C456BD"/>
    <w:rsid w:val="00C46098"/>
    <w:rsid w:val="00C466E0"/>
    <w:rsid w:val="00C4797D"/>
    <w:rsid w:val="00C51A68"/>
    <w:rsid w:val="00C530DC"/>
    <w:rsid w:val="00C5350D"/>
    <w:rsid w:val="00C53CA4"/>
    <w:rsid w:val="00C54DF5"/>
    <w:rsid w:val="00C54E5B"/>
    <w:rsid w:val="00C54F46"/>
    <w:rsid w:val="00C555D3"/>
    <w:rsid w:val="00C556AE"/>
    <w:rsid w:val="00C55B25"/>
    <w:rsid w:val="00C565CB"/>
    <w:rsid w:val="00C6123C"/>
    <w:rsid w:val="00C61607"/>
    <w:rsid w:val="00C61B7F"/>
    <w:rsid w:val="00C626F0"/>
    <w:rsid w:val="00C6311A"/>
    <w:rsid w:val="00C63845"/>
    <w:rsid w:val="00C7084D"/>
    <w:rsid w:val="00C7315E"/>
    <w:rsid w:val="00C7368F"/>
    <w:rsid w:val="00C750F6"/>
    <w:rsid w:val="00C75895"/>
    <w:rsid w:val="00C7599E"/>
    <w:rsid w:val="00C76B1C"/>
    <w:rsid w:val="00C77069"/>
    <w:rsid w:val="00C805AB"/>
    <w:rsid w:val="00C81269"/>
    <w:rsid w:val="00C82B38"/>
    <w:rsid w:val="00C836B8"/>
    <w:rsid w:val="00C83C9F"/>
    <w:rsid w:val="00C85C69"/>
    <w:rsid w:val="00C8725D"/>
    <w:rsid w:val="00C90FD8"/>
    <w:rsid w:val="00C91D0D"/>
    <w:rsid w:val="00C92B81"/>
    <w:rsid w:val="00C94840"/>
    <w:rsid w:val="00C95D3C"/>
    <w:rsid w:val="00C962FB"/>
    <w:rsid w:val="00CA19CE"/>
    <w:rsid w:val="00CA204A"/>
    <w:rsid w:val="00CA2CD3"/>
    <w:rsid w:val="00CA3800"/>
    <w:rsid w:val="00CA4EE3"/>
    <w:rsid w:val="00CA6174"/>
    <w:rsid w:val="00CA643E"/>
    <w:rsid w:val="00CA6F02"/>
    <w:rsid w:val="00CB027F"/>
    <w:rsid w:val="00CB138C"/>
    <w:rsid w:val="00CB3214"/>
    <w:rsid w:val="00CB3737"/>
    <w:rsid w:val="00CB4CCA"/>
    <w:rsid w:val="00CC0EBB"/>
    <w:rsid w:val="00CC19E0"/>
    <w:rsid w:val="00CC1DCC"/>
    <w:rsid w:val="00CC1F22"/>
    <w:rsid w:val="00CC22CB"/>
    <w:rsid w:val="00CC319F"/>
    <w:rsid w:val="00CC50FF"/>
    <w:rsid w:val="00CC6297"/>
    <w:rsid w:val="00CC7690"/>
    <w:rsid w:val="00CC798F"/>
    <w:rsid w:val="00CD01CD"/>
    <w:rsid w:val="00CD18E5"/>
    <w:rsid w:val="00CD1986"/>
    <w:rsid w:val="00CD29E9"/>
    <w:rsid w:val="00CD3BD6"/>
    <w:rsid w:val="00CD54BF"/>
    <w:rsid w:val="00CE0B68"/>
    <w:rsid w:val="00CE0B80"/>
    <w:rsid w:val="00CE0E70"/>
    <w:rsid w:val="00CE3490"/>
    <w:rsid w:val="00CE4D5C"/>
    <w:rsid w:val="00CE6290"/>
    <w:rsid w:val="00CE6DC8"/>
    <w:rsid w:val="00CE7408"/>
    <w:rsid w:val="00CF051B"/>
    <w:rsid w:val="00CF05DA"/>
    <w:rsid w:val="00CF1C44"/>
    <w:rsid w:val="00CF1D53"/>
    <w:rsid w:val="00CF2386"/>
    <w:rsid w:val="00CF26BD"/>
    <w:rsid w:val="00CF58EB"/>
    <w:rsid w:val="00CF5C83"/>
    <w:rsid w:val="00CF5D6B"/>
    <w:rsid w:val="00CF6FEC"/>
    <w:rsid w:val="00CF7209"/>
    <w:rsid w:val="00D00152"/>
    <w:rsid w:val="00D009D8"/>
    <w:rsid w:val="00D0106E"/>
    <w:rsid w:val="00D01245"/>
    <w:rsid w:val="00D06383"/>
    <w:rsid w:val="00D06411"/>
    <w:rsid w:val="00D07265"/>
    <w:rsid w:val="00D13E14"/>
    <w:rsid w:val="00D16230"/>
    <w:rsid w:val="00D16A02"/>
    <w:rsid w:val="00D17F94"/>
    <w:rsid w:val="00D208DF"/>
    <w:rsid w:val="00D20E85"/>
    <w:rsid w:val="00D21F8C"/>
    <w:rsid w:val="00D22EE4"/>
    <w:rsid w:val="00D235CE"/>
    <w:rsid w:val="00D23721"/>
    <w:rsid w:val="00D24615"/>
    <w:rsid w:val="00D25B8F"/>
    <w:rsid w:val="00D25EBD"/>
    <w:rsid w:val="00D263CE"/>
    <w:rsid w:val="00D26FFC"/>
    <w:rsid w:val="00D2700F"/>
    <w:rsid w:val="00D27223"/>
    <w:rsid w:val="00D305CB"/>
    <w:rsid w:val="00D306CE"/>
    <w:rsid w:val="00D32CD8"/>
    <w:rsid w:val="00D33C08"/>
    <w:rsid w:val="00D34036"/>
    <w:rsid w:val="00D34B60"/>
    <w:rsid w:val="00D35328"/>
    <w:rsid w:val="00D36ED9"/>
    <w:rsid w:val="00D37842"/>
    <w:rsid w:val="00D4004E"/>
    <w:rsid w:val="00D414E5"/>
    <w:rsid w:val="00D41B6E"/>
    <w:rsid w:val="00D425B7"/>
    <w:rsid w:val="00D42DC2"/>
    <w:rsid w:val="00D4393F"/>
    <w:rsid w:val="00D444B2"/>
    <w:rsid w:val="00D455B8"/>
    <w:rsid w:val="00D46BF3"/>
    <w:rsid w:val="00D46C91"/>
    <w:rsid w:val="00D47302"/>
    <w:rsid w:val="00D47865"/>
    <w:rsid w:val="00D50A4A"/>
    <w:rsid w:val="00D52501"/>
    <w:rsid w:val="00D527B4"/>
    <w:rsid w:val="00D537E1"/>
    <w:rsid w:val="00D55BB2"/>
    <w:rsid w:val="00D56C4C"/>
    <w:rsid w:val="00D574E3"/>
    <w:rsid w:val="00D57624"/>
    <w:rsid w:val="00D6091A"/>
    <w:rsid w:val="00D6561A"/>
    <w:rsid w:val="00D6605A"/>
    <w:rsid w:val="00D6695F"/>
    <w:rsid w:val="00D67647"/>
    <w:rsid w:val="00D70A4C"/>
    <w:rsid w:val="00D70FF5"/>
    <w:rsid w:val="00D747D3"/>
    <w:rsid w:val="00D74DFF"/>
    <w:rsid w:val="00D75644"/>
    <w:rsid w:val="00D76C6A"/>
    <w:rsid w:val="00D81585"/>
    <w:rsid w:val="00D81656"/>
    <w:rsid w:val="00D83D87"/>
    <w:rsid w:val="00D84A6D"/>
    <w:rsid w:val="00D86A30"/>
    <w:rsid w:val="00D879F0"/>
    <w:rsid w:val="00D90014"/>
    <w:rsid w:val="00D92714"/>
    <w:rsid w:val="00D955C6"/>
    <w:rsid w:val="00D96E90"/>
    <w:rsid w:val="00D97CB4"/>
    <w:rsid w:val="00D97DD4"/>
    <w:rsid w:val="00DA1251"/>
    <w:rsid w:val="00DA3323"/>
    <w:rsid w:val="00DA34B6"/>
    <w:rsid w:val="00DA5A8A"/>
    <w:rsid w:val="00DA6A1E"/>
    <w:rsid w:val="00DB09AD"/>
    <w:rsid w:val="00DB1170"/>
    <w:rsid w:val="00DB1E55"/>
    <w:rsid w:val="00DB2395"/>
    <w:rsid w:val="00DB23CA"/>
    <w:rsid w:val="00DB26CD"/>
    <w:rsid w:val="00DB2B55"/>
    <w:rsid w:val="00DB2E8E"/>
    <w:rsid w:val="00DB3055"/>
    <w:rsid w:val="00DB3D97"/>
    <w:rsid w:val="00DB4237"/>
    <w:rsid w:val="00DB441C"/>
    <w:rsid w:val="00DB44AF"/>
    <w:rsid w:val="00DB6454"/>
    <w:rsid w:val="00DB6F54"/>
    <w:rsid w:val="00DB7770"/>
    <w:rsid w:val="00DB7B97"/>
    <w:rsid w:val="00DC1CE0"/>
    <w:rsid w:val="00DC1D33"/>
    <w:rsid w:val="00DC1F58"/>
    <w:rsid w:val="00DC2022"/>
    <w:rsid w:val="00DC339B"/>
    <w:rsid w:val="00DC376C"/>
    <w:rsid w:val="00DC3D13"/>
    <w:rsid w:val="00DC3F66"/>
    <w:rsid w:val="00DC529C"/>
    <w:rsid w:val="00DC5D40"/>
    <w:rsid w:val="00DC69A7"/>
    <w:rsid w:val="00DD09CE"/>
    <w:rsid w:val="00DD1BB1"/>
    <w:rsid w:val="00DD2AA0"/>
    <w:rsid w:val="00DD30E9"/>
    <w:rsid w:val="00DD4632"/>
    <w:rsid w:val="00DD493C"/>
    <w:rsid w:val="00DD4F47"/>
    <w:rsid w:val="00DD6EF0"/>
    <w:rsid w:val="00DD71A2"/>
    <w:rsid w:val="00DD7FBB"/>
    <w:rsid w:val="00DE0493"/>
    <w:rsid w:val="00DE0B9F"/>
    <w:rsid w:val="00DE2A9E"/>
    <w:rsid w:val="00DE3775"/>
    <w:rsid w:val="00DE3F28"/>
    <w:rsid w:val="00DE421F"/>
    <w:rsid w:val="00DE4238"/>
    <w:rsid w:val="00DE5AA3"/>
    <w:rsid w:val="00DE6259"/>
    <w:rsid w:val="00DE647C"/>
    <w:rsid w:val="00DE657F"/>
    <w:rsid w:val="00DE7300"/>
    <w:rsid w:val="00DE7466"/>
    <w:rsid w:val="00DE7612"/>
    <w:rsid w:val="00DF0011"/>
    <w:rsid w:val="00DF0453"/>
    <w:rsid w:val="00DF1218"/>
    <w:rsid w:val="00DF243E"/>
    <w:rsid w:val="00DF4ED7"/>
    <w:rsid w:val="00DF5195"/>
    <w:rsid w:val="00DF6462"/>
    <w:rsid w:val="00E02FA0"/>
    <w:rsid w:val="00E036DC"/>
    <w:rsid w:val="00E066A9"/>
    <w:rsid w:val="00E100FF"/>
    <w:rsid w:val="00E10454"/>
    <w:rsid w:val="00E1059F"/>
    <w:rsid w:val="00E10827"/>
    <w:rsid w:val="00E10F55"/>
    <w:rsid w:val="00E112E5"/>
    <w:rsid w:val="00E122D8"/>
    <w:rsid w:val="00E12CC8"/>
    <w:rsid w:val="00E144DC"/>
    <w:rsid w:val="00E14F43"/>
    <w:rsid w:val="00E15352"/>
    <w:rsid w:val="00E155A3"/>
    <w:rsid w:val="00E15F43"/>
    <w:rsid w:val="00E1645C"/>
    <w:rsid w:val="00E17B06"/>
    <w:rsid w:val="00E17F08"/>
    <w:rsid w:val="00E20223"/>
    <w:rsid w:val="00E2042D"/>
    <w:rsid w:val="00E21CC7"/>
    <w:rsid w:val="00E22192"/>
    <w:rsid w:val="00E23505"/>
    <w:rsid w:val="00E24D9E"/>
    <w:rsid w:val="00E25849"/>
    <w:rsid w:val="00E26723"/>
    <w:rsid w:val="00E26858"/>
    <w:rsid w:val="00E26E46"/>
    <w:rsid w:val="00E27524"/>
    <w:rsid w:val="00E30C65"/>
    <w:rsid w:val="00E3197E"/>
    <w:rsid w:val="00E32261"/>
    <w:rsid w:val="00E3419B"/>
    <w:rsid w:val="00E342F8"/>
    <w:rsid w:val="00E34B11"/>
    <w:rsid w:val="00E351ED"/>
    <w:rsid w:val="00E35DE0"/>
    <w:rsid w:val="00E40611"/>
    <w:rsid w:val="00E41E14"/>
    <w:rsid w:val="00E42380"/>
    <w:rsid w:val="00E42E55"/>
    <w:rsid w:val="00E43714"/>
    <w:rsid w:val="00E43DD3"/>
    <w:rsid w:val="00E4495F"/>
    <w:rsid w:val="00E454DD"/>
    <w:rsid w:val="00E45607"/>
    <w:rsid w:val="00E45D61"/>
    <w:rsid w:val="00E46E96"/>
    <w:rsid w:val="00E473D4"/>
    <w:rsid w:val="00E517AD"/>
    <w:rsid w:val="00E52ED1"/>
    <w:rsid w:val="00E53CB9"/>
    <w:rsid w:val="00E553A1"/>
    <w:rsid w:val="00E556DC"/>
    <w:rsid w:val="00E5597D"/>
    <w:rsid w:val="00E60025"/>
    <w:rsid w:val="00E6002C"/>
    <w:rsid w:val="00E6034B"/>
    <w:rsid w:val="00E60D40"/>
    <w:rsid w:val="00E639A1"/>
    <w:rsid w:val="00E6549E"/>
    <w:rsid w:val="00E65C92"/>
    <w:rsid w:val="00E65EDE"/>
    <w:rsid w:val="00E65F06"/>
    <w:rsid w:val="00E70F77"/>
    <w:rsid w:val="00E70F81"/>
    <w:rsid w:val="00E71446"/>
    <w:rsid w:val="00E72F2E"/>
    <w:rsid w:val="00E73239"/>
    <w:rsid w:val="00E73E1D"/>
    <w:rsid w:val="00E7484D"/>
    <w:rsid w:val="00E75E5B"/>
    <w:rsid w:val="00E77055"/>
    <w:rsid w:val="00E77460"/>
    <w:rsid w:val="00E81671"/>
    <w:rsid w:val="00E82887"/>
    <w:rsid w:val="00E83ABC"/>
    <w:rsid w:val="00E844F2"/>
    <w:rsid w:val="00E8479D"/>
    <w:rsid w:val="00E90AD0"/>
    <w:rsid w:val="00E9147E"/>
    <w:rsid w:val="00E92FCB"/>
    <w:rsid w:val="00E9335F"/>
    <w:rsid w:val="00E95371"/>
    <w:rsid w:val="00E97508"/>
    <w:rsid w:val="00E97FF7"/>
    <w:rsid w:val="00EA102D"/>
    <w:rsid w:val="00EA147F"/>
    <w:rsid w:val="00EA4A27"/>
    <w:rsid w:val="00EA4BCF"/>
    <w:rsid w:val="00EA4FA6"/>
    <w:rsid w:val="00EB1A25"/>
    <w:rsid w:val="00EB2095"/>
    <w:rsid w:val="00EB249B"/>
    <w:rsid w:val="00EB46E5"/>
    <w:rsid w:val="00EB54DE"/>
    <w:rsid w:val="00EC0647"/>
    <w:rsid w:val="00EC0ADF"/>
    <w:rsid w:val="00EC5AF2"/>
    <w:rsid w:val="00EC5F84"/>
    <w:rsid w:val="00EC7363"/>
    <w:rsid w:val="00ED03AB"/>
    <w:rsid w:val="00ED1963"/>
    <w:rsid w:val="00ED1CD4"/>
    <w:rsid w:val="00ED1D2B"/>
    <w:rsid w:val="00ED2317"/>
    <w:rsid w:val="00ED2BB8"/>
    <w:rsid w:val="00ED4E44"/>
    <w:rsid w:val="00ED64B5"/>
    <w:rsid w:val="00ED64F8"/>
    <w:rsid w:val="00ED7086"/>
    <w:rsid w:val="00ED7C9C"/>
    <w:rsid w:val="00EE087A"/>
    <w:rsid w:val="00EE0D75"/>
    <w:rsid w:val="00EE1D03"/>
    <w:rsid w:val="00EE3A73"/>
    <w:rsid w:val="00EE547F"/>
    <w:rsid w:val="00EE58A0"/>
    <w:rsid w:val="00EE7CCA"/>
    <w:rsid w:val="00EE7DF5"/>
    <w:rsid w:val="00EF04D8"/>
    <w:rsid w:val="00EF1220"/>
    <w:rsid w:val="00EF2837"/>
    <w:rsid w:val="00EF32E1"/>
    <w:rsid w:val="00EF5058"/>
    <w:rsid w:val="00EF6EAF"/>
    <w:rsid w:val="00EF7D92"/>
    <w:rsid w:val="00F0070B"/>
    <w:rsid w:val="00F00FCA"/>
    <w:rsid w:val="00F01B62"/>
    <w:rsid w:val="00F036D8"/>
    <w:rsid w:val="00F0383D"/>
    <w:rsid w:val="00F04A09"/>
    <w:rsid w:val="00F06B40"/>
    <w:rsid w:val="00F10C51"/>
    <w:rsid w:val="00F1161A"/>
    <w:rsid w:val="00F118A8"/>
    <w:rsid w:val="00F13E02"/>
    <w:rsid w:val="00F13FF7"/>
    <w:rsid w:val="00F140A6"/>
    <w:rsid w:val="00F16882"/>
    <w:rsid w:val="00F16A14"/>
    <w:rsid w:val="00F16E38"/>
    <w:rsid w:val="00F17C34"/>
    <w:rsid w:val="00F17DB2"/>
    <w:rsid w:val="00F20215"/>
    <w:rsid w:val="00F21D53"/>
    <w:rsid w:val="00F21E3B"/>
    <w:rsid w:val="00F22F57"/>
    <w:rsid w:val="00F243D8"/>
    <w:rsid w:val="00F248D3"/>
    <w:rsid w:val="00F2594F"/>
    <w:rsid w:val="00F25B68"/>
    <w:rsid w:val="00F25D67"/>
    <w:rsid w:val="00F2634D"/>
    <w:rsid w:val="00F26D5E"/>
    <w:rsid w:val="00F313AF"/>
    <w:rsid w:val="00F32200"/>
    <w:rsid w:val="00F336D3"/>
    <w:rsid w:val="00F34E1D"/>
    <w:rsid w:val="00F362D7"/>
    <w:rsid w:val="00F3665B"/>
    <w:rsid w:val="00F36F40"/>
    <w:rsid w:val="00F37889"/>
    <w:rsid w:val="00F37D7B"/>
    <w:rsid w:val="00F400B1"/>
    <w:rsid w:val="00F4096A"/>
    <w:rsid w:val="00F40C25"/>
    <w:rsid w:val="00F4102D"/>
    <w:rsid w:val="00F42540"/>
    <w:rsid w:val="00F43787"/>
    <w:rsid w:val="00F44A8F"/>
    <w:rsid w:val="00F44EED"/>
    <w:rsid w:val="00F47039"/>
    <w:rsid w:val="00F4718F"/>
    <w:rsid w:val="00F476EB"/>
    <w:rsid w:val="00F51258"/>
    <w:rsid w:val="00F5169F"/>
    <w:rsid w:val="00F52A8A"/>
    <w:rsid w:val="00F5314C"/>
    <w:rsid w:val="00F535B7"/>
    <w:rsid w:val="00F53B4C"/>
    <w:rsid w:val="00F54155"/>
    <w:rsid w:val="00F55726"/>
    <w:rsid w:val="00F5688C"/>
    <w:rsid w:val="00F56F16"/>
    <w:rsid w:val="00F57D13"/>
    <w:rsid w:val="00F60048"/>
    <w:rsid w:val="00F60064"/>
    <w:rsid w:val="00F60A09"/>
    <w:rsid w:val="00F61616"/>
    <w:rsid w:val="00F635DD"/>
    <w:rsid w:val="00F6477A"/>
    <w:rsid w:val="00F6627B"/>
    <w:rsid w:val="00F6641C"/>
    <w:rsid w:val="00F670B7"/>
    <w:rsid w:val="00F67395"/>
    <w:rsid w:val="00F677B5"/>
    <w:rsid w:val="00F70678"/>
    <w:rsid w:val="00F710C5"/>
    <w:rsid w:val="00F71FAB"/>
    <w:rsid w:val="00F72930"/>
    <w:rsid w:val="00F7336E"/>
    <w:rsid w:val="00F734F2"/>
    <w:rsid w:val="00F75052"/>
    <w:rsid w:val="00F75940"/>
    <w:rsid w:val="00F75FF4"/>
    <w:rsid w:val="00F76BEE"/>
    <w:rsid w:val="00F77928"/>
    <w:rsid w:val="00F804D3"/>
    <w:rsid w:val="00F812B9"/>
    <w:rsid w:val="00F816CB"/>
    <w:rsid w:val="00F81CD2"/>
    <w:rsid w:val="00F82641"/>
    <w:rsid w:val="00F828E3"/>
    <w:rsid w:val="00F85B8E"/>
    <w:rsid w:val="00F8782E"/>
    <w:rsid w:val="00F901B8"/>
    <w:rsid w:val="00F90F18"/>
    <w:rsid w:val="00F92EDB"/>
    <w:rsid w:val="00F937E4"/>
    <w:rsid w:val="00F94AB7"/>
    <w:rsid w:val="00F95EE7"/>
    <w:rsid w:val="00F963D2"/>
    <w:rsid w:val="00FA08C7"/>
    <w:rsid w:val="00FA382E"/>
    <w:rsid w:val="00FA39E6"/>
    <w:rsid w:val="00FA446F"/>
    <w:rsid w:val="00FA44F9"/>
    <w:rsid w:val="00FA58A6"/>
    <w:rsid w:val="00FA7BC9"/>
    <w:rsid w:val="00FB145A"/>
    <w:rsid w:val="00FB1B58"/>
    <w:rsid w:val="00FB378E"/>
    <w:rsid w:val="00FB37F1"/>
    <w:rsid w:val="00FB47C0"/>
    <w:rsid w:val="00FB501B"/>
    <w:rsid w:val="00FB65B5"/>
    <w:rsid w:val="00FB7770"/>
    <w:rsid w:val="00FB7E72"/>
    <w:rsid w:val="00FC087C"/>
    <w:rsid w:val="00FC16EE"/>
    <w:rsid w:val="00FC27E8"/>
    <w:rsid w:val="00FC3135"/>
    <w:rsid w:val="00FC32D4"/>
    <w:rsid w:val="00FC355C"/>
    <w:rsid w:val="00FC43F4"/>
    <w:rsid w:val="00FD3B1B"/>
    <w:rsid w:val="00FD3B91"/>
    <w:rsid w:val="00FD40B9"/>
    <w:rsid w:val="00FD466C"/>
    <w:rsid w:val="00FD5652"/>
    <w:rsid w:val="00FD576B"/>
    <w:rsid w:val="00FD579E"/>
    <w:rsid w:val="00FD5DCB"/>
    <w:rsid w:val="00FD6289"/>
    <w:rsid w:val="00FD6845"/>
    <w:rsid w:val="00FD6F9E"/>
    <w:rsid w:val="00FD74D2"/>
    <w:rsid w:val="00FE2302"/>
    <w:rsid w:val="00FE2F85"/>
    <w:rsid w:val="00FE2F91"/>
    <w:rsid w:val="00FE4516"/>
    <w:rsid w:val="00FE563B"/>
    <w:rsid w:val="00FE64C8"/>
    <w:rsid w:val="00FF1763"/>
    <w:rsid w:val="00FF2DD1"/>
    <w:rsid w:val="00FF3787"/>
    <w:rsid w:val="00FF467F"/>
    <w:rsid w:val="00FF474F"/>
    <w:rsid w:val="00FF5EED"/>
    <w:rsid w:val="00FF79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A8D93BC-E3A4-45F2-A805-4BF435276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8">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8"/>
    <w:qFormat/>
    <w:rsid w:val="004F5E57"/>
    <w:pPr>
      <w:numPr>
        <w:numId w:val="12"/>
      </w:numPr>
      <w:outlineLvl w:val="0"/>
    </w:pPr>
    <w:rPr>
      <w:rFonts w:hAnsi="Arial"/>
      <w:bCs/>
      <w:kern w:val="32"/>
      <w:szCs w:val="52"/>
    </w:rPr>
  </w:style>
  <w:style w:type="paragraph" w:styleId="2">
    <w:name w:val="heading 2"/>
    <w:basedOn w:val="a8"/>
    <w:link w:val="20"/>
    <w:qFormat/>
    <w:rsid w:val="004F5E57"/>
    <w:pPr>
      <w:numPr>
        <w:ilvl w:val="1"/>
        <w:numId w:val="12"/>
      </w:numPr>
      <w:outlineLvl w:val="1"/>
    </w:pPr>
    <w:rPr>
      <w:rFonts w:hAnsi="Arial"/>
      <w:bCs/>
      <w:kern w:val="32"/>
      <w:szCs w:val="48"/>
    </w:rPr>
  </w:style>
  <w:style w:type="paragraph" w:styleId="3">
    <w:name w:val="heading 3"/>
    <w:basedOn w:val="a8"/>
    <w:link w:val="31"/>
    <w:qFormat/>
    <w:rsid w:val="004F5E57"/>
    <w:pPr>
      <w:numPr>
        <w:ilvl w:val="2"/>
        <w:numId w:val="12"/>
      </w:numPr>
      <w:outlineLvl w:val="2"/>
    </w:pPr>
    <w:rPr>
      <w:rFonts w:hAnsi="Arial"/>
      <w:bCs/>
      <w:kern w:val="32"/>
      <w:szCs w:val="36"/>
    </w:rPr>
  </w:style>
  <w:style w:type="paragraph" w:styleId="4">
    <w:name w:val="heading 4"/>
    <w:basedOn w:val="a8"/>
    <w:link w:val="41"/>
    <w:qFormat/>
    <w:rsid w:val="004F5E57"/>
    <w:pPr>
      <w:numPr>
        <w:ilvl w:val="3"/>
        <w:numId w:val="12"/>
      </w:numPr>
      <w:outlineLvl w:val="3"/>
    </w:pPr>
    <w:rPr>
      <w:rFonts w:hAnsi="Arial"/>
      <w:kern w:val="32"/>
      <w:szCs w:val="36"/>
    </w:rPr>
  </w:style>
  <w:style w:type="paragraph" w:styleId="5">
    <w:name w:val="heading 5"/>
    <w:basedOn w:val="a8"/>
    <w:link w:val="51"/>
    <w:qFormat/>
    <w:rsid w:val="004F5E57"/>
    <w:pPr>
      <w:numPr>
        <w:ilvl w:val="4"/>
        <w:numId w:val="12"/>
      </w:numPr>
      <w:outlineLvl w:val="4"/>
    </w:pPr>
    <w:rPr>
      <w:rFonts w:hAnsi="Arial"/>
      <w:bCs/>
      <w:kern w:val="32"/>
      <w:szCs w:val="36"/>
    </w:rPr>
  </w:style>
  <w:style w:type="paragraph" w:styleId="6">
    <w:name w:val="heading 6"/>
    <w:basedOn w:val="a8"/>
    <w:link w:val="60"/>
    <w:qFormat/>
    <w:rsid w:val="004F5E57"/>
    <w:pPr>
      <w:numPr>
        <w:ilvl w:val="5"/>
        <w:numId w:val="12"/>
      </w:numPr>
      <w:tabs>
        <w:tab w:val="left" w:pos="2094"/>
      </w:tabs>
      <w:outlineLvl w:val="5"/>
    </w:pPr>
    <w:rPr>
      <w:rFonts w:hAnsi="Arial"/>
      <w:kern w:val="32"/>
      <w:szCs w:val="36"/>
    </w:rPr>
  </w:style>
  <w:style w:type="paragraph" w:styleId="7">
    <w:name w:val="heading 7"/>
    <w:basedOn w:val="a8"/>
    <w:qFormat/>
    <w:rsid w:val="004F5E57"/>
    <w:pPr>
      <w:numPr>
        <w:ilvl w:val="6"/>
        <w:numId w:val="12"/>
      </w:numPr>
      <w:outlineLvl w:val="6"/>
    </w:pPr>
    <w:rPr>
      <w:rFonts w:hAnsi="Arial"/>
      <w:bCs/>
      <w:kern w:val="32"/>
      <w:szCs w:val="36"/>
    </w:rPr>
  </w:style>
  <w:style w:type="paragraph" w:styleId="8">
    <w:name w:val="heading 8"/>
    <w:basedOn w:val="a8"/>
    <w:qFormat/>
    <w:rsid w:val="004F5E57"/>
    <w:pPr>
      <w:numPr>
        <w:ilvl w:val="7"/>
        <w:numId w:val="12"/>
      </w:numPr>
      <w:outlineLvl w:val="7"/>
    </w:pPr>
    <w:rPr>
      <w:rFonts w:hAnsi="Arial"/>
      <w:kern w:val="32"/>
      <w:szCs w:val="36"/>
    </w:rPr>
  </w:style>
  <w:style w:type="paragraph" w:styleId="9">
    <w:name w:val="heading 9"/>
    <w:basedOn w:val="a8"/>
    <w:link w:val="90"/>
    <w:uiPriority w:val="9"/>
    <w:unhideWhenUsed/>
    <w:qFormat/>
    <w:rsid w:val="00C055EC"/>
    <w:pPr>
      <w:numPr>
        <w:ilvl w:val="8"/>
        <w:numId w:val="12"/>
      </w:numPr>
      <w:outlineLvl w:val="8"/>
    </w:pPr>
    <w:rPr>
      <w:rFonts w:hAnsiTheme="majorHAnsi" w:cstheme="majorBidi"/>
      <w:kern w:val="32"/>
      <w:szCs w:val="36"/>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20">
    <w:name w:val="標題 2 字元"/>
    <w:basedOn w:val="a9"/>
    <w:link w:val="2"/>
    <w:rsid w:val="00AF13F3"/>
    <w:rPr>
      <w:rFonts w:ascii="標楷體" w:eastAsia="標楷體" w:hAnsi="Arial"/>
      <w:bCs/>
      <w:kern w:val="32"/>
      <w:sz w:val="32"/>
      <w:szCs w:val="48"/>
    </w:rPr>
  </w:style>
  <w:style w:type="character" w:customStyle="1" w:styleId="31">
    <w:name w:val="標題 3 字元"/>
    <w:basedOn w:val="a9"/>
    <w:link w:val="3"/>
    <w:rsid w:val="007D0A1D"/>
    <w:rPr>
      <w:rFonts w:ascii="標楷體" w:eastAsia="標楷體" w:hAnsi="Arial"/>
      <w:bCs/>
      <w:kern w:val="32"/>
      <w:sz w:val="32"/>
      <w:szCs w:val="36"/>
    </w:rPr>
  </w:style>
  <w:style w:type="character" w:customStyle="1" w:styleId="41">
    <w:name w:val="標題 4 字元"/>
    <w:basedOn w:val="a9"/>
    <w:link w:val="4"/>
    <w:rsid w:val="005079D0"/>
    <w:rPr>
      <w:rFonts w:ascii="標楷體" w:eastAsia="標楷體" w:hAnsi="Arial"/>
      <w:kern w:val="32"/>
      <w:sz w:val="32"/>
      <w:szCs w:val="36"/>
    </w:rPr>
  </w:style>
  <w:style w:type="character" w:customStyle="1" w:styleId="51">
    <w:name w:val="標題 5 字元"/>
    <w:basedOn w:val="a9"/>
    <w:link w:val="5"/>
    <w:rsid w:val="005079D0"/>
    <w:rPr>
      <w:rFonts w:ascii="標楷體" w:eastAsia="標楷體" w:hAnsi="Arial"/>
      <w:bCs/>
      <w:kern w:val="32"/>
      <w:sz w:val="32"/>
      <w:szCs w:val="36"/>
    </w:rPr>
  </w:style>
  <w:style w:type="character" w:customStyle="1" w:styleId="60">
    <w:name w:val="標題 6 字元"/>
    <w:basedOn w:val="a9"/>
    <w:link w:val="6"/>
    <w:rsid w:val="0064621B"/>
    <w:rPr>
      <w:rFonts w:ascii="標楷體" w:eastAsia="標楷體" w:hAnsi="Arial"/>
      <w:kern w:val="32"/>
      <w:sz w:val="32"/>
      <w:szCs w:val="36"/>
    </w:rPr>
  </w:style>
  <w:style w:type="character" w:customStyle="1" w:styleId="90">
    <w:name w:val="標題 9 字元"/>
    <w:basedOn w:val="a9"/>
    <w:link w:val="9"/>
    <w:uiPriority w:val="9"/>
    <w:rsid w:val="00C055EC"/>
    <w:rPr>
      <w:rFonts w:ascii="標楷體" w:eastAsia="標楷體" w:hAnsiTheme="majorHAnsi" w:cstheme="majorBidi"/>
      <w:kern w:val="32"/>
      <w:sz w:val="32"/>
      <w:szCs w:val="36"/>
    </w:rPr>
  </w:style>
  <w:style w:type="paragraph" w:styleId="ac">
    <w:name w:val="Signature"/>
    <w:basedOn w:val="a8"/>
    <w:semiHidden/>
    <w:qFormat/>
    <w:rsid w:val="004E0062"/>
    <w:pPr>
      <w:spacing w:before="720" w:after="720"/>
      <w:ind w:left="7371"/>
    </w:pPr>
    <w:rPr>
      <w:b/>
      <w:snapToGrid w:val="0"/>
      <w:spacing w:val="10"/>
      <w:sz w:val="36"/>
    </w:rPr>
  </w:style>
  <w:style w:type="paragraph" w:styleId="ad">
    <w:name w:val="endnote text"/>
    <w:basedOn w:val="a8"/>
    <w:link w:val="ae"/>
    <w:semiHidden/>
    <w:rsid w:val="004E0062"/>
    <w:pPr>
      <w:kinsoku w:val="0"/>
      <w:autoSpaceDE/>
      <w:spacing w:before="240"/>
      <w:ind w:left="1021" w:hanging="1021"/>
    </w:pPr>
    <w:rPr>
      <w:snapToGrid w:val="0"/>
      <w:spacing w:val="10"/>
    </w:rPr>
  </w:style>
  <w:style w:type="character" w:customStyle="1" w:styleId="ae">
    <w:name w:val="章節附註文字 字元"/>
    <w:basedOn w:val="a9"/>
    <w:link w:val="ad"/>
    <w:semiHidden/>
    <w:rsid w:val="001C234C"/>
    <w:rPr>
      <w:rFonts w:ascii="標楷體" w:eastAsia="標楷體"/>
      <w:snapToGrid w:val="0"/>
      <w:spacing w:val="10"/>
      <w:kern w:val="2"/>
      <w:sz w:val="32"/>
    </w:rPr>
  </w:style>
  <w:style w:type="paragraph" w:styleId="52">
    <w:name w:val="toc 5"/>
    <w:basedOn w:val="a8"/>
    <w:next w:val="a8"/>
    <w:autoRedefine/>
    <w:semiHidden/>
    <w:rsid w:val="004E0062"/>
    <w:pPr>
      <w:ind w:leftChars="400" w:left="600" w:rightChars="200" w:right="200" w:hangingChars="200" w:hanging="200"/>
    </w:pPr>
  </w:style>
  <w:style w:type="character" w:styleId="af">
    <w:name w:val="page number"/>
    <w:basedOn w:val="a9"/>
    <w:semiHidden/>
    <w:rsid w:val="004E0062"/>
    <w:rPr>
      <w:rFonts w:ascii="標楷體" w:eastAsia="標楷體"/>
      <w:sz w:val="20"/>
    </w:rPr>
  </w:style>
  <w:style w:type="paragraph" w:styleId="61">
    <w:name w:val="toc 6"/>
    <w:basedOn w:val="a8"/>
    <w:next w:val="a8"/>
    <w:autoRedefine/>
    <w:semiHidden/>
    <w:rsid w:val="004E0062"/>
    <w:pPr>
      <w:ind w:leftChars="500" w:left="500"/>
    </w:pPr>
  </w:style>
  <w:style w:type="paragraph" w:customStyle="1" w:styleId="11">
    <w:name w:val="段落樣式1"/>
    <w:basedOn w:val="a8"/>
    <w:qFormat/>
    <w:rsid w:val="004F5E57"/>
    <w:pPr>
      <w:tabs>
        <w:tab w:val="left" w:pos="567"/>
      </w:tabs>
      <w:ind w:leftChars="200" w:left="200" w:firstLineChars="200" w:firstLine="200"/>
    </w:pPr>
    <w:rPr>
      <w:kern w:val="32"/>
    </w:rPr>
  </w:style>
  <w:style w:type="paragraph" w:customStyle="1" w:styleId="22">
    <w:name w:val="段落樣式2"/>
    <w:basedOn w:val="a8"/>
    <w:link w:val="23"/>
    <w:qFormat/>
    <w:rsid w:val="004F5E57"/>
    <w:pPr>
      <w:tabs>
        <w:tab w:val="left" w:pos="567"/>
      </w:tabs>
      <w:ind w:leftChars="300" w:left="300" w:firstLineChars="200" w:firstLine="200"/>
    </w:pPr>
    <w:rPr>
      <w:kern w:val="32"/>
    </w:rPr>
  </w:style>
  <w:style w:type="character" w:customStyle="1" w:styleId="23">
    <w:name w:val="段落樣式2 字元"/>
    <w:link w:val="22"/>
    <w:rsid w:val="001C234C"/>
    <w:rPr>
      <w:rFonts w:ascii="標楷體" w:eastAsia="標楷體"/>
      <w:kern w:val="32"/>
      <w:sz w:val="32"/>
    </w:rPr>
  </w:style>
  <w:style w:type="paragraph" w:styleId="12">
    <w:name w:val="toc 1"/>
    <w:basedOn w:val="a8"/>
    <w:next w:val="a8"/>
    <w:autoRedefine/>
    <w:uiPriority w:val="39"/>
    <w:rsid w:val="00CC7690"/>
    <w:pPr>
      <w:tabs>
        <w:tab w:val="right" w:leader="hyphen" w:pos="8834"/>
      </w:tabs>
      <w:kinsoku w:val="0"/>
      <w:ind w:left="400" w:rightChars="100" w:right="100" w:hangingChars="400" w:hanging="400"/>
    </w:pPr>
    <w:rPr>
      <w:noProof/>
      <w:szCs w:val="32"/>
    </w:rPr>
  </w:style>
  <w:style w:type="paragraph" w:styleId="24">
    <w:name w:val="toc 2"/>
    <w:basedOn w:val="a8"/>
    <w:next w:val="a8"/>
    <w:autoRedefine/>
    <w:uiPriority w:val="39"/>
    <w:rsid w:val="00807AF7"/>
    <w:pPr>
      <w:tabs>
        <w:tab w:val="right" w:leader="hyphen" w:pos="8834"/>
      </w:tabs>
      <w:kinsoku w:val="0"/>
      <w:ind w:leftChars="100" w:left="1020" w:rightChars="100" w:right="340" w:hangingChars="200" w:hanging="680"/>
    </w:pPr>
    <w:rPr>
      <w:noProof/>
    </w:rPr>
  </w:style>
  <w:style w:type="paragraph" w:styleId="32">
    <w:name w:val="toc 3"/>
    <w:basedOn w:val="a8"/>
    <w:next w:val="a8"/>
    <w:autoRedefine/>
    <w:uiPriority w:val="39"/>
    <w:rsid w:val="00CC7690"/>
    <w:pPr>
      <w:tabs>
        <w:tab w:val="right" w:leader="hyphen" w:pos="8834"/>
      </w:tabs>
      <w:kinsoku w:val="0"/>
      <w:ind w:leftChars="200" w:left="1360" w:rightChars="100" w:right="340" w:hangingChars="200" w:hanging="680"/>
    </w:pPr>
    <w:rPr>
      <w:noProof/>
    </w:rPr>
  </w:style>
  <w:style w:type="paragraph" w:styleId="42">
    <w:name w:val="toc 4"/>
    <w:basedOn w:val="a8"/>
    <w:next w:val="a8"/>
    <w:autoRedefine/>
    <w:semiHidden/>
    <w:rsid w:val="004E0062"/>
    <w:pPr>
      <w:kinsoku w:val="0"/>
      <w:ind w:leftChars="300" w:left="500" w:rightChars="200" w:right="200" w:hangingChars="200" w:hanging="200"/>
    </w:pPr>
  </w:style>
  <w:style w:type="paragraph" w:styleId="70">
    <w:name w:val="toc 7"/>
    <w:basedOn w:val="a8"/>
    <w:next w:val="a8"/>
    <w:autoRedefine/>
    <w:semiHidden/>
    <w:rsid w:val="004E0062"/>
    <w:pPr>
      <w:ind w:leftChars="600" w:left="800" w:hangingChars="200" w:hanging="200"/>
    </w:pPr>
  </w:style>
  <w:style w:type="paragraph" w:styleId="80">
    <w:name w:val="toc 8"/>
    <w:basedOn w:val="a8"/>
    <w:next w:val="a8"/>
    <w:autoRedefine/>
    <w:semiHidden/>
    <w:rsid w:val="004E0062"/>
    <w:pPr>
      <w:ind w:leftChars="700" w:left="900" w:hangingChars="200" w:hanging="200"/>
    </w:pPr>
  </w:style>
  <w:style w:type="paragraph" w:styleId="91">
    <w:name w:val="toc 9"/>
    <w:basedOn w:val="a8"/>
    <w:next w:val="a8"/>
    <w:autoRedefine/>
    <w:semiHidden/>
    <w:rsid w:val="004E0062"/>
    <w:pPr>
      <w:ind w:leftChars="1600" w:left="3840"/>
    </w:pPr>
  </w:style>
  <w:style w:type="paragraph" w:styleId="af0">
    <w:name w:val="header"/>
    <w:basedOn w:val="a8"/>
    <w:semiHidden/>
    <w:rsid w:val="004E0062"/>
    <w:pPr>
      <w:tabs>
        <w:tab w:val="center" w:pos="4153"/>
        <w:tab w:val="right" w:pos="8306"/>
      </w:tabs>
      <w:snapToGrid w:val="0"/>
    </w:pPr>
    <w:rPr>
      <w:sz w:val="20"/>
    </w:rPr>
  </w:style>
  <w:style w:type="paragraph" w:customStyle="1" w:styleId="33">
    <w:name w:val="段落樣式3"/>
    <w:basedOn w:val="22"/>
    <w:qFormat/>
    <w:rsid w:val="004F5E57"/>
    <w:pPr>
      <w:ind w:leftChars="400" w:left="400"/>
    </w:pPr>
  </w:style>
  <w:style w:type="character" w:styleId="af1">
    <w:name w:val="Hyperlink"/>
    <w:basedOn w:val="a9"/>
    <w:uiPriority w:val="99"/>
    <w:rsid w:val="004E0062"/>
    <w:rPr>
      <w:color w:val="0000FF"/>
      <w:u w:val="single"/>
    </w:rPr>
  </w:style>
  <w:style w:type="paragraph" w:customStyle="1" w:styleId="af2">
    <w:name w:val="簽名日期"/>
    <w:basedOn w:val="a8"/>
    <w:rsid w:val="004E0062"/>
    <w:pPr>
      <w:kinsoku w:val="0"/>
      <w:jc w:val="distribute"/>
    </w:pPr>
    <w:rPr>
      <w:kern w:val="0"/>
    </w:rPr>
  </w:style>
  <w:style w:type="paragraph" w:customStyle="1" w:styleId="0">
    <w:name w:val="段落樣式0"/>
    <w:basedOn w:val="22"/>
    <w:qFormat/>
    <w:rsid w:val="004F5E57"/>
    <w:pPr>
      <w:ind w:leftChars="200" w:left="200" w:firstLineChars="0" w:firstLine="0"/>
    </w:pPr>
  </w:style>
  <w:style w:type="paragraph" w:customStyle="1" w:styleId="af3">
    <w:name w:val="附件"/>
    <w:basedOn w:val="ad"/>
    <w:rsid w:val="004E0062"/>
    <w:pPr>
      <w:spacing w:before="0"/>
      <w:ind w:left="1047" w:hangingChars="300" w:hanging="1047"/>
    </w:pPr>
    <w:rPr>
      <w:snapToGrid/>
      <w:spacing w:val="0"/>
      <w:kern w:val="0"/>
    </w:rPr>
  </w:style>
  <w:style w:type="paragraph" w:customStyle="1" w:styleId="43">
    <w:name w:val="段落樣式4"/>
    <w:basedOn w:val="33"/>
    <w:qFormat/>
    <w:rsid w:val="004F5E57"/>
    <w:pPr>
      <w:ind w:leftChars="500" w:left="500"/>
    </w:pPr>
  </w:style>
  <w:style w:type="paragraph" w:customStyle="1" w:styleId="53">
    <w:name w:val="段落樣式5"/>
    <w:basedOn w:val="43"/>
    <w:qFormat/>
    <w:rsid w:val="004F5E57"/>
    <w:pPr>
      <w:ind w:leftChars="600" w:left="600"/>
    </w:pPr>
  </w:style>
  <w:style w:type="paragraph" w:customStyle="1" w:styleId="62">
    <w:name w:val="段落樣式6"/>
    <w:basedOn w:val="53"/>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8"/>
    <w:qFormat/>
    <w:rsid w:val="00B77D18"/>
    <w:pPr>
      <w:keepNext/>
      <w:numPr>
        <w:numId w:val="1"/>
      </w:numPr>
      <w:tabs>
        <w:tab w:val="clear" w:pos="1440"/>
      </w:tabs>
      <w:ind w:left="400" w:hangingChars="400" w:hanging="400"/>
      <w:outlineLvl w:val="0"/>
    </w:pPr>
    <w:rPr>
      <w:kern w:val="32"/>
    </w:rPr>
  </w:style>
  <w:style w:type="paragraph" w:styleId="af4">
    <w:name w:val="Body Text Indent"/>
    <w:basedOn w:val="a8"/>
    <w:semiHidden/>
    <w:rsid w:val="004E0062"/>
    <w:pPr>
      <w:ind w:left="698" w:hangingChars="200" w:hanging="698"/>
    </w:pPr>
  </w:style>
  <w:style w:type="paragraph" w:customStyle="1" w:styleId="af5">
    <w:name w:val="調查報告"/>
    <w:basedOn w:val="ad"/>
    <w:rsid w:val="00D75644"/>
    <w:pPr>
      <w:adjustRightInd w:val="0"/>
      <w:spacing w:before="0"/>
      <w:ind w:left="0" w:firstLine="0"/>
      <w:jc w:val="center"/>
    </w:pPr>
    <w:rPr>
      <w:b/>
      <w:snapToGrid/>
      <w:spacing w:val="200"/>
      <w:kern w:val="0"/>
      <w:sz w:val="40"/>
    </w:rPr>
  </w:style>
  <w:style w:type="paragraph" w:customStyle="1" w:styleId="14">
    <w:name w:val="表格14"/>
    <w:basedOn w:val="a8"/>
    <w:rsid w:val="006072CD"/>
    <w:pPr>
      <w:adjustRightInd w:val="0"/>
      <w:snapToGrid w:val="0"/>
      <w:spacing w:line="360" w:lineRule="exact"/>
    </w:pPr>
    <w:rPr>
      <w:snapToGrid w:val="0"/>
      <w:spacing w:val="-14"/>
      <w:kern w:val="0"/>
      <w:sz w:val="28"/>
    </w:rPr>
  </w:style>
  <w:style w:type="paragraph" w:customStyle="1" w:styleId="a0">
    <w:name w:val="附圖樣式"/>
    <w:basedOn w:val="a8"/>
    <w:qFormat/>
    <w:rsid w:val="00B77D18"/>
    <w:pPr>
      <w:keepNext/>
      <w:numPr>
        <w:numId w:val="2"/>
      </w:numPr>
      <w:tabs>
        <w:tab w:val="clear" w:pos="1440"/>
      </w:tabs>
      <w:ind w:left="400" w:hangingChars="400" w:hanging="400"/>
      <w:outlineLvl w:val="0"/>
    </w:pPr>
    <w:rPr>
      <w:kern w:val="32"/>
    </w:rPr>
  </w:style>
  <w:style w:type="paragraph" w:styleId="af6">
    <w:name w:val="footer"/>
    <w:basedOn w:val="a8"/>
    <w:link w:val="af7"/>
    <w:uiPriority w:val="99"/>
    <w:rsid w:val="004E0062"/>
    <w:pPr>
      <w:tabs>
        <w:tab w:val="center" w:pos="4153"/>
        <w:tab w:val="right" w:pos="8306"/>
      </w:tabs>
      <w:snapToGrid w:val="0"/>
    </w:pPr>
    <w:rPr>
      <w:sz w:val="20"/>
    </w:rPr>
  </w:style>
  <w:style w:type="character" w:customStyle="1" w:styleId="af7">
    <w:name w:val="頁尾 字元"/>
    <w:basedOn w:val="a9"/>
    <w:link w:val="af6"/>
    <w:uiPriority w:val="99"/>
    <w:rsid w:val="00676270"/>
    <w:rPr>
      <w:rFonts w:ascii="標楷體" w:eastAsia="標楷體"/>
      <w:kern w:val="2"/>
    </w:rPr>
  </w:style>
  <w:style w:type="paragraph" w:styleId="af8">
    <w:name w:val="table of figures"/>
    <w:basedOn w:val="a8"/>
    <w:next w:val="a8"/>
    <w:semiHidden/>
    <w:rsid w:val="004E0062"/>
    <w:pPr>
      <w:ind w:left="400" w:hangingChars="400" w:hanging="400"/>
    </w:pPr>
  </w:style>
  <w:style w:type="paragraph" w:customStyle="1" w:styleId="140">
    <w:name w:val="表格標題14"/>
    <w:basedOn w:val="a8"/>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9">
    <w:name w:val="資料來源"/>
    <w:basedOn w:val="a8"/>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8"/>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a">
    <w:name w:val="Table Grid"/>
    <w:basedOn w:val="aa"/>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5">
    <w:name w:val="附錄"/>
    <w:basedOn w:val="a8"/>
    <w:qFormat/>
    <w:rsid w:val="00B77D18"/>
    <w:pPr>
      <w:keepNext/>
      <w:numPr>
        <w:numId w:val="5"/>
      </w:numPr>
      <w:ind w:left="350" w:hangingChars="350" w:hanging="350"/>
      <w:outlineLvl w:val="0"/>
    </w:pPr>
    <w:rPr>
      <w:kern w:val="32"/>
    </w:rPr>
  </w:style>
  <w:style w:type="paragraph" w:styleId="afb">
    <w:name w:val="List Paragraph"/>
    <w:basedOn w:val="a8"/>
    <w:link w:val="afc"/>
    <w:uiPriority w:val="1"/>
    <w:qFormat/>
    <w:rsid w:val="00687024"/>
    <w:pPr>
      <w:ind w:leftChars="200" w:left="480"/>
    </w:pPr>
  </w:style>
  <w:style w:type="character" w:customStyle="1" w:styleId="afc">
    <w:name w:val="清單段落 字元"/>
    <w:link w:val="afb"/>
    <w:uiPriority w:val="1"/>
    <w:locked/>
    <w:rsid w:val="0064621B"/>
    <w:rPr>
      <w:rFonts w:ascii="標楷體" w:eastAsia="標楷體"/>
      <w:kern w:val="2"/>
      <w:sz w:val="32"/>
    </w:rPr>
  </w:style>
  <w:style w:type="paragraph" w:styleId="afd">
    <w:name w:val="Balloon Text"/>
    <w:basedOn w:val="a8"/>
    <w:link w:val="afe"/>
    <w:uiPriority w:val="99"/>
    <w:semiHidden/>
    <w:unhideWhenUsed/>
    <w:rsid w:val="00C530DC"/>
    <w:rPr>
      <w:rFonts w:asciiTheme="majorHAnsi" w:eastAsiaTheme="majorEastAsia" w:hAnsiTheme="majorHAnsi" w:cstheme="majorBidi"/>
      <w:sz w:val="18"/>
      <w:szCs w:val="18"/>
    </w:rPr>
  </w:style>
  <w:style w:type="character" w:customStyle="1" w:styleId="afe">
    <w:name w:val="註解方塊文字 字元"/>
    <w:basedOn w:val="a9"/>
    <w:link w:val="afd"/>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6"/>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8"/>
    <w:qFormat/>
    <w:rsid w:val="00B77D18"/>
    <w:pPr>
      <w:keepNext/>
      <w:numPr>
        <w:numId w:val="7"/>
      </w:numPr>
      <w:ind w:left="400" w:hangingChars="400" w:hanging="400"/>
      <w:outlineLvl w:val="0"/>
    </w:pPr>
    <w:rPr>
      <w:kern w:val="32"/>
    </w:rPr>
  </w:style>
  <w:style w:type="paragraph" w:customStyle="1" w:styleId="92">
    <w:name w:val="段落樣式9"/>
    <w:basedOn w:val="81"/>
    <w:qFormat/>
    <w:rsid w:val="00831693"/>
    <w:pPr>
      <w:ind w:leftChars="1000" w:left="1000"/>
    </w:pPr>
  </w:style>
  <w:style w:type="character" w:styleId="aff">
    <w:name w:val="Emphasis"/>
    <w:basedOn w:val="a9"/>
    <w:uiPriority w:val="20"/>
    <w:qFormat/>
    <w:rsid w:val="008A5CB7"/>
    <w:rPr>
      <w:b w:val="0"/>
      <w:bCs w:val="0"/>
      <w:i w:val="0"/>
      <w:iCs w:val="0"/>
      <w:color w:val="DD4B39"/>
    </w:rPr>
  </w:style>
  <w:style w:type="character" w:customStyle="1" w:styleId="st1">
    <w:name w:val="st1"/>
    <w:basedOn w:val="a9"/>
    <w:rsid w:val="008A5CB7"/>
  </w:style>
  <w:style w:type="character" w:customStyle="1" w:styleId="style1">
    <w:name w:val="style1"/>
    <w:basedOn w:val="a9"/>
    <w:rsid w:val="00057D7F"/>
  </w:style>
  <w:style w:type="character" w:customStyle="1" w:styleId="text6-g">
    <w:name w:val="text6-g"/>
    <w:basedOn w:val="a9"/>
    <w:rsid w:val="00F6641C"/>
  </w:style>
  <w:style w:type="paragraph" w:customStyle="1" w:styleId="Default">
    <w:name w:val="Default"/>
    <w:rsid w:val="00A91CF5"/>
    <w:pPr>
      <w:widowControl w:val="0"/>
      <w:autoSpaceDE w:val="0"/>
      <w:autoSpaceDN w:val="0"/>
      <w:adjustRightInd w:val="0"/>
    </w:pPr>
    <w:rPr>
      <w:rFonts w:ascii="標楷體" w:eastAsia="標楷體" w:cs="標楷體"/>
      <w:color w:val="000000"/>
      <w:sz w:val="24"/>
      <w:szCs w:val="24"/>
    </w:rPr>
  </w:style>
  <w:style w:type="paragraph" w:customStyle="1" w:styleId="aff0">
    <w:name w:val="調查委員"/>
    <w:basedOn w:val="ac"/>
    <w:qFormat/>
    <w:rsid w:val="00770396"/>
    <w:pPr>
      <w:spacing w:before="0" w:after="0"/>
      <w:ind w:left="0"/>
      <w:jc w:val="left"/>
    </w:pPr>
    <w:rPr>
      <w:bCs/>
      <w:szCs w:val="28"/>
    </w:rPr>
  </w:style>
  <w:style w:type="paragraph" w:customStyle="1" w:styleId="aff1">
    <w:name w:val="協查人員"/>
    <w:basedOn w:val="ac"/>
    <w:qFormat/>
    <w:rsid w:val="00770396"/>
    <w:pPr>
      <w:spacing w:beforeLines="50" w:before="228" w:after="0"/>
      <w:ind w:leftChars="1100" w:left="3742"/>
      <w:jc w:val="left"/>
    </w:pPr>
    <w:rPr>
      <w:b w:val="0"/>
      <w:bCs/>
      <w:snapToGrid/>
      <w:kern w:val="0"/>
      <w:szCs w:val="36"/>
    </w:rPr>
  </w:style>
  <w:style w:type="paragraph" w:styleId="aff2">
    <w:name w:val="footnote text"/>
    <w:aliases w:val="fn 字元,footnote text 字元,fn,footnote text,註腳文字 字元2 字元,註腳文字1 字元1 字元 字元2,註腳文字 字元1 字元 字元 字元2,字元 字元1 字元 字元 字元2,fn 字元1 字元 字元 字元2,footnote text 字元1 字元 字元 字元2,fn1 字元 字元 字元2,fn 字元 字元1,註腳文字 字元2,註腳文字 字元1 字元 字元,註腳文字 字元2 字元 字元1,ftx,Footnotes,字元 字"/>
    <w:basedOn w:val="a8"/>
    <w:link w:val="aff3"/>
    <w:uiPriority w:val="99"/>
    <w:unhideWhenUsed/>
    <w:qFormat/>
    <w:rsid w:val="00083CB0"/>
    <w:pPr>
      <w:snapToGrid w:val="0"/>
      <w:jc w:val="left"/>
    </w:pPr>
    <w:rPr>
      <w:sz w:val="20"/>
    </w:rPr>
  </w:style>
  <w:style w:type="character" w:customStyle="1" w:styleId="aff3">
    <w:name w:val="註腳文字 字元"/>
    <w:aliases w:val="fn 字元 字元,footnote text 字元 字元,fn 字元1,footnote text 字元1,註腳文字 字元2 字元 字元,註腳文字1 字元1 字元 字元2 字元,註腳文字 字元1 字元 字元 字元2 字元,字元 字元1 字元 字元 字元2 字元,fn 字元1 字元 字元 字元2 字元,footnote text 字元1 字元 字元 字元2 字元,fn1 字元 字元 字元2 字元,fn 字元 字元1 字元,註腳文字 字元2 字元1,註腳文字 字元1 字元 字元 字元"/>
    <w:basedOn w:val="a9"/>
    <w:link w:val="aff2"/>
    <w:uiPriority w:val="99"/>
    <w:rsid w:val="00083CB0"/>
    <w:rPr>
      <w:rFonts w:ascii="標楷體" w:eastAsia="標楷體"/>
      <w:kern w:val="2"/>
    </w:rPr>
  </w:style>
  <w:style w:type="character" w:styleId="aff4">
    <w:name w:val="footnote reference"/>
    <w:aliases w:val="FR,Ref,de nota al pie,註腳內容,Error-Fußnotenzeichen5,Error-Fußnotenzeichen6,Error-Fußnotenzeichen3"/>
    <w:basedOn w:val="a9"/>
    <w:uiPriority w:val="99"/>
    <w:unhideWhenUsed/>
    <w:qFormat/>
    <w:rsid w:val="00083CB0"/>
    <w:rPr>
      <w:vertAlign w:val="superscript"/>
    </w:rPr>
  </w:style>
  <w:style w:type="paragraph" w:styleId="a">
    <w:name w:val="List Bullet"/>
    <w:basedOn w:val="a8"/>
    <w:uiPriority w:val="99"/>
    <w:unhideWhenUsed/>
    <w:rsid w:val="00B40380"/>
    <w:pPr>
      <w:numPr>
        <w:numId w:val="8"/>
      </w:numPr>
      <w:contextualSpacing/>
    </w:pPr>
  </w:style>
  <w:style w:type="paragraph" w:customStyle="1" w:styleId="10">
    <w:name w:val="標題1"/>
    <w:basedOn w:val="a8"/>
    <w:qFormat/>
    <w:rsid w:val="00BA21EB"/>
    <w:pPr>
      <w:numPr>
        <w:numId w:val="9"/>
      </w:numPr>
      <w:outlineLvl w:val="0"/>
    </w:pPr>
    <w:rPr>
      <w:kern w:val="28"/>
      <w:sz w:val="28"/>
      <w:szCs w:val="24"/>
    </w:rPr>
  </w:style>
  <w:style w:type="paragraph" w:customStyle="1" w:styleId="30">
    <w:name w:val="標題3"/>
    <w:basedOn w:val="a8"/>
    <w:qFormat/>
    <w:rsid w:val="00BA21EB"/>
    <w:pPr>
      <w:numPr>
        <w:ilvl w:val="2"/>
        <w:numId w:val="9"/>
      </w:numPr>
      <w:outlineLvl w:val="2"/>
    </w:pPr>
    <w:rPr>
      <w:kern w:val="28"/>
      <w:sz w:val="28"/>
      <w:szCs w:val="24"/>
    </w:rPr>
  </w:style>
  <w:style w:type="paragraph" w:customStyle="1" w:styleId="40">
    <w:name w:val="標題4"/>
    <w:basedOn w:val="30"/>
    <w:qFormat/>
    <w:rsid w:val="00BA21EB"/>
    <w:pPr>
      <w:numPr>
        <w:ilvl w:val="3"/>
      </w:numPr>
      <w:outlineLvl w:val="3"/>
    </w:pPr>
  </w:style>
  <w:style w:type="paragraph" w:customStyle="1" w:styleId="50">
    <w:name w:val="標題5"/>
    <w:basedOn w:val="40"/>
    <w:qFormat/>
    <w:rsid w:val="00BA21EB"/>
    <w:pPr>
      <w:numPr>
        <w:ilvl w:val="4"/>
      </w:numPr>
      <w:outlineLvl w:val="4"/>
    </w:pPr>
  </w:style>
  <w:style w:type="paragraph" w:styleId="Web">
    <w:name w:val="Normal (Web)"/>
    <w:basedOn w:val="a8"/>
    <w:uiPriority w:val="99"/>
    <w:unhideWhenUsed/>
    <w:rsid w:val="00BA21EB"/>
    <w:pPr>
      <w:widowControl/>
      <w:overflowPunct/>
      <w:autoSpaceDE/>
      <w:autoSpaceDN/>
      <w:spacing w:before="100" w:beforeAutospacing="1" w:after="142" w:line="276" w:lineRule="auto"/>
      <w:jc w:val="left"/>
    </w:pPr>
    <w:rPr>
      <w:rFonts w:ascii="新細明體" w:eastAsia="新細明體" w:hAnsi="新細明體" w:cs="新細明體"/>
      <w:kern w:val="0"/>
      <w:sz w:val="24"/>
      <w:szCs w:val="24"/>
    </w:rPr>
  </w:style>
  <w:style w:type="paragraph" w:customStyle="1" w:styleId="a7">
    <w:name w:val="分項段落"/>
    <w:basedOn w:val="a8"/>
    <w:link w:val="aff5"/>
    <w:rsid w:val="00436BB7"/>
    <w:pPr>
      <w:numPr>
        <w:numId w:val="10"/>
      </w:numPr>
      <w:overflowPunct/>
      <w:autoSpaceDE/>
      <w:autoSpaceDN/>
      <w:snapToGrid w:val="0"/>
      <w:jc w:val="left"/>
    </w:pPr>
    <w:rPr>
      <w:rFonts w:ascii="Times New Roman"/>
    </w:rPr>
  </w:style>
  <w:style w:type="character" w:customStyle="1" w:styleId="aff5">
    <w:name w:val="分項段落 字元"/>
    <w:link w:val="a7"/>
    <w:locked/>
    <w:rsid w:val="00436BB7"/>
    <w:rPr>
      <w:rFonts w:eastAsia="標楷體"/>
      <w:kern w:val="2"/>
      <w:sz w:val="32"/>
    </w:rPr>
  </w:style>
  <w:style w:type="paragraph" w:styleId="aff6">
    <w:name w:val="Date"/>
    <w:basedOn w:val="a8"/>
    <w:next w:val="a8"/>
    <w:link w:val="aff7"/>
    <w:uiPriority w:val="99"/>
    <w:semiHidden/>
    <w:unhideWhenUsed/>
    <w:rsid w:val="001C234C"/>
    <w:pPr>
      <w:jc w:val="right"/>
    </w:pPr>
  </w:style>
  <w:style w:type="character" w:customStyle="1" w:styleId="aff7">
    <w:name w:val="日期 字元"/>
    <w:basedOn w:val="a9"/>
    <w:link w:val="aff6"/>
    <w:uiPriority w:val="99"/>
    <w:semiHidden/>
    <w:rsid w:val="001C234C"/>
    <w:rPr>
      <w:rFonts w:ascii="標楷體" w:eastAsia="標楷體"/>
      <w:kern w:val="2"/>
      <w:sz w:val="32"/>
    </w:rPr>
  </w:style>
  <w:style w:type="character" w:customStyle="1" w:styleId="fontstyle01">
    <w:name w:val="fontstyle01"/>
    <w:rsid w:val="003A54CD"/>
    <w:rPr>
      <w:rFonts w:ascii="標楷體" w:eastAsia="標楷體" w:hAnsi="標楷體" w:hint="eastAsia"/>
      <w:b w:val="0"/>
      <w:bCs w:val="0"/>
      <w:i w:val="0"/>
      <w:iCs w:val="0"/>
      <w:color w:val="000000"/>
      <w:sz w:val="32"/>
      <w:szCs w:val="32"/>
    </w:rPr>
  </w:style>
  <w:style w:type="paragraph" w:customStyle="1" w:styleId="aff8">
    <w:name w:val="列出段落"/>
    <w:basedOn w:val="a8"/>
    <w:uiPriority w:val="34"/>
    <w:qFormat/>
    <w:rsid w:val="009D401A"/>
    <w:pPr>
      <w:overflowPunct/>
      <w:autoSpaceDE/>
      <w:autoSpaceDN/>
      <w:spacing w:beforeLines="50" w:before="50" w:afterLines="50" w:after="50" w:line="500" w:lineRule="exact"/>
      <w:ind w:firstLineChars="200" w:firstLine="420"/>
    </w:pPr>
    <w:rPr>
      <w:rFonts w:ascii="Calibri" w:hAnsi="Calibri"/>
      <w:szCs w:val="22"/>
      <w:lang w:eastAsia="zh-CN"/>
    </w:rPr>
  </w:style>
  <w:style w:type="paragraph" w:styleId="aff9">
    <w:name w:val="Body Text"/>
    <w:basedOn w:val="a8"/>
    <w:link w:val="affa"/>
    <w:uiPriority w:val="99"/>
    <w:unhideWhenUsed/>
    <w:rsid w:val="002C0028"/>
    <w:pPr>
      <w:spacing w:after="120"/>
    </w:pPr>
  </w:style>
  <w:style w:type="character" w:customStyle="1" w:styleId="affa">
    <w:name w:val="本文 字元"/>
    <w:basedOn w:val="a9"/>
    <w:link w:val="aff9"/>
    <w:uiPriority w:val="99"/>
    <w:rsid w:val="002C0028"/>
    <w:rPr>
      <w:rFonts w:ascii="標楷體" w:eastAsia="標楷體"/>
      <w:kern w:val="2"/>
      <w:sz w:val="32"/>
    </w:rPr>
  </w:style>
  <w:style w:type="paragraph" w:styleId="25">
    <w:name w:val="Body Text Indent 2"/>
    <w:basedOn w:val="a8"/>
    <w:link w:val="26"/>
    <w:uiPriority w:val="99"/>
    <w:semiHidden/>
    <w:unhideWhenUsed/>
    <w:rsid w:val="002C0028"/>
    <w:pPr>
      <w:spacing w:after="120" w:line="480" w:lineRule="auto"/>
      <w:ind w:leftChars="200" w:left="480"/>
    </w:pPr>
  </w:style>
  <w:style w:type="character" w:customStyle="1" w:styleId="26">
    <w:name w:val="本文縮排 2 字元"/>
    <w:basedOn w:val="a9"/>
    <w:link w:val="25"/>
    <w:uiPriority w:val="99"/>
    <w:semiHidden/>
    <w:rsid w:val="002C0028"/>
    <w:rPr>
      <w:rFonts w:ascii="標楷體" w:eastAsia="標楷體"/>
      <w:kern w:val="2"/>
      <w:sz w:val="32"/>
    </w:rPr>
  </w:style>
  <w:style w:type="paragraph" w:customStyle="1" w:styleId="Textbody">
    <w:name w:val="Text body"/>
    <w:rsid w:val="004F0E77"/>
    <w:pPr>
      <w:suppressAutoHyphens/>
      <w:autoSpaceDN w:val="0"/>
      <w:textAlignment w:val="baseline"/>
    </w:pPr>
    <w:rPr>
      <w:rFonts w:cs="Lucida Sans"/>
      <w:kern w:val="3"/>
      <w:sz w:val="24"/>
      <w:szCs w:val="24"/>
      <w:lang w:bidi="hi-IN"/>
    </w:rPr>
  </w:style>
  <w:style w:type="table" w:customStyle="1" w:styleId="TableNormal">
    <w:name w:val="Table Normal"/>
    <w:uiPriority w:val="2"/>
    <w:semiHidden/>
    <w:unhideWhenUsed/>
    <w:qFormat/>
    <w:rsid w:val="00F5169F"/>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8"/>
    <w:uiPriority w:val="1"/>
    <w:qFormat/>
    <w:rsid w:val="00F5169F"/>
    <w:pPr>
      <w:overflowPunct/>
      <w:jc w:val="left"/>
    </w:pPr>
    <w:rPr>
      <w:rFonts w:ascii="微軟正黑體" w:eastAsia="微軟正黑體" w:hAnsi="微軟正黑體" w:cs="微軟正黑體"/>
      <w:kern w:val="0"/>
      <w:sz w:val="22"/>
      <w:szCs w:val="22"/>
      <w:lang w:eastAsia="en-US"/>
    </w:rPr>
  </w:style>
  <w:style w:type="paragraph" w:customStyle="1" w:styleId="21">
    <w:name w:val="索引 21"/>
    <w:basedOn w:val="a8"/>
    <w:autoRedefine/>
    <w:qFormat/>
    <w:rsid w:val="00711C92"/>
    <w:pPr>
      <w:numPr>
        <w:ilvl w:val="2"/>
        <w:numId w:val="11"/>
      </w:numPr>
      <w:overflowPunct/>
      <w:autoSpaceDE/>
      <w:autoSpaceDN/>
      <w:adjustRightInd w:val="0"/>
      <w:snapToGrid w:val="0"/>
      <w:spacing w:line="460" w:lineRule="exact"/>
    </w:pPr>
    <w:rPr>
      <w:rFonts w:hAnsi="標楷體"/>
      <w:szCs w:val="32"/>
    </w:rPr>
  </w:style>
  <w:style w:type="paragraph" w:customStyle="1" w:styleId="affb">
    <w:name w:val="公文(後續段落)"/>
    <w:basedOn w:val="a8"/>
    <w:rsid w:val="00C4797D"/>
    <w:pPr>
      <w:overflowPunct/>
      <w:autoSpaceDE/>
      <w:autoSpaceDN/>
      <w:spacing w:line="500" w:lineRule="exact"/>
      <w:ind w:left="317"/>
      <w:jc w:val="left"/>
    </w:pPr>
    <w:rPr>
      <w:rFonts w:ascii="Times New Roman"/>
      <w:szCs w:val="24"/>
    </w:rPr>
  </w:style>
  <w:style w:type="character" w:styleId="affc">
    <w:name w:val="annotation reference"/>
    <w:basedOn w:val="a9"/>
    <w:uiPriority w:val="99"/>
    <w:semiHidden/>
    <w:unhideWhenUsed/>
    <w:rsid w:val="00816833"/>
    <w:rPr>
      <w:sz w:val="18"/>
      <w:szCs w:val="18"/>
    </w:rPr>
  </w:style>
  <w:style w:type="paragraph" w:styleId="affd">
    <w:name w:val="annotation text"/>
    <w:basedOn w:val="a8"/>
    <w:link w:val="affe"/>
    <w:uiPriority w:val="99"/>
    <w:semiHidden/>
    <w:unhideWhenUsed/>
    <w:rsid w:val="00816833"/>
    <w:pPr>
      <w:jc w:val="left"/>
    </w:pPr>
  </w:style>
  <w:style w:type="character" w:customStyle="1" w:styleId="affe">
    <w:name w:val="註解文字 字元"/>
    <w:basedOn w:val="a9"/>
    <w:link w:val="affd"/>
    <w:uiPriority w:val="99"/>
    <w:semiHidden/>
    <w:rsid w:val="00816833"/>
    <w:rPr>
      <w:rFonts w:ascii="標楷體" w:eastAsia="標楷體"/>
      <w:kern w:val="2"/>
      <w:sz w:val="32"/>
    </w:rPr>
  </w:style>
  <w:style w:type="paragraph" w:styleId="afff">
    <w:name w:val="annotation subject"/>
    <w:basedOn w:val="affd"/>
    <w:next w:val="affd"/>
    <w:link w:val="afff0"/>
    <w:uiPriority w:val="99"/>
    <w:semiHidden/>
    <w:unhideWhenUsed/>
    <w:rsid w:val="00816833"/>
    <w:rPr>
      <w:b/>
      <w:bCs/>
    </w:rPr>
  </w:style>
  <w:style w:type="character" w:customStyle="1" w:styleId="afff0">
    <w:name w:val="註解主旨 字元"/>
    <w:basedOn w:val="affe"/>
    <w:link w:val="afff"/>
    <w:uiPriority w:val="99"/>
    <w:semiHidden/>
    <w:rsid w:val="00816833"/>
    <w:rPr>
      <w:rFonts w:ascii="標楷體" w:eastAsia="標楷體"/>
      <w:b/>
      <w:bCs/>
      <w:kern w:val="2"/>
      <w:sz w:val="32"/>
    </w:rPr>
  </w:style>
  <w:style w:type="character" w:styleId="afff1">
    <w:name w:val="Unresolved Mention"/>
    <w:basedOn w:val="a9"/>
    <w:uiPriority w:val="99"/>
    <w:semiHidden/>
    <w:unhideWhenUsed/>
    <w:rsid w:val="0058069E"/>
    <w:rPr>
      <w:color w:val="605E5C"/>
      <w:shd w:val="clear" w:color="auto" w:fill="E1DFDD"/>
    </w:rPr>
  </w:style>
  <w:style w:type="table" w:customStyle="1" w:styleId="13">
    <w:name w:val="表格格線1"/>
    <w:basedOn w:val="aa"/>
    <w:next w:val="afa"/>
    <w:uiPriority w:val="39"/>
    <w:rsid w:val="007D0A1D"/>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2">
    <w:name w:val="FollowedHyperlink"/>
    <w:basedOn w:val="a9"/>
    <w:uiPriority w:val="99"/>
    <w:semiHidden/>
    <w:unhideWhenUsed/>
    <w:rsid w:val="00567CA1"/>
    <w:rPr>
      <w:color w:val="800080" w:themeColor="followedHyperlink"/>
      <w:u w:val="single"/>
    </w:rPr>
  </w:style>
  <w:style w:type="character" w:customStyle="1" w:styleId="dateline">
    <w:name w:val="dateline"/>
    <w:basedOn w:val="a9"/>
    <w:rsid w:val="0064621B"/>
  </w:style>
  <w:style w:type="character" w:styleId="afff3">
    <w:name w:val="Strong"/>
    <w:basedOn w:val="a9"/>
    <w:uiPriority w:val="22"/>
    <w:qFormat/>
    <w:rsid w:val="0064621B"/>
    <w:rPr>
      <w:b/>
      <w:bCs/>
    </w:rPr>
  </w:style>
  <w:style w:type="paragraph" w:customStyle="1" w:styleId="afff4">
    <w:name w:val="標題項目"/>
    <w:basedOn w:val="a8"/>
    <w:rsid w:val="00661A08"/>
    <w:pPr>
      <w:pBdr>
        <w:top w:val="single" w:sz="4" w:space="1" w:color="FFFFFF"/>
        <w:left w:val="single" w:sz="4" w:space="4" w:color="FFFFFF"/>
        <w:bottom w:val="single" w:sz="4" w:space="1" w:color="FFFFFF"/>
        <w:right w:val="single" w:sz="4" w:space="4" w:color="FFFFFF"/>
      </w:pBdr>
      <w:overflowPunct/>
      <w:autoSpaceDE/>
      <w:autoSpaceDN/>
      <w:spacing w:line="560" w:lineRule="exact"/>
      <w:ind w:left="1800" w:hangingChars="500" w:hanging="1800"/>
      <w:jc w:val="left"/>
    </w:pPr>
    <w:rPr>
      <w:rFonts w:ascii="Times New Roman"/>
      <w:spacing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496584">
      <w:bodyDiv w:val="1"/>
      <w:marLeft w:val="0"/>
      <w:marRight w:val="0"/>
      <w:marTop w:val="0"/>
      <w:marBottom w:val="0"/>
      <w:divBdr>
        <w:top w:val="none" w:sz="0" w:space="0" w:color="auto"/>
        <w:left w:val="none" w:sz="0" w:space="0" w:color="auto"/>
        <w:bottom w:val="none" w:sz="0" w:space="0" w:color="auto"/>
        <w:right w:val="none" w:sz="0" w:space="0" w:color="auto"/>
      </w:divBdr>
    </w:div>
    <w:div w:id="183516389">
      <w:bodyDiv w:val="1"/>
      <w:marLeft w:val="0"/>
      <w:marRight w:val="0"/>
      <w:marTop w:val="0"/>
      <w:marBottom w:val="0"/>
      <w:divBdr>
        <w:top w:val="none" w:sz="0" w:space="0" w:color="auto"/>
        <w:left w:val="none" w:sz="0" w:space="0" w:color="auto"/>
        <w:bottom w:val="none" w:sz="0" w:space="0" w:color="auto"/>
        <w:right w:val="none" w:sz="0" w:space="0" w:color="auto"/>
      </w:divBdr>
    </w:div>
    <w:div w:id="283313378">
      <w:bodyDiv w:val="1"/>
      <w:marLeft w:val="0"/>
      <w:marRight w:val="0"/>
      <w:marTop w:val="0"/>
      <w:marBottom w:val="0"/>
      <w:divBdr>
        <w:top w:val="none" w:sz="0" w:space="0" w:color="auto"/>
        <w:left w:val="none" w:sz="0" w:space="0" w:color="auto"/>
        <w:bottom w:val="none" w:sz="0" w:space="0" w:color="auto"/>
        <w:right w:val="none" w:sz="0" w:space="0" w:color="auto"/>
      </w:divBdr>
    </w:div>
    <w:div w:id="370306442">
      <w:bodyDiv w:val="1"/>
      <w:marLeft w:val="0"/>
      <w:marRight w:val="0"/>
      <w:marTop w:val="0"/>
      <w:marBottom w:val="0"/>
      <w:divBdr>
        <w:top w:val="none" w:sz="0" w:space="0" w:color="auto"/>
        <w:left w:val="none" w:sz="0" w:space="0" w:color="auto"/>
        <w:bottom w:val="none" w:sz="0" w:space="0" w:color="auto"/>
        <w:right w:val="none" w:sz="0" w:space="0" w:color="auto"/>
      </w:divBdr>
      <w:divsChild>
        <w:div w:id="78455584">
          <w:marLeft w:val="0"/>
          <w:marRight w:val="0"/>
          <w:marTop w:val="0"/>
          <w:marBottom w:val="0"/>
          <w:divBdr>
            <w:top w:val="none" w:sz="0" w:space="0" w:color="auto"/>
            <w:left w:val="none" w:sz="0" w:space="0" w:color="auto"/>
            <w:bottom w:val="none" w:sz="0" w:space="0" w:color="auto"/>
            <w:right w:val="none" w:sz="0" w:space="0" w:color="auto"/>
          </w:divBdr>
        </w:div>
      </w:divsChild>
    </w:div>
    <w:div w:id="675111105">
      <w:bodyDiv w:val="1"/>
      <w:marLeft w:val="0"/>
      <w:marRight w:val="0"/>
      <w:marTop w:val="0"/>
      <w:marBottom w:val="0"/>
      <w:divBdr>
        <w:top w:val="none" w:sz="0" w:space="0" w:color="auto"/>
        <w:left w:val="none" w:sz="0" w:space="0" w:color="auto"/>
        <w:bottom w:val="none" w:sz="0" w:space="0" w:color="auto"/>
        <w:right w:val="none" w:sz="0" w:space="0" w:color="auto"/>
      </w:divBdr>
      <w:divsChild>
        <w:div w:id="1450395123">
          <w:marLeft w:val="0"/>
          <w:marRight w:val="0"/>
          <w:marTop w:val="0"/>
          <w:marBottom w:val="0"/>
          <w:divBdr>
            <w:top w:val="none" w:sz="0" w:space="0" w:color="auto"/>
            <w:left w:val="none" w:sz="0" w:space="0" w:color="auto"/>
            <w:bottom w:val="none" w:sz="0" w:space="0" w:color="auto"/>
            <w:right w:val="none" w:sz="0" w:space="0" w:color="auto"/>
          </w:divBdr>
        </w:div>
      </w:divsChild>
    </w:div>
    <w:div w:id="677778472">
      <w:bodyDiv w:val="1"/>
      <w:marLeft w:val="0"/>
      <w:marRight w:val="0"/>
      <w:marTop w:val="0"/>
      <w:marBottom w:val="0"/>
      <w:divBdr>
        <w:top w:val="none" w:sz="0" w:space="0" w:color="auto"/>
        <w:left w:val="none" w:sz="0" w:space="0" w:color="auto"/>
        <w:bottom w:val="none" w:sz="0" w:space="0" w:color="auto"/>
        <w:right w:val="none" w:sz="0" w:space="0" w:color="auto"/>
      </w:divBdr>
    </w:div>
    <w:div w:id="1296987459">
      <w:bodyDiv w:val="1"/>
      <w:marLeft w:val="0"/>
      <w:marRight w:val="0"/>
      <w:marTop w:val="0"/>
      <w:marBottom w:val="0"/>
      <w:divBdr>
        <w:top w:val="none" w:sz="0" w:space="0" w:color="auto"/>
        <w:left w:val="none" w:sz="0" w:space="0" w:color="auto"/>
        <w:bottom w:val="none" w:sz="0" w:space="0" w:color="auto"/>
        <w:right w:val="none" w:sz="0" w:space="0" w:color="auto"/>
      </w:divBdr>
    </w:div>
    <w:div w:id="1345130010">
      <w:bodyDiv w:val="1"/>
      <w:marLeft w:val="0"/>
      <w:marRight w:val="0"/>
      <w:marTop w:val="0"/>
      <w:marBottom w:val="0"/>
      <w:divBdr>
        <w:top w:val="none" w:sz="0" w:space="0" w:color="auto"/>
        <w:left w:val="none" w:sz="0" w:space="0" w:color="auto"/>
        <w:bottom w:val="none" w:sz="0" w:space="0" w:color="auto"/>
        <w:right w:val="none" w:sz="0" w:space="0" w:color="auto"/>
      </w:divBdr>
    </w:div>
    <w:div w:id="1690176610">
      <w:bodyDiv w:val="1"/>
      <w:marLeft w:val="0"/>
      <w:marRight w:val="0"/>
      <w:marTop w:val="0"/>
      <w:marBottom w:val="0"/>
      <w:divBdr>
        <w:top w:val="none" w:sz="0" w:space="0" w:color="auto"/>
        <w:left w:val="none" w:sz="0" w:space="0" w:color="auto"/>
        <w:bottom w:val="none" w:sz="0" w:space="0" w:color="auto"/>
        <w:right w:val="none" w:sz="0" w:space="0" w:color="auto"/>
      </w:divBdr>
      <w:divsChild>
        <w:div w:id="1324579100">
          <w:marLeft w:val="0"/>
          <w:marRight w:val="0"/>
          <w:marTop w:val="0"/>
          <w:marBottom w:val="0"/>
          <w:divBdr>
            <w:top w:val="none" w:sz="0" w:space="0" w:color="auto"/>
            <w:left w:val="none" w:sz="0" w:space="0" w:color="auto"/>
            <w:bottom w:val="none" w:sz="0" w:space="0" w:color="auto"/>
            <w:right w:val="none" w:sz="0" w:space="0" w:color="auto"/>
          </w:divBdr>
          <w:divsChild>
            <w:div w:id="475149045">
              <w:marLeft w:val="0"/>
              <w:marRight w:val="0"/>
              <w:marTop w:val="0"/>
              <w:marBottom w:val="0"/>
              <w:divBdr>
                <w:top w:val="none" w:sz="0" w:space="0" w:color="auto"/>
                <w:left w:val="none" w:sz="0" w:space="0" w:color="auto"/>
                <w:bottom w:val="none" w:sz="0" w:space="0" w:color="auto"/>
                <w:right w:val="none" w:sz="0" w:space="0" w:color="auto"/>
              </w:divBdr>
              <w:divsChild>
                <w:div w:id="44716819">
                  <w:marLeft w:val="0"/>
                  <w:marRight w:val="0"/>
                  <w:marTop w:val="0"/>
                  <w:marBottom w:val="0"/>
                  <w:divBdr>
                    <w:top w:val="none" w:sz="0" w:space="0" w:color="auto"/>
                    <w:left w:val="none" w:sz="0" w:space="0" w:color="auto"/>
                    <w:bottom w:val="none" w:sz="0" w:space="0" w:color="auto"/>
                    <w:right w:val="none" w:sz="0" w:space="0" w:color="auto"/>
                  </w:divBdr>
                  <w:divsChild>
                    <w:div w:id="929579575">
                      <w:marLeft w:val="0"/>
                      <w:marRight w:val="0"/>
                      <w:marTop w:val="0"/>
                      <w:marBottom w:val="0"/>
                      <w:divBdr>
                        <w:top w:val="none" w:sz="0" w:space="0" w:color="auto"/>
                        <w:left w:val="none" w:sz="0" w:space="0" w:color="auto"/>
                        <w:bottom w:val="none" w:sz="0" w:space="0" w:color="auto"/>
                        <w:right w:val="none" w:sz="0" w:space="0" w:color="auto"/>
                      </w:divBdr>
                    </w:div>
                    <w:div w:id="116917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675762">
      <w:bodyDiv w:val="1"/>
      <w:marLeft w:val="0"/>
      <w:marRight w:val="0"/>
      <w:marTop w:val="0"/>
      <w:marBottom w:val="0"/>
      <w:divBdr>
        <w:top w:val="none" w:sz="0" w:space="0" w:color="auto"/>
        <w:left w:val="none" w:sz="0" w:space="0" w:color="auto"/>
        <w:bottom w:val="none" w:sz="0" w:space="0" w:color="auto"/>
        <w:right w:val="none" w:sz="0" w:space="0" w:color="auto"/>
      </w:divBdr>
      <w:divsChild>
        <w:div w:id="1826388283">
          <w:marLeft w:val="0"/>
          <w:marRight w:val="0"/>
          <w:marTop w:val="0"/>
          <w:marBottom w:val="0"/>
          <w:divBdr>
            <w:top w:val="none" w:sz="0" w:space="0" w:color="auto"/>
            <w:left w:val="none" w:sz="0" w:space="0" w:color="auto"/>
            <w:bottom w:val="none" w:sz="0" w:space="0" w:color="auto"/>
            <w:right w:val="none" w:sz="0" w:space="0" w:color="auto"/>
          </w:divBdr>
          <w:divsChild>
            <w:div w:id="1203446958">
              <w:marLeft w:val="0"/>
              <w:marRight w:val="0"/>
              <w:marTop w:val="0"/>
              <w:marBottom w:val="0"/>
              <w:divBdr>
                <w:top w:val="none" w:sz="0" w:space="0" w:color="auto"/>
                <w:left w:val="none" w:sz="0" w:space="0" w:color="auto"/>
                <w:bottom w:val="none" w:sz="0" w:space="0" w:color="auto"/>
                <w:right w:val="none" w:sz="0" w:space="0" w:color="auto"/>
              </w:divBdr>
              <w:divsChild>
                <w:div w:id="1675300443">
                  <w:marLeft w:val="0"/>
                  <w:marRight w:val="0"/>
                  <w:marTop w:val="0"/>
                  <w:marBottom w:val="0"/>
                  <w:divBdr>
                    <w:top w:val="none" w:sz="0" w:space="0" w:color="auto"/>
                    <w:left w:val="none" w:sz="0" w:space="0" w:color="auto"/>
                    <w:bottom w:val="none" w:sz="0" w:space="0" w:color="auto"/>
                    <w:right w:val="none" w:sz="0" w:space="0" w:color="auto"/>
                  </w:divBdr>
                  <w:divsChild>
                    <w:div w:id="827788607">
                      <w:marLeft w:val="0"/>
                      <w:marRight w:val="0"/>
                      <w:marTop w:val="0"/>
                      <w:marBottom w:val="0"/>
                      <w:divBdr>
                        <w:top w:val="none" w:sz="0" w:space="0" w:color="auto"/>
                        <w:left w:val="none" w:sz="0" w:space="0" w:color="auto"/>
                        <w:bottom w:val="none" w:sz="0" w:space="0" w:color="auto"/>
                        <w:right w:val="none" w:sz="0" w:space="0" w:color="auto"/>
                      </w:divBdr>
                    </w:div>
                    <w:div w:id="1358235316">
                      <w:marLeft w:val="480"/>
                      <w:marRight w:val="0"/>
                      <w:marTop w:val="0"/>
                      <w:marBottom w:val="0"/>
                      <w:divBdr>
                        <w:top w:val="none" w:sz="0" w:space="0" w:color="auto"/>
                        <w:left w:val="none" w:sz="0" w:space="0" w:color="auto"/>
                        <w:bottom w:val="none" w:sz="0" w:space="0" w:color="auto"/>
                        <w:right w:val="none" w:sz="0" w:space="0" w:color="auto"/>
                      </w:divBdr>
                    </w:div>
                    <w:div w:id="194873457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806066">
      <w:bodyDiv w:val="1"/>
      <w:marLeft w:val="0"/>
      <w:marRight w:val="0"/>
      <w:marTop w:val="0"/>
      <w:marBottom w:val="0"/>
      <w:divBdr>
        <w:top w:val="none" w:sz="0" w:space="0" w:color="auto"/>
        <w:left w:val="none" w:sz="0" w:space="0" w:color="auto"/>
        <w:bottom w:val="none" w:sz="0" w:space="0" w:color="auto"/>
        <w:right w:val="none" w:sz="0" w:space="0" w:color="auto"/>
      </w:divBdr>
      <w:divsChild>
        <w:div w:id="1582831737">
          <w:marLeft w:val="0"/>
          <w:marRight w:val="0"/>
          <w:marTop w:val="0"/>
          <w:marBottom w:val="0"/>
          <w:divBdr>
            <w:top w:val="none" w:sz="0" w:space="0" w:color="auto"/>
            <w:left w:val="none" w:sz="0" w:space="0" w:color="auto"/>
            <w:bottom w:val="none" w:sz="0" w:space="0" w:color="auto"/>
            <w:right w:val="none" w:sz="0" w:space="0" w:color="auto"/>
          </w:divBdr>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zh.wikipedia.org/zh-tw/%E7%A2%A7%E6%A1%82%E5%9C%92" TargetMode="External"/><Relationship Id="rId2" Type="http://schemas.openxmlformats.org/officeDocument/2006/relationships/hyperlink" Target="https://zh.wikipedia.org/wiki/%E6%81%92%E5%A4%A7%E9%9B%86%E5%9C%98" TargetMode="External"/><Relationship Id="rId1" Type="http://schemas.openxmlformats.org/officeDocument/2006/relationships/hyperlink" Target="https://www.cier.edu.tw/news/detail/49225" TargetMode="External"/><Relationship Id="rId4" Type="http://schemas.openxmlformats.org/officeDocument/2006/relationships/hyperlink" Target="https://www.taroboadvisors.com/articles/2023-08-23-%E7%A2%A7%E6%A1%82%E5%9C%92%E7%88%86%E8%B2%A1%E5%8B%99%E5%8D%B1%E6%A9%9F-%E4%B8%AD%E5%9C%8B%E6%88%BF%E5%9C%B0%E7%94%A2%E9%82%84%E5%A5%BD%E5%97%8E%EF%BC%9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606908-0D9C-4C2D-9DAB-0364B02CA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20</TotalTime>
  <Pages>24</Pages>
  <Words>2094</Words>
  <Characters>11936</Characters>
  <Application>Microsoft Office Word</Application>
  <DocSecurity>0</DocSecurity>
  <Lines>99</Lines>
  <Paragraphs>28</Paragraphs>
  <ScaleCrop>false</ScaleCrop>
  <Company>cy</Company>
  <LinksUpToDate>false</LinksUpToDate>
  <CharactersWithSpaces>14002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subject/>
  <dc:creator>林華娀</dc:creator>
  <cp:keywords/>
  <dc:description/>
  <cp:lastModifiedBy>周慶安</cp:lastModifiedBy>
  <cp:revision>6</cp:revision>
  <cp:lastPrinted>2024-07-31T09:13:00Z</cp:lastPrinted>
  <dcterms:created xsi:type="dcterms:W3CDTF">2024-08-09T09:24:00Z</dcterms:created>
  <dcterms:modified xsi:type="dcterms:W3CDTF">2024-08-09T09:50:00Z</dcterms:modified>
</cp:coreProperties>
</file>