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7290A" w:rsidRDefault="00086693" w:rsidP="00735CB2">
      <w:pPr>
        <w:pStyle w:val="af2"/>
        <w:ind w:leftChars="417" w:left="1418"/>
      </w:pPr>
      <w:r w:rsidRPr="00B7290A">
        <w:rPr>
          <w:rFonts w:hint="eastAsia"/>
        </w:rPr>
        <w:t>調查</w:t>
      </w:r>
      <w:r w:rsidR="00C0147E" w:rsidRPr="00B7290A">
        <w:rPr>
          <w:rFonts w:hint="eastAsia"/>
        </w:rPr>
        <w:t>報告</w:t>
      </w:r>
      <w:r w:rsidR="00B97FE2" w:rsidRPr="00B7290A">
        <w:rPr>
          <w:rFonts w:hint="eastAsia"/>
          <w:spacing w:val="0"/>
          <w:sz w:val="32"/>
        </w:rPr>
        <w:t>(公布版</w:t>
      </w:r>
      <w:r w:rsidR="00B97FE2" w:rsidRPr="00B7290A">
        <w:rPr>
          <w:spacing w:val="0"/>
          <w:sz w:val="32"/>
        </w:rPr>
        <w:t>)</w:t>
      </w:r>
    </w:p>
    <w:p w:rsidR="00E25849" w:rsidRPr="00B7290A" w:rsidRDefault="00E25849" w:rsidP="00B97FE2">
      <w:pPr>
        <w:pStyle w:val="1"/>
        <w:ind w:left="2310" w:hanging="23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7290A">
        <w:rPr>
          <w:rFonts w:hint="eastAsia"/>
        </w:rPr>
        <w:t>案　　由：</w:t>
      </w:r>
      <w:bookmarkEnd w:id="0"/>
      <w:bookmarkEnd w:id="1"/>
      <w:bookmarkEnd w:id="2"/>
      <w:bookmarkEnd w:id="3"/>
      <w:bookmarkEnd w:id="4"/>
      <w:bookmarkEnd w:id="5"/>
      <w:bookmarkEnd w:id="6"/>
      <w:bookmarkEnd w:id="7"/>
      <w:bookmarkEnd w:id="8"/>
      <w:bookmarkEnd w:id="9"/>
      <w:r w:rsidR="001C0DA8" w:rsidRPr="00B7290A">
        <w:fldChar w:fldCharType="begin"/>
      </w:r>
      <w:r w:rsidRPr="00B7290A">
        <w:instrText xml:space="preserve"> MERGEFIELD </w:instrText>
      </w:r>
      <w:r w:rsidRPr="00B7290A">
        <w:rPr>
          <w:rFonts w:hint="eastAsia"/>
        </w:rPr>
        <w:instrText>案由</w:instrText>
      </w:r>
      <w:r w:rsidRPr="00B7290A">
        <w:instrText xml:space="preserve"> </w:instrText>
      </w:r>
      <w:r w:rsidR="001C0DA8" w:rsidRPr="00B7290A">
        <w:fldChar w:fldCharType="separate"/>
      </w:r>
      <w:bookmarkEnd w:id="11"/>
      <w:r w:rsidR="00BC579A" w:rsidRPr="00B7290A">
        <w:rPr>
          <w:noProof/>
        </w:rPr>
        <w:t>據訴，臺灣高等法院審理111年度金上訴字第33號渠被訴違反期貨交易法案件，疑違反罪刑法定原則之誡命，且判決疑有主文與理由矛盾、違反證據法則與正當法律程序，及適用法則不當等違背法令事由，致蒙受冤抑等情</w:t>
      </w:r>
      <w:bookmarkEnd w:id="10"/>
      <w:r w:rsidR="001C0DA8" w:rsidRPr="00B7290A">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7810C7" w:rsidRPr="00B7290A">
        <w:rPr>
          <w:rFonts w:hint="eastAsia"/>
        </w:rPr>
        <w:t>。</w:t>
      </w:r>
    </w:p>
    <w:p w:rsidR="00440866" w:rsidRPr="00B7290A" w:rsidRDefault="00440866" w:rsidP="00EC0DA9">
      <w:pPr>
        <w:pStyle w:val="2"/>
        <w:numPr>
          <w:ilvl w:val="0"/>
          <w:numId w:val="6"/>
        </w:numPr>
      </w:pPr>
      <w:r w:rsidRPr="00B7290A">
        <w:rPr>
          <w:rFonts w:hint="eastAsia"/>
        </w:rPr>
        <w:t>調查意見：</w:t>
      </w:r>
    </w:p>
    <w:p w:rsidR="00440866" w:rsidRPr="00B7290A" w:rsidRDefault="00AA3E68" w:rsidP="00440866">
      <w:pPr>
        <w:pStyle w:val="10"/>
        <w:ind w:left="680" w:firstLine="680"/>
        <w:rPr>
          <w:lang w:val="ja-JP"/>
        </w:rPr>
      </w:pPr>
      <w:r w:rsidRPr="00B7290A">
        <w:rPr>
          <w:rFonts w:hAnsi="標楷體" w:hint="eastAsia"/>
          <w:szCs w:val="32"/>
        </w:rPr>
        <w:t>有關</w:t>
      </w:r>
      <w:r w:rsidR="007810C7" w:rsidRPr="00B7290A">
        <w:rPr>
          <w:rFonts w:hAnsi="標楷體" w:hint="eastAsia"/>
          <w:szCs w:val="32"/>
        </w:rPr>
        <w:t>「</w:t>
      </w:r>
      <w:proofErr w:type="gramStart"/>
      <w:r w:rsidR="00E75795" w:rsidRPr="00B7290A">
        <w:rPr>
          <w:rFonts w:hAnsi="標楷體"/>
        </w:rPr>
        <w:t>據訴</w:t>
      </w:r>
      <w:proofErr w:type="gramEnd"/>
      <w:r w:rsidR="00E75795" w:rsidRPr="00B7290A">
        <w:rPr>
          <w:rFonts w:hAnsi="標楷體"/>
        </w:rPr>
        <w:t>，臺灣高等法院審理</w:t>
      </w:r>
      <w:proofErr w:type="gramStart"/>
      <w:r w:rsidR="00E75795" w:rsidRPr="00B7290A">
        <w:rPr>
          <w:rFonts w:hAnsi="標楷體"/>
        </w:rPr>
        <w:t>111</w:t>
      </w:r>
      <w:proofErr w:type="gramEnd"/>
      <w:r w:rsidR="00E75795" w:rsidRPr="00B7290A">
        <w:rPr>
          <w:rFonts w:hAnsi="標楷體"/>
        </w:rPr>
        <w:t>年度金上訴字</w:t>
      </w:r>
      <w:proofErr w:type="gramStart"/>
      <w:r w:rsidR="00E75795" w:rsidRPr="00B7290A">
        <w:rPr>
          <w:rFonts w:hAnsi="標楷體"/>
        </w:rPr>
        <w:t>第33號渠被訴</w:t>
      </w:r>
      <w:proofErr w:type="gramEnd"/>
      <w:r w:rsidR="00E75795" w:rsidRPr="00B7290A">
        <w:rPr>
          <w:rFonts w:hAnsi="標楷體"/>
        </w:rPr>
        <w:t>違反期貨交易法案件，</w:t>
      </w:r>
      <w:proofErr w:type="gramStart"/>
      <w:r w:rsidR="00E75795" w:rsidRPr="00B7290A">
        <w:rPr>
          <w:rFonts w:hAnsi="標楷體"/>
        </w:rPr>
        <w:t>疑</w:t>
      </w:r>
      <w:proofErr w:type="gramEnd"/>
      <w:r w:rsidR="00E75795" w:rsidRPr="00B7290A">
        <w:rPr>
          <w:rFonts w:hAnsi="標楷體"/>
        </w:rPr>
        <w:t>違反罪刑法定原則之</w:t>
      </w:r>
      <w:proofErr w:type="gramStart"/>
      <w:r w:rsidR="00E75795" w:rsidRPr="00B7290A">
        <w:rPr>
          <w:rFonts w:hAnsi="標楷體"/>
        </w:rPr>
        <w:t>誡</w:t>
      </w:r>
      <w:proofErr w:type="gramEnd"/>
      <w:r w:rsidR="00E75795" w:rsidRPr="00B7290A">
        <w:rPr>
          <w:rFonts w:hAnsi="標楷體"/>
        </w:rPr>
        <w:t>命，且判決</w:t>
      </w:r>
      <w:proofErr w:type="gramStart"/>
      <w:r w:rsidR="00E75795" w:rsidRPr="00B7290A">
        <w:rPr>
          <w:rFonts w:hAnsi="標楷體"/>
        </w:rPr>
        <w:t>疑</w:t>
      </w:r>
      <w:proofErr w:type="gramEnd"/>
      <w:r w:rsidR="00E75795" w:rsidRPr="00B7290A">
        <w:rPr>
          <w:rFonts w:hAnsi="標楷體"/>
        </w:rPr>
        <w:t>有主文與理由矛盾、違反證據法則與正當法律程序，及適用法則不當等違背法令事由，致蒙受冤</w:t>
      </w:r>
      <w:proofErr w:type="gramStart"/>
      <w:r w:rsidR="00E75795" w:rsidRPr="00B7290A">
        <w:rPr>
          <w:rFonts w:hAnsi="標楷體"/>
        </w:rPr>
        <w:t>抑等情</w:t>
      </w:r>
      <w:proofErr w:type="gramEnd"/>
      <w:r w:rsidR="007810C7" w:rsidRPr="00B7290A">
        <w:rPr>
          <w:rFonts w:hAnsi="標楷體" w:hint="eastAsia"/>
          <w:szCs w:val="32"/>
        </w:rPr>
        <w:t>」</w:t>
      </w:r>
      <w:r w:rsidR="00440866" w:rsidRPr="00B7290A">
        <w:rPr>
          <w:rFonts w:hAnsi="標楷體" w:hint="eastAsia"/>
          <w:szCs w:val="32"/>
        </w:rPr>
        <w:t>案</w:t>
      </w:r>
      <w:r w:rsidR="007810C7" w:rsidRPr="00B7290A">
        <w:rPr>
          <w:rFonts w:hAnsi="標楷體" w:hint="eastAsia"/>
          <w:szCs w:val="32"/>
        </w:rPr>
        <w:t>，案</w:t>
      </w:r>
      <w:r w:rsidR="00440866" w:rsidRPr="00B7290A">
        <w:rPr>
          <w:rFonts w:hAnsi="標楷體" w:hint="eastAsia"/>
          <w:szCs w:val="32"/>
        </w:rPr>
        <w:t>經調取</w:t>
      </w:r>
      <w:r w:rsidR="007810C7" w:rsidRPr="00B7290A">
        <w:rPr>
          <w:rFonts w:hAnsi="標楷體" w:hint="eastAsia"/>
          <w:szCs w:val="32"/>
        </w:rPr>
        <w:t>相關</w:t>
      </w:r>
      <w:r w:rsidR="00440866" w:rsidRPr="00B7290A">
        <w:rPr>
          <w:rFonts w:hAnsi="標楷體" w:hint="eastAsia"/>
          <w:szCs w:val="32"/>
        </w:rPr>
        <w:t>卷證審閱，</w:t>
      </w:r>
      <w:r w:rsidR="002A3604" w:rsidRPr="00B7290A">
        <w:rPr>
          <w:rFonts w:hint="eastAsia"/>
        </w:rPr>
        <w:t>並於民國(下同)113年2月16日及2月23日辦理諮詢會議兩場，分別邀請國立</w:t>
      </w:r>
      <w:r w:rsidR="002A3604" w:rsidRPr="00B7290A">
        <w:rPr>
          <w:rFonts w:hAnsi="標楷體" w:hint="eastAsia"/>
          <w:szCs w:val="24"/>
        </w:rPr>
        <w:t>臺灣大學法律學院王</w:t>
      </w:r>
      <w:r w:rsidR="00735CB2">
        <w:rPr>
          <w:rFonts w:hAnsi="標楷體" w:hint="eastAsia"/>
          <w:szCs w:val="24"/>
        </w:rPr>
        <w:t>○○</w:t>
      </w:r>
      <w:r w:rsidR="002A3604" w:rsidRPr="00B7290A">
        <w:rPr>
          <w:rFonts w:hAnsi="標楷體" w:hint="eastAsia"/>
          <w:szCs w:val="24"/>
        </w:rPr>
        <w:t>教授、東吳大學會計學系</w:t>
      </w:r>
      <w:proofErr w:type="gramStart"/>
      <w:r w:rsidR="002A3604" w:rsidRPr="00B7290A">
        <w:rPr>
          <w:rFonts w:hAnsi="標楷體" w:hint="eastAsia"/>
          <w:szCs w:val="24"/>
        </w:rPr>
        <w:t>柯</w:t>
      </w:r>
      <w:proofErr w:type="gramEnd"/>
      <w:r w:rsidR="00735CB2">
        <w:rPr>
          <w:rFonts w:hAnsi="標楷體" w:hint="eastAsia"/>
          <w:szCs w:val="24"/>
        </w:rPr>
        <w:t>○○</w:t>
      </w:r>
      <w:r w:rsidR="002A3604" w:rsidRPr="00B7290A">
        <w:rPr>
          <w:rFonts w:hAnsi="標楷體" w:hint="eastAsia"/>
          <w:szCs w:val="24"/>
        </w:rPr>
        <w:t>教授，及東吳大學法學院莊</w:t>
      </w:r>
      <w:r w:rsidR="00735CB2">
        <w:rPr>
          <w:rFonts w:hAnsi="標楷體" w:hint="eastAsia"/>
          <w:szCs w:val="24"/>
        </w:rPr>
        <w:t>○○</w:t>
      </w:r>
      <w:r w:rsidR="002A3604" w:rsidRPr="00B7290A">
        <w:rPr>
          <w:rFonts w:hAnsi="標楷體" w:hint="eastAsia"/>
          <w:szCs w:val="24"/>
        </w:rPr>
        <w:t>教授、</w:t>
      </w:r>
      <w:r w:rsidR="002A3604" w:rsidRPr="00B7290A">
        <w:rPr>
          <w:rFonts w:hint="eastAsia"/>
        </w:rPr>
        <w:t>國立</w:t>
      </w:r>
      <w:r w:rsidR="002A3604" w:rsidRPr="00B7290A">
        <w:rPr>
          <w:rFonts w:hAnsi="標楷體" w:hint="eastAsia"/>
          <w:szCs w:val="24"/>
        </w:rPr>
        <w:t>臺灣師範大學管理學院</w:t>
      </w:r>
      <w:proofErr w:type="gramStart"/>
      <w:r w:rsidR="002A3604" w:rsidRPr="00B7290A">
        <w:rPr>
          <w:rFonts w:hAnsi="標楷體" w:hint="eastAsia"/>
          <w:szCs w:val="24"/>
        </w:rPr>
        <w:t>蔡</w:t>
      </w:r>
      <w:proofErr w:type="gramEnd"/>
      <w:r w:rsidR="00735CB2">
        <w:rPr>
          <w:rFonts w:hAnsi="標楷體" w:hint="eastAsia"/>
          <w:szCs w:val="24"/>
        </w:rPr>
        <w:t>○○</w:t>
      </w:r>
      <w:bookmarkStart w:id="25" w:name="_GoBack"/>
      <w:bookmarkEnd w:id="25"/>
      <w:r w:rsidR="002A3604" w:rsidRPr="00B7290A">
        <w:rPr>
          <w:rFonts w:hAnsi="標楷體" w:hint="eastAsia"/>
          <w:szCs w:val="24"/>
        </w:rPr>
        <w:t>教授</w:t>
      </w:r>
      <w:r w:rsidR="002A3604" w:rsidRPr="00B7290A">
        <w:rPr>
          <w:rFonts w:hAnsi="標楷體" w:hint="eastAsia"/>
        </w:rPr>
        <w:t>蒞院</w:t>
      </w:r>
      <w:r w:rsidR="002A3604" w:rsidRPr="00B7290A">
        <w:rPr>
          <w:rFonts w:hint="eastAsia"/>
        </w:rPr>
        <w:t>提供專業意見，復於113年4月15日約</w:t>
      </w:r>
      <w:proofErr w:type="gramStart"/>
      <w:r w:rsidR="002A3604" w:rsidRPr="00B7290A">
        <w:rPr>
          <w:rFonts w:hint="eastAsia"/>
        </w:rPr>
        <w:t>詢</w:t>
      </w:r>
      <w:proofErr w:type="gramEnd"/>
      <w:r w:rsidR="002A3604" w:rsidRPr="00B7290A">
        <w:rPr>
          <w:rFonts w:hint="eastAsia"/>
        </w:rPr>
        <w:t>金融監督管理委員會(下稱金管會)</w:t>
      </w:r>
      <w:r w:rsidR="002A3604" w:rsidRPr="00B7290A">
        <w:t>蔡福隆</w:t>
      </w:r>
      <w:r w:rsidR="002A3604" w:rsidRPr="00B7290A">
        <w:rPr>
          <w:rFonts w:hint="eastAsia"/>
        </w:rPr>
        <w:t>主任秘書、金管會證券期貨局(下</w:t>
      </w:r>
      <w:proofErr w:type="gramStart"/>
      <w:r w:rsidR="002A3604" w:rsidRPr="00B7290A">
        <w:rPr>
          <w:rFonts w:hint="eastAsia"/>
        </w:rPr>
        <w:t>稱證期局</w:t>
      </w:r>
      <w:proofErr w:type="gramEnd"/>
      <w:r w:rsidR="002A3604" w:rsidRPr="00B7290A">
        <w:rPr>
          <w:rFonts w:hint="eastAsia"/>
        </w:rPr>
        <w:t>)</w:t>
      </w:r>
      <w:r w:rsidR="002A3604" w:rsidRPr="00B7290A">
        <w:t>黃厚銘</w:t>
      </w:r>
      <w:r w:rsidR="002A3604" w:rsidRPr="00B7290A">
        <w:rPr>
          <w:rFonts w:hint="eastAsia"/>
        </w:rPr>
        <w:t>副局長，暨相關業務主管人員</w:t>
      </w:r>
      <w:r w:rsidR="00440866" w:rsidRPr="00B7290A">
        <w:rPr>
          <w:rFonts w:hint="eastAsia"/>
          <w:lang w:val="ja-JP"/>
        </w:rPr>
        <w:t>，</w:t>
      </w:r>
      <w:r w:rsidR="007810C7" w:rsidRPr="00B7290A">
        <w:rPr>
          <w:rFonts w:hAnsi="標楷體" w:hint="eastAsia"/>
          <w:szCs w:val="32"/>
        </w:rPr>
        <w:t>全</w:t>
      </w:r>
      <w:proofErr w:type="gramStart"/>
      <w:r w:rsidR="007810C7" w:rsidRPr="00B7290A">
        <w:rPr>
          <w:rFonts w:hAnsi="標楷體" w:hint="eastAsia"/>
          <w:szCs w:val="32"/>
        </w:rPr>
        <w:t>案</w:t>
      </w:r>
      <w:r w:rsidR="007810C7" w:rsidRPr="00B7290A">
        <w:rPr>
          <w:rFonts w:hint="eastAsia"/>
          <w:lang w:val="ja-JP"/>
        </w:rPr>
        <w:t>業</w:t>
      </w:r>
      <w:r w:rsidR="00440866" w:rsidRPr="00B7290A">
        <w:rPr>
          <w:rFonts w:hint="eastAsia"/>
          <w:lang w:val="ja-JP"/>
        </w:rPr>
        <w:t>調查</w:t>
      </w:r>
      <w:r w:rsidR="007810C7" w:rsidRPr="00B7290A">
        <w:rPr>
          <w:rFonts w:hint="eastAsia"/>
          <w:lang w:val="ja-JP"/>
        </w:rPr>
        <w:t>竣事</w:t>
      </w:r>
      <w:proofErr w:type="gramEnd"/>
      <w:r w:rsidR="00440866" w:rsidRPr="00B7290A">
        <w:rPr>
          <w:rFonts w:hint="eastAsia"/>
          <w:lang w:val="ja-JP"/>
        </w:rPr>
        <w:t>，</w:t>
      </w:r>
      <w:r w:rsidR="00440866" w:rsidRPr="00B7290A">
        <w:rPr>
          <w:lang w:val="ja-JP"/>
        </w:rPr>
        <w:t>調查</w:t>
      </w:r>
      <w:r w:rsidR="00440866" w:rsidRPr="00B7290A">
        <w:rPr>
          <w:rFonts w:hint="eastAsia"/>
          <w:lang w:val="ja-JP"/>
        </w:rPr>
        <w:t>意見</w:t>
      </w:r>
      <w:proofErr w:type="gramStart"/>
      <w:r w:rsidR="002A3604" w:rsidRPr="00B7290A">
        <w:rPr>
          <w:rFonts w:hint="eastAsia"/>
          <w:lang w:val="ja-JP"/>
        </w:rPr>
        <w:t>臚列</w:t>
      </w:r>
      <w:r w:rsidR="00440866" w:rsidRPr="00B7290A">
        <w:rPr>
          <w:rFonts w:hint="eastAsia"/>
          <w:lang w:val="ja-JP"/>
        </w:rPr>
        <w:t>如</w:t>
      </w:r>
      <w:proofErr w:type="gramEnd"/>
      <w:r w:rsidR="00440866" w:rsidRPr="00B7290A">
        <w:rPr>
          <w:rFonts w:hint="eastAsia"/>
          <w:lang w:val="ja-JP"/>
        </w:rPr>
        <w:t>下：</w:t>
      </w:r>
    </w:p>
    <w:p w:rsidR="000F6A0E" w:rsidRPr="00B7290A" w:rsidRDefault="003A5184" w:rsidP="003A5184">
      <w:pPr>
        <w:pStyle w:val="2"/>
        <w:kinsoku w:val="0"/>
        <w:rPr>
          <w:b/>
        </w:rPr>
      </w:pPr>
      <w:r w:rsidRPr="00B7290A">
        <w:rPr>
          <w:rFonts w:hint="eastAsia"/>
          <w:b/>
        </w:rPr>
        <w:t>本案</w:t>
      </w:r>
      <w:r w:rsidRPr="00B7290A">
        <w:rPr>
          <w:rFonts w:hAnsi="標楷體" w:hint="eastAsia"/>
          <w:b/>
          <w:bCs w:val="0"/>
        </w:rPr>
        <w:t>臺灣高等法院</w:t>
      </w:r>
      <w:proofErr w:type="gramStart"/>
      <w:r w:rsidRPr="00B7290A">
        <w:rPr>
          <w:rFonts w:hAnsi="標楷體"/>
          <w:b/>
          <w:bCs w:val="0"/>
        </w:rPr>
        <w:t>1</w:t>
      </w:r>
      <w:r w:rsidRPr="00B7290A">
        <w:rPr>
          <w:b/>
        </w:rPr>
        <w:t>11</w:t>
      </w:r>
      <w:proofErr w:type="gramEnd"/>
      <w:r w:rsidRPr="00B7290A">
        <w:rPr>
          <w:b/>
        </w:rPr>
        <w:t>年度金</w:t>
      </w:r>
      <w:r w:rsidRPr="00B7290A">
        <w:rPr>
          <w:rFonts w:hAnsi="標楷體"/>
          <w:b/>
        </w:rPr>
        <w:t>上訴字第33號</w:t>
      </w:r>
      <w:r w:rsidRPr="00B7290A">
        <w:rPr>
          <w:rFonts w:hAnsi="標楷體" w:hint="eastAsia"/>
          <w:b/>
        </w:rPr>
        <w:t>判決，其既認定系爭</w:t>
      </w:r>
      <w:r w:rsidRPr="00B7290A">
        <w:rPr>
          <w:rFonts w:hint="eastAsia"/>
          <w:b/>
        </w:rPr>
        <w:t>黃金網路預定買賣交易為期貨交易法所稱之「槓桿保證金契約」，</w:t>
      </w:r>
      <w:r w:rsidR="00A85E4A" w:rsidRPr="00B7290A">
        <w:rPr>
          <w:rFonts w:hint="eastAsia"/>
          <w:b/>
        </w:rPr>
        <w:t>卻無視期</w:t>
      </w:r>
      <w:r w:rsidR="00C35570" w:rsidRPr="00B7290A">
        <w:rPr>
          <w:rFonts w:hint="eastAsia"/>
          <w:b/>
        </w:rPr>
        <w:t>貨</w:t>
      </w:r>
      <w:r w:rsidR="00A85E4A" w:rsidRPr="00B7290A">
        <w:rPr>
          <w:rFonts w:hint="eastAsia"/>
          <w:b/>
        </w:rPr>
        <w:t>交</w:t>
      </w:r>
      <w:r w:rsidR="00C35570" w:rsidRPr="00B7290A">
        <w:rPr>
          <w:rFonts w:hint="eastAsia"/>
          <w:b/>
        </w:rPr>
        <w:t>易</w:t>
      </w:r>
      <w:r w:rsidR="00A85E4A" w:rsidRPr="00B7290A">
        <w:rPr>
          <w:rFonts w:hint="eastAsia"/>
          <w:b/>
        </w:rPr>
        <w:t>法針對該類型期貨交易，已另立第112條第5項第4款之特別處罰規定，而仍以同條項第3款之規定論罪，其認事與用法間，顯存扞格，而有判決理由矛盾之情</w:t>
      </w:r>
      <w:r w:rsidRPr="00B7290A">
        <w:rPr>
          <w:rFonts w:hint="eastAsia"/>
          <w:b/>
        </w:rPr>
        <w:t>：</w:t>
      </w:r>
    </w:p>
    <w:p w:rsidR="00C26765" w:rsidRPr="00B7290A" w:rsidRDefault="00C26765" w:rsidP="00C92C70">
      <w:pPr>
        <w:pStyle w:val="3"/>
      </w:pPr>
      <w:r w:rsidRPr="00B7290A">
        <w:rPr>
          <w:rFonts w:hint="eastAsia"/>
        </w:rPr>
        <w:lastRenderedPageBreak/>
        <w:t>按期貨交易法(</w:t>
      </w:r>
      <w:proofErr w:type="gramStart"/>
      <w:r w:rsidRPr="00B7290A">
        <w:rPr>
          <w:rFonts w:hint="eastAsia"/>
        </w:rPr>
        <w:t>下稱期交</w:t>
      </w:r>
      <w:proofErr w:type="gramEnd"/>
      <w:r w:rsidRPr="00B7290A">
        <w:rPr>
          <w:rFonts w:hint="eastAsia"/>
        </w:rPr>
        <w:t>法)第3條第1項</w:t>
      </w:r>
      <w:r w:rsidR="0024008F" w:rsidRPr="00B7290A">
        <w:rPr>
          <w:rStyle w:val="aff0"/>
        </w:rPr>
        <w:footnoteReference w:id="1"/>
      </w:r>
      <w:r w:rsidRPr="00B7290A">
        <w:rPr>
          <w:rFonts w:hint="eastAsia"/>
        </w:rPr>
        <w:t>，及其第4款規定，將</w:t>
      </w:r>
      <w:r w:rsidRPr="00B7290A">
        <w:rPr>
          <w:rFonts w:hAnsi="標楷體" w:hint="eastAsia"/>
        </w:rPr>
        <w:t>「</w:t>
      </w:r>
      <w:r w:rsidRPr="00B7290A">
        <w:rPr>
          <w:rFonts w:hint="eastAsia"/>
        </w:rPr>
        <w:t>槓桿保證金契約</w:t>
      </w:r>
      <w:r w:rsidRPr="00B7290A">
        <w:rPr>
          <w:rFonts w:hAnsi="標楷體" w:hint="eastAsia"/>
        </w:rPr>
        <w:t>」</w:t>
      </w:r>
      <w:r w:rsidRPr="00B7290A">
        <w:rPr>
          <w:rFonts w:hint="eastAsia"/>
        </w:rPr>
        <w:t>交易，統括為該條項所定</w:t>
      </w:r>
      <w:r w:rsidRPr="00B7290A">
        <w:rPr>
          <w:rFonts w:hAnsi="標楷體" w:hint="eastAsia"/>
        </w:rPr>
        <w:t>「</w:t>
      </w:r>
      <w:r w:rsidRPr="00B7290A">
        <w:rPr>
          <w:rFonts w:hint="eastAsia"/>
        </w:rPr>
        <w:t>期貨交易</w:t>
      </w:r>
      <w:r w:rsidRPr="00B7290A">
        <w:rPr>
          <w:rFonts w:hAnsi="標楷體" w:hint="eastAsia"/>
        </w:rPr>
        <w:t>」</w:t>
      </w:r>
      <w:r w:rsidRPr="00B7290A">
        <w:rPr>
          <w:rFonts w:hint="eastAsia"/>
        </w:rPr>
        <w:t>之一環</w:t>
      </w:r>
      <w:r w:rsidR="00587B10" w:rsidRPr="00B7290A">
        <w:rPr>
          <w:rFonts w:hint="eastAsia"/>
        </w:rPr>
        <w:t>，且於該法第56條第1項及第80條第1項分別規定：「非期貨商除本法另有規定者外，不得經營期貨交易業務。」、「槓桿</w:t>
      </w:r>
      <w:proofErr w:type="gramStart"/>
      <w:r w:rsidR="00587B10" w:rsidRPr="00B7290A">
        <w:rPr>
          <w:rFonts w:hint="eastAsia"/>
        </w:rPr>
        <w:t>交易商非經</w:t>
      </w:r>
      <w:proofErr w:type="gramEnd"/>
      <w:r w:rsidR="00587B10" w:rsidRPr="00B7290A">
        <w:rPr>
          <w:rFonts w:hint="eastAsia"/>
        </w:rPr>
        <w:t>主管機關核准，不得經營期貨交易業務」。</w:t>
      </w:r>
      <w:r w:rsidRPr="00B7290A">
        <w:rPr>
          <w:rFonts w:hint="eastAsia"/>
        </w:rPr>
        <w:t>惟期交法第112條第5項，卻又</w:t>
      </w:r>
      <w:r w:rsidR="0027737E" w:rsidRPr="00B7290A">
        <w:rPr>
          <w:rFonts w:hint="eastAsia"/>
        </w:rPr>
        <w:t>另</w:t>
      </w:r>
      <w:r w:rsidRPr="00B7290A">
        <w:rPr>
          <w:rFonts w:hint="eastAsia"/>
        </w:rPr>
        <w:t>將</w:t>
      </w:r>
      <w:r w:rsidRPr="00B7290A">
        <w:rPr>
          <w:rFonts w:hAnsi="標楷體" w:hint="eastAsia"/>
        </w:rPr>
        <w:t>「</w:t>
      </w:r>
      <w:r w:rsidR="0027737E" w:rsidRPr="00B7290A">
        <w:rPr>
          <w:rFonts w:hint="eastAsia"/>
        </w:rPr>
        <w:t>違反第56條第1項之規定(即：非期貨商除本法另有規定者外，不得</w:t>
      </w:r>
      <w:r w:rsidR="0027737E" w:rsidRPr="00B7290A">
        <w:rPr>
          <w:rFonts w:hAnsi="標楷體" w:hint="eastAsia"/>
        </w:rPr>
        <w:t>經營</w:t>
      </w:r>
      <w:r w:rsidR="0027737E" w:rsidRPr="00B7290A">
        <w:rPr>
          <w:rFonts w:hint="eastAsia"/>
        </w:rPr>
        <w:t>期貨交易</w:t>
      </w:r>
      <w:r w:rsidR="0027737E" w:rsidRPr="00B7290A">
        <w:rPr>
          <w:rFonts w:hAnsi="標楷體" w:hint="eastAsia"/>
        </w:rPr>
        <w:t>業務</w:t>
      </w:r>
      <w:r w:rsidR="0027737E" w:rsidRPr="00B7290A">
        <w:rPr>
          <w:rFonts w:hint="eastAsia"/>
        </w:rPr>
        <w:t>)</w:t>
      </w:r>
      <w:r w:rsidRPr="00B7290A">
        <w:rPr>
          <w:rFonts w:hAnsi="標楷體" w:hint="eastAsia"/>
        </w:rPr>
        <w:t>」</w:t>
      </w:r>
      <w:r w:rsidRPr="00B7290A">
        <w:rPr>
          <w:rFonts w:hint="eastAsia"/>
        </w:rPr>
        <w:t>，及</w:t>
      </w:r>
      <w:r w:rsidRPr="00B7290A">
        <w:rPr>
          <w:rFonts w:hAnsi="標楷體" w:hint="eastAsia"/>
        </w:rPr>
        <w:t>「</w:t>
      </w:r>
      <w:r w:rsidRPr="00B7290A">
        <w:rPr>
          <w:rFonts w:hint="eastAsia"/>
        </w:rPr>
        <w:t>未經許可，擅自經營槓桿交易商</w:t>
      </w:r>
      <w:r w:rsidRPr="00B7290A">
        <w:rPr>
          <w:rFonts w:hAnsi="標楷體" w:hint="eastAsia"/>
        </w:rPr>
        <w:t>」之行為</w:t>
      </w:r>
      <w:r w:rsidRPr="00B7290A">
        <w:rPr>
          <w:rFonts w:hint="eastAsia"/>
        </w:rPr>
        <w:t>，分別</w:t>
      </w:r>
      <w:r w:rsidR="0024008F" w:rsidRPr="00B7290A">
        <w:rPr>
          <w:rFonts w:hint="eastAsia"/>
        </w:rPr>
        <w:t>用</w:t>
      </w:r>
      <w:r w:rsidRPr="00B7290A">
        <w:rPr>
          <w:rFonts w:hint="eastAsia"/>
        </w:rPr>
        <w:t>第3款及第4款條文，予以處罰。兩者之文義邏輯，似存</w:t>
      </w:r>
      <w:proofErr w:type="gramStart"/>
      <w:r w:rsidRPr="00B7290A">
        <w:rPr>
          <w:rFonts w:hint="eastAsia"/>
        </w:rPr>
        <w:t>扞</w:t>
      </w:r>
      <w:proofErr w:type="gramEnd"/>
      <w:r w:rsidRPr="00B7290A">
        <w:rPr>
          <w:rFonts w:hint="eastAsia"/>
        </w:rPr>
        <w:t>格：蓋</w:t>
      </w:r>
      <w:r w:rsidRPr="00B7290A">
        <w:rPr>
          <w:rFonts w:hAnsi="標楷體" w:hint="eastAsia"/>
        </w:rPr>
        <w:t>「</w:t>
      </w:r>
      <w:r w:rsidRPr="00B7290A">
        <w:rPr>
          <w:rFonts w:hint="eastAsia"/>
        </w:rPr>
        <w:t>槓桿保證金契約交易</w:t>
      </w:r>
      <w:r w:rsidRPr="00B7290A">
        <w:rPr>
          <w:rFonts w:hAnsi="標楷體" w:hint="eastAsia"/>
        </w:rPr>
        <w:t>」</w:t>
      </w:r>
      <w:r w:rsidRPr="00B7290A">
        <w:rPr>
          <w:rFonts w:hint="eastAsia"/>
        </w:rPr>
        <w:t>既為</w:t>
      </w:r>
      <w:r w:rsidRPr="00B7290A">
        <w:rPr>
          <w:rFonts w:hAnsi="標楷體" w:hint="eastAsia"/>
        </w:rPr>
        <w:t>「</w:t>
      </w:r>
      <w:r w:rsidRPr="00B7290A">
        <w:rPr>
          <w:rFonts w:hint="eastAsia"/>
        </w:rPr>
        <w:t>期貨交易</w:t>
      </w:r>
      <w:r w:rsidRPr="00B7290A">
        <w:rPr>
          <w:rFonts w:hAnsi="標楷體" w:hint="eastAsia"/>
        </w:rPr>
        <w:t>」</w:t>
      </w:r>
      <w:r w:rsidRPr="00B7290A">
        <w:rPr>
          <w:rFonts w:hint="eastAsia"/>
        </w:rPr>
        <w:t>之一環，則對擅自經營槓桿保證金契約交易之行為，以期交法第112條第5項第3款規定</w:t>
      </w:r>
      <w:proofErr w:type="gramStart"/>
      <w:r w:rsidRPr="00B7290A">
        <w:rPr>
          <w:rFonts w:hint="eastAsia"/>
        </w:rPr>
        <w:t>逕</w:t>
      </w:r>
      <w:proofErr w:type="gramEnd"/>
      <w:r w:rsidRPr="00B7290A">
        <w:rPr>
          <w:rFonts w:hint="eastAsia"/>
        </w:rPr>
        <w:t>處即可；惟若如此解釋，則同條項第4款規定不啻形同具文。是其間之條文如何正確適用，</w:t>
      </w:r>
      <w:proofErr w:type="gramStart"/>
      <w:r w:rsidRPr="00B7290A">
        <w:rPr>
          <w:rFonts w:hint="eastAsia"/>
        </w:rPr>
        <w:t>允有進一步研</w:t>
      </w:r>
      <w:proofErr w:type="gramEnd"/>
      <w:r w:rsidRPr="00B7290A">
        <w:rPr>
          <w:rFonts w:hint="eastAsia"/>
        </w:rPr>
        <w:t>析之必要。</w:t>
      </w:r>
    </w:p>
    <w:p w:rsidR="003C6A1F" w:rsidRPr="00B7290A" w:rsidRDefault="003C6A1F" w:rsidP="00C92C70">
      <w:pPr>
        <w:pStyle w:val="3"/>
      </w:pPr>
      <w:r w:rsidRPr="00B7290A">
        <w:rPr>
          <w:rFonts w:hint="eastAsia"/>
        </w:rPr>
        <w:t>就此，臺灣高等法院</w:t>
      </w:r>
      <w:r w:rsidR="008315EB" w:rsidRPr="00B7290A">
        <w:rPr>
          <w:rFonts w:hint="eastAsia"/>
        </w:rPr>
        <w:t>(下稱</w:t>
      </w:r>
      <w:proofErr w:type="gramStart"/>
      <w:r w:rsidR="008315EB" w:rsidRPr="00B7290A">
        <w:rPr>
          <w:rFonts w:hint="eastAsia"/>
        </w:rPr>
        <w:t>臺</w:t>
      </w:r>
      <w:proofErr w:type="gramEnd"/>
      <w:r w:rsidR="008315EB" w:rsidRPr="00B7290A">
        <w:rPr>
          <w:rFonts w:hint="eastAsia"/>
        </w:rPr>
        <w:t>高院)</w:t>
      </w:r>
      <w:proofErr w:type="gramStart"/>
      <w:r w:rsidRPr="00B7290A">
        <w:rPr>
          <w:rFonts w:hint="eastAsia"/>
        </w:rPr>
        <w:t>11</w:t>
      </w:r>
      <w:proofErr w:type="gramEnd"/>
      <w:r w:rsidRPr="00B7290A">
        <w:rPr>
          <w:rFonts w:hint="eastAsia"/>
        </w:rPr>
        <w:t>0年度金上訴字第37號</w:t>
      </w:r>
      <w:r w:rsidR="00151A6E" w:rsidRPr="00B7290A">
        <w:rPr>
          <w:rFonts w:hint="eastAsia"/>
        </w:rPr>
        <w:t>刑事</w:t>
      </w:r>
      <w:r w:rsidRPr="00B7290A">
        <w:rPr>
          <w:rFonts w:hint="eastAsia"/>
        </w:rPr>
        <w:t>判決曾有相關之闡釋</w:t>
      </w:r>
      <w:r w:rsidR="00D36F4A" w:rsidRPr="00B7290A">
        <w:rPr>
          <w:rStyle w:val="aff0"/>
        </w:rPr>
        <w:footnoteReference w:id="2"/>
      </w:r>
      <w:r w:rsidRPr="00B7290A">
        <w:rPr>
          <w:rFonts w:hint="eastAsia"/>
        </w:rPr>
        <w:t>，略以：「按非期貨商除本法另有規定者外，不得經營期貨交易業務。期貨商須經主管機關之許可並發給許可證照，始得營業。外國期貨商須經中華民國政府認許，且經主管機關之許可並發給許可證照，始得營業，期貨交易法第56條第1、2、3項定有明文。經營『槓桿</w:t>
      </w:r>
      <w:r w:rsidRPr="00B7290A">
        <w:rPr>
          <w:rFonts w:hint="eastAsia"/>
        </w:rPr>
        <w:lastRenderedPageBreak/>
        <w:t>保證金契約交易』之事業，即係期貨交易法第80條所稱之『槓桿交易商』，復為期貨交易法施行細則第4條所明定，乃法律特別針對期貨商從事經營高風險『槓桿保證金契約』之期貨種類，所為特別規範，又『槓桿交易商』非經主管機關核准，不得經營期貨交易業務。『槓桿交易商』須經主管機關之許可並發給許可證照，始得營業，期貨交易法第80條第1項、第2項定有明文。…</w:t>
      </w:r>
      <w:proofErr w:type="gramStart"/>
      <w:r w:rsidRPr="00B7290A">
        <w:rPr>
          <w:rFonts w:hint="eastAsia"/>
        </w:rPr>
        <w:t>…</w:t>
      </w:r>
      <w:proofErr w:type="gramEnd"/>
      <w:r w:rsidRPr="00B7290A">
        <w:rPr>
          <w:rFonts w:hint="eastAsia"/>
        </w:rPr>
        <w:t>上開期貨交易法第112條第5項第4款之規定，係針對高風險『槓桿交易商』從事『槓桿保證金契約交易』所為獨立犯罪型態之特別規定，自應優先於同法第112條第5項第3款、第5款之概括規定而適用。檢察官起訴意旨認被告甲○○、丙○○、乙○○所為，</w:t>
      </w:r>
      <w:proofErr w:type="gramStart"/>
      <w:r w:rsidRPr="00B7290A">
        <w:rPr>
          <w:rFonts w:hint="eastAsia"/>
        </w:rPr>
        <w:t>係涉犯</w:t>
      </w:r>
      <w:proofErr w:type="gramEnd"/>
      <w:r w:rsidRPr="00B7290A">
        <w:rPr>
          <w:rFonts w:hint="eastAsia"/>
        </w:rPr>
        <w:t>期貨交易法第112條第5項第3款規定之罪嫌，容有誤會，惟因基本社會事實同一，爰依法變更起訴法條。」等語；上開見解，</w:t>
      </w:r>
      <w:proofErr w:type="gramStart"/>
      <w:r w:rsidRPr="00B7290A">
        <w:rPr>
          <w:rFonts w:hint="eastAsia"/>
        </w:rPr>
        <w:t>嗣</w:t>
      </w:r>
      <w:proofErr w:type="gramEnd"/>
      <w:r w:rsidRPr="00B7290A">
        <w:rPr>
          <w:rFonts w:hint="eastAsia"/>
        </w:rPr>
        <w:t>並經</w:t>
      </w:r>
      <w:r w:rsidR="00D8745D" w:rsidRPr="00B7290A">
        <w:rPr>
          <w:rFonts w:hint="eastAsia"/>
        </w:rPr>
        <w:t>上訴</w:t>
      </w:r>
      <w:r w:rsidRPr="00B7290A">
        <w:rPr>
          <w:rFonts w:hint="eastAsia"/>
        </w:rPr>
        <w:t>最高法院</w:t>
      </w:r>
      <w:proofErr w:type="gramStart"/>
      <w:r w:rsidRPr="00B7290A">
        <w:rPr>
          <w:rFonts w:hint="eastAsia"/>
        </w:rPr>
        <w:t>11</w:t>
      </w:r>
      <w:proofErr w:type="gramEnd"/>
      <w:r w:rsidRPr="00B7290A">
        <w:rPr>
          <w:rFonts w:hint="eastAsia"/>
        </w:rPr>
        <w:t>1年度台上字第2473號判決</w:t>
      </w:r>
      <w:r w:rsidR="00D8745D" w:rsidRPr="00B7290A">
        <w:rPr>
          <w:rFonts w:hint="eastAsia"/>
        </w:rPr>
        <w:t>予以</w:t>
      </w:r>
      <w:r w:rsidRPr="00B7290A">
        <w:rPr>
          <w:rFonts w:hint="eastAsia"/>
        </w:rPr>
        <w:t>維持</w:t>
      </w:r>
      <w:r w:rsidR="0027737E" w:rsidRPr="00B7290A">
        <w:rPr>
          <w:rFonts w:hint="eastAsia"/>
        </w:rPr>
        <w:t>，</w:t>
      </w:r>
      <w:r w:rsidR="00814201" w:rsidRPr="00B7290A">
        <w:rPr>
          <w:rFonts w:hint="eastAsia"/>
        </w:rPr>
        <w:t>堪可作為</w:t>
      </w:r>
      <w:proofErr w:type="gramStart"/>
      <w:r w:rsidR="00814201" w:rsidRPr="00B7290A">
        <w:rPr>
          <w:rFonts w:hint="eastAsia"/>
        </w:rPr>
        <w:t>研析</w:t>
      </w:r>
      <w:proofErr w:type="gramEnd"/>
      <w:r w:rsidR="00814201" w:rsidRPr="00B7290A">
        <w:rPr>
          <w:rFonts w:hint="eastAsia"/>
        </w:rPr>
        <w:t>系爭條文如何正確適用之</w:t>
      </w:r>
      <w:proofErr w:type="gramStart"/>
      <w:r w:rsidR="00814201" w:rsidRPr="00B7290A">
        <w:rPr>
          <w:rFonts w:hint="eastAsia"/>
        </w:rPr>
        <w:t>重要佐</w:t>
      </w:r>
      <w:proofErr w:type="gramEnd"/>
      <w:r w:rsidR="00814201" w:rsidRPr="00B7290A">
        <w:rPr>
          <w:rFonts w:hint="eastAsia"/>
        </w:rPr>
        <w:t>參</w:t>
      </w:r>
      <w:r w:rsidR="00D8745D" w:rsidRPr="00B7290A">
        <w:rPr>
          <w:rFonts w:hint="eastAsia"/>
        </w:rPr>
        <w:t>。</w:t>
      </w:r>
    </w:p>
    <w:p w:rsidR="00AA6FDD" w:rsidRPr="00B7290A" w:rsidRDefault="00814201" w:rsidP="0027737E">
      <w:pPr>
        <w:pStyle w:val="3"/>
      </w:pPr>
      <w:r w:rsidRPr="00B7290A">
        <w:rPr>
          <w:rFonts w:hint="eastAsia"/>
        </w:rPr>
        <w:t>次</w:t>
      </w:r>
      <w:r w:rsidR="00AA6FDD" w:rsidRPr="00B7290A">
        <w:rPr>
          <w:rFonts w:hint="eastAsia"/>
        </w:rPr>
        <w:t>按</w:t>
      </w:r>
      <w:r w:rsidR="0027737E" w:rsidRPr="00B7290A">
        <w:rPr>
          <w:rFonts w:hint="eastAsia"/>
        </w:rPr>
        <w:t>，我國期交法之立法體例</w:t>
      </w:r>
      <w:r w:rsidR="00AA6FDD" w:rsidRPr="00B7290A">
        <w:rPr>
          <w:rFonts w:hint="eastAsia"/>
        </w:rPr>
        <w:t>：</w:t>
      </w:r>
    </w:p>
    <w:p w:rsidR="0027737E" w:rsidRPr="00B7290A" w:rsidRDefault="0024008F" w:rsidP="00AA6FDD">
      <w:pPr>
        <w:pStyle w:val="4"/>
      </w:pPr>
      <w:r w:rsidRPr="00B7290A">
        <w:rPr>
          <w:rFonts w:hint="eastAsia"/>
        </w:rPr>
        <w:t>其</w:t>
      </w:r>
      <w:r w:rsidR="0027737E" w:rsidRPr="00B7290A">
        <w:rPr>
          <w:rFonts w:hint="eastAsia"/>
        </w:rPr>
        <w:t>於第一章「總則」之後，依序於第二~四章分別規範「期貨交易所」、「期貨結算機構」、「期貨業」；而第四章</w:t>
      </w:r>
      <w:r w:rsidR="0027737E" w:rsidRPr="00B7290A">
        <w:rPr>
          <w:rFonts w:hAnsi="標楷體" w:hint="eastAsia"/>
        </w:rPr>
        <w:t>「</w:t>
      </w:r>
      <w:r w:rsidR="0027737E" w:rsidRPr="00B7290A">
        <w:rPr>
          <w:rFonts w:hint="eastAsia"/>
        </w:rPr>
        <w:t>期貨業</w:t>
      </w:r>
      <w:r w:rsidR="0027737E" w:rsidRPr="00B7290A">
        <w:rPr>
          <w:rFonts w:hAnsi="標楷體" w:hint="eastAsia"/>
        </w:rPr>
        <w:t>」</w:t>
      </w:r>
      <w:r w:rsidR="0027737E" w:rsidRPr="00B7290A">
        <w:rPr>
          <w:rFonts w:hint="eastAsia"/>
        </w:rPr>
        <w:t>之下，復區分為：第一節「期貨商」、第二節「槓桿交易商」、第三節「期貨服務事業」；又「期貨服務事業」，依該節第82條規定，包括「期貨信託事業」、「期貨經理事業」、「期貨顧問事業」或「其他期貨服務事業」；至於其餘之第五章~第九章，分別為</w:t>
      </w:r>
      <w:r w:rsidR="0027737E" w:rsidRPr="00B7290A">
        <w:rPr>
          <w:rFonts w:hAnsi="標楷體" w:hint="eastAsia"/>
        </w:rPr>
        <w:t>「</w:t>
      </w:r>
      <w:r w:rsidR="0027737E" w:rsidRPr="00B7290A">
        <w:rPr>
          <w:rFonts w:hint="eastAsia"/>
        </w:rPr>
        <w:t>同業公會</w:t>
      </w:r>
      <w:r w:rsidR="0027737E" w:rsidRPr="00B7290A">
        <w:rPr>
          <w:rFonts w:hAnsi="標楷體" w:hint="eastAsia"/>
        </w:rPr>
        <w:t>」</w:t>
      </w:r>
      <w:r w:rsidR="0027737E" w:rsidRPr="00B7290A">
        <w:rPr>
          <w:rFonts w:hint="eastAsia"/>
        </w:rPr>
        <w:t>、</w:t>
      </w:r>
      <w:r w:rsidR="0027737E" w:rsidRPr="00B7290A">
        <w:rPr>
          <w:rFonts w:hAnsi="標楷體" w:hint="eastAsia"/>
        </w:rPr>
        <w:t>「</w:t>
      </w:r>
      <w:r w:rsidR="0027737E" w:rsidRPr="00B7290A">
        <w:rPr>
          <w:rFonts w:hint="eastAsia"/>
        </w:rPr>
        <w:t>監督與管理</w:t>
      </w:r>
      <w:r w:rsidR="0027737E" w:rsidRPr="00B7290A">
        <w:rPr>
          <w:rFonts w:hAnsi="標楷體" w:hint="eastAsia"/>
        </w:rPr>
        <w:t>」</w:t>
      </w:r>
      <w:r w:rsidR="0027737E" w:rsidRPr="00B7290A">
        <w:rPr>
          <w:rFonts w:hint="eastAsia"/>
        </w:rPr>
        <w:t>、</w:t>
      </w:r>
      <w:r w:rsidR="0027737E" w:rsidRPr="00B7290A">
        <w:rPr>
          <w:rFonts w:hAnsi="標楷體" w:hint="eastAsia"/>
        </w:rPr>
        <w:t>「</w:t>
      </w:r>
      <w:r w:rsidR="0027737E" w:rsidRPr="00B7290A">
        <w:rPr>
          <w:rFonts w:hint="eastAsia"/>
        </w:rPr>
        <w:t>仲裁</w:t>
      </w:r>
      <w:r w:rsidR="0027737E" w:rsidRPr="00B7290A">
        <w:rPr>
          <w:rFonts w:hAnsi="標楷體" w:hint="eastAsia"/>
        </w:rPr>
        <w:t>」</w:t>
      </w:r>
      <w:r w:rsidR="0027737E" w:rsidRPr="00B7290A">
        <w:rPr>
          <w:rFonts w:hint="eastAsia"/>
        </w:rPr>
        <w:t>、</w:t>
      </w:r>
      <w:r w:rsidR="0027737E" w:rsidRPr="00B7290A">
        <w:rPr>
          <w:rFonts w:hAnsi="標楷體" w:hint="eastAsia"/>
        </w:rPr>
        <w:t>「</w:t>
      </w:r>
      <w:r w:rsidR="0027737E" w:rsidRPr="00B7290A">
        <w:rPr>
          <w:rFonts w:hint="eastAsia"/>
        </w:rPr>
        <w:t>罰則</w:t>
      </w:r>
      <w:r w:rsidR="0027737E" w:rsidRPr="00B7290A">
        <w:rPr>
          <w:rFonts w:hAnsi="標楷體" w:hint="eastAsia"/>
        </w:rPr>
        <w:t>」</w:t>
      </w:r>
      <w:r w:rsidR="0027737E" w:rsidRPr="00B7290A">
        <w:rPr>
          <w:rFonts w:hint="eastAsia"/>
        </w:rPr>
        <w:t>、</w:t>
      </w:r>
      <w:r w:rsidR="0027737E" w:rsidRPr="00B7290A">
        <w:rPr>
          <w:rFonts w:hAnsi="標楷體" w:hint="eastAsia"/>
        </w:rPr>
        <w:t>「</w:t>
      </w:r>
      <w:r w:rsidR="0027737E" w:rsidRPr="00B7290A">
        <w:rPr>
          <w:rFonts w:hint="eastAsia"/>
        </w:rPr>
        <w:t>附則</w:t>
      </w:r>
      <w:r w:rsidR="0027737E" w:rsidRPr="00B7290A">
        <w:rPr>
          <w:rFonts w:hAnsi="標楷體" w:hint="eastAsia"/>
        </w:rPr>
        <w:t>」</w:t>
      </w:r>
      <w:r w:rsidR="0027737E" w:rsidRPr="00B7290A">
        <w:rPr>
          <w:rFonts w:hint="eastAsia"/>
        </w:rPr>
        <w:t>等項。</w:t>
      </w:r>
    </w:p>
    <w:p w:rsidR="0027737E" w:rsidRPr="00B7290A" w:rsidRDefault="009F75D8" w:rsidP="00AA6FDD">
      <w:pPr>
        <w:pStyle w:val="4"/>
        <w:rPr>
          <w:rFonts w:ascii="細明體" w:eastAsia="細明體" w:hAnsi="細明體" w:cs="新細明體"/>
          <w:kern w:val="0"/>
          <w:sz w:val="23"/>
          <w:szCs w:val="23"/>
        </w:rPr>
      </w:pPr>
      <w:proofErr w:type="gramStart"/>
      <w:r w:rsidRPr="00B7290A">
        <w:rPr>
          <w:rFonts w:hint="eastAsia"/>
        </w:rPr>
        <w:t>又</w:t>
      </w:r>
      <w:r w:rsidR="0027737E" w:rsidRPr="00B7290A">
        <w:rPr>
          <w:rFonts w:hint="eastAsia"/>
        </w:rPr>
        <w:t>期交</w:t>
      </w:r>
      <w:proofErr w:type="gramEnd"/>
      <w:r w:rsidR="0027737E" w:rsidRPr="00B7290A">
        <w:rPr>
          <w:rFonts w:hint="eastAsia"/>
        </w:rPr>
        <w:t>法第112條第5項規定：「有下列情事之</w:t>
      </w:r>
      <w:proofErr w:type="gramStart"/>
      <w:r w:rsidR="0027737E" w:rsidRPr="00B7290A">
        <w:rPr>
          <w:rFonts w:hint="eastAsia"/>
        </w:rPr>
        <w:t>一</w:t>
      </w:r>
      <w:proofErr w:type="gramEnd"/>
      <w:r w:rsidR="0027737E" w:rsidRPr="00B7290A">
        <w:rPr>
          <w:rFonts w:hint="eastAsia"/>
        </w:rPr>
        <w:t>者，處七年以下有期徒刑，得併科新臺幣三百萬</w:t>
      </w:r>
      <w:r w:rsidR="0027737E" w:rsidRPr="00B7290A">
        <w:rPr>
          <w:rFonts w:hint="eastAsia"/>
        </w:rPr>
        <w:lastRenderedPageBreak/>
        <w:t>元以下罰金：一、未經許可，擅自經營期貨交易所或期貨交易所業務。二、未經許可，擅自經營期貨結算機構。三、違反第五十六條第一項</w:t>
      </w:r>
      <w:r w:rsidR="0027737E" w:rsidRPr="00B7290A">
        <w:rPr>
          <w:rStyle w:val="aff0"/>
        </w:rPr>
        <w:footnoteReference w:id="3"/>
      </w:r>
      <w:r w:rsidR="0027737E" w:rsidRPr="00B7290A">
        <w:rPr>
          <w:rFonts w:hint="eastAsia"/>
        </w:rPr>
        <w:t>之規定。四、未經許可，擅自經營槓桿交易商。五、未經許可，擅自經營期貨信託事業、期貨經理事業、期貨顧問事業或其他期貨服務事業。六、期貨信託事業違反第八十四條第一項</w:t>
      </w:r>
      <w:r w:rsidR="0027737E" w:rsidRPr="00B7290A">
        <w:rPr>
          <w:rStyle w:val="aff0"/>
        </w:rPr>
        <w:footnoteReference w:id="4"/>
      </w:r>
      <w:r w:rsidR="0027737E" w:rsidRPr="00B7290A">
        <w:rPr>
          <w:rFonts w:hint="eastAsia"/>
        </w:rPr>
        <w:t>規定募集期貨信託基金。」細</w:t>
      </w:r>
      <w:proofErr w:type="gramStart"/>
      <w:r w:rsidR="0027737E" w:rsidRPr="00B7290A">
        <w:rPr>
          <w:rFonts w:hint="eastAsia"/>
        </w:rPr>
        <w:t>繹</w:t>
      </w:r>
      <w:proofErr w:type="gramEnd"/>
      <w:r w:rsidR="0027737E" w:rsidRPr="00B7290A">
        <w:rPr>
          <w:rFonts w:hint="eastAsia"/>
        </w:rPr>
        <w:t>該條各項規定，係有體系的分別對應於</w:t>
      </w:r>
      <w:proofErr w:type="gramStart"/>
      <w:r w:rsidR="0027737E" w:rsidRPr="00B7290A">
        <w:rPr>
          <w:rFonts w:hint="eastAsia"/>
        </w:rPr>
        <w:t>前揭期</w:t>
      </w:r>
      <w:proofErr w:type="gramEnd"/>
      <w:r w:rsidR="0027737E" w:rsidRPr="00B7290A">
        <w:rPr>
          <w:rFonts w:hint="eastAsia"/>
        </w:rPr>
        <w:t>交法第</w:t>
      </w:r>
      <w:r w:rsidRPr="00B7290A">
        <w:rPr>
          <w:rFonts w:hint="eastAsia"/>
        </w:rPr>
        <w:t>二~四</w:t>
      </w:r>
      <w:r w:rsidR="0027737E" w:rsidRPr="00B7290A">
        <w:rPr>
          <w:rFonts w:hint="eastAsia"/>
        </w:rPr>
        <w:t>章節之各項機構業務，而對於未經許可/核准，擅自經營/募集之行為，明定刑罰</w:t>
      </w:r>
      <w:r w:rsidRPr="00B7290A">
        <w:rPr>
          <w:rFonts w:hint="eastAsia"/>
        </w:rPr>
        <w:t>；</w:t>
      </w:r>
      <w:r w:rsidR="0027737E" w:rsidRPr="00B7290A">
        <w:rPr>
          <w:rFonts w:hint="eastAsia"/>
        </w:rPr>
        <w:t>其間之</w:t>
      </w:r>
      <w:r w:rsidRPr="00B7290A">
        <w:rPr>
          <w:rFonts w:hint="eastAsia"/>
        </w:rPr>
        <w:t>章節體例與罰則條款</w:t>
      </w:r>
      <w:r w:rsidR="0027737E" w:rsidRPr="00B7290A">
        <w:rPr>
          <w:rFonts w:hint="eastAsia"/>
        </w:rPr>
        <w:t>對應情形，</w:t>
      </w:r>
      <w:r w:rsidRPr="00B7290A">
        <w:rPr>
          <w:rFonts w:hint="eastAsia"/>
        </w:rPr>
        <w:t>如下</w:t>
      </w:r>
      <w:r w:rsidR="0027737E" w:rsidRPr="00B7290A">
        <w:rPr>
          <w:rFonts w:hint="eastAsia"/>
        </w:rPr>
        <w:t>表</w:t>
      </w:r>
      <w:r w:rsidRPr="00B7290A">
        <w:rPr>
          <w:rFonts w:hint="eastAsia"/>
        </w:rPr>
        <w:t>所示</w:t>
      </w:r>
      <w:r w:rsidR="0027737E" w:rsidRPr="00B7290A">
        <w:rPr>
          <w:rFonts w:hint="eastAsia"/>
        </w:rPr>
        <w:t>：</w:t>
      </w:r>
    </w:p>
    <w:p w:rsidR="0027737E" w:rsidRPr="00B7290A" w:rsidRDefault="0027737E" w:rsidP="0027737E">
      <w:pPr>
        <w:pStyle w:val="3"/>
        <w:numPr>
          <w:ilvl w:val="0"/>
          <w:numId w:val="0"/>
        </w:numPr>
        <w:spacing w:line="160" w:lineRule="exact"/>
        <w:ind w:left="1361"/>
      </w:pPr>
    </w:p>
    <w:tbl>
      <w:tblPr>
        <w:tblStyle w:val="af6"/>
        <w:tblW w:w="9072" w:type="dxa"/>
        <w:tblInd w:w="704" w:type="dxa"/>
        <w:tblLook w:val="04A0" w:firstRow="1" w:lastRow="0" w:firstColumn="1" w:lastColumn="0" w:noHBand="0" w:noVBand="1"/>
      </w:tblPr>
      <w:tblGrid>
        <w:gridCol w:w="2269"/>
        <w:gridCol w:w="2409"/>
        <w:gridCol w:w="4394"/>
      </w:tblGrid>
      <w:tr w:rsidR="007824D2" w:rsidRPr="00B7290A" w:rsidTr="00211DB7">
        <w:tc>
          <w:tcPr>
            <w:tcW w:w="4678" w:type="dxa"/>
            <w:gridSpan w:val="2"/>
            <w:vAlign w:val="center"/>
          </w:tcPr>
          <w:p w:rsidR="0027737E" w:rsidRPr="00B7290A" w:rsidRDefault="0027737E" w:rsidP="00211DB7">
            <w:pPr>
              <w:pStyle w:val="3"/>
              <w:numPr>
                <w:ilvl w:val="0"/>
                <w:numId w:val="0"/>
              </w:numPr>
              <w:kinsoku w:val="0"/>
              <w:jc w:val="center"/>
              <w:rPr>
                <w:rFonts w:hAnsi="標楷體"/>
                <w:sz w:val="26"/>
                <w:szCs w:val="26"/>
              </w:rPr>
            </w:pPr>
            <w:r w:rsidRPr="00B7290A">
              <w:rPr>
                <w:rFonts w:hAnsi="標楷體" w:hint="eastAsia"/>
                <w:sz w:val="26"/>
                <w:szCs w:val="26"/>
              </w:rPr>
              <w:t>期交法體例</w:t>
            </w:r>
          </w:p>
        </w:tc>
        <w:tc>
          <w:tcPr>
            <w:tcW w:w="4394"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與期交法第112條第5項各款(處罰「擅自經營」行為)之對應情形</w:t>
            </w:r>
          </w:p>
        </w:tc>
      </w:tr>
      <w:tr w:rsidR="007824D2" w:rsidRPr="00B7290A" w:rsidTr="00630E03">
        <w:tc>
          <w:tcPr>
            <w:tcW w:w="2269"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第一章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總則</w:t>
            </w:r>
          </w:p>
        </w:tc>
        <w:tc>
          <w:tcPr>
            <w:tcW w:w="2409" w:type="dxa"/>
          </w:tcPr>
          <w:p w:rsidR="0027737E" w:rsidRPr="00B7290A" w:rsidRDefault="0027737E" w:rsidP="0027737E">
            <w:pPr>
              <w:pStyle w:val="3"/>
              <w:numPr>
                <w:ilvl w:val="0"/>
                <w:numId w:val="0"/>
              </w:numPr>
              <w:kinsoku w:val="0"/>
              <w:rPr>
                <w:rFonts w:hAnsi="標楷體"/>
                <w:sz w:val="26"/>
                <w:szCs w:val="26"/>
              </w:rPr>
            </w:pPr>
          </w:p>
        </w:tc>
        <w:tc>
          <w:tcPr>
            <w:tcW w:w="4394" w:type="dxa"/>
          </w:tcPr>
          <w:p w:rsidR="0027737E" w:rsidRPr="00B7290A" w:rsidRDefault="0027737E" w:rsidP="0027737E">
            <w:pPr>
              <w:pStyle w:val="3"/>
              <w:numPr>
                <w:ilvl w:val="0"/>
                <w:numId w:val="0"/>
              </w:numPr>
              <w:kinsoku w:val="0"/>
              <w:jc w:val="center"/>
              <w:rPr>
                <w:rFonts w:hAnsi="標楷體"/>
                <w:sz w:val="26"/>
                <w:szCs w:val="26"/>
              </w:rPr>
            </w:pPr>
            <w:r w:rsidRPr="00B7290A">
              <w:rPr>
                <w:rFonts w:hAnsi="標楷體" w:hint="eastAsia"/>
                <w:sz w:val="26"/>
                <w:szCs w:val="26"/>
              </w:rPr>
              <w:t>(無擅自經營問題)</w:t>
            </w:r>
          </w:p>
        </w:tc>
      </w:tr>
      <w:tr w:rsidR="007824D2" w:rsidRPr="00B7290A" w:rsidTr="00630E03">
        <w:tc>
          <w:tcPr>
            <w:tcW w:w="226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第二章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期貨交易所</w:t>
            </w:r>
          </w:p>
        </w:tc>
        <w:tc>
          <w:tcPr>
            <w:tcW w:w="240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p>
        </w:tc>
        <w:tc>
          <w:tcPr>
            <w:tcW w:w="4394" w:type="dxa"/>
            <w:shd w:val="clear" w:color="auto" w:fill="EAF1DD" w:themeFill="accent3" w:themeFillTint="33"/>
          </w:tcPr>
          <w:p w:rsidR="0027737E" w:rsidRPr="00B7290A" w:rsidRDefault="0027737E" w:rsidP="0027737E">
            <w:pPr>
              <w:pStyle w:val="3"/>
              <w:numPr>
                <w:ilvl w:val="0"/>
                <w:numId w:val="0"/>
              </w:numPr>
              <w:kinsoku w:val="0"/>
              <w:ind w:left="350" w:hangingChars="125" w:hanging="350"/>
              <w:rPr>
                <w:rFonts w:hAnsi="標楷體"/>
                <w:sz w:val="26"/>
                <w:szCs w:val="26"/>
              </w:rPr>
            </w:pPr>
            <w:r w:rsidRPr="00B7290A">
              <w:rPr>
                <w:rFonts w:hAnsi="標楷體" w:cs="新細明體" w:hint="eastAsia"/>
                <w:kern w:val="0"/>
                <w:sz w:val="26"/>
                <w:szCs w:val="26"/>
              </w:rPr>
              <w:t>第1款：未經許可，擅自經營</w:t>
            </w:r>
            <w:r w:rsidRPr="00B7290A">
              <w:rPr>
                <w:rFonts w:hAnsi="標楷體" w:hint="eastAsia"/>
                <w:sz w:val="26"/>
                <w:szCs w:val="26"/>
              </w:rPr>
              <w:t>期貨交易所</w:t>
            </w:r>
            <w:r w:rsidRPr="00B7290A">
              <w:rPr>
                <w:rFonts w:hAnsi="標楷體" w:cs="新細明體" w:hint="eastAsia"/>
                <w:kern w:val="0"/>
                <w:sz w:val="26"/>
                <w:szCs w:val="26"/>
              </w:rPr>
              <w:t>或期貨交易所業務。</w:t>
            </w:r>
          </w:p>
        </w:tc>
      </w:tr>
      <w:tr w:rsidR="007824D2" w:rsidRPr="00B7290A" w:rsidTr="00630E03">
        <w:tc>
          <w:tcPr>
            <w:tcW w:w="226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第三章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期貨結算機構</w:t>
            </w:r>
          </w:p>
        </w:tc>
        <w:tc>
          <w:tcPr>
            <w:tcW w:w="240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p>
        </w:tc>
        <w:tc>
          <w:tcPr>
            <w:tcW w:w="4394" w:type="dxa"/>
            <w:shd w:val="clear" w:color="auto" w:fill="EAF1DD" w:themeFill="accent3" w:themeFillTint="33"/>
          </w:tcPr>
          <w:p w:rsidR="0027737E" w:rsidRPr="00B7290A" w:rsidRDefault="0027737E" w:rsidP="0027737E">
            <w:pPr>
              <w:pStyle w:val="3"/>
              <w:numPr>
                <w:ilvl w:val="0"/>
                <w:numId w:val="0"/>
              </w:numPr>
              <w:kinsoku w:val="0"/>
              <w:ind w:left="350" w:hangingChars="125" w:hanging="350"/>
              <w:rPr>
                <w:rFonts w:hAnsi="標楷體"/>
                <w:sz w:val="26"/>
                <w:szCs w:val="26"/>
              </w:rPr>
            </w:pPr>
            <w:r w:rsidRPr="00B7290A">
              <w:rPr>
                <w:rFonts w:hAnsi="標楷體" w:cs="新細明體" w:hint="eastAsia"/>
                <w:kern w:val="0"/>
                <w:sz w:val="26"/>
                <w:szCs w:val="26"/>
              </w:rPr>
              <w:t>第2款：未經許可，擅自經營</w:t>
            </w:r>
            <w:r w:rsidRPr="00B7290A">
              <w:rPr>
                <w:rFonts w:hAnsi="標楷體" w:hint="eastAsia"/>
                <w:sz w:val="26"/>
                <w:szCs w:val="26"/>
              </w:rPr>
              <w:t>期貨結算機構</w:t>
            </w:r>
            <w:r w:rsidRPr="00B7290A">
              <w:rPr>
                <w:rFonts w:hAnsi="標楷體" w:cs="新細明體" w:hint="eastAsia"/>
                <w:kern w:val="0"/>
                <w:sz w:val="26"/>
                <w:szCs w:val="26"/>
              </w:rPr>
              <w:t>。</w:t>
            </w:r>
          </w:p>
        </w:tc>
      </w:tr>
      <w:tr w:rsidR="007824D2" w:rsidRPr="00B7290A" w:rsidTr="00630E03">
        <w:tc>
          <w:tcPr>
            <w:tcW w:w="2269" w:type="dxa"/>
            <w:vMerge w:val="restart"/>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第四章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期貨業</w:t>
            </w:r>
          </w:p>
        </w:tc>
        <w:tc>
          <w:tcPr>
            <w:tcW w:w="240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第一節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期貨商</w:t>
            </w:r>
          </w:p>
        </w:tc>
        <w:tc>
          <w:tcPr>
            <w:tcW w:w="4394" w:type="dxa"/>
            <w:shd w:val="clear" w:color="auto" w:fill="EAF1DD" w:themeFill="accent3" w:themeFillTint="33"/>
          </w:tcPr>
          <w:p w:rsidR="0027737E" w:rsidRPr="00B7290A" w:rsidRDefault="0027737E" w:rsidP="0027737E">
            <w:pPr>
              <w:pStyle w:val="3"/>
              <w:numPr>
                <w:ilvl w:val="0"/>
                <w:numId w:val="0"/>
              </w:numPr>
              <w:kinsoku w:val="0"/>
              <w:ind w:left="350" w:hangingChars="125" w:hanging="350"/>
              <w:rPr>
                <w:rFonts w:hAnsi="標楷體" w:cs="新細明體"/>
                <w:kern w:val="0"/>
                <w:sz w:val="26"/>
                <w:szCs w:val="26"/>
              </w:rPr>
            </w:pPr>
            <w:r w:rsidRPr="00B7290A">
              <w:rPr>
                <w:rFonts w:hAnsi="標楷體" w:cs="新細明體" w:hint="eastAsia"/>
                <w:kern w:val="0"/>
                <w:sz w:val="26"/>
                <w:szCs w:val="26"/>
              </w:rPr>
              <w:t>第3款：違反第5</w:t>
            </w:r>
            <w:r w:rsidRPr="00B7290A">
              <w:rPr>
                <w:rFonts w:hAnsi="標楷體" w:cs="新細明體"/>
                <w:kern w:val="0"/>
                <w:sz w:val="26"/>
                <w:szCs w:val="26"/>
              </w:rPr>
              <w:t>6</w:t>
            </w:r>
            <w:r w:rsidRPr="00B7290A">
              <w:rPr>
                <w:rFonts w:hAnsi="標楷體" w:cs="新細明體" w:hint="eastAsia"/>
                <w:kern w:val="0"/>
                <w:sz w:val="26"/>
                <w:szCs w:val="26"/>
              </w:rPr>
              <w:t>條第1項之規定。</w:t>
            </w:r>
          </w:p>
          <w:p w:rsidR="0027737E" w:rsidRPr="00B7290A" w:rsidRDefault="0027737E" w:rsidP="0027737E">
            <w:pPr>
              <w:pStyle w:val="3"/>
              <w:numPr>
                <w:ilvl w:val="0"/>
                <w:numId w:val="0"/>
              </w:numPr>
              <w:kinsoku w:val="0"/>
              <w:ind w:leftChars="-33" w:left="161" w:hangingChars="105" w:hanging="273"/>
              <w:rPr>
                <w:rFonts w:hAnsi="標楷體"/>
                <w:sz w:val="26"/>
                <w:szCs w:val="26"/>
              </w:rPr>
            </w:pPr>
            <w:proofErr w:type="gramStart"/>
            <w:r w:rsidRPr="00B7290A">
              <w:rPr>
                <w:rFonts w:hAnsi="標楷體" w:hint="eastAsia"/>
                <w:sz w:val="24"/>
                <w:szCs w:val="24"/>
              </w:rPr>
              <w:t>【</w:t>
            </w:r>
            <w:proofErr w:type="gramEnd"/>
            <w:r w:rsidRPr="00B7290A">
              <w:rPr>
                <w:rFonts w:hAnsi="標楷體" w:hint="eastAsia"/>
                <w:sz w:val="24"/>
                <w:szCs w:val="24"/>
              </w:rPr>
              <w:t>§56Ⅰ：非期貨商除本法另有規定者外，不得經營期貨交易業務。】</w:t>
            </w:r>
          </w:p>
        </w:tc>
      </w:tr>
      <w:tr w:rsidR="007824D2" w:rsidRPr="00B7290A" w:rsidTr="00630E03">
        <w:tc>
          <w:tcPr>
            <w:tcW w:w="2269" w:type="dxa"/>
            <w:vMerge/>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p>
        </w:tc>
        <w:tc>
          <w:tcPr>
            <w:tcW w:w="240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第二節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槓桿交易商</w:t>
            </w:r>
          </w:p>
        </w:tc>
        <w:tc>
          <w:tcPr>
            <w:tcW w:w="4394" w:type="dxa"/>
            <w:shd w:val="clear" w:color="auto" w:fill="EAF1DD" w:themeFill="accent3" w:themeFillTint="33"/>
          </w:tcPr>
          <w:p w:rsidR="0027737E" w:rsidRPr="00B7290A" w:rsidRDefault="0027737E" w:rsidP="0027737E">
            <w:pPr>
              <w:pStyle w:val="3"/>
              <w:numPr>
                <w:ilvl w:val="0"/>
                <w:numId w:val="0"/>
              </w:numPr>
              <w:kinsoku w:val="0"/>
              <w:ind w:left="350" w:hangingChars="125" w:hanging="350"/>
              <w:rPr>
                <w:rFonts w:hAnsi="標楷體"/>
                <w:sz w:val="26"/>
                <w:szCs w:val="26"/>
              </w:rPr>
            </w:pPr>
            <w:r w:rsidRPr="00B7290A">
              <w:rPr>
                <w:rFonts w:hAnsi="標楷體" w:cs="新細明體" w:hint="eastAsia"/>
                <w:kern w:val="0"/>
                <w:sz w:val="26"/>
                <w:szCs w:val="26"/>
              </w:rPr>
              <w:t>第4款：未經許可，擅自經營</w:t>
            </w:r>
            <w:r w:rsidRPr="00B7290A">
              <w:rPr>
                <w:rFonts w:hAnsi="標楷體" w:hint="eastAsia"/>
                <w:sz w:val="26"/>
                <w:szCs w:val="26"/>
              </w:rPr>
              <w:t>槓桿交易商</w:t>
            </w:r>
            <w:r w:rsidRPr="00B7290A">
              <w:rPr>
                <w:rFonts w:hAnsi="標楷體" w:cs="新細明體" w:hint="eastAsia"/>
                <w:kern w:val="0"/>
                <w:sz w:val="26"/>
                <w:szCs w:val="26"/>
              </w:rPr>
              <w:t>。</w:t>
            </w:r>
          </w:p>
        </w:tc>
      </w:tr>
      <w:tr w:rsidR="007824D2" w:rsidRPr="00B7290A" w:rsidTr="00630E03">
        <w:tc>
          <w:tcPr>
            <w:tcW w:w="2269" w:type="dxa"/>
            <w:vMerge/>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p>
        </w:tc>
        <w:tc>
          <w:tcPr>
            <w:tcW w:w="2409" w:type="dxa"/>
            <w:shd w:val="clear" w:color="auto" w:fill="EAF1DD" w:themeFill="accent3" w:themeFillTint="33"/>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第三節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期貨服務事業</w:t>
            </w:r>
          </w:p>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w:t>
            </w:r>
            <w:r w:rsidRPr="00B7290A">
              <w:rPr>
                <w:rFonts w:hAnsi="標楷體" w:cs="新細明體" w:hint="eastAsia"/>
                <w:kern w:val="0"/>
                <w:sz w:val="26"/>
                <w:szCs w:val="26"/>
              </w:rPr>
              <w:t>信託</w:t>
            </w:r>
            <w:r w:rsidRPr="00B7290A">
              <w:rPr>
                <w:rFonts w:hAnsi="標楷體" w:hint="eastAsia"/>
                <w:sz w:val="26"/>
                <w:szCs w:val="26"/>
              </w:rPr>
              <w:t>、</w:t>
            </w:r>
            <w:r w:rsidRPr="00B7290A">
              <w:rPr>
                <w:rFonts w:hAnsi="標楷體" w:cs="新細明體" w:hint="eastAsia"/>
                <w:kern w:val="0"/>
                <w:sz w:val="26"/>
                <w:szCs w:val="26"/>
              </w:rPr>
              <w:t>經理</w:t>
            </w:r>
            <w:r w:rsidRPr="00B7290A">
              <w:rPr>
                <w:rFonts w:hAnsi="標楷體" w:hint="eastAsia"/>
                <w:sz w:val="26"/>
                <w:szCs w:val="26"/>
              </w:rPr>
              <w:t>、</w:t>
            </w:r>
            <w:r w:rsidRPr="00B7290A">
              <w:rPr>
                <w:rFonts w:hAnsi="標楷體" w:cs="新細明體" w:hint="eastAsia"/>
                <w:kern w:val="0"/>
                <w:sz w:val="26"/>
                <w:szCs w:val="26"/>
              </w:rPr>
              <w:t>顧問</w:t>
            </w:r>
            <w:r w:rsidRPr="00B7290A">
              <w:rPr>
                <w:rFonts w:hAnsi="標楷體" w:hint="eastAsia"/>
                <w:sz w:val="26"/>
                <w:szCs w:val="26"/>
              </w:rPr>
              <w:t>、</w:t>
            </w:r>
            <w:r w:rsidRPr="00B7290A">
              <w:rPr>
                <w:rFonts w:hAnsi="標楷體" w:cs="新細明體" w:hint="eastAsia"/>
                <w:kern w:val="0"/>
                <w:sz w:val="26"/>
                <w:szCs w:val="26"/>
              </w:rPr>
              <w:t>其他</w:t>
            </w:r>
            <w:r w:rsidRPr="00B7290A">
              <w:rPr>
                <w:rFonts w:hAnsi="標楷體" w:hint="eastAsia"/>
                <w:sz w:val="26"/>
                <w:szCs w:val="26"/>
              </w:rPr>
              <w:t>；期交法第82條第1項參照)</w:t>
            </w:r>
          </w:p>
        </w:tc>
        <w:tc>
          <w:tcPr>
            <w:tcW w:w="4394" w:type="dxa"/>
            <w:shd w:val="clear" w:color="auto" w:fill="EAF1DD" w:themeFill="accent3" w:themeFillTint="33"/>
          </w:tcPr>
          <w:p w:rsidR="0027737E" w:rsidRPr="00B7290A" w:rsidRDefault="0027737E" w:rsidP="0027737E">
            <w:pPr>
              <w:pStyle w:val="3"/>
              <w:numPr>
                <w:ilvl w:val="0"/>
                <w:numId w:val="0"/>
              </w:numPr>
              <w:kinsoku w:val="0"/>
              <w:ind w:left="350" w:hangingChars="125" w:hanging="350"/>
              <w:rPr>
                <w:rFonts w:hAnsi="標楷體" w:cs="新細明體"/>
                <w:kern w:val="0"/>
                <w:sz w:val="26"/>
                <w:szCs w:val="26"/>
              </w:rPr>
            </w:pPr>
            <w:r w:rsidRPr="00B7290A">
              <w:rPr>
                <w:rFonts w:hAnsi="標楷體" w:cs="新細明體" w:hint="eastAsia"/>
                <w:kern w:val="0"/>
                <w:sz w:val="26"/>
                <w:szCs w:val="26"/>
              </w:rPr>
              <w:t>第5款：未經許可，擅自經營期貨信託事業、期貨經理事業、期貨顧問事業或其他期貨服務事業。</w:t>
            </w:r>
          </w:p>
          <w:p w:rsidR="0027737E" w:rsidRPr="00B7290A" w:rsidRDefault="0027737E" w:rsidP="0027737E">
            <w:pPr>
              <w:pStyle w:val="3"/>
              <w:numPr>
                <w:ilvl w:val="0"/>
                <w:numId w:val="0"/>
              </w:numPr>
              <w:kinsoku w:val="0"/>
              <w:ind w:left="350" w:hangingChars="125" w:hanging="350"/>
              <w:rPr>
                <w:rFonts w:hAnsi="標楷體" w:cs="新細明體"/>
                <w:kern w:val="0"/>
                <w:sz w:val="26"/>
                <w:szCs w:val="26"/>
              </w:rPr>
            </w:pPr>
            <w:r w:rsidRPr="00B7290A">
              <w:rPr>
                <w:rFonts w:hAnsi="標楷體" w:cs="新細明體" w:hint="eastAsia"/>
                <w:kern w:val="0"/>
                <w:sz w:val="26"/>
                <w:szCs w:val="26"/>
              </w:rPr>
              <w:t>第6款：期貨信託事業違反第8</w:t>
            </w:r>
            <w:r w:rsidRPr="00B7290A">
              <w:rPr>
                <w:rFonts w:hAnsi="標楷體" w:cs="新細明體"/>
                <w:kern w:val="0"/>
                <w:sz w:val="26"/>
                <w:szCs w:val="26"/>
              </w:rPr>
              <w:t>4</w:t>
            </w:r>
            <w:r w:rsidRPr="00B7290A">
              <w:rPr>
                <w:rFonts w:hAnsi="標楷體" w:cs="新細明體" w:hint="eastAsia"/>
                <w:kern w:val="0"/>
                <w:sz w:val="26"/>
                <w:szCs w:val="26"/>
              </w:rPr>
              <w:t>條第1項規定募集期貨信託基金。</w:t>
            </w:r>
          </w:p>
          <w:p w:rsidR="0027737E" w:rsidRPr="00B7290A" w:rsidRDefault="0027737E" w:rsidP="0027737E">
            <w:pPr>
              <w:pStyle w:val="3"/>
              <w:numPr>
                <w:ilvl w:val="0"/>
                <w:numId w:val="0"/>
              </w:numPr>
              <w:kinsoku w:val="0"/>
              <w:ind w:leftChars="-33" w:left="161" w:hangingChars="105" w:hanging="273"/>
              <w:rPr>
                <w:rFonts w:hAnsi="標楷體"/>
                <w:sz w:val="24"/>
                <w:szCs w:val="24"/>
              </w:rPr>
            </w:pPr>
            <w:proofErr w:type="gramStart"/>
            <w:r w:rsidRPr="00B7290A">
              <w:rPr>
                <w:rFonts w:hAnsi="標楷體" w:hint="eastAsia"/>
                <w:sz w:val="24"/>
                <w:szCs w:val="24"/>
              </w:rPr>
              <w:lastRenderedPageBreak/>
              <w:t>【</w:t>
            </w:r>
            <w:proofErr w:type="gramEnd"/>
            <w:r w:rsidRPr="00B7290A">
              <w:rPr>
                <w:rFonts w:hAnsi="標楷體" w:hint="eastAsia"/>
                <w:sz w:val="24"/>
                <w:szCs w:val="24"/>
              </w:rPr>
              <w:t>§84Ⅰ：期貨信託事業於募集期貨信託基金，非經主管機關核准或向主管機關申報生效後，不得為之。】</w:t>
            </w:r>
          </w:p>
        </w:tc>
      </w:tr>
      <w:tr w:rsidR="007824D2" w:rsidRPr="00B7290A" w:rsidTr="00630E03">
        <w:tc>
          <w:tcPr>
            <w:tcW w:w="2269"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lastRenderedPageBreak/>
              <w:t xml:space="preserve">第五章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同業公會</w:t>
            </w:r>
          </w:p>
        </w:tc>
        <w:tc>
          <w:tcPr>
            <w:tcW w:w="2409" w:type="dxa"/>
          </w:tcPr>
          <w:p w:rsidR="0027737E" w:rsidRPr="00B7290A" w:rsidRDefault="0027737E" w:rsidP="0027737E">
            <w:pPr>
              <w:pStyle w:val="3"/>
              <w:numPr>
                <w:ilvl w:val="0"/>
                <w:numId w:val="0"/>
              </w:numPr>
              <w:kinsoku w:val="0"/>
              <w:rPr>
                <w:rFonts w:hAnsi="標楷體"/>
                <w:sz w:val="26"/>
                <w:szCs w:val="26"/>
              </w:rPr>
            </w:pPr>
          </w:p>
        </w:tc>
        <w:tc>
          <w:tcPr>
            <w:tcW w:w="4394" w:type="dxa"/>
            <w:vMerge w:val="restart"/>
            <w:vAlign w:val="center"/>
          </w:tcPr>
          <w:p w:rsidR="0027737E" w:rsidRPr="00B7290A" w:rsidRDefault="0027737E" w:rsidP="0027737E">
            <w:pPr>
              <w:pStyle w:val="3"/>
              <w:numPr>
                <w:ilvl w:val="0"/>
                <w:numId w:val="0"/>
              </w:numPr>
              <w:kinsoku w:val="0"/>
              <w:jc w:val="center"/>
              <w:rPr>
                <w:rFonts w:hAnsi="標楷體"/>
                <w:sz w:val="26"/>
                <w:szCs w:val="26"/>
              </w:rPr>
            </w:pPr>
            <w:r w:rsidRPr="00B7290A">
              <w:rPr>
                <w:rFonts w:hAnsi="標楷體" w:hint="eastAsia"/>
                <w:sz w:val="26"/>
                <w:szCs w:val="26"/>
              </w:rPr>
              <w:t>(無擅自經營問題)</w:t>
            </w:r>
          </w:p>
        </w:tc>
      </w:tr>
      <w:tr w:rsidR="007824D2" w:rsidRPr="00B7290A" w:rsidTr="00630E03">
        <w:tc>
          <w:tcPr>
            <w:tcW w:w="2269"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第六章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監督與管理</w:t>
            </w:r>
          </w:p>
        </w:tc>
        <w:tc>
          <w:tcPr>
            <w:tcW w:w="2409" w:type="dxa"/>
          </w:tcPr>
          <w:p w:rsidR="0027737E" w:rsidRPr="00B7290A" w:rsidRDefault="0027737E" w:rsidP="0027737E">
            <w:pPr>
              <w:pStyle w:val="3"/>
              <w:numPr>
                <w:ilvl w:val="0"/>
                <w:numId w:val="0"/>
              </w:numPr>
              <w:kinsoku w:val="0"/>
              <w:rPr>
                <w:rFonts w:hAnsi="標楷體"/>
                <w:sz w:val="26"/>
                <w:szCs w:val="26"/>
              </w:rPr>
            </w:pPr>
          </w:p>
        </w:tc>
        <w:tc>
          <w:tcPr>
            <w:tcW w:w="4394" w:type="dxa"/>
            <w:vMerge/>
          </w:tcPr>
          <w:p w:rsidR="0027737E" w:rsidRPr="00B7290A" w:rsidRDefault="0027737E" w:rsidP="0027737E">
            <w:pPr>
              <w:pStyle w:val="3"/>
              <w:numPr>
                <w:ilvl w:val="0"/>
                <w:numId w:val="0"/>
              </w:numPr>
              <w:kinsoku w:val="0"/>
              <w:rPr>
                <w:rFonts w:hAnsi="標楷體"/>
                <w:sz w:val="26"/>
                <w:szCs w:val="26"/>
              </w:rPr>
            </w:pPr>
          </w:p>
        </w:tc>
      </w:tr>
      <w:tr w:rsidR="007824D2" w:rsidRPr="00B7290A" w:rsidTr="00630E03">
        <w:tc>
          <w:tcPr>
            <w:tcW w:w="2269"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第七章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仲裁</w:t>
            </w:r>
          </w:p>
        </w:tc>
        <w:tc>
          <w:tcPr>
            <w:tcW w:w="2409" w:type="dxa"/>
          </w:tcPr>
          <w:p w:rsidR="0027737E" w:rsidRPr="00B7290A" w:rsidRDefault="0027737E" w:rsidP="0027737E">
            <w:pPr>
              <w:pStyle w:val="3"/>
              <w:numPr>
                <w:ilvl w:val="0"/>
                <w:numId w:val="0"/>
              </w:numPr>
              <w:kinsoku w:val="0"/>
              <w:rPr>
                <w:rFonts w:hAnsi="標楷體"/>
                <w:sz w:val="26"/>
                <w:szCs w:val="26"/>
              </w:rPr>
            </w:pPr>
          </w:p>
        </w:tc>
        <w:tc>
          <w:tcPr>
            <w:tcW w:w="4394" w:type="dxa"/>
            <w:vMerge/>
          </w:tcPr>
          <w:p w:rsidR="0027737E" w:rsidRPr="00B7290A" w:rsidRDefault="0027737E" w:rsidP="0027737E">
            <w:pPr>
              <w:pStyle w:val="3"/>
              <w:numPr>
                <w:ilvl w:val="0"/>
                <w:numId w:val="0"/>
              </w:numPr>
              <w:kinsoku w:val="0"/>
              <w:rPr>
                <w:rFonts w:hAnsi="標楷體"/>
                <w:sz w:val="26"/>
                <w:szCs w:val="26"/>
              </w:rPr>
            </w:pPr>
          </w:p>
        </w:tc>
      </w:tr>
      <w:tr w:rsidR="007824D2" w:rsidRPr="00B7290A" w:rsidTr="00630E03">
        <w:tc>
          <w:tcPr>
            <w:tcW w:w="2269"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第八章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罰則</w:t>
            </w:r>
          </w:p>
        </w:tc>
        <w:tc>
          <w:tcPr>
            <w:tcW w:w="2409" w:type="dxa"/>
          </w:tcPr>
          <w:p w:rsidR="0027737E" w:rsidRPr="00B7290A" w:rsidRDefault="0027737E" w:rsidP="0027737E">
            <w:pPr>
              <w:pStyle w:val="3"/>
              <w:numPr>
                <w:ilvl w:val="0"/>
                <w:numId w:val="0"/>
              </w:numPr>
              <w:kinsoku w:val="0"/>
              <w:rPr>
                <w:rFonts w:hAnsi="標楷體"/>
                <w:sz w:val="26"/>
                <w:szCs w:val="26"/>
              </w:rPr>
            </w:pPr>
          </w:p>
        </w:tc>
        <w:tc>
          <w:tcPr>
            <w:tcW w:w="4394" w:type="dxa"/>
            <w:vMerge/>
          </w:tcPr>
          <w:p w:rsidR="0027737E" w:rsidRPr="00B7290A" w:rsidRDefault="0027737E" w:rsidP="0027737E">
            <w:pPr>
              <w:pStyle w:val="3"/>
              <w:numPr>
                <w:ilvl w:val="0"/>
                <w:numId w:val="0"/>
              </w:numPr>
              <w:kinsoku w:val="0"/>
              <w:rPr>
                <w:rFonts w:hAnsi="標楷體"/>
                <w:sz w:val="26"/>
                <w:szCs w:val="26"/>
              </w:rPr>
            </w:pPr>
          </w:p>
        </w:tc>
      </w:tr>
      <w:tr w:rsidR="0027737E" w:rsidRPr="00B7290A" w:rsidTr="00630E03">
        <w:tc>
          <w:tcPr>
            <w:tcW w:w="2269" w:type="dxa"/>
          </w:tcPr>
          <w:p w:rsidR="0027737E" w:rsidRPr="00B7290A" w:rsidRDefault="0027737E" w:rsidP="0027737E">
            <w:pPr>
              <w:pStyle w:val="3"/>
              <w:numPr>
                <w:ilvl w:val="0"/>
                <w:numId w:val="0"/>
              </w:numPr>
              <w:kinsoku w:val="0"/>
              <w:rPr>
                <w:rFonts w:hAnsi="標楷體"/>
                <w:sz w:val="26"/>
                <w:szCs w:val="26"/>
              </w:rPr>
            </w:pPr>
            <w:r w:rsidRPr="00B7290A">
              <w:rPr>
                <w:rFonts w:hAnsi="標楷體" w:hint="eastAsia"/>
                <w:sz w:val="26"/>
                <w:szCs w:val="26"/>
              </w:rPr>
              <w:t xml:space="preserve">第九章 </w:t>
            </w:r>
          </w:p>
          <w:p w:rsidR="0027737E" w:rsidRPr="00B7290A" w:rsidRDefault="0027737E" w:rsidP="0027737E">
            <w:pPr>
              <w:pStyle w:val="3"/>
              <w:numPr>
                <w:ilvl w:val="0"/>
                <w:numId w:val="0"/>
              </w:numPr>
              <w:kinsoku w:val="0"/>
              <w:ind w:firstLineChars="122" w:firstLine="342"/>
              <w:rPr>
                <w:rFonts w:hAnsi="標楷體"/>
                <w:sz w:val="26"/>
                <w:szCs w:val="26"/>
              </w:rPr>
            </w:pPr>
            <w:r w:rsidRPr="00B7290A">
              <w:rPr>
                <w:rFonts w:hAnsi="標楷體" w:hint="eastAsia"/>
                <w:sz w:val="26"/>
                <w:szCs w:val="26"/>
              </w:rPr>
              <w:t>附則</w:t>
            </w:r>
          </w:p>
        </w:tc>
        <w:tc>
          <w:tcPr>
            <w:tcW w:w="2409" w:type="dxa"/>
          </w:tcPr>
          <w:p w:rsidR="0027737E" w:rsidRPr="00B7290A" w:rsidRDefault="0027737E" w:rsidP="0027737E">
            <w:pPr>
              <w:pStyle w:val="3"/>
              <w:numPr>
                <w:ilvl w:val="0"/>
                <w:numId w:val="0"/>
              </w:numPr>
              <w:kinsoku w:val="0"/>
              <w:rPr>
                <w:rFonts w:hAnsi="標楷體"/>
                <w:sz w:val="26"/>
                <w:szCs w:val="26"/>
              </w:rPr>
            </w:pPr>
          </w:p>
        </w:tc>
        <w:tc>
          <w:tcPr>
            <w:tcW w:w="4394" w:type="dxa"/>
            <w:vMerge/>
          </w:tcPr>
          <w:p w:rsidR="0027737E" w:rsidRPr="00B7290A" w:rsidRDefault="0027737E" w:rsidP="0027737E">
            <w:pPr>
              <w:pStyle w:val="3"/>
              <w:numPr>
                <w:ilvl w:val="0"/>
                <w:numId w:val="0"/>
              </w:numPr>
              <w:kinsoku w:val="0"/>
              <w:rPr>
                <w:rFonts w:hAnsi="標楷體"/>
                <w:sz w:val="26"/>
                <w:szCs w:val="26"/>
              </w:rPr>
            </w:pPr>
          </w:p>
        </w:tc>
      </w:tr>
    </w:tbl>
    <w:p w:rsidR="0027737E" w:rsidRPr="00B7290A" w:rsidRDefault="0027737E" w:rsidP="00630E03">
      <w:pPr>
        <w:pStyle w:val="3"/>
        <w:numPr>
          <w:ilvl w:val="0"/>
          <w:numId w:val="0"/>
        </w:numPr>
        <w:spacing w:line="160" w:lineRule="exact"/>
        <w:ind w:left="1361"/>
      </w:pPr>
    </w:p>
    <w:p w:rsidR="0027737E" w:rsidRPr="00B7290A" w:rsidRDefault="0027737E" w:rsidP="00AA6FDD">
      <w:pPr>
        <w:pStyle w:val="4"/>
        <w:rPr>
          <w:rFonts w:hAnsi="標楷體"/>
        </w:rPr>
      </w:pPr>
      <w:r w:rsidRPr="00B7290A">
        <w:rPr>
          <w:rFonts w:hAnsi="標楷體" w:hint="eastAsia"/>
        </w:rPr>
        <w:t>由</w:t>
      </w:r>
      <w:r w:rsidRPr="00B7290A">
        <w:rPr>
          <w:rFonts w:hint="eastAsia"/>
        </w:rPr>
        <w:t>上述</w:t>
      </w:r>
      <w:r w:rsidRPr="00B7290A">
        <w:rPr>
          <w:rFonts w:hAnsi="標楷體" w:hint="eastAsia"/>
        </w:rPr>
        <w:t>期交法之立法體例係將「期貨商」與「槓桿交易商」分別訂於第四章第一、二節</w:t>
      </w:r>
      <w:r w:rsidR="0021382F" w:rsidRPr="00B7290A">
        <w:rPr>
          <w:rFonts w:hAnsi="標楷體" w:hint="eastAsia"/>
        </w:rPr>
        <w:t>，</w:t>
      </w:r>
      <w:r w:rsidRPr="00B7290A">
        <w:rPr>
          <w:rFonts w:hAnsi="標楷體" w:hint="eastAsia"/>
        </w:rPr>
        <w:t>以及該法第112條第5項分別以第3、4款訂定對非「期貨商」、未經核准之「槓桿交易商」之罰則，</w:t>
      </w:r>
      <w:r w:rsidR="00496CF4" w:rsidRPr="00B7290A">
        <w:rPr>
          <w:rFonts w:hAnsi="標楷體" w:hint="eastAsia"/>
        </w:rPr>
        <w:t>亦</w:t>
      </w:r>
      <w:r w:rsidR="00510C7C" w:rsidRPr="00B7290A">
        <w:rPr>
          <w:rFonts w:hAnsi="標楷體" w:hint="eastAsia"/>
        </w:rPr>
        <w:t>可證</w:t>
      </w:r>
      <w:r w:rsidR="008315EB" w:rsidRPr="00B7290A">
        <w:rPr>
          <w:rFonts w:hAnsi="標楷體" w:hint="eastAsia"/>
        </w:rPr>
        <w:t>明</w:t>
      </w:r>
      <w:r w:rsidRPr="00B7290A">
        <w:rPr>
          <w:rFonts w:hAnsi="標楷體" w:hint="eastAsia"/>
        </w:rPr>
        <w:t>期</w:t>
      </w:r>
      <w:proofErr w:type="gramStart"/>
      <w:r w:rsidRPr="00B7290A">
        <w:rPr>
          <w:rFonts w:hAnsi="標楷體" w:hint="eastAsia"/>
        </w:rPr>
        <w:t>交法</w:t>
      </w:r>
      <w:r w:rsidR="0021382F" w:rsidRPr="00B7290A">
        <w:rPr>
          <w:rFonts w:hAnsi="標楷體" w:hint="eastAsia"/>
        </w:rPr>
        <w:t>確</w:t>
      </w:r>
      <w:r w:rsidRPr="00B7290A">
        <w:rPr>
          <w:rFonts w:hAnsi="標楷體" w:hint="eastAsia"/>
        </w:rPr>
        <w:t>係</w:t>
      </w:r>
      <w:proofErr w:type="gramEnd"/>
      <w:r w:rsidRPr="00B7290A">
        <w:rPr>
          <w:rFonts w:hAnsi="標楷體" w:hint="eastAsia"/>
        </w:rPr>
        <w:t>有意將「期貨商」與「槓桿交易商」定為不同之概念</w:t>
      </w:r>
      <w:r w:rsidR="008468D2" w:rsidRPr="00B7290A">
        <w:rPr>
          <w:rFonts w:hAnsi="標楷體" w:hint="eastAsia"/>
        </w:rPr>
        <w:t>；</w:t>
      </w:r>
      <w:r w:rsidR="0048143C" w:rsidRPr="00B7290A">
        <w:rPr>
          <w:rFonts w:hAnsi="標楷體" w:hint="eastAsia"/>
        </w:rPr>
        <w:t>是</w:t>
      </w:r>
      <w:r w:rsidR="009F75D8" w:rsidRPr="00B7290A">
        <w:rPr>
          <w:rFonts w:hAnsi="標楷體" w:hint="eastAsia"/>
        </w:rPr>
        <w:t>前</w:t>
      </w:r>
      <w:r w:rsidR="00151A6E" w:rsidRPr="00B7290A">
        <w:rPr>
          <w:rFonts w:hAnsi="標楷體" w:hint="eastAsia"/>
        </w:rPr>
        <w:t>揭</w:t>
      </w:r>
      <w:proofErr w:type="gramStart"/>
      <w:r w:rsidR="009F75D8" w:rsidRPr="00B7290A">
        <w:rPr>
          <w:rFonts w:hAnsi="標楷體" w:hint="eastAsia"/>
        </w:rPr>
        <w:t>臺</w:t>
      </w:r>
      <w:proofErr w:type="gramEnd"/>
      <w:r w:rsidR="009F75D8" w:rsidRPr="00B7290A">
        <w:rPr>
          <w:rFonts w:hAnsi="標楷體" w:hint="eastAsia"/>
        </w:rPr>
        <w:t>高院</w:t>
      </w:r>
      <w:proofErr w:type="gramStart"/>
      <w:r w:rsidR="009F75D8" w:rsidRPr="00B7290A">
        <w:rPr>
          <w:rFonts w:hAnsi="標楷體" w:hint="eastAsia"/>
        </w:rPr>
        <w:t>11</w:t>
      </w:r>
      <w:proofErr w:type="gramEnd"/>
      <w:r w:rsidR="009F75D8" w:rsidRPr="00B7290A">
        <w:rPr>
          <w:rFonts w:hAnsi="標楷體" w:hint="eastAsia"/>
        </w:rPr>
        <w:t>0年度金上訴字第37號判決</w:t>
      </w:r>
      <w:r w:rsidR="0021382F" w:rsidRPr="00B7290A">
        <w:rPr>
          <w:rFonts w:hAnsi="標楷體" w:hint="eastAsia"/>
        </w:rPr>
        <w:t>有關「期交法第112條第5項第4款之規定，係針對高風險『槓桿交易商』從事『槓桿保證金契約交易』所為獨立犯罪型態之特別規定，自應優先於同法第112條第5項第3款、第5款之概括規定而適用」之見解</w:t>
      </w:r>
      <w:r w:rsidR="008315EB" w:rsidRPr="00B7290A">
        <w:rPr>
          <w:rFonts w:hAnsi="標楷體" w:hint="eastAsia"/>
        </w:rPr>
        <w:t>，</w:t>
      </w:r>
      <w:r w:rsidR="008468D2" w:rsidRPr="00B7290A">
        <w:rPr>
          <w:rFonts w:hAnsi="標楷體" w:hint="eastAsia"/>
        </w:rPr>
        <w:t>洵屬有</w:t>
      </w:r>
      <w:r w:rsidR="00C55A3A" w:rsidRPr="00B7290A">
        <w:rPr>
          <w:rFonts w:hAnsi="標楷體" w:hint="eastAsia"/>
        </w:rPr>
        <w:t>據</w:t>
      </w:r>
      <w:r w:rsidR="008468D2" w:rsidRPr="00B7290A">
        <w:rPr>
          <w:rFonts w:hAnsi="標楷體" w:hint="eastAsia"/>
        </w:rPr>
        <w:t>。</w:t>
      </w:r>
    </w:p>
    <w:p w:rsidR="00B758BA" w:rsidRPr="00B7290A" w:rsidRDefault="00151A6E" w:rsidP="008468D2">
      <w:pPr>
        <w:pStyle w:val="3"/>
        <w:rPr>
          <w:rFonts w:hAnsi="標楷體"/>
        </w:rPr>
      </w:pPr>
      <w:r w:rsidRPr="00B7290A">
        <w:rPr>
          <w:rFonts w:hAnsi="標楷體" w:hint="eastAsia"/>
        </w:rPr>
        <w:t>反觀本件陳情人所訴之</w:t>
      </w:r>
      <w:proofErr w:type="gramStart"/>
      <w:r w:rsidRPr="00B7290A">
        <w:rPr>
          <w:rFonts w:hAnsi="標楷體"/>
        </w:rPr>
        <w:t>臺</w:t>
      </w:r>
      <w:proofErr w:type="gramEnd"/>
      <w:r w:rsidRPr="00B7290A">
        <w:rPr>
          <w:rFonts w:hAnsi="標楷體"/>
        </w:rPr>
        <w:t>高院</w:t>
      </w:r>
      <w:proofErr w:type="gramStart"/>
      <w:r w:rsidRPr="00B7290A">
        <w:rPr>
          <w:rFonts w:hAnsi="標楷體"/>
        </w:rPr>
        <w:t>11</w:t>
      </w:r>
      <w:proofErr w:type="gramEnd"/>
      <w:r w:rsidRPr="00B7290A">
        <w:rPr>
          <w:rFonts w:hAnsi="標楷體"/>
        </w:rPr>
        <w:t>1年度金上訴字第33號</w:t>
      </w:r>
      <w:r w:rsidRPr="00B7290A">
        <w:rPr>
          <w:rFonts w:hAnsi="標楷體" w:hint="eastAsia"/>
        </w:rPr>
        <w:t>刑事</w:t>
      </w:r>
      <w:r w:rsidR="00B834C2" w:rsidRPr="00B7290A">
        <w:rPr>
          <w:rFonts w:hAnsi="標楷體" w:hint="eastAsia"/>
        </w:rPr>
        <w:t>案件</w:t>
      </w:r>
      <w:r w:rsidR="00B758BA" w:rsidRPr="00B7290A">
        <w:rPr>
          <w:rFonts w:hAnsi="標楷體" w:hint="eastAsia"/>
        </w:rPr>
        <w:t>：</w:t>
      </w:r>
    </w:p>
    <w:p w:rsidR="00B758BA" w:rsidRPr="00B7290A" w:rsidRDefault="00B758BA" w:rsidP="00B758BA">
      <w:pPr>
        <w:pStyle w:val="4"/>
      </w:pPr>
      <w:r w:rsidRPr="00B7290A">
        <w:rPr>
          <w:rFonts w:hint="eastAsia"/>
        </w:rPr>
        <w:t>臺灣</w:t>
      </w:r>
      <w:proofErr w:type="gramStart"/>
      <w:r w:rsidRPr="00B7290A">
        <w:rPr>
          <w:rFonts w:hint="eastAsia"/>
        </w:rPr>
        <w:t>臺</w:t>
      </w:r>
      <w:proofErr w:type="gramEnd"/>
      <w:r w:rsidRPr="00B7290A">
        <w:rPr>
          <w:rFonts w:hint="eastAsia"/>
        </w:rPr>
        <w:t>北地方檢察署</w:t>
      </w:r>
      <w:r w:rsidR="00170559" w:rsidRPr="00B7290A">
        <w:rPr>
          <w:rFonts w:hint="eastAsia"/>
        </w:rPr>
        <w:t>107年1月24日起訴同案被告</w:t>
      </w:r>
      <w:r w:rsidR="00BC579A" w:rsidRPr="00B7290A">
        <w:rPr>
          <w:rFonts w:hint="eastAsia"/>
        </w:rPr>
        <w:t>李○○</w:t>
      </w:r>
      <w:r w:rsidR="00170559" w:rsidRPr="00B7290A">
        <w:rPr>
          <w:rFonts w:hint="eastAsia"/>
        </w:rPr>
        <w:t>等4人</w:t>
      </w:r>
      <w:r w:rsidR="00170559" w:rsidRPr="00B7290A">
        <w:rPr>
          <w:rStyle w:val="aff0"/>
        </w:rPr>
        <w:footnoteReference w:id="5"/>
      </w:r>
      <w:r w:rsidR="00170559" w:rsidRPr="00B7290A">
        <w:rPr>
          <w:rFonts w:hint="eastAsia"/>
        </w:rPr>
        <w:t>，及108年2月27日追加起訴本案陳訴人</w:t>
      </w:r>
      <w:r w:rsidR="00BC579A" w:rsidRPr="00B7290A">
        <w:rPr>
          <w:rFonts w:hint="eastAsia"/>
        </w:rPr>
        <w:t>邱○○</w:t>
      </w:r>
      <w:r w:rsidR="00170559" w:rsidRPr="00B7290A">
        <w:rPr>
          <w:rFonts w:hint="eastAsia"/>
        </w:rPr>
        <w:t>等6人</w:t>
      </w:r>
      <w:r w:rsidR="00170559" w:rsidRPr="00B7290A">
        <w:rPr>
          <w:rStyle w:val="aff0"/>
        </w:rPr>
        <w:footnoteReference w:id="6"/>
      </w:r>
      <w:r w:rsidR="00170559" w:rsidRPr="00B7290A">
        <w:rPr>
          <w:rFonts w:hint="eastAsia"/>
        </w:rPr>
        <w:t>，所引用之訴追法條均為期交法第56條第1項、第112條第5項第3款規定，</w:t>
      </w:r>
      <w:proofErr w:type="gramStart"/>
      <w:r w:rsidR="00170559" w:rsidRPr="00B7290A">
        <w:rPr>
          <w:rFonts w:hint="eastAsia"/>
        </w:rPr>
        <w:t>認</w:t>
      </w:r>
      <w:r w:rsidR="00170559" w:rsidRPr="00B7290A">
        <w:rPr>
          <w:rFonts w:hint="eastAsia"/>
        </w:rPr>
        <w:lastRenderedPageBreak/>
        <w:t>渠</w:t>
      </w:r>
      <w:proofErr w:type="gramEnd"/>
      <w:r w:rsidR="00170559" w:rsidRPr="00B7290A">
        <w:rPr>
          <w:rFonts w:hint="eastAsia"/>
        </w:rPr>
        <w:t>等係犯</w:t>
      </w:r>
      <w:r w:rsidR="00170559" w:rsidRPr="00B7290A">
        <w:rPr>
          <w:rFonts w:hAnsi="標楷體" w:hint="eastAsia"/>
        </w:rPr>
        <w:t>「未經許可，</w:t>
      </w:r>
      <w:r w:rsidR="00170559" w:rsidRPr="00B7290A">
        <w:rPr>
          <w:rFonts w:hint="eastAsia"/>
        </w:rPr>
        <w:t>經營期貨交易業務</w:t>
      </w:r>
      <w:r w:rsidR="00170559" w:rsidRPr="00B7290A">
        <w:rPr>
          <w:rFonts w:hAnsi="標楷體" w:hint="eastAsia"/>
        </w:rPr>
        <w:t>」</w:t>
      </w:r>
      <w:r w:rsidR="00170559" w:rsidRPr="00B7290A">
        <w:rPr>
          <w:rFonts w:hint="eastAsia"/>
        </w:rPr>
        <w:t>罪嫌。</w:t>
      </w:r>
    </w:p>
    <w:p w:rsidR="00170559" w:rsidRPr="00B7290A" w:rsidRDefault="00AE3119" w:rsidP="00B758BA">
      <w:pPr>
        <w:pStyle w:val="4"/>
      </w:pPr>
      <w:r w:rsidRPr="00B7290A">
        <w:rPr>
          <w:rFonts w:hint="eastAsia"/>
        </w:rPr>
        <w:t>案經臺灣</w:t>
      </w:r>
      <w:proofErr w:type="gramStart"/>
      <w:r w:rsidRPr="00B7290A">
        <w:rPr>
          <w:rFonts w:hint="eastAsia"/>
        </w:rPr>
        <w:t>臺</w:t>
      </w:r>
      <w:proofErr w:type="gramEnd"/>
      <w:r w:rsidRPr="00B7290A">
        <w:rPr>
          <w:rFonts w:hint="eastAsia"/>
        </w:rPr>
        <w:t>北地方法院</w:t>
      </w:r>
      <w:proofErr w:type="gramStart"/>
      <w:r w:rsidRPr="00B7290A">
        <w:rPr>
          <w:rFonts w:hint="eastAsia"/>
        </w:rPr>
        <w:t>10</w:t>
      </w:r>
      <w:proofErr w:type="gramEnd"/>
      <w:r w:rsidRPr="00B7290A">
        <w:rPr>
          <w:rFonts w:hint="eastAsia"/>
        </w:rPr>
        <w:t>7年度</w:t>
      </w:r>
      <w:proofErr w:type="gramStart"/>
      <w:r w:rsidRPr="00B7290A">
        <w:rPr>
          <w:rFonts w:hint="eastAsia"/>
        </w:rPr>
        <w:t>金訴</w:t>
      </w:r>
      <w:proofErr w:type="gramEnd"/>
      <w:r w:rsidRPr="00B7290A">
        <w:rPr>
          <w:rFonts w:hint="eastAsia"/>
        </w:rPr>
        <w:t>字第5號</w:t>
      </w:r>
      <w:r w:rsidR="0058299E" w:rsidRPr="00B7290A">
        <w:rPr>
          <w:rFonts w:hint="eastAsia"/>
        </w:rPr>
        <w:t>、</w:t>
      </w:r>
      <w:proofErr w:type="gramStart"/>
      <w:r w:rsidRPr="00B7290A">
        <w:rPr>
          <w:rFonts w:hint="eastAsia"/>
        </w:rPr>
        <w:t>10</w:t>
      </w:r>
      <w:proofErr w:type="gramEnd"/>
      <w:r w:rsidRPr="00B7290A">
        <w:rPr>
          <w:rFonts w:hint="eastAsia"/>
        </w:rPr>
        <w:t>8年度</w:t>
      </w:r>
      <w:proofErr w:type="gramStart"/>
      <w:r w:rsidRPr="00B7290A">
        <w:rPr>
          <w:rFonts w:hint="eastAsia"/>
        </w:rPr>
        <w:t>金訴</w:t>
      </w:r>
      <w:proofErr w:type="gramEnd"/>
      <w:r w:rsidRPr="00B7290A">
        <w:rPr>
          <w:rFonts w:hint="eastAsia"/>
        </w:rPr>
        <w:t>字第21號審理結果，以期交法第112條第5項第3款，判決</w:t>
      </w:r>
      <w:r w:rsidR="00BC579A" w:rsidRPr="00B7290A">
        <w:rPr>
          <w:rFonts w:hint="eastAsia"/>
        </w:rPr>
        <w:t>邱○○</w:t>
      </w:r>
      <w:r w:rsidRPr="00B7290A">
        <w:rPr>
          <w:rFonts w:hint="eastAsia"/>
        </w:rPr>
        <w:t>等人非</w:t>
      </w:r>
      <w:r w:rsidRPr="00B7290A">
        <w:rPr>
          <w:rFonts w:hAnsi="標楷體" w:hint="eastAsia"/>
        </w:rPr>
        <w:t>法經營期貨交易</w:t>
      </w:r>
      <w:r w:rsidRPr="00B7290A">
        <w:rPr>
          <w:rFonts w:hint="eastAsia"/>
        </w:rPr>
        <w:t>罪。</w:t>
      </w:r>
    </w:p>
    <w:p w:rsidR="00E93D75" w:rsidRPr="00B7290A" w:rsidRDefault="00B51FB9" w:rsidP="00B758BA">
      <w:pPr>
        <w:pStyle w:val="4"/>
      </w:pPr>
      <w:proofErr w:type="gramStart"/>
      <w:r w:rsidRPr="00B7290A">
        <w:rPr>
          <w:rFonts w:hint="eastAsia"/>
        </w:rPr>
        <w:t>嗣</w:t>
      </w:r>
      <w:proofErr w:type="gramEnd"/>
      <w:r w:rsidR="00BC579A" w:rsidRPr="00B7290A">
        <w:rPr>
          <w:rFonts w:hint="eastAsia"/>
        </w:rPr>
        <w:t>邱○○</w:t>
      </w:r>
      <w:r w:rsidRPr="00B7290A">
        <w:rPr>
          <w:rFonts w:hint="eastAsia"/>
        </w:rPr>
        <w:t>等人提起上訴，</w:t>
      </w:r>
      <w:r w:rsidR="0081671C" w:rsidRPr="00B7290A">
        <w:rPr>
          <w:rFonts w:hint="eastAsia"/>
        </w:rPr>
        <w:t>本案最後事實審</w:t>
      </w:r>
      <w:r w:rsidR="008B7243" w:rsidRPr="00B7290A">
        <w:rPr>
          <w:rFonts w:hAnsi="標楷體"/>
        </w:rPr>
        <w:t>臺高院</w:t>
      </w:r>
      <w:proofErr w:type="gramStart"/>
      <w:r w:rsidR="008B7243" w:rsidRPr="00B7290A">
        <w:rPr>
          <w:rFonts w:hAnsi="標楷體"/>
        </w:rPr>
        <w:t>11</w:t>
      </w:r>
      <w:proofErr w:type="gramEnd"/>
      <w:r w:rsidR="008B7243" w:rsidRPr="00B7290A">
        <w:rPr>
          <w:rFonts w:hAnsi="標楷體"/>
        </w:rPr>
        <w:t>1年度金上訴字第33號</w:t>
      </w:r>
      <w:r w:rsidR="005162B5" w:rsidRPr="00B7290A">
        <w:rPr>
          <w:rFonts w:hint="eastAsia"/>
        </w:rPr>
        <w:t>審理結果，仍認</w:t>
      </w:r>
      <w:r w:rsidR="00BC579A" w:rsidRPr="00B7290A">
        <w:rPr>
          <w:rFonts w:hint="eastAsia"/>
        </w:rPr>
        <w:t>邱○○</w:t>
      </w:r>
      <w:r w:rsidR="005162B5" w:rsidRPr="00B7290A">
        <w:rPr>
          <w:rFonts w:hint="eastAsia"/>
        </w:rPr>
        <w:t>等人係違反期交法第56條第1項規定而犯同法第112條第5項第3款之未經許</w:t>
      </w:r>
      <w:r w:rsidR="005162B5" w:rsidRPr="00B7290A">
        <w:rPr>
          <w:rFonts w:hAnsi="標楷體" w:hint="eastAsia"/>
        </w:rPr>
        <w:t>可，</w:t>
      </w:r>
      <w:r w:rsidR="005162B5" w:rsidRPr="00B7290A">
        <w:rPr>
          <w:rFonts w:hint="eastAsia"/>
        </w:rPr>
        <w:t>經</w:t>
      </w:r>
      <w:r w:rsidR="005162B5" w:rsidRPr="00B7290A">
        <w:rPr>
          <w:rFonts w:hAnsi="標楷體" w:hint="eastAsia"/>
        </w:rPr>
        <w:t>營期貨交易業</w:t>
      </w:r>
      <w:r w:rsidR="005162B5" w:rsidRPr="00B7290A">
        <w:rPr>
          <w:rFonts w:hint="eastAsia"/>
        </w:rPr>
        <w:t>務罪。</w:t>
      </w:r>
      <w:proofErr w:type="gramStart"/>
      <w:r w:rsidR="00D2175C" w:rsidRPr="00B7290A">
        <w:rPr>
          <w:rFonts w:hint="eastAsia"/>
        </w:rPr>
        <w:t>惟</w:t>
      </w:r>
      <w:r w:rsidR="003E7E33" w:rsidRPr="00B7290A">
        <w:rPr>
          <w:rFonts w:hint="eastAsia"/>
        </w:rPr>
        <w:t>查該</w:t>
      </w:r>
      <w:proofErr w:type="gramEnd"/>
      <w:r w:rsidR="00D2175C" w:rsidRPr="00B7290A">
        <w:rPr>
          <w:rFonts w:hint="eastAsia"/>
        </w:rPr>
        <w:t>判決理由貳、</w:t>
      </w:r>
      <w:r w:rsidR="00D2175C" w:rsidRPr="00B7290A">
        <w:rPr>
          <w:rFonts w:hAnsi="標楷體" w:hint="eastAsia"/>
        </w:rPr>
        <w:t>「實體部分」</w:t>
      </w:r>
      <w:r w:rsidR="00D2175C" w:rsidRPr="00B7290A">
        <w:rPr>
          <w:rFonts w:hint="eastAsia"/>
        </w:rPr>
        <w:t>之項次二(四)以降，先是以相當篇幅</w:t>
      </w:r>
      <w:r w:rsidR="00D2175C" w:rsidRPr="00B7290A">
        <w:rPr>
          <w:rStyle w:val="aff0"/>
        </w:rPr>
        <w:footnoteReference w:id="7"/>
      </w:r>
      <w:r w:rsidR="003E7E33" w:rsidRPr="00B7290A">
        <w:rPr>
          <w:rFonts w:hint="eastAsia"/>
        </w:rPr>
        <w:t>詳</w:t>
      </w:r>
      <w:r w:rsidR="00D2175C" w:rsidRPr="00B7290A">
        <w:rPr>
          <w:rFonts w:hint="eastAsia"/>
        </w:rPr>
        <w:t>予論述本案標準金商有限公司黃金網路預定買賣交易，為期貨交易法所稱之</w:t>
      </w:r>
      <w:r w:rsidR="00D2175C" w:rsidRPr="00B7290A">
        <w:rPr>
          <w:rFonts w:hAnsi="標楷體" w:hint="eastAsia"/>
        </w:rPr>
        <w:t>「</w:t>
      </w:r>
      <w:r w:rsidR="00D2175C" w:rsidRPr="00B7290A">
        <w:rPr>
          <w:rFonts w:hint="eastAsia"/>
        </w:rPr>
        <w:t>槓桿保證金契約</w:t>
      </w:r>
      <w:r w:rsidR="00D2175C" w:rsidRPr="00B7290A">
        <w:rPr>
          <w:rFonts w:hAnsi="標楷體" w:hint="eastAsia"/>
        </w:rPr>
        <w:t>」，</w:t>
      </w:r>
      <w:r w:rsidR="004106C0" w:rsidRPr="00B7290A">
        <w:rPr>
          <w:rFonts w:hAnsi="標楷體" w:hint="eastAsia"/>
        </w:rPr>
        <w:t>最終卻非</w:t>
      </w:r>
      <w:r w:rsidR="004106C0" w:rsidRPr="00B7290A">
        <w:rPr>
          <w:rFonts w:hint="eastAsia"/>
        </w:rPr>
        <w:t>以期交法第112條第5項第4款論</w:t>
      </w:r>
      <w:r w:rsidR="003E7E33" w:rsidRPr="00B7290A">
        <w:rPr>
          <w:rFonts w:hint="eastAsia"/>
        </w:rPr>
        <w:t>以「未經許可，擅自經營槓桿交易商」之</w:t>
      </w:r>
      <w:r w:rsidR="004106C0" w:rsidRPr="00B7290A">
        <w:rPr>
          <w:rFonts w:hint="eastAsia"/>
        </w:rPr>
        <w:t>罪，</w:t>
      </w:r>
      <w:r w:rsidR="003E7E33" w:rsidRPr="00B7290A">
        <w:rPr>
          <w:rFonts w:hint="eastAsia"/>
        </w:rPr>
        <w:t>而係以同條項第3款</w:t>
      </w:r>
      <w:r w:rsidR="00ED048D" w:rsidRPr="00B7290A">
        <w:rPr>
          <w:rFonts w:hint="eastAsia"/>
        </w:rPr>
        <w:t>論以</w:t>
      </w:r>
      <w:r w:rsidR="0081671C" w:rsidRPr="00B7290A">
        <w:rPr>
          <w:rFonts w:hAnsi="標楷體" w:hint="eastAsia"/>
        </w:rPr>
        <w:t>「</w:t>
      </w:r>
      <w:r w:rsidR="0081671C" w:rsidRPr="00B7290A">
        <w:rPr>
          <w:rFonts w:hint="eastAsia"/>
        </w:rPr>
        <w:t>未經許</w:t>
      </w:r>
      <w:r w:rsidR="0081671C" w:rsidRPr="00B7290A">
        <w:rPr>
          <w:rFonts w:hAnsi="標楷體" w:hint="eastAsia"/>
        </w:rPr>
        <w:t>可，</w:t>
      </w:r>
      <w:r w:rsidR="0081671C" w:rsidRPr="00B7290A">
        <w:rPr>
          <w:rFonts w:hint="eastAsia"/>
        </w:rPr>
        <w:t>經</w:t>
      </w:r>
      <w:r w:rsidR="0081671C" w:rsidRPr="00B7290A">
        <w:rPr>
          <w:rFonts w:hAnsi="標楷體" w:hint="eastAsia"/>
        </w:rPr>
        <w:t>營期貨交易業</w:t>
      </w:r>
      <w:r w:rsidR="0081671C" w:rsidRPr="00B7290A">
        <w:rPr>
          <w:rFonts w:hint="eastAsia"/>
        </w:rPr>
        <w:t>務</w:t>
      </w:r>
      <w:r w:rsidR="0081671C" w:rsidRPr="00B7290A">
        <w:rPr>
          <w:rFonts w:hAnsi="標楷體" w:hint="eastAsia"/>
        </w:rPr>
        <w:t>」</w:t>
      </w:r>
      <w:r w:rsidR="003E7E33" w:rsidRPr="00B7290A">
        <w:rPr>
          <w:rFonts w:hint="eastAsia"/>
        </w:rPr>
        <w:t>罪</w:t>
      </w:r>
      <w:r w:rsidR="00161914" w:rsidRPr="00B7290A">
        <w:rPr>
          <w:rFonts w:hAnsi="標楷體" w:hint="eastAsia"/>
        </w:rPr>
        <w:t>；</w:t>
      </w:r>
      <w:r w:rsidR="009F0B31" w:rsidRPr="00B7290A">
        <w:rPr>
          <w:rFonts w:hAnsi="標楷體" w:hint="eastAsia"/>
        </w:rPr>
        <w:t>且</w:t>
      </w:r>
      <w:r w:rsidR="00161914" w:rsidRPr="00B7290A">
        <w:rPr>
          <w:rFonts w:hAnsi="標楷體" w:hint="eastAsia"/>
        </w:rPr>
        <w:t>審理過程中，雖</w:t>
      </w:r>
      <w:proofErr w:type="gramStart"/>
      <w:r w:rsidR="00161914" w:rsidRPr="00B7290A">
        <w:rPr>
          <w:rFonts w:hAnsi="標楷體" w:hint="eastAsia"/>
        </w:rPr>
        <w:t>曾就系爭</w:t>
      </w:r>
      <w:proofErr w:type="gramEnd"/>
      <w:r w:rsidR="00161914" w:rsidRPr="00B7290A">
        <w:rPr>
          <w:rFonts w:hAnsi="標楷體" w:hint="eastAsia"/>
        </w:rPr>
        <w:t>契約是否具期貨交易契約「三大特性」等節，函詢該法主管機關金管會，卻也僅限於此，並未針對本案情形究應</w:t>
      </w:r>
      <w:proofErr w:type="gramStart"/>
      <w:r w:rsidR="00161914" w:rsidRPr="00B7290A">
        <w:rPr>
          <w:rFonts w:hAnsi="標楷體" w:hint="eastAsia"/>
        </w:rPr>
        <w:t>適用何款規</w:t>
      </w:r>
      <w:proofErr w:type="gramEnd"/>
      <w:r w:rsidR="00161914" w:rsidRPr="00B7290A">
        <w:rPr>
          <w:rFonts w:hAnsi="標楷體" w:hint="eastAsia"/>
        </w:rPr>
        <w:t>定，詢問該會意見，有本院113年4月15日約詢金管會業管人員之會議錄音檔案在卷可稽。</w:t>
      </w:r>
      <w:proofErr w:type="gramStart"/>
      <w:r w:rsidR="00C83293" w:rsidRPr="00B7290A">
        <w:rPr>
          <w:rFonts w:hint="eastAsia"/>
        </w:rPr>
        <w:t>參據前</w:t>
      </w:r>
      <w:proofErr w:type="gramEnd"/>
      <w:r w:rsidR="00C83293" w:rsidRPr="00B7290A">
        <w:rPr>
          <w:rFonts w:hint="eastAsia"/>
        </w:rPr>
        <w:t>揭</w:t>
      </w:r>
      <w:r w:rsidR="00C83293" w:rsidRPr="00B7290A">
        <w:rPr>
          <w:rFonts w:hAnsi="標楷體" w:hint="eastAsia"/>
        </w:rPr>
        <w:t>臺高院</w:t>
      </w:r>
      <w:proofErr w:type="gramStart"/>
      <w:r w:rsidR="00C83293" w:rsidRPr="00B7290A">
        <w:rPr>
          <w:rFonts w:hAnsi="標楷體" w:hint="eastAsia"/>
        </w:rPr>
        <w:t>11</w:t>
      </w:r>
      <w:proofErr w:type="gramEnd"/>
      <w:r w:rsidR="00C83293" w:rsidRPr="00B7290A">
        <w:rPr>
          <w:rFonts w:hAnsi="標楷體" w:hint="eastAsia"/>
        </w:rPr>
        <w:t>0年度金上訴字第37號判決見解，及期交法之體系解釋</w:t>
      </w:r>
      <w:r w:rsidR="00ED048D" w:rsidRPr="00B7290A">
        <w:rPr>
          <w:rFonts w:hAnsi="標楷體" w:hint="eastAsia"/>
        </w:rPr>
        <w:t>，</w:t>
      </w:r>
      <w:r w:rsidR="00C35AE1" w:rsidRPr="00B7290A">
        <w:rPr>
          <w:rFonts w:hAnsi="標楷體" w:hint="eastAsia"/>
        </w:rPr>
        <w:t>該判決之</w:t>
      </w:r>
      <w:r w:rsidR="00ED048D" w:rsidRPr="00B7290A">
        <w:rPr>
          <w:rFonts w:hAnsi="標楷體" w:hint="eastAsia"/>
        </w:rPr>
        <w:t>認事與用法間，顯存扞格，而有判決理由矛盾之情</w:t>
      </w:r>
      <w:r w:rsidR="00D64C35" w:rsidRPr="00B7290A">
        <w:rPr>
          <w:rFonts w:hAnsi="標楷體" w:hint="eastAsia"/>
        </w:rPr>
        <w:t>。</w:t>
      </w:r>
    </w:p>
    <w:p w:rsidR="00B8256A" w:rsidRPr="00B7290A" w:rsidRDefault="00D64C35" w:rsidP="00D64C35">
      <w:pPr>
        <w:pStyle w:val="3"/>
        <w:ind w:leftChars="200"/>
      </w:pPr>
      <w:r w:rsidRPr="00B7290A">
        <w:rPr>
          <w:rFonts w:hint="eastAsia"/>
        </w:rPr>
        <w:t>綜上所述，本案</w:t>
      </w:r>
      <w:proofErr w:type="gramStart"/>
      <w:r w:rsidRPr="00B7290A">
        <w:rPr>
          <w:rFonts w:hAnsi="標楷體" w:hint="eastAsia"/>
          <w:bCs w:val="0"/>
        </w:rPr>
        <w:t>臺</w:t>
      </w:r>
      <w:proofErr w:type="gramEnd"/>
      <w:r w:rsidRPr="00B7290A">
        <w:rPr>
          <w:rFonts w:hAnsi="標楷體" w:hint="eastAsia"/>
          <w:bCs w:val="0"/>
        </w:rPr>
        <w:t>高院</w:t>
      </w:r>
      <w:proofErr w:type="gramStart"/>
      <w:r w:rsidRPr="00B7290A">
        <w:rPr>
          <w:rFonts w:hAnsi="標楷體"/>
          <w:bCs w:val="0"/>
        </w:rPr>
        <w:t>1</w:t>
      </w:r>
      <w:r w:rsidRPr="00B7290A">
        <w:t>1</w:t>
      </w:r>
      <w:proofErr w:type="gramEnd"/>
      <w:r w:rsidRPr="00B7290A">
        <w:t>1年度金</w:t>
      </w:r>
      <w:r w:rsidRPr="00B7290A">
        <w:rPr>
          <w:rFonts w:hAnsi="標楷體"/>
        </w:rPr>
        <w:t>上訴字第33號</w:t>
      </w:r>
      <w:r w:rsidRPr="00B7290A">
        <w:rPr>
          <w:rFonts w:hAnsi="標楷體" w:hint="eastAsia"/>
        </w:rPr>
        <w:t>判決，其既認定系爭</w:t>
      </w:r>
      <w:r w:rsidRPr="00B7290A">
        <w:rPr>
          <w:rFonts w:hint="eastAsia"/>
        </w:rPr>
        <w:t>黃金網路預定買賣交易為期交法所稱之「槓桿保證金契約」，</w:t>
      </w:r>
      <w:r w:rsidR="00A84796" w:rsidRPr="00B7290A">
        <w:rPr>
          <w:rFonts w:hint="eastAsia"/>
        </w:rPr>
        <w:t>卻無視</w:t>
      </w:r>
      <w:r w:rsidR="00A84796" w:rsidRPr="00B7290A">
        <w:rPr>
          <w:rFonts w:hAnsi="標楷體" w:hint="eastAsia"/>
        </w:rPr>
        <w:t>期交法針對該類型期貨交易，</w:t>
      </w:r>
      <w:r w:rsidR="00A85E4A" w:rsidRPr="00B7290A">
        <w:rPr>
          <w:rFonts w:hAnsi="標楷體" w:hint="eastAsia"/>
        </w:rPr>
        <w:t>已</w:t>
      </w:r>
      <w:r w:rsidR="00A84796" w:rsidRPr="00B7290A">
        <w:rPr>
          <w:rFonts w:hAnsi="標楷體" w:hint="eastAsia"/>
        </w:rPr>
        <w:t>另立第112條第5項第4款之特別處</w:t>
      </w:r>
      <w:r w:rsidR="00A84796" w:rsidRPr="00B7290A">
        <w:rPr>
          <w:rFonts w:hAnsi="標楷體" w:hint="eastAsia"/>
        </w:rPr>
        <w:lastRenderedPageBreak/>
        <w:t>罰規定，而仍以同條項第3款之規定論罪，其認事與用法間，顯存扞格，而有判決理由矛盾之情</w:t>
      </w:r>
      <w:r w:rsidR="000904D8" w:rsidRPr="00B7290A">
        <w:rPr>
          <w:rFonts w:hAnsi="標楷體" w:hint="eastAsia"/>
        </w:rPr>
        <w:t>。</w:t>
      </w:r>
    </w:p>
    <w:p w:rsidR="00A84796" w:rsidRPr="00B7290A" w:rsidRDefault="00A84796" w:rsidP="00C35570">
      <w:pPr>
        <w:pStyle w:val="3"/>
        <w:numPr>
          <w:ilvl w:val="0"/>
          <w:numId w:val="0"/>
        </w:numPr>
        <w:spacing w:line="160" w:lineRule="exact"/>
        <w:ind w:left="1361"/>
      </w:pPr>
    </w:p>
    <w:p w:rsidR="00A84796" w:rsidRPr="00B7290A" w:rsidRDefault="00F0764F" w:rsidP="00C35570">
      <w:pPr>
        <w:pStyle w:val="2"/>
        <w:kinsoku w:val="0"/>
        <w:rPr>
          <w:b/>
        </w:rPr>
      </w:pPr>
      <w:r w:rsidRPr="00B7290A">
        <w:rPr>
          <w:rFonts w:hAnsi="標楷體" w:hint="eastAsia"/>
          <w:b/>
        </w:rPr>
        <w:t>本案陳情人等於訴訟時，曾</w:t>
      </w:r>
      <w:r w:rsidR="0058299E" w:rsidRPr="00B7290A">
        <w:rPr>
          <w:rFonts w:hAnsi="標楷體" w:hint="eastAsia"/>
          <w:b/>
        </w:rPr>
        <w:t>陳明</w:t>
      </w:r>
      <w:r w:rsidRPr="00B7290A">
        <w:rPr>
          <w:rFonts w:hAnsi="標楷體" w:hint="eastAsia"/>
          <w:b/>
        </w:rPr>
        <w:t>香港地區之相關交易制度為辯護；惟</w:t>
      </w:r>
      <w:proofErr w:type="gramStart"/>
      <w:r w:rsidRPr="00B7290A">
        <w:rPr>
          <w:rFonts w:hAnsi="標楷體" w:hint="eastAsia"/>
          <w:b/>
        </w:rPr>
        <w:t>臺</w:t>
      </w:r>
      <w:proofErr w:type="gramEnd"/>
      <w:r w:rsidRPr="00B7290A">
        <w:rPr>
          <w:rFonts w:hAnsi="標楷體" w:hint="eastAsia"/>
          <w:b/>
        </w:rPr>
        <w:t>高院</w:t>
      </w:r>
      <w:proofErr w:type="gramStart"/>
      <w:r w:rsidRPr="00B7290A">
        <w:rPr>
          <w:rFonts w:hAnsi="標楷體"/>
          <w:b/>
        </w:rPr>
        <w:t>11</w:t>
      </w:r>
      <w:proofErr w:type="gramEnd"/>
      <w:r w:rsidRPr="00B7290A">
        <w:rPr>
          <w:rFonts w:hAnsi="標楷體"/>
          <w:b/>
        </w:rPr>
        <w:t>1年度金上訴字第33號</w:t>
      </w:r>
      <w:r w:rsidRPr="00B7290A">
        <w:rPr>
          <w:rFonts w:hAnsi="標楷體" w:hint="eastAsia"/>
          <w:b/>
        </w:rPr>
        <w:t>判決</w:t>
      </w:r>
      <w:proofErr w:type="gramStart"/>
      <w:r w:rsidRPr="00B7290A">
        <w:rPr>
          <w:rFonts w:hAnsi="標楷體" w:hint="eastAsia"/>
          <w:b/>
        </w:rPr>
        <w:t>未忖期</w:t>
      </w:r>
      <w:proofErr w:type="gramEnd"/>
      <w:r w:rsidRPr="00B7290A">
        <w:rPr>
          <w:rFonts w:hAnsi="標楷體" w:hint="eastAsia"/>
          <w:b/>
        </w:rPr>
        <w:t>交法第3條第1項前段立法時特別加入「依國內外期貨交易所或其他期貨市場之規則或實務」此一「限制性要件」的立法本旨，竟未為任何實質之調查與論證即</w:t>
      </w:r>
      <w:proofErr w:type="gramStart"/>
      <w:r w:rsidRPr="00B7290A">
        <w:rPr>
          <w:rFonts w:hAnsi="標楷體" w:hint="eastAsia"/>
          <w:b/>
        </w:rPr>
        <w:t>逕予率</w:t>
      </w:r>
      <w:proofErr w:type="gramEnd"/>
      <w:r w:rsidRPr="00B7290A">
        <w:rPr>
          <w:rFonts w:hAnsi="標楷體" w:hint="eastAsia"/>
          <w:b/>
        </w:rPr>
        <w:t>斷。其除判決理由難謂完備外，</w:t>
      </w:r>
      <w:proofErr w:type="gramStart"/>
      <w:r w:rsidRPr="00B7290A">
        <w:rPr>
          <w:rFonts w:hAnsi="標楷體" w:hint="eastAsia"/>
          <w:b/>
        </w:rPr>
        <w:t>更容有</w:t>
      </w:r>
      <w:proofErr w:type="gramEnd"/>
      <w:r w:rsidRPr="00B7290A">
        <w:rPr>
          <w:rFonts w:hAnsi="標楷體" w:hint="eastAsia"/>
          <w:b/>
        </w:rPr>
        <w:t>判決不適用法則或適用不當之違背法令情形：</w:t>
      </w:r>
    </w:p>
    <w:p w:rsidR="006A318A" w:rsidRPr="00B7290A" w:rsidRDefault="00D4092C" w:rsidP="001945B9">
      <w:pPr>
        <w:pStyle w:val="3"/>
        <w:ind w:leftChars="200"/>
      </w:pPr>
      <w:r w:rsidRPr="00B7290A">
        <w:rPr>
          <w:rFonts w:hint="eastAsia"/>
        </w:rPr>
        <w:t>按</w:t>
      </w:r>
      <w:r w:rsidR="006A318A" w:rsidRPr="00B7290A">
        <w:rPr>
          <w:rFonts w:hint="eastAsia"/>
        </w:rPr>
        <w:t>期交法第3條第1項</w:t>
      </w:r>
      <w:r w:rsidR="003C65BC" w:rsidRPr="00B7290A">
        <w:rPr>
          <w:rFonts w:hint="eastAsia"/>
        </w:rPr>
        <w:t>前段</w:t>
      </w:r>
      <w:r w:rsidR="00235748" w:rsidRPr="00B7290A">
        <w:rPr>
          <w:rFonts w:hint="eastAsia"/>
        </w:rPr>
        <w:t>條文</w:t>
      </w:r>
      <w:r w:rsidR="006A318A" w:rsidRPr="00B7290A">
        <w:rPr>
          <w:rFonts w:hint="eastAsia"/>
        </w:rPr>
        <w:t>，行政院</w:t>
      </w:r>
      <w:r w:rsidR="003C65BC" w:rsidRPr="00B7290A">
        <w:rPr>
          <w:rFonts w:hint="eastAsia"/>
        </w:rPr>
        <w:t>85年間</w:t>
      </w:r>
      <w:r w:rsidR="006A318A" w:rsidRPr="00B7290A">
        <w:rPr>
          <w:rFonts w:hint="eastAsia"/>
        </w:rPr>
        <w:t>所提</w:t>
      </w:r>
      <w:r w:rsidR="00F35830" w:rsidRPr="00B7290A">
        <w:rPr>
          <w:rFonts w:hint="eastAsia"/>
        </w:rPr>
        <w:t>之立法</w:t>
      </w:r>
      <w:r w:rsidR="003C65BC" w:rsidRPr="00B7290A">
        <w:rPr>
          <w:rFonts w:hint="eastAsia"/>
        </w:rPr>
        <w:t>草案版本，僅規定</w:t>
      </w:r>
      <w:r w:rsidR="003C65BC" w:rsidRPr="00B7290A">
        <w:rPr>
          <w:rFonts w:hAnsi="標楷體" w:hint="eastAsia"/>
        </w:rPr>
        <w:t>「</w:t>
      </w:r>
      <w:r w:rsidR="003C65BC" w:rsidRPr="00B7290A">
        <w:rPr>
          <w:rFonts w:hint="eastAsia"/>
        </w:rPr>
        <w:t>本法所稱期貨交易，指從事衍生自商品、貨幣、有價證券、利率、指數或其他利益之左列契約之交易</w:t>
      </w:r>
      <w:r w:rsidR="003C65BC" w:rsidRPr="00B7290A">
        <w:rPr>
          <w:rFonts w:hAnsi="標楷體" w:hint="eastAsia"/>
        </w:rPr>
        <w:t>」，</w:t>
      </w:r>
      <w:proofErr w:type="gramStart"/>
      <w:r w:rsidR="003C65BC" w:rsidRPr="00B7290A">
        <w:rPr>
          <w:rFonts w:hAnsi="標楷體" w:hint="eastAsia"/>
        </w:rPr>
        <w:t>嗣</w:t>
      </w:r>
      <w:proofErr w:type="gramEnd"/>
      <w:r w:rsidR="003D2C52" w:rsidRPr="00B7290A">
        <w:rPr>
          <w:rFonts w:hAnsi="標楷體" w:hint="eastAsia"/>
        </w:rPr>
        <w:t>於</w:t>
      </w:r>
      <w:r w:rsidR="003C65BC" w:rsidRPr="00B7290A">
        <w:rPr>
          <w:rFonts w:hAnsi="標楷體" w:hint="eastAsia"/>
        </w:rPr>
        <w:t>立法院85年10月9日審查</w:t>
      </w:r>
      <w:r w:rsidR="003C65BC" w:rsidRPr="00B7290A">
        <w:rPr>
          <w:rFonts w:hint="eastAsia"/>
        </w:rPr>
        <w:t>時，</w:t>
      </w:r>
      <w:r w:rsidR="003D2C52" w:rsidRPr="00B7290A">
        <w:rPr>
          <w:rFonts w:hint="eastAsia"/>
        </w:rPr>
        <w:t>經</w:t>
      </w:r>
      <w:r w:rsidR="00F35830" w:rsidRPr="00B7290A">
        <w:rPr>
          <w:rFonts w:hint="eastAsia"/>
        </w:rPr>
        <w:t>立法委員</w:t>
      </w:r>
      <w:r w:rsidR="0058299E" w:rsidRPr="00B7290A">
        <w:rPr>
          <w:rFonts w:hint="eastAsia"/>
        </w:rPr>
        <w:t>陳</w:t>
      </w:r>
      <w:r w:rsidR="003C65BC" w:rsidRPr="00B7290A">
        <w:rPr>
          <w:rFonts w:hint="eastAsia"/>
        </w:rPr>
        <w:t>瓊讚</w:t>
      </w:r>
      <w:r w:rsidR="00CA6691" w:rsidRPr="00B7290A">
        <w:rPr>
          <w:rFonts w:hint="eastAsia"/>
        </w:rPr>
        <w:t>審查意見</w:t>
      </w:r>
      <w:r w:rsidR="003D2C52" w:rsidRPr="00B7290A">
        <w:rPr>
          <w:rFonts w:hint="eastAsia"/>
        </w:rPr>
        <w:t>略以：「第</w:t>
      </w:r>
      <w:r w:rsidR="00C13C5A" w:rsidRPr="00B7290A">
        <w:rPr>
          <w:rFonts w:hint="eastAsia"/>
        </w:rPr>
        <w:t>3</w:t>
      </w:r>
      <w:r w:rsidR="003D2C52" w:rsidRPr="00B7290A">
        <w:rPr>
          <w:rFonts w:hint="eastAsia"/>
        </w:rPr>
        <w:t>條是針對期貨交易的解釋。其中第</w:t>
      </w:r>
      <w:r w:rsidR="00F35830" w:rsidRPr="00B7290A">
        <w:rPr>
          <w:rFonts w:hint="eastAsia"/>
        </w:rPr>
        <w:t>1</w:t>
      </w:r>
      <w:r w:rsidR="003D2C52" w:rsidRPr="00B7290A">
        <w:rPr>
          <w:rFonts w:hint="eastAsia"/>
        </w:rPr>
        <w:t>項的內容固然在理論上是正確的，但實際上，期貨交易必須在國內外的交易所或其他期貨市場的規則或實務上來進行，而不是毫無限制的。因此，行政院版本固然在理論上沒有錯，但將來交易所成立後，不論是會員制或公司制，都必須在指定的範圍內從事期貨交易，如此一來在界定意義上便顯出不夠周延的問題。因此本席建議在第</w:t>
      </w:r>
      <w:r w:rsidR="00F35830" w:rsidRPr="00B7290A">
        <w:rPr>
          <w:rFonts w:hint="eastAsia"/>
        </w:rPr>
        <w:t>3</w:t>
      </w:r>
      <w:r w:rsidR="003D2C52" w:rsidRPr="00B7290A">
        <w:rPr>
          <w:rFonts w:hint="eastAsia"/>
        </w:rPr>
        <w:t>條</w:t>
      </w:r>
      <w:proofErr w:type="gramStart"/>
      <w:r w:rsidR="003D2C52" w:rsidRPr="00B7290A">
        <w:rPr>
          <w:rFonts w:hint="eastAsia"/>
        </w:rPr>
        <w:t>第</w:t>
      </w:r>
      <w:r w:rsidR="00F35830" w:rsidRPr="00B7290A">
        <w:rPr>
          <w:rFonts w:hint="eastAsia"/>
        </w:rPr>
        <w:t>1</w:t>
      </w:r>
      <w:r w:rsidR="003D2C52" w:rsidRPr="00B7290A">
        <w:rPr>
          <w:rFonts w:hint="eastAsia"/>
        </w:rPr>
        <w:t>項首句之後</w:t>
      </w:r>
      <w:proofErr w:type="gramEnd"/>
      <w:r w:rsidR="003D2C52" w:rsidRPr="00B7290A">
        <w:rPr>
          <w:rFonts w:hint="eastAsia"/>
        </w:rPr>
        <w:t>加上若干文字，使其成為：</w:t>
      </w:r>
      <w:r w:rsidR="00F35830" w:rsidRPr="00B7290A">
        <w:rPr>
          <w:rFonts w:hAnsi="標楷體" w:hint="eastAsia"/>
        </w:rPr>
        <w:t>『</w:t>
      </w:r>
      <w:r w:rsidR="003D2C52" w:rsidRPr="00B7290A">
        <w:rPr>
          <w:rFonts w:hint="eastAsia"/>
        </w:rPr>
        <w:t>本法所稱期貨交易，指依國內外交易所或其他期貨市場之規則或實務從事衍生自商品：…</w:t>
      </w:r>
      <w:proofErr w:type="gramStart"/>
      <w:r w:rsidR="00F35830" w:rsidRPr="00B7290A">
        <w:rPr>
          <w:rFonts w:hAnsi="標楷體"/>
        </w:rPr>
        <w:t>…</w:t>
      </w:r>
      <w:proofErr w:type="gramEnd"/>
      <w:r w:rsidR="00F35830" w:rsidRPr="00B7290A">
        <w:rPr>
          <w:rFonts w:hAnsi="標楷體" w:hint="eastAsia"/>
        </w:rPr>
        <w:t>』</w:t>
      </w:r>
      <w:r w:rsidR="003D2C52" w:rsidRPr="00B7290A">
        <w:rPr>
          <w:rFonts w:hint="eastAsia"/>
        </w:rPr>
        <w:t>。修改的重點在於將交易限制於國內外的交易所或其他期貨市場的規則或實務上來進行</w:t>
      </w:r>
      <w:r w:rsidR="00227D05" w:rsidRPr="00B7290A">
        <w:rPr>
          <w:rFonts w:hint="eastAsia"/>
        </w:rPr>
        <w:t>。</w:t>
      </w:r>
      <w:r w:rsidR="003D2C52" w:rsidRPr="00B7290A">
        <w:rPr>
          <w:rFonts w:hint="eastAsia"/>
        </w:rPr>
        <w:t>」</w:t>
      </w:r>
      <w:proofErr w:type="gramStart"/>
      <w:r w:rsidR="003D2C52" w:rsidRPr="00B7290A">
        <w:rPr>
          <w:rFonts w:hint="eastAsia"/>
        </w:rPr>
        <w:t>爰</w:t>
      </w:r>
      <w:proofErr w:type="gramEnd"/>
      <w:r w:rsidR="00227D05" w:rsidRPr="00B7290A">
        <w:rPr>
          <w:rFonts w:hint="eastAsia"/>
        </w:rPr>
        <w:t>該條項條文經協商後</w:t>
      </w:r>
      <w:r w:rsidR="003D2C52" w:rsidRPr="00B7290A">
        <w:rPr>
          <w:rFonts w:hint="eastAsia"/>
        </w:rPr>
        <w:t>乃修正為</w:t>
      </w:r>
      <w:r w:rsidR="00227D05" w:rsidRPr="00B7290A">
        <w:rPr>
          <w:rFonts w:hint="eastAsia"/>
        </w:rPr>
        <w:t>：「本法所稱期貨交易，指依國內外期貨交易所或其他期貨市場之規則或實務，從事衍生自商品、貨幣、有價證券、</w:t>
      </w:r>
      <w:r w:rsidR="00227D05" w:rsidRPr="00B7290A">
        <w:rPr>
          <w:rFonts w:hint="eastAsia"/>
        </w:rPr>
        <w:lastRenderedPageBreak/>
        <w:t>利率、指數或其他利益之下列契約之交易：</w:t>
      </w:r>
      <w:r w:rsidR="00227D05" w:rsidRPr="00B7290A">
        <w:rPr>
          <w:rFonts w:hAnsi="標楷體"/>
        </w:rPr>
        <w:t>…</w:t>
      </w:r>
      <w:proofErr w:type="gramStart"/>
      <w:r w:rsidR="00227D05" w:rsidRPr="00B7290A">
        <w:rPr>
          <w:rFonts w:hAnsi="標楷體"/>
        </w:rPr>
        <w:t>…</w:t>
      </w:r>
      <w:proofErr w:type="gramEnd"/>
      <w:r w:rsidR="00227D05" w:rsidRPr="00B7290A">
        <w:rPr>
          <w:rFonts w:hint="eastAsia"/>
        </w:rPr>
        <w:t>」</w:t>
      </w:r>
      <w:r w:rsidR="009A2894" w:rsidRPr="00B7290A">
        <w:rPr>
          <w:rFonts w:hint="eastAsia"/>
        </w:rPr>
        <w:t>；</w:t>
      </w:r>
      <w:r w:rsidR="00227D05" w:rsidRPr="00B7290A">
        <w:rPr>
          <w:rFonts w:hint="eastAsia"/>
        </w:rPr>
        <w:t>並於86年3月4日經立法院三讀通過，完成立法。</w:t>
      </w:r>
      <w:proofErr w:type="gramStart"/>
      <w:r w:rsidR="003D2C52" w:rsidRPr="00B7290A">
        <w:rPr>
          <w:rFonts w:hint="eastAsia"/>
        </w:rPr>
        <w:t>嗣</w:t>
      </w:r>
      <w:proofErr w:type="gramEnd"/>
      <w:r w:rsidR="003D2C52" w:rsidRPr="00B7290A">
        <w:rPr>
          <w:rFonts w:hint="eastAsia"/>
        </w:rPr>
        <w:t>108年</w:t>
      </w:r>
      <w:r w:rsidR="009A2894" w:rsidRPr="00B7290A">
        <w:rPr>
          <w:rFonts w:hint="eastAsia"/>
        </w:rPr>
        <w:t>間，為</w:t>
      </w:r>
      <w:r w:rsidR="00227D05" w:rsidRPr="00B7290A">
        <w:rPr>
          <w:rFonts w:hint="eastAsia"/>
        </w:rPr>
        <w:t>因應</w:t>
      </w:r>
      <w:r w:rsidR="009A2894" w:rsidRPr="00B7290A">
        <w:rPr>
          <w:rFonts w:hint="eastAsia"/>
        </w:rPr>
        <w:t>金融創新，金融商品多元化發展之趨勢，</w:t>
      </w:r>
      <w:proofErr w:type="gramStart"/>
      <w:r w:rsidR="009A2894" w:rsidRPr="00B7290A">
        <w:rPr>
          <w:rFonts w:hint="eastAsia"/>
        </w:rPr>
        <w:t>復</w:t>
      </w:r>
      <w:r w:rsidR="003D2C52" w:rsidRPr="00B7290A">
        <w:rPr>
          <w:rFonts w:hint="eastAsia"/>
        </w:rPr>
        <w:t>微</w:t>
      </w:r>
      <w:proofErr w:type="gramEnd"/>
      <w:r w:rsidR="003D2C52" w:rsidRPr="00B7290A">
        <w:rPr>
          <w:rFonts w:hint="eastAsia"/>
        </w:rPr>
        <w:t>幅修正</w:t>
      </w:r>
      <w:r w:rsidR="0058299E" w:rsidRPr="00B7290A">
        <w:rPr>
          <w:rFonts w:hint="eastAsia"/>
        </w:rPr>
        <w:t>成</w:t>
      </w:r>
      <w:r w:rsidR="003D2C52" w:rsidRPr="00B7290A">
        <w:rPr>
          <w:rFonts w:hint="eastAsia"/>
        </w:rPr>
        <w:t>現行法之版本：「本法所稱期貨交易，指依國內外期貨交易所或其他期貨市場之規則或實務，從事衍生自商品、貨幣、有價證券、利率、指數或其他利益之下列契約或其組合之交易：</w:t>
      </w:r>
      <w:r w:rsidR="003D2C52" w:rsidRPr="00B7290A">
        <w:rPr>
          <w:rFonts w:hAnsi="標楷體"/>
        </w:rPr>
        <w:t>…</w:t>
      </w:r>
      <w:proofErr w:type="gramStart"/>
      <w:r w:rsidR="003D2C52" w:rsidRPr="00B7290A">
        <w:rPr>
          <w:rFonts w:hAnsi="標楷體"/>
        </w:rPr>
        <w:t>…</w:t>
      </w:r>
      <w:proofErr w:type="gramEnd"/>
      <w:r w:rsidR="003D2C52" w:rsidRPr="00B7290A">
        <w:rPr>
          <w:rFonts w:hint="eastAsia"/>
        </w:rPr>
        <w:t>」</w:t>
      </w:r>
      <w:r w:rsidR="00D23347" w:rsidRPr="00B7290A">
        <w:rPr>
          <w:rFonts w:hint="eastAsia"/>
        </w:rPr>
        <w:t>。</w:t>
      </w:r>
      <w:r w:rsidR="001945B9" w:rsidRPr="00B7290A">
        <w:rPr>
          <w:rFonts w:hint="eastAsia"/>
        </w:rPr>
        <w:t>是依前揭立法過程可知，該條項</w:t>
      </w:r>
      <w:r w:rsidR="00F47DC3" w:rsidRPr="00B7290A">
        <w:rPr>
          <w:rFonts w:hint="eastAsia"/>
        </w:rPr>
        <w:t>所規範</w:t>
      </w:r>
      <w:r w:rsidR="001945B9" w:rsidRPr="00B7290A">
        <w:rPr>
          <w:rFonts w:hint="eastAsia"/>
        </w:rPr>
        <w:t>之期貨交易，前提須是系爭契約或其組合，</w:t>
      </w:r>
      <w:r w:rsidR="00F47DC3" w:rsidRPr="00B7290A">
        <w:rPr>
          <w:rFonts w:hint="eastAsia"/>
        </w:rPr>
        <w:t>依「國內外期貨交易所或其他期貨市場之規則或實務」已可認定屬於期貨交易者，</w:t>
      </w:r>
      <w:proofErr w:type="gramStart"/>
      <w:r w:rsidR="00F47DC3" w:rsidRPr="00B7290A">
        <w:rPr>
          <w:rFonts w:hint="eastAsia"/>
        </w:rPr>
        <w:t>始克當之</w:t>
      </w:r>
      <w:proofErr w:type="gramEnd"/>
      <w:r w:rsidR="00F47DC3" w:rsidRPr="00B7290A">
        <w:rPr>
          <w:rFonts w:hint="eastAsia"/>
        </w:rPr>
        <w:t>；以避免刑罰範圍無限擴張，確保刑罰明確</w:t>
      </w:r>
      <w:r w:rsidR="00D23347" w:rsidRPr="00B7290A">
        <w:rPr>
          <w:rFonts w:hint="eastAsia"/>
        </w:rPr>
        <w:t>。易言之，</w:t>
      </w:r>
      <w:r w:rsidR="00F47DC3" w:rsidRPr="00B7290A">
        <w:rPr>
          <w:rFonts w:hint="eastAsia"/>
        </w:rPr>
        <w:t>該要件乃適用期交法科刑處罰之重要限制性要件</w:t>
      </w:r>
      <w:r w:rsidR="00D23347" w:rsidRPr="00B7290A">
        <w:rPr>
          <w:rFonts w:hint="eastAsia"/>
        </w:rPr>
        <w:t>，此有立法院第3屆第2會期財政、司法兩委員會第1次聯席會議紀錄</w:t>
      </w:r>
      <w:r w:rsidR="00AB0BDC" w:rsidRPr="00B7290A">
        <w:rPr>
          <w:rStyle w:val="aff0"/>
        </w:rPr>
        <w:footnoteReference w:id="8"/>
      </w:r>
      <w:r w:rsidR="00D23347" w:rsidRPr="00B7290A">
        <w:rPr>
          <w:rFonts w:hint="eastAsia"/>
        </w:rPr>
        <w:t>，</w:t>
      </w:r>
      <w:r w:rsidR="000A3383" w:rsidRPr="00B7290A">
        <w:rPr>
          <w:rFonts w:hint="eastAsia"/>
        </w:rPr>
        <w:t>以</w:t>
      </w:r>
      <w:r w:rsidR="00D23347" w:rsidRPr="00B7290A">
        <w:rPr>
          <w:rFonts w:hint="eastAsia"/>
        </w:rPr>
        <w:t>及金管會業管人員113年4月15日於本院詢問時之陳述</w:t>
      </w:r>
      <w:r w:rsidR="000A3383" w:rsidRPr="00B7290A">
        <w:rPr>
          <w:rFonts w:hint="eastAsia"/>
        </w:rPr>
        <w:t>說明，在卷可</w:t>
      </w:r>
      <w:proofErr w:type="gramStart"/>
      <w:r w:rsidR="000A3383" w:rsidRPr="00B7290A">
        <w:rPr>
          <w:rFonts w:hint="eastAsia"/>
        </w:rPr>
        <w:t>稽</w:t>
      </w:r>
      <w:proofErr w:type="gramEnd"/>
      <w:r w:rsidR="000A3383" w:rsidRPr="00B7290A">
        <w:rPr>
          <w:rFonts w:hint="eastAsia"/>
        </w:rPr>
        <w:t>，</w:t>
      </w:r>
      <w:r w:rsidR="000A3383" w:rsidRPr="00B7290A">
        <w:rPr>
          <w:rFonts w:ascii="Helvetica" w:hAnsi="Helvetica"/>
        </w:rPr>
        <w:t>已臻明灼</w:t>
      </w:r>
      <w:r w:rsidR="009A2894" w:rsidRPr="00B7290A">
        <w:rPr>
          <w:rFonts w:hint="eastAsia"/>
        </w:rPr>
        <w:t>。</w:t>
      </w:r>
    </w:p>
    <w:p w:rsidR="00646569" w:rsidRPr="00B7290A" w:rsidRDefault="00D4092C" w:rsidP="009A2894">
      <w:pPr>
        <w:pStyle w:val="3"/>
        <w:ind w:leftChars="200"/>
      </w:pPr>
      <w:r w:rsidRPr="00B7290A">
        <w:rPr>
          <w:rFonts w:hint="eastAsia"/>
        </w:rPr>
        <w:t>查</w:t>
      </w:r>
      <w:r w:rsidR="00A65380" w:rsidRPr="00B7290A">
        <w:rPr>
          <w:rFonts w:hint="eastAsia"/>
        </w:rPr>
        <w:t>本案</w:t>
      </w:r>
      <w:proofErr w:type="gramStart"/>
      <w:r w:rsidR="00A65380" w:rsidRPr="00B7290A">
        <w:rPr>
          <w:rFonts w:hAnsi="標楷體"/>
        </w:rPr>
        <w:t>臺</w:t>
      </w:r>
      <w:proofErr w:type="gramEnd"/>
      <w:r w:rsidR="00A65380" w:rsidRPr="00B7290A">
        <w:rPr>
          <w:rFonts w:hAnsi="標楷體"/>
        </w:rPr>
        <w:t>高院</w:t>
      </w:r>
      <w:proofErr w:type="gramStart"/>
      <w:r w:rsidR="00A65380" w:rsidRPr="00B7290A">
        <w:rPr>
          <w:rFonts w:hAnsi="標楷體"/>
        </w:rPr>
        <w:t>11</w:t>
      </w:r>
      <w:proofErr w:type="gramEnd"/>
      <w:r w:rsidR="00A65380" w:rsidRPr="00B7290A">
        <w:rPr>
          <w:rFonts w:hAnsi="標楷體"/>
        </w:rPr>
        <w:t>1年度金上訴字第33號</w:t>
      </w:r>
      <w:r w:rsidR="00A65380" w:rsidRPr="00B7290A">
        <w:rPr>
          <w:rFonts w:hAnsi="標楷體" w:hint="eastAsia"/>
        </w:rPr>
        <w:t>刑事案件，</w:t>
      </w:r>
      <w:r w:rsidR="00684858" w:rsidRPr="00B7290A">
        <w:rPr>
          <w:rFonts w:hAnsi="標楷體" w:hint="eastAsia"/>
        </w:rPr>
        <w:t>陳情人等</w:t>
      </w:r>
      <w:r w:rsidR="00A65380" w:rsidRPr="00B7290A">
        <w:rPr>
          <w:rFonts w:hint="eastAsia"/>
        </w:rPr>
        <w:t>曾</w:t>
      </w:r>
      <w:r w:rsidR="0058299E" w:rsidRPr="00B7290A">
        <w:rPr>
          <w:rFonts w:hint="eastAsia"/>
        </w:rPr>
        <w:t>陳明</w:t>
      </w:r>
      <w:r w:rsidR="00A65380" w:rsidRPr="00B7290A">
        <w:rPr>
          <w:rFonts w:hint="eastAsia"/>
        </w:rPr>
        <w:t>香港地區</w:t>
      </w:r>
      <w:r w:rsidR="00B4273B" w:rsidRPr="00B7290A">
        <w:rPr>
          <w:rFonts w:hint="eastAsia"/>
        </w:rPr>
        <w:t>之</w:t>
      </w:r>
      <w:r w:rsidR="00A65380" w:rsidRPr="00B7290A">
        <w:rPr>
          <w:rFonts w:hint="eastAsia"/>
        </w:rPr>
        <w:t>相關交易制度辯稱：本案標準金商公司黃金網路預定買賣交易非屬期貨交易法第112條第5項第3款槓桿保證金契約等語</w:t>
      </w:r>
      <w:r w:rsidR="00AB0BDC" w:rsidRPr="00B7290A">
        <w:rPr>
          <w:rFonts w:hint="eastAsia"/>
        </w:rPr>
        <w:t>；</w:t>
      </w:r>
      <w:proofErr w:type="gramStart"/>
      <w:r w:rsidR="00B4273B" w:rsidRPr="00B7290A">
        <w:rPr>
          <w:rFonts w:hint="eastAsia"/>
        </w:rPr>
        <w:t>詎</w:t>
      </w:r>
      <w:proofErr w:type="gramEnd"/>
      <w:r w:rsidR="00B4273B" w:rsidRPr="00B7290A">
        <w:t>臺高院</w:t>
      </w:r>
      <w:r w:rsidR="00AB0BDC" w:rsidRPr="00B7290A">
        <w:rPr>
          <w:rFonts w:hAnsi="標楷體" w:hint="eastAsia"/>
        </w:rPr>
        <w:t>針對</w:t>
      </w:r>
      <w:proofErr w:type="gramStart"/>
      <w:r w:rsidR="00AB0BDC" w:rsidRPr="00B7290A">
        <w:rPr>
          <w:rFonts w:hAnsi="標楷體" w:hint="eastAsia"/>
        </w:rPr>
        <w:t>該容</w:t>
      </w:r>
      <w:proofErr w:type="gramEnd"/>
      <w:r w:rsidR="00AB0BDC" w:rsidRPr="00B7290A">
        <w:rPr>
          <w:rFonts w:hAnsi="標楷體" w:hint="eastAsia"/>
        </w:rPr>
        <w:t>屬「</w:t>
      </w:r>
      <w:r w:rsidR="00AB0BDC" w:rsidRPr="00B7290A">
        <w:rPr>
          <w:rFonts w:hint="eastAsia"/>
        </w:rPr>
        <w:t>限制性要件</w:t>
      </w:r>
      <w:r w:rsidR="00AB0BDC" w:rsidRPr="00B7290A">
        <w:rPr>
          <w:rFonts w:hAnsi="標楷體" w:hint="eastAsia"/>
        </w:rPr>
        <w:t>」之情形</w:t>
      </w:r>
      <w:r w:rsidR="00B4273B" w:rsidRPr="00B7290A">
        <w:rPr>
          <w:rFonts w:hAnsi="標楷體" w:hint="eastAsia"/>
        </w:rPr>
        <w:t>，</w:t>
      </w:r>
      <w:r w:rsidR="00A146C1" w:rsidRPr="00B7290A">
        <w:rPr>
          <w:rFonts w:hAnsi="標楷體" w:hint="eastAsia"/>
        </w:rPr>
        <w:t>僅</w:t>
      </w:r>
      <w:r w:rsidR="00B4273B" w:rsidRPr="00B7290A">
        <w:rPr>
          <w:rFonts w:hAnsi="標楷體" w:hint="eastAsia"/>
        </w:rPr>
        <w:t>於判決書</w:t>
      </w:r>
      <w:r w:rsidR="00A146C1" w:rsidRPr="00B7290A">
        <w:rPr>
          <w:rFonts w:hAnsi="標楷體" w:hint="eastAsia"/>
        </w:rPr>
        <w:t>中</w:t>
      </w:r>
      <w:r w:rsidR="00B4273B" w:rsidRPr="00B7290A">
        <w:rPr>
          <w:rFonts w:hAnsi="標楷體" w:hint="eastAsia"/>
        </w:rPr>
        <w:t>以「</w:t>
      </w:r>
      <w:r w:rsidR="00A65380" w:rsidRPr="00B7290A">
        <w:rPr>
          <w:rFonts w:hint="eastAsia"/>
        </w:rPr>
        <w:t>然因與我國槓桿交易在法律設計上，係將槓桿交易及槓桿交易商概念單獨列出；在實務運營上</w:t>
      </w:r>
      <w:proofErr w:type="gramStart"/>
      <w:r w:rsidR="00A65380" w:rsidRPr="00B7290A">
        <w:rPr>
          <w:rFonts w:hint="eastAsia"/>
        </w:rPr>
        <w:t>採</w:t>
      </w:r>
      <w:proofErr w:type="gramEnd"/>
      <w:r w:rsidR="00A65380" w:rsidRPr="00B7290A">
        <w:rPr>
          <w:rFonts w:hint="eastAsia"/>
        </w:rPr>
        <w:t>期貨商兼營槓桿交易商，並將槓桿交易產品置於店頭衍生品之下，與香港地區相關交易制度規範方式有別，尚難據此主張本案黃金網路預定買賣交易非屬我國期貨交易法所規範之槓桿保證金契</w:t>
      </w:r>
      <w:r w:rsidR="00A65380" w:rsidRPr="00B7290A">
        <w:rPr>
          <w:rFonts w:hint="eastAsia"/>
        </w:rPr>
        <w:lastRenderedPageBreak/>
        <w:t>約</w:t>
      </w:r>
      <w:r w:rsidR="00B4273B" w:rsidRPr="00B7290A">
        <w:rPr>
          <w:rFonts w:hAnsi="標楷體" w:hint="eastAsia"/>
        </w:rPr>
        <w:t>」</w:t>
      </w:r>
      <w:r w:rsidR="00AB0BDC" w:rsidRPr="00B7290A">
        <w:rPr>
          <w:rFonts w:hAnsi="標楷體" w:hint="eastAsia"/>
        </w:rPr>
        <w:t>等</w:t>
      </w:r>
      <w:r w:rsidR="00A146C1" w:rsidRPr="00B7290A">
        <w:rPr>
          <w:rFonts w:hAnsi="標楷體" w:hint="eastAsia"/>
        </w:rPr>
        <w:t>寥寥數語帶過</w:t>
      </w:r>
      <w:r w:rsidR="00C63BCE" w:rsidRPr="00B7290A">
        <w:rPr>
          <w:rStyle w:val="aff0"/>
          <w:rFonts w:hAnsi="標楷體"/>
        </w:rPr>
        <w:footnoteReference w:id="9"/>
      </w:r>
      <w:r w:rsidR="00AB0BDC" w:rsidRPr="00B7290A">
        <w:rPr>
          <w:rFonts w:hAnsi="標楷體" w:hint="eastAsia"/>
        </w:rPr>
        <w:t>，而未為任何實質之調查</w:t>
      </w:r>
      <w:r w:rsidR="00144E49" w:rsidRPr="00B7290A">
        <w:rPr>
          <w:rFonts w:hAnsi="標楷體" w:hint="eastAsia"/>
        </w:rPr>
        <w:t>與論證</w:t>
      </w:r>
      <w:r w:rsidR="0098342B" w:rsidRPr="00B7290A">
        <w:rPr>
          <w:rFonts w:hAnsi="標楷體" w:hint="eastAsia"/>
        </w:rPr>
        <w:t>；</w:t>
      </w:r>
      <w:r w:rsidR="000C635A" w:rsidRPr="00B7290A">
        <w:rPr>
          <w:rFonts w:hAnsi="標楷體" w:hint="eastAsia"/>
        </w:rPr>
        <w:t>其</w:t>
      </w:r>
      <w:r w:rsidR="0098342B" w:rsidRPr="00B7290A">
        <w:rPr>
          <w:rFonts w:hAnsi="標楷體" w:hint="eastAsia"/>
        </w:rPr>
        <w:t>除</w:t>
      </w:r>
      <w:r w:rsidR="000C635A" w:rsidRPr="00B7290A">
        <w:rPr>
          <w:rFonts w:hAnsi="標楷體" w:hint="eastAsia"/>
        </w:rPr>
        <w:t>判決理由難謂完備</w:t>
      </w:r>
      <w:r w:rsidR="0098342B" w:rsidRPr="00B7290A">
        <w:rPr>
          <w:rFonts w:hAnsi="標楷體" w:hint="eastAsia"/>
        </w:rPr>
        <w:t>外</w:t>
      </w:r>
      <w:r w:rsidR="000C635A" w:rsidRPr="00B7290A">
        <w:rPr>
          <w:rFonts w:hAnsi="標楷體" w:hint="eastAsia"/>
        </w:rPr>
        <w:t>，</w:t>
      </w:r>
      <w:proofErr w:type="gramStart"/>
      <w:r w:rsidR="0098342B" w:rsidRPr="00B7290A">
        <w:rPr>
          <w:rFonts w:hAnsi="標楷體" w:hint="eastAsia"/>
        </w:rPr>
        <w:t>更</w:t>
      </w:r>
      <w:r w:rsidR="000C635A" w:rsidRPr="00B7290A">
        <w:rPr>
          <w:rFonts w:hAnsi="標楷體" w:hint="eastAsia"/>
        </w:rPr>
        <w:t>容有</w:t>
      </w:r>
      <w:proofErr w:type="gramEnd"/>
      <w:r w:rsidR="000C635A" w:rsidRPr="00B7290A">
        <w:rPr>
          <w:rFonts w:hAnsi="標楷體" w:hint="eastAsia"/>
        </w:rPr>
        <w:t>判決違背法令</w:t>
      </w:r>
      <w:r w:rsidR="004176B4" w:rsidRPr="00B7290A">
        <w:rPr>
          <w:rFonts w:hAnsi="標楷體" w:hint="eastAsia"/>
        </w:rPr>
        <w:t>之</w:t>
      </w:r>
      <w:r w:rsidR="000C635A" w:rsidRPr="00B7290A">
        <w:rPr>
          <w:rFonts w:hAnsi="標楷體" w:hint="eastAsia"/>
        </w:rPr>
        <w:t>情</w:t>
      </w:r>
      <w:r w:rsidR="004176B4" w:rsidRPr="00B7290A">
        <w:rPr>
          <w:rFonts w:hAnsi="標楷體" w:hint="eastAsia"/>
        </w:rPr>
        <w:t>事</w:t>
      </w:r>
      <w:r w:rsidR="000C635A" w:rsidRPr="00B7290A">
        <w:rPr>
          <w:rFonts w:hAnsi="標楷體" w:hint="eastAsia"/>
        </w:rPr>
        <w:t>。</w:t>
      </w:r>
    </w:p>
    <w:p w:rsidR="00416AFD" w:rsidRPr="00B7290A" w:rsidRDefault="00416AFD" w:rsidP="009A2894">
      <w:pPr>
        <w:pStyle w:val="3"/>
        <w:ind w:leftChars="200"/>
        <w:rPr>
          <w:rFonts w:hAnsi="標楷體"/>
        </w:rPr>
      </w:pPr>
      <w:r w:rsidRPr="00B7290A">
        <w:rPr>
          <w:rFonts w:hAnsi="標楷體" w:hint="eastAsia"/>
        </w:rPr>
        <w:t>綜上所述，</w:t>
      </w:r>
      <w:r w:rsidR="00F0764F" w:rsidRPr="00B7290A">
        <w:rPr>
          <w:rFonts w:hAnsi="標楷體" w:hint="eastAsia"/>
        </w:rPr>
        <w:t>本案陳情人等於訴訟時，曾</w:t>
      </w:r>
      <w:r w:rsidR="0058299E" w:rsidRPr="00B7290A">
        <w:rPr>
          <w:rFonts w:hAnsi="標楷體" w:hint="eastAsia"/>
        </w:rPr>
        <w:t>陳明</w:t>
      </w:r>
      <w:r w:rsidR="00F0764F" w:rsidRPr="00B7290A">
        <w:rPr>
          <w:rFonts w:hAnsi="標楷體" w:hint="eastAsia"/>
        </w:rPr>
        <w:t>香港地區之相關交易制度為辯護；惟</w:t>
      </w:r>
      <w:proofErr w:type="gramStart"/>
      <w:r w:rsidR="00F0764F" w:rsidRPr="00B7290A">
        <w:rPr>
          <w:rFonts w:hAnsi="標楷體" w:hint="eastAsia"/>
        </w:rPr>
        <w:t>臺</w:t>
      </w:r>
      <w:proofErr w:type="gramEnd"/>
      <w:r w:rsidR="00F0764F" w:rsidRPr="00B7290A">
        <w:rPr>
          <w:rFonts w:hAnsi="標楷體" w:hint="eastAsia"/>
        </w:rPr>
        <w:t>高院</w:t>
      </w:r>
      <w:proofErr w:type="gramStart"/>
      <w:r w:rsidR="00F0764F" w:rsidRPr="00B7290A">
        <w:rPr>
          <w:rFonts w:hAnsi="標楷體"/>
        </w:rPr>
        <w:t>11</w:t>
      </w:r>
      <w:proofErr w:type="gramEnd"/>
      <w:r w:rsidR="00F0764F" w:rsidRPr="00B7290A">
        <w:rPr>
          <w:rFonts w:hAnsi="標楷體"/>
        </w:rPr>
        <w:t>1年度金上訴字第33號</w:t>
      </w:r>
      <w:r w:rsidR="00F0764F" w:rsidRPr="00B7290A">
        <w:rPr>
          <w:rFonts w:hAnsi="標楷體" w:hint="eastAsia"/>
        </w:rPr>
        <w:t>判決</w:t>
      </w:r>
      <w:proofErr w:type="gramStart"/>
      <w:r w:rsidR="00F0764F" w:rsidRPr="00B7290A">
        <w:rPr>
          <w:rFonts w:hAnsi="標楷體" w:hint="eastAsia"/>
        </w:rPr>
        <w:t>未忖期</w:t>
      </w:r>
      <w:proofErr w:type="gramEnd"/>
      <w:r w:rsidR="00F0764F" w:rsidRPr="00B7290A">
        <w:rPr>
          <w:rFonts w:hAnsi="標楷體" w:hint="eastAsia"/>
        </w:rPr>
        <w:t>交法第3條第1項前段立法時特別加入「依國內外期貨交易所或其他期貨市場之規則或實務」此一「限制性要件」的立法本旨，竟未為任何實質之調查與論證即</w:t>
      </w:r>
      <w:proofErr w:type="gramStart"/>
      <w:r w:rsidR="00F0764F" w:rsidRPr="00B7290A">
        <w:rPr>
          <w:rFonts w:hAnsi="標楷體" w:hint="eastAsia"/>
        </w:rPr>
        <w:t>逕予率</w:t>
      </w:r>
      <w:proofErr w:type="gramEnd"/>
      <w:r w:rsidR="00F0764F" w:rsidRPr="00B7290A">
        <w:rPr>
          <w:rFonts w:hAnsi="標楷體" w:hint="eastAsia"/>
        </w:rPr>
        <w:t>斷。其除判決理由難謂完備外，</w:t>
      </w:r>
      <w:proofErr w:type="gramStart"/>
      <w:r w:rsidR="00F0764F" w:rsidRPr="00B7290A">
        <w:rPr>
          <w:rFonts w:hAnsi="標楷體" w:hint="eastAsia"/>
        </w:rPr>
        <w:t>更容有</w:t>
      </w:r>
      <w:proofErr w:type="gramEnd"/>
      <w:r w:rsidR="00F0764F" w:rsidRPr="00B7290A">
        <w:rPr>
          <w:rFonts w:hAnsi="標楷體" w:hint="eastAsia"/>
        </w:rPr>
        <w:t>判決不適用法則或適用不當之違背法令情形。</w:t>
      </w:r>
    </w:p>
    <w:p w:rsidR="00F0764F" w:rsidRPr="00B7290A" w:rsidRDefault="00F0764F" w:rsidP="00F0764F">
      <w:pPr>
        <w:pStyle w:val="3"/>
        <w:numPr>
          <w:ilvl w:val="0"/>
          <w:numId w:val="0"/>
        </w:numPr>
        <w:spacing w:line="160" w:lineRule="exact"/>
        <w:ind w:left="1361"/>
        <w:rPr>
          <w:rFonts w:hAnsi="標楷體"/>
        </w:rPr>
      </w:pPr>
    </w:p>
    <w:p w:rsidR="003C65BC" w:rsidRPr="00B7290A" w:rsidRDefault="00F94E4B" w:rsidP="00F0764F">
      <w:pPr>
        <w:pStyle w:val="2"/>
        <w:rPr>
          <w:b/>
        </w:rPr>
      </w:pPr>
      <w:r w:rsidRPr="00B7290A">
        <w:rPr>
          <w:rFonts w:hint="eastAsia"/>
          <w:b/>
        </w:rPr>
        <w:t>現行「期貨交易法」之法律名稱及該法第3條第1項前段「依國內外期貨交易所或其他期貨市場之規則或實務」之文字，</w:t>
      </w:r>
      <w:proofErr w:type="gramStart"/>
      <w:r w:rsidRPr="00B7290A">
        <w:rPr>
          <w:rFonts w:hint="eastAsia"/>
          <w:b/>
        </w:rPr>
        <w:t>均易生</w:t>
      </w:r>
      <w:proofErr w:type="gramEnd"/>
      <w:r w:rsidRPr="00B7290A">
        <w:rPr>
          <w:rFonts w:hint="eastAsia"/>
          <w:b/>
        </w:rPr>
        <w:t>誤解；考量該法涉及國家刑罰權之行使，</w:t>
      </w:r>
      <w:proofErr w:type="gramStart"/>
      <w:r w:rsidRPr="00B7290A">
        <w:rPr>
          <w:rFonts w:hint="eastAsia"/>
          <w:b/>
        </w:rPr>
        <w:t>爰</w:t>
      </w:r>
      <w:proofErr w:type="gramEnd"/>
      <w:r w:rsidRPr="00B7290A">
        <w:rPr>
          <w:rFonts w:hint="eastAsia"/>
          <w:b/>
        </w:rPr>
        <w:t>為落實</w:t>
      </w:r>
      <w:r w:rsidRPr="00B7290A">
        <w:rPr>
          <w:rFonts w:hAnsi="標楷體" w:hint="eastAsia"/>
          <w:b/>
        </w:rPr>
        <w:t>「</w:t>
      </w:r>
      <w:r w:rsidRPr="00B7290A">
        <w:rPr>
          <w:rFonts w:hint="eastAsia"/>
          <w:b/>
        </w:rPr>
        <w:t>刑罰明確性原則</w:t>
      </w:r>
      <w:r w:rsidRPr="00B7290A">
        <w:rPr>
          <w:rFonts w:hAnsi="標楷體" w:hint="eastAsia"/>
          <w:b/>
        </w:rPr>
        <w:t>」</w:t>
      </w:r>
      <w:r w:rsidRPr="00B7290A">
        <w:rPr>
          <w:rFonts w:hint="eastAsia"/>
          <w:b/>
        </w:rPr>
        <w:t>之要求，</w:t>
      </w:r>
      <w:r w:rsidRPr="00B7290A">
        <w:rPr>
          <w:rFonts w:hAnsi="標楷體" w:hint="eastAsia"/>
          <w:b/>
        </w:rPr>
        <w:t>金</w:t>
      </w:r>
      <w:proofErr w:type="gramStart"/>
      <w:r w:rsidRPr="00B7290A">
        <w:rPr>
          <w:rFonts w:hAnsi="標楷體" w:hint="eastAsia"/>
          <w:b/>
        </w:rPr>
        <w:t>管會允</w:t>
      </w:r>
      <w:proofErr w:type="gramEnd"/>
      <w:r w:rsidRPr="00B7290A">
        <w:rPr>
          <w:rFonts w:hAnsi="標楷體" w:hint="eastAsia"/>
          <w:b/>
        </w:rPr>
        <w:t>應於後續修法時，併同檢討改善：</w:t>
      </w:r>
    </w:p>
    <w:p w:rsidR="00583C69" w:rsidRPr="00B7290A" w:rsidRDefault="00FE39DB" w:rsidP="007D3903">
      <w:pPr>
        <w:pStyle w:val="3"/>
        <w:ind w:leftChars="200"/>
      </w:pPr>
      <w:r w:rsidRPr="00B7290A">
        <w:rPr>
          <w:rFonts w:hint="eastAsia"/>
        </w:rPr>
        <w:t>有關期交法第3條第1項前段「依國內外期貨交易所或其他期貨市場之規則或實務」之文字</w:t>
      </w:r>
      <w:r w:rsidR="006D1FD6" w:rsidRPr="00B7290A">
        <w:rPr>
          <w:rFonts w:hint="eastAsia"/>
        </w:rPr>
        <w:t>，</w:t>
      </w:r>
      <w:r w:rsidR="00957D71" w:rsidRPr="00B7290A">
        <w:rPr>
          <w:rFonts w:hint="eastAsia"/>
        </w:rPr>
        <w:t>實係為避免國家刑罰權無限擴張，以確保刑罰明確性之「限制性要件」，已如前述。</w:t>
      </w:r>
      <w:proofErr w:type="gramStart"/>
      <w:r w:rsidR="00957D71" w:rsidRPr="00B7290A">
        <w:rPr>
          <w:rFonts w:hint="eastAsia"/>
        </w:rPr>
        <w:t>惟</w:t>
      </w:r>
      <w:r w:rsidR="006D1FD6" w:rsidRPr="00B7290A">
        <w:rPr>
          <w:rFonts w:hint="eastAsia"/>
        </w:rPr>
        <w:t>查</w:t>
      </w:r>
      <w:r w:rsidR="00705552" w:rsidRPr="00B7290A">
        <w:rPr>
          <w:rFonts w:hint="eastAsia"/>
        </w:rPr>
        <w:t>本</w:t>
      </w:r>
      <w:proofErr w:type="gramEnd"/>
      <w:r w:rsidR="00705552" w:rsidRPr="00B7290A">
        <w:rPr>
          <w:rFonts w:hint="eastAsia"/>
        </w:rPr>
        <w:t>件</w:t>
      </w:r>
      <w:r w:rsidR="00705552" w:rsidRPr="00B7290A">
        <w:rPr>
          <w:rFonts w:hAnsi="標楷體" w:hint="eastAsia"/>
        </w:rPr>
        <w:t>臺高院</w:t>
      </w:r>
      <w:proofErr w:type="gramStart"/>
      <w:r w:rsidR="00705552" w:rsidRPr="00B7290A">
        <w:rPr>
          <w:rFonts w:hAnsi="標楷體"/>
        </w:rPr>
        <w:t>11</w:t>
      </w:r>
      <w:proofErr w:type="gramEnd"/>
      <w:r w:rsidR="00705552" w:rsidRPr="00B7290A">
        <w:rPr>
          <w:rFonts w:hAnsi="標楷體"/>
        </w:rPr>
        <w:t>1年度金上訴字第33號</w:t>
      </w:r>
      <w:proofErr w:type="gramStart"/>
      <w:r w:rsidR="00705552" w:rsidRPr="00B7290A">
        <w:rPr>
          <w:rFonts w:hAnsi="標楷體" w:hint="eastAsia"/>
        </w:rPr>
        <w:t>案</w:t>
      </w:r>
      <w:r w:rsidR="00957D71" w:rsidRPr="00B7290A">
        <w:rPr>
          <w:rFonts w:hAnsi="標楷體" w:hint="eastAsia"/>
        </w:rPr>
        <w:t>之</w:t>
      </w:r>
      <w:r w:rsidR="00705552" w:rsidRPr="00B7290A">
        <w:rPr>
          <w:rFonts w:hAnsi="標楷體" w:hint="eastAsia"/>
        </w:rPr>
        <w:t>歷</w:t>
      </w:r>
      <w:proofErr w:type="gramEnd"/>
      <w:r w:rsidR="00705552" w:rsidRPr="00B7290A">
        <w:rPr>
          <w:rFonts w:hAnsi="標楷體" w:hint="eastAsia"/>
        </w:rPr>
        <w:t>審審理過程中，及嗣</w:t>
      </w:r>
      <w:r w:rsidRPr="00B7290A">
        <w:rPr>
          <w:rFonts w:hint="eastAsia"/>
        </w:rPr>
        <w:t>本</w:t>
      </w:r>
      <w:r w:rsidR="00705552" w:rsidRPr="00B7290A">
        <w:rPr>
          <w:rFonts w:hint="eastAsia"/>
        </w:rPr>
        <w:t>院調查時</w:t>
      </w:r>
      <w:r w:rsidRPr="00B7290A">
        <w:rPr>
          <w:rFonts w:hint="eastAsia"/>
        </w:rPr>
        <w:t>，</w:t>
      </w:r>
      <w:r w:rsidR="006D1FD6" w:rsidRPr="00B7290A">
        <w:rPr>
          <w:rFonts w:hint="eastAsia"/>
        </w:rPr>
        <w:t>不論是</w:t>
      </w:r>
      <w:r w:rsidR="000F5E0B" w:rsidRPr="00B7290A">
        <w:rPr>
          <w:rFonts w:hint="eastAsia"/>
        </w:rPr>
        <w:t>訴訟</w:t>
      </w:r>
      <w:proofErr w:type="gramStart"/>
      <w:r w:rsidR="000F5E0B" w:rsidRPr="00B7290A">
        <w:rPr>
          <w:rFonts w:hint="eastAsia"/>
        </w:rPr>
        <w:t>攻防</w:t>
      </w:r>
      <w:r w:rsidR="006D1FD6" w:rsidRPr="00B7290A">
        <w:rPr>
          <w:rFonts w:hint="eastAsia"/>
        </w:rPr>
        <w:t>或</w:t>
      </w:r>
      <w:proofErr w:type="gramEnd"/>
      <w:r w:rsidR="000F5E0B" w:rsidRPr="00B7290A">
        <w:rPr>
          <w:rFonts w:hint="eastAsia"/>
        </w:rPr>
        <w:t>本院諮詢</w:t>
      </w:r>
      <w:r w:rsidR="006D1FD6" w:rsidRPr="00B7290A">
        <w:rPr>
          <w:rFonts w:hint="eastAsia"/>
        </w:rPr>
        <w:t>之</w:t>
      </w:r>
      <w:r w:rsidR="00705552" w:rsidRPr="00B7290A">
        <w:rPr>
          <w:rFonts w:hint="eastAsia"/>
        </w:rPr>
        <w:t>專家學者</w:t>
      </w:r>
      <w:r w:rsidR="000F5E0B" w:rsidRPr="00B7290A">
        <w:rPr>
          <w:rFonts w:hint="eastAsia"/>
        </w:rPr>
        <w:t>，多</w:t>
      </w:r>
      <w:r w:rsidR="006D1FD6" w:rsidRPr="00B7290A">
        <w:rPr>
          <w:rFonts w:hint="eastAsia"/>
        </w:rPr>
        <w:t>有</w:t>
      </w:r>
      <w:r w:rsidR="000F5E0B" w:rsidRPr="00B7290A">
        <w:rPr>
          <w:rFonts w:hint="eastAsia"/>
        </w:rPr>
        <w:t>對該條文恐有違反</w:t>
      </w:r>
      <w:r w:rsidR="006D1FD6" w:rsidRPr="00B7290A">
        <w:rPr>
          <w:rFonts w:hAnsi="標楷體" w:hint="eastAsia"/>
        </w:rPr>
        <w:t>「</w:t>
      </w:r>
      <w:r w:rsidR="000F5E0B" w:rsidRPr="00B7290A">
        <w:rPr>
          <w:rFonts w:hint="eastAsia"/>
        </w:rPr>
        <w:t>罪刑法定原則</w:t>
      </w:r>
      <w:r w:rsidR="006D1FD6" w:rsidRPr="00B7290A">
        <w:rPr>
          <w:rFonts w:hAnsi="標楷體" w:hint="eastAsia"/>
        </w:rPr>
        <w:t>」</w:t>
      </w:r>
      <w:r w:rsidR="000F5E0B" w:rsidRPr="00B7290A">
        <w:rPr>
          <w:rFonts w:hint="eastAsia"/>
        </w:rPr>
        <w:t>提出質疑，指摘</w:t>
      </w:r>
      <w:r w:rsidR="00583C69" w:rsidRPr="00B7290A">
        <w:rPr>
          <w:rFonts w:hint="eastAsia"/>
        </w:rPr>
        <w:t>「以文義解釋來看，其可能之語意射程範圍包含</w:t>
      </w:r>
      <w:r w:rsidR="00583C69" w:rsidRPr="00B7290A">
        <w:rPr>
          <w:rFonts w:hAnsi="標楷體" w:hint="eastAsia"/>
        </w:rPr>
        <w:t>『</w:t>
      </w:r>
      <w:r w:rsidR="00583C69" w:rsidRPr="00B7290A">
        <w:rPr>
          <w:rFonts w:hint="eastAsia"/>
        </w:rPr>
        <w:t>國內期貨交易所之規則或實務</w:t>
      </w:r>
      <w:r w:rsidR="00583C69" w:rsidRPr="00B7290A">
        <w:rPr>
          <w:rFonts w:hAnsi="標楷體" w:hint="eastAsia"/>
        </w:rPr>
        <w:t>』</w:t>
      </w:r>
      <w:r w:rsidR="00583C69" w:rsidRPr="00B7290A">
        <w:rPr>
          <w:rFonts w:hint="eastAsia"/>
        </w:rPr>
        <w:t>、</w:t>
      </w:r>
      <w:r w:rsidR="00583C69" w:rsidRPr="00B7290A">
        <w:rPr>
          <w:rFonts w:hAnsi="標楷體" w:hint="eastAsia"/>
        </w:rPr>
        <w:t>『</w:t>
      </w:r>
      <w:r w:rsidR="00583C69" w:rsidRPr="00B7290A">
        <w:rPr>
          <w:rFonts w:hint="eastAsia"/>
        </w:rPr>
        <w:t>國外期貨交易所之規則或實務</w:t>
      </w:r>
      <w:r w:rsidR="00583C69" w:rsidRPr="00B7290A">
        <w:rPr>
          <w:rFonts w:hAnsi="標楷體" w:hint="eastAsia"/>
        </w:rPr>
        <w:t>』</w:t>
      </w:r>
      <w:r w:rsidR="00583C69" w:rsidRPr="00B7290A">
        <w:rPr>
          <w:rFonts w:hint="eastAsia"/>
        </w:rPr>
        <w:t>、</w:t>
      </w:r>
      <w:r w:rsidR="00583C69" w:rsidRPr="00B7290A">
        <w:rPr>
          <w:rFonts w:hAnsi="標楷體" w:hint="eastAsia"/>
        </w:rPr>
        <w:t>『</w:t>
      </w:r>
      <w:r w:rsidR="00583C69" w:rsidRPr="00B7290A">
        <w:rPr>
          <w:rFonts w:hint="eastAsia"/>
        </w:rPr>
        <w:t>其他期貨市場之規則或實務</w:t>
      </w:r>
      <w:r w:rsidR="00583C69" w:rsidRPr="00B7290A">
        <w:rPr>
          <w:rFonts w:hAnsi="標楷體" w:hint="eastAsia"/>
        </w:rPr>
        <w:t>』</w:t>
      </w:r>
      <w:r w:rsidR="00583C69" w:rsidRPr="00B7290A">
        <w:rPr>
          <w:rFonts w:hint="eastAsia"/>
        </w:rPr>
        <w:t>，而此處之『國外』，指的是哪一國？美國、英國、歐盟、日本？可否包含亞洲其他國家，例如新加坡、</w:t>
      </w:r>
      <w:r w:rsidR="00583C69" w:rsidRPr="00B7290A">
        <w:rPr>
          <w:rFonts w:hint="eastAsia"/>
        </w:rPr>
        <w:lastRenderedPageBreak/>
        <w:t>泰國、馬來西亞？倘若必須參酌所有『國外』之期貨交易所之規則或實務，實已造成刑罰權有不當擴大之情形。」</w:t>
      </w:r>
      <w:r w:rsidR="005B64AB" w:rsidRPr="00B7290A">
        <w:rPr>
          <w:rFonts w:hint="eastAsia"/>
        </w:rPr>
        <w:t>等語</w:t>
      </w:r>
      <w:r w:rsidR="00EF4A4C" w:rsidRPr="00B7290A">
        <w:rPr>
          <w:rFonts w:hint="eastAsia"/>
        </w:rPr>
        <w:t>；</w:t>
      </w:r>
      <w:proofErr w:type="gramStart"/>
      <w:r w:rsidR="00957D71" w:rsidRPr="00B7290A">
        <w:rPr>
          <w:rFonts w:hint="eastAsia"/>
        </w:rPr>
        <w:t>臺</w:t>
      </w:r>
      <w:proofErr w:type="gramEnd"/>
      <w:r w:rsidR="00957D71" w:rsidRPr="00B7290A">
        <w:rPr>
          <w:rFonts w:hAnsi="標楷體" w:hint="eastAsia"/>
        </w:rPr>
        <w:t>高院</w:t>
      </w:r>
      <w:r w:rsidR="004176B4" w:rsidRPr="00B7290A">
        <w:rPr>
          <w:rFonts w:hAnsi="標楷體" w:hint="eastAsia"/>
        </w:rPr>
        <w:t>審理</w:t>
      </w:r>
      <w:proofErr w:type="gramStart"/>
      <w:r w:rsidR="00957D71" w:rsidRPr="00B7290A">
        <w:rPr>
          <w:rFonts w:hAnsi="標楷體"/>
        </w:rPr>
        <w:t>11</w:t>
      </w:r>
      <w:proofErr w:type="gramEnd"/>
      <w:r w:rsidR="00957D71" w:rsidRPr="00B7290A">
        <w:rPr>
          <w:rFonts w:hAnsi="標楷體"/>
        </w:rPr>
        <w:t>1年度金上訴字第33號</w:t>
      </w:r>
      <w:r w:rsidR="004176B4" w:rsidRPr="00B7290A">
        <w:rPr>
          <w:rFonts w:hAnsi="標楷體" w:hint="eastAsia"/>
        </w:rPr>
        <w:t>案</w:t>
      </w:r>
      <w:r w:rsidR="00957D71" w:rsidRPr="00B7290A">
        <w:rPr>
          <w:rFonts w:hAnsi="標楷體" w:hint="eastAsia"/>
        </w:rPr>
        <w:t>，亦</w:t>
      </w:r>
      <w:r w:rsidR="004176B4" w:rsidRPr="00B7290A">
        <w:rPr>
          <w:rFonts w:hAnsi="標楷體" w:hint="eastAsia"/>
        </w:rPr>
        <w:t>發生</w:t>
      </w:r>
      <w:r w:rsidR="00EF4A4C" w:rsidRPr="00B7290A">
        <w:rPr>
          <w:rFonts w:hAnsi="標楷體" w:hint="eastAsia"/>
        </w:rPr>
        <w:t>未</w:t>
      </w:r>
      <w:r w:rsidR="004176B4" w:rsidRPr="00B7290A">
        <w:rPr>
          <w:rFonts w:hAnsi="標楷體" w:hint="eastAsia"/>
        </w:rPr>
        <w:t>確實依</w:t>
      </w:r>
      <w:r w:rsidR="00EF4A4C" w:rsidRPr="00B7290A">
        <w:rPr>
          <w:rFonts w:hAnsi="標楷體" w:hint="eastAsia"/>
        </w:rPr>
        <w:t>該條文</w:t>
      </w:r>
      <w:r w:rsidR="004176B4" w:rsidRPr="00B7290A">
        <w:rPr>
          <w:rFonts w:hAnsi="標楷體" w:hint="eastAsia"/>
        </w:rPr>
        <w:t>之</w:t>
      </w:r>
      <w:r w:rsidR="00EF4A4C" w:rsidRPr="00B7290A">
        <w:rPr>
          <w:rFonts w:hAnsi="標楷體" w:hint="eastAsia"/>
        </w:rPr>
        <w:t>立法本旨，就該</w:t>
      </w:r>
      <w:r w:rsidR="004176B4" w:rsidRPr="00B7290A">
        <w:rPr>
          <w:rFonts w:hAnsi="標楷體" w:hint="eastAsia"/>
        </w:rPr>
        <w:t>「</w:t>
      </w:r>
      <w:r w:rsidR="00EF4A4C" w:rsidRPr="00B7290A">
        <w:rPr>
          <w:rFonts w:hAnsi="標楷體" w:hint="eastAsia"/>
        </w:rPr>
        <w:t>限制性要件</w:t>
      </w:r>
      <w:r w:rsidR="004176B4" w:rsidRPr="00B7290A">
        <w:rPr>
          <w:rFonts w:hAnsi="標楷體" w:hint="eastAsia"/>
        </w:rPr>
        <w:t>」</w:t>
      </w:r>
      <w:r w:rsidR="00EF4A4C" w:rsidRPr="00B7290A">
        <w:rPr>
          <w:rFonts w:hAnsi="標楷體" w:hint="eastAsia"/>
        </w:rPr>
        <w:t>為實質調查</w:t>
      </w:r>
      <w:r w:rsidR="004176B4" w:rsidRPr="00B7290A">
        <w:rPr>
          <w:rFonts w:hAnsi="標楷體" w:hint="eastAsia"/>
        </w:rPr>
        <w:t>之違誤。</w:t>
      </w:r>
      <w:r w:rsidR="00ED5C41" w:rsidRPr="00B7290A">
        <w:rPr>
          <w:rFonts w:hAnsi="標楷體" w:hint="eastAsia"/>
        </w:rPr>
        <w:t>上開情節，</w:t>
      </w:r>
      <w:proofErr w:type="gramStart"/>
      <w:r w:rsidR="004176B4" w:rsidRPr="00B7290A">
        <w:rPr>
          <w:rFonts w:hAnsi="標楷體" w:hint="eastAsia"/>
        </w:rPr>
        <w:t>凸</w:t>
      </w:r>
      <w:proofErr w:type="gramEnd"/>
      <w:r w:rsidR="004176B4" w:rsidRPr="00B7290A">
        <w:rPr>
          <w:rFonts w:hAnsi="標楷體" w:hint="eastAsia"/>
        </w:rPr>
        <w:t>顯現行法條文字</w:t>
      </w:r>
      <w:r w:rsidR="00ED5C41" w:rsidRPr="00B7290A">
        <w:rPr>
          <w:rFonts w:hAnsi="標楷體" w:hint="eastAsia"/>
        </w:rPr>
        <w:t>，縱使為法律專業人士，亦難精確掌握其立法真義，</w:t>
      </w:r>
      <w:proofErr w:type="gramStart"/>
      <w:r w:rsidR="00ED5C41" w:rsidRPr="00B7290A">
        <w:rPr>
          <w:rFonts w:hAnsi="標楷體" w:hint="eastAsia"/>
        </w:rPr>
        <w:t>允有檢</w:t>
      </w:r>
      <w:proofErr w:type="gramEnd"/>
      <w:r w:rsidR="00ED5C41" w:rsidRPr="00B7290A">
        <w:rPr>
          <w:rFonts w:hAnsi="標楷體" w:hint="eastAsia"/>
        </w:rPr>
        <w:t>討精進之空間。</w:t>
      </w:r>
    </w:p>
    <w:p w:rsidR="005467B6" w:rsidRPr="00B7290A" w:rsidRDefault="00F74F63" w:rsidP="007D3903">
      <w:pPr>
        <w:pStyle w:val="3"/>
        <w:ind w:leftChars="200"/>
      </w:pPr>
      <w:proofErr w:type="gramStart"/>
      <w:r w:rsidRPr="00B7290A">
        <w:rPr>
          <w:rFonts w:hint="eastAsia"/>
        </w:rPr>
        <w:t>再者，</w:t>
      </w:r>
      <w:proofErr w:type="gramEnd"/>
      <w:r w:rsidRPr="00B7290A">
        <w:rPr>
          <w:rFonts w:hint="eastAsia"/>
        </w:rPr>
        <w:t>本法名為期貨交易法，其以該法第3條第1項定義何為「期貨交易」，並於該條</w:t>
      </w:r>
      <w:proofErr w:type="gramStart"/>
      <w:r w:rsidRPr="00B7290A">
        <w:rPr>
          <w:rFonts w:hint="eastAsia"/>
        </w:rPr>
        <w:t>項下明</w:t>
      </w:r>
      <w:proofErr w:type="gramEnd"/>
      <w:r w:rsidRPr="00B7290A">
        <w:rPr>
          <w:rFonts w:hint="eastAsia"/>
        </w:rPr>
        <w:t>列6款期貨交易類型，</w:t>
      </w:r>
      <w:proofErr w:type="gramStart"/>
      <w:r w:rsidRPr="00B7290A">
        <w:rPr>
          <w:rFonts w:hint="eastAsia"/>
        </w:rPr>
        <w:t>其中第</w:t>
      </w:r>
      <w:proofErr w:type="gramEnd"/>
      <w:r w:rsidRPr="00B7290A">
        <w:rPr>
          <w:rFonts w:hint="eastAsia"/>
        </w:rPr>
        <w:t>1款名為「期貨契約」，其餘2~6款則分別為「選擇權契約、期貨選擇權契約、槓桿保證金契約、交換契約、其他類型契約」</w:t>
      </w:r>
      <w:r w:rsidR="009267D2" w:rsidRPr="00B7290A">
        <w:rPr>
          <w:rFonts w:hint="eastAsia"/>
        </w:rPr>
        <w:t>。</w:t>
      </w:r>
      <w:r w:rsidR="00C67486" w:rsidRPr="00B7290A">
        <w:rPr>
          <w:rFonts w:hint="eastAsia"/>
        </w:rPr>
        <w:t>本院諮詢之專家學者</w:t>
      </w:r>
      <w:proofErr w:type="gramStart"/>
      <w:r w:rsidR="00C67486" w:rsidRPr="00B7290A">
        <w:rPr>
          <w:rFonts w:hint="eastAsia"/>
        </w:rPr>
        <w:t>爰</w:t>
      </w:r>
      <w:proofErr w:type="gramEnd"/>
      <w:r w:rsidR="00C67486" w:rsidRPr="00B7290A">
        <w:rPr>
          <w:rFonts w:hint="eastAsia"/>
        </w:rPr>
        <w:t>有</w:t>
      </w:r>
      <w:r w:rsidR="00127808" w:rsidRPr="00B7290A">
        <w:rPr>
          <w:rFonts w:hint="eastAsia"/>
        </w:rPr>
        <w:t>提出</w:t>
      </w:r>
      <w:r w:rsidR="00C67486" w:rsidRPr="00B7290A">
        <w:rPr>
          <w:rFonts w:hAnsi="標楷體" w:hint="eastAsia"/>
        </w:rPr>
        <w:t>「</w:t>
      </w:r>
      <w:r w:rsidR="00C67486" w:rsidRPr="00B7290A">
        <w:rPr>
          <w:rFonts w:hint="eastAsia"/>
        </w:rPr>
        <w:t>期貨為義務性質的買賣，選擇權則為權利性質的買賣，兩種性質不同，不應將選擇權</w:t>
      </w:r>
      <w:r w:rsidR="00127808" w:rsidRPr="00B7290A">
        <w:rPr>
          <w:rFonts w:hint="eastAsia"/>
        </w:rPr>
        <w:t>規範於期貨項下管理</w:t>
      </w:r>
      <w:r w:rsidR="00C67486" w:rsidRPr="00B7290A">
        <w:rPr>
          <w:rFonts w:hAnsi="標楷體" w:hint="eastAsia"/>
        </w:rPr>
        <w:t>」之意見。</w:t>
      </w:r>
      <w:r w:rsidR="00C67486" w:rsidRPr="00B7290A">
        <w:rPr>
          <w:rFonts w:hint="eastAsia"/>
        </w:rPr>
        <w:t>就此，金管會業管人員於本院約</w:t>
      </w:r>
      <w:proofErr w:type="gramStart"/>
      <w:r w:rsidR="00C67486" w:rsidRPr="00B7290A">
        <w:rPr>
          <w:rFonts w:hint="eastAsia"/>
        </w:rPr>
        <w:t>詢</w:t>
      </w:r>
      <w:proofErr w:type="gramEnd"/>
      <w:r w:rsidR="00C67486" w:rsidRPr="00B7290A">
        <w:rPr>
          <w:rFonts w:hint="eastAsia"/>
        </w:rPr>
        <w:t>時表示</w:t>
      </w:r>
      <w:r w:rsidR="00127808" w:rsidRPr="00B7290A">
        <w:rPr>
          <w:rFonts w:hint="eastAsia"/>
        </w:rPr>
        <w:t>：</w:t>
      </w:r>
      <w:r w:rsidR="00127808" w:rsidRPr="00B7290A">
        <w:rPr>
          <w:rFonts w:hAnsi="標楷體" w:hint="eastAsia"/>
        </w:rPr>
        <w:t>「</w:t>
      </w:r>
      <w:r w:rsidR="00C67486" w:rsidRPr="00B7290A">
        <w:rPr>
          <w:rFonts w:hint="eastAsia"/>
        </w:rPr>
        <w:t>期貨契約不等於期貨交易契約。是當初立法的時候，立法者希望我們用一個名詞來總括這幾大種類的衍生性商品交易</w:t>
      </w:r>
      <w:r w:rsidR="00127808" w:rsidRPr="00B7290A">
        <w:rPr>
          <w:rFonts w:hint="eastAsia"/>
        </w:rPr>
        <w:t>」並稱：「一般之期貨實務工作人員，應能明確分辨期貨交易與期貨契約係為不同之概念</w:t>
      </w:r>
      <w:r w:rsidR="00127808" w:rsidRPr="00B7290A">
        <w:rPr>
          <w:rFonts w:hAnsi="標楷體" w:hint="eastAsia"/>
        </w:rPr>
        <w:t>」</w:t>
      </w:r>
      <w:r w:rsidR="00127808" w:rsidRPr="00B7290A">
        <w:rPr>
          <w:rFonts w:hint="eastAsia"/>
        </w:rPr>
        <w:t>等語。</w:t>
      </w:r>
      <w:proofErr w:type="gramStart"/>
      <w:r w:rsidR="00127808" w:rsidRPr="00B7290A">
        <w:rPr>
          <w:rFonts w:hint="eastAsia"/>
        </w:rPr>
        <w:t>惟核</w:t>
      </w:r>
      <w:proofErr w:type="gramEnd"/>
      <w:r w:rsidR="00127808" w:rsidRPr="00B7290A">
        <w:rPr>
          <w:rFonts w:hint="eastAsia"/>
        </w:rPr>
        <w:t>，</w:t>
      </w:r>
      <w:proofErr w:type="gramStart"/>
      <w:r w:rsidR="00DA03FE" w:rsidRPr="00B7290A">
        <w:rPr>
          <w:rFonts w:hint="eastAsia"/>
        </w:rPr>
        <w:t>現行法欲</w:t>
      </w:r>
      <w:proofErr w:type="gramEnd"/>
      <w:r w:rsidR="00DA03FE" w:rsidRPr="00B7290A">
        <w:rPr>
          <w:rFonts w:hint="eastAsia"/>
        </w:rPr>
        <w:t>以「期貨交易」一詞</w:t>
      </w:r>
      <w:r w:rsidR="00E76457" w:rsidRPr="00B7290A">
        <w:rPr>
          <w:rFonts w:hint="eastAsia"/>
        </w:rPr>
        <w:t>統</w:t>
      </w:r>
      <w:r w:rsidR="00DA03FE" w:rsidRPr="00B7290A">
        <w:rPr>
          <w:rFonts w:hint="eastAsia"/>
        </w:rPr>
        <w:t>括所有衍生性金融商品交易，</w:t>
      </w:r>
      <w:r w:rsidR="00E76457" w:rsidRPr="00B7290A">
        <w:rPr>
          <w:rFonts w:hint="eastAsia"/>
        </w:rPr>
        <w:t>卻</w:t>
      </w:r>
      <w:proofErr w:type="gramStart"/>
      <w:r w:rsidR="00DA03FE" w:rsidRPr="00B7290A">
        <w:rPr>
          <w:rFonts w:hint="eastAsia"/>
        </w:rPr>
        <w:t>因</w:t>
      </w:r>
      <w:r w:rsidR="00E76457" w:rsidRPr="00B7290A">
        <w:rPr>
          <w:rFonts w:hint="eastAsia"/>
        </w:rPr>
        <w:t>該詞</w:t>
      </w:r>
      <w:proofErr w:type="gramEnd"/>
      <w:r w:rsidR="00E76457" w:rsidRPr="00B7290A">
        <w:rPr>
          <w:rFonts w:hint="eastAsia"/>
        </w:rPr>
        <w:t>與期貨契約文字類同，</w:t>
      </w:r>
      <w:proofErr w:type="gramStart"/>
      <w:r w:rsidR="00E76457" w:rsidRPr="00B7290A">
        <w:rPr>
          <w:rFonts w:hint="eastAsia"/>
        </w:rPr>
        <w:t>均</w:t>
      </w:r>
      <w:proofErr w:type="gramEnd"/>
      <w:r w:rsidR="00E76457" w:rsidRPr="00B7290A">
        <w:rPr>
          <w:rFonts w:hint="eastAsia"/>
        </w:rPr>
        <w:t>有</w:t>
      </w:r>
      <w:r w:rsidR="00E76457" w:rsidRPr="00B7290A">
        <w:rPr>
          <w:rFonts w:hAnsi="標楷體" w:hint="eastAsia"/>
        </w:rPr>
        <w:t>「</w:t>
      </w:r>
      <w:r w:rsidR="00E76457" w:rsidRPr="00B7290A">
        <w:rPr>
          <w:rFonts w:hint="eastAsia"/>
        </w:rPr>
        <w:t>期貨</w:t>
      </w:r>
      <w:r w:rsidR="00E76457" w:rsidRPr="00B7290A">
        <w:rPr>
          <w:rFonts w:hAnsi="標楷體" w:hint="eastAsia"/>
        </w:rPr>
        <w:t>」</w:t>
      </w:r>
      <w:r w:rsidR="00E76457" w:rsidRPr="00B7290A">
        <w:rPr>
          <w:rFonts w:hint="eastAsia"/>
        </w:rPr>
        <w:t>二字，不但易產生混淆，</w:t>
      </w:r>
      <w:proofErr w:type="gramStart"/>
      <w:r w:rsidR="00E76457" w:rsidRPr="00B7290A">
        <w:rPr>
          <w:rFonts w:hint="eastAsia"/>
        </w:rPr>
        <w:t>且文義</w:t>
      </w:r>
      <w:proofErr w:type="gramEnd"/>
      <w:r w:rsidR="00E76457" w:rsidRPr="00B7290A">
        <w:rPr>
          <w:rFonts w:hint="eastAsia"/>
        </w:rPr>
        <w:t>上更有招致類如前述專家學者所指摘的</w:t>
      </w:r>
      <w:r w:rsidR="00E76457" w:rsidRPr="00B7290A">
        <w:rPr>
          <w:rFonts w:hAnsi="標楷體" w:hint="eastAsia"/>
        </w:rPr>
        <w:t>「</w:t>
      </w:r>
      <w:r w:rsidR="00E76457" w:rsidRPr="00B7290A">
        <w:rPr>
          <w:rFonts w:hint="eastAsia"/>
        </w:rPr>
        <w:t>選擇權契約怎麼會是期貨</w:t>
      </w:r>
      <w:r w:rsidR="00E76457" w:rsidRPr="00B7290A">
        <w:rPr>
          <w:rFonts w:hAnsi="標楷體" w:hint="eastAsia"/>
        </w:rPr>
        <w:t>」</w:t>
      </w:r>
      <w:r w:rsidR="00E76457" w:rsidRPr="00B7290A">
        <w:rPr>
          <w:rFonts w:hint="eastAsia"/>
        </w:rPr>
        <w:t>的指摘。另本院審閱本案訴訟文書時，亦多有發現攻防雙方</w:t>
      </w:r>
      <w:proofErr w:type="gramStart"/>
      <w:r w:rsidR="00E76457" w:rsidRPr="00B7290A">
        <w:rPr>
          <w:rFonts w:hint="eastAsia"/>
        </w:rPr>
        <w:t>錯引</w:t>
      </w:r>
      <w:r w:rsidR="00E76457" w:rsidRPr="00B7290A">
        <w:rPr>
          <w:rFonts w:hAnsi="標楷體" w:hint="eastAsia"/>
        </w:rPr>
        <w:t>「</w:t>
      </w:r>
      <w:proofErr w:type="gramEnd"/>
      <w:r w:rsidR="00E76457" w:rsidRPr="00B7290A">
        <w:rPr>
          <w:rFonts w:hint="eastAsia"/>
        </w:rPr>
        <w:t>期貨契約</w:t>
      </w:r>
      <w:r w:rsidR="00E76457" w:rsidRPr="00B7290A">
        <w:rPr>
          <w:rFonts w:hAnsi="標楷體" w:hint="eastAsia"/>
        </w:rPr>
        <w:t>」</w:t>
      </w:r>
      <w:r w:rsidR="00E76457" w:rsidRPr="00B7290A">
        <w:rPr>
          <w:rFonts w:hint="eastAsia"/>
        </w:rPr>
        <w:t>性質之文獻，作為探討期貨交易(因槓桿保證金契約之交易，依現行法定義</w:t>
      </w:r>
      <w:r w:rsidR="005467B6" w:rsidRPr="00B7290A">
        <w:rPr>
          <w:rFonts w:hint="eastAsia"/>
        </w:rPr>
        <w:t>，</w:t>
      </w:r>
      <w:r w:rsidR="00E76457" w:rsidRPr="00B7290A">
        <w:rPr>
          <w:rFonts w:hint="eastAsia"/>
        </w:rPr>
        <w:t>亦屬期貨交易</w:t>
      </w:r>
      <w:r w:rsidR="0058299E" w:rsidRPr="00B7290A">
        <w:rPr>
          <w:rFonts w:hint="eastAsia"/>
        </w:rPr>
        <w:t>的</w:t>
      </w:r>
      <w:proofErr w:type="gramStart"/>
      <w:r w:rsidR="005467B6" w:rsidRPr="00B7290A">
        <w:rPr>
          <w:rFonts w:hint="eastAsia"/>
        </w:rPr>
        <w:t>6種</w:t>
      </w:r>
      <w:proofErr w:type="gramEnd"/>
      <w:r w:rsidR="005467B6" w:rsidRPr="00B7290A">
        <w:rPr>
          <w:rFonts w:hint="eastAsia"/>
        </w:rPr>
        <w:t>態樣之一</w:t>
      </w:r>
      <w:r w:rsidR="00E76457" w:rsidRPr="00B7290A">
        <w:rPr>
          <w:rFonts w:hint="eastAsia"/>
        </w:rPr>
        <w:t>)要件之論述</w:t>
      </w:r>
      <w:r w:rsidR="005467B6" w:rsidRPr="00B7290A">
        <w:rPr>
          <w:rFonts w:hint="eastAsia"/>
        </w:rPr>
        <w:t>。</w:t>
      </w:r>
      <w:r w:rsidR="005467B6" w:rsidRPr="00B7290A">
        <w:rPr>
          <w:rFonts w:hAnsi="標楷體" w:hint="eastAsia"/>
        </w:rPr>
        <w:t>上開情節，</w:t>
      </w:r>
      <w:proofErr w:type="gramStart"/>
      <w:r w:rsidR="005467B6" w:rsidRPr="00B7290A">
        <w:rPr>
          <w:rFonts w:hAnsi="標楷體" w:hint="eastAsia"/>
        </w:rPr>
        <w:t>凸</w:t>
      </w:r>
      <w:proofErr w:type="gramEnd"/>
      <w:r w:rsidR="005467B6" w:rsidRPr="00B7290A">
        <w:rPr>
          <w:rFonts w:hAnsi="標楷體" w:hint="eastAsia"/>
        </w:rPr>
        <w:t>顯</w:t>
      </w:r>
      <w:r w:rsidR="005467B6" w:rsidRPr="00B7290A">
        <w:rPr>
          <w:rFonts w:hint="eastAsia"/>
        </w:rPr>
        <w:t>現行法以</w:t>
      </w:r>
      <w:r w:rsidR="005467B6" w:rsidRPr="00B7290A">
        <w:rPr>
          <w:rFonts w:hAnsi="標楷體" w:hint="eastAsia"/>
        </w:rPr>
        <w:t>「期貨交易法」名之，並不直觀，且易生誤解，建議金管會後續修法時，</w:t>
      </w:r>
      <w:r w:rsidR="005467B6" w:rsidRPr="00B7290A">
        <w:rPr>
          <w:rFonts w:hAnsi="標楷體" w:hint="eastAsia"/>
        </w:rPr>
        <w:lastRenderedPageBreak/>
        <w:t>併同檢討改善。</w:t>
      </w:r>
    </w:p>
    <w:p w:rsidR="00F94E4B" w:rsidRPr="00B7290A" w:rsidRDefault="005467B6" w:rsidP="005467B6">
      <w:pPr>
        <w:pStyle w:val="3"/>
        <w:ind w:leftChars="200"/>
      </w:pPr>
      <w:r w:rsidRPr="00B7290A">
        <w:rPr>
          <w:rFonts w:hint="eastAsia"/>
        </w:rPr>
        <w:t>綜上所述，</w:t>
      </w:r>
      <w:r w:rsidR="00F94E4B" w:rsidRPr="00B7290A">
        <w:rPr>
          <w:rFonts w:hint="eastAsia"/>
        </w:rPr>
        <w:t>「期貨交易法」之法律名稱及該法第3條第1項前段「依國內外期貨交易所或其他期貨市場之規則或實務」之文字，</w:t>
      </w:r>
      <w:proofErr w:type="gramStart"/>
      <w:r w:rsidR="00F94E4B" w:rsidRPr="00B7290A">
        <w:rPr>
          <w:rFonts w:hint="eastAsia"/>
        </w:rPr>
        <w:t>均易生</w:t>
      </w:r>
      <w:proofErr w:type="gramEnd"/>
      <w:r w:rsidR="00F94E4B" w:rsidRPr="00B7290A">
        <w:rPr>
          <w:rFonts w:hint="eastAsia"/>
        </w:rPr>
        <w:t>誤解；考量該法涉及國家刑罰權之行使，</w:t>
      </w:r>
      <w:proofErr w:type="gramStart"/>
      <w:r w:rsidR="00F94E4B" w:rsidRPr="00B7290A">
        <w:rPr>
          <w:rFonts w:hint="eastAsia"/>
        </w:rPr>
        <w:t>爰</w:t>
      </w:r>
      <w:proofErr w:type="gramEnd"/>
      <w:r w:rsidR="00F94E4B" w:rsidRPr="00B7290A">
        <w:rPr>
          <w:rFonts w:hint="eastAsia"/>
        </w:rPr>
        <w:t>為落實「刑罰明確性原則」之要求，金</w:t>
      </w:r>
      <w:proofErr w:type="gramStart"/>
      <w:r w:rsidR="00F94E4B" w:rsidRPr="00B7290A">
        <w:rPr>
          <w:rFonts w:hint="eastAsia"/>
        </w:rPr>
        <w:t>管會允</w:t>
      </w:r>
      <w:proofErr w:type="gramEnd"/>
      <w:r w:rsidR="00F94E4B" w:rsidRPr="00B7290A">
        <w:rPr>
          <w:rFonts w:hint="eastAsia"/>
        </w:rPr>
        <w:t>應於後續修法時，併同檢討改善。</w:t>
      </w:r>
    </w:p>
    <w:p w:rsidR="009B567A" w:rsidRPr="00B7290A" w:rsidRDefault="009B567A" w:rsidP="00440866">
      <w:pPr>
        <w:pStyle w:val="3"/>
        <w:numPr>
          <w:ilvl w:val="0"/>
          <w:numId w:val="0"/>
        </w:numPr>
        <w:ind w:left="1361"/>
      </w:pPr>
    </w:p>
    <w:p w:rsidR="00617D00" w:rsidRPr="00B7290A" w:rsidRDefault="00617D00" w:rsidP="00617D00">
      <w:pPr>
        <w:pStyle w:val="1"/>
        <w:kinsoku w:val="0"/>
        <w:ind w:left="2380" w:hanging="2380"/>
        <w:rPr>
          <w:b/>
        </w:rPr>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r w:rsidRPr="00B7290A">
        <w:rPr>
          <w:rFonts w:hint="eastAsia"/>
          <w:b/>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17D00" w:rsidRPr="00B7290A" w:rsidRDefault="00617D00" w:rsidP="00617D00">
      <w:pPr>
        <w:pStyle w:val="2"/>
        <w:kinsoku w:val="0"/>
        <w:rPr>
          <w:spacing w:val="-2"/>
        </w:rPr>
      </w:pPr>
      <w:bookmarkStart w:id="40" w:name="_Toc524895649"/>
      <w:bookmarkStart w:id="41" w:name="_Toc524896195"/>
      <w:bookmarkStart w:id="42" w:name="_Toc524896225"/>
      <w:bookmarkStart w:id="43" w:name="_Toc70241820"/>
      <w:bookmarkStart w:id="44" w:name="_Toc70242209"/>
      <w:bookmarkStart w:id="45" w:name="_Toc421794876"/>
      <w:bookmarkStart w:id="46" w:name="_Toc421795442"/>
      <w:bookmarkStart w:id="47" w:name="_Toc421796023"/>
      <w:bookmarkStart w:id="48" w:name="_Toc422728958"/>
      <w:bookmarkStart w:id="49" w:name="_Toc422834161"/>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524902735"/>
      <w:bookmarkStart w:id="59" w:name="_Toc525066149"/>
      <w:bookmarkStart w:id="60" w:name="_Toc525070840"/>
      <w:bookmarkStart w:id="61" w:name="_Toc525938380"/>
      <w:bookmarkStart w:id="62" w:name="_Toc525939228"/>
      <w:bookmarkStart w:id="63" w:name="_Toc525939733"/>
      <w:bookmarkStart w:id="64" w:name="_Toc529218273"/>
      <w:bookmarkStart w:id="65" w:name="_Toc529222690"/>
      <w:bookmarkStart w:id="66" w:name="_Toc529223112"/>
      <w:bookmarkStart w:id="67" w:name="_Toc529223863"/>
      <w:bookmarkStart w:id="68" w:name="_Toc529228266"/>
      <w:bookmarkEnd w:id="40"/>
      <w:bookmarkEnd w:id="41"/>
      <w:bookmarkEnd w:id="42"/>
      <w:r w:rsidRPr="00B7290A">
        <w:rPr>
          <w:rFonts w:hint="eastAsia"/>
          <w:spacing w:val="-2"/>
        </w:rPr>
        <w:t>調查意見</w:t>
      </w:r>
      <w:r w:rsidR="00F94E4B" w:rsidRPr="00B7290A">
        <w:rPr>
          <w:rFonts w:hint="eastAsia"/>
          <w:spacing w:val="-2"/>
        </w:rPr>
        <w:t>一、二</w:t>
      </w:r>
      <w:r w:rsidR="007B7A1E" w:rsidRPr="00B7290A">
        <w:rPr>
          <w:rFonts w:hint="eastAsia"/>
          <w:spacing w:val="-2"/>
        </w:rPr>
        <w:t>，</w:t>
      </w:r>
      <w:r w:rsidRPr="00B7290A">
        <w:rPr>
          <w:rFonts w:hint="eastAsia"/>
          <w:spacing w:val="-2"/>
        </w:rPr>
        <w:t>函送法務部</w:t>
      </w:r>
      <w:r w:rsidR="00C5016A" w:rsidRPr="00B7290A">
        <w:rPr>
          <w:rFonts w:hint="eastAsia"/>
          <w:spacing w:val="-2"/>
        </w:rPr>
        <w:t>轉請所屬</w:t>
      </w:r>
      <w:proofErr w:type="gramStart"/>
      <w:r w:rsidR="007B7A1E" w:rsidRPr="00B7290A">
        <w:rPr>
          <w:rFonts w:hint="eastAsia"/>
          <w:spacing w:val="-2"/>
        </w:rPr>
        <w:t>研</w:t>
      </w:r>
      <w:proofErr w:type="gramEnd"/>
      <w:r w:rsidR="00C5016A" w:rsidRPr="00B7290A">
        <w:rPr>
          <w:rFonts w:hint="eastAsia"/>
          <w:spacing w:val="-2"/>
        </w:rPr>
        <w:t>議</w:t>
      </w:r>
      <w:r w:rsidR="007B7A1E" w:rsidRPr="00B7290A">
        <w:rPr>
          <w:rFonts w:hint="eastAsia"/>
          <w:spacing w:val="-2"/>
        </w:rPr>
        <w:t>救濟</w:t>
      </w:r>
      <w:proofErr w:type="gramStart"/>
      <w:r w:rsidR="007B7A1E" w:rsidRPr="00B7290A">
        <w:rPr>
          <w:rFonts w:hint="eastAsia"/>
          <w:spacing w:val="-2"/>
        </w:rPr>
        <w:t>見復</w:t>
      </w:r>
      <w:proofErr w:type="gramEnd"/>
      <w:r w:rsidRPr="00B7290A">
        <w:rPr>
          <w:rFonts w:hint="eastAsia"/>
          <w:spacing w:val="-2"/>
        </w:rPr>
        <w:t>。</w:t>
      </w:r>
    </w:p>
    <w:p w:rsidR="00617D00" w:rsidRPr="00B7290A" w:rsidRDefault="007B7A1E" w:rsidP="00617D00">
      <w:pPr>
        <w:pStyle w:val="2"/>
        <w:kinsoku w:val="0"/>
      </w:pPr>
      <w:r w:rsidRPr="00B7290A">
        <w:rPr>
          <w:rFonts w:hint="eastAsia"/>
        </w:rPr>
        <w:t>調查意見函送金融監督管理委員會</w:t>
      </w:r>
      <w:r w:rsidR="00C5016A" w:rsidRPr="00B7290A">
        <w:rPr>
          <w:rFonts w:hint="eastAsia"/>
        </w:rPr>
        <w:t>，並請該會就調查意見</w:t>
      </w:r>
      <w:proofErr w:type="gramStart"/>
      <w:r w:rsidR="00C5016A" w:rsidRPr="00B7290A">
        <w:rPr>
          <w:rFonts w:hint="eastAsia"/>
        </w:rPr>
        <w:t>三</w:t>
      </w:r>
      <w:proofErr w:type="gramEnd"/>
      <w:r w:rsidR="00C5016A" w:rsidRPr="00B7290A">
        <w:rPr>
          <w:rFonts w:hint="eastAsia"/>
        </w:rPr>
        <w:t>檢討改善</w:t>
      </w:r>
      <w:proofErr w:type="gramStart"/>
      <w:r w:rsidR="00C5016A" w:rsidRPr="00B7290A">
        <w:rPr>
          <w:rFonts w:hint="eastAsia"/>
        </w:rPr>
        <w:t>見復</w:t>
      </w:r>
      <w:proofErr w:type="gramEnd"/>
      <w:r w:rsidR="00617D00" w:rsidRPr="00B7290A">
        <w:rPr>
          <w:rFonts w:hAnsi="標楷體" w:hint="eastAsia"/>
        </w:rPr>
        <w:t>。</w:t>
      </w:r>
      <w:bookmarkEnd w:id="43"/>
      <w:bookmarkEnd w:id="44"/>
      <w:bookmarkEnd w:id="45"/>
      <w:bookmarkEnd w:id="46"/>
      <w:bookmarkEnd w:id="47"/>
      <w:bookmarkEnd w:id="48"/>
      <w:bookmarkEnd w:id="49"/>
    </w:p>
    <w:p w:rsidR="007B7A1E" w:rsidRPr="00B7290A" w:rsidRDefault="007B7A1E" w:rsidP="00617D00">
      <w:pPr>
        <w:pStyle w:val="2"/>
        <w:kinsoku w:val="0"/>
      </w:pPr>
      <w:bookmarkStart w:id="69" w:name="_Toc70241819"/>
      <w:bookmarkStart w:id="70" w:name="_Toc70242208"/>
      <w:bookmarkStart w:id="71" w:name="_Toc421794878"/>
      <w:bookmarkStart w:id="72" w:name="_Toc421795444"/>
      <w:bookmarkStart w:id="73" w:name="_Toc421796025"/>
      <w:bookmarkStart w:id="74" w:name="_Toc422728960"/>
      <w:bookmarkStart w:id="75" w:name="_Toc422834163"/>
      <w:bookmarkStart w:id="76" w:name="_Toc70241818"/>
      <w:bookmarkStart w:id="77" w:name="_Toc70242207"/>
      <w:bookmarkStart w:id="78" w:name="_Toc69556899"/>
      <w:bookmarkStart w:id="79" w:name="_Toc69556948"/>
      <w:bookmarkStart w:id="80" w:name="_Toc69609822"/>
      <w:bookmarkEnd w:id="50"/>
      <w:bookmarkEnd w:id="51"/>
      <w:bookmarkEnd w:id="52"/>
      <w:bookmarkEnd w:id="53"/>
      <w:bookmarkEnd w:id="54"/>
      <w:bookmarkEnd w:id="55"/>
      <w:bookmarkEnd w:id="56"/>
      <w:bookmarkEnd w:id="57"/>
      <w:r w:rsidRPr="00B7290A">
        <w:rPr>
          <w:rFonts w:hint="eastAsia"/>
        </w:rPr>
        <w:t>調查意見函復陳訴人</w:t>
      </w:r>
      <w:r w:rsidR="00C5016A" w:rsidRPr="00B7290A">
        <w:rPr>
          <w:rFonts w:hint="eastAsia"/>
        </w:rPr>
        <w:t>。</w:t>
      </w:r>
    </w:p>
    <w:p w:rsidR="00B97FE2" w:rsidRPr="00B7290A" w:rsidRDefault="00617D00" w:rsidP="00617D00">
      <w:pPr>
        <w:pStyle w:val="2"/>
        <w:kinsoku w:val="0"/>
      </w:pPr>
      <w:r w:rsidRPr="00B7290A">
        <w:rPr>
          <w:rFonts w:hint="eastAsia"/>
        </w:rPr>
        <w:t>調查意見</w:t>
      </w:r>
      <w:bookmarkStart w:id="81" w:name="_Toc2400397"/>
      <w:bookmarkStart w:id="82" w:name="_Toc4316191"/>
      <w:bookmarkStart w:id="83" w:name="_Toc4473332"/>
      <w:bookmarkStart w:id="84" w:name="_Toc69556901"/>
      <w:bookmarkStart w:id="85" w:name="_Toc69556950"/>
      <w:bookmarkStart w:id="86" w:name="_Toc69609824"/>
      <w:bookmarkStart w:id="87" w:name="_Toc70241822"/>
      <w:bookmarkStart w:id="88" w:name="_Toc70242211"/>
      <w:bookmarkStart w:id="89" w:name="_Toc421794881"/>
      <w:bookmarkStart w:id="90" w:name="_Toc421795447"/>
      <w:bookmarkStart w:id="91" w:name="_Toc421796028"/>
      <w:bookmarkStart w:id="92" w:name="_Toc422728963"/>
      <w:bookmarkStart w:id="93" w:name="_Toc42283416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B97FE2" w:rsidRPr="00B7290A">
        <w:rPr>
          <w:rFonts w:hint="eastAsia"/>
        </w:rPr>
        <w:t>(含案由、處理辦法、調查委員姓名)另製作公布版上網公布。</w:t>
      </w:r>
    </w:p>
    <w:bookmarkEnd w:id="81"/>
    <w:bookmarkEnd w:id="82"/>
    <w:bookmarkEnd w:id="83"/>
    <w:bookmarkEnd w:id="84"/>
    <w:bookmarkEnd w:id="85"/>
    <w:bookmarkEnd w:id="86"/>
    <w:bookmarkEnd w:id="87"/>
    <w:bookmarkEnd w:id="88"/>
    <w:bookmarkEnd w:id="89"/>
    <w:bookmarkEnd w:id="90"/>
    <w:bookmarkEnd w:id="91"/>
    <w:bookmarkEnd w:id="92"/>
    <w:bookmarkEnd w:id="93"/>
    <w:p w:rsidR="00B97FE2" w:rsidRPr="00B7290A" w:rsidRDefault="00B97FE2" w:rsidP="00617D00">
      <w:pPr>
        <w:pStyle w:val="aa"/>
        <w:kinsoku w:val="0"/>
        <w:spacing w:beforeLines="50" w:before="228" w:after="0"/>
        <w:ind w:leftChars="1100" w:left="3742"/>
        <w:rPr>
          <w:b w:val="0"/>
          <w:bCs/>
          <w:snapToGrid/>
          <w:spacing w:val="12"/>
          <w:kern w:val="0"/>
          <w:sz w:val="40"/>
        </w:rPr>
      </w:pPr>
    </w:p>
    <w:p w:rsidR="00B97FE2" w:rsidRPr="00B7290A" w:rsidRDefault="00617D00" w:rsidP="00617D00">
      <w:pPr>
        <w:pStyle w:val="aa"/>
        <w:kinsoku w:val="0"/>
        <w:spacing w:beforeLines="50" w:before="228" w:after="0"/>
        <w:ind w:leftChars="1100" w:left="3742"/>
        <w:rPr>
          <w:b w:val="0"/>
          <w:bCs/>
          <w:snapToGrid/>
          <w:spacing w:val="12"/>
          <w:kern w:val="0"/>
          <w:sz w:val="40"/>
        </w:rPr>
      </w:pPr>
      <w:r w:rsidRPr="00B7290A">
        <w:rPr>
          <w:rFonts w:hint="eastAsia"/>
          <w:b w:val="0"/>
          <w:bCs/>
          <w:snapToGrid/>
          <w:spacing w:val="12"/>
          <w:kern w:val="0"/>
          <w:sz w:val="40"/>
        </w:rPr>
        <w:t>調查委員：</w:t>
      </w:r>
      <w:r w:rsidR="00B97FE2" w:rsidRPr="00B7290A">
        <w:rPr>
          <w:rFonts w:hint="eastAsia"/>
          <w:b w:val="0"/>
          <w:bCs/>
          <w:snapToGrid/>
          <w:spacing w:val="12"/>
          <w:kern w:val="0"/>
          <w:sz w:val="40"/>
        </w:rPr>
        <w:t>高</w:t>
      </w:r>
      <w:proofErr w:type="gramStart"/>
      <w:r w:rsidR="00B97FE2" w:rsidRPr="00B7290A">
        <w:rPr>
          <w:rFonts w:hint="eastAsia"/>
          <w:b w:val="0"/>
          <w:bCs/>
          <w:snapToGrid/>
          <w:spacing w:val="12"/>
          <w:kern w:val="0"/>
          <w:sz w:val="40"/>
        </w:rPr>
        <w:t>涌</w:t>
      </w:r>
      <w:proofErr w:type="gramEnd"/>
      <w:r w:rsidR="00B97FE2" w:rsidRPr="00B7290A">
        <w:rPr>
          <w:rFonts w:hint="eastAsia"/>
          <w:b w:val="0"/>
          <w:bCs/>
          <w:snapToGrid/>
          <w:spacing w:val="12"/>
          <w:kern w:val="0"/>
          <w:sz w:val="40"/>
        </w:rPr>
        <w:t>誠</w:t>
      </w:r>
    </w:p>
    <w:p w:rsidR="00617D00" w:rsidRPr="00B7290A" w:rsidRDefault="00B97FE2" w:rsidP="00B97FE2">
      <w:pPr>
        <w:pStyle w:val="aa"/>
        <w:kinsoku w:val="0"/>
        <w:spacing w:beforeLines="50" w:before="228" w:after="0"/>
        <w:ind w:leftChars="1766" w:left="6007"/>
        <w:rPr>
          <w:rFonts w:ascii="Times New Roman"/>
          <w:b w:val="0"/>
          <w:bCs/>
          <w:snapToGrid/>
          <w:spacing w:val="0"/>
          <w:kern w:val="0"/>
          <w:sz w:val="40"/>
        </w:rPr>
      </w:pPr>
      <w:r w:rsidRPr="00B7290A">
        <w:rPr>
          <w:rFonts w:hint="eastAsia"/>
          <w:b w:val="0"/>
          <w:bCs/>
          <w:snapToGrid/>
          <w:spacing w:val="12"/>
          <w:kern w:val="0"/>
          <w:sz w:val="40"/>
        </w:rPr>
        <w:t>賴振昌</w:t>
      </w:r>
    </w:p>
    <w:sectPr w:rsidR="00617D00" w:rsidRPr="00B7290A" w:rsidSect="009B567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E17" w:rsidRDefault="00217E17">
      <w:r>
        <w:separator/>
      </w:r>
    </w:p>
  </w:endnote>
  <w:endnote w:type="continuationSeparator" w:id="0">
    <w:p w:rsidR="00217E17" w:rsidRDefault="0021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8DA" w:rsidRDefault="003108D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108DA" w:rsidRDefault="003108D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E17" w:rsidRDefault="00217E17">
      <w:r>
        <w:separator/>
      </w:r>
    </w:p>
  </w:footnote>
  <w:footnote w:type="continuationSeparator" w:id="0">
    <w:p w:rsidR="00217E17" w:rsidRDefault="00217E17">
      <w:r>
        <w:continuationSeparator/>
      </w:r>
    </w:p>
  </w:footnote>
  <w:footnote w:id="1">
    <w:p w:rsidR="003108DA" w:rsidRDefault="003108DA">
      <w:pPr>
        <w:pStyle w:val="afe"/>
      </w:pPr>
      <w:r>
        <w:rPr>
          <w:rStyle w:val="aff0"/>
        </w:rPr>
        <w:footnoteRef/>
      </w:r>
      <w:r>
        <w:t xml:space="preserve"> </w:t>
      </w:r>
      <w:r>
        <w:rPr>
          <w:rFonts w:hint="eastAsia"/>
        </w:rPr>
        <w:t>期交法</w:t>
      </w:r>
      <w:r>
        <w:rPr>
          <w:rFonts w:hAnsi="標楷體" w:hint="eastAsia"/>
        </w:rPr>
        <w:t>§</w:t>
      </w:r>
      <w:r>
        <w:rPr>
          <w:rFonts w:hint="eastAsia"/>
        </w:rPr>
        <w:t>3</w:t>
      </w:r>
      <w:r>
        <w:rPr>
          <w:rFonts w:hAnsi="標楷體" w:hint="eastAsia"/>
        </w:rPr>
        <w:t>Ⅰ</w:t>
      </w:r>
      <w:r>
        <w:rPr>
          <w:rFonts w:hint="eastAsia"/>
        </w:rPr>
        <w:t>：</w:t>
      </w:r>
    </w:p>
    <w:p w:rsidR="003108DA" w:rsidRPr="0024008F" w:rsidRDefault="003108DA" w:rsidP="0024008F">
      <w:pPr>
        <w:pStyle w:val="afe"/>
        <w:ind w:leftChars="5" w:left="283" w:hangingChars="121" w:hanging="266"/>
      </w:pPr>
      <w:r w:rsidRPr="0024008F">
        <w:rPr>
          <w:rFonts w:hint="eastAsia"/>
        </w:rPr>
        <w:t>「本法所稱</w:t>
      </w:r>
      <w:r w:rsidRPr="0024008F">
        <w:rPr>
          <w:rFonts w:hint="eastAsia"/>
          <w:b/>
          <w:u w:val="single"/>
        </w:rPr>
        <w:t>期貨交易</w:t>
      </w:r>
      <w:r w:rsidRPr="0024008F">
        <w:rPr>
          <w:rFonts w:hint="eastAsia"/>
        </w:rPr>
        <w:t>，指依國內外期貨交易所或其他期貨市場之規則或實務，從事衍生自商品、貨幣、有價證券、利率、指數或其他利益之下列契約或其組合之交易：</w:t>
      </w:r>
    </w:p>
    <w:p w:rsidR="003108DA" w:rsidRPr="0024008F" w:rsidRDefault="003108DA" w:rsidP="0024008F">
      <w:pPr>
        <w:pStyle w:val="afe"/>
        <w:ind w:leftChars="87" w:left="296" w:firstLineChars="58" w:firstLine="128"/>
      </w:pPr>
      <w:r>
        <w:rPr>
          <w:rFonts w:hint="eastAsia"/>
        </w:rPr>
        <w:t>一、</w:t>
      </w:r>
      <w:r w:rsidRPr="0024008F">
        <w:rPr>
          <w:rFonts w:hint="eastAsia"/>
        </w:rPr>
        <w:t>期貨契約：</w:t>
      </w:r>
      <w:r>
        <w:rPr>
          <w:rFonts w:hint="eastAsia"/>
        </w:rPr>
        <w:t>(</w:t>
      </w:r>
      <w:proofErr w:type="gramStart"/>
      <w:r>
        <w:rPr>
          <w:rFonts w:hint="eastAsia"/>
        </w:rPr>
        <w:t>下略</w:t>
      </w:r>
      <w:proofErr w:type="gramEnd"/>
      <w:r>
        <w:rPr>
          <w:rFonts w:hint="eastAsia"/>
        </w:rPr>
        <w:t>)</w:t>
      </w:r>
    </w:p>
    <w:p w:rsidR="003108DA" w:rsidRPr="0024008F" w:rsidRDefault="003108DA" w:rsidP="0024008F">
      <w:pPr>
        <w:pStyle w:val="afe"/>
        <w:ind w:leftChars="87" w:left="296" w:firstLineChars="58" w:firstLine="128"/>
      </w:pPr>
      <w:r>
        <w:rPr>
          <w:rFonts w:hint="eastAsia"/>
        </w:rPr>
        <w:t>二、</w:t>
      </w:r>
      <w:r w:rsidRPr="0024008F">
        <w:rPr>
          <w:rFonts w:hint="eastAsia"/>
        </w:rPr>
        <w:t>選擇權契約：</w:t>
      </w:r>
      <w:r>
        <w:rPr>
          <w:rFonts w:hint="eastAsia"/>
        </w:rPr>
        <w:t>(</w:t>
      </w:r>
      <w:proofErr w:type="gramStart"/>
      <w:r>
        <w:rPr>
          <w:rFonts w:hint="eastAsia"/>
        </w:rPr>
        <w:t>下略</w:t>
      </w:r>
      <w:proofErr w:type="gramEnd"/>
      <w:r>
        <w:rPr>
          <w:rFonts w:hint="eastAsia"/>
        </w:rPr>
        <w:t>)</w:t>
      </w:r>
    </w:p>
    <w:p w:rsidR="003108DA" w:rsidRPr="0024008F" w:rsidRDefault="003108DA" w:rsidP="0024008F">
      <w:pPr>
        <w:pStyle w:val="afe"/>
        <w:ind w:leftChars="87" w:left="296" w:firstLineChars="58" w:firstLine="128"/>
      </w:pPr>
      <w:r>
        <w:rPr>
          <w:rFonts w:hint="eastAsia"/>
        </w:rPr>
        <w:t>三、</w:t>
      </w:r>
      <w:r w:rsidRPr="0024008F">
        <w:rPr>
          <w:rFonts w:hint="eastAsia"/>
        </w:rPr>
        <w:t>期貨選擇權契約：</w:t>
      </w:r>
      <w:r>
        <w:rPr>
          <w:rFonts w:hint="eastAsia"/>
        </w:rPr>
        <w:t>(</w:t>
      </w:r>
      <w:proofErr w:type="gramStart"/>
      <w:r>
        <w:rPr>
          <w:rFonts w:hint="eastAsia"/>
        </w:rPr>
        <w:t>下略</w:t>
      </w:r>
      <w:proofErr w:type="gramEnd"/>
      <w:r>
        <w:rPr>
          <w:rFonts w:hint="eastAsia"/>
        </w:rPr>
        <w:t>)</w:t>
      </w:r>
    </w:p>
    <w:p w:rsidR="003108DA" w:rsidRPr="0024008F" w:rsidRDefault="003108DA" w:rsidP="0024008F">
      <w:pPr>
        <w:pStyle w:val="afe"/>
        <w:ind w:leftChars="87" w:left="296" w:firstLineChars="58" w:firstLine="128"/>
      </w:pPr>
      <w:r>
        <w:rPr>
          <w:rFonts w:hint="eastAsia"/>
        </w:rPr>
        <w:t>四、</w:t>
      </w:r>
      <w:r w:rsidRPr="0024008F">
        <w:rPr>
          <w:rFonts w:hint="eastAsia"/>
          <w:b/>
          <w:u w:val="single"/>
        </w:rPr>
        <w:t>槓桿保證金契約</w:t>
      </w:r>
      <w:r w:rsidRPr="0024008F">
        <w:rPr>
          <w:rFonts w:hint="eastAsia"/>
        </w:rPr>
        <w:t>：</w:t>
      </w:r>
      <w:r>
        <w:rPr>
          <w:rFonts w:hint="eastAsia"/>
        </w:rPr>
        <w:t>(</w:t>
      </w:r>
      <w:proofErr w:type="gramStart"/>
      <w:r>
        <w:rPr>
          <w:rFonts w:hint="eastAsia"/>
        </w:rPr>
        <w:t>下略</w:t>
      </w:r>
      <w:proofErr w:type="gramEnd"/>
      <w:r>
        <w:rPr>
          <w:rFonts w:hint="eastAsia"/>
        </w:rPr>
        <w:t>)</w:t>
      </w:r>
    </w:p>
    <w:p w:rsidR="003108DA" w:rsidRPr="0024008F" w:rsidRDefault="003108DA" w:rsidP="0024008F">
      <w:pPr>
        <w:pStyle w:val="afe"/>
        <w:ind w:leftChars="87" w:left="296" w:firstLineChars="58" w:firstLine="128"/>
      </w:pPr>
      <w:r>
        <w:rPr>
          <w:rFonts w:hint="eastAsia"/>
        </w:rPr>
        <w:t>五、</w:t>
      </w:r>
      <w:r w:rsidRPr="0024008F">
        <w:rPr>
          <w:rFonts w:hint="eastAsia"/>
        </w:rPr>
        <w:t>交換契約：</w:t>
      </w:r>
      <w:r>
        <w:rPr>
          <w:rFonts w:hint="eastAsia"/>
        </w:rPr>
        <w:t>(</w:t>
      </w:r>
      <w:proofErr w:type="gramStart"/>
      <w:r>
        <w:rPr>
          <w:rFonts w:hint="eastAsia"/>
        </w:rPr>
        <w:t>下略</w:t>
      </w:r>
      <w:proofErr w:type="gramEnd"/>
      <w:r>
        <w:rPr>
          <w:rFonts w:hint="eastAsia"/>
        </w:rPr>
        <w:t>)</w:t>
      </w:r>
    </w:p>
    <w:p w:rsidR="003108DA" w:rsidRPr="0024008F" w:rsidRDefault="003108DA" w:rsidP="0024008F">
      <w:pPr>
        <w:pStyle w:val="afe"/>
        <w:ind w:leftChars="87" w:left="296" w:firstLineChars="58" w:firstLine="128"/>
      </w:pPr>
      <w:r>
        <w:rPr>
          <w:rFonts w:hint="eastAsia"/>
        </w:rPr>
        <w:t>六、</w:t>
      </w:r>
      <w:r w:rsidRPr="0024008F">
        <w:rPr>
          <w:rFonts w:hint="eastAsia"/>
        </w:rPr>
        <w:t>其他類型契約。」</w:t>
      </w:r>
    </w:p>
  </w:footnote>
  <w:footnote w:id="2">
    <w:p w:rsidR="003108DA" w:rsidRDefault="003108DA">
      <w:pPr>
        <w:pStyle w:val="afe"/>
      </w:pPr>
      <w:r>
        <w:rPr>
          <w:rStyle w:val="aff0"/>
        </w:rPr>
        <w:footnoteRef/>
      </w:r>
      <w:r>
        <w:t xml:space="preserve"> </w:t>
      </w:r>
      <w:r>
        <w:rPr>
          <w:rFonts w:hint="eastAsia"/>
        </w:rPr>
        <w:t>請參見該判決之理由欄\貳、實體部分\八、論罪之理由，項次(二)、4，及項次(三)、2。</w:t>
      </w:r>
    </w:p>
  </w:footnote>
  <w:footnote w:id="3">
    <w:p w:rsidR="003108DA" w:rsidRDefault="003108DA" w:rsidP="0027737E">
      <w:pPr>
        <w:pStyle w:val="afe"/>
      </w:pPr>
      <w:r>
        <w:rPr>
          <w:rStyle w:val="aff0"/>
        </w:rPr>
        <w:footnoteRef/>
      </w:r>
      <w:r>
        <w:t xml:space="preserve"> </w:t>
      </w:r>
      <w:r>
        <w:rPr>
          <w:rFonts w:hint="eastAsia"/>
        </w:rPr>
        <w:t>期交法</w:t>
      </w:r>
      <w:r>
        <w:rPr>
          <w:rFonts w:hAnsi="標楷體" w:hint="eastAsia"/>
        </w:rPr>
        <w:t>§</w:t>
      </w:r>
      <w:r>
        <w:rPr>
          <w:rFonts w:hint="eastAsia"/>
        </w:rPr>
        <w:t>56</w:t>
      </w:r>
      <w:r>
        <w:rPr>
          <w:rFonts w:hAnsi="標楷體" w:hint="eastAsia"/>
        </w:rPr>
        <w:t>Ⅰ</w:t>
      </w:r>
      <w:r>
        <w:rPr>
          <w:rFonts w:hint="eastAsia"/>
        </w:rPr>
        <w:t>：</w:t>
      </w:r>
    </w:p>
    <w:p w:rsidR="003108DA" w:rsidRDefault="003108DA" w:rsidP="0027737E">
      <w:pPr>
        <w:pStyle w:val="afe"/>
        <w:ind w:leftChars="5" w:left="301" w:hangingChars="129" w:hanging="284"/>
      </w:pPr>
      <w:r w:rsidRPr="00AA47D7">
        <w:rPr>
          <w:rFonts w:hint="eastAsia"/>
        </w:rPr>
        <w:t>「非</w:t>
      </w:r>
      <w:r w:rsidRPr="00AA47D7">
        <w:rPr>
          <w:rFonts w:hint="eastAsia"/>
          <w:b/>
          <w:u w:val="single"/>
        </w:rPr>
        <w:t>期貨商</w:t>
      </w:r>
      <w:r w:rsidRPr="00AA47D7">
        <w:rPr>
          <w:rFonts w:hint="eastAsia"/>
        </w:rPr>
        <w:t>除本法另有規定者外，不得經營期貨交易業務。」</w:t>
      </w:r>
    </w:p>
  </w:footnote>
  <w:footnote w:id="4">
    <w:p w:rsidR="003108DA" w:rsidRDefault="003108DA" w:rsidP="0027737E">
      <w:pPr>
        <w:pStyle w:val="afe"/>
      </w:pPr>
      <w:r>
        <w:rPr>
          <w:rStyle w:val="aff0"/>
        </w:rPr>
        <w:footnoteRef/>
      </w:r>
      <w:r>
        <w:t xml:space="preserve"> </w:t>
      </w:r>
      <w:r>
        <w:rPr>
          <w:rFonts w:hint="eastAsia"/>
        </w:rPr>
        <w:t>期交法</w:t>
      </w:r>
      <w:r>
        <w:rPr>
          <w:rFonts w:hAnsi="標楷體" w:hint="eastAsia"/>
        </w:rPr>
        <w:t>§</w:t>
      </w:r>
      <w:r>
        <w:rPr>
          <w:rFonts w:hint="eastAsia"/>
        </w:rPr>
        <w:t>84</w:t>
      </w:r>
      <w:r>
        <w:rPr>
          <w:rFonts w:hAnsi="標楷體" w:hint="eastAsia"/>
        </w:rPr>
        <w:t>Ⅰ</w:t>
      </w:r>
      <w:r>
        <w:rPr>
          <w:rFonts w:hint="eastAsia"/>
        </w:rPr>
        <w:t>：</w:t>
      </w:r>
    </w:p>
    <w:p w:rsidR="003108DA" w:rsidRDefault="003108DA" w:rsidP="0027737E">
      <w:pPr>
        <w:pStyle w:val="afe"/>
        <w:ind w:leftChars="5" w:left="301" w:hangingChars="129" w:hanging="284"/>
      </w:pPr>
      <w:r w:rsidRPr="00AA47D7">
        <w:rPr>
          <w:rFonts w:hint="eastAsia"/>
        </w:rPr>
        <w:t>「</w:t>
      </w:r>
      <w:r w:rsidRPr="005C6DBA">
        <w:rPr>
          <w:rFonts w:hint="eastAsia"/>
        </w:rPr>
        <w:t>期貨</w:t>
      </w:r>
      <w:r w:rsidRPr="001A6CD9">
        <w:rPr>
          <w:rFonts w:hint="eastAsia"/>
          <w:b/>
          <w:u w:val="single"/>
        </w:rPr>
        <w:t>信託</w:t>
      </w:r>
      <w:r w:rsidRPr="005C6DBA">
        <w:rPr>
          <w:rFonts w:hint="eastAsia"/>
        </w:rPr>
        <w:t>事業於</w:t>
      </w:r>
      <w:r w:rsidRPr="001A6CD9">
        <w:rPr>
          <w:rFonts w:hint="eastAsia"/>
          <w:u w:val="single"/>
        </w:rPr>
        <w:t>募集</w:t>
      </w:r>
      <w:r w:rsidRPr="005C6DBA">
        <w:rPr>
          <w:rFonts w:hint="eastAsia"/>
        </w:rPr>
        <w:t>期貨信託</w:t>
      </w:r>
      <w:r w:rsidRPr="001A6CD9">
        <w:rPr>
          <w:rFonts w:hint="eastAsia"/>
          <w:u w:val="single"/>
        </w:rPr>
        <w:t>基金</w:t>
      </w:r>
      <w:r w:rsidRPr="005C6DBA">
        <w:rPr>
          <w:rFonts w:hint="eastAsia"/>
        </w:rPr>
        <w:t>，</w:t>
      </w:r>
      <w:r w:rsidRPr="00351847">
        <w:rPr>
          <w:rFonts w:hint="eastAsia"/>
          <w:u w:val="single"/>
        </w:rPr>
        <w:t>非經</w:t>
      </w:r>
      <w:r w:rsidRPr="005C6DBA">
        <w:rPr>
          <w:rFonts w:hint="eastAsia"/>
        </w:rPr>
        <w:t>主管機關</w:t>
      </w:r>
      <w:r w:rsidRPr="00351847">
        <w:rPr>
          <w:rFonts w:hint="eastAsia"/>
          <w:u w:val="single"/>
        </w:rPr>
        <w:t>核准</w:t>
      </w:r>
      <w:r w:rsidRPr="005C6DBA">
        <w:rPr>
          <w:rFonts w:hint="eastAsia"/>
        </w:rPr>
        <w:t>或向主管機關申報生效後，不得為之。</w:t>
      </w:r>
      <w:r>
        <w:rPr>
          <w:rFonts w:hAnsi="標楷體" w:hint="eastAsia"/>
        </w:rPr>
        <w:t>」</w:t>
      </w:r>
    </w:p>
  </w:footnote>
  <w:footnote w:id="5">
    <w:p w:rsidR="003108DA" w:rsidRPr="00170559" w:rsidRDefault="003108DA" w:rsidP="00170559">
      <w:pPr>
        <w:pStyle w:val="afe"/>
        <w:ind w:leftChars="3" w:left="151" w:hangingChars="64" w:hanging="141"/>
      </w:pPr>
      <w:r>
        <w:rPr>
          <w:rStyle w:val="aff0"/>
        </w:rPr>
        <w:footnoteRef/>
      </w:r>
      <w:r>
        <w:t xml:space="preserve"> </w:t>
      </w:r>
      <w:r>
        <w:rPr>
          <w:rFonts w:hint="eastAsia"/>
        </w:rPr>
        <w:t>臺灣</w:t>
      </w:r>
      <w:proofErr w:type="gramStart"/>
      <w:r>
        <w:rPr>
          <w:rFonts w:hint="eastAsia"/>
        </w:rPr>
        <w:t>臺</w:t>
      </w:r>
      <w:proofErr w:type="gramEnd"/>
      <w:r>
        <w:rPr>
          <w:rFonts w:hint="eastAsia"/>
        </w:rPr>
        <w:t>北地方檢察署</w:t>
      </w:r>
      <w:proofErr w:type="gramStart"/>
      <w:r>
        <w:rPr>
          <w:rFonts w:hint="eastAsia"/>
        </w:rPr>
        <w:t>105</w:t>
      </w:r>
      <w:proofErr w:type="gramEnd"/>
      <w:r>
        <w:rPr>
          <w:rFonts w:hint="eastAsia"/>
        </w:rPr>
        <w:t>年度</w:t>
      </w:r>
      <w:proofErr w:type="gramStart"/>
      <w:r>
        <w:rPr>
          <w:rFonts w:hint="eastAsia"/>
        </w:rPr>
        <w:t>偵</w:t>
      </w:r>
      <w:proofErr w:type="gramEnd"/>
      <w:r>
        <w:rPr>
          <w:rFonts w:hint="eastAsia"/>
        </w:rPr>
        <w:t>字第14105號、</w:t>
      </w:r>
      <w:proofErr w:type="gramStart"/>
      <w:r>
        <w:rPr>
          <w:rFonts w:hint="eastAsia"/>
        </w:rPr>
        <w:t>106</w:t>
      </w:r>
      <w:proofErr w:type="gramEnd"/>
      <w:r>
        <w:rPr>
          <w:rFonts w:hint="eastAsia"/>
        </w:rPr>
        <w:t>年度</w:t>
      </w:r>
      <w:proofErr w:type="gramStart"/>
      <w:r>
        <w:rPr>
          <w:rFonts w:hint="eastAsia"/>
        </w:rPr>
        <w:t>偵</w:t>
      </w:r>
      <w:proofErr w:type="gramEnd"/>
      <w:r>
        <w:rPr>
          <w:rFonts w:hint="eastAsia"/>
        </w:rPr>
        <w:t>字第17096、17097、17098、17099號案。</w:t>
      </w:r>
    </w:p>
  </w:footnote>
  <w:footnote w:id="6">
    <w:p w:rsidR="003108DA" w:rsidRPr="00170559" w:rsidRDefault="003108DA">
      <w:pPr>
        <w:pStyle w:val="afe"/>
      </w:pPr>
      <w:r>
        <w:rPr>
          <w:rStyle w:val="aff0"/>
        </w:rPr>
        <w:footnoteRef/>
      </w:r>
      <w:r>
        <w:t xml:space="preserve"> </w:t>
      </w:r>
      <w:r>
        <w:rPr>
          <w:rFonts w:hint="eastAsia"/>
        </w:rPr>
        <w:t>臺灣</w:t>
      </w:r>
      <w:proofErr w:type="gramStart"/>
      <w:r>
        <w:rPr>
          <w:rFonts w:hint="eastAsia"/>
        </w:rPr>
        <w:t>臺</w:t>
      </w:r>
      <w:proofErr w:type="gramEnd"/>
      <w:r>
        <w:rPr>
          <w:rFonts w:hint="eastAsia"/>
        </w:rPr>
        <w:t>北地方檢察署</w:t>
      </w:r>
      <w:proofErr w:type="gramStart"/>
      <w:r>
        <w:rPr>
          <w:rFonts w:hint="eastAsia"/>
        </w:rPr>
        <w:t>107</w:t>
      </w:r>
      <w:proofErr w:type="gramEnd"/>
      <w:r>
        <w:rPr>
          <w:rFonts w:hint="eastAsia"/>
        </w:rPr>
        <w:t>年度</w:t>
      </w:r>
      <w:proofErr w:type="gramStart"/>
      <w:r>
        <w:rPr>
          <w:rFonts w:hint="eastAsia"/>
        </w:rPr>
        <w:t>偵</w:t>
      </w:r>
      <w:proofErr w:type="gramEnd"/>
      <w:r>
        <w:rPr>
          <w:rFonts w:hint="eastAsia"/>
        </w:rPr>
        <w:t>字第22249號案。</w:t>
      </w:r>
    </w:p>
  </w:footnote>
  <w:footnote w:id="7">
    <w:p w:rsidR="003108DA" w:rsidRDefault="003108DA" w:rsidP="00A65380">
      <w:pPr>
        <w:pStyle w:val="afe"/>
        <w:ind w:leftChars="3" w:left="151" w:hangingChars="64" w:hanging="141"/>
      </w:pPr>
      <w:r>
        <w:rPr>
          <w:rStyle w:val="aff0"/>
        </w:rPr>
        <w:footnoteRef/>
      </w:r>
      <w:r>
        <w:t xml:space="preserve"> </w:t>
      </w:r>
      <w:r>
        <w:rPr>
          <w:rFonts w:hint="eastAsia"/>
        </w:rPr>
        <w:t>參見該判決書第17-22頁，共6頁</w:t>
      </w:r>
      <w:r w:rsidRPr="00F30190">
        <w:rPr>
          <w:rFonts w:hint="eastAsia"/>
          <w:sz w:val="19"/>
          <w:szCs w:val="19"/>
        </w:rPr>
        <w:t>。</w:t>
      </w:r>
    </w:p>
  </w:footnote>
  <w:footnote w:id="8">
    <w:p w:rsidR="003108DA" w:rsidRDefault="003108DA">
      <w:pPr>
        <w:pStyle w:val="afe"/>
      </w:pPr>
      <w:r>
        <w:rPr>
          <w:rStyle w:val="aff0"/>
        </w:rPr>
        <w:footnoteRef/>
      </w:r>
      <w:r>
        <w:t xml:space="preserve"> </w:t>
      </w:r>
      <w:r>
        <w:rPr>
          <w:rFonts w:hint="eastAsia"/>
        </w:rPr>
        <w:t>參見立法院公報，第85卷，第51期，委員會紀錄，第53~64頁；</w:t>
      </w:r>
      <w:proofErr w:type="gramStart"/>
      <w:r>
        <w:rPr>
          <w:rFonts w:hint="eastAsia"/>
        </w:rPr>
        <w:t>尤請參見</w:t>
      </w:r>
      <w:proofErr w:type="gramEnd"/>
      <w:r>
        <w:rPr>
          <w:rFonts w:hint="eastAsia"/>
        </w:rPr>
        <w:t>第60、64頁。</w:t>
      </w:r>
    </w:p>
  </w:footnote>
  <w:footnote w:id="9">
    <w:p w:rsidR="003108DA" w:rsidRDefault="003108DA" w:rsidP="00C63BCE">
      <w:pPr>
        <w:pStyle w:val="afe"/>
        <w:ind w:leftChars="3" w:left="151" w:hangingChars="64" w:hanging="141"/>
      </w:pPr>
      <w:r>
        <w:rPr>
          <w:rStyle w:val="aff0"/>
        </w:rPr>
        <w:footnoteRef/>
      </w:r>
      <w:r>
        <w:t xml:space="preserve"> </w:t>
      </w:r>
      <w:r>
        <w:rPr>
          <w:rFonts w:hint="eastAsia"/>
        </w:rPr>
        <w:t>參見該判決書第22-23頁；或參見本調查報告第18頁，調查事實三的項次(四)第3小點。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B20362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750247"/>
    <w:multiLevelType w:val="hybridMultilevel"/>
    <w:tmpl w:val="2E70F0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3"/>
  </w:num>
  <w:num w:numId="3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D2C"/>
    <w:rsid w:val="00006961"/>
    <w:rsid w:val="000077FE"/>
    <w:rsid w:val="00011182"/>
    <w:rsid w:val="000112BF"/>
    <w:rsid w:val="00012233"/>
    <w:rsid w:val="00016629"/>
    <w:rsid w:val="00017318"/>
    <w:rsid w:val="000208DC"/>
    <w:rsid w:val="000229AD"/>
    <w:rsid w:val="00023E2C"/>
    <w:rsid w:val="000246F7"/>
    <w:rsid w:val="00027832"/>
    <w:rsid w:val="00027F50"/>
    <w:rsid w:val="00030959"/>
    <w:rsid w:val="0003114D"/>
    <w:rsid w:val="0003314B"/>
    <w:rsid w:val="000343C0"/>
    <w:rsid w:val="00036B5E"/>
    <w:rsid w:val="00036D76"/>
    <w:rsid w:val="00050AEB"/>
    <w:rsid w:val="00051902"/>
    <w:rsid w:val="00057F32"/>
    <w:rsid w:val="00062A25"/>
    <w:rsid w:val="00072063"/>
    <w:rsid w:val="00073CB5"/>
    <w:rsid w:val="0007425C"/>
    <w:rsid w:val="00077553"/>
    <w:rsid w:val="0007763C"/>
    <w:rsid w:val="00083B7B"/>
    <w:rsid w:val="000851A2"/>
    <w:rsid w:val="00086693"/>
    <w:rsid w:val="000904D8"/>
    <w:rsid w:val="0009352E"/>
    <w:rsid w:val="0009455E"/>
    <w:rsid w:val="00096B96"/>
    <w:rsid w:val="000A2F3F"/>
    <w:rsid w:val="000A3383"/>
    <w:rsid w:val="000A5016"/>
    <w:rsid w:val="000A553D"/>
    <w:rsid w:val="000B0B4A"/>
    <w:rsid w:val="000B279A"/>
    <w:rsid w:val="000B4D2E"/>
    <w:rsid w:val="000B5FA1"/>
    <w:rsid w:val="000B61D2"/>
    <w:rsid w:val="000B70A7"/>
    <w:rsid w:val="000B73DD"/>
    <w:rsid w:val="000C2503"/>
    <w:rsid w:val="000C34AB"/>
    <w:rsid w:val="000C36CC"/>
    <w:rsid w:val="000C495F"/>
    <w:rsid w:val="000C635A"/>
    <w:rsid w:val="000D4D50"/>
    <w:rsid w:val="000D6568"/>
    <w:rsid w:val="000D66D9"/>
    <w:rsid w:val="000D6F61"/>
    <w:rsid w:val="000E3A46"/>
    <w:rsid w:val="000E6431"/>
    <w:rsid w:val="000F21A5"/>
    <w:rsid w:val="000F37DC"/>
    <w:rsid w:val="000F3F8A"/>
    <w:rsid w:val="000F5E0B"/>
    <w:rsid w:val="000F6A0E"/>
    <w:rsid w:val="00100CF8"/>
    <w:rsid w:val="00102B9F"/>
    <w:rsid w:val="00103EBE"/>
    <w:rsid w:val="00112637"/>
    <w:rsid w:val="0011295E"/>
    <w:rsid w:val="00112ABC"/>
    <w:rsid w:val="00112BEA"/>
    <w:rsid w:val="0012001E"/>
    <w:rsid w:val="00124EEC"/>
    <w:rsid w:val="00126A55"/>
    <w:rsid w:val="0012724F"/>
    <w:rsid w:val="00127808"/>
    <w:rsid w:val="00127BA4"/>
    <w:rsid w:val="00132927"/>
    <w:rsid w:val="0013338C"/>
    <w:rsid w:val="00133BCD"/>
    <w:rsid w:val="00133F08"/>
    <w:rsid w:val="001345E6"/>
    <w:rsid w:val="00136397"/>
    <w:rsid w:val="001371EE"/>
    <w:rsid w:val="001373AA"/>
    <w:rsid w:val="001378B0"/>
    <w:rsid w:val="00140841"/>
    <w:rsid w:val="00140FCA"/>
    <w:rsid w:val="00142E00"/>
    <w:rsid w:val="00143BB0"/>
    <w:rsid w:val="00144E49"/>
    <w:rsid w:val="001512FA"/>
    <w:rsid w:val="00151A6E"/>
    <w:rsid w:val="00152793"/>
    <w:rsid w:val="00153B7E"/>
    <w:rsid w:val="001545A9"/>
    <w:rsid w:val="00161914"/>
    <w:rsid w:val="00162115"/>
    <w:rsid w:val="00162EFF"/>
    <w:rsid w:val="001637C7"/>
    <w:rsid w:val="0016480E"/>
    <w:rsid w:val="00170559"/>
    <w:rsid w:val="00172021"/>
    <w:rsid w:val="00174297"/>
    <w:rsid w:val="0017714B"/>
    <w:rsid w:val="00180E06"/>
    <w:rsid w:val="001817B3"/>
    <w:rsid w:val="00183014"/>
    <w:rsid w:val="00183B7A"/>
    <w:rsid w:val="00193BF2"/>
    <w:rsid w:val="001945B9"/>
    <w:rsid w:val="00194815"/>
    <w:rsid w:val="001959C2"/>
    <w:rsid w:val="001A51E3"/>
    <w:rsid w:val="001A6CD9"/>
    <w:rsid w:val="001A7968"/>
    <w:rsid w:val="001B006B"/>
    <w:rsid w:val="001B02A1"/>
    <w:rsid w:val="001B2E98"/>
    <w:rsid w:val="001B3483"/>
    <w:rsid w:val="001B3C1E"/>
    <w:rsid w:val="001B409A"/>
    <w:rsid w:val="001B4494"/>
    <w:rsid w:val="001C0D8B"/>
    <w:rsid w:val="001C0DA8"/>
    <w:rsid w:val="001C3C02"/>
    <w:rsid w:val="001C64F7"/>
    <w:rsid w:val="001D4AD7"/>
    <w:rsid w:val="001E0D8A"/>
    <w:rsid w:val="001E2D56"/>
    <w:rsid w:val="001E4111"/>
    <w:rsid w:val="001E67BA"/>
    <w:rsid w:val="001E71DB"/>
    <w:rsid w:val="001E74C2"/>
    <w:rsid w:val="001F0F18"/>
    <w:rsid w:val="001F2C16"/>
    <w:rsid w:val="001F4AB9"/>
    <w:rsid w:val="001F4D1D"/>
    <w:rsid w:val="001F4F54"/>
    <w:rsid w:val="001F4F82"/>
    <w:rsid w:val="001F5A48"/>
    <w:rsid w:val="001F6260"/>
    <w:rsid w:val="00200007"/>
    <w:rsid w:val="002030A5"/>
    <w:rsid w:val="00203131"/>
    <w:rsid w:val="0021145A"/>
    <w:rsid w:val="002117FA"/>
    <w:rsid w:val="00211DB7"/>
    <w:rsid w:val="00212E88"/>
    <w:rsid w:val="0021382F"/>
    <w:rsid w:val="00213B73"/>
    <w:rsid w:val="00213C9C"/>
    <w:rsid w:val="002171F9"/>
    <w:rsid w:val="00217E17"/>
    <w:rsid w:val="0022009E"/>
    <w:rsid w:val="00223241"/>
    <w:rsid w:val="002241E6"/>
    <w:rsid w:val="0022425C"/>
    <w:rsid w:val="002246DE"/>
    <w:rsid w:val="00227D05"/>
    <w:rsid w:val="00230854"/>
    <w:rsid w:val="0023427F"/>
    <w:rsid w:val="00234C7C"/>
    <w:rsid w:val="002350D7"/>
    <w:rsid w:val="00235748"/>
    <w:rsid w:val="0024008F"/>
    <w:rsid w:val="00241213"/>
    <w:rsid w:val="002429E2"/>
    <w:rsid w:val="002437FF"/>
    <w:rsid w:val="002463FD"/>
    <w:rsid w:val="0025114A"/>
    <w:rsid w:val="00252BC4"/>
    <w:rsid w:val="00253D70"/>
    <w:rsid w:val="00254014"/>
    <w:rsid w:val="00254B39"/>
    <w:rsid w:val="002564E1"/>
    <w:rsid w:val="00256BEA"/>
    <w:rsid w:val="00257A37"/>
    <w:rsid w:val="002642FB"/>
    <w:rsid w:val="0026504D"/>
    <w:rsid w:val="00266D76"/>
    <w:rsid w:val="00273A2F"/>
    <w:rsid w:val="00275A9C"/>
    <w:rsid w:val="0027737E"/>
    <w:rsid w:val="00277923"/>
    <w:rsid w:val="00280143"/>
    <w:rsid w:val="00280986"/>
    <w:rsid w:val="00281ECE"/>
    <w:rsid w:val="002831C7"/>
    <w:rsid w:val="002840C6"/>
    <w:rsid w:val="00290AE3"/>
    <w:rsid w:val="00294BB6"/>
    <w:rsid w:val="00295174"/>
    <w:rsid w:val="00295462"/>
    <w:rsid w:val="00296172"/>
    <w:rsid w:val="00296B92"/>
    <w:rsid w:val="002A0A04"/>
    <w:rsid w:val="002A2C22"/>
    <w:rsid w:val="002A3604"/>
    <w:rsid w:val="002A3D87"/>
    <w:rsid w:val="002A69E8"/>
    <w:rsid w:val="002B02EB"/>
    <w:rsid w:val="002B188B"/>
    <w:rsid w:val="002B337E"/>
    <w:rsid w:val="002C0602"/>
    <w:rsid w:val="002C2DB8"/>
    <w:rsid w:val="002C356F"/>
    <w:rsid w:val="002C53BC"/>
    <w:rsid w:val="002C64EE"/>
    <w:rsid w:val="002D076D"/>
    <w:rsid w:val="002D5C16"/>
    <w:rsid w:val="002D5E36"/>
    <w:rsid w:val="002D618A"/>
    <w:rsid w:val="002D61F2"/>
    <w:rsid w:val="002E4BDF"/>
    <w:rsid w:val="002F0B18"/>
    <w:rsid w:val="002F0BED"/>
    <w:rsid w:val="002F2476"/>
    <w:rsid w:val="002F3DFF"/>
    <w:rsid w:val="002F5663"/>
    <w:rsid w:val="002F5702"/>
    <w:rsid w:val="002F5E05"/>
    <w:rsid w:val="002F7879"/>
    <w:rsid w:val="003038C9"/>
    <w:rsid w:val="00305354"/>
    <w:rsid w:val="003072AE"/>
    <w:rsid w:val="00307A76"/>
    <w:rsid w:val="00307AD6"/>
    <w:rsid w:val="003108DA"/>
    <w:rsid w:val="00311A67"/>
    <w:rsid w:val="00314204"/>
    <w:rsid w:val="0031455E"/>
    <w:rsid w:val="00314C0A"/>
    <w:rsid w:val="00315A16"/>
    <w:rsid w:val="00316C98"/>
    <w:rsid w:val="00317053"/>
    <w:rsid w:val="00317B4F"/>
    <w:rsid w:val="0032109C"/>
    <w:rsid w:val="00322B45"/>
    <w:rsid w:val="00323809"/>
    <w:rsid w:val="00323D41"/>
    <w:rsid w:val="00324A6F"/>
    <w:rsid w:val="00325414"/>
    <w:rsid w:val="0032705B"/>
    <w:rsid w:val="003302F1"/>
    <w:rsid w:val="003343C8"/>
    <w:rsid w:val="00334EF2"/>
    <w:rsid w:val="0034470E"/>
    <w:rsid w:val="00344E90"/>
    <w:rsid w:val="00347CD2"/>
    <w:rsid w:val="00351847"/>
    <w:rsid w:val="00352B7D"/>
    <w:rsid w:val="00352DB0"/>
    <w:rsid w:val="0035605F"/>
    <w:rsid w:val="00360993"/>
    <w:rsid w:val="00361063"/>
    <w:rsid w:val="0036390E"/>
    <w:rsid w:val="0037094A"/>
    <w:rsid w:val="00371ED3"/>
    <w:rsid w:val="003723D1"/>
    <w:rsid w:val="00372659"/>
    <w:rsid w:val="00372FFC"/>
    <w:rsid w:val="0037728A"/>
    <w:rsid w:val="00377899"/>
    <w:rsid w:val="00380B7D"/>
    <w:rsid w:val="003811DF"/>
    <w:rsid w:val="00381A99"/>
    <w:rsid w:val="003829C2"/>
    <w:rsid w:val="003830B2"/>
    <w:rsid w:val="00384724"/>
    <w:rsid w:val="003919B7"/>
    <w:rsid w:val="00391D57"/>
    <w:rsid w:val="00392292"/>
    <w:rsid w:val="00393575"/>
    <w:rsid w:val="00394F45"/>
    <w:rsid w:val="00395057"/>
    <w:rsid w:val="00397910"/>
    <w:rsid w:val="00397D95"/>
    <w:rsid w:val="003A170A"/>
    <w:rsid w:val="003A268E"/>
    <w:rsid w:val="003A5184"/>
    <w:rsid w:val="003A5927"/>
    <w:rsid w:val="003A6FD3"/>
    <w:rsid w:val="003B0810"/>
    <w:rsid w:val="003B1017"/>
    <w:rsid w:val="003B3C07"/>
    <w:rsid w:val="003B6081"/>
    <w:rsid w:val="003B6775"/>
    <w:rsid w:val="003C1A37"/>
    <w:rsid w:val="003C3BC3"/>
    <w:rsid w:val="003C5FE2"/>
    <w:rsid w:val="003C65BC"/>
    <w:rsid w:val="003C6A1F"/>
    <w:rsid w:val="003D05FB"/>
    <w:rsid w:val="003D1B16"/>
    <w:rsid w:val="003D2C52"/>
    <w:rsid w:val="003D45BF"/>
    <w:rsid w:val="003D508A"/>
    <w:rsid w:val="003D537F"/>
    <w:rsid w:val="003D7B75"/>
    <w:rsid w:val="003E0208"/>
    <w:rsid w:val="003E3085"/>
    <w:rsid w:val="003E4B57"/>
    <w:rsid w:val="003E7E33"/>
    <w:rsid w:val="003F0640"/>
    <w:rsid w:val="003F0DAC"/>
    <w:rsid w:val="003F27E1"/>
    <w:rsid w:val="003F3D0E"/>
    <w:rsid w:val="003F42A9"/>
    <w:rsid w:val="003F437A"/>
    <w:rsid w:val="003F5C2B"/>
    <w:rsid w:val="0040019A"/>
    <w:rsid w:val="00402240"/>
    <w:rsid w:val="004023E9"/>
    <w:rsid w:val="0040454A"/>
    <w:rsid w:val="0040694B"/>
    <w:rsid w:val="004106C0"/>
    <w:rsid w:val="004132E8"/>
    <w:rsid w:val="00413F83"/>
    <w:rsid w:val="0041490C"/>
    <w:rsid w:val="00416191"/>
    <w:rsid w:val="00416721"/>
    <w:rsid w:val="00416AFD"/>
    <w:rsid w:val="004176B4"/>
    <w:rsid w:val="00421EF0"/>
    <w:rsid w:val="004224FA"/>
    <w:rsid w:val="00423D07"/>
    <w:rsid w:val="00426194"/>
    <w:rsid w:val="0042774F"/>
    <w:rsid w:val="00427936"/>
    <w:rsid w:val="00440866"/>
    <w:rsid w:val="0044346F"/>
    <w:rsid w:val="00452F9F"/>
    <w:rsid w:val="00453FF6"/>
    <w:rsid w:val="0046520A"/>
    <w:rsid w:val="004672AB"/>
    <w:rsid w:val="004714FE"/>
    <w:rsid w:val="00473275"/>
    <w:rsid w:val="004748C9"/>
    <w:rsid w:val="00477BAA"/>
    <w:rsid w:val="0048143C"/>
    <w:rsid w:val="004944D7"/>
    <w:rsid w:val="00495053"/>
    <w:rsid w:val="004959E4"/>
    <w:rsid w:val="00496CF4"/>
    <w:rsid w:val="004A1CEE"/>
    <w:rsid w:val="004A1F59"/>
    <w:rsid w:val="004A2729"/>
    <w:rsid w:val="004A29BE"/>
    <w:rsid w:val="004A3225"/>
    <w:rsid w:val="004A33EE"/>
    <w:rsid w:val="004A3AA8"/>
    <w:rsid w:val="004A4224"/>
    <w:rsid w:val="004A51A8"/>
    <w:rsid w:val="004A75D7"/>
    <w:rsid w:val="004B13C7"/>
    <w:rsid w:val="004B1BE8"/>
    <w:rsid w:val="004B4B06"/>
    <w:rsid w:val="004B7312"/>
    <w:rsid w:val="004B778F"/>
    <w:rsid w:val="004B7B40"/>
    <w:rsid w:val="004C0609"/>
    <w:rsid w:val="004C41E3"/>
    <w:rsid w:val="004C639F"/>
    <w:rsid w:val="004C660A"/>
    <w:rsid w:val="004D141F"/>
    <w:rsid w:val="004D2742"/>
    <w:rsid w:val="004D5A8F"/>
    <w:rsid w:val="004D6310"/>
    <w:rsid w:val="004D78A8"/>
    <w:rsid w:val="004E0062"/>
    <w:rsid w:val="004E05A1"/>
    <w:rsid w:val="004E7F21"/>
    <w:rsid w:val="004F14C6"/>
    <w:rsid w:val="004F3BD6"/>
    <w:rsid w:val="004F472A"/>
    <w:rsid w:val="004F5E57"/>
    <w:rsid w:val="004F6710"/>
    <w:rsid w:val="004F7C98"/>
    <w:rsid w:val="00500C3E"/>
    <w:rsid w:val="00502849"/>
    <w:rsid w:val="005035DE"/>
    <w:rsid w:val="00504334"/>
    <w:rsid w:val="0050498D"/>
    <w:rsid w:val="00504CC7"/>
    <w:rsid w:val="00505FD0"/>
    <w:rsid w:val="0050673B"/>
    <w:rsid w:val="005104D7"/>
    <w:rsid w:val="00510B9E"/>
    <w:rsid w:val="00510C7C"/>
    <w:rsid w:val="005162B5"/>
    <w:rsid w:val="00520A81"/>
    <w:rsid w:val="00524B3F"/>
    <w:rsid w:val="0052714B"/>
    <w:rsid w:val="00531065"/>
    <w:rsid w:val="00535701"/>
    <w:rsid w:val="00536BC2"/>
    <w:rsid w:val="0054042B"/>
    <w:rsid w:val="005425E1"/>
    <w:rsid w:val="005427C5"/>
    <w:rsid w:val="00542CF6"/>
    <w:rsid w:val="005467B6"/>
    <w:rsid w:val="005520C7"/>
    <w:rsid w:val="00553C03"/>
    <w:rsid w:val="00555A93"/>
    <w:rsid w:val="00560455"/>
    <w:rsid w:val="00560DDA"/>
    <w:rsid w:val="00562183"/>
    <w:rsid w:val="0056289B"/>
    <w:rsid w:val="00563692"/>
    <w:rsid w:val="005647DA"/>
    <w:rsid w:val="00567098"/>
    <w:rsid w:val="005700DE"/>
    <w:rsid w:val="00571679"/>
    <w:rsid w:val="00575AB6"/>
    <w:rsid w:val="00577158"/>
    <w:rsid w:val="00580FD1"/>
    <w:rsid w:val="00581EC1"/>
    <w:rsid w:val="0058299E"/>
    <w:rsid w:val="005829F7"/>
    <w:rsid w:val="00583C69"/>
    <w:rsid w:val="00584235"/>
    <w:rsid w:val="005844E7"/>
    <w:rsid w:val="00586F67"/>
    <w:rsid w:val="00587962"/>
    <w:rsid w:val="00587B10"/>
    <w:rsid w:val="005908B8"/>
    <w:rsid w:val="0059102F"/>
    <w:rsid w:val="00593CB4"/>
    <w:rsid w:val="0059512E"/>
    <w:rsid w:val="005A47F4"/>
    <w:rsid w:val="005A6DD2"/>
    <w:rsid w:val="005B0DA6"/>
    <w:rsid w:val="005B1588"/>
    <w:rsid w:val="005B1D82"/>
    <w:rsid w:val="005B64AB"/>
    <w:rsid w:val="005B7235"/>
    <w:rsid w:val="005C385D"/>
    <w:rsid w:val="005C68F6"/>
    <w:rsid w:val="005C6DBA"/>
    <w:rsid w:val="005C7344"/>
    <w:rsid w:val="005C7BDB"/>
    <w:rsid w:val="005D21F7"/>
    <w:rsid w:val="005D3B20"/>
    <w:rsid w:val="005D445F"/>
    <w:rsid w:val="005D44E6"/>
    <w:rsid w:val="005D5E9E"/>
    <w:rsid w:val="005D70F8"/>
    <w:rsid w:val="005D71B7"/>
    <w:rsid w:val="005E2830"/>
    <w:rsid w:val="005E32AD"/>
    <w:rsid w:val="005E4759"/>
    <w:rsid w:val="005E5C68"/>
    <w:rsid w:val="005E5EA3"/>
    <w:rsid w:val="005E65C0"/>
    <w:rsid w:val="005F0390"/>
    <w:rsid w:val="005F07FD"/>
    <w:rsid w:val="005F0963"/>
    <w:rsid w:val="005F3287"/>
    <w:rsid w:val="0060387A"/>
    <w:rsid w:val="006072CD"/>
    <w:rsid w:val="00612023"/>
    <w:rsid w:val="00614190"/>
    <w:rsid w:val="00617D00"/>
    <w:rsid w:val="00621303"/>
    <w:rsid w:val="00622A99"/>
    <w:rsid w:val="00622E67"/>
    <w:rsid w:val="006250B1"/>
    <w:rsid w:val="00626B57"/>
    <w:rsid w:val="00626EDC"/>
    <w:rsid w:val="00630E03"/>
    <w:rsid w:val="006321BD"/>
    <w:rsid w:val="006330DE"/>
    <w:rsid w:val="006341C5"/>
    <w:rsid w:val="00635534"/>
    <w:rsid w:val="00636650"/>
    <w:rsid w:val="00640B36"/>
    <w:rsid w:val="00641C33"/>
    <w:rsid w:val="006452D3"/>
    <w:rsid w:val="00646569"/>
    <w:rsid w:val="006470EC"/>
    <w:rsid w:val="00651DC1"/>
    <w:rsid w:val="00652C0B"/>
    <w:rsid w:val="006542D6"/>
    <w:rsid w:val="0065598E"/>
    <w:rsid w:val="00655AF2"/>
    <w:rsid w:val="00655BC5"/>
    <w:rsid w:val="006568BE"/>
    <w:rsid w:val="0066025D"/>
    <w:rsid w:val="0066091A"/>
    <w:rsid w:val="00670F57"/>
    <w:rsid w:val="0067268A"/>
    <w:rsid w:val="00674A8F"/>
    <w:rsid w:val="006773EC"/>
    <w:rsid w:val="00680504"/>
    <w:rsid w:val="00680598"/>
    <w:rsid w:val="00681CD9"/>
    <w:rsid w:val="00682361"/>
    <w:rsid w:val="0068360C"/>
    <w:rsid w:val="00683E30"/>
    <w:rsid w:val="00684858"/>
    <w:rsid w:val="00684EA6"/>
    <w:rsid w:val="0068531F"/>
    <w:rsid w:val="00687024"/>
    <w:rsid w:val="006910DB"/>
    <w:rsid w:val="00691F29"/>
    <w:rsid w:val="0069447E"/>
    <w:rsid w:val="00695E22"/>
    <w:rsid w:val="00697009"/>
    <w:rsid w:val="006A318A"/>
    <w:rsid w:val="006A6BD6"/>
    <w:rsid w:val="006A6DC2"/>
    <w:rsid w:val="006A73FD"/>
    <w:rsid w:val="006B7093"/>
    <w:rsid w:val="006B7417"/>
    <w:rsid w:val="006C3BE8"/>
    <w:rsid w:val="006C4279"/>
    <w:rsid w:val="006C6BF2"/>
    <w:rsid w:val="006D0B38"/>
    <w:rsid w:val="006D1B87"/>
    <w:rsid w:val="006D1FD6"/>
    <w:rsid w:val="006D2776"/>
    <w:rsid w:val="006D31F9"/>
    <w:rsid w:val="006D329A"/>
    <w:rsid w:val="006D3691"/>
    <w:rsid w:val="006D42D6"/>
    <w:rsid w:val="006D5C85"/>
    <w:rsid w:val="006D63DC"/>
    <w:rsid w:val="006D6DB6"/>
    <w:rsid w:val="006E2E1D"/>
    <w:rsid w:val="006E3948"/>
    <w:rsid w:val="006E4E28"/>
    <w:rsid w:val="006E5EF0"/>
    <w:rsid w:val="006F197F"/>
    <w:rsid w:val="006F3563"/>
    <w:rsid w:val="006F36E8"/>
    <w:rsid w:val="006F41B4"/>
    <w:rsid w:val="006F42B9"/>
    <w:rsid w:val="006F5B04"/>
    <w:rsid w:val="006F6103"/>
    <w:rsid w:val="006F6FCF"/>
    <w:rsid w:val="00704E00"/>
    <w:rsid w:val="00705552"/>
    <w:rsid w:val="00706369"/>
    <w:rsid w:val="00706788"/>
    <w:rsid w:val="00710180"/>
    <w:rsid w:val="00712ED0"/>
    <w:rsid w:val="00715923"/>
    <w:rsid w:val="007209E7"/>
    <w:rsid w:val="00725CC8"/>
    <w:rsid w:val="00726182"/>
    <w:rsid w:val="00727635"/>
    <w:rsid w:val="00727679"/>
    <w:rsid w:val="0073172D"/>
    <w:rsid w:val="00732329"/>
    <w:rsid w:val="007337CA"/>
    <w:rsid w:val="007342AE"/>
    <w:rsid w:val="00734CE4"/>
    <w:rsid w:val="00735123"/>
    <w:rsid w:val="00735CB2"/>
    <w:rsid w:val="00741837"/>
    <w:rsid w:val="007453E6"/>
    <w:rsid w:val="00754559"/>
    <w:rsid w:val="00764ED8"/>
    <w:rsid w:val="00770453"/>
    <w:rsid w:val="00772281"/>
    <w:rsid w:val="00772A60"/>
    <w:rsid w:val="0077309D"/>
    <w:rsid w:val="007774EE"/>
    <w:rsid w:val="007810C7"/>
    <w:rsid w:val="00781360"/>
    <w:rsid w:val="00781822"/>
    <w:rsid w:val="007824D2"/>
    <w:rsid w:val="00783F21"/>
    <w:rsid w:val="00786AE0"/>
    <w:rsid w:val="00787159"/>
    <w:rsid w:val="0079043A"/>
    <w:rsid w:val="00791668"/>
    <w:rsid w:val="00791AA1"/>
    <w:rsid w:val="0079294B"/>
    <w:rsid w:val="00794ECE"/>
    <w:rsid w:val="00797977"/>
    <w:rsid w:val="007A3793"/>
    <w:rsid w:val="007B0D7F"/>
    <w:rsid w:val="007B542F"/>
    <w:rsid w:val="007B6043"/>
    <w:rsid w:val="007B7A1E"/>
    <w:rsid w:val="007C1BA2"/>
    <w:rsid w:val="007C2B48"/>
    <w:rsid w:val="007C667D"/>
    <w:rsid w:val="007D20E9"/>
    <w:rsid w:val="007D3903"/>
    <w:rsid w:val="007D7881"/>
    <w:rsid w:val="007D7E3A"/>
    <w:rsid w:val="007E0E10"/>
    <w:rsid w:val="007E1368"/>
    <w:rsid w:val="007E2759"/>
    <w:rsid w:val="007E28B4"/>
    <w:rsid w:val="007E2BDB"/>
    <w:rsid w:val="007E3C05"/>
    <w:rsid w:val="007E4768"/>
    <w:rsid w:val="007E52A5"/>
    <w:rsid w:val="007E777B"/>
    <w:rsid w:val="007F2070"/>
    <w:rsid w:val="007F3B4A"/>
    <w:rsid w:val="007F63C1"/>
    <w:rsid w:val="008053F5"/>
    <w:rsid w:val="00807AF7"/>
    <w:rsid w:val="00810198"/>
    <w:rsid w:val="00814201"/>
    <w:rsid w:val="00815DA8"/>
    <w:rsid w:val="0081671C"/>
    <w:rsid w:val="00816EDC"/>
    <w:rsid w:val="0082194D"/>
    <w:rsid w:val="008221F9"/>
    <w:rsid w:val="00826C2D"/>
    <w:rsid w:val="00826EF5"/>
    <w:rsid w:val="008315EB"/>
    <w:rsid w:val="00831693"/>
    <w:rsid w:val="008338D9"/>
    <w:rsid w:val="00840104"/>
    <w:rsid w:val="008404DA"/>
    <w:rsid w:val="00840C1F"/>
    <w:rsid w:val="00840D05"/>
    <w:rsid w:val="008411C9"/>
    <w:rsid w:val="00841FC5"/>
    <w:rsid w:val="008432D8"/>
    <w:rsid w:val="00843D0F"/>
    <w:rsid w:val="00844068"/>
    <w:rsid w:val="00845709"/>
    <w:rsid w:val="008468D2"/>
    <w:rsid w:val="00847492"/>
    <w:rsid w:val="00852B42"/>
    <w:rsid w:val="00854158"/>
    <w:rsid w:val="00857579"/>
    <w:rsid w:val="008576BD"/>
    <w:rsid w:val="00860463"/>
    <w:rsid w:val="0086076D"/>
    <w:rsid w:val="00862CCD"/>
    <w:rsid w:val="008733DA"/>
    <w:rsid w:val="00874453"/>
    <w:rsid w:val="00875182"/>
    <w:rsid w:val="008850E4"/>
    <w:rsid w:val="008875A5"/>
    <w:rsid w:val="008935AB"/>
    <w:rsid w:val="008939AB"/>
    <w:rsid w:val="008A12F5"/>
    <w:rsid w:val="008A1D88"/>
    <w:rsid w:val="008B0F9D"/>
    <w:rsid w:val="008B1587"/>
    <w:rsid w:val="008B1B01"/>
    <w:rsid w:val="008B3BCD"/>
    <w:rsid w:val="008B6DF8"/>
    <w:rsid w:val="008B7243"/>
    <w:rsid w:val="008C106C"/>
    <w:rsid w:val="008C10F1"/>
    <w:rsid w:val="008C1926"/>
    <w:rsid w:val="008C1E99"/>
    <w:rsid w:val="008C5635"/>
    <w:rsid w:val="008D00A9"/>
    <w:rsid w:val="008D070E"/>
    <w:rsid w:val="008D5479"/>
    <w:rsid w:val="008E0085"/>
    <w:rsid w:val="008E2AA6"/>
    <w:rsid w:val="008E311B"/>
    <w:rsid w:val="008E423F"/>
    <w:rsid w:val="008E4C34"/>
    <w:rsid w:val="008F3762"/>
    <w:rsid w:val="008F46E7"/>
    <w:rsid w:val="008F5642"/>
    <w:rsid w:val="008F64CA"/>
    <w:rsid w:val="008F6F0B"/>
    <w:rsid w:val="008F7E4B"/>
    <w:rsid w:val="009002C1"/>
    <w:rsid w:val="0090257A"/>
    <w:rsid w:val="00907571"/>
    <w:rsid w:val="00907BA7"/>
    <w:rsid w:val="0091064E"/>
    <w:rsid w:val="00911FC5"/>
    <w:rsid w:val="00916AB8"/>
    <w:rsid w:val="0092192B"/>
    <w:rsid w:val="00923DA1"/>
    <w:rsid w:val="00924256"/>
    <w:rsid w:val="009245C0"/>
    <w:rsid w:val="009267D2"/>
    <w:rsid w:val="00927252"/>
    <w:rsid w:val="00931A10"/>
    <w:rsid w:val="00933176"/>
    <w:rsid w:val="00940812"/>
    <w:rsid w:val="009411E7"/>
    <w:rsid w:val="00941679"/>
    <w:rsid w:val="009423B8"/>
    <w:rsid w:val="00943064"/>
    <w:rsid w:val="00944984"/>
    <w:rsid w:val="00947967"/>
    <w:rsid w:val="009548A7"/>
    <w:rsid w:val="009549F2"/>
    <w:rsid w:val="00955201"/>
    <w:rsid w:val="009556D8"/>
    <w:rsid w:val="0095684D"/>
    <w:rsid w:val="00957D71"/>
    <w:rsid w:val="009601F1"/>
    <w:rsid w:val="00960899"/>
    <w:rsid w:val="00962911"/>
    <w:rsid w:val="009638D9"/>
    <w:rsid w:val="009646C2"/>
    <w:rsid w:val="00965200"/>
    <w:rsid w:val="009668B3"/>
    <w:rsid w:val="00971471"/>
    <w:rsid w:val="009725D1"/>
    <w:rsid w:val="0098342B"/>
    <w:rsid w:val="009849C2"/>
    <w:rsid w:val="00984D24"/>
    <w:rsid w:val="009858EB"/>
    <w:rsid w:val="00987475"/>
    <w:rsid w:val="0099059D"/>
    <w:rsid w:val="0099787A"/>
    <w:rsid w:val="009A2894"/>
    <w:rsid w:val="009A3F47"/>
    <w:rsid w:val="009A6123"/>
    <w:rsid w:val="009B0046"/>
    <w:rsid w:val="009B0942"/>
    <w:rsid w:val="009B24F7"/>
    <w:rsid w:val="009B27B6"/>
    <w:rsid w:val="009B46B2"/>
    <w:rsid w:val="009B567A"/>
    <w:rsid w:val="009C1440"/>
    <w:rsid w:val="009C2107"/>
    <w:rsid w:val="009C29C6"/>
    <w:rsid w:val="009C2ED0"/>
    <w:rsid w:val="009C5D9E"/>
    <w:rsid w:val="009D1FB8"/>
    <w:rsid w:val="009D2C3E"/>
    <w:rsid w:val="009D33A9"/>
    <w:rsid w:val="009E0625"/>
    <w:rsid w:val="009E1CAE"/>
    <w:rsid w:val="009E2393"/>
    <w:rsid w:val="009E28E4"/>
    <w:rsid w:val="009E3034"/>
    <w:rsid w:val="009E549F"/>
    <w:rsid w:val="009E7D77"/>
    <w:rsid w:val="009F0B31"/>
    <w:rsid w:val="009F15E3"/>
    <w:rsid w:val="009F165A"/>
    <w:rsid w:val="009F2095"/>
    <w:rsid w:val="009F28A8"/>
    <w:rsid w:val="009F473E"/>
    <w:rsid w:val="009F5247"/>
    <w:rsid w:val="009F5588"/>
    <w:rsid w:val="009F682A"/>
    <w:rsid w:val="009F75D8"/>
    <w:rsid w:val="00A008FF"/>
    <w:rsid w:val="00A02040"/>
    <w:rsid w:val="00A022BE"/>
    <w:rsid w:val="00A06A43"/>
    <w:rsid w:val="00A06FBB"/>
    <w:rsid w:val="00A07B4B"/>
    <w:rsid w:val="00A14222"/>
    <w:rsid w:val="00A146C1"/>
    <w:rsid w:val="00A23B92"/>
    <w:rsid w:val="00A23C00"/>
    <w:rsid w:val="00A24C95"/>
    <w:rsid w:val="00A2599A"/>
    <w:rsid w:val="00A26094"/>
    <w:rsid w:val="00A26423"/>
    <w:rsid w:val="00A301BF"/>
    <w:rsid w:val="00A302B2"/>
    <w:rsid w:val="00A30568"/>
    <w:rsid w:val="00A32840"/>
    <w:rsid w:val="00A331B4"/>
    <w:rsid w:val="00A3322B"/>
    <w:rsid w:val="00A347D2"/>
    <w:rsid w:val="00A3484E"/>
    <w:rsid w:val="00A356D3"/>
    <w:rsid w:val="00A36ADA"/>
    <w:rsid w:val="00A36F16"/>
    <w:rsid w:val="00A37C4D"/>
    <w:rsid w:val="00A40915"/>
    <w:rsid w:val="00A438D8"/>
    <w:rsid w:val="00A46972"/>
    <w:rsid w:val="00A473F5"/>
    <w:rsid w:val="00A516FA"/>
    <w:rsid w:val="00A51F9D"/>
    <w:rsid w:val="00A52306"/>
    <w:rsid w:val="00A54130"/>
    <w:rsid w:val="00A5416A"/>
    <w:rsid w:val="00A62F00"/>
    <w:rsid w:val="00A639F4"/>
    <w:rsid w:val="00A65380"/>
    <w:rsid w:val="00A65864"/>
    <w:rsid w:val="00A65FAE"/>
    <w:rsid w:val="00A666CE"/>
    <w:rsid w:val="00A70667"/>
    <w:rsid w:val="00A726F5"/>
    <w:rsid w:val="00A75ECA"/>
    <w:rsid w:val="00A81A32"/>
    <w:rsid w:val="00A835BD"/>
    <w:rsid w:val="00A84796"/>
    <w:rsid w:val="00A85036"/>
    <w:rsid w:val="00A85E4A"/>
    <w:rsid w:val="00A91322"/>
    <w:rsid w:val="00A97B15"/>
    <w:rsid w:val="00A97D5E"/>
    <w:rsid w:val="00AA0C23"/>
    <w:rsid w:val="00AA0F6D"/>
    <w:rsid w:val="00AA2D28"/>
    <w:rsid w:val="00AA3E68"/>
    <w:rsid w:val="00AA3FE8"/>
    <w:rsid w:val="00AA42D5"/>
    <w:rsid w:val="00AA47D7"/>
    <w:rsid w:val="00AA4E3A"/>
    <w:rsid w:val="00AA562A"/>
    <w:rsid w:val="00AA6FDD"/>
    <w:rsid w:val="00AB0BDC"/>
    <w:rsid w:val="00AB2FAB"/>
    <w:rsid w:val="00AB5C14"/>
    <w:rsid w:val="00AB79B1"/>
    <w:rsid w:val="00AC1EE7"/>
    <w:rsid w:val="00AC2C46"/>
    <w:rsid w:val="00AC333F"/>
    <w:rsid w:val="00AC3D37"/>
    <w:rsid w:val="00AC51DD"/>
    <w:rsid w:val="00AC585C"/>
    <w:rsid w:val="00AD1925"/>
    <w:rsid w:val="00AD3288"/>
    <w:rsid w:val="00AD532B"/>
    <w:rsid w:val="00AD575F"/>
    <w:rsid w:val="00AD7AD1"/>
    <w:rsid w:val="00AE03E6"/>
    <w:rsid w:val="00AE067D"/>
    <w:rsid w:val="00AE1168"/>
    <w:rsid w:val="00AE1ABA"/>
    <w:rsid w:val="00AE3119"/>
    <w:rsid w:val="00AE3899"/>
    <w:rsid w:val="00AE4091"/>
    <w:rsid w:val="00AE4B57"/>
    <w:rsid w:val="00AE798B"/>
    <w:rsid w:val="00AF1181"/>
    <w:rsid w:val="00AF2598"/>
    <w:rsid w:val="00AF2CF2"/>
    <w:rsid w:val="00AF2F79"/>
    <w:rsid w:val="00AF4653"/>
    <w:rsid w:val="00AF661A"/>
    <w:rsid w:val="00AF7DB7"/>
    <w:rsid w:val="00B10D02"/>
    <w:rsid w:val="00B11D6D"/>
    <w:rsid w:val="00B13095"/>
    <w:rsid w:val="00B201E2"/>
    <w:rsid w:val="00B206D2"/>
    <w:rsid w:val="00B20FE1"/>
    <w:rsid w:val="00B2190F"/>
    <w:rsid w:val="00B2271B"/>
    <w:rsid w:val="00B22CA7"/>
    <w:rsid w:val="00B23E4E"/>
    <w:rsid w:val="00B2434A"/>
    <w:rsid w:val="00B27E16"/>
    <w:rsid w:val="00B33324"/>
    <w:rsid w:val="00B3506A"/>
    <w:rsid w:val="00B378AF"/>
    <w:rsid w:val="00B4273B"/>
    <w:rsid w:val="00B443E4"/>
    <w:rsid w:val="00B457A3"/>
    <w:rsid w:val="00B47F09"/>
    <w:rsid w:val="00B51FB9"/>
    <w:rsid w:val="00B5484D"/>
    <w:rsid w:val="00B563EA"/>
    <w:rsid w:val="00B56CDF"/>
    <w:rsid w:val="00B57C93"/>
    <w:rsid w:val="00B609C5"/>
    <w:rsid w:val="00B60E51"/>
    <w:rsid w:val="00B63A54"/>
    <w:rsid w:val="00B64892"/>
    <w:rsid w:val="00B658C5"/>
    <w:rsid w:val="00B7290A"/>
    <w:rsid w:val="00B755A7"/>
    <w:rsid w:val="00B758BA"/>
    <w:rsid w:val="00B77D18"/>
    <w:rsid w:val="00B8256A"/>
    <w:rsid w:val="00B8313A"/>
    <w:rsid w:val="00B834C2"/>
    <w:rsid w:val="00B91210"/>
    <w:rsid w:val="00B93503"/>
    <w:rsid w:val="00B97FE2"/>
    <w:rsid w:val="00BA174A"/>
    <w:rsid w:val="00BA1B71"/>
    <w:rsid w:val="00BA31E8"/>
    <w:rsid w:val="00BA55E0"/>
    <w:rsid w:val="00BA6328"/>
    <w:rsid w:val="00BA6BD4"/>
    <w:rsid w:val="00BA6C7A"/>
    <w:rsid w:val="00BA6D54"/>
    <w:rsid w:val="00BB17D1"/>
    <w:rsid w:val="00BB2A40"/>
    <w:rsid w:val="00BB3752"/>
    <w:rsid w:val="00BB6688"/>
    <w:rsid w:val="00BC0CF5"/>
    <w:rsid w:val="00BC0E1B"/>
    <w:rsid w:val="00BC26D4"/>
    <w:rsid w:val="00BC4AFD"/>
    <w:rsid w:val="00BC579A"/>
    <w:rsid w:val="00BC5D96"/>
    <w:rsid w:val="00BC7DEE"/>
    <w:rsid w:val="00BD4C32"/>
    <w:rsid w:val="00BE0BFF"/>
    <w:rsid w:val="00BE0C80"/>
    <w:rsid w:val="00BE381D"/>
    <w:rsid w:val="00BE53A1"/>
    <w:rsid w:val="00BF1732"/>
    <w:rsid w:val="00BF1DCE"/>
    <w:rsid w:val="00BF2A42"/>
    <w:rsid w:val="00BF4A8D"/>
    <w:rsid w:val="00C00BF8"/>
    <w:rsid w:val="00C0147E"/>
    <w:rsid w:val="00C03D8C"/>
    <w:rsid w:val="00C055EC"/>
    <w:rsid w:val="00C06759"/>
    <w:rsid w:val="00C067BB"/>
    <w:rsid w:val="00C10DC9"/>
    <w:rsid w:val="00C12741"/>
    <w:rsid w:val="00C12FB3"/>
    <w:rsid w:val="00C13C5A"/>
    <w:rsid w:val="00C15A64"/>
    <w:rsid w:val="00C17341"/>
    <w:rsid w:val="00C22500"/>
    <w:rsid w:val="00C24EEF"/>
    <w:rsid w:val="00C25CF6"/>
    <w:rsid w:val="00C26765"/>
    <w:rsid w:val="00C26C36"/>
    <w:rsid w:val="00C32768"/>
    <w:rsid w:val="00C35570"/>
    <w:rsid w:val="00C35AE1"/>
    <w:rsid w:val="00C431DF"/>
    <w:rsid w:val="00C44272"/>
    <w:rsid w:val="00C456BD"/>
    <w:rsid w:val="00C460B3"/>
    <w:rsid w:val="00C5016A"/>
    <w:rsid w:val="00C530DC"/>
    <w:rsid w:val="00C5350D"/>
    <w:rsid w:val="00C55A3A"/>
    <w:rsid w:val="00C562E2"/>
    <w:rsid w:val="00C57E11"/>
    <w:rsid w:val="00C6123C"/>
    <w:rsid w:val="00C6311A"/>
    <w:rsid w:val="00C63BCE"/>
    <w:rsid w:val="00C65078"/>
    <w:rsid w:val="00C664F2"/>
    <w:rsid w:val="00C67486"/>
    <w:rsid w:val="00C7084D"/>
    <w:rsid w:val="00C7315E"/>
    <w:rsid w:val="00C739E0"/>
    <w:rsid w:val="00C7515C"/>
    <w:rsid w:val="00C75895"/>
    <w:rsid w:val="00C764A6"/>
    <w:rsid w:val="00C80B6C"/>
    <w:rsid w:val="00C81580"/>
    <w:rsid w:val="00C82B8E"/>
    <w:rsid w:val="00C83293"/>
    <w:rsid w:val="00C83C9F"/>
    <w:rsid w:val="00C83F21"/>
    <w:rsid w:val="00C9119C"/>
    <w:rsid w:val="00C92C70"/>
    <w:rsid w:val="00C94044"/>
    <w:rsid w:val="00C94519"/>
    <w:rsid w:val="00C94840"/>
    <w:rsid w:val="00C9570C"/>
    <w:rsid w:val="00CA4EE3"/>
    <w:rsid w:val="00CA56BD"/>
    <w:rsid w:val="00CA6691"/>
    <w:rsid w:val="00CB027F"/>
    <w:rsid w:val="00CB05CE"/>
    <w:rsid w:val="00CB24B2"/>
    <w:rsid w:val="00CC0EBB"/>
    <w:rsid w:val="00CC32E3"/>
    <w:rsid w:val="00CC6297"/>
    <w:rsid w:val="00CC74D2"/>
    <w:rsid w:val="00CC7690"/>
    <w:rsid w:val="00CD1986"/>
    <w:rsid w:val="00CD25D6"/>
    <w:rsid w:val="00CD3012"/>
    <w:rsid w:val="00CD54BF"/>
    <w:rsid w:val="00CD582A"/>
    <w:rsid w:val="00CD5AF0"/>
    <w:rsid w:val="00CD72A4"/>
    <w:rsid w:val="00CE3EA3"/>
    <w:rsid w:val="00CE4D5C"/>
    <w:rsid w:val="00CF05DA"/>
    <w:rsid w:val="00CF3B36"/>
    <w:rsid w:val="00CF3E35"/>
    <w:rsid w:val="00CF58EB"/>
    <w:rsid w:val="00CF6E4D"/>
    <w:rsid w:val="00CF6FEC"/>
    <w:rsid w:val="00CF7C5F"/>
    <w:rsid w:val="00D00FC3"/>
    <w:rsid w:val="00D0106E"/>
    <w:rsid w:val="00D044C6"/>
    <w:rsid w:val="00D06383"/>
    <w:rsid w:val="00D117EC"/>
    <w:rsid w:val="00D16920"/>
    <w:rsid w:val="00D20E85"/>
    <w:rsid w:val="00D2175C"/>
    <w:rsid w:val="00D23347"/>
    <w:rsid w:val="00D24615"/>
    <w:rsid w:val="00D25353"/>
    <w:rsid w:val="00D30D84"/>
    <w:rsid w:val="00D351AB"/>
    <w:rsid w:val="00D36F4A"/>
    <w:rsid w:val="00D37842"/>
    <w:rsid w:val="00D4092C"/>
    <w:rsid w:val="00D415BC"/>
    <w:rsid w:val="00D42275"/>
    <w:rsid w:val="00D42DC2"/>
    <w:rsid w:val="00D4302B"/>
    <w:rsid w:val="00D43A81"/>
    <w:rsid w:val="00D44377"/>
    <w:rsid w:val="00D47501"/>
    <w:rsid w:val="00D51756"/>
    <w:rsid w:val="00D51B8A"/>
    <w:rsid w:val="00D537E1"/>
    <w:rsid w:val="00D55BB2"/>
    <w:rsid w:val="00D6091A"/>
    <w:rsid w:val="00D61CF7"/>
    <w:rsid w:val="00D63519"/>
    <w:rsid w:val="00D647F7"/>
    <w:rsid w:val="00D64C35"/>
    <w:rsid w:val="00D6605A"/>
    <w:rsid w:val="00D6695F"/>
    <w:rsid w:val="00D712CB"/>
    <w:rsid w:val="00D723D6"/>
    <w:rsid w:val="00D728C0"/>
    <w:rsid w:val="00D75644"/>
    <w:rsid w:val="00D81656"/>
    <w:rsid w:val="00D83D87"/>
    <w:rsid w:val="00D84A6D"/>
    <w:rsid w:val="00D86A30"/>
    <w:rsid w:val="00D8745D"/>
    <w:rsid w:val="00D8788A"/>
    <w:rsid w:val="00D97CB4"/>
    <w:rsid w:val="00D97DD4"/>
    <w:rsid w:val="00DA03FE"/>
    <w:rsid w:val="00DA0F64"/>
    <w:rsid w:val="00DA2324"/>
    <w:rsid w:val="00DA2A4A"/>
    <w:rsid w:val="00DA484E"/>
    <w:rsid w:val="00DA5A8A"/>
    <w:rsid w:val="00DB1170"/>
    <w:rsid w:val="00DB26CD"/>
    <w:rsid w:val="00DB2BC2"/>
    <w:rsid w:val="00DB4095"/>
    <w:rsid w:val="00DB441C"/>
    <w:rsid w:val="00DB44AF"/>
    <w:rsid w:val="00DB4D3A"/>
    <w:rsid w:val="00DB76B9"/>
    <w:rsid w:val="00DC0E67"/>
    <w:rsid w:val="00DC1F58"/>
    <w:rsid w:val="00DC339B"/>
    <w:rsid w:val="00DC5BD0"/>
    <w:rsid w:val="00DC5D40"/>
    <w:rsid w:val="00DC69A7"/>
    <w:rsid w:val="00DC7596"/>
    <w:rsid w:val="00DD0114"/>
    <w:rsid w:val="00DD05FC"/>
    <w:rsid w:val="00DD0CFB"/>
    <w:rsid w:val="00DD30E9"/>
    <w:rsid w:val="00DD499C"/>
    <w:rsid w:val="00DD4F47"/>
    <w:rsid w:val="00DD7FBB"/>
    <w:rsid w:val="00DE0B9F"/>
    <w:rsid w:val="00DE2A9E"/>
    <w:rsid w:val="00DE4238"/>
    <w:rsid w:val="00DE6414"/>
    <w:rsid w:val="00DE657F"/>
    <w:rsid w:val="00DF1218"/>
    <w:rsid w:val="00DF1BF4"/>
    <w:rsid w:val="00DF6462"/>
    <w:rsid w:val="00E00055"/>
    <w:rsid w:val="00E02300"/>
    <w:rsid w:val="00E02FA0"/>
    <w:rsid w:val="00E036DC"/>
    <w:rsid w:val="00E10454"/>
    <w:rsid w:val="00E112E5"/>
    <w:rsid w:val="00E122D8"/>
    <w:rsid w:val="00E12CC8"/>
    <w:rsid w:val="00E13FA1"/>
    <w:rsid w:val="00E1423E"/>
    <w:rsid w:val="00E14785"/>
    <w:rsid w:val="00E15352"/>
    <w:rsid w:val="00E163D8"/>
    <w:rsid w:val="00E2148C"/>
    <w:rsid w:val="00E21CC7"/>
    <w:rsid w:val="00E24D9E"/>
    <w:rsid w:val="00E25849"/>
    <w:rsid w:val="00E26862"/>
    <w:rsid w:val="00E3197E"/>
    <w:rsid w:val="00E33AAA"/>
    <w:rsid w:val="00E342F8"/>
    <w:rsid w:val="00E351ED"/>
    <w:rsid w:val="00E4137D"/>
    <w:rsid w:val="00E42B19"/>
    <w:rsid w:val="00E6034B"/>
    <w:rsid w:val="00E62231"/>
    <w:rsid w:val="00E6549E"/>
    <w:rsid w:val="00E65EDE"/>
    <w:rsid w:val="00E70F81"/>
    <w:rsid w:val="00E7245D"/>
    <w:rsid w:val="00E75795"/>
    <w:rsid w:val="00E76192"/>
    <w:rsid w:val="00E76457"/>
    <w:rsid w:val="00E7648C"/>
    <w:rsid w:val="00E77055"/>
    <w:rsid w:val="00E77460"/>
    <w:rsid w:val="00E8067A"/>
    <w:rsid w:val="00E83ABC"/>
    <w:rsid w:val="00E83B84"/>
    <w:rsid w:val="00E844F2"/>
    <w:rsid w:val="00E84D24"/>
    <w:rsid w:val="00E87F6E"/>
    <w:rsid w:val="00E90AD0"/>
    <w:rsid w:val="00E92FCB"/>
    <w:rsid w:val="00E93D75"/>
    <w:rsid w:val="00E963A5"/>
    <w:rsid w:val="00E96C56"/>
    <w:rsid w:val="00EA027B"/>
    <w:rsid w:val="00EA147F"/>
    <w:rsid w:val="00EA31A9"/>
    <w:rsid w:val="00EA4A27"/>
    <w:rsid w:val="00EA4FA6"/>
    <w:rsid w:val="00EB1A25"/>
    <w:rsid w:val="00EB2A11"/>
    <w:rsid w:val="00EB4BA9"/>
    <w:rsid w:val="00EC0433"/>
    <w:rsid w:val="00EC0DA9"/>
    <w:rsid w:val="00EC1E90"/>
    <w:rsid w:val="00EC406A"/>
    <w:rsid w:val="00EC7363"/>
    <w:rsid w:val="00ED03AB"/>
    <w:rsid w:val="00ED048D"/>
    <w:rsid w:val="00ED0AD8"/>
    <w:rsid w:val="00ED16FD"/>
    <w:rsid w:val="00ED1963"/>
    <w:rsid w:val="00ED1CD4"/>
    <w:rsid w:val="00ED1D2B"/>
    <w:rsid w:val="00ED318E"/>
    <w:rsid w:val="00ED426E"/>
    <w:rsid w:val="00ED5C41"/>
    <w:rsid w:val="00ED64B5"/>
    <w:rsid w:val="00EE04DA"/>
    <w:rsid w:val="00EE3A8A"/>
    <w:rsid w:val="00EE4C77"/>
    <w:rsid w:val="00EE7CCA"/>
    <w:rsid w:val="00EF1E90"/>
    <w:rsid w:val="00EF4A4C"/>
    <w:rsid w:val="00F044F8"/>
    <w:rsid w:val="00F06E53"/>
    <w:rsid w:val="00F0764F"/>
    <w:rsid w:val="00F10DB6"/>
    <w:rsid w:val="00F155A0"/>
    <w:rsid w:val="00F16A14"/>
    <w:rsid w:val="00F300C5"/>
    <w:rsid w:val="00F30190"/>
    <w:rsid w:val="00F3035D"/>
    <w:rsid w:val="00F35830"/>
    <w:rsid w:val="00F362D7"/>
    <w:rsid w:val="00F37D7B"/>
    <w:rsid w:val="00F40313"/>
    <w:rsid w:val="00F40B39"/>
    <w:rsid w:val="00F422B1"/>
    <w:rsid w:val="00F47DC3"/>
    <w:rsid w:val="00F51373"/>
    <w:rsid w:val="00F5314C"/>
    <w:rsid w:val="00F5688C"/>
    <w:rsid w:val="00F60048"/>
    <w:rsid w:val="00F60D88"/>
    <w:rsid w:val="00F635DD"/>
    <w:rsid w:val="00F6627B"/>
    <w:rsid w:val="00F6747E"/>
    <w:rsid w:val="00F72B9D"/>
    <w:rsid w:val="00F7336E"/>
    <w:rsid w:val="00F734F2"/>
    <w:rsid w:val="00F747B2"/>
    <w:rsid w:val="00F74F63"/>
    <w:rsid w:val="00F75052"/>
    <w:rsid w:val="00F80393"/>
    <w:rsid w:val="00F804D3"/>
    <w:rsid w:val="00F816CB"/>
    <w:rsid w:val="00F81CD2"/>
    <w:rsid w:val="00F82641"/>
    <w:rsid w:val="00F8269A"/>
    <w:rsid w:val="00F8639D"/>
    <w:rsid w:val="00F90249"/>
    <w:rsid w:val="00F90F18"/>
    <w:rsid w:val="00F937E4"/>
    <w:rsid w:val="00F9415C"/>
    <w:rsid w:val="00F94E4B"/>
    <w:rsid w:val="00F95EE7"/>
    <w:rsid w:val="00FA0D4B"/>
    <w:rsid w:val="00FA159E"/>
    <w:rsid w:val="00FA35F6"/>
    <w:rsid w:val="00FA39E6"/>
    <w:rsid w:val="00FA5FA4"/>
    <w:rsid w:val="00FA737E"/>
    <w:rsid w:val="00FA7BC9"/>
    <w:rsid w:val="00FB378E"/>
    <w:rsid w:val="00FB37F1"/>
    <w:rsid w:val="00FB47C0"/>
    <w:rsid w:val="00FB501B"/>
    <w:rsid w:val="00FB56E9"/>
    <w:rsid w:val="00FB719A"/>
    <w:rsid w:val="00FB7770"/>
    <w:rsid w:val="00FC3618"/>
    <w:rsid w:val="00FC633B"/>
    <w:rsid w:val="00FD3B91"/>
    <w:rsid w:val="00FD576B"/>
    <w:rsid w:val="00FD579E"/>
    <w:rsid w:val="00FD6845"/>
    <w:rsid w:val="00FD6909"/>
    <w:rsid w:val="00FE19F3"/>
    <w:rsid w:val="00FE39DB"/>
    <w:rsid w:val="00FE4516"/>
    <w:rsid w:val="00FE64C8"/>
    <w:rsid w:val="00FF2CBC"/>
    <w:rsid w:val="00FF4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一.,標題110/111 + 內文"/>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標題110/111 + 內文 字元"/>
    <w:basedOn w:val="a7"/>
    <w:link w:val="2"/>
    <w:rsid w:val="0031455E"/>
    <w:rPr>
      <w:rFonts w:ascii="標楷體" w:eastAsia="標楷體" w:hAnsi="Arial"/>
      <w:bCs/>
      <w:kern w:val="32"/>
      <w:sz w:val="32"/>
      <w:szCs w:val="48"/>
    </w:rPr>
  </w:style>
  <w:style w:type="paragraph" w:styleId="afc">
    <w:name w:val="Body Text"/>
    <w:basedOn w:val="a6"/>
    <w:link w:val="afd"/>
    <w:uiPriority w:val="99"/>
    <w:semiHidden/>
    <w:unhideWhenUsed/>
    <w:rsid w:val="00C739E0"/>
    <w:pPr>
      <w:spacing w:after="120"/>
    </w:pPr>
  </w:style>
  <w:style w:type="character" w:customStyle="1" w:styleId="afd">
    <w:name w:val="本文 字元"/>
    <w:basedOn w:val="a7"/>
    <w:link w:val="afc"/>
    <w:uiPriority w:val="99"/>
    <w:semiHidden/>
    <w:rsid w:val="00C739E0"/>
    <w:rPr>
      <w:rFonts w:ascii="標楷體" w:eastAsia="標楷體"/>
      <w:kern w:val="2"/>
      <w:sz w:val="32"/>
    </w:rPr>
  </w:style>
  <w:style w:type="character" w:customStyle="1" w:styleId="30">
    <w:name w:val="標題 3 字元"/>
    <w:aliases w:val="(一) 字元"/>
    <w:basedOn w:val="a7"/>
    <w:link w:val="3"/>
    <w:rsid w:val="001C64F7"/>
    <w:rPr>
      <w:rFonts w:ascii="標楷體" w:eastAsia="標楷體" w:hAnsi="Arial"/>
      <w:bCs/>
      <w:kern w:val="32"/>
      <w:sz w:val="32"/>
      <w:szCs w:val="36"/>
    </w:rPr>
  </w:style>
  <w:style w:type="paragraph" w:styleId="afe">
    <w:name w:val="footnote text"/>
    <w:basedOn w:val="a6"/>
    <w:link w:val="aff"/>
    <w:uiPriority w:val="99"/>
    <w:unhideWhenUsed/>
    <w:rsid w:val="00504CC7"/>
    <w:pPr>
      <w:snapToGrid w:val="0"/>
      <w:jc w:val="left"/>
    </w:pPr>
    <w:rPr>
      <w:sz w:val="20"/>
    </w:rPr>
  </w:style>
  <w:style w:type="character" w:customStyle="1" w:styleId="aff">
    <w:name w:val="註腳文字 字元"/>
    <w:basedOn w:val="a7"/>
    <w:link w:val="afe"/>
    <w:uiPriority w:val="99"/>
    <w:rsid w:val="00504CC7"/>
    <w:rPr>
      <w:rFonts w:ascii="標楷體" w:eastAsia="標楷體"/>
      <w:kern w:val="2"/>
    </w:rPr>
  </w:style>
  <w:style w:type="character" w:styleId="aff0">
    <w:name w:val="footnote reference"/>
    <w:basedOn w:val="a7"/>
    <w:uiPriority w:val="99"/>
    <w:semiHidden/>
    <w:unhideWhenUsed/>
    <w:rsid w:val="00504CC7"/>
    <w:rPr>
      <w:vertAlign w:val="superscript"/>
    </w:rPr>
  </w:style>
  <w:style w:type="paragraph" w:styleId="HTML">
    <w:name w:val="HTML Preformatted"/>
    <w:basedOn w:val="a6"/>
    <w:link w:val="HTML0"/>
    <w:uiPriority w:val="99"/>
    <w:unhideWhenUsed/>
    <w:rsid w:val="00AA3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A3FE8"/>
    <w:rPr>
      <w:rFonts w:ascii="細明體" w:eastAsia="細明體" w:hAnsi="細明體" w:cs="細明體"/>
      <w:sz w:val="24"/>
      <w:szCs w:val="24"/>
    </w:rPr>
  </w:style>
  <w:style w:type="character" w:styleId="aff1">
    <w:name w:val="Placeholder Text"/>
    <w:basedOn w:val="a7"/>
    <w:uiPriority w:val="99"/>
    <w:semiHidden/>
    <w:rsid w:val="000343C0"/>
    <w:rPr>
      <w:color w:val="808080"/>
    </w:rPr>
  </w:style>
  <w:style w:type="character" w:customStyle="1" w:styleId="lawmark">
    <w:name w:val="lawmark"/>
    <w:basedOn w:val="a7"/>
    <w:rsid w:val="00797977"/>
  </w:style>
  <w:style w:type="character" w:customStyle="1" w:styleId="40">
    <w:name w:val="標題 4 字元"/>
    <w:aliases w:val="表格 字元,一 字元,1. 字元"/>
    <w:basedOn w:val="a7"/>
    <w:link w:val="4"/>
    <w:rsid w:val="00933176"/>
    <w:rPr>
      <w:rFonts w:ascii="標楷體" w:eastAsia="標楷體" w:hAnsi="Arial"/>
      <w:kern w:val="32"/>
      <w:sz w:val="32"/>
      <w:szCs w:val="36"/>
    </w:rPr>
  </w:style>
  <w:style w:type="character" w:customStyle="1" w:styleId="50">
    <w:name w:val="標題 5 字元"/>
    <w:basedOn w:val="a7"/>
    <w:link w:val="5"/>
    <w:rsid w:val="0093317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535">
      <w:bodyDiv w:val="1"/>
      <w:marLeft w:val="0"/>
      <w:marRight w:val="0"/>
      <w:marTop w:val="0"/>
      <w:marBottom w:val="0"/>
      <w:divBdr>
        <w:top w:val="none" w:sz="0" w:space="0" w:color="auto"/>
        <w:left w:val="none" w:sz="0" w:space="0" w:color="auto"/>
        <w:bottom w:val="none" w:sz="0" w:space="0" w:color="auto"/>
        <w:right w:val="none" w:sz="0" w:space="0" w:color="auto"/>
      </w:divBdr>
    </w:div>
    <w:div w:id="395472688">
      <w:bodyDiv w:val="1"/>
      <w:marLeft w:val="0"/>
      <w:marRight w:val="0"/>
      <w:marTop w:val="0"/>
      <w:marBottom w:val="0"/>
      <w:divBdr>
        <w:top w:val="none" w:sz="0" w:space="0" w:color="auto"/>
        <w:left w:val="none" w:sz="0" w:space="0" w:color="auto"/>
        <w:bottom w:val="none" w:sz="0" w:space="0" w:color="auto"/>
        <w:right w:val="none" w:sz="0" w:space="0" w:color="auto"/>
      </w:divBdr>
    </w:div>
    <w:div w:id="410006848">
      <w:bodyDiv w:val="1"/>
      <w:marLeft w:val="0"/>
      <w:marRight w:val="0"/>
      <w:marTop w:val="0"/>
      <w:marBottom w:val="0"/>
      <w:divBdr>
        <w:top w:val="none" w:sz="0" w:space="0" w:color="auto"/>
        <w:left w:val="none" w:sz="0" w:space="0" w:color="auto"/>
        <w:bottom w:val="none" w:sz="0" w:space="0" w:color="auto"/>
        <w:right w:val="none" w:sz="0" w:space="0" w:color="auto"/>
      </w:divBdr>
    </w:div>
    <w:div w:id="606160817">
      <w:bodyDiv w:val="1"/>
      <w:marLeft w:val="0"/>
      <w:marRight w:val="0"/>
      <w:marTop w:val="0"/>
      <w:marBottom w:val="0"/>
      <w:divBdr>
        <w:top w:val="none" w:sz="0" w:space="0" w:color="auto"/>
        <w:left w:val="none" w:sz="0" w:space="0" w:color="auto"/>
        <w:bottom w:val="none" w:sz="0" w:space="0" w:color="auto"/>
        <w:right w:val="none" w:sz="0" w:space="0" w:color="auto"/>
      </w:divBdr>
    </w:div>
    <w:div w:id="606353342">
      <w:bodyDiv w:val="1"/>
      <w:marLeft w:val="0"/>
      <w:marRight w:val="0"/>
      <w:marTop w:val="0"/>
      <w:marBottom w:val="0"/>
      <w:divBdr>
        <w:top w:val="none" w:sz="0" w:space="0" w:color="auto"/>
        <w:left w:val="none" w:sz="0" w:space="0" w:color="auto"/>
        <w:bottom w:val="none" w:sz="0" w:space="0" w:color="auto"/>
        <w:right w:val="none" w:sz="0" w:space="0" w:color="auto"/>
      </w:divBdr>
      <w:divsChild>
        <w:div w:id="1850833218">
          <w:marLeft w:val="0"/>
          <w:marRight w:val="0"/>
          <w:marTop w:val="0"/>
          <w:marBottom w:val="0"/>
          <w:divBdr>
            <w:top w:val="none" w:sz="0" w:space="0" w:color="auto"/>
            <w:left w:val="none" w:sz="0" w:space="0" w:color="auto"/>
            <w:bottom w:val="none" w:sz="0" w:space="0" w:color="auto"/>
            <w:right w:val="none" w:sz="0" w:space="0" w:color="auto"/>
          </w:divBdr>
        </w:div>
        <w:div w:id="143082117">
          <w:marLeft w:val="480"/>
          <w:marRight w:val="0"/>
          <w:marTop w:val="0"/>
          <w:marBottom w:val="0"/>
          <w:divBdr>
            <w:top w:val="none" w:sz="0" w:space="0" w:color="auto"/>
            <w:left w:val="none" w:sz="0" w:space="0" w:color="auto"/>
            <w:bottom w:val="none" w:sz="0" w:space="0" w:color="auto"/>
            <w:right w:val="none" w:sz="0" w:space="0" w:color="auto"/>
          </w:divBdr>
        </w:div>
        <w:div w:id="1972633777">
          <w:marLeft w:val="480"/>
          <w:marRight w:val="0"/>
          <w:marTop w:val="0"/>
          <w:marBottom w:val="0"/>
          <w:divBdr>
            <w:top w:val="none" w:sz="0" w:space="0" w:color="auto"/>
            <w:left w:val="none" w:sz="0" w:space="0" w:color="auto"/>
            <w:bottom w:val="none" w:sz="0" w:space="0" w:color="auto"/>
            <w:right w:val="none" w:sz="0" w:space="0" w:color="auto"/>
          </w:divBdr>
        </w:div>
        <w:div w:id="97797863">
          <w:marLeft w:val="480"/>
          <w:marRight w:val="0"/>
          <w:marTop w:val="0"/>
          <w:marBottom w:val="0"/>
          <w:divBdr>
            <w:top w:val="none" w:sz="0" w:space="0" w:color="auto"/>
            <w:left w:val="none" w:sz="0" w:space="0" w:color="auto"/>
            <w:bottom w:val="none" w:sz="0" w:space="0" w:color="auto"/>
            <w:right w:val="none" w:sz="0" w:space="0" w:color="auto"/>
          </w:divBdr>
        </w:div>
        <w:div w:id="649558819">
          <w:marLeft w:val="480"/>
          <w:marRight w:val="0"/>
          <w:marTop w:val="0"/>
          <w:marBottom w:val="0"/>
          <w:divBdr>
            <w:top w:val="none" w:sz="0" w:space="0" w:color="auto"/>
            <w:left w:val="none" w:sz="0" w:space="0" w:color="auto"/>
            <w:bottom w:val="none" w:sz="0" w:space="0" w:color="auto"/>
            <w:right w:val="none" w:sz="0" w:space="0" w:color="auto"/>
          </w:divBdr>
        </w:div>
        <w:div w:id="142963942">
          <w:marLeft w:val="480"/>
          <w:marRight w:val="0"/>
          <w:marTop w:val="0"/>
          <w:marBottom w:val="0"/>
          <w:divBdr>
            <w:top w:val="none" w:sz="0" w:space="0" w:color="auto"/>
            <w:left w:val="none" w:sz="0" w:space="0" w:color="auto"/>
            <w:bottom w:val="none" w:sz="0" w:space="0" w:color="auto"/>
            <w:right w:val="none" w:sz="0" w:space="0" w:color="auto"/>
          </w:divBdr>
        </w:div>
        <w:div w:id="878780859">
          <w:marLeft w:val="480"/>
          <w:marRight w:val="0"/>
          <w:marTop w:val="0"/>
          <w:marBottom w:val="0"/>
          <w:divBdr>
            <w:top w:val="none" w:sz="0" w:space="0" w:color="auto"/>
            <w:left w:val="none" w:sz="0" w:space="0" w:color="auto"/>
            <w:bottom w:val="none" w:sz="0" w:space="0" w:color="auto"/>
            <w:right w:val="none" w:sz="0" w:space="0" w:color="auto"/>
          </w:divBdr>
        </w:div>
      </w:divsChild>
    </w:div>
    <w:div w:id="678509446">
      <w:bodyDiv w:val="1"/>
      <w:marLeft w:val="0"/>
      <w:marRight w:val="0"/>
      <w:marTop w:val="0"/>
      <w:marBottom w:val="0"/>
      <w:divBdr>
        <w:top w:val="none" w:sz="0" w:space="0" w:color="auto"/>
        <w:left w:val="none" w:sz="0" w:space="0" w:color="auto"/>
        <w:bottom w:val="none" w:sz="0" w:space="0" w:color="auto"/>
        <w:right w:val="none" w:sz="0" w:space="0" w:color="auto"/>
      </w:divBdr>
    </w:div>
    <w:div w:id="682824246">
      <w:bodyDiv w:val="1"/>
      <w:marLeft w:val="0"/>
      <w:marRight w:val="0"/>
      <w:marTop w:val="0"/>
      <w:marBottom w:val="0"/>
      <w:divBdr>
        <w:top w:val="none" w:sz="0" w:space="0" w:color="auto"/>
        <w:left w:val="none" w:sz="0" w:space="0" w:color="auto"/>
        <w:bottom w:val="none" w:sz="0" w:space="0" w:color="auto"/>
        <w:right w:val="none" w:sz="0" w:space="0" w:color="auto"/>
      </w:divBdr>
    </w:div>
    <w:div w:id="80277144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3034444">
      <w:bodyDiv w:val="1"/>
      <w:marLeft w:val="0"/>
      <w:marRight w:val="0"/>
      <w:marTop w:val="0"/>
      <w:marBottom w:val="0"/>
      <w:divBdr>
        <w:top w:val="none" w:sz="0" w:space="0" w:color="auto"/>
        <w:left w:val="none" w:sz="0" w:space="0" w:color="auto"/>
        <w:bottom w:val="none" w:sz="0" w:space="0" w:color="auto"/>
        <w:right w:val="none" w:sz="0" w:space="0" w:color="auto"/>
      </w:divBdr>
    </w:div>
    <w:div w:id="885484535">
      <w:bodyDiv w:val="1"/>
      <w:marLeft w:val="0"/>
      <w:marRight w:val="0"/>
      <w:marTop w:val="0"/>
      <w:marBottom w:val="0"/>
      <w:divBdr>
        <w:top w:val="none" w:sz="0" w:space="0" w:color="auto"/>
        <w:left w:val="none" w:sz="0" w:space="0" w:color="auto"/>
        <w:bottom w:val="none" w:sz="0" w:space="0" w:color="auto"/>
        <w:right w:val="none" w:sz="0" w:space="0" w:color="auto"/>
      </w:divBdr>
    </w:div>
    <w:div w:id="919682840">
      <w:bodyDiv w:val="1"/>
      <w:marLeft w:val="0"/>
      <w:marRight w:val="0"/>
      <w:marTop w:val="0"/>
      <w:marBottom w:val="0"/>
      <w:divBdr>
        <w:top w:val="none" w:sz="0" w:space="0" w:color="auto"/>
        <w:left w:val="none" w:sz="0" w:space="0" w:color="auto"/>
        <w:bottom w:val="none" w:sz="0" w:space="0" w:color="auto"/>
        <w:right w:val="none" w:sz="0" w:space="0" w:color="auto"/>
      </w:divBdr>
    </w:div>
    <w:div w:id="953515465">
      <w:bodyDiv w:val="1"/>
      <w:marLeft w:val="0"/>
      <w:marRight w:val="0"/>
      <w:marTop w:val="0"/>
      <w:marBottom w:val="0"/>
      <w:divBdr>
        <w:top w:val="none" w:sz="0" w:space="0" w:color="auto"/>
        <w:left w:val="none" w:sz="0" w:space="0" w:color="auto"/>
        <w:bottom w:val="none" w:sz="0" w:space="0" w:color="auto"/>
        <w:right w:val="none" w:sz="0" w:space="0" w:color="auto"/>
      </w:divBdr>
      <w:divsChild>
        <w:div w:id="784881942">
          <w:marLeft w:val="0"/>
          <w:marRight w:val="0"/>
          <w:marTop w:val="0"/>
          <w:marBottom w:val="48"/>
          <w:divBdr>
            <w:top w:val="none" w:sz="0" w:space="0" w:color="auto"/>
            <w:left w:val="none" w:sz="0" w:space="0" w:color="auto"/>
            <w:bottom w:val="none" w:sz="0" w:space="0" w:color="auto"/>
            <w:right w:val="none" w:sz="0" w:space="0" w:color="auto"/>
          </w:divBdr>
        </w:div>
        <w:div w:id="920453535">
          <w:marLeft w:val="0"/>
          <w:marRight w:val="0"/>
          <w:marTop w:val="0"/>
          <w:marBottom w:val="48"/>
          <w:divBdr>
            <w:top w:val="none" w:sz="0" w:space="0" w:color="auto"/>
            <w:left w:val="none" w:sz="0" w:space="0" w:color="auto"/>
            <w:bottom w:val="none" w:sz="0" w:space="0" w:color="auto"/>
            <w:right w:val="none" w:sz="0" w:space="0" w:color="auto"/>
          </w:divBdr>
        </w:div>
      </w:divsChild>
    </w:div>
    <w:div w:id="1220675175">
      <w:bodyDiv w:val="1"/>
      <w:marLeft w:val="0"/>
      <w:marRight w:val="0"/>
      <w:marTop w:val="0"/>
      <w:marBottom w:val="0"/>
      <w:divBdr>
        <w:top w:val="none" w:sz="0" w:space="0" w:color="auto"/>
        <w:left w:val="none" w:sz="0" w:space="0" w:color="auto"/>
        <w:bottom w:val="none" w:sz="0" w:space="0" w:color="auto"/>
        <w:right w:val="none" w:sz="0" w:space="0" w:color="auto"/>
      </w:divBdr>
    </w:div>
    <w:div w:id="1234969241">
      <w:bodyDiv w:val="1"/>
      <w:marLeft w:val="0"/>
      <w:marRight w:val="0"/>
      <w:marTop w:val="0"/>
      <w:marBottom w:val="0"/>
      <w:divBdr>
        <w:top w:val="none" w:sz="0" w:space="0" w:color="auto"/>
        <w:left w:val="none" w:sz="0" w:space="0" w:color="auto"/>
        <w:bottom w:val="none" w:sz="0" w:space="0" w:color="auto"/>
        <w:right w:val="none" w:sz="0" w:space="0" w:color="auto"/>
      </w:divBdr>
    </w:div>
    <w:div w:id="1262295088">
      <w:bodyDiv w:val="1"/>
      <w:marLeft w:val="0"/>
      <w:marRight w:val="0"/>
      <w:marTop w:val="0"/>
      <w:marBottom w:val="0"/>
      <w:divBdr>
        <w:top w:val="none" w:sz="0" w:space="0" w:color="auto"/>
        <w:left w:val="none" w:sz="0" w:space="0" w:color="auto"/>
        <w:bottom w:val="none" w:sz="0" w:space="0" w:color="auto"/>
        <w:right w:val="none" w:sz="0" w:space="0" w:color="auto"/>
      </w:divBdr>
    </w:div>
    <w:div w:id="1507943607">
      <w:bodyDiv w:val="1"/>
      <w:marLeft w:val="0"/>
      <w:marRight w:val="0"/>
      <w:marTop w:val="0"/>
      <w:marBottom w:val="0"/>
      <w:divBdr>
        <w:top w:val="none" w:sz="0" w:space="0" w:color="auto"/>
        <w:left w:val="none" w:sz="0" w:space="0" w:color="auto"/>
        <w:bottom w:val="none" w:sz="0" w:space="0" w:color="auto"/>
        <w:right w:val="none" w:sz="0" w:space="0" w:color="auto"/>
      </w:divBdr>
    </w:div>
    <w:div w:id="1509128574">
      <w:bodyDiv w:val="1"/>
      <w:marLeft w:val="0"/>
      <w:marRight w:val="0"/>
      <w:marTop w:val="0"/>
      <w:marBottom w:val="0"/>
      <w:divBdr>
        <w:top w:val="none" w:sz="0" w:space="0" w:color="auto"/>
        <w:left w:val="none" w:sz="0" w:space="0" w:color="auto"/>
        <w:bottom w:val="none" w:sz="0" w:space="0" w:color="auto"/>
        <w:right w:val="none" w:sz="0" w:space="0" w:color="auto"/>
      </w:divBdr>
    </w:div>
    <w:div w:id="1539584511">
      <w:bodyDiv w:val="1"/>
      <w:marLeft w:val="0"/>
      <w:marRight w:val="0"/>
      <w:marTop w:val="0"/>
      <w:marBottom w:val="0"/>
      <w:divBdr>
        <w:top w:val="none" w:sz="0" w:space="0" w:color="auto"/>
        <w:left w:val="none" w:sz="0" w:space="0" w:color="auto"/>
        <w:bottom w:val="none" w:sz="0" w:space="0" w:color="auto"/>
        <w:right w:val="none" w:sz="0" w:space="0" w:color="auto"/>
      </w:divBdr>
    </w:div>
    <w:div w:id="1594775723">
      <w:bodyDiv w:val="1"/>
      <w:marLeft w:val="0"/>
      <w:marRight w:val="0"/>
      <w:marTop w:val="0"/>
      <w:marBottom w:val="0"/>
      <w:divBdr>
        <w:top w:val="none" w:sz="0" w:space="0" w:color="auto"/>
        <w:left w:val="none" w:sz="0" w:space="0" w:color="auto"/>
        <w:bottom w:val="none" w:sz="0" w:space="0" w:color="auto"/>
        <w:right w:val="none" w:sz="0" w:space="0" w:color="auto"/>
      </w:divBdr>
      <w:divsChild>
        <w:div w:id="215312558">
          <w:marLeft w:val="0"/>
          <w:marRight w:val="0"/>
          <w:marTop w:val="0"/>
          <w:marBottom w:val="0"/>
          <w:divBdr>
            <w:top w:val="none" w:sz="0" w:space="0" w:color="auto"/>
            <w:left w:val="none" w:sz="0" w:space="0" w:color="auto"/>
            <w:bottom w:val="none" w:sz="0" w:space="0" w:color="auto"/>
            <w:right w:val="none" w:sz="0" w:space="0" w:color="auto"/>
          </w:divBdr>
          <w:divsChild>
            <w:div w:id="29032906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35673830">
      <w:bodyDiv w:val="1"/>
      <w:marLeft w:val="0"/>
      <w:marRight w:val="0"/>
      <w:marTop w:val="0"/>
      <w:marBottom w:val="0"/>
      <w:divBdr>
        <w:top w:val="none" w:sz="0" w:space="0" w:color="auto"/>
        <w:left w:val="none" w:sz="0" w:space="0" w:color="auto"/>
        <w:bottom w:val="none" w:sz="0" w:space="0" w:color="auto"/>
        <w:right w:val="none" w:sz="0" w:space="0" w:color="auto"/>
      </w:divBdr>
    </w:div>
    <w:div w:id="1690064649">
      <w:bodyDiv w:val="1"/>
      <w:marLeft w:val="0"/>
      <w:marRight w:val="0"/>
      <w:marTop w:val="0"/>
      <w:marBottom w:val="0"/>
      <w:divBdr>
        <w:top w:val="none" w:sz="0" w:space="0" w:color="auto"/>
        <w:left w:val="none" w:sz="0" w:space="0" w:color="auto"/>
        <w:bottom w:val="none" w:sz="0" w:space="0" w:color="auto"/>
        <w:right w:val="none" w:sz="0" w:space="0" w:color="auto"/>
      </w:divBdr>
    </w:div>
    <w:div w:id="1704017979">
      <w:bodyDiv w:val="1"/>
      <w:marLeft w:val="0"/>
      <w:marRight w:val="0"/>
      <w:marTop w:val="0"/>
      <w:marBottom w:val="0"/>
      <w:divBdr>
        <w:top w:val="none" w:sz="0" w:space="0" w:color="auto"/>
        <w:left w:val="none" w:sz="0" w:space="0" w:color="auto"/>
        <w:bottom w:val="none" w:sz="0" w:space="0" w:color="auto"/>
        <w:right w:val="none" w:sz="0" w:space="0" w:color="auto"/>
      </w:divBdr>
    </w:div>
    <w:div w:id="1746948145">
      <w:bodyDiv w:val="1"/>
      <w:marLeft w:val="0"/>
      <w:marRight w:val="0"/>
      <w:marTop w:val="0"/>
      <w:marBottom w:val="0"/>
      <w:divBdr>
        <w:top w:val="none" w:sz="0" w:space="0" w:color="auto"/>
        <w:left w:val="none" w:sz="0" w:space="0" w:color="auto"/>
        <w:bottom w:val="none" w:sz="0" w:space="0" w:color="auto"/>
        <w:right w:val="none" w:sz="0" w:space="0" w:color="auto"/>
      </w:divBdr>
    </w:div>
    <w:div w:id="1763212314">
      <w:bodyDiv w:val="1"/>
      <w:marLeft w:val="0"/>
      <w:marRight w:val="0"/>
      <w:marTop w:val="0"/>
      <w:marBottom w:val="0"/>
      <w:divBdr>
        <w:top w:val="none" w:sz="0" w:space="0" w:color="auto"/>
        <w:left w:val="none" w:sz="0" w:space="0" w:color="auto"/>
        <w:bottom w:val="none" w:sz="0" w:space="0" w:color="auto"/>
        <w:right w:val="none" w:sz="0" w:space="0" w:color="auto"/>
      </w:divBdr>
    </w:div>
    <w:div w:id="1826776373">
      <w:bodyDiv w:val="1"/>
      <w:marLeft w:val="0"/>
      <w:marRight w:val="0"/>
      <w:marTop w:val="0"/>
      <w:marBottom w:val="0"/>
      <w:divBdr>
        <w:top w:val="none" w:sz="0" w:space="0" w:color="auto"/>
        <w:left w:val="none" w:sz="0" w:space="0" w:color="auto"/>
        <w:bottom w:val="none" w:sz="0" w:space="0" w:color="auto"/>
        <w:right w:val="none" w:sz="0" w:space="0" w:color="auto"/>
      </w:divBdr>
    </w:div>
    <w:div w:id="1938055920">
      <w:bodyDiv w:val="1"/>
      <w:marLeft w:val="0"/>
      <w:marRight w:val="0"/>
      <w:marTop w:val="0"/>
      <w:marBottom w:val="0"/>
      <w:divBdr>
        <w:top w:val="none" w:sz="0" w:space="0" w:color="auto"/>
        <w:left w:val="none" w:sz="0" w:space="0" w:color="auto"/>
        <w:bottom w:val="none" w:sz="0" w:space="0" w:color="auto"/>
        <w:right w:val="none" w:sz="0" w:space="0" w:color="auto"/>
      </w:divBdr>
    </w:div>
    <w:div w:id="201838185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047E-34FA-4DD7-B875-833F38F6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2023-07-12T09:18:00Z</dcterms:created>
  <dcterms:modified xsi:type="dcterms:W3CDTF">2024-06-19T10:28:00Z</dcterms:modified>
  <cp:contentStatus/>
</cp:coreProperties>
</file>