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92B" w:rsidRPr="00D15543" w:rsidRDefault="0052592B" w:rsidP="0052592B">
      <w:pPr>
        <w:pStyle w:val="a7"/>
        <w:kinsoku w:val="0"/>
        <w:spacing w:before="0"/>
        <w:ind w:leftChars="48" w:left="1180" w:hangingChars="124" w:hanging="1017"/>
        <w:jc w:val="center"/>
        <w:rPr>
          <w:rFonts w:hAnsi="標楷體"/>
          <w:bCs/>
          <w:snapToGrid/>
          <w:spacing w:val="200"/>
          <w:sz w:val="40"/>
        </w:rPr>
      </w:pPr>
      <w:bookmarkStart w:id="0" w:name="_GoBack"/>
      <w:bookmarkEnd w:id="0"/>
      <w:r w:rsidRPr="00D15543">
        <w:rPr>
          <w:rFonts w:hAnsi="標楷體"/>
          <w:bCs/>
          <w:snapToGrid/>
          <w:spacing w:val="200"/>
          <w:sz w:val="40"/>
        </w:rPr>
        <w:t>調查報告</w:t>
      </w:r>
    </w:p>
    <w:p w:rsidR="0052592B" w:rsidRPr="00D15543" w:rsidRDefault="0052592B" w:rsidP="0052592B">
      <w:pPr>
        <w:pStyle w:val="1"/>
        <w:ind w:left="2410" w:hanging="2380"/>
        <w:rPr>
          <w:rFonts w:hAnsi="標楷體"/>
        </w:rPr>
      </w:pPr>
      <w:r w:rsidRPr="00D15543">
        <w:rPr>
          <w:rFonts w:hAnsi="標楷體"/>
        </w:rPr>
        <w:t>案　　由：</w:t>
      </w:r>
      <w:r w:rsidRPr="00D15543">
        <w:rPr>
          <w:rFonts w:hAnsi="標楷體"/>
          <w:szCs w:val="32"/>
        </w:rPr>
        <w:fldChar w:fldCharType="begin"/>
      </w:r>
      <w:r w:rsidRPr="00D15543">
        <w:rPr>
          <w:rFonts w:hAnsi="標楷體"/>
          <w:szCs w:val="32"/>
        </w:rPr>
        <w:instrText xml:space="preserve"> MERGEFIELD 案由 </w:instrText>
      </w:r>
      <w:r w:rsidRPr="00D15543">
        <w:rPr>
          <w:rFonts w:hAnsi="標楷體"/>
          <w:szCs w:val="32"/>
        </w:rPr>
        <w:fldChar w:fldCharType="separate"/>
      </w:r>
      <w:r w:rsidRPr="00D15543">
        <w:rPr>
          <w:rFonts w:hAnsi="標楷體"/>
          <w:noProof/>
          <w:szCs w:val="32"/>
        </w:rPr>
        <w:t>據審計部函報：稽察開發分基金</w:t>
      </w:r>
      <w:r w:rsidRPr="00D15543">
        <w:rPr>
          <w:rFonts w:hAnsi="標楷體"/>
        </w:rPr>
        <w:t>轉投資宏圖開發公司及會宇多媒體公司案，其投資評核及後續投資管理有欠嚴謹，未即時察知投資款項遭不當挪用，或已偏離原投資計畫目的，肇致鉅額投資損失，相關主管機關涉未善盡監督之責乙案。</w:t>
      </w:r>
      <w:r w:rsidRPr="00D15543">
        <w:rPr>
          <w:rFonts w:hAnsi="標楷體"/>
          <w:szCs w:val="32"/>
        </w:rPr>
        <w:fldChar w:fldCharType="end"/>
      </w:r>
    </w:p>
    <w:p w:rsidR="0052592B" w:rsidRPr="00D15543" w:rsidRDefault="0052592B" w:rsidP="0052592B">
      <w:pPr>
        <w:pStyle w:val="1"/>
        <w:rPr>
          <w:rFonts w:hAnsi="標楷體"/>
          <w:szCs w:val="32"/>
        </w:rPr>
      </w:pPr>
      <w:bookmarkStart w:id="1" w:name="_Toc529218261"/>
      <w:bookmarkStart w:id="2" w:name="_Toc529222684"/>
      <w:bookmarkStart w:id="3" w:name="_Toc529223106"/>
      <w:bookmarkStart w:id="4" w:name="_Toc529223857"/>
      <w:bookmarkStart w:id="5" w:name="_Toc529228253"/>
      <w:bookmarkStart w:id="6" w:name="_Toc2400390"/>
      <w:bookmarkStart w:id="7" w:name="_Toc4316184"/>
      <w:bookmarkStart w:id="8" w:name="_Toc4473325"/>
      <w:bookmarkStart w:id="9" w:name="_Toc69556892"/>
      <w:bookmarkStart w:id="10" w:name="_Toc69556941"/>
      <w:bookmarkStart w:id="11" w:name="_Toc69609815"/>
      <w:bookmarkStart w:id="12" w:name="_Toc70241811"/>
      <w:bookmarkStart w:id="13" w:name="_Toc70242200"/>
      <w:r w:rsidRPr="00D15543">
        <w:rPr>
          <w:rFonts w:hAnsi="標楷體"/>
          <w:szCs w:val="32"/>
        </w:rPr>
        <w:t>調查意見</w:t>
      </w:r>
    </w:p>
    <w:p w:rsidR="0052592B" w:rsidRPr="00D15543" w:rsidRDefault="0052592B" w:rsidP="0052592B">
      <w:pPr>
        <w:pStyle w:val="12"/>
        <w:ind w:left="680" w:firstLine="680"/>
        <w:rPr>
          <w:rFonts w:hAnsi="標楷體"/>
          <w:b/>
        </w:rPr>
      </w:pPr>
      <w:r w:rsidRPr="00D15543">
        <w:rPr>
          <w:rFonts w:hAnsi="標楷體"/>
          <w:bCs/>
        </w:rPr>
        <w:t>本案係審計部派員稽察</w:t>
      </w:r>
      <w:r w:rsidRPr="00D15543">
        <w:rPr>
          <w:rFonts w:hAnsi="標楷體"/>
        </w:rPr>
        <w:t>行政院國家發展基金開發分基金(行政院開發基金於民國95年10月1日與行政院中美經濟社會發展</w:t>
      </w:r>
      <w:r w:rsidRPr="00D15543">
        <w:rPr>
          <w:rFonts w:hAnsi="標楷體"/>
          <w:szCs w:val="32"/>
        </w:rPr>
        <w:t>基金</w:t>
      </w:r>
      <w:r w:rsidRPr="00D15543">
        <w:rPr>
          <w:rFonts w:hAnsi="標楷體"/>
        </w:rPr>
        <w:t>合併為行政院國家發展基金，成為該基金下之分基金，下稱國發基金)轉投資宏圖開發股份有限公司(下稱宏圖開發)及會宇多媒體股份有限公司(下稱會宇多媒體)案，其投資評核及後續投資管理有欠嚴謹，未即時察知投資款項遭不當挪用，或已偏離原投資計畫目的，肇致鉅額投資損失，相關</w:t>
      </w:r>
      <w:proofErr w:type="gramStart"/>
      <w:r w:rsidRPr="00D15543">
        <w:rPr>
          <w:rFonts w:hAnsi="標楷體"/>
        </w:rPr>
        <w:t>主管機關涉未善</w:t>
      </w:r>
      <w:proofErr w:type="gramEnd"/>
      <w:r w:rsidRPr="00D15543">
        <w:rPr>
          <w:rFonts w:hAnsi="標楷體"/>
        </w:rPr>
        <w:t>盡監督之責，案經本院調閱國發基金有關宏圖開發公司及會宇多媒體公司相關投資卷證資料，並於民國(下同)100年8月9日約</w:t>
      </w:r>
      <w:proofErr w:type="gramStart"/>
      <w:r w:rsidRPr="00D15543">
        <w:rPr>
          <w:rFonts w:hAnsi="標楷體"/>
        </w:rPr>
        <w:t>詢</w:t>
      </w:r>
      <w:proofErr w:type="gramEnd"/>
      <w:r w:rsidRPr="00D15543">
        <w:rPr>
          <w:rFonts w:hAnsi="標楷體"/>
        </w:rPr>
        <w:t>國發基金</w:t>
      </w:r>
      <w:r w:rsidR="00BC37C7">
        <w:rPr>
          <w:rFonts w:hAnsi="標楷體"/>
        </w:rPr>
        <w:t>林○</w:t>
      </w:r>
      <w:r w:rsidRPr="00D15543">
        <w:rPr>
          <w:rFonts w:hAnsi="標楷體"/>
        </w:rPr>
        <w:t>執行秘書等相關主管人員，復於同年月23日、同年9月6日、同年10月5日約</w:t>
      </w:r>
      <w:proofErr w:type="gramStart"/>
      <w:r w:rsidRPr="00D15543">
        <w:rPr>
          <w:rFonts w:hAnsi="標楷體"/>
        </w:rPr>
        <w:t>詢</w:t>
      </w:r>
      <w:proofErr w:type="gramEnd"/>
      <w:r w:rsidRPr="00D15543">
        <w:rPr>
          <w:rFonts w:hAnsi="標楷體"/>
        </w:rPr>
        <w:t>國發基金承辦本案相關人員，並參酌會後補送資料</w:t>
      </w:r>
      <w:r w:rsidRPr="00D15543">
        <w:rPr>
          <w:rFonts w:hAnsi="標楷體"/>
          <w:szCs w:val="32"/>
        </w:rPr>
        <w:t>，</w:t>
      </w:r>
      <w:r w:rsidRPr="00D15543">
        <w:rPr>
          <w:rFonts w:hAnsi="標楷體"/>
          <w:bCs/>
        </w:rPr>
        <w:t>本案</w:t>
      </w:r>
      <w:r w:rsidRPr="00D15543">
        <w:rPr>
          <w:rFonts w:hAnsi="標楷體"/>
          <w:szCs w:val="32"/>
        </w:rPr>
        <w:t>業已</w:t>
      </w:r>
      <w:proofErr w:type="gramStart"/>
      <w:r w:rsidRPr="00D15543">
        <w:rPr>
          <w:rFonts w:hAnsi="標楷體"/>
          <w:szCs w:val="32"/>
        </w:rPr>
        <w:t>調查竣事</w:t>
      </w:r>
      <w:proofErr w:type="gramEnd"/>
      <w:r w:rsidRPr="00D15543">
        <w:rPr>
          <w:rFonts w:hAnsi="標楷體"/>
          <w:szCs w:val="32"/>
        </w:rPr>
        <w:t>，茲</w:t>
      </w:r>
      <w:proofErr w:type="gramStart"/>
      <w:r w:rsidRPr="00D15543">
        <w:rPr>
          <w:rFonts w:hAnsi="標楷體"/>
          <w:szCs w:val="32"/>
        </w:rPr>
        <w:t>臚</w:t>
      </w:r>
      <w:proofErr w:type="gramEnd"/>
      <w:r w:rsidRPr="00D15543">
        <w:rPr>
          <w:rFonts w:hAnsi="標楷體"/>
          <w:szCs w:val="32"/>
        </w:rPr>
        <w:t>列調查意見如次：</w:t>
      </w:r>
    </w:p>
    <w:p w:rsidR="0052592B" w:rsidRPr="00D15543" w:rsidRDefault="0052592B" w:rsidP="0052592B">
      <w:pPr>
        <w:pStyle w:val="2"/>
        <w:rPr>
          <w:rFonts w:hAnsi="標楷體"/>
          <w:b/>
        </w:rPr>
      </w:pPr>
      <w:r w:rsidRPr="00D15543">
        <w:rPr>
          <w:rFonts w:hAnsi="標楷體"/>
          <w:b/>
        </w:rPr>
        <w:t>國發基金訂有申請該基金參與投資案件，經表決不同意者，得申請覆審，但以一次為限之規定，惟宏圖開發申請投資案，於第20次投資評估審議委員會審議不同意參與投資後，又經第22次委員會覆審再度拒絕投資在案，該基金卻再逕以新案方式受理申請，作業程序顯有不當，核有嚴重缺失。</w:t>
      </w:r>
    </w:p>
    <w:p w:rsidR="0052592B" w:rsidRPr="00D15543" w:rsidRDefault="0052592B" w:rsidP="0052592B">
      <w:pPr>
        <w:pStyle w:val="3"/>
        <w:ind w:left="1418" w:hanging="709"/>
        <w:rPr>
          <w:rFonts w:hAnsi="標楷體"/>
        </w:rPr>
      </w:pPr>
      <w:r w:rsidRPr="00D15543">
        <w:rPr>
          <w:rFonts w:hAnsi="標楷體"/>
          <w:szCs w:val="32"/>
        </w:rPr>
        <w:t>依據行政院國家發展基金收支保管及運用辦法規定，</w:t>
      </w:r>
      <w:r w:rsidRPr="00D15543">
        <w:rPr>
          <w:rFonts w:hAnsi="標楷體"/>
          <w:szCs w:val="32"/>
        </w:rPr>
        <w:lastRenderedPageBreak/>
        <w:t>該基金之主管機關為行政院，管理機關為</w:t>
      </w:r>
      <w:r w:rsidRPr="00D15543">
        <w:rPr>
          <w:rFonts w:hAnsi="標楷體"/>
          <w:bCs w:val="0"/>
        </w:rPr>
        <w:t>行政院經濟建設委員會(下稱經建會)，該基金應設管理會，負責該基金及下設各基金收支、保管及運用之審議及核轉、預決算審議、運用執行情形之考核、年度投資融資案件之核定或核轉……等任務，至該管理會之幕僚作業，由經建會指派人員擔任；爰</w:t>
      </w:r>
      <w:r w:rsidRPr="00D15543">
        <w:rPr>
          <w:rFonts w:hAnsi="標楷體"/>
        </w:rPr>
        <w:t>國發基金對於一般民間申請投資案件，應經該基金管理會承辦人員分析評估撰擬評估報告後，先提交投資評估審議委員會(下稱評審會)審查通過，再經管理會委員會議審核同意後方得參加投資，</w:t>
      </w:r>
      <w:r w:rsidRPr="00D15543">
        <w:rPr>
          <w:rFonts w:hAnsi="標楷體"/>
          <w:bCs w:val="0"/>
        </w:rPr>
        <w:t>合先敘明。</w:t>
      </w:r>
      <w:r w:rsidRPr="00D15543">
        <w:rPr>
          <w:rFonts w:hAnsi="標楷體"/>
        </w:rPr>
        <w:t>按「評審會之決議採記名表決方式進行，其表決結果採同意及不同意二種；申請本會參與投資之案件，經表決不同意者，申請者得申請覆審，但以一次為限」，「評審會之審議事項以出席委員過半數之同意行之。但有下列事項之一者，應經出席委員三分之二以上(含)之同意：(一)前點申請覆審之案件。(二)申請本會參與投資之金額超過新台幣十億元或該次募資金額百分之三十者。……」，及「本要點經報奉本會委員會議核定後施行，修正時亦同。」分於該基金管理委員會訂定之「行政院開發基金投資評估審議委員會設置作業要點」(下稱作業要點)第7、8及14點定有明文。基此，申請該基金參與投資之案件，經評審會表決不同意者，申請者得申請覆審，但以一次為限，倘案件性質及提送程序未明或存有爭議，應先經管理委員會審議釐清相關程序問題後，再進行實體審查，方符合先程序後實體、程序不符實體不究之原則。</w:t>
      </w:r>
    </w:p>
    <w:p w:rsidR="0052592B" w:rsidRPr="00D15543" w:rsidRDefault="0052592B" w:rsidP="0052592B">
      <w:pPr>
        <w:pStyle w:val="3"/>
        <w:ind w:left="1418" w:hanging="709"/>
        <w:rPr>
          <w:rFonts w:hAnsi="標楷體"/>
        </w:rPr>
      </w:pPr>
      <w:r w:rsidRPr="00D15543">
        <w:rPr>
          <w:rFonts w:hAnsi="標楷體"/>
        </w:rPr>
        <w:t>宏圖開發申請投資案受理及審議過程分述如下：</w:t>
      </w:r>
    </w:p>
    <w:p w:rsidR="0052592B" w:rsidRPr="00D15543" w:rsidRDefault="0052592B" w:rsidP="0052592B">
      <w:pPr>
        <w:pStyle w:val="4"/>
        <w:ind w:left="1843" w:hanging="709"/>
        <w:rPr>
          <w:rFonts w:hAnsi="標楷體"/>
        </w:rPr>
      </w:pPr>
      <w:r w:rsidRPr="00D15543">
        <w:rPr>
          <w:rFonts w:hAnsi="標楷體"/>
        </w:rPr>
        <w:t>宏圖開發為投資「興達港遊艇產業專區」(下稱興達港案)及「永安遊艇渡假島」(下稱</w:t>
      </w:r>
      <w:proofErr w:type="gramStart"/>
      <w:r w:rsidRPr="00D15543">
        <w:rPr>
          <w:rFonts w:hAnsi="標楷體"/>
        </w:rPr>
        <w:t>渡假島案</w:t>
      </w:r>
      <w:proofErr w:type="gramEnd"/>
      <w:r w:rsidRPr="00D15543">
        <w:rPr>
          <w:rFonts w:hAnsi="標楷體"/>
        </w:rPr>
        <w:t>)二計畫，於94年5月6日函請國發基金以每股新臺幣(下</w:t>
      </w:r>
      <w:r w:rsidRPr="00D15543">
        <w:rPr>
          <w:rFonts w:hAnsi="標楷體"/>
        </w:rPr>
        <w:lastRenderedPageBreak/>
        <w:t>同)15元參與該公司現金增資計畫，計畫預計募集3億元，由經營團隊出資9</w:t>
      </w:r>
      <w:proofErr w:type="gramStart"/>
      <w:r w:rsidRPr="00D15543">
        <w:rPr>
          <w:rFonts w:hAnsi="標楷體"/>
        </w:rPr>
        <w:t>千萬</w:t>
      </w:r>
      <w:proofErr w:type="gramEnd"/>
      <w:r w:rsidRPr="00D15543">
        <w:rPr>
          <w:rFonts w:hAnsi="標楷體"/>
        </w:rPr>
        <w:t>元、其他民股出資6</w:t>
      </w:r>
      <w:proofErr w:type="gramStart"/>
      <w:r w:rsidRPr="00D15543">
        <w:rPr>
          <w:rFonts w:hAnsi="標楷體"/>
        </w:rPr>
        <w:t>千萬</w:t>
      </w:r>
      <w:proofErr w:type="gramEnd"/>
      <w:r w:rsidRPr="00D15543">
        <w:rPr>
          <w:rFonts w:hAnsi="標楷體"/>
        </w:rPr>
        <w:t>元，該</w:t>
      </w:r>
      <w:r w:rsidRPr="00D15543">
        <w:rPr>
          <w:rFonts w:hAnsi="標楷體" w:hint="eastAsia"/>
        </w:rPr>
        <w:t>基金</w:t>
      </w:r>
      <w:r w:rsidRPr="00D15543">
        <w:rPr>
          <w:rFonts w:hAnsi="標楷體"/>
        </w:rPr>
        <w:t>出資1.5億元，該基金占總增資金額3億元之50%。</w:t>
      </w:r>
    </w:p>
    <w:p w:rsidR="0052592B" w:rsidRPr="00D15543" w:rsidRDefault="0052592B" w:rsidP="0052592B">
      <w:pPr>
        <w:pStyle w:val="4"/>
        <w:ind w:left="1843" w:hanging="709"/>
        <w:rPr>
          <w:rFonts w:hAnsi="標楷體"/>
        </w:rPr>
      </w:pPr>
      <w:r w:rsidRPr="00D15543">
        <w:rPr>
          <w:rFonts w:hAnsi="標楷體"/>
        </w:rPr>
        <w:t>宏圖開發考量該基金投資評估程序所需時間較長，且為充實該公司營運資金，於94年8月4日變更現金增資計畫，改採二次進行，第一次已於94年5月中完成，共募集2.1億元，除原有股東3位參與增資外，另新增新光鋼鐵公司及承玉投資公司等2新股東參與認股，資增後該公司實收資本為3.6億元，原增資金額由3億元增為3.6億元，該基金投資金額仍為1.5億元，投資占總額比率由50%調降為41.7%。</w:t>
      </w:r>
    </w:p>
    <w:p w:rsidR="0052592B" w:rsidRPr="00D15543" w:rsidRDefault="0052592B" w:rsidP="0052592B">
      <w:pPr>
        <w:pStyle w:val="4"/>
        <w:ind w:left="1843" w:hanging="709"/>
        <w:rPr>
          <w:rFonts w:hAnsi="標楷體"/>
        </w:rPr>
      </w:pPr>
      <w:r w:rsidRPr="00D15543">
        <w:rPr>
          <w:rFonts w:hAnsi="標楷體"/>
        </w:rPr>
        <w:t>於94年8月22日經第19次該基金評審會審查，審議委員以增資價格每股15元偏高、二項開發計畫同時進行似有不宜、渡假島案之營運預估偏於樂觀，應作調整、</w:t>
      </w:r>
      <w:r w:rsidRPr="00D15543">
        <w:rPr>
          <w:rFonts w:hAnsi="標楷體"/>
          <w:szCs w:val="32"/>
        </w:rPr>
        <w:t>國內尚未制訂「遊艇港法」，</w:t>
      </w:r>
      <w:r w:rsidRPr="00D15543">
        <w:rPr>
          <w:rFonts w:hAnsi="標楷體"/>
        </w:rPr>
        <w:t>未來渡假島案並無法提供遊艇擁有者應有之註冊合法性及停泊、進出港之方便性等原因決議緩議。</w:t>
      </w:r>
    </w:p>
    <w:p w:rsidR="0052592B" w:rsidRPr="00D15543" w:rsidRDefault="0052592B" w:rsidP="0052592B">
      <w:pPr>
        <w:pStyle w:val="4"/>
        <w:ind w:left="1843" w:hanging="709"/>
        <w:rPr>
          <w:rFonts w:hAnsi="標楷體"/>
        </w:rPr>
      </w:pPr>
      <w:r w:rsidRPr="00D15543">
        <w:rPr>
          <w:rFonts w:hAnsi="標楷體"/>
        </w:rPr>
        <w:t>宏圖開發就審議委員所提相關疑義提出說明，於94年10月12日由第20次評審會審查，該基金以每股15元，增資認股10,000千股，投資金額1.5億元，占該公司增資後資本額4.6億元之21.7%</w:t>
      </w:r>
      <w:r w:rsidRPr="00D15543">
        <w:rPr>
          <w:rStyle w:val="affc"/>
          <w:rFonts w:hAnsi="標楷體"/>
        </w:rPr>
        <w:footnoteReference w:id="1"/>
      </w:r>
      <w:r w:rsidRPr="00D15543">
        <w:rPr>
          <w:rFonts w:hAnsi="標楷體"/>
        </w:rPr>
        <w:t>，審議委員決議原則同以予以支持，惟應俟高雄縣政府應取得專業遊艇港開發許可，並應確定專業遊艇港管理機構之隸屬、組成及其作業管理規章符合相關法令規定、該公司應確保其營運計畫符合相關法令規定，並請專業機構出具書面意見書等條件符合後</w:t>
      </w:r>
      <w:r w:rsidRPr="00D15543">
        <w:rPr>
          <w:rFonts w:hAnsi="標楷體"/>
        </w:rPr>
        <w:lastRenderedPageBreak/>
        <w:t>再參與投資，並經 12位出席委員討論投票表決，計有6票贊成，6票反對，因本案申請投資1.5億元，占發行募集資金3.6億元之41.7%，未符作業要點第8條第2項應經出席委員三分之二以上之同意，決議不同意投資。</w:t>
      </w:r>
    </w:p>
    <w:p w:rsidR="0052592B" w:rsidRPr="00D15543" w:rsidRDefault="0052592B" w:rsidP="0052592B">
      <w:pPr>
        <w:pStyle w:val="4"/>
        <w:ind w:left="1843" w:hanging="709"/>
        <w:rPr>
          <w:rFonts w:hAnsi="標楷體"/>
        </w:rPr>
      </w:pPr>
      <w:r w:rsidRPr="00D15543">
        <w:rPr>
          <w:rFonts w:hAnsi="標楷體"/>
        </w:rPr>
        <w:t>宏圖開發再補充說明資料，並將增資價格由每股15元調降為每股13.5元參與該公司增資認股10,000千股，投資金額1.35億元，占該公司增資後資本額4.6億元之21.7%。依作業要點第7點之規定，請該基金進行覆審，復於94年12月12日由第22次評審會覆審，經13位出席審議委員投票，結果7票同意，6票不同意，未達出席委員三分之二以上之同意，本案未獲同意參與投資。</w:t>
      </w:r>
    </w:p>
    <w:p w:rsidR="0052592B" w:rsidRPr="00D15543" w:rsidRDefault="0052592B" w:rsidP="0052592B">
      <w:pPr>
        <w:pStyle w:val="4"/>
        <w:ind w:left="1843" w:hanging="709"/>
        <w:rPr>
          <w:rFonts w:hAnsi="標楷體"/>
        </w:rPr>
      </w:pPr>
      <w:r w:rsidRPr="00D15543">
        <w:rPr>
          <w:rFonts w:hAnsi="標楷體"/>
        </w:rPr>
        <w:t>於95年5月15日宏圖開發修改投資內容，限定資金用於開發時程較短之興達港案，再邀請國發基金以每股10元參與投資該公司發行之累積特別股15,000千股，年息4%，發行期間4年，到期時由該公司按實際原始發行價格，加計前年度未發放之特別股股息，以盈餘或發行新股所得之股款收回之，該基金總投資金額1.5億元，占該公司增資後資本額5.1億元之29.4%。</w:t>
      </w:r>
    </w:p>
    <w:p w:rsidR="0052592B" w:rsidRPr="00D15543" w:rsidRDefault="0052592B" w:rsidP="0052592B">
      <w:pPr>
        <w:pStyle w:val="4"/>
        <w:ind w:left="1843" w:hanging="709"/>
        <w:rPr>
          <w:rFonts w:hAnsi="標楷體"/>
        </w:rPr>
      </w:pPr>
      <w:r w:rsidRPr="00D15543">
        <w:rPr>
          <w:rFonts w:hAnsi="標楷體"/>
        </w:rPr>
        <w:t>於95年6月29日第26次評審會經14位出席審議委員投票表決，11位同意，2位反對，1位棄權，通過本案為新申請案、並以每股10元認購該公司特別股1,500萬股，金額1.5億元之投資條件。</w:t>
      </w:r>
    </w:p>
    <w:p w:rsidR="0052592B" w:rsidRPr="00D15543" w:rsidRDefault="0052592B" w:rsidP="0052592B">
      <w:pPr>
        <w:pStyle w:val="4"/>
        <w:ind w:left="1843" w:hanging="709"/>
        <w:rPr>
          <w:rFonts w:hAnsi="標楷體"/>
        </w:rPr>
      </w:pPr>
      <w:r w:rsidRPr="00D15543">
        <w:rPr>
          <w:rFonts w:hAnsi="標楷體"/>
        </w:rPr>
        <w:t>95年7月17日國發基金管理委員會會議決議，同意該基金第26次評審會之決議，另請增列本案需經行政院核定同意行興達港遊艇專區工11號及工12號碼頭下水設施建置案後，再配合撥交股款。</w:t>
      </w:r>
    </w:p>
    <w:p w:rsidR="0052592B" w:rsidRPr="00D15543" w:rsidRDefault="0052592B" w:rsidP="0052592B">
      <w:pPr>
        <w:pStyle w:val="3"/>
        <w:ind w:left="1418" w:hanging="709"/>
        <w:rPr>
          <w:rFonts w:hAnsi="標楷體"/>
          <w:szCs w:val="32"/>
        </w:rPr>
      </w:pPr>
      <w:r w:rsidRPr="00D15543">
        <w:rPr>
          <w:rFonts w:hAnsi="標楷體"/>
        </w:rPr>
        <w:t>查宏圖開發申請國發基金參與該公司增資案，經該基</w:t>
      </w:r>
      <w:r w:rsidRPr="00D15543">
        <w:rPr>
          <w:rFonts w:hAnsi="標楷體"/>
        </w:rPr>
        <w:lastRenderedPageBreak/>
        <w:t>金評審會表決未獲同意，復申請覆審，亦未獲同意，該公司復於95年5月15日修改投資內容限定資金用於開發時程較短之興達港案，再次申請該基金以每股10元投資該公司發行累積特別股15,000千股，然依上開作業要點第7點規定，該公司於覆審未經同意後，本投資案件即應停止，雖據該基金稱於送審過程，均併案提出請評審會及該基金管理委員會議審議是否為新案，惟依前開作業要點，該公司經該評審會覆審不同意投資後，即不能再申請投資，如欲變更投資內容再申請投資，理應先提由該管理委員會議審議確認與前經覆審否決之案件不同，始得以新案申請方式受理之，爰該基金既未事先獲得該管理委員會議之同意以新案受理，即無權認定本案為新案，詎先行接受該公司以新案申請，並</w:t>
      </w:r>
      <w:r w:rsidRPr="00D15543">
        <w:rPr>
          <w:rFonts w:hAnsi="標楷體"/>
          <w:szCs w:val="32"/>
        </w:rPr>
        <w:t>進行實質審查撰擬評估報告，顯然不符「程序不合，實體不究」之原則。</w:t>
      </w:r>
    </w:p>
    <w:p w:rsidR="0052592B" w:rsidRPr="00D15543" w:rsidRDefault="0052592B" w:rsidP="0052592B">
      <w:pPr>
        <w:pStyle w:val="3"/>
        <w:ind w:left="1418" w:hanging="709"/>
        <w:rPr>
          <w:rFonts w:hAnsi="標楷體"/>
          <w:b/>
        </w:rPr>
      </w:pPr>
      <w:r w:rsidRPr="00D15543">
        <w:rPr>
          <w:rFonts w:hAnsi="標楷體"/>
        </w:rPr>
        <w:t>綜上，國發基金對於宏圖開發再次申請投資案</w:t>
      </w:r>
      <w:r w:rsidRPr="00D15543">
        <w:rPr>
          <w:rStyle w:val="st1"/>
          <w:rFonts w:hAnsi="標楷體"/>
        </w:rPr>
        <w:t>，理應先就程序方面送交管理委員會</w:t>
      </w:r>
      <w:r w:rsidRPr="00D15543">
        <w:rPr>
          <w:rFonts w:hAnsi="標楷體"/>
        </w:rPr>
        <w:t>議</w:t>
      </w:r>
      <w:r w:rsidRPr="00D15543">
        <w:rPr>
          <w:rStyle w:val="st1"/>
          <w:rFonts w:hAnsi="標楷體"/>
        </w:rPr>
        <w:t>審查</w:t>
      </w:r>
      <w:r w:rsidRPr="00D15543">
        <w:rPr>
          <w:rFonts w:hAnsi="標楷體"/>
        </w:rPr>
        <w:t>確認其案件性質</w:t>
      </w:r>
      <w:r w:rsidRPr="00D15543">
        <w:rPr>
          <w:rStyle w:val="st1"/>
          <w:rFonts w:hAnsi="標楷體"/>
        </w:rPr>
        <w:t>，</w:t>
      </w:r>
      <w:r w:rsidRPr="00D15543">
        <w:rPr>
          <w:rStyle w:val="aff0"/>
          <w:rFonts w:hAnsi="標楷體"/>
          <w:color w:val="auto"/>
        </w:rPr>
        <w:t>惟該管理會</w:t>
      </w:r>
      <w:r w:rsidRPr="00D15543">
        <w:rPr>
          <w:rFonts w:hAnsi="標楷體"/>
        </w:rPr>
        <w:t>未依「</w:t>
      </w:r>
      <w:r w:rsidRPr="00D15543">
        <w:rPr>
          <w:rStyle w:val="aff0"/>
          <w:rFonts w:hAnsi="標楷體"/>
          <w:color w:val="auto"/>
        </w:rPr>
        <w:t>程序不合</w:t>
      </w:r>
      <w:r w:rsidRPr="00D15543">
        <w:rPr>
          <w:rStyle w:val="st1"/>
          <w:rFonts w:hAnsi="標楷體"/>
        </w:rPr>
        <w:t>，</w:t>
      </w:r>
      <w:r w:rsidRPr="00D15543">
        <w:rPr>
          <w:rStyle w:val="aff0"/>
          <w:rFonts w:hAnsi="標楷體"/>
          <w:color w:val="auto"/>
        </w:rPr>
        <w:t>實體不究</w:t>
      </w:r>
      <w:r w:rsidRPr="00D15543">
        <w:rPr>
          <w:rFonts w:hAnsi="標楷體"/>
        </w:rPr>
        <w:t>」之原則，曲予迴護率斷受理新案申請，逕行辦理實質審查，撰評估報告，送該基金評審會及管理委員會議審議，相關作業程序顯有未當，核有缺失。</w:t>
      </w:r>
    </w:p>
    <w:p w:rsidR="0052592B" w:rsidRPr="00D15543" w:rsidRDefault="0052592B" w:rsidP="0052592B">
      <w:pPr>
        <w:pStyle w:val="2"/>
        <w:rPr>
          <w:rFonts w:hAnsi="標楷體"/>
          <w:b/>
        </w:rPr>
      </w:pPr>
      <w:r w:rsidRPr="00D15543">
        <w:rPr>
          <w:rFonts w:hAnsi="標楷體"/>
          <w:b/>
        </w:rPr>
        <w:t>國發基金辦理投資業務，本應詳實掌握被投資者之財務及業務狀況</w:t>
      </w:r>
      <w:r w:rsidRPr="00D15543">
        <w:rPr>
          <w:rFonts w:hAnsi="標楷體"/>
          <w:b/>
          <w:szCs w:val="32"/>
        </w:rPr>
        <w:t>，</w:t>
      </w:r>
      <w:r w:rsidRPr="00D15543">
        <w:rPr>
          <w:rFonts w:hAnsi="標楷體"/>
          <w:b/>
        </w:rPr>
        <w:t>然該基金於95年僅投資宏圖開發及會宇多媒體二案，不但二案均遭重大虧損，且該基金投資前之評估均未切實，投資後又未能及時掌握被投資公司之實況，在宏圖開發不惜變動股價、股數與持股百分比，執意要求該基金投入之金額維持於一定水準後，仍未發現其蓄意詐騙，於資金投入當年(95年)即予挪用，還另作出特殊安排，並以假帳掩飾。該基金卻不知，</w:t>
      </w:r>
      <w:r w:rsidRPr="00D15543">
        <w:rPr>
          <w:rFonts w:hAnsi="標楷體"/>
          <w:b/>
          <w:szCs w:val="32"/>
        </w:rPr>
        <w:t>顯有疏失。</w:t>
      </w:r>
    </w:p>
    <w:p w:rsidR="0052592B" w:rsidRPr="00D15543" w:rsidRDefault="0052592B" w:rsidP="0052592B">
      <w:pPr>
        <w:pStyle w:val="3"/>
        <w:ind w:left="1418" w:hanging="709"/>
        <w:rPr>
          <w:rFonts w:hAnsi="標楷體"/>
        </w:rPr>
      </w:pPr>
      <w:r w:rsidRPr="00D15543">
        <w:rPr>
          <w:rFonts w:hAnsi="標楷體"/>
          <w:szCs w:val="32"/>
        </w:rPr>
        <w:t>按「行政院開發基金投資作業規範」規定：「伍、投資</w:t>
      </w:r>
      <w:r w:rsidRPr="00D15543">
        <w:rPr>
          <w:rFonts w:hAnsi="標楷體"/>
          <w:szCs w:val="32"/>
        </w:rPr>
        <w:lastRenderedPageBreak/>
        <w:t>計畫之審核：一、審核作業：……(二)審查階段：1.第一階段－初步接洽……2.第二階段－評估分析：(1)正式申請：申請人應提出投資申請函及投資計畫書，由本基金就計畫內容進行書面審查及實地訪查，必要時得委請相關領域學者專家提供專業意見。」，前開規範已述明該基金辦理投資審核之程序。</w:t>
      </w:r>
    </w:p>
    <w:p w:rsidR="0052592B" w:rsidRPr="00D15543" w:rsidRDefault="0052592B" w:rsidP="0052592B">
      <w:pPr>
        <w:pStyle w:val="3"/>
        <w:ind w:left="1418" w:hanging="709"/>
        <w:rPr>
          <w:rFonts w:hAnsi="標楷體"/>
        </w:rPr>
      </w:pPr>
      <w:r w:rsidRPr="00D15543">
        <w:rPr>
          <w:rFonts w:hAnsi="標楷體"/>
          <w:szCs w:val="32"/>
        </w:rPr>
        <w:t>揆以國發</w:t>
      </w:r>
      <w:r w:rsidRPr="00D15543">
        <w:rPr>
          <w:rFonts w:hAnsi="標楷體"/>
        </w:rPr>
        <w:t>基金之設立宗旨係</w:t>
      </w:r>
      <w:r w:rsidRPr="00D15543">
        <w:rPr>
          <w:rFonts w:hAnsi="標楷體"/>
          <w:bCs w:val="0"/>
          <w:snapToGrid w:val="0"/>
          <w:spacing w:val="20"/>
          <w:szCs w:val="32"/>
        </w:rPr>
        <w:t>經由投融資等方式，協助我國產業創新加值、研究發展及自創品牌，以促進經濟轉型及國家發展，其中</w:t>
      </w:r>
      <w:r w:rsidRPr="00D15543">
        <w:rPr>
          <w:rFonts w:hAnsi="標楷體"/>
          <w:szCs w:val="32"/>
        </w:rPr>
        <w:t>轉投資企業以協助其創新發展，乃該基金展現設立宗旨最直接、有效方式之一，查95年度該基金轉投資企業案件僅計2件，分別為宏圖開發及會宇多媒體，詎該2案於投資後均於短期間即遭重大虧損，雖投資本存有風險，然以該基金所肩負之任務而言，本</w:t>
      </w:r>
      <w:r w:rsidRPr="00D15543">
        <w:rPr>
          <w:rFonts w:hAnsi="標楷體"/>
        </w:rPr>
        <w:t>應積極承擔投資風險，</w:t>
      </w:r>
      <w:r w:rsidRPr="00D15543">
        <w:rPr>
          <w:rFonts w:hAnsi="標楷體"/>
          <w:szCs w:val="32"/>
        </w:rPr>
        <w:t>惟該</w:t>
      </w:r>
      <w:r w:rsidRPr="00D15543">
        <w:rPr>
          <w:rFonts w:hAnsi="標楷體"/>
        </w:rPr>
        <w:t>基金對前開2案投資前之評估均未盡切實，投資後又未能及時掌握被投資公司之實況，亦未發現宏圖開發蓄意詐騙，並以假帳掩飾，</w:t>
      </w:r>
      <w:r w:rsidRPr="00D15543">
        <w:rPr>
          <w:rFonts w:hAnsi="標楷體"/>
          <w:szCs w:val="32"/>
        </w:rPr>
        <w:t>顯有疏失。</w:t>
      </w:r>
    </w:p>
    <w:p w:rsidR="0052592B" w:rsidRPr="00D15543" w:rsidRDefault="0052592B" w:rsidP="0052592B">
      <w:pPr>
        <w:pStyle w:val="3"/>
        <w:ind w:left="1418" w:hanging="709"/>
        <w:rPr>
          <w:rFonts w:hAnsi="標楷體"/>
        </w:rPr>
      </w:pPr>
      <w:r w:rsidRPr="00D15543">
        <w:rPr>
          <w:rFonts w:hAnsi="標楷體"/>
          <w:szCs w:val="32"/>
        </w:rPr>
        <w:t>次查國發基金於100年6月2日函復本院稱，原承辦人表示宏圖開發95年5月15日再次申請該基金投資該公司，因當時該公司仍未向國有財產局繳納購買土地價金並取得土地所有權，高雄縣興達港遊艇產業專區投資計畫(下稱興達港案)之開發基地情形，似與94年6月21日訪查時相仿，無相關工程進度，故未進行實地訪查。然依上開投資作業規範，該基金應就宏圖開發所提計畫內容進行書面審查及實地訪查，原承辦人</w:t>
      </w:r>
      <w:r w:rsidR="00BC37C7">
        <w:rPr>
          <w:rFonts w:hAnsi="標楷體"/>
          <w:szCs w:val="32"/>
        </w:rPr>
        <w:t>黃○○</w:t>
      </w:r>
      <w:r w:rsidRPr="00D15543">
        <w:rPr>
          <w:rFonts w:hAnsi="標楷體"/>
          <w:szCs w:val="32"/>
        </w:rPr>
        <w:t>君於本院100年8月23日約</w:t>
      </w:r>
      <w:proofErr w:type="gramStart"/>
      <w:r w:rsidRPr="00D15543">
        <w:rPr>
          <w:rFonts w:hAnsi="標楷體"/>
          <w:szCs w:val="32"/>
        </w:rPr>
        <w:t>詢</w:t>
      </w:r>
      <w:proofErr w:type="gramEnd"/>
      <w:r w:rsidRPr="00D15543">
        <w:rPr>
          <w:rFonts w:hAnsi="標楷體"/>
          <w:szCs w:val="32"/>
        </w:rPr>
        <w:t>時，雖表示，</w:t>
      </w:r>
      <w:proofErr w:type="gramStart"/>
      <w:r w:rsidRPr="00D15543">
        <w:rPr>
          <w:rFonts w:hAnsi="標楷體"/>
          <w:szCs w:val="32"/>
        </w:rPr>
        <w:t>渠於辦理</w:t>
      </w:r>
      <w:proofErr w:type="gramEnd"/>
      <w:r w:rsidRPr="00D15543">
        <w:rPr>
          <w:rFonts w:hAnsi="標楷體"/>
          <w:szCs w:val="32"/>
        </w:rPr>
        <w:t>新案時有至高雄縣興達港開發基地辦理實地訪查，然經調閱該期間</w:t>
      </w:r>
      <w:r w:rsidR="00BC37C7">
        <w:rPr>
          <w:rFonts w:hAnsi="標楷體"/>
          <w:szCs w:val="32"/>
        </w:rPr>
        <w:t>黃○○</w:t>
      </w:r>
      <w:r w:rsidRPr="00D15543">
        <w:rPr>
          <w:rFonts w:hAnsi="標楷體"/>
          <w:szCs w:val="32"/>
        </w:rPr>
        <w:t>君之出勤資料，黃君係於95年10月13日撥款前曾至該開發基地實地訪查，非於評估分析階段決策作成之前，核與該基金應於評</w:t>
      </w:r>
      <w:r w:rsidRPr="00D15543">
        <w:rPr>
          <w:rFonts w:hAnsi="標楷體"/>
          <w:szCs w:val="32"/>
        </w:rPr>
        <w:lastRenderedPageBreak/>
        <w:t>估分析階段辦理實地訪查之規定不符。</w:t>
      </w:r>
    </w:p>
    <w:p w:rsidR="0052592B" w:rsidRPr="00D15543" w:rsidRDefault="0052592B" w:rsidP="0052592B">
      <w:pPr>
        <w:pStyle w:val="3"/>
        <w:ind w:left="1418" w:hanging="709"/>
        <w:rPr>
          <w:rFonts w:hAnsi="標楷體"/>
        </w:rPr>
      </w:pPr>
      <w:r w:rsidRPr="00D15543">
        <w:rPr>
          <w:rFonts w:hAnsi="標楷體"/>
          <w:szCs w:val="48"/>
        </w:rPr>
        <w:t>再查國發基金投資宏圖開發案</w:t>
      </w:r>
      <w:r w:rsidRPr="00D15543">
        <w:rPr>
          <w:rFonts w:hAnsi="標楷體"/>
          <w:szCs w:val="32"/>
        </w:rPr>
        <w:t>，</w:t>
      </w:r>
      <w:r w:rsidRPr="00D15543">
        <w:rPr>
          <w:rFonts w:hAnsi="標楷體"/>
        </w:rPr>
        <w:t>未能切實評估該公司相關財、業務情形</w:t>
      </w:r>
      <w:r w:rsidRPr="00D15543">
        <w:rPr>
          <w:rFonts w:hAnsi="標楷體"/>
          <w:szCs w:val="32"/>
        </w:rPr>
        <w:t>，核有未當，茲說明如下：</w:t>
      </w:r>
    </w:p>
    <w:p w:rsidR="0052592B" w:rsidRPr="00D15543" w:rsidRDefault="0052592B" w:rsidP="0052592B">
      <w:pPr>
        <w:pStyle w:val="4"/>
        <w:ind w:left="1843" w:hanging="709"/>
        <w:rPr>
          <w:rFonts w:hAnsi="標楷體"/>
        </w:rPr>
      </w:pPr>
      <w:r w:rsidRPr="00D15543">
        <w:rPr>
          <w:rFonts w:hAnsi="標楷體"/>
          <w:szCs w:val="32"/>
        </w:rPr>
        <w:t>高雄縣政府開發渡假島案及興達港案等二案，該府分別於86年7月15日及94年1月20日與宏圖開發簽訂前開二案開發契約，開發期程各為12.5年及6年，該公司預計分別投入32.37億元(渡假島案採南北兩區分期開發，此部分為南區預計開發投入資金)及19.62億元資金，至95年12月底該公司已投入1.96億元及0.26億元資金，然該公司申請該基金參與增資，限定該公司開發以興達港案為限，渡假島案暫停開發，惟渡假島案得否暫停開發，尚涉及該公司與高雄縣政府簽訂之契約，且該公司亦已投入近2億元資金，有資金積壓之成本，該基金雖稱尚無法確認該公司是否與高雄縣政府溝通渡假島案，惟該基金就暫停渡假島案之投資計畫，相關評估資料付之闕如，且依該府96年9月21日府建工字第0960222803號函亦說明「旨述資金(即國發基金投資款)，貴會(即國發基金)是否限定宏圖公司需用於高雄縣興達港遊艇產業專區申請編定、開發、租售及管理計畫案，亦請一併函告」，顯見高雄縣政府並未知悉該公司同意該基金暫停開發渡假島案，且該公司於暫停開發期間仍有投入渡假島案5百餘萬元(詳96年會計師查核報告附註)，該基金事前未詳實評估該公司所提計畫之可行性，評估顯未切實。</w:t>
      </w:r>
    </w:p>
    <w:p w:rsidR="0052592B" w:rsidRPr="00D15543" w:rsidRDefault="0052592B" w:rsidP="0052592B">
      <w:pPr>
        <w:pStyle w:val="4"/>
        <w:ind w:left="1843" w:hanging="709"/>
        <w:rPr>
          <w:rFonts w:hAnsi="標楷體"/>
        </w:rPr>
      </w:pPr>
      <w:r w:rsidRPr="00D15543">
        <w:rPr>
          <w:rFonts w:hAnsi="標楷體"/>
        </w:rPr>
        <w:t>宏圖開發於94年5月完成增資後，股本為3.6億元，股東9人，主要股東係大棟集團，持股達56.8%，其中大棟營造股份有限公司(下稱大棟營造)占26.9%、大棟投資股份有限公司(下稱大棟投資)占</w:t>
      </w:r>
      <w:r w:rsidRPr="00D15543">
        <w:rPr>
          <w:rFonts w:hAnsi="標楷體"/>
        </w:rPr>
        <w:lastRenderedPageBreak/>
        <w:t>12.5%、</w:t>
      </w:r>
      <w:r w:rsidR="00BC37C7">
        <w:rPr>
          <w:rFonts w:hAnsi="標楷體"/>
        </w:rPr>
        <w:t>陳○○</w:t>
      </w:r>
      <w:r w:rsidRPr="00D15543">
        <w:rPr>
          <w:rFonts w:hAnsi="標楷體"/>
        </w:rPr>
        <w:t>占10.3%、宏圖永安股份有限公司(下稱宏圖永安)占7.1%，且該公司董事長亦為大棟營造、宏圖永安、大棟投資之董事長，集團間公司亦有相互投資之情形，</w:t>
      </w:r>
      <w:proofErr w:type="gramStart"/>
      <w:r w:rsidRPr="00D15543">
        <w:rPr>
          <w:rFonts w:hAnsi="標楷體"/>
        </w:rPr>
        <w:t>此外，</w:t>
      </w:r>
      <w:proofErr w:type="gramEnd"/>
      <w:r w:rsidRPr="00D15543">
        <w:rPr>
          <w:rFonts w:hAnsi="標楷體"/>
        </w:rPr>
        <w:t>該公司尚與大棟營造共用電腦，大棟營造亦為該公司開發工程主要承攬廠商，集團間業務往來極為密切，因此該基金評估之範圍理應納入集團企業，況且該基金所委請之學者專家於評估分析時，亦指出承建該公司興建工程之廠商為最大股東(大棟營造)，此種相互高比例</w:t>
      </w:r>
      <w:r w:rsidRPr="00D15543">
        <w:rPr>
          <w:rFonts w:hAnsi="標楷體"/>
          <w:szCs w:val="32"/>
        </w:rPr>
        <w:t>持股之組織特性，在興建過程中可能面臨之問題，應加以澄清，惟該基金相關卷證</w:t>
      </w:r>
      <w:proofErr w:type="gramStart"/>
      <w:r w:rsidRPr="00D15543">
        <w:rPr>
          <w:rFonts w:hAnsi="標楷體"/>
          <w:szCs w:val="32"/>
        </w:rPr>
        <w:t>資料均未對</w:t>
      </w:r>
      <w:proofErr w:type="gramEnd"/>
      <w:r w:rsidRPr="00D15543">
        <w:rPr>
          <w:rFonts w:hAnsi="標楷體"/>
          <w:szCs w:val="32"/>
        </w:rPr>
        <w:t>該</w:t>
      </w:r>
      <w:proofErr w:type="gramStart"/>
      <w:r w:rsidRPr="00D15543">
        <w:rPr>
          <w:rFonts w:hAnsi="標楷體"/>
          <w:szCs w:val="32"/>
        </w:rPr>
        <w:t>集團間財</w:t>
      </w:r>
      <w:proofErr w:type="gramEnd"/>
      <w:r w:rsidRPr="00D15543">
        <w:rPr>
          <w:rFonts w:hAnsi="標楷體"/>
          <w:szCs w:val="32"/>
        </w:rPr>
        <w:t>、業務狀況及相互間之影響詳加評估，顯見該基金之評估未盡切實。</w:t>
      </w:r>
    </w:p>
    <w:p w:rsidR="0052592B" w:rsidRPr="00D15543" w:rsidRDefault="0052592B" w:rsidP="0052592B">
      <w:pPr>
        <w:pStyle w:val="4"/>
        <w:ind w:left="1843" w:hanging="709"/>
        <w:rPr>
          <w:rFonts w:hAnsi="標楷體"/>
          <w:szCs w:val="32"/>
        </w:rPr>
      </w:pPr>
      <w:r w:rsidRPr="00D15543">
        <w:rPr>
          <w:rFonts w:hAnsi="標楷體"/>
        </w:rPr>
        <w:t>該公司92、93及94年資產負債表顯示該公司流動資產分別為119.03百萬元、135.27百萬元、372.17百萬元，分別占總資產169.25百萬元、199.68百萬元、441.17百萬元之70.33%、67.74%、84.36%，且92年至94年流動比率分別為265.99%、161.71%、643.78%，負責比率則為26.44%、41.89%、13.10%，</w:t>
      </w:r>
      <w:r w:rsidRPr="00D15543">
        <w:rPr>
          <w:rFonts w:hAnsi="標楷體"/>
          <w:szCs w:val="32"/>
        </w:rPr>
        <w:t>該基金評估稱</w:t>
      </w:r>
      <w:r w:rsidRPr="00D15543">
        <w:rPr>
          <w:rFonts w:hAnsi="標楷體"/>
        </w:rPr>
        <w:t>該公司流動資產尚屬妥適、財務狀況尚稱健全，惟任何公司財務狀況是否妥適，主要係根植於流動資產之品質，</w:t>
      </w:r>
      <w:r w:rsidRPr="00D15543">
        <w:rPr>
          <w:rFonts w:hAnsi="標楷體"/>
          <w:szCs w:val="32"/>
        </w:rPr>
        <w:t>然該公司同期流動資產中，在建工程分別為112.28</w:t>
      </w:r>
      <w:r w:rsidRPr="00D15543">
        <w:rPr>
          <w:rFonts w:hAnsi="標楷體"/>
        </w:rPr>
        <w:t>百萬元</w:t>
      </w:r>
      <w:r w:rsidRPr="00D15543">
        <w:rPr>
          <w:rFonts w:hAnsi="標楷體"/>
          <w:szCs w:val="32"/>
        </w:rPr>
        <w:t>、117.96</w:t>
      </w:r>
      <w:r w:rsidRPr="00D15543">
        <w:rPr>
          <w:rFonts w:hAnsi="標楷體"/>
        </w:rPr>
        <w:t>百萬元</w:t>
      </w:r>
      <w:r w:rsidRPr="00D15543">
        <w:rPr>
          <w:rFonts w:hAnsi="標楷體"/>
          <w:szCs w:val="32"/>
        </w:rPr>
        <w:t>、240.17百萬元(即占流動資產94.33%、87.20%、64.53%)，惟該公司之嘉義布袋濱海工業區開發案(在建工程金額為23.11百萬元)，即與鳥類保護區相隔僅幾公里，發展受限，故計劃暫緩實施，待重新規劃替代方案；該公司之台南市城西里合作開發案(在建工程金額為13.33百萬元)，無法尋得非都市用地，無法繼續執行，該計畫亦暫緩(詳93年財</w:t>
      </w:r>
      <w:r w:rsidRPr="00D15543">
        <w:rPr>
          <w:rFonts w:hAnsi="標楷體"/>
          <w:szCs w:val="32"/>
        </w:rPr>
        <w:lastRenderedPageBreak/>
        <w:t>務報表附註)，均顯示該公司在建工程存有相當之風險，資產之品質欠佳，故該在建工程於96年列為呆帳。該基金對前開計畫後續發展及對建全財務影響之評估顯未切實。</w:t>
      </w:r>
    </w:p>
    <w:p w:rsidR="0052592B" w:rsidRPr="00D15543" w:rsidRDefault="0052592B" w:rsidP="0052592B">
      <w:pPr>
        <w:pStyle w:val="4"/>
        <w:ind w:left="1843" w:hanging="709"/>
        <w:rPr>
          <w:rFonts w:hAnsi="標楷體"/>
        </w:rPr>
      </w:pPr>
      <w:r w:rsidRPr="00D15543">
        <w:rPr>
          <w:rFonts w:hAnsi="標楷體"/>
        </w:rPr>
        <w:t>該基金投資宏圖開發案，於95年6月12日撥款後，該公司董事長未經董事會決議即挪用該投資款項，貸予關係企業大棟營造，且經會計師查核，該公司涉有作假帳之情形，該基金未能切實管理公司經營情形，</w:t>
      </w:r>
      <w:r w:rsidRPr="00D15543">
        <w:rPr>
          <w:rFonts w:hAnsi="標楷體"/>
          <w:szCs w:val="32"/>
        </w:rPr>
        <w:t>核有未當，茲說明如下：</w:t>
      </w:r>
    </w:p>
    <w:p w:rsidR="0052592B" w:rsidRPr="00D15543" w:rsidRDefault="0052592B" w:rsidP="0052592B">
      <w:pPr>
        <w:pStyle w:val="5"/>
        <w:rPr>
          <w:rFonts w:hAnsi="標楷體"/>
        </w:rPr>
      </w:pPr>
      <w:r w:rsidRPr="00D15543">
        <w:rPr>
          <w:rFonts w:hAnsi="標楷體"/>
        </w:rPr>
        <w:t>涉嫌作假帳部分：</w:t>
      </w:r>
    </w:p>
    <w:p w:rsidR="0052592B" w:rsidRPr="00D15543" w:rsidRDefault="0052592B" w:rsidP="0052592B">
      <w:pPr>
        <w:pStyle w:val="6"/>
        <w:rPr>
          <w:rFonts w:hAnsi="標楷體"/>
        </w:rPr>
      </w:pPr>
      <w:r w:rsidRPr="00D15543">
        <w:rPr>
          <w:rFonts w:hAnsi="標楷體"/>
        </w:rPr>
        <w:t>宏圖開發於95年12月15日動用國發基金投資款項，宣稱用以預付興達港案簽約工程款44,302,180元，惟該筆「預付工程款」之傳票遭修改，與分類帳之紀錄不合。傳票原記載支出之總金額雖為44,302,180元，但其分項內容為支付大棟營造工程款36,347,330元，而非44,302,180元，其差額7,954,850元分為二部分，其中6,680,000元為償還大棟營造借款，餘1,274,850元為支付大棟營造租金，且上開預付工程款實際上待96年11月12方取得大棟營造所開立之統一發票47,840,000 元(95年度44,302,180元及96年度</w:t>
      </w:r>
      <w:r w:rsidRPr="00D15543">
        <w:rPr>
          <w:rFonts w:hAnsi="標楷體"/>
          <w:szCs w:val="32"/>
        </w:rPr>
        <w:t>3,537,820元</w:t>
      </w:r>
      <w:r w:rsidRPr="00D15543">
        <w:rPr>
          <w:rFonts w:hAnsi="標楷體"/>
        </w:rPr>
        <w:t>)。</w:t>
      </w:r>
    </w:p>
    <w:p w:rsidR="0052592B" w:rsidRPr="00D15543" w:rsidRDefault="0052592B" w:rsidP="0052592B">
      <w:pPr>
        <w:pStyle w:val="6"/>
        <w:rPr>
          <w:rFonts w:hAnsi="標楷體"/>
        </w:rPr>
      </w:pPr>
      <w:r w:rsidRPr="00D15543">
        <w:rPr>
          <w:rFonts w:hAnsi="標楷體"/>
          <w:szCs w:val="32"/>
        </w:rPr>
        <w:t>宏圖開發傳票記載其於</w:t>
      </w:r>
      <w:r w:rsidRPr="00D15543">
        <w:rPr>
          <w:rFonts w:hAnsi="標楷體"/>
        </w:rPr>
        <w:t>96年1月2</w:t>
      </w:r>
      <w:r w:rsidRPr="00D15543">
        <w:rPr>
          <w:rFonts w:hAnsi="標楷體"/>
          <w:szCs w:val="32"/>
        </w:rPr>
        <w:t>日預付簽約工程款-遊艇專區(3,537,820元)、償還大棟營造融資(6,680,000元)、支付大棟營造租金(1,274,850元)、支付永安南填圍堤造地款(18,507,330元)，合計</w:t>
      </w:r>
      <w:r w:rsidRPr="00D15543">
        <w:rPr>
          <w:rFonts w:hAnsi="標楷體"/>
        </w:rPr>
        <w:t>3,000萬元，惟該交易內部請款/支出證明則記載係暫借大棟營造，與傳票所載之交易不符，且上開預付工程款實際上待96年11月12方取得大棟營造所開立之</w:t>
      </w:r>
      <w:r w:rsidRPr="00D15543">
        <w:rPr>
          <w:rFonts w:hAnsi="標楷體"/>
        </w:rPr>
        <w:lastRenderedPageBreak/>
        <w:t>統一發票47,840,000元(95年度44,302,180元及96年度</w:t>
      </w:r>
      <w:r w:rsidRPr="00D15543">
        <w:rPr>
          <w:rFonts w:hAnsi="標楷體"/>
          <w:szCs w:val="32"/>
        </w:rPr>
        <w:t>3,537,820元</w:t>
      </w:r>
      <w:r w:rsidRPr="00D15543">
        <w:rPr>
          <w:rFonts w:hAnsi="標楷體"/>
        </w:rPr>
        <w:t>)。</w:t>
      </w:r>
    </w:p>
    <w:p w:rsidR="0052592B" w:rsidRPr="00D15543" w:rsidRDefault="0052592B" w:rsidP="0052592B">
      <w:pPr>
        <w:pStyle w:val="5"/>
        <w:rPr>
          <w:rFonts w:hAnsi="標楷體"/>
        </w:rPr>
      </w:pPr>
      <w:r w:rsidRPr="00D15543">
        <w:rPr>
          <w:rFonts w:hAnsi="標楷體"/>
        </w:rPr>
        <w:t>挪用款項部分：</w:t>
      </w:r>
    </w:p>
    <w:p w:rsidR="0052592B" w:rsidRPr="00D15543" w:rsidRDefault="0052592B" w:rsidP="0052592B">
      <w:pPr>
        <w:pStyle w:val="6"/>
        <w:rPr>
          <w:rFonts w:hAnsi="標楷體"/>
        </w:rPr>
      </w:pPr>
      <w:r w:rsidRPr="00D15543">
        <w:rPr>
          <w:rFonts w:hAnsi="標楷體"/>
        </w:rPr>
        <w:t>95年12月11日國發基金撥付投資股款，同月20日宏圖開發董事長</w:t>
      </w:r>
      <w:r w:rsidR="00BC37C7">
        <w:rPr>
          <w:rFonts w:hAnsi="標楷體"/>
        </w:rPr>
        <w:t>陳○○</w:t>
      </w:r>
      <w:r w:rsidRPr="00D15543">
        <w:rPr>
          <w:rFonts w:hAnsi="標楷體"/>
        </w:rPr>
        <w:t>未經董事會決議，將其中6,000萬元貸予關係企業大棟營造(負責人亦為</w:t>
      </w:r>
      <w:r w:rsidR="00BC37C7">
        <w:rPr>
          <w:rFonts w:hAnsi="標楷體"/>
        </w:rPr>
        <w:t>陳○○</w:t>
      </w:r>
      <w:r w:rsidRPr="00D15543">
        <w:rPr>
          <w:rFonts w:hAnsi="標楷體"/>
        </w:rPr>
        <w:t>)，大棟營造並開立11天後到期之還款支票(到期日95年12月31日)予宏圖開發，然該公司並未將該還款支票存入銀行兌現，但帳列銀行存款卻不實增加，且不實沖銷帳載之「其他應收款-關係人」，而前開還款票據，宏圖開發待96年5月29日方提示，提示後，又於次日借款5,700萬元予大棟營造。另本項借貸未簽訂相關契約，陳君待96年1月2日在未經董事會決議之情況下，與大棟營造簽訂借貸合約，金額6,000萬元，期限1年，利率6.26%。</w:t>
      </w:r>
    </w:p>
    <w:p w:rsidR="0052592B" w:rsidRPr="00D15543" w:rsidRDefault="0052592B" w:rsidP="0052592B">
      <w:pPr>
        <w:pStyle w:val="6"/>
        <w:rPr>
          <w:rFonts w:hAnsi="標楷體"/>
          <w:szCs w:val="32"/>
        </w:rPr>
      </w:pPr>
      <w:r w:rsidRPr="00D15543">
        <w:rPr>
          <w:rFonts w:hAnsi="標楷體"/>
        </w:rPr>
        <w:t>宏圖開發復於96年1月8日貸予大棟營造500萬元，雖大棟營造於96年1月10至4月30日間陸續償還宏圖開發290萬元，惟同年5月2日、7日分別再貸予大棟營造60萬元、20萬元，上開借款均未訂定借貸合約。</w:t>
      </w:r>
    </w:p>
    <w:p w:rsidR="0052592B" w:rsidRPr="00D15543" w:rsidRDefault="0052592B" w:rsidP="0052592B">
      <w:pPr>
        <w:pStyle w:val="3"/>
        <w:ind w:left="1418" w:hanging="709"/>
        <w:rPr>
          <w:rFonts w:hAnsi="標楷體"/>
          <w:szCs w:val="32"/>
        </w:rPr>
      </w:pPr>
      <w:r w:rsidRPr="00D15543">
        <w:rPr>
          <w:rFonts w:hAnsi="標楷體"/>
          <w:szCs w:val="32"/>
        </w:rPr>
        <w:t>末查</w:t>
      </w:r>
      <w:r w:rsidRPr="00D15543">
        <w:rPr>
          <w:rFonts w:hAnsi="標楷體"/>
          <w:szCs w:val="48"/>
        </w:rPr>
        <w:t>國發基金投資會宇多媒體案</w:t>
      </w:r>
      <w:r w:rsidRPr="00D15543">
        <w:rPr>
          <w:rFonts w:hAnsi="標楷體"/>
          <w:szCs w:val="32"/>
        </w:rPr>
        <w:t>，該基金於所委請之外部學者專家未能提供書面審查意見時，未尋求補救措施，且評估該公司</w:t>
      </w:r>
      <w:r w:rsidRPr="00D15543">
        <w:rPr>
          <w:rFonts w:hAnsi="標楷體"/>
        </w:rPr>
        <w:t>之財務狀況</w:t>
      </w:r>
      <w:r w:rsidRPr="00D15543">
        <w:rPr>
          <w:rFonts w:hAnsi="標楷體"/>
          <w:szCs w:val="32"/>
        </w:rPr>
        <w:t>亦未詳實</w:t>
      </w:r>
      <w:r w:rsidRPr="00D15543">
        <w:rPr>
          <w:rFonts w:hAnsi="標楷體"/>
        </w:rPr>
        <w:t>，</w:t>
      </w:r>
      <w:r w:rsidRPr="00D15543">
        <w:rPr>
          <w:rFonts w:hAnsi="標楷體"/>
          <w:szCs w:val="32"/>
        </w:rPr>
        <w:t>核有未妥，茲說明如下：</w:t>
      </w:r>
    </w:p>
    <w:p w:rsidR="0052592B" w:rsidRPr="00D15543" w:rsidRDefault="0052592B" w:rsidP="0052592B">
      <w:pPr>
        <w:pStyle w:val="4"/>
        <w:ind w:left="1843" w:hanging="709"/>
        <w:rPr>
          <w:rFonts w:hAnsi="標楷體"/>
          <w:szCs w:val="32"/>
        </w:rPr>
      </w:pPr>
      <w:r w:rsidRPr="00D15543">
        <w:rPr>
          <w:rFonts w:hAnsi="標楷體"/>
          <w:szCs w:val="32"/>
        </w:rPr>
        <w:t>國發基金審查投資計畫，必要時，得委請相關領域學者專家提供專業意見。該基金於審查會宇多媒體投資案時，</w:t>
      </w:r>
      <w:r w:rsidRPr="00D15543">
        <w:rPr>
          <w:rFonts w:hAnsi="標楷體"/>
          <w:bCs/>
          <w:szCs w:val="32"/>
        </w:rPr>
        <w:t>就產業及產品、製作與技術、價格與成本分析及市場與行銷、競爭力分析、財務及風險分</w:t>
      </w:r>
      <w:r w:rsidRPr="00D15543">
        <w:rPr>
          <w:rFonts w:hAnsi="標楷體"/>
          <w:bCs/>
          <w:szCs w:val="32"/>
        </w:rPr>
        <w:lastRenderedPageBreak/>
        <w:t>析、經濟效益等專業部份，認有委請學者專家之必要，乃</w:t>
      </w:r>
      <w:r w:rsidRPr="00D15543">
        <w:rPr>
          <w:rFonts w:hAnsi="標楷體"/>
          <w:szCs w:val="32"/>
        </w:rPr>
        <w:t>於95年1月6日委請產業技術專家(</w:t>
      </w:r>
      <w:r w:rsidRPr="00D15543">
        <w:rPr>
          <w:rFonts w:hAnsi="標楷體"/>
          <w:bCs/>
          <w:szCs w:val="32"/>
        </w:rPr>
        <w:t>台灣大學電機工程學系教授</w:t>
      </w:r>
      <w:r w:rsidR="00543EFF">
        <w:rPr>
          <w:rFonts w:hAnsi="標楷體"/>
          <w:bCs/>
          <w:szCs w:val="32"/>
        </w:rPr>
        <w:t>賴○○</w:t>
      </w:r>
      <w:r w:rsidRPr="00D15543">
        <w:rPr>
          <w:rFonts w:hAnsi="標楷體"/>
          <w:bCs/>
          <w:szCs w:val="32"/>
        </w:rPr>
        <w:t>、臺灣藝術大學多媒體動畫藝術研究所</w:t>
      </w:r>
      <w:r w:rsidR="00543EFF">
        <w:rPr>
          <w:rFonts w:hAnsi="標楷體"/>
          <w:bCs/>
          <w:szCs w:val="32"/>
        </w:rPr>
        <w:t>鐘○○</w:t>
      </w:r>
      <w:r w:rsidRPr="00D15543">
        <w:rPr>
          <w:rFonts w:hAnsi="標楷體"/>
          <w:bCs/>
          <w:szCs w:val="32"/>
        </w:rPr>
        <w:t>博士)及產業財務專家(台灣大學管理學院院長</w:t>
      </w:r>
      <w:r w:rsidR="00543EFF">
        <w:rPr>
          <w:rFonts w:hAnsi="標楷體"/>
          <w:bCs/>
          <w:szCs w:val="32"/>
        </w:rPr>
        <w:t>洪○○</w:t>
      </w:r>
      <w:r w:rsidRPr="00D15543">
        <w:rPr>
          <w:rFonts w:hAnsi="標楷體"/>
          <w:bCs/>
          <w:szCs w:val="32"/>
        </w:rPr>
        <w:t>)提供書面審核意見，</w:t>
      </w:r>
      <w:r w:rsidR="00543EFF">
        <w:rPr>
          <w:rFonts w:hAnsi="標楷體"/>
          <w:bCs/>
          <w:szCs w:val="32"/>
        </w:rPr>
        <w:t>鐘○○</w:t>
      </w:r>
      <w:r w:rsidRPr="00D15543">
        <w:rPr>
          <w:rFonts w:hAnsi="標楷體"/>
          <w:bCs/>
          <w:szCs w:val="32"/>
        </w:rPr>
        <w:t>博士及</w:t>
      </w:r>
      <w:r w:rsidR="00543EFF">
        <w:rPr>
          <w:rFonts w:hAnsi="標楷體"/>
          <w:bCs/>
          <w:szCs w:val="32"/>
        </w:rPr>
        <w:t>賴○○</w:t>
      </w:r>
      <w:r w:rsidRPr="00D15543">
        <w:rPr>
          <w:rFonts w:hAnsi="標楷體"/>
          <w:szCs w:val="32"/>
        </w:rPr>
        <w:t>教授分別於95年1月16日及26日提供其意見，然產業財務專家未提供，該</w:t>
      </w:r>
      <w:proofErr w:type="gramStart"/>
      <w:r w:rsidRPr="00D15543">
        <w:rPr>
          <w:rFonts w:hAnsi="標楷體"/>
          <w:szCs w:val="32"/>
        </w:rPr>
        <w:t>基金以渠</w:t>
      </w:r>
      <w:r w:rsidRPr="00D15543">
        <w:rPr>
          <w:rFonts w:hAnsi="標楷體"/>
          <w:bCs/>
          <w:szCs w:val="32"/>
        </w:rPr>
        <w:t>公務</w:t>
      </w:r>
      <w:proofErr w:type="gramEnd"/>
      <w:r w:rsidRPr="00D15543">
        <w:rPr>
          <w:rFonts w:hAnsi="標楷體"/>
          <w:bCs/>
          <w:szCs w:val="32"/>
        </w:rPr>
        <w:t>繁忙無法提供該基金書面審查意見，即以前開二位產業技術專家之意見列入評估報告。該基金審查本案時，係認為有委請外部學者專家提供財務及風險、競爭力等產業財務意見之必要，惟於</w:t>
      </w:r>
      <w:r w:rsidRPr="00D15543">
        <w:rPr>
          <w:rFonts w:hAnsi="標楷體"/>
          <w:szCs w:val="32"/>
        </w:rPr>
        <w:t>產業財務專家</w:t>
      </w:r>
      <w:r w:rsidRPr="00D15543">
        <w:rPr>
          <w:rFonts w:hAnsi="標楷體"/>
          <w:bCs/>
          <w:szCs w:val="32"/>
        </w:rPr>
        <w:t>未能提供審查意見時，該基金竟未採取補救措施，致該基金委請外部學者專家之設計功能疏漏。</w:t>
      </w:r>
    </w:p>
    <w:p w:rsidR="0052592B" w:rsidRPr="00D15543" w:rsidRDefault="0052592B" w:rsidP="0052592B">
      <w:pPr>
        <w:pStyle w:val="4"/>
        <w:ind w:left="1843" w:hanging="709"/>
        <w:rPr>
          <w:rFonts w:hAnsi="標楷體"/>
        </w:rPr>
      </w:pPr>
      <w:r w:rsidRPr="00D15543">
        <w:rPr>
          <w:rFonts w:hAnsi="標楷體"/>
        </w:rPr>
        <w:t>「會宇多媒體股份有限公司投資協議書」(下稱投資協議書)第2.4條規定：「投資目的……蝕憶巨獸電視動畫影集投資……以及相關必要設備採購與營運週轉」，國發基金於95年7月19日撥入投資款項5,000萬元至會宇多媒體增資款專戶，該公司於95年8月3日始召開股東會、董事會，並改選董、監事後，於95年8月4日後增資款專戶款項始陸續轉至合作金庫等該公司所開設之銀行帳戶、投資基金及定存。然依95年度會宇多媒體財務報表顯示，該公司於92年間向其董事長</w:t>
      </w:r>
      <w:r w:rsidR="00543EFF">
        <w:rPr>
          <w:rFonts w:hAnsi="標楷體"/>
        </w:rPr>
        <w:t>戴○○</w:t>
      </w:r>
      <w:r w:rsidRPr="00D15543">
        <w:rPr>
          <w:rFonts w:hAnsi="標楷體"/>
        </w:rPr>
        <w:t>等人融通資金25,000千元，至94年底</w:t>
      </w:r>
      <w:proofErr w:type="gramStart"/>
      <w:r w:rsidRPr="00D15543">
        <w:rPr>
          <w:rFonts w:hAnsi="標楷體"/>
        </w:rPr>
        <w:t>未償</w:t>
      </w:r>
      <w:proofErr w:type="gramEnd"/>
      <w:r w:rsidRPr="00D15543">
        <w:rPr>
          <w:rFonts w:hAnsi="標楷體"/>
        </w:rPr>
        <w:t>還之本息尚有13,156千元(帳列股東往來)，顯見該公司資金尚有不足，需以股東借款支應公司之營運，依該基金於100年6月2日</w:t>
      </w:r>
      <w:proofErr w:type="gramStart"/>
      <w:r w:rsidRPr="00D15543">
        <w:rPr>
          <w:rFonts w:hAnsi="標楷體"/>
        </w:rPr>
        <w:t>函復本院</w:t>
      </w:r>
      <w:proofErr w:type="gramEnd"/>
      <w:r w:rsidRPr="00D15543">
        <w:rPr>
          <w:rFonts w:hAnsi="標楷體"/>
        </w:rPr>
        <w:t>說明增資款項之運用時表示：「…</w:t>
      </w:r>
      <w:proofErr w:type="gramStart"/>
      <w:r w:rsidRPr="00D15543">
        <w:rPr>
          <w:rFonts w:hAnsi="標楷體"/>
        </w:rPr>
        <w:t>…</w:t>
      </w:r>
      <w:proofErr w:type="gramEnd"/>
      <w:r w:rsidRPr="00D15543">
        <w:rPr>
          <w:rFonts w:hAnsi="標楷體"/>
        </w:rPr>
        <w:t>部分資金亦使用於償還銀行借款本金、利息及股東往來」，且該筆股東往來係於增資</w:t>
      </w:r>
      <w:proofErr w:type="gramStart"/>
      <w:r w:rsidRPr="00D15543">
        <w:rPr>
          <w:rFonts w:hAnsi="標楷體"/>
        </w:rPr>
        <w:lastRenderedPageBreak/>
        <w:t>款項動撥後</w:t>
      </w:r>
      <w:proofErr w:type="gramEnd"/>
      <w:r w:rsidRPr="00D15543">
        <w:rPr>
          <w:rFonts w:hAnsi="標楷體"/>
        </w:rPr>
        <w:t>於95年8月間全部清償完畢，是以該公司係以增資款項之部分償還股東往來，該基金管理會未能確實評估該公司之財務狀況，致有投資資金用以償還股東往來，致與投資目的似有不符。</w:t>
      </w:r>
    </w:p>
    <w:p w:rsidR="0052592B" w:rsidRPr="00D15543" w:rsidRDefault="0052592B" w:rsidP="0052592B">
      <w:pPr>
        <w:pStyle w:val="3"/>
        <w:ind w:left="1418" w:hanging="709"/>
        <w:rPr>
          <w:rFonts w:hAnsi="標楷體"/>
          <w:szCs w:val="32"/>
        </w:rPr>
      </w:pPr>
      <w:r w:rsidRPr="00D15543">
        <w:rPr>
          <w:rFonts w:hAnsi="標楷體"/>
          <w:szCs w:val="32"/>
        </w:rPr>
        <w:t>綜上，</w:t>
      </w:r>
      <w:r w:rsidRPr="00D15543">
        <w:rPr>
          <w:rFonts w:hAnsi="標楷體"/>
        </w:rPr>
        <w:t>國發基金用以投資之資金均來自納稅義務人，且該基金之投資非僅限於資金，亦涉及該基金公信力之投入，辦理投資業務，本應詳實掌握被投資者之財務及業務狀況</w:t>
      </w:r>
      <w:r w:rsidRPr="00D15543">
        <w:rPr>
          <w:rFonts w:hAnsi="標楷體"/>
          <w:szCs w:val="32"/>
        </w:rPr>
        <w:t>，</w:t>
      </w:r>
      <w:r w:rsidRPr="00D15543">
        <w:rPr>
          <w:rFonts w:hAnsi="標楷體"/>
        </w:rPr>
        <w:t>然該基金於95年僅投資宏圖開發及會宇多媒體二案，均遭重大虧損，該基金均未能切實評估、掌握實況，尤以宏圖開發蓄意詐騙，不但作出特殊安排，還以假帳掩飾，惟該基金都不自知，未能及時加強管控，</w:t>
      </w:r>
      <w:r w:rsidRPr="00D15543">
        <w:rPr>
          <w:rFonts w:hAnsi="標楷體"/>
          <w:szCs w:val="32"/>
        </w:rPr>
        <w:t>顯有疏失。</w:t>
      </w:r>
    </w:p>
    <w:p w:rsidR="0052592B" w:rsidRPr="00D15543" w:rsidRDefault="0052592B" w:rsidP="0052592B">
      <w:pPr>
        <w:pStyle w:val="2"/>
        <w:rPr>
          <w:rFonts w:hAnsi="標楷體"/>
          <w:b/>
        </w:rPr>
      </w:pPr>
      <w:r w:rsidRPr="00D15543">
        <w:rPr>
          <w:rFonts w:hAnsi="標楷體"/>
          <w:b/>
          <w:szCs w:val="32"/>
        </w:rPr>
        <w:t>國發基金明知金融機構之融資與否為宏圖開發投資案成敗之重要關鍵，專戶管理</w:t>
      </w:r>
      <w:r w:rsidRPr="00D15543">
        <w:rPr>
          <w:rFonts w:hAnsi="標楷體"/>
          <w:b/>
        </w:rPr>
        <w:t>、專款專用之</w:t>
      </w:r>
      <w:r w:rsidRPr="00D15543">
        <w:rPr>
          <w:rFonts w:hAnsi="標楷體"/>
          <w:b/>
          <w:szCs w:val="32"/>
        </w:rPr>
        <w:t>機制亦至為重要，然該基金卻未能將之列入是否投資之條件；竟容許其徵提之擔保品為被投資公司</w:t>
      </w:r>
      <w:r w:rsidRPr="00D15543">
        <w:rPr>
          <w:rFonts w:hAnsi="標楷體"/>
          <w:b/>
        </w:rPr>
        <w:t>關係企業之未上市股票</w:t>
      </w:r>
      <w:r w:rsidRPr="00D15543">
        <w:rPr>
          <w:rFonts w:hAnsi="標楷體"/>
          <w:b/>
          <w:szCs w:val="32"/>
        </w:rPr>
        <w:t>，亦未</w:t>
      </w:r>
      <w:r w:rsidRPr="00D15543">
        <w:rPr>
          <w:rFonts w:hAnsi="標楷體"/>
          <w:b/>
        </w:rPr>
        <w:t>詳實評估該擔保品之品質，且投資後無法即時進入董事會進行投資後管理；另有契約未依其委員會決議簽訂之情事，</w:t>
      </w:r>
      <w:r w:rsidRPr="00D15543">
        <w:rPr>
          <w:rFonts w:hAnsi="標楷體"/>
          <w:b/>
          <w:szCs w:val="32"/>
        </w:rPr>
        <w:t>自難辭其咎。</w:t>
      </w:r>
    </w:p>
    <w:p w:rsidR="0052592B" w:rsidRPr="00D15543" w:rsidRDefault="0052592B" w:rsidP="0052592B">
      <w:pPr>
        <w:pStyle w:val="3"/>
        <w:ind w:left="1418" w:hanging="709"/>
        <w:rPr>
          <w:rFonts w:hAnsi="標楷體"/>
        </w:rPr>
      </w:pPr>
      <w:r w:rsidRPr="00D15543">
        <w:rPr>
          <w:rFonts w:hAnsi="標楷體"/>
          <w:szCs w:val="32"/>
        </w:rPr>
        <w:t>按「行政院開發基金管理委員會組織規程」第7條規定：「本會設業務組，辦理左列事項：…</w:t>
      </w:r>
      <w:proofErr w:type="gramStart"/>
      <w:r w:rsidRPr="00D15543">
        <w:rPr>
          <w:rFonts w:hAnsi="標楷體"/>
          <w:szCs w:val="32"/>
        </w:rPr>
        <w:t>…</w:t>
      </w:r>
      <w:proofErr w:type="gramEnd"/>
      <w:r w:rsidRPr="00D15543">
        <w:rPr>
          <w:rFonts w:hAnsi="標楷體"/>
          <w:szCs w:val="32"/>
        </w:rPr>
        <w:t>八、委員會決議事項之執行」，次按公司法</w:t>
      </w:r>
      <w:r w:rsidRPr="00D15543">
        <w:rPr>
          <w:rFonts w:hAnsi="標楷體"/>
        </w:rPr>
        <w:t>第16條規定，公司除依其他法律或公司之章程規定得為保證者外，不得為任何保證人，</w:t>
      </w:r>
      <w:proofErr w:type="gramStart"/>
      <w:r w:rsidRPr="00D15543">
        <w:rPr>
          <w:rFonts w:hAnsi="標楷體"/>
        </w:rPr>
        <w:t>復按</w:t>
      </w:r>
      <w:proofErr w:type="gramEnd"/>
      <w:r w:rsidRPr="00D15543">
        <w:rPr>
          <w:rFonts w:hAnsi="標楷體"/>
        </w:rPr>
        <w:t>「宏圖開發股份有限公司甲種</w:t>
      </w:r>
      <w:proofErr w:type="gramStart"/>
      <w:r w:rsidRPr="00D15543">
        <w:rPr>
          <w:rFonts w:hAnsi="標楷體"/>
        </w:rPr>
        <w:t>特</w:t>
      </w:r>
      <w:proofErr w:type="gramEnd"/>
      <w:r w:rsidRPr="00D15543">
        <w:rPr>
          <w:rFonts w:hAnsi="標楷體"/>
        </w:rPr>
        <w:t>股認購協議書」第3.1條規定：「甲方(即宏圖開發)同意責成甲方之主要股東(即</w:t>
      </w:r>
      <w:r w:rsidR="00BC37C7">
        <w:rPr>
          <w:rFonts w:hAnsi="標楷體"/>
        </w:rPr>
        <w:t>陳○○</w:t>
      </w:r>
      <w:r w:rsidRPr="00D15543">
        <w:rPr>
          <w:rFonts w:hAnsi="標楷體"/>
        </w:rPr>
        <w:t>及大棟營造股份有限公司)承諾於甲方因故無法收回特別股時…</w:t>
      </w:r>
      <w:proofErr w:type="gramStart"/>
      <w:r w:rsidRPr="00D15543">
        <w:rPr>
          <w:rFonts w:hAnsi="標楷體"/>
        </w:rPr>
        <w:t>…</w:t>
      </w:r>
      <w:proofErr w:type="gramEnd"/>
      <w:r w:rsidRPr="00D15543">
        <w:rPr>
          <w:rFonts w:hAnsi="標楷體"/>
        </w:rPr>
        <w:t>購買本特別股，並提供乙方股票…</w:t>
      </w:r>
      <w:proofErr w:type="gramStart"/>
      <w:r w:rsidRPr="00D15543">
        <w:rPr>
          <w:rFonts w:hAnsi="標楷體"/>
        </w:rPr>
        <w:t>…</w:t>
      </w:r>
      <w:proofErr w:type="gramEnd"/>
      <w:r w:rsidRPr="00D15543">
        <w:rPr>
          <w:rFonts w:hAnsi="標楷體"/>
        </w:rPr>
        <w:t>設</w:t>
      </w:r>
      <w:proofErr w:type="gramStart"/>
      <w:r w:rsidRPr="00D15543">
        <w:rPr>
          <w:rFonts w:hAnsi="標楷體"/>
        </w:rPr>
        <w:t>質予乙方供甲</w:t>
      </w:r>
      <w:proofErr w:type="gramEnd"/>
      <w:r w:rsidRPr="00D15543">
        <w:rPr>
          <w:rFonts w:hAnsi="標楷體"/>
        </w:rPr>
        <w:t>方收回本特別股之擔保」；同契約第1.3.7規定：「甲方之董事及監察人選，由乙方(即國發基金)依其持股</w:t>
      </w:r>
      <w:r w:rsidRPr="00D15543">
        <w:rPr>
          <w:rFonts w:hAnsi="標楷體"/>
        </w:rPr>
        <w:lastRenderedPageBreak/>
        <w:t>比例取得相當席次。」</w:t>
      </w:r>
      <w:r w:rsidRPr="00D15543">
        <w:rPr>
          <w:rFonts w:hAnsi="標楷體"/>
          <w:szCs w:val="32"/>
        </w:rPr>
        <w:t>，前開法規及契約已說明，該基金應依委員會決議事項執行，且該基金應取得相關擔保並取得董監事席次</w:t>
      </w:r>
      <w:r w:rsidRPr="00D15543">
        <w:rPr>
          <w:rFonts w:hAnsi="標楷體"/>
        </w:rPr>
        <w:t>。</w:t>
      </w:r>
    </w:p>
    <w:p w:rsidR="0052592B" w:rsidRPr="00D15543" w:rsidRDefault="0052592B" w:rsidP="0052592B">
      <w:pPr>
        <w:pStyle w:val="3"/>
        <w:ind w:left="1418" w:hanging="709"/>
        <w:rPr>
          <w:rFonts w:hAnsi="標楷體"/>
        </w:rPr>
      </w:pPr>
      <w:r w:rsidRPr="00D15543">
        <w:rPr>
          <w:rFonts w:hAnsi="標楷體"/>
          <w:szCs w:val="32"/>
        </w:rPr>
        <w:t>查興達港案之開發係在興達港特定區內利用閒置已久之低窪鹽田土地，開發為遊艇製造產業專區，該開發案需由宏圖開發向國有財產局購得專區土地，完成專區土地開發，再分區售予遊艇業者，故該公司須先向國有財產局價購土地，然後始能進行後續開發。外聘之學者專家於評析原申請案時即提出「該公司財務效益上之預估顯得非常樂觀……進一步提供融資機構意願書評估意見以及自籌資金計畫書的說明」，且該基金幕僚於原申請案之建議附帶條件亦提出：「應在聯貸銀行團成立並簽約後，始繳交增資股款」，顯見該基金已知金融機構之授信為本案能否成功之重要關鍵，然該基金逕容宏圖開發以新案再行申請時，既未重行</w:t>
      </w:r>
      <w:r w:rsidRPr="00D15543">
        <w:rPr>
          <w:rFonts w:hAnsi="標楷體"/>
        </w:rPr>
        <w:t>確實辦理實地訪查，且亦未見</w:t>
      </w:r>
      <w:r w:rsidRPr="00D15543">
        <w:rPr>
          <w:rFonts w:hAnsi="標楷體"/>
          <w:szCs w:val="32"/>
        </w:rPr>
        <w:t>評估報告再詳加分析，或提出相關幕僚建議，詎</w:t>
      </w:r>
      <w:r w:rsidRPr="00D15543">
        <w:rPr>
          <w:rFonts w:hAnsi="標楷體"/>
        </w:rPr>
        <w:t>專區土地價格為6.08億元，預計向金融機申請購地融資4.83億元</w:t>
      </w:r>
      <w:r w:rsidRPr="00D15543">
        <w:rPr>
          <w:rFonts w:hAnsi="標楷體"/>
          <w:szCs w:val="32"/>
        </w:rPr>
        <w:t>未能通過，該公司亦無能力以自有資金取得該筆土地，既然無法取得土地，後續開發亦未能遂行，足認該基金於新案所作之評估及建議避重就輕，顯有未當。</w:t>
      </w:r>
    </w:p>
    <w:p w:rsidR="0052592B" w:rsidRPr="00D15543" w:rsidRDefault="0052592B" w:rsidP="0052592B">
      <w:pPr>
        <w:pStyle w:val="3"/>
        <w:ind w:left="1418" w:hanging="709"/>
        <w:rPr>
          <w:rFonts w:hAnsi="標楷體"/>
        </w:rPr>
      </w:pPr>
      <w:r w:rsidRPr="00D15543">
        <w:rPr>
          <w:rFonts w:hAnsi="標楷體"/>
          <w:szCs w:val="32"/>
        </w:rPr>
        <w:t>次查宏圖開發於新案申請時，為降低投資風險，限定投資款專用於興達港案之開發，以將計畫風險與該公司其他專案隔離，並參考銀行辦理專案融資時所採用之專款專戶機制，由聯貸銀行控管所有資金流程，若依該公司所提專戶管理，將可確認資金是否專款專用，然該基金於本投資評估案報告中僅說明該公司申請內容有專款專用機制，但既未分析該公司所提計畫之可行性，亦未列於幕僚建議中，該基金雖於100年6月2日函復本院時稱「宏圖開發所提投資資金專款專</w:t>
      </w:r>
      <w:r w:rsidRPr="00D15543">
        <w:rPr>
          <w:rFonts w:hAnsi="標楷體"/>
          <w:szCs w:val="32"/>
        </w:rPr>
        <w:lastRenderedPageBreak/>
        <w:t>戶管理，係由聯貸主辦銀行控管所有資金流程……惟因聯貸案之申請遲遲無法通過，故無聯貸主辦銀行可進行公司投資資金專款專戶控管，惟為避免類似情形再次發生，未來公司申請之投資計畫中若有土地開發之聯貸案，將視情況加入聯貸案通過後再行撥款之附帶條件。」足見該基金未能詳加評估專戶管理之重要性，及有無替代方案，即逕行撥款，復未監督查核</w:t>
      </w:r>
      <w:r w:rsidRPr="00D15543">
        <w:rPr>
          <w:rFonts w:hAnsi="標楷體"/>
        </w:rPr>
        <w:t>資金是否用於原投資計畫項目</w:t>
      </w:r>
      <w:r w:rsidRPr="00D15543">
        <w:rPr>
          <w:rFonts w:hAnsi="標楷體"/>
          <w:szCs w:val="32"/>
        </w:rPr>
        <w:t>，肇致投資資金為該公司董事長不法挪用，該基金便宜行事</w:t>
      </w:r>
      <w:r w:rsidRPr="00D15543">
        <w:rPr>
          <w:rFonts w:hAnsi="標楷體"/>
        </w:rPr>
        <w:t>、</w:t>
      </w:r>
      <w:r w:rsidRPr="00D15543">
        <w:rPr>
          <w:rFonts w:hAnsi="標楷體"/>
          <w:szCs w:val="32"/>
        </w:rPr>
        <w:t>因循敷衍，實有未妥。</w:t>
      </w:r>
    </w:p>
    <w:p w:rsidR="0052592B" w:rsidRPr="00D15543" w:rsidRDefault="0052592B" w:rsidP="0052592B">
      <w:pPr>
        <w:pStyle w:val="3"/>
        <w:ind w:left="1418" w:hanging="709"/>
        <w:rPr>
          <w:rFonts w:hAnsi="標楷體"/>
        </w:rPr>
      </w:pPr>
      <w:r w:rsidRPr="00D15543">
        <w:rPr>
          <w:rFonts w:hAnsi="標楷體"/>
        </w:rPr>
        <w:t>再查國發基金未確實評估宏圖開發所提供擔保品之品質及適格性，即逕徵提該公司關係企業未上市股票為擔保品，未符該基金委員會議控管投資風險之決議，確有未當，茲說明如下:</w:t>
      </w:r>
    </w:p>
    <w:p w:rsidR="0052592B" w:rsidRPr="00D15543" w:rsidRDefault="0052592B" w:rsidP="0052592B">
      <w:pPr>
        <w:pStyle w:val="4"/>
        <w:ind w:left="1843" w:hanging="709"/>
        <w:rPr>
          <w:rFonts w:hAnsi="標楷體"/>
        </w:rPr>
      </w:pPr>
      <w:r w:rsidRPr="00D15543">
        <w:rPr>
          <w:rFonts w:hAnsi="標楷體"/>
        </w:rPr>
        <w:t>國發基金於95年7月17日第91次委員會議決議以：「同意第26次投資評估審議會之決議。」，該會第26次評審會決議以：「由宏圖開發公司大股東提供本基金可接受之股票作為可贖回特別股之擔保，擔保金額包含原始股款及4年股息。」，本投資案經該基金同意後，該公司即於95年11月28日由主要股東</w:t>
      </w:r>
      <w:r w:rsidR="00BC37C7">
        <w:rPr>
          <w:rFonts w:hAnsi="標楷體"/>
        </w:rPr>
        <w:t>陳○○</w:t>
      </w:r>
      <w:r w:rsidRPr="00D15543">
        <w:rPr>
          <w:rFonts w:hAnsi="標楷體"/>
        </w:rPr>
        <w:t>、大棟營造分別提供大棟營造股票550萬股(</w:t>
      </w:r>
      <w:r w:rsidR="00BC37C7">
        <w:rPr>
          <w:rFonts w:hAnsi="標楷體"/>
        </w:rPr>
        <w:t>陳○○</w:t>
      </w:r>
      <w:r w:rsidRPr="00D15543">
        <w:rPr>
          <w:rFonts w:hAnsi="標楷體"/>
        </w:rPr>
        <w:t>提供)、宏圖永安股票1,997萬股(大棟營造提供)為本案之擔保品，該基金亦予同意，惟本案擔保品為未上市櫃公司股票，公平價值不易認定，流動性低，大棟營造已為該公司主要工程之承攬廠商，風險無法分散，宏圖開發、大棟營造、宏圖</w:t>
      </w:r>
      <w:proofErr w:type="gramStart"/>
      <w:r w:rsidRPr="00D15543">
        <w:rPr>
          <w:rFonts w:hAnsi="標楷體"/>
        </w:rPr>
        <w:t>永安均屬</w:t>
      </w:r>
      <w:r w:rsidR="00BC37C7">
        <w:rPr>
          <w:rFonts w:hAnsi="標楷體"/>
        </w:rPr>
        <w:t>陳</w:t>
      </w:r>
      <w:proofErr w:type="gramEnd"/>
      <w:r w:rsidR="00BC37C7">
        <w:rPr>
          <w:rFonts w:hAnsi="標楷體"/>
        </w:rPr>
        <w:t>○○</w:t>
      </w:r>
      <w:r w:rsidRPr="00D15543">
        <w:rPr>
          <w:rFonts w:hAnsi="標楷體"/>
        </w:rPr>
        <w:t>所控之大棟集團，</w:t>
      </w:r>
      <w:proofErr w:type="gramStart"/>
      <w:r w:rsidRPr="00D15543">
        <w:rPr>
          <w:rFonts w:hAnsi="標楷體"/>
        </w:rPr>
        <w:t>關係企業間又彼此</w:t>
      </w:r>
      <w:proofErr w:type="gramEnd"/>
      <w:r w:rsidRPr="00D15543">
        <w:rPr>
          <w:rFonts w:hAnsi="標楷體"/>
        </w:rPr>
        <w:t>交叉持股、相互投資，具高度</w:t>
      </w:r>
      <w:proofErr w:type="gramStart"/>
      <w:r w:rsidRPr="00D15543">
        <w:rPr>
          <w:rFonts w:hAnsi="標楷體"/>
        </w:rPr>
        <w:t>不可分性</w:t>
      </w:r>
      <w:proofErr w:type="gramEnd"/>
      <w:r w:rsidRPr="00D15543">
        <w:rPr>
          <w:rFonts w:hAnsi="標楷體"/>
        </w:rPr>
        <w:t>，亦有虛增資本及價值之疑慮，擔保品是否合宜存有極大爭議，然該基金並未就擔保品之</w:t>
      </w:r>
      <w:proofErr w:type="gramStart"/>
      <w:r w:rsidRPr="00D15543">
        <w:rPr>
          <w:rFonts w:hAnsi="標楷體"/>
        </w:rPr>
        <w:t>適格性詳</w:t>
      </w:r>
      <w:r w:rsidRPr="00D15543">
        <w:rPr>
          <w:rFonts w:hAnsi="標楷體"/>
        </w:rPr>
        <w:lastRenderedPageBreak/>
        <w:t>實</w:t>
      </w:r>
      <w:proofErr w:type="gramEnd"/>
      <w:r w:rsidRPr="00D15543">
        <w:rPr>
          <w:rFonts w:hAnsi="標楷體"/>
        </w:rPr>
        <w:t>分析，未質疑大棟營造提供大棟營造之股票，</w:t>
      </w:r>
      <w:r w:rsidR="00BC37C7">
        <w:rPr>
          <w:rFonts w:hAnsi="標楷體"/>
        </w:rPr>
        <w:t>陳○○</w:t>
      </w:r>
      <w:r w:rsidRPr="00D15543">
        <w:rPr>
          <w:rFonts w:hAnsi="標楷體"/>
        </w:rPr>
        <w:t>提供宏圖永安股票之實質缺失即逕行受理為擔保品，該基金顯未依委員會議</w:t>
      </w:r>
      <w:proofErr w:type="gramStart"/>
      <w:r w:rsidRPr="00D15543">
        <w:rPr>
          <w:rFonts w:hAnsi="標楷體"/>
        </w:rPr>
        <w:t>決議徵提該</w:t>
      </w:r>
      <w:proofErr w:type="gramEnd"/>
      <w:r w:rsidRPr="00D15543">
        <w:rPr>
          <w:rFonts w:hAnsi="標楷體"/>
        </w:rPr>
        <w:t>基金可接受之股票作為擔保，</w:t>
      </w:r>
      <w:proofErr w:type="gramStart"/>
      <w:r w:rsidRPr="00D15543">
        <w:rPr>
          <w:rFonts w:hAnsi="標楷體"/>
        </w:rPr>
        <w:t>未符該基金</w:t>
      </w:r>
      <w:proofErr w:type="gramEnd"/>
      <w:r w:rsidRPr="00D15543">
        <w:rPr>
          <w:rFonts w:hAnsi="標楷體"/>
        </w:rPr>
        <w:t>組織規程第7條規定執行</w:t>
      </w:r>
      <w:r w:rsidRPr="00D15543">
        <w:rPr>
          <w:rFonts w:hAnsi="標楷體"/>
          <w:szCs w:val="32"/>
        </w:rPr>
        <w:t>委員會決議事項。</w:t>
      </w:r>
    </w:p>
    <w:p w:rsidR="0052592B" w:rsidRPr="00D15543" w:rsidRDefault="0052592B" w:rsidP="0052592B">
      <w:pPr>
        <w:pStyle w:val="4"/>
        <w:ind w:left="1843" w:hanging="709"/>
        <w:rPr>
          <w:rFonts w:hAnsi="標楷體"/>
        </w:rPr>
      </w:pPr>
      <w:r w:rsidRPr="00D15543">
        <w:rPr>
          <w:rFonts w:hAnsi="標楷體"/>
        </w:rPr>
        <w:t>本案擔保品為大棟營造及宏圖永安股票，以淨值按股權比率換算之價值分別為140,707,612元及69,151,151元，合計209,858,763元，表面上似超過該基金投資金額加計4年股息之總額208,800,000元，然該基金僅徵提擔保品之資產負債表，採帳面淨值計算擔保品之價值，該基金雖稱擔保金額依銀行辦理質押慣例乘以1.2倍，並經核閱相關內容尚無不當，然質押股票之價值依94年會計師簽證之淨值換算固為209,858,763元，惟投資業務徵提擔保品，本屬例外，該基金過去投資即甚少徵提擔保品，本案係具相當風險乃藉徵提擔保品而控管投資風險，然以股票為擔保品，先不論發行是否為關係企業，其財務結構及經營須健全，其股票擔保品始有價值，惟該基金除資產負債表外，未徵提大棟營造及宏圖永安之其他財務報表，亦忽略財務報表附註之資訊，且詳實分析上開兩公司之財、業務狀況，不問帳列淨值是否真實，即以帳列淨值計算擔保品之價值，認定擔保品具有擔保能力，核有未妥。</w:t>
      </w:r>
    </w:p>
    <w:p w:rsidR="0052592B" w:rsidRPr="00D15543" w:rsidRDefault="0052592B" w:rsidP="0052592B">
      <w:pPr>
        <w:pStyle w:val="4"/>
        <w:ind w:left="1843" w:hanging="709"/>
        <w:rPr>
          <w:rFonts w:hAnsi="標楷體"/>
          <w:b/>
        </w:rPr>
      </w:pPr>
      <w:r w:rsidRPr="00D15543">
        <w:rPr>
          <w:rFonts w:hAnsi="標楷體"/>
        </w:rPr>
        <w:t>依公司法第16條規定，公司除依其他法律或公司之章程規定得為保證者外，不得為任何保證人，大棟營造於95年10月11日出具承諾書，連帶同意提供宏圖永安股票供作宏圖開發發行之甲種特別股擔保，且亦承諾宏圖開發無法回收特別股時，該公司將購買該特別股，惟經調閱本案相關檔卷資料，</w:t>
      </w:r>
      <w:r w:rsidRPr="00D15543">
        <w:rPr>
          <w:rFonts w:hAnsi="標楷體"/>
        </w:rPr>
        <w:lastRenderedPageBreak/>
        <w:t>該基金並未留存大棟營造有關提供擔保之董事會議紀錄，且未留存大棟營造公司章程，以證明該公司得為保證，亦未於相關分析報告或簽呈中分析該公司具有保證資格，實屬怠失。</w:t>
      </w:r>
    </w:p>
    <w:p w:rsidR="0052592B" w:rsidRPr="00D15543" w:rsidRDefault="0052592B" w:rsidP="0052592B">
      <w:pPr>
        <w:pStyle w:val="3"/>
        <w:ind w:left="1418" w:hanging="709"/>
        <w:rPr>
          <w:rFonts w:hAnsi="標楷體"/>
        </w:rPr>
      </w:pPr>
      <w:r w:rsidRPr="00D15543">
        <w:rPr>
          <w:rFonts w:hAnsi="標楷體"/>
        </w:rPr>
        <w:t>末查國發基金所擬訂之投資契約約定未妥適，且亦未能依其委員會決議簽訂契約，確有怠失，茲分述如下:</w:t>
      </w:r>
    </w:p>
    <w:p w:rsidR="0052592B" w:rsidRPr="00D15543" w:rsidRDefault="0052592B" w:rsidP="0052592B">
      <w:pPr>
        <w:pStyle w:val="4"/>
        <w:ind w:left="1843" w:hanging="709"/>
        <w:rPr>
          <w:rFonts w:hAnsi="標楷體"/>
        </w:rPr>
      </w:pPr>
      <w:r w:rsidRPr="00D15543">
        <w:rPr>
          <w:rFonts w:hAnsi="標楷體"/>
        </w:rPr>
        <w:t>國發基金審核宏圖</w:t>
      </w:r>
      <w:proofErr w:type="gramStart"/>
      <w:r w:rsidRPr="00D15543">
        <w:rPr>
          <w:rFonts w:hAnsi="標楷體"/>
        </w:rPr>
        <w:t>開發所檢具</w:t>
      </w:r>
      <w:proofErr w:type="gramEnd"/>
      <w:r w:rsidRPr="00D15543">
        <w:rPr>
          <w:rFonts w:hAnsi="標楷體"/>
        </w:rPr>
        <w:t>之資料無誤後，於95年12月11日將股款匯入該公司之指定帳戶，然該公司遲至96年6月29日始召開股東常會，選任該基金指派之</w:t>
      </w:r>
      <w:proofErr w:type="gramStart"/>
      <w:r w:rsidR="00543EFF">
        <w:rPr>
          <w:rFonts w:hAnsi="標楷體"/>
        </w:rPr>
        <w:t>郭</w:t>
      </w:r>
      <w:proofErr w:type="gramEnd"/>
      <w:r w:rsidR="00543EFF">
        <w:rPr>
          <w:rFonts w:hAnsi="標楷體"/>
        </w:rPr>
        <w:t>○○</w:t>
      </w:r>
      <w:r w:rsidRPr="00D15543">
        <w:rPr>
          <w:rFonts w:hAnsi="標楷體"/>
        </w:rPr>
        <w:t>、</w:t>
      </w:r>
      <w:r w:rsidR="00543EFF">
        <w:rPr>
          <w:rFonts w:hAnsi="標楷體"/>
        </w:rPr>
        <w:t>陳○○</w:t>
      </w:r>
      <w:r w:rsidRPr="00D15543">
        <w:rPr>
          <w:rFonts w:hAnsi="標楷體"/>
        </w:rPr>
        <w:t>為董事及</w:t>
      </w:r>
      <w:r w:rsidR="00543EFF">
        <w:rPr>
          <w:rFonts w:hAnsi="標楷體"/>
        </w:rPr>
        <w:t>李○○</w:t>
      </w:r>
      <w:r w:rsidRPr="00D15543">
        <w:rPr>
          <w:rFonts w:hAnsi="標楷體"/>
        </w:rPr>
        <w:t>為監察人，該基金雖稱該基金投資宏圖開發，係以特別股形式為之，該甲種特別股於股東會無表決權與選舉權，且原董監事任期由</w:t>
      </w:r>
      <w:smartTag w:uri="urn:schemas-microsoft-com:office:smarttags" w:element="chsdate">
        <w:smartTagPr>
          <w:attr w:name="IsROCDate" w:val="False"/>
          <w:attr w:name="IsLunarDate" w:val="False"/>
          <w:attr w:name="Day" w:val="20"/>
          <w:attr w:name="Month" w:val="7"/>
          <w:attr w:name="Year" w:val="1994"/>
        </w:smartTagPr>
        <w:r w:rsidRPr="00D15543">
          <w:rPr>
            <w:rFonts w:hAnsi="標楷體"/>
          </w:rPr>
          <w:t>94年7月20日</w:t>
        </w:r>
      </w:smartTag>
      <w:r w:rsidRPr="00D15543">
        <w:rPr>
          <w:rFonts w:hAnsi="標楷體"/>
        </w:rPr>
        <w:t>至97年7月20日，該基金請該公司履行約定事項，並獲同意於</w:t>
      </w:r>
      <w:smartTag w:uri="urn:schemas-microsoft-com:office:smarttags" w:element="chsdate">
        <w:smartTagPr>
          <w:attr w:name="IsROCDate" w:val="False"/>
          <w:attr w:name="IsLunarDate" w:val="False"/>
          <w:attr w:name="Day" w:val="29"/>
          <w:attr w:name="Month" w:val="6"/>
          <w:attr w:name="Year" w:val="1996"/>
        </w:smartTagPr>
        <w:r w:rsidRPr="00D15543">
          <w:rPr>
            <w:rFonts w:hAnsi="標楷體"/>
          </w:rPr>
          <w:t>96年6月29日</w:t>
        </w:r>
      </w:smartTag>
      <w:r w:rsidRPr="00D15543">
        <w:rPr>
          <w:rFonts w:hAnsi="標楷體"/>
        </w:rPr>
        <w:t>提前改選，惟依該基金管理委員會決議，應依持股比例取得該公司相當之董(監)事席次，故與該公司簽訂合資協議書時，即將此條件訂定於其中，該基金既已將「依持股比率選任董監事」列入投資協議書內，應立即依協議書辦理董監事改選，惟該公司遲至96年6月29日始改選董監事，致該基金未</w:t>
      </w:r>
      <w:proofErr w:type="gramStart"/>
      <w:r w:rsidRPr="00D15543">
        <w:rPr>
          <w:rFonts w:hAnsi="標楷體"/>
        </w:rPr>
        <w:t>進行投後管理</w:t>
      </w:r>
      <w:proofErr w:type="gramEnd"/>
      <w:r w:rsidRPr="00D15543">
        <w:rPr>
          <w:rFonts w:hAnsi="標楷體"/>
        </w:rPr>
        <w:t>之</w:t>
      </w:r>
      <w:proofErr w:type="gramStart"/>
      <w:r w:rsidRPr="00D15543">
        <w:rPr>
          <w:rFonts w:hAnsi="標楷體"/>
        </w:rPr>
        <w:t>空窗期長</w:t>
      </w:r>
      <w:proofErr w:type="gramEnd"/>
      <w:r w:rsidRPr="00D15543">
        <w:rPr>
          <w:rFonts w:hAnsi="標楷體"/>
        </w:rPr>
        <w:t>達半年，且於改選後至96年8月23日召開新任董監事就任後第1次董事會</w:t>
      </w:r>
      <w:proofErr w:type="gramStart"/>
      <w:r w:rsidRPr="00D15543">
        <w:rPr>
          <w:rFonts w:hAnsi="標楷體"/>
        </w:rPr>
        <w:t>期間，</w:t>
      </w:r>
      <w:proofErr w:type="gramEnd"/>
      <w:r w:rsidRPr="00D15543">
        <w:rPr>
          <w:rFonts w:hAnsi="標楷體"/>
        </w:rPr>
        <w:t>該基金管理</w:t>
      </w:r>
      <w:proofErr w:type="gramStart"/>
      <w:r w:rsidRPr="00D15543">
        <w:rPr>
          <w:rFonts w:hAnsi="標楷體"/>
        </w:rPr>
        <w:t>會均未發現</w:t>
      </w:r>
      <w:proofErr w:type="gramEnd"/>
      <w:r w:rsidRPr="00D15543">
        <w:rPr>
          <w:rFonts w:hAnsi="標楷體"/>
        </w:rPr>
        <w:t>投資款項被挪用情形，投資後管理自有怠忽。</w:t>
      </w:r>
    </w:p>
    <w:p w:rsidR="0052592B" w:rsidRPr="00D15543" w:rsidRDefault="0052592B" w:rsidP="0052592B">
      <w:pPr>
        <w:pStyle w:val="4"/>
        <w:ind w:left="1843" w:hanging="709"/>
        <w:rPr>
          <w:rFonts w:hAnsi="標楷體"/>
        </w:rPr>
      </w:pPr>
      <w:r w:rsidRPr="00D15543">
        <w:rPr>
          <w:rFonts w:hAnsi="標楷體"/>
        </w:rPr>
        <w:t>國發基金增資宏圖開發，該基金管理委員會會議於95年7月17日決議「該公司應於未來一年辦理公開發行，使其營運及財務更為透明，俾加強公司治理。」，然該基金與宏圖開發所簽訂之「宏圖開發股份有限公司甲種特別股認購協議書」第4條4.5</w:t>
      </w:r>
      <w:r w:rsidRPr="00D15543">
        <w:rPr>
          <w:rFonts w:hAnsi="標楷體"/>
        </w:rPr>
        <w:lastRenderedPageBreak/>
        <w:t>「甲方(即宏圖開發)將努力加強公司治理使營運及財務更為透明，以期於未來一年內能辦理公開發行。」，與該基金管理委員會決議不符，該基金雖稱公開辦理發行需送金融監督管理委員會核備，是否能於一年內辦理完竣，有宏圖開發無法完全掌控因素，故該公司法務部門表示不宜以「應於未來一年辦理公開發行」簽訂契約，惟該基金如對管理委員會決議事項有執行之困難，應依作業程序變更決議事項，而非由幕僚人員逕行調整契約內容，未依委員會決議事項辦理，核有未當。</w:t>
      </w:r>
    </w:p>
    <w:p w:rsidR="0052592B" w:rsidRPr="00D15543" w:rsidRDefault="0052592B" w:rsidP="0052592B">
      <w:pPr>
        <w:pStyle w:val="3"/>
        <w:ind w:left="1418" w:hanging="709"/>
        <w:rPr>
          <w:rFonts w:hAnsi="標楷體"/>
          <w:b/>
        </w:rPr>
      </w:pPr>
      <w:r w:rsidRPr="00D15543">
        <w:rPr>
          <w:rFonts w:hAnsi="標楷體"/>
        </w:rPr>
        <w:t>綜上，國發基金投資宏圖開發案，該基金未確實分析金融機構融資及專戶管理機制之影響，致該公司未取得融資</w:t>
      </w:r>
      <w:r w:rsidRPr="00D15543">
        <w:rPr>
          <w:rFonts w:hAnsi="標楷體" w:hint="eastAsia"/>
        </w:rPr>
        <w:t>以</w:t>
      </w:r>
      <w:r w:rsidRPr="00D15543">
        <w:rPr>
          <w:rFonts w:hAnsi="標楷體"/>
        </w:rPr>
        <w:t>購置開發土地；另投資資金遭挪用，</w:t>
      </w:r>
      <w:r w:rsidRPr="00D15543">
        <w:rPr>
          <w:rFonts w:hAnsi="標楷體"/>
          <w:szCs w:val="32"/>
        </w:rPr>
        <w:t>投資金額1.5億元全數打消呆帳，浪費公帑，</w:t>
      </w:r>
      <w:r w:rsidRPr="00D15543">
        <w:rPr>
          <w:rFonts w:hAnsi="標楷體"/>
        </w:rPr>
        <w:t>且該公司大股東所提供關係企業股票之品質及適格性未詳實評估，未依委員會決議事項，徵提該基金可接受之大股東股票作為擔保，還逕以淨值計算前述擔保品之價值，亦未於契約要求該公司應於未來一年辦理公開發行；另</w:t>
      </w:r>
      <w:r w:rsidRPr="00D15543">
        <w:rPr>
          <w:rFonts w:hAnsi="標楷體"/>
          <w:szCs w:val="32"/>
        </w:rPr>
        <w:t>該基金所</w:t>
      </w:r>
      <w:r w:rsidRPr="00D15543">
        <w:rPr>
          <w:rFonts w:hAnsi="標楷體"/>
          <w:szCs w:val="48"/>
        </w:rPr>
        <w:t>簽訂之投資契約非妥適，致自撥款後，</w:t>
      </w:r>
      <w:r w:rsidRPr="00D15543">
        <w:rPr>
          <w:rFonts w:hAnsi="標楷體"/>
        </w:rPr>
        <w:t>至該基金指派人員選任為公司董事、監察人並執行投資後管理前之空窗期長達8個月之久，無法確保該基金權益，自難辭咎。</w:t>
      </w:r>
    </w:p>
    <w:p w:rsidR="0052592B" w:rsidRPr="00D15543" w:rsidRDefault="0052592B" w:rsidP="0052592B">
      <w:pPr>
        <w:pStyle w:val="2"/>
        <w:rPr>
          <w:rFonts w:hAnsi="標楷體"/>
          <w:b/>
        </w:rPr>
      </w:pPr>
      <w:r w:rsidRPr="00D15543">
        <w:rPr>
          <w:rFonts w:hAnsi="標楷體"/>
          <w:b/>
        </w:rPr>
        <w:t>國發基金</w:t>
      </w:r>
      <w:r w:rsidRPr="00D15543">
        <w:rPr>
          <w:rFonts w:hAnsi="標楷體"/>
          <w:b/>
          <w:szCs w:val="32"/>
        </w:rPr>
        <w:t>於知悉其資金遭被投資公司宏圖開發挪用後，未能及時採取緊急應對措施，</w:t>
      </w:r>
      <w:r w:rsidRPr="00D15543">
        <w:rPr>
          <w:rFonts w:hAnsi="標楷體"/>
          <w:b/>
        </w:rPr>
        <w:t>所指派於宏圖開發之監察人亦未能積極行使職權；另</w:t>
      </w:r>
      <w:r w:rsidRPr="00D15543">
        <w:rPr>
          <w:rFonts w:hAnsi="標楷體"/>
          <w:b/>
          <w:szCs w:val="32"/>
        </w:rPr>
        <w:t>對被投資公司</w:t>
      </w:r>
      <w:r w:rsidRPr="00D15543">
        <w:rPr>
          <w:rFonts w:hAnsi="標楷體"/>
          <w:b/>
        </w:rPr>
        <w:t>會宇多媒體未確實依投資契約進行投資後管理，致該公司未依投資契約召開董事會，且該公司未依投資目的進行資金運用時，亦未能妥適評估，均致該基金之權益無法確保，核有未妥。</w:t>
      </w:r>
    </w:p>
    <w:p w:rsidR="0052592B" w:rsidRPr="00D15543" w:rsidRDefault="0052592B" w:rsidP="0052592B">
      <w:pPr>
        <w:pStyle w:val="3"/>
        <w:ind w:left="1418" w:hanging="709"/>
        <w:rPr>
          <w:rFonts w:hAnsi="標楷體"/>
        </w:rPr>
      </w:pPr>
      <w:r w:rsidRPr="00D15543">
        <w:rPr>
          <w:rFonts w:hAnsi="標楷體"/>
        </w:rPr>
        <w:t>按公</w:t>
      </w:r>
      <w:r w:rsidRPr="00D15543">
        <w:rPr>
          <w:rFonts w:hAnsi="標楷體"/>
          <w:szCs w:val="32"/>
        </w:rPr>
        <w:t>司法第第 218 條規定「監察人應監督公司業務之</w:t>
      </w:r>
      <w:r w:rsidRPr="00D15543">
        <w:rPr>
          <w:rFonts w:hAnsi="標楷體"/>
          <w:szCs w:val="32"/>
        </w:rPr>
        <w:lastRenderedPageBreak/>
        <w:t>執行，並得隨時調查公司業務及財務狀況，查核簿冊文件，並得請求董事會或經理人提出報告。監察人辦理前項事務，得代表公司委託律師、會計師審核之」，同法第 218-2 條規定「監察人得列席董事會陳述意見。董事會或董事執行業務有違反法令、章程或股東會決議之行為者，監察人應即通知董事會或董事停止其行為。」，前開條文已說明監察人具有查核公司財、業務狀況及通知董事停止違反法令行為之責。</w:t>
      </w:r>
    </w:p>
    <w:p w:rsidR="0052592B" w:rsidRPr="00D15543" w:rsidRDefault="0052592B" w:rsidP="0052592B">
      <w:pPr>
        <w:pStyle w:val="3"/>
        <w:ind w:left="1418" w:hanging="709"/>
        <w:rPr>
          <w:rFonts w:hAnsi="標楷體"/>
        </w:rPr>
      </w:pPr>
      <w:r w:rsidRPr="00D15543">
        <w:rPr>
          <w:rFonts w:hAnsi="標楷體"/>
        </w:rPr>
        <w:t>查宏圖開發董事長未經董事會同意，即於95年12月20日擅自將國發基金增資款6,000萬元貸予關係企業大棟營造，該基金遲至96年8月23日第一次參與該公司董事會始知悉，雖要求該公司於96年10月11日前取回款項，然該公司以大棟營造向來依約支付利息，恐難片面終止合約為由拒絕，僅承諾將提醒大棟營造於貸款合約期滿(97年1月2日)後立即歸還；該基金復於97年2月4日</w:t>
      </w:r>
      <w:proofErr w:type="gramStart"/>
      <w:r w:rsidRPr="00D15543">
        <w:rPr>
          <w:rFonts w:hAnsi="標楷體"/>
        </w:rPr>
        <w:t>再函該公司</w:t>
      </w:r>
      <w:proofErr w:type="gramEnd"/>
      <w:r w:rsidRPr="00D15543">
        <w:rPr>
          <w:rFonts w:hAnsi="標楷體"/>
        </w:rPr>
        <w:t>於文到5日後提供融資案相關資料，且若該公司未能配合提供資料，該基金即依公司法第218條規定，由監察人委任會計師進行查核，惟該公司並未依限提供融資資料，該基金待該公司董事長</w:t>
      </w:r>
      <w:r w:rsidR="00BC37C7">
        <w:rPr>
          <w:rFonts w:hAnsi="標楷體"/>
        </w:rPr>
        <w:t>陳○○</w:t>
      </w:r>
      <w:r w:rsidRPr="00D15543">
        <w:rPr>
          <w:rFonts w:hAnsi="標楷體"/>
        </w:rPr>
        <w:t>潛逃海外後，始於97年4月16臨時董事會接洽日正聯合會計師事務所配合查帳，並待97年5月6日會計師出具查核報告，始知悉該公司涉嫌作假帳。該基金所指派之監察人未能於事發時儘速依公司法第218條、218</w:t>
      </w:r>
      <w:r w:rsidRPr="00D15543">
        <w:rPr>
          <w:rFonts w:hAnsi="標楷體" w:hint="eastAsia"/>
        </w:rPr>
        <w:t>-</w:t>
      </w:r>
      <w:r w:rsidRPr="00D15543">
        <w:rPr>
          <w:rFonts w:hAnsi="標楷體"/>
        </w:rPr>
        <w:t>2條等規定，盡監察人之義務，該基金亦未能確實督促監察人依公司法積極行使職權，核有未當。</w:t>
      </w:r>
    </w:p>
    <w:p w:rsidR="0052592B" w:rsidRPr="00D15543" w:rsidRDefault="0052592B" w:rsidP="0052592B">
      <w:pPr>
        <w:pStyle w:val="3"/>
        <w:ind w:left="1418" w:hanging="709"/>
        <w:rPr>
          <w:rFonts w:hAnsi="標楷體"/>
        </w:rPr>
      </w:pPr>
      <w:r w:rsidRPr="00D15543">
        <w:rPr>
          <w:rFonts w:hAnsi="標楷體"/>
          <w:szCs w:val="32"/>
        </w:rPr>
        <w:t>次查會宇多媒體第4屆第4及第5次董事會分別於95年11月3日及96年5月4日召開，二次會議間距6個月，顯見該公司未依</w:t>
      </w:r>
      <w:r w:rsidRPr="00D15543">
        <w:rPr>
          <w:rFonts w:hAnsi="標楷體"/>
        </w:rPr>
        <w:t>「</w:t>
      </w:r>
      <w:r w:rsidRPr="00D15543">
        <w:rPr>
          <w:rFonts w:hAnsi="標楷體"/>
          <w:szCs w:val="32"/>
        </w:rPr>
        <w:t>會宇多媒體股份有限公司投資協議書」第6.2條規定：「控制股東及內部人承諾</w:t>
      </w:r>
      <w:r w:rsidRPr="00D15543">
        <w:rPr>
          <w:rFonts w:hAnsi="標楷體"/>
          <w:szCs w:val="32"/>
        </w:rPr>
        <w:lastRenderedPageBreak/>
        <w:t>應負責促使會宇多媒體公司董事會會議至少每二</w:t>
      </w:r>
      <w:proofErr w:type="gramStart"/>
      <w:r w:rsidRPr="00D15543">
        <w:rPr>
          <w:rFonts w:hAnsi="標楷體"/>
          <w:szCs w:val="32"/>
        </w:rPr>
        <w:t>個</w:t>
      </w:r>
      <w:proofErr w:type="gramEnd"/>
      <w:r w:rsidRPr="00D15543">
        <w:rPr>
          <w:rFonts w:hAnsi="標楷體"/>
          <w:szCs w:val="32"/>
        </w:rPr>
        <w:t>月召開一次…</w:t>
      </w:r>
      <w:proofErr w:type="gramStart"/>
      <w:r w:rsidRPr="00D15543">
        <w:rPr>
          <w:rFonts w:hAnsi="標楷體"/>
          <w:szCs w:val="32"/>
        </w:rPr>
        <w:t>…</w:t>
      </w:r>
      <w:proofErr w:type="gramEnd"/>
      <w:r w:rsidRPr="00D15543">
        <w:rPr>
          <w:rFonts w:hAnsi="標楷體"/>
          <w:szCs w:val="32"/>
        </w:rPr>
        <w:t>」之內容執行，該基金管理會雖稱該公司於該期間可能因無重大議案須提董事會討論，故董事會召開間距較長，惟該</w:t>
      </w:r>
      <w:r w:rsidRPr="00D15543">
        <w:rPr>
          <w:rFonts w:hAnsi="標楷體" w:hint="eastAsia"/>
          <w:szCs w:val="32"/>
        </w:rPr>
        <w:t>基金</w:t>
      </w:r>
      <w:r w:rsidRPr="00D15543">
        <w:rPr>
          <w:rFonts w:hAnsi="標楷體"/>
          <w:szCs w:val="32"/>
        </w:rPr>
        <w:t>未確實</w:t>
      </w:r>
      <w:proofErr w:type="gramStart"/>
      <w:r w:rsidRPr="00D15543">
        <w:rPr>
          <w:rFonts w:hAnsi="標楷體"/>
          <w:szCs w:val="32"/>
        </w:rPr>
        <w:t>研</w:t>
      </w:r>
      <w:proofErr w:type="gramEnd"/>
      <w:r w:rsidRPr="00D15543">
        <w:rPr>
          <w:rFonts w:hAnsi="標楷體"/>
          <w:szCs w:val="32"/>
        </w:rPr>
        <w:t>議如何控管協議書之執行情形，</w:t>
      </w:r>
      <w:proofErr w:type="gramStart"/>
      <w:r w:rsidRPr="00D15543">
        <w:rPr>
          <w:rFonts w:hAnsi="標楷體"/>
          <w:szCs w:val="32"/>
        </w:rPr>
        <w:t>且未委請</w:t>
      </w:r>
      <w:proofErr w:type="gramEnd"/>
      <w:r w:rsidRPr="00D15543">
        <w:rPr>
          <w:rFonts w:hAnsi="標楷體"/>
          <w:szCs w:val="32"/>
        </w:rPr>
        <w:t>股權代表確實督促轉投資事業依相關協議書規定辦理，實難辭其咎。</w:t>
      </w:r>
    </w:p>
    <w:p w:rsidR="0052592B" w:rsidRPr="00D15543" w:rsidRDefault="0052592B" w:rsidP="0052592B">
      <w:pPr>
        <w:pStyle w:val="3"/>
        <w:ind w:left="1418" w:hanging="709"/>
        <w:rPr>
          <w:rFonts w:hAnsi="標楷體"/>
        </w:rPr>
      </w:pPr>
      <w:r w:rsidRPr="00D15543">
        <w:rPr>
          <w:rFonts w:hAnsi="標楷體"/>
        </w:rPr>
        <w:t>末查會宇多媒體開發蝕憶巨獸動畫影集係該基金參與增資目的之一</w:t>
      </w:r>
      <w:r w:rsidRPr="00D15543">
        <w:rPr>
          <w:rFonts w:hAnsi="標楷體"/>
          <w:szCs w:val="32"/>
        </w:rPr>
        <w:t>，然該動畫影集之投資案因該公司認為國際市場風險仍高，經業務單位進行市場測試發現反應未如預期，加上與原合作製作廠開發理念不合，於96年5月4日董事會決議停止此開發案，該基金以尊重公司經營團隊及業務單位之市場銷售專業判斷，同意停止本項影集開發案，亦經該公司依投資協議書第2.5條規定：「……因情事變更，致第2.4條投資目的應予調整或變更者，非依第6.4條規定提經會宇多媒體公司董事會決議或提經立協議書人全體書面同意，不得為之」提請董事會討論通過。依協議書規定，該基金即不再有行使股票賣回選擇權之權利，</w:t>
      </w:r>
      <w:r w:rsidRPr="00D15543">
        <w:rPr>
          <w:rFonts w:hAnsi="標楷體"/>
        </w:rPr>
        <w:t>惟該基金係分析該公司所提之投資目的可行後始參與投資，詎投資目的僅經被投資公司董事會決議即可變更，該基金固未具經營主導權，但未能建立相關評估機制，致對投資款項之運用幾無置喙餘地，未能確保股東權益，核有未當。</w:t>
      </w:r>
    </w:p>
    <w:p w:rsidR="0052592B" w:rsidRPr="00D15543" w:rsidRDefault="0052592B" w:rsidP="0052592B">
      <w:pPr>
        <w:pStyle w:val="3"/>
        <w:ind w:left="1418" w:hanging="709"/>
        <w:rPr>
          <w:rFonts w:hAnsi="標楷體"/>
        </w:rPr>
      </w:pPr>
      <w:r w:rsidRPr="00D15543">
        <w:rPr>
          <w:rFonts w:hAnsi="標楷體"/>
        </w:rPr>
        <w:t>綜上，國發基金</w:t>
      </w:r>
      <w:r w:rsidRPr="00D15543">
        <w:rPr>
          <w:rFonts w:hAnsi="標楷體"/>
          <w:szCs w:val="32"/>
        </w:rPr>
        <w:t>對</w:t>
      </w:r>
      <w:r w:rsidRPr="00D15543">
        <w:rPr>
          <w:rFonts w:hAnsi="標楷體"/>
          <w:szCs w:val="48"/>
        </w:rPr>
        <w:t>被投資公司管理未能建立相關投資後管理機制</w:t>
      </w:r>
      <w:r w:rsidRPr="00D15543">
        <w:rPr>
          <w:rFonts w:hAnsi="標楷體"/>
        </w:rPr>
        <w:t>，</w:t>
      </w:r>
      <w:r w:rsidRPr="00D15543">
        <w:rPr>
          <w:rFonts w:hAnsi="標楷體"/>
          <w:szCs w:val="32"/>
        </w:rPr>
        <w:t>投資宏圖開發案，該基金於知悉資金遭挪用，後續開發無法進行時，未能及時採取緊急應對措施，</w:t>
      </w:r>
      <w:r w:rsidRPr="00D15543">
        <w:rPr>
          <w:rFonts w:hAnsi="標楷體"/>
        </w:rPr>
        <w:t>指派於宏圖開發之監察人亦未能積極行使職權，</w:t>
      </w:r>
      <w:r w:rsidRPr="00D15543">
        <w:rPr>
          <w:rFonts w:hAnsi="標楷體"/>
          <w:szCs w:val="32"/>
        </w:rPr>
        <w:t>因循敷衍；</w:t>
      </w:r>
      <w:r w:rsidRPr="00D15543">
        <w:rPr>
          <w:rFonts w:hAnsi="標楷體"/>
        </w:rPr>
        <w:t>會宇多媒體亦有長達5個月未召開董事會，與契約規定每2個約召開一次不符，再者，該公司未依投資目的運用投資資金時，該基金亦因未事先</w:t>
      </w:r>
      <w:r w:rsidRPr="00D15543">
        <w:rPr>
          <w:rFonts w:hAnsi="標楷體"/>
        </w:rPr>
        <w:lastRenderedPageBreak/>
        <w:t>建立妥適可行之退場評估機制，致無法確保該基金之權益，確有未妥。</w:t>
      </w:r>
    </w:p>
    <w:p w:rsidR="0052592B" w:rsidRPr="00D15543" w:rsidRDefault="0052592B" w:rsidP="0052592B">
      <w:pPr>
        <w:pStyle w:val="2"/>
        <w:rPr>
          <w:rFonts w:hAnsi="標楷體"/>
          <w:b/>
        </w:rPr>
      </w:pPr>
      <w:r w:rsidRPr="00D15543">
        <w:rPr>
          <w:rFonts w:hAnsi="標楷體"/>
          <w:b/>
        </w:rPr>
        <w:t>國發基金掌管龐大國家資產，又掌決定國家支持何者企業之權，然該基金決定是否投資之程序，係逕由幕僚人員以面談等程序先行決定被投資人是否得正式申請；其資訊管理系統建設與功能亦亟待改善；且人員多以兼任或借調為主，人事運作採任務編組；評審委員會委員於評審會之審查請假在所多有，行政院經濟建設委員會均允應確實研議檢討，以發揮其應有之功能。</w:t>
      </w:r>
    </w:p>
    <w:p w:rsidR="0052592B" w:rsidRPr="00D15543" w:rsidRDefault="0052592B" w:rsidP="0052592B">
      <w:pPr>
        <w:pStyle w:val="3"/>
        <w:ind w:left="1418" w:hanging="709"/>
        <w:rPr>
          <w:rFonts w:hAnsi="標楷體"/>
        </w:rPr>
      </w:pPr>
      <w:r w:rsidRPr="00D15543">
        <w:rPr>
          <w:rFonts w:hAnsi="標楷體"/>
        </w:rPr>
        <w:t>按國發基金設立之宗旨：「</w:t>
      </w:r>
      <w:r w:rsidRPr="00D15543">
        <w:rPr>
          <w:rFonts w:hAnsi="標楷體"/>
          <w:bCs w:val="0"/>
          <w:snapToGrid w:val="0"/>
          <w:spacing w:val="20"/>
          <w:szCs w:val="32"/>
        </w:rPr>
        <w:t>國發基金為任務編組之非營業循環預算基金之管理單位……」</w:t>
      </w:r>
      <w:r w:rsidRPr="00D15543">
        <w:rPr>
          <w:rFonts w:hAnsi="標楷體"/>
        </w:rPr>
        <w:t>；另按「</w:t>
      </w:r>
      <w:r w:rsidRPr="00D15543">
        <w:rPr>
          <w:rFonts w:hAnsi="標楷體"/>
          <w:szCs w:val="32"/>
        </w:rPr>
        <w:t>行政院開發基金投資作業規範」肆、投資申請「……二、申請本基金投資所需準備之書面文件：(一)面談階段……(二)簡報階段……(三)正式來函提出申請階段……」上開宗旨及規範說明該基金之組織</w:t>
      </w:r>
      <w:r w:rsidRPr="00D15543">
        <w:rPr>
          <w:rFonts w:hAnsi="標楷體"/>
        </w:rPr>
        <w:t>性質及申請方式。</w:t>
      </w:r>
    </w:p>
    <w:p w:rsidR="0052592B" w:rsidRPr="00D15543" w:rsidRDefault="0052592B" w:rsidP="0052592B">
      <w:pPr>
        <w:pStyle w:val="3"/>
        <w:kinsoku/>
        <w:ind w:left="1418" w:hanging="709"/>
        <w:rPr>
          <w:rFonts w:hAnsi="標楷體"/>
        </w:rPr>
      </w:pPr>
      <w:r w:rsidRPr="00D15543">
        <w:rPr>
          <w:rFonts w:hAnsi="標楷體"/>
        </w:rPr>
        <w:t>查</w:t>
      </w:r>
      <w:r w:rsidRPr="00D15543">
        <w:rPr>
          <w:rFonts w:hAnsi="標楷體"/>
          <w:szCs w:val="32"/>
        </w:rPr>
        <w:t>國發基金為任務編組之管理單位，負責管理轄下開發分基金與中美分基金二非營業循環預算基金，其中開發分基金99年12月底資產總額2,157.99億元，負債總額6.31億元，淨值2,151.68億元，長期投資1,768.35億元；中美基金同日資產總額262.19億元，負債總額3.49億元，淨值258.70億元，長期投資、墊款等132.79億元。該基金掌管如此龐大之資產，然其99年度之人員配置情形，開發分基金專職人員29人、他機關現職人員兼職20人；專職人員中有7人借調自經建會及財政部國庫署之公務人員，餘22人為約聘僱人員，分別任職執行秘書、副執行秘書、業務組、稽核組、會計組及總務組；另中美分基金相關業務則由經建會相關人員兼辦。惟國發基金係以投融資方式協助產業創新加值，以促進經濟轉型及國家發展，且</w:t>
      </w:r>
      <w:r w:rsidRPr="00D15543">
        <w:rPr>
          <w:rFonts w:hAnsi="標楷體"/>
          <w:szCs w:val="32"/>
        </w:rPr>
        <w:lastRenderedPageBreak/>
        <w:t>亦掌管極為龐大之國家資產，相關業務之管理須深具前瞻性及專業性，因此人員之任用極為重要，蓋人員之升遷、穩定性、專業性、執行力等均影響績效甚鉅，惟該基金卻以任務編組方式運作，並任用其他機關人員借調、兼職或採約聘僱方式，經建會允應確實檢討該基金之組織架構、人員編制等，以達成應有之功能及目的。</w:t>
      </w:r>
    </w:p>
    <w:p w:rsidR="0052592B" w:rsidRPr="00D15543" w:rsidRDefault="0052592B" w:rsidP="0052592B">
      <w:pPr>
        <w:pStyle w:val="3"/>
        <w:ind w:left="1418" w:hanging="709"/>
        <w:rPr>
          <w:rFonts w:hAnsi="標楷體"/>
          <w:szCs w:val="32"/>
        </w:rPr>
      </w:pPr>
      <w:r w:rsidRPr="00D15543">
        <w:rPr>
          <w:rFonts w:hAnsi="標楷體"/>
          <w:szCs w:val="32"/>
        </w:rPr>
        <w:t>次查國發基金辦理投資案件，依其申請流程，由民間公司直接提出申請之投資案件需先經由面談，以審核被投資人申請之投資案件是否符合該基金資金運用原則，並就營運計畫等資料向該基金提出簡報，始可正式發函申請。上述措施雖可先行確認被投資人之投資目的是否符合基金運用原則，然國發基金對民間公司申請投資之案件，若文件齊全，本應正式收件，再依程序判定是否符合該基金資金運用原則，惟在正式作成收件之記錄前，竟准許幕僚人員先行面談，並透過簡報進行篩選，逕行決定是否拒絕。資料齊全之申請案件應否先收件，始可依程序判定是否符合資金運用原則，並將相關收件及婉拒情形造冊列管，經建會允應檢討。</w:t>
      </w:r>
    </w:p>
    <w:p w:rsidR="0052592B" w:rsidRPr="00D15543" w:rsidRDefault="0052592B" w:rsidP="0052592B">
      <w:pPr>
        <w:pStyle w:val="3"/>
        <w:ind w:left="1418" w:hanging="709"/>
        <w:rPr>
          <w:rFonts w:hAnsi="標楷體"/>
          <w:szCs w:val="32"/>
        </w:rPr>
      </w:pPr>
      <w:r w:rsidRPr="00D15543">
        <w:rPr>
          <w:rFonts w:hAnsi="標楷體"/>
          <w:szCs w:val="32"/>
        </w:rPr>
        <w:t>再查本院於100年9月8日請該基金就轉投資公司之轉投資公司名稱、申請日期、指派董監事名單、承辦人及組長姓名等相關資料及該基金相關補充說明，惟該基金遲至100年10月20日始回復，主要係該基金相關資訊系統無法充分提供所需資料，部分資料需逐案調閱原始檔卷，顯見該基金資料庫系統之建置未臻周全且功能未盡完善。</w:t>
      </w:r>
    </w:p>
    <w:p w:rsidR="0052592B" w:rsidRPr="00D15543" w:rsidRDefault="0052592B" w:rsidP="0052592B">
      <w:pPr>
        <w:pStyle w:val="3"/>
        <w:ind w:left="1418" w:hanging="709"/>
        <w:rPr>
          <w:rFonts w:hAnsi="標楷體"/>
          <w:szCs w:val="32"/>
        </w:rPr>
      </w:pPr>
      <w:proofErr w:type="gramStart"/>
      <w:r w:rsidRPr="00D15543">
        <w:rPr>
          <w:rFonts w:hAnsi="標楷體"/>
          <w:szCs w:val="32"/>
        </w:rPr>
        <w:t>末查國發</w:t>
      </w:r>
      <w:proofErr w:type="gramEnd"/>
      <w:r w:rsidRPr="00D15543">
        <w:rPr>
          <w:rFonts w:hAnsi="標楷體"/>
          <w:szCs w:val="32"/>
        </w:rPr>
        <w:t>基金辦理投資案件，</w:t>
      </w:r>
      <w:proofErr w:type="gramStart"/>
      <w:r w:rsidRPr="00D15543">
        <w:rPr>
          <w:rFonts w:hAnsi="標楷體"/>
          <w:szCs w:val="32"/>
        </w:rPr>
        <w:t>均需經由</w:t>
      </w:r>
      <w:proofErr w:type="gramEnd"/>
      <w:r w:rsidRPr="00D15543">
        <w:rPr>
          <w:rFonts w:hAnsi="標楷體"/>
          <w:szCs w:val="32"/>
        </w:rPr>
        <w:t>評審委員審議，該基金之評審委員分為技術審議委員及一般審議委員，一般審議委員由具財務、市場、管理及產業政策</w:t>
      </w:r>
      <w:r w:rsidRPr="00D15543">
        <w:rPr>
          <w:rFonts w:hAnsi="標楷體"/>
          <w:szCs w:val="32"/>
        </w:rPr>
        <w:lastRenderedPageBreak/>
        <w:t>等專業人士14人至16人組成；技術審議委員由相關技術領域之專業人士組成，分為電子資訊產業、機電運輸產業、化學與材料產業、生技與醫療保健產業、奈米科技產業、數位內容及文化創意產業、產業佈局、永續發展及其他產業等九組，各</w:t>
      </w:r>
      <w:proofErr w:type="gramStart"/>
      <w:r w:rsidRPr="00D15543">
        <w:rPr>
          <w:rFonts w:hAnsi="標楷體"/>
          <w:szCs w:val="32"/>
        </w:rPr>
        <w:t>組均置審議</w:t>
      </w:r>
      <w:proofErr w:type="gramEnd"/>
      <w:r w:rsidRPr="00D15543">
        <w:rPr>
          <w:rFonts w:hAnsi="標楷體"/>
          <w:szCs w:val="32"/>
        </w:rPr>
        <w:t>委員6人至8人，惟依本院調查該基金</w:t>
      </w:r>
      <w:r w:rsidRPr="00D15543">
        <w:rPr>
          <w:rFonts w:hAnsi="標楷體" w:hint="eastAsia"/>
          <w:szCs w:val="32"/>
        </w:rPr>
        <w:t>評審會審議情形</w:t>
      </w:r>
      <w:r w:rsidRPr="00D15543">
        <w:rPr>
          <w:rFonts w:hAnsi="標楷體"/>
          <w:szCs w:val="32"/>
        </w:rPr>
        <w:t>，第20次評審會議僅12人參與，又第19、22、24及第26等四次評審會議，</w:t>
      </w:r>
      <w:r w:rsidR="00BC37C7">
        <w:rPr>
          <w:rFonts w:hAnsi="標楷體"/>
          <w:szCs w:val="32"/>
        </w:rPr>
        <w:t>林○○</w:t>
      </w:r>
      <w:r w:rsidRPr="00D15543">
        <w:rPr>
          <w:rFonts w:hAnsi="標楷體"/>
          <w:szCs w:val="32"/>
        </w:rPr>
        <w:t>、</w:t>
      </w:r>
      <w:proofErr w:type="gramStart"/>
      <w:r w:rsidR="00BC37C7">
        <w:rPr>
          <w:rFonts w:hAnsi="標楷體"/>
          <w:szCs w:val="32"/>
        </w:rPr>
        <w:t>柯</w:t>
      </w:r>
      <w:proofErr w:type="gramEnd"/>
      <w:r w:rsidR="00BC37C7">
        <w:rPr>
          <w:rFonts w:hAnsi="標楷體"/>
          <w:szCs w:val="32"/>
        </w:rPr>
        <w:t>○○</w:t>
      </w:r>
      <w:r w:rsidRPr="00D15543">
        <w:rPr>
          <w:rFonts w:hAnsi="標楷體"/>
          <w:szCs w:val="32"/>
        </w:rPr>
        <w:t>、</w:t>
      </w:r>
      <w:r w:rsidR="00BC37C7">
        <w:rPr>
          <w:rFonts w:hAnsi="標楷體"/>
          <w:szCs w:val="32"/>
        </w:rPr>
        <w:t>單○</w:t>
      </w:r>
      <w:r w:rsidRPr="00D15543">
        <w:rPr>
          <w:rFonts w:hAnsi="標楷體"/>
          <w:szCs w:val="32"/>
        </w:rPr>
        <w:t>及</w:t>
      </w:r>
      <w:r w:rsidR="00BC37C7">
        <w:rPr>
          <w:rFonts w:hAnsi="標楷體"/>
          <w:szCs w:val="32"/>
        </w:rPr>
        <w:t>劉○○</w:t>
      </w:r>
      <w:r w:rsidRPr="00D15543">
        <w:rPr>
          <w:rFonts w:hAnsi="標楷體"/>
          <w:szCs w:val="32"/>
        </w:rPr>
        <w:t>等4位委員均請假未出席，其他部分評審委員亦多次請假，顯見該基金雖為提升審議投資案件之品質而建立評審委員制度，然卻未能充分發揮其功效，有予以強化之必要</w:t>
      </w:r>
      <w:r w:rsidRPr="00D15543">
        <w:rPr>
          <w:rFonts w:hAnsi="標楷體"/>
          <w:bCs w:val="0"/>
          <w:szCs w:val="32"/>
          <w:lang w:val="zh-TW"/>
        </w:rPr>
        <w:t>。</w:t>
      </w:r>
    </w:p>
    <w:p w:rsidR="0052592B" w:rsidRPr="00D15543" w:rsidRDefault="0052592B" w:rsidP="0052592B">
      <w:pPr>
        <w:pStyle w:val="3"/>
        <w:ind w:left="1418" w:hanging="709"/>
        <w:rPr>
          <w:rFonts w:hAnsi="標楷體"/>
          <w:szCs w:val="32"/>
        </w:rPr>
      </w:pPr>
      <w:r w:rsidRPr="00D15543">
        <w:rPr>
          <w:rFonts w:hAnsi="標楷體"/>
          <w:szCs w:val="32"/>
        </w:rPr>
        <w:t>綜上，國發基金掌握國家龐大資源，惟該基金之組織架構、人員編制是否符合需求，被投資申請投資之收件制度及該基金資訊系統之建置與功能亦亟待改善，部分評審委員出席欠佳，致評審會議制度未達應有功效，經建會允應確實檢討。</w:t>
      </w:r>
    </w:p>
    <w:bookmarkEnd w:id="1"/>
    <w:bookmarkEnd w:id="2"/>
    <w:bookmarkEnd w:id="3"/>
    <w:bookmarkEnd w:id="4"/>
    <w:bookmarkEnd w:id="5"/>
    <w:bookmarkEnd w:id="6"/>
    <w:bookmarkEnd w:id="7"/>
    <w:bookmarkEnd w:id="8"/>
    <w:bookmarkEnd w:id="9"/>
    <w:bookmarkEnd w:id="10"/>
    <w:bookmarkEnd w:id="11"/>
    <w:bookmarkEnd w:id="12"/>
    <w:bookmarkEnd w:id="13"/>
    <w:p w:rsidR="0052592B" w:rsidRPr="00D15543" w:rsidRDefault="0052592B" w:rsidP="00AF153E">
      <w:pPr>
        <w:pStyle w:val="1"/>
        <w:numPr>
          <w:ilvl w:val="0"/>
          <w:numId w:val="0"/>
        </w:numPr>
        <w:rPr>
          <w:rFonts w:hAnsi="標楷體"/>
        </w:rPr>
      </w:pPr>
    </w:p>
    <w:p w:rsidR="0052592B" w:rsidRPr="00D15543" w:rsidRDefault="0052592B" w:rsidP="0052592B">
      <w:pPr>
        <w:pStyle w:val="a5"/>
        <w:kinsoku w:val="0"/>
        <w:spacing w:before="0" w:after="0"/>
        <w:ind w:leftChars="1100" w:left="3742"/>
        <w:jc w:val="both"/>
        <w:rPr>
          <w:rFonts w:hAnsi="標楷體"/>
          <w:b w:val="0"/>
          <w:bCs/>
          <w:snapToGrid/>
          <w:spacing w:val="0"/>
          <w:sz w:val="40"/>
        </w:rPr>
      </w:pPr>
      <w:r w:rsidRPr="00D15543">
        <w:rPr>
          <w:rFonts w:hAnsi="標楷體"/>
          <w:b w:val="0"/>
          <w:bCs/>
          <w:snapToGrid/>
          <w:spacing w:val="12"/>
          <w:sz w:val="40"/>
        </w:rPr>
        <w:t>調查委員：</w:t>
      </w:r>
      <w:r w:rsidR="008A5CEA" w:rsidRPr="00D15543">
        <w:rPr>
          <w:rFonts w:hAnsi="標楷體" w:hint="eastAsia"/>
          <w:b w:val="0"/>
          <w:bCs/>
          <w:snapToGrid/>
          <w:spacing w:val="12"/>
          <w:sz w:val="40"/>
        </w:rPr>
        <w:t>馬秀如</w:t>
      </w:r>
      <w:r w:rsidRPr="00D15543">
        <w:rPr>
          <w:rFonts w:hAnsi="標楷體"/>
          <w:b w:val="0"/>
          <w:bCs/>
          <w:snapToGrid/>
          <w:vanish/>
          <w:spacing w:val="12"/>
          <w:sz w:val="40"/>
        </w:rPr>
        <w:t>馬委員秀如</w:t>
      </w:r>
    </w:p>
    <w:p w:rsidR="0052592B" w:rsidRPr="00D15543" w:rsidRDefault="008A5CEA" w:rsidP="0052592B">
      <w:pPr>
        <w:pStyle w:val="a5"/>
        <w:kinsoku w:val="0"/>
        <w:spacing w:before="0" w:after="0"/>
        <w:ind w:leftChars="1100" w:left="3742" w:firstLineChars="500" w:firstLine="2221"/>
        <w:jc w:val="both"/>
        <w:rPr>
          <w:rFonts w:hAnsi="標楷體"/>
          <w:b w:val="0"/>
          <w:bCs/>
          <w:snapToGrid/>
          <w:spacing w:val="12"/>
        </w:rPr>
      </w:pPr>
      <w:r w:rsidRPr="00D15543">
        <w:rPr>
          <w:rFonts w:hAnsi="標楷體" w:hint="eastAsia"/>
          <w:b w:val="0"/>
          <w:bCs/>
          <w:snapToGrid/>
          <w:spacing w:val="12"/>
          <w:sz w:val="40"/>
        </w:rPr>
        <w:t>馬以工</w:t>
      </w:r>
      <w:r w:rsidR="0052592B" w:rsidRPr="00D15543">
        <w:rPr>
          <w:rFonts w:hAnsi="標楷體"/>
          <w:b w:val="0"/>
          <w:bCs/>
          <w:snapToGrid/>
          <w:vanish/>
          <w:spacing w:val="12"/>
          <w:sz w:val="40"/>
        </w:rPr>
        <w:t>馬委員以工</w:t>
      </w: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AF153E" w:rsidRPr="00D15543" w:rsidRDefault="00AF153E"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5"/>
        <w:kinsoku w:val="0"/>
        <w:spacing w:before="0" w:after="0"/>
        <w:ind w:leftChars="1100" w:left="3742" w:firstLineChars="500" w:firstLine="2021"/>
        <w:jc w:val="both"/>
        <w:rPr>
          <w:rFonts w:hAnsi="標楷體"/>
          <w:b w:val="0"/>
          <w:bCs/>
          <w:snapToGrid/>
          <w:spacing w:val="12"/>
        </w:rPr>
      </w:pPr>
    </w:p>
    <w:p w:rsidR="0052592B" w:rsidRPr="00D15543" w:rsidRDefault="0052592B" w:rsidP="0052592B">
      <w:pPr>
        <w:pStyle w:val="ad"/>
        <w:rPr>
          <w:rFonts w:ascii="標楷體" w:hAnsi="標楷體"/>
          <w:bCs/>
        </w:rPr>
      </w:pPr>
      <w:r w:rsidRPr="00D15543">
        <w:rPr>
          <w:rFonts w:ascii="標楷體" w:hAnsi="標楷體"/>
          <w:bCs/>
        </w:rPr>
        <w:t xml:space="preserve">中 華 民 國  101  年   </w:t>
      </w:r>
      <w:r w:rsidR="008A5CEA" w:rsidRPr="00D15543">
        <w:rPr>
          <w:rFonts w:ascii="標楷體" w:hAnsi="標楷體" w:hint="eastAsia"/>
          <w:bCs/>
        </w:rPr>
        <w:t>4</w:t>
      </w:r>
      <w:r w:rsidRPr="00D15543">
        <w:rPr>
          <w:rFonts w:ascii="標楷體" w:hAnsi="標楷體"/>
          <w:bCs/>
        </w:rPr>
        <w:t xml:space="preserve">  月   </w:t>
      </w:r>
      <w:r w:rsidR="008A5CEA" w:rsidRPr="00D15543">
        <w:rPr>
          <w:rFonts w:ascii="標楷體" w:hAnsi="標楷體" w:hint="eastAsia"/>
          <w:bCs/>
        </w:rPr>
        <w:t>17</w:t>
      </w:r>
      <w:r w:rsidRPr="00D15543">
        <w:rPr>
          <w:rFonts w:ascii="標楷體" w:hAnsi="標楷體"/>
          <w:bCs/>
        </w:rPr>
        <w:t xml:space="preserve">  日</w:t>
      </w:r>
    </w:p>
    <w:sectPr w:rsidR="0052592B" w:rsidRPr="00D15543" w:rsidSect="0061408C">
      <w:footerReference w:type="default" r:id="rId7"/>
      <w:pgSz w:w="11907" w:h="16840" w:code="9"/>
      <w:pgMar w:top="1418" w:right="992"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89A" w:rsidRDefault="0071189A">
      <w:r>
        <w:separator/>
      </w:r>
    </w:p>
  </w:endnote>
  <w:endnote w:type="continuationSeparator" w:id="0">
    <w:p w:rsidR="0071189A" w:rsidRDefault="0071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E65" w:rsidRPr="00352E65" w:rsidRDefault="00352E65" w:rsidP="00352E65">
    <w:pPr>
      <w:pStyle w:val="af2"/>
      <w:framePr w:wrap="around" w:vAnchor="text" w:hAnchor="page" w:x="6091" w:y="-278"/>
      <w:jc w:val="center"/>
      <w:rPr>
        <w:rStyle w:val="a9"/>
        <w:rFonts w:ascii="Times New Roman"/>
        <w:sz w:val="24"/>
        <w:szCs w:val="24"/>
      </w:rPr>
    </w:pPr>
    <w:r w:rsidRPr="00352E65">
      <w:rPr>
        <w:rStyle w:val="a9"/>
        <w:rFonts w:ascii="Times New Roman"/>
        <w:sz w:val="24"/>
        <w:szCs w:val="24"/>
      </w:rPr>
      <w:fldChar w:fldCharType="begin"/>
    </w:r>
    <w:r w:rsidRPr="00352E65">
      <w:rPr>
        <w:rStyle w:val="a9"/>
        <w:rFonts w:ascii="Times New Roman"/>
        <w:sz w:val="24"/>
        <w:szCs w:val="24"/>
      </w:rPr>
      <w:instrText xml:space="preserve">PAGE  </w:instrText>
    </w:r>
    <w:r w:rsidRPr="00352E65">
      <w:rPr>
        <w:rStyle w:val="a9"/>
        <w:rFonts w:ascii="Times New Roman"/>
        <w:sz w:val="24"/>
        <w:szCs w:val="24"/>
      </w:rPr>
      <w:fldChar w:fldCharType="separate"/>
    </w:r>
    <w:r w:rsidR="00543EFF">
      <w:rPr>
        <w:rStyle w:val="a9"/>
        <w:rFonts w:ascii="Times New Roman"/>
        <w:noProof/>
        <w:sz w:val="24"/>
        <w:szCs w:val="24"/>
      </w:rPr>
      <w:t>1</w:t>
    </w:r>
    <w:r w:rsidRPr="00352E65">
      <w:rPr>
        <w:rStyle w:val="a9"/>
        <w:rFonts w:ascii="Times New Roman"/>
        <w:sz w:val="24"/>
        <w:szCs w:val="24"/>
      </w:rPr>
      <w:fldChar w:fldCharType="end"/>
    </w:r>
  </w:p>
  <w:p w:rsidR="00352E65" w:rsidRDefault="00352E65" w:rsidP="00C2323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89A" w:rsidRDefault="0071189A">
      <w:r>
        <w:separator/>
      </w:r>
    </w:p>
  </w:footnote>
  <w:footnote w:type="continuationSeparator" w:id="0">
    <w:p w:rsidR="0071189A" w:rsidRDefault="0071189A">
      <w:r>
        <w:continuationSeparator/>
      </w:r>
    </w:p>
  </w:footnote>
  <w:footnote w:id="1">
    <w:p w:rsidR="0052592B" w:rsidRDefault="0052592B" w:rsidP="0052592B">
      <w:pPr>
        <w:pStyle w:val="affa"/>
      </w:pPr>
      <w:r>
        <w:rPr>
          <w:rStyle w:val="affc"/>
        </w:rPr>
        <w:footnoteRef/>
      </w:r>
      <w:r>
        <w:t xml:space="preserve"> </w:t>
      </w:r>
      <w:r>
        <w:rPr>
          <w:rFonts w:hint="eastAsia"/>
        </w:rPr>
        <w:t>該基金以每股</w:t>
      </w:r>
      <w:r>
        <w:rPr>
          <w:rFonts w:hint="eastAsia"/>
        </w:rPr>
        <w:t>15</w:t>
      </w:r>
      <w:r>
        <w:rPr>
          <w:rFonts w:hint="eastAsia"/>
        </w:rPr>
        <w:t>元參與投資，持股比率以面額每股</w:t>
      </w:r>
      <w:r>
        <w:rPr>
          <w:rFonts w:hint="eastAsia"/>
        </w:rPr>
        <w:t>10</w:t>
      </w:r>
      <w:r>
        <w:rPr>
          <w:rFonts w:hint="eastAsia"/>
        </w:rPr>
        <w:t>元計算，另</w:t>
      </w:r>
      <w:r>
        <w:rPr>
          <w:rFonts w:hint="eastAsia"/>
        </w:rPr>
        <w:t>5</w:t>
      </w:r>
      <w:r>
        <w:rPr>
          <w:rFonts w:hint="eastAsia"/>
        </w:rPr>
        <w:t>元則為溢價。</w:t>
      </w:r>
      <w:r>
        <w:rPr>
          <w:rFonts w:hint="eastAsi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1B7"/>
    <w:multiLevelType w:val="hybridMultilevel"/>
    <w:tmpl w:val="1EBEC2CA"/>
    <w:lvl w:ilvl="0" w:tplc="916E8AF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EA417B"/>
    <w:multiLevelType w:val="hybridMultilevel"/>
    <w:tmpl w:val="905EFD12"/>
    <w:lvl w:ilvl="0" w:tplc="70700F2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C6063A"/>
    <w:multiLevelType w:val="hybridMultilevel"/>
    <w:tmpl w:val="182CD53C"/>
    <w:lvl w:ilvl="0" w:tplc="3D58E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8EF23D3A"/>
    <w:lvl w:ilvl="0">
      <w:start w:val="1"/>
      <w:numFmt w:val="ideographLegalTraditional"/>
      <w:pStyle w:val="1"/>
      <w:suff w:val="nothing"/>
      <w:lvlText w:val="%1、"/>
      <w:lvlJc w:val="left"/>
      <w:pPr>
        <w:ind w:left="1692"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upperRoman"/>
      <w:pStyle w:val="7"/>
      <w:lvlText w:val="%7."/>
      <w:lvlJc w:val="left"/>
      <w:pPr>
        <w:ind w:left="2444" w:hanging="352"/>
      </w:pPr>
      <w:rPr>
        <w:rFonts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EB5B4F"/>
    <w:multiLevelType w:val="hybridMultilevel"/>
    <w:tmpl w:val="74681C42"/>
    <w:lvl w:ilvl="0" w:tplc="70700F2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FC68E0"/>
    <w:multiLevelType w:val="hybridMultilevel"/>
    <w:tmpl w:val="ABC8A950"/>
    <w:lvl w:ilvl="0" w:tplc="9FB678D2">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0EC0549"/>
    <w:multiLevelType w:val="hybridMultilevel"/>
    <w:tmpl w:val="3A52C782"/>
    <w:lvl w:ilvl="0" w:tplc="94EC8FCE">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90219"/>
    <w:multiLevelType w:val="hybridMultilevel"/>
    <w:tmpl w:val="845EA3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254B9B"/>
    <w:multiLevelType w:val="hybridMultilevel"/>
    <w:tmpl w:val="B2BECCA8"/>
    <w:lvl w:ilvl="0" w:tplc="0409000F">
      <w:start w:val="1"/>
      <w:numFmt w:val="decimal"/>
      <w:lvlText w:val="%1."/>
      <w:lvlJc w:val="left"/>
      <w:pPr>
        <w:ind w:left="461"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1" w15:restartNumberingAfterBreak="0">
    <w:nsid w:val="3E4361A3"/>
    <w:multiLevelType w:val="multilevel"/>
    <w:tmpl w:val="19CC0762"/>
    <w:styleLink w:val="10"/>
    <w:lvl w:ilvl="0">
      <w:start w:val="1"/>
      <w:numFmt w:val="taiwaneseCountingThousand"/>
      <w:lvlText w:val="%1"/>
      <w:lvlJc w:val="left"/>
      <w:pPr>
        <w:ind w:left="-653" w:hanging="480"/>
      </w:pPr>
      <w:rPr>
        <w:rFonts w:ascii="Times New Roman" w:hAnsi="Times New Roman" w:hint="default"/>
        <w:color w:val="auto"/>
      </w:rPr>
    </w:lvl>
    <w:lvl w:ilvl="1">
      <w:start w:val="1"/>
      <w:numFmt w:val="none"/>
      <w:lvlText w:val="%2、"/>
      <w:lvlJc w:val="left"/>
      <w:pPr>
        <w:ind w:left="480" w:hanging="480"/>
      </w:pPr>
      <w:rPr>
        <w:rFonts w:hint="eastAsia"/>
      </w:rPr>
    </w:lvl>
    <w:lvl w:ilvl="2">
      <w:start w:val="1"/>
      <w:numFmt w:val="lowerRoman"/>
      <w:lvlText w:val="%3."/>
      <w:lvlJc w:val="right"/>
      <w:pPr>
        <w:ind w:left="307" w:hanging="480"/>
      </w:pPr>
      <w:rPr>
        <w:rFonts w:hint="eastAsia"/>
      </w:rPr>
    </w:lvl>
    <w:lvl w:ilvl="3">
      <w:start w:val="1"/>
      <w:numFmt w:val="decimal"/>
      <w:lvlText w:val="%4."/>
      <w:lvlJc w:val="left"/>
      <w:pPr>
        <w:ind w:left="787" w:hanging="480"/>
      </w:pPr>
      <w:rPr>
        <w:rFonts w:hint="eastAsia"/>
      </w:rPr>
    </w:lvl>
    <w:lvl w:ilvl="4">
      <w:start w:val="1"/>
      <w:numFmt w:val="ideographTraditional"/>
      <w:lvlText w:val="%5、"/>
      <w:lvlJc w:val="left"/>
      <w:pPr>
        <w:ind w:left="1267" w:hanging="480"/>
      </w:pPr>
      <w:rPr>
        <w:rFonts w:hint="eastAsia"/>
      </w:rPr>
    </w:lvl>
    <w:lvl w:ilvl="5">
      <w:start w:val="1"/>
      <w:numFmt w:val="lowerRoman"/>
      <w:lvlText w:val="%6."/>
      <w:lvlJc w:val="right"/>
      <w:pPr>
        <w:ind w:left="1747" w:hanging="480"/>
      </w:pPr>
      <w:rPr>
        <w:rFonts w:hint="eastAsia"/>
      </w:rPr>
    </w:lvl>
    <w:lvl w:ilvl="6">
      <w:start w:val="1"/>
      <w:numFmt w:val="decimal"/>
      <w:lvlText w:val="%7."/>
      <w:lvlJc w:val="left"/>
      <w:pPr>
        <w:ind w:left="2227" w:hanging="480"/>
      </w:pPr>
      <w:rPr>
        <w:rFonts w:hint="eastAsia"/>
      </w:rPr>
    </w:lvl>
    <w:lvl w:ilvl="7">
      <w:start w:val="1"/>
      <w:numFmt w:val="ideographTraditional"/>
      <w:lvlText w:val="%8、"/>
      <w:lvlJc w:val="left"/>
      <w:pPr>
        <w:ind w:left="2707" w:hanging="480"/>
      </w:pPr>
      <w:rPr>
        <w:rFonts w:hint="eastAsia"/>
      </w:rPr>
    </w:lvl>
    <w:lvl w:ilvl="8">
      <w:start w:val="1"/>
      <w:numFmt w:val="lowerRoman"/>
      <w:lvlText w:val="%9."/>
      <w:lvlJc w:val="right"/>
      <w:pPr>
        <w:ind w:left="3187" w:hanging="480"/>
      </w:pPr>
      <w:rPr>
        <w:rFonts w:hint="eastAsia"/>
      </w:rPr>
    </w:lvl>
  </w:abstractNum>
  <w:abstractNum w:abstractNumId="12" w15:restartNumberingAfterBreak="0">
    <w:nsid w:val="41203551"/>
    <w:multiLevelType w:val="singleLevel"/>
    <w:tmpl w:val="6324B1AC"/>
    <w:lvl w:ilvl="0">
      <w:numFmt w:val="bullet"/>
      <w:lvlText w:val="□"/>
      <w:lvlJc w:val="left"/>
      <w:pPr>
        <w:tabs>
          <w:tab w:val="num" w:pos="360"/>
        </w:tabs>
        <w:ind w:left="360" w:hanging="360"/>
      </w:pPr>
      <w:rPr>
        <w:rFonts w:ascii="標楷體" w:eastAsia="標楷體" w:hAnsi="Times New Roman" w:hint="eastAsia"/>
        <w:b/>
      </w:rPr>
    </w:lvl>
  </w:abstractNum>
  <w:abstractNum w:abstractNumId="13" w15:restartNumberingAfterBreak="0">
    <w:nsid w:val="48204599"/>
    <w:multiLevelType w:val="hybridMultilevel"/>
    <w:tmpl w:val="273201AC"/>
    <w:lvl w:ilvl="0" w:tplc="4FBAEDE6">
      <w:start w:val="1"/>
      <w:numFmt w:val="decimal"/>
      <w:lvlText w:val="%1."/>
      <w:lvlJc w:val="left"/>
      <w:pPr>
        <w:ind w:left="360" w:hanging="360"/>
      </w:pPr>
      <w:rPr>
        <w:rFonts w:hint="default"/>
      </w:r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4" w15:restartNumberingAfterBreak="0">
    <w:nsid w:val="50075550"/>
    <w:multiLevelType w:val="hybridMultilevel"/>
    <w:tmpl w:val="65F262DE"/>
    <w:lvl w:ilvl="0" w:tplc="A20048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847606D"/>
    <w:multiLevelType w:val="multilevel"/>
    <w:tmpl w:val="DF401674"/>
    <w:lvl w:ilvl="0">
      <w:start w:val="1"/>
      <w:numFmt w:val="taiwaneseCountingThousand"/>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5B4D56B9"/>
    <w:multiLevelType w:val="hybridMultilevel"/>
    <w:tmpl w:val="F9283DF8"/>
    <w:lvl w:ilvl="0" w:tplc="38F21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3EB6BF0"/>
    <w:multiLevelType w:val="hybridMultilevel"/>
    <w:tmpl w:val="AD2E7082"/>
    <w:lvl w:ilvl="0" w:tplc="652A6ABA">
      <w:start w:val="1"/>
      <w:numFmt w:val="decimal"/>
      <w:lvlText w:val="%1."/>
      <w:lvlJc w:val="left"/>
      <w:pPr>
        <w:ind w:left="329" w:hanging="360"/>
      </w:pPr>
      <w:rPr>
        <w:rFonts w:hint="default"/>
      </w:rPr>
    </w:lvl>
    <w:lvl w:ilvl="1" w:tplc="04090019" w:tentative="1">
      <w:start w:val="1"/>
      <w:numFmt w:val="ideographTraditional"/>
      <w:lvlText w:val="%2、"/>
      <w:lvlJc w:val="left"/>
      <w:pPr>
        <w:ind w:left="929" w:hanging="480"/>
      </w:pPr>
    </w:lvl>
    <w:lvl w:ilvl="2" w:tplc="0409001B">
      <w:start w:val="1"/>
      <w:numFmt w:val="lowerRoman"/>
      <w:lvlText w:val="%3."/>
      <w:lvlJc w:val="right"/>
      <w:pPr>
        <w:ind w:left="1409" w:hanging="480"/>
      </w:pPr>
    </w:lvl>
    <w:lvl w:ilvl="3" w:tplc="0409000F">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18" w15:restartNumberingAfterBreak="0">
    <w:nsid w:val="64486B98"/>
    <w:multiLevelType w:val="hybridMultilevel"/>
    <w:tmpl w:val="EE386B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7A691D"/>
    <w:multiLevelType w:val="hybridMultilevel"/>
    <w:tmpl w:val="FED841EE"/>
    <w:lvl w:ilvl="0" w:tplc="29D647E0">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789305A"/>
    <w:multiLevelType w:val="hybridMultilevel"/>
    <w:tmpl w:val="52389A9C"/>
    <w:lvl w:ilvl="0" w:tplc="D16EEC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9A40871"/>
    <w:multiLevelType w:val="hybridMultilevel"/>
    <w:tmpl w:val="638EB126"/>
    <w:lvl w:ilvl="0" w:tplc="855479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C67FEE"/>
    <w:multiLevelType w:val="hybridMultilevel"/>
    <w:tmpl w:val="341A243E"/>
    <w:lvl w:ilvl="0" w:tplc="0409000F">
      <w:start w:val="1"/>
      <w:numFmt w:val="decimal"/>
      <w:lvlText w:val="%1."/>
      <w:lvlJc w:val="left"/>
      <w:pPr>
        <w:ind w:left="452" w:hanging="480"/>
      </w:p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3" w15:restartNumberingAfterBreak="0">
    <w:nsid w:val="6C4B4A03"/>
    <w:multiLevelType w:val="hybridMultilevel"/>
    <w:tmpl w:val="993E690E"/>
    <w:lvl w:ilvl="0" w:tplc="70700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CD54A9"/>
    <w:multiLevelType w:val="hybridMultilevel"/>
    <w:tmpl w:val="898E9BFA"/>
    <w:lvl w:ilvl="0" w:tplc="70700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C56389"/>
    <w:multiLevelType w:val="hybridMultilevel"/>
    <w:tmpl w:val="B72A51F4"/>
    <w:lvl w:ilvl="0" w:tplc="29D647E0">
      <w:start w:val="1"/>
      <w:numFmt w:val="decimal"/>
      <w:lvlText w:val="%1."/>
      <w:lvlJc w:val="left"/>
      <w:pPr>
        <w:tabs>
          <w:tab w:val="num" w:pos="360"/>
        </w:tabs>
        <w:ind w:left="3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8942943"/>
    <w:multiLevelType w:val="hybridMultilevel"/>
    <w:tmpl w:val="62DE4B16"/>
    <w:lvl w:ilvl="0" w:tplc="A3B03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9F0825"/>
    <w:multiLevelType w:val="hybridMultilevel"/>
    <w:tmpl w:val="341A243E"/>
    <w:lvl w:ilvl="0" w:tplc="0409000F">
      <w:start w:val="1"/>
      <w:numFmt w:val="decimal"/>
      <w:lvlText w:val="%1."/>
      <w:lvlJc w:val="left"/>
      <w:pPr>
        <w:ind w:left="452" w:hanging="480"/>
      </w:p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8" w15:restartNumberingAfterBreak="0">
    <w:nsid w:val="7E0C75E2"/>
    <w:multiLevelType w:val="hybridMultilevel"/>
    <w:tmpl w:val="7F9613F2"/>
    <w:lvl w:ilvl="0" w:tplc="074AEE78">
      <w:start w:val="1"/>
      <w:numFmt w:val="decimal"/>
      <w:lvlText w:val="%1."/>
      <w:lvlJc w:val="left"/>
      <w:pPr>
        <w:ind w:left="45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4"/>
  </w:num>
  <w:num w:numId="4">
    <w:abstractNumId w:val="4"/>
  </w:num>
  <w:num w:numId="5">
    <w:abstractNumId w:val="17"/>
  </w:num>
  <w:num w:numId="6">
    <w:abstractNumId w:val="4"/>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11"/>
  </w:num>
  <w:num w:numId="10">
    <w:abstractNumId w:val="27"/>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1"/>
  </w:num>
  <w:num w:numId="28">
    <w:abstractNumId w:val="6"/>
  </w:num>
  <w:num w:numId="29">
    <w:abstractNumId w:val="2"/>
  </w:num>
  <w:num w:numId="30">
    <w:abstractNumId w:val="23"/>
  </w:num>
  <w:num w:numId="31">
    <w:abstractNumId w:val="24"/>
  </w:num>
  <w:num w:numId="32">
    <w:abstractNumId w:val="28"/>
  </w:num>
  <w:num w:numId="33">
    <w:abstractNumId w:val="13"/>
  </w:num>
  <w:num w:numId="34">
    <w:abstractNumId w:val="9"/>
  </w:num>
  <w:num w:numId="35">
    <w:abstractNumId w:val="12"/>
  </w:num>
  <w:num w:numId="36">
    <w:abstractNumId w:val="16"/>
  </w:num>
  <w:num w:numId="37">
    <w:abstractNumId w:val="0"/>
  </w:num>
  <w:num w:numId="38">
    <w:abstractNumId w:val="20"/>
  </w:num>
  <w:num w:numId="39">
    <w:abstractNumId w:val="14"/>
  </w:num>
  <w:num w:numId="40">
    <w:abstractNumId w:val="19"/>
  </w:num>
  <w:num w:numId="41">
    <w:abstractNumId w:val="25"/>
  </w:num>
  <w:num w:numId="42">
    <w:abstractNumId w:val="8"/>
  </w:num>
  <w:num w:numId="43">
    <w:abstractNumId w:val="7"/>
  </w:num>
  <w:num w:numId="44">
    <w:abstractNumId w:val="2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6C"/>
    <w:rsid w:val="00001AB3"/>
    <w:rsid w:val="000037B4"/>
    <w:rsid w:val="000136C8"/>
    <w:rsid w:val="000137EC"/>
    <w:rsid w:val="0001571D"/>
    <w:rsid w:val="00021DB9"/>
    <w:rsid w:val="000252E7"/>
    <w:rsid w:val="000256AF"/>
    <w:rsid w:val="000257E8"/>
    <w:rsid w:val="000265CA"/>
    <w:rsid w:val="00027EEF"/>
    <w:rsid w:val="00030D35"/>
    <w:rsid w:val="00031A2C"/>
    <w:rsid w:val="00031DF4"/>
    <w:rsid w:val="000328B3"/>
    <w:rsid w:val="00036DE4"/>
    <w:rsid w:val="0004432B"/>
    <w:rsid w:val="00045812"/>
    <w:rsid w:val="00047360"/>
    <w:rsid w:val="000475B3"/>
    <w:rsid w:val="00051B76"/>
    <w:rsid w:val="0005477E"/>
    <w:rsid w:val="0006120E"/>
    <w:rsid w:val="00063ADA"/>
    <w:rsid w:val="000672A3"/>
    <w:rsid w:val="000704B2"/>
    <w:rsid w:val="00072498"/>
    <w:rsid w:val="00073B7F"/>
    <w:rsid w:val="000805E6"/>
    <w:rsid w:val="000817E4"/>
    <w:rsid w:val="00082302"/>
    <w:rsid w:val="00085A28"/>
    <w:rsid w:val="0008651B"/>
    <w:rsid w:val="000920F7"/>
    <w:rsid w:val="00094EAF"/>
    <w:rsid w:val="0009537E"/>
    <w:rsid w:val="00096EF5"/>
    <w:rsid w:val="00097922"/>
    <w:rsid w:val="000A0095"/>
    <w:rsid w:val="000A0286"/>
    <w:rsid w:val="000A48A5"/>
    <w:rsid w:val="000A64DC"/>
    <w:rsid w:val="000B011B"/>
    <w:rsid w:val="000B146A"/>
    <w:rsid w:val="000D0210"/>
    <w:rsid w:val="000D178D"/>
    <w:rsid w:val="000D1E31"/>
    <w:rsid w:val="000D27FE"/>
    <w:rsid w:val="000D2AD3"/>
    <w:rsid w:val="000D7940"/>
    <w:rsid w:val="000E13F8"/>
    <w:rsid w:val="000E439F"/>
    <w:rsid w:val="000F084B"/>
    <w:rsid w:val="0010175E"/>
    <w:rsid w:val="00102041"/>
    <w:rsid w:val="00106DAE"/>
    <w:rsid w:val="00111155"/>
    <w:rsid w:val="0011168E"/>
    <w:rsid w:val="00113685"/>
    <w:rsid w:val="001141E6"/>
    <w:rsid w:val="00116473"/>
    <w:rsid w:val="00116697"/>
    <w:rsid w:val="00120321"/>
    <w:rsid w:val="00121CBD"/>
    <w:rsid w:val="00122F25"/>
    <w:rsid w:val="001241E8"/>
    <w:rsid w:val="001255AA"/>
    <w:rsid w:val="00130267"/>
    <w:rsid w:val="001305F6"/>
    <w:rsid w:val="00131F9D"/>
    <w:rsid w:val="00132073"/>
    <w:rsid w:val="00132200"/>
    <w:rsid w:val="00132F38"/>
    <w:rsid w:val="0013690B"/>
    <w:rsid w:val="00136D15"/>
    <w:rsid w:val="00141E54"/>
    <w:rsid w:val="00143170"/>
    <w:rsid w:val="00143B29"/>
    <w:rsid w:val="00144ADF"/>
    <w:rsid w:val="00147D84"/>
    <w:rsid w:val="00147FC2"/>
    <w:rsid w:val="0015412C"/>
    <w:rsid w:val="001568FA"/>
    <w:rsid w:val="00170AD7"/>
    <w:rsid w:val="00171291"/>
    <w:rsid w:val="001727D7"/>
    <w:rsid w:val="00177765"/>
    <w:rsid w:val="001941CC"/>
    <w:rsid w:val="00196003"/>
    <w:rsid w:val="001A121E"/>
    <w:rsid w:val="001A26C7"/>
    <w:rsid w:val="001A64CD"/>
    <w:rsid w:val="001A7AB9"/>
    <w:rsid w:val="001B27F1"/>
    <w:rsid w:val="001B2A13"/>
    <w:rsid w:val="001C1221"/>
    <w:rsid w:val="001C140C"/>
    <w:rsid w:val="001C1F82"/>
    <w:rsid w:val="001C2A66"/>
    <w:rsid w:val="001C5906"/>
    <w:rsid w:val="001C5D26"/>
    <w:rsid w:val="001C749E"/>
    <w:rsid w:val="001D1875"/>
    <w:rsid w:val="001D3D03"/>
    <w:rsid w:val="001D3FD5"/>
    <w:rsid w:val="001D48ED"/>
    <w:rsid w:val="001D7737"/>
    <w:rsid w:val="001D7DDC"/>
    <w:rsid w:val="001D7FB4"/>
    <w:rsid w:val="001E0CD5"/>
    <w:rsid w:val="001E1DB2"/>
    <w:rsid w:val="001E2580"/>
    <w:rsid w:val="001E71B6"/>
    <w:rsid w:val="001F266F"/>
    <w:rsid w:val="001F2D7A"/>
    <w:rsid w:val="001F3AF0"/>
    <w:rsid w:val="001F59B3"/>
    <w:rsid w:val="001F62AF"/>
    <w:rsid w:val="002038BD"/>
    <w:rsid w:val="0020464E"/>
    <w:rsid w:val="00205748"/>
    <w:rsid w:val="00206A4F"/>
    <w:rsid w:val="002103EE"/>
    <w:rsid w:val="00212AC9"/>
    <w:rsid w:val="00215F23"/>
    <w:rsid w:val="00216135"/>
    <w:rsid w:val="002161CE"/>
    <w:rsid w:val="00221BCF"/>
    <w:rsid w:val="00224D5E"/>
    <w:rsid w:val="00224E63"/>
    <w:rsid w:val="002341C1"/>
    <w:rsid w:val="00236064"/>
    <w:rsid w:val="0023719F"/>
    <w:rsid w:val="00237CCD"/>
    <w:rsid w:val="00241B62"/>
    <w:rsid w:val="002445C0"/>
    <w:rsid w:val="002462E5"/>
    <w:rsid w:val="00247FA1"/>
    <w:rsid w:val="002503E3"/>
    <w:rsid w:val="002506E2"/>
    <w:rsid w:val="0025358F"/>
    <w:rsid w:val="00260D17"/>
    <w:rsid w:val="00261F94"/>
    <w:rsid w:val="00263037"/>
    <w:rsid w:val="00263731"/>
    <w:rsid w:val="002658FF"/>
    <w:rsid w:val="002749FD"/>
    <w:rsid w:val="00275B67"/>
    <w:rsid w:val="002829D9"/>
    <w:rsid w:val="00286F16"/>
    <w:rsid w:val="00290452"/>
    <w:rsid w:val="002A4A29"/>
    <w:rsid w:val="002A4C7B"/>
    <w:rsid w:val="002A5014"/>
    <w:rsid w:val="002A6B4C"/>
    <w:rsid w:val="002A6D3C"/>
    <w:rsid w:val="002C1EAF"/>
    <w:rsid w:val="002C6AA2"/>
    <w:rsid w:val="002D12A8"/>
    <w:rsid w:val="002D3D11"/>
    <w:rsid w:val="002D4354"/>
    <w:rsid w:val="002E1BE5"/>
    <w:rsid w:val="002E50E6"/>
    <w:rsid w:val="002F0708"/>
    <w:rsid w:val="002F198A"/>
    <w:rsid w:val="002F24FF"/>
    <w:rsid w:val="002F32BB"/>
    <w:rsid w:val="002F3402"/>
    <w:rsid w:val="002F41CD"/>
    <w:rsid w:val="00302874"/>
    <w:rsid w:val="00302CCA"/>
    <w:rsid w:val="00307C70"/>
    <w:rsid w:val="003224B8"/>
    <w:rsid w:val="00332CC9"/>
    <w:rsid w:val="003330B1"/>
    <w:rsid w:val="00334C1F"/>
    <w:rsid w:val="00335961"/>
    <w:rsid w:val="0033640B"/>
    <w:rsid w:val="003369B9"/>
    <w:rsid w:val="003502CA"/>
    <w:rsid w:val="00352B59"/>
    <w:rsid w:val="00352E65"/>
    <w:rsid w:val="003544A7"/>
    <w:rsid w:val="00354A60"/>
    <w:rsid w:val="00355B54"/>
    <w:rsid w:val="00357504"/>
    <w:rsid w:val="00357EDD"/>
    <w:rsid w:val="00357FCC"/>
    <w:rsid w:val="00366814"/>
    <w:rsid w:val="00366CBF"/>
    <w:rsid w:val="0036781A"/>
    <w:rsid w:val="00372FCB"/>
    <w:rsid w:val="0037386A"/>
    <w:rsid w:val="0037428D"/>
    <w:rsid w:val="003762DC"/>
    <w:rsid w:val="003766A1"/>
    <w:rsid w:val="003773B1"/>
    <w:rsid w:val="00377801"/>
    <w:rsid w:val="00377EDE"/>
    <w:rsid w:val="00382C18"/>
    <w:rsid w:val="003832F2"/>
    <w:rsid w:val="0038463F"/>
    <w:rsid w:val="003850FF"/>
    <w:rsid w:val="00387576"/>
    <w:rsid w:val="00387B18"/>
    <w:rsid w:val="0039082A"/>
    <w:rsid w:val="00393918"/>
    <w:rsid w:val="00394FF4"/>
    <w:rsid w:val="003957CD"/>
    <w:rsid w:val="00395847"/>
    <w:rsid w:val="003A5E67"/>
    <w:rsid w:val="003A6A9F"/>
    <w:rsid w:val="003B1B0C"/>
    <w:rsid w:val="003B46A7"/>
    <w:rsid w:val="003C2655"/>
    <w:rsid w:val="003C2F39"/>
    <w:rsid w:val="003D15AA"/>
    <w:rsid w:val="003D1701"/>
    <w:rsid w:val="003D1F5E"/>
    <w:rsid w:val="003D74DE"/>
    <w:rsid w:val="003D7729"/>
    <w:rsid w:val="003E1FC6"/>
    <w:rsid w:val="003E2A07"/>
    <w:rsid w:val="003E6DE3"/>
    <w:rsid w:val="003E7798"/>
    <w:rsid w:val="003F0670"/>
    <w:rsid w:val="003F0690"/>
    <w:rsid w:val="003F304C"/>
    <w:rsid w:val="00400767"/>
    <w:rsid w:val="0040219A"/>
    <w:rsid w:val="004033D6"/>
    <w:rsid w:val="00406C0B"/>
    <w:rsid w:val="00410F3D"/>
    <w:rsid w:val="00414698"/>
    <w:rsid w:val="00414CB8"/>
    <w:rsid w:val="00416C77"/>
    <w:rsid w:val="00416FF4"/>
    <w:rsid w:val="004177A6"/>
    <w:rsid w:val="0042115A"/>
    <w:rsid w:val="0042503E"/>
    <w:rsid w:val="0043056A"/>
    <w:rsid w:val="00430C69"/>
    <w:rsid w:val="0043194D"/>
    <w:rsid w:val="004336F9"/>
    <w:rsid w:val="00435382"/>
    <w:rsid w:val="00436CC8"/>
    <w:rsid w:val="00437E0E"/>
    <w:rsid w:val="004402C5"/>
    <w:rsid w:val="00440788"/>
    <w:rsid w:val="00442F6B"/>
    <w:rsid w:val="004461A6"/>
    <w:rsid w:val="0045010B"/>
    <w:rsid w:val="00453813"/>
    <w:rsid w:val="004543CA"/>
    <w:rsid w:val="00455DE5"/>
    <w:rsid w:val="0045780C"/>
    <w:rsid w:val="00457BDE"/>
    <w:rsid w:val="004601EF"/>
    <w:rsid w:val="00460AED"/>
    <w:rsid w:val="00460D44"/>
    <w:rsid w:val="00461305"/>
    <w:rsid w:val="00461E86"/>
    <w:rsid w:val="004647B4"/>
    <w:rsid w:val="004667D6"/>
    <w:rsid w:val="00466C83"/>
    <w:rsid w:val="0047008A"/>
    <w:rsid w:val="004739C5"/>
    <w:rsid w:val="00485625"/>
    <w:rsid w:val="004869E0"/>
    <w:rsid w:val="004873D8"/>
    <w:rsid w:val="00493A5D"/>
    <w:rsid w:val="004A1E28"/>
    <w:rsid w:val="004A2611"/>
    <w:rsid w:val="004A29FA"/>
    <w:rsid w:val="004A430A"/>
    <w:rsid w:val="004A44FC"/>
    <w:rsid w:val="004A703C"/>
    <w:rsid w:val="004B0E8F"/>
    <w:rsid w:val="004B1649"/>
    <w:rsid w:val="004B1894"/>
    <w:rsid w:val="004B52C2"/>
    <w:rsid w:val="004B5A01"/>
    <w:rsid w:val="004B72E7"/>
    <w:rsid w:val="004C14AA"/>
    <w:rsid w:val="004C53F6"/>
    <w:rsid w:val="004C557D"/>
    <w:rsid w:val="004C70EB"/>
    <w:rsid w:val="004D0A2C"/>
    <w:rsid w:val="004D59D5"/>
    <w:rsid w:val="004E3746"/>
    <w:rsid w:val="004E5B66"/>
    <w:rsid w:val="004E7E1E"/>
    <w:rsid w:val="004F06AE"/>
    <w:rsid w:val="004F1389"/>
    <w:rsid w:val="004F2006"/>
    <w:rsid w:val="004F3136"/>
    <w:rsid w:val="004F500F"/>
    <w:rsid w:val="004F5AF4"/>
    <w:rsid w:val="004F63AC"/>
    <w:rsid w:val="004F6F8D"/>
    <w:rsid w:val="005020BF"/>
    <w:rsid w:val="00506CC5"/>
    <w:rsid w:val="00510274"/>
    <w:rsid w:val="0051380D"/>
    <w:rsid w:val="00524BD5"/>
    <w:rsid w:val="0052592B"/>
    <w:rsid w:val="0052714F"/>
    <w:rsid w:val="0052749D"/>
    <w:rsid w:val="00530FCA"/>
    <w:rsid w:val="0053146F"/>
    <w:rsid w:val="00531537"/>
    <w:rsid w:val="00532202"/>
    <w:rsid w:val="00532A2A"/>
    <w:rsid w:val="00532B08"/>
    <w:rsid w:val="00532C1A"/>
    <w:rsid w:val="00532D13"/>
    <w:rsid w:val="00536AF1"/>
    <w:rsid w:val="00540528"/>
    <w:rsid w:val="0054089C"/>
    <w:rsid w:val="00542248"/>
    <w:rsid w:val="00543EFF"/>
    <w:rsid w:val="0054530D"/>
    <w:rsid w:val="00545E34"/>
    <w:rsid w:val="00550F12"/>
    <w:rsid w:val="00552351"/>
    <w:rsid w:val="00553004"/>
    <w:rsid w:val="005546D2"/>
    <w:rsid w:val="00562AE9"/>
    <w:rsid w:val="00567C99"/>
    <w:rsid w:val="00567D4F"/>
    <w:rsid w:val="0057296B"/>
    <w:rsid w:val="00573DB3"/>
    <w:rsid w:val="00574372"/>
    <w:rsid w:val="00575EC0"/>
    <w:rsid w:val="00576727"/>
    <w:rsid w:val="0058442C"/>
    <w:rsid w:val="0058455A"/>
    <w:rsid w:val="00585FF4"/>
    <w:rsid w:val="005905FF"/>
    <w:rsid w:val="00595EB4"/>
    <w:rsid w:val="00597873"/>
    <w:rsid w:val="005A4D65"/>
    <w:rsid w:val="005A5BDA"/>
    <w:rsid w:val="005A614E"/>
    <w:rsid w:val="005A7DBC"/>
    <w:rsid w:val="005B11AB"/>
    <w:rsid w:val="005B2ADA"/>
    <w:rsid w:val="005B57A2"/>
    <w:rsid w:val="005C2569"/>
    <w:rsid w:val="005C327E"/>
    <w:rsid w:val="005C484D"/>
    <w:rsid w:val="005C5AFB"/>
    <w:rsid w:val="005C69C2"/>
    <w:rsid w:val="005D0011"/>
    <w:rsid w:val="005D150F"/>
    <w:rsid w:val="005D2CF8"/>
    <w:rsid w:val="005D55FD"/>
    <w:rsid w:val="005D5894"/>
    <w:rsid w:val="005D64B9"/>
    <w:rsid w:val="005D7563"/>
    <w:rsid w:val="005E2A86"/>
    <w:rsid w:val="005E3585"/>
    <w:rsid w:val="005E4A89"/>
    <w:rsid w:val="005E5BCC"/>
    <w:rsid w:val="005E62F8"/>
    <w:rsid w:val="005F25E8"/>
    <w:rsid w:val="005F2863"/>
    <w:rsid w:val="005F3A8C"/>
    <w:rsid w:val="005F3EA0"/>
    <w:rsid w:val="005F63A2"/>
    <w:rsid w:val="00601965"/>
    <w:rsid w:val="00601972"/>
    <w:rsid w:val="00610CF7"/>
    <w:rsid w:val="006116E4"/>
    <w:rsid w:val="0061408C"/>
    <w:rsid w:val="006209CD"/>
    <w:rsid w:val="00620F54"/>
    <w:rsid w:val="00624305"/>
    <w:rsid w:val="006246AE"/>
    <w:rsid w:val="006328BD"/>
    <w:rsid w:val="0063506F"/>
    <w:rsid w:val="00636B0B"/>
    <w:rsid w:val="006374CC"/>
    <w:rsid w:val="00644FB4"/>
    <w:rsid w:val="006450F1"/>
    <w:rsid w:val="00650641"/>
    <w:rsid w:val="00651781"/>
    <w:rsid w:val="00652644"/>
    <w:rsid w:val="00653E29"/>
    <w:rsid w:val="00657AF9"/>
    <w:rsid w:val="00661A04"/>
    <w:rsid w:val="00662A02"/>
    <w:rsid w:val="00663A9D"/>
    <w:rsid w:val="006646A3"/>
    <w:rsid w:val="006761A8"/>
    <w:rsid w:val="006775F2"/>
    <w:rsid w:val="0067766D"/>
    <w:rsid w:val="0068385F"/>
    <w:rsid w:val="006852D7"/>
    <w:rsid w:val="00685521"/>
    <w:rsid w:val="0068633A"/>
    <w:rsid w:val="0069009A"/>
    <w:rsid w:val="00690D36"/>
    <w:rsid w:val="00693E5F"/>
    <w:rsid w:val="006A027D"/>
    <w:rsid w:val="006A4401"/>
    <w:rsid w:val="006A7442"/>
    <w:rsid w:val="006A7623"/>
    <w:rsid w:val="006B3232"/>
    <w:rsid w:val="006B6E26"/>
    <w:rsid w:val="006C0D3F"/>
    <w:rsid w:val="006C29B1"/>
    <w:rsid w:val="006C7CDA"/>
    <w:rsid w:val="006D04AD"/>
    <w:rsid w:val="006D05A1"/>
    <w:rsid w:val="006D1A6F"/>
    <w:rsid w:val="006D2A0C"/>
    <w:rsid w:val="006D59EA"/>
    <w:rsid w:val="006D6C4E"/>
    <w:rsid w:val="006D7BA7"/>
    <w:rsid w:val="006E25F6"/>
    <w:rsid w:val="006E42C6"/>
    <w:rsid w:val="006F03C2"/>
    <w:rsid w:val="006F2C2B"/>
    <w:rsid w:val="00702C70"/>
    <w:rsid w:val="00703070"/>
    <w:rsid w:val="007058A9"/>
    <w:rsid w:val="00711613"/>
    <w:rsid w:val="0071189A"/>
    <w:rsid w:val="00711A94"/>
    <w:rsid w:val="007131F2"/>
    <w:rsid w:val="00715518"/>
    <w:rsid w:val="00717619"/>
    <w:rsid w:val="00717DA7"/>
    <w:rsid w:val="00722382"/>
    <w:rsid w:val="0072674A"/>
    <w:rsid w:val="00727D69"/>
    <w:rsid w:val="00730997"/>
    <w:rsid w:val="007313B0"/>
    <w:rsid w:val="00741F8E"/>
    <w:rsid w:val="0074224F"/>
    <w:rsid w:val="00742FFC"/>
    <w:rsid w:val="007439E9"/>
    <w:rsid w:val="00745E95"/>
    <w:rsid w:val="00751E15"/>
    <w:rsid w:val="007527B4"/>
    <w:rsid w:val="0075306B"/>
    <w:rsid w:val="007541D5"/>
    <w:rsid w:val="00754EC3"/>
    <w:rsid w:val="00755A6C"/>
    <w:rsid w:val="00757121"/>
    <w:rsid w:val="00766E69"/>
    <w:rsid w:val="00767BC6"/>
    <w:rsid w:val="00776259"/>
    <w:rsid w:val="00782295"/>
    <w:rsid w:val="007826E7"/>
    <w:rsid w:val="007866A9"/>
    <w:rsid w:val="007878AA"/>
    <w:rsid w:val="00787942"/>
    <w:rsid w:val="00795C9A"/>
    <w:rsid w:val="0079772D"/>
    <w:rsid w:val="007A01EC"/>
    <w:rsid w:val="007A02D3"/>
    <w:rsid w:val="007A2EAA"/>
    <w:rsid w:val="007A3F77"/>
    <w:rsid w:val="007A40BF"/>
    <w:rsid w:val="007B19F6"/>
    <w:rsid w:val="007B2B9E"/>
    <w:rsid w:val="007B38A4"/>
    <w:rsid w:val="007B6F5E"/>
    <w:rsid w:val="007C2176"/>
    <w:rsid w:val="007C2346"/>
    <w:rsid w:val="007C2874"/>
    <w:rsid w:val="007D0506"/>
    <w:rsid w:val="007D5613"/>
    <w:rsid w:val="007D5D98"/>
    <w:rsid w:val="007D7AD3"/>
    <w:rsid w:val="007E13A9"/>
    <w:rsid w:val="007E300A"/>
    <w:rsid w:val="007E3DC7"/>
    <w:rsid w:val="007E50F7"/>
    <w:rsid w:val="007E5B25"/>
    <w:rsid w:val="007F0309"/>
    <w:rsid w:val="007F0679"/>
    <w:rsid w:val="007F0E52"/>
    <w:rsid w:val="007F1B60"/>
    <w:rsid w:val="007F2E78"/>
    <w:rsid w:val="007F4E73"/>
    <w:rsid w:val="007F5332"/>
    <w:rsid w:val="007F6B3A"/>
    <w:rsid w:val="00801276"/>
    <w:rsid w:val="00803AF8"/>
    <w:rsid w:val="008050FA"/>
    <w:rsid w:val="00806D25"/>
    <w:rsid w:val="00807AE9"/>
    <w:rsid w:val="008152AE"/>
    <w:rsid w:val="008156E0"/>
    <w:rsid w:val="00815A20"/>
    <w:rsid w:val="0081616E"/>
    <w:rsid w:val="00821608"/>
    <w:rsid w:val="00821BE2"/>
    <w:rsid w:val="00824878"/>
    <w:rsid w:val="00824DB7"/>
    <w:rsid w:val="008261B9"/>
    <w:rsid w:val="0083274E"/>
    <w:rsid w:val="0083396A"/>
    <w:rsid w:val="00836CEB"/>
    <w:rsid w:val="00840DBB"/>
    <w:rsid w:val="00843A9D"/>
    <w:rsid w:val="0084619A"/>
    <w:rsid w:val="0085558C"/>
    <w:rsid w:val="00855DA4"/>
    <w:rsid w:val="00855FD6"/>
    <w:rsid w:val="00857222"/>
    <w:rsid w:val="00860240"/>
    <w:rsid w:val="00862287"/>
    <w:rsid w:val="00862E49"/>
    <w:rsid w:val="0086327D"/>
    <w:rsid w:val="00864305"/>
    <w:rsid w:val="00864D3F"/>
    <w:rsid w:val="0086665A"/>
    <w:rsid w:val="00866EC3"/>
    <w:rsid w:val="00872738"/>
    <w:rsid w:val="00873AFB"/>
    <w:rsid w:val="008777A4"/>
    <w:rsid w:val="00877CB7"/>
    <w:rsid w:val="00880175"/>
    <w:rsid w:val="00880458"/>
    <w:rsid w:val="008863AD"/>
    <w:rsid w:val="00892455"/>
    <w:rsid w:val="00893C31"/>
    <w:rsid w:val="00896FE0"/>
    <w:rsid w:val="00897006"/>
    <w:rsid w:val="008A1992"/>
    <w:rsid w:val="008A5CEA"/>
    <w:rsid w:val="008A5F97"/>
    <w:rsid w:val="008B3A0B"/>
    <w:rsid w:val="008B5B94"/>
    <w:rsid w:val="008B70E2"/>
    <w:rsid w:val="008C21E2"/>
    <w:rsid w:val="008C57F2"/>
    <w:rsid w:val="008C69F8"/>
    <w:rsid w:val="008C6E3D"/>
    <w:rsid w:val="008C79A6"/>
    <w:rsid w:val="008C7B33"/>
    <w:rsid w:val="008D443D"/>
    <w:rsid w:val="008E05A0"/>
    <w:rsid w:val="008E14DF"/>
    <w:rsid w:val="008E1EFE"/>
    <w:rsid w:val="008E2936"/>
    <w:rsid w:val="008E30E5"/>
    <w:rsid w:val="008E3E03"/>
    <w:rsid w:val="008F423E"/>
    <w:rsid w:val="008F5D9A"/>
    <w:rsid w:val="009002F7"/>
    <w:rsid w:val="0090132F"/>
    <w:rsid w:val="0090243C"/>
    <w:rsid w:val="00902924"/>
    <w:rsid w:val="009054AA"/>
    <w:rsid w:val="009060C2"/>
    <w:rsid w:val="00910073"/>
    <w:rsid w:val="00916BF3"/>
    <w:rsid w:val="009222BD"/>
    <w:rsid w:val="009232D2"/>
    <w:rsid w:val="00924492"/>
    <w:rsid w:val="0092592F"/>
    <w:rsid w:val="00925C9B"/>
    <w:rsid w:val="009268F5"/>
    <w:rsid w:val="00932E85"/>
    <w:rsid w:val="009335EE"/>
    <w:rsid w:val="009335FA"/>
    <w:rsid w:val="009345B8"/>
    <w:rsid w:val="009361DD"/>
    <w:rsid w:val="00941679"/>
    <w:rsid w:val="009436E4"/>
    <w:rsid w:val="0094698D"/>
    <w:rsid w:val="009479E8"/>
    <w:rsid w:val="0095378B"/>
    <w:rsid w:val="00956AA8"/>
    <w:rsid w:val="009610D1"/>
    <w:rsid w:val="00963C78"/>
    <w:rsid w:val="00973EA3"/>
    <w:rsid w:val="0097503B"/>
    <w:rsid w:val="00977596"/>
    <w:rsid w:val="0097788F"/>
    <w:rsid w:val="00981921"/>
    <w:rsid w:val="00982838"/>
    <w:rsid w:val="00984FC9"/>
    <w:rsid w:val="00985174"/>
    <w:rsid w:val="009859FE"/>
    <w:rsid w:val="0099174D"/>
    <w:rsid w:val="00992769"/>
    <w:rsid w:val="00994BEE"/>
    <w:rsid w:val="00997FDC"/>
    <w:rsid w:val="009A12EC"/>
    <w:rsid w:val="009A1570"/>
    <w:rsid w:val="009A2FD7"/>
    <w:rsid w:val="009A5E31"/>
    <w:rsid w:val="009B1FCC"/>
    <w:rsid w:val="009B4D3C"/>
    <w:rsid w:val="009C17F3"/>
    <w:rsid w:val="009C35EC"/>
    <w:rsid w:val="009C3996"/>
    <w:rsid w:val="009C7640"/>
    <w:rsid w:val="009D13A2"/>
    <w:rsid w:val="009D3C20"/>
    <w:rsid w:val="009E2A91"/>
    <w:rsid w:val="009E2B6A"/>
    <w:rsid w:val="009E68B2"/>
    <w:rsid w:val="009E7630"/>
    <w:rsid w:val="009F1984"/>
    <w:rsid w:val="009F34F2"/>
    <w:rsid w:val="009F5605"/>
    <w:rsid w:val="009F6343"/>
    <w:rsid w:val="009F63B9"/>
    <w:rsid w:val="00A000D2"/>
    <w:rsid w:val="00A00627"/>
    <w:rsid w:val="00A020DB"/>
    <w:rsid w:val="00A0545B"/>
    <w:rsid w:val="00A05640"/>
    <w:rsid w:val="00A10FBB"/>
    <w:rsid w:val="00A13ADF"/>
    <w:rsid w:val="00A153C1"/>
    <w:rsid w:val="00A2242B"/>
    <w:rsid w:val="00A228B3"/>
    <w:rsid w:val="00A24743"/>
    <w:rsid w:val="00A25800"/>
    <w:rsid w:val="00A2601A"/>
    <w:rsid w:val="00A27430"/>
    <w:rsid w:val="00A275DB"/>
    <w:rsid w:val="00A27903"/>
    <w:rsid w:val="00A30112"/>
    <w:rsid w:val="00A33820"/>
    <w:rsid w:val="00A3400A"/>
    <w:rsid w:val="00A34E25"/>
    <w:rsid w:val="00A404E9"/>
    <w:rsid w:val="00A406F4"/>
    <w:rsid w:val="00A41ABA"/>
    <w:rsid w:val="00A445A2"/>
    <w:rsid w:val="00A466B7"/>
    <w:rsid w:val="00A46EB0"/>
    <w:rsid w:val="00A526E4"/>
    <w:rsid w:val="00A53B77"/>
    <w:rsid w:val="00A54278"/>
    <w:rsid w:val="00A56AAE"/>
    <w:rsid w:val="00A62086"/>
    <w:rsid w:val="00A63D31"/>
    <w:rsid w:val="00A71181"/>
    <w:rsid w:val="00A7295A"/>
    <w:rsid w:val="00A72976"/>
    <w:rsid w:val="00A7544B"/>
    <w:rsid w:val="00A76FDA"/>
    <w:rsid w:val="00A772C8"/>
    <w:rsid w:val="00A80917"/>
    <w:rsid w:val="00A82394"/>
    <w:rsid w:val="00A859AF"/>
    <w:rsid w:val="00A90077"/>
    <w:rsid w:val="00A92669"/>
    <w:rsid w:val="00A94C99"/>
    <w:rsid w:val="00AA0271"/>
    <w:rsid w:val="00AA27B9"/>
    <w:rsid w:val="00AA43FD"/>
    <w:rsid w:val="00AB6090"/>
    <w:rsid w:val="00AC191C"/>
    <w:rsid w:val="00AC2581"/>
    <w:rsid w:val="00AC3B2B"/>
    <w:rsid w:val="00AC50FF"/>
    <w:rsid w:val="00AC6205"/>
    <w:rsid w:val="00AC6573"/>
    <w:rsid w:val="00AE2E55"/>
    <w:rsid w:val="00AE31A5"/>
    <w:rsid w:val="00AE4257"/>
    <w:rsid w:val="00AE562A"/>
    <w:rsid w:val="00AE57E8"/>
    <w:rsid w:val="00AE6890"/>
    <w:rsid w:val="00AE6A22"/>
    <w:rsid w:val="00AE7E0D"/>
    <w:rsid w:val="00AF0B9B"/>
    <w:rsid w:val="00AF153E"/>
    <w:rsid w:val="00AF3BB6"/>
    <w:rsid w:val="00AF6EFE"/>
    <w:rsid w:val="00B032D7"/>
    <w:rsid w:val="00B04FF0"/>
    <w:rsid w:val="00B06C53"/>
    <w:rsid w:val="00B11227"/>
    <w:rsid w:val="00B11805"/>
    <w:rsid w:val="00B129F4"/>
    <w:rsid w:val="00B156B5"/>
    <w:rsid w:val="00B24532"/>
    <w:rsid w:val="00B31789"/>
    <w:rsid w:val="00B325D0"/>
    <w:rsid w:val="00B33101"/>
    <w:rsid w:val="00B3324C"/>
    <w:rsid w:val="00B352C9"/>
    <w:rsid w:val="00B41DC5"/>
    <w:rsid w:val="00B43F90"/>
    <w:rsid w:val="00B45931"/>
    <w:rsid w:val="00B45963"/>
    <w:rsid w:val="00B51BBB"/>
    <w:rsid w:val="00B52BAA"/>
    <w:rsid w:val="00B5477C"/>
    <w:rsid w:val="00B56AAD"/>
    <w:rsid w:val="00B61D62"/>
    <w:rsid w:val="00B625CA"/>
    <w:rsid w:val="00B6592D"/>
    <w:rsid w:val="00B6618D"/>
    <w:rsid w:val="00B677E9"/>
    <w:rsid w:val="00B70D22"/>
    <w:rsid w:val="00B71083"/>
    <w:rsid w:val="00B715FD"/>
    <w:rsid w:val="00B726C3"/>
    <w:rsid w:val="00B85C25"/>
    <w:rsid w:val="00B912DB"/>
    <w:rsid w:val="00B9265D"/>
    <w:rsid w:val="00B97C27"/>
    <w:rsid w:val="00BA0E61"/>
    <w:rsid w:val="00BA1A91"/>
    <w:rsid w:val="00BA1CA2"/>
    <w:rsid w:val="00BA3B89"/>
    <w:rsid w:val="00BA4643"/>
    <w:rsid w:val="00BA4FDE"/>
    <w:rsid w:val="00BA6B1A"/>
    <w:rsid w:val="00BB1E36"/>
    <w:rsid w:val="00BB228A"/>
    <w:rsid w:val="00BC37C7"/>
    <w:rsid w:val="00BC5707"/>
    <w:rsid w:val="00BC5C21"/>
    <w:rsid w:val="00BD2AC9"/>
    <w:rsid w:val="00BD2FB8"/>
    <w:rsid w:val="00BE1A53"/>
    <w:rsid w:val="00BE340B"/>
    <w:rsid w:val="00BE35BE"/>
    <w:rsid w:val="00BE3F35"/>
    <w:rsid w:val="00BE497B"/>
    <w:rsid w:val="00BE50B8"/>
    <w:rsid w:val="00BE77DE"/>
    <w:rsid w:val="00BE7C98"/>
    <w:rsid w:val="00BF25E2"/>
    <w:rsid w:val="00BF3756"/>
    <w:rsid w:val="00BF43EC"/>
    <w:rsid w:val="00C0024A"/>
    <w:rsid w:val="00C04DBC"/>
    <w:rsid w:val="00C10362"/>
    <w:rsid w:val="00C142A6"/>
    <w:rsid w:val="00C1495B"/>
    <w:rsid w:val="00C15C91"/>
    <w:rsid w:val="00C16F4F"/>
    <w:rsid w:val="00C1784C"/>
    <w:rsid w:val="00C20F34"/>
    <w:rsid w:val="00C22BB3"/>
    <w:rsid w:val="00C23233"/>
    <w:rsid w:val="00C23907"/>
    <w:rsid w:val="00C26F21"/>
    <w:rsid w:val="00C27590"/>
    <w:rsid w:val="00C30141"/>
    <w:rsid w:val="00C36528"/>
    <w:rsid w:val="00C40671"/>
    <w:rsid w:val="00C5010C"/>
    <w:rsid w:val="00C50361"/>
    <w:rsid w:val="00C51BC1"/>
    <w:rsid w:val="00C51C88"/>
    <w:rsid w:val="00C551B1"/>
    <w:rsid w:val="00C5749A"/>
    <w:rsid w:val="00C57EA8"/>
    <w:rsid w:val="00C606FB"/>
    <w:rsid w:val="00C61917"/>
    <w:rsid w:val="00C63824"/>
    <w:rsid w:val="00C63F51"/>
    <w:rsid w:val="00C64F6B"/>
    <w:rsid w:val="00C67710"/>
    <w:rsid w:val="00C70709"/>
    <w:rsid w:val="00C71F72"/>
    <w:rsid w:val="00C74E12"/>
    <w:rsid w:val="00C75E0C"/>
    <w:rsid w:val="00C77B05"/>
    <w:rsid w:val="00C85299"/>
    <w:rsid w:val="00C86E29"/>
    <w:rsid w:val="00C9012A"/>
    <w:rsid w:val="00C914C1"/>
    <w:rsid w:val="00C976A5"/>
    <w:rsid w:val="00CA5D07"/>
    <w:rsid w:val="00CA681F"/>
    <w:rsid w:val="00CB2D78"/>
    <w:rsid w:val="00CB78AC"/>
    <w:rsid w:val="00CC0FA8"/>
    <w:rsid w:val="00CC3FB6"/>
    <w:rsid w:val="00CC6E43"/>
    <w:rsid w:val="00CD584A"/>
    <w:rsid w:val="00CD6CCE"/>
    <w:rsid w:val="00CD70B7"/>
    <w:rsid w:val="00CD70BF"/>
    <w:rsid w:val="00CE1574"/>
    <w:rsid w:val="00CF05EA"/>
    <w:rsid w:val="00CF3E3D"/>
    <w:rsid w:val="00CF4C7C"/>
    <w:rsid w:val="00CF5521"/>
    <w:rsid w:val="00CF5C2F"/>
    <w:rsid w:val="00CF7663"/>
    <w:rsid w:val="00D00D31"/>
    <w:rsid w:val="00D01340"/>
    <w:rsid w:val="00D024A0"/>
    <w:rsid w:val="00D1235A"/>
    <w:rsid w:val="00D12E43"/>
    <w:rsid w:val="00D15543"/>
    <w:rsid w:val="00D16F0D"/>
    <w:rsid w:val="00D17390"/>
    <w:rsid w:val="00D21F28"/>
    <w:rsid w:val="00D220DE"/>
    <w:rsid w:val="00D31E24"/>
    <w:rsid w:val="00D3424C"/>
    <w:rsid w:val="00D34FF9"/>
    <w:rsid w:val="00D3794A"/>
    <w:rsid w:val="00D40FC7"/>
    <w:rsid w:val="00D449A5"/>
    <w:rsid w:val="00D44C86"/>
    <w:rsid w:val="00D45402"/>
    <w:rsid w:val="00D45C55"/>
    <w:rsid w:val="00D47664"/>
    <w:rsid w:val="00D513D1"/>
    <w:rsid w:val="00D514AD"/>
    <w:rsid w:val="00D54101"/>
    <w:rsid w:val="00D555B5"/>
    <w:rsid w:val="00D56E7A"/>
    <w:rsid w:val="00D6033F"/>
    <w:rsid w:val="00D66F41"/>
    <w:rsid w:val="00D71179"/>
    <w:rsid w:val="00D716EB"/>
    <w:rsid w:val="00D740E0"/>
    <w:rsid w:val="00D75385"/>
    <w:rsid w:val="00D76B7D"/>
    <w:rsid w:val="00D77041"/>
    <w:rsid w:val="00D77A7C"/>
    <w:rsid w:val="00D82B0D"/>
    <w:rsid w:val="00D9059A"/>
    <w:rsid w:val="00D94968"/>
    <w:rsid w:val="00D94A20"/>
    <w:rsid w:val="00D94B9C"/>
    <w:rsid w:val="00D97FE0"/>
    <w:rsid w:val="00DA47E0"/>
    <w:rsid w:val="00DA51A5"/>
    <w:rsid w:val="00DA664A"/>
    <w:rsid w:val="00DB3C05"/>
    <w:rsid w:val="00DB772B"/>
    <w:rsid w:val="00DC013E"/>
    <w:rsid w:val="00DC407C"/>
    <w:rsid w:val="00DD0E57"/>
    <w:rsid w:val="00DD16C4"/>
    <w:rsid w:val="00DD2A21"/>
    <w:rsid w:val="00DD7178"/>
    <w:rsid w:val="00DE1988"/>
    <w:rsid w:val="00DE237B"/>
    <w:rsid w:val="00DE23AB"/>
    <w:rsid w:val="00DE2664"/>
    <w:rsid w:val="00DF1801"/>
    <w:rsid w:val="00DF52B4"/>
    <w:rsid w:val="00E02793"/>
    <w:rsid w:val="00E0438C"/>
    <w:rsid w:val="00E05FE1"/>
    <w:rsid w:val="00E0729C"/>
    <w:rsid w:val="00E126C0"/>
    <w:rsid w:val="00E12CDB"/>
    <w:rsid w:val="00E132FE"/>
    <w:rsid w:val="00E13C65"/>
    <w:rsid w:val="00E1763F"/>
    <w:rsid w:val="00E20288"/>
    <w:rsid w:val="00E235EA"/>
    <w:rsid w:val="00E23F89"/>
    <w:rsid w:val="00E25AC4"/>
    <w:rsid w:val="00E26E95"/>
    <w:rsid w:val="00E3069B"/>
    <w:rsid w:val="00E3294B"/>
    <w:rsid w:val="00E34432"/>
    <w:rsid w:val="00E34590"/>
    <w:rsid w:val="00E34F10"/>
    <w:rsid w:val="00E35BC6"/>
    <w:rsid w:val="00E375EB"/>
    <w:rsid w:val="00E40500"/>
    <w:rsid w:val="00E40EAB"/>
    <w:rsid w:val="00E422FA"/>
    <w:rsid w:val="00E425F6"/>
    <w:rsid w:val="00E45780"/>
    <w:rsid w:val="00E5215A"/>
    <w:rsid w:val="00E53D7E"/>
    <w:rsid w:val="00E550B6"/>
    <w:rsid w:val="00E55E2A"/>
    <w:rsid w:val="00E61BDF"/>
    <w:rsid w:val="00E61D6D"/>
    <w:rsid w:val="00E6289B"/>
    <w:rsid w:val="00E6437D"/>
    <w:rsid w:val="00E64692"/>
    <w:rsid w:val="00E65045"/>
    <w:rsid w:val="00E66A92"/>
    <w:rsid w:val="00E67C20"/>
    <w:rsid w:val="00E67E54"/>
    <w:rsid w:val="00E71ED7"/>
    <w:rsid w:val="00E76BB6"/>
    <w:rsid w:val="00E817D3"/>
    <w:rsid w:val="00E832C3"/>
    <w:rsid w:val="00E85338"/>
    <w:rsid w:val="00E87357"/>
    <w:rsid w:val="00E91BD7"/>
    <w:rsid w:val="00E92FA4"/>
    <w:rsid w:val="00E950A0"/>
    <w:rsid w:val="00E95ECF"/>
    <w:rsid w:val="00E9688E"/>
    <w:rsid w:val="00E977CA"/>
    <w:rsid w:val="00EA10AA"/>
    <w:rsid w:val="00EA2CA1"/>
    <w:rsid w:val="00EA5CF5"/>
    <w:rsid w:val="00EB0B04"/>
    <w:rsid w:val="00EB10BD"/>
    <w:rsid w:val="00EB1E77"/>
    <w:rsid w:val="00EB2CDB"/>
    <w:rsid w:val="00EB2E11"/>
    <w:rsid w:val="00EB47C0"/>
    <w:rsid w:val="00EB4972"/>
    <w:rsid w:val="00EB586E"/>
    <w:rsid w:val="00EB740A"/>
    <w:rsid w:val="00EB7862"/>
    <w:rsid w:val="00EB7E08"/>
    <w:rsid w:val="00EC079A"/>
    <w:rsid w:val="00EC12EC"/>
    <w:rsid w:val="00EC130D"/>
    <w:rsid w:val="00EC572A"/>
    <w:rsid w:val="00ED1D4C"/>
    <w:rsid w:val="00ED2508"/>
    <w:rsid w:val="00ED2895"/>
    <w:rsid w:val="00EE05C7"/>
    <w:rsid w:val="00EE237D"/>
    <w:rsid w:val="00EE242C"/>
    <w:rsid w:val="00EE4560"/>
    <w:rsid w:val="00EF22B3"/>
    <w:rsid w:val="00EF22BD"/>
    <w:rsid w:val="00EF7009"/>
    <w:rsid w:val="00EF72C7"/>
    <w:rsid w:val="00F116F9"/>
    <w:rsid w:val="00F11CA4"/>
    <w:rsid w:val="00F12C74"/>
    <w:rsid w:val="00F14EE3"/>
    <w:rsid w:val="00F17ABF"/>
    <w:rsid w:val="00F26F68"/>
    <w:rsid w:val="00F27173"/>
    <w:rsid w:val="00F27297"/>
    <w:rsid w:val="00F30236"/>
    <w:rsid w:val="00F32FC9"/>
    <w:rsid w:val="00F33A8D"/>
    <w:rsid w:val="00F354D9"/>
    <w:rsid w:val="00F37055"/>
    <w:rsid w:val="00F41950"/>
    <w:rsid w:val="00F451B3"/>
    <w:rsid w:val="00F5004F"/>
    <w:rsid w:val="00F51295"/>
    <w:rsid w:val="00F5224B"/>
    <w:rsid w:val="00F54B12"/>
    <w:rsid w:val="00F62DCA"/>
    <w:rsid w:val="00F64136"/>
    <w:rsid w:val="00F6746D"/>
    <w:rsid w:val="00F70932"/>
    <w:rsid w:val="00F76CEA"/>
    <w:rsid w:val="00F77146"/>
    <w:rsid w:val="00F81EBC"/>
    <w:rsid w:val="00F82C8F"/>
    <w:rsid w:val="00F85FE0"/>
    <w:rsid w:val="00F8620E"/>
    <w:rsid w:val="00F87565"/>
    <w:rsid w:val="00F971C3"/>
    <w:rsid w:val="00FA4192"/>
    <w:rsid w:val="00FB0923"/>
    <w:rsid w:val="00FB3F1D"/>
    <w:rsid w:val="00FB42C2"/>
    <w:rsid w:val="00FB4A35"/>
    <w:rsid w:val="00FC005E"/>
    <w:rsid w:val="00FC00CD"/>
    <w:rsid w:val="00FC19D9"/>
    <w:rsid w:val="00FC6C7E"/>
    <w:rsid w:val="00FD38CC"/>
    <w:rsid w:val="00FD4578"/>
    <w:rsid w:val="00FD4EFB"/>
    <w:rsid w:val="00FE0868"/>
    <w:rsid w:val="00FE10D7"/>
    <w:rsid w:val="00FE628A"/>
    <w:rsid w:val="00FF0113"/>
    <w:rsid w:val="00FF434F"/>
    <w:rsid w:val="00FF476E"/>
    <w:rsid w:val="00FF4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EB16F7A9-6C19-4793-9937-4CC19991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5A6C"/>
    <w:pPr>
      <w:widowControl w:val="0"/>
    </w:pPr>
    <w:rPr>
      <w:rFonts w:ascii="Times New Roman" w:eastAsia="標楷體" w:hAnsi="Times New Roman"/>
      <w:kern w:val="2"/>
      <w:sz w:val="32"/>
    </w:rPr>
  </w:style>
  <w:style w:type="paragraph" w:styleId="1">
    <w:name w:val="heading 1"/>
    <w:aliases w:val="題號1"/>
    <w:basedOn w:val="a1"/>
    <w:link w:val="11"/>
    <w:qFormat/>
    <w:rsid w:val="00755A6C"/>
    <w:pPr>
      <w:numPr>
        <w:numId w:val="3"/>
      </w:numPr>
      <w:kinsoku w:val="0"/>
      <w:ind w:left="699"/>
      <w:jc w:val="both"/>
      <w:outlineLvl w:val="0"/>
    </w:pPr>
    <w:rPr>
      <w:rFonts w:ascii="標楷體" w:hAnsi="Arial"/>
      <w:bCs/>
      <w:kern w:val="0"/>
      <w:szCs w:val="52"/>
    </w:rPr>
  </w:style>
  <w:style w:type="paragraph" w:styleId="2">
    <w:name w:val="heading 2"/>
    <w:aliases w:val="標題110/111,節,節1"/>
    <w:basedOn w:val="a1"/>
    <w:link w:val="20"/>
    <w:qFormat/>
    <w:rsid w:val="00755A6C"/>
    <w:pPr>
      <w:numPr>
        <w:ilvl w:val="1"/>
        <w:numId w:val="3"/>
      </w:numPr>
      <w:kinsoku w:val="0"/>
      <w:ind w:left="1045"/>
      <w:jc w:val="both"/>
      <w:outlineLvl w:val="1"/>
    </w:pPr>
    <w:rPr>
      <w:rFonts w:ascii="標楷體" w:hAnsi="Arial"/>
      <w:bCs/>
      <w:kern w:val="0"/>
      <w:szCs w:val="48"/>
    </w:rPr>
  </w:style>
  <w:style w:type="paragraph" w:styleId="3">
    <w:name w:val="heading 3"/>
    <w:basedOn w:val="a1"/>
    <w:link w:val="30"/>
    <w:qFormat/>
    <w:rsid w:val="00755A6C"/>
    <w:pPr>
      <w:numPr>
        <w:ilvl w:val="2"/>
        <w:numId w:val="3"/>
      </w:numPr>
      <w:kinsoku w:val="0"/>
      <w:jc w:val="both"/>
      <w:outlineLvl w:val="2"/>
    </w:pPr>
    <w:rPr>
      <w:rFonts w:ascii="標楷體" w:hAnsi="Arial"/>
      <w:bCs/>
      <w:kern w:val="0"/>
      <w:szCs w:val="36"/>
    </w:rPr>
  </w:style>
  <w:style w:type="paragraph" w:styleId="4">
    <w:name w:val="heading 4"/>
    <w:aliases w:val="表格"/>
    <w:basedOn w:val="a1"/>
    <w:link w:val="40"/>
    <w:qFormat/>
    <w:rsid w:val="00755A6C"/>
    <w:pPr>
      <w:numPr>
        <w:ilvl w:val="3"/>
        <w:numId w:val="3"/>
      </w:numPr>
      <w:jc w:val="both"/>
      <w:outlineLvl w:val="3"/>
    </w:pPr>
    <w:rPr>
      <w:rFonts w:ascii="標楷體" w:hAnsi="Arial"/>
      <w:kern w:val="0"/>
      <w:szCs w:val="36"/>
    </w:rPr>
  </w:style>
  <w:style w:type="paragraph" w:styleId="5">
    <w:name w:val="heading 5"/>
    <w:basedOn w:val="a1"/>
    <w:link w:val="50"/>
    <w:qFormat/>
    <w:rsid w:val="00755A6C"/>
    <w:pPr>
      <w:numPr>
        <w:ilvl w:val="4"/>
        <w:numId w:val="3"/>
      </w:numPr>
      <w:kinsoku w:val="0"/>
      <w:jc w:val="both"/>
      <w:outlineLvl w:val="4"/>
    </w:pPr>
    <w:rPr>
      <w:rFonts w:ascii="標楷體" w:hAnsi="Arial"/>
      <w:bCs/>
      <w:kern w:val="0"/>
      <w:szCs w:val="36"/>
    </w:rPr>
  </w:style>
  <w:style w:type="paragraph" w:styleId="6">
    <w:name w:val="heading 6"/>
    <w:basedOn w:val="a1"/>
    <w:link w:val="60"/>
    <w:qFormat/>
    <w:rsid w:val="00755A6C"/>
    <w:pPr>
      <w:numPr>
        <w:ilvl w:val="5"/>
        <w:numId w:val="3"/>
      </w:numPr>
      <w:tabs>
        <w:tab w:val="left" w:pos="2094"/>
      </w:tabs>
      <w:kinsoku w:val="0"/>
      <w:jc w:val="both"/>
      <w:outlineLvl w:val="5"/>
    </w:pPr>
    <w:rPr>
      <w:rFonts w:ascii="標楷體" w:hAnsi="Arial"/>
      <w:kern w:val="0"/>
      <w:szCs w:val="36"/>
    </w:rPr>
  </w:style>
  <w:style w:type="paragraph" w:styleId="7">
    <w:name w:val="heading 7"/>
    <w:basedOn w:val="a1"/>
    <w:link w:val="70"/>
    <w:qFormat/>
    <w:rsid w:val="00755A6C"/>
    <w:pPr>
      <w:numPr>
        <w:ilvl w:val="6"/>
        <w:numId w:val="3"/>
      </w:numPr>
      <w:kinsoku w:val="0"/>
      <w:jc w:val="both"/>
      <w:outlineLvl w:val="6"/>
    </w:pPr>
    <w:rPr>
      <w:rFonts w:ascii="標楷體" w:hAnsi="Arial"/>
      <w:bCs/>
      <w:kern w:val="0"/>
      <w:szCs w:val="36"/>
    </w:rPr>
  </w:style>
  <w:style w:type="paragraph" w:styleId="8">
    <w:name w:val="heading 8"/>
    <w:basedOn w:val="a1"/>
    <w:link w:val="80"/>
    <w:qFormat/>
    <w:rsid w:val="00755A6C"/>
    <w:pPr>
      <w:numPr>
        <w:ilvl w:val="7"/>
        <w:numId w:val="3"/>
      </w:numPr>
      <w:kinsoku w:val="0"/>
      <w:jc w:val="both"/>
      <w:outlineLvl w:val="7"/>
    </w:pPr>
    <w:rPr>
      <w:rFonts w:ascii="標楷體" w:hAnsi="Arial"/>
      <w:kern w:val="0"/>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題號1 字元"/>
    <w:link w:val="1"/>
    <w:rsid w:val="00755A6C"/>
    <w:rPr>
      <w:rFonts w:ascii="標楷體" w:eastAsia="標楷體" w:hAnsi="Arial"/>
      <w:bCs/>
      <w:sz w:val="32"/>
      <w:szCs w:val="52"/>
    </w:rPr>
  </w:style>
  <w:style w:type="character" w:customStyle="1" w:styleId="20">
    <w:name w:val="標題 2 字元"/>
    <w:aliases w:val="標題110/111 字元,節 字元,節1 字元"/>
    <w:link w:val="2"/>
    <w:rsid w:val="00755A6C"/>
    <w:rPr>
      <w:rFonts w:ascii="標楷體" w:eastAsia="標楷體" w:hAnsi="Arial"/>
      <w:bCs/>
      <w:sz w:val="32"/>
      <w:szCs w:val="48"/>
    </w:rPr>
  </w:style>
  <w:style w:type="character" w:customStyle="1" w:styleId="30">
    <w:name w:val="標題 3 字元"/>
    <w:link w:val="3"/>
    <w:rsid w:val="00755A6C"/>
    <w:rPr>
      <w:rFonts w:ascii="標楷體" w:eastAsia="標楷體" w:hAnsi="Arial"/>
      <w:bCs/>
      <w:sz w:val="32"/>
      <w:szCs w:val="36"/>
    </w:rPr>
  </w:style>
  <w:style w:type="character" w:customStyle="1" w:styleId="40">
    <w:name w:val="標題 4 字元"/>
    <w:aliases w:val="表格 字元"/>
    <w:link w:val="4"/>
    <w:rsid w:val="00755A6C"/>
    <w:rPr>
      <w:rFonts w:ascii="標楷體" w:eastAsia="標楷體" w:hAnsi="Arial"/>
      <w:sz w:val="32"/>
      <w:szCs w:val="36"/>
    </w:rPr>
  </w:style>
  <w:style w:type="character" w:customStyle="1" w:styleId="50">
    <w:name w:val="標題 5 字元"/>
    <w:link w:val="5"/>
    <w:rsid w:val="00755A6C"/>
    <w:rPr>
      <w:rFonts w:ascii="標楷體" w:eastAsia="標楷體" w:hAnsi="Arial"/>
      <w:bCs/>
      <w:sz w:val="32"/>
      <w:szCs w:val="36"/>
    </w:rPr>
  </w:style>
  <w:style w:type="character" w:customStyle="1" w:styleId="60">
    <w:name w:val="標題 6 字元"/>
    <w:link w:val="6"/>
    <w:rsid w:val="00755A6C"/>
    <w:rPr>
      <w:rFonts w:ascii="標楷體" w:eastAsia="標楷體" w:hAnsi="Arial"/>
      <w:sz w:val="32"/>
      <w:szCs w:val="36"/>
    </w:rPr>
  </w:style>
  <w:style w:type="character" w:customStyle="1" w:styleId="70">
    <w:name w:val="標題 7 字元"/>
    <w:link w:val="7"/>
    <w:rsid w:val="00755A6C"/>
    <w:rPr>
      <w:rFonts w:ascii="標楷體" w:eastAsia="標楷體" w:hAnsi="Arial"/>
      <w:bCs/>
      <w:sz w:val="32"/>
      <w:szCs w:val="36"/>
    </w:rPr>
  </w:style>
  <w:style w:type="character" w:customStyle="1" w:styleId="80">
    <w:name w:val="標題 8 字元"/>
    <w:link w:val="8"/>
    <w:rsid w:val="00755A6C"/>
    <w:rPr>
      <w:rFonts w:ascii="標楷體" w:eastAsia="標楷體" w:hAnsi="Arial"/>
      <w:sz w:val="32"/>
      <w:szCs w:val="36"/>
    </w:rPr>
  </w:style>
  <w:style w:type="paragraph" w:styleId="a5">
    <w:name w:val="Signature"/>
    <w:basedOn w:val="a1"/>
    <w:link w:val="a6"/>
    <w:semiHidden/>
    <w:rsid w:val="00755A6C"/>
    <w:pPr>
      <w:spacing w:before="720" w:after="720"/>
      <w:ind w:left="7371"/>
    </w:pPr>
    <w:rPr>
      <w:rFonts w:ascii="標楷體"/>
      <w:b/>
      <w:snapToGrid w:val="0"/>
      <w:spacing w:val="10"/>
      <w:kern w:val="0"/>
      <w:sz w:val="36"/>
    </w:rPr>
  </w:style>
  <w:style w:type="character" w:customStyle="1" w:styleId="a6">
    <w:name w:val="簽名 字元"/>
    <w:link w:val="a5"/>
    <w:semiHidden/>
    <w:rsid w:val="00755A6C"/>
    <w:rPr>
      <w:rFonts w:ascii="標楷體" w:eastAsia="標楷體" w:hAnsi="Times New Roman" w:cs="Times New Roman"/>
      <w:b/>
      <w:snapToGrid w:val="0"/>
      <w:spacing w:val="10"/>
      <w:sz w:val="36"/>
      <w:szCs w:val="20"/>
    </w:rPr>
  </w:style>
  <w:style w:type="paragraph" w:styleId="a7">
    <w:name w:val="endnote text"/>
    <w:basedOn w:val="a1"/>
    <w:link w:val="a8"/>
    <w:semiHidden/>
    <w:rsid w:val="00755A6C"/>
    <w:pPr>
      <w:spacing w:before="240"/>
      <w:ind w:left="1021" w:hanging="1021"/>
      <w:jc w:val="both"/>
    </w:pPr>
    <w:rPr>
      <w:rFonts w:ascii="標楷體"/>
      <w:snapToGrid w:val="0"/>
      <w:spacing w:val="10"/>
      <w:kern w:val="0"/>
    </w:rPr>
  </w:style>
  <w:style w:type="character" w:customStyle="1" w:styleId="a8">
    <w:name w:val="章節附註文字 字元"/>
    <w:link w:val="a7"/>
    <w:semiHidden/>
    <w:rsid w:val="00755A6C"/>
    <w:rPr>
      <w:rFonts w:ascii="標楷體" w:eastAsia="標楷體" w:hAnsi="Times New Roman" w:cs="Times New Roman"/>
      <w:snapToGrid w:val="0"/>
      <w:spacing w:val="10"/>
      <w:sz w:val="32"/>
      <w:szCs w:val="20"/>
    </w:rPr>
  </w:style>
  <w:style w:type="paragraph" w:styleId="51">
    <w:name w:val="toc 5"/>
    <w:basedOn w:val="a1"/>
    <w:next w:val="a1"/>
    <w:autoRedefine/>
    <w:semiHidden/>
    <w:rsid w:val="00755A6C"/>
    <w:pPr>
      <w:ind w:leftChars="400" w:left="600" w:rightChars="200" w:right="200" w:hangingChars="200" w:hanging="200"/>
    </w:pPr>
    <w:rPr>
      <w:rFonts w:ascii="標楷體"/>
    </w:rPr>
  </w:style>
  <w:style w:type="character" w:styleId="a9">
    <w:name w:val="page number"/>
    <w:rsid w:val="00755A6C"/>
    <w:rPr>
      <w:rFonts w:ascii="標楷體" w:eastAsia="標楷體"/>
      <w:sz w:val="20"/>
    </w:rPr>
  </w:style>
  <w:style w:type="paragraph" w:styleId="61">
    <w:name w:val="toc 6"/>
    <w:basedOn w:val="a1"/>
    <w:next w:val="a1"/>
    <w:autoRedefine/>
    <w:semiHidden/>
    <w:rsid w:val="00755A6C"/>
    <w:pPr>
      <w:ind w:leftChars="500" w:left="500"/>
    </w:pPr>
    <w:rPr>
      <w:rFonts w:ascii="標楷體"/>
    </w:rPr>
  </w:style>
  <w:style w:type="paragraph" w:customStyle="1" w:styleId="12">
    <w:name w:val="段落樣式1"/>
    <w:basedOn w:val="a1"/>
    <w:rsid w:val="00755A6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755A6C"/>
    <w:pPr>
      <w:tabs>
        <w:tab w:val="left" w:pos="567"/>
      </w:tabs>
      <w:ind w:leftChars="300" w:left="300" w:firstLineChars="200" w:firstLine="200"/>
      <w:jc w:val="both"/>
    </w:pPr>
    <w:rPr>
      <w:rFonts w:ascii="標楷體"/>
      <w:kern w:val="0"/>
    </w:rPr>
  </w:style>
  <w:style w:type="paragraph" w:styleId="13">
    <w:name w:val="toc 1"/>
    <w:basedOn w:val="a1"/>
    <w:next w:val="a1"/>
    <w:autoRedefine/>
    <w:semiHidden/>
    <w:rsid w:val="00755A6C"/>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755A6C"/>
    <w:pPr>
      <w:kinsoku w:val="0"/>
      <w:ind w:leftChars="100" w:left="300" w:rightChars="200" w:right="200" w:hangingChars="200" w:hanging="200"/>
    </w:pPr>
    <w:rPr>
      <w:rFonts w:ascii="標楷體"/>
      <w:noProof/>
    </w:rPr>
  </w:style>
  <w:style w:type="paragraph" w:styleId="31">
    <w:name w:val="toc 3"/>
    <w:basedOn w:val="a1"/>
    <w:next w:val="a1"/>
    <w:autoRedefine/>
    <w:semiHidden/>
    <w:rsid w:val="00755A6C"/>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755A6C"/>
    <w:pPr>
      <w:kinsoku w:val="0"/>
      <w:ind w:leftChars="300" w:left="500" w:rightChars="200" w:right="200" w:hangingChars="200" w:hanging="200"/>
      <w:jc w:val="both"/>
    </w:pPr>
    <w:rPr>
      <w:rFonts w:ascii="標楷體"/>
    </w:rPr>
  </w:style>
  <w:style w:type="paragraph" w:styleId="71">
    <w:name w:val="toc 7"/>
    <w:basedOn w:val="a1"/>
    <w:next w:val="a1"/>
    <w:autoRedefine/>
    <w:semiHidden/>
    <w:rsid w:val="00755A6C"/>
    <w:pPr>
      <w:ind w:leftChars="600" w:left="800" w:hangingChars="200" w:hanging="200"/>
    </w:pPr>
    <w:rPr>
      <w:rFonts w:ascii="標楷體"/>
    </w:rPr>
  </w:style>
  <w:style w:type="paragraph" w:styleId="81">
    <w:name w:val="toc 8"/>
    <w:basedOn w:val="a1"/>
    <w:next w:val="a1"/>
    <w:autoRedefine/>
    <w:semiHidden/>
    <w:rsid w:val="00755A6C"/>
    <w:pPr>
      <w:ind w:leftChars="700" w:left="900" w:hangingChars="200" w:hanging="200"/>
    </w:pPr>
    <w:rPr>
      <w:rFonts w:ascii="標楷體"/>
    </w:rPr>
  </w:style>
  <w:style w:type="paragraph" w:styleId="9">
    <w:name w:val="toc 9"/>
    <w:basedOn w:val="a1"/>
    <w:next w:val="a1"/>
    <w:autoRedefine/>
    <w:semiHidden/>
    <w:rsid w:val="00755A6C"/>
    <w:pPr>
      <w:ind w:leftChars="1600" w:left="3840"/>
    </w:pPr>
  </w:style>
  <w:style w:type="paragraph" w:styleId="aa">
    <w:name w:val="header"/>
    <w:basedOn w:val="a1"/>
    <w:link w:val="ab"/>
    <w:uiPriority w:val="99"/>
    <w:semiHidden/>
    <w:rsid w:val="00755A6C"/>
    <w:pPr>
      <w:tabs>
        <w:tab w:val="center" w:pos="4153"/>
        <w:tab w:val="right" w:pos="8306"/>
      </w:tabs>
      <w:snapToGrid w:val="0"/>
    </w:pPr>
    <w:rPr>
      <w:kern w:val="0"/>
      <w:sz w:val="20"/>
    </w:rPr>
  </w:style>
  <w:style w:type="character" w:customStyle="1" w:styleId="ab">
    <w:name w:val="頁首 字元"/>
    <w:link w:val="aa"/>
    <w:uiPriority w:val="99"/>
    <w:semiHidden/>
    <w:rsid w:val="00755A6C"/>
    <w:rPr>
      <w:rFonts w:ascii="Times New Roman" w:eastAsia="標楷體" w:hAnsi="Times New Roman" w:cs="Times New Roman"/>
      <w:sz w:val="20"/>
      <w:szCs w:val="20"/>
    </w:rPr>
  </w:style>
  <w:style w:type="paragraph" w:customStyle="1" w:styleId="32">
    <w:name w:val="段落樣式3"/>
    <w:basedOn w:val="21"/>
    <w:rsid w:val="00755A6C"/>
    <w:pPr>
      <w:ind w:leftChars="400" w:left="400"/>
    </w:pPr>
  </w:style>
  <w:style w:type="character" w:styleId="ac">
    <w:name w:val="Hyperlink"/>
    <w:semiHidden/>
    <w:rsid w:val="00755A6C"/>
    <w:rPr>
      <w:color w:val="0000FF"/>
      <w:u w:val="single"/>
    </w:rPr>
  </w:style>
  <w:style w:type="paragraph" w:customStyle="1" w:styleId="ad">
    <w:name w:val="簽名日期"/>
    <w:basedOn w:val="a1"/>
    <w:rsid w:val="00755A6C"/>
    <w:pPr>
      <w:kinsoku w:val="0"/>
      <w:jc w:val="distribute"/>
    </w:pPr>
    <w:rPr>
      <w:kern w:val="0"/>
    </w:rPr>
  </w:style>
  <w:style w:type="paragraph" w:customStyle="1" w:styleId="0">
    <w:name w:val="段落樣式0"/>
    <w:basedOn w:val="21"/>
    <w:rsid w:val="00755A6C"/>
    <w:pPr>
      <w:ind w:leftChars="200" w:left="200" w:firstLineChars="0" w:firstLine="0"/>
    </w:pPr>
  </w:style>
  <w:style w:type="paragraph" w:customStyle="1" w:styleId="ae">
    <w:name w:val="附件"/>
    <w:basedOn w:val="a7"/>
    <w:rsid w:val="00755A6C"/>
    <w:pPr>
      <w:kinsoku w:val="0"/>
      <w:spacing w:before="0"/>
      <w:ind w:left="1047" w:hangingChars="300" w:hanging="1047"/>
    </w:pPr>
    <w:rPr>
      <w:snapToGrid/>
      <w:spacing w:val="0"/>
    </w:rPr>
  </w:style>
  <w:style w:type="paragraph" w:customStyle="1" w:styleId="42">
    <w:name w:val="段落樣式4"/>
    <w:basedOn w:val="32"/>
    <w:rsid w:val="00755A6C"/>
    <w:pPr>
      <w:ind w:leftChars="500" w:left="500"/>
    </w:pPr>
  </w:style>
  <w:style w:type="paragraph" w:customStyle="1" w:styleId="52">
    <w:name w:val="段落樣式5"/>
    <w:basedOn w:val="42"/>
    <w:rsid w:val="00755A6C"/>
    <w:pPr>
      <w:ind w:leftChars="600" w:left="600"/>
    </w:pPr>
  </w:style>
  <w:style w:type="paragraph" w:customStyle="1" w:styleId="62">
    <w:name w:val="段落樣式6"/>
    <w:basedOn w:val="52"/>
    <w:rsid w:val="00755A6C"/>
    <w:pPr>
      <w:ind w:leftChars="700" w:left="700"/>
    </w:pPr>
  </w:style>
  <w:style w:type="paragraph" w:customStyle="1" w:styleId="72">
    <w:name w:val="段落樣式7"/>
    <w:basedOn w:val="62"/>
    <w:rsid w:val="00755A6C"/>
  </w:style>
  <w:style w:type="paragraph" w:customStyle="1" w:styleId="82">
    <w:name w:val="段落樣式8"/>
    <w:basedOn w:val="72"/>
    <w:rsid w:val="00755A6C"/>
    <w:pPr>
      <w:ind w:leftChars="800" w:left="800"/>
    </w:pPr>
  </w:style>
  <w:style w:type="paragraph" w:customStyle="1" w:styleId="a0">
    <w:name w:val="表樣式"/>
    <w:basedOn w:val="a1"/>
    <w:next w:val="a1"/>
    <w:rsid w:val="00755A6C"/>
    <w:pPr>
      <w:numPr>
        <w:numId w:val="1"/>
      </w:numPr>
      <w:jc w:val="both"/>
    </w:pPr>
    <w:rPr>
      <w:rFonts w:ascii="標楷體"/>
      <w:kern w:val="0"/>
    </w:rPr>
  </w:style>
  <w:style w:type="paragraph" w:styleId="af">
    <w:name w:val="Body Text Indent"/>
    <w:basedOn w:val="a1"/>
    <w:link w:val="af0"/>
    <w:semiHidden/>
    <w:rsid w:val="00755A6C"/>
    <w:pPr>
      <w:ind w:left="698" w:hangingChars="200" w:hanging="698"/>
    </w:pPr>
    <w:rPr>
      <w:kern w:val="0"/>
    </w:rPr>
  </w:style>
  <w:style w:type="character" w:customStyle="1" w:styleId="af0">
    <w:name w:val="本文縮排 字元"/>
    <w:link w:val="af"/>
    <w:semiHidden/>
    <w:rsid w:val="00755A6C"/>
    <w:rPr>
      <w:rFonts w:ascii="Times New Roman" w:eastAsia="標楷體" w:hAnsi="Times New Roman" w:cs="Times New Roman"/>
      <w:sz w:val="32"/>
      <w:szCs w:val="20"/>
    </w:rPr>
  </w:style>
  <w:style w:type="paragraph" w:customStyle="1" w:styleId="af1">
    <w:name w:val="調查報告"/>
    <w:basedOn w:val="a7"/>
    <w:rsid w:val="00755A6C"/>
    <w:pPr>
      <w:kinsoku w:val="0"/>
      <w:spacing w:before="0"/>
      <w:ind w:left="1701" w:firstLine="0"/>
    </w:pPr>
    <w:rPr>
      <w:b/>
      <w:snapToGrid/>
      <w:spacing w:val="200"/>
      <w:sz w:val="36"/>
    </w:rPr>
  </w:style>
  <w:style w:type="paragraph" w:customStyle="1" w:styleId="90">
    <w:name w:val="標題9"/>
    <w:basedOn w:val="a1"/>
    <w:rsid w:val="00755A6C"/>
    <w:pPr>
      <w:tabs>
        <w:tab w:val="num" w:pos="6195"/>
      </w:tabs>
      <w:ind w:left="5015" w:hanging="1700"/>
    </w:pPr>
  </w:style>
  <w:style w:type="paragraph" w:customStyle="1" w:styleId="a">
    <w:name w:val="圖樣式"/>
    <w:basedOn w:val="a1"/>
    <w:next w:val="a1"/>
    <w:rsid w:val="00755A6C"/>
    <w:pPr>
      <w:numPr>
        <w:numId w:val="2"/>
      </w:numPr>
      <w:tabs>
        <w:tab w:val="clear" w:pos="1440"/>
      </w:tabs>
      <w:ind w:left="400" w:hangingChars="400" w:hanging="400"/>
      <w:jc w:val="both"/>
    </w:pPr>
    <w:rPr>
      <w:rFonts w:ascii="標楷體"/>
    </w:rPr>
  </w:style>
  <w:style w:type="paragraph" w:styleId="af2">
    <w:name w:val="footer"/>
    <w:basedOn w:val="a1"/>
    <w:link w:val="af3"/>
    <w:uiPriority w:val="99"/>
    <w:rsid w:val="00755A6C"/>
    <w:pPr>
      <w:tabs>
        <w:tab w:val="center" w:pos="4153"/>
        <w:tab w:val="right" w:pos="8306"/>
      </w:tabs>
      <w:snapToGrid w:val="0"/>
    </w:pPr>
    <w:rPr>
      <w:kern w:val="0"/>
      <w:sz w:val="20"/>
    </w:rPr>
  </w:style>
  <w:style w:type="character" w:customStyle="1" w:styleId="af3">
    <w:name w:val="頁尾 字元"/>
    <w:link w:val="af2"/>
    <w:uiPriority w:val="99"/>
    <w:rsid w:val="00755A6C"/>
    <w:rPr>
      <w:rFonts w:ascii="Times New Roman" w:eastAsia="標楷體" w:hAnsi="Times New Roman" w:cs="Times New Roman"/>
      <w:sz w:val="20"/>
      <w:szCs w:val="20"/>
    </w:rPr>
  </w:style>
  <w:style w:type="paragraph" w:styleId="af4">
    <w:name w:val="table of figures"/>
    <w:basedOn w:val="a1"/>
    <w:next w:val="a1"/>
    <w:semiHidden/>
    <w:rsid w:val="00755A6C"/>
    <w:pPr>
      <w:ind w:left="400" w:hangingChars="400" w:hanging="400"/>
    </w:pPr>
  </w:style>
  <w:style w:type="paragraph" w:styleId="af5">
    <w:name w:val="List Paragraph"/>
    <w:basedOn w:val="a1"/>
    <w:uiPriority w:val="34"/>
    <w:qFormat/>
    <w:rsid w:val="00755A6C"/>
    <w:pPr>
      <w:ind w:leftChars="200" w:left="480"/>
    </w:pPr>
  </w:style>
  <w:style w:type="table" w:styleId="af6">
    <w:name w:val="Table Grid"/>
    <w:basedOn w:val="a3"/>
    <w:rsid w:val="00755A6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annotation text"/>
    <w:basedOn w:val="a1"/>
    <w:link w:val="af8"/>
    <w:uiPriority w:val="99"/>
    <w:semiHidden/>
    <w:unhideWhenUsed/>
    <w:rsid w:val="00755A6C"/>
    <w:rPr>
      <w:rFonts w:ascii="Calibri" w:eastAsia="新細明體" w:hAnsi="Calibri"/>
      <w:kern w:val="0"/>
      <w:sz w:val="20"/>
    </w:rPr>
  </w:style>
  <w:style w:type="character" w:customStyle="1" w:styleId="af8">
    <w:name w:val="註解文字 字元"/>
    <w:link w:val="af7"/>
    <w:uiPriority w:val="99"/>
    <w:semiHidden/>
    <w:rsid w:val="00755A6C"/>
    <w:rPr>
      <w:rFonts w:ascii="Calibri" w:eastAsia="新細明體" w:hAnsi="Calibri" w:cs="Times New Roman"/>
    </w:rPr>
  </w:style>
  <w:style w:type="character" w:customStyle="1" w:styleId="af9">
    <w:name w:val="樣式 (中文) 標楷體"/>
    <w:rsid w:val="00755A6C"/>
    <w:rPr>
      <w:rFonts w:eastAsia="標楷體"/>
      <w:sz w:val="26"/>
    </w:rPr>
  </w:style>
  <w:style w:type="paragraph" w:styleId="23">
    <w:name w:val="Body Text Indent 2"/>
    <w:basedOn w:val="a1"/>
    <w:link w:val="24"/>
    <w:uiPriority w:val="99"/>
    <w:semiHidden/>
    <w:unhideWhenUsed/>
    <w:rsid w:val="00755A6C"/>
    <w:pPr>
      <w:spacing w:after="120" w:line="480" w:lineRule="auto"/>
      <w:ind w:leftChars="200" w:left="480"/>
    </w:pPr>
    <w:rPr>
      <w:kern w:val="0"/>
    </w:rPr>
  </w:style>
  <w:style w:type="character" w:customStyle="1" w:styleId="24">
    <w:name w:val="本文縮排 2 字元"/>
    <w:link w:val="23"/>
    <w:uiPriority w:val="99"/>
    <w:semiHidden/>
    <w:rsid w:val="00755A6C"/>
    <w:rPr>
      <w:rFonts w:ascii="Times New Roman" w:eastAsia="標楷體" w:hAnsi="Times New Roman" w:cs="Times New Roman"/>
      <w:sz w:val="32"/>
      <w:szCs w:val="20"/>
    </w:rPr>
  </w:style>
  <w:style w:type="character" w:styleId="afa">
    <w:name w:val="annotation reference"/>
    <w:uiPriority w:val="99"/>
    <w:semiHidden/>
    <w:unhideWhenUsed/>
    <w:rsid w:val="00755A6C"/>
    <w:rPr>
      <w:sz w:val="18"/>
      <w:szCs w:val="18"/>
    </w:rPr>
  </w:style>
  <w:style w:type="paragraph" w:styleId="afb">
    <w:name w:val="annotation subject"/>
    <w:basedOn w:val="af7"/>
    <w:next w:val="af7"/>
    <w:link w:val="afc"/>
    <w:uiPriority w:val="99"/>
    <w:semiHidden/>
    <w:unhideWhenUsed/>
    <w:rsid w:val="00755A6C"/>
    <w:rPr>
      <w:b/>
      <w:bCs/>
    </w:rPr>
  </w:style>
  <w:style w:type="character" w:customStyle="1" w:styleId="afc">
    <w:name w:val="註解主旨 字元"/>
    <w:link w:val="afb"/>
    <w:uiPriority w:val="99"/>
    <w:semiHidden/>
    <w:rsid w:val="00755A6C"/>
    <w:rPr>
      <w:rFonts w:ascii="Calibri" w:eastAsia="新細明體" w:hAnsi="Calibri" w:cs="Times New Roman"/>
      <w:b/>
      <w:bCs/>
    </w:rPr>
  </w:style>
  <w:style w:type="paragraph" w:styleId="afd">
    <w:name w:val="Balloon Text"/>
    <w:basedOn w:val="a1"/>
    <w:link w:val="afe"/>
    <w:uiPriority w:val="99"/>
    <w:semiHidden/>
    <w:unhideWhenUsed/>
    <w:rsid w:val="00755A6C"/>
    <w:rPr>
      <w:rFonts w:ascii="Cambria" w:eastAsia="新細明體" w:hAnsi="Cambria"/>
      <w:kern w:val="0"/>
      <w:sz w:val="18"/>
      <w:szCs w:val="18"/>
    </w:rPr>
  </w:style>
  <w:style w:type="character" w:customStyle="1" w:styleId="afe">
    <w:name w:val="註解方塊文字 字元"/>
    <w:link w:val="afd"/>
    <w:uiPriority w:val="99"/>
    <w:semiHidden/>
    <w:rsid w:val="00755A6C"/>
    <w:rPr>
      <w:rFonts w:ascii="Cambria" w:eastAsia="新細明體" w:hAnsi="Cambria" w:cs="Times New Roman"/>
      <w:sz w:val="18"/>
      <w:szCs w:val="18"/>
    </w:rPr>
  </w:style>
  <w:style w:type="numbering" w:customStyle="1" w:styleId="10">
    <w:name w:val="樣式1"/>
    <w:uiPriority w:val="99"/>
    <w:rsid w:val="00755A6C"/>
    <w:pPr>
      <w:numPr>
        <w:numId w:val="9"/>
      </w:numPr>
    </w:pPr>
  </w:style>
  <w:style w:type="paragraph" w:customStyle="1" w:styleId="aff">
    <w:name w:val="字元 字元 字元 字元 字元 字元"/>
    <w:basedOn w:val="a1"/>
    <w:rsid w:val="00073B7F"/>
    <w:pPr>
      <w:widowControl/>
      <w:spacing w:after="160" w:line="240" w:lineRule="exact"/>
    </w:pPr>
    <w:rPr>
      <w:rFonts w:ascii="Verdana" w:eastAsia="新細明體" w:hAnsi="Verdana"/>
      <w:kern w:val="0"/>
      <w:sz w:val="20"/>
      <w:lang w:val="en-GB" w:eastAsia="en-US"/>
    </w:rPr>
  </w:style>
  <w:style w:type="character" w:styleId="aff0">
    <w:name w:val="Emphasis"/>
    <w:qFormat/>
    <w:rsid w:val="00E950A0"/>
    <w:rPr>
      <w:b w:val="0"/>
      <w:bCs w:val="0"/>
      <w:i w:val="0"/>
      <w:iCs w:val="0"/>
      <w:color w:val="D14836"/>
    </w:rPr>
  </w:style>
  <w:style w:type="character" w:customStyle="1" w:styleId="st1">
    <w:name w:val="st1"/>
    <w:rsid w:val="00E950A0"/>
  </w:style>
  <w:style w:type="paragraph" w:customStyle="1" w:styleId="aff1">
    <w:name w:val="字元 字元 字元 字元"/>
    <w:basedOn w:val="a1"/>
    <w:rsid w:val="00CC3FB6"/>
    <w:pPr>
      <w:widowControl/>
      <w:spacing w:after="160" w:line="240" w:lineRule="exact"/>
    </w:pPr>
    <w:rPr>
      <w:rFonts w:ascii="Verdana" w:eastAsia="新細明體" w:hAnsi="Verdana"/>
      <w:kern w:val="0"/>
      <w:sz w:val="20"/>
      <w:lang w:eastAsia="en-US"/>
    </w:rPr>
  </w:style>
  <w:style w:type="paragraph" w:customStyle="1" w:styleId="aff2">
    <w:name w:val="字元 字元 字元 字元 字元 字元"/>
    <w:basedOn w:val="a1"/>
    <w:rsid w:val="00860240"/>
    <w:pPr>
      <w:widowControl/>
      <w:spacing w:after="160" w:line="240" w:lineRule="exact"/>
    </w:pPr>
    <w:rPr>
      <w:rFonts w:ascii="Verdana" w:eastAsia="新細明體" w:hAnsi="Verdana"/>
      <w:kern w:val="0"/>
      <w:sz w:val="20"/>
      <w:lang w:val="en-GB" w:eastAsia="en-US"/>
    </w:rPr>
  </w:style>
  <w:style w:type="paragraph" w:customStyle="1" w:styleId="aff3">
    <w:name w:val="字元 字元 字元 字元"/>
    <w:basedOn w:val="a1"/>
    <w:rsid w:val="00860240"/>
    <w:pPr>
      <w:widowControl/>
      <w:spacing w:after="160" w:line="240" w:lineRule="exact"/>
    </w:pPr>
    <w:rPr>
      <w:rFonts w:ascii="Verdana" w:eastAsia="新細明體" w:hAnsi="Verdana"/>
      <w:kern w:val="0"/>
      <w:sz w:val="20"/>
      <w:lang w:eastAsia="en-US"/>
    </w:rPr>
  </w:style>
  <w:style w:type="paragraph" w:styleId="aff4">
    <w:name w:val="Date"/>
    <w:basedOn w:val="a1"/>
    <w:next w:val="a1"/>
    <w:link w:val="aff5"/>
    <w:uiPriority w:val="99"/>
    <w:semiHidden/>
    <w:unhideWhenUsed/>
    <w:rsid w:val="00860240"/>
    <w:pPr>
      <w:jc w:val="right"/>
    </w:pPr>
  </w:style>
  <w:style w:type="character" w:customStyle="1" w:styleId="aff5">
    <w:name w:val="日期 字元"/>
    <w:basedOn w:val="a2"/>
    <w:link w:val="aff4"/>
    <w:uiPriority w:val="99"/>
    <w:semiHidden/>
    <w:rsid w:val="00860240"/>
    <w:rPr>
      <w:rFonts w:ascii="Times New Roman" w:eastAsia="標楷體" w:hAnsi="Times New Roman"/>
      <w:kern w:val="2"/>
      <w:sz w:val="32"/>
    </w:rPr>
  </w:style>
  <w:style w:type="paragraph" w:styleId="aff6">
    <w:name w:val="Body Text"/>
    <w:basedOn w:val="a1"/>
    <w:link w:val="aff7"/>
    <w:unhideWhenUsed/>
    <w:rsid w:val="005905FF"/>
    <w:pPr>
      <w:spacing w:after="120"/>
    </w:pPr>
  </w:style>
  <w:style w:type="character" w:customStyle="1" w:styleId="aff7">
    <w:name w:val="本文 字元"/>
    <w:basedOn w:val="a2"/>
    <w:link w:val="aff6"/>
    <w:uiPriority w:val="99"/>
    <w:semiHidden/>
    <w:rsid w:val="005905FF"/>
    <w:rPr>
      <w:rFonts w:ascii="Times New Roman" w:eastAsia="標楷體" w:hAnsi="Times New Roman"/>
      <w:kern w:val="2"/>
      <w:sz w:val="32"/>
    </w:rPr>
  </w:style>
  <w:style w:type="paragraph" w:styleId="aff8">
    <w:name w:val="Plain Text"/>
    <w:basedOn w:val="a1"/>
    <w:link w:val="aff9"/>
    <w:rsid w:val="005905FF"/>
    <w:pPr>
      <w:widowControl/>
    </w:pPr>
    <w:rPr>
      <w:rFonts w:ascii="Arial" w:eastAsia="新細明體" w:hAnsi="Arial" w:cs="Arial"/>
      <w:kern w:val="0"/>
      <w:sz w:val="18"/>
      <w:szCs w:val="18"/>
    </w:rPr>
  </w:style>
  <w:style w:type="character" w:customStyle="1" w:styleId="aff9">
    <w:name w:val="純文字 字元"/>
    <w:basedOn w:val="a2"/>
    <w:link w:val="aff8"/>
    <w:rsid w:val="005905FF"/>
    <w:rPr>
      <w:rFonts w:ascii="Arial" w:hAnsi="Arial" w:cs="Arial"/>
      <w:sz w:val="18"/>
      <w:szCs w:val="18"/>
    </w:rPr>
  </w:style>
  <w:style w:type="character" w:customStyle="1" w:styleId="apple-style-span">
    <w:name w:val="apple-style-span"/>
    <w:basedOn w:val="a2"/>
    <w:rsid w:val="005905FF"/>
  </w:style>
  <w:style w:type="character" w:customStyle="1" w:styleId="Slogan">
    <w:name w:val="Slogan"/>
    <w:rsid w:val="005905FF"/>
    <w:rPr>
      <w:rFonts w:ascii="Arial Black" w:hAnsi="Arial Black"/>
      <w:spacing w:val="-10"/>
      <w:position w:val="2"/>
      <w:sz w:val="19"/>
    </w:rPr>
  </w:style>
  <w:style w:type="paragraph" w:customStyle="1" w:styleId="14">
    <w:name w:val="表格內文(14行高)"/>
    <w:basedOn w:val="af4"/>
    <w:link w:val="140"/>
    <w:rsid w:val="005905FF"/>
    <w:pPr>
      <w:spacing w:line="280" w:lineRule="exact"/>
      <w:ind w:left="0" w:firstLineChars="0" w:firstLine="0"/>
    </w:pPr>
    <w:rPr>
      <w:sz w:val="24"/>
    </w:rPr>
  </w:style>
  <w:style w:type="character" w:customStyle="1" w:styleId="140">
    <w:name w:val="表格內文(14行高) 字元"/>
    <w:link w:val="14"/>
    <w:rsid w:val="005905FF"/>
    <w:rPr>
      <w:rFonts w:ascii="Times New Roman" w:eastAsia="標楷體" w:hAnsi="Times New Roman"/>
      <w:kern w:val="2"/>
      <w:sz w:val="24"/>
    </w:rPr>
  </w:style>
  <w:style w:type="paragraph" w:customStyle="1" w:styleId="43">
    <w:name w:val="字元 字元4 字元"/>
    <w:basedOn w:val="a1"/>
    <w:rsid w:val="005905FF"/>
    <w:pPr>
      <w:widowControl/>
      <w:spacing w:after="160" w:line="240" w:lineRule="exact"/>
    </w:pPr>
    <w:rPr>
      <w:rFonts w:ascii="Verdana" w:eastAsia="新細明體" w:hAnsi="Verdana"/>
      <w:kern w:val="0"/>
      <w:sz w:val="20"/>
      <w:lang w:eastAsia="en-US"/>
    </w:rPr>
  </w:style>
  <w:style w:type="paragraph" w:styleId="affa">
    <w:name w:val="footnote text"/>
    <w:basedOn w:val="a1"/>
    <w:link w:val="affb"/>
    <w:uiPriority w:val="99"/>
    <w:semiHidden/>
    <w:unhideWhenUsed/>
    <w:rsid w:val="0052592B"/>
    <w:pPr>
      <w:snapToGrid w:val="0"/>
    </w:pPr>
    <w:rPr>
      <w:sz w:val="20"/>
    </w:rPr>
  </w:style>
  <w:style w:type="character" w:customStyle="1" w:styleId="affb">
    <w:name w:val="註腳文字 字元"/>
    <w:basedOn w:val="a2"/>
    <w:link w:val="affa"/>
    <w:uiPriority w:val="99"/>
    <w:semiHidden/>
    <w:rsid w:val="0052592B"/>
    <w:rPr>
      <w:rFonts w:ascii="Times New Roman" w:eastAsia="標楷體" w:hAnsi="Times New Roman"/>
      <w:kern w:val="2"/>
    </w:rPr>
  </w:style>
  <w:style w:type="character" w:styleId="affc">
    <w:name w:val="footnote reference"/>
    <w:basedOn w:val="a2"/>
    <w:uiPriority w:val="99"/>
    <w:semiHidden/>
    <w:unhideWhenUsed/>
    <w:rsid w:val="00525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2151</Words>
  <Characters>12264</Characters>
  <Application>Microsoft Office Word</Application>
  <DocSecurity>0</DocSecurity>
  <Lines>102</Lines>
  <Paragraphs>28</Paragraphs>
  <ScaleCrop>false</ScaleCrop>
  <Company>Hewlett-Packard Company</Company>
  <LinksUpToDate>false</LinksUpToDate>
  <CharactersWithSpaces>14387</CharactersWithSpaces>
  <SharedDoc>false</SharedDoc>
  <HLinks>
    <vt:vector size="6" baseType="variant">
      <vt:variant>
        <vt:i4>3932262</vt:i4>
      </vt:variant>
      <vt:variant>
        <vt:i4>3</vt:i4>
      </vt:variant>
      <vt:variant>
        <vt:i4>0</vt:i4>
      </vt:variant>
      <vt:variant>
        <vt:i4>5</vt:i4>
      </vt:variant>
      <vt:variant>
        <vt:lpwstr>http://abrc.sinica.edu.tw/2010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周慶安</cp:lastModifiedBy>
  <cp:revision>4</cp:revision>
  <cp:lastPrinted>2012-03-08T08:59:00Z</cp:lastPrinted>
  <dcterms:created xsi:type="dcterms:W3CDTF">2016-12-14T08:38:00Z</dcterms:created>
  <dcterms:modified xsi:type="dcterms:W3CDTF">2016-12-14T08:55:00Z</dcterms:modified>
</cp:coreProperties>
</file>