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7D" w:rsidRPr="003F1BD1" w:rsidRDefault="001F0E62" w:rsidP="0031543C">
      <w:pPr>
        <w:pStyle w:val="a4"/>
        <w:kinsoku w:val="0"/>
        <w:spacing w:before="0"/>
        <w:ind w:left="0" w:firstLine="0"/>
        <w:jc w:val="center"/>
        <w:rPr>
          <w:rFonts w:hAnsi="標楷體"/>
          <w:bCs/>
          <w:snapToGrid/>
          <w:kern w:val="0"/>
          <w:sz w:val="40"/>
        </w:rPr>
      </w:pPr>
      <w:r w:rsidRPr="003F1BD1">
        <w:rPr>
          <w:rFonts w:hAnsi="標楷體" w:hint="eastAsia"/>
          <w:bCs/>
          <w:snapToGrid/>
          <w:spacing w:val="200"/>
          <w:kern w:val="0"/>
          <w:sz w:val="40"/>
        </w:rPr>
        <w:t>糾正案文</w:t>
      </w:r>
    </w:p>
    <w:p w:rsidR="001A147D" w:rsidRPr="003F1BD1" w:rsidRDefault="001F0E62" w:rsidP="00E95DDD">
      <w:pPr>
        <w:pStyle w:val="1"/>
        <w:kinsoku/>
        <w:overflowPunct w:val="0"/>
        <w:spacing w:beforeLines="25"/>
        <w:ind w:left="2721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3F1BD1">
        <w:rPr>
          <w:rFonts w:hAnsi="標楷體"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E7578" w:rsidRPr="003F1BD1">
        <w:rPr>
          <w:rFonts w:hAnsi="標楷體" w:hint="eastAsia"/>
        </w:rPr>
        <w:t>行政院農業委員會漁業署</w:t>
      </w:r>
      <w:r w:rsidRPr="003F1BD1">
        <w:rPr>
          <w:rFonts w:hAnsi="標楷體" w:hint="eastAsia"/>
        </w:rPr>
        <w:t>。</w:t>
      </w:r>
    </w:p>
    <w:p w:rsidR="001A147D" w:rsidRPr="003F1BD1" w:rsidRDefault="001F0E62" w:rsidP="008E7578">
      <w:pPr>
        <w:pStyle w:val="1"/>
        <w:kinsoku/>
        <w:overflowPunct w:val="0"/>
        <w:ind w:left="2694" w:hangingChars="792" w:hanging="2694"/>
        <w:rPr>
          <w:rFonts w:hAnsi="標楷體"/>
        </w:rPr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 w:rsidRPr="003F1BD1">
        <w:rPr>
          <w:rFonts w:hAnsi="標楷體" w:hint="eastAsia"/>
        </w:rPr>
        <w:t>案　　　由：</w:t>
      </w:r>
      <w:r w:rsidR="008E7578" w:rsidRPr="003F1BD1">
        <w:rPr>
          <w:rFonts w:hAnsi="標楷體" w:hint="eastAsia"/>
        </w:rPr>
        <w:t>行政院農業委員會</w:t>
      </w:r>
      <w:r w:rsidR="008E7578" w:rsidRPr="003F1BD1">
        <w:rPr>
          <w:rFonts w:hint="eastAsia"/>
        </w:rPr>
        <w:t>漁業署耗費鉅額公</w:t>
      </w:r>
      <w:proofErr w:type="gramStart"/>
      <w:r w:rsidR="008E7578" w:rsidRPr="003F1BD1">
        <w:rPr>
          <w:rFonts w:hint="eastAsia"/>
        </w:rPr>
        <w:t>帑</w:t>
      </w:r>
      <w:proofErr w:type="gramEnd"/>
      <w:r w:rsidR="008E7578" w:rsidRPr="003F1BD1">
        <w:rPr>
          <w:rFonts w:hint="eastAsia"/>
        </w:rPr>
        <w:t>補助各地興建魚貨直銷中心，惟未審慎評估經營之可行性，又未</w:t>
      </w:r>
      <w:r w:rsidR="00D3574C">
        <w:rPr>
          <w:rFonts w:hint="eastAsia"/>
        </w:rPr>
        <w:t>積極</w:t>
      </w:r>
      <w:r w:rsidR="008E7578" w:rsidRPr="003F1BD1">
        <w:rPr>
          <w:rFonts w:hint="eastAsia"/>
        </w:rPr>
        <w:t>督促各該經營管理者善加營運管理，致</w:t>
      </w:r>
      <w:proofErr w:type="gramStart"/>
      <w:r w:rsidR="008E7578" w:rsidRPr="003F1BD1">
        <w:rPr>
          <w:rFonts w:hint="eastAsia"/>
        </w:rPr>
        <w:t>多處魚貨</w:t>
      </w:r>
      <w:proofErr w:type="gramEnd"/>
      <w:r w:rsidR="008E7578" w:rsidRPr="003F1BD1">
        <w:rPr>
          <w:rFonts w:hint="eastAsia"/>
        </w:rPr>
        <w:t>直銷中心興建後閒置或低度利用，</w:t>
      </w:r>
      <w:proofErr w:type="gramStart"/>
      <w:r w:rsidR="008E7578" w:rsidRPr="003F1BD1">
        <w:rPr>
          <w:rFonts w:hint="eastAsia"/>
        </w:rPr>
        <w:t>洵</w:t>
      </w:r>
      <w:proofErr w:type="gramEnd"/>
      <w:r w:rsidR="008E7578" w:rsidRPr="003F1BD1">
        <w:rPr>
          <w:rFonts w:hint="eastAsia"/>
        </w:rPr>
        <w:t>有未當</w:t>
      </w:r>
      <w:r w:rsidR="006827AC" w:rsidRPr="003F1BD1">
        <w:rPr>
          <w:rFonts w:hAnsi="標楷體" w:hint="eastAsia"/>
        </w:rPr>
        <w:t>，</w:t>
      </w:r>
      <w:proofErr w:type="gramStart"/>
      <w:r w:rsidR="00BC32D0" w:rsidRPr="003F1BD1">
        <w:rPr>
          <w:rFonts w:hAnsi="標楷體" w:hint="eastAsia"/>
        </w:rPr>
        <w:t>爰</w:t>
      </w:r>
      <w:proofErr w:type="gramEnd"/>
      <w:r w:rsidR="00BC32D0" w:rsidRPr="003F1BD1">
        <w:rPr>
          <w:rFonts w:hAnsi="標楷體" w:hint="eastAsia"/>
        </w:rPr>
        <w:t>依法提案糾正</w:t>
      </w:r>
      <w:r w:rsidRPr="003F1BD1">
        <w:rPr>
          <w:rFonts w:hAnsi="標楷體" w:hint="eastAsia"/>
        </w:rPr>
        <w:t>。</w:t>
      </w:r>
      <w:bookmarkEnd w:id="14"/>
      <w:bookmarkEnd w:id="15"/>
      <w:bookmarkEnd w:id="16"/>
      <w:bookmarkEnd w:id="17"/>
      <w:bookmarkEnd w:id="18"/>
    </w:p>
    <w:p w:rsidR="001A147D" w:rsidRPr="003F1BD1" w:rsidRDefault="001F0E62" w:rsidP="00357F33">
      <w:pPr>
        <w:pStyle w:val="1"/>
        <w:kinsoku/>
        <w:overflowPunct w:val="0"/>
        <w:ind w:left="2381" w:hangingChars="700" w:hanging="2381"/>
        <w:rPr>
          <w:rFonts w:hAnsi="標楷體"/>
        </w:rPr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 w:rsidRPr="003F1BD1">
        <w:rPr>
          <w:rFonts w:hAnsi="標楷體"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E7578" w:rsidRPr="003F1BD1" w:rsidRDefault="008E7578" w:rsidP="008E7578">
      <w:pPr>
        <w:pStyle w:val="11"/>
        <w:ind w:left="680" w:firstLine="680"/>
        <w:rPr>
          <w:rFonts w:hAnsi="標楷體"/>
          <w:bCs/>
        </w:rPr>
      </w:pPr>
      <w:r w:rsidRPr="003F1BD1">
        <w:rPr>
          <w:rFonts w:hAnsi="標楷體" w:hint="eastAsia"/>
          <w:bCs/>
        </w:rPr>
        <w:t>臺灣四面環海，具備豐沛之海洋資源與海岸景觀，相關主管機關理應配合國際漁業環境變</w:t>
      </w:r>
      <w:r w:rsidR="00230212">
        <w:rPr>
          <w:rFonts w:hAnsi="標楷體" w:hint="eastAsia"/>
          <w:bCs/>
        </w:rPr>
        <w:t>遷，順應時勢及產業發展，規劃調整具體有效之漁業政策及作為，以提升</w:t>
      </w:r>
      <w:r w:rsidRPr="003F1BD1">
        <w:rPr>
          <w:rFonts w:hAnsi="標楷體" w:hint="eastAsia"/>
          <w:bCs/>
        </w:rPr>
        <w:t>漁業經營效益，改善漁民生計。</w:t>
      </w:r>
      <w:proofErr w:type="gramStart"/>
      <w:r w:rsidRPr="003F1BD1">
        <w:rPr>
          <w:rFonts w:hAnsi="標楷體" w:hint="eastAsia"/>
          <w:bCs/>
        </w:rPr>
        <w:t>惟</w:t>
      </w:r>
      <w:proofErr w:type="gramEnd"/>
      <w:r w:rsidRPr="003F1BD1">
        <w:rPr>
          <w:rFonts w:hAnsi="標楷體" w:hint="eastAsia"/>
          <w:bCs/>
        </w:rPr>
        <w:t>行政院農業委員會（下稱農委會）及所屬漁業署</w:t>
      </w:r>
      <w:r w:rsidR="00230212">
        <w:rPr>
          <w:rFonts w:hAnsi="標楷體" w:hint="eastAsia"/>
          <w:bCs/>
        </w:rPr>
        <w:t>（下稱漁業署）</w:t>
      </w:r>
      <w:r w:rsidRPr="003F1BD1">
        <w:rPr>
          <w:rFonts w:hAnsi="標楷體" w:hint="eastAsia"/>
          <w:bCs/>
        </w:rPr>
        <w:t>卻未能適切體認整體漁業環境之轉變，正視臺灣漁業面臨之困境，一再耗費鉅額公</w:t>
      </w:r>
      <w:proofErr w:type="gramStart"/>
      <w:r w:rsidRPr="003F1BD1">
        <w:rPr>
          <w:rFonts w:hAnsi="標楷體" w:hint="eastAsia"/>
          <w:bCs/>
        </w:rPr>
        <w:t>帑</w:t>
      </w:r>
      <w:proofErr w:type="gramEnd"/>
      <w:r w:rsidRPr="003F1BD1">
        <w:rPr>
          <w:rFonts w:hAnsi="標楷體" w:hint="eastAsia"/>
          <w:bCs/>
        </w:rPr>
        <w:t>補助各地興建漁港及其周邊相關設施，又未能審慎評估興設之效益與可行性，致多處漁港及相關設施完工後，</w:t>
      </w:r>
      <w:proofErr w:type="gramStart"/>
      <w:r w:rsidRPr="003F1BD1">
        <w:rPr>
          <w:rFonts w:hAnsi="標楷體" w:hint="eastAsia"/>
          <w:bCs/>
        </w:rPr>
        <w:t>紛</w:t>
      </w:r>
      <w:proofErr w:type="gramEnd"/>
      <w:r w:rsidRPr="003F1BD1">
        <w:rPr>
          <w:rFonts w:hAnsi="標楷體" w:hint="eastAsia"/>
          <w:bCs/>
        </w:rPr>
        <w:t>告閒置或低度利用，前經本院多次調查、糾正在案（詳見本院100財正0043、100財調0035、098財調0118、098內正0032及098財正0026等案號），</w:t>
      </w:r>
      <w:proofErr w:type="gramStart"/>
      <w:r w:rsidRPr="003F1BD1">
        <w:rPr>
          <w:rFonts w:hAnsi="標楷體" w:hint="eastAsia"/>
          <w:bCs/>
        </w:rPr>
        <w:t>先予敘明</w:t>
      </w:r>
      <w:proofErr w:type="gramEnd"/>
      <w:r w:rsidRPr="003F1BD1">
        <w:rPr>
          <w:rFonts w:hAnsi="標楷體" w:hint="eastAsia"/>
          <w:bCs/>
        </w:rPr>
        <w:t>。</w:t>
      </w:r>
    </w:p>
    <w:p w:rsidR="008F48AC" w:rsidRPr="003F1BD1" w:rsidRDefault="008E7578" w:rsidP="008E7578">
      <w:pPr>
        <w:pStyle w:val="11"/>
        <w:ind w:left="680" w:firstLine="680"/>
        <w:rPr>
          <w:rFonts w:hAnsi="標楷體"/>
          <w:bCs/>
        </w:rPr>
      </w:pPr>
      <w:r w:rsidRPr="003F1BD1">
        <w:rPr>
          <w:rFonts w:hAnsi="標楷體" w:hint="eastAsia"/>
          <w:bCs/>
        </w:rPr>
        <w:t>本案係緣自審計部</w:t>
      </w:r>
      <w:r w:rsidR="00230212">
        <w:rPr>
          <w:rFonts w:hAnsi="標楷體" w:hint="eastAsia"/>
          <w:bCs/>
        </w:rPr>
        <w:t>民國（下同）</w:t>
      </w:r>
      <w:proofErr w:type="gramStart"/>
      <w:r w:rsidRPr="003F1BD1">
        <w:rPr>
          <w:rFonts w:hAnsi="標楷體" w:hint="eastAsia"/>
          <w:bCs/>
        </w:rPr>
        <w:t>102</w:t>
      </w:r>
      <w:proofErr w:type="gramEnd"/>
      <w:r w:rsidRPr="003F1BD1">
        <w:rPr>
          <w:rFonts w:hAnsi="標楷體" w:hint="eastAsia"/>
          <w:bCs/>
        </w:rPr>
        <w:t>年度中央政府總決算審核報告中，有關漁業署辦理「梧棲漁港魚貨直銷中心銷售區整建工程」，工程開工逾年</w:t>
      </w:r>
      <w:r w:rsidR="00230212">
        <w:rPr>
          <w:rFonts w:hAnsi="標楷體" w:hint="eastAsia"/>
          <w:bCs/>
        </w:rPr>
        <w:t>餘，主體建築仍未動工興築，延宕計畫進度，亟待積極</w:t>
      </w:r>
      <w:proofErr w:type="gramStart"/>
      <w:r w:rsidR="00230212">
        <w:rPr>
          <w:rFonts w:hAnsi="標楷體" w:hint="eastAsia"/>
          <w:bCs/>
        </w:rPr>
        <w:t>研</w:t>
      </w:r>
      <w:proofErr w:type="gramEnd"/>
      <w:r w:rsidR="00230212">
        <w:rPr>
          <w:rFonts w:hAnsi="標楷體" w:hint="eastAsia"/>
          <w:bCs/>
        </w:rPr>
        <w:t>謀改善等情</w:t>
      </w:r>
      <w:r w:rsidRPr="003F1BD1">
        <w:rPr>
          <w:rFonts w:hAnsi="標楷體" w:hint="eastAsia"/>
          <w:bCs/>
        </w:rPr>
        <w:t>，經本院財政及經濟委員會</w:t>
      </w:r>
      <w:r w:rsidR="00230212">
        <w:rPr>
          <w:rFonts w:hAnsi="標楷體" w:hint="eastAsia"/>
          <w:bCs/>
        </w:rPr>
        <w:t>第5屆第4次會議</w:t>
      </w:r>
      <w:r w:rsidRPr="003F1BD1">
        <w:rPr>
          <w:rFonts w:hAnsi="標楷體" w:hint="eastAsia"/>
          <w:bCs/>
        </w:rPr>
        <w:t>審議決議，推派調查該署辦理</w:t>
      </w:r>
      <w:proofErr w:type="gramStart"/>
      <w:r w:rsidRPr="003F1BD1">
        <w:rPr>
          <w:rFonts w:hAnsi="標楷體" w:hint="eastAsia"/>
          <w:bCs/>
        </w:rPr>
        <w:t>各地魚貨</w:t>
      </w:r>
      <w:proofErr w:type="gramEnd"/>
      <w:r w:rsidRPr="003F1BD1">
        <w:rPr>
          <w:rFonts w:hAnsi="標楷體" w:hint="eastAsia"/>
          <w:bCs/>
        </w:rPr>
        <w:t>直銷中心相關工程或設施有無閒置或低度利用等情事。案</w:t>
      </w:r>
      <w:proofErr w:type="gramStart"/>
      <w:r w:rsidRPr="003F1BD1">
        <w:rPr>
          <w:rFonts w:hAnsi="標楷體" w:hint="eastAsia"/>
          <w:bCs/>
        </w:rPr>
        <w:t>經綜析</w:t>
      </w:r>
      <w:proofErr w:type="gramEnd"/>
      <w:r w:rsidRPr="003F1BD1">
        <w:rPr>
          <w:rFonts w:hAnsi="標楷體" w:hint="eastAsia"/>
          <w:bCs/>
        </w:rPr>
        <w:t>相關背景資料後，</w:t>
      </w:r>
      <w:r w:rsidR="00230212">
        <w:rPr>
          <w:rFonts w:hAnsi="標楷體" w:hint="eastAsia"/>
          <w:bCs/>
        </w:rPr>
        <w:t>函請農委會及審計部，就案情爭點查復說明並提供佐證資料到院，並</w:t>
      </w:r>
      <w:r w:rsidRPr="003F1BD1">
        <w:rPr>
          <w:rFonts w:hAnsi="標楷體" w:hint="eastAsia"/>
          <w:bCs/>
        </w:rPr>
        <w:t>於104年1月28日及同年4月2日先後</w:t>
      </w:r>
      <w:r w:rsidRPr="003F1BD1">
        <w:rPr>
          <w:rFonts w:hAnsi="標楷體" w:hint="eastAsia"/>
          <w:bCs/>
        </w:rPr>
        <w:lastRenderedPageBreak/>
        <w:t>赴桃園市永安、</w:t>
      </w:r>
      <w:proofErr w:type="gramStart"/>
      <w:r w:rsidRPr="003F1BD1">
        <w:rPr>
          <w:rFonts w:hAnsi="標楷體" w:hint="eastAsia"/>
          <w:bCs/>
        </w:rPr>
        <w:t>臺</w:t>
      </w:r>
      <w:proofErr w:type="gramEnd"/>
      <w:r w:rsidRPr="003F1BD1">
        <w:rPr>
          <w:rFonts w:hAnsi="標楷體" w:hint="eastAsia"/>
          <w:bCs/>
        </w:rPr>
        <w:t>中市梧棲、高雄市前鎮、</w:t>
      </w:r>
      <w:proofErr w:type="gramStart"/>
      <w:r w:rsidRPr="003F1BD1">
        <w:rPr>
          <w:rFonts w:hAnsi="標楷體" w:hint="eastAsia"/>
          <w:bCs/>
        </w:rPr>
        <w:t>臺</w:t>
      </w:r>
      <w:proofErr w:type="gramEnd"/>
      <w:r w:rsidRPr="003F1BD1">
        <w:rPr>
          <w:rFonts w:hAnsi="標楷體" w:hint="eastAsia"/>
          <w:bCs/>
        </w:rPr>
        <w:t>南市將軍等漁港魚貨直銷中心現地履</w:t>
      </w:r>
      <w:proofErr w:type="gramStart"/>
      <w:r w:rsidRPr="003F1BD1">
        <w:rPr>
          <w:rFonts w:hAnsi="標楷體" w:hint="eastAsia"/>
          <w:bCs/>
        </w:rPr>
        <w:t>勘</w:t>
      </w:r>
      <w:proofErr w:type="gramEnd"/>
      <w:r w:rsidRPr="003F1BD1">
        <w:rPr>
          <w:rFonts w:hAnsi="標楷體" w:hint="eastAsia"/>
          <w:bCs/>
        </w:rPr>
        <w:t>，</w:t>
      </w:r>
      <w:proofErr w:type="gramStart"/>
      <w:r w:rsidRPr="003F1BD1">
        <w:rPr>
          <w:rFonts w:hAnsi="標楷體" w:hint="eastAsia"/>
          <w:bCs/>
        </w:rPr>
        <w:t>嗣</w:t>
      </w:r>
      <w:proofErr w:type="gramEnd"/>
      <w:r w:rsidR="00230212">
        <w:rPr>
          <w:rFonts w:hAnsi="標楷體" w:hint="eastAsia"/>
          <w:bCs/>
        </w:rPr>
        <w:t>於同</w:t>
      </w:r>
      <w:r w:rsidRPr="003F1BD1">
        <w:rPr>
          <w:rFonts w:hAnsi="標楷體" w:hint="eastAsia"/>
          <w:bCs/>
        </w:rPr>
        <w:t>年5月13、14日高雄市政府及</w:t>
      </w:r>
      <w:proofErr w:type="gramStart"/>
      <w:r w:rsidRPr="003F1BD1">
        <w:rPr>
          <w:rFonts w:hAnsi="標楷體" w:hint="eastAsia"/>
          <w:bCs/>
        </w:rPr>
        <w:t>臺</w:t>
      </w:r>
      <w:proofErr w:type="gramEnd"/>
      <w:r w:rsidRPr="003F1BD1">
        <w:rPr>
          <w:rFonts w:hAnsi="標楷體" w:hint="eastAsia"/>
          <w:bCs/>
        </w:rPr>
        <w:t>南市政府分別就履</w:t>
      </w:r>
      <w:proofErr w:type="gramStart"/>
      <w:r w:rsidRPr="003F1BD1">
        <w:rPr>
          <w:rFonts w:hAnsi="標楷體" w:hint="eastAsia"/>
          <w:bCs/>
        </w:rPr>
        <w:t>勘</w:t>
      </w:r>
      <w:proofErr w:type="gramEnd"/>
      <w:r w:rsidRPr="003F1BD1">
        <w:rPr>
          <w:rFonts w:hAnsi="標楷體" w:hint="eastAsia"/>
          <w:bCs/>
        </w:rPr>
        <w:t>詢問問題查復到院，經詳</w:t>
      </w:r>
      <w:proofErr w:type="gramStart"/>
      <w:r w:rsidRPr="003F1BD1">
        <w:rPr>
          <w:rFonts w:hAnsi="標楷體" w:hint="eastAsia"/>
          <w:bCs/>
        </w:rPr>
        <w:t>予審閱</w:t>
      </w:r>
      <w:proofErr w:type="gramEnd"/>
      <w:r w:rsidRPr="003F1BD1">
        <w:rPr>
          <w:rFonts w:hAnsi="標楷體" w:hint="eastAsia"/>
          <w:bCs/>
        </w:rPr>
        <w:t>相關卷證資料，</w:t>
      </w:r>
      <w:r w:rsidR="00E45509" w:rsidRPr="003F1BD1">
        <w:rPr>
          <w:rFonts w:hAnsi="標楷體" w:hint="eastAsia"/>
          <w:bCs/>
        </w:rPr>
        <w:t>業</w:t>
      </w:r>
      <w:r w:rsidRPr="003F1BD1">
        <w:rPr>
          <w:rFonts w:hAnsi="標楷體" w:hint="eastAsia"/>
          <w:bCs/>
        </w:rPr>
        <w:t>已</w:t>
      </w:r>
      <w:proofErr w:type="gramStart"/>
      <w:r w:rsidRPr="003F1BD1">
        <w:rPr>
          <w:rFonts w:hAnsi="標楷體" w:hint="eastAsia"/>
          <w:bCs/>
        </w:rPr>
        <w:t>調查竣事</w:t>
      </w:r>
      <w:proofErr w:type="gramEnd"/>
      <w:r w:rsidRPr="003F1BD1">
        <w:rPr>
          <w:rFonts w:hAnsi="標楷體" w:hint="eastAsia"/>
          <w:bCs/>
        </w:rPr>
        <w:t>，茲將</w:t>
      </w:r>
      <w:r w:rsidR="00E45509" w:rsidRPr="003F1BD1">
        <w:rPr>
          <w:rFonts w:hAnsi="標楷體" w:hint="eastAsia"/>
          <w:bCs/>
        </w:rPr>
        <w:t>糾正事實與理由</w:t>
      </w:r>
      <w:proofErr w:type="gramStart"/>
      <w:r w:rsidRPr="003F1BD1">
        <w:rPr>
          <w:rFonts w:hAnsi="標楷體" w:hint="eastAsia"/>
          <w:bCs/>
        </w:rPr>
        <w:t>臚列如</w:t>
      </w:r>
      <w:proofErr w:type="gramEnd"/>
      <w:r w:rsidRPr="003F1BD1">
        <w:rPr>
          <w:rFonts w:hAnsi="標楷體" w:hint="eastAsia"/>
          <w:bCs/>
        </w:rPr>
        <w:t>下</w:t>
      </w:r>
      <w:r w:rsidR="006D4EFC" w:rsidRPr="003F1BD1">
        <w:rPr>
          <w:rFonts w:hAnsi="標楷體" w:hint="eastAsia"/>
          <w:bCs/>
        </w:rPr>
        <w:t>：</w:t>
      </w:r>
    </w:p>
    <w:p w:rsidR="00E45509" w:rsidRPr="003F1BD1" w:rsidRDefault="00E45509" w:rsidP="00E95DDD">
      <w:pPr>
        <w:pStyle w:val="11"/>
        <w:spacing w:beforeLines="50"/>
        <w:ind w:left="680" w:firstLineChars="0" w:firstLine="0"/>
        <w:rPr>
          <w:b/>
        </w:rPr>
      </w:pPr>
      <w:bookmarkStart w:id="33" w:name="_Toc529218261"/>
      <w:bookmarkStart w:id="34" w:name="_Toc529222684"/>
      <w:bookmarkStart w:id="35" w:name="_Toc529223106"/>
      <w:bookmarkStart w:id="36" w:name="_Toc529223857"/>
      <w:bookmarkStart w:id="37" w:name="_Toc529228253"/>
      <w:bookmarkStart w:id="38" w:name="_Toc2400390"/>
      <w:bookmarkStart w:id="39" w:name="_Toc4316184"/>
      <w:bookmarkStart w:id="40" w:name="_Toc525066144"/>
      <w:bookmarkStart w:id="41" w:name="_Toc524892372"/>
      <w:r w:rsidRPr="003F1BD1">
        <w:rPr>
          <w:rFonts w:hint="eastAsia"/>
          <w:b/>
        </w:rPr>
        <w:t>漁業署耗費鉅額公</w:t>
      </w:r>
      <w:proofErr w:type="gramStart"/>
      <w:r w:rsidRPr="003F1BD1">
        <w:rPr>
          <w:rFonts w:hint="eastAsia"/>
          <w:b/>
        </w:rPr>
        <w:t>帑</w:t>
      </w:r>
      <w:proofErr w:type="gramEnd"/>
      <w:r w:rsidRPr="003F1BD1">
        <w:rPr>
          <w:rFonts w:hint="eastAsia"/>
          <w:b/>
        </w:rPr>
        <w:t>補助各地興建魚貨直銷中心，惟未審慎評估</w:t>
      </w:r>
      <w:r w:rsidRPr="003F1BD1">
        <w:rPr>
          <w:rFonts w:hAnsi="標楷體" w:hint="eastAsia"/>
          <w:b/>
          <w:bCs/>
        </w:rPr>
        <w:t>經營</w:t>
      </w:r>
      <w:r w:rsidRPr="003F1BD1">
        <w:rPr>
          <w:rFonts w:hint="eastAsia"/>
          <w:b/>
        </w:rPr>
        <w:t>之可行性，又未</w:t>
      </w:r>
      <w:r w:rsidR="00230212">
        <w:rPr>
          <w:rFonts w:hint="eastAsia"/>
          <w:b/>
        </w:rPr>
        <w:t>積極</w:t>
      </w:r>
      <w:r w:rsidRPr="003F1BD1">
        <w:rPr>
          <w:rFonts w:hint="eastAsia"/>
          <w:b/>
        </w:rPr>
        <w:t>督促各該經營管理者善加營運管理，致</w:t>
      </w:r>
      <w:proofErr w:type="gramStart"/>
      <w:r w:rsidRPr="003F1BD1">
        <w:rPr>
          <w:rFonts w:hint="eastAsia"/>
          <w:b/>
        </w:rPr>
        <w:t>多處魚貨</w:t>
      </w:r>
      <w:proofErr w:type="gramEnd"/>
      <w:r w:rsidRPr="003F1BD1">
        <w:rPr>
          <w:rFonts w:hint="eastAsia"/>
          <w:b/>
        </w:rPr>
        <w:t>直銷中心興建後閒置或低度利用，</w:t>
      </w:r>
      <w:proofErr w:type="gramStart"/>
      <w:r w:rsidRPr="003F1BD1">
        <w:rPr>
          <w:rFonts w:hint="eastAsia"/>
          <w:b/>
        </w:rPr>
        <w:t>洵</w:t>
      </w:r>
      <w:proofErr w:type="gramEnd"/>
      <w:r w:rsidRPr="003F1BD1">
        <w:rPr>
          <w:rFonts w:hint="eastAsia"/>
          <w:b/>
        </w:rPr>
        <w:t>有未當。</w:t>
      </w:r>
    </w:p>
    <w:p w:rsidR="00E45509" w:rsidRPr="003F1BD1" w:rsidRDefault="00E45509" w:rsidP="00E45509">
      <w:pPr>
        <w:pStyle w:val="2"/>
      </w:pPr>
      <w:r w:rsidRPr="003F1BD1">
        <w:rPr>
          <w:rFonts w:hint="eastAsia"/>
        </w:rPr>
        <w:t>隨著政府76年解除戒嚴，開放漁港管制，以及國人遊憩需求日益增加，漁港逐漸成為國人休憩觀光之場所。由於漁港內之遊客往往直接向漁民購買現撈魚貨，漁民自行零售之攤販陸續出現，形成市集，為改善漁港區內市集亂</w:t>
      </w:r>
      <w:proofErr w:type="gramStart"/>
      <w:r w:rsidRPr="003F1BD1">
        <w:rPr>
          <w:rFonts w:hint="eastAsia"/>
        </w:rPr>
        <w:t>象</w:t>
      </w:r>
      <w:proofErr w:type="gramEnd"/>
      <w:r w:rsidRPr="003F1BD1">
        <w:rPr>
          <w:rFonts w:hint="eastAsia"/>
        </w:rPr>
        <w:t>，魚貨直銷中心於80年正式推展。83年11月原</w:t>
      </w:r>
      <w:proofErr w:type="gramStart"/>
      <w:r w:rsidRPr="003F1BD1">
        <w:rPr>
          <w:rFonts w:hint="eastAsia"/>
        </w:rPr>
        <w:t>臺</w:t>
      </w:r>
      <w:proofErr w:type="gramEnd"/>
      <w:r w:rsidRPr="003F1BD1">
        <w:rPr>
          <w:rFonts w:hint="eastAsia"/>
        </w:rPr>
        <w:t>中縣（現</w:t>
      </w:r>
      <w:proofErr w:type="gramStart"/>
      <w:r w:rsidRPr="003F1BD1">
        <w:rPr>
          <w:rFonts w:hint="eastAsia"/>
        </w:rPr>
        <w:t>臺</w:t>
      </w:r>
      <w:proofErr w:type="gramEnd"/>
      <w:r w:rsidRPr="003F1BD1">
        <w:rPr>
          <w:rFonts w:hint="eastAsia"/>
        </w:rPr>
        <w:t>中市）梧棲漁港魚貨直銷中心正式營運，成為國內</w:t>
      </w:r>
      <w:proofErr w:type="gramStart"/>
      <w:r w:rsidRPr="003F1BD1">
        <w:rPr>
          <w:rFonts w:hint="eastAsia"/>
        </w:rPr>
        <w:t>第一座魚貨</w:t>
      </w:r>
      <w:proofErr w:type="gramEnd"/>
      <w:r w:rsidRPr="003F1BD1">
        <w:rPr>
          <w:rFonts w:hint="eastAsia"/>
        </w:rPr>
        <w:t>直銷中心，漁民可於魚貨直銷中心將漁產直接出售給消費者，配合漁港區內周邊設施如</w:t>
      </w:r>
      <w:proofErr w:type="gramStart"/>
      <w:r w:rsidRPr="003F1BD1">
        <w:rPr>
          <w:rFonts w:hint="eastAsia"/>
        </w:rPr>
        <w:t>熱食區</w:t>
      </w:r>
      <w:proofErr w:type="gramEnd"/>
      <w:r w:rsidRPr="003F1BD1">
        <w:rPr>
          <w:rFonts w:hint="eastAsia"/>
        </w:rPr>
        <w:t>、休閒區、停車場等，吸引遊客至此休憩、購魚，增加漁民收入，改善漁民生活。其經營模式，引起漁業界高度興趣，各區漁會爭相仿效，相繼爭取興建。</w:t>
      </w:r>
    </w:p>
    <w:p w:rsidR="00E45509" w:rsidRPr="003F1BD1" w:rsidRDefault="00E45509" w:rsidP="00E45509">
      <w:pPr>
        <w:pStyle w:val="2"/>
      </w:pPr>
      <w:r w:rsidRPr="003F1BD1">
        <w:rPr>
          <w:rFonts w:hint="eastAsia"/>
        </w:rPr>
        <w:t>自8</w:t>
      </w:r>
      <w:r w:rsidR="00230212">
        <w:rPr>
          <w:rFonts w:hint="eastAsia"/>
        </w:rPr>
        <w:t>1</w:t>
      </w:r>
      <w:r w:rsidRPr="003F1BD1">
        <w:rPr>
          <w:rFonts w:hint="eastAsia"/>
        </w:rPr>
        <w:t>年</w:t>
      </w:r>
      <w:r w:rsidR="00D3574C">
        <w:rPr>
          <w:rFonts w:hint="eastAsia"/>
        </w:rPr>
        <w:t>開始</w:t>
      </w:r>
      <w:bookmarkStart w:id="42" w:name="_GoBack"/>
      <w:bookmarkEnd w:id="42"/>
      <w:r w:rsidRPr="003F1BD1">
        <w:rPr>
          <w:rFonts w:hint="eastAsia"/>
        </w:rPr>
        <w:t>，各地漸次興建魚貨直銷中心或綜合性觀光魚市，據漁業署統計，目前全國魚貨直銷中心共計24處，其中，除高雄市前鎮漁港及新北市富基漁港魚貨直銷中心等2處係由當地地方政府經營，臺南市將軍漁港魚貨直銷中心及屏東縣海口港觀光魚市場等2處係由民間公司經營外，其餘20處均由當地區漁會經營管理。依農委會函復資料顯示，全國24處魚貨直銷中心總興建經費高達新臺幣（下同）17億295萬元，其中漁業署補助費用合計高達11億1,513.3萬元，平均補助比例約為65.48%。農委會</w:t>
      </w:r>
      <w:proofErr w:type="gramStart"/>
      <w:r w:rsidRPr="003F1BD1">
        <w:rPr>
          <w:rFonts w:hint="eastAsia"/>
        </w:rPr>
        <w:lastRenderedPageBreak/>
        <w:t>雖復稱</w:t>
      </w:r>
      <w:proofErr w:type="gramEnd"/>
      <w:r w:rsidRPr="003F1BD1">
        <w:rPr>
          <w:rFonts w:hint="eastAsia"/>
        </w:rPr>
        <w:t>，</w:t>
      </w:r>
      <w:proofErr w:type="gramStart"/>
      <w:r w:rsidRPr="003F1BD1">
        <w:rPr>
          <w:rFonts w:hint="eastAsia"/>
        </w:rPr>
        <w:t>上開魚貨</w:t>
      </w:r>
      <w:proofErr w:type="gramEnd"/>
      <w:r w:rsidRPr="003F1BD1">
        <w:rPr>
          <w:rFonts w:hint="eastAsia"/>
        </w:rPr>
        <w:t>直銷中心主要位於第二類漁港</w:t>
      </w:r>
      <w:proofErr w:type="gramStart"/>
      <w:r w:rsidRPr="003F1BD1">
        <w:rPr>
          <w:rFonts w:hint="eastAsia"/>
        </w:rPr>
        <w:t>港</w:t>
      </w:r>
      <w:proofErr w:type="gramEnd"/>
      <w:r w:rsidRPr="003F1BD1">
        <w:rPr>
          <w:rFonts w:hint="eastAsia"/>
        </w:rPr>
        <w:t>區範圍，主管機關為直轄市、縣（市）政府，該等魚貨直銷中心係由當地區漁會向直轄市、縣（市）政府提出申請興建計畫，經地方主管機關審查同意後，函轉漁業署協助經費補助。</w:t>
      </w:r>
      <w:proofErr w:type="gramStart"/>
      <w:r w:rsidRPr="003F1BD1">
        <w:rPr>
          <w:rFonts w:hint="eastAsia"/>
        </w:rPr>
        <w:t>惟漁業署既為</w:t>
      </w:r>
      <w:proofErr w:type="gramEnd"/>
      <w:r w:rsidRPr="003F1BD1">
        <w:rPr>
          <w:rFonts w:hint="eastAsia"/>
        </w:rPr>
        <w:t>支付補助機關，允應本於專業權責，審慎評估相關興建計畫之效益及可行性，不宜恣意補助，浪擲國家資源，所復為推拖之詞，要非可</w:t>
      </w:r>
      <w:proofErr w:type="gramStart"/>
      <w:r w:rsidRPr="003F1BD1">
        <w:rPr>
          <w:rFonts w:hint="eastAsia"/>
        </w:rPr>
        <w:t>採</w:t>
      </w:r>
      <w:proofErr w:type="gramEnd"/>
      <w:r w:rsidRPr="003F1BD1">
        <w:rPr>
          <w:rFonts w:hint="eastAsia"/>
        </w:rPr>
        <w:t>。</w:t>
      </w:r>
    </w:p>
    <w:p w:rsidR="00E45509" w:rsidRPr="003F1BD1" w:rsidRDefault="00E45509" w:rsidP="00E45509">
      <w:pPr>
        <w:pStyle w:val="2"/>
      </w:pPr>
      <w:proofErr w:type="gramStart"/>
      <w:r w:rsidRPr="003F1BD1">
        <w:rPr>
          <w:rFonts w:hint="eastAsia"/>
        </w:rPr>
        <w:t>按魚貨</w:t>
      </w:r>
      <w:proofErr w:type="gramEnd"/>
      <w:r w:rsidRPr="003F1BD1">
        <w:rPr>
          <w:rFonts w:hint="eastAsia"/>
        </w:rPr>
        <w:t>直銷中心設置之目的，乃為推動漁業轉型休閒漁業，強化漁港服務機能，吸引觀光人潮，帶動漁港漁村</w:t>
      </w:r>
      <w:proofErr w:type="gramStart"/>
      <w:r w:rsidRPr="003F1BD1">
        <w:rPr>
          <w:rFonts w:hint="eastAsia"/>
        </w:rPr>
        <w:t>繁榮，</w:t>
      </w:r>
      <w:proofErr w:type="gramEnd"/>
      <w:r w:rsidRPr="003F1BD1">
        <w:rPr>
          <w:rFonts w:hint="eastAsia"/>
        </w:rPr>
        <w:t>滿足國人休閒遊憩需求；將漁港周邊零散攤商集中安置，改善漁港環境；縮短運銷層級，維持魚貨新鮮品質，提高漁民所得；協助漁會發展經濟事業，</w:t>
      </w:r>
      <w:proofErr w:type="gramStart"/>
      <w:r w:rsidRPr="003F1BD1">
        <w:rPr>
          <w:rFonts w:hint="eastAsia"/>
        </w:rPr>
        <w:t>俾</w:t>
      </w:r>
      <w:proofErr w:type="gramEnd"/>
      <w:r w:rsidRPr="003F1BD1">
        <w:rPr>
          <w:rFonts w:hint="eastAsia"/>
        </w:rPr>
        <w:t>以服務漁民。</w:t>
      </w:r>
      <w:proofErr w:type="gramStart"/>
      <w:r w:rsidRPr="003F1BD1">
        <w:rPr>
          <w:rFonts w:hint="eastAsia"/>
        </w:rPr>
        <w:t>惟查上</w:t>
      </w:r>
      <w:proofErr w:type="gramEnd"/>
      <w:r w:rsidRPr="003F1BD1">
        <w:rPr>
          <w:rFonts w:hint="eastAsia"/>
        </w:rPr>
        <w:t>開24處魚貨直銷中心部分已因無法持續經營轉型作其他使用，如</w:t>
      </w:r>
      <w:proofErr w:type="gramStart"/>
      <w:r w:rsidRPr="003F1BD1">
        <w:rPr>
          <w:rFonts w:hint="eastAsia"/>
        </w:rPr>
        <w:t>臺</w:t>
      </w:r>
      <w:proofErr w:type="gramEnd"/>
      <w:r w:rsidRPr="003F1BD1">
        <w:rPr>
          <w:rFonts w:hint="eastAsia"/>
        </w:rPr>
        <w:t>南市安平（轉作餐廳、辦公室使用）、高雄市前鎮（轉作餐廳、倉儲使用）、澎湖縣馬公（轉作農漁特產店及餐廳）及雲林縣麥寮北堤（轉作漁具倉庫）等漁港魚貨直銷中心；部分則低度利用，如</w:t>
      </w:r>
      <w:proofErr w:type="gramStart"/>
      <w:r w:rsidRPr="003F1BD1">
        <w:rPr>
          <w:rFonts w:hint="eastAsia"/>
        </w:rPr>
        <w:t>臺</w:t>
      </w:r>
      <w:proofErr w:type="gramEnd"/>
      <w:r w:rsidRPr="003F1BD1">
        <w:rPr>
          <w:rFonts w:hint="eastAsia"/>
        </w:rPr>
        <w:t>南市將軍漁港魚貨直銷中心及屏東縣海口港觀光魚市場等，亟待檢討活化或進行轉型利用。究其原因，除周邊觀光資源未能配合，無法產生攤商群聚效應，難以吸引消費人潮，以及經營者能力或有不足外，漁業署</w:t>
      </w:r>
      <w:r w:rsidRPr="003F1BD1">
        <w:rPr>
          <w:rFonts w:hAnsi="標楷體" w:hint="eastAsia"/>
        </w:rPr>
        <w:t>未審慎評估魚貨直銷中心之市場需求及經營可行性，即耗費鉅額公</w:t>
      </w:r>
      <w:proofErr w:type="gramStart"/>
      <w:r w:rsidRPr="003F1BD1">
        <w:rPr>
          <w:rFonts w:hAnsi="標楷體" w:hint="eastAsia"/>
        </w:rPr>
        <w:t>帑</w:t>
      </w:r>
      <w:proofErr w:type="gramEnd"/>
      <w:r w:rsidRPr="003F1BD1">
        <w:rPr>
          <w:rFonts w:hAnsi="標楷體" w:hint="eastAsia"/>
        </w:rPr>
        <w:t>補助興建（</w:t>
      </w:r>
      <w:r w:rsidRPr="003F1BD1">
        <w:rPr>
          <w:rFonts w:hint="eastAsia"/>
        </w:rPr>
        <w:t>上開6處魚貨直銷中心，漁業署合計補助經費高達2億9,637.41萬元，詳表1）</w:t>
      </w:r>
      <w:r w:rsidRPr="003F1BD1">
        <w:rPr>
          <w:rFonts w:hAnsi="標楷體" w:hint="eastAsia"/>
        </w:rPr>
        <w:t>，又未督促各該經營管理者善加營運管理，致</w:t>
      </w:r>
      <w:proofErr w:type="gramStart"/>
      <w:r w:rsidRPr="003F1BD1">
        <w:rPr>
          <w:rFonts w:hAnsi="標楷體" w:hint="eastAsia"/>
        </w:rPr>
        <w:t>多處魚貨</w:t>
      </w:r>
      <w:proofErr w:type="gramEnd"/>
      <w:r w:rsidRPr="003F1BD1">
        <w:rPr>
          <w:rFonts w:hAnsi="標楷體" w:hint="eastAsia"/>
        </w:rPr>
        <w:t>直銷中心興建後閒置或低度利用，均難辭其咎，有違興建</w:t>
      </w:r>
      <w:r w:rsidRPr="003F1BD1">
        <w:rPr>
          <w:rFonts w:hint="eastAsia"/>
        </w:rPr>
        <w:t>魚貨直銷中心以</w:t>
      </w:r>
      <w:r w:rsidRPr="003F1BD1">
        <w:rPr>
          <w:rFonts w:hAnsi="標楷體" w:hint="eastAsia"/>
        </w:rPr>
        <w:t>增加漁民收入，改善漁民生活之</w:t>
      </w:r>
      <w:r w:rsidRPr="003F1BD1">
        <w:rPr>
          <w:rFonts w:hint="eastAsia"/>
        </w:rPr>
        <w:t>目的。</w:t>
      </w:r>
    </w:p>
    <w:p w:rsidR="00E45509" w:rsidRPr="003F1BD1" w:rsidRDefault="00E45509" w:rsidP="00E95DDD">
      <w:pPr>
        <w:spacing w:beforeLines="50"/>
        <w:ind w:leftChars="417" w:left="1418"/>
        <w:jc w:val="center"/>
      </w:pPr>
      <w:r w:rsidRPr="003F1BD1">
        <w:rPr>
          <w:rFonts w:hint="eastAsia"/>
        </w:rPr>
        <w:t>表</w:t>
      </w:r>
      <w:r w:rsidRPr="003F1BD1">
        <w:rPr>
          <w:rFonts w:hint="eastAsia"/>
        </w:rPr>
        <w:t>1</w:t>
      </w:r>
      <w:r w:rsidRPr="003F1BD1">
        <w:rPr>
          <w:rFonts w:hint="eastAsia"/>
        </w:rPr>
        <w:t>、已轉型或低度利用之魚貨直銷中心一覽表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300"/>
        <w:gridCol w:w="1535"/>
        <w:gridCol w:w="1535"/>
        <w:gridCol w:w="1750"/>
      </w:tblGrid>
      <w:tr w:rsidR="00E45509" w:rsidRPr="003F1BD1" w:rsidTr="00CD714D">
        <w:trPr>
          <w:trHeight w:val="870"/>
        </w:trPr>
        <w:tc>
          <w:tcPr>
            <w:tcW w:w="1535" w:type="dxa"/>
            <w:shd w:val="clear" w:color="auto" w:fill="D9D9D9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lastRenderedPageBreak/>
              <w:t>魚貨直銷中心地點</w:t>
            </w:r>
          </w:p>
        </w:tc>
        <w:tc>
          <w:tcPr>
            <w:tcW w:w="1300" w:type="dxa"/>
            <w:shd w:val="clear" w:color="auto" w:fill="D9D9D9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縣市別</w:t>
            </w:r>
          </w:p>
        </w:tc>
        <w:tc>
          <w:tcPr>
            <w:tcW w:w="1535" w:type="dxa"/>
            <w:shd w:val="clear" w:color="auto" w:fill="D9D9D9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興建金額</w:t>
            </w:r>
          </w:p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（萬元）</w:t>
            </w:r>
          </w:p>
        </w:tc>
        <w:tc>
          <w:tcPr>
            <w:tcW w:w="1535" w:type="dxa"/>
            <w:shd w:val="clear" w:color="auto" w:fill="D9D9D9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中央補助</w:t>
            </w:r>
          </w:p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比例(%)</w:t>
            </w:r>
          </w:p>
        </w:tc>
        <w:tc>
          <w:tcPr>
            <w:tcW w:w="1750" w:type="dxa"/>
            <w:shd w:val="clear" w:color="auto" w:fill="D9D9D9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中央補助</w:t>
            </w:r>
          </w:p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經費(萬元)</w:t>
            </w:r>
          </w:p>
        </w:tc>
      </w:tr>
      <w:tr w:rsidR="00E45509" w:rsidRPr="003F1BD1" w:rsidTr="00CD714D">
        <w:trPr>
          <w:trHeight w:val="454"/>
        </w:trPr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安平漁港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3F1BD1">
              <w:rPr>
                <w:rFonts w:ascii="標楷體" w:hAnsi="標楷體" w:hint="eastAsia"/>
                <w:sz w:val="28"/>
                <w:szCs w:val="28"/>
              </w:rPr>
              <w:t>臺</w:t>
            </w:r>
            <w:proofErr w:type="gramEnd"/>
            <w:r w:rsidRPr="003F1BD1">
              <w:rPr>
                <w:rFonts w:ascii="標楷體" w:hAnsi="標楷體" w:hint="eastAsia"/>
                <w:sz w:val="28"/>
                <w:szCs w:val="28"/>
              </w:rPr>
              <w:t>南市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6,500.0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6500</w:t>
            </w:r>
          </w:p>
        </w:tc>
      </w:tr>
      <w:tr w:rsidR="00E45509" w:rsidRPr="003F1BD1" w:rsidTr="00CD714D">
        <w:trPr>
          <w:trHeight w:val="454"/>
        </w:trPr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前鎮漁港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高雄市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15,000.0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6900</w:t>
            </w:r>
          </w:p>
        </w:tc>
      </w:tr>
      <w:tr w:rsidR="00E45509" w:rsidRPr="003F1BD1" w:rsidTr="00CD714D">
        <w:trPr>
          <w:trHeight w:val="454"/>
        </w:trPr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馬公漁港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澎湖縣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9,272.4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9,272.4</w:t>
            </w:r>
          </w:p>
        </w:tc>
      </w:tr>
      <w:tr w:rsidR="00E45509" w:rsidRPr="003F1BD1" w:rsidTr="00CD714D">
        <w:trPr>
          <w:trHeight w:val="454"/>
        </w:trPr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麥寮北堤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雲林縣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1,073.0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997.89</w:t>
            </w:r>
          </w:p>
        </w:tc>
      </w:tr>
      <w:tr w:rsidR="00E45509" w:rsidRPr="003F1BD1" w:rsidTr="00CD714D">
        <w:trPr>
          <w:trHeight w:val="454"/>
        </w:trPr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將軍漁港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3F1BD1">
              <w:rPr>
                <w:rFonts w:ascii="標楷體" w:hAnsi="標楷體" w:hint="eastAsia"/>
                <w:sz w:val="28"/>
                <w:szCs w:val="28"/>
              </w:rPr>
              <w:t>臺</w:t>
            </w:r>
            <w:proofErr w:type="gramEnd"/>
            <w:r w:rsidRPr="003F1BD1">
              <w:rPr>
                <w:rFonts w:ascii="標楷體" w:hAnsi="標楷體" w:hint="eastAsia"/>
                <w:sz w:val="28"/>
                <w:szCs w:val="28"/>
              </w:rPr>
              <w:t>南市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8,648.0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5,967.12</w:t>
            </w:r>
          </w:p>
        </w:tc>
      </w:tr>
      <w:tr w:rsidR="00E45509" w:rsidRPr="003F1BD1" w:rsidTr="00CD714D">
        <w:trPr>
          <w:trHeight w:val="454"/>
        </w:trPr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海口港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屏東縣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2,064.6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  <w:vertAlign w:val="superscript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0</w:t>
            </w:r>
            <w:proofErr w:type="gramStart"/>
            <w:r w:rsidRPr="003F1BD1">
              <w:rPr>
                <w:rFonts w:ascii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</w:p>
        </w:tc>
      </w:tr>
      <w:tr w:rsidR="00E45509" w:rsidRPr="003F1BD1" w:rsidTr="00CD714D">
        <w:trPr>
          <w:trHeight w:val="609"/>
        </w:trPr>
        <w:tc>
          <w:tcPr>
            <w:tcW w:w="2835" w:type="dxa"/>
            <w:gridSpan w:val="2"/>
            <w:shd w:val="pct10" w:color="auto" w:fill="auto"/>
            <w:vAlign w:val="center"/>
          </w:tcPr>
          <w:p w:rsidR="00E45509" w:rsidRPr="003F1BD1" w:rsidRDefault="00E45509" w:rsidP="00CD714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35" w:type="dxa"/>
            <w:shd w:val="pct10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42,558.0</w:t>
            </w:r>
          </w:p>
        </w:tc>
        <w:tc>
          <w:tcPr>
            <w:tcW w:w="1535" w:type="dxa"/>
            <w:shd w:val="pct10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750" w:type="dxa"/>
            <w:shd w:val="pct10" w:color="auto" w:fill="auto"/>
            <w:vAlign w:val="center"/>
          </w:tcPr>
          <w:p w:rsidR="00E45509" w:rsidRPr="003F1BD1" w:rsidRDefault="00E45509" w:rsidP="00CD714D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3F1BD1">
              <w:rPr>
                <w:rFonts w:ascii="標楷體" w:hAnsi="標楷體" w:hint="eastAsia"/>
                <w:sz w:val="28"/>
                <w:szCs w:val="28"/>
              </w:rPr>
              <w:t>29,637.41</w:t>
            </w:r>
          </w:p>
        </w:tc>
      </w:tr>
    </w:tbl>
    <w:p w:rsidR="00E45509" w:rsidRPr="003F1BD1" w:rsidRDefault="00E45509" w:rsidP="00E45509">
      <w:pPr>
        <w:tabs>
          <w:tab w:val="left" w:pos="5440"/>
        </w:tabs>
        <w:ind w:leftChars="375" w:left="1276"/>
        <w:rPr>
          <w:sz w:val="24"/>
          <w:szCs w:val="24"/>
        </w:rPr>
      </w:pPr>
      <w:proofErr w:type="gramStart"/>
      <w:r w:rsidRPr="003F1BD1">
        <w:rPr>
          <w:rFonts w:hint="eastAsia"/>
          <w:sz w:val="24"/>
          <w:szCs w:val="24"/>
        </w:rPr>
        <w:t>註</w:t>
      </w:r>
      <w:proofErr w:type="gramEnd"/>
      <w:r w:rsidRPr="003F1BD1">
        <w:rPr>
          <w:rFonts w:hint="eastAsia"/>
          <w:sz w:val="24"/>
          <w:szCs w:val="24"/>
        </w:rPr>
        <w:t>：屏東縣海口港觀光魚市場係由屏東縣政府自籌經費興建。</w:t>
      </w:r>
    </w:p>
    <w:p w:rsidR="00E45509" w:rsidRPr="003F1BD1" w:rsidRDefault="00E45509" w:rsidP="00E95DDD">
      <w:pPr>
        <w:tabs>
          <w:tab w:val="left" w:pos="5440"/>
        </w:tabs>
        <w:spacing w:afterLines="50"/>
        <w:ind w:leftChars="375" w:left="1276"/>
        <w:rPr>
          <w:sz w:val="24"/>
          <w:szCs w:val="24"/>
        </w:rPr>
      </w:pPr>
      <w:r w:rsidRPr="003F1BD1">
        <w:rPr>
          <w:rFonts w:hint="eastAsia"/>
          <w:sz w:val="24"/>
          <w:szCs w:val="24"/>
        </w:rPr>
        <w:t>資料來源：農委會，本院整理</w:t>
      </w:r>
    </w:p>
    <w:p w:rsidR="00203F6B" w:rsidRPr="003F1BD1" w:rsidRDefault="00E45509" w:rsidP="00495041">
      <w:pPr>
        <w:pStyle w:val="2"/>
      </w:pPr>
      <w:r w:rsidRPr="003F1BD1">
        <w:rPr>
          <w:rFonts w:hint="eastAsia"/>
        </w:rPr>
        <w:t>綜上所述，漁業署耗費鉅額公</w:t>
      </w:r>
      <w:proofErr w:type="gramStart"/>
      <w:r w:rsidRPr="003F1BD1">
        <w:rPr>
          <w:rFonts w:hint="eastAsia"/>
        </w:rPr>
        <w:t>帑</w:t>
      </w:r>
      <w:proofErr w:type="gramEnd"/>
      <w:r w:rsidRPr="003F1BD1">
        <w:rPr>
          <w:rFonts w:hint="eastAsia"/>
        </w:rPr>
        <w:t>補助各地興建魚貨直銷中心，惟未審慎評估經營之可行性，又未督促各該經營管理者善加營運管理，致</w:t>
      </w:r>
      <w:proofErr w:type="gramStart"/>
      <w:r w:rsidRPr="003F1BD1">
        <w:rPr>
          <w:rFonts w:hint="eastAsia"/>
        </w:rPr>
        <w:t>多處魚貨</w:t>
      </w:r>
      <w:proofErr w:type="gramEnd"/>
      <w:r w:rsidRPr="003F1BD1">
        <w:rPr>
          <w:rFonts w:hint="eastAsia"/>
        </w:rPr>
        <w:t>直銷中心興建後閒置或低度利用，</w:t>
      </w:r>
      <w:proofErr w:type="gramStart"/>
      <w:r w:rsidRPr="003F1BD1">
        <w:rPr>
          <w:rFonts w:hint="eastAsia"/>
        </w:rPr>
        <w:t>洵</w:t>
      </w:r>
      <w:proofErr w:type="gramEnd"/>
      <w:r w:rsidRPr="003F1BD1">
        <w:rPr>
          <w:rFonts w:hint="eastAsia"/>
        </w:rPr>
        <w:t>有未當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7571A6" w:rsidRPr="003F1BD1">
        <w:rPr>
          <w:rFonts w:hAnsi="標楷體" w:hint="eastAsia"/>
        </w:rPr>
        <w:t>，</w:t>
      </w:r>
      <w:proofErr w:type="gramStart"/>
      <w:r w:rsidR="006827AC" w:rsidRPr="003F1BD1">
        <w:rPr>
          <w:rFonts w:hAnsi="標楷體" w:hint="eastAsia"/>
        </w:rPr>
        <w:t>爰</w:t>
      </w:r>
      <w:proofErr w:type="gramEnd"/>
      <w:r w:rsidR="006827AC" w:rsidRPr="003F1BD1">
        <w:rPr>
          <w:rFonts w:hAnsi="標楷體" w:hint="eastAsia"/>
        </w:rPr>
        <w:t>依監察法第24</w:t>
      </w:r>
      <w:r w:rsidR="003F1BD1" w:rsidRPr="003F1BD1">
        <w:rPr>
          <w:rFonts w:hAnsi="標楷體" w:hint="eastAsia"/>
        </w:rPr>
        <w:t>條規定提案糾正，送請行政院轉</w:t>
      </w:r>
      <w:proofErr w:type="gramStart"/>
      <w:r w:rsidR="006827AC" w:rsidRPr="003F1BD1">
        <w:rPr>
          <w:rFonts w:hAnsi="標楷體" w:hint="eastAsia"/>
        </w:rPr>
        <w:t>飭</w:t>
      </w:r>
      <w:proofErr w:type="gramEnd"/>
      <w:r w:rsidR="003F1BD1" w:rsidRPr="003F1BD1">
        <w:rPr>
          <w:rFonts w:hAnsi="標楷體" w:hint="eastAsia"/>
        </w:rPr>
        <w:t>所屬</w:t>
      </w:r>
      <w:r w:rsidR="006827AC" w:rsidRPr="003F1BD1">
        <w:rPr>
          <w:rFonts w:hAnsi="標楷體" w:hint="eastAsia"/>
        </w:rPr>
        <w:t>確實</w:t>
      </w:r>
      <w:r w:rsidR="003F1BD1" w:rsidRPr="003F1BD1">
        <w:rPr>
          <w:rFonts w:hAnsi="標楷體" w:hint="eastAsia"/>
        </w:rPr>
        <w:t>檢討</w:t>
      </w:r>
      <w:r w:rsidR="006827AC" w:rsidRPr="003F1BD1">
        <w:rPr>
          <w:rFonts w:hAnsi="標楷體" w:hint="eastAsia"/>
        </w:rPr>
        <w:t>改</w:t>
      </w:r>
      <w:r w:rsidR="003F1BD1" w:rsidRPr="003F1BD1">
        <w:rPr>
          <w:rFonts w:hAnsi="標楷體" w:hint="eastAsia"/>
        </w:rPr>
        <w:t>進</w:t>
      </w:r>
      <w:proofErr w:type="gramStart"/>
      <w:r w:rsidR="006827AC" w:rsidRPr="003F1BD1">
        <w:rPr>
          <w:rFonts w:hAnsi="標楷體" w:hint="eastAsia"/>
        </w:rPr>
        <w:t>見復。</w:t>
      </w:r>
      <w:proofErr w:type="gramEnd"/>
    </w:p>
    <w:p w:rsidR="001A147D" w:rsidRPr="003F1BD1" w:rsidRDefault="001F0E62">
      <w:pPr>
        <w:pStyle w:val="a3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0"/>
          <w:kern w:val="0"/>
          <w:sz w:val="40"/>
        </w:rPr>
      </w:pPr>
      <w:bookmarkStart w:id="43" w:name="_Toc524895649"/>
      <w:bookmarkStart w:id="44" w:name="_Toc524896195"/>
      <w:bookmarkStart w:id="45" w:name="_Toc524896225"/>
      <w:bookmarkEnd w:id="43"/>
      <w:bookmarkEnd w:id="44"/>
      <w:bookmarkEnd w:id="45"/>
      <w:r w:rsidRPr="003F1BD1">
        <w:rPr>
          <w:rFonts w:hAnsi="標楷體" w:hint="eastAsia"/>
          <w:b w:val="0"/>
          <w:bCs/>
          <w:snapToGrid/>
          <w:spacing w:val="12"/>
          <w:kern w:val="0"/>
          <w:sz w:val="40"/>
        </w:rPr>
        <w:t>提案委員：</w:t>
      </w:r>
      <w:r w:rsidR="00FA2DB8">
        <w:rPr>
          <w:rFonts w:hAnsi="標楷體" w:hint="eastAsia"/>
          <w:b w:val="0"/>
          <w:bCs/>
          <w:snapToGrid/>
          <w:spacing w:val="12"/>
          <w:kern w:val="0"/>
          <w:sz w:val="40"/>
        </w:rPr>
        <w:t>陳慶財</w:t>
      </w:r>
    </w:p>
    <w:p w:rsidR="006827AC" w:rsidRPr="00FA2DB8" w:rsidRDefault="00FA2DB8" w:rsidP="00FA2DB8">
      <w:pPr>
        <w:pStyle w:val="a3"/>
        <w:spacing w:before="0" w:after="0"/>
        <w:ind w:leftChars="1100" w:left="3742" w:firstLineChars="500" w:firstLine="2101"/>
        <w:jc w:val="both"/>
        <w:rPr>
          <w:rFonts w:hAnsi="標楷體" w:hint="eastAsia"/>
          <w:b w:val="0"/>
          <w:bCs/>
          <w:snapToGrid/>
          <w:spacing w:val="0"/>
          <w:kern w:val="0"/>
          <w:sz w:val="40"/>
          <w:szCs w:val="40"/>
        </w:rPr>
      </w:pPr>
      <w:r w:rsidRPr="00FA2DB8">
        <w:rPr>
          <w:rFonts w:hAnsi="標楷體" w:hint="eastAsia"/>
          <w:b w:val="0"/>
          <w:bCs/>
          <w:snapToGrid/>
          <w:spacing w:val="0"/>
          <w:kern w:val="0"/>
          <w:sz w:val="40"/>
          <w:szCs w:val="40"/>
        </w:rPr>
        <w:t>尹祚芊</w:t>
      </w:r>
    </w:p>
    <w:p w:rsidR="00FA2DB8" w:rsidRPr="00FA2DB8" w:rsidRDefault="00FA2DB8" w:rsidP="00FA2DB8">
      <w:pPr>
        <w:pStyle w:val="a3"/>
        <w:spacing w:before="0" w:after="0"/>
        <w:ind w:leftChars="1100" w:left="3742" w:firstLineChars="500" w:firstLine="2101"/>
        <w:jc w:val="both"/>
        <w:rPr>
          <w:rFonts w:hAnsi="標楷體"/>
          <w:b w:val="0"/>
          <w:bCs/>
          <w:snapToGrid/>
          <w:spacing w:val="0"/>
          <w:kern w:val="0"/>
          <w:sz w:val="40"/>
          <w:szCs w:val="40"/>
        </w:rPr>
      </w:pPr>
      <w:r w:rsidRPr="00FA2DB8">
        <w:rPr>
          <w:rFonts w:hAnsi="標楷體" w:hint="eastAsia"/>
          <w:b w:val="0"/>
          <w:bCs/>
          <w:snapToGrid/>
          <w:spacing w:val="0"/>
          <w:kern w:val="0"/>
          <w:sz w:val="40"/>
          <w:szCs w:val="40"/>
        </w:rPr>
        <w:t>楊美鈴</w:t>
      </w:r>
    </w:p>
    <w:p w:rsidR="005D779D" w:rsidRPr="003F1BD1" w:rsidRDefault="00EB4E1B" w:rsidP="00CE5C74">
      <w:pPr>
        <w:spacing w:beforeLines="150"/>
        <w:jc w:val="distribute"/>
        <w:rPr>
          <w:rFonts w:ascii="標楷體" w:hAnsi="標楷體"/>
        </w:rPr>
      </w:pPr>
      <w:bookmarkStart w:id="46" w:name="_Toc337331525"/>
      <w:r w:rsidRPr="003F1BD1">
        <w:rPr>
          <w:rFonts w:ascii="標楷體" w:hAnsi="標楷體" w:hint="eastAsia"/>
        </w:rPr>
        <w:t>中華民國</w:t>
      </w:r>
      <w:r w:rsidR="006D4EFC" w:rsidRPr="003F1BD1">
        <w:rPr>
          <w:rFonts w:ascii="標楷體" w:hAnsi="標楷體" w:hint="eastAsia"/>
        </w:rPr>
        <w:t>104</w:t>
      </w:r>
      <w:r w:rsidRPr="003F1BD1">
        <w:rPr>
          <w:rFonts w:ascii="標楷體" w:hAnsi="標楷體" w:hint="eastAsia"/>
        </w:rPr>
        <w:t>年</w:t>
      </w:r>
      <w:r w:rsidR="00E95DDD">
        <w:rPr>
          <w:rFonts w:ascii="標楷體" w:hAnsi="標楷體" w:hint="eastAsia"/>
        </w:rPr>
        <w:t>10</w:t>
      </w:r>
      <w:r w:rsidRPr="003F1BD1">
        <w:rPr>
          <w:rFonts w:ascii="標楷體" w:hAnsi="標楷體" w:hint="eastAsia"/>
        </w:rPr>
        <w:t>月</w:t>
      </w:r>
      <w:r w:rsidR="00E95DDD">
        <w:rPr>
          <w:rFonts w:ascii="標楷體" w:hAnsi="標楷體" w:hint="eastAsia"/>
        </w:rPr>
        <w:t>7</w:t>
      </w:r>
      <w:r w:rsidRPr="003F1BD1">
        <w:rPr>
          <w:rFonts w:ascii="標楷體" w:hAnsi="標楷體" w:hint="eastAsia"/>
        </w:rPr>
        <w:t>日</w:t>
      </w:r>
      <w:bookmarkEnd w:id="46"/>
    </w:p>
    <w:sectPr w:rsidR="005D779D" w:rsidRPr="003F1BD1" w:rsidSect="00FA2DB8">
      <w:footerReference w:type="even" r:id="rId7"/>
      <w:footerReference w:type="default" r:id="rId8"/>
      <w:pgSz w:w="11907" w:h="16840" w:code="9"/>
      <w:pgMar w:top="993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C2" w:rsidRDefault="002543C2" w:rsidP="00AB5678">
      <w:r>
        <w:separator/>
      </w:r>
    </w:p>
  </w:endnote>
  <w:endnote w:type="continuationSeparator" w:id="0">
    <w:p w:rsidR="002543C2" w:rsidRDefault="002543C2" w:rsidP="00AB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CE5C74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1F0E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E62">
      <w:rPr>
        <w:rStyle w:val="a5"/>
        <w:noProof/>
      </w:rPr>
      <w:t>3</w:t>
    </w:r>
    <w:r>
      <w:rPr>
        <w:rStyle w:val="a5"/>
      </w:rPr>
      <w:fldChar w:fldCharType="end"/>
    </w:r>
  </w:p>
  <w:p w:rsidR="001A147D" w:rsidRDefault="001A147D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CE5C74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1F0E62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FA2DB8">
      <w:rPr>
        <w:rStyle w:val="a5"/>
        <w:noProof/>
        <w:sz w:val="24"/>
      </w:rPr>
      <w:t>4</w:t>
    </w:r>
    <w:r>
      <w:rPr>
        <w:rStyle w:val="a5"/>
        <w:sz w:val="24"/>
      </w:rPr>
      <w:fldChar w:fldCharType="end"/>
    </w:r>
  </w:p>
  <w:p w:rsidR="001A147D" w:rsidRDefault="001A147D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C2" w:rsidRDefault="002543C2" w:rsidP="00AB5678">
      <w:r>
        <w:separator/>
      </w:r>
    </w:p>
  </w:footnote>
  <w:footnote w:type="continuationSeparator" w:id="0">
    <w:p w:rsidR="002543C2" w:rsidRDefault="002543C2" w:rsidP="00AB5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5D90E71E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1543C"/>
    <w:rsid w:val="00005DA6"/>
    <w:rsid w:val="000376D5"/>
    <w:rsid w:val="00072DB5"/>
    <w:rsid w:val="000A3792"/>
    <w:rsid w:val="000A72AB"/>
    <w:rsid w:val="000B1524"/>
    <w:rsid w:val="000D7C49"/>
    <w:rsid w:val="000F6B37"/>
    <w:rsid w:val="00136FBF"/>
    <w:rsid w:val="001756E5"/>
    <w:rsid w:val="00186CBC"/>
    <w:rsid w:val="001900C0"/>
    <w:rsid w:val="001A147D"/>
    <w:rsid w:val="001E4D0C"/>
    <w:rsid w:val="001F0E62"/>
    <w:rsid w:val="00203F6B"/>
    <w:rsid w:val="00204FA9"/>
    <w:rsid w:val="00226E2F"/>
    <w:rsid w:val="00230212"/>
    <w:rsid w:val="00235A57"/>
    <w:rsid w:val="002543C2"/>
    <w:rsid w:val="002A5717"/>
    <w:rsid w:val="002C2FCD"/>
    <w:rsid w:val="002D0E77"/>
    <w:rsid w:val="0031543C"/>
    <w:rsid w:val="003335FF"/>
    <w:rsid w:val="003452F5"/>
    <w:rsid w:val="00353BCA"/>
    <w:rsid w:val="00357F33"/>
    <w:rsid w:val="003A1CD6"/>
    <w:rsid w:val="003A374C"/>
    <w:rsid w:val="003A43D3"/>
    <w:rsid w:val="003F0288"/>
    <w:rsid w:val="003F1BD1"/>
    <w:rsid w:val="0043410B"/>
    <w:rsid w:val="00450D6C"/>
    <w:rsid w:val="00463861"/>
    <w:rsid w:val="00483A9E"/>
    <w:rsid w:val="00495041"/>
    <w:rsid w:val="004D441A"/>
    <w:rsid w:val="005350C7"/>
    <w:rsid w:val="005400C5"/>
    <w:rsid w:val="005438CF"/>
    <w:rsid w:val="005831A4"/>
    <w:rsid w:val="005A523C"/>
    <w:rsid w:val="005B050D"/>
    <w:rsid w:val="005D779D"/>
    <w:rsid w:val="005E3F6D"/>
    <w:rsid w:val="005E6BFA"/>
    <w:rsid w:val="00622C63"/>
    <w:rsid w:val="006507D9"/>
    <w:rsid w:val="006827AC"/>
    <w:rsid w:val="006A518D"/>
    <w:rsid w:val="006B6872"/>
    <w:rsid w:val="006D4EFC"/>
    <w:rsid w:val="00706356"/>
    <w:rsid w:val="00716FBF"/>
    <w:rsid w:val="00742EC1"/>
    <w:rsid w:val="007571A6"/>
    <w:rsid w:val="00762D13"/>
    <w:rsid w:val="007A393B"/>
    <w:rsid w:val="007C6FC1"/>
    <w:rsid w:val="0082327C"/>
    <w:rsid w:val="00823D10"/>
    <w:rsid w:val="008502E5"/>
    <w:rsid w:val="008730D3"/>
    <w:rsid w:val="008D4ABD"/>
    <w:rsid w:val="008E7578"/>
    <w:rsid w:val="008F48AC"/>
    <w:rsid w:val="008F541E"/>
    <w:rsid w:val="009219F7"/>
    <w:rsid w:val="009665E8"/>
    <w:rsid w:val="00984764"/>
    <w:rsid w:val="009C2E03"/>
    <w:rsid w:val="009E2976"/>
    <w:rsid w:val="009F69F1"/>
    <w:rsid w:val="00A4475E"/>
    <w:rsid w:val="00A50FAC"/>
    <w:rsid w:val="00A64A5B"/>
    <w:rsid w:val="00A81748"/>
    <w:rsid w:val="00A81C37"/>
    <w:rsid w:val="00B679BC"/>
    <w:rsid w:val="00B94AB6"/>
    <w:rsid w:val="00BC32D0"/>
    <w:rsid w:val="00BC6DFB"/>
    <w:rsid w:val="00C2469E"/>
    <w:rsid w:val="00C66F39"/>
    <w:rsid w:val="00C8627F"/>
    <w:rsid w:val="00CB25EE"/>
    <w:rsid w:val="00CB4D74"/>
    <w:rsid w:val="00CD6A38"/>
    <w:rsid w:val="00CE5C74"/>
    <w:rsid w:val="00D3574C"/>
    <w:rsid w:val="00D6326C"/>
    <w:rsid w:val="00DC252B"/>
    <w:rsid w:val="00DC2CF0"/>
    <w:rsid w:val="00E12125"/>
    <w:rsid w:val="00E45509"/>
    <w:rsid w:val="00E64637"/>
    <w:rsid w:val="00E64CF4"/>
    <w:rsid w:val="00E65D34"/>
    <w:rsid w:val="00E95DDD"/>
    <w:rsid w:val="00EA4C1C"/>
    <w:rsid w:val="00EB4E1B"/>
    <w:rsid w:val="00EB55EE"/>
    <w:rsid w:val="00EC16CF"/>
    <w:rsid w:val="00EE0C07"/>
    <w:rsid w:val="00EF418D"/>
    <w:rsid w:val="00F222E7"/>
    <w:rsid w:val="00F23D95"/>
    <w:rsid w:val="00F92C95"/>
    <w:rsid w:val="00FA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D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標題 1章名"/>
    <w:basedOn w:val="a"/>
    <w:qFormat/>
    <w:rsid w:val="001A147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 2節名"/>
    <w:basedOn w:val="a"/>
    <w:qFormat/>
    <w:rsid w:val="001A147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小節標題,sub pro,--1.1.1.,1.1.1,標題 3 字元 字元"/>
    <w:basedOn w:val="a"/>
    <w:qFormat/>
    <w:rsid w:val="001A147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,一、,H4,--1.,--1,1.1.1.1"/>
    <w:basedOn w:val="a"/>
    <w:qFormat/>
    <w:rsid w:val="001A147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aliases w:val="（一）標題 5,--(1)1,--(1)"/>
    <w:basedOn w:val="a"/>
    <w:qFormat/>
    <w:rsid w:val="001A147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aliases w:val="參考文獻,ref-items,A,--A,ISO標題 6"/>
    <w:basedOn w:val="a"/>
    <w:qFormat/>
    <w:rsid w:val="001A147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aliases w:val="(A),--(a),--a,標題 7-(a)"/>
    <w:basedOn w:val="a"/>
    <w:qFormat/>
    <w:rsid w:val="001A147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1A147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1A147D"/>
    <w:pPr>
      <w:ind w:leftChars="400" w:left="400"/>
    </w:pPr>
  </w:style>
  <w:style w:type="paragraph" w:customStyle="1" w:styleId="20">
    <w:name w:val="段落樣式2"/>
    <w:basedOn w:val="a"/>
    <w:rsid w:val="001A147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1A147D"/>
    <w:pPr>
      <w:ind w:leftChars="500" w:left="500"/>
    </w:pPr>
  </w:style>
  <w:style w:type="paragraph" w:customStyle="1" w:styleId="50">
    <w:name w:val="段落樣式5"/>
    <w:basedOn w:val="40"/>
    <w:rsid w:val="001A147D"/>
    <w:pPr>
      <w:ind w:leftChars="600" w:left="600"/>
    </w:pPr>
  </w:style>
  <w:style w:type="paragraph" w:customStyle="1" w:styleId="60">
    <w:name w:val="段落樣式6"/>
    <w:basedOn w:val="50"/>
    <w:rsid w:val="001A147D"/>
    <w:pPr>
      <w:ind w:leftChars="700" w:left="700"/>
    </w:pPr>
  </w:style>
  <w:style w:type="paragraph" w:customStyle="1" w:styleId="70">
    <w:name w:val="段落樣式7"/>
    <w:basedOn w:val="60"/>
    <w:rsid w:val="001A147D"/>
  </w:style>
  <w:style w:type="paragraph" w:customStyle="1" w:styleId="80">
    <w:name w:val="段落樣式8"/>
    <w:basedOn w:val="70"/>
    <w:rsid w:val="001A147D"/>
    <w:pPr>
      <w:ind w:leftChars="800" w:left="800"/>
    </w:pPr>
  </w:style>
  <w:style w:type="paragraph" w:styleId="a3">
    <w:name w:val="Signature"/>
    <w:basedOn w:val="a"/>
    <w:semiHidden/>
    <w:rsid w:val="001A147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1A147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1A147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1A147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1A147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1A147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1A147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1A147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1A147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1A147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1A147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1A147D"/>
    <w:pPr>
      <w:ind w:leftChars="1600" w:left="3840"/>
    </w:pPr>
  </w:style>
  <w:style w:type="character" w:styleId="a6">
    <w:name w:val="Hyperlink"/>
    <w:basedOn w:val="a0"/>
    <w:semiHidden/>
    <w:rsid w:val="001A147D"/>
    <w:rPr>
      <w:color w:val="0000FF"/>
      <w:u w:val="single"/>
    </w:rPr>
  </w:style>
  <w:style w:type="paragraph" w:customStyle="1" w:styleId="11">
    <w:name w:val="段落樣式1"/>
    <w:basedOn w:val="a"/>
    <w:rsid w:val="001A147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1A147D"/>
    <w:pPr>
      <w:ind w:leftChars="200" w:left="200" w:firstLineChars="0" w:firstLine="0"/>
    </w:pPr>
  </w:style>
  <w:style w:type="paragraph" w:styleId="a7">
    <w:name w:val="head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1A147D"/>
    <w:pPr>
      <w:kinsoku w:val="0"/>
      <w:jc w:val="distribute"/>
    </w:pPr>
    <w:rPr>
      <w:kern w:val="0"/>
    </w:rPr>
  </w:style>
  <w:style w:type="paragraph" w:styleId="aa">
    <w:name w:val="footnote text"/>
    <w:basedOn w:val="a"/>
    <w:link w:val="ab"/>
    <w:uiPriority w:val="99"/>
    <w:semiHidden/>
    <w:rsid w:val="006D4EFC"/>
    <w:pPr>
      <w:snapToGrid w:val="0"/>
    </w:pPr>
    <w:rPr>
      <w:rFonts w:eastAsia="新細明體"/>
      <w:sz w:val="20"/>
    </w:rPr>
  </w:style>
  <w:style w:type="character" w:customStyle="1" w:styleId="ab">
    <w:name w:val="註腳文字 字元"/>
    <w:basedOn w:val="a0"/>
    <w:link w:val="aa"/>
    <w:uiPriority w:val="99"/>
    <w:semiHidden/>
    <w:rsid w:val="006D4EFC"/>
    <w:rPr>
      <w:kern w:val="2"/>
    </w:rPr>
  </w:style>
  <w:style w:type="character" w:styleId="ac">
    <w:name w:val="footnote reference"/>
    <w:uiPriority w:val="99"/>
    <w:semiHidden/>
    <w:rsid w:val="006D4EF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2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23D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D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標題 1章名"/>
    <w:basedOn w:val="a"/>
    <w:qFormat/>
    <w:rsid w:val="001A147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 2節名"/>
    <w:basedOn w:val="a"/>
    <w:qFormat/>
    <w:rsid w:val="001A147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小節標題,sub pro,--1.1.1.,1.1.1,標題 3 字元 字元"/>
    <w:basedOn w:val="a"/>
    <w:qFormat/>
    <w:rsid w:val="001A147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,一、,H4,--1.,--1,1.1.1.1"/>
    <w:basedOn w:val="a"/>
    <w:qFormat/>
    <w:rsid w:val="001A147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aliases w:val="（一）標題 5,--(1)1,--(1)"/>
    <w:basedOn w:val="a"/>
    <w:qFormat/>
    <w:rsid w:val="001A147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aliases w:val="參考文獻,ref-items,A,--A,ISO標題 6"/>
    <w:basedOn w:val="a"/>
    <w:qFormat/>
    <w:rsid w:val="001A147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aliases w:val="(A),--(a),--a,標題 7-(a)"/>
    <w:basedOn w:val="a"/>
    <w:qFormat/>
    <w:rsid w:val="001A147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1A147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1A147D"/>
    <w:pPr>
      <w:ind w:leftChars="400" w:left="400"/>
    </w:pPr>
  </w:style>
  <w:style w:type="paragraph" w:customStyle="1" w:styleId="20">
    <w:name w:val="段落樣式2"/>
    <w:basedOn w:val="a"/>
    <w:rsid w:val="001A147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1A147D"/>
    <w:pPr>
      <w:ind w:leftChars="500" w:left="500"/>
    </w:pPr>
  </w:style>
  <w:style w:type="paragraph" w:customStyle="1" w:styleId="50">
    <w:name w:val="段落樣式5"/>
    <w:basedOn w:val="40"/>
    <w:rsid w:val="001A147D"/>
    <w:pPr>
      <w:ind w:leftChars="600" w:left="600"/>
    </w:pPr>
  </w:style>
  <w:style w:type="paragraph" w:customStyle="1" w:styleId="60">
    <w:name w:val="段落樣式6"/>
    <w:basedOn w:val="50"/>
    <w:rsid w:val="001A147D"/>
    <w:pPr>
      <w:ind w:leftChars="700" w:left="700"/>
    </w:pPr>
  </w:style>
  <w:style w:type="paragraph" w:customStyle="1" w:styleId="70">
    <w:name w:val="段落樣式7"/>
    <w:basedOn w:val="60"/>
    <w:rsid w:val="001A147D"/>
  </w:style>
  <w:style w:type="paragraph" w:customStyle="1" w:styleId="80">
    <w:name w:val="段落樣式8"/>
    <w:basedOn w:val="70"/>
    <w:rsid w:val="001A147D"/>
    <w:pPr>
      <w:ind w:leftChars="800" w:left="800"/>
    </w:pPr>
  </w:style>
  <w:style w:type="paragraph" w:styleId="a3">
    <w:name w:val="Signature"/>
    <w:basedOn w:val="a"/>
    <w:semiHidden/>
    <w:rsid w:val="001A147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1A147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1A147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1A147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1A147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1A147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1A147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1A147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1A147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1A147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1A147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1A147D"/>
    <w:pPr>
      <w:ind w:leftChars="1600" w:left="3840"/>
    </w:pPr>
  </w:style>
  <w:style w:type="character" w:styleId="a6">
    <w:name w:val="Hyperlink"/>
    <w:basedOn w:val="a0"/>
    <w:semiHidden/>
    <w:rsid w:val="001A147D"/>
    <w:rPr>
      <w:color w:val="0000FF"/>
      <w:u w:val="single"/>
    </w:rPr>
  </w:style>
  <w:style w:type="paragraph" w:customStyle="1" w:styleId="11">
    <w:name w:val="段落樣式1"/>
    <w:basedOn w:val="a"/>
    <w:rsid w:val="001A147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1A147D"/>
    <w:pPr>
      <w:ind w:leftChars="200" w:left="200" w:firstLineChars="0" w:firstLine="0"/>
    </w:pPr>
  </w:style>
  <w:style w:type="paragraph" w:styleId="a7">
    <w:name w:val="head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1A147D"/>
    <w:pPr>
      <w:kinsoku w:val="0"/>
      <w:jc w:val="distribute"/>
    </w:pPr>
    <w:rPr>
      <w:kern w:val="0"/>
    </w:rPr>
  </w:style>
  <w:style w:type="paragraph" w:styleId="aa">
    <w:name w:val="footnote text"/>
    <w:basedOn w:val="a"/>
    <w:link w:val="ab"/>
    <w:uiPriority w:val="99"/>
    <w:semiHidden/>
    <w:rsid w:val="006D4EFC"/>
    <w:pPr>
      <w:snapToGrid w:val="0"/>
    </w:pPr>
    <w:rPr>
      <w:rFonts w:eastAsia="新細明體"/>
      <w:sz w:val="20"/>
      <w:lang w:val="x-none" w:eastAsia="x-none"/>
    </w:rPr>
  </w:style>
  <w:style w:type="character" w:customStyle="1" w:styleId="ab">
    <w:name w:val="註腳文字 字元"/>
    <w:basedOn w:val="a0"/>
    <w:link w:val="aa"/>
    <w:uiPriority w:val="99"/>
    <w:semiHidden/>
    <w:rsid w:val="006D4EFC"/>
    <w:rPr>
      <w:kern w:val="2"/>
      <w:lang w:val="x-none" w:eastAsia="x-none"/>
    </w:rPr>
  </w:style>
  <w:style w:type="character" w:styleId="ac">
    <w:name w:val="footnote reference"/>
    <w:uiPriority w:val="99"/>
    <w:semiHidden/>
    <w:rsid w:val="006D4EF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2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23D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2</TotalTime>
  <Pages>4</Pages>
  <Words>362</Words>
  <Characters>2070</Characters>
  <Application>Microsoft Office Word</Application>
  <DocSecurity>0</DocSecurity>
  <Lines>17</Lines>
  <Paragraphs>4</Paragraphs>
  <ScaleCrop>false</ScaleCrop>
  <Company>cy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2015-08-27T06:28:00Z</cp:lastPrinted>
  <dcterms:created xsi:type="dcterms:W3CDTF">2015-10-07T09:12:00Z</dcterms:created>
  <dcterms:modified xsi:type="dcterms:W3CDTF">2015-10-07T09:13:00Z</dcterms:modified>
</cp:coreProperties>
</file>