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63D" w:rsidRDefault="00F0763D">
      <w:pPr>
        <w:pStyle w:val="a6"/>
        <w:kinsoku w:val="0"/>
        <w:spacing w:before="0"/>
        <w:ind w:leftChars="700" w:left="2381" w:firstLine="0"/>
        <w:rPr>
          <w:bCs/>
          <w:snapToGrid/>
          <w:kern w:val="0"/>
          <w:sz w:val="40"/>
        </w:rPr>
      </w:pPr>
      <w:r>
        <w:rPr>
          <w:rFonts w:hint="eastAsia"/>
          <w:bCs/>
          <w:snapToGrid/>
          <w:spacing w:val="200"/>
          <w:kern w:val="0"/>
          <w:sz w:val="40"/>
        </w:rPr>
        <w:t>糾正案文</w:t>
      </w:r>
    </w:p>
    <w:p w:rsidR="00F0763D" w:rsidRDefault="00F0763D">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F73027">
        <w:rPr>
          <w:rFonts w:hAnsi="標楷體" w:hint="eastAsia"/>
          <w:color w:val="000000"/>
        </w:rPr>
        <w:t>法務部</w:t>
      </w:r>
      <w:r>
        <w:rPr>
          <w:rFonts w:hAnsi="標楷體" w:hint="eastAsia"/>
          <w:color w:val="000000"/>
        </w:rPr>
        <w:t>。</w:t>
      </w:r>
    </w:p>
    <w:p w:rsidR="00F0763D" w:rsidRDefault="00F0763D">
      <w:pPr>
        <w:pStyle w:val="1"/>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r w:rsidR="001F1121">
        <w:rPr>
          <w:rFonts w:hAnsi="標楷體" w:hint="eastAsia"/>
          <w:color w:val="000000"/>
        </w:rPr>
        <w:t>法務部未善盡監督所屬各檢察機關依</w:t>
      </w:r>
      <w:r w:rsidR="001F1121" w:rsidRPr="00FF16E2">
        <w:rPr>
          <w:rFonts w:hAnsi="標楷體" w:hint="eastAsia"/>
          <w:color w:val="000000"/>
        </w:rPr>
        <w:t>刑事訴訟法第</w:t>
      </w:r>
      <w:r w:rsidR="001F1121">
        <w:rPr>
          <w:rFonts w:hAnsi="標楷體" w:hint="eastAsia"/>
          <w:color w:val="000000"/>
        </w:rPr>
        <w:t>五十八</w:t>
      </w:r>
      <w:r w:rsidR="001F1121" w:rsidRPr="00FF16E2">
        <w:rPr>
          <w:rFonts w:hAnsi="標楷體" w:hint="eastAsia"/>
          <w:color w:val="000000"/>
        </w:rPr>
        <w:t>條規定</w:t>
      </w:r>
      <w:r w:rsidR="001F1121">
        <w:rPr>
          <w:rFonts w:hAnsi="標楷體" w:hint="eastAsia"/>
          <w:color w:val="000000"/>
        </w:rPr>
        <w:t>，</w:t>
      </w:r>
      <w:r w:rsidR="001F1121" w:rsidRPr="00FF16E2">
        <w:rPr>
          <w:rFonts w:hAnsi="標楷體" w:hint="eastAsia"/>
          <w:color w:val="000000"/>
        </w:rPr>
        <w:t>對於檢察官之送達，應向承辦檢察官為之；承辦檢察官不在辦公處所時，向首席檢察官（即檢察長）為之</w:t>
      </w:r>
      <w:r w:rsidR="001F1121">
        <w:rPr>
          <w:rFonts w:hAnsi="標楷體" w:hint="eastAsia"/>
          <w:color w:val="000000"/>
        </w:rPr>
        <w:t>，</w:t>
      </w:r>
      <w:r w:rsidR="001F1121">
        <w:rPr>
          <w:rFonts w:hint="eastAsia"/>
          <w:color w:val="000000"/>
        </w:rPr>
        <w:t>迭生爭議，侵害人民訴訟權益，</w:t>
      </w:r>
      <w:r>
        <w:rPr>
          <w:rFonts w:ascii="Times New Roman" w:hint="eastAsia"/>
        </w:rPr>
        <w:t>，</w:t>
      </w:r>
      <w:r>
        <w:rPr>
          <w:rFonts w:hint="eastAsia"/>
        </w:rPr>
        <w:t>爰依監察法第</w:t>
      </w:r>
      <w:r w:rsidR="00E966EB">
        <w:rPr>
          <w:rFonts w:hint="eastAsia"/>
        </w:rPr>
        <w:t>二十四</w:t>
      </w:r>
      <w:r>
        <w:rPr>
          <w:rFonts w:hint="eastAsia"/>
        </w:rPr>
        <w:t>條規定提案糾正。</w:t>
      </w:r>
      <w:bookmarkEnd w:id="14"/>
      <w:bookmarkEnd w:id="15"/>
      <w:bookmarkEnd w:id="16"/>
      <w:bookmarkEnd w:id="17"/>
      <w:bookmarkEnd w:id="18"/>
    </w:p>
    <w:p w:rsidR="00F0763D" w:rsidRDefault="00F0763D">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F0763D" w:rsidRDefault="00031166">
      <w:pPr>
        <w:pStyle w:val="20"/>
        <w:ind w:leftChars="200" w:left="680" w:firstLine="680"/>
        <w:rPr>
          <w:bCs/>
        </w:rPr>
      </w:pPr>
      <w:r w:rsidRPr="00FF16E2">
        <w:rPr>
          <w:rFonts w:hAnsi="標楷體"/>
          <w:color w:val="000000"/>
        </w:rPr>
        <w:fldChar w:fldCharType="begin"/>
      </w:r>
      <w:r w:rsidR="002B0048" w:rsidRPr="00FF16E2">
        <w:rPr>
          <w:rFonts w:hAnsi="標楷體"/>
          <w:color w:val="000000"/>
        </w:rPr>
        <w:instrText xml:space="preserve"> MERGEFIELD </w:instrText>
      </w:r>
      <w:r w:rsidR="002B0048" w:rsidRPr="00FF16E2">
        <w:rPr>
          <w:rFonts w:hAnsi="標楷體" w:hint="eastAsia"/>
          <w:color w:val="000000"/>
        </w:rPr>
        <w:instrText>案由</w:instrText>
      </w:r>
      <w:r w:rsidR="002B0048" w:rsidRPr="00FF16E2">
        <w:rPr>
          <w:rFonts w:hAnsi="標楷體"/>
          <w:color w:val="000000"/>
        </w:rPr>
        <w:instrText xml:space="preserve"> </w:instrText>
      </w:r>
      <w:r w:rsidRPr="00FF16E2">
        <w:rPr>
          <w:rFonts w:hAnsi="標楷體"/>
          <w:color w:val="000000"/>
        </w:rPr>
        <w:fldChar w:fldCharType="separate"/>
      </w:r>
      <w:r w:rsidR="002B0048" w:rsidRPr="00FF16E2">
        <w:rPr>
          <w:rFonts w:hAnsi="標楷體" w:hint="eastAsia"/>
          <w:noProof/>
          <w:color w:val="000000"/>
        </w:rPr>
        <w:t>據訴</w:t>
      </w:r>
      <w:r w:rsidR="002B0048">
        <w:rPr>
          <w:rFonts w:hAnsi="標楷體" w:hint="eastAsia"/>
          <w:noProof/>
          <w:color w:val="000000"/>
        </w:rPr>
        <w:t>：</w:t>
      </w:r>
      <w:r w:rsidR="002B0048" w:rsidRPr="00FF16E2">
        <w:rPr>
          <w:rFonts w:hAnsi="標楷體" w:hint="eastAsia"/>
          <w:noProof/>
          <w:color w:val="000000"/>
        </w:rPr>
        <w:t>黃</w:t>
      </w:r>
      <w:r w:rsidR="00120457" w:rsidRPr="00FF16E2">
        <w:rPr>
          <w:rFonts w:hAnsi="標楷體" w:hint="eastAsia"/>
        </w:rPr>
        <w:t>○○</w:t>
      </w:r>
      <w:r w:rsidR="002B0048" w:rsidRPr="00FF16E2">
        <w:rPr>
          <w:rFonts w:hAnsi="標楷體" w:hint="eastAsia"/>
          <w:noProof/>
          <w:color w:val="000000"/>
        </w:rPr>
        <w:t>及吳</w:t>
      </w:r>
      <w:r w:rsidR="00120457" w:rsidRPr="00FF16E2">
        <w:rPr>
          <w:rFonts w:hAnsi="標楷體" w:hint="eastAsia"/>
        </w:rPr>
        <w:t>○○</w:t>
      </w:r>
      <w:r w:rsidR="002B0048" w:rsidRPr="00FF16E2">
        <w:rPr>
          <w:rFonts w:hAnsi="標楷體" w:hint="eastAsia"/>
          <w:noProof/>
          <w:color w:val="000000"/>
        </w:rPr>
        <w:t>被訴涉犯詐欺罪嫌，前經臺灣臺南地方法院獲判無罪在案；惟臺灣臺南地方法院檢察署</w:t>
      </w:r>
      <w:r w:rsidR="002B0048">
        <w:rPr>
          <w:rFonts w:hAnsi="標楷體" w:hint="eastAsia"/>
        </w:rPr>
        <w:t>檢察官</w:t>
      </w:r>
      <w:r w:rsidR="002B0048" w:rsidRPr="00FF16E2">
        <w:rPr>
          <w:rFonts w:hAnsi="標楷體" w:hint="eastAsia"/>
          <w:noProof/>
          <w:color w:val="000000"/>
        </w:rPr>
        <w:t>遲誤上訴期間，且</w:t>
      </w:r>
      <w:r w:rsidR="002B0048" w:rsidRPr="00FF16E2">
        <w:rPr>
          <w:rFonts w:hAnsi="標楷體" w:hint="eastAsia"/>
        </w:rPr>
        <w:t>臺</w:t>
      </w:r>
      <w:r w:rsidR="002B0048" w:rsidRPr="00FF16E2">
        <w:rPr>
          <w:rFonts w:hAnsi="標楷體" w:hint="eastAsia"/>
          <w:noProof/>
          <w:color w:val="000000"/>
        </w:rPr>
        <w:t>灣高等法院臺南分院未詳查事證，率改判被告有罪，損及權益等情。</w:t>
      </w:r>
      <w:r w:rsidRPr="00FF16E2">
        <w:rPr>
          <w:rFonts w:hAnsi="標楷體"/>
          <w:color w:val="000000"/>
        </w:rPr>
        <w:fldChar w:fldCharType="end"/>
      </w:r>
      <w:r w:rsidR="002B0048" w:rsidRPr="00FF16E2">
        <w:rPr>
          <w:rFonts w:hAnsi="標楷體" w:hint="eastAsia"/>
          <w:noProof/>
          <w:color w:val="000000"/>
          <w:szCs w:val="52"/>
        </w:rPr>
        <w:t>經向</w:t>
      </w:r>
      <w:r w:rsidR="00B4616F" w:rsidRPr="00FF16E2">
        <w:rPr>
          <w:rFonts w:hAnsi="標楷體" w:hint="eastAsia"/>
          <w:noProof/>
          <w:color w:val="000000"/>
        </w:rPr>
        <w:t>臺南地方法院檢察署</w:t>
      </w:r>
      <w:r w:rsidR="002B0048" w:rsidRPr="00FF16E2">
        <w:rPr>
          <w:rFonts w:hAnsi="標楷體" w:hint="eastAsia"/>
          <w:color w:val="000000"/>
        </w:rPr>
        <w:t>調取</w:t>
      </w:r>
      <w:r w:rsidR="002B0048">
        <w:rPr>
          <w:rFonts w:hAnsi="標楷體" w:hint="eastAsia"/>
          <w:color w:val="000000"/>
        </w:rPr>
        <w:t>八十六年</w:t>
      </w:r>
      <w:r w:rsidR="002B0048" w:rsidRPr="00FF16E2">
        <w:rPr>
          <w:rFonts w:hAnsi="標楷體" w:hint="eastAsia"/>
          <w:color w:val="000000"/>
        </w:rPr>
        <w:t>度偵字第</w:t>
      </w:r>
      <w:r w:rsidR="002B0048" w:rsidRPr="00FF16E2">
        <w:rPr>
          <w:rFonts w:hAnsi="標楷體" w:hint="eastAsia"/>
        </w:rPr>
        <w:t>一○二六○、一三○三三號</w:t>
      </w:r>
      <w:r w:rsidR="002B0048" w:rsidRPr="00FF16E2">
        <w:rPr>
          <w:rFonts w:hAnsi="標楷體" w:hint="eastAsia"/>
          <w:color w:val="000000"/>
        </w:rPr>
        <w:t>，黃</w:t>
      </w:r>
      <w:r w:rsidR="00581070">
        <w:rPr>
          <w:rFonts w:hAnsi="標楷體" w:hint="eastAsia"/>
        </w:rPr>
        <w:t>、</w:t>
      </w:r>
      <w:r w:rsidR="002B0048" w:rsidRPr="00FF16E2">
        <w:rPr>
          <w:rFonts w:hAnsi="標楷體" w:hint="eastAsia"/>
          <w:color w:val="000000"/>
        </w:rPr>
        <w:t>吳</w:t>
      </w:r>
      <w:r w:rsidR="00581070">
        <w:rPr>
          <w:rFonts w:hAnsi="標楷體" w:hint="eastAsia"/>
          <w:color w:val="000000"/>
        </w:rPr>
        <w:t>二人</w:t>
      </w:r>
      <w:r w:rsidR="002B0048" w:rsidRPr="00FF16E2">
        <w:rPr>
          <w:rFonts w:hAnsi="標楷體" w:hint="eastAsia"/>
          <w:color w:val="000000"/>
        </w:rPr>
        <w:t>等被訴犯貪污治罪條例案件之偵審全卷過院詳閱。</w:t>
      </w:r>
      <w:r w:rsidR="002B0048">
        <w:rPr>
          <w:rFonts w:hAnsi="標楷體" w:hint="eastAsia"/>
        </w:rPr>
        <w:t>另</w:t>
      </w:r>
      <w:r w:rsidR="002B0048" w:rsidRPr="00FF16E2">
        <w:rPr>
          <w:rFonts w:hAnsi="標楷體" w:hint="eastAsia"/>
          <w:noProof/>
          <w:color w:val="000000"/>
          <w:szCs w:val="52"/>
        </w:rPr>
        <w:t>為瞭解</w:t>
      </w:r>
      <w:r w:rsidR="002B0048" w:rsidRPr="00FF16E2">
        <w:rPr>
          <w:rFonts w:hAnsi="標楷體" w:hint="eastAsia"/>
          <w:noProof/>
          <w:color w:val="000000"/>
        </w:rPr>
        <w:t>目前</w:t>
      </w:r>
      <w:r w:rsidRPr="00FF16E2">
        <w:rPr>
          <w:rFonts w:hAnsi="標楷體"/>
          <w:noProof/>
          <w:color w:val="000000"/>
        </w:rPr>
        <w:fldChar w:fldCharType="begin"/>
      </w:r>
      <w:r w:rsidR="002B0048" w:rsidRPr="00FF16E2">
        <w:rPr>
          <w:rFonts w:hAnsi="標楷體"/>
          <w:noProof/>
          <w:color w:val="000000"/>
        </w:rPr>
        <w:instrText xml:space="preserve"> MERGEFIELD </w:instrText>
      </w:r>
      <w:r w:rsidR="002B0048" w:rsidRPr="00FF16E2">
        <w:rPr>
          <w:rFonts w:hAnsi="標楷體" w:hint="eastAsia"/>
          <w:noProof/>
          <w:color w:val="000000"/>
        </w:rPr>
        <w:instrText>案由</w:instrText>
      </w:r>
      <w:r w:rsidR="002B0048" w:rsidRPr="00FF16E2">
        <w:rPr>
          <w:rFonts w:hAnsi="標楷體"/>
          <w:noProof/>
          <w:color w:val="000000"/>
        </w:rPr>
        <w:instrText xml:space="preserve"> </w:instrText>
      </w:r>
      <w:r w:rsidRPr="00FF16E2">
        <w:rPr>
          <w:rFonts w:hAnsi="標楷體"/>
          <w:noProof/>
          <w:color w:val="000000"/>
        </w:rPr>
        <w:fldChar w:fldCharType="separate"/>
      </w:r>
      <w:r w:rsidR="002B0048" w:rsidRPr="00FF16E2">
        <w:rPr>
          <w:rFonts w:hAnsi="標楷體" w:hint="eastAsia"/>
          <w:noProof/>
          <w:color w:val="000000"/>
        </w:rPr>
        <w:t>刑事訴訟程序上對檢察官之送達方式、程序及時點之認定，及因檢察官所蓋之收受日期和實際送達的日期不一致，造成程序上爭議</w:t>
      </w:r>
      <w:r w:rsidRPr="00FF16E2">
        <w:rPr>
          <w:rFonts w:hAnsi="標楷體"/>
          <w:noProof/>
          <w:color w:val="000000"/>
        </w:rPr>
        <w:fldChar w:fldCharType="end"/>
      </w:r>
      <w:r w:rsidR="002B0048" w:rsidRPr="00FF16E2">
        <w:rPr>
          <w:rFonts w:hAnsi="標楷體" w:hint="eastAsia"/>
          <w:noProof/>
          <w:color w:val="000000"/>
        </w:rPr>
        <w:t>，主管監督機關法務部有無違失等情</w:t>
      </w:r>
      <w:r w:rsidR="002B0048">
        <w:rPr>
          <w:rFonts w:hAnsi="標楷體" w:hint="eastAsia"/>
          <w:noProof/>
          <w:color w:val="000000"/>
        </w:rPr>
        <w:t>，</w:t>
      </w:r>
      <w:r w:rsidR="002B0048" w:rsidRPr="00FF16E2">
        <w:rPr>
          <w:rFonts w:hAnsi="標楷體" w:hint="eastAsia"/>
          <w:noProof/>
          <w:color w:val="000000"/>
          <w:szCs w:val="52"/>
        </w:rPr>
        <w:t>於</w:t>
      </w:r>
      <w:r w:rsidR="002B0048" w:rsidRPr="00FF16E2">
        <w:rPr>
          <w:rFonts w:hAnsi="標楷體" w:hint="eastAsia"/>
          <w:color w:val="000000"/>
        </w:rPr>
        <w:t>九十九</w:t>
      </w:r>
      <w:r w:rsidR="002B0048" w:rsidRPr="00FF16E2">
        <w:rPr>
          <w:rFonts w:hAnsi="標楷體" w:hint="eastAsia"/>
          <w:noProof/>
          <w:color w:val="000000"/>
          <w:szCs w:val="52"/>
        </w:rPr>
        <w:t>年十二月七日約詢法務部常務</w:t>
      </w:r>
      <w:r w:rsidR="002B0048" w:rsidRPr="00FF16E2">
        <w:rPr>
          <w:rFonts w:hAnsi="標楷體" w:hint="eastAsia"/>
          <w:color w:val="000000"/>
        </w:rPr>
        <w:t>次長吳陳鐶</w:t>
      </w:r>
      <w:r w:rsidR="002B0048" w:rsidRPr="00FF16E2">
        <w:rPr>
          <w:rFonts w:hAnsi="標楷體" w:hint="eastAsia"/>
          <w:noProof/>
          <w:color w:val="000000"/>
          <w:szCs w:val="52"/>
        </w:rPr>
        <w:t>及</w:t>
      </w:r>
      <w:r w:rsidR="002B0048" w:rsidRPr="00FF16E2">
        <w:rPr>
          <w:rFonts w:hAnsi="標楷體" w:hint="eastAsia"/>
          <w:color w:val="000000"/>
        </w:rPr>
        <w:t>檢察司司長蔡瑞宗到院說明</w:t>
      </w:r>
      <w:r w:rsidR="001F1121">
        <w:rPr>
          <w:rFonts w:hAnsi="標楷體" w:hint="eastAsia"/>
        </w:rPr>
        <w:t>。</w:t>
      </w:r>
      <w:r w:rsidR="00F0763D">
        <w:rPr>
          <w:rFonts w:hint="eastAsia"/>
          <w:szCs w:val="28"/>
        </w:rPr>
        <w:t>茲將本案調查</w:t>
      </w:r>
      <w:r w:rsidR="00F0763D">
        <w:rPr>
          <w:rFonts w:hint="eastAsia"/>
        </w:rPr>
        <w:t>所得缺失</w:t>
      </w:r>
      <w:r w:rsidR="00F0763D">
        <w:rPr>
          <w:rFonts w:hint="eastAsia"/>
          <w:szCs w:val="28"/>
        </w:rPr>
        <w:t>臚列如后：</w:t>
      </w:r>
      <w:bookmarkStart w:id="33" w:name="_Toc525070834"/>
      <w:bookmarkStart w:id="34" w:name="_Toc525938374"/>
      <w:bookmarkStart w:id="35" w:name="_Toc525939222"/>
      <w:bookmarkStart w:id="36" w:name="_Toc525939727"/>
      <w:bookmarkStart w:id="37" w:name="_Toc524892372"/>
      <w:bookmarkStart w:id="38" w:name="_Toc525066144"/>
    </w:p>
    <w:p w:rsidR="002B0048" w:rsidRPr="00154F92" w:rsidRDefault="002B0048" w:rsidP="002B0048">
      <w:pPr>
        <w:pStyle w:val="2"/>
        <w:ind w:left="1020" w:hanging="680"/>
        <w:rPr>
          <w:rFonts w:hAnsi="標楷體"/>
          <w:color w:val="000000"/>
        </w:rPr>
      </w:pPr>
      <w:bookmarkStart w:id="39" w:name="_Toc525070835"/>
      <w:bookmarkStart w:id="40" w:name="_Toc525938375"/>
      <w:bookmarkStart w:id="41" w:name="_Toc525939223"/>
      <w:bookmarkStart w:id="42" w:name="_Toc525939728"/>
      <w:bookmarkStart w:id="43" w:name="_Toc529218268"/>
      <w:bookmarkStart w:id="44" w:name="_Toc529222685"/>
      <w:bookmarkStart w:id="45" w:name="_Toc529223107"/>
      <w:bookmarkStart w:id="46" w:name="_Toc529223858"/>
      <w:bookmarkStart w:id="47" w:name="_Toc529228261"/>
      <w:bookmarkStart w:id="48" w:name="_Toc2400391"/>
      <w:bookmarkStart w:id="49" w:name="_Toc4316185"/>
      <w:bookmarkStart w:id="50" w:name="_Toc2400393"/>
      <w:bookmarkStart w:id="51" w:name="_Toc4316187"/>
      <w:bookmarkStart w:id="52" w:name="_Toc4473328"/>
      <w:bookmarkStart w:id="53" w:name="_Toc69556895"/>
      <w:bookmarkStart w:id="54" w:name="_Toc69556944"/>
      <w:bookmarkStart w:id="55" w:name="_Toc69609818"/>
      <w:bookmarkStart w:id="56" w:name="_Toc70241814"/>
      <w:bookmarkStart w:id="57" w:name="_Toc70242203"/>
      <w:bookmarkEnd w:id="33"/>
      <w:bookmarkEnd w:id="34"/>
      <w:bookmarkEnd w:id="35"/>
      <w:bookmarkEnd w:id="36"/>
      <w:r w:rsidRPr="00154F92">
        <w:rPr>
          <w:rFonts w:hAnsi="標楷體" w:hint="eastAsia"/>
          <w:color w:val="000000"/>
        </w:rPr>
        <w:t>依刑事訴訟法第二條第一項規定，實施刑事訴訟程序之公務員，就該管案件之被告有利不利之處，應一律注意。同法第五十八條規定，對於檢察官之送達，應向承辦檢察官為之；承辦檢察官不在辦公處所時，向首席檢察官（即檢察長）為之。</w:t>
      </w:r>
      <w:r w:rsidRPr="00154F92">
        <w:rPr>
          <w:rFonts w:hAnsi="標楷體"/>
          <w:color w:val="000000"/>
        </w:rPr>
        <w:t>法院組織法第</w:t>
      </w:r>
      <w:r w:rsidRPr="00154F92">
        <w:rPr>
          <w:rFonts w:hAnsi="標楷體" w:hint="eastAsia"/>
          <w:color w:val="000000"/>
        </w:rPr>
        <w:t>一百十一</w:t>
      </w:r>
      <w:r w:rsidRPr="00154F92">
        <w:rPr>
          <w:rFonts w:hAnsi="標楷體"/>
          <w:color w:val="000000"/>
        </w:rPr>
        <w:t>條</w:t>
      </w:r>
      <w:r w:rsidRPr="00154F92">
        <w:rPr>
          <w:rFonts w:hAnsi="標楷體" w:hint="eastAsia"/>
          <w:color w:val="000000"/>
        </w:rPr>
        <w:t>規定，法務部部長監督各級法院及分院檢察署</w:t>
      </w:r>
      <w:r w:rsidRPr="00154F92">
        <w:rPr>
          <w:rFonts w:hAnsi="標楷體"/>
          <w:color w:val="000000"/>
        </w:rPr>
        <w:t>（行政監督權之行使），</w:t>
      </w:r>
      <w:r w:rsidRPr="00154F92">
        <w:rPr>
          <w:rFonts w:hAnsi="標楷體" w:hint="eastAsia"/>
          <w:color w:val="000000"/>
        </w:rPr>
        <w:t>司法院釋字第五百三十號解釋亦指明：「關於各級法院檢察署之行政監督，依法院組</w:t>
      </w:r>
      <w:r w:rsidRPr="00154F92">
        <w:rPr>
          <w:rFonts w:hAnsi="標楷體" w:hint="eastAsia"/>
          <w:color w:val="000000"/>
        </w:rPr>
        <w:lastRenderedPageBreak/>
        <w:t>織法第一百十一條第一款規定，法務部部長監督各級法院及分院檢察署，從而法務部部長就檢察行政監督發布命令，以貫徹刑事政策及迅速有效執行檢察事務，亦非法所不許」</w:t>
      </w:r>
      <w:r>
        <w:rPr>
          <w:rFonts w:hAnsi="標楷體" w:hint="eastAsia"/>
          <w:color w:val="000000"/>
        </w:rPr>
        <w:t>。</w:t>
      </w:r>
      <w:r w:rsidRPr="00154F92">
        <w:rPr>
          <w:rFonts w:hAnsi="標楷體" w:hint="eastAsia"/>
          <w:color w:val="000000"/>
        </w:rPr>
        <w:t>檢察機關辦理刑事訴訟案件應行注意事項第一百三十四點規定，檢察官應於裁判正本送至其辦公處所後，即時收受送達，不得無故擱置，致延誤裁判確定之時間；收受裁判正本後，應立就原裁判認定事實有無錯誤、適用法則是否恰當，以及訴訟程序有無瑕疵、量刑標準及緩刑宣告是否適當，分別審查，以決定應否提起上訴或抗告，不得任意擱置，致遲誤上訴或抗告期間；如認原判決量刑失當或漏未宣告保安處分或緩刑者，應即提起上訴或為被告之利益聲明上訴。</w:t>
      </w:r>
    </w:p>
    <w:p w:rsidR="002B0048" w:rsidRDefault="002B0048" w:rsidP="00252B8C">
      <w:pPr>
        <w:pStyle w:val="2"/>
        <w:ind w:left="1020" w:hanging="680"/>
        <w:rPr>
          <w:rFonts w:hAnsi="標楷體"/>
          <w:color w:val="000000"/>
        </w:rPr>
      </w:pPr>
      <w:r w:rsidRPr="00F94980">
        <w:rPr>
          <w:rFonts w:hAnsi="標楷體" w:hint="eastAsia"/>
          <w:noProof/>
          <w:color w:val="000000"/>
          <w:szCs w:val="52"/>
        </w:rPr>
        <w:t>惟</w:t>
      </w:r>
      <w:r w:rsidRPr="00B37624">
        <w:rPr>
          <w:rFonts w:hAnsi="標楷體" w:hint="eastAsia"/>
          <w:color w:val="000000"/>
        </w:rPr>
        <w:t>臺灣高等法院檢察署及所屬檢察機關加強業務檢查實施要點</w:t>
      </w:r>
      <w:r>
        <w:rPr>
          <w:rFonts w:hAnsi="標楷體" w:hint="eastAsia"/>
          <w:color w:val="000000"/>
        </w:rPr>
        <w:t>第六點第十款</w:t>
      </w:r>
      <w:r w:rsidRPr="00B37624">
        <w:rPr>
          <w:rFonts w:hAnsi="標楷體" w:hint="eastAsia"/>
          <w:color w:val="000000"/>
        </w:rPr>
        <w:t>規定，檢察官收受判決，應於法院送達時即時收受，不得無故延遲，檢察官連續請假多日時，應由代理人代為收受判決書，以免逾時始收受判決，影響當事人權益。</w:t>
      </w:r>
      <w:r>
        <w:rPr>
          <w:rFonts w:hAnsi="標楷體" w:hint="eastAsia"/>
          <w:color w:val="000000"/>
        </w:rPr>
        <w:t>另</w:t>
      </w:r>
      <w:r w:rsidRPr="00F94980">
        <w:rPr>
          <w:rFonts w:hAnsi="標楷體" w:hint="eastAsia"/>
          <w:noProof/>
          <w:color w:val="000000"/>
          <w:szCs w:val="52"/>
        </w:rPr>
        <w:t>據</w:t>
      </w:r>
      <w:r w:rsidRPr="00F94980">
        <w:rPr>
          <w:rFonts w:hAnsi="標楷體" w:hint="eastAsia"/>
          <w:color w:val="000000"/>
        </w:rPr>
        <w:t>法務部說明資料及常務次長吳陳鐶</w:t>
      </w:r>
      <w:r>
        <w:rPr>
          <w:rFonts w:hAnsi="標楷體" w:hint="eastAsia"/>
          <w:color w:val="000000"/>
        </w:rPr>
        <w:t>、</w:t>
      </w:r>
      <w:r w:rsidRPr="00F94980">
        <w:rPr>
          <w:rFonts w:hAnsi="標楷體" w:hint="eastAsia"/>
          <w:color w:val="000000"/>
        </w:rPr>
        <w:t>檢察司司長蔡瑞宗於本院約詢時陳述內容</w:t>
      </w:r>
      <w:r>
        <w:rPr>
          <w:rFonts w:hAnsi="標楷體" w:hint="eastAsia"/>
          <w:color w:val="000000"/>
        </w:rPr>
        <w:t>略以：</w:t>
      </w:r>
    </w:p>
    <w:p w:rsidR="002B0048" w:rsidRDefault="002B0048" w:rsidP="00252B8C">
      <w:pPr>
        <w:pStyle w:val="3"/>
        <w:ind w:leftChars="200" w:left="1360" w:hangingChars="200" w:hanging="680"/>
        <w:rPr>
          <w:rFonts w:hAnsi="標楷體"/>
          <w:color w:val="000000"/>
        </w:rPr>
      </w:pPr>
      <w:r w:rsidRPr="00F94980">
        <w:rPr>
          <w:rFonts w:hAnsi="標楷體" w:hint="eastAsia"/>
          <w:color w:val="000000"/>
        </w:rPr>
        <w:t>目前實務上對檢察官送達裁判之方式，係由法院法警將裁判之案號、送達日期登錄於「送達檢察官裁判書類登記簿」後，連同裁判書類正本與送達證書送達檢察官。而在對檢察官送達判決書時，應向對應股公訴檢察官為之，一式二份，除一份在送達證書上載明實行公訴檢察官為收受判決之人外，另一份判決書只記載偵查檢察官之股別，惟不附送達證書，收受判決之日期，以公訴檢察官收受者為準。因此，目前收受裁判時，係由公訴檢察官親自用印並載明收受裁判日期於送達證書與「送達檢察官裁</w:t>
      </w:r>
      <w:r w:rsidRPr="00F94980">
        <w:rPr>
          <w:rFonts w:hAnsi="標楷體" w:hint="eastAsia"/>
          <w:color w:val="000000"/>
        </w:rPr>
        <w:lastRenderedPageBreak/>
        <w:t>判書類登記簿」後，再由法院法警將送達證書與裁判書類送達簿收回，據以認定檢察官收受判決之時點。</w:t>
      </w:r>
    </w:p>
    <w:p w:rsidR="002B0048" w:rsidRPr="002A2D56" w:rsidRDefault="002B0048" w:rsidP="00252B8C">
      <w:pPr>
        <w:pStyle w:val="3"/>
        <w:ind w:leftChars="200" w:left="1360" w:hangingChars="200" w:hanging="680"/>
        <w:rPr>
          <w:rFonts w:hAnsi="標楷體"/>
          <w:color w:val="000000"/>
        </w:rPr>
      </w:pPr>
      <w:r w:rsidRPr="002A2D56">
        <w:rPr>
          <w:rFonts w:hAnsi="標楷體" w:hint="eastAsia"/>
          <w:color w:val="000000"/>
        </w:rPr>
        <w:t>法院送達之法警殆多為同一人，送達方式不一。大部分</w:t>
      </w:r>
      <w:r>
        <w:rPr>
          <w:rFonts w:hAnsi="標楷體" w:hint="eastAsia"/>
          <w:color w:val="000000"/>
        </w:rPr>
        <w:t>地方法院檢察署</w:t>
      </w:r>
      <w:r w:rsidRPr="002A2D56">
        <w:rPr>
          <w:rFonts w:hAnsi="標楷體" w:hint="eastAsia"/>
          <w:color w:val="000000"/>
        </w:rPr>
        <w:t>檢察官辦公處所，有另一空間放置當日應送達之判決書類，法院之法警即將判決書類連同簽收簿放置該處，待各承辦檢察官簽收完畢後，法警當日或隔日再去收簽收簿。另有些</w:t>
      </w:r>
      <w:r>
        <w:rPr>
          <w:rFonts w:hAnsi="標楷體" w:hint="eastAsia"/>
          <w:color w:val="000000"/>
        </w:rPr>
        <w:t>地方法院檢察署</w:t>
      </w:r>
      <w:r w:rsidRPr="002A2D56">
        <w:rPr>
          <w:rFonts w:hAnsi="標楷體" w:hint="eastAsia"/>
          <w:color w:val="000000"/>
        </w:rPr>
        <w:t>作法，法院之法警將判決書類依檢察官辦公處所送達，法警再回頭依送達先後去收簽收簿。</w:t>
      </w:r>
      <w:r w:rsidRPr="002A2D56">
        <w:rPr>
          <w:rFonts w:hAnsi="標楷體"/>
          <w:color w:val="000000"/>
        </w:rPr>
        <w:t>對於檢察官為送達，應於辦公處所向承辦檢察官為之，如承辦檢察官因公執行職務（</w:t>
      </w:r>
      <w:r w:rsidRPr="002A2D56">
        <w:rPr>
          <w:rFonts w:hAnsi="標楷體" w:hint="eastAsia"/>
          <w:color w:val="000000"/>
        </w:rPr>
        <w:t>如外出勘驗</w:t>
      </w:r>
      <w:r w:rsidRPr="002A2D56">
        <w:rPr>
          <w:rFonts w:hAnsi="標楷體"/>
          <w:color w:val="000000"/>
        </w:rPr>
        <w:t>）</w:t>
      </w:r>
      <w:r w:rsidRPr="002A2D56">
        <w:rPr>
          <w:rFonts w:hAnsi="標楷體" w:hint="eastAsia"/>
          <w:color w:val="000000"/>
        </w:rPr>
        <w:t>，</w:t>
      </w:r>
      <w:r w:rsidRPr="002A2D56">
        <w:rPr>
          <w:rFonts w:hAnsi="標楷體"/>
          <w:color w:val="000000"/>
        </w:rPr>
        <w:t>或</w:t>
      </w:r>
      <w:r w:rsidRPr="002A2D56">
        <w:rPr>
          <w:rFonts w:hAnsi="標楷體" w:hint="eastAsia"/>
          <w:color w:val="000000"/>
        </w:rPr>
        <w:t>短時間</w:t>
      </w:r>
      <w:r w:rsidRPr="002A2D56">
        <w:rPr>
          <w:rFonts w:hAnsi="標楷體"/>
          <w:color w:val="000000"/>
        </w:rPr>
        <w:t>差假不在辦公處所</w:t>
      </w:r>
      <w:r w:rsidRPr="002A2D56">
        <w:rPr>
          <w:rFonts w:hAnsi="標楷體" w:hint="eastAsia"/>
          <w:color w:val="000000"/>
        </w:rPr>
        <w:t>，</w:t>
      </w:r>
      <w:r w:rsidRPr="002A2D56">
        <w:rPr>
          <w:rFonts w:hAnsi="標楷體"/>
          <w:color w:val="000000"/>
        </w:rPr>
        <w:t>或客觀上有其他之</w:t>
      </w:r>
      <w:r w:rsidRPr="002A2D56">
        <w:rPr>
          <w:rFonts w:hAnsi="標楷體" w:hint="eastAsia"/>
          <w:color w:val="000000"/>
        </w:rPr>
        <w:t>一時</w:t>
      </w:r>
      <w:r w:rsidRPr="002A2D56">
        <w:rPr>
          <w:rFonts w:hAnsi="標楷體"/>
          <w:color w:val="000000"/>
        </w:rPr>
        <w:t>不能收受（簽收）送達文書之障礙事由存在時，</w:t>
      </w:r>
      <w:r w:rsidRPr="002A2D56">
        <w:rPr>
          <w:rFonts w:hAnsi="標楷體" w:hint="eastAsia"/>
          <w:color w:val="000000"/>
        </w:rPr>
        <w:t>待其回</w:t>
      </w:r>
      <w:r w:rsidRPr="002A2D56">
        <w:rPr>
          <w:rFonts w:hAnsi="標楷體"/>
          <w:color w:val="000000"/>
        </w:rPr>
        <w:t>辦公處所</w:t>
      </w:r>
      <w:r w:rsidRPr="002A2D56">
        <w:rPr>
          <w:rFonts w:hAnsi="標楷體" w:hint="eastAsia"/>
          <w:color w:val="000000"/>
        </w:rPr>
        <w:t>始行</w:t>
      </w:r>
      <w:r w:rsidRPr="002A2D56">
        <w:rPr>
          <w:rFonts w:hAnsi="標楷體"/>
          <w:color w:val="000000"/>
        </w:rPr>
        <w:t>收受（簽收）</w:t>
      </w:r>
      <w:r w:rsidRPr="002A2D56">
        <w:rPr>
          <w:rFonts w:hAnsi="標楷體" w:hint="eastAsia"/>
          <w:color w:val="000000"/>
        </w:rPr>
        <w:t>。但如長時間</w:t>
      </w:r>
      <w:r w:rsidRPr="002A2D56">
        <w:rPr>
          <w:rFonts w:hAnsi="標楷體"/>
          <w:color w:val="000000"/>
        </w:rPr>
        <w:t>差假（</w:t>
      </w:r>
      <w:r w:rsidRPr="002A2D56">
        <w:rPr>
          <w:rFonts w:hAnsi="標楷體" w:hint="eastAsia"/>
          <w:color w:val="000000"/>
        </w:rPr>
        <w:t>婚、喪假</w:t>
      </w:r>
      <w:r w:rsidRPr="002A2D56">
        <w:rPr>
          <w:rFonts w:hAnsi="標楷體"/>
          <w:color w:val="000000"/>
        </w:rPr>
        <w:t>）</w:t>
      </w:r>
      <w:r w:rsidRPr="002A2D56">
        <w:rPr>
          <w:rFonts w:hAnsi="標楷體" w:hint="eastAsia"/>
          <w:color w:val="000000"/>
        </w:rPr>
        <w:t>、受訓等情事，</w:t>
      </w:r>
      <w:r w:rsidRPr="002A2D56">
        <w:rPr>
          <w:rFonts w:hAnsi="標楷體"/>
          <w:color w:val="000000"/>
        </w:rPr>
        <w:t>不在辦公處所</w:t>
      </w:r>
      <w:r w:rsidRPr="002A2D56">
        <w:rPr>
          <w:rFonts w:hAnsi="標楷體" w:hint="eastAsia"/>
          <w:color w:val="000000"/>
        </w:rPr>
        <w:t>，則由代理人</w:t>
      </w:r>
      <w:r w:rsidRPr="002A2D56">
        <w:rPr>
          <w:rFonts w:hAnsi="標楷體"/>
          <w:color w:val="000000"/>
        </w:rPr>
        <w:t>收受（簽收）</w:t>
      </w:r>
      <w:r w:rsidRPr="002A2D56">
        <w:rPr>
          <w:rFonts w:hAnsi="標楷體" w:hint="eastAsia"/>
          <w:color w:val="000000"/>
        </w:rPr>
        <w:t>。至於承辦檢察官不在辦公處所時，為何不依刑事訴訟法第五十八條規定，</w:t>
      </w:r>
      <w:r w:rsidRPr="002A2D56">
        <w:rPr>
          <w:rFonts w:hAnsi="標楷體"/>
          <w:color w:val="000000"/>
        </w:rPr>
        <w:t>向檢察長為之</w:t>
      </w:r>
      <w:r w:rsidRPr="002A2D56">
        <w:rPr>
          <w:rFonts w:hAnsi="標楷體" w:hint="eastAsia"/>
          <w:color w:val="000000"/>
        </w:rPr>
        <w:t>？係由於目前案件量太多，若</w:t>
      </w:r>
      <w:r w:rsidRPr="002A2D56">
        <w:rPr>
          <w:rFonts w:hAnsi="標楷體"/>
          <w:color w:val="000000"/>
        </w:rPr>
        <w:t>因承辦檢察官客觀上</w:t>
      </w:r>
      <w:r w:rsidRPr="002A2D56">
        <w:rPr>
          <w:rFonts w:hAnsi="標楷體" w:hint="eastAsia"/>
          <w:color w:val="000000"/>
        </w:rPr>
        <w:t>一時無法</w:t>
      </w:r>
      <w:r w:rsidRPr="002A2D56">
        <w:rPr>
          <w:rFonts w:hAnsi="標楷體"/>
          <w:color w:val="000000"/>
        </w:rPr>
        <w:t>收受，</w:t>
      </w:r>
      <w:r w:rsidRPr="002A2D56">
        <w:rPr>
          <w:rFonts w:hAnsi="標楷體" w:hint="eastAsia"/>
          <w:color w:val="000000"/>
        </w:rPr>
        <w:t>而均向檢察長送達，再由檢察長轉給</w:t>
      </w:r>
      <w:r w:rsidRPr="002A2D56">
        <w:rPr>
          <w:rFonts w:hAnsi="標楷體"/>
          <w:color w:val="000000"/>
        </w:rPr>
        <w:t>承辦檢察官</w:t>
      </w:r>
      <w:r w:rsidRPr="002A2D56">
        <w:rPr>
          <w:rFonts w:hAnsi="標楷體" w:hint="eastAsia"/>
          <w:color w:val="000000"/>
        </w:rPr>
        <w:t>，恐造成遲延之情形會更多。</w:t>
      </w:r>
    </w:p>
    <w:p w:rsidR="002B0048" w:rsidRDefault="002B0048" w:rsidP="00252B8C">
      <w:pPr>
        <w:pStyle w:val="3"/>
        <w:ind w:leftChars="200" w:left="1360" w:hangingChars="200" w:hanging="680"/>
        <w:rPr>
          <w:rFonts w:hAnsi="標楷體"/>
          <w:color w:val="000000"/>
        </w:rPr>
      </w:pPr>
      <w:r w:rsidRPr="002A2D56">
        <w:rPr>
          <w:rFonts w:hAnsi="標楷體"/>
          <w:color w:val="000000"/>
        </w:rPr>
        <w:t>裁判書送達時已會晤承辦檢察官，或客觀上承辦檢察官已知悉已有該等文書送達時，而仍不收受，即</w:t>
      </w:r>
      <w:r w:rsidRPr="002A2D56">
        <w:rPr>
          <w:rFonts w:hAnsi="標楷體" w:hint="eastAsia"/>
          <w:color w:val="000000"/>
        </w:rPr>
        <w:t>屬</w:t>
      </w:r>
      <w:r w:rsidRPr="002A2D56">
        <w:rPr>
          <w:rFonts w:hAnsi="標楷體"/>
          <w:color w:val="000000"/>
        </w:rPr>
        <w:t>合法送達，並以客觀上可收受裁判書送達時，計算上訴期間。</w:t>
      </w:r>
      <w:r w:rsidRPr="002A2D56">
        <w:rPr>
          <w:rFonts w:hAnsi="標楷體" w:hint="eastAsia"/>
          <w:color w:val="000000"/>
        </w:rPr>
        <w:t>而依據「最高法院檢察署檢查高等法院及其分院檢察署檢察業務實施要點」將</w:t>
      </w:r>
      <w:r w:rsidRPr="002A2D56">
        <w:rPr>
          <w:rFonts w:hAnsi="標楷體"/>
          <w:color w:val="000000"/>
        </w:rPr>
        <w:t>檢察官</w:t>
      </w:r>
      <w:r>
        <w:rPr>
          <w:rFonts w:hAnsi="標楷體" w:hint="eastAsia"/>
          <w:color w:val="000000"/>
        </w:rPr>
        <w:t>是否有無故遲延</w:t>
      </w:r>
      <w:r w:rsidRPr="002A2D56">
        <w:rPr>
          <w:rFonts w:hAnsi="標楷體"/>
          <w:color w:val="000000"/>
        </w:rPr>
        <w:t>收受</w:t>
      </w:r>
      <w:r>
        <w:rPr>
          <w:rFonts w:hAnsi="標楷體" w:hint="eastAsia"/>
          <w:color w:val="000000"/>
        </w:rPr>
        <w:t>，</w:t>
      </w:r>
      <w:r w:rsidRPr="002A2D56">
        <w:rPr>
          <w:rFonts w:hAnsi="標楷體" w:hint="eastAsia"/>
          <w:color w:val="000000"/>
        </w:rPr>
        <w:t>列為業務檢查重點項目之要求，法務部亦要求臺灣高等法院檢察署按月陳報「臺灣高等法院檢察署及所屬各級法院檢察署檢察官收受</w:t>
      </w:r>
      <w:r w:rsidRPr="002A2D56">
        <w:rPr>
          <w:rFonts w:hAnsi="標楷體" w:hint="eastAsia"/>
          <w:color w:val="000000"/>
        </w:rPr>
        <w:lastRenderedPageBreak/>
        <w:t>判決情形統計表」，以了解各檢察機關是否有無正當理由逾期收受裁判之情況。一旦有發生無故遲延上訴期間或遲延收受裁判情事，視其情節依據「法務部所屬檢察機關人員獎懲標準表」規定分別有申誡或記過之處分。</w:t>
      </w:r>
    </w:p>
    <w:p w:rsidR="002B0048" w:rsidRDefault="002B0048" w:rsidP="002B0048">
      <w:pPr>
        <w:pStyle w:val="2"/>
        <w:ind w:left="1020" w:hanging="680"/>
        <w:rPr>
          <w:color w:val="000000"/>
        </w:rPr>
      </w:pPr>
      <w:r>
        <w:rPr>
          <w:rFonts w:hint="eastAsia"/>
        </w:rPr>
        <w:t>查本院於</w:t>
      </w:r>
      <w:r w:rsidRPr="00CE655E">
        <w:rPr>
          <w:rFonts w:hint="eastAsia"/>
        </w:rPr>
        <w:t>八十七</w:t>
      </w:r>
      <w:r w:rsidR="00017E59">
        <w:rPr>
          <w:rFonts w:hint="eastAsia"/>
        </w:rPr>
        <w:t>年</w:t>
      </w:r>
      <w:r>
        <w:rPr>
          <w:rFonts w:hint="eastAsia"/>
        </w:rPr>
        <w:t>間，為了解檢察官對上訴案件是否依法在規定時間辦理，組專案小組調查發現法務部及台灣高等法院檢察署，未能確實遵守刑事訴訟法有關文書送達之規定，放任檢察官遲延收受法院判決書及逾期上訴，傷害司法形象乙案，糾正法務部。另九</w:t>
      </w:r>
      <w:r w:rsidRPr="00CE655E">
        <w:rPr>
          <w:rFonts w:hint="eastAsia"/>
        </w:rPr>
        <w:t>十七年</w:t>
      </w:r>
      <w:r w:rsidRPr="009C3A4B">
        <w:rPr>
          <w:rFonts w:hint="eastAsia"/>
          <w:color w:val="000000"/>
          <w:szCs w:val="32"/>
        </w:rPr>
        <w:t>間，調查</w:t>
      </w:r>
      <w:r w:rsidRPr="009C3A4B">
        <w:rPr>
          <w:rFonts w:hint="eastAsia"/>
          <w:color w:val="000000"/>
        </w:rPr>
        <w:t>臺灣臺北地方法院檢察署檢察官劉承武辦理景文集團掏空校產弊案上訴逾期，致十七名被告無罪確定，涉有違失乙案，亦針對</w:t>
      </w:r>
      <w:r>
        <w:rPr>
          <w:rFonts w:hint="eastAsia"/>
        </w:rPr>
        <w:t>法務部對於檢察官收受</w:t>
      </w:r>
      <w:r w:rsidRPr="009C3A4B">
        <w:rPr>
          <w:rFonts w:hint="eastAsia"/>
          <w:color w:val="000000"/>
        </w:rPr>
        <w:t>判決書</w:t>
      </w:r>
      <w:r>
        <w:rPr>
          <w:rFonts w:hint="eastAsia"/>
        </w:rPr>
        <w:t>之</w:t>
      </w:r>
      <w:r w:rsidRPr="009C3A4B">
        <w:rPr>
          <w:rFonts w:hint="eastAsia"/>
          <w:color w:val="000000"/>
        </w:rPr>
        <w:t>確定日期，見解不明確，致</w:t>
      </w:r>
      <w:r>
        <w:rPr>
          <w:rFonts w:hint="eastAsia"/>
        </w:rPr>
        <w:t>檢察官上訴，時遭二審法院及最高法院認定上訴逾期，判決駁回上訴，影響檢察公信力，</w:t>
      </w:r>
      <w:r w:rsidRPr="009C3A4B">
        <w:rPr>
          <w:rFonts w:hint="eastAsia"/>
          <w:color w:val="000000"/>
        </w:rPr>
        <w:t>核有違失，</w:t>
      </w:r>
      <w:r>
        <w:rPr>
          <w:rFonts w:hint="eastAsia"/>
        </w:rPr>
        <w:t>糾正法務部。</w:t>
      </w:r>
      <w:r w:rsidRPr="009C3A4B">
        <w:rPr>
          <w:rFonts w:hint="eastAsia"/>
          <w:color w:val="000000"/>
        </w:rPr>
        <w:t>即</w:t>
      </w:r>
      <w:r w:rsidRPr="009C3A4B">
        <w:rPr>
          <w:rFonts w:hAnsi="標楷體" w:hint="eastAsia"/>
          <w:color w:val="000000"/>
        </w:rPr>
        <w:t>檢察官遲延收受裁判，致發生是否於上訴期間合法上訴之爭議，</w:t>
      </w:r>
      <w:r>
        <w:rPr>
          <w:rFonts w:hint="eastAsia"/>
        </w:rPr>
        <w:t>遭人詬病由來已久。而本院接受人民陳情案件中，類如本件陳訴案，</w:t>
      </w:r>
      <w:r w:rsidRPr="009C3A4B">
        <w:rPr>
          <w:rFonts w:hAnsi="標楷體" w:hint="eastAsia"/>
          <w:noProof/>
          <w:color w:val="000000"/>
        </w:rPr>
        <w:t>被告原經第一審法院判決無罪，由於</w:t>
      </w:r>
      <w:r w:rsidRPr="009C3A4B">
        <w:rPr>
          <w:rFonts w:hAnsi="標楷體" w:hint="eastAsia"/>
          <w:color w:val="000000"/>
        </w:rPr>
        <w:t>檢察官收受判決時點之爭議，上訴</w:t>
      </w:r>
      <w:r w:rsidRPr="009C3A4B">
        <w:rPr>
          <w:rFonts w:hAnsi="標楷體" w:hint="eastAsia"/>
          <w:noProof/>
          <w:color w:val="000000"/>
        </w:rPr>
        <w:t>改判被告有罪，</w:t>
      </w:r>
      <w:r w:rsidRPr="009C3A4B">
        <w:rPr>
          <w:rFonts w:hAnsi="標楷體" w:hint="eastAsia"/>
          <w:color w:val="000000"/>
        </w:rPr>
        <w:t>造成程序上之突襲，</w:t>
      </w:r>
      <w:r>
        <w:rPr>
          <w:rFonts w:hint="eastAsia"/>
        </w:rPr>
        <w:t>亦屬多有。</w:t>
      </w:r>
      <w:r w:rsidRPr="009C3A4B">
        <w:rPr>
          <w:rFonts w:hAnsi="標楷體" w:hint="eastAsia"/>
        </w:rPr>
        <w:t>再上訴期間為法定不變期間，檢察官收受判決書送達之時點，攸關其上訴期間之起算，影響訴訟當事人之權益，並關係案件之是否確定</w:t>
      </w:r>
      <w:r>
        <w:rPr>
          <w:rFonts w:hAnsi="標楷體" w:hint="eastAsia"/>
        </w:rPr>
        <w:t>，</w:t>
      </w:r>
      <w:r w:rsidRPr="009C3A4B">
        <w:rPr>
          <w:rFonts w:hAnsi="標楷體" w:hint="eastAsia"/>
          <w:color w:val="000000"/>
        </w:rPr>
        <w:t>應從法律制度面嚴格規範並落實對檢察官送達之規定，不容有絲毫爭議及解釋空間</w:t>
      </w:r>
      <w:r>
        <w:rPr>
          <w:rFonts w:hAnsi="標楷體" w:hint="eastAsia"/>
          <w:color w:val="000000"/>
        </w:rPr>
        <w:t>。即</w:t>
      </w:r>
      <w:r w:rsidRPr="009C3A4B">
        <w:rPr>
          <w:rFonts w:hAnsi="標楷體" w:hint="eastAsia"/>
          <w:color w:val="000000"/>
        </w:rPr>
        <w:t>司法正義之實現及被告人權之保障，不能訴諸於檢察機關之內部行政管控，縱對無故遲延收受判決之檢察官予與事後懲處，亦於事無補。而目前實務上</w:t>
      </w:r>
      <w:r w:rsidRPr="009C3A4B">
        <w:rPr>
          <w:rFonts w:hAnsi="標楷體"/>
          <w:color w:val="000000"/>
        </w:rPr>
        <w:t>對檢察官</w:t>
      </w:r>
      <w:r w:rsidRPr="009C3A4B">
        <w:rPr>
          <w:rFonts w:hAnsi="標楷體" w:hint="eastAsia"/>
          <w:color w:val="000000"/>
        </w:rPr>
        <w:t>之</w:t>
      </w:r>
      <w:r w:rsidRPr="009C3A4B">
        <w:rPr>
          <w:rFonts w:hAnsi="標楷體"/>
          <w:color w:val="000000"/>
        </w:rPr>
        <w:t>送達，於辦公處所向承辦檢察官為之，如承辦檢察官因公執行職務（</w:t>
      </w:r>
      <w:r w:rsidRPr="009C3A4B">
        <w:rPr>
          <w:rFonts w:hAnsi="標楷體" w:hint="eastAsia"/>
          <w:color w:val="000000"/>
        </w:rPr>
        <w:t>如外出勘驗</w:t>
      </w:r>
      <w:r w:rsidRPr="009C3A4B">
        <w:rPr>
          <w:rFonts w:hAnsi="標楷體"/>
          <w:color w:val="000000"/>
        </w:rPr>
        <w:t>）</w:t>
      </w:r>
      <w:r w:rsidRPr="009C3A4B">
        <w:rPr>
          <w:rFonts w:hAnsi="標楷體" w:hint="eastAsia"/>
          <w:color w:val="000000"/>
        </w:rPr>
        <w:t>，</w:t>
      </w:r>
      <w:r w:rsidRPr="009C3A4B">
        <w:rPr>
          <w:rFonts w:hAnsi="標楷體"/>
          <w:color w:val="000000"/>
        </w:rPr>
        <w:t>或</w:t>
      </w:r>
      <w:r w:rsidRPr="009C3A4B">
        <w:rPr>
          <w:rFonts w:hAnsi="標楷體" w:hint="eastAsia"/>
          <w:color w:val="000000"/>
        </w:rPr>
        <w:t>短時間</w:t>
      </w:r>
      <w:r w:rsidRPr="009C3A4B">
        <w:rPr>
          <w:rFonts w:hAnsi="標楷體"/>
          <w:color w:val="000000"/>
        </w:rPr>
        <w:t>差假不</w:t>
      </w:r>
      <w:r w:rsidRPr="009C3A4B">
        <w:rPr>
          <w:rFonts w:hAnsi="標楷體"/>
          <w:color w:val="000000"/>
        </w:rPr>
        <w:lastRenderedPageBreak/>
        <w:t>在辦公處所</w:t>
      </w:r>
      <w:r w:rsidRPr="009C3A4B">
        <w:rPr>
          <w:rFonts w:hAnsi="標楷體" w:hint="eastAsia"/>
          <w:color w:val="000000"/>
        </w:rPr>
        <w:t>，</w:t>
      </w:r>
      <w:r w:rsidRPr="009C3A4B">
        <w:rPr>
          <w:rFonts w:hAnsi="標楷體"/>
          <w:color w:val="000000"/>
        </w:rPr>
        <w:t>或客觀上有其他之</w:t>
      </w:r>
      <w:r w:rsidRPr="009C3A4B">
        <w:rPr>
          <w:rFonts w:hAnsi="標楷體" w:hint="eastAsia"/>
          <w:color w:val="000000"/>
        </w:rPr>
        <w:t>一時</w:t>
      </w:r>
      <w:r w:rsidRPr="009C3A4B">
        <w:rPr>
          <w:rFonts w:hAnsi="標楷體"/>
          <w:color w:val="000000"/>
        </w:rPr>
        <w:t>不能收受（簽收）送達文書之障礙事由存在時，</w:t>
      </w:r>
      <w:r w:rsidRPr="009C3A4B">
        <w:rPr>
          <w:rFonts w:hAnsi="標楷體" w:hint="eastAsia"/>
          <w:color w:val="000000"/>
        </w:rPr>
        <w:t>待其回</w:t>
      </w:r>
      <w:r w:rsidRPr="009C3A4B">
        <w:rPr>
          <w:rFonts w:hAnsi="標楷體"/>
          <w:color w:val="000000"/>
        </w:rPr>
        <w:t>辦公處所</w:t>
      </w:r>
      <w:r w:rsidRPr="009C3A4B">
        <w:rPr>
          <w:rFonts w:hAnsi="標楷體" w:hint="eastAsia"/>
          <w:color w:val="000000"/>
        </w:rPr>
        <w:t>始行</w:t>
      </w:r>
      <w:r w:rsidRPr="009C3A4B">
        <w:rPr>
          <w:rFonts w:hAnsi="標楷體"/>
          <w:color w:val="000000"/>
        </w:rPr>
        <w:t>收受（簽收）</w:t>
      </w:r>
      <w:r>
        <w:rPr>
          <w:rFonts w:hAnsi="標楷體" w:hint="eastAsia"/>
          <w:color w:val="000000"/>
        </w:rPr>
        <w:t>；</w:t>
      </w:r>
      <w:r w:rsidRPr="009C3A4B">
        <w:rPr>
          <w:rFonts w:hAnsi="標楷體" w:hint="eastAsia"/>
          <w:color w:val="000000"/>
        </w:rPr>
        <w:t>長時間</w:t>
      </w:r>
      <w:r w:rsidRPr="009C3A4B">
        <w:rPr>
          <w:rFonts w:hAnsi="標楷體"/>
          <w:color w:val="000000"/>
        </w:rPr>
        <w:t>差假（</w:t>
      </w:r>
      <w:r w:rsidRPr="009C3A4B">
        <w:rPr>
          <w:rFonts w:hAnsi="標楷體" w:hint="eastAsia"/>
          <w:color w:val="000000"/>
        </w:rPr>
        <w:t>婚、喪假</w:t>
      </w:r>
      <w:r w:rsidRPr="009C3A4B">
        <w:rPr>
          <w:rFonts w:hAnsi="標楷體"/>
          <w:color w:val="000000"/>
        </w:rPr>
        <w:t>）</w:t>
      </w:r>
      <w:r w:rsidRPr="009C3A4B">
        <w:rPr>
          <w:rFonts w:hAnsi="標楷體" w:hint="eastAsia"/>
          <w:color w:val="000000"/>
        </w:rPr>
        <w:t>、受訓等情事，</w:t>
      </w:r>
      <w:r w:rsidRPr="009C3A4B">
        <w:rPr>
          <w:rFonts w:hAnsi="標楷體"/>
          <w:color w:val="000000"/>
        </w:rPr>
        <w:t>不在辦公處所</w:t>
      </w:r>
      <w:r w:rsidRPr="009C3A4B">
        <w:rPr>
          <w:rFonts w:hAnsi="標楷體" w:hint="eastAsia"/>
          <w:color w:val="000000"/>
        </w:rPr>
        <w:t>，則由代理人</w:t>
      </w:r>
      <w:r w:rsidRPr="009C3A4B">
        <w:rPr>
          <w:rFonts w:hAnsi="標楷體"/>
          <w:color w:val="000000"/>
        </w:rPr>
        <w:t>收受（簽收）</w:t>
      </w:r>
      <w:r w:rsidRPr="009C3A4B">
        <w:rPr>
          <w:rFonts w:hAnsi="標楷體" w:hint="eastAsia"/>
          <w:color w:val="000000"/>
        </w:rPr>
        <w:t>。</w:t>
      </w:r>
      <w:r>
        <w:rPr>
          <w:rFonts w:hAnsi="標楷體" w:hint="eastAsia"/>
          <w:color w:val="000000"/>
        </w:rPr>
        <w:t>即不論</w:t>
      </w:r>
      <w:r w:rsidRPr="009C3A4B">
        <w:rPr>
          <w:rFonts w:hAnsi="標楷體" w:hint="eastAsia"/>
          <w:color w:val="000000"/>
        </w:rPr>
        <w:t>承辦檢察官一時</w:t>
      </w:r>
      <w:r>
        <w:rPr>
          <w:rFonts w:hAnsi="標楷體" w:hint="eastAsia"/>
          <w:color w:val="000000"/>
        </w:rPr>
        <w:t>或長時間（</w:t>
      </w:r>
      <w:r w:rsidRPr="009C3A4B">
        <w:rPr>
          <w:rFonts w:hAnsi="標楷體" w:hint="eastAsia"/>
          <w:color w:val="000000"/>
        </w:rPr>
        <w:t>卻由代理人代為</w:t>
      </w:r>
      <w:r>
        <w:rPr>
          <w:rFonts w:hAnsi="標楷體" w:hint="eastAsia"/>
          <w:color w:val="000000"/>
        </w:rPr>
        <w:t>）</w:t>
      </w:r>
      <w:r w:rsidRPr="009C3A4B">
        <w:rPr>
          <w:rFonts w:hAnsi="標楷體"/>
          <w:color w:val="000000"/>
        </w:rPr>
        <w:t>不能收受</w:t>
      </w:r>
      <w:r w:rsidRPr="009C3A4B">
        <w:rPr>
          <w:rFonts w:hAnsi="標楷體" w:hint="eastAsia"/>
          <w:color w:val="000000"/>
        </w:rPr>
        <w:t>判決書</w:t>
      </w:r>
      <w:r w:rsidRPr="00FF16E2">
        <w:rPr>
          <w:rFonts w:hAnsi="標楷體" w:hint="eastAsia"/>
        </w:rPr>
        <w:t>，</w:t>
      </w:r>
      <w:r>
        <w:rPr>
          <w:rFonts w:hAnsi="標楷體" w:hint="eastAsia"/>
        </w:rPr>
        <w:t>未依</w:t>
      </w:r>
      <w:r w:rsidRPr="009C3A4B">
        <w:rPr>
          <w:rFonts w:hAnsi="標楷體" w:hint="eastAsia"/>
          <w:color w:val="000000"/>
        </w:rPr>
        <w:t>刑事訴訟法第五十八條規定</w:t>
      </w:r>
      <w:r>
        <w:rPr>
          <w:rFonts w:hAnsi="標楷體" w:hint="eastAsia"/>
          <w:color w:val="000000"/>
        </w:rPr>
        <w:t>，</w:t>
      </w:r>
      <w:r w:rsidRPr="00FF16E2">
        <w:rPr>
          <w:rFonts w:hAnsi="標楷體" w:hint="eastAsia"/>
        </w:rPr>
        <w:t>向檢察長為之</w:t>
      </w:r>
      <w:r w:rsidRPr="009C3A4B">
        <w:rPr>
          <w:rFonts w:hAnsi="標楷體" w:hint="eastAsia"/>
          <w:color w:val="000000"/>
        </w:rPr>
        <w:t>。</w:t>
      </w:r>
      <w:r>
        <w:rPr>
          <w:rFonts w:hint="eastAsia"/>
        </w:rPr>
        <w:t>顯見</w:t>
      </w:r>
      <w:r w:rsidRPr="009C3A4B">
        <w:rPr>
          <w:rFonts w:hAnsi="標楷體" w:hint="eastAsia"/>
          <w:color w:val="000000"/>
        </w:rPr>
        <w:t>所有檢察機關之上級法務部多年來</w:t>
      </w:r>
      <w:r>
        <w:rPr>
          <w:rFonts w:hAnsi="標楷體" w:hint="eastAsia"/>
          <w:color w:val="000000"/>
        </w:rPr>
        <w:t>，</w:t>
      </w:r>
      <w:r>
        <w:rPr>
          <w:rFonts w:hint="eastAsia"/>
        </w:rPr>
        <w:t>對於檢察官收受</w:t>
      </w:r>
      <w:r w:rsidRPr="009C3A4B">
        <w:rPr>
          <w:rFonts w:hint="eastAsia"/>
          <w:color w:val="000000"/>
        </w:rPr>
        <w:t>判決書</w:t>
      </w:r>
      <w:r>
        <w:rPr>
          <w:rFonts w:hint="eastAsia"/>
        </w:rPr>
        <w:t>之</w:t>
      </w:r>
      <w:r>
        <w:rPr>
          <w:rFonts w:hint="eastAsia"/>
          <w:color w:val="000000"/>
        </w:rPr>
        <w:t>方式及時點認定，未謀澈底解決之道</w:t>
      </w:r>
      <w:r w:rsidRPr="009C3A4B">
        <w:rPr>
          <w:rFonts w:hint="eastAsia"/>
          <w:color w:val="000000"/>
        </w:rPr>
        <w:t>，</w:t>
      </w:r>
      <w:r>
        <w:rPr>
          <w:rFonts w:hint="eastAsia"/>
          <w:color w:val="000000"/>
        </w:rPr>
        <w:t>迭生爭議，侵害人民訴訟權益，</w:t>
      </w:r>
      <w:r>
        <w:rPr>
          <w:rFonts w:hint="eastAsia"/>
        </w:rPr>
        <w:t>違法及失職，至為顯著</w:t>
      </w:r>
      <w:r w:rsidRPr="009C3A4B">
        <w:rPr>
          <w:rFonts w:hAnsi="標楷體" w:hint="eastAsia"/>
          <w:color w:val="000000"/>
        </w:rPr>
        <w:t>。</w:t>
      </w:r>
    </w:p>
    <w:p w:rsidR="00F0763D" w:rsidRDefault="00F0763D">
      <w:pPr>
        <w:pStyle w:val="20"/>
        <w:ind w:leftChars="200" w:left="680" w:firstLine="680"/>
        <w:rPr>
          <w:bCs/>
        </w:rPr>
      </w:pPr>
      <w:bookmarkStart w:id="58" w:name="_Toc524895648"/>
      <w:bookmarkStart w:id="59" w:name="_Toc524896194"/>
      <w:bookmarkStart w:id="60" w:name="_Toc524896224"/>
      <w:bookmarkStart w:id="61" w:name="_Toc524902734"/>
      <w:bookmarkStart w:id="62" w:name="_Toc525066148"/>
      <w:bookmarkStart w:id="63" w:name="_Toc525070839"/>
      <w:bookmarkStart w:id="64" w:name="_Toc525938379"/>
      <w:bookmarkStart w:id="65" w:name="_Toc525939227"/>
      <w:bookmarkStart w:id="66" w:name="_Toc525939732"/>
      <w:bookmarkStart w:id="67" w:name="_Toc529218272"/>
      <w:bookmarkStart w:id="68" w:name="_Toc529222689"/>
      <w:bookmarkStart w:id="69" w:name="_Toc529223111"/>
      <w:bookmarkStart w:id="70" w:name="_Toc529223862"/>
      <w:bookmarkStart w:id="71" w:name="_Toc529228265"/>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Pr>
          <w:rFonts w:hint="eastAsia"/>
          <w:bCs/>
        </w:rPr>
        <w:t>綜上所述，</w:t>
      </w:r>
      <w:r w:rsidR="00252B8C">
        <w:rPr>
          <w:rFonts w:hAnsi="標楷體" w:hint="eastAsia"/>
          <w:color w:val="000000"/>
        </w:rPr>
        <w:t>法務部</w:t>
      </w:r>
      <w:r w:rsidR="00AC6A6D">
        <w:rPr>
          <w:rFonts w:hAnsi="標楷體" w:hint="eastAsia"/>
          <w:color w:val="000000"/>
        </w:rPr>
        <w:t>未善盡監督</w:t>
      </w:r>
      <w:r w:rsidR="00252B8C">
        <w:rPr>
          <w:rFonts w:hAnsi="標楷體" w:hint="eastAsia"/>
          <w:color w:val="000000"/>
        </w:rPr>
        <w:t>所屬各檢察機關依</w:t>
      </w:r>
      <w:r w:rsidR="00252B8C" w:rsidRPr="00FF16E2">
        <w:rPr>
          <w:rFonts w:hAnsi="標楷體" w:hint="eastAsia"/>
          <w:color w:val="000000"/>
        </w:rPr>
        <w:t>刑事訴訟法第</w:t>
      </w:r>
      <w:r w:rsidR="00252B8C">
        <w:rPr>
          <w:rFonts w:hAnsi="標楷體" w:hint="eastAsia"/>
          <w:color w:val="000000"/>
        </w:rPr>
        <w:t>五十八</w:t>
      </w:r>
      <w:r w:rsidR="00252B8C" w:rsidRPr="00FF16E2">
        <w:rPr>
          <w:rFonts w:hAnsi="標楷體" w:hint="eastAsia"/>
          <w:color w:val="000000"/>
        </w:rPr>
        <w:t>條規定</w:t>
      </w:r>
      <w:r w:rsidR="00252B8C">
        <w:rPr>
          <w:rFonts w:hAnsi="標楷體" w:hint="eastAsia"/>
          <w:color w:val="000000"/>
        </w:rPr>
        <w:t>，</w:t>
      </w:r>
      <w:r w:rsidR="00252B8C" w:rsidRPr="00FF16E2">
        <w:rPr>
          <w:rFonts w:hAnsi="標楷體" w:hint="eastAsia"/>
          <w:color w:val="000000"/>
        </w:rPr>
        <w:t>對於檢察官之送達，應向承辦檢察官為之；承辦檢察官不在辦公處所時，向首席檢察官（即檢察長）為之</w:t>
      </w:r>
      <w:r w:rsidR="00252B8C">
        <w:rPr>
          <w:rFonts w:hAnsi="標楷體" w:hint="eastAsia"/>
          <w:color w:val="000000"/>
        </w:rPr>
        <w:t>，</w:t>
      </w:r>
      <w:r w:rsidR="00AC6A6D">
        <w:rPr>
          <w:rFonts w:hint="eastAsia"/>
          <w:color w:val="000000"/>
        </w:rPr>
        <w:t>迭生爭議，侵害人民訴訟權益，</w:t>
      </w:r>
      <w:r w:rsidR="00AC6A6D">
        <w:rPr>
          <w:rFonts w:hint="eastAsia"/>
        </w:rPr>
        <w:t>顯有違法及失職</w:t>
      </w:r>
      <w:r w:rsidR="00252B8C">
        <w:rPr>
          <w:rFonts w:hAnsi="標楷體" w:hint="eastAsia"/>
          <w:color w:val="000000"/>
        </w:rPr>
        <w:t>。</w:t>
      </w:r>
      <w:r>
        <w:rPr>
          <w:rFonts w:ascii="Times New Roman" w:hint="eastAsia"/>
        </w:rPr>
        <w:t>爰依監察法第</w:t>
      </w:r>
      <w:r w:rsidR="00E966EB">
        <w:rPr>
          <w:rFonts w:ascii="Times New Roman" w:hint="eastAsia"/>
        </w:rPr>
        <w:t>二十四</w:t>
      </w:r>
      <w:r>
        <w:rPr>
          <w:rFonts w:ascii="Times New Roman" w:hint="eastAsia"/>
        </w:rPr>
        <w:t>條提案糾正，移送行政院轉飭所屬確實檢討改進見復。</w:t>
      </w:r>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F0763D" w:rsidRDefault="00F0763D">
      <w:pPr>
        <w:pStyle w:val="20"/>
        <w:ind w:leftChars="200" w:left="680" w:firstLine="680"/>
        <w:rPr>
          <w:bCs/>
        </w:rPr>
      </w:pPr>
    </w:p>
    <w:sectPr w:rsidR="00F0763D" w:rsidSect="00031166">
      <w:footerReference w:type="even" r:id="rId7"/>
      <w:footerReference w:type="default" r:id="rId8"/>
      <w:pgSz w:w="11907" w:h="16840" w:code="9"/>
      <w:pgMar w:top="1369"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1C7" w:rsidRDefault="005151C7">
      <w:r>
        <w:separator/>
      </w:r>
    </w:p>
  </w:endnote>
  <w:endnote w:type="continuationSeparator" w:id="0">
    <w:p w:rsidR="005151C7" w:rsidRDefault="005151C7">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63D" w:rsidRDefault="00031166">
    <w:pPr>
      <w:framePr w:wrap="around" w:vAnchor="text" w:hAnchor="margin" w:xAlign="center" w:y="1"/>
      <w:ind w:left="640" w:firstLine="400"/>
      <w:textDirection w:val="btLr"/>
      <w:rPr>
        <w:rStyle w:val="a7"/>
      </w:rPr>
    </w:pPr>
    <w:r>
      <w:rPr>
        <w:rStyle w:val="a7"/>
      </w:rPr>
      <w:fldChar w:fldCharType="begin"/>
    </w:r>
    <w:r w:rsidR="00F0763D">
      <w:rPr>
        <w:rStyle w:val="a7"/>
      </w:rPr>
      <w:instrText xml:space="preserve">PAGE  </w:instrText>
    </w:r>
    <w:r>
      <w:rPr>
        <w:rStyle w:val="a7"/>
      </w:rPr>
      <w:fldChar w:fldCharType="separate"/>
    </w:r>
    <w:r w:rsidR="00F0763D">
      <w:rPr>
        <w:rStyle w:val="a7"/>
        <w:noProof/>
      </w:rPr>
      <w:t>3</w:t>
    </w:r>
    <w:r>
      <w:rPr>
        <w:rStyle w:val="a7"/>
      </w:rPr>
      <w:fldChar w:fldCharType="end"/>
    </w:r>
  </w:p>
  <w:p w:rsidR="00F0763D" w:rsidRDefault="00F0763D">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63D" w:rsidRDefault="00031166">
    <w:pPr>
      <w:pStyle w:val="aa"/>
      <w:framePr w:wrap="around" w:vAnchor="text" w:hAnchor="margin" w:xAlign="center" w:y="1"/>
      <w:rPr>
        <w:rStyle w:val="a7"/>
        <w:sz w:val="24"/>
      </w:rPr>
    </w:pPr>
    <w:r>
      <w:rPr>
        <w:rStyle w:val="a7"/>
        <w:sz w:val="24"/>
      </w:rPr>
      <w:fldChar w:fldCharType="begin"/>
    </w:r>
    <w:r w:rsidR="00F0763D">
      <w:rPr>
        <w:rStyle w:val="a7"/>
        <w:sz w:val="24"/>
      </w:rPr>
      <w:instrText xml:space="preserve">PAGE  </w:instrText>
    </w:r>
    <w:r>
      <w:rPr>
        <w:rStyle w:val="a7"/>
        <w:sz w:val="24"/>
      </w:rPr>
      <w:fldChar w:fldCharType="separate"/>
    </w:r>
    <w:r w:rsidR="00A17228">
      <w:rPr>
        <w:rStyle w:val="a7"/>
        <w:noProof/>
        <w:sz w:val="24"/>
      </w:rPr>
      <w:t>5</w:t>
    </w:r>
    <w:r>
      <w:rPr>
        <w:rStyle w:val="a7"/>
        <w:sz w:val="24"/>
      </w:rPr>
      <w:fldChar w:fldCharType="end"/>
    </w:r>
  </w:p>
  <w:p w:rsidR="00F0763D" w:rsidRDefault="00F0763D">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1C7" w:rsidRDefault="005151C7">
      <w:r>
        <w:separator/>
      </w:r>
    </w:p>
  </w:footnote>
  <w:footnote w:type="continuationSeparator" w:id="0">
    <w:p w:rsidR="005151C7" w:rsidRDefault="005151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F73027"/>
    <w:rsid w:val="00017E59"/>
    <w:rsid w:val="00031166"/>
    <w:rsid w:val="000A0DC0"/>
    <w:rsid w:val="00120457"/>
    <w:rsid w:val="00156619"/>
    <w:rsid w:val="00196ED8"/>
    <w:rsid w:val="001E6D10"/>
    <w:rsid w:val="001F1121"/>
    <w:rsid w:val="00206855"/>
    <w:rsid w:val="00252B8C"/>
    <w:rsid w:val="002B0048"/>
    <w:rsid w:val="005151C7"/>
    <w:rsid w:val="00581070"/>
    <w:rsid w:val="00665541"/>
    <w:rsid w:val="00A17228"/>
    <w:rsid w:val="00A268FA"/>
    <w:rsid w:val="00AC6A6D"/>
    <w:rsid w:val="00B4616F"/>
    <w:rsid w:val="00B46CB4"/>
    <w:rsid w:val="00B55653"/>
    <w:rsid w:val="00CA2E40"/>
    <w:rsid w:val="00D77BD2"/>
    <w:rsid w:val="00E966EB"/>
    <w:rsid w:val="00F0763D"/>
    <w:rsid w:val="00F53DC7"/>
    <w:rsid w:val="00F7302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31166"/>
    <w:pPr>
      <w:widowControl w:val="0"/>
    </w:pPr>
    <w:rPr>
      <w:rFonts w:eastAsia="標楷體"/>
      <w:kern w:val="2"/>
      <w:sz w:val="32"/>
    </w:rPr>
  </w:style>
  <w:style w:type="paragraph" w:styleId="1">
    <w:name w:val="heading 1"/>
    <w:basedOn w:val="a1"/>
    <w:qFormat/>
    <w:rsid w:val="00031166"/>
    <w:pPr>
      <w:numPr>
        <w:numId w:val="1"/>
      </w:numPr>
      <w:kinsoku w:val="0"/>
      <w:ind w:left="800" w:hangingChars="800" w:hanging="800"/>
      <w:jc w:val="both"/>
      <w:outlineLvl w:val="0"/>
    </w:pPr>
    <w:rPr>
      <w:rFonts w:ascii="標楷體" w:hAnsi="Arial"/>
      <w:bCs/>
      <w:kern w:val="0"/>
      <w:szCs w:val="52"/>
    </w:rPr>
  </w:style>
  <w:style w:type="paragraph" w:styleId="2">
    <w:name w:val="heading 2"/>
    <w:basedOn w:val="a1"/>
    <w:qFormat/>
    <w:rsid w:val="00031166"/>
    <w:pPr>
      <w:numPr>
        <w:ilvl w:val="1"/>
        <w:numId w:val="1"/>
      </w:numPr>
      <w:jc w:val="both"/>
      <w:outlineLvl w:val="1"/>
    </w:pPr>
    <w:rPr>
      <w:rFonts w:ascii="標楷體" w:hAnsi="Arial"/>
      <w:bCs/>
      <w:kern w:val="0"/>
      <w:szCs w:val="48"/>
    </w:rPr>
  </w:style>
  <w:style w:type="paragraph" w:styleId="3">
    <w:name w:val="heading 3"/>
    <w:basedOn w:val="a1"/>
    <w:qFormat/>
    <w:rsid w:val="00031166"/>
    <w:pPr>
      <w:numPr>
        <w:ilvl w:val="2"/>
        <w:numId w:val="1"/>
      </w:numPr>
      <w:jc w:val="both"/>
      <w:outlineLvl w:val="2"/>
    </w:pPr>
    <w:rPr>
      <w:rFonts w:ascii="標楷體" w:hAnsi="Arial"/>
      <w:bCs/>
      <w:kern w:val="0"/>
      <w:szCs w:val="36"/>
    </w:rPr>
  </w:style>
  <w:style w:type="paragraph" w:styleId="4">
    <w:name w:val="heading 4"/>
    <w:basedOn w:val="a1"/>
    <w:qFormat/>
    <w:rsid w:val="00031166"/>
    <w:pPr>
      <w:numPr>
        <w:ilvl w:val="3"/>
        <w:numId w:val="1"/>
      </w:numPr>
      <w:jc w:val="both"/>
      <w:outlineLvl w:val="3"/>
    </w:pPr>
    <w:rPr>
      <w:rFonts w:ascii="標楷體" w:hAnsi="Arial"/>
      <w:szCs w:val="36"/>
    </w:rPr>
  </w:style>
  <w:style w:type="paragraph" w:styleId="5">
    <w:name w:val="heading 5"/>
    <w:basedOn w:val="a1"/>
    <w:qFormat/>
    <w:rsid w:val="00031166"/>
    <w:pPr>
      <w:numPr>
        <w:ilvl w:val="4"/>
        <w:numId w:val="1"/>
      </w:numPr>
      <w:jc w:val="both"/>
      <w:outlineLvl w:val="4"/>
    </w:pPr>
    <w:rPr>
      <w:rFonts w:ascii="標楷體" w:hAnsi="Arial"/>
      <w:bCs/>
      <w:szCs w:val="36"/>
    </w:rPr>
  </w:style>
  <w:style w:type="paragraph" w:styleId="6">
    <w:name w:val="heading 6"/>
    <w:basedOn w:val="a1"/>
    <w:qFormat/>
    <w:rsid w:val="00031166"/>
    <w:pPr>
      <w:numPr>
        <w:ilvl w:val="5"/>
        <w:numId w:val="1"/>
      </w:numPr>
      <w:tabs>
        <w:tab w:val="left" w:pos="2094"/>
      </w:tabs>
      <w:jc w:val="both"/>
      <w:outlineLvl w:val="5"/>
    </w:pPr>
    <w:rPr>
      <w:rFonts w:ascii="標楷體" w:hAnsi="Arial"/>
      <w:szCs w:val="36"/>
    </w:rPr>
  </w:style>
  <w:style w:type="paragraph" w:styleId="7">
    <w:name w:val="heading 7"/>
    <w:basedOn w:val="a1"/>
    <w:qFormat/>
    <w:rsid w:val="00031166"/>
    <w:pPr>
      <w:numPr>
        <w:ilvl w:val="6"/>
        <w:numId w:val="1"/>
      </w:numPr>
      <w:jc w:val="both"/>
      <w:outlineLvl w:val="6"/>
    </w:pPr>
    <w:rPr>
      <w:rFonts w:ascii="標楷體" w:hAnsi="Arial"/>
      <w:bCs/>
      <w:szCs w:val="36"/>
    </w:rPr>
  </w:style>
  <w:style w:type="paragraph" w:styleId="8">
    <w:name w:val="heading 8"/>
    <w:basedOn w:val="a1"/>
    <w:qFormat/>
    <w:rsid w:val="00031166"/>
    <w:pPr>
      <w:numPr>
        <w:ilvl w:val="7"/>
        <w:numId w:val="1"/>
      </w:numPr>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30">
    <w:name w:val="段落樣式3"/>
    <w:basedOn w:val="20"/>
    <w:rsid w:val="00031166"/>
    <w:pPr>
      <w:ind w:leftChars="400" w:left="400"/>
    </w:pPr>
  </w:style>
  <w:style w:type="paragraph" w:customStyle="1" w:styleId="20">
    <w:name w:val="段落樣式2"/>
    <w:basedOn w:val="a1"/>
    <w:rsid w:val="00031166"/>
    <w:pPr>
      <w:tabs>
        <w:tab w:val="left" w:pos="567"/>
      </w:tabs>
      <w:ind w:leftChars="300" w:left="300" w:firstLineChars="200" w:firstLine="200"/>
      <w:jc w:val="both"/>
    </w:pPr>
    <w:rPr>
      <w:rFonts w:ascii="標楷體"/>
      <w:kern w:val="0"/>
    </w:rPr>
  </w:style>
  <w:style w:type="paragraph" w:customStyle="1" w:styleId="40">
    <w:name w:val="段落樣式4"/>
    <w:basedOn w:val="30"/>
    <w:rsid w:val="00031166"/>
    <w:pPr>
      <w:ind w:leftChars="500" w:left="500"/>
    </w:pPr>
  </w:style>
  <w:style w:type="paragraph" w:customStyle="1" w:styleId="50">
    <w:name w:val="段落樣式5"/>
    <w:basedOn w:val="40"/>
    <w:rsid w:val="00031166"/>
    <w:pPr>
      <w:ind w:leftChars="600" w:left="600"/>
    </w:pPr>
  </w:style>
  <w:style w:type="paragraph" w:customStyle="1" w:styleId="60">
    <w:name w:val="段落樣式6"/>
    <w:basedOn w:val="50"/>
    <w:rsid w:val="00031166"/>
    <w:pPr>
      <w:ind w:leftChars="700" w:left="700"/>
    </w:pPr>
  </w:style>
  <w:style w:type="paragraph" w:customStyle="1" w:styleId="70">
    <w:name w:val="段落樣式7"/>
    <w:basedOn w:val="60"/>
    <w:rsid w:val="00031166"/>
  </w:style>
  <w:style w:type="paragraph" w:customStyle="1" w:styleId="80">
    <w:name w:val="段落樣式8"/>
    <w:basedOn w:val="70"/>
    <w:rsid w:val="00031166"/>
    <w:pPr>
      <w:ind w:leftChars="800" w:left="800"/>
    </w:pPr>
  </w:style>
  <w:style w:type="paragraph" w:styleId="a5">
    <w:name w:val="Signature"/>
    <w:basedOn w:val="a1"/>
    <w:semiHidden/>
    <w:rsid w:val="00031166"/>
    <w:pPr>
      <w:spacing w:before="720" w:after="720"/>
      <w:ind w:left="7371"/>
    </w:pPr>
    <w:rPr>
      <w:rFonts w:ascii="標楷體"/>
      <w:b/>
      <w:snapToGrid w:val="0"/>
      <w:spacing w:val="10"/>
      <w:sz w:val="36"/>
    </w:rPr>
  </w:style>
  <w:style w:type="paragraph" w:styleId="a6">
    <w:name w:val="endnote text"/>
    <w:basedOn w:val="a1"/>
    <w:semiHidden/>
    <w:rsid w:val="00031166"/>
    <w:pPr>
      <w:spacing w:before="240"/>
      <w:ind w:left="1021" w:hanging="1021"/>
      <w:jc w:val="both"/>
    </w:pPr>
    <w:rPr>
      <w:rFonts w:ascii="標楷體"/>
      <w:snapToGrid w:val="0"/>
      <w:spacing w:val="10"/>
    </w:rPr>
  </w:style>
  <w:style w:type="character" w:styleId="a7">
    <w:name w:val="page number"/>
    <w:basedOn w:val="a2"/>
    <w:semiHidden/>
    <w:rsid w:val="00031166"/>
    <w:rPr>
      <w:rFonts w:ascii="標楷體" w:eastAsia="標楷體"/>
      <w:sz w:val="20"/>
    </w:rPr>
  </w:style>
  <w:style w:type="paragraph" w:styleId="10">
    <w:name w:val="toc 1"/>
    <w:basedOn w:val="a1"/>
    <w:next w:val="a1"/>
    <w:semiHidden/>
    <w:rsid w:val="00031166"/>
    <w:pPr>
      <w:ind w:left="200" w:hangingChars="200" w:hanging="200"/>
      <w:jc w:val="both"/>
    </w:pPr>
    <w:rPr>
      <w:rFonts w:ascii="標楷體"/>
    </w:rPr>
  </w:style>
  <w:style w:type="paragraph" w:styleId="21">
    <w:name w:val="toc 2"/>
    <w:basedOn w:val="a1"/>
    <w:next w:val="a1"/>
    <w:autoRedefine/>
    <w:semiHidden/>
    <w:rsid w:val="00031166"/>
    <w:pPr>
      <w:ind w:leftChars="100" w:left="300" w:hangingChars="200" w:hanging="200"/>
      <w:jc w:val="both"/>
    </w:pPr>
    <w:rPr>
      <w:rFonts w:ascii="標楷體"/>
    </w:rPr>
  </w:style>
  <w:style w:type="paragraph" w:styleId="31">
    <w:name w:val="toc 3"/>
    <w:basedOn w:val="a1"/>
    <w:next w:val="a1"/>
    <w:semiHidden/>
    <w:rsid w:val="00031166"/>
    <w:pPr>
      <w:ind w:leftChars="200" w:left="400" w:hangingChars="200" w:hanging="200"/>
      <w:jc w:val="both"/>
    </w:pPr>
    <w:rPr>
      <w:rFonts w:ascii="標楷體"/>
      <w:noProof/>
    </w:rPr>
  </w:style>
  <w:style w:type="paragraph" w:styleId="41">
    <w:name w:val="toc 4"/>
    <w:basedOn w:val="a1"/>
    <w:next w:val="a1"/>
    <w:semiHidden/>
    <w:rsid w:val="00031166"/>
    <w:pPr>
      <w:kinsoku w:val="0"/>
      <w:ind w:leftChars="300" w:left="500" w:hangingChars="200" w:hanging="200"/>
      <w:jc w:val="both"/>
    </w:pPr>
    <w:rPr>
      <w:rFonts w:ascii="標楷體"/>
    </w:rPr>
  </w:style>
  <w:style w:type="paragraph" w:styleId="51">
    <w:name w:val="toc 5"/>
    <w:basedOn w:val="a1"/>
    <w:next w:val="a1"/>
    <w:autoRedefine/>
    <w:semiHidden/>
    <w:rsid w:val="00031166"/>
    <w:pPr>
      <w:kinsoku w:val="0"/>
      <w:ind w:leftChars="400" w:left="600" w:hangingChars="200" w:hanging="200"/>
      <w:jc w:val="both"/>
    </w:pPr>
    <w:rPr>
      <w:rFonts w:ascii="標楷體"/>
    </w:rPr>
  </w:style>
  <w:style w:type="paragraph" w:styleId="61">
    <w:name w:val="toc 6"/>
    <w:basedOn w:val="a1"/>
    <w:next w:val="a1"/>
    <w:autoRedefine/>
    <w:semiHidden/>
    <w:rsid w:val="00031166"/>
    <w:pPr>
      <w:ind w:leftChars="500" w:left="700" w:hangingChars="200" w:hanging="200"/>
    </w:pPr>
    <w:rPr>
      <w:rFonts w:ascii="標楷體"/>
    </w:rPr>
  </w:style>
  <w:style w:type="paragraph" w:styleId="71">
    <w:name w:val="toc 7"/>
    <w:basedOn w:val="a1"/>
    <w:next w:val="a1"/>
    <w:autoRedefine/>
    <w:semiHidden/>
    <w:rsid w:val="00031166"/>
    <w:pPr>
      <w:ind w:leftChars="600" w:left="700" w:hangingChars="100" w:hanging="100"/>
    </w:pPr>
    <w:rPr>
      <w:rFonts w:ascii="標楷體"/>
    </w:rPr>
  </w:style>
  <w:style w:type="paragraph" w:styleId="81">
    <w:name w:val="toc 8"/>
    <w:basedOn w:val="a1"/>
    <w:next w:val="a1"/>
    <w:autoRedefine/>
    <w:semiHidden/>
    <w:rsid w:val="00031166"/>
    <w:pPr>
      <w:ind w:leftChars="700" w:left="2792" w:hangingChars="100" w:hanging="349"/>
    </w:pPr>
    <w:rPr>
      <w:rFonts w:ascii="標楷體"/>
    </w:rPr>
  </w:style>
  <w:style w:type="paragraph" w:styleId="9">
    <w:name w:val="toc 9"/>
    <w:basedOn w:val="a1"/>
    <w:next w:val="a1"/>
    <w:autoRedefine/>
    <w:semiHidden/>
    <w:rsid w:val="00031166"/>
    <w:pPr>
      <w:ind w:leftChars="1600" w:left="3840"/>
    </w:pPr>
  </w:style>
  <w:style w:type="character" w:styleId="a8">
    <w:name w:val="Hyperlink"/>
    <w:basedOn w:val="a2"/>
    <w:semiHidden/>
    <w:rsid w:val="00031166"/>
    <w:rPr>
      <w:color w:val="0000FF"/>
      <w:u w:val="single"/>
    </w:rPr>
  </w:style>
  <w:style w:type="paragraph" w:customStyle="1" w:styleId="11">
    <w:name w:val="段落樣式1"/>
    <w:basedOn w:val="a1"/>
    <w:rsid w:val="00031166"/>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031166"/>
    <w:pPr>
      <w:ind w:leftChars="200" w:left="200" w:firstLineChars="0" w:firstLine="0"/>
    </w:pPr>
  </w:style>
  <w:style w:type="paragraph" w:styleId="a9">
    <w:name w:val="header"/>
    <w:basedOn w:val="a1"/>
    <w:semiHidden/>
    <w:rsid w:val="00031166"/>
    <w:pPr>
      <w:tabs>
        <w:tab w:val="center" w:pos="4153"/>
        <w:tab w:val="right" w:pos="8306"/>
      </w:tabs>
      <w:snapToGrid w:val="0"/>
    </w:pPr>
    <w:rPr>
      <w:sz w:val="20"/>
    </w:rPr>
  </w:style>
  <w:style w:type="paragraph" w:styleId="aa">
    <w:name w:val="footer"/>
    <w:basedOn w:val="a1"/>
    <w:semiHidden/>
    <w:rsid w:val="00031166"/>
    <w:pPr>
      <w:tabs>
        <w:tab w:val="center" w:pos="4153"/>
        <w:tab w:val="right" w:pos="8306"/>
      </w:tabs>
      <w:snapToGrid w:val="0"/>
    </w:pPr>
    <w:rPr>
      <w:sz w:val="20"/>
    </w:rPr>
  </w:style>
  <w:style w:type="paragraph" w:customStyle="1" w:styleId="ab">
    <w:name w:val="簽名日期"/>
    <w:basedOn w:val="a1"/>
    <w:rsid w:val="00031166"/>
    <w:pPr>
      <w:kinsoku w:val="0"/>
      <w:jc w:val="distribute"/>
    </w:pPr>
    <w:rPr>
      <w:kern w:val="0"/>
    </w:rPr>
  </w:style>
  <w:style w:type="paragraph" w:customStyle="1" w:styleId="a0">
    <w:name w:val="表樣式"/>
    <w:basedOn w:val="a1"/>
    <w:next w:val="a1"/>
    <w:rsid w:val="00031166"/>
    <w:pPr>
      <w:numPr>
        <w:numId w:val="2"/>
      </w:numPr>
      <w:jc w:val="both"/>
    </w:pPr>
    <w:rPr>
      <w:rFonts w:ascii="標楷體"/>
      <w:kern w:val="0"/>
    </w:rPr>
  </w:style>
  <w:style w:type="paragraph" w:customStyle="1" w:styleId="a">
    <w:name w:val="圖樣式"/>
    <w:basedOn w:val="a1"/>
    <w:next w:val="a1"/>
    <w:rsid w:val="00031166"/>
    <w:pPr>
      <w:numPr>
        <w:numId w:val="3"/>
      </w:numPr>
      <w:tabs>
        <w:tab w:val="clear" w:pos="1440"/>
      </w:tabs>
      <w:ind w:left="400" w:hangingChars="400" w:hanging="400"/>
      <w:jc w:val="both"/>
    </w:pPr>
    <w:rPr>
      <w:rFonts w:ascii="標楷體"/>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25\Application%20Data\Microsoft\Templates\&#27243;&#24335;&#35519;&#26597;&#34920;&#21934;1\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Template>
  <TotalTime>1</TotalTime>
  <Pages>5</Pages>
  <Words>438</Words>
  <Characters>2503</Characters>
  <Application>Microsoft Office Word</Application>
  <DocSecurity>0</DocSecurity>
  <Lines>20</Lines>
  <Paragraphs>5</Paragraphs>
  <ScaleCrop>false</ScaleCrop>
  <Company>cy</Company>
  <LinksUpToDate>false</LinksUpToDate>
  <CharactersWithSpaces>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t825</dc:creator>
  <cp:lastModifiedBy>user</cp:lastModifiedBy>
  <cp:revision>3</cp:revision>
  <cp:lastPrinted>2011-01-21T02:15:00Z</cp:lastPrinted>
  <dcterms:created xsi:type="dcterms:W3CDTF">2011-01-27T03:03:00Z</dcterms:created>
  <dcterms:modified xsi:type="dcterms:W3CDTF">2011-02-09T02:47:00Z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-1918327781</vt:i4>
  </property>
  <property fmtid="{D5CDD505-2E9C-101B-9397-08002B2CF9AE}" pid="3" name="_NewReviewCycle">
    <vt:lpwstr/>
  </property>
  <property fmtid="{D5CDD505-2E9C-101B-9397-08002B2CF9AE}" pid="4" name="_EmailSubject">
    <vt:lpwstr/>
  </property>
  <property fmtid="{D5CDD505-2E9C-101B-9397-08002B2CF9AE}" pid="5" name="_AuthorEmail">
    <vt:lpwstr>celee@cy.gov.tw</vt:lpwstr>
  </property>
  <property fmtid="{D5CDD505-2E9C-101B-9397-08002B2CF9AE}" pid="6" name="_AuthorEmailDisplayName">
    <vt:lpwstr>李健二</vt:lpwstr>
  </property>
  <property fmtid="{D5CDD505-2E9C-101B-9397-08002B2CF9AE}" pid="7" name="_ReviewingToolsShownOnce">
    <vt:lpwstr/>
  </property>
</Properties>
</file>