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6C2A" w:rsidRDefault="00896C2A">
      <w:pPr>
        <w:pStyle w:val="a4"/>
        <w:kinsoku w:val="0"/>
        <w:spacing w:before="0"/>
        <w:ind w:leftChars="700" w:left="2381" w:firstLine="0"/>
        <w:rPr>
          <w:bCs/>
          <w:snapToGrid/>
          <w:kern w:val="0"/>
          <w:sz w:val="40"/>
        </w:rPr>
      </w:pPr>
      <w:r>
        <w:rPr>
          <w:rFonts w:hint="eastAsia"/>
          <w:bCs/>
          <w:snapToGrid/>
          <w:spacing w:val="200"/>
          <w:kern w:val="0"/>
          <w:sz w:val="40"/>
        </w:rPr>
        <w:t>糾正案文</w:t>
      </w:r>
    </w:p>
    <w:p w:rsidR="00896C2A" w:rsidRDefault="00896C2A">
      <w:pPr>
        <w:pStyle w:val="1"/>
        <w:ind w:left="2721" w:hanging="2721"/>
      </w:pPr>
      <w:bookmarkStart w:id="0" w:name="_Toc529218254"/>
      <w:bookmarkStart w:id="1" w:name="_Toc529222677"/>
      <w:bookmarkStart w:id="2" w:name="_Toc529223099"/>
      <w:bookmarkStart w:id="3" w:name="_Toc529223850"/>
      <w:bookmarkStart w:id="4" w:name="_Toc529228246"/>
      <w:bookmarkStart w:id="5" w:name="_Toc524895636"/>
      <w:bookmarkStart w:id="6" w:name="_Toc524896182"/>
      <w:bookmarkStart w:id="7" w:name="_Toc524896212"/>
      <w:bookmarkStart w:id="8" w:name="_Toc524902718"/>
      <w:bookmarkStart w:id="9" w:name="_Toc525066137"/>
      <w:bookmarkStart w:id="10" w:name="_Toc525070827"/>
      <w:bookmarkStart w:id="11" w:name="_Toc525938367"/>
      <w:bookmarkStart w:id="12" w:name="_Toc525939215"/>
      <w:bookmarkStart w:id="13" w:name="_Toc525939720"/>
      <w:r>
        <w:rPr>
          <w:rFonts w:hint="eastAsia"/>
        </w:rPr>
        <w:t>被糾正機關：</w:t>
      </w:r>
      <w:bookmarkEnd w:id="0"/>
      <w:bookmarkEnd w:id="1"/>
      <w:bookmarkEnd w:id="2"/>
      <w:bookmarkEnd w:id="3"/>
      <w:bookmarkEnd w:id="4"/>
      <w:bookmarkEnd w:id="5"/>
      <w:bookmarkEnd w:id="6"/>
      <w:bookmarkEnd w:id="7"/>
      <w:bookmarkEnd w:id="8"/>
      <w:bookmarkEnd w:id="9"/>
      <w:bookmarkEnd w:id="10"/>
      <w:bookmarkEnd w:id="11"/>
      <w:bookmarkEnd w:id="12"/>
      <w:bookmarkEnd w:id="13"/>
      <w:r w:rsidR="00D967BB" w:rsidRPr="001A197C">
        <w:rPr>
          <w:rFonts w:hAnsi="標楷體" w:hint="eastAsia"/>
          <w:color w:val="000000"/>
        </w:rPr>
        <w:t>財政部暨所屬國有財產局</w:t>
      </w:r>
      <w:r>
        <w:rPr>
          <w:rFonts w:hint="eastAsia"/>
        </w:rPr>
        <w:t>。</w:t>
      </w:r>
    </w:p>
    <w:p w:rsidR="00896C2A" w:rsidRDefault="00896C2A">
      <w:pPr>
        <w:pStyle w:val="1"/>
        <w:ind w:left="2721" w:hanging="2721"/>
      </w:pPr>
      <w:bookmarkStart w:id="14" w:name="_Toc529218255"/>
      <w:bookmarkStart w:id="15" w:name="_Toc529222678"/>
      <w:bookmarkStart w:id="16" w:name="_Toc529223100"/>
      <w:bookmarkStart w:id="17" w:name="_Toc529223851"/>
      <w:bookmarkStart w:id="18" w:name="_Toc529228247"/>
      <w:r>
        <w:rPr>
          <w:rFonts w:hint="eastAsia"/>
        </w:rPr>
        <w:t>案　　　由：</w:t>
      </w:r>
      <w:r w:rsidR="00D967BB" w:rsidRPr="001A197C">
        <w:rPr>
          <w:rFonts w:hAnsi="標楷體" w:hint="eastAsia"/>
          <w:color w:val="000000"/>
        </w:rPr>
        <w:t>財政部暨所屬國有財產局經管國有非公用土地，主要以出售土地方式挹注財政收入，未能秉持永續經營理念，謀求國有土地利用效率及公義之平衡，更造成部分國有土地出售後，遭長期囤積等待</w:t>
      </w:r>
      <w:r w:rsidR="00D967BB" w:rsidRPr="001A197C">
        <w:rPr>
          <w:rFonts w:hAnsi="標楷體" w:hint="eastAsia"/>
          <w:bCs w:val="0"/>
          <w:color w:val="000000"/>
        </w:rPr>
        <w:t>價格上漲後再推案，或直接交易土地</w:t>
      </w:r>
      <w:r w:rsidR="00D967BB" w:rsidRPr="001A197C">
        <w:rPr>
          <w:rFonts w:hAnsi="標楷體" w:hint="eastAsia"/>
          <w:color w:val="000000"/>
        </w:rPr>
        <w:t>獲利，</w:t>
      </w:r>
      <w:r w:rsidR="00D967BB">
        <w:rPr>
          <w:rFonts w:hAnsi="標楷體" w:hint="eastAsia"/>
          <w:color w:val="000000"/>
        </w:rPr>
        <w:t>核</w:t>
      </w:r>
      <w:r w:rsidR="00D967BB" w:rsidRPr="001A197C">
        <w:rPr>
          <w:rFonts w:hAnsi="標楷體" w:hint="eastAsia"/>
          <w:color w:val="000000"/>
        </w:rPr>
        <w:t>有未善盡經營管理之責</w:t>
      </w:r>
      <w:r w:rsidR="005F2B5E" w:rsidRPr="005F2B5E">
        <w:rPr>
          <w:rFonts w:hint="eastAsia"/>
        </w:rPr>
        <w:t>，爰依</w:t>
      </w:r>
      <w:r w:rsidR="00BE01F6">
        <w:rPr>
          <w:rFonts w:hint="eastAsia"/>
        </w:rPr>
        <w:t>法</w:t>
      </w:r>
      <w:r w:rsidR="005F2B5E" w:rsidRPr="005F2B5E">
        <w:rPr>
          <w:rFonts w:hint="eastAsia"/>
        </w:rPr>
        <w:t>提案糾正</w:t>
      </w:r>
      <w:r w:rsidR="00730A89">
        <w:rPr>
          <w:rFonts w:hint="eastAsia"/>
          <w:noProof/>
          <w:color w:val="000000"/>
        </w:rPr>
        <w:t>。</w:t>
      </w:r>
      <w:bookmarkEnd w:id="14"/>
      <w:bookmarkEnd w:id="15"/>
      <w:bookmarkEnd w:id="16"/>
      <w:bookmarkEnd w:id="17"/>
      <w:bookmarkEnd w:id="18"/>
    </w:p>
    <w:p w:rsidR="00896C2A" w:rsidRDefault="00896C2A">
      <w:pPr>
        <w:pStyle w:val="1"/>
        <w:ind w:left="2381" w:hangingChars="700" w:hanging="2381"/>
      </w:pPr>
      <w:bookmarkStart w:id="19" w:name="_Toc524895646"/>
      <w:bookmarkStart w:id="20" w:name="_Toc524896192"/>
      <w:bookmarkStart w:id="21" w:name="_Toc524896222"/>
      <w:bookmarkStart w:id="22" w:name="_Toc524902729"/>
      <w:bookmarkStart w:id="23" w:name="_Toc525066145"/>
      <w:bookmarkStart w:id="24" w:name="_Toc525070836"/>
      <w:bookmarkStart w:id="25" w:name="_Toc525938376"/>
      <w:bookmarkStart w:id="26" w:name="_Toc525939224"/>
      <w:bookmarkStart w:id="27" w:name="_Toc525939729"/>
      <w:bookmarkStart w:id="28" w:name="_Toc529218269"/>
      <w:bookmarkStart w:id="29" w:name="_Toc529222686"/>
      <w:bookmarkStart w:id="30" w:name="_Toc529223108"/>
      <w:bookmarkStart w:id="31" w:name="_Toc529223859"/>
      <w:bookmarkStart w:id="32" w:name="_Toc529228262"/>
      <w:r>
        <w:rPr>
          <w:rFonts w:hint="eastAsia"/>
        </w:rPr>
        <w:t>事實與理由：</w:t>
      </w:r>
      <w:bookmarkEnd w:id="19"/>
      <w:bookmarkEnd w:id="20"/>
      <w:bookmarkEnd w:id="21"/>
      <w:bookmarkEnd w:id="22"/>
      <w:bookmarkEnd w:id="23"/>
      <w:bookmarkEnd w:id="24"/>
      <w:bookmarkEnd w:id="25"/>
      <w:bookmarkEnd w:id="26"/>
      <w:bookmarkEnd w:id="27"/>
      <w:bookmarkEnd w:id="28"/>
      <w:bookmarkEnd w:id="29"/>
      <w:bookmarkEnd w:id="30"/>
      <w:bookmarkEnd w:id="31"/>
      <w:bookmarkEnd w:id="32"/>
    </w:p>
    <w:p w:rsidR="00896C2A" w:rsidRDefault="0096472F" w:rsidP="00C55463">
      <w:pPr>
        <w:pStyle w:val="11"/>
        <w:ind w:left="680" w:firstLine="680"/>
        <w:rPr>
          <w:bCs/>
        </w:rPr>
      </w:pPr>
      <w:r w:rsidRPr="001A197C">
        <w:rPr>
          <w:rFonts w:hAnsi="標楷體" w:hint="eastAsia"/>
          <w:color w:val="000000"/>
        </w:rPr>
        <w:t>財政部暨所屬國有財產局經管國有非公用土地，主要以出售土地方式挹注財政收入，未能秉持永續經營理念，謀求國有土地利用效率及公義之平衡，更造成部分國有土地出售後，遭長期囤積等待價格上漲後再推案，或直接交易土地獲利，似有未善盡經營管理之責等情</w:t>
      </w:r>
      <w:r w:rsidR="00451E6D" w:rsidRPr="00050C48">
        <w:rPr>
          <w:rFonts w:hAnsi="標楷體" w:hint="eastAsia"/>
          <w:color w:val="000000"/>
        </w:rPr>
        <w:t>乙案</w:t>
      </w:r>
      <w:r w:rsidR="00081C97" w:rsidRPr="00081C97">
        <w:rPr>
          <w:rFonts w:hint="eastAsia"/>
        </w:rPr>
        <w:t>，業</w:t>
      </w:r>
      <w:r w:rsidR="004F2107">
        <w:rPr>
          <w:rFonts w:hint="eastAsia"/>
          <w:bCs/>
        </w:rPr>
        <w:t>經本院調查竣事，茲就調查發現違失</w:t>
      </w:r>
      <w:r w:rsidR="004A1F08">
        <w:rPr>
          <w:rFonts w:hint="eastAsia"/>
          <w:bCs/>
        </w:rPr>
        <w:t>之</w:t>
      </w:r>
      <w:r w:rsidR="004A1F08">
        <w:rPr>
          <w:rFonts w:hint="eastAsia"/>
        </w:rPr>
        <w:t>事實與理由</w:t>
      </w:r>
      <w:r w:rsidR="004F2107">
        <w:rPr>
          <w:rFonts w:hint="eastAsia"/>
          <w:bCs/>
        </w:rPr>
        <w:t>臚列如下：</w:t>
      </w:r>
      <w:bookmarkStart w:id="33" w:name="_Toc525070834"/>
      <w:bookmarkStart w:id="34" w:name="_Toc525938374"/>
      <w:bookmarkStart w:id="35" w:name="_Toc525939222"/>
      <w:bookmarkStart w:id="36" w:name="_Toc525939727"/>
      <w:bookmarkStart w:id="37" w:name="_Toc525066144"/>
      <w:bookmarkStart w:id="38" w:name="_Toc524892372"/>
    </w:p>
    <w:bookmarkEnd w:id="33"/>
    <w:bookmarkEnd w:id="34"/>
    <w:bookmarkEnd w:id="35"/>
    <w:bookmarkEnd w:id="36"/>
    <w:p w:rsidR="00D967BB" w:rsidRDefault="00D967BB" w:rsidP="00D967BB">
      <w:pPr>
        <w:pStyle w:val="2"/>
        <w:numPr>
          <w:ilvl w:val="1"/>
          <w:numId w:val="2"/>
        </w:numPr>
        <w:kinsoku w:val="0"/>
        <w:ind w:left="1020" w:hanging="680"/>
        <w:rPr>
          <w:rFonts w:hAnsi="標楷體"/>
          <w:b/>
          <w:color w:val="000000"/>
        </w:rPr>
      </w:pPr>
      <w:r w:rsidRPr="00E8532E">
        <w:rPr>
          <w:rFonts w:hAnsi="標楷體" w:hint="eastAsia"/>
          <w:b/>
          <w:color w:val="000000"/>
        </w:rPr>
        <w:t>財政部暨所屬國產局長久以來經營國有非公用土地，主要係以出售土地方式挹注財政收入，獲取短期利潤之極大化，未能秉持平均地權之</w:t>
      </w:r>
      <w:r w:rsidR="00956EFD">
        <w:rPr>
          <w:rFonts w:hAnsi="標楷體" w:hint="eastAsia"/>
          <w:b/>
          <w:color w:val="000000"/>
        </w:rPr>
        <w:t>精神</w:t>
      </w:r>
      <w:r w:rsidRPr="00E8532E">
        <w:rPr>
          <w:rFonts w:hAnsi="標楷體" w:hint="eastAsia"/>
          <w:b/>
          <w:color w:val="000000"/>
        </w:rPr>
        <w:t>與憲法其他相關規定，以永續經營與全民福祉為依歸，謀求國有土地利用效率及公義之平衡，更造成部分國有土地出售後，遭長期囤積等待</w:t>
      </w:r>
      <w:r w:rsidRPr="00E8532E">
        <w:rPr>
          <w:rFonts w:hAnsi="標楷體" w:hint="eastAsia"/>
          <w:b/>
          <w:bCs w:val="0"/>
          <w:color w:val="000000"/>
        </w:rPr>
        <w:t>價格上漲後再推案，或直接交易土地</w:t>
      </w:r>
      <w:r w:rsidRPr="00E8532E">
        <w:rPr>
          <w:rFonts w:hAnsi="標楷體" w:hint="eastAsia"/>
          <w:b/>
          <w:color w:val="000000"/>
        </w:rPr>
        <w:t>獲利，未能善盡經營管理之責任，顯有疏失。</w:t>
      </w:r>
    </w:p>
    <w:p w:rsidR="00D967BB" w:rsidRPr="001A197C" w:rsidRDefault="005D198E" w:rsidP="00D967BB">
      <w:pPr>
        <w:pStyle w:val="3"/>
        <w:kinsoku w:val="0"/>
        <w:ind w:leftChars="200" w:left="1360" w:hangingChars="200" w:hanging="680"/>
        <w:rPr>
          <w:rFonts w:hAnsi="標楷體"/>
          <w:color w:val="000000"/>
        </w:rPr>
      </w:pPr>
      <w:r w:rsidRPr="001A197C">
        <w:rPr>
          <w:rFonts w:hAnsi="標楷體" w:hint="eastAsia"/>
          <w:color w:val="000000"/>
        </w:rPr>
        <w:t>按憲法第</w:t>
      </w:r>
      <w:r w:rsidRPr="001A197C">
        <w:rPr>
          <w:rFonts w:hAnsi="標楷體"/>
          <w:color w:val="000000"/>
        </w:rPr>
        <w:t>142條</w:t>
      </w:r>
      <w:r w:rsidRPr="001A197C">
        <w:rPr>
          <w:rFonts w:hAnsi="標楷體" w:hint="eastAsia"/>
          <w:color w:val="000000"/>
        </w:rPr>
        <w:t>規定：</w:t>
      </w:r>
      <w:r w:rsidRPr="001A197C">
        <w:rPr>
          <w:rFonts w:hAnsi="標楷體"/>
          <w:color w:val="000000"/>
        </w:rPr>
        <w:t>「國民經濟以民生主義為基本原則，實施平均地權，節制資本，以謀國計民生之均足。」</w:t>
      </w:r>
      <w:r w:rsidRPr="001A197C">
        <w:rPr>
          <w:rFonts w:hAnsi="標楷體" w:hint="eastAsia"/>
          <w:color w:val="000000"/>
        </w:rPr>
        <w:t>及第143條第4項規定：「國家對於土地之分配與整理，應以扶植自耕農及自行使用土地人為原則。」其中「平均地權」為</w:t>
      </w:r>
      <w:r>
        <w:rPr>
          <w:rFonts w:hAnsi="標楷體" w:hint="eastAsia"/>
          <w:color w:val="000000"/>
        </w:rPr>
        <w:t>我國</w:t>
      </w:r>
      <w:r w:rsidRPr="001A197C">
        <w:rPr>
          <w:rFonts w:hAnsi="標楷體" w:hint="eastAsia"/>
          <w:color w:val="000000"/>
        </w:rPr>
        <w:t>土地</w:t>
      </w:r>
      <w:r>
        <w:rPr>
          <w:rFonts w:hAnsi="標楷體" w:hint="eastAsia"/>
          <w:color w:val="000000"/>
        </w:rPr>
        <w:t>政策</w:t>
      </w:r>
      <w:r w:rsidRPr="001A197C">
        <w:rPr>
          <w:rFonts w:hAnsi="標楷體" w:hint="eastAsia"/>
          <w:color w:val="000000"/>
        </w:rPr>
        <w:t>之</w:t>
      </w:r>
      <w:r w:rsidRPr="001A197C">
        <w:rPr>
          <w:rFonts w:hAnsi="標楷體" w:hint="eastAsia"/>
          <w:color w:val="000000"/>
        </w:rPr>
        <w:lastRenderedPageBreak/>
        <w:t>最</w:t>
      </w:r>
      <w:r>
        <w:rPr>
          <w:rFonts w:hAnsi="標楷體" w:hint="eastAsia"/>
          <w:color w:val="000000"/>
        </w:rPr>
        <w:t>高指導原則</w:t>
      </w:r>
      <w:r w:rsidRPr="001A197C">
        <w:rPr>
          <w:rFonts w:hAnsi="標楷體" w:hint="eastAsia"/>
          <w:color w:val="000000"/>
        </w:rPr>
        <w:t>。「平均地權」之土地私有制度，是以「地盡其利、地利共享」為</w:t>
      </w:r>
      <w:r>
        <w:rPr>
          <w:rFonts w:hAnsi="標楷體" w:hint="eastAsia"/>
          <w:color w:val="000000"/>
        </w:rPr>
        <w:t>最終目標</w:t>
      </w:r>
      <w:r w:rsidRPr="001A197C">
        <w:rPr>
          <w:rFonts w:hAnsi="標楷體" w:hint="eastAsia"/>
          <w:color w:val="000000"/>
        </w:rPr>
        <w:t>，揆其精神乃在於建立土地財產權公私均權</w:t>
      </w:r>
      <w:r>
        <w:rPr>
          <w:rFonts w:hAnsi="標楷體" w:hint="eastAsia"/>
          <w:color w:val="000000"/>
        </w:rPr>
        <w:t>之</w:t>
      </w:r>
      <w:r w:rsidRPr="001A197C">
        <w:rPr>
          <w:rFonts w:hAnsi="標楷體" w:hint="eastAsia"/>
          <w:color w:val="000000"/>
        </w:rPr>
        <w:t>體制，亦即土地為國家所有之原則下，允許私有財產制度（包括土地所有權）</w:t>
      </w:r>
      <w:r>
        <w:rPr>
          <w:rFonts w:hAnsi="標楷體" w:hint="eastAsia"/>
          <w:color w:val="000000"/>
        </w:rPr>
        <w:t>之</w:t>
      </w:r>
      <w:r w:rsidRPr="001A197C">
        <w:rPr>
          <w:rFonts w:hAnsi="標楷體" w:hint="eastAsia"/>
          <w:color w:val="000000"/>
        </w:rPr>
        <w:t>合理存在，國家依法授予私人之土地所有權，</w:t>
      </w:r>
      <w:r>
        <w:rPr>
          <w:rFonts w:hAnsi="標楷體" w:hint="eastAsia"/>
          <w:color w:val="000000"/>
        </w:rPr>
        <w:t>係</w:t>
      </w:r>
      <w:r w:rsidRPr="001A197C">
        <w:rPr>
          <w:rFonts w:hAnsi="標楷體" w:hint="eastAsia"/>
          <w:color w:val="000000"/>
        </w:rPr>
        <w:t>以提供自行使用土地並達到有效生產使用所必要，並使土地所產生之利益能歸國民所共享。要言之，就取得土地所有權或使用權者而言，必須以直接自行使用為條件，以避免少數人長期持有囤積而不使用，以壟斷土地市場，待價而沽，俟其轉售或設定權</w:t>
      </w:r>
      <w:r>
        <w:rPr>
          <w:rFonts w:hAnsi="標楷體" w:hint="eastAsia"/>
          <w:color w:val="000000"/>
        </w:rPr>
        <w:t>利予</w:t>
      </w:r>
      <w:r w:rsidRPr="001A197C">
        <w:rPr>
          <w:rFonts w:hAnsi="標楷體" w:hint="eastAsia"/>
          <w:color w:val="000000"/>
        </w:rPr>
        <w:t>真正需</w:t>
      </w:r>
      <w:r>
        <w:rPr>
          <w:rFonts w:hAnsi="標楷體" w:hint="eastAsia"/>
          <w:color w:val="000000"/>
        </w:rPr>
        <w:t>要</w:t>
      </w:r>
      <w:r w:rsidRPr="001A197C">
        <w:rPr>
          <w:rFonts w:hAnsi="標楷體" w:hint="eastAsia"/>
          <w:color w:val="000000"/>
        </w:rPr>
        <w:t>使用</w:t>
      </w:r>
      <w:r>
        <w:rPr>
          <w:rFonts w:hAnsi="標楷體" w:hint="eastAsia"/>
          <w:color w:val="000000"/>
        </w:rPr>
        <w:t>土地之人</w:t>
      </w:r>
      <w:r w:rsidRPr="001A197C">
        <w:rPr>
          <w:rFonts w:hAnsi="標楷體" w:hint="eastAsia"/>
          <w:color w:val="000000"/>
        </w:rPr>
        <w:t>時，即要求更高</w:t>
      </w:r>
      <w:r>
        <w:rPr>
          <w:rFonts w:hAnsi="標楷體" w:hint="eastAsia"/>
          <w:color w:val="000000"/>
        </w:rPr>
        <w:t>之</w:t>
      </w:r>
      <w:r w:rsidRPr="001A197C">
        <w:rPr>
          <w:rFonts w:hAnsi="標楷體" w:hint="eastAsia"/>
          <w:color w:val="000000"/>
        </w:rPr>
        <w:t>售價或租金，致使用土地者須支付更高</w:t>
      </w:r>
      <w:r>
        <w:rPr>
          <w:rFonts w:hAnsi="標楷體" w:hint="eastAsia"/>
          <w:color w:val="000000"/>
        </w:rPr>
        <w:t>之</w:t>
      </w:r>
      <w:r w:rsidRPr="001A197C">
        <w:rPr>
          <w:rFonts w:hAnsi="標楷體" w:hint="eastAsia"/>
          <w:color w:val="000000"/>
        </w:rPr>
        <w:t>使用成本，</w:t>
      </w:r>
      <w:r>
        <w:rPr>
          <w:rFonts w:hAnsi="標楷體" w:hint="eastAsia"/>
          <w:color w:val="000000"/>
        </w:rPr>
        <w:t>但</w:t>
      </w:r>
      <w:r w:rsidRPr="001A197C">
        <w:rPr>
          <w:rFonts w:hAnsi="標楷體" w:hint="eastAsia"/>
          <w:color w:val="000000"/>
        </w:rPr>
        <w:t>最終</w:t>
      </w:r>
      <w:r>
        <w:rPr>
          <w:rFonts w:hAnsi="標楷體" w:hint="eastAsia"/>
          <w:color w:val="000000"/>
        </w:rPr>
        <w:t>卻</w:t>
      </w:r>
      <w:r w:rsidRPr="001A197C">
        <w:rPr>
          <w:rFonts w:hAnsi="標楷體" w:hint="eastAsia"/>
          <w:color w:val="000000"/>
        </w:rPr>
        <w:t>反應</w:t>
      </w:r>
      <w:r>
        <w:rPr>
          <w:rFonts w:hAnsi="標楷體" w:hint="eastAsia"/>
          <w:color w:val="000000"/>
        </w:rPr>
        <w:t>於</w:t>
      </w:r>
      <w:r w:rsidRPr="001A197C">
        <w:rPr>
          <w:rFonts w:hAnsi="標楷體" w:hint="eastAsia"/>
          <w:color w:val="000000"/>
        </w:rPr>
        <w:t>大眾所需產品</w:t>
      </w:r>
      <w:r>
        <w:rPr>
          <w:rFonts w:hAnsi="標楷體" w:hint="eastAsia"/>
          <w:color w:val="000000"/>
        </w:rPr>
        <w:t>之</w:t>
      </w:r>
      <w:r w:rsidRPr="001A197C">
        <w:rPr>
          <w:rFonts w:hAnsi="標楷體" w:hint="eastAsia"/>
          <w:color w:val="000000"/>
        </w:rPr>
        <w:t>價格上。</w:t>
      </w:r>
      <w:r>
        <w:rPr>
          <w:rFonts w:hAnsi="標楷體" w:hint="eastAsia"/>
          <w:color w:val="000000"/>
        </w:rPr>
        <w:t>易言之</w:t>
      </w:r>
      <w:r w:rsidRPr="001A197C">
        <w:rPr>
          <w:rFonts w:hAnsi="標楷體" w:hint="eastAsia"/>
          <w:color w:val="000000"/>
        </w:rPr>
        <w:t>，囤積土地之人不勞而獲取土地所產生之高額增值利益，高額成本</w:t>
      </w:r>
      <w:r>
        <w:rPr>
          <w:rFonts w:hAnsi="標楷體" w:hint="eastAsia"/>
          <w:color w:val="000000"/>
        </w:rPr>
        <w:t>則</w:t>
      </w:r>
      <w:r w:rsidRPr="001A197C">
        <w:rPr>
          <w:rFonts w:hAnsi="標楷體" w:hint="eastAsia"/>
          <w:color w:val="000000"/>
        </w:rPr>
        <w:t>由社會大眾共同負擔。</w:t>
      </w:r>
      <w:r>
        <w:rPr>
          <w:rFonts w:hAnsi="標楷體" w:hint="eastAsia"/>
          <w:color w:val="000000"/>
        </w:rPr>
        <w:t>據此</w:t>
      </w:r>
      <w:r w:rsidRPr="001A197C">
        <w:rPr>
          <w:rFonts w:hAnsi="標楷體" w:hint="eastAsia"/>
          <w:color w:val="000000"/>
        </w:rPr>
        <w:t>，平均地權之市地政策，</w:t>
      </w:r>
      <w:r>
        <w:rPr>
          <w:rFonts w:hAnsi="標楷體" w:hint="eastAsia"/>
          <w:color w:val="000000"/>
        </w:rPr>
        <w:t>應</w:t>
      </w:r>
      <w:r w:rsidRPr="001A197C">
        <w:rPr>
          <w:rFonts w:hAnsi="標楷體" w:hint="eastAsia"/>
          <w:color w:val="000000"/>
        </w:rPr>
        <w:t>強調都市土地之直接合理使用，讓真正需要使用該項土地且有充分使用能力</w:t>
      </w:r>
      <w:r>
        <w:rPr>
          <w:rFonts w:hAnsi="標楷體" w:hint="eastAsia"/>
          <w:color w:val="000000"/>
        </w:rPr>
        <w:t>者</w:t>
      </w:r>
      <w:r w:rsidRPr="001A197C">
        <w:rPr>
          <w:rFonts w:hAnsi="標楷體" w:hint="eastAsia"/>
          <w:color w:val="000000"/>
        </w:rPr>
        <w:t>，均有相等機會取得所需土地</w:t>
      </w:r>
      <w:r w:rsidR="00D967BB" w:rsidRPr="001A197C">
        <w:rPr>
          <w:rFonts w:hAnsi="標楷體" w:hint="eastAsia"/>
          <w:color w:val="000000"/>
        </w:rPr>
        <w:t>。</w:t>
      </w:r>
    </w:p>
    <w:p w:rsidR="00D967BB" w:rsidRPr="001A197C" w:rsidRDefault="00D967BB" w:rsidP="00D967BB">
      <w:pPr>
        <w:pStyle w:val="3"/>
        <w:kinsoku w:val="0"/>
        <w:ind w:leftChars="200" w:left="1360" w:hangingChars="200" w:hanging="680"/>
        <w:rPr>
          <w:rFonts w:hAnsi="標楷體"/>
          <w:color w:val="000000"/>
        </w:rPr>
      </w:pPr>
      <w:r w:rsidRPr="001A197C">
        <w:rPr>
          <w:rFonts w:hAnsi="標楷體" w:hint="eastAsia"/>
          <w:color w:val="000000"/>
        </w:rPr>
        <w:t>再者，國家所擁有</w:t>
      </w:r>
      <w:r>
        <w:rPr>
          <w:rFonts w:hAnsi="標楷體" w:hint="eastAsia"/>
          <w:color w:val="000000"/>
        </w:rPr>
        <w:t>之</w:t>
      </w:r>
      <w:r w:rsidRPr="001A197C">
        <w:rPr>
          <w:rFonts w:hAnsi="標楷體" w:hint="eastAsia"/>
          <w:color w:val="000000"/>
        </w:rPr>
        <w:t>土地乃全民之資產，更為國家經營發展之重要資本。國有土地管理機關之經營管理目標，應首重提供公共使用為優先，如經檢討，尚無公共使用需要，而</w:t>
      </w:r>
      <w:r>
        <w:rPr>
          <w:rFonts w:hAnsi="標楷體" w:hint="eastAsia"/>
          <w:color w:val="000000"/>
        </w:rPr>
        <w:t>得</w:t>
      </w:r>
      <w:r w:rsidRPr="001A197C">
        <w:rPr>
          <w:rFonts w:hAnsi="標楷體" w:hint="eastAsia"/>
          <w:color w:val="000000"/>
        </w:rPr>
        <w:t>提供私人使用時，尤應秉持上述平均地權之理念與憲法相關規定，以永續經營與全民福祉為依歸，提供有能力且真正需用土地者，均衡取得土地使用</w:t>
      </w:r>
      <w:r>
        <w:rPr>
          <w:rFonts w:hAnsi="標楷體" w:hint="eastAsia"/>
          <w:color w:val="000000"/>
        </w:rPr>
        <w:t>之</w:t>
      </w:r>
      <w:r w:rsidRPr="001A197C">
        <w:rPr>
          <w:rFonts w:hAnsi="標楷體" w:hint="eastAsia"/>
          <w:color w:val="000000"/>
        </w:rPr>
        <w:t>機會，充分發揮土地</w:t>
      </w:r>
      <w:r>
        <w:rPr>
          <w:rFonts w:hAnsi="標楷體" w:hint="eastAsia"/>
          <w:color w:val="000000"/>
        </w:rPr>
        <w:t>之</w:t>
      </w:r>
      <w:r w:rsidRPr="001A197C">
        <w:rPr>
          <w:rFonts w:hAnsi="標楷體" w:hint="eastAsia"/>
          <w:color w:val="000000"/>
        </w:rPr>
        <w:t>經濟效益，並藉此獲取長期穩定之收益，同時保有永續利用土地之彈性，避免私人取得國有土地後，長期囤積而不直接使用，待價而沽不勞而獲，以謀取國有土地利用效率及公義之平衡，達成「地盡其利」、「地利共享」之目標。</w:t>
      </w:r>
    </w:p>
    <w:p w:rsidR="00D967BB" w:rsidRPr="001A197C" w:rsidRDefault="00D967BB" w:rsidP="00D967BB">
      <w:pPr>
        <w:pStyle w:val="3"/>
        <w:kinsoku w:val="0"/>
        <w:ind w:leftChars="200" w:left="1360" w:hangingChars="200" w:hanging="680"/>
        <w:rPr>
          <w:rFonts w:hAnsi="標楷體"/>
          <w:color w:val="000000"/>
        </w:rPr>
      </w:pPr>
      <w:r w:rsidRPr="001A197C">
        <w:rPr>
          <w:rFonts w:hAnsi="標楷體" w:hint="eastAsia"/>
          <w:color w:val="000000"/>
        </w:rPr>
        <w:lastRenderedPageBreak/>
        <w:t>依國有財產法第2條規定：「國家依據法律規定，或基於權力行使，或由於預算支出，或由於接受捐贈所取得之財產，為國有財產。凡不屬於私有或地方所有之財產，除法律另有規定外，均應視為國有財產。」、第3條規定：「依前條取得之國有財產，其範圍如左：一、不動產：指土地及其改良物暨天然資源。…」、第4條規定：「國有財產區分為公用財產與非公用財產兩類。…非公用財產，係指公用財產以外可供收益或處分之一切國有財產。」、第9條規定：「財政部承行政院之命，綜理國有財產事業。財政部設國有財產局，承辦前項事務；其組織以法律定之。」、第11條規定：「公用財產以各直接使用機關為管理機關，直接管理之。」、第12條規定：「非公用財產以財政部國有財產局為管理機關，承財政部之命，直接管理之。」。故依現行行政組織，財政部承行政院之命，綜理國有財產事業，所屬國產局為國有非公用土地之直接管理機關。</w:t>
      </w:r>
    </w:p>
    <w:p w:rsidR="00D967BB" w:rsidRPr="001A197C" w:rsidRDefault="00D967BB" w:rsidP="00D967BB">
      <w:pPr>
        <w:pStyle w:val="3"/>
        <w:kinsoku w:val="0"/>
        <w:ind w:leftChars="200" w:left="1360" w:hangingChars="200" w:hanging="680"/>
        <w:rPr>
          <w:rFonts w:hAnsi="標楷體"/>
          <w:color w:val="000000"/>
        </w:rPr>
      </w:pPr>
      <w:r w:rsidRPr="001A197C">
        <w:rPr>
          <w:rFonts w:hAnsi="標楷體"/>
          <w:color w:val="000000"/>
        </w:rPr>
        <w:t>有關國有非公用不動產之</w:t>
      </w:r>
      <w:r w:rsidRPr="001A197C">
        <w:rPr>
          <w:rFonts w:hAnsi="標楷體" w:hint="eastAsia"/>
          <w:color w:val="000000"/>
        </w:rPr>
        <w:t>處分，</w:t>
      </w:r>
      <w:r w:rsidRPr="001A197C">
        <w:rPr>
          <w:rFonts w:hAnsi="標楷體" w:hint="eastAsia"/>
          <w:bCs w:val="0"/>
          <w:color w:val="000000"/>
          <w:szCs w:val="48"/>
        </w:rPr>
        <w:t>依國產法第49條至第54條及同法施行細則第53條至第57條規定，可分為兩大類。第一類為讓售或專案讓售，係指民眾依法申請承購者；第二類為標售，係指民眾需用國有土地，因未能符合讓售或專案讓售之規定而申請標售，或由國產局各分支機構就當地社會、經濟或都市發展情形，主動篩選土地列入標售。</w:t>
      </w:r>
      <w:r w:rsidRPr="001A197C">
        <w:rPr>
          <w:rFonts w:hAnsi="標楷體"/>
          <w:color w:val="000000"/>
        </w:rPr>
        <w:t>讓售及標售，</w:t>
      </w:r>
      <w:bookmarkStart w:id="39" w:name="OLE_LINK13"/>
      <w:r w:rsidRPr="001A197C">
        <w:rPr>
          <w:rFonts w:hAnsi="標楷體"/>
          <w:color w:val="000000"/>
        </w:rPr>
        <w:t>分別規定於</w:t>
      </w:r>
      <w:bookmarkEnd w:id="39"/>
      <w:r w:rsidRPr="001A197C">
        <w:rPr>
          <w:rFonts w:hAnsi="標楷體" w:hint="eastAsia"/>
          <w:color w:val="000000"/>
        </w:rPr>
        <w:t>同法</w:t>
      </w:r>
      <w:r w:rsidRPr="001A197C">
        <w:rPr>
          <w:rFonts w:hAnsi="標楷體"/>
          <w:color w:val="000000"/>
        </w:rPr>
        <w:t>第49條至第52條之2及第53條、第54條。另，</w:t>
      </w:r>
      <w:r w:rsidRPr="001A197C">
        <w:rPr>
          <w:rFonts w:hAnsi="標楷體"/>
          <w:color w:val="000000"/>
          <w:szCs w:val="32"/>
        </w:rPr>
        <w:t>其他法律亦有明定國有財產之出售者，例如</w:t>
      </w:r>
      <w:r w:rsidRPr="001A197C">
        <w:rPr>
          <w:rFonts w:hAnsi="標楷體" w:hint="eastAsia"/>
          <w:color w:val="000000"/>
          <w:szCs w:val="32"/>
        </w:rPr>
        <w:t>：</w:t>
      </w:r>
      <w:r w:rsidRPr="001A197C">
        <w:rPr>
          <w:rFonts w:hAnsi="標楷體"/>
          <w:color w:val="000000"/>
          <w:szCs w:val="32"/>
        </w:rPr>
        <w:t>都市更新條例第27條第3項第4款及第5款、產業創新條例第43條、發展觀光條例第45條第1項等規定。</w:t>
      </w:r>
    </w:p>
    <w:p w:rsidR="00D967BB" w:rsidRPr="001A197C" w:rsidRDefault="004C78EF" w:rsidP="00D967BB">
      <w:pPr>
        <w:pStyle w:val="3"/>
        <w:kinsoku w:val="0"/>
        <w:ind w:leftChars="200" w:left="1360" w:hangingChars="200" w:hanging="680"/>
        <w:rPr>
          <w:rFonts w:hAnsi="標楷體"/>
          <w:color w:val="000000"/>
        </w:rPr>
      </w:pPr>
      <w:r w:rsidRPr="001A197C">
        <w:rPr>
          <w:rFonts w:hAnsi="標楷體" w:hint="eastAsia"/>
          <w:color w:val="000000"/>
        </w:rPr>
        <w:lastRenderedPageBreak/>
        <w:t>依國產局提供近10年國有土地收入（含出售、出租、設定地上權、委託經營</w:t>
      </w:r>
      <w:r>
        <w:rPr>
          <w:rFonts w:hAnsi="標楷體" w:hint="eastAsia"/>
          <w:color w:val="000000"/>
        </w:rPr>
        <w:t>等</w:t>
      </w:r>
      <w:r w:rsidRPr="001A197C">
        <w:rPr>
          <w:rFonts w:hAnsi="標楷體" w:hint="eastAsia"/>
          <w:color w:val="000000"/>
        </w:rPr>
        <w:t>）</w:t>
      </w:r>
      <w:r>
        <w:rPr>
          <w:rFonts w:hAnsi="標楷體" w:hint="eastAsia"/>
          <w:color w:val="000000"/>
        </w:rPr>
        <w:t>資料顯示，每年</w:t>
      </w:r>
      <w:r w:rsidRPr="001A197C">
        <w:rPr>
          <w:rFonts w:hAnsi="標楷體" w:hint="eastAsia"/>
          <w:color w:val="000000"/>
        </w:rPr>
        <w:t>總金額約</w:t>
      </w:r>
      <w:r>
        <w:rPr>
          <w:rFonts w:hAnsi="標楷體" w:hint="eastAsia"/>
          <w:color w:val="000000"/>
        </w:rPr>
        <w:t>介於</w:t>
      </w:r>
      <w:r w:rsidRPr="001A197C">
        <w:rPr>
          <w:rFonts w:hAnsi="標楷體" w:hint="eastAsia"/>
          <w:color w:val="000000"/>
        </w:rPr>
        <w:t>新臺幣（下同）171億元～423億元</w:t>
      </w:r>
      <w:r>
        <w:rPr>
          <w:rFonts w:hAnsi="標楷體" w:hint="eastAsia"/>
          <w:color w:val="000000"/>
        </w:rPr>
        <w:t>之間</w:t>
      </w:r>
      <w:r w:rsidRPr="001A197C">
        <w:rPr>
          <w:rFonts w:hAnsi="標楷體" w:hint="eastAsia"/>
          <w:color w:val="000000"/>
        </w:rPr>
        <w:t>，占中央政府歲入決算之比例約</w:t>
      </w:r>
      <w:r>
        <w:rPr>
          <w:rFonts w:hAnsi="標楷體" w:hint="eastAsia"/>
          <w:color w:val="000000"/>
        </w:rPr>
        <w:t>介於</w:t>
      </w:r>
      <w:r w:rsidRPr="001A197C">
        <w:rPr>
          <w:rFonts w:hAnsi="標楷體" w:hint="eastAsia"/>
          <w:color w:val="000000"/>
        </w:rPr>
        <w:t>0.85％～2.99％</w:t>
      </w:r>
      <w:r>
        <w:rPr>
          <w:rFonts w:hAnsi="標楷體" w:hint="eastAsia"/>
          <w:color w:val="000000"/>
        </w:rPr>
        <w:t>之間</w:t>
      </w:r>
      <w:r w:rsidRPr="001A197C">
        <w:rPr>
          <w:rFonts w:hAnsi="標楷體" w:hint="eastAsia"/>
          <w:color w:val="000000"/>
        </w:rPr>
        <w:t>，比例並不高。但每年出售國有土地之總金額約</w:t>
      </w:r>
      <w:r>
        <w:rPr>
          <w:rFonts w:hAnsi="標楷體" w:hint="eastAsia"/>
          <w:color w:val="000000"/>
        </w:rPr>
        <w:t>介於</w:t>
      </w:r>
      <w:r w:rsidRPr="001A197C">
        <w:rPr>
          <w:rFonts w:hAnsi="標楷體" w:hint="eastAsia"/>
          <w:color w:val="000000"/>
        </w:rPr>
        <w:t>132億元～390億元</w:t>
      </w:r>
      <w:r>
        <w:rPr>
          <w:rFonts w:hAnsi="標楷體" w:hint="eastAsia"/>
          <w:color w:val="000000"/>
        </w:rPr>
        <w:t>之間</w:t>
      </w:r>
      <w:r w:rsidRPr="001A197C">
        <w:rPr>
          <w:rFonts w:hAnsi="標楷體" w:hint="eastAsia"/>
          <w:color w:val="000000"/>
        </w:rPr>
        <w:t>，占中央政府歲入決算之比例約</w:t>
      </w:r>
      <w:r>
        <w:rPr>
          <w:rFonts w:hAnsi="標楷體" w:hint="eastAsia"/>
          <w:color w:val="000000"/>
        </w:rPr>
        <w:t>介於</w:t>
      </w:r>
      <w:r w:rsidRPr="001A197C">
        <w:rPr>
          <w:rFonts w:hAnsi="標楷體" w:hint="eastAsia"/>
          <w:color w:val="000000"/>
        </w:rPr>
        <w:t>0.65％～2.67％</w:t>
      </w:r>
      <w:r>
        <w:rPr>
          <w:rFonts w:hAnsi="標楷體" w:hint="eastAsia"/>
          <w:color w:val="000000"/>
        </w:rPr>
        <w:t>之間</w:t>
      </w:r>
      <w:r w:rsidRPr="001A197C">
        <w:rPr>
          <w:rFonts w:hAnsi="標楷體" w:hint="eastAsia"/>
          <w:color w:val="000000"/>
        </w:rPr>
        <w:t>，出售國有土地之</w:t>
      </w:r>
      <w:r>
        <w:rPr>
          <w:rFonts w:hAnsi="標楷體" w:hint="eastAsia"/>
          <w:color w:val="000000"/>
        </w:rPr>
        <w:t>收入</w:t>
      </w:r>
      <w:r w:rsidRPr="001A197C">
        <w:rPr>
          <w:rFonts w:hAnsi="標楷體" w:hint="eastAsia"/>
          <w:color w:val="000000"/>
        </w:rPr>
        <w:t>占國有土地收入</w:t>
      </w:r>
      <w:r>
        <w:rPr>
          <w:rFonts w:hAnsi="標楷體" w:hint="eastAsia"/>
          <w:color w:val="000000"/>
        </w:rPr>
        <w:t>之</w:t>
      </w:r>
      <w:r w:rsidRPr="001A197C">
        <w:rPr>
          <w:rFonts w:hAnsi="標楷體" w:hint="eastAsia"/>
          <w:color w:val="000000"/>
        </w:rPr>
        <w:t>比例</w:t>
      </w:r>
      <w:r>
        <w:rPr>
          <w:rFonts w:hAnsi="標楷體" w:hint="eastAsia"/>
          <w:color w:val="000000"/>
        </w:rPr>
        <w:t>，相對於</w:t>
      </w:r>
      <w:r w:rsidRPr="001A197C">
        <w:rPr>
          <w:rFonts w:hAnsi="標楷體" w:hint="eastAsia"/>
          <w:color w:val="000000"/>
        </w:rPr>
        <w:t>出租、設定地上權、委託經營等</w:t>
      </w:r>
      <w:r>
        <w:rPr>
          <w:rFonts w:hAnsi="標楷體" w:hint="eastAsia"/>
          <w:color w:val="000000"/>
        </w:rPr>
        <w:t>，</w:t>
      </w:r>
      <w:r w:rsidRPr="001A197C">
        <w:rPr>
          <w:rFonts w:hAnsi="標楷體" w:hint="eastAsia"/>
          <w:color w:val="000000"/>
        </w:rPr>
        <w:t>仍屬最高。簡言之，近10年中央政府歲入，國有土地收益部分仍以出售為最大宗</w:t>
      </w:r>
      <w:r>
        <w:rPr>
          <w:rFonts w:hAnsi="標楷體" w:hint="eastAsia"/>
          <w:color w:val="000000"/>
        </w:rPr>
        <w:t>，</w:t>
      </w:r>
      <w:r w:rsidRPr="001A197C">
        <w:rPr>
          <w:rFonts w:hAnsi="標楷體" w:hint="eastAsia"/>
          <w:color w:val="000000"/>
        </w:rPr>
        <w:t>為挹注財政收入之主要來源</w:t>
      </w:r>
      <w:r w:rsidR="00D967BB" w:rsidRPr="001A197C">
        <w:rPr>
          <w:rFonts w:hAnsi="標楷體" w:hint="eastAsia"/>
          <w:color w:val="000000"/>
        </w:rPr>
        <w:t>。</w:t>
      </w:r>
    </w:p>
    <w:p w:rsidR="00D967BB" w:rsidRPr="001A197C" w:rsidRDefault="00D967BB" w:rsidP="00D967BB">
      <w:pPr>
        <w:pStyle w:val="3"/>
        <w:kinsoku w:val="0"/>
        <w:ind w:leftChars="200" w:left="1360" w:hangingChars="200" w:hanging="680"/>
        <w:rPr>
          <w:rFonts w:hAnsi="標楷體"/>
          <w:color w:val="000000"/>
        </w:rPr>
      </w:pPr>
      <w:r w:rsidRPr="001A197C">
        <w:rPr>
          <w:rFonts w:hAnsi="標楷體" w:hint="eastAsia"/>
          <w:color w:val="000000"/>
        </w:rPr>
        <w:t>復據國產局提供近10年（89年至98年）出售土地之資料</w:t>
      </w:r>
      <w:r>
        <w:rPr>
          <w:rFonts w:hAnsi="標楷體" w:hint="eastAsia"/>
          <w:color w:val="000000"/>
        </w:rPr>
        <w:t>顯示</w:t>
      </w:r>
      <w:r w:rsidRPr="001A197C">
        <w:rPr>
          <w:rFonts w:hAnsi="標楷體" w:hint="eastAsia"/>
          <w:color w:val="000000"/>
        </w:rPr>
        <w:t>，共計</w:t>
      </w:r>
      <w:r w:rsidRPr="001A197C">
        <w:rPr>
          <w:rFonts w:hAnsi="標楷體"/>
          <w:color w:val="000000"/>
        </w:rPr>
        <w:t>76,621</w:t>
      </w:r>
      <w:r w:rsidRPr="001A197C">
        <w:rPr>
          <w:rFonts w:hAnsi="標楷體" w:hint="eastAsia"/>
          <w:color w:val="000000"/>
        </w:rPr>
        <w:t>筆，面積</w:t>
      </w:r>
      <w:r w:rsidRPr="001A197C">
        <w:rPr>
          <w:rFonts w:hAnsi="標楷體"/>
          <w:color w:val="000000"/>
        </w:rPr>
        <w:t>2,473</w:t>
      </w:r>
      <w:r w:rsidRPr="001A197C">
        <w:rPr>
          <w:rFonts w:hAnsi="標楷體" w:hint="eastAsia"/>
          <w:color w:val="000000"/>
        </w:rPr>
        <w:t>公頃，金額</w:t>
      </w:r>
      <w:r w:rsidRPr="001A197C">
        <w:rPr>
          <w:rFonts w:hAnsi="標楷體"/>
          <w:color w:val="000000"/>
        </w:rPr>
        <w:t>2,606.57</w:t>
      </w:r>
      <w:r w:rsidRPr="001A197C">
        <w:rPr>
          <w:rFonts w:hAnsi="標楷體" w:hint="eastAsia"/>
          <w:color w:val="000000"/>
        </w:rPr>
        <w:t>億元，其中部分出售案件係依法令或配合國家政策，對於公共福祉具有積極正面之作用。</w:t>
      </w:r>
      <w:r w:rsidR="00AF237A" w:rsidRPr="0065660E">
        <w:rPr>
          <w:rFonts w:hAnsi="標楷體" w:hint="eastAsia"/>
          <w:color w:val="000000" w:themeColor="text1"/>
        </w:rPr>
        <w:t>另就臺北市、</w:t>
      </w:r>
      <w:r w:rsidR="00367663">
        <w:rPr>
          <w:rFonts w:hAnsi="標楷體" w:hint="eastAsia"/>
          <w:color w:val="FF0000"/>
        </w:rPr>
        <w:t>新北市</w:t>
      </w:r>
      <w:r w:rsidR="00AF237A" w:rsidRPr="0065660E">
        <w:rPr>
          <w:rFonts w:hAnsi="標楷體" w:hint="eastAsia"/>
          <w:color w:val="000000" w:themeColor="text1"/>
        </w:rPr>
        <w:t>內出售之國有土地進行分析，其合計筆數、面積占全國之比例並不高（分別為15.27%、5.7%），惟合計金額卻占全國之60.89%，尤以臺北市更達49.69%，顯示臺北都會地區房地產上漲情形遠超過其他縣市，其出售後是否合理使用更有深入了解之必要。</w:t>
      </w:r>
      <w:r w:rsidRPr="001A197C">
        <w:rPr>
          <w:rFonts w:hAnsi="標楷體" w:hint="eastAsia"/>
          <w:color w:val="000000"/>
        </w:rPr>
        <w:t>據該局等政府單位所提供</w:t>
      </w:r>
      <w:r>
        <w:rPr>
          <w:rFonts w:hAnsi="標楷體" w:hint="eastAsia"/>
          <w:color w:val="000000"/>
        </w:rPr>
        <w:t>之</w:t>
      </w:r>
      <w:r w:rsidRPr="001A197C">
        <w:rPr>
          <w:rFonts w:hAnsi="標楷體" w:hint="eastAsia"/>
          <w:color w:val="000000"/>
        </w:rPr>
        <w:t>臺北都會區國有</w:t>
      </w:r>
      <w:r>
        <w:rPr>
          <w:rFonts w:hAnsi="標楷體" w:hint="eastAsia"/>
          <w:color w:val="000000"/>
        </w:rPr>
        <w:t>非公用</w:t>
      </w:r>
      <w:r w:rsidRPr="001A197C">
        <w:rPr>
          <w:rFonts w:hAnsi="標楷體" w:hint="eastAsia"/>
          <w:color w:val="000000"/>
        </w:rPr>
        <w:t>土地出售資料分析結果，</w:t>
      </w:r>
      <w:r w:rsidR="004C78EF" w:rsidRPr="001A197C">
        <w:rPr>
          <w:rFonts w:hAnsi="標楷體" w:hint="eastAsia"/>
          <w:color w:val="000000"/>
        </w:rPr>
        <w:t>自92年發生SARS後之93年至98年止，</w:t>
      </w:r>
      <w:r>
        <w:rPr>
          <w:rFonts w:hAnsi="標楷體" w:hint="eastAsia"/>
          <w:color w:val="000000"/>
        </w:rPr>
        <w:t>共計出售</w:t>
      </w:r>
      <w:r w:rsidRPr="001A197C">
        <w:rPr>
          <w:rFonts w:hAnsi="標楷體" w:hint="eastAsia"/>
          <w:color w:val="000000"/>
        </w:rPr>
        <w:t>199案，出售總面積約19.1公頃。其中迄98年</w:t>
      </w:r>
      <w:r w:rsidR="00AA3881">
        <w:rPr>
          <w:rFonts w:hAnsi="標楷體" w:hint="eastAsia"/>
          <w:color w:val="000000"/>
        </w:rPr>
        <w:t>止</w:t>
      </w:r>
      <w:r w:rsidRPr="001A197C">
        <w:rPr>
          <w:rFonts w:hAnsi="標楷體" w:hint="eastAsia"/>
          <w:color w:val="000000"/>
        </w:rPr>
        <w:t>未曾申請建築執照者共有62案，另已申請建築執照而尚未開工者有13案；尚未開發案，共計75案。這些仍未開發之土地，占全部出售案之37.69％，面積約6.4公頃，占全部出售面積之33.67％。又，未曾申請建築執照之62案中，有32案已轉手他人，占未曾申請建築執照案總數之51.61％，面積約3</w:t>
      </w:r>
      <w:r w:rsidRPr="001A197C">
        <w:rPr>
          <w:rFonts w:hAnsi="標楷體" w:hint="eastAsia"/>
          <w:color w:val="000000"/>
        </w:rPr>
        <w:lastRenderedPageBreak/>
        <w:t>公頃，占未曾申請建築執照案總面積之54.15％ ；而且土地取得之時間越久者，未開發而轉手他人</w:t>
      </w:r>
      <w:r w:rsidR="00A77FA1">
        <w:rPr>
          <w:rFonts w:hAnsi="標楷體" w:hint="eastAsia"/>
          <w:color w:val="000000"/>
        </w:rPr>
        <w:t>之</w:t>
      </w:r>
      <w:r w:rsidRPr="001A197C">
        <w:rPr>
          <w:rFonts w:hAnsi="標楷體" w:hint="eastAsia"/>
          <w:color w:val="000000"/>
        </w:rPr>
        <w:t>情形亦越多，</w:t>
      </w:r>
      <w:r w:rsidRPr="007070D9">
        <w:rPr>
          <w:rFonts w:hAnsi="標楷體" w:hint="eastAsia"/>
          <w:b/>
          <w:color w:val="000000"/>
        </w:rPr>
        <w:t>部分案件更已轉手多次（轉手3次者計6案、轉手4次</w:t>
      </w:r>
      <w:r w:rsidR="00AF237A" w:rsidRPr="007070D9">
        <w:rPr>
          <w:rFonts w:hAnsi="標楷體" w:hint="eastAsia"/>
          <w:b/>
          <w:color w:val="000000" w:themeColor="text1"/>
        </w:rPr>
        <w:t>以上</w:t>
      </w:r>
      <w:r w:rsidRPr="007070D9">
        <w:rPr>
          <w:rFonts w:hAnsi="標楷體" w:hint="eastAsia"/>
          <w:b/>
          <w:color w:val="000000"/>
        </w:rPr>
        <w:t>者計8案）</w:t>
      </w:r>
      <w:r w:rsidRPr="001A197C">
        <w:rPr>
          <w:rFonts w:hAnsi="標楷體" w:hint="eastAsia"/>
          <w:color w:val="000000"/>
        </w:rPr>
        <w:t>。</w:t>
      </w:r>
    </w:p>
    <w:p w:rsidR="00D967BB" w:rsidRPr="001A197C" w:rsidRDefault="00D967BB" w:rsidP="00D967BB">
      <w:pPr>
        <w:pStyle w:val="3"/>
        <w:kinsoku w:val="0"/>
        <w:ind w:leftChars="200" w:left="1360" w:hangingChars="200" w:hanging="680"/>
        <w:rPr>
          <w:rFonts w:hAnsi="標楷體"/>
          <w:color w:val="000000"/>
        </w:rPr>
      </w:pPr>
      <w:r w:rsidRPr="001A197C">
        <w:rPr>
          <w:rFonts w:hAnsi="標楷體" w:hint="eastAsia"/>
          <w:color w:val="000000"/>
        </w:rPr>
        <w:t>以國產局於95年3月間標售之坐落臺北市大安區瑞安段1小段220地號等5筆土地及同小段220-2地號等3筆土地（簡稱信義聯勤俱樂部土地）2案為例，面積合計7,690平方公尺（約0.77公頃，2,326坪），標售總金額為63億8,476萬元</w:t>
      </w:r>
      <w:r>
        <w:rPr>
          <w:rFonts w:hAnsi="標楷體" w:hint="eastAsia"/>
          <w:color w:val="000000"/>
        </w:rPr>
        <w:t>。</w:t>
      </w:r>
      <w:r w:rsidRPr="001A197C">
        <w:rPr>
          <w:rFonts w:hAnsi="標楷體" w:hint="eastAsia"/>
          <w:color w:val="000000"/>
        </w:rPr>
        <w:t>得標者</w:t>
      </w:r>
      <w:r>
        <w:rPr>
          <w:rFonts w:hAnsi="標楷體" w:hint="eastAsia"/>
          <w:color w:val="000000"/>
        </w:rPr>
        <w:t>於</w:t>
      </w:r>
      <w:r w:rsidRPr="001A197C">
        <w:rPr>
          <w:rFonts w:hAnsi="標楷體" w:hint="eastAsia"/>
          <w:color w:val="000000"/>
        </w:rPr>
        <w:t>陸續取得毗鄰私有畸零地後，未</w:t>
      </w:r>
      <w:r>
        <w:rPr>
          <w:rFonts w:hAnsi="標楷體" w:hint="eastAsia"/>
          <w:color w:val="000000"/>
        </w:rPr>
        <w:t>經</w:t>
      </w:r>
      <w:r w:rsidRPr="001A197C">
        <w:rPr>
          <w:rFonts w:hAnsi="標楷體" w:hint="eastAsia"/>
          <w:color w:val="000000"/>
        </w:rPr>
        <w:t>開發使用即於97年7月間轉售，轉售單價分別超出國產局原標售單價42.5％</w:t>
      </w:r>
      <w:r>
        <w:rPr>
          <w:rFonts w:hAnsi="標楷體" w:hint="eastAsia"/>
          <w:color w:val="000000"/>
        </w:rPr>
        <w:t>及</w:t>
      </w:r>
      <w:r w:rsidRPr="001A197C">
        <w:rPr>
          <w:rFonts w:hAnsi="標楷體" w:hint="eastAsia"/>
          <w:color w:val="000000"/>
        </w:rPr>
        <w:t>54.8％。顯示臺北都會區國有土地出售後，遭長期囤積等待價格上漲後再推案，或直接交易土地獲利之情形確</w:t>
      </w:r>
      <w:r>
        <w:rPr>
          <w:rFonts w:hAnsi="標楷體" w:hint="eastAsia"/>
          <w:color w:val="000000"/>
        </w:rPr>
        <w:t>實</w:t>
      </w:r>
      <w:r w:rsidRPr="001A197C">
        <w:rPr>
          <w:rFonts w:hAnsi="標楷體" w:hint="eastAsia"/>
          <w:color w:val="000000"/>
        </w:rPr>
        <w:t>存在。而此等案件國產局當初出售之目的，大多主要係為挹注財政收入。</w:t>
      </w:r>
    </w:p>
    <w:p w:rsidR="00D967BB" w:rsidRDefault="00D967BB" w:rsidP="00D967BB">
      <w:pPr>
        <w:pStyle w:val="3"/>
        <w:kinsoku w:val="0"/>
        <w:ind w:leftChars="200" w:left="1360" w:hangingChars="200" w:hanging="680"/>
        <w:rPr>
          <w:rFonts w:hAnsi="標楷體"/>
          <w:color w:val="000000"/>
        </w:rPr>
      </w:pPr>
      <w:r w:rsidRPr="001A197C">
        <w:rPr>
          <w:rFonts w:hAnsi="標楷體" w:hint="eastAsia"/>
          <w:color w:val="000000"/>
        </w:rPr>
        <w:t>綜上所述，財政部暨所屬國產局長久以來經</w:t>
      </w:r>
      <w:r>
        <w:rPr>
          <w:rFonts w:hAnsi="標楷體" w:hint="eastAsia"/>
          <w:color w:val="000000"/>
        </w:rPr>
        <w:t>管</w:t>
      </w:r>
      <w:r w:rsidRPr="001A197C">
        <w:rPr>
          <w:rFonts w:hAnsi="標楷體" w:hint="eastAsia"/>
          <w:color w:val="000000"/>
        </w:rPr>
        <w:t>國有非公用土地，取得國有非公用土地之收入（含出售、出租、設定地上權、委託經營等）占中央政府歲入之比例並不高，但其中仍以出售國有土地之收入所占比例為最高，故其經營策略主要仍以出售土地方式挹注財政收入，並獲取短期利潤之極大化。</w:t>
      </w:r>
      <w:r>
        <w:rPr>
          <w:rFonts w:hAnsi="標楷體" w:hint="eastAsia"/>
          <w:color w:val="000000"/>
        </w:rPr>
        <w:t>然</w:t>
      </w:r>
      <w:r w:rsidRPr="001A197C">
        <w:rPr>
          <w:rFonts w:hAnsi="標楷體" w:hint="eastAsia"/>
          <w:color w:val="000000"/>
        </w:rPr>
        <w:t>此部分珍貴之全民資產，出售之後，已無法再由國家永續經營，無疑將本屬於全民所共享之未來長期穩定收益，全部歸於少數私人享有，嚴重悖離以永續經營與全民福祉為依歸、謀求國有土地利用效率及公義平衡之平均地權理念與憲法其他相關規定，更造成部分國有土地出售後，遭長期囤積等待</w:t>
      </w:r>
      <w:r w:rsidRPr="001A197C">
        <w:rPr>
          <w:rFonts w:hAnsi="標楷體" w:hint="eastAsia"/>
          <w:bCs w:val="0"/>
          <w:color w:val="000000"/>
        </w:rPr>
        <w:t>價格上漲後再推案，或直接交易土地獲利</w:t>
      </w:r>
      <w:r w:rsidRPr="001A197C">
        <w:rPr>
          <w:rFonts w:hAnsi="標楷體" w:hint="eastAsia"/>
          <w:color w:val="000000"/>
        </w:rPr>
        <w:t>，財政部暨所屬國產局未能善盡經營管理之責任，顯有疏失。</w:t>
      </w:r>
    </w:p>
    <w:p w:rsidR="00D967BB" w:rsidRPr="00E8532E" w:rsidRDefault="00D967BB" w:rsidP="00D967BB">
      <w:pPr>
        <w:pStyle w:val="2"/>
        <w:numPr>
          <w:ilvl w:val="1"/>
          <w:numId w:val="2"/>
        </w:numPr>
        <w:kinsoku w:val="0"/>
        <w:ind w:left="1020" w:hanging="680"/>
        <w:rPr>
          <w:rFonts w:hAnsi="標楷體"/>
          <w:b/>
          <w:color w:val="000000"/>
        </w:rPr>
      </w:pPr>
      <w:r w:rsidRPr="00E8532E">
        <w:rPr>
          <w:rFonts w:hAnsi="標楷體" w:hint="eastAsia"/>
          <w:b/>
          <w:color w:val="000000"/>
        </w:rPr>
        <w:t>財政部等相關單位，對於現今已存在之國有非公用土</w:t>
      </w:r>
      <w:r w:rsidRPr="00E8532E">
        <w:rPr>
          <w:rFonts w:hAnsi="標楷體" w:hint="eastAsia"/>
          <w:b/>
          <w:color w:val="000000"/>
        </w:rPr>
        <w:lastRenderedPageBreak/>
        <w:t>地出售後，遭囤積獲利之情況，雖已採取部分金融管制措施；而財政部僅以研擬「國有非公用土地出售後之原價買回辦理原則」為對策，並期盼由地方政府配合課徵空地稅等事後補救措施以為防止，惟成效均相當有限，核財政部暨所屬國產局出售國有非公用土地，事前既未設立相關機制，出售後又缺乏妥善監督機制，洵有疏失。</w:t>
      </w:r>
    </w:p>
    <w:p w:rsidR="00D967BB" w:rsidRPr="001A197C" w:rsidRDefault="00D967BB" w:rsidP="00D967BB">
      <w:pPr>
        <w:pStyle w:val="3"/>
        <w:kinsoku w:val="0"/>
        <w:ind w:leftChars="200" w:left="1360" w:hangingChars="200" w:hanging="680"/>
        <w:rPr>
          <w:rFonts w:hAnsi="標楷體"/>
          <w:color w:val="000000"/>
        </w:rPr>
      </w:pPr>
      <w:r w:rsidRPr="001A197C">
        <w:rPr>
          <w:rFonts w:hAnsi="標楷體" w:hint="eastAsia"/>
          <w:color w:val="000000"/>
        </w:rPr>
        <w:t>按平均地權之市地政策強調都市土地之直接合理使用，惟國產局以挹注財政收入為出售國有非公用土之主要目的，致部分國有土地出售後，遭長期囤積</w:t>
      </w:r>
      <w:r w:rsidRPr="001A197C">
        <w:rPr>
          <w:rFonts w:hAnsi="標楷體" w:hint="eastAsia"/>
          <w:bCs w:val="0"/>
          <w:color w:val="000000"/>
        </w:rPr>
        <w:t>獲利</w:t>
      </w:r>
      <w:r w:rsidRPr="001A197C">
        <w:rPr>
          <w:rFonts w:hAnsi="標楷體" w:hint="eastAsia"/>
          <w:color w:val="000000"/>
        </w:rPr>
        <w:t>，已如前述。政府相關單位</w:t>
      </w:r>
      <w:r w:rsidRPr="001A197C">
        <w:rPr>
          <w:rFonts w:hAnsi="標楷體" w:hint="eastAsia"/>
          <w:color w:val="000000"/>
        </w:rPr>
        <w:tab/>
        <w:t>對類此已發生之情形是否有所因應，經詢據行政院金融管理委員會表示：中央銀行依中央銀行法第28條、第29條、第31條及銀行法第37條第2項、第40條之規定，於99年6月24日發布「中央銀行對金融機構辦理特定地區購屋貸款業務規定」，對金融機構承作特定地區（臺北市、板橋市、三重市、中和市、永和市、新莊市、新店市、土城市、蘆洲市、樹林市、汐止市）購屋貸款 ，借款人本人已有1戶以上房屋（含基地）為抵押之擔保放款，限制其貸款條件，該會配合「中央銀行對金融機構辦理特定地區購屋貸款業務規定」，持續加強金融檢查，金融機構辦理本規定如有違反情事，該會將依據銀行法等相關規定予以懲處</w:t>
      </w:r>
      <w:r>
        <w:rPr>
          <w:rFonts w:hAnsi="標楷體" w:hint="eastAsia"/>
          <w:color w:val="000000"/>
        </w:rPr>
        <w:t>云云</w:t>
      </w:r>
      <w:r w:rsidRPr="001A197C">
        <w:rPr>
          <w:rFonts w:hAnsi="標楷體" w:hint="eastAsia"/>
          <w:color w:val="000000"/>
        </w:rPr>
        <w:t>。另詢據中央銀行則表示：</w:t>
      </w:r>
      <w:r w:rsidRPr="001A197C">
        <w:rPr>
          <w:rFonts w:hAnsi="標楷體" w:hint="eastAsia"/>
          <w:color w:val="000000"/>
        </w:rPr>
        <w:tab/>
        <w:t>主管機關就銀行授信風險控管是否審慎及營運健全等原則，得進行一般例行性金檢。基於總體金融穩定之考量，曾對銀行辦理高價標脫土地之土地融資進行道德勸說，促請銀行設定較嚴格貸款條件（較高利率、較低成數等），覈實評估建商提出</w:t>
      </w:r>
      <w:r>
        <w:rPr>
          <w:rFonts w:hAnsi="標楷體" w:hint="eastAsia"/>
          <w:color w:val="000000"/>
        </w:rPr>
        <w:t>之</w:t>
      </w:r>
      <w:r w:rsidRPr="001A197C">
        <w:rPr>
          <w:rFonts w:hAnsi="標楷體" w:hint="eastAsia"/>
          <w:color w:val="000000"/>
        </w:rPr>
        <w:t>土地開發計畫及擔保品價值，以避免建商養地或炒作土地，並提醒</w:t>
      </w:r>
      <w:r w:rsidRPr="001A197C">
        <w:rPr>
          <w:rFonts w:hAnsi="標楷體" w:hint="eastAsia"/>
          <w:color w:val="000000"/>
        </w:rPr>
        <w:lastRenderedPageBreak/>
        <w:t>銀行應加強注意授信風險</w:t>
      </w:r>
      <w:r>
        <w:rPr>
          <w:rFonts w:hAnsi="標楷體" w:hint="eastAsia"/>
          <w:color w:val="000000"/>
        </w:rPr>
        <w:t>云云</w:t>
      </w:r>
      <w:r w:rsidRPr="001A197C">
        <w:rPr>
          <w:rFonts w:hAnsi="標楷體" w:hint="eastAsia"/>
          <w:color w:val="000000"/>
        </w:rPr>
        <w:t>。又該二機關均表示，國有土地之標售及後續開發利用事宜，係屬財政部之職權。</w:t>
      </w:r>
    </w:p>
    <w:p w:rsidR="00D967BB" w:rsidRPr="001A197C" w:rsidRDefault="00D967BB" w:rsidP="00D967BB">
      <w:pPr>
        <w:pStyle w:val="3"/>
        <w:kinsoku w:val="0"/>
        <w:ind w:leftChars="200" w:left="1360" w:hangingChars="200" w:hanging="680"/>
        <w:rPr>
          <w:rFonts w:hAnsi="標楷體"/>
          <w:color w:val="000000"/>
        </w:rPr>
      </w:pPr>
      <w:r w:rsidRPr="001A197C">
        <w:rPr>
          <w:rFonts w:hAnsi="標楷體" w:hint="eastAsia"/>
          <w:color w:val="000000"/>
        </w:rPr>
        <w:t>詢據財政部表示，依平均地權條例第26條、第71條、第72條針對私有空地及超額未建築土地之限期利用已有相關規定，為防止類此情形發生，國產局業依該部指示，擬訂「國有非公用土地出售後之原價買回辦理原則」，並自99年5月13日起，就臺北市、</w:t>
      </w:r>
      <w:r w:rsidR="00367663">
        <w:rPr>
          <w:rFonts w:hAnsi="標楷體" w:hint="eastAsia"/>
          <w:color w:val="FF0000"/>
        </w:rPr>
        <w:t>新北市</w:t>
      </w:r>
      <w:r w:rsidRPr="001A197C">
        <w:rPr>
          <w:rFonts w:hAnsi="標楷體" w:hint="eastAsia"/>
          <w:color w:val="000000"/>
        </w:rPr>
        <w:t>都市計畫地區內國有土地面積在100坪以上者辦理預告登記，於利用（即取得建造執照並開工）前禁止移轉予第三人，未於2年內（須經都市設計審議者為3年）利用即以原價買回。</w:t>
      </w:r>
    </w:p>
    <w:p w:rsidR="00D967BB" w:rsidRPr="001A197C" w:rsidRDefault="00D967BB" w:rsidP="00D967BB">
      <w:pPr>
        <w:pStyle w:val="3"/>
        <w:kinsoku w:val="0"/>
        <w:ind w:leftChars="200" w:left="1360" w:hangingChars="200" w:hanging="680"/>
        <w:rPr>
          <w:rFonts w:hAnsi="標楷體"/>
          <w:color w:val="000000"/>
        </w:rPr>
      </w:pPr>
      <w:r w:rsidRPr="001A197C">
        <w:rPr>
          <w:rFonts w:hAnsi="標楷體" w:hint="eastAsia"/>
          <w:color w:val="000000"/>
        </w:rPr>
        <w:t>惟查上述行政院金融管理委員會、中央銀行之相關措施，對於遏止長期囤積</w:t>
      </w:r>
      <w:r w:rsidRPr="001A197C">
        <w:rPr>
          <w:rFonts w:hAnsi="標楷體" w:hint="eastAsia"/>
          <w:bCs w:val="0"/>
          <w:color w:val="000000"/>
        </w:rPr>
        <w:t>獲利</w:t>
      </w:r>
      <w:r w:rsidRPr="001A197C">
        <w:rPr>
          <w:rFonts w:hAnsi="標楷體" w:hint="eastAsia"/>
          <w:color w:val="000000"/>
        </w:rPr>
        <w:t>之實際成效</w:t>
      </w:r>
      <w:r>
        <w:rPr>
          <w:rFonts w:hAnsi="標楷體" w:hint="eastAsia"/>
          <w:color w:val="000000"/>
        </w:rPr>
        <w:t>尚屬</w:t>
      </w:r>
      <w:r w:rsidRPr="001A197C">
        <w:rPr>
          <w:rFonts w:hAnsi="標楷體" w:hint="eastAsia"/>
          <w:color w:val="000000"/>
        </w:rPr>
        <w:t>有限。又，平均地權條例規定有關私有空地及超額未建築土地限期利用之主管機關為直轄市或縣（市）等地方政府。而地方政府是否願意配合國有土地出售而劃定區域限期建築，並課徵空地稅，尚屬未知。縱</w:t>
      </w:r>
      <w:r>
        <w:rPr>
          <w:rFonts w:hAnsi="標楷體" w:hint="eastAsia"/>
          <w:color w:val="000000"/>
        </w:rPr>
        <w:t>地方政府</w:t>
      </w:r>
      <w:r w:rsidRPr="001A197C">
        <w:rPr>
          <w:rFonts w:hAnsi="標楷體" w:hint="eastAsia"/>
          <w:color w:val="000000"/>
        </w:rPr>
        <w:t>配合課徵空地稅，亦涉及「空地」實際認定及相關配套措施是否妥適之問題。例如：有些建地申請建造執照後，在審核通過前，將土地</w:t>
      </w:r>
      <w:r>
        <w:rPr>
          <w:rFonts w:hAnsi="標楷體" w:hint="eastAsia"/>
          <w:color w:val="000000"/>
        </w:rPr>
        <w:t>之</w:t>
      </w:r>
      <w:r w:rsidRPr="001A197C">
        <w:rPr>
          <w:rFonts w:hAnsi="標楷體" w:hint="eastAsia"/>
          <w:color w:val="000000"/>
        </w:rPr>
        <w:t>使用用途申請變更為臨時停車場使用；或雖有建造執照且已申報開工，但實際上並無施工利用，</w:t>
      </w:r>
      <w:r>
        <w:rPr>
          <w:rFonts w:hAnsi="標楷體" w:hint="eastAsia"/>
          <w:color w:val="000000"/>
        </w:rPr>
        <w:t>是否能</w:t>
      </w:r>
      <w:r w:rsidRPr="001A197C">
        <w:rPr>
          <w:rFonts w:hAnsi="標楷體" w:hint="eastAsia"/>
          <w:color w:val="000000"/>
        </w:rPr>
        <w:t>認定為空地</w:t>
      </w:r>
      <w:r>
        <w:rPr>
          <w:rFonts w:hAnsi="標楷體" w:hint="eastAsia"/>
          <w:color w:val="000000"/>
        </w:rPr>
        <w:t>；此外</w:t>
      </w:r>
      <w:r w:rsidRPr="001A197C">
        <w:rPr>
          <w:rFonts w:hAnsi="標楷體" w:hint="eastAsia"/>
          <w:color w:val="000000"/>
        </w:rPr>
        <w:t>課徵之稅額是否足以達到遏止類此情形發生之效果，地方政府是否有能力照價收買</w:t>
      </w:r>
      <w:r>
        <w:rPr>
          <w:rFonts w:hAnsi="標楷體" w:hint="eastAsia"/>
          <w:color w:val="000000"/>
        </w:rPr>
        <w:t>等</w:t>
      </w:r>
      <w:r w:rsidRPr="001A197C">
        <w:rPr>
          <w:rFonts w:hAnsi="標楷體" w:hint="eastAsia"/>
          <w:color w:val="000000"/>
        </w:rPr>
        <w:t>，均有待協調與評估。另國產局所訂「國有非公用土地出售後之原標售價格買回辦理原則」，</w:t>
      </w:r>
      <w:r w:rsidR="00117247" w:rsidRPr="0065660E">
        <w:rPr>
          <w:rFonts w:hAnsi="標楷體" w:hint="eastAsia"/>
          <w:color w:val="000000" w:themeColor="text1"/>
        </w:rPr>
        <w:t>其適法性似值商榷</w:t>
      </w:r>
      <w:r w:rsidR="00117247" w:rsidRPr="00F21346">
        <w:rPr>
          <w:rFonts w:hAnsi="標楷體" w:hint="eastAsia"/>
          <w:color w:val="000000" w:themeColor="text1"/>
        </w:rPr>
        <w:t>，</w:t>
      </w:r>
      <w:r w:rsidR="00117247" w:rsidRPr="005616EB">
        <w:rPr>
          <w:rFonts w:hAnsi="標楷體" w:hint="eastAsia"/>
          <w:color w:val="000000" w:themeColor="text1"/>
        </w:rPr>
        <w:t>一旦發生爭議，</w:t>
      </w:r>
      <w:r w:rsidR="00117247" w:rsidRPr="0065660E">
        <w:rPr>
          <w:rFonts w:hAnsi="標楷體" w:hint="eastAsia"/>
          <w:color w:val="000000" w:themeColor="text1"/>
        </w:rPr>
        <w:t>猶賴</w:t>
      </w:r>
      <w:r w:rsidR="00117247" w:rsidRPr="005616EB">
        <w:rPr>
          <w:rFonts w:hAnsi="標楷體" w:hint="eastAsia"/>
          <w:color w:val="000000" w:themeColor="text1"/>
        </w:rPr>
        <w:t>司法途徑解決，</w:t>
      </w:r>
      <w:r w:rsidRPr="001A197C">
        <w:rPr>
          <w:rFonts w:hAnsi="標楷體" w:hint="eastAsia"/>
          <w:color w:val="000000"/>
        </w:rPr>
        <w:t>曠日費時，</w:t>
      </w:r>
      <w:r w:rsidR="00117247" w:rsidRPr="0065660E">
        <w:rPr>
          <w:rFonts w:hAnsi="標楷體" w:hint="eastAsia"/>
          <w:color w:val="000000" w:themeColor="text1"/>
        </w:rPr>
        <w:t>且如</w:t>
      </w:r>
      <w:r w:rsidRPr="001A197C">
        <w:rPr>
          <w:rFonts w:hAnsi="標楷體" w:hint="eastAsia"/>
          <w:color w:val="000000"/>
        </w:rPr>
        <w:t>遇市場不景氣而土地價格下跌，依契約</w:t>
      </w:r>
      <w:r>
        <w:rPr>
          <w:rFonts w:hAnsi="標楷體" w:hint="eastAsia"/>
          <w:color w:val="000000"/>
        </w:rPr>
        <w:t>竟</w:t>
      </w:r>
      <w:r w:rsidRPr="001A197C">
        <w:rPr>
          <w:rFonts w:hAnsi="標楷體" w:hint="eastAsia"/>
          <w:color w:val="000000"/>
        </w:rPr>
        <w:t>需由政府照原標售價格買回，無疑保證得標者</w:t>
      </w:r>
      <w:r w:rsidRPr="001A197C">
        <w:rPr>
          <w:rFonts w:hAnsi="標楷體" w:hint="eastAsia"/>
          <w:color w:val="000000"/>
        </w:rPr>
        <w:lastRenderedPageBreak/>
        <w:t>之虧損</w:t>
      </w:r>
      <w:r>
        <w:rPr>
          <w:rFonts w:hAnsi="標楷體" w:hint="eastAsia"/>
          <w:color w:val="000000"/>
        </w:rPr>
        <w:t>反</w:t>
      </w:r>
      <w:r w:rsidRPr="001A197C">
        <w:rPr>
          <w:rFonts w:hAnsi="標楷體" w:hint="eastAsia"/>
          <w:color w:val="000000"/>
        </w:rPr>
        <w:t>由全民共同負擔。而且依國產局所訂上開原則，國有非公用土地出售後，如果取得建造執照並開工，便不禁止移轉予第三人</w:t>
      </w:r>
      <w:r>
        <w:rPr>
          <w:rFonts w:hAnsi="標楷體" w:hint="eastAsia"/>
          <w:color w:val="000000"/>
        </w:rPr>
        <w:t>；</w:t>
      </w:r>
      <w:r w:rsidRPr="001A197C">
        <w:rPr>
          <w:rFonts w:hAnsi="標楷體" w:hint="eastAsia"/>
          <w:color w:val="000000"/>
        </w:rPr>
        <w:t>惟取得建造執照並申報開工後，實際上仍可不施工、不利用，必要時可變更設計，增加建築期限，以避免建造執照失效，繼續囤積獲利，故該原則之相關規範有欠周延。</w:t>
      </w:r>
    </w:p>
    <w:p w:rsidR="00D967BB" w:rsidRDefault="00D967BB" w:rsidP="00D967BB">
      <w:pPr>
        <w:pStyle w:val="3"/>
        <w:kinsoku w:val="0"/>
        <w:ind w:leftChars="200" w:left="1360" w:hangingChars="200" w:hanging="680"/>
        <w:rPr>
          <w:rFonts w:hAnsi="標楷體"/>
          <w:color w:val="000000"/>
        </w:rPr>
      </w:pPr>
      <w:r w:rsidRPr="001A197C">
        <w:rPr>
          <w:rFonts w:hAnsi="標楷體" w:hint="eastAsia"/>
          <w:color w:val="000000"/>
        </w:rPr>
        <w:t>綜上，財政部等相關單位，對於現今已存在之國有非公用土地出售後，遭囤積獲利之情況，雖已採取部分金融管制措施，惟成效相當有限。更重要者，財政部為防止未來類此情形發生，僅研擬「國有非公用土地出售後之原價買回辦理原則」，並由地方政府配合課徵空地稅等事後補救措施以資因應，顯不周延。按平均地權之理念，既在強調都市土地之直接合理使用，然財政部及所屬國產局，於研擬國有非公用土地供私人使用時，未預先設立相關機制，例如：設定使用人所應具備之資格，以避免挾龐大資金而非真正自行使用之業者</w:t>
      </w:r>
      <w:r w:rsidRPr="0065660E">
        <w:rPr>
          <w:rFonts w:hAnsi="標楷體" w:hint="eastAsia"/>
          <w:b/>
          <w:color w:val="000000"/>
        </w:rPr>
        <w:t>（據國產局提供臺北市都會區國有土地出售資料，出售予壽險業者即有</w:t>
      </w:r>
      <w:r w:rsidR="00117247" w:rsidRPr="0065660E">
        <w:rPr>
          <w:rFonts w:hAnsi="標楷體" w:hint="eastAsia"/>
          <w:b/>
          <w:color w:val="000000" w:themeColor="text1"/>
        </w:rPr>
        <w:t>11案、面積</w:t>
      </w:r>
      <w:r w:rsidR="00117247" w:rsidRPr="0065660E">
        <w:rPr>
          <w:rFonts w:hAnsi="標楷體"/>
          <w:b/>
          <w:color w:val="000000" w:themeColor="text1"/>
        </w:rPr>
        <w:t>35,235.42</w:t>
      </w:r>
      <w:r w:rsidR="00367663" w:rsidRPr="00367663">
        <w:rPr>
          <w:rFonts w:hAnsi="標楷體" w:hint="eastAsia"/>
          <w:b/>
          <w:color w:val="FF0000"/>
        </w:rPr>
        <w:t>平方公尺</w:t>
      </w:r>
      <w:r w:rsidR="00117247" w:rsidRPr="0065660E">
        <w:rPr>
          <w:rFonts w:hAnsi="標楷體" w:hint="eastAsia"/>
          <w:b/>
          <w:color w:val="000000" w:themeColor="text1"/>
        </w:rPr>
        <w:t>，占出售總面積18.45％</w:t>
      </w:r>
      <w:r w:rsidRPr="0065660E">
        <w:rPr>
          <w:rFonts w:hAnsi="標楷體" w:hint="eastAsia"/>
          <w:b/>
          <w:color w:val="000000"/>
        </w:rPr>
        <w:t>）</w:t>
      </w:r>
      <w:r w:rsidRPr="001A197C">
        <w:rPr>
          <w:rFonts w:hAnsi="標楷體" w:hint="eastAsia"/>
          <w:color w:val="000000"/>
        </w:rPr>
        <w:t>標購國有土地，取得土地權利後卻不開發之情形發生，並要求申請人提出土地開發計畫，組成專家委員會審查其開發內容及效益、時程等，經由事前嚴格之篩選與評估，務期真正需要且有充分使用能力</w:t>
      </w:r>
      <w:r>
        <w:rPr>
          <w:rFonts w:hAnsi="標楷體" w:hint="eastAsia"/>
          <w:color w:val="000000"/>
        </w:rPr>
        <w:t>者</w:t>
      </w:r>
      <w:r w:rsidRPr="001A197C">
        <w:rPr>
          <w:rFonts w:hAnsi="標楷體" w:hint="eastAsia"/>
          <w:color w:val="000000"/>
        </w:rPr>
        <w:t>取得土地權利。惟查現行國有非公用土地之收益與處分程序，於上述預先管制機制均付之闕如，以標售為例，僅係以出價最高者得標，一旦土地標售完成後，對該土地之後續使用、移轉等均無法加以約束，此為造成得標者長期囤積等待</w:t>
      </w:r>
      <w:r w:rsidRPr="001A197C">
        <w:rPr>
          <w:rFonts w:hAnsi="標楷體" w:hint="eastAsia"/>
          <w:bCs w:val="0"/>
          <w:color w:val="000000"/>
        </w:rPr>
        <w:t>價格上漲後再推案，或直接交易土地</w:t>
      </w:r>
      <w:r w:rsidRPr="001A197C">
        <w:rPr>
          <w:rFonts w:hAnsi="標楷體" w:hint="eastAsia"/>
          <w:color w:val="000000"/>
        </w:rPr>
        <w:t>獲利之重要原因。是以，財政部暨所屬國產局出售國有非公用土地，</w:t>
      </w:r>
      <w:r w:rsidRPr="001A197C">
        <w:rPr>
          <w:rFonts w:hAnsi="標楷體" w:hint="eastAsia"/>
          <w:color w:val="000000"/>
        </w:rPr>
        <w:lastRenderedPageBreak/>
        <w:t>事前既未設立相關機制，出售後又缺乏妥善監督機制，洵有疏失。</w:t>
      </w:r>
    </w:p>
    <w:p w:rsidR="00D967BB" w:rsidRPr="00E8532E" w:rsidRDefault="00D967BB" w:rsidP="00D967BB">
      <w:pPr>
        <w:pStyle w:val="2"/>
        <w:numPr>
          <w:ilvl w:val="1"/>
          <w:numId w:val="2"/>
        </w:numPr>
        <w:kinsoku w:val="0"/>
        <w:ind w:left="1020" w:hanging="680"/>
        <w:rPr>
          <w:rFonts w:hAnsi="標楷體"/>
          <w:b/>
          <w:color w:val="000000"/>
        </w:rPr>
      </w:pPr>
      <w:r w:rsidRPr="00E8532E">
        <w:rPr>
          <w:rFonts w:hAnsi="標楷體" w:hint="eastAsia"/>
          <w:b/>
          <w:color w:val="000000"/>
        </w:rPr>
        <w:t>財政部暨所屬國產局所管國有土地之經營管理原則與政策，缺乏整體性與一貫性，其出售條件隨著歷任行政院長之更替，因人、因時而異，未有完整分析評估之依據；又，財政部雖擬訂「強化國有財產管理及運用效益方案」，但如何具體落實，制度設計上顯然欠缺經營管理與執行成果之評估機制，核均有未當</w:t>
      </w:r>
      <w:r w:rsidRPr="00E8532E">
        <w:rPr>
          <w:rFonts w:hint="eastAsia"/>
          <w:b/>
          <w:color w:val="000000"/>
        </w:rPr>
        <w:t>。</w:t>
      </w:r>
    </w:p>
    <w:p w:rsidR="00D967BB" w:rsidRPr="001A197C" w:rsidRDefault="00D967BB" w:rsidP="00D967BB">
      <w:pPr>
        <w:pStyle w:val="3"/>
        <w:kinsoku w:val="0"/>
        <w:ind w:leftChars="200" w:left="1360" w:hangingChars="200" w:hanging="680"/>
        <w:rPr>
          <w:rFonts w:hAnsi="標楷體"/>
          <w:color w:val="000000"/>
        </w:rPr>
      </w:pPr>
      <w:r w:rsidRPr="001A197C">
        <w:rPr>
          <w:rFonts w:hAnsi="標楷體" w:hint="eastAsia"/>
          <w:color w:val="000000"/>
        </w:rPr>
        <w:t>依國產局提供之資料觀之，該局經管之國有非公用土地面積合計22萬餘公頃，其中應留供公用、撥用者之面積</w:t>
      </w:r>
      <w:r>
        <w:rPr>
          <w:rFonts w:hAnsi="標楷體" w:hint="eastAsia"/>
          <w:color w:val="000000"/>
        </w:rPr>
        <w:t>，</w:t>
      </w:r>
      <w:r w:rsidRPr="001A197C">
        <w:rPr>
          <w:rFonts w:hAnsi="標楷體" w:hint="eastAsia"/>
          <w:color w:val="000000"/>
        </w:rPr>
        <w:t>分別為國家公園用地4,727公頃、國土保安用地2萬5,353公頃、公共設施用地1萬8,688公頃，農林漁牧用地</w:t>
      </w:r>
      <w:r w:rsidR="001B5523" w:rsidRPr="001A197C">
        <w:rPr>
          <w:rFonts w:hAnsi="標楷體" w:hint="eastAsia"/>
          <w:color w:val="000000"/>
        </w:rPr>
        <w:t>16萬5,101公頃</w:t>
      </w:r>
      <w:r w:rsidR="001B5523">
        <w:rPr>
          <w:rFonts w:hAnsi="標楷體" w:hint="eastAsia"/>
          <w:color w:val="000000"/>
        </w:rPr>
        <w:t>，</w:t>
      </w:r>
      <w:r w:rsidRPr="001A197C">
        <w:rPr>
          <w:rFonts w:hAnsi="標楷體" w:hint="eastAsia"/>
          <w:color w:val="000000"/>
        </w:rPr>
        <w:t>建築用地則8,202公頃，為龐大之全民資產，對國家整體發展</w:t>
      </w:r>
      <w:r>
        <w:rPr>
          <w:rFonts w:hAnsi="標楷體" w:hint="eastAsia"/>
          <w:color w:val="000000"/>
        </w:rPr>
        <w:t>之</w:t>
      </w:r>
      <w:r w:rsidRPr="001A197C">
        <w:rPr>
          <w:rFonts w:hAnsi="標楷體" w:hint="eastAsia"/>
          <w:color w:val="000000"/>
        </w:rPr>
        <w:t>推動具有重大之影響力。而其中仍有將近4成之土地未提供利用，在這些土地中，又以占用、閒置、待勘查為最大宗，</w:t>
      </w:r>
      <w:r w:rsidR="00C83D74">
        <w:rPr>
          <w:rFonts w:hAnsi="標楷體" w:hint="eastAsia"/>
          <w:color w:val="000000"/>
        </w:rPr>
        <w:t>約</w:t>
      </w:r>
      <w:r w:rsidRPr="001A197C">
        <w:rPr>
          <w:rFonts w:hAnsi="標楷體" w:hint="eastAsia"/>
          <w:color w:val="000000"/>
        </w:rPr>
        <w:t>占96.96％。此部分國有土地如何提供利用，以謀取效率及公義之平衡，達成「地盡其利」、「地利共享」之公共利益極大化之目標，至為重要。</w:t>
      </w:r>
    </w:p>
    <w:p w:rsidR="00D967BB" w:rsidRPr="001A197C" w:rsidRDefault="00D967BB" w:rsidP="00D967BB">
      <w:pPr>
        <w:pStyle w:val="3"/>
        <w:kinsoku w:val="0"/>
        <w:ind w:leftChars="200" w:left="1360" w:hangingChars="200" w:hanging="680"/>
        <w:rPr>
          <w:rFonts w:hAnsi="標楷體"/>
          <w:color w:val="000000"/>
        </w:rPr>
      </w:pPr>
      <w:r w:rsidRPr="001A197C">
        <w:rPr>
          <w:rFonts w:hAnsi="標楷體" w:hint="eastAsia"/>
          <w:color w:val="000000"/>
        </w:rPr>
        <w:t>然而，公共利益</w:t>
      </w:r>
      <w:r>
        <w:rPr>
          <w:rFonts w:hAnsi="標楷體" w:hint="eastAsia"/>
          <w:color w:val="000000"/>
        </w:rPr>
        <w:t>之</w:t>
      </w:r>
      <w:r w:rsidRPr="001A197C">
        <w:rPr>
          <w:rFonts w:hAnsi="標楷體" w:hint="eastAsia"/>
          <w:color w:val="000000"/>
        </w:rPr>
        <w:t>產出，與政府財政目的並非全然相容，亦即該土地利用若非以提供政府所需財源或提升財政收入為主要目的，究應如何處理，尚待對於國有土地進行完整之調查與分類，並進一步形成各地區國有土地對公共利益提供潛能</w:t>
      </w:r>
      <w:r>
        <w:rPr>
          <w:rFonts w:hAnsi="標楷體" w:hint="eastAsia"/>
          <w:color w:val="000000"/>
        </w:rPr>
        <w:t>之</w:t>
      </w:r>
      <w:r w:rsidRPr="001A197C">
        <w:rPr>
          <w:rFonts w:hAnsi="標楷體" w:hint="eastAsia"/>
          <w:color w:val="000000"/>
        </w:rPr>
        <w:t>評估，</w:t>
      </w:r>
      <w:r>
        <w:rPr>
          <w:rFonts w:hAnsi="標楷體" w:hint="eastAsia"/>
          <w:color w:val="000000"/>
        </w:rPr>
        <w:t>始</w:t>
      </w:r>
      <w:r w:rsidRPr="001A197C">
        <w:rPr>
          <w:rFonts w:hAnsi="標楷體" w:hint="eastAsia"/>
          <w:color w:val="000000"/>
        </w:rPr>
        <w:t>能發展出各地區國有土地之最適使用原則。</w:t>
      </w:r>
    </w:p>
    <w:p w:rsidR="00D967BB" w:rsidRPr="001A197C" w:rsidRDefault="00D967BB" w:rsidP="00D967BB">
      <w:pPr>
        <w:pStyle w:val="3"/>
        <w:kinsoku w:val="0"/>
        <w:ind w:leftChars="200" w:left="1360" w:hangingChars="200" w:hanging="680"/>
        <w:rPr>
          <w:rFonts w:hAnsi="標楷體"/>
          <w:color w:val="000000"/>
        </w:rPr>
      </w:pPr>
      <w:r w:rsidRPr="001A197C">
        <w:rPr>
          <w:rFonts w:hAnsi="標楷體" w:hint="eastAsia"/>
          <w:color w:val="000000"/>
        </w:rPr>
        <w:t>據財政部提供20年來國有土地經營管理原則與政策之演變資料顯示，內政部於79年召開全國土地問題會議，即揭示公有土地儘量保持公有，並加強開發利用之政策方向。</w:t>
      </w:r>
      <w:r>
        <w:rPr>
          <w:rFonts w:hAnsi="標楷體" w:hint="eastAsia"/>
          <w:color w:val="000000"/>
        </w:rPr>
        <w:t>惟</w:t>
      </w:r>
      <w:r w:rsidRPr="001A197C">
        <w:rPr>
          <w:rFonts w:hAnsi="標楷體" w:hint="eastAsia"/>
          <w:color w:val="000000"/>
        </w:rPr>
        <w:t>行政院於82年7月21日訂</w:t>
      </w:r>
      <w:r w:rsidRPr="001A197C">
        <w:rPr>
          <w:rFonts w:hAnsi="標楷體" w:hint="eastAsia"/>
          <w:color w:val="000000"/>
        </w:rPr>
        <w:lastRenderedPageBreak/>
        <w:t>頒「公有土地經營及處理原則」之第7點規定：</w:t>
      </w:r>
      <w:r>
        <w:rPr>
          <w:rFonts w:hAnsi="標楷體" w:hint="eastAsia"/>
          <w:color w:val="000000"/>
        </w:rPr>
        <w:t>「</w:t>
      </w:r>
      <w:r w:rsidRPr="001A197C">
        <w:rPr>
          <w:rFonts w:hAnsi="標楷體" w:hint="eastAsia"/>
          <w:color w:val="000000"/>
        </w:rPr>
        <w:t>公有土地應以不出售為原則，但合於特定條件者，得予出售。</w:t>
      </w:r>
      <w:r>
        <w:rPr>
          <w:rFonts w:hAnsi="標楷體" w:hint="eastAsia"/>
          <w:color w:val="000000"/>
        </w:rPr>
        <w:t>」，</w:t>
      </w:r>
      <w:r w:rsidRPr="001A197C">
        <w:rPr>
          <w:rFonts w:hAnsi="標楷體" w:hint="eastAsia"/>
          <w:color w:val="000000"/>
        </w:rPr>
        <w:t>嗣後又多次修正得予出售之條件，並核定「國有宿舍及眷舍房地加強處理方案」、「國土復育策略方案暨行動計畫」等多項重大政策。至98年10月8日吳</w:t>
      </w:r>
      <w:r w:rsidRPr="001A197C">
        <w:rPr>
          <w:rFonts w:hAnsi="標楷體" w:hint="eastAsia"/>
          <w:color w:val="000000"/>
        </w:rPr>
        <w:tab/>
        <w:t>院長指示「500坪以上國有土地不辦理標售」後，99年2月3日再修正發布「出租之國有非公用不動產得予讓售範圍準則」，同年3月2日</w:t>
      </w:r>
      <w:r w:rsidRPr="001A197C">
        <w:rPr>
          <w:rFonts w:hAnsi="標楷體" w:hint="eastAsia"/>
          <w:color w:val="000000"/>
        </w:rPr>
        <w:tab/>
        <w:t>、5月13日又指示國產局「停止標售臺北市區國有土地」並</w:t>
      </w:r>
      <w:r w:rsidRPr="001A197C">
        <w:rPr>
          <w:rFonts w:hAnsi="標楷體" w:hint="eastAsia"/>
          <w:color w:val="000000"/>
        </w:rPr>
        <w:tab/>
        <w:t>建立「國有非公用土地出售後之買回機制」。審視上述各項政策內容，雖尚能秉持公有土地不出售之原則，惟缺乏整體性與一貫性，尤以例外得出售之條件隨著歷任行政院長之更替</w:t>
      </w:r>
      <w:r>
        <w:rPr>
          <w:rFonts w:hAnsi="標楷體" w:hint="eastAsia"/>
          <w:color w:val="000000"/>
        </w:rPr>
        <w:t>，</w:t>
      </w:r>
      <w:r w:rsidRPr="001A197C">
        <w:rPr>
          <w:rFonts w:hAnsi="標楷體" w:hint="eastAsia"/>
          <w:color w:val="000000"/>
        </w:rPr>
        <w:t>因人、因時而異，其政策決定過程更缺乏完整分析評估之依據。</w:t>
      </w:r>
    </w:p>
    <w:p w:rsidR="00D967BB" w:rsidRPr="001A197C" w:rsidRDefault="00D967BB" w:rsidP="00D967BB">
      <w:pPr>
        <w:pStyle w:val="3"/>
        <w:kinsoku w:val="0"/>
        <w:ind w:leftChars="200" w:left="1360" w:hangingChars="200" w:hanging="680"/>
        <w:rPr>
          <w:rFonts w:hAnsi="標楷體"/>
          <w:color w:val="000000"/>
        </w:rPr>
      </w:pPr>
      <w:r w:rsidRPr="001A197C">
        <w:rPr>
          <w:rFonts w:hAnsi="標楷體" w:hint="eastAsia"/>
          <w:color w:val="000000"/>
        </w:rPr>
        <w:t>另財政部為回應</w:t>
      </w:r>
      <w:r w:rsidRPr="001A197C">
        <w:rPr>
          <w:rFonts w:hAnsi="標楷體" w:hint="eastAsia"/>
          <w:bCs w:val="0"/>
          <w:color w:val="000000"/>
        </w:rPr>
        <w:t>社會各界對</w:t>
      </w:r>
      <w:r>
        <w:rPr>
          <w:rFonts w:hAnsi="標楷體" w:hint="eastAsia"/>
          <w:bCs w:val="0"/>
          <w:color w:val="000000"/>
        </w:rPr>
        <w:t>以往</w:t>
      </w:r>
      <w:r w:rsidRPr="001A197C">
        <w:rPr>
          <w:rFonts w:hAnsi="標楷體" w:hint="eastAsia"/>
          <w:bCs w:val="0"/>
          <w:color w:val="000000"/>
        </w:rPr>
        <w:t>以出售方式處理國有土地之批評，</w:t>
      </w:r>
      <w:r>
        <w:rPr>
          <w:rFonts w:hAnsi="標楷體" w:hint="eastAsia"/>
          <w:bCs w:val="0"/>
          <w:color w:val="000000"/>
        </w:rPr>
        <w:t>乃</w:t>
      </w:r>
      <w:r w:rsidRPr="001A197C">
        <w:rPr>
          <w:rFonts w:hAnsi="標楷體" w:hint="eastAsia"/>
          <w:color w:val="000000"/>
        </w:rPr>
        <w:t>擬訂「強化國有財產管理及運用效益方案」</w:t>
      </w:r>
      <w:r>
        <w:rPr>
          <w:rFonts w:hAnsi="標楷體" w:hint="eastAsia"/>
          <w:color w:val="000000"/>
        </w:rPr>
        <w:t>，</w:t>
      </w:r>
      <w:r w:rsidRPr="001A197C">
        <w:rPr>
          <w:rFonts w:hAnsi="標楷體" w:hint="eastAsia"/>
          <w:color w:val="000000"/>
        </w:rPr>
        <w:t>以期兼顧經濟發展、社會公益</w:t>
      </w:r>
      <w:r>
        <w:rPr>
          <w:rFonts w:hAnsi="標楷體" w:hint="eastAsia"/>
          <w:color w:val="000000"/>
        </w:rPr>
        <w:t>及</w:t>
      </w:r>
      <w:r w:rsidRPr="001A197C">
        <w:rPr>
          <w:rFonts w:hAnsi="標楷體" w:hint="eastAsia"/>
          <w:color w:val="000000"/>
        </w:rPr>
        <w:t>環境永續三者，並提升國有財產之運用效益</w:t>
      </w:r>
      <w:r>
        <w:rPr>
          <w:rFonts w:hAnsi="標楷體" w:hint="eastAsia"/>
          <w:color w:val="000000"/>
        </w:rPr>
        <w:t>。該方案在</w:t>
      </w:r>
      <w:r w:rsidRPr="001A197C">
        <w:rPr>
          <w:rFonts w:hAnsi="標楷體" w:hint="eastAsia"/>
          <w:color w:val="000000"/>
        </w:rPr>
        <w:t>非公用土地部分，提出「加強開發利用、創造永續財富」策略及「公用優先，落實成本效益觀念、加強以設定地上權方式辦理開發利用、積極參與都市更新、結合目的事業主管機關合作開發、多元化運用國有土地，提高孳息收入」等多項措施。審其內容，</w:t>
      </w:r>
      <w:r>
        <w:rPr>
          <w:rFonts w:hAnsi="標楷體" w:hint="eastAsia"/>
          <w:color w:val="000000"/>
        </w:rPr>
        <w:t>雖</w:t>
      </w:r>
      <w:r w:rsidRPr="001A197C">
        <w:rPr>
          <w:rFonts w:hAnsi="標楷體" w:hint="eastAsia"/>
          <w:color w:val="000000"/>
        </w:rPr>
        <w:t>尚能秉持國有土地利用效率及公義之平衡，惟該等方案與措施如何具體落實，標的如何篩選，使整體國有土地開發利用之效率極大化，</w:t>
      </w:r>
      <w:r>
        <w:rPr>
          <w:rFonts w:hAnsi="標楷體" w:hint="eastAsia"/>
          <w:color w:val="000000"/>
        </w:rPr>
        <w:t>其</w:t>
      </w:r>
      <w:r w:rsidRPr="001A197C">
        <w:rPr>
          <w:rFonts w:hAnsi="標楷體" w:hint="eastAsia"/>
          <w:color w:val="000000"/>
        </w:rPr>
        <w:t>相關評估機制</w:t>
      </w:r>
      <w:r>
        <w:rPr>
          <w:rFonts w:hAnsi="標楷體" w:hint="eastAsia"/>
          <w:color w:val="000000"/>
        </w:rPr>
        <w:t>仍</w:t>
      </w:r>
      <w:r w:rsidRPr="001A197C">
        <w:rPr>
          <w:rFonts w:hAnsi="標楷體" w:hint="eastAsia"/>
          <w:color w:val="000000"/>
        </w:rPr>
        <w:t>付之闕如。</w:t>
      </w:r>
    </w:p>
    <w:p w:rsidR="00D967BB" w:rsidRPr="001A197C" w:rsidRDefault="00D967BB" w:rsidP="00D967BB">
      <w:pPr>
        <w:pStyle w:val="3"/>
        <w:kinsoku w:val="0"/>
        <w:ind w:leftChars="200" w:left="1360" w:hangingChars="200" w:hanging="680"/>
        <w:rPr>
          <w:rFonts w:hAnsi="標楷體"/>
          <w:color w:val="000000"/>
        </w:rPr>
      </w:pPr>
      <w:r w:rsidRPr="001A197C">
        <w:rPr>
          <w:rFonts w:hAnsi="標楷體" w:hint="eastAsia"/>
          <w:color w:val="000000"/>
        </w:rPr>
        <w:t>以上述信義聯勤俱樂部土地出售案為例，92年間行政院游前院長指示國產局儘快尋找臺北市可興建旅</w:t>
      </w:r>
      <w:r w:rsidRPr="001A197C">
        <w:rPr>
          <w:rFonts w:hAnsi="標楷體" w:hint="eastAsia"/>
          <w:color w:val="000000"/>
        </w:rPr>
        <w:lastRenderedPageBreak/>
        <w:t>館</w:t>
      </w:r>
      <w:r>
        <w:rPr>
          <w:rFonts w:hAnsi="標楷體" w:hint="eastAsia"/>
          <w:color w:val="000000"/>
        </w:rPr>
        <w:t>之</w:t>
      </w:r>
      <w:r w:rsidRPr="001A197C">
        <w:rPr>
          <w:rFonts w:hAnsi="標楷體" w:hint="eastAsia"/>
          <w:color w:val="000000"/>
        </w:rPr>
        <w:t>公有土地，經該局選定6處土地，其中1處即為信義聯勤俱樂部土地。惟94年5月27日</w:t>
      </w:r>
      <w:r w:rsidRPr="001A197C">
        <w:rPr>
          <w:rFonts w:hAnsi="標楷體" w:hint="eastAsia"/>
          <w:color w:val="000000"/>
        </w:rPr>
        <w:tab/>
        <w:t>行政院經濟建設委員會召開會議，卻基於國家資產最佳利用原則，以擬釋出之國有土地均位於臺北市區極佳之地段，不宜開放民間招商投資平價旅館為由停辦，國產局旋於94年7月22日函請該局臺灣北區辦事處盡速研議處分信義聯勤俱樂部土地事宜。嗣於94年10月26日</w:t>
      </w:r>
      <w:r w:rsidRPr="001A197C">
        <w:rPr>
          <w:rFonts w:hAnsi="標楷體" w:hint="eastAsia"/>
          <w:color w:val="000000"/>
        </w:rPr>
        <w:tab/>
        <w:t>經行政院核定改納入營改基金，於95年3月2日完成標售程序。審其決策過程，從最初興建平價旅館</w:t>
      </w:r>
      <w:r>
        <w:rPr>
          <w:rFonts w:hAnsi="標楷體" w:hint="eastAsia"/>
          <w:color w:val="000000"/>
        </w:rPr>
        <w:t>至</w:t>
      </w:r>
      <w:r w:rsidRPr="001A197C">
        <w:rPr>
          <w:rFonts w:hAnsi="標楷體" w:hint="eastAsia"/>
          <w:color w:val="000000"/>
        </w:rPr>
        <w:t>最後納入營改基金而採公開招標方式出售，均未見提出何謂「國家資產最佳利用原則」之評估依據，亦未見完整而詳細之評估程序與資料，未採永續經營原則，將未來長期穩定之利益歸全民共享</w:t>
      </w:r>
      <w:r>
        <w:rPr>
          <w:rFonts w:hAnsi="標楷體" w:hint="eastAsia"/>
          <w:color w:val="000000"/>
        </w:rPr>
        <w:t>，</w:t>
      </w:r>
      <w:r w:rsidRPr="001A197C">
        <w:rPr>
          <w:rFonts w:hAnsi="標楷體" w:hint="eastAsia"/>
          <w:color w:val="000000"/>
        </w:rPr>
        <w:t>最後竟以納入營改基金為由，將如此精華之國有土地</w:t>
      </w:r>
      <w:r>
        <w:rPr>
          <w:rFonts w:hAnsi="標楷體" w:hint="eastAsia"/>
          <w:color w:val="000000"/>
        </w:rPr>
        <w:t>出</w:t>
      </w:r>
      <w:r w:rsidRPr="001A197C">
        <w:rPr>
          <w:rFonts w:hAnsi="標楷體" w:hint="eastAsia"/>
          <w:color w:val="000000"/>
        </w:rPr>
        <w:t>售，任令取得者坐擁其後續不斷增值之利益。</w:t>
      </w:r>
    </w:p>
    <w:p w:rsidR="00896C2A" w:rsidRDefault="00D967BB" w:rsidP="00F85829">
      <w:pPr>
        <w:pStyle w:val="3"/>
        <w:kinsoku w:val="0"/>
        <w:ind w:leftChars="200" w:left="1360" w:hangingChars="200" w:hanging="680"/>
      </w:pPr>
      <w:r w:rsidRPr="00D967BB">
        <w:rPr>
          <w:rFonts w:hAnsi="標楷體" w:hint="eastAsia"/>
          <w:color w:val="000000"/>
        </w:rPr>
        <w:t>國有土地之管理涉及土地使用規劃、資產投資經營管理、公共服務成本效益分析等各項專業領域，不同類型之國有土地應給予不同之經營管理規範標準，各種經營處分方式亦須有配套機制。依現行行政組織，財政部雖為國有土地之經營管理原則與策略之擬定機關，惟缺乏上述之相關專業評估機制。另行政院為統合國家資產之經營管理、強化資產之運用效益，雖於91年4月成立國家資產經營管理委員會，惟該委員會之組成主要為行政院所屬各相關部會之正（副）首長，其主要功能在於處理資產管理一元化之問題，並無法擬訂實質經營管理之策略。故如何透過相關制度與專業評估機制，發揮公有土地效率，並提升公共利益，實為公有土地經營管理之根本原則。綜上，</w:t>
      </w:r>
      <w:bookmarkStart w:id="40" w:name="_Toc152666656"/>
      <w:bookmarkStart w:id="41" w:name="_Toc153204438"/>
      <w:bookmarkStart w:id="42" w:name="_Toc173470242"/>
      <w:bookmarkStart w:id="43" w:name="_Toc173550101"/>
      <w:bookmarkStart w:id="44" w:name="_Toc173559082"/>
      <w:bookmarkStart w:id="45" w:name="_Toc174468030"/>
      <w:bookmarkStart w:id="46" w:name="_Toc174848988"/>
      <w:bookmarkStart w:id="47" w:name="_Toc176073649"/>
      <w:bookmarkStart w:id="48" w:name="_Toc176879893"/>
      <w:r w:rsidRPr="00D967BB">
        <w:rPr>
          <w:rFonts w:hAnsi="標楷體" w:hint="eastAsia"/>
          <w:color w:val="000000"/>
        </w:rPr>
        <w:t>財政部暨所屬國產局所管國有土</w:t>
      </w:r>
      <w:r w:rsidRPr="00D967BB">
        <w:rPr>
          <w:rFonts w:hAnsi="標楷體" w:hint="eastAsia"/>
          <w:color w:val="000000"/>
        </w:rPr>
        <w:lastRenderedPageBreak/>
        <w:t>地之經營管理原則與政策，缺乏整體性與一貫性，其出售條件隨著歷任行政院長之更替，因人、因時而異，未有完整分析評估之依據；又，財政部雖擬訂「強化國有財產管理及運用效益方案」，但如何具體落實，制度設計上顯然欠缺經營管理與執行成果之評估機制，核均有未當</w:t>
      </w:r>
      <w:r w:rsidRPr="00D967BB">
        <w:rPr>
          <w:rFonts w:hint="eastAsia"/>
          <w:color w:val="000000"/>
        </w:rPr>
        <w:t>。</w:t>
      </w:r>
      <w:bookmarkEnd w:id="40"/>
      <w:bookmarkEnd w:id="41"/>
      <w:bookmarkEnd w:id="42"/>
      <w:bookmarkEnd w:id="43"/>
      <w:bookmarkEnd w:id="44"/>
      <w:bookmarkEnd w:id="45"/>
      <w:bookmarkEnd w:id="46"/>
      <w:bookmarkEnd w:id="47"/>
      <w:bookmarkEnd w:id="48"/>
    </w:p>
    <w:p w:rsidR="00175BC0" w:rsidRDefault="00175BC0" w:rsidP="00175BC0">
      <w:pPr>
        <w:pStyle w:val="3"/>
        <w:numPr>
          <w:ilvl w:val="0"/>
          <w:numId w:val="0"/>
        </w:numPr>
        <w:ind w:left="1393"/>
      </w:pPr>
    </w:p>
    <w:bookmarkEnd w:id="37"/>
    <w:p w:rsidR="00896C2A" w:rsidRPr="00E804AB" w:rsidRDefault="00C55463" w:rsidP="00E804AB">
      <w:pPr>
        <w:pStyle w:val="11"/>
        <w:ind w:left="680" w:firstLine="680"/>
      </w:pPr>
      <w:r>
        <w:rPr>
          <w:rFonts w:hint="eastAsia"/>
        </w:rPr>
        <w:t>綜上所述，</w:t>
      </w:r>
      <w:r w:rsidR="00D967BB" w:rsidRPr="001A197C">
        <w:rPr>
          <w:rFonts w:hAnsi="標楷體" w:hint="eastAsia"/>
          <w:color w:val="000000"/>
        </w:rPr>
        <w:t>財政部暨所屬國有財產局經管國有非公用土地，主要以出售土地方式挹注財政收入，未能秉持永續經營理念，謀求國有土地利用效率及公義之平衡，更造成部分國有土地出售後，遭長期囤積等待價格上漲後再推案，或直接交易土地獲利，</w:t>
      </w:r>
      <w:r w:rsidR="00D967BB">
        <w:rPr>
          <w:rFonts w:hAnsi="標楷體" w:hint="eastAsia"/>
          <w:color w:val="000000"/>
        </w:rPr>
        <w:t>核</w:t>
      </w:r>
      <w:r w:rsidR="00D967BB" w:rsidRPr="001A197C">
        <w:rPr>
          <w:rFonts w:hAnsi="標楷體" w:hint="eastAsia"/>
          <w:color w:val="000000"/>
        </w:rPr>
        <w:t>有未善盡經營管理之責</w:t>
      </w:r>
      <w:r w:rsidR="00505A73">
        <w:rPr>
          <w:rFonts w:hint="eastAsia"/>
        </w:rPr>
        <w:t>，</w:t>
      </w:r>
      <w:r>
        <w:rPr>
          <w:rFonts w:hint="eastAsia"/>
        </w:rPr>
        <w:t>爰依監察法第24條提案糾正，送請行政院</w:t>
      </w:r>
      <w:r w:rsidR="00730A89">
        <w:rPr>
          <w:rFonts w:hint="eastAsia"/>
        </w:rPr>
        <w:t>轉</w:t>
      </w:r>
      <w:r>
        <w:rPr>
          <w:rFonts w:hint="eastAsia"/>
        </w:rPr>
        <w:t>飭</w:t>
      </w:r>
      <w:bookmarkEnd w:id="38"/>
      <w:r w:rsidR="00C3308E">
        <w:rPr>
          <w:rFonts w:hint="eastAsia"/>
        </w:rPr>
        <w:t>所屬</w:t>
      </w:r>
      <w:r w:rsidR="00730A89">
        <w:rPr>
          <w:rFonts w:hint="eastAsia"/>
          <w:bCs/>
          <w:color w:val="000000"/>
        </w:rPr>
        <w:t>確實檢討改善見復。</w:t>
      </w:r>
    </w:p>
    <w:p w:rsidR="00E804AB" w:rsidRDefault="00E804AB" w:rsidP="00175BC0">
      <w:pPr>
        <w:ind w:leftChars="200" w:left="680" w:firstLineChars="200" w:firstLine="680"/>
        <w:rPr>
          <w:rFonts w:ascii="標楷體"/>
          <w:bCs/>
          <w:kern w:val="0"/>
        </w:rPr>
      </w:pPr>
    </w:p>
    <w:sectPr w:rsidR="00E804AB" w:rsidSect="00EC3291">
      <w:footerReference w:type="even" r:id="rId8"/>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3F47" w:rsidRDefault="009F3F47">
      <w:r>
        <w:separator/>
      </w:r>
    </w:p>
  </w:endnote>
  <w:endnote w:type="continuationSeparator" w:id="0">
    <w:p w:rsidR="009F3F47" w:rsidRDefault="009F3F47">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01F6" w:rsidRDefault="00BE2090">
    <w:pPr>
      <w:framePr w:wrap="around" w:vAnchor="text" w:hAnchor="margin" w:xAlign="center" w:y="1"/>
      <w:ind w:left="640" w:firstLine="400"/>
      <w:textDirection w:val="btLr"/>
      <w:rPr>
        <w:rStyle w:val="a5"/>
      </w:rPr>
    </w:pPr>
    <w:r>
      <w:rPr>
        <w:rStyle w:val="a5"/>
      </w:rPr>
      <w:fldChar w:fldCharType="begin"/>
    </w:r>
    <w:r w:rsidR="00BE01F6">
      <w:rPr>
        <w:rStyle w:val="a5"/>
      </w:rPr>
      <w:instrText xml:space="preserve">PAGE  </w:instrText>
    </w:r>
    <w:r>
      <w:rPr>
        <w:rStyle w:val="a5"/>
      </w:rPr>
      <w:fldChar w:fldCharType="separate"/>
    </w:r>
    <w:r w:rsidR="00BE01F6">
      <w:rPr>
        <w:rStyle w:val="a5"/>
        <w:noProof/>
      </w:rPr>
      <w:t>3</w:t>
    </w:r>
    <w:r>
      <w:rPr>
        <w:rStyle w:val="a5"/>
      </w:rPr>
      <w:fldChar w:fldCharType="end"/>
    </w:r>
  </w:p>
  <w:p w:rsidR="00BE01F6" w:rsidRDefault="00BE01F6">
    <w:pPr>
      <w:ind w:left="768" w:right="360" w:hanging="44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01F6" w:rsidRDefault="00BE2090">
    <w:pPr>
      <w:pStyle w:val="a8"/>
      <w:framePr w:wrap="around" w:vAnchor="text" w:hAnchor="margin" w:xAlign="center" w:y="1"/>
      <w:rPr>
        <w:rStyle w:val="a5"/>
        <w:sz w:val="24"/>
      </w:rPr>
    </w:pPr>
    <w:r>
      <w:rPr>
        <w:rStyle w:val="a5"/>
        <w:sz w:val="24"/>
      </w:rPr>
      <w:fldChar w:fldCharType="begin"/>
    </w:r>
    <w:r w:rsidR="00BE01F6">
      <w:rPr>
        <w:rStyle w:val="a5"/>
        <w:sz w:val="24"/>
      </w:rPr>
      <w:instrText xml:space="preserve">PAGE  </w:instrText>
    </w:r>
    <w:r>
      <w:rPr>
        <w:rStyle w:val="a5"/>
        <w:sz w:val="24"/>
      </w:rPr>
      <w:fldChar w:fldCharType="separate"/>
    </w:r>
    <w:r w:rsidR="001F1206">
      <w:rPr>
        <w:rStyle w:val="a5"/>
        <w:noProof/>
        <w:sz w:val="24"/>
      </w:rPr>
      <w:t>11</w:t>
    </w:r>
    <w:r>
      <w:rPr>
        <w:rStyle w:val="a5"/>
        <w:sz w:val="24"/>
      </w:rPr>
      <w:fldChar w:fldCharType="end"/>
    </w:r>
  </w:p>
  <w:p w:rsidR="00BE01F6" w:rsidRDefault="00BE01F6">
    <w:pPr>
      <w:ind w:left="640" w:right="360" w:firstLine="44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3F47" w:rsidRDefault="009F3F47">
      <w:r>
        <w:separator/>
      </w:r>
    </w:p>
  </w:footnote>
  <w:footnote w:type="continuationSeparator" w:id="0">
    <w:p w:rsidR="009F3F47" w:rsidRDefault="009F3F4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0E010C"/>
    <w:multiLevelType w:val="multilevel"/>
    <w:tmpl w:val="DD3256F8"/>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1045" w:hanging="697"/>
      </w:pPr>
      <w:rPr>
        <w:rFonts w:ascii="標楷體" w:eastAsia="標楷體" w:hint="eastAsia"/>
        <w:b w:val="0"/>
        <w:i w:val="0"/>
        <w:snapToGrid/>
        <w:spacing w:val="0"/>
        <w:w w:val="100"/>
        <w:position w:val="0"/>
        <w:sz w:val="32"/>
        <w:em w:val="none"/>
      </w:rPr>
    </w:lvl>
    <w:lvl w:ilvl="2">
      <w:start w:val="1"/>
      <w:numFmt w:val="taiwaneseCountingThousand"/>
      <w:pStyle w:val="3"/>
      <w:suff w:val="nothing"/>
      <w:lvlText w:val="(%3)"/>
      <w:lvlJc w:val="left"/>
      <w:pPr>
        <w:ind w:left="1393"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1741" w:hanging="698"/>
      </w:pPr>
      <w:rPr>
        <w:rFonts w:ascii="標楷體" w:eastAsia="標楷體" w:hint="eastAsia"/>
        <w:b w:val="0"/>
        <w:i w:val="0"/>
        <w:spacing w:val="0"/>
        <w:w w:val="100"/>
        <w:position w:val="0"/>
        <w:sz w:val="32"/>
      </w:rPr>
    </w:lvl>
    <w:lvl w:ilvl="4">
      <w:start w:val="1"/>
      <w:numFmt w:val="decimalFullWidth"/>
      <w:pStyle w:val="5"/>
      <w:suff w:val="nothing"/>
      <w:lvlText w:val="(%5)"/>
      <w:lvlJc w:val="left"/>
      <w:pPr>
        <w:ind w:left="2094"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1" w:hanging="697"/>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5" w:hanging="353"/>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87"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num w:numId="1">
    <w:abstractNumId w:val="0"/>
  </w:num>
  <w:num w:numId="2">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defaultTabStop w:val="0"/>
  <w:drawingGridHorizontalSpacing w:val="170"/>
  <w:drawingGridVerticalSpacing w:val="457"/>
  <w:displayHorizontalDrawingGridEvery w:val="0"/>
  <w:characterSpacingControl w:val="compressPunctuation"/>
  <w:hdrShapeDefaults>
    <o:shapedefaults v:ext="edit" spidmax="15362"/>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3D4184"/>
    <w:rsid w:val="00081C97"/>
    <w:rsid w:val="000B71A6"/>
    <w:rsid w:val="000F19EF"/>
    <w:rsid w:val="00117247"/>
    <w:rsid w:val="00175BC0"/>
    <w:rsid w:val="00180A7C"/>
    <w:rsid w:val="001B5523"/>
    <w:rsid w:val="001F1206"/>
    <w:rsid w:val="001F14DC"/>
    <w:rsid w:val="00275EC3"/>
    <w:rsid w:val="00310437"/>
    <w:rsid w:val="00367663"/>
    <w:rsid w:val="00383C57"/>
    <w:rsid w:val="003D4184"/>
    <w:rsid w:val="00451E6D"/>
    <w:rsid w:val="004A1F08"/>
    <w:rsid w:val="004C78EF"/>
    <w:rsid w:val="004F2107"/>
    <w:rsid w:val="00505A73"/>
    <w:rsid w:val="00543181"/>
    <w:rsid w:val="005A080E"/>
    <w:rsid w:val="005D198E"/>
    <w:rsid w:val="005F2B5E"/>
    <w:rsid w:val="00614DAD"/>
    <w:rsid w:val="0065660E"/>
    <w:rsid w:val="006E178C"/>
    <w:rsid w:val="007070D9"/>
    <w:rsid w:val="00730A89"/>
    <w:rsid w:val="00750A56"/>
    <w:rsid w:val="00847EDF"/>
    <w:rsid w:val="00896C2A"/>
    <w:rsid w:val="008A2DAB"/>
    <w:rsid w:val="008B6E1F"/>
    <w:rsid w:val="009142C1"/>
    <w:rsid w:val="00956EFD"/>
    <w:rsid w:val="0096472F"/>
    <w:rsid w:val="0098335E"/>
    <w:rsid w:val="009B1D1B"/>
    <w:rsid w:val="009F3F47"/>
    <w:rsid w:val="00A45AEB"/>
    <w:rsid w:val="00A74F87"/>
    <w:rsid w:val="00A77FA1"/>
    <w:rsid w:val="00AA3881"/>
    <w:rsid w:val="00AC3F1C"/>
    <w:rsid w:val="00AF237A"/>
    <w:rsid w:val="00B5040B"/>
    <w:rsid w:val="00BB72AA"/>
    <w:rsid w:val="00BE01F6"/>
    <w:rsid w:val="00BE2090"/>
    <w:rsid w:val="00C3308E"/>
    <w:rsid w:val="00C55463"/>
    <w:rsid w:val="00C83D74"/>
    <w:rsid w:val="00D100CB"/>
    <w:rsid w:val="00D967BB"/>
    <w:rsid w:val="00DB102E"/>
    <w:rsid w:val="00DD73B4"/>
    <w:rsid w:val="00E804AB"/>
    <w:rsid w:val="00EB2DE0"/>
    <w:rsid w:val="00EC24C5"/>
    <w:rsid w:val="00EC3291"/>
    <w:rsid w:val="00EC3467"/>
    <w:rsid w:val="00F21C17"/>
    <w:rsid w:val="00F85829"/>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3291"/>
    <w:pPr>
      <w:widowControl w:val="0"/>
    </w:pPr>
    <w:rPr>
      <w:rFonts w:eastAsia="標楷體"/>
      <w:kern w:val="2"/>
      <w:sz w:val="32"/>
    </w:rPr>
  </w:style>
  <w:style w:type="paragraph" w:styleId="1">
    <w:name w:val="heading 1"/>
    <w:basedOn w:val="a"/>
    <w:qFormat/>
    <w:rsid w:val="00EC3291"/>
    <w:pPr>
      <w:numPr>
        <w:numId w:val="1"/>
      </w:numPr>
      <w:kinsoku w:val="0"/>
      <w:ind w:left="800" w:hangingChars="800" w:hanging="800"/>
      <w:jc w:val="both"/>
      <w:outlineLvl w:val="0"/>
    </w:pPr>
    <w:rPr>
      <w:rFonts w:ascii="標楷體" w:hAnsi="Arial"/>
      <w:bCs/>
      <w:kern w:val="0"/>
      <w:szCs w:val="52"/>
    </w:rPr>
  </w:style>
  <w:style w:type="paragraph" w:styleId="2">
    <w:name w:val="heading 2"/>
    <w:aliases w:val="標題110/111"/>
    <w:basedOn w:val="a"/>
    <w:qFormat/>
    <w:rsid w:val="00EC3291"/>
    <w:pPr>
      <w:numPr>
        <w:ilvl w:val="1"/>
        <w:numId w:val="1"/>
      </w:numPr>
      <w:jc w:val="both"/>
      <w:outlineLvl w:val="1"/>
    </w:pPr>
    <w:rPr>
      <w:rFonts w:ascii="標楷體" w:hAnsi="Arial"/>
      <w:bCs/>
      <w:kern w:val="0"/>
      <w:szCs w:val="48"/>
    </w:rPr>
  </w:style>
  <w:style w:type="paragraph" w:styleId="3">
    <w:name w:val="heading 3"/>
    <w:basedOn w:val="a"/>
    <w:qFormat/>
    <w:rsid w:val="00EC3291"/>
    <w:pPr>
      <w:numPr>
        <w:ilvl w:val="2"/>
        <w:numId w:val="1"/>
      </w:numPr>
      <w:jc w:val="both"/>
      <w:outlineLvl w:val="2"/>
    </w:pPr>
    <w:rPr>
      <w:rFonts w:ascii="標楷體" w:hAnsi="Arial"/>
      <w:bCs/>
      <w:kern w:val="0"/>
      <w:szCs w:val="36"/>
    </w:rPr>
  </w:style>
  <w:style w:type="paragraph" w:styleId="4">
    <w:name w:val="heading 4"/>
    <w:aliases w:val="表格"/>
    <w:basedOn w:val="a"/>
    <w:qFormat/>
    <w:rsid w:val="00EC3291"/>
    <w:pPr>
      <w:numPr>
        <w:ilvl w:val="3"/>
        <w:numId w:val="1"/>
      </w:numPr>
      <w:jc w:val="both"/>
      <w:outlineLvl w:val="3"/>
    </w:pPr>
    <w:rPr>
      <w:rFonts w:ascii="標楷體" w:hAnsi="Arial"/>
      <w:szCs w:val="36"/>
    </w:rPr>
  </w:style>
  <w:style w:type="paragraph" w:styleId="5">
    <w:name w:val="heading 5"/>
    <w:basedOn w:val="a"/>
    <w:qFormat/>
    <w:rsid w:val="00EC3291"/>
    <w:pPr>
      <w:numPr>
        <w:ilvl w:val="4"/>
        <w:numId w:val="1"/>
      </w:numPr>
      <w:jc w:val="both"/>
      <w:outlineLvl w:val="4"/>
    </w:pPr>
    <w:rPr>
      <w:rFonts w:ascii="標楷體" w:hAnsi="Arial"/>
      <w:bCs/>
      <w:szCs w:val="36"/>
    </w:rPr>
  </w:style>
  <w:style w:type="paragraph" w:styleId="6">
    <w:name w:val="heading 6"/>
    <w:basedOn w:val="a"/>
    <w:qFormat/>
    <w:rsid w:val="00EC3291"/>
    <w:pPr>
      <w:numPr>
        <w:ilvl w:val="5"/>
        <w:numId w:val="1"/>
      </w:numPr>
      <w:tabs>
        <w:tab w:val="left" w:pos="2094"/>
      </w:tabs>
      <w:jc w:val="both"/>
      <w:outlineLvl w:val="5"/>
    </w:pPr>
    <w:rPr>
      <w:rFonts w:ascii="標楷體" w:hAnsi="Arial"/>
      <w:szCs w:val="36"/>
    </w:rPr>
  </w:style>
  <w:style w:type="paragraph" w:styleId="7">
    <w:name w:val="heading 7"/>
    <w:basedOn w:val="a"/>
    <w:qFormat/>
    <w:rsid w:val="00EC3291"/>
    <w:pPr>
      <w:numPr>
        <w:ilvl w:val="6"/>
        <w:numId w:val="1"/>
      </w:numPr>
      <w:jc w:val="both"/>
      <w:outlineLvl w:val="6"/>
    </w:pPr>
    <w:rPr>
      <w:rFonts w:ascii="標楷體" w:hAnsi="Arial"/>
      <w:bCs/>
      <w:szCs w:val="36"/>
    </w:rPr>
  </w:style>
  <w:style w:type="paragraph" w:styleId="8">
    <w:name w:val="heading 8"/>
    <w:basedOn w:val="a"/>
    <w:qFormat/>
    <w:rsid w:val="00EC3291"/>
    <w:pPr>
      <w:numPr>
        <w:ilvl w:val="7"/>
        <w:numId w:val="1"/>
      </w:numPr>
      <w:jc w:val="both"/>
      <w:outlineLvl w:val="7"/>
    </w:pPr>
    <w:rPr>
      <w:rFonts w:ascii="標楷體" w:hAnsi="Arial"/>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0">
    <w:name w:val="段落樣式3"/>
    <w:basedOn w:val="20"/>
    <w:rsid w:val="00EC3291"/>
    <w:pPr>
      <w:ind w:leftChars="400" w:left="400"/>
    </w:pPr>
  </w:style>
  <w:style w:type="paragraph" w:customStyle="1" w:styleId="20">
    <w:name w:val="段落樣式2"/>
    <w:basedOn w:val="a"/>
    <w:rsid w:val="00EC3291"/>
    <w:pPr>
      <w:tabs>
        <w:tab w:val="left" w:pos="567"/>
      </w:tabs>
      <w:ind w:leftChars="300" w:left="300" w:firstLineChars="200" w:firstLine="200"/>
      <w:jc w:val="both"/>
    </w:pPr>
    <w:rPr>
      <w:rFonts w:ascii="標楷體"/>
      <w:kern w:val="0"/>
    </w:rPr>
  </w:style>
  <w:style w:type="paragraph" w:customStyle="1" w:styleId="40">
    <w:name w:val="段落樣式4"/>
    <w:basedOn w:val="30"/>
    <w:rsid w:val="00EC3291"/>
    <w:pPr>
      <w:ind w:leftChars="500" w:left="500"/>
    </w:pPr>
  </w:style>
  <w:style w:type="paragraph" w:customStyle="1" w:styleId="50">
    <w:name w:val="段落樣式5"/>
    <w:basedOn w:val="40"/>
    <w:rsid w:val="00EC3291"/>
    <w:pPr>
      <w:ind w:leftChars="600" w:left="600"/>
    </w:pPr>
  </w:style>
  <w:style w:type="paragraph" w:customStyle="1" w:styleId="60">
    <w:name w:val="段落樣式6"/>
    <w:basedOn w:val="50"/>
    <w:rsid w:val="00EC3291"/>
    <w:pPr>
      <w:ind w:leftChars="700" w:left="700"/>
    </w:pPr>
  </w:style>
  <w:style w:type="paragraph" w:customStyle="1" w:styleId="70">
    <w:name w:val="段落樣式7"/>
    <w:basedOn w:val="60"/>
    <w:rsid w:val="00EC3291"/>
  </w:style>
  <w:style w:type="paragraph" w:customStyle="1" w:styleId="80">
    <w:name w:val="段落樣式8"/>
    <w:basedOn w:val="70"/>
    <w:rsid w:val="00EC3291"/>
    <w:pPr>
      <w:ind w:leftChars="800" w:left="800"/>
    </w:pPr>
  </w:style>
  <w:style w:type="paragraph" w:styleId="a3">
    <w:name w:val="Signature"/>
    <w:basedOn w:val="a"/>
    <w:semiHidden/>
    <w:rsid w:val="00EC3291"/>
    <w:pPr>
      <w:spacing w:before="720" w:after="720"/>
      <w:ind w:left="7371"/>
    </w:pPr>
    <w:rPr>
      <w:rFonts w:ascii="標楷體"/>
      <w:b/>
      <w:snapToGrid w:val="0"/>
      <w:spacing w:val="10"/>
      <w:sz w:val="36"/>
    </w:rPr>
  </w:style>
  <w:style w:type="paragraph" w:styleId="a4">
    <w:name w:val="endnote text"/>
    <w:basedOn w:val="a"/>
    <w:semiHidden/>
    <w:rsid w:val="00EC3291"/>
    <w:pPr>
      <w:spacing w:before="240"/>
      <w:ind w:left="1021" w:hanging="1021"/>
      <w:jc w:val="both"/>
    </w:pPr>
    <w:rPr>
      <w:rFonts w:ascii="標楷體"/>
      <w:snapToGrid w:val="0"/>
      <w:spacing w:val="10"/>
    </w:rPr>
  </w:style>
  <w:style w:type="character" w:styleId="a5">
    <w:name w:val="page number"/>
    <w:basedOn w:val="a0"/>
    <w:semiHidden/>
    <w:rsid w:val="00EC3291"/>
    <w:rPr>
      <w:rFonts w:ascii="標楷體" w:eastAsia="標楷體"/>
      <w:sz w:val="20"/>
    </w:rPr>
  </w:style>
  <w:style w:type="paragraph" w:styleId="10">
    <w:name w:val="toc 1"/>
    <w:basedOn w:val="a"/>
    <w:next w:val="a"/>
    <w:semiHidden/>
    <w:rsid w:val="00EC3291"/>
    <w:pPr>
      <w:ind w:left="200" w:hangingChars="200" w:hanging="200"/>
      <w:jc w:val="both"/>
    </w:pPr>
    <w:rPr>
      <w:rFonts w:ascii="標楷體"/>
    </w:rPr>
  </w:style>
  <w:style w:type="paragraph" w:styleId="21">
    <w:name w:val="toc 2"/>
    <w:basedOn w:val="a"/>
    <w:next w:val="a"/>
    <w:autoRedefine/>
    <w:semiHidden/>
    <w:rsid w:val="00EC3291"/>
    <w:pPr>
      <w:ind w:leftChars="100" w:left="300" w:hangingChars="200" w:hanging="200"/>
      <w:jc w:val="both"/>
    </w:pPr>
    <w:rPr>
      <w:rFonts w:ascii="標楷體"/>
    </w:rPr>
  </w:style>
  <w:style w:type="paragraph" w:styleId="31">
    <w:name w:val="toc 3"/>
    <w:basedOn w:val="a"/>
    <w:next w:val="a"/>
    <w:semiHidden/>
    <w:rsid w:val="00EC3291"/>
    <w:pPr>
      <w:ind w:leftChars="200" w:left="400" w:hangingChars="200" w:hanging="200"/>
      <w:jc w:val="both"/>
    </w:pPr>
    <w:rPr>
      <w:rFonts w:ascii="標楷體"/>
      <w:noProof/>
    </w:rPr>
  </w:style>
  <w:style w:type="paragraph" w:styleId="41">
    <w:name w:val="toc 4"/>
    <w:basedOn w:val="a"/>
    <w:next w:val="a"/>
    <w:semiHidden/>
    <w:rsid w:val="00EC3291"/>
    <w:pPr>
      <w:kinsoku w:val="0"/>
      <w:ind w:leftChars="300" w:left="500" w:hangingChars="200" w:hanging="200"/>
      <w:jc w:val="both"/>
    </w:pPr>
    <w:rPr>
      <w:rFonts w:ascii="標楷體"/>
    </w:rPr>
  </w:style>
  <w:style w:type="paragraph" w:styleId="51">
    <w:name w:val="toc 5"/>
    <w:basedOn w:val="a"/>
    <w:next w:val="a"/>
    <w:autoRedefine/>
    <w:semiHidden/>
    <w:rsid w:val="00EC3291"/>
    <w:pPr>
      <w:kinsoku w:val="0"/>
      <w:ind w:leftChars="400" w:left="600" w:hangingChars="200" w:hanging="200"/>
      <w:jc w:val="both"/>
    </w:pPr>
    <w:rPr>
      <w:rFonts w:ascii="標楷體"/>
    </w:rPr>
  </w:style>
  <w:style w:type="paragraph" w:styleId="61">
    <w:name w:val="toc 6"/>
    <w:basedOn w:val="a"/>
    <w:next w:val="a"/>
    <w:autoRedefine/>
    <w:semiHidden/>
    <w:rsid w:val="00EC3291"/>
    <w:pPr>
      <w:ind w:leftChars="500" w:left="700" w:hangingChars="200" w:hanging="200"/>
    </w:pPr>
    <w:rPr>
      <w:rFonts w:ascii="標楷體"/>
    </w:rPr>
  </w:style>
  <w:style w:type="paragraph" w:styleId="71">
    <w:name w:val="toc 7"/>
    <w:basedOn w:val="a"/>
    <w:next w:val="a"/>
    <w:autoRedefine/>
    <w:semiHidden/>
    <w:rsid w:val="00EC3291"/>
    <w:pPr>
      <w:ind w:leftChars="600" w:left="700" w:hangingChars="100" w:hanging="100"/>
    </w:pPr>
    <w:rPr>
      <w:rFonts w:ascii="標楷體"/>
    </w:rPr>
  </w:style>
  <w:style w:type="paragraph" w:styleId="81">
    <w:name w:val="toc 8"/>
    <w:basedOn w:val="a"/>
    <w:next w:val="a"/>
    <w:autoRedefine/>
    <w:semiHidden/>
    <w:rsid w:val="00EC3291"/>
    <w:pPr>
      <w:ind w:leftChars="700" w:left="2792" w:hangingChars="100" w:hanging="349"/>
    </w:pPr>
    <w:rPr>
      <w:rFonts w:ascii="標楷體"/>
    </w:rPr>
  </w:style>
  <w:style w:type="paragraph" w:styleId="9">
    <w:name w:val="toc 9"/>
    <w:basedOn w:val="a"/>
    <w:next w:val="a"/>
    <w:autoRedefine/>
    <w:semiHidden/>
    <w:rsid w:val="00EC3291"/>
    <w:pPr>
      <w:ind w:leftChars="1600" w:left="3840"/>
    </w:pPr>
  </w:style>
  <w:style w:type="character" w:styleId="a6">
    <w:name w:val="Hyperlink"/>
    <w:basedOn w:val="a0"/>
    <w:semiHidden/>
    <w:rsid w:val="00EC3291"/>
    <w:rPr>
      <w:color w:val="0000FF"/>
      <w:u w:val="single"/>
    </w:rPr>
  </w:style>
  <w:style w:type="paragraph" w:customStyle="1" w:styleId="11">
    <w:name w:val="段落樣式1"/>
    <w:basedOn w:val="a"/>
    <w:rsid w:val="00EC3291"/>
    <w:pPr>
      <w:tabs>
        <w:tab w:val="left" w:pos="567"/>
      </w:tabs>
      <w:kinsoku w:val="0"/>
      <w:ind w:leftChars="200" w:left="200" w:firstLineChars="200" w:firstLine="200"/>
      <w:jc w:val="both"/>
    </w:pPr>
    <w:rPr>
      <w:rFonts w:ascii="標楷體"/>
      <w:kern w:val="0"/>
    </w:rPr>
  </w:style>
  <w:style w:type="paragraph" w:customStyle="1" w:styleId="0">
    <w:name w:val="段落樣式0"/>
    <w:basedOn w:val="20"/>
    <w:rsid w:val="00EC3291"/>
    <w:pPr>
      <w:ind w:leftChars="200" w:left="200" w:firstLineChars="0" w:firstLine="0"/>
    </w:pPr>
  </w:style>
  <w:style w:type="paragraph" w:styleId="a7">
    <w:name w:val="header"/>
    <w:basedOn w:val="a"/>
    <w:semiHidden/>
    <w:rsid w:val="00EC3291"/>
    <w:pPr>
      <w:tabs>
        <w:tab w:val="center" w:pos="4153"/>
        <w:tab w:val="right" w:pos="8306"/>
      </w:tabs>
      <w:snapToGrid w:val="0"/>
    </w:pPr>
    <w:rPr>
      <w:sz w:val="20"/>
    </w:rPr>
  </w:style>
  <w:style w:type="paragraph" w:styleId="a8">
    <w:name w:val="footer"/>
    <w:basedOn w:val="a"/>
    <w:semiHidden/>
    <w:rsid w:val="00EC3291"/>
    <w:pPr>
      <w:tabs>
        <w:tab w:val="center" w:pos="4153"/>
        <w:tab w:val="right" w:pos="8306"/>
      </w:tabs>
      <w:snapToGrid w:val="0"/>
    </w:pPr>
    <w:rPr>
      <w:sz w:val="20"/>
    </w:rPr>
  </w:style>
  <w:style w:type="paragraph" w:customStyle="1" w:styleId="a9">
    <w:name w:val="簽名日期"/>
    <w:basedOn w:val="a"/>
    <w:rsid w:val="00EC3291"/>
    <w:pPr>
      <w:kinsoku w:val="0"/>
      <w:jc w:val="distribute"/>
    </w:pPr>
    <w:rPr>
      <w:kern w:val="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hhuang\AppData\Roaming\Microsoft\Templates\&#27243;&#24335;&#35519;&#26597;&#34920;&#21934;\C031&#31998;&#27491;&#26696;&#25991;&#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3BDD66-AE57-4B54-9C43-249F538B28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C031糾正案文格式體例(橫式)</Template>
  <TotalTime>0</TotalTime>
  <Pages>12</Pages>
  <Words>1114</Words>
  <Characters>6350</Characters>
  <Application>Microsoft Office Word</Application>
  <DocSecurity>0</DocSecurity>
  <Lines>52</Lines>
  <Paragraphs>14</Paragraphs>
  <ScaleCrop>false</ScaleCrop>
  <Company>cy</Company>
  <LinksUpToDate>false</LinksUpToDate>
  <CharactersWithSpaces>7450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user</dc:creator>
  <cp:lastModifiedBy>Administrator</cp:lastModifiedBy>
  <cp:revision>2</cp:revision>
  <cp:lastPrinted>2011-01-04T02:12:00Z</cp:lastPrinted>
  <dcterms:created xsi:type="dcterms:W3CDTF">2011-01-05T04:44:00Z</dcterms:created>
  <dcterms:modified xsi:type="dcterms:W3CDTF">2011-01-05T04:44:00Z</dcterms:modified>
</cp:coreProperties>
</file>