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798" w:rsidRPr="003969EA" w:rsidRDefault="00E66798" w:rsidP="00E66798">
      <w:pPr>
        <w:pStyle w:val="aa"/>
      </w:pPr>
      <w:r w:rsidRPr="003969EA">
        <w:rPr>
          <w:rFonts w:hint="eastAsia"/>
        </w:rPr>
        <w:t>調查</w:t>
      </w:r>
      <w:r>
        <w:rPr>
          <w:rFonts w:hint="eastAsia"/>
        </w:rPr>
        <w:t>報告</w:t>
      </w:r>
    </w:p>
    <w:p w:rsidR="00E66798" w:rsidRPr="003969EA" w:rsidRDefault="00E66798" w:rsidP="00E66798">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969EA">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3969EA">
        <w:rPr>
          <w:rFonts w:hint="eastAsia"/>
        </w:rPr>
        <w:t>新北市、桃園市與新竹縣多名員警</w:t>
      </w:r>
      <w:proofErr w:type="gramStart"/>
      <w:r w:rsidRPr="003969EA">
        <w:rPr>
          <w:rFonts w:hint="eastAsia"/>
        </w:rPr>
        <w:t>疑</w:t>
      </w:r>
      <w:proofErr w:type="gramEnd"/>
      <w:r w:rsidRPr="003969EA">
        <w:rPr>
          <w:rFonts w:hint="eastAsia"/>
        </w:rPr>
        <w:t>勾結代辦業者，開立不實之吊銷牌照罰單，使原本違規遭吊扣牌照6個月之車輛，能藉由吊銷車牌提早申領牌照上路或出租營利，縮短受處分期限，總計圖利車主達新臺幣4億7千萬餘元，其中並有2名員警</w:t>
      </w:r>
      <w:proofErr w:type="gramStart"/>
      <w:r w:rsidRPr="003969EA">
        <w:rPr>
          <w:rFonts w:hint="eastAsia"/>
        </w:rPr>
        <w:t>疑</w:t>
      </w:r>
      <w:proofErr w:type="gramEnd"/>
      <w:r w:rsidRPr="003969EA">
        <w:rPr>
          <w:rFonts w:hint="eastAsia"/>
        </w:rPr>
        <w:t>涉收賄，經臺灣新北地方檢察署於112年5月16日依貪污治罪條例等罪嫌起訴員警與15名代辦業者。究各警察機關有無落實審核舉發案件機制？發現員警異常舉發有何因應處理？如何</w:t>
      </w:r>
      <w:proofErr w:type="gramStart"/>
      <w:r w:rsidRPr="003969EA">
        <w:rPr>
          <w:rFonts w:hint="eastAsia"/>
        </w:rPr>
        <w:t>防範類案再生</w:t>
      </w:r>
      <w:proofErr w:type="gramEnd"/>
      <w:r w:rsidRPr="003969EA">
        <w:rPr>
          <w:rFonts w:hint="eastAsia"/>
        </w:rPr>
        <w:t>？現行法令規範有無不周？相關人員有無違法失職？</w:t>
      </w:r>
      <w:proofErr w:type="gramStart"/>
      <w:r w:rsidRPr="003969EA">
        <w:rPr>
          <w:rFonts w:hint="eastAsia"/>
        </w:rPr>
        <w:t>均有深入</w:t>
      </w:r>
      <w:proofErr w:type="gramEnd"/>
      <w:r w:rsidRPr="003969EA">
        <w:rPr>
          <w:rFonts w:hint="eastAsia"/>
        </w:rPr>
        <w:t>調查之必要案。</w:t>
      </w:r>
    </w:p>
    <w:p w:rsidR="00E66798" w:rsidRPr="003969EA" w:rsidRDefault="00E66798" w:rsidP="00E66798">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3969EA">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E66798" w:rsidRPr="003969EA" w:rsidRDefault="00E66798" w:rsidP="00E66798">
      <w:pPr>
        <w:pStyle w:val="11"/>
        <w:ind w:left="680" w:firstLine="680"/>
      </w:pPr>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Start w:id="69" w:name="_Toc529222689"/>
      <w:bookmarkStart w:id="70" w:name="_Toc529223111"/>
      <w:bookmarkStart w:id="71" w:name="_Toc529223862"/>
      <w:bookmarkStart w:id="72" w:name="_Toc529228265"/>
      <w:bookmarkStart w:id="73" w:name="_Toc2400395"/>
      <w:bookmarkStart w:id="74" w:name="_Toc4316189"/>
      <w:bookmarkStart w:id="75" w:name="_Toc4473330"/>
      <w:bookmarkStart w:id="76" w:name="_Toc69556897"/>
      <w:bookmarkStart w:id="77" w:name="_Toc69556946"/>
      <w:bookmarkStart w:id="78" w:name="_Toc69609820"/>
      <w:bookmarkStart w:id="79" w:name="_Toc70241816"/>
      <w:bookmarkStart w:id="80" w:name="_Toc70242205"/>
      <w:bookmarkStart w:id="81" w:name="_Toc421794875"/>
      <w:bookmarkStart w:id="82" w:name="_Toc422834160"/>
      <w:r w:rsidRPr="003969EA">
        <w:rPr>
          <w:rFonts w:hint="eastAsia"/>
        </w:rPr>
        <w:t>本案經調閱</w:t>
      </w:r>
      <w:bookmarkStart w:id="83" w:name="_Hlk158906926"/>
      <w:r w:rsidRPr="003969EA">
        <w:rPr>
          <w:rFonts w:hint="eastAsia"/>
        </w:rPr>
        <w:t>交通部、內政部警政署（下稱警政署）、法務部廉政署(下稱廉政署)、新北市政府警察局（下稱新北市警察局）等</w:t>
      </w:r>
      <w:bookmarkEnd w:id="83"/>
      <w:r w:rsidRPr="003969EA">
        <w:rPr>
          <w:rFonts w:hint="eastAsia"/>
        </w:rPr>
        <w:t>機關卷證資料，並於民國(下同)</w:t>
      </w:r>
      <w:bookmarkStart w:id="84" w:name="_Hlk158906945"/>
      <w:r w:rsidRPr="003969EA">
        <w:rPr>
          <w:rFonts w:hint="eastAsia"/>
        </w:rPr>
        <w:t>112年11月30日詢問交通部、警政署、廉政署等機關人員，另就相關事項囑託廉政署訪談</w:t>
      </w:r>
      <w:proofErr w:type="gramStart"/>
      <w:r w:rsidRPr="003969EA">
        <w:rPr>
          <w:rFonts w:hint="eastAsia"/>
        </w:rPr>
        <w:t>臺</w:t>
      </w:r>
      <w:proofErr w:type="gramEnd"/>
      <w:r w:rsidRPr="003969EA">
        <w:rPr>
          <w:rFonts w:hint="eastAsia"/>
        </w:rPr>
        <w:t>北區、臺北市區及新竹區監理所監理人員及所轄代辦業者，</w:t>
      </w:r>
      <w:bookmarkEnd w:id="84"/>
      <w:r w:rsidRPr="003969EA">
        <w:rPr>
          <w:rFonts w:hint="eastAsia"/>
        </w:rPr>
        <w:t>已調查完畢，茲分述調查意見如下：</w:t>
      </w:r>
    </w:p>
    <w:p w:rsidR="00E66798" w:rsidRPr="003969EA" w:rsidRDefault="00E66798" w:rsidP="00E66798">
      <w:pPr>
        <w:pStyle w:val="2"/>
        <w:rPr>
          <w:b/>
        </w:rPr>
      </w:pPr>
      <w:bookmarkStart w:id="85" w:name="_Hlk157848424"/>
      <w:r w:rsidRPr="003969EA">
        <w:rPr>
          <w:rFonts w:hint="eastAsia"/>
          <w:b/>
        </w:rPr>
        <w:t>汽車代辦業者為使重大違規遭吊扣車輛牌照6個月之車輛早日重新申領牌照，利用汽車於吊扣期間行駛應吊銷牌照及監理實務「吊銷可中斷吊扣」之作業漏洞，勾結員警以「刻意虛偽製造違規事實」、「車主未實際行駛車輛至舉發現場」或「</w:t>
      </w:r>
      <w:proofErr w:type="gramStart"/>
      <w:r w:rsidRPr="003969EA">
        <w:rPr>
          <w:rFonts w:hint="eastAsia"/>
          <w:b/>
        </w:rPr>
        <w:t>逕</w:t>
      </w:r>
      <w:proofErr w:type="gramEnd"/>
      <w:r w:rsidRPr="003969EA">
        <w:rPr>
          <w:rFonts w:hint="eastAsia"/>
          <w:b/>
        </w:rPr>
        <w:t>以簡訊或LINE傳送車籍資料或車輛照片供舉發」等態樣，開立吊銷牌照之不實罰單，相關員警涉及貪污治罪條例圖利及刑法偽造文書等罪。本案係新北市政府警察局自清自檢發現，</w:t>
      </w:r>
      <w:r w:rsidRPr="003969EA">
        <w:rPr>
          <w:rFonts w:hint="eastAsia"/>
          <w:b/>
        </w:rPr>
        <w:lastRenderedPageBreak/>
        <w:t>並由警政署政風室聯繫廉政機關進行全面清查，警政署亦督導各警察機關加強審核措施，截至112年11月30日為止，已有士林、新北、宜蘭及新竹地檢署計起訴4案25人次，其他案件尚在檢察官指揮偵辦中，涉案</w:t>
      </w:r>
      <w:proofErr w:type="gramStart"/>
      <w:r w:rsidRPr="003969EA">
        <w:rPr>
          <w:rFonts w:hint="eastAsia"/>
          <w:b/>
        </w:rPr>
        <w:t>人員均已依</w:t>
      </w:r>
      <w:proofErr w:type="gramEnd"/>
      <w:r w:rsidRPr="003969EA">
        <w:rPr>
          <w:rFonts w:hint="eastAsia"/>
          <w:b/>
        </w:rPr>
        <w:t>警察人員人事條例停職、及依規定追究考核監督人員責任。</w:t>
      </w:r>
      <w:bookmarkStart w:id="86" w:name="_Hlk157848953"/>
      <w:r w:rsidRPr="003969EA">
        <w:rPr>
          <w:rFonts w:hint="eastAsia"/>
          <w:b/>
        </w:rPr>
        <w:t>本案依其違失態樣，雖未發現涉及結構性或集體性貪瀆弊端，且從交通裁罰流程觀之，除違規舉發外，關鍵在於交通監理單位之裁決、執行、重新發照處分。然探究此一大規模瀆職案件的根源，仍在於部分員警法紀觀念薄弱及貪圖舉發績效所致，且交通執法單位審核時，對於少見違規由特定員警經常性舉發、同一違規人重複遭舉發等異常情形，未機先發掘防範，</w:t>
      </w:r>
      <w:proofErr w:type="gramStart"/>
      <w:r w:rsidRPr="003969EA">
        <w:rPr>
          <w:rFonts w:hint="eastAsia"/>
          <w:b/>
        </w:rPr>
        <w:t>均有檢討</w:t>
      </w:r>
      <w:proofErr w:type="gramEnd"/>
      <w:r w:rsidRPr="003969EA">
        <w:rPr>
          <w:rFonts w:hint="eastAsia"/>
          <w:b/>
        </w:rPr>
        <w:t>的必要。</w:t>
      </w:r>
      <w:bookmarkEnd w:id="85"/>
      <w:bookmarkEnd w:id="86"/>
    </w:p>
    <w:p w:rsidR="00E66798" w:rsidRPr="003969EA" w:rsidRDefault="00E66798" w:rsidP="00E66798">
      <w:pPr>
        <w:pStyle w:val="3"/>
      </w:pPr>
      <w:bookmarkStart w:id="87" w:name="_Hlk157843557"/>
      <w:r w:rsidRPr="003969EA">
        <w:rPr>
          <w:rFonts w:hint="eastAsia"/>
        </w:rPr>
        <w:t>「道路交通管理處罰條例」（下稱道交條例）</w:t>
      </w:r>
      <w:bookmarkEnd w:id="87"/>
      <w:r w:rsidRPr="003969EA">
        <w:rPr>
          <w:rFonts w:hint="eastAsia"/>
        </w:rPr>
        <w:t>第43條第4項規定，汽車駕駛人嚴重超速或有危險駕車等情形，除處汽車所有人罰鍰並當場禁止其駕駛外，需「吊扣」該汽車牌照6個月；另依同條例第12條第1項第6款、第7款及第2項規定，汽車於牌照吊扣期間行駛、已領有號牌而未懸掛或不依指定位置懸掛，應「吊銷」牌照。</w:t>
      </w:r>
    </w:p>
    <w:p w:rsidR="00E66798" w:rsidRPr="003969EA" w:rsidRDefault="00E66798" w:rsidP="00E66798">
      <w:pPr>
        <w:pStyle w:val="3"/>
      </w:pPr>
      <w:r w:rsidRPr="003969EA">
        <w:rPr>
          <w:rFonts w:hint="eastAsia"/>
        </w:rPr>
        <w:t>本</w:t>
      </w:r>
      <w:proofErr w:type="gramStart"/>
      <w:r w:rsidRPr="003969EA">
        <w:rPr>
          <w:rFonts w:hint="eastAsia"/>
        </w:rPr>
        <w:t>案緣</w:t>
      </w:r>
      <w:bookmarkStart w:id="88" w:name="_Hlk158906671"/>
      <w:r w:rsidRPr="003969EA">
        <w:rPr>
          <w:rFonts w:hint="eastAsia"/>
        </w:rPr>
        <w:t>新北市</w:t>
      </w:r>
      <w:proofErr w:type="gramEnd"/>
      <w:r w:rsidRPr="003969EA">
        <w:rPr>
          <w:rFonts w:hint="eastAsia"/>
        </w:rPr>
        <w:t>警察局</w:t>
      </w:r>
      <w:bookmarkEnd w:id="88"/>
      <w:r w:rsidRPr="003969EA">
        <w:rPr>
          <w:rFonts w:hint="eastAsia"/>
        </w:rPr>
        <w:t>樹林分局</w:t>
      </w:r>
      <w:bookmarkStart w:id="89" w:name="_Hlk158906684"/>
      <w:r w:rsidRPr="003969EA">
        <w:rPr>
          <w:rFonts w:hint="eastAsia"/>
        </w:rPr>
        <w:t>於110年5月間</w:t>
      </w:r>
      <w:bookmarkEnd w:id="89"/>
      <w:r w:rsidRPr="003969EA">
        <w:rPr>
          <w:rFonts w:hint="eastAsia"/>
        </w:rPr>
        <w:t>風聞所轄三多派出所警員</w:t>
      </w:r>
      <w:proofErr w:type="gramStart"/>
      <w:r w:rsidRPr="003969EA">
        <w:rPr>
          <w:rFonts w:hint="eastAsia"/>
        </w:rPr>
        <w:t>余</w:t>
      </w:r>
      <w:proofErr w:type="gramEnd"/>
      <w:r w:rsidRPr="003969EA">
        <w:rPr>
          <w:rFonts w:hint="eastAsia"/>
        </w:rPr>
        <w:t>○宏</w:t>
      </w:r>
      <w:proofErr w:type="gramStart"/>
      <w:r w:rsidRPr="003969EA">
        <w:rPr>
          <w:rFonts w:hint="eastAsia"/>
        </w:rPr>
        <w:t>疑</w:t>
      </w:r>
      <w:proofErr w:type="gramEnd"/>
      <w:r w:rsidRPr="003969EA">
        <w:rPr>
          <w:rFonts w:hint="eastAsia"/>
        </w:rPr>
        <w:t>受到</w:t>
      </w:r>
      <w:bookmarkStart w:id="90" w:name="_Hlk158906730"/>
      <w:r w:rsidRPr="003969EA">
        <w:rPr>
          <w:rFonts w:hint="eastAsia"/>
        </w:rPr>
        <w:t>汽車業務代辦業者委託，對吊扣車牌的車輛為不實舉發，涉嫌偽造文書等情，</w:t>
      </w:r>
      <w:bookmarkEnd w:id="90"/>
      <w:r w:rsidRPr="003969EA">
        <w:rPr>
          <w:rFonts w:hint="eastAsia"/>
        </w:rPr>
        <w:t>隨即立案調查，並陳報警政署督察室及新北市警察局政風室，調查發現代辦業者利用「車輛於吊扣牌照</w:t>
      </w:r>
      <w:proofErr w:type="gramStart"/>
      <w:r w:rsidRPr="003969EA">
        <w:rPr>
          <w:rFonts w:hint="eastAsia"/>
        </w:rPr>
        <w:t>期間，</w:t>
      </w:r>
      <w:proofErr w:type="gramEnd"/>
      <w:r w:rsidRPr="003969EA">
        <w:rPr>
          <w:rFonts w:hint="eastAsia"/>
        </w:rPr>
        <w:t>或即將受有吊扣牌照處分前，又行駛於道路為員警攔查舉發，依違反道交條例第12條第1項第6款或第7款，及同條第2項後段之規定，牌照吊銷之」之規定，及監理作業「牌照吊銷後（後處分）可中斷吊扣處分（前處分）執行」之作業漏洞，規避汽車駕駛人因嚴重超速及危險駕駛等重大違規須遭吊扣車輛牌照6個月之規定；同年1</w:t>
      </w:r>
      <w:r w:rsidRPr="003969EA">
        <w:t>1</w:t>
      </w:r>
      <w:r w:rsidRPr="003969EA">
        <w:rPr>
          <w:rFonts w:hint="eastAsia"/>
        </w:rPr>
        <w:t>月樹林分局函請新北市交通裁決處</w:t>
      </w:r>
      <w:proofErr w:type="gramStart"/>
      <w:r w:rsidRPr="003969EA">
        <w:rPr>
          <w:rFonts w:hint="eastAsia"/>
        </w:rPr>
        <w:t>研</w:t>
      </w:r>
      <w:proofErr w:type="gramEnd"/>
      <w:r w:rsidRPr="003969EA">
        <w:rPr>
          <w:rFonts w:hint="eastAsia"/>
        </w:rPr>
        <w:t>議修正相關規定；</w:t>
      </w:r>
      <w:bookmarkStart w:id="91" w:name="_Hlk158906752"/>
      <w:r w:rsidRPr="003969EA">
        <w:rPr>
          <w:rFonts w:hint="eastAsia"/>
        </w:rPr>
        <w:t>同年12月6日自由時報報導「代辦業者勾結</w:t>
      </w:r>
      <w:proofErr w:type="gramStart"/>
      <w:r w:rsidRPr="003969EA">
        <w:rPr>
          <w:rFonts w:hint="eastAsia"/>
        </w:rPr>
        <w:t>警鑽漏洞扣牌</w:t>
      </w:r>
      <w:proofErr w:type="gramEnd"/>
      <w:r w:rsidRPr="003969EA">
        <w:rPr>
          <w:rFonts w:hint="eastAsia"/>
        </w:rPr>
        <w:t>車</w:t>
      </w:r>
      <w:proofErr w:type="gramStart"/>
      <w:r w:rsidRPr="003969EA">
        <w:rPr>
          <w:rFonts w:hint="eastAsia"/>
        </w:rPr>
        <w:t>領新牌上路</w:t>
      </w:r>
      <w:proofErr w:type="gramEnd"/>
      <w:r w:rsidRPr="003969EA">
        <w:rPr>
          <w:rFonts w:hint="eastAsia"/>
        </w:rPr>
        <w:t>」，</w:t>
      </w:r>
      <w:bookmarkStart w:id="92" w:name="_Hlk158906829"/>
      <w:bookmarkEnd w:id="91"/>
      <w:r w:rsidRPr="003969EA">
        <w:rPr>
          <w:rFonts w:hint="eastAsia"/>
        </w:rPr>
        <w:t>同年1</w:t>
      </w:r>
      <w:r w:rsidRPr="003969EA">
        <w:t>2</w:t>
      </w:r>
      <w:r w:rsidRPr="003969EA">
        <w:rPr>
          <w:rFonts w:hint="eastAsia"/>
        </w:rPr>
        <w:t>月1</w:t>
      </w:r>
      <w:r w:rsidRPr="003969EA">
        <w:t>0</w:t>
      </w:r>
      <w:r w:rsidRPr="003969EA">
        <w:rPr>
          <w:rFonts w:hint="eastAsia"/>
        </w:rPr>
        <w:t>日警政署政風室聯繫相關單位，建構跨機關之「政風機構廉政平</w:t>
      </w:r>
      <w:proofErr w:type="gramStart"/>
      <w:r w:rsidRPr="003969EA">
        <w:rPr>
          <w:rFonts w:hint="eastAsia"/>
        </w:rPr>
        <w:t>臺</w:t>
      </w:r>
      <w:proofErr w:type="gramEnd"/>
      <w:r w:rsidRPr="003969EA">
        <w:rPr>
          <w:rFonts w:hint="eastAsia"/>
        </w:rPr>
        <w:t>」全面清查相關業務之異常人員，鎖定1</w:t>
      </w:r>
      <w:r w:rsidRPr="003969EA">
        <w:t>09</w:t>
      </w:r>
      <w:r w:rsidRPr="003969EA">
        <w:rPr>
          <w:rFonts w:hint="eastAsia"/>
        </w:rPr>
        <w:t>年1月至</w:t>
      </w:r>
      <w:r w:rsidRPr="003969EA">
        <w:t>110</w:t>
      </w:r>
      <w:r w:rsidRPr="003969EA">
        <w:rPr>
          <w:rFonts w:hint="eastAsia"/>
        </w:rPr>
        <w:t>年6月相關舉發案件全面清查。各警察機關自清調查後，將涉案員警移送檢方偵辦，目前檢方有多案已陸續起訴及尚在偵查中。據廉政署查復，迄1</w:t>
      </w:r>
      <w:r w:rsidRPr="003969EA">
        <w:t>12</w:t>
      </w:r>
      <w:r w:rsidRPr="003969EA">
        <w:rPr>
          <w:rFonts w:hint="eastAsia"/>
        </w:rPr>
        <w:t>年1</w:t>
      </w:r>
      <w:r w:rsidRPr="003969EA">
        <w:t>1</w:t>
      </w:r>
      <w:r w:rsidRPr="003969EA">
        <w:rPr>
          <w:rFonts w:hint="eastAsia"/>
        </w:rPr>
        <w:t>月3</w:t>
      </w:r>
      <w:r w:rsidRPr="003969EA">
        <w:t>0</w:t>
      </w:r>
      <w:r w:rsidRPr="003969EA">
        <w:rPr>
          <w:rFonts w:hint="eastAsia"/>
        </w:rPr>
        <w:t>日為止，已有士林、新北、宜蘭及新竹地檢署計起訴4案25人次；其餘案件尚由檢察官指揮偵辦中；</w:t>
      </w:r>
      <w:proofErr w:type="gramStart"/>
      <w:r w:rsidRPr="003969EA">
        <w:rPr>
          <w:rFonts w:hint="eastAsia"/>
        </w:rPr>
        <w:t>另彙整</w:t>
      </w:r>
      <w:proofErr w:type="gramEnd"/>
      <w:r w:rsidRPr="003969EA">
        <w:rPr>
          <w:rFonts w:hint="eastAsia"/>
        </w:rPr>
        <w:t>媒體報導，1</w:t>
      </w:r>
      <w:r w:rsidRPr="003969EA">
        <w:t>12</w:t>
      </w:r>
      <w:r w:rsidRPr="003969EA">
        <w:rPr>
          <w:rFonts w:hint="eastAsia"/>
        </w:rPr>
        <w:t>年5月有新北、桃園、新竹共有2</w:t>
      </w:r>
      <w:r w:rsidRPr="003969EA">
        <w:t>2</w:t>
      </w:r>
      <w:r w:rsidRPr="003969EA">
        <w:rPr>
          <w:rFonts w:hint="eastAsia"/>
        </w:rPr>
        <w:t>名員警遭起訴，約談7</w:t>
      </w:r>
      <w:r w:rsidRPr="003969EA">
        <w:t>9</w:t>
      </w:r>
      <w:r w:rsidRPr="003969EA">
        <w:rPr>
          <w:rFonts w:hint="eastAsia"/>
        </w:rPr>
        <w:t>人、</w:t>
      </w:r>
      <w:proofErr w:type="gramStart"/>
      <w:r w:rsidRPr="003969EA">
        <w:rPr>
          <w:rFonts w:hint="eastAsia"/>
        </w:rPr>
        <w:t>聲押</w:t>
      </w:r>
      <w:proofErr w:type="gramEnd"/>
      <w:r w:rsidRPr="003969EA">
        <w:rPr>
          <w:rFonts w:hint="eastAsia"/>
        </w:rPr>
        <w:t>1</w:t>
      </w:r>
      <w:r w:rsidRPr="003969EA">
        <w:t>4</w:t>
      </w:r>
      <w:r w:rsidRPr="003969EA">
        <w:rPr>
          <w:rFonts w:hint="eastAsia"/>
        </w:rPr>
        <w:t>人、交保1</w:t>
      </w:r>
      <w:r w:rsidRPr="003969EA">
        <w:t>2</w:t>
      </w:r>
      <w:r w:rsidRPr="003969EA">
        <w:rPr>
          <w:rFonts w:hint="eastAsia"/>
        </w:rPr>
        <w:t>人；同年6月羈押5名警員、交保5名警員；同年7月約談高雄市4名警員；同年8月第二波搜索約談1</w:t>
      </w:r>
      <w:r w:rsidRPr="003969EA">
        <w:t>0</w:t>
      </w:r>
      <w:r w:rsidRPr="003969EA">
        <w:rPr>
          <w:rFonts w:hint="eastAsia"/>
        </w:rPr>
        <w:t>名員警7名業者；同年1</w:t>
      </w:r>
      <w:r w:rsidRPr="003969EA">
        <w:t>1</w:t>
      </w:r>
      <w:r w:rsidRPr="003969EA">
        <w:rPr>
          <w:rFonts w:hint="eastAsia"/>
        </w:rPr>
        <w:t>月約談台中市6名警員、2</w:t>
      </w:r>
      <w:r w:rsidRPr="003969EA">
        <w:t>0</w:t>
      </w:r>
      <w:r w:rsidRPr="003969EA">
        <w:rPr>
          <w:rFonts w:hint="eastAsia"/>
        </w:rPr>
        <w:t>餘名業者及車主，涉案地域之廣、人數之多，令人怵目驚心。</w:t>
      </w:r>
      <w:bookmarkEnd w:id="92"/>
    </w:p>
    <w:p w:rsidR="00E66798" w:rsidRPr="003969EA" w:rsidRDefault="00E66798" w:rsidP="00E66798">
      <w:pPr>
        <w:pStyle w:val="3"/>
      </w:pPr>
      <w:r w:rsidRPr="003969EA">
        <w:rPr>
          <w:rFonts w:hint="eastAsia"/>
        </w:rPr>
        <w:t>廉政署分析本案所涉弊端</w:t>
      </w:r>
      <w:proofErr w:type="gramStart"/>
      <w:r w:rsidRPr="003969EA">
        <w:rPr>
          <w:rFonts w:hint="eastAsia"/>
        </w:rPr>
        <w:t>態樣及期間</w:t>
      </w:r>
      <w:proofErr w:type="gramEnd"/>
      <w:r w:rsidRPr="003969EA">
        <w:rPr>
          <w:rFonts w:hint="eastAsia"/>
        </w:rPr>
        <w:t>略</w:t>
      </w:r>
      <w:proofErr w:type="gramStart"/>
      <w:r w:rsidRPr="003969EA">
        <w:rPr>
          <w:rFonts w:hint="eastAsia"/>
        </w:rPr>
        <w:t>以</w:t>
      </w:r>
      <w:proofErr w:type="gramEnd"/>
      <w:r w:rsidRPr="003969EA">
        <w:rPr>
          <w:rFonts w:hint="eastAsia"/>
        </w:rPr>
        <w:t>：汽車業務代辦業者</w:t>
      </w:r>
      <w:bookmarkStart w:id="93" w:name="_Hlk157775247"/>
      <w:r w:rsidRPr="003969EA">
        <w:rPr>
          <w:rFonts w:hint="eastAsia"/>
        </w:rPr>
        <w:t>利用實務上交通法規漏洞，勾結員警以「刻意虛偽製造違規事實（停車後再刻意拆卸牌照一面或二面讓員警取締）」、「車主未實際行駛車輛至舉發現場」及「汽車代辦業者</w:t>
      </w:r>
      <w:proofErr w:type="gramStart"/>
      <w:r w:rsidRPr="003969EA">
        <w:rPr>
          <w:rFonts w:hint="eastAsia"/>
        </w:rPr>
        <w:t>逕</w:t>
      </w:r>
      <w:proofErr w:type="gramEnd"/>
      <w:r w:rsidRPr="003969EA">
        <w:rPr>
          <w:rFonts w:hint="eastAsia"/>
        </w:rPr>
        <w:t>以簡訊或LINE傳送車籍資料或車輛照片予員警不實舉發」等態樣，</w:t>
      </w:r>
      <w:proofErr w:type="gramStart"/>
      <w:r w:rsidRPr="003969EA">
        <w:rPr>
          <w:rFonts w:hint="eastAsia"/>
        </w:rPr>
        <w:t>不實攔停</w:t>
      </w:r>
      <w:proofErr w:type="gramEnd"/>
      <w:r w:rsidRPr="003969EA">
        <w:rPr>
          <w:rFonts w:hint="eastAsia"/>
        </w:rPr>
        <w:t>舉發或</w:t>
      </w:r>
      <w:proofErr w:type="gramStart"/>
      <w:r w:rsidRPr="003969EA">
        <w:rPr>
          <w:rFonts w:hint="eastAsia"/>
        </w:rPr>
        <w:t>不實開立</w:t>
      </w:r>
      <w:proofErr w:type="gramEnd"/>
      <w:r w:rsidRPr="003969EA">
        <w:rPr>
          <w:rFonts w:hint="eastAsia"/>
        </w:rPr>
        <w:t>罰單，</w:t>
      </w:r>
      <w:bookmarkEnd w:id="93"/>
      <w:r w:rsidRPr="003969EA">
        <w:rPr>
          <w:rFonts w:hint="eastAsia"/>
        </w:rPr>
        <w:t>且未依規定「當場禁止車輛行駛」或「移置保管」，致使車主得重新申領牌照，免除牌照吊扣期間無法使用車輛之利益，使汽車業務代辦業者得藉以獲取高額之代辦費用。涉及的警察機關包括新北市警察局樹林分局、板橋分局及三重分局，期間為109年1月至110年6月。並表示本案查無高階警官涉入，難認有由上至下組織性、集團性的</w:t>
      </w:r>
      <w:proofErr w:type="gramStart"/>
      <w:r w:rsidRPr="003969EA">
        <w:rPr>
          <w:rFonts w:hint="eastAsia"/>
        </w:rPr>
        <w:t>不法態樣等</w:t>
      </w:r>
      <w:proofErr w:type="gramEnd"/>
      <w:r w:rsidRPr="003969EA">
        <w:rPr>
          <w:rFonts w:hint="eastAsia"/>
        </w:rPr>
        <w:t>語。警政署亦表示部分機關確有集中於少數員警或其他異常情形部分，經分析比對後主動報請各地方檢察署檢察官指揮偵辦中等語。</w:t>
      </w:r>
    </w:p>
    <w:p w:rsidR="00E66798" w:rsidRPr="003969EA" w:rsidRDefault="00E66798" w:rsidP="00E66798">
      <w:pPr>
        <w:pStyle w:val="3"/>
      </w:pPr>
      <w:r w:rsidRPr="003969EA">
        <w:rPr>
          <w:rFonts w:hint="eastAsia"/>
        </w:rPr>
        <w:t>111年9月本案爆發後，除了由各警察機關進行清查，警政署於112年6月9日函各警察機關，要求全面清查異常舉發情形及落實審查機制（加強取締道交條例第1</w:t>
      </w:r>
      <w:r w:rsidRPr="003969EA">
        <w:t>2</w:t>
      </w:r>
      <w:r w:rsidRPr="003969EA">
        <w:rPr>
          <w:rFonts w:hint="eastAsia"/>
        </w:rPr>
        <w:t>條之違規行為、採取四階段審核機制、逐級清查有無異常舉發等情），並針對本案情形，釐訂強化作業流程及加強審核的具體作為</w:t>
      </w:r>
      <w:r w:rsidRPr="003969EA">
        <w:rPr>
          <w:rStyle w:val="af"/>
        </w:rPr>
        <w:footnoteReference w:id="1"/>
      </w:r>
      <w:r w:rsidRPr="003969EA">
        <w:rPr>
          <w:rFonts w:hint="eastAsia"/>
        </w:rPr>
        <w:t>。行政責任部分，因涉案</w:t>
      </w:r>
      <w:proofErr w:type="gramStart"/>
      <w:r w:rsidRPr="003969EA">
        <w:rPr>
          <w:rFonts w:hint="eastAsia"/>
        </w:rPr>
        <w:t>員警均經檢察官</w:t>
      </w:r>
      <w:proofErr w:type="gramEnd"/>
      <w:r w:rsidRPr="003969EA">
        <w:rPr>
          <w:rFonts w:hint="eastAsia"/>
        </w:rPr>
        <w:t>以涉嫌貪污提起公訴，</w:t>
      </w:r>
      <w:proofErr w:type="gramStart"/>
      <w:r w:rsidRPr="003969EA">
        <w:rPr>
          <w:rFonts w:hint="eastAsia"/>
        </w:rPr>
        <w:t>核屬警察</w:t>
      </w:r>
      <w:proofErr w:type="gramEnd"/>
      <w:r w:rsidRPr="003969EA">
        <w:rPr>
          <w:rFonts w:hint="eastAsia"/>
        </w:rPr>
        <w:t>人員人事條例第29條第1項第2款所定應即停職事由</w:t>
      </w:r>
      <w:r w:rsidRPr="003969EA">
        <w:rPr>
          <w:rStyle w:val="af"/>
        </w:rPr>
        <w:footnoteReference w:id="2"/>
      </w:r>
      <w:r w:rsidRPr="003969EA">
        <w:rPr>
          <w:rFonts w:hint="eastAsia"/>
        </w:rPr>
        <w:t>，警政署已依法停職，另視後續法院判決情形，核予免職、復職或移付懲戒。考核監督不周人員責任部分，則依「警察機關辦理獎懲案件注意事項」，</w:t>
      </w:r>
      <w:proofErr w:type="gramStart"/>
      <w:r w:rsidRPr="003969EA">
        <w:rPr>
          <w:rFonts w:hint="eastAsia"/>
        </w:rPr>
        <w:t>預擬考監</w:t>
      </w:r>
      <w:proofErr w:type="gramEnd"/>
      <w:r w:rsidRPr="003969EA">
        <w:rPr>
          <w:rFonts w:hint="eastAsia"/>
        </w:rPr>
        <w:t>責任陳報警</w:t>
      </w:r>
      <w:proofErr w:type="gramStart"/>
      <w:r w:rsidRPr="003969EA">
        <w:rPr>
          <w:rFonts w:hint="eastAsia"/>
        </w:rPr>
        <w:t>政署列管</w:t>
      </w:r>
      <w:proofErr w:type="gramEnd"/>
      <w:r w:rsidRPr="003969EA">
        <w:rPr>
          <w:rFonts w:hint="eastAsia"/>
        </w:rPr>
        <w:t>。</w:t>
      </w:r>
    </w:p>
    <w:p w:rsidR="00E66798" w:rsidRPr="003969EA" w:rsidRDefault="00E66798" w:rsidP="00E66798">
      <w:pPr>
        <w:pStyle w:val="3"/>
      </w:pPr>
      <w:r w:rsidRPr="003969EA">
        <w:rPr>
          <w:rFonts w:hint="eastAsia"/>
        </w:rPr>
        <w:t>綜上，</w:t>
      </w:r>
      <w:bookmarkStart w:id="94" w:name="_Hlk158907043"/>
      <w:r w:rsidRPr="003969EA">
        <w:rPr>
          <w:rFonts w:hint="eastAsia"/>
        </w:rPr>
        <w:t>代辦業者為使重大違規遭吊扣車輛牌照之車輛早日重新申領牌照，利用牌照吊扣期間行駛應吊銷等規定，及監理實務「牌照吊銷可中斷吊扣執行」之漏洞，勾結員警以「刻意虛偽製造違規事實」、「車主未實際行駛車輛至舉發現場」或「</w:t>
      </w:r>
      <w:proofErr w:type="gramStart"/>
      <w:r w:rsidRPr="003969EA">
        <w:rPr>
          <w:rFonts w:hint="eastAsia"/>
        </w:rPr>
        <w:t>逕</w:t>
      </w:r>
      <w:proofErr w:type="gramEnd"/>
      <w:r w:rsidRPr="003969EA">
        <w:rPr>
          <w:rFonts w:hint="eastAsia"/>
        </w:rPr>
        <w:t>以簡訊或LINE傳送車籍資料或車輛照片供舉發」等態樣，開立不實罰單，涉及貪污治罪條例圖利及刑法偽造文書等罪。本案爆發後，警政署政風室聯繫各警政機關進行全面清查，警政署亦督導各警察機關加強審核措施，尚有積極作為，</w:t>
      </w:r>
      <w:bookmarkEnd w:id="94"/>
      <w:r w:rsidRPr="003969EA">
        <w:rPr>
          <w:rFonts w:hint="eastAsia"/>
        </w:rPr>
        <w:t>截至112年11月30日為止，已有士林、新北、宜蘭及新竹地檢署計起訴4案25人次，其他案件尚在檢察官指揮偵辦中。本案依其違失態樣，雖未發現涉及結構性或集體性貪瀆弊端，且警政署及廉政機關於案發後之處置尚屬積極，然相關涉案地域之廣、人數之多，令人怵目驚心。探究此一大規模瀆職案件的根源，仍在於部分員警法紀觀念薄弱及貪圖舉發績效所致，且交通執法單位審核時，對於少見違規由特定員警經常性舉發、同一違規人重複遭舉發、員警未依規定代保管牌照及車輛等異常情形，未機先發掘防範，</w:t>
      </w:r>
      <w:proofErr w:type="gramStart"/>
      <w:r w:rsidRPr="003969EA">
        <w:rPr>
          <w:rFonts w:hint="eastAsia"/>
        </w:rPr>
        <w:t>均有檢討</w:t>
      </w:r>
      <w:proofErr w:type="gramEnd"/>
      <w:r w:rsidRPr="003969EA">
        <w:rPr>
          <w:rFonts w:hint="eastAsia"/>
        </w:rPr>
        <w:t>的必要。</w:t>
      </w:r>
    </w:p>
    <w:p w:rsidR="00E66798" w:rsidRPr="003969EA" w:rsidRDefault="00E66798" w:rsidP="00E66798">
      <w:pPr>
        <w:pStyle w:val="2"/>
        <w:rPr>
          <w:b/>
        </w:rPr>
      </w:pPr>
      <w:bookmarkStart w:id="95" w:name="_Hlk158906536"/>
      <w:r w:rsidRPr="003969EA">
        <w:rPr>
          <w:rFonts w:hint="eastAsia"/>
          <w:b/>
        </w:rPr>
        <w:t>行政罰法第2</w:t>
      </w:r>
      <w:r w:rsidRPr="003969EA">
        <w:rPr>
          <w:b/>
        </w:rPr>
        <w:t>5</w:t>
      </w:r>
      <w:r w:rsidRPr="003969EA">
        <w:rPr>
          <w:rFonts w:hint="eastAsia"/>
          <w:b/>
        </w:rPr>
        <w:t>條對於數違規行為</w:t>
      </w:r>
      <w:proofErr w:type="gramStart"/>
      <w:r w:rsidRPr="003969EA">
        <w:rPr>
          <w:rFonts w:hint="eastAsia"/>
          <w:b/>
        </w:rPr>
        <w:t>採併罰制</w:t>
      </w:r>
      <w:proofErr w:type="gramEnd"/>
      <w:r w:rsidRPr="003969EA">
        <w:rPr>
          <w:rFonts w:hint="eastAsia"/>
          <w:b/>
        </w:rPr>
        <w:t>，又道交條例第4</w:t>
      </w:r>
      <w:r w:rsidRPr="003969EA">
        <w:rPr>
          <w:b/>
        </w:rPr>
        <w:t>3</w:t>
      </w:r>
      <w:r w:rsidRPr="003969EA">
        <w:rPr>
          <w:rFonts w:hint="eastAsia"/>
          <w:b/>
        </w:rPr>
        <w:t>條規定，車輛嚴重超速及危險駕駛處駕駛人6千至3萬6千元罰鍰，並吊扣汽車牌照</w:t>
      </w:r>
      <w:r w:rsidRPr="003969EA">
        <w:rPr>
          <w:b/>
        </w:rPr>
        <w:t>6</w:t>
      </w:r>
      <w:r w:rsidRPr="003969EA">
        <w:rPr>
          <w:rFonts w:hint="eastAsia"/>
          <w:b/>
        </w:rPr>
        <w:t>個月；同條例第1</w:t>
      </w:r>
      <w:r w:rsidRPr="003969EA">
        <w:rPr>
          <w:b/>
        </w:rPr>
        <w:t>2</w:t>
      </w:r>
      <w:r w:rsidRPr="003969EA">
        <w:rPr>
          <w:rFonts w:hint="eastAsia"/>
          <w:b/>
        </w:rPr>
        <w:t>條規定，吊扣牌照期間行駛，處駕駛人3千6百元至1萬零8百元罰鍰並吊銷牌照。上開吊扣牌照及吊銷牌照處分屬不同管制目的之裁罰處分，應分別處罰，且車輛經裁處吊銷處分，車主繳納罰鍰後，即可重新驗車領牌上路，其法律效果輕於吊扣處分，故無所謂「</w:t>
      </w:r>
      <w:bookmarkStart w:id="96" w:name="_Hlk158909841"/>
      <w:r w:rsidRPr="003969EA">
        <w:rPr>
          <w:rFonts w:hint="eastAsia"/>
          <w:b/>
        </w:rPr>
        <w:t>吊銷處分重於吊扣處分，故吊銷可吸收吊扣</w:t>
      </w:r>
      <w:bookmarkEnd w:id="96"/>
      <w:r w:rsidRPr="003969EA">
        <w:rPr>
          <w:rFonts w:hint="eastAsia"/>
          <w:b/>
        </w:rPr>
        <w:t>」可言，以吊銷為由讓吊扣中車輛合法上路，是重大的行政違失。且交通部早於7</w:t>
      </w:r>
      <w:r w:rsidRPr="003969EA">
        <w:rPr>
          <w:b/>
        </w:rPr>
        <w:t>2</w:t>
      </w:r>
      <w:r w:rsidRPr="003969EA">
        <w:rPr>
          <w:rFonts w:hint="eastAsia"/>
          <w:b/>
        </w:rPr>
        <w:t>年即針對大客車做成函釋，明定車輛於吊扣期間再受吊銷牌照處分，吊扣期間不得重新領牌；倘係吊銷處分在前，吊扣處分在後者，須</w:t>
      </w:r>
      <w:proofErr w:type="gramStart"/>
      <w:r w:rsidRPr="003969EA">
        <w:rPr>
          <w:rFonts w:hint="eastAsia"/>
          <w:b/>
        </w:rPr>
        <w:t>俟</w:t>
      </w:r>
      <w:proofErr w:type="gramEnd"/>
      <w:r w:rsidRPr="003969EA">
        <w:rPr>
          <w:rFonts w:hint="eastAsia"/>
          <w:b/>
        </w:rPr>
        <w:t>吊扣期滿方得重領牌照；又實務執行吊銷處分時，裁罰系統會顯示該車輛罰鍰欠繳情形、牌照吊扣期間及預定發還之日期，各監理站所亦曾在工作圈反映實務</w:t>
      </w:r>
      <w:proofErr w:type="gramStart"/>
      <w:r w:rsidRPr="003969EA">
        <w:rPr>
          <w:rFonts w:hint="eastAsia"/>
          <w:b/>
        </w:rPr>
        <w:t>逕</w:t>
      </w:r>
      <w:proofErr w:type="gramEnd"/>
      <w:r w:rsidRPr="003969EA">
        <w:rPr>
          <w:rFonts w:hint="eastAsia"/>
          <w:b/>
        </w:rPr>
        <w:t>將保管中牌照銷</w:t>
      </w:r>
      <w:proofErr w:type="gramStart"/>
      <w:r w:rsidRPr="003969EA">
        <w:rPr>
          <w:rFonts w:hint="eastAsia"/>
          <w:b/>
        </w:rPr>
        <w:t>燬</w:t>
      </w:r>
      <w:proofErr w:type="gramEnd"/>
      <w:r w:rsidRPr="003969EA">
        <w:rPr>
          <w:rFonts w:hint="eastAsia"/>
          <w:b/>
        </w:rPr>
        <w:t>的執行方式，將無從達到處罰目的；本案爆發後，1</w:t>
      </w:r>
      <w:r w:rsidRPr="003969EA">
        <w:rPr>
          <w:b/>
        </w:rPr>
        <w:t>10</w:t>
      </w:r>
      <w:r w:rsidRPr="003969EA">
        <w:rPr>
          <w:rFonts w:hint="eastAsia"/>
          <w:b/>
        </w:rPr>
        <w:t>年1</w:t>
      </w:r>
      <w:r w:rsidRPr="003969EA">
        <w:rPr>
          <w:b/>
        </w:rPr>
        <w:t>1</w:t>
      </w:r>
      <w:r w:rsidRPr="003969EA">
        <w:rPr>
          <w:rFonts w:hint="eastAsia"/>
          <w:b/>
        </w:rPr>
        <w:t>月1</w:t>
      </w:r>
      <w:r w:rsidRPr="003969EA">
        <w:rPr>
          <w:b/>
        </w:rPr>
        <w:t>0</w:t>
      </w:r>
      <w:r w:rsidRPr="003969EA">
        <w:rPr>
          <w:rFonts w:hint="eastAsia"/>
          <w:b/>
        </w:rPr>
        <w:t>日及2</w:t>
      </w:r>
      <w:r w:rsidRPr="003969EA">
        <w:rPr>
          <w:b/>
        </w:rPr>
        <w:t>4</w:t>
      </w:r>
      <w:r w:rsidRPr="003969EA">
        <w:rPr>
          <w:rFonts w:hint="eastAsia"/>
          <w:b/>
        </w:rPr>
        <w:t>日新北市警察局樹林分局二度陳報交通監理單位上開問題，</w:t>
      </w:r>
      <w:proofErr w:type="gramStart"/>
      <w:r w:rsidRPr="003969EA">
        <w:rPr>
          <w:rFonts w:hint="eastAsia"/>
          <w:b/>
        </w:rPr>
        <w:t>詎交通部均無積極</w:t>
      </w:r>
      <w:proofErr w:type="gramEnd"/>
      <w:r w:rsidRPr="003969EA">
        <w:rPr>
          <w:rFonts w:hint="eastAsia"/>
          <w:b/>
        </w:rPr>
        <w:t>作為；</w:t>
      </w:r>
      <w:proofErr w:type="gramStart"/>
      <w:r w:rsidRPr="003969EA">
        <w:rPr>
          <w:rFonts w:hint="eastAsia"/>
          <w:b/>
        </w:rPr>
        <w:t>迨</w:t>
      </w:r>
      <w:proofErr w:type="gramEnd"/>
      <w:r w:rsidRPr="003969EA">
        <w:rPr>
          <w:rFonts w:hint="eastAsia"/>
          <w:b/>
        </w:rPr>
        <w:t>1</w:t>
      </w:r>
      <w:r w:rsidRPr="003969EA">
        <w:rPr>
          <w:b/>
        </w:rPr>
        <w:t>10</w:t>
      </w:r>
      <w:r w:rsidRPr="003969EA">
        <w:rPr>
          <w:rFonts w:hint="eastAsia"/>
          <w:b/>
        </w:rPr>
        <w:t>年1</w:t>
      </w:r>
      <w:r w:rsidRPr="003969EA">
        <w:rPr>
          <w:b/>
        </w:rPr>
        <w:t>2</w:t>
      </w:r>
      <w:r w:rsidRPr="003969EA">
        <w:rPr>
          <w:rFonts w:hint="eastAsia"/>
          <w:b/>
        </w:rPr>
        <w:t>月6日媒體大幅報導，且員警涉弊情節越演越烈，該部始於1</w:t>
      </w:r>
      <w:r w:rsidRPr="003969EA">
        <w:rPr>
          <w:b/>
        </w:rPr>
        <w:t>11</w:t>
      </w:r>
      <w:r w:rsidRPr="003969EA">
        <w:rPr>
          <w:rFonts w:hint="eastAsia"/>
          <w:b/>
        </w:rPr>
        <w:t>年3月1</w:t>
      </w:r>
      <w:r w:rsidRPr="003969EA">
        <w:rPr>
          <w:b/>
        </w:rPr>
        <w:t>7</w:t>
      </w:r>
      <w:r w:rsidRPr="003969EA">
        <w:rPr>
          <w:rFonts w:hint="eastAsia"/>
          <w:b/>
        </w:rPr>
        <w:t>日函釋所有</w:t>
      </w:r>
      <w:proofErr w:type="gramStart"/>
      <w:r w:rsidRPr="003969EA">
        <w:rPr>
          <w:rFonts w:hint="eastAsia"/>
          <w:b/>
        </w:rPr>
        <w:t>車輛均應適用</w:t>
      </w:r>
      <w:proofErr w:type="gramEnd"/>
      <w:r w:rsidRPr="003969EA">
        <w:rPr>
          <w:rFonts w:hint="eastAsia"/>
          <w:b/>
        </w:rPr>
        <w:t>上開7</w:t>
      </w:r>
      <w:r w:rsidRPr="003969EA">
        <w:rPr>
          <w:b/>
        </w:rPr>
        <w:t>2</w:t>
      </w:r>
      <w:r w:rsidRPr="003969EA">
        <w:rPr>
          <w:rFonts w:hint="eastAsia"/>
          <w:b/>
        </w:rPr>
        <w:t>年函釋，禁止核發仍在吊扣期間之汽車牌照，但又辯稱此屬「法律漏洞」，故需推動道交條例第66條修法云云。統計1</w:t>
      </w:r>
      <w:r w:rsidRPr="003969EA">
        <w:rPr>
          <w:b/>
        </w:rPr>
        <w:t>07</w:t>
      </w:r>
      <w:r w:rsidRPr="003969EA">
        <w:rPr>
          <w:rFonts w:hint="eastAsia"/>
          <w:b/>
        </w:rPr>
        <w:t>年至1</w:t>
      </w:r>
      <w:r w:rsidRPr="003969EA">
        <w:rPr>
          <w:b/>
        </w:rPr>
        <w:t>11</w:t>
      </w:r>
      <w:r w:rsidRPr="003969EA">
        <w:rPr>
          <w:rFonts w:hint="eastAsia"/>
          <w:b/>
        </w:rPr>
        <w:t>年全國各監理站（所）對尚在吊扣期間車輛重新核發牌照之案件高達8</w:t>
      </w:r>
      <w:r w:rsidRPr="003969EA">
        <w:rPr>
          <w:b/>
        </w:rPr>
        <w:t>,032</w:t>
      </w:r>
      <w:r w:rsidRPr="003969EA">
        <w:rPr>
          <w:rFonts w:hint="eastAsia"/>
          <w:b/>
        </w:rPr>
        <w:t>件，其中1</w:t>
      </w:r>
      <w:r w:rsidRPr="003969EA">
        <w:rPr>
          <w:b/>
        </w:rPr>
        <w:t>10</w:t>
      </w:r>
      <w:r w:rsidRPr="003969EA">
        <w:rPr>
          <w:rFonts w:hint="eastAsia"/>
          <w:b/>
        </w:rPr>
        <w:t>年道交條例修法加重處罰，監理單位即重行核發</w:t>
      </w:r>
      <w:r w:rsidRPr="003969EA">
        <w:rPr>
          <w:b/>
        </w:rPr>
        <w:t>3,405</w:t>
      </w:r>
      <w:r w:rsidRPr="003969EA">
        <w:rPr>
          <w:rFonts w:hint="eastAsia"/>
          <w:b/>
        </w:rPr>
        <w:t>件汽車牌照，甚至本案於1</w:t>
      </w:r>
      <w:r w:rsidRPr="003969EA">
        <w:rPr>
          <w:b/>
        </w:rPr>
        <w:t>10</w:t>
      </w:r>
      <w:r w:rsidRPr="003969EA">
        <w:rPr>
          <w:rFonts w:hint="eastAsia"/>
          <w:b/>
        </w:rPr>
        <w:t>年底經媒體大幅報導後，1</w:t>
      </w:r>
      <w:r w:rsidRPr="003969EA">
        <w:rPr>
          <w:b/>
        </w:rPr>
        <w:t>11</w:t>
      </w:r>
      <w:r w:rsidRPr="003969EA">
        <w:rPr>
          <w:rFonts w:hint="eastAsia"/>
          <w:b/>
        </w:rPr>
        <w:t>年交通監理單位又再核發1</w:t>
      </w:r>
      <w:r w:rsidRPr="003969EA">
        <w:rPr>
          <w:b/>
        </w:rPr>
        <w:t>,365</w:t>
      </w:r>
      <w:r w:rsidRPr="003969EA">
        <w:rPr>
          <w:rFonts w:hint="eastAsia"/>
          <w:b/>
        </w:rPr>
        <w:t>件汽車牌照。</w:t>
      </w:r>
      <w:bookmarkStart w:id="97" w:name="_Hlk157784842"/>
      <w:r w:rsidRPr="003969EA">
        <w:rPr>
          <w:rFonts w:hint="eastAsia"/>
          <w:b/>
        </w:rPr>
        <w:t>交通部</w:t>
      </w:r>
      <w:bookmarkEnd w:id="97"/>
      <w:r w:rsidRPr="003969EA">
        <w:rPr>
          <w:rFonts w:hint="eastAsia"/>
          <w:b/>
        </w:rPr>
        <w:t>長期疏未檢討相關作業流程及規定，又漠視相關機關反映之問題，任由各監理機關對吊扣期間之車輛重行核發牌照，5年來（1</w:t>
      </w:r>
      <w:r w:rsidRPr="003969EA">
        <w:rPr>
          <w:b/>
        </w:rPr>
        <w:t>07-111</w:t>
      </w:r>
      <w:r w:rsidRPr="003969EA">
        <w:rPr>
          <w:rFonts w:hint="eastAsia"/>
          <w:b/>
        </w:rPr>
        <w:t>年）使逾8千輛重大違規車輛得「合法」上路，顯然違背依法行政原則，核有重大違失。</w:t>
      </w:r>
    </w:p>
    <w:p w:rsidR="00E66798" w:rsidRPr="003969EA" w:rsidRDefault="00E66798" w:rsidP="00E66798">
      <w:pPr>
        <w:pStyle w:val="3"/>
      </w:pPr>
      <w:r w:rsidRPr="003969EA">
        <w:rPr>
          <w:rFonts w:hint="eastAsia"/>
        </w:rPr>
        <w:t>統計107年至11</w:t>
      </w:r>
      <w:r w:rsidRPr="003969EA">
        <w:t>1</w:t>
      </w:r>
      <w:r w:rsidRPr="003969EA">
        <w:rPr>
          <w:rFonts w:hint="eastAsia"/>
        </w:rPr>
        <w:t>年全國各監理站（所）對牌照尚在                    吊扣期間之車輛重新核發牌照之案件數高達8,0</w:t>
      </w:r>
      <w:r w:rsidRPr="003969EA">
        <w:t>32</w:t>
      </w:r>
      <w:r w:rsidRPr="003969EA">
        <w:rPr>
          <w:rFonts w:hint="eastAsia"/>
        </w:rPr>
        <w:t>件（如下表），不但1</w:t>
      </w:r>
      <w:r w:rsidRPr="003969EA">
        <w:t>10</w:t>
      </w:r>
      <w:r w:rsidRPr="003969EA">
        <w:rPr>
          <w:rFonts w:hint="eastAsia"/>
        </w:rPr>
        <w:t>年高達3千餘件，1</w:t>
      </w:r>
      <w:r w:rsidRPr="003969EA">
        <w:t>10</w:t>
      </w:r>
      <w:r w:rsidRPr="003969EA">
        <w:rPr>
          <w:rFonts w:hint="eastAsia"/>
        </w:rPr>
        <w:t>年底媒體報導後，1</w:t>
      </w:r>
      <w:r w:rsidRPr="003969EA">
        <w:t>11</w:t>
      </w:r>
      <w:r w:rsidRPr="003969EA">
        <w:rPr>
          <w:rFonts w:hint="eastAsia"/>
        </w:rPr>
        <w:t>年仍有1千3百餘件</w:t>
      </w:r>
      <w:bookmarkStart w:id="98" w:name="_Hlk157787012"/>
      <w:r w:rsidRPr="003969EA">
        <w:rPr>
          <w:rFonts w:hint="eastAsia"/>
        </w:rPr>
        <w:t>。</w:t>
      </w:r>
      <w:bookmarkEnd w:id="98"/>
      <w:r w:rsidRPr="003969EA">
        <w:rPr>
          <w:rFonts w:hint="eastAsia"/>
        </w:rPr>
        <w:t>對此，交通部坦承公路監理機關於1</w:t>
      </w:r>
      <w:r w:rsidRPr="003969EA">
        <w:t>11</w:t>
      </w:r>
      <w:r w:rsidRPr="003969EA">
        <w:rPr>
          <w:rFonts w:hint="eastAsia"/>
        </w:rPr>
        <w:t>年3月1</w:t>
      </w:r>
      <w:r w:rsidRPr="003969EA">
        <w:t>7</w:t>
      </w:r>
      <w:r w:rsidRPr="003969EA">
        <w:rPr>
          <w:rFonts w:hint="eastAsia"/>
        </w:rPr>
        <w:t>日</w:t>
      </w:r>
      <w:proofErr w:type="gramStart"/>
      <w:r w:rsidRPr="003969EA">
        <w:rPr>
          <w:rFonts w:hint="eastAsia"/>
        </w:rPr>
        <w:t>函釋前</w:t>
      </w:r>
      <w:proofErr w:type="gramEnd"/>
      <w:r w:rsidRPr="003969EA">
        <w:rPr>
          <w:rFonts w:hint="eastAsia"/>
        </w:rPr>
        <w:t>，辦理吊銷車輛重領牌照作業時，未再審視該車輛是否仍在吊扣牌照期間。惟辯稱交通違規無論罰鍰、記點、吊扣等處分，如再受吊銷處分，</w:t>
      </w:r>
      <w:proofErr w:type="gramStart"/>
      <w:r w:rsidRPr="003969EA">
        <w:rPr>
          <w:rFonts w:hint="eastAsia"/>
        </w:rPr>
        <w:t>均應依</w:t>
      </w:r>
      <w:proofErr w:type="gramEnd"/>
      <w:r w:rsidRPr="003969EA">
        <w:rPr>
          <w:rFonts w:hint="eastAsia"/>
        </w:rPr>
        <w:t>規定執行吊銷。1</w:t>
      </w:r>
      <w:r w:rsidRPr="003969EA">
        <w:t>12</w:t>
      </w:r>
      <w:r w:rsidRPr="003969EA">
        <w:rPr>
          <w:rFonts w:hint="eastAsia"/>
        </w:rPr>
        <w:t>年6月3</w:t>
      </w:r>
      <w:r w:rsidRPr="003969EA">
        <w:t>0</w:t>
      </w:r>
      <w:r w:rsidRPr="003969EA">
        <w:rPr>
          <w:rFonts w:hint="eastAsia"/>
        </w:rPr>
        <w:t>日道交條例修法前，除依該條例第6</w:t>
      </w:r>
      <w:r w:rsidRPr="003969EA">
        <w:t>6</w:t>
      </w:r>
      <w:r w:rsidRPr="003969EA">
        <w:rPr>
          <w:rFonts w:hint="eastAsia"/>
        </w:rPr>
        <w:t>條第1項註銷牌照（汽車所有人經處分吊銷牌照不依規定繳送牌照），需滿6個月始得再行</w:t>
      </w:r>
      <w:proofErr w:type="gramStart"/>
      <w:r w:rsidRPr="003969EA">
        <w:rPr>
          <w:rFonts w:hint="eastAsia"/>
        </w:rPr>
        <w:t>請領外</w:t>
      </w:r>
      <w:proofErr w:type="gramEnd"/>
      <w:r w:rsidRPr="003969EA">
        <w:rPr>
          <w:rFonts w:hint="eastAsia"/>
        </w:rPr>
        <w:t>，其他吊銷牌照之態樣，依規定均可重行檢驗重領牌照。於本院約</w:t>
      </w:r>
      <w:proofErr w:type="gramStart"/>
      <w:r w:rsidRPr="003969EA">
        <w:rPr>
          <w:rFonts w:hint="eastAsia"/>
        </w:rPr>
        <w:t>詢</w:t>
      </w:r>
      <w:proofErr w:type="gramEnd"/>
      <w:r w:rsidRPr="003969EA">
        <w:rPr>
          <w:rFonts w:hint="eastAsia"/>
        </w:rPr>
        <w:t>時陳稱：吊銷處罰效果重於吊扣，即便車主之車牌先前遭吊扣，只要車主另違反道交條例第12條第1項所列各款情形而遭警方「吊銷」汽車牌照，因牌照吊銷後無從吊扣，車主依法可逕行驗車後重新申領牌照上路；車輛牌照吊銷後，系統即不會再顯示其吊扣狀態；汽車牌照如因吊扣處分入庫保管，執行吊銷牌照時無庸收繳，處罰機關應逕行將該牌照移送公路監理機關銷</w:t>
      </w:r>
      <w:proofErr w:type="gramStart"/>
      <w:r w:rsidRPr="003969EA">
        <w:rPr>
          <w:rFonts w:hint="eastAsia"/>
        </w:rPr>
        <w:t>燬</w:t>
      </w:r>
      <w:proofErr w:type="gramEnd"/>
      <w:r w:rsidRPr="003969EA">
        <w:rPr>
          <w:rFonts w:hint="eastAsia"/>
        </w:rPr>
        <w:t>等語。對於1</w:t>
      </w:r>
      <w:r w:rsidRPr="003969EA">
        <w:t>08</w:t>
      </w:r>
      <w:r w:rsidRPr="003969EA">
        <w:rPr>
          <w:rFonts w:hint="eastAsia"/>
        </w:rPr>
        <w:t>年起汽車在牌照吊扣期間重領牌照上路之案件數大幅增加之現象，則解釋或係因部分業者利用網路大量傳播利用此一法律漏洞，規避吊扣汽車牌照處罰所造成。表示媒體報導後，</w:t>
      </w:r>
      <w:proofErr w:type="gramStart"/>
      <w:r w:rsidRPr="003969EA">
        <w:rPr>
          <w:rFonts w:hint="eastAsia"/>
        </w:rPr>
        <w:t>該部已於</w:t>
      </w:r>
      <w:proofErr w:type="gramEnd"/>
      <w:r w:rsidRPr="003969EA">
        <w:rPr>
          <w:rFonts w:hint="eastAsia"/>
        </w:rPr>
        <w:t>1</w:t>
      </w:r>
      <w:r w:rsidRPr="003969EA">
        <w:t>11</w:t>
      </w:r>
      <w:r w:rsidRPr="003969EA">
        <w:rPr>
          <w:rFonts w:hint="eastAsia"/>
        </w:rPr>
        <w:t>年3月1</w:t>
      </w:r>
      <w:r w:rsidRPr="003969EA">
        <w:t>7</w:t>
      </w:r>
      <w:r w:rsidRPr="003969EA">
        <w:rPr>
          <w:rFonts w:hint="eastAsia"/>
        </w:rPr>
        <w:t>日函示該部72年5月23日</w:t>
      </w:r>
      <w:proofErr w:type="gramStart"/>
      <w:r w:rsidRPr="003969EA">
        <w:rPr>
          <w:rFonts w:hint="eastAsia"/>
        </w:rPr>
        <w:t>交路字</w:t>
      </w:r>
      <w:proofErr w:type="gramEnd"/>
      <w:r w:rsidRPr="003969EA">
        <w:rPr>
          <w:rFonts w:hint="eastAsia"/>
        </w:rPr>
        <w:t>第09379號函之適用範圍，擴大至全部汽機車；並推動道交條例第6</w:t>
      </w:r>
      <w:r w:rsidRPr="003969EA">
        <w:t>6</w:t>
      </w:r>
      <w:r w:rsidRPr="003969EA">
        <w:rPr>
          <w:rFonts w:hint="eastAsia"/>
        </w:rPr>
        <w:t>條於1</w:t>
      </w:r>
      <w:r w:rsidRPr="003969EA">
        <w:t>12</w:t>
      </w:r>
      <w:r w:rsidRPr="003969EA">
        <w:rPr>
          <w:rFonts w:hint="eastAsia"/>
        </w:rPr>
        <w:t>年6月3</w:t>
      </w:r>
      <w:r w:rsidRPr="003969EA">
        <w:t>0</w:t>
      </w:r>
      <w:r w:rsidRPr="003969EA">
        <w:rPr>
          <w:rFonts w:hint="eastAsia"/>
        </w:rPr>
        <w:t>日完成修法</w:t>
      </w:r>
      <w:r w:rsidRPr="003969EA">
        <w:rPr>
          <w:rStyle w:val="af"/>
        </w:rPr>
        <w:footnoteReference w:id="3"/>
      </w:r>
      <w:r w:rsidRPr="003969EA">
        <w:rPr>
          <w:rFonts w:hint="eastAsia"/>
        </w:rPr>
        <w:t>等語。</w:t>
      </w:r>
    </w:p>
    <w:p w:rsidR="00E66798" w:rsidRPr="003969EA" w:rsidRDefault="00E66798" w:rsidP="00E66798">
      <w:pPr>
        <w:pStyle w:val="a"/>
      </w:pPr>
      <w:r w:rsidRPr="003969EA">
        <w:rPr>
          <w:rFonts w:hint="eastAsia"/>
        </w:rPr>
        <w:t>107-11</w:t>
      </w:r>
      <w:r w:rsidRPr="003969EA">
        <w:t>1</w:t>
      </w:r>
      <w:r w:rsidRPr="003969EA">
        <w:rPr>
          <w:rFonts w:hint="eastAsia"/>
        </w:rPr>
        <w:t>年汽車牌照在吊扣</w:t>
      </w:r>
      <w:proofErr w:type="gramStart"/>
      <w:r w:rsidRPr="003969EA">
        <w:rPr>
          <w:rFonts w:hint="eastAsia"/>
        </w:rPr>
        <w:t>期間，</w:t>
      </w:r>
      <w:proofErr w:type="gramEnd"/>
      <w:r w:rsidRPr="003969EA">
        <w:rPr>
          <w:rFonts w:hint="eastAsia"/>
        </w:rPr>
        <w:t>又重領汽車牌照之案件數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left w:w="57" w:type="dxa"/>
          <w:bottom w:w="28" w:type="dxa"/>
          <w:right w:w="57" w:type="dxa"/>
        </w:tblCellMar>
        <w:tblLook w:val="04A0" w:firstRow="1" w:lastRow="0" w:firstColumn="1" w:lastColumn="0" w:noHBand="0" w:noVBand="1"/>
      </w:tblPr>
      <w:tblGrid>
        <w:gridCol w:w="2523"/>
        <w:gridCol w:w="1065"/>
        <w:gridCol w:w="1065"/>
        <w:gridCol w:w="1065"/>
        <w:gridCol w:w="1065"/>
        <w:gridCol w:w="1065"/>
        <w:gridCol w:w="980"/>
      </w:tblGrid>
      <w:tr w:rsidR="00E66798" w:rsidRPr="003969EA" w:rsidTr="004204EB">
        <w:trPr>
          <w:trHeight w:val="860"/>
          <w:tblHeader/>
        </w:trPr>
        <w:tc>
          <w:tcPr>
            <w:tcW w:w="1428" w:type="pct"/>
            <w:tcBorders>
              <w:tl2br w:val="single" w:sz="6" w:space="0" w:color="auto"/>
            </w:tcBorders>
            <w:shd w:val="clear" w:color="auto" w:fill="EDEDED" w:themeFill="accent3" w:themeFillTint="33"/>
            <w:vAlign w:val="center"/>
            <w:hideMark/>
          </w:tcPr>
          <w:p w:rsidR="00E66798" w:rsidRPr="003969EA" w:rsidRDefault="00E66798" w:rsidP="004204EB">
            <w:pPr>
              <w:widowControl/>
              <w:overflowPunct/>
              <w:autoSpaceDE/>
              <w:autoSpaceDN/>
              <w:spacing w:before="60"/>
              <w:jc w:val="center"/>
              <w:rPr>
                <w:rFonts w:hAnsi="標楷體" w:cs="新細明體"/>
                <w:kern w:val="0"/>
                <w:sz w:val="30"/>
                <w:szCs w:val="30"/>
              </w:rPr>
            </w:pPr>
            <w:r w:rsidRPr="003969EA">
              <w:rPr>
                <w:rFonts w:hAnsi="標楷體" w:cs="新細明體" w:hint="eastAsia"/>
                <w:kern w:val="0"/>
                <w:sz w:val="30"/>
                <w:szCs w:val="30"/>
              </w:rPr>
              <w:t>年度</w:t>
            </w:r>
          </w:p>
          <w:p w:rsidR="00E66798" w:rsidRPr="003969EA" w:rsidRDefault="00E66798" w:rsidP="004204EB">
            <w:pPr>
              <w:widowControl/>
              <w:overflowPunct/>
              <w:autoSpaceDE/>
              <w:autoSpaceDN/>
              <w:spacing w:beforeLines="50" w:before="228"/>
              <w:rPr>
                <w:rFonts w:hAnsi="標楷體" w:cs="新細明體"/>
                <w:kern w:val="0"/>
                <w:sz w:val="30"/>
                <w:szCs w:val="30"/>
              </w:rPr>
            </w:pPr>
            <w:r w:rsidRPr="003969EA">
              <w:rPr>
                <w:rFonts w:hAnsi="標楷體" w:cs="新細明體" w:hint="eastAsia"/>
                <w:kern w:val="0"/>
                <w:sz w:val="30"/>
                <w:szCs w:val="30"/>
              </w:rPr>
              <w:t>重領牌所站</w:t>
            </w:r>
          </w:p>
        </w:tc>
        <w:tc>
          <w:tcPr>
            <w:tcW w:w="603" w:type="pct"/>
            <w:shd w:val="clear" w:color="auto" w:fill="EDEDED" w:themeFill="accent3" w:themeFillTint="33"/>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107年</w:t>
            </w:r>
          </w:p>
        </w:tc>
        <w:tc>
          <w:tcPr>
            <w:tcW w:w="603" w:type="pct"/>
            <w:shd w:val="clear" w:color="auto" w:fill="EDEDED" w:themeFill="accent3" w:themeFillTint="33"/>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108年</w:t>
            </w:r>
          </w:p>
        </w:tc>
        <w:tc>
          <w:tcPr>
            <w:tcW w:w="603" w:type="pct"/>
            <w:shd w:val="clear" w:color="auto" w:fill="EDEDED" w:themeFill="accent3" w:themeFillTint="33"/>
            <w:noWrap/>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109年</w:t>
            </w:r>
          </w:p>
        </w:tc>
        <w:tc>
          <w:tcPr>
            <w:tcW w:w="603" w:type="pct"/>
            <w:shd w:val="clear" w:color="auto" w:fill="EDEDED" w:themeFill="accent3" w:themeFillTint="33"/>
            <w:noWrap/>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110年</w:t>
            </w:r>
          </w:p>
        </w:tc>
        <w:tc>
          <w:tcPr>
            <w:tcW w:w="603" w:type="pct"/>
            <w:shd w:val="clear" w:color="auto" w:fill="EDEDED" w:themeFill="accent3" w:themeFillTint="33"/>
            <w:noWrap/>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111年</w:t>
            </w:r>
          </w:p>
        </w:tc>
        <w:tc>
          <w:tcPr>
            <w:tcW w:w="555" w:type="pct"/>
            <w:shd w:val="clear" w:color="auto" w:fill="EDEDED" w:themeFill="accent3" w:themeFillTint="33"/>
            <w:noWrap/>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總計</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臺北市區監理所</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71</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72</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189</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330</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98</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760</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士林監理站</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29</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29</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47</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152</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69</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w:t>
            </w:r>
            <w:r w:rsidRPr="003969EA">
              <w:rPr>
                <w:rFonts w:hAnsi="標楷體" w:cs="新細明體"/>
                <w:kern w:val="0"/>
                <w:sz w:val="30"/>
                <w:szCs w:val="30"/>
              </w:rPr>
              <w:t>26</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基隆監理站</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17</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23</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36</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101</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45</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22</w:t>
            </w:r>
            <w:r w:rsidRPr="003969EA">
              <w:rPr>
                <w:rFonts w:hAnsi="標楷體" w:cs="新細明體"/>
                <w:kern w:val="0"/>
                <w:sz w:val="30"/>
                <w:szCs w:val="30"/>
              </w:rPr>
              <w:t>2</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金門監理站</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6</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0</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0</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9</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高雄市區監理所</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29</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27</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64</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145</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73</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w:t>
            </w:r>
            <w:r w:rsidRPr="003969EA">
              <w:rPr>
                <w:rFonts w:hAnsi="標楷體" w:cs="新細明體"/>
                <w:kern w:val="0"/>
                <w:sz w:val="30"/>
                <w:szCs w:val="30"/>
              </w:rPr>
              <w:t>38</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proofErr w:type="gramStart"/>
            <w:r w:rsidRPr="003969EA">
              <w:rPr>
                <w:rFonts w:hAnsi="標楷體" w:cs="新細明體" w:hint="eastAsia"/>
                <w:kern w:val="0"/>
                <w:sz w:val="30"/>
                <w:szCs w:val="30"/>
              </w:rPr>
              <w:t>苓雅監</w:t>
            </w:r>
            <w:proofErr w:type="gramEnd"/>
            <w:r w:rsidRPr="003969EA">
              <w:rPr>
                <w:rFonts w:hAnsi="標楷體" w:cs="新細明體" w:hint="eastAsia"/>
                <w:kern w:val="0"/>
                <w:sz w:val="30"/>
                <w:szCs w:val="30"/>
              </w:rPr>
              <w:t>理站</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8</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旗山監理站</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4</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0</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6</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15</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w:t>
            </w:r>
            <w:r w:rsidRPr="003969EA">
              <w:rPr>
                <w:rFonts w:hAnsi="標楷體" w:cs="新細明體"/>
                <w:kern w:val="0"/>
                <w:sz w:val="30"/>
                <w:szCs w:val="30"/>
              </w:rPr>
              <w:t>8</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proofErr w:type="gramStart"/>
            <w:r w:rsidRPr="003969EA">
              <w:rPr>
                <w:rFonts w:hAnsi="標楷體" w:cs="新細明體" w:hint="eastAsia"/>
                <w:kern w:val="0"/>
                <w:sz w:val="30"/>
                <w:szCs w:val="30"/>
              </w:rPr>
              <w:t>臺</w:t>
            </w:r>
            <w:proofErr w:type="gramEnd"/>
            <w:r w:rsidRPr="003969EA">
              <w:rPr>
                <w:rFonts w:hAnsi="標楷體" w:cs="新細明體" w:hint="eastAsia"/>
                <w:kern w:val="0"/>
                <w:sz w:val="30"/>
                <w:szCs w:val="30"/>
              </w:rPr>
              <w:t>北區監理所</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146</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174</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351</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688</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220</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w:t>
            </w:r>
            <w:r w:rsidRPr="003969EA">
              <w:rPr>
                <w:rFonts w:hAnsi="標楷體" w:cs="新細明體"/>
                <w:kern w:val="0"/>
                <w:sz w:val="30"/>
                <w:szCs w:val="30"/>
              </w:rPr>
              <w:t>,</w:t>
            </w:r>
            <w:r w:rsidRPr="003969EA">
              <w:rPr>
                <w:rFonts w:hAnsi="標楷體" w:cs="新細明體" w:hint="eastAsia"/>
                <w:kern w:val="0"/>
                <w:sz w:val="30"/>
                <w:szCs w:val="30"/>
              </w:rPr>
              <w:t>5</w:t>
            </w:r>
            <w:r w:rsidRPr="003969EA">
              <w:rPr>
                <w:rFonts w:hAnsi="標楷體" w:cs="新細明體"/>
                <w:kern w:val="0"/>
                <w:sz w:val="30"/>
                <w:szCs w:val="30"/>
              </w:rPr>
              <w:t>79</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宜蘭監理站</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17</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11</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20</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64</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20</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13</w:t>
            </w:r>
            <w:r w:rsidRPr="003969EA">
              <w:rPr>
                <w:rFonts w:hAnsi="標楷體" w:cs="新細明體"/>
                <w:kern w:val="0"/>
                <w:sz w:val="30"/>
                <w:szCs w:val="30"/>
              </w:rPr>
              <w:t>2</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花蓮監理站</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23</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17</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15</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56</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17</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128</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proofErr w:type="gramStart"/>
            <w:r w:rsidRPr="003969EA">
              <w:rPr>
                <w:rFonts w:hAnsi="標楷體" w:cs="新細明體" w:hint="eastAsia"/>
                <w:kern w:val="0"/>
                <w:sz w:val="30"/>
                <w:szCs w:val="30"/>
              </w:rPr>
              <w:t>玉里分站</w:t>
            </w:r>
            <w:proofErr w:type="gramEnd"/>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0</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5</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9</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新竹區監理所</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20</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14</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25</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55</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30</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14</w:t>
            </w:r>
            <w:r w:rsidRPr="003969EA">
              <w:rPr>
                <w:rFonts w:hAnsi="標楷體" w:cs="新細明體"/>
                <w:kern w:val="0"/>
                <w:sz w:val="30"/>
                <w:szCs w:val="30"/>
              </w:rPr>
              <w:t>4</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新竹市監理站</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16</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23</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44</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69</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24</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176</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桃園監理站</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64</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66</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103</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312</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129</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67</w:t>
            </w:r>
            <w:r w:rsidRPr="003969EA">
              <w:rPr>
                <w:rFonts w:hAnsi="標楷體" w:cs="新細明體"/>
                <w:kern w:val="0"/>
                <w:sz w:val="30"/>
                <w:szCs w:val="30"/>
              </w:rPr>
              <w:t>4</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中壢監理站</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14</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17</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20</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52</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22</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125</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苗栗監理站</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26</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25</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25</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65</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35</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176</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proofErr w:type="gramStart"/>
            <w:r w:rsidRPr="003969EA">
              <w:rPr>
                <w:rFonts w:hAnsi="標楷體" w:cs="新細明體" w:hint="eastAsia"/>
                <w:kern w:val="0"/>
                <w:sz w:val="30"/>
                <w:szCs w:val="30"/>
              </w:rPr>
              <w:t>臺</w:t>
            </w:r>
            <w:proofErr w:type="gramEnd"/>
            <w:r w:rsidRPr="003969EA">
              <w:rPr>
                <w:rFonts w:hAnsi="標楷體" w:cs="新細明體" w:hint="eastAsia"/>
                <w:kern w:val="0"/>
                <w:sz w:val="30"/>
                <w:szCs w:val="30"/>
              </w:rPr>
              <w:t>中區監理所</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102</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99</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226</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417</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142</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9</w:t>
            </w:r>
            <w:r w:rsidRPr="003969EA">
              <w:rPr>
                <w:rFonts w:hAnsi="標楷體" w:cs="新細明體"/>
                <w:kern w:val="0"/>
                <w:sz w:val="30"/>
                <w:szCs w:val="30"/>
              </w:rPr>
              <w:t>86</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埔里</w:t>
            </w:r>
            <w:proofErr w:type="gramStart"/>
            <w:r w:rsidRPr="003969EA">
              <w:rPr>
                <w:rFonts w:hAnsi="標楷體" w:cs="新細明體" w:hint="eastAsia"/>
                <w:kern w:val="0"/>
                <w:sz w:val="30"/>
                <w:szCs w:val="30"/>
              </w:rPr>
              <w:t>監理分站</w:t>
            </w:r>
            <w:proofErr w:type="gramEnd"/>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0</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0</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0</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5</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豐原監理站</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32</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37</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55</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133</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59</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31</w:t>
            </w:r>
            <w:r w:rsidRPr="003969EA">
              <w:rPr>
                <w:rFonts w:hAnsi="標楷體" w:cs="新細明體"/>
                <w:kern w:val="0"/>
                <w:sz w:val="30"/>
                <w:szCs w:val="30"/>
              </w:rPr>
              <w:t>6</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彰化監理站</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42</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51</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33</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101</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49</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27</w:t>
            </w:r>
            <w:r w:rsidRPr="003969EA">
              <w:rPr>
                <w:rFonts w:hAnsi="標楷體" w:cs="新細明體"/>
                <w:kern w:val="0"/>
                <w:sz w:val="30"/>
                <w:szCs w:val="30"/>
              </w:rPr>
              <w:t>6</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南投監理站</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18</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20</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36</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75</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24</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173</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嘉義區監理所</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14</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18</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28</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35</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33</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w:t>
            </w:r>
            <w:r w:rsidRPr="003969EA">
              <w:rPr>
                <w:rFonts w:hAnsi="標楷體" w:cs="新細明體"/>
                <w:kern w:val="0"/>
                <w:sz w:val="30"/>
                <w:szCs w:val="30"/>
              </w:rPr>
              <w:t>28</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雲林監理站</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34</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16</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19</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81</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31</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181</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新營監理站</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5</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4</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6</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9</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26</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proofErr w:type="gramStart"/>
            <w:r w:rsidRPr="003969EA">
              <w:rPr>
                <w:rFonts w:hAnsi="標楷體" w:cs="新細明體" w:hint="eastAsia"/>
                <w:kern w:val="0"/>
                <w:sz w:val="30"/>
                <w:szCs w:val="30"/>
              </w:rPr>
              <w:t>臺</w:t>
            </w:r>
            <w:proofErr w:type="gramEnd"/>
            <w:r w:rsidRPr="003969EA">
              <w:rPr>
                <w:rFonts w:hAnsi="標楷體" w:cs="新細明體" w:hint="eastAsia"/>
                <w:kern w:val="0"/>
                <w:sz w:val="30"/>
                <w:szCs w:val="30"/>
              </w:rPr>
              <w:t>南監理站</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32</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24</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33</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94</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36</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w:t>
            </w:r>
            <w:r w:rsidRPr="003969EA">
              <w:rPr>
                <w:rFonts w:hAnsi="標楷體" w:cs="新細明體"/>
                <w:kern w:val="0"/>
                <w:sz w:val="30"/>
                <w:szCs w:val="30"/>
              </w:rPr>
              <w:t>19</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麻豆監理站</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10</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9</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34</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77</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39</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w:t>
            </w:r>
            <w:r w:rsidRPr="003969EA">
              <w:rPr>
                <w:rFonts w:hAnsi="標楷體" w:cs="新細明體"/>
                <w:kern w:val="0"/>
                <w:sz w:val="30"/>
                <w:szCs w:val="30"/>
              </w:rPr>
              <w:t>69</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嘉義市監理站</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26</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21</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54</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85</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47</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233</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高雄區監理所</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22</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31</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52</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95</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57</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25</w:t>
            </w:r>
            <w:r w:rsidRPr="003969EA">
              <w:rPr>
                <w:rFonts w:hAnsi="標楷體" w:cs="新細明體"/>
                <w:kern w:val="0"/>
                <w:sz w:val="30"/>
                <w:szCs w:val="30"/>
              </w:rPr>
              <w:t>7</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proofErr w:type="gramStart"/>
            <w:r w:rsidRPr="003969EA">
              <w:rPr>
                <w:rFonts w:hAnsi="標楷體" w:cs="新細明體" w:hint="eastAsia"/>
                <w:kern w:val="0"/>
                <w:sz w:val="30"/>
                <w:szCs w:val="30"/>
              </w:rPr>
              <w:t>臺東監</w:t>
            </w:r>
            <w:proofErr w:type="gramEnd"/>
            <w:r w:rsidRPr="003969EA">
              <w:rPr>
                <w:rFonts w:hAnsi="標楷體" w:cs="新細明體" w:hint="eastAsia"/>
                <w:kern w:val="0"/>
                <w:sz w:val="30"/>
                <w:szCs w:val="30"/>
              </w:rPr>
              <w:t>理站</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4</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4</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8</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14</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33</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屏東監理站</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26</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22</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18</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80</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35</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18</w:t>
            </w:r>
            <w:r w:rsidRPr="003969EA">
              <w:rPr>
                <w:rFonts w:hAnsi="標楷體" w:cs="新細明體"/>
                <w:kern w:val="0"/>
                <w:sz w:val="30"/>
                <w:szCs w:val="30"/>
              </w:rPr>
              <w:t>1</w:t>
            </w:r>
          </w:p>
        </w:tc>
      </w:tr>
      <w:tr w:rsidR="00E66798" w:rsidRPr="003969EA" w:rsidTr="004204EB">
        <w:trPr>
          <w:trHeight w:val="390"/>
        </w:trPr>
        <w:tc>
          <w:tcPr>
            <w:tcW w:w="1428" w:type="pct"/>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恆春</w:t>
            </w:r>
            <w:proofErr w:type="gramStart"/>
            <w:r w:rsidRPr="003969EA">
              <w:rPr>
                <w:rFonts w:hAnsi="標楷體" w:cs="新細明體" w:hint="eastAsia"/>
                <w:kern w:val="0"/>
                <w:sz w:val="30"/>
                <w:szCs w:val="30"/>
              </w:rPr>
              <w:t>監理分站</w:t>
            </w:r>
            <w:proofErr w:type="gramEnd"/>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0</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0</w:t>
            </w:r>
          </w:p>
        </w:tc>
        <w:tc>
          <w:tcPr>
            <w:tcW w:w="603" w:type="pct"/>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w:t>
            </w:r>
          </w:p>
        </w:tc>
        <w:tc>
          <w:tcPr>
            <w:tcW w:w="555" w:type="pct"/>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4</w:t>
            </w:r>
          </w:p>
        </w:tc>
      </w:tr>
      <w:tr w:rsidR="00E66798" w:rsidRPr="003969EA" w:rsidTr="004204EB">
        <w:trPr>
          <w:trHeight w:val="390"/>
        </w:trPr>
        <w:tc>
          <w:tcPr>
            <w:tcW w:w="1428" w:type="pct"/>
            <w:tcBorders>
              <w:bottom w:val="single" w:sz="12" w:space="0" w:color="auto"/>
            </w:tcBorders>
            <w:shd w:val="clear" w:color="auto" w:fill="auto"/>
            <w:vAlign w:val="center"/>
            <w:hideMark/>
          </w:tcPr>
          <w:p w:rsidR="00E66798" w:rsidRPr="003969EA" w:rsidRDefault="00E66798" w:rsidP="004204EB">
            <w:pPr>
              <w:widowControl/>
              <w:overflowPunct/>
              <w:autoSpaceDE/>
              <w:autoSpaceDN/>
              <w:jc w:val="center"/>
              <w:rPr>
                <w:rFonts w:hAnsi="標楷體" w:cs="新細明體"/>
                <w:kern w:val="0"/>
                <w:sz w:val="30"/>
                <w:szCs w:val="30"/>
              </w:rPr>
            </w:pPr>
            <w:r w:rsidRPr="003969EA">
              <w:rPr>
                <w:rFonts w:hAnsi="標楷體" w:cs="新細明體" w:hint="eastAsia"/>
                <w:kern w:val="0"/>
                <w:sz w:val="30"/>
                <w:szCs w:val="30"/>
              </w:rPr>
              <w:t>澎湖監理站</w:t>
            </w:r>
          </w:p>
        </w:tc>
        <w:tc>
          <w:tcPr>
            <w:tcW w:w="603" w:type="pct"/>
            <w:tcBorders>
              <w:bottom w:val="single" w:sz="12" w:space="0" w:color="auto"/>
            </w:tcBorders>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0</w:t>
            </w:r>
          </w:p>
        </w:tc>
        <w:tc>
          <w:tcPr>
            <w:tcW w:w="603" w:type="pct"/>
            <w:tcBorders>
              <w:bottom w:val="single" w:sz="12" w:space="0" w:color="auto"/>
            </w:tcBorders>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2</w:t>
            </w:r>
          </w:p>
        </w:tc>
        <w:tc>
          <w:tcPr>
            <w:tcW w:w="603" w:type="pct"/>
            <w:tcBorders>
              <w:bottom w:val="single" w:sz="12" w:space="0" w:color="auto"/>
            </w:tcBorders>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0</w:t>
            </w:r>
          </w:p>
        </w:tc>
        <w:tc>
          <w:tcPr>
            <w:tcW w:w="603" w:type="pct"/>
            <w:tcBorders>
              <w:bottom w:val="single" w:sz="12" w:space="0" w:color="auto"/>
            </w:tcBorders>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0</w:t>
            </w:r>
          </w:p>
        </w:tc>
        <w:tc>
          <w:tcPr>
            <w:tcW w:w="603" w:type="pct"/>
            <w:tcBorders>
              <w:bottom w:val="single" w:sz="12" w:space="0" w:color="auto"/>
            </w:tcBorders>
            <w:shd w:val="clear" w:color="auto" w:fill="auto"/>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9</w:t>
            </w:r>
          </w:p>
        </w:tc>
        <w:tc>
          <w:tcPr>
            <w:tcW w:w="555" w:type="pct"/>
            <w:tcBorders>
              <w:bottom w:val="single" w:sz="12" w:space="0" w:color="auto"/>
            </w:tcBorders>
            <w:shd w:val="clear" w:color="auto" w:fill="auto"/>
            <w:noWrap/>
            <w:vAlign w:val="center"/>
            <w:hideMark/>
          </w:tcPr>
          <w:p w:rsidR="00E66798" w:rsidRPr="003969EA" w:rsidRDefault="00E66798" w:rsidP="004204EB">
            <w:pPr>
              <w:widowControl/>
              <w:overflowPunct/>
              <w:autoSpaceDE/>
              <w:autoSpaceDN/>
              <w:jc w:val="right"/>
              <w:rPr>
                <w:rFonts w:hAnsi="標楷體" w:cs="新細明體"/>
                <w:kern w:val="0"/>
                <w:sz w:val="30"/>
                <w:szCs w:val="30"/>
              </w:rPr>
            </w:pPr>
            <w:r w:rsidRPr="003969EA">
              <w:rPr>
                <w:rFonts w:hAnsi="標楷體" w:cs="新細明體" w:hint="eastAsia"/>
                <w:kern w:val="0"/>
                <w:sz w:val="30"/>
                <w:szCs w:val="30"/>
              </w:rPr>
              <w:t>11</w:t>
            </w:r>
          </w:p>
        </w:tc>
      </w:tr>
      <w:tr w:rsidR="00E66798" w:rsidRPr="003969EA" w:rsidTr="004204EB">
        <w:trPr>
          <w:trHeight w:val="390"/>
        </w:trPr>
        <w:tc>
          <w:tcPr>
            <w:tcW w:w="1428" w:type="pct"/>
            <w:tcBorders>
              <w:top w:val="single" w:sz="12" w:space="0" w:color="auto"/>
              <w:left w:val="single" w:sz="12" w:space="0" w:color="auto"/>
              <w:bottom w:val="single" w:sz="12" w:space="0" w:color="auto"/>
            </w:tcBorders>
            <w:shd w:val="clear" w:color="auto" w:fill="auto"/>
            <w:noWrap/>
            <w:vAlign w:val="center"/>
            <w:hideMark/>
          </w:tcPr>
          <w:p w:rsidR="00E66798" w:rsidRPr="003969EA" w:rsidRDefault="00E66798" w:rsidP="004204EB">
            <w:pPr>
              <w:widowControl/>
              <w:overflowPunct/>
              <w:autoSpaceDE/>
              <w:autoSpaceDN/>
              <w:jc w:val="center"/>
              <w:rPr>
                <w:rFonts w:hAnsi="標楷體" w:cs="新細明體"/>
                <w:b/>
                <w:kern w:val="0"/>
                <w:sz w:val="30"/>
                <w:szCs w:val="30"/>
              </w:rPr>
            </w:pPr>
            <w:r w:rsidRPr="003969EA">
              <w:rPr>
                <w:rFonts w:hAnsi="標楷體" w:cs="新細明體" w:hint="eastAsia"/>
                <w:b/>
                <w:kern w:val="0"/>
                <w:sz w:val="30"/>
                <w:szCs w:val="30"/>
              </w:rPr>
              <w:t>總計</w:t>
            </w:r>
          </w:p>
        </w:tc>
        <w:tc>
          <w:tcPr>
            <w:tcW w:w="603" w:type="pct"/>
            <w:tcBorders>
              <w:top w:val="single" w:sz="12" w:space="0" w:color="auto"/>
              <w:bottom w:val="single" w:sz="12" w:space="0" w:color="auto"/>
            </w:tcBorders>
            <w:shd w:val="clear" w:color="auto" w:fill="auto"/>
            <w:noWrap/>
            <w:vAlign w:val="center"/>
            <w:hideMark/>
          </w:tcPr>
          <w:p w:rsidR="00E66798" w:rsidRPr="003969EA" w:rsidRDefault="00E66798" w:rsidP="004204EB">
            <w:pPr>
              <w:widowControl/>
              <w:overflowPunct/>
              <w:autoSpaceDE/>
              <w:autoSpaceDN/>
              <w:jc w:val="right"/>
              <w:rPr>
                <w:rFonts w:hAnsi="標楷體" w:cs="新細明體"/>
                <w:b/>
                <w:kern w:val="0"/>
                <w:sz w:val="30"/>
                <w:szCs w:val="30"/>
              </w:rPr>
            </w:pPr>
            <w:r w:rsidRPr="003969EA">
              <w:rPr>
                <w:rFonts w:hAnsi="標楷體" w:cs="新細明體" w:hint="eastAsia"/>
                <w:b/>
                <w:kern w:val="0"/>
                <w:sz w:val="30"/>
                <w:szCs w:val="30"/>
              </w:rPr>
              <w:t>848</w:t>
            </w:r>
          </w:p>
        </w:tc>
        <w:tc>
          <w:tcPr>
            <w:tcW w:w="603" w:type="pct"/>
            <w:tcBorders>
              <w:top w:val="single" w:sz="12" w:space="0" w:color="auto"/>
              <w:bottom w:val="single" w:sz="12" w:space="0" w:color="auto"/>
            </w:tcBorders>
            <w:shd w:val="clear" w:color="auto" w:fill="auto"/>
            <w:noWrap/>
            <w:vAlign w:val="center"/>
            <w:hideMark/>
          </w:tcPr>
          <w:p w:rsidR="00E66798" w:rsidRPr="003969EA" w:rsidRDefault="00E66798" w:rsidP="004204EB">
            <w:pPr>
              <w:widowControl/>
              <w:overflowPunct/>
              <w:autoSpaceDE/>
              <w:autoSpaceDN/>
              <w:jc w:val="right"/>
              <w:rPr>
                <w:rFonts w:hAnsi="標楷體" w:cs="新細明體"/>
                <w:b/>
                <w:kern w:val="0"/>
                <w:sz w:val="30"/>
                <w:szCs w:val="30"/>
              </w:rPr>
            </w:pPr>
            <w:r w:rsidRPr="003969EA">
              <w:rPr>
                <w:rFonts w:hAnsi="標楷體" w:cs="新細明體" w:hint="eastAsia"/>
                <w:b/>
                <w:kern w:val="0"/>
                <w:sz w:val="30"/>
                <w:szCs w:val="30"/>
              </w:rPr>
              <w:t>866</w:t>
            </w:r>
          </w:p>
        </w:tc>
        <w:tc>
          <w:tcPr>
            <w:tcW w:w="603" w:type="pct"/>
            <w:tcBorders>
              <w:top w:val="single" w:sz="12" w:space="0" w:color="auto"/>
              <w:bottom w:val="single" w:sz="12" w:space="0" w:color="auto"/>
            </w:tcBorders>
            <w:shd w:val="clear" w:color="auto" w:fill="auto"/>
            <w:noWrap/>
            <w:vAlign w:val="center"/>
            <w:hideMark/>
          </w:tcPr>
          <w:p w:rsidR="00E66798" w:rsidRPr="003969EA" w:rsidRDefault="00E66798" w:rsidP="004204EB">
            <w:pPr>
              <w:widowControl/>
              <w:overflowPunct/>
              <w:autoSpaceDE/>
              <w:autoSpaceDN/>
              <w:jc w:val="right"/>
              <w:rPr>
                <w:rFonts w:hAnsi="標楷體" w:cs="新細明體"/>
                <w:b/>
                <w:kern w:val="0"/>
                <w:sz w:val="30"/>
                <w:szCs w:val="30"/>
              </w:rPr>
            </w:pPr>
            <w:r w:rsidRPr="003969EA">
              <w:rPr>
                <w:rFonts w:hAnsi="標楷體" w:cs="新細明體" w:hint="eastAsia"/>
                <w:b/>
                <w:kern w:val="0"/>
                <w:sz w:val="30"/>
                <w:szCs w:val="30"/>
              </w:rPr>
              <w:t>1</w:t>
            </w:r>
            <w:r w:rsidRPr="003969EA">
              <w:rPr>
                <w:rFonts w:hAnsi="標楷體" w:cs="新細明體"/>
                <w:b/>
                <w:kern w:val="0"/>
                <w:sz w:val="30"/>
                <w:szCs w:val="30"/>
              </w:rPr>
              <w:t>,</w:t>
            </w:r>
            <w:r w:rsidRPr="003969EA">
              <w:rPr>
                <w:rFonts w:hAnsi="標楷體" w:cs="新細明體" w:hint="eastAsia"/>
                <w:b/>
                <w:kern w:val="0"/>
                <w:sz w:val="30"/>
                <w:szCs w:val="30"/>
              </w:rPr>
              <w:t>548</w:t>
            </w:r>
          </w:p>
        </w:tc>
        <w:tc>
          <w:tcPr>
            <w:tcW w:w="603" w:type="pct"/>
            <w:tcBorders>
              <w:top w:val="single" w:sz="12" w:space="0" w:color="auto"/>
              <w:bottom w:val="single" w:sz="12" w:space="0" w:color="auto"/>
            </w:tcBorders>
            <w:shd w:val="clear" w:color="auto" w:fill="auto"/>
            <w:noWrap/>
            <w:vAlign w:val="center"/>
            <w:hideMark/>
          </w:tcPr>
          <w:p w:rsidR="00E66798" w:rsidRPr="003969EA" w:rsidRDefault="00E66798" w:rsidP="004204EB">
            <w:pPr>
              <w:widowControl/>
              <w:overflowPunct/>
              <w:autoSpaceDE/>
              <w:autoSpaceDN/>
              <w:jc w:val="right"/>
              <w:rPr>
                <w:rFonts w:hAnsi="標楷體" w:cs="新細明體"/>
                <w:b/>
                <w:kern w:val="0"/>
                <w:sz w:val="30"/>
                <w:szCs w:val="30"/>
              </w:rPr>
            </w:pPr>
            <w:r w:rsidRPr="003969EA">
              <w:rPr>
                <w:rFonts w:hAnsi="標楷體" w:cs="新細明體" w:hint="eastAsia"/>
                <w:b/>
                <w:kern w:val="0"/>
                <w:sz w:val="30"/>
                <w:szCs w:val="30"/>
              </w:rPr>
              <w:t>3</w:t>
            </w:r>
            <w:r w:rsidRPr="003969EA">
              <w:rPr>
                <w:rFonts w:hAnsi="標楷體" w:cs="新細明體"/>
                <w:b/>
                <w:kern w:val="0"/>
                <w:sz w:val="30"/>
                <w:szCs w:val="30"/>
              </w:rPr>
              <w:t>,</w:t>
            </w:r>
            <w:r w:rsidRPr="003969EA">
              <w:rPr>
                <w:rFonts w:hAnsi="標楷體" w:cs="新細明體" w:hint="eastAsia"/>
                <w:b/>
                <w:kern w:val="0"/>
                <w:sz w:val="30"/>
                <w:szCs w:val="30"/>
              </w:rPr>
              <w:t>405</w:t>
            </w:r>
          </w:p>
        </w:tc>
        <w:tc>
          <w:tcPr>
            <w:tcW w:w="603" w:type="pct"/>
            <w:tcBorders>
              <w:top w:val="single" w:sz="12" w:space="0" w:color="auto"/>
              <w:bottom w:val="single" w:sz="12" w:space="0" w:color="auto"/>
            </w:tcBorders>
            <w:shd w:val="clear" w:color="auto" w:fill="auto"/>
            <w:noWrap/>
            <w:vAlign w:val="center"/>
            <w:hideMark/>
          </w:tcPr>
          <w:p w:rsidR="00E66798" w:rsidRPr="003969EA" w:rsidRDefault="00E66798" w:rsidP="004204EB">
            <w:pPr>
              <w:widowControl/>
              <w:overflowPunct/>
              <w:autoSpaceDE/>
              <w:autoSpaceDN/>
              <w:jc w:val="right"/>
              <w:rPr>
                <w:rFonts w:hAnsi="標楷體" w:cs="新細明體"/>
                <w:b/>
                <w:kern w:val="0"/>
                <w:sz w:val="30"/>
                <w:szCs w:val="30"/>
              </w:rPr>
            </w:pPr>
            <w:r w:rsidRPr="003969EA">
              <w:rPr>
                <w:rFonts w:hAnsi="標楷體" w:cs="新細明體" w:hint="eastAsia"/>
                <w:b/>
                <w:kern w:val="0"/>
                <w:sz w:val="30"/>
                <w:szCs w:val="30"/>
              </w:rPr>
              <w:t>1</w:t>
            </w:r>
            <w:r w:rsidRPr="003969EA">
              <w:rPr>
                <w:rFonts w:hAnsi="標楷體" w:cs="新細明體"/>
                <w:b/>
                <w:kern w:val="0"/>
                <w:sz w:val="30"/>
                <w:szCs w:val="30"/>
              </w:rPr>
              <w:t>,</w:t>
            </w:r>
            <w:r w:rsidRPr="003969EA">
              <w:rPr>
                <w:rFonts w:hAnsi="標楷體" w:cs="新細明體" w:hint="eastAsia"/>
                <w:b/>
                <w:kern w:val="0"/>
                <w:sz w:val="30"/>
                <w:szCs w:val="30"/>
              </w:rPr>
              <w:t>365</w:t>
            </w:r>
          </w:p>
        </w:tc>
        <w:tc>
          <w:tcPr>
            <w:tcW w:w="555" w:type="pct"/>
            <w:tcBorders>
              <w:top w:val="single" w:sz="12" w:space="0" w:color="auto"/>
              <w:bottom w:val="single" w:sz="12" w:space="0" w:color="auto"/>
              <w:right w:val="single" w:sz="12" w:space="0" w:color="auto"/>
            </w:tcBorders>
            <w:shd w:val="clear" w:color="auto" w:fill="auto"/>
            <w:noWrap/>
            <w:vAlign w:val="center"/>
            <w:hideMark/>
          </w:tcPr>
          <w:p w:rsidR="00E66798" w:rsidRPr="003969EA" w:rsidRDefault="00E66798" w:rsidP="004204EB">
            <w:pPr>
              <w:widowControl/>
              <w:overflowPunct/>
              <w:autoSpaceDE/>
              <w:autoSpaceDN/>
              <w:jc w:val="right"/>
              <w:rPr>
                <w:rFonts w:hAnsi="標楷體" w:cs="新細明體"/>
                <w:b/>
                <w:kern w:val="0"/>
                <w:sz w:val="30"/>
                <w:szCs w:val="30"/>
              </w:rPr>
            </w:pPr>
            <w:r w:rsidRPr="003969EA">
              <w:rPr>
                <w:rFonts w:hAnsi="標楷體" w:cs="新細明體" w:hint="eastAsia"/>
                <w:b/>
                <w:kern w:val="0"/>
                <w:sz w:val="30"/>
                <w:szCs w:val="30"/>
              </w:rPr>
              <w:t>8</w:t>
            </w:r>
            <w:r w:rsidRPr="003969EA">
              <w:rPr>
                <w:rFonts w:hAnsi="標楷體" w:cs="新細明體"/>
                <w:b/>
                <w:kern w:val="0"/>
                <w:sz w:val="30"/>
                <w:szCs w:val="30"/>
              </w:rPr>
              <w:t>,</w:t>
            </w:r>
            <w:r w:rsidRPr="003969EA">
              <w:rPr>
                <w:rFonts w:hAnsi="標楷體" w:cs="新細明體" w:hint="eastAsia"/>
                <w:b/>
                <w:kern w:val="0"/>
                <w:sz w:val="30"/>
                <w:szCs w:val="30"/>
              </w:rPr>
              <w:t>0</w:t>
            </w:r>
            <w:r w:rsidRPr="003969EA">
              <w:rPr>
                <w:rFonts w:hAnsi="標楷體" w:cs="新細明體"/>
                <w:b/>
                <w:kern w:val="0"/>
                <w:sz w:val="30"/>
                <w:szCs w:val="30"/>
              </w:rPr>
              <w:t>32</w:t>
            </w:r>
          </w:p>
        </w:tc>
      </w:tr>
    </w:tbl>
    <w:p w:rsidR="00E66798" w:rsidRPr="003969EA" w:rsidRDefault="00E66798" w:rsidP="00E66798">
      <w:pPr>
        <w:jc w:val="right"/>
        <w:rPr>
          <w:sz w:val="24"/>
          <w:szCs w:val="24"/>
        </w:rPr>
      </w:pPr>
      <w:r w:rsidRPr="003969EA">
        <w:rPr>
          <w:rFonts w:hint="eastAsia"/>
          <w:sz w:val="24"/>
          <w:szCs w:val="24"/>
        </w:rPr>
        <w:t>資料來源：交通部</w:t>
      </w:r>
    </w:p>
    <w:p w:rsidR="00E66798" w:rsidRPr="003969EA" w:rsidRDefault="00E66798" w:rsidP="00E66798">
      <w:pPr>
        <w:pStyle w:val="3"/>
      </w:pPr>
      <w:r w:rsidRPr="003969EA">
        <w:rPr>
          <w:rFonts w:hint="eastAsia"/>
        </w:rPr>
        <w:t>經查：</w:t>
      </w:r>
    </w:p>
    <w:p w:rsidR="00E66798" w:rsidRPr="003969EA" w:rsidRDefault="00E66798" w:rsidP="00E66798">
      <w:pPr>
        <w:pStyle w:val="4"/>
      </w:pPr>
      <w:r w:rsidRPr="003969EA">
        <w:rPr>
          <w:rFonts w:hint="eastAsia"/>
        </w:rPr>
        <w:t>行政罰法第2</w:t>
      </w:r>
      <w:r w:rsidRPr="003969EA">
        <w:t>5</w:t>
      </w:r>
      <w:r w:rsidRPr="003969EA">
        <w:rPr>
          <w:rFonts w:hint="eastAsia"/>
        </w:rPr>
        <w:t>條規定：「</w:t>
      </w:r>
      <w:bookmarkStart w:id="99" w:name="_Hlk158905232"/>
      <w:r w:rsidRPr="003969EA">
        <w:rPr>
          <w:rFonts w:hint="eastAsia"/>
        </w:rPr>
        <w:t>數行為違反同一或不同行政法上義務之規定者，分別處罰之。</w:t>
      </w:r>
      <w:bookmarkEnd w:id="99"/>
      <w:r w:rsidRPr="003969EA">
        <w:rPr>
          <w:rFonts w:hint="eastAsia"/>
        </w:rPr>
        <w:t>」；道交條例第43條規定，嚴重超速及危險駕駛等行為應吊扣汽車牌照</w:t>
      </w:r>
      <w:r w:rsidRPr="003969EA">
        <w:t>6</w:t>
      </w:r>
      <w:r w:rsidRPr="003969EA">
        <w:rPr>
          <w:rFonts w:hint="eastAsia"/>
        </w:rPr>
        <w:t>個月；同條例第12條第1項第6款、第7款及第2項規定，汽車於吊扣牌照期間行駛等行為應吊銷牌照。此時，為貫徹道交條例不同條文之制裁目的，自應分別處罰。且吊扣及吊銷牌照處分，為具有不同管制目的之不同種類裁罰處分，吊扣處分自不因車牌註銷、吊銷而受影響，</w:t>
      </w:r>
      <w:proofErr w:type="gramStart"/>
      <w:r w:rsidRPr="003969EA">
        <w:rPr>
          <w:rFonts w:hint="eastAsia"/>
        </w:rPr>
        <w:t>合先述</w:t>
      </w:r>
      <w:proofErr w:type="gramEnd"/>
      <w:r w:rsidRPr="003969EA">
        <w:rPr>
          <w:rFonts w:hint="eastAsia"/>
        </w:rPr>
        <w:t>明。</w:t>
      </w:r>
    </w:p>
    <w:p w:rsidR="00E66798" w:rsidRPr="003969EA" w:rsidRDefault="00E66798" w:rsidP="00E66798">
      <w:pPr>
        <w:pStyle w:val="4"/>
      </w:pPr>
      <w:r w:rsidRPr="003969EA">
        <w:rPr>
          <w:rFonts w:hint="eastAsia"/>
        </w:rPr>
        <w:t>交通部72年5月23日</w:t>
      </w:r>
      <w:proofErr w:type="gramStart"/>
      <w:r w:rsidRPr="003969EA">
        <w:rPr>
          <w:rFonts w:hint="eastAsia"/>
        </w:rPr>
        <w:t>交路字</w:t>
      </w:r>
      <w:proofErr w:type="gramEnd"/>
      <w:r w:rsidRPr="003969EA">
        <w:rPr>
          <w:rFonts w:hint="eastAsia"/>
        </w:rPr>
        <w:t>第09379號函釋，針對受吊扣牌照之營業大客車，於吊扣期間再受吊銷牌照處分者，明確表示「吊扣期間未滿前不得重新領牌；倘係吊銷牌照處分在前，吊扣處分在後者，亦須</w:t>
      </w:r>
      <w:proofErr w:type="gramStart"/>
      <w:r w:rsidRPr="003969EA">
        <w:rPr>
          <w:rFonts w:hint="eastAsia"/>
        </w:rPr>
        <w:t>俟</w:t>
      </w:r>
      <w:proofErr w:type="gramEnd"/>
      <w:r w:rsidRPr="003969EA">
        <w:rPr>
          <w:rFonts w:hint="eastAsia"/>
        </w:rPr>
        <w:t>吊扣期滿方得重領牌照」。該</w:t>
      </w:r>
      <w:proofErr w:type="gramStart"/>
      <w:r w:rsidRPr="003969EA">
        <w:rPr>
          <w:rFonts w:hint="eastAsia"/>
        </w:rPr>
        <w:t>函釋即明確</w:t>
      </w:r>
      <w:proofErr w:type="gramEnd"/>
      <w:r w:rsidRPr="003969EA">
        <w:rPr>
          <w:rFonts w:hint="eastAsia"/>
        </w:rPr>
        <w:t>指出：「凡經裁處吊扣牌照者，</w:t>
      </w:r>
      <w:proofErr w:type="gramStart"/>
      <w:r w:rsidRPr="003969EA">
        <w:rPr>
          <w:rFonts w:hint="eastAsia"/>
        </w:rPr>
        <w:t>均係以</w:t>
      </w:r>
      <w:proofErr w:type="gramEnd"/>
      <w:r w:rsidRPr="003969EA">
        <w:rPr>
          <w:rFonts w:hint="eastAsia"/>
        </w:rPr>
        <w:t>該次違規營業車輛為處分之客體」、「應於其繳銷牌照時，隨即先予執行吊扣，</w:t>
      </w:r>
      <w:proofErr w:type="gramStart"/>
      <w:r w:rsidRPr="003969EA">
        <w:rPr>
          <w:rFonts w:hint="eastAsia"/>
        </w:rPr>
        <w:t>俟</w:t>
      </w:r>
      <w:proofErr w:type="gramEnd"/>
      <w:r w:rsidRPr="003969EA">
        <w:rPr>
          <w:rFonts w:hint="eastAsia"/>
        </w:rPr>
        <w:t>執行吊扣期滿後，始准其重領牌照」。</w:t>
      </w:r>
      <w:bookmarkStart w:id="100" w:name="_Hlk157782747"/>
      <w:proofErr w:type="gramStart"/>
      <w:r w:rsidRPr="003969EA">
        <w:rPr>
          <w:rFonts w:hint="eastAsia"/>
        </w:rPr>
        <w:t>依道交</w:t>
      </w:r>
      <w:proofErr w:type="gramEnd"/>
      <w:r w:rsidRPr="003969EA">
        <w:rPr>
          <w:rFonts w:hint="eastAsia"/>
        </w:rPr>
        <w:t>條例及</w:t>
      </w:r>
      <w:bookmarkStart w:id="101" w:name="_Hlk161387466"/>
      <w:r w:rsidRPr="00E66798">
        <w:rPr>
          <w:rFonts w:hint="eastAsia"/>
        </w:rPr>
        <w:t>《違反道路交通管理事件統一裁罰基準及處理細則》</w:t>
      </w:r>
      <w:bookmarkEnd w:id="101"/>
      <w:r w:rsidRPr="00E66798">
        <w:rPr>
          <w:rFonts w:hint="eastAsia"/>
        </w:rPr>
        <w:t>（下稱</w:t>
      </w:r>
      <w:r w:rsidRPr="003969EA">
        <w:rPr>
          <w:rFonts w:hint="eastAsia"/>
        </w:rPr>
        <w:t>裁罰細則）</w:t>
      </w:r>
      <w:proofErr w:type="gramStart"/>
      <w:r w:rsidRPr="003969EA">
        <w:rPr>
          <w:rFonts w:hint="eastAsia"/>
        </w:rPr>
        <w:t>扣吊牌照</w:t>
      </w:r>
      <w:proofErr w:type="gramEnd"/>
      <w:r w:rsidRPr="003969EA">
        <w:rPr>
          <w:rFonts w:hint="eastAsia"/>
        </w:rPr>
        <w:t>之處罰目的，並無排除一般車輛吊銷處分可中斷吊扣效力之理由</w:t>
      </w:r>
      <w:bookmarkEnd w:id="100"/>
      <w:r w:rsidRPr="003969EA">
        <w:rPr>
          <w:rFonts w:hint="eastAsia"/>
        </w:rPr>
        <w:t>，交通部卻曲解法令，稱該</w:t>
      </w:r>
      <w:proofErr w:type="gramStart"/>
      <w:r w:rsidRPr="003969EA">
        <w:rPr>
          <w:rFonts w:hint="eastAsia"/>
        </w:rPr>
        <w:t>函釋僅適用</w:t>
      </w:r>
      <w:proofErr w:type="gramEnd"/>
      <w:r w:rsidRPr="003969EA">
        <w:rPr>
          <w:rFonts w:hint="eastAsia"/>
        </w:rPr>
        <w:t>於營業大客車，又未提出不同處理的正當理由，確有重大違失。</w:t>
      </w:r>
    </w:p>
    <w:p w:rsidR="00E66798" w:rsidRPr="003969EA" w:rsidRDefault="00E66798" w:rsidP="00E66798">
      <w:pPr>
        <w:pStyle w:val="4"/>
      </w:pPr>
      <w:r w:rsidRPr="003969EA">
        <w:rPr>
          <w:rFonts w:hint="eastAsia"/>
        </w:rPr>
        <w:t>另就執行面而言，車輛受吊扣牌照之處分，處罰機關應收繳該車輛牌照入庫保管，此時應</w:t>
      </w:r>
      <w:proofErr w:type="gramStart"/>
      <w:r w:rsidRPr="003969EA">
        <w:rPr>
          <w:rFonts w:hint="eastAsia"/>
        </w:rPr>
        <w:t>俟</w:t>
      </w:r>
      <w:proofErr w:type="gramEnd"/>
      <w:r w:rsidRPr="003969EA">
        <w:rPr>
          <w:rFonts w:hint="eastAsia"/>
        </w:rPr>
        <w:t>吊扣處分執行完畢，始可能執行吊銷處分。交通部雖辯稱牌照於吊扣期間執行吊銷處分時，公路監理單位可逕行將收繳保管中之牌照移送銷</w:t>
      </w:r>
      <w:proofErr w:type="gramStart"/>
      <w:r w:rsidRPr="003969EA">
        <w:rPr>
          <w:rFonts w:hint="eastAsia"/>
        </w:rPr>
        <w:t>燬</w:t>
      </w:r>
      <w:proofErr w:type="gramEnd"/>
      <w:r w:rsidRPr="003969EA">
        <w:rPr>
          <w:rFonts w:hint="eastAsia"/>
        </w:rPr>
        <w:t>云云。</w:t>
      </w:r>
      <w:proofErr w:type="gramStart"/>
      <w:r w:rsidRPr="003969EA">
        <w:rPr>
          <w:rFonts w:hint="eastAsia"/>
        </w:rPr>
        <w:t>惟裁罰</w:t>
      </w:r>
      <w:proofErr w:type="gramEnd"/>
      <w:r w:rsidRPr="003969EA">
        <w:rPr>
          <w:rFonts w:hint="eastAsia"/>
        </w:rPr>
        <w:t>細則第6</w:t>
      </w:r>
      <w:r w:rsidRPr="003969EA">
        <w:t>9</w:t>
      </w:r>
      <w:r w:rsidRPr="003969EA">
        <w:rPr>
          <w:rFonts w:hint="eastAsia"/>
        </w:rPr>
        <w:t>條、第7</w:t>
      </w:r>
      <w:r w:rsidRPr="003969EA">
        <w:t>2</w:t>
      </w:r>
      <w:r w:rsidRPr="003969EA">
        <w:rPr>
          <w:rFonts w:hint="eastAsia"/>
        </w:rPr>
        <w:t>條規定，汽車牌照吊扣、吊銷處分之</w:t>
      </w:r>
      <w:proofErr w:type="gramStart"/>
      <w:r w:rsidRPr="003969EA">
        <w:rPr>
          <w:rFonts w:hint="eastAsia"/>
        </w:rPr>
        <w:t>執行均應</w:t>
      </w:r>
      <w:proofErr w:type="gramEnd"/>
      <w:r w:rsidRPr="003969EA">
        <w:rPr>
          <w:rFonts w:hint="eastAsia"/>
        </w:rPr>
        <w:t>「收繳」其車輛號牌及行車執照、並製發執行</w:t>
      </w:r>
      <w:proofErr w:type="gramStart"/>
      <w:r w:rsidRPr="003969EA">
        <w:rPr>
          <w:rFonts w:hint="eastAsia"/>
        </w:rPr>
        <w:t>單交被</w:t>
      </w:r>
      <w:proofErr w:type="gramEnd"/>
      <w:r w:rsidRPr="003969EA">
        <w:rPr>
          <w:rFonts w:hint="eastAsia"/>
        </w:rPr>
        <w:t>處分人收執，且吊扣處分應於吊扣期滿，始得由被處分人領回汽車牌照，處罰機關應將執行單收回附卷，如執行單遺失，應由受處分人或其委託之人</w:t>
      </w:r>
      <w:proofErr w:type="gramStart"/>
      <w:r w:rsidRPr="003969EA">
        <w:rPr>
          <w:rFonts w:hint="eastAsia"/>
        </w:rPr>
        <w:t>切結附卷</w:t>
      </w:r>
      <w:proofErr w:type="gramEnd"/>
      <w:r w:rsidRPr="003969EA">
        <w:rPr>
          <w:rFonts w:hint="eastAsia"/>
        </w:rPr>
        <w:t>；並應由處罰機關登錄於公路監理電腦資料檔案，應設置吊扣汽車牌照處分登記簿，登記其吊扣之</w:t>
      </w:r>
      <w:proofErr w:type="gramStart"/>
      <w:r w:rsidRPr="003969EA">
        <w:rPr>
          <w:rFonts w:hint="eastAsia"/>
        </w:rPr>
        <w:t>起迄</w:t>
      </w:r>
      <w:proofErr w:type="gramEnd"/>
      <w:r w:rsidRPr="003969EA">
        <w:rPr>
          <w:rFonts w:hint="eastAsia"/>
        </w:rPr>
        <w:t>日及發還日期。交通部未依上開規定嚴格執行，顯有重大違失。</w:t>
      </w:r>
    </w:p>
    <w:p w:rsidR="00E66798" w:rsidRPr="003969EA" w:rsidRDefault="00E66798" w:rsidP="00E66798">
      <w:pPr>
        <w:pStyle w:val="4"/>
      </w:pPr>
      <w:r w:rsidRPr="003969EA">
        <w:rPr>
          <w:rFonts w:hint="eastAsia"/>
        </w:rPr>
        <w:t>本院函請交通提供當時的作業畫面及</w:t>
      </w:r>
      <w:bookmarkStart w:id="102" w:name="_Hlk158889622"/>
      <w:r w:rsidRPr="003969EA">
        <w:rPr>
          <w:rFonts w:hint="eastAsia"/>
        </w:rPr>
        <w:t>transaction log 檔</w:t>
      </w:r>
      <w:bookmarkEnd w:id="102"/>
      <w:r w:rsidRPr="003969EA">
        <w:rPr>
          <w:rFonts w:hint="eastAsia"/>
        </w:rPr>
        <w:t>，交通部雖辯稱：監理單位辦理吊銷時，電腦系統不會呈現車輛還在吊扣</w:t>
      </w:r>
      <w:proofErr w:type="gramStart"/>
      <w:r w:rsidRPr="003969EA">
        <w:rPr>
          <w:rFonts w:hint="eastAsia"/>
        </w:rPr>
        <w:t>期間，</w:t>
      </w:r>
      <w:proofErr w:type="gramEnd"/>
      <w:r w:rsidRPr="003969EA">
        <w:rPr>
          <w:rFonts w:hint="eastAsia"/>
        </w:rPr>
        <w:t>車籍系統畫面僅會呈現該車最新牌照狀態；辦理吊銷車輛重領牌照作業時，無需再審視該車輛是否仍在吊扣牌照期間。1</w:t>
      </w:r>
      <w:r w:rsidRPr="003969EA">
        <w:t>11</w:t>
      </w:r>
      <w:r w:rsidRPr="003969EA">
        <w:rPr>
          <w:rFonts w:hint="eastAsia"/>
        </w:rPr>
        <w:t>年3月之後電腦才有相關設計，無法提供當時的作業畫面（含transaction log 檔）云云，然經本院囑託廉政署訪談</w:t>
      </w:r>
      <w:proofErr w:type="gramStart"/>
      <w:r w:rsidRPr="003969EA">
        <w:rPr>
          <w:rFonts w:hint="eastAsia"/>
        </w:rPr>
        <w:t>臺</w:t>
      </w:r>
      <w:proofErr w:type="gramEnd"/>
      <w:r w:rsidRPr="003969EA">
        <w:rPr>
          <w:rFonts w:hint="eastAsia"/>
        </w:rPr>
        <w:t>北區、臺北市區及新竹區監理所監理人員均表示：其等可由M</w:t>
      </w:r>
      <w:r w:rsidRPr="003969EA">
        <w:t>3</w:t>
      </w:r>
      <w:r w:rsidRPr="003969EA">
        <w:rPr>
          <w:rFonts w:hint="eastAsia"/>
        </w:rPr>
        <w:t>系統車籍查詢得知該車輛仍在吊扣</w:t>
      </w:r>
      <w:proofErr w:type="gramStart"/>
      <w:r w:rsidRPr="003969EA">
        <w:rPr>
          <w:rFonts w:hint="eastAsia"/>
        </w:rPr>
        <w:t>期間，</w:t>
      </w:r>
      <w:proofErr w:type="gramEnd"/>
      <w:r w:rsidRPr="003969EA">
        <w:rPr>
          <w:rFonts w:hint="eastAsia"/>
        </w:rPr>
        <w:t>且違規車輛既經員警舉發，都知道該車輛仍在吊扣期間或將受吊扣處分，但其等仍需依法裁決吊銷牌照處分及中斷吊扣處分，曾有監理站對此漏洞在工作圈提出相關修法建議等語。顯見交通部早已知悉監理實務作業漏洞，卻仍</w:t>
      </w:r>
      <w:proofErr w:type="gramStart"/>
      <w:r w:rsidRPr="003969EA">
        <w:rPr>
          <w:rFonts w:hint="eastAsia"/>
        </w:rPr>
        <w:t>堅</w:t>
      </w:r>
      <w:proofErr w:type="gramEnd"/>
      <w:r w:rsidRPr="003969EA">
        <w:rPr>
          <w:rFonts w:hint="eastAsia"/>
        </w:rPr>
        <w:t>稱「吊銷處分應中斷吊扣處分」，任由各監理機關對吊扣期間之車輛重行核發新牌照，使其合法上路，顯未依法行政，核有重大違失。</w:t>
      </w:r>
    </w:p>
    <w:p w:rsidR="00E66798" w:rsidRPr="003969EA" w:rsidRDefault="00E66798" w:rsidP="00E66798">
      <w:pPr>
        <w:pStyle w:val="3"/>
      </w:pPr>
      <w:r w:rsidRPr="003969EA">
        <w:rPr>
          <w:rFonts w:hint="eastAsia"/>
        </w:rPr>
        <w:t>綜上所述，</w:t>
      </w:r>
      <w:bookmarkStart w:id="103" w:name="_Hlk158907298"/>
      <w:r w:rsidRPr="003969EA">
        <w:rPr>
          <w:rFonts w:hint="eastAsia"/>
        </w:rPr>
        <w:t>依行政罰法第2</w:t>
      </w:r>
      <w:r w:rsidRPr="003969EA">
        <w:t>5</w:t>
      </w:r>
      <w:r w:rsidRPr="003969EA">
        <w:rPr>
          <w:rFonts w:hint="eastAsia"/>
        </w:rPr>
        <w:t>條規定，數行為違反同一或不同行政法上義務之規定者，分別處罰之。交通部72年5月23日</w:t>
      </w:r>
      <w:proofErr w:type="gramStart"/>
      <w:r w:rsidRPr="003969EA">
        <w:rPr>
          <w:rFonts w:hint="eastAsia"/>
        </w:rPr>
        <w:t>交路字</w:t>
      </w:r>
      <w:proofErr w:type="gramEnd"/>
      <w:r w:rsidRPr="003969EA">
        <w:rPr>
          <w:rFonts w:hint="eastAsia"/>
        </w:rPr>
        <w:t>第09379號函釋意旨亦明確規定吊銷牌照處分及吊扣牌照處分應分別處罰。道交條例第43條早於90年6月1日即增訂車輛危險駕駛應吊扣牌照，</w:t>
      </w:r>
      <w:bookmarkStart w:id="104" w:name="_Hlk158907118"/>
      <w:r w:rsidRPr="003969EA">
        <w:rPr>
          <w:rFonts w:hint="eastAsia"/>
        </w:rPr>
        <w:t>交通部對於1</w:t>
      </w:r>
      <w:r w:rsidRPr="003969EA">
        <w:t>09</w:t>
      </w:r>
      <w:r w:rsidRPr="003969EA">
        <w:rPr>
          <w:rFonts w:hint="eastAsia"/>
        </w:rPr>
        <w:t>年起每年上千輛汽車借「吊銷中斷吊扣」的監理作業漏洞重新上路的現象，自不能</w:t>
      </w:r>
      <w:proofErr w:type="gramStart"/>
      <w:r w:rsidRPr="003969EA">
        <w:rPr>
          <w:rFonts w:hint="eastAsia"/>
        </w:rPr>
        <w:t>諉</w:t>
      </w:r>
      <w:proofErr w:type="gramEnd"/>
      <w:r w:rsidRPr="003969EA">
        <w:rPr>
          <w:rFonts w:hint="eastAsia"/>
        </w:rPr>
        <w:t>為不知，卻疏未檢討作業流程或修正配套法令，統計107年至11</w:t>
      </w:r>
      <w:r w:rsidRPr="003969EA">
        <w:t>1</w:t>
      </w:r>
      <w:r w:rsidRPr="003969EA">
        <w:rPr>
          <w:rFonts w:hint="eastAsia"/>
        </w:rPr>
        <w:t>年全國各監理站（所）對尚在吊扣期間之車輛重新核發牌照高達8,0</w:t>
      </w:r>
      <w:r w:rsidRPr="003969EA">
        <w:t>32</w:t>
      </w:r>
      <w:r w:rsidRPr="003969EA">
        <w:rPr>
          <w:rFonts w:hint="eastAsia"/>
        </w:rPr>
        <w:t>件。11</w:t>
      </w:r>
      <w:r w:rsidRPr="003969EA">
        <w:t>0</w:t>
      </w:r>
      <w:r w:rsidRPr="003969EA">
        <w:rPr>
          <w:rFonts w:hint="eastAsia"/>
        </w:rPr>
        <w:t>年修法延長吊扣為6個月，當年即重行核發3,405件牌照，其後雖經媒體於1</w:t>
      </w:r>
      <w:r w:rsidRPr="003969EA">
        <w:t>10</w:t>
      </w:r>
      <w:r w:rsidRPr="003969EA">
        <w:rPr>
          <w:rFonts w:hint="eastAsia"/>
        </w:rPr>
        <w:t>年底大幅報</w:t>
      </w:r>
      <w:bookmarkStart w:id="105" w:name="_GoBack"/>
      <w:bookmarkEnd w:id="105"/>
      <w:r w:rsidRPr="003969EA">
        <w:rPr>
          <w:rFonts w:hint="eastAsia"/>
        </w:rPr>
        <w:t>導，仍未即時謀求補救，拖延至</w:t>
      </w:r>
      <w:proofErr w:type="gramStart"/>
      <w:r w:rsidRPr="003969EA">
        <w:rPr>
          <w:rFonts w:hint="eastAsia"/>
        </w:rPr>
        <w:t>111年3月17日始函示</w:t>
      </w:r>
      <w:proofErr w:type="gramEnd"/>
      <w:r w:rsidRPr="003969EA">
        <w:rPr>
          <w:rFonts w:hint="eastAsia"/>
        </w:rPr>
        <w:t>該部72年5月23日</w:t>
      </w:r>
      <w:proofErr w:type="gramStart"/>
      <w:r w:rsidRPr="003969EA">
        <w:rPr>
          <w:rFonts w:hint="eastAsia"/>
        </w:rPr>
        <w:t>交路字</w:t>
      </w:r>
      <w:proofErr w:type="gramEnd"/>
      <w:r w:rsidRPr="003969EA">
        <w:rPr>
          <w:rFonts w:hint="eastAsia"/>
        </w:rPr>
        <w:t>第09379號函應擴大至全部汽機車。導致1</w:t>
      </w:r>
      <w:r w:rsidRPr="003969EA">
        <w:t>11</w:t>
      </w:r>
      <w:r w:rsidRPr="003969EA">
        <w:rPr>
          <w:rFonts w:hint="eastAsia"/>
        </w:rPr>
        <w:t>年又再繼續核發1,365件汽車牌照。交通部長期疏未檢討相關作業流程及規定，又漠視所屬及相關機關反映之問題，任由各監理機關對吊扣期間之車輛重行核發牌照，5年來（107-111年）使逾8千輛重大違規車輛得以「合法」上路，</w:t>
      </w:r>
      <w:bookmarkEnd w:id="103"/>
      <w:bookmarkEnd w:id="104"/>
      <w:r w:rsidRPr="003969EA">
        <w:rPr>
          <w:rFonts w:hint="eastAsia"/>
        </w:rPr>
        <w:t>核有重大違失。</w:t>
      </w:r>
    </w:p>
    <w:p w:rsidR="00E66798" w:rsidRPr="003969EA" w:rsidRDefault="00E66798" w:rsidP="00E66798">
      <w:pPr>
        <w:pStyle w:val="2"/>
        <w:rPr>
          <w:b/>
        </w:rPr>
      </w:pPr>
      <w:r w:rsidRPr="003969EA">
        <w:rPr>
          <w:rFonts w:hint="eastAsia"/>
          <w:b/>
        </w:rPr>
        <w:t>本件發展為跨地區及涉案人數眾多的重大弊案，另一重要原因在於道交條例第1</w:t>
      </w:r>
      <w:r w:rsidRPr="003969EA">
        <w:rPr>
          <w:b/>
        </w:rPr>
        <w:t>2</w:t>
      </w:r>
      <w:r w:rsidRPr="003969EA">
        <w:rPr>
          <w:rFonts w:hint="eastAsia"/>
          <w:b/>
        </w:rPr>
        <w:t>條第3項雖規定，員警舉發「牌照吊扣期間行駛」之違規行為，將該車輛「當場移置保管」。交通部竟於1</w:t>
      </w:r>
      <w:r w:rsidRPr="003969EA">
        <w:rPr>
          <w:b/>
        </w:rPr>
        <w:t>07</w:t>
      </w:r>
      <w:r w:rsidRPr="003969EA">
        <w:rPr>
          <w:rFonts w:hint="eastAsia"/>
          <w:b/>
        </w:rPr>
        <w:t>年1</w:t>
      </w:r>
      <w:r w:rsidRPr="003969EA">
        <w:rPr>
          <w:b/>
        </w:rPr>
        <w:t>1</w:t>
      </w:r>
      <w:r w:rsidRPr="003969EA">
        <w:rPr>
          <w:rFonts w:hint="eastAsia"/>
          <w:b/>
        </w:rPr>
        <w:t>月1</w:t>
      </w:r>
      <w:r w:rsidRPr="003969EA">
        <w:rPr>
          <w:b/>
        </w:rPr>
        <w:t>9</w:t>
      </w:r>
      <w:r w:rsidRPr="003969EA">
        <w:rPr>
          <w:rFonts w:hint="eastAsia"/>
          <w:b/>
        </w:rPr>
        <w:t>日以函釋</w:t>
      </w:r>
      <w:bookmarkStart w:id="106" w:name="_Hlk158888021"/>
      <w:r w:rsidRPr="003969EA">
        <w:rPr>
          <w:rFonts w:hint="eastAsia"/>
          <w:b/>
        </w:rPr>
        <w:t>允許「汽車所有人或所委託之人」得「自行或委託拖吊業者」將該車「拖離」</w:t>
      </w:r>
      <w:bookmarkEnd w:id="106"/>
      <w:r w:rsidRPr="003969EA">
        <w:rPr>
          <w:rFonts w:hint="eastAsia"/>
          <w:b/>
        </w:rPr>
        <w:t>，免除車輛「移置保管」之責，</w:t>
      </w:r>
      <w:proofErr w:type="gramStart"/>
      <w:r w:rsidRPr="003969EA">
        <w:rPr>
          <w:rFonts w:hint="eastAsia"/>
          <w:b/>
        </w:rPr>
        <w:t>逕</w:t>
      </w:r>
      <w:proofErr w:type="gramEnd"/>
      <w:r w:rsidRPr="003969EA">
        <w:rPr>
          <w:rFonts w:hint="eastAsia"/>
          <w:b/>
        </w:rPr>
        <w:t>以解釋性行政規則排除法律規定，顯然違背依法行政的基本原則，並造成交通執法機關的審核端無從以員警未依規定移置保管車輛，發掘異常狀況，滋生舞弊空間，核有重大違失。</w:t>
      </w:r>
    </w:p>
    <w:p w:rsidR="00E66798" w:rsidRPr="003969EA" w:rsidRDefault="00E66798" w:rsidP="00E66798">
      <w:pPr>
        <w:pStyle w:val="3"/>
      </w:pPr>
      <w:r w:rsidRPr="003969EA">
        <w:rPr>
          <w:rFonts w:hint="eastAsia"/>
        </w:rPr>
        <w:t>本案檢察官起訴書指出，</w:t>
      </w:r>
      <w:proofErr w:type="gramStart"/>
      <w:r w:rsidRPr="003969EA">
        <w:rPr>
          <w:rFonts w:hint="eastAsia"/>
        </w:rPr>
        <w:t>員警依道交</w:t>
      </w:r>
      <w:proofErr w:type="gramEnd"/>
      <w:r w:rsidRPr="003969EA">
        <w:rPr>
          <w:rFonts w:hint="eastAsia"/>
        </w:rPr>
        <w:t>條例第1</w:t>
      </w:r>
      <w:r w:rsidRPr="003969EA">
        <w:t>2</w:t>
      </w:r>
      <w:r w:rsidRPr="003969EA">
        <w:rPr>
          <w:rFonts w:hint="eastAsia"/>
        </w:rPr>
        <w:t>條第1項第6款舉發「牌照吊扣期間行駛」之違規行為時，依同條例第1</w:t>
      </w:r>
      <w:r w:rsidRPr="003969EA">
        <w:t>2</w:t>
      </w:r>
      <w:r w:rsidRPr="003969EA">
        <w:rPr>
          <w:rFonts w:hint="eastAsia"/>
        </w:rPr>
        <w:t>條第3項需「當場移置保管」，然員警因收受代辦業者賄賂，「未依法當場禁止車輛行駛或移置保管」，致使車主得重新申領牌照等情。</w:t>
      </w:r>
      <w:bookmarkStart w:id="107" w:name="_Hlk151104945"/>
      <w:r w:rsidRPr="003969EA">
        <w:rPr>
          <w:rFonts w:hint="eastAsia"/>
        </w:rPr>
        <w:t>經本院函請警政署查明各警察機關審核程序，據各</w:t>
      </w:r>
      <w:proofErr w:type="gramStart"/>
      <w:r w:rsidRPr="003969EA">
        <w:rPr>
          <w:rFonts w:hint="eastAsia"/>
        </w:rPr>
        <w:t>警察機關復稱</w:t>
      </w:r>
      <w:proofErr w:type="gramEnd"/>
      <w:r w:rsidRPr="003969EA">
        <w:rPr>
          <w:rFonts w:hint="eastAsia"/>
        </w:rPr>
        <w:t>，依交通部</w:t>
      </w:r>
      <w:bookmarkStart w:id="108" w:name="_Hlk157850728"/>
      <w:r w:rsidRPr="003969EA">
        <w:rPr>
          <w:rFonts w:hint="eastAsia"/>
        </w:rPr>
        <w:t>1</w:t>
      </w:r>
      <w:r w:rsidRPr="003969EA">
        <w:t>07</w:t>
      </w:r>
      <w:r w:rsidRPr="003969EA">
        <w:rPr>
          <w:rFonts w:hint="eastAsia"/>
        </w:rPr>
        <w:t>年1</w:t>
      </w:r>
      <w:r w:rsidRPr="003969EA">
        <w:t>1</w:t>
      </w:r>
      <w:r w:rsidRPr="003969EA">
        <w:rPr>
          <w:rFonts w:hint="eastAsia"/>
        </w:rPr>
        <w:t>月1</w:t>
      </w:r>
      <w:r w:rsidRPr="003969EA">
        <w:t>9</w:t>
      </w:r>
      <w:r w:rsidRPr="003969EA">
        <w:rPr>
          <w:rFonts w:hint="eastAsia"/>
        </w:rPr>
        <w:t>日</w:t>
      </w:r>
      <w:proofErr w:type="gramStart"/>
      <w:r w:rsidRPr="003969EA">
        <w:rPr>
          <w:rFonts w:hint="eastAsia"/>
        </w:rPr>
        <w:t>交路字</w:t>
      </w:r>
      <w:proofErr w:type="gramEnd"/>
      <w:r w:rsidRPr="003969EA">
        <w:rPr>
          <w:rFonts w:hint="eastAsia"/>
        </w:rPr>
        <w:t>第1</w:t>
      </w:r>
      <w:r w:rsidRPr="003969EA">
        <w:t>070029957</w:t>
      </w:r>
      <w:r w:rsidRPr="003969EA">
        <w:rPr>
          <w:rFonts w:hint="eastAsia"/>
        </w:rPr>
        <w:t>號函</w:t>
      </w:r>
      <w:bookmarkEnd w:id="108"/>
      <w:r w:rsidRPr="003969EA">
        <w:rPr>
          <w:rFonts w:hint="eastAsia"/>
        </w:rPr>
        <w:t>釋，違反道交條例第1</w:t>
      </w:r>
      <w:r w:rsidRPr="003969EA">
        <w:t>2</w:t>
      </w:r>
      <w:r w:rsidRPr="003969EA">
        <w:rPr>
          <w:rFonts w:hint="eastAsia"/>
        </w:rPr>
        <w:t>條第1項第4款、第6款及第8款之汽車所有人或所委託之人，得自行將該車「拖離」</w:t>
      </w:r>
      <w:bookmarkEnd w:id="107"/>
      <w:r w:rsidRPr="003969EA">
        <w:rPr>
          <w:rFonts w:hint="eastAsia"/>
        </w:rPr>
        <w:t>。因此如車主或其委託之人到場要求自行拖離，交通執法人員</w:t>
      </w:r>
      <w:proofErr w:type="gramStart"/>
      <w:r w:rsidRPr="003969EA">
        <w:rPr>
          <w:rFonts w:hint="eastAsia"/>
        </w:rPr>
        <w:t>不得依道交</w:t>
      </w:r>
      <w:proofErr w:type="gramEnd"/>
      <w:r w:rsidRPr="003969EA">
        <w:rPr>
          <w:rFonts w:hint="eastAsia"/>
        </w:rPr>
        <w:t>條例第1</w:t>
      </w:r>
      <w:r w:rsidRPr="003969EA">
        <w:t>2</w:t>
      </w:r>
      <w:r w:rsidRPr="003969EA">
        <w:rPr>
          <w:rFonts w:hint="eastAsia"/>
        </w:rPr>
        <w:t>條第3項規定將該車移置保管，故稽核端無從發現異狀等語。</w:t>
      </w:r>
    </w:p>
    <w:p w:rsidR="00E66798" w:rsidRPr="003969EA" w:rsidRDefault="00E66798" w:rsidP="00E66798">
      <w:pPr>
        <w:pStyle w:val="3"/>
      </w:pPr>
      <w:r w:rsidRPr="003969EA">
        <w:rPr>
          <w:rFonts w:hint="eastAsia"/>
        </w:rPr>
        <w:t>對此，</w:t>
      </w:r>
      <w:proofErr w:type="gramStart"/>
      <w:r w:rsidRPr="003969EA">
        <w:rPr>
          <w:rFonts w:hint="eastAsia"/>
        </w:rPr>
        <w:t>詢</w:t>
      </w:r>
      <w:proofErr w:type="gramEnd"/>
      <w:r w:rsidRPr="003969EA">
        <w:rPr>
          <w:rFonts w:hint="eastAsia"/>
        </w:rPr>
        <w:t>據交通部辯稱：道交條例第12條第3項移置保管之規定，係依立法院在野聯盟黨團所提修正條文通過，其「應係」為避免無有效牌照之汽車再於道路行駛。如汽車所有人能自行或委託拖吊移置業者將該汽車「拖離」時，</w:t>
      </w:r>
      <w:proofErr w:type="gramStart"/>
      <w:r w:rsidRPr="003969EA">
        <w:rPr>
          <w:rFonts w:hint="eastAsia"/>
        </w:rPr>
        <w:t>即無代保管</w:t>
      </w:r>
      <w:proofErr w:type="gramEnd"/>
      <w:r w:rsidRPr="003969EA">
        <w:rPr>
          <w:rFonts w:hint="eastAsia"/>
        </w:rPr>
        <w:t>之必要，得將違規車輛當場發還予汽車所有人，但該違規車輛仍然不得再無牌照行駛道路，該部107年11月19日</w:t>
      </w:r>
      <w:proofErr w:type="gramStart"/>
      <w:r w:rsidRPr="003969EA">
        <w:rPr>
          <w:rFonts w:hint="eastAsia"/>
        </w:rPr>
        <w:t>交路字</w:t>
      </w:r>
      <w:proofErr w:type="gramEnd"/>
      <w:r w:rsidRPr="003969EA">
        <w:rPr>
          <w:rFonts w:hint="eastAsia"/>
        </w:rPr>
        <w:t>第1070029957號函，係基於符合道交條例第12條第3項移置保管規定之立法意旨而作出之補充說明等語。</w:t>
      </w:r>
    </w:p>
    <w:p w:rsidR="00E66798" w:rsidRPr="003969EA" w:rsidRDefault="00E66798" w:rsidP="00E66798">
      <w:pPr>
        <w:pStyle w:val="3"/>
      </w:pPr>
      <w:proofErr w:type="gramStart"/>
      <w:r w:rsidRPr="003969EA">
        <w:rPr>
          <w:rFonts w:hint="eastAsia"/>
        </w:rPr>
        <w:t>惟查</w:t>
      </w:r>
      <w:proofErr w:type="gramEnd"/>
      <w:r w:rsidRPr="003969EA">
        <w:rPr>
          <w:rFonts w:hint="eastAsia"/>
        </w:rPr>
        <w:t>，</w:t>
      </w:r>
      <w:bookmarkStart w:id="109" w:name="_Hlk158888054"/>
      <w:r w:rsidRPr="003969EA">
        <w:rPr>
          <w:rFonts w:hint="eastAsia"/>
        </w:rPr>
        <w:t>道交條例第12條第3項規定：「第1項第4款、第6款及第8款之汽車當場移置保管，並通知汽車所有人限期領回之。」，交通部107年11月19日</w:t>
      </w:r>
      <w:proofErr w:type="gramStart"/>
      <w:r w:rsidRPr="003969EA">
        <w:rPr>
          <w:rFonts w:hint="eastAsia"/>
        </w:rPr>
        <w:t>交路字</w:t>
      </w:r>
      <w:proofErr w:type="gramEnd"/>
      <w:r w:rsidRPr="003969EA">
        <w:rPr>
          <w:rFonts w:hint="eastAsia"/>
        </w:rPr>
        <w:t>第1070029957號函釋卻稱：「參酌道交條例第12條第3項規定，將違反第12條第1項第4款、第6款及第8款之汽車當場移置保管之立法目的，係為避免無有效牌照之汽車再於道路行駛，</w:t>
      </w:r>
      <w:proofErr w:type="gramStart"/>
      <w:r w:rsidRPr="003969EA">
        <w:rPr>
          <w:rFonts w:hint="eastAsia"/>
        </w:rPr>
        <w:t>爰</w:t>
      </w:r>
      <w:proofErr w:type="gramEnd"/>
      <w:r w:rsidRPr="003969EA">
        <w:rPr>
          <w:rFonts w:hint="eastAsia"/>
        </w:rPr>
        <w:t>應由警察機關將違規汽車移置保管，並通知所有人限期領回，</w:t>
      </w:r>
      <w:proofErr w:type="gramStart"/>
      <w:r w:rsidRPr="003969EA">
        <w:rPr>
          <w:rFonts w:hint="eastAsia"/>
        </w:rPr>
        <w:t>從而，</w:t>
      </w:r>
      <w:proofErr w:type="gramEnd"/>
      <w:r w:rsidRPr="003969EA">
        <w:rPr>
          <w:rFonts w:hint="eastAsia"/>
        </w:rPr>
        <w:t>如汽車所有人能自行或委託拖吊移置業者將該汽車『拖離』時，</w:t>
      </w:r>
      <w:proofErr w:type="gramStart"/>
      <w:r w:rsidRPr="003969EA">
        <w:rPr>
          <w:rFonts w:hint="eastAsia"/>
        </w:rPr>
        <w:t>即無代保管</w:t>
      </w:r>
      <w:proofErr w:type="gramEnd"/>
      <w:r w:rsidRPr="003969EA">
        <w:rPr>
          <w:rFonts w:hint="eastAsia"/>
        </w:rPr>
        <w:t>之必要，而得將違規車輛當場發還予汽車所有人。但該違規車輛仍然不得再無牌照行駛道路。」，惟交通部</w:t>
      </w:r>
      <w:proofErr w:type="gramStart"/>
      <w:r w:rsidRPr="003969EA">
        <w:rPr>
          <w:rFonts w:hint="eastAsia"/>
        </w:rPr>
        <w:t>上開函釋</w:t>
      </w:r>
      <w:proofErr w:type="gramEnd"/>
      <w:r w:rsidRPr="003969EA">
        <w:rPr>
          <w:rFonts w:hint="eastAsia"/>
        </w:rPr>
        <w:t>之</w:t>
      </w:r>
      <w:bookmarkEnd w:id="109"/>
      <w:r w:rsidRPr="003969EA">
        <w:rPr>
          <w:rFonts w:hint="eastAsia"/>
        </w:rPr>
        <w:t>性質屬行政程序法第1</w:t>
      </w:r>
      <w:r w:rsidRPr="003969EA">
        <w:t>59</w:t>
      </w:r>
      <w:r w:rsidRPr="003969EA">
        <w:rPr>
          <w:rFonts w:hint="eastAsia"/>
        </w:rPr>
        <w:t>條所定之解釋性或裁量基準之行政規則，自不能牴觸法律之規定。</w:t>
      </w:r>
      <w:bookmarkStart w:id="110" w:name="_Hlk158905697"/>
      <w:r w:rsidRPr="003969EA">
        <w:rPr>
          <w:rFonts w:hint="eastAsia"/>
        </w:rPr>
        <w:t>道交條例第1</w:t>
      </w:r>
      <w:r w:rsidRPr="003969EA">
        <w:t>2</w:t>
      </w:r>
      <w:r w:rsidRPr="003969EA">
        <w:rPr>
          <w:rFonts w:hint="eastAsia"/>
        </w:rPr>
        <w:t>條第1項第6款及第3項</w:t>
      </w:r>
      <w:bookmarkEnd w:id="110"/>
      <w:r w:rsidRPr="003969EA">
        <w:rPr>
          <w:rFonts w:hint="eastAsia"/>
        </w:rPr>
        <w:t>既已明定員警舉發「牌照吊扣期間行駛」之車輛，應當場移置保管並通知汽車所有人限期領回之，並無授權交通執法人員得視現場狀況，決定是否移置保管之裁量空間。</w:t>
      </w:r>
      <w:proofErr w:type="gramStart"/>
      <w:r w:rsidRPr="003969EA">
        <w:rPr>
          <w:rFonts w:hint="eastAsia"/>
        </w:rPr>
        <w:t>且道交</w:t>
      </w:r>
      <w:proofErr w:type="gramEnd"/>
      <w:r w:rsidRPr="003969EA">
        <w:rPr>
          <w:rFonts w:hint="eastAsia"/>
        </w:rPr>
        <w:t>條例第12條第1項共列舉10款無牌照駕駛態樣</w:t>
      </w:r>
      <w:r w:rsidRPr="003969EA">
        <w:rPr>
          <w:rStyle w:val="af"/>
        </w:rPr>
        <w:footnoteReference w:id="4"/>
      </w:r>
      <w:r w:rsidRPr="003969EA">
        <w:rPr>
          <w:rFonts w:hint="eastAsia"/>
        </w:rPr>
        <w:t>，該條第3項規定須當場移置保管者，僅有違反該第1項第4款、第6款及第8款（「使用吊銷、註銷之牌照」、「牌照吊扣期間行駛」、「牌照業經繳銷、報停、吊銷、註銷、無牌照仍行駛」）等3類之違規行為。其他7款事由是否當場移置保管，</w:t>
      </w:r>
      <w:proofErr w:type="gramStart"/>
      <w:r w:rsidRPr="003969EA">
        <w:rPr>
          <w:rFonts w:hint="eastAsia"/>
        </w:rPr>
        <w:t>依道交</w:t>
      </w:r>
      <w:proofErr w:type="gramEnd"/>
      <w:r w:rsidRPr="003969EA">
        <w:rPr>
          <w:rFonts w:hint="eastAsia"/>
        </w:rPr>
        <w:t>條例第85條之2，仍授權交通執法人員依現場狀況審酌衡量決定之</w:t>
      </w:r>
      <w:r w:rsidRPr="003969EA">
        <w:rPr>
          <w:rStyle w:val="af"/>
        </w:rPr>
        <w:footnoteReference w:id="5"/>
      </w:r>
      <w:r w:rsidRPr="003969EA">
        <w:rPr>
          <w:rFonts w:hint="eastAsia"/>
        </w:rPr>
        <w:t>，法律顯已區分違規態樣之嚴重程度，保留彈性的執法空間，交通部</w:t>
      </w:r>
      <w:proofErr w:type="gramStart"/>
      <w:r w:rsidRPr="003969EA">
        <w:rPr>
          <w:rFonts w:hint="eastAsia"/>
        </w:rPr>
        <w:t>所辯實難以</w:t>
      </w:r>
      <w:proofErr w:type="gramEnd"/>
      <w:r w:rsidRPr="003969EA">
        <w:rPr>
          <w:rFonts w:hint="eastAsia"/>
        </w:rPr>
        <w:t>成立。</w:t>
      </w:r>
    </w:p>
    <w:p w:rsidR="00E66798" w:rsidRPr="003969EA" w:rsidRDefault="00E66798" w:rsidP="00E66798">
      <w:pPr>
        <w:pStyle w:val="3"/>
      </w:pPr>
      <w:r w:rsidRPr="003969EA">
        <w:rPr>
          <w:rFonts w:hint="eastAsia"/>
        </w:rPr>
        <w:t>綜上，</w:t>
      </w:r>
      <w:bookmarkStart w:id="111" w:name="_Hlk158907269"/>
      <w:r w:rsidRPr="003969EA">
        <w:rPr>
          <w:rFonts w:hint="eastAsia"/>
        </w:rPr>
        <w:t>交通部</w:t>
      </w:r>
      <w:proofErr w:type="gramStart"/>
      <w:r w:rsidRPr="003969EA">
        <w:rPr>
          <w:rFonts w:hint="eastAsia"/>
        </w:rPr>
        <w:t>逕</w:t>
      </w:r>
      <w:proofErr w:type="gramEnd"/>
      <w:r w:rsidRPr="003969EA">
        <w:rPr>
          <w:rFonts w:hint="eastAsia"/>
        </w:rPr>
        <w:t>以函釋排除道交條例第1</w:t>
      </w:r>
      <w:r w:rsidRPr="003969EA">
        <w:t>2</w:t>
      </w:r>
      <w:r w:rsidRPr="003969EA">
        <w:rPr>
          <w:rFonts w:hint="eastAsia"/>
        </w:rPr>
        <w:t>條第3項針對重大違規車輛應「移置保管」之</w:t>
      </w:r>
      <w:proofErr w:type="gramStart"/>
      <w:r w:rsidRPr="003969EA">
        <w:rPr>
          <w:rFonts w:hint="eastAsia"/>
        </w:rPr>
        <w:t>羈</w:t>
      </w:r>
      <w:proofErr w:type="gramEnd"/>
      <w:r w:rsidRPr="003969EA">
        <w:rPr>
          <w:rFonts w:hint="eastAsia"/>
        </w:rPr>
        <w:t>束處分，允許車主或所委託之人自行或委託拖吊業者將該車「拖離」，顯然違反依法行政的基本原則，並造成交通執法機關審核端，就員警舉發「牌照吊扣期間行駛」案件，無從以有無依規定代保管車輛等異常狀況進行勾</w:t>
      </w:r>
      <w:proofErr w:type="gramStart"/>
      <w:r w:rsidRPr="003969EA">
        <w:rPr>
          <w:rFonts w:hint="eastAsia"/>
        </w:rPr>
        <w:t>稽</w:t>
      </w:r>
      <w:proofErr w:type="gramEnd"/>
      <w:r w:rsidRPr="003969EA">
        <w:rPr>
          <w:rFonts w:hint="eastAsia"/>
        </w:rPr>
        <w:t>，滋生舞弊空間，後續衍生警察機關跨地區及涉案人數眾多的嚴重弊案，核有重大違失。</w:t>
      </w:r>
      <w:bookmarkEnd w:id="95"/>
      <w:bookmarkEnd w:id="111"/>
    </w:p>
    <w:p w:rsidR="00E66798" w:rsidRPr="003969EA" w:rsidRDefault="00E66798" w:rsidP="00E66798">
      <w:pPr>
        <w:widowControl/>
        <w:overflowPunct/>
        <w:autoSpaceDE/>
        <w:autoSpaceDN/>
        <w:jc w:val="left"/>
        <w:rPr>
          <w:rFonts w:hAnsi="Arial"/>
          <w:bCs/>
          <w:kern w:val="32"/>
          <w:szCs w:val="36"/>
        </w:rPr>
      </w:pPr>
      <w:r w:rsidRPr="003969EA">
        <w:br w:type="page"/>
      </w:r>
    </w:p>
    <w:p w:rsidR="00E66798" w:rsidRPr="003969EA" w:rsidRDefault="00E66798" w:rsidP="00E66798">
      <w:pPr>
        <w:pStyle w:val="1"/>
      </w:pPr>
      <w:r w:rsidRPr="003969EA">
        <w:rPr>
          <w:rFonts w:hint="eastAsia"/>
        </w:rPr>
        <w:t>處理辦法：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3969EA">
        <w:t xml:space="preserve"> </w:t>
      </w:r>
    </w:p>
    <w:p w:rsidR="00E66798" w:rsidRPr="003969EA" w:rsidRDefault="00E66798" w:rsidP="00E66798">
      <w:pPr>
        <w:pStyle w:val="2"/>
        <w:spacing w:beforeLines="25" w:before="114"/>
        <w:ind w:left="1020" w:hanging="680"/>
      </w:pPr>
      <w:bookmarkStart w:id="112" w:name="_Toc524895649"/>
      <w:bookmarkStart w:id="113" w:name="_Toc524896195"/>
      <w:bookmarkStart w:id="114" w:name="_Toc524896225"/>
      <w:bookmarkStart w:id="115" w:name="_Toc70241820"/>
      <w:bookmarkStart w:id="116" w:name="_Toc70242209"/>
      <w:bookmarkStart w:id="117" w:name="_Toc421794876"/>
      <w:bookmarkStart w:id="118" w:name="_Toc421795442"/>
      <w:bookmarkStart w:id="119" w:name="_Toc421796023"/>
      <w:bookmarkStart w:id="120" w:name="_Toc422728958"/>
      <w:bookmarkStart w:id="121" w:name="_Toc422834161"/>
      <w:bookmarkStart w:id="122" w:name="_Toc2400396"/>
      <w:bookmarkStart w:id="123" w:name="_Toc4316190"/>
      <w:bookmarkStart w:id="124" w:name="_Toc4473331"/>
      <w:bookmarkStart w:id="125" w:name="_Toc69556898"/>
      <w:bookmarkStart w:id="126" w:name="_Toc69556947"/>
      <w:bookmarkStart w:id="127" w:name="_Toc69609821"/>
      <w:bookmarkStart w:id="128" w:name="_Toc70241817"/>
      <w:bookmarkStart w:id="129" w:name="_Toc70242206"/>
      <w:bookmarkStart w:id="130" w:name="_Toc524902735"/>
      <w:bookmarkStart w:id="131" w:name="_Toc525066149"/>
      <w:bookmarkStart w:id="132" w:name="_Toc525070840"/>
      <w:bookmarkStart w:id="133" w:name="_Toc525938380"/>
      <w:bookmarkStart w:id="134" w:name="_Toc525939228"/>
      <w:bookmarkStart w:id="135" w:name="_Toc525939733"/>
      <w:bookmarkStart w:id="136" w:name="_Toc529218273"/>
      <w:bookmarkStart w:id="137" w:name="_Toc529222690"/>
      <w:bookmarkStart w:id="138" w:name="_Toc529223112"/>
      <w:bookmarkStart w:id="139" w:name="_Toc529223863"/>
      <w:bookmarkStart w:id="140" w:name="_Toc529228266"/>
      <w:bookmarkEnd w:id="112"/>
      <w:bookmarkEnd w:id="113"/>
      <w:bookmarkEnd w:id="114"/>
      <w:r w:rsidRPr="003969EA">
        <w:rPr>
          <w:rFonts w:hint="eastAsia"/>
        </w:rPr>
        <w:t>調查意見二、三，提案糾正交通部並議處相關失職人員</w:t>
      </w:r>
      <w:r w:rsidRPr="003969EA">
        <w:rPr>
          <w:rFonts w:hAnsi="標楷體" w:hint="eastAsia"/>
        </w:rPr>
        <w:t>。</w:t>
      </w:r>
      <w:bookmarkEnd w:id="115"/>
      <w:bookmarkEnd w:id="116"/>
      <w:bookmarkEnd w:id="117"/>
      <w:bookmarkEnd w:id="118"/>
      <w:bookmarkEnd w:id="119"/>
      <w:bookmarkEnd w:id="120"/>
      <w:bookmarkEnd w:id="121"/>
    </w:p>
    <w:p w:rsidR="00E66798" w:rsidRPr="003969EA" w:rsidRDefault="00E66798" w:rsidP="00E66798">
      <w:pPr>
        <w:pStyle w:val="2"/>
        <w:spacing w:beforeLines="25" w:before="114"/>
        <w:ind w:left="1020" w:hanging="680"/>
      </w:pPr>
      <w:bookmarkStart w:id="141" w:name="_Toc421794877"/>
      <w:bookmarkStart w:id="142" w:name="_Toc421795443"/>
      <w:bookmarkStart w:id="143" w:name="_Toc421796024"/>
      <w:bookmarkStart w:id="144" w:name="_Toc422728959"/>
      <w:bookmarkStart w:id="145" w:name="_Toc422834162"/>
      <w:r w:rsidRPr="003969EA">
        <w:rPr>
          <w:rFonts w:hint="eastAsia"/>
        </w:rPr>
        <w:t>調查意見一，函請內政部警政署確實檢討改進。</w:t>
      </w:r>
    </w:p>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rsidR="00E66798" w:rsidRPr="003969EA" w:rsidRDefault="00E66798" w:rsidP="00E66798">
      <w:pPr>
        <w:pStyle w:val="a4"/>
        <w:spacing w:beforeLines="50" w:before="228" w:afterLines="100" w:after="457"/>
        <w:ind w:leftChars="1100" w:left="3742"/>
        <w:rPr>
          <w:b w:val="0"/>
          <w:bCs/>
          <w:snapToGrid/>
          <w:spacing w:val="12"/>
          <w:kern w:val="0"/>
          <w:sz w:val="40"/>
        </w:rPr>
      </w:pPr>
    </w:p>
    <w:p w:rsidR="00E66798" w:rsidRDefault="00E66798" w:rsidP="00E66798">
      <w:pPr>
        <w:pStyle w:val="a4"/>
        <w:spacing w:beforeLines="50" w:before="228" w:afterLines="50" w:after="228"/>
        <w:ind w:leftChars="1100" w:left="3742"/>
        <w:rPr>
          <w:b w:val="0"/>
          <w:bCs/>
          <w:snapToGrid/>
          <w:spacing w:val="12"/>
          <w:kern w:val="0"/>
          <w:sz w:val="40"/>
        </w:rPr>
      </w:pPr>
      <w:r w:rsidRPr="003969EA">
        <w:rPr>
          <w:rFonts w:hint="eastAsia"/>
          <w:b w:val="0"/>
          <w:bCs/>
          <w:snapToGrid/>
          <w:spacing w:val="12"/>
          <w:kern w:val="0"/>
          <w:sz w:val="40"/>
        </w:rPr>
        <w:t>調查委員：</w:t>
      </w:r>
      <w:r>
        <w:rPr>
          <w:rFonts w:hint="eastAsia"/>
          <w:b w:val="0"/>
          <w:bCs/>
          <w:snapToGrid/>
          <w:spacing w:val="12"/>
          <w:kern w:val="0"/>
          <w:sz w:val="40"/>
        </w:rPr>
        <w:t>葉宜津</w:t>
      </w:r>
    </w:p>
    <w:p w:rsidR="00E66798" w:rsidRDefault="00E66798" w:rsidP="00E66798">
      <w:pPr>
        <w:pStyle w:val="a4"/>
        <w:spacing w:beforeLines="50" w:before="228" w:afterLines="50" w:after="228"/>
        <w:ind w:leftChars="1750" w:left="5953"/>
        <w:rPr>
          <w:b w:val="0"/>
          <w:bCs/>
          <w:snapToGrid/>
          <w:spacing w:val="12"/>
          <w:kern w:val="0"/>
          <w:sz w:val="40"/>
        </w:rPr>
      </w:pPr>
      <w:r>
        <w:rPr>
          <w:rFonts w:hint="eastAsia"/>
          <w:b w:val="0"/>
          <w:bCs/>
          <w:snapToGrid/>
          <w:spacing w:val="12"/>
          <w:kern w:val="0"/>
          <w:sz w:val="40"/>
        </w:rPr>
        <w:t>林郁容</w:t>
      </w:r>
    </w:p>
    <w:p w:rsidR="00E66798" w:rsidRPr="003969EA" w:rsidRDefault="00E66798" w:rsidP="00E66798">
      <w:pPr>
        <w:pStyle w:val="a4"/>
        <w:spacing w:beforeLines="50" w:before="228" w:afterLines="50" w:after="228"/>
        <w:ind w:leftChars="1750" w:left="5953"/>
        <w:rPr>
          <w:b w:val="0"/>
          <w:bCs/>
          <w:snapToGrid/>
          <w:spacing w:val="12"/>
          <w:kern w:val="0"/>
          <w:sz w:val="40"/>
        </w:rPr>
      </w:pPr>
      <w:r>
        <w:rPr>
          <w:rFonts w:hint="eastAsia"/>
          <w:b w:val="0"/>
          <w:bCs/>
          <w:snapToGrid/>
          <w:spacing w:val="12"/>
          <w:kern w:val="0"/>
          <w:sz w:val="40"/>
        </w:rPr>
        <w:t>賴鼎銘</w:t>
      </w:r>
    </w:p>
    <w:p w:rsidR="00E66798" w:rsidRPr="003969EA" w:rsidRDefault="00E66798" w:rsidP="00E66798">
      <w:pPr>
        <w:pStyle w:val="a4"/>
        <w:spacing w:before="0" w:after="0"/>
        <w:ind w:leftChars="1100" w:left="3742"/>
        <w:rPr>
          <w:rFonts w:ascii="Times New Roman"/>
          <w:b w:val="0"/>
          <w:bCs/>
          <w:snapToGrid/>
          <w:spacing w:val="0"/>
          <w:kern w:val="0"/>
          <w:sz w:val="40"/>
        </w:rPr>
      </w:pPr>
    </w:p>
    <w:p w:rsidR="00E66798" w:rsidRPr="003969EA" w:rsidRDefault="00E66798" w:rsidP="00E66798">
      <w:pPr>
        <w:pStyle w:val="a7"/>
        <w:rPr>
          <w:rFonts w:hAnsi="標楷體"/>
          <w:bCs/>
        </w:rPr>
      </w:pPr>
      <w:r w:rsidRPr="003969EA">
        <w:rPr>
          <w:rFonts w:hAnsi="標楷體" w:hint="eastAsia"/>
          <w:bCs/>
        </w:rPr>
        <w:t>中華民國　1</w:t>
      </w:r>
      <w:r w:rsidRPr="003969EA">
        <w:rPr>
          <w:rFonts w:hAnsi="標楷體"/>
          <w:bCs/>
        </w:rPr>
        <w:t>13</w:t>
      </w:r>
      <w:r w:rsidRPr="003969EA">
        <w:rPr>
          <w:rFonts w:hAnsi="標楷體" w:hint="eastAsia"/>
          <w:bCs/>
        </w:rPr>
        <w:t xml:space="preserve">　年</w:t>
      </w:r>
      <w:r>
        <w:rPr>
          <w:rFonts w:hAnsi="標楷體" w:hint="eastAsia"/>
          <w:bCs/>
        </w:rPr>
        <w:t>3</w:t>
      </w:r>
      <w:r w:rsidRPr="003969EA">
        <w:rPr>
          <w:rFonts w:hAnsi="標楷體" w:hint="eastAsia"/>
          <w:bCs/>
        </w:rPr>
        <w:t>月</w:t>
      </w:r>
      <w:r>
        <w:rPr>
          <w:rFonts w:hAnsi="標楷體" w:hint="eastAsia"/>
          <w:bCs/>
        </w:rPr>
        <w:t>1</w:t>
      </w:r>
      <w:r>
        <w:rPr>
          <w:rFonts w:hAnsi="標楷體"/>
          <w:bCs/>
        </w:rPr>
        <w:t>2</w:t>
      </w:r>
      <w:r w:rsidRPr="003969EA">
        <w:rPr>
          <w:rFonts w:hAnsi="標楷體" w:hint="eastAsia"/>
          <w:bCs/>
        </w:rPr>
        <w:t>日</w:t>
      </w:r>
    </w:p>
    <w:p w:rsidR="00E66798" w:rsidRPr="003969EA" w:rsidRDefault="00E66798" w:rsidP="00E66798">
      <w:pPr>
        <w:pStyle w:val="a8"/>
        <w:kinsoku/>
        <w:autoSpaceDE w:val="0"/>
        <w:spacing w:beforeLines="50" w:before="228"/>
        <w:ind w:left="1020" w:hanging="1020"/>
        <w:rPr>
          <w:rFonts w:hint="eastAsia"/>
          <w:bCs/>
        </w:rPr>
      </w:pPr>
    </w:p>
    <w:p w:rsidR="00E66798" w:rsidRPr="003969EA" w:rsidRDefault="00E66798" w:rsidP="00E66798">
      <w:pPr>
        <w:pStyle w:val="a8"/>
        <w:kinsoku/>
        <w:autoSpaceDE w:val="0"/>
        <w:spacing w:beforeLines="50" w:before="228"/>
        <w:ind w:left="1020" w:hanging="1020"/>
        <w:rPr>
          <w:bCs/>
        </w:rPr>
      </w:pPr>
      <w:proofErr w:type="gramStart"/>
      <w:r w:rsidRPr="003969EA">
        <w:rPr>
          <w:rFonts w:hint="eastAsia"/>
          <w:bCs/>
        </w:rPr>
        <w:t>案名</w:t>
      </w:r>
      <w:proofErr w:type="gramEnd"/>
      <w:r w:rsidRPr="003969EA">
        <w:rPr>
          <w:rFonts w:hint="eastAsia"/>
          <w:bCs/>
        </w:rPr>
        <w:t>：警察開立不實吊銷牌照罰單案</w:t>
      </w:r>
    </w:p>
    <w:p w:rsidR="00E66798" w:rsidRPr="003969EA" w:rsidRDefault="00E66798" w:rsidP="00E66798">
      <w:pPr>
        <w:pStyle w:val="a8"/>
        <w:spacing w:beforeLines="50" w:before="228"/>
        <w:ind w:left="1361" w:hangingChars="400" w:hanging="1361"/>
        <w:rPr>
          <w:kern w:val="32"/>
        </w:rPr>
      </w:pPr>
      <w:r w:rsidRPr="003969EA">
        <w:rPr>
          <w:rFonts w:hint="eastAsia"/>
          <w:bCs/>
        </w:rPr>
        <w:t>關鍵字：吊扣、吊銷、道路交通處罰條例、汽車牌照、移置保管</w:t>
      </w:r>
    </w:p>
    <w:p w:rsidR="004C4AF4" w:rsidRPr="00E66798" w:rsidRDefault="004A3126"/>
    <w:sectPr w:rsidR="004C4AF4" w:rsidRPr="00E66798" w:rsidSect="00931A10">
      <w:footerReference w:type="default" r:id="rId7"/>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126" w:rsidRDefault="004A3126" w:rsidP="00E66798">
      <w:r>
        <w:separator/>
      </w:r>
    </w:p>
  </w:endnote>
  <w:endnote w:type="continuationSeparator" w:id="0">
    <w:p w:rsidR="004A3126" w:rsidRDefault="004A3126" w:rsidP="00E6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楷書體W5(P)">
    <w:altName w:val="新細明體"/>
    <w:charset w:val="88"/>
    <w:family w:val="auto"/>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46C" w:rsidRDefault="004A3126">
    <w:pPr>
      <w:pStyle w:val="ab"/>
      <w:framePr w:wrap="around" w:vAnchor="text" w:hAnchor="margin" w:xAlign="center" w:y="1"/>
      <w:rPr>
        <w:rStyle w:val="a6"/>
        <w:sz w:val="24"/>
      </w:rPr>
    </w:pPr>
    <w:r>
      <w:rPr>
        <w:rStyle w:val="a6"/>
        <w:sz w:val="24"/>
      </w:rPr>
      <w:fldChar w:fldCharType="begin"/>
    </w:r>
    <w:r>
      <w:rPr>
        <w:rStyle w:val="a6"/>
        <w:sz w:val="24"/>
      </w:rPr>
      <w:instrText xml:space="preserve">PAGE  </w:instrText>
    </w:r>
    <w:r>
      <w:rPr>
        <w:rStyle w:val="a6"/>
        <w:sz w:val="24"/>
      </w:rPr>
      <w:fldChar w:fldCharType="separate"/>
    </w:r>
    <w:r>
      <w:rPr>
        <w:rStyle w:val="a6"/>
        <w:noProof/>
        <w:sz w:val="24"/>
      </w:rPr>
      <w:t>1</w:t>
    </w:r>
    <w:r>
      <w:rPr>
        <w:rStyle w:val="a6"/>
        <w:sz w:val="24"/>
      </w:rPr>
      <w:fldChar w:fldCharType="end"/>
    </w:r>
  </w:p>
  <w:p w:rsidR="0046746C" w:rsidRDefault="004A312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126" w:rsidRDefault="004A3126" w:rsidP="00E66798">
      <w:r>
        <w:separator/>
      </w:r>
    </w:p>
  </w:footnote>
  <w:footnote w:type="continuationSeparator" w:id="0">
    <w:p w:rsidR="004A3126" w:rsidRDefault="004A3126" w:rsidP="00E66798">
      <w:r>
        <w:continuationSeparator/>
      </w:r>
    </w:p>
  </w:footnote>
  <w:footnote w:id="1">
    <w:p w:rsidR="00E66798" w:rsidRDefault="00E66798" w:rsidP="00E66798">
      <w:pPr>
        <w:pStyle w:val="ad"/>
      </w:pPr>
      <w:r>
        <w:rPr>
          <w:rStyle w:val="af"/>
        </w:rPr>
        <w:footnoteRef/>
      </w:r>
      <w:r w:rsidRPr="0047194A">
        <w:rPr>
          <w:rFonts w:hint="eastAsia"/>
        </w:rPr>
        <w:t>警政署112年6月9日</w:t>
      </w:r>
      <w:proofErr w:type="gramStart"/>
      <w:r w:rsidRPr="0047194A">
        <w:rPr>
          <w:rFonts w:hint="eastAsia"/>
        </w:rPr>
        <w:t>警署交字第1120115114號</w:t>
      </w:r>
      <w:proofErr w:type="gramEnd"/>
      <w:r>
        <w:rPr>
          <w:rFonts w:hint="eastAsia"/>
        </w:rPr>
        <w:t>函</w:t>
      </w:r>
    </w:p>
  </w:footnote>
  <w:footnote w:id="2">
    <w:p w:rsidR="00E66798" w:rsidRDefault="00E66798" w:rsidP="00E66798">
      <w:pPr>
        <w:pStyle w:val="ad"/>
        <w:jc w:val="both"/>
      </w:pPr>
      <w:r>
        <w:rPr>
          <w:rStyle w:val="af"/>
        </w:rPr>
        <w:footnoteRef/>
      </w:r>
      <w:r>
        <w:t xml:space="preserve"> </w:t>
      </w:r>
      <w:r w:rsidRPr="00201D04">
        <w:rPr>
          <w:rFonts w:hint="eastAsia"/>
        </w:rPr>
        <w:t>警察人員人事條例第</w:t>
      </w:r>
      <w:r w:rsidRPr="00201D04">
        <w:t>29</w:t>
      </w:r>
      <w:r w:rsidRPr="00201D04">
        <w:rPr>
          <w:rFonts w:hint="eastAsia"/>
        </w:rPr>
        <w:t>條第</w:t>
      </w:r>
      <w:r w:rsidRPr="00201D04">
        <w:t>1</w:t>
      </w:r>
      <w:r w:rsidRPr="00201D04">
        <w:rPr>
          <w:rFonts w:hint="eastAsia"/>
        </w:rPr>
        <w:t>項：警察人員有下列情形之</w:t>
      </w:r>
      <w:proofErr w:type="gramStart"/>
      <w:r w:rsidRPr="00201D04">
        <w:rPr>
          <w:rFonts w:hint="eastAsia"/>
        </w:rPr>
        <w:t>一</w:t>
      </w:r>
      <w:proofErr w:type="gramEnd"/>
      <w:r w:rsidRPr="00201D04">
        <w:rPr>
          <w:rFonts w:hint="eastAsia"/>
        </w:rPr>
        <w:t>者，應即停職：…</w:t>
      </w:r>
      <w:proofErr w:type="gramStart"/>
      <w:r w:rsidRPr="00201D04">
        <w:rPr>
          <w:rFonts w:hint="eastAsia"/>
        </w:rPr>
        <w:t>…</w:t>
      </w:r>
      <w:proofErr w:type="gramEnd"/>
      <w:r w:rsidRPr="00201D04">
        <w:rPr>
          <w:rFonts w:hint="eastAsia"/>
        </w:rPr>
        <w:t>二、涉嫌犯貪污罪、瀆職罪、強盜罪，經提起公訴於第一審判決前…</w:t>
      </w:r>
      <w:proofErr w:type="gramStart"/>
      <w:r w:rsidRPr="00201D04">
        <w:rPr>
          <w:rFonts w:hint="eastAsia"/>
        </w:rPr>
        <w:t>…</w:t>
      </w:r>
      <w:proofErr w:type="gramEnd"/>
      <w:r w:rsidRPr="00201D04">
        <w:rPr>
          <w:rFonts w:hint="eastAsia"/>
        </w:rPr>
        <w:t>六、依刑事訴訟程序被通緝或羈押…</w:t>
      </w:r>
      <w:proofErr w:type="gramStart"/>
      <w:r w:rsidRPr="00201D04">
        <w:rPr>
          <w:rFonts w:hint="eastAsia"/>
        </w:rPr>
        <w:t>…</w:t>
      </w:r>
      <w:proofErr w:type="gramEnd"/>
      <w:r w:rsidRPr="00201D04">
        <w:rPr>
          <w:rFonts w:hint="eastAsia"/>
        </w:rPr>
        <w:t>。</w:t>
      </w:r>
    </w:p>
  </w:footnote>
  <w:footnote w:id="3">
    <w:p w:rsidR="00E66798" w:rsidRDefault="00E66798" w:rsidP="00E66798">
      <w:pPr>
        <w:pStyle w:val="ad"/>
      </w:pPr>
      <w:r>
        <w:rPr>
          <w:rStyle w:val="af"/>
        </w:rPr>
        <w:footnoteRef/>
      </w:r>
      <w:r>
        <w:t xml:space="preserve"> </w:t>
      </w:r>
      <w:r w:rsidRPr="00620411">
        <w:rPr>
          <w:rFonts w:hint="eastAsia"/>
        </w:rPr>
        <w:t>112</w:t>
      </w:r>
      <w:r w:rsidRPr="00620411">
        <w:rPr>
          <w:rFonts w:hint="eastAsia"/>
        </w:rPr>
        <w:t>年5月3日總統令修正公布道交條例第66條第1項、第2項規定：「汽車牌照，經吊銷或註銷者，須滿6個月，且經公路主管機關檢驗合格後，始得再行請領」、「前項因牌照吊扣期間行駛而吊銷牌照者，應於其原違反本條例應受吊扣牌照處分期滿後，始得再依前項規定請領牌照。」自112年6月30日</w:t>
      </w:r>
      <w:r>
        <w:rPr>
          <w:rFonts w:hint="eastAsia"/>
        </w:rPr>
        <w:t>起</w:t>
      </w:r>
      <w:r w:rsidRPr="00620411">
        <w:rPr>
          <w:rFonts w:hint="eastAsia"/>
        </w:rPr>
        <w:t>施行</w:t>
      </w:r>
      <w:r>
        <w:rPr>
          <w:rFonts w:hint="eastAsia"/>
        </w:rPr>
        <w:t>。</w:t>
      </w:r>
    </w:p>
  </w:footnote>
  <w:footnote w:id="4">
    <w:p w:rsidR="00E66798" w:rsidRPr="00A30519" w:rsidRDefault="00E66798" w:rsidP="00E66798">
      <w:pPr>
        <w:pStyle w:val="ad"/>
      </w:pPr>
      <w:r>
        <w:rPr>
          <w:rStyle w:val="af"/>
        </w:rPr>
        <w:footnoteRef/>
      </w:r>
      <w:r>
        <w:t xml:space="preserve"> </w:t>
      </w:r>
      <w:r>
        <w:rPr>
          <w:rFonts w:hint="eastAsia"/>
        </w:rPr>
        <w:t>道交條例第1</w:t>
      </w:r>
      <w:r>
        <w:t>2</w:t>
      </w:r>
      <w:r>
        <w:rPr>
          <w:rFonts w:hint="eastAsia"/>
        </w:rPr>
        <w:t>條第1項：「汽車有下列情形之</w:t>
      </w:r>
      <w:proofErr w:type="gramStart"/>
      <w:r>
        <w:rPr>
          <w:rFonts w:hint="eastAsia"/>
        </w:rPr>
        <w:t>一</w:t>
      </w:r>
      <w:proofErr w:type="gramEnd"/>
      <w:r>
        <w:rPr>
          <w:rFonts w:hint="eastAsia"/>
        </w:rPr>
        <w:t>者，處汽車所有人新臺幣三千六百元以上一萬零八百元以下罰鍰，並禁止其行駛：一、未領用牌照行駛。二、拼裝車輛未經核准領</w:t>
      </w:r>
      <w:proofErr w:type="gramStart"/>
      <w:r>
        <w:rPr>
          <w:rFonts w:hint="eastAsia"/>
        </w:rPr>
        <w:t>用牌證行駛</w:t>
      </w:r>
      <w:proofErr w:type="gramEnd"/>
      <w:r>
        <w:rPr>
          <w:rFonts w:hint="eastAsia"/>
        </w:rPr>
        <w:t>，或已領</w:t>
      </w:r>
      <w:proofErr w:type="gramStart"/>
      <w:r>
        <w:rPr>
          <w:rFonts w:hint="eastAsia"/>
        </w:rPr>
        <w:t>用牌證而</w:t>
      </w:r>
      <w:proofErr w:type="gramEnd"/>
      <w:r>
        <w:rPr>
          <w:rFonts w:hint="eastAsia"/>
        </w:rPr>
        <w:t>變更原登檢規格、不依原規定用途行駛。三、使用偽造、變造或</w:t>
      </w:r>
      <w:proofErr w:type="gramStart"/>
      <w:r>
        <w:rPr>
          <w:rFonts w:hint="eastAsia"/>
        </w:rPr>
        <w:t>矇</w:t>
      </w:r>
      <w:proofErr w:type="gramEnd"/>
      <w:r>
        <w:rPr>
          <w:rFonts w:hint="eastAsia"/>
        </w:rPr>
        <w:t>領之牌照。四、使用吊銷、註銷之牌照。五、</w:t>
      </w:r>
      <w:proofErr w:type="gramStart"/>
      <w:r>
        <w:rPr>
          <w:rFonts w:hint="eastAsia"/>
        </w:rPr>
        <w:t>牌照借供他</w:t>
      </w:r>
      <w:proofErr w:type="gramEnd"/>
      <w:r>
        <w:rPr>
          <w:rFonts w:hint="eastAsia"/>
        </w:rPr>
        <w:t>車使用或使用他車牌照。六、牌照吊扣期間行駛。七、已領有號牌而未懸掛或不依指定位置懸掛。八、牌照業經繳銷、</w:t>
      </w:r>
      <w:proofErr w:type="gramStart"/>
      <w:r>
        <w:rPr>
          <w:rFonts w:hint="eastAsia"/>
        </w:rPr>
        <w:t>報停</w:t>
      </w:r>
      <w:proofErr w:type="gramEnd"/>
      <w:r>
        <w:rPr>
          <w:rFonts w:hint="eastAsia"/>
        </w:rPr>
        <w:t>、吊銷、註銷，無牌照仍行駛。九、報廢登記之汽車仍行駛。十、號牌遺失不報請公路主管機關補發，經舉發後仍不辦理而行駛。」</w:t>
      </w:r>
    </w:p>
  </w:footnote>
  <w:footnote w:id="5">
    <w:p w:rsidR="00E66798" w:rsidRDefault="00E66798" w:rsidP="00E66798">
      <w:pPr>
        <w:pStyle w:val="ad"/>
      </w:pPr>
      <w:r>
        <w:rPr>
          <w:rStyle w:val="af"/>
        </w:rPr>
        <w:footnoteRef/>
      </w:r>
      <w:r>
        <w:t xml:space="preserve"> </w:t>
      </w:r>
      <w:r w:rsidRPr="00223AA7">
        <w:rPr>
          <w:rFonts w:hint="eastAsia"/>
        </w:rPr>
        <w:t>道交條例第85</w:t>
      </w:r>
      <w:r w:rsidRPr="00223AA7">
        <w:rPr>
          <w:rFonts w:hint="eastAsia"/>
        </w:rPr>
        <w:t>條之2：「</w:t>
      </w:r>
      <w:r>
        <w:rPr>
          <w:rFonts w:hint="eastAsia"/>
        </w:rPr>
        <w:t>（第1項）</w:t>
      </w:r>
      <w:r w:rsidRPr="00223AA7">
        <w:rPr>
          <w:rFonts w:hint="eastAsia"/>
        </w:rPr>
        <w:t>車輛所有人或駕駛人依本條例規定應予禁止通行、禁止其行駛、禁止其駕駛者，交通勤務警察或依法令執行交通稽查任務人員應當場執行之，必要時，得逕行移置保管其車輛。</w:t>
      </w:r>
      <w:r>
        <w:rPr>
          <w:rFonts w:hint="eastAsia"/>
        </w:rPr>
        <w:t>（第2項）</w:t>
      </w:r>
      <w:r w:rsidRPr="00A30519">
        <w:rPr>
          <w:rFonts w:hint="eastAsia"/>
        </w:rPr>
        <w:t>前項車輛所有人或其委託之第三人得於保管原因消失後，持保管收據及行車執照領回車輛。其違反本條例第三十五條規定者，應同時檢附繳納罰鍰收據。但初次違反規定且未發生交通事故者，得檢附分期繳納罰鍰收據領回車輛。</w:t>
      </w:r>
      <w:r w:rsidRPr="00223AA7">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E010C"/>
    <w:multiLevelType w:val="multilevel"/>
    <w:tmpl w:val="B9CC788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A5F5684"/>
    <w:multiLevelType w:val="hybridMultilevel"/>
    <w:tmpl w:val="15E8C1C8"/>
    <w:lvl w:ilvl="0" w:tplc="93F24858">
      <w:start w:val="1"/>
      <w:numFmt w:val="decimal"/>
      <w:pStyle w:val="a"/>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bordersDoNotSurroundHeader/>
  <w:bordersDoNotSurroundFooter/>
  <w:proofState w:spelling="clean" w:grammar="clean"/>
  <w:defaultTabStop w:val="48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98"/>
    <w:rsid w:val="003B1971"/>
    <w:rsid w:val="004A3126"/>
    <w:rsid w:val="004D131D"/>
    <w:rsid w:val="00857B0A"/>
    <w:rsid w:val="00CD6388"/>
    <w:rsid w:val="00E667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FC6C"/>
  <w15:chartTrackingRefBased/>
  <w15:docId w15:val="{979FD923-2824-4005-AE42-C7164B28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66798"/>
    <w:pPr>
      <w:widowControl w:val="0"/>
      <w:overflowPunct w:val="0"/>
      <w:autoSpaceDE w:val="0"/>
      <w:autoSpaceDN w:val="0"/>
      <w:jc w:val="both"/>
    </w:pPr>
    <w:rPr>
      <w:rFonts w:ascii="標楷體" w:eastAsia="標楷體" w:hAnsi="Times New Roman" w:cs="Times New Roman"/>
      <w:sz w:val="32"/>
      <w:szCs w:val="20"/>
    </w:rPr>
  </w:style>
  <w:style w:type="paragraph" w:styleId="1">
    <w:name w:val="heading 1"/>
    <w:aliases w:val="壹"/>
    <w:basedOn w:val="a0"/>
    <w:link w:val="10"/>
    <w:qFormat/>
    <w:rsid w:val="00E66798"/>
    <w:pPr>
      <w:numPr>
        <w:numId w:val="2"/>
      </w:numPr>
      <w:outlineLvl w:val="0"/>
    </w:pPr>
    <w:rPr>
      <w:rFonts w:hAnsi="Arial"/>
      <w:bCs/>
      <w:kern w:val="32"/>
      <w:szCs w:val="52"/>
    </w:rPr>
  </w:style>
  <w:style w:type="paragraph" w:styleId="2">
    <w:name w:val="heading 2"/>
    <w:aliases w:val="標題110/111,節,節1"/>
    <w:basedOn w:val="a0"/>
    <w:link w:val="20"/>
    <w:qFormat/>
    <w:rsid w:val="00E66798"/>
    <w:pPr>
      <w:numPr>
        <w:ilvl w:val="1"/>
        <w:numId w:val="2"/>
      </w:numPr>
      <w:outlineLvl w:val="1"/>
    </w:pPr>
    <w:rPr>
      <w:rFonts w:hAnsi="Arial"/>
      <w:bCs/>
      <w:kern w:val="32"/>
      <w:szCs w:val="48"/>
    </w:rPr>
  </w:style>
  <w:style w:type="paragraph" w:styleId="3">
    <w:name w:val="heading 3"/>
    <w:aliases w:val="(一)"/>
    <w:basedOn w:val="a0"/>
    <w:link w:val="30"/>
    <w:qFormat/>
    <w:rsid w:val="00E66798"/>
    <w:pPr>
      <w:numPr>
        <w:ilvl w:val="2"/>
        <w:numId w:val="2"/>
      </w:numPr>
      <w:outlineLvl w:val="2"/>
    </w:pPr>
    <w:rPr>
      <w:rFonts w:hAnsi="Arial"/>
      <w:bCs/>
      <w:kern w:val="32"/>
      <w:szCs w:val="36"/>
    </w:rPr>
  </w:style>
  <w:style w:type="paragraph" w:styleId="4">
    <w:name w:val="heading 4"/>
    <w:aliases w:val="表格,一"/>
    <w:basedOn w:val="a0"/>
    <w:link w:val="40"/>
    <w:qFormat/>
    <w:rsid w:val="00E66798"/>
    <w:pPr>
      <w:numPr>
        <w:ilvl w:val="3"/>
        <w:numId w:val="2"/>
      </w:numPr>
      <w:outlineLvl w:val="3"/>
    </w:pPr>
    <w:rPr>
      <w:rFonts w:hAnsi="Arial"/>
      <w:kern w:val="32"/>
      <w:szCs w:val="36"/>
    </w:rPr>
  </w:style>
  <w:style w:type="paragraph" w:styleId="5">
    <w:name w:val="heading 5"/>
    <w:basedOn w:val="a0"/>
    <w:link w:val="50"/>
    <w:qFormat/>
    <w:rsid w:val="00E66798"/>
    <w:pPr>
      <w:numPr>
        <w:ilvl w:val="4"/>
        <w:numId w:val="2"/>
      </w:numPr>
      <w:outlineLvl w:val="4"/>
    </w:pPr>
    <w:rPr>
      <w:rFonts w:hAnsi="Arial"/>
      <w:bCs/>
      <w:kern w:val="32"/>
      <w:szCs w:val="36"/>
    </w:rPr>
  </w:style>
  <w:style w:type="paragraph" w:styleId="6">
    <w:name w:val="heading 6"/>
    <w:basedOn w:val="a0"/>
    <w:link w:val="60"/>
    <w:qFormat/>
    <w:rsid w:val="00E66798"/>
    <w:pPr>
      <w:numPr>
        <w:ilvl w:val="5"/>
        <w:numId w:val="2"/>
      </w:numPr>
      <w:tabs>
        <w:tab w:val="left" w:pos="2094"/>
      </w:tabs>
      <w:outlineLvl w:val="5"/>
    </w:pPr>
    <w:rPr>
      <w:rFonts w:hAnsi="Arial"/>
      <w:kern w:val="32"/>
      <w:szCs w:val="36"/>
    </w:rPr>
  </w:style>
  <w:style w:type="paragraph" w:styleId="7">
    <w:name w:val="heading 7"/>
    <w:basedOn w:val="a0"/>
    <w:link w:val="70"/>
    <w:qFormat/>
    <w:rsid w:val="00E66798"/>
    <w:pPr>
      <w:numPr>
        <w:ilvl w:val="6"/>
        <w:numId w:val="2"/>
      </w:numPr>
      <w:outlineLvl w:val="6"/>
    </w:pPr>
    <w:rPr>
      <w:rFonts w:hAnsi="Arial"/>
      <w:bCs/>
      <w:kern w:val="32"/>
      <w:szCs w:val="36"/>
    </w:rPr>
  </w:style>
  <w:style w:type="paragraph" w:styleId="8">
    <w:name w:val="heading 8"/>
    <w:basedOn w:val="a0"/>
    <w:link w:val="80"/>
    <w:qFormat/>
    <w:rsid w:val="00E66798"/>
    <w:pPr>
      <w:numPr>
        <w:ilvl w:val="7"/>
        <w:numId w:val="2"/>
      </w:numPr>
      <w:outlineLvl w:val="7"/>
    </w:pPr>
    <w:rPr>
      <w:rFonts w:hAnsi="Arial"/>
      <w:kern w:val="32"/>
      <w:szCs w:val="36"/>
    </w:rPr>
  </w:style>
  <w:style w:type="paragraph" w:styleId="9">
    <w:name w:val="heading 9"/>
    <w:basedOn w:val="a0"/>
    <w:link w:val="90"/>
    <w:uiPriority w:val="9"/>
    <w:unhideWhenUsed/>
    <w:qFormat/>
    <w:rsid w:val="00E66798"/>
    <w:pPr>
      <w:numPr>
        <w:ilvl w:val="8"/>
        <w:numId w:val="2"/>
      </w:numPr>
      <w:outlineLvl w:val="8"/>
    </w:pPr>
    <w:rPr>
      <w:rFonts w:hAnsiTheme="majorHAnsi" w:cstheme="majorBidi"/>
      <w:kern w:val="32"/>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aliases w:val="壹 字元"/>
    <w:basedOn w:val="a1"/>
    <w:link w:val="1"/>
    <w:rsid w:val="00E66798"/>
    <w:rPr>
      <w:rFonts w:ascii="標楷體" w:eastAsia="標楷體" w:hAnsi="Arial" w:cs="Times New Roman"/>
      <w:bCs/>
      <w:kern w:val="32"/>
      <w:sz w:val="32"/>
      <w:szCs w:val="52"/>
    </w:rPr>
  </w:style>
  <w:style w:type="character" w:customStyle="1" w:styleId="20">
    <w:name w:val="標題 2 字元"/>
    <w:aliases w:val="標題110/111 字元,節 字元,節1 字元"/>
    <w:basedOn w:val="a1"/>
    <w:link w:val="2"/>
    <w:rsid w:val="00E66798"/>
    <w:rPr>
      <w:rFonts w:ascii="標楷體" w:eastAsia="標楷體" w:hAnsi="Arial" w:cs="Times New Roman"/>
      <w:bCs/>
      <w:kern w:val="32"/>
      <w:sz w:val="32"/>
      <w:szCs w:val="48"/>
    </w:rPr>
  </w:style>
  <w:style w:type="character" w:customStyle="1" w:styleId="30">
    <w:name w:val="標題 3 字元"/>
    <w:aliases w:val="(一) 字元"/>
    <w:basedOn w:val="a1"/>
    <w:link w:val="3"/>
    <w:rsid w:val="00E66798"/>
    <w:rPr>
      <w:rFonts w:ascii="標楷體" w:eastAsia="標楷體" w:hAnsi="Arial" w:cs="Times New Roman"/>
      <w:bCs/>
      <w:kern w:val="32"/>
      <w:sz w:val="32"/>
      <w:szCs w:val="36"/>
    </w:rPr>
  </w:style>
  <w:style w:type="character" w:customStyle="1" w:styleId="40">
    <w:name w:val="標題 4 字元"/>
    <w:aliases w:val="表格 字元,一 字元"/>
    <w:basedOn w:val="a1"/>
    <w:link w:val="4"/>
    <w:rsid w:val="00E66798"/>
    <w:rPr>
      <w:rFonts w:ascii="標楷體" w:eastAsia="標楷體" w:hAnsi="Arial" w:cs="Times New Roman"/>
      <w:kern w:val="32"/>
      <w:sz w:val="32"/>
      <w:szCs w:val="36"/>
    </w:rPr>
  </w:style>
  <w:style w:type="character" w:customStyle="1" w:styleId="50">
    <w:name w:val="標題 5 字元"/>
    <w:basedOn w:val="a1"/>
    <w:link w:val="5"/>
    <w:rsid w:val="00E66798"/>
    <w:rPr>
      <w:rFonts w:ascii="標楷體" w:eastAsia="標楷體" w:hAnsi="Arial" w:cs="Times New Roman"/>
      <w:bCs/>
      <w:kern w:val="32"/>
      <w:sz w:val="32"/>
      <w:szCs w:val="36"/>
    </w:rPr>
  </w:style>
  <w:style w:type="character" w:customStyle="1" w:styleId="60">
    <w:name w:val="標題 6 字元"/>
    <w:basedOn w:val="a1"/>
    <w:link w:val="6"/>
    <w:rsid w:val="00E66798"/>
    <w:rPr>
      <w:rFonts w:ascii="標楷體" w:eastAsia="標楷體" w:hAnsi="Arial" w:cs="Times New Roman"/>
      <w:kern w:val="32"/>
      <w:sz w:val="32"/>
      <w:szCs w:val="36"/>
    </w:rPr>
  </w:style>
  <w:style w:type="character" w:customStyle="1" w:styleId="70">
    <w:name w:val="標題 7 字元"/>
    <w:basedOn w:val="a1"/>
    <w:link w:val="7"/>
    <w:rsid w:val="00E66798"/>
    <w:rPr>
      <w:rFonts w:ascii="標楷體" w:eastAsia="標楷體" w:hAnsi="Arial" w:cs="Times New Roman"/>
      <w:bCs/>
      <w:kern w:val="32"/>
      <w:sz w:val="32"/>
      <w:szCs w:val="36"/>
    </w:rPr>
  </w:style>
  <w:style w:type="character" w:customStyle="1" w:styleId="80">
    <w:name w:val="標題 8 字元"/>
    <w:basedOn w:val="a1"/>
    <w:link w:val="8"/>
    <w:rsid w:val="00E66798"/>
    <w:rPr>
      <w:rFonts w:ascii="標楷體" w:eastAsia="標楷體" w:hAnsi="Arial" w:cs="Times New Roman"/>
      <w:kern w:val="32"/>
      <w:sz w:val="32"/>
      <w:szCs w:val="36"/>
    </w:rPr>
  </w:style>
  <w:style w:type="character" w:customStyle="1" w:styleId="90">
    <w:name w:val="標題 9 字元"/>
    <w:basedOn w:val="a1"/>
    <w:link w:val="9"/>
    <w:uiPriority w:val="9"/>
    <w:rsid w:val="00E66798"/>
    <w:rPr>
      <w:rFonts w:ascii="標楷體" w:eastAsia="標楷體" w:hAnsiTheme="majorHAnsi" w:cstheme="majorBidi"/>
      <w:kern w:val="32"/>
      <w:sz w:val="32"/>
      <w:szCs w:val="36"/>
    </w:rPr>
  </w:style>
  <w:style w:type="paragraph" w:styleId="a4">
    <w:name w:val="Signature"/>
    <w:basedOn w:val="a0"/>
    <w:link w:val="a5"/>
    <w:semiHidden/>
    <w:rsid w:val="00E66798"/>
    <w:pPr>
      <w:spacing w:before="720" w:after="720"/>
      <w:ind w:left="7371"/>
    </w:pPr>
    <w:rPr>
      <w:b/>
      <w:snapToGrid w:val="0"/>
      <w:spacing w:val="10"/>
      <w:sz w:val="36"/>
    </w:rPr>
  </w:style>
  <w:style w:type="character" w:customStyle="1" w:styleId="a5">
    <w:name w:val="簽名 字元"/>
    <w:basedOn w:val="a1"/>
    <w:link w:val="a4"/>
    <w:semiHidden/>
    <w:rsid w:val="00E66798"/>
    <w:rPr>
      <w:rFonts w:ascii="標楷體" w:eastAsia="標楷體" w:hAnsi="Times New Roman" w:cs="Times New Roman"/>
      <w:b/>
      <w:snapToGrid w:val="0"/>
      <w:spacing w:val="10"/>
      <w:sz w:val="36"/>
      <w:szCs w:val="20"/>
    </w:rPr>
  </w:style>
  <w:style w:type="character" w:styleId="a6">
    <w:name w:val="page number"/>
    <w:basedOn w:val="a1"/>
    <w:semiHidden/>
    <w:rsid w:val="00E66798"/>
    <w:rPr>
      <w:rFonts w:ascii="標楷體" w:eastAsia="標楷體"/>
      <w:sz w:val="20"/>
    </w:rPr>
  </w:style>
  <w:style w:type="paragraph" w:customStyle="1" w:styleId="11">
    <w:name w:val="段落樣式1"/>
    <w:basedOn w:val="a0"/>
    <w:qFormat/>
    <w:rsid w:val="00E66798"/>
    <w:pPr>
      <w:tabs>
        <w:tab w:val="left" w:pos="567"/>
      </w:tabs>
      <w:ind w:leftChars="200" w:left="200" w:firstLineChars="200" w:firstLine="200"/>
    </w:pPr>
    <w:rPr>
      <w:kern w:val="32"/>
    </w:rPr>
  </w:style>
  <w:style w:type="paragraph" w:customStyle="1" w:styleId="a7">
    <w:name w:val="簽名日期"/>
    <w:basedOn w:val="a0"/>
    <w:rsid w:val="00E66798"/>
    <w:pPr>
      <w:kinsoku w:val="0"/>
      <w:jc w:val="distribute"/>
    </w:pPr>
    <w:rPr>
      <w:kern w:val="0"/>
    </w:rPr>
  </w:style>
  <w:style w:type="paragraph" w:customStyle="1" w:styleId="a8">
    <w:name w:val="附件"/>
    <w:basedOn w:val="a9"/>
    <w:rsid w:val="00E66798"/>
    <w:pPr>
      <w:kinsoku w:val="0"/>
      <w:autoSpaceDE/>
      <w:snapToGrid/>
      <w:ind w:left="1047" w:hangingChars="300" w:hanging="1047"/>
      <w:jc w:val="both"/>
    </w:pPr>
    <w:rPr>
      <w:kern w:val="0"/>
    </w:rPr>
  </w:style>
  <w:style w:type="paragraph" w:customStyle="1" w:styleId="aa">
    <w:name w:val="調查報告"/>
    <w:basedOn w:val="a9"/>
    <w:rsid w:val="00E66798"/>
    <w:pPr>
      <w:kinsoku w:val="0"/>
      <w:autoSpaceDE/>
      <w:adjustRightInd w:val="0"/>
      <w:snapToGrid/>
      <w:jc w:val="center"/>
    </w:pPr>
    <w:rPr>
      <w:b/>
      <w:spacing w:val="200"/>
      <w:kern w:val="0"/>
      <w:sz w:val="40"/>
    </w:rPr>
  </w:style>
  <w:style w:type="paragraph" w:styleId="ab">
    <w:name w:val="footer"/>
    <w:basedOn w:val="a0"/>
    <w:link w:val="ac"/>
    <w:uiPriority w:val="99"/>
    <w:rsid w:val="00E66798"/>
    <w:pPr>
      <w:tabs>
        <w:tab w:val="center" w:pos="4153"/>
        <w:tab w:val="right" w:pos="8306"/>
      </w:tabs>
      <w:snapToGrid w:val="0"/>
    </w:pPr>
    <w:rPr>
      <w:sz w:val="20"/>
    </w:rPr>
  </w:style>
  <w:style w:type="character" w:customStyle="1" w:styleId="ac">
    <w:name w:val="頁尾 字元"/>
    <w:basedOn w:val="a1"/>
    <w:link w:val="ab"/>
    <w:uiPriority w:val="99"/>
    <w:rsid w:val="00E66798"/>
    <w:rPr>
      <w:rFonts w:ascii="標楷體" w:eastAsia="標楷體" w:hAnsi="Times New Roman" w:cs="Times New Roman"/>
      <w:sz w:val="20"/>
      <w:szCs w:val="20"/>
    </w:rPr>
  </w:style>
  <w:style w:type="paragraph" w:customStyle="1" w:styleId="a">
    <w:name w:val="表標題"/>
    <w:qFormat/>
    <w:rsid w:val="00E66798"/>
    <w:pPr>
      <w:keepNext/>
      <w:widowControl w:val="0"/>
      <w:numPr>
        <w:numId w:val="1"/>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cs="Times New Roman"/>
      <w:bCs/>
      <w:spacing w:val="-10"/>
      <w:kern w:val="28"/>
      <w:sz w:val="28"/>
      <w:szCs w:val="28"/>
    </w:rPr>
  </w:style>
  <w:style w:type="paragraph" w:styleId="ad">
    <w:name w:val="footnote text"/>
    <w:basedOn w:val="a0"/>
    <w:link w:val="ae"/>
    <w:uiPriority w:val="99"/>
    <w:unhideWhenUsed/>
    <w:rsid w:val="00E66798"/>
    <w:pPr>
      <w:snapToGrid w:val="0"/>
      <w:jc w:val="left"/>
    </w:pPr>
    <w:rPr>
      <w:sz w:val="20"/>
    </w:rPr>
  </w:style>
  <w:style w:type="character" w:customStyle="1" w:styleId="ae">
    <w:name w:val="註腳文字 字元"/>
    <w:basedOn w:val="a1"/>
    <w:link w:val="ad"/>
    <w:uiPriority w:val="99"/>
    <w:rsid w:val="00E66798"/>
    <w:rPr>
      <w:rFonts w:ascii="標楷體" w:eastAsia="標楷體" w:hAnsi="Times New Roman" w:cs="Times New Roman"/>
      <w:sz w:val="20"/>
      <w:szCs w:val="20"/>
    </w:rPr>
  </w:style>
  <w:style w:type="character" w:styleId="af">
    <w:name w:val="footnote reference"/>
    <w:basedOn w:val="a1"/>
    <w:uiPriority w:val="99"/>
    <w:semiHidden/>
    <w:unhideWhenUsed/>
    <w:rsid w:val="00E66798"/>
    <w:rPr>
      <w:vertAlign w:val="superscript"/>
    </w:rPr>
  </w:style>
  <w:style w:type="paragraph" w:styleId="a9">
    <w:name w:val="endnote text"/>
    <w:basedOn w:val="a0"/>
    <w:link w:val="af0"/>
    <w:uiPriority w:val="99"/>
    <w:semiHidden/>
    <w:unhideWhenUsed/>
    <w:rsid w:val="00E66798"/>
    <w:pPr>
      <w:snapToGrid w:val="0"/>
      <w:jc w:val="left"/>
    </w:pPr>
  </w:style>
  <w:style w:type="character" w:customStyle="1" w:styleId="af0">
    <w:name w:val="章節附註文字 字元"/>
    <w:basedOn w:val="a1"/>
    <w:link w:val="a9"/>
    <w:uiPriority w:val="99"/>
    <w:semiHidden/>
    <w:rsid w:val="00E66798"/>
    <w:rPr>
      <w:rFonts w:ascii="標楷體" w:eastAsia="標楷體"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1262</Words>
  <Characters>7199</Characters>
  <Application>Microsoft Office Word</Application>
  <DocSecurity>0</DocSecurity>
  <Lines>59</Lines>
  <Paragraphs>16</Paragraphs>
  <ScaleCrop>false</ScaleCrop>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陸美君</dc:creator>
  <cp:keywords/>
  <dc:description/>
  <cp:lastModifiedBy>陸美君</cp:lastModifiedBy>
  <cp:revision>1</cp:revision>
  <dcterms:created xsi:type="dcterms:W3CDTF">2024-03-17T07:34:00Z</dcterms:created>
  <dcterms:modified xsi:type="dcterms:W3CDTF">2024-03-17T07:44:00Z</dcterms:modified>
</cp:coreProperties>
</file>