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325" w:rsidRDefault="001A1B04">
      <w:pPr>
        <w:pStyle w:val="af2"/>
        <w:rPr>
          <w:color w:val="000000" w:themeColor="text1"/>
        </w:rPr>
      </w:pPr>
      <w:r>
        <w:rPr>
          <w:rFonts w:hint="eastAsia"/>
          <w:color w:val="000000" w:themeColor="text1"/>
        </w:rPr>
        <w:t xml:space="preserve"> </w:t>
      </w:r>
      <w:r w:rsidR="00902C11">
        <w:rPr>
          <w:rFonts w:hint="eastAsia"/>
          <w:color w:val="000000" w:themeColor="text1"/>
        </w:rPr>
        <w:t>調查報告</w:t>
      </w:r>
      <w:r w:rsidRPr="0083697A">
        <w:rPr>
          <w:rFonts w:hAnsi="標楷體" w:hint="eastAsia"/>
          <w:b w:val="0"/>
          <w:color w:val="000000" w:themeColor="text1"/>
          <w:spacing w:val="0"/>
          <w:sz w:val="24"/>
          <w:szCs w:val="24"/>
        </w:rPr>
        <w:t>（公布版）</w:t>
      </w:r>
    </w:p>
    <w:p w:rsidR="00A91325" w:rsidRDefault="00902C1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hint="eastAsia"/>
          <w:color w:val="000000" w:themeColor="text1"/>
        </w:rPr>
        <w:t>前海軍上校</w:t>
      </w:r>
      <w:proofErr w:type="gramStart"/>
      <w:r>
        <w:rPr>
          <w:rFonts w:hint="eastAsia"/>
          <w:color w:val="000000" w:themeColor="text1"/>
        </w:rPr>
        <w:t>郭</w:t>
      </w:r>
      <w:proofErr w:type="gramEnd"/>
      <w:r>
        <w:rPr>
          <w:rFonts w:hint="eastAsia"/>
          <w:color w:val="000000" w:themeColor="text1"/>
        </w:rPr>
        <w:t>○○涉嫌在擔任海軍通信系統指揮部指揮官時，和所屬官兵外出用餐吃牛排後，拿發票去</w:t>
      </w:r>
      <w:proofErr w:type="gramStart"/>
      <w:r>
        <w:rPr>
          <w:rFonts w:hint="eastAsia"/>
          <w:color w:val="000000" w:themeColor="text1"/>
        </w:rPr>
        <w:t>報</w:t>
      </w:r>
      <w:proofErr w:type="gramEnd"/>
      <w:r>
        <w:rPr>
          <w:rFonts w:hint="eastAsia"/>
          <w:color w:val="000000" w:themeColor="text1"/>
        </w:rPr>
        <w:t>帳請款主官行政事務費，名義是要慰勞同仁，實際上放進自己口袋；又利用單位訂購外食之機會，將所取得之空白單據不實填寫並請領一般事務費，經</w:t>
      </w:r>
      <w:proofErr w:type="gramStart"/>
      <w:r>
        <w:rPr>
          <w:rFonts w:hint="eastAsia"/>
          <w:color w:val="000000" w:themeColor="text1"/>
        </w:rPr>
        <w:t>臺</w:t>
      </w:r>
      <w:proofErr w:type="gramEnd"/>
      <w:r>
        <w:rPr>
          <w:rFonts w:hint="eastAsia"/>
          <w:color w:val="000000" w:themeColor="text1"/>
        </w:rPr>
        <w:t>北地檢署依貪污治罪條例起訴，經臺北地院判處有期徒刑2年。因</w:t>
      </w:r>
      <w:proofErr w:type="gramStart"/>
      <w:r>
        <w:rPr>
          <w:rFonts w:hint="eastAsia"/>
          <w:color w:val="000000" w:themeColor="text1"/>
        </w:rPr>
        <w:t>事涉簡任</w:t>
      </w:r>
      <w:proofErr w:type="gramEnd"/>
      <w:r>
        <w:rPr>
          <w:rFonts w:hint="eastAsia"/>
          <w:color w:val="000000" w:themeColor="text1"/>
        </w:rPr>
        <w:t>公務員違法，有申請立案調查之必要案。</w:t>
      </w:r>
    </w:p>
    <w:p w:rsidR="00A91325" w:rsidRDefault="00902C11">
      <w:pPr>
        <w:pStyle w:val="1"/>
        <w:ind w:left="2380" w:hanging="2380"/>
        <w:jc w:val="left"/>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Pr>
          <w:rFonts w:hint="eastAsia"/>
          <w:color w:val="000000" w:themeColor="text1"/>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hint="eastAsia"/>
          <w:color w:val="000000" w:themeColor="text1"/>
        </w:rPr>
        <w:t>：</w:t>
      </w:r>
    </w:p>
    <w:p w:rsidR="00A91325" w:rsidRDefault="00902C11">
      <w:pPr>
        <w:pStyle w:val="10"/>
        <w:ind w:left="680" w:firstLine="680"/>
        <w:rPr>
          <w:b/>
          <w:color w:val="000000" w:themeColor="text1"/>
        </w:rPr>
      </w:pPr>
      <w:bookmarkStart w:id="59" w:name="_Hlk139614443"/>
      <w:bookmarkStart w:id="60" w:name="_Toc524902730"/>
      <w:r>
        <w:rPr>
          <w:rFonts w:hint="eastAsia"/>
          <w:color w:val="000000" w:themeColor="text1"/>
        </w:rPr>
        <w:t>前海軍上校</w:t>
      </w:r>
      <w:proofErr w:type="gramStart"/>
      <w:r>
        <w:rPr>
          <w:rFonts w:hint="eastAsia"/>
          <w:color w:val="000000" w:themeColor="text1"/>
        </w:rPr>
        <w:t>諮</w:t>
      </w:r>
      <w:proofErr w:type="gramEnd"/>
      <w:r>
        <w:rPr>
          <w:rFonts w:hint="eastAsia"/>
          <w:color w:val="000000" w:themeColor="text1"/>
        </w:rPr>
        <w:t>議官郭○○涉嫌在擔任通信系統指揮部（下稱通指部）指揮官</w:t>
      </w:r>
      <w:proofErr w:type="gramStart"/>
      <w:r>
        <w:rPr>
          <w:rFonts w:hint="eastAsia"/>
          <w:color w:val="000000" w:themeColor="text1"/>
        </w:rPr>
        <w:t>期間，渠</w:t>
      </w:r>
      <w:proofErr w:type="gramEnd"/>
      <w:r>
        <w:rPr>
          <w:rFonts w:hint="eastAsia"/>
          <w:color w:val="000000" w:themeColor="text1"/>
        </w:rPr>
        <w:t>先告知聚餐同仁自行負擔費用，嗣後將用餐取得之收據辦理結報，並不當領取結報金額；</w:t>
      </w:r>
      <w:proofErr w:type="gramStart"/>
      <w:r>
        <w:rPr>
          <w:rFonts w:hint="eastAsia"/>
          <w:color w:val="000000" w:themeColor="text1"/>
        </w:rPr>
        <w:t>及趁單位</w:t>
      </w:r>
      <w:proofErr w:type="gramEnd"/>
      <w:r>
        <w:rPr>
          <w:rFonts w:hint="eastAsia"/>
          <w:color w:val="000000" w:themeColor="text1"/>
        </w:rPr>
        <w:t>同仁訂餐外食之機會，將訂購所取得之空白單據，偽造成不實收據，不當獲取利</w:t>
      </w:r>
      <w:bookmarkEnd w:id="59"/>
      <w:r>
        <w:rPr>
          <w:rFonts w:hint="eastAsia"/>
          <w:color w:val="000000" w:themeColor="text1"/>
        </w:rPr>
        <w:t>益。</w:t>
      </w:r>
      <w:proofErr w:type="gramStart"/>
      <w:r>
        <w:rPr>
          <w:rFonts w:hint="eastAsia"/>
          <w:color w:val="000000" w:themeColor="text1"/>
        </w:rPr>
        <w:t>郭</w:t>
      </w:r>
      <w:proofErr w:type="gramEnd"/>
      <w:r>
        <w:rPr>
          <w:rFonts w:hint="eastAsia"/>
          <w:color w:val="000000" w:themeColor="text1"/>
        </w:rPr>
        <w:t>○○對於其犯行坦承不諱，業經臺灣臺北地方法院（下稱臺北地院）、臺灣高等法院判決定讞。案經本院調閱</w:t>
      </w:r>
      <w:proofErr w:type="gramStart"/>
      <w:r>
        <w:rPr>
          <w:rFonts w:hint="eastAsia"/>
          <w:color w:val="000000" w:themeColor="text1"/>
        </w:rPr>
        <w:t>臺</w:t>
      </w:r>
      <w:proofErr w:type="gramEnd"/>
      <w:r>
        <w:rPr>
          <w:rFonts w:hint="eastAsia"/>
          <w:color w:val="000000" w:themeColor="text1"/>
        </w:rPr>
        <w:t>北地院、臺灣高等法院及國防部等機關卷證資料，</w:t>
      </w:r>
      <w:bookmarkStart w:id="61" w:name="_Hlk139896544"/>
      <w:r>
        <w:rPr>
          <w:rFonts w:hint="eastAsia"/>
          <w:color w:val="000000" w:themeColor="text1"/>
        </w:rPr>
        <w:t>於民國（下同）11</w:t>
      </w:r>
      <w:r>
        <w:rPr>
          <w:color w:val="000000" w:themeColor="text1"/>
        </w:rPr>
        <w:t>2</w:t>
      </w:r>
      <w:r>
        <w:rPr>
          <w:rFonts w:hint="eastAsia"/>
          <w:color w:val="000000" w:themeColor="text1"/>
        </w:rPr>
        <w:t>年4月7日郭○○以書面說明</w:t>
      </w:r>
      <w:bookmarkEnd w:id="61"/>
      <w:r>
        <w:rPr>
          <w:rFonts w:hint="eastAsia"/>
          <w:color w:val="000000" w:themeColor="text1"/>
        </w:rPr>
        <w:t>，另於11</w:t>
      </w:r>
      <w:r>
        <w:rPr>
          <w:color w:val="000000" w:themeColor="text1"/>
        </w:rPr>
        <w:t>2</w:t>
      </w:r>
      <w:r>
        <w:rPr>
          <w:rFonts w:hint="eastAsia"/>
          <w:color w:val="000000" w:themeColor="text1"/>
        </w:rPr>
        <w:t>年</w:t>
      </w:r>
      <w:r>
        <w:rPr>
          <w:color w:val="000000" w:themeColor="text1"/>
        </w:rPr>
        <w:t>4</w:t>
      </w:r>
      <w:r>
        <w:rPr>
          <w:rFonts w:hint="eastAsia"/>
          <w:color w:val="000000" w:themeColor="text1"/>
        </w:rPr>
        <w:t>月1</w:t>
      </w:r>
      <w:r>
        <w:rPr>
          <w:color w:val="000000" w:themeColor="text1"/>
        </w:rPr>
        <w:t>3</w:t>
      </w:r>
      <w:r>
        <w:rPr>
          <w:rFonts w:hint="eastAsia"/>
          <w:color w:val="000000" w:themeColor="text1"/>
        </w:rPr>
        <w:t>日詢問國防部相關人員，已</w:t>
      </w:r>
      <w:proofErr w:type="gramStart"/>
      <w:r>
        <w:rPr>
          <w:rFonts w:hint="eastAsia"/>
          <w:color w:val="000000" w:themeColor="text1"/>
        </w:rPr>
        <w:t>調查竣</w:t>
      </w:r>
      <w:proofErr w:type="gramEnd"/>
      <w:r>
        <w:rPr>
          <w:rFonts w:hint="eastAsia"/>
          <w:color w:val="000000" w:themeColor="text1"/>
        </w:rPr>
        <w:t>事，茲臚列調查意見如下：</w:t>
      </w:r>
    </w:p>
    <w:p w:rsidR="00A91325" w:rsidRDefault="00902C11">
      <w:pPr>
        <w:pStyle w:val="2"/>
        <w:numPr>
          <w:ilvl w:val="1"/>
          <w:numId w:val="40"/>
        </w:numPr>
        <w:rPr>
          <w:b/>
          <w:color w:val="000000" w:themeColor="text1"/>
        </w:rPr>
      </w:pPr>
      <w:bookmarkStart w:id="62" w:name="_Hlk146524825"/>
      <w:bookmarkStart w:id="63" w:name="_Hlk144280577"/>
      <w:proofErr w:type="gramStart"/>
      <w:r>
        <w:rPr>
          <w:rFonts w:hint="eastAsia"/>
          <w:b/>
          <w:color w:val="000000" w:themeColor="text1"/>
        </w:rPr>
        <w:t>郭</w:t>
      </w:r>
      <w:proofErr w:type="gramEnd"/>
      <w:r>
        <w:rPr>
          <w:rFonts w:hint="eastAsia"/>
          <w:b/>
          <w:color w:val="000000" w:themeColor="text1"/>
        </w:rPr>
        <w:t>○○係前國防部海軍司令部人事軍務處海軍上校</w:t>
      </w:r>
      <w:proofErr w:type="gramStart"/>
      <w:r>
        <w:rPr>
          <w:rFonts w:hint="eastAsia"/>
          <w:b/>
          <w:color w:val="000000" w:themeColor="text1"/>
        </w:rPr>
        <w:t>諮議</w:t>
      </w:r>
      <w:proofErr w:type="gramEnd"/>
      <w:r>
        <w:rPr>
          <w:rFonts w:hint="eastAsia"/>
          <w:b/>
          <w:color w:val="000000" w:themeColor="text1"/>
        </w:rPr>
        <w:t>官，擔任</w:t>
      </w:r>
      <w:proofErr w:type="gramStart"/>
      <w:r>
        <w:rPr>
          <w:rFonts w:hint="eastAsia"/>
          <w:b/>
          <w:color w:val="000000" w:themeColor="text1"/>
        </w:rPr>
        <w:t>通指部指揮官期間</w:t>
      </w:r>
      <w:proofErr w:type="gramEnd"/>
      <w:r>
        <w:rPr>
          <w:rFonts w:hint="eastAsia"/>
          <w:b/>
          <w:color w:val="000000" w:themeColor="text1"/>
        </w:rPr>
        <w:t>，</w:t>
      </w:r>
      <w:bookmarkStart w:id="64" w:name="_Hlk139618401"/>
      <w:r>
        <w:rPr>
          <w:rFonts w:hint="eastAsia"/>
          <w:b/>
          <w:color w:val="000000" w:themeColor="text1"/>
        </w:rPr>
        <w:t>於108年5月7日與同仁在牛排館聚餐，</w:t>
      </w:r>
      <w:bookmarkStart w:id="65" w:name="_Hlk144281236"/>
      <w:proofErr w:type="gramStart"/>
      <w:r>
        <w:rPr>
          <w:rFonts w:hint="eastAsia"/>
          <w:b/>
          <w:color w:val="000000" w:themeColor="text1"/>
        </w:rPr>
        <w:t>渠先告</w:t>
      </w:r>
      <w:proofErr w:type="gramEnd"/>
      <w:r>
        <w:rPr>
          <w:rFonts w:hint="eastAsia"/>
          <w:b/>
          <w:color w:val="000000" w:themeColor="text1"/>
        </w:rPr>
        <w:t>知</w:t>
      </w:r>
      <w:bookmarkStart w:id="66" w:name="_Hlk144280672"/>
      <w:r>
        <w:rPr>
          <w:rFonts w:hint="eastAsia"/>
          <w:b/>
          <w:color w:val="000000" w:themeColor="text1"/>
        </w:rPr>
        <w:t>聚餐同仁自</w:t>
      </w:r>
      <w:bookmarkEnd w:id="66"/>
      <w:r>
        <w:rPr>
          <w:rFonts w:hint="eastAsia"/>
          <w:b/>
          <w:color w:val="000000" w:themeColor="text1"/>
        </w:rPr>
        <w:t>行負擔費用，嗣後將用餐收據辦理主官行政</w:t>
      </w:r>
      <w:proofErr w:type="gramStart"/>
      <w:r>
        <w:rPr>
          <w:rFonts w:hint="eastAsia"/>
          <w:b/>
          <w:color w:val="000000" w:themeColor="text1"/>
        </w:rPr>
        <w:t>事務費結</w:t>
      </w:r>
      <w:proofErr w:type="gramEnd"/>
      <w:r>
        <w:rPr>
          <w:rFonts w:hint="eastAsia"/>
          <w:b/>
          <w:color w:val="000000" w:themeColor="text1"/>
        </w:rPr>
        <w:t>報，</w:t>
      </w:r>
      <w:bookmarkEnd w:id="65"/>
      <w:r>
        <w:rPr>
          <w:rFonts w:hint="eastAsia"/>
          <w:b/>
          <w:color w:val="000000" w:themeColor="text1"/>
        </w:rPr>
        <w:t>不當領取結報金額新臺幣（下同）4</w:t>
      </w:r>
      <w:r>
        <w:rPr>
          <w:b/>
          <w:color w:val="000000" w:themeColor="text1"/>
        </w:rPr>
        <w:t>,797</w:t>
      </w:r>
      <w:r>
        <w:rPr>
          <w:rFonts w:hint="eastAsia"/>
          <w:b/>
          <w:color w:val="000000" w:themeColor="text1"/>
        </w:rPr>
        <w:t>元；另</w:t>
      </w:r>
      <w:bookmarkStart w:id="67" w:name="_Hlk145684921"/>
      <w:r>
        <w:rPr>
          <w:rFonts w:hint="eastAsia"/>
          <w:b/>
          <w:color w:val="000000" w:themeColor="text1"/>
        </w:rPr>
        <w:t>利用1</w:t>
      </w:r>
      <w:r>
        <w:rPr>
          <w:b/>
          <w:color w:val="000000" w:themeColor="text1"/>
        </w:rPr>
        <w:t>08</w:t>
      </w:r>
      <w:r>
        <w:rPr>
          <w:rFonts w:hint="eastAsia"/>
          <w:b/>
          <w:color w:val="000000" w:themeColor="text1"/>
        </w:rPr>
        <w:t>年9月5日單位同仁訂購晚餐外食之時機，將所取得之麵食館空白收據，不實填寫為同年8月2</w:t>
      </w:r>
      <w:r>
        <w:rPr>
          <w:b/>
          <w:color w:val="000000" w:themeColor="text1"/>
        </w:rPr>
        <w:t>6</w:t>
      </w:r>
      <w:r>
        <w:rPr>
          <w:rFonts w:hint="eastAsia"/>
          <w:b/>
          <w:color w:val="000000" w:themeColor="text1"/>
        </w:rPr>
        <w:t>日</w:t>
      </w:r>
      <w:proofErr w:type="gramStart"/>
      <w:r>
        <w:rPr>
          <w:rFonts w:hint="eastAsia"/>
          <w:b/>
          <w:color w:val="000000" w:themeColor="text1"/>
        </w:rPr>
        <w:t>通指部向</w:t>
      </w:r>
      <w:proofErr w:type="gramEnd"/>
      <w:r>
        <w:rPr>
          <w:rFonts w:hint="eastAsia"/>
          <w:b/>
          <w:color w:val="000000" w:themeColor="text1"/>
        </w:rPr>
        <w:t>該店址</w:t>
      </w:r>
      <w:r>
        <w:rPr>
          <w:rFonts w:hint="eastAsia"/>
          <w:b/>
          <w:color w:val="000000" w:themeColor="text1"/>
        </w:rPr>
        <w:lastRenderedPageBreak/>
        <w:t>購買餐食之收據，據以辦理一般事務費核銷，不當獲利1</w:t>
      </w:r>
      <w:r>
        <w:rPr>
          <w:b/>
          <w:color w:val="000000" w:themeColor="text1"/>
        </w:rPr>
        <w:t>,320</w:t>
      </w:r>
      <w:r>
        <w:rPr>
          <w:rFonts w:hint="eastAsia"/>
          <w:b/>
          <w:color w:val="000000" w:themeColor="text1"/>
        </w:rPr>
        <w:t>元</w:t>
      </w:r>
      <w:bookmarkEnd w:id="62"/>
      <w:r>
        <w:rPr>
          <w:rFonts w:hint="eastAsia"/>
          <w:b/>
          <w:color w:val="000000" w:themeColor="text1"/>
        </w:rPr>
        <w:t>，</w:t>
      </w:r>
      <w:bookmarkEnd w:id="64"/>
      <w:bookmarkEnd w:id="67"/>
      <w:r>
        <w:rPr>
          <w:rFonts w:hint="eastAsia"/>
          <w:b/>
          <w:color w:val="000000" w:themeColor="text1"/>
        </w:rPr>
        <w:t>除經判決犯貪污治罪條例第5條第1項第2款利用職務上機會詐取財物罪確定外，亦違反公務員服務法第1條、第6條、第7條、第8條及第20條規定，違失情節明確</w:t>
      </w:r>
      <w:bookmarkEnd w:id="63"/>
      <w:r>
        <w:rPr>
          <w:rFonts w:hint="eastAsia"/>
          <w:b/>
          <w:color w:val="000000" w:themeColor="text1"/>
        </w:rPr>
        <w:t>，國防部業於1</w:t>
      </w:r>
      <w:r>
        <w:rPr>
          <w:b/>
          <w:color w:val="000000" w:themeColor="text1"/>
        </w:rPr>
        <w:t>08</w:t>
      </w:r>
      <w:r>
        <w:rPr>
          <w:rFonts w:hint="eastAsia"/>
          <w:b/>
          <w:color w:val="000000" w:themeColor="text1"/>
        </w:rPr>
        <w:t>年1</w:t>
      </w:r>
      <w:r>
        <w:rPr>
          <w:b/>
          <w:color w:val="000000" w:themeColor="text1"/>
        </w:rPr>
        <w:t>0</w:t>
      </w:r>
      <w:r>
        <w:rPr>
          <w:rFonts w:hint="eastAsia"/>
          <w:b/>
          <w:color w:val="000000" w:themeColor="text1"/>
        </w:rPr>
        <w:t>月9日發布對郭○○</w:t>
      </w:r>
      <w:proofErr w:type="gramStart"/>
      <w:r>
        <w:rPr>
          <w:rFonts w:hint="eastAsia"/>
          <w:b/>
          <w:color w:val="000000" w:themeColor="text1"/>
        </w:rPr>
        <w:t>不實結</w:t>
      </w:r>
      <w:proofErr w:type="gramEnd"/>
      <w:r>
        <w:rPr>
          <w:rFonts w:hint="eastAsia"/>
          <w:b/>
          <w:color w:val="000000" w:themeColor="text1"/>
        </w:rPr>
        <w:t>報等3</w:t>
      </w:r>
      <w:proofErr w:type="gramStart"/>
      <w:r>
        <w:rPr>
          <w:rFonts w:hint="eastAsia"/>
          <w:b/>
          <w:color w:val="000000" w:themeColor="text1"/>
        </w:rPr>
        <w:t>行為核</w:t>
      </w:r>
      <w:proofErr w:type="gramEnd"/>
      <w:r>
        <w:rPr>
          <w:rFonts w:hint="eastAsia"/>
          <w:b/>
          <w:color w:val="000000" w:themeColor="text1"/>
        </w:rPr>
        <w:t>以「大過1次」、「大過1次」及「記過2次」懲罰，惟為</w:t>
      </w:r>
      <w:proofErr w:type="gramStart"/>
      <w:r>
        <w:rPr>
          <w:rFonts w:hint="eastAsia"/>
          <w:b/>
          <w:color w:val="000000" w:themeColor="text1"/>
        </w:rPr>
        <w:t>避免類案發</w:t>
      </w:r>
      <w:proofErr w:type="gramEnd"/>
      <w:r>
        <w:rPr>
          <w:rFonts w:hint="eastAsia"/>
          <w:b/>
          <w:color w:val="000000" w:themeColor="text1"/>
        </w:rPr>
        <w:t>生，國防部仍應加強端正所屬各級單位財務紀律、落實法令遵循及強化財務責任，以降低人為不當支用經費情事肇生。</w:t>
      </w:r>
    </w:p>
    <w:p w:rsidR="00A91325" w:rsidRDefault="00902C11">
      <w:pPr>
        <w:pStyle w:val="3"/>
        <w:rPr>
          <w:color w:val="000000" w:themeColor="text1"/>
        </w:rPr>
      </w:pPr>
      <w:r>
        <w:rPr>
          <w:rFonts w:hint="eastAsia"/>
          <w:color w:val="000000" w:themeColor="text1"/>
        </w:rPr>
        <w:t>公務員服務法第1條、第6條、第7條、第8條及第20條分別規定：「公務員應恪守誓言，忠心努力，依法律、命令所定執行其職務」、「公務員應公正無私、誠信清廉、謹慎勤勉，不得有損害公務員名譽及政府信譽之行為」、「公務員不得假借權力，以圖本身或他人之利益，並不得利用職務上之機會加損害於人」、「公務員執行職務，應力求切實…</w:t>
      </w:r>
      <w:proofErr w:type="gramStart"/>
      <w:r>
        <w:rPr>
          <w:rFonts w:hint="eastAsia"/>
          <w:color w:val="000000" w:themeColor="text1"/>
        </w:rPr>
        <w:t>…</w:t>
      </w:r>
      <w:proofErr w:type="gramEnd"/>
      <w:r>
        <w:rPr>
          <w:rFonts w:hint="eastAsia"/>
          <w:color w:val="000000" w:themeColor="text1"/>
        </w:rPr>
        <w:t>」及「公務員非因職務之需要，不得動用行政資源」。又</w:t>
      </w:r>
      <w:r>
        <w:rPr>
          <w:rFonts w:hAnsi="標楷體" w:hint="eastAsia"/>
          <w:color w:val="000000" w:themeColor="text1"/>
        </w:rPr>
        <w:t>同法第</w:t>
      </w:r>
      <w:r>
        <w:rPr>
          <w:rFonts w:hAnsi="標楷體"/>
          <w:color w:val="000000" w:themeColor="text1"/>
        </w:rPr>
        <w:t>2條第1項明定，該法適用於受有俸給之文武職公務員及公營事業機構純勞工以外之人員。</w:t>
      </w:r>
      <w:proofErr w:type="gramStart"/>
      <w:r>
        <w:rPr>
          <w:rFonts w:hAnsi="標楷體" w:hint="eastAsia"/>
          <w:color w:val="000000" w:themeColor="text1"/>
        </w:rPr>
        <w:t>郭</w:t>
      </w:r>
      <w:proofErr w:type="gramEnd"/>
      <w:r>
        <w:rPr>
          <w:rFonts w:hAnsi="標楷體" w:hint="eastAsia"/>
          <w:color w:val="000000" w:themeColor="text1"/>
        </w:rPr>
        <w:t>○○</w:t>
      </w:r>
      <w:bookmarkStart w:id="68" w:name="_Hlk144733928"/>
      <w:r>
        <w:rPr>
          <w:rFonts w:hAnsi="標楷體" w:hint="eastAsia"/>
          <w:color w:val="000000" w:themeColor="text1"/>
        </w:rPr>
        <w:t>自</w:t>
      </w:r>
      <w:r>
        <w:rPr>
          <w:rFonts w:hAnsi="標楷體"/>
          <w:color w:val="000000" w:themeColor="text1"/>
        </w:rPr>
        <w:t>106年7月16日起至108年9月18日</w:t>
      </w:r>
      <w:bookmarkEnd w:id="68"/>
      <w:r>
        <w:rPr>
          <w:rFonts w:hAnsi="標楷體" w:hint="eastAsia"/>
          <w:color w:val="000000" w:themeColor="text1"/>
        </w:rPr>
        <w:t>，</w:t>
      </w:r>
      <w:bookmarkStart w:id="69" w:name="_Hlk144733908"/>
      <w:r>
        <w:rPr>
          <w:rFonts w:hAnsi="標楷體" w:hint="eastAsia"/>
          <w:color w:val="000000" w:themeColor="text1"/>
        </w:rPr>
        <w:t>係依「陸海空軍軍官士官任官條例」、「陸海空軍軍官士官任職條例」、「陸海空軍軍官士官服役條例」等法令</w:t>
      </w:r>
      <w:bookmarkEnd w:id="69"/>
      <w:r>
        <w:rPr>
          <w:rFonts w:hint="eastAsia"/>
          <w:color w:val="000000" w:themeColor="text1"/>
        </w:rPr>
        <w:t>服務於國家所屬機關，而具有法定職務權限之公務員，</w:t>
      </w:r>
      <w:r>
        <w:rPr>
          <w:rFonts w:hAnsi="標楷體" w:hint="eastAsia"/>
          <w:color w:val="000000" w:themeColor="text1"/>
        </w:rPr>
        <w:t>適用本法相關規定，</w:t>
      </w:r>
      <w:proofErr w:type="gramStart"/>
      <w:r>
        <w:rPr>
          <w:rFonts w:hAnsi="標楷體" w:hint="eastAsia"/>
          <w:color w:val="000000" w:themeColor="text1"/>
        </w:rPr>
        <w:t>合先</w:t>
      </w:r>
      <w:proofErr w:type="gramEnd"/>
      <w:r>
        <w:rPr>
          <w:rFonts w:hAnsi="標楷體" w:hint="eastAsia"/>
          <w:color w:val="000000" w:themeColor="text1"/>
        </w:rPr>
        <w:t>敘明。</w:t>
      </w:r>
    </w:p>
    <w:p w:rsidR="00A91325" w:rsidRDefault="00902C11">
      <w:pPr>
        <w:pStyle w:val="3"/>
        <w:rPr>
          <w:color w:val="000000" w:themeColor="text1"/>
        </w:rPr>
      </w:pPr>
      <w:r>
        <w:rPr>
          <w:rFonts w:hint="eastAsia"/>
          <w:color w:val="000000" w:themeColor="text1"/>
        </w:rPr>
        <w:t>經查，</w:t>
      </w:r>
      <w:proofErr w:type="gramStart"/>
      <w:r>
        <w:rPr>
          <w:rFonts w:hint="eastAsia"/>
          <w:color w:val="000000" w:themeColor="text1"/>
        </w:rPr>
        <w:t>郭</w:t>
      </w:r>
      <w:proofErr w:type="gramEnd"/>
      <w:r>
        <w:rPr>
          <w:rFonts w:hint="eastAsia"/>
          <w:color w:val="000000" w:themeColor="text1"/>
        </w:rPr>
        <w:t>○○於任內曾先後兩度</w:t>
      </w:r>
      <w:proofErr w:type="gramStart"/>
      <w:r>
        <w:rPr>
          <w:rFonts w:hint="eastAsia"/>
          <w:color w:val="000000" w:themeColor="text1"/>
        </w:rPr>
        <w:t>涉不實</w:t>
      </w:r>
      <w:proofErr w:type="gramEnd"/>
      <w:r>
        <w:rPr>
          <w:rFonts w:hint="eastAsia"/>
          <w:color w:val="000000" w:themeColor="text1"/>
        </w:rPr>
        <w:t>請領「主官行政事務費」4,797元及「一般事務費」1,320元，經臺灣高等法院</w:t>
      </w:r>
      <w:proofErr w:type="gramStart"/>
      <w:r>
        <w:rPr>
          <w:color w:val="000000" w:themeColor="text1"/>
        </w:rPr>
        <w:t>11</w:t>
      </w:r>
      <w:proofErr w:type="gramEnd"/>
      <w:r>
        <w:rPr>
          <w:rFonts w:hint="eastAsia"/>
          <w:color w:val="000000" w:themeColor="text1"/>
        </w:rPr>
        <w:t>2年度軍上訴字第1號刑事判決犯公務員利用職務上機會詐取財物罪確定，犯罪事實分述如下：</w:t>
      </w:r>
    </w:p>
    <w:p w:rsidR="00A91325" w:rsidRDefault="00902C11">
      <w:pPr>
        <w:pStyle w:val="4"/>
        <w:rPr>
          <w:color w:val="000000" w:themeColor="text1"/>
        </w:rPr>
      </w:pPr>
      <w:proofErr w:type="gramStart"/>
      <w:r>
        <w:rPr>
          <w:rFonts w:hint="eastAsia"/>
          <w:color w:val="000000" w:themeColor="text1"/>
        </w:rPr>
        <w:t>郭</w:t>
      </w:r>
      <w:proofErr w:type="gramEnd"/>
      <w:r>
        <w:rPr>
          <w:rFonts w:hint="eastAsia"/>
          <w:color w:val="000000" w:themeColor="text1"/>
        </w:rPr>
        <w:t>○○明知於108年5月7日與同仁赴蘇澳通信隊</w:t>
      </w:r>
      <w:r>
        <w:rPr>
          <w:rFonts w:hint="eastAsia"/>
          <w:color w:val="000000" w:themeColor="text1"/>
        </w:rPr>
        <w:lastRenderedPageBreak/>
        <w:t>裝備檢查後，至</w:t>
      </w:r>
      <w:r w:rsidR="00CE6727">
        <w:rPr>
          <w:rFonts w:hint="eastAsia"/>
          <w:color w:val="000000" w:themeColor="text1"/>
        </w:rPr>
        <w:t>○○○牛排館</w:t>
      </w:r>
      <w:r>
        <w:rPr>
          <w:rFonts w:hint="eastAsia"/>
          <w:color w:val="000000" w:themeColor="text1"/>
        </w:rPr>
        <w:t>餐敘，明知餐費係由同仁各自負擔，並無欲以公款支出之實，竟指示同行之下屬劉○○向該店索取發票，交不知情之下屬梁○○製作「海軍通信系統指揮部工程、財務、勞務小額採購請購單」、「海軍通信系統指揮部工程、財務、勞務小額採購結報單」，以「慰勞本部人員辛勞」名義，檢附該發票後，以指揮官身分批示「可」核准此採購案，據以辦理主官行政事務費核銷，而行使</w:t>
      </w:r>
      <w:proofErr w:type="gramStart"/>
      <w:r>
        <w:rPr>
          <w:rFonts w:hint="eastAsia"/>
          <w:color w:val="000000" w:themeColor="text1"/>
        </w:rPr>
        <w:t>不實請領</w:t>
      </w:r>
      <w:proofErr w:type="gramEnd"/>
      <w:r>
        <w:rPr>
          <w:rFonts w:hint="eastAsia"/>
          <w:color w:val="000000" w:themeColor="text1"/>
        </w:rPr>
        <w:t>主官行政事務費4,797元。</w:t>
      </w:r>
    </w:p>
    <w:p w:rsidR="00A91325" w:rsidRDefault="00902C11">
      <w:pPr>
        <w:pStyle w:val="4"/>
        <w:rPr>
          <w:color w:val="000000" w:themeColor="text1"/>
        </w:rPr>
      </w:pPr>
      <w:proofErr w:type="gramStart"/>
      <w:r>
        <w:rPr>
          <w:rFonts w:hint="eastAsia"/>
          <w:color w:val="000000" w:themeColor="text1"/>
        </w:rPr>
        <w:t>郭</w:t>
      </w:r>
      <w:proofErr w:type="gramEnd"/>
      <w:r>
        <w:rPr>
          <w:rFonts w:hint="eastAsia"/>
          <w:color w:val="000000" w:themeColor="text1"/>
        </w:rPr>
        <w:t>○○復於108年9月5日，藉單位同仁加班機會，指示不知情之下屬林○○協助加班同仁購買晚餐，因而取得「</w:t>
      </w:r>
      <w:r w:rsidR="00575312">
        <w:rPr>
          <w:rFonts w:hint="eastAsia"/>
          <w:color w:val="000000" w:themeColor="text1"/>
        </w:rPr>
        <w:t>○○麵食館</w:t>
      </w:r>
      <w:r>
        <w:rPr>
          <w:rFonts w:hint="eastAsia"/>
          <w:color w:val="000000" w:themeColor="text1"/>
        </w:rPr>
        <w:t>」</w:t>
      </w:r>
      <w:proofErr w:type="gramStart"/>
      <w:r>
        <w:rPr>
          <w:rFonts w:hint="eastAsia"/>
          <w:color w:val="000000" w:themeColor="text1"/>
        </w:rPr>
        <w:t>僅蓋</w:t>
      </w:r>
      <w:proofErr w:type="gramEnd"/>
      <w:r>
        <w:rPr>
          <w:rFonts w:hint="eastAsia"/>
          <w:color w:val="000000" w:themeColor="text1"/>
        </w:rPr>
        <w:t>妥負責人印章、店家章戳之空白收據，自行於該收據之開立日期處填入「108、8、26」，並於品名摘要、數量、單價、總價等欄位填入交易內容，以及金額合計1,320之收據，交付不知情之下屬梁○○製作「海軍通信系統指揮部工程、財務、勞務小額採購請購單」、「海軍通信系統指揮部工程、財務、勞務小額採購結報單」，以「人員</w:t>
      </w:r>
      <w:proofErr w:type="gramStart"/>
      <w:r>
        <w:rPr>
          <w:rFonts w:hint="eastAsia"/>
          <w:color w:val="000000" w:themeColor="text1"/>
        </w:rPr>
        <w:t>派工</w:t>
      </w:r>
      <w:proofErr w:type="gramEnd"/>
      <w:r>
        <w:rPr>
          <w:rFonts w:hint="eastAsia"/>
          <w:color w:val="000000" w:themeColor="text1"/>
        </w:rPr>
        <w:t>誤餐」名義，檢附該收據，並以指揮官身分批示「可」核准此採購案，據以辦理一般事務費核銷，而行使</w:t>
      </w:r>
      <w:proofErr w:type="gramStart"/>
      <w:r>
        <w:rPr>
          <w:rFonts w:hint="eastAsia"/>
          <w:color w:val="000000" w:themeColor="text1"/>
        </w:rPr>
        <w:t>不實請</w:t>
      </w:r>
      <w:proofErr w:type="gramEnd"/>
      <w:r>
        <w:rPr>
          <w:rFonts w:hint="eastAsia"/>
          <w:color w:val="000000" w:themeColor="text1"/>
        </w:rPr>
        <w:t>領一般事務費1,320元。</w:t>
      </w:r>
    </w:p>
    <w:p w:rsidR="00A91325" w:rsidRDefault="00902C11">
      <w:pPr>
        <w:pStyle w:val="3"/>
        <w:rPr>
          <w:color w:val="000000" w:themeColor="text1"/>
        </w:rPr>
      </w:pPr>
      <w:r>
        <w:rPr>
          <w:rFonts w:hint="eastAsia"/>
          <w:color w:val="000000" w:themeColor="text1"/>
        </w:rPr>
        <w:t>綜上，</w:t>
      </w:r>
      <w:proofErr w:type="gramStart"/>
      <w:r>
        <w:rPr>
          <w:rFonts w:hint="eastAsia"/>
          <w:color w:val="000000" w:themeColor="text1"/>
        </w:rPr>
        <w:t>郭</w:t>
      </w:r>
      <w:proofErr w:type="gramEnd"/>
      <w:r>
        <w:rPr>
          <w:rFonts w:hint="eastAsia"/>
          <w:color w:val="000000" w:themeColor="text1"/>
        </w:rPr>
        <w:t>○○時任國防部海軍司令部高階主官，</w:t>
      </w:r>
      <w:bookmarkStart w:id="70" w:name="_Hlk144734048"/>
      <w:r>
        <w:rPr>
          <w:rFonts w:hint="eastAsia"/>
          <w:color w:val="000000" w:themeColor="text1"/>
        </w:rPr>
        <w:t>擔負保家衛國重責大任，誠實廉潔乃基本要求，竟運用職權貪圖小利，詐取</w:t>
      </w:r>
      <w:proofErr w:type="gramStart"/>
      <w:r>
        <w:rPr>
          <w:rFonts w:hint="eastAsia"/>
          <w:color w:val="000000" w:themeColor="text1"/>
        </w:rPr>
        <w:t>通指部</w:t>
      </w:r>
      <w:proofErr w:type="gramEnd"/>
      <w:r>
        <w:rPr>
          <w:rFonts w:hint="eastAsia"/>
          <w:color w:val="000000" w:themeColor="text1"/>
        </w:rPr>
        <w:t>主官行政事務費及</w:t>
      </w:r>
      <w:proofErr w:type="gramStart"/>
      <w:r>
        <w:rPr>
          <w:rFonts w:hint="eastAsia"/>
          <w:color w:val="000000" w:themeColor="text1"/>
        </w:rPr>
        <w:t>不實請</w:t>
      </w:r>
      <w:proofErr w:type="gramEnd"/>
      <w:r>
        <w:rPr>
          <w:rFonts w:hint="eastAsia"/>
          <w:color w:val="000000" w:themeColor="text1"/>
        </w:rPr>
        <w:t>領人員</w:t>
      </w:r>
      <w:proofErr w:type="gramStart"/>
      <w:r>
        <w:rPr>
          <w:rFonts w:hint="eastAsia"/>
          <w:color w:val="000000" w:themeColor="text1"/>
        </w:rPr>
        <w:t>派工</w:t>
      </w:r>
      <w:proofErr w:type="gramEnd"/>
      <w:r>
        <w:rPr>
          <w:rFonts w:hint="eastAsia"/>
          <w:color w:val="000000" w:themeColor="text1"/>
        </w:rPr>
        <w:t>誤餐之一般事務費，其行為經法院判決有罪確定，除打擊國軍士氣外，亦斲喪國軍整體形象，</w:t>
      </w:r>
      <w:bookmarkEnd w:id="70"/>
      <w:r>
        <w:rPr>
          <w:rFonts w:hint="eastAsia"/>
          <w:color w:val="000000" w:themeColor="text1"/>
        </w:rPr>
        <w:t>嚴重敗壞官箴。雖其所得不多，情節非重，惟違反公務員服務法第1條、第6條、第7條、第8條</w:t>
      </w:r>
      <w:r>
        <w:rPr>
          <w:rFonts w:hint="eastAsia"/>
          <w:color w:val="000000" w:themeColor="text1"/>
        </w:rPr>
        <w:lastRenderedPageBreak/>
        <w:t>及第20條之規定，違失情節明確，國防部業於108年10月9日發布對</w:t>
      </w:r>
      <w:proofErr w:type="gramStart"/>
      <w:r>
        <w:rPr>
          <w:rFonts w:hint="eastAsia"/>
          <w:color w:val="000000" w:themeColor="text1"/>
        </w:rPr>
        <w:t>郭</w:t>
      </w:r>
      <w:proofErr w:type="gramEnd"/>
      <w:r>
        <w:rPr>
          <w:rFonts w:hint="eastAsia"/>
          <w:color w:val="000000" w:themeColor="text1"/>
        </w:rPr>
        <w:t>○○</w:t>
      </w:r>
      <w:proofErr w:type="gramStart"/>
      <w:r>
        <w:rPr>
          <w:rFonts w:hint="eastAsia"/>
          <w:color w:val="000000" w:themeColor="text1"/>
        </w:rPr>
        <w:t>不實結</w:t>
      </w:r>
      <w:proofErr w:type="gramEnd"/>
      <w:r>
        <w:rPr>
          <w:rFonts w:hint="eastAsia"/>
          <w:color w:val="000000" w:themeColor="text1"/>
        </w:rPr>
        <w:t>報等3</w:t>
      </w:r>
      <w:proofErr w:type="gramStart"/>
      <w:r>
        <w:rPr>
          <w:rFonts w:hint="eastAsia"/>
          <w:color w:val="000000" w:themeColor="text1"/>
        </w:rPr>
        <w:t>行為核</w:t>
      </w:r>
      <w:proofErr w:type="gramEnd"/>
      <w:r>
        <w:rPr>
          <w:rFonts w:hint="eastAsia"/>
          <w:color w:val="000000" w:themeColor="text1"/>
        </w:rPr>
        <w:t>以「大過1次」、「大過1次」及「記過2次」懲罰，惟為</w:t>
      </w:r>
      <w:proofErr w:type="gramStart"/>
      <w:r>
        <w:rPr>
          <w:rFonts w:hint="eastAsia"/>
          <w:color w:val="000000" w:themeColor="text1"/>
        </w:rPr>
        <w:t>避免類案發</w:t>
      </w:r>
      <w:proofErr w:type="gramEnd"/>
      <w:r>
        <w:rPr>
          <w:rFonts w:hint="eastAsia"/>
          <w:color w:val="000000" w:themeColor="text1"/>
        </w:rPr>
        <w:t>生，國防部仍應加強端正所屬各級單位財務紀律、落實法令遵循及強化財務責任，以降低人為不當支用經費情事肇生。</w:t>
      </w:r>
    </w:p>
    <w:p w:rsidR="00A91325" w:rsidRDefault="00902C11">
      <w:pPr>
        <w:pStyle w:val="2"/>
        <w:rPr>
          <w:b/>
          <w:color w:val="000000" w:themeColor="text1"/>
        </w:rPr>
      </w:pPr>
      <w:r>
        <w:rPr>
          <w:rFonts w:hint="eastAsia"/>
          <w:b/>
          <w:color w:val="000000" w:themeColor="text1"/>
        </w:rPr>
        <w:t>按「國防部與所屬各級單位主官及副主官特別費行政費管制措施」規定，主官行政事務費係</w:t>
      </w:r>
      <w:proofErr w:type="gramStart"/>
      <w:r>
        <w:rPr>
          <w:rFonts w:hint="eastAsia"/>
          <w:b/>
          <w:color w:val="000000" w:themeColor="text1"/>
        </w:rPr>
        <w:t>按月於配賦</w:t>
      </w:r>
      <w:proofErr w:type="gramEnd"/>
      <w:r>
        <w:rPr>
          <w:rFonts w:hint="eastAsia"/>
          <w:b/>
          <w:color w:val="000000" w:themeColor="text1"/>
        </w:rPr>
        <w:t>額度內覈實報支，本案郭○○位居高階主官，竟濫用職權貪圖小利，不當結報主官行政事務費。針對少數軍官貪圖小利及便宜行事所衍生之財務紀律問題，國防部應加強法紀宣導及督導財務管理作為，以杜絕財務運作違失之風險，貫徹廉</w:t>
      </w:r>
      <w:proofErr w:type="gramStart"/>
      <w:r>
        <w:rPr>
          <w:rFonts w:hint="eastAsia"/>
          <w:b/>
          <w:color w:val="000000" w:themeColor="text1"/>
        </w:rPr>
        <w:t>能軍風</w:t>
      </w:r>
      <w:proofErr w:type="gramEnd"/>
      <w:r>
        <w:rPr>
          <w:rFonts w:hint="eastAsia"/>
          <w:b/>
          <w:color w:val="000000" w:themeColor="text1"/>
        </w:rPr>
        <w:t>，避免國軍對於</w:t>
      </w:r>
      <w:proofErr w:type="gramStart"/>
      <w:r>
        <w:rPr>
          <w:rFonts w:hint="eastAsia"/>
          <w:b/>
          <w:color w:val="000000" w:themeColor="text1"/>
        </w:rPr>
        <w:t>公款法用觀</w:t>
      </w:r>
      <w:proofErr w:type="gramEnd"/>
      <w:r>
        <w:rPr>
          <w:rFonts w:hint="eastAsia"/>
          <w:b/>
          <w:color w:val="000000" w:themeColor="text1"/>
        </w:rPr>
        <w:t>念偏差，心存僥倖下虛報費用，致生諸多非難情事，並建立一套有效的管控及勾稽機制，降低國軍在財務運作上之違失風險。</w:t>
      </w:r>
    </w:p>
    <w:p w:rsidR="00A91325" w:rsidRDefault="00902C11">
      <w:pPr>
        <w:pStyle w:val="3"/>
        <w:rPr>
          <w:color w:val="000000" w:themeColor="text1"/>
        </w:rPr>
      </w:pPr>
      <w:r>
        <w:rPr>
          <w:rFonts w:hint="eastAsia"/>
          <w:color w:val="000000" w:themeColor="text1"/>
        </w:rPr>
        <w:t>按「國防部與所屬各級單位主官及副主官特別費行政費管制措施」規定，動支對象運用特別費或行政費應依核定月支標準</w:t>
      </w:r>
      <w:proofErr w:type="gramStart"/>
      <w:r>
        <w:rPr>
          <w:rFonts w:hint="eastAsia"/>
          <w:color w:val="000000" w:themeColor="text1"/>
        </w:rPr>
        <w:t>覈</w:t>
      </w:r>
      <w:proofErr w:type="gramEnd"/>
      <w:r>
        <w:rPr>
          <w:rFonts w:hint="eastAsia"/>
          <w:color w:val="000000" w:themeColor="text1"/>
        </w:rPr>
        <w:t>實支用；主官及副主官之額度，不可相互流用。行政費動支對象為副主官時，須經單位主官核定（或授權）後，始得列支行政費。特別費及行政費一律全額檢據列支，其結報作業方式，除國防部核定行政事務費以</w:t>
      </w:r>
      <w:proofErr w:type="gramStart"/>
      <w:r>
        <w:rPr>
          <w:rFonts w:hint="eastAsia"/>
          <w:color w:val="000000" w:themeColor="text1"/>
        </w:rPr>
        <w:t>領據結報</w:t>
      </w:r>
      <w:proofErr w:type="gramEnd"/>
      <w:r>
        <w:rPr>
          <w:rFonts w:hint="eastAsia"/>
          <w:color w:val="000000" w:themeColor="text1"/>
        </w:rPr>
        <w:t>外，餘各級主官及副</w:t>
      </w:r>
      <w:proofErr w:type="gramStart"/>
      <w:r>
        <w:rPr>
          <w:rFonts w:hint="eastAsia"/>
          <w:color w:val="000000" w:themeColor="text1"/>
        </w:rPr>
        <w:t>主官動</w:t>
      </w:r>
      <w:proofErr w:type="gramEnd"/>
      <w:r>
        <w:rPr>
          <w:rFonts w:hint="eastAsia"/>
          <w:color w:val="000000" w:themeColor="text1"/>
        </w:rPr>
        <w:t>支行政費時，應於月支基準限額內，檢附原始憑證及支出統計表，送交主計（財務）單位（或無主財單位者由單位主官指定適當人員，如財務士等），</w:t>
      </w:r>
      <w:proofErr w:type="gramStart"/>
      <w:r>
        <w:rPr>
          <w:rFonts w:hint="eastAsia"/>
          <w:color w:val="000000" w:themeColor="text1"/>
        </w:rPr>
        <w:t>依部頒國</w:t>
      </w:r>
      <w:proofErr w:type="gramEnd"/>
      <w:r>
        <w:rPr>
          <w:rFonts w:hint="eastAsia"/>
          <w:color w:val="000000" w:themeColor="text1"/>
        </w:rPr>
        <w:t>軍各級單位預算簿籍憑證保管期限之規定留存備查，其餘各級單位均應以原始憑證併同支出統計表隨預算支用憑單結報。有關動支對象，因職務衍生以個人名義執行之公務支</w:t>
      </w:r>
      <w:r>
        <w:rPr>
          <w:rFonts w:hint="eastAsia"/>
          <w:color w:val="000000" w:themeColor="text1"/>
        </w:rPr>
        <w:lastRenderedPageBreak/>
        <w:t>出，於下列範圍內由特別費或行政費列支：</w:t>
      </w:r>
    </w:p>
    <w:p w:rsidR="00A91325" w:rsidRDefault="00902C11">
      <w:pPr>
        <w:pStyle w:val="4"/>
        <w:rPr>
          <w:color w:val="000000" w:themeColor="text1"/>
        </w:rPr>
      </w:pPr>
      <w:r>
        <w:rPr>
          <w:rFonts w:hint="eastAsia"/>
          <w:color w:val="000000" w:themeColor="text1"/>
        </w:rPr>
        <w:t>贈送婚喪喜慶之禮金、奠儀、禮品、花籃（圈）、喜幛、輓聯、中堂及匾額等支出。</w:t>
      </w:r>
    </w:p>
    <w:p w:rsidR="00A91325" w:rsidRDefault="00902C11">
      <w:pPr>
        <w:pStyle w:val="4"/>
        <w:rPr>
          <w:color w:val="000000" w:themeColor="text1"/>
        </w:rPr>
      </w:pPr>
      <w:r>
        <w:rPr>
          <w:rFonts w:hint="eastAsia"/>
          <w:color w:val="000000" w:themeColor="text1"/>
        </w:rPr>
        <w:t>對本單位及所屬單位人員之獎（</w:t>
      </w:r>
      <w:proofErr w:type="gramStart"/>
      <w:r>
        <w:rPr>
          <w:rFonts w:hint="eastAsia"/>
          <w:color w:val="000000" w:themeColor="text1"/>
        </w:rPr>
        <w:t>犒</w:t>
      </w:r>
      <w:proofErr w:type="gramEnd"/>
      <w:r>
        <w:rPr>
          <w:rFonts w:hint="eastAsia"/>
          <w:color w:val="000000" w:themeColor="text1"/>
        </w:rPr>
        <w:t>）賞、慰勞（問）及餐敘等支出。</w:t>
      </w:r>
    </w:p>
    <w:p w:rsidR="00A91325" w:rsidRDefault="00902C11">
      <w:pPr>
        <w:pStyle w:val="4"/>
        <w:rPr>
          <w:color w:val="000000" w:themeColor="text1"/>
        </w:rPr>
      </w:pPr>
      <w:r>
        <w:rPr>
          <w:rFonts w:hint="eastAsia"/>
          <w:color w:val="000000" w:themeColor="text1"/>
        </w:rPr>
        <w:t>對外部單位（即本單位及所屬單位以外之單位）、民間團體與有關人士等之招待、</w:t>
      </w:r>
      <w:proofErr w:type="gramStart"/>
      <w:r>
        <w:rPr>
          <w:rFonts w:hint="eastAsia"/>
          <w:color w:val="000000" w:themeColor="text1"/>
        </w:rPr>
        <w:t>餽</w:t>
      </w:r>
      <w:proofErr w:type="gramEnd"/>
      <w:r>
        <w:rPr>
          <w:rFonts w:hint="eastAsia"/>
          <w:color w:val="000000" w:themeColor="text1"/>
        </w:rPr>
        <w:t>（捐）</w:t>
      </w:r>
      <w:proofErr w:type="gramStart"/>
      <w:r>
        <w:rPr>
          <w:rFonts w:hint="eastAsia"/>
          <w:color w:val="000000" w:themeColor="text1"/>
        </w:rPr>
        <w:t>贈及慰</w:t>
      </w:r>
      <w:proofErr w:type="gramEnd"/>
      <w:r>
        <w:rPr>
          <w:rFonts w:hint="eastAsia"/>
          <w:color w:val="000000" w:themeColor="text1"/>
        </w:rPr>
        <w:t>問等支出。</w:t>
      </w:r>
    </w:p>
    <w:p w:rsidR="00A91325" w:rsidRDefault="00902C11">
      <w:pPr>
        <w:pStyle w:val="3"/>
        <w:rPr>
          <w:color w:val="000000" w:themeColor="text1"/>
        </w:rPr>
      </w:pPr>
      <w:r>
        <w:rPr>
          <w:rFonts w:hint="eastAsia"/>
          <w:color w:val="000000" w:themeColor="text1"/>
        </w:rPr>
        <w:t>另按政府支出憑證處理要點第2點：「本要點</w:t>
      </w:r>
      <w:bookmarkStart w:id="71" w:name="_Hlk141630237"/>
      <w:r>
        <w:rPr>
          <w:rFonts w:hint="eastAsia"/>
          <w:color w:val="000000" w:themeColor="text1"/>
        </w:rPr>
        <w:t>所稱支出憑證，指為證明支付事實所取得之收據、統一發票、表單或其他可資證明書據</w:t>
      </w:r>
      <w:bookmarkEnd w:id="71"/>
      <w:r>
        <w:rPr>
          <w:rFonts w:hint="eastAsia"/>
          <w:color w:val="000000" w:themeColor="text1"/>
        </w:rPr>
        <w:t>。各機關支付款項，應取得支出憑證。支出憑證透過網路下載列印者，除本要點另有規定外，應由經手人簽名」、第1</w:t>
      </w:r>
      <w:r>
        <w:rPr>
          <w:color w:val="000000" w:themeColor="text1"/>
        </w:rPr>
        <w:t>1</w:t>
      </w:r>
      <w:r>
        <w:rPr>
          <w:rFonts w:hint="eastAsia"/>
          <w:color w:val="000000" w:themeColor="text1"/>
        </w:rPr>
        <w:t>點：「各機關透過網路完成交易，應取得第4點第1項、第5點或第1</w:t>
      </w:r>
      <w:r>
        <w:rPr>
          <w:color w:val="000000" w:themeColor="text1"/>
        </w:rPr>
        <w:t>0</w:t>
      </w:r>
      <w:r>
        <w:rPr>
          <w:rFonts w:hint="eastAsia"/>
          <w:color w:val="000000" w:themeColor="text1"/>
        </w:rPr>
        <w:t>點所定支出憑證。但因特殊情形不能取得者，得以獲有記載事項足資證明支付事實之電子憑證作為支出憑證」，亦即考量網路交易型態日新月異，倘因其交易性質特殊，致無法取得支出憑證時，得以證明支付事實之電子憑證作為支出憑證。</w:t>
      </w:r>
    </w:p>
    <w:p w:rsidR="00A91325" w:rsidRDefault="00902C11">
      <w:pPr>
        <w:pStyle w:val="3"/>
        <w:rPr>
          <w:color w:val="000000" w:themeColor="text1"/>
        </w:rPr>
      </w:pPr>
      <w:r>
        <w:rPr>
          <w:rFonts w:hint="eastAsia"/>
          <w:color w:val="000000" w:themeColor="text1"/>
        </w:rPr>
        <w:t>本案</w:t>
      </w:r>
      <w:proofErr w:type="gramStart"/>
      <w:r>
        <w:rPr>
          <w:rFonts w:hint="eastAsia"/>
          <w:color w:val="000000" w:themeColor="text1"/>
        </w:rPr>
        <w:t>郭</w:t>
      </w:r>
      <w:proofErr w:type="gramEnd"/>
      <w:r>
        <w:rPr>
          <w:rFonts w:hint="eastAsia"/>
          <w:color w:val="000000" w:themeColor="text1"/>
        </w:rPr>
        <w:t>○○時任上校</w:t>
      </w:r>
      <w:proofErr w:type="gramStart"/>
      <w:r>
        <w:rPr>
          <w:rFonts w:hint="eastAsia"/>
          <w:color w:val="000000" w:themeColor="text1"/>
        </w:rPr>
        <w:t>編階主</w:t>
      </w:r>
      <w:proofErr w:type="gramEnd"/>
      <w:r>
        <w:rPr>
          <w:rFonts w:hint="eastAsia"/>
          <w:color w:val="000000" w:themeColor="text1"/>
        </w:rPr>
        <w:t>官，每月主官行政事務費額度為4,800元，1</w:t>
      </w:r>
      <w:r>
        <w:rPr>
          <w:color w:val="000000" w:themeColor="text1"/>
        </w:rPr>
        <w:t>08</w:t>
      </w:r>
      <w:r>
        <w:rPr>
          <w:rFonts w:hint="eastAsia"/>
          <w:color w:val="000000" w:themeColor="text1"/>
        </w:rPr>
        <w:t>年5月</w:t>
      </w:r>
      <w:r>
        <w:rPr>
          <w:color w:val="000000" w:themeColor="text1"/>
        </w:rPr>
        <w:t>7</w:t>
      </w:r>
      <w:r>
        <w:rPr>
          <w:rFonts w:hint="eastAsia"/>
          <w:color w:val="000000" w:themeColor="text1"/>
        </w:rPr>
        <w:t>日以與同仁自行分擔費用方式聚餐，嗣後憑該店家開立之統一發票申請以主官行政</w:t>
      </w:r>
      <w:proofErr w:type="gramStart"/>
      <w:r>
        <w:rPr>
          <w:rFonts w:hint="eastAsia"/>
          <w:color w:val="000000" w:themeColor="text1"/>
        </w:rPr>
        <w:t>事務費結</w:t>
      </w:r>
      <w:proofErr w:type="gramEnd"/>
      <w:r>
        <w:rPr>
          <w:rFonts w:hint="eastAsia"/>
          <w:color w:val="000000" w:themeColor="text1"/>
        </w:rPr>
        <w:t>報，另於同年9月5日以同仁訂購</w:t>
      </w:r>
      <w:r w:rsidR="00575312">
        <w:rPr>
          <w:rFonts w:hint="eastAsia"/>
          <w:color w:val="000000" w:themeColor="text1"/>
        </w:rPr>
        <w:t>○○麵食館</w:t>
      </w:r>
      <w:r>
        <w:rPr>
          <w:rFonts w:hint="eastAsia"/>
          <w:color w:val="000000" w:themeColor="text1"/>
        </w:rPr>
        <w:t>所交付之空白收據，</w:t>
      </w:r>
      <w:proofErr w:type="gramStart"/>
      <w:r>
        <w:rPr>
          <w:rFonts w:hint="eastAsia"/>
          <w:color w:val="000000" w:themeColor="text1"/>
        </w:rPr>
        <w:t>不實填</w:t>
      </w:r>
      <w:proofErr w:type="gramEnd"/>
      <w:r>
        <w:rPr>
          <w:rFonts w:hint="eastAsia"/>
          <w:color w:val="000000" w:themeColor="text1"/>
        </w:rPr>
        <w:t>載同年8月2</w:t>
      </w:r>
      <w:r>
        <w:rPr>
          <w:color w:val="000000" w:themeColor="text1"/>
        </w:rPr>
        <w:t>6</w:t>
      </w:r>
      <w:r>
        <w:rPr>
          <w:rFonts w:hint="eastAsia"/>
          <w:color w:val="000000" w:themeColor="text1"/>
        </w:rPr>
        <w:t>日之小額採購清單及人員名冊，交付行政士辦理結報，不當獲利共計6</w:t>
      </w:r>
      <w:r>
        <w:rPr>
          <w:color w:val="000000" w:themeColor="text1"/>
        </w:rPr>
        <w:t>,117</w:t>
      </w:r>
      <w:r>
        <w:rPr>
          <w:rFonts w:hint="eastAsia"/>
          <w:color w:val="000000" w:themeColor="text1"/>
        </w:rPr>
        <w:t>元。</w:t>
      </w:r>
      <w:proofErr w:type="gramStart"/>
      <w:r>
        <w:rPr>
          <w:rFonts w:hint="eastAsia"/>
          <w:color w:val="000000" w:themeColor="text1"/>
        </w:rPr>
        <w:t>郭</w:t>
      </w:r>
      <w:proofErr w:type="gramEnd"/>
      <w:r>
        <w:rPr>
          <w:rFonts w:hint="eastAsia"/>
          <w:color w:val="000000" w:themeColor="text1"/>
        </w:rPr>
        <w:t>○○固不否認其與同仁於</w:t>
      </w:r>
      <w:r w:rsidR="00CE6727">
        <w:rPr>
          <w:rFonts w:hint="eastAsia"/>
          <w:color w:val="000000" w:themeColor="text1"/>
        </w:rPr>
        <w:t>○○○牛排館</w:t>
      </w:r>
      <w:proofErr w:type="gramStart"/>
      <w:r>
        <w:rPr>
          <w:rFonts w:hint="eastAsia"/>
          <w:color w:val="000000" w:themeColor="text1"/>
        </w:rPr>
        <w:t>餐敘</w:t>
      </w:r>
      <w:proofErr w:type="gramEnd"/>
      <w:r>
        <w:rPr>
          <w:rFonts w:hint="eastAsia"/>
          <w:color w:val="000000" w:themeColor="text1"/>
        </w:rPr>
        <w:t>後，同行用餐之劉○○有向該店索取發票並於返</w:t>
      </w:r>
      <w:proofErr w:type="gramStart"/>
      <w:r>
        <w:rPr>
          <w:rFonts w:hint="eastAsia"/>
          <w:color w:val="000000" w:themeColor="text1"/>
        </w:rPr>
        <w:t>部後交予</w:t>
      </w:r>
      <w:proofErr w:type="gramEnd"/>
      <w:r>
        <w:rPr>
          <w:rFonts w:hint="eastAsia"/>
          <w:color w:val="000000" w:themeColor="text1"/>
        </w:rPr>
        <w:t>梁○○製作相關公文書，檢具該紙發票辦理結報，經其批示核准</w:t>
      </w:r>
      <w:r>
        <w:rPr>
          <w:rFonts w:hint="eastAsia"/>
          <w:color w:val="000000" w:themeColor="text1"/>
        </w:rPr>
        <w:lastRenderedPageBreak/>
        <w:t>後，請領用餐費用4,797元；另以</w:t>
      </w:r>
      <w:r w:rsidR="00575312">
        <w:rPr>
          <w:rFonts w:hint="eastAsia"/>
          <w:color w:val="000000" w:themeColor="text1"/>
        </w:rPr>
        <w:t>○○麵食館</w:t>
      </w:r>
      <w:r>
        <w:rPr>
          <w:rFonts w:hint="eastAsia"/>
          <w:color w:val="000000" w:themeColor="text1"/>
        </w:rPr>
        <w:t>於108年9月5日交付之空白收據，</w:t>
      </w:r>
      <w:proofErr w:type="gramStart"/>
      <w:r>
        <w:rPr>
          <w:rFonts w:hint="eastAsia"/>
          <w:color w:val="000000" w:themeColor="text1"/>
        </w:rPr>
        <w:t>不實填載</w:t>
      </w:r>
      <w:proofErr w:type="gramEnd"/>
      <w:r>
        <w:rPr>
          <w:rFonts w:hint="eastAsia"/>
          <w:color w:val="000000" w:themeColor="text1"/>
        </w:rPr>
        <w:t>該部108年8月26日向該店址購買大骨湯、乾麵各12碗，總支出1,320元等內容後，交付梁○○辦理結報，經其批示核准後，請領金額1,320元，然矢口否認有何利用職務詐取財物之犯行，辯稱：「於108年5月7日在</w:t>
      </w:r>
      <w:r w:rsidR="00CE6727">
        <w:rPr>
          <w:rFonts w:hint="eastAsia"/>
          <w:color w:val="000000" w:themeColor="text1"/>
        </w:rPr>
        <w:t>○○○牛排館</w:t>
      </w:r>
      <w:r>
        <w:rPr>
          <w:rFonts w:hint="eastAsia"/>
          <w:color w:val="000000" w:themeColor="text1"/>
        </w:rPr>
        <w:t>用餐時，我有跟劉</w:t>
      </w:r>
      <w:proofErr w:type="gramStart"/>
      <w:r>
        <w:rPr>
          <w:rFonts w:hint="eastAsia"/>
          <w:color w:val="000000" w:themeColor="text1"/>
        </w:rPr>
        <w:t>○○說若行政</w:t>
      </w:r>
      <w:proofErr w:type="gramEnd"/>
      <w:r>
        <w:rPr>
          <w:rFonts w:hint="eastAsia"/>
          <w:color w:val="000000" w:themeColor="text1"/>
        </w:rPr>
        <w:t>事務費還夠，這筆用餐費用由我的主官行政事務費支應，嗣同月23日梁○○交付核撥的款項4,797元給我後，於辦公室碰到劉○○、許○○，便將劉○○於該牛排館用餐的費用300餘元退給他，其餘款項</w:t>
      </w:r>
      <w:proofErr w:type="gramStart"/>
      <w:r>
        <w:rPr>
          <w:rFonts w:hint="eastAsia"/>
          <w:color w:val="000000" w:themeColor="text1"/>
        </w:rPr>
        <w:t>則交許○</w:t>
      </w:r>
      <w:proofErr w:type="gramEnd"/>
      <w:r>
        <w:rPr>
          <w:rFonts w:hint="eastAsia"/>
          <w:color w:val="000000" w:themeColor="text1"/>
        </w:rPr>
        <w:t>○，委請其退給其他用餐同仁，因該餘款尚包含我的用餐費用，故一併向許○○表示退還各同仁用餐費用後之餘額交予劉○○，用以補貼他出差之油錢；另於108年9月5日結報取得之款項1,320元，因李○○於同年8月20日到馬公出差，行程因故延期致李○○飛往馬公之機票需更改而有費用差額之損失500餘元，我遂以前</w:t>
      </w:r>
      <w:proofErr w:type="gramStart"/>
      <w:r>
        <w:rPr>
          <w:rFonts w:hint="eastAsia"/>
          <w:color w:val="000000" w:themeColor="text1"/>
        </w:rPr>
        <w:t>揭</w:t>
      </w:r>
      <w:proofErr w:type="gramEnd"/>
      <w:r>
        <w:rPr>
          <w:rFonts w:hint="eastAsia"/>
          <w:color w:val="000000" w:themeColor="text1"/>
        </w:rPr>
        <w:t>款項補償其損失，剩餘部分則用於支應我自己於同年7、8月為部隊採買胡椒粉、刨刀等物品所支出之費用1,000餘元，雖出於便宜行事，但皆公款公用，沒有貪污之意圖」云云。</w:t>
      </w:r>
      <w:r>
        <w:rPr>
          <w:color w:val="000000" w:themeColor="text1"/>
        </w:rPr>
        <w:t xml:space="preserve"> </w:t>
      </w:r>
    </w:p>
    <w:p w:rsidR="00A91325" w:rsidRDefault="00902C11">
      <w:pPr>
        <w:pStyle w:val="3"/>
        <w:rPr>
          <w:color w:val="000000" w:themeColor="text1"/>
        </w:rPr>
      </w:pPr>
      <w:r>
        <w:rPr>
          <w:rFonts w:hint="eastAsia"/>
          <w:color w:val="000000" w:themeColor="text1"/>
        </w:rPr>
        <w:t>經查「國防部與所屬各級單位主官及副主官特別費行政費管制措施」係為規範國軍各級單位主官及副主官特別費、行政費預算編列、列支基準及使用範圍，依行政院核定相關規範所訂定，其中規定動支對象為「因職務衍生以個人名義執行之公務支出」範圍包含對該單位及所屬單位人員之獎（</w:t>
      </w:r>
      <w:proofErr w:type="gramStart"/>
      <w:r>
        <w:rPr>
          <w:rFonts w:hint="eastAsia"/>
          <w:color w:val="000000" w:themeColor="text1"/>
        </w:rPr>
        <w:t>犒</w:t>
      </w:r>
      <w:proofErr w:type="gramEnd"/>
      <w:r>
        <w:rPr>
          <w:rFonts w:hint="eastAsia"/>
          <w:color w:val="000000" w:themeColor="text1"/>
        </w:rPr>
        <w:t>）賞、慰勞（問）及餐敘等支出。報支手續依行政院「政府支出憑證處理要點」，應取得收據、統一發票或</w:t>
      </w:r>
      <w:proofErr w:type="gramStart"/>
      <w:r>
        <w:rPr>
          <w:rFonts w:hint="eastAsia"/>
          <w:color w:val="000000" w:themeColor="text1"/>
        </w:rPr>
        <w:t>相關書據</w:t>
      </w:r>
      <w:proofErr w:type="gramEnd"/>
      <w:r>
        <w:rPr>
          <w:rFonts w:hint="eastAsia"/>
          <w:color w:val="000000" w:themeColor="text1"/>
        </w:rPr>
        <w:t>，並經支用人（即主官及副主官等人員）核</w:t>
      </w:r>
      <w:r>
        <w:rPr>
          <w:rFonts w:hint="eastAsia"/>
          <w:color w:val="000000" w:themeColor="text1"/>
        </w:rPr>
        <w:lastRenderedPageBreak/>
        <w:t>（簽）章後，據以請款。</w:t>
      </w:r>
      <w:proofErr w:type="gramStart"/>
      <w:r>
        <w:rPr>
          <w:rFonts w:hint="eastAsia"/>
          <w:color w:val="000000" w:themeColor="text1"/>
        </w:rPr>
        <w:t>郭</w:t>
      </w:r>
      <w:proofErr w:type="gramEnd"/>
      <w:r>
        <w:rPr>
          <w:rFonts w:hint="eastAsia"/>
          <w:color w:val="000000" w:themeColor="text1"/>
        </w:rPr>
        <w:t>○○於1</w:t>
      </w:r>
      <w:r>
        <w:rPr>
          <w:color w:val="000000" w:themeColor="text1"/>
        </w:rPr>
        <w:t>08</w:t>
      </w:r>
      <w:r>
        <w:rPr>
          <w:rFonts w:hint="eastAsia"/>
          <w:color w:val="000000" w:themeColor="text1"/>
        </w:rPr>
        <w:t>年9月2</w:t>
      </w:r>
      <w:r>
        <w:rPr>
          <w:color w:val="000000" w:themeColor="text1"/>
        </w:rPr>
        <w:t>3</w:t>
      </w:r>
      <w:r>
        <w:rPr>
          <w:rFonts w:hint="eastAsia"/>
          <w:color w:val="000000" w:themeColor="text1"/>
        </w:rPr>
        <w:t>日遞交國防部自白稱：「用餐不當結報乙事係為</w:t>
      </w:r>
      <w:bookmarkStart w:id="72" w:name="_Hlk141630794"/>
      <w:r>
        <w:rPr>
          <w:rFonts w:hint="eastAsia"/>
          <w:color w:val="000000" w:themeColor="text1"/>
        </w:rPr>
        <w:t>補貼加購夏天運動服</w:t>
      </w:r>
      <w:bookmarkEnd w:id="72"/>
      <w:r>
        <w:rPr>
          <w:rFonts w:hint="eastAsia"/>
          <w:color w:val="000000" w:themeColor="text1"/>
        </w:rPr>
        <w:t>金額約4</w:t>
      </w:r>
      <w:r>
        <w:rPr>
          <w:color w:val="000000" w:themeColor="text1"/>
        </w:rPr>
        <w:t>,000</w:t>
      </w:r>
      <w:r>
        <w:rPr>
          <w:rFonts w:hint="eastAsia"/>
          <w:color w:val="000000" w:themeColor="text1"/>
        </w:rPr>
        <w:t>多元，另採購大骨湯跟</w:t>
      </w:r>
      <w:proofErr w:type="gramStart"/>
      <w:r>
        <w:rPr>
          <w:rFonts w:hint="eastAsia"/>
          <w:color w:val="000000" w:themeColor="text1"/>
        </w:rPr>
        <w:t>麵</w:t>
      </w:r>
      <w:proofErr w:type="gramEnd"/>
      <w:r>
        <w:rPr>
          <w:rFonts w:hint="eastAsia"/>
          <w:color w:val="000000" w:themeColor="text1"/>
        </w:rPr>
        <w:t>乙案，係補貼李○○上尉因公務行程異動更換機票日期扣款4</w:t>
      </w:r>
      <w:r>
        <w:rPr>
          <w:color w:val="000000" w:themeColor="text1"/>
        </w:rPr>
        <w:t>00</w:t>
      </w:r>
      <w:r>
        <w:rPr>
          <w:rFonts w:hint="eastAsia"/>
          <w:color w:val="000000" w:themeColor="text1"/>
        </w:rPr>
        <w:t>餘元；另於網路採購</w:t>
      </w:r>
      <w:proofErr w:type="gramStart"/>
      <w:r>
        <w:rPr>
          <w:rFonts w:hint="eastAsia"/>
          <w:color w:val="000000" w:themeColor="text1"/>
        </w:rPr>
        <w:t>削皮機等</w:t>
      </w:r>
      <w:proofErr w:type="gramEnd"/>
      <w:r>
        <w:rPr>
          <w:rFonts w:hint="eastAsia"/>
          <w:color w:val="000000" w:themeColor="text1"/>
        </w:rPr>
        <w:t>及個人自行購買之印度香皂等，合計1,509元皆無消費單據」等語，並於</w:t>
      </w:r>
      <w:proofErr w:type="gramStart"/>
      <w:r>
        <w:rPr>
          <w:rFonts w:hint="eastAsia"/>
          <w:color w:val="000000" w:themeColor="text1"/>
        </w:rPr>
        <w:t>結報時提</w:t>
      </w:r>
      <w:proofErr w:type="gramEnd"/>
      <w:r>
        <w:rPr>
          <w:rFonts w:hint="eastAsia"/>
          <w:color w:val="000000" w:themeColor="text1"/>
        </w:rPr>
        <w:t>出與實際訂購人不相當核銷名單</w:t>
      </w:r>
      <w:r w:rsidRPr="00AD3075">
        <w:rPr>
          <w:rFonts w:hint="eastAsia"/>
          <w:color w:val="000000" w:themeColor="text1"/>
        </w:rPr>
        <w:t>（如表1所示）。惟</w:t>
      </w:r>
      <w:r>
        <w:rPr>
          <w:rFonts w:hint="eastAsia"/>
          <w:color w:val="000000" w:themeColor="text1"/>
        </w:rPr>
        <w:t>依「政府支出憑證處理要點」規定，支出憑證指為證明支付事實所取得之收據、統一發票、表單或其他可資證明書據，倘透過網路完成交易或因特殊情形不能取得者，得以獲有記載事項足資證明支付事實之電子憑證作為支出憑證。</w:t>
      </w:r>
      <w:proofErr w:type="gramStart"/>
      <w:r>
        <w:rPr>
          <w:rFonts w:hint="eastAsia"/>
          <w:color w:val="000000" w:themeColor="text1"/>
        </w:rPr>
        <w:t>郭</w:t>
      </w:r>
      <w:proofErr w:type="gramEnd"/>
      <w:r>
        <w:rPr>
          <w:rFonts w:hint="eastAsia"/>
          <w:color w:val="000000" w:themeColor="text1"/>
        </w:rPr>
        <w:t>○○竟為補貼加購夏天運動服之金額，以由同仁支付之餐費發票</w:t>
      </w:r>
      <w:proofErr w:type="gramStart"/>
      <w:r>
        <w:rPr>
          <w:rFonts w:hint="eastAsia"/>
          <w:color w:val="000000" w:themeColor="text1"/>
        </w:rPr>
        <w:t>不實結</w:t>
      </w:r>
      <w:proofErr w:type="gramEnd"/>
      <w:r>
        <w:rPr>
          <w:rFonts w:hint="eastAsia"/>
          <w:color w:val="000000" w:themeColor="text1"/>
        </w:rPr>
        <w:t>報，又以補貼同仁因公務更換班機產生之差額及網路採購無消費單據等理由，以空白收據偽造小額採購案，並以不實核銷名單不當申請結報經費，顯見郭○○身為國軍高階主管，其財務管理偏差及法治觀念薄弱。</w:t>
      </w:r>
    </w:p>
    <w:p w:rsidR="00A91325" w:rsidRDefault="00902C11">
      <w:pPr>
        <w:pStyle w:val="a3"/>
        <w:numPr>
          <w:ilvl w:val="0"/>
          <w:numId w:val="39"/>
        </w:numPr>
        <w:rPr>
          <w:color w:val="000000" w:themeColor="text1"/>
        </w:rPr>
      </w:pPr>
      <w:r>
        <w:rPr>
          <w:rFonts w:hint="eastAsia"/>
          <w:color w:val="000000" w:themeColor="text1"/>
        </w:rPr>
        <w:t>一般事務費支出餐敘名單</w:t>
      </w:r>
    </w:p>
    <w:tbl>
      <w:tblPr>
        <w:tblStyle w:val="af6"/>
        <w:tblW w:w="5000" w:type="pct"/>
        <w:jc w:val="center"/>
        <w:tblLook w:val="04A0" w:firstRow="1" w:lastRow="0" w:firstColumn="1" w:lastColumn="0" w:noHBand="0" w:noVBand="1"/>
      </w:tblPr>
      <w:tblGrid>
        <w:gridCol w:w="2946"/>
        <w:gridCol w:w="2945"/>
        <w:gridCol w:w="2943"/>
      </w:tblGrid>
      <w:tr w:rsidR="00A91325">
        <w:trPr>
          <w:trHeight w:val="284"/>
          <w:tblHeader/>
          <w:jc w:val="center"/>
        </w:trPr>
        <w:tc>
          <w:tcPr>
            <w:tcW w:w="5000" w:type="pct"/>
            <w:gridSpan w:val="3"/>
          </w:tcPr>
          <w:p w:rsidR="00A91325" w:rsidRDefault="00902C11">
            <w:pPr>
              <w:pStyle w:val="3"/>
              <w:numPr>
                <w:ilvl w:val="0"/>
                <w:numId w:val="0"/>
              </w:numPr>
              <w:jc w:val="center"/>
              <w:rPr>
                <w:b/>
                <w:color w:val="000000" w:themeColor="text1"/>
              </w:rPr>
            </w:pPr>
            <w:r>
              <w:rPr>
                <w:rFonts w:hint="eastAsia"/>
                <w:b/>
                <w:color w:val="000000" w:themeColor="text1"/>
              </w:rPr>
              <w:t>一般事務費支出-</w:t>
            </w:r>
            <w:r w:rsidR="00CE6727">
              <w:rPr>
                <w:rFonts w:hint="eastAsia"/>
                <w:b/>
                <w:color w:val="000000" w:themeColor="text1"/>
              </w:rPr>
              <w:t>○○麵食</w:t>
            </w:r>
          </w:p>
        </w:tc>
      </w:tr>
      <w:tr w:rsidR="00A91325">
        <w:trPr>
          <w:trHeight w:val="284"/>
          <w:tblHeader/>
          <w:jc w:val="center"/>
        </w:trPr>
        <w:tc>
          <w:tcPr>
            <w:tcW w:w="1667" w:type="pct"/>
          </w:tcPr>
          <w:p w:rsidR="00A91325" w:rsidRDefault="00902C11">
            <w:pPr>
              <w:jc w:val="center"/>
              <w:outlineLvl w:val="1"/>
              <w:rPr>
                <w:rFonts w:hAnsi="Arial"/>
                <w:b/>
                <w:bCs/>
                <w:color w:val="000000" w:themeColor="text1"/>
                <w:kern w:val="32"/>
                <w:szCs w:val="48"/>
              </w:rPr>
            </w:pPr>
            <w:r>
              <w:rPr>
                <w:rFonts w:hAnsi="Arial" w:hint="eastAsia"/>
                <w:b/>
                <w:bCs/>
                <w:color w:val="000000" w:themeColor="text1"/>
                <w:kern w:val="32"/>
                <w:szCs w:val="48"/>
              </w:rPr>
              <w:t>項次</w:t>
            </w:r>
          </w:p>
        </w:tc>
        <w:tc>
          <w:tcPr>
            <w:tcW w:w="1667" w:type="pct"/>
          </w:tcPr>
          <w:p w:rsidR="00A91325" w:rsidRDefault="00902C11">
            <w:pPr>
              <w:jc w:val="center"/>
              <w:outlineLvl w:val="1"/>
              <w:rPr>
                <w:rFonts w:hAnsi="Arial"/>
                <w:b/>
                <w:bCs/>
                <w:color w:val="000000" w:themeColor="text1"/>
                <w:kern w:val="32"/>
                <w:szCs w:val="48"/>
              </w:rPr>
            </w:pPr>
            <w:r>
              <w:rPr>
                <w:rFonts w:hAnsi="Arial" w:hint="eastAsia"/>
                <w:b/>
                <w:bCs/>
                <w:color w:val="000000" w:themeColor="text1"/>
                <w:kern w:val="32"/>
                <w:szCs w:val="48"/>
              </w:rPr>
              <w:t>訂購人</w:t>
            </w:r>
          </w:p>
        </w:tc>
        <w:tc>
          <w:tcPr>
            <w:tcW w:w="1667" w:type="pct"/>
          </w:tcPr>
          <w:p w:rsidR="00A91325" w:rsidRDefault="00902C11">
            <w:pPr>
              <w:jc w:val="center"/>
              <w:outlineLvl w:val="1"/>
              <w:rPr>
                <w:rFonts w:hAnsi="Arial"/>
                <w:b/>
                <w:bCs/>
                <w:color w:val="000000" w:themeColor="text1"/>
                <w:kern w:val="32"/>
                <w:szCs w:val="48"/>
              </w:rPr>
            </w:pPr>
            <w:r>
              <w:rPr>
                <w:rFonts w:hAnsi="Arial" w:hint="eastAsia"/>
                <w:b/>
                <w:bCs/>
                <w:color w:val="000000" w:themeColor="text1"/>
                <w:kern w:val="32"/>
                <w:szCs w:val="48"/>
              </w:rPr>
              <w:t>核銷名單</w:t>
            </w:r>
          </w:p>
        </w:tc>
      </w:tr>
      <w:tr w:rsidR="00A91325">
        <w:trPr>
          <w:trHeight w:val="284"/>
          <w:jc w:val="center"/>
        </w:trPr>
        <w:tc>
          <w:tcPr>
            <w:tcW w:w="1667" w:type="pct"/>
          </w:tcPr>
          <w:p w:rsidR="00A91325" w:rsidRDefault="00902C11">
            <w:pPr>
              <w:jc w:val="center"/>
              <w:outlineLvl w:val="1"/>
              <w:rPr>
                <w:rFonts w:hAnsi="Arial"/>
                <w:bCs/>
                <w:color w:val="000000" w:themeColor="text1"/>
                <w:kern w:val="32"/>
                <w:szCs w:val="48"/>
              </w:rPr>
            </w:pPr>
            <w:r>
              <w:rPr>
                <w:rFonts w:hAnsi="Arial"/>
                <w:bCs/>
                <w:color w:val="000000" w:themeColor="text1"/>
                <w:kern w:val="32"/>
                <w:szCs w:val="48"/>
              </w:rPr>
              <w:t>1</w:t>
            </w:r>
          </w:p>
        </w:tc>
        <w:tc>
          <w:tcPr>
            <w:tcW w:w="1667" w:type="pct"/>
          </w:tcPr>
          <w:p w:rsidR="00A91325" w:rsidRDefault="00902C11">
            <w:pPr>
              <w:jc w:val="center"/>
              <w:outlineLvl w:val="1"/>
              <w:rPr>
                <w:rFonts w:hAnsi="Arial"/>
                <w:bCs/>
                <w:color w:val="000000" w:themeColor="text1"/>
                <w:kern w:val="32"/>
                <w:szCs w:val="48"/>
              </w:rPr>
            </w:pPr>
            <w:proofErr w:type="gramStart"/>
            <w:r>
              <w:rPr>
                <w:rFonts w:hAnsi="Arial" w:hint="eastAsia"/>
                <w:bCs/>
                <w:color w:val="000000" w:themeColor="text1"/>
                <w:kern w:val="32"/>
                <w:szCs w:val="48"/>
              </w:rPr>
              <w:t>郭</w:t>
            </w:r>
            <w:proofErr w:type="gramEnd"/>
            <w:r>
              <w:rPr>
                <w:rFonts w:hAnsi="Arial" w:hint="eastAsia"/>
                <w:bCs/>
                <w:color w:val="000000" w:themeColor="text1"/>
                <w:kern w:val="32"/>
                <w:szCs w:val="48"/>
              </w:rPr>
              <w:t>○○</w:t>
            </w:r>
          </w:p>
        </w:tc>
        <w:tc>
          <w:tcPr>
            <w:tcW w:w="1667" w:type="pct"/>
          </w:tcPr>
          <w:p w:rsidR="00A91325" w:rsidRDefault="00902C11">
            <w:pPr>
              <w:jc w:val="center"/>
              <w:outlineLvl w:val="1"/>
              <w:rPr>
                <w:rFonts w:hAnsi="Arial"/>
                <w:bCs/>
                <w:color w:val="000000" w:themeColor="text1"/>
                <w:kern w:val="32"/>
                <w:szCs w:val="48"/>
              </w:rPr>
            </w:pPr>
            <w:r>
              <w:rPr>
                <w:rFonts w:hAnsi="Arial" w:hint="eastAsia"/>
                <w:bCs/>
                <w:color w:val="000000" w:themeColor="text1"/>
                <w:kern w:val="32"/>
                <w:szCs w:val="48"/>
              </w:rPr>
              <w:t>李○○</w:t>
            </w:r>
          </w:p>
        </w:tc>
      </w:tr>
      <w:tr w:rsidR="00A91325">
        <w:trPr>
          <w:trHeight w:val="284"/>
          <w:jc w:val="center"/>
        </w:trPr>
        <w:tc>
          <w:tcPr>
            <w:tcW w:w="1667" w:type="pct"/>
          </w:tcPr>
          <w:p w:rsidR="00A91325" w:rsidRDefault="00902C11">
            <w:pPr>
              <w:jc w:val="center"/>
              <w:outlineLvl w:val="1"/>
              <w:rPr>
                <w:rFonts w:hAnsi="Arial"/>
                <w:bCs/>
                <w:color w:val="000000" w:themeColor="text1"/>
                <w:kern w:val="32"/>
                <w:szCs w:val="48"/>
              </w:rPr>
            </w:pPr>
            <w:r>
              <w:rPr>
                <w:rFonts w:hAnsi="Arial"/>
                <w:bCs/>
                <w:color w:val="000000" w:themeColor="text1"/>
                <w:kern w:val="32"/>
                <w:szCs w:val="48"/>
              </w:rPr>
              <w:t>2</w:t>
            </w:r>
          </w:p>
        </w:tc>
        <w:tc>
          <w:tcPr>
            <w:tcW w:w="1667" w:type="pct"/>
          </w:tcPr>
          <w:p w:rsidR="00A91325" w:rsidRDefault="00902C11">
            <w:pPr>
              <w:jc w:val="center"/>
              <w:outlineLvl w:val="1"/>
              <w:rPr>
                <w:rFonts w:hAnsi="Arial"/>
                <w:bCs/>
                <w:color w:val="000000" w:themeColor="text1"/>
                <w:kern w:val="32"/>
                <w:szCs w:val="48"/>
              </w:rPr>
            </w:pPr>
            <w:r>
              <w:rPr>
                <w:rFonts w:hAnsi="Arial" w:hint="eastAsia"/>
                <w:bCs/>
                <w:color w:val="000000" w:themeColor="text1"/>
                <w:kern w:val="32"/>
                <w:szCs w:val="48"/>
              </w:rPr>
              <w:t>陳○○</w:t>
            </w:r>
          </w:p>
        </w:tc>
        <w:tc>
          <w:tcPr>
            <w:tcW w:w="1667" w:type="pct"/>
          </w:tcPr>
          <w:p w:rsidR="00A91325" w:rsidRDefault="00902C11">
            <w:pPr>
              <w:jc w:val="center"/>
              <w:outlineLvl w:val="1"/>
              <w:rPr>
                <w:rFonts w:hAnsi="Arial"/>
                <w:bCs/>
                <w:color w:val="000000" w:themeColor="text1"/>
                <w:kern w:val="32"/>
                <w:szCs w:val="48"/>
              </w:rPr>
            </w:pPr>
            <w:proofErr w:type="gramStart"/>
            <w:r>
              <w:rPr>
                <w:rFonts w:hAnsi="Arial" w:hint="eastAsia"/>
                <w:bCs/>
                <w:color w:val="000000" w:themeColor="text1"/>
                <w:kern w:val="32"/>
                <w:szCs w:val="48"/>
              </w:rPr>
              <w:t>馮</w:t>
            </w:r>
            <w:proofErr w:type="gramEnd"/>
            <w:r>
              <w:rPr>
                <w:rFonts w:hAnsi="Arial" w:hint="eastAsia"/>
                <w:bCs/>
                <w:color w:val="000000" w:themeColor="text1"/>
                <w:kern w:val="32"/>
                <w:szCs w:val="48"/>
              </w:rPr>
              <w:t>○○</w:t>
            </w:r>
          </w:p>
        </w:tc>
      </w:tr>
      <w:tr w:rsidR="00A91325">
        <w:trPr>
          <w:trHeight w:val="284"/>
          <w:jc w:val="center"/>
        </w:trPr>
        <w:tc>
          <w:tcPr>
            <w:tcW w:w="1667" w:type="pct"/>
          </w:tcPr>
          <w:p w:rsidR="00A91325" w:rsidRDefault="00902C11">
            <w:pPr>
              <w:jc w:val="center"/>
              <w:outlineLvl w:val="1"/>
              <w:rPr>
                <w:rFonts w:hAnsi="Arial"/>
                <w:bCs/>
                <w:color w:val="000000" w:themeColor="text1"/>
                <w:kern w:val="32"/>
                <w:szCs w:val="48"/>
              </w:rPr>
            </w:pPr>
            <w:r>
              <w:rPr>
                <w:rFonts w:hAnsi="Arial"/>
                <w:bCs/>
                <w:color w:val="000000" w:themeColor="text1"/>
                <w:kern w:val="32"/>
                <w:szCs w:val="48"/>
              </w:rPr>
              <w:t>3</w:t>
            </w:r>
          </w:p>
        </w:tc>
        <w:tc>
          <w:tcPr>
            <w:tcW w:w="1667" w:type="pct"/>
          </w:tcPr>
          <w:p w:rsidR="00A91325" w:rsidRDefault="00902C11">
            <w:pPr>
              <w:jc w:val="center"/>
              <w:outlineLvl w:val="1"/>
              <w:rPr>
                <w:rFonts w:hAnsi="Arial"/>
                <w:bCs/>
                <w:color w:val="000000" w:themeColor="text1"/>
                <w:kern w:val="32"/>
                <w:szCs w:val="48"/>
              </w:rPr>
            </w:pPr>
            <w:r>
              <w:rPr>
                <w:rFonts w:hAnsi="Arial" w:hint="eastAsia"/>
                <w:bCs/>
                <w:color w:val="000000" w:themeColor="text1"/>
                <w:kern w:val="32"/>
                <w:szCs w:val="48"/>
              </w:rPr>
              <w:t>何○○</w:t>
            </w:r>
          </w:p>
        </w:tc>
        <w:tc>
          <w:tcPr>
            <w:tcW w:w="1667" w:type="pct"/>
          </w:tcPr>
          <w:p w:rsidR="00A91325" w:rsidRDefault="00902C11">
            <w:pPr>
              <w:jc w:val="center"/>
              <w:outlineLvl w:val="1"/>
              <w:rPr>
                <w:rFonts w:hAnsi="Arial"/>
                <w:bCs/>
                <w:color w:val="000000" w:themeColor="text1"/>
                <w:kern w:val="32"/>
                <w:szCs w:val="48"/>
              </w:rPr>
            </w:pPr>
            <w:r>
              <w:rPr>
                <w:rFonts w:hAnsi="Arial" w:hint="eastAsia"/>
                <w:bCs/>
                <w:color w:val="000000" w:themeColor="text1"/>
                <w:kern w:val="32"/>
                <w:szCs w:val="48"/>
              </w:rPr>
              <w:t>何○○</w:t>
            </w:r>
          </w:p>
        </w:tc>
      </w:tr>
      <w:tr w:rsidR="00A91325">
        <w:trPr>
          <w:trHeight w:val="284"/>
          <w:jc w:val="center"/>
        </w:trPr>
        <w:tc>
          <w:tcPr>
            <w:tcW w:w="1667" w:type="pct"/>
          </w:tcPr>
          <w:p w:rsidR="00A91325" w:rsidRDefault="00902C11">
            <w:pPr>
              <w:jc w:val="center"/>
              <w:outlineLvl w:val="1"/>
              <w:rPr>
                <w:rFonts w:hAnsi="Arial"/>
                <w:bCs/>
                <w:color w:val="000000" w:themeColor="text1"/>
                <w:kern w:val="32"/>
                <w:szCs w:val="48"/>
              </w:rPr>
            </w:pPr>
            <w:r>
              <w:rPr>
                <w:rFonts w:hAnsi="Arial"/>
                <w:bCs/>
                <w:color w:val="000000" w:themeColor="text1"/>
                <w:kern w:val="32"/>
                <w:szCs w:val="48"/>
              </w:rPr>
              <w:t>4</w:t>
            </w:r>
          </w:p>
        </w:tc>
        <w:tc>
          <w:tcPr>
            <w:tcW w:w="1667" w:type="pct"/>
          </w:tcPr>
          <w:p w:rsidR="00A91325" w:rsidRDefault="00902C11">
            <w:pPr>
              <w:jc w:val="center"/>
              <w:outlineLvl w:val="1"/>
              <w:rPr>
                <w:rFonts w:hAnsi="Arial"/>
                <w:bCs/>
                <w:color w:val="000000" w:themeColor="text1"/>
                <w:kern w:val="32"/>
                <w:szCs w:val="48"/>
              </w:rPr>
            </w:pPr>
            <w:r>
              <w:rPr>
                <w:rFonts w:hAnsi="Arial" w:hint="eastAsia"/>
                <w:bCs/>
                <w:color w:val="000000" w:themeColor="text1"/>
                <w:kern w:val="32"/>
                <w:szCs w:val="48"/>
              </w:rPr>
              <w:t>林○○</w:t>
            </w:r>
          </w:p>
        </w:tc>
        <w:tc>
          <w:tcPr>
            <w:tcW w:w="1667" w:type="pct"/>
          </w:tcPr>
          <w:p w:rsidR="00A91325" w:rsidRDefault="00902C11">
            <w:pPr>
              <w:jc w:val="center"/>
              <w:outlineLvl w:val="1"/>
              <w:rPr>
                <w:rFonts w:hAnsi="Arial"/>
                <w:bCs/>
                <w:color w:val="000000" w:themeColor="text1"/>
                <w:kern w:val="32"/>
                <w:szCs w:val="48"/>
              </w:rPr>
            </w:pPr>
            <w:r>
              <w:rPr>
                <w:rFonts w:hAnsi="Arial" w:hint="eastAsia"/>
                <w:bCs/>
                <w:color w:val="000000" w:themeColor="text1"/>
                <w:kern w:val="32"/>
                <w:szCs w:val="48"/>
              </w:rPr>
              <w:t>林○○</w:t>
            </w:r>
          </w:p>
        </w:tc>
      </w:tr>
      <w:tr w:rsidR="00A91325">
        <w:trPr>
          <w:trHeight w:val="284"/>
          <w:jc w:val="center"/>
        </w:trPr>
        <w:tc>
          <w:tcPr>
            <w:tcW w:w="1667" w:type="pct"/>
          </w:tcPr>
          <w:p w:rsidR="00A91325" w:rsidRDefault="00902C11">
            <w:pPr>
              <w:jc w:val="center"/>
              <w:outlineLvl w:val="1"/>
              <w:rPr>
                <w:rFonts w:hAnsi="Arial"/>
                <w:bCs/>
                <w:color w:val="000000" w:themeColor="text1"/>
                <w:kern w:val="32"/>
                <w:szCs w:val="48"/>
              </w:rPr>
            </w:pPr>
            <w:r>
              <w:rPr>
                <w:rFonts w:hAnsi="Arial"/>
                <w:bCs/>
                <w:color w:val="000000" w:themeColor="text1"/>
                <w:kern w:val="32"/>
                <w:szCs w:val="48"/>
              </w:rPr>
              <w:t>5</w:t>
            </w:r>
          </w:p>
        </w:tc>
        <w:tc>
          <w:tcPr>
            <w:tcW w:w="1667" w:type="pct"/>
          </w:tcPr>
          <w:p w:rsidR="00A91325" w:rsidRDefault="00902C11">
            <w:pPr>
              <w:jc w:val="center"/>
              <w:outlineLvl w:val="1"/>
              <w:rPr>
                <w:rFonts w:hAnsi="Arial"/>
                <w:bCs/>
                <w:color w:val="000000" w:themeColor="text1"/>
                <w:kern w:val="32"/>
                <w:szCs w:val="48"/>
              </w:rPr>
            </w:pPr>
            <w:r>
              <w:rPr>
                <w:rFonts w:hAnsi="Arial" w:hint="eastAsia"/>
                <w:bCs/>
                <w:color w:val="000000" w:themeColor="text1"/>
                <w:kern w:val="32"/>
                <w:szCs w:val="48"/>
              </w:rPr>
              <w:t>陳○○</w:t>
            </w:r>
          </w:p>
        </w:tc>
        <w:tc>
          <w:tcPr>
            <w:tcW w:w="1667" w:type="pct"/>
          </w:tcPr>
          <w:p w:rsidR="00A91325" w:rsidRDefault="00902C11">
            <w:pPr>
              <w:jc w:val="center"/>
              <w:outlineLvl w:val="1"/>
              <w:rPr>
                <w:rFonts w:hAnsi="Arial"/>
                <w:bCs/>
                <w:color w:val="000000" w:themeColor="text1"/>
                <w:kern w:val="32"/>
                <w:szCs w:val="48"/>
              </w:rPr>
            </w:pPr>
            <w:r>
              <w:rPr>
                <w:rFonts w:hAnsi="Arial" w:hint="eastAsia"/>
                <w:bCs/>
                <w:color w:val="000000" w:themeColor="text1"/>
                <w:kern w:val="32"/>
                <w:szCs w:val="48"/>
              </w:rPr>
              <w:t>陳○○</w:t>
            </w:r>
          </w:p>
        </w:tc>
      </w:tr>
      <w:tr w:rsidR="00A91325">
        <w:trPr>
          <w:trHeight w:val="284"/>
          <w:jc w:val="center"/>
        </w:trPr>
        <w:tc>
          <w:tcPr>
            <w:tcW w:w="1667" w:type="pct"/>
          </w:tcPr>
          <w:p w:rsidR="00A91325" w:rsidRDefault="00902C11">
            <w:pPr>
              <w:jc w:val="center"/>
              <w:outlineLvl w:val="1"/>
              <w:rPr>
                <w:rFonts w:hAnsi="Arial"/>
                <w:bCs/>
                <w:color w:val="000000" w:themeColor="text1"/>
                <w:kern w:val="32"/>
                <w:szCs w:val="48"/>
              </w:rPr>
            </w:pPr>
            <w:r>
              <w:rPr>
                <w:rFonts w:hAnsi="Arial"/>
                <w:bCs/>
                <w:color w:val="000000" w:themeColor="text1"/>
                <w:kern w:val="32"/>
                <w:szCs w:val="48"/>
              </w:rPr>
              <w:t>6</w:t>
            </w:r>
          </w:p>
        </w:tc>
        <w:tc>
          <w:tcPr>
            <w:tcW w:w="1667" w:type="pct"/>
          </w:tcPr>
          <w:p w:rsidR="00A91325" w:rsidRDefault="00902C11">
            <w:pPr>
              <w:jc w:val="center"/>
              <w:outlineLvl w:val="1"/>
              <w:rPr>
                <w:rFonts w:hAnsi="Arial"/>
                <w:bCs/>
                <w:color w:val="000000" w:themeColor="text1"/>
                <w:kern w:val="32"/>
                <w:szCs w:val="48"/>
              </w:rPr>
            </w:pPr>
            <w:r>
              <w:rPr>
                <w:rFonts w:hAnsi="Arial" w:hint="eastAsia"/>
                <w:bCs/>
                <w:color w:val="000000" w:themeColor="text1"/>
                <w:kern w:val="32"/>
                <w:szCs w:val="48"/>
              </w:rPr>
              <w:t>張○○</w:t>
            </w:r>
          </w:p>
        </w:tc>
        <w:tc>
          <w:tcPr>
            <w:tcW w:w="1667" w:type="pct"/>
          </w:tcPr>
          <w:p w:rsidR="00A91325" w:rsidRDefault="00902C11">
            <w:pPr>
              <w:jc w:val="center"/>
              <w:outlineLvl w:val="1"/>
              <w:rPr>
                <w:rFonts w:hAnsi="Arial"/>
                <w:bCs/>
                <w:color w:val="000000" w:themeColor="text1"/>
                <w:kern w:val="32"/>
                <w:szCs w:val="48"/>
              </w:rPr>
            </w:pPr>
            <w:r>
              <w:rPr>
                <w:rFonts w:hAnsi="Arial" w:hint="eastAsia"/>
                <w:bCs/>
                <w:color w:val="000000" w:themeColor="text1"/>
                <w:kern w:val="32"/>
                <w:szCs w:val="48"/>
              </w:rPr>
              <w:t>張○○</w:t>
            </w:r>
          </w:p>
        </w:tc>
      </w:tr>
      <w:tr w:rsidR="00A91325">
        <w:trPr>
          <w:trHeight w:val="284"/>
          <w:jc w:val="center"/>
        </w:trPr>
        <w:tc>
          <w:tcPr>
            <w:tcW w:w="1667" w:type="pct"/>
          </w:tcPr>
          <w:p w:rsidR="00A91325" w:rsidRDefault="00902C11">
            <w:pPr>
              <w:jc w:val="center"/>
              <w:outlineLvl w:val="1"/>
              <w:rPr>
                <w:rFonts w:hAnsi="Arial"/>
                <w:bCs/>
                <w:color w:val="000000" w:themeColor="text1"/>
                <w:kern w:val="32"/>
                <w:szCs w:val="48"/>
              </w:rPr>
            </w:pPr>
            <w:r>
              <w:rPr>
                <w:rFonts w:hAnsi="Arial"/>
                <w:bCs/>
                <w:color w:val="000000" w:themeColor="text1"/>
                <w:kern w:val="32"/>
                <w:szCs w:val="48"/>
              </w:rPr>
              <w:t>7</w:t>
            </w:r>
          </w:p>
        </w:tc>
        <w:tc>
          <w:tcPr>
            <w:tcW w:w="1667" w:type="pct"/>
          </w:tcPr>
          <w:p w:rsidR="00A91325" w:rsidRDefault="00902C11">
            <w:pPr>
              <w:jc w:val="center"/>
              <w:outlineLvl w:val="1"/>
              <w:rPr>
                <w:rFonts w:hAnsi="Arial"/>
                <w:bCs/>
                <w:color w:val="000000" w:themeColor="text1"/>
                <w:kern w:val="32"/>
                <w:szCs w:val="48"/>
              </w:rPr>
            </w:pPr>
            <w:r>
              <w:rPr>
                <w:rFonts w:hAnsi="Arial" w:hint="eastAsia"/>
                <w:bCs/>
                <w:color w:val="000000" w:themeColor="text1"/>
                <w:kern w:val="32"/>
                <w:szCs w:val="48"/>
              </w:rPr>
              <w:t>林○○</w:t>
            </w:r>
          </w:p>
        </w:tc>
        <w:tc>
          <w:tcPr>
            <w:tcW w:w="1667" w:type="pct"/>
          </w:tcPr>
          <w:p w:rsidR="00A91325" w:rsidRDefault="00902C11">
            <w:pPr>
              <w:jc w:val="center"/>
              <w:outlineLvl w:val="1"/>
              <w:rPr>
                <w:rFonts w:hAnsi="Arial"/>
                <w:bCs/>
                <w:color w:val="000000" w:themeColor="text1"/>
                <w:kern w:val="32"/>
                <w:szCs w:val="48"/>
              </w:rPr>
            </w:pPr>
            <w:r>
              <w:rPr>
                <w:rFonts w:hAnsi="Arial" w:hint="eastAsia"/>
                <w:bCs/>
                <w:color w:val="000000" w:themeColor="text1"/>
                <w:kern w:val="32"/>
                <w:szCs w:val="48"/>
              </w:rPr>
              <w:t>黃○○</w:t>
            </w:r>
          </w:p>
        </w:tc>
      </w:tr>
      <w:tr w:rsidR="00A91325">
        <w:trPr>
          <w:trHeight w:val="284"/>
          <w:jc w:val="center"/>
        </w:trPr>
        <w:tc>
          <w:tcPr>
            <w:tcW w:w="1667" w:type="pct"/>
          </w:tcPr>
          <w:p w:rsidR="00A91325" w:rsidRDefault="00902C11">
            <w:pPr>
              <w:jc w:val="center"/>
              <w:outlineLvl w:val="1"/>
              <w:rPr>
                <w:rFonts w:hAnsi="Arial"/>
                <w:bCs/>
                <w:color w:val="000000" w:themeColor="text1"/>
                <w:kern w:val="32"/>
                <w:szCs w:val="48"/>
              </w:rPr>
            </w:pPr>
            <w:r>
              <w:rPr>
                <w:rFonts w:hAnsi="Arial"/>
                <w:bCs/>
                <w:color w:val="000000" w:themeColor="text1"/>
                <w:kern w:val="32"/>
                <w:szCs w:val="48"/>
              </w:rPr>
              <w:t>8</w:t>
            </w:r>
          </w:p>
        </w:tc>
        <w:tc>
          <w:tcPr>
            <w:tcW w:w="1667" w:type="pct"/>
          </w:tcPr>
          <w:p w:rsidR="00A91325" w:rsidRDefault="00902C11">
            <w:pPr>
              <w:jc w:val="center"/>
              <w:outlineLvl w:val="1"/>
              <w:rPr>
                <w:rFonts w:hAnsi="Arial"/>
                <w:bCs/>
                <w:color w:val="000000" w:themeColor="text1"/>
                <w:kern w:val="32"/>
                <w:szCs w:val="48"/>
              </w:rPr>
            </w:pPr>
            <w:r>
              <w:rPr>
                <w:rFonts w:hAnsi="Arial" w:hint="eastAsia"/>
                <w:bCs/>
                <w:color w:val="000000" w:themeColor="text1"/>
                <w:kern w:val="32"/>
                <w:szCs w:val="48"/>
              </w:rPr>
              <w:t>李○</w:t>
            </w:r>
          </w:p>
        </w:tc>
        <w:tc>
          <w:tcPr>
            <w:tcW w:w="1667" w:type="pct"/>
          </w:tcPr>
          <w:p w:rsidR="00A91325" w:rsidRDefault="00902C11">
            <w:pPr>
              <w:jc w:val="center"/>
              <w:outlineLvl w:val="1"/>
              <w:rPr>
                <w:rFonts w:hAnsi="Arial"/>
                <w:bCs/>
                <w:color w:val="000000" w:themeColor="text1"/>
                <w:kern w:val="32"/>
                <w:szCs w:val="48"/>
              </w:rPr>
            </w:pPr>
            <w:r>
              <w:rPr>
                <w:rFonts w:hAnsi="Arial" w:hint="eastAsia"/>
                <w:bCs/>
                <w:color w:val="000000" w:themeColor="text1"/>
                <w:kern w:val="32"/>
                <w:szCs w:val="48"/>
              </w:rPr>
              <w:t>許○○</w:t>
            </w:r>
          </w:p>
        </w:tc>
      </w:tr>
      <w:tr w:rsidR="00A91325">
        <w:trPr>
          <w:trHeight w:val="284"/>
          <w:jc w:val="center"/>
        </w:trPr>
        <w:tc>
          <w:tcPr>
            <w:tcW w:w="1667" w:type="pct"/>
          </w:tcPr>
          <w:p w:rsidR="00A91325" w:rsidRDefault="00902C11">
            <w:pPr>
              <w:jc w:val="center"/>
              <w:outlineLvl w:val="1"/>
              <w:rPr>
                <w:rFonts w:hAnsi="Arial"/>
                <w:bCs/>
                <w:color w:val="000000" w:themeColor="text1"/>
                <w:kern w:val="32"/>
                <w:szCs w:val="48"/>
              </w:rPr>
            </w:pPr>
            <w:r>
              <w:rPr>
                <w:rFonts w:hAnsi="Arial"/>
                <w:bCs/>
                <w:color w:val="000000" w:themeColor="text1"/>
                <w:kern w:val="32"/>
                <w:szCs w:val="48"/>
              </w:rPr>
              <w:t>9</w:t>
            </w:r>
          </w:p>
        </w:tc>
        <w:tc>
          <w:tcPr>
            <w:tcW w:w="1667" w:type="pct"/>
          </w:tcPr>
          <w:p w:rsidR="00A91325" w:rsidRDefault="00902C11">
            <w:pPr>
              <w:jc w:val="center"/>
              <w:outlineLvl w:val="1"/>
              <w:rPr>
                <w:rFonts w:hAnsi="Arial"/>
                <w:bCs/>
                <w:color w:val="000000" w:themeColor="text1"/>
                <w:kern w:val="32"/>
                <w:szCs w:val="48"/>
              </w:rPr>
            </w:pPr>
            <w:r>
              <w:rPr>
                <w:rFonts w:hAnsi="Arial" w:hint="eastAsia"/>
                <w:bCs/>
                <w:color w:val="000000" w:themeColor="text1"/>
                <w:kern w:val="32"/>
                <w:szCs w:val="48"/>
              </w:rPr>
              <w:t>陳○○</w:t>
            </w:r>
          </w:p>
        </w:tc>
        <w:tc>
          <w:tcPr>
            <w:tcW w:w="1667" w:type="pct"/>
          </w:tcPr>
          <w:p w:rsidR="00A91325" w:rsidRDefault="00902C11">
            <w:pPr>
              <w:jc w:val="center"/>
              <w:outlineLvl w:val="1"/>
              <w:rPr>
                <w:rFonts w:hAnsi="Arial"/>
                <w:bCs/>
                <w:color w:val="000000" w:themeColor="text1"/>
                <w:kern w:val="32"/>
                <w:szCs w:val="48"/>
              </w:rPr>
            </w:pPr>
            <w:r>
              <w:rPr>
                <w:rFonts w:hAnsi="Arial" w:hint="eastAsia"/>
                <w:bCs/>
                <w:color w:val="000000" w:themeColor="text1"/>
                <w:kern w:val="32"/>
                <w:szCs w:val="48"/>
              </w:rPr>
              <w:t>李○○</w:t>
            </w:r>
          </w:p>
        </w:tc>
      </w:tr>
      <w:tr w:rsidR="00A91325">
        <w:trPr>
          <w:trHeight w:val="284"/>
          <w:jc w:val="center"/>
        </w:trPr>
        <w:tc>
          <w:tcPr>
            <w:tcW w:w="1667" w:type="pct"/>
          </w:tcPr>
          <w:p w:rsidR="00A91325" w:rsidRDefault="00902C11">
            <w:pPr>
              <w:jc w:val="center"/>
              <w:outlineLvl w:val="1"/>
              <w:rPr>
                <w:rFonts w:hAnsi="Arial"/>
                <w:bCs/>
                <w:color w:val="000000" w:themeColor="text1"/>
                <w:kern w:val="32"/>
                <w:szCs w:val="48"/>
              </w:rPr>
            </w:pPr>
            <w:r>
              <w:rPr>
                <w:rFonts w:hAnsi="Arial"/>
                <w:bCs/>
                <w:color w:val="000000" w:themeColor="text1"/>
                <w:kern w:val="32"/>
                <w:szCs w:val="48"/>
              </w:rPr>
              <w:lastRenderedPageBreak/>
              <w:t>10</w:t>
            </w:r>
          </w:p>
        </w:tc>
        <w:tc>
          <w:tcPr>
            <w:tcW w:w="1667" w:type="pct"/>
          </w:tcPr>
          <w:p w:rsidR="00A91325" w:rsidRDefault="00902C11">
            <w:pPr>
              <w:jc w:val="center"/>
              <w:outlineLvl w:val="1"/>
              <w:rPr>
                <w:rFonts w:hAnsi="Arial"/>
                <w:bCs/>
                <w:color w:val="000000" w:themeColor="text1"/>
                <w:kern w:val="32"/>
                <w:szCs w:val="48"/>
              </w:rPr>
            </w:pPr>
            <w:r>
              <w:rPr>
                <w:rFonts w:hAnsi="Arial" w:hint="eastAsia"/>
                <w:bCs/>
                <w:color w:val="000000" w:themeColor="text1"/>
                <w:kern w:val="32"/>
                <w:szCs w:val="48"/>
              </w:rPr>
              <w:t>林○○</w:t>
            </w:r>
          </w:p>
        </w:tc>
        <w:tc>
          <w:tcPr>
            <w:tcW w:w="1667" w:type="pct"/>
          </w:tcPr>
          <w:p w:rsidR="00A91325" w:rsidRDefault="00902C11">
            <w:pPr>
              <w:jc w:val="center"/>
              <w:outlineLvl w:val="1"/>
              <w:rPr>
                <w:rFonts w:hAnsi="Arial"/>
                <w:bCs/>
                <w:color w:val="000000" w:themeColor="text1"/>
                <w:kern w:val="32"/>
                <w:szCs w:val="48"/>
              </w:rPr>
            </w:pPr>
            <w:proofErr w:type="gramStart"/>
            <w:r>
              <w:rPr>
                <w:rFonts w:hAnsi="Arial" w:hint="eastAsia"/>
                <w:bCs/>
                <w:color w:val="000000" w:themeColor="text1"/>
                <w:kern w:val="32"/>
                <w:szCs w:val="48"/>
              </w:rPr>
              <w:t>巫</w:t>
            </w:r>
            <w:proofErr w:type="gramEnd"/>
            <w:r>
              <w:rPr>
                <w:rFonts w:hAnsi="Arial" w:hint="eastAsia"/>
                <w:bCs/>
                <w:color w:val="000000" w:themeColor="text1"/>
                <w:kern w:val="32"/>
                <w:szCs w:val="48"/>
              </w:rPr>
              <w:t>○○</w:t>
            </w:r>
          </w:p>
        </w:tc>
      </w:tr>
      <w:tr w:rsidR="00A91325">
        <w:trPr>
          <w:trHeight w:val="284"/>
          <w:jc w:val="center"/>
        </w:trPr>
        <w:tc>
          <w:tcPr>
            <w:tcW w:w="1667" w:type="pct"/>
          </w:tcPr>
          <w:p w:rsidR="00A91325" w:rsidRDefault="00902C11">
            <w:pPr>
              <w:jc w:val="center"/>
              <w:outlineLvl w:val="1"/>
              <w:rPr>
                <w:rFonts w:hAnsi="Arial"/>
                <w:bCs/>
                <w:color w:val="000000" w:themeColor="text1"/>
                <w:kern w:val="32"/>
                <w:szCs w:val="48"/>
              </w:rPr>
            </w:pPr>
            <w:r>
              <w:rPr>
                <w:rFonts w:hAnsi="Arial"/>
                <w:bCs/>
                <w:color w:val="000000" w:themeColor="text1"/>
                <w:kern w:val="32"/>
                <w:szCs w:val="48"/>
              </w:rPr>
              <w:t>11</w:t>
            </w:r>
          </w:p>
        </w:tc>
        <w:tc>
          <w:tcPr>
            <w:tcW w:w="1667" w:type="pct"/>
          </w:tcPr>
          <w:p w:rsidR="00A91325" w:rsidRDefault="00902C11">
            <w:pPr>
              <w:jc w:val="center"/>
              <w:outlineLvl w:val="1"/>
              <w:rPr>
                <w:rFonts w:hAnsi="Arial"/>
                <w:bCs/>
                <w:color w:val="000000" w:themeColor="text1"/>
                <w:kern w:val="32"/>
                <w:szCs w:val="48"/>
              </w:rPr>
            </w:pPr>
            <w:r>
              <w:rPr>
                <w:rFonts w:hAnsi="Arial" w:hint="eastAsia"/>
                <w:bCs/>
                <w:color w:val="000000" w:themeColor="text1"/>
                <w:kern w:val="32"/>
                <w:szCs w:val="48"/>
              </w:rPr>
              <w:t>曾○○</w:t>
            </w:r>
          </w:p>
        </w:tc>
        <w:tc>
          <w:tcPr>
            <w:tcW w:w="1667" w:type="pct"/>
          </w:tcPr>
          <w:p w:rsidR="00A91325" w:rsidRDefault="00902C11">
            <w:pPr>
              <w:jc w:val="center"/>
              <w:outlineLvl w:val="1"/>
              <w:rPr>
                <w:rFonts w:hAnsi="Arial"/>
                <w:bCs/>
                <w:color w:val="000000" w:themeColor="text1"/>
                <w:kern w:val="32"/>
                <w:szCs w:val="48"/>
              </w:rPr>
            </w:pPr>
            <w:r>
              <w:rPr>
                <w:rFonts w:hAnsi="Arial" w:hint="eastAsia"/>
                <w:bCs/>
                <w:color w:val="000000" w:themeColor="text1"/>
                <w:kern w:val="32"/>
                <w:szCs w:val="48"/>
              </w:rPr>
              <w:t>曾○○</w:t>
            </w:r>
          </w:p>
        </w:tc>
      </w:tr>
      <w:tr w:rsidR="00A91325">
        <w:trPr>
          <w:trHeight w:val="284"/>
          <w:jc w:val="center"/>
        </w:trPr>
        <w:tc>
          <w:tcPr>
            <w:tcW w:w="1667" w:type="pct"/>
          </w:tcPr>
          <w:p w:rsidR="00A91325" w:rsidRDefault="00902C11">
            <w:pPr>
              <w:jc w:val="center"/>
              <w:outlineLvl w:val="1"/>
              <w:rPr>
                <w:rFonts w:hAnsi="Arial"/>
                <w:bCs/>
                <w:color w:val="000000" w:themeColor="text1"/>
                <w:kern w:val="32"/>
                <w:szCs w:val="48"/>
              </w:rPr>
            </w:pPr>
            <w:r>
              <w:rPr>
                <w:rFonts w:hAnsi="Arial"/>
                <w:bCs/>
                <w:color w:val="000000" w:themeColor="text1"/>
                <w:kern w:val="32"/>
                <w:szCs w:val="48"/>
              </w:rPr>
              <w:t>12</w:t>
            </w:r>
          </w:p>
        </w:tc>
        <w:tc>
          <w:tcPr>
            <w:tcW w:w="1667" w:type="pct"/>
          </w:tcPr>
          <w:p w:rsidR="00A91325" w:rsidRDefault="00902C11">
            <w:pPr>
              <w:jc w:val="center"/>
              <w:outlineLvl w:val="1"/>
              <w:rPr>
                <w:rFonts w:hAnsi="Arial"/>
                <w:bCs/>
                <w:color w:val="000000" w:themeColor="text1"/>
                <w:kern w:val="32"/>
                <w:szCs w:val="48"/>
              </w:rPr>
            </w:pPr>
            <w:r>
              <w:rPr>
                <w:rFonts w:hAnsi="Arial" w:hint="eastAsia"/>
                <w:bCs/>
                <w:color w:val="000000" w:themeColor="text1"/>
                <w:kern w:val="32"/>
                <w:szCs w:val="48"/>
              </w:rPr>
              <w:t>簡○○</w:t>
            </w:r>
          </w:p>
        </w:tc>
        <w:tc>
          <w:tcPr>
            <w:tcW w:w="1667" w:type="pct"/>
          </w:tcPr>
          <w:p w:rsidR="00A91325" w:rsidRDefault="00902C11">
            <w:pPr>
              <w:jc w:val="center"/>
              <w:outlineLvl w:val="1"/>
              <w:rPr>
                <w:rFonts w:hAnsi="Arial"/>
                <w:bCs/>
                <w:color w:val="000000" w:themeColor="text1"/>
                <w:kern w:val="32"/>
                <w:szCs w:val="48"/>
              </w:rPr>
            </w:pPr>
            <w:r>
              <w:rPr>
                <w:rFonts w:hAnsi="Arial" w:hint="eastAsia"/>
                <w:bCs/>
                <w:color w:val="000000" w:themeColor="text1"/>
                <w:kern w:val="32"/>
                <w:szCs w:val="48"/>
              </w:rPr>
              <w:t>梁○○</w:t>
            </w:r>
          </w:p>
        </w:tc>
      </w:tr>
      <w:tr w:rsidR="00A91325">
        <w:trPr>
          <w:trHeight w:val="284"/>
          <w:jc w:val="center"/>
        </w:trPr>
        <w:tc>
          <w:tcPr>
            <w:tcW w:w="1667" w:type="pct"/>
          </w:tcPr>
          <w:p w:rsidR="00A91325" w:rsidRDefault="00902C11">
            <w:pPr>
              <w:jc w:val="center"/>
              <w:outlineLvl w:val="1"/>
              <w:rPr>
                <w:rFonts w:hAnsi="Arial"/>
                <w:bCs/>
                <w:color w:val="000000" w:themeColor="text1"/>
                <w:kern w:val="32"/>
                <w:szCs w:val="48"/>
              </w:rPr>
            </w:pPr>
            <w:r>
              <w:rPr>
                <w:rFonts w:hAnsi="Arial" w:hint="eastAsia"/>
                <w:bCs/>
                <w:color w:val="000000" w:themeColor="text1"/>
                <w:kern w:val="32"/>
                <w:szCs w:val="48"/>
              </w:rPr>
              <w:t>合計金額</w:t>
            </w:r>
          </w:p>
        </w:tc>
        <w:tc>
          <w:tcPr>
            <w:tcW w:w="3333" w:type="pct"/>
            <w:gridSpan w:val="2"/>
          </w:tcPr>
          <w:p w:rsidR="00A91325" w:rsidRDefault="00902C11">
            <w:pPr>
              <w:jc w:val="center"/>
              <w:outlineLvl w:val="1"/>
              <w:rPr>
                <w:rFonts w:hAnsi="Arial"/>
                <w:bCs/>
                <w:color w:val="000000" w:themeColor="text1"/>
                <w:kern w:val="32"/>
                <w:szCs w:val="48"/>
              </w:rPr>
            </w:pPr>
            <w:r>
              <w:rPr>
                <w:rFonts w:hAnsi="Arial" w:hint="eastAsia"/>
                <w:bCs/>
                <w:color w:val="000000" w:themeColor="text1"/>
                <w:kern w:val="32"/>
                <w:szCs w:val="48"/>
              </w:rPr>
              <w:t>1,320元</w:t>
            </w:r>
          </w:p>
        </w:tc>
      </w:tr>
    </w:tbl>
    <w:p w:rsidR="00A91325" w:rsidRDefault="00902C11">
      <w:pPr>
        <w:pStyle w:val="3"/>
        <w:numPr>
          <w:ilvl w:val="0"/>
          <w:numId w:val="0"/>
        </w:numPr>
        <w:spacing w:afterLines="50" w:after="228"/>
        <w:ind w:left="709" w:hanging="681"/>
        <w:rPr>
          <w:color w:val="000000" w:themeColor="text1"/>
          <w:sz w:val="28"/>
          <w:szCs w:val="28"/>
        </w:rPr>
      </w:pPr>
      <w:r>
        <w:rPr>
          <w:rFonts w:hint="eastAsia"/>
          <w:color w:val="000000" w:themeColor="text1"/>
          <w:sz w:val="28"/>
          <w:szCs w:val="28"/>
        </w:rPr>
        <w:t>資料來源：本院整理自國防部海軍司令提供資料</w:t>
      </w:r>
    </w:p>
    <w:p w:rsidR="00A91325" w:rsidRDefault="00902C11">
      <w:pPr>
        <w:pStyle w:val="3"/>
        <w:rPr>
          <w:color w:val="000000" w:themeColor="text1"/>
        </w:rPr>
      </w:pPr>
      <w:r>
        <w:rPr>
          <w:rFonts w:hint="eastAsia"/>
          <w:color w:val="000000" w:themeColor="text1"/>
        </w:rPr>
        <w:t>據國防部說明，為有效強化各單位財務紀律管理效能，</w:t>
      </w:r>
      <w:proofErr w:type="gramStart"/>
      <w:r>
        <w:rPr>
          <w:rFonts w:hint="eastAsia"/>
          <w:color w:val="000000" w:themeColor="text1"/>
        </w:rPr>
        <w:t>該部持恆</w:t>
      </w:r>
      <w:proofErr w:type="gramEnd"/>
      <w:r>
        <w:rPr>
          <w:rFonts w:hint="eastAsia"/>
          <w:color w:val="000000" w:themeColor="text1"/>
        </w:rPr>
        <w:t>推動諸般在職教育與訓練課程，計有「財務管理作業講習」、「內部審核教育訓練」、「國軍官兵理財宣教」及「國軍財務會計通報」等課程，藉由教育訓練實效，以強化渠等經費支用正確觀念，貫徹「依法行政、</w:t>
      </w:r>
      <w:proofErr w:type="gramStart"/>
      <w:r>
        <w:rPr>
          <w:rFonts w:hint="eastAsia"/>
          <w:color w:val="000000" w:themeColor="text1"/>
        </w:rPr>
        <w:t>公款法</w:t>
      </w:r>
      <w:proofErr w:type="gramEnd"/>
      <w:r>
        <w:rPr>
          <w:rFonts w:hint="eastAsia"/>
          <w:color w:val="000000" w:themeColor="text1"/>
        </w:rPr>
        <w:t>用」之政策，並藉職能訓練實效，結合單位年度內部審核工作計畫與任務特性，</w:t>
      </w:r>
      <w:proofErr w:type="gramStart"/>
      <w:r>
        <w:rPr>
          <w:rFonts w:hint="eastAsia"/>
          <w:color w:val="000000" w:themeColor="text1"/>
        </w:rPr>
        <w:t>加強督管深</w:t>
      </w:r>
      <w:proofErr w:type="gramEnd"/>
      <w:r>
        <w:rPr>
          <w:rFonts w:hint="eastAsia"/>
          <w:color w:val="000000" w:themeColor="text1"/>
        </w:rPr>
        <w:t>度與審核密度，以健全財務管理與嚴肅作業紀律。為加強宣導「依法行政」、「</w:t>
      </w:r>
      <w:proofErr w:type="gramStart"/>
      <w:r>
        <w:rPr>
          <w:rFonts w:hint="eastAsia"/>
          <w:color w:val="000000" w:themeColor="text1"/>
        </w:rPr>
        <w:t>公款法用</w:t>
      </w:r>
      <w:proofErr w:type="gramEnd"/>
      <w:r>
        <w:rPr>
          <w:rFonts w:hint="eastAsia"/>
          <w:color w:val="000000" w:themeColor="text1"/>
        </w:rPr>
        <w:t>」觀念及財務違失案例宣教，亦要求單位恪遵相關法規，不可因便宜行事，而簡略相關作業程序或漠視法令規範，避免經費支用不當情事肇生。國防部為強化國軍官兵財務紀律所為精進作為，包含紮根基層單位主官在職教育、強化法規宣導落實教育訓練、運用組織功能輔導官兵理財，及適時檢討經費核銷簡化作業等。針對國軍法治教育執行，該部計有：1、規劃士官督導長依法行政等課程，透過課後評鑑及證書認證，強化士官督導長法律知能；2、辦理國軍人員法治在職訓練，透過演講、媒體刊物等方式多元宣教，以擴大</w:t>
      </w:r>
      <w:proofErr w:type="gramStart"/>
      <w:r>
        <w:rPr>
          <w:rFonts w:hint="eastAsia"/>
          <w:color w:val="000000" w:themeColor="text1"/>
        </w:rPr>
        <w:t>教效；</w:t>
      </w:r>
      <w:proofErr w:type="gramEnd"/>
      <w:r>
        <w:rPr>
          <w:rFonts w:hint="eastAsia"/>
          <w:color w:val="000000" w:themeColor="text1"/>
        </w:rPr>
        <w:t>3、「</w:t>
      </w:r>
      <w:proofErr w:type="gramStart"/>
      <w:r>
        <w:rPr>
          <w:rFonts w:hint="eastAsia"/>
          <w:color w:val="000000" w:themeColor="text1"/>
        </w:rPr>
        <w:t>以測代訓</w:t>
      </w:r>
      <w:proofErr w:type="gramEnd"/>
      <w:r>
        <w:rPr>
          <w:rFonts w:hint="eastAsia"/>
          <w:color w:val="000000" w:themeColor="text1"/>
        </w:rPr>
        <w:t>」不定期實施測驗，強化高階幹部肅貪</w:t>
      </w:r>
      <w:proofErr w:type="gramStart"/>
      <w:r>
        <w:rPr>
          <w:rFonts w:hint="eastAsia"/>
          <w:color w:val="000000" w:themeColor="text1"/>
        </w:rPr>
        <w:t>防弊等法</w:t>
      </w:r>
      <w:proofErr w:type="gramEnd"/>
      <w:r>
        <w:rPr>
          <w:rFonts w:hint="eastAsia"/>
          <w:color w:val="000000" w:themeColor="text1"/>
        </w:rPr>
        <w:t>治觀念及定期、不定期考核業務督考，防杜官兵涉</w:t>
      </w:r>
      <w:r>
        <w:rPr>
          <w:rFonts w:hint="eastAsia"/>
          <w:color w:val="000000" w:themeColor="text1"/>
        </w:rPr>
        <w:lastRenderedPageBreak/>
        <w:t>法</w:t>
      </w:r>
      <w:proofErr w:type="gramStart"/>
      <w:r>
        <w:rPr>
          <w:rFonts w:hint="eastAsia"/>
          <w:color w:val="000000" w:themeColor="text1"/>
        </w:rPr>
        <w:t>風險等精</w:t>
      </w:r>
      <w:proofErr w:type="gramEnd"/>
      <w:r>
        <w:rPr>
          <w:rFonts w:hint="eastAsia"/>
          <w:color w:val="000000" w:themeColor="text1"/>
        </w:rPr>
        <w:t>進作為。</w:t>
      </w:r>
    </w:p>
    <w:p w:rsidR="00A91325" w:rsidRDefault="00902C11">
      <w:pPr>
        <w:pStyle w:val="3"/>
        <w:rPr>
          <w:color w:val="000000" w:themeColor="text1"/>
        </w:rPr>
      </w:pPr>
      <w:r>
        <w:rPr>
          <w:rFonts w:hint="eastAsia"/>
          <w:color w:val="000000" w:themeColor="text1"/>
        </w:rPr>
        <w:t>綜上，近年在政府推動「</w:t>
      </w:r>
      <w:proofErr w:type="gramStart"/>
      <w:r>
        <w:rPr>
          <w:rFonts w:hint="eastAsia"/>
          <w:color w:val="000000" w:themeColor="text1"/>
        </w:rPr>
        <w:t>國機國</w:t>
      </w:r>
      <w:proofErr w:type="gramEnd"/>
      <w:r>
        <w:rPr>
          <w:rFonts w:hint="eastAsia"/>
          <w:color w:val="000000" w:themeColor="text1"/>
        </w:rPr>
        <w:t>造、國艦國造」的國防自主政策下，國防預算編列持續擴增，為使各項財務</w:t>
      </w:r>
      <w:proofErr w:type="gramStart"/>
      <w:r>
        <w:rPr>
          <w:rFonts w:hint="eastAsia"/>
          <w:color w:val="000000" w:themeColor="text1"/>
        </w:rPr>
        <w:t>收支均能依</w:t>
      </w:r>
      <w:proofErr w:type="gramEnd"/>
      <w:r>
        <w:rPr>
          <w:rFonts w:hint="eastAsia"/>
          <w:color w:val="000000" w:themeColor="text1"/>
        </w:rPr>
        <w:t>法支用，提升國軍相關財務管理作為，</w:t>
      </w:r>
      <w:bookmarkStart w:id="73" w:name="_Hlk141633344"/>
      <w:r>
        <w:rPr>
          <w:rFonts w:hint="eastAsia"/>
          <w:color w:val="000000" w:themeColor="text1"/>
        </w:rPr>
        <w:t>以杜絕財務違失風險，貫徹廉</w:t>
      </w:r>
      <w:proofErr w:type="gramStart"/>
      <w:r>
        <w:rPr>
          <w:rFonts w:hint="eastAsia"/>
          <w:color w:val="000000" w:themeColor="text1"/>
        </w:rPr>
        <w:t>能軍</w:t>
      </w:r>
      <w:proofErr w:type="gramEnd"/>
      <w:r>
        <w:rPr>
          <w:rFonts w:hint="eastAsia"/>
          <w:color w:val="000000" w:themeColor="text1"/>
        </w:rPr>
        <w:t>風，及避免國軍對於公款私用之觀念偏差，心存僥倖下便宜行事、虛報費用所衍生諸多易遭外界非難情事</w:t>
      </w:r>
      <w:bookmarkEnd w:id="73"/>
      <w:r>
        <w:rPr>
          <w:rFonts w:hint="eastAsia"/>
          <w:color w:val="000000" w:themeColor="text1"/>
        </w:rPr>
        <w:t>，除端正國軍各級單位財務行政作業紀律外，國防部應持續落實法令遵循與強化財務責任教育訓練，宣導正確經費支用觀念。另為因應政府經費核銷作業簡化政策，如何有效</w:t>
      </w:r>
      <w:proofErr w:type="gramStart"/>
      <w:r>
        <w:rPr>
          <w:rFonts w:hint="eastAsia"/>
          <w:color w:val="000000" w:themeColor="text1"/>
        </w:rPr>
        <w:t>防杜違失</w:t>
      </w:r>
      <w:proofErr w:type="gramEnd"/>
      <w:r>
        <w:rPr>
          <w:rFonts w:hint="eastAsia"/>
          <w:color w:val="000000" w:themeColor="text1"/>
        </w:rPr>
        <w:t>案件發生，營造優質的公務環境，及加強此類案件內控機制或行政管理之宣導，由預防面推動，消弭犯罪誘因，以減少此類犯罪行為之發生，國防部應研議相關策進作為，以提升國軍財務管理及廉政法治觀念，並隨時滾動式檢討法令規定，對於所屬國軍落實法紀教育及督導管理之責，建立一套有效的管控及勾稽機制，降低國軍財務運作之違失風險。</w:t>
      </w:r>
      <w:r>
        <w:rPr>
          <w:color w:val="000000" w:themeColor="text1"/>
        </w:rPr>
        <w:t xml:space="preserve"> </w:t>
      </w:r>
    </w:p>
    <w:p w:rsidR="00A91325" w:rsidRDefault="00902C11">
      <w:pPr>
        <w:pStyle w:val="2"/>
        <w:rPr>
          <w:b/>
          <w:color w:val="000000" w:themeColor="text1"/>
        </w:rPr>
      </w:pPr>
      <w:r>
        <w:rPr>
          <w:rFonts w:hint="eastAsia"/>
          <w:b/>
          <w:color w:val="000000" w:themeColor="text1"/>
        </w:rPr>
        <w:t>貪污治罪條例第5條第1項第2款規定之利用職務機會詐取財物罪中，所謂「詐取財物」應與刑法第339條第1項之「詐欺取財」為相同解釋。原確定判決以</w:t>
      </w:r>
      <w:proofErr w:type="gramStart"/>
      <w:r>
        <w:rPr>
          <w:rFonts w:hint="eastAsia"/>
          <w:b/>
          <w:color w:val="000000" w:themeColor="text1"/>
        </w:rPr>
        <w:t>郭</w:t>
      </w:r>
      <w:proofErr w:type="gramEnd"/>
      <w:r>
        <w:rPr>
          <w:rFonts w:hint="eastAsia"/>
          <w:b/>
          <w:color w:val="000000" w:themeColor="text1"/>
        </w:rPr>
        <w:t>○○於108年5月7日擔任</w:t>
      </w:r>
      <w:proofErr w:type="gramStart"/>
      <w:r>
        <w:rPr>
          <w:rFonts w:hint="eastAsia"/>
          <w:b/>
          <w:color w:val="000000" w:themeColor="text1"/>
        </w:rPr>
        <w:t>通指部指揮官期間</w:t>
      </w:r>
      <w:proofErr w:type="gramEnd"/>
      <w:r>
        <w:rPr>
          <w:rFonts w:hint="eastAsia"/>
          <w:b/>
          <w:color w:val="000000" w:themeColor="text1"/>
        </w:rPr>
        <w:t>，與同仁在</w:t>
      </w:r>
      <w:r w:rsidR="00CE6727">
        <w:rPr>
          <w:rFonts w:hint="eastAsia"/>
          <w:b/>
          <w:color w:val="000000" w:themeColor="text1"/>
        </w:rPr>
        <w:t>○○○牛排館</w:t>
      </w:r>
      <w:proofErr w:type="gramStart"/>
      <w:r>
        <w:rPr>
          <w:rFonts w:hint="eastAsia"/>
          <w:b/>
          <w:color w:val="000000" w:themeColor="text1"/>
        </w:rPr>
        <w:t>餐敘</w:t>
      </w:r>
      <w:proofErr w:type="gramEnd"/>
      <w:r>
        <w:rPr>
          <w:rFonts w:hint="eastAsia"/>
          <w:b/>
          <w:color w:val="000000" w:themeColor="text1"/>
        </w:rPr>
        <w:t>後，向聚餐同仁收取聚餐費用，嗣</w:t>
      </w:r>
      <w:proofErr w:type="gramStart"/>
      <w:r>
        <w:rPr>
          <w:rFonts w:hint="eastAsia"/>
          <w:b/>
          <w:color w:val="000000" w:themeColor="text1"/>
        </w:rPr>
        <w:t>又憑向</w:t>
      </w:r>
      <w:proofErr w:type="gramEnd"/>
      <w:r>
        <w:rPr>
          <w:rFonts w:hint="eastAsia"/>
          <w:b/>
          <w:color w:val="000000" w:themeColor="text1"/>
        </w:rPr>
        <w:t>該店索取之發票辦理主官行政</w:t>
      </w:r>
      <w:proofErr w:type="gramStart"/>
      <w:r>
        <w:rPr>
          <w:rFonts w:hint="eastAsia"/>
          <w:b/>
          <w:color w:val="000000" w:themeColor="text1"/>
        </w:rPr>
        <w:t>事務費結</w:t>
      </w:r>
      <w:proofErr w:type="gramEnd"/>
      <w:r>
        <w:rPr>
          <w:rFonts w:hint="eastAsia"/>
          <w:b/>
          <w:color w:val="000000" w:themeColor="text1"/>
        </w:rPr>
        <w:t>報4,797元，因而認定其成立利用職務上機會詐取財物罪。</w:t>
      </w:r>
      <w:proofErr w:type="gramStart"/>
      <w:r>
        <w:rPr>
          <w:rFonts w:hint="eastAsia"/>
          <w:b/>
          <w:color w:val="000000" w:themeColor="text1"/>
        </w:rPr>
        <w:t>惟</w:t>
      </w:r>
      <w:proofErr w:type="gramEnd"/>
      <w:r>
        <w:rPr>
          <w:rFonts w:hint="eastAsia"/>
          <w:b/>
          <w:color w:val="000000" w:themeColor="text1"/>
        </w:rPr>
        <w:t>宴請同仁聚餐屬「國防部與所屬各級單位主官及副主官特別費行政費管制措施」列舉之主官行政事務費列支範圍，故郭○○於</w:t>
      </w:r>
      <w:proofErr w:type="gramStart"/>
      <w:r>
        <w:rPr>
          <w:rFonts w:hint="eastAsia"/>
          <w:b/>
          <w:color w:val="000000" w:themeColor="text1"/>
        </w:rPr>
        <w:t>餐敘</w:t>
      </w:r>
      <w:proofErr w:type="gramEnd"/>
      <w:r>
        <w:rPr>
          <w:rFonts w:hint="eastAsia"/>
          <w:b/>
          <w:color w:val="000000" w:themeColor="text1"/>
        </w:rPr>
        <w:t>後，憑店家開立之發票辦理主官行政</w:t>
      </w:r>
      <w:proofErr w:type="gramStart"/>
      <w:r>
        <w:rPr>
          <w:rFonts w:hint="eastAsia"/>
          <w:b/>
          <w:color w:val="000000" w:themeColor="text1"/>
        </w:rPr>
        <w:t>事務費結</w:t>
      </w:r>
      <w:proofErr w:type="gramEnd"/>
      <w:r>
        <w:rPr>
          <w:rFonts w:hint="eastAsia"/>
          <w:b/>
          <w:color w:val="000000" w:themeColor="text1"/>
        </w:rPr>
        <w:t>報，並無「施用詐術」情事，核銷人員依法核銷並支給主官行政事務費4,797元，亦非</w:t>
      </w:r>
      <w:r>
        <w:rPr>
          <w:rFonts w:hint="eastAsia"/>
          <w:b/>
          <w:color w:val="000000" w:themeColor="text1"/>
        </w:rPr>
        <w:lastRenderedPageBreak/>
        <w:t>「陷於錯誤」而給付。原審判決未論斷</w:t>
      </w:r>
      <w:proofErr w:type="gramStart"/>
      <w:r>
        <w:rPr>
          <w:rFonts w:hint="eastAsia"/>
          <w:b/>
          <w:color w:val="000000" w:themeColor="text1"/>
        </w:rPr>
        <w:t>郭</w:t>
      </w:r>
      <w:proofErr w:type="gramEnd"/>
      <w:r>
        <w:rPr>
          <w:rFonts w:hint="eastAsia"/>
          <w:b/>
          <w:color w:val="000000" w:themeColor="text1"/>
        </w:rPr>
        <w:t>○○</w:t>
      </w:r>
      <w:proofErr w:type="gramStart"/>
      <w:r>
        <w:rPr>
          <w:rFonts w:hint="eastAsia"/>
          <w:b/>
          <w:color w:val="000000" w:themeColor="text1"/>
        </w:rPr>
        <w:t>報支主</w:t>
      </w:r>
      <w:proofErr w:type="gramEnd"/>
      <w:r>
        <w:rPr>
          <w:rFonts w:hint="eastAsia"/>
          <w:b/>
          <w:color w:val="000000" w:themeColor="text1"/>
        </w:rPr>
        <w:t>官行政事務費之程序有何與事實不符之處，因而該當「施用詐術」之構成要件，又既認郭○○負有核定單位各項經費支出之責，對主官行政事務</w:t>
      </w:r>
      <w:proofErr w:type="gramStart"/>
      <w:r>
        <w:rPr>
          <w:rFonts w:hint="eastAsia"/>
          <w:b/>
          <w:color w:val="000000" w:themeColor="text1"/>
        </w:rPr>
        <w:t>費具</w:t>
      </w:r>
      <w:proofErr w:type="gramEnd"/>
      <w:r>
        <w:rPr>
          <w:rFonts w:hint="eastAsia"/>
          <w:b/>
          <w:color w:val="000000" w:themeColor="text1"/>
        </w:rPr>
        <w:t>處分權，卻逕以核銷人員陷於錯誤為由論斷其犯利用職務上機會詐取財物罪，有判決不載理由及理由矛盾之違背法令情事。另</w:t>
      </w:r>
      <w:proofErr w:type="gramStart"/>
      <w:r>
        <w:rPr>
          <w:rFonts w:hint="eastAsia"/>
          <w:b/>
          <w:color w:val="000000" w:themeColor="text1"/>
        </w:rPr>
        <w:t>郭</w:t>
      </w:r>
      <w:proofErr w:type="gramEnd"/>
      <w:r>
        <w:rPr>
          <w:rFonts w:hint="eastAsia"/>
          <w:b/>
          <w:color w:val="000000" w:themeColor="text1"/>
        </w:rPr>
        <w:t>○○言明各自負擔餐費，使餐敘同仁陷於錯誤，以為應自行支付而交付費用，充其量應屬刑法普通詐欺罪</w:t>
      </w:r>
      <w:proofErr w:type="gramStart"/>
      <w:r>
        <w:rPr>
          <w:rFonts w:hint="eastAsia"/>
          <w:b/>
          <w:color w:val="000000" w:themeColor="text1"/>
        </w:rPr>
        <w:t>之課責範</w:t>
      </w:r>
      <w:proofErr w:type="gramEnd"/>
      <w:r>
        <w:rPr>
          <w:rFonts w:hint="eastAsia"/>
          <w:b/>
          <w:color w:val="000000" w:themeColor="text1"/>
        </w:rPr>
        <w:t>圍，與貪污治罪條例第5條第1項第2款規定之「施用詐術」行為尚屬有間，就此，原審判決有適用法則不當之違背法令之事由。</w:t>
      </w:r>
    </w:p>
    <w:p w:rsidR="00A91325" w:rsidRDefault="00902C11">
      <w:pPr>
        <w:pStyle w:val="3"/>
        <w:rPr>
          <w:color w:val="000000" w:themeColor="text1"/>
        </w:rPr>
      </w:pPr>
      <w:r>
        <w:rPr>
          <w:rFonts w:hint="eastAsia"/>
          <w:color w:val="000000" w:themeColor="text1"/>
        </w:rPr>
        <w:t>按貪污治罪條例之立法宗旨係為嚴懲貪污、澄清吏治，著重公務員執行職務具有不可收買之純潔性，故該法第5條第1項第2款規定之利用職務機會詐取財物罪所稱之「利用職務上機會」，必以與公務員職務相關為要件。另就「詐取財物」部分，則與刑法第339條第1項之詐欺罪構成要件一致，亦即客觀上須有行為人施用詐術，使相對人陷於錯誤，進而為財產處分，最終造成財產損害；主觀上則需具備行為故意及不法所有意圖。</w:t>
      </w:r>
    </w:p>
    <w:p w:rsidR="00A91325" w:rsidRDefault="00902C11">
      <w:pPr>
        <w:pStyle w:val="3"/>
        <w:rPr>
          <w:color w:val="000000" w:themeColor="text1"/>
        </w:rPr>
      </w:pPr>
      <w:r>
        <w:rPr>
          <w:rFonts w:hint="eastAsia"/>
          <w:color w:val="000000" w:themeColor="text1"/>
        </w:rPr>
        <w:t>本案確定判決認定</w:t>
      </w:r>
      <w:proofErr w:type="gramStart"/>
      <w:r>
        <w:rPr>
          <w:rFonts w:hint="eastAsia"/>
          <w:color w:val="000000" w:themeColor="text1"/>
        </w:rPr>
        <w:t>郭</w:t>
      </w:r>
      <w:proofErr w:type="gramEnd"/>
      <w:r>
        <w:rPr>
          <w:rFonts w:hint="eastAsia"/>
          <w:color w:val="000000" w:themeColor="text1"/>
        </w:rPr>
        <w:t>○○與同仁於108年5月7日在</w:t>
      </w:r>
      <w:r w:rsidR="00CE6727">
        <w:rPr>
          <w:rFonts w:hint="eastAsia"/>
          <w:color w:val="000000" w:themeColor="text1"/>
        </w:rPr>
        <w:t>○○○牛排館</w:t>
      </w:r>
      <w:proofErr w:type="gramStart"/>
      <w:r>
        <w:rPr>
          <w:rFonts w:hint="eastAsia"/>
          <w:color w:val="000000" w:themeColor="text1"/>
        </w:rPr>
        <w:t>餐敘</w:t>
      </w:r>
      <w:proofErr w:type="gramEnd"/>
      <w:r>
        <w:rPr>
          <w:rFonts w:hint="eastAsia"/>
          <w:color w:val="000000" w:themeColor="text1"/>
        </w:rPr>
        <w:t>後，指示同行之下屬劉○○向該店索取發票，交不知情之下屬梁○○製作「海軍通信系統指揮部工程、財務、勞務小額採購請購單」、「海軍通信系統指揮部工程、財務、勞務小額採購結報單」，以「慰勞本部人員辛勞」名義，檢附該發票後，以指揮官身分批示「可」而核准此採購案，據以辦理主官行政事務費核銷而行使，致</w:t>
      </w:r>
      <w:proofErr w:type="gramStart"/>
      <w:r>
        <w:rPr>
          <w:rFonts w:hint="eastAsia"/>
          <w:color w:val="000000" w:themeColor="text1"/>
        </w:rPr>
        <w:t>通指</w:t>
      </w:r>
      <w:proofErr w:type="gramEnd"/>
      <w:r>
        <w:rPr>
          <w:rFonts w:hint="eastAsia"/>
          <w:color w:val="000000" w:themeColor="text1"/>
        </w:rPr>
        <w:t>部辦理核銷人員陷於錯誤，准予核發主官行政事務費4,797元。</w:t>
      </w:r>
    </w:p>
    <w:p w:rsidR="00A91325" w:rsidRDefault="00902C11">
      <w:pPr>
        <w:pStyle w:val="3"/>
        <w:rPr>
          <w:color w:val="000000" w:themeColor="text1"/>
        </w:rPr>
      </w:pPr>
      <w:r>
        <w:rPr>
          <w:rFonts w:hint="eastAsia"/>
          <w:color w:val="000000" w:themeColor="text1"/>
        </w:rPr>
        <w:lastRenderedPageBreak/>
        <w:t>惟</w:t>
      </w:r>
      <w:proofErr w:type="gramStart"/>
      <w:r>
        <w:rPr>
          <w:rFonts w:hint="eastAsia"/>
          <w:color w:val="000000" w:themeColor="text1"/>
        </w:rPr>
        <w:t>郭</w:t>
      </w:r>
      <w:proofErr w:type="gramEnd"/>
      <w:r>
        <w:rPr>
          <w:rFonts w:hint="eastAsia"/>
          <w:color w:val="000000" w:themeColor="text1"/>
        </w:rPr>
        <w:t>○○時任上校</w:t>
      </w:r>
      <w:proofErr w:type="gramStart"/>
      <w:r>
        <w:rPr>
          <w:rFonts w:hint="eastAsia"/>
          <w:color w:val="000000" w:themeColor="text1"/>
        </w:rPr>
        <w:t>編階主</w:t>
      </w:r>
      <w:proofErr w:type="gramEnd"/>
      <w:r>
        <w:rPr>
          <w:rFonts w:hint="eastAsia"/>
          <w:color w:val="000000" w:themeColor="text1"/>
        </w:rPr>
        <w:t>官，依「國防部所屬各級單位各項定額業務費管制措施」、「國防部與所屬各級單位主官及副主官特別費行政費管制措施」等規定得</w:t>
      </w:r>
      <w:proofErr w:type="gramStart"/>
      <w:r>
        <w:rPr>
          <w:rFonts w:hint="eastAsia"/>
          <w:color w:val="000000" w:themeColor="text1"/>
        </w:rPr>
        <w:t>報支主</w:t>
      </w:r>
      <w:proofErr w:type="gramEnd"/>
      <w:r>
        <w:rPr>
          <w:rFonts w:hint="eastAsia"/>
          <w:color w:val="000000" w:themeColor="text1"/>
        </w:rPr>
        <w:t>官行政事務費，復依「國防部所屬各級單位主官及副主官行政事務費每月列支標準表」，每月可支領之額度為4,800元，列支項目包含「對該單位及所屬單位人員之獎（犒）賞、慰勞（問）及餐敘等支出」，請領時須檢具原始憑證實報實銷。</w:t>
      </w:r>
    </w:p>
    <w:p w:rsidR="00A91325" w:rsidRDefault="00902C11">
      <w:pPr>
        <w:pStyle w:val="3"/>
        <w:rPr>
          <w:color w:val="000000" w:themeColor="text1"/>
        </w:rPr>
      </w:pPr>
      <w:r>
        <w:rPr>
          <w:rFonts w:hint="eastAsia"/>
          <w:color w:val="000000" w:themeColor="text1"/>
        </w:rPr>
        <w:t>次查，</w:t>
      </w:r>
      <w:proofErr w:type="gramStart"/>
      <w:r>
        <w:rPr>
          <w:rFonts w:hint="eastAsia"/>
          <w:color w:val="000000" w:themeColor="text1"/>
        </w:rPr>
        <w:t>郭</w:t>
      </w:r>
      <w:proofErr w:type="gramEnd"/>
      <w:r>
        <w:rPr>
          <w:rFonts w:hint="eastAsia"/>
          <w:color w:val="000000" w:themeColor="text1"/>
        </w:rPr>
        <w:t>○○確有於108年5月7日赴蘇澳通信隊裝備檢查後，與同仁在</w:t>
      </w:r>
      <w:r w:rsidR="00CE6727">
        <w:rPr>
          <w:rFonts w:hint="eastAsia"/>
          <w:color w:val="000000" w:themeColor="text1"/>
        </w:rPr>
        <w:t>○○○牛排館</w:t>
      </w:r>
      <w:r>
        <w:rPr>
          <w:rFonts w:hint="eastAsia"/>
          <w:color w:val="000000" w:themeColor="text1"/>
        </w:rPr>
        <w:t>餐敘，並指示同行之下屬劉○○向該店索取發票之事實，此有證人劉○○於偵查及法院</w:t>
      </w:r>
      <w:proofErr w:type="gramStart"/>
      <w:r>
        <w:rPr>
          <w:rFonts w:hint="eastAsia"/>
          <w:color w:val="000000" w:themeColor="text1"/>
        </w:rPr>
        <w:t>審理時證</w:t>
      </w:r>
      <w:proofErr w:type="gramEnd"/>
      <w:r>
        <w:rPr>
          <w:rFonts w:hint="eastAsia"/>
          <w:color w:val="000000" w:themeColor="text1"/>
        </w:rPr>
        <w:t>述：「因我管理單位定額經費及預算等業務，該次</w:t>
      </w:r>
      <w:proofErr w:type="gramStart"/>
      <w:r>
        <w:rPr>
          <w:rFonts w:hint="eastAsia"/>
          <w:color w:val="000000" w:themeColor="text1"/>
        </w:rPr>
        <w:t>餐敘後</w:t>
      </w:r>
      <w:proofErr w:type="gramEnd"/>
      <w:r>
        <w:rPr>
          <w:rFonts w:hint="eastAsia"/>
          <w:color w:val="000000" w:themeColor="text1"/>
        </w:rPr>
        <w:t>，由我向包括被告的所有用餐同仁收取餐費，於付款時，被告站在我</w:t>
      </w:r>
      <w:proofErr w:type="gramStart"/>
      <w:r>
        <w:rPr>
          <w:rFonts w:hint="eastAsia"/>
          <w:color w:val="000000" w:themeColor="text1"/>
        </w:rPr>
        <w:t>背後說要領</w:t>
      </w:r>
      <w:proofErr w:type="gramEnd"/>
      <w:r>
        <w:rPr>
          <w:rFonts w:hint="eastAsia"/>
          <w:color w:val="000000" w:themeColor="text1"/>
        </w:rPr>
        <w:t>取發票，記得請</w:t>
      </w:r>
      <w:proofErr w:type="gramStart"/>
      <w:r>
        <w:rPr>
          <w:rFonts w:hint="eastAsia"/>
          <w:color w:val="000000" w:themeColor="text1"/>
        </w:rPr>
        <w:t>店家打統</w:t>
      </w:r>
      <w:proofErr w:type="gramEnd"/>
      <w:r>
        <w:rPr>
          <w:rFonts w:hint="eastAsia"/>
          <w:color w:val="000000" w:themeColor="text1"/>
        </w:rPr>
        <w:t>編等語，於</w:t>
      </w:r>
      <w:proofErr w:type="gramStart"/>
      <w:r>
        <w:rPr>
          <w:rFonts w:hint="eastAsia"/>
          <w:color w:val="000000" w:themeColor="text1"/>
        </w:rPr>
        <w:t>返部</w:t>
      </w:r>
      <w:proofErr w:type="gramEnd"/>
      <w:r>
        <w:rPr>
          <w:rFonts w:hint="eastAsia"/>
          <w:color w:val="000000" w:themeColor="text1"/>
        </w:rPr>
        <w:t>後，我即將該發票交給證人梁○○辦理結報」等語可稽，足徵郭○○有將該次餐敘費用以主官行政事務費支應之意，其支用金額及</w:t>
      </w:r>
      <w:proofErr w:type="gramStart"/>
      <w:r>
        <w:rPr>
          <w:rFonts w:hint="eastAsia"/>
          <w:color w:val="000000" w:themeColor="text1"/>
        </w:rPr>
        <w:t>範圍亦合</w:t>
      </w:r>
      <w:proofErr w:type="gramEnd"/>
      <w:r>
        <w:rPr>
          <w:rFonts w:hint="eastAsia"/>
          <w:color w:val="000000" w:themeColor="text1"/>
        </w:rPr>
        <w:t>於「國防部所屬各級單位主官及副主官行政事務費每月列支標準表」之4</w:t>
      </w:r>
      <w:r>
        <w:rPr>
          <w:color w:val="000000" w:themeColor="text1"/>
        </w:rPr>
        <w:t>,</w:t>
      </w:r>
      <w:r>
        <w:rPr>
          <w:rFonts w:hint="eastAsia"/>
          <w:color w:val="000000" w:themeColor="text1"/>
        </w:rPr>
        <w:t>800元額度，及「國防部與所屬各級單位主官及副主官特別費行政費管制措施」第4點所定「對所屬單位人員之獎（犒）賞、慰勞（問）及餐敘」之列支範圍，並依上揭規定覈實報支，似難謂「施用詐術」之行為。</w:t>
      </w:r>
    </w:p>
    <w:p w:rsidR="00A91325" w:rsidRDefault="00902C11">
      <w:pPr>
        <w:pStyle w:val="3"/>
        <w:rPr>
          <w:color w:val="000000" w:themeColor="text1"/>
        </w:rPr>
      </w:pPr>
      <w:proofErr w:type="gramStart"/>
      <w:r>
        <w:rPr>
          <w:rFonts w:hint="eastAsia"/>
          <w:color w:val="000000" w:themeColor="text1"/>
        </w:rPr>
        <w:t>嗣</w:t>
      </w:r>
      <w:proofErr w:type="gramEnd"/>
      <w:r>
        <w:rPr>
          <w:rFonts w:hint="eastAsia"/>
          <w:color w:val="000000" w:themeColor="text1"/>
        </w:rPr>
        <w:t>郭○○憑據</w:t>
      </w:r>
      <w:proofErr w:type="gramStart"/>
      <w:r>
        <w:rPr>
          <w:rFonts w:hint="eastAsia"/>
          <w:color w:val="000000" w:themeColor="text1"/>
        </w:rPr>
        <w:t>通指</w:t>
      </w:r>
      <w:proofErr w:type="gramEnd"/>
      <w:r>
        <w:rPr>
          <w:rFonts w:hint="eastAsia"/>
          <w:color w:val="000000" w:themeColor="text1"/>
        </w:rPr>
        <w:t>部108年5月14日工程、財物、勞務小額採購結報單、原始憑證黏</w:t>
      </w:r>
      <w:proofErr w:type="gramStart"/>
      <w:r>
        <w:rPr>
          <w:rFonts w:hint="eastAsia"/>
          <w:color w:val="000000" w:themeColor="text1"/>
        </w:rPr>
        <w:t>存單暨所</w:t>
      </w:r>
      <w:proofErr w:type="gramEnd"/>
      <w:r>
        <w:rPr>
          <w:rFonts w:hint="eastAsia"/>
          <w:color w:val="000000" w:themeColor="text1"/>
        </w:rPr>
        <w:t>附</w:t>
      </w:r>
      <w:r w:rsidR="00CE6727">
        <w:rPr>
          <w:rFonts w:hint="eastAsia"/>
          <w:color w:val="000000" w:themeColor="text1"/>
        </w:rPr>
        <w:t>○○○牛排館</w:t>
      </w:r>
      <w:r>
        <w:rPr>
          <w:rFonts w:hint="eastAsia"/>
          <w:color w:val="000000" w:themeColor="text1"/>
        </w:rPr>
        <w:t>於同年5月7日開立之電子發票證明聯及小額採購接收暨會同驗收紀錄表、同月3日小額採購請購單、用餐人員名冊、</w:t>
      </w:r>
      <w:r w:rsidR="00CE6727">
        <w:rPr>
          <w:rFonts w:hint="eastAsia"/>
          <w:color w:val="000000" w:themeColor="text1"/>
        </w:rPr>
        <w:t>○○○牛排館</w:t>
      </w:r>
      <w:r>
        <w:rPr>
          <w:rFonts w:hint="eastAsia"/>
          <w:color w:val="000000" w:themeColor="text1"/>
        </w:rPr>
        <w:t>菜單、於拒絕往來廠商查詢資料（無</w:t>
      </w:r>
      <w:r w:rsidR="00CE6727">
        <w:rPr>
          <w:rFonts w:hint="eastAsia"/>
          <w:color w:val="000000" w:themeColor="text1"/>
        </w:rPr>
        <w:t>○○○牛排館</w:t>
      </w:r>
      <w:r>
        <w:rPr>
          <w:rFonts w:hint="eastAsia"/>
          <w:color w:val="000000" w:themeColor="text1"/>
        </w:rPr>
        <w:t>）、該部同年</w:t>
      </w:r>
      <w:r>
        <w:rPr>
          <w:rFonts w:hint="eastAsia"/>
          <w:color w:val="000000" w:themeColor="text1"/>
        </w:rPr>
        <w:lastRenderedPageBreak/>
        <w:t>5月23日管制編號108-D-0031號</w:t>
      </w:r>
      <w:proofErr w:type="gramStart"/>
      <w:r>
        <w:rPr>
          <w:color w:val="000000" w:themeColor="text1"/>
        </w:rPr>
        <w:t>10</w:t>
      </w:r>
      <w:proofErr w:type="gramEnd"/>
      <w:r>
        <w:rPr>
          <w:rFonts w:hint="eastAsia"/>
          <w:color w:val="000000" w:themeColor="text1"/>
        </w:rPr>
        <w:t>8年度指揮官行政費支出統計表（招待費用支出4,797元）等單據申領主官行政事務費，</w:t>
      </w:r>
      <w:proofErr w:type="gramStart"/>
      <w:r>
        <w:rPr>
          <w:rFonts w:hint="eastAsia"/>
          <w:color w:val="000000" w:themeColor="text1"/>
        </w:rPr>
        <w:t>復其</w:t>
      </w:r>
      <w:proofErr w:type="gramEnd"/>
      <w:r>
        <w:rPr>
          <w:rFonts w:hint="eastAsia"/>
          <w:color w:val="000000" w:themeColor="text1"/>
        </w:rPr>
        <w:t>為時任</w:t>
      </w:r>
      <w:proofErr w:type="gramStart"/>
      <w:r>
        <w:rPr>
          <w:rFonts w:hint="eastAsia"/>
          <w:color w:val="000000" w:themeColor="text1"/>
        </w:rPr>
        <w:t>通指</w:t>
      </w:r>
      <w:proofErr w:type="gramEnd"/>
      <w:r>
        <w:rPr>
          <w:rFonts w:hint="eastAsia"/>
          <w:color w:val="000000" w:themeColor="text1"/>
        </w:rPr>
        <w:t>部之上校指揮官，負有單位各項經費支出核定之責，其批准梁○○製作之「海軍通信系統指揮部工程、財務、勞務小額採購請購單」、「海軍通信系統指揮部工程、財務、勞務小額採購結報單」後，核銷人員即應據以辦理主官行政事務費之核銷並給付費用，並無再行實質審核之權責。</w:t>
      </w:r>
      <w:proofErr w:type="gramStart"/>
      <w:r>
        <w:rPr>
          <w:rFonts w:hint="eastAsia"/>
          <w:color w:val="000000" w:themeColor="text1"/>
        </w:rPr>
        <w:t>況</w:t>
      </w:r>
      <w:proofErr w:type="gramEnd"/>
      <w:r>
        <w:rPr>
          <w:rFonts w:hint="eastAsia"/>
          <w:color w:val="000000" w:themeColor="text1"/>
        </w:rPr>
        <w:t>如上所述，</w:t>
      </w:r>
      <w:proofErr w:type="gramStart"/>
      <w:r>
        <w:rPr>
          <w:rFonts w:hint="eastAsia"/>
          <w:color w:val="000000" w:themeColor="text1"/>
        </w:rPr>
        <w:t>本案餐</w:t>
      </w:r>
      <w:proofErr w:type="gramEnd"/>
      <w:r>
        <w:rPr>
          <w:rFonts w:hint="eastAsia"/>
          <w:color w:val="000000" w:themeColor="text1"/>
        </w:rPr>
        <w:t>敘時地、用餐人員名冊、店家開立之電子發票證明聯</w:t>
      </w:r>
      <w:proofErr w:type="gramStart"/>
      <w:r>
        <w:rPr>
          <w:rFonts w:hint="eastAsia"/>
          <w:color w:val="000000" w:themeColor="text1"/>
        </w:rPr>
        <w:t>等均為真</w:t>
      </w:r>
      <w:proofErr w:type="gramEnd"/>
      <w:r>
        <w:rPr>
          <w:rFonts w:hint="eastAsia"/>
          <w:color w:val="000000" w:themeColor="text1"/>
        </w:rPr>
        <w:t>實，並</w:t>
      </w:r>
      <w:proofErr w:type="gramStart"/>
      <w:r>
        <w:rPr>
          <w:rFonts w:hint="eastAsia"/>
          <w:color w:val="000000" w:themeColor="text1"/>
        </w:rPr>
        <w:t>無詐</w:t>
      </w:r>
      <w:proofErr w:type="gramEnd"/>
      <w:r>
        <w:rPr>
          <w:rFonts w:hint="eastAsia"/>
          <w:color w:val="000000" w:themeColor="text1"/>
        </w:rPr>
        <w:t>偽情事，核銷人員據</w:t>
      </w:r>
      <w:proofErr w:type="gramStart"/>
      <w:r>
        <w:rPr>
          <w:rFonts w:hint="eastAsia"/>
          <w:color w:val="000000" w:themeColor="text1"/>
        </w:rPr>
        <w:t>上開請</w:t>
      </w:r>
      <w:proofErr w:type="gramEnd"/>
      <w:r>
        <w:rPr>
          <w:rFonts w:hint="eastAsia"/>
          <w:color w:val="000000" w:themeColor="text1"/>
        </w:rPr>
        <w:t>購文件核銷主官行政事務費，並未陷於錯誤。退步言之，就主官行政事務</w:t>
      </w:r>
      <w:proofErr w:type="gramStart"/>
      <w:r>
        <w:rPr>
          <w:rFonts w:hint="eastAsia"/>
          <w:color w:val="000000" w:themeColor="text1"/>
        </w:rPr>
        <w:t>費具處</w:t>
      </w:r>
      <w:proofErr w:type="gramEnd"/>
      <w:r>
        <w:rPr>
          <w:rFonts w:hint="eastAsia"/>
          <w:color w:val="000000" w:themeColor="text1"/>
        </w:rPr>
        <w:t>分權者為有批示核准採購案權限之郭○○，而非依據相關單據支付費用之核銷人員，後者僅為郭○○處分財產之輔助人，故本案有「陷於錯誤」之可能者應為郭○○。惟就本案而言，</w:t>
      </w:r>
      <w:proofErr w:type="gramStart"/>
      <w:r>
        <w:rPr>
          <w:rFonts w:hint="eastAsia"/>
          <w:color w:val="000000" w:themeColor="text1"/>
        </w:rPr>
        <w:t>郭</w:t>
      </w:r>
      <w:proofErr w:type="gramEnd"/>
      <w:r>
        <w:rPr>
          <w:rFonts w:hint="eastAsia"/>
          <w:color w:val="000000" w:themeColor="text1"/>
        </w:rPr>
        <w:t>○○對於核批、支領</w:t>
      </w:r>
      <w:proofErr w:type="gramStart"/>
      <w:r>
        <w:rPr>
          <w:rFonts w:hint="eastAsia"/>
          <w:color w:val="000000" w:themeColor="text1"/>
        </w:rPr>
        <w:t>系爭主</w:t>
      </w:r>
      <w:proofErr w:type="gramEnd"/>
      <w:r>
        <w:rPr>
          <w:rFonts w:hint="eastAsia"/>
          <w:color w:val="000000" w:themeColor="text1"/>
        </w:rPr>
        <w:t>官行政</w:t>
      </w:r>
      <w:proofErr w:type="gramStart"/>
      <w:r>
        <w:rPr>
          <w:rFonts w:hint="eastAsia"/>
          <w:color w:val="000000" w:themeColor="text1"/>
        </w:rPr>
        <w:t>事務費具清</w:t>
      </w:r>
      <w:proofErr w:type="gramEnd"/>
      <w:r>
        <w:rPr>
          <w:rFonts w:hint="eastAsia"/>
          <w:color w:val="000000" w:themeColor="text1"/>
        </w:rPr>
        <w:t>晰且充分之認識，自無陷於錯誤可言。</w:t>
      </w:r>
    </w:p>
    <w:p w:rsidR="00A91325" w:rsidRDefault="00902C11">
      <w:pPr>
        <w:pStyle w:val="3"/>
        <w:rPr>
          <w:color w:val="000000" w:themeColor="text1"/>
        </w:rPr>
      </w:pPr>
      <w:r>
        <w:rPr>
          <w:rFonts w:hint="eastAsia"/>
          <w:color w:val="000000" w:themeColor="text1"/>
        </w:rPr>
        <w:t>綜上所述，原審判決認定</w:t>
      </w:r>
      <w:proofErr w:type="gramStart"/>
      <w:r>
        <w:rPr>
          <w:rFonts w:hint="eastAsia"/>
          <w:color w:val="000000" w:themeColor="text1"/>
        </w:rPr>
        <w:t>郭</w:t>
      </w:r>
      <w:proofErr w:type="gramEnd"/>
      <w:r>
        <w:rPr>
          <w:rFonts w:hint="eastAsia"/>
          <w:color w:val="000000" w:themeColor="text1"/>
        </w:rPr>
        <w:t>○○成立貪污治罪條例第5條第1項第2款利用職務上機會詐取財物罪，係以【郭○○……透過證人劉○○將其與同仁於108年5月7日至</w:t>
      </w:r>
      <w:r w:rsidR="00CE6727">
        <w:rPr>
          <w:rFonts w:hint="eastAsia"/>
          <w:color w:val="000000" w:themeColor="text1"/>
        </w:rPr>
        <w:t>○○○牛排館</w:t>
      </w:r>
      <w:r>
        <w:rPr>
          <w:rFonts w:hint="eastAsia"/>
          <w:color w:val="000000" w:themeColor="text1"/>
        </w:rPr>
        <w:t>餐敘之發票交予證人梁○○辦理結報，由證人梁○○製作「購案編案PJ08-C-0081Z○○○○指揮部工程、財務、勞務小額採購請購單」、「購案編案PJ08-C-0081Z○○○○指揮部工程、財務、勞務小額採購結報單」，以「慰勞本部人員辛勞」名義，檢附該發票，被告以指揮官身分批准後，據以辦理主官行政費之核銷而行使】之行為，惟未論斷上揭覈實報支之程序有何與事實不符之處，因而該當「施用詐術」之構成要件。又原審</w:t>
      </w:r>
      <w:proofErr w:type="gramStart"/>
      <w:r>
        <w:rPr>
          <w:rFonts w:hint="eastAsia"/>
          <w:color w:val="000000" w:themeColor="text1"/>
        </w:rPr>
        <w:lastRenderedPageBreak/>
        <w:t>判決既肯認</w:t>
      </w:r>
      <w:proofErr w:type="gramEnd"/>
      <w:r>
        <w:rPr>
          <w:rFonts w:hint="eastAsia"/>
          <w:color w:val="000000" w:themeColor="text1"/>
        </w:rPr>
        <w:t>【郭○○負有單位各項經費支出核定之責】，亦即對主官行政事務</w:t>
      </w:r>
      <w:proofErr w:type="gramStart"/>
      <w:r>
        <w:rPr>
          <w:rFonts w:hint="eastAsia"/>
          <w:color w:val="000000" w:themeColor="text1"/>
        </w:rPr>
        <w:t>費具</w:t>
      </w:r>
      <w:proofErr w:type="gramEnd"/>
      <w:r>
        <w:rPr>
          <w:rFonts w:hint="eastAsia"/>
          <w:color w:val="000000" w:themeColor="text1"/>
        </w:rPr>
        <w:t>處分權者，卻未敘明其有何陷於錯誤之情事，逕以核銷人員陷於錯誤為由論斷其犯利用職務上機會詐取財物罪，有判決不載理由及所載理由矛盾之違背法令情事。</w:t>
      </w:r>
    </w:p>
    <w:p w:rsidR="00A91325" w:rsidRDefault="00902C11">
      <w:pPr>
        <w:pStyle w:val="3"/>
        <w:rPr>
          <w:color w:val="000000" w:themeColor="text1"/>
        </w:rPr>
      </w:pPr>
      <w:r>
        <w:rPr>
          <w:rFonts w:hint="eastAsia"/>
          <w:color w:val="000000" w:themeColor="text1"/>
        </w:rPr>
        <w:t>另查，貪污治罪條例第5條第1項第2款之「利用職務上之機會」，係指假借職務上一切事機，予以利用者而言。而所利用之機會，並不限於職務本身固有之機會，即使由職務上所衍生之機會，亦包括在內(最高法院</w:t>
      </w:r>
      <w:proofErr w:type="gramStart"/>
      <w:r>
        <w:rPr>
          <w:rFonts w:hint="eastAsia"/>
          <w:color w:val="000000" w:themeColor="text1"/>
        </w:rPr>
        <w:t>112</w:t>
      </w:r>
      <w:proofErr w:type="gramEnd"/>
      <w:r>
        <w:rPr>
          <w:rFonts w:hint="eastAsia"/>
          <w:color w:val="000000" w:themeColor="text1"/>
        </w:rPr>
        <w:t>年度台上字第1097號、</w:t>
      </w:r>
      <w:proofErr w:type="gramStart"/>
      <w:r>
        <w:rPr>
          <w:rFonts w:hint="eastAsia"/>
          <w:color w:val="000000" w:themeColor="text1"/>
        </w:rPr>
        <w:t>11</w:t>
      </w:r>
      <w:proofErr w:type="gramEnd"/>
      <w:r>
        <w:rPr>
          <w:rFonts w:hint="eastAsia"/>
          <w:color w:val="000000" w:themeColor="text1"/>
        </w:rPr>
        <w:t>0年度台上字第3998號等判決參照)；又「職務上衍生之機會」，係以與其職務具有關連性，即與行為人因法律或命令賦予一定之職務，在客觀上及職務內容上有相當之關係始屬之（最高法院</w:t>
      </w:r>
      <w:proofErr w:type="gramStart"/>
      <w:r>
        <w:rPr>
          <w:rFonts w:hint="eastAsia"/>
          <w:color w:val="000000" w:themeColor="text1"/>
        </w:rPr>
        <w:t>107</w:t>
      </w:r>
      <w:proofErr w:type="gramEnd"/>
      <w:r>
        <w:rPr>
          <w:rFonts w:hint="eastAsia"/>
          <w:color w:val="000000" w:themeColor="text1"/>
        </w:rPr>
        <w:t>年度台上字第 4186號、</w:t>
      </w:r>
      <w:proofErr w:type="gramStart"/>
      <w:r>
        <w:rPr>
          <w:rFonts w:hint="eastAsia"/>
          <w:color w:val="000000" w:themeColor="text1"/>
        </w:rPr>
        <w:t>10</w:t>
      </w:r>
      <w:proofErr w:type="gramEnd"/>
      <w:r>
        <w:rPr>
          <w:rFonts w:hint="eastAsia"/>
          <w:color w:val="000000" w:themeColor="text1"/>
        </w:rPr>
        <w:t>3年度台上字第2104號等判決參照）。</w:t>
      </w:r>
      <w:proofErr w:type="gramStart"/>
      <w:r>
        <w:rPr>
          <w:rFonts w:hint="eastAsia"/>
          <w:color w:val="000000" w:themeColor="text1"/>
        </w:rPr>
        <w:t>此外，</w:t>
      </w:r>
      <w:proofErr w:type="gramEnd"/>
      <w:r>
        <w:rPr>
          <w:rFonts w:hint="eastAsia"/>
          <w:color w:val="000000" w:themeColor="text1"/>
        </w:rPr>
        <w:t>亦有學者認為公務員瀆職犯罪會影響人民對於國家行政系統公正性的信賴，進而影響國家的效能及其存在的正當性與穩定性，因此本罪應採限縮解釋，以行為人執行特定職務之際詐取財物為限</w:t>
      </w:r>
      <w:r>
        <w:rPr>
          <w:rStyle w:val="afe"/>
          <w:color w:val="000000" w:themeColor="text1"/>
        </w:rPr>
        <w:footnoteReference w:id="1"/>
      </w:r>
      <w:r>
        <w:rPr>
          <w:rFonts w:hint="eastAsia"/>
          <w:color w:val="000000" w:themeColor="text1"/>
        </w:rPr>
        <w:t>。</w:t>
      </w:r>
      <w:proofErr w:type="gramStart"/>
      <w:r>
        <w:rPr>
          <w:rFonts w:hint="eastAsia"/>
          <w:color w:val="000000" w:themeColor="text1"/>
        </w:rPr>
        <w:t>惟</w:t>
      </w:r>
      <w:proofErr w:type="gramEnd"/>
      <w:r>
        <w:rPr>
          <w:rFonts w:hint="eastAsia"/>
          <w:color w:val="000000" w:themeColor="text1"/>
        </w:rPr>
        <w:t>不論採何者見解，郭○○與證人許○○、劉○○、李○○等同仁於108年5月7日至牛排館餐敘，既非執行特定職務，亦未與其職務具有關聯性或有相當之關係，自不該當「利用職務上之機會」之構成要件。</w:t>
      </w:r>
      <w:proofErr w:type="gramStart"/>
      <w:r>
        <w:rPr>
          <w:rFonts w:hint="eastAsia"/>
          <w:color w:val="000000" w:themeColor="text1"/>
        </w:rPr>
        <w:t>郭</w:t>
      </w:r>
      <w:proofErr w:type="gramEnd"/>
      <w:r>
        <w:rPr>
          <w:rFonts w:hint="eastAsia"/>
          <w:color w:val="000000" w:themeColor="text1"/>
        </w:rPr>
        <w:t>○○言明需各自負擔餐費，使餐敘同仁陷於錯誤，以為應自行支付，並於餐後由各桌</w:t>
      </w:r>
      <w:proofErr w:type="gramStart"/>
      <w:r>
        <w:rPr>
          <w:rFonts w:hint="eastAsia"/>
          <w:color w:val="000000" w:themeColor="text1"/>
        </w:rPr>
        <w:t>收齊該桌同</w:t>
      </w:r>
      <w:proofErr w:type="gramEnd"/>
      <w:r>
        <w:rPr>
          <w:rFonts w:hint="eastAsia"/>
          <w:color w:val="000000" w:themeColor="text1"/>
        </w:rPr>
        <w:t>仁費用後交予店家，充其量應屬刑法第339條第1項詐欺取財罪</w:t>
      </w:r>
      <w:proofErr w:type="gramStart"/>
      <w:r>
        <w:rPr>
          <w:rFonts w:hint="eastAsia"/>
          <w:color w:val="000000" w:themeColor="text1"/>
        </w:rPr>
        <w:t>之課責範</w:t>
      </w:r>
      <w:proofErr w:type="gramEnd"/>
      <w:r>
        <w:rPr>
          <w:rFonts w:hint="eastAsia"/>
          <w:color w:val="000000" w:themeColor="text1"/>
        </w:rPr>
        <w:t>圍，與貪污治罪條例第5條第1項第2款規定施用詐術行為尚屬有間，就此，原審判</w:t>
      </w:r>
      <w:r>
        <w:rPr>
          <w:rFonts w:hint="eastAsia"/>
          <w:color w:val="000000" w:themeColor="text1"/>
        </w:rPr>
        <w:lastRenderedPageBreak/>
        <w:t>決亦有適用法則不當之判決違背法令事由。</w:t>
      </w:r>
    </w:p>
    <w:p w:rsidR="00A91325" w:rsidRDefault="00902C11">
      <w:pPr>
        <w:pStyle w:val="2"/>
        <w:rPr>
          <w:b/>
          <w:color w:val="000000" w:themeColor="text1"/>
        </w:rPr>
      </w:pPr>
      <w:r>
        <w:rPr>
          <w:rFonts w:hint="eastAsia"/>
          <w:b/>
          <w:color w:val="000000" w:themeColor="text1"/>
        </w:rPr>
        <w:t>貪污治罪條例第5條第1項第2款之公務員利用職務上機會詐取財物罪屬於法定</w:t>
      </w:r>
      <w:proofErr w:type="gramStart"/>
      <w:r>
        <w:rPr>
          <w:rFonts w:hint="eastAsia"/>
          <w:b/>
          <w:color w:val="000000" w:themeColor="text1"/>
        </w:rPr>
        <w:t>刑</w:t>
      </w:r>
      <w:proofErr w:type="gramEnd"/>
      <w:r>
        <w:rPr>
          <w:rFonts w:hint="eastAsia"/>
          <w:b/>
          <w:color w:val="000000" w:themeColor="text1"/>
        </w:rPr>
        <w:t>7年以上重度貪污犯罪，111年2月25日最高檢察署發布新聞稿統一該罪之起訴標準，認於公務員小額詐領加班費、值班費、差旅費及休假補助費之情形，檢察官應以刑法普通詐欺罪論處，顯見檢方亦認為動輒以貪污治罪條例懲處是類小額犯罪，有違反比例原則之情事。以本案而言，</w:t>
      </w:r>
      <w:proofErr w:type="gramStart"/>
      <w:r>
        <w:rPr>
          <w:rFonts w:hint="eastAsia"/>
          <w:b/>
          <w:color w:val="000000" w:themeColor="text1"/>
        </w:rPr>
        <w:t>郭</w:t>
      </w:r>
      <w:proofErr w:type="gramEnd"/>
      <w:r>
        <w:rPr>
          <w:rFonts w:hint="eastAsia"/>
          <w:b/>
          <w:color w:val="000000" w:themeColor="text1"/>
        </w:rPr>
        <w:t>○○於108年5月7日與同仁在牛排館聚餐，先告知聚餐同仁自行負擔費用，嗣後將用餐收據辦理主官行政</w:t>
      </w:r>
      <w:proofErr w:type="gramStart"/>
      <w:r>
        <w:rPr>
          <w:rFonts w:hint="eastAsia"/>
          <w:b/>
          <w:color w:val="000000" w:themeColor="text1"/>
        </w:rPr>
        <w:t>事務費結</w:t>
      </w:r>
      <w:proofErr w:type="gramEnd"/>
      <w:r>
        <w:rPr>
          <w:rFonts w:hint="eastAsia"/>
          <w:b/>
          <w:color w:val="000000" w:themeColor="text1"/>
        </w:rPr>
        <w:t>報，不當領取4,797元；復於108年9月5日單位同仁訂購晚餐外食時，將所取得之麵食館空白收據，</w:t>
      </w:r>
      <w:proofErr w:type="gramStart"/>
      <w:r>
        <w:rPr>
          <w:rFonts w:hint="eastAsia"/>
          <w:b/>
          <w:color w:val="000000" w:themeColor="text1"/>
        </w:rPr>
        <w:t>不實填載</w:t>
      </w:r>
      <w:proofErr w:type="gramEnd"/>
      <w:r>
        <w:rPr>
          <w:rFonts w:hint="eastAsia"/>
          <w:b/>
          <w:color w:val="000000" w:themeColor="text1"/>
        </w:rPr>
        <w:t>為同年8月26日</w:t>
      </w:r>
      <w:proofErr w:type="gramStart"/>
      <w:r>
        <w:rPr>
          <w:rFonts w:hint="eastAsia"/>
          <w:b/>
          <w:color w:val="000000" w:themeColor="text1"/>
        </w:rPr>
        <w:t>通指部</w:t>
      </w:r>
      <w:proofErr w:type="gramEnd"/>
      <w:r>
        <w:rPr>
          <w:rFonts w:hint="eastAsia"/>
          <w:b/>
          <w:color w:val="000000" w:themeColor="text1"/>
        </w:rPr>
        <w:t>向該店址購買餐食之收據，據以辦理一般事務費核銷，不當獲利1,320元，共計僅6,</w:t>
      </w:r>
      <w:r>
        <w:rPr>
          <w:b/>
          <w:color w:val="000000" w:themeColor="text1"/>
        </w:rPr>
        <w:t>117</w:t>
      </w:r>
      <w:r>
        <w:rPr>
          <w:rFonts w:hint="eastAsia"/>
          <w:b/>
          <w:color w:val="000000" w:themeColor="text1"/>
        </w:rPr>
        <w:t>元，</w:t>
      </w:r>
      <w:proofErr w:type="gramStart"/>
      <w:r>
        <w:rPr>
          <w:rFonts w:hint="eastAsia"/>
          <w:b/>
          <w:color w:val="000000" w:themeColor="text1"/>
        </w:rPr>
        <w:t>卻遭科</w:t>
      </w:r>
      <w:proofErr w:type="gramEnd"/>
      <w:r>
        <w:rPr>
          <w:rFonts w:hint="eastAsia"/>
          <w:b/>
          <w:color w:val="000000" w:themeColor="text1"/>
        </w:rPr>
        <w:t>處法定刑7年以上之重度貪污犯罪，有</w:t>
      </w:r>
      <w:proofErr w:type="gramStart"/>
      <w:r>
        <w:rPr>
          <w:rFonts w:hint="eastAsia"/>
          <w:b/>
          <w:color w:val="000000" w:themeColor="text1"/>
        </w:rPr>
        <w:t>法重情</w:t>
      </w:r>
      <w:proofErr w:type="gramEnd"/>
      <w:r>
        <w:rPr>
          <w:rFonts w:hint="eastAsia"/>
          <w:b/>
          <w:color w:val="000000" w:themeColor="text1"/>
        </w:rPr>
        <w:t>輕之嫌。</w:t>
      </w:r>
      <w:proofErr w:type="gramStart"/>
      <w:r>
        <w:rPr>
          <w:rFonts w:hint="eastAsia"/>
          <w:b/>
          <w:color w:val="000000" w:themeColor="text1"/>
        </w:rPr>
        <w:t>郭</w:t>
      </w:r>
      <w:proofErr w:type="gramEnd"/>
      <w:r>
        <w:rPr>
          <w:rFonts w:hint="eastAsia"/>
          <w:b/>
          <w:color w:val="000000" w:themeColor="text1"/>
        </w:rPr>
        <w:t>○○之行為固無視國家法紀、未持本分，然此仍與貪污治罪條例重在防杜公務員對於國家忠誠義務之違反，著重公務員執行職務不可收買之純潔性有別。為避免公務員</w:t>
      </w:r>
      <w:proofErr w:type="gramStart"/>
      <w:r>
        <w:rPr>
          <w:rFonts w:hint="eastAsia"/>
          <w:b/>
          <w:color w:val="000000" w:themeColor="text1"/>
        </w:rPr>
        <w:t>罹</w:t>
      </w:r>
      <w:proofErr w:type="gramEnd"/>
      <w:r>
        <w:rPr>
          <w:rFonts w:hint="eastAsia"/>
          <w:b/>
          <w:color w:val="000000" w:themeColor="text1"/>
        </w:rPr>
        <w:t>於刑章之際有情</w:t>
      </w:r>
      <w:proofErr w:type="gramStart"/>
      <w:r>
        <w:rPr>
          <w:rFonts w:hint="eastAsia"/>
          <w:b/>
          <w:color w:val="000000" w:themeColor="text1"/>
        </w:rPr>
        <w:t>輕法重</w:t>
      </w:r>
      <w:proofErr w:type="gramEnd"/>
      <w:r>
        <w:rPr>
          <w:rFonts w:hint="eastAsia"/>
          <w:b/>
          <w:color w:val="000000" w:themeColor="text1"/>
        </w:rPr>
        <w:t>之情事，法務部允應對貪污治罪條例及刑法之分際，持續廣納各界意見、凝聚共識，積極辦理修法研議。</w:t>
      </w:r>
    </w:p>
    <w:p w:rsidR="00A91325" w:rsidRDefault="00902C11">
      <w:pPr>
        <w:pStyle w:val="3"/>
        <w:rPr>
          <w:color w:val="000000" w:themeColor="text1"/>
        </w:rPr>
      </w:pPr>
      <w:r>
        <w:rPr>
          <w:color w:val="000000" w:themeColor="text1"/>
        </w:rPr>
        <w:tab/>
      </w:r>
      <w:bookmarkStart w:id="74" w:name="_Hlk146541584"/>
      <w:r>
        <w:rPr>
          <w:rFonts w:hint="eastAsia"/>
          <w:color w:val="000000" w:themeColor="text1"/>
        </w:rPr>
        <w:t>我國貪污治罪條例源於52年動員戡亂制定之《</w:t>
      </w:r>
      <w:r>
        <w:rPr>
          <w:rFonts w:hint="eastAsia"/>
          <w:color w:val="000000" w:themeColor="text1"/>
        </w:rPr>
        <w:tab/>
        <w:t>戡</w:t>
      </w:r>
      <w:bookmarkStart w:id="75" w:name="_GoBack"/>
      <w:bookmarkEnd w:id="75"/>
      <w:r>
        <w:rPr>
          <w:rFonts w:hint="eastAsia"/>
          <w:color w:val="000000" w:themeColor="text1"/>
        </w:rPr>
        <w:t>亂時期貪污治罪條例》，基於「用嚴刑峻罰以防止公務人員貪污」之立法背景，採重刑化之立法。現行貪污治罪條例法定刑大致可分為：第4條（無期徒刑、10年以上有期徒刑）、第5條（7年以上有期徒刑）及第6條（5年以上有期徒刑），</w:t>
      </w:r>
      <w:proofErr w:type="gramStart"/>
      <w:r>
        <w:rPr>
          <w:rFonts w:hint="eastAsia"/>
          <w:color w:val="000000" w:themeColor="text1"/>
        </w:rPr>
        <w:t>法定刑遠較</w:t>
      </w:r>
      <w:proofErr w:type="gramEnd"/>
      <w:r>
        <w:rPr>
          <w:rFonts w:hint="eastAsia"/>
          <w:color w:val="000000" w:themeColor="text1"/>
        </w:rPr>
        <w:t>日本、德國等國為重。又近年屢有公務員因詐領小額津貼而遭重判，司法實務並就公務員詐領「加班費」、「值</w:t>
      </w:r>
      <w:r>
        <w:rPr>
          <w:rFonts w:hint="eastAsia"/>
          <w:color w:val="000000" w:themeColor="text1"/>
        </w:rPr>
        <w:lastRenderedPageBreak/>
        <w:t>班費」、「差旅費」及「休假補助費」等類型案件應成立何種罪名存在見解歧異，分述如下：</w:t>
      </w:r>
    </w:p>
    <w:p w:rsidR="00A91325" w:rsidRDefault="00902C11">
      <w:pPr>
        <w:pStyle w:val="4"/>
        <w:rPr>
          <w:color w:val="000000" w:themeColor="text1"/>
        </w:rPr>
      </w:pPr>
      <w:r>
        <w:rPr>
          <w:rFonts w:hint="eastAsia"/>
          <w:color w:val="000000" w:themeColor="text1"/>
        </w:rPr>
        <w:t>以貪污治罪條例第5條第1項第2款利用職務上之機會詐取財物罪論處之判決理由略</w:t>
      </w:r>
      <w:proofErr w:type="gramStart"/>
      <w:r>
        <w:rPr>
          <w:rFonts w:hint="eastAsia"/>
          <w:color w:val="000000" w:themeColor="text1"/>
        </w:rPr>
        <w:t>以</w:t>
      </w:r>
      <w:proofErr w:type="gramEnd"/>
      <w:r>
        <w:rPr>
          <w:rFonts w:hint="eastAsia"/>
          <w:color w:val="000000" w:themeColor="text1"/>
        </w:rPr>
        <w:t>：「貪污治罪條例第5條第1項第2款之公務員利用職務上機會詐取財物罪，其所謂『利用職務上之機會』，係公務員利用其職務上之固有事機或所衍生之機會，因勢乘便而詐取財者，即足當之，此</w:t>
      </w:r>
      <w:proofErr w:type="gramStart"/>
      <w:r>
        <w:rPr>
          <w:rFonts w:hint="eastAsia"/>
          <w:color w:val="000000" w:themeColor="text1"/>
        </w:rPr>
        <w:t>之</w:t>
      </w:r>
      <w:proofErr w:type="gramEnd"/>
      <w:r>
        <w:rPr>
          <w:rFonts w:hint="eastAsia"/>
          <w:color w:val="000000" w:themeColor="text1"/>
        </w:rPr>
        <w:t>機會，不以職務上有決定權者為限。而『輪值』既係為使公務員各職務順利執行所設，屬於執行職務之範圍，則該加班費、值班費之請</w:t>
      </w:r>
      <w:proofErr w:type="gramStart"/>
      <w:r>
        <w:rPr>
          <w:rFonts w:hint="eastAsia"/>
          <w:color w:val="000000" w:themeColor="text1"/>
        </w:rPr>
        <w:t>領若有詐偽</w:t>
      </w:r>
      <w:proofErr w:type="gramEnd"/>
      <w:r>
        <w:rPr>
          <w:rFonts w:hint="eastAsia"/>
          <w:color w:val="000000" w:themeColor="text1"/>
        </w:rPr>
        <w:t>，自應認與其職務活動有關，而為利用其職務活動附帶衍生</w:t>
      </w:r>
      <w:proofErr w:type="gramStart"/>
      <w:r>
        <w:rPr>
          <w:rFonts w:hint="eastAsia"/>
          <w:color w:val="000000" w:themeColor="text1"/>
        </w:rPr>
        <w:t>之核報機</w:t>
      </w:r>
      <w:proofErr w:type="gramEnd"/>
      <w:r>
        <w:rPr>
          <w:rFonts w:hint="eastAsia"/>
          <w:color w:val="000000" w:themeColor="text1"/>
        </w:rPr>
        <w:t>會詐欺」（最高法院</w:t>
      </w:r>
      <w:proofErr w:type="gramStart"/>
      <w:r>
        <w:rPr>
          <w:color w:val="000000" w:themeColor="text1"/>
        </w:rPr>
        <w:t>10</w:t>
      </w:r>
      <w:proofErr w:type="gramEnd"/>
      <w:r>
        <w:rPr>
          <w:rFonts w:hint="eastAsia"/>
          <w:color w:val="000000" w:themeColor="text1"/>
        </w:rPr>
        <w:t>9年度台上字第1621號、最高法院</w:t>
      </w:r>
      <w:proofErr w:type="gramStart"/>
      <w:r>
        <w:rPr>
          <w:color w:val="000000" w:themeColor="text1"/>
        </w:rPr>
        <w:t>10</w:t>
      </w:r>
      <w:proofErr w:type="gramEnd"/>
      <w:r>
        <w:rPr>
          <w:rFonts w:hint="eastAsia"/>
          <w:color w:val="000000" w:themeColor="text1"/>
        </w:rPr>
        <w:t>7年度台上字第2179號刑事判決參照）。</w:t>
      </w:r>
    </w:p>
    <w:p w:rsidR="00A91325" w:rsidRDefault="00902C11">
      <w:pPr>
        <w:pStyle w:val="4"/>
        <w:rPr>
          <w:color w:val="000000" w:themeColor="text1"/>
        </w:rPr>
      </w:pPr>
      <w:r>
        <w:rPr>
          <w:rFonts w:hint="eastAsia"/>
          <w:color w:val="000000" w:themeColor="text1"/>
        </w:rPr>
        <w:t>另以刑法普通詐欺取財罪論處之判決理由略</w:t>
      </w:r>
      <w:proofErr w:type="gramStart"/>
      <w:r>
        <w:rPr>
          <w:rFonts w:hint="eastAsia"/>
          <w:color w:val="000000" w:themeColor="text1"/>
        </w:rPr>
        <w:t>以</w:t>
      </w:r>
      <w:proofErr w:type="gramEnd"/>
      <w:r>
        <w:rPr>
          <w:rFonts w:hint="eastAsia"/>
          <w:color w:val="000000" w:themeColor="text1"/>
        </w:rPr>
        <w:t>：「以被告職務範圍而言，所指利用職務固有機會，應係本於其身分與職權，處理各該事項、公務等足以本於其身分、職務所動用之職權機會而言，至於衍生之機會，亦應與被告上開職務密切</w:t>
      </w:r>
      <w:proofErr w:type="gramStart"/>
      <w:r>
        <w:rPr>
          <w:rFonts w:hint="eastAsia"/>
          <w:color w:val="000000" w:themeColor="text1"/>
        </w:rPr>
        <w:t>攸</w:t>
      </w:r>
      <w:proofErr w:type="gramEnd"/>
      <w:r>
        <w:rPr>
          <w:rFonts w:hint="eastAsia"/>
          <w:color w:val="000000" w:themeColor="text1"/>
        </w:rPr>
        <w:t>關，非擴張概以一切本於公務員身分或職務有關之機會者而言」（最高法院96年度台上字第671號、臺灣高等法院</w:t>
      </w:r>
      <w:proofErr w:type="gramStart"/>
      <w:r>
        <w:rPr>
          <w:color w:val="000000" w:themeColor="text1"/>
        </w:rPr>
        <w:t>10</w:t>
      </w:r>
      <w:proofErr w:type="gramEnd"/>
      <w:r>
        <w:rPr>
          <w:rFonts w:hint="eastAsia"/>
          <w:color w:val="000000" w:themeColor="text1"/>
        </w:rPr>
        <w:t>3年度上更（一)字第40號及臺灣高等法院</w:t>
      </w:r>
      <w:proofErr w:type="gramStart"/>
      <w:r>
        <w:rPr>
          <w:color w:val="000000" w:themeColor="text1"/>
        </w:rPr>
        <w:t>10</w:t>
      </w:r>
      <w:proofErr w:type="gramEnd"/>
      <w:r>
        <w:rPr>
          <w:rFonts w:hint="eastAsia"/>
          <w:color w:val="000000" w:themeColor="text1"/>
        </w:rPr>
        <w:t>8年度上訴字第2820號刑事判決參照）。</w:t>
      </w:r>
    </w:p>
    <w:p w:rsidR="00A91325" w:rsidRDefault="00902C11">
      <w:pPr>
        <w:pStyle w:val="3"/>
        <w:rPr>
          <w:color w:val="000000" w:themeColor="text1"/>
        </w:rPr>
      </w:pPr>
      <w:r>
        <w:rPr>
          <w:rFonts w:hint="eastAsia"/>
          <w:color w:val="000000" w:themeColor="text1"/>
        </w:rPr>
        <w:t>有鑑於此，為確保檢察權行使之一致性，統一追訴標準，以避免檢察官因起訴基準不同造成之追訴不公平，最高檢察署於111年1月22日最高檢察署</w:t>
      </w:r>
      <w:proofErr w:type="gramStart"/>
      <w:r>
        <w:rPr>
          <w:rFonts w:hint="eastAsia"/>
          <w:color w:val="000000" w:themeColor="text1"/>
        </w:rPr>
        <w:t>肅</w:t>
      </w:r>
      <w:proofErr w:type="gramEnd"/>
      <w:r>
        <w:rPr>
          <w:rFonts w:hint="eastAsia"/>
          <w:color w:val="000000" w:themeColor="text1"/>
        </w:rPr>
        <w:t>貪督導小組第159次會議達成「基於檢察一體原則，最高檢察署統一追訴標準，就公務員詐領『加班費』、</w:t>
      </w:r>
      <w:r>
        <w:rPr>
          <w:rFonts w:hint="eastAsia"/>
          <w:color w:val="000000" w:themeColor="text1"/>
        </w:rPr>
        <w:lastRenderedPageBreak/>
        <w:t>『值班費』、『差旅費』及『休假補助費』等4種類型以普詐欺罪論處，上開4種類型</w:t>
      </w:r>
      <w:proofErr w:type="gramStart"/>
      <w:r>
        <w:rPr>
          <w:rFonts w:hint="eastAsia"/>
          <w:color w:val="000000" w:themeColor="text1"/>
        </w:rPr>
        <w:t>以外</w:t>
      </w:r>
      <w:proofErr w:type="gramEnd"/>
      <w:r>
        <w:rPr>
          <w:rFonts w:hint="eastAsia"/>
          <w:color w:val="000000" w:themeColor="text1"/>
        </w:rPr>
        <w:t>，由檢察官視個案情節認定」之結論，基於檢察一體原則，統一追訴標準如下：</w:t>
      </w:r>
    </w:p>
    <w:p w:rsidR="00A91325" w:rsidRDefault="00902C11">
      <w:pPr>
        <w:pStyle w:val="4"/>
        <w:rPr>
          <w:color w:val="000000" w:themeColor="text1"/>
        </w:rPr>
      </w:pPr>
      <w:r>
        <w:rPr>
          <w:rFonts w:hint="eastAsia"/>
          <w:color w:val="000000" w:themeColor="text1"/>
        </w:rPr>
        <w:t>公務員詐領加班費、值班費、差旅費及休假補助費以普通詐欺罪論處，其他性質之個案則視具體案件情節，由各檢察署參酌研討會意見認定之。</w:t>
      </w:r>
    </w:p>
    <w:p w:rsidR="00A91325" w:rsidRDefault="00902C11">
      <w:pPr>
        <w:pStyle w:val="4"/>
        <w:rPr>
          <w:color w:val="000000" w:themeColor="text1"/>
        </w:rPr>
      </w:pPr>
      <w:r>
        <w:rPr>
          <w:rFonts w:hint="eastAsia"/>
          <w:color w:val="000000" w:themeColor="text1"/>
        </w:rPr>
        <w:t>上述四類案件以貪污治罪條例起訴者，於審判中應請公訴檢察官聲請變更起訴法條為刑法普通詐欺罪，如法院已依貪污治罪條例判決有罪者，檢察官應提起上訴，請求改判刑法普通詐欺罪。</w:t>
      </w:r>
    </w:p>
    <w:p w:rsidR="00A91325" w:rsidRDefault="00902C11">
      <w:pPr>
        <w:pStyle w:val="4"/>
        <w:rPr>
          <w:color w:val="000000" w:themeColor="text1"/>
        </w:rPr>
      </w:pPr>
      <w:r>
        <w:rPr>
          <w:rFonts w:hint="eastAsia"/>
          <w:color w:val="000000" w:themeColor="text1"/>
        </w:rPr>
        <w:t>請廉政署及調查局就上述四類案件，以普通詐欺罪統一移送標準，個案如有疑義，請先行</w:t>
      </w:r>
      <w:proofErr w:type="gramStart"/>
      <w:r>
        <w:rPr>
          <w:rFonts w:hint="eastAsia"/>
          <w:color w:val="000000" w:themeColor="text1"/>
        </w:rPr>
        <w:t>與駐署檢察官</w:t>
      </w:r>
      <w:proofErr w:type="gramEnd"/>
      <w:r>
        <w:rPr>
          <w:rFonts w:hint="eastAsia"/>
          <w:color w:val="000000" w:themeColor="text1"/>
        </w:rPr>
        <w:t>及對應檢察署肅貪檢察官商議。</w:t>
      </w:r>
    </w:p>
    <w:p w:rsidR="00A91325" w:rsidRDefault="00902C11">
      <w:pPr>
        <w:pStyle w:val="4"/>
        <w:rPr>
          <w:color w:val="000000" w:themeColor="text1"/>
        </w:rPr>
      </w:pPr>
      <w:r>
        <w:rPr>
          <w:rFonts w:hint="eastAsia"/>
          <w:color w:val="000000" w:themeColor="text1"/>
        </w:rPr>
        <w:t>請廉政署加強此類案件內控機制或行政管理之宣導，由預防面推動，消弭犯罪誘因，以減少此類犯罪行為之發生。</w:t>
      </w:r>
      <w:bookmarkEnd w:id="74"/>
    </w:p>
    <w:p w:rsidR="00A91325" w:rsidRDefault="00902C11">
      <w:pPr>
        <w:pStyle w:val="3"/>
        <w:rPr>
          <w:color w:val="000000" w:themeColor="text1"/>
        </w:rPr>
      </w:pPr>
      <w:proofErr w:type="gramStart"/>
      <w:r>
        <w:rPr>
          <w:rFonts w:hint="eastAsia"/>
          <w:color w:val="000000" w:themeColor="text1"/>
        </w:rPr>
        <w:t>此外，</w:t>
      </w:r>
      <w:proofErr w:type="gramEnd"/>
      <w:r>
        <w:rPr>
          <w:rFonts w:hint="eastAsia"/>
          <w:color w:val="000000" w:themeColor="text1"/>
        </w:rPr>
        <w:t>亦有論者指出：「貪污治罪條例不少條文</w:t>
      </w:r>
      <w:proofErr w:type="gramStart"/>
      <w:r>
        <w:rPr>
          <w:rFonts w:hint="eastAsia"/>
          <w:color w:val="000000" w:themeColor="text1"/>
        </w:rPr>
        <w:t>情輕法重</w:t>
      </w:r>
      <w:proofErr w:type="gramEnd"/>
      <w:r>
        <w:rPr>
          <w:rFonts w:hint="eastAsia"/>
          <w:color w:val="000000" w:themeColor="text1"/>
        </w:rPr>
        <w:t>，常遭外界質疑有違罪刑相當原則。過去實務適用過程，往往因刑度太重，造成法官判不下去、檢察官不敢出手，反而形成</w:t>
      </w:r>
      <w:proofErr w:type="gramStart"/>
      <w:r>
        <w:rPr>
          <w:rFonts w:hint="eastAsia"/>
          <w:color w:val="000000" w:themeColor="text1"/>
        </w:rPr>
        <w:t>肅</w:t>
      </w:r>
      <w:proofErr w:type="gramEnd"/>
      <w:r>
        <w:rPr>
          <w:rFonts w:hint="eastAsia"/>
          <w:color w:val="000000" w:themeColor="text1"/>
        </w:rPr>
        <w:t>貪障礙。在取得修法或整</w:t>
      </w:r>
      <w:proofErr w:type="gramStart"/>
      <w:r>
        <w:rPr>
          <w:rFonts w:hint="eastAsia"/>
          <w:color w:val="000000" w:themeColor="text1"/>
        </w:rPr>
        <w:t>併</w:t>
      </w:r>
      <w:proofErr w:type="gramEnd"/>
      <w:r>
        <w:rPr>
          <w:rFonts w:hint="eastAsia"/>
          <w:color w:val="000000" w:themeColor="text1"/>
        </w:rPr>
        <w:t>之共識前，嚴格解釋適用該條例，</w:t>
      </w:r>
      <w:proofErr w:type="gramStart"/>
      <w:r>
        <w:rPr>
          <w:rFonts w:hint="eastAsia"/>
          <w:color w:val="000000" w:themeColor="text1"/>
        </w:rPr>
        <w:t>必要時求</w:t>
      </w:r>
      <w:proofErr w:type="gramEnd"/>
      <w:r>
        <w:rPr>
          <w:rFonts w:hint="eastAsia"/>
          <w:color w:val="000000" w:themeColor="text1"/>
        </w:rPr>
        <w:t>諸普通刑法上之犯罪，查緝得到、判得下去、沒收得了，未必不是有利肅貪的思考」</w:t>
      </w:r>
      <w:r>
        <w:rPr>
          <w:rStyle w:val="afe"/>
          <w:color w:val="000000" w:themeColor="text1"/>
        </w:rPr>
        <w:footnoteReference w:id="2"/>
      </w:r>
      <w:r>
        <w:rPr>
          <w:rFonts w:hint="eastAsia"/>
          <w:color w:val="000000" w:themeColor="text1"/>
        </w:rPr>
        <w:t>。</w:t>
      </w:r>
    </w:p>
    <w:p w:rsidR="00A91325" w:rsidRDefault="00902C11">
      <w:pPr>
        <w:pStyle w:val="3"/>
        <w:rPr>
          <w:color w:val="000000" w:themeColor="text1"/>
        </w:rPr>
      </w:pPr>
      <w:r>
        <w:rPr>
          <w:rFonts w:hint="eastAsia"/>
          <w:color w:val="000000" w:themeColor="text1"/>
        </w:rPr>
        <w:t>查</w:t>
      </w:r>
      <w:proofErr w:type="gramStart"/>
      <w:r>
        <w:rPr>
          <w:rFonts w:hint="eastAsia"/>
          <w:color w:val="000000" w:themeColor="text1"/>
        </w:rPr>
        <w:t>郭</w:t>
      </w:r>
      <w:proofErr w:type="gramEnd"/>
      <w:r>
        <w:rPr>
          <w:rFonts w:hint="eastAsia"/>
          <w:color w:val="000000" w:themeColor="text1"/>
        </w:rPr>
        <w:t>○○於108年5月7日與同仁在牛排館聚餐，先告知聚餐同仁自行負擔費用，嗣又將用餐收據辦理主官行政</w:t>
      </w:r>
      <w:proofErr w:type="gramStart"/>
      <w:r>
        <w:rPr>
          <w:rFonts w:hint="eastAsia"/>
          <w:color w:val="000000" w:themeColor="text1"/>
        </w:rPr>
        <w:t>事務費結</w:t>
      </w:r>
      <w:proofErr w:type="gramEnd"/>
      <w:r>
        <w:rPr>
          <w:rFonts w:hint="eastAsia"/>
          <w:color w:val="000000" w:themeColor="text1"/>
        </w:rPr>
        <w:t>報，不當領取4,797元，此一行為係違反貪污治罪條例或刑法普通詐欺罪，容有爭議。</w:t>
      </w:r>
      <w:r>
        <w:rPr>
          <w:rFonts w:hint="eastAsia"/>
          <w:color w:val="000000" w:themeColor="text1"/>
        </w:rPr>
        <w:lastRenderedPageBreak/>
        <w:t>本院認</w:t>
      </w:r>
      <w:proofErr w:type="gramStart"/>
      <w:r>
        <w:rPr>
          <w:rFonts w:hint="eastAsia"/>
          <w:color w:val="000000" w:themeColor="text1"/>
        </w:rPr>
        <w:t>郭</w:t>
      </w:r>
      <w:proofErr w:type="gramEnd"/>
      <w:r>
        <w:rPr>
          <w:rFonts w:hint="eastAsia"/>
          <w:color w:val="000000" w:themeColor="text1"/>
        </w:rPr>
        <w:t>○○於金額、範圍及請領</w:t>
      </w:r>
      <w:proofErr w:type="gramStart"/>
      <w:r>
        <w:rPr>
          <w:rFonts w:hint="eastAsia"/>
          <w:color w:val="000000" w:themeColor="text1"/>
        </w:rPr>
        <w:t>程序均未違</w:t>
      </w:r>
      <w:proofErr w:type="gramEnd"/>
      <w:r>
        <w:rPr>
          <w:rFonts w:hint="eastAsia"/>
          <w:color w:val="000000" w:themeColor="text1"/>
        </w:rPr>
        <w:t>反主官行政事務費之報支規定，且其負有單位各項經費支出核定之責，自不該當利用職務上機會詐取財物罪之「施用詐術」及「陷於錯誤」之構成要件；又</w:t>
      </w:r>
      <w:proofErr w:type="gramStart"/>
      <w:r>
        <w:rPr>
          <w:rFonts w:hint="eastAsia"/>
          <w:color w:val="000000" w:themeColor="text1"/>
        </w:rPr>
        <w:t>郭</w:t>
      </w:r>
      <w:proofErr w:type="gramEnd"/>
      <w:r>
        <w:rPr>
          <w:rFonts w:hint="eastAsia"/>
          <w:color w:val="000000" w:themeColor="text1"/>
        </w:rPr>
        <w:t>○○於餐敘時言明各自負擔，使餐敘同仁陷於錯誤而交付餐費，充其量應構成刑法普通詐欺罪，與貪污治罪條例尚屬有間，法院逕以後者論處，有判決理由矛盾、判決適用法則不當等違背法令情事，已如前述。退步言之，</w:t>
      </w:r>
      <w:proofErr w:type="gramStart"/>
      <w:r>
        <w:rPr>
          <w:rFonts w:hint="eastAsia"/>
          <w:color w:val="000000" w:themeColor="text1"/>
        </w:rPr>
        <w:t>縱認上</w:t>
      </w:r>
      <w:proofErr w:type="gramEnd"/>
      <w:r>
        <w:rPr>
          <w:rFonts w:hint="eastAsia"/>
          <w:color w:val="000000" w:themeColor="text1"/>
        </w:rPr>
        <w:t>開行為構成利用職務上機會詐取財物罪，主官行政事務費因非「加班費」、「值班費」、「差旅費」及「休假補助費」，而不屬最高檢察署認應以普通詐欺罪起訴之範疇，然其</w:t>
      </w:r>
      <w:proofErr w:type="gramStart"/>
      <w:r>
        <w:rPr>
          <w:rFonts w:hint="eastAsia"/>
          <w:color w:val="000000" w:themeColor="text1"/>
        </w:rPr>
        <w:t>實質上與詐</w:t>
      </w:r>
      <w:proofErr w:type="gramEnd"/>
      <w:r>
        <w:rPr>
          <w:rFonts w:hint="eastAsia"/>
          <w:color w:val="000000" w:themeColor="text1"/>
        </w:rPr>
        <w:t>領小額津貼而遭重判、違反罪刑相當之態樣無殊。</w:t>
      </w:r>
      <w:proofErr w:type="gramStart"/>
      <w:r>
        <w:rPr>
          <w:rFonts w:hint="eastAsia"/>
          <w:color w:val="000000" w:themeColor="text1"/>
        </w:rPr>
        <w:t>縱加計</w:t>
      </w:r>
      <w:proofErr w:type="gramEnd"/>
      <w:r>
        <w:rPr>
          <w:rFonts w:hint="eastAsia"/>
          <w:color w:val="000000" w:themeColor="text1"/>
        </w:rPr>
        <w:t>其於同年9月5日以不實收據請領之一般事務費1,320元，亦僅有6,117元，惟本案雖已獲減刑之寬典，經減輕後仍屬3年6月以上有期徒刑之重罪，有罪刑失當，違反比例原則之虞。</w:t>
      </w:r>
    </w:p>
    <w:p w:rsidR="00A91325" w:rsidRDefault="00902C11">
      <w:pPr>
        <w:pStyle w:val="3"/>
        <w:rPr>
          <w:color w:val="000000" w:themeColor="text1"/>
        </w:rPr>
      </w:pPr>
      <w:r>
        <w:rPr>
          <w:rFonts w:hint="eastAsia"/>
          <w:color w:val="000000" w:themeColor="text1"/>
        </w:rPr>
        <w:t>又查</w:t>
      </w:r>
      <w:proofErr w:type="gramStart"/>
      <w:r>
        <w:rPr>
          <w:rFonts w:hint="eastAsia"/>
          <w:color w:val="000000" w:themeColor="text1"/>
        </w:rPr>
        <w:t>臺</w:t>
      </w:r>
      <w:proofErr w:type="gramEnd"/>
      <w:r>
        <w:rPr>
          <w:rFonts w:hint="eastAsia"/>
          <w:color w:val="000000" w:themeColor="text1"/>
        </w:rPr>
        <w:t>北地院依貪污治罪條例第8條第2項前段、刑法第59條等減刑之理由，係以「考量</w:t>
      </w:r>
      <w:proofErr w:type="gramStart"/>
      <w:r>
        <w:rPr>
          <w:rFonts w:hint="eastAsia"/>
          <w:color w:val="000000" w:themeColor="text1"/>
        </w:rPr>
        <w:t>本案詐</w:t>
      </w:r>
      <w:proofErr w:type="gramEnd"/>
      <w:r>
        <w:rPr>
          <w:rFonts w:hint="eastAsia"/>
          <w:color w:val="000000" w:themeColor="text1"/>
        </w:rPr>
        <w:t>領金額4,794元、1,320元，犯罪情形尚屬輕微，被告固已獲依貪污治罪條例第8條第2項前段之規定減刑之寬典，然經減輕後之刑度，仍屬3年6月以上有期徒刑之重罪，仍有情</w:t>
      </w:r>
      <w:proofErr w:type="gramStart"/>
      <w:r>
        <w:rPr>
          <w:rFonts w:hint="eastAsia"/>
          <w:color w:val="000000" w:themeColor="text1"/>
        </w:rPr>
        <w:t>輕法重</w:t>
      </w:r>
      <w:proofErr w:type="gramEnd"/>
      <w:r>
        <w:rPr>
          <w:rFonts w:hint="eastAsia"/>
          <w:color w:val="000000" w:themeColor="text1"/>
        </w:rPr>
        <w:t>之憾，如</w:t>
      </w:r>
      <w:proofErr w:type="gramStart"/>
      <w:r>
        <w:rPr>
          <w:rFonts w:hint="eastAsia"/>
          <w:color w:val="000000" w:themeColor="text1"/>
        </w:rPr>
        <w:t>遽論</w:t>
      </w:r>
      <w:proofErr w:type="gramEnd"/>
      <w:r>
        <w:rPr>
          <w:rFonts w:hint="eastAsia"/>
          <w:color w:val="000000" w:themeColor="text1"/>
        </w:rPr>
        <w:t>科以此重典，不免過苛」；臺灣高等法院則以「衡酌其犯罪情節僅與申報單位餐費事宜相關，且金額合計僅6千餘元，難認惡性重大，經</w:t>
      </w:r>
      <w:proofErr w:type="gramStart"/>
      <w:r>
        <w:rPr>
          <w:rFonts w:hint="eastAsia"/>
          <w:color w:val="000000" w:themeColor="text1"/>
        </w:rPr>
        <w:t>偵</w:t>
      </w:r>
      <w:proofErr w:type="gramEnd"/>
      <w:r>
        <w:rPr>
          <w:rFonts w:hint="eastAsia"/>
          <w:color w:val="000000" w:themeColor="text1"/>
        </w:rPr>
        <w:t>審程序應能知所警惕而無再犯之虞，以暫不執行其刑為當」為由，再依刑法第74條第1項第1款規定宣告緩刑5年，顯見法院亦認以本案具體犯罪情節，科以貪污治罪條例之重典，有過苛之虞。</w:t>
      </w:r>
    </w:p>
    <w:p w:rsidR="00A91325" w:rsidRDefault="00902C11">
      <w:pPr>
        <w:pStyle w:val="3"/>
        <w:rPr>
          <w:color w:val="000000" w:themeColor="text1"/>
        </w:rPr>
      </w:pPr>
      <w:r>
        <w:rPr>
          <w:rFonts w:hint="eastAsia"/>
          <w:color w:val="000000" w:themeColor="text1"/>
        </w:rPr>
        <w:lastRenderedPageBreak/>
        <w:t>綜上，貪污治罪條例第5條第1項第2款之公務員利用職務上機會詐取財物罪，屬於法定</w:t>
      </w:r>
      <w:proofErr w:type="gramStart"/>
      <w:r>
        <w:rPr>
          <w:rFonts w:hint="eastAsia"/>
          <w:color w:val="000000" w:themeColor="text1"/>
        </w:rPr>
        <w:t>刑</w:t>
      </w:r>
      <w:proofErr w:type="gramEnd"/>
      <w:r>
        <w:rPr>
          <w:rFonts w:hint="eastAsia"/>
          <w:color w:val="000000" w:themeColor="text1"/>
        </w:rPr>
        <w:t>7年以上重度貪污犯罪，雖經最高檢察署於111年2月25日發布新聞稿統一起訴標準，認定在公務員小額詐領加班費、值班費、差旅費及休假補助費，檢察官應以普通詐欺罪論處，然此法律見解無從拘束法院，法院仍得變更起訴法條，依貪污治罪條例第5條第1項第2款規定判決。為避免公務員</w:t>
      </w:r>
      <w:proofErr w:type="gramStart"/>
      <w:r>
        <w:rPr>
          <w:rFonts w:hint="eastAsia"/>
          <w:color w:val="000000" w:themeColor="text1"/>
        </w:rPr>
        <w:t>罹</w:t>
      </w:r>
      <w:proofErr w:type="gramEnd"/>
      <w:r>
        <w:rPr>
          <w:rFonts w:hint="eastAsia"/>
          <w:color w:val="000000" w:themeColor="text1"/>
        </w:rPr>
        <w:t>於刑章之際有情</w:t>
      </w:r>
      <w:proofErr w:type="gramStart"/>
      <w:r>
        <w:rPr>
          <w:rFonts w:hint="eastAsia"/>
          <w:color w:val="000000" w:themeColor="text1"/>
        </w:rPr>
        <w:t>輕法重</w:t>
      </w:r>
      <w:proofErr w:type="gramEnd"/>
      <w:r>
        <w:rPr>
          <w:rFonts w:hint="eastAsia"/>
          <w:color w:val="000000" w:themeColor="text1"/>
        </w:rPr>
        <w:t>之憾，以及院檢法律見解不一致，恐侵害法安定性等爭議，法務部允應對貪污治罪條例及刑法之分際，持續廣納各界意見、凝聚共識，積極辦理修法研議。</w:t>
      </w:r>
    </w:p>
    <w:p w:rsidR="00A91325" w:rsidRDefault="00902C11">
      <w:pPr>
        <w:pStyle w:val="1"/>
        <w:ind w:left="2380" w:hanging="2380"/>
        <w:rPr>
          <w:color w:val="000000" w:themeColor="text1"/>
        </w:rPr>
      </w:pPr>
      <w:bookmarkStart w:id="76" w:name="_Toc524895648"/>
      <w:bookmarkStart w:id="77" w:name="_Toc524896194"/>
      <w:bookmarkStart w:id="78" w:name="_Toc524896224"/>
      <w:bookmarkStart w:id="79" w:name="_Toc524902734"/>
      <w:bookmarkStart w:id="80" w:name="_Toc525066148"/>
      <w:bookmarkStart w:id="81" w:name="_Toc525070839"/>
      <w:bookmarkStart w:id="82" w:name="_Toc525938379"/>
      <w:bookmarkStart w:id="83" w:name="_Toc525939227"/>
      <w:bookmarkStart w:id="84" w:name="_Toc525939732"/>
      <w:bookmarkStart w:id="85" w:name="_Toc529218272"/>
      <w:bookmarkEnd w:id="60"/>
      <w:r>
        <w:rPr>
          <w:color w:val="000000" w:themeColor="text1"/>
        </w:rPr>
        <w:br w:type="page"/>
      </w:r>
      <w:bookmarkStart w:id="86" w:name="_Toc529222689"/>
      <w:bookmarkStart w:id="87" w:name="_Toc529223111"/>
      <w:bookmarkStart w:id="88" w:name="_Toc529223862"/>
      <w:bookmarkStart w:id="89" w:name="_Toc529228265"/>
      <w:bookmarkStart w:id="90" w:name="_Toc2400395"/>
      <w:bookmarkStart w:id="91" w:name="_Toc4316189"/>
      <w:bookmarkStart w:id="92" w:name="_Toc4473330"/>
      <w:bookmarkStart w:id="93" w:name="_Toc69556897"/>
      <w:bookmarkStart w:id="94" w:name="_Toc69556946"/>
      <w:bookmarkStart w:id="95" w:name="_Toc69609820"/>
      <w:bookmarkStart w:id="96" w:name="_Toc70241816"/>
      <w:bookmarkStart w:id="97" w:name="_Toc70242205"/>
      <w:bookmarkStart w:id="98" w:name="_Toc421794875"/>
      <w:bookmarkStart w:id="99" w:name="_Toc422834160"/>
      <w:r>
        <w:rPr>
          <w:rFonts w:hint="eastAsia"/>
          <w:color w:val="000000" w:themeColor="text1"/>
        </w:rPr>
        <w:lastRenderedPageBreak/>
        <w:t>處理辦法：</w:t>
      </w:r>
      <w:bookmarkStart w:id="100" w:name="_Toc524895649"/>
      <w:bookmarkStart w:id="101" w:name="_Toc524896195"/>
      <w:bookmarkStart w:id="102" w:name="_Toc524896225"/>
      <w:bookmarkStart w:id="103" w:name="_Toc70241820"/>
      <w:bookmarkStart w:id="104" w:name="_Toc70242209"/>
      <w:bookmarkStart w:id="105" w:name="_Toc421794876"/>
      <w:bookmarkStart w:id="106" w:name="_Toc421795442"/>
      <w:bookmarkStart w:id="107" w:name="_Toc421796023"/>
      <w:bookmarkStart w:id="108" w:name="_Toc422728958"/>
      <w:bookmarkStart w:id="109" w:name="_Toc422834161"/>
      <w:bookmarkStart w:id="110" w:name="_Toc2400396"/>
      <w:bookmarkStart w:id="111" w:name="_Toc4316190"/>
      <w:bookmarkStart w:id="112" w:name="_Toc4473331"/>
      <w:bookmarkStart w:id="113" w:name="_Toc69556898"/>
      <w:bookmarkStart w:id="114" w:name="_Toc69556947"/>
      <w:bookmarkStart w:id="115" w:name="_Toc69609821"/>
      <w:bookmarkStart w:id="116" w:name="_Toc70241817"/>
      <w:bookmarkStart w:id="117" w:name="_Toc70242206"/>
      <w:bookmarkStart w:id="118" w:name="_Toc524902735"/>
      <w:bookmarkStart w:id="119" w:name="_Toc525066149"/>
      <w:bookmarkStart w:id="120" w:name="_Toc525070840"/>
      <w:bookmarkStart w:id="121" w:name="_Toc525938380"/>
      <w:bookmarkStart w:id="122" w:name="_Toc525939228"/>
      <w:bookmarkStart w:id="123" w:name="_Toc525939733"/>
      <w:bookmarkStart w:id="124" w:name="_Toc529218273"/>
      <w:bookmarkStart w:id="125" w:name="_Toc529222690"/>
      <w:bookmarkStart w:id="126" w:name="_Toc529223112"/>
      <w:bookmarkStart w:id="127" w:name="_Toc529223863"/>
      <w:bookmarkStart w:id="128" w:name="_Toc529228266"/>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A91325" w:rsidRDefault="00902C11">
      <w:pPr>
        <w:pStyle w:val="2"/>
        <w:rPr>
          <w:color w:val="000000" w:themeColor="text1"/>
        </w:rPr>
      </w:pPr>
      <w:r>
        <w:rPr>
          <w:rFonts w:hint="eastAsia"/>
          <w:color w:val="000000" w:themeColor="text1"/>
        </w:rPr>
        <w:t>調查意見一、二，函請國防部檢討改進</w:t>
      </w:r>
      <w:proofErr w:type="gramStart"/>
      <w:r>
        <w:rPr>
          <w:rFonts w:hint="eastAsia"/>
          <w:color w:val="000000" w:themeColor="text1"/>
        </w:rPr>
        <w:t>見復。</w:t>
      </w:r>
      <w:proofErr w:type="gramEnd"/>
    </w:p>
    <w:p w:rsidR="00A91325" w:rsidRDefault="00902C11">
      <w:pPr>
        <w:pStyle w:val="2"/>
        <w:rPr>
          <w:color w:val="000000" w:themeColor="text1"/>
        </w:rPr>
      </w:pPr>
      <w:r>
        <w:rPr>
          <w:rFonts w:hint="eastAsia"/>
          <w:color w:val="000000" w:themeColor="text1"/>
        </w:rPr>
        <w:t>調查意見</w:t>
      </w:r>
      <w:proofErr w:type="gramStart"/>
      <w:r>
        <w:rPr>
          <w:rFonts w:hint="eastAsia"/>
          <w:color w:val="000000" w:themeColor="text1"/>
        </w:rPr>
        <w:t>三</w:t>
      </w:r>
      <w:proofErr w:type="gramEnd"/>
      <w:r>
        <w:rPr>
          <w:rFonts w:hint="eastAsia"/>
          <w:color w:val="000000" w:themeColor="text1"/>
        </w:rPr>
        <w:t>，函請法務部轉最高檢察署檢察總長研提非常上訴。</w:t>
      </w:r>
    </w:p>
    <w:p w:rsidR="00A91325" w:rsidRDefault="00902C11">
      <w:pPr>
        <w:pStyle w:val="2"/>
        <w:rPr>
          <w:color w:val="000000" w:themeColor="text1"/>
        </w:rPr>
      </w:pPr>
      <w:r>
        <w:rPr>
          <w:rFonts w:hint="eastAsia"/>
          <w:color w:val="000000" w:themeColor="text1"/>
        </w:rPr>
        <w:t>調查意見四，函請法務部</w:t>
      </w:r>
      <w:proofErr w:type="gramStart"/>
      <w:r>
        <w:rPr>
          <w:rFonts w:hint="eastAsia"/>
          <w:color w:val="000000" w:themeColor="text1"/>
        </w:rPr>
        <w:t>研議見復</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hint="eastAsia"/>
          <w:color w:val="000000" w:themeColor="text1"/>
        </w:rPr>
        <w:t>。</w:t>
      </w:r>
      <w:proofErr w:type="gramEnd"/>
    </w:p>
    <w:p w:rsidR="00A91325" w:rsidRDefault="00902C11">
      <w:pPr>
        <w:pStyle w:val="2"/>
        <w:rPr>
          <w:color w:val="000000" w:themeColor="text1"/>
        </w:rPr>
      </w:pPr>
      <w:r>
        <w:rPr>
          <w:rFonts w:hint="eastAsia"/>
          <w:color w:val="000000" w:themeColor="text1"/>
        </w:rPr>
        <w:t>檢</w:t>
      </w:r>
      <w:proofErr w:type="gramStart"/>
      <w:r>
        <w:rPr>
          <w:rFonts w:hint="eastAsia"/>
          <w:color w:val="000000" w:themeColor="text1"/>
        </w:rPr>
        <w:t>附派查函</w:t>
      </w:r>
      <w:proofErr w:type="gramEnd"/>
      <w:r>
        <w:rPr>
          <w:rFonts w:hint="eastAsia"/>
          <w:color w:val="000000" w:themeColor="text1"/>
        </w:rPr>
        <w:t>及相關附件，送請外交及國防委員會、司法及獄政委員會聯席會議處理。</w:t>
      </w:r>
    </w:p>
    <w:p w:rsidR="00A91325" w:rsidRDefault="00902C11">
      <w:pPr>
        <w:pStyle w:val="2"/>
        <w:rPr>
          <w:color w:val="000000" w:themeColor="text1"/>
        </w:rPr>
      </w:pPr>
      <w:r>
        <w:rPr>
          <w:rFonts w:hint="eastAsia"/>
          <w:color w:val="000000" w:themeColor="text1"/>
        </w:rPr>
        <w:t>調查意見隱匿個資後上網公布。</w:t>
      </w:r>
    </w:p>
    <w:p w:rsidR="00A91325" w:rsidRDefault="00A91325">
      <w:pPr>
        <w:pStyle w:val="2"/>
        <w:numPr>
          <w:ilvl w:val="0"/>
          <w:numId w:val="0"/>
        </w:numPr>
        <w:ind w:left="340"/>
        <w:rPr>
          <w:color w:val="000000" w:themeColor="text1"/>
        </w:rPr>
      </w:pPr>
    </w:p>
    <w:p w:rsidR="00A91325" w:rsidRPr="001A1B04" w:rsidRDefault="00902C11" w:rsidP="001A1B04">
      <w:pPr>
        <w:pStyle w:val="aa"/>
        <w:spacing w:beforeLines="50" w:before="228" w:afterLines="100" w:after="457"/>
        <w:ind w:left="0" w:firstLineChars="400" w:firstLine="1778"/>
        <w:rPr>
          <w:bCs/>
          <w:snapToGrid/>
          <w:color w:val="000000" w:themeColor="text1"/>
          <w:spacing w:val="12"/>
          <w:kern w:val="0"/>
          <w:sz w:val="40"/>
        </w:rPr>
      </w:pPr>
      <w:r w:rsidRPr="001A1B04">
        <w:rPr>
          <w:rFonts w:hint="eastAsia"/>
          <w:bCs/>
          <w:snapToGrid/>
          <w:color w:val="000000" w:themeColor="text1"/>
          <w:spacing w:val="12"/>
          <w:kern w:val="0"/>
          <w:sz w:val="40"/>
        </w:rPr>
        <w:t>調查委員：</w:t>
      </w:r>
      <w:r w:rsidR="001A1B04" w:rsidRPr="001A1B04">
        <w:rPr>
          <w:rFonts w:hint="eastAsia"/>
          <w:bCs/>
          <w:snapToGrid/>
          <w:color w:val="000000" w:themeColor="text1"/>
          <w:spacing w:val="12"/>
          <w:kern w:val="0"/>
          <w:sz w:val="40"/>
        </w:rPr>
        <w:t>蔡崇義</w:t>
      </w:r>
      <w:r w:rsidR="001A1B04" w:rsidRPr="001A1B04">
        <w:rPr>
          <w:rFonts w:hAnsi="標楷體" w:hint="eastAsia"/>
          <w:bCs/>
          <w:snapToGrid/>
          <w:color w:val="000000" w:themeColor="text1"/>
          <w:spacing w:val="12"/>
          <w:kern w:val="0"/>
          <w:sz w:val="40"/>
        </w:rPr>
        <w:t>、</w:t>
      </w:r>
      <w:r w:rsidR="001A1B04" w:rsidRPr="001A1B04">
        <w:rPr>
          <w:rFonts w:hint="eastAsia"/>
          <w:bCs/>
          <w:snapToGrid/>
          <w:color w:val="000000" w:themeColor="text1"/>
          <w:spacing w:val="12"/>
          <w:kern w:val="0"/>
          <w:sz w:val="40"/>
        </w:rPr>
        <w:t>田秋</w:t>
      </w:r>
      <w:proofErr w:type="gramStart"/>
      <w:r w:rsidR="001A1B04" w:rsidRPr="001A1B04">
        <w:rPr>
          <w:rFonts w:hint="eastAsia"/>
          <w:bCs/>
          <w:snapToGrid/>
          <w:color w:val="000000" w:themeColor="text1"/>
          <w:spacing w:val="12"/>
          <w:kern w:val="0"/>
          <w:sz w:val="40"/>
        </w:rPr>
        <w:t>堇</w:t>
      </w:r>
      <w:proofErr w:type="gramEnd"/>
    </w:p>
    <w:p w:rsidR="00A91325" w:rsidRDefault="00A91325">
      <w:pPr>
        <w:pStyle w:val="aa"/>
        <w:spacing w:before="0" w:after="0"/>
        <w:ind w:leftChars="1100" w:left="3742"/>
        <w:rPr>
          <w:rFonts w:ascii="Times New Roman"/>
          <w:b w:val="0"/>
          <w:bCs/>
          <w:snapToGrid/>
          <w:color w:val="000000" w:themeColor="text1"/>
          <w:spacing w:val="0"/>
          <w:kern w:val="0"/>
          <w:sz w:val="40"/>
        </w:rPr>
      </w:pPr>
    </w:p>
    <w:p w:rsidR="00A91325" w:rsidRDefault="00A91325">
      <w:pPr>
        <w:pStyle w:val="aa"/>
        <w:spacing w:before="0" w:after="0"/>
        <w:ind w:leftChars="1100" w:left="3742"/>
        <w:rPr>
          <w:rFonts w:ascii="Times New Roman"/>
          <w:b w:val="0"/>
          <w:bCs/>
          <w:snapToGrid/>
          <w:color w:val="000000" w:themeColor="text1"/>
          <w:spacing w:val="0"/>
          <w:kern w:val="0"/>
          <w:sz w:val="40"/>
        </w:rPr>
      </w:pPr>
    </w:p>
    <w:p w:rsidR="00A91325" w:rsidRDefault="00A91325">
      <w:pPr>
        <w:pStyle w:val="af0"/>
        <w:kinsoku/>
        <w:autoSpaceDE w:val="0"/>
        <w:spacing w:beforeLines="50" w:before="228"/>
        <w:ind w:left="1020" w:hanging="1020"/>
        <w:rPr>
          <w:bCs/>
          <w:color w:val="000000" w:themeColor="text1"/>
        </w:rPr>
      </w:pPr>
    </w:p>
    <w:sectPr w:rsidR="00A91325">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690" w:rsidRDefault="008E2690">
      <w:r>
        <w:separator/>
      </w:r>
    </w:p>
  </w:endnote>
  <w:endnote w:type="continuationSeparator" w:id="0">
    <w:p w:rsidR="008E2690" w:rsidRDefault="008E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325" w:rsidRDefault="00902C1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A91325" w:rsidRDefault="00A9132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690" w:rsidRDefault="008E2690">
      <w:r>
        <w:separator/>
      </w:r>
    </w:p>
  </w:footnote>
  <w:footnote w:type="continuationSeparator" w:id="0">
    <w:p w:rsidR="008E2690" w:rsidRDefault="008E2690">
      <w:r>
        <w:continuationSeparator/>
      </w:r>
    </w:p>
  </w:footnote>
  <w:footnote w:id="1">
    <w:p w:rsidR="00A91325" w:rsidRDefault="00902C11">
      <w:pPr>
        <w:pStyle w:val="afc"/>
        <w:jc w:val="both"/>
      </w:pPr>
      <w:r>
        <w:rPr>
          <w:rStyle w:val="afe"/>
        </w:rPr>
        <w:footnoteRef/>
      </w:r>
      <w:r>
        <w:t xml:space="preserve"> </w:t>
      </w:r>
      <w:r>
        <w:rPr>
          <w:rFonts w:hint="eastAsia"/>
        </w:rPr>
        <w:t>蔡聖偉，公務員詐領加班費的刑法適用問題，臺灣法律人，第1</w:t>
      </w:r>
      <w:r>
        <w:t>2</w:t>
      </w:r>
      <w:r>
        <w:rPr>
          <w:rFonts w:hint="eastAsia"/>
        </w:rPr>
        <w:t>期，2</w:t>
      </w:r>
      <w:r>
        <w:t>022</w:t>
      </w:r>
      <w:r>
        <w:rPr>
          <w:rFonts w:hint="eastAsia"/>
        </w:rPr>
        <w:t>年6月，頁7</w:t>
      </w:r>
      <w:r>
        <w:t>2-73</w:t>
      </w:r>
      <w:r>
        <w:rPr>
          <w:rFonts w:hint="eastAsia"/>
        </w:rPr>
        <w:t>。</w:t>
      </w:r>
    </w:p>
  </w:footnote>
  <w:footnote w:id="2">
    <w:p w:rsidR="00A91325" w:rsidRDefault="00902C11">
      <w:pPr>
        <w:pStyle w:val="afc"/>
        <w:jc w:val="both"/>
      </w:pPr>
      <w:r>
        <w:rPr>
          <w:rStyle w:val="afe"/>
        </w:rPr>
        <w:footnoteRef/>
      </w:r>
      <w:r>
        <w:t xml:space="preserve"> </w:t>
      </w:r>
      <w:r>
        <w:rPr>
          <w:rFonts w:hint="eastAsia"/>
        </w:rPr>
        <w:t>曾昭愷，貪污治罪條例「利用職務上機會」之再探討，月</w:t>
      </w:r>
      <w:proofErr w:type="gramStart"/>
      <w:r>
        <w:rPr>
          <w:rFonts w:hint="eastAsia"/>
        </w:rPr>
        <w:t>旦律評</w:t>
      </w:r>
      <w:proofErr w:type="gramEnd"/>
      <w:r>
        <w:rPr>
          <w:rFonts w:hint="eastAsia"/>
        </w:rPr>
        <w:t>，第1</w:t>
      </w:r>
      <w:r>
        <w:rPr>
          <w:rFonts w:hint="eastAsia"/>
        </w:rPr>
        <w:t>期，2022年4月，頁85。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53834C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532"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56A4318"/>
    <w:multiLevelType w:val="hybridMultilevel"/>
    <w:tmpl w:val="7012D93C"/>
    <w:lvl w:ilvl="0" w:tplc="FD90200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4DC04E66"/>
    <w:lvl w:ilvl="0" w:tplc="2AB48AD0">
      <w:start w:val="1"/>
      <w:numFmt w:val="taiwaneseCountingThousand"/>
      <w:pStyle w:val="a2"/>
      <w:lvlText w:val="附件%1、"/>
      <w:lvlJc w:val="left"/>
      <w:pPr>
        <w:ind w:left="480" w:hanging="4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D6E47ACA"/>
    <w:lvl w:ilvl="0" w:tplc="20D60D10">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3"/>
  </w:num>
  <w:num w:numId="19">
    <w:abstractNumId w:val="3"/>
    <w:lvlOverride w:ilvl="0">
      <w:startOverride w:val="1"/>
    </w:lvlOverride>
  </w:num>
  <w:num w:numId="20">
    <w:abstractNumId w:val="1"/>
  </w:num>
  <w:num w:numId="21">
    <w:abstractNumId w:val="3"/>
  </w:num>
  <w:num w:numId="22">
    <w:abstractNumId w:val="7"/>
  </w:num>
  <w:num w:numId="23">
    <w:abstractNumId w:val="5"/>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6"/>
  </w:num>
  <w:num w:numId="31">
    <w:abstractNumId w:val="6"/>
  </w:num>
  <w:num w:numId="32">
    <w:abstractNumId w:val="1"/>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num>
  <w:num w:numId="38">
    <w:abstractNumId w:val="2"/>
  </w:num>
  <w:num w:numId="39">
    <w:abstractNumId w:val="7"/>
    <w:lvlOverride w:ilvl="0">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25"/>
    <w:rsid w:val="00111241"/>
    <w:rsid w:val="001A1B04"/>
    <w:rsid w:val="005374E3"/>
    <w:rsid w:val="00575312"/>
    <w:rsid w:val="00653C9A"/>
    <w:rsid w:val="00714E90"/>
    <w:rsid w:val="0074453C"/>
    <w:rsid w:val="008A5FA2"/>
    <w:rsid w:val="008E2690"/>
    <w:rsid w:val="00902C11"/>
    <w:rsid w:val="00903A32"/>
    <w:rsid w:val="00945941"/>
    <w:rsid w:val="00A74ADA"/>
    <w:rsid w:val="00A91325"/>
    <w:rsid w:val="00AD3075"/>
    <w:rsid w:val="00CE6727"/>
    <w:rsid w:val="00D330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pPr>
      <w:widowControl w:val="0"/>
      <w:overflowPunct w:val="0"/>
      <w:autoSpaceDE w:val="0"/>
      <w:autoSpaceDN w:val="0"/>
      <w:jc w:val="both"/>
    </w:pPr>
    <w:rPr>
      <w:rFonts w:ascii="標楷體" w:eastAsia="標楷體"/>
      <w:kern w:val="2"/>
      <w:sz w:val="32"/>
    </w:rPr>
  </w:style>
  <w:style w:type="paragraph" w:styleId="1">
    <w:name w:val="heading 1"/>
    <w:basedOn w:val="a6"/>
    <w:qFormat/>
    <w:pPr>
      <w:numPr>
        <w:numId w:val="25"/>
      </w:numPr>
      <w:outlineLvl w:val="0"/>
    </w:pPr>
    <w:rPr>
      <w:rFonts w:hAnsi="Arial"/>
      <w:bCs/>
      <w:kern w:val="32"/>
      <w:szCs w:val="52"/>
    </w:rPr>
  </w:style>
  <w:style w:type="paragraph" w:styleId="2">
    <w:name w:val="heading 2"/>
    <w:basedOn w:val="a6"/>
    <w:link w:val="20"/>
    <w:qFormat/>
    <w:pPr>
      <w:numPr>
        <w:ilvl w:val="1"/>
        <w:numId w:val="25"/>
      </w:numPr>
      <w:outlineLvl w:val="1"/>
    </w:pPr>
    <w:rPr>
      <w:rFonts w:hAnsi="Arial"/>
      <w:bCs/>
      <w:kern w:val="32"/>
      <w:szCs w:val="48"/>
    </w:rPr>
  </w:style>
  <w:style w:type="paragraph" w:styleId="3">
    <w:name w:val="heading 3"/>
    <w:basedOn w:val="a6"/>
    <w:qFormat/>
    <w:pPr>
      <w:numPr>
        <w:ilvl w:val="2"/>
        <w:numId w:val="25"/>
      </w:numPr>
      <w:ind w:left="1361"/>
      <w:outlineLvl w:val="2"/>
    </w:pPr>
    <w:rPr>
      <w:rFonts w:hAnsi="Arial"/>
      <w:bCs/>
      <w:kern w:val="32"/>
      <w:szCs w:val="36"/>
    </w:rPr>
  </w:style>
  <w:style w:type="paragraph" w:styleId="4">
    <w:name w:val="heading 4"/>
    <w:basedOn w:val="a6"/>
    <w:link w:val="40"/>
    <w:qFormat/>
    <w:pPr>
      <w:numPr>
        <w:ilvl w:val="3"/>
        <w:numId w:val="25"/>
      </w:numPr>
      <w:outlineLvl w:val="3"/>
    </w:pPr>
    <w:rPr>
      <w:rFonts w:hAnsi="Arial"/>
      <w:kern w:val="32"/>
      <w:szCs w:val="36"/>
    </w:rPr>
  </w:style>
  <w:style w:type="paragraph" w:styleId="5">
    <w:name w:val="heading 5"/>
    <w:basedOn w:val="a6"/>
    <w:qFormat/>
    <w:pPr>
      <w:numPr>
        <w:ilvl w:val="4"/>
        <w:numId w:val="25"/>
      </w:numPr>
      <w:outlineLvl w:val="4"/>
    </w:pPr>
    <w:rPr>
      <w:rFonts w:hAnsi="Arial"/>
      <w:bCs/>
      <w:kern w:val="32"/>
      <w:szCs w:val="36"/>
    </w:rPr>
  </w:style>
  <w:style w:type="paragraph" w:styleId="6">
    <w:name w:val="heading 6"/>
    <w:basedOn w:val="a6"/>
    <w:qFormat/>
    <w:pPr>
      <w:numPr>
        <w:ilvl w:val="5"/>
        <w:numId w:val="25"/>
      </w:numPr>
      <w:tabs>
        <w:tab w:val="left" w:pos="2094"/>
      </w:tabs>
      <w:outlineLvl w:val="5"/>
    </w:pPr>
    <w:rPr>
      <w:rFonts w:hAnsi="Arial"/>
      <w:kern w:val="32"/>
      <w:szCs w:val="36"/>
    </w:rPr>
  </w:style>
  <w:style w:type="paragraph" w:styleId="7">
    <w:name w:val="heading 7"/>
    <w:basedOn w:val="a6"/>
    <w:qFormat/>
    <w:pPr>
      <w:numPr>
        <w:ilvl w:val="6"/>
        <w:numId w:val="25"/>
      </w:numPr>
      <w:outlineLvl w:val="6"/>
    </w:pPr>
    <w:rPr>
      <w:rFonts w:hAnsi="Arial"/>
      <w:bCs/>
      <w:kern w:val="32"/>
      <w:szCs w:val="36"/>
    </w:rPr>
  </w:style>
  <w:style w:type="paragraph" w:styleId="8">
    <w:name w:val="heading 8"/>
    <w:basedOn w:val="a6"/>
    <w:qFormat/>
    <w:pPr>
      <w:numPr>
        <w:ilvl w:val="7"/>
        <w:numId w:val="25"/>
      </w:numPr>
      <w:outlineLvl w:val="7"/>
    </w:pPr>
    <w:rPr>
      <w:rFonts w:hAnsi="Arial"/>
      <w:kern w:val="32"/>
      <w:szCs w:val="36"/>
    </w:rPr>
  </w:style>
  <w:style w:type="paragraph" w:styleId="9">
    <w:name w:val="heading 9"/>
    <w:basedOn w:val="a6"/>
    <w:link w:val="90"/>
    <w:uiPriority w:val="9"/>
    <w:unhideWhenUsed/>
    <w:qFormat/>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pPr>
      <w:spacing w:before="720" w:after="720"/>
      <w:ind w:left="7371"/>
    </w:pPr>
    <w:rPr>
      <w:b/>
      <w:snapToGrid w:val="0"/>
      <w:spacing w:val="10"/>
      <w:sz w:val="36"/>
    </w:rPr>
  </w:style>
  <w:style w:type="paragraph" w:styleId="ab">
    <w:name w:val="endnote text"/>
    <w:basedOn w:val="a6"/>
    <w:semiHidden/>
    <w:pPr>
      <w:kinsoku w:val="0"/>
      <w:autoSpaceDE/>
      <w:spacing w:before="240"/>
      <w:ind w:left="1021" w:hanging="1021"/>
    </w:pPr>
    <w:rPr>
      <w:snapToGrid w:val="0"/>
      <w:spacing w:val="10"/>
    </w:rPr>
  </w:style>
  <w:style w:type="paragraph" w:styleId="50">
    <w:name w:val="toc 5"/>
    <w:basedOn w:val="a6"/>
    <w:next w:val="a6"/>
    <w:autoRedefine/>
    <w:semiHidden/>
    <w:pPr>
      <w:ind w:leftChars="400" w:left="600" w:rightChars="200" w:right="200" w:hangingChars="200" w:hanging="200"/>
    </w:pPr>
  </w:style>
  <w:style w:type="character" w:styleId="ac">
    <w:name w:val="page number"/>
    <w:basedOn w:val="a7"/>
    <w:semiHidden/>
    <w:rPr>
      <w:rFonts w:ascii="標楷體" w:eastAsia="標楷體"/>
      <w:sz w:val="20"/>
    </w:rPr>
  </w:style>
  <w:style w:type="paragraph" w:styleId="60">
    <w:name w:val="toc 6"/>
    <w:basedOn w:val="a6"/>
    <w:next w:val="a6"/>
    <w:autoRedefine/>
    <w:semiHidden/>
    <w:pPr>
      <w:ind w:leftChars="500" w:left="500"/>
    </w:pPr>
  </w:style>
  <w:style w:type="paragraph" w:customStyle="1" w:styleId="10">
    <w:name w:val="段落樣式1"/>
    <w:basedOn w:val="a6"/>
    <w:qFormat/>
    <w:pPr>
      <w:tabs>
        <w:tab w:val="left" w:pos="567"/>
      </w:tabs>
      <w:ind w:leftChars="200" w:left="200" w:firstLineChars="200" w:firstLine="200"/>
    </w:pPr>
    <w:rPr>
      <w:kern w:val="32"/>
    </w:rPr>
  </w:style>
  <w:style w:type="paragraph" w:customStyle="1" w:styleId="21">
    <w:name w:val="段落樣式2"/>
    <w:basedOn w:val="a6"/>
    <w:qFormat/>
    <w:pPr>
      <w:tabs>
        <w:tab w:val="left" w:pos="567"/>
      </w:tabs>
      <w:ind w:leftChars="300" w:left="300" w:firstLineChars="200" w:firstLine="200"/>
    </w:pPr>
    <w:rPr>
      <w:kern w:val="32"/>
    </w:rPr>
  </w:style>
  <w:style w:type="paragraph" w:styleId="11">
    <w:name w:val="toc 1"/>
    <w:basedOn w:val="a6"/>
    <w:next w:val="a6"/>
    <w:autoRedefine/>
    <w:uiPriority w:val="39"/>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pPr>
      <w:kinsoku w:val="0"/>
      <w:ind w:leftChars="300" w:left="500" w:rightChars="200" w:right="200" w:hangingChars="200" w:hanging="200"/>
    </w:pPr>
  </w:style>
  <w:style w:type="paragraph" w:styleId="70">
    <w:name w:val="toc 7"/>
    <w:basedOn w:val="a6"/>
    <w:next w:val="a6"/>
    <w:autoRedefine/>
    <w:semiHidden/>
    <w:pPr>
      <w:ind w:leftChars="600" w:left="800" w:hangingChars="200" w:hanging="200"/>
    </w:pPr>
  </w:style>
  <w:style w:type="paragraph" w:styleId="80">
    <w:name w:val="toc 8"/>
    <w:basedOn w:val="a6"/>
    <w:next w:val="a6"/>
    <w:autoRedefine/>
    <w:semiHidden/>
    <w:pPr>
      <w:ind w:leftChars="700" w:left="900" w:hangingChars="200" w:hanging="200"/>
    </w:pPr>
  </w:style>
  <w:style w:type="paragraph" w:styleId="91">
    <w:name w:val="toc 9"/>
    <w:basedOn w:val="a6"/>
    <w:next w:val="a6"/>
    <w:autoRedefine/>
    <w:semiHidden/>
    <w:pPr>
      <w:ind w:leftChars="1600" w:left="3840"/>
    </w:pPr>
  </w:style>
  <w:style w:type="paragraph" w:styleId="ad">
    <w:name w:val="header"/>
    <w:basedOn w:val="a6"/>
    <w:semiHidden/>
    <w:pPr>
      <w:tabs>
        <w:tab w:val="center" w:pos="4153"/>
        <w:tab w:val="right" w:pos="8306"/>
      </w:tabs>
      <w:snapToGrid w:val="0"/>
    </w:pPr>
    <w:rPr>
      <w:sz w:val="20"/>
    </w:rPr>
  </w:style>
  <w:style w:type="paragraph" w:customStyle="1" w:styleId="31">
    <w:name w:val="段落樣式3"/>
    <w:basedOn w:val="21"/>
    <w:qFormat/>
    <w:pPr>
      <w:ind w:leftChars="400" w:left="400"/>
    </w:pPr>
  </w:style>
  <w:style w:type="character" w:styleId="ae">
    <w:name w:val="Hyperlink"/>
    <w:basedOn w:val="a7"/>
    <w:uiPriority w:val="99"/>
    <w:rPr>
      <w:color w:val="0000FF"/>
      <w:u w:val="single"/>
    </w:rPr>
  </w:style>
  <w:style w:type="paragraph" w:customStyle="1" w:styleId="af">
    <w:name w:val="簽名日期"/>
    <w:basedOn w:val="a6"/>
    <w:pPr>
      <w:kinsoku w:val="0"/>
      <w:jc w:val="distribute"/>
    </w:pPr>
    <w:rPr>
      <w:kern w:val="0"/>
    </w:rPr>
  </w:style>
  <w:style w:type="paragraph" w:customStyle="1" w:styleId="0">
    <w:name w:val="段落樣式0"/>
    <w:basedOn w:val="21"/>
    <w:qFormat/>
    <w:pPr>
      <w:ind w:leftChars="200" w:left="200" w:firstLineChars="0" w:firstLine="0"/>
    </w:pPr>
  </w:style>
  <w:style w:type="paragraph" w:customStyle="1" w:styleId="af0">
    <w:name w:val="附件"/>
    <w:basedOn w:val="ab"/>
    <w:pPr>
      <w:spacing w:before="0"/>
      <w:ind w:left="1047" w:hangingChars="300" w:hanging="1047"/>
    </w:pPr>
    <w:rPr>
      <w:snapToGrid/>
      <w:spacing w:val="0"/>
      <w:kern w:val="0"/>
    </w:rPr>
  </w:style>
  <w:style w:type="paragraph" w:customStyle="1" w:styleId="42">
    <w:name w:val="段落樣式4"/>
    <w:basedOn w:val="31"/>
    <w:qFormat/>
    <w:pPr>
      <w:ind w:leftChars="500" w:left="500"/>
    </w:pPr>
  </w:style>
  <w:style w:type="paragraph" w:customStyle="1" w:styleId="51">
    <w:name w:val="段落樣式5"/>
    <w:basedOn w:val="42"/>
    <w:qFormat/>
    <w:pPr>
      <w:ind w:leftChars="600" w:left="600"/>
    </w:pPr>
  </w:style>
  <w:style w:type="paragraph" w:customStyle="1" w:styleId="61">
    <w:name w:val="段落樣式6"/>
    <w:basedOn w:val="51"/>
    <w:qFormat/>
    <w:pPr>
      <w:ind w:leftChars="700" w:left="700"/>
    </w:pPr>
  </w:style>
  <w:style w:type="paragraph" w:customStyle="1" w:styleId="71">
    <w:name w:val="段落樣式7"/>
    <w:basedOn w:val="61"/>
    <w:qFormat/>
    <w:pPr>
      <w:ind w:leftChars="800" w:left="800"/>
    </w:pPr>
  </w:style>
  <w:style w:type="paragraph" w:customStyle="1" w:styleId="81">
    <w:name w:val="段落樣式8"/>
    <w:basedOn w:val="71"/>
    <w:qFormat/>
    <w:pPr>
      <w:ind w:leftChars="900" w:left="900"/>
    </w:pPr>
  </w:style>
  <w:style w:type="paragraph" w:customStyle="1" w:styleId="a0">
    <w:name w:val="附表樣式"/>
    <w:basedOn w:val="a6"/>
    <w:qFormat/>
    <w:pPr>
      <w:keepNext/>
      <w:numPr>
        <w:numId w:val="2"/>
      </w:numPr>
      <w:tabs>
        <w:tab w:val="clear" w:pos="1440"/>
      </w:tabs>
      <w:ind w:left="400" w:hangingChars="400" w:hanging="400"/>
      <w:outlineLvl w:val="0"/>
    </w:pPr>
    <w:rPr>
      <w:kern w:val="32"/>
    </w:rPr>
  </w:style>
  <w:style w:type="paragraph" w:styleId="af1">
    <w:name w:val="Body Text Indent"/>
    <w:basedOn w:val="a6"/>
    <w:semiHidden/>
    <w:pPr>
      <w:ind w:left="698" w:hangingChars="200" w:hanging="698"/>
    </w:pPr>
  </w:style>
  <w:style w:type="paragraph" w:customStyle="1" w:styleId="af2">
    <w:name w:val="調查報告"/>
    <w:basedOn w:val="ab"/>
    <w:pPr>
      <w:adjustRightInd w:val="0"/>
      <w:spacing w:before="0"/>
      <w:ind w:left="0" w:firstLine="0"/>
      <w:jc w:val="center"/>
    </w:pPr>
    <w:rPr>
      <w:b/>
      <w:snapToGrid/>
      <w:spacing w:val="200"/>
      <w:kern w:val="0"/>
      <w:sz w:val="40"/>
    </w:rPr>
  </w:style>
  <w:style w:type="paragraph" w:customStyle="1" w:styleId="14">
    <w:name w:val="表格14"/>
    <w:basedOn w:val="a6"/>
    <w:pPr>
      <w:adjustRightInd w:val="0"/>
      <w:snapToGrid w:val="0"/>
      <w:spacing w:line="360" w:lineRule="exact"/>
    </w:pPr>
    <w:rPr>
      <w:snapToGrid w:val="0"/>
      <w:spacing w:val="-14"/>
      <w:kern w:val="0"/>
      <w:sz w:val="28"/>
    </w:rPr>
  </w:style>
  <w:style w:type="paragraph" w:customStyle="1" w:styleId="a">
    <w:name w:val="附圖樣式"/>
    <w:basedOn w:val="a6"/>
    <w:qFormat/>
    <w:pPr>
      <w:keepNext/>
      <w:numPr>
        <w:numId w:val="3"/>
      </w:numPr>
      <w:tabs>
        <w:tab w:val="clear" w:pos="1440"/>
      </w:tabs>
      <w:ind w:left="400" w:hangingChars="400" w:hanging="400"/>
      <w:outlineLvl w:val="0"/>
    </w:pPr>
    <w:rPr>
      <w:kern w:val="32"/>
    </w:rPr>
  </w:style>
  <w:style w:type="paragraph" w:styleId="af3">
    <w:name w:val="footer"/>
    <w:basedOn w:val="a6"/>
    <w:semiHidden/>
    <w:pPr>
      <w:tabs>
        <w:tab w:val="center" w:pos="4153"/>
        <w:tab w:val="right" w:pos="8306"/>
      </w:tabs>
      <w:snapToGrid w:val="0"/>
    </w:pPr>
    <w:rPr>
      <w:sz w:val="20"/>
    </w:rPr>
  </w:style>
  <w:style w:type="paragraph" w:styleId="af4">
    <w:name w:val="table of figures"/>
    <w:basedOn w:val="a6"/>
    <w:next w:val="a6"/>
    <w:semiHidden/>
    <w:pPr>
      <w:ind w:left="400" w:hangingChars="400" w:hanging="400"/>
    </w:pPr>
  </w:style>
  <w:style w:type="paragraph" w:customStyle="1" w:styleId="140">
    <w:name w:val="表格標題14"/>
    <w:basedOn w:val="a6"/>
    <w:pPr>
      <w:keepNext/>
      <w:adjustRightInd w:val="0"/>
      <w:snapToGrid w:val="0"/>
      <w:spacing w:before="40" w:after="40" w:line="320" w:lineRule="exact"/>
      <w:jc w:val="center"/>
    </w:pPr>
    <w:rPr>
      <w:snapToGrid w:val="0"/>
      <w:spacing w:val="-10"/>
      <w:kern w:val="0"/>
      <w:sz w:val="28"/>
    </w:rPr>
  </w:style>
  <w:style w:type="paragraph" w:customStyle="1" w:styleId="a3">
    <w:name w:val="表標題"/>
    <w:qFormat/>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pPr>
      <w:spacing w:line="240" w:lineRule="exact"/>
    </w:pPr>
    <w:rPr>
      <w:sz w:val="24"/>
      <w:szCs w:val="24"/>
    </w:rPr>
  </w:style>
  <w:style w:type="paragraph" w:customStyle="1" w:styleId="120">
    <w:name w:val="表格12"/>
    <w:basedOn w:val="14"/>
    <w:pPr>
      <w:spacing w:line="300" w:lineRule="exact"/>
    </w:pPr>
    <w:rPr>
      <w:sz w:val="24"/>
      <w:szCs w:val="24"/>
    </w:rPr>
  </w:style>
  <w:style w:type="paragraph" w:customStyle="1" w:styleId="a4">
    <w:name w:val="附錄"/>
    <w:basedOn w:val="a6"/>
    <w:qFormat/>
    <w:pPr>
      <w:keepNext/>
      <w:numPr>
        <w:numId w:val="24"/>
      </w:numPr>
      <w:ind w:left="350" w:hangingChars="350" w:hanging="350"/>
      <w:outlineLvl w:val="0"/>
    </w:pPr>
    <w:rPr>
      <w:kern w:val="32"/>
    </w:rPr>
  </w:style>
  <w:style w:type="paragraph" w:styleId="af7">
    <w:name w:val="List Paragraph"/>
    <w:basedOn w:val="a6"/>
    <w:uiPriority w:val="34"/>
    <w:qFormat/>
    <w:pPr>
      <w:ind w:leftChars="200" w:left="480"/>
    </w:pPr>
  </w:style>
  <w:style w:type="paragraph" w:styleId="af8">
    <w:name w:val="Balloon Text"/>
    <w:basedOn w:val="a6"/>
    <w:link w:val="af9"/>
    <w:uiPriority w:val="99"/>
    <w:semiHidden/>
    <w:unhideWhenUsed/>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Pr>
      <w:rFonts w:asciiTheme="majorHAnsi" w:eastAsiaTheme="majorEastAsia" w:hAnsiTheme="majorHAnsi" w:cstheme="majorBidi"/>
      <w:kern w:val="2"/>
      <w:sz w:val="18"/>
      <w:szCs w:val="18"/>
    </w:rPr>
  </w:style>
  <w:style w:type="paragraph" w:customStyle="1" w:styleId="a5">
    <w:name w:val="照片標題"/>
    <w:qFormat/>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pPr>
      <w:keepNext/>
      <w:numPr>
        <w:numId w:val="30"/>
      </w:numPr>
      <w:ind w:left="400" w:hangingChars="400" w:hanging="400"/>
      <w:outlineLvl w:val="0"/>
    </w:pPr>
    <w:rPr>
      <w:kern w:val="32"/>
    </w:rPr>
  </w:style>
  <w:style w:type="character" w:customStyle="1" w:styleId="90">
    <w:name w:val="標題 9 字元"/>
    <w:basedOn w:val="a7"/>
    <w:link w:val="9"/>
    <w:uiPriority w:val="9"/>
    <w:rPr>
      <w:rFonts w:ascii="標楷體" w:eastAsia="標楷體" w:hAnsiTheme="majorHAnsi" w:cstheme="majorBidi"/>
      <w:kern w:val="32"/>
      <w:sz w:val="32"/>
      <w:szCs w:val="36"/>
    </w:rPr>
  </w:style>
  <w:style w:type="paragraph" w:customStyle="1" w:styleId="92">
    <w:name w:val="段落樣式9"/>
    <w:basedOn w:val="81"/>
    <w:qFormat/>
    <w:pPr>
      <w:ind w:leftChars="1000" w:left="1000"/>
    </w:pPr>
  </w:style>
  <w:style w:type="paragraph" w:styleId="afa">
    <w:name w:val="Plain Text"/>
    <w:basedOn w:val="a6"/>
    <w:link w:val="afb"/>
    <w:uiPriority w:val="99"/>
    <w:semiHidden/>
    <w:unhideWhenUsed/>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Pr>
      <w:rFonts w:ascii="Calibri" w:eastAsia="標楷體" w:hAnsi="Courier New" w:cs="Courier New"/>
      <w:color w:val="244061" w:themeColor="accent1" w:themeShade="80"/>
      <w:sz w:val="28"/>
      <w:szCs w:val="24"/>
    </w:rPr>
  </w:style>
  <w:style w:type="character" w:customStyle="1" w:styleId="20">
    <w:name w:val="標題 2 字元"/>
    <w:basedOn w:val="a7"/>
    <w:link w:val="2"/>
    <w:rPr>
      <w:rFonts w:ascii="標楷體" w:eastAsia="標楷體" w:hAnsi="Arial"/>
      <w:bCs/>
      <w:kern w:val="32"/>
      <w:sz w:val="32"/>
      <w:szCs w:val="48"/>
    </w:rPr>
  </w:style>
  <w:style w:type="paragraph" w:styleId="afc">
    <w:name w:val="footnote text"/>
    <w:basedOn w:val="a6"/>
    <w:link w:val="afd"/>
    <w:uiPriority w:val="99"/>
    <w:semiHidden/>
    <w:unhideWhenUsed/>
    <w:pPr>
      <w:snapToGrid w:val="0"/>
      <w:jc w:val="left"/>
    </w:pPr>
    <w:rPr>
      <w:sz w:val="20"/>
    </w:rPr>
  </w:style>
  <w:style w:type="character" w:customStyle="1" w:styleId="afd">
    <w:name w:val="註腳文字 字元"/>
    <w:basedOn w:val="a7"/>
    <w:link w:val="afc"/>
    <w:uiPriority w:val="99"/>
    <w:semiHidden/>
    <w:rPr>
      <w:rFonts w:ascii="標楷體" w:eastAsia="標楷體"/>
      <w:kern w:val="2"/>
    </w:rPr>
  </w:style>
  <w:style w:type="character" w:styleId="afe">
    <w:name w:val="footnote reference"/>
    <w:basedOn w:val="a7"/>
    <w:uiPriority w:val="99"/>
    <w:semiHidden/>
    <w:unhideWhenUsed/>
    <w:rPr>
      <w:vertAlign w:val="superscript"/>
    </w:rPr>
  </w:style>
  <w:style w:type="character" w:customStyle="1" w:styleId="40">
    <w:name w:val="標題 4 字元"/>
    <w:basedOn w:val="a7"/>
    <w:link w:val="4"/>
    <w:rPr>
      <w:rFonts w:ascii="標楷體" w:eastAsia="標楷體" w:hAnsi="Arial"/>
      <w:kern w:val="32"/>
      <w:sz w:val="32"/>
      <w:szCs w:val="36"/>
    </w:rPr>
  </w:style>
  <w:style w:type="character" w:styleId="aff">
    <w:name w:val="annotation reference"/>
    <w:basedOn w:val="a7"/>
    <w:uiPriority w:val="99"/>
    <w:semiHidden/>
    <w:unhideWhenUsed/>
    <w:rPr>
      <w:sz w:val="18"/>
      <w:szCs w:val="18"/>
    </w:rPr>
  </w:style>
  <w:style w:type="paragraph" w:styleId="aff0">
    <w:name w:val="annotation text"/>
    <w:basedOn w:val="a6"/>
    <w:link w:val="aff1"/>
    <w:uiPriority w:val="99"/>
    <w:semiHidden/>
    <w:unhideWhenUsed/>
    <w:pPr>
      <w:jc w:val="left"/>
    </w:pPr>
  </w:style>
  <w:style w:type="character" w:customStyle="1" w:styleId="aff1">
    <w:name w:val="註解文字 字元"/>
    <w:basedOn w:val="a7"/>
    <w:link w:val="aff0"/>
    <w:uiPriority w:val="99"/>
    <w:semiHidden/>
    <w:rPr>
      <w:rFonts w:ascii="標楷體" w:eastAsia="標楷體"/>
      <w:kern w:val="2"/>
      <w:sz w:val="32"/>
    </w:rPr>
  </w:style>
  <w:style w:type="paragraph" w:styleId="aff2">
    <w:name w:val="annotation subject"/>
    <w:basedOn w:val="aff0"/>
    <w:next w:val="aff0"/>
    <w:link w:val="aff3"/>
    <w:uiPriority w:val="99"/>
    <w:semiHidden/>
    <w:unhideWhenUsed/>
    <w:rPr>
      <w:b/>
      <w:bCs/>
    </w:rPr>
  </w:style>
  <w:style w:type="character" w:customStyle="1" w:styleId="aff3">
    <w:name w:val="註解主旨 字元"/>
    <w:basedOn w:val="aff1"/>
    <w:link w:val="aff2"/>
    <w:uiPriority w:val="99"/>
    <w:semiHidden/>
    <w:rPr>
      <w:rFonts w:ascii="標楷體" w:eastAsia="標楷體"/>
      <w:b/>
      <w:bCs/>
      <w:kern w:val="2"/>
      <w:sz w:val="32"/>
    </w:rPr>
  </w:style>
  <w:style w:type="paragraph" w:styleId="aff4">
    <w:name w:val="Revision"/>
    <w:hidden/>
    <w:uiPriority w:val="99"/>
    <w:semiHidden/>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BE6F5-6C18-43CF-9C74-22FFAC1B3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1679</Words>
  <Characters>9574</Characters>
  <Application>Microsoft Office Word</Application>
  <DocSecurity>0</DocSecurity>
  <Lines>79</Lines>
  <Paragraphs>22</Paragraphs>
  <ScaleCrop>false</ScaleCrop>
  <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2024-01-26T06:58:00Z</dcterms:created>
  <dcterms:modified xsi:type="dcterms:W3CDTF">2024-01-26T06:58:00Z</dcterms:modified>
  <cp:contentStatus/>
</cp:coreProperties>
</file>