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5BB" w:rsidRPr="00C708FD" w:rsidRDefault="00CC27E9" w:rsidP="001165BB">
      <w:pPr>
        <w:pStyle w:val="af3"/>
      </w:pPr>
      <w:r w:rsidRPr="00C708FD">
        <w:rPr>
          <w:rFonts w:hint="eastAsia"/>
        </w:rPr>
        <w:t>調查</w:t>
      </w:r>
      <w:r w:rsidR="00520938" w:rsidRPr="00C708FD">
        <w:rPr>
          <w:rFonts w:hint="eastAsia"/>
        </w:rPr>
        <w:t>報告</w:t>
      </w:r>
    </w:p>
    <w:p w:rsidR="001165BB" w:rsidRPr="0026797C" w:rsidRDefault="001165BB" w:rsidP="001165BB">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708F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E7182" w:rsidRPr="00C708FD">
        <w:rPr>
          <w:rFonts w:hAnsi="標楷體" w:hint="eastAsia"/>
          <w:szCs w:val="32"/>
        </w:rPr>
        <w:t>112年4月10日、19日、20日於新北市連續發生當街持槍追擊及衝鋒槍掃射案，震驚社會，黑幫份子在3天內互轟67槍，事涉社會重大治安，</w:t>
      </w:r>
      <w:proofErr w:type="gramStart"/>
      <w:r w:rsidR="000E7182" w:rsidRPr="00C708FD">
        <w:rPr>
          <w:rFonts w:hAnsi="標楷體" w:hint="eastAsia"/>
          <w:szCs w:val="32"/>
        </w:rPr>
        <w:t>攸</w:t>
      </w:r>
      <w:proofErr w:type="gramEnd"/>
      <w:r w:rsidR="000E7182" w:rsidRPr="00C708FD">
        <w:rPr>
          <w:rFonts w:hAnsi="標楷體" w:hint="eastAsia"/>
          <w:szCs w:val="32"/>
        </w:rPr>
        <w:t>關國安民心，實有深入調查之必要案。</w:t>
      </w: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Default="0026797C" w:rsidP="0026797C">
      <w:pPr>
        <w:pStyle w:val="1"/>
        <w:numPr>
          <w:ilvl w:val="0"/>
          <w:numId w:val="0"/>
        </w:numPr>
        <w:ind w:left="2381" w:hanging="2381"/>
      </w:pPr>
    </w:p>
    <w:p w:rsidR="0026797C" w:rsidRPr="00C708FD" w:rsidRDefault="0026797C" w:rsidP="0026797C">
      <w:pPr>
        <w:pStyle w:val="1"/>
        <w:numPr>
          <w:ilvl w:val="0"/>
          <w:numId w:val="0"/>
        </w:numPr>
        <w:ind w:left="2381" w:hanging="2381"/>
      </w:pPr>
    </w:p>
    <w:p w:rsidR="00F8199B" w:rsidRPr="00C708FD" w:rsidRDefault="002C1D2A" w:rsidP="002C1D2A">
      <w:pPr>
        <w:pStyle w:val="1"/>
      </w:pPr>
      <w:r w:rsidRPr="00C708FD">
        <w:rPr>
          <w:rFonts w:hint="eastAsia"/>
        </w:rPr>
        <w:lastRenderedPageBreak/>
        <w:t>調查意見</w:t>
      </w:r>
    </w:p>
    <w:p w:rsidR="009C35E0" w:rsidRPr="00C708FD" w:rsidRDefault="005C0F1A" w:rsidP="002C1D2A">
      <w:pPr>
        <w:pStyle w:val="1"/>
        <w:numPr>
          <w:ilvl w:val="0"/>
          <w:numId w:val="0"/>
        </w:numPr>
        <w:ind w:leftChars="189" w:left="643" w:firstLineChars="206" w:firstLine="701"/>
        <w:rPr>
          <w:rFonts w:hAnsi="標楷體" w:cs="HiddenHorzOCR"/>
          <w:kern w:val="0"/>
          <w:szCs w:val="32"/>
        </w:rPr>
      </w:pPr>
      <w:r w:rsidRPr="00C708FD">
        <w:rPr>
          <w:rFonts w:ascii="Times New Roman" w:hAnsi="Times New Roman" w:hint="eastAsia"/>
          <w:noProof/>
          <w:kern w:val="2"/>
          <w:szCs w:val="20"/>
        </w:rPr>
        <w:t>民國</w:t>
      </w:r>
      <w:r w:rsidR="007D03F9" w:rsidRPr="00C708FD">
        <w:rPr>
          <w:rFonts w:hAnsi="標楷體" w:hint="eastAsia"/>
          <w:noProof/>
          <w:kern w:val="2"/>
          <w:szCs w:val="20"/>
        </w:rPr>
        <w:t>(</w:t>
      </w:r>
      <w:r w:rsidR="007D03F9" w:rsidRPr="00C708FD">
        <w:rPr>
          <w:rFonts w:hAnsi="標楷體" w:hint="eastAsia"/>
          <w:bCs w:val="0"/>
          <w:kern w:val="2"/>
          <w:szCs w:val="32"/>
        </w:rPr>
        <w:t>下同)</w:t>
      </w:r>
      <w:r w:rsidRPr="00C708FD">
        <w:rPr>
          <w:rFonts w:hAnsi="標楷體" w:hint="eastAsia"/>
          <w:noProof/>
          <w:kern w:val="2"/>
          <w:szCs w:val="20"/>
        </w:rPr>
        <w:t>112年</w:t>
      </w:r>
      <w:r w:rsidRPr="00C708FD">
        <w:rPr>
          <w:rFonts w:hAnsi="標楷體" w:hint="eastAsia"/>
          <w:bCs w:val="0"/>
          <w:kern w:val="2"/>
          <w:szCs w:val="32"/>
        </w:rPr>
        <w:t>4月10日、19日、20日</w:t>
      </w:r>
      <w:r w:rsidRPr="00C708FD">
        <w:rPr>
          <w:rFonts w:ascii="Times New Roman" w:hAnsi="Times New Roman" w:hint="eastAsia"/>
          <w:noProof/>
          <w:kern w:val="2"/>
          <w:szCs w:val="20"/>
        </w:rPr>
        <w:t>，</w:t>
      </w:r>
      <w:r w:rsidRPr="00C708FD">
        <w:rPr>
          <w:rFonts w:ascii="Times New Roman" w:hAnsi="標楷體" w:hint="eastAsia"/>
          <w:bCs w:val="0"/>
          <w:kern w:val="2"/>
          <w:szCs w:val="32"/>
        </w:rPr>
        <w:t>於新北市連續發生當街持槍追擊及衝鋒槍掃射案，震驚社會，事涉社會重大治安，</w:t>
      </w:r>
      <w:proofErr w:type="gramStart"/>
      <w:r w:rsidRPr="00C708FD">
        <w:rPr>
          <w:rFonts w:ascii="Times New Roman" w:hAnsi="標楷體" w:hint="eastAsia"/>
          <w:bCs w:val="0"/>
          <w:kern w:val="2"/>
          <w:szCs w:val="32"/>
        </w:rPr>
        <w:t>攸</w:t>
      </w:r>
      <w:proofErr w:type="gramEnd"/>
      <w:r w:rsidRPr="00C708FD">
        <w:rPr>
          <w:rFonts w:ascii="Times New Roman" w:hAnsi="標楷體" w:hint="eastAsia"/>
          <w:bCs w:val="0"/>
          <w:kern w:val="2"/>
          <w:szCs w:val="32"/>
        </w:rPr>
        <w:t>關國安民心，實有深入調查之必要。</w:t>
      </w:r>
      <w:r w:rsidRPr="00C708FD">
        <w:rPr>
          <w:rFonts w:ascii="Times New Roman" w:hAnsi="Times New Roman"/>
          <w:noProof/>
          <w:kern w:val="2"/>
          <w:szCs w:val="20"/>
        </w:rPr>
        <w:t>案</w:t>
      </w:r>
      <w:r w:rsidRPr="00C708FD">
        <w:rPr>
          <w:rFonts w:ascii="Times New Roman" w:hAnsi="Times New Roman" w:hint="eastAsia"/>
          <w:noProof/>
          <w:kern w:val="2"/>
          <w:szCs w:val="20"/>
        </w:rPr>
        <w:t>經臺灣高等檢察署</w:t>
      </w:r>
      <w:r w:rsidRPr="00C708FD">
        <w:rPr>
          <w:rFonts w:hAnsi="標楷體"/>
          <w:noProof/>
          <w:kern w:val="2"/>
          <w:szCs w:val="20"/>
          <w:vertAlign w:val="superscript"/>
        </w:rPr>
        <w:footnoteReference w:id="1"/>
      </w:r>
      <w:r w:rsidRPr="00C708FD">
        <w:rPr>
          <w:rFonts w:hAnsi="標楷體" w:hint="eastAsia"/>
          <w:bCs w:val="0"/>
          <w:kern w:val="2"/>
          <w:szCs w:val="32"/>
        </w:rPr>
        <w:t>(下稱高檢署)</w:t>
      </w:r>
      <w:r w:rsidRPr="00C708FD">
        <w:rPr>
          <w:rFonts w:ascii="Times New Roman" w:hAnsi="Times New Roman" w:hint="eastAsia"/>
          <w:bCs w:val="0"/>
          <w:kern w:val="2"/>
          <w:szCs w:val="32"/>
        </w:rPr>
        <w:t>、內政部警政署</w:t>
      </w:r>
      <w:r w:rsidRPr="00C708FD">
        <w:rPr>
          <w:rFonts w:hAnsi="標楷體"/>
          <w:bCs w:val="0"/>
          <w:kern w:val="2"/>
          <w:szCs w:val="32"/>
          <w:vertAlign w:val="superscript"/>
        </w:rPr>
        <w:footnoteReference w:id="2"/>
      </w:r>
      <w:r w:rsidRPr="00C708FD">
        <w:rPr>
          <w:rFonts w:hAnsi="標楷體" w:hint="eastAsia"/>
          <w:bCs w:val="0"/>
          <w:kern w:val="2"/>
          <w:szCs w:val="32"/>
        </w:rPr>
        <w:t>(下稱警政署)</w:t>
      </w:r>
      <w:r w:rsidRPr="00C708FD">
        <w:rPr>
          <w:rFonts w:ascii="Times New Roman" w:hAnsi="標楷體" w:hint="eastAsia"/>
          <w:bCs w:val="0"/>
          <w:kern w:val="2"/>
          <w:szCs w:val="32"/>
        </w:rPr>
        <w:t>、</w:t>
      </w:r>
      <w:r w:rsidRPr="00C708FD">
        <w:rPr>
          <w:rFonts w:ascii="Times New Roman" w:hAnsi="Times New Roman" w:hint="eastAsia"/>
          <w:bCs w:val="0"/>
          <w:kern w:val="2"/>
          <w:szCs w:val="32"/>
        </w:rPr>
        <w:t>教育部</w:t>
      </w:r>
      <w:r w:rsidRPr="00C708FD">
        <w:rPr>
          <w:rFonts w:hAnsi="標楷體"/>
          <w:bCs w:val="0"/>
          <w:kern w:val="2"/>
          <w:szCs w:val="32"/>
          <w:vertAlign w:val="superscript"/>
        </w:rPr>
        <w:footnoteReference w:id="3"/>
      </w:r>
      <w:r w:rsidRPr="00C708FD">
        <w:rPr>
          <w:rFonts w:ascii="Times New Roman" w:hAnsi="Times New Roman" w:hint="eastAsia"/>
          <w:bCs w:val="0"/>
          <w:kern w:val="2"/>
          <w:szCs w:val="32"/>
        </w:rPr>
        <w:t>及</w:t>
      </w:r>
      <w:bookmarkStart w:id="25" w:name="_Hlk152671408"/>
      <w:r w:rsidRPr="00C708FD">
        <w:rPr>
          <w:rFonts w:ascii="Times New Roman" w:hAnsi="Times New Roman" w:hint="eastAsia"/>
          <w:bCs w:val="0"/>
          <w:kern w:val="2"/>
          <w:szCs w:val="32"/>
        </w:rPr>
        <w:t>新北市政府</w:t>
      </w:r>
      <w:bookmarkEnd w:id="25"/>
      <w:r w:rsidRPr="00C708FD">
        <w:rPr>
          <w:rFonts w:hAnsi="標楷體"/>
          <w:bCs w:val="0"/>
          <w:kern w:val="2"/>
          <w:szCs w:val="32"/>
          <w:vertAlign w:val="superscript"/>
        </w:rPr>
        <w:footnoteReference w:id="4"/>
      </w:r>
      <w:r w:rsidRPr="00C708FD">
        <w:rPr>
          <w:rFonts w:ascii="Times New Roman" w:hAnsi="Times New Roman"/>
          <w:kern w:val="2"/>
          <w:szCs w:val="20"/>
        </w:rPr>
        <w:t>函復說明並</w:t>
      </w:r>
      <w:r w:rsidRPr="00C708FD">
        <w:rPr>
          <w:rFonts w:ascii="Times New Roman" w:hAnsi="Times New Roman" w:hint="eastAsia"/>
          <w:kern w:val="2"/>
          <w:szCs w:val="20"/>
        </w:rPr>
        <w:t>檢送相關資料</w:t>
      </w:r>
      <w:r w:rsidRPr="00C708FD">
        <w:rPr>
          <w:rFonts w:ascii="Times New Roman" w:hAnsi="Times New Roman"/>
          <w:kern w:val="2"/>
          <w:szCs w:val="20"/>
        </w:rPr>
        <w:t>到院</w:t>
      </w:r>
      <w:r w:rsidRPr="00C708FD">
        <w:rPr>
          <w:rFonts w:ascii="Times New Roman" w:hAnsi="Times New Roman"/>
          <w:bCs w:val="0"/>
          <w:kern w:val="2"/>
          <w:szCs w:val="32"/>
        </w:rPr>
        <w:t>，</w:t>
      </w:r>
      <w:proofErr w:type="gramStart"/>
      <w:r w:rsidRPr="00C708FD">
        <w:rPr>
          <w:rFonts w:ascii="Times New Roman" w:hAnsi="Times New Roman" w:hint="eastAsia"/>
          <w:bCs w:val="0"/>
          <w:kern w:val="2"/>
          <w:szCs w:val="32"/>
        </w:rPr>
        <w:t>嗣</w:t>
      </w:r>
      <w:proofErr w:type="gramEnd"/>
      <w:r w:rsidRPr="00C708FD">
        <w:rPr>
          <w:rFonts w:ascii="Times New Roman" w:hAnsi="Times New Roman" w:hint="eastAsia"/>
          <w:bCs w:val="0"/>
          <w:kern w:val="2"/>
          <w:szCs w:val="32"/>
        </w:rPr>
        <w:t>於同</w:t>
      </w:r>
      <w:r w:rsidRPr="00C708FD">
        <w:rPr>
          <w:rFonts w:hAnsi="標楷體" w:hint="eastAsia"/>
          <w:bCs w:val="0"/>
          <w:kern w:val="2"/>
          <w:szCs w:val="32"/>
        </w:rPr>
        <w:t>年6月22日就如何避免未滿18歲之少年遭黑幫吸收、利用從事不法行為等議題，諮詢專家學者提供專業意見</w:t>
      </w:r>
      <w:r w:rsidRPr="00C708FD">
        <w:rPr>
          <w:rFonts w:hAnsi="標楷體" w:hint="eastAsia"/>
          <w:kern w:val="0"/>
          <w:lang w:val="x-none"/>
        </w:rPr>
        <w:t>，</w:t>
      </w:r>
      <w:r w:rsidRPr="00C708FD">
        <w:rPr>
          <w:rFonts w:hint="eastAsia"/>
          <w:kern w:val="0"/>
          <w:lang w:val="x-none"/>
        </w:rPr>
        <w:t>另於</w:t>
      </w:r>
      <w:r w:rsidRPr="00C708FD">
        <w:rPr>
          <w:rFonts w:ascii="Times New Roman" w:hAnsi="Times New Roman" w:hint="eastAsia"/>
          <w:bCs w:val="0"/>
          <w:kern w:val="2"/>
          <w:szCs w:val="32"/>
        </w:rPr>
        <w:t>同</w:t>
      </w:r>
      <w:r w:rsidRPr="00C708FD">
        <w:rPr>
          <w:rFonts w:hAnsi="標楷體" w:hint="eastAsia"/>
          <w:bCs w:val="0"/>
          <w:kern w:val="2"/>
          <w:szCs w:val="32"/>
        </w:rPr>
        <w:t>年10月6日詢問法務部檢察司郭司長、高檢署羅主任檢察官、內政部黃主任秘書、警政署保安組李組長、</w:t>
      </w:r>
      <w:r w:rsidR="006459AF" w:rsidRPr="00C708FD">
        <w:rPr>
          <w:rFonts w:hAnsi="標楷體" w:hint="eastAsia"/>
          <w:bCs w:val="0"/>
          <w:kern w:val="2"/>
          <w:szCs w:val="32"/>
        </w:rPr>
        <w:t>警政署</w:t>
      </w:r>
      <w:r w:rsidRPr="00C708FD">
        <w:rPr>
          <w:rFonts w:hAnsi="標楷體" w:hint="eastAsia"/>
          <w:bCs w:val="0"/>
          <w:kern w:val="2"/>
          <w:szCs w:val="32"/>
        </w:rPr>
        <w:t>刑事警察局</w:t>
      </w:r>
      <w:r w:rsidR="006459AF" w:rsidRPr="00C708FD">
        <w:rPr>
          <w:rFonts w:hAnsi="標楷體" w:hint="eastAsia"/>
          <w:bCs w:val="0"/>
          <w:kern w:val="2"/>
          <w:szCs w:val="32"/>
        </w:rPr>
        <w:t>(下稱刑事警察局)</w:t>
      </w:r>
      <w:r w:rsidRPr="00C708FD">
        <w:rPr>
          <w:rFonts w:hAnsi="標楷體" w:hint="eastAsia"/>
          <w:bCs w:val="0"/>
          <w:kern w:val="2"/>
          <w:szCs w:val="32"/>
        </w:rPr>
        <w:t>陳副局長、教育部國民及學前教育署(下稱國教署)張主任秘書、</w:t>
      </w:r>
      <w:r w:rsidR="006459AF" w:rsidRPr="00C708FD">
        <w:rPr>
          <w:rFonts w:ascii="Times New Roman" w:hAnsi="Times New Roman" w:hint="eastAsia"/>
          <w:bCs w:val="0"/>
          <w:kern w:val="2"/>
          <w:szCs w:val="32"/>
        </w:rPr>
        <w:t>新北市政府警察局</w:t>
      </w:r>
      <w:r w:rsidR="006459AF" w:rsidRPr="00C708FD">
        <w:rPr>
          <w:rFonts w:hAnsi="標楷體" w:hint="eastAsia"/>
          <w:bCs w:val="0"/>
          <w:kern w:val="2"/>
          <w:szCs w:val="32"/>
        </w:rPr>
        <w:t>(</w:t>
      </w:r>
      <w:r w:rsidR="006459AF" w:rsidRPr="00C708FD">
        <w:rPr>
          <w:rFonts w:ascii="Times New Roman" w:hAnsi="Times New Roman" w:hint="eastAsia"/>
          <w:bCs w:val="0"/>
          <w:kern w:val="2"/>
          <w:szCs w:val="32"/>
        </w:rPr>
        <w:t>下稱</w:t>
      </w:r>
      <w:r w:rsidRPr="00C708FD">
        <w:rPr>
          <w:rFonts w:hAnsi="標楷體" w:hint="eastAsia"/>
          <w:bCs w:val="0"/>
          <w:kern w:val="2"/>
          <w:szCs w:val="32"/>
        </w:rPr>
        <w:t>新北市警局</w:t>
      </w:r>
      <w:r w:rsidR="006459AF" w:rsidRPr="00C708FD">
        <w:rPr>
          <w:rFonts w:hAnsi="標楷體" w:hint="eastAsia"/>
          <w:bCs w:val="0"/>
          <w:kern w:val="2"/>
          <w:szCs w:val="32"/>
        </w:rPr>
        <w:t>)</w:t>
      </w:r>
      <w:r w:rsidRPr="00C708FD">
        <w:rPr>
          <w:rFonts w:hAnsi="標楷體" w:hint="eastAsia"/>
          <w:bCs w:val="0"/>
          <w:kern w:val="2"/>
          <w:szCs w:val="32"/>
        </w:rPr>
        <w:t>刑事警察大隊蕭大隊長等機關出席代表。</w:t>
      </w:r>
      <w:r w:rsidRPr="00C708FD">
        <w:rPr>
          <w:rFonts w:hint="eastAsia"/>
        </w:rPr>
        <w:t>本案調查完成，茲</w:t>
      </w:r>
      <w:proofErr w:type="gramStart"/>
      <w:r w:rsidRPr="00C708FD">
        <w:rPr>
          <w:rFonts w:hint="eastAsia"/>
        </w:rPr>
        <w:t>臚</w:t>
      </w:r>
      <w:proofErr w:type="gramEnd"/>
      <w:r w:rsidRPr="00C708FD">
        <w:rPr>
          <w:rFonts w:hint="eastAsia"/>
        </w:rPr>
        <w:t>列調查意見如下：</w:t>
      </w:r>
    </w:p>
    <w:p w:rsidR="002C1D2A" w:rsidRPr="00C708FD" w:rsidRDefault="006C0ABC" w:rsidP="005400AE">
      <w:pPr>
        <w:pStyle w:val="110"/>
        <w:spacing w:beforeLines="0" w:before="0"/>
      </w:pPr>
      <w:r w:rsidRPr="00C708FD">
        <w:rPr>
          <w:rFonts w:hint="eastAsia"/>
        </w:rPr>
        <w:t>112年4月10日、19日、20日於新北市發生</w:t>
      </w:r>
      <w:r w:rsidR="002E5D4C" w:rsidRPr="00C708FD">
        <w:rPr>
          <w:rFonts w:hint="eastAsia"/>
        </w:rPr>
        <w:t>之</w:t>
      </w:r>
      <w:r w:rsidR="00BD65BE" w:rsidRPr="00C708FD">
        <w:rPr>
          <w:rFonts w:hint="eastAsia"/>
        </w:rPr>
        <w:t>3起</w:t>
      </w:r>
      <w:r w:rsidR="002E5D4C" w:rsidRPr="00C708FD">
        <w:rPr>
          <w:rFonts w:hint="eastAsia"/>
        </w:rPr>
        <w:t>槍擊事件中</w:t>
      </w:r>
      <w:r w:rsidR="00E2633A" w:rsidRPr="00C708FD">
        <w:rPr>
          <w:rFonts w:hint="eastAsia"/>
        </w:rPr>
        <w:t>，</w:t>
      </w:r>
      <w:bookmarkStart w:id="26" w:name="_Hlk142841357"/>
      <w:r w:rsidR="00ED2CAE" w:rsidRPr="00C708FD">
        <w:rPr>
          <w:rFonts w:hint="eastAsia"/>
        </w:rPr>
        <w:t>移送</w:t>
      </w:r>
      <w:r w:rsidR="006459AF" w:rsidRPr="00C708FD">
        <w:rPr>
          <w:rFonts w:hint="eastAsia"/>
        </w:rPr>
        <w:t>臺灣新北地方法院</w:t>
      </w:r>
      <w:r w:rsidR="00ED2CAE" w:rsidRPr="00C708FD">
        <w:rPr>
          <w:rFonts w:hint="eastAsia"/>
        </w:rPr>
        <w:t>少年法庭審理</w:t>
      </w:r>
      <w:r w:rsidR="00BD65BE" w:rsidRPr="00C708FD">
        <w:rPr>
          <w:rFonts w:hint="eastAsia"/>
        </w:rPr>
        <w:t>之少年多達5人，其中3人竟為持槍射擊者，</w:t>
      </w:r>
      <w:proofErr w:type="gramStart"/>
      <w:r w:rsidR="005400AE" w:rsidRPr="00C708FD">
        <w:rPr>
          <w:rFonts w:hint="eastAsia"/>
        </w:rPr>
        <w:t>凸</w:t>
      </w:r>
      <w:proofErr w:type="gramEnd"/>
      <w:r w:rsidR="005400AE" w:rsidRPr="00C708FD">
        <w:rPr>
          <w:rFonts w:hint="eastAsia"/>
        </w:rPr>
        <w:t>顯</w:t>
      </w:r>
      <w:r w:rsidR="00BD65BE" w:rsidRPr="00C708FD">
        <w:rPr>
          <w:rFonts w:hint="eastAsia"/>
        </w:rPr>
        <w:t>少年遭黑幫吸收、利用從事不法行為之</w:t>
      </w:r>
      <w:r w:rsidR="0064353A" w:rsidRPr="00C708FD">
        <w:rPr>
          <w:rFonts w:hint="eastAsia"/>
        </w:rPr>
        <w:t>情況嚴重</w:t>
      </w:r>
      <w:r w:rsidR="00051DE0" w:rsidRPr="00C708FD">
        <w:rPr>
          <w:rFonts w:hint="eastAsia"/>
        </w:rPr>
        <w:t>。依「</w:t>
      </w:r>
      <w:r w:rsidR="0064353A" w:rsidRPr="00C708FD">
        <w:rPr>
          <w:rFonts w:hint="eastAsia"/>
        </w:rPr>
        <w:t>少年偏差行為預防及輔導辦法</w:t>
      </w:r>
      <w:r w:rsidR="00051DE0" w:rsidRPr="00C708FD">
        <w:rPr>
          <w:rFonts w:hint="eastAsia"/>
        </w:rPr>
        <w:t>」第6條第1項第2款規定，少年與有犯罪習性之人交往或參加不良組織等情事，其偏差行為之預防及輔導由少年輔導委員會</w:t>
      </w:r>
      <w:r w:rsidR="005400AE" w:rsidRPr="00C708FD">
        <w:rPr>
          <w:rFonts w:hint="eastAsia"/>
        </w:rPr>
        <w:t>(</w:t>
      </w:r>
      <w:proofErr w:type="gramStart"/>
      <w:r w:rsidR="005400AE" w:rsidRPr="00C708FD">
        <w:rPr>
          <w:rFonts w:hint="eastAsia"/>
        </w:rPr>
        <w:t>下稱少輔</w:t>
      </w:r>
      <w:proofErr w:type="gramEnd"/>
      <w:r w:rsidR="005400AE" w:rsidRPr="00C708FD">
        <w:rPr>
          <w:rFonts w:hint="eastAsia"/>
        </w:rPr>
        <w:t>會)</w:t>
      </w:r>
      <w:r w:rsidR="00051DE0" w:rsidRPr="00C708FD">
        <w:rPr>
          <w:rFonts w:hint="eastAsia"/>
        </w:rPr>
        <w:t>辦理；少年具學籍者，教育機關(構)應依學生輔導法等相關教育法規辦理。</w:t>
      </w:r>
      <w:r w:rsidR="005400AE" w:rsidRPr="00C708FD">
        <w:rPr>
          <w:rFonts w:hint="eastAsia"/>
        </w:rPr>
        <w:t>另</w:t>
      </w:r>
      <w:r w:rsidR="00051DE0" w:rsidRPr="00C708FD">
        <w:rPr>
          <w:rFonts w:hint="eastAsia"/>
        </w:rPr>
        <w:t>「少年輔導委員會設置及輔導實施辦法」自112年7月1日起實施「行政先行、司法後盾」新制</w:t>
      </w:r>
      <w:bookmarkEnd w:id="26"/>
      <w:r w:rsidR="00E2633A" w:rsidRPr="00C708FD">
        <w:rPr>
          <w:rFonts w:hint="eastAsia"/>
        </w:rPr>
        <w:t>。</w:t>
      </w:r>
      <w:r w:rsidR="005400AE" w:rsidRPr="00C708FD">
        <w:rPr>
          <w:rFonts w:hint="eastAsia"/>
        </w:rPr>
        <w:t>警政署及教育部應督導各地方政府</w:t>
      </w:r>
      <w:r w:rsidR="005400AE" w:rsidRPr="00C708FD">
        <w:rPr>
          <w:rFonts w:hint="eastAsia"/>
        </w:rPr>
        <w:lastRenderedPageBreak/>
        <w:t>少輔會</w:t>
      </w:r>
      <w:r w:rsidR="00D1057C" w:rsidRPr="00C708FD">
        <w:rPr>
          <w:rFonts w:hint="eastAsia"/>
        </w:rPr>
        <w:t>、</w:t>
      </w:r>
      <w:r w:rsidR="007E4036" w:rsidRPr="00C708FD">
        <w:rPr>
          <w:rFonts w:hint="eastAsia"/>
        </w:rPr>
        <w:t>警察機關</w:t>
      </w:r>
      <w:r w:rsidR="005400AE" w:rsidRPr="00C708FD">
        <w:rPr>
          <w:rFonts w:hint="eastAsia"/>
        </w:rPr>
        <w:t>及教育機關(構)積極落實相關法令要求，發揮少年偏差行為預防及輔導功能</w:t>
      </w:r>
      <w:r w:rsidR="00EE722A" w:rsidRPr="00C708FD">
        <w:rPr>
          <w:rFonts w:hint="eastAsia"/>
        </w:rPr>
        <w:t>。</w:t>
      </w:r>
    </w:p>
    <w:p w:rsidR="00F00C26" w:rsidRPr="00C708FD" w:rsidRDefault="00F00C26" w:rsidP="00F00C26">
      <w:pPr>
        <w:pStyle w:val="3"/>
        <w:rPr>
          <w:b/>
        </w:rPr>
      </w:pPr>
      <w:r w:rsidRPr="00C708FD">
        <w:rPr>
          <w:rFonts w:hint="eastAsia"/>
          <w:b/>
        </w:rPr>
        <w:t>112年4月10日、19日、20日於新北市發生之3起槍擊事件中，</w:t>
      </w:r>
      <w:r w:rsidR="00ED2CAE" w:rsidRPr="00C708FD">
        <w:rPr>
          <w:rFonts w:hint="eastAsia"/>
          <w:b/>
        </w:rPr>
        <w:t>移送</w:t>
      </w:r>
      <w:r w:rsidR="006459AF" w:rsidRPr="00C708FD">
        <w:rPr>
          <w:rFonts w:hint="eastAsia"/>
          <w:b/>
        </w:rPr>
        <w:t>臺灣新北地方法院(下稱新北地院)少年法庭</w:t>
      </w:r>
      <w:r w:rsidR="00ED2CAE" w:rsidRPr="00C708FD">
        <w:rPr>
          <w:rFonts w:hint="eastAsia"/>
          <w:b/>
        </w:rPr>
        <w:t>審理之少年</w:t>
      </w:r>
      <w:r w:rsidRPr="00C708FD">
        <w:rPr>
          <w:rFonts w:hint="eastAsia"/>
          <w:b/>
        </w:rPr>
        <w:t>多達5人，其中3人竟為持槍射擊者，</w:t>
      </w:r>
      <w:proofErr w:type="gramStart"/>
      <w:r w:rsidRPr="00C708FD">
        <w:rPr>
          <w:rFonts w:hint="eastAsia"/>
          <w:b/>
        </w:rPr>
        <w:t>凸</w:t>
      </w:r>
      <w:proofErr w:type="gramEnd"/>
      <w:r w:rsidRPr="00C708FD">
        <w:rPr>
          <w:rFonts w:hint="eastAsia"/>
          <w:b/>
        </w:rPr>
        <w:t>顯少年遭黑幫吸收、利用從事不法行為之情況嚴重</w:t>
      </w:r>
      <w:r w:rsidRPr="00C708FD">
        <w:rPr>
          <w:rFonts w:hAnsi="標楷體" w:hint="eastAsia"/>
          <w:b/>
        </w:rPr>
        <w:t>：</w:t>
      </w:r>
    </w:p>
    <w:p w:rsidR="00ED2CAE" w:rsidRPr="00C708FD" w:rsidRDefault="00ED2CAE" w:rsidP="00F00C26">
      <w:pPr>
        <w:pStyle w:val="4"/>
      </w:pPr>
      <w:r w:rsidRPr="00C708FD">
        <w:rPr>
          <w:rFonts w:hint="eastAsia"/>
        </w:rPr>
        <w:t>案件發生原因：</w:t>
      </w:r>
    </w:p>
    <w:p w:rsidR="00ED2CAE" w:rsidRPr="00C708FD" w:rsidRDefault="00ED2CAE" w:rsidP="00ED2CAE">
      <w:pPr>
        <w:pStyle w:val="5"/>
      </w:pPr>
      <w:r w:rsidRPr="00C708FD">
        <w:rPr>
          <w:rFonts w:hint="eastAsia"/>
        </w:rPr>
        <w:t>新北市</w:t>
      </w:r>
      <w:r w:rsidRPr="00C708FD">
        <w:rPr>
          <w:rFonts w:ascii="Times New Roman" w:hAnsi="Times New Roman" w:hint="eastAsia"/>
          <w:kern w:val="2"/>
        </w:rPr>
        <w:t>警局</w:t>
      </w:r>
      <w:r w:rsidRPr="00C708FD">
        <w:rPr>
          <w:rFonts w:cs="HiddenHorzOCR" w:hint="eastAsia"/>
        </w:rPr>
        <w:t>在檢察官指揮下，</w:t>
      </w:r>
      <w:r w:rsidRPr="00C708FD">
        <w:rPr>
          <w:rFonts w:hint="eastAsia"/>
        </w:rPr>
        <w:t>透過</w:t>
      </w:r>
      <w:proofErr w:type="gramStart"/>
      <w:r w:rsidRPr="00C708FD">
        <w:rPr>
          <w:rFonts w:hint="eastAsia"/>
        </w:rPr>
        <w:t>調閱監錄影</w:t>
      </w:r>
      <w:proofErr w:type="gramEnd"/>
      <w:r w:rsidRPr="00C708FD">
        <w:rPr>
          <w:rFonts w:hint="eastAsia"/>
        </w:rPr>
        <w:t>像、數位鑑識及偵詢結果綜合勾勒出案件輪廓，係竹聯幫弘仁會林姓主嫌與華山</w:t>
      </w:r>
      <w:proofErr w:type="gramStart"/>
      <w:r w:rsidRPr="00C708FD">
        <w:rPr>
          <w:rFonts w:hint="eastAsia"/>
        </w:rPr>
        <w:t>幫所經營之</w:t>
      </w:r>
      <w:proofErr w:type="gramEnd"/>
      <w:r w:rsidRPr="00C708FD">
        <w:rPr>
          <w:rFonts w:hint="eastAsia"/>
        </w:rPr>
        <w:t>巨新當舖董姓主嫌間，因少年幫眾挪用贓款問題，雙方旗下成員產生嫌隙，因而爆發談判衝突。</w:t>
      </w:r>
    </w:p>
    <w:p w:rsidR="00F00C26" w:rsidRPr="00C708FD" w:rsidRDefault="00ED2CAE" w:rsidP="00ED2CAE">
      <w:pPr>
        <w:pStyle w:val="5"/>
      </w:pPr>
      <w:r w:rsidRPr="00C708FD">
        <w:rPr>
          <w:rFonts w:hint="eastAsia"/>
        </w:rPr>
        <w:t>先有112年4月10日(本案未獲報案)巨新當舖門口遭</w:t>
      </w:r>
      <w:r w:rsidRPr="00C708FD">
        <w:rPr>
          <w:rFonts w:hint="eastAsia"/>
          <w:b/>
        </w:rPr>
        <w:t>朱姓少年</w:t>
      </w:r>
      <w:r w:rsidRPr="00C708FD">
        <w:rPr>
          <w:rFonts w:hint="eastAsia"/>
        </w:rPr>
        <w:t>開槍之情形。後續董姓主嫌指示旗下成員以妨害秘密方式鎖定對方使用車輛後，於4月19日深夜在臺北市中山區雙城街停車場對</w:t>
      </w:r>
      <w:r w:rsidRPr="00C708FD">
        <w:rPr>
          <w:rFonts w:cs="HiddenHorzOCR" w:hint="eastAsia"/>
        </w:rPr>
        <w:t>林姓主嫌</w:t>
      </w:r>
      <w:r w:rsidRPr="00C708FD">
        <w:rPr>
          <w:rFonts w:hint="eastAsia"/>
        </w:rPr>
        <w:t>之休旅車開槍，</w:t>
      </w:r>
      <w:proofErr w:type="gramStart"/>
      <w:r w:rsidRPr="00C708FD">
        <w:rPr>
          <w:rFonts w:hint="eastAsia"/>
        </w:rPr>
        <w:t>該休旅</w:t>
      </w:r>
      <w:proofErr w:type="gramEnd"/>
      <w:r w:rsidRPr="00C708FD">
        <w:rPr>
          <w:rFonts w:hint="eastAsia"/>
        </w:rPr>
        <w:t>車迅速駛離後，遭</w:t>
      </w:r>
      <w:r w:rsidRPr="00C708FD">
        <w:rPr>
          <w:rFonts w:hint="eastAsia"/>
          <w:b/>
        </w:rPr>
        <w:t>吳姓少年</w:t>
      </w:r>
      <w:r w:rsidRPr="00C708FD">
        <w:rPr>
          <w:rFonts w:hint="eastAsia"/>
        </w:rPr>
        <w:t>槍手等人追逐，在追至新北市板橋區再度朝車身射擊，隨後攜槍至新北市警局板橋分局投案。另林姓主嫌因心有不甘，指示旗下成員</w:t>
      </w:r>
      <w:r w:rsidRPr="00C708FD">
        <w:rPr>
          <w:rFonts w:hint="eastAsia"/>
          <w:b/>
        </w:rPr>
        <w:t>劉姓少年</w:t>
      </w:r>
      <w:r w:rsidRPr="00C708FD">
        <w:rPr>
          <w:rFonts w:hint="eastAsia"/>
        </w:rPr>
        <w:t>，於4月20日上午在新北市</w:t>
      </w:r>
      <w:proofErr w:type="gramStart"/>
      <w:r w:rsidRPr="00C708FD">
        <w:rPr>
          <w:rFonts w:hint="eastAsia"/>
        </w:rPr>
        <w:t>土城區巨新當舖外持改</w:t>
      </w:r>
      <w:proofErr w:type="gramEnd"/>
      <w:r w:rsidRPr="00C708FD">
        <w:rPr>
          <w:rFonts w:hint="eastAsia"/>
        </w:rPr>
        <w:t>造之衝鋒槍朝門口槍擊，隨後攜槍投案。</w:t>
      </w:r>
    </w:p>
    <w:p w:rsidR="00ED2CAE" w:rsidRPr="00C708FD" w:rsidRDefault="00ED2CAE" w:rsidP="00ED2CAE">
      <w:pPr>
        <w:pStyle w:val="4"/>
      </w:pPr>
      <w:r w:rsidRPr="00C708FD">
        <w:rPr>
          <w:rFonts w:hint="eastAsia"/>
        </w:rPr>
        <w:t>案件查緝結果：</w:t>
      </w:r>
    </w:p>
    <w:p w:rsidR="00ED2CAE" w:rsidRPr="00C708FD" w:rsidRDefault="00ED2CAE" w:rsidP="00ED2CAE">
      <w:pPr>
        <w:pStyle w:val="5"/>
      </w:pPr>
      <w:r w:rsidRPr="00C708FD">
        <w:rPr>
          <w:rFonts w:hint="eastAsia"/>
        </w:rPr>
        <w:t>112年4月10日、20日槍擊案：</w:t>
      </w:r>
      <w:r w:rsidRPr="00C708FD">
        <w:rPr>
          <w:rFonts w:hAnsi="標楷體" w:cs="HiddenHorzOCR" w:hint="eastAsia"/>
          <w:kern w:val="0"/>
          <w:szCs w:val="32"/>
        </w:rPr>
        <w:t>在112年4月20日槍擊案發生後，立即由新北市警局局長指示刑事警察大隊與轄區分局、臺北市政府警察局(下稱臺北市警局)中山分局(其中</w:t>
      </w:r>
      <w:r w:rsidRPr="00C708FD">
        <w:rPr>
          <w:rFonts w:hAnsi="標楷體" w:cs="HiddenHorzOCR"/>
          <w:kern w:val="0"/>
          <w:szCs w:val="32"/>
        </w:rPr>
        <w:t>2</w:t>
      </w:r>
      <w:r w:rsidRPr="00C708FD">
        <w:rPr>
          <w:rFonts w:hAnsi="標楷體" w:cs="HiddenHorzOCR" w:hint="eastAsia"/>
          <w:kern w:val="0"/>
          <w:szCs w:val="32"/>
        </w:rPr>
        <w:t>處槍擊發生轄</w:t>
      </w:r>
      <w:r w:rsidRPr="00C708FD">
        <w:rPr>
          <w:rFonts w:hAnsi="標楷體" w:cs="HiddenHorzOCR" w:hint="eastAsia"/>
          <w:kern w:val="0"/>
          <w:szCs w:val="32"/>
        </w:rPr>
        <w:lastRenderedPageBreak/>
        <w:t>區)組成專案小組，報請臺灣新北地方檢察署(下</w:t>
      </w:r>
      <w:r w:rsidRPr="00C708FD">
        <w:rPr>
          <w:rFonts w:cs="HiddenHorzOCR" w:hint="eastAsia"/>
        </w:rPr>
        <w:t>稱</w:t>
      </w:r>
      <w:r w:rsidRPr="00C708FD">
        <w:rPr>
          <w:rFonts w:hAnsi="標楷體" w:cs="HiddenHorzOCR" w:hint="eastAsia"/>
          <w:kern w:val="0"/>
          <w:szCs w:val="32"/>
        </w:rPr>
        <w:t>新北地檢署)</w:t>
      </w:r>
      <w:r w:rsidRPr="00C708FD">
        <w:rPr>
          <w:rFonts w:hint="eastAsia"/>
        </w:rPr>
        <w:t>檢察官</w:t>
      </w:r>
      <w:r w:rsidRPr="00C708FD">
        <w:rPr>
          <w:rFonts w:hAnsi="標楷體" w:cs="HiddenHorzOCR" w:hint="eastAsia"/>
          <w:kern w:val="0"/>
          <w:szCs w:val="32"/>
        </w:rPr>
        <w:t>指揮偵辦，另刑事警察局同步支援</w:t>
      </w:r>
      <w:r w:rsidRPr="00C708FD">
        <w:rPr>
          <w:rFonts w:hAnsi="標楷體" w:cs="微軟正黑體" w:hint="eastAsia"/>
          <w:kern w:val="0"/>
          <w:szCs w:val="32"/>
        </w:rPr>
        <w:t>查</w:t>
      </w:r>
      <w:r w:rsidRPr="00C708FD">
        <w:rPr>
          <w:rFonts w:hAnsi="標楷體" w:cs="Yu Gothic" w:hint="eastAsia"/>
          <w:kern w:val="0"/>
          <w:szCs w:val="32"/>
        </w:rPr>
        <w:t>緝，針對涉案槍手槍枝來源、接送、監</w:t>
      </w:r>
      <w:r w:rsidRPr="00C708FD">
        <w:rPr>
          <w:rFonts w:hAnsi="標楷體" w:cs="HiddenHorzOCR" w:hint="eastAsia"/>
          <w:kern w:val="0"/>
          <w:szCs w:val="32"/>
        </w:rPr>
        <w:t>控、策劃等面向同步追</w:t>
      </w:r>
      <w:r w:rsidRPr="00C708FD">
        <w:rPr>
          <w:rFonts w:hAnsi="標楷體" w:cs="微軟正黑體" w:hint="eastAsia"/>
          <w:kern w:val="0"/>
          <w:szCs w:val="32"/>
        </w:rPr>
        <w:t>查</w:t>
      </w:r>
      <w:r w:rsidRPr="00C708FD">
        <w:rPr>
          <w:rFonts w:hAnsi="標楷體" w:cs="Yu Gothic" w:hint="eastAsia"/>
          <w:kern w:val="0"/>
          <w:szCs w:val="32"/>
        </w:rPr>
        <w:t>，並掌握</w:t>
      </w:r>
      <w:r w:rsidRPr="00C708FD">
        <w:rPr>
          <w:rFonts w:hAnsi="標楷體" w:cs="HiddenHorzOCR" w:hint="eastAsia"/>
          <w:kern w:val="0"/>
          <w:szCs w:val="32"/>
        </w:rPr>
        <w:t>林姓主嫌在案發當天下午即搭機出境至馬來西亞，隨即由刑事警察局透過駐馬來西亞聯絡官協調當地司法機關進行留置，在專案小組追</w:t>
      </w:r>
      <w:r w:rsidRPr="00C708FD">
        <w:rPr>
          <w:rFonts w:hAnsi="標楷體" w:cs="微軟正黑體" w:hint="eastAsia"/>
          <w:kern w:val="0"/>
          <w:szCs w:val="32"/>
        </w:rPr>
        <w:t>查</w:t>
      </w:r>
      <w:proofErr w:type="gramStart"/>
      <w:r w:rsidRPr="00C708FD">
        <w:rPr>
          <w:rFonts w:hAnsi="標楷體" w:cs="Yu Gothic" w:hint="eastAsia"/>
          <w:kern w:val="0"/>
          <w:szCs w:val="32"/>
        </w:rPr>
        <w:t>釐</w:t>
      </w:r>
      <w:proofErr w:type="gramEnd"/>
      <w:r w:rsidRPr="00C708FD">
        <w:rPr>
          <w:rFonts w:hAnsi="標楷體" w:cs="Yu Gothic" w:hint="eastAsia"/>
          <w:kern w:val="0"/>
          <w:szCs w:val="32"/>
        </w:rPr>
        <w:t>清</w:t>
      </w:r>
      <w:r w:rsidRPr="00C708FD">
        <w:rPr>
          <w:rFonts w:hAnsi="標楷體" w:cs="HiddenHorzOCR" w:hint="eastAsia"/>
          <w:kern w:val="0"/>
          <w:szCs w:val="32"/>
        </w:rPr>
        <w:t>策劃槍擊案件犯罪集團成員身分及分工犯行後，於</w:t>
      </w:r>
      <w:r w:rsidRPr="00C708FD">
        <w:rPr>
          <w:rFonts w:hAnsi="標楷體" w:cs="HiddenHorzOCR"/>
          <w:kern w:val="0"/>
          <w:szCs w:val="32"/>
        </w:rPr>
        <w:t>4</w:t>
      </w:r>
      <w:r w:rsidRPr="00C708FD">
        <w:rPr>
          <w:rFonts w:hAnsi="標楷體" w:cs="HiddenHorzOCR" w:hint="eastAsia"/>
          <w:kern w:val="0"/>
          <w:szCs w:val="32"/>
        </w:rPr>
        <w:t>月</w:t>
      </w:r>
      <w:r w:rsidRPr="00C708FD">
        <w:rPr>
          <w:rFonts w:hAnsi="標楷體" w:cs="HiddenHorzOCR"/>
          <w:kern w:val="0"/>
          <w:szCs w:val="32"/>
        </w:rPr>
        <w:t>22</w:t>
      </w:r>
      <w:r w:rsidRPr="00C708FD">
        <w:rPr>
          <w:rFonts w:hAnsi="標楷體" w:cs="HiddenHorzOCR" w:hint="eastAsia"/>
          <w:kern w:val="0"/>
          <w:szCs w:val="32"/>
        </w:rPr>
        <w:t>日、</w:t>
      </w:r>
      <w:r w:rsidRPr="00C708FD">
        <w:rPr>
          <w:rFonts w:hAnsi="標楷體" w:cs="HiddenHorzOCR"/>
          <w:kern w:val="0"/>
          <w:szCs w:val="32"/>
        </w:rPr>
        <w:t>24</w:t>
      </w:r>
      <w:r w:rsidRPr="00C708FD">
        <w:rPr>
          <w:rFonts w:hAnsi="標楷體" w:cs="HiddenHorzOCR" w:hint="eastAsia"/>
          <w:kern w:val="0"/>
          <w:szCs w:val="32"/>
        </w:rPr>
        <w:t>日、</w:t>
      </w:r>
      <w:r w:rsidRPr="00C708FD">
        <w:rPr>
          <w:rFonts w:hAnsi="標楷體" w:cs="HiddenHorzOCR"/>
          <w:kern w:val="0"/>
          <w:szCs w:val="32"/>
        </w:rPr>
        <w:t>27</w:t>
      </w:r>
      <w:r w:rsidRPr="00C708FD">
        <w:rPr>
          <w:rFonts w:hAnsi="標楷體" w:cs="HiddenHorzOCR" w:hint="eastAsia"/>
          <w:kern w:val="0"/>
          <w:szCs w:val="32"/>
        </w:rPr>
        <w:t>日共執行三波</w:t>
      </w:r>
      <w:r w:rsidRPr="00C708FD">
        <w:rPr>
          <w:rFonts w:hAnsi="標楷體" w:cs="微軟正黑體" w:hint="eastAsia"/>
          <w:kern w:val="0"/>
          <w:szCs w:val="32"/>
        </w:rPr>
        <w:t>查</w:t>
      </w:r>
      <w:r w:rsidRPr="00C708FD">
        <w:rPr>
          <w:rFonts w:hAnsi="標楷體" w:cs="Yu Gothic" w:hint="eastAsia"/>
          <w:kern w:val="0"/>
          <w:szCs w:val="32"/>
        </w:rPr>
        <w:t>緝行動，連同</w:t>
      </w:r>
      <w:r w:rsidRPr="00C708FD">
        <w:rPr>
          <w:rFonts w:hAnsi="標楷體" w:cs="HiddenHorzOCR"/>
          <w:kern w:val="0"/>
          <w:szCs w:val="32"/>
        </w:rPr>
        <w:t>4</w:t>
      </w:r>
      <w:r w:rsidRPr="00C708FD">
        <w:rPr>
          <w:rFonts w:hAnsi="標楷體" w:cs="HiddenHorzOCR" w:hint="eastAsia"/>
          <w:kern w:val="0"/>
          <w:szCs w:val="32"/>
        </w:rPr>
        <w:t>月</w:t>
      </w:r>
      <w:r w:rsidRPr="00C708FD">
        <w:rPr>
          <w:rFonts w:hAnsi="標楷體" w:cs="HiddenHorzOCR"/>
          <w:kern w:val="0"/>
          <w:szCs w:val="32"/>
        </w:rPr>
        <w:t>28</w:t>
      </w:r>
      <w:r w:rsidRPr="00C708FD">
        <w:rPr>
          <w:rFonts w:hAnsi="標楷體" w:cs="HiddenHorzOCR" w:hint="eastAsia"/>
          <w:kern w:val="0"/>
          <w:szCs w:val="32"/>
        </w:rPr>
        <w:t>日自馬來西亞緝捕返臺之林姓主嫌及共犯</w:t>
      </w:r>
      <w:r w:rsidRPr="00C708FD">
        <w:rPr>
          <w:rFonts w:hAnsi="標楷體" w:cs="HiddenHorzOCR"/>
          <w:kern w:val="0"/>
          <w:szCs w:val="32"/>
        </w:rPr>
        <w:t>2</w:t>
      </w:r>
      <w:r w:rsidRPr="00C708FD">
        <w:rPr>
          <w:rFonts w:hAnsi="標楷體" w:cs="HiddenHorzOCR" w:hint="eastAsia"/>
          <w:kern w:val="0"/>
          <w:szCs w:val="32"/>
        </w:rPr>
        <w:t>人，共緝獲</w:t>
      </w:r>
      <w:r w:rsidRPr="00C708FD">
        <w:rPr>
          <w:rFonts w:hAnsi="標楷體" w:cs="HiddenHorzOCR"/>
          <w:kern w:val="0"/>
          <w:szCs w:val="32"/>
        </w:rPr>
        <w:t>28</w:t>
      </w:r>
      <w:r w:rsidRPr="00C708FD">
        <w:rPr>
          <w:rFonts w:hAnsi="標楷體" w:cs="HiddenHorzOCR" w:hint="eastAsia"/>
          <w:kern w:val="0"/>
          <w:szCs w:val="32"/>
        </w:rPr>
        <w:t>人到案</w:t>
      </w:r>
      <w:r w:rsidRPr="00C708FD">
        <w:rPr>
          <w:rFonts w:ascii="新細明體" w:eastAsia="新細明體" w:hAnsi="新細明體" w:cs="HiddenHorzOCR" w:hint="eastAsia"/>
          <w:kern w:val="0"/>
          <w:szCs w:val="32"/>
        </w:rPr>
        <w:t>。</w:t>
      </w:r>
      <w:r w:rsidRPr="00C708FD">
        <w:rPr>
          <w:rFonts w:hint="eastAsia"/>
        </w:rPr>
        <w:t>經檢察官起訴9人，其中劉姓、黃姓、朱姓、</w:t>
      </w:r>
      <w:proofErr w:type="gramStart"/>
      <w:r w:rsidRPr="00C708FD">
        <w:rPr>
          <w:rFonts w:hint="eastAsia"/>
        </w:rPr>
        <w:t>鍾</w:t>
      </w:r>
      <w:proofErr w:type="gramEnd"/>
      <w:r w:rsidRPr="00C708FD">
        <w:rPr>
          <w:rFonts w:hint="eastAsia"/>
        </w:rPr>
        <w:t>姓4位少年移請新北地院少年法庭審理。</w:t>
      </w:r>
    </w:p>
    <w:p w:rsidR="00ED2CAE" w:rsidRPr="00C708FD" w:rsidRDefault="00ED2CAE" w:rsidP="00ED2CAE">
      <w:pPr>
        <w:pStyle w:val="5"/>
      </w:pPr>
      <w:r w:rsidRPr="00C708FD">
        <w:rPr>
          <w:rFonts w:hint="eastAsia"/>
        </w:rPr>
        <w:t>112年4月19日槍擊案，經檢察官起訴4人</w:t>
      </w:r>
      <w:r w:rsidR="008938DA" w:rsidRPr="00C708FD">
        <w:rPr>
          <w:rFonts w:hAnsi="標楷體" w:hint="eastAsia"/>
        </w:rPr>
        <w:t>，其中</w:t>
      </w:r>
      <w:r w:rsidR="008938DA" w:rsidRPr="00C708FD">
        <w:rPr>
          <w:rFonts w:hint="eastAsia"/>
        </w:rPr>
        <w:t>吳姓少年移請新北地院少年法庭審理。</w:t>
      </w:r>
    </w:p>
    <w:p w:rsidR="008938DA" w:rsidRPr="00C708FD" w:rsidRDefault="008938DA" w:rsidP="008938DA">
      <w:pPr>
        <w:pStyle w:val="4"/>
      </w:pPr>
      <w:r w:rsidRPr="00C708FD">
        <w:rPr>
          <w:rFonts w:hint="eastAsia"/>
        </w:rPr>
        <w:t>上開3件槍擊案中移送少年法庭審理之少年多達5人，其中3人竟為聽命幫派大哥指示而持槍射擊之犯嫌，</w:t>
      </w:r>
      <w:proofErr w:type="gramStart"/>
      <w:r w:rsidRPr="00C708FD">
        <w:rPr>
          <w:rFonts w:hint="eastAsia"/>
        </w:rPr>
        <w:t>凸</w:t>
      </w:r>
      <w:proofErr w:type="gramEnd"/>
      <w:r w:rsidRPr="00C708FD">
        <w:rPr>
          <w:rFonts w:hint="eastAsia"/>
        </w:rPr>
        <w:t>顯少年遭黑幫吸收、利用從事不法行為之情況嚴重。</w:t>
      </w:r>
    </w:p>
    <w:p w:rsidR="00F00C26" w:rsidRPr="00C708FD" w:rsidRDefault="00F00C26" w:rsidP="00F00C26">
      <w:pPr>
        <w:pStyle w:val="3"/>
        <w:rPr>
          <w:b/>
        </w:rPr>
      </w:pPr>
      <w:r w:rsidRPr="00C708FD">
        <w:rPr>
          <w:rFonts w:hint="eastAsia"/>
          <w:b/>
        </w:rPr>
        <w:t>依「少年偏差行為預防及輔導辦法」</w:t>
      </w:r>
      <w:bookmarkStart w:id="27" w:name="_Hlk152081137"/>
      <w:r w:rsidRPr="00C708FD">
        <w:rPr>
          <w:rFonts w:hint="eastAsia"/>
          <w:b/>
        </w:rPr>
        <w:t>第6條第1項第2款規定，</w:t>
      </w:r>
      <w:bookmarkEnd w:id="27"/>
      <w:r w:rsidRPr="00C708FD">
        <w:rPr>
          <w:rFonts w:hint="eastAsia"/>
          <w:b/>
        </w:rPr>
        <w:t>少年與有犯罪習性之人交往或參加不良組織等情事，其偏差行為之預防及輔導由少輔會辦理；少年具學籍者，教育機關(構)應依學生輔導法等相關教育法規辦理</w:t>
      </w:r>
      <w:r w:rsidR="00801971" w:rsidRPr="00C708FD">
        <w:rPr>
          <w:rFonts w:hAnsi="標楷體" w:hint="eastAsia"/>
          <w:b/>
        </w:rPr>
        <w:t>：</w:t>
      </w:r>
    </w:p>
    <w:p w:rsidR="00ED53F8" w:rsidRPr="00C708FD" w:rsidRDefault="00801971" w:rsidP="00801971">
      <w:pPr>
        <w:pStyle w:val="4"/>
      </w:pPr>
      <w:r w:rsidRPr="00C708FD">
        <w:rPr>
          <w:rFonts w:hint="eastAsia"/>
        </w:rPr>
        <w:t>少年事件處理法(</w:t>
      </w:r>
      <w:proofErr w:type="gramStart"/>
      <w:r w:rsidRPr="00C708FD">
        <w:rPr>
          <w:rFonts w:hint="eastAsia"/>
        </w:rPr>
        <w:t>下稱少事</w:t>
      </w:r>
      <w:proofErr w:type="gramEnd"/>
      <w:r w:rsidRPr="00C708FD">
        <w:rPr>
          <w:rFonts w:hint="eastAsia"/>
        </w:rPr>
        <w:t>法</w:t>
      </w:r>
      <w:r w:rsidR="0067249C" w:rsidRPr="00C708FD">
        <w:rPr>
          <w:rFonts w:hint="eastAsia"/>
        </w:rPr>
        <w:t>)</w:t>
      </w:r>
      <w:r w:rsidR="007D03F9" w:rsidRPr="00C708FD">
        <w:rPr>
          <w:rStyle w:val="aff2"/>
        </w:rPr>
        <w:footnoteReference w:id="5"/>
      </w:r>
      <w:r w:rsidRPr="00C708FD">
        <w:rPr>
          <w:rFonts w:hint="eastAsia"/>
        </w:rPr>
        <w:t>第86條第4項規定授權行政院會同司法院訂定「少年偏差行為之輔導及預防辦法」</w:t>
      </w:r>
      <w:r w:rsidR="007D03F9" w:rsidRPr="00C708FD">
        <w:rPr>
          <w:rStyle w:val="aff2"/>
        </w:rPr>
        <w:footnoteReference w:id="6"/>
      </w:r>
      <w:r w:rsidRPr="00C708FD">
        <w:rPr>
          <w:rFonts w:hint="eastAsia"/>
        </w:rPr>
        <w:t>，</w:t>
      </w:r>
      <w:r w:rsidR="00ED53F8" w:rsidRPr="00C708FD">
        <w:rPr>
          <w:rFonts w:hint="eastAsia"/>
        </w:rPr>
        <w:t>經由行政院及司法院等</w:t>
      </w:r>
      <w:proofErr w:type="gramStart"/>
      <w:r w:rsidR="00ED53F8" w:rsidRPr="00C708FD">
        <w:rPr>
          <w:rFonts w:hint="eastAsia"/>
        </w:rPr>
        <w:t>跨院際</w:t>
      </w:r>
      <w:proofErr w:type="gramEnd"/>
      <w:r w:rsidR="00ED53F8" w:rsidRPr="00C708FD">
        <w:rPr>
          <w:rFonts w:hint="eastAsia"/>
        </w:rPr>
        <w:lastRenderedPageBreak/>
        <w:t>及部會機制，強化與教育、社政、衛生、法務、司法等網絡單位協調聯繫，及早發現家庭、學業、經濟上處於弱勢或危機當中之個案，在未被幫派吸收從事犯罪之前，即時介入提供所需之關懷及援助。</w:t>
      </w:r>
    </w:p>
    <w:p w:rsidR="00801971" w:rsidRPr="00C708FD" w:rsidRDefault="007051F6" w:rsidP="00801971">
      <w:pPr>
        <w:pStyle w:val="4"/>
      </w:pPr>
      <w:r w:rsidRPr="00C708FD">
        <w:rPr>
          <w:rFonts w:hint="eastAsia"/>
        </w:rPr>
        <w:t>依</w:t>
      </w:r>
      <w:r w:rsidR="00ED53F8" w:rsidRPr="00C708FD">
        <w:rPr>
          <w:rFonts w:hint="eastAsia"/>
        </w:rPr>
        <w:t>上開</w:t>
      </w:r>
      <w:r w:rsidRPr="00C708FD">
        <w:rPr>
          <w:rFonts w:hint="eastAsia"/>
        </w:rPr>
        <w:t>辦法第6條第1項第2款規定：「各機關(構)辦理少年偏差行為之預防及輔導，依下列各款情形處理：…</w:t>
      </w:r>
      <w:proofErr w:type="gramStart"/>
      <w:r w:rsidRPr="00C708FD">
        <w:rPr>
          <w:rFonts w:hint="eastAsia"/>
        </w:rPr>
        <w:t>…</w:t>
      </w:r>
      <w:proofErr w:type="gramEnd"/>
      <w:r w:rsidRPr="00C708FD">
        <w:rPr>
          <w:rFonts w:hint="eastAsia"/>
        </w:rPr>
        <w:t>二、少年有第2條第1項第3款第1目至第8目、第15目後段行為者，得由少年輔導委員會辦理；少年具學籍者，教育機關(構)應依學生輔導法等相關教育法規辦理預防及輔導工作。」</w:t>
      </w:r>
      <w:r w:rsidR="006672CB" w:rsidRPr="00C708FD">
        <w:rPr>
          <w:rFonts w:hint="eastAsia"/>
        </w:rPr>
        <w:t>同</w:t>
      </w:r>
      <w:r w:rsidR="009B4A2D" w:rsidRPr="00C708FD">
        <w:rPr>
          <w:rFonts w:hint="eastAsia"/>
        </w:rPr>
        <w:t>辦法</w:t>
      </w:r>
      <w:r w:rsidRPr="00C708FD">
        <w:rPr>
          <w:rFonts w:hint="eastAsia"/>
        </w:rPr>
        <w:t>第2條第1項第3款第1目</w:t>
      </w:r>
      <w:r w:rsidR="009B4A2D" w:rsidRPr="00C708FD">
        <w:rPr>
          <w:rFonts w:hint="eastAsia"/>
        </w:rPr>
        <w:t>至</w:t>
      </w:r>
      <w:r w:rsidRPr="00C708FD">
        <w:rPr>
          <w:rFonts w:hint="eastAsia"/>
        </w:rPr>
        <w:t>第</w:t>
      </w:r>
      <w:r w:rsidR="009B4A2D" w:rsidRPr="00C708FD">
        <w:rPr>
          <w:rFonts w:hint="eastAsia"/>
        </w:rPr>
        <w:t>8</w:t>
      </w:r>
      <w:r w:rsidRPr="00C708FD">
        <w:rPr>
          <w:rFonts w:hint="eastAsia"/>
        </w:rPr>
        <w:t>目</w:t>
      </w:r>
      <w:r w:rsidR="009B4A2D" w:rsidRPr="00C708FD">
        <w:rPr>
          <w:rFonts w:hint="eastAsia"/>
        </w:rPr>
        <w:t>、第15目後段</w:t>
      </w:r>
      <w:r w:rsidRPr="00C708FD">
        <w:rPr>
          <w:rFonts w:hint="eastAsia"/>
        </w:rPr>
        <w:t>規定：「偏差行為，指少年有下列行為之</w:t>
      </w:r>
      <w:proofErr w:type="gramStart"/>
      <w:r w:rsidRPr="00C708FD">
        <w:rPr>
          <w:rFonts w:hint="eastAsia"/>
        </w:rPr>
        <w:t>一</w:t>
      </w:r>
      <w:proofErr w:type="gramEnd"/>
      <w:r w:rsidRPr="00C708FD">
        <w:rPr>
          <w:rFonts w:hint="eastAsia"/>
        </w:rPr>
        <w:t>者：…</w:t>
      </w:r>
      <w:proofErr w:type="gramStart"/>
      <w:r w:rsidRPr="00C708FD">
        <w:rPr>
          <w:rFonts w:hint="eastAsia"/>
        </w:rPr>
        <w:t>…</w:t>
      </w:r>
      <w:proofErr w:type="gramEnd"/>
      <w:r w:rsidRPr="00C708FD">
        <w:rPr>
          <w:rFonts w:hint="eastAsia"/>
        </w:rPr>
        <w:t>三、下列不利於健全自我成長或損及他人權益行為之一，有預防及輔導必要：</w:t>
      </w:r>
      <w:r w:rsidR="009B4A2D" w:rsidRPr="00C708FD">
        <w:rPr>
          <w:rFonts w:hint="eastAsia"/>
        </w:rPr>
        <w:t>(</w:t>
      </w:r>
      <w:proofErr w:type="gramStart"/>
      <w:r w:rsidR="009B4A2D" w:rsidRPr="00C708FD">
        <w:rPr>
          <w:rFonts w:hint="eastAsia"/>
        </w:rPr>
        <w:t>一</w:t>
      </w:r>
      <w:proofErr w:type="gramEnd"/>
      <w:r w:rsidR="009B4A2D" w:rsidRPr="00C708FD">
        <w:rPr>
          <w:rFonts w:hint="eastAsia"/>
        </w:rPr>
        <w:t>)</w:t>
      </w:r>
      <w:r w:rsidR="009B4A2D" w:rsidRPr="00C708FD">
        <w:rPr>
          <w:rFonts w:hint="eastAsia"/>
          <w:b/>
        </w:rPr>
        <w:t>與有犯罪習性之人交往</w:t>
      </w:r>
      <w:r w:rsidR="009B4A2D" w:rsidRPr="00C708FD">
        <w:rPr>
          <w:rFonts w:hint="eastAsia"/>
        </w:rPr>
        <w:t>。(二)</w:t>
      </w:r>
      <w:r w:rsidR="009B4A2D" w:rsidRPr="00C708FD">
        <w:rPr>
          <w:rFonts w:hint="eastAsia"/>
          <w:b/>
        </w:rPr>
        <w:t>參加不良組織</w:t>
      </w:r>
      <w:r w:rsidR="009B4A2D" w:rsidRPr="00C708FD">
        <w:rPr>
          <w:rFonts w:hint="eastAsia"/>
        </w:rPr>
        <w:t>。(三)加暴行於人或互相鬥毆未至傷害。(四)</w:t>
      </w:r>
      <w:proofErr w:type="gramStart"/>
      <w:r w:rsidR="009B4A2D" w:rsidRPr="00C708FD">
        <w:rPr>
          <w:rFonts w:hint="eastAsia"/>
        </w:rPr>
        <w:t>藉端滋擾</w:t>
      </w:r>
      <w:proofErr w:type="gramEnd"/>
      <w:r w:rsidR="009B4A2D" w:rsidRPr="00C708FD">
        <w:rPr>
          <w:rFonts w:hint="eastAsia"/>
        </w:rPr>
        <w:t>住戶、工廠、公司行號、公共場所或公眾得出入之場所。(五)於非公共場所或非公眾得出入之職業賭博場所，賭博財物。(六)深夜遊蕩，形跡可疑，經</w:t>
      </w:r>
      <w:proofErr w:type="gramStart"/>
      <w:r w:rsidR="009B4A2D" w:rsidRPr="00C708FD">
        <w:rPr>
          <w:rFonts w:hint="eastAsia"/>
        </w:rPr>
        <w:t>詢</w:t>
      </w:r>
      <w:proofErr w:type="gramEnd"/>
      <w:r w:rsidR="009B4A2D" w:rsidRPr="00C708FD">
        <w:rPr>
          <w:rFonts w:hint="eastAsia"/>
        </w:rPr>
        <w:t>無正當理由。(七)以猥褻之言語、舉動或其他方法騷擾他人。(八)無正當</w:t>
      </w:r>
      <w:proofErr w:type="gramStart"/>
      <w:r w:rsidR="009B4A2D" w:rsidRPr="00C708FD">
        <w:rPr>
          <w:rFonts w:hint="eastAsia"/>
        </w:rPr>
        <w:t>理由跟追他人</w:t>
      </w:r>
      <w:proofErr w:type="gramEnd"/>
      <w:r w:rsidR="009B4A2D" w:rsidRPr="00C708FD">
        <w:rPr>
          <w:rFonts w:hint="eastAsia"/>
        </w:rPr>
        <w:t>，經勸阻不聽。…</w:t>
      </w:r>
      <w:proofErr w:type="gramStart"/>
      <w:r w:rsidR="009B4A2D" w:rsidRPr="00C708FD">
        <w:rPr>
          <w:rFonts w:hint="eastAsia"/>
        </w:rPr>
        <w:t>…</w:t>
      </w:r>
      <w:proofErr w:type="gramEnd"/>
      <w:r w:rsidR="009B4A2D" w:rsidRPr="00C708FD">
        <w:rPr>
          <w:rFonts w:hint="eastAsia"/>
        </w:rPr>
        <w:t>(十五)……或損及他人權益或公共秩序之行為。」</w:t>
      </w:r>
      <w:proofErr w:type="gramStart"/>
      <w:r w:rsidR="00641387" w:rsidRPr="00C708FD">
        <w:rPr>
          <w:rFonts w:hint="eastAsia"/>
        </w:rPr>
        <w:t>準</w:t>
      </w:r>
      <w:proofErr w:type="gramEnd"/>
      <w:r w:rsidR="00641387" w:rsidRPr="00C708FD">
        <w:rPr>
          <w:rFonts w:hint="eastAsia"/>
        </w:rPr>
        <w:t>此</w:t>
      </w:r>
      <w:r w:rsidR="009B4A2D" w:rsidRPr="00C708FD">
        <w:rPr>
          <w:rFonts w:hint="eastAsia"/>
        </w:rPr>
        <w:t>，</w:t>
      </w:r>
      <w:r w:rsidR="00641387" w:rsidRPr="00C708FD">
        <w:rPr>
          <w:rFonts w:hint="eastAsia"/>
        </w:rPr>
        <w:t>與有犯罪習性之人交往或參加不良組織之少年，其偏差行為之預防及輔導依上開規定，原則上由少輔會辦理。</w:t>
      </w:r>
      <w:proofErr w:type="gramStart"/>
      <w:r w:rsidR="005401F6" w:rsidRPr="00C708FD">
        <w:rPr>
          <w:rFonts w:hint="eastAsia"/>
        </w:rPr>
        <w:t>惟</w:t>
      </w:r>
      <w:proofErr w:type="gramEnd"/>
      <w:r w:rsidR="005401F6" w:rsidRPr="00C708FD">
        <w:rPr>
          <w:rFonts w:hint="eastAsia"/>
        </w:rPr>
        <w:t>少年仍具學籍者，則應由教育機關(構)依學生輔導法等相關教育法規辦理預防及輔導工作。</w:t>
      </w:r>
    </w:p>
    <w:p w:rsidR="006B4E6A" w:rsidRPr="00C708FD" w:rsidRDefault="005401F6" w:rsidP="00801971">
      <w:pPr>
        <w:pStyle w:val="4"/>
      </w:pPr>
      <w:r w:rsidRPr="00C708FD">
        <w:rPr>
          <w:rFonts w:hint="eastAsia"/>
        </w:rPr>
        <w:t>依</w:t>
      </w:r>
      <w:r w:rsidR="00B66653" w:rsidRPr="00C708FD">
        <w:rPr>
          <w:rFonts w:hint="eastAsia"/>
        </w:rPr>
        <w:t>「少年偏差行為之輔導及預防辦法」第7條第1項規定：「教育主管機關為保障少年健全自我成</w:t>
      </w:r>
      <w:r w:rsidR="00B66653" w:rsidRPr="00C708FD">
        <w:rPr>
          <w:rFonts w:hint="eastAsia"/>
        </w:rPr>
        <w:lastRenderedPageBreak/>
        <w:t>長並建構安全、友善、健康之校園，應加強預防在學少年偏差行為之發生，督導學校落實</w:t>
      </w:r>
      <w:r w:rsidR="00B66653" w:rsidRPr="00C708FD">
        <w:rPr>
          <w:rFonts w:hint="eastAsia"/>
          <w:b/>
        </w:rPr>
        <w:t>學生輔導法</w:t>
      </w:r>
      <w:r w:rsidR="00B66653" w:rsidRPr="00C708FD">
        <w:rPr>
          <w:rFonts w:hint="eastAsia"/>
        </w:rPr>
        <w:t>規定之</w:t>
      </w:r>
      <w:r w:rsidR="00B66653" w:rsidRPr="00C708FD">
        <w:rPr>
          <w:rFonts w:hint="eastAsia"/>
          <w:b/>
        </w:rPr>
        <w:t>三級輔導</w:t>
      </w:r>
      <w:r w:rsidR="00B66653" w:rsidRPr="00C708FD">
        <w:rPr>
          <w:rFonts w:hint="eastAsia"/>
        </w:rPr>
        <w:t>工作，推廣生活教育活動。</w:t>
      </w:r>
      <w:r w:rsidR="006B4E6A" w:rsidRPr="00C708FD">
        <w:rPr>
          <w:rFonts w:hint="eastAsia"/>
        </w:rPr>
        <w:t>」學生輔導法</w:t>
      </w:r>
      <w:r w:rsidR="00E73E1D" w:rsidRPr="00C708FD">
        <w:rPr>
          <w:rStyle w:val="aff2"/>
        </w:rPr>
        <w:footnoteReference w:id="7"/>
      </w:r>
      <w:r w:rsidR="006B4E6A" w:rsidRPr="00C708FD">
        <w:rPr>
          <w:rFonts w:hint="eastAsia"/>
        </w:rPr>
        <w:t>第6條第1項明定學校應視學生身心狀況及需求，提供</w:t>
      </w:r>
      <w:r w:rsidR="006B4E6A" w:rsidRPr="00C708FD">
        <w:rPr>
          <w:rFonts w:hint="eastAsia"/>
          <w:b/>
        </w:rPr>
        <w:t>發展性</w:t>
      </w:r>
      <w:r w:rsidR="006B4E6A" w:rsidRPr="00C708FD">
        <w:rPr>
          <w:rFonts w:hint="eastAsia"/>
        </w:rPr>
        <w:t>輔導</w:t>
      </w:r>
      <w:r w:rsidR="00662076" w:rsidRPr="00C708FD">
        <w:rPr>
          <w:rStyle w:val="aff2"/>
        </w:rPr>
        <w:footnoteReference w:id="8"/>
      </w:r>
      <w:r w:rsidR="006B4E6A" w:rsidRPr="00C708FD">
        <w:rPr>
          <w:rFonts w:hint="eastAsia"/>
        </w:rPr>
        <w:t>、</w:t>
      </w:r>
      <w:r w:rsidR="006B4E6A" w:rsidRPr="00C708FD">
        <w:rPr>
          <w:rFonts w:hint="eastAsia"/>
          <w:b/>
        </w:rPr>
        <w:t>介入性</w:t>
      </w:r>
      <w:r w:rsidR="006B4E6A" w:rsidRPr="00C708FD">
        <w:rPr>
          <w:rFonts w:hint="eastAsia"/>
        </w:rPr>
        <w:t>輔導</w:t>
      </w:r>
      <w:r w:rsidR="00662076" w:rsidRPr="00C708FD">
        <w:rPr>
          <w:rStyle w:val="aff2"/>
        </w:rPr>
        <w:footnoteReference w:id="9"/>
      </w:r>
      <w:r w:rsidR="006B4E6A" w:rsidRPr="00C708FD">
        <w:rPr>
          <w:rFonts w:hint="eastAsia"/>
        </w:rPr>
        <w:t>或</w:t>
      </w:r>
      <w:proofErr w:type="gramStart"/>
      <w:r w:rsidR="006B4E6A" w:rsidRPr="00C708FD">
        <w:rPr>
          <w:rFonts w:hint="eastAsia"/>
          <w:b/>
        </w:rPr>
        <w:t>處遇性</w:t>
      </w:r>
      <w:r w:rsidR="006B4E6A" w:rsidRPr="00C708FD">
        <w:rPr>
          <w:rFonts w:hint="eastAsia"/>
        </w:rPr>
        <w:t>輔導</w:t>
      </w:r>
      <w:proofErr w:type="gramEnd"/>
      <w:r w:rsidR="00662076" w:rsidRPr="00C708FD">
        <w:rPr>
          <w:rStyle w:val="aff2"/>
        </w:rPr>
        <w:footnoteReference w:id="10"/>
      </w:r>
      <w:r w:rsidR="006B4E6A" w:rsidRPr="00C708FD">
        <w:rPr>
          <w:rFonts w:hint="eastAsia"/>
        </w:rPr>
        <w:t>之三級輔導</w:t>
      </w:r>
      <w:r w:rsidR="00662076" w:rsidRPr="00C708FD">
        <w:rPr>
          <w:rFonts w:hint="eastAsia"/>
        </w:rPr>
        <w:t>；同法第7條第3項明定高級中等以下學校之專責單位或專責人員遇有中途輟學、長期缺課、中途離校等情形之學生，應主動提供輔導資源。</w:t>
      </w:r>
    </w:p>
    <w:p w:rsidR="00662076" w:rsidRPr="00C708FD" w:rsidRDefault="00662076" w:rsidP="00801971">
      <w:pPr>
        <w:pStyle w:val="4"/>
      </w:pPr>
      <w:r w:rsidRPr="00C708FD">
        <w:rPr>
          <w:rFonts w:hint="eastAsia"/>
        </w:rPr>
        <w:t>教育部就上開規定之執行情形說明：</w:t>
      </w:r>
    </w:p>
    <w:p w:rsidR="00B66653" w:rsidRPr="00C708FD" w:rsidRDefault="00662076" w:rsidP="006B4E6A">
      <w:pPr>
        <w:pStyle w:val="5"/>
      </w:pPr>
      <w:r w:rsidRPr="00C708FD">
        <w:rPr>
          <w:rFonts w:cs="HiddenHorzOCR" w:hint="eastAsia"/>
        </w:rPr>
        <w:t>案發前之因應措施：</w:t>
      </w:r>
    </w:p>
    <w:p w:rsidR="00662076" w:rsidRPr="00C708FD" w:rsidRDefault="00453D65" w:rsidP="00662076">
      <w:pPr>
        <w:pStyle w:val="6"/>
      </w:pPr>
      <w:r w:rsidRPr="00C708FD">
        <w:rPr>
          <w:rFonts w:hAnsi="標楷體" w:cs="HiddenHorzOCR" w:hint="eastAsia"/>
          <w:kern w:val="0"/>
          <w:szCs w:val="32"/>
        </w:rPr>
        <w:t>教育部為防制學生暴力偏差行為及防制不良組織介入校園，</w:t>
      </w:r>
      <w:r w:rsidRPr="00C708FD">
        <w:rPr>
          <w:rFonts w:hAnsi="標楷體" w:cs="HiddenHorzOCR"/>
          <w:kern w:val="0"/>
          <w:szCs w:val="32"/>
        </w:rPr>
        <w:t>101</w:t>
      </w:r>
      <w:r w:rsidRPr="00C708FD">
        <w:rPr>
          <w:rFonts w:hAnsi="標楷體" w:cs="HiddenHorzOCR" w:hint="eastAsia"/>
          <w:kern w:val="0"/>
          <w:szCs w:val="32"/>
        </w:rPr>
        <w:t>年修訂發布「維護校園安全實施要點」，透過強化高關懷學生輔導，防制學生藥物濫用、校園</w:t>
      </w:r>
      <w:proofErr w:type="gramStart"/>
      <w:r w:rsidRPr="00C708FD">
        <w:rPr>
          <w:rFonts w:hAnsi="標楷體" w:cs="HiddenHorzOCR" w:hint="eastAsia"/>
          <w:kern w:val="0"/>
          <w:szCs w:val="32"/>
        </w:rPr>
        <w:t>霸凌、</w:t>
      </w:r>
      <w:proofErr w:type="gramEnd"/>
      <w:r w:rsidRPr="00C708FD">
        <w:rPr>
          <w:rFonts w:hAnsi="標楷體" w:cs="HiddenHorzOCR" w:hint="eastAsia"/>
          <w:kern w:val="0"/>
          <w:szCs w:val="32"/>
        </w:rPr>
        <w:t>暴力偏差行為與涉入不良組織，以建構安全、友善、健康之校園。</w:t>
      </w:r>
    </w:p>
    <w:p w:rsidR="00453D65" w:rsidRPr="00C708FD" w:rsidRDefault="00453D65" w:rsidP="00662076">
      <w:pPr>
        <w:pStyle w:val="6"/>
      </w:pPr>
      <w:r w:rsidRPr="00C708FD">
        <w:rPr>
          <w:rFonts w:hint="eastAsia"/>
        </w:rPr>
        <w:t>為有效整合行政資源，教育部前已與內政部及法務部共同</w:t>
      </w:r>
      <w:proofErr w:type="gramStart"/>
      <w:r w:rsidRPr="00C708FD">
        <w:rPr>
          <w:rFonts w:hint="eastAsia"/>
        </w:rPr>
        <w:t>研</w:t>
      </w:r>
      <w:proofErr w:type="gramEnd"/>
      <w:r w:rsidRPr="00C708FD">
        <w:rPr>
          <w:rFonts w:hint="eastAsia"/>
        </w:rPr>
        <w:t>訂「警察機關、學校發現學生疑似參加不良組織」標準作業流程，國教署亦訂頒「學生疑涉組織</w:t>
      </w:r>
      <w:proofErr w:type="gramStart"/>
      <w:r w:rsidRPr="00C708FD">
        <w:rPr>
          <w:rFonts w:hint="eastAsia"/>
        </w:rPr>
        <w:t>犯罪追輔小</w:t>
      </w:r>
      <w:proofErr w:type="gramEnd"/>
      <w:r w:rsidRPr="00C708FD">
        <w:rPr>
          <w:rFonts w:hint="eastAsia"/>
        </w:rPr>
        <w:t>組執行計畫」</w:t>
      </w:r>
      <w:r w:rsidRPr="00C708FD">
        <w:t>，</w:t>
      </w:r>
      <w:r w:rsidRPr="00C708FD">
        <w:rPr>
          <w:rFonts w:hint="eastAsia"/>
        </w:rPr>
        <w:t>針對疑似參加不良組織學生均依照規定通報</w:t>
      </w:r>
      <w:r w:rsidRPr="00C708FD">
        <w:rPr>
          <w:rFonts w:cs="微軟正黑體" w:hint="eastAsia"/>
        </w:rPr>
        <w:t>暨</w:t>
      </w:r>
      <w:r w:rsidRPr="00C708FD">
        <w:rPr>
          <w:rFonts w:cs="Yu Gothic" w:hint="eastAsia"/>
        </w:rPr>
        <w:t>實施輔導作為，另各級</w:t>
      </w:r>
      <w:proofErr w:type="gramStart"/>
      <w:r w:rsidRPr="00C708FD">
        <w:rPr>
          <w:rFonts w:cs="Yu Gothic" w:hint="eastAsia"/>
        </w:rPr>
        <w:t>學</w:t>
      </w:r>
      <w:r w:rsidRPr="00C708FD">
        <w:rPr>
          <w:rFonts w:hint="eastAsia"/>
        </w:rPr>
        <w:t>校均與轄</w:t>
      </w:r>
      <w:proofErr w:type="gramEnd"/>
      <w:r w:rsidRPr="00C708FD">
        <w:rPr>
          <w:rFonts w:hint="eastAsia"/>
        </w:rPr>
        <w:t>區警察局簽訂「維護校園安全支援約定書」，</w:t>
      </w:r>
      <w:r w:rsidRPr="00C708FD">
        <w:rPr>
          <w:rFonts w:hint="eastAsia"/>
        </w:rPr>
        <w:lastRenderedPageBreak/>
        <w:t>與警政單位共同強化教育及通報機制，學校持續落實通報機制與後續輔導作為，以有效改善學生暴力偏差行為及防制學生涉入不良組織。</w:t>
      </w:r>
    </w:p>
    <w:p w:rsidR="00453D65" w:rsidRPr="00C708FD" w:rsidRDefault="00453D65" w:rsidP="00662076">
      <w:pPr>
        <w:pStyle w:val="6"/>
      </w:pPr>
      <w:r w:rsidRPr="00C708FD">
        <w:rPr>
          <w:rFonts w:hAnsi="標楷體" w:cs="HiddenHorzOCR" w:hint="eastAsia"/>
          <w:kern w:val="0"/>
          <w:szCs w:val="32"/>
        </w:rPr>
        <w:t>教育部訂定上開計畫、要點等規定後，要求學校落實通報機制，各級教育人員、校外會及警政單位共同執行三</w:t>
      </w:r>
      <w:r w:rsidRPr="00C708FD">
        <w:rPr>
          <w:rFonts w:hAnsi="標楷體" w:cs="微軟正黑體" w:hint="eastAsia"/>
          <w:kern w:val="0"/>
          <w:szCs w:val="32"/>
        </w:rPr>
        <w:t>級</w:t>
      </w:r>
      <w:r w:rsidRPr="00C708FD">
        <w:rPr>
          <w:rFonts w:hAnsi="標楷體" w:cs="Yu Gothic" w:hint="eastAsia"/>
          <w:kern w:val="0"/>
          <w:szCs w:val="32"/>
        </w:rPr>
        <w:t>預防輔導，尤其著重教育人</w:t>
      </w:r>
      <w:r w:rsidRPr="00C708FD">
        <w:rPr>
          <w:rFonts w:hAnsi="標楷體" w:cs="HiddenHorzOCR" w:hint="eastAsia"/>
          <w:kern w:val="0"/>
          <w:szCs w:val="32"/>
        </w:rPr>
        <w:t>員對是類學生之通報與輔導，使個案</w:t>
      </w:r>
      <w:proofErr w:type="gramStart"/>
      <w:r w:rsidRPr="00C708FD">
        <w:rPr>
          <w:rFonts w:hAnsi="標楷體" w:cs="HiddenHorzOCR" w:hint="eastAsia"/>
          <w:kern w:val="0"/>
          <w:szCs w:val="32"/>
        </w:rPr>
        <w:t>學生均能獲得</w:t>
      </w:r>
      <w:proofErr w:type="gramEnd"/>
      <w:r w:rsidRPr="00C708FD">
        <w:rPr>
          <w:rFonts w:hAnsi="標楷體" w:cs="HiddenHorzOCR" w:hint="eastAsia"/>
          <w:kern w:val="0"/>
          <w:szCs w:val="32"/>
        </w:rPr>
        <w:t>妥適處理與輔導，並詳加通報紀錄處理輔導過程，以整體改善校園治安：</w:t>
      </w:r>
    </w:p>
    <w:p w:rsidR="00453D65" w:rsidRPr="00C708FD" w:rsidRDefault="00453D65" w:rsidP="00453D65">
      <w:pPr>
        <w:pStyle w:val="7"/>
      </w:pPr>
      <w:r w:rsidRPr="00C708FD">
        <w:rPr>
          <w:rFonts w:hAnsi="標楷體" w:cs="HiddenHorzOCR" w:hint="eastAsia"/>
          <w:kern w:val="0"/>
          <w:szCs w:val="32"/>
        </w:rPr>
        <w:t>一</w:t>
      </w:r>
      <w:r w:rsidRPr="00C708FD">
        <w:rPr>
          <w:rFonts w:hAnsi="標楷體" w:cs="微軟正黑體" w:hint="eastAsia"/>
          <w:kern w:val="0"/>
          <w:szCs w:val="32"/>
        </w:rPr>
        <w:t>級</w:t>
      </w:r>
      <w:r w:rsidRPr="00C708FD">
        <w:rPr>
          <w:rFonts w:hAnsi="標楷體" w:cs="Yu Gothic" w:hint="eastAsia"/>
          <w:kern w:val="0"/>
          <w:szCs w:val="32"/>
        </w:rPr>
        <w:t>預防(教育宣導)</w:t>
      </w:r>
      <w:r w:rsidRPr="00C708FD">
        <w:rPr>
          <w:rFonts w:hAnsi="標楷體" w:cs="Arial"/>
          <w:kern w:val="0"/>
          <w:szCs w:val="32"/>
        </w:rPr>
        <w:t>：</w:t>
      </w:r>
      <w:r w:rsidRPr="00C708FD">
        <w:rPr>
          <w:rFonts w:hAnsi="標楷體" w:cs="HiddenHorzOCR"/>
          <w:kern w:val="0"/>
          <w:szCs w:val="32"/>
        </w:rPr>
        <w:sym w:font="Wingdings 2" w:char="F06A"/>
      </w:r>
      <w:r w:rsidRPr="00C708FD">
        <w:rPr>
          <w:rFonts w:hAnsi="標楷體" w:cs="HiddenHorzOCR" w:hint="eastAsia"/>
          <w:kern w:val="0"/>
          <w:szCs w:val="32"/>
        </w:rPr>
        <w:t>推動每學期開學第一</w:t>
      </w:r>
      <w:proofErr w:type="gramStart"/>
      <w:r w:rsidRPr="00C708FD">
        <w:rPr>
          <w:rFonts w:hAnsi="標楷體" w:cs="HiddenHorzOCR" w:hint="eastAsia"/>
          <w:kern w:val="0"/>
          <w:szCs w:val="32"/>
        </w:rPr>
        <w:t>週</w:t>
      </w:r>
      <w:proofErr w:type="gramEnd"/>
      <w:r w:rsidRPr="00C708FD">
        <w:rPr>
          <w:rFonts w:hAnsi="標楷體" w:cs="HiddenHorzOCR" w:hint="eastAsia"/>
          <w:kern w:val="0"/>
          <w:szCs w:val="32"/>
        </w:rPr>
        <w:t>辦理友善校園週活動，由各校規劃辦理以友善校園為主題之競賽及動態系列活動，並對全校師生宣導防制學生暴力偏差行為及參加不良組織之意義與作為，營造安全、友善及健康的學習環境。</w:t>
      </w:r>
      <w:r w:rsidRPr="00C708FD">
        <w:rPr>
          <w:rFonts w:hAnsi="標楷體" w:cs="HiddenHorzOCR"/>
          <w:kern w:val="0"/>
          <w:szCs w:val="32"/>
        </w:rPr>
        <w:sym w:font="Wingdings 2" w:char="F06B"/>
      </w:r>
      <w:r w:rsidRPr="00C708FD">
        <w:rPr>
          <w:rFonts w:hAnsi="標楷體" w:cs="HiddenHorzOCR" w:hint="eastAsia"/>
          <w:kern w:val="0"/>
          <w:szCs w:val="32"/>
        </w:rPr>
        <w:t>學校與轄區警察局簽署「維護校園安全支援約定書」，明定支援項目及緊急聯絡方式。</w:t>
      </w:r>
      <w:r w:rsidRPr="00C708FD">
        <w:rPr>
          <w:rFonts w:hAnsi="標楷體" w:cs="HiddenHorzOCR"/>
          <w:kern w:val="0"/>
          <w:szCs w:val="32"/>
        </w:rPr>
        <w:sym w:font="Wingdings 2" w:char="F06C"/>
      </w:r>
      <w:r w:rsidRPr="00C708FD">
        <w:rPr>
          <w:rFonts w:hAnsi="標楷體" w:cs="HiddenHorzOCR" w:hint="eastAsia"/>
          <w:kern w:val="0"/>
          <w:szCs w:val="32"/>
        </w:rPr>
        <w:t>結合警政單位辦理校園安全相關講座或研習活動，強化學校處理及輔導機制，並適時運用案例實施機會教育，以提升教師個案輔導知能。</w:t>
      </w:r>
    </w:p>
    <w:p w:rsidR="00453D65" w:rsidRPr="00C708FD" w:rsidRDefault="00453D65" w:rsidP="00453D65">
      <w:pPr>
        <w:pStyle w:val="7"/>
      </w:pPr>
      <w:r w:rsidRPr="00C708FD">
        <w:rPr>
          <w:rFonts w:hAnsi="標楷體" w:cs="HiddenHorzOCR" w:hint="eastAsia"/>
          <w:kern w:val="0"/>
          <w:szCs w:val="32"/>
        </w:rPr>
        <w:t>二級預防(</w:t>
      </w:r>
      <w:r w:rsidRPr="00C708FD">
        <w:rPr>
          <w:rFonts w:hAnsi="標楷體" w:cs="微軟正黑體" w:hint="eastAsia"/>
          <w:kern w:val="0"/>
          <w:szCs w:val="32"/>
        </w:rPr>
        <w:t>查</w:t>
      </w:r>
      <w:r w:rsidRPr="00C708FD">
        <w:rPr>
          <w:rFonts w:hAnsi="標楷體" w:cs="Yu Gothic" w:hint="eastAsia"/>
          <w:kern w:val="0"/>
          <w:szCs w:val="32"/>
        </w:rPr>
        <w:t>察通報)</w:t>
      </w:r>
      <w:r w:rsidRPr="00C708FD">
        <w:rPr>
          <w:rFonts w:hAnsi="標楷體" w:cs="Arial"/>
          <w:kern w:val="0"/>
          <w:szCs w:val="32"/>
        </w:rPr>
        <w:t>：</w:t>
      </w:r>
      <w:r w:rsidRPr="00C708FD">
        <w:rPr>
          <w:rFonts w:hAnsi="標楷體" w:cs="HiddenHorzOCR"/>
          <w:kern w:val="0"/>
          <w:szCs w:val="32"/>
        </w:rPr>
        <w:sym w:font="Wingdings 2" w:char="F06A"/>
      </w:r>
      <w:r w:rsidRPr="00C708FD">
        <w:rPr>
          <w:rFonts w:hAnsi="標楷體" w:cs="HiddenHorzOCR" w:hint="eastAsia"/>
          <w:kern w:val="0"/>
          <w:szCs w:val="32"/>
        </w:rPr>
        <w:t>教育部與警政署定期召開聯繫會議，建立完善合作機制，並共同督促各地方政府及各級學校與警察機關落實聯繫作為，強化校園安全。</w:t>
      </w:r>
      <w:r w:rsidRPr="00C708FD">
        <w:rPr>
          <w:rFonts w:hAnsi="標楷體" w:cs="HiddenHorzOCR"/>
          <w:kern w:val="0"/>
          <w:szCs w:val="32"/>
        </w:rPr>
        <w:sym w:font="Wingdings 2" w:char="F06B"/>
      </w:r>
      <w:r w:rsidRPr="00C708FD">
        <w:rPr>
          <w:rFonts w:hAnsi="標楷體" w:cs="HiddenHorzOCR" w:hint="eastAsia"/>
          <w:kern w:val="0"/>
          <w:szCs w:val="32"/>
        </w:rPr>
        <w:t>透過各縣市「教育單位與警政機關二級窗口聯繫會議」，結合警政、法務、教育及社政資源，即時處理校園安全問題。</w:t>
      </w:r>
      <w:r w:rsidRPr="00C708FD">
        <w:rPr>
          <w:rFonts w:hAnsi="標楷體" w:cs="HiddenHorzOCR"/>
          <w:kern w:val="0"/>
          <w:szCs w:val="32"/>
        </w:rPr>
        <w:sym w:font="Wingdings 2" w:char="F06C"/>
      </w:r>
      <w:r w:rsidRPr="00C708FD">
        <w:rPr>
          <w:rFonts w:hAnsi="標楷體" w:cs="HiddenHorzOCR" w:hint="eastAsia"/>
          <w:kern w:val="0"/>
          <w:szCs w:val="32"/>
        </w:rPr>
        <w:t>結合少年警察隊、學校教官、</w:t>
      </w:r>
      <w:proofErr w:type="gramStart"/>
      <w:r w:rsidRPr="00C708FD">
        <w:rPr>
          <w:rFonts w:hAnsi="標楷體" w:cs="HiddenHorzOCR" w:hint="eastAsia"/>
          <w:kern w:val="0"/>
          <w:szCs w:val="32"/>
        </w:rPr>
        <w:t>學輔人員</w:t>
      </w:r>
      <w:proofErr w:type="gramEnd"/>
      <w:r w:rsidRPr="00C708FD">
        <w:rPr>
          <w:rFonts w:hAnsi="標楷體" w:cs="HiddenHorzOCR" w:hint="eastAsia"/>
          <w:kern w:val="0"/>
          <w:szCs w:val="32"/>
        </w:rPr>
        <w:t>、教</w:t>
      </w:r>
      <w:r w:rsidRPr="00C708FD">
        <w:rPr>
          <w:rFonts w:hAnsi="標楷體" w:cs="HiddenHorzOCR" w:hint="eastAsia"/>
          <w:kern w:val="0"/>
          <w:szCs w:val="32"/>
        </w:rPr>
        <w:lastRenderedPageBreak/>
        <w:t>師實施校外聯合巡</w:t>
      </w:r>
      <w:r w:rsidRPr="00C708FD">
        <w:rPr>
          <w:rFonts w:hAnsi="標楷體" w:cs="微軟正黑體" w:hint="eastAsia"/>
          <w:kern w:val="0"/>
          <w:szCs w:val="32"/>
        </w:rPr>
        <w:t>查</w:t>
      </w:r>
      <w:r w:rsidRPr="00C708FD">
        <w:rPr>
          <w:rFonts w:hAnsi="標楷體" w:cs="Yu Gothic" w:hint="eastAsia"/>
          <w:kern w:val="0"/>
          <w:szCs w:val="32"/>
        </w:rPr>
        <w:t>工作；對在外行為</w:t>
      </w:r>
      <w:r w:rsidRPr="00C708FD">
        <w:rPr>
          <w:rFonts w:hAnsi="標楷體" w:cs="HiddenHorzOCR" w:hint="eastAsia"/>
          <w:kern w:val="0"/>
          <w:szCs w:val="32"/>
        </w:rPr>
        <w:t>偏差之學生，採取登記勸導及函請學校輔導。</w:t>
      </w:r>
      <w:r w:rsidRPr="00C708FD">
        <w:rPr>
          <w:rFonts w:hAnsi="標楷體" w:cs="HiddenHorzOCR"/>
          <w:kern w:val="0"/>
          <w:szCs w:val="32"/>
        </w:rPr>
        <w:sym w:font="Wingdings 2" w:char="F06D"/>
      </w:r>
      <w:r w:rsidRPr="00C708FD">
        <w:rPr>
          <w:rFonts w:hAnsi="標楷體" w:cs="HiddenHorzOCR" w:hint="eastAsia"/>
          <w:kern w:val="0"/>
          <w:szCs w:val="32"/>
        </w:rPr>
        <w:t>警政機關</w:t>
      </w:r>
      <w:r w:rsidRPr="00C708FD">
        <w:rPr>
          <w:rFonts w:hAnsi="標楷體" w:cs="微軟正黑體" w:hint="eastAsia"/>
          <w:kern w:val="0"/>
          <w:szCs w:val="32"/>
        </w:rPr>
        <w:t>查</w:t>
      </w:r>
      <w:r w:rsidRPr="00C708FD">
        <w:rPr>
          <w:rFonts w:hAnsi="標楷體" w:cs="Yu Gothic" w:hint="eastAsia"/>
          <w:kern w:val="0"/>
          <w:szCs w:val="32"/>
        </w:rPr>
        <w:t>獲學生參加不良組織，須將</w:t>
      </w:r>
      <w:r w:rsidRPr="00C708FD">
        <w:rPr>
          <w:rFonts w:hAnsi="標楷體" w:cs="HiddenHorzOCR" w:hint="eastAsia"/>
          <w:kern w:val="0"/>
          <w:szCs w:val="32"/>
        </w:rPr>
        <w:t>名冊密件通報學校，完善教育與警政良好溝通管道及輔導措施。</w:t>
      </w:r>
    </w:p>
    <w:p w:rsidR="00453D65" w:rsidRPr="00C708FD" w:rsidRDefault="00453D65" w:rsidP="00453D65">
      <w:pPr>
        <w:pStyle w:val="7"/>
      </w:pPr>
      <w:r w:rsidRPr="00C708FD">
        <w:rPr>
          <w:rFonts w:hAnsi="標楷體" w:cs="HiddenHorzOCR" w:hint="eastAsia"/>
          <w:kern w:val="0"/>
          <w:szCs w:val="32"/>
        </w:rPr>
        <w:t>三級預防(個案輔導)</w:t>
      </w:r>
      <w:r w:rsidRPr="00C708FD">
        <w:rPr>
          <w:rFonts w:hAnsi="標楷體" w:cs="Arial"/>
          <w:kern w:val="0"/>
          <w:szCs w:val="32"/>
        </w:rPr>
        <w:t>：</w:t>
      </w:r>
      <w:r w:rsidRPr="00C708FD">
        <w:rPr>
          <w:rFonts w:hAnsi="標楷體" w:cs="HiddenHorzOCR"/>
          <w:kern w:val="0"/>
          <w:szCs w:val="32"/>
        </w:rPr>
        <w:sym w:font="Wingdings 2" w:char="F06A"/>
      </w:r>
      <w:r w:rsidRPr="00C708FD">
        <w:rPr>
          <w:rFonts w:hAnsi="標楷體" w:cs="HiddenHorzOCR" w:hint="eastAsia"/>
          <w:kern w:val="0"/>
          <w:szCs w:val="32"/>
        </w:rPr>
        <w:t>各校對於有暴力偏差行為學生，經常予以關懷、輔導，積極防範導正學生偏差行為；若發現學生疑似參加不良組織等情事，即依據前開作業流程進行處理。</w:t>
      </w:r>
      <w:r w:rsidRPr="00C708FD">
        <w:rPr>
          <w:rFonts w:hAnsi="標楷體" w:cs="HiddenHorzOCR"/>
          <w:kern w:val="0"/>
          <w:szCs w:val="32"/>
        </w:rPr>
        <w:sym w:font="Wingdings 2" w:char="F06B"/>
      </w:r>
      <w:r w:rsidRPr="00C708FD">
        <w:rPr>
          <w:rFonts w:hAnsi="標楷體" w:cs="HiddenHorzOCR" w:hint="eastAsia"/>
          <w:kern w:val="0"/>
          <w:szCs w:val="32"/>
        </w:rPr>
        <w:t>學生經通報疑似參加不良組織，即先由學校實施個案輔導，教育主管機間</w:t>
      </w:r>
      <w:proofErr w:type="gramStart"/>
      <w:r w:rsidRPr="00C708FD">
        <w:rPr>
          <w:rFonts w:hAnsi="標楷體" w:cs="HiddenHorzOCR" w:hint="eastAsia"/>
          <w:kern w:val="0"/>
          <w:szCs w:val="32"/>
        </w:rPr>
        <w:t>成立追輔小組</w:t>
      </w:r>
      <w:proofErr w:type="gramEnd"/>
      <w:r w:rsidRPr="00C708FD">
        <w:rPr>
          <w:rFonts w:hAnsi="標楷體" w:cs="HiddenHorzOCR" w:hint="eastAsia"/>
          <w:kern w:val="0"/>
          <w:szCs w:val="32"/>
        </w:rPr>
        <w:t>，邀集警政、社政及學校召開會議，進行至少</w:t>
      </w:r>
      <w:r w:rsidRPr="00C708FD">
        <w:rPr>
          <w:rFonts w:hAnsi="標楷體" w:cs="HiddenHorzOCR"/>
          <w:kern w:val="0"/>
          <w:szCs w:val="32"/>
        </w:rPr>
        <w:t>3</w:t>
      </w:r>
      <w:r w:rsidRPr="00C708FD">
        <w:rPr>
          <w:rFonts w:hAnsi="標楷體" w:cs="HiddenHorzOCR" w:hint="eastAsia"/>
          <w:kern w:val="0"/>
          <w:szCs w:val="32"/>
        </w:rPr>
        <w:t>個月追蹤輔導。</w:t>
      </w:r>
    </w:p>
    <w:p w:rsidR="00453D65" w:rsidRPr="00C708FD" w:rsidRDefault="00453D65" w:rsidP="00453D65">
      <w:pPr>
        <w:pStyle w:val="6"/>
      </w:pPr>
      <w:r w:rsidRPr="00C708FD">
        <w:rPr>
          <w:rFonts w:hAnsi="標楷體" w:cs="HiddenHorzOCR" w:hint="eastAsia"/>
          <w:kern w:val="0"/>
          <w:szCs w:val="32"/>
        </w:rPr>
        <w:t>國教署前以</w:t>
      </w:r>
      <w:r w:rsidRPr="00C708FD">
        <w:rPr>
          <w:rFonts w:hAnsi="標楷體" w:cs="HiddenHorzOCR"/>
          <w:kern w:val="0"/>
          <w:szCs w:val="32"/>
        </w:rPr>
        <w:t>112</w:t>
      </w:r>
      <w:r w:rsidRPr="00C708FD">
        <w:rPr>
          <w:rFonts w:hAnsi="標楷體" w:cs="HiddenHorzOCR" w:hint="eastAsia"/>
          <w:kern w:val="0"/>
          <w:szCs w:val="32"/>
        </w:rPr>
        <w:t>年</w:t>
      </w:r>
      <w:r w:rsidRPr="00C708FD">
        <w:rPr>
          <w:rFonts w:hAnsi="標楷體" w:cs="HiddenHorzOCR"/>
          <w:kern w:val="0"/>
          <w:szCs w:val="32"/>
        </w:rPr>
        <w:t>3</w:t>
      </w:r>
      <w:r w:rsidRPr="00C708FD">
        <w:rPr>
          <w:rFonts w:hAnsi="標楷體" w:cs="HiddenHorzOCR" w:hint="eastAsia"/>
          <w:kern w:val="0"/>
          <w:szCs w:val="32"/>
        </w:rPr>
        <w:t>月</w:t>
      </w:r>
      <w:r w:rsidRPr="00C708FD">
        <w:rPr>
          <w:rFonts w:hAnsi="標楷體" w:cs="HiddenHorzOCR"/>
          <w:kern w:val="0"/>
          <w:szCs w:val="32"/>
        </w:rPr>
        <w:t>31</w:t>
      </w:r>
      <w:r w:rsidRPr="00C708FD">
        <w:rPr>
          <w:rFonts w:hAnsi="標楷體" w:cs="HiddenHorzOCR" w:hint="eastAsia"/>
          <w:kern w:val="0"/>
          <w:szCs w:val="32"/>
        </w:rPr>
        <w:t>日</w:t>
      </w:r>
      <w:proofErr w:type="gramStart"/>
      <w:r w:rsidRPr="00C708FD">
        <w:rPr>
          <w:rFonts w:hAnsi="標楷體" w:cs="HiddenHorzOCR" w:hint="eastAsia"/>
          <w:kern w:val="0"/>
          <w:szCs w:val="32"/>
        </w:rPr>
        <w:t>臺教國署學字</w:t>
      </w:r>
      <w:proofErr w:type="gramEnd"/>
      <w:r w:rsidRPr="00C708FD">
        <w:rPr>
          <w:rFonts w:hAnsi="標楷體" w:cs="HiddenHorzOCR" w:hint="eastAsia"/>
          <w:kern w:val="0"/>
          <w:szCs w:val="32"/>
        </w:rPr>
        <w:t>第</w:t>
      </w:r>
      <w:r w:rsidRPr="00C708FD">
        <w:rPr>
          <w:rFonts w:hAnsi="標楷體" w:cs="HiddenHorzOCR"/>
          <w:kern w:val="0"/>
          <w:szCs w:val="32"/>
        </w:rPr>
        <w:t>1120045079</w:t>
      </w:r>
      <w:r w:rsidRPr="00C708FD">
        <w:rPr>
          <w:rFonts w:hAnsi="標楷體" w:cs="HiddenHorzOCR" w:hint="eastAsia"/>
          <w:kern w:val="0"/>
          <w:szCs w:val="32"/>
        </w:rPr>
        <w:t>號函請新北市政府教育局(下稱新北市教育局)</w:t>
      </w:r>
      <w:proofErr w:type="gramStart"/>
      <w:r w:rsidRPr="00C708FD">
        <w:rPr>
          <w:rFonts w:hAnsi="標楷體" w:cs="HiddenHorzOCR" w:hint="eastAsia"/>
          <w:kern w:val="0"/>
          <w:szCs w:val="32"/>
        </w:rPr>
        <w:t>加強督管所</w:t>
      </w:r>
      <w:proofErr w:type="gramEnd"/>
      <w:r w:rsidRPr="00C708FD">
        <w:rPr>
          <w:rFonts w:hAnsi="標楷體" w:cs="HiddenHorzOCR" w:hint="eastAsia"/>
          <w:kern w:val="0"/>
          <w:szCs w:val="32"/>
        </w:rPr>
        <w:t>屬學校，落實暴力事件與偏差行為防範措施與相關輔導作為：</w:t>
      </w:r>
    </w:p>
    <w:p w:rsidR="00453D65" w:rsidRPr="00C708FD" w:rsidRDefault="00453D65" w:rsidP="00453D65">
      <w:pPr>
        <w:pStyle w:val="7"/>
      </w:pPr>
      <w:r w:rsidRPr="00C708FD">
        <w:rPr>
          <w:rFonts w:hint="eastAsia"/>
        </w:rPr>
        <w:t>依</w:t>
      </w:r>
      <w:r w:rsidRPr="00C708FD">
        <w:rPr>
          <w:rFonts w:hAnsi="標楷體" w:cs="HiddenHorzOCR" w:hint="eastAsia"/>
          <w:kern w:val="0"/>
          <w:szCs w:val="32"/>
        </w:rPr>
        <w:t>「維護校園安全實施要點」適時整合學校、社區、社會之資源，完善合作與支持網絡，及犯罪預防與被害預防宣導工作，加強學生法治觀念，以避免學生從事不法活動。</w:t>
      </w:r>
    </w:p>
    <w:p w:rsidR="00453D65" w:rsidRPr="00C708FD" w:rsidRDefault="00453D65" w:rsidP="00453D65">
      <w:pPr>
        <w:pStyle w:val="7"/>
      </w:pPr>
      <w:r w:rsidRPr="00C708FD">
        <w:rPr>
          <w:rFonts w:hint="eastAsia"/>
        </w:rPr>
        <w:t>請該局協助將通報事發地點列入校外聯合巡查熱點</w:t>
      </w:r>
      <w:r w:rsidRPr="00C708FD">
        <w:rPr>
          <w:rFonts w:hAnsi="標楷體" w:hint="eastAsia"/>
        </w:rPr>
        <w:t>，並結合警政機關共同巡查，共同守護學生校外生活安全。</w:t>
      </w:r>
    </w:p>
    <w:p w:rsidR="00453D65" w:rsidRPr="00C708FD" w:rsidRDefault="00453D65" w:rsidP="00453D65">
      <w:pPr>
        <w:pStyle w:val="5"/>
      </w:pPr>
      <w:r w:rsidRPr="00C708FD">
        <w:rPr>
          <w:rFonts w:cs="HiddenHorzOCR" w:hint="eastAsia"/>
        </w:rPr>
        <w:t>案發後之因應措施：</w:t>
      </w:r>
    </w:p>
    <w:p w:rsidR="00E73E1D" w:rsidRPr="00C708FD" w:rsidRDefault="00E73E1D" w:rsidP="00D3693B">
      <w:pPr>
        <w:pStyle w:val="6"/>
      </w:pPr>
      <w:r w:rsidRPr="00C708FD">
        <w:rPr>
          <w:rFonts w:hint="eastAsia"/>
        </w:rPr>
        <w:t>國教署於</w:t>
      </w:r>
      <w:r w:rsidRPr="00C708FD">
        <w:t>112</w:t>
      </w:r>
      <w:r w:rsidRPr="00C708FD">
        <w:rPr>
          <w:rFonts w:hint="eastAsia"/>
        </w:rPr>
        <w:t>年</w:t>
      </w:r>
      <w:r w:rsidRPr="00C708FD">
        <w:t>4</w:t>
      </w:r>
      <w:r w:rsidRPr="00C708FD">
        <w:rPr>
          <w:rFonts w:hint="eastAsia"/>
        </w:rPr>
        <w:t>月</w:t>
      </w:r>
      <w:r w:rsidRPr="00C708FD">
        <w:t>22</w:t>
      </w:r>
      <w:r w:rsidRPr="00C708FD">
        <w:rPr>
          <w:rFonts w:hint="eastAsia"/>
        </w:rPr>
        <w:t>日聯繫新北市教育局持續關注與掌握學校後續追蹤輔導處理情形。</w:t>
      </w:r>
    </w:p>
    <w:p w:rsidR="00D3693B" w:rsidRPr="00C708FD" w:rsidRDefault="00D3693B" w:rsidP="00D3693B">
      <w:pPr>
        <w:pStyle w:val="6"/>
      </w:pPr>
      <w:r w:rsidRPr="00C708FD">
        <w:t>112</w:t>
      </w:r>
      <w:r w:rsidRPr="00C708FD">
        <w:rPr>
          <w:rFonts w:hint="eastAsia"/>
        </w:rPr>
        <w:t>年</w:t>
      </w:r>
      <w:r w:rsidRPr="00C708FD">
        <w:t>4</w:t>
      </w:r>
      <w:r w:rsidRPr="00C708FD">
        <w:rPr>
          <w:rFonts w:hint="eastAsia"/>
        </w:rPr>
        <w:t>月</w:t>
      </w:r>
      <w:r w:rsidRPr="00C708FD">
        <w:t>24</w:t>
      </w:r>
      <w:r w:rsidRPr="00C708FD">
        <w:rPr>
          <w:rFonts w:hint="eastAsia"/>
        </w:rPr>
        <w:t>日新北市教育局立即召開「因應</w:t>
      </w:r>
      <w:r w:rsidRPr="00C708FD">
        <w:rPr>
          <w:rFonts w:hint="eastAsia"/>
        </w:rPr>
        <w:lastRenderedPageBreak/>
        <w:t>媒體報導個案輔導處遇研討會議」，並以</w:t>
      </w:r>
      <w:r w:rsidRPr="00C708FD">
        <w:t>112</w:t>
      </w:r>
      <w:r w:rsidRPr="00C708FD">
        <w:rPr>
          <w:rFonts w:hint="eastAsia"/>
        </w:rPr>
        <w:t>年</w:t>
      </w:r>
      <w:r w:rsidRPr="00C708FD">
        <w:t>5</w:t>
      </w:r>
      <w:r w:rsidRPr="00C708FD">
        <w:rPr>
          <w:rFonts w:hint="eastAsia"/>
        </w:rPr>
        <w:t>月</w:t>
      </w:r>
      <w:r w:rsidRPr="00C708FD">
        <w:t>3</w:t>
      </w:r>
      <w:r w:rsidRPr="00C708FD">
        <w:rPr>
          <w:rFonts w:hint="eastAsia"/>
        </w:rPr>
        <w:t>日新</w:t>
      </w:r>
      <w:proofErr w:type="gramStart"/>
      <w:r w:rsidRPr="00C708FD">
        <w:rPr>
          <w:rFonts w:hint="eastAsia"/>
        </w:rPr>
        <w:t>北教安字第</w:t>
      </w:r>
      <w:r w:rsidRPr="00C708FD">
        <w:t>1120822200</w:t>
      </w:r>
      <w:r w:rsidRPr="00C708FD">
        <w:rPr>
          <w:rFonts w:hint="eastAsia"/>
        </w:rPr>
        <w:t>號函發</w:t>
      </w:r>
      <w:proofErr w:type="gramEnd"/>
      <w:r w:rsidRPr="00C708FD">
        <w:rPr>
          <w:rFonts w:hint="eastAsia"/>
        </w:rPr>
        <w:t>會議紀錄予涉案學校，請學校持續輔導個案，並於每月</w:t>
      </w:r>
      <w:r w:rsidRPr="00C708FD">
        <w:t>30</w:t>
      </w:r>
      <w:r w:rsidRPr="00C708FD">
        <w:rPr>
          <w:rFonts w:hint="eastAsia"/>
        </w:rPr>
        <w:t>日前將輔導處遇辦理情形回報教育局，以利瞭解個案處遇情形。</w:t>
      </w:r>
    </w:p>
    <w:p w:rsidR="00D3693B" w:rsidRPr="00C708FD" w:rsidRDefault="00D3693B" w:rsidP="00D3693B">
      <w:pPr>
        <w:pStyle w:val="6"/>
      </w:pPr>
      <w:r w:rsidRPr="00C708FD">
        <w:rPr>
          <w:rFonts w:hint="eastAsia"/>
        </w:rPr>
        <w:t>國教署</w:t>
      </w:r>
      <w:r w:rsidRPr="00C708FD">
        <w:t>112</w:t>
      </w:r>
      <w:r w:rsidRPr="00C708FD">
        <w:rPr>
          <w:rFonts w:hint="eastAsia"/>
        </w:rPr>
        <w:t>年</w:t>
      </w:r>
      <w:r w:rsidRPr="00C708FD">
        <w:t>4</w:t>
      </w:r>
      <w:r w:rsidRPr="00C708FD">
        <w:rPr>
          <w:rFonts w:hint="eastAsia"/>
        </w:rPr>
        <w:t>月</w:t>
      </w:r>
      <w:r w:rsidRPr="00C708FD">
        <w:t>24</w:t>
      </w:r>
      <w:r w:rsidRPr="00C708FD">
        <w:rPr>
          <w:rFonts w:hint="eastAsia"/>
        </w:rPr>
        <w:t>日確認完成全國</w:t>
      </w:r>
      <w:r w:rsidRPr="00C708FD">
        <w:t>22</w:t>
      </w:r>
      <w:r w:rsidRPr="00C708FD">
        <w:rPr>
          <w:rFonts w:hint="eastAsia"/>
        </w:rPr>
        <w:t>縣市高級中等以下學校</w:t>
      </w:r>
      <w:proofErr w:type="gramStart"/>
      <w:r w:rsidRPr="00C708FD">
        <w:rPr>
          <w:rFonts w:hint="eastAsia"/>
        </w:rPr>
        <w:t>疑</w:t>
      </w:r>
      <w:proofErr w:type="gramEnd"/>
      <w:r w:rsidRPr="00C708FD">
        <w:rPr>
          <w:rFonts w:hint="eastAsia"/>
        </w:rPr>
        <w:t>涉組織犯罪追蹤列管名冊，並於各縣市每季召開「教育單位與警政機關二級窗口聯繫會議」時督導前開管制名冊輔導追蹤辦理情形。</w:t>
      </w:r>
    </w:p>
    <w:p w:rsidR="006672CB" w:rsidRPr="00C708FD" w:rsidRDefault="006672CB" w:rsidP="00D3693B">
      <w:pPr>
        <w:pStyle w:val="6"/>
      </w:pPr>
      <w:r w:rsidRPr="00C708FD">
        <w:rPr>
          <w:rFonts w:hint="eastAsia"/>
        </w:rPr>
        <w:t>國教署以</w:t>
      </w:r>
      <w:r w:rsidRPr="00C708FD">
        <w:t>112</w:t>
      </w:r>
      <w:r w:rsidRPr="00C708FD">
        <w:rPr>
          <w:rFonts w:hint="eastAsia"/>
        </w:rPr>
        <w:t>年</w:t>
      </w:r>
      <w:r w:rsidRPr="00C708FD">
        <w:t>5</w:t>
      </w:r>
      <w:r w:rsidRPr="00C708FD">
        <w:rPr>
          <w:rFonts w:hint="eastAsia"/>
        </w:rPr>
        <w:t>月</w:t>
      </w:r>
      <w:r w:rsidRPr="00C708FD">
        <w:t>12</w:t>
      </w:r>
      <w:r w:rsidRPr="00C708FD">
        <w:rPr>
          <w:rFonts w:hint="eastAsia"/>
        </w:rPr>
        <w:t>日</w:t>
      </w:r>
      <w:proofErr w:type="gramStart"/>
      <w:r w:rsidRPr="00C708FD">
        <w:rPr>
          <w:rFonts w:hint="eastAsia"/>
        </w:rPr>
        <w:t>臺教國署學字</w:t>
      </w:r>
      <w:proofErr w:type="gramEnd"/>
      <w:r w:rsidRPr="00C708FD">
        <w:rPr>
          <w:rFonts w:hint="eastAsia"/>
        </w:rPr>
        <w:t>第</w:t>
      </w:r>
      <w:r w:rsidRPr="00C708FD">
        <w:t>1120063458</w:t>
      </w:r>
      <w:r w:rsidRPr="00C708FD">
        <w:rPr>
          <w:rFonts w:hint="eastAsia"/>
        </w:rPr>
        <w:t>號函請新北市教育局將涉案學生相關</w:t>
      </w:r>
      <w:r w:rsidRPr="00C708FD">
        <w:rPr>
          <w:rFonts w:cs="Yu Gothic" w:hint="eastAsia"/>
        </w:rPr>
        <w:t>輔導</w:t>
      </w:r>
      <w:r w:rsidRPr="00C708FD">
        <w:rPr>
          <w:rFonts w:hint="eastAsia"/>
        </w:rPr>
        <w:t>處遇情形函復國教署，並持續追蹤辦理情況。</w:t>
      </w:r>
    </w:p>
    <w:p w:rsidR="006672CB" w:rsidRPr="00C708FD" w:rsidRDefault="006672CB" w:rsidP="00D3693B">
      <w:pPr>
        <w:pStyle w:val="6"/>
      </w:pPr>
      <w:r w:rsidRPr="00C708FD">
        <w:rPr>
          <w:rFonts w:hint="eastAsia"/>
        </w:rPr>
        <w:t>國教署強化高級中等以下學校學生</w:t>
      </w:r>
      <w:proofErr w:type="gramStart"/>
      <w:r w:rsidRPr="00C708FD">
        <w:rPr>
          <w:rFonts w:hint="eastAsia"/>
        </w:rPr>
        <w:t>疑</w:t>
      </w:r>
      <w:proofErr w:type="gramEnd"/>
      <w:r w:rsidRPr="00C708FD">
        <w:rPr>
          <w:rFonts w:hint="eastAsia"/>
        </w:rPr>
        <w:t>涉不良組織運作機制，列入教育部與警政署第</w:t>
      </w:r>
      <w:r w:rsidRPr="00C708FD">
        <w:t>32</w:t>
      </w:r>
      <w:r w:rsidRPr="00C708FD">
        <w:rPr>
          <w:rFonts w:hint="eastAsia"/>
        </w:rPr>
        <w:t>次定期聯繫會議(</w:t>
      </w:r>
      <w:r w:rsidRPr="00C708FD">
        <w:t>112</w:t>
      </w:r>
      <w:r w:rsidRPr="00C708FD">
        <w:rPr>
          <w:rFonts w:hint="eastAsia"/>
        </w:rPr>
        <w:t>年</w:t>
      </w:r>
      <w:r w:rsidRPr="00C708FD">
        <w:t>6</w:t>
      </w:r>
      <w:r w:rsidRPr="00C708FD">
        <w:rPr>
          <w:rFonts w:hint="eastAsia"/>
        </w:rPr>
        <w:t>月)提案討論，透過教育、警政間橫向合作聯繫加強處遇機制。</w:t>
      </w:r>
    </w:p>
    <w:p w:rsidR="00D3693B" w:rsidRPr="00C708FD" w:rsidRDefault="00D3693B" w:rsidP="00D3693B">
      <w:pPr>
        <w:pStyle w:val="6"/>
      </w:pPr>
      <w:r w:rsidRPr="00C708FD">
        <w:rPr>
          <w:rFonts w:hint="eastAsia"/>
        </w:rPr>
        <w:t>國教署透過全國校長會議(</w:t>
      </w:r>
      <w:r w:rsidRPr="00C708FD">
        <w:t>112</w:t>
      </w:r>
      <w:r w:rsidRPr="00C708FD">
        <w:rPr>
          <w:rFonts w:hint="eastAsia"/>
        </w:rPr>
        <w:t>年</w:t>
      </w:r>
      <w:r w:rsidRPr="00C708FD">
        <w:t>8</w:t>
      </w:r>
      <w:r w:rsidRPr="00C708FD">
        <w:rPr>
          <w:rFonts w:hint="eastAsia"/>
        </w:rPr>
        <w:t>月)、學</w:t>
      </w:r>
      <w:proofErr w:type="gramStart"/>
      <w:r w:rsidRPr="00C708FD">
        <w:rPr>
          <w:rFonts w:hint="eastAsia"/>
        </w:rPr>
        <w:t>務</w:t>
      </w:r>
      <w:proofErr w:type="gramEnd"/>
      <w:r w:rsidRPr="00C708FD">
        <w:rPr>
          <w:rFonts w:hint="eastAsia"/>
        </w:rPr>
        <w:t>主任會議(</w:t>
      </w:r>
      <w:r w:rsidRPr="00C708FD">
        <w:t>112</w:t>
      </w:r>
      <w:r w:rsidRPr="00C708FD">
        <w:rPr>
          <w:rFonts w:hint="eastAsia"/>
        </w:rPr>
        <w:t>年</w:t>
      </w:r>
      <w:r w:rsidRPr="00C708FD">
        <w:t>9</w:t>
      </w:r>
      <w:r w:rsidRPr="00C708FD">
        <w:rPr>
          <w:rFonts w:hint="eastAsia"/>
        </w:rPr>
        <w:t>月、</w:t>
      </w:r>
      <w:r w:rsidRPr="00C708FD">
        <w:t>10</w:t>
      </w:r>
      <w:r w:rsidRPr="00C708FD">
        <w:rPr>
          <w:rFonts w:hint="eastAsia"/>
        </w:rPr>
        <w:t>月)及生輔人員增能研習(</w:t>
      </w:r>
      <w:r w:rsidRPr="00C708FD">
        <w:t>112</w:t>
      </w:r>
      <w:r w:rsidRPr="00C708FD">
        <w:rPr>
          <w:rFonts w:hint="eastAsia"/>
        </w:rPr>
        <w:t>年</w:t>
      </w:r>
      <w:r w:rsidRPr="00C708FD">
        <w:t>8</w:t>
      </w:r>
      <w:r w:rsidRPr="00C708FD">
        <w:rPr>
          <w:rFonts w:hint="eastAsia"/>
        </w:rPr>
        <w:t>月)時機，宣導高級中等以下學校學生疑涉不良組織管考輔導機制，以強化相關防範作為。</w:t>
      </w:r>
    </w:p>
    <w:p w:rsidR="00D3693B" w:rsidRPr="00C708FD" w:rsidRDefault="0038558B" w:rsidP="00DC1048">
      <w:pPr>
        <w:pStyle w:val="4"/>
      </w:pPr>
      <w:r w:rsidRPr="00C708FD">
        <w:rPr>
          <w:rFonts w:hint="eastAsia"/>
        </w:rPr>
        <w:t>行政院與司法</w:t>
      </w:r>
      <w:proofErr w:type="gramStart"/>
      <w:r w:rsidRPr="00C708FD">
        <w:rPr>
          <w:rFonts w:hint="eastAsia"/>
        </w:rPr>
        <w:t>院會銜訂定</w:t>
      </w:r>
      <w:proofErr w:type="gramEnd"/>
      <w:r w:rsidRPr="00C708FD">
        <w:rPr>
          <w:rFonts w:hint="eastAsia"/>
        </w:rPr>
        <w:t>發布「少年偏差行為預防及輔導辦法」後，教育部參與或督導之作為：</w:t>
      </w:r>
    </w:p>
    <w:p w:rsidR="0038558B" w:rsidRPr="00C708FD" w:rsidRDefault="0038558B" w:rsidP="0038558B">
      <w:pPr>
        <w:pStyle w:val="5"/>
      </w:pPr>
      <w:r w:rsidRPr="00C708FD">
        <w:rPr>
          <w:rFonts w:hint="eastAsia"/>
        </w:rPr>
        <w:t>為利各地方政府教育、社政、警政等第一線人員以及其他相關基層人員，遇有兒童及少年偏差行為案件時，能儘速依該辦法以及其他相關兒童與少年之輔導、保護法規或機制妥善處理之需要，行政院責成教育部、衛生福利部、警</w:t>
      </w:r>
      <w:r w:rsidRPr="00C708FD">
        <w:rPr>
          <w:rFonts w:hint="eastAsia"/>
        </w:rPr>
        <w:lastRenderedPageBreak/>
        <w:t>政署</w:t>
      </w:r>
      <w:proofErr w:type="gramStart"/>
      <w:r w:rsidRPr="00C708FD">
        <w:rPr>
          <w:rFonts w:hint="eastAsia"/>
        </w:rPr>
        <w:t>研</w:t>
      </w:r>
      <w:proofErr w:type="gramEnd"/>
      <w:r w:rsidRPr="00C708FD">
        <w:rPr>
          <w:rFonts w:hint="eastAsia"/>
        </w:rPr>
        <w:t>擬「兒童及少年偏差行為預防及輔導轉銜流程圖」，確認轉銜流程。</w:t>
      </w:r>
    </w:p>
    <w:p w:rsidR="0038558B" w:rsidRPr="00C708FD" w:rsidRDefault="0038558B" w:rsidP="0038558B">
      <w:pPr>
        <w:pStyle w:val="5"/>
      </w:pPr>
      <w:r w:rsidRPr="00C708FD">
        <w:rPr>
          <w:rFonts w:hint="eastAsia"/>
        </w:rPr>
        <w:t>教育部已於相關會議(如全國學生輔導諮商中心暨業務科科長聯繫會議)中持續宣導，請各地方政府確實掌握</w:t>
      </w:r>
      <w:proofErr w:type="gramStart"/>
      <w:r w:rsidRPr="00C708FD">
        <w:rPr>
          <w:rFonts w:hint="eastAsia"/>
        </w:rPr>
        <w:t>個案追輔情形</w:t>
      </w:r>
      <w:proofErr w:type="gramEnd"/>
      <w:r w:rsidRPr="00C708FD">
        <w:rPr>
          <w:rFonts w:hint="eastAsia"/>
        </w:rPr>
        <w:t>外，建立跨局處、跨系統相關聯繫機制，加強統籌調派專業輔導人力資源，使專業輔導人員可以有效運用資源、發揮職能、因應各種情況，以完善偏差行為兒少預防與輔導機制。</w:t>
      </w:r>
    </w:p>
    <w:p w:rsidR="0038558B" w:rsidRPr="00C708FD" w:rsidRDefault="0038558B" w:rsidP="0038558B">
      <w:pPr>
        <w:pStyle w:val="5"/>
      </w:pPr>
      <w:r w:rsidRPr="00C708FD">
        <w:rPr>
          <w:rFonts w:hint="eastAsia"/>
        </w:rPr>
        <w:t>教育部為強化各地方政府輔導工作之推動，已將「少事法修法後，針對偏差兒少建立跨網絡資源連結與後續追蹤機制」納入地方教育事務視導工作訪視項目，並於視導中請各地方政府依據「少年偏差行為預防及輔導辦法」及「少年偏差行為預防及輔導轉銜流程圖」建立完善輔導制度，並與少輔會建立密切合作機制。</w:t>
      </w:r>
    </w:p>
    <w:p w:rsidR="00A87C15" w:rsidRPr="00C708FD" w:rsidRDefault="00A87C15" w:rsidP="00A87C15">
      <w:pPr>
        <w:pStyle w:val="4"/>
      </w:pPr>
      <w:r w:rsidRPr="00C708FD">
        <w:rPr>
          <w:rFonts w:hint="eastAsia"/>
        </w:rPr>
        <w:t>專家學者於諮詢時提供之意見摘要如下：</w:t>
      </w:r>
    </w:p>
    <w:p w:rsidR="00A87C15" w:rsidRPr="00C708FD" w:rsidRDefault="00A87C15" w:rsidP="00A87C15">
      <w:pPr>
        <w:pStyle w:val="5"/>
      </w:pPr>
      <w:r w:rsidRPr="00C708FD">
        <w:rPr>
          <w:rFonts w:hint="eastAsia"/>
        </w:rPr>
        <w:t>有關少年入幫之可能原因或誘因</w:t>
      </w:r>
      <w:r w:rsidRPr="00C708FD">
        <w:rPr>
          <w:rFonts w:hAnsi="標楷體" w:hint="eastAsia"/>
        </w:rPr>
        <w:t>：</w:t>
      </w:r>
    </w:p>
    <w:p w:rsidR="00A87C15" w:rsidRPr="00C708FD" w:rsidRDefault="00A87C15" w:rsidP="00A87C15">
      <w:pPr>
        <w:pStyle w:val="6"/>
      </w:pPr>
      <w:r w:rsidRPr="00C708FD">
        <w:rPr>
          <w:rFonts w:hint="eastAsia"/>
        </w:rPr>
        <w:t>首先要思考少年入幫是一種職業還是權力靠攏，如果是一種職業的選擇，中輟生來學校的時間較少，較高比例是私校學生，私校的校園輔導本來就不是很穩固或</w:t>
      </w:r>
      <w:proofErr w:type="gramStart"/>
      <w:r w:rsidRPr="00C708FD">
        <w:rPr>
          <w:rFonts w:hint="eastAsia"/>
        </w:rPr>
        <w:t>健全，</w:t>
      </w:r>
      <w:proofErr w:type="gramEnd"/>
      <w:r w:rsidRPr="00C708FD">
        <w:rPr>
          <w:rFonts w:hint="eastAsia"/>
        </w:rPr>
        <w:t>專業人員的比例也很低，校園缺乏社福人員，也缺少跨系統知識的專業人員，如果跨系統知識薄弱或操作性不足的話，在這些孩子在離校前，對於脆弱家庭的風險不容易去預防或直接協助。其次是少年在時下有功利價值，一般工作時薪178元，還是到提款機前按鈕，做高風險高報酬的工作，而且風險對少年</w:t>
      </w:r>
      <w:proofErr w:type="gramStart"/>
      <w:r w:rsidRPr="00C708FD">
        <w:rPr>
          <w:rFonts w:hint="eastAsia"/>
        </w:rPr>
        <w:t>來說是個</w:t>
      </w:r>
      <w:proofErr w:type="gramEnd"/>
      <w:r w:rsidRPr="00C708FD">
        <w:rPr>
          <w:rFonts w:hint="eastAsia"/>
        </w:rPr>
        <w:t>機率問題，可能認為不會那麼倒楣被</w:t>
      </w:r>
      <w:r w:rsidRPr="00C708FD">
        <w:rPr>
          <w:rFonts w:hint="eastAsia"/>
        </w:rPr>
        <w:lastRenderedPageBreak/>
        <w:t>抓，在幫派有制度地培訓下，還有教</w:t>
      </w:r>
      <w:proofErr w:type="gramStart"/>
      <w:r w:rsidRPr="00C708FD">
        <w:rPr>
          <w:rFonts w:hint="eastAsia"/>
        </w:rPr>
        <w:t>戰守</w:t>
      </w:r>
      <w:proofErr w:type="gramEnd"/>
      <w:r w:rsidRPr="00C708FD">
        <w:rPr>
          <w:rFonts w:hint="eastAsia"/>
        </w:rPr>
        <w:t>冊，這可能就是少年願意放手一搏的起點，幫派企業化靠利益分潤，而且少年犯罪</w:t>
      </w:r>
      <w:proofErr w:type="gramStart"/>
      <w:r w:rsidRPr="00C708FD">
        <w:rPr>
          <w:rFonts w:hint="eastAsia"/>
        </w:rPr>
        <w:t>紀錄可塗</w:t>
      </w:r>
      <w:proofErr w:type="gramEnd"/>
      <w:r w:rsidRPr="00C708FD">
        <w:rPr>
          <w:rFonts w:hint="eastAsia"/>
        </w:rPr>
        <w:t>銷，可吸引更多的少年投入，另外有些少年從觀護所出來後沒工作，沒地方去，只好再回到幫派這個群體。如果幫派不是一種職業，少年在校園可能遭受</w:t>
      </w:r>
      <w:proofErr w:type="gramStart"/>
      <w:r w:rsidRPr="00C708FD">
        <w:rPr>
          <w:rFonts w:hint="eastAsia"/>
        </w:rPr>
        <w:t>霸凌，</w:t>
      </w:r>
      <w:proofErr w:type="gramEnd"/>
      <w:r w:rsidRPr="00C708FD">
        <w:rPr>
          <w:rFonts w:hint="eastAsia"/>
        </w:rPr>
        <w:t>或個人、家庭有些急難需求，向這些組織靠攏，雖然現在有未升學的職業試探管道，但參與人數非常少，孩子在畢業前不見得有職業定向探索的機會，畢業後因個人能力不足或家庭需要之下從事入門門檻較低的工作而向幫派靠攏。有些少年可能是智能障礙，在利誘或權力迫使之下，也會尋求依附或靠攏。許多孩子去親近幫派組織只是為了尋求溫飽或一個便當，這在實務上很常看到，也可能是尋求替代性保護，甚至還有孩子認為這是向上翻轉的機會，也有些家庭管不住這些孩子，轉而請託幫派代管。以上是實務上發現的狀況。</w:t>
      </w:r>
    </w:p>
    <w:p w:rsidR="00A87C15" w:rsidRPr="00C708FD" w:rsidRDefault="00A87C15" w:rsidP="00A87C15">
      <w:pPr>
        <w:pStyle w:val="6"/>
      </w:pPr>
      <w:r w:rsidRPr="00C708FD">
        <w:rPr>
          <w:rFonts w:hint="eastAsia"/>
        </w:rPr>
        <w:t>現在談幫派防制有幾個問題，第一是「沒有圖像」，現在少年不會被認定為幫派份子，因為未滿18歲，只</w:t>
      </w:r>
      <w:proofErr w:type="gramStart"/>
      <w:r w:rsidRPr="00C708FD">
        <w:rPr>
          <w:rFonts w:hint="eastAsia"/>
        </w:rPr>
        <w:t>會說是被</w:t>
      </w:r>
      <w:proofErr w:type="gramEnd"/>
      <w:r w:rsidRPr="00C708FD">
        <w:rPr>
          <w:rFonts w:hint="eastAsia"/>
        </w:rPr>
        <w:t>幫派利用，我們看統計數字，真的加入幫派的少年是少的，像有的宮廟裡面有很多少年，但不會被列為幫派，</w:t>
      </w:r>
      <w:proofErr w:type="gramStart"/>
      <w:r w:rsidRPr="00C708FD">
        <w:rPr>
          <w:rFonts w:hint="eastAsia"/>
        </w:rPr>
        <w:t>只說是</w:t>
      </w:r>
      <w:proofErr w:type="gramEnd"/>
      <w:r w:rsidRPr="00C708FD">
        <w:rPr>
          <w:rFonts w:hint="eastAsia"/>
        </w:rPr>
        <w:t>個聚合組織。大部分少年一開始只是參加在地組織，不過時間久了會認識更大</w:t>
      </w:r>
      <w:proofErr w:type="gramStart"/>
      <w:r w:rsidRPr="00C708FD">
        <w:rPr>
          <w:rFonts w:hint="eastAsia"/>
        </w:rPr>
        <w:t>咖</w:t>
      </w:r>
      <w:proofErr w:type="gramEnd"/>
      <w:r w:rsidRPr="00C708FD">
        <w:rPr>
          <w:rFonts w:hint="eastAsia"/>
        </w:rPr>
        <w:t>的，可能就會加入幫派。還有「幫派</w:t>
      </w:r>
      <w:proofErr w:type="gramStart"/>
      <w:r w:rsidRPr="00C708FD">
        <w:rPr>
          <w:rFonts w:hint="eastAsia"/>
        </w:rPr>
        <w:t>網紅化</w:t>
      </w:r>
      <w:proofErr w:type="gramEnd"/>
      <w:r w:rsidRPr="00C708FD">
        <w:rPr>
          <w:rFonts w:hint="eastAsia"/>
        </w:rPr>
        <w:t>」，有的會在Y</w:t>
      </w:r>
      <w:r w:rsidRPr="00C708FD">
        <w:t>ouTube</w:t>
      </w:r>
      <w:r w:rsidRPr="00C708FD">
        <w:rPr>
          <w:rFonts w:hint="eastAsia"/>
        </w:rPr>
        <w:t>或媒體上炫耀，像最近處理花蓮孩子吸毒的問題，發現部落的孩子很崇拜，因為可以提供他們吃、穿、用，</w:t>
      </w:r>
      <w:r w:rsidRPr="00C708FD">
        <w:rPr>
          <w:rFonts w:hint="eastAsia"/>
        </w:rPr>
        <w:lastRenderedPageBreak/>
        <w:t>能滿足青少年，誰可以給他未來，誰就是大哥。還有「幫派行銷」，</w:t>
      </w:r>
      <w:proofErr w:type="gramStart"/>
      <w:r w:rsidRPr="00C708FD">
        <w:rPr>
          <w:rFonts w:hint="eastAsia"/>
        </w:rPr>
        <w:t>刺龍刺鳳</w:t>
      </w:r>
      <w:proofErr w:type="gramEnd"/>
      <w:r w:rsidRPr="00C708FD">
        <w:rPr>
          <w:rFonts w:hint="eastAsia"/>
        </w:rPr>
        <w:t>的當</w:t>
      </w:r>
      <w:r w:rsidRPr="00C708FD">
        <w:t>YouTuber</w:t>
      </w:r>
      <w:proofErr w:type="gramStart"/>
      <w:r w:rsidRPr="00C708FD">
        <w:rPr>
          <w:rFonts w:hint="eastAsia"/>
        </w:rPr>
        <w:t>網</w:t>
      </w:r>
      <w:proofErr w:type="gramEnd"/>
      <w:r w:rsidRPr="00C708FD">
        <w:rPr>
          <w:rFonts w:hint="eastAsia"/>
        </w:rPr>
        <w:t>紅，聯合國有要求對於青少年尤其未滿16歲的不能用過來人做宣導，因為孩子的認知會錯誤，現在有找一些過來人宣導黑道不可走，例如有位牧師說我以前也是</w:t>
      </w:r>
      <w:proofErr w:type="gramStart"/>
      <w:r w:rsidRPr="00C708FD">
        <w:rPr>
          <w:rFonts w:hint="eastAsia"/>
        </w:rPr>
        <w:t>刺龍刺</w:t>
      </w:r>
      <w:proofErr w:type="gramEnd"/>
      <w:r w:rsidRPr="00C708FD">
        <w:rPr>
          <w:rFonts w:hint="eastAsia"/>
        </w:rPr>
        <w:t>鳳、吸食海洛英，40歲才轉為牧師，結果有位受關懷的學生就說我40歲那年一定會改變，現在我才17歲，還可以玩個20幾年。所以</w:t>
      </w:r>
      <w:proofErr w:type="gramStart"/>
      <w:r w:rsidRPr="00C708FD">
        <w:rPr>
          <w:rFonts w:hint="eastAsia"/>
        </w:rPr>
        <w:t>網紅型</w:t>
      </w:r>
      <w:proofErr w:type="gramEnd"/>
      <w:r w:rsidRPr="00C708FD">
        <w:rPr>
          <w:rFonts w:hint="eastAsia"/>
        </w:rPr>
        <w:t>或宣導型的人可能會造成孩子認知偏頗。現在數位世代，會在網路上尋求認同。</w:t>
      </w:r>
    </w:p>
    <w:p w:rsidR="00A87C15" w:rsidRPr="00C708FD" w:rsidRDefault="00A87C15" w:rsidP="00A87C15">
      <w:pPr>
        <w:pStyle w:val="5"/>
      </w:pPr>
      <w:r w:rsidRPr="00C708FD">
        <w:rPr>
          <w:rFonts w:hint="eastAsia"/>
        </w:rPr>
        <w:t>有關三級輔導實務運作</w:t>
      </w:r>
      <w:r w:rsidR="00ED53F8" w:rsidRPr="00C708FD">
        <w:rPr>
          <w:rFonts w:hint="eastAsia"/>
        </w:rPr>
        <w:t>面臨</w:t>
      </w:r>
      <w:r w:rsidRPr="00C708FD">
        <w:rPr>
          <w:rFonts w:hint="eastAsia"/>
        </w:rPr>
        <w:t>之問題</w:t>
      </w:r>
      <w:r w:rsidRPr="00C708FD">
        <w:rPr>
          <w:rFonts w:hAnsi="標楷體" w:hint="eastAsia"/>
        </w:rPr>
        <w:t>：</w:t>
      </w:r>
    </w:p>
    <w:p w:rsidR="00A87C15" w:rsidRPr="00C708FD" w:rsidRDefault="00A87C15" w:rsidP="00A87C15">
      <w:pPr>
        <w:pStyle w:val="6"/>
      </w:pPr>
      <w:r w:rsidRPr="00C708FD">
        <w:rPr>
          <w:rFonts w:hint="eastAsia"/>
        </w:rPr>
        <w:t>二級輔導轉三級，各地方政府的情形不太一樣，以新北市為例，專業人員會設置學校社工師及心理師，新北市防治中心的比率相對較高，有些縣市的比率較低，自然在校園內沒有辦法形成專業分工，有許多孩子在校園還有學生身分時，輔導工作就很難介入，更何況畢業後脫離校園，社區少年服務中心面臨到人力不足的問題，輔導工作很難去預防、介入或銜接。</w:t>
      </w:r>
    </w:p>
    <w:p w:rsidR="00A87C15" w:rsidRPr="00C708FD" w:rsidRDefault="00A87C15" w:rsidP="00A87C15">
      <w:pPr>
        <w:pStyle w:val="6"/>
      </w:pPr>
      <w:r w:rsidRPr="00C708FD">
        <w:rPr>
          <w:rFonts w:hint="eastAsia"/>
        </w:rPr>
        <w:t>目前校園輔導比較重視的是主動性個案，也就是有意願的孩子或家長可以接受到輔導服務，但有更多脆弱家庭或被侵害的孩子不會主動求助。校園多增聘學校社工師，可銜接下一個校園或職</w:t>
      </w:r>
      <w:proofErr w:type="gramStart"/>
      <w:r w:rsidRPr="00C708FD">
        <w:rPr>
          <w:rFonts w:hint="eastAsia"/>
        </w:rPr>
        <w:t>涯</w:t>
      </w:r>
      <w:proofErr w:type="gramEnd"/>
      <w:r w:rsidRPr="00C708FD">
        <w:rPr>
          <w:rFonts w:hint="eastAsia"/>
        </w:rPr>
        <w:t>。</w:t>
      </w:r>
    </w:p>
    <w:p w:rsidR="00A87C15" w:rsidRPr="00C708FD" w:rsidRDefault="00A87C15" w:rsidP="00A87C15">
      <w:pPr>
        <w:pStyle w:val="6"/>
      </w:pPr>
      <w:r w:rsidRPr="00C708FD">
        <w:rPr>
          <w:rFonts w:hint="eastAsia"/>
        </w:rPr>
        <w:t>學生輔導法未落實，孩子有行為偏差時是初級預防，由學校老師輔導，12歲以下孩子犯罪由國小老師負責，但國小老師是包班制，沒有輔導的相關知能。從初級轉為二級時會</w:t>
      </w:r>
      <w:proofErr w:type="gramStart"/>
      <w:r w:rsidRPr="00C708FD">
        <w:rPr>
          <w:rFonts w:hint="eastAsia"/>
        </w:rPr>
        <w:lastRenderedPageBreak/>
        <w:t>有專輔老師</w:t>
      </w:r>
      <w:proofErr w:type="gramEnd"/>
      <w:r w:rsidRPr="00C708FD">
        <w:rPr>
          <w:rFonts w:hint="eastAsia"/>
        </w:rPr>
        <w:t>，對孩子進行專業輔導，如果孩子有的接觸幫派，</w:t>
      </w:r>
      <w:proofErr w:type="gramStart"/>
      <w:r w:rsidRPr="00C708FD">
        <w:rPr>
          <w:rFonts w:hint="eastAsia"/>
        </w:rPr>
        <w:t>專輔老</w:t>
      </w:r>
      <w:proofErr w:type="gramEnd"/>
      <w:r w:rsidRPr="00C708FD">
        <w:rPr>
          <w:rFonts w:hint="eastAsia"/>
        </w:rPr>
        <w:t>師沒辦法就要轉三級。有的縣市要求需要二級輔導6次以上而且無效才能轉三級，等於要承認自己二級輔導失敗，而且不接受外面組織的轉</w:t>
      </w:r>
      <w:proofErr w:type="gramStart"/>
      <w:r w:rsidRPr="00C708FD">
        <w:rPr>
          <w:rFonts w:hint="eastAsia"/>
        </w:rPr>
        <w:t>介</w:t>
      </w:r>
      <w:proofErr w:type="gramEnd"/>
      <w:r w:rsidRPr="00C708FD">
        <w:rPr>
          <w:rFonts w:hint="eastAsia"/>
        </w:rPr>
        <w:t>，只接受二級的轉介。三級設心理師，很多孩子是受環境影響，但心理師輔導的是孩子的內在，社工與心理師要</w:t>
      </w:r>
      <w:proofErr w:type="gramStart"/>
      <w:r w:rsidRPr="00C708FD">
        <w:rPr>
          <w:rFonts w:hint="eastAsia"/>
        </w:rPr>
        <w:t>併</w:t>
      </w:r>
      <w:proofErr w:type="gramEnd"/>
      <w:r w:rsidRPr="00C708FD">
        <w:rPr>
          <w:rFonts w:hint="eastAsia"/>
        </w:rPr>
        <w:t>存。有些孩子是被兒</w:t>
      </w:r>
      <w:proofErr w:type="gramStart"/>
      <w:r w:rsidRPr="00C708FD">
        <w:rPr>
          <w:rFonts w:hint="eastAsia"/>
        </w:rPr>
        <w:t>虐</w:t>
      </w:r>
      <w:proofErr w:type="gramEnd"/>
      <w:r w:rsidRPr="00C708FD">
        <w:rPr>
          <w:rFonts w:hint="eastAsia"/>
        </w:rPr>
        <w:t>的，要虐待他的爸爸簽同意書讓孩子接受輔導可能嗎？所以學生輔導法三級失衡，未與其他</w:t>
      </w:r>
      <w:proofErr w:type="gramStart"/>
      <w:r w:rsidRPr="00C708FD">
        <w:rPr>
          <w:rFonts w:hint="eastAsia"/>
        </w:rPr>
        <w:t>網絡架接</w:t>
      </w:r>
      <w:proofErr w:type="gramEnd"/>
      <w:r w:rsidRPr="00C708FD">
        <w:rPr>
          <w:rFonts w:hint="eastAsia"/>
        </w:rPr>
        <w:t>，</w:t>
      </w:r>
      <w:r w:rsidR="00ED53F8" w:rsidRPr="00C708FD">
        <w:rPr>
          <w:rFonts w:hint="eastAsia"/>
        </w:rPr>
        <w:t>過於</w:t>
      </w:r>
      <w:r w:rsidRPr="00C708FD">
        <w:rPr>
          <w:rFonts w:hint="eastAsia"/>
        </w:rPr>
        <w:t>偏向心理</w:t>
      </w:r>
      <w:r w:rsidR="00ED53F8" w:rsidRPr="00C708FD">
        <w:rPr>
          <w:rFonts w:hint="eastAsia"/>
        </w:rPr>
        <w:t>而</w:t>
      </w:r>
      <w:r w:rsidRPr="00C708FD">
        <w:rPr>
          <w:rFonts w:hint="eastAsia"/>
        </w:rPr>
        <w:t>忽略環境。</w:t>
      </w:r>
    </w:p>
    <w:p w:rsidR="00F00C26" w:rsidRPr="00C708FD" w:rsidRDefault="00F00C26" w:rsidP="00F00C26">
      <w:pPr>
        <w:pStyle w:val="3"/>
        <w:rPr>
          <w:b/>
        </w:rPr>
      </w:pPr>
      <w:r w:rsidRPr="00C708FD">
        <w:rPr>
          <w:rFonts w:hint="eastAsia"/>
          <w:b/>
        </w:rPr>
        <w:t>另「少年輔導委員會設置及輔導實施辦法」</w:t>
      </w:r>
      <w:r w:rsidR="00E73E1D" w:rsidRPr="00C708FD">
        <w:rPr>
          <w:rStyle w:val="aff2"/>
          <w:b/>
        </w:rPr>
        <w:footnoteReference w:id="11"/>
      </w:r>
      <w:r w:rsidRPr="00C708FD">
        <w:rPr>
          <w:rFonts w:hint="eastAsia"/>
          <w:b/>
        </w:rPr>
        <w:t>自112年7月1日起實施「行政先行、司法後盾」新制</w:t>
      </w:r>
      <w:r w:rsidR="008D05E2" w:rsidRPr="00C708FD">
        <w:rPr>
          <w:rFonts w:hAnsi="標楷體" w:hint="eastAsia"/>
          <w:b/>
        </w:rPr>
        <w:t>：</w:t>
      </w:r>
    </w:p>
    <w:p w:rsidR="00A57BE5" w:rsidRPr="00C708FD" w:rsidRDefault="00A57BE5" w:rsidP="008D05E2">
      <w:pPr>
        <w:pStyle w:val="4"/>
      </w:pPr>
      <w:r w:rsidRPr="00C708FD">
        <w:rPr>
          <w:rFonts w:hint="eastAsia"/>
        </w:rPr>
        <w:t>警政署說明：</w:t>
      </w:r>
    </w:p>
    <w:p w:rsidR="008D05E2" w:rsidRPr="00C708FD" w:rsidRDefault="008D05E2" w:rsidP="00A57BE5">
      <w:pPr>
        <w:pStyle w:val="5"/>
      </w:pPr>
      <w:r w:rsidRPr="00C708FD">
        <w:t>112</w:t>
      </w:r>
      <w:r w:rsidRPr="00C708FD">
        <w:rPr>
          <w:rFonts w:hint="eastAsia"/>
        </w:rPr>
        <w:t>年</w:t>
      </w:r>
      <w:r w:rsidRPr="00C708FD">
        <w:t>7</w:t>
      </w:r>
      <w:r w:rsidRPr="00C708FD">
        <w:rPr>
          <w:rFonts w:hint="eastAsia"/>
        </w:rPr>
        <w:t>月</w:t>
      </w:r>
      <w:r w:rsidRPr="00C708FD">
        <w:t>1</w:t>
      </w:r>
      <w:r w:rsidRPr="00C708FD">
        <w:rPr>
          <w:rFonts w:hint="eastAsia"/>
        </w:rPr>
        <w:t>日起，</w:t>
      </w:r>
      <w:proofErr w:type="gramStart"/>
      <w:r w:rsidRPr="00C708FD">
        <w:rPr>
          <w:rFonts w:hint="eastAsia"/>
        </w:rPr>
        <w:t>曝險少年</w:t>
      </w:r>
      <w:proofErr w:type="gramEnd"/>
      <w:r w:rsidRPr="00C708FD">
        <w:rPr>
          <w:rFonts w:hint="eastAsia"/>
        </w:rPr>
        <w:t>之處理機制修正為行政先行模式，由少輔會先行</w:t>
      </w:r>
      <w:proofErr w:type="gramStart"/>
      <w:r w:rsidRPr="00C708FD">
        <w:rPr>
          <w:rFonts w:hint="eastAsia"/>
        </w:rPr>
        <w:t>整合曝險少</w:t>
      </w:r>
      <w:proofErr w:type="gramEnd"/>
      <w:r w:rsidRPr="00C708FD">
        <w:rPr>
          <w:rFonts w:hint="eastAsia"/>
        </w:rPr>
        <w:t>年所需之福利、教育、心理等相關資源，提供適當期間之輔導，避免未觸法</w:t>
      </w:r>
      <w:proofErr w:type="gramStart"/>
      <w:r w:rsidRPr="00C708FD">
        <w:rPr>
          <w:rFonts w:hint="eastAsia"/>
        </w:rPr>
        <w:t>之曝險少</w:t>
      </w:r>
      <w:proofErr w:type="gramEnd"/>
      <w:r w:rsidRPr="00C708FD">
        <w:rPr>
          <w:rFonts w:hint="eastAsia"/>
        </w:rPr>
        <w:t>年過早進入司法程序，達成保障少年最佳利益之目的。行政院因此責成警政署建立少輔會行政先行輔導模式，期能強化少輔會經驗與輔導專業。</w:t>
      </w:r>
      <w:r w:rsidR="00A57BE5" w:rsidRPr="00C708FD">
        <w:rPr>
          <w:rFonts w:hint="eastAsia"/>
        </w:rPr>
        <w:t>警政機關知悉或發現少年有相關行為，包括偏差行為、</w:t>
      </w:r>
      <w:proofErr w:type="gramStart"/>
      <w:r w:rsidR="00A57BE5" w:rsidRPr="00C708FD">
        <w:rPr>
          <w:rFonts w:hint="eastAsia"/>
        </w:rPr>
        <w:t>曝險行為</w:t>
      </w:r>
      <w:proofErr w:type="gramEnd"/>
      <w:r w:rsidR="00A57BE5" w:rsidRPr="00C708FD">
        <w:rPr>
          <w:rFonts w:hint="eastAsia"/>
        </w:rPr>
        <w:t>、觸法行為等相關態樣，應即時勸導制止，並依</w:t>
      </w:r>
      <w:r w:rsidR="00A57BE5" w:rsidRPr="00C708FD">
        <w:rPr>
          <w:rFonts w:hAnsi="標楷體" w:hint="eastAsia"/>
        </w:rPr>
        <w:t>「</w:t>
      </w:r>
      <w:r w:rsidR="00A57BE5" w:rsidRPr="00C708FD">
        <w:rPr>
          <w:rFonts w:hint="eastAsia"/>
        </w:rPr>
        <w:t>少年偏差行為預防及輔導辦法</w:t>
      </w:r>
      <w:r w:rsidR="00A57BE5" w:rsidRPr="00C708FD">
        <w:rPr>
          <w:rFonts w:hAnsi="標楷體" w:hint="eastAsia"/>
        </w:rPr>
        <w:t>」</w:t>
      </w:r>
      <w:r w:rsidR="00A57BE5" w:rsidRPr="00C708FD">
        <w:rPr>
          <w:rFonts w:hint="eastAsia"/>
        </w:rPr>
        <w:t>分別通知或移送權責機關。</w:t>
      </w:r>
    </w:p>
    <w:p w:rsidR="008D05E2" w:rsidRPr="00C708FD" w:rsidRDefault="008D05E2" w:rsidP="00A57BE5">
      <w:pPr>
        <w:pStyle w:val="5"/>
        <w:rPr>
          <w:szCs w:val="32"/>
        </w:rPr>
      </w:pPr>
      <w:r w:rsidRPr="00C708FD">
        <w:rPr>
          <w:rFonts w:hint="eastAsia"/>
        </w:rPr>
        <w:t>行政院有關「預防兒童及少年犯罪方案」因應少事法修正，將原幕僚機關法務部調整為內政部，有關內容亦刻正與專家學者及各部會</w:t>
      </w:r>
      <w:proofErr w:type="gramStart"/>
      <w:r w:rsidRPr="00C708FD">
        <w:rPr>
          <w:rFonts w:hint="eastAsia"/>
        </w:rPr>
        <w:t>研</w:t>
      </w:r>
      <w:proofErr w:type="gramEnd"/>
      <w:r w:rsidRPr="00C708FD">
        <w:rPr>
          <w:rFonts w:hint="eastAsia"/>
        </w:rPr>
        <w:t>議</w:t>
      </w:r>
      <w:r w:rsidRPr="00C708FD">
        <w:rPr>
          <w:rFonts w:hint="eastAsia"/>
        </w:rPr>
        <w:lastRenderedPageBreak/>
        <w:t>中，希望透過此方案強化少輔會量能，顯見少輔會係作為「少年犯罪預防」之權責單位，有別於其他輔導系統，著重之重點在於事前預防，希望能透過及早、密集之介入，即時發現少年之「求救訊號」，避免更嚴重之事態發生，並將研議有關考核指標落實追蹤相關成效。</w:t>
      </w:r>
      <w:r w:rsidR="00A57BE5" w:rsidRPr="00C708FD">
        <w:rPr>
          <w:rFonts w:hint="eastAsia"/>
        </w:rPr>
        <w:t>因新制上路迄今僅數月，許多現行跨網絡之任務編組的合作模式都仍待</w:t>
      </w:r>
      <w:proofErr w:type="gramStart"/>
      <w:r w:rsidR="00A57BE5" w:rsidRPr="00C708FD">
        <w:rPr>
          <w:rFonts w:hint="eastAsia"/>
        </w:rPr>
        <w:t>釐</w:t>
      </w:r>
      <w:proofErr w:type="gramEnd"/>
      <w:r w:rsidR="00A57BE5" w:rsidRPr="00C708FD">
        <w:rPr>
          <w:rFonts w:hint="eastAsia"/>
        </w:rPr>
        <w:t>清及討論，行政院亦密切關注少輔會</w:t>
      </w:r>
      <w:proofErr w:type="gramStart"/>
      <w:r w:rsidR="00A57BE5" w:rsidRPr="00C708FD">
        <w:rPr>
          <w:rFonts w:hint="eastAsia"/>
        </w:rPr>
        <w:t>與各網</w:t>
      </w:r>
      <w:proofErr w:type="gramEnd"/>
      <w:r w:rsidR="00A57BE5" w:rsidRPr="00C708FD">
        <w:rPr>
          <w:rFonts w:hint="eastAsia"/>
        </w:rPr>
        <w:t>絡體系間之關聯，警政署亦將依行政院指示滾動式修正，並透過相關共識營等會議蒐集及整合意見，期能讓新制運作順暢。</w:t>
      </w:r>
    </w:p>
    <w:p w:rsidR="00A57BE5" w:rsidRPr="00C708FD" w:rsidRDefault="00A57BE5" w:rsidP="00A57BE5">
      <w:pPr>
        <w:pStyle w:val="5"/>
        <w:rPr>
          <w:szCs w:val="32"/>
        </w:rPr>
      </w:pPr>
      <w:r w:rsidRPr="00C708FD">
        <w:rPr>
          <w:rFonts w:hint="eastAsia"/>
          <w:szCs w:val="48"/>
        </w:rPr>
        <w:t>為使各直轄市、縣(市)少輔會落實「少年輔導委員會設置及輔導實施辦法」，依據少輔會得採取或協助辦理事項，</w:t>
      </w:r>
      <w:proofErr w:type="gramStart"/>
      <w:r w:rsidRPr="00C708FD">
        <w:rPr>
          <w:rFonts w:hint="eastAsia"/>
          <w:szCs w:val="48"/>
        </w:rPr>
        <w:t>整合曝險少年</w:t>
      </w:r>
      <w:proofErr w:type="gramEnd"/>
      <w:r w:rsidRPr="00C708FD">
        <w:rPr>
          <w:rFonts w:hint="eastAsia"/>
          <w:szCs w:val="48"/>
        </w:rPr>
        <w:t>資料處理流程及表單，擴充原少年犯罪防制系統之少年輔導功能，以作為每年度工作報告及預防少年犯罪策略之依據。警政署爭取透過社會安全網經費擴充原有電子系統，刻正建置中。</w:t>
      </w:r>
    </w:p>
    <w:p w:rsidR="00A57BE5" w:rsidRPr="00C708FD" w:rsidRDefault="00A57BE5" w:rsidP="00A57BE5">
      <w:pPr>
        <w:pStyle w:val="5"/>
        <w:rPr>
          <w:szCs w:val="32"/>
        </w:rPr>
      </w:pPr>
      <w:r w:rsidRPr="00C708FD">
        <w:rPr>
          <w:rFonts w:hAnsi="標楷體" w:hint="eastAsia"/>
          <w:b/>
          <w:szCs w:val="32"/>
        </w:rPr>
        <w:t>透過「強化社會安全網計畫」及「毒品防制基金」等管道強化量能：</w:t>
      </w:r>
      <w:r w:rsidRPr="00C708FD">
        <w:rPr>
          <w:rFonts w:hAnsi="標楷體" w:hint="eastAsia"/>
          <w:szCs w:val="32"/>
        </w:rPr>
        <w:t>除持續督促各警察局、少輔會積極爭取編列地方預算，並依地方特性滾動式修正自行調配人力，強化網絡連結，</w:t>
      </w:r>
      <w:proofErr w:type="gramStart"/>
      <w:r w:rsidRPr="00C708FD">
        <w:rPr>
          <w:rFonts w:hAnsi="標楷體" w:hint="eastAsia"/>
          <w:szCs w:val="32"/>
        </w:rPr>
        <w:t>以妥適</w:t>
      </w:r>
      <w:proofErr w:type="gramEnd"/>
      <w:r w:rsidRPr="00C708FD">
        <w:rPr>
          <w:rFonts w:hAnsi="標楷體" w:hint="eastAsia"/>
          <w:szCs w:val="32"/>
        </w:rPr>
        <w:t>分配資源；中央並透過行政院強化社會安全網計畫經費及法務部編列之毒品防制基金對少輔會進行補助。112年編列補助各地方政府少輔會經費合計</w:t>
      </w:r>
      <w:r w:rsidR="0074360F" w:rsidRPr="00C708FD">
        <w:rPr>
          <w:rFonts w:hAnsi="標楷體" w:hint="eastAsia"/>
          <w:szCs w:val="32"/>
        </w:rPr>
        <w:t>新臺幣(下同)</w:t>
      </w:r>
      <w:r w:rsidRPr="00C708FD">
        <w:rPr>
          <w:rFonts w:hAnsi="標楷體" w:hint="eastAsia"/>
          <w:szCs w:val="32"/>
        </w:rPr>
        <w:t>1億97萬1千元，其中社會安全網經費計9,076萬元，補助全國各地方政府169名人力，迄112年6月底少輔會總人數計253人；並彙</w:t>
      </w:r>
      <w:proofErr w:type="gramStart"/>
      <w:r w:rsidRPr="00C708FD">
        <w:rPr>
          <w:rFonts w:hAnsi="標楷體" w:hint="eastAsia"/>
          <w:szCs w:val="32"/>
        </w:rPr>
        <w:t>整各少輔</w:t>
      </w:r>
      <w:proofErr w:type="gramEnd"/>
      <w:r w:rsidRPr="00C708FD">
        <w:rPr>
          <w:rFonts w:hAnsi="標楷體" w:hint="eastAsia"/>
          <w:szCs w:val="32"/>
        </w:rPr>
        <w:t>會研提之相關在地化毒</w:t>
      </w:r>
      <w:r w:rsidRPr="00C708FD">
        <w:rPr>
          <w:rFonts w:hAnsi="標楷體" w:hint="eastAsia"/>
          <w:szCs w:val="32"/>
        </w:rPr>
        <w:lastRenderedPageBreak/>
        <w:t>品防制計畫，透過毒品防制基金補助經費計1,021萬1千元(輔導計畫794萬4千元+宣導計畫226萬7千元)。</w:t>
      </w:r>
    </w:p>
    <w:p w:rsidR="00A57BE5" w:rsidRPr="00C708FD" w:rsidRDefault="00A57BE5" w:rsidP="00A57BE5">
      <w:pPr>
        <w:pStyle w:val="5"/>
        <w:rPr>
          <w:szCs w:val="32"/>
        </w:rPr>
      </w:pPr>
      <w:r w:rsidRPr="00C708FD">
        <w:rPr>
          <w:rFonts w:hAnsi="標楷體" w:hint="eastAsia"/>
          <w:b/>
          <w:szCs w:val="32"/>
        </w:rPr>
        <w:t>強化少輔會專業知能：</w:t>
      </w:r>
    </w:p>
    <w:p w:rsidR="00C54E2C" w:rsidRPr="00C708FD" w:rsidRDefault="00C54E2C" w:rsidP="00C54E2C">
      <w:pPr>
        <w:pStyle w:val="6"/>
      </w:pPr>
      <w:r w:rsidRPr="00C708FD">
        <w:rPr>
          <w:rFonts w:hint="eastAsia"/>
        </w:rPr>
        <w:t>為落實少輔會輔導專業資格，明定少年輔導員包含社會工作、心理、教育及家庭教育、輔導與諮商及犯罪防治等5大類別之專業人力，並</w:t>
      </w:r>
      <w:proofErr w:type="gramStart"/>
      <w:r w:rsidRPr="00C708FD">
        <w:rPr>
          <w:rFonts w:hint="eastAsia"/>
        </w:rPr>
        <w:t>研</w:t>
      </w:r>
      <w:proofErr w:type="gramEnd"/>
      <w:r w:rsidRPr="00C708FD">
        <w:rPr>
          <w:rFonts w:hint="eastAsia"/>
        </w:rPr>
        <w:t>擬「少輔會人力聘用資格及支薪標準表」作為(資深)少年輔導人員聘用及支薪標準。</w:t>
      </w:r>
    </w:p>
    <w:p w:rsidR="00C54E2C" w:rsidRPr="00C708FD" w:rsidRDefault="00C54E2C" w:rsidP="00C54E2C">
      <w:pPr>
        <w:pStyle w:val="6"/>
      </w:pPr>
      <w:r w:rsidRPr="00C708FD">
        <w:rPr>
          <w:rFonts w:hint="eastAsia"/>
        </w:rPr>
        <w:t>為強化各地方少輔會新進之少年輔導員專業知能，並溝通中央最新法令及政策目標，於111年10月舉辦「少年輔導人員培訓班」，期能提升輔導範圍與效果。112年亦已於10月份召開。</w:t>
      </w:r>
    </w:p>
    <w:p w:rsidR="00C54E2C" w:rsidRPr="00C708FD" w:rsidRDefault="00C54E2C" w:rsidP="00C54E2C">
      <w:pPr>
        <w:pStyle w:val="6"/>
      </w:pPr>
      <w:r w:rsidRPr="00C708FD">
        <w:rPr>
          <w:rFonts w:hint="eastAsia"/>
        </w:rPr>
        <w:t>行政院於112年9月18日辦理少輔會新制共識營，邀集</w:t>
      </w:r>
      <w:proofErr w:type="gramStart"/>
      <w:r w:rsidRPr="00C708FD">
        <w:rPr>
          <w:rFonts w:hint="eastAsia"/>
        </w:rPr>
        <w:t>衛福部</w:t>
      </w:r>
      <w:proofErr w:type="gramEnd"/>
      <w:r w:rsidRPr="00C708FD">
        <w:rPr>
          <w:rFonts w:hint="eastAsia"/>
        </w:rPr>
        <w:t>、教育部及地方政府少輔會、社政、教育、</w:t>
      </w:r>
      <w:proofErr w:type="gramStart"/>
      <w:r w:rsidRPr="00C708FD">
        <w:rPr>
          <w:rFonts w:hint="eastAsia"/>
        </w:rPr>
        <w:t>衛政單</w:t>
      </w:r>
      <w:proofErr w:type="gramEnd"/>
      <w:r w:rsidRPr="00C708FD">
        <w:rPr>
          <w:rFonts w:hint="eastAsia"/>
        </w:rPr>
        <w:t>位，並與專家學者面對面共同討論實務運作問題及如何</w:t>
      </w:r>
      <w:proofErr w:type="gramStart"/>
      <w:r w:rsidRPr="00C708FD">
        <w:rPr>
          <w:rFonts w:hint="eastAsia"/>
        </w:rPr>
        <w:t>優化</w:t>
      </w:r>
      <w:proofErr w:type="gramEnd"/>
      <w:r w:rsidRPr="00C708FD">
        <w:rPr>
          <w:rFonts w:hint="eastAsia"/>
        </w:rPr>
        <w:t>少輔會三級預防策略。112年11月份亦規劃舉辦「少輔會新制研習營」。</w:t>
      </w:r>
    </w:p>
    <w:p w:rsidR="00A57BE5" w:rsidRPr="00C708FD" w:rsidRDefault="00C54E2C" w:rsidP="00C54E2C">
      <w:pPr>
        <w:pStyle w:val="5"/>
      </w:pPr>
      <w:r w:rsidRPr="00C708FD">
        <w:rPr>
          <w:rFonts w:hint="eastAsia"/>
          <w:szCs w:val="48"/>
        </w:rPr>
        <w:t>「少年輔導委員會設置及輔導實施辦法」於112年7月1日正式施行，故地方政府於113年始提交年度工作報告。現行運作機制係由各地方政府提交年度工作成果報告，內政部於備查後皆會就所提內容分析執行成效，並據以辦理獎勵及核發獎勵金，以慰勉同仁執勤辛勞。</w:t>
      </w:r>
    </w:p>
    <w:p w:rsidR="00A57BE5" w:rsidRPr="00C708FD" w:rsidRDefault="00D1057C" w:rsidP="008D05E2">
      <w:pPr>
        <w:pStyle w:val="4"/>
      </w:pPr>
      <w:r w:rsidRPr="00C708FD">
        <w:rPr>
          <w:rFonts w:hint="eastAsia"/>
        </w:rPr>
        <w:t>新北市政府</w:t>
      </w:r>
      <w:r w:rsidR="00A57BE5" w:rsidRPr="00C708FD">
        <w:rPr>
          <w:rFonts w:hint="eastAsia"/>
        </w:rPr>
        <w:t>說明：</w:t>
      </w:r>
    </w:p>
    <w:p w:rsidR="00D1057C" w:rsidRPr="00C708FD" w:rsidRDefault="00D1057C" w:rsidP="00D1057C">
      <w:pPr>
        <w:pStyle w:val="5"/>
      </w:pPr>
      <w:r w:rsidRPr="00C708FD">
        <w:rPr>
          <w:rFonts w:hint="eastAsia"/>
        </w:rPr>
        <w:t>新北市警局為配合行政輔導先行新制與相關工作前置作業，於111年12月22日及112年6月21</w:t>
      </w:r>
      <w:r w:rsidRPr="00C708FD">
        <w:rPr>
          <w:rFonts w:hint="eastAsia"/>
        </w:rPr>
        <w:lastRenderedPageBreak/>
        <w:t>日分別聘請法官及刑事警察局師資，針對該局各分局少年防制小組成員，講授新制實施後警察機關注意配合事項教育訓練課程，另於112年6月30日以新北</w:t>
      </w:r>
      <w:proofErr w:type="gramStart"/>
      <w:r w:rsidRPr="00C708FD">
        <w:rPr>
          <w:rFonts w:hint="eastAsia"/>
        </w:rPr>
        <w:t>警少字</w:t>
      </w:r>
      <w:proofErr w:type="gramEnd"/>
      <w:r w:rsidRPr="00C708FD">
        <w:rPr>
          <w:rFonts w:hint="eastAsia"/>
        </w:rPr>
        <w:t>第</w:t>
      </w:r>
      <w:r w:rsidRPr="00C708FD">
        <w:t>1121245978</w:t>
      </w:r>
      <w:r w:rsidRPr="00C708FD">
        <w:rPr>
          <w:rFonts w:hint="eastAsia"/>
        </w:rPr>
        <w:t>號函請所屬落實辦理該工作，並於每月刑事工作主管會報針對各分局執行狀況檢討策進。</w:t>
      </w:r>
    </w:p>
    <w:p w:rsidR="00D1057C" w:rsidRPr="00C708FD" w:rsidRDefault="00D1057C" w:rsidP="00D1057C">
      <w:pPr>
        <w:pStyle w:val="5"/>
      </w:pPr>
      <w:r w:rsidRPr="00C708FD">
        <w:rPr>
          <w:rFonts w:hint="eastAsia"/>
        </w:rPr>
        <w:t>基於兒童及少年之最佳利益，並為避免新北市未觸法少年過早進入司法程序，新北市警局局長兼任新北市政府少輔會委員：</w:t>
      </w:r>
    </w:p>
    <w:p w:rsidR="00D1057C" w:rsidRPr="00C708FD" w:rsidRDefault="00D1057C" w:rsidP="00D1057C">
      <w:pPr>
        <w:pStyle w:val="6"/>
      </w:pPr>
      <w:r w:rsidRPr="00C708FD">
        <w:rPr>
          <w:rFonts w:hAnsi="標楷體" w:hint="eastAsia"/>
          <w:szCs w:val="32"/>
        </w:rPr>
        <w:t>定期參與</w:t>
      </w:r>
      <w:proofErr w:type="gramStart"/>
      <w:r w:rsidRPr="00C708FD">
        <w:rPr>
          <w:rFonts w:hAnsi="標楷體" w:hint="eastAsia"/>
          <w:szCs w:val="32"/>
        </w:rPr>
        <w:t>該府少輔</w:t>
      </w:r>
      <w:proofErr w:type="gramEnd"/>
      <w:r w:rsidRPr="00C708FD">
        <w:rPr>
          <w:rFonts w:hAnsi="標楷體" w:hint="eastAsia"/>
          <w:szCs w:val="32"/>
        </w:rPr>
        <w:t>會委員會議，112年1月至8月委員幹事會議及委員</w:t>
      </w:r>
      <w:proofErr w:type="gramStart"/>
      <w:r w:rsidRPr="00C708FD">
        <w:rPr>
          <w:rFonts w:hAnsi="標楷體" w:hint="eastAsia"/>
          <w:szCs w:val="32"/>
        </w:rPr>
        <w:t>會議各計1場</w:t>
      </w:r>
      <w:proofErr w:type="gramEnd"/>
      <w:r w:rsidRPr="00C708FD">
        <w:rPr>
          <w:rFonts w:hAnsi="標楷體" w:hint="eastAsia"/>
          <w:szCs w:val="32"/>
        </w:rPr>
        <w:t>次、幹事會議6場次。</w:t>
      </w:r>
    </w:p>
    <w:p w:rsidR="00D1057C" w:rsidRPr="00C708FD" w:rsidRDefault="00D1057C" w:rsidP="00D1057C">
      <w:pPr>
        <w:pStyle w:val="6"/>
      </w:pPr>
      <w:r w:rsidRPr="00C708FD">
        <w:rPr>
          <w:rFonts w:hAnsi="標楷體" w:hint="eastAsia"/>
          <w:szCs w:val="32"/>
        </w:rPr>
        <w:t>發現少年</w:t>
      </w:r>
      <w:proofErr w:type="gramStart"/>
      <w:r w:rsidRPr="00C708FD">
        <w:rPr>
          <w:rFonts w:hAnsi="標楷體" w:hint="eastAsia"/>
          <w:szCs w:val="32"/>
        </w:rPr>
        <w:t>涉曝險</w:t>
      </w:r>
      <w:proofErr w:type="gramEnd"/>
      <w:r w:rsidRPr="00C708FD">
        <w:rPr>
          <w:rFonts w:hAnsi="標楷體" w:hint="eastAsia"/>
          <w:szCs w:val="32"/>
        </w:rPr>
        <w:t>行為，依據少事法規定，轉介</w:t>
      </w:r>
      <w:proofErr w:type="gramStart"/>
      <w:r w:rsidRPr="00C708FD">
        <w:rPr>
          <w:rFonts w:hAnsi="標楷體" w:hint="eastAsia"/>
          <w:szCs w:val="32"/>
        </w:rPr>
        <w:t>該府少</w:t>
      </w:r>
      <w:proofErr w:type="gramEnd"/>
      <w:r w:rsidRPr="00C708FD">
        <w:rPr>
          <w:rFonts w:hAnsi="標楷體" w:hint="eastAsia"/>
          <w:szCs w:val="32"/>
        </w:rPr>
        <w:t>輔會續以行政輔導：112年7月至9月計轉</w:t>
      </w:r>
      <w:proofErr w:type="gramStart"/>
      <w:r w:rsidRPr="00C708FD">
        <w:rPr>
          <w:rFonts w:hAnsi="標楷體" w:hint="eastAsia"/>
          <w:szCs w:val="32"/>
        </w:rPr>
        <w:t>介曝險</w:t>
      </w:r>
      <w:proofErr w:type="gramEnd"/>
      <w:r w:rsidRPr="00C708FD">
        <w:rPr>
          <w:rFonts w:hAnsi="標楷體" w:hint="eastAsia"/>
          <w:szCs w:val="32"/>
        </w:rPr>
        <w:t>行為少年17人次。</w:t>
      </w:r>
    </w:p>
    <w:p w:rsidR="00F00C26" w:rsidRPr="00C708FD" w:rsidRDefault="00F00C26" w:rsidP="00F00C26">
      <w:pPr>
        <w:pStyle w:val="3"/>
        <w:rPr>
          <w:b/>
        </w:rPr>
      </w:pPr>
      <w:r w:rsidRPr="00C708FD">
        <w:rPr>
          <w:rFonts w:hint="eastAsia"/>
          <w:b/>
        </w:rPr>
        <w:t>警政署及教育部應督導各地方政府少輔會</w:t>
      </w:r>
      <w:r w:rsidR="007E4036" w:rsidRPr="00C708FD">
        <w:rPr>
          <w:rFonts w:hAnsi="標楷體" w:hint="eastAsia"/>
          <w:b/>
        </w:rPr>
        <w:t>、</w:t>
      </w:r>
      <w:r w:rsidR="007E4036" w:rsidRPr="00C708FD">
        <w:rPr>
          <w:rFonts w:hint="eastAsia"/>
          <w:b/>
        </w:rPr>
        <w:t>警察機關</w:t>
      </w:r>
      <w:r w:rsidRPr="00C708FD">
        <w:rPr>
          <w:rFonts w:hint="eastAsia"/>
          <w:b/>
        </w:rPr>
        <w:t>及教育機關(構)積極落實相關法令要求，發揮少年偏差行為預防及輔導功能</w:t>
      </w:r>
      <w:r w:rsidR="00340E51" w:rsidRPr="00C708FD">
        <w:rPr>
          <w:rFonts w:hint="eastAsia"/>
          <w:b/>
        </w:rPr>
        <w:t>：</w:t>
      </w:r>
    </w:p>
    <w:p w:rsidR="006B4E6A" w:rsidRPr="00C708FD" w:rsidRDefault="006B4E6A" w:rsidP="006B4E6A">
      <w:pPr>
        <w:pStyle w:val="4"/>
      </w:pPr>
      <w:r w:rsidRPr="00C708FD">
        <w:rPr>
          <w:rFonts w:hint="eastAsia"/>
        </w:rPr>
        <w:t>依「少年偏差行為之輔導及預防辦法」第4條第1項規定</w:t>
      </w:r>
      <w:r w:rsidR="007E4036" w:rsidRPr="00C708FD">
        <w:rPr>
          <w:rFonts w:hint="eastAsia"/>
        </w:rPr>
        <w:t>，</w:t>
      </w:r>
      <w:r w:rsidRPr="00C708FD">
        <w:rPr>
          <w:rFonts w:hint="eastAsia"/>
        </w:rPr>
        <w:t>中央教育、警政主管機關應就其權責範圍，主動辦理少年偏差行為預防及輔導政策之規劃、推動及監督等相關措施，並應密切合作，落實與健全少年偏差行為預防及輔導體系</w:t>
      </w:r>
      <w:r w:rsidR="007E4036" w:rsidRPr="00C708FD">
        <w:rPr>
          <w:rFonts w:hint="eastAsia"/>
        </w:rPr>
        <w:t>。</w:t>
      </w:r>
    </w:p>
    <w:p w:rsidR="007E4036" w:rsidRPr="00C708FD" w:rsidRDefault="007E4036" w:rsidP="006B4E6A">
      <w:pPr>
        <w:pStyle w:val="4"/>
      </w:pPr>
      <w:r w:rsidRPr="00C708FD">
        <w:rPr>
          <w:rFonts w:hint="eastAsia"/>
        </w:rPr>
        <w:t>新北市政府相關機關於案發後之因應措施：</w:t>
      </w:r>
    </w:p>
    <w:p w:rsidR="0011205E" w:rsidRPr="00C708FD" w:rsidRDefault="0011205E" w:rsidP="0011205E">
      <w:pPr>
        <w:pStyle w:val="5"/>
      </w:pPr>
      <w:r w:rsidRPr="00C708FD">
        <w:rPr>
          <w:rFonts w:hint="eastAsia"/>
        </w:rPr>
        <w:t>新北市警局為防處少年遭不良組織吸收從事犯罪行為，業於</w:t>
      </w:r>
      <w:r w:rsidRPr="00C708FD">
        <w:t>112</w:t>
      </w:r>
      <w:r w:rsidRPr="00C708FD">
        <w:rPr>
          <w:rFonts w:hint="eastAsia"/>
        </w:rPr>
        <w:t>年</w:t>
      </w:r>
      <w:r w:rsidRPr="00C708FD">
        <w:t>4</w:t>
      </w:r>
      <w:r w:rsidRPr="00C708FD">
        <w:rPr>
          <w:rFonts w:hint="eastAsia"/>
        </w:rPr>
        <w:t>月</w:t>
      </w:r>
      <w:r w:rsidRPr="00C708FD">
        <w:t>22</w:t>
      </w:r>
      <w:r w:rsidRPr="00C708FD">
        <w:rPr>
          <w:rFonts w:hint="eastAsia"/>
        </w:rPr>
        <w:t>日下午</w:t>
      </w:r>
      <w:r w:rsidRPr="00C708FD">
        <w:t>2</w:t>
      </w:r>
      <w:r w:rsidRPr="00C708FD">
        <w:rPr>
          <w:rFonts w:hint="eastAsia"/>
        </w:rPr>
        <w:t>時在土城分局召開「加強檢肅幫派及防制少年遭吸收因應策略」會議，並由警政署長親自主持，邀集各分局長、刑事警察大隊長及少年警察隊長等相關幹部參與，研討掃黑各項工作重點。</w:t>
      </w:r>
    </w:p>
    <w:p w:rsidR="0011205E" w:rsidRPr="00C708FD" w:rsidRDefault="0011205E" w:rsidP="0011205E">
      <w:pPr>
        <w:pStyle w:val="5"/>
      </w:pPr>
      <w:r w:rsidRPr="00C708FD">
        <w:rPr>
          <w:rFonts w:hint="eastAsia"/>
        </w:rPr>
        <w:lastRenderedPageBreak/>
        <w:t>新北市警局少年警察隊為確切掌握新北市少年涉及不良幫派組合狀況，於</w:t>
      </w:r>
      <w:r w:rsidRPr="00C708FD">
        <w:t>112</w:t>
      </w:r>
      <w:r w:rsidRPr="00C708FD">
        <w:rPr>
          <w:rFonts w:hint="eastAsia"/>
        </w:rPr>
        <w:t>年</w:t>
      </w:r>
      <w:r w:rsidRPr="00C708FD">
        <w:t>5</w:t>
      </w:r>
      <w:r w:rsidRPr="00C708FD">
        <w:rPr>
          <w:rFonts w:hint="eastAsia"/>
        </w:rPr>
        <w:t>月</w:t>
      </w:r>
      <w:r w:rsidRPr="00C708FD">
        <w:t>3</w:t>
      </w:r>
      <w:r w:rsidRPr="00C708FD">
        <w:rPr>
          <w:rFonts w:hint="eastAsia"/>
        </w:rPr>
        <w:t>日至</w:t>
      </w:r>
      <w:r w:rsidRPr="00C708FD">
        <w:t>5</w:t>
      </w:r>
      <w:r w:rsidRPr="00C708FD">
        <w:rPr>
          <w:rFonts w:hint="eastAsia"/>
        </w:rPr>
        <w:t>日邀集該隊員警及新北市政府少輔會之</w:t>
      </w:r>
      <w:proofErr w:type="gramStart"/>
      <w:r w:rsidRPr="00C708FD">
        <w:rPr>
          <w:rFonts w:hint="eastAsia"/>
        </w:rPr>
        <w:t>少輔員</w:t>
      </w:r>
      <w:proofErr w:type="gramEnd"/>
      <w:r w:rsidRPr="00C708FD">
        <w:rPr>
          <w:rFonts w:hint="eastAsia"/>
        </w:rPr>
        <w:t>，針對新北市學校及輔導個案討論研商，並將高風險少年所涉組織幫派實施蒐證，追</w:t>
      </w:r>
      <w:r w:rsidRPr="00C708FD">
        <w:rPr>
          <w:rFonts w:cs="微軟正黑體" w:hint="eastAsia"/>
        </w:rPr>
        <w:t>查幕</w:t>
      </w:r>
      <w:r w:rsidRPr="00C708FD">
        <w:rPr>
          <w:rFonts w:cs="Yu Gothic" w:hint="eastAsia"/>
        </w:rPr>
        <w:t>後並依法檢肅。</w:t>
      </w:r>
    </w:p>
    <w:p w:rsidR="0011205E" w:rsidRPr="00C708FD" w:rsidRDefault="0011205E" w:rsidP="0011205E">
      <w:pPr>
        <w:pStyle w:val="5"/>
      </w:pPr>
      <w:r w:rsidRPr="00C708FD">
        <w:rPr>
          <w:rFonts w:hint="eastAsia"/>
        </w:rPr>
        <w:t>新北市警局為盤點該市高關懷少年人數及輔導在案情形，業於</w:t>
      </w:r>
      <w:r w:rsidRPr="00C708FD">
        <w:t>112</w:t>
      </w:r>
      <w:r w:rsidRPr="00C708FD">
        <w:rPr>
          <w:rFonts w:hint="eastAsia"/>
        </w:rPr>
        <w:t>年</w:t>
      </w:r>
      <w:r w:rsidRPr="00C708FD">
        <w:t>5</w:t>
      </w:r>
      <w:r w:rsidRPr="00C708FD">
        <w:rPr>
          <w:rFonts w:hint="eastAsia"/>
        </w:rPr>
        <w:t>月</w:t>
      </w:r>
      <w:r w:rsidRPr="00C708FD">
        <w:t>18</w:t>
      </w:r>
      <w:r w:rsidRPr="00C708FD">
        <w:rPr>
          <w:rFonts w:hint="eastAsia"/>
        </w:rPr>
        <w:t>日針對新北市政府少輔會、教育局及社會局等網絡體系輔導在案人員實施清</w:t>
      </w:r>
      <w:r w:rsidRPr="00C708FD">
        <w:rPr>
          <w:rFonts w:cs="微軟正黑體" w:hint="eastAsia"/>
        </w:rPr>
        <w:t>查</w:t>
      </w:r>
      <w:r w:rsidRPr="00C708FD">
        <w:rPr>
          <w:rFonts w:cs="Yu Gothic" w:hint="eastAsia"/>
        </w:rPr>
        <w:t>，確認服務個案</w:t>
      </w:r>
      <w:proofErr w:type="gramStart"/>
      <w:r w:rsidRPr="00C708FD">
        <w:rPr>
          <w:rFonts w:cs="Yu Gothic" w:hint="eastAsia"/>
        </w:rPr>
        <w:t>不</w:t>
      </w:r>
      <w:proofErr w:type="gramEnd"/>
      <w:r w:rsidRPr="00C708FD">
        <w:rPr>
          <w:rFonts w:cs="Yu Gothic" w:hint="eastAsia"/>
        </w:rPr>
        <w:t>漏接。</w:t>
      </w:r>
    </w:p>
    <w:p w:rsidR="0011205E" w:rsidRPr="00C708FD" w:rsidRDefault="0011205E" w:rsidP="0011205E">
      <w:pPr>
        <w:pStyle w:val="5"/>
      </w:pPr>
      <w:r w:rsidRPr="00C708FD">
        <w:rPr>
          <w:rFonts w:hint="eastAsia"/>
        </w:rPr>
        <w:t>新北市教育局為了解各學校校園周邊安全及涉司法處遇、高關懷或特殊輔導個案狀況，於</w:t>
      </w:r>
      <w:r w:rsidRPr="00C708FD">
        <w:t>112</w:t>
      </w:r>
      <w:r w:rsidRPr="00C708FD">
        <w:rPr>
          <w:rFonts w:hint="eastAsia"/>
        </w:rPr>
        <w:t>年</w:t>
      </w:r>
      <w:r w:rsidRPr="00C708FD">
        <w:t>4</w:t>
      </w:r>
      <w:r w:rsidRPr="00C708FD">
        <w:rPr>
          <w:rFonts w:hint="eastAsia"/>
        </w:rPr>
        <w:t>月</w:t>
      </w:r>
      <w:r w:rsidRPr="00C708FD">
        <w:t>24</w:t>
      </w:r>
      <w:r w:rsidRPr="00C708FD">
        <w:rPr>
          <w:rFonts w:hint="eastAsia"/>
        </w:rPr>
        <w:t>日召開「高關懷青少年通報中心聯繫會議」，由副市長主持，邀集相關學校校長、該府民政局、少輔會及警察局等單位參與，提供學校必要協處。</w:t>
      </w:r>
    </w:p>
    <w:p w:rsidR="007E4036" w:rsidRPr="00C708FD" w:rsidRDefault="0011205E" w:rsidP="0011205E">
      <w:pPr>
        <w:pStyle w:val="5"/>
      </w:pPr>
      <w:r w:rsidRPr="00C708FD">
        <w:rPr>
          <w:rFonts w:hint="eastAsia"/>
        </w:rPr>
        <w:t>新北市警局及民政局為防處少年接觸宮廟陣頭染上惡習或衍生不法行為，於</w:t>
      </w:r>
      <w:r w:rsidRPr="00C708FD">
        <w:t>112</w:t>
      </w:r>
      <w:r w:rsidRPr="00C708FD">
        <w:rPr>
          <w:rFonts w:hint="eastAsia"/>
        </w:rPr>
        <w:t>年</w:t>
      </w:r>
      <w:r w:rsidRPr="00C708FD">
        <w:t>5</w:t>
      </w:r>
      <w:r w:rsidRPr="00C708FD">
        <w:rPr>
          <w:rFonts w:hint="eastAsia"/>
        </w:rPr>
        <w:t>月</w:t>
      </w:r>
      <w:r w:rsidRPr="00C708FD">
        <w:t>11</w:t>
      </w:r>
      <w:r w:rsidRPr="00C708FD">
        <w:rPr>
          <w:rFonts w:hint="eastAsia"/>
        </w:rPr>
        <w:t>日針對該市神壇、寺廟及</w:t>
      </w:r>
      <w:proofErr w:type="gramStart"/>
      <w:r w:rsidRPr="00C708FD">
        <w:rPr>
          <w:rFonts w:hint="eastAsia"/>
        </w:rPr>
        <w:t>列管宮廟</w:t>
      </w:r>
      <w:proofErr w:type="gramEnd"/>
      <w:r w:rsidRPr="00C708FD">
        <w:rPr>
          <w:rFonts w:hint="eastAsia"/>
        </w:rPr>
        <w:t>陣頭等處實施清</w:t>
      </w:r>
      <w:r w:rsidRPr="00C708FD">
        <w:rPr>
          <w:rFonts w:cs="微軟正黑體" w:hint="eastAsia"/>
        </w:rPr>
        <w:t>查</w:t>
      </w:r>
      <w:r w:rsidRPr="00C708FD">
        <w:rPr>
          <w:rFonts w:cs="Yu Gothic" w:hint="eastAsia"/>
        </w:rPr>
        <w:t>，避免黑幫利用陣</w:t>
      </w:r>
      <w:r w:rsidRPr="00C708FD">
        <w:rPr>
          <w:rFonts w:hint="eastAsia"/>
        </w:rPr>
        <w:t>頭吸收少年。</w:t>
      </w:r>
    </w:p>
    <w:p w:rsidR="0011205E" w:rsidRPr="00C708FD" w:rsidRDefault="0011205E" w:rsidP="0011205E">
      <w:pPr>
        <w:pStyle w:val="4"/>
      </w:pPr>
      <w:r w:rsidRPr="00C708FD">
        <w:rPr>
          <w:rFonts w:hint="eastAsia"/>
        </w:rPr>
        <w:t>另</w:t>
      </w:r>
      <w:r w:rsidR="00340E51" w:rsidRPr="00C708FD">
        <w:rPr>
          <w:rFonts w:hint="eastAsia"/>
        </w:rPr>
        <w:t>新北市警局</w:t>
      </w:r>
      <w:r w:rsidRPr="00C708FD">
        <w:rPr>
          <w:rFonts w:hint="eastAsia"/>
        </w:rPr>
        <w:t>為防制幫派吸收中輟、未在學及未就業少年為其成員，利用青少年犯案，相關防處作為如下：</w:t>
      </w:r>
    </w:p>
    <w:p w:rsidR="0011205E" w:rsidRPr="00C708FD" w:rsidRDefault="0011205E" w:rsidP="0011205E">
      <w:pPr>
        <w:pStyle w:val="5"/>
      </w:pPr>
      <w:r w:rsidRPr="00C708FD">
        <w:rPr>
          <w:rFonts w:hint="eastAsia"/>
        </w:rPr>
        <w:t>強化與學校合作關係，各分局補實少年事件防制小組警力，確實依據相關規劃工作執行。</w:t>
      </w:r>
    </w:p>
    <w:p w:rsidR="0011205E" w:rsidRPr="00C708FD" w:rsidRDefault="0011205E" w:rsidP="0011205E">
      <w:pPr>
        <w:pStyle w:val="5"/>
      </w:pPr>
      <w:r w:rsidRPr="00C708FD">
        <w:rPr>
          <w:rFonts w:hint="eastAsia"/>
        </w:rPr>
        <w:t>各分局偵查隊少年事件防制小組落實與學校聯繫，對於經常中輟或就學狀況不佳學生，除由學校啟動輔導機制實施家訪，如發現遭利用從事犯罪行為，則應主動介入調查，防止少年被害。</w:t>
      </w:r>
    </w:p>
    <w:p w:rsidR="0011205E" w:rsidRPr="00C708FD" w:rsidRDefault="0011205E" w:rsidP="0011205E">
      <w:pPr>
        <w:pStyle w:val="5"/>
      </w:pPr>
      <w:r w:rsidRPr="00C708FD">
        <w:rPr>
          <w:rFonts w:hint="eastAsia"/>
        </w:rPr>
        <w:lastRenderedPageBreak/>
        <w:t>針對不良組合或幫派分子利用公開場合(公祭、春酒等)，糾集少年參與壯大聲勢，請各分局運用優勢警力，在現場</w:t>
      </w:r>
      <w:proofErr w:type="gramStart"/>
      <w:r w:rsidRPr="00C708FD">
        <w:rPr>
          <w:rFonts w:hint="eastAsia"/>
        </w:rPr>
        <w:t>蒐</w:t>
      </w:r>
      <w:proofErr w:type="gramEnd"/>
      <w:r w:rsidRPr="00C708FD">
        <w:rPr>
          <w:rFonts w:hint="eastAsia"/>
        </w:rPr>
        <w:t>證及強力取締違反法令之行為，函報該府社會局裁處。</w:t>
      </w:r>
    </w:p>
    <w:p w:rsidR="0011205E" w:rsidRPr="00C708FD" w:rsidRDefault="0011205E" w:rsidP="0011205E">
      <w:pPr>
        <w:pStyle w:val="5"/>
      </w:pPr>
      <w:r w:rsidRPr="00C708FD">
        <w:rPr>
          <w:rFonts w:hint="eastAsia"/>
        </w:rPr>
        <w:t>各分局持續依「少年參與聚眾滋事關懷協助執行計畫」指派專人每月查訪及關懷少年，深入了解少年作息、就業或就學現況、交通工具、經濟來源、交友情形等。</w:t>
      </w:r>
    </w:p>
    <w:p w:rsidR="0011205E" w:rsidRPr="00C708FD" w:rsidRDefault="0011205E" w:rsidP="0011205E">
      <w:pPr>
        <w:pStyle w:val="5"/>
      </w:pPr>
      <w:r w:rsidRPr="00C708FD">
        <w:rPr>
          <w:rFonts w:hint="eastAsia"/>
        </w:rPr>
        <w:t>為提升監護人教養責任，對於重複犯案少年，則由該局將相關紀錄送交案發分局，並於移送書偵辦意見欄內加</w:t>
      </w:r>
      <w:proofErr w:type="gramStart"/>
      <w:r w:rsidRPr="00C708FD">
        <w:rPr>
          <w:rFonts w:hint="eastAsia"/>
        </w:rPr>
        <w:t>註</w:t>
      </w:r>
      <w:proofErr w:type="gramEnd"/>
      <w:r w:rsidRPr="00C708FD">
        <w:rPr>
          <w:rFonts w:hint="eastAsia"/>
        </w:rPr>
        <w:t>「少年之法定代理人，因忽視教養，保護處分之執行已難收效果，建請少年法庭依『少年事件處理法』第84條規定，裁定親職教育輔導，以強化其親職功能。」意見。</w:t>
      </w:r>
    </w:p>
    <w:p w:rsidR="0011205E" w:rsidRPr="00C708FD" w:rsidRDefault="0011205E" w:rsidP="0011205E">
      <w:pPr>
        <w:pStyle w:val="5"/>
      </w:pPr>
      <w:r w:rsidRPr="00C708FD">
        <w:rPr>
          <w:rFonts w:hint="eastAsia"/>
        </w:rPr>
        <w:t>針對少年參與組織滋事行為未見改善且家庭功能</w:t>
      </w:r>
      <w:proofErr w:type="gramStart"/>
      <w:r w:rsidRPr="00C708FD">
        <w:rPr>
          <w:rFonts w:hint="eastAsia"/>
        </w:rPr>
        <w:t>不彰者</w:t>
      </w:r>
      <w:proofErr w:type="gramEnd"/>
      <w:r w:rsidRPr="00C708FD">
        <w:rPr>
          <w:rFonts w:hint="eastAsia"/>
        </w:rPr>
        <w:t>，為免其行為惡化，改善其成長環境，少年屢次犯案時另請分局檢附前揭相關訪查紀錄並於移送書偵辦意見欄內，加註予以收容或裁定感化教育建議。</w:t>
      </w:r>
    </w:p>
    <w:p w:rsidR="0011205E" w:rsidRPr="00C708FD" w:rsidRDefault="0011205E" w:rsidP="0011205E">
      <w:pPr>
        <w:pStyle w:val="5"/>
      </w:pPr>
      <w:r w:rsidRPr="00C708FD">
        <w:rPr>
          <w:rFonts w:hint="eastAsia"/>
        </w:rPr>
        <w:t>該局管制少年遭利用涉嫌組織滋事案件</w:t>
      </w:r>
      <w:proofErr w:type="gramStart"/>
      <w:r w:rsidRPr="00C708FD">
        <w:rPr>
          <w:rFonts w:hint="eastAsia"/>
        </w:rPr>
        <w:t>偵</w:t>
      </w:r>
      <w:proofErr w:type="gramEnd"/>
      <w:r w:rsidRPr="00C708FD">
        <w:rPr>
          <w:rFonts w:hint="eastAsia"/>
        </w:rPr>
        <w:t>審情形，如經判決(裁定)無罪、</w:t>
      </w:r>
      <w:proofErr w:type="gramStart"/>
      <w:r w:rsidRPr="00C708FD">
        <w:rPr>
          <w:rFonts w:hint="eastAsia"/>
        </w:rPr>
        <w:t>免</w:t>
      </w:r>
      <w:proofErr w:type="gramEnd"/>
      <w:r w:rsidRPr="00C708FD">
        <w:rPr>
          <w:rFonts w:hint="eastAsia"/>
        </w:rPr>
        <w:t>訴、不受理、不付審理、不付保護處分、免刑、緩刑之確定者，另依兒童及少年福利與權益保障法</w:t>
      </w:r>
      <w:proofErr w:type="gramStart"/>
      <w:r w:rsidRPr="00C708FD">
        <w:rPr>
          <w:rFonts w:hint="eastAsia"/>
        </w:rPr>
        <w:t>函轉該</w:t>
      </w:r>
      <w:proofErr w:type="gramEnd"/>
      <w:r w:rsidRPr="00C708FD">
        <w:rPr>
          <w:rFonts w:hint="eastAsia"/>
        </w:rPr>
        <w:t>府社會局裁處。</w:t>
      </w:r>
    </w:p>
    <w:p w:rsidR="0011205E" w:rsidRPr="00C708FD" w:rsidRDefault="0011205E" w:rsidP="0011205E">
      <w:pPr>
        <w:pStyle w:val="5"/>
      </w:pPr>
      <w:r w:rsidRPr="00C708FD">
        <w:rPr>
          <w:rFonts w:hint="eastAsia"/>
        </w:rPr>
        <w:t>邀集</w:t>
      </w:r>
      <w:proofErr w:type="gramStart"/>
      <w:r w:rsidRPr="00C708FD">
        <w:rPr>
          <w:rFonts w:hint="eastAsia"/>
        </w:rPr>
        <w:t>該府少輔</w:t>
      </w:r>
      <w:proofErr w:type="gramEnd"/>
      <w:r w:rsidRPr="00C708FD">
        <w:rPr>
          <w:rFonts w:hint="eastAsia"/>
        </w:rPr>
        <w:t>會及該局少年警察隊針對列輔少年實施清查造冊，並請各分局依各該少年所涉組織幫派實施蒐證，追查幕後並依法檢肅。</w:t>
      </w:r>
    </w:p>
    <w:p w:rsidR="0011205E" w:rsidRPr="00C708FD" w:rsidRDefault="0011205E" w:rsidP="0011205E">
      <w:pPr>
        <w:pStyle w:val="5"/>
      </w:pPr>
      <w:r w:rsidRPr="00C708FD">
        <w:rPr>
          <w:rFonts w:hint="eastAsia"/>
        </w:rPr>
        <w:t>經統計112年7月至8月少年妨害秩序事件人口率為6.28人次/每10萬人較去年同期11.0人次</w:t>
      </w:r>
      <w:r w:rsidRPr="00C708FD">
        <w:rPr>
          <w:rFonts w:hint="eastAsia"/>
        </w:rPr>
        <w:lastRenderedPageBreak/>
        <w:t>下降4.72人次，顯見相關防處作為已見成效。</w:t>
      </w:r>
    </w:p>
    <w:p w:rsidR="0011205E" w:rsidRPr="00C708FD" w:rsidRDefault="00340E51" w:rsidP="00865887">
      <w:pPr>
        <w:pStyle w:val="4"/>
      </w:pPr>
      <w:r w:rsidRPr="00C708FD">
        <w:rPr>
          <w:rFonts w:hint="eastAsia"/>
        </w:rPr>
        <w:t>又</w:t>
      </w:r>
      <w:r w:rsidR="00865887" w:rsidRPr="00C708FD">
        <w:rPr>
          <w:rFonts w:hint="eastAsia"/>
        </w:rPr>
        <w:t>本案少年案發後處置：</w:t>
      </w:r>
    </w:p>
    <w:p w:rsidR="00865887" w:rsidRPr="00C708FD" w:rsidRDefault="00865887" w:rsidP="00865887">
      <w:pPr>
        <w:pStyle w:val="5"/>
      </w:pPr>
      <w:r w:rsidRPr="00C708FD">
        <w:rPr>
          <w:rFonts w:hint="eastAsia"/>
        </w:rPr>
        <w:t>劉姓少年由新北地院少年法庭法官裁定收容在</w:t>
      </w:r>
      <w:proofErr w:type="gramStart"/>
      <w:r w:rsidRPr="00C708FD">
        <w:rPr>
          <w:rFonts w:hint="eastAsia"/>
        </w:rPr>
        <w:t>臺</w:t>
      </w:r>
      <w:proofErr w:type="gramEnd"/>
      <w:r w:rsidRPr="00C708FD">
        <w:rPr>
          <w:rFonts w:hint="eastAsia"/>
        </w:rPr>
        <w:t>北少年觀護所；</w:t>
      </w:r>
      <w:proofErr w:type="gramStart"/>
      <w:r w:rsidRPr="00C708FD">
        <w:rPr>
          <w:rFonts w:hint="eastAsia"/>
        </w:rPr>
        <w:t>該府少輔</w:t>
      </w:r>
      <w:proofErr w:type="gramEnd"/>
      <w:r w:rsidRPr="00C708FD">
        <w:rPr>
          <w:rFonts w:hint="eastAsia"/>
        </w:rPr>
        <w:t>會</w:t>
      </w:r>
      <w:proofErr w:type="gramStart"/>
      <w:r w:rsidRPr="00C708FD">
        <w:rPr>
          <w:rFonts w:hint="eastAsia"/>
        </w:rPr>
        <w:t>少輔員</w:t>
      </w:r>
      <w:proofErr w:type="gramEnd"/>
      <w:r w:rsidRPr="00C708FD">
        <w:rPr>
          <w:rFonts w:hint="eastAsia"/>
        </w:rPr>
        <w:t>已開案輔導，並定期至該所與少年會談，初期以穩定案主身心狀況及協助開庭前準備為主，近期則與案主討論賦歸社區之生活規劃，另與案主家人討論出所後之生活安排。</w:t>
      </w:r>
    </w:p>
    <w:p w:rsidR="00865887" w:rsidRPr="00C708FD" w:rsidRDefault="00865887" w:rsidP="00865887">
      <w:pPr>
        <w:pStyle w:val="5"/>
      </w:pPr>
      <w:r w:rsidRPr="00C708FD">
        <w:rPr>
          <w:rFonts w:hint="eastAsia"/>
        </w:rPr>
        <w:t>黃姓少年由法官裁定在</w:t>
      </w:r>
      <w:proofErr w:type="gramStart"/>
      <w:r w:rsidRPr="00C708FD">
        <w:rPr>
          <w:rFonts w:hint="eastAsia"/>
        </w:rPr>
        <w:t>敦</w:t>
      </w:r>
      <w:proofErr w:type="gramEnd"/>
      <w:r w:rsidRPr="00C708FD">
        <w:rPr>
          <w:rFonts w:hint="eastAsia"/>
        </w:rPr>
        <w:t>品中學執行感化教育。</w:t>
      </w:r>
    </w:p>
    <w:p w:rsidR="00865887" w:rsidRPr="00C708FD" w:rsidRDefault="00865887" w:rsidP="00865887">
      <w:pPr>
        <w:pStyle w:val="5"/>
      </w:pPr>
      <w:r w:rsidRPr="00C708FD">
        <w:rPr>
          <w:rFonts w:hint="eastAsia"/>
        </w:rPr>
        <w:t>朱姓少年由法官裁定收容在</w:t>
      </w:r>
      <w:proofErr w:type="gramStart"/>
      <w:r w:rsidRPr="00C708FD">
        <w:rPr>
          <w:rFonts w:hint="eastAsia"/>
        </w:rPr>
        <w:t>臺</w:t>
      </w:r>
      <w:proofErr w:type="gramEnd"/>
      <w:r w:rsidRPr="00C708FD">
        <w:rPr>
          <w:rFonts w:hint="eastAsia"/>
        </w:rPr>
        <w:t>北少年觀護所；</w:t>
      </w:r>
      <w:proofErr w:type="gramStart"/>
      <w:r w:rsidRPr="00C708FD">
        <w:rPr>
          <w:rFonts w:hint="eastAsia"/>
        </w:rPr>
        <w:t>該府少輔</w:t>
      </w:r>
      <w:proofErr w:type="gramEnd"/>
      <w:r w:rsidRPr="00C708FD">
        <w:rPr>
          <w:rFonts w:hint="eastAsia"/>
        </w:rPr>
        <w:t>會</w:t>
      </w:r>
      <w:proofErr w:type="gramStart"/>
      <w:r w:rsidRPr="00C708FD">
        <w:rPr>
          <w:rFonts w:hint="eastAsia"/>
        </w:rPr>
        <w:t>少輔員</w:t>
      </w:r>
      <w:proofErr w:type="gramEnd"/>
      <w:r w:rsidRPr="00C708FD">
        <w:rPr>
          <w:rFonts w:hint="eastAsia"/>
        </w:rPr>
        <w:t>已開案輔導，並定期至該所與少年會談，近期輔導目標為提升案主自我覺察，透過與案主討論其生命歷程及生活環境，協助其了解成長過程及重要事件帶來的影響，以及當時的自己做出的選擇。</w:t>
      </w:r>
    </w:p>
    <w:p w:rsidR="00865887" w:rsidRPr="00C708FD" w:rsidRDefault="00865887" w:rsidP="00865887">
      <w:pPr>
        <w:pStyle w:val="5"/>
      </w:pPr>
      <w:proofErr w:type="gramStart"/>
      <w:r w:rsidRPr="00C708FD">
        <w:rPr>
          <w:rFonts w:hint="eastAsia"/>
        </w:rPr>
        <w:t>鍾</w:t>
      </w:r>
      <w:proofErr w:type="gramEnd"/>
      <w:r w:rsidRPr="00C708FD">
        <w:rPr>
          <w:rFonts w:hint="eastAsia"/>
        </w:rPr>
        <w:t>姓少年目前由新北地院少年法庭審理中，前因涉侵占經法官裁定保護管束，每月需找保護官報到，該少年涉案後有</w:t>
      </w:r>
      <w:proofErr w:type="gramStart"/>
      <w:r w:rsidRPr="00C708FD">
        <w:rPr>
          <w:rFonts w:hint="eastAsia"/>
        </w:rPr>
        <w:t>從事泥作工</w:t>
      </w:r>
      <w:proofErr w:type="gramEnd"/>
      <w:r w:rsidRPr="00C708FD">
        <w:rPr>
          <w:rFonts w:hint="eastAsia"/>
        </w:rPr>
        <w:t>作，112年9月開始返回學校就學；</w:t>
      </w:r>
      <w:proofErr w:type="gramStart"/>
      <w:r w:rsidRPr="00C708FD">
        <w:rPr>
          <w:rFonts w:hint="eastAsia"/>
        </w:rPr>
        <w:t>該府少輔</w:t>
      </w:r>
      <w:proofErr w:type="gramEnd"/>
      <w:r w:rsidRPr="00C708FD">
        <w:rPr>
          <w:rFonts w:hint="eastAsia"/>
        </w:rPr>
        <w:t>會</w:t>
      </w:r>
      <w:proofErr w:type="gramStart"/>
      <w:r w:rsidRPr="00C708FD">
        <w:rPr>
          <w:rFonts w:hint="eastAsia"/>
        </w:rPr>
        <w:t>少輔員</w:t>
      </w:r>
      <w:proofErr w:type="gramEnd"/>
      <w:r w:rsidRPr="00C708FD">
        <w:rPr>
          <w:rFonts w:hint="eastAsia"/>
        </w:rPr>
        <w:t>已開案輔導，每月定期與少年及其家長見面，目前主要著重關心少年就業、就學及生活作息等狀況，與少年建立關係，並提供家庭成員司法流程資訊。</w:t>
      </w:r>
    </w:p>
    <w:p w:rsidR="00865887" w:rsidRPr="00C708FD" w:rsidRDefault="00865887" w:rsidP="00865887">
      <w:pPr>
        <w:pStyle w:val="5"/>
      </w:pPr>
      <w:r w:rsidRPr="00C708FD">
        <w:rPr>
          <w:rFonts w:hint="eastAsia"/>
        </w:rPr>
        <w:t>吳姓少年由法官</w:t>
      </w:r>
      <w:proofErr w:type="gramStart"/>
      <w:r w:rsidRPr="00C708FD">
        <w:rPr>
          <w:rFonts w:hint="eastAsia"/>
        </w:rPr>
        <w:t>裁定在誠正</w:t>
      </w:r>
      <w:proofErr w:type="gramEnd"/>
      <w:r w:rsidRPr="00C708FD">
        <w:rPr>
          <w:rFonts w:hint="eastAsia"/>
        </w:rPr>
        <w:t>中學執行感化教育。</w:t>
      </w:r>
    </w:p>
    <w:p w:rsidR="00865887" w:rsidRPr="00C708FD" w:rsidRDefault="00340E51" w:rsidP="00340E51">
      <w:pPr>
        <w:pStyle w:val="4"/>
      </w:pPr>
      <w:r w:rsidRPr="00C708FD">
        <w:rPr>
          <w:rFonts w:hint="eastAsia"/>
        </w:rPr>
        <w:t>國教署已於111年12月1日「</w:t>
      </w:r>
      <w:proofErr w:type="gramStart"/>
      <w:r w:rsidRPr="00C708FD">
        <w:rPr>
          <w:rFonts w:hint="eastAsia"/>
        </w:rPr>
        <w:t>111</w:t>
      </w:r>
      <w:proofErr w:type="gramEnd"/>
      <w:r w:rsidRPr="00C708FD">
        <w:rPr>
          <w:rFonts w:hint="eastAsia"/>
        </w:rPr>
        <w:t>年度全國學生輔導諮商中心暨業務科科長第2次業務聯繫會議」中，將「少年輔導委員會設置及輔導實施辦法」公布後輔導人員之因應、少輔會之輔導機制與因應策</w:t>
      </w:r>
      <w:r w:rsidRPr="00C708FD">
        <w:rPr>
          <w:rFonts w:hint="eastAsia"/>
        </w:rPr>
        <w:lastRenderedPageBreak/>
        <w:t>略，納為專題課程。</w:t>
      </w:r>
    </w:p>
    <w:p w:rsidR="00340E51" w:rsidRPr="00C708FD" w:rsidRDefault="00340E51" w:rsidP="00340E51">
      <w:pPr>
        <w:pStyle w:val="3"/>
      </w:pPr>
      <w:r w:rsidRPr="00C708FD">
        <w:rPr>
          <w:rFonts w:hint="eastAsia"/>
        </w:rPr>
        <w:t>綜上</w:t>
      </w:r>
      <w:r w:rsidRPr="00C708FD">
        <w:rPr>
          <w:rFonts w:hAnsi="標楷體" w:hint="eastAsia"/>
        </w:rPr>
        <w:t>，</w:t>
      </w:r>
      <w:proofErr w:type="gramStart"/>
      <w:r w:rsidRPr="00C708FD">
        <w:rPr>
          <w:rFonts w:hint="eastAsia"/>
        </w:rPr>
        <w:t>112年4月間於新</w:t>
      </w:r>
      <w:proofErr w:type="gramEnd"/>
      <w:r w:rsidRPr="00C708FD">
        <w:rPr>
          <w:rFonts w:hint="eastAsia"/>
        </w:rPr>
        <w:t>北市發生3起槍擊事件，凸顯少年遭黑幫吸收、利用從事不法行為之情況嚴重。警政署及教育部應督導各地方政府少輔會、警察機關及教育機關(構)積極落實相關法令要求，發揮少年偏差行為預防及輔導功能。</w:t>
      </w:r>
    </w:p>
    <w:p w:rsidR="001E101E" w:rsidRPr="00C708FD" w:rsidRDefault="001E101E" w:rsidP="001E101E">
      <w:pPr>
        <w:pStyle w:val="110"/>
      </w:pPr>
      <w:r w:rsidRPr="00C708FD">
        <w:rPr>
          <w:rFonts w:hint="eastAsia"/>
        </w:rPr>
        <w:t>學生輔導法第10條及第11條分別規定高級中等以下學校專任輔導教師及專任專業輔導人員之員額編制，惟目前尚未完全補足，教育部應督促各地方政府持續督導主管公私立學校進用足額專任輔導教師及專業輔導人員，以利三級輔導機制完整運作。</w:t>
      </w:r>
    </w:p>
    <w:p w:rsidR="007464E9" w:rsidRPr="00C708FD" w:rsidRDefault="007464E9" w:rsidP="007464E9">
      <w:pPr>
        <w:pStyle w:val="3"/>
        <w:rPr>
          <w:b/>
        </w:rPr>
      </w:pPr>
      <w:r w:rsidRPr="00C708FD">
        <w:rPr>
          <w:rFonts w:hint="eastAsia"/>
          <w:b/>
        </w:rPr>
        <w:t>專任輔導教師：</w:t>
      </w:r>
    </w:p>
    <w:p w:rsidR="007464E9" w:rsidRPr="00C708FD" w:rsidRDefault="007464E9" w:rsidP="007464E9">
      <w:pPr>
        <w:pStyle w:val="4"/>
      </w:pPr>
      <w:r w:rsidRPr="00C708FD">
        <w:rPr>
          <w:rFonts w:hint="eastAsia"/>
        </w:rPr>
        <w:t>依據學生輔導法第10條之規定，高級中等以下學校專任輔導教師員額編制如下：</w:t>
      </w:r>
    </w:p>
    <w:p w:rsidR="007464E9" w:rsidRPr="00C708FD" w:rsidRDefault="007464E9" w:rsidP="007464E9">
      <w:pPr>
        <w:pStyle w:val="5"/>
      </w:pPr>
      <w:r w:rsidRPr="00C708FD">
        <w:rPr>
          <w:rFonts w:hint="eastAsia"/>
        </w:rPr>
        <w:t>國民小學24班以下者，置1人，25班以上者，每24班增置一人。</w:t>
      </w:r>
    </w:p>
    <w:p w:rsidR="007464E9" w:rsidRPr="00C708FD" w:rsidRDefault="007464E9" w:rsidP="007464E9">
      <w:pPr>
        <w:pStyle w:val="5"/>
      </w:pPr>
      <w:r w:rsidRPr="00C708FD">
        <w:rPr>
          <w:rFonts w:hint="eastAsia"/>
        </w:rPr>
        <w:t>國民中學15班以下者，置1人，16班以上者，每15班增置1人。</w:t>
      </w:r>
    </w:p>
    <w:p w:rsidR="007464E9" w:rsidRPr="00C708FD" w:rsidRDefault="007464E9" w:rsidP="007464E9">
      <w:pPr>
        <w:pStyle w:val="5"/>
      </w:pPr>
      <w:r w:rsidRPr="00C708FD">
        <w:rPr>
          <w:rFonts w:hint="eastAsia"/>
        </w:rPr>
        <w:t>高級中等學校12班以下者，置1人，13班以上者，每12班增置1人。</w:t>
      </w:r>
    </w:p>
    <w:p w:rsidR="007464E9" w:rsidRPr="00C708FD" w:rsidRDefault="007464E9" w:rsidP="007464E9">
      <w:pPr>
        <w:pStyle w:val="5"/>
      </w:pPr>
      <w:r w:rsidRPr="00C708FD">
        <w:rPr>
          <w:rFonts w:hint="eastAsia"/>
        </w:rPr>
        <w:t>學校屬跨學制者，其專任輔導教師之員額編制，應依各學制規定分別設置。</w:t>
      </w:r>
    </w:p>
    <w:p w:rsidR="007464E9" w:rsidRPr="00C708FD" w:rsidRDefault="007464E9" w:rsidP="007464E9">
      <w:pPr>
        <w:pStyle w:val="5"/>
      </w:pPr>
      <w:proofErr w:type="gramStart"/>
      <w:r w:rsidRPr="00C708FD">
        <w:rPr>
          <w:rFonts w:hint="eastAsia"/>
        </w:rPr>
        <w:t>次依學生</w:t>
      </w:r>
      <w:proofErr w:type="gramEnd"/>
      <w:r w:rsidRPr="00C708FD">
        <w:rPr>
          <w:rFonts w:hint="eastAsia"/>
        </w:rPr>
        <w:t>輔導法第22條之規定略以，第10條有關專任輔導教師之配置規定，於106年8月1日起逐年增加。</w:t>
      </w:r>
    </w:p>
    <w:p w:rsidR="007464E9" w:rsidRPr="00C708FD" w:rsidRDefault="007464E9" w:rsidP="007464E9">
      <w:pPr>
        <w:pStyle w:val="4"/>
      </w:pPr>
      <w:r w:rsidRPr="00C708FD">
        <w:rPr>
          <w:rFonts w:hint="eastAsia"/>
        </w:rPr>
        <w:t>1</w:t>
      </w:r>
      <w:r w:rsidRPr="00C708FD">
        <w:t>12</w:t>
      </w:r>
      <w:r w:rsidRPr="00C708FD">
        <w:rPr>
          <w:rFonts w:hint="eastAsia"/>
        </w:rPr>
        <w:t>學年度專任輔導教師：</w:t>
      </w:r>
    </w:p>
    <w:p w:rsidR="007464E9" w:rsidRPr="00C708FD" w:rsidRDefault="007464E9" w:rsidP="007464E9">
      <w:pPr>
        <w:pStyle w:val="5"/>
      </w:pPr>
      <w:r w:rsidRPr="00C708FD">
        <w:rPr>
          <w:rFonts w:hint="eastAsia"/>
        </w:rPr>
        <w:t>高級中等學校應聘</w:t>
      </w:r>
      <w:r w:rsidRPr="00C708FD">
        <w:t>1,696</w:t>
      </w:r>
      <w:r w:rsidRPr="00C708FD">
        <w:rPr>
          <w:rFonts w:hint="eastAsia"/>
        </w:rPr>
        <w:t>人，</w:t>
      </w:r>
      <w:proofErr w:type="gramStart"/>
      <w:r w:rsidRPr="00C708FD">
        <w:rPr>
          <w:rFonts w:hint="eastAsia"/>
        </w:rPr>
        <w:t>實聘</w:t>
      </w:r>
      <w:proofErr w:type="gramEnd"/>
      <w:r w:rsidRPr="00C708FD">
        <w:t>1,589</w:t>
      </w:r>
      <w:r w:rsidRPr="00C708FD">
        <w:rPr>
          <w:rFonts w:hint="eastAsia"/>
        </w:rPr>
        <w:t>人</w:t>
      </w:r>
      <w:r w:rsidRPr="00C708FD">
        <w:rPr>
          <w:rFonts w:ascii="新細明體" w:eastAsia="新細明體" w:hAnsi="新細明體" w:hint="eastAsia"/>
        </w:rPr>
        <w:t>。</w:t>
      </w:r>
    </w:p>
    <w:p w:rsidR="007464E9" w:rsidRPr="00C708FD" w:rsidRDefault="007464E9" w:rsidP="007464E9">
      <w:pPr>
        <w:pStyle w:val="5"/>
      </w:pPr>
      <w:r w:rsidRPr="00C708FD">
        <w:rPr>
          <w:rFonts w:hint="eastAsia"/>
        </w:rPr>
        <w:t>國民中學應聘1</w:t>
      </w:r>
      <w:r w:rsidRPr="00C708FD">
        <w:t>,811</w:t>
      </w:r>
      <w:r w:rsidRPr="00C708FD">
        <w:rPr>
          <w:rFonts w:hint="eastAsia"/>
        </w:rPr>
        <w:t>人，</w:t>
      </w:r>
      <w:proofErr w:type="gramStart"/>
      <w:r w:rsidRPr="00C708FD">
        <w:rPr>
          <w:rFonts w:hint="eastAsia"/>
        </w:rPr>
        <w:t>實聘</w:t>
      </w:r>
      <w:proofErr w:type="gramEnd"/>
      <w:r w:rsidRPr="00C708FD">
        <w:rPr>
          <w:rFonts w:hint="eastAsia"/>
        </w:rPr>
        <w:t>1</w:t>
      </w:r>
      <w:r w:rsidRPr="00C708FD">
        <w:t>,788</w:t>
      </w:r>
      <w:r w:rsidRPr="00C708FD">
        <w:rPr>
          <w:rFonts w:hint="eastAsia"/>
        </w:rPr>
        <w:t>人</w:t>
      </w:r>
      <w:r w:rsidRPr="00C708FD">
        <w:rPr>
          <w:rFonts w:ascii="新細明體" w:eastAsia="新細明體" w:hAnsi="新細明體" w:hint="eastAsia"/>
        </w:rPr>
        <w:t>。</w:t>
      </w:r>
    </w:p>
    <w:p w:rsidR="007464E9" w:rsidRPr="00C708FD" w:rsidRDefault="007464E9" w:rsidP="007464E9">
      <w:pPr>
        <w:pStyle w:val="5"/>
      </w:pPr>
      <w:r w:rsidRPr="00C708FD">
        <w:rPr>
          <w:rFonts w:hint="eastAsia"/>
        </w:rPr>
        <w:t>國民小學應聘1</w:t>
      </w:r>
      <w:r w:rsidRPr="00C708FD">
        <w:t>,658</w:t>
      </w:r>
      <w:r w:rsidRPr="00C708FD">
        <w:rPr>
          <w:rFonts w:hint="eastAsia"/>
        </w:rPr>
        <w:t>人，</w:t>
      </w:r>
      <w:proofErr w:type="gramStart"/>
      <w:r w:rsidRPr="00C708FD">
        <w:rPr>
          <w:rFonts w:hint="eastAsia"/>
        </w:rPr>
        <w:t>實聘</w:t>
      </w:r>
      <w:proofErr w:type="gramEnd"/>
      <w:r w:rsidRPr="00C708FD">
        <w:rPr>
          <w:rFonts w:hint="eastAsia"/>
        </w:rPr>
        <w:t>1</w:t>
      </w:r>
      <w:r w:rsidRPr="00C708FD">
        <w:t>,600</w:t>
      </w:r>
      <w:r w:rsidRPr="00C708FD">
        <w:rPr>
          <w:rFonts w:hint="eastAsia"/>
        </w:rPr>
        <w:t>人。</w:t>
      </w:r>
    </w:p>
    <w:p w:rsidR="007464E9" w:rsidRPr="00C708FD" w:rsidRDefault="007464E9" w:rsidP="007464E9">
      <w:pPr>
        <w:pStyle w:val="5"/>
      </w:pPr>
      <w:r w:rsidRPr="00C708FD">
        <w:rPr>
          <w:rFonts w:hint="eastAsia"/>
        </w:rPr>
        <w:lastRenderedPageBreak/>
        <w:t>輔導教師係</w:t>
      </w:r>
      <w:proofErr w:type="gramStart"/>
      <w:r w:rsidRPr="00C708FD">
        <w:rPr>
          <w:rFonts w:hint="eastAsia"/>
        </w:rPr>
        <w:t>採學年度制計</w:t>
      </w:r>
      <w:proofErr w:type="gramEnd"/>
      <w:r w:rsidRPr="00C708FD">
        <w:rPr>
          <w:rFonts w:hint="eastAsia"/>
        </w:rPr>
        <w:t>算，國中小112學年度輔導教師聘用情形係112年8月預先調查，實際聘用情形，俟各地方政府112年10月15日前依程序</w:t>
      </w:r>
      <w:proofErr w:type="gramStart"/>
      <w:r w:rsidRPr="00C708FD">
        <w:rPr>
          <w:rFonts w:hint="eastAsia"/>
        </w:rPr>
        <w:t>造冊報國</w:t>
      </w:r>
      <w:proofErr w:type="gramEnd"/>
      <w:r w:rsidRPr="00C708FD">
        <w:rPr>
          <w:rFonts w:hint="eastAsia"/>
        </w:rPr>
        <w:t>教署核定。</w:t>
      </w:r>
    </w:p>
    <w:p w:rsidR="007464E9" w:rsidRPr="00C708FD" w:rsidRDefault="007464E9" w:rsidP="007464E9">
      <w:pPr>
        <w:pStyle w:val="4"/>
      </w:pPr>
      <w:r w:rsidRPr="00C708FD">
        <w:rPr>
          <w:rFonts w:hint="eastAsia"/>
        </w:rPr>
        <w:t>有關專任輔導教師</w:t>
      </w:r>
      <w:proofErr w:type="gramStart"/>
      <w:r w:rsidRPr="00C708FD">
        <w:rPr>
          <w:rFonts w:hint="eastAsia"/>
        </w:rPr>
        <w:t>未聘足之</w:t>
      </w:r>
      <w:proofErr w:type="gramEnd"/>
      <w:r w:rsidRPr="00C708FD">
        <w:rPr>
          <w:rFonts w:hint="eastAsia"/>
        </w:rPr>
        <w:t>原因：</w:t>
      </w:r>
    </w:p>
    <w:p w:rsidR="007464E9" w:rsidRPr="00C708FD" w:rsidRDefault="007464E9" w:rsidP="007464E9">
      <w:pPr>
        <w:pStyle w:val="5"/>
      </w:pPr>
      <w:r w:rsidRPr="00C708FD">
        <w:rPr>
          <w:rFonts w:hint="eastAsia"/>
        </w:rPr>
        <w:t>同1人錄取多個縣市，而選擇某一縣市報到，其未報到之縣市，不及辦理第2次徵選作業，形成從缺。</w:t>
      </w:r>
    </w:p>
    <w:p w:rsidR="007464E9" w:rsidRPr="00C708FD" w:rsidRDefault="007464E9" w:rsidP="007464E9">
      <w:pPr>
        <w:pStyle w:val="5"/>
      </w:pPr>
      <w:r w:rsidRPr="00C708FD">
        <w:rPr>
          <w:rFonts w:hint="eastAsia"/>
        </w:rPr>
        <w:t>已考取專任輔導教師之正式教師，隔年度或若干年度因個人因素，再行考取其他縣市，錄取後造成原任職學校出缺，未及再聘正式缺。</w:t>
      </w:r>
    </w:p>
    <w:p w:rsidR="007464E9" w:rsidRPr="00C708FD" w:rsidRDefault="007464E9" w:rsidP="007464E9">
      <w:pPr>
        <w:pStyle w:val="5"/>
      </w:pPr>
      <w:proofErr w:type="gramStart"/>
      <w:r w:rsidRPr="00C708FD">
        <w:rPr>
          <w:rFonts w:hint="eastAsia"/>
        </w:rPr>
        <w:t>因應少子化</w:t>
      </w:r>
      <w:proofErr w:type="gramEnd"/>
      <w:r w:rsidRPr="00C708FD">
        <w:rPr>
          <w:rFonts w:hint="eastAsia"/>
        </w:rPr>
        <w:t>問題，為避免超額教師問題，部分縣市為確保專任輔導教師之品質，未足額開缺，或未達錄取標準，形成未足額錄取之現象。</w:t>
      </w:r>
    </w:p>
    <w:p w:rsidR="007464E9" w:rsidRPr="00C708FD" w:rsidRDefault="007464E9" w:rsidP="007464E9">
      <w:pPr>
        <w:pStyle w:val="3"/>
        <w:rPr>
          <w:b/>
        </w:rPr>
      </w:pPr>
      <w:r w:rsidRPr="00C708FD">
        <w:rPr>
          <w:rFonts w:hint="eastAsia"/>
          <w:b/>
        </w:rPr>
        <w:t>專任專業輔導人員：</w:t>
      </w:r>
    </w:p>
    <w:p w:rsidR="007464E9" w:rsidRPr="00C708FD" w:rsidRDefault="007464E9" w:rsidP="007464E9">
      <w:pPr>
        <w:pStyle w:val="4"/>
      </w:pPr>
      <w:r w:rsidRPr="00C708FD">
        <w:rPr>
          <w:rFonts w:hint="eastAsia"/>
        </w:rPr>
        <w:t>法律依據：</w:t>
      </w:r>
    </w:p>
    <w:p w:rsidR="007464E9" w:rsidRPr="00C708FD" w:rsidRDefault="007464E9" w:rsidP="007464E9">
      <w:pPr>
        <w:pStyle w:val="5"/>
      </w:pPr>
      <w:r w:rsidRPr="00C708FD">
        <w:rPr>
          <w:rFonts w:hint="eastAsia"/>
        </w:rPr>
        <w:t>依據學生輔導法第11條之規定，高級中等以下學校得視實際需要置專任專業輔導人員及義務輔導人員若干人，其班級數達55班以上者，應至少置專任專業輔導人員1人。高級中等以下學校主管機關應置專任專業輔導人員，其所轄高級中等以下學校數合計20校以下者，置1人，21</w:t>
      </w:r>
      <w:proofErr w:type="gramStart"/>
      <w:r w:rsidRPr="00C708FD">
        <w:rPr>
          <w:rFonts w:hint="eastAsia"/>
        </w:rPr>
        <w:t>校至40校者</w:t>
      </w:r>
      <w:proofErr w:type="gramEnd"/>
      <w:r w:rsidRPr="00C708FD">
        <w:rPr>
          <w:rFonts w:hint="eastAsia"/>
        </w:rPr>
        <w:t>，置2人，41校以上者以此類推。依前2項規定所置專任專業輔導人員，應由高級中等以下學校主管機關視實際需要統籌調派之。</w:t>
      </w:r>
    </w:p>
    <w:p w:rsidR="007464E9" w:rsidRPr="00C708FD" w:rsidRDefault="007464E9" w:rsidP="007464E9">
      <w:pPr>
        <w:pStyle w:val="5"/>
      </w:pPr>
      <w:r w:rsidRPr="00C708FD">
        <w:rPr>
          <w:rFonts w:hint="eastAsia"/>
        </w:rPr>
        <w:t>依據偏遠地區學校教育發展條例第11條第5項之規定，地方主管機關應以國民中學學區為範圍，於偏遠地區學校置專業輔導人員或社會工作人員；其進用人數、工作內容、資格順序、補助及其他相關事項之辦法，由中央主管機關</w:t>
      </w:r>
      <w:r w:rsidRPr="00C708FD">
        <w:rPr>
          <w:rFonts w:hint="eastAsia"/>
        </w:rPr>
        <w:lastRenderedPageBreak/>
        <w:t>定之。</w:t>
      </w:r>
    </w:p>
    <w:p w:rsidR="007464E9" w:rsidRPr="00C708FD" w:rsidRDefault="007464E9" w:rsidP="007464E9">
      <w:pPr>
        <w:pStyle w:val="4"/>
      </w:pPr>
      <w:r w:rsidRPr="00C708FD">
        <w:rPr>
          <w:rFonts w:hint="eastAsia"/>
        </w:rPr>
        <w:t>1</w:t>
      </w:r>
      <w:r w:rsidRPr="00C708FD">
        <w:t>12</w:t>
      </w:r>
      <w:r w:rsidRPr="00C708FD">
        <w:rPr>
          <w:rFonts w:hint="eastAsia"/>
        </w:rPr>
        <w:t>年截至8月專任專業輔導人員，各地方政府應聘</w:t>
      </w:r>
      <w:r w:rsidRPr="00C708FD">
        <w:t>776</w:t>
      </w:r>
      <w:r w:rsidRPr="00C708FD">
        <w:rPr>
          <w:rFonts w:hint="eastAsia"/>
        </w:rPr>
        <w:t>人，</w:t>
      </w:r>
      <w:proofErr w:type="gramStart"/>
      <w:r w:rsidRPr="00C708FD">
        <w:rPr>
          <w:rFonts w:hint="eastAsia"/>
        </w:rPr>
        <w:t>實聘</w:t>
      </w:r>
      <w:proofErr w:type="gramEnd"/>
      <w:r w:rsidRPr="00C708FD">
        <w:t>637</w:t>
      </w:r>
      <w:r w:rsidRPr="00C708FD">
        <w:rPr>
          <w:rFonts w:hint="eastAsia"/>
        </w:rPr>
        <w:t>人；教育部應聘</w:t>
      </w:r>
      <w:r w:rsidRPr="00C708FD">
        <w:t>26</w:t>
      </w:r>
      <w:r w:rsidRPr="00C708FD">
        <w:rPr>
          <w:rFonts w:hint="eastAsia"/>
        </w:rPr>
        <w:t>人，</w:t>
      </w:r>
      <w:proofErr w:type="gramStart"/>
      <w:r w:rsidRPr="00C708FD">
        <w:rPr>
          <w:rFonts w:hint="eastAsia"/>
        </w:rPr>
        <w:t>實聘</w:t>
      </w:r>
      <w:proofErr w:type="gramEnd"/>
      <w:r w:rsidRPr="00C708FD">
        <w:t>25</w:t>
      </w:r>
      <w:r w:rsidRPr="00C708FD">
        <w:rPr>
          <w:rFonts w:hint="eastAsia"/>
        </w:rPr>
        <w:t>人。</w:t>
      </w:r>
    </w:p>
    <w:p w:rsidR="007464E9" w:rsidRPr="00C708FD" w:rsidRDefault="007464E9" w:rsidP="007464E9">
      <w:pPr>
        <w:pStyle w:val="4"/>
      </w:pPr>
      <w:r w:rsidRPr="00C708FD">
        <w:rPr>
          <w:rFonts w:hint="eastAsia"/>
        </w:rPr>
        <w:t>有關各地方政府專業輔導人員</w:t>
      </w:r>
      <w:proofErr w:type="gramStart"/>
      <w:r w:rsidRPr="00C708FD">
        <w:rPr>
          <w:rFonts w:hint="eastAsia"/>
        </w:rPr>
        <w:t>未聘足之</w:t>
      </w:r>
      <w:proofErr w:type="gramEnd"/>
      <w:r w:rsidRPr="00C708FD">
        <w:rPr>
          <w:rFonts w:hint="eastAsia"/>
        </w:rPr>
        <w:t>原因：</w:t>
      </w:r>
    </w:p>
    <w:p w:rsidR="007464E9" w:rsidRPr="00C708FD" w:rsidRDefault="007464E9" w:rsidP="007464E9">
      <w:pPr>
        <w:pStyle w:val="5"/>
      </w:pPr>
      <w:r w:rsidRPr="00C708FD">
        <w:rPr>
          <w:rFonts w:hint="eastAsia"/>
        </w:rPr>
        <w:t>雖地方政府已積極辦理專業輔導人員甄選作業，但因報考率、到考率及錄取率距離期望目標仍有落差。</w:t>
      </w:r>
    </w:p>
    <w:p w:rsidR="007464E9" w:rsidRPr="00C708FD" w:rsidRDefault="007464E9" w:rsidP="007464E9">
      <w:pPr>
        <w:pStyle w:val="5"/>
      </w:pPr>
      <w:r w:rsidRPr="00C708FD">
        <w:rPr>
          <w:rFonts w:hint="eastAsia"/>
        </w:rPr>
        <w:t>偏遠地區專業輔導人員招募不易，且流動性高。</w:t>
      </w:r>
    </w:p>
    <w:p w:rsidR="007464E9" w:rsidRPr="00C708FD" w:rsidRDefault="007464E9" w:rsidP="007464E9">
      <w:pPr>
        <w:pStyle w:val="5"/>
      </w:pPr>
      <w:r w:rsidRPr="00C708FD">
        <w:rPr>
          <w:rFonts w:hint="eastAsia"/>
        </w:rPr>
        <w:t>現職專業輔導人員因個人因素(健康、家庭照顧、生涯規劃等)離職，轉</w:t>
      </w:r>
      <w:proofErr w:type="gramStart"/>
      <w:r w:rsidRPr="00C708FD">
        <w:rPr>
          <w:rFonts w:hint="eastAsia"/>
        </w:rPr>
        <w:t>任專輔</w:t>
      </w:r>
      <w:proofErr w:type="gramEnd"/>
      <w:r w:rsidRPr="00C708FD">
        <w:rPr>
          <w:rFonts w:hint="eastAsia"/>
        </w:rPr>
        <w:t>教師或</w:t>
      </w:r>
      <w:proofErr w:type="gramStart"/>
      <w:r w:rsidRPr="00C708FD">
        <w:rPr>
          <w:rFonts w:hint="eastAsia"/>
        </w:rPr>
        <w:t>社安網社</w:t>
      </w:r>
      <w:proofErr w:type="gramEnd"/>
      <w:r w:rsidRPr="00C708FD">
        <w:rPr>
          <w:rFonts w:hint="eastAsia"/>
        </w:rPr>
        <w:t>工師。</w:t>
      </w:r>
    </w:p>
    <w:p w:rsidR="007464E9" w:rsidRPr="00C708FD" w:rsidRDefault="007464E9" w:rsidP="007464E9">
      <w:pPr>
        <w:pStyle w:val="5"/>
      </w:pPr>
      <w:r w:rsidRPr="00C708FD">
        <w:rPr>
          <w:rFonts w:hint="eastAsia"/>
        </w:rPr>
        <w:t>甄選報名人員欠缺學校輔導工作之兒童及青少年輔導和學校系統工作知能，導致甄選時無法足額錄取。</w:t>
      </w:r>
    </w:p>
    <w:p w:rsidR="007464E9" w:rsidRPr="00C708FD" w:rsidRDefault="007464E9" w:rsidP="007464E9">
      <w:pPr>
        <w:pStyle w:val="3"/>
        <w:rPr>
          <w:b/>
        </w:rPr>
      </w:pPr>
      <w:r w:rsidRPr="00C708FD">
        <w:rPr>
          <w:rFonts w:hint="eastAsia"/>
          <w:b/>
        </w:rPr>
        <w:t>對於專任輔導教師、專任專業輔導人員聘任，教育部之督導及協助作為：</w:t>
      </w:r>
    </w:p>
    <w:p w:rsidR="007464E9" w:rsidRPr="00C708FD" w:rsidRDefault="007464E9" w:rsidP="007464E9">
      <w:pPr>
        <w:pStyle w:val="4"/>
      </w:pPr>
      <w:r w:rsidRPr="00C708FD">
        <w:rPr>
          <w:rFonts w:hint="eastAsia"/>
        </w:rPr>
        <w:t>專任輔導教師：</w:t>
      </w:r>
    </w:p>
    <w:p w:rsidR="007464E9" w:rsidRPr="00C708FD" w:rsidRDefault="007464E9" w:rsidP="007464E9">
      <w:pPr>
        <w:pStyle w:val="5"/>
      </w:pPr>
      <w:r w:rsidRPr="00C708FD">
        <w:rPr>
          <w:rFonts w:hint="eastAsia"/>
        </w:rPr>
        <w:t>教育部主管之學校：該部將持續督導學校於112學年度聘任足額輔導教師，並列入國立學校校長辦學績效</w:t>
      </w:r>
      <w:proofErr w:type="gramStart"/>
      <w:r w:rsidRPr="00C708FD">
        <w:rPr>
          <w:rFonts w:hint="eastAsia"/>
        </w:rPr>
        <w:t>考核參據</w:t>
      </w:r>
      <w:proofErr w:type="gramEnd"/>
      <w:r w:rsidRPr="00C708FD">
        <w:rPr>
          <w:rFonts w:hint="eastAsia"/>
        </w:rPr>
        <w:t>。私立學校進用符合輔導專業資格專任輔導教師情形，已列為「教育部獎勵補助私立高級中等學校經費實施要點」核配指標。</w:t>
      </w:r>
    </w:p>
    <w:p w:rsidR="007464E9" w:rsidRPr="00C708FD" w:rsidRDefault="007464E9" w:rsidP="007464E9">
      <w:pPr>
        <w:pStyle w:val="5"/>
      </w:pPr>
      <w:r w:rsidRPr="00C708FD">
        <w:rPr>
          <w:rFonts w:hint="eastAsia"/>
        </w:rPr>
        <w:t>地方政府主管之學校：該</w:t>
      </w:r>
      <w:proofErr w:type="gramStart"/>
      <w:r w:rsidRPr="00C708FD">
        <w:rPr>
          <w:rFonts w:hint="eastAsia"/>
        </w:rPr>
        <w:t>部已督</w:t>
      </w:r>
      <w:proofErr w:type="gramEnd"/>
      <w:r w:rsidRPr="00C708FD">
        <w:rPr>
          <w:rFonts w:hint="eastAsia"/>
        </w:rPr>
        <w:t>請地方政府依據學生輔導法督導學校依規聘任，並已自112年起納入中央對直轄市及縣(市)政府一般教育補助款考核項目。</w:t>
      </w:r>
    </w:p>
    <w:p w:rsidR="007464E9" w:rsidRPr="00C708FD" w:rsidRDefault="007464E9" w:rsidP="007464E9">
      <w:pPr>
        <w:pStyle w:val="4"/>
      </w:pPr>
      <w:r w:rsidRPr="00C708FD">
        <w:rPr>
          <w:rFonts w:hint="eastAsia"/>
        </w:rPr>
        <w:t>專任專業輔導人員：</w:t>
      </w:r>
    </w:p>
    <w:p w:rsidR="007464E9" w:rsidRPr="00C708FD" w:rsidRDefault="007464E9" w:rsidP="007464E9">
      <w:pPr>
        <w:pStyle w:val="5"/>
      </w:pPr>
      <w:r w:rsidRPr="00C708FD">
        <w:rPr>
          <w:rFonts w:hint="eastAsia"/>
        </w:rPr>
        <w:lastRenderedPageBreak/>
        <w:t>為了解各地方政府</w:t>
      </w:r>
      <w:r w:rsidR="009A5019" w:rsidRPr="00C708FD">
        <w:rPr>
          <w:rFonts w:hint="eastAsia"/>
        </w:rPr>
        <w:t>專業輔導人員</w:t>
      </w:r>
      <w:r w:rsidRPr="00C708FD">
        <w:rPr>
          <w:rFonts w:hint="eastAsia"/>
        </w:rPr>
        <w:t>聘任情形，教育部</w:t>
      </w:r>
      <w:proofErr w:type="gramStart"/>
      <w:r w:rsidRPr="00C708FD">
        <w:rPr>
          <w:rFonts w:hint="eastAsia"/>
        </w:rPr>
        <w:t>每季請各</w:t>
      </w:r>
      <w:proofErr w:type="gramEnd"/>
      <w:r w:rsidRPr="00C708FD">
        <w:rPr>
          <w:rFonts w:hint="eastAsia"/>
        </w:rPr>
        <w:t>地方政府填報相關執行情況，以</w:t>
      </w:r>
      <w:proofErr w:type="gramStart"/>
      <w:r w:rsidRPr="00C708FD">
        <w:rPr>
          <w:rFonts w:hint="eastAsia"/>
        </w:rPr>
        <w:t>掌握專輔人</w:t>
      </w:r>
      <w:proofErr w:type="gramEnd"/>
      <w:r w:rsidRPr="00C708FD">
        <w:rPr>
          <w:rFonts w:hint="eastAsia"/>
        </w:rPr>
        <w:t>員聘用率及流動率；另於相關會議(如全國輔</w:t>
      </w:r>
      <w:proofErr w:type="gramStart"/>
      <w:r w:rsidRPr="00C708FD">
        <w:rPr>
          <w:rFonts w:hint="eastAsia"/>
        </w:rPr>
        <w:t>諮</w:t>
      </w:r>
      <w:proofErr w:type="gramEnd"/>
      <w:r w:rsidRPr="00C708FD">
        <w:rPr>
          <w:rFonts w:hint="eastAsia"/>
        </w:rPr>
        <w:t>中心聯繫會議)加強宣導及督導各地方政府</w:t>
      </w:r>
      <w:proofErr w:type="gramStart"/>
      <w:r w:rsidRPr="00C708FD">
        <w:rPr>
          <w:rFonts w:hint="eastAsia"/>
        </w:rPr>
        <w:t>確依規定聘</w:t>
      </w:r>
      <w:proofErr w:type="gramEnd"/>
      <w:r w:rsidRPr="00C708FD">
        <w:rPr>
          <w:rFonts w:hint="eastAsia"/>
        </w:rPr>
        <w:t>足</w:t>
      </w:r>
      <w:r w:rsidR="009A5019" w:rsidRPr="00C708FD">
        <w:rPr>
          <w:rFonts w:hint="eastAsia"/>
        </w:rPr>
        <w:t>專業輔導人員</w:t>
      </w:r>
      <w:r w:rsidRPr="00C708FD">
        <w:rPr>
          <w:rFonts w:hint="eastAsia"/>
        </w:rPr>
        <w:t>，並鼓勵採計</w:t>
      </w:r>
      <w:r w:rsidR="009A5019" w:rsidRPr="00C708FD">
        <w:rPr>
          <w:rFonts w:hint="eastAsia"/>
        </w:rPr>
        <w:t>專業輔導人員</w:t>
      </w:r>
      <w:r w:rsidRPr="00C708FD">
        <w:rPr>
          <w:rFonts w:hint="eastAsia"/>
        </w:rPr>
        <w:t>職前年資</w:t>
      </w:r>
      <w:proofErr w:type="gramStart"/>
      <w:r w:rsidRPr="00C708FD">
        <w:rPr>
          <w:rFonts w:hint="eastAsia"/>
        </w:rPr>
        <w:t>並晉</w:t>
      </w:r>
      <w:proofErr w:type="gramEnd"/>
      <w:r w:rsidRPr="00C708FD">
        <w:rPr>
          <w:rFonts w:hint="eastAsia"/>
        </w:rPr>
        <w:t>薪，以利輔導業務之推展。</w:t>
      </w:r>
    </w:p>
    <w:p w:rsidR="007464E9" w:rsidRPr="00C708FD" w:rsidRDefault="007464E9" w:rsidP="007464E9">
      <w:pPr>
        <w:pStyle w:val="5"/>
      </w:pPr>
      <w:r w:rsidRPr="00C708FD">
        <w:rPr>
          <w:rFonts w:hint="eastAsia"/>
        </w:rPr>
        <w:t>為強化督導各地方政府進用</w:t>
      </w:r>
      <w:r w:rsidR="009A5019" w:rsidRPr="00C708FD">
        <w:rPr>
          <w:rFonts w:hint="eastAsia"/>
        </w:rPr>
        <w:t>專業輔導人員</w:t>
      </w:r>
      <w:r w:rsidRPr="00C708FD">
        <w:rPr>
          <w:rFonts w:hint="eastAsia"/>
        </w:rPr>
        <w:t>，</w:t>
      </w:r>
      <w:proofErr w:type="gramStart"/>
      <w:r w:rsidRPr="00C708FD">
        <w:rPr>
          <w:rFonts w:hint="eastAsia"/>
        </w:rPr>
        <w:t>該部已將</w:t>
      </w:r>
      <w:proofErr w:type="gramEnd"/>
      <w:r w:rsidRPr="00C708FD">
        <w:rPr>
          <w:rFonts w:hint="eastAsia"/>
        </w:rPr>
        <w:t>「學生輔導工作及輔導人力運用計畫辦理情形(包含</w:t>
      </w:r>
      <w:r w:rsidR="009A5019" w:rsidRPr="00C708FD">
        <w:rPr>
          <w:rFonts w:hint="eastAsia"/>
        </w:rPr>
        <w:t>專業輔導人員</w:t>
      </w:r>
      <w:r w:rsidRPr="00C708FD">
        <w:rPr>
          <w:rFonts w:hint="eastAsia"/>
        </w:rPr>
        <w:t>聘用情形及</w:t>
      </w:r>
      <w:proofErr w:type="gramStart"/>
      <w:r w:rsidRPr="00C708FD">
        <w:rPr>
          <w:rFonts w:hint="eastAsia"/>
        </w:rPr>
        <w:t>未聘足</w:t>
      </w:r>
      <w:proofErr w:type="gramEnd"/>
      <w:r w:rsidRPr="00C708FD">
        <w:rPr>
          <w:rFonts w:hint="eastAsia"/>
        </w:rPr>
        <w:t>之檢討督導作為)」納入對地方教育事務視導工作項目，並將「依學生輔導法及偏遠地區學校教育發展條例置</w:t>
      </w:r>
      <w:r w:rsidR="009A5019" w:rsidRPr="00C708FD">
        <w:rPr>
          <w:rFonts w:hint="eastAsia"/>
        </w:rPr>
        <w:t>專業輔導人員</w:t>
      </w:r>
      <w:r w:rsidRPr="00C708FD">
        <w:rPr>
          <w:rFonts w:hint="eastAsia"/>
        </w:rPr>
        <w:t>」納入中央對直轄市及縣(市)政府一般教育補助款考核項目。該部將逐一對各地方政府進行盤點列管，並適時予以協助。</w:t>
      </w:r>
    </w:p>
    <w:p w:rsidR="007464E9" w:rsidRPr="00C708FD" w:rsidRDefault="007464E9" w:rsidP="007464E9">
      <w:pPr>
        <w:pStyle w:val="4"/>
      </w:pPr>
      <w:r w:rsidRPr="00C708FD">
        <w:rPr>
          <w:rFonts w:hint="eastAsia"/>
        </w:rPr>
        <w:t>為了解各地方政府專任輔導教師及專業輔導人員</w:t>
      </w:r>
      <w:proofErr w:type="gramStart"/>
      <w:r w:rsidRPr="00C708FD">
        <w:rPr>
          <w:rFonts w:hint="eastAsia"/>
        </w:rPr>
        <w:t>未聘足原因</w:t>
      </w:r>
      <w:proofErr w:type="gramEnd"/>
      <w:r w:rsidRPr="00C708FD">
        <w:rPr>
          <w:rFonts w:hint="eastAsia"/>
        </w:rPr>
        <w:t>，並積極研謀改善，</w:t>
      </w:r>
      <w:proofErr w:type="gramStart"/>
      <w:r w:rsidRPr="00C708FD">
        <w:rPr>
          <w:rFonts w:hint="eastAsia"/>
        </w:rPr>
        <w:t>國教署業</w:t>
      </w:r>
      <w:proofErr w:type="gramEnd"/>
      <w:r w:rsidRPr="00C708FD">
        <w:rPr>
          <w:rFonts w:hint="eastAsia"/>
        </w:rPr>
        <w:t>於112年5月25日召開「研商改善各地方政府置輔導人力聘任相關事宜會議」，並請各地方政府持續督導主管公私立學校進用足額輔導教師及專業輔導人員，以利三級輔導機制完整運作。</w:t>
      </w:r>
    </w:p>
    <w:p w:rsidR="001E101E" w:rsidRPr="00C708FD" w:rsidRDefault="009A5019" w:rsidP="001E101E">
      <w:pPr>
        <w:pStyle w:val="3"/>
      </w:pPr>
      <w:r w:rsidRPr="00C708FD">
        <w:rPr>
          <w:rFonts w:hint="eastAsia"/>
        </w:rPr>
        <w:t>綜上</w:t>
      </w:r>
      <w:r w:rsidRPr="00C708FD">
        <w:rPr>
          <w:rFonts w:hAnsi="標楷體" w:hint="eastAsia"/>
        </w:rPr>
        <w:t>，</w:t>
      </w:r>
      <w:r w:rsidRPr="00C708FD">
        <w:rPr>
          <w:rFonts w:hint="eastAsia"/>
        </w:rPr>
        <w:t>各地方政府專任輔導教師及專業輔導人員目前有</w:t>
      </w:r>
      <w:proofErr w:type="gramStart"/>
      <w:r w:rsidRPr="00C708FD">
        <w:rPr>
          <w:rFonts w:hint="eastAsia"/>
        </w:rPr>
        <w:t>未聘足之</w:t>
      </w:r>
      <w:proofErr w:type="gramEnd"/>
      <w:r w:rsidRPr="00C708FD">
        <w:rPr>
          <w:rFonts w:hint="eastAsia"/>
        </w:rPr>
        <w:t>情形</w:t>
      </w:r>
      <w:r w:rsidRPr="00C708FD">
        <w:rPr>
          <w:rFonts w:hAnsi="標楷體" w:hint="eastAsia"/>
        </w:rPr>
        <w:t>，</w:t>
      </w:r>
      <w:r w:rsidRPr="00C708FD">
        <w:rPr>
          <w:rFonts w:hint="eastAsia"/>
        </w:rPr>
        <w:t>教育部應督促各地方政府持續督導主管公私立學校進用足額專任輔導教師及專業輔導人員。</w:t>
      </w:r>
    </w:p>
    <w:p w:rsidR="007446E5" w:rsidRPr="00C708FD" w:rsidRDefault="00EA4A18" w:rsidP="0064353A">
      <w:pPr>
        <w:pStyle w:val="110"/>
      </w:pPr>
      <w:r w:rsidRPr="00C708FD">
        <w:rPr>
          <w:rFonts w:hint="eastAsia"/>
        </w:rPr>
        <w:t>本案新北市犯嫌持用以模擬槍改造之衝鋒槍與111年6月臺南市歸仁區槍殺案犯嫌所持用槍枝雷同，</w:t>
      </w:r>
      <w:r w:rsidR="000409EC" w:rsidRPr="00C708FD">
        <w:rPr>
          <w:rFonts w:hint="eastAsia"/>
        </w:rPr>
        <w:t>檢察機關、警政署</w:t>
      </w:r>
      <w:r w:rsidRPr="00C708FD">
        <w:rPr>
          <w:rFonts w:hint="eastAsia"/>
        </w:rPr>
        <w:t>及各地警察機關應溯源查緝</w:t>
      </w:r>
      <w:r w:rsidR="000409EC" w:rsidRPr="00C708FD">
        <w:rPr>
          <w:rFonts w:hint="eastAsia"/>
        </w:rPr>
        <w:t>，從源頭阻</w:t>
      </w:r>
      <w:r w:rsidR="000409EC" w:rsidRPr="00C708FD">
        <w:rPr>
          <w:rFonts w:hint="eastAsia"/>
        </w:rPr>
        <w:lastRenderedPageBreak/>
        <w:t>斷黑槍，另警政署對於模擬槍之管制及防止改造亦應督導各地警察機關落實執行。</w:t>
      </w:r>
    </w:p>
    <w:p w:rsidR="00715453" w:rsidRPr="00C708FD" w:rsidRDefault="000409EC" w:rsidP="00715453">
      <w:pPr>
        <w:pStyle w:val="3"/>
      </w:pPr>
      <w:r w:rsidRPr="00C708FD">
        <w:rPr>
          <w:rFonts w:hint="eastAsia"/>
          <w:b/>
        </w:rPr>
        <w:t>檢察機關、警政署及各地警察機關應溯源查緝犯案槍枝，從源頭阻斷黑槍</w:t>
      </w:r>
      <w:r w:rsidR="003433DA" w:rsidRPr="00C708FD">
        <w:rPr>
          <w:rFonts w:hint="eastAsia"/>
          <w:b/>
        </w:rPr>
        <w:t>：</w:t>
      </w:r>
    </w:p>
    <w:p w:rsidR="005F7B53" w:rsidRPr="00C708FD" w:rsidRDefault="000409EC" w:rsidP="009A06F5">
      <w:pPr>
        <w:pStyle w:val="4"/>
      </w:pPr>
      <w:r w:rsidRPr="00C708FD">
        <w:rPr>
          <w:rFonts w:hint="eastAsia"/>
        </w:rPr>
        <w:t>高檢署於110年8月16日召集「打擊不法犯罪組織聯繫會議」，邀集全國各地檢署、刑事警察局、各警局刑事警察大隊，藉由聯繫會議達成共識，以打擊不法犯罪組織，有效壓制犯罪。</w:t>
      </w:r>
      <w:r w:rsidR="005F7B53" w:rsidRPr="00C708FD">
        <w:rPr>
          <w:rFonts w:hint="eastAsia"/>
        </w:rPr>
        <w:t>其中</w:t>
      </w:r>
      <w:r w:rsidRPr="00C708FD">
        <w:rPr>
          <w:rFonts w:hint="eastAsia"/>
        </w:rPr>
        <w:t>有關精進持有槍械案件之偵查及</w:t>
      </w:r>
      <w:proofErr w:type="gramStart"/>
      <w:r w:rsidRPr="00C708FD">
        <w:rPr>
          <w:rFonts w:hint="eastAsia"/>
        </w:rPr>
        <w:t>鑑</w:t>
      </w:r>
      <w:proofErr w:type="gramEnd"/>
      <w:r w:rsidRPr="00C708FD">
        <w:rPr>
          <w:rFonts w:hint="eastAsia"/>
        </w:rPr>
        <w:t>驗作為：</w:t>
      </w:r>
    </w:p>
    <w:p w:rsidR="00715453" w:rsidRPr="00C708FD" w:rsidRDefault="00CA24AC" w:rsidP="005F7B53">
      <w:pPr>
        <w:pStyle w:val="5"/>
      </w:pPr>
      <w:r w:rsidRPr="00C708FD">
        <w:rPr>
          <w:rFonts w:hint="eastAsia"/>
        </w:rPr>
        <w:t>肅清非法槍械案件應主動報請專責檢察官指揮偵辦，</w:t>
      </w:r>
      <w:proofErr w:type="gramStart"/>
      <w:r w:rsidRPr="00C708FD">
        <w:rPr>
          <w:rFonts w:hint="eastAsia"/>
        </w:rPr>
        <w:t>俾</w:t>
      </w:r>
      <w:proofErr w:type="gramEnd"/>
      <w:r w:rsidRPr="00C708FD">
        <w:rPr>
          <w:rFonts w:hint="eastAsia"/>
        </w:rPr>
        <w:t>利溯源及完備強制處分聲請要件，查</w:t>
      </w:r>
      <w:proofErr w:type="gramStart"/>
      <w:r w:rsidRPr="00C708FD">
        <w:rPr>
          <w:rFonts w:hint="eastAsia"/>
        </w:rPr>
        <w:t>扣槍枝</w:t>
      </w:r>
      <w:proofErr w:type="gramEnd"/>
      <w:r w:rsidRPr="00C708FD">
        <w:rPr>
          <w:rFonts w:hint="eastAsia"/>
        </w:rPr>
        <w:t>若有溯源可能，高檢署亦要求所屬各地檢署指派檢察官積極溯源。</w:t>
      </w:r>
    </w:p>
    <w:p w:rsidR="00CA24AC" w:rsidRPr="00C708FD" w:rsidRDefault="00CA24AC" w:rsidP="005F7B53">
      <w:pPr>
        <w:pStyle w:val="5"/>
      </w:pPr>
      <w:r w:rsidRPr="00C708FD">
        <w:rPr>
          <w:rFonts w:hint="eastAsia"/>
        </w:rPr>
        <w:t>針對足供改造之模型槍枝，建請刑事警察局推動實施</w:t>
      </w:r>
      <w:proofErr w:type="gramStart"/>
      <w:r w:rsidRPr="00C708FD">
        <w:rPr>
          <w:rFonts w:hint="eastAsia"/>
        </w:rPr>
        <w:t>熔碼實名制</w:t>
      </w:r>
      <w:proofErr w:type="gramEnd"/>
      <w:r w:rsidRPr="00C708FD">
        <w:rPr>
          <w:rFonts w:hint="eastAsia"/>
        </w:rPr>
        <w:t>，以加強管理來源及去向，斷絕改造槍械來源。</w:t>
      </w:r>
    </w:p>
    <w:p w:rsidR="00CA24AC" w:rsidRPr="00C708FD" w:rsidRDefault="00CA24AC" w:rsidP="005F7B53">
      <w:pPr>
        <w:pStyle w:val="5"/>
      </w:pPr>
      <w:r w:rsidRPr="00C708FD">
        <w:rPr>
          <w:rFonts w:hint="eastAsia"/>
        </w:rPr>
        <w:t>針對建議設置北、中、南非法槍械快速</w:t>
      </w:r>
      <w:proofErr w:type="gramStart"/>
      <w:r w:rsidRPr="00C708FD">
        <w:rPr>
          <w:rFonts w:hint="eastAsia"/>
        </w:rPr>
        <w:t>鑑</w:t>
      </w:r>
      <w:proofErr w:type="gramEnd"/>
      <w:r w:rsidRPr="00C708FD">
        <w:rPr>
          <w:rFonts w:hint="eastAsia"/>
        </w:rPr>
        <w:t>識中心，將槍枝初步檢視與複驗檢測合而為一，提供準確、快速之槍枝鑑識，以解決前此二者認定不一致之執法風險，俾利承辦檢察官可於第一時間向法院聲請羈押。</w:t>
      </w:r>
    </w:p>
    <w:p w:rsidR="00CA24AC" w:rsidRPr="00C708FD" w:rsidRDefault="00CA24AC" w:rsidP="005F7B53">
      <w:pPr>
        <w:pStyle w:val="5"/>
      </w:pPr>
      <w:r w:rsidRPr="00C708FD">
        <w:rPr>
          <w:rFonts w:hint="eastAsia"/>
        </w:rPr>
        <w:t>刑事</w:t>
      </w:r>
      <w:proofErr w:type="gramStart"/>
      <w:r w:rsidRPr="00C708FD">
        <w:rPr>
          <w:rFonts w:hint="eastAsia"/>
        </w:rPr>
        <w:t>警察局函頒新</w:t>
      </w:r>
      <w:proofErr w:type="gramEnd"/>
      <w:r w:rsidRPr="00C708FD">
        <w:rPr>
          <w:rFonts w:hint="eastAsia"/>
        </w:rPr>
        <w:t>檢測執行書，以具專業性之檢測作業檢測殺傷力，及時提供槍枝「性能檢測報告表」，作為檢察機關辦理刑事案件之依據。</w:t>
      </w:r>
    </w:p>
    <w:p w:rsidR="00CA24AC" w:rsidRPr="00C708FD" w:rsidRDefault="00CA24AC" w:rsidP="005F7B53">
      <w:pPr>
        <w:pStyle w:val="5"/>
      </w:pPr>
      <w:r w:rsidRPr="00C708FD">
        <w:rPr>
          <w:rFonts w:hint="eastAsia"/>
        </w:rPr>
        <w:t>現階段重大案件如有聲</w:t>
      </w:r>
      <w:proofErr w:type="gramStart"/>
      <w:r w:rsidRPr="00C708FD">
        <w:rPr>
          <w:rFonts w:hint="eastAsia"/>
        </w:rPr>
        <w:t>押</w:t>
      </w:r>
      <w:proofErr w:type="gramEnd"/>
      <w:r w:rsidRPr="00C708FD">
        <w:rPr>
          <w:rFonts w:hint="eastAsia"/>
        </w:rPr>
        <w:t>必要時，建請刑事警察局於檢察官</w:t>
      </w:r>
      <w:proofErr w:type="gramStart"/>
      <w:r w:rsidRPr="00C708FD">
        <w:rPr>
          <w:rFonts w:hint="eastAsia"/>
        </w:rPr>
        <w:t>聲押</w:t>
      </w:r>
      <w:proofErr w:type="gramEnd"/>
      <w:r w:rsidRPr="00C708FD">
        <w:rPr>
          <w:rFonts w:hint="eastAsia"/>
        </w:rPr>
        <w:t>前提供最終槍枝鑑定報告書。</w:t>
      </w:r>
    </w:p>
    <w:p w:rsidR="00D628DF" w:rsidRPr="00C708FD" w:rsidRDefault="00D628DF" w:rsidP="00E2633A">
      <w:pPr>
        <w:pStyle w:val="4"/>
        <w:rPr>
          <w:b/>
        </w:rPr>
      </w:pPr>
      <w:r w:rsidRPr="00C708FD">
        <w:rPr>
          <w:rFonts w:hint="eastAsia"/>
          <w:b/>
        </w:rPr>
        <w:t>高檢署於</w:t>
      </w:r>
      <w:r w:rsidRPr="00C708FD">
        <w:rPr>
          <w:rFonts w:cs="TimesNewRomanPSMT"/>
          <w:b/>
        </w:rPr>
        <w:t>111</w:t>
      </w:r>
      <w:r w:rsidRPr="00C708FD">
        <w:rPr>
          <w:rFonts w:hint="eastAsia"/>
          <w:b/>
        </w:rPr>
        <w:t>年</w:t>
      </w:r>
      <w:r w:rsidRPr="00C708FD">
        <w:rPr>
          <w:rFonts w:cs="TimesNewRomanPSMT"/>
          <w:b/>
        </w:rPr>
        <w:t>8</w:t>
      </w:r>
      <w:r w:rsidRPr="00C708FD">
        <w:rPr>
          <w:rFonts w:hint="eastAsia"/>
          <w:b/>
        </w:rPr>
        <w:t>月</w:t>
      </w:r>
      <w:r w:rsidRPr="00C708FD">
        <w:rPr>
          <w:rFonts w:cs="TimesNewRomanPSMT"/>
          <w:b/>
        </w:rPr>
        <w:t>18</w:t>
      </w:r>
      <w:r w:rsidRPr="00C708FD">
        <w:rPr>
          <w:rFonts w:hint="eastAsia"/>
          <w:b/>
        </w:rPr>
        <w:t>日召集「檢警合作肅清槍械案件聯繫觀摩與策進會議」，邀集全國各地檢署、</w:t>
      </w:r>
      <w:r w:rsidRPr="00C708FD">
        <w:rPr>
          <w:rFonts w:hint="eastAsia"/>
          <w:b/>
        </w:rPr>
        <w:lastRenderedPageBreak/>
        <w:t>刑事警察局、各警局刑事警察大隊，藉由聯繫會議達成共識，積極偵辦持有槍械之重大治安案件，有效打擊犯罪。達成共識之決議內容如下：</w:t>
      </w:r>
    </w:p>
    <w:p w:rsidR="00B62F88" w:rsidRPr="00C708FD" w:rsidRDefault="00B62F88" w:rsidP="00B62F88">
      <w:pPr>
        <w:pStyle w:val="5"/>
      </w:pPr>
      <w:r w:rsidRPr="00C708FD">
        <w:rPr>
          <w:rFonts w:hint="eastAsia"/>
        </w:rPr>
        <w:t>協助警方提升打擊不法犯罪組織量能，高檢署所屬各地檢署早有成立掃黑專責組別，由專組檢察官負責掃黑案件偵辦。遇是類案件，員警應儘早向各地檢署報請指揮，</w:t>
      </w:r>
      <w:proofErr w:type="gramStart"/>
      <w:r w:rsidRPr="00C708FD">
        <w:rPr>
          <w:rFonts w:hint="eastAsia"/>
        </w:rPr>
        <w:t>俾</w:t>
      </w:r>
      <w:proofErr w:type="gramEnd"/>
      <w:r w:rsidRPr="00C708FD">
        <w:rPr>
          <w:rFonts w:hint="eastAsia"/>
        </w:rPr>
        <w:t>能在專責檢察官指揮下有效充分準備、密切配合，確保證據品質與價值，始能有助檢察官聲請羈押及法院准予羈押心證之形成，有效遏止犯罪。若遇溝通、協調上障礙難解，轉陳高檢署「打擊不法犯罪組織協調聯繫平</w:t>
      </w:r>
      <w:proofErr w:type="gramStart"/>
      <w:r w:rsidRPr="00C708FD">
        <w:rPr>
          <w:rFonts w:hint="eastAsia"/>
        </w:rPr>
        <w:t>臺</w:t>
      </w:r>
      <w:proofErr w:type="gramEnd"/>
      <w:r w:rsidRPr="00C708FD">
        <w:rPr>
          <w:rFonts w:hint="eastAsia"/>
        </w:rPr>
        <w:t>」協調處理。</w:t>
      </w:r>
    </w:p>
    <w:p w:rsidR="00B62F88" w:rsidRPr="00C708FD" w:rsidRDefault="00B62F88" w:rsidP="00B62F88">
      <w:pPr>
        <w:pStyle w:val="5"/>
      </w:pPr>
      <w:r w:rsidRPr="00C708FD">
        <w:rPr>
          <w:rFonts w:hint="eastAsia"/>
        </w:rPr>
        <w:t>提升司法警察於調查階段即應留意蒐集構成羈押要件相關事證之能力，</w:t>
      </w:r>
      <w:proofErr w:type="gramStart"/>
      <w:r w:rsidRPr="00C708FD">
        <w:rPr>
          <w:rFonts w:hint="eastAsia"/>
        </w:rPr>
        <w:t>俾</w:t>
      </w:r>
      <w:proofErr w:type="gramEnd"/>
      <w:r w:rsidRPr="00C708FD">
        <w:rPr>
          <w:rFonts w:hint="eastAsia"/>
        </w:rPr>
        <w:t>檢察官向法院聲請羈押獲准。另依槍砲彈藥刀械管制條例第</w:t>
      </w:r>
      <w:r w:rsidRPr="00C708FD">
        <w:rPr>
          <w:rFonts w:cs="TimesNewRomanPSMT"/>
        </w:rPr>
        <w:t>18</w:t>
      </w:r>
      <w:r w:rsidRPr="00C708FD">
        <w:rPr>
          <w:rFonts w:hint="eastAsia"/>
        </w:rPr>
        <w:t>條第</w:t>
      </w:r>
      <w:r w:rsidRPr="00C708FD">
        <w:rPr>
          <w:rFonts w:cs="TimesNewRomanPSMT"/>
        </w:rPr>
        <w:t>4</w:t>
      </w:r>
      <w:r w:rsidRPr="00C708FD">
        <w:rPr>
          <w:rFonts w:hint="eastAsia"/>
        </w:rPr>
        <w:t>項及證人保護法第</w:t>
      </w:r>
      <w:r w:rsidRPr="00C708FD">
        <w:rPr>
          <w:rFonts w:cs="TimesNewRomanPSMT"/>
        </w:rPr>
        <w:t>14</w:t>
      </w:r>
      <w:r w:rsidRPr="00C708FD">
        <w:rPr>
          <w:rFonts w:hint="eastAsia"/>
        </w:rPr>
        <w:t>條第</w:t>
      </w:r>
      <w:r w:rsidRPr="00C708FD">
        <w:rPr>
          <w:rFonts w:cs="TimesNewRomanPSMT"/>
        </w:rPr>
        <w:t>3</w:t>
      </w:r>
      <w:r w:rsidRPr="00C708FD">
        <w:rPr>
          <w:rFonts w:hint="eastAsia"/>
        </w:rPr>
        <w:t>項規定，二規範目的、要件及寬典效果有別，適用範圍不一，倘同時符合二種減免</w:t>
      </w:r>
      <w:proofErr w:type="gramStart"/>
      <w:r w:rsidRPr="00C708FD">
        <w:rPr>
          <w:rFonts w:hint="eastAsia"/>
        </w:rPr>
        <w:t>其刑寬典</w:t>
      </w:r>
      <w:proofErr w:type="gramEnd"/>
      <w:r w:rsidRPr="00C708FD">
        <w:rPr>
          <w:rFonts w:hint="eastAsia"/>
        </w:rPr>
        <w:t>要件，而未依其中一種免刑者，尚能</w:t>
      </w:r>
      <w:proofErr w:type="gramStart"/>
      <w:r w:rsidRPr="00C708FD">
        <w:rPr>
          <w:rFonts w:hint="eastAsia"/>
        </w:rPr>
        <w:t>依另種遞</w:t>
      </w:r>
      <w:proofErr w:type="gramEnd"/>
      <w:r w:rsidRPr="00C708FD">
        <w:rPr>
          <w:rFonts w:hint="eastAsia"/>
        </w:rPr>
        <w:t>予減刑，甚至免刑；</w:t>
      </w:r>
      <w:proofErr w:type="gramStart"/>
      <w:r w:rsidRPr="00C708FD">
        <w:rPr>
          <w:rFonts w:hint="eastAsia"/>
        </w:rPr>
        <w:t>縱不符合</w:t>
      </w:r>
      <w:proofErr w:type="gramEnd"/>
      <w:r w:rsidRPr="00C708FD">
        <w:rPr>
          <w:rFonts w:hint="eastAsia"/>
        </w:rPr>
        <w:t>其中一種寛典要件，仍有可能符合另種情形，為槍枝溯源與清查流向利器，惟均奠基於能證明被告持有槍枝犯罪之堅實事證，請偵辦員警與承辦檢察官密切配合，縝密蒐證，期能有效肅清不法槍械。</w:t>
      </w:r>
    </w:p>
    <w:p w:rsidR="00FA7962" w:rsidRPr="00C708FD" w:rsidRDefault="000409EC" w:rsidP="00E2633A">
      <w:pPr>
        <w:pStyle w:val="4"/>
        <w:rPr>
          <w:b/>
        </w:rPr>
      </w:pPr>
      <w:r w:rsidRPr="00C708FD">
        <w:rPr>
          <w:rFonts w:hint="eastAsia"/>
          <w:b/>
        </w:rPr>
        <w:t>刑事警察局說明：</w:t>
      </w:r>
    </w:p>
    <w:p w:rsidR="00CA681D" w:rsidRPr="00C708FD" w:rsidRDefault="00CA24AC" w:rsidP="00E2633A">
      <w:pPr>
        <w:pStyle w:val="5"/>
      </w:pPr>
      <w:r w:rsidRPr="00C708FD">
        <w:rPr>
          <w:rFonts w:hint="eastAsia"/>
        </w:rPr>
        <w:t>該局</w:t>
      </w:r>
      <w:proofErr w:type="gramStart"/>
      <w:r w:rsidRPr="00C708FD">
        <w:rPr>
          <w:rFonts w:hint="eastAsia"/>
        </w:rPr>
        <w:t>鑑</w:t>
      </w:r>
      <w:proofErr w:type="gramEnd"/>
      <w:r w:rsidRPr="00C708FD">
        <w:rPr>
          <w:rFonts w:hint="eastAsia"/>
        </w:rPr>
        <w:t>識科針對送鑑槍</w:t>
      </w:r>
      <w:proofErr w:type="gramStart"/>
      <w:r w:rsidRPr="00C708FD">
        <w:rPr>
          <w:rFonts w:hint="eastAsia"/>
        </w:rPr>
        <w:t>枝均逐</w:t>
      </w:r>
      <w:proofErr w:type="gramEnd"/>
      <w:r w:rsidRPr="00C708FD">
        <w:rPr>
          <w:rFonts w:hint="eastAsia"/>
        </w:rPr>
        <w:t>案拍攝影像建檔，依槍枝外觀、構造、廠牌、標記等字樣進行分類、記錄並出具鑑定書</w:t>
      </w:r>
      <w:r w:rsidRPr="00C708FD">
        <w:rPr>
          <w:rFonts w:ascii="新細明體" w:eastAsia="新細明體" w:hAnsi="新細明體" w:hint="eastAsia"/>
        </w:rPr>
        <w:t>。</w:t>
      </w:r>
      <w:r w:rsidRPr="00C708FD">
        <w:rPr>
          <w:rFonts w:hint="eastAsia"/>
        </w:rPr>
        <w:t>另針對改造槍械場所查獲之槍枝或設計圖，亦會記錄改造手法、槍枝構造等具辨識性之特徵，</w:t>
      </w:r>
      <w:proofErr w:type="gramStart"/>
      <w:r w:rsidRPr="00C708FD">
        <w:rPr>
          <w:rFonts w:hint="eastAsia"/>
        </w:rPr>
        <w:t>鑑</w:t>
      </w:r>
      <w:proofErr w:type="gramEnd"/>
      <w:r w:rsidRPr="00C708FD">
        <w:rPr>
          <w:rFonts w:hint="eastAsia"/>
        </w:rPr>
        <w:t>驗發現疑</w:t>
      </w:r>
      <w:r w:rsidRPr="00C708FD">
        <w:rPr>
          <w:rFonts w:hint="eastAsia"/>
        </w:rPr>
        <w:lastRenderedPageBreak/>
        <w:t>似出自同改造場所之</w:t>
      </w:r>
      <w:proofErr w:type="gramStart"/>
      <w:r w:rsidRPr="00C708FD">
        <w:rPr>
          <w:rFonts w:hint="eastAsia"/>
        </w:rPr>
        <w:t>槍枝會進</w:t>
      </w:r>
      <w:proofErr w:type="gramEnd"/>
      <w:r w:rsidRPr="00C708FD">
        <w:rPr>
          <w:rFonts w:hint="eastAsia"/>
        </w:rPr>
        <w:t>行比對、連結，以追溯槍枝改造來源。</w:t>
      </w:r>
    </w:p>
    <w:p w:rsidR="00CA681D" w:rsidRPr="00C708FD" w:rsidRDefault="00CA24AC" w:rsidP="00E2633A">
      <w:pPr>
        <w:pStyle w:val="5"/>
      </w:pPr>
      <w:bookmarkStart w:id="28" w:name="_Hlk142840894"/>
      <w:r w:rsidRPr="00C708FD">
        <w:rPr>
          <w:rFonts w:hint="eastAsia"/>
        </w:rPr>
        <w:t>已針對鑑定同型號槍枝進行分析過濾，將曾遭查獲涉案QC10型模擬槍店家及生產類似零配件之廠商列入重點</w:t>
      </w:r>
      <w:proofErr w:type="gramStart"/>
      <w:r w:rsidRPr="00C708FD">
        <w:rPr>
          <w:rFonts w:hint="eastAsia"/>
        </w:rPr>
        <w:t>蒐</w:t>
      </w:r>
      <w:proofErr w:type="gramEnd"/>
      <w:r w:rsidRPr="00C708FD">
        <w:rPr>
          <w:rFonts w:hint="eastAsia"/>
        </w:rPr>
        <w:t>報對象，釐清有無販售非法槍械或進行非法改造槍械情事。</w:t>
      </w:r>
      <w:bookmarkEnd w:id="28"/>
    </w:p>
    <w:p w:rsidR="0089454A" w:rsidRPr="00C708FD" w:rsidRDefault="0089454A" w:rsidP="00E2633A">
      <w:pPr>
        <w:pStyle w:val="5"/>
      </w:pPr>
      <w:r w:rsidRPr="00C708FD">
        <w:rPr>
          <w:rFonts w:hAnsi="標楷體" w:hint="eastAsia"/>
          <w:szCs w:val="48"/>
        </w:rPr>
        <w:t>新北市當舖槍擊案：本案涉案衝鋒槍經查為犯</w:t>
      </w:r>
      <w:proofErr w:type="gramStart"/>
      <w:r w:rsidRPr="00C708FD">
        <w:rPr>
          <w:rFonts w:hAnsi="標楷體" w:hint="eastAsia"/>
          <w:szCs w:val="48"/>
        </w:rPr>
        <w:t>嫌胡男</w:t>
      </w:r>
      <w:proofErr w:type="gramEnd"/>
      <w:r w:rsidRPr="00C708FD">
        <w:rPr>
          <w:rFonts w:hAnsi="標楷體" w:hint="eastAsia"/>
          <w:szCs w:val="48"/>
        </w:rPr>
        <w:t>、袁男所交付，惟2人已逃亡未到案，已由新北地檢署依槍砲彈藥刀械管制條例等罪嫌發佈通緝中。</w:t>
      </w:r>
    </w:p>
    <w:p w:rsidR="0089454A" w:rsidRPr="00C708FD" w:rsidRDefault="0089454A" w:rsidP="00E2633A">
      <w:pPr>
        <w:pStyle w:val="5"/>
      </w:pPr>
      <w:proofErr w:type="gramStart"/>
      <w:r w:rsidRPr="00C708FD">
        <w:rPr>
          <w:rFonts w:hAnsi="標楷體" w:hint="eastAsia"/>
          <w:szCs w:val="48"/>
        </w:rPr>
        <w:t>臺</w:t>
      </w:r>
      <w:proofErr w:type="gramEnd"/>
      <w:r w:rsidRPr="00C708FD">
        <w:rPr>
          <w:rFonts w:hAnsi="標楷體" w:hint="eastAsia"/>
          <w:szCs w:val="48"/>
        </w:rPr>
        <w:t>南市歸仁區槍擊案：本案係犯</w:t>
      </w:r>
      <w:proofErr w:type="gramStart"/>
      <w:r w:rsidRPr="00C708FD">
        <w:rPr>
          <w:rFonts w:hAnsi="標楷體" w:hint="eastAsia"/>
          <w:szCs w:val="48"/>
        </w:rPr>
        <w:t>嫌張男與</w:t>
      </w:r>
      <w:proofErr w:type="gramEnd"/>
      <w:r w:rsidRPr="00C708FD">
        <w:rPr>
          <w:rFonts w:hAnsi="標楷體" w:hint="eastAsia"/>
          <w:szCs w:val="48"/>
        </w:rPr>
        <w:t>洪男雙方因酒後口角糾紛，於111年6月9日互毆後相約談判，犯嫌洪男及犯</w:t>
      </w:r>
      <w:proofErr w:type="gramStart"/>
      <w:r w:rsidRPr="00C708FD">
        <w:rPr>
          <w:rFonts w:hAnsi="標楷體" w:hint="eastAsia"/>
          <w:szCs w:val="48"/>
        </w:rPr>
        <w:t>嫌吳男分</w:t>
      </w:r>
      <w:proofErr w:type="gramEnd"/>
      <w:r w:rsidRPr="00C708FD">
        <w:rPr>
          <w:rFonts w:hAnsi="標楷體" w:hint="eastAsia"/>
          <w:szCs w:val="48"/>
        </w:rPr>
        <w:t>別持非制式手槍及非制式衝鋒槍到現場，到場後雙方即爆發衝突相互槍擊，造成犯嫌洪男死亡、</w:t>
      </w:r>
      <w:proofErr w:type="gramStart"/>
      <w:r w:rsidRPr="00C708FD">
        <w:rPr>
          <w:rFonts w:hAnsi="標楷體" w:hint="eastAsia"/>
          <w:szCs w:val="48"/>
        </w:rPr>
        <w:t>吳男受</w:t>
      </w:r>
      <w:proofErr w:type="gramEnd"/>
      <w:r w:rsidRPr="00C708FD">
        <w:rPr>
          <w:rFonts w:hAnsi="標楷體" w:hint="eastAsia"/>
          <w:szCs w:val="48"/>
        </w:rPr>
        <w:t>傷。案經</w:t>
      </w:r>
      <w:proofErr w:type="gramStart"/>
      <w:r w:rsidRPr="00C708FD">
        <w:rPr>
          <w:rFonts w:hAnsi="標楷體" w:hint="eastAsia"/>
          <w:szCs w:val="48"/>
        </w:rPr>
        <w:t>臺</w:t>
      </w:r>
      <w:proofErr w:type="gramEnd"/>
      <w:r w:rsidRPr="00C708FD">
        <w:rPr>
          <w:rFonts w:hAnsi="標楷體" w:hint="eastAsia"/>
          <w:szCs w:val="48"/>
        </w:rPr>
        <w:t>南市政府警察局</w:t>
      </w:r>
      <w:proofErr w:type="gramStart"/>
      <w:r w:rsidRPr="00C708FD">
        <w:rPr>
          <w:rFonts w:hAnsi="標楷體" w:hint="eastAsia"/>
          <w:szCs w:val="48"/>
        </w:rPr>
        <w:t>拘捕張男</w:t>
      </w:r>
      <w:proofErr w:type="gramEnd"/>
      <w:r w:rsidRPr="00C708FD">
        <w:rPr>
          <w:rFonts w:hAnsi="標楷體" w:hint="eastAsia"/>
          <w:szCs w:val="48"/>
        </w:rPr>
        <w:t>等相關犯嫌到案，全案依殺人罪、槍砲彈藥刀械管制條例等罪嫌移送</w:t>
      </w:r>
      <w:r w:rsidR="00A635CD" w:rsidRPr="00C708FD">
        <w:rPr>
          <w:rFonts w:hAnsi="標楷體" w:hint="eastAsia"/>
          <w:szCs w:val="48"/>
        </w:rPr>
        <w:t>臺灣</w:t>
      </w:r>
      <w:r w:rsidRPr="00C708FD">
        <w:rPr>
          <w:rFonts w:hAnsi="標楷體" w:hint="eastAsia"/>
          <w:szCs w:val="48"/>
        </w:rPr>
        <w:t>臺南地</w:t>
      </w:r>
      <w:r w:rsidR="00A635CD" w:rsidRPr="00C708FD">
        <w:rPr>
          <w:rFonts w:hAnsi="標楷體" w:hint="eastAsia"/>
          <w:szCs w:val="48"/>
        </w:rPr>
        <w:t>方</w:t>
      </w:r>
      <w:r w:rsidRPr="00C708FD">
        <w:rPr>
          <w:rFonts w:hAnsi="標楷體" w:hint="eastAsia"/>
          <w:szCs w:val="48"/>
        </w:rPr>
        <w:t>檢</w:t>
      </w:r>
      <w:r w:rsidR="00A635CD" w:rsidRPr="00C708FD">
        <w:rPr>
          <w:rFonts w:hAnsi="標楷體" w:hint="eastAsia"/>
          <w:szCs w:val="48"/>
        </w:rPr>
        <w:t>察</w:t>
      </w:r>
      <w:r w:rsidRPr="00C708FD">
        <w:rPr>
          <w:rFonts w:hAnsi="標楷體" w:hint="eastAsia"/>
          <w:szCs w:val="48"/>
        </w:rPr>
        <w:t>署偵辦。本案涉案槍</w:t>
      </w:r>
      <w:proofErr w:type="gramStart"/>
      <w:r w:rsidRPr="00C708FD">
        <w:rPr>
          <w:rFonts w:hAnsi="標楷體" w:hint="eastAsia"/>
          <w:szCs w:val="48"/>
        </w:rPr>
        <w:t>枝經犯嫌吳男</w:t>
      </w:r>
      <w:proofErr w:type="gramEnd"/>
      <w:r w:rsidRPr="00C708FD">
        <w:rPr>
          <w:rFonts w:hAnsi="標楷體" w:hint="eastAsia"/>
          <w:szCs w:val="48"/>
        </w:rPr>
        <w:t>供稱為死亡友人陳男寄放，爰無法進一步追查。</w:t>
      </w:r>
    </w:p>
    <w:p w:rsidR="00316341" w:rsidRPr="00C708FD" w:rsidRDefault="00316341" w:rsidP="00E2633A">
      <w:pPr>
        <w:pStyle w:val="5"/>
      </w:pPr>
      <w:r w:rsidRPr="00C708FD">
        <w:rPr>
          <w:rFonts w:hint="eastAsia"/>
        </w:rPr>
        <w:t>刑事警察局分析近年涉案槍械形態，多屬模擬槍加工改造而成，所使用之子彈亦為市售空包彈製改造而成，且性能與制式槍械不分軒輊，刑事警察局中部打擊犯罪中心主動深入追查改造槍枝源頭，與高雄市</w:t>
      </w:r>
      <w:r w:rsidR="00A635CD" w:rsidRPr="00C708FD">
        <w:rPr>
          <w:rFonts w:hint="eastAsia"/>
        </w:rPr>
        <w:t>政府</w:t>
      </w:r>
      <w:r w:rsidRPr="00C708FD">
        <w:rPr>
          <w:rFonts w:hint="eastAsia"/>
        </w:rPr>
        <w:t>警</w:t>
      </w:r>
      <w:r w:rsidR="00A635CD" w:rsidRPr="00C708FD">
        <w:rPr>
          <w:rFonts w:hint="eastAsia"/>
        </w:rPr>
        <w:t>察</w:t>
      </w:r>
      <w:r w:rsidRPr="00C708FD">
        <w:rPr>
          <w:rFonts w:hint="eastAsia"/>
        </w:rPr>
        <w:t>局刑事警察大隊共組專案小組積極偵辦，追查出屏東地區蔡男及高雄地區</w:t>
      </w:r>
      <w:proofErr w:type="gramStart"/>
      <w:r w:rsidRPr="00C708FD">
        <w:rPr>
          <w:rFonts w:hint="eastAsia"/>
        </w:rPr>
        <w:t>許男涉</w:t>
      </w:r>
      <w:proofErr w:type="gramEnd"/>
      <w:r w:rsidRPr="00C708FD">
        <w:rPr>
          <w:rFonts w:hint="eastAsia"/>
        </w:rPr>
        <w:t>有重嫌。案經專案小組</w:t>
      </w:r>
      <w:proofErr w:type="gramStart"/>
      <w:r w:rsidRPr="00C708FD">
        <w:rPr>
          <w:rFonts w:hint="eastAsia"/>
        </w:rPr>
        <w:t>蒐</w:t>
      </w:r>
      <w:proofErr w:type="gramEnd"/>
      <w:r w:rsidRPr="00C708FD">
        <w:rPr>
          <w:rFonts w:hint="eastAsia"/>
        </w:rPr>
        <w:t>證完備後聲請搜索票查緝，先於112年8月23日在屏東地區埋伏逮獲犯嫌蔡男，在住處查獲非制式槍枝1枝、子彈13顆及改造工具1批等證</w:t>
      </w:r>
      <w:r w:rsidRPr="00C708FD">
        <w:rPr>
          <w:rFonts w:hint="eastAsia"/>
        </w:rPr>
        <w:lastRenderedPageBreak/>
        <w:t>物，另於112年10月23日前往高雄地區埋伏查獲犯</w:t>
      </w:r>
      <w:proofErr w:type="gramStart"/>
      <w:r w:rsidRPr="00C708FD">
        <w:rPr>
          <w:rFonts w:hint="eastAsia"/>
        </w:rPr>
        <w:t>嫌許</w:t>
      </w:r>
      <w:proofErr w:type="gramEnd"/>
      <w:r w:rsidRPr="00C708FD">
        <w:rPr>
          <w:rFonts w:hint="eastAsia"/>
        </w:rPr>
        <w:t>男，並在住處內起獲非制式槍枝1枝、非制式手槍半成品2枝、子彈174顆、鑽床1台等改造工具1批等證物。刑事警察局為防止黑道幫派不法分子持槍犯案、遏止黑幫氣焰，有效降低人民生命財產危害，秉持「阻絕黑槍絕不手軟」、「全面清查、澈底掃蕩」之原則，持續追溯槍枝來源。</w:t>
      </w:r>
    </w:p>
    <w:p w:rsidR="0089454A" w:rsidRPr="00C708FD" w:rsidRDefault="0041597C" w:rsidP="0089454A">
      <w:pPr>
        <w:pStyle w:val="4"/>
      </w:pPr>
      <w:r w:rsidRPr="00C708FD">
        <w:rPr>
          <w:rFonts w:hint="eastAsia"/>
          <w:b/>
        </w:rPr>
        <w:t>新北市警局說明：</w:t>
      </w:r>
    </w:p>
    <w:p w:rsidR="0041597C" w:rsidRPr="00C708FD" w:rsidRDefault="0041597C" w:rsidP="0041597C">
      <w:pPr>
        <w:pStyle w:val="5"/>
      </w:pPr>
      <w:r w:rsidRPr="00C708FD">
        <w:rPr>
          <w:rFonts w:cs="HiddenHorzOCR" w:hint="eastAsia"/>
        </w:rPr>
        <w:t>有關112年</w:t>
      </w:r>
      <w:r w:rsidRPr="00C708FD">
        <w:rPr>
          <w:rFonts w:cs="HiddenHorzOCR"/>
        </w:rPr>
        <w:t>4</w:t>
      </w:r>
      <w:r w:rsidRPr="00C708FD">
        <w:rPr>
          <w:rFonts w:cs="HiddenHorzOCR" w:hint="eastAsia"/>
        </w:rPr>
        <w:t>月</w:t>
      </w:r>
      <w:r w:rsidRPr="00C708FD">
        <w:rPr>
          <w:rFonts w:cs="HiddenHorzOCR"/>
        </w:rPr>
        <w:t>20</w:t>
      </w:r>
      <w:r w:rsidRPr="00C708FD">
        <w:rPr>
          <w:rFonts w:cs="HiddenHorzOCR" w:hint="eastAsia"/>
        </w:rPr>
        <w:t>日槍擊案，經新北市警局將</w:t>
      </w:r>
      <w:proofErr w:type="gramStart"/>
      <w:r w:rsidRPr="00C708FD">
        <w:rPr>
          <w:rFonts w:cs="微軟正黑體" w:hint="eastAsia"/>
        </w:rPr>
        <w:t>查</w:t>
      </w:r>
      <w:r w:rsidRPr="00C708FD">
        <w:rPr>
          <w:rFonts w:cs="Yu Gothic" w:hint="eastAsia"/>
        </w:rPr>
        <w:t>扣槍枝</w:t>
      </w:r>
      <w:proofErr w:type="gramEnd"/>
      <w:r w:rsidRPr="00C708FD">
        <w:rPr>
          <w:rFonts w:cs="Yu Gothic" w:hint="eastAsia"/>
        </w:rPr>
        <w:t>送</w:t>
      </w:r>
      <w:r w:rsidRPr="00C708FD">
        <w:rPr>
          <w:rFonts w:cs="HiddenHorzOCR" w:hint="eastAsia"/>
        </w:rPr>
        <w:t>刑事警察局鑑驗，鑑驗結果認該槍枝係非制式衝鋒槍，</w:t>
      </w:r>
      <w:proofErr w:type="gramStart"/>
      <w:r w:rsidRPr="00C708FD">
        <w:rPr>
          <w:rFonts w:cs="HiddenHorzOCR" w:hint="eastAsia"/>
        </w:rPr>
        <w:t>由仿衝鋒</w:t>
      </w:r>
      <w:proofErr w:type="gramEnd"/>
      <w:r w:rsidRPr="00C708FD">
        <w:rPr>
          <w:rFonts w:cs="HiddenHorzOCR" w:hint="eastAsia"/>
        </w:rPr>
        <w:t>槍製造之槍枝，組裝已貫通之金屬槍管、金屬槍機而成，擊發功能正常，</w:t>
      </w:r>
      <w:proofErr w:type="gramStart"/>
      <w:r w:rsidRPr="00C708FD">
        <w:rPr>
          <w:rFonts w:cs="HiddenHorzOCR" w:hint="eastAsia"/>
        </w:rPr>
        <w:t>可供擊</w:t>
      </w:r>
      <w:proofErr w:type="gramEnd"/>
      <w:r w:rsidRPr="00C708FD">
        <w:rPr>
          <w:rFonts w:cs="HiddenHorzOCR" w:hint="eastAsia"/>
        </w:rPr>
        <w:t>發適用子彈使用，</w:t>
      </w:r>
      <w:proofErr w:type="gramStart"/>
      <w:r w:rsidRPr="00C708FD">
        <w:rPr>
          <w:rFonts w:cs="HiddenHorzOCR" w:hint="eastAsia"/>
        </w:rPr>
        <w:t>認具殺傷</w:t>
      </w:r>
      <w:proofErr w:type="gramEnd"/>
      <w:r w:rsidRPr="00C708FD">
        <w:rPr>
          <w:rFonts w:cs="HiddenHorzOCR" w:hint="eastAsia"/>
        </w:rPr>
        <w:t>力。</w:t>
      </w:r>
    </w:p>
    <w:p w:rsidR="0041597C" w:rsidRPr="00C708FD" w:rsidRDefault="0041597C" w:rsidP="0041597C">
      <w:pPr>
        <w:pStyle w:val="5"/>
      </w:pPr>
      <w:r w:rsidRPr="00C708FD">
        <w:rPr>
          <w:rFonts w:hint="eastAsia"/>
        </w:rPr>
        <w:t>有關新北市警局所查</w:t>
      </w:r>
      <w:proofErr w:type="gramStart"/>
      <w:r w:rsidRPr="00C708FD">
        <w:rPr>
          <w:rFonts w:hint="eastAsia"/>
        </w:rPr>
        <w:t>扣涉案仿</w:t>
      </w:r>
      <w:proofErr w:type="gramEnd"/>
      <w:r w:rsidRPr="00C708FD">
        <w:rPr>
          <w:rFonts w:hint="eastAsia"/>
        </w:rPr>
        <w:t>衝鋒槍製造之槍枝，自</w:t>
      </w:r>
      <w:r w:rsidRPr="00C708FD">
        <w:t>111</w:t>
      </w:r>
      <w:r w:rsidRPr="00C708FD">
        <w:rPr>
          <w:rFonts w:hint="eastAsia"/>
        </w:rPr>
        <w:t>年迄今已於臺南市查扣三把與涉案槍枝相同</w:t>
      </w:r>
      <w:proofErr w:type="gramStart"/>
      <w:r w:rsidRPr="00C708FD">
        <w:rPr>
          <w:rFonts w:hint="eastAsia"/>
        </w:rPr>
        <w:t>型號之仿衝鋒</w:t>
      </w:r>
      <w:proofErr w:type="gramEnd"/>
      <w:r w:rsidRPr="00C708FD">
        <w:rPr>
          <w:rFonts w:hint="eastAsia"/>
        </w:rPr>
        <w:t>槍製造槍枝，可見該型號非僅出現於新北市轄區；本案專案小組在查緝行動中，已查獲藏放、運送及交付該衝鋒槍予犯案少年之嫌犯，後續將依檢察官指示針對再</w:t>
      </w:r>
      <w:proofErr w:type="gramStart"/>
      <w:r w:rsidRPr="00C708FD">
        <w:rPr>
          <w:rFonts w:hint="eastAsia"/>
        </w:rPr>
        <w:t>上層槍</w:t>
      </w:r>
      <w:proofErr w:type="gramEnd"/>
      <w:r w:rsidRPr="00C708FD">
        <w:rPr>
          <w:rFonts w:hint="eastAsia"/>
        </w:rPr>
        <w:t>枝來源</w:t>
      </w:r>
      <w:r w:rsidRPr="00C708FD">
        <w:rPr>
          <w:rFonts w:ascii="新細明體" w:eastAsia="新細明體" w:hAnsi="新細明體" w:hint="eastAsia"/>
        </w:rPr>
        <w:t>、</w:t>
      </w:r>
      <w:r w:rsidRPr="00C708FD">
        <w:rPr>
          <w:rFonts w:hint="eastAsia"/>
        </w:rPr>
        <w:t>改造處所及進行改造之人進行追查：</w:t>
      </w:r>
    </w:p>
    <w:p w:rsidR="0041597C" w:rsidRPr="00C708FD" w:rsidRDefault="0041597C" w:rsidP="0041597C">
      <w:pPr>
        <w:pStyle w:val="6"/>
      </w:pPr>
      <w:proofErr w:type="gramStart"/>
      <w:r w:rsidRPr="00C708FD">
        <w:rPr>
          <w:rFonts w:hAnsi="標楷體" w:hint="eastAsia"/>
          <w:szCs w:val="32"/>
        </w:rPr>
        <w:t>偵</w:t>
      </w:r>
      <w:proofErr w:type="gramEnd"/>
      <w:r w:rsidRPr="00C708FD">
        <w:rPr>
          <w:rFonts w:hAnsi="標楷體" w:hint="eastAsia"/>
          <w:szCs w:val="32"/>
        </w:rPr>
        <w:t>知劉姓少年使用之槍枝及子彈係本案犯嫌</w:t>
      </w:r>
      <w:proofErr w:type="gramStart"/>
      <w:r w:rsidRPr="00C708FD">
        <w:rPr>
          <w:rFonts w:hAnsi="標楷體" w:hint="eastAsia"/>
          <w:szCs w:val="32"/>
        </w:rPr>
        <w:t>吳男指使簡</w:t>
      </w:r>
      <w:proofErr w:type="gramEnd"/>
      <w:r w:rsidRPr="00C708FD">
        <w:rPr>
          <w:rFonts w:hAnsi="標楷體" w:hint="eastAsia"/>
          <w:szCs w:val="32"/>
        </w:rPr>
        <w:t>男及楊男2人前往新北市三重區集賢路將涉案槍彈攜出，楊男負責運輸槍枝至新北市土城</w:t>
      </w:r>
      <w:proofErr w:type="gramStart"/>
      <w:r w:rsidRPr="00C708FD">
        <w:rPr>
          <w:rFonts w:hAnsi="標楷體" w:hint="eastAsia"/>
          <w:szCs w:val="32"/>
        </w:rPr>
        <w:t>區青仁</w:t>
      </w:r>
      <w:proofErr w:type="gramEnd"/>
      <w:r w:rsidRPr="00C708FD">
        <w:rPr>
          <w:rFonts w:hAnsi="標楷體" w:hint="eastAsia"/>
          <w:szCs w:val="32"/>
        </w:rPr>
        <w:t>路停車場貨櫃屋藏放，</w:t>
      </w:r>
      <w:proofErr w:type="gramStart"/>
      <w:r w:rsidRPr="00C708FD">
        <w:rPr>
          <w:rFonts w:hAnsi="標楷體" w:hint="eastAsia"/>
          <w:szCs w:val="32"/>
        </w:rPr>
        <w:t>由鄭男通</w:t>
      </w:r>
      <w:proofErr w:type="gramEnd"/>
      <w:r w:rsidRPr="00C708FD">
        <w:rPr>
          <w:rFonts w:hAnsi="標楷體" w:hint="eastAsia"/>
          <w:szCs w:val="32"/>
        </w:rPr>
        <w:t>知劉姓少年前往取槍犯案，經比對監視器影像，</w:t>
      </w:r>
      <w:proofErr w:type="gramStart"/>
      <w:r w:rsidRPr="00C708FD">
        <w:rPr>
          <w:rFonts w:hAnsi="標楷體" w:hint="eastAsia"/>
          <w:szCs w:val="32"/>
        </w:rPr>
        <w:t>鎖定胡男</w:t>
      </w:r>
      <w:proofErr w:type="gramEnd"/>
      <w:r w:rsidRPr="00C708FD">
        <w:rPr>
          <w:rFonts w:hAnsi="標楷體" w:hint="eastAsia"/>
          <w:szCs w:val="32"/>
        </w:rPr>
        <w:t>及袁男2名犯嫌將作案槍枝、子彈帶往前揭地點三重區集賢路，故後續</w:t>
      </w:r>
      <w:proofErr w:type="gramStart"/>
      <w:r w:rsidRPr="00C708FD">
        <w:rPr>
          <w:rFonts w:hAnsi="標楷體" w:hint="eastAsia"/>
          <w:szCs w:val="32"/>
        </w:rPr>
        <w:t>將胡男</w:t>
      </w:r>
      <w:proofErr w:type="gramEnd"/>
      <w:r w:rsidRPr="00C708FD">
        <w:rPr>
          <w:rFonts w:hAnsi="標楷體" w:hint="eastAsia"/>
          <w:szCs w:val="32"/>
        </w:rPr>
        <w:t>及袁男2人列為槍枝溯源重點。</w:t>
      </w:r>
    </w:p>
    <w:p w:rsidR="0041597C" w:rsidRPr="00C708FD" w:rsidRDefault="0041597C" w:rsidP="0041597C">
      <w:pPr>
        <w:pStyle w:val="6"/>
      </w:pPr>
      <w:r w:rsidRPr="00C708FD">
        <w:rPr>
          <w:rFonts w:hAnsi="標楷體" w:hint="eastAsia"/>
          <w:szCs w:val="32"/>
        </w:rPr>
        <w:lastRenderedPageBreak/>
        <w:t>追查</w:t>
      </w:r>
      <w:proofErr w:type="gramStart"/>
      <w:r w:rsidRPr="00C708FD">
        <w:rPr>
          <w:rFonts w:hAnsi="標楷體" w:hint="eastAsia"/>
          <w:szCs w:val="32"/>
        </w:rPr>
        <w:t>發現胡男及</w:t>
      </w:r>
      <w:proofErr w:type="gramEnd"/>
      <w:r w:rsidRPr="00C708FD">
        <w:rPr>
          <w:rFonts w:hAnsi="標楷體" w:hint="eastAsia"/>
          <w:szCs w:val="32"/>
        </w:rPr>
        <w:t>袁男於112年6月19日22時許搭乘白牌計程車從新北市八里區住處離開，輾轉換乘車輛至屏東縣</w:t>
      </w:r>
      <w:proofErr w:type="gramStart"/>
      <w:r w:rsidRPr="00C708FD">
        <w:rPr>
          <w:rFonts w:hAnsi="標楷體" w:hint="eastAsia"/>
          <w:szCs w:val="32"/>
        </w:rPr>
        <w:t>東港鎮入</w:t>
      </w:r>
      <w:proofErr w:type="gramEnd"/>
      <w:r w:rsidRPr="00C708FD">
        <w:rPr>
          <w:rFonts w:hAnsi="標楷體" w:hint="eastAsia"/>
          <w:szCs w:val="32"/>
        </w:rPr>
        <w:t>住民宿，故意設置斷點造成查緝困難，該2嫌於112年6月22日晚間逃逸至東港漁港後行蹤不明；</w:t>
      </w:r>
      <w:proofErr w:type="gramStart"/>
      <w:r w:rsidRPr="00C708FD">
        <w:rPr>
          <w:rFonts w:hAnsi="標楷體" w:hint="eastAsia"/>
          <w:szCs w:val="32"/>
        </w:rPr>
        <w:t>由於胡男及</w:t>
      </w:r>
      <w:proofErr w:type="gramEnd"/>
      <w:r w:rsidRPr="00C708FD">
        <w:rPr>
          <w:rFonts w:hAnsi="標楷體" w:hint="eastAsia"/>
          <w:szCs w:val="32"/>
        </w:rPr>
        <w:t>袁男2人涉嫌重大，後續追查仍無2人行蹤，經新北地檢署檢察官發布通緝在案。</w:t>
      </w:r>
    </w:p>
    <w:p w:rsidR="0059313F" w:rsidRPr="00C708FD" w:rsidRDefault="0041597C" w:rsidP="00E2633A">
      <w:pPr>
        <w:pStyle w:val="3"/>
        <w:rPr>
          <w:b/>
        </w:rPr>
      </w:pPr>
      <w:r w:rsidRPr="00C708FD">
        <w:rPr>
          <w:rFonts w:hint="eastAsia"/>
          <w:b/>
        </w:rPr>
        <w:t>警政署督導各地警察機關避免模擬槍被任意改造之執行情形</w:t>
      </w:r>
      <w:r w:rsidR="00960672" w:rsidRPr="00C708FD">
        <w:rPr>
          <w:rFonts w:hint="eastAsia"/>
          <w:b/>
        </w:rPr>
        <w:t>：</w:t>
      </w:r>
    </w:p>
    <w:p w:rsidR="00691A2E" w:rsidRPr="00C708FD" w:rsidRDefault="0041597C" w:rsidP="00E2633A">
      <w:pPr>
        <w:pStyle w:val="4"/>
      </w:pPr>
      <w:r w:rsidRPr="00C708FD">
        <w:rPr>
          <w:rFonts w:hint="eastAsia"/>
          <w:b/>
          <w:szCs w:val="48"/>
        </w:rPr>
        <w:t>模擬槍管制緣起：</w:t>
      </w:r>
      <w:r w:rsidRPr="00C708FD">
        <w:rPr>
          <w:rFonts w:hint="eastAsia"/>
        </w:rPr>
        <w:t>依刑事警察局統計近年查獲之非法槍枝，非制式槍枝約占74%，其中由模擬槍改造者，</w:t>
      </w:r>
      <w:proofErr w:type="gramStart"/>
      <w:r w:rsidRPr="00C708FD">
        <w:rPr>
          <w:rFonts w:hint="eastAsia"/>
        </w:rPr>
        <w:t>又占非制式</w:t>
      </w:r>
      <w:proofErr w:type="gramEnd"/>
      <w:r w:rsidRPr="00C708FD">
        <w:rPr>
          <w:rFonts w:hint="eastAsia"/>
        </w:rPr>
        <w:t>槍枝之81%。</w:t>
      </w:r>
      <w:proofErr w:type="gramStart"/>
      <w:r w:rsidRPr="00C708FD">
        <w:rPr>
          <w:rFonts w:hint="eastAsia"/>
        </w:rPr>
        <w:t>警政署遂於</w:t>
      </w:r>
      <w:proofErr w:type="gramEnd"/>
      <w:r w:rsidRPr="00C708FD">
        <w:rPr>
          <w:rFonts w:hint="eastAsia"/>
        </w:rPr>
        <w:t>109年6月10日修正槍砲彈藥刀械管制條例第20條之1擴大「模擬槍」管制範疇，從源頭斷根，杜絕改造槍枝來源。</w:t>
      </w:r>
    </w:p>
    <w:p w:rsidR="0041597C" w:rsidRPr="00C708FD" w:rsidRDefault="0041597C" w:rsidP="00E2633A">
      <w:pPr>
        <w:pStyle w:val="4"/>
      </w:pPr>
      <w:r w:rsidRPr="00C708FD">
        <w:rPr>
          <w:rFonts w:hint="eastAsia"/>
          <w:b/>
        </w:rPr>
        <w:t>建立模擬槍零組件辨識碼溯源及槍管防止改造機制：</w:t>
      </w:r>
    </w:p>
    <w:p w:rsidR="008D7764" w:rsidRPr="00C708FD" w:rsidRDefault="0041597C" w:rsidP="0041597C">
      <w:pPr>
        <w:pStyle w:val="5"/>
      </w:pPr>
      <w:r w:rsidRPr="00C708FD">
        <w:rPr>
          <w:rFonts w:hint="eastAsia"/>
        </w:rPr>
        <w:t>112年5月15日訂定實施「模擬槍關鍵零組件辨識碼位置及槍管防止改造機制設置基準」，規範廠商於關鍵零件(如槍管、槍身、彈匣、上</w:t>
      </w:r>
      <w:proofErr w:type="gramStart"/>
      <w:r w:rsidRPr="00C708FD">
        <w:rPr>
          <w:rFonts w:hint="eastAsia"/>
        </w:rPr>
        <w:t>機匣…</w:t>
      </w:r>
      <w:proofErr w:type="gramEnd"/>
      <w:r w:rsidRPr="00C708FD">
        <w:rPr>
          <w:rFonts w:hint="eastAsia"/>
        </w:rPr>
        <w:t>等處)</w:t>
      </w:r>
      <w:proofErr w:type="gramStart"/>
      <w:r w:rsidRPr="00C708FD">
        <w:rPr>
          <w:rFonts w:hint="eastAsia"/>
        </w:rPr>
        <w:t>刻製難以磨</w:t>
      </w:r>
      <w:proofErr w:type="gramEnd"/>
      <w:r w:rsidRPr="00C708FD">
        <w:rPr>
          <w:rFonts w:hint="eastAsia"/>
        </w:rPr>
        <w:t>除之辨識碼，使其易於溯源。槍管內亦應加設高硬度(莫氏硬度55-65以上)</w:t>
      </w:r>
      <w:proofErr w:type="gramStart"/>
      <w:r w:rsidRPr="00C708FD">
        <w:rPr>
          <w:rFonts w:hint="eastAsia"/>
        </w:rPr>
        <w:t>阻鐵之防改</w:t>
      </w:r>
      <w:proofErr w:type="gramEnd"/>
      <w:r w:rsidRPr="00C708FD">
        <w:rPr>
          <w:rFonts w:hint="eastAsia"/>
        </w:rPr>
        <w:t>機制，使其不易改造。</w:t>
      </w:r>
    </w:p>
    <w:p w:rsidR="008D7764" w:rsidRPr="00C708FD" w:rsidRDefault="0041597C" w:rsidP="00E2633A">
      <w:pPr>
        <w:pStyle w:val="5"/>
      </w:pPr>
      <w:r w:rsidRPr="00C708FD">
        <w:rPr>
          <w:rFonts w:hint="eastAsia"/>
        </w:rPr>
        <w:t>112年6月20日東北工業股份有限公司申請製造供出口外銷之模擬槍6枝，案係「模擬槍關鍵零組件辨識碼位置及槍管防止改造機制設置基準」實施後首件申請製造出口案件。112年7月4日</w:t>
      </w:r>
      <w:r w:rsidRPr="00C708FD">
        <w:rPr>
          <w:rFonts w:hint="eastAsia"/>
          <w:b/>
        </w:rPr>
        <w:t>警政署即派員督導新北市警局現場查驗該批外銷槍枝</w:t>
      </w:r>
      <w:r w:rsidRPr="00C708FD">
        <w:rPr>
          <w:rFonts w:hint="eastAsia"/>
        </w:rPr>
        <w:t>，經查辨識碼及槍</w:t>
      </w:r>
      <w:proofErr w:type="gramStart"/>
      <w:r w:rsidRPr="00C708FD">
        <w:rPr>
          <w:rFonts w:hint="eastAsia"/>
        </w:rPr>
        <w:t>管防改機制</w:t>
      </w:r>
      <w:proofErr w:type="gramEnd"/>
      <w:r w:rsidRPr="00C708FD">
        <w:rPr>
          <w:rFonts w:hint="eastAsia"/>
        </w:rPr>
        <w:t>均符合相關規定。</w:t>
      </w:r>
    </w:p>
    <w:p w:rsidR="0041597C" w:rsidRPr="00C708FD" w:rsidRDefault="0041597C" w:rsidP="00E2633A">
      <w:pPr>
        <w:pStyle w:val="5"/>
      </w:pPr>
      <w:r w:rsidRPr="00C708FD">
        <w:rPr>
          <w:rFonts w:hAnsi="標楷體" w:hint="eastAsia"/>
          <w:b/>
          <w:szCs w:val="32"/>
        </w:rPr>
        <w:lastRenderedPageBreak/>
        <w:t>訂定強化查緝模擬槍執行計畫：</w:t>
      </w:r>
      <w:r w:rsidRPr="00C708FD">
        <w:rPr>
          <w:rFonts w:hAnsi="標楷體" w:hint="eastAsia"/>
          <w:szCs w:val="32"/>
        </w:rPr>
        <w:t>警政署</w:t>
      </w:r>
      <w:proofErr w:type="gramStart"/>
      <w:r w:rsidRPr="00C708FD">
        <w:rPr>
          <w:rFonts w:hAnsi="標楷體" w:hint="eastAsia"/>
          <w:szCs w:val="32"/>
        </w:rPr>
        <w:t>每年均依實務</w:t>
      </w:r>
      <w:proofErr w:type="gramEnd"/>
      <w:r w:rsidRPr="00C708FD">
        <w:rPr>
          <w:rFonts w:hAnsi="標楷體" w:hint="eastAsia"/>
          <w:szCs w:val="32"/>
        </w:rPr>
        <w:t>及法規現況訂定「強化查緝模擬槍執行計畫」，指導各直轄市、縣(市)政府警察局依計畫所列查緝模擬槍要領及處置程序積極查緝模擬槍。</w:t>
      </w:r>
    </w:p>
    <w:p w:rsidR="0041597C" w:rsidRPr="00C708FD" w:rsidRDefault="0041597C" w:rsidP="00E2633A">
      <w:pPr>
        <w:pStyle w:val="5"/>
      </w:pPr>
      <w:r w:rsidRPr="00C708FD">
        <w:rPr>
          <w:rFonts w:hAnsi="標楷體" w:hint="eastAsia"/>
          <w:b/>
          <w:szCs w:val="32"/>
        </w:rPr>
        <w:t>針對模擬槍業者進行行政檢查：</w:t>
      </w:r>
      <w:r w:rsidRPr="00C708FD">
        <w:rPr>
          <w:rFonts w:hAnsi="標楷體" w:hint="eastAsia"/>
          <w:szCs w:val="32"/>
        </w:rPr>
        <w:t>警政署訂定「模擬槍業者行政檢查執行計畫」，</w:t>
      </w:r>
      <w:proofErr w:type="gramStart"/>
      <w:r w:rsidRPr="00C708FD">
        <w:rPr>
          <w:rFonts w:hAnsi="標楷體" w:hint="eastAsia"/>
          <w:szCs w:val="32"/>
        </w:rPr>
        <w:t>111</w:t>
      </w:r>
      <w:proofErr w:type="gramEnd"/>
      <w:r w:rsidRPr="00C708FD">
        <w:rPr>
          <w:rFonts w:hAnsi="標楷體" w:hint="eastAsia"/>
          <w:szCs w:val="32"/>
        </w:rPr>
        <w:t>年度於11月7日至11日至4家模擬槍零件產製業者進行行政檢查，發現其中1家廠商留存以往製造模擬槍所剩餘之零件計1,586件經廠商同意自願報繳，並於111年11月25日由該署與警察機械修理廠銷毀完竣，減少槍枝改造基材外流之機會，已達成年度模擬槍行政檢查之目標。</w:t>
      </w:r>
    </w:p>
    <w:p w:rsidR="00960672" w:rsidRPr="00C708FD" w:rsidRDefault="0041597C" w:rsidP="00E2633A">
      <w:pPr>
        <w:pStyle w:val="5"/>
      </w:pPr>
      <w:r w:rsidRPr="00C708FD">
        <w:rPr>
          <w:rFonts w:hAnsi="標楷體" w:hint="eastAsia"/>
          <w:b/>
          <w:szCs w:val="32"/>
        </w:rPr>
        <w:t>刻正辦理槍砲彈藥刀械管制條例修法作業：</w:t>
      </w:r>
      <w:r w:rsidRPr="00C708FD">
        <w:rPr>
          <w:rFonts w:hAnsi="標楷體" w:hint="eastAsia"/>
          <w:szCs w:val="32"/>
        </w:rPr>
        <w:t>因應治安需要，未來將模擬槍之處罰由</w:t>
      </w:r>
      <w:proofErr w:type="gramStart"/>
      <w:r w:rsidRPr="00C708FD">
        <w:rPr>
          <w:rFonts w:hAnsi="標楷體" w:hint="eastAsia"/>
          <w:szCs w:val="32"/>
        </w:rPr>
        <w:t>行政罰改為</w:t>
      </w:r>
      <w:proofErr w:type="gramEnd"/>
      <w:r w:rsidRPr="00C708FD">
        <w:rPr>
          <w:rFonts w:hAnsi="標楷體" w:hint="eastAsia"/>
          <w:szCs w:val="32"/>
        </w:rPr>
        <w:t>刑事罰，同時納管其主要組成零件並處以行政罰</w:t>
      </w:r>
      <w:r w:rsidR="00587547" w:rsidRPr="00C708FD">
        <w:rPr>
          <w:rFonts w:hAnsi="標楷體" w:hint="eastAsia"/>
        </w:rPr>
        <w:t>。</w:t>
      </w:r>
    </w:p>
    <w:p w:rsidR="00587547" w:rsidRPr="00C708FD" w:rsidRDefault="00587547" w:rsidP="0041597C">
      <w:pPr>
        <w:pStyle w:val="3"/>
      </w:pPr>
      <w:r w:rsidRPr="00C708FD">
        <w:rPr>
          <w:rFonts w:hint="eastAsia"/>
        </w:rPr>
        <w:t>綜上</w:t>
      </w:r>
      <w:r w:rsidRPr="00C708FD">
        <w:rPr>
          <w:rFonts w:hAnsi="標楷體" w:hint="eastAsia"/>
        </w:rPr>
        <w:t>，</w:t>
      </w:r>
      <w:r w:rsidR="0041597C" w:rsidRPr="00C708FD">
        <w:rPr>
          <w:rFonts w:hAnsi="標楷體" w:hint="eastAsia"/>
        </w:rPr>
        <w:t>檢察機關、警政署及各地警察機關應溯源查緝，從源頭阻斷黑槍，另警政署對於模擬槍之管制及防止改造亦應督導各地警察機關落實執行，以免模擬槍被改造後成為犯罪工具</w:t>
      </w:r>
      <w:r w:rsidRPr="00C708FD">
        <w:rPr>
          <w:rFonts w:hAnsi="標楷體" w:hint="eastAsia"/>
        </w:rPr>
        <w:t>。</w:t>
      </w:r>
    </w:p>
    <w:p w:rsidR="00CB7ADE" w:rsidRPr="00C708FD" w:rsidRDefault="00280C58" w:rsidP="00280C58">
      <w:pPr>
        <w:pStyle w:val="110"/>
      </w:pPr>
      <w:r w:rsidRPr="00C708FD">
        <w:rPr>
          <w:rFonts w:hint="eastAsia"/>
        </w:rPr>
        <w:t>警政署於</w:t>
      </w:r>
      <w:proofErr w:type="gramStart"/>
      <w:r w:rsidRPr="00C708FD">
        <w:rPr>
          <w:rFonts w:hint="eastAsia"/>
        </w:rPr>
        <w:t>99年7月函訂</w:t>
      </w:r>
      <w:proofErr w:type="gramEnd"/>
      <w:r w:rsidRPr="00C708FD">
        <w:rPr>
          <w:rFonts w:hint="eastAsia"/>
        </w:rPr>
        <w:t>「警察人員與特定對象接觸交往規定」，要求警察人員需與特定對象接觸交往時，應採「</w:t>
      </w:r>
      <w:proofErr w:type="gramStart"/>
      <w:r w:rsidRPr="00C708FD">
        <w:rPr>
          <w:rFonts w:hint="eastAsia"/>
        </w:rPr>
        <w:t>事前申</w:t>
      </w:r>
      <w:proofErr w:type="gramEnd"/>
      <w:r w:rsidRPr="00C708FD">
        <w:rPr>
          <w:rFonts w:hint="eastAsia"/>
        </w:rPr>
        <w:t>准、事後報告」方式辦理。惟為</w:t>
      </w:r>
      <w:r w:rsidR="00CB7ADE" w:rsidRPr="00C708FD">
        <w:rPr>
          <w:rFonts w:hint="eastAsia"/>
        </w:rPr>
        <w:t>因應刑事掃黑專責編組人員情資</w:t>
      </w:r>
      <w:proofErr w:type="gramStart"/>
      <w:r w:rsidR="00CB7ADE" w:rsidRPr="00C708FD">
        <w:rPr>
          <w:rFonts w:hint="eastAsia"/>
        </w:rPr>
        <w:t>蒐</w:t>
      </w:r>
      <w:proofErr w:type="gramEnd"/>
      <w:r w:rsidR="00CB7ADE" w:rsidRPr="00C708FD">
        <w:rPr>
          <w:rFonts w:hint="eastAsia"/>
        </w:rPr>
        <w:t>報、約制幫派活動等工作需要，</w:t>
      </w:r>
      <w:r w:rsidR="00B3640A" w:rsidRPr="00C708FD">
        <w:rPr>
          <w:rFonts w:hint="eastAsia"/>
        </w:rPr>
        <w:t>警政署於112年4月間修正</w:t>
      </w:r>
      <w:r w:rsidRPr="00C708FD">
        <w:rPr>
          <w:rFonts w:hint="eastAsia"/>
        </w:rPr>
        <w:t>上開</w:t>
      </w:r>
      <w:r w:rsidR="00B3640A" w:rsidRPr="00C708FD">
        <w:rPr>
          <w:rFonts w:hint="eastAsia"/>
        </w:rPr>
        <w:t>規定，</w:t>
      </w:r>
      <w:r w:rsidR="00CB7ADE" w:rsidRPr="00C708FD">
        <w:rPr>
          <w:rFonts w:hint="eastAsia"/>
        </w:rPr>
        <w:t>免除與特定對象接觸交往前之報</w:t>
      </w:r>
      <w:r w:rsidR="00773EBD" w:rsidRPr="00C708FD">
        <w:rPr>
          <w:rFonts w:hint="eastAsia"/>
        </w:rPr>
        <w:t>准</w:t>
      </w:r>
      <w:r w:rsidR="00CB7ADE" w:rsidRPr="00C708FD">
        <w:rPr>
          <w:rFonts w:hint="eastAsia"/>
        </w:rPr>
        <w:t>程序，俟階段性工作完成後再核備即可</w:t>
      </w:r>
      <w:r w:rsidRPr="00C708FD">
        <w:rPr>
          <w:rFonts w:hint="eastAsia"/>
        </w:rPr>
        <w:t>。</w:t>
      </w:r>
      <w:r w:rsidR="007C4AC5" w:rsidRPr="00C708FD">
        <w:rPr>
          <w:rFonts w:hint="eastAsia"/>
        </w:rPr>
        <w:t>至於</w:t>
      </w:r>
      <w:r w:rsidRPr="00C708FD">
        <w:rPr>
          <w:rFonts w:hint="eastAsia"/>
        </w:rPr>
        <w:t>是否會</w:t>
      </w:r>
      <w:r w:rsidR="007C4AC5" w:rsidRPr="00C708FD">
        <w:rPr>
          <w:rFonts w:hint="eastAsia"/>
        </w:rPr>
        <w:t>產生</w:t>
      </w:r>
      <w:r w:rsidR="00853629" w:rsidRPr="00C708FD">
        <w:rPr>
          <w:rFonts w:hint="eastAsia"/>
        </w:rPr>
        <w:t>如同以往之</w:t>
      </w:r>
      <w:r w:rsidR="00EA6DE9" w:rsidRPr="00C708FD">
        <w:rPr>
          <w:rFonts w:hint="eastAsia"/>
        </w:rPr>
        <w:t>弊端</w:t>
      </w:r>
      <w:r w:rsidR="007C4AC5" w:rsidRPr="00C708FD">
        <w:rPr>
          <w:rFonts w:hint="eastAsia"/>
        </w:rPr>
        <w:t>，</w:t>
      </w:r>
      <w:proofErr w:type="gramStart"/>
      <w:r w:rsidR="007C4AC5" w:rsidRPr="00C708FD">
        <w:rPr>
          <w:rFonts w:hint="eastAsia"/>
        </w:rPr>
        <w:t>警政署宜持續</w:t>
      </w:r>
      <w:proofErr w:type="gramEnd"/>
      <w:r w:rsidR="007C4AC5" w:rsidRPr="00C708FD">
        <w:rPr>
          <w:rFonts w:hint="eastAsia"/>
        </w:rPr>
        <w:t>觀察為滾動式調整。</w:t>
      </w:r>
    </w:p>
    <w:p w:rsidR="007C4AC5" w:rsidRPr="00C708FD" w:rsidRDefault="007C4AC5" w:rsidP="007C4AC5">
      <w:pPr>
        <w:pStyle w:val="3"/>
        <w:rPr>
          <w:b/>
        </w:rPr>
      </w:pPr>
      <w:r w:rsidRPr="00C708FD">
        <w:rPr>
          <w:rFonts w:hint="eastAsia"/>
          <w:b/>
        </w:rPr>
        <w:lastRenderedPageBreak/>
        <w:t>警政署於99年7月</w:t>
      </w:r>
      <w:r w:rsidR="005A4B6D" w:rsidRPr="00C708FD">
        <w:rPr>
          <w:rFonts w:hint="eastAsia"/>
          <w:b/>
        </w:rPr>
        <w:t>1</w:t>
      </w:r>
      <w:r w:rsidR="005A4B6D" w:rsidRPr="00C708FD">
        <w:rPr>
          <w:b/>
        </w:rPr>
        <w:t>2</w:t>
      </w:r>
      <w:r w:rsidR="005A4B6D" w:rsidRPr="00C708FD">
        <w:rPr>
          <w:rFonts w:hint="eastAsia"/>
          <w:b/>
        </w:rPr>
        <w:t>日</w:t>
      </w:r>
      <w:proofErr w:type="gramStart"/>
      <w:r w:rsidRPr="00C708FD">
        <w:rPr>
          <w:rFonts w:hint="eastAsia"/>
          <w:b/>
        </w:rPr>
        <w:t>函</w:t>
      </w:r>
      <w:r w:rsidR="007A2ECD" w:rsidRPr="00C708FD">
        <w:rPr>
          <w:rFonts w:hint="eastAsia"/>
          <w:b/>
        </w:rPr>
        <w:t>頒各</w:t>
      </w:r>
      <w:proofErr w:type="gramEnd"/>
      <w:r w:rsidR="007A2ECD" w:rsidRPr="00C708FD">
        <w:rPr>
          <w:rFonts w:hint="eastAsia"/>
          <w:b/>
        </w:rPr>
        <w:t>警察機關實施</w:t>
      </w:r>
      <w:r w:rsidRPr="00C708FD">
        <w:rPr>
          <w:rFonts w:hint="eastAsia"/>
          <w:b/>
        </w:rPr>
        <w:t>「警察人員與特定對象接觸交往規定」</w:t>
      </w:r>
      <w:r w:rsidR="001C0B2C" w:rsidRPr="00C708FD">
        <w:rPr>
          <w:rFonts w:hAnsi="標楷體" w:hint="eastAsia"/>
          <w:b/>
        </w:rPr>
        <w:t>，</w:t>
      </w:r>
      <w:r w:rsidR="001C0B2C" w:rsidRPr="00C708FD">
        <w:rPr>
          <w:rFonts w:hint="eastAsia"/>
          <w:b/>
        </w:rPr>
        <w:t>要求警察人員需與特定對象接觸交往時，應採「</w:t>
      </w:r>
      <w:proofErr w:type="gramStart"/>
      <w:r w:rsidR="001C0B2C" w:rsidRPr="00C708FD">
        <w:rPr>
          <w:rFonts w:hint="eastAsia"/>
          <w:b/>
        </w:rPr>
        <w:t>事前申</w:t>
      </w:r>
      <w:proofErr w:type="gramEnd"/>
      <w:r w:rsidR="001C0B2C" w:rsidRPr="00C708FD">
        <w:rPr>
          <w:rFonts w:hint="eastAsia"/>
          <w:b/>
        </w:rPr>
        <w:t>准、事後報告」方式辦理</w:t>
      </w:r>
      <w:r w:rsidRPr="00C708FD">
        <w:rPr>
          <w:rFonts w:hAnsi="標楷體" w:hint="eastAsia"/>
          <w:b/>
        </w:rPr>
        <w:t>：</w:t>
      </w:r>
    </w:p>
    <w:p w:rsidR="007C4AC5" w:rsidRPr="00C708FD" w:rsidRDefault="007A2ECD" w:rsidP="007C4AC5">
      <w:pPr>
        <w:pStyle w:val="4"/>
      </w:pPr>
      <w:r w:rsidRPr="00C708FD">
        <w:rPr>
          <w:rFonts w:hint="eastAsia"/>
          <w:b/>
        </w:rPr>
        <w:t>訂定背景：</w:t>
      </w:r>
      <w:r w:rsidR="007C4AC5" w:rsidRPr="00C708FD">
        <w:rPr>
          <w:rFonts w:hint="eastAsia"/>
        </w:rPr>
        <w:t>源於99年</w:t>
      </w:r>
      <w:proofErr w:type="gramStart"/>
      <w:r w:rsidR="007C4AC5" w:rsidRPr="00C708FD">
        <w:rPr>
          <w:rFonts w:hint="eastAsia"/>
        </w:rPr>
        <w:t>臺</w:t>
      </w:r>
      <w:proofErr w:type="gramEnd"/>
      <w:r w:rsidR="007C4AC5" w:rsidRPr="00C708FD">
        <w:rPr>
          <w:rFonts w:hint="eastAsia"/>
        </w:rPr>
        <w:t>中市</w:t>
      </w:r>
      <w:proofErr w:type="gramStart"/>
      <w:r w:rsidR="007C4AC5" w:rsidRPr="00C708FD">
        <w:rPr>
          <w:rFonts w:hint="eastAsia"/>
        </w:rPr>
        <w:t>發生之翁</w:t>
      </w:r>
      <w:proofErr w:type="gramEnd"/>
      <w:r w:rsidRPr="00C708FD">
        <w:rPr>
          <w:rFonts w:hint="eastAsia"/>
        </w:rPr>
        <w:t>姓男子</w:t>
      </w:r>
      <w:r w:rsidR="007C4AC5" w:rsidRPr="00C708FD">
        <w:rPr>
          <w:rFonts w:hint="eastAsia"/>
        </w:rPr>
        <w:t>命案，外界指責黑道聚會現場有</w:t>
      </w:r>
      <w:proofErr w:type="gramStart"/>
      <w:r w:rsidR="007C4AC5" w:rsidRPr="00C708FD">
        <w:rPr>
          <w:rFonts w:hint="eastAsia"/>
        </w:rPr>
        <w:t>員警在</w:t>
      </w:r>
      <w:proofErr w:type="gramEnd"/>
      <w:r w:rsidR="007C4AC5" w:rsidRPr="00C708FD">
        <w:rPr>
          <w:rFonts w:hint="eastAsia"/>
        </w:rPr>
        <w:t>場，批評員警與黑幫過從甚密，警政署乃於</w:t>
      </w:r>
      <w:r w:rsidRPr="00C708FD">
        <w:rPr>
          <w:rFonts w:hint="eastAsia"/>
        </w:rPr>
        <w:t>99</w:t>
      </w:r>
      <w:r w:rsidR="007C4AC5" w:rsidRPr="00C708FD">
        <w:rPr>
          <w:rFonts w:hint="eastAsia"/>
        </w:rPr>
        <w:t>年7月9日核定</w:t>
      </w:r>
      <w:r w:rsidRPr="00C708FD">
        <w:rPr>
          <w:rFonts w:hint="eastAsia"/>
        </w:rPr>
        <w:t>上開</w:t>
      </w:r>
      <w:r w:rsidR="007C4AC5" w:rsidRPr="00C708FD">
        <w:rPr>
          <w:rFonts w:hint="eastAsia"/>
        </w:rPr>
        <w:t>交往規定，並於同年7月12日</w:t>
      </w:r>
      <w:proofErr w:type="gramStart"/>
      <w:r w:rsidR="007C4AC5" w:rsidRPr="00C708FD">
        <w:rPr>
          <w:rFonts w:hint="eastAsia"/>
        </w:rPr>
        <w:t>函頒</w:t>
      </w:r>
      <w:proofErr w:type="gramEnd"/>
      <w:r w:rsidR="007C4AC5" w:rsidRPr="00C708FD">
        <w:rPr>
          <w:rFonts w:hint="eastAsia"/>
        </w:rPr>
        <w:t>各警察機關實施，明確規範警察人員與特定對象接觸交往之方式、地點、禁制規定等，其目的在保障員警權益及保護員警接觸交往時避免觸法，而能勇於任事執行職務，避免與特定對象不當接觸交往。</w:t>
      </w:r>
    </w:p>
    <w:p w:rsidR="007A2ECD" w:rsidRPr="00C708FD" w:rsidRDefault="007A2ECD" w:rsidP="007C4AC5">
      <w:pPr>
        <w:pStyle w:val="4"/>
      </w:pPr>
      <w:r w:rsidRPr="00C708FD">
        <w:rPr>
          <w:rFonts w:hint="eastAsia"/>
        </w:rPr>
        <w:t>警察人員因公務上之必要，需與特定對象接觸交往時，應遵循「原則禁止、因公許可」之原則，並</w:t>
      </w:r>
      <w:proofErr w:type="gramStart"/>
      <w:r w:rsidRPr="00C708FD">
        <w:rPr>
          <w:rFonts w:hint="eastAsia"/>
        </w:rPr>
        <w:t>採</w:t>
      </w:r>
      <w:proofErr w:type="gramEnd"/>
      <w:r w:rsidRPr="00C708FD">
        <w:rPr>
          <w:rFonts w:hint="eastAsia"/>
        </w:rPr>
        <w:t>「</w:t>
      </w:r>
      <w:proofErr w:type="gramStart"/>
      <w:r w:rsidRPr="00C708FD">
        <w:rPr>
          <w:rFonts w:hint="eastAsia"/>
        </w:rPr>
        <w:t>事前申</w:t>
      </w:r>
      <w:proofErr w:type="gramEnd"/>
      <w:r w:rsidRPr="00C708FD">
        <w:rPr>
          <w:rFonts w:hint="eastAsia"/>
        </w:rPr>
        <w:t>准、事後報告」方式辦理，相關規範如下：</w:t>
      </w:r>
    </w:p>
    <w:p w:rsidR="007A2ECD" w:rsidRPr="00C708FD" w:rsidRDefault="007A2ECD" w:rsidP="007A2ECD">
      <w:pPr>
        <w:pStyle w:val="5"/>
      </w:pPr>
      <w:r w:rsidRPr="00C708FD">
        <w:rPr>
          <w:rFonts w:hAnsi="標楷體" w:hint="eastAsia"/>
          <w:szCs w:val="32"/>
        </w:rPr>
        <w:t>警察人員除法令另有規定外，未經核准，禁止與治安顧慮人口、不良幫派組合分子、經營色情、賭博、破壞國土及其他不法業者，以書面、電信通訊、面晤、參與聚會、婚喪喜慶、飲宴應酬等方式進行之聯繫、交際行為。</w:t>
      </w:r>
      <w:bookmarkStart w:id="29" w:name="_Hlk152149671"/>
      <w:r w:rsidR="00E063AF" w:rsidRPr="00C708FD">
        <w:rPr>
          <w:rFonts w:hAnsi="標楷體" w:hint="eastAsia"/>
          <w:szCs w:val="32"/>
        </w:rPr>
        <w:t>(第3、4點)</w:t>
      </w:r>
      <w:bookmarkEnd w:id="29"/>
    </w:p>
    <w:p w:rsidR="007A2ECD" w:rsidRPr="00C708FD" w:rsidRDefault="007A2ECD" w:rsidP="007A2ECD">
      <w:pPr>
        <w:pStyle w:val="5"/>
      </w:pPr>
      <w:r w:rsidRPr="00C708FD">
        <w:rPr>
          <w:rFonts w:hAnsi="標楷體" w:hint="eastAsia"/>
          <w:szCs w:val="32"/>
        </w:rPr>
        <w:t>警察人員因公務上之必要，需與特定對象接觸交往時，應事先以書面載明必要之原因經警察機關主管長官(分局長或其相當職務以上長官)核准後實施，實施後1日內，應將接觸交往經過以書面報告陳核，因緊急特殊情況應先以電話向警察機關主管長官報准實施，實施後應於12小時內，將接觸交往經過以書面報核，不知情而與特定對象接觸交往，知情後應立即以書面</w:t>
      </w:r>
      <w:r w:rsidRPr="00C708FD">
        <w:rPr>
          <w:rFonts w:hAnsi="標楷體" w:hint="eastAsia"/>
          <w:szCs w:val="32"/>
        </w:rPr>
        <w:lastRenderedPageBreak/>
        <w:t>報告陳核。</w:t>
      </w:r>
      <w:r w:rsidR="00E063AF" w:rsidRPr="00C708FD">
        <w:rPr>
          <w:rFonts w:hAnsi="標楷體" w:hint="eastAsia"/>
          <w:szCs w:val="32"/>
        </w:rPr>
        <w:t>(第5、8點)</w:t>
      </w:r>
    </w:p>
    <w:p w:rsidR="007A2ECD" w:rsidRPr="00C708FD" w:rsidRDefault="007A2ECD" w:rsidP="007A2ECD">
      <w:pPr>
        <w:pStyle w:val="5"/>
      </w:pPr>
      <w:r w:rsidRPr="00C708FD">
        <w:rPr>
          <w:rFonts w:hAnsi="標楷體" w:hint="eastAsia"/>
          <w:szCs w:val="32"/>
        </w:rPr>
        <w:t>接觸交往之地點，以特定對象住居所、事業處所、營業場所或公眾得出入場所為原則，不得於色情、賭博、</w:t>
      </w:r>
      <w:proofErr w:type="gramStart"/>
      <w:r w:rsidRPr="00C708FD">
        <w:rPr>
          <w:rFonts w:hAnsi="標楷體" w:hint="eastAsia"/>
          <w:szCs w:val="32"/>
        </w:rPr>
        <w:t>涉毒等</w:t>
      </w:r>
      <w:proofErr w:type="gramEnd"/>
      <w:r w:rsidRPr="00C708FD">
        <w:rPr>
          <w:rFonts w:hAnsi="標楷體" w:hint="eastAsia"/>
          <w:szCs w:val="32"/>
        </w:rPr>
        <w:t>及其他與犯罪有關之非法場所為之。</w:t>
      </w:r>
      <w:r w:rsidR="00E063AF" w:rsidRPr="00C708FD">
        <w:rPr>
          <w:rFonts w:hAnsi="標楷體" w:hint="eastAsia"/>
          <w:szCs w:val="32"/>
        </w:rPr>
        <w:t>(第6點)</w:t>
      </w:r>
    </w:p>
    <w:p w:rsidR="007A2ECD" w:rsidRPr="00C708FD" w:rsidRDefault="007A2ECD" w:rsidP="007A2ECD">
      <w:pPr>
        <w:pStyle w:val="5"/>
      </w:pPr>
      <w:r w:rsidRPr="00C708FD">
        <w:rPr>
          <w:rFonts w:hAnsi="標楷體" w:hint="eastAsia"/>
          <w:szCs w:val="32"/>
        </w:rPr>
        <w:t>經核准與特定對象接觸交往時，不得有收受賄賂、圖利、洩漏公務機密、賭博、</w:t>
      </w:r>
      <w:proofErr w:type="gramStart"/>
      <w:r w:rsidRPr="00C708FD">
        <w:rPr>
          <w:rFonts w:hAnsi="標楷體" w:hint="eastAsia"/>
          <w:szCs w:val="32"/>
        </w:rPr>
        <w:t>涉毒</w:t>
      </w:r>
      <w:proofErr w:type="gramEnd"/>
      <w:r w:rsidRPr="00C708FD">
        <w:rPr>
          <w:rFonts w:hAnsi="標楷體" w:hint="eastAsia"/>
          <w:szCs w:val="32"/>
        </w:rPr>
        <w:t>、接受餽贈、不正利益及其他違法或違反職務規定之行為。</w:t>
      </w:r>
      <w:r w:rsidR="00E063AF" w:rsidRPr="00C708FD">
        <w:rPr>
          <w:rFonts w:hAnsi="標楷體" w:hint="eastAsia"/>
          <w:szCs w:val="32"/>
        </w:rPr>
        <w:t>(第7點)</w:t>
      </w:r>
    </w:p>
    <w:p w:rsidR="00E063AF" w:rsidRPr="00C708FD" w:rsidRDefault="00E063AF" w:rsidP="007A2ECD">
      <w:pPr>
        <w:pStyle w:val="5"/>
      </w:pPr>
      <w:r w:rsidRPr="00C708FD">
        <w:rPr>
          <w:rFonts w:hAnsi="標楷體" w:hint="eastAsia"/>
          <w:szCs w:val="32"/>
        </w:rPr>
        <w:t>警察機關主官(管)應隨時追蹤，督察及政風單位亦得對本規定執行情形實施查核，若有違反依規定懲處或移送司法機關偵辦。(第9、10點)</w:t>
      </w:r>
    </w:p>
    <w:p w:rsidR="007C4AC5" w:rsidRPr="00C708FD" w:rsidRDefault="007C4AC5" w:rsidP="007C4AC5">
      <w:pPr>
        <w:pStyle w:val="4"/>
      </w:pPr>
      <w:r w:rsidRPr="00C708FD">
        <w:rPr>
          <w:rFonts w:hint="eastAsia"/>
        </w:rPr>
        <w:t>近來發生多起警察人員與特定對象接觸交往、邀約飲宴情事</w:t>
      </w:r>
      <w:r w:rsidR="00E063AF" w:rsidRPr="00C708FD">
        <w:rPr>
          <w:rStyle w:val="aff2"/>
        </w:rPr>
        <w:footnoteReference w:id="12"/>
      </w:r>
      <w:r w:rsidRPr="00C708FD">
        <w:rPr>
          <w:rFonts w:hint="eastAsia"/>
        </w:rPr>
        <w:t>，卻未落實相關報備程序，違反「警察人員與特定對象接觸交往規定」，引發社會大眾對警察人員執法公正性與維護社會治安之疑慮。</w:t>
      </w:r>
    </w:p>
    <w:p w:rsidR="007C4AC5" w:rsidRPr="00C708FD" w:rsidRDefault="00BE47DA" w:rsidP="001C0B2C">
      <w:pPr>
        <w:pStyle w:val="3"/>
        <w:rPr>
          <w:b/>
        </w:rPr>
      </w:pPr>
      <w:r w:rsidRPr="00C708FD">
        <w:rPr>
          <w:rFonts w:hint="eastAsia"/>
          <w:b/>
        </w:rPr>
        <w:t>為因應刑事掃黑專責編組人員情資</w:t>
      </w:r>
      <w:proofErr w:type="gramStart"/>
      <w:r w:rsidRPr="00C708FD">
        <w:rPr>
          <w:rFonts w:hint="eastAsia"/>
          <w:b/>
        </w:rPr>
        <w:t>蒐</w:t>
      </w:r>
      <w:proofErr w:type="gramEnd"/>
      <w:r w:rsidRPr="00C708FD">
        <w:rPr>
          <w:rFonts w:hint="eastAsia"/>
          <w:b/>
        </w:rPr>
        <w:t>報、約制幫派活動等工作需要，警政署於112年4月間修正上開規定，免除與特定對象接觸交往前之報</w:t>
      </w:r>
      <w:r w:rsidR="00773EBD" w:rsidRPr="00C708FD">
        <w:rPr>
          <w:rFonts w:hint="eastAsia"/>
          <w:b/>
        </w:rPr>
        <w:t>准</w:t>
      </w:r>
      <w:r w:rsidRPr="00C708FD">
        <w:rPr>
          <w:rFonts w:hint="eastAsia"/>
          <w:b/>
        </w:rPr>
        <w:t>程序，俟階段性工作完成後再核備即可</w:t>
      </w:r>
      <w:r w:rsidRPr="00C708FD">
        <w:rPr>
          <w:rFonts w:hAnsi="標楷體" w:hint="eastAsia"/>
          <w:b/>
        </w:rPr>
        <w:t>：</w:t>
      </w:r>
    </w:p>
    <w:p w:rsidR="00F24329" w:rsidRPr="00C708FD" w:rsidRDefault="00F24329" w:rsidP="00BE47DA">
      <w:pPr>
        <w:pStyle w:val="4"/>
      </w:pPr>
      <w:r w:rsidRPr="00C708FD">
        <w:rPr>
          <w:rFonts w:hint="eastAsia"/>
        </w:rPr>
        <w:t>警政署為廣</w:t>
      </w:r>
      <w:proofErr w:type="gramStart"/>
      <w:r w:rsidRPr="00C708FD">
        <w:rPr>
          <w:rFonts w:hint="eastAsia"/>
        </w:rPr>
        <w:t>蒐</w:t>
      </w:r>
      <w:proofErr w:type="gramEnd"/>
      <w:r w:rsidRPr="00C708FD">
        <w:rPr>
          <w:rFonts w:hint="eastAsia"/>
        </w:rPr>
        <w:t>幫派活動</w:t>
      </w:r>
      <w:proofErr w:type="gramStart"/>
      <w:r w:rsidRPr="00C708FD">
        <w:rPr>
          <w:rFonts w:hint="eastAsia"/>
        </w:rPr>
        <w:t>不法情</w:t>
      </w:r>
      <w:proofErr w:type="gramEnd"/>
      <w:r w:rsidRPr="00C708FD">
        <w:rPr>
          <w:rFonts w:hint="eastAsia"/>
        </w:rPr>
        <w:t>資，持續強化打擊黑幫力道，將採更具彈性的放寬警察人員與特定對象接觸交往之報備程序。本次修訂原則為兼顧掌握黑幫動態與警紀維護，且因應刑事掃黑專責編組人員情資</w:t>
      </w:r>
      <w:proofErr w:type="gramStart"/>
      <w:r w:rsidRPr="00C708FD">
        <w:rPr>
          <w:rFonts w:hint="eastAsia"/>
        </w:rPr>
        <w:t>蒐</w:t>
      </w:r>
      <w:proofErr w:type="gramEnd"/>
      <w:r w:rsidRPr="00C708FD">
        <w:rPr>
          <w:rFonts w:hint="eastAsia"/>
        </w:rPr>
        <w:t>報、約制幫派活動等工作，免除與特定對象接觸交往前之報准程序，俟階段性工作完成後，再核備即可，以貼近實務運作情形及</w:t>
      </w:r>
      <w:r w:rsidRPr="00C708FD">
        <w:rPr>
          <w:rFonts w:hint="eastAsia"/>
        </w:rPr>
        <w:lastRenderedPageBreak/>
        <w:t>符合保密考量。對於危害社會之黑道幫派，將貫徹「掃黑專責隊」之運作，採取系統性掃黑策略，持續深入掌握犯罪事證，以接連打擊的方式進行全面掃蕩，藉由不斷與時俱進之調整相關法規，能夠更有效且全面的掌握幫派</w:t>
      </w:r>
      <w:proofErr w:type="gramStart"/>
      <w:r w:rsidRPr="00C708FD">
        <w:rPr>
          <w:rFonts w:hint="eastAsia"/>
        </w:rPr>
        <w:t>不法情資</w:t>
      </w:r>
      <w:proofErr w:type="gramEnd"/>
      <w:r w:rsidRPr="00C708FD">
        <w:rPr>
          <w:rFonts w:hint="eastAsia"/>
        </w:rPr>
        <w:t>，聚焦打擊黑幫。</w:t>
      </w:r>
    </w:p>
    <w:p w:rsidR="00BE47DA" w:rsidRPr="00C708FD" w:rsidRDefault="00BE47DA" w:rsidP="00BE47DA">
      <w:pPr>
        <w:pStyle w:val="4"/>
      </w:pPr>
      <w:proofErr w:type="gramStart"/>
      <w:r w:rsidRPr="00C708FD">
        <w:rPr>
          <w:rFonts w:hint="eastAsia"/>
        </w:rPr>
        <w:t>警政署函復</w:t>
      </w:r>
      <w:proofErr w:type="gramEnd"/>
      <w:r w:rsidRPr="00C708FD">
        <w:rPr>
          <w:rFonts w:hint="eastAsia"/>
        </w:rPr>
        <w:t>表示</w:t>
      </w:r>
      <w:r w:rsidR="00F24329" w:rsidRPr="00C708FD">
        <w:rPr>
          <w:rFonts w:hint="eastAsia"/>
        </w:rPr>
        <w:t>，</w:t>
      </w:r>
      <w:r w:rsidRPr="00C708FD">
        <w:rPr>
          <w:rFonts w:hint="eastAsia"/>
        </w:rPr>
        <w:t>本次修正「警察人員與特定對象接觸交往規定」並非全面「免除」警察人員與特定對象接觸交往前之報</w:t>
      </w:r>
      <w:r w:rsidR="00F24329" w:rsidRPr="00C708FD">
        <w:rPr>
          <w:rFonts w:hint="eastAsia"/>
        </w:rPr>
        <w:t>准</w:t>
      </w:r>
      <w:r w:rsidRPr="00C708FD">
        <w:rPr>
          <w:rFonts w:hint="eastAsia"/>
        </w:rPr>
        <w:t>程序，而是在掌握黑幫動態、有效打擊犯罪與維護警紀之考量下，適度放寬</w:t>
      </w:r>
      <w:r w:rsidR="00A635CD" w:rsidRPr="00C708FD">
        <w:rPr>
          <w:rFonts w:hint="eastAsia"/>
        </w:rPr>
        <w:t>「警察人員與特定對象接觸交往規定」</w:t>
      </w:r>
      <w:r w:rsidRPr="00C708FD">
        <w:rPr>
          <w:rFonts w:hint="eastAsia"/>
        </w:rPr>
        <w:t>，除原本之「</w:t>
      </w:r>
      <w:proofErr w:type="gramStart"/>
      <w:r w:rsidRPr="00C708FD">
        <w:rPr>
          <w:rFonts w:hint="eastAsia"/>
        </w:rPr>
        <w:t>事前申</w:t>
      </w:r>
      <w:proofErr w:type="gramEnd"/>
      <w:r w:rsidRPr="00C708FD">
        <w:rPr>
          <w:rFonts w:hint="eastAsia"/>
        </w:rPr>
        <w:t>准，事後報告」方式外，在「因公許可」之前提下，因應特殊任務需要，免除</w:t>
      </w:r>
      <w:proofErr w:type="gramStart"/>
      <w:r w:rsidRPr="00C708FD">
        <w:rPr>
          <w:rFonts w:hint="eastAsia"/>
        </w:rPr>
        <w:t>事前申准程</w:t>
      </w:r>
      <w:proofErr w:type="gramEnd"/>
      <w:r w:rsidRPr="00C708FD">
        <w:rPr>
          <w:rFonts w:hint="eastAsia"/>
        </w:rPr>
        <w:t>序，但仍須在階段性工作完成後，檢具專案期間與特定對象接觸交往資料核備，以保障員警權益。</w:t>
      </w:r>
    </w:p>
    <w:p w:rsidR="00F24329" w:rsidRPr="00C708FD" w:rsidRDefault="00F24329" w:rsidP="00F24329">
      <w:pPr>
        <w:pStyle w:val="3"/>
      </w:pPr>
      <w:r w:rsidRPr="00C708FD">
        <w:rPr>
          <w:rFonts w:hint="eastAsia"/>
        </w:rPr>
        <w:t>警察人員由於工作性質特殊，為預防犯罪、維護治安，常需與社會各階層人士交往，以利案件偵辦、查察，甚或約制幫派、廣</w:t>
      </w:r>
      <w:proofErr w:type="gramStart"/>
      <w:r w:rsidRPr="00C708FD">
        <w:rPr>
          <w:rFonts w:hint="eastAsia"/>
        </w:rPr>
        <w:t>蒐情資</w:t>
      </w:r>
      <w:proofErr w:type="gramEnd"/>
      <w:r w:rsidR="00175143" w:rsidRPr="00C708FD">
        <w:rPr>
          <w:rFonts w:hAnsi="標楷體" w:hint="eastAsia"/>
        </w:rPr>
        <w:t>，</w:t>
      </w:r>
      <w:r w:rsidRPr="00C708FD">
        <w:rPr>
          <w:rFonts w:hint="eastAsia"/>
        </w:rPr>
        <w:t>然若</w:t>
      </w:r>
      <w:r w:rsidR="00175143" w:rsidRPr="00C708FD">
        <w:rPr>
          <w:rFonts w:hint="eastAsia"/>
        </w:rPr>
        <w:t>員</w:t>
      </w:r>
      <w:r w:rsidRPr="00C708FD">
        <w:rPr>
          <w:rFonts w:hint="eastAsia"/>
        </w:rPr>
        <w:t>警自制力不足，或尺寸拿捏不當，極易滋生</w:t>
      </w:r>
      <w:r w:rsidR="00175143" w:rsidRPr="00C708FD">
        <w:rPr>
          <w:rFonts w:hint="eastAsia"/>
        </w:rPr>
        <w:t>涉足不妥當場所</w:t>
      </w:r>
      <w:r w:rsidR="00175143" w:rsidRPr="00C708FD">
        <w:rPr>
          <w:rFonts w:hAnsi="標楷體" w:hint="eastAsia"/>
        </w:rPr>
        <w:t>、</w:t>
      </w:r>
      <w:r w:rsidR="00175143" w:rsidRPr="00C708FD">
        <w:rPr>
          <w:rFonts w:hint="eastAsia"/>
        </w:rPr>
        <w:t>不正當交往等</w:t>
      </w:r>
      <w:r w:rsidRPr="00C708FD">
        <w:rPr>
          <w:rFonts w:hint="eastAsia"/>
        </w:rPr>
        <w:t>風紀事件，此</w:t>
      </w:r>
      <w:r w:rsidR="00175143" w:rsidRPr="00C708FD">
        <w:rPr>
          <w:rFonts w:hint="eastAsia"/>
        </w:rPr>
        <w:t>係訂頒</w:t>
      </w:r>
      <w:r w:rsidR="00175143" w:rsidRPr="00C708FD">
        <w:rPr>
          <w:rFonts w:hAnsi="標楷體" w:hint="eastAsia"/>
        </w:rPr>
        <w:t>「</w:t>
      </w:r>
      <w:r w:rsidRPr="00C708FD">
        <w:rPr>
          <w:rFonts w:hint="eastAsia"/>
        </w:rPr>
        <w:t>警察人員與特定對象接觸交往規定</w:t>
      </w:r>
      <w:r w:rsidR="00175143" w:rsidRPr="00C708FD">
        <w:rPr>
          <w:rFonts w:hAnsi="標楷體" w:hint="eastAsia"/>
        </w:rPr>
        <w:t>」當初擬避免產生之弊端</w:t>
      </w:r>
      <w:r w:rsidRPr="00C708FD">
        <w:rPr>
          <w:rFonts w:hint="eastAsia"/>
        </w:rPr>
        <w:t>，</w:t>
      </w:r>
      <w:r w:rsidR="00175143" w:rsidRPr="00C708FD">
        <w:rPr>
          <w:rFonts w:hint="eastAsia"/>
        </w:rPr>
        <w:t>惟本次為利於廣蒐幫派活動</w:t>
      </w:r>
      <w:proofErr w:type="gramStart"/>
      <w:r w:rsidR="00175143" w:rsidRPr="00C708FD">
        <w:rPr>
          <w:rFonts w:hint="eastAsia"/>
        </w:rPr>
        <w:t>不法情</w:t>
      </w:r>
      <w:proofErr w:type="gramEnd"/>
      <w:r w:rsidR="00175143" w:rsidRPr="00C708FD">
        <w:rPr>
          <w:rFonts w:hint="eastAsia"/>
        </w:rPr>
        <w:t>資</w:t>
      </w:r>
      <w:r w:rsidR="00175143" w:rsidRPr="00C708FD">
        <w:rPr>
          <w:rFonts w:hAnsi="標楷體" w:hint="eastAsia"/>
        </w:rPr>
        <w:t>，</w:t>
      </w:r>
      <w:r w:rsidR="00175143" w:rsidRPr="00C708FD">
        <w:rPr>
          <w:rFonts w:hint="eastAsia"/>
        </w:rPr>
        <w:t>而放寬警察人員與特定對象接觸交往前之報准程序，是否會產生</w:t>
      </w:r>
      <w:r w:rsidR="00853629" w:rsidRPr="00C708FD">
        <w:rPr>
          <w:rFonts w:hint="eastAsia"/>
        </w:rPr>
        <w:t>如同以往之</w:t>
      </w:r>
      <w:r w:rsidR="00175143" w:rsidRPr="00C708FD">
        <w:rPr>
          <w:rFonts w:hint="eastAsia"/>
        </w:rPr>
        <w:t>弊端</w:t>
      </w:r>
      <w:r w:rsidR="00EA6DE9" w:rsidRPr="00C708FD">
        <w:rPr>
          <w:rFonts w:hint="eastAsia"/>
        </w:rPr>
        <w:t>或風紀上之疑慮</w:t>
      </w:r>
      <w:r w:rsidR="00175143" w:rsidRPr="00C708FD">
        <w:rPr>
          <w:rFonts w:hint="eastAsia"/>
        </w:rPr>
        <w:t>，</w:t>
      </w:r>
      <w:proofErr w:type="gramStart"/>
      <w:r w:rsidR="00175143" w:rsidRPr="00C708FD">
        <w:rPr>
          <w:rFonts w:hint="eastAsia"/>
        </w:rPr>
        <w:t>警政署宜持</w:t>
      </w:r>
      <w:proofErr w:type="gramEnd"/>
      <w:r w:rsidR="00175143" w:rsidRPr="00C708FD">
        <w:rPr>
          <w:rFonts w:hint="eastAsia"/>
        </w:rPr>
        <w:t>續觀察</w:t>
      </w:r>
      <w:r w:rsidR="00175143" w:rsidRPr="00C708FD">
        <w:rPr>
          <w:rFonts w:hAnsi="標楷體" w:hint="eastAsia"/>
        </w:rPr>
        <w:t>、</w:t>
      </w:r>
      <w:r w:rsidR="00175143" w:rsidRPr="00C708FD">
        <w:rPr>
          <w:rFonts w:hint="eastAsia"/>
        </w:rPr>
        <w:t>評估而為滾動式調整。</w:t>
      </w:r>
    </w:p>
    <w:p w:rsidR="00F24329" w:rsidRPr="00C708FD" w:rsidRDefault="00175143" w:rsidP="00F24329">
      <w:pPr>
        <w:pStyle w:val="3"/>
      </w:pPr>
      <w:r w:rsidRPr="00C708FD">
        <w:rPr>
          <w:rFonts w:hint="eastAsia"/>
        </w:rPr>
        <w:t>綜上</w:t>
      </w:r>
      <w:r w:rsidRPr="00C708FD">
        <w:rPr>
          <w:rFonts w:hAnsi="標楷體" w:hint="eastAsia"/>
        </w:rPr>
        <w:t>，警政署於112年4月間修正「警察人員與特定對象接觸交往規定」，免除警察人員與特定對象接觸交往前之報准程序，</w:t>
      </w:r>
      <w:proofErr w:type="gramStart"/>
      <w:r w:rsidRPr="00C708FD">
        <w:rPr>
          <w:rFonts w:hAnsi="標楷體" w:hint="eastAsia"/>
        </w:rPr>
        <w:t>俟</w:t>
      </w:r>
      <w:proofErr w:type="gramEnd"/>
      <w:r w:rsidRPr="00C708FD">
        <w:rPr>
          <w:rFonts w:hAnsi="標楷體" w:hint="eastAsia"/>
        </w:rPr>
        <w:t>階段性工作完成後再核備即可。至於放寬報備程序是否會產生</w:t>
      </w:r>
      <w:r w:rsidR="00853629" w:rsidRPr="00C708FD">
        <w:rPr>
          <w:rFonts w:hint="eastAsia"/>
        </w:rPr>
        <w:t>如同以往之</w:t>
      </w:r>
      <w:r w:rsidRPr="00C708FD">
        <w:rPr>
          <w:rFonts w:hAnsi="標楷體" w:hint="eastAsia"/>
        </w:rPr>
        <w:t>弊</w:t>
      </w:r>
      <w:r w:rsidRPr="00C708FD">
        <w:rPr>
          <w:rFonts w:hAnsi="標楷體" w:hint="eastAsia"/>
        </w:rPr>
        <w:lastRenderedPageBreak/>
        <w:t>端，</w:t>
      </w:r>
      <w:proofErr w:type="gramStart"/>
      <w:r w:rsidRPr="00C708FD">
        <w:rPr>
          <w:rFonts w:hAnsi="標楷體" w:hint="eastAsia"/>
        </w:rPr>
        <w:t>警政署宜持續</w:t>
      </w:r>
      <w:proofErr w:type="gramEnd"/>
      <w:r w:rsidRPr="00C708FD">
        <w:rPr>
          <w:rFonts w:hAnsi="標楷體" w:hint="eastAsia"/>
        </w:rPr>
        <w:t>觀察為滾動式調整。</w:t>
      </w:r>
    </w:p>
    <w:p w:rsidR="00587547" w:rsidRPr="00C708FD" w:rsidRDefault="00476C43" w:rsidP="0041597C">
      <w:pPr>
        <w:pStyle w:val="110"/>
      </w:pPr>
      <w:r w:rsidRPr="00C708FD">
        <w:rPr>
          <w:rFonts w:cs="DFKaiShu-SB-Estd-BF" w:hint="eastAsia"/>
          <w:kern w:val="0"/>
          <w:szCs w:val="32"/>
        </w:rPr>
        <w:t>高檢署與警政署於</w:t>
      </w:r>
      <w:r w:rsidRPr="00C708FD">
        <w:rPr>
          <w:rFonts w:cs="TimesNewRomanPSMT"/>
          <w:kern w:val="0"/>
          <w:szCs w:val="32"/>
        </w:rPr>
        <w:t>111</w:t>
      </w:r>
      <w:r w:rsidRPr="00C708FD">
        <w:rPr>
          <w:rFonts w:cs="DFKaiShu-SB-Estd-BF" w:hint="eastAsia"/>
          <w:kern w:val="0"/>
          <w:szCs w:val="32"/>
        </w:rPr>
        <w:t>年</w:t>
      </w:r>
      <w:r w:rsidRPr="00C708FD">
        <w:rPr>
          <w:rFonts w:cs="TimesNewRomanPSMT"/>
          <w:kern w:val="0"/>
          <w:szCs w:val="32"/>
        </w:rPr>
        <w:t>10</w:t>
      </w:r>
      <w:r w:rsidRPr="00C708FD">
        <w:rPr>
          <w:rFonts w:cs="DFKaiShu-SB-Estd-BF" w:hint="eastAsia"/>
          <w:kern w:val="0"/>
          <w:szCs w:val="32"/>
        </w:rPr>
        <w:t>月起迄今實施多次全國性掃黑</w:t>
      </w:r>
      <w:proofErr w:type="gramStart"/>
      <w:r w:rsidRPr="00C708FD">
        <w:rPr>
          <w:rFonts w:cs="DFKaiShu-SB-Estd-BF" w:hint="eastAsia"/>
          <w:kern w:val="0"/>
          <w:szCs w:val="32"/>
        </w:rPr>
        <w:t>肅</w:t>
      </w:r>
      <w:proofErr w:type="gramEnd"/>
      <w:r w:rsidRPr="00C708FD">
        <w:rPr>
          <w:rFonts w:cs="DFKaiShu-SB-Estd-BF" w:hint="eastAsia"/>
          <w:kern w:val="0"/>
          <w:szCs w:val="32"/>
        </w:rPr>
        <w:t>槍專案行動，及</w:t>
      </w:r>
      <w:r w:rsidRPr="00C708FD">
        <w:rPr>
          <w:rFonts w:hint="eastAsia"/>
        </w:rPr>
        <w:t>最高檢察署「掃黑工作督導小組」督導各地檢署執行掃黑工作</w:t>
      </w:r>
      <w:r w:rsidR="005407CC" w:rsidRPr="00C708FD">
        <w:rPr>
          <w:rFonts w:hint="eastAsia"/>
        </w:rPr>
        <w:t>並</w:t>
      </w:r>
      <w:r w:rsidR="005407CC" w:rsidRPr="00C708FD">
        <w:rPr>
          <w:rFonts w:hint="eastAsia"/>
          <w:szCs w:val="32"/>
        </w:rPr>
        <w:t>於112年3月底召開「掃黑工作聯繫會議」後</w:t>
      </w:r>
      <w:r w:rsidRPr="00C708FD">
        <w:rPr>
          <w:rFonts w:hint="eastAsia"/>
        </w:rPr>
        <w:t>，</w:t>
      </w:r>
      <w:r w:rsidRPr="00C708FD">
        <w:rPr>
          <w:rFonts w:cs="DFKaiShu-SB-Estd-BF" w:hint="eastAsia"/>
          <w:kern w:val="0"/>
          <w:szCs w:val="32"/>
        </w:rPr>
        <w:t>雖</w:t>
      </w:r>
      <w:r w:rsidR="0067249C" w:rsidRPr="00C708FD">
        <w:rPr>
          <w:rFonts w:cs="DFKaiShu-SB-Estd-BF" w:hint="eastAsia"/>
          <w:kern w:val="0"/>
          <w:szCs w:val="32"/>
        </w:rPr>
        <w:t>績</w:t>
      </w:r>
      <w:r w:rsidRPr="00C708FD">
        <w:rPr>
          <w:rFonts w:cs="DFKaiShu-SB-Estd-BF" w:hint="eastAsia"/>
          <w:kern w:val="0"/>
          <w:szCs w:val="32"/>
        </w:rPr>
        <w:t>效良好，</w:t>
      </w:r>
      <w:r w:rsidR="005407CC" w:rsidRPr="00C708FD">
        <w:rPr>
          <w:rFonts w:cs="DFKaiShu-SB-Estd-BF" w:hint="eastAsia"/>
          <w:kern w:val="0"/>
          <w:szCs w:val="32"/>
        </w:rPr>
        <w:t>暫時</w:t>
      </w:r>
      <w:r w:rsidRPr="00C708FD">
        <w:rPr>
          <w:rFonts w:cs="DFKaiShu-SB-Estd-BF" w:hint="eastAsia"/>
          <w:kern w:val="0"/>
          <w:szCs w:val="32"/>
        </w:rPr>
        <w:t>得以壓制</w:t>
      </w:r>
      <w:r w:rsidR="006F3192" w:rsidRPr="00C708FD">
        <w:rPr>
          <w:rFonts w:cs="DFKaiShu-SB-Estd-BF" w:hint="eastAsia"/>
          <w:kern w:val="0"/>
          <w:szCs w:val="32"/>
        </w:rPr>
        <w:t>幫派</w:t>
      </w:r>
      <w:r w:rsidRPr="00C708FD">
        <w:rPr>
          <w:rFonts w:cs="DFKaiShu-SB-Estd-BF" w:hint="eastAsia"/>
          <w:kern w:val="0"/>
          <w:szCs w:val="32"/>
        </w:rPr>
        <w:t>氣焰，惟</w:t>
      </w:r>
      <w:r w:rsidR="005407CC" w:rsidRPr="00C708FD">
        <w:rPr>
          <w:rFonts w:cs="DFKaiShu-SB-Estd-BF" w:hint="eastAsia"/>
          <w:kern w:val="0"/>
          <w:szCs w:val="32"/>
        </w:rPr>
        <w:t>從數據觀之，案件數及涉案人數不減反增，</w:t>
      </w:r>
      <w:proofErr w:type="gramStart"/>
      <w:r w:rsidR="005407CC" w:rsidRPr="00C708FD">
        <w:rPr>
          <w:rFonts w:cs="DFKaiShu-SB-Estd-BF" w:hint="eastAsia"/>
          <w:kern w:val="0"/>
          <w:szCs w:val="32"/>
        </w:rPr>
        <w:t>檢警宜考</w:t>
      </w:r>
      <w:proofErr w:type="gramEnd"/>
      <w:r w:rsidR="005407CC" w:rsidRPr="00C708FD">
        <w:rPr>
          <w:rFonts w:cs="DFKaiShu-SB-Estd-BF" w:hint="eastAsia"/>
          <w:kern w:val="0"/>
          <w:szCs w:val="32"/>
        </w:rPr>
        <w:t>量如何</w:t>
      </w:r>
      <w:r w:rsidR="00EF6D32" w:rsidRPr="00C708FD">
        <w:rPr>
          <w:rFonts w:cs="DFKaiShu-SB-Estd-BF" w:hint="eastAsia"/>
          <w:kern w:val="0"/>
          <w:szCs w:val="32"/>
        </w:rPr>
        <w:t>有效阻絕幫</w:t>
      </w:r>
      <w:r w:rsidR="006F3192" w:rsidRPr="00C708FD">
        <w:rPr>
          <w:rFonts w:cs="DFKaiShu-SB-Estd-BF" w:hint="eastAsia"/>
          <w:kern w:val="0"/>
          <w:szCs w:val="32"/>
        </w:rPr>
        <w:t>派</w:t>
      </w:r>
      <w:r w:rsidR="00EF6D32" w:rsidRPr="00C708FD">
        <w:rPr>
          <w:rFonts w:cs="DFKaiShu-SB-Estd-BF" w:hint="eastAsia"/>
          <w:kern w:val="0"/>
          <w:szCs w:val="32"/>
        </w:rPr>
        <w:t>組織之人流及金流，以免危害社會治安事件反覆發生</w:t>
      </w:r>
      <w:r w:rsidR="00EF6D32" w:rsidRPr="00C708FD">
        <w:rPr>
          <w:rFonts w:ascii="新細明體" w:eastAsia="新細明體" w:hAnsi="新細明體" w:cs="DFKaiShu-SB-Estd-BF" w:hint="eastAsia"/>
          <w:kern w:val="0"/>
          <w:szCs w:val="32"/>
        </w:rPr>
        <w:t>。</w:t>
      </w:r>
    </w:p>
    <w:p w:rsidR="00EF6D32" w:rsidRPr="00C708FD" w:rsidRDefault="00EF6D32" w:rsidP="00EF6D32">
      <w:pPr>
        <w:pStyle w:val="3"/>
        <w:rPr>
          <w:b/>
        </w:rPr>
      </w:pPr>
      <w:r w:rsidRPr="00C708FD">
        <w:rPr>
          <w:rFonts w:cs="DFKaiShu-SB-Estd-BF" w:hint="eastAsia"/>
          <w:b/>
          <w:kern w:val="0"/>
          <w:szCs w:val="32"/>
        </w:rPr>
        <w:t>高檢署與警政署於</w:t>
      </w:r>
      <w:r w:rsidRPr="00C708FD">
        <w:rPr>
          <w:rFonts w:cs="TimesNewRomanPSMT"/>
          <w:b/>
          <w:kern w:val="0"/>
          <w:szCs w:val="32"/>
        </w:rPr>
        <w:t>111</w:t>
      </w:r>
      <w:r w:rsidRPr="00C708FD">
        <w:rPr>
          <w:rFonts w:cs="DFKaiShu-SB-Estd-BF" w:hint="eastAsia"/>
          <w:b/>
          <w:kern w:val="0"/>
          <w:szCs w:val="32"/>
        </w:rPr>
        <w:t>年</w:t>
      </w:r>
      <w:r w:rsidRPr="00C708FD">
        <w:rPr>
          <w:rFonts w:cs="TimesNewRomanPSMT"/>
          <w:b/>
          <w:kern w:val="0"/>
          <w:szCs w:val="32"/>
        </w:rPr>
        <w:t>10</w:t>
      </w:r>
      <w:r w:rsidRPr="00C708FD">
        <w:rPr>
          <w:rFonts w:cs="DFKaiShu-SB-Estd-BF" w:hint="eastAsia"/>
          <w:b/>
          <w:kern w:val="0"/>
          <w:szCs w:val="32"/>
        </w:rPr>
        <w:t>月起迄今實施多次全國性掃黑</w:t>
      </w:r>
      <w:proofErr w:type="gramStart"/>
      <w:r w:rsidRPr="00C708FD">
        <w:rPr>
          <w:rFonts w:cs="DFKaiShu-SB-Estd-BF" w:hint="eastAsia"/>
          <w:b/>
          <w:kern w:val="0"/>
          <w:szCs w:val="32"/>
        </w:rPr>
        <w:t>肅</w:t>
      </w:r>
      <w:proofErr w:type="gramEnd"/>
      <w:r w:rsidRPr="00C708FD">
        <w:rPr>
          <w:rFonts w:cs="DFKaiShu-SB-Estd-BF" w:hint="eastAsia"/>
          <w:b/>
          <w:kern w:val="0"/>
          <w:szCs w:val="32"/>
        </w:rPr>
        <w:t>槍專案行動</w:t>
      </w:r>
      <w:r w:rsidRPr="00C708FD">
        <w:rPr>
          <w:rFonts w:hAnsi="標楷體" w:cs="DFKaiShu-SB-Estd-BF" w:hint="eastAsia"/>
          <w:b/>
          <w:kern w:val="0"/>
          <w:szCs w:val="32"/>
        </w:rPr>
        <w:t>：</w:t>
      </w:r>
    </w:p>
    <w:p w:rsidR="00EF6D32" w:rsidRPr="00C708FD" w:rsidRDefault="00EF6D32" w:rsidP="00EF6D32">
      <w:pPr>
        <w:pStyle w:val="4"/>
      </w:pPr>
      <w:r w:rsidRPr="00C708FD">
        <w:rPr>
          <w:rFonts w:hint="eastAsia"/>
          <w:b/>
        </w:rPr>
        <w:t>高檢署說明：</w:t>
      </w:r>
    </w:p>
    <w:p w:rsidR="00140953" w:rsidRPr="00C708FD" w:rsidRDefault="00140953" w:rsidP="00140953">
      <w:pPr>
        <w:pStyle w:val="5"/>
        <w:rPr>
          <w:b/>
        </w:rPr>
      </w:pPr>
      <w:r w:rsidRPr="00C708FD">
        <w:rPr>
          <w:rFonts w:hint="eastAsia"/>
        </w:rPr>
        <w:t>檢警通力合作嚴辦組織犯罪：高檢署持續與刑事警察局密切聯繫，透過已建置之「打擊不法犯罪組織協調聯繫平</w:t>
      </w:r>
      <w:proofErr w:type="gramStart"/>
      <w:r w:rsidRPr="00C708FD">
        <w:rPr>
          <w:rFonts w:hint="eastAsia"/>
        </w:rPr>
        <w:t>臺</w:t>
      </w:r>
      <w:proofErr w:type="gramEnd"/>
      <w:r w:rsidRPr="00C708FD">
        <w:rPr>
          <w:rFonts w:hint="eastAsia"/>
        </w:rPr>
        <w:t>」通力合作，必要時報請各地檢署檢察官指揮偵辦，經由檢警通力合作，嚴辦組織犯罪。</w:t>
      </w:r>
    </w:p>
    <w:p w:rsidR="00EF6D32" w:rsidRPr="00C708FD" w:rsidRDefault="00140953" w:rsidP="00140953">
      <w:pPr>
        <w:pStyle w:val="5"/>
      </w:pPr>
      <w:r w:rsidRPr="00C708FD">
        <w:rPr>
          <w:rFonts w:hint="eastAsia"/>
        </w:rPr>
        <w:t>高檢署於110年8月16日召集「打擊不法犯罪組織聯繫會議」，邀集全國各地檢署、刑事警察局、各警局刑事警察大隊，藉由聯繫會議達成共識，以打擊不法犯罪組織，有效壓制犯罪。達成共識之決議內容如下：</w:t>
      </w:r>
    </w:p>
    <w:p w:rsidR="00D628DF" w:rsidRPr="00C708FD" w:rsidRDefault="00D628DF" w:rsidP="00D628DF">
      <w:pPr>
        <w:pStyle w:val="6"/>
      </w:pPr>
      <w:r w:rsidRPr="00C708FD">
        <w:rPr>
          <w:rFonts w:hint="eastAsia"/>
        </w:rPr>
        <w:t>由司法警察機關報請檢察官專案指揮偵辦，針對違法構成要件加強</w:t>
      </w:r>
      <w:proofErr w:type="gramStart"/>
      <w:r w:rsidRPr="00C708FD">
        <w:rPr>
          <w:rFonts w:hint="eastAsia"/>
        </w:rPr>
        <w:t>蒐</w:t>
      </w:r>
      <w:proofErr w:type="gramEnd"/>
      <w:r w:rsidRPr="00C708FD">
        <w:rPr>
          <w:rFonts w:hint="eastAsia"/>
        </w:rPr>
        <w:t>證，人犯隨案移送，以提升打擊不法犯罪組織案件</w:t>
      </w:r>
      <w:proofErr w:type="gramStart"/>
      <w:r w:rsidRPr="00C708FD">
        <w:rPr>
          <w:rFonts w:hint="eastAsia"/>
        </w:rPr>
        <w:t>之聲押獲</w:t>
      </w:r>
      <w:proofErr w:type="gramEnd"/>
      <w:r w:rsidRPr="00C708FD">
        <w:rPr>
          <w:rFonts w:hint="eastAsia"/>
        </w:rPr>
        <w:t>准率。</w:t>
      </w:r>
    </w:p>
    <w:p w:rsidR="00D628DF" w:rsidRPr="00C708FD" w:rsidRDefault="00D628DF" w:rsidP="00D628DF">
      <w:pPr>
        <w:pStyle w:val="6"/>
      </w:pPr>
      <w:r w:rsidRPr="00C708FD">
        <w:rPr>
          <w:rFonts w:hint="eastAsia"/>
        </w:rPr>
        <w:t>司法警察機關移送案件時，就有關從重量刑因素，進行</w:t>
      </w:r>
      <w:proofErr w:type="gramStart"/>
      <w:r w:rsidRPr="00C708FD">
        <w:rPr>
          <w:rFonts w:hint="eastAsia"/>
        </w:rPr>
        <w:t>蒐</w:t>
      </w:r>
      <w:proofErr w:type="gramEnd"/>
      <w:r w:rsidRPr="00C708FD">
        <w:rPr>
          <w:rFonts w:hint="eastAsia"/>
        </w:rPr>
        <w:t>證並載明移送書，以強化起訴書具體求刑之論述。</w:t>
      </w:r>
    </w:p>
    <w:p w:rsidR="00D628DF" w:rsidRPr="00C708FD" w:rsidRDefault="00D628DF" w:rsidP="00D628DF">
      <w:pPr>
        <w:pStyle w:val="6"/>
      </w:pPr>
      <w:r w:rsidRPr="00C708FD">
        <w:rPr>
          <w:rFonts w:hint="eastAsia"/>
        </w:rPr>
        <w:t>符合偵查不公開作業辦法規定時，請司法警</w:t>
      </w:r>
      <w:r w:rsidRPr="00C708FD">
        <w:rPr>
          <w:rFonts w:hint="eastAsia"/>
        </w:rPr>
        <w:lastRenderedPageBreak/>
        <w:t>察機關與偵查機關發言人保持密切聯繫溝通，決定發布與否、內容及時機。</w:t>
      </w:r>
    </w:p>
    <w:p w:rsidR="00EA6DE9" w:rsidRPr="00C708FD" w:rsidRDefault="00EA6DE9" w:rsidP="003B21F9">
      <w:pPr>
        <w:pStyle w:val="5"/>
      </w:pPr>
      <w:r w:rsidRPr="00C708FD">
        <w:rPr>
          <w:rFonts w:hint="eastAsia"/>
        </w:rPr>
        <w:t>高檢署與警政署持續強化掃黑行動：</w:t>
      </w:r>
      <w:r w:rsidRPr="00C708FD">
        <w:rPr>
          <w:rFonts w:cs="TimesNewRomanPSMT"/>
        </w:rPr>
        <w:t>111</w:t>
      </w:r>
      <w:r w:rsidRPr="00C708FD">
        <w:rPr>
          <w:rFonts w:hint="eastAsia"/>
        </w:rPr>
        <w:t>年共發動</w:t>
      </w:r>
      <w:r w:rsidRPr="00C708FD">
        <w:rPr>
          <w:rFonts w:cs="TimesNewRomanPSMT"/>
        </w:rPr>
        <w:t>3</w:t>
      </w:r>
      <w:r w:rsidRPr="00C708FD">
        <w:rPr>
          <w:rFonts w:hint="eastAsia"/>
        </w:rPr>
        <w:t>波「全國同步檢肅非法槍械專案行動」及</w:t>
      </w:r>
      <w:r w:rsidRPr="00C708FD">
        <w:rPr>
          <w:rFonts w:cs="TimesNewRomanPSMT"/>
        </w:rPr>
        <w:t>4</w:t>
      </w:r>
      <w:r w:rsidRPr="00C708FD">
        <w:rPr>
          <w:rFonts w:hint="eastAsia"/>
        </w:rPr>
        <w:t>波同步掃黑行動專案。並於</w:t>
      </w:r>
      <w:r w:rsidRPr="00C708FD">
        <w:rPr>
          <w:rFonts w:cs="TimesNewRomanPSMT"/>
        </w:rPr>
        <w:t>112</w:t>
      </w:r>
      <w:r w:rsidRPr="00C708FD">
        <w:rPr>
          <w:rFonts w:hint="eastAsia"/>
        </w:rPr>
        <w:t>年</w:t>
      </w:r>
      <w:r w:rsidRPr="00C708FD">
        <w:rPr>
          <w:rFonts w:cs="TimesNewRomanPSMT"/>
        </w:rPr>
        <w:t>2</w:t>
      </w:r>
      <w:r w:rsidRPr="00C708FD">
        <w:rPr>
          <w:rFonts w:hint="eastAsia"/>
        </w:rPr>
        <w:t>月實施第</w:t>
      </w:r>
      <w:r w:rsidRPr="00C708FD">
        <w:rPr>
          <w:rFonts w:cs="TimesNewRomanPSMT"/>
        </w:rPr>
        <w:t>112</w:t>
      </w:r>
      <w:r w:rsidRPr="00C708FD">
        <w:rPr>
          <w:rFonts w:hint="eastAsia"/>
        </w:rPr>
        <w:t>年第</w:t>
      </w:r>
      <w:r w:rsidRPr="00C708FD">
        <w:rPr>
          <w:rFonts w:cs="TimesNewRomanPSMT"/>
        </w:rPr>
        <w:t>1</w:t>
      </w:r>
      <w:r w:rsidRPr="00C708FD">
        <w:rPr>
          <w:rFonts w:hint="eastAsia"/>
        </w:rPr>
        <w:t>次「全國同步掃黑、</w:t>
      </w:r>
      <w:proofErr w:type="gramStart"/>
      <w:r w:rsidRPr="00C708FD">
        <w:rPr>
          <w:rFonts w:hint="eastAsia"/>
        </w:rPr>
        <w:t>打詐、</w:t>
      </w:r>
      <w:proofErr w:type="gramEnd"/>
      <w:r w:rsidRPr="00C708FD">
        <w:rPr>
          <w:rFonts w:hint="eastAsia"/>
        </w:rPr>
        <w:t>緝毒行動專案」、</w:t>
      </w:r>
      <w:r w:rsidRPr="00C708FD">
        <w:rPr>
          <w:rFonts w:cs="TimesNewRomanPSMT"/>
        </w:rPr>
        <w:t>112</w:t>
      </w:r>
      <w:r w:rsidRPr="00C708FD">
        <w:rPr>
          <w:rFonts w:hint="eastAsia"/>
        </w:rPr>
        <w:t>年</w:t>
      </w:r>
      <w:r w:rsidRPr="00C708FD">
        <w:rPr>
          <w:rFonts w:cs="TimesNewRomanPSMT"/>
        </w:rPr>
        <w:t>4</w:t>
      </w:r>
      <w:r w:rsidRPr="00C708FD">
        <w:rPr>
          <w:rFonts w:hint="eastAsia"/>
        </w:rPr>
        <w:t>月間實施「全國同步掃黑行動專案」。高檢署於</w:t>
      </w:r>
      <w:proofErr w:type="gramStart"/>
      <w:r w:rsidRPr="00C708FD">
        <w:rPr>
          <w:rFonts w:hint="eastAsia"/>
        </w:rPr>
        <w:t>上揭各次</w:t>
      </w:r>
      <w:proofErr w:type="gramEnd"/>
      <w:r w:rsidRPr="00C708FD">
        <w:rPr>
          <w:rFonts w:hint="eastAsia"/>
        </w:rPr>
        <w:t>行動專案</w:t>
      </w:r>
      <w:proofErr w:type="gramStart"/>
      <w:r w:rsidRPr="00C708FD">
        <w:rPr>
          <w:rFonts w:hint="eastAsia"/>
        </w:rPr>
        <w:t>期間，均</w:t>
      </w:r>
      <w:proofErr w:type="gramEnd"/>
      <w:r w:rsidRPr="00C708FD">
        <w:rPr>
          <w:rFonts w:hint="eastAsia"/>
        </w:rPr>
        <w:t>函請所屬各地檢署指定專組檢察官就專案視案件性質及發展情形，提供法律諮詢及必要協助。</w:t>
      </w:r>
    </w:p>
    <w:p w:rsidR="00140953" w:rsidRPr="00C708FD" w:rsidRDefault="003B21F9" w:rsidP="003B21F9">
      <w:pPr>
        <w:pStyle w:val="5"/>
      </w:pPr>
      <w:r w:rsidRPr="00C708FD">
        <w:rPr>
          <w:rFonts w:hint="eastAsia"/>
        </w:rPr>
        <w:t>高檢署於</w:t>
      </w:r>
      <w:r w:rsidRPr="00C708FD">
        <w:rPr>
          <w:rFonts w:cs="TimesNewRomanPSMT"/>
        </w:rPr>
        <w:t>112</w:t>
      </w:r>
      <w:r w:rsidRPr="00C708FD">
        <w:rPr>
          <w:rFonts w:hint="eastAsia"/>
        </w:rPr>
        <w:t>年</w:t>
      </w:r>
      <w:r w:rsidRPr="00C708FD">
        <w:rPr>
          <w:rFonts w:cs="TimesNewRomanPSMT"/>
        </w:rPr>
        <w:t>4</w:t>
      </w:r>
      <w:r w:rsidRPr="00C708FD">
        <w:rPr>
          <w:rFonts w:hint="eastAsia"/>
        </w:rPr>
        <w:t>月</w:t>
      </w:r>
      <w:r w:rsidRPr="00C708FD">
        <w:rPr>
          <w:rFonts w:cs="TimesNewRomanPSMT"/>
        </w:rPr>
        <w:t>7</w:t>
      </w:r>
      <w:r w:rsidRPr="00C708FD">
        <w:rPr>
          <w:rFonts w:hint="eastAsia"/>
        </w:rPr>
        <w:t>日以檢</w:t>
      </w:r>
      <w:proofErr w:type="gramStart"/>
      <w:r w:rsidRPr="00C708FD">
        <w:rPr>
          <w:rFonts w:hint="eastAsia"/>
        </w:rPr>
        <w:t>文明字</w:t>
      </w:r>
      <w:proofErr w:type="gramEnd"/>
      <w:r w:rsidRPr="00C708FD">
        <w:rPr>
          <w:rFonts w:hint="eastAsia"/>
        </w:rPr>
        <w:t>第</w:t>
      </w:r>
      <w:r w:rsidRPr="00C708FD">
        <w:rPr>
          <w:rFonts w:cs="TimesNewRomanPSMT"/>
        </w:rPr>
        <w:t>11200052840</w:t>
      </w:r>
      <w:r w:rsidRPr="00C708FD">
        <w:rPr>
          <w:rFonts w:hint="eastAsia"/>
        </w:rPr>
        <w:t>號函知所屬各級檢察署，重申：對於組織犯罪應主動指派專組(責)檢察官指揮司法警察加強</w:t>
      </w:r>
      <w:proofErr w:type="gramStart"/>
      <w:r w:rsidRPr="00C708FD">
        <w:rPr>
          <w:rFonts w:hint="eastAsia"/>
        </w:rPr>
        <w:t>蒐</w:t>
      </w:r>
      <w:proofErr w:type="gramEnd"/>
      <w:r w:rsidRPr="00C708FD">
        <w:rPr>
          <w:rFonts w:hint="eastAsia"/>
        </w:rPr>
        <w:t>證，</w:t>
      </w:r>
      <w:proofErr w:type="gramStart"/>
      <w:r w:rsidRPr="00C708FD">
        <w:rPr>
          <w:rFonts w:hint="eastAsia"/>
        </w:rPr>
        <w:t>嚴查速</w:t>
      </w:r>
      <w:proofErr w:type="gramEnd"/>
      <w:r w:rsidRPr="00C708FD">
        <w:rPr>
          <w:rFonts w:hint="eastAsia"/>
        </w:rPr>
        <w:t>辦，向上溯源，依法聲請羈押，</w:t>
      </w:r>
      <w:r w:rsidRPr="00C708FD">
        <w:rPr>
          <w:rFonts w:hint="eastAsia"/>
          <w:b/>
        </w:rPr>
        <w:t>擴大沒收被告及犯罪組織之犯罪所得，俾能有效瓦解不法犯罪組織</w:t>
      </w:r>
      <w:r w:rsidRPr="00C708FD">
        <w:rPr>
          <w:rFonts w:hint="eastAsia"/>
        </w:rPr>
        <w:t>，並遵循「偵查不公開作業辦法」適時發布新聞，以彰顯政府維護治安之決心及減少民眾對治安之疑慮。</w:t>
      </w:r>
    </w:p>
    <w:p w:rsidR="00EF6D32" w:rsidRPr="00C708FD" w:rsidRDefault="00140953" w:rsidP="00192B81">
      <w:pPr>
        <w:pStyle w:val="4"/>
      </w:pPr>
      <w:r w:rsidRPr="00C708FD">
        <w:rPr>
          <w:rFonts w:hint="eastAsia"/>
        </w:rPr>
        <w:t>警政署說明：</w:t>
      </w:r>
    </w:p>
    <w:p w:rsidR="00140953" w:rsidRPr="00C708FD" w:rsidRDefault="003B21F9" w:rsidP="00192B81">
      <w:pPr>
        <w:pStyle w:val="5"/>
        <w:rPr>
          <w:rFonts w:cs="DFKaiShu-SB-Estd-BF"/>
          <w:kern w:val="0"/>
          <w:szCs w:val="32"/>
        </w:rPr>
      </w:pPr>
      <w:r w:rsidRPr="00C708FD">
        <w:rPr>
          <w:rFonts w:hint="eastAsia"/>
        </w:rPr>
        <w:t>連續發動「全國同步掃黑行動專案」：</w:t>
      </w:r>
    </w:p>
    <w:p w:rsidR="003B21F9" w:rsidRPr="00C708FD" w:rsidRDefault="003B21F9" w:rsidP="00192B81">
      <w:pPr>
        <w:pStyle w:val="6"/>
      </w:pPr>
      <w:r w:rsidRPr="00C708FD">
        <w:rPr>
          <w:rFonts w:hint="eastAsia"/>
        </w:rPr>
        <w:t>為加強打擊幫派黑道，警政署聯合高檢署針對幫派暴力與相關衍生犯罪，連續發動數波「全國同步掃黑行動專案」，強力掃蕩幫派賴以為生之行業處所，並聚焦打擊幫派不法分子。</w:t>
      </w:r>
      <w:r w:rsidR="00DF21BB" w:rsidRPr="00C708FD">
        <w:rPr>
          <w:rFonts w:hint="eastAsia"/>
        </w:rPr>
        <w:t>統計112年1月至9月聯合高檢署共實施7次全國同步掃黑行動，查獲犯罪組織358件，犯嫌2,209人、各式槍械378把，查扣不法利得總計達5,570萬餘元。</w:t>
      </w:r>
    </w:p>
    <w:p w:rsidR="0074360F" w:rsidRPr="00C708FD" w:rsidRDefault="0074360F" w:rsidP="00192B81">
      <w:pPr>
        <w:pStyle w:val="6"/>
      </w:pPr>
      <w:r w:rsidRPr="00C708FD">
        <w:rPr>
          <w:rFonts w:hint="eastAsia"/>
        </w:rPr>
        <w:t>警政署</w:t>
      </w:r>
      <w:r w:rsidRPr="00C708FD">
        <w:t>111</w:t>
      </w:r>
      <w:r w:rsidRPr="00C708FD">
        <w:rPr>
          <w:rFonts w:hint="eastAsia"/>
        </w:rPr>
        <w:t>年</w:t>
      </w:r>
      <w:r w:rsidRPr="00C708FD">
        <w:t>10</w:t>
      </w:r>
      <w:r w:rsidRPr="00C708FD">
        <w:rPr>
          <w:rFonts w:hint="eastAsia"/>
        </w:rPr>
        <w:t>月</w:t>
      </w:r>
      <w:r w:rsidRPr="00C708FD">
        <w:t>11</w:t>
      </w:r>
      <w:r w:rsidRPr="00C708FD">
        <w:rPr>
          <w:rFonts w:hint="eastAsia"/>
        </w:rPr>
        <w:t>日至</w:t>
      </w:r>
      <w:r w:rsidRPr="00C708FD">
        <w:t>10</w:t>
      </w:r>
      <w:r w:rsidRPr="00C708FD">
        <w:rPr>
          <w:rFonts w:hint="eastAsia"/>
        </w:rPr>
        <w:t>月</w:t>
      </w:r>
      <w:r w:rsidRPr="00C708FD">
        <w:t>18</w:t>
      </w:r>
      <w:r w:rsidRPr="00C708FD">
        <w:rPr>
          <w:rFonts w:hint="eastAsia"/>
        </w:rPr>
        <w:t>日執行第</w:t>
      </w:r>
      <w:r w:rsidRPr="00C708FD">
        <w:t>3</w:t>
      </w:r>
      <w:r w:rsidRPr="00C708FD">
        <w:rPr>
          <w:rFonts w:hint="eastAsia"/>
        </w:rPr>
        <w:t>次全國同步</w:t>
      </w:r>
      <w:proofErr w:type="gramStart"/>
      <w:r w:rsidRPr="00C708FD">
        <w:rPr>
          <w:rFonts w:hint="eastAsia"/>
        </w:rPr>
        <w:t>肅</w:t>
      </w:r>
      <w:proofErr w:type="gramEnd"/>
      <w:r w:rsidRPr="00C708FD">
        <w:rPr>
          <w:rFonts w:hint="eastAsia"/>
        </w:rPr>
        <w:t>槍專案及第</w:t>
      </w:r>
      <w:r w:rsidRPr="00C708FD">
        <w:t>4</w:t>
      </w:r>
      <w:r w:rsidRPr="00C708FD">
        <w:rPr>
          <w:rFonts w:hint="eastAsia"/>
        </w:rPr>
        <w:t>次全國同步掃黑行</w:t>
      </w:r>
      <w:r w:rsidRPr="00C708FD">
        <w:rPr>
          <w:rFonts w:hint="eastAsia"/>
        </w:rPr>
        <w:lastRenderedPageBreak/>
        <w:t>動專案完畢，執行成效如下：</w:t>
      </w:r>
    </w:p>
    <w:p w:rsidR="0074360F" w:rsidRPr="00C708FD" w:rsidRDefault="0074360F" w:rsidP="00192B81">
      <w:pPr>
        <w:pStyle w:val="7"/>
      </w:pPr>
      <w:r w:rsidRPr="00C708FD">
        <w:t>111</w:t>
      </w:r>
      <w:r w:rsidRPr="00C708FD">
        <w:rPr>
          <w:rFonts w:hint="eastAsia"/>
        </w:rPr>
        <w:t>年第</w:t>
      </w:r>
      <w:r w:rsidRPr="00C708FD">
        <w:t>3</w:t>
      </w:r>
      <w:r w:rsidRPr="00C708FD">
        <w:rPr>
          <w:rFonts w:hint="eastAsia"/>
        </w:rPr>
        <w:t>次</w:t>
      </w:r>
      <w:proofErr w:type="gramStart"/>
      <w:r w:rsidRPr="00C708FD">
        <w:rPr>
          <w:rFonts w:hint="eastAsia"/>
        </w:rPr>
        <w:t>肅</w:t>
      </w:r>
      <w:proofErr w:type="gramEnd"/>
      <w:r w:rsidRPr="00C708FD">
        <w:rPr>
          <w:rFonts w:hint="eastAsia"/>
        </w:rPr>
        <w:t>槍專案，查獲違反槍砲案件</w:t>
      </w:r>
      <w:r w:rsidRPr="00C708FD">
        <w:t>39</w:t>
      </w:r>
      <w:r w:rsidRPr="00C708FD">
        <w:rPr>
          <w:rFonts w:hint="eastAsia"/>
        </w:rPr>
        <w:t>件、</w:t>
      </w:r>
      <w:r w:rsidRPr="00C708FD">
        <w:t>45</w:t>
      </w:r>
      <w:r w:rsidRPr="00C708FD">
        <w:rPr>
          <w:rFonts w:hint="eastAsia"/>
        </w:rPr>
        <w:t>人，共查獲各式非法槍械</w:t>
      </w:r>
      <w:r w:rsidRPr="00C708FD">
        <w:t>52</w:t>
      </w:r>
      <w:r w:rsidRPr="00C708FD">
        <w:rPr>
          <w:rFonts w:hint="eastAsia"/>
        </w:rPr>
        <w:t>枝</w:t>
      </w:r>
      <w:r w:rsidRPr="00C708FD">
        <w:t>(</w:t>
      </w:r>
      <w:r w:rsidRPr="00C708FD">
        <w:rPr>
          <w:rFonts w:hint="eastAsia"/>
        </w:rPr>
        <w:t>非制式槍</w:t>
      </w:r>
      <w:r w:rsidRPr="00C708FD">
        <w:t>39</w:t>
      </w:r>
      <w:r w:rsidRPr="00C708FD">
        <w:rPr>
          <w:rFonts w:hint="eastAsia"/>
        </w:rPr>
        <w:t>枝、模擬槍</w:t>
      </w:r>
      <w:r w:rsidRPr="00C708FD">
        <w:t>13</w:t>
      </w:r>
      <w:r w:rsidRPr="00C708FD">
        <w:rPr>
          <w:rFonts w:hint="eastAsia"/>
        </w:rPr>
        <w:t>枝</w:t>
      </w:r>
      <w:r w:rsidRPr="00C708FD">
        <w:t>)</w:t>
      </w:r>
      <w:r w:rsidRPr="00C708FD">
        <w:rPr>
          <w:rFonts w:hint="eastAsia"/>
        </w:rPr>
        <w:t>、改造槍械場所</w:t>
      </w:r>
      <w:r w:rsidRPr="00C708FD">
        <w:t>3</w:t>
      </w:r>
      <w:r w:rsidRPr="00C708FD">
        <w:rPr>
          <w:rFonts w:hint="eastAsia"/>
        </w:rPr>
        <w:t>處。</w:t>
      </w:r>
    </w:p>
    <w:p w:rsidR="0074360F" w:rsidRPr="00C708FD" w:rsidRDefault="0074360F" w:rsidP="00192B81">
      <w:pPr>
        <w:pStyle w:val="7"/>
      </w:pPr>
      <w:r w:rsidRPr="00C708FD">
        <w:t>111</w:t>
      </w:r>
      <w:r w:rsidRPr="00C708FD">
        <w:rPr>
          <w:rFonts w:hint="eastAsia"/>
        </w:rPr>
        <w:t>年第</w:t>
      </w:r>
      <w:r w:rsidRPr="00C708FD">
        <w:t>4</w:t>
      </w:r>
      <w:r w:rsidRPr="00C708FD">
        <w:rPr>
          <w:rFonts w:hint="eastAsia"/>
        </w:rPr>
        <w:t>次掃黑專案，查獲幫派組織</w:t>
      </w:r>
      <w:r w:rsidRPr="00C708FD">
        <w:t>47</w:t>
      </w:r>
      <w:r w:rsidRPr="00C708FD">
        <w:rPr>
          <w:rFonts w:hint="eastAsia"/>
        </w:rPr>
        <w:t>個、犯嫌</w:t>
      </w:r>
      <w:r w:rsidRPr="00C708FD">
        <w:t>281</w:t>
      </w:r>
      <w:r w:rsidRPr="00C708FD">
        <w:rPr>
          <w:rFonts w:hint="eastAsia"/>
        </w:rPr>
        <w:t>人，並查扣不法金流</w:t>
      </w:r>
      <w:r w:rsidRPr="00C708FD">
        <w:t>218</w:t>
      </w:r>
      <w:r w:rsidRPr="00C708FD">
        <w:rPr>
          <w:rFonts w:hint="eastAsia"/>
        </w:rPr>
        <w:t>萬餘元。</w:t>
      </w:r>
    </w:p>
    <w:p w:rsidR="0074360F" w:rsidRPr="00C708FD" w:rsidRDefault="0074360F" w:rsidP="00192B81">
      <w:pPr>
        <w:pStyle w:val="6"/>
      </w:pPr>
      <w:r w:rsidRPr="00C708FD">
        <w:rPr>
          <w:rFonts w:hint="eastAsia"/>
        </w:rPr>
        <w:t>警政署自</w:t>
      </w:r>
      <w:r w:rsidRPr="00C708FD">
        <w:t>112</w:t>
      </w:r>
      <w:r w:rsidRPr="00C708FD">
        <w:rPr>
          <w:rFonts w:hint="eastAsia"/>
        </w:rPr>
        <w:t>年</w:t>
      </w:r>
      <w:r w:rsidRPr="00C708FD">
        <w:t>3</w:t>
      </w:r>
      <w:r w:rsidRPr="00C708FD">
        <w:rPr>
          <w:rFonts w:hint="eastAsia"/>
        </w:rPr>
        <w:t>月</w:t>
      </w:r>
      <w:r w:rsidRPr="00C708FD">
        <w:t>8</w:t>
      </w:r>
      <w:r w:rsidRPr="00C708FD">
        <w:rPr>
          <w:rFonts w:hint="eastAsia"/>
        </w:rPr>
        <w:t>日起至</w:t>
      </w:r>
      <w:r w:rsidRPr="00C708FD">
        <w:t>4</w:t>
      </w:r>
      <w:r w:rsidRPr="00C708FD">
        <w:rPr>
          <w:rFonts w:hint="eastAsia"/>
        </w:rPr>
        <w:t>月</w:t>
      </w:r>
      <w:r w:rsidRPr="00C708FD">
        <w:t>8</w:t>
      </w:r>
      <w:r w:rsidRPr="00C708FD">
        <w:rPr>
          <w:rFonts w:hint="eastAsia"/>
        </w:rPr>
        <w:t>日止，實施為期一個月的全國大掃黑：</w:t>
      </w:r>
    </w:p>
    <w:p w:rsidR="0074360F" w:rsidRPr="00C708FD" w:rsidRDefault="0074360F" w:rsidP="00192B81">
      <w:pPr>
        <w:pStyle w:val="7"/>
      </w:pPr>
      <w:r w:rsidRPr="00C708FD">
        <w:rPr>
          <w:rFonts w:hint="eastAsia"/>
        </w:rPr>
        <w:t>在第一階段對幫派公開活動及相關衍生犯罪，執行同步擴大臨檢、掃黑、</w:t>
      </w:r>
      <w:proofErr w:type="gramStart"/>
      <w:r w:rsidRPr="00C708FD">
        <w:rPr>
          <w:rFonts w:hint="eastAsia"/>
        </w:rPr>
        <w:t>打詐、</w:t>
      </w:r>
      <w:proofErr w:type="gramEnd"/>
      <w:r w:rsidRPr="00C708FD">
        <w:rPr>
          <w:rFonts w:hint="eastAsia"/>
        </w:rPr>
        <w:t>緝毒及肅槍行動專案</w:t>
      </w:r>
      <w:r w:rsidRPr="00C708FD">
        <w:rPr>
          <w:rFonts w:hAnsi="標楷體" w:hint="eastAsia"/>
        </w:rPr>
        <w:t>；</w:t>
      </w:r>
      <w:r w:rsidRPr="00C708FD">
        <w:rPr>
          <w:rFonts w:hint="eastAsia"/>
        </w:rPr>
        <w:t>在第二階段聚焦打擊竹聯幫明仁會不法犯罪專案，展現警察打擊成效、穩定民眾治安信心</w:t>
      </w:r>
      <w:r w:rsidRPr="00C708FD">
        <w:rPr>
          <w:rFonts w:hAnsi="標楷體" w:hint="eastAsia"/>
        </w:rPr>
        <w:t>。</w:t>
      </w:r>
    </w:p>
    <w:p w:rsidR="0074360F" w:rsidRPr="00C708FD" w:rsidRDefault="0074360F" w:rsidP="00192B81">
      <w:pPr>
        <w:pStyle w:val="7"/>
      </w:pPr>
      <w:r w:rsidRPr="00C708FD">
        <w:rPr>
          <w:rFonts w:hint="eastAsia"/>
        </w:rPr>
        <w:t>本次專案行動，共動員全國警力</w:t>
      </w:r>
      <w:r w:rsidRPr="00C708FD">
        <w:t>4</w:t>
      </w:r>
      <w:r w:rsidRPr="00C708FD">
        <w:rPr>
          <w:rFonts w:hint="eastAsia"/>
        </w:rPr>
        <w:t>萬</w:t>
      </w:r>
      <w:r w:rsidRPr="00C708FD">
        <w:t>7,619</w:t>
      </w:r>
      <w:r w:rsidRPr="00C708FD">
        <w:rPr>
          <w:rFonts w:hint="eastAsia"/>
        </w:rPr>
        <w:t>人次，以第三方警政將幫派依附處所函請裁處</w:t>
      </w:r>
      <w:r w:rsidRPr="00C708FD">
        <w:t>713</w:t>
      </w:r>
      <w:r w:rsidRPr="00C708FD">
        <w:rPr>
          <w:rFonts w:hint="eastAsia"/>
        </w:rPr>
        <w:t>案，掃黑部分執行治平專案</w:t>
      </w:r>
      <w:r w:rsidRPr="00C708FD">
        <w:t>60</w:t>
      </w:r>
      <w:r w:rsidRPr="00C708FD">
        <w:rPr>
          <w:rFonts w:hint="eastAsia"/>
        </w:rPr>
        <w:t>件、犯嫌</w:t>
      </w:r>
      <w:r w:rsidRPr="00C708FD">
        <w:t>371</w:t>
      </w:r>
      <w:r w:rsidRPr="00C708FD">
        <w:rPr>
          <w:rFonts w:hint="eastAsia"/>
        </w:rPr>
        <w:t>人，</w:t>
      </w:r>
      <w:proofErr w:type="gramStart"/>
      <w:r w:rsidRPr="00C708FD">
        <w:rPr>
          <w:rFonts w:hint="eastAsia"/>
        </w:rPr>
        <w:t>併</w:t>
      </w:r>
      <w:proofErr w:type="gramEnd"/>
      <w:r w:rsidRPr="00C708FD">
        <w:rPr>
          <w:rFonts w:hint="eastAsia"/>
        </w:rPr>
        <w:t>同步</w:t>
      </w:r>
      <w:proofErr w:type="gramStart"/>
      <w:r w:rsidRPr="00C708FD">
        <w:rPr>
          <w:rFonts w:hint="eastAsia"/>
        </w:rPr>
        <w:t>查獲含明</w:t>
      </w:r>
      <w:proofErr w:type="gramEnd"/>
      <w:r w:rsidRPr="00C708FD">
        <w:rPr>
          <w:rFonts w:hint="eastAsia"/>
        </w:rPr>
        <w:t>仁會</w:t>
      </w:r>
      <w:r w:rsidRPr="00C708FD">
        <w:t>103</w:t>
      </w:r>
      <w:r w:rsidRPr="00C708FD">
        <w:rPr>
          <w:rFonts w:hint="eastAsia"/>
        </w:rPr>
        <w:t>人；</w:t>
      </w:r>
      <w:proofErr w:type="gramStart"/>
      <w:r w:rsidRPr="00C708FD">
        <w:rPr>
          <w:rFonts w:hint="eastAsia"/>
        </w:rPr>
        <w:t>打詐部分</w:t>
      </w:r>
      <w:proofErr w:type="gramEnd"/>
      <w:r w:rsidRPr="00C708FD">
        <w:rPr>
          <w:rFonts w:hint="eastAsia"/>
        </w:rPr>
        <w:t>查獲詐欺集團</w:t>
      </w:r>
      <w:r w:rsidRPr="00C708FD">
        <w:t>208</w:t>
      </w:r>
      <w:r w:rsidRPr="00C708FD">
        <w:rPr>
          <w:rFonts w:hint="eastAsia"/>
        </w:rPr>
        <w:t>件、</w:t>
      </w:r>
      <w:r w:rsidRPr="00C708FD">
        <w:t>1,244</w:t>
      </w:r>
      <w:r w:rsidRPr="00C708FD">
        <w:rPr>
          <w:rFonts w:hint="eastAsia"/>
        </w:rPr>
        <w:t>人，查扣現金及財產</w:t>
      </w:r>
      <w:r w:rsidRPr="00C708FD">
        <w:t>2</w:t>
      </w:r>
      <w:r w:rsidRPr="00C708FD">
        <w:rPr>
          <w:rFonts w:hint="eastAsia"/>
        </w:rPr>
        <w:t>億</w:t>
      </w:r>
      <w:r w:rsidRPr="00C708FD">
        <w:t>5,601</w:t>
      </w:r>
      <w:r w:rsidRPr="00C708FD">
        <w:rPr>
          <w:rFonts w:hint="eastAsia"/>
        </w:rPr>
        <w:t>萬餘元；緝毒部分查獲案件</w:t>
      </w:r>
      <w:r w:rsidRPr="00C708FD">
        <w:t>3,293</w:t>
      </w:r>
      <w:r w:rsidRPr="00C708FD">
        <w:rPr>
          <w:rFonts w:hint="eastAsia"/>
        </w:rPr>
        <w:t>件、</w:t>
      </w:r>
      <w:r w:rsidRPr="00C708FD">
        <w:t>3,525</w:t>
      </w:r>
      <w:r w:rsidRPr="00C708FD">
        <w:rPr>
          <w:rFonts w:hint="eastAsia"/>
        </w:rPr>
        <w:t>人，查扣現金及財產</w:t>
      </w:r>
      <w:r w:rsidRPr="00C708FD">
        <w:t>1</w:t>
      </w:r>
      <w:r w:rsidRPr="00C708FD">
        <w:rPr>
          <w:rFonts w:hint="eastAsia"/>
        </w:rPr>
        <w:t>億</w:t>
      </w:r>
      <w:r w:rsidRPr="00C708FD">
        <w:t>2,479</w:t>
      </w:r>
      <w:r w:rsidRPr="00C708FD">
        <w:rPr>
          <w:rFonts w:hint="eastAsia"/>
        </w:rPr>
        <w:t>萬餘元；</w:t>
      </w:r>
      <w:proofErr w:type="gramStart"/>
      <w:r w:rsidRPr="00C708FD">
        <w:rPr>
          <w:rFonts w:hint="eastAsia"/>
        </w:rPr>
        <w:t>肅</w:t>
      </w:r>
      <w:proofErr w:type="gramEnd"/>
      <w:r w:rsidRPr="00C708FD">
        <w:rPr>
          <w:rFonts w:hint="eastAsia"/>
        </w:rPr>
        <w:t>槍部分查獲槍砲案件</w:t>
      </w:r>
      <w:r w:rsidRPr="00C708FD">
        <w:t>74</w:t>
      </w:r>
      <w:r w:rsidRPr="00C708FD">
        <w:rPr>
          <w:rFonts w:hint="eastAsia"/>
        </w:rPr>
        <w:t>件</w:t>
      </w:r>
      <w:r w:rsidRPr="00C708FD">
        <w:t>75</w:t>
      </w:r>
      <w:r w:rsidRPr="00C708FD">
        <w:rPr>
          <w:rFonts w:hint="eastAsia"/>
        </w:rPr>
        <w:t>人，查扣各式槍枝</w:t>
      </w:r>
      <w:r w:rsidRPr="00C708FD">
        <w:t>97</w:t>
      </w:r>
      <w:r w:rsidRPr="00C708FD">
        <w:rPr>
          <w:rFonts w:hint="eastAsia"/>
        </w:rPr>
        <w:t>枝、改造槍械場所</w:t>
      </w:r>
      <w:r w:rsidRPr="00C708FD">
        <w:t>6</w:t>
      </w:r>
      <w:r w:rsidRPr="00C708FD">
        <w:rPr>
          <w:rFonts w:hint="eastAsia"/>
        </w:rPr>
        <w:t>處。</w:t>
      </w:r>
    </w:p>
    <w:p w:rsidR="003B21F9" w:rsidRPr="00C708FD" w:rsidRDefault="003B21F9" w:rsidP="00192B81">
      <w:pPr>
        <w:pStyle w:val="6"/>
      </w:pPr>
      <w:r w:rsidRPr="00C708FD">
        <w:rPr>
          <w:rFonts w:hint="eastAsia"/>
        </w:rPr>
        <w:t>警政署</w:t>
      </w:r>
      <w:r w:rsidR="00DF21BB" w:rsidRPr="00C708FD">
        <w:rPr>
          <w:rFonts w:hint="eastAsia"/>
        </w:rPr>
        <w:t>於</w:t>
      </w:r>
      <w:r w:rsidRPr="00C708FD">
        <w:rPr>
          <w:rFonts w:hint="eastAsia"/>
        </w:rPr>
        <w:t>112年7月13</w:t>
      </w:r>
      <w:r w:rsidR="00DF21BB" w:rsidRPr="00C708FD">
        <w:rPr>
          <w:rFonts w:hint="eastAsia"/>
        </w:rPr>
        <w:t>~</w:t>
      </w:r>
      <w:r w:rsidRPr="00C708FD">
        <w:rPr>
          <w:rFonts w:hint="eastAsia"/>
        </w:rPr>
        <w:t>20日執行全國同步打擊詐欺及掃黑專案行動完畢，共查獲詐欺集團131件、犯嫌563人，查扣不動產6處、4輛進口高級轎車，不法所得3</w:t>
      </w:r>
      <w:r w:rsidRPr="00C708FD">
        <w:t>,</w:t>
      </w:r>
      <w:r w:rsidRPr="00C708FD">
        <w:rPr>
          <w:rFonts w:hint="eastAsia"/>
        </w:rPr>
        <w:t>954萬元；掃蕩犯罪組織47件、犯嫌294人，查扣不法金流445</w:t>
      </w:r>
      <w:r w:rsidRPr="00C708FD">
        <w:rPr>
          <w:rFonts w:hint="eastAsia"/>
        </w:rPr>
        <w:lastRenderedPageBreak/>
        <w:t>萬元、各式槍械54把。</w:t>
      </w:r>
    </w:p>
    <w:p w:rsidR="00DF21BB" w:rsidRPr="00C708FD" w:rsidRDefault="00DF21BB" w:rsidP="00192B81">
      <w:pPr>
        <w:pStyle w:val="6"/>
      </w:pPr>
      <w:r w:rsidRPr="00C708FD">
        <w:rPr>
          <w:rFonts w:hint="eastAsia"/>
        </w:rPr>
        <w:t>警政署於112年8月21~31日執行全國同步</w:t>
      </w:r>
      <w:proofErr w:type="gramStart"/>
      <w:r w:rsidRPr="00C708FD">
        <w:rPr>
          <w:rFonts w:hint="eastAsia"/>
        </w:rPr>
        <w:t>打詐掃黑肅</w:t>
      </w:r>
      <w:proofErr w:type="gramEnd"/>
      <w:r w:rsidRPr="00C708FD">
        <w:rPr>
          <w:rFonts w:hint="eastAsia"/>
        </w:rPr>
        <w:t>槍專案行動，查獲詐欺集團217件1,076人、查扣1億3,000餘元、掃蕩黑道幫派39件241人、查獲各式槍械66枝及改造槍械處所5處。</w:t>
      </w:r>
    </w:p>
    <w:p w:rsidR="003B21F9" w:rsidRPr="00C708FD" w:rsidRDefault="00DF21BB" w:rsidP="00192B81">
      <w:pPr>
        <w:pStyle w:val="6"/>
      </w:pPr>
      <w:r w:rsidRPr="00C708FD">
        <w:rPr>
          <w:rFonts w:hint="eastAsia"/>
        </w:rPr>
        <w:t>警政署於112年10月23日至11月1日實施「全國同步掃黑、</w:t>
      </w:r>
      <w:proofErr w:type="gramStart"/>
      <w:r w:rsidRPr="00C708FD">
        <w:rPr>
          <w:rFonts w:hint="eastAsia"/>
        </w:rPr>
        <w:t>打詐及肅</w:t>
      </w:r>
      <w:proofErr w:type="gramEnd"/>
      <w:r w:rsidRPr="00C708FD">
        <w:rPr>
          <w:rFonts w:hint="eastAsia"/>
        </w:rPr>
        <w:t>槍行動專案」。</w:t>
      </w:r>
      <w:proofErr w:type="gramStart"/>
      <w:r w:rsidRPr="00C708FD">
        <w:rPr>
          <w:rFonts w:hint="eastAsia"/>
        </w:rPr>
        <w:t>打詐專案</w:t>
      </w:r>
      <w:proofErr w:type="gramEnd"/>
      <w:r w:rsidRPr="00C708FD">
        <w:rPr>
          <w:rFonts w:hint="eastAsia"/>
        </w:rPr>
        <w:t>，計查獲277件1,565人，查扣不動產9處、車輛16輛及1億8,166萬3,388元；掃黑專案計查獲70件412人、查扣不法金流224萬3,420元；</w:t>
      </w:r>
      <w:proofErr w:type="gramStart"/>
      <w:r w:rsidRPr="00C708FD">
        <w:rPr>
          <w:rFonts w:hint="eastAsia"/>
        </w:rPr>
        <w:t>肅</w:t>
      </w:r>
      <w:proofErr w:type="gramEnd"/>
      <w:r w:rsidRPr="00C708FD">
        <w:rPr>
          <w:rFonts w:hint="eastAsia"/>
        </w:rPr>
        <w:t>槍專案計查獲非法槍械案件56件63人、各式非法槍枝87枝(非制式槍枝74枝、模擬槍13枝)及改造槍械場所7處。</w:t>
      </w:r>
    </w:p>
    <w:p w:rsidR="00FE090B" w:rsidRPr="00C708FD" w:rsidRDefault="00FE090B" w:rsidP="00192B81">
      <w:pPr>
        <w:pStyle w:val="6"/>
      </w:pPr>
      <w:r w:rsidRPr="00C708FD">
        <w:rPr>
          <w:rFonts w:hint="eastAsia"/>
        </w:rPr>
        <w:t>竹聯幫</w:t>
      </w:r>
      <w:proofErr w:type="gramStart"/>
      <w:r w:rsidRPr="00C708FD">
        <w:rPr>
          <w:rFonts w:hint="eastAsia"/>
        </w:rPr>
        <w:t>仁堂弘仁</w:t>
      </w:r>
      <w:proofErr w:type="gramEnd"/>
      <w:r w:rsidRPr="00C708FD">
        <w:rPr>
          <w:rFonts w:hint="eastAsia"/>
        </w:rPr>
        <w:t>會近年涉嫌多起社會暴力事件，成為警方重點打擊對象，刑事警察局偵四大隊發現新北市各區所發生多起街頭暴力事件及112年4月20日在新北市土城發生少年持槍掃射51發案，</w:t>
      </w:r>
      <w:proofErr w:type="gramStart"/>
      <w:r w:rsidRPr="00C708FD">
        <w:rPr>
          <w:rFonts w:hint="eastAsia"/>
        </w:rPr>
        <w:t>均與</w:t>
      </w:r>
      <w:proofErr w:type="gramEnd"/>
      <w:r w:rsidRPr="00C708FD">
        <w:rPr>
          <w:rFonts w:hint="eastAsia"/>
        </w:rPr>
        <w:t>弘仁會特定分會有關，遂與新北市警局等單位組成專案小組深入追查</w:t>
      </w:r>
      <w:r w:rsidRPr="00C708FD">
        <w:rPr>
          <w:rFonts w:hAnsi="標楷體" w:hint="eastAsia"/>
        </w:rPr>
        <w:t>，</w:t>
      </w:r>
      <w:r w:rsidRPr="00C708FD">
        <w:rPr>
          <w:rFonts w:hint="eastAsia"/>
        </w:rPr>
        <w:t>發現渠等透過各類宮廟活動，進而掩蓋幫派組織交相聯繫，以避免司法查緝，為消滅黑幫氣焰，刑事警察局面對黑幫非法行為，秉持重點打擊、斬草除根之決心，強力肅清幫派組織活動</w:t>
      </w:r>
      <w:r w:rsidRPr="00C708FD">
        <w:rPr>
          <w:rFonts w:hAnsi="標楷體" w:hint="eastAsia"/>
        </w:rPr>
        <w:t>。</w:t>
      </w:r>
    </w:p>
    <w:p w:rsidR="003B21F9" w:rsidRPr="00C708FD" w:rsidRDefault="003B21F9" w:rsidP="00192B81">
      <w:pPr>
        <w:pStyle w:val="5"/>
        <w:rPr>
          <w:szCs w:val="32"/>
        </w:rPr>
      </w:pPr>
      <w:r w:rsidRPr="00C708FD">
        <w:rPr>
          <w:rFonts w:hint="eastAsia"/>
        </w:rPr>
        <w:t>行政院治安會報「精進掃黑行動方案」專案報告：</w:t>
      </w:r>
    </w:p>
    <w:p w:rsidR="003B21F9" w:rsidRPr="00C708FD" w:rsidRDefault="003B21F9" w:rsidP="00192B81">
      <w:pPr>
        <w:pStyle w:val="6"/>
      </w:pPr>
      <w:r w:rsidRPr="00C708FD">
        <w:rPr>
          <w:rFonts w:hint="eastAsia"/>
        </w:rPr>
        <w:t>針對幫派高調舉辦春酒及連續槍擊案，內政部長立即指示警政署於112年5月18日行政院治安會報提出「精進掃黑行動方案」專案報</w:t>
      </w:r>
      <w:r w:rsidRPr="00C708FD">
        <w:rPr>
          <w:rFonts w:hint="eastAsia"/>
        </w:rPr>
        <w:lastRenderedPageBreak/>
        <w:t>告，分別就幫派犯罪特性、模式、變化及幫派吸收少年案件</w:t>
      </w:r>
      <w:proofErr w:type="gramStart"/>
      <w:r w:rsidRPr="00C708FD">
        <w:rPr>
          <w:rFonts w:hint="eastAsia"/>
        </w:rPr>
        <w:t>研</w:t>
      </w:r>
      <w:proofErr w:type="gramEnd"/>
      <w:r w:rsidRPr="00C708FD">
        <w:rPr>
          <w:rFonts w:hint="eastAsia"/>
        </w:rPr>
        <w:t>析，持續強化系統性掃黑策略，針對人、行業、金流、工具面向，實施強力執法作為；全面查處幫派分子、營業場所、不法金流與非法槍械，貫徹「掃黑專責隊」的運作，對黑道犯罪掃蕩絕不停歇，並同時為防制幫派吸收少年犯罪，強化關懷輔導及查緝幕後指使者工作，貫徹打擊幫派力道，壓縮生存空間。</w:t>
      </w:r>
    </w:p>
    <w:p w:rsidR="003B21F9" w:rsidRPr="00C708FD" w:rsidRDefault="003B21F9" w:rsidP="00192B81">
      <w:pPr>
        <w:pStyle w:val="6"/>
      </w:pPr>
      <w:proofErr w:type="gramStart"/>
      <w:r w:rsidRPr="00C708FD">
        <w:rPr>
          <w:rFonts w:hint="eastAsia"/>
        </w:rPr>
        <w:t>鑑</w:t>
      </w:r>
      <w:proofErr w:type="gramEnd"/>
      <w:r w:rsidRPr="00C708FD">
        <w:rPr>
          <w:rFonts w:hint="eastAsia"/>
        </w:rPr>
        <w:t>於幫派經常跨區流竄從事犯罪活動，各警察機關必須整合打擊能量，藉由中央支援地方、地方互相合作、分進</w:t>
      </w:r>
      <w:proofErr w:type="gramStart"/>
      <w:r w:rsidRPr="00C708FD">
        <w:rPr>
          <w:rFonts w:hint="eastAsia"/>
        </w:rPr>
        <w:t>合擊等合</w:t>
      </w:r>
      <w:proofErr w:type="gramEnd"/>
      <w:r w:rsidRPr="00C708FD">
        <w:rPr>
          <w:rFonts w:hint="eastAsia"/>
        </w:rPr>
        <w:t>作模式，經由跨區合作、</w:t>
      </w:r>
      <w:proofErr w:type="gramStart"/>
      <w:r w:rsidRPr="00C708FD">
        <w:rPr>
          <w:rFonts w:hint="eastAsia"/>
        </w:rPr>
        <w:t>密切情資交</w:t>
      </w:r>
      <w:proofErr w:type="gramEnd"/>
      <w:r w:rsidRPr="00C708FD">
        <w:rPr>
          <w:rFonts w:hint="eastAsia"/>
        </w:rPr>
        <w:t>流，內政部責令警政署應整合跨區打擊能量，成立掃黑專責隊，並建立機制，整合各警察機關實施偵蒐打擊。</w:t>
      </w:r>
    </w:p>
    <w:p w:rsidR="003B21F9" w:rsidRPr="00C708FD" w:rsidRDefault="003B21F9" w:rsidP="00192B81">
      <w:pPr>
        <w:pStyle w:val="5"/>
        <w:rPr>
          <w:rFonts w:cs="DFKaiShu-SB-Estd-BF"/>
          <w:kern w:val="0"/>
          <w:szCs w:val="32"/>
        </w:rPr>
      </w:pPr>
      <w:r w:rsidRPr="00C708FD">
        <w:rPr>
          <w:rFonts w:hint="eastAsia"/>
        </w:rPr>
        <w:t>掌握幫派新生分子：</w:t>
      </w:r>
    </w:p>
    <w:p w:rsidR="002C259D" w:rsidRPr="00C708FD" w:rsidRDefault="002C259D" w:rsidP="00192B81">
      <w:pPr>
        <w:pStyle w:val="6"/>
      </w:pPr>
      <w:r w:rsidRPr="00C708FD">
        <w:rPr>
          <w:rFonts w:hint="eastAsia"/>
        </w:rPr>
        <w:t>針對幫派之宴會、公祭等公開活動，內政部責令警政署依警察職權行使法逐一強勢盤查建檔，掌握新生分子，循線追查、向上溯源，找出隱身幕後首惡；另對幫派經常活動處所實施嚴密監控，蒐集新生</w:t>
      </w:r>
      <w:proofErr w:type="gramStart"/>
      <w:r w:rsidRPr="00C708FD">
        <w:rPr>
          <w:rFonts w:hint="eastAsia"/>
        </w:rPr>
        <w:t>分子情資</w:t>
      </w:r>
      <w:proofErr w:type="gramEnd"/>
      <w:r w:rsidRPr="00C708FD">
        <w:rPr>
          <w:rFonts w:hint="eastAsia"/>
        </w:rPr>
        <w:t>，同時防止作亂；統計112年</w:t>
      </w:r>
      <w:r w:rsidRPr="00C708FD">
        <w:rPr>
          <w:rFonts w:hAnsi="標楷體" w:hint="eastAsia"/>
          <w:szCs w:val="48"/>
        </w:rPr>
        <w:t>1月至9月</w:t>
      </w:r>
      <w:r w:rsidRPr="00C708FD">
        <w:rPr>
          <w:rFonts w:hint="eastAsia"/>
        </w:rPr>
        <w:t>各警察機關執行76場防制幫派公開活動勤務、攔查1萬8,310人次、發現少年141人次、辨識建檔1,872人。</w:t>
      </w:r>
    </w:p>
    <w:p w:rsidR="002C259D" w:rsidRPr="00C708FD" w:rsidRDefault="002C259D" w:rsidP="00192B81">
      <w:pPr>
        <w:pStyle w:val="6"/>
      </w:pPr>
      <w:r w:rsidRPr="00C708FD">
        <w:rPr>
          <w:rFonts w:hint="eastAsia"/>
        </w:rPr>
        <w:t>自112年5月26日組織犯罪防制條例修法施行後，迄至9月全國執行40場防制幫派公開活動勤務，其中，僅有8月19日臺北市警局中山分局執行</w:t>
      </w:r>
      <w:proofErr w:type="gramStart"/>
      <w:r w:rsidRPr="00C708FD">
        <w:rPr>
          <w:rFonts w:hint="eastAsia"/>
        </w:rPr>
        <w:t>告別式防制</w:t>
      </w:r>
      <w:proofErr w:type="gramEnd"/>
      <w:r w:rsidRPr="00C708FD">
        <w:rPr>
          <w:rFonts w:hint="eastAsia"/>
        </w:rPr>
        <w:t>勤務時，發現部分參加公祭人員換穿明示、暗示為幫派組織之服裝，</w:t>
      </w:r>
      <w:r w:rsidRPr="00C708FD">
        <w:rPr>
          <w:rFonts w:hint="eastAsia"/>
        </w:rPr>
        <w:lastRenderedPageBreak/>
        <w:t>分局長立即依法第一次舉牌命令解散後，隨即解散離去，其餘場次現場皆未出現明示、暗示幫派名稱、旗幟，也未有高調舉辦等情事，顯示新法確能有效強化執法力度，壓制幫派氣焰。</w:t>
      </w:r>
    </w:p>
    <w:p w:rsidR="002C259D" w:rsidRPr="00C708FD" w:rsidRDefault="002C259D" w:rsidP="00192B81">
      <w:pPr>
        <w:pStyle w:val="6"/>
      </w:pPr>
      <w:r w:rsidRPr="00C708FD">
        <w:rPr>
          <w:rFonts w:hint="eastAsia"/>
        </w:rPr>
        <w:t>警政</w:t>
      </w:r>
      <w:proofErr w:type="gramStart"/>
      <w:r w:rsidRPr="00C708FD">
        <w:rPr>
          <w:rFonts w:hint="eastAsia"/>
        </w:rPr>
        <w:t>署函頒「</w:t>
      </w:r>
      <w:proofErr w:type="gramEnd"/>
      <w:r w:rsidRPr="00C708FD">
        <w:rPr>
          <w:rFonts w:hint="eastAsia"/>
        </w:rPr>
        <w:t>警察機關防制幫派組織犯罪工作計畫」明定，凡執行全國同步掃黑行動專案中，查獲少年、學生涉及組織犯罪案件，各警察機關須通報相關單位，使個案</w:t>
      </w:r>
      <w:proofErr w:type="gramStart"/>
      <w:r w:rsidRPr="00C708FD">
        <w:rPr>
          <w:rFonts w:hint="eastAsia"/>
        </w:rPr>
        <w:t>獲得妥處</w:t>
      </w:r>
      <w:proofErr w:type="gramEnd"/>
      <w:r w:rsidRPr="00C708FD">
        <w:rPr>
          <w:rFonts w:hint="eastAsia"/>
        </w:rPr>
        <w:t>與輔導。</w:t>
      </w:r>
    </w:p>
    <w:p w:rsidR="003B21F9" w:rsidRPr="00C708FD" w:rsidRDefault="0074360F" w:rsidP="00192B81">
      <w:pPr>
        <w:pStyle w:val="4"/>
        <w:rPr>
          <w:rFonts w:hAnsi="Arial"/>
          <w:szCs w:val="36"/>
        </w:rPr>
      </w:pPr>
      <w:r w:rsidRPr="00C708FD">
        <w:rPr>
          <w:rFonts w:hint="eastAsia"/>
        </w:rPr>
        <w:t>新北市警局自112年7月1日起至9月23日止，配合警政署執行</w:t>
      </w:r>
      <w:proofErr w:type="gramStart"/>
      <w:r w:rsidRPr="00C708FD">
        <w:rPr>
          <w:rFonts w:hint="eastAsia"/>
        </w:rPr>
        <w:t>1</w:t>
      </w:r>
      <w:r w:rsidRPr="00C708FD">
        <w:t>12</w:t>
      </w:r>
      <w:proofErr w:type="gramEnd"/>
      <w:r w:rsidRPr="00C708FD">
        <w:rPr>
          <w:rFonts w:hint="eastAsia"/>
        </w:rPr>
        <w:t>年度第6次及第7次「全國同步掃黑行動專案」，共執行治平專案11件：</w:t>
      </w:r>
    </w:p>
    <w:p w:rsidR="00192B81" w:rsidRPr="00C708FD" w:rsidRDefault="00192B81" w:rsidP="00192B81">
      <w:pPr>
        <w:pStyle w:val="5"/>
      </w:pPr>
      <w:proofErr w:type="gramStart"/>
      <w:r w:rsidRPr="00C708FD">
        <w:rPr>
          <w:rFonts w:hint="eastAsia"/>
        </w:rPr>
        <w:t>1</w:t>
      </w:r>
      <w:r w:rsidRPr="00C708FD">
        <w:t>12</w:t>
      </w:r>
      <w:proofErr w:type="gramEnd"/>
      <w:r w:rsidRPr="00C708FD">
        <w:t>年度第</w:t>
      </w:r>
      <w:r w:rsidRPr="00C708FD">
        <w:rPr>
          <w:rFonts w:hint="eastAsia"/>
        </w:rPr>
        <w:t>6</w:t>
      </w:r>
      <w:r w:rsidRPr="00C708FD">
        <w:t>波</w:t>
      </w:r>
      <w:r w:rsidRPr="00C708FD">
        <w:rPr>
          <w:rFonts w:hint="eastAsia"/>
        </w:rPr>
        <w:t>「全國同步掃黑行動專案」：自112年7月13日至20日止，為期8日。該局檢肅治平專案4件，首惡4人、成員3</w:t>
      </w:r>
      <w:r w:rsidRPr="00C708FD">
        <w:t>6</w:t>
      </w:r>
      <w:r w:rsidRPr="00C708FD">
        <w:rPr>
          <w:rFonts w:hint="eastAsia"/>
        </w:rPr>
        <w:t>人到案。</w:t>
      </w:r>
    </w:p>
    <w:p w:rsidR="00192B81" w:rsidRPr="00C708FD" w:rsidRDefault="00192B81" w:rsidP="00192B81">
      <w:pPr>
        <w:pStyle w:val="5"/>
      </w:pPr>
      <w:proofErr w:type="gramStart"/>
      <w:r w:rsidRPr="00C708FD">
        <w:rPr>
          <w:rFonts w:hint="eastAsia"/>
        </w:rPr>
        <w:t>1</w:t>
      </w:r>
      <w:r w:rsidRPr="00C708FD">
        <w:t>12</w:t>
      </w:r>
      <w:proofErr w:type="gramEnd"/>
      <w:r w:rsidRPr="00C708FD">
        <w:t>年度第</w:t>
      </w:r>
      <w:r w:rsidRPr="00C708FD">
        <w:rPr>
          <w:rFonts w:hint="eastAsia"/>
        </w:rPr>
        <w:t>7</w:t>
      </w:r>
      <w:r w:rsidRPr="00C708FD">
        <w:t>波</w:t>
      </w:r>
      <w:r w:rsidRPr="00C708FD">
        <w:rPr>
          <w:rFonts w:hint="eastAsia"/>
        </w:rPr>
        <w:t>「全國同步掃黑行動專案」：自112年8月21日至30日止，為期10日。該局檢肅治平專案7件，首惡7人、成員</w:t>
      </w:r>
      <w:r w:rsidRPr="00C708FD">
        <w:t>46</w:t>
      </w:r>
      <w:r w:rsidRPr="00C708FD">
        <w:rPr>
          <w:rFonts w:hint="eastAsia"/>
        </w:rPr>
        <w:t>人到案。</w:t>
      </w:r>
    </w:p>
    <w:p w:rsidR="00192B81" w:rsidRPr="00C708FD" w:rsidRDefault="00192B81" w:rsidP="00192B81">
      <w:pPr>
        <w:pStyle w:val="3"/>
        <w:rPr>
          <w:b/>
        </w:rPr>
      </w:pPr>
      <w:r w:rsidRPr="00C708FD">
        <w:rPr>
          <w:rFonts w:hint="eastAsia"/>
          <w:b/>
        </w:rPr>
        <w:t>最高檢察署「掃黑工作督導小組」督導各地檢署執行掃黑工作並</w:t>
      </w:r>
      <w:r w:rsidRPr="00C708FD">
        <w:rPr>
          <w:rFonts w:hint="eastAsia"/>
          <w:b/>
          <w:szCs w:val="32"/>
        </w:rPr>
        <w:t>於112年3月底召開「掃黑工作聯繫會議」</w:t>
      </w:r>
      <w:r w:rsidRPr="00C708FD">
        <w:rPr>
          <w:rFonts w:hAnsi="標楷體" w:hint="eastAsia"/>
          <w:b/>
          <w:szCs w:val="32"/>
        </w:rPr>
        <w:t>：</w:t>
      </w:r>
    </w:p>
    <w:p w:rsidR="00E75335" w:rsidRPr="00C708FD" w:rsidRDefault="00E75335" w:rsidP="00E75335">
      <w:pPr>
        <w:pStyle w:val="4"/>
      </w:pPr>
      <w:r w:rsidRPr="00C708FD">
        <w:rPr>
          <w:rFonts w:cs="TimesNewRomanPSMT" w:hint="eastAsia"/>
          <w:b/>
        </w:rPr>
        <w:t>最高檢察署「掃黑工作督導小組」之運作及成效：</w:t>
      </w:r>
    </w:p>
    <w:p w:rsidR="00F35A30" w:rsidRPr="00C708FD" w:rsidRDefault="00F35A30" w:rsidP="00F35A30">
      <w:pPr>
        <w:pStyle w:val="5"/>
        <w:rPr>
          <w:b/>
        </w:rPr>
      </w:pPr>
      <w:r w:rsidRPr="00C708FD">
        <w:rPr>
          <w:rFonts w:hint="eastAsia"/>
        </w:rPr>
        <w:t>最高檢察署為貫徹政府維護治安政策，保障民眾人身、財產安全，澈底掃除犯罪組織，於95年3月8日訂定「檢察機關執行掃黑工作作業要點」</w:t>
      </w:r>
      <w:r w:rsidRPr="00C708FD">
        <w:rPr>
          <w:rStyle w:val="aff2"/>
          <w:rFonts w:cs="TimesNewRomanPSMT"/>
        </w:rPr>
        <w:footnoteReference w:id="13"/>
      </w:r>
      <w:r w:rsidRPr="00C708FD">
        <w:rPr>
          <w:rFonts w:hint="eastAsia"/>
        </w:rPr>
        <w:t>，經報奉法務部核定後成立「掃黑工作督導小組」，督導各地檢署成立「掃黑工作執行</w:t>
      </w:r>
      <w:r w:rsidRPr="00C708FD">
        <w:rPr>
          <w:rFonts w:hint="eastAsia"/>
        </w:rPr>
        <w:lastRenderedPageBreak/>
        <w:t>小組」，</w:t>
      </w:r>
      <w:r w:rsidRPr="00C708FD">
        <w:rPr>
          <w:rFonts w:ascii="Times New Roman" w:hAnsi="Times New Roman" w:hint="eastAsia"/>
        </w:rPr>
        <w:t>就社會矚目、或藉公職身分掩護其犯罪活動、或以暴力不法介入政治、經濟、環保及群眾運動牟取利益、或股市流氓及以暴力非法手段討債、或侵入校園吸收利用在學學生實施犯罪、或介入政府公共工程牟利、或橫跨兩岸三地及國際性等各類指標性犯罪組織案件，</w:t>
      </w:r>
      <w:r w:rsidRPr="00C708FD">
        <w:rPr>
          <w:rFonts w:hint="eastAsia"/>
        </w:rPr>
        <w:t>每月召開會議1次，就掃黑案件之偵辦、列管、追蹤，分別檢討成效。</w:t>
      </w:r>
    </w:p>
    <w:p w:rsidR="00F35A30" w:rsidRPr="00C708FD" w:rsidRDefault="00F35A30" w:rsidP="00F35A30">
      <w:pPr>
        <w:pStyle w:val="5"/>
        <w:rPr>
          <w:b/>
        </w:rPr>
      </w:pPr>
      <w:r w:rsidRPr="00C708FD">
        <w:rPr>
          <w:rFonts w:hint="eastAsia"/>
        </w:rPr>
        <w:t>最高檢察署督導各地檢署切實辦理行政院治安會報指示之治安重點工作；依法務部指示，強化打擊組織犯罪作為，以提高起訴率及定罪率；列管、追蹤及考核各地檢署執行小組執行掃黑案件情形，並作成報表，定期陳報法務部。</w:t>
      </w:r>
    </w:p>
    <w:p w:rsidR="00F35A30" w:rsidRPr="00C708FD" w:rsidRDefault="00F35A30" w:rsidP="00F35A30">
      <w:pPr>
        <w:pStyle w:val="5"/>
        <w:rPr>
          <w:b/>
        </w:rPr>
      </w:pPr>
      <w:r w:rsidRPr="00C708FD">
        <w:rPr>
          <w:rFonts w:hint="eastAsia"/>
        </w:rPr>
        <w:t>最高檢察署「掃黑工作督導小組」督導各地檢署執行掃黑工作自112年1月至</w:t>
      </w:r>
      <w:r w:rsidR="00AC73EF" w:rsidRPr="00C708FD">
        <w:rPr>
          <w:rFonts w:hint="eastAsia"/>
        </w:rPr>
        <w:t>10</w:t>
      </w:r>
      <w:r w:rsidRPr="00C708FD">
        <w:rPr>
          <w:rFonts w:hint="eastAsia"/>
        </w:rPr>
        <w:t>月之</w:t>
      </w:r>
      <w:r w:rsidR="00957018" w:rsidRPr="00C708FD">
        <w:rPr>
          <w:rFonts w:hint="eastAsia"/>
        </w:rPr>
        <w:t>績</w:t>
      </w:r>
      <w:r w:rsidRPr="00C708FD">
        <w:rPr>
          <w:rFonts w:hint="eastAsia"/>
        </w:rPr>
        <w:t>效</w:t>
      </w:r>
      <w:r w:rsidR="005C62CC" w:rsidRPr="00C708FD">
        <w:rPr>
          <w:rFonts w:hint="eastAsia"/>
        </w:rPr>
        <w:t>如</w:t>
      </w:r>
      <w:r w:rsidR="006B7D2C">
        <w:rPr>
          <w:rFonts w:hint="eastAsia"/>
        </w:rPr>
        <w:t>下</w:t>
      </w:r>
      <w:r w:rsidR="005C62CC" w:rsidRPr="00C708FD">
        <w:rPr>
          <w:rFonts w:hint="eastAsia"/>
        </w:rPr>
        <w:t>表</w:t>
      </w:r>
      <w:r w:rsidRPr="00C708FD">
        <w:rPr>
          <w:rFonts w:hint="eastAsia"/>
        </w:rPr>
        <w:t>，計</w:t>
      </w:r>
      <w:r w:rsidRPr="00C708FD">
        <w:rPr>
          <w:rFonts w:ascii="Times New Roman" w:hAnsi="Times New Roman" w:hint="eastAsia"/>
        </w:rPr>
        <w:t>受理</w:t>
      </w:r>
      <w:r w:rsidR="00A916BA" w:rsidRPr="00C708FD">
        <w:rPr>
          <w:rFonts w:ascii="Times New Roman" w:hAnsi="Times New Roman" w:hint="eastAsia"/>
        </w:rPr>
        <w:t>掃黑</w:t>
      </w:r>
      <w:r w:rsidRPr="00C708FD">
        <w:rPr>
          <w:rFonts w:ascii="Times New Roman" w:hAnsi="Times New Roman" w:hint="eastAsia"/>
        </w:rPr>
        <w:t>件</w:t>
      </w:r>
      <w:r w:rsidRPr="00C708FD">
        <w:rPr>
          <w:rFonts w:hint="eastAsia"/>
        </w:rPr>
        <w:t>數</w:t>
      </w:r>
      <w:r w:rsidR="00A916BA" w:rsidRPr="00C708FD">
        <w:rPr>
          <w:rFonts w:hint="eastAsia"/>
        </w:rPr>
        <w:t>932</w:t>
      </w:r>
      <w:r w:rsidRPr="00C708FD">
        <w:rPr>
          <w:rFonts w:hint="eastAsia"/>
        </w:rPr>
        <w:t>件、</w:t>
      </w:r>
      <w:r w:rsidR="00A916BA" w:rsidRPr="00C708FD">
        <w:rPr>
          <w:rFonts w:hint="eastAsia"/>
        </w:rPr>
        <w:t>3,438人；起訴715件、1,760人</w:t>
      </w:r>
      <w:r w:rsidRPr="00C708FD">
        <w:rPr>
          <w:rFonts w:hint="eastAsia"/>
        </w:rPr>
        <w:t>：</w:t>
      </w:r>
    </w:p>
    <w:p w:rsidR="00E75335" w:rsidRPr="00C708FD" w:rsidRDefault="00AC73EF" w:rsidP="00AC73EF">
      <w:pPr>
        <w:pStyle w:val="5"/>
        <w:numPr>
          <w:ilvl w:val="0"/>
          <w:numId w:val="0"/>
        </w:numPr>
        <w:spacing w:beforeLines="50" w:before="228"/>
        <w:jc w:val="center"/>
        <w:rPr>
          <w:sz w:val="28"/>
          <w:szCs w:val="28"/>
        </w:rPr>
      </w:pPr>
      <w:r w:rsidRPr="00C708FD">
        <w:rPr>
          <w:rFonts w:hint="eastAsia"/>
          <w:sz w:val="28"/>
          <w:szCs w:val="28"/>
        </w:rPr>
        <w:t>各地檢署執行掃黑工作自112年1月至10月之</w:t>
      </w:r>
      <w:r w:rsidR="00957018" w:rsidRPr="00C708FD">
        <w:rPr>
          <w:rFonts w:hint="eastAsia"/>
          <w:sz w:val="28"/>
          <w:szCs w:val="28"/>
        </w:rPr>
        <w:t>績</w:t>
      </w:r>
      <w:r w:rsidRPr="00C708FD">
        <w:rPr>
          <w:rFonts w:hint="eastAsia"/>
          <w:sz w:val="28"/>
          <w:szCs w:val="28"/>
        </w:rPr>
        <w:t>效</w:t>
      </w:r>
    </w:p>
    <w:tbl>
      <w:tblPr>
        <w:tblStyle w:val="af7"/>
        <w:tblW w:w="0" w:type="auto"/>
        <w:tblLayout w:type="fixed"/>
        <w:tblLook w:val="04A0" w:firstRow="1" w:lastRow="0" w:firstColumn="1" w:lastColumn="0" w:noHBand="0" w:noVBand="1"/>
      </w:tblPr>
      <w:tblGrid>
        <w:gridCol w:w="942"/>
        <w:gridCol w:w="831"/>
        <w:gridCol w:w="831"/>
        <w:gridCol w:w="826"/>
        <w:gridCol w:w="826"/>
        <w:gridCol w:w="826"/>
        <w:gridCol w:w="1122"/>
        <w:gridCol w:w="708"/>
        <w:gridCol w:w="709"/>
        <w:gridCol w:w="709"/>
        <w:gridCol w:w="709"/>
      </w:tblGrid>
      <w:tr w:rsidR="00C708FD" w:rsidRPr="00C708FD" w:rsidTr="00316341">
        <w:tc>
          <w:tcPr>
            <w:tcW w:w="942" w:type="dxa"/>
            <w:vMerge w:val="restart"/>
          </w:tcPr>
          <w:p w:rsidR="00862DCB" w:rsidRPr="00C708FD" w:rsidRDefault="00862DCB" w:rsidP="00316341">
            <w:pPr>
              <w:pStyle w:val="Default"/>
              <w:jc w:val="center"/>
              <w:rPr>
                <w:rFonts w:eastAsia="標楷體"/>
                <w:color w:val="auto"/>
                <w:spacing w:val="-10"/>
              </w:rPr>
            </w:pPr>
            <w:r w:rsidRPr="00C708FD">
              <w:rPr>
                <w:rFonts w:eastAsia="標楷體"/>
                <w:color w:val="auto"/>
                <w:spacing w:val="-10"/>
              </w:rPr>
              <w:t>期間</w:t>
            </w:r>
          </w:p>
        </w:tc>
        <w:tc>
          <w:tcPr>
            <w:tcW w:w="1662" w:type="dxa"/>
            <w:gridSpan w:val="2"/>
          </w:tcPr>
          <w:p w:rsidR="00862DCB" w:rsidRPr="00C708FD" w:rsidRDefault="00862DCB" w:rsidP="00316341">
            <w:pPr>
              <w:pStyle w:val="Default"/>
              <w:rPr>
                <w:rFonts w:eastAsia="標楷體"/>
                <w:color w:val="auto"/>
                <w:spacing w:val="-10"/>
              </w:rPr>
            </w:pPr>
            <w:r w:rsidRPr="00C708FD">
              <w:rPr>
                <w:rFonts w:eastAsia="標楷體"/>
                <w:color w:val="auto"/>
                <w:spacing w:val="-10"/>
              </w:rPr>
              <w:t>受理掃黑案件</w:t>
            </w:r>
          </w:p>
        </w:tc>
        <w:tc>
          <w:tcPr>
            <w:tcW w:w="4308" w:type="dxa"/>
            <w:gridSpan w:val="5"/>
          </w:tcPr>
          <w:p w:rsidR="00862DCB" w:rsidRPr="00C708FD" w:rsidRDefault="00862DCB" w:rsidP="00316341">
            <w:pPr>
              <w:pStyle w:val="Default"/>
              <w:jc w:val="center"/>
              <w:rPr>
                <w:rFonts w:eastAsia="標楷體"/>
                <w:color w:val="auto"/>
                <w:spacing w:val="-10"/>
              </w:rPr>
            </w:pPr>
            <w:r w:rsidRPr="00C708FD">
              <w:rPr>
                <w:rFonts w:eastAsia="標楷體"/>
                <w:color w:val="auto"/>
                <w:spacing w:val="-10"/>
              </w:rPr>
              <w:t>實施偵查作為</w:t>
            </w:r>
          </w:p>
        </w:tc>
        <w:tc>
          <w:tcPr>
            <w:tcW w:w="1418" w:type="dxa"/>
            <w:gridSpan w:val="2"/>
          </w:tcPr>
          <w:p w:rsidR="00862DCB" w:rsidRPr="00C708FD" w:rsidRDefault="00862DCB" w:rsidP="00A916BA">
            <w:pPr>
              <w:pStyle w:val="Default"/>
              <w:jc w:val="center"/>
              <w:rPr>
                <w:rFonts w:eastAsia="標楷體"/>
                <w:color w:val="auto"/>
                <w:spacing w:val="-10"/>
              </w:rPr>
            </w:pPr>
            <w:r w:rsidRPr="00C708FD">
              <w:rPr>
                <w:rFonts w:eastAsia="標楷體"/>
                <w:color w:val="auto"/>
                <w:spacing w:val="-10"/>
              </w:rPr>
              <w:t>起訴</w:t>
            </w:r>
          </w:p>
        </w:tc>
        <w:tc>
          <w:tcPr>
            <w:tcW w:w="709" w:type="dxa"/>
            <w:vMerge w:val="restart"/>
          </w:tcPr>
          <w:p w:rsidR="00862DCB" w:rsidRPr="00C708FD" w:rsidRDefault="00862DCB" w:rsidP="00316341">
            <w:pPr>
              <w:pStyle w:val="Default"/>
              <w:rPr>
                <w:rFonts w:eastAsia="標楷體"/>
                <w:color w:val="auto"/>
                <w:spacing w:val="-10"/>
              </w:rPr>
            </w:pPr>
            <w:proofErr w:type="gramStart"/>
            <w:r w:rsidRPr="00C708FD">
              <w:rPr>
                <w:rFonts w:eastAsia="標楷體"/>
                <w:color w:val="auto"/>
                <w:spacing w:val="-10"/>
              </w:rPr>
              <w:t>偵查中件數</w:t>
            </w:r>
            <w:proofErr w:type="gramEnd"/>
          </w:p>
        </w:tc>
      </w:tr>
      <w:tr w:rsidR="00C708FD" w:rsidRPr="00C708FD" w:rsidTr="00316341">
        <w:tc>
          <w:tcPr>
            <w:tcW w:w="942" w:type="dxa"/>
            <w:vMerge/>
          </w:tcPr>
          <w:p w:rsidR="00862DCB" w:rsidRPr="00C708FD" w:rsidRDefault="00862DCB" w:rsidP="00316341">
            <w:pPr>
              <w:pStyle w:val="Default"/>
              <w:rPr>
                <w:rFonts w:eastAsia="標楷體"/>
                <w:color w:val="auto"/>
                <w:spacing w:val="-10"/>
              </w:rPr>
            </w:pPr>
          </w:p>
        </w:tc>
        <w:tc>
          <w:tcPr>
            <w:tcW w:w="831" w:type="dxa"/>
          </w:tcPr>
          <w:p w:rsidR="00862DCB" w:rsidRPr="00C708FD" w:rsidRDefault="00862DCB" w:rsidP="00316341">
            <w:pPr>
              <w:pStyle w:val="Default"/>
              <w:rPr>
                <w:rFonts w:eastAsia="標楷體"/>
                <w:color w:val="auto"/>
                <w:spacing w:val="-10"/>
              </w:rPr>
            </w:pPr>
            <w:r w:rsidRPr="00C708FD">
              <w:rPr>
                <w:rFonts w:eastAsia="標楷體" w:hint="eastAsia"/>
                <w:color w:val="auto"/>
                <w:spacing w:val="-10"/>
              </w:rPr>
              <w:t>件數</w:t>
            </w:r>
          </w:p>
        </w:tc>
        <w:tc>
          <w:tcPr>
            <w:tcW w:w="831" w:type="dxa"/>
          </w:tcPr>
          <w:p w:rsidR="00862DCB" w:rsidRPr="00C708FD" w:rsidRDefault="00862DCB" w:rsidP="00316341">
            <w:pPr>
              <w:pStyle w:val="Default"/>
              <w:rPr>
                <w:rFonts w:eastAsia="標楷體"/>
                <w:color w:val="auto"/>
                <w:spacing w:val="-10"/>
              </w:rPr>
            </w:pPr>
            <w:r w:rsidRPr="00C708FD">
              <w:rPr>
                <w:rFonts w:eastAsia="標楷體" w:hint="eastAsia"/>
                <w:color w:val="auto"/>
                <w:spacing w:val="-10"/>
              </w:rPr>
              <w:t>人次</w:t>
            </w:r>
          </w:p>
        </w:tc>
        <w:tc>
          <w:tcPr>
            <w:tcW w:w="826" w:type="dxa"/>
          </w:tcPr>
          <w:p w:rsidR="00862DCB" w:rsidRPr="00C708FD" w:rsidRDefault="00862DCB" w:rsidP="00316341">
            <w:pPr>
              <w:pStyle w:val="Default"/>
              <w:rPr>
                <w:rFonts w:eastAsia="標楷體"/>
                <w:color w:val="auto"/>
                <w:spacing w:val="-10"/>
              </w:rPr>
            </w:pPr>
            <w:proofErr w:type="gramStart"/>
            <w:r w:rsidRPr="00C708FD">
              <w:rPr>
                <w:rFonts w:eastAsia="標楷體"/>
                <w:color w:val="auto"/>
                <w:spacing w:val="-10"/>
              </w:rPr>
              <w:t>聲押獲准</w:t>
            </w:r>
            <w:proofErr w:type="gramEnd"/>
            <w:r w:rsidRPr="00C708FD">
              <w:rPr>
                <w:rFonts w:eastAsia="標楷體"/>
                <w:color w:val="auto"/>
                <w:spacing w:val="-10"/>
              </w:rPr>
              <w:t>人次</w:t>
            </w:r>
          </w:p>
        </w:tc>
        <w:tc>
          <w:tcPr>
            <w:tcW w:w="826" w:type="dxa"/>
          </w:tcPr>
          <w:p w:rsidR="00862DCB" w:rsidRPr="00C708FD" w:rsidRDefault="00862DCB" w:rsidP="00316341">
            <w:pPr>
              <w:pStyle w:val="Default"/>
              <w:rPr>
                <w:rFonts w:eastAsia="標楷體"/>
                <w:color w:val="auto"/>
                <w:spacing w:val="-10"/>
              </w:rPr>
            </w:pPr>
            <w:r w:rsidRPr="00C708FD">
              <w:rPr>
                <w:rFonts w:eastAsia="標楷體"/>
                <w:color w:val="auto"/>
                <w:spacing w:val="-10"/>
              </w:rPr>
              <w:t>尚羈押中人次</w:t>
            </w:r>
          </w:p>
        </w:tc>
        <w:tc>
          <w:tcPr>
            <w:tcW w:w="826" w:type="dxa"/>
          </w:tcPr>
          <w:p w:rsidR="00862DCB" w:rsidRPr="00C708FD" w:rsidRDefault="00862DCB" w:rsidP="00316341">
            <w:pPr>
              <w:pStyle w:val="Default"/>
              <w:rPr>
                <w:rFonts w:eastAsia="標楷體"/>
                <w:color w:val="auto"/>
                <w:spacing w:val="-10"/>
              </w:rPr>
            </w:pPr>
            <w:r w:rsidRPr="00C708FD">
              <w:rPr>
                <w:rFonts w:eastAsia="標楷體"/>
                <w:color w:val="auto"/>
                <w:spacing w:val="-10"/>
              </w:rPr>
              <w:t>搜索扣押次</w:t>
            </w:r>
          </w:p>
        </w:tc>
        <w:tc>
          <w:tcPr>
            <w:tcW w:w="1122" w:type="dxa"/>
          </w:tcPr>
          <w:p w:rsidR="00862DCB" w:rsidRPr="00C708FD" w:rsidRDefault="00862DCB" w:rsidP="00316341">
            <w:pPr>
              <w:pStyle w:val="Default"/>
              <w:rPr>
                <w:rFonts w:eastAsia="標楷體"/>
                <w:color w:val="auto"/>
                <w:spacing w:val="-10"/>
              </w:rPr>
            </w:pPr>
            <w:r w:rsidRPr="00C708FD">
              <w:rPr>
                <w:rFonts w:eastAsia="標楷體"/>
                <w:color w:val="auto"/>
                <w:spacing w:val="-10"/>
              </w:rPr>
              <w:t>監聽件數</w:t>
            </w:r>
            <w:r w:rsidRPr="00C708FD">
              <w:rPr>
                <w:rFonts w:eastAsia="標楷體" w:cs="Calibri"/>
                <w:bCs/>
                <w:color w:val="auto"/>
                <w:spacing w:val="-10"/>
              </w:rPr>
              <w:t>/</w:t>
            </w:r>
            <w:r w:rsidRPr="00C708FD">
              <w:rPr>
                <w:rFonts w:eastAsia="標楷體"/>
                <w:color w:val="auto"/>
                <w:spacing w:val="-10"/>
              </w:rPr>
              <w:t>人次</w:t>
            </w:r>
          </w:p>
        </w:tc>
        <w:tc>
          <w:tcPr>
            <w:tcW w:w="708" w:type="dxa"/>
          </w:tcPr>
          <w:p w:rsidR="00862DCB" w:rsidRPr="00C708FD" w:rsidRDefault="00862DCB" w:rsidP="00316341">
            <w:pPr>
              <w:pStyle w:val="Default"/>
              <w:rPr>
                <w:rFonts w:eastAsia="標楷體"/>
                <w:color w:val="auto"/>
                <w:spacing w:val="-10"/>
              </w:rPr>
            </w:pPr>
            <w:r w:rsidRPr="00C708FD">
              <w:rPr>
                <w:rFonts w:eastAsia="標楷體"/>
                <w:color w:val="auto"/>
                <w:spacing w:val="-10"/>
              </w:rPr>
              <w:t>其他作為次數</w:t>
            </w:r>
          </w:p>
        </w:tc>
        <w:tc>
          <w:tcPr>
            <w:tcW w:w="709" w:type="dxa"/>
          </w:tcPr>
          <w:p w:rsidR="00862DCB" w:rsidRPr="00C708FD" w:rsidRDefault="00862DCB" w:rsidP="00316341">
            <w:pPr>
              <w:pStyle w:val="Default"/>
              <w:rPr>
                <w:rFonts w:eastAsia="標楷體"/>
                <w:color w:val="auto"/>
                <w:spacing w:val="-10"/>
              </w:rPr>
            </w:pPr>
            <w:r w:rsidRPr="00C708FD">
              <w:rPr>
                <w:rFonts w:eastAsia="標楷體"/>
                <w:color w:val="auto"/>
                <w:spacing w:val="-10"/>
              </w:rPr>
              <w:t>件數</w:t>
            </w:r>
          </w:p>
        </w:tc>
        <w:tc>
          <w:tcPr>
            <w:tcW w:w="709" w:type="dxa"/>
          </w:tcPr>
          <w:p w:rsidR="00862DCB" w:rsidRPr="00C708FD" w:rsidRDefault="00862DCB" w:rsidP="00316341">
            <w:pPr>
              <w:pStyle w:val="Default"/>
              <w:rPr>
                <w:rFonts w:eastAsia="標楷體"/>
                <w:color w:val="auto"/>
                <w:spacing w:val="-10"/>
              </w:rPr>
            </w:pPr>
            <w:r w:rsidRPr="00C708FD">
              <w:rPr>
                <w:rFonts w:eastAsia="標楷體"/>
                <w:color w:val="auto"/>
                <w:spacing w:val="-10"/>
              </w:rPr>
              <w:t>人次</w:t>
            </w:r>
          </w:p>
        </w:tc>
        <w:tc>
          <w:tcPr>
            <w:tcW w:w="709" w:type="dxa"/>
            <w:vMerge/>
          </w:tcPr>
          <w:p w:rsidR="00862DCB" w:rsidRPr="00C708FD" w:rsidRDefault="00862DCB" w:rsidP="00316341">
            <w:pPr>
              <w:pStyle w:val="Default"/>
              <w:rPr>
                <w:rFonts w:eastAsia="標楷體"/>
                <w:color w:val="auto"/>
                <w:spacing w:val="-10"/>
              </w:rPr>
            </w:pP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112.01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85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306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31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17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57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10/19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30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44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90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429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112.02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78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225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38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25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32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8/19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42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52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133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430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112.03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94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392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68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60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39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19/30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27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74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175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418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112.04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63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229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35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30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31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7/15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27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56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126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405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112.05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108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392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49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31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72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52/139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48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72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183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434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112.06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88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277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48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42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54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35/55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50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55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139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419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112.07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88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327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37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22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81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20/53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81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86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203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498 </w:t>
            </w:r>
          </w:p>
        </w:tc>
      </w:tr>
      <w:tr w:rsidR="00C708FD" w:rsidRPr="00C708FD" w:rsidTr="00316341">
        <w:tc>
          <w:tcPr>
            <w:tcW w:w="942" w:type="dxa"/>
          </w:tcPr>
          <w:p w:rsidR="00862DCB" w:rsidRPr="00C708FD" w:rsidRDefault="00862DCB" w:rsidP="00316341">
            <w:pPr>
              <w:pStyle w:val="Default"/>
              <w:rPr>
                <w:rFonts w:ascii="Calibri" w:hAnsi="Calibri" w:cs="Calibri"/>
                <w:color w:val="auto"/>
                <w:spacing w:val="-10"/>
              </w:rPr>
            </w:pPr>
            <w:r w:rsidRPr="00C708FD">
              <w:rPr>
                <w:rFonts w:ascii="Calibri" w:hAnsi="Calibri" w:cs="Calibri"/>
                <w:bCs/>
                <w:color w:val="auto"/>
                <w:spacing w:val="-10"/>
              </w:rPr>
              <w:t xml:space="preserve">112.08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99 </w:t>
            </w:r>
          </w:p>
        </w:tc>
        <w:tc>
          <w:tcPr>
            <w:tcW w:w="831"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484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55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57 </w:t>
            </w:r>
          </w:p>
        </w:tc>
        <w:tc>
          <w:tcPr>
            <w:tcW w:w="826"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74 </w:t>
            </w:r>
          </w:p>
        </w:tc>
        <w:tc>
          <w:tcPr>
            <w:tcW w:w="1122"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14/63 </w:t>
            </w:r>
          </w:p>
        </w:tc>
        <w:tc>
          <w:tcPr>
            <w:tcW w:w="708"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47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101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330 </w:t>
            </w:r>
          </w:p>
        </w:tc>
        <w:tc>
          <w:tcPr>
            <w:tcW w:w="709" w:type="dxa"/>
          </w:tcPr>
          <w:p w:rsidR="00862DCB" w:rsidRPr="00C708FD" w:rsidRDefault="00862DCB" w:rsidP="00316341">
            <w:pPr>
              <w:pStyle w:val="Default"/>
              <w:jc w:val="right"/>
              <w:rPr>
                <w:rFonts w:ascii="Calibri" w:hAnsi="Calibri" w:cs="Calibri"/>
                <w:color w:val="auto"/>
                <w:spacing w:val="-10"/>
              </w:rPr>
            </w:pPr>
            <w:r w:rsidRPr="00C708FD">
              <w:rPr>
                <w:rFonts w:ascii="Calibri" w:hAnsi="Calibri" w:cs="Calibri"/>
                <w:color w:val="auto"/>
                <w:spacing w:val="-10"/>
              </w:rPr>
              <w:t xml:space="preserve">435 </w:t>
            </w:r>
          </w:p>
        </w:tc>
      </w:tr>
      <w:tr w:rsidR="00C708FD" w:rsidRPr="00C708FD" w:rsidTr="00316341">
        <w:tc>
          <w:tcPr>
            <w:tcW w:w="942" w:type="dxa"/>
          </w:tcPr>
          <w:p w:rsidR="007A45DD" w:rsidRPr="00C708FD" w:rsidRDefault="007A45DD" w:rsidP="007A45DD">
            <w:pPr>
              <w:pStyle w:val="Default"/>
              <w:rPr>
                <w:rFonts w:ascii="Calibri" w:hAnsi="Calibri" w:cs="Calibri"/>
                <w:color w:val="auto"/>
                <w:spacing w:val="-10"/>
              </w:rPr>
            </w:pPr>
            <w:r w:rsidRPr="00C708FD">
              <w:rPr>
                <w:rFonts w:ascii="Calibri" w:hAnsi="Calibri" w:cs="Calibri"/>
                <w:bCs/>
                <w:color w:val="auto"/>
                <w:spacing w:val="-10"/>
              </w:rPr>
              <w:t>112.0</w:t>
            </w:r>
            <w:r w:rsidRPr="00C708FD">
              <w:rPr>
                <w:rFonts w:ascii="Calibri" w:hAnsi="Calibri" w:cs="Calibri" w:hint="eastAsia"/>
                <w:bCs/>
                <w:color w:val="auto"/>
                <w:spacing w:val="-10"/>
              </w:rPr>
              <w:t>9</w:t>
            </w:r>
            <w:r w:rsidRPr="00C708FD">
              <w:rPr>
                <w:rFonts w:ascii="Calibri" w:hAnsi="Calibri" w:cs="Calibri"/>
                <w:bCs/>
                <w:color w:val="auto"/>
                <w:spacing w:val="-10"/>
              </w:rPr>
              <w:t xml:space="preserve"> </w:t>
            </w:r>
          </w:p>
        </w:tc>
        <w:tc>
          <w:tcPr>
            <w:tcW w:w="831"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125</w:t>
            </w:r>
          </w:p>
        </w:tc>
        <w:tc>
          <w:tcPr>
            <w:tcW w:w="831"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330</w:t>
            </w:r>
          </w:p>
        </w:tc>
        <w:tc>
          <w:tcPr>
            <w:tcW w:w="826"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37</w:t>
            </w:r>
          </w:p>
        </w:tc>
        <w:tc>
          <w:tcPr>
            <w:tcW w:w="826"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14</w:t>
            </w:r>
          </w:p>
        </w:tc>
        <w:tc>
          <w:tcPr>
            <w:tcW w:w="826"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69</w:t>
            </w:r>
          </w:p>
        </w:tc>
        <w:tc>
          <w:tcPr>
            <w:tcW w:w="1122"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18/49</w:t>
            </w:r>
          </w:p>
        </w:tc>
        <w:tc>
          <w:tcPr>
            <w:tcW w:w="708"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76</w:t>
            </w:r>
          </w:p>
        </w:tc>
        <w:tc>
          <w:tcPr>
            <w:tcW w:w="709"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97</w:t>
            </w:r>
          </w:p>
        </w:tc>
        <w:tc>
          <w:tcPr>
            <w:tcW w:w="709"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191</w:t>
            </w:r>
          </w:p>
        </w:tc>
        <w:tc>
          <w:tcPr>
            <w:tcW w:w="709" w:type="dxa"/>
          </w:tcPr>
          <w:p w:rsidR="007A45DD" w:rsidRPr="00C708FD" w:rsidRDefault="00A916BA" w:rsidP="007A45DD">
            <w:pPr>
              <w:pStyle w:val="Default"/>
              <w:jc w:val="right"/>
              <w:rPr>
                <w:rFonts w:ascii="Calibri" w:hAnsi="Calibri" w:cs="Calibri"/>
                <w:color w:val="auto"/>
                <w:spacing w:val="-10"/>
              </w:rPr>
            </w:pPr>
            <w:r w:rsidRPr="00C708FD">
              <w:rPr>
                <w:rFonts w:ascii="Calibri" w:hAnsi="Calibri" w:cs="Calibri" w:hint="eastAsia"/>
                <w:color w:val="auto"/>
                <w:spacing w:val="-10"/>
              </w:rPr>
              <w:t>440</w:t>
            </w:r>
          </w:p>
        </w:tc>
      </w:tr>
      <w:tr w:rsidR="00C708FD" w:rsidRPr="00C708FD" w:rsidTr="00316341">
        <w:tc>
          <w:tcPr>
            <w:tcW w:w="942" w:type="dxa"/>
          </w:tcPr>
          <w:p w:rsidR="001644A4" w:rsidRPr="00C708FD" w:rsidRDefault="001644A4" w:rsidP="001644A4">
            <w:pPr>
              <w:pStyle w:val="Default"/>
              <w:rPr>
                <w:rFonts w:ascii="Calibri" w:hAnsi="Calibri" w:cs="Calibri"/>
                <w:color w:val="auto"/>
                <w:spacing w:val="-10"/>
              </w:rPr>
            </w:pPr>
            <w:r w:rsidRPr="00C708FD">
              <w:rPr>
                <w:rFonts w:ascii="Calibri" w:hAnsi="Calibri" w:cs="Calibri"/>
                <w:bCs/>
                <w:color w:val="auto"/>
                <w:spacing w:val="-10"/>
              </w:rPr>
              <w:t>112.</w:t>
            </w:r>
            <w:r w:rsidRPr="00C708FD">
              <w:rPr>
                <w:rFonts w:ascii="Calibri" w:hAnsi="Calibri" w:cs="Calibri" w:hint="eastAsia"/>
                <w:bCs/>
                <w:color w:val="auto"/>
                <w:spacing w:val="-10"/>
              </w:rPr>
              <w:t>1</w:t>
            </w:r>
            <w:r w:rsidRPr="00C708FD">
              <w:rPr>
                <w:rFonts w:ascii="Calibri" w:hAnsi="Calibri" w:cs="Calibri"/>
                <w:bCs/>
                <w:color w:val="auto"/>
                <w:spacing w:val="-10"/>
              </w:rPr>
              <w:t xml:space="preserve">0 </w:t>
            </w:r>
          </w:p>
        </w:tc>
        <w:tc>
          <w:tcPr>
            <w:tcW w:w="831"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104</w:t>
            </w:r>
          </w:p>
        </w:tc>
        <w:tc>
          <w:tcPr>
            <w:tcW w:w="831"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476</w:t>
            </w:r>
          </w:p>
        </w:tc>
        <w:tc>
          <w:tcPr>
            <w:tcW w:w="826"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51</w:t>
            </w:r>
          </w:p>
        </w:tc>
        <w:tc>
          <w:tcPr>
            <w:tcW w:w="826"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29</w:t>
            </w:r>
          </w:p>
        </w:tc>
        <w:tc>
          <w:tcPr>
            <w:tcW w:w="826"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83</w:t>
            </w:r>
          </w:p>
        </w:tc>
        <w:tc>
          <w:tcPr>
            <w:tcW w:w="1122"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25/32</w:t>
            </w:r>
          </w:p>
        </w:tc>
        <w:tc>
          <w:tcPr>
            <w:tcW w:w="708"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40</w:t>
            </w:r>
          </w:p>
        </w:tc>
        <w:tc>
          <w:tcPr>
            <w:tcW w:w="709"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78</w:t>
            </w:r>
          </w:p>
        </w:tc>
        <w:tc>
          <w:tcPr>
            <w:tcW w:w="709"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190</w:t>
            </w:r>
          </w:p>
        </w:tc>
        <w:tc>
          <w:tcPr>
            <w:tcW w:w="709" w:type="dxa"/>
          </w:tcPr>
          <w:p w:rsidR="001644A4" w:rsidRPr="00C708FD" w:rsidRDefault="00A916BA" w:rsidP="001644A4">
            <w:pPr>
              <w:pStyle w:val="Default"/>
              <w:jc w:val="right"/>
              <w:rPr>
                <w:rFonts w:ascii="Calibri" w:hAnsi="Calibri" w:cs="Calibri"/>
                <w:color w:val="auto"/>
                <w:spacing w:val="-10"/>
              </w:rPr>
            </w:pPr>
            <w:r w:rsidRPr="00C708FD">
              <w:rPr>
                <w:rFonts w:ascii="Calibri" w:hAnsi="Calibri" w:cs="Calibri" w:hint="eastAsia"/>
                <w:color w:val="auto"/>
                <w:spacing w:val="-10"/>
              </w:rPr>
              <w:t>444</w:t>
            </w:r>
          </w:p>
        </w:tc>
      </w:tr>
    </w:tbl>
    <w:p w:rsidR="005C62CC" w:rsidRPr="00C708FD" w:rsidRDefault="00D3520E" w:rsidP="00396880">
      <w:pPr>
        <w:pStyle w:val="5"/>
        <w:numPr>
          <w:ilvl w:val="0"/>
          <w:numId w:val="0"/>
        </w:numPr>
        <w:spacing w:afterLines="50" w:after="228"/>
        <w:rPr>
          <w:sz w:val="24"/>
          <w:szCs w:val="24"/>
        </w:rPr>
      </w:pPr>
      <w:r w:rsidRPr="00C708FD">
        <w:rPr>
          <w:rFonts w:hint="eastAsia"/>
          <w:sz w:val="24"/>
          <w:szCs w:val="24"/>
        </w:rPr>
        <w:t>資料來源</w:t>
      </w:r>
      <w:r w:rsidRPr="00C708FD">
        <w:rPr>
          <w:rFonts w:hAnsi="標楷體" w:hint="eastAsia"/>
          <w:sz w:val="24"/>
          <w:szCs w:val="24"/>
        </w:rPr>
        <w:t>：</w:t>
      </w:r>
      <w:r w:rsidR="00AC73EF" w:rsidRPr="00C708FD">
        <w:rPr>
          <w:rFonts w:hAnsi="標楷體" w:hint="eastAsia"/>
          <w:sz w:val="24"/>
          <w:szCs w:val="24"/>
        </w:rPr>
        <w:t>最</w:t>
      </w:r>
      <w:r w:rsidRPr="00C708FD">
        <w:rPr>
          <w:rFonts w:hint="eastAsia"/>
          <w:sz w:val="24"/>
          <w:szCs w:val="24"/>
        </w:rPr>
        <w:t>高</w:t>
      </w:r>
      <w:proofErr w:type="gramStart"/>
      <w:r w:rsidRPr="00C708FD">
        <w:rPr>
          <w:rFonts w:hint="eastAsia"/>
          <w:sz w:val="24"/>
          <w:szCs w:val="24"/>
        </w:rPr>
        <w:t>檢</w:t>
      </w:r>
      <w:r w:rsidR="00AC73EF" w:rsidRPr="00C708FD">
        <w:rPr>
          <w:rFonts w:hint="eastAsia"/>
          <w:sz w:val="24"/>
          <w:szCs w:val="24"/>
        </w:rPr>
        <w:t>察</w:t>
      </w:r>
      <w:r w:rsidRPr="00C708FD">
        <w:rPr>
          <w:rFonts w:hint="eastAsia"/>
          <w:sz w:val="24"/>
          <w:szCs w:val="24"/>
        </w:rPr>
        <w:t>署</w:t>
      </w:r>
      <w:r w:rsidR="00AC73EF" w:rsidRPr="00C708FD">
        <w:rPr>
          <w:rFonts w:hint="eastAsia"/>
          <w:sz w:val="24"/>
          <w:szCs w:val="24"/>
        </w:rPr>
        <w:t>官網公告</w:t>
      </w:r>
      <w:proofErr w:type="gramEnd"/>
      <w:r w:rsidR="00AC73EF" w:rsidRPr="00C708FD">
        <w:rPr>
          <w:rFonts w:hAnsi="標楷體" w:hint="eastAsia"/>
          <w:sz w:val="24"/>
          <w:szCs w:val="24"/>
        </w:rPr>
        <w:t>。</w:t>
      </w:r>
    </w:p>
    <w:p w:rsidR="00D3520E" w:rsidRPr="00C708FD" w:rsidRDefault="00D3520E" w:rsidP="00D3520E">
      <w:pPr>
        <w:pStyle w:val="4"/>
      </w:pPr>
      <w:r w:rsidRPr="00C708FD">
        <w:rPr>
          <w:rFonts w:hint="eastAsia"/>
          <w:b/>
        </w:rPr>
        <w:lastRenderedPageBreak/>
        <w:t>最高檢察署於112年3月底召開「掃黑工作聯繫會議」後迄今之執行情形：</w:t>
      </w:r>
    </w:p>
    <w:p w:rsidR="00957018" w:rsidRPr="00C708FD" w:rsidRDefault="00957018" w:rsidP="00D3520E">
      <w:pPr>
        <w:pStyle w:val="5"/>
      </w:pPr>
      <w:r w:rsidRPr="00C708FD">
        <w:rPr>
          <w:rFonts w:hint="eastAsia"/>
        </w:rPr>
        <w:t>最高檢察署於112年3月底邀集全國檢、調、廉首長召開「掃黑工作聯繫」會議，鎖定打擊電信詐欺集團與販毒不法</w:t>
      </w:r>
      <w:proofErr w:type="gramStart"/>
      <w:r w:rsidRPr="00C708FD">
        <w:rPr>
          <w:rFonts w:hint="eastAsia"/>
        </w:rPr>
        <w:t>及綠能蟑螂</w:t>
      </w:r>
      <w:proofErr w:type="gramEnd"/>
      <w:r w:rsidRPr="00C708FD">
        <w:rPr>
          <w:rFonts w:hint="eastAsia"/>
        </w:rPr>
        <w:t>，將跨部會整合民間力量，進行海外司法互助，斷絕幫派金流，推動有效刑事政策，打擊現代新興犯罪。各二審檢察長聽取一審檢察長報告後，總結回應是詐騙與毒品案件與黑道多有結合，而檢察機關掃黑工作是否能夠有所成效，取決於檢察長之決心與態度。二審檢察署將與地檢署上下協力、</w:t>
      </w:r>
      <w:proofErr w:type="gramStart"/>
      <w:r w:rsidRPr="00C708FD">
        <w:rPr>
          <w:rFonts w:hint="eastAsia"/>
        </w:rPr>
        <w:t>跨域合作</w:t>
      </w:r>
      <w:proofErr w:type="gramEnd"/>
      <w:r w:rsidRPr="00C708FD">
        <w:rPr>
          <w:rFonts w:hint="eastAsia"/>
        </w:rPr>
        <w:t>，亦會持續與相關行政機關進行溝通，只有與行政機關密切配合，檢方案件才不會越來越多，導致</w:t>
      </w:r>
      <w:r w:rsidRPr="00C708FD">
        <w:rPr>
          <w:rFonts w:hint="eastAsia"/>
          <w:b/>
        </w:rPr>
        <w:t>有績效，卻沒有成效</w:t>
      </w:r>
      <w:r w:rsidRPr="00C708FD">
        <w:rPr>
          <w:rFonts w:hint="eastAsia"/>
        </w:rPr>
        <w:t>之結果。</w:t>
      </w:r>
    </w:p>
    <w:p w:rsidR="00D3520E" w:rsidRPr="00C708FD" w:rsidRDefault="00D3520E" w:rsidP="00D3520E">
      <w:pPr>
        <w:pStyle w:val="5"/>
      </w:pPr>
      <w:r w:rsidRPr="00C708FD">
        <w:rPr>
          <w:rFonts w:hint="eastAsia"/>
        </w:rPr>
        <w:t>最高檢察署於召開「掃黑工作聯繫會議」後，即依法務部長指示，統整司法資源，</w:t>
      </w:r>
      <w:proofErr w:type="gramStart"/>
      <w:r w:rsidRPr="00C708FD">
        <w:rPr>
          <w:rFonts w:hint="eastAsia"/>
        </w:rPr>
        <w:t>依會中</w:t>
      </w:r>
      <w:proofErr w:type="gramEnd"/>
      <w:r w:rsidRPr="00C708FD">
        <w:rPr>
          <w:rFonts w:hint="eastAsia"/>
        </w:rPr>
        <w:t>所提7項策略：「</w:t>
      </w:r>
      <w:proofErr w:type="gramStart"/>
      <w:r w:rsidRPr="00C708FD">
        <w:rPr>
          <w:rFonts w:hint="eastAsia"/>
        </w:rPr>
        <w:t>規</w:t>
      </w:r>
      <w:proofErr w:type="gramEnd"/>
      <w:r w:rsidRPr="00C708FD">
        <w:rPr>
          <w:rFonts w:hint="eastAsia"/>
        </w:rPr>
        <w:t>」(規劃)、「盤」(盤點)、「管」(列管)、「查」(調查)、「時」(時程)、「獎」(獎勵)、「知」(宣導)，進行各類型重大犯罪案件盤點列管，並規劃查緝時程，與各地檢署逐案、分波、同步進行重點打擊。</w:t>
      </w:r>
    </w:p>
    <w:p w:rsidR="00D3520E" w:rsidRPr="00C708FD" w:rsidRDefault="00D3520E" w:rsidP="00D3520E">
      <w:pPr>
        <w:pStyle w:val="5"/>
      </w:pPr>
      <w:r w:rsidRPr="00C708FD">
        <w:rPr>
          <w:rFonts w:hint="eastAsia"/>
        </w:rPr>
        <w:t>自1</w:t>
      </w:r>
      <w:r w:rsidRPr="00C708FD">
        <w:t>12</w:t>
      </w:r>
      <w:r w:rsidRPr="00C708FD">
        <w:rPr>
          <w:rFonts w:hint="eastAsia"/>
        </w:rPr>
        <w:t>年4月起最高檢察署陸續與各地檢署、刑事警察局、</w:t>
      </w:r>
      <w:r w:rsidR="00A635CD" w:rsidRPr="00C708FD">
        <w:rPr>
          <w:rFonts w:hint="eastAsia"/>
        </w:rPr>
        <w:t>法務部</w:t>
      </w:r>
      <w:r w:rsidRPr="00C708FD">
        <w:rPr>
          <w:rFonts w:hint="eastAsia"/>
        </w:rPr>
        <w:t>調查局及</w:t>
      </w:r>
      <w:r w:rsidR="00A635CD" w:rsidRPr="00C708FD">
        <w:rPr>
          <w:rFonts w:hint="eastAsia"/>
        </w:rPr>
        <w:t>法務部</w:t>
      </w:r>
      <w:r w:rsidRPr="00C708FD">
        <w:rPr>
          <w:rFonts w:hint="eastAsia"/>
        </w:rPr>
        <w:t>廉政署聯繫或召開會議，參考量刑因子，建立選案標準，就</w:t>
      </w:r>
      <w:proofErr w:type="gramStart"/>
      <w:r w:rsidRPr="00C708FD">
        <w:rPr>
          <w:rFonts w:hint="eastAsia"/>
        </w:rPr>
        <w:t>妨害綠能</w:t>
      </w:r>
      <w:proofErr w:type="gramEnd"/>
      <w:r w:rsidRPr="00C708FD">
        <w:rPr>
          <w:rFonts w:hint="eastAsia"/>
        </w:rPr>
        <w:t>、營業秘密、洗錢等各類型掃黑案件盤點分析及向上溯源，並編號列管與追蹤進度，</w:t>
      </w:r>
      <w:proofErr w:type="gramStart"/>
      <w:r w:rsidRPr="00C708FD">
        <w:rPr>
          <w:rFonts w:hint="eastAsia"/>
        </w:rPr>
        <w:t>以靖</w:t>
      </w:r>
      <w:proofErr w:type="gramEnd"/>
      <w:r w:rsidRPr="00C708FD">
        <w:rPr>
          <w:rFonts w:hint="eastAsia"/>
        </w:rPr>
        <w:t>平第1案即掃蕩「88會館」等不法金融業者模式為範</w:t>
      </w:r>
      <w:r w:rsidR="00A635CD" w:rsidRPr="00C708FD">
        <w:rPr>
          <w:rFonts w:hint="eastAsia"/>
        </w:rPr>
        <w:t>例</w:t>
      </w:r>
      <w:r w:rsidRPr="00C708FD">
        <w:rPr>
          <w:rFonts w:hint="eastAsia"/>
        </w:rPr>
        <w:t>，統籌檢、警、調、廉團隊辦案資源與節奏，擴大辦案成效。</w:t>
      </w:r>
    </w:p>
    <w:p w:rsidR="00D3520E" w:rsidRPr="00C708FD" w:rsidRDefault="00A635CD" w:rsidP="00D3520E">
      <w:pPr>
        <w:pStyle w:val="5"/>
      </w:pPr>
      <w:r w:rsidRPr="00C708FD">
        <w:rPr>
          <w:rFonts w:hint="eastAsia"/>
        </w:rPr>
        <w:lastRenderedPageBreak/>
        <w:t>臺灣</w:t>
      </w:r>
      <w:r w:rsidR="00D3520E" w:rsidRPr="00C708FD">
        <w:rPr>
          <w:rFonts w:hint="eastAsia"/>
        </w:rPr>
        <w:t>高雄地</w:t>
      </w:r>
      <w:r w:rsidRPr="00C708FD">
        <w:rPr>
          <w:rFonts w:hint="eastAsia"/>
        </w:rPr>
        <w:t>方</w:t>
      </w:r>
      <w:r w:rsidR="00D3520E" w:rsidRPr="00C708FD">
        <w:rPr>
          <w:rFonts w:hint="eastAsia"/>
        </w:rPr>
        <w:t>檢</w:t>
      </w:r>
      <w:r w:rsidRPr="00C708FD">
        <w:rPr>
          <w:rFonts w:hint="eastAsia"/>
        </w:rPr>
        <w:t>察</w:t>
      </w:r>
      <w:r w:rsidR="00D3520E" w:rsidRPr="00C708FD">
        <w:rPr>
          <w:rFonts w:hint="eastAsia"/>
        </w:rPr>
        <w:t>署據此成立「查緝新興犯罪專責小組」，指派專責檢察官偵辦「</w:t>
      </w:r>
      <w:proofErr w:type="gramStart"/>
      <w:r w:rsidR="00D3520E" w:rsidRPr="00C708FD">
        <w:rPr>
          <w:rFonts w:hint="eastAsia"/>
        </w:rPr>
        <w:t>靖平專案</w:t>
      </w:r>
      <w:proofErr w:type="gramEnd"/>
      <w:r w:rsidR="00D3520E" w:rsidRPr="00C708FD">
        <w:rPr>
          <w:rFonts w:hint="eastAsia"/>
        </w:rPr>
        <w:t>」第2案，連續溯源查獲4組利用虛擬貨幣專為犯罪組織洗錢之不法集團，</w:t>
      </w:r>
      <w:proofErr w:type="gramStart"/>
      <w:r w:rsidR="00D3520E" w:rsidRPr="00C708FD">
        <w:rPr>
          <w:rFonts w:hint="eastAsia"/>
        </w:rPr>
        <w:t>查扣約2億</w:t>
      </w:r>
      <w:proofErr w:type="gramEnd"/>
      <w:r w:rsidR="00D3520E" w:rsidRPr="00C708FD">
        <w:rPr>
          <w:rFonts w:hint="eastAsia"/>
        </w:rPr>
        <w:t>元不法所得。</w:t>
      </w:r>
    </w:p>
    <w:p w:rsidR="00D3520E" w:rsidRPr="00C708FD" w:rsidRDefault="00D3520E" w:rsidP="00D3520E">
      <w:pPr>
        <w:pStyle w:val="5"/>
      </w:pPr>
      <w:r w:rsidRPr="00C708FD">
        <w:rPr>
          <w:rFonts w:hint="eastAsia"/>
        </w:rPr>
        <w:t>另對具有集團犯罪特性、嚴重影響社會治安之博奕犯罪，最高檢察署於112年8月28日舉辦「</w:t>
      </w:r>
      <w:proofErr w:type="gramStart"/>
      <w:r w:rsidRPr="00C708FD">
        <w:rPr>
          <w:rFonts w:hint="eastAsia"/>
        </w:rPr>
        <w:t>線上博奕</w:t>
      </w:r>
      <w:proofErr w:type="gramEnd"/>
      <w:r w:rsidRPr="00C708FD">
        <w:rPr>
          <w:rFonts w:hint="eastAsia"/>
        </w:rPr>
        <w:t>犯罪之查緝」研討會，邀集實務及學界專家學者深入研究相關偵查策略，以強化偵辦動能，斬斷組織犯罪金流。</w:t>
      </w:r>
    </w:p>
    <w:p w:rsidR="0074360F" w:rsidRPr="00C708FD" w:rsidRDefault="006F3192" w:rsidP="00192B81">
      <w:pPr>
        <w:pStyle w:val="3"/>
      </w:pPr>
      <w:r w:rsidRPr="00C708FD">
        <w:rPr>
          <w:rFonts w:cs="DFKaiShu-SB-Estd-BF" w:hint="eastAsia"/>
          <w:kern w:val="0"/>
          <w:szCs w:val="32"/>
        </w:rPr>
        <w:t>綜上</w:t>
      </w:r>
      <w:r w:rsidRPr="00C708FD">
        <w:rPr>
          <w:rFonts w:hAnsi="標楷體" w:cs="DFKaiShu-SB-Estd-BF" w:hint="eastAsia"/>
          <w:kern w:val="0"/>
          <w:szCs w:val="32"/>
        </w:rPr>
        <w:t>，</w:t>
      </w:r>
      <w:r w:rsidRPr="00C708FD">
        <w:rPr>
          <w:rFonts w:hint="eastAsia"/>
          <w:szCs w:val="32"/>
        </w:rPr>
        <w:t>掃黑工作</w:t>
      </w:r>
      <w:r w:rsidRPr="00C708FD">
        <w:rPr>
          <w:rFonts w:cs="DFKaiShu-SB-Estd-BF" w:hint="eastAsia"/>
          <w:kern w:val="0"/>
          <w:szCs w:val="32"/>
        </w:rPr>
        <w:t>雖</w:t>
      </w:r>
      <w:r w:rsidR="00957018" w:rsidRPr="00C708FD">
        <w:rPr>
          <w:rFonts w:cs="DFKaiShu-SB-Estd-BF" w:hint="eastAsia"/>
          <w:kern w:val="0"/>
          <w:szCs w:val="32"/>
        </w:rPr>
        <w:t>績</w:t>
      </w:r>
      <w:r w:rsidRPr="00C708FD">
        <w:rPr>
          <w:rFonts w:cs="DFKaiShu-SB-Estd-BF" w:hint="eastAsia"/>
          <w:kern w:val="0"/>
          <w:szCs w:val="32"/>
        </w:rPr>
        <w:t>效良好，暫時得以壓制幫派氣焰，惟從數據觀之，案件數及涉案人數不減反增，</w:t>
      </w:r>
      <w:proofErr w:type="gramStart"/>
      <w:r w:rsidRPr="00C708FD">
        <w:rPr>
          <w:rFonts w:cs="DFKaiShu-SB-Estd-BF" w:hint="eastAsia"/>
          <w:kern w:val="0"/>
          <w:szCs w:val="32"/>
        </w:rPr>
        <w:t>檢警宜考量</w:t>
      </w:r>
      <w:proofErr w:type="gramEnd"/>
      <w:r w:rsidRPr="00C708FD">
        <w:rPr>
          <w:rFonts w:cs="DFKaiShu-SB-Estd-BF" w:hint="eastAsia"/>
          <w:kern w:val="0"/>
          <w:szCs w:val="32"/>
        </w:rPr>
        <w:t>如何有效阻絕幫派組織之人流及金流，以免危害社會治安事件反覆發生</w:t>
      </w:r>
      <w:r w:rsidRPr="00C708FD">
        <w:rPr>
          <w:rFonts w:ascii="新細明體" w:eastAsia="新細明體" w:hAnsi="新細明體" w:cs="DFKaiShu-SB-Estd-BF" w:hint="eastAsia"/>
          <w:kern w:val="0"/>
          <w:szCs w:val="32"/>
        </w:rPr>
        <w:t>。</w:t>
      </w:r>
    </w:p>
    <w:p w:rsidR="006F3192" w:rsidRPr="00C708FD" w:rsidRDefault="006F3192" w:rsidP="00B60DD9">
      <w:pPr>
        <w:pStyle w:val="110"/>
        <w:numPr>
          <w:ilvl w:val="0"/>
          <w:numId w:val="0"/>
        </w:numPr>
        <w:ind w:left="380"/>
      </w:pPr>
    </w:p>
    <w:p w:rsidR="0038134E" w:rsidRPr="00C708FD" w:rsidRDefault="0038134E">
      <w:pPr>
        <w:widowControl/>
        <w:overflowPunct/>
        <w:autoSpaceDE/>
        <w:autoSpaceDN/>
        <w:jc w:val="left"/>
        <w:rPr>
          <w:rFonts w:hAnsi="Arial"/>
          <w:bCs/>
          <w:kern w:val="32"/>
          <w:szCs w:val="36"/>
        </w:rPr>
      </w:pPr>
      <w:r w:rsidRPr="00C708FD">
        <w:br w:type="page"/>
      </w:r>
    </w:p>
    <w:p w:rsidR="0038134E" w:rsidRPr="00C708FD" w:rsidRDefault="001862E6" w:rsidP="0038134E">
      <w:pPr>
        <w:pStyle w:val="1"/>
      </w:pPr>
      <w:bookmarkStart w:id="30" w:name="_Toc529222689"/>
      <w:bookmarkStart w:id="31" w:name="_Toc529223111"/>
      <w:bookmarkStart w:id="32" w:name="_Toc529223862"/>
      <w:bookmarkStart w:id="33" w:name="_Toc529228265"/>
      <w:bookmarkStart w:id="34" w:name="_Toc2400395"/>
      <w:bookmarkStart w:id="35" w:name="_Toc4316189"/>
      <w:bookmarkStart w:id="36" w:name="_Toc4473330"/>
      <w:bookmarkStart w:id="37" w:name="_Toc69556897"/>
      <w:bookmarkStart w:id="38" w:name="_Toc69556946"/>
      <w:bookmarkStart w:id="39" w:name="_Toc69609820"/>
      <w:bookmarkStart w:id="40" w:name="_Toc70241816"/>
      <w:bookmarkStart w:id="41" w:name="_Toc70242205"/>
      <w:bookmarkStart w:id="42" w:name="_Toc421794875"/>
      <w:bookmarkStart w:id="43" w:name="_Toc511404845"/>
      <w:bookmarkStart w:id="44" w:name="_Toc109987677"/>
      <w:r w:rsidRPr="00C708FD">
        <w:rPr>
          <w:rFonts w:hint="eastAsia"/>
        </w:rPr>
        <w:lastRenderedPageBreak/>
        <w:t>處理辦法：</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862E6" w:rsidRPr="00C708FD" w:rsidRDefault="001862E6" w:rsidP="003F05AE">
      <w:pPr>
        <w:pStyle w:val="2"/>
        <w:ind w:left="1050" w:hanging="700"/>
      </w:pPr>
      <w:bookmarkStart w:id="45" w:name="_Toc109987678"/>
      <w:r w:rsidRPr="00C708FD">
        <w:rPr>
          <w:rFonts w:hint="eastAsia"/>
        </w:rPr>
        <w:t>調查意見</w:t>
      </w:r>
      <w:r w:rsidR="00B60DD9" w:rsidRPr="00C708FD">
        <w:rPr>
          <w:rFonts w:hint="eastAsia"/>
        </w:rPr>
        <w:t>一</w:t>
      </w:r>
      <w:r w:rsidR="00B60DD9" w:rsidRPr="00C708FD">
        <w:rPr>
          <w:rFonts w:hAnsi="標楷體" w:hint="eastAsia"/>
        </w:rPr>
        <w:t>，</w:t>
      </w:r>
      <w:r w:rsidRPr="00C708FD">
        <w:rPr>
          <w:rFonts w:hint="eastAsia"/>
        </w:rPr>
        <w:t>函請</w:t>
      </w:r>
      <w:r w:rsidR="00B60DD9" w:rsidRPr="00C708FD">
        <w:rPr>
          <w:rFonts w:hint="eastAsia"/>
        </w:rPr>
        <w:t>內政部警政署及教育部參處</w:t>
      </w:r>
      <w:proofErr w:type="gramStart"/>
      <w:r w:rsidR="00B60DD9" w:rsidRPr="00C708FD">
        <w:rPr>
          <w:rFonts w:hint="eastAsia"/>
        </w:rPr>
        <w:t>見復</w:t>
      </w:r>
      <w:r w:rsidRPr="00C708FD">
        <w:rPr>
          <w:rFonts w:hint="eastAsia"/>
        </w:rPr>
        <w:t>。</w:t>
      </w:r>
      <w:bookmarkEnd w:id="45"/>
      <w:proofErr w:type="gramEnd"/>
    </w:p>
    <w:p w:rsidR="00B60DD9" w:rsidRPr="00C708FD" w:rsidRDefault="00B60DD9" w:rsidP="003F05AE">
      <w:pPr>
        <w:pStyle w:val="2"/>
        <w:ind w:left="1050" w:hanging="700"/>
      </w:pPr>
      <w:r w:rsidRPr="00C708FD">
        <w:rPr>
          <w:rFonts w:hint="eastAsia"/>
        </w:rPr>
        <w:t>調查意見二</w:t>
      </w:r>
      <w:r w:rsidRPr="00C708FD">
        <w:rPr>
          <w:rFonts w:hAnsi="標楷體" w:hint="eastAsia"/>
        </w:rPr>
        <w:t>，</w:t>
      </w:r>
      <w:r w:rsidRPr="00C708FD">
        <w:rPr>
          <w:rFonts w:hint="eastAsia"/>
        </w:rPr>
        <w:t>函請教育部檢討改進</w:t>
      </w:r>
      <w:proofErr w:type="gramStart"/>
      <w:r w:rsidRPr="00C708FD">
        <w:rPr>
          <w:rFonts w:hint="eastAsia"/>
        </w:rPr>
        <w:t>見復。</w:t>
      </w:r>
      <w:proofErr w:type="gramEnd"/>
    </w:p>
    <w:p w:rsidR="00B60DD9" w:rsidRPr="00C708FD" w:rsidRDefault="00B60DD9" w:rsidP="003F05AE">
      <w:pPr>
        <w:pStyle w:val="2"/>
        <w:ind w:left="1050" w:hanging="700"/>
      </w:pPr>
      <w:r w:rsidRPr="00C708FD">
        <w:rPr>
          <w:rFonts w:hint="eastAsia"/>
        </w:rPr>
        <w:t>調查意見三</w:t>
      </w:r>
      <w:r w:rsidR="0067249C" w:rsidRPr="00C708FD">
        <w:rPr>
          <w:rFonts w:hint="eastAsia"/>
        </w:rPr>
        <w:t>及四</w:t>
      </w:r>
      <w:r w:rsidRPr="00C708FD">
        <w:rPr>
          <w:rFonts w:hAnsi="標楷體" w:hint="eastAsia"/>
        </w:rPr>
        <w:t>，</w:t>
      </w:r>
      <w:r w:rsidRPr="00C708FD">
        <w:rPr>
          <w:rFonts w:hint="eastAsia"/>
        </w:rPr>
        <w:t>函請</w:t>
      </w:r>
      <w:r w:rsidR="0067249C" w:rsidRPr="00C708FD">
        <w:rPr>
          <w:rFonts w:hint="eastAsia"/>
        </w:rPr>
        <w:t>內政部警政</w:t>
      </w:r>
      <w:proofErr w:type="gramStart"/>
      <w:r w:rsidR="0067249C" w:rsidRPr="00C708FD">
        <w:rPr>
          <w:rFonts w:hint="eastAsia"/>
        </w:rPr>
        <w:t>署參處</w:t>
      </w:r>
      <w:r w:rsidRPr="00C708FD">
        <w:rPr>
          <w:rFonts w:hint="eastAsia"/>
        </w:rPr>
        <w:t>見復。</w:t>
      </w:r>
      <w:proofErr w:type="gramEnd"/>
    </w:p>
    <w:p w:rsidR="00B60DD9" w:rsidRDefault="00B60DD9" w:rsidP="003F05AE">
      <w:pPr>
        <w:pStyle w:val="2"/>
        <w:ind w:left="1050" w:hanging="700"/>
      </w:pPr>
      <w:r w:rsidRPr="00C708FD">
        <w:rPr>
          <w:rFonts w:hint="eastAsia"/>
        </w:rPr>
        <w:t>調查意見</w:t>
      </w:r>
      <w:r w:rsidR="0067249C" w:rsidRPr="00C708FD">
        <w:rPr>
          <w:rFonts w:hint="eastAsia"/>
        </w:rPr>
        <w:t>五</w:t>
      </w:r>
      <w:r w:rsidRPr="00C708FD">
        <w:rPr>
          <w:rFonts w:hAnsi="標楷體" w:hint="eastAsia"/>
        </w:rPr>
        <w:t>，</w:t>
      </w:r>
      <w:r w:rsidRPr="00C708FD">
        <w:rPr>
          <w:rFonts w:hint="eastAsia"/>
        </w:rPr>
        <w:t>函請</w:t>
      </w:r>
      <w:r w:rsidR="0067249C" w:rsidRPr="00C708FD">
        <w:rPr>
          <w:rFonts w:hint="eastAsia"/>
        </w:rPr>
        <w:t>臺灣高等檢察署及內政部警政</w:t>
      </w:r>
      <w:proofErr w:type="gramStart"/>
      <w:r w:rsidR="0067249C" w:rsidRPr="00C708FD">
        <w:rPr>
          <w:rFonts w:hint="eastAsia"/>
        </w:rPr>
        <w:t>署參處</w:t>
      </w:r>
      <w:r w:rsidRPr="00C708FD">
        <w:rPr>
          <w:rFonts w:hint="eastAsia"/>
        </w:rPr>
        <w:t>見復。</w:t>
      </w:r>
      <w:proofErr w:type="gramEnd"/>
    </w:p>
    <w:p w:rsidR="004C594C" w:rsidRPr="00C708FD" w:rsidRDefault="004C594C" w:rsidP="003F05AE">
      <w:pPr>
        <w:pStyle w:val="2"/>
        <w:ind w:left="1050" w:hanging="700"/>
      </w:pPr>
      <w:bookmarkStart w:id="46" w:name="_GoBack"/>
      <w:bookmarkEnd w:id="46"/>
      <w:r w:rsidRPr="004C594C">
        <w:rPr>
          <w:rFonts w:hint="eastAsia"/>
        </w:rPr>
        <w:t>調查報告之案由、調查意見及處理辦法，上網公布。</w:t>
      </w:r>
    </w:p>
    <w:p w:rsidR="001862E6" w:rsidRPr="00C708FD" w:rsidRDefault="001862E6" w:rsidP="0074729E">
      <w:pPr>
        <w:pStyle w:val="110"/>
        <w:numPr>
          <w:ilvl w:val="0"/>
          <w:numId w:val="0"/>
        </w:numPr>
        <w:ind w:left="1021"/>
      </w:pPr>
    </w:p>
    <w:p w:rsidR="001862E6" w:rsidRPr="00C708FD" w:rsidRDefault="001862E6" w:rsidP="001862E6">
      <w:pPr>
        <w:pStyle w:val="aa"/>
        <w:spacing w:beforeLines="150" w:before="685" w:after="0"/>
        <w:ind w:leftChars="1100" w:left="4630" w:hanging="888"/>
        <w:rPr>
          <w:rFonts w:ascii="Times New Roman"/>
          <w:bCs/>
          <w:snapToGrid/>
          <w:spacing w:val="0"/>
        </w:rPr>
      </w:pPr>
      <w:r w:rsidRPr="00C708FD">
        <w:rPr>
          <w:rFonts w:hint="eastAsia"/>
          <w:b w:val="0"/>
          <w:bCs/>
          <w:snapToGrid/>
          <w:spacing w:val="12"/>
          <w:kern w:val="0"/>
          <w:sz w:val="40"/>
        </w:rPr>
        <w:t>調查委員：</w:t>
      </w:r>
      <w:r w:rsidR="00845544">
        <w:rPr>
          <w:rFonts w:hint="eastAsia"/>
          <w:b w:val="0"/>
          <w:bCs/>
          <w:snapToGrid/>
          <w:spacing w:val="12"/>
          <w:kern w:val="0"/>
          <w:sz w:val="40"/>
        </w:rPr>
        <w:t>郭文東</w:t>
      </w:r>
    </w:p>
    <w:p w:rsidR="001862E6" w:rsidRPr="00845544" w:rsidRDefault="00845544" w:rsidP="001862E6">
      <w:pPr>
        <w:pStyle w:val="aa"/>
        <w:spacing w:before="0" w:after="0"/>
        <w:ind w:leftChars="1100" w:left="3742" w:firstLineChars="500" w:firstLine="2221"/>
        <w:rPr>
          <w:b w:val="0"/>
          <w:bCs/>
          <w:snapToGrid/>
          <w:spacing w:val="12"/>
          <w:kern w:val="0"/>
          <w:sz w:val="40"/>
        </w:rPr>
      </w:pPr>
      <w:r w:rsidRPr="00845544">
        <w:rPr>
          <w:rFonts w:hint="eastAsia"/>
          <w:b w:val="0"/>
          <w:bCs/>
          <w:snapToGrid/>
          <w:spacing w:val="12"/>
          <w:kern w:val="0"/>
          <w:sz w:val="40"/>
        </w:rPr>
        <w:t>陳景峻</w:t>
      </w:r>
    </w:p>
    <w:p w:rsidR="001862E6" w:rsidRPr="00845544" w:rsidRDefault="00845544" w:rsidP="001862E6">
      <w:pPr>
        <w:pStyle w:val="aa"/>
        <w:spacing w:before="0" w:after="0"/>
        <w:ind w:leftChars="1100" w:left="3742" w:firstLineChars="500" w:firstLine="2221"/>
        <w:rPr>
          <w:b w:val="0"/>
          <w:bCs/>
          <w:snapToGrid/>
          <w:spacing w:val="12"/>
          <w:kern w:val="0"/>
          <w:sz w:val="40"/>
        </w:rPr>
      </w:pPr>
      <w:r w:rsidRPr="00845544">
        <w:rPr>
          <w:rFonts w:hint="eastAsia"/>
          <w:b w:val="0"/>
          <w:bCs/>
          <w:snapToGrid/>
          <w:spacing w:val="12"/>
          <w:kern w:val="0"/>
          <w:sz w:val="40"/>
        </w:rPr>
        <w:t>趙永清</w:t>
      </w:r>
    </w:p>
    <w:p w:rsidR="001862E6" w:rsidRPr="00C708FD" w:rsidRDefault="001862E6" w:rsidP="001862E6">
      <w:pPr>
        <w:pStyle w:val="aa"/>
        <w:spacing w:before="0" w:after="0"/>
        <w:ind w:leftChars="1100" w:left="3742" w:firstLineChars="500" w:firstLine="2021"/>
        <w:rPr>
          <w:b w:val="0"/>
          <w:bCs/>
          <w:snapToGrid/>
          <w:spacing w:val="12"/>
          <w:kern w:val="0"/>
        </w:rPr>
      </w:pPr>
    </w:p>
    <w:p w:rsidR="001862E6" w:rsidRPr="00C708FD" w:rsidRDefault="001862E6" w:rsidP="001862E6">
      <w:pPr>
        <w:pStyle w:val="aa"/>
        <w:spacing w:before="0" w:after="0"/>
        <w:ind w:leftChars="1100" w:left="3742" w:firstLineChars="500" w:firstLine="2021"/>
        <w:rPr>
          <w:b w:val="0"/>
          <w:bCs/>
          <w:snapToGrid/>
          <w:spacing w:val="12"/>
          <w:kern w:val="0"/>
        </w:rPr>
      </w:pPr>
    </w:p>
    <w:sectPr w:rsidR="001862E6" w:rsidRPr="00C708F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CD" w:rsidRDefault="009342CD">
      <w:r>
        <w:separator/>
      </w:r>
    </w:p>
  </w:endnote>
  <w:endnote w:type="continuationSeparator" w:id="0">
    <w:p w:rsidR="009342CD" w:rsidRDefault="0093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8FD" w:rsidRDefault="00C708F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60</w:t>
    </w:r>
    <w:r>
      <w:rPr>
        <w:rStyle w:val="ad"/>
        <w:sz w:val="24"/>
      </w:rPr>
      <w:fldChar w:fldCharType="end"/>
    </w:r>
  </w:p>
  <w:p w:rsidR="00C708FD" w:rsidRDefault="00C708F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CD" w:rsidRDefault="009342CD">
      <w:r>
        <w:separator/>
      </w:r>
    </w:p>
  </w:footnote>
  <w:footnote w:type="continuationSeparator" w:id="0">
    <w:p w:rsidR="009342CD" w:rsidRDefault="009342CD">
      <w:r>
        <w:continuationSeparator/>
      </w:r>
    </w:p>
  </w:footnote>
  <w:footnote w:id="1">
    <w:p w:rsidR="00C708FD" w:rsidRPr="00C708FD" w:rsidRDefault="00C708FD" w:rsidP="005C0F1A">
      <w:pPr>
        <w:pStyle w:val="aff0"/>
      </w:pPr>
      <w:r w:rsidRPr="00C708FD">
        <w:rPr>
          <w:rStyle w:val="aff2"/>
        </w:rPr>
        <w:footnoteRef/>
      </w:r>
      <w:r w:rsidRPr="00C708FD">
        <w:t xml:space="preserve"> </w:t>
      </w:r>
      <w:r w:rsidRPr="00C708FD">
        <w:rPr>
          <w:rFonts w:asciiTheme="minorEastAsia" w:eastAsiaTheme="minorEastAsia" w:hAnsiTheme="minorEastAsia" w:hint="eastAsia"/>
        </w:rPr>
        <w:t>高檢署112年5月23日檢</w:t>
      </w:r>
      <w:proofErr w:type="gramStart"/>
      <w:r w:rsidRPr="00C708FD">
        <w:rPr>
          <w:rFonts w:asciiTheme="minorEastAsia" w:eastAsiaTheme="minorEastAsia" w:hAnsiTheme="minorEastAsia" w:hint="eastAsia"/>
        </w:rPr>
        <w:t>文明字</w:t>
      </w:r>
      <w:proofErr w:type="gramEnd"/>
      <w:r w:rsidRPr="00C708FD">
        <w:rPr>
          <w:rFonts w:asciiTheme="minorEastAsia" w:eastAsiaTheme="minorEastAsia" w:hAnsiTheme="minorEastAsia" w:hint="eastAsia"/>
        </w:rPr>
        <w:t>第11210009010號函。</w:t>
      </w:r>
    </w:p>
  </w:footnote>
  <w:footnote w:id="2">
    <w:p w:rsidR="00C708FD" w:rsidRPr="00C708FD" w:rsidRDefault="00C708FD" w:rsidP="005C0F1A">
      <w:pPr>
        <w:pStyle w:val="aff0"/>
      </w:pPr>
      <w:r w:rsidRPr="00C708FD">
        <w:rPr>
          <w:rStyle w:val="aff2"/>
        </w:rPr>
        <w:footnoteRef/>
      </w:r>
      <w:r w:rsidRPr="00C708FD">
        <w:t xml:space="preserve"> </w:t>
      </w:r>
      <w:r w:rsidRPr="00C708FD">
        <w:rPr>
          <w:rFonts w:asciiTheme="minorEastAsia" w:eastAsiaTheme="minorEastAsia" w:hAnsiTheme="minorEastAsia" w:hint="eastAsia"/>
        </w:rPr>
        <w:t>警政署112年5月26日警署刑檢字第1120005787號函。</w:t>
      </w:r>
    </w:p>
  </w:footnote>
  <w:footnote w:id="3">
    <w:p w:rsidR="00C708FD" w:rsidRPr="00C708FD" w:rsidRDefault="00C708FD" w:rsidP="005C0F1A">
      <w:pPr>
        <w:pStyle w:val="aff0"/>
      </w:pPr>
      <w:r w:rsidRPr="00C708FD">
        <w:rPr>
          <w:rStyle w:val="aff2"/>
        </w:rPr>
        <w:footnoteRef/>
      </w:r>
      <w:r w:rsidRPr="00C708FD">
        <w:t xml:space="preserve"> </w:t>
      </w:r>
      <w:r w:rsidRPr="00C708FD">
        <w:rPr>
          <w:rFonts w:asciiTheme="minorEastAsia" w:eastAsiaTheme="minorEastAsia" w:hAnsiTheme="minorEastAsia" w:hint="eastAsia"/>
        </w:rPr>
        <w:t>教育部112年5月19日臺教授國部字第1120063376號函。</w:t>
      </w:r>
    </w:p>
  </w:footnote>
  <w:footnote w:id="4">
    <w:p w:rsidR="00C708FD" w:rsidRPr="00C708FD" w:rsidRDefault="00C708FD" w:rsidP="005C0F1A">
      <w:pPr>
        <w:pStyle w:val="aff0"/>
      </w:pPr>
      <w:r w:rsidRPr="00C708FD">
        <w:rPr>
          <w:rStyle w:val="aff2"/>
        </w:rPr>
        <w:footnoteRef/>
      </w:r>
      <w:r w:rsidRPr="00C708FD">
        <w:t xml:space="preserve"> </w:t>
      </w:r>
      <w:r w:rsidRPr="00C708FD">
        <w:rPr>
          <w:rFonts w:asciiTheme="minorEastAsia" w:eastAsiaTheme="minorEastAsia" w:hAnsiTheme="minorEastAsia" w:hint="eastAsia"/>
        </w:rPr>
        <w:t>新北市政府112年6月29日新北府警刑字第1124475428號函。</w:t>
      </w:r>
    </w:p>
  </w:footnote>
  <w:footnote w:id="5">
    <w:p w:rsidR="00C708FD" w:rsidRPr="00C708FD" w:rsidRDefault="00C708FD" w:rsidP="00636576">
      <w:pPr>
        <w:pStyle w:val="aff0"/>
        <w:ind w:leftChars="1" w:left="181" w:hangingChars="81" w:hanging="178"/>
      </w:pPr>
      <w:r w:rsidRPr="00C708FD">
        <w:rPr>
          <w:rStyle w:val="aff2"/>
        </w:rPr>
        <w:footnoteRef/>
      </w:r>
      <w:r w:rsidRPr="00C708FD">
        <w:t xml:space="preserve"> </w:t>
      </w:r>
      <w:r w:rsidRPr="00C708FD">
        <w:rPr>
          <w:rFonts w:asciiTheme="minorEastAsia" w:eastAsiaTheme="minorEastAsia" w:hAnsiTheme="minorEastAsia" w:hint="eastAsia"/>
        </w:rPr>
        <w:t>少事法修正草案於108年5月31日經立法院三讀通過，同年6月19日公布施行</w:t>
      </w:r>
      <w:r w:rsidRPr="00C708FD">
        <w:rPr>
          <w:rFonts w:hAnsi="標楷體" w:hint="eastAsia"/>
        </w:rPr>
        <w:t>。</w:t>
      </w:r>
      <w:r w:rsidRPr="00C708FD">
        <w:rPr>
          <w:rFonts w:asciiTheme="minorEastAsia" w:eastAsiaTheme="minorEastAsia" w:hAnsiTheme="minorEastAsia" w:hint="eastAsia"/>
        </w:rPr>
        <w:t>其中增訂第86條第4項規定：「少年偏差行為之輔導及預防辦法，由行政院會同司法院定之。」</w:t>
      </w:r>
    </w:p>
  </w:footnote>
  <w:footnote w:id="6">
    <w:p w:rsidR="00C708FD" w:rsidRPr="00C708FD" w:rsidRDefault="00C708FD">
      <w:pPr>
        <w:pStyle w:val="aff0"/>
      </w:pPr>
      <w:r w:rsidRPr="00C708FD">
        <w:rPr>
          <w:rStyle w:val="aff2"/>
        </w:rPr>
        <w:footnoteRef/>
      </w:r>
      <w:r w:rsidRPr="00C708FD">
        <w:t xml:space="preserve"> </w:t>
      </w:r>
      <w:r w:rsidRPr="00C708FD">
        <w:rPr>
          <w:rFonts w:asciiTheme="minorEastAsia" w:eastAsiaTheme="minorEastAsia" w:hAnsiTheme="minorEastAsia" w:hint="eastAsia"/>
        </w:rPr>
        <w:t>110年2月24日行政院、司法院會同訂定發布「少年偏差行為之輔導及預防辦法」</w:t>
      </w:r>
      <w:r w:rsidRPr="00C708FD">
        <w:rPr>
          <w:rFonts w:hAnsi="標楷體" w:hint="eastAsia"/>
        </w:rPr>
        <w:t>。</w:t>
      </w:r>
    </w:p>
  </w:footnote>
  <w:footnote w:id="7">
    <w:p w:rsidR="00C708FD" w:rsidRPr="00C708FD" w:rsidRDefault="00C708FD">
      <w:pPr>
        <w:pStyle w:val="aff0"/>
      </w:pPr>
      <w:r w:rsidRPr="00C708FD">
        <w:rPr>
          <w:rStyle w:val="aff2"/>
        </w:rPr>
        <w:footnoteRef/>
      </w:r>
      <w:r w:rsidRPr="00C708FD">
        <w:t xml:space="preserve"> </w:t>
      </w:r>
      <w:r w:rsidRPr="00C708FD">
        <w:rPr>
          <w:rFonts w:asciiTheme="minorEastAsia" w:eastAsiaTheme="minorEastAsia" w:hAnsiTheme="minorEastAsia" w:hint="eastAsia"/>
        </w:rPr>
        <w:t>學生輔導法於103年11月12日公布施行。</w:t>
      </w:r>
    </w:p>
  </w:footnote>
  <w:footnote w:id="8">
    <w:p w:rsidR="00C708FD" w:rsidRPr="00C708FD" w:rsidRDefault="00C708FD" w:rsidP="00636576">
      <w:pPr>
        <w:pStyle w:val="aff0"/>
        <w:ind w:leftChars="5" w:left="182" w:hangingChars="75" w:hanging="165"/>
      </w:pPr>
      <w:r w:rsidRPr="00C708FD">
        <w:rPr>
          <w:rStyle w:val="aff2"/>
        </w:rPr>
        <w:footnoteRef/>
      </w:r>
      <w:r w:rsidRPr="00C708FD">
        <w:t xml:space="preserve"> </w:t>
      </w:r>
      <w:r w:rsidRPr="00C708FD">
        <w:rPr>
          <w:rFonts w:asciiTheme="minorEastAsia" w:eastAsiaTheme="minorEastAsia" w:hAnsiTheme="minorEastAsia" w:hint="eastAsia"/>
        </w:rPr>
        <w:t>為促進學生心理健康、社會適應及適性發展，針對全校學生，訂定學校輔導工作計畫，實施生活輔導、學習輔導及生涯輔導相關措施。</w:t>
      </w:r>
    </w:p>
  </w:footnote>
  <w:footnote w:id="9">
    <w:p w:rsidR="00C708FD" w:rsidRPr="00C708FD" w:rsidRDefault="00C708FD" w:rsidP="00636576">
      <w:pPr>
        <w:pStyle w:val="aff0"/>
        <w:ind w:leftChars="5" w:left="182" w:hangingChars="75" w:hanging="165"/>
      </w:pPr>
      <w:r w:rsidRPr="00C708FD">
        <w:rPr>
          <w:rStyle w:val="aff2"/>
        </w:rPr>
        <w:footnoteRef/>
      </w:r>
      <w:r w:rsidRPr="00C708FD">
        <w:t xml:space="preserve"> </w:t>
      </w:r>
      <w:r w:rsidRPr="00C708FD">
        <w:rPr>
          <w:rFonts w:asciiTheme="minorEastAsia" w:eastAsiaTheme="minorEastAsia" w:hAnsiTheme="minorEastAsia" w:hint="eastAsia"/>
        </w:rPr>
        <w:t>針對經發展性輔導仍無法有效滿足其需求，或適應欠佳、重複發生問題行為，或遭受重大創傷經驗等學生，依其個別化需求訂定輔導方案或計畫，提供諮詢、個別諮商及小團體輔導等措施，並提供評估轉</w:t>
      </w:r>
      <w:proofErr w:type="gramStart"/>
      <w:r w:rsidRPr="00C708FD">
        <w:rPr>
          <w:rFonts w:asciiTheme="minorEastAsia" w:eastAsiaTheme="minorEastAsia" w:hAnsiTheme="minorEastAsia" w:hint="eastAsia"/>
        </w:rPr>
        <w:t>介</w:t>
      </w:r>
      <w:proofErr w:type="gramEnd"/>
      <w:r w:rsidRPr="00C708FD">
        <w:rPr>
          <w:rFonts w:asciiTheme="minorEastAsia" w:eastAsiaTheme="minorEastAsia" w:hAnsiTheme="minorEastAsia" w:hint="eastAsia"/>
        </w:rPr>
        <w:t>機制，進行個案管理及輔導。</w:t>
      </w:r>
    </w:p>
  </w:footnote>
  <w:footnote w:id="10">
    <w:p w:rsidR="00C708FD" w:rsidRPr="00C708FD" w:rsidRDefault="00C708FD" w:rsidP="00662076">
      <w:pPr>
        <w:pStyle w:val="aff0"/>
        <w:ind w:leftChars="4" w:left="265" w:hangingChars="114" w:hanging="251"/>
      </w:pPr>
      <w:r w:rsidRPr="00C708FD">
        <w:rPr>
          <w:rStyle w:val="aff2"/>
        </w:rPr>
        <w:footnoteRef/>
      </w:r>
      <w:r w:rsidRPr="00C708FD">
        <w:t xml:space="preserve"> </w:t>
      </w:r>
      <w:r w:rsidRPr="00C708FD">
        <w:rPr>
          <w:rFonts w:asciiTheme="minorEastAsia" w:eastAsiaTheme="minorEastAsia" w:hAnsiTheme="minorEastAsia" w:hint="eastAsia"/>
        </w:rPr>
        <w:t>針對經介入性輔導仍無法有效協助，或嚴重適應困難、行為偏差，或重大違規行為等學生，配合其特殊需求，結合心理治療、社會工作、家庭輔導、職能治療、法律服務、精神醫療等各類專業服務。</w:t>
      </w:r>
    </w:p>
  </w:footnote>
  <w:footnote w:id="11">
    <w:p w:rsidR="00C708FD" w:rsidRPr="00C708FD" w:rsidRDefault="00C708FD" w:rsidP="00EA6DE9">
      <w:pPr>
        <w:pStyle w:val="aff0"/>
        <w:ind w:leftChars="4" w:left="252" w:hangingChars="108" w:hanging="238"/>
      </w:pPr>
      <w:r w:rsidRPr="00C708FD">
        <w:rPr>
          <w:rStyle w:val="aff2"/>
        </w:rPr>
        <w:footnoteRef/>
      </w:r>
      <w:r w:rsidRPr="00C708FD">
        <w:t xml:space="preserve"> </w:t>
      </w:r>
      <w:r w:rsidRPr="00C708FD">
        <w:rPr>
          <w:rFonts w:asciiTheme="minorEastAsia" w:eastAsiaTheme="minorEastAsia" w:hAnsiTheme="minorEastAsia" w:hint="eastAsia"/>
        </w:rPr>
        <w:t>111年9月14日行政院、司法院會同訂定發布「少年輔導委員會設置及輔導實施辦法」，並自112年7月1日施行。</w:t>
      </w:r>
    </w:p>
  </w:footnote>
  <w:footnote w:id="12">
    <w:p w:rsidR="00C708FD" w:rsidRPr="00C708FD" w:rsidRDefault="00C708FD" w:rsidP="00E063AF">
      <w:pPr>
        <w:pStyle w:val="aff0"/>
        <w:ind w:leftChars="4" w:left="252" w:hangingChars="108" w:hanging="238"/>
      </w:pPr>
      <w:r w:rsidRPr="00C708FD">
        <w:rPr>
          <w:rStyle w:val="aff2"/>
        </w:rPr>
        <w:footnoteRef/>
      </w:r>
      <w:r w:rsidRPr="00C708FD">
        <w:t xml:space="preserve"> </w:t>
      </w:r>
      <w:r w:rsidRPr="00C708FD">
        <w:rPr>
          <w:rFonts w:asciiTheme="minorEastAsia" w:eastAsiaTheme="minorEastAsia" w:hAnsiTheme="minorEastAsia" w:hint="eastAsia"/>
        </w:rPr>
        <w:t>例如「88會館之亂懲處出爐！警政署：警專校長等4人拔官、22人申誡」</w:t>
      </w:r>
      <w:r w:rsidRPr="00C708FD">
        <w:rPr>
          <w:rFonts w:hAnsi="標楷體" w:hint="eastAsia"/>
        </w:rPr>
        <w:t>，</w:t>
      </w:r>
      <w:r w:rsidRPr="00C708FD">
        <w:rPr>
          <w:rFonts w:asciiTheme="minorEastAsia" w:eastAsiaTheme="minorEastAsia" w:hAnsiTheme="minorEastAsia" w:hint="eastAsia"/>
        </w:rPr>
        <w:t>因至私人招待所接受不當飲宴</w:t>
      </w:r>
      <w:r w:rsidRPr="00C708FD">
        <w:rPr>
          <w:rFonts w:hAnsi="標楷體" w:hint="eastAsia"/>
        </w:rPr>
        <w:t>，</w:t>
      </w:r>
      <w:r w:rsidRPr="00C708FD">
        <w:rPr>
          <w:rFonts w:asciiTheme="minorEastAsia" w:eastAsiaTheme="minorEastAsia" w:hAnsiTheme="minorEastAsia"/>
        </w:rPr>
        <w:t>https://news.ltn.com.tw/news/society/breakingnews/4184425</w:t>
      </w:r>
      <w:r w:rsidRPr="00C708FD">
        <w:rPr>
          <w:rFonts w:hAnsi="標楷體" w:hint="eastAsia"/>
        </w:rPr>
        <w:t>。</w:t>
      </w:r>
    </w:p>
  </w:footnote>
  <w:footnote w:id="13">
    <w:p w:rsidR="00C708FD" w:rsidRPr="00C708FD" w:rsidRDefault="00C708FD" w:rsidP="00F35A30">
      <w:pPr>
        <w:pStyle w:val="aff0"/>
        <w:ind w:left="189" w:hangingChars="86" w:hanging="189"/>
      </w:pPr>
      <w:r w:rsidRPr="00C708FD">
        <w:rPr>
          <w:rStyle w:val="aff2"/>
        </w:rPr>
        <w:footnoteRef/>
      </w:r>
      <w:r w:rsidRPr="00C708FD">
        <w:t xml:space="preserve"> </w:t>
      </w:r>
      <w:r w:rsidRPr="00C708FD">
        <w:rPr>
          <w:rFonts w:asciiTheme="minorEastAsia" w:eastAsiaTheme="minorEastAsia" w:hAnsiTheme="minorEastAsia" w:hint="eastAsia"/>
        </w:rPr>
        <w:t>依</w:t>
      </w:r>
      <w:r w:rsidRPr="00C708FD">
        <w:rPr>
          <w:rFonts w:hAnsi="標楷體" w:hint="eastAsia"/>
        </w:rPr>
        <w:t>「</w:t>
      </w:r>
      <w:r w:rsidRPr="00C708FD">
        <w:rPr>
          <w:rFonts w:asciiTheme="minorEastAsia" w:eastAsiaTheme="minorEastAsia" w:hAnsiTheme="minorEastAsia" w:hint="eastAsia"/>
        </w:rPr>
        <w:t>檢察機關執行掃黑工作作業要點</w:t>
      </w:r>
      <w:r w:rsidRPr="00C708FD">
        <w:rPr>
          <w:rFonts w:hAnsi="標楷體" w:hint="eastAsia"/>
        </w:rPr>
        <w:t>」</w:t>
      </w:r>
      <w:r w:rsidRPr="00C708FD">
        <w:rPr>
          <w:rFonts w:asciiTheme="minorEastAsia" w:eastAsiaTheme="minorEastAsia" w:hAnsiTheme="minorEastAsia" w:hint="eastAsia"/>
        </w:rPr>
        <w:t>第2點規定，所稱掃黑係指掃除組織犯罪防制條例第2條所稱之犯罪組織</w:t>
      </w:r>
      <w:r w:rsidRPr="00C708FD">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63A58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253"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443AED"/>
    <w:multiLevelType w:val="hybridMultilevel"/>
    <w:tmpl w:val="C4D0EA24"/>
    <w:lvl w:ilvl="0" w:tplc="2E283A5A">
      <w:start w:val="1"/>
      <w:numFmt w:val="taiwaneseCountingThousand"/>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7E5611"/>
    <w:multiLevelType w:val="multilevel"/>
    <w:tmpl w:val="2EF618F2"/>
    <w:styleLink w:val="LFO40"/>
    <w:lvl w:ilvl="0">
      <w:start w:val="1"/>
      <w:numFmt w:val="taiwaneseCountingThousand"/>
      <w:lvlText w:val="%1、"/>
      <w:lvlJc w:val="left"/>
      <w:pPr>
        <w:ind w:left="1190" w:hanging="480"/>
      </w:pPr>
      <w:rPr>
        <w:rFonts w:ascii="標楷體" w:hAnsi="標楷體"/>
        <w:color w:val="auto"/>
        <w:sz w:val="32"/>
        <w:szCs w:val="32"/>
      </w:rPr>
    </w:lvl>
    <w:lvl w:ilvl="1">
      <w:start w:val="1"/>
      <w:numFmt w:val="ideographTraditional"/>
      <w:lvlText w:val="%2、"/>
      <w:lvlJc w:val="left"/>
      <w:pPr>
        <w:ind w:left="1280" w:hanging="480"/>
      </w:pPr>
    </w:lvl>
    <w:lvl w:ilvl="2">
      <w:start w:val="1"/>
      <w:numFmt w:val="lowerRoman"/>
      <w:lvlText w:val="%3."/>
      <w:lvlJc w:val="right"/>
      <w:pPr>
        <w:ind w:left="1760" w:hanging="480"/>
      </w:pPr>
    </w:lvl>
    <w:lvl w:ilvl="3">
      <w:start w:val="1"/>
      <w:numFmt w:val="decimal"/>
      <w:lvlText w:val="%4."/>
      <w:lvlJc w:val="left"/>
      <w:pPr>
        <w:ind w:left="2240" w:hanging="480"/>
      </w:pPr>
    </w:lvl>
    <w:lvl w:ilvl="4">
      <w:start w:val="1"/>
      <w:numFmt w:val="ideographTraditional"/>
      <w:lvlText w:val="%5、"/>
      <w:lvlJc w:val="left"/>
      <w:pPr>
        <w:ind w:left="2720" w:hanging="480"/>
      </w:pPr>
    </w:lvl>
    <w:lvl w:ilvl="5">
      <w:start w:val="1"/>
      <w:numFmt w:val="lowerRoman"/>
      <w:lvlText w:val="%6."/>
      <w:lvlJc w:val="right"/>
      <w:pPr>
        <w:ind w:left="3200" w:hanging="480"/>
      </w:pPr>
    </w:lvl>
    <w:lvl w:ilvl="6">
      <w:start w:val="1"/>
      <w:numFmt w:val="decimal"/>
      <w:lvlText w:val="%7."/>
      <w:lvlJc w:val="left"/>
      <w:pPr>
        <w:ind w:left="3680" w:hanging="480"/>
      </w:pPr>
    </w:lvl>
    <w:lvl w:ilvl="7">
      <w:start w:val="1"/>
      <w:numFmt w:val="ideographTraditional"/>
      <w:lvlText w:val="%8、"/>
      <w:lvlJc w:val="left"/>
      <w:pPr>
        <w:ind w:left="4160" w:hanging="480"/>
      </w:pPr>
    </w:lvl>
    <w:lvl w:ilvl="8">
      <w:start w:val="1"/>
      <w:numFmt w:val="lowerRoman"/>
      <w:lvlText w:val="%9."/>
      <w:lvlJc w:val="right"/>
      <w:pPr>
        <w:ind w:left="464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B2"/>
    <w:rsid w:val="00001936"/>
    <w:rsid w:val="00001EC5"/>
    <w:rsid w:val="00002B43"/>
    <w:rsid w:val="0000406D"/>
    <w:rsid w:val="0000596A"/>
    <w:rsid w:val="00006961"/>
    <w:rsid w:val="00010891"/>
    <w:rsid w:val="000112BF"/>
    <w:rsid w:val="00011441"/>
    <w:rsid w:val="00012233"/>
    <w:rsid w:val="0001682C"/>
    <w:rsid w:val="00017318"/>
    <w:rsid w:val="00021E76"/>
    <w:rsid w:val="00022638"/>
    <w:rsid w:val="000229AD"/>
    <w:rsid w:val="000236AE"/>
    <w:rsid w:val="000246F7"/>
    <w:rsid w:val="0003033A"/>
    <w:rsid w:val="0003114D"/>
    <w:rsid w:val="000336F6"/>
    <w:rsid w:val="00036B3A"/>
    <w:rsid w:val="00036D76"/>
    <w:rsid w:val="00040291"/>
    <w:rsid w:val="000409EC"/>
    <w:rsid w:val="0004339A"/>
    <w:rsid w:val="00046229"/>
    <w:rsid w:val="000475E5"/>
    <w:rsid w:val="00051DE0"/>
    <w:rsid w:val="00052F6F"/>
    <w:rsid w:val="00053889"/>
    <w:rsid w:val="00056DA7"/>
    <w:rsid w:val="00057F32"/>
    <w:rsid w:val="00062558"/>
    <w:rsid w:val="00062A25"/>
    <w:rsid w:val="00062B41"/>
    <w:rsid w:val="00064863"/>
    <w:rsid w:val="000703C8"/>
    <w:rsid w:val="00070715"/>
    <w:rsid w:val="00073CB5"/>
    <w:rsid w:val="0007416C"/>
    <w:rsid w:val="0007425C"/>
    <w:rsid w:val="000747D2"/>
    <w:rsid w:val="00077553"/>
    <w:rsid w:val="00077E70"/>
    <w:rsid w:val="00084FAB"/>
    <w:rsid w:val="000851A2"/>
    <w:rsid w:val="000908DC"/>
    <w:rsid w:val="000933FE"/>
    <w:rsid w:val="0009352E"/>
    <w:rsid w:val="00095A6A"/>
    <w:rsid w:val="00096B96"/>
    <w:rsid w:val="000A0583"/>
    <w:rsid w:val="000A0DA9"/>
    <w:rsid w:val="000A1B03"/>
    <w:rsid w:val="000A1C48"/>
    <w:rsid w:val="000A2F3F"/>
    <w:rsid w:val="000A5EA6"/>
    <w:rsid w:val="000A6646"/>
    <w:rsid w:val="000B0B4A"/>
    <w:rsid w:val="000B279A"/>
    <w:rsid w:val="000B37F7"/>
    <w:rsid w:val="000B61D2"/>
    <w:rsid w:val="000B70A7"/>
    <w:rsid w:val="000B73DD"/>
    <w:rsid w:val="000C124A"/>
    <w:rsid w:val="000C436A"/>
    <w:rsid w:val="000C495F"/>
    <w:rsid w:val="000D094E"/>
    <w:rsid w:val="000D66D9"/>
    <w:rsid w:val="000D7BEC"/>
    <w:rsid w:val="000E5900"/>
    <w:rsid w:val="000E5C53"/>
    <w:rsid w:val="000E6431"/>
    <w:rsid w:val="000E7182"/>
    <w:rsid w:val="000F21A5"/>
    <w:rsid w:val="000F6547"/>
    <w:rsid w:val="0010098D"/>
    <w:rsid w:val="00102B9F"/>
    <w:rsid w:val="00102F13"/>
    <w:rsid w:val="00104AFF"/>
    <w:rsid w:val="0010666B"/>
    <w:rsid w:val="00107854"/>
    <w:rsid w:val="0011205E"/>
    <w:rsid w:val="00112637"/>
    <w:rsid w:val="00112ABC"/>
    <w:rsid w:val="00115C65"/>
    <w:rsid w:val="001165BB"/>
    <w:rsid w:val="0012001E"/>
    <w:rsid w:val="001255CA"/>
    <w:rsid w:val="00126A55"/>
    <w:rsid w:val="00132E7A"/>
    <w:rsid w:val="001339AC"/>
    <w:rsid w:val="00133CC2"/>
    <w:rsid w:val="00133F08"/>
    <w:rsid w:val="001345E6"/>
    <w:rsid w:val="001378B0"/>
    <w:rsid w:val="00140953"/>
    <w:rsid w:val="00141E8F"/>
    <w:rsid w:val="00142E00"/>
    <w:rsid w:val="00144FD5"/>
    <w:rsid w:val="001473A5"/>
    <w:rsid w:val="00147BCF"/>
    <w:rsid w:val="00152793"/>
    <w:rsid w:val="00153B7E"/>
    <w:rsid w:val="00153E71"/>
    <w:rsid w:val="001542BF"/>
    <w:rsid w:val="001545A9"/>
    <w:rsid w:val="00155343"/>
    <w:rsid w:val="001637C7"/>
    <w:rsid w:val="00163B41"/>
    <w:rsid w:val="001644A4"/>
    <w:rsid w:val="0016480E"/>
    <w:rsid w:val="001648D3"/>
    <w:rsid w:val="00165087"/>
    <w:rsid w:val="0017156A"/>
    <w:rsid w:val="001725F0"/>
    <w:rsid w:val="00174297"/>
    <w:rsid w:val="00175143"/>
    <w:rsid w:val="00180E06"/>
    <w:rsid w:val="001817B3"/>
    <w:rsid w:val="00181EE9"/>
    <w:rsid w:val="00182960"/>
    <w:rsid w:val="00182C2D"/>
    <w:rsid w:val="00183014"/>
    <w:rsid w:val="001862E6"/>
    <w:rsid w:val="00186BBF"/>
    <w:rsid w:val="00192B81"/>
    <w:rsid w:val="001931FB"/>
    <w:rsid w:val="00193B20"/>
    <w:rsid w:val="00194FD3"/>
    <w:rsid w:val="0019580F"/>
    <w:rsid w:val="001959C2"/>
    <w:rsid w:val="001960F4"/>
    <w:rsid w:val="00197B49"/>
    <w:rsid w:val="001A0CA4"/>
    <w:rsid w:val="001A2BF6"/>
    <w:rsid w:val="001A51E3"/>
    <w:rsid w:val="001A7968"/>
    <w:rsid w:val="001B023D"/>
    <w:rsid w:val="001B2E98"/>
    <w:rsid w:val="001B3483"/>
    <w:rsid w:val="001B3C1E"/>
    <w:rsid w:val="001B4494"/>
    <w:rsid w:val="001B5492"/>
    <w:rsid w:val="001B7AAF"/>
    <w:rsid w:val="001C0B2C"/>
    <w:rsid w:val="001C0D8B"/>
    <w:rsid w:val="001C0DA8"/>
    <w:rsid w:val="001C3107"/>
    <w:rsid w:val="001C4DAB"/>
    <w:rsid w:val="001D0E64"/>
    <w:rsid w:val="001D4AD7"/>
    <w:rsid w:val="001E0D8A"/>
    <w:rsid w:val="001E101E"/>
    <w:rsid w:val="001E1044"/>
    <w:rsid w:val="001E5E84"/>
    <w:rsid w:val="001E67BA"/>
    <w:rsid w:val="001E7313"/>
    <w:rsid w:val="001E74C2"/>
    <w:rsid w:val="001F0134"/>
    <w:rsid w:val="001F0E47"/>
    <w:rsid w:val="001F14CA"/>
    <w:rsid w:val="001F2F81"/>
    <w:rsid w:val="001F3DB0"/>
    <w:rsid w:val="001F4F82"/>
    <w:rsid w:val="001F536A"/>
    <w:rsid w:val="001F5A48"/>
    <w:rsid w:val="001F6260"/>
    <w:rsid w:val="001F69F2"/>
    <w:rsid w:val="00200007"/>
    <w:rsid w:val="00202667"/>
    <w:rsid w:val="002030A5"/>
    <w:rsid w:val="00203131"/>
    <w:rsid w:val="002051CF"/>
    <w:rsid w:val="00206E56"/>
    <w:rsid w:val="0021032D"/>
    <w:rsid w:val="00212A7B"/>
    <w:rsid w:val="00212E88"/>
    <w:rsid w:val="0021388D"/>
    <w:rsid w:val="00213C9C"/>
    <w:rsid w:val="00215312"/>
    <w:rsid w:val="0022009E"/>
    <w:rsid w:val="00223241"/>
    <w:rsid w:val="0022327D"/>
    <w:rsid w:val="0022425C"/>
    <w:rsid w:val="002246DE"/>
    <w:rsid w:val="00226D24"/>
    <w:rsid w:val="00233320"/>
    <w:rsid w:val="00241F18"/>
    <w:rsid w:val="00242827"/>
    <w:rsid w:val="002429E2"/>
    <w:rsid w:val="00242D33"/>
    <w:rsid w:val="00245120"/>
    <w:rsid w:val="00252BC4"/>
    <w:rsid w:val="00254014"/>
    <w:rsid w:val="00254B39"/>
    <w:rsid w:val="00254FDC"/>
    <w:rsid w:val="002553C6"/>
    <w:rsid w:val="00255F55"/>
    <w:rsid w:val="00257C98"/>
    <w:rsid w:val="002642DA"/>
    <w:rsid w:val="0026504D"/>
    <w:rsid w:val="00266F0D"/>
    <w:rsid w:val="0026797C"/>
    <w:rsid w:val="00267E11"/>
    <w:rsid w:val="00272290"/>
    <w:rsid w:val="0027319C"/>
    <w:rsid w:val="00273316"/>
    <w:rsid w:val="00273A2F"/>
    <w:rsid w:val="00274165"/>
    <w:rsid w:val="00280740"/>
    <w:rsid w:val="00280986"/>
    <w:rsid w:val="00280C58"/>
    <w:rsid w:val="00281ECE"/>
    <w:rsid w:val="002831C7"/>
    <w:rsid w:val="002840C6"/>
    <w:rsid w:val="00295174"/>
    <w:rsid w:val="00296172"/>
    <w:rsid w:val="00296B92"/>
    <w:rsid w:val="002A1637"/>
    <w:rsid w:val="002A2C22"/>
    <w:rsid w:val="002A2C9D"/>
    <w:rsid w:val="002A569F"/>
    <w:rsid w:val="002A7E32"/>
    <w:rsid w:val="002B02EB"/>
    <w:rsid w:val="002B0E4D"/>
    <w:rsid w:val="002B342B"/>
    <w:rsid w:val="002B7012"/>
    <w:rsid w:val="002C0602"/>
    <w:rsid w:val="002C1D2A"/>
    <w:rsid w:val="002C259D"/>
    <w:rsid w:val="002C3622"/>
    <w:rsid w:val="002C6159"/>
    <w:rsid w:val="002C7D44"/>
    <w:rsid w:val="002D1371"/>
    <w:rsid w:val="002D14F9"/>
    <w:rsid w:val="002D1F71"/>
    <w:rsid w:val="002D498F"/>
    <w:rsid w:val="002D5C16"/>
    <w:rsid w:val="002E37C7"/>
    <w:rsid w:val="002E5D4C"/>
    <w:rsid w:val="002F055B"/>
    <w:rsid w:val="002F2476"/>
    <w:rsid w:val="002F307F"/>
    <w:rsid w:val="002F3DFF"/>
    <w:rsid w:val="002F5E05"/>
    <w:rsid w:val="0030031E"/>
    <w:rsid w:val="00300747"/>
    <w:rsid w:val="00300F88"/>
    <w:rsid w:val="00302624"/>
    <w:rsid w:val="00307A76"/>
    <w:rsid w:val="00307DB0"/>
    <w:rsid w:val="00312E21"/>
    <w:rsid w:val="0031455E"/>
    <w:rsid w:val="00315A16"/>
    <w:rsid w:val="00315C38"/>
    <w:rsid w:val="0031626D"/>
    <w:rsid w:val="00316341"/>
    <w:rsid w:val="00317053"/>
    <w:rsid w:val="0032109C"/>
    <w:rsid w:val="00322B45"/>
    <w:rsid w:val="00323809"/>
    <w:rsid w:val="00323D41"/>
    <w:rsid w:val="00325414"/>
    <w:rsid w:val="003302F1"/>
    <w:rsid w:val="00331792"/>
    <w:rsid w:val="00336654"/>
    <w:rsid w:val="00340E51"/>
    <w:rsid w:val="0034163B"/>
    <w:rsid w:val="00341E4C"/>
    <w:rsid w:val="0034241C"/>
    <w:rsid w:val="0034293D"/>
    <w:rsid w:val="003433DA"/>
    <w:rsid w:val="0034470E"/>
    <w:rsid w:val="00345B93"/>
    <w:rsid w:val="00346BAC"/>
    <w:rsid w:val="0034790D"/>
    <w:rsid w:val="00347D9B"/>
    <w:rsid w:val="00350F6C"/>
    <w:rsid w:val="00352DB0"/>
    <w:rsid w:val="003564A4"/>
    <w:rsid w:val="00360685"/>
    <w:rsid w:val="00361063"/>
    <w:rsid w:val="003616F4"/>
    <w:rsid w:val="00363724"/>
    <w:rsid w:val="00364082"/>
    <w:rsid w:val="003674CC"/>
    <w:rsid w:val="0037094A"/>
    <w:rsid w:val="00370EDB"/>
    <w:rsid w:val="00371ED3"/>
    <w:rsid w:val="00372659"/>
    <w:rsid w:val="00372FFC"/>
    <w:rsid w:val="003731A5"/>
    <w:rsid w:val="00374046"/>
    <w:rsid w:val="0037538A"/>
    <w:rsid w:val="003755E5"/>
    <w:rsid w:val="0037728A"/>
    <w:rsid w:val="00380B7D"/>
    <w:rsid w:val="0038134E"/>
    <w:rsid w:val="00381A99"/>
    <w:rsid w:val="003829C2"/>
    <w:rsid w:val="00382E13"/>
    <w:rsid w:val="003830B2"/>
    <w:rsid w:val="00384724"/>
    <w:rsid w:val="0038558B"/>
    <w:rsid w:val="003909DD"/>
    <w:rsid w:val="003919B7"/>
    <w:rsid w:val="00391D57"/>
    <w:rsid w:val="00392292"/>
    <w:rsid w:val="00392746"/>
    <w:rsid w:val="00393668"/>
    <w:rsid w:val="00393AAC"/>
    <w:rsid w:val="00394F45"/>
    <w:rsid w:val="00395D61"/>
    <w:rsid w:val="00396880"/>
    <w:rsid w:val="003A3289"/>
    <w:rsid w:val="003A4104"/>
    <w:rsid w:val="003A5927"/>
    <w:rsid w:val="003A5F85"/>
    <w:rsid w:val="003A5FBB"/>
    <w:rsid w:val="003A70C8"/>
    <w:rsid w:val="003B1017"/>
    <w:rsid w:val="003B21F9"/>
    <w:rsid w:val="003B2EC8"/>
    <w:rsid w:val="003B2FA6"/>
    <w:rsid w:val="003B3C07"/>
    <w:rsid w:val="003B6081"/>
    <w:rsid w:val="003B6775"/>
    <w:rsid w:val="003B6B99"/>
    <w:rsid w:val="003C2C7A"/>
    <w:rsid w:val="003C3307"/>
    <w:rsid w:val="003C5FE2"/>
    <w:rsid w:val="003C7BAD"/>
    <w:rsid w:val="003D05FB"/>
    <w:rsid w:val="003D115A"/>
    <w:rsid w:val="003D1B16"/>
    <w:rsid w:val="003D45BF"/>
    <w:rsid w:val="003D508A"/>
    <w:rsid w:val="003D537F"/>
    <w:rsid w:val="003D5A0B"/>
    <w:rsid w:val="003D6E5B"/>
    <w:rsid w:val="003D703D"/>
    <w:rsid w:val="003D7076"/>
    <w:rsid w:val="003D77B2"/>
    <w:rsid w:val="003D7B75"/>
    <w:rsid w:val="003D7C90"/>
    <w:rsid w:val="003E0208"/>
    <w:rsid w:val="003E06BC"/>
    <w:rsid w:val="003E2D7A"/>
    <w:rsid w:val="003E42CA"/>
    <w:rsid w:val="003E4B57"/>
    <w:rsid w:val="003E4BCF"/>
    <w:rsid w:val="003E5033"/>
    <w:rsid w:val="003E503B"/>
    <w:rsid w:val="003E507F"/>
    <w:rsid w:val="003E6705"/>
    <w:rsid w:val="003F05AE"/>
    <w:rsid w:val="003F27E1"/>
    <w:rsid w:val="003F2D11"/>
    <w:rsid w:val="003F437A"/>
    <w:rsid w:val="003F463C"/>
    <w:rsid w:val="003F5C2B"/>
    <w:rsid w:val="00400082"/>
    <w:rsid w:val="00402240"/>
    <w:rsid w:val="004023E9"/>
    <w:rsid w:val="00403006"/>
    <w:rsid w:val="0040454A"/>
    <w:rsid w:val="00404F6B"/>
    <w:rsid w:val="00410CAF"/>
    <w:rsid w:val="00413F83"/>
    <w:rsid w:val="00414279"/>
    <w:rsid w:val="00414660"/>
    <w:rsid w:val="0041490C"/>
    <w:rsid w:val="00414D89"/>
    <w:rsid w:val="0041597C"/>
    <w:rsid w:val="00416049"/>
    <w:rsid w:val="00416191"/>
    <w:rsid w:val="004161AE"/>
    <w:rsid w:val="00416721"/>
    <w:rsid w:val="00416CCF"/>
    <w:rsid w:val="00421EF0"/>
    <w:rsid w:val="004224FA"/>
    <w:rsid w:val="00423D07"/>
    <w:rsid w:val="00427936"/>
    <w:rsid w:val="00427AB2"/>
    <w:rsid w:val="00433A7C"/>
    <w:rsid w:val="004421CC"/>
    <w:rsid w:val="0044346F"/>
    <w:rsid w:val="004452B1"/>
    <w:rsid w:val="0044718B"/>
    <w:rsid w:val="004515E9"/>
    <w:rsid w:val="004538B9"/>
    <w:rsid w:val="00453D65"/>
    <w:rsid w:val="00453FF6"/>
    <w:rsid w:val="00461552"/>
    <w:rsid w:val="00461B33"/>
    <w:rsid w:val="0046520A"/>
    <w:rsid w:val="004672AB"/>
    <w:rsid w:val="0046735C"/>
    <w:rsid w:val="0047008A"/>
    <w:rsid w:val="004714FE"/>
    <w:rsid w:val="00471706"/>
    <w:rsid w:val="00474654"/>
    <w:rsid w:val="004756D7"/>
    <w:rsid w:val="00476C43"/>
    <w:rsid w:val="004776CB"/>
    <w:rsid w:val="00477BAA"/>
    <w:rsid w:val="00482FF2"/>
    <w:rsid w:val="00490E10"/>
    <w:rsid w:val="00492837"/>
    <w:rsid w:val="00494E99"/>
    <w:rsid w:val="00495053"/>
    <w:rsid w:val="00495181"/>
    <w:rsid w:val="00496154"/>
    <w:rsid w:val="00496F36"/>
    <w:rsid w:val="00497590"/>
    <w:rsid w:val="004A15AE"/>
    <w:rsid w:val="004A1F59"/>
    <w:rsid w:val="004A29BE"/>
    <w:rsid w:val="004A2D4F"/>
    <w:rsid w:val="004A3225"/>
    <w:rsid w:val="004A33EE"/>
    <w:rsid w:val="004A3AA8"/>
    <w:rsid w:val="004B1268"/>
    <w:rsid w:val="004B13C7"/>
    <w:rsid w:val="004B716A"/>
    <w:rsid w:val="004B778F"/>
    <w:rsid w:val="004C0609"/>
    <w:rsid w:val="004C1903"/>
    <w:rsid w:val="004C2CD2"/>
    <w:rsid w:val="004C2D97"/>
    <w:rsid w:val="004C594C"/>
    <w:rsid w:val="004C639F"/>
    <w:rsid w:val="004C7652"/>
    <w:rsid w:val="004D021A"/>
    <w:rsid w:val="004D07A1"/>
    <w:rsid w:val="004D141F"/>
    <w:rsid w:val="004D1510"/>
    <w:rsid w:val="004D2742"/>
    <w:rsid w:val="004D3A7A"/>
    <w:rsid w:val="004D3B9A"/>
    <w:rsid w:val="004D6310"/>
    <w:rsid w:val="004E0062"/>
    <w:rsid w:val="004E05A1"/>
    <w:rsid w:val="004E14AB"/>
    <w:rsid w:val="004E518F"/>
    <w:rsid w:val="004E5373"/>
    <w:rsid w:val="004F3099"/>
    <w:rsid w:val="004F3E1A"/>
    <w:rsid w:val="004F472A"/>
    <w:rsid w:val="004F5306"/>
    <w:rsid w:val="004F5E57"/>
    <w:rsid w:val="004F6710"/>
    <w:rsid w:val="00500C3E"/>
    <w:rsid w:val="00502849"/>
    <w:rsid w:val="00504334"/>
    <w:rsid w:val="00504381"/>
    <w:rsid w:val="0050498D"/>
    <w:rsid w:val="005069B5"/>
    <w:rsid w:val="00510440"/>
    <w:rsid w:val="005104D7"/>
    <w:rsid w:val="00510B9E"/>
    <w:rsid w:val="00511FDE"/>
    <w:rsid w:val="005138BD"/>
    <w:rsid w:val="005166AC"/>
    <w:rsid w:val="00520938"/>
    <w:rsid w:val="00523188"/>
    <w:rsid w:val="00523BEE"/>
    <w:rsid w:val="0052774B"/>
    <w:rsid w:val="00527B87"/>
    <w:rsid w:val="00534688"/>
    <w:rsid w:val="00536BC2"/>
    <w:rsid w:val="00537632"/>
    <w:rsid w:val="005400AE"/>
    <w:rsid w:val="005401F6"/>
    <w:rsid w:val="005407CC"/>
    <w:rsid w:val="00541FD9"/>
    <w:rsid w:val="005425E1"/>
    <w:rsid w:val="005427C5"/>
    <w:rsid w:val="00542CF6"/>
    <w:rsid w:val="00544E3B"/>
    <w:rsid w:val="00545775"/>
    <w:rsid w:val="0054655D"/>
    <w:rsid w:val="00552F9A"/>
    <w:rsid w:val="005537B4"/>
    <w:rsid w:val="00553C03"/>
    <w:rsid w:val="00557685"/>
    <w:rsid w:val="00560DDA"/>
    <w:rsid w:val="00561F8B"/>
    <w:rsid w:val="00563692"/>
    <w:rsid w:val="00571679"/>
    <w:rsid w:val="00572CC9"/>
    <w:rsid w:val="00574890"/>
    <w:rsid w:val="0057778E"/>
    <w:rsid w:val="00581F8D"/>
    <w:rsid w:val="005822C8"/>
    <w:rsid w:val="00584235"/>
    <w:rsid w:val="005844E7"/>
    <w:rsid w:val="00586488"/>
    <w:rsid w:val="00586EB6"/>
    <w:rsid w:val="00587547"/>
    <w:rsid w:val="005908B8"/>
    <w:rsid w:val="0059313F"/>
    <w:rsid w:val="005942A0"/>
    <w:rsid w:val="0059512E"/>
    <w:rsid w:val="005960E7"/>
    <w:rsid w:val="005970CC"/>
    <w:rsid w:val="0059733D"/>
    <w:rsid w:val="005A2B80"/>
    <w:rsid w:val="005A3B58"/>
    <w:rsid w:val="005A49E8"/>
    <w:rsid w:val="005A4B6D"/>
    <w:rsid w:val="005A5E95"/>
    <w:rsid w:val="005A6DD2"/>
    <w:rsid w:val="005B61ED"/>
    <w:rsid w:val="005B7B0E"/>
    <w:rsid w:val="005C0F1A"/>
    <w:rsid w:val="005C2CA8"/>
    <w:rsid w:val="005C385D"/>
    <w:rsid w:val="005C5B25"/>
    <w:rsid w:val="005C62CC"/>
    <w:rsid w:val="005D1052"/>
    <w:rsid w:val="005D2FBF"/>
    <w:rsid w:val="005D3B20"/>
    <w:rsid w:val="005D56A5"/>
    <w:rsid w:val="005D69AA"/>
    <w:rsid w:val="005D71B7"/>
    <w:rsid w:val="005D7635"/>
    <w:rsid w:val="005E2663"/>
    <w:rsid w:val="005E4155"/>
    <w:rsid w:val="005E4759"/>
    <w:rsid w:val="005E5079"/>
    <w:rsid w:val="005E5C68"/>
    <w:rsid w:val="005E65C0"/>
    <w:rsid w:val="005E69D8"/>
    <w:rsid w:val="005E7E11"/>
    <w:rsid w:val="005F0390"/>
    <w:rsid w:val="005F4F12"/>
    <w:rsid w:val="005F7B53"/>
    <w:rsid w:val="006007C5"/>
    <w:rsid w:val="006072CD"/>
    <w:rsid w:val="00612023"/>
    <w:rsid w:val="00614190"/>
    <w:rsid w:val="00616F04"/>
    <w:rsid w:val="0062110F"/>
    <w:rsid w:val="0062189A"/>
    <w:rsid w:val="00622A99"/>
    <w:rsid w:val="00622E67"/>
    <w:rsid w:val="00625781"/>
    <w:rsid w:val="006260D8"/>
    <w:rsid w:val="00626B57"/>
    <w:rsid w:val="00626EDC"/>
    <w:rsid w:val="0062798A"/>
    <w:rsid w:val="006315E5"/>
    <w:rsid w:val="0063388A"/>
    <w:rsid w:val="00633950"/>
    <w:rsid w:val="00635D0F"/>
    <w:rsid w:val="00635EE5"/>
    <w:rsid w:val="00636576"/>
    <w:rsid w:val="00641387"/>
    <w:rsid w:val="006434D6"/>
    <w:rsid w:val="0064353A"/>
    <w:rsid w:val="006452D3"/>
    <w:rsid w:val="006459AF"/>
    <w:rsid w:val="006470EC"/>
    <w:rsid w:val="00647224"/>
    <w:rsid w:val="00652DC3"/>
    <w:rsid w:val="006542D6"/>
    <w:rsid w:val="0065598E"/>
    <w:rsid w:val="00655A84"/>
    <w:rsid w:val="00655AF2"/>
    <w:rsid w:val="00655BC5"/>
    <w:rsid w:val="006568BE"/>
    <w:rsid w:val="0066017B"/>
    <w:rsid w:val="0066025D"/>
    <w:rsid w:val="0066091A"/>
    <w:rsid w:val="006615C6"/>
    <w:rsid w:val="00662076"/>
    <w:rsid w:val="006623E8"/>
    <w:rsid w:val="006672CB"/>
    <w:rsid w:val="0067249C"/>
    <w:rsid w:val="00673791"/>
    <w:rsid w:val="006773EC"/>
    <w:rsid w:val="006804AB"/>
    <w:rsid w:val="00680504"/>
    <w:rsid w:val="00681877"/>
    <w:rsid w:val="00681CD9"/>
    <w:rsid w:val="00683345"/>
    <w:rsid w:val="00683E30"/>
    <w:rsid w:val="006847D9"/>
    <w:rsid w:val="00687024"/>
    <w:rsid w:val="006912B0"/>
    <w:rsid w:val="00691A2E"/>
    <w:rsid w:val="00693098"/>
    <w:rsid w:val="00695212"/>
    <w:rsid w:val="00695E22"/>
    <w:rsid w:val="006A0236"/>
    <w:rsid w:val="006A0D62"/>
    <w:rsid w:val="006A1775"/>
    <w:rsid w:val="006A4203"/>
    <w:rsid w:val="006A6C5C"/>
    <w:rsid w:val="006A7745"/>
    <w:rsid w:val="006B2102"/>
    <w:rsid w:val="006B4E6A"/>
    <w:rsid w:val="006B7093"/>
    <w:rsid w:val="006B7417"/>
    <w:rsid w:val="006B7D2C"/>
    <w:rsid w:val="006C068B"/>
    <w:rsid w:val="006C0ABC"/>
    <w:rsid w:val="006C0C27"/>
    <w:rsid w:val="006C0F27"/>
    <w:rsid w:val="006C16DE"/>
    <w:rsid w:val="006C6275"/>
    <w:rsid w:val="006C6507"/>
    <w:rsid w:val="006C6756"/>
    <w:rsid w:val="006C6B48"/>
    <w:rsid w:val="006D2201"/>
    <w:rsid w:val="006D31F9"/>
    <w:rsid w:val="006D3691"/>
    <w:rsid w:val="006D3D9F"/>
    <w:rsid w:val="006D438E"/>
    <w:rsid w:val="006E4B11"/>
    <w:rsid w:val="006E5A4F"/>
    <w:rsid w:val="006E5EF0"/>
    <w:rsid w:val="006E6B56"/>
    <w:rsid w:val="006F19E0"/>
    <w:rsid w:val="006F3192"/>
    <w:rsid w:val="006F3563"/>
    <w:rsid w:val="006F42B9"/>
    <w:rsid w:val="006F4E8C"/>
    <w:rsid w:val="006F6103"/>
    <w:rsid w:val="006F6C54"/>
    <w:rsid w:val="00700294"/>
    <w:rsid w:val="00704E00"/>
    <w:rsid w:val="007051F6"/>
    <w:rsid w:val="0070549A"/>
    <w:rsid w:val="007067FA"/>
    <w:rsid w:val="007078AF"/>
    <w:rsid w:val="00714BF4"/>
    <w:rsid w:val="00715453"/>
    <w:rsid w:val="00715F12"/>
    <w:rsid w:val="00717B02"/>
    <w:rsid w:val="007209E7"/>
    <w:rsid w:val="00725B24"/>
    <w:rsid w:val="00725C36"/>
    <w:rsid w:val="00726182"/>
    <w:rsid w:val="00727635"/>
    <w:rsid w:val="00727882"/>
    <w:rsid w:val="007279F8"/>
    <w:rsid w:val="00730F27"/>
    <w:rsid w:val="00732329"/>
    <w:rsid w:val="007337CA"/>
    <w:rsid w:val="00733BB9"/>
    <w:rsid w:val="00734CE4"/>
    <w:rsid w:val="00735123"/>
    <w:rsid w:val="007353E7"/>
    <w:rsid w:val="007410C1"/>
    <w:rsid w:val="00741837"/>
    <w:rsid w:val="0074360F"/>
    <w:rsid w:val="007446E5"/>
    <w:rsid w:val="007453E6"/>
    <w:rsid w:val="007464E9"/>
    <w:rsid w:val="00746700"/>
    <w:rsid w:val="0074729E"/>
    <w:rsid w:val="00751454"/>
    <w:rsid w:val="00753BBD"/>
    <w:rsid w:val="00754A69"/>
    <w:rsid w:val="00757D4D"/>
    <w:rsid w:val="007604E3"/>
    <w:rsid w:val="00760985"/>
    <w:rsid w:val="00762243"/>
    <w:rsid w:val="00767548"/>
    <w:rsid w:val="00770453"/>
    <w:rsid w:val="00770501"/>
    <w:rsid w:val="0077309D"/>
    <w:rsid w:val="00773EBD"/>
    <w:rsid w:val="007768B6"/>
    <w:rsid w:val="007774EE"/>
    <w:rsid w:val="00777605"/>
    <w:rsid w:val="00777DEF"/>
    <w:rsid w:val="00781822"/>
    <w:rsid w:val="0078200D"/>
    <w:rsid w:val="00783F21"/>
    <w:rsid w:val="00784E4B"/>
    <w:rsid w:val="00784E7B"/>
    <w:rsid w:val="00786E61"/>
    <w:rsid w:val="00787159"/>
    <w:rsid w:val="0079043A"/>
    <w:rsid w:val="007911E4"/>
    <w:rsid w:val="00791668"/>
    <w:rsid w:val="00791AA1"/>
    <w:rsid w:val="00793213"/>
    <w:rsid w:val="007963B0"/>
    <w:rsid w:val="007A2887"/>
    <w:rsid w:val="007A2ECD"/>
    <w:rsid w:val="007A3793"/>
    <w:rsid w:val="007A45DD"/>
    <w:rsid w:val="007A7013"/>
    <w:rsid w:val="007B0478"/>
    <w:rsid w:val="007B41FD"/>
    <w:rsid w:val="007B4F96"/>
    <w:rsid w:val="007B540F"/>
    <w:rsid w:val="007B5E56"/>
    <w:rsid w:val="007C1BA2"/>
    <w:rsid w:val="007C2B48"/>
    <w:rsid w:val="007C4AC5"/>
    <w:rsid w:val="007C6C2E"/>
    <w:rsid w:val="007D03F9"/>
    <w:rsid w:val="007D1026"/>
    <w:rsid w:val="007D1486"/>
    <w:rsid w:val="007D20E9"/>
    <w:rsid w:val="007D45DD"/>
    <w:rsid w:val="007D5B94"/>
    <w:rsid w:val="007D7881"/>
    <w:rsid w:val="007D7E3A"/>
    <w:rsid w:val="007E0E10"/>
    <w:rsid w:val="007E110D"/>
    <w:rsid w:val="007E1CCB"/>
    <w:rsid w:val="007E2DEA"/>
    <w:rsid w:val="007E4036"/>
    <w:rsid w:val="007E4485"/>
    <w:rsid w:val="007E4768"/>
    <w:rsid w:val="007E4F50"/>
    <w:rsid w:val="007E66E9"/>
    <w:rsid w:val="007E777B"/>
    <w:rsid w:val="007F1480"/>
    <w:rsid w:val="007F1E4E"/>
    <w:rsid w:val="007F2070"/>
    <w:rsid w:val="007F63C1"/>
    <w:rsid w:val="007F6EFB"/>
    <w:rsid w:val="007F7F66"/>
    <w:rsid w:val="00801971"/>
    <w:rsid w:val="00802240"/>
    <w:rsid w:val="0080531D"/>
    <w:rsid w:val="008053E7"/>
    <w:rsid w:val="008053F5"/>
    <w:rsid w:val="008066F7"/>
    <w:rsid w:val="00806724"/>
    <w:rsid w:val="00807AF7"/>
    <w:rsid w:val="00810198"/>
    <w:rsid w:val="008108A1"/>
    <w:rsid w:val="00811150"/>
    <w:rsid w:val="008147D1"/>
    <w:rsid w:val="00815DA8"/>
    <w:rsid w:val="00817E21"/>
    <w:rsid w:val="0082085A"/>
    <w:rsid w:val="0082194D"/>
    <w:rsid w:val="008221F9"/>
    <w:rsid w:val="00824ABF"/>
    <w:rsid w:val="00826EF5"/>
    <w:rsid w:val="00831693"/>
    <w:rsid w:val="008356CA"/>
    <w:rsid w:val="00835FB7"/>
    <w:rsid w:val="00840104"/>
    <w:rsid w:val="00840C1F"/>
    <w:rsid w:val="008411C9"/>
    <w:rsid w:val="00841FC5"/>
    <w:rsid w:val="00843D0F"/>
    <w:rsid w:val="00845544"/>
    <w:rsid w:val="00845709"/>
    <w:rsid w:val="00845FD7"/>
    <w:rsid w:val="00847265"/>
    <w:rsid w:val="008532E7"/>
    <w:rsid w:val="00853629"/>
    <w:rsid w:val="008551BE"/>
    <w:rsid w:val="00855FAE"/>
    <w:rsid w:val="008576BD"/>
    <w:rsid w:val="00860463"/>
    <w:rsid w:val="008605E3"/>
    <w:rsid w:val="008619F0"/>
    <w:rsid w:val="008620FA"/>
    <w:rsid w:val="00862DCB"/>
    <w:rsid w:val="00862F34"/>
    <w:rsid w:val="0086471A"/>
    <w:rsid w:val="00864A73"/>
    <w:rsid w:val="00864AAA"/>
    <w:rsid w:val="00864D76"/>
    <w:rsid w:val="00865887"/>
    <w:rsid w:val="008660FA"/>
    <w:rsid w:val="008672E3"/>
    <w:rsid w:val="008701FD"/>
    <w:rsid w:val="00871400"/>
    <w:rsid w:val="00871E67"/>
    <w:rsid w:val="0087204F"/>
    <w:rsid w:val="008733DA"/>
    <w:rsid w:val="00873C51"/>
    <w:rsid w:val="0088345B"/>
    <w:rsid w:val="00884C54"/>
    <w:rsid w:val="0088500A"/>
    <w:rsid w:val="008850E4"/>
    <w:rsid w:val="0088577E"/>
    <w:rsid w:val="008930ED"/>
    <w:rsid w:val="008938DA"/>
    <w:rsid w:val="008939AB"/>
    <w:rsid w:val="0089454A"/>
    <w:rsid w:val="008A12F5"/>
    <w:rsid w:val="008A13AB"/>
    <w:rsid w:val="008A5BF4"/>
    <w:rsid w:val="008A626D"/>
    <w:rsid w:val="008B1587"/>
    <w:rsid w:val="008B1B01"/>
    <w:rsid w:val="008B1F44"/>
    <w:rsid w:val="008B345B"/>
    <w:rsid w:val="008B3BCD"/>
    <w:rsid w:val="008B6DF8"/>
    <w:rsid w:val="008B7CD3"/>
    <w:rsid w:val="008C106C"/>
    <w:rsid w:val="008C10F1"/>
    <w:rsid w:val="008C1926"/>
    <w:rsid w:val="008C1E99"/>
    <w:rsid w:val="008C1EA3"/>
    <w:rsid w:val="008C262C"/>
    <w:rsid w:val="008C2716"/>
    <w:rsid w:val="008C2CC0"/>
    <w:rsid w:val="008C5CD8"/>
    <w:rsid w:val="008C6AAE"/>
    <w:rsid w:val="008D0354"/>
    <w:rsid w:val="008D05E2"/>
    <w:rsid w:val="008D4505"/>
    <w:rsid w:val="008D4AA9"/>
    <w:rsid w:val="008D5E6B"/>
    <w:rsid w:val="008D7764"/>
    <w:rsid w:val="008D7A63"/>
    <w:rsid w:val="008E0085"/>
    <w:rsid w:val="008E07C7"/>
    <w:rsid w:val="008E0F50"/>
    <w:rsid w:val="008E2AA6"/>
    <w:rsid w:val="008E2F9A"/>
    <w:rsid w:val="008E311B"/>
    <w:rsid w:val="008E3543"/>
    <w:rsid w:val="008E7691"/>
    <w:rsid w:val="008F2DE9"/>
    <w:rsid w:val="008F46E7"/>
    <w:rsid w:val="008F5668"/>
    <w:rsid w:val="008F64CA"/>
    <w:rsid w:val="008F6999"/>
    <w:rsid w:val="008F6F0B"/>
    <w:rsid w:val="008F7E4B"/>
    <w:rsid w:val="00900901"/>
    <w:rsid w:val="00901C2A"/>
    <w:rsid w:val="00907169"/>
    <w:rsid w:val="00907524"/>
    <w:rsid w:val="00907BA7"/>
    <w:rsid w:val="0091064E"/>
    <w:rsid w:val="00911FC5"/>
    <w:rsid w:val="00913BC1"/>
    <w:rsid w:val="00915503"/>
    <w:rsid w:val="00917CF2"/>
    <w:rsid w:val="00920FAF"/>
    <w:rsid w:val="00921F5B"/>
    <w:rsid w:val="00926BE8"/>
    <w:rsid w:val="00930B6E"/>
    <w:rsid w:val="00931A10"/>
    <w:rsid w:val="009342CD"/>
    <w:rsid w:val="009342F2"/>
    <w:rsid w:val="00942F91"/>
    <w:rsid w:val="00944C7E"/>
    <w:rsid w:val="009452BD"/>
    <w:rsid w:val="00945794"/>
    <w:rsid w:val="009470C7"/>
    <w:rsid w:val="00947967"/>
    <w:rsid w:val="00951210"/>
    <w:rsid w:val="00952659"/>
    <w:rsid w:val="00952E52"/>
    <w:rsid w:val="009546FD"/>
    <w:rsid w:val="00955201"/>
    <w:rsid w:val="00957018"/>
    <w:rsid w:val="00960672"/>
    <w:rsid w:val="00965200"/>
    <w:rsid w:val="009652E8"/>
    <w:rsid w:val="00965502"/>
    <w:rsid w:val="009668B3"/>
    <w:rsid w:val="00970EB0"/>
    <w:rsid w:val="00971471"/>
    <w:rsid w:val="00974B3C"/>
    <w:rsid w:val="009810E1"/>
    <w:rsid w:val="0098111C"/>
    <w:rsid w:val="00981CAF"/>
    <w:rsid w:val="009849C2"/>
    <w:rsid w:val="00984D24"/>
    <w:rsid w:val="009858EB"/>
    <w:rsid w:val="00986437"/>
    <w:rsid w:val="009869A6"/>
    <w:rsid w:val="00990EA8"/>
    <w:rsid w:val="009935A1"/>
    <w:rsid w:val="0099476C"/>
    <w:rsid w:val="00997351"/>
    <w:rsid w:val="009A06F5"/>
    <w:rsid w:val="009A1540"/>
    <w:rsid w:val="009A3014"/>
    <w:rsid w:val="009A3961"/>
    <w:rsid w:val="009A39C7"/>
    <w:rsid w:val="009A3F47"/>
    <w:rsid w:val="009A5019"/>
    <w:rsid w:val="009B0046"/>
    <w:rsid w:val="009B1002"/>
    <w:rsid w:val="009B1BC9"/>
    <w:rsid w:val="009B2717"/>
    <w:rsid w:val="009B399C"/>
    <w:rsid w:val="009B3FD0"/>
    <w:rsid w:val="009B4A2D"/>
    <w:rsid w:val="009C1440"/>
    <w:rsid w:val="009C2107"/>
    <w:rsid w:val="009C35E0"/>
    <w:rsid w:val="009C5D9E"/>
    <w:rsid w:val="009C7F86"/>
    <w:rsid w:val="009D0E1E"/>
    <w:rsid w:val="009D2C3E"/>
    <w:rsid w:val="009D2DA1"/>
    <w:rsid w:val="009D3177"/>
    <w:rsid w:val="009D350C"/>
    <w:rsid w:val="009D4547"/>
    <w:rsid w:val="009E0625"/>
    <w:rsid w:val="009E3034"/>
    <w:rsid w:val="009E549F"/>
    <w:rsid w:val="009E6362"/>
    <w:rsid w:val="009E7FAB"/>
    <w:rsid w:val="009F28A8"/>
    <w:rsid w:val="009F4023"/>
    <w:rsid w:val="009F4487"/>
    <w:rsid w:val="009F473E"/>
    <w:rsid w:val="009F5247"/>
    <w:rsid w:val="009F682A"/>
    <w:rsid w:val="00A000A8"/>
    <w:rsid w:val="00A022BE"/>
    <w:rsid w:val="00A05B8B"/>
    <w:rsid w:val="00A07B4B"/>
    <w:rsid w:val="00A14EC7"/>
    <w:rsid w:val="00A15784"/>
    <w:rsid w:val="00A2273B"/>
    <w:rsid w:val="00A24C95"/>
    <w:rsid w:val="00A25756"/>
    <w:rsid w:val="00A2599A"/>
    <w:rsid w:val="00A26094"/>
    <w:rsid w:val="00A301BF"/>
    <w:rsid w:val="00A302B2"/>
    <w:rsid w:val="00A30A64"/>
    <w:rsid w:val="00A331B4"/>
    <w:rsid w:val="00A34086"/>
    <w:rsid w:val="00A3484E"/>
    <w:rsid w:val="00A34DE2"/>
    <w:rsid w:val="00A356D3"/>
    <w:rsid w:val="00A35B44"/>
    <w:rsid w:val="00A35DCF"/>
    <w:rsid w:val="00A36ADA"/>
    <w:rsid w:val="00A37B97"/>
    <w:rsid w:val="00A37C4D"/>
    <w:rsid w:val="00A438D8"/>
    <w:rsid w:val="00A473F5"/>
    <w:rsid w:val="00A51AFD"/>
    <w:rsid w:val="00A51F98"/>
    <w:rsid w:val="00A51F9D"/>
    <w:rsid w:val="00A52EDB"/>
    <w:rsid w:val="00A537C7"/>
    <w:rsid w:val="00A5416A"/>
    <w:rsid w:val="00A57BE5"/>
    <w:rsid w:val="00A60370"/>
    <w:rsid w:val="00A60703"/>
    <w:rsid w:val="00A615AF"/>
    <w:rsid w:val="00A6206F"/>
    <w:rsid w:val="00A6354A"/>
    <w:rsid w:val="00A635CD"/>
    <w:rsid w:val="00A63990"/>
    <w:rsid w:val="00A639F4"/>
    <w:rsid w:val="00A64467"/>
    <w:rsid w:val="00A65864"/>
    <w:rsid w:val="00A65FAE"/>
    <w:rsid w:val="00A67008"/>
    <w:rsid w:val="00A721AE"/>
    <w:rsid w:val="00A73229"/>
    <w:rsid w:val="00A80E60"/>
    <w:rsid w:val="00A81A32"/>
    <w:rsid w:val="00A81F70"/>
    <w:rsid w:val="00A835BD"/>
    <w:rsid w:val="00A83F78"/>
    <w:rsid w:val="00A87576"/>
    <w:rsid w:val="00A87C15"/>
    <w:rsid w:val="00A903D2"/>
    <w:rsid w:val="00A916BA"/>
    <w:rsid w:val="00A941D3"/>
    <w:rsid w:val="00A9423D"/>
    <w:rsid w:val="00A97449"/>
    <w:rsid w:val="00A97B15"/>
    <w:rsid w:val="00AA0DE8"/>
    <w:rsid w:val="00AA14DA"/>
    <w:rsid w:val="00AA1580"/>
    <w:rsid w:val="00AA21E1"/>
    <w:rsid w:val="00AA39B6"/>
    <w:rsid w:val="00AA42D5"/>
    <w:rsid w:val="00AA61A2"/>
    <w:rsid w:val="00AB263C"/>
    <w:rsid w:val="00AB26CA"/>
    <w:rsid w:val="00AB2B48"/>
    <w:rsid w:val="00AB2FAB"/>
    <w:rsid w:val="00AB5C14"/>
    <w:rsid w:val="00AB7730"/>
    <w:rsid w:val="00AC1EE7"/>
    <w:rsid w:val="00AC333F"/>
    <w:rsid w:val="00AC4DE7"/>
    <w:rsid w:val="00AC585C"/>
    <w:rsid w:val="00AC73EF"/>
    <w:rsid w:val="00AC79BA"/>
    <w:rsid w:val="00AD05B8"/>
    <w:rsid w:val="00AD1925"/>
    <w:rsid w:val="00AD78E6"/>
    <w:rsid w:val="00AE067D"/>
    <w:rsid w:val="00AE06A7"/>
    <w:rsid w:val="00AE41F2"/>
    <w:rsid w:val="00AF1181"/>
    <w:rsid w:val="00AF2F79"/>
    <w:rsid w:val="00AF4653"/>
    <w:rsid w:val="00AF5109"/>
    <w:rsid w:val="00AF5FB3"/>
    <w:rsid w:val="00AF7DB7"/>
    <w:rsid w:val="00B03E3A"/>
    <w:rsid w:val="00B04424"/>
    <w:rsid w:val="00B076DA"/>
    <w:rsid w:val="00B10BED"/>
    <w:rsid w:val="00B10D02"/>
    <w:rsid w:val="00B11FB4"/>
    <w:rsid w:val="00B13283"/>
    <w:rsid w:val="00B13492"/>
    <w:rsid w:val="00B16192"/>
    <w:rsid w:val="00B1654F"/>
    <w:rsid w:val="00B17A17"/>
    <w:rsid w:val="00B201E2"/>
    <w:rsid w:val="00B206D2"/>
    <w:rsid w:val="00B212B3"/>
    <w:rsid w:val="00B22A80"/>
    <w:rsid w:val="00B301C6"/>
    <w:rsid w:val="00B3138A"/>
    <w:rsid w:val="00B342E4"/>
    <w:rsid w:val="00B3640A"/>
    <w:rsid w:val="00B3678F"/>
    <w:rsid w:val="00B427C1"/>
    <w:rsid w:val="00B434B3"/>
    <w:rsid w:val="00B443E4"/>
    <w:rsid w:val="00B450DB"/>
    <w:rsid w:val="00B54763"/>
    <w:rsid w:val="00B5484D"/>
    <w:rsid w:val="00B56272"/>
    <w:rsid w:val="00B563EA"/>
    <w:rsid w:val="00B56CDF"/>
    <w:rsid w:val="00B57BD0"/>
    <w:rsid w:val="00B60DD9"/>
    <w:rsid w:val="00B60E51"/>
    <w:rsid w:val="00B62F88"/>
    <w:rsid w:val="00B63636"/>
    <w:rsid w:val="00B63A54"/>
    <w:rsid w:val="00B66653"/>
    <w:rsid w:val="00B679DF"/>
    <w:rsid w:val="00B72C9F"/>
    <w:rsid w:val="00B7350A"/>
    <w:rsid w:val="00B74259"/>
    <w:rsid w:val="00B767FE"/>
    <w:rsid w:val="00B77D18"/>
    <w:rsid w:val="00B81CB5"/>
    <w:rsid w:val="00B8313A"/>
    <w:rsid w:val="00B913F9"/>
    <w:rsid w:val="00B92F3A"/>
    <w:rsid w:val="00B93503"/>
    <w:rsid w:val="00BA2D35"/>
    <w:rsid w:val="00BA31E8"/>
    <w:rsid w:val="00BA55E0"/>
    <w:rsid w:val="00BA6BD4"/>
    <w:rsid w:val="00BA6C7A"/>
    <w:rsid w:val="00BB17D1"/>
    <w:rsid w:val="00BB3752"/>
    <w:rsid w:val="00BB3C1D"/>
    <w:rsid w:val="00BB6688"/>
    <w:rsid w:val="00BB7964"/>
    <w:rsid w:val="00BC26D4"/>
    <w:rsid w:val="00BC62E0"/>
    <w:rsid w:val="00BC6544"/>
    <w:rsid w:val="00BC7383"/>
    <w:rsid w:val="00BD4230"/>
    <w:rsid w:val="00BD5FA2"/>
    <w:rsid w:val="00BD65BE"/>
    <w:rsid w:val="00BD7FC2"/>
    <w:rsid w:val="00BE0C80"/>
    <w:rsid w:val="00BE2D53"/>
    <w:rsid w:val="00BE3836"/>
    <w:rsid w:val="00BE47DA"/>
    <w:rsid w:val="00BF2A42"/>
    <w:rsid w:val="00BF2C37"/>
    <w:rsid w:val="00BF42E2"/>
    <w:rsid w:val="00BF7D33"/>
    <w:rsid w:val="00C02D68"/>
    <w:rsid w:val="00C03373"/>
    <w:rsid w:val="00C03D8C"/>
    <w:rsid w:val="00C0462E"/>
    <w:rsid w:val="00C05042"/>
    <w:rsid w:val="00C0521B"/>
    <w:rsid w:val="00C055EC"/>
    <w:rsid w:val="00C10DC9"/>
    <w:rsid w:val="00C12FB3"/>
    <w:rsid w:val="00C17341"/>
    <w:rsid w:val="00C223FC"/>
    <w:rsid w:val="00C22500"/>
    <w:rsid w:val="00C24EEF"/>
    <w:rsid w:val="00C24FD7"/>
    <w:rsid w:val="00C2573D"/>
    <w:rsid w:val="00C25CF6"/>
    <w:rsid w:val="00C26C36"/>
    <w:rsid w:val="00C27F3F"/>
    <w:rsid w:val="00C3091D"/>
    <w:rsid w:val="00C32768"/>
    <w:rsid w:val="00C367E2"/>
    <w:rsid w:val="00C409F6"/>
    <w:rsid w:val="00C431DF"/>
    <w:rsid w:val="00C456BD"/>
    <w:rsid w:val="00C460B3"/>
    <w:rsid w:val="00C50817"/>
    <w:rsid w:val="00C51628"/>
    <w:rsid w:val="00C530DC"/>
    <w:rsid w:val="00C5338C"/>
    <w:rsid w:val="00C5350D"/>
    <w:rsid w:val="00C53534"/>
    <w:rsid w:val="00C54E2C"/>
    <w:rsid w:val="00C5569D"/>
    <w:rsid w:val="00C6123C"/>
    <w:rsid w:val="00C61F88"/>
    <w:rsid w:val="00C6311A"/>
    <w:rsid w:val="00C65562"/>
    <w:rsid w:val="00C7024C"/>
    <w:rsid w:val="00C7084D"/>
    <w:rsid w:val="00C708FD"/>
    <w:rsid w:val="00C7315E"/>
    <w:rsid w:val="00C733DB"/>
    <w:rsid w:val="00C73DBE"/>
    <w:rsid w:val="00C75895"/>
    <w:rsid w:val="00C75A1B"/>
    <w:rsid w:val="00C817BF"/>
    <w:rsid w:val="00C81C43"/>
    <w:rsid w:val="00C83C9F"/>
    <w:rsid w:val="00C84760"/>
    <w:rsid w:val="00C90785"/>
    <w:rsid w:val="00C912CB"/>
    <w:rsid w:val="00C920A7"/>
    <w:rsid w:val="00C94840"/>
    <w:rsid w:val="00C9575C"/>
    <w:rsid w:val="00C96DB0"/>
    <w:rsid w:val="00C97A5B"/>
    <w:rsid w:val="00CA24AC"/>
    <w:rsid w:val="00CA2715"/>
    <w:rsid w:val="00CA3A09"/>
    <w:rsid w:val="00CA4EE3"/>
    <w:rsid w:val="00CA681D"/>
    <w:rsid w:val="00CB027F"/>
    <w:rsid w:val="00CB7ADE"/>
    <w:rsid w:val="00CC0E1B"/>
    <w:rsid w:val="00CC0EBB"/>
    <w:rsid w:val="00CC25B7"/>
    <w:rsid w:val="00CC27E9"/>
    <w:rsid w:val="00CC31B5"/>
    <w:rsid w:val="00CC3918"/>
    <w:rsid w:val="00CC6297"/>
    <w:rsid w:val="00CC7690"/>
    <w:rsid w:val="00CD13C5"/>
    <w:rsid w:val="00CD1986"/>
    <w:rsid w:val="00CD26DC"/>
    <w:rsid w:val="00CD2F2F"/>
    <w:rsid w:val="00CD54BF"/>
    <w:rsid w:val="00CD5723"/>
    <w:rsid w:val="00CE2215"/>
    <w:rsid w:val="00CE2F27"/>
    <w:rsid w:val="00CE4D5C"/>
    <w:rsid w:val="00CE6D5A"/>
    <w:rsid w:val="00CF05DA"/>
    <w:rsid w:val="00CF57AE"/>
    <w:rsid w:val="00CF58EB"/>
    <w:rsid w:val="00CF6FEC"/>
    <w:rsid w:val="00D00E82"/>
    <w:rsid w:val="00D0106E"/>
    <w:rsid w:val="00D02150"/>
    <w:rsid w:val="00D03960"/>
    <w:rsid w:val="00D06383"/>
    <w:rsid w:val="00D07EE2"/>
    <w:rsid w:val="00D1057C"/>
    <w:rsid w:val="00D140DF"/>
    <w:rsid w:val="00D14855"/>
    <w:rsid w:val="00D1554F"/>
    <w:rsid w:val="00D20E85"/>
    <w:rsid w:val="00D24615"/>
    <w:rsid w:val="00D2617F"/>
    <w:rsid w:val="00D31F6A"/>
    <w:rsid w:val="00D333C3"/>
    <w:rsid w:val="00D34ABE"/>
    <w:rsid w:val="00D3520E"/>
    <w:rsid w:val="00D3693B"/>
    <w:rsid w:val="00D37842"/>
    <w:rsid w:val="00D428F7"/>
    <w:rsid w:val="00D42DC2"/>
    <w:rsid w:val="00D4302B"/>
    <w:rsid w:val="00D43D9D"/>
    <w:rsid w:val="00D46163"/>
    <w:rsid w:val="00D46AE3"/>
    <w:rsid w:val="00D47F3E"/>
    <w:rsid w:val="00D50D3D"/>
    <w:rsid w:val="00D51A16"/>
    <w:rsid w:val="00D537E1"/>
    <w:rsid w:val="00D55BB2"/>
    <w:rsid w:val="00D6091A"/>
    <w:rsid w:val="00D628DF"/>
    <w:rsid w:val="00D6605A"/>
    <w:rsid w:val="00D6695F"/>
    <w:rsid w:val="00D742C9"/>
    <w:rsid w:val="00D75644"/>
    <w:rsid w:val="00D757BA"/>
    <w:rsid w:val="00D77C9C"/>
    <w:rsid w:val="00D77F7A"/>
    <w:rsid w:val="00D81656"/>
    <w:rsid w:val="00D83016"/>
    <w:rsid w:val="00D83A60"/>
    <w:rsid w:val="00D83D87"/>
    <w:rsid w:val="00D84A6D"/>
    <w:rsid w:val="00D86A30"/>
    <w:rsid w:val="00D93FF6"/>
    <w:rsid w:val="00D9683C"/>
    <w:rsid w:val="00D97CB4"/>
    <w:rsid w:val="00D97DD4"/>
    <w:rsid w:val="00DA2B92"/>
    <w:rsid w:val="00DA5A8A"/>
    <w:rsid w:val="00DA6523"/>
    <w:rsid w:val="00DA6A32"/>
    <w:rsid w:val="00DB1170"/>
    <w:rsid w:val="00DB26CD"/>
    <w:rsid w:val="00DB441C"/>
    <w:rsid w:val="00DB44AF"/>
    <w:rsid w:val="00DB4A93"/>
    <w:rsid w:val="00DB56C6"/>
    <w:rsid w:val="00DC1048"/>
    <w:rsid w:val="00DC1E7E"/>
    <w:rsid w:val="00DC1F58"/>
    <w:rsid w:val="00DC2FA4"/>
    <w:rsid w:val="00DC339B"/>
    <w:rsid w:val="00DC5323"/>
    <w:rsid w:val="00DC5D40"/>
    <w:rsid w:val="00DC69A7"/>
    <w:rsid w:val="00DD30E9"/>
    <w:rsid w:val="00DD4F47"/>
    <w:rsid w:val="00DD5AF0"/>
    <w:rsid w:val="00DD6130"/>
    <w:rsid w:val="00DD7FBB"/>
    <w:rsid w:val="00DE0B9F"/>
    <w:rsid w:val="00DE2847"/>
    <w:rsid w:val="00DE2A9E"/>
    <w:rsid w:val="00DE4238"/>
    <w:rsid w:val="00DE4907"/>
    <w:rsid w:val="00DE4F3D"/>
    <w:rsid w:val="00DE5DC8"/>
    <w:rsid w:val="00DE657F"/>
    <w:rsid w:val="00DF1218"/>
    <w:rsid w:val="00DF1F05"/>
    <w:rsid w:val="00DF21BB"/>
    <w:rsid w:val="00DF541C"/>
    <w:rsid w:val="00DF5A00"/>
    <w:rsid w:val="00DF6462"/>
    <w:rsid w:val="00E00F4B"/>
    <w:rsid w:val="00E02FA0"/>
    <w:rsid w:val="00E036DC"/>
    <w:rsid w:val="00E063AF"/>
    <w:rsid w:val="00E06CC5"/>
    <w:rsid w:val="00E079F3"/>
    <w:rsid w:val="00E10454"/>
    <w:rsid w:val="00E1123D"/>
    <w:rsid w:val="00E112E5"/>
    <w:rsid w:val="00E11C2B"/>
    <w:rsid w:val="00E11E77"/>
    <w:rsid w:val="00E122D8"/>
    <w:rsid w:val="00E12CC8"/>
    <w:rsid w:val="00E1480D"/>
    <w:rsid w:val="00E15352"/>
    <w:rsid w:val="00E20431"/>
    <w:rsid w:val="00E213FA"/>
    <w:rsid w:val="00E21CC7"/>
    <w:rsid w:val="00E24D9E"/>
    <w:rsid w:val="00E24EB7"/>
    <w:rsid w:val="00E25849"/>
    <w:rsid w:val="00E262A9"/>
    <w:rsid w:val="00E2633A"/>
    <w:rsid w:val="00E266E8"/>
    <w:rsid w:val="00E30344"/>
    <w:rsid w:val="00E3197E"/>
    <w:rsid w:val="00E342F8"/>
    <w:rsid w:val="00E351ED"/>
    <w:rsid w:val="00E35BB8"/>
    <w:rsid w:val="00E42102"/>
    <w:rsid w:val="00E42B19"/>
    <w:rsid w:val="00E42F0F"/>
    <w:rsid w:val="00E4333A"/>
    <w:rsid w:val="00E456E4"/>
    <w:rsid w:val="00E46FE2"/>
    <w:rsid w:val="00E47721"/>
    <w:rsid w:val="00E532DE"/>
    <w:rsid w:val="00E533B5"/>
    <w:rsid w:val="00E6034B"/>
    <w:rsid w:val="00E637A9"/>
    <w:rsid w:val="00E649D2"/>
    <w:rsid w:val="00E6549E"/>
    <w:rsid w:val="00E65A50"/>
    <w:rsid w:val="00E65EDE"/>
    <w:rsid w:val="00E706A6"/>
    <w:rsid w:val="00E70F81"/>
    <w:rsid w:val="00E720CC"/>
    <w:rsid w:val="00E73E1D"/>
    <w:rsid w:val="00E74E9C"/>
    <w:rsid w:val="00E75335"/>
    <w:rsid w:val="00E77055"/>
    <w:rsid w:val="00E77460"/>
    <w:rsid w:val="00E80C37"/>
    <w:rsid w:val="00E83ABC"/>
    <w:rsid w:val="00E844F2"/>
    <w:rsid w:val="00E84FE7"/>
    <w:rsid w:val="00E86943"/>
    <w:rsid w:val="00E86DE8"/>
    <w:rsid w:val="00E9059D"/>
    <w:rsid w:val="00E90AD0"/>
    <w:rsid w:val="00E92FCB"/>
    <w:rsid w:val="00EA053F"/>
    <w:rsid w:val="00EA147F"/>
    <w:rsid w:val="00EA14DC"/>
    <w:rsid w:val="00EA4A18"/>
    <w:rsid w:val="00EA4A27"/>
    <w:rsid w:val="00EA4FA6"/>
    <w:rsid w:val="00EA6DE9"/>
    <w:rsid w:val="00EB1A25"/>
    <w:rsid w:val="00EC12BE"/>
    <w:rsid w:val="00EC149F"/>
    <w:rsid w:val="00EC401E"/>
    <w:rsid w:val="00EC596F"/>
    <w:rsid w:val="00EC64AB"/>
    <w:rsid w:val="00EC6E35"/>
    <w:rsid w:val="00EC7363"/>
    <w:rsid w:val="00ED03AB"/>
    <w:rsid w:val="00ED1963"/>
    <w:rsid w:val="00ED1CD4"/>
    <w:rsid w:val="00ED1D2B"/>
    <w:rsid w:val="00ED2CAE"/>
    <w:rsid w:val="00ED53F8"/>
    <w:rsid w:val="00ED64B5"/>
    <w:rsid w:val="00ED6FAD"/>
    <w:rsid w:val="00EE3FE6"/>
    <w:rsid w:val="00EE6C3D"/>
    <w:rsid w:val="00EE722A"/>
    <w:rsid w:val="00EE7CCA"/>
    <w:rsid w:val="00EF1414"/>
    <w:rsid w:val="00EF1A92"/>
    <w:rsid w:val="00EF3E33"/>
    <w:rsid w:val="00EF6D32"/>
    <w:rsid w:val="00F00AA9"/>
    <w:rsid w:val="00F00C26"/>
    <w:rsid w:val="00F033A3"/>
    <w:rsid w:val="00F057BB"/>
    <w:rsid w:val="00F06E53"/>
    <w:rsid w:val="00F10009"/>
    <w:rsid w:val="00F107FF"/>
    <w:rsid w:val="00F14179"/>
    <w:rsid w:val="00F150A3"/>
    <w:rsid w:val="00F154FE"/>
    <w:rsid w:val="00F1628E"/>
    <w:rsid w:val="00F16A14"/>
    <w:rsid w:val="00F200C6"/>
    <w:rsid w:val="00F23F13"/>
    <w:rsid w:val="00F24329"/>
    <w:rsid w:val="00F274DC"/>
    <w:rsid w:val="00F32164"/>
    <w:rsid w:val="00F35A30"/>
    <w:rsid w:val="00F362D7"/>
    <w:rsid w:val="00F37D7B"/>
    <w:rsid w:val="00F42890"/>
    <w:rsid w:val="00F505D7"/>
    <w:rsid w:val="00F518D4"/>
    <w:rsid w:val="00F5314C"/>
    <w:rsid w:val="00F5688C"/>
    <w:rsid w:val="00F56966"/>
    <w:rsid w:val="00F56AE7"/>
    <w:rsid w:val="00F60048"/>
    <w:rsid w:val="00F635DD"/>
    <w:rsid w:val="00F65C24"/>
    <w:rsid w:val="00F6627B"/>
    <w:rsid w:val="00F66AD6"/>
    <w:rsid w:val="00F7336E"/>
    <w:rsid w:val="00F734F2"/>
    <w:rsid w:val="00F75052"/>
    <w:rsid w:val="00F77627"/>
    <w:rsid w:val="00F804D3"/>
    <w:rsid w:val="00F816CB"/>
    <w:rsid w:val="00F8199B"/>
    <w:rsid w:val="00F81CD2"/>
    <w:rsid w:val="00F8215E"/>
    <w:rsid w:val="00F82641"/>
    <w:rsid w:val="00F85EF7"/>
    <w:rsid w:val="00F8687B"/>
    <w:rsid w:val="00F870CF"/>
    <w:rsid w:val="00F87C9F"/>
    <w:rsid w:val="00F90268"/>
    <w:rsid w:val="00F90CC3"/>
    <w:rsid w:val="00F90F18"/>
    <w:rsid w:val="00F92865"/>
    <w:rsid w:val="00F937E4"/>
    <w:rsid w:val="00F95EE7"/>
    <w:rsid w:val="00F97A7C"/>
    <w:rsid w:val="00FA39E6"/>
    <w:rsid w:val="00FA711D"/>
    <w:rsid w:val="00FA7962"/>
    <w:rsid w:val="00FA7BC9"/>
    <w:rsid w:val="00FB3466"/>
    <w:rsid w:val="00FB378E"/>
    <w:rsid w:val="00FB37F1"/>
    <w:rsid w:val="00FB47C0"/>
    <w:rsid w:val="00FB501B"/>
    <w:rsid w:val="00FB719A"/>
    <w:rsid w:val="00FB7770"/>
    <w:rsid w:val="00FC3027"/>
    <w:rsid w:val="00FD24D4"/>
    <w:rsid w:val="00FD2C40"/>
    <w:rsid w:val="00FD3B91"/>
    <w:rsid w:val="00FD576B"/>
    <w:rsid w:val="00FD579E"/>
    <w:rsid w:val="00FD6845"/>
    <w:rsid w:val="00FE090B"/>
    <w:rsid w:val="00FE265F"/>
    <w:rsid w:val="00FE4516"/>
    <w:rsid w:val="00FE4595"/>
    <w:rsid w:val="00FE5D64"/>
    <w:rsid w:val="00FE64C8"/>
    <w:rsid w:val="00FF2B8E"/>
    <w:rsid w:val="00FF40C7"/>
    <w:rsid w:val="00FF46E3"/>
    <w:rsid w:val="00FF7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EF59A"/>
  <w15:docId w15:val="{AE7D0667-E94F-49AC-B302-C7328697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9A06F5"/>
    <w:pPr>
      <w:numPr>
        <w:ilvl w:val="3"/>
        <w:numId w:val="25"/>
      </w:numPr>
      <w:ind w:left="1694" w:hanging="504"/>
      <w:outlineLvl w:val="3"/>
    </w:pPr>
    <w:rPr>
      <w:rFonts w:hAnsi="標楷體" w:cs="DFKaiShu-SB-Estd-BF"/>
      <w:kern w:val="0"/>
      <w:szCs w:val="32"/>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2C3622"/>
    <w:pPr>
      <w:numPr>
        <w:ilvl w:val="5"/>
        <w:numId w:val="25"/>
      </w:numPr>
      <w:tabs>
        <w:tab w:val="left" w:pos="2094"/>
      </w:tabs>
      <w:ind w:left="2380" w:hanging="854"/>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10">
    <w:name w:val="11"/>
    <w:basedOn w:val="2"/>
    <w:link w:val="111"/>
    <w:qFormat/>
    <w:rsid w:val="0074729E"/>
    <w:pPr>
      <w:spacing w:beforeLines="50" w:before="228"/>
      <w:ind w:left="1038" w:hanging="658"/>
    </w:pPr>
    <w:rPr>
      <w:rFonts w:hAnsi="標楷體"/>
      <w:b/>
    </w:rPr>
  </w:style>
  <w:style w:type="character" w:customStyle="1" w:styleId="af9">
    <w:name w:val="清單段落 字元"/>
    <w:basedOn w:val="a7"/>
    <w:link w:val="af8"/>
    <w:uiPriority w:val="34"/>
    <w:rsid w:val="001165BB"/>
    <w:rPr>
      <w:rFonts w:ascii="標楷體" w:eastAsia="標楷體"/>
      <w:kern w:val="2"/>
      <w:sz w:val="32"/>
    </w:rPr>
  </w:style>
  <w:style w:type="character" w:customStyle="1" w:styleId="111">
    <w:name w:val="11 字元"/>
    <w:basedOn w:val="af9"/>
    <w:link w:val="110"/>
    <w:rsid w:val="0074729E"/>
    <w:rPr>
      <w:rFonts w:ascii="標楷體" w:eastAsia="標楷體" w:hAnsi="標楷體"/>
      <w:b/>
      <w:bCs/>
      <w:kern w:val="32"/>
      <w:sz w:val="32"/>
      <w:szCs w:val="48"/>
    </w:rPr>
  </w:style>
  <w:style w:type="character" w:customStyle="1" w:styleId="afe">
    <w:name w:val="內文文字_"/>
    <w:basedOn w:val="a7"/>
    <w:link w:val="aff"/>
    <w:rsid w:val="001165BB"/>
    <w:rPr>
      <w:rFonts w:ascii="細明體" w:eastAsia="細明體" w:hAnsi="細明體" w:cs="細明體"/>
      <w:spacing w:val="30"/>
      <w:sz w:val="29"/>
      <w:szCs w:val="29"/>
      <w:shd w:val="clear" w:color="auto" w:fill="FFFFFF"/>
    </w:rPr>
  </w:style>
  <w:style w:type="character" w:customStyle="1" w:styleId="10pt">
    <w:name w:val="內文文字 + 10 pt"/>
    <w:aliases w:val="間距 1 pt"/>
    <w:basedOn w:val="afe"/>
    <w:rsid w:val="001165BB"/>
    <w:rPr>
      <w:rFonts w:ascii="細明體" w:eastAsia="細明體" w:hAnsi="細明體" w:cs="細明體"/>
      <w:color w:val="000000"/>
      <w:spacing w:val="20"/>
      <w:w w:val="100"/>
      <w:position w:val="0"/>
      <w:sz w:val="20"/>
      <w:szCs w:val="20"/>
      <w:shd w:val="clear" w:color="auto" w:fill="FFFFFF"/>
      <w:lang w:val="ja-JP"/>
    </w:rPr>
  </w:style>
  <w:style w:type="character" w:customStyle="1" w:styleId="TimesNewRoman">
    <w:name w:val="內文文字 + Times New Roman"/>
    <w:aliases w:val="11 pt,間距 0 pt,內文文字 + SimSun,14 pt,內文文字 + 13 pt,內文文字 + Consolas,103 pt,內文文字 + Dotum,13.5 pt,13 pt,間距 -1 pt"/>
    <w:basedOn w:val="afe"/>
    <w:rsid w:val="001165BB"/>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aff">
    <w:name w:val="內文文字"/>
    <w:basedOn w:val="a6"/>
    <w:link w:val="afe"/>
    <w:rsid w:val="001165BB"/>
    <w:pPr>
      <w:shd w:val="clear" w:color="auto" w:fill="FFFFFF"/>
      <w:overflowPunct/>
      <w:autoSpaceDE/>
      <w:autoSpaceDN/>
      <w:spacing w:before="420" w:line="518" w:lineRule="exact"/>
      <w:ind w:hanging="720"/>
      <w:jc w:val="distribute"/>
    </w:pPr>
    <w:rPr>
      <w:rFonts w:ascii="細明體" w:eastAsia="細明體" w:hAnsi="細明體" w:cs="細明體"/>
      <w:spacing w:val="30"/>
      <w:kern w:val="0"/>
      <w:sz w:val="29"/>
      <w:szCs w:val="29"/>
    </w:rPr>
  </w:style>
  <w:style w:type="numbering" w:customStyle="1" w:styleId="LFO40">
    <w:name w:val="LFO40"/>
    <w:basedOn w:val="a9"/>
    <w:rsid w:val="00544E3B"/>
    <w:pPr>
      <w:numPr>
        <w:numId w:val="36"/>
      </w:numPr>
    </w:pPr>
  </w:style>
  <w:style w:type="paragraph" w:styleId="aff0">
    <w:name w:val="footnote text"/>
    <w:basedOn w:val="a6"/>
    <w:link w:val="aff1"/>
    <w:uiPriority w:val="99"/>
    <w:semiHidden/>
    <w:unhideWhenUsed/>
    <w:rsid w:val="0086471A"/>
    <w:pPr>
      <w:snapToGrid w:val="0"/>
      <w:jc w:val="left"/>
    </w:pPr>
    <w:rPr>
      <w:sz w:val="20"/>
    </w:rPr>
  </w:style>
  <w:style w:type="character" w:customStyle="1" w:styleId="aff1">
    <w:name w:val="註腳文字 字元"/>
    <w:basedOn w:val="a7"/>
    <w:link w:val="aff0"/>
    <w:uiPriority w:val="99"/>
    <w:semiHidden/>
    <w:rsid w:val="0086471A"/>
    <w:rPr>
      <w:rFonts w:ascii="標楷體" w:eastAsia="標楷體"/>
      <w:kern w:val="2"/>
    </w:rPr>
  </w:style>
  <w:style w:type="character" w:styleId="aff2">
    <w:name w:val="footnote reference"/>
    <w:basedOn w:val="a7"/>
    <w:uiPriority w:val="99"/>
    <w:unhideWhenUsed/>
    <w:rsid w:val="0086471A"/>
    <w:rPr>
      <w:vertAlign w:val="superscript"/>
    </w:rPr>
  </w:style>
  <w:style w:type="character" w:styleId="aff3">
    <w:name w:val="annotation reference"/>
    <w:basedOn w:val="a7"/>
    <w:uiPriority w:val="99"/>
    <w:semiHidden/>
    <w:unhideWhenUsed/>
    <w:rsid w:val="0022327D"/>
    <w:rPr>
      <w:sz w:val="18"/>
      <w:szCs w:val="18"/>
    </w:rPr>
  </w:style>
  <w:style w:type="paragraph" w:styleId="aff4">
    <w:name w:val="annotation text"/>
    <w:basedOn w:val="a6"/>
    <w:link w:val="aff5"/>
    <w:uiPriority w:val="99"/>
    <w:semiHidden/>
    <w:unhideWhenUsed/>
    <w:rsid w:val="0022327D"/>
    <w:pPr>
      <w:jc w:val="left"/>
    </w:pPr>
  </w:style>
  <w:style w:type="character" w:customStyle="1" w:styleId="aff5">
    <w:name w:val="註解文字 字元"/>
    <w:basedOn w:val="a7"/>
    <w:link w:val="aff4"/>
    <w:uiPriority w:val="99"/>
    <w:semiHidden/>
    <w:rsid w:val="0022327D"/>
    <w:rPr>
      <w:rFonts w:ascii="標楷體" w:eastAsia="標楷體"/>
      <w:kern w:val="2"/>
      <w:sz w:val="32"/>
    </w:rPr>
  </w:style>
  <w:style w:type="paragraph" w:styleId="aff6">
    <w:name w:val="annotation subject"/>
    <w:basedOn w:val="aff4"/>
    <w:next w:val="aff4"/>
    <w:link w:val="aff7"/>
    <w:uiPriority w:val="99"/>
    <w:semiHidden/>
    <w:unhideWhenUsed/>
    <w:rsid w:val="0022327D"/>
    <w:rPr>
      <w:b/>
      <w:bCs/>
    </w:rPr>
  </w:style>
  <w:style w:type="character" w:customStyle="1" w:styleId="aff7">
    <w:name w:val="註解主旨 字元"/>
    <w:basedOn w:val="aff5"/>
    <w:link w:val="aff6"/>
    <w:uiPriority w:val="99"/>
    <w:semiHidden/>
    <w:rsid w:val="0022327D"/>
    <w:rPr>
      <w:rFonts w:ascii="標楷體" w:eastAsia="標楷體"/>
      <w:b/>
      <w:bCs/>
      <w:kern w:val="2"/>
      <w:sz w:val="32"/>
    </w:rPr>
  </w:style>
  <w:style w:type="character" w:customStyle="1" w:styleId="30">
    <w:name w:val="標題 3 字元"/>
    <w:basedOn w:val="a7"/>
    <w:link w:val="3"/>
    <w:rsid w:val="00D02150"/>
    <w:rPr>
      <w:rFonts w:ascii="標楷體" w:eastAsia="標楷體" w:hAnsi="Arial"/>
      <w:bCs/>
      <w:kern w:val="32"/>
      <w:sz w:val="32"/>
      <w:szCs w:val="36"/>
    </w:rPr>
  </w:style>
  <w:style w:type="character" w:customStyle="1" w:styleId="40">
    <w:name w:val="標題 4 字元"/>
    <w:aliases w:val="表格 字元,一 字元"/>
    <w:basedOn w:val="a7"/>
    <w:link w:val="4"/>
    <w:rsid w:val="009A06F5"/>
    <w:rPr>
      <w:rFonts w:ascii="標楷體" w:eastAsia="標楷體" w:hAnsi="標楷體" w:cs="DFKaiShu-SB-Estd-BF"/>
      <w:sz w:val="32"/>
      <w:szCs w:val="32"/>
    </w:rPr>
  </w:style>
  <w:style w:type="character" w:customStyle="1" w:styleId="50">
    <w:name w:val="標題 5 字元"/>
    <w:basedOn w:val="a7"/>
    <w:link w:val="5"/>
    <w:rsid w:val="00D02150"/>
    <w:rPr>
      <w:rFonts w:ascii="標楷體" w:eastAsia="標楷體" w:hAnsi="Arial"/>
      <w:bCs/>
      <w:kern w:val="32"/>
      <w:sz w:val="32"/>
      <w:szCs w:val="36"/>
    </w:rPr>
  </w:style>
  <w:style w:type="character" w:customStyle="1" w:styleId="60">
    <w:name w:val="標題 6 字元"/>
    <w:basedOn w:val="a7"/>
    <w:link w:val="6"/>
    <w:rsid w:val="002C3622"/>
    <w:rPr>
      <w:rFonts w:ascii="標楷體" w:eastAsia="標楷體" w:hAnsi="Arial"/>
      <w:kern w:val="32"/>
      <w:sz w:val="32"/>
      <w:szCs w:val="36"/>
    </w:rPr>
  </w:style>
  <w:style w:type="character" w:customStyle="1" w:styleId="70">
    <w:name w:val="標題 7 字元"/>
    <w:basedOn w:val="a7"/>
    <w:link w:val="7"/>
    <w:rsid w:val="00AB2B48"/>
    <w:rPr>
      <w:rFonts w:ascii="標楷體" w:eastAsia="標楷體" w:hAnsi="Arial"/>
      <w:bCs/>
      <w:kern w:val="32"/>
      <w:sz w:val="32"/>
      <w:szCs w:val="36"/>
    </w:rPr>
  </w:style>
  <w:style w:type="paragraph" w:customStyle="1" w:styleId="Default">
    <w:name w:val="Default"/>
    <w:rsid w:val="00B04424"/>
    <w:pPr>
      <w:widowControl w:val="0"/>
      <w:autoSpaceDE w:val="0"/>
      <w:autoSpaceDN w:val="0"/>
      <w:adjustRightInd w:val="0"/>
    </w:pPr>
    <w:rPr>
      <w:rFonts w:ascii="標楷體" w:hAnsi="標楷體" w:cs="標楷體"/>
      <w:color w:val="000000"/>
      <w:sz w:val="24"/>
      <w:szCs w:val="24"/>
    </w:rPr>
  </w:style>
  <w:style w:type="character" w:customStyle="1" w:styleId="10">
    <w:name w:val="標題 1 字元"/>
    <w:basedOn w:val="a7"/>
    <w:link w:val="1"/>
    <w:rsid w:val="00D93FF6"/>
    <w:rPr>
      <w:rFonts w:ascii="標楷體" w:eastAsia="標楷體" w:hAnsi="Arial"/>
      <w:bCs/>
      <w:kern w:val="32"/>
      <w:sz w:val="32"/>
      <w:szCs w:val="52"/>
    </w:rPr>
  </w:style>
  <w:style w:type="character" w:customStyle="1" w:styleId="ab">
    <w:name w:val="簽名 字元"/>
    <w:basedOn w:val="a7"/>
    <w:link w:val="aa"/>
    <w:semiHidden/>
    <w:rsid w:val="00D93FF6"/>
    <w:rPr>
      <w:rFonts w:ascii="標楷體" w:eastAsia="標楷體"/>
      <w:b/>
      <w:snapToGrid w:val="0"/>
      <w:spacing w:val="10"/>
      <w:kern w:val="2"/>
      <w:sz w:val="36"/>
    </w:rPr>
  </w:style>
  <w:style w:type="character" w:styleId="aff8">
    <w:name w:val="Placeholder Text"/>
    <w:basedOn w:val="a7"/>
    <w:uiPriority w:val="99"/>
    <w:semiHidden/>
    <w:rsid w:val="00952E52"/>
    <w:rPr>
      <w:color w:val="808080"/>
    </w:rPr>
  </w:style>
  <w:style w:type="character" w:customStyle="1" w:styleId="13">
    <w:name w:val="未解析的提及項目1"/>
    <w:basedOn w:val="a7"/>
    <w:uiPriority w:val="99"/>
    <w:semiHidden/>
    <w:unhideWhenUsed/>
    <w:rsid w:val="00A0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84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07508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AFA9-9EF9-45FD-8918-9F266329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36</TotalTime>
  <Pages>42</Pages>
  <Words>3401</Words>
  <Characters>19390</Characters>
  <Application>Microsoft Office Word</Application>
  <DocSecurity>0</DocSecurity>
  <Lines>161</Lines>
  <Paragraphs>45</Paragraphs>
  <ScaleCrop>false</ScaleCrop>
  <Company>cy</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曾莉雯</cp:lastModifiedBy>
  <cp:revision>6</cp:revision>
  <cp:lastPrinted>2023-12-05T05:12:00Z</cp:lastPrinted>
  <dcterms:created xsi:type="dcterms:W3CDTF">2023-12-20T01:10:00Z</dcterms:created>
  <dcterms:modified xsi:type="dcterms:W3CDTF">2023-12-27T07:01:00Z</dcterms:modified>
</cp:coreProperties>
</file>