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CD4" w:rsidRPr="004D141F" w:rsidRDefault="00503CD4" w:rsidP="00503CD4">
      <w:pPr>
        <w:pStyle w:val="a8"/>
      </w:pPr>
      <w:r>
        <w:rPr>
          <w:rFonts w:hint="eastAsia"/>
        </w:rPr>
        <w:t>調查報告</w:t>
      </w:r>
    </w:p>
    <w:p w:rsidR="00503CD4" w:rsidRDefault="00503CD4" w:rsidP="00503CD4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F690E">
        <w:t>據訴，臺灣士林地方檢察署</w:t>
      </w:r>
      <w:bookmarkStart w:id="25" w:name="_Hlk148102871"/>
      <w:r w:rsidRPr="003F690E">
        <w:t>偵辦111年度偵字第</w:t>
      </w:r>
      <w:r w:rsidRPr="003F690E">
        <w:rPr>
          <w:rFonts w:hint="eastAsia"/>
        </w:rPr>
        <w:t>4</w:t>
      </w:r>
      <w:r w:rsidRPr="003F690E">
        <w:t>156號詐欺等案件，疑未詳查</w:t>
      </w:r>
      <w:r w:rsidRPr="003F690E">
        <w:rPr>
          <w:rFonts w:hint="eastAsia"/>
        </w:rPr>
        <w:t>事證及逐案調查，率為不起訴處分</w:t>
      </w:r>
      <w:bookmarkEnd w:id="25"/>
      <w:r w:rsidRPr="003F690E">
        <w:rPr>
          <w:rFonts w:hint="eastAsia"/>
        </w:rPr>
        <w:t>；經聲請再議，復遭</w:t>
      </w:r>
      <w:bookmarkStart w:id="26" w:name="_Hlk148435284"/>
      <w:r w:rsidRPr="003F690E">
        <w:rPr>
          <w:rFonts w:hint="eastAsia"/>
        </w:rPr>
        <w:t>臺灣高等檢察署</w:t>
      </w:r>
      <w:bookmarkEnd w:id="26"/>
      <w:r w:rsidRPr="003F690E">
        <w:rPr>
          <w:rFonts w:hint="eastAsia"/>
        </w:rPr>
        <w:t>1</w:t>
      </w:r>
      <w:r w:rsidRPr="003F690E">
        <w:t>11年度上聲議字第</w:t>
      </w:r>
      <w:r w:rsidRPr="003F690E">
        <w:rPr>
          <w:rFonts w:hint="eastAsia"/>
        </w:rPr>
        <w:t>5</w:t>
      </w:r>
      <w:r w:rsidRPr="003F690E">
        <w:t>155號處分駁回；</w:t>
      </w:r>
      <w:r w:rsidRPr="003F690E">
        <w:rPr>
          <w:rFonts w:hint="eastAsia"/>
        </w:rPr>
        <w:t>嗣聲請交付審判，仍遭</w:t>
      </w:r>
      <w:bookmarkStart w:id="27" w:name="_Hlk147415004"/>
      <w:r w:rsidRPr="003F690E">
        <w:rPr>
          <w:rFonts w:hint="eastAsia"/>
        </w:rPr>
        <w:t>臺灣士林地方法院</w:t>
      </w:r>
      <w:bookmarkEnd w:id="27"/>
      <w:r w:rsidRPr="003F690E">
        <w:rPr>
          <w:rFonts w:hint="eastAsia"/>
        </w:rPr>
        <w:t>1</w:t>
      </w:r>
      <w:r w:rsidRPr="003F690E">
        <w:t>11年度</w:t>
      </w:r>
      <w:r w:rsidRPr="003F690E">
        <w:rPr>
          <w:rFonts w:hint="eastAsia"/>
        </w:rPr>
        <w:t>聲判字第6</w:t>
      </w:r>
      <w:r w:rsidRPr="003F690E">
        <w:t>9號裁定駁回等情案。</w:t>
      </w:r>
    </w:p>
    <w:p w:rsidR="00503CD4" w:rsidRDefault="00503CD4" w:rsidP="00503CD4">
      <w:pPr>
        <w:pStyle w:val="1"/>
        <w:ind w:left="2380" w:hanging="2380"/>
      </w:pPr>
      <w:bookmarkStart w:id="28" w:name="_Toc524895646"/>
      <w:bookmarkStart w:id="29" w:name="_Toc524896192"/>
      <w:bookmarkStart w:id="30" w:name="_Toc524896222"/>
      <w:bookmarkStart w:id="31" w:name="_Toc524902729"/>
      <w:bookmarkStart w:id="32" w:name="_Toc525066145"/>
      <w:bookmarkStart w:id="33" w:name="_Toc525070836"/>
      <w:bookmarkStart w:id="34" w:name="_Toc525938376"/>
      <w:bookmarkStart w:id="35" w:name="_Toc525939224"/>
      <w:bookmarkStart w:id="36" w:name="_Toc525939729"/>
      <w:bookmarkStart w:id="37" w:name="_Toc529218269"/>
      <w:bookmarkStart w:id="38" w:name="_Toc529222686"/>
      <w:bookmarkStart w:id="39" w:name="_Toc529223108"/>
      <w:bookmarkStart w:id="40" w:name="_Toc529223859"/>
      <w:bookmarkStart w:id="41" w:name="_Toc529228262"/>
      <w:bookmarkStart w:id="42" w:name="_Toc2400392"/>
      <w:bookmarkStart w:id="43" w:name="_Toc4316186"/>
      <w:bookmarkStart w:id="44" w:name="_Toc4473327"/>
      <w:bookmarkStart w:id="45" w:name="_Toc69556894"/>
      <w:bookmarkStart w:id="46" w:name="_Toc69556943"/>
      <w:bookmarkStart w:id="47" w:name="_Toc69609817"/>
      <w:bookmarkStart w:id="48" w:name="_Toc70241813"/>
      <w:bookmarkStart w:id="49" w:name="_Toc70242202"/>
      <w:bookmarkStart w:id="50" w:name="_Toc421794872"/>
      <w:bookmarkStart w:id="51" w:name="_Toc422834157"/>
      <w:r>
        <w:rPr>
          <w:rFonts w:hint="eastAsia"/>
        </w:rPr>
        <w:t>調查意見：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503CD4" w:rsidRDefault="00503CD4" w:rsidP="00503CD4">
      <w:pPr>
        <w:pStyle w:val="11"/>
        <w:ind w:left="680" w:firstLine="680"/>
      </w:pPr>
      <w:bookmarkStart w:id="52" w:name="_Toc524902730"/>
      <w:r>
        <w:rPr>
          <w:rFonts w:hint="eastAsia"/>
        </w:rPr>
        <w:t>本案緣於民眾陳</w:t>
      </w:r>
      <w:r w:rsidRPr="003A048E">
        <w:rPr>
          <w:rFonts w:hint="eastAsia"/>
        </w:rPr>
        <w:t>訴</w:t>
      </w:r>
      <w:r>
        <w:rPr>
          <w:rFonts w:hAnsi="標楷體" w:hint="eastAsia"/>
        </w:rPr>
        <w:t>：</w:t>
      </w:r>
      <w:r w:rsidRPr="003A048E">
        <w:rPr>
          <w:rFonts w:hint="eastAsia"/>
        </w:rPr>
        <w:t>臺灣士林地方檢察署</w:t>
      </w:r>
      <w:r>
        <w:rPr>
          <w:rFonts w:hAnsi="標楷體" w:hint="eastAsia"/>
        </w:rPr>
        <w:t>(下稱</w:t>
      </w:r>
      <w:r>
        <w:rPr>
          <w:rFonts w:hint="eastAsia"/>
        </w:rPr>
        <w:t>士林地檢署</w:t>
      </w:r>
      <w:r>
        <w:rPr>
          <w:rFonts w:hAnsi="標楷體" w:hint="eastAsia"/>
        </w:rPr>
        <w:t>)</w:t>
      </w:r>
      <w:r w:rsidRPr="003A048E">
        <w:rPr>
          <w:rFonts w:hint="eastAsia"/>
        </w:rPr>
        <w:t>偵辦111年度偵字第4156號詐欺等案件，</w:t>
      </w:r>
      <w:r w:rsidRPr="00E621B1">
        <w:rPr>
          <w:rFonts w:hint="eastAsia"/>
        </w:rPr>
        <w:t>未傳喚被告，</w:t>
      </w:r>
      <w:r>
        <w:rPr>
          <w:rFonts w:hint="eastAsia"/>
        </w:rPr>
        <w:t>卷內並</w:t>
      </w:r>
      <w:r w:rsidRPr="00E621B1">
        <w:rPr>
          <w:rFonts w:hint="eastAsia"/>
        </w:rPr>
        <w:t>無偵訊被告筆錄，</w:t>
      </w:r>
      <w:r w:rsidRPr="003A048E">
        <w:rPr>
          <w:rFonts w:hint="eastAsia"/>
        </w:rPr>
        <w:t>疑未詳查事證，率為不起訴處分</w:t>
      </w:r>
      <w:r>
        <w:rPr>
          <w:rFonts w:hint="eastAsia"/>
        </w:rPr>
        <w:t>，</w:t>
      </w:r>
      <w:r w:rsidRPr="003A048E">
        <w:rPr>
          <w:rFonts w:hint="eastAsia"/>
        </w:rPr>
        <w:t>臺灣高等檢察署</w:t>
      </w:r>
      <w:r>
        <w:rPr>
          <w:rFonts w:hAnsi="標楷體" w:hint="eastAsia"/>
        </w:rPr>
        <w:t>(下稱高檢署)</w:t>
      </w:r>
      <w:r>
        <w:rPr>
          <w:rFonts w:hint="eastAsia"/>
        </w:rPr>
        <w:t>與</w:t>
      </w:r>
      <w:r w:rsidRPr="003A048E">
        <w:rPr>
          <w:rFonts w:hint="eastAsia"/>
        </w:rPr>
        <w:t>臺灣士林地方法院</w:t>
      </w:r>
      <w:r>
        <w:rPr>
          <w:rFonts w:hAnsi="標楷體" w:hint="eastAsia"/>
        </w:rPr>
        <w:t>(</w:t>
      </w:r>
      <w:r>
        <w:rPr>
          <w:rFonts w:hint="eastAsia"/>
        </w:rPr>
        <w:t>下稱士林地院</w:t>
      </w:r>
      <w:r>
        <w:rPr>
          <w:rFonts w:hAnsi="標楷體" w:hint="eastAsia"/>
        </w:rPr>
        <w:t>)</w:t>
      </w:r>
      <w:r>
        <w:rPr>
          <w:rFonts w:hint="eastAsia"/>
        </w:rPr>
        <w:t>亦未詳查，率予</w:t>
      </w:r>
      <w:r w:rsidRPr="003A048E">
        <w:rPr>
          <w:rFonts w:hint="eastAsia"/>
        </w:rPr>
        <w:t>駁回</w:t>
      </w:r>
      <w:r>
        <w:rPr>
          <w:rFonts w:hint="eastAsia"/>
        </w:rPr>
        <w:t>再議、交付審判之聲請</w:t>
      </w:r>
      <w:r w:rsidRPr="003A048E">
        <w:rPr>
          <w:rFonts w:hint="eastAsia"/>
        </w:rPr>
        <w:t>等情</w:t>
      </w:r>
      <w:r>
        <w:rPr>
          <w:rFonts w:hint="eastAsia"/>
        </w:rPr>
        <w:t>。案經本院調閱偵查卷宗詳核，並就陳訴事項所涉實體爭議委請會計師鑑定，及就偵查程序疑義詢問</w:t>
      </w:r>
      <w:r w:rsidRPr="003A048E">
        <w:rPr>
          <w:rFonts w:hint="eastAsia"/>
        </w:rPr>
        <w:t>士林地檢署</w:t>
      </w:r>
      <w:r>
        <w:rPr>
          <w:rFonts w:hint="eastAsia"/>
        </w:rPr>
        <w:t>檢察官，</w:t>
      </w:r>
      <w:r w:rsidRPr="009C7FF2">
        <w:rPr>
          <w:rFonts w:hint="eastAsia"/>
        </w:rPr>
        <w:t>已調查竣</w:t>
      </w:r>
      <w:r>
        <w:rPr>
          <w:rFonts w:hint="eastAsia"/>
        </w:rPr>
        <w:t>事</w:t>
      </w:r>
      <w:r w:rsidRPr="009C7FF2">
        <w:rPr>
          <w:rFonts w:hint="eastAsia"/>
        </w:rPr>
        <w:t>，</w:t>
      </w:r>
      <w:r>
        <w:rPr>
          <w:rFonts w:hint="eastAsia"/>
        </w:rPr>
        <w:t>茲就</w:t>
      </w:r>
      <w:r w:rsidRPr="009C7FF2">
        <w:rPr>
          <w:rFonts w:hint="eastAsia"/>
        </w:rPr>
        <w:t>調查意見</w:t>
      </w:r>
      <w:r>
        <w:rPr>
          <w:rFonts w:hint="eastAsia"/>
        </w:rPr>
        <w:t>詳述</w:t>
      </w:r>
      <w:r w:rsidRPr="009C7FF2">
        <w:rPr>
          <w:rFonts w:hint="eastAsia"/>
        </w:rPr>
        <w:t>如下：</w:t>
      </w:r>
    </w:p>
    <w:p w:rsidR="00503CD4" w:rsidRDefault="00503CD4" w:rsidP="00503CD4">
      <w:pPr>
        <w:pStyle w:val="2"/>
        <w:rPr>
          <w:b/>
        </w:rPr>
      </w:pPr>
      <w:bookmarkStart w:id="53" w:name="_Hlk148110894"/>
      <w:r>
        <w:rPr>
          <w:rFonts w:hint="eastAsia"/>
          <w:b/>
        </w:rPr>
        <w:t>本案士林地檢署偵辦檢察官曾傳喚被告黃ΟΟ，被告未到庭，並非未傳喚被告，檢察官因認卷內資料足以認定被告所為並不構成行使變造私文書、竊盜、業務侵占、詐欺取財等罪嫌，無積極證據下，僅能為不起訴處分，而無再傳喚或拘提被告之必要，核屬檢察官本於偵查職權所為之判斷，</w:t>
      </w:r>
      <w:r w:rsidRPr="00F04934">
        <w:rPr>
          <w:rFonts w:hint="eastAsia"/>
          <w:b/>
        </w:rPr>
        <w:t>尚難以偵查卷內未有被告之偵訊筆錄，指摘偵查程序有所不當</w:t>
      </w:r>
      <w:r>
        <w:rPr>
          <w:rFonts w:hint="eastAsia"/>
          <w:b/>
        </w:rPr>
        <w:t>，又陳訴事項所涉實體爭議經本院深入調查，亦尚查無陳訴人所稱偵查草率或證據調查違反經驗法則、論理法則之實據。</w:t>
      </w:r>
      <w:bookmarkEnd w:id="53"/>
    </w:p>
    <w:p w:rsidR="00503CD4" w:rsidRDefault="00503CD4" w:rsidP="00503CD4">
      <w:pPr>
        <w:pStyle w:val="3"/>
      </w:pPr>
      <w:r w:rsidRPr="002C23B0">
        <w:rPr>
          <w:lang w:val="ja-JP"/>
        </w:rPr>
        <w:t>實施偵查非有必要，不得先行傳訊被告，刑事訴訟法第228條第3項定有明文。</w:t>
      </w:r>
      <w:r>
        <w:rPr>
          <w:rFonts w:hint="eastAsia"/>
          <w:lang w:val="ja-JP"/>
        </w:rPr>
        <w:t>按</w:t>
      </w:r>
      <w:r w:rsidRPr="00C40CC3">
        <w:rPr>
          <w:rFonts w:hint="eastAsia"/>
        </w:rPr>
        <w:t>檢察官對於告訴或</w:t>
      </w:r>
      <w:r w:rsidRPr="00C40CC3">
        <w:t>告發</w:t>
      </w:r>
      <w:r w:rsidRPr="00C40CC3">
        <w:rPr>
          <w:rFonts w:hint="eastAsia"/>
        </w:rPr>
        <w:t>案件，偵查結果無須傳喚被告，已足認</w:t>
      </w:r>
      <w:r>
        <w:rPr>
          <w:rFonts w:hint="eastAsia"/>
        </w:rPr>
        <w:t>為</w:t>
      </w:r>
      <w:r w:rsidRPr="00C40CC3">
        <w:rPr>
          <w:rFonts w:hint="eastAsia"/>
        </w:rPr>
        <w:t>所告事</w:t>
      </w:r>
      <w:r w:rsidRPr="00C40CC3">
        <w:rPr>
          <w:rFonts w:hint="eastAsia"/>
        </w:rPr>
        <w:lastRenderedPageBreak/>
        <w:t>實係嫌疑不足或行為不成立犯罪者，即可逕為不起訴處分，司法院院字第403號解釋</w:t>
      </w:r>
      <w:r>
        <w:rPr>
          <w:rFonts w:hint="eastAsia"/>
        </w:rPr>
        <w:t>可資參照。次按</w:t>
      </w:r>
      <w:r w:rsidRPr="002C23B0">
        <w:rPr>
          <w:rFonts w:hint="eastAsia"/>
        </w:rPr>
        <w:t>犯罪事實應依證據認定之，無證據不得認定犯罪事實，刑事訴訟法第154條第2項定有明文。又</w:t>
      </w:r>
      <w:r w:rsidRPr="002C23B0">
        <w:rPr>
          <w:lang w:val="ja-JP"/>
        </w:rPr>
        <w:t>認定不利於被告之事實，須依積極證據，苟積極證據不足為不利於被告事實之認定時，即應為有利於被告之認定，最高法院30年上字第816號判決意旨參照</w:t>
      </w:r>
      <w:r w:rsidRPr="002C23B0">
        <w:rPr>
          <w:rFonts w:hint="eastAsia"/>
        </w:rPr>
        <w:t>。</w:t>
      </w:r>
      <w:r>
        <w:rPr>
          <w:rFonts w:hint="eastAsia"/>
        </w:rPr>
        <w:t>是以，</w:t>
      </w:r>
      <w:r w:rsidRPr="00C40CC3">
        <w:rPr>
          <w:rFonts w:hint="eastAsia"/>
        </w:rPr>
        <w:t>檢察官自得基於對法律之確信，依案件性質、證據資料判斷有無命被告到庭陳述之必要</w:t>
      </w:r>
      <w:r>
        <w:rPr>
          <w:rFonts w:hint="eastAsia"/>
        </w:rPr>
        <w:t>。</w:t>
      </w:r>
    </w:p>
    <w:p w:rsidR="00503CD4" w:rsidRPr="00850C5E" w:rsidRDefault="00503CD4" w:rsidP="00503CD4">
      <w:pPr>
        <w:pStyle w:val="3"/>
      </w:pPr>
      <w:r>
        <w:rPr>
          <w:rFonts w:hint="eastAsia"/>
        </w:rPr>
        <w:t>經查本案偵查卷宗，本案士林地檢署偵辦檢察官王ΟΟ</w:t>
      </w:r>
      <w:r w:rsidRPr="00B441F7">
        <w:rPr>
          <w:rFonts w:hint="eastAsia"/>
        </w:rPr>
        <w:t>曾</w:t>
      </w:r>
      <w:r>
        <w:rPr>
          <w:rFonts w:hint="eastAsia"/>
        </w:rPr>
        <w:t>於民國</w:t>
      </w:r>
      <w:r>
        <w:rPr>
          <w:rFonts w:hAnsi="標楷體" w:hint="eastAsia"/>
        </w:rPr>
        <w:t>(</w:t>
      </w:r>
      <w:r>
        <w:rPr>
          <w:rFonts w:hint="eastAsia"/>
        </w:rPr>
        <w:t>下同</w:t>
      </w:r>
      <w:r>
        <w:rPr>
          <w:rFonts w:hAnsi="標楷體" w:hint="eastAsia"/>
        </w:rPr>
        <w:t>)</w:t>
      </w:r>
      <w:r w:rsidRPr="00B441F7">
        <w:rPr>
          <w:rFonts w:hint="eastAsia"/>
        </w:rPr>
        <w:t>1</w:t>
      </w:r>
      <w:r w:rsidRPr="00B441F7">
        <w:t>10</w:t>
      </w:r>
      <w:r w:rsidRPr="00B441F7">
        <w:rPr>
          <w:rFonts w:hint="eastAsia"/>
        </w:rPr>
        <w:t>年10月19日交辦，傳喚被告</w:t>
      </w:r>
      <w:r>
        <w:rPr>
          <w:rFonts w:hint="eastAsia"/>
        </w:rPr>
        <w:t>黃ΟΟ</w:t>
      </w:r>
      <w:r w:rsidRPr="00B441F7">
        <w:rPr>
          <w:rFonts w:hint="eastAsia"/>
        </w:rPr>
        <w:t>，訂於</w:t>
      </w:r>
      <w:r>
        <w:rPr>
          <w:rFonts w:hint="eastAsia"/>
        </w:rPr>
        <w:t>同</w:t>
      </w:r>
      <w:r w:rsidRPr="00B441F7">
        <w:rPr>
          <w:rFonts w:hint="eastAsia"/>
        </w:rPr>
        <w:t>年11月17日下午3時30分開庭，開庭當日被告</w:t>
      </w:r>
      <w:r>
        <w:rPr>
          <w:rFonts w:hint="eastAsia"/>
        </w:rPr>
        <w:t>黃ΟΟ</w:t>
      </w:r>
      <w:r w:rsidRPr="00B441F7">
        <w:rPr>
          <w:rFonts w:hint="eastAsia"/>
        </w:rPr>
        <w:t>未到庭，</w:t>
      </w:r>
      <w:r>
        <w:rPr>
          <w:rFonts w:hint="eastAsia"/>
        </w:rPr>
        <w:t>檢察官其</w:t>
      </w:r>
      <w:r w:rsidRPr="00B441F7">
        <w:rPr>
          <w:rFonts w:hint="eastAsia"/>
        </w:rPr>
        <w:t>後未再傳喚</w:t>
      </w:r>
      <w:r>
        <w:rPr>
          <w:rFonts w:hint="eastAsia"/>
        </w:rPr>
        <w:t>，有</w:t>
      </w:r>
      <w:r w:rsidRPr="00B441F7">
        <w:rPr>
          <w:rFonts w:hint="eastAsia"/>
        </w:rPr>
        <w:t>「辦案進行單」、「點名單」</w:t>
      </w:r>
      <w:r>
        <w:rPr>
          <w:rFonts w:hint="eastAsia"/>
        </w:rPr>
        <w:t>在卷可稽，是以，本案並非未曾傳喚被告，係被告未到庭。至於本案後續不再傳喚被告或命拘提之考量，偵辦檢察官王ΟΟ於本院1</w:t>
      </w:r>
      <w:r>
        <w:t>12</w:t>
      </w:r>
      <w:r>
        <w:rPr>
          <w:rFonts w:hint="eastAsia"/>
        </w:rPr>
        <w:t>年10月2日詢問後提出書面說明略以</w:t>
      </w:r>
      <w:r>
        <w:rPr>
          <w:rFonts w:hAnsi="標楷體" w:hint="eastAsia"/>
        </w:rPr>
        <w:t>：「</w:t>
      </w:r>
      <w:r w:rsidRPr="00850C5E">
        <w:rPr>
          <w:rFonts w:hAnsi="標楷體"/>
          <w:lang w:val="ja-JP"/>
        </w:rPr>
        <w:t>本案審酌告訴人所述内容與相關事證，認定因已無完整原始憑證、傳票、帳冊可供核對、財務委員已不記得蓋章時取款憑條所載金額、相關提領有相對應之支出業經管委會認可、社區帳目平衡等事由，認本案告訴事實積極證據不足。另就單據部分，告訴人雖認被告自105年5月5日起至108年8月5日止期間内，涉有以製作不實單據詐領社區款項之犯行11次</w:t>
      </w:r>
      <w:r w:rsidRPr="00850C5E">
        <w:rPr>
          <w:rFonts w:hAnsi="標楷體" w:hint="eastAsia"/>
          <w:lang w:val="ja-JP"/>
        </w:rPr>
        <w:t>。</w:t>
      </w:r>
      <w:r w:rsidRPr="00850C5E">
        <w:rPr>
          <w:rFonts w:hAnsi="標楷體"/>
          <w:lang w:val="ja-JP"/>
        </w:rPr>
        <w:t>惟查，本案告訴事實係針對每年眾多支出中之個別幾筆估價單解讀，而本案係於110年6月提出告</w:t>
      </w:r>
      <w:r w:rsidRPr="00850C5E">
        <w:rPr>
          <w:rFonts w:hAnsi="標楷體" w:hint="eastAsia"/>
          <w:lang w:val="ja-JP"/>
        </w:rPr>
        <w:t>訴</w:t>
      </w:r>
      <w:r w:rsidRPr="00850C5E">
        <w:rPr>
          <w:rFonts w:hAnsi="標楷體"/>
          <w:lang w:val="ja-JP"/>
        </w:rPr>
        <w:t>，距上開所指款項請領時間已久，在無社區105年起至108年止之完整原始憑證、傳票、帳冊可供核對之情況下，實難期待被告可對先前之個別幾筆帳目為說明</w:t>
      </w:r>
      <w:r w:rsidRPr="00850C5E">
        <w:rPr>
          <w:rFonts w:hAnsi="標楷體" w:hint="eastAsia"/>
          <w:lang w:val="ja-JP"/>
        </w:rPr>
        <w:t>；</w:t>
      </w:r>
      <w:r w:rsidRPr="00850C5E">
        <w:rPr>
          <w:rFonts w:hAnsi="標楷體"/>
          <w:lang w:val="ja-JP"/>
        </w:rPr>
        <w:t>況且，觀諸上開估價單均有具體載</w:t>
      </w:r>
      <w:r w:rsidRPr="00850C5E">
        <w:rPr>
          <w:rFonts w:hAnsi="標楷體"/>
          <w:lang w:val="ja-JP"/>
        </w:rPr>
        <w:lastRenderedPageBreak/>
        <w:t>明支出項目，經社區管理委員審核後動支，後續社區每月收支報表也都有經過管委會認可，應足認上開估價單所載項目有支出之需求係經管委會認可</w:t>
      </w:r>
      <w:r w:rsidRPr="00850C5E">
        <w:rPr>
          <w:rFonts w:hAnsi="標楷體" w:hint="eastAsia"/>
          <w:lang w:val="ja-JP"/>
        </w:rPr>
        <w:t>；</w:t>
      </w:r>
      <w:r w:rsidRPr="00850C5E">
        <w:rPr>
          <w:rFonts w:hAnsi="標楷體"/>
          <w:lang w:val="ja-JP"/>
        </w:rPr>
        <w:t>此外，依實務偵辦經驗可知，並非所有款項支出均可取得發票，以估價單作為報帳憑證，於實務上係屬常見，方認本案告訴人所提事實積極證據不足</w:t>
      </w:r>
      <w:r>
        <w:rPr>
          <w:rFonts w:hAnsi="標楷體" w:hint="eastAsia"/>
          <w:lang w:val="ja-JP"/>
        </w:rPr>
        <w:t>」</w:t>
      </w:r>
      <w:r>
        <w:rPr>
          <w:rFonts w:ascii="新細明體" w:eastAsia="新細明體" w:hAnsi="新細明體" w:hint="eastAsia"/>
          <w:lang w:val="ja-JP"/>
        </w:rPr>
        <w:t>、</w:t>
      </w:r>
      <w:r>
        <w:rPr>
          <w:rFonts w:hAnsi="標楷體" w:hint="eastAsia"/>
          <w:lang w:val="ja-JP"/>
        </w:rPr>
        <w:t>「</w:t>
      </w:r>
      <w:r w:rsidRPr="00850C5E">
        <w:rPr>
          <w:rFonts w:hAnsi="標楷體"/>
          <w:lang w:val="ja-JP"/>
        </w:rPr>
        <w:t>本案基於給予被告意見表達之機會、期能尋求被告及告訴人雙方修復之可能，而傳喚被告到庭。</w:t>
      </w:r>
      <w:r>
        <w:rPr>
          <w:rFonts w:hAnsi="標楷體" w:hint="eastAsia"/>
          <w:lang w:val="ja-JP"/>
        </w:rPr>
        <w:t>……</w:t>
      </w:r>
      <w:r w:rsidRPr="00850C5E">
        <w:rPr>
          <w:rFonts w:hAnsi="標楷體"/>
          <w:lang w:val="ja-JP"/>
        </w:rPr>
        <w:t>若被告願意到庭，可給予被告說明之機會，被告也可能有意見想表達。又於本案偵辦時發現，同一告訴人先前已對被告提出7件告訴，均經不起訴處分確定，本案為告訴人對被告提出之第8件告</w:t>
      </w:r>
      <w:r w:rsidRPr="008D31AF">
        <w:rPr>
          <w:rFonts w:hAnsi="標楷體"/>
          <w:color w:val="000000" w:themeColor="text1"/>
          <w:lang w:val="ja-JP"/>
        </w:rPr>
        <w:t>訴，可知告訴人</w:t>
      </w:r>
      <w:r w:rsidRPr="008D31AF">
        <w:rPr>
          <w:rFonts w:hAnsi="標楷體" w:hint="eastAsia"/>
          <w:color w:val="000000" w:themeColor="text1"/>
          <w:lang w:val="ja-JP"/>
        </w:rPr>
        <w:t>已</w:t>
      </w:r>
      <w:r w:rsidRPr="008D31AF">
        <w:rPr>
          <w:rFonts w:hAnsi="標楷體"/>
          <w:color w:val="000000" w:themeColor="text1"/>
          <w:lang w:val="ja-JP"/>
        </w:rPr>
        <w:t>多次對被告提出告訴，其等間有</w:t>
      </w:r>
      <w:r w:rsidRPr="00850C5E">
        <w:rPr>
          <w:rFonts w:hAnsi="標楷體"/>
          <w:lang w:val="ja-JP"/>
        </w:rPr>
        <w:t>多起訟爭。是本案傳訊被告可瞭解被告是否有意願與告訴人開啟溝通和解平台，以尋求雙方關係修復機會，期能</w:t>
      </w:r>
      <w:r>
        <w:rPr>
          <w:rFonts w:hAnsi="標楷體" w:hint="eastAsia"/>
          <w:lang w:val="ja-JP"/>
        </w:rPr>
        <w:t>澈</w:t>
      </w:r>
      <w:r w:rsidRPr="00850C5E">
        <w:rPr>
          <w:rFonts w:hAnsi="標楷體"/>
          <w:lang w:val="ja-JP"/>
        </w:rPr>
        <w:t>底解決雙方之糾葛，避免雙方繼續訟爭</w:t>
      </w:r>
      <w:r>
        <w:rPr>
          <w:rFonts w:hAnsi="標楷體" w:hint="eastAsia"/>
          <w:lang w:val="ja-JP"/>
        </w:rPr>
        <w:t>」</w:t>
      </w:r>
      <w:r>
        <w:rPr>
          <w:rFonts w:ascii="新細明體" w:eastAsia="新細明體" w:hAnsi="新細明體" w:hint="eastAsia"/>
          <w:lang w:val="ja-JP"/>
        </w:rPr>
        <w:t>、</w:t>
      </w:r>
      <w:r>
        <w:rPr>
          <w:rFonts w:hAnsi="標楷體" w:hint="eastAsia"/>
          <w:lang w:val="ja-JP"/>
        </w:rPr>
        <w:t>「</w:t>
      </w:r>
      <w:r w:rsidRPr="00850C5E">
        <w:rPr>
          <w:rFonts w:hAnsi="標楷體"/>
          <w:lang w:val="ja-JP"/>
        </w:rPr>
        <w:t>拘提、通緝被告是拘束被告人身</w:t>
      </w:r>
      <w:r w:rsidRPr="00850C5E">
        <w:rPr>
          <w:rFonts w:hAnsi="標楷體" w:hint="eastAsia"/>
        </w:rPr>
        <w:t>自</w:t>
      </w:r>
      <w:r w:rsidRPr="00850C5E">
        <w:rPr>
          <w:rFonts w:hAnsi="標楷體"/>
          <w:lang w:val="ja-JP"/>
        </w:rPr>
        <w:t>由之強制處分，亦影響被告之名譽權，本須仔細審酌，本案既可逕為不起訴處分，經審酌比例原則，實不適宜採取對人民名譽權、自由權侵害高之拘提、通緝手段</w:t>
      </w:r>
      <w:r>
        <w:rPr>
          <w:rFonts w:hAnsi="標楷體" w:hint="eastAsia"/>
          <w:lang w:val="ja-JP"/>
        </w:rPr>
        <w:t>」等語；另該署主任檢察官陳ΟΟ於本院</w:t>
      </w:r>
      <w:r w:rsidRPr="008603E1">
        <w:rPr>
          <w:rFonts w:hAnsi="標楷體" w:hint="eastAsia"/>
        </w:rPr>
        <w:t>1</w:t>
      </w:r>
      <w:r w:rsidRPr="008603E1">
        <w:rPr>
          <w:rFonts w:hAnsi="標楷體"/>
        </w:rPr>
        <w:t>12</w:t>
      </w:r>
      <w:r w:rsidRPr="008603E1">
        <w:rPr>
          <w:rFonts w:hAnsi="標楷體" w:hint="eastAsia"/>
        </w:rPr>
        <w:t>年10月2日詢問</w:t>
      </w:r>
      <w:r>
        <w:rPr>
          <w:rFonts w:hAnsi="標楷體" w:hint="eastAsia"/>
        </w:rPr>
        <w:t>時亦表示：</w:t>
      </w:r>
      <w:r w:rsidRPr="008603E1">
        <w:rPr>
          <w:rFonts w:hAnsi="標楷體" w:hint="eastAsia"/>
        </w:rPr>
        <w:t>「本件有傳被告，只是被告未出庭，</w:t>
      </w:r>
      <w:r w:rsidRPr="008603E1">
        <w:rPr>
          <w:rFonts w:hAnsi="標楷體"/>
        </w:rPr>
        <w:t>這是兩難，如果今天我在辦案單寫</w:t>
      </w:r>
      <w:r w:rsidRPr="008603E1">
        <w:rPr>
          <w:rFonts w:hAnsi="標楷體" w:hint="eastAsia"/>
        </w:rPr>
        <w:t>『被告</w:t>
      </w:r>
      <w:r w:rsidRPr="008603E1">
        <w:rPr>
          <w:rFonts w:hAnsi="標楷體"/>
        </w:rPr>
        <w:t>務必</w:t>
      </w:r>
      <w:r w:rsidRPr="008603E1">
        <w:rPr>
          <w:rFonts w:hAnsi="標楷體" w:hint="eastAsia"/>
        </w:rPr>
        <w:t>到庭』，但被告不願意到庭，是否後續就要處理拘提?這是很為難的。在積極證據不足下，只能不起訴處分，而不起訴處分的案件是否應該拘提通緝，個人比較保留。……如果只是被告傳喚不到就拘提，只是讓原告與被告間的爭議更大。對於證據顯然不足的案件，傳喚被告不到就拘提，確實是很為難」等語</w:t>
      </w:r>
      <w:r>
        <w:rPr>
          <w:rFonts w:hAnsi="標楷體" w:hint="eastAsia"/>
        </w:rPr>
        <w:t>。經核，本案</w:t>
      </w:r>
      <w:r w:rsidRPr="008603E1">
        <w:rPr>
          <w:rFonts w:hAnsi="標楷體" w:hint="eastAsia"/>
        </w:rPr>
        <w:t>檢察官</w:t>
      </w:r>
      <w:r>
        <w:rPr>
          <w:rFonts w:hAnsi="標楷體" w:hint="eastAsia"/>
        </w:rPr>
        <w:t>認無再傳訊或拘提被告之</w:t>
      </w:r>
      <w:r>
        <w:rPr>
          <w:rFonts w:hAnsi="標楷體" w:hint="eastAsia"/>
        </w:rPr>
        <w:lastRenderedPageBreak/>
        <w:t>必要，係</w:t>
      </w:r>
      <w:r w:rsidRPr="008603E1">
        <w:rPr>
          <w:rFonts w:hAnsi="標楷體" w:hint="eastAsia"/>
        </w:rPr>
        <w:t>本於</w:t>
      </w:r>
      <w:r>
        <w:rPr>
          <w:rFonts w:hAnsi="標楷體" w:hint="eastAsia"/>
        </w:rPr>
        <w:t>偵查職</w:t>
      </w:r>
      <w:r w:rsidRPr="008603E1">
        <w:rPr>
          <w:rFonts w:hAnsi="標楷體" w:hint="eastAsia"/>
        </w:rPr>
        <w:t>權所為之判斷，尚難以偵查卷內未有被告之偵訊筆錄，指摘偵查程序有所不當。</w:t>
      </w:r>
    </w:p>
    <w:p w:rsidR="00503CD4" w:rsidRPr="0048593F" w:rsidRDefault="00503CD4" w:rsidP="00503CD4">
      <w:pPr>
        <w:pStyle w:val="3"/>
      </w:pPr>
      <w:r>
        <w:rPr>
          <w:rFonts w:hint="eastAsia"/>
        </w:rPr>
        <w:t>本院另為深入查明本案不起訴處分有無陳訴人所稱</w:t>
      </w:r>
      <w:r w:rsidRPr="00472BCB">
        <w:rPr>
          <w:rFonts w:hint="eastAsia"/>
        </w:rPr>
        <w:t>偵查草率或證據調查違反經驗法則、論理法則</w:t>
      </w:r>
      <w:r>
        <w:rPr>
          <w:rFonts w:hint="eastAsia"/>
        </w:rPr>
        <w:t>之處，經就爭議事項檢附資料委請會計師鑑定，鑑定人就告訴意旨中有關</w:t>
      </w:r>
      <w:r w:rsidRPr="00C931A8">
        <w:rPr>
          <w:rFonts w:hAnsi="標楷體" w:hint="eastAsia"/>
        </w:rPr>
        <w:t>「溢領現金及盜領管理費帳戶11</w:t>
      </w:r>
      <w:r>
        <w:rPr>
          <w:rFonts w:hAnsi="標楷體" w:hint="eastAsia"/>
        </w:rPr>
        <w:t>萬</w:t>
      </w:r>
      <w:r w:rsidRPr="00C931A8">
        <w:rPr>
          <w:rFonts w:hAnsi="標楷體" w:hint="eastAsia"/>
        </w:rPr>
        <w:t>元」</w:t>
      </w:r>
      <w:r>
        <w:rPr>
          <w:rFonts w:ascii="新細明體" w:eastAsia="新細明體" w:hAnsi="新細明體" w:hint="eastAsia"/>
        </w:rPr>
        <w:t>、</w:t>
      </w:r>
      <w:r>
        <w:rPr>
          <w:rFonts w:hAnsi="標楷體" w:hint="eastAsia"/>
        </w:rPr>
        <w:t>「利用</w:t>
      </w:r>
      <w:r w:rsidRPr="00C931A8">
        <w:rPr>
          <w:rFonts w:hAnsi="標楷體" w:hint="eastAsia"/>
        </w:rPr>
        <w:t>回補零用金之機會盜領</w:t>
      </w:r>
      <w:r w:rsidRPr="00C931A8">
        <w:rPr>
          <w:rFonts w:hAnsi="標楷體"/>
        </w:rPr>
        <w:t>46</w:t>
      </w:r>
      <w:r w:rsidRPr="00C931A8">
        <w:rPr>
          <w:rFonts w:hAnsi="標楷體" w:hint="eastAsia"/>
        </w:rPr>
        <w:t>萬元」</w:t>
      </w:r>
      <w:r>
        <w:rPr>
          <w:rFonts w:ascii="新細明體" w:eastAsia="新細明體" w:hAnsi="新細明體" w:hint="eastAsia"/>
        </w:rPr>
        <w:t>、</w:t>
      </w:r>
      <w:r>
        <w:rPr>
          <w:rFonts w:hAnsi="標楷體" w:hint="eastAsia"/>
        </w:rPr>
        <w:t>「侵占環境維護費、施工保證金</w:t>
      </w:r>
      <w:r w:rsidRPr="00C931A8">
        <w:rPr>
          <w:rFonts w:hAnsi="標楷體" w:hint="eastAsia"/>
        </w:rPr>
        <w:t>」</w:t>
      </w:r>
      <w:r>
        <w:rPr>
          <w:rFonts w:hAnsi="標楷體" w:hint="eastAsia"/>
        </w:rPr>
        <w:t>等疑義，抽核</w:t>
      </w:r>
      <w:r w:rsidRPr="00C931A8">
        <w:rPr>
          <w:rFonts w:hAnsi="標楷體" w:hint="eastAsia"/>
        </w:rPr>
        <w:t>活存交易明細</w:t>
      </w:r>
      <w:r>
        <w:rPr>
          <w:rFonts w:hAnsi="標楷體" w:hint="eastAsia"/>
        </w:rPr>
        <w:t>、</w:t>
      </w:r>
      <w:r w:rsidRPr="00C931A8">
        <w:rPr>
          <w:rFonts w:hAnsi="標楷體" w:hint="eastAsia"/>
        </w:rPr>
        <w:t>現金收付表及收支狀況報告表</w:t>
      </w:r>
      <w:r>
        <w:rPr>
          <w:rFonts w:hAnsi="標楷體" w:hint="eastAsia"/>
        </w:rPr>
        <w:t>，分析比對結果，並未發現有現金短少情事。是以，本案不起訴處分，亦</w:t>
      </w:r>
      <w:r w:rsidRPr="00EE2024">
        <w:rPr>
          <w:rFonts w:hAnsi="標楷體" w:hint="eastAsia"/>
        </w:rPr>
        <w:t>尚查</w:t>
      </w:r>
      <w:r>
        <w:rPr>
          <w:rFonts w:hAnsi="標楷體" w:hint="eastAsia"/>
        </w:rPr>
        <w:t>無</w:t>
      </w:r>
      <w:r w:rsidRPr="00EE2024">
        <w:rPr>
          <w:rFonts w:hAnsi="標楷體" w:hint="eastAsia"/>
        </w:rPr>
        <w:t>偵查草率或證據調查違反經驗法則、論理法則之實據</w:t>
      </w:r>
      <w:r>
        <w:rPr>
          <w:rFonts w:hAnsi="標楷體" w:hint="eastAsia"/>
        </w:rPr>
        <w:t>。</w:t>
      </w:r>
    </w:p>
    <w:p w:rsidR="00503CD4" w:rsidRDefault="00503CD4" w:rsidP="00503CD4">
      <w:pPr>
        <w:pStyle w:val="3"/>
      </w:pPr>
      <w:r>
        <w:rPr>
          <w:rFonts w:hint="eastAsia"/>
        </w:rPr>
        <w:t>綜上，</w:t>
      </w:r>
      <w:r w:rsidRPr="0048593F">
        <w:rPr>
          <w:rFonts w:hint="eastAsia"/>
        </w:rPr>
        <w:t>本案士林地檢署偵</w:t>
      </w:r>
      <w:r>
        <w:rPr>
          <w:rFonts w:hint="eastAsia"/>
        </w:rPr>
        <w:t>辦</w:t>
      </w:r>
      <w:r w:rsidRPr="0048593F">
        <w:rPr>
          <w:rFonts w:hint="eastAsia"/>
        </w:rPr>
        <w:t>檢察官曾傳喚被告</w:t>
      </w:r>
      <w:r>
        <w:rPr>
          <w:rFonts w:hint="eastAsia"/>
        </w:rPr>
        <w:t>黃ΟΟ</w:t>
      </w:r>
      <w:r w:rsidRPr="0048593F">
        <w:rPr>
          <w:rFonts w:hint="eastAsia"/>
        </w:rPr>
        <w:t>，被告未到庭，並非未傳喚被告，檢察官因認卷內資料足以認定被告所為並不構成行使變造私文書、竊盜、業務侵占、詐欺取財等罪嫌，無積極證據下，僅能為不起訴處分，而無再傳喚或拘提被告之必要，核屬檢察官本於</w:t>
      </w:r>
      <w:r>
        <w:rPr>
          <w:rFonts w:hint="eastAsia"/>
        </w:rPr>
        <w:t>偵查</w:t>
      </w:r>
      <w:r w:rsidRPr="0048593F">
        <w:rPr>
          <w:rFonts w:hint="eastAsia"/>
        </w:rPr>
        <w:t>職權所為之合法判斷，</w:t>
      </w:r>
      <w:r w:rsidRPr="0011629D">
        <w:rPr>
          <w:rFonts w:hint="eastAsia"/>
        </w:rPr>
        <w:t>尚難以偵查卷內未有被告之偵訊筆錄，指摘偵查程序有所不當，</w:t>
      </w:r>
      <w:r w:rsidRPr="0048593F">
        <w:rPr>
          <w:rFonts w:hint="eastAsia"/>
        </w:rPr>
        <w:t>又陳訴事項所涉</w:t>
      </w:r>
      <w:r>
        <w:rPr>
          <w:rFonts w:hint="eastAsia"/>
        </w:rPr>
        <w:t>實體</w:t>
      </w:r>
      <w:r w:rsidRPr="0048593F">
        <w:rPr>
          <w:rFonts w:hint="eastAsia"/>
        </w:rPr>
        <w:t>爭議經本院</w:t>
      </w:r>
      <w:r>
        <w:rPr>
          <w:rFonts w:hint="eastAsia"/>
        </w:rPr>
        <w:t>深入</w:t>
      </w:r>
      <w:r w:rsidRPr="0048593F">
        <w:rPr>
          <w:rFonts w:hint="eastAsia"/>
        </w:rPr>
        <w:t>調查，亦尚查無陳訴人所稱偵查草率或證據調查違反經驗法則、論理法則之實據。</w:t>
      </w:r>
    </w:p>
    <w:p w:rsidR="00503CD4" w:rsidRPr="00E036DC" w:rsidRDefault="00503CD4" w:rsidP="00503CD4">
      <w:pPr>
        <w:pStyle w:val="2"/>
        <w:rPr>
          <w:b/>
        </w:rPr>
      </w:pPr>
      <w:r w:rsidRPr="004C62E7">
        <w:rPr>
          <w:rFonts w:hint="eastAsia"/>
          <w:b/>
        </w:rPr>
        <w:t>高檢署與士林地院</w:t>
      </w:r>
      <w:r>
        <w:rPr>
          <w:rFonts w:hint="eastAsia"/>
          <w:b/>
        </w:rPr>
        <w:t>駁回陳訴人聲請再議及交付審判，已詳論所憑證據及理由，且無明顯悖於經驗法則及論理法則之處，尚難指摘有所違失。</w:t>
      </w:r>
    </w:p>
    <w:p w:rsidR="00503CD4" w:rsidRDefault="00503CD4" w:rsidP="00503CD4">
      <w:pPr>
        <w:pStyle w:val="3"/>
      </w:pPr>
      <w:r>
        <w:rPr>
          <w:rFonts w:hint="eastAsia"/>
        </w:rPr>
        <w:t>按</w:t>
      </w:r>
      <w:r w:rsidRPr="00EC3E2D">
        <w:rPr>
          <w:rFonts w:hint="eastAsia"/>
        </w:rPr>
        <w:t>犯罪事實應依證據認定之，無證據不得認定犯罪事實，刑事訴訟法第154條第2項定有明文。又認定不利於被告之事實，須依</w:t>
      </w:r>
      <w:r w:rsidRPr="00EC3E2D">
        <w:t>積極證據</w:t>
      </w:r>
      <w:r w:rsidRPr="00EC3E2D">
        <w:rPr>
          <w:rFonts w:hint="eastAsia"/>
        </w:rPr>
        <w:t>，苟積極證據不足為不利被告認定時，即應為有利被告之認定，不必有何有利之證據</w:t>
      </w:r>
      <w:r>
        <w:rPr>
          <w:rFonts w:hint="eastAsia"/>
        </w:rPr>
        <w:t>。</w:t>
      </w:r>
      <w:r w:rsidRPr="00EC3E2D">
        <w:rPr>
          <w:rFonts w:hint="eastAsia"/>
        </w:rPr>
        <w:t>次按刑事訴訟法第258條之1</w:t>
      </w:r>
      <w:r>
        <w:rPr>
          <w:rFonts w:hint="eastAsia"/>
        </w:rPr>
        <w:t>有</w:t>
      </w:r>
      <w:r>
        <w:rPr>
          <w:rFonts w:hint="eastAsia"/>
        </w:rPr>
        <w:lastRenderedPageBreak/>
        <w:t>關</w:t>
      </w:r>
      <w:r w:rsidRPr="0011519F">
        <w:rPr>
          <w:rFonts w:hint="eastAsia"/>
        </w:rPr>
        <w:t>告訴人得向法院聲請交付審判</w:t>
      </w:r>
      <w:r>
        <w:rPr>
          <w:rFonts w:hint="eastAsia"/>
        </w:rPr>
        <w:t>之</w:t>
      </w:r>
      <w:r w:rsidRPr="00EC3E2D">
        <w:rPr>
          <w:rFonts w:hint="eastAsia"/>
        </w:rPr>
        <w:t>規定，揆其立法意旨，係</w:t>
      </w:r>
      <w:r w:rsidRPr="00EC3E2D">
        <w:t>法律</w:t>
      </w:r>
      <w:r w:rsidRPr="00EC3E2D">
        <w:rPr>
          <w:rFonts w:hint="eastAsia"/>
        </w:rPr>
        <w:t>對於「檢察官不起訴裁量權」制衡之一種外部監督機制，法院之職責僅在就檢察官所為不起訴之處分是否正確加以審查，藉以防止檢察機關濫權。是刑事訴訟法第258條之3第4項規定：「法院為交付審判之裁定時，視為案件已提起公訴。」則交付審判之裁定自以訴訟條件俱已具備，別無應為不起訴處分之情形存在為前提。依此立法精神，同法第258條之3第3項規定法院審查聲請交付審判案件時「得為必要之調查」，其調查證據之範圍，自應以偵查中曾顯現之證據為限</w:t>
      </w:r>
      <w:r>
        <w:rPr>
          <w:rFonts w:hint="eastAsia"/>
        </w:rPr>
        <w:t>，</w:t>
      </w:r>
      <w:r w:rsidRPr="0011519F">
        <w:rPr>
          <w:rFonts w:hint="eastAsia"/>
        </w:rPr>
        <w:t>不得就聲請人新提出之證據再為調查，亦不得蒐集偵查卷以外之證據</w:t>
      </w:r>
      <w:r>
        <w:rPr>
          <w:rFonts w:hint="eastAsia"/>
        </w:rPr>
        <w:t>。</w:t>
      </w:r>
    </w:p>
    <w:p w:rsidR="00503CD4" w:rsidRDefault="00503CD4" w:rsidP="00503CD4">
      <w:pPr>
        <w:pStyle w:val="3"/>
      </w:pPr>
      <w:r>
        <w:rPr>
          <w:rFonts w:hint="eastAsia"/>
        </w:rPr>
        <w:t>陳訴人不服士林地檢署檢察官1</w:t>
      </w:r>
      <w:r>
        <w:t>11</w:t>
      </w:r>
      <w:r>
        <w:rPr>
          <w:rFonts w:hint="eastAsia"/>
        </w:rPr>
        <w:t>年度偵字第4</w:t>
      </w:r>
      <w:r>
        <w:t>156</w:t>
      </w:r>
      <w:r>
        <w:rPr>
          <w:rFonts w:hint="eastAsia"/>
        </w:rPr>
        <w:t>號不起訴處分</w:t>
      </w:r>
      <w:r>
        <w:rPr>
          <w:rFonts w:hAnsi="標楷體" w:hint="eastAsia"/>
        </w:rPr>
        <w:t>(</w:t>
      </w:r>
      <w:r>
        <w:rPr>
          <w:rFonts w:hint="eastAsia"/>
        </w:rPr>
        <w:t>下稱原不起訴處分</w:t>
      </w:r>
      <w:r>
        <w:rPr>
          <w:rFonts w:hAnsi="標楷體" w:hint="eastAsia"/>
        </w:rPr>
        <w:t>)</w:t>
      </w:r>
      <w:r>
        <w:rPr>
          <w:rFonts w:hint="eastAsia"/>
        </w:rPr>
        <w:t>，聲請再議</w:t>
      </w:r>
      <w:r>
        <w:rPr>
          <w:rFonts w:hAnsi="標楷體" w:hint="eastAsia"/>
        </w:rPr>
        <w:t>，</w:t>
      </w:r>
      <w:r>
        <w:rPr>
          <w:rFonts w:hint="eastAsia"/>
        </w:rPr>
        <w:t>經高檢署檢察長以1</w:t>
      </w:r>
      <w:r>
        <w:t>11</w:t>
      </w:r>
      <w:r>
        <w:rPr>
          <w:rFonts w:hint="eastAsia"/>
        </w:rPr>
        <w:t>年度上聲議字第5</w:t>
      </w:r>
      <w:r>
        <w:t>155</w:t>
      </w:r>
      <w:r>
        <w:rPr>
          <w:rFonts w:hint="eastAsia"/>
        </w:rPr>
        <w:t>號駁回，陳訴人不服該駁回再議之處分</w:t>
      </w:r>
      <w:r>
        <w:rPr>
          <w:rFonts w:hAnsi="標楷體" w:hint="eastAsia"/>
        </w:rPr>
        <w:t>(</w:t>
      </w:r>
      <w:r>
        <w:rPr>
          <w:rFonts w:hint="eastAsia"/>
        </w:rPr>
        <w:t>下稱原處分</w:t>
      </w:r>
      <w:r>
        <w:rPr>
          <w:rFonts w:hAnsi="標楷體" w:hint="eastAsia"/>
        </w:rPr>
        <w:t>)</w:t>
      </w:r>
      <w:r>
        <w:rPr>
          <w:rFonts w:hint="eastAsia"/>
        </w:rPr>
        <w:t>，聲請交付審判，仍經士林地院認為原不起訴處分及原處分，於法均無違誤，予以駁回</w:t>
      </w:r>
      <w:r>
        <w:rPr>
          <w:rFonts w:hAnsi="標楷體" w:hint="eastAsia"/>
        </w:rPr>
        <w:t>(</w:t>
      </w:r>
      <w:r>
        <w:rPr>
          <w:rFonts w:hAnsi="標楷體"/>
        </w:rPr>
        <w:t>111</w:t>
      </w:r>
      <w:r>
        <w:rPr>
          <w:rFonts w:hAnsi="標楷體" w:hint="eastAsia"/>
        </w:rPr>
        <w:t>年度聲判字第6</w:t>
      </w:r>
      <w:r>
        <w:rPr>
          <w:rFonts w:hAnsi="標楷體"/>
        </w:rPr>
        <w:t>9</w:t>
      </w:r>
      <w:r>
        <w:rPr>
          <w:rFonts w:hAnsi="標楷體" w:hint="eastAsia"/>
        </w:rPr>
        <w:t>號裁定)。經查</w:t>
      </w:r>
      <w:r>
        <w:rPr>
          <w:rFonts w:hint="eastAsia"/>
        </w:rPr>
        <w:t>士林地院認無法認定被告有聲請意旨所指變造私文書、竊盜、業務侵占、詐欺取財等犯行，求予交付審判，非有理由，已就聲請意旨詳予指駁，並敘明所憑證據及理由。</w:t>
      </w:r>
      <w:r w:rsidRPr="00303947">
        <w:rPr>
          <w:rFonts w:hint="eastAsia"/>
        </w:rPr>
        <w:t>本案</w:t>
      </w:r>
      <w:r>
        <w:rPr>
          <w:rFonts w:hint="eastAsia"/>
        </w:rPr>
        <w:t>原</w:t>
      </w:r>
      <w:r w:rsidRPr="00303947">
        <w:rPr>
          <w:rFonts w:hint="eastAsia"/>
        </w:rPr>
        <w:t>不起訴處分並無違誤，</w:t>
      </w:r>
      <w:r>
        <w:rPr>
          <w:rFonts w:hint="eastAsia"/>
        </w:rPr>
        <w:t>已如前述，士林地院駁回交付審判之聲請，符合卷內證據，且所為論斷並無明顯悖於經驗法則及論理法則之處，自難指摘有所違誤。</w:t>
      </w:r>
    </w:p>
    <w:p w:rsidR="00503CD4" w:rsidRPr="00700215" w:rsidRDefault="00503CD4" w:rsidP="00503CD4">
      <w:pPr>
        <w:pStyle w:val="3"/>
      </w:pPr>
      <w:r w:rsidRPr="009B4505">
        <w:rPr>
          <w:rFonts w:hint="eastAsia"/>
        </w:rPr>
        <w:t>綜上，高檢署與士林地院駁回</w:t>
      </w:r>
      <w:r>
        <w:rPr>
          <w:rFonts w:hint="eastAsia"/>
        </w:rPr>
        <w:t>陳訴人聲請</w:t>
      </w:r>
      <w:r w:rsidRPr="009B4505">
        <w:rPr>
          <w:rFonts w:hint="eastAsia"/>
        </w:rPr>
        <w:t>再議及交付審判，已詳述所憑證據及理由，且無明顯悖於經驗法則及論理法則之處，尚難指摘有所違失。</w:t>
      </w:r>
    </w:p>
    <w:p w:rsidR="00503CD4" w:rsidRDefault="00503CD4" w:rsidP="00503CD4">
      <w:pPr>
        <w:pStyle w:val="1"/>
        <w:ind w:left="2380" w:hanging="2380"/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End w:id="52"/>
      <w:r>
        <w:rPr>
          <w:rFonts w:hint="eastAsia"/>
        </w:rPr>
        <w:br w:type="page"/>
      </w:r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422834160"/>
      <w:r>
        <w:rPr>
          <w:rFonts w:hint="eastAsia"/>
        </w:rPr>
        <w:lastRenderedPageBreak/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503CD4" w:rsidRDefault="00503CD4" w:rsidP="00503CD4">
      <w:pPr>
        <w:pStyle w:val="2"/>
      </w:pPr>
      <w:bookmarkStart w:id="78" w:name="_Toc524895649"/>
      <w:bookmarkStart w:id="79" w:name="_Toc524896195"/>
      <w:bookmarkStart w:id="80" w:name="_Toc524896225"/>
      <w:bookmarkStart w:id="81" w:name="_Toc70241819"/>
      <w:bookmarkStart w:id="82" w:name="_Toc70242208"/>
      <w:bookmarkStart w:id="83" w:name="_Toc421794878"/>
      <w:bookmarkStart w:id="84" w:name="_Toc421795444"/>
      <w:bookmarkStart w:id="85" w:name="_Toc421796025"/>
      <w:bookmarkStart w:id="86" w:name="_Toc422728960"/>
      <w:bookmarkStart w:id="87" w:name="_Toc422834163"/>
      <w:bookmarkStart w:id="88" w:name="_Toc524902735"/>
      <w:bookmarkStart w:id="89" w:name="_Toc525066149"/>
      <w:bookmarkStart w:id="90" w:name="_Toc525070840"/>
      <w:bookmarkStart w:id="91" w:name="_Toc525938380"/>
      <w:bookmarkStart w:id="92" w:name="_Toc525939228"/>
      <w:bookmarkStart w:id="93" w:name="_Toc525939733"/>
      <w:bookmarkStart w:id="94" w:name="_Toc529218273"/>
      <w:bookmarkStart w:id="95" w:name="_Toc529222690"/>
      <w:bookmarkStart w:id="96" w:name="_Toc529223112"/>
      <w:bookmarkStart w:id="97" w:name="_Toc529223863"/>
      <w:bookmarkStart w:id="98" w:name="_Toc529228266"/>
      <w:bookmarkStart w:id="99" w:name="_Toc70241818"/>
      <w:bookmarkStart w:id="100" w:name="_Toc70242207"/>
      <w:bookmarkEnd w:id="78"/>
      <w:bookmarkEnd w:id="79"/>
      <w:bookmarkEnd w:id="80"/>
      <w:r>
        <w:rPr>
          <w:rFonts w:hint="eastAsia"/>
        </w:rPr>
        <w:t>抄調查意見函復陳訴人後結案存查。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503CD4" w:rsidRPr="002C1809" w:rsidRDefault="00503CD4" w:rsidP="00503CD4">
      <w:pPr>
        <w:pStyle w:val="2"/>
      </w:pPr>
      <w:bookmarkStart w:id="101" w:name="_Toc2400397"/>
      <w:bookmarkStart w:id="102" w:name="_Toc4316191"/>
      <w:bookmarkStart w:id="103" w:name="_Toc4473332"/>
      <w:bookmarkStart w:id="104" w:name="_Toc69556901"/>
      <w:bookmarkStart w:id="105" w:name="_Toc69556950"/>
      <w:bookmarkStart w:id="106" w:name="_Toc69609824"/>
      <w:bookmarkStart w:id="107" w:name="_Toc70241822"/>
      <w:bookmarkStart w:id="108" w:name="_Toc70242211"/>
      <w:bookmarkStart w:id="109" w:name="_Toc421794881"/>
      <w:bookmarkStart w:id="110" w:name="_Toc421795447"/>
      <w:bookmarkStart w:id="111" w:name="_Toc421796028"/>
      <w:bookmarkStart w:id="112" w:name="_Toc422728963"/>
      <w:bookmarkStart w:id="113" w:name="_Toc422834166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rFonts w:hint="eastAsia"/>
        </w:rPr>
        <w:t>調查意見</w:t>
      </w:r>
      <w:r>
        <w:rPr>
          <w:rFonts w:ascii="新細明體" w:eastAsia="新細明體" w:hAnsi="新細明體" w:hint="eastAsia"/>
        </w:rPr>
        <w:t>（</w:t>
      </w:r>
      <w:r w:rsidRPr="00543BF2">
        <w:rPr>
          <w:rFonts w:hAnsi="標楷體" w:hint="eastAsia"/>
        </w:rPr>
        <w:t>含案由、處理辦法、調查委員姓名，不含附表</w:t>
      </w:r>
      <w:r>
        <w:rPr>
          <w:rFonts w:hAnsi="標楷體" w:hint="eastAsia"/>
        </w:rPr>
        <w:t>）</w:t>
      </w:r>
      <w:r>
        <w:rPr>
          <w:rFonts w:hint="eastAsia"/>
        </w:rPr>
        <w:t>，遮隱檢察官與被告姓名後，上網公布。</w:t>
      </w:r>
    </w:p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p w:rsidR="00503CD4" w:rsidRDefault="00503CD4" w:rsidP="00503CD4">
      <w:pPr>
        <w:pStyle w:val="2"/>
        <w:numPr>
          <w:ilvl w:val="0"/>
          <w:numId w:val="0"/>
        </w:numPr>
        <w:ind w:left="340"/>
        <w:rPr>
          <w:rFonts w:hint="eastAsia"/>
        </w:rPr>
      </w:pPr>
    </w:p>
    <w:p w:rsidR="00503CD4" w:rsidRDefault="00503CD4" w:rsidP="00503CD4">
      <w:pPr>
        <w:pStyle w:val="a3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503CD4" w:rsidRDefault="00503CD4" w:rsidP="00503CD4">
      <w:pPr>
        <w:pStyle w:val="a3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調查委員：趙永清</w:t>
      </w:r>
      <w:bookmarkStart w:id="114" w:name="_GoBack"/>
      <w:bookmarkEnd w:id="114"/>
    </w:p>
    <w:p w:rsidR="00503CD4" w:rsidRDefault="00503CD4" w:rsidP="00503CD4">
      <w:pPr>
        <w:pStyle w:val="a3"/>
        <w:spacing w:before="0" w:after="0"/>
        <w:ind w:leftChars="1075" w:left="3657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</w:t>
      </w:r>
      <w:r>
        <w:rPr>
          <w:b w:val="0"/>
          <w:bCs/>
          <w:snapToGrid/>
          <w:spacing w:val="12"/>
          <w:kern w:val="0"/>
          <w:sz w:val="40"/>
        </w:rPr>
        <w:t xml:space="preserve">         高涌誠</w:t>
      </w:r>
    </w:p>
    <w:p w:rsidR="00503CD4" w:rsidRDefault="00503CD4" w:rsidP="00503CD4">
      <w:pPr>
        <w:pStyle w:val="a3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03CD4" w:rsidRDefault="00503CD4" w:rsidP="00503CD4">
      <w:pPr>
        <w:pStyle w:val="a3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03CD4" w:rsidRDefault="00503CD4" w:rsidP="00503CD4">
      <w:pPr>
        <w:pStyle w:val="a3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03CD4" w:rsidRDefault="00503CD4" w:rsidP="00503CD4">
      <w:pPr>
        <w:pStyle w:val="a6"/>
        <w:kinsoku/>
        <w:autoSpaceDE w:val="0"/>
        <w:spacing w:line="240" w:lineRule="atLeast"/>
        <w:ind w:left="1020" w:hanging="1020"/>
        <w:rPr>
          <w:bCs/>
        </w:rPr>
      </w:pPr>
    </w:p>
    <w:p w:rsidR="00503CD4" w:rsidRPr="00503CD4" w:rsidRDefault="00503CD4"/>
    <w:sectPr w:rsidR="00503CD4" w:rsidRPr="00503CD4" w:rsidSect="00543BF2">
      <w:footerReference w:type="default" r:id="rId5"/>
      <w:pgSz w:w="11907" w:h="16840" w:code="9"/>
      <w:pgMar w:top="1701" w:right="1418" w:bottom="1418" w:left="1418" w:header="851" w:footer="851" w:gutter="227"/>
      <w:pgNumType w:start="29"/>
      <w:cols w:space="425"/>
      <w:docGrid w:type="linesAndChars" w:linePitch="457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3B0" w:rsidRDefault="00503CD4">
    <w:pPr>
      <w:pStyle w:val="a9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2C23B0" w:rsidRDefault="00503CD4">
    <w:pPr>
      <w:framePr w:wrap="auto" w:hAnchor="text" w:y="-955"/>
      <w:ind w:left="640" w:right="360" w:firstLine="448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10C"/>
    <w:multiLevelType w:val="multilevel"/>
    <w:tmpl w:val="3D2AD6E0"/>
    <w:lvl w:ilvl="0">
      <w:start w:val="1"/>
      <w:numFmt w:val="ideographLegalTraditional"/>
      <w:pStyle w:val="1"/>
      <w:suff w:val="nothing"/>
      <w:lvlText w:val="%1、"/>
      <w:lvlJc w:val="left"/>
      <w:pPr>
        <w:ind w:left="8618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248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D4"/>
    <w:rsid w:val="005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92DF3-B0D6-43C0-B0A0-2528F999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CD4"/>
    <w:pPr>
      <w:widowControl w:val="0"/>
      <w:overflowPunct w:val="0"/>
      <w:autoSpaceDE w:val="0"/>
      <w:autoSpaceDN w:val="0"/>
      <w:jc w:val="both"/>
    </w:pPr>
    <w:rPr>
      <w:rFonts w:ascii="標楷體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503CD4"/>
    <w:pPr>
      <w:numPr>
        <w:numId w:val="1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"/>
    <w:link w:val="20"/>
    <w:qFormat/>
    <w:rsid w:val="00503CD4"/>
    <w:pPr>
      <w:numPr>
        <w:ilvl w:val="1"/>
        <w:numId w:val="1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"/>
    <w:link w:val="30"/>
    <w:qFormat/>
    <w:rsid w:val="00503CD4"/>
    <w:pPr>
      <w:numPr>
        <w:ilvl w:val="2"/>
        <w:numId w:val="1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"/>
    <w:link w:val="40"/>
    <w:qFormat/>
    <w:rsid w:val="00503CD4"/>
    <w:pPr>
      <w:numPr>
        <w:ilvl w:val="3"/>
        <w:numId w:val="1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"/>
    <w:link w:val="50"/>
    <w:qFormat/>
    <w:rsid w:val="00503CD4"/>
    <w:pPr>
      <w:numPr>
        <w:ilvl w:val="4"/>
        <w:numId w:val="1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"/>
    <w:link w:val="60"/>
    <w:qFormat/>
    <w:rsid w:val="00503CD4"/>
    <w:pPr>
      <w:numPr>
        <w:ilvl w:val="5"/>
        <w:numId w:val="1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"/>
    <w:link w:val="70"/>
    <w:qFormat/>
    <w:rsid w:val="00503CD4"/>
    <w:pPr>
      <w:numPr>
        <w:ilvl w:val="6"/>
        <w:numId w:val="1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"/>
    <w:link w:val="80"/>
    <w:qFormat/>
    <w:rsid w:val="00503CD4"/>
    <w:pPr>
      <w:numPr>
        <w:ilvl w:val="7"/>
        <w:numId w:val="1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"/>
    <w:link w:val="90"/>
    <w:uiPriority w:val="9"/>
    <w:unhideWhenUsed/>
    <w:qFormat/>
    <w:rsid w:val="00503CD4"/>
    <w:pPr>
      <w:numPr>
        <w:ilvl w:val="8"/>
        <w:numId w:val="1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03CD4"/>
    <w:rPr>
      <w:rFonts w:ascii="標楷體" w:eastAsia="標楷體" w:hAnsi="Arial" w:cs="Times New Roman"/>
      <w:bCs/>
      <w:kern w:val="32"/>
      <w:sz w:val="32"/>
      <w:szCs w:val="52"/>
    </w:rPr>
  </w:style>
  <w:style w:type="character" w:customStyle="1" w:styleId="20">
    <w:name w:val="標題 2 字元"/>
    <w:basedOn w:val="a0"/>
    <w:link w:val="2"/>
    <w:rsid w:val="00503CD4"/>
    <w:rPr>
      <w:rFonts w:ascii="標楷體" w:eastAsia="標楷體" w:hAnsi="Arial" w:cs="Times New Roman"/>
      <w:bCs/>
      <w:kern w:val="32"/>
      <w:sz w:val="32"/>
      <w:szCs w:val="48"/>
    </w:rPr>
  </w:style>
  <w:style w:type="character" w:customStyle="1" w:styleId="30">
    <w:name w:val="標題 3 字元"/>
    <w:basedOn w:val="a0"/>
    <w:link w:val="3"/>
    <w:rsid w:val="00503CD4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40">
    <w:name w:val="標題 4 字元"/>
    <w:basedOn w:val="a0"/>
    <w:link w:val="4"/>
    <w:rsid w:val="00503CD4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50">
    <w:name w:val="標題 5 字元"/>
    <w:basedOn w:val="a0"/>
    <w:link w:val="5"/>
    <w:rsid w:val="00503CD4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60">
    <w:name w:val="標題 6 字元"/>
    <w:basedOn w:val="a0"/>
    <w:link w:val="6"/>
    <w:rsid w:val="00503CD4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70">
    <w:name w:val="標題 7 字元"/>
    <w:basedOn w:val="a0"/>
    <w:link w:val="7"/>
    <w:rsid w:val="00503CD4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80">
    <w:name w:val="標題 8 字元"/>
    <w:basedOn w:val="a0"/>
    <w:link w:val="8"/>
    <w:rsid w:val="00503CD4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90">
    <w:name w:val="標題 9 字元"/>
    <w:basedOn w:val="a0"/>
    <w:link w:val="9"/>
    <w:uiPriority w:val="9"/>
    <w:rsid w:val="00503CD4"/>
    <w:rPr>
      <w:rFonts w:ascii="標楷體" w:eastAsia="標楷體" w:hAnsiTheme="majorHAnsi" w:cstheme="majorBidi"/>
      <w:kern w:val="32"/>
      <w:sz w:val="32"/>
      <w:szCs w:val="36"/>
    </w:rPr>
  </w:style>
  <w:style w:type="paragraph" w:styleId="a3">
    <w:name w:val="Signature"/>
    <w:basedOn w:val="a"/>
    <w:link w:val="a4"/>
    <w:semiHidden/>
    <w:rsid w:val="00503CD4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503CD4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character" w:styleId="a5">
    <w:name w:val="page number"/>
    <w:basedOn w:val="a0"/>
    <w:semiHidden/>
    <w:rsid w:val="00503CD4"/>
    <w:rPr>
      <w:rFonts w:ascii="標楷體" w:eastAsia="標楷體"/>
      <w:sz w:val="20"/>
    </w:rPr>
  </w:style>
  <w:style w:type="paragraph" w:customStyle="1" w:styleId="11">
    <w:name w:val="段落樣式1"/>
    <w:basedOn w:val="a"/>
    <w:qFormat/>
    <w:rsid w:val="00503CD4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a6">
    <w:name w:val="附件"/>
    <w:basedOn w:val="a7"/>
    <w:rsid w:val="00503CD4"/>
    <w:pPr>
      <w:kinsoku w:val="0"/>
      <w:autoSpaceDE/>
      <w:snapToGrid/>
      <w:ind w:left="1047" w:hangingChars="300" w:hanging="1047"/>
      <w:jc w:val="both"/>
    </w:pPr>
    <w:rPr>
      <w:kern w:val="0"/>
    </w:rPr>
  </w:style>
  <w:style w:type="paragraph" w:customStyle="1" w:styleId="a8">
    <w:name w:val="調查報告"/>
    <w:basedOn w:val="a7"/>
    <w:rsid w:val="00503CD4"/>
    <w:pPr>
      <w:kinsoku w:val="0"/>
      <w:autoSpaceDE/>
      <w:adjustRightInd w:val="0"/>
      <w:snapToGrid/>
      <w:jc w:val="center"/>
    </w:pPr>
    <w:rPr>
      <w:b/>
      <w:spacing w:val="200"/>
      <w:kern w:val="0"/>
      <w:sz w:val="40"/>
    </w:rPr>
  </w:style>
  <w:style w:type="paragraph" w:styleId="a9">
    <w:name w:val="footer"/>
    <w:basedOn w:val="a"/>
    <w:link w:val="aa"/>
    <w:semiHidden/>
    <w:rsid w:val="00503C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503CD4"/>
    <w:rPr>
      <w:rFonts w:ascii="標楷體" w:eastAsia="標楷體" w:hAnsi="Times New Roman" w:cs="Times New Roman"/>
      <w:sz w:val="20"/>
      <w:szCs w:val="20"/>
    </w:rPr>
  </w:style>
  <w:style w:type="paragraph" w:styleId="a7">
    <w:name w:val="endnote text"/>
    <w:basedOn w:val="a"/>
    <w:link w:val="ab"/>
    <w:uiPriority w:val="99"/>
    <w:semiHidden/>
    <w:unhideWhenUsed/>
    <w:rsid w:val="00503CD4"/>
    <w:pPr>
      <w:snapToGrid w:val="0"/>
      <w:jc w:val="left"/>
    </w:pPr>
  </w:style>
  <w:style w:type="character" w:customStyle="1" w:styleId="ab">
    <w:name w:val="章節附註文字 字元"/>
    <w:basedOn w:val="a0"/>
    <w:link w:val="a7"/>
    <w:uiPriority w:val="99"/>
    <w:semiHidden/>
    <w:rsid w:val="00503CD4"/>
    <w:rPr>
      <w:rFonts w:ascii="標楷體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賴淑玲</dc:creator>
  <cp:keywords/>
  <dc:description/>
  <cp:lastModifiedBy>賴淑玲</cp:lastModifiedBy>
  <cp:revision>1</cp:revision>
  <dcterms:created xsi:type="dcterms:W3CDTF">2023-11-21T07:03:00Z</dcterms:created>
  <dcterms:modified xsi:type="dcterms:W3CDTF">2023-11-21T07:06:00Z</dcterms:modified>
</cp:coreProperties>
</file>