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59C" w:rsidRPr="00953E18" w:rsidRDefault="0095759C" w:rsidP="0095759C">
      <w:pPr>
        <w:pStyle w:val="af6"/>
      </w:pPr>
      <w:bookmarkStart w:id="0" w:name="_Hlk144105893"/>
      <w:r w:rsidRPr="00953E18">
        <w:rPr>
          <w:rFonts w:hint="eastAsia"/>
        </w:rPr>
        <w:t>調查報告</w:t>
      </w:r>
    </w:p>
    <w:p w:rsidR="0095759C" w:rsidRPr="00953E18" w:rsidRDefault="0095759C" w:rsidP="009B3C59">
      <w:pPr>
        <w:pStyle w:val="1"/>
        <w:numPr>
          <w:ilvl w:val="0"/>
          <w:numId w:val="10"/>
        </w:numPr>
        <w:ind w:left="2324" w:hanging="2378"/>
        <w:rPr>
          <w:b/>
        </w:rPr>
      </w:pPr>
      <w:r w:rsidRPr="00953E18">
        <w:rPr>
          <w:rFonts w:hint="eastAsia"/>
        </w:rPr>
        <w:t>案　　由：依據衛生福利部發布新聞表示</w:t>
      </w:r>
      <w:r w:rsidR="00C222D5" w:rsidRPr="00953E18">
        <w:rPr>
          <w:rFonts w:hint="eastAsia"/>
        </w:rPr>
        <w:t>，</w:t>
      </w:r>
      <w:r w:rsidRPr="00953E18">
        <w:rPr>
          <w:rFonts w:hint="eastAsia"/>
        </w:rPr>
        <w:t>為強化我國藥品穩定供應機制，</w:t>
      </w:r>
      <w:proofErr w:type="gramStart"/>
      <w:r w:rsidRPr="00953E18">
        <w:rPr>
          <w:rFonts w:hint="eastAsia"/>
        </w:rPr>
        <w:t>解決缺藥問題</w:t>
      </w:r>
      <w:proofErr w:type="gramEnd"/>
      <w:r w:rsidRPr="00953E18">
        <w:rPr>
          <w:rFonts w:hint="eastAsia"/>
        </w:rPr>
        <w:t>，擬定短中</w:t>
      </w:r>
      <w:r w:rsidR="00E9641C" w:rsidRPr="00953E18">
        <w:rPr>
          <w:rFonts w:hint="eastAsia"/>
        </w:rPr>
        <w:t>長</w:t>
      </w:r>
      <w:r w:rsidRPr="00953E18">
        <w:rPr>
          <w:rFonts w:hint="eastAsia"/>
        </w:rPr>
        <w:t>期策略。</w:t>
      </w:r>
      <w:proofErr w:type="gramStart"/>
      <w:r w:rsidRPr="00953E18">
        <w:rPr>
          <w:rFonts w:hint="eastAsia"/>
        </w:rPr>
        <w:t>惟</w:t>
      </w:r>
      <w:r w:rsidR="00C222D5" w:rsidRPr="00953E18">
        <w:rPr>
          <w:rFonts w:hint="eastAsia"/>
        </w:rPr>
        <w:t>按</w:t>
      </w:r>
      <w:r w:rsidRPr="00953E18">
        <w:rPr>
          <w:rFonts w:hint="eastAsia"/>
        </w:rPr>
        <w:t>藥事</w:t>
      </w:r>
      <w:proofErr w:type="gramEnd"/>
      <w:r w:rsidRPr="00953E18">
        <w:rPr>
          <w:rFonts w:hint="eastAsia"/>
        </w:rPr>
        <w:t>法第27條之2規定，藥商持有經中央衛生主管機關公告為必要藥品之許可證，如有無法繼續製造、輸入或不足供應該藥品之虞時，應至少於</w:t>
      </w:r>
      <w:r w:rsidR="00F4708C" w:rsidRPr="00953E18">
        <w:rPr>
          <w:rFonts w:hint="eastAsia"/>
        </w:rPr>
        <w:t>6</w:t>
      </w:r>
      <w:r w:rsidRPr="00953E18">
        <w:rPr>
          <w:rFonts w:hint="eastAsia"/>
        </w:rPr>
        <w:t>個月前向中央衛生主管機關通報；如因天災或其他不應歸責於藥商之事由，而未及於前述期間內通報者，應於事件發生後</w:t>
      </w:r>
      <w:r w:rsidR="00F4708C" w:rsidRPr="00953E18">
        <w:rPr>
          <w:rFonts w:hint="eastAsia"/>
        </w:rPr>
        <w:t>3</w:t>
      </w:r>
      <w:r w:rsidR="00F4708C" w:rsidRPr="00953E18">
        <w:t>0</w:t>
      </w:r>
      <w:r w:rsidRPr="00953E18">
        <w:rPr>
          <w:rFonts w:hint="eastAsia"/>
        </w:rPr>
        <w:t>日內向中央衛生主管機關通報。上開通報機制，有無落實執行及積極解決？有待調查</w:t>
      </w:r>
      <w:proofErr w:type="gramStart"/>
      <w:r w:rsidRPr="00953E18">
        <w:rPr>
          <w:rFonts w:hint="eastAsia"/>
        </w:rPr>
        <w:t>釐</w:t>
      </w:r>
      <w:proofErr w:type="gramEnd"/>
      <w:r w:rsidRPr="00953E18">
        <w:rPr>
          <w:rFonts w:hint="eastAsia"/>
        </w:rPr>
        <w:t>清。</w:t>
      </w:r>
      <w:proofErr w:type="gramStart"/>
      <w:r w:rsidRPr="00953E18">
        <w:rPr>
          <w:rFonts w:hint="eastAsia"/>
        </w:rPr>
        <w:t>此外，</w:t>
      </w:r>
      <w:proofErr w:type="gramEnd"/>
      <w:r w:rsidRPr="00953E18">
        <w:rPr>
          <w:rFonts w:hint="eastAsia"/>
        </w:rPr>
        <w:t>依據衛生福利部公布各類缺藥品項，包括便秘、腹瀉、止痛、抗生素、降血壓、降血脂等藥物均出現短缺，其中固有其他替代藥物可以使用，但有些藥物例如</w:t>
      </w:r>
      <w:proofErr w:type="gramStart"/>
      <w:r w:rsidRPr="00953E18">
        <w:rPr>
          <w:rFonts w:hint="eastAsia"/>
        </w:rPr>
        <w:t>急救插管藥</w:t>
      </w:r>
      <w:proofErr w:type="gramEnd"/>
      <w:r w:rsidRPr="00953E18">
        <w:rPr>
          <w:rFonts w:hint="eastAsia"/>
        </w:rPr>
        <w:t>物</w:t>
      </w:r>
      <w:proofErr w:type="spellStart"/>
      <w:r w:rsidRPr="00953E18">
        <w:rPr>
          <w:rFonts w:hint="eastAsia"/>
        </w:rPr>
        <w:t>Cisatracurium</w:t>
      </w:r>
      <w:proofErr w:type="spellEnd"/>
      <w:r w:rsidRPr="00953E18">
        <w:rPr>
          <w:rFonts w:hint="eastAsia"/>
        </w:rPr>
        <w:t>面臨嚴重缺貨，危及肺炎重症患者之生命。而患者持有慢箋，已經付費，竟無法領取藥物，嚴重影響民眾用藥權益及身體健康，相關主管機關有無違失，有立案調查之必要案。</w:t>
      </w:r>
    </w:p>
    <w:p w:rsidR="0095759C" w:rsidRPr="00953E18" w:rsidRDefault="0095759C" w:rsidP="009B3C59">
      <w:pPr>
        <w:pStyle w:val="1"/>
        <w:numPr>
          <w:ilvl w:val="0"/>
          <w:numId w:val="10"/>
        </w:numPr>
        <w:ind w:left="426"/>
        <w:rPr>
          <w:rFonts w:hAnsi="標楷體"/>
          <w:b/>
        </w:rPr>
      </w:pPr>
      <w:r w:rsidRPr="00953E18">
        <w:rPr>
          <w:rFonts w:hAnsi="標楷體" w:hint="eastAsia"/>
          <w:b/>
        </w:rPr>
        <w:t>調查意見：</w:t>
      </w:r>
    </w:p>
    <w:p w:rsidR="00E14668" w:rsidRPr="00953E18" w:rsidRDefault="00E14668" w:rsidP="009100B4">
      <w:pPr>
        <w:pStyle w:val="2"/>
        <w:numPr>
          <w:ilvl w:val="0"/>
          <w:numId w:val="0"/>
        </w:numPr>
        <w:ind w:left="686" w:firstLineChars="201" w:firstLine="684"/>
        <w:rPr>
          <w:rFonts w:hAnsi="標楷體"/>
        </w:rPr>
      </w:pPr>
      <w:r w:rsidRPr="00953E18">
        <w:rPr>
          <w:rFonts w:hAnsi="標楷體" w:hint="eastAsia"/>
        </w:rPr>
        <w:t>按</w:t>
      </w:r>
      <w:r w:rsidR="001E5418" w:rsidRPr="00953E18">
        <w:rPr>
          <w:rFonts w:hAnsi="標楷體" w:hint="eastAsia"/>
        </w:rPr>
        <w:t>憲法</w:t>
      </w:r>
      <w:r w:rsidR="00877B97" w:rsidRPr="00953E18">
        <w:rPr>
          <w:rFonts w:hAnsi="標楷體" w:hint="eastAsia"/>
        </w:rPr>
        <w:t>第22條規定，凡人民之其他自由及權利，不妨害社會秩序公共利益者，</w:t>
      </w:r>
      <w:proofErr w:type="gramStart"/>
      <w:r w:rsidR="00877B97" w:rsidRPr="00953E18">
        <w:rPr>
          <w:rFonts w:hAnsi="標楷體" w:hint="eastAsia"/>
        </w:rPr>
        <w:t>均受憲法</w:t>
      </w:r>
      <w:proofErr w:type="gramEnd"/>
      <w:r w:rsidR="00877B97" w:rsidRPr="00953E18">
        <w:rPr>
          <w:rFonts w:hAnsi="標楷體" w:hint="eastAsia"/>
        </w:rPr>
        <w:t>之保障。</w:t>
      </w:r>
      <w:r w:rsidR="009100B4" w:rsidRPr="00953E18">
        <w:rPr>
          <w:rFonts w:hAnsi="標楷體" w:hint="eastAsia"/>
        </w:rPr>
        <w:t>憲法增修條文第10條第8項規定，國家應重視醫療保健社會福利工作。按</w:t>
      </w:r>
      <w:r w:rsidR="00454C0D" w:rsidRPr="00953E18">
        <w:rPr>
          <w:rFonts w:hAnsi="標楷體" w:hint="eastAsia"/>
        </w:rPr>
        <w:t>司法院釋字第</w:t>
      </w:r>
      <w:r w:rsidR="009100B4" w:rsidRPr="00953E18">
        <w:rPr>
          <w:rFonts w:hAnsi="標楷體" w:hint="eastAsia"/>
        </w:rPr>
        <w:t>785號解釋</w:t>
      </w:r>
      <w:r w:rsidR="00E50CAD" w:rsidRPr="00953E18">
        <w:rPr>
          <w:rFonts w:hAnsi="標楷體" w:hint="eastAsia"/>
        </w:rPr>
        <w:t>理由書表示</w:t>
      </w:r>
      <w:r w:rsidR="009D6A37" w:rsidRPr="00953E18">
        <w:rPr>
          <w:rStyle w:val="aff3"/>
          <w:rFonts w:hAnsi="標楷體"/>
        </w:rPr>
        <w:footnoteReference w:id="1"/>
      </w:r>
      <w:r w:rsidR="009100B4" w:rsidRPr="00953E18">
        <w:rPr>
          <w:rFonts w:hAnsi="標楷體" w:hint="eastAsia"/>
        </w:rPr>
        <w:t>，人民之健康權，為憲法第22條所保障之基本權利（司法院釋字</w:t>
      </w:r>
      <w:r w:rsidR="009100B4" w:rsidRPr="00953E18">
        <w:rPr>
          <w:rFonts w:hAnsi="標楷體" w:hint="eastAsia"/>
        </w:rPr>
        <w:lastRenderedPageBreak/>
        <w:t>第753號及第767號解釋參照</w:t>
      </w:r>
      <w:r w:rsidR="009100B4" w:rsidRPr="00953E18">
        <w:rPr>
          <w:rStyle w:val="aff3"/>
          <w:rFonts w:hAnsi="標楷體"/>
        </w:rPr>
        <w:footnoteReference w:id="2"/>
      </w:r>
      <w:r w:rsidR="009100B4" w:rsidRPr="00953E18">
        <w:rPr>
          <w:rFonts w:hAnsi="標楷體" w:hint="eastAsia"/>
        </w:rPr>
        <w:t>）</w:t>
      </w:r>
      <w:r w:rsidR="00E50CAD" w:rsidRPr="00953E18">
        <w:rPr>
          <w:rFonts w:hAnsi="標楷體" w:hint="eastAsia"/>
        </w:rPr>
        <w:t>，</w:t>
      </w:r>
      <w:r w:rsidR="009100B4" w:rsidRPr="00953E18">
        <w:rPr>
          <w:rFonts w:hAnsi="標楷體" w:hint="eastAsia"/>
        </w:rPr>
        <w:t>憲法所保障之健康權，旨在保障人民生理及心理機能之完整性，不受任意侵害，且國家對人民身心健康亦負一定照顧義務。再</w:t>
      </w:r>
      <w:r w:rsidRPr="00953E18">
        <w:rPr>
          <w:rFonts w:hAnsi="標楷體" w:hint="eastAsia"/>
        </w:rPr>
        <w:t>按經濟社會文化權利國際公約第</w:t>
      </w:r>
      <w:r w:rsidRPr="00953E18">
        <w:rPr>
          <w:rFonts w:hAnsi="標楷體"/>
        </w:rPr>
        <w:t>12</w:t>
      </w:r>
      <w:r w:rsidRPr="00953E18">
        <w:rPr>
          <w:rFonts w:hAnsi="標楷體" w:hint="eastAsia"/>
        </w:rPr>
        <w:t>條規定：「一、本公約締約國確認人人有權享受可能達到之最高標準之身體與精神健康。二、本公約締約國為求充分實現此種權利所採取之步驟，應包括為達成下列目的所必要之措施：…</w:t>
      </w:r>
      <w:proofErr w:type="gramStart"/>
      <w:r w:rsidRPr="00953E18">
        <w:rPr>
          <w:rFonts w:hAnsi="標楷體" w:hint="eastAsia"/>
        </w:rPr>
        <w:t>…</w:t>
      </w:r>
      <w:proofErr w:type="gramEnd"/>
      <w:r w:rsidRPr="00953E18">
        <w:rPr>
          <w:rFonts w:hAnsi="標楷體"/>
        </w:rPr>
        <w:t>(</w:t>
      </w:r>
      <w:r w:rsidRPr="00953E18">
        <w:rPr>
          <w:rFonts w:hAnsi="標楷體" w:hint="eastAsia"/>
        </w:rPr>
        <w:t>四</w:t>
      </w:r>
      <w:r w:rsidRPr="00953E18">
        <w:rPr>
          <w:rFonts w:hAnsi="標楷體"/>
        </w:rPr>
        <w:t>)</w:t>
      </w:r>
      <w:r w:rsidRPr="00953E18">
        <w:rPr>
          <w:rFonts w:hAnsi="標楷體" w:hint="eastAsia"/>
        </w:rPr>
        <w:t>創造環境，確保人人患病</w:t>
      </w:r>
      <w:proofErr w:type="gramStart"/>
      <w:r w:rsidRPr="00953E18">
        <w:rPr>
          <w:rFonts w:hAnsi="標楷體" w:hint="eastAsia"/>
        </w:rPr>
        <w:t>時均能享</w:t>
      </w:r>
      <w:proofErr w:type="gramEnd"/>
      <w:r w:rsidRPr="00953E18">
        <w:rPr>
          <w:rFonts w:hAnsi="標楷體" w:hint="eastAsia"/>
        </w:rPr>
        <w:t>受醫藥服務與醫藥護理。」</w:t>
      </w:r>
    </w:p>
    <w:p w:rsidR="00186002" w:rsidRPr="00953E18" w:rsidRDefault="009100B4" w:rsidP="009100B4">
      <w:pPr>
        <w:pStyle w:val="2"/>
        <w:numPr>
          <w:ilvl w:val="0"/>
          <w:numId w:val="0"/>
        </w:numPr>
        <w:ind w:left="728" w:firstLineChars="193" w:firstLine="656"/>
        <w:rPr>
          <w:rFonts w:hAnsi="標楷體"/>
        </w:rPr>
      </w:pPr>
      <w:r w:rsidRPr="00953E18">
        <w:rPr>
          <w:rFonts w:hAnsi="標楷體" w:hint="eastAsia"/>
        </w:rPr>
        <w:t>近期我國</w:t>
      </w:r>
      <w:proofErr w:type="gramStart"/>
      <w:r w:rsidRPr="00953E18">
        <w:rPr>
          <w:rFonts w:hAnsi="標楷體" w:hint="eastAsia"/>
        </w:rPr>
        <w:t>發生缺藥風暴</w:t>
      </w:r>
      <w:proofErr w:type="gramEnd"/>
      <w:r w:rsidRPr="00953E18">
        <w:rPr>
          <w:rFonts w:hAnsi="標楷體" w:hint="eastAsia"/>
        </w:rPr>
        <w:t>，</w:t>
      </w:r>
      <w:r w:rsidR="00186002" w:rsidRPr="00953E18">
        <w:rPr>
          <w:rFonts w:hAnsi="標楷體" w:hint="eastAsia"/>
        </w:rPr>
        <w:t>依據衛生福利部</w:t>
      </w:r>
      <w:r w:rsidR="00E9641C" w:rsidRPr="00953E18">
        <w:rPr>
          <w:rFonts w:hAnsi="標楷體" w:hint="eastAsia"/>
        </w:rPr>
        <w:t>(下稱衛福部)</w:t>
      </w:r>
      <w:r w:rsidR="00186002" w:rsidRPr="00953E18">
        <w:rPr>
          <w:rFonts w:hAnsi="標楷體" w:hint="eastAsia"/>
        </w:rPr>
        <w:t>發布新聞表示</w:t>
      </w:r>
      <w:r w:rsidR="00B97BC3" w:rsidRPr="00953E18">
        <w:rPr>
          <w:rFonts w:hAnsi="標楷體" w:hint="eastAsia"/>
        </w:rPr>
        <w:t>，</w:t>
      </w:r>
      <w:r w:rsidR="00186002" w:rsidRPr="00953E18">
        <w:rPr>
          <w:rFonts w:hAnsi="標楷體" w:hint="eastAsia"/>
        </w:rPr>
        <w:t>為強化我國藥品穩定供應機制，</w:t>
      </w:r>
      <w:proofErr w:type="gramStart"/>
      <w:r w:rsidR="00186002" w:rsidRPr="00953E18">
        <w:rPr>
          <w:rFonts w:hAnsi="標楷體" w:hint="eastAsia"/>
        </w:rPr>
        <w:t>解決缺藥問</w:t>
      </w:r>
      <w:proofErr w:type="gramEnd"/>
      <w:r w:rsidR="00186002" w:rsidRPr="00953E18">
        <w:rPr>
          <w:rFonts w:hAnsi="標楷體" w:hint="eastAsia"/>
        </w:rPr>
        <w:t>題，擬定短中</w:t>
      </w:r>
      <w:r w:rsidR="00D90298" w:rsidRPr="00953E18">
        <w:rPr>
          <w:rFonts w:hAnsi="標楷體" w:hint="eastAsia"/>
        </w:rPr>
        <w:t>長</w:t>
      </w:r>
      <w:r w:rsidR="00186002" w:rsidRPr="00953E18">
        <w:rPr>
          <w:rFonts w:hAnsi="標楷體" w:hint="eastAsia"/>
        </w:rPr>
        <w:t>期策略。</w:t>
      </w:r>
      <w:proofErr w:type="gramStart"/>
      <w:r w:rsidR="00186002" w:rsidRPr="00953E18">
        <w:rPr>
          <w:rFonts w:hAnsi="標楷體" w:hint="eastAsia"/>
        </w:rPr>
        <w:t>惟</w:t>
      </w:r>
      <w:r w:rsidRPr="00953E18">
        <w:rPr>
          <w:rFonts w:hAnsi="標楷體" w:hint="eastAsia"/>
        </w:rPr>
        <w:t>按</w:t>
      </w:r>
      <w:r w:rsidR="00186002" w:rsidRPr="00953E18">
        <w:rPr>
          <w:rFonts w:hAnsi="標楷體" w:hint="eastAsia"/>
        </w:rPr>
        <w:t>藥事</w:t>
      </w:r>
      <w:proofErr w:type="gramEnd"/>
      <w:r w:rsidR="00186002" w:rsidRPr="00953E18">
        <w:rPr>
          <w:rFonts w:hAnsi="標楷體" w:hint="eastAsia"/>
        </w:rPr>
        <w:t>法第27條之2規定，藥商持有經中央衛生主管機關公告為必要藥品之許可證，如有無法繼續製造、輸入或不足供應該藥品之虞時，應至少於6個月前向中央衛生主管機關通報；如因天災或其他不應歸責於藥商之事由，而未及於前述期間內通報者，應於事件發生後3</w:t>
      </w:r>
      <w:r w:rsidR="00186002" w:rsidRPr="00953E18">
        <w:rPr>
          <w:rFonts w:hAnsi="標楷體"/>
        </w:rPr>
        <w:t>0</w:t>
      </w:r>
      <w:r w:rsidR="00186002" w:rsidRPr="00953E18">
        <w:rPr>
          <w:rFonts w:hAnsi="標楷體" w:hint="eastAsia"/>
        </w:rPr>
        <w:t>日內向中央衛生主管機關通報。上開通報機制，有無落實執行及積極解決？有待調查</w:t>
      </w:r>
      <w:proofErr w:type="gramStart"/>
      <w:r w:rsidR="00186002" w:rsidRPr="00953E18">
        <w:rPr>
          <w:rFonts w:hAnsi="標楷體" w:hint="eastAsia"/>
        </w:rPr>
        <w:t>釐</w:t>
      </w:r>
      <w:proofErr w:type="gramEnd"/>
      <w:r w:rsidR="00186002" w:rsidRPr="00953E18">
        <w:rPr>
          <w:rFonts w:hAnsi="標楷體" w:hint="eastAsia"/>
        </w:rPr>
        <w:t>清。</w:t>
      </w:r>
      <w:proofErr w:type="gramStart"/>
      <w:r w:rsidR="00186002" w:rsidRPr="00953E18">
        <w:rPr>
          <w:rFonts w:hAnsi="標楷體" w:hint="eastAsia"/>
        </w:rPr>
        <w:t>此外，</w:t>
      </w:r>
      <w:proofErr w:type="gramEnd"/>
      <w:r w:rsidR="00186002" w:rsidRPr="00953E18">
        <w:rPr>
          <w:rFonts w:hAnsi="標楷體" w:hint="eastAsia"/>
        </w:rPr>
        <w:t>依據衛福部公布各類缺藥品項，包括便秘、腹瀉、止痛、抗生素、降血壓、降血脂等藥物均出現短缺，其中固有其他替代藥物可以使用，但有些藥物例如</w:t>
      </w:r>
      <w:proofErr w:type="gramStart"/>
      <w:r w:rsidR="00186002" w:rsidRPr="00953E18">
        <w:rPr>
          <w:rFonts w:hAnsi="標楷體" w:hint="eastAsia"/>
        </w:rPr>
        <w:t>急救插管藥</w:t>
      </w:r>
      <w:proofErr w:type="gramEnd"/>
      <w:r w:rsidR="00186002" w:rsidRPr="00953E18">
        <w:rPr>
          <w:rFonts w:hAnsi="標楷體" w:hint="eastAsia"/>
        </w:rPr>
        <w:t>物</w:t>
      </w:r>
      <w:proofErr w:type="spellStart"/>
      <w:r w:rsidR="00186002" w:rsidRPr="00953E18">
        <w:rPr>
          <w:rFonts w:hAnsi="標楷體" w:hint="eastAsia"/>
        </w:rPr>
        <w:t>Cisatracurium</w:t>
      </w:r>
      <w:proofErr w:type="spellEnd"/>
      <w:r w:rsidR="00186002" w:rsidRPr="00953E18">
        <w:rPr>
          <w:rFonts w:hAnsi="標楷體" w:hint="eastAsia"/>
        </w:rPr>
        <w:t>面臨嚴重缺貨，危及肺炎重症患者之生命。而患者持有慢箋，已經付費，竟無法領取藥物，嚴重影響民眾用藥權益及身體健康，相關主管機關有無違失，有立案調查之必要。</w:t>
      </w:r>
    </w:p>
    <w:p w:rsidR="00186002" w:rsidRPr="00953E18" w:rsidRDefault="00186002" w:rsidP="007E262F">
      <w:pPr>
        <w:pStyle w:val="2"/>
        <w:numPr>
          <w:ilvl w:val="0"/>
          <w:numId w:val="0"/>
        </w:numPr>
        <w:ind w:left="700"/>
        <w:rPr>
          <w:rFonts w:hAnsi="標楷體"/>
        </w:rPr>
      </w:pPr>
      <w:r w:rsidRPr="00953E18">
        <w:rPr>
          <w:rFonts w:hAnsi="標楷體" w:hint="eastAsia"/>
        </w:rPr>
        <w:t xml:space="preserve">    案經本院向</w:t>
      </w:r>
      <w:proofErr w:type="gramStart"/>
      <w:r w:rsidRPr="00953E18">
        <w:rPr>
          <w:rFonts w:hAnsi="標楷體" w:hint="eastAsia"/>
        </w:rPr>
        <w:t>衛福部調閱</w:t>
      </w:r>
      <w:proofErr w:type="gramEnd"/>
      <w:r w:rsidRPr="00953E18">
        <w:rPr>
          <w:rFonts w:hAnsi="標楷體" w:hint="eastAsia"/>
        </w:rPr>
        <w:t>相關卷證</w:t>
      </w:r>
      <w:r w:rsidR="006573C0" w:rsidRPr="00953E18">
        <w:rPr>
          <w:rStyle w:val="aff3"/>
          <w:rFonts w:hAnsi="標楷體"/>
        </w:rPr>
        <w:footnoteReference w:id="3"/>
      </w:r>
      <w:r w:rsidRPr="00953E18">
        <w:rPr>
          <w:rFonts w:hAnsi="標楷體" w:hint="eastAsia"/>
        </w:rPr>
        <w:t>，並</w:t>
      </w:r>
      <w:r w:rsidR="00E9641C" w:rsidRPr="00953E18">
        <w:rPr>
          <w:rFonts w:hAnsi="標楷體" w:hint="eastAsia"/>
        </w:rPr>
        <w:t>分別</w:t>
      </w:r>
      <w:r w:rsidRPr="00953E18">
        <w:rPr>
          <w:rFonts w:hAnsi="標楷體" w:hint="eastAsia"/>
        </w:rPr>
        <w:t>於民國(下同)112年4月25日及5月29日就國內藥品管控機制及</w:t>
      </w:r>
      <w:r w:rsidRPr="00953E18">
        <w:rPr>
          <w:rFonts w:hAnsi="標楷體" w:hint="eastAsia"/>
        </w:rPr>
        <w:lastRenderedPageBreak/>
        <w:t>藥品短缺配套措施等議題，諮詢</w:t>
      </w:r>
      <w:r w:rsidR="00E9641C" w:rsidRPr="00953E18">
        <w:rPr>
          <w:rFonts w:hAnsi="標楷體" w:hint="eastAsia"/>
        </w:rPr>
        <w:t>醫學中心藥劑部、社區藥局</w:t>
      </w:r>
      <w:r w:rsidR="00E10AAD" w:rsidRPr="00953E18">
        <w:rPr>
          <w:rFonts w:hAnsi="標楷體" w:hint="eastAsia"/>
        </w:rPr>
        <w:t>、</w:t>
      </w:r>
      <w:r w:rsidR="00B97BC3" w:rsidRPr="00953E18">
        <w:rPr>
          <w:rFonts w:hAnsi="標楷體" w:hint="eastAsia"/>
        </w:rPr>
        <w:t>臺灣</w:t>
      </w:r>
      <w:r w:rsidR="00E10AAD" w:rsidRPr="00953E18">
        <w:rPr>
          <w:rFonts w:hAnsi="標楷體" w:hint="eastAsia"/>
        </w:rPr>
        <w:t>製藥工業同業公會、</w:t>
      </w:r>
      <w:r w:rsidR="00B97BC3" w:rsidRPr="00953E18">
        <w:rPr>
          <w:rFonts w:hAnsi="標楷體" w:hint="eastAsia"/>
        </w:rPr>
        <w:t>中華民國</w:t>
      </w:r>
      <w:r w:rsidR="00E10AAD" w:rsidRPr="00953E18">
        <w:rPr>
          <w:rFonts w:hAnsi="標楷體" w:hint="eastAsia"/>
        </w:rPr>
        <w:t>西藥代理商同業公會、</w:t>
      </w:r>
      <w:r w:rsidR="00B97BC3" w:rsidRPr="00953E18">
        <w:rPr>
          <w:rFonts w:hAnsi="標楷體" w:hint="eastAsia"/>
        </w:rPr>
        <w:t>中華民國</w:t>
      </w:r>
      <w:r w:rsidR="00E10AAD" w:rsidRPr="00953E18">
        <w:rPr>
          <w:rFonts w:hAnsi="標楷體" w:hint="eastAsia"/>
        </w:rPr>
        <w:t>醫師公會全</w:t>
      </w:r>
      <w:r w:rsidR="00B97BC3" w:rsidRPr="00953E18">
        <w:rPr>
          <w:rFonts w:hAnsi="標楷體" w:hint="eastAsia"/>
        </w:rPr>
        <w:t>國</w:t>
      </w:r>
      <w:r w:rsidR="00E10AAD" w:rsidRPr="00953E18">
        <w:rPr>
          <w:rFonts w:hAnsi="標楷體" w:hint="eastAsia"/>
        </w:rPr>
        <w:t>聯</w:t>
      </w:r>
      <w:r w:rsidR="00B97BC3" w:rsidRPr="00953E18">
        <w:rPr>
          <w:rFonts w:hAnsi="標楷體" w:hint="eastAsia"/>
        </w:rPr>
        <w:t>合</w:t>
      </w:r>
      <w:r w:rsidR="00E10AAD" w:rsidRPr="00953E18">
        <w:rPr>
          <w:rFonts w:hAnsi="標楷體" w:hint="eastAsia"/>
        </w:rPr>
        <w:t>會及</w:t>
      </w:r>
      <w:r w:rsidR="00B97BC3" w:rsidRPr="00953E18">
        <w:rPr>
          <w:rFonts w:hAnsi="標楷體" w:hint="eastAsia"/>
        </w:rPr>
        <w:t>社團法人中華民國</w:t>
      </w:r>
      <w:r w:rsidR="00E10AAD" w:rsidRPr="00953E18">
        <w:rPr>
          <w:rFonts w:hAnsi="標楷體" w:hint="eastAsia"/>
        </w:rPr>
        <w:t>藥師公會全</w:t>
      </w:r>
      <w:r w:rsidR="00B97BC3" w:rsidRPr="00953E18">
        <w:rPr>
          <w:rFonts w:hAnsi="標楷體" w:hint="eastAsia"/>
        </w:rPr>
        <w:t>國</w:t>
      </w:r>
      <w:r w:rsidR="00E10AAD" w:rsidRPr="00953E18">
        <w:rPr>
          <w:rFonts w:hAnsi="標楷體" w:hint="eastAsia"/>
        </w:rPr>
        <w:t>聯</w:t>
      </w:r>
      <w:r w:rsidR="00B97BC3" w:rsidRPr="00953E18">
        <w:rPr>
          <w:rFonts w:hAnsi="標楷體" w:hint="eastAsia"/>
        </w:rPr>
        <w:t>合</w:t>
      </w:r>
      <w:r w:rsidR="00E10AAD" w:rsidRPr="00953E18">
        <w:rPr>
          <w:rFonts w:hAnsi="標楷體" w:hint="eastAsia"/>
        </w:rPr>
        <w:t>會等領域專家或代表</w:t>
      </w:r>
      <w:r w:rsidRPr="00953E18">
        <w:rPr>
          <w:rFonts w:hAnsi="標楷體" w:hint="eastAsia"/>
        </w:rPr>
        <w:t>；復就本案爭點於112年9月7日</w:t>
      </w:r>
      <w:r w:rsidR="00E10AAD" w:rsidRPr="00953E18">
        <w:rPr>
          <w:rFonts w:hAnsi="標楷體" w:hint="eastAsia"/>
        </w:rPr>
        <w:t>詢問</w:t>
      </w:r>
      <w:r w:rsidR="006573C0" w:rsidRPr="00953E18">
        <w:rPr>
          <w:rStyle w:val="aff3"/>
          <w:rFonts w:hAnsi="標楷體"/>
        </w:rPr>
        <w:footnoteReference w:id="4"/>
      </w:r>
      <w:r w:rsidRPr="00953E18">
        <w:rPr>
          <w:rFonts w:hAnsi="標楷體" w:hint="eastAsia"/>
        </w:rPr>
        <w:t>衛福部周志浩常務次長、該部食品藥物管理署(下</w:t>
      </w:r>
      <w:proofErr w:type="gramStart"/>
      <w:r w:rsidRPr="00953E18">
        <w:rPr>
          <w:rFonts w:hAnsi="標楷體" w:hint="eastAsia"/>
        </w:rPr>
        <w:t>稱食藥署</w:t>
      </w:r>
      <w:proofErr w:type="gramEnd"/>
      <w:r w:rsidRPr="00953E18">
        <w:rPr>
          <w:rFonts w:hAnsi="標楷體" w:hint="eastAsia"/>
        </w:rPr>
        <w:t>)吳秀梅署長、中央健康</w:t>
      </w:r>
      <w:proofErr w:type="gramStart"/>
      <w:r w:rsidRPr="00953E18">
        <w:rPr>
          <w:rFonts w:hAnsi="標楷體" w:hint="eastAsia"/>
        </w:rPr>
        <w:t>保險</w:t>
      </w:r>
      <w:proofErr w:type="gramEnd"/>
      <w:r w:rsidRPr="00953E18">
        <w:rPr>
          <w:rFonts w:hAnsi="標楷體" w:hint="eastAsia"/>
        </w:rPr>
        <w:t>署(下稱健保署)蔡淑鈴副署長及相關主管人員，業</w:t>
      </w:r>
      <w:proofErr w:type="gramStart"/>
      <w:r w:rsidRPr="00953E18">
        <w:rPr>
          <w:rFonts w:hAnsi="標楷體" w:hint="eastAsia"/>
        </w:rPr>
        <w:t>調查竣</w:t>
      </w:r>
      <w:proofErr w:type="gramEnd"/>
      <w:r w:rsidRPr="00953E18">
        <w:rPr>
          <w:rFonts w:hAnsi="標楷體" w:hint="eastAsia"/>
        </w:rPr>
        <w:t>事，茲</w:t>
      </w:r>
      <w:r w:rsidR="00CE701F" w:rsidRPr="00953E18">
        <w:rPr>
          <w:rFonts w:hAnsi="標楷體" w:hint="eastAsia"/>
        </w:rPr>
        <w:t>敘</w:t>
      </w:r>
      <w:r w:rsidRPr="00953E18">
        <w:rPr>
          <w:rFonts w:hAnsi="標楷體" w:hint="eastAsia"/>
        </w:rPr>
        <w:t>述調查意見如次：</w:t>
      </w:r>
    </w:p>
    <w:p w:rsidR="00FE1C0D" w:rsidRPr="00953E18" w:rsidRDefault="00653321" w:rsidP="00D3775A">
      <w:pPr>
        <w:pStyle w:val="2"/>
        <w:numPr>
          <w:ilvl w:val="1"/>
          <w:numId w:val="29"/>
        </w:numPr>
        <w:ind w:left="1050" w:hanging="708"/>
        <w:rPr>
          <w:rFonts w:hAnsi="標楷體"/>
          <w:b/>
        </w:rPr>
      </w:pPr>
      <w:bookmarkStart w:id="1" w:name="_Hlk123221031"/>
      <w:proofErr w:type="gramStart"/>
      <w:r w:rsidRPr="00953E18">
        <w:rPr>
          <w:rFonts w:hAnsi="標楷體" w:hint="eastAsia"/>
          <w:b/>
        </w:rPr>
        <w:t>食藥署</w:t>
      </w:r>
      <w:proofErr w:type="gramEnd"/>
      <w:r w:rsidRPr="00953E18">
        <w:rPr>
          <w:rFonts w:hAnsi="標楷體" w:hint="eastAsia"/>
          <w:b/>
        </w:rPr>
        <w:t>對於必要藥品短缺之管理機制，僅著重於接獲藥品短缺通報後之</w:t>
      </w:r>
      <w:r w:rsidR="001941D4" w:rsidRPr="00953E18">
        <w:rPr>
          <w:rFonts w:hAnsi="標楷體" w:hint="eastAsia"/>
          <w:b/>
        </w:rPr>
        <w:t>供應量</w:t>
      </w:r>
      <w:r w:rsidRPr="00953E18">
        <w:rPr>
          <w:rFonts w:hAnsi="標楷體" w:hint="eastAsia"/>
          <w:b/>
        </w:rPr>
        <w:t>調查、替代藥品評估等作為，關於藥商是否確實依法通報之前端作業，</w:t>
      </w:r>
      <w:r w:rsidR="008C1AC5" w:rsidRPr="00953E18">
        <w:rPr>
          <w:rFonts w:hAnsi="標楷體" w:hint="eastAsia"/>
          <w:b/>
        </w:rPr>
        <w:t>卻</w:t>
      </w:r>
      <w:r w:rsidRPr="00953E18">
        <w:rPr>
          <w:rFonts w:hAnsi="標楷體" w:hint="eastAsia"/>
          <w:b/>
        </w:rPr>
        <w:t>主要以提醒方式辦理，欠缺主動監測、查核及管理機制，致無法掌握必要藥品確實之供應量及儲備量，難以</w:t>
      </w:r>
      <w:proofErr w:type="gramStart"/>
      <w:r w:rsidRPr="00953E18">
        <w:rPr>
          <w:rFonts w:hAnsi="標楷體" w:hint="eastAsia"/>
          <w:b/>
        </w:rPr>
        <w:t>避免缺藥情</w:t>
      </w:r>
      <w:proofErr w:type="gramEnd"/>
      <w:r w:rsidRPr="00953E18">
        <w:rPr>
          <w:rFonts w:hAnsi="標楷體" w:hint="eastAsia"/>
          <w:b/>
        </w:rPr>
        <w:t>事發生，確有未當</w:t>
      </w:r>
      <w:r w:rsidR="00FE1C0D" w:rsidRPr="00953E18">
        <w:rPr>
          <w:rFonts w:hAnsi="標楷體" w:hint="eastAsia"/>
          <w:b/>
        </w:rPr>
        <w:t>。</w:t>
      </w:r>
    </w:p>
    <w:p w:rsidR="0080563E" w:rsidRPr="00953E18" w:rsidRDefault="00D90298" w:rsidP="00A50191">
      <w:pPr>
        <w:pStyle w:val="3"/>
        <w:rPr>
          <w:rFonts w:hAnsi="標楷體"/>
        </w:rPr>
      </w:pPr>
      <w:proofErr w:type="gramStart"/>
      <w:r w:rsidRPr="00953E18">
        <w:rPr>
          <w:rFonts w:hAnsi="標楷體" w:hint="eastAsia"/>
        </w:rPr>
        <w:t>按藥事</w:t>
      </w:r>
      <w:proofErr w:type="gramEnd"/>
      <w:r w:rsidRPr="00953E18">
        <w:rPr>
          <w:rFonts w:hAnsi="標楷體" w:hint="eastAsia"/>
        </w:rPr>
        <w:t>法第2條及第27條之2第1款分別規定：「本法所稱衛生主管機關：在中央為衛生福利部；在直轄市為直轄市政府；在縣（市）為縣（市）政府。」、「藥商持有經中央衛生主管機關公告為必要藥品之許可證，如有無法繼續製造、輸入或不足供應該藥品之虞時，應至少於6個月前向中央衛生主管機關通報；如因天災或其他不應歸責於藥商之事由，而未及於前述期間內通報者，應於事件發生後30日內向中央衛生主管機關通報。」</w:t>
      </w:r>
      <w:proofErr w:type="gramStart"/>
      <w:r w:rsidR="0080563E" w:rsidRPr="00953E18">
        <w:rPr>
          <w:rFonts w:hAnsi="標楷體" w:hint="eastAsia"/>
        </w:rPr>
        <w:t>復按衛生</w:t>
      </w:r>
      <w:proofErr w:type="gramEnd"/>
      <w:r w:rsidR="0080563E" w:rsidRPr="00953E18">
        <w:rPr>
          <w:rFonts w:hAnsi="標楷體" w:hint="eastAsia"/>
        </w:rPr>
        <w:t>福利部組織法第5條第1項第2款規定，該部次級機關</w:t>
      </w:r>
      <w:proofErr w:type="gramStart"/>
      <w:r w:rsidR="0080563E" w:rsidRPr="00953E18">
        <w:rPr>
          <w:rFonts w:hAnsi="標楷體" w:hint="eastAsia"/>
        </w:rPr>
        <w:t>食藥</w:t>
      </w:r>
      <w:proofErr w:type="gramEnd"/>
      <w:r w:rsidR="0080563E" w:rsidRPr="00953E18">
        <w:rPr>
          <w:rFonts w:hAnsi="標楷體" w:hint="eastAsia"/>
        </w:rPr>
        <w:t>署負責規劃與執行食品、「藥物」與化粧品之管理、查核及檢驗事項。基此，</w:t>
      </w:r>
      <w:proofErr w:type="gramStart"/>
      <w:r w:rsidR="0080563E" w:rsidRPr="00953E18">
        <w:rPr>
          <w:rFonts w:hAnsi="標楷體" w:hint="eastAsia"/>
        </w:rPr>
        <w:t>食藥署</w:t>
      </w:r>
      <w:proofErr w:type="gramEnd"/>
      <w:r w:rsidR="0080563E" w:rsidRPr="00953E18">
        <w:rPr>
          <w:rFonts w:hAnsi="標楷體" w:hint="eastAsia"/>
        </w:rPr>
        <w:t>對於藥商就必要藥品通報責任負有管理之責。</w:t>
      </w:r>
    </w:p>
    <w:p w:rsidR="00E765E7" w:rsidRPr="00953E18" w:rsidRDefault="00FE1C0D" w:rsidP="00A50191">
      <w:pPr>
        <w:pStyle w:val="3"/>
        <w:rPr>
          <w:rFonts w:hAnsi="標楷體"/>
          <w:b/>
        </w:rPr>
      </w:pPr>
      <w:proofErr w:type="gramStart"/>
      <w:r w:rsidRPr="00953E18">
        <w:rPr>
          <w:rFonts w:hAnsi="標楷體" w:hint="eastAsia"/>
          <w:b/>
        </w:rPr>
        <w:t>食藥署</w:t>
      </w:r>
      <w:proofErr w:type="gramEnd"/>
      <w:r w:rsidRPr="00953E18">
        <w:rPr>
          <w:rFonts w:hAnsi="標楷體" w:hint="eastAsia"/>
          <w:b/>
        </w:rPr>
        <w:t>於105年制定「</w:t>
      </w:r>
      <w:r w:rsidRPr="00953E18">
        <w:rPr>
          <w:rFonts w:hAnsi="標楷體"/>
          <w:b/>
        </w:rPr>
        <w:t>藥事法第</w:t>
      </w:r>
      <w:r w:rsidRPr="00953E18">
        <w:rPr>
          <w:rFonts w:hAnsi="標楷體" w:hint="eastAsia"/>
          <w:b/>
        </w:rPr>
        <w:t>27</w:t>
      </w:r>
      <w:r w:rsidRPr="00953E18">
        <w:rPr>
          <w:rFonts w:hAnsi="標楷體"/>
          <w:b/>
        </w:rPr>
        <w:t>條之</w:t>
      </w:r>
      <w:r w:rsidRPr="00953E18">
        <w:rPr>
          <w:rFonts w:hAnsi="標楷體" w:hint="eastAsia"/>
          <w:b/>
        </w:rPr>
        <w:t>2</w:t>
      </w:r>
      <w:r w:rsidRPr="00953E18">
        <w:rPr>
          <w:rFonts w:hAnsi="標楷體"/>
          <w:b/>
        </w:rPr>
        <w:t>必要藥品清</w:t>
      </w:r>
      <w:r w:rsidRPr="00953E18">
        <w:rPr>
          <w:rFonts w:hAnsi="標楷體"/>
          <w:b/>
        </w:rPr>
        <w:lastRenderedPageBreak/>
        <w:t>單</w:t>
      </w:r>
      <w:r w:rsidRPr="00953E18">
        <w:rPr>
          <w:rFonts w:hAnsi="標楷體" w:hint="eastAsia"/>
          <w:b/>
        </w:rPr>
        <w:t>」，近期</w:t>
      </w:r>
      <w:proofErr w:type="gramStart"/>
      <w:r w:rsidRPr="00953E18">
        <w:rPr>
          <w:rFonts w:hAnsi="標楷體" w:hint="eastAsia"/>
          <w:b/>
        </w:rPr>
        <w:t>因缺藥問</w:t>
      </w:r>
      <w:proofErr w:type="gramEnd"/>
      <w:r w:rsidRPr="00953E18">
        <w:rPr>
          <w:rFonts w:hAnsi="標楷體" w:hint="eastAsia"/>
          <w:b/>
        </w:rPr>
        <w:t>題延燒，於112年7月17日預告修正，品項數擴增為479項，另於105年建置「西藥供應資訊平台」，迄112年6月止接獲藥商通報必要藥品短缺案件共計250件：</w:t>
      </w:r>
    </w:p>
    <w:p w:rsidR="006943BA" w:rsidRPr="00953E18" w:rsidRDefault="006943BA" w:rsidP="00E765E7">
      <w:pPr>
        <w:pStyle w:val="4"/>
        <w:rPr>
          <w:rFonts w:hAnsi="標楷體"/>
        </w:rPr>
      </w:pPr>
      <w:proofErr w:type="gramStart"/>
      <w:r w:rsidRPr="00953E18">
        <w:rPr>
          <w:rFonts w:hAnsi="標楷體" w:hint="eastAsia"/>
        </w:rPr>
        <w:t>食藥署</w:t>
      </w:r>
      <w:proofErr w:type="gramEnd"/>
      <w:r w:rsidRPr="00953E18">
        <w:rPr>
          <w:rFonts w:hAnsi="標楷體" w:hint="eastAsia"/>
        </w:rPr>
        <w:t>於105年12月6日依上開規定制定「</w:t>
      </w:r>
      <w:r w:rsidRPr="00953E18">
        <w:rPr>
          <w:rFonts w:hAnsi="標楷體"/>
        </w:rPr>
        <w:t>藥事法第</w:t>
      </w:r>
      <w:r w:rsidRPr="00953E18">
        <w:rPr>
          <w:rFonts w:hAnsi="標楷體" w:hint="eastAsia"/>
        </w:rPr>
        <w:t>27</w:t>
      </w:r>
      <w:r w:rsidRPr="00953E18">
        <w:rPr>
          <w:rFonts w:hAnsi="標楷體"/>
        </w:rPr>
        <w:t>條之</w:t>
      </w:r>
      <w:r w:rsidRPr="00953E18">
        <w:rPr>
          <w:rFonts w:hAnsi="標楷體" w:hint="eastAsia"/>
        </w:rPr>
        <w:t>2</w:t>
      </w:r>
      <w:r w:rsidRPr="00953E18">
        <w:rPr>
          <w:rFonts w:hAnsi="標楷體"/>
        </w:rPr>
        <w:t>必要藥品清單</w:t>
      </w:r>
      <w:r w:rsidRPr="00953E18">
        <w:rPr>
          <w:rFonts w:hAnsi="標楷體" w:hint="eastAsia"/>
        </w:rPr>
        <w:t>」(下稱必要藥品清單)，</w:t>
      </w:r>
      <w:r w:rsidR="004D369E" w:rsidRPr="00953E18">
        <w:rPr>
          <w:rFonts w:hAnsi="標楷體" w:hint="eastAsia"/>
        </w:rPr>
        <w:t>公布必要藥品</w:t>
      </w:r>
      <w:r w:rsidRPr="00953E18">
        <w:rPr>
          <w:rFonts w:hAnsi="標楷體" w:hint="eastAsia"/>
        </w:rPr>
        <w:t>數計311項，並分別於10</w:t>
      </w:r>
      <w:r w:rsidR="004D369E" w:rsidRPr="00953E18">
        <w:rPr>
          <w:rFonts w:hAnsi="標楷體" w:hint="eastAsia"/>
        </w:rPr>
        <w:t>7</w:t>
      </w:r>
      <w:r w:rsidRPr="00953E18">
        <w:rPr>
          <w:rFonts w:hAnsi="標楷體" w:hint="eastAsia"/>
        </w:rPr>
        <w:t>年及109年修正必要藥品清單，品項數分別計294項及398項</w:t>
      </w:r>
      <w:r w:rsidR="006573C0" w:rsidRPr="00953E18">
        <w:rPr>
          <w:rFonts w:hAnsi="標楷體" w:hint="eastAsia"/>
        </w:rPr>
        <w:t>，</w:t>
      </w:r>
      <w:r w:rsidR="00FE1C0D" w:rsidRPr="00953E18">
        <w:rPr>
          <w:rFonts w:hAnsi="標楷體" w:hint="eastAsia"/>
        </w:rPr>
        <w:t>近期</w:t>
      </w:r>
      <w:proofErr w:type="gramStart"/>
      <w:r w:rsidR="00FE1C0D" w:rsidRPr="00953E18">
        <w:rPr>
          <w:rFonts w:hAnsi="標楷體" w:hint="eastAsia"/>
        </w:rPr>
        <w:t>因缺藥問</w:t>
      </w:r>
      <w:proofErr w:type="gramEnd"/>
      <w:r w:rsidR="00FE1C0D" w:rsidRPr="00953E18">
        <w:rPr>
          <w:rFonts w:hAnsi="標楷體" w:hint="eastAsia"/>
        </w:rPr>
        <w:t>題延燒，</w:t>
      </w:r>
      <w:r w:rsidR="0027128B" w:rsidRPr="00953E18">
        <w:rPr>
          <w:rFonts w:hAnsi="標楷體" w:hint="eastAsia"/>
        </w:rPr>
        <w:t>該署重新盤點及評估必要藥品清單後，於112年7月17日</w:t>
      </w:r>
      <w:r w:rsidR="006573C0" w:rsidRPr="00953E18">
        <w:rPr>
          <w:rFonts w:hAnsi="標楷體" w:hint="eastAsia"/>
        </w:rPr>
        <w:t>預告</w:t>
      </w:r>
      <w:r w:rsidR="0027128B" w:rsidRPr="00953E18">
        <w:rPr>
          <w:rFonts w:hAnsi="標楷體" w:hint="eastAsia"/>
        </w:rPr>
        <w:t>修正</w:t>
      </w:r>
      <w:r w:rsidR="006573C0" w:rsidRPr="00953E18">
        <w:rPr>
          <w:rFonts w:hAnsi="標楷體" w:hint="eastAsia"/>
        </w:rPr>
        <w:t>，品項數擴增為479項</w:t>
      </w:r>
      <w:r w:rsidR="00613646" w:rsidRPr="00953E18">
        <w:rPr>
          <w:rFonts w:hAnsi="標楷體" w:hint="eastAsia"/>
        </w:rPr>
        <w:t>，</w:t>
      </w:r>
      <w:r w:rsidR="006573C0" w:rsidRPr="00953E18">
        <w:rPr>
          <w:rFonts w:hAnsi="標楷體" w:hint="eastAsia"/>
        </w:rPr>
        <w:t>詳如下表。</w:t>
      </w:r>
    </w:p>
    <w:p w:rsidR="006573C0" w:rsidRPr="00953E18" w:rsidRDefault="006573C0" w:rsidP="006E6A1B">
      <w:pPr>
        <w:pStyle w:val="a5"/>
        <w:numPr>
          <w:ilvl w:val="0"/>
          <w:numId w:val="49"/>
        </w:numPr>
        <w:ind w:firstLine="513"/>
        <w:rPr>
          <w:rFonts w:hAnsi="標楷體"/>
        </w:rPr>
      </w:pPr>
      <w:r w:rsidRPr="00953E18">
        <w:rPr>
          <w:rFonts w:hAnsi="標楷體" w:hint="eastAsia"/>
        </w:rPr>
        <w:t>藥事法第27條之2必要藥品清單制定/修正情形表</w:t>
      </w:r>
    </w:p>
    <w:tbl>
      <w:tblPr>
        <w:tblStyle w:val="afb"/>
        <w:tblW w:w="6855" w:type="dxa"/>
        <w:tblInd w:w="1555" w:type="dxa"/>
        <w:tblLook w:val="04A0" w:firstRow="1" w:lastRow="0" w:firstColumn="1" w:lastColumn="0" w:noHBand="0" w:noVBand="1"/>
      </w:tblPr>
      <w:tblGrid>
        <w:gridCol w:w="2394"/>
        <w:gridCol w:w="2394"/>
        <w:gridCol w:w="2067"/>
      </w:tblGrid>
      <w:tr w:rsidR="006573C0" w:rsidRPr="00953E18" w:rsidTr="006573C0">
        <w:trPr>
          <w:trHeight w:val="363"/>
          <w:tblHeader/>
        </w:trPr>
        <w:tc>
          <w:tcPr>
            <w:tcW w:w="2394" w:type="dxa"/>
            <w:shd w:val="clear" w:color="auto" w:fill="DAEEF3" w:themeFill="accent5" w:themeFillTint="33"/>
          </w:tcPr>
          <w:p w:rsidR="006573C0" w:rsidRPr="00953E18" w:rsidRDefault="006573C0" w:rsidP="00A50191">
            <w:pPr>
              <w:pStyle w:val="3"/>
              <w:numPr>
                <w:ilvl w:val="0"/>
                <w:numId w:val="0"/>
              </w:numPr>
              <w:ind w:leftChars="8" w:left="27"/>
              <w:jc w:val="center"/>
              <w:rPr>
                <w:rFonts w:hAnsi="標楷體"/>
                <w:sz w:val="28"/>
              </w:rPr>
            </w:pPr>
            <w:r w:rsidRPr="00953E18">
              <w:rPr>
                <w:rFonts w:hAnsi="標楷體" w:hint="eastAsia"/>
                <w:sz w:val="28"/>
              </w:rPr>
              <w:t>制定/修正情形</w:t>
            </w:r>
          </w:p>
        </w:tc>
        <w:tc>
          <w:tcPr>
            <w:tcW w:w="2394" w:type="dxa"/>
            <w:shd w:val="clear" w:color="auto" w:fill="DAEEF3" w:themeFill="accent5" w:themeFillTint="33"/>
            <w:vAlign w:val="center"/>
          </w:tcPr>
          <w:p w:rsidR="006573C0" w:rsidRPr="00953E18" w:rsidRDefault="006573C0" w:rsidP="00A50191">
            <w:pPr>
              <w:pStyle w:val="3"/>
              <w:numPr>
                <w:ilvl w:val="0"/>
                <w:numId w:val="0"/>
              </w:numPr>
              <w:jc w:val="center"/>
              <w:rPr>
                <w:rFonts w:hAnsi="標楷體"/>
                <w:sz w:val="28"/>
              </w:rPr>
            </w:pPr>
            <w:r w:rsidRPr="00953E18">
              <w:rPr>
                <w:rFonts w:hAnsi="標楷體" w:hint="eastAsia"/>
                <w:sz w:val="28"/>
              </w:rPr>
              <w:t>公告日期</w:t>
            </w:r>
          </w:p>
        </w:tc>
        <w:tc>
          <w:tcPr>
            <w:tcW w:w="2067" w:type="dxa"/>
            <w:shd w:val="clear" w:color="auto" w:fill="DAEEF3" w:themeFill="accent5" w:themeFillTint="33"/>
            <w:vAlign w:val="center"/>
          </w:tcPr>
          <w:p w:rsidR="006573C0" w:rsidRPr="00953E18" w:rsidRDefault="006573C0" w:rsidP="00A50191">
            <w:pPr>
              <w:pStyle w:val="3"/>
              <w:numPr>
                <w:ilvl w:val="0"/>
                <w:numId w:val="0"/>
              </w:numPr>
              <w:jc w:val="center"/>
              <w:rPr>
                <w:rFonts w:hAnsi="標楷體"/>
                <w:sz w:val="28"/>
              </w:rPr>
            </w:pPr>
            <w:r w:rsidRPr="00953E18">
              <w:rPr>
                <w:rFonts w:hAnsi="標楷體" w:hint="eastAsia"/>
                <w:sz w:val="28"/>
              </w:rPr>
              <w:t>品項數</w:t>
            </w:r>
          </w:p>
        </w:tc>
      </w:tr>
      <w:tr w:rsidR="006573C0" w:rsidRPr="00953E18" w:rsidTr="006573C0">
        <w:trPr>
          <w:trHeight w:val="363"/>
        </w:trPr>
        <w:tc>
          <w:tcPr>
            <w:tcW w:w="2394" w:type="dxa"/>
            <w:vAlign w:val="center"/>
          </w:tcPr>
          <w:p w:rsidR="006573C0" w:rsidRPr="00953E18" w:rsidRDefault="006573C0" w:rsidP="00A50191">
            <w:pPr>
              <w:pStyle w:val="3"/>
              <w:numPr>
                <w:ilvl w:val="0"/>
                <w:numId w:val="0"/>
              </w:numPr>
              <w:rPr>
                <w:rFonts w:hAnsi="標楷體"/>
                <w:sz w:val="28"/>
              </w:rPr>
            </w:pPr>
            <w:r w:rsidRPr="00953E18">
              <w:rPr>
                <w:rFonts w:hAnsi="標楷體" w:hint="eastAsia"/>
                <w:sz w:val="28"/>
              </w:rPr>
              <w:t>制定</w:t>
            </w:r>
          </w:p>
        </w:tc>
        <w:tc>
          <w:tcPr>
            <w:tcW w:w="2394" w:type="dxa"/>
            <w:vAlign w:val="center"/>
          </w:tcPr>
          <w:p w:rsidR="006573C0" w:rsidRPr="00953E18" w:rsidRDefault="006573C0" w:rsidP="002F7F45">
            <w:pPr>
              <w:pStyle w:val="3"/>
              <w:numPr>
                <w:ilvl w:val="0"/>
                <w:numId w:val="0"/>
              </w:numPr>
              <w:jc w:val="center"/>
              <w:rPr>
                <w:rFonts w:hAnsi="標楷體"/>
                <w:sz w:val="28"/>
              </w:rPr>
            </w:pPr>
            <w:r w:rsidRPr="00953E18">
              <w:rPr>
                <w:rFonts w:hAnsi="標楷體" w:hint="eastAsia"/>
                <w:sz w:val="28"/>
              </w:rPr>
              <w:t>105</w:t>
            </w:r>
            <w:r w:rsidR="002F7F45" w:rsidRPr="00953E18">
              <w:rPr>
                <w:rFonts w:hAnsi="標楷體" w:hint="eastAsia"/>
                <w:sz w:val="28"/>
              </w:rPr>
              <w:t>/</w:t>
            </w:r>
            <w:r w:rsidRPr="00953E18">
              <w:rPr>
                <w:rFonts w:hAnsi="標楷體" w:hint="eastAsia"/>
                <w:sz w:val="28"/>
              </w:rPr>
              <w:t>12</w:t>
            </w:r>
            <w:r w:rsidR="002F7F45" w:rsidRPr="00953E18">
              <w:rPr>
                <w:rFonts w:hAnsi="標楷體" w:hint="eastAsia"/>
                <w:sz w:val="28"/>
              </w:rPr>
              <w:t>/</w:t>
            </w:r>
            <w:r w:rsidRPr="00953E18">
              <w:rPr>
                <w:rFonts w:hAnsi="標楷體" w:hint="eastAsia"/>
                <w:sz w:val="28"/>
              </w:rPr>
              <w:t>6</w:t>
            </w:r>
          </w:p>
        </w:tc>
        <w:tc>
          <w:tcPr>
            <w:tcW w:w="2067" w:type="dxa"/>
            <w:vAlign w:val="center"/>
          </w:tcPr>
          <w:p w:rsidR="006573C0" w:rsidRPr="00953E18" w:rsidRDefault="006573C0" w:rsidP="00A50191">
            <w:pPr>
              <w:pStyle w:val="3"/>
              <w:numPr>
                <w:ilvl w:val="0"/>
                <w:numId w:val="0"/>
              </w:numPr>
              <w:jc w:val="center"/>
              <w:rPr>
                <w:rFonts w:hAnsi="標楷體"/>
                <w:sz w:val="28"/>
              </w:rPr>
            </w:pPr>
            <w:r w:rsidRPr="00953E18">
              <w:rPr>
                <w:rFonts w:hAnsi="標楷體" w:hint="eastAsia"/>
                <w:sz w:val="28"/>
              </w:rPr>
              <w:t>311項</w:t>
            </w:r>
          </w:p>
        </w:tc>
      </w:tr>
      <w:tr w:rsidR="006573C0" w:rsidRPr="00953E18" w:rsidTr="006573C0">
        <w:trPr>
          <w:trHeight w:val="363"/>
        </w:trPr>
        <w:tc>
          <w:tcPr>
            <w:tcW w:w="2394" w:type="dxa"/>
            <w:vAlign w:val="center"/>
          </w:tcPr>
          <w:p w:rsidR="006573C0" w:rsidRPr="00953E18" w:rsidRDefault="006573C0" w:rsidP="00A50191">
            <w:pPr>
              <w:pStyle w:val="3"/>
              <w:numPr>
                <w:ilvl w:val="0"/>
                <w:numId w:val="0"/>
              </w:numPr>
              <w:rPr>
                <w:rFonts w:hAnsi="標楷體"/>
                <w:sz w:val="28"/>
              </w:rPr>
            </w:pPr>
            <w:r w:rsidRPr="00953E18">
              <w:rPr>
                <w:rFonts w:hAnsi="標楷體" w:hint="eastAsia"/>
                <w:sz w:val="28"/>
              </w:rPr>
              <w:t>第1次修正</w:t>
            </w:r>
          </w:p>
        </w:tc>
        <w:tc>
          <w:tcPr>
            <w:tcW w:w="2394" w:type="dxa"/>
            <w:vAlign w:val="center"/>
          </w:tcPr>
          <w:p w:rsidR="006573C0" w:rsidRPr="00953E18" w:rsidRDefault="006573C0" w:rsidP="002F7F45">
            <w:pPr>
              <w:pStyle w:val="3"/>
              <w:numPr>
                <w:ilvl w:val="0"/>
                <w:numId w:val="0"/>
              </w:numPr>
              <w:jc w:val="center"/>
              <w:rPr>
                <w:rFonts w:hAnsi="標楷體"/>
                <w:sz w:val="28"/>
              </w:rPr>
            </w:pPr>
            <w:r w:rsidRPr="00953E18">
              <w:rPr>
                <w:rFonts w:hAnsi="標楷體" w:hint="eastAsia"/>
                <w:sz w:val="28"/>
              </w:rPr>
              <w:t>107</w:t>
            </w:r>
            <w:r w:rsidR="002F7F45" w:rsidRPr="00953E18">
              <w:rPr>
                <w:rFonts w:hAnsi="標楷體" w:hint="eastAsia"/>
                <w:sz w:val="28"/>
              </w:rPr>
              <w:t>/</w:t>
            </w:r>
            <w:r w:rsidRPr="00953E18">
              <w:rPr>
                <w:rFonts w:hAnsi="標楷體" w:hint="eastAsia"/>
                <w:sz w:val="28"/>
              </w:rPr>
              <w:t>6</w:t>
            </w:r>
            <w:r w:rsidR="002F7F45" w:rsidRPr="00953E18">
              <w:rPr>
                <w:rFonts w:hAnsi="標楷體" w:hint="eastAsia"/>
                <w:sz w:val="28"/>
              </w:rPr>
              <w:t>/</w:t>
            </w:r>
            <w:r w:rsidRPr="00953E18">
              <w:rPr>
                <w:rFonts w:hAnsi="標楷體" w:hint="eastAsia"/>
                <w:sz w:val="28"/>
              </w:rPr>
              <w:t>19</w:t>
            </w:r>
          </w:p>
        </w:tc>
        <w:tc>
          <w:tcPr>
            <w:tcW w:w="2067" w:type="dxa"/>
            <w:vAlign w:val="center"/>
          </w:tcPr>
          <w:p w:rsidR="006573C0" w:rsidRPr="00953E18" w:rsidRDefault="006573C0" w:rsidP="00A50191">
            <w:pPr>
              <w:pStyle w:val="3"/>
              <w:numPr>
                <w:ilvl w:val="0"/>
                <w:numId w:val="0"/>
              </w:numPr>
              <w:jc w:val="center"/>
              <w:rPr>
                <w:rFonts w:hAnsi="標楷體"/>
                <w:sz w:val="28"/>
              </w:rPr>
            </w:pPr>
            <w:r w:rsidRPr="00953E18">
              <w:rPr>
                <w:rFonts w:hAnsi="標楷體" w:hint="eastAsia"/>
                <w:sz w:val="28"/>
              </w:rPr>
              <w:t>294項</w:t>
            </w:r>
          </w:p>
        </w:tc>
      </w:tr>
      <w:tr w:rsidR="006573C0" w:rsidRPr="00953E18" w:rsidTr="006573C0">
        <w:trPr>
          <w:trHeight w:val="363"/>
        </w:trPr>
        <w:tc>
          <w:tcPr>
            <w:tcW w:w="2394" w:type="dxa"/>
            <w:vAlign w:val="center"/>
          </w:tcPr>
          <w:p w:rsidR="006573C0" w:rsidRPr="00953E18" w:rsidRDefault="006573C0" w:rsidP="00A50191">
            <w:pPr>
              <w:pStyle w:val="3"/>
              <w:numPr>
                <w:ilvl w:val="0"/>
                <w:numId w:val="0"/>
              </w:numPr>
              <w:rPr>
                <w:rFonts w:hAnsi="標楷體"/>
                <w:sz w:val="28"/>
              </w:rPr>
            </w:pPr>
            <w:r w:rsidRPr="00953E18">
              <w:rPr>
                <w:rFonts w:hAnsi="標楷體" w:hint="eastAsia"/>
                <w:sz w:val="28"/>
              </w:rPr>
              <w:t>第2次修正</w:t>
            </w:r>
          </w:p>
        </w:tc>
        <w:tc>
          <w:tcPr>
            <w:tcW w:w="2394" w:type="dxa"/>
            <w:vAlign w:val="center"/>
          </w:tcPr>
          <w:p w:rsidR="006573C0" w:rsidRPr="00953E18" w:rsidRDefault="006573C0" w:rsidP="002F7F45">
            <w:pPr>
              <w:pStyle w:val="3"/>
              <w:numPr>
                <w:ilvl w:val="0"/>
                <w:numId w:val="0"/>
              </w:numPr>
              <w:jc w:val="center"/>
              <w:rPr>
                <w:rFonts w:hAnsi="標楷體"/>
                <w:sz w:val="28"/>
              </w:rPr>
            </w:pPr>
            <w:r w:rsidRPr="00953E18">
              <w:rPr>
                <w:rFonts w:hAnsi="標楷體" w:hint="eastAsia"/>
                <w:sz w:val="28"/>
              </w:rPr>
              <w:t>109</w:t>
            </w:r>
            <w:r w:rsidR="002F7F45" w:rsidRPr="00953E18">
              <w:rPr>
                <w:rFonts w:hAnsi="標楷體" w:hint="eastAsia"/>
                <w:sz w:val="28"/>
              </w:rPr>
              <w:t>/</w:t>
            </w:r>
            <w:r w:rsidRPr="00953E18">
              <w:rPr>
                <w:rFonts w:hAnsi="標楷體" w:hint="eastAsia"/>
                <w:sz w:val="28"/>
              </w:rPr>
              <w:t>9</w:t>
            </w:r>
            <w:r w:rsidR="002F7F45" w:rsidRPr="00953E18">
              <w:rPr>
                <w:rFonts w:hAnsi="標楷體" w:hint="eastAsia"/>
                <w:sz w:val="28"/>
              </w:rPr>
              <w:t>/</w:t>
            </w:r>
            <w:r w:rsidRPr="00953E18">
              <w:rPr>
                <w:rFonts w:hAnsi="標楷體" w:hint="eastAsia"/>
                <w:sz w:val="28"/>
              </w:rPr>
              <w:t>3</w:t>
            </w:r>
          </w:p>
        </w:tc>
        <w:tc>
          <w:tcPr>
            <w:tcW w:w="2067" w:type="dxa"/>
            <w:vAlign w:val="center"/>
          </w:tcPr>
          <w:p w:rsidR="006573C0" w:rsidRPr="00953E18" w:rsidRDefault="006573C0" w:rsidP="00A50191">
            <w:pPr>
              <w:pStyle w:val="3"/>
              <w:numPr>
                <w:ilvl w:val="0"/>
                <w:numId w:val="0"/>
              </w:numPr>
              <w:jc w:val="center"/>
              <w:rPr>
                <w:rFonts w:hAnsi="標楷體"/>
                <w:sz w:val="28"/>
              </w:rPr>
            </w:pPr>
            <w:r w:rsidRPr="00953E18">
              <w:rPr>
                <w:rFonts w:hAnsi="標楷體" w:hint="eastAsia"/>
                <w:sz w:val="28"/>
              </w:rPr>
              <w:t>398項</w:t>
            </w:r>
          </w:p>
        </w:tc>
      </w:tr>
      <w:tr w:rsidR="006573C0" w:rsidRPr="00953E18" w:rsidTr="006573C0">
        <w:trPr>
          <w:trHeight w:val="363"/>
        </w:trPr>
        <w:tc>
          <w:tcPr>
            <w:tcW w:w="2394" w:type="dxa"/>
            <w:vAlign w:val="center"/>
          </w:tcPr>
          <w:p w:rsidR="006573C0" w:rsidRPr="00953E18" w:rsidRDefault="006573C0" w:rsidP="00A50191">
            <w:pPr>
              <w:pStyle w:val="3"/>
              <w:numPr>
                <w:ilvl w:val="0"/>
                <w:numId w:val="0"/>
              </w:numPr>
              <w:rPr>
                <w:rFonts w:hAnsi="標楷體"/>
                <w:sz w:val="28"/>
              </w:rPr>
            </w:pPr>
            <w:r w:rsidRPr="00953E18">
              <w:rPr>
                <w:rFonts w:hAnsi="標楷體" w:hint="eastAsia"/>
                <w:sz w:val="28"/>
              </w:rPr>
              <w:t>第3次修正</w:t>
            </w:r>
          </w:p>
        </w:tc>
        <w:tc>
          <w:tcPr>
            <w:tcW w:w="2394" w:type="dxa"/>
            <w:vAlign w:val="center"/>
          </w:tcPr>
          <w:p w:rsidR="006573C0" w:rsidRPr="00953E18" w:rsidRDefault="006573C0" w:rsidP="002F7F45">
            <w:pPr>
              <w:pStyle w:val="3"/>
              <w:numPr>
                <w:ilvl w:val="0"/>
                <w:numId w:val="0"/>
              </w:numPr>
              <w:jc w:val="center"/>
              <w:rPr>
                <w:rFonts w:hAnsi="標楷體"/>
                <w:sz w:val="28"/>
              </w:rPr>
            </w:pPr>
            <w:r w:rsidRPr="00953E18">
              <w:rPr>
                <w:rFonts w:hAnsi="標楷體" w:hint="eastAsia"/>
                <w:sz w:val="28"/>
              </w:rPr>
              <w:t>112</w:t>
            </w:r>
            <w:r w:rsidR="002F7F45" w:rsidRPr="00953E18">
              <w:rPr>
                <w:rFonts w:hAnsi="標楷體" w:hint="eastAsia"/>
                <w:sz w:val="28"/>
              </w:rPr>
              <w:t>/</w:t>
            </w:r>
            <w:r w:rsidRPr="00953E18">
              <w:rPr>
                <w:rFonts w:hAnsi="標楷體" w:hint="eastAsia"/>
                <w:sz w:val="28"/>
              </w:rPr>
              <w:t>7</w:t>
            </w:r>
            <w:r w:rsidR="002F7F45" w:rsidRPr="00953E18">
              <w:rPr>
                <w:rFonts w:hAnsi="標楷體" w:hint="eastAsia"/>
                <w:sz w:val="28"/>
              </w:rPr>
              <w:t>/</w:t>
            </w:r>
            <w:r w:rsidRPr="00953E18">
              <w:rPr>
                <w:rFonts w:hAnsi="標楷體" w:hint="eastAsia"/>
                <w:sz w:val="28"/>
              </w:rPr>
              <w:t>17</w:t>
            </w:r>
          </w:p>
          <w:p w:rsidR="006573C0" w:rsidRPr="00953E18" w:rsidRDefault="006573C0" w:rsidP="002F7F45">
            <w:pPr>
              <w:pStyle w:val="3"/>
              <w:numPr>
                <w:ilvl w:val="0"/>
                <w:numId w:val="0"/>
              </w:numPr>
              <w:jc w:val="center"/>
              <w:rPr>
                <w:rFonts w:hAnsi="標楷體"/>
                <w:sz w:val="28"/>
              </w:rPr>
            </w:pPr>
            <w:r w:rsidRPr="00953E18">
              <w:rPr>
                <w:rFonts w:hAnsi="標楷體" w:hint="eastAsia"/>
                <w:sz w:val="28"/>
              </w:rPr>
              <w:t>(預告修正)</w:t>
            </w:r>
          </w:p>
        </w:tc>
        <w:tc>
          <w:tcPr>
            <w:tcW w:w="2067" w:type="dxa"/>
            <w:vAlign w:val="center"/>
          </w:tcPr>
          <w:p w:rsidR="006573C0" w:rsidRPr="00953E18" w:rsidRDefault="006573C0" w:rsidP="00A50191">
            <w:pPr>
              <w:pStyle w:val="3"/>
              <w:numPr>
                <w:ilvl w:val="0"/>
                <w:numId w:val="0"/>
              </w:numPr>
              <w:jc w:val="center"/>
              <w:rPr>
                <w:rFonts w:hAnsi="標楷體"/>
                <w:sz w:val="28"/>
              </w:rPr>
            </w:pPr>
            <w:r w:rsidRPr="00953E18">
              <w:rPr>
                <w:rFonts w:hAnsi="標楷體" w:hint="eastAsia"/>
                <w:sz w:val="28"/>
              </w:rPr>
              <w:t>479項</w:t>
            </w:r>
          </w:p>
        </w:tc>
      </w:tr>
    </w:tbl>
    <w:p w:rsidR="006573C0" w:rsidRPr="00953E18" w:rsidRDefault="006573C0" w:rsidP="006573C0">
      <w:pPr>
        <w:pStyle w:val="5"/>
        <w:numPr>
          <w:ilvl w:val="0"/>
          <w:numId w:val="0"/>
        </w:numPr>
        <w:spacing w:line="360" w:lineRule="exact"/>
        <w:ind w:firstLineChars="600" w:firstLine="1561"/>
        <w:rPr>
          <w:rFonts w:hAnsi="標楷體"/>
          <w:sz w:val="24"/>
        </w:rPr>
      </w:pPr>
      <w:r w:rsidRPr="00953E18">
        <w:rPr>
          <w:rFonts w:hAnsi="標楷體" w:hint="eastAsia"/>
          <w:sz w:val="24"/>
        </w:rPr>
        <w:t>資料來源：衛福部</w:t>
      </w:r>
    </w:p>
    <w:p w:rsidR="00BF360C" w:rsidRPr="00953E18" w:rsidRDefault="00BF360C" w:rsidP="00BF360C">
      <w:pPr>
        <w:pStyle w:val="5"/>
        <w:numPr>
          <w:ilvl w:val="0"/>
          <w:numId w:val="0"/>
        </w:numPr>
        <w:spacing w:line="360" w:lineRule="exact"/>
        <w:ind w:left="848" w:hangingChars="326" w:hanging="848"/>
        <w:rPr>
          <w:rFonts w:hAnsi="標楷體"/>
          <w:sz w:val="24"/>
        </w:rPr>
      </w:pPr>
    </w:p>
    <w:p w:rsidR="00613646" w:rsidRPr="00953E18" w:rsidRDefault="00E765E7" w:rsidP="00E765E7">
      <w:pPr>
        <w:pStyle w:val="4"/>
        <w:rPr>
          <w:rFonts w:hAnsi="標楷體"/>
        </w:rPr>
      </w:pPr>
      <w:proofErr w:type="gramStart"/>
      <w:r w:rsidRPr="00953E18">
        <w:rPr>
          <w:rFonts w:hAnsi="標楷體" w:hint="eastAsia"/>
        </w:rPr>
        <w:t>食藥署</w:t>
      </w:r>
      <w:proofErr w:type="gramEnd"/>
      <w:r w:rsidRPr="00953E18">
        <w:rPr>
          <w:rFonts w:hAnsi="標楷體" w:hint="eastAsia"/>
        </w:rPr>
        <w:t>於105年建置「西藥供應資訊平台」(原名稱為「藥品供應資訊平台」)，提供藥品短缺</w:t>
      </w:r>
      <w:proofErr w:type="gramStart"/>
      <w:r w:rsidR="00613646" w:rsidRPr="00953E18">
        <w:rPr>
          <w:rFonts w:hAnsi="標楷體" w:hint="eastAsia"/>
        </w:rPr>
        <w:t>之線上</w:t>
      </w:r>
      <w:r w:rsidRPr="00953E18">
        <w:rPr>
          <w:rFonts w:hAnsi="標楷體" w:hint="eastAsia"/>
        </w:rPr>
        <w:t>通</w:t>
      </w:r>
      <w:proofErr w:type="gramEnd"/>
      <w:r w:rsidRPr="00953E18">
        <w:rPr>
          <w:rFonts w:hAnsi="標楷體" w:hint="eastAsia"/>
        </w:rPr>
        <w:t>報功能</w:t>
      </w:r>
      <w:r w:rsidR="00613646" w:rsidRPr="00953E18">
        <w:rPr>
          <w:rFonts w:hAnsi="標楷體" w:hint="eastAsia"/>
        </w:rPr>
        <w:t>，並可供外界查詢短缺藥品供應狀態及替代藥品資訊等。查自105至112年6月接獲藥商通報必要藥品短缺案件共計250件，通報件數呈逐年增加趨勢，111年驟增至86件，112年上半年亦達31件，詳如下表。</w:t>
      </w:r>
    </w:p>
    <w:p w:rsidR="00613646" w:rsidRPr="00953E18" w:rsidRDefault="00613646" w:rsidP="006E6A1B">
      <w:pPr>
        <w:pStyle w:val="a5"/>
        <w:numPr>
          <w:ilvl w:val="0"/>
          <w:numId w:val="49"/>
        </w:numPr>
        <w:ind w:firstLine="513"/>
        <w:rPr>
          <w:rFonts w:hAnsi="標楷體"/>
        </w:rPr>
      </w:pPr>
      <w:r w:rsidRPr="00953E18">
        <w:rPr>
          <w:rFonts w:hAnsi="標楷體" w:hint="eastAsia"/>
        </w:rPr>
        <w:t>105至112年</w:t>
      </w:r>
      <w:r w:rsidRPr="00953E18">
        <w:rPr>
          <w:rFonts w:hAnsi="標楷體"/>
        </w:rPr>
        <w:t>6</w:t>
      </w:r>
      <w:r w:rsidRPr="00953E18">
        <w:rPr>
          <w:rFonts w:hAnsi="標楷體" w:hint="eastAsia"/>
        </w:rPr>
        <w:t>月各年度必要藥品短缺通報數量統計表</w:t>
      </w:r>
    </w:p>
    <w:p w:rsidR="00613646" w:rsidRPr="00953E18" w:rsidRDefault="00613646" w:rsidP="00452403">
      <w:pPr>
        <w:pStyle w:val="5"/>
        <w:numPr>
          <w:ilvl w:val="0"/>
          <w:numId w:val="0"/>
        </w:numPr>
        <w:spacing w:line="360" w:lineRule="exact"/>
        <w:ind w:rightChars="-194" w:right="-660"/>
        <w:contextualSpacing/>
        <w:jc w:val="right"/>
        <w:rPr>
          <w:rFonts w:hAnsi="標楷體"/>
          <w:sz w:val="24"/>
        </w:rPr>
      </w:pPr>
      <w:r w:rsidRPr="00953E18">
        <w:rPr>
          <w:rFonts w:hAnsi="標楷體" w:hint="eastAsia"/>
          <w:sz w:val="24"/>
        </w:rPr>
        <w:t>單位：件</w:t>
      </w:r>
    </w:p>
    <w:tbl>
      <w:tblPr>
        <w:tblStyle w:val="afb"/>
        <w:tblW w:w="8926" w:type="dxa"/>
        <w:tblInd w:w="606" w:type="dxa"/>
        <w:tblLook w:val="04A0" w:firstRow="1" w:lastRow="0" w:firstColumn="1" w:lastColumn="0" w:noHBand="0" w:noVBand="1"/>
      </w:tblPr>
      <w:tblGrid>
        <w:gridCol w:w="981"/>
        <w:gridCol w:w="981"/>
        <w:gridCol w:w="981"/>
        <w:gridCol w:w="981"/>
        <w:gridCol w:w="982"/>
        <w:gridCol w:w="982"/>
        <w:gridCol w:w="982"/>
        <w:gridCol w:w="982"/>
        <w:gridCol w:w="1074"/>
      </w:tblGrid>
      <w:tr w:rsidR="00613646" w:rsidRPr="00953E18" w:rsidTr="00613646">
        <w:trPr>
          <w:tblHeader/>
        </w:trPr>
        <w:tc>
          <w:tcPr>
            <w:tcW w:w="981" w:type="dxa"/>
            <w:shd w:val="clear" w:color="auto" w:fill="DAEEF3" w:themeFill="accent5" w:themeFillTint="33"/>
            <w:vAlign w:val="center"/>
          </w:tcPr>
          <w:p w:rsidR="00613646" w:rsidRPr="00953E18" w:rsidRDefault="00613646" w:rsidP="00A50191">
            <w:pPr>
              <w:pStyle w:val="5"/>
              <w:numPr>
                <w:ilvl w:val="0"/>
                <w:numId w:val="0"/>
              </w:numPr>
              <w:spacing w:line="400" w:lineRule="exact"/>
              <w:rPr>
                <w:rFonts w:hAnsi="標楷體"/>
                <w:sz w:val="28"/>
              </w:rPr>
            </w:pPr>
            <w:r w:rsidRPr="00953E18">
              <w:rPr>
                <w:rFonts w:hAnsi="標楷體" w:hint="eastAsia"/>
                <w:sz w:val="28"/>
              </w:rPr>
              <w:lastRenderedPageBreak/>
              <w:t>年度</w:t>
            </w:r>
          </w:p>
        </w:tc>
        <w:tc>
          <w:tcPr>
            <w:tcW w:w="981" w:type="dxa"/>
            <w:shd w:val="clear" w:color="auto" w:fill="DAEEF3" w:themeFill="accent5" w:themeFillTint="33"/>
            <w:vAlign w:val="center"/>
          </w:tcPr>
          <w:p w:rsidR="00613646" w:rsidRPr="00953E18" w:rsidRDefault="00613646" w:rsidP="00A50191">
            <w:pPr>
              <w:pStyle w:val="5"/>
              <w:numPr>
                <w:ilvl w:val="0"/>
                <w:numId w:val="0"/>
              </w:numPr>
              <w:spacing w:line="400" w:lineRule="exact"/>
              <w:rPr>
                <w:rFonts w:hAnsi="標楷體"/>
                <w:sz w:val="28"/>
              </w:rPr>
            </w:pPr>
            <w:r w:rsidRPr="00953E18">
              <w:rPr>
                <w:rFonts w:hAnsi="標楷體" w:hint="eastAsia"/>
                <w:sz w:val="28"/>
              </w:rPr>
              <w:t>105年</w:t>
            </w:r>
          </w:p>
        </w:tc>
        <w:tc>
          <w:tcPr>
            <w:tcW w:w="981" w:type="dxa"/>
            <w:shd w:val="clear" w:color="auto" w:fill="DAEEF3" w:themeFill="accent5" w:themeFillTint="33"/>
            <w:vAlign w:val="center"/>
          </w:tcPr>
          <w:p w:rsidR="00613646" w:rsidRPr="00953E18" w:rsidRDefault="00613646" w:rsidP="00A50191">
            <w:pPr>
              <w:pStyle w:val="5"/>
              <w:numPr>
                <w:ilvl w:val="0"/>
                <w:numId w:val="0"/>
              </w:numPr>
              <w:spacing w:line="400" w:lineRule="exact"/>
              <w:rPr>
                <w:rFonts w:hAnsi="標楷體"/>
                <w:sz w:val="28"/>
              </w:rPr>
            </w:pPr>
            <w:r w:rsidRPr="00953E18">
              <w:rPr>
                <w:rFonts w:hAnsi="標楷體" w:hint="eastAsia"/>
                <w:sz w:val="28"/>
              </w:rPr>
              <w:t>106年</w:t>
            </w:r>
          </w:p>
        </w:tc>
        <w:tc>
          <w:tcPr>
            <w:tcW w:w="981" w:type="dxa"/>
            <w:shd w:val="clear" w:color="auto" w:fill="DAEEF3" w:themeFill="accent5" w:themeFillTint="33"/>
            <w:vAlign w:val="center"/>
          </w:tcPr>
          <w:p w:rsidR="00613646" w:rsidRPr="00953E18" w:rsidRDefault="00613646" w:rsidP="00A50191">
            <w:pPr>
              <w:pStyle w:val="5"/>
              <w:numPr>
                <w:ilvl w:val="0"/>
                <w:numId w:val="0"/>
              </w:numPr>
              <w:spacing w:line="400" w:lineRule="exact"/>
              <w:rPr>
                <w:rFonts w:hAnsi="標楷體"/>
                <w:sz w:val="28"/>
              </w:rPr>
            </w:pPr>
            <w:r w:rsidRPr="00953E18">
              <w:rPr>
                <w:rFonts w:hAnsi="標楷體" w:hint="eastAsia"/>
                <w:sz w:val="28"/>
              </w:rPr>
              <w:t>107年</w:t>
            </w:r>
          </w:p>
        </w:tc>
        <w:tc>
          <w:tcPr>
            <w:tcW w:w="982" w:type="dxa"/>
            <w:shd w:val="clear" w:color="auto" w:fill="DAEEF3" w:themeFill="accent5" w:themeFillTint="33"/>
            <w:vAlign w:val="center"/>
          </w:tcPr>
          <w:p w:rsidR="00613646" w:rsidRPr="00953E18" w:rsidRDefault="00613646" w:rsidP="00A50191">
            <w:pPr>
              <w:pStyle w:val="5"/>
              <w:numPr>
                <w:ilvl w:val="0"/>
                <w:numId w:val="0"/>
              </w:numPr>
              <w:spacing w:line="400" w:lineRule="exact"/>
              <w:rPr>
                <w:rFonts w:hAnsi="標楷體"/>
                <w:sz w:val="28"/>
              </w:rPr>
            </w:pPr>
            <w:r w:rsidRPr="00953E18">
              <w:rPr>
                <w:rFonts w:hAnsi="標楷體" w:hint="eastAsia"/>
                <w:sz w:val="28"/>
              </w:rPr>
              <w:t>108年</w:t>
            </w:r>
          </w:p>
        </w:tc>
        <w:tc>
          <w:tcPr>
            <w:tcW w:w="982" w:type="dxa"/>
            <w:shd w:val="clear" w:color="auto" w:fill="DAEEF3" w:themeFill="accent5" w:themeFillTint="33"/>
            <w:vAlign w:val="center"/>
          </w:tcPr>
          <w:p w:rsidR="00613646" w:rsidRPr="00953E18" w:rsidRDefault="00613646" w:rsidP="00A50191">
            <w:pPr>
              <w:pStyle w:val="5"/>
              <w:numPr>
                <w:ilvl w:val="0"/>
                <w:numId w:val="0"/>
              </w:numPr>
              <w:spacing w:line="400" w:lineRule="exact"/>
              <w:rPr>
                <w:rFonts w:hAnsi="標楷體"/>
                <w:sz w:val="28"/>
              </w:rPr>
            </w:pPr>
            <w:r w:rsidRPr="00953E18">
              <w:rPr>
                <w:rFonts w:hAnsi="標楷體" w:hint="eastAsia"/>
                <w:sz w:val="28"/>
              </w:rPr>
              <w:t>109年</w:t>
            </w:r>
          </w:p>
        </w:tc>
        <w:tc>
          <w:tcPr>
            <w:tcW w:w="982" w:type="dxa"/>
            <w:shd w:val="clear" w:color="auto" w:fill="DAEEF3" w:themeFill="accent5" w:themeFillTint="33"/>
            <w:vAlign w:val="center"/>
          </w:tcPr>
          <w:p w:rsidR="00613646" w:rsidRPr="00953E18" w:rsidRDefault="00613646" w:rsidP="00A50191">
            <w:pPr>
              <w:pStyle w:val="5"/>
              <w:numPr>
                <w:ilvl w:val="0"/>
                <w:numId w:val="0"/>
              </w:numPr>
              <w:spacing w:line="400" w:lineRule="exact"/>
              <w:rPr>
                <w:rFonts w:hAnsi="標楷體"/>
                <w:sz w:val="28"/>
              </w:rPr>
            </w:pPr>
            <w:r w:rsidRPr="00953E18">
              <w:rPr>
                <w:rFonts w:hAnsi="標楷體" w:hint="eastAsia"/>
                <w:sz w:val="28"/>
              </w:rPr>
              <w:t>110年</w:t>
            </w:r>
          </w:p>
        </w:tc>
        <w:tc>
          <w:tcPr>
            <w:tcW w:w="982" w:type="dxa"/>
            <w:shd w:val="clear" w:color="auto" w:fill="DAEEF3" w:themeFill="accent5" w:themeFillTint="33"/>
            <w:vAlign w:val="center"/>
          </w:tcPr>
          <w:p w:rsidR="00613646" w:rsidRPr="00953E18" w:rsidRDefault="00613646" w:rsidP="00A50191">
            <w:pPr>
              <w:pStyle w:val="5"/>
              <w:numPr>
                <w:ilvl w:val="0"/>
                <w:numId w:val="0"/>
              </w:numPr>
              <w:spacing w:line="400" w:lineRule="exact"/>
              <w:rPr>
                <w:rFonts w:hAnsi="標楷體"/>
                <w:sz w:val="28"/>
              </w:rPr>
            </w:pPr>
            <w:r w:rsidRPr="00953E18">
              <w:rPr>
                <w:rFonts w:hAnsi="標楷體" w:hint="eastAsia"/>
                <w:sz w:val="28"/>
              </w:rPr>
              <w:t>111年</w:t>
            </w:r>
          </w:p>
        </w:tc>
        <w:tc>
          <w:tcPr>
            <w:tcW w:w="1074" w:type="dxa"/>
            <w:shd w:val="clear" w:color="auto" w:fill="DAEEF3" w:themeFill="accent5" w:themeFillTint="33"/>
            <w:vAlign w:val="center"/>
          </w:tcPr>
          <w:p w:rsidR="00613646" w:rsidRPr="00953E18" w:rsidRDefault="00613646" w:rsidP="00A50191">
            <w:pPr>
              <w:pStyle w:val="5"/>
              <w:numPr>
                <w:ilvl w:val="0"/>
                <w:numId w:val="0"/>
              </w:numPr>
              <w:spacing w:line="400" w:lineRule="exact"/>
              <w:rPr>
                <w:rFonts w:hAnsi="標楷體"/>
                <w:sz w:val="28"/>
              </w:rPr>
            </w:pPr>
            <w:r w:rsidRPr="00953E18">
              <w:rPr>
                <w:rFonts w:hAnsi="標楷體" w:hint="eastAsia"/>
                <w:sz w:val="28"/>
              </w:rPr>
              <w:t>112年</w:t>
            </w:r>
          </w:p>
          <w:p w:rsidR="00613646" w:rsidRPr="00953E18" w:rsidRDefault="00613646" w:rsidP="00A50191">
            <w:pPr>
              <w:pStyle w:val="5"/>
              <w:numPr>
                <w:ilvl w:val="0"/>
                <w:numId w:val="0"/>
              </w:numPr>
              <w:spacing w:line="400" w:lineRule="exact"/>
              <w:ind w:left="-59"/>
              <w:jc w:val="center"/>
              <w:rPr>
                <w:rFonts w:hAnsi="標楷體"/>
                <w:spacing w:val="-22"/>
                <w:sz w:val="28"/>
              </w:rPr>
            </w:pPr>
            <w:r w:rsidRPr="00953E18">
              <w:rPr>
                <w:rFonts w:hAnsi="標楷體" w:hint="eastAsia"/>
                <w:spacing w:val="-22"/>
                <w:sz w:val="28"/>
              </w:rPr>
              <w:t>(至</w:t>
            </w:r>
            <w:r w:rsidRPr="00953E18">
              <w:rPr>
                <w:rFonts w:hAnsi="標楷體"/>
                <w:spacing w:val="-22"/>
                <w:sz w:val="28"/>
              </w:rPr>
              <w:t>6</w:t>
            </w:r>
            <w:r w:rsidRPr="00953E18">
              <w:rPr>
                <w:rFonts w:hAnsi="標楷體" w:hint="eastAsia"/>
                <w:spacing w:val="-22"/>
                <w:sz w:val="28"/>
              </w:rPr>
              <w:t>月)</w:t>
            </w:r>
          </w:p>
        </w:tc>
      </w:tr>
      <w:tr w:rsidR="00613646" w:rsidRPr="00953E18" w:rsidTr="00613646">
        <w:tc>
          <w:tcPr>
            <w:tcW w:w="981" w:type="dxa"/>
            <w:vAlign w:val="center"/>
          </w:tcPr>
          <w:p w:rsidR="00613646" w:rsidRPr="00953E18" w:rsidRDefault="00613646" w:rsidP="00A50191">
            <w:pPr>
              <w:pStyle w:val="5"/>
              <w:numPr>
                <w:ilvl w:val="0"/>
                <w:numId w:val="0"/>
              </w:numPr>
              <w:spacing w:line="400" w:lineRule="exact"/>
              <w:rPr>
                <w:rFonts w:hAnsi="標楷體"/>
                <w:sz w:val="28"/>
              </w:rPr>
            </w:pPr>
            <w:r w:rsidRPr="00953E18">
              <w:rPr>
                <w:rFonts w:hAnsi="標楷體" w:hint="eastAsia"/>
                <w:sz w:val="28"/>
              </w:rPr>
              <w:t>通報</w:t>
            </w:r>
          </w:p>
          <w:p w:rsidR="00613646" w:rsidRPr="00953E18" w:rsidRDefault="00613646" w:rsidP="00A50191">
            <w:pPr>
              <w:pStyle w:val="5"/>
              <w:numPr>
                <w:ilvl w:val="0"/>
                <w:numId w:val="0"/>
              </w:numPr>
              <w:spacing w:line="400" w:lineRule="exact"/>
              <w:rPr>
                <w:rFonts w:hAnsi="標楷體"/>
                <w:sz w:val="28"/>
              </w:rPr>
            </w:pPr>
            <w:r w:rsidRPr="00953E18">
              <w:rPr>
                <w:rFonts w:hAnsi="標楷體" w:hint="eastAsia"/>
                <w:sz w:val="28"/>
              </w:rPr>
              <w:t>案件</w:t>
            </w:r>
          </w:p>
        </w:tc>
        <w:tc>
          <w:tcPr>
            <w:tcW w:w="981" w:type="dxa"/>
            <w:vAlign w:val="center"/>
          </w:tcPr>
          <w:p w:rsidR="00613646" w:rsidRPr="00953E18" w:rsidRDefault="00613646" w:rsidP="00A50191">
            <w:pPr>
              <w:pStyle w:val="5"/>
              <w:numPr>
                <w:ilvl w:val="0"/>
                <w:numId w:val="0"/>
              </w:numPr>
              <w:spacing w:line="400" w:lineRule="exact"/>
              <w:jc w:val="right"/>
              <w:rPr>
                <w:rFonts w:hAnsi="標楷體"/>
                <w:sz w:val="28"/>
              </w:rPr>
            </w:pPr>
            <w:r w:rsidRPr="00953E18">
              <w:rPr>
                <w:rFonts w:hAnsi="標楷體" w:hint="eastAsia"/>
                <w:sz w:val="28"/>
              </w:rPr>
              <w:t>2</w:t>
            </w:r>
          </w:p>
        </w:tc>
        <w:tc>
          <w:tcPr>
            <w:tcW w:w="981" w:type="dxa"/>
            <w:vAlign w:val="center"/>
          </w:tcPr>
          <w:p w:rsidR="00613646" w:rsidRPr="00953E18" w:rsidRDefault="00613646" w:rsidP="00A50191">
            <w:pPr>
              <w:pStyle w:val="5"/>
              <w:numPr>
                <w:ilvl w:val="0"/>
                <w:numId w:val="0"/>
              </w:numPr>
              <w:spacing w:line="400" w:lineRule="exact"/>
              <w:jc w:val="right"/>
              <w:rPr>
                <w:rFonts w:hAnsi="標楷體"/>
                <w:sz w:val="28"/>
              </w:rPr>
            </w:pPr>
            <w:r w:rsidRPr="00953E18">
              <w:rPr>
                <w:rFonts w:hAnsi="標楷體" w:hint="eastAsia"/>
                <w:sz w:val="28"/>
              </w:rPr>
              <w:t>18</w:t>
            </w:r>
          </w:p>
        </w:tc>
        <w:tc>
          <w:tcPr>
            <w:tcW w:w="981" w:type="dxa"/>
            <w:vAlign w:val="center"/>
          </w:tcPr>
          <w:p w:rsidR="00613646" w:rsidRPr="00953E18" w:rsidRDefault="00613646" w:rsidP="00A50191">
            <w:pPr>
              <w:pStyle w:val="5"/>
              <w:numPr>
                <w:ilvl w:val="0"/>
                <w:numId w:val="0"/>
              </w:numPr>
              <w:spacing w:line="400" w:lineRule="exact"/>
              <w:jc w:val="right"/>
              <w:rPr>
                <w:rFonts w:hAnsi="標楷體"/>
                <w:sz w:val="28"/>
              </w:rPr>
            </w:pPr>
            <w:r w:rsidRPr="00953E18">
              <w:rPr>
                <w:rFonts w:hAnsi="標楷體" w:hint="eastAsia"/>
                <w:sz w:val="28"/>
              </w:rPr>
              <w:t>20</w:t>
            </w:r>
          </w:p>
        </w:tc>
        <w:tc>
          <w:tcPr>
            <w:tcW w:w="982" w:type="dxa"/>
            <w:vAlign w:val="center"/>
          </w:tcPr>
          <w:p w:rsidR="00613646" w:rsidRPr="00953E18" w:rsidRDefault="00613646" w:rsidP="00A50191">
            <w:pPr>
              <w:pStyle w:val="5"/>
              <w:numPr>
                <w:ilvl w:val="0"/>
                <w:numId w:val="0"/>
              </w:numPr>
              <w:spacing w:line="400" w:lineRule="exact"/>
              <w:jc w:val="right"/>
              <w:rPr>
                <w:rFonts w:hAnsi="標楷體"/>
                <w:sz w:val="28"/>
              </w:rPr>
            </w:pPr>
            <w:r w:rsidRPr="00953E18">
              <w:rPr>
                <w:rFonts w:hAnsi="標楷體" w:hint="eastAsia"/>
                <w:sz w:val="28"/>
              </w:rPr>
              <w:t>27</w:t>
            </w:r>
          </w:p>
        </w:tc>
        <w:tc>
          <w:tcPr>
            <w:tcW w:w="982" w:type="dxa"/>
            <w:vAlign w:val="center"/>
          </w:tcPr>
          <w:p w:rsidR="00613646" w:rsidRPr="00953E18" w:rsidRDefault="00613646" w:rsidP="00A50191">
            <w:pPr>
              <w:pStyle w:val="5"/>
              <w:numPr>
                <w:ilvl w:val="0"/>
                <w:numId w:val="0"/>
              </w:numPr>
              <w:spacing w:line="400" w:lineRule="exact"/>
              <w:jc w:val="right"/>
              <w:rPr>
                <w:rFonts w:hAnsi="標楷體"/>
                <w:sz w:val="28"/>
              </w:rPr>
            </w:pPr>
            <w:r w:rsidRPr="00953E18">
              <w:rPr>
                <w:rFonts w:hAnsi="標楷體" w:hint="eastAsia"/>
                <w:sz w:val="28"/>
              </w:rPr>
              <w:t>25</w:t>
            </w:r>
          </w:p>
        </w:tc>
        <w:tc>
          <w:tcPr>
            <w:tcW w:w="982" w:type="dxa"/>
            <w:vAlign w:val="center"/>
          </w:tcPr>
          <w:p w:rsidR="00613646" w:rsidRPr="00953E18" w:rsidRDefault="00613646" w:rsidP="00A50191">
            <w:pPr>
              <w:pStyle w:val="5"/>
              <w:numPr>
                <w:ilvl w:val="0"/>
                <w:numId w:val="0"/>
              </w:numPr>
              <w:spacing w:line="400" w:lineRule="exact"/>
              <w:jc w:val="right"/>
              <w:rPr>
                <w:rFonts w:hAnsi="標楷體"/>
                <w:sz w:val="28"/>
              </w:rPr>
            </w:pPr>
            <w:r w:rsidRPr="00953E18">
              <w:rPr>
                <w:rFonts w:hAnsi="標楷體" w:hint="eastAsia"/>
                <w:sz w:val="28"/>
              </w:rPr>
              <w:t>41</w:t>
            </w:r>
          </w:p>
        </w:tc>
        <w:tc>
          <w:tcPr>
            <w:tcW w:w="982" w:type="dxa"/>
            <w:vAlign w:val="center"/>
          </w:tcPr>
          <w:p w:rsidR="00613646" w:rsidRPr="00953E18" w:rsidRDefault="00613646" w:rsidP="00A50191">
            <w:pPr>
              <w:pStyle w:val="5"/>
              <w:numPr>
                <w:ilvl w:val="0"/>
                <w:numId w:val="0"/>
              </w:numPr>
              <w:spacing w:line="400" w:lineRule="exact"/>
              <w:jc w:val="right"/>
              <w:rPr>
                <w:rFonts w:hAnsi="標楷體"/>
                <w:sz w:val="28"/>
              </w:rPr>
            </w:pPr>
            <w:r w:rsidRPr="00953E18">
              <w:rPr>
                <w:rFonts w:hAnsi="標楷體" w:hint="eastAsia"/>
                <w:sz w:val="28"/>
              </w:rPr>
              <w:t>86</w:t>
            </w:r>
          </w:p>
        </w:tc>
        <w:tc>
          <w:tcPr>
            <w:tcW w:w="1074" w:type="dxa"/>
            <w:vAlign w:val="center"/>
          </w:tcPr>
          <w:p w:rsidR="00613646" w:rsidRPr="00953E18" w:rsidRDefault="00613646" w:rsidP="00A50191">
            <w:pPr>
              <w:pStyle w:val="5"/>
              <w:numPr>
                <w:ilvl w:val="0"/>
                <w:numId w:val="0"/>
              </w:numPr>
              <w:spacing w:line="400" w:lineRule="exact"/>
              <w:jc w:val="right"/>
              <w:rPr>
                <w:rFonts w:hAnsi="標楷體"/>
                <w:sz w:val="28"/>
              </w:rPr>
            </w:pPr>
            <w:r w:rsidRPr="00953E18">
              <w:rPr>
                <w:rFonts w:hAnsi="標楷體"/>
                <w:sz w:val="28"/>
              </w:rPr>
              <w:t>31</w:t>
            </w:r>
          </w:p>
        </w:tc>
      </w:tr>
    </w:tbl>
    <w:p w:rsidR="00613646" w:rsidRPr="00953E18" w:rsidRDefault="00613646" w:rsidP="00613646">
      <w:pPr>
        <w:pStyle w:val="5"/>
        <w:numPr>
          <w:ilvl w:val="0"/>
          <w:numId w:val="0"/>
        </w:numPr>
        <w:spacing w:line="360" w:lineRule="exact"/>
        <w:ind w:firstLineChars="218" w:firstLine="567"/>
        <w:contextualSpacing/>
        <w:rPr>
          <w:rFonts w:hAnsi="標楷體"/>
          <w:sz w:val="24"/>
        </w:rPr>
      </w:pPr>
      <w:r w:rsidRPr="00953E18">
        <w:rPr>
          <w:rFonts w:hAnsi="標楷體" w:hint="eastAsia"/>
          <w:sz w:val="24"/>
        </w:rPr>
        <w:t>資料來源：衛福部</w:t>
      </w:r>
    </w:p>
    <w:p w:rsidR="00613646" w:rsidRPr="00953E18" w:rsidRDefault="00613646" w:rsidP="00613646">
      <w:pPr>
        <w:pStyle w:val="2"/>
        <w:numPr>
          <w:ilvl w:val="0"/>
          <w:numId w:val="0"/>
        </w:numPr>
        <w:ind w:left="1674" w:hanging="681"/>
        <w:rPr>
          <w:rFonts w:hAnsi="標楷體"/>
        </w:rPr>
      </w:pPr>
    </w:p>
    <w:p w:rsidR="00ED367E" w:rsidRPr="00953E18" w:rsidRDefault="005678C6" w:rsidP="007D2EF4">
      <w:pPr>
        <w:pStyle w:val="3"/>
        <w:rPr>
          <w:rFonts w:hAnsi="標楷體"/>
          <w:b/>
        </w:rPr>
      </w:pPr>
      <w:proofErr w:type="gramStart"/>
      <w:r w:rsidRPr="00953E18">
        <w:rPr>
          <w:rFonts w:hAnsi="標楷體" w:hint="eastAsia"/>
          <w:b/>
        </w:rPr>
        <w:t>食藥署</w:t>
      </w:r>
      <w:proofErr w:type="gramEnd"/>
      <w:r w:rsidRPr="00953E18">
        <w:rPr>
          <w:rFonts w:hAnsi="標楷體" w:hint="eastAsia"/>
          <w:b/>
        </w:rPr>
        <w:t>對於必要藥品短缺之管理機制，</w:t>
      </w:r>
      <w:r w:rsidR="00ED367E" w:rsidRPr="00953E18">
        <w:rPr>
          <w:rFonts w:hAnsi="標楷體" w:hint="eastAsia"/>
          <w:b/>
        </w:rPr>
        <w:t>僅著重於接獲通報後藥品短缺的調查、替代藥品評估等作為，關於藥商是否確實依法通報之前端作業，</w:t>
      </w:r>
      <w:r w:rsidR="001941D4" w:rsidRPr="00953E18">
        <w:rPr>
          <w:rFonts w:hAnsi="標楷體" w:hint="eastAsia"/>
          <w:b/>
        </w:rPr>
        <w:t>卻</w:t>
      </w:r>
      <w:r w:rsidR="00ED367E" w:rsidRPr="00953E18">
        <w:rPr>
          <w:rFonts w:hAnsi="標楷體" w:hint="eastAsia"/>
          <w:b/>
        </w:rPr>
        <w:t>欠缺主動查核及管理機制，致難以掌握藥商就必要藥品供應量及儲備量：</w:t>
      </w:r>
    </w:p>
    <w:p w:rsidR="006F1118" w:rsidRPr="00953E18" w:rsidRDefault="00326257" w:rsidP="00997C82">
      <w:pPr>
        <w:pStyle w:val="4"/>
        <w:rPr>
          <w:rFonts w:hAnsi="標楷體"/>
        </w:rPr>
      </w:pPr>
      <w:r w:rsidRPr="00953E18">
        <w:rPr>
          <w:rFonts w:hAnsi="標楷體" w:hint="eastAsia"/>
        </w:rPr>
        <w:t>有關</w:t>
      </w:r>
      <w:proofErr w:type="gramStart"/>
      <w:r w:rsidR="006573C0" w:rsidRPr="00953E18">
        <w:rPr>
          <w:rFonts w:hAnsi="標楷體" w:hint="eastAsia"/>
        </w:rPr>
        <w:t>食藥署</w:t>
      </w:r>
      <w:proofErr w:type="gramEnd"/>
      <w:r w:rsidR="006573C0" w:rsidRPr="00953E18">
        <w:rPr>
          <w:rFonts w:hAnsi="標楷體" w:hint="eastAsia"/>
        </w:rPr>
        <w:t>對於藥商就必要藥品通報責任之管理機制，</w:t>
      </w:r>
      <w:r w:rsidRPr="00953E18">
        <w:rPr>
          <w:rFonts w:hAnsi="標楷體" w:hint="eastAsia"/>
        </w:rPr>
        <w:t>據</w:t>
      </w:r>
      <w:proofErr w:type="gramStart"/>
      <w:r w:rsidRPr="00953E18">
        <w:rPr>
          <w:rFonts w:hAnsi="標楷體" w:hint="eastAsia"/>
        </w:rPr>
        <w:t>衛福部查</w:t>
      </w:r>
      <w:proofErr w:type="gramEnd"/>
      <w:r w:rsidRPr="00953E18">
        <w:rPr>
          <w:rFonts w:hAnsi="標楷體" w:hint="eastAsia"/>
        </w:rPr>
        <w:t>復資料</w:t>
      </w:r>
      <w:r w:rsidR="001A573C" w:rsidRPr="00953E18">
        <w:rPr>
          <w:rFonts w:hAnsi="標楷體" w:hint="eastAsia"/>
        </w:rPr>
        <w:t>表示</w:t>
      </w:r>
      <w:r w:rsidRPr="00953E18">
        <w:rPr>
          <w:rFonts w:hAnsi="標楷體" w:hint="eastAsia"/>
        </w:rPr>
        <w:t>：「為強化藥商依法落實藥事法第27條之2規</w:t>
      </w:r>
      <w:r w:rsidR="001A573C" w:rsidRPr="00953E18">
        <w:rPr>
          <w:rFonts w:hAnsi="標楷體" w:hint="eastAsia"/>
        </w:rPr>
        <w:t>定</w:t>
      </w:r>
      <w:r w:rsidRPr="00953E18">
        <w:rPr>
          <w:rFonts w:hAnsi="標楷體" w:hint="eastAsia"/>
        </w:rPr>
        <w:t>的短缺通報責任，</w:t>
      </w:r>
      <w:proofErr w:type="gramStart"/>
      <w:r w:rsidRPr="00953E18">
        <w:rPr>
          <w:rFonts w:hAnsi="標楷體" w:hint="eastAsia"/>
        </w:rPr>
        <w:t>食藥署</w:t>
      </w:r>
      <w:proofErr w:type="gramEnd"/>
      <w:r w:rsidRPr="00953E18">
        <w:rPr>
          <w:rFonts w:hAnsi="標楷體" w:hint="eastAsia"/>
        </w:rPr>
        <w:t>多次函文提醒國內必要藥品許可證持有藥商，倘藥品有不足供應之虞，應確實提前</w:t>
      </w:r>
      <w:proofErr w:type="gramStart"/>
      <w:r w:rsidRPr="00953E18">
        <w:rPr>
          <w:rFonts w:hAnsi="標楷體" w:hint="eastAsia"/>
        </w:rPr>
        <w:t>向食藥</w:t>
      </w:r>
      <w:proofErr w:type="gramEnd"/>
      <w:r w:rsidRPr="00953E18">
        <w:rPr>
          <w:rFonts w:hAnsi="標楷體" w:hint="eastAsia"/>
        </w:rPr>
        <w:t>署通報</w:t>
      </w:r>
      <w:r w:rsidR="001A573C" w:rsidRPr="00953E18">
        <w:rPr>
          <w:rFonts w:hAnsi="標楷體" w:hint="eastAsia"/>
        </w:rPr>
        <w:t>。</w:t>
      </w:r>
      <w:r w:rsidRPr="00953E18">
        <w:rPr>
          <w:rFonts w:hAnsi="標楷體" w:hint="eastAsia"/>
        </w:rPr>
        <w:t>」</w:t>
      </w:r>
      <w:r w:rsidR="001A573C" w:rsidRPr="00953E18">
        <w:rPr>
          <w:rFonts w:hAnsi="標楷體" w:hint="eastAsia"/>
        </w:rPr>
        <w:t>顯見</w:t>
      </w:r>
      <w:proofErr w:type="gramStart"/>
      <w:r w:rsidR="001A573C" w:rsidRPr="00953E18">
        <w:rPr>
          <w:rFonts w:hAnsi="標楷體" w:hint="eastAsia"/>
        </w:rPr>
        <w:t>食藥署係</w:t>
      </w:r>
      <w:proofErr w:type="gramEnd"/>
      <w:r w:rsidR="001A573C" w:rsidRPr="00953E18">
        <w:rPr>
          <w:rFonts w:hAnsi="標楷體" w:hint="eastAsia"/>
        </w:rPr>
        <w:t>以函文提醒藥商之方式進行管理。</w:t>
      </w:r>
    </w:p>
    <w:p w:rsidR="001F0AD2" w:rsidRPr="00953E18" w:rsidRDefault="001A573C" w:rsidP="001F0AD2">
      <w:pPr>
        <w:pStyle w:val="4"/>
        <w:rPr>
          <w:rFonts w:hAnsi="標楷體"/>
        </w:rPr>
      </w:pPr>
      <w:r w:rsidRPr="00953E18">
        <w:rPr>
          <w:rFonts w:hAnsi="標楷體" w:hint="eastAsia"/>
        </w:rPr>
        <w:t>至於</w:t>
      </w:r>
      <w:proofErr w:type="gramStart"/>
      <w:r w:rsidR="00ED367E" w:rsidRPr="00953E18">
        <w:rPr>
          <w:rFonts w:hAnsi="標楷體" w:hint="eastAsia"/>
        </w:rPr>
        <w:t>食藥</w:t>
      </w:r>
      <w:r w:rsidRPr="00953E18">
        <w:rPr>
          <w:rFonts w:hAnsi="標楷體" w:hint="eastAsia"/>
        </w:rPr>
        <w:t>署</w:t>
      </w:r>
      <w:proofErr w:type="gramEnd"/>
      <w:r w:rsidRPr="00953E18">
        <w:rPr>
          <w:rFonts w:hAnsi="標楷體" w:hint="eastAsia"/>
        </w:rPr>
        <w:t>應</w:t>
      </w:r>
      <w:r w:rsidR="00326257" w:rsidRPr="00953E18">
        <w:rPr>
          <w:rFonts w:hAnsi="標楷體" w:hint="eastAsia"/>
        </w:rPr>
        <w:t>如何評估及確認</w:t>
      </w:r>
      <w:r w:rsidRPr="00953E18">
        <w:rPr>
          <w:rFonts w:hAnsi="標楷體" w:hint="eastAsia"/>
        </w:rPr>
        <w:t>藥商是否有</w:t>
      </w:r>
      <w:r w:rsidR="00326257" w:rsidRPr="00953E18">
        <w:rPr>
          <w:rFonts w:hAnsi="標楷體" w:hint="eastAsia"/>
        </w:rPr>
        <w:t>藥事法第27條之2規定關於「不足供應</w:t>
      </w:r>
      <w:r w:rsidRPr="00953E18">
        <w:rPr>
          <w:rFonts w:hAnsi="標楷體" w:hint="eastAsia"/>
        </w:rPr>
        <w:t>必要藥品</w:t>
      </w:r>
      <w:r w:rsidR="00326257" w:rsidRPr="00953E18">
        <w:rPr>
          <w:rFonts w:hAnsi="標楷體" w:hint="eastAsia"/>
        </w:rPr>
        <w:t>之虞」</w:t>
      </w:r>
      <w:r w:rsidRPr="00953E18">
        <w:rPr>
          <w:rFonts w:hAnsi="標楷體" w:hint="eastAsia"/>
        </w:rPr>
        <w:t>情事</w:t>
      </w:r>
      <w:r w:rsidR="00326257" w:rsidRPr="00953E18">
        <w:rPr>
          <w:rFonts w:hAnsi="標楷體" w:hint="eastAsia"/>
        </w:rPr>
        <w:t>，</w:t>
      </w:r>
      <w:proofErr w:type="gramStart"/>
      <w:r w:rsidRPr="00953E18">
        <w:rPr>
          <w:rFonts w:hAnsi="標楷體" w:hint="eastAsia"/>
        </w:rPr>
        <w:t>衛福部查</w:t>
      </w:r>
      <w:proofErr w:type="gramEnd"/>
      <w:r w:rsidRPr="00953E18">
        <w:rPr>
          <w:rFonts w:hAnsi="標楷體" w:hint="eastAsia"/>
        </w:rPr>
        <w:t>復資料說明略以，以「西藥供應資訊平台」所載的通報資料進行查核，並藉由監測美國等主要國家之藥品短缺訊息及國外藥品短缺輿情，請國內相關藥商留意有無供應異常情形並即時通報</w:t>
      </w:r>
      <w:r w:rsidR="00452403" w:rsidRPr="00953E18">
        <w:rPr>
          <w:rFonts w:hAnsi="標楷體" w:hint="eastAsia"/>
        </w:rPr>
        <w:t>。</w:t>
      </w:r>
      <w:proofErr w:type="gramStart"/>
      <w:r w:rsidRPr="00953E18">
        <w:rPr>
          <w:rFonts w:hAnsi="標楷體" w:hint="eastAsia"/>
        </w:rPr>
        <w:t>此外，</w:t>
      </w:r>
      <w:proofErr w:type="gramEnd"/>
      <w:r w:rsidR="00DE659E" w:rsidRPr="00953E18">
        <w:rPr>
          <w:rFonts w:hAnsi="標楷體" w:hint="eastAsia"/>
        </w:rPr>
        <w:t>另</w:t>
      </w:r>
      <w:r w:rsidRPr="00953E18">
        <w:rPr>
          <w:rFonts w:hAnsi="標楷體" w:hint="eastAsia"/>
        </w:rPr>
        <w:t>監測國內相關疾病之發展趨勢及用藥需</w:t>
      </w:r>
      <w:r w:rsidR="00BF360C" w:rsidRPr="00953E18">
        <w:rPr>
          <w:rFonts w:hAnsi="標楷體" w:hint="eastAsia"/>
        </w:rPr>
        <w:t>求</w:t>
      </w:r>
      <w:r w:rsidRPr="00953E18">
        <w:rPr>
          <w:rFonts w:hAnsi="標楷體" w:hint="eastAsia"/>
        </w:rPr>
        <w:t>等情形，必要時請國內藥商</w:t>
      </w:r>
      <w:r w:rsidR="006F1118" w:rsidRPr="00953E18">
        <w:rPr>
          <w:rFonts w:hAnsi="標楷體" w:hint="eastAsia"/>
        </w:rPr>
        <w:t>提高原料藥儲備量、增加生產……等。</w:t>
      </w:r>
      <w:proofErr w:type="gramStart"/>
      <w:r w:rsidR="00D90298" w:rsidRPr="00953E18">
        <w:rPr>
          <w:rFonts w:hAnsi="標楷體" w:hint="eastAsia"/>
        </w:rPr>
        <w:t>另食藥署</w:t>
      </w:r>
      <w:proofErr w:type="gramEnd"/>
      <w:r w:rsidR="00D90298" w:rsidRPr="00953E18">
        <w:rPr>
          <w:rFonts w:hAnsi="標楷體" w:hint="eastAsia"/>
        </w:rPr>
        <w:t>於本院約詢時亦稱，每年各藥品所需用量，藥商自己都會有資料，藥商會自主管理，如果藥品供應有不足，藥商會自己注意並告知</w:t>
      </w:r>
      <w:proofErr w:type="gramStart"/>
      <w:r w:rsidR="00D90298" w:rsidRPr="00953E18">
        <w:rPr>
          <w:rFonts w:hAnsi="標楷體" w:hint="eastAsia"/>
        </w:rPr>
        <w:t>食藥</w:t>
      </w:r>
      <w:proofErr w:type="gramEnd"/>
      <w:r w:rsidR="00D90298" w:rsidRPr="00953E18">
        <w:rPr>
          <w:rFonts w:hAnsi="標楷體" w:hint="eastAsia"/>
        </w:rPr>
        <w:t>署云云。</w:t>
      </w:r>
      <w:r w:rsidR="001F0AD2" w:rsidRPr="00953E18">
        <w:rPr>
          <w:rFonts w:hAnsi="標楷體" w:hint="eastAsia"/>
        </w:rPr>
        <w:t>是</w:t>
      </w:r>
      <w:proofErr w:type="gramStart"/>
      <w:r w:rsidR="001F0AD2" w:rsidRPr="00953E18">
        <w:rPr>
          <w:rFonts w:hAnsi="標楷體" w:hint="eastAsia"/>
        </w:rPr>
        <w:lastRenderedPageBreak/>
        <w:t>以</w:t>
      </w:r>
      <w:proofErr w:type="gramEnd"/>
      <w:r w:rsidR="001F0AD2" w:rsidRPr="00953E18">
        <w:rPr>
          <w:rFonts w:hAnsi="標楷體" w:hint="eastAsia"/>
        </w:rPr>
        <w:t>，關於藥商對於必要藥品是否有不足供應之</w:t>
      </w:r>
      <w:r w:rsidR="005749E8" w:rsidRPr="00953E18">
        <w:rPr>
          <w:rFonts w:hAnsi="標楷體" w:hint="eastAsia"/>
        </w:rPr>
        <w:t>虞</w:t>
      </w:r>
      <w:r w:rsidR="001F0AD2" w:rsidRPr="00953E18">
        <w:rPr>
          <w:rFonts w:hAnsi="標楷體" w:hint="eastAsia"/>
        </w:rPr>
        <w:t>等情，</w:t>
      </w:r>
      <w:proofErr w:type="gramStart"/>
      <w:r w:rsidR="001F0AD2" w:rsidRPr="00953E18">
        <w:rPr>
          <w:rFonts w:hAnsi="標楷體" w:hint="eastAsia"/>
        </w:rPr>
        <w:t>食藥</w:t>
      </w:r>
      <w:proofErr w:type="gramEnd"/>
      <w:r w:rsidR="001F0AD2" w:rsidRPr="00953E18">
        <w:rPr>
          <w:rFonts w:hAnsi="標楷體" w:hint="eastAsia"/>
        </w:rPr>
        <w:t>署主要依賴藥商主動填報「西藥供應資訊平台」得知，</w:t>
      </w:r>
      <w:proofErr w:type="gramStart"/>
      <w:r w:rsidR="001F0AD2" w:rsidRPr="00953E18">
        <w:rPr>
          <w:rFonts w:hAnsi="標楷體" w:hint="eastAsia"/>
        </w:rPr>
        <w:t>另藉</w:t>
      </w:r>
      <w:proofErr w:type="gramEnd"/>
      <w:r w:rsidR="001F0AD2" w:rsidRPr="00953E18">
        <w:rPr>
          <w:rFonts w:hAnsi="標楷體" w:hint="eastAsia"/>
        </w:rPr>
        <w:t>由監測國內外藥品短缺訊息、疾病發展趨勢及用藥需求等資訊後，再提醒國內相關藥商請其留意並採取因應措施，以確保藥品供應無虞，該署相關管理作為顯過於被動，對於藥商就必要藥品供應量及儲備量，欠缺主動掌握機制，</w:t>
      </w:r>
      <w:r w:rsidR="00D90298" w:rsidRPr="00953E18">
        <w:rPr>
          <w:rFonts w:hAnsi="標楷體" w:hint="eastAsia"/>
        </w:rPr>
        <w:t>端賴藥商自主管理，</w:t>
      </w:r>
      <w:r w:rsidR="001F0AD2" w:rsidRPr="00953E18">
        <w:rPr>
          <w:rFonts w:hAnsi="標楷體" w:hint="eastAsia"/>
        </w:rPr>
        <w:t>難以督促藥商確實依法落實通報責任。</w:t>
      </w:r>
    </w:p>
    <w:p w:rsidR="00E80763" w:rsidRPr="00953E18" w:rsidRDefault="001F0AD2" w:rsidP="007D2EF4">
      <w:pPr>
        <w:pStyle w:val="4"/>
        <w:rPr>
          <w:rFonts w:hAnsi="標楷體"/>
        </w:rPr>
      </w:pPr>
      <w:r w:rsidRPr="00953E18">
        <w:rPr>
          <w:rFonts w:hAnsi="標楷體" w:hint="eastAsia"/>
        </w:rPr>
        <w:t>另關於「西藥供應資訊平台」相關執行計畫，</w:t>
      </w:r>
      <w:proofErr w:type="gramStart"/>
      <w:r w:rsidR="00E80763" w:rsidRPr="00953E18">
        <w:rPr>
          <w:rFonts w:hAnsi="標楷體" w:hint="eastAsia"/>
        </w:rPr>
        <w:t>查食藥署</w:t>
      </w:r>
      <w:proofErr w:type="gramEnd"/>
      <w:r w:rsidR="00E80763" w:rsidRPr="00953E18">
        <w:rPr>
          <w:rFonts w:hAnsi="標楷體" w:hint="eastAsia"/>
        </w:rPr>
        <w:t>為因應藥事法第27條之2規定施行，自105年起陸續辦理藥品短缺通報相關執行計畫，包括「強化藥品供應短缺通報暨評估處理機制」、「精進藥品供應短缺通報暨評估處理機制計畫」、「精進藥品供應短缺通報、評估及協調作業計畫」……等(詳如下表)，主要</w:t>
      </w:r>
      <w:r w:rsidR="00B52852" w:rsidRPr="00953E18">
        <w:rPr>
          <w:rFonts w:hAnsi="標楷體" w:hint="eastAsia"/>
        </w:rPr>
        <w:t>辦理</w:t>
      </w:r>
      <w:r w:rsidR="00997C82" w:rsidRPr="00953E18">
        <w:rPr>
          <w:rFonts w:hAnsi="標楷體" w:hint="eastAsia"/>
        </w:rPr>
        <w:t>藥品供應狀況調查、替代藥品評估、追蹤藥品恢復供應情形等事項。是關於藥事法第27條之2規定之管理，</w:t>
      </w:r>
      <w:proofErr w:type="gramStart"/>
      <w:r w:rsidR="00997C82" w:rsidRPr="00953E18">
        <w:rPr>
          <w:rFonts w:hAnsi="標楷體" w:hint="eastAsia"/>
        </w:rPr>
        <w:t>食藥署</w:t>
      </w:r>
      <w:proofErr w:type="gramEnd"/>
      <w:r w:rsidR="00997C82" w:rsidRPr="00953E18">
        <w:rPr>
          <w:rFonts w:hAnsi="標楷體" w:hint="eastAsia"/>
        </w:rPr>
        <w:t>主要以辦理藥品短缺通報</w:t>
      </w:r>
      <w:r w:rsidRPr="00953E18">
        <w:rPr>
          <w:rFonts w:hAnsi="標楷體" w:hint="eastAsia"/>
        </w:rPr>
        <w:t>後之處理作業</w:t>
      </w:r>
      <w:r w:rsidR="00997C82" w:rsidRPr="00953E18">
        <w:rPr>
          <w:rFonts w:hAnsi="標楷體" w:hint="eastAsia"/>
        </w:rPr>
        <w:t>為主，</w:t>
      </w:r>
      <w:r w:rsidRPr="00953E18">
        <w:rPr>
          <w:rFonts w:hAnsi="標楷體" w:hint="eastAsia"/>
        </w:rPr>
        <w:t>且</w:t>
      </w:r>
      <w:proofErr w:type="gramStart"/>
      <w:r w:rsidRPr="00953E18">
        <w:rPr>
          <w:rFonts w:hAnsi="標楷體" w:hint="eastAsia"/>
        </w:rPr>
        <w:t>每年均有</w:t>
      </w:r>
      <w:proofErr w:type="gramEnd"/>
      <w:r w:rsidRPr="00953E18">
        <w:rPr>
          <w:rFonts w:hAnsi="標楷體" w:hint="eastAsia"/>
        </w:rPr>
        <w:t>委辦計畫，</w:t>
      </w:r>
      <w:r w:rsidR="00997C82" w:rsidRPr="00953E18">
        <w:rPr>
          <w:rFonts w:hAnsi="標楷體" w:hint="eastAsia"/>
        </w:rPr>
        <w:t>進行通報資料的短缺</w:t>
      </w:r>
      <w:r w:rsidRPr="00953E18">
        <w:rPr>
          <w:rFonts w:hAnsi="標楷體" w:hint="eastAsia"/>
        </w:rPr>
        <w:t>調查、評估</w:t>
      </w:r>
      <w:r w:rsidR="00997C82" w:rsidRPr="00953E18">
        <w:rPr>
          <w:rFonts w:hAnsi="標楷體" w:hint="eastAsia"/>
        </w:rPr>
        <w:t>及相關因應措施，惟就藥商是否確實依規定通報之前端作業部分，該署卻無相關管理機制</w:t>
      </w:r>
      <w:r w:rsidRPr="00953E18">
        <w:rPr>
          <w:rFonts w:hAnsi="標楷體" w:hint="eastAsia"/>
        </w:rPr>
        <w:t>與計畫</w:t>
      </w:r>
      <w:r w:rsidR="00997C82" w:rsidRPr="00953E18">
        <w:rPr>
          <w:rFonts w:hAnsi="標楷體" w:hint="eastAsia"/>
        </w:rPr>
        <w:t>。</w:t>
      </w:r>
    </w:p>
    <w:p w:rsidR="00083240" w:rsidRPr="00953E18" w:rsidRDefault="00083240" w:rsidP="006E6A1B">
      <w:pPr>
        <w:pStyle w:val="a5"/>
        <w:numPr>
          <w:ilvl w:val="0"/>
          <w:numId w:val="49"/>
        </w:numPr>
        <w:ind w:left="-1134" w:rightChars="-192" w:right="-653" w:firstLineChars="1012" w:firstLine="2835"/>
        <w:rPr>
          <w:rFonts w:hAnsi="標楷體"/>
        </w:rPr>
      </w:pPr>
      <w:proofErr w:type="gramStart"/>
      <w:r w:rsidRPr="00953E18">
        <w:rPr>
          <w:rFonts w:hAnsi="標楷體" w:hint="eastAsia"/>
        </w:rPr>
        <w:t>食藥署</w:t>
      </w:r>
      <w:proofErr w:type="gramEnd"/>
      <w:r w:rsidRPr="00953E18">
        <w:rPr>
          <w:rFonts w:hAnsi="標楷體" w:hint="eastAsia"/>
        </w:rPr>
        <w:t>105至112年委辦藥品供應短缺通報評估相關計畫</w:t>
      </w:r>
    </w:p>
    <w:tbl>
      <w:tblPr>
        <w:tblStyle w:val="afb"/>
        <w:tblW w:w="7301" w:type="dxa"/>
        <w:tblInd w:w="1980" w:type="dxa"/>
        <w:tblLook w:val="04A0" w:firstRow="1" w:lastRow="0" w:firstColumn="1" w:lastColumn="0" w:noHBand="0" w:noVBand="1"/>
      </w:tblPr>
      <w:tblGrid>
        <w:gridCol w:w="846"/>
        <w:gridCol w:w="3570"/>
        <w:gridCol w:w="2885"/>
      </w:tblGrid>
      <w:tr w:rsidR="001F0AD2" w:rsidRPr="00953E18" w:rsidTr="00083240">
        <w:trPr>
          <w:tblHeader/>
        </w:trPr>
        <w:tc>
          <w:tcPr>
            <w:tcW w:w="846" w:type="dxa"/>
            <w:shd w:val="clear" w:color="auto" w:fill="DAEEF3" w:themeFill="accent5" w:themeFillTint="33"/>
            <w:vAlign w:val="center"/>
          </w:tcPr>
          <w:p w:rsidR="001F0AD2" w:rsidRPr="00953E18" w:rsidRDefault="001F0AD2" w:rsidP="00083240">
            <w:pPr>
              <w:pStyle w:val="3"/>
              <w:numPr>
                <w:ilvl w:val="0"/>
                <w:numId w:val="0"/>
              </w:numPr>
              <w:jc w:val="center"/>
              <w:rPr>
                <w:rFonts w:hAnsi="標楷體"/>
                <w:sz w:val="28"/>
              </w:rPr>
            </w:pPr>
            <w:r w:rsidRPr="00953E18">
              <w:rPr>
                <w:rFonts w:hAnsi="標楷體" w:hint="eastAsia"/>
                <w:sz w:val="28"/>
              </w:rPr>
              <w:t>年度</w:t>
            </w:r>
          </w:p>
        </w:tc>
        <w:tc>
          <w:tcPr>
            <w:tcW w:w="3570" w:type="dxa"/>
            <w:shd w:val="clear" w:color="auto" w:fill="DAEEF3" w:themeFill="accent5" w:themeFillTint="33"/>
            <w:vAlign w:val="center"/>
          </w:tcPr>
          <w:p w:rsidR="001F0AD2" w:rsidRPr="00953E18" w:rsidRDefault="001F0AD2" w:rsidP="00083240">
            <w:pPr>
              <w:pStyle w:val="3"/>
              <w:numPr>
                <w:ilvl w:val="0"/>
                <w:numId w:val="0"/>
              </w:numPr>
              <w:jc w:val="center"/>
              <w:rPr>
                <w:rFonts w:hAnsi="標楷體"/>
                <w:sz w:val="28"/>
              </w:rPr>
            </w:pPr>
            <w:r w:rsidRPr="00953E18">
              <w:rPr>
                <w:rFonts w:hAnsi="標楷體" w:hint="eastAsia"/>
                <w:sz w:val="28"/>
              </w:rPr>
              <w:t>計畫名稱</w:t>
            </w:r>
          </w:p>
        </w:tc>
        <w:tc>
          <w:tcPr>
            <w:tcW w:w="2885" w:type="dxa"/>
            <w:shd w:val="clear" w:color="auto" w:fill="DAEEF3" w:themeFill="accent5" w:themeFillTint="33"/>
            <w:vAlign w:val="center"/>
          </w:tcPr>
          <w:p w:rsidR="001F0AD2" w:rsidRPr="00953E18" w:rsidRDefault="001F0AD2" w:rsidP="00083240">
            <w:pPr>
              <w:pStyle w:val="3"/>
              <w:numPr>
                <w:ilvl w:val="0"/>
                <w:numId w:val="0"/>
              </w:numPr>
              <w:jc w:val="center"/>
              <w:rPr>
                <w:rFonts w:hAnsi="標楷體"/>
                <w:sz w:val="28"/>
              </w:rPr>
            </w:pPr>
            <w:r w:rsidRPr="00953E18">
              <w:rPr>
                <w:rFonts w:hAnsi="標楷體" w:hint="eastAsia"/>
                <w:sz w:val="28"/>
              </w:rPr>
              <w:t>委託辦理事項</w:t>
            </w:r>
          </w:p>
        </w:tc>
      </w:tr>
      <w:tr w:rsidR="00083240" w:rsidRPr="00953E18" w:rsidTr="00083240">
        <w:tc>
          <w:tcPr>
            <w:tcW w:w="846" w:type="dxa"/>
            <w:vAlign w:val="center"/>
          </w:tcPr>
          <w:p w:rsidR="00083240" w:rsidRPr="00953E18" w:rsidRDefault="00083240" w:rsidP="001941D4">
            <w:pPr>
              <w:pStyle w:val="3"/>
              <w:numPr>
                <w:ilvl w:val="0"/>
                <w:numId w:val="0"/>
              </w:numPr>
              <w:jc w:val="center"/>
              <w:rPr>
                <w:rFonts w:hAnsi="標楷體"/>
                <w:sz w:val="28"/>
                <w:szCs w:val="28"/>
              </w:rPr>
            </w:pPr>
            <w:r w:rsidRPr="00953E18">
              <w:rPr>
                <w:rFonts w:hAnsi="標楷體" w:hint="eastAsia"/>
                <w:sz w:val="28"/>
                <w:szCs w:val="28"/>
              </w:rPr>
              <w:t>105</w:t>
            </w:r>
          </w:p>
        </w:tc>
        <w:tc>
          <w:tcPr>
            <w:tcW w:w="3570" w:type="dxa"/>
          </w:tcPr>
          <w:p w:rsidR="00083240" w:rsidRPr="00953E18" w:rsidRDefault="00083240" w:rsidP="007D2EF4">
            <w:pPr>
              <w:pStyle w:val="3"/>
              <w:numPr>
                <w:ilvl w:val="0"/>
                <w:numId w:val="0"/>
              </w:numPr>
              <w:rPr>
                <w:rFonts w:hAnsi="標楷體"/>
                <w:sz w:val="28"/>
                <w:szCs w:val="28"/>
              </w:rPr>
            </w:pPr>
            <w:r w:rsidRPr="00953E18">
              <w:rPr>
                <w:rFonts w:hAnsi="標楷體" w:hint="eastAsia"/>
                <w:sz w:val="28"/>
                <w:szCs w:val="28"/>
              </w:rPr>
              <w:t>強化藥品供應短缺通報暨評估處理機制機計畫</w:t>
            </w:r>
          </w:p>
        </w:tc>
        <w:tc>
          <w:tcPr>
            <w:tcW w:w="2885" w:type="dxa"/>
            <w:vMerge w:val="restart"/>
            <w:vAlign w:val="center"/>
          </w:tcPr>
          <w:p w:rsidR="00083240" w:rsidRPr="00953E18" w:rsidRDefault="001941D4" w:rsidP="001941D4">
            <w:pPr>
              <w:pStyle w:val="3"/>
              <w:numPr>
                <w:ilvl w:val="0"/>
                <w:numId w:val="0"/>
              </w:numPr>
              <w:ind w:leftChars="-21" w:left="250" w:hangingChars="107" w:hanging="321"/>
              <w:rPr>
                <w:rFonts w:hAnsi="標楷體"/>
                <w:sz w:val="28"/>
                <w:szCs w:val="28"/>
              </w:rPr>
            </w:pPr>
            <w:r w:rsidRPr="00953E18">
              <w:rPr>
                <w:rFonts w:hAnsi="標楷體" w:hint="eastAsia"/>
                <w:sz w:val="28"/>
                <w:szCs w:val="28"/>
              </w:rPr>
              <w:t>1.</w:t>
            </w:r>
            <w:r w:rsidR="00083240" w:rsidRPr="00953E18">
              <w:rPr>
                <w:rFonts w:hAnsi="標楷體" w:hint="eastAsia"/>
                <w:sz w:val="28"/>
                <w:szCs w:val="28"/>
              </w:rPr>
              <w:t>協助個別廠牌藥品短缺案件處理，包括供應狀況調查、替代藥品評估、追蹤藥品恢復供應情</w:t>
            </w:r>
            <w:r w:rsidR="00083240" w:rsidRPr="00953E18">
              <w:rPr>
                <w:rFonts w:hAnsi="標楷體" w:hint="eastAsia"/>
                <w:sz w:val="28"/>
                <w:szCs w:val="28"/>
              </w:rPr>
              <w:lastRenderedPageBreak/>
              <w:t>形等。</w:t>
            </w:r>
          </w:p>
          <w:p w:rsidR="00083240" w:rsidRPr="00953E18" w:rsidRDefault="001941D4" w:rsidP="001941D4">
            <w:pPr>
              <w:pStyle w:val="3"/>
              <w:numPr>
                <w:ilvl w:val="0"/>
                <w:numId w:val="0"/>
              </w:numPr>
              <w:ind w:leftChars="-21" w:left="250" w:hangingChars="107" w:hanging="321"/>
              <w:rPr>
                <w:rFonts w:hAnsi="標楷體"/>
                <w:sz w:val="28"/>
                <w:szCs w:val="28"/>
              </w:rPr>
            </w:pPr>
            <w:r w:rsidRPr="00953E18">
              <w:rPr>
                <w:rFonts w:hAnsi="標楷體" w:hint="eastAsia"/>
                <w:sz w:val="28"/>
                <w:szCs w:val="28"/>
              </w:rPr>
              <w:t>2.</w:t>
            </w:r>
            <w:r w:rsidR="00083240" w:rsidRPr="00953E18">
              <w:rPr>
                <w:rFonts w:hAnsi="標楷體" w:hint="eastAsia"/>
                <w:sz w:val="28"/>
                <w:szCs w:val="28"/>
              </w:rPr>
              <w:t>針對醫療人員辦理宣導說明會，宣導如何善用「西藥供應資訊平台」，以因應個別廠牌藥品短缺。</w:t>
            </w:r>
          </w:p>
          <w:p w:rsidR="00083240" w:rsidRPr="00953E18" w:rsidRDefault="001941D4" w:rsidP="001941D4">
            <w:pPr>
              <w:pStyle w:val="3"/>
              <w:numPr>
                <w:ilvl w:val="0"/>
                <w:numId w:val="0"/>
              </w:numPr>
              <w:ind w:leftChars="-21" w:left="250" w:hangingChars="107" w:hanging="321"/>
              <w:rPr>
                <w:rFonts w:hAnsi="標楷體"/>
                <w:sz w:val="28"/>
                <w:szCs w:val="28"/>
              </w:rPr>
            </w:pPr>
            <w:r w:rsidRPr="00953E18">
              <w:rPr>
                <w:rFonts w:hAnsi="標楷體" w:hint="eastAsia"/>
                <w:sz w:val="28"/>
                <w:szCs w:val="28"/>
              </w:rPr>
              <w:t>3.</w:t>
            </w:r>
            <w:r w:rsidR="00083240" w:rsidRPr="00953E18">
              <w:rPr>
                <w:rFonts w:hAnsi="標楷體" w:hint="eastAsia"/>
                <w:sz w:val="28"/>
                <w:szCs w:val="28"/>
              </w:rPr>
              <w:t>提供我國必要藥品清單之修正建議。</w:t>
            </w:r>
          </w:p>
        </w:tc>
      </w:tr>
      <w:tr w:rsidR="00083240" w:rsidRPr="00953E18" w:rsidTr="00083240">
        <w:tc>
          <w:tcPr>
            <w:tcW w:w="846" w:type="dxa"/>
            <w:vAlign w:val="center"/>
          </w:tcPr>
          <w:p w:rsidR="00083240" w:rsidRPr="00953E18" w:rsidRDefault="00083240" w:rsidP="001941D4">
            <w:pPr>
              <w:pStyle w:val="3"/>
              <w:numPr>
                <w:ilvl w:val="0"/>
                <w:numId w:val="0"/>
              </w:numPr>
              <w:jc w:val="center"/>
              <w:rPr>
                <w:rFonts w:hAnsi="標楷體"/>
                <w:sz w:val="28"/>
                <w:szCs w:val="28"/>
              </w:rPr>
            </w:pPr>
            <w:r w:rsidRPr="00953E18">
              <w:rPr>
                <w:rFonts w:hAnsi="標楷體" w:hint="eastAsia"/>
                <w:sz w:val="28"/>
                <w:szCs w:val="28"/>
              </w:rPr>
              <w:t>106</w:t>
            </w:r>
          </w:p>
        </w:tc>
        <w:tc>
          <w:tcPr>
            <w:tcW w:w="3570" w:type="dxa"/>
          </w:tcPr>
          <w:p w:rsidR="00083240" w:rsidRPr="00953E18" w:rsidRDefault="00083240" w:rsidP="007D2EF4">
            <w:pPr>
              <w:pStyle w:val="3"/>
              <w:numPr>
                <w:ilvl w:val="0"/>
                <w:numId w:val="0"/>
              </w:numPr>
              <w:rPr>
                <w:rFonts w:hAnsi="標楷體"/>
                <w:sz w:val="28"/>
                <w:szCs w:val="28"/>
              </w:rPr>
            </w:pPr>
            <w:r w:rsidRPr="00953E18">
              <w:rPr>
                <w:rFonts w:hAnsi="標楷體" w:hint="eastAsia"/>
                <w:sz w:val="28"/>
                <w:szCs w:val="28"/>
              </w:rPr>
              <w:t>精進藥品供應短缺通報暨評估處理機制計畫</w:t>
            </w:r>
          </w:p>
        </w:tc>
        <w:tc>
          <w:tcPr>
            <w:tcW w:w="2885" w:type="dxa"/>
            <w:vMerge/>
          </w:tcPr>
          <w:p w:rsidR="00083240" w:rsidRPr="00953E18" w:rsidRDefault="00083240" w:rsidP="007D2EF4">
            <w:pPr>
              <w:pStyle w:val="3"/>
              <w:numPr>
                <w:ilvl w:val="0"/>
                <w:numId w:val="0"/>
              </w:numPr>
              <w:rPr>
                <w:rFonts w:hAnsi="標楷體"/>
                <w:sz w:val="28"/>
                <w:szCs w:val="28"/>
              </w:rPr>
            </w:pPr>
          </w:p>
        </w:tc>
      </w:tr>
      <w:tr w:rsidR="00083240" w:rsidRPr="00953E18" w:rsidTr="00083240">
        <w:tc>
          <w:tcPr>
            <w:tcW w:w="846" w:type="dxa"/>
            <w:vAlign w:val="center"/>
          </w:tcPr>
          <w:p w:rsidR="00083240" w:rsidRPr="00953E18" w:rsidRDefault="00083240" w:rsidP="001941D4">
            <w:pPr>
              <w:pStyle w:val="3"/>
              <w:numPr>
                <w:ilvl w:val="0"/>
                <w:numId w:val="0"/>
              </w:numPr>
              <w:jc w:val="center"/>
              <w:rPr>
                <w:rFonts w:hAnsi="標楷體"/>
                <w:sz w:val="28"/>
                <w:szCs w:val="28"/>
              </w:rPr>
            </w:pPr>
            <w:r w:rsidRPr="00953E18">
              <w:rPr>
                <w:rFonts w:hAnsi="標楷體" w:hint="eastAsia"/>
                <w:sz w:val="28"/>
                <w:szCs w:val="28"/>
              </w:rPr>
              <w:t>107</w:t>
            </w:r>
          </w:p>
        </w:tc>
        <w:tc>
          <w:tcPr>
            <w:tcW w:w="3570" w:type="dxa"/>
          </w:tcPr>
          <w:p w:rsidR="00083240" w:rsidRPr="00953E18" w:rsidRDefault="00083240" w:rsidP="007D2EF4">
            <w:pPr>
              <w:pStyle w:val="3"/>
              <w:numPr>
                <w:ilvl w:val="0"/>
                <w:numId w:val="0"/>
              </w:numPr>
              <w:rPr>
                <w:rFonts w:hAnsi="標楷體"/>
                <w:sz w:val="28"/>
                <w:szCs w:val="28"/>
              </w:rPr>
            </w:pPr>
            <w:r w:rsidRPr="00953E18">
              <w:rPr>
                <w:rFonts w:hAnsi="標楷體" w:hint="eastAsia"/>
                <w:sz w:val="28"/>
                <w:szCs w:val="28"/>
              </w:rPr>
              <w:t>健全藥品供應短缺通報暨</w:t>
            </w:r>
            <w:r w:rsidRPr="00953E18">
              <w:rPr>
                <w:rFonts w:hAnsi="標楷體" w:hint="eastAsia"/>
                <w:sz w:val="28"/>
                <w:szCs w:val="28"/>
              </w:rPr>
              <w:lastRenderedPageBreak/>
              <w:t>評估處理機制計畫</w:t>
            </w:r>
          </w:p>
        </w:tc>
        <w:tc>
          <w:tcPr>
            <w:tcW w:w="2885" w:type="dxa"/>
            <w:vMerge/>
          </w:tcPr>
          <w:p w:rsidR="00083240" w:rsidRPr="00953E18" w:rsidRDefault="00083240" w:rsidP="007D2EF4">
            <w:pPr>
              <w:pStyle w:val="3"/>
              <w:numPr>
                <w:ilvl w:val="0"/>
                <w:numId w:val="0"/>
              </w:numPr>
              <w:rPr>
                <w:rFonts w:hAnsi="標楷體"/>
                <w:sz w:val="28"/>
                <w:szCs w:val="28"/>
              </w:rPr>
            </w:pPr>
          </w:p>
        </w:tc>
      </w:tr>
      <w:tr w:rsidR="00083240" w:rsidRPr="00953E18" w:rsidTr="00083240">
        <w:tc>
          <w:tcPr>
            <w:tcW w:w="846" w:type="dxa"/>
            <w:vAlign w:val="center"/>
          </w:tcPr>
          <w:p w:rsidR="00083240" w:rsidRPr="00953E18" w:rsidRDefault="00083240" w:rsidP="001941D4">
            <w:pPr>
              <w:pStyle w:val="3"/>
              <w:numPr>
                <w:ilvl w:val="0"/>
                <w:numId w:val="0"/>
              </w:numPr>
              <w:jc w:val="center"/>
              <w:rPr>
                <w:rFonts w:hAnsi="標楷體"/>
                <w:sz w:val="28"/>
                <w:szCs w:val="28"/>
              </w:rPr>
            </w:pPr>
            <w:r w:rsidRPr="00953E18">
              <w:rPr>
                <w:rFonts w:hAnsi="標楷體" w:hint="eastAsia"/>
                <w:sz w:val="28"/>
                <w:szCs w:val="28"/>
              </w:rPr>
              <w:t>108</w:t>
            </w:r>
          </w:p>
        </w:tc>
        <w:tc>
          <w:tcPr>
            <w:tcW w:w="3570" w:type="dxa"/>
          </w:tcPr>
          <w:p w:rsidR="00083240" w:rsidRPr="00953E18" w:rsidRDefault="00083240" w:rsidP="007D2EF4">
            <w:pPr>
              <w:pStyle w:val="3"/>
              <w:numPr>
                <w:ilvl w:val="0"/>
                <w:numId w:val="0"/>
              </w:numPr>
              <w:rPr>
                <w:rFonts w:hAnsi="標楷體"/>
                <w:sz w:val="28"/>
                <w:szCs w:val="28"/>
              </w:rPr>
            </w:pPr>
            <w:r w:rsidRPr="00953E18">
              <w:rPr>
                <w:rFonts w:hAnsi="標楷體" w:hint="eastAsia"/>
                <w:sz w:val="28"/>
                <w:szCs w:val="28"/>
              </w:rPr>
              <w:t>精進藥品供應短缺通報、評估及協調作業計畫</w:t>
            </w:r>
          </w:p>
        </w:tc>
        <w:tc>
          <w:tcPr>
            <w:tcW w:w="2885" w:type="dxa"/>
            <w:vMerge/>
          </w:tcPr>
          <w:p w:rsidR="00083240" w:rsidRPr="00953E18" w:rsidRDefault="00083240" w:rsidP="007D2EF4">
            <w:pPr>
              <w:pStyle w:val="3"/>
              <w:numPr>
                <w:ilvl w:val="0"/>
                <w:numId w:val="0"/>
              </w:numPr>
              <w:rPr>
                <w:rFonts w:hAnsi="標楷體"/>
                <w:sz w:val="28"/>
                <w:szCs w:val="28"/>
              </w:rPr>
            </w:pPr>
          </w:p>
        </w:tc>
      </w:tr>
      <w:tr w:rsidR="00083240" w:rsidRPr="00953E18" w:rsidTr="00083240">
        <w:tc>
          <w:tcPr>
            <w:tcW w:w="846" w:type="dxa"/>
            <w:vAlign w:val="center"/>
          </w:tcPr>
          <w:p w:rsidR="00083240" w:rsidRPr="00953E18" w:rsidRDefault="00083240" w:rsidP="001941D4">
            <w:pPr>
              <w:pStyle w:val="3"/>
              <w:numPr>
                <w:ilvl w:val="0"/>
                <w:numId w:val="0"/>
              </w:numPr>
              <w:jc w:val="center"/>
              <w:rPr>
                <w:rFonts w:hAnsi="標楷體"/>
                <w:sz w:val="28"/>
                <w:szCs w:val="28"/>
              </w:rPr>
            </w:pPr>
            <w:r w:rsidRPr="00953E18">
              <w:rPr>
                <w:rFonts w:hAnsi="標楷體" w:hint="eastAsia"/>
                <w:sz w:val="28"/>
                <w:szCs w:val="28"/>
              </w:rPr>
              <w:t>109</w:t>
            </w:r>
          </w:p>
        </w:tc>
        <w:tc>
          <w:tcPr>
            <w:tcW w:w="3570" w:type="dxa"/>
          </w:tcPr>
          <w:p w:rsidR="00083240" w:rsidRPr="00953E18" w:rsidRDefault="00083240" w:rsidP="007D2EF4">
            <w:pPr>
              <w:pStyle w:val="3"/>
              <w:numPr>
                <w:ilvl w:val="0"/>
                <w:numId w:val="0"/>
              </w:numPr>
              <w:rPr>
                <w:rFonts w:hAnsi="標楷體"/>
                <w:sz w:val="28"/>
                <w:szCs w:val="28"/>
              </w:rPr>
            </w:pPr>
            <w:r w:rsidRPr="00953E18">
              <w:rPr>
                <w:rFonts w:hAnsi="標楷體" w:hint="eastAsia"/>
                <w:sz w:val="28"/>
                <w:szCs w:val="28"/>
              </w:rPr>
              <w:t>建構完善藥品短缺通報、評估及協調作業計畫</w:t>
            </w:r>
          </w:p>
        </w:tc>
        <w:tc>
          <w:tcPr>
            <w:tcW w:w="2885" w:type="dxa"/>
            <w:vMerge/>
          </w:tcPr>
          <w:p w:rsidR="00083240" w:rsidRPr="00953E18" w:rsidRDefault="00083240" w:rsidP="007D2EF4">
            <w:pPr>
              <w:pStyle w:val="3"/>
              <w:numPr>
                <w:ilvl w:val="0"/>
                <w:numId w:val="0"/>
              </w:numPr>
              <w:rPr>
                <w:rFonts w:hAnsi="標楷體"/>
                <w:sz w:val="28"/>
                <w:szCs w:val="28"/>
              </w:rPr>
            </w:pPr>
          </w:p>
        </w:tc>
      </w:tr>
      <w:tr w:rsidR="00083240" w:rsidRPr="00953E18" w:rsidTr="00083240">
        <w:tc>
          <w:tcPr>
            <w:tcW w:w="846" w:type="dxa"/>
            <w:vAlign w:val="center"/>
          </w:tcPr>
          <w:p w:rsidR="00083240" w:rsidRPr="00953E18" w:rsidRDefault="00083240" w:rsidP="001941D4">
            <w:pPr>
              <w:pStyle w:val="3"/>
              <w:numPr>
                <w:ilvl w:val="0"/>
                <w:numId w:val="0"/>
              </w:numPr>
              <w:jc w:val="center"/>
              <w:rPr>
                <w:rFonts w:hAnsi="標楷體"/>
                <w:sz w:val="28"/>
                <w:szCs w:val="28"/>
              </w:rPr>
            </w:pPr>
            <w:r w:rsidRPr="00953E18">
              <w:rPr>
                <w:rFonts w:hAnsi="標楷體" w:hint="eastAsia"/>
                <w:sz w:val="28"/>
                <w:szCs w:val="28"/>
              </w:rPr>
              <w:t>110</w:t>
            </w:r>
          </w:p>
        </w:tc>
        <w:tc>
          <w:tcPr>
            <w:tcW w:w="3570" w:type="dxa"/>
          </w:tcPr>
          <w:p w:rsidR="00083240" w:rsidRPr="00953E18" w:rsidRDefault="00083240" w:rsidP="007D2EF4">
            <w:pPr>
              <w:pStyle w:val="3"/>
              <w:numPr>
                <w:ilvl w:val="0"/>
                <w:numId w:val="0"/>
              </w:numPr>
              <w:rPr>
                <w:rFonts w:hAnsi="標楷體"/>
                <w:sz w:val="28"/>
                <w:szCs w:val="28"/>
              </w:rPr>
            </w:pPr>
            <w:r w:rsidRPr="00953E18">
              <w:rPr>
                <w:rFonts w:hAnsi="標楷體" w:hint="eastAsia"/>
                <w:sz w:val="28"/>
                <w:szCs w:val="28"/>
              </w:rPr>
              <w:t>精進藥品供應短缺通報暨評估處理機制計畫</w:t>
            </w:r>
          </w:p>
        </w:tc>
        <w:tc>
          <w:tcPr>
            <w:tcW w:w="2885" w:type="dxa"/>
            <w:vMerge/>
          </w:tcPr>
          <w:p w:rsidR="00083240" w:rsidRPr="00953E18" w:rsidRDefault="00083240" w:rsidP="007D2EF4">
            <w:pPr>
              <w:pStyle w:val="3"/>
              <w:numPr>
                <w:ilvl w:val="0"/>
                <w:numId w:val="0"/>
              </w:numPr>
              <w:rPr>
                <w:rFonts w:hAnsi="標楷體"/>
                <w:sz w:val="28"/>
                <w:szCs w:val="28"/>
              </w:rPr>
            </w:pPr>
          </w:p>
        </w:tc>
      </w:tr>
      <w:tr w:rsidR="00083240" w:rsidRPr="00953E18" w:rsidTr="00083240">
        <w:tc>
          <w:tcPr>
            <w:tcW w:w="846" w:type="dxa"/>
            <w:vAlign w:val="center"/>
          </w:tcPr>
          <w:p w:rsidR="00083240" w:rsidRPr="00953E18" w:rsidRDefault="00083240" w:rsidP="001941D4">
            <w:pPr>
              <w:pStyle w:val="3"/>
              <w:numPr>
                <w:ilvl w:val="0"/>
                <w:numId w:val="0"/>
              </w:numPr>
              <w:jc w:val="center"/>
              <w:rPr>
                <w:rFonts w:hAnsi="標楷體"/>
                <w:sz w:val="28"/>
                <w:szCs w:val="28"/>
              </w:rPr>
            </w:pPr>
            <w:r w:rsidRPr="00953E18">
              <w:rPr>
                <w:rFonts w:hAnsi="標楷體" w:hint="eastAsia"/>
                <w:sz w:val="28"/>
                <w:szCs w:val="28"/>
              </w:rPr>
              <w:t>111</w:t>
            </w:r>
          </w:p>
        </w:tc>
        <w:tc>
          <w:tcPr>
            <w:tcW w:w="3570" w:type="dxa"/>
          </w:tcPr>
          <w:p w:rsidR="00083240" w:rsidRPr="00953E18" w:rsidRDefault="00083240" w:rsidP="007D2EF4">
            <w:pPr>
              <w:pStyle w:val="3"/>
              <w:numPr>
                <w:ilvl w:val="0"/>
                <w:numId w:val="0"/>
              </w:numPr>
              <w:rPr>
                <w:rFonts w:hAnsi="標楷體"/>
                <w:sz w:val="28"/>
                <w:szCs w:val="28"/>
              </w:rPr>
            </w:pPr>
            <w:r w:rsidRPr="00953E18">
              <w:rPr>
                <w:rFonts w:hAnsi="標楷體" w:hint="eastAsia"/>
                <w:sz w:val="28"/>
                <w:szCs w:val="28"/>
              </w:rPr>
              <w:t>提升藥品短缺通報、評估及因應處理機制計畫</w:t>
            </w:r>
          </w:p>
        </w:tc>
        <w:tc>
          <w:tcPr>
            <w:tcW w:w="2885" w:type="dxa"/>
            <w:vMerge/>
          </w:tcPr>
          <w:p w:rsidR="00083240" w:rsidRPr="00953E18" w:rsidRDefault="00083240" w:rsidP="007D2EF4">
            <w:pPr>
              <w:pStyle w:val="3"/>
              <w:numPr>
                <w:ilvl w:val="0"/>
                <w:numId w:val="0"/>
              </w:numPr>
              <w:rPr>
                <w:rFonts w:hAnsi="標楷體"/>
                <w:sz w:val="28"/>
                <w:szCs w:val="28"/>
              </w:rPr>
            </w:pPr>
          </w:p>
        </w:tc>
      </w:tr>
      <w:tr w:rsidR="00083240" w:rsidRPr="00953E18" w:rsidTr="00083240">
        <w:tc>
          <w:tcPr>
            <w:tcW w:w="846" w:type="dxa"/>
            <w:vAlign w:val="center"/>
          </w:tcPr>
          <w:p w:rsidR="00083240" w:rsidRPr="00953E18" w:rsidRDefault="00083240" w:rsidP="001941D4">
            <w:pPr>
              <w:pStyle w:val="3"/>
              <w:numPr>
                <w:ilvl w:val="0"/>
                <w:numId w:val="0"/>
              </w:numPr>
              <w:jc w:val="center"/>
              <w:rPr>
                <w:rFonts w:hAnsi="標楷體"/>
                <w:sz w:val="28"/>
                <w:szCs w:val="28"/>
              </w:rPr>
            </w:pPr>
            <w:r w:rsidRPr="00953E18">
              <w:rPr>
                <w:rFonts w:hAnsi="標楷體" w:hint="eastAsia"/>
                <w:sz w:val="28"/>
                <w:szCs w:val="28"/>
              </w:rPr>
              <w:t>112</w:t>
            </w:r>
          </w:p>
        </w:tc>
        <w:tc>
          <w:tcPr>
            <w:tcW w:w="3570" w:type="dxa"/>
          </w:tcPr>
          <w:p w:rsidR="00083240" w:rsidRPr="00953E18" w:rsidRDefault="00083240" w:rsidP="007D2EF4">
            <w:pPr>
              <w:pStyle w:val="3"/>
              <w:numPr>
                <w:ilvl w:val="0"/>
                <w:numId w:val="0"/>
              </w:numPr>
              <w:rPr>
                <w:rFonts w:hAnsi="標楷體"/>
                <w:sz w:val="28"/>
                <w:szCs w:val="28"/>
              </w:rPr>
            </w:pPr>
            <w:r w:rsidRPr="00953E18">
              <w:rPr>
                <w:rFonts w:hAnsi="標楷體" w:hint="eastAsia"/>
                <w:sz w:val="28"/>
                <w:szCs w:val="28"/>
              </w:rPr>
              <w:t>強化藥品供應短缺處理機制計畫</w:t>
            </w:r>
          </w:p>
        </w:tc>
        <w:tc>
          <w:tcPr>
            <w:tcW w:w="2885" w:type="dxa"/>
            <w:vMerge/>
          </w:tcPr>
          <w:p w:rsidR="00083240" w:rsidRPr="00953E18" w:rsidRDefault="00083240" w:rsidP="007D2EF4">
            <w:pPr>
              <w:pStyle w:val="3"/>
              <w:numPr>
                <w:ilvl w:val="0"/>
                <w:numId w:val="0"/>
              </w:numPr>
              <w:rPr>
                <w:rFonts w:hAnsi="標楷體"/>
                <w:sz w:val="28"/>
                <w:szCs w:val="28"/>
              </w:rPr>
            </w:pPr>
          </w:p>
        </w:tc>
      </w:tr>
    </w:tbl>
    <w:p w:rsidR="00083240" w:rsidRPr="00953E18" w:rsidRDefault="00083240" w:rsidP="00083240">
      <w:pPr>
        <w:pStyle w:val="5"/>
        <w:numPr>
          <w:ilvl w:val="0"/>
          <w:numId w:val="0"/>
        </w:numPr>
        <w:spacing w:line="360" w:lineRule="exact"/>
        <w:ind w:firstLineChars="763" w:firstLine="1985"/>
        <w:rPr>
          <w:rFonts w:hAnsi="標楷體"/>
          <w:sz w:val="24"/>
        </w:rPr>
      </w:pPr>
      <w:r w:rsidRPr="00953E18">
        <w:rPr>
          <w:rFonts w:hAnsi="標楷體" w:hint="eastAsia"/>
          <w:sz w:val="24"/>
          <w:szCs w:val="28"/>
        </w:rPr>
        <w:t>資</w:t>
      </w:r>
      <w:r w:rsidRPr="00953E18">
        <w:rPr>
          <w:rFonts w:hAnsi="標楷體" w:hint="eastAsia"/>
          <w:sz w:val="24"/>
        </w:rPr>
        <w:t>料來源：衛福部</w:t>
      </w:r>
    </w:p>
    <w:p w:rsidR="001F0AD2" w:rsidRPr="00953E18" w:rsidRDefault="001F0AD2" w:rsidP="001F0AD2">
      <w:pPr>
        <w:pStyle w:val="4"/>
        <w:numPr>
          <w:ilvl w:val="0"/>
          <w:numId w:val="0"/>
        </w:numPr>
        <w:ind w:left="1701"/>
        <w:rPr>
          <w:rFonts w:hAnsi="標楷體"/>
        </w:rPr>
      </w:pPr>
    </w:p>
    <w:p w:rsidR="001F0AD2" w:rsidRPr="00953E18" w:rsidRDefault="00DE659E" w:rsidP="007D2EF4">
      <w:pPr>
        <w:pStyle w:val="4"/>
        <w:rPr>
          <w:rFonts w:hAnsi="標楷體"/>
        </w:rPr>
      </w:pPr>
      <w:r w:rsidRPr="00953E18">
        <w:rPr>
          <w:rFonts w:hAnsi="標楷體" w:hint="eastAsia"/>
        </w:rPr>
        <w:t>由上足</w:t>
      </w:r>
      <w:proofErr w:type="gramStart"/>
      <w:r w:rsidRPr="00953E18">
        <w:rPr>
          <w:rFonts w:hAnsi="標楷體" w:hint="eastAsia"/>
        </w:rPr>
        <w:t>徵</w:t>
      </w:r>
      <w:proofErr w:type="gramEnd"/>
      <w:r w:rsidRPr="00953E18">
        <w:rPr>
          <w:rFonts w:hAnsi="標楷體" w:hint="eastAsia"/>
        </w:rPr>
        <w:t>，</w:t>
      </w:r>
      <w:proofErr w:type="gramStart"/>
      <w:r w:rsidR="001F0AD2" w:rsidRPr="00953E18">
        <w:rPr>
          <w:rFonts w:hAnsi="標楷體" w:hint="eastAsia"/>
        </w:rPr>
        <w:t>食藥</w:t>
      </w:r>
      <w:proofErr w:type="gramEnd"/>
      <w:r w:rsidR="001F0AD2" w:rsidRPr="00953E18">
        <w:rPr>
          <w:rFonts w:hAnsi="標楷體" w:hint="eastAsia"/>
        </w:rPr>
        <w:t>署對於必要藥品短缺之管理機制，僅著重於接獲通報後藥品短缺的調查、替代藥品評估等作為，關於藥商是否確實依法通報之前端作業，主要以函文提醒方式辦理，欠缺主動查核及管理機制，致難以掌握藥商就必要藥品供應量及儲備量。</w:t>
      </w:r>
    </w:p>
    <w:p w:rsidR="00083240" w:rsidRPr="00953E18" w:rsidRDefault="00083240" w:rsidP="00183F0A">
      <w:pPr>
        <w:pStyle w:val="3"/>
        <w:rPr>
          <w:rFonts w:hAnsi="標楷體"/>
          <w:b/>
        </w:rPr>
      </w:pPr>
      <w:r w:rsidRPr="00953E18">
        <w:rPr>
          <w:rFonts w:hAnsi="標楷體" w:hint="eastAsia"/>
          <w:b/>
        </w:rPr>
        <w:t>近5年僅有2</w:t>
      </w:r>
      <w:r w:rsidR="00183F0A" w:rsidRPr="00953E18">
        <w:rPr>
          <w:rFonts w:hAnsi="標楷體" w:hint="eastAsia"/>
          <w:b/>
        </w:rPr>
        <w:t>件</w:t>
      </w:r>
      <w:r w:rsidRPr="00953E18">
        <w:rPr>
          <w:rFonts w:hAnsi="標楷體" w:hint="eastAsia"/>
          <w:b/>
        </w:rPr>
        <w:t>藥商未依規定通報</w:t>
      </w:r>
      <w:r w:rsidR="00183F0A" w:rsidRPr="00953E18">
        <w:rPr>
          <w:rFonts w:hAnsi="標楷體" w:hint="eastAsia"/>
          <w:b/>
        </w:rPr>
        <w:t>案例</w:t>
      </w:r>
      <w:r w:rsidRPr="00953E18">
        <w:rPr>
          <w:rFonts w:hAnsi="標楷體" w:hint="eastAsia"/>
          <w:b/>
        </w:rPr>
        <w:t>，</w:t>
      </w:r>
      <w:proofErr w:type="gramStart"/>
      <w:r w:rsidR="00183F0A" w:rsidRPr="00953E18">
        <w:rPr>
          <w:rFonts w:hAnsi="標楷體" w:hint="eastAsia"/>
          <w:b/>
        </w:rPr>
        <w:t>且食藥署</w:t>
      </w:r>
      <w:proofErr w:type="gramEnd"/>
      <w:r w:rsidR="00183F0A" w:rsidRPr="00953E18">
        <w:rPr>
          <w:rFonts w:hAnsi="標楷體" w:hint="eastAsia"/>
          <w:b/>
        </w:rPr>
        <w:t>認非屬情節重大或再次違反者，未處以</w:t>
      </w:r>
      <w:r w:rsidR="006B7869">
        <w:rPr>
          <w:rFonts w:hAnsi="標楷體" w:hint="eastAsia"/>
          <w:b/>
        </w:rPr>
        <w:t>罰鍰</w:t>
      </w:r>
      <w:r w:rsidR="00183F0A" w:rsidRPr="00953E18">
        <w:rPr>
          <w:rFonts w:hAnsi="標楷體" w:hint="eastAsia"/>
          <w:b/>
        </w:rPr>
        <w:t>，僅公開藥商相關訊息及違法情節於「西藥供應資訊平台」，惟該平台使用對象有限，</w:t>
      </w:r>
      <w:proofErr w:type="gramStart"/>
      <w:r w:rsidRPr="00953E18">
        <w:rPr>
          <w:rFonts w:hAnsi="標楷體" w:hint="eastAsia"/>
          <w:b/>
        </w:rPr>
        <w:t>難謂達警</w:t>
      </w:r>
      <w:proofErr w:type="gramEnd"/>
      <w:r w:rsidRPr="00953E18">
        <w:rPr>
          <w:rFonts w:hAnsi="標楷體" w:hint="eastAsia"/>
          <w:b/>
        </w:rPr>
        <w:t>惕之效，該署對於藥商就必要藥品通報責任之管理強度，顯過於寬鬆被動：</w:t>
      </w:r>
    </w:p>
    <w:p w:rsidR="00E82911" w:rsidRPr="00953E18" w:rsidRDefault="004D4648" w:rsidP="00FE1C0D">
      <w:pPr>
        <w:pStyle w:val="3"/>
        <w:numPr>
          <w:ilvl w:val="0"/>
          <w:numId w:val="0"/>
        </w:numPr>
        <w:ind w:left="1418" w:firstLineChars="208" w:firstLine="708"/>
        <w:rPr>
          <w:rFonts w:hAnsi="標楷體"/>
        </w:rPr>
      </w:pPr>
      <w:proofErr w:type="gramStart"/>
      <w:r w:rsidRPr="00953E18">
        <w:rPr>
          <w:rFonts w:hAnsi="標楷體" w:hint="eastAsia"/>
        </w:rPr>
        <w:t>按藥事</w:t>
      </w:r>
      <w:proofErr w:type="gramEnd"/>
      <w:r w:rsidRPr="00953E18">
        <w:rPr>
          <w:rFonts w:hAnsi="標楷體" w:hint="eastAsia"/>
        </w:rPr>
        <w:t>法</w:t>
      </w:r>
      <w:r w:rsidRPr="00953E18">
        <w:rPr>
          <w:rFonts w:hAnsi="標楷體"/>
        </w:rPr>
        <w:t>第96條之1</w:t>
      </w:r>
      <w:r w:rsidRPr="00953E18">
        <w:rPr>
          <w:rFonts w:hAnsi="標楷體" w:hint="eastAsia"/>
        </w:rPr>
        <w:t>第2項規定，藥商違反同法第27條之2第1項通報規定者，中央衛生主管機關得公開該藥商名稱、地址、負責人姓名、藥品名稱及違反情節；情節重大或再次違反者，並得處新臺幣</w:t>
      </w:r>
      <w:r w:rsidR="00C14E74" w:rsidRPr="00953E18">
        <w:rPr>
          <w:rFonts w:hAnsi="標楷體" w:hint="eastAsia"/>
        </w:rPr>
        <w:t>(下同)</w:t>
      </w:r>
      <w:r w:rsidRPr="00953E18">
        <w:rPr>
          <w:rFonts w:hAnsi="標楷體" w:hint="eastAsia"/>
        </w:rPr>
        <w:t>6萬元以上30萬元以下罰鍰。查</w:t>
      </w:r>
      <w:r w:rsidR="00DD1097" w:rsidRPr="00953E18">
        <w:rPr>
          <w:rFonts w:hAnsi="標楷體" w:hint="eastAsia"/>
        </w:rPr>
        <w:t>107至112年6月止，藥商因違反上開規定者僅有2例，分別為106</w:t>
      </w:r>
      <w:r w:rsidR="00DD1097" w:rsidRPr="00953E18">
        <w:rPr>
          <w:rFonts w:hAnsi="標楷體" w:hint="eastAsia"/>
        </w:rPr>
        <w:lastRenderedPageBreak/>
        <w:t>年新加坡商A公司因生產排程延誤導致相關注射液短缺、107年B公司縮減</w:t>
      </w:r>
      <w:proofErr w:type="gramStart"/>
      <w:r w:rsidR="00DD1097" w:rsidRPr="00953E18">
        <w:rPr>
          <w:rFonts w:hAnsi="標楷體" w:hint="eastAsia"/>
        </w:rPr>
        <w:t>進貨量致結核菌素</w:t>
      </w:r>
      <w:proofErr w:type="gramEnd"/>
      <w:r w:rsidR="00DD1097" w:rsidRPr="00953E18">
        <w:rPr>
          <w:rFonts w:hAnsi="標楷體" w:hint="eastAsia"/>
        </w:rPr>
        <w:t>短少等情，</w:t>
      </w:r>
      <w:proofErr w:type="gramStart"/>
      <w:r w:rsidR="00DD1097" w:rsidRPr="00953E18">
        <w:rPr>
          <w:rFonts w:hAnsi="標楷體" w:hint="eastAsia"/>
        </w:rPr>
        <w:t>且食藥</w:t>
      </w:r>
      <w:proofErr w:type="gramEnd"/>
      <w:r w:rsidR="00DD1097" w:rsidRPr="00953E18">
        <w:rPr>
          <w:rFonts w:hAnsi="標楷體" w:hint="eastAsia"/>
        </w:rPr>
        <w:t>署</w:t>
      </w:r>
      <w:r w:rsidR="00E82911" w:rsidRPr="00953E18">
        <w:rPr>
          <w:rFonts w:hAnsi="標楷體" w:hint="eastAsia"/>
        </w:rPr>
        <w:t>認該2案例非屬情節重大或再次違反者，故僅公開該藥商相關訊息及違反情節於「西藥供應資訊平台」，並未處以</w:t>
      </w:r>
      <w:r w:rsidR="006B7869">
        <w:rPr>
          <w:rFonts w:hAnsi="標楷體" w:hint="eastAsia"/>
        </w:rPr>
        <w:t>罰鍰</w:t>
      </w:r>
      <w:r w:rsidR="00E82911" w:rsidRPr="00953E18">
        <w:rPr>
          <w:rFonts w:hAnsi="標楷體" w:hint="eastAsia"/>
        </w:rPr>
        <w:t>。</w:t>
      </w:r>
      <w:proofErr w:type="gramStart"/>
      <w:r w:rsidR="00E82911" w:rsidRPr="00953E18">
        <w:rPr>
          <w:rFonts w:hAnsi="標楷體" w:hint="eastAsia"/>
        </w:rPr>
        <w:t>析言之</w:t>
      </w:r>
      <w:proofErr w:type="gramEnd"/>
      <w:r w:rsidR="00E82911" w:rsidRPr="00953E18">
        <w:rPr>
          <w:rFonts w:hAnsi="標楷體" w:hint="eastAsia"/>
        </w:rPr>
        <w:t>，近5年僅有2</w:t>
      </w:r>
      <w:r w:rsidR="00183F0A" w:rsidRPr="00953E18">
        <w:rPr>
          <w:rFonts w:hAnsi="標楷體" w:hint="eastAsia"/>
        </w:rPr>
        <w:t>件</w:t>
      </w:r>
      <w:r w:rsidR="00E82911" w:rsidRPr="00953E18">
        <w:rPr>
          <w:rFonts w:hAnsi="標楷體" w:hint="eastAsia"/>
        </w:rPr>
        <w:t>藥商未依規定通報</w:t>
      </w:r>
      <w:proofErr w:type="gramStart"/>
      <w:r w:rsidR="00E82911" w:rsidRPr="00953E18">
        <w:rPr>
          <w:rFonts w:hAnsi="標楷體" w:hint="eastAsia"/>
        </w:rPr>
        <w:t>經食藥</w:t>
      </w:r>
      <w:proofErr w:type="gramEnd"/>
      <w:r w:rsidR="00E82911" w:rsidRPr="00953E18">
        <w:rPr>
          <w:rFonts w:hAnsi="標楷體" w:hint="eastAsia"/>
        </w:rPr>
        <w:t>署公開相關訊息</w:t>
      </w:r>
      <w:r w:rsidR="00183F0A" w:rsidRPr="00953E18">
        <w:rPr>
          <w:rFonts w:hAnsi="標楷體" w:hint="eastAsia"/>
        </w:rPr>
        <w:t>案例</w:t>
      </w:r>
      <w:r w:rsidR="00E82911" w:rsidRPr="00953E18">
        <w:rPr>
          <w:rFonts w:hAnsi="標楷體" w:hint="eastAsia"/>
        </w:rPr>
        <w:t>，</w:t>
      </w:r>
      <w:r w:rsidR="00C14E74" w:rsidRPr="00953E18">
        <w:rPr>
          <w:rFonts w:hAnsi="標楷體" w:hint="eastAsia"/>
        </w:rPr>
        <w:t>與</w:t>
      </w:r>
      <w:r w:rsidR="00E82911" w:rsidRPr="00953E18">
        <w:rPr>
          <w:rFonts w:hAnsi="標楷體" w:hint="eastAsia"/>
        </w:rPr>
        <w:t>近期</w:t>
      </w:r>
      <w:proofErr w:type="gramStart"/>
      <w:r w:rsidR="00E82911" w:rsidRPr="00953E18">
        <w:rPr>
          <w:rFonts w:hAnsi="標楷體" w:hint="eastAsia"/>
        </w:rPr>
        <w:t>缺藥</w:t>
      </w:r>
      <w:proofErr w:type="gramEnd"/>
      <w:r w:rsidR="00E82911" w:rsidRPr="00953E18">
        <w:rPr>
          <w:rFonts w:hAnsi="標楷體" w:hint="eastAsia"/>
        </w:rPr>
        <w:t>潮實情</w:t>
      </w:r>
      <w:r w:rsidR="00C14E74" w:rsidRPr="00953E18">
        <w:rPr>
          <w:rFonts w:hAnsi="標楷體" w:hint="eastAsia"/>
        </w:rPr>
        <w:t>顯有出入</w:t>
      </w:r>
      <w:r w:rsidR="00E82911" w:rsidRPr="00953E18">
        <w:rPr>
          <w:rFonts w:hAnsi="標楷體" w:hint="eastAsia"/>
        </w:rPr>
        <w:t>，</w:t>
      </w:r>
      <w:r w:rsidR="00E80B33" w:rsidRPr="00953E18">
        <w:rPr>
          <w:rFonts w:hAnsi="標楷體" w:hint="eastAsia"/>
        </w:rPr>
        <w:t>且「西藥供應資訊平台」僅有藥局、醫療機構及少數民眾使用，</w:t>
      </w:r>
      <w:r w:rsidR="00E82911" w:rsidRPr="00953E18">
        <w:rPr>
          <w:rFonts w:hAnsi="標楷體" w:hint="eastAsia"/>
        </w:rPr>
        <w:t>公開藥商</w:t>
      </w:r>
      <w:r w:rsidR="00183F0A" w:rsidRPr="00953E18">
        <w:rPr>
          <w:rFonts w:hAnsi="標楷體" w:hint="eastAsia"/>
        </w:rPr>
        <w:t>的</w:t>
      </w:r>
      <w:r w:rsidR="00E82911" w:rsidRPr="00953E18">
        <w:rPr>
          <w:rFonts w:hAnsi="標楷體" w:hint="eastAsia"/>
        </w:rPr>
        <w:t>資訊及違</w:t>
      </w:r>
      <w:r w:rsidR="00183F0A" w:rsidRPr="00953E18">
        <w:rPr>
          <w:rFonts w:hAnsi="標楷體" w:hint="eastAsia"/>
        </w:rPr>
        <w:t>法</w:t>
      </w:r>
      <w:r w:rsidR="00E82911" w:rsidRPr="00953E18">
        <w:rPr>
          <w:rFonts w:hAnsi="標楷體" w:hint="eastAsia"/>
        </w:rPr>
        <w:t>情節於</w:t>
      </w:r>
      <w:r w:rsidR="00E80B33" w:rsidRPr="00953E18">
        <w:rPr>
          <w:rFonts w:hAnsi="標楷體" w:hint="eastAsia"/>
        </w:rPr>
        <w:t>該平台，難謂</w:t>
      </w:r>
      <w:r w:rsidR="00BF360C" w:rsidRPr="00953E18">
        <w:rPr>
          <w:rFonts w:hAnsi="標楷體" w:hint="eastAsia"/>
        </w:rPr>
        <w:t>可</w:t>
      </w:r>
      <w:r w:rsidR="00E80B33" w:rsidRPr="00953E18">
        <w:rPr>
          <w:rFonts w:hAnsi="標楷體" w:hint="eastAsia"/>
        </w:rPr>
        <w:t>達警惕之效，該署對於藥商就必要藥品通報責任之管理</w:t>
      </w:r>
      <w:r w:rsidR="00E80763" w:rsidRPr="00953E18">
        <w:rPr>
          <w:rFonts w:hAnsi="標楷體" w:hint="eastAsia"/>
        </w:rPr>
        <w:t>強度</w:t>
      </w:r>
      <w:r w:rsidR="00E80B33" w:rsidRPr="00953E18">
        <w:rPr>
          <w:rFonts w:hAnsi="標楷體" w:hint="eastAsia"/>
        </w:rPr>
        <w:t>，顯過於</w:t>
      </w:r>
      <w:r w:rsidR="00E80763" w:rsidRPr="00953E18">
        <w:rPr>
          <w:rFonts w:hAnsi="標楷體" w:hint="eastAsia"/>
        </w:rPr>
        <w:t>寬鬆被動。</w:t>
      </w:r>
    </w:p>
    <w:p w:rsidR="00FE1C0D" w:rsidRPr="00953E18" w:rsidRDefault="001E5418" w:rsidP="00FE1C0D">
      <w:pPr>
        <w:pStyle w:val="3"/>
        <w:ind w:left="1330"/>
        <w:rPr>
          <w:rFonts w:hAnsi="標楷體"/>
        </w:rPr>
      </w:pPr>
      <w:r w:rsidRPr="00953E18">
        <w:rPr>
          <w:rFonts w:hAnsi="標楷體" w:hint="eastAsia"/>
        </w:rPr>
        <w:t>綜上，</w:t>
      </w:r>
      <w:proofErr w:type="gramStart"/>
      <w:r w:rsidR="00183F0A" w:rsidRPr="00953E18">
        <w:rPr>
          <w:rFonts w:hAnsi="標楷體" w:hint="eastAsia"/>
        </w:rPr>
        <w:t>食藥署</w:t>
      </w:r>
      <w:proofErr w:type="gramEnd"/>
      <w:r w:rsidR="00183F0A" w:rsidRPr="00953E18">
        <w:rPr>
          <w:rFonts w:hAnsi="標楷體" w:hint="eastAsia"/>
        </w:rPr>
        <w:t>對於必要藥品短缺之管理機制，僅著重於接獲</w:t>
      </w:r>
      <w:r w:rsidR="00126106" w:rsidRPr="00953E18">
        <w:rPr>
          <w:rFonts w:hAnsi="標楷體" w:hint="eastAsia"/>
        </w:rPr>
        <w:t>藥品短缺</w:t>
      </w:r>
      <w:r w:rsidR="00183F0A" w:rsidRPr="00953E18">
        <w:rPr>
          <w:rFonts w:hAnsi="標楷體" w:hint="eastAsia"/>
        </w:rPr>
        <w:t>通報後</w:t>
      </w:r>
      <w:r w:rsidR="00126106" w:rsidRPr="00953E18">
        <w:rPr>
          <w:rFonts w:hAnsi="標楷體" w:hint="eastAsia"/>
        </w:rPr>
        <w:t>之</w:t>
      </w:r>
      <w:r w:rsidR="001941D4" w:rsidRPr="00953E18">
        <w:rPr>
          <w:rFonts w:hAnsi="標楷體" w:hint="eastAsia"/>
        </w:rPr>
        <w:t>供應量</w:t>
      </w:r>
      <w:r w:rsidR="00183F0A" w:rsidRPr="00953E18">
        <w:rPr>
          <w:rFonts w:hAnsi="標楷體" w:hint="eastAsia"/>
        </w:rPr>
        <w:t>調查、替代藥品評估等作為，關於藥商是否確實依法通報之前端作業，</w:t>
      </w:r>
      <w:r w:rsidR="00BF360C" w:rsidRPr="00953E18">
        <w:rPr>
          <w:rFonts w:hAnsi="標楷體" w:hint="eastAsia"/>
        </w:rPr>
        <w:t>卻</w:t>
      </w:r>
      <w:r w:rsidR="00183F0A" w:rsidRPr="00953E18">
        <w:rPr>
          <w:rFonts w:hAnsi="標楷體" w:hint="eastAsia"/>
        </w:rPr>
        <w:t>主要以提醒方式辦理，欠缺主動</w:t>
      </w:r>
      <w:r w:rsidR="00653321" w:rsidRPr="00953E18">
        <w:rPr>
          <w:rFonts w:hAnsi="標楷體" w:hint="eastAsia"/>
        </w:rPr>
        <w:t>監測、查核</w:t>
      </w:r>
      <w:r w:rsidR="00183F0A" w:rsidRPr="00953E18">
        <w:rPr>
          <w:rFonts w:hAnsi="標楷體" w:hint="eastAsia"/>
        </w:rPr>
        <w:t>及管理機制，</w:t>
      </w:r>
      <w:r w:rsidR="00FE1C0D" w:rsidRPr="00953E18">
        <w:rPr>
          <w:rFonts w:hAnsi="標楷體" w:hint="eastAsia"/>
        </w:rPr>
        <w:t>致無法掌握必要藥品確實</w:t>
      </w:r>
      <w:r w:rsidR="00653321" w:rsidRPr="00953E18">
        <w:rPr>
          <w:rFonts w:hAnsi="標楷體" w:hint="eastAsia"/>
        </w:rPr>
        <w:t>之供應量及儲備量</w:t>
      </w:r>
      <w:r w:rsidR="00FE1C0D" w:rsidRPr="00953E18">
        <w:rPr>
          <w:rFonts w:hAnsi="標楷體" w:hint="eastAsia"/>
        </w:rPr>
        <w:t>，難以</w:t>
      </w:r>
      <w:proofErr w:type="gramStart"/>
      <w:r w:rsidR="00FE1C0D" w:rsidRPr="00953E18">
        <w:rPr>
          <w:rFonts w:hAnsi="標楷體" w:hint="eastAsia"/>
        </w:rPr>
        <w:t>避免缺藥情</w:t>
      </w:r>
      <w:proofErr w:type="gramEnd"/>
      <w:r w:rsidR="00FE1C0D" w:rsidRPr="00953E18">
        <w:rPr>
          <w:rFonts w:hAnsi="標楷體" w:hint="eastAsia"/>
        </w:rPr>
        <w:t>事發生，確有未當。</w:t>
      </w:r>
    </w:p>
    <w:p w:rsidR="00791F65" w:rsidRPr="00953E18" w:rsidRDefault="00791F65" w:rsidP="00D3775A">
      <w:pPr>
        <w:pStyle w:val="2"/>
        <w:numPr>
          <w:ilvl w:val="1"/>
          <w:numId w:val="29"/>
        </w:numPr>
        <w:ind w:left="1134" w:hanging="708"/>
        <w:rPr>
          <w:rFonts w:hAnsi="標楷體"/>
          <w:b/>
        </w:rPr>
      </w:pPr>
      <w:r w:rsidRPr="00953E18">
        <w:rPr>
          <w:rFonts w:hAnsi="標楷體" w:hint="eastAsia"/>
          <w:b/>
        </w:rPr>
        <w:t>有關</w:t>
      </w:r>
      <w:proofErr w:type="gramStart"/>
      <w:r w:rsidRPr="00953E18">
        <w:rPr>
          <w:rFonts w:hAnsi="標楷體" w:hint="eastAsia"/>
          <w:b/>
        </w:rPr>
        <w:t>食藥署</w:t>
      </w:r>
      <w:proofErr w:type="gramEnd"/>
      <w:r w:rsidRPr="00953E18">
        <w:rPr>
          <w:rFonts w:hAnsi="標楷體" w:hint="eastAsia"/>
          <w:b/>
        </w:rPr>
        <w:t>對於藥品短缺之處理機制，雖要求中下游藥商保留一定藥品數量予社區藥局，以避免民眾無法取得藥品，惟該作法並無一定約束力，且該署對於中下游藥商之資格或條件亦無相關定義，自難瞭解其數量與區域分布情形，遑論掌握其藥品供應調度之狀況，致常發生該署認無藥品短缺問題，但民眾於社區藥局卻無法取得藥品之</w:t>
      </w:r>
      <w:r w:rsidR="00877B97" w:rsidRPr="00953E18">
        <w:rPr>
          <w:rFonts w:hAnsi="標楷體" w:hint="eastAsia"/>
          <w:b/>
        </w:rPr>
        <w:t>情事</w:t>
      </w:r>
      <w:r w:rsidRPr="00953E18">
        <w:rPr>
          <w:rFonts w:hAnsi="標楷體" w:hint="eastAsia"/>
          <w:b/>
        </w:rPr>
        <w:t>，亟待該署檢討改善</w:t>
      </w:r>
      <w:r w:rsidR="00877B97" w:rsidRPr="00953E18">
        <w:rPr>
          <w:rFonts w:hAnsi="標楷體" w:hint="eastAsia"/>
          <w:b/>
        </w:rPr>
        <w:t>。</w:t>
      </w:r>
    </w:p>
    <w:p w:rsidR="00993FBC" w:rsidRPr="00953E18" w:rsidRDefault="00993FBC" w:rsidP="00863806">
      <w:pPr>
        <w:pStyle w:val="3"/>
        <w:rPr>
          <w:rFonts w:hAnsi="標楷體"/>
        </w:rPr>
      </w:pPr>
      <w:r w:rsidRPr="00953E18">
        <w:rPr>
          <w:rFonts w:hAnsi="標楷體" w:hint="eastAsia"/>
        </w:rPr>
        <w:t>為因應本</w:t>
      </w:r>
      <w:proofErr w:type="gramStart"/>
      <w:r w:rsidRPr="00953E18">
        <w:rPr>
          <w:rFonts w:hAnsi="標楷體" w:hint="eastAsia"/>
        </w:rPr>
        <w:t>次缺藥潮</w:t>
      </w:r>
      <w:proofErr w:type="gramEnd"/>
      <w:r w:rsidRPr="00953E18">
        <w:rPr>
          <w:rFonts w:hAnsi="標楷體" w:hint="eastAsia"/>
        </w:rPr>
        <w:t>，</w:t>
      </w:r>
      <w:proofErr w:type="gramStart"/>
      <w:r w:rsidRPr="00953E18">
        <w:rPr>
          <w:rFonts w:hAnsi="標楷體" w:hint="eastAsia"/>
        </w:rPr>
        <w:t>衛福部於112年3</w:t>
      </w:r>
      <w:proofErr w:type="gramEnd"/>
      <w:r w:rsidRPr="00953E18">
        <w:rPr>
          <w:rFonts w:hAnsi="標楷體" w:hint="eastAsia"/>
        </w:rPr>
        <w:t>月成立「藥品供應通報處理中心」</w:t>
      </w:r>
      <w:r w:rsidR="001941D4" w:rsidRPr="00953E18">
        <w:rPr>
          <w:rFonts w:hAnsi="標楷體" w:hint="eastAsia"/>
        </w:rPr>
        <w:t>，</w:t>
      </w:r>
      <w:r w:rsidRPr="00953E18">
        <w:rPr>
          <w:rFonts w:hAnsi="標楷體" w:hint="eastAsia"/>
        </w:rPr>
        <w:t>由衛福部部長擔任召集人，</w:t>
      </w:r>
      <w:r w:rsidR="00452403" w:rsidRPr="00953E18">
        <w:rPr>
          <w:rFonts w:hAnsi="標楷體" w:hint="eastAsia"/>
        </w:rPr>
        <w:t>該部</w:t>
      </w:r>
      <w:r w:rsidRPr="00953E18">
        <w:rPr>
          <w:rFonts w:hAnsi="標楷體" w:hint="eastAsia"/>
        </w:rPr>
        <w:t>次長擔任副召集人，處理範圍涵蓋西藥、中藥、罕見疾病藥品、兒童困難取得藥品、公費疫苗及傳染病用藥等供應，並整合5類用藥平台，包括</w:t>
      </w:r>
      <w:proofErr w:type="gramStart"/>
      <w:r w:rsidRPr="00953E18">
        <w:rPr>
          <w:rFonts w:hAnsi="標楷體" w:hint="eastAsia"/>
        </w:rPr>
        <w:t>食藥</w:t>
      </w:r>
      <w:proofErr w:type="gramEnd"/>
      <w:r w:rsidRPr="00953E18">
        <w:rPr>
          <w:rFonts w:hAnsi="標楷體" w:hint="eastAsia"/>
        </w:rPr>
        <w:t>署「西藥供應資訊平台」、中醫藥司「中藥供應資訊平</w:t>
      </w:r>
      <w:r w:rsidRPr="00953E18">
        <w:rPr>
          <w:rFonts w:hAnsi="標楷體" w:hint="eastAsia"/>
        </w:rPr>
        <w:lastRenderedPageBreak/>
        <w:t>台」、醫事司「兒童困難取得之臨床必要藥品及醫材管理資訊系統」、國民</w:t>
      </w:r>
      <w:proofErr w:type="gramStart"/>
      <w:r w:rsidRPr="00953E18">
        <w:rPr>
          <w:rFonts w:hAnsi="標楷體" w:hint="eastAsia"/>
        </w:rPr>
        <w:t>健康</w:t>
      </w:r>
      <w:proofErr w:type="gramEnd"/>
      <w:r w:rsidRPr="00953E18">
        <w:rPr>
          <w:rFonts w:hAnsi="標楷體" w:hint="eastAsia"/>
        </w:rPr>
        <w:t>署「罕見疾病特殊營養食品暨緊急需用藥物物流中心」及疾病管制署「公費疫苗及傳染病用藥之供應」等。</w:t>
      </w:r>
      <w:r w:rsidR="00915E1D" w:rsidRPr="00953E18">
        <w:rPr>
          <w:rFonts w:hAnsi="標楷體" w:hint="eastAsia"/>
        </w:rPr>
        <w:t>衛福部於112年2月27日召開記者會，公布短缺藥品清單共15項</w:t>
      </w:r>
      <w:r w:rsidR="00915E1D" w:rsidRPr="00953E18">
        <w:rPr>
          <w:rFonts w:hAnsi="標楷體" w:hint="eastAsia"/>
          <w:kern w:val="0"/>
          <w:szCs w:val="48"/>
        </w:rPr>
        <w:t>藥品</w:t>
      </w:r>
      <w:r w:rsidR="00677FA5" w:rsidRPr="00953E18">
        <w:rPr>
          <w:rFonts w:hAnsi="標楷體" w:hint="eastAsia"/>
          <w:kern w:val="0"/>
          <w:szCs w:val="48"/>
        </w:rPr>
        <w:t>(其中3項為必要藥品)</w:t>
      </w:r>
      <w:r w:rsidR="00915E1D" w:rsidRPr="00953E18">
        <w:rPr>
          <w:rFonts w:hAnsi="標楷體" w:hint="eastAsia"/>
        </w:rPr>
        <w:t>，經</w:t>
      </w:r>
      <w:r w:rsidR="00677FA5" w:rsidRPr="00953E18">
        <w:rPr>
          <w:rFonts w:hAnsi="標楷體" w:hint="eastAsia"/>
        </w:rPr>
        <w:t>該</w:t>
      </w:r>
      <w:r w:rsidR="00915E1D" w:rsidRPr="00953E18">
        <w:rPr>
          <w:rFonts w:hAnsi="標楷體" w:hint="eastAsia"/>
        </w:rPr>
        <w:t>部調查短缺原因多為臨床需求量增加、原料藥漲價或供應問題、製劑廠產量縮減及廠商停產</w:t>
      </w:r>
      <w:r w:rsidR="00677FA5" w:rsidRPr="00953E18">
        <w:rPr>
          <w:rFonts w:hAnsi="標楷體" w:hint="eastAsia"/>
        </w:rPr>
        <w:t>等，</w:t>
      </w:r>
      <w:r w:rsidR="008D07C6" w:rsidRPr="00953E18">
        <w:rPr>
          <w:rFonts w:hAnsi="標楷體" w:hint="eastAsia"/>
        </w:rPr>
        <w:t>該部並表示</w:t>
      </w:r>
      <w:r w:rsidR="00A370F0" w:rsidRPr="00953E18">
        <w:rPr>
          <w:rFonts w:hAnsi="標楷體" w:hint="eastAsia"/>
        </w:rPr>
        <w:t>，其中</w:t>
      </w:r>
      <w:r w:rsidR="00877B97" w:rsidRPr="00953E18">
        <w:rPr>
          <w:rFonts w:hAnsi="標楷體" w:hint="eastAsia"/>
        </w:rPr>
        <w:t>插管藥物</w:t>
      </w:r>
      <w:proofErr w:type="spellStart"/>
      <w:r w:rsidR="00877B97" w:rsidRPr="00953E18">
        <w:rPr>
          <w:rFonts w:hAnsi="標楷體" w:hint="eastAsia"/>
        </w:rPr>
        <w:t>Cisatracurium</w:t>
      </w:r>
      <w:proofErr w:type="spellEnd"/>
      <w:r w:rsidR="00B6345B" w:rsidRPr="00953E18">
        <w:rPr>
          <w:rFonts w:hAnsi="標楷體" w:hint="eastAsia"/>
        </w:rPr>
        <w:t>等12項目前無短缺或有替代藥品，另</w:t>
      </w:r>
      <w:r w:rsidR="00B6345B" w:rsidRPr="00953E18">
        <w:rPr>
          <w:rFonts w:hAnsi="標楷體"/>
        </w:rPr>
        <w:t>Magnesium oxide</w:t>
      </w:r>
      <w:r w:rsidR="00B6345B" w:rsidRPr="00953E18">
        <w:rPr>
          <w:rFonts w:hAnsi="標楷體" w:hint="eastAsia"/>
        </w:rPr>
        <w:t>氧化鎂錠劑等3項已請廠商增加生產</w:t>
      </w:r>
      <w:r w:rsidR="009D060B" w:rsidRPr="00953E18">
        <w:rPr>
          <w:rFonts w:hAnsi="標楷體" w:hint="eastAsia"/>
        </w:rPr>
        <w:t>或</w:t>
      </w:r>
      <w:r w:rsidR="00B6345B" w:rsidRPr="00953E18">
        <w:rPr>
          <w:rFonts w:hAnsi="標楷體" w:hint="eastAsia"/>
        </w:rPr>
        <w:t>輸入，逐步緩解臨床需求</w:t>
      </w:r>
      <w:bookmarkStart w:id="2" w:name="_GoBack"/>
      <w:bookmarkEnd w:id="2"/>
      <w:r w:rsidR="00677FA5" w:rsidRPr="00953E18">
        <w:rPr>
          <w:rFonts w:hAnsi="標楷體" w:hint="eastAsia"/>
        </w:rPr>
        <w:t>。</w:t>
      </w:r>
    </w:p>
    <w:p w:rsidR="00677FA5" w:rsidRPr="00953E18" w:rsidRDefault="00054096" w:rsidP="00993FBC">
      <w:pPr>
        <w:pStyle w:val="3"/>
        <w:rPr>
          <w:rFonts w:hAnsi="標楷體"/>
        </w:rPr>
      </w:pPr>
      <w:proofErr w:type="gramStart"/>
      <w:r w:rsidRPr="00953E18">
        <w:rPr>
          <w:rFonts w:hAnsi="標楷體" w:hint="eastAsia"/>
        </w:rPr>
        <w:t>另食藥署</w:t>
      </w:r>
      <w:proofErr w:type="gramEnd"/>
      <w:r w:rsidRPr="00953E18">
        <w:rPr>
          <w:rFonts w:hAnsi="標楷體" w:hint="eastAsia"/>
        </w:rPr>
        <w:t>自112年3月25日起，每2週於「西藥供應資訊平台」公布前2週之通報案件辦理情形，並自112年5月17日起，每週透過記者會、發布新聞稿等方式，主動說明「西藥供應資訊平台」通報案件辦理情形、外界關注之藥品供應資訊等。</w:t>
      </w:r>
      <w:proofErr w:type="gramStart"/>
      <w:r w:rsidR="00B6345B" w:rsidRPr="00953E18">
        <w:rPr>
          <w:rFonts w:hAnsi="標楷體" w:hint="eastAsia"/>
        </w:rPr>
        <w:t>惟除衛福</w:t>
      </w:r>
      <w:proofErr w:type="gramEnd"/>
      <w:r w:rsidR="00B6345B" w:rsidRPr="00953E18">
        <w:rPr>
          <w:rFonts w:hAnsi="標楷體" w:hint="eastAsia"/>
        </w:rPr>
        <w:t>部公布的短缺藥品外，民眾於社區藥局或是醫院仍常無法取得諸多藥品，例如</w:t>
      </w:r>
      <w:proofErr w:type="spellStart"/>
      <w:r w:rsidR="00B6345B" w:rsidRPr="00953E18">
        <w:rPr>
          <w:rFonts w:hAnsi="標楷體"/>
        </w:rPr>
        <w:t>Dexlansoprazole</w:t>
      </w:r>
      <w:proofErr w:type="spellEnd"/>
      <w:r w:rsidR="00B6345B" w:rsidRPr="00953E18">
        <w:rPr>
          <w:rFonts w:hAnsi="標楷體" w:hint="eastAsia"/>
        </w:rPr>
        <w:t xml:space="preserve"> </w:t>
      </w:r>
      <w:proofErr w:type="gramStart"/>
      <w:r w:rsidR="00B6345B" w:rsidRPr="00953E18">
        <w:rPr>
          <w:rFonts w:hAnsi="標楷體" w:hint="eastAsia"/>
        </w:rPr>
        <w:t>○○胃</w:t>
      </w:r>
      <w:proofErr w:type="gramEnd"/>
      <w:r w:rsidR="00B6345B" w:rsidRPr="00953E18">
        <w:rPr>
          <w:rFonts w:hAnsi="標楷體" w:hint="eastAsia"/>
        </w:rPr>
        <w:t>通、</w:t>
      </w:r>
      <w:r w:rsidR="00B6345B" w:rsidRPr="00953E18">
        <w:rPr>
          <w:rFonts w:hAnsi="標楷體"/>
        </w:rPr>
        <w:t>Alginic acid</w:t>
      </w:r>
      <w:r w:rsidR="00B6345B" w:rsidRPr="00953E18">
        <w:rPr>
          <w:rFonts w:hAnsi="標楷體" w:hint="eastAsia"/>
        </w:rPr>
        <w:t xml:space="preserve"> ○○</w:t>
      </w:r>
      <w:proofErr w:type="gramStart"/>
      <w:r w:rsidR="00B6345B" w:rsidRPr="00953E18">
        <w:rPr>
          <w:rFonts w:hAnsi="標楷體" w:hint="eastAsia"/>
        </w:rPr>
        <w:t>逆服</w:t>
      </w:r>
      <w:proofErr w:type="gramEnd"/>
      <w:r w:rsidR="00863806" w:rsidRPr="00953E18">
        <w:rPr>
          <w:rFonts w:hAnsi="標楷體" w:hint="eastAsia"/>
        </w:rPr>
        <w:t>錠</w:t>
      </w:r>
      <w:r w:rsidR="00B6345B" w:rsidRPr="00953E18">
        <w:rPr>
          <w:rFonts w:hAnsi="標楷體" w:hint="eastAsia"/>
        </w:rPr>
        <w:t>、</w:t>
      </w:r>
      <w:proofErr w:type="spellStart"/>
      <w:r w:rsidR="00783438" w:rsidRPr="00953E18">
        <w:rPr>
          <w:rFonts w:hAnsi="標楷體" w:hint="eastAsia"/>
        </w:rPr>
        <w:t>A</w:t>
      </w:r>
      <w:r w:rsidR="00783438" w:rsidRPr="00953E18">
        <w:rPr>
          <w:rFonts w:hAnsi="標楷體"/>
        </w:rPr>
        <w:t>moxicillind</w:t>
      </w:r>
      <w:proofErr w:type="spellEnd"/>
      <w:r w:rsidR="00783438" w:rsidRPr="00953E18">
        <w:rPr>
          <w:rFonts w:hAnsi="標楷體" w:hint="eastAsia"/>
        </w:rPr>
        <w:t>抗生素、</w:t>
      </w:r>
      <w:r w:rsidR="00B6345B" w:rsidRPr="00953E18">
        <w:rPr>
          <w:rFonts w:hAnsi="標楷體"/>
        </w:rPr>
        <w:t>Fluticasone furoate Nasal Spray</w:t>
      </w:r>
      <w:r w:rsidR="00783438" w:rsidRPr="00953E18">
        <w:rPr>
          <w:rFonts w:hAnsi="標楷體" w:hint="eastAsia"/>
        </w:rPr>
        <w:t xml:space="preserve"> ○○</w:t>
      </w:r>
      <w:proofErr w:type="gramStart"/>
      <w:r w:rsidR="00783438" w:rsidRPr="00953E18">
        <w:rPr>
          <w:rFonts w:hAnsi="標楷體" w:hint="eastAsia"/>
        </w:rPr>
        <w:t>釋鼻用噴</w:t>
      </w:r>
      <w:proofErr w:type="gramEnd"/>
      <w:r w:rsidR="00783438" w:rsidRPr="00953E18">
        <w:rPr>
          <w:rFonts w:hAnsi="標楷體" w:hint="eastAsia"/>
        </w:rPr>
        <w:t>液懸浮劑……等，衛福部對於該等藥品供應情形說明如下：</w:t>
      </w:r>
    </w:p>
    <w:p w:rsidR="00863806" w:rsidRPr="00953E18" w:rsidRDefault="00863806" w:rsidP="00863806">
      <w:pPr>
        <w:pStyle w:val="4"/>
        <w:ind w:left="1560"/>
        <w:rPr>
          <w:rFonts w:hAnsi="標楷體"/>
        </w:rPr>
      </w:pPr>
      <w:proofErr w:type="spellStart"/>
      <w:r w:rsidRPr="00953E18">
        <w:rPr>
          <w:rFonts w:hAnsi="標楷體"/>
        </w:rPr>
        <w:t>Dexlansoprazole</w:t>
      </w:r>
      <w:proofErr w:type="spellEnd"/>
      <w:r w:rsidRPr="00953E18">
        <w:rPr>
          <w:rFonts w:hAnsi="標楷體" w:hint="eastAsia"/>
        </w:rPr>
        <w:t xml:space="preserve"> </w:t>
      </w:r>
      <w:proofErr w:type="gramStart"/>
      <w:r w:rsidRPr="00953E18">
        <w:rPr>
          <w:rFonts w:hAnsi="標楷體" w:hint="eastAsia"/>
        </w:rPr>
        <w:t>○○胃通</w:t>
      </w:r>
      <w:proofErr w:type="gramEnd"/>
      <w:r w:rsidRPr="00953E18">
        <w:rPr>
          <w:rFonts w:hAnsi="標楷體" w:hint="eastAsia"/>
        </w:rPr>
        <w:t>：</w:t>
      </w:r>
    </w:p>
    <w:p w:rsidR="00863806" w:rsidRPr="00953E18" w:rsidRDefault="00863806" w:rsidP="00863806">
      <w:pPr>
        <w:pStyle w:val="4"/>
        <w:numPr>
          <w:ilvl w:val="0"/>
          <w:numId w:val="0"/>
        </w:numPr>
        <w:ind w:left="1560" w:firstLineChars="208" w:firstLine="708"/>
        <w:rPr>
          <w:rFonts w:hAnsi="標楷體"/>
        </w:rPr>
      </w:pPr>
      <w:proofErr w:type="gramStart"/>
      <w:r w:rsidRPr="00953E18">
        <w:rPr>
          <w:rFonts w:hAnsi="標楷體"/>
        </w:rPr>
        <w:t>112年4月間雖有</w:t>
      </w:r>
      <w:proofErr w:type="gramEnd"/>
      <w:r w:rsidRPr="00953E18">
        <w:rPr>
          <w:rFonts w:hAnsi="標楷體"/>
        </w:rPr>
        <w:t>藥局通報</w:t>
      </w:r>
      <w:r w:rsidR="009D060B" w:rsidRPr="00953E18">
        <w:rPr>
          <w:rFonts w:hAnsi="標楷體"/>
        </w:rPr>
        <w:t>短缺</w:t>
      </w:r>
      <w:r w:rsidRPr="00953E18">
        <w:rPr>
          <w:rFonts w:hAnsi="標楷體"/>
        </w:rPr>
        <w:t>，惟經詢問藥品許可證持有藥商，</w:t>
      </w:r>
      <w:r w:rsidR="009D060B" w:rsidRPr="00953E18">
        <w:rPr>
          <w:rFonts w:hAnsi="標楷體" w:hint="eastAsia"/>
        </w:rPr>
        <w:t>發現</w:t>
      </w:r>
      <w:r w:rsidRPr="00953E18">
        <w:rPr>
          <w:rFonts w:hAnsi="標楷體"/>
        </w:rPr>
        <w:t>供貨正常，並已提供訂購資訊供通報</w:t>
      </w:r>
      <w:r w:rsidR="009A289F" w:rsidRPr="00953E18">
        <w:rPr>
          <w:rFonts w:hAnsi="標楷體" w:hint="eastAsia"/>
        </w:rPr>
        <w:t>此訊息的</w:t>
      </w:r>
      <w:r w:rsidRPr="00953E18">
        <w:rPr>
          <w:rFonts w:hAnsi="標楷體"/>
        </w:rPr>
        <w:t>藥局。</w:t>
      </w:r>
    </w:p>
    <w:p w:rsidR="00863806" w:rsidRPr="00953E18" w:rsidRDefault="00863806" w:rsidP="00863806">
      <w:pPr>
        <w:pStyle w:val="4"/>
        <w:ind w:left="1560"/>
        <w:rPr>
          <w:rFonts w:hAnsi="標楷體"/>
        </w:rPr>
      </w:pPr>
      <w:r w:rsidRPr="00953E18">
        <w:rPr>
          <w:rFonts w:hAnsi="標楷體"/>
        </w:rPr>
        <w:t>Alginic acid</w:t>
      </w:r>
      <w:r w:rsidRPr="00953E18">
        <w:rPr>
          <w:rFonts w:hAnsi="標楷體" w:hint="eastAsia"/>
        </w:rPr>
        <w:t xml:space="preserve"> ○○</w:t>
      </w:r>
      <w:proofErr w:type="gramStart"/>
      <w:r w:rsidRPr="00953E18">
        <w:rPr>
          <w:rFonts w:hAnsi="標楷體" w:hint="eastAsia"/>
        </w:rPr>
        <w:t>逆服錠</w:t>
      </w:r>
      <w:proofErr w:type="gramEnd"/>
      <w:r w:rsidRPr="00953E18">
        <w:rPr>
          <w:rFonts w:hAnsi="標楷體" w:hint="eastAsia"/>
        </w:rPr>
        <w:t>：</w:t>
      </w:r>
    </w:p>
    <w:p w:rsidR="00863806" w:rsidRPr="00953E18" w:rsidRDefault="00863806" w:rsidP="00863806">
      <w:pPr>
        <w:pStyle w:val="5"/>
        <w:ind w:left="2127"/>
        <w:rPr>
          <w:rFonts w:hAnsi="標楷體"/>
        </w:rPr>
      </w:pPr>
      <w:r w:rsidRPr="00953E18">
        <w:rPr>
          <w:rFonts w:hAnsi="標楷體"/>
        </w:rPr>
        <w:t>因原料問題導致藥品短缺，</w:t>
      </w:r>
      <w:proofErr w:type="gramStart"/>
      <w:r w:rsidRPr="00953E18">
        <w:rPr>
          <w:rFonts w:hAnsi="標楷體"/>
        </w:rPr>
        <w:t>控貨供應</w:t>
      </w:r>
      <w:proofErr w:type="gramEnd"/>
      <w:r w:rsidRPr="00953E18">
        <w:rPr>
          <w:rFonts w:hAnsi="標楷體"/>
        </w:rPr>
        <w:t>中，</w:t>
      </w:r>
      <w:proofErr w:type="gramStart"/>
      <w:r w:rsidRPr="00953E18">
        <w:rPr>
          <w:rFonts w:hAnsi="標楷體"/>
        </w:rPr>
        <w:t>食藥</w:t>
      </w:r>
      <w:proofErr w:type="gramEnd"/>
      <w:r w:rsidRPr="00953E18">
        <w:rPr>
          <w:rFonts w:hAnsi="標楷體"/>
        </w:rPr>
        <w:t>署並協調業者保留一定比率予社區藥局。</w:t>
      </w:r>
    </w:p>
    <w:p w:rsidR="00863806" w:rsidRPr="00953E18" w:rsidRDefault="00863806" w:rsidP="00863806">
      <w:pPr>
        <w:pStyle w:val="5"/>
        <w:ind w:left="2127"/>
        <w:rPr>
          <w:rFonts w:hAnsi="標楷體"/>
        </w:rPr>
      </w:pPr>
      <w:r w:rsidRPr="00953E18">
        <w:rPr>
          <w:rFonts w:hAnsi="標楷體"/>
        </w:rPr>
        <w:t>另有一項同成分、同劑型、同含量之替代藥品，</w:t>
      </w:r>
      <w:proofErr w:type="gramStart"/>
      <w:r w:rsidRPr="00953E18">
        <w:rPr>
          <w:rFonts w:hAnsi="標楷體"/>
        </w:rPr>
        <w:lastRenderedPageBreak/>
        <w:t>食藥署</w:t>
      </w:r>
      <w:proofErr w:type="gramEnd"/>
      <w:r w:rsidRPr="00953E18">
        <w:rPr>
          <w:rFonts w:hAnsi="標楷體"/>
        </w:rPr>
        <w:t>已於111年9月公布於</w:t>
      </w:r>
      <w:r w:rsidRPr="00953E18">
        <w:rPr>
          <w:rFonts w:hAnsi="標楷體" w:hint="eastAsia"/>
        </w:rPr>
        <w:t>「</w:t>
      </w:r>
      <w:r w:rsidRPr="00953E18">
        <w:rPr>
          <w:rFonts w:hAnsi="標楷體"/>
        </w:rPr>
        <w:t>西藥供應資訊平台</w:t>
      </w:r>
      <w:r w:rsidRPr="00953E18">
        <w:rPr>
          <w:rFonts w:hAnsi="標楷體" w:hint="eastAsia"/>
        </w:rPr>
        <w:t>」。</w:t>
      </w:r>
    </w:p>
    <w:p w:rsidR="00863806" w:rsidRPr="00953E18" w:rsidRDefault="00863806" w:rsidP="00863806">
      <w:pPr>
        <w:pStyle w:val="4"/>
        <w:ind w:left="1560"/>
        <w:rPr>
          <w:rFonts w:hAnsi="標楷體"/>
        </w:rPr>
      </w:pPr>
      <w:r w:rsidRPr="00953E18">
        <w:rPr>
          <w:rFonts w:hAnsi="標楷體" w:hint="eastAsia"/>
        </w:rPr>
        <w:t>A</w:t>
      </w:r>
      <w:r w:rsidRPr="00953E18">
        <w:rPr>
          <w:rFonts w:hAnsi="標楷體"/>
        </w:rPr>
        <w:t>moxicillin</w:t>
      </w:r>
      <w:r w:rsidRPr="00953E18">
        <w:rPr>
          <w:rFonts w:hAnsi="標楷體" w:hint="eastAsia"/>
        </w:rPr>
        <w:t>抗生素：</w:t>
      </w:r>
    </w:p>
    <w:p w:rsidR="00863806" w:rsidRPr="00953E18" w:rsidRDefault="00863806" w:rsidP="00863806">
      <w:pPr>
        <w:pStyle w:val="4"/>
        <w:numPr>
          <w:ilvl w:val="0"/>
          <w:numId w:val="0"/>
        </w:numPr>
        <w:ind w:left="1560" w:firstLineChars="208" w:firstLine="708"/>
        <w:rPr>
          <w:rFonts w:hAnsi="標楷體"/>
        </w:rPr>
      </w:pPr>
      <w:r w:rsidRPr="00953E18">
        <w:rPr>
          <w:rFonts w:hAnsi="標楷體"/>
        </w:rPr>
        <w:t>因應</w:t>
      </w:r>
      <w:proofErr w:type="gramStart"/>
      <w:r w:rsidR="009D060B" w:rsidRPr="00953E18">
        <w:rPr>
          <w:rFonts w:hAnsi="標楷體" w:hint="eastAsia"/>
        </w:rPr>
        <w:t>新冠肺炎疫情</w:t>
      </w:r>
      <w:r w:rsidRPr="00953E18">
        <w:rPr>
          <w:rFonts w:hAnsi="標楷體"/>
        </w:rPr>
        <w:t>解封</w:t>
      </w:r>
      <w:proofErr w:type="gramEnd"/>
      <w:r w:rsidRPr="00953E18">
        <w:rPr>
          <w:rFonts w:hAnsi="標楷體"/>
        </w:rPr>
        <w:t>後</w:t>
      </w:r>
      <w:r w:rsidR="009D060B" w:rsidRPr="00953E18">
        <w:rPr>
          <w:rFonts w:hAnsi="標楷體" w:hint="eastAsia"/>
        </w:rPr>
        <w:t>，</w:t>
      </w:r>
      <w:r w:rsidRPr="00953E18">
        <w:rPr>
          <w:rFonts w:hAnsi="標楷體"/>
        </w:rPr>
        <w:t>國內用藥需求增加，針對Amoxicillin單方膠囊、Amoxicillin</w:t>
      </w:r>
      <w:r w:rsidR="00673C6C" w:rsidRPr="00953E18">
        <w:rPr>
          <w:rFonts w:hAnsi="標楷體" w:hint="eastAsia"/>
        </w:rPr>
        <w:t xml:space="preserve"> </w:t>
      </w:r>
      <w:r w:rsidRPr="00953E18">
        <w:rPr>
          <w:rFonts w:hAnsi="標楷體"/>
        </w:rPr>
        <w:t>/Clavulanate複方口服藥品等抗生素，</w:t>
      </w:r>
      <w:proofErr w:type="gramStart"/>
      <w:r w:rsidRPr="00953E18">
        <w:rPr>
          <w:rFonts w:hAnsi="標楷體"/>
        </w:rPr>
        <w:t>食藥</w:t>
      </w:r>
      <w:proofErr w:type="gramEnd"/>
      <w:r w:rsidRPr="00953E18">
        <w:rPr>
          <w:rFonts w:hAnsi="標楷體"/>
        </w:rPr>
        <w:t>署已請業者增加生產</w:t>
      </w:r>
      <w:r w:rsidRPr="00953E18">
        <w:rPr>
          <w:rFonts w:hAnsi="標楷體" w:hint="eastAsia"/>
        </w:rPr>
        <w:t>、</w:t>
      </w:r>
      <w:r w:rsidRPr="00953E18">
        <w:rPr>
          <w:rFonts w:hAnsi="標楷體"/>
        </w:rPr>
        <w:t>輸入，並保留一定比率予診所及</w:t>
      </w:r>
      <w:r w:rsidR="000F0B93" w:rsidRPr="00953E18">
        <w:rPr>
          <w:rFonts w:hAnsi="標楷體" w:hint="eastAsia"/>
        </w:rPr>
        <w:t>社區</w:t>
      </w:r>
      <w:r w:rsidRPr="00953E18">
        <w:rPr>
          <w:rFonts w:hAnsi="標楷體"/>
        </w:rPr>
        <w:t>藥局</w:t>
      </w:r>
      <w:r w:rsidRPr="00953E18">
        <w:rPr>
          <w:rFonts w:hAnsi="標楷體" w:hint="eastAsia"/>
        </w:rPr>
        <w:t>。</w:t>
      </w:r>
    </w:p>
    <w:p w:rsidR="00863806" w:rsidRPr="00953E18" w:rsidRDefault="00863806" w:rsidP="00863806">
      <w:pPr>
        <w:pStyle w:val="4"/>
        <w:ind w:left="1560"/>
        <w:rPr>
          <w:rFonts w:hAnsi="標楷體"/>
        </w:rPr>
      </w:pPr>
      <w:r w:rsidRPr="00953E18">
        <w:rPr>
          <w:rFonts w:hAnsi="標楷體"/>
        </w:rPr>
        <w:t>Fluticasone furoate Nasal Spray</w:t>
      </w:r>
      <w:r w:rsidRPr="00953E18">
        <w:rPr>
          <w:rFonts w:hAnsi="標楷體" w:hint="eastAsia"/>
        </w:rPr>
        <w:t xml:space="preserve"> ○○</w:t>
      </w:r>
      <w:proofErr w:type="gramStart"/>
      <w:r w:rsidRPr="00953E18">
        <w:rPr>
          <w:rFonts w:hAnsi="標楷體" w:hint="eastAsia"/>
        </w:rPr>
        <w:t>釋鼻用噴液</w:t>
      </w:r>
      <w:proofErr w:type="gramEnd"/>
      <w:r w:rsidRPr="00953E18">
        <w:rPr>
          <w:rFonts w:hAnsi="標楷體" w:hint="eastAsia"/>
        </w:rPr>
        <w:t>懸浮劑：</w:t>
      </w:r>
    </w:p>
    <w:p w:rsidR="00863806" w:rsidRPr="00953E18" w:rsidRDefault="00863806" w:rsidP="00863806">
      <w:pPr>
        <w:pStyle w:val="5"/>
        <w:ind w:left="2127"/>
        <w:rPr>
          <w:rFonts w:hAnsi="標楷體"/>
        </w:rPr>
      </w:pPr>
      <w:r w:rsidRPr="00953E18">
        <w:rPr>
          <w:rFonts w:hAnsi="標楷體"/>
        </w:rPr>
        <w:t>於112年4月起，因全球供應鏈影響及國內需求增加而供不應求(</w:t>
      </w:r>
      <w:r w:rsidR="009D060B" w:rsidRPr="00953E18">
        <w:rPr>
          <w:rFonts w:hAnsi="標楷體" w:hint="eastAsia"/>
        </w:rPr>
        <w:t>全民</w:t>
      </w:r>
      <w:r w:rsidRPr="00953E18">
        <w:rPr>
          <w:rFonts w:hAnsi="標楷體"/>
        </w:rPr>
        <w:t>健保平均申報量從111年約10萬支/月，112年1</w:t>
      </w:r>
      <w:r w:rsidR="00C14E74" w:rsidRPr="00953E18">
        <w:rPr>
          <w:rFonts w:hAnsi="標楷體" w:hint="eastAsia"/>
        </w:rPr>
        <w:t>至</w:t>
      </w:r>
      <w:r w:rsidRPr="00953E18">
        <w:rPr>
          <w:rFonts w:hAnsi="標楷體"/>
        </w:rPr>
        <w:t>4月已增加至13萬/月)，</w:t>
      </w:r>
      <w:proofErr w:type="gramStart"/>
      <w:r w:rsidRPr="00953E18">
        <w:rPr>
          <w:rFonts w:hAnsi="標楷體"/>
        </w:rPr>
        <w:t>目前控貨</w:t>
      </w:r>
      <w:proofErr w:type="gramEnd"/>
      <w:r w:rsidRPr="00953E18">
        <w:rPr>
          <w:rFonts w:hAnsi="標楷體"/>
        </w:rPr>
        <w:t>中，但仍持續輸入中。</w:t>
      </w:r>
    </w:p>
    <w:p w:rsidR="000F0B93" w:rsidRPr="00953E18" w:rsidRDefault="000F0B93" w:rsidP="00863806">
      <w:pPr>
        <w:pStyle w:val="5"/>
        <w:ind w:left="2127"/>
        <w:rPr>
          <w:rFonts w:hAnsi="標楷體"/>
        </w:rPr>
      </w:pPr>
      <w:r w:rsidRPr="00953E18">
        <w:rPr>
          <w:rFonts w:hAnsi="標楷體"/>
        </w:rPr>
        <w:t>目前國內已核准多種其他類固醇成分且用於過敏性鼻炎</w:t>
      </w:r>
      <w:proofErr w:type="gramStart"/>
      <w:r w:rsidRPr="00953E18">
        <w:rPr>
          <w:rFonts w:hAnsi="標楷體"/>
        </w:rPr>
        <w:t>之鼻噴劑</w:t>
      </w:r>
      <w:proofErr w:type="gramEnd"/>
      <w:r w:rsidRPr="00953E18">
        <w:rPr>
          <w:rFonts w:hAnsi="標楷體"/>
        </w:rPr>
        <w:t>，如Budesonide、Beclomethasone、Triamcinolone、Mometasone 等，國內合計有9張學名藥許可證，</w:t>
      </w:r>
      <w:proofErr w:type="gramStart"/>
      <w:r w:rsidRPr="00953E18">
        <w:rPr>
          <w:rFonts w:hAnsi="標楷體"/>
        </w:rPr>
        <w:t>食藥</w:t>
      </w:r>
      <w:proofErr w:type="gramEnd"/>
      <w:r w:rsidRPr="00953E18">
        <w:rPr>
          <w:rFonts w:hAnsi="標楷體"/>
        </w:rPr>
        <w:t>署已請業者增加生產供應</w:t>
      </w:r>
      <w:r w:rsidRPr="00953E18">
        <w:rPr>
          <w:rFonts w:hAnsi="標楷體" w:hint="eastAsia"/>
        </w:rPr>
        <w:t>。</w:t>
      </w:r>
    </w:p>
    <w:p w:rsidR="000F0B93" w:rsidRPr="00953E18" w:rsidRDefault="000F0B93" w:rsidP="00863806">
      <w:pPr>
        <w:pStyle w:val="5"/>
        <w:ind w:left="2127"/>
        <w:rPr>
          <w:rFonts w:hAnsi="標楷體"/>
          <w:spacing w:val="-6"/>
        </w:rPr>
      </w:pPr>
      <w:r w:rsidRPr="00953E18">
        <w:rPr>
          <w:rFonts w:hAnsi="標楷體"/>
          <w:spacing w:val="-6"/>
        </w:rPr>
        <w:t>針對領有該藥品之慢性處方</w:t>
      </w:r>
      <w:proofErr w:type="gramStart"/>
      <w:r w:rsidRPr="00953E18">
        <w:rPr>
          <w:rFonts w:hAnsi="標楷體"/>
          <w:spacing w:val="-6"/>
        </w:rPr>
        <w:t>箋</w:t>
      </w:r>
      <w:proofErr w:type="gramEnd"/>
      <w:r w:rsidRPr="00953E18">
        <w:rPr>
          <w:rFonts w:hAnsi="標楷體"/>
          <w:spacing w:val="-6"/>
        </w:rPr>
        <w:t>病</w:t>
      </w:r>
      <w:r w:rsidR="003F3F7A" w:rsidRPr="00953E18">
        <w:rPr>
          <w:rFonts w:hAnsi="標楷體" w:hint="eastAsia"/>
          <w:spacing w:val="-6"/>
        </w:rPr>
        <w:t>患</w:t>
      </w:r>
      <w:r w:rsidRPr="00953E18">
        <w:rPr>
          <w:rFonts w:hAnsi="標楷體"/>
          <w:spacing w:val="-6"/>
        </w:rPr>
        <w:t>，</w:t>
      </w:r>
      <w:proofErr w:type="gramStart"/>
      <w:r w:rsidRPr="00953E18">
        <w:rPr>
          <w:rFonts w:hAnsi="標楷體"/>
          <w:spacing w:val="-6"/>
        </w:rPr>
        <w:t>食藥</w:t>
      </w:r>
      <w:proofErr w:type="gramEnd"/>
      <w:r w:rsidRPr="00953E18">
        <w:rPr>
          <w:rFonts w:hAnsi="標楷體"/>
          <w:spacing w:val="-6"/>
        </w:rPr>
        <w:t>署已協調業者，自112年6月起，保留一定數量予中下游藥商並供應予</w:t>
      </w:r>
      <w:r w:rsidRPr="00953E18">
        <w:rPr>
          <w:rFonts w:hAnsi="標楷體" w:hint="eastAsia"/>
          <w:spacing w:val="-6"/>
        </w:rPr>
        <w:t>社區</w:t>
      </w:r>
      <w:r w:rsidRPr="00953E18">
        <w:rPr>
          <w:rFonts w:hAnsi="標楷體"/>
          <w:spacing w:val="-6"/>
        </w:rPr>
        <w:t>藥局，以利病</w:t>
      </w:r>
      <w:r w:rsidR="003F3F7A" w:rsidRPr="00953E18">
        <w:rPr>
          <w:rFonts w:hAnsi="標楷體" w:hint="eastAsia"/>
          <w:spacing w:val="-6"/>
        </w:rPr>
        <w:t>患</w:t>
      </w:r>
      <w:r w:rsidRPr="00953E18">
        <w:rPr>
          <w:rFonts w:hAnsi="標楷體"/>
          <w:spacing w:val="-6"/>
        </w:rPr>
        <w:t>就近領藥。</w:t>
      </w:r>
    </w:p>
    <w:p w:rsidR="00DD636E" w:rsidRPr="00953E18" w:rsidRDefault="00826D0C" w:rsidP="00791F65">
      <w:pPr>
        <w:pStyle w:val="3"/>
        <w:rPr>
          <w:rFonts w:hAnsi="標楷體"/>
        </w:rPr>
      </w:pPr>
      <w:r w:rsidRPr="00953E18">
        <w:rPr>
          <w:rFonts w:hAnsi="標楷體" w:hint="eastAsia"/>
        </w:rPr>
        <w:t>由上可見，</w:t>
      </w:r>
      <w:proofErr w:type="gramStart"/>
      <w:r w:rsidR="00412696" w:rsidRPr="00953E18">
        <w:rPr>
          <w:rFonts w:hAnsi="標楷體" w:hint="eastAsia"/>
        </w:rPr>
        <w:t>食藥署</w:t>
      </w:r>
      <w:proofErr w:type="gramEnd"/>
      <w:r w:rsidR="00412696" w:rsidRPr="00953E18">
        <w:rPr>
          <w:rFonts w:hAnsi="標楷體" w:hint="eastAsia"/>
        </w:rPr>
        <w:t>對於短缺藥品的處理機制，不論是否為必要藥品，</w:t>
      </w:r>
      <w:r w:rsidR="00EF50E8" w:rsidRPr="00953E18">
        <w:rPr>
          <w:rFonts w:hAnsi="標楷體" w:hint="eastAsia"/>
        </w:rPr>
        <w:t>一</w:t>
      </w:r>
      <w:r w:rsidR="00412696" w:rsidRPr="00953E18">
        <w:rPr>
          <w:rFonts w:hAnsi="標楷體" w:hint="eastAsia"/>
        </w:rPr>
        <w:t>接獲藥品短缺通報後，首先進行藥商供應狀況、臨床必要性及是否有替代藥品</w:t>
      </w:r>
      <w:r w:rsidR="00EF50E8" w:rsidRPr="00953E18">
        <w:rPr>
          <w:rFonts w:hAnsi="標楷體" w:hint="eastAsia"/>
        </w:rPr>
        <w:t>評估</w:t>
      </w:r>
      <w:r w:rsidR="00DD636E" w:rsidRPr="00953E18">
        <w:rPr>
          <w:rFonts w:hAnsi="標楷體" w:hint="eastAsia"/>
        </w:rPr>
        <w:t>等作業</w:t>
      </w:r>
      <w:r w:rsidR="00EF50E8" w:rsidRPr="00953E18">
        <w:rPr>
          <w:rFonts w:hAnsi="標楷體" w:hint="eastAsia"/>
        </w:rPr>
        <w:t>，後續則請相關藥商加強輸入、持續生產或啟動公開徵求專案輸入等，此過程中該署則協調業者保留一定數量予社區藥局，因</w:t>
      </w:r>
      <w:r w:rsidR="00DD636E" w:rsidRPr="00953E18">
        <w:rPr>
          <w:rFonts w:hAnsi="標楷體" w:hint="eastAsia"/>
        </w:rPr>
        <w:t>大型醫院與藥商通常訂有供貨契約，</w:t>
      </w:r>
      <w:r w:rsidR="004D6DF9" w:rsidRPr="00953E18">
        <w:rPr>
          <w:rFonts w:hAnsi="標楷體" w:hint="eastAsia"/>
        </w:rPr>
        <w:t>故</w:t>
      </w:r>
      <w:r w:rsidR="00DD636E" w:rsidRPr="00953E18">
        <w:rPr>
          <w:rFonts w:hAnsi="標楷體" w:hint="eastAsia"/>
        </w:rPr>
        <w:t>藥商以醫院為優先</w:t>
      </w:r>
      <w:r w:rsidR="009D060B" w:rsidRPr="00953E18">
        <w:rPr>
          <w:rFonts w:hAnsi="標楷體" w:hint="eastAsia"/>
        </w:rPr>
        <w:t>供應</w:t>
      </w:r>
      <w:r w:rsidR="004D6DF9" w:rsidRPr="00953E18">
        <w:rPr>
          <w:rFonts w:hAnsi="標楷體" w:hint="eastAsia"/>
        </w:rPr>
        <w:t>對象</w:t>
      </w:r>
      <w:r w:rsidR="00DD636E" w:rsidRPr="00953E18">
        <w:rPr>
          <w:rFonts w:hAnsi="標楷體" w:hint="eastAsia"/>
        </w:rPr>
        <w:t>，</w:t>
      </w:r>
      <w:proofErr w:type="gramStart"/>
      <w:r w:rsidR="00DD636E" w:rsidRPr="00953E18">
        <w:rPr>
          <w:rFonts w:hAnsi="標楷體" w:hint="eastAsia"/>
        </w:rPr>
        <w:t>肇</w:t>
      </w:r>
      <w:r w:rsidR="004D6DF9" w:rsidRPr="00953E18">
        <w:rPr>
          <w:rFonts w:hAnsi="標楷體" w:hint="eastAsia"/>
        </w:rPr>
        <w:t>使社</w:t>
      </w:r>
      <w:proofErr w:type="gramEnd"/>
      <w:r w:rsidR="004D6DF9" w:rsidRPr="00953E18">
        <w:rPr>
          <w:rFonts w:hAnsi="標楷體" w:hint="eastAsia"/>
        </w:rPr>
        <w:t>區藥局常發生</w:t>
      </w:r>
      <w:proofErr w:type="gramStart"/>
      <w:r w:rsidR="004D6DF9" w:rsidRPr="00953E18">
        <w:rPr>
          <w:rFonts w:hAnsi="標楷體" w:hint="eastAsia"/>
        </w:rPr>
        <w:t>嚴重</w:t>
      </w:r>
      <w:r w:rsidR="00EF50E8" w:rsidRPr="00953E18">
        <w:rPr>
          <w:rFonts w:hAnsi="標楷體" w:hint="eastAsia"/>
        </w:rPr>
        <w:t>缺藥</w:t>
      </w:r>
      <w:r w:rsidR="00DD636E" w:rsidRPr="00953E18">
        <w:rPr>
          <w:rFonts w:hAnsi="標楷體" w:hint="eastAsia"/>
        </w:rPr>
        <w:t>問</w:t>
      </w:r>
      <w:proofErr w:type="gramEnd"/>
      <w:r w:rsidR="00DD636E" w:rsidRPr="00953E18">
        <w:rPr>
          <w:rFonts w:hAnsi="標楷體" w:hint="eastAsia"/>
        </w:rPr>
        <w:t>題</w:t>
      </w:r>
      <w:r w:rsidR="00EF50E8" w:rsidRPr="00953E18">
        <w:rPr>
          <w:rFonts w:hAnsi="標楷體" w:hint="eastAsia"/>
        </w:rPr>
        <w:t>，</w:t>
      </w:r>
      <w:r w:rsidR="00DD636E" w:rsidRPr="00953E18">
        <w:rPr>
          <w:rFonts w:hAnsi="標楷體" w:hint="eastAsia"/>
        </w:rPr>
        <w:t>惟</w:t>
      </w:r>
      <w:proofErr w:type="gramStart"/>
      <w:r w:rsidR="00DD636E" w:rsidRPr="00953E18">
        <w:rPr>
          <w:rFonts w:hAnsi="標楷體" w:hint="eastAsia"/>
        </w:rPr>
        <w:t>該署請</w:t>
      </w:r>
      <w:r w:rsidR="00DD636E" w:rsidRPr="00953E18">
        <w:rPr>
          <w:rFonts w:hAnsi="標楷體" w:hint="eastAsia"/>
        </w:rPr>
        <w:lastRenderedPageBreak/>
        <w:t>藥</w:t>
      </w:r>
      <w:proofErr w:type="gramEnd"/>
      <w:r w:rsidR="00DD636E" w:rsidRPr="00953E18">
        <w:rPr>
          <w:rFonts w:hAnsi="標楷體" w:hint="eastAsia"/>
        </w:rPr>
        <w:t>商保留一定數量予社區藥局之作法，</w:t>
      </w:r>
      <w:r w:rsidR="00C14E74" w:rsidRPr="00953E18">
        <w:rPr>
          <w:rFonts w:hAnsi="標楷體" w:hint="eastAsia"/>
        </w:rPr>
        <w:t>僅</w:t>
      </w:r>
      <w:r w:rsidR="001941D4" w:rsidRPr="00953E18">
        <w:rPr>
          <w:rFonts w:hAnsi="標楷體" w:hint="eastAsia"/>
        </w:rPr>
        <w:t>屬</w:t>
      </w:r>
      <w:r w:rsidR="00C14E74" w:rsidRPr="00953E18">
        <w:rPr>
          <w:rFonts w:hAnsi="標楷體" w:hint="eastAsia"/>
        </w:rPr>
        <w:t>協商性質，</w:t>
      </w:r>
      <w:r w:rsidR="00DD636E" w:rsidRPr="00953E18">
        <w:rPr>
          <w:rFonts w:hAnsi="標楷體" w:hint="eastAsia"/>
        </w:rPr>
        <w:t>無一定約束力，</w:t>
      </w:r>
      <w:r w:rsidR="00C14E74" w:rsidRPr="00953E18">
        <w:rPr>
          <w:rFonts w:hAnsi="標楷體" w:hint="eastAsia"/>
        </w:rPr>
        <w:t>加之</w:t>
      </w:r>
      <w:r w:rsidR="00DD636E" w:rsidRPr="00953E18">
        <w:rPr>
          <w:rFonts w:hAnsi="標楷體" w:hint="eastAsia"/>
        </w:rPr>
        <w:t>該署</w:t>
      </w:r>
      <w:r w:rsidR="00C14E74" w:rsidRPr="00953E18">
        <w:rPr>
          <w:rFonts w:hAnsi="標楷體" w:hint="eastAsia"/>
        </w:rPr>
        <w:t>未明確定義</w:t>
      </w:r>
      <w:r w:rsidR="00DD636E" w:rsidRPr="00953E18">
        <w:rPr>
          <w:rFonts w:hAnsi="標楷體" w:hint="eastAsia"/>
        </w:rPr>
        <w:t>中下游藥商之</w:t>
      </w:r>
      <w:r w:rsidR="00791F65" w:rsidRPr="00953E18">
        <w:rPr>
          <w:rFonts w:hAnsi="標楷體" w:hint="eastAsia"/>
        </w:rPr>
        <w:t>資格或條件，難</w:t>
      </w:r>
      <w:r w:rsidR="00C14E74" w:rsidRPr="00953E18">
        <w:rPr>
          <w:rFonts w:hAnsi="標楷體" w:hint="eastAsia"/>
        </w:rPr>
        <w:t>以</w:t>
      </w:r>
      <w:r w:rsidR="00791F65" w:rsidRPr="00953E18">
        <w:rPr>
          <w:rFonts w:hAnsi="標楷體" w:hint="eastAsia"/>
        </w:rPr>
        <w:t>瞭解其數量與區域分布</w:t>
      </w:r>
      <w:r w:rsidR="00C14E74" w:rsidRPr="00953E18">
        <w:rPr>
          <w:rFonts w:hAnsi="標楷體" w:hint="eastAsia"/>
        </w:rPr>
        <w:t>狀況</w:t>
      </w:r>
      <w:r w:rsidR="00791F65" w:rsidRPr="00953E18">
        <w:rPr>
          <w:rFonts w:hAnsi="標楷體" w:hint="eastAsia"/>
        </w:rPr>
        <w:t>，</w:t>
      </w:r>
      <w:r w:rsidR="001941D4" w:rsidRPr="00953E18">
        <w:rPr>
          <w:rFonts w:hAnsi="標楷體" w:hint="eastAsia"/>
        </w:rPr>
        <w:t>以</w:t>
      </w:r>
      <w:r w:rsidR="00C14E74" w:rsidRPr="00953E18">
        <w:rPr>
          <w:rFonts w:hAnsi="標楷體" w:hint="eastAsia"/>
        </w:rPr>
        <w:t>及</w:t>
      </w:r>
      <w:r w:rsidR="00791F65" w:rsidRPr="00953E18">
        <w:rPr>
          <w:rFonts w:hAnsi="標楷體" w:hint="eastAsia"/>
        </w:rPr>
        <w:t>掌握其藥品供應調度之情形，</w:t>
      </w:r>
      <w:r w:rsidR="00DD636E" w:rsidRPr="00953E18">
        <w:rPr>
          <w:rFonts w:hAnsi="標楷體" w:hint="eastAsia"/>
        </w:rPr>
        <w:t>因</w:t>
      </w:r>
      <w:r w:rsidR="004D6DF9" w:rsidRPr="00953E18">
        <w:rPr>
          <w:rFonts w:hAnsi="標楷體" w:hint="eastAsia"/>
        </w:rPr>
        <w:t>此</w:t>
      </w:r>
      <w:r w:rsidR="00DD636E" w:rsidRPr="00953E18">
        <w:rPr>
          <w:rFonts w:hAnsi="標楷體" w:hint="eastAsia"/>
        </w:rPr>
        <w:t>常發生</w:t>
      </w:r>
      <w:proofErr w:type="gramStart"/>
      <w:r w:rsidR="00C14E74" w:rsidRPr="00953E18">
        <w:rPr>
          <w:rFonts w:hAnsi="標楷體" w:hint="eastAsia"/>
        </w:rPr>
        <w:t>經</w:t>
      </w:r>
      <w:r w:rsidR="00DD636E" w:rsidRPr="00953E18">
        <w:rPr>
          <w:rFonts w:hAnsi="標楷體" w:hint="eastAsia"/>
        </w:rPr>
        <w:t>食藥</w:t>
      </w:r>
      <w:proofErr w:type="gramEnd"/>
      <w:r w:rsidR="00DD636E" w:rsidRPr="00953E18">
        <w:rPr>
          <w:rFonts w:hAnsi="標楷體" w:hint="eastAsia"/>
        </w:rPr>
        <w:t>署</w:t>
      </w:r>
      <w:r w:rsidR="00C14E74" w:rsidRPr="00953E18">
        <w:rPr>
          <w:rFonts w:hAnsi="標楷體" w:hint="eastAsia"/>
        </w:rPr>
        <w:t>評估後</w:t>
      </w:r>
      <w:r w:rsidR="00DD636E" w:rsidRPr="00953E18">
        <w:rPr>
          <w:rFonts w:hAnsi="標楷體" w:hint="eastAsia"/>
        </w:rPr>
        <w:t>認</w:t>
      </w:r>
      <w:r w:rsidR="00C14E74" w:rsidRPr="00953E18">
        <w:rPr>
          <w:rFonts w:hAnsi="標楷體" w:hint="eastAsia"/>
        </w:rPr>
        <w:t>定該</w:t>
      </w:r>
      <w:r w:rsidR="004D6DF9" w:rsidRPr="00953E18">
        <w:rPr>
          <w:rFonts w:hAnsi="標楷體" w:hint="eastAsia"/>
        </w:rPr>
        <w:t>藥品</w:t>
      </w:r>
      <w:r w:rsidR="00C14E74" w:rsidRPr="00953E18">
        <w:rPr>
          <w:rFonts w:hAnsi="標楷體" w:hint="eastAsia"/>
        </w:rPr>
        <w:t>無</w:t>
      </w:r>
      <w:r w:rsidR="004D6DF9" w:rsidRPr="00953E18">
        <w:rPr>
          <w:rFonts w:hAnsi="標楷體" w:hint="eastAsia"/>
        </w:rPr>
        <w:t>短缺</w:t>
      </w:r>
      <w:r w:rsidR="00DD636E" w:rsidRPr="00953E18">
        <w:rPr>
          <w:rFonts w:hAnsi="標楷體" w:hint="eastAsia"/>
        </w:rPr>
        <w:t>問題，但民眾於社區藥局</w:t>
      </w:r>
      <w:r w:rsidR="007B307A" w:rsidRPr="00953E18">
        <w:rPr>
          <w:rFonts w:hAnsi="標楷體" w:hint="eastAsia"/>
        </w:rPr>
        <w:t>卻</w:t>
      </w:r>
      <w:r w:rsidR="00DD636E" w:rsidRPr="00953E18">
        <w:rPr>
          <w:rFonts w:hAnsi="標楷體" w:hint="eastAsia"/>
        </w:rPr>
        <w:t>無法取得藥品之</w:t>
      </w:r>
      <w:r w:rsidR="00BB0714" w:rsidRPr="00953E18">
        <w:rPr>
          <w:rFonts w:hAnsi="標楷體" w:hint="eastAsia"/>
        </w:rPr>
        <w:t>情況</w:t>
      </w:r>
      <w:r w:rsidR="00DD636E" w:rsidRPr="00953E18">
        <w:rPr>
          <w:rFonts w:hAnsi="標楷體" w:hint="eastAsia"/>
        </w:rPr>
        <w:t>，是關於</w:t>
      </w:r>
      <w:r w:rsidR="004D6DF9" w:rsidRPr="00953E18">
        <w:rPr>
          <w:rFonts w:hAnsi="標楷體" w:hint="eastAsia"/>
        </w:rPr>
        <w:t>藥品供應</w:t>
      </w:r>
      <w:r w:rsidR="00BB0714" w:rsidRPr="00953E18">
        <w:rPr>
          <w:rFonts w:hAnsi="標楷體" w:hint="eastAsia"/>
        </w:rPr>
        <w:t>監控調配問題，亟待</w:t>
      </w:r>
      <w:proofErr w:type="gramStart"/>
      <w:r w:rsidR="00BB0714" w:rsidRPr="00953E18">
        <w:rPr>
          <w:rFonts w:hAnsi="標楷體" w:hint="eastAsia"/>
        </w:rPr>
        <w:t>食藥</w:t>
      </w:r>
      <w:proofErr w:type="gramEnd"/>
      <w:r w:rsidR="00BB0714" w:rsidRPr="00953E18">
        <w:rPr>
          <w:rFonts w:hAnsi="標楷體" w:hint="eastAsia"/>
        </w:rPr>
        <w:t>署檢討改善。</w:t>
      </w:r>
    </w:p>
    <w:p w:rsidR="00BB0714" w:rsidRPr="00953E18" w:rsidRDefault="00BB0714" w:rsidP="00BB0714">
      <w:pPr>
        <w:pStyle w:val="3"/>
        <w:rPr>
          <w:rFonts w:hAnsi="標楷體"/>
        </w:rPr>
      </w:pPr>
      <w:r w:rsidRPr="00953E18">
        <w:rPr>
          <w:rFonts w:hAnsi="標楷體" w:hint="eastAsia"/>
        </w:rPr>
        <w:t>據上，</w:t>
      </w:r>
      <w:r w:rsidR="00877B97" w:rsidRPr="00953E18">
        <w:rPr>
          <w:rFonts w:hAnsi="標楷體" w:hint="eastAsia"/>
        </w:rPr>
        <w:t>有關</w:t>
      </w:r>
      <w:proofErr w:type="gramStart"/>
      <w:r w:rsidR="00877B97" w:rsidRPr="00953E18">
        <w:rPr>
          <w:rFonts w:hAnsi="標楷體" w:hint="eastAsia"/>
        </w:rPr>
        <w:t>食藥署</w:t>
      </w:r>
      <w:proofErr w:type="gramEnd"/>
      <w:r w:rsidR="00877B97" w:rsidRPr="00953E18">
        <w:rPr>
          <w:rFonts w:hAnsi="標楷體" w:hint="eastAsia"/>
        </w:rPr>
        <w:t>對於藥品短缺之處理機制，雖要求中下游藥商保留一定藥品數量予社區藥局，以避免民眾無法取得藥品，惟該作法並無一定約束力，且該署對於中下游藥商之資格或條件亦無相關定義，自難瞭解其數量與區域分布情形，遑論掌握其藥品供應調度之狀況，致常發生該署認無藥品短缺問題，但民眾於社區藥局卻無法取得藥品之情事，亟待該署檢討改善</w:t>
      </w:r>
      <w:r w:rsidR="00791F65" w:rsidRPr="00953E18">
        <w:rPr>
          <w:rFonts w:hAnsi="標楷體" w:hint="eastAsia"/>
        </w:rPr>
        <w:t>。</w:t>
      </w:r>
    </w:p>
    <w:p w:rsidR="00454124" w:rsidRPr="00953E18" w:rsidRDefault="00454124" w:rsidP="00D3775A">
      <w:pPr>
        <w:pStyle w:val="2"/>
        <w:numPr>
          <w:ilvl w:val="1"/>
          <w:numId w:val="29"/>
        </w:numPr>
        <w:ind w:left="1134" w:hanging="708"/>
        <w:rPr>
          <w:rFonts w:hAnsi="標楷體"/>
          <w:b/>
        </w:rPr>
      </w:pPr>
      <w:r w:rsidRPr="00953E18">
        <w:rPr>
          <w:rFonts w:hAnsi="標楷體" w:hint="eastAsia"/>
          <w:b/>
        </w:rPr>
        <w:t>近年</w:t>
      </w:r>
      <w:proofErr w:type="gramStart"/>
      <w:r w:rsidRPr="00953E18">
        <w:rPr>
          <w:rFonts w:hAnsi="標楷體" w:hint="eastAsia"/>
          <w:b/>
        </w:rPr>
        <w:t>食藥署</w:t>
      </w:r>
      <w:proofErr w:type="gramEnd"/>
      <w:r w:rsidRPr="00953E18">
        <w:rPr>
          <w:rFonts w:hAnsi="標楷體" w:hint="eastAsia"/>
          <w:b/>
        </w:rPr>
        <w:t>辦理多項國產學名藥相關研究計畫，惟對於計畫研究結果未能據以研擬相關措施，難免</w:t>
      </w:r>
      <w:r w:rsidR="00E459A1" w:rsidRPr="00953E18">
        <w:rPr>
          <w:rFonts w:hAnsi="標楷體" w:hint="eastAsia"/>
          <w:b/>
        </w:rPr>
        <w:t>招致研究</w:t>
      </w:r>
      <w:r w:rsidR="0006764F" w:rsidRPr="00953E18">
        <w:rPr>
          <w:rFonts w:hAnsi="標楷體" w:hint="eastAsia"/>
          <w:b/>
        </w:rPr>
        <w:t>報告</w:t>
      </w:r>
      <w:r w:rsidR="00E459A1" w:rsidRPr="00953E18">
        <w:rPr>
          <w:rFonts w:hAnsi="標楷體" w:hint="eastAsia"/>
          <w:b/>
        </w:rPr>
        <w:t>束之高閣的訾議，</w:t>
      </w:r>
      <w:r w:rsidR="00CE74A7" w:rsidRPr="00953E18">
        <w:rPr>
          <w:rFonts w:hAnsi="標楷體" w:hint="eastAsia"/>
          <w:b/>
        </w:rPr>
        <w:t>且長久以來未能</w:t>
      </w:r>
      <w:r w:rsidR="00EB0422" w:rsidRPr="00953E18">
        <w:rPr>
          <w:rFonts w:hAnsi="標楷體" w:hint="eastAsia"/>
          <w:b/>
        </w:rPr>
        <w:t>具體制定國產學名藥推廣政策，影響國防及健康產業發展，</w:t>
      </w:r>
      <w:r w:rsidR="00E459A1" w:rsidRPr="00953E18">
        <w:rPr>
          <w:rFonts w:hAnsi="標楷體" w:hint="eastAsia"/>
          <w:b/>
        </w:rPr>
        <w:t>有待檢討改善。</w:t>
      </w:r>
    </w:p>
    <w:p w:rsidR="004252B1" w:rsidRPr="00953E18" w:rsidRDefault="004252B1" w:rsidP="00EB3F1C">
      <w:pPr>
        <w:pStyle w:val="3"/>
        <w:rPr>
          <w:rFonts w:hAnsi="標楷體"/>
        </w:rPr>
      </w:pPr>
      <w:r w:rsidRPr="00953E18">
        <w:rPr>
          <w:rFonts w:hAnsi="標楷體" w:hint="eastAsia"/>
        </w:rPr>
        <w:t>按</w:t>
      </w:r>
      <w:r w:rsidR="007D12BB" w:rsidRPr="00953E18">
        <w:rPr>
          <w:rFonts w:hAnsi="標楷體" w:hint="eastAsia"/>
        </w:rPr>
        <w:t>衛生福利部食品藥物管理署組織法第2條</w:t>
      </w:r>
      <w:r w:rsidR="0027222F" w:rsidRPr="00953E18">
        <w:rPr>
          <w:rFonts w:hAnsi="標楷體" w:hint="eastAsia"/>
        </w:rPr>
        <w:t>第3款</w:t>
      </w:r>
      <w:r w:rsidR="009917EC" w:rsidRPr="00953E18">
        <w:rPr>
          <w:rFonts w:hAnsi="標楷體" w:hint="eastAsia"/>
        </w:rPr>
        <w:t>規定，</w:t>
      </w:r>
      <w:proofErr w:type="gramStart"/>
      <w:r w:rsidR="0027222F" w:rsidRPr="00953E18">
        <w:rPr>
          <w:rFonts w:hAnsi="標楷體" w:hint="eastAsia"/>
        </w:rPr>
        <w:t>食藥署掌</w:t>
      </w:r>
      <w:proofErr w:type="gramEnd"/>
      <w:r w:rsidR="0027222F" w:rsidRPr="00953E18">
        <w:rPr>
          <w:rFonts w:hAnsi="標楷體" w:hint="eastAsia"/>
        </w:rPr>
        <w:t>理藥物業者之生產流程管理、輸入查（檢）驗、流通、稽查、查核及輔導</w:t>
      </w:r>
      <w:r w:rsidR="00D7245C" w:rsidRPr="00953E18">
        <w:rPr>
          <w:rFonts w:hAnsi="標楷體" w:hint="eastAsia"/>
        </w:rPr>
        <w:t>等事項。</w:t>
      </w:r>
      <w:proofErr w:type="gramStart"/>
      <w:r w:rsidR="007D12BB" w:rsidRPr="00953E18">
        <w:rPr>
          <w:rFonts w:hAnsi="標楷體" w:hint="eastAsia"/>
        </w:rPr>
        <w:t>復按</w:t>
      </w:r>
      <w:r w:rsidRPr="00953E18">
        <w:rPr>
          <w:rFonts w:hAnsi="標楷體" w:hint="eastAsia"/>
        </w:rPr>
        <w:t>藥</w:t>
      </w:r>
      <w:proofErr w:type="gramEnd"/>
      <w:r w:rsidRPr="00953E18">
        <w:rPr>
          <w:rFonts w:hAnsi="標楷體" w:hint="eastAsia"/>
        </w:rPr>
        <w:t>事法第57條規定：「(第1項)製造藥物，應由藥物製造工廠為之；藥物製造工廠，應依藥物製造工廠設廠標準設立，並依工廠管理輔導法規定，辦理工廠登記。…</w:t>
      </w:r>
      <w:proofErr w:type="gramStart"/>
      <w:r w:rsidRPr="00953E18">
        <w:rPr>
          <w:rFonts w:hAnsi="標楷體" w:hint="eastAsia"/>
        </w:rPr>
        <w:t>…</w:t>
      </w:r>
      <w:proofErr w:type="gramEnd"/>
      <w:r w:rsidRPr="00953E18">
        <w:rPr>
          <w:rFonts w:hAnsi="標楷體" w:hint="eastAsia"/>
        </w:rPr>
        <w:t>(第2項)藥物製造，其廠房設施、設備、組織與人事、生產、品質管制、儲存、運銷、客戶申訴及其他應遵行事項，應符合藥物優良製造準則之規定，並經中央衛生主管機關檢查合格，取得藥</w:t>
      </w:r>
      <w:r w:rsidRPr="00953E18">
        <w:rPr>
          <w:rFonts w:hAnsi="標楷體" w:hint="eastAsia"/>
        </w:rPr>
        <w:lastRenderedPageBreak/>
        <w:t>物製造許可後，始得製造。…</w:t>
      </w:r>
      <w:proofErr w:type="gramStart"/>
      <w:r w:rsidRPr="00953E18">
        <w:rPr>
          <w:rFonts w:hAnsi="標楷體" w:hint="eastAsia"/>
        </w:rPr>
        <w:t>…</w:t>
      </w:r>
      <w:proofErr w:type="gramEnd"/>
      <w:r w:rsidRPr="00953E18">
        <w:rPr>
          <w:rFonts w:hAnsi="標楷體" w:hint="eastAsia"/>
        </w:rPr>
        <w:t>」</w:t>
      </w:r>
    </w:p>
    <w:p w:rsidR="004252B1" w:rsidRPr="00953E18" w:rsidRDefault="00D7245C" w:rsidP="00863806">
      <w:pPr>
        <w:pStyle w:val="3"/>
        <w:rPr>
          <w:rFonts w:hAnsi="標楷體"/>
        </w:rPr>
      </w:pPr>
      <w:r w:rsidRPr="00953E18">
        <w:rPr>
          <w:rFonts w:hAnsi="標楷體" w:hint="eastAsia"/>
        </w:rPr>
        <w:t>查</w:t>
      </w:r>
      <w:r w:rsidR="00E76CF3" w:rsidRPr="00953E18">
        <w:rPr>
          <w:rFonts w:hAnsi="標楷體" w:hint="eastAsia"/>
        </w:rPr>
        <w:t>我國自71年推動實施優良藥品製造標準(GMP Manufacturing Practice,</w:t>
      </w:r>
      <w:r w:rsidR="007269A7" w:rsidRPr="00953E18">
        <w:rPr>
          <w:rFonts w:hAnsi="標楷體" w:hint="eastAsia"/>
        </w:rPr>
        <w:t>下稱</w:t>
      </w:r>
      <w:r w:rsidR="00E76CF3" w:rsidRPr="00953E18">
        <w:rPr>
          <w:rFonts w:hAnsi="標楷體" w:hint="eastAsia"/>
        </w:rPr>
        <w:t>GMP)制度，</w:t>
      </w:r>
      <w:r w:rsidR="007269A7" w:rsidRPr="00953E18">
        <w:rPr>
          <w:rFonts w:hAnsi="標楷體" w:hint="eastAsia"/>
        </w:rPr>
        <w:t>藥廠家數</w:t>
      </w:r>
      <w:r w:rsidR="00EB3F1C" w:rsidRPr="00953E18">
        <w:rPr>
          <w:rFonts w:hAnsi="標楷體" w:hint="eastAsia"/>
        </w:rPr>
        <w:t>自</w:t>
      </w:r>
      <w:r w:rsidR="007269A7" w:rsidRPr="00953E18">
        <w:rPr>
          <w:rFonts w:hAnsi="標楷體" w:hint="eastAsia"/>
        </w:rPr>
        <w:t>500餘家減少至77年的211家，而後因應世界潮流，製藥品質的規範隨國際標準逐步提升，84年推動實施確效作業，96年再度推動實施國際GMP標準(PIC/S</w:t>
      </w:r>
      <w:r w:rsidR="007269A7" w:rsidRPr="00953E18">
        <w:rPr>
          <w:rStyle w:val="aff3"/>
          <w:rFonts w:hAnsi="標楷體"/>
        </w:rPr>
        <w:footnoteReference w:id="5"/>
      </w:r>
      <w:r w:rsidR="007269A7" w:rsidRPr="00953E18">
        <w:rPr>
          <w:rFonts w:hAnsi="標楷體" w:hint="eastAsia"/>
        </w:rPr>
        <w:t xml:space="preserve"> GMP規範)，過程中逐步淘汰體質不良的</w:t>
      </w:r>
      <w:r w:rsidR="00772AC3" w:rsidRPr="00953E18">
        <w:rPr>
          <w:rFonts w:hAnsi="標楷體" w:hint="eastAsia"/>
        </w:rPr>
        <w:t>藥廠</w:t>
      </w:r>
      <w:r w:rsidR="007269A7" w:rsidRPr="00953E18">
        <w:rPr>
          <w:rFonts w:hAnsi="標楷體" w:hint="eastAsia"/>
        </w:rPr>
        <w:t>，藉由逐步整合，提高製藥產業的競爭力，至104年1月1日起，國內製藥品質已順利與國際接軌，邁入國際PIC/S GMP的新紀元，所有西藥製劑製造工廠已全面升級，完成實施更加嚴謹的國際PIC/S GMP製藥標準，當年符合PIC/S GMP西藥製劑廠計98家</w:t>
      </w:r>
      <w:r w:rsidR="00772AC3" w:rsidRPr="00953E18">
        <w:rPr>
          <w:rFonts w:hAnsi="標楷體" w:hint="eastAsia"/>
        </w:rPr>
        <w:t>，</w:t>
      </w:r>
      <w:r w:rsidR="007269A7" w:rsidRPr="00953E18">
        <w:rPr>
          <w:rFonts w:hAnsi="標楷體" w:hint="eastAsia"/>
        </w:rPr>
        <w:t>目前(112年)國內符合PIC/S GMP西藥製劑廠則增加為145家。簡言之，</w:t>
      </w:r>
      <w:r w:rsidR="00FE6B2F" w:rsidRPr="00953E18">
        <w:rPr>
          <w:rFonts w:hAnsi="標楷體" w:hint="eastAsia"/>
        </w:rPr>
        <w:t>政府</w:t>
      </w:r>
      <w:r w:rsidR="00772AC3" w:rsidRPr="00953E18">
        <w:rPr>
          <w:rFonts w:hAnsi="標楷體" w:hint="eastAsia"/>
        </w:rPr>
        <w:t>逐年推動GMP相關制度，淘汰不合適藥廠，國內製藥品質已顯著提升且與國際接軌，符合國際規格與標準。</w:t>
      </w:r>
    </w:p>
    <w:p w:rsidR="0030347B" w:rsidRPr="00953E18" w:rsidRDefault="0030347B" w:rsidP="00863806">
      <w:pPr>
        <w:pStyle w:val="3"/>
        <w:rPr>
          <w:rFonts w:hAnsi="標楷體"/>
        </w:rPr>
      </w:pPr>
      <w:r w:rsidRPr="00953E18">
        <w:rPr>
          <w:rFonts w:hAnsi="標楷體" w:hint="eastAsia"/>
        </w:rPr>
        <w:t>108年我國製藥產業產值為757.1億元，成長幅</w:t>
      </w:r>
      <w:r w:rsidR="00452403" w:rsidRPr="00953E18">
        <w:rPr>
          <w:rFonts w:hAnsi="標楷體" w:hint="eastAsia"/>
        </w:rPr>
        <w:t>度</w:t>
      </w:r>
      <w:r w:rsidRPr="00953E18">
        <w:rPr>
          <w:rFonts w:hAnsi="標楷體" w:hint="eastAsia"/>
        </w:rPr>
        <w:t>達</w:t>
      </w:r>
      <w:r w:rsidRPr="00953E18">
        <w:rPr>
          <w:rFonts w:hAnsi="標楷體"/>
        </w:rPr>
        <w:t>7.6</w:t>
      </w:r>
      <w:r w:rsidR="00452403" w:rsidRPr="00953E18">
        <w:rPr>
          <w:rFonts w:hAnsi="標楷體"/>
        </w:rPr>
        <w:t>%</w:t>
      </w:r>
      <w:r w:rsidRPr="00953E18">
        <w:rPr>
          <w:rFonts w:hAnsi="標楷體" w:hint="eastAsia"/>
        </w:rPr>
        <w:t>，110年產值已高達821.2億元，111年前3季累計產值</w:t>
      </w:r>
      <w:r w:rsidR="005A7FBC" w:rsidRPr="00953E18">
        <w:rPr>
          <w:rFonts w:hAnsi="標楷體" w:hint="eastAsia"/>
        </w:rPr>
        <w:t>則</w:t>
      </w:r>
      <w:r w:rsidRPr="00953E18">
        <w:rPr>
          <w:rFonts w:hAnsi="標楷體" w:hint="eastAsia"/>
        </w:rPr>
        <w:t>為584.5億元，較111年同期上升2.2</w:t>
      </w:r>
      <w:r w:rsidR="00452403" w:rsidRPr="00953E18">
        <w:rPr>
          <w:rFonts w:hAnsi="標楷體" w:hint="eastAsia"/>
        </w:rPr>
        <w:t>%</w:t>
      </w:r>
      <w:r w:rsidRPr="00953E18">
        <w:rPr>
          <w:rFonts w:hAnsi="標楷體"/>
          <w:vertAlign w:val="superscript"/>
        </w:rPr>
        <w:footnoteReference w:id="6"/>
      </w:r>
      <w:r w:rsidR="005A7FBC" w:rsidRPr="00953E18">
        <w:rPr>
          <w:rFonts w:hAnsi="標楷體" w:hint="eastAsia"/>
        </w:rPr>
        <w:t>。另國內製藥以西藥製劑為主，學名藥又為西藥製劑的最大品項，</w:t>
      </w:r>
      <w:r w:rsidR="00EE6E04" w:rsidRPr="00953E18">
        <w:rPr>
          <w:rFonts w:hAnsi="標楷體" w:hint="eastAsia"/>
        </w:rPr>
        <w:t>亦即國內製藥產業以西藥製劑的學名藥為</w:t>
      </w:r>
      <w:proofErr w:type="gramStart"/>
      <w:r w:rsidR="00EE6E04" w:rsidRPr="00953E18">
        <w:rPr>
          <w:rFonts w:hAnsi="標楷體" w:hint="eastAsia"/>
        </w:rPr>
        <w:t>大宗(</w:t>
      </w:r>
      <w:proofErr w:type="gramEnd"/>
      <w:r w:rsidR="00EE6E04" w:rsidRPr="00953E18">
        <w:rPr>
          <w:rFonts w:hAnsi="標楷體" w:hint="eastAsia"/>
        </w:rPr>
        <w:t>下稱國產學名藥)，而扶植國產學名藥發展，</w:t>
      </w:r>
      <w:r w:rsidR="00F94EE3" w:rsidRPr="00953E18">
        <w:rPr>
          <w:rFonts w:hAnsi="標楷體" w:hint="eastAsia"/>
        </w:rPr>
        <w:t>為臺灣製藥工業同業公會</w:t>
      </w:r>
      <w:r w:rsidR="00EE6E04" w:rsidRPr="00953E18">
        <w:rPr>
          <w:rFonts w:hAnsi="標楷體" w:hint="eastAsia"/>
        </w:rPr>
        <w:t>長期以來的主要訴求</w:t>
      </w:r>
      <w:r w:rsidR="00F94EE3" w:rsidRPr="00953E18">
        <w:rPr>
          <w:rFonts w:hAnsi="標楷體" w:hint="eastAsia"/>
        </w:rPr>
        <w:t>。</w:t>
      </w:r>
      <w:proofErr w:type="gramStart"/>
      <w:r w:rsidR="00F94EE3" w:rsidRPr="00953E18">
        <w:rPr>
          <w:rFonts w:hAnsi="標楷體" w:hint="eastAsia"/>
        </w:rPr>
        <w:t>查食藥署</w:t>
      </w:r>
      <w:proofErr w:type="gramEnd"/>
      <w:r w:rsidR="00F94EE3" w:rsidRPr="00953E18">
        <w:rPr>
          <w:rFonts w:hAnsi="標楷體" w:hint="eastAsia"/>
        </w:rPr>
        <w:t>為鼓勵國內藥廠多元開發有需求之學</w:t>
      </w:r>
      <w:r w:rsidR="00F94EE3" w:rsidRPr="00953E18">
        <w:rPr>
          <w:rFonts w:hAnsi="標楷體" w:hint="eastAsia"/>
        </w:rPr>
        <w:lastRenderedPageBreak/>
        <w:t>名藥，提高國人對於國產製藥品質的理解度，</w:t>
      </w:r>
      <w:r w:rsidR="007B307A" w:rsidRPr="00953E18">
        <w:rPr>
          <w:rFonts w:hAnsi="標楷體" w:hint="eastAsia"/>
        </w:rPr>
        <w:t>辦理</w:t>
      </w:r>
      <w:r w:rsidR="00F94EE3" w:rsidRPr="00953E18">
        <w:rPr>
          <w:rFonts w:hAnsi="標楷體" w:hint="eastAsia"/>
        </w:rPr>
        <w:t>相關計畫</w:t>
      </w:r>
      <w:r w:rsidR="007B307A" w:rsidRPr="00953E18">
        <w:rPr>
          <w:rFonts w:hAnsi="標楷體" w:hint="eastAsia"/>
        </w:rPr>
        <w:t>，</w:t>
      </w:r>
      <w:r w:rsidR="00F94EE3" w:rsidRPr="00953E18">
        <w:rPr>
          <w:rFonts w:hAnsi="標楷體" w:hint="eastAsia"/>
        </w:rPr>
        <w:t>執行結果如下：</w:t>
      </w:r>
    </w:p>
    <w:p w:rsidR="00F94EE3" w:rsidRPr="00953E18" w:rsidRDefault="000C195F" w:rsidP="00863806">
      <w:pPr>
        <w:pStyle w:val="4"/>
        <w:ind w:left="1526"/>
        <w:rPr>
          <w:rFonts w:hAnsi="標楷體"/>
        </w:rPr>
      </w:pPr>
      <w:proofErr w:type="gramStart"/>
      <w:r w:rsidRPr="00953E18">
        <w:rPr>
          <w:rFonts w:hAnsi="標楷體" w:hint="eastAsia"/>
          <w:bCs/>
        </w:rPr>
        <w:t>食藥署</w:t>
      </w:r>
      <w:proofErr w:type="gramEnd"/>
      <w:r w:rsidRPr="00953E18">
        <w:rPr>
          <w:rFonts w:hAnsi="標楷體" w:hint="eastAsia"/>
          <w:bCs/>
        </w:rPr>
        <w:t>於</w:t>
      </w:r>
      <w:r w:rsidR="00F94EE3" w:rsidRPr="00953E18">
        <w:rPr>
          <w:rFonts w:hAnsi="標楷體"/>
          <w:bCs/>
        </w:rPr>
        <w:t>107至109年</w:t>
      </w:r>
      <w:r w:rsidRPr="00953E18">
        <w:rPr>
          <w:rFonts w:hAnsi="標楷體" w:hint="eastAsia"/>
          <w:bCs/>
        </w:rPr>
        <w:t>間分別辦理</w:t>
      </w:r>
      <w:r w:rsidRPr="00953E18">
        <w:rPr>
          <w:rFonts w:hAnsi="標楷體"/>
          <w:bCs/>
        </w:rPr>
        <w:t>「深化行銷國產製藥品質形象」、「推升國產製藥形象暨調查研析」及「定位國產製藥品質形象」</w:t>
      </w:r>
      <w:r w:rsidR="00E36CA4" w:rsidRPr="00953E18">
        <w:rPr>
          <w:rFonts w:hAnsi="標楷體" w:hint="eastAsia"/>
          <w:bCs/>
        </w:rPr>
        <w:t>等計畫，該署</w:t>
      </w:r>
      <w:r w:rsidR="00F94EE3" w:rsidRPr="00953E18">
        <w:rPr>
          <w:rFonts w:hAnsi="標楷體"/>
          <w:bCs/>
        </w:rPr>
        <w:t>與</w:t>
      </w:r>
      <w:r w:rsidRPr="00953E18">
        <w:rPr>
          <w:rFonts w:hAnsi="標楷體" w:hint="eastAsia"/>
          <w:bCs/>
        </w:rPr>
        <w:t>臺</w:t>
      </w:r>
      <w:r w:rsidR="00F94EE3" w:rsidRPr="00953E18">
        <w:rPr>
          <w:rFonts w:hAnsi="標楷體"/>
          <w:bCs/>
        </w:rPr>
        <w:t>灣製藥工業同業公會共同為宣導國產製藥品質進行多項推廣活動，包括參加醫學年會展覽活動、舉辦論壇、醫藥學生座談、藥廠參訪、拓展外銷等，讓醫藥專業人士、媒體、一般民眾瞭解我國已加入PI</w:t>
      </w:r>
      <w:r w:rsidR="00F94EE3" w:rsidRPr="00953E18">
        <w:rPr>
          <w:rFonts w:hAnsi="標楷體"/>
        </w:rPr>
        <w:t>C/S、ICH(國際醫藥法規協和會)、APEC(亞太經濟合作會議)等國際組織，採用國際製藥品質管理標準，</w:t>
      </w:r>
      <w:r w:rsidRPr="00953E18">
        <w:rPr>
          <w:rFonts w:hAnsi="標楷體" w:hint="eastAsia"/>
        </w:rPr>
        <w:t>我國</w:t>
      </w:r>
      <w:r w:rsidR="00F94EE3" w:rsidRPr="00953E18">
        <w:rPr>
          <w:rFonts w:hAnsi="標楷體"/>
        </w:rPr>
        <w:t>製藥水準已與國際接軌，且使用優質平價國產</w:t>
      </w:r>
      <w:proofErr w:type="gramStart"/>
      <w:r w:rsidR="00F94EE3" w:rsidRPr="00953E18">
        <w:rPr>
          <w:rFonts w:hAnsi="標楷體"/>
        </w:rPr>
        <w:t>學名藥亦有助</w:t>
      </w:r>
      <w:proofErr w:type="gramEnd"/>
      <w:r w:rsidR="00F94EE3" w:rsidRPr="00953E18">
        <w:rPr>
          <w:rFonts w:hAnsi="標楷體"/>
        </w:rPr>
        <w:t>於減低</w:t>
      </w:r>
      <w:r w:rsidRPr="00953E18">
        <w:rPr>
          <w:rFonts w:hAnsi="標楷體" w:hint="eastAsia"/>
        </w:rPr>
        <w:t>全民健保</w:t>
      </w:r>
      <w:r w:rsidR="00F94EE3" w:rsidRPr="00953E18">
        <w:rPr>
          <w:rFonts w:hAnsi="標楷體"/>
        </w:rPr>
        <w:t>醫療支出。</w:t>
      </w:r>
    </w:p>
    <w:p w:rsidR="000C195F" w:rsidRPr="00953E18" w:rsidRDefault="000C195F" w:rsidP="00F94EE3">
      <w:pPr>
        <w:pStyle w:val="4"/>
        <w:ind w:left="1526"/>
        <w:rPr>
          <w:rFonts w:hAnsi="標楷體"/>
        </w:rPr>
      </w:pPr>
      <w:r w:rsidRPr="00953E18">
        <w:rPr>
          <w:rFonts w:hAnsi="標楷體"/>
        </w:rPr>
        <w:t>為瞭解民眾對於學名藥之認知與接受度、瞭解目前醫藥人員對於學名藥及</w:t>
      </w:r>
      <w:proofErr w:type="gramStart"/>
      <w:r w:rsidRPr="00953E18">
        <w:rPr>
          <w:rFonts w:hAnsi="標楷體"/>
        </w:rPr>
        <w:t>原廠藥的</w:t>
      </w:r>
      <w:proofErr w:type="gramEnd"/>
      <w:r w:rsidRPr="00953E18">
        <w:rPr>
          <w:rFonts w:hAnsi="標楷體"/>
        </w:rPr>
        <w:t>使用狀況、探究民眾對於國產製藥發展現況之感受等目的，</w:t>
      </w:r>
      <w:proofErr w:type="gramStart"/>
      <w:r w:rsidRPr="00953E18">
        <w:rPr>
          <w:rFonts w:hAnsi="標楷體" w:hint="eastAsia"/>
        </w:rPr>
        <w:t>食藥</w:t>
      </w:r>
      <w:proofErr w:type="gramEnd"/>
      <w:r w:rsidRPr="00953E18">
        <w:rPr>
          <w:rFonts w:hAnsi="標楷體" w:hint="eastAsia"/>
        </w:rPr>
        <w:t>署於</w:t>
      </w:r>
      <w:r w:rsidRPr="00953E18">
        <w:rPr>
          <w:rFonts w:hAnsi="標楷體"/>
        </w:rPr>
        <w:t>109年進行「2020年學名藥認知及國產製藥發展現況調查」(有效樣本數最終共計1,068筆)，調查內容主要共分為「學名藥認知度」、「醫藥人員給藥狀況」、「國產製藥發展現況認知」</w:t>
      </w:r>
      <w:r w:rsidRPr="00953E18">
        <w:rPr>
          <w:rFonts w:hAnsi="標楷體" w:hint="eastAsia"/>
        </w:rPr>
        <w:t>等</w:t>
      </w:r>
      <w:r w:rsidRPr="00953E18">
        <w:rPr>
          <w:rFonts w:hAnsi="標楷體"/>
        </w:rPr>
        <w:t>面向，其中對於學名藥認知上，多數民眾認為</w:t>
      </w:r>
      <w:r w:rsidRPr="00953E18">
        <w:rPr>
          <w:rFonts w:hAnsi="標楷體" w:hint="eastAsia"/>
        </w:rPr>
        <w:t>「</w:t>
      </w:r>
      <w:r w:rsidRPr="00953E18">
        <w:rPr>
          <w:rFonts w:hAnsi="標楷體"/>
        </w:rPr>
        <w:t>瞭解自身用藥資訊」具重要性，且聽過學名藥的比例隨年齡層</w:t>
      </w:r>
      <w:r w:rsidRPr="00953E18">
        <w:rPr>
          <w:rFonts w:hAnsi="標楷體" w:hint="eastAsia"/>
        </w:rPr>
        <w:t>愈</w:t>
      </w:r>
      <w:r w:rsidRPr="00953E18">
        <w:rPr>
          <w:rFonts w:hAnsi="標楷體"/>
        </w:rPr>
        <w:t>高而呈現增加之趨勢，學名藥無論在使用或購買上皆為民眾所接受，與原</w:t>
      </w:r>
      <w:proofErr w:type="gramStart"/>
      <w:r w:rsidRPr="00953E18">
        <w:rPr>
          <w:rFonts w:hAnsi="標楷體"/>
        </w:rPr>
        <w:t>廠藥</w:t>
      </w:r>
      <w:proofErr w:type="gramEnd"/>
      <w:r w:rsidRPr="00953E18">
        <w:rPr>
          <w:rFonts w:hAnsi="標楷體"/>
        </w:rPr>
        <w:t>無明顯界線</w:t>
      </w:r>
      <w:r w:rsidRPr="00953E18">
        <w:rPr>
          <w:rFonts w:hAnsi="標楷體" w:hint="eastAsia"/>
        </w:rPr>
        <w:t>，</w:t>
      </w:r>
      <w:r w:rsidRPr="00953E18">
        <w:rPr>
          <w:rFonts w:hAnsi="標楷體"/>
        </w:rPr>
        <w:t>惟就</w:t>
      </w:r>
      <w:proofErr w:type="gramStart"/>
      <w:r w:rsidRPr="00953E18">
        <w:rPr>
          <w:rFonts w:hAnsi="標楷體"/>
        </w:rPr>
        <w:t>本次具醫</w:t>
      </w:r>
      <w:proofErr w:type="gramEnd"/>
      <w:r w:rsidRPr="00953E18">
        <w:rPr>
          <w:rFonts w:hAnsi="標楷體"/>
        </w:rPr>
        <w:t>師或藥師身</w:t>
      </w:r>
      <w:r w:rsidRPr="00953E18">
        <w:rPr>
          <w:rFonts w:hAnsi="標楷體" w:hint="eastAsia"/>
        </w:rPr>
        <w:t>分</w:t>
      </w:r>
      <w:r w:rsidRPr="00953E18">
        <w:rPr>
          <w:rFonts w:hAnsi="標楷體"/>
        </w:rPr>
        <w:t>之受訪者而言，雖國產製藥為選擇藥品的主要來源，但逾半數傾向優先考慮使用</w:t>
      </w:r>
      <w:proofErr w:type="gramStart"/>
      <w:r w:rsidRPr="00953E18">
        <w:rPr>
          <w:rFonts w:hAnsi="標楷體"/>
        </w:rPr>
        <w:t>原廠</w:t>
      </w:r>
      <w:proofErr w:type="gramEnd"/>
      <w:r w:rsidRPr="00953E18">
        <w:rPr>
          <w:rFonts w:hAnsi="標楷體"/>
        </w:rPr>
        <w:t>藥</w:t>
      </w:r>
      <w:r w:rsidRPr="00953E18">
        <w:rPr>
          <w:rFonts w:hAnsi="標楷體" w:hint="eastAsia"/>
        </w:rPr>
        <w:t>，</w:t>
      </w:r>
      <w:r w:rsidR="007B307A" w:rsidRPr="00953E18">
        <w:rPr>
          <w:rFonts w:hAnsi="標楷體" w:hint="eastAsia"/>
        </w:rPr>
        <w:t>另</w:t>
      </w:r>
      <w:r w:rsidRPr="00953E18">
        <w:rPr>
          <w:rFonts w:hAnsi="標楷體"/>
        </w:rPr>
        <w:t>報告結果顯示有92.7</w:t>
      </w:r>
      <w:r w:rsidR="00452403" w:rsidRPr="00953E18">
        <w:rPr>
          <w:rFonts w:hAnsi="標楷體"/>
        </w:rPr>
        <w:t>%</w:t>
      </w:r>
      <w:r w:rsidRPr="00953E18">
        <w:rPr>
          <w:rFonts w:hAnsi="標楷體"/>
        </w:rPr>
        <w:t>民眾對於國產製藥能確保藥品供應無虞有信心</w:t>
      </w:r>
      <w:r w:rsidRPr="00953E18">
        <w:rPr>
          <w:rFonts w:hAnsi="標楷體" w:hint="eastAsia"/>
        </w:rPr>
        <w:t>。</w:t>
      </w:r>
    </w:p>
    <w:p w:rsidR="00E36CA4" w:rsidRPr="00953E18" w:rsidRDefault="00C14E74" w:rsidP="006B6453">
      <w:pPr>
        <w:pStyle w:val="3"/>
        <w:numPr>
          <w:ilvl w:val="0"/>
          <w:numId w:val="0"/>
        </w:numPr>
        <w:ind w:left="1560" w:firstLineChars="207" w:firstLine="704"/>
        <w:rPr>
          <w:rFonts w:hAnsi="標楷體"/>
        </w:rPr>
      </w:pPr>
      <w:proofErr w:type="gramStart"/>
      <w:r w:rsidRPr="00953E18">
        <w:rPr>
          <w:rFonts w:hAnsi="標楷體" w:hint="eastAsia"/>
        </w:rPr>
        <w:t>惟查食藥署</w:t>
      </w:r>
      <w:proofErr w:type="gramEnd"/>
      <w:r w:rsidRPr="00953E18">
        <w:rPr>
          <w:rFonts w:hAnsi="標楷體" w:hint="eastAsia"/>
        </w:rPr>
        <w:t>就</w:t>
      </w:r>
      <w:r w:rsidR="000C195F" w:rsidRPr="00953E18">
        <w:rPr>
          <w:rFonts w:hAnsi="標楷體" w:hint="eastAsia"/>
        </w:rPr>
        <w:t>上開計畫之後續處理因應情形，</w:t>
      </w:r>
      <w:r w:rsidR="00E36CA4" w:rsidRPr="00953E18">
        <w:rPr>
          <w:rFonts w:hAnsi="標楷體" w:hint="eastAsia"/>
        </w:rPr>
        <w:t>並未據以研擬相關具體施政措施，對於國產學</w:t>
      </w:r>
      <w:r w:rsidR="00E36CA4" w:rsidRPr="00953E18">
        <w:rPr>
          <w:rFonts w:hAnsi="標楷體" w:hint="eastAsia"/>
        </w:rPr>
        <w:lastRenderedPageBreak/>
        <w:t>名藥的扶植與推廣，顯然僅著重於國產學名藥之形象調查</w:t>
      </w:r>
      <w:r w:rsidR="007B307A" w:rsidRPr="00953E18">
        <w:rPr>
          <w:rFonts w:hAnsi="標楷體" w:hint="eastAsia"/>
        </w:rPr>
        <w:t>、</w:t>
      </w:r>
      <w:r w:rsidR="00E36CA4" w:rsidRPr="00953E18">
        <w:rPr>
          <w:rFonts w:hAnsi="標楷體" w:hint="eastAsia"/>
        </w:rPr>
        <w:t>定位</w:t>
      </w:r>
      <w:proofErr w:type="gramStart"/>
      <w:r w:rsidR="00E36CA4" w:rsidRPr="00953E18">
        <w:rPr>
          <w:rFonts w:hAnsi="標楷體" w:hint="eastAsia"/>
        </w:rPr>
        <w:t>研析</w:t>
      </w:r>
      <w:proofErr w:type="gramEnd"/>
      <w:r w:rsidR="00E36CA4" w:rsidRPr="00953E18">
        <w:rPr>
          <w:rFonts w:hAnsi="標楷體" w:hint="eastAsia"/>
        </w:rPr>
        <w:t>等，有欠周延。本</w:t>
      </w:r>
      <w:proofErr w:type="gramStart"/>
      <w:r w:rsidR="00E36CA4" w:rsidRPr="00953E18">
        <w:rPr>
          <w:rFonts w:hAnsi="標楷體" w:hint="eastAsia"/>
        </w:rPr>
        <w:t>次缺藥</w:t>
      </w:r>
      <w:proofErr w:type="gramEnd"/>
      <w:r w:rsidR="00E36CA4" w:rsidRPr="00953E18">
        <w:rPr>
          <w:rFonts w:hAnsi="標楷體" w:hint="eastAsia"/>
        </w:rPr>
        <w:t>問題，凸顯</w:t>
      </w:r>
      <w:r w:rsidR="0054266A" w:rsidRPr="00953E18">
        <w:rPr>
          <w:rFonts w:hAnsi="標楷體" w:hint="eastAsia"/>
        </w:rPr>
        <w:t>國產學名藥之重要性，亦使國內藥廠長久以來所面臨之發展困境與挑戰</w:t>
      </w:r>
      <w:r w:rsidRPr="00953E18">
        <w:rPr>
          <w:rFonts w:hAnsi="標楷體" w:hint="eastAsia"/>
        </w:rPr>
        <w:t>倍</w:t>
      </w:r>
      <w:r w:rsidR="0054266A" w:rsidRPr="00953E18">
        <w:rPr>
          <w:rFonts w:hAnsi="標楷體" w:hint="eastAsia"/>
        </w:rPr>
        <w:t>受關注，</w:t>
      </w:r>
      <w:r w:rsidR="004B77FA" w:rsidRPr="00953E18">
        <w:rPr>
          <w:rFonts w:hAnsi="標楷體" w:hint="eastAsia"/>
        </w:rPr>
        <w:t>充足的藥品供應與儲備，非但攸關國人健康，亦涉及</w:t>
      </w:r>
      <w:r w:rsidR="0054266A" w:rsidRPr="00953E18">
        <w:rPr>
          <w:rFonts w:hAnsi="標楷體" w:hint="eastAsia"/>
        </w:rPr>
        <w:t>國</w:t>
      </w:r>
      <w:r w:rsidR="004B77FA" w:rsidRPr="00953E18">
        <w:rPr>
          <w:rFonts w:hAnsi="標楷體" w:hint="eastAsia"/>
        </w:rPr>
        <w:t>防層次，有待衛福部正視並積極研謀解決之道。</w:t>
      </w:r>
    </w:p>
    <w:p w:rsidR="00772AC3" w:rsidRPr="00953E18" w:rsidRDefault="00E36CA4" w:rsidP="00863806">
      <w:pPr>
        <w:pStyle w:val="3"/>
        <w:rPr>
          <w:rFonts w:hAnsi="標楷體"/>
        </w:rPr>
      </w:pPr>
      <w:r w:rsidRPr="00953E18">
        <w:rPr>
          <w:rFonts w:hAnsi="標楷體" w:hint="eastAsia"/>
        </w:rPr>
        <w:t>承前述，</w:t>
      </w:r>
      <w:r w:rsidR="004B77FA" w:rsidRPr="00953E18">
        <w:rPr>
          <w:rFonts w:hAnsi="標楷體" w:hint="eastAsia"/>
        </w:rPr>
        <w:t>本</w:t>
      </w:r>
      <w:proofErr w:type="gramStart"/>
      <w:r w:rsidR="004B77FA" w:rsidRPr="00953E18">
        <w:rPr>
          <w:rFonts w:hAnsi="標楷體" w:hint="eastAsia"/>
        </w:rPr>
        <w:t>次缺藥</w:t>
      </w:r>
      <w:proofErr w:type="gramEnd"/>
      <w:r w:rsidR="004B77FA" w:rsidRPr="00953E18">
        <w:rPr>
          <w:rFonts w:hAnsi="標楷體" w:hint="eastAsia"/>
        </w:rPr>
        <w:t>問題，凸顯國產學名藥之重要性，</w:t>
      </w:r>
      <w:r w:rsidR="00772AC3" w:rsidRPr="00953E18">
        <w:rPr>
          <w:rFonts w:hAnsi="標楷體" w:hint="eastAsia"/>
        </w:rPr>
        <w:t>近年</w:t>
      </w:r>
      <w:proofErr w:type="gramStart"/>
      <w:r w:rsidR="00772AC3" w:rsidRPr="00953E18">
        <w:rPr>
          <w:rFonts w:hAnsi="標楷體" w:hint="eastAsia"/>
        </w:rPr>
        <w:t>食藥</w:t>
      </w:r>
      <w:proofErr w:type="gramEnd"/>
      <w:r w:rsidR="00772AC3" w:rsidRPr="00953E18">
        <w:rPr>
          <w:rFonts w:hAnsi="標楷體" w:hint="eastAsia"/>
        </w:rPr>
        <w:t>署</w:t>
      </w:r>
      <w:r w:rsidRPr="00953E18">
        <w:rPr>
          <w:rFonts w:hAnsi="標楷體" w:hint="eastAsia"/>
        </w:rPr>
        <w:t>雖</w:t>
      </w:r>
      <w:r w:rsidR="00772AC3" w:rsidRPr="00953E18">
        <w:rPr>
          <w:rFonts w:hAnsi="標楷體" w:hint="eastAsia"/>
        </w:rPr>
        <w:t>辦理多項國產學名藥相關研究計畫，惟對於計畫研究結果未能據以研擬相關措施，難免招致研究</w:t>
      </w:r>
      <w:r w:rsidR="0006764F" w:rsidRPr="00953E18">
        <w:rPr>
          <w:rFonts w:hAnsi="標楷體" w:hint="eastAsia"/>
        </w:rPr>
        <w:t>報告</w:t>
      </w:r>
      <w:r w:rsidR="00772AC3" w:rsidRPr="00953E18">
        <w:rPr>
          <w:rFonts w:hAnsi="標楷體" w:hint="eastAsia"/>
        </w:rPr>
        <w:t>束之高閣的訾議，且長久以來未能具體制定國產學名藥推廣政策，影響國防及健康產業發展，有待</w:t>
      </w:r>
      <w:r w:rsidR="004B77FA" w:rsidRPr="00953E18">
        <w:rPr>
          <w:rFonts w:hAnsi="標楷體" w:hint="eastAsia"/>
        </w:rPr>
        <w:t>檢討改善。</w:t>
      </w:r>
    </w:p>
    <w:p w:rsidR="00741904" w:rsidRPr="00953E18" w:rsidRDefault="00A24840" w:rsidP="00D3775A">
      <w:pPr>
        <w:pStyle w:val="2"/>
        <w:numPr>
          <w:ilvl w:val="1"/>
          <w:numId w:val="29"/>
        </w:numPr>
        <w:ind w:left="1134" w:hanging="708"/>
        <w:rPr>
          <w:rFonts w:hAnsi="標楷體"/>
          <w:b/>
        </w:rPr>
      </w:pPr>
      <w:r w:rsidRPr="00953E18">
        <w:rPr>
          <w:rFonts w:hAnsi="標楷體" w:hint="eastAsia"/>
          <w:b/>
        </w:rPr>
        <w:t>全民健康保險法自83年立法時即規定醫師指示用藥不列入保險給付範圍，惟迄今全民健保仍給付部分指示用藥，健保署</w:t>
      </w:r>
      <w:r w:rsidR="00C14E74" w:rsidRPr="00953E18">
        <w:rPr>
          <w:rFonts w:hAnsi="標楷體" w:hint="eastAsia"/>
          <w:b/>
        </w:rPr>
        <w:t>雖</w:t>
      </w:r>
      <w:r w:rsidRPr="00953E18">
        <w:rPr>
          <w:rFonts w:hAnsi="標楷體" w:hint="eastAsia"/>
          <w:b/>
        </w:rPr>
        <w:t>逐年檢討各指示用藥的必要性，且支</w:t>
      </w:r>
      <w:proofErr w:type="gramStart"/>
      <w:r w:rsidRPr="00953E18">
        <w:rPr>
          <w:rFonts w:hAnsi="標楷體" w:hint="eastAsia"/>
          <w:b/>
        </w:rPr>
        <w:t>付品</w:t>
      </w:r>
      <w:proofErr w:type="gramEnd"/>
      <w:r w:rsidRPr="00953E18">
        <w:rPr>
          <w:rFonts w:hAnsi="標楷體" w:hint="eastAsia"/>
          <w:b/>
        </w:rPr>
        <w:t>項自84年</w:t>
      </w:r>
      <w:r w:rsidR="0006764F" w:rsidRPr="00953E18">
        <w:rPr>
          <w:rFonts w:hAnsi="標楷體" w:hint="eastAsia"/>
          <w:b/>
        </w:rPr>
        <w:t>全民</w:t>
      </w:r>
      <w:r w:rsidRPr="00953E18">
        <w:rPr>
          <w:rFonts w:hAnsi="標楷體" w:hint="eastAsia"/>
          <w:b/>
        </w:rPr>
        <w:t>健保開辦時2</w:t>
      </w:r>
      <w:r w:rsidRPr="00953E18">
        <w:rPr>
          <w:rFonts w:hAnsi="標楷體"/>
          <w:b/>
        </w:rPr>
        <w:t>,</w:t>
      </w:r>
      <w:r w:rsidRPr="00953E18">
        <w:rPr>
          <w:rFonts w:hAnsi="標楷體" w:hint="eastAsia"/>
          <w:b/>
        </w:rPr>
        <w:t>518項，降至112年的</w:t>
      </w:r>
      <w:r w:rsidR="00E50CAD" w:rsidRPr="00953E18">
        <w:rPr>
          <w:rFonts w:hAnsi="標楷體" w:hint="eastAsia"/>
          <w:b/>
        </w:rPr>
        <w:t>837</w:t>
      </w:r>
      <w:r w:rsidRPr="00953E18">
        <w:rPr>
          <w:rFonts w:hAnsi="標楷體" w:hint="eastAsia"/>
          <w:b/>
        </w:rPr>
        <w:t>項，</w:t>
      </w:r>
      <w:proofErr w:type="gramStart"/>
      <w:r w:rsidR="00C14E74" w:rsidRPr="00953E18">
        <w:rPr>
          <w:rFonts w:hAnsi="標楷體" w:hint="eastAsia"/>
          <w:b/>
        </w:rPr>
        <w:t>然</w:t>
      </w:r>
      <w:r w:rsidRPr="00953E18">
        <w:rPr>
          <w:rFonts w:hAnsi="標楷體" w:hint="eastAsia"/>
          <w:b/>
        </w:rPr>
        <w:t>近5</w:t>
      </w:r>
      <w:proofErr w:type="gramEnd"/>
      <w:r w:rsidRPr="00953E18">
        <w:rPr>
          <w:rFonts w:hAnsi="標楷體" w:hint="eastAsia"/>
          <w:b/>
        </w:rPr>
        <w:t>年指示用藥支出費用仍</w:t>
      </w:r>
      <w:r w:rsidR="00452403" w:rsidRPr="00953E18">
        <w:rPr>
          <w:rFonts w:hAnsi="標楷體" w:hint="eastAsia"/>
          <w:b/>
        </w:rPr>
        <w:t>有</w:t>
      </w:r>
      <w:r w:rsidRPr="00953E18">
        <w:rPr>
          <w:rFonts w:hAnsi="標楷體" w:hint="eastAsia"/>
          <w:b/>
        </w:rPr>
        <w:t>高達1</w:t>
      </w:r>
      <w:r w:rsidR="00452403" w:rsidRPr="00953E18">
        <w:rPr>
          <w:rFonts w:hAnsi="標楷體" w:hint="eastAsia"/>
          <w:b/>
        </w:rPr>
        <w:t>6</w:t>
      </w:r>
      <w:r w:rsidRPr="00953E18">
        <w:rPr>
          <w:rFonts w:hAnsi="標楷體" w:hint="eastAsia"/>
          <w:b/>
        </w:rPr>
        <w:t>億</w:t>
      </w:r>
      <w:r w:rsidR="00452403" w:rsidRPr="00953E18">
        <w:rPr>
          <w:rFonts w:hAnsi="標楷體" w:hint="eastAsia"/>
          <w:b/>
        </w:rPr>
        <w:t>7</w:t>
      </w:r>
      <w:r w:rsidRPr="00953E18">
        <w:rPr>
          <w:rFonts w:hAnsi="標楷體"/>
          <w:b/>
        </w:rPr>
        <w:t>,</w:t>
      </w:r>
      <w:r w:rsidRPr="00953E18">
        <w:rPr>
          <w:rFonts w:hAnsi="標楷體" w:hint="eastAsia"/>
          <w:b/>
        </w:rPr>
        <w:t>000萬餘元</w:t>
      </w:r>
      <w:r w:rsidR="00452403" w:rsidRPr="00953E18">
        <w:rPr>
          <w:rFonts w:hAnsi="標楷體" w:hint="eastAsia"/>
          <w:b/>
        </w:rPr>
        <w:t>之情形</w:t>
      </w:r>
      <w:r w:rsidRPr="00953E18">
        <w:rPr>
          <w:rFonts w:hAnsi="標楷體" w:hint="eastAsia"/>
          <w:b/>
        </w:rPr>
        <w:t>，</w:t>
      </w:r>
      <w:r w:rsidR="00030E6B" w:rsidRPr="00953E18">
        <w:rPr>
          <w:rFonts w:hAnsi="標楷體" w:hint="eastAsia"/>
          <w:b/>
        </w:rPr>
        <w:t>指示用藥</w:t>
      </w:r>
      <w:r w:rsidRPr="00953E18">
        <w:rPr>
          <w:rFonts w:hAnsi="標楷體" w:hint="eastAsia"/>
          <w:b/>
        </w:rPr>
        <w:t>占藥品支出總費用比率</w:t>
      </w:r>
      <w:r w:rsidR="0024747D" w:rsidRPr="00953E18">
        <w:rPr>
          <w:rFonts w:hAnsi="標楷體" w:hint="eastAsia"/>
          <w:b/>
        </w:rPr>
        <w:t>亦</w:t>
      </w:r>
      <w:r w:rsidRPr="00953E18">
        <w:rPr>
          <w:rFonts w:hAnsi="標楷體" w:hint="eastAsia"/>
          <w:b/>
        </w:rPr>
        <w:t>未</w:t>
      </w:r>
      <w:r w:rsidR="00EC7974" w:rsidRPr="00953E18">
        <w:rPr>
          <w:rFonts w:hAnsi="標楷體" w:hint="eastAsia"/>
          <w:b/>
        </w:rPr>
        <w:t>明顯呈</w:t>
      </w:r>
      <w:r w:rsidRPr="00953E18">
        <w:rPr>
          <w:rFonts w:hAnsi="標楷體" w:hint="eastAsia"/>
          <w:b/>
        </w:rPr>
        <w:t>逐年下降趨勢，健保署應正視並檢討改善，以符合依法行政原則。</w:t>
      </w:r>
    </w:p>
    <w:p w:rsidR="00741904" w:rsidRPr="00953E18" w:rsidRDefault="006949B3" w:rsidP="007D2EF4">
      <w:pPr>
        <w:pStyle w:val="3"/>
        <w:rPr>
          <w:rFonts w:hAnsi="標楷體"/>
        </w:rPr>
      </w:pPr>
      <w:r w:rsidRPr="00953E18">
        <w:rPr>
          <w:rFonts w:hAnsi="標楷體" w:hint="eastAsia"/>
        </w:rPr>
        <w:t>全民健康保險法於</w:t>
      </w:r>
      <w:r w:rsidR="00F43281" w:rsidRPr="00953E18">
        <w:rPr>
          <w:rFonts w:hAnsi="標楷體" w:hint="eastAsia"/>
        </w:rPr>
        <w:t>83年8月9日制定公布，並於84年3月1日施行，</w:t>
      </w:r>
      <w:r w:rsidR="00EC7974" w:rsidRPr="00953E18">
        <w:rPr>
          <w:rFonts w:hAnsi="標楷體" w:hint="eastAsia"/>
        </w:rPr>
        <w:t>同法</w:t>
      </w:r>
      <w:r w:rsidR="00F43281" w:rsidRPr="00953E18">
        <w:rPr>
          <w:rFonts w:hAnsi="標楷體" w:hint="eastAsia"/>
        </w:rPr>
        <w:t>第39條規定：「下列項目之費用不在本保險給付範圍：…</w:t>
      </w:r>
      <w:proofErr w:type="gramStart"/>
      <w:r w:rsidR="00F43281" w:rsidRPr="00953E18">
        <w:rPr>
          <w:rFonts w:hAnsi="標楷體" w:hint="eastAsia"/>
        </w:rPr>
        <w:t>…</w:t>
      </w:r>
      <w:proofErr w:type="gramEnd"/>
      <w:r w:rsidR="00F43281" w:rsidRPr="00953E18">
        <w:rPr>
          <w:rFonts w:hAnsi="標楷體" w:hint="eastAsia"/>
        </w:rPr>
        <w:t>四、成藥、醫師指示用藥。…</w:t>
      </w:r>
      <w:proofErr w:type="gramStart"/>
      <w:r w:rsidR="00F43281" w:rsidRPr="00953E18">
        <w:rPr>
          <w:rFonts w:hAnsi="標楷體" w:hint="eastAsia"/>
        </w:rPr>
        <w:t>…</w:t>
      </w:r>
      <w:proofErr w:type="gramEnd"/>
      <w:r w:rsidR="00F43281" w:rsidRPr="00953E18">
        <w:rPr>
          <w:rFonts w:hAnsi="標楷體" w:hint="eastAsia"/>
        </w:rPr>
        <w:t>」</w:t>
      </w:r>
      <w:proofErr w:type="gramStart"/>
      <w:r w:rsidR="00F43281" w:rsidRPr="00953E18">
        <w:rPr>
          <w:rFonts w:hAnsi="標楷體" w:hint="eastAsia"/>
        </w:rPr>
        <w:t>復按112年6月28</w:t>
      </w:r>
      <w:proofErr w:type="gramEnd"/>
      <w:r w:rsidR="00F43281" w:rsidRPr="00953E18">
        <w:rPr>
          <w:rFonts w:hAnsi="標楷體" w:hint="eastAsia"/>
        </w:rPr>
        <w:t>日修正公布全民健康保險法第51條第4款規定，醫師藥師藥劑生指示</w:t>
      </w:r>
      <w:r w:rsidR="000B193D" w:rsidRPr="00953E18">
        <w:rPr>
          <w:rFonts w:hAnsi="標楷體" w:hint="eastAsia"/>
        </w:rPr>
        <w:t>用藥</w:t>
      </w:r>
      <w:r w:rsidR="00831293" w:rsidRPr="00953E18">
        <w:rPr>
          <w:rFonts w:hAnsi="標楷體" w:hint="eastAsia"/>
        </w:rPr>
        <w:t>(下稱指示</w:t>
      </w:r>
      <w:r w:rsidR="000B193D" w:rsidRPr="00953E18">
        <w:rPr>
          <w:rFonts w:hAnsi="標楷體" w:hint="eastAsia"/>
        </w:rPr>
        <w:t>用藥</w:t>
      </w:r>
      <w:r w:rsidR="00831293" w:rsidRPr="00953E18">
        <w:rPr>
          <w:rFonts w:hAnsi="標楷體" w:hint="eastAsia"/>
        </w:rPr>
        <w:t>)</w:t>
      </w:r>
      <w:r w:rsidR="00F43281" w:rsidRPr="00953E18">
        <w:rPr>
          <w:rFonts w:hAnsi="標楷體" w:hint="eastAsia"/>
        </w:rPr>
        <w:t>不列入全民健保給付範圍。基此，全民健康保險法自8</w:t>
      </w:r>
      <w:r w:rsidR="00831293" w:rsidRPr="00953E18">
        <w:rPr>
          <w:rFonts w:hAnsi="標楷體" w:hint="eastAsia"/>
        </w:rPr>
        <w:t>3年制定迄今，即規定指示</w:t>
      </w:r>
      <w:r w:rsidR="000B193D" w:rsidRPr="00953E18">
        <w:rPr>
          <w:rFonts w:hAnsi="標楷體" w:hint="eastAsia"/>
        </w:rPr>
        <w:t>用藥</w:t>
      </w:r>
      <w:r w:rsidR="00831293" w:rsidRPr="00953E18">
        <w:rPr>
          <w:rFonts w:hAnsi="標楷體" w:hint="eastAsia"/>
        </w:rPr>
        <w:t>非屬全民健保給付項目。</w:t>
      </w:r>
    </w:p>
    <w:p w:rsidR="000B193D" w:rsidRPr="00953E18" w:rsidRDefault="000B193D" w:rsidP="007D2EF4">
      <w:pPr>
        <w:pStyle w:val="3"/>
        <w:rPr>
          <w:rFonts w:hAnsi="標楷體"/>
        </w:rPr>
      </w:pPr>
      <w:r w:rsidRPr="00953E18">
        <w:rPr>
          <w:rFonts w:hAnsi="標楷體" w:hint="eastAsia"/>
        </w:rPr>
        <w:t>惟自全民健保開辦以來，</w:t>
      </w:r>
      <w:r w:rsidR="002712DD" w:rsidRPr="00953E18">
        <w:rPr>
          <w:rFonts w:hAnsi="標楷體" w:hint="eastAsia"/>
        </w:rPr>
        <w:t>健保署</w:t>
      </w:r>
      <w:r w:rsidRPr="00953E18">
        <w:rPr>
          <w:rFonts w:hAnsi="標楷體" w:hint="eastAsia"/>
        </w:rPr>
        <w:t>持續給付指示用藥</w:t>
      </w:r>
      <w:r w:rsidR="00EC7974" w:rsidRPr="00953E18">
        <w:rPr>
          <w:rFonts w:hAnsi="標楷體" w:hint="eastAsia"/>
        </w:rPr>
        <w:t>之</w:t>
      </w:r>
      <w:r w:rsidRPr="00953E18">
        <w:rPr>
          <w:rFonts w:hAnsi="標楷體" w:hint="eastAsia"/>
        </w:rPr>
        <w:t>費用，據</w:t>
      </w:r>
      <w:proofErr w:type="gramStart"/>
      <w:r w:rsidRPr="00953E18">
        <w:rPr>
          <w:rFonts w:hAnsi="標楷體" w:hint="eastAsia"/>
        </w:rPr>
        <w:t>衛福部查復</w:t>
      </w:r>
      <w:proofErr w:type="gramEnd"/>
      <w:r w:rsidRPr="00953E18">
        <w:rPr>
          <w:rFonts w:hAnsi="標楷體" w:hint="eastAsia"/>
        </w:rPr>
        <w:t>說明略以，按「全民健康保</w:t>
      </w:r>
      <w:r w:rsidRPr="00953E18">
        <w:rPr>
          <w:rFonts w:hAnsi="標楷體" w:hint="eastAsia"/>
        </w:rPr>
        <w:lastRenderedPageBreak/>
        <w:t>險藥物給付項目及支付標準」第11條第1項第2款規定，指示用藥依法不在全民健保給付範圍，</w:t>
      </w:r>
      <w:r w:rsidR="007061BB" w:rsidRPr="00953E18">
        <w:rPr>
          <w:rFonts w:hAnsi="標楷體" w:hint="eastAsia"/>
        </w:rPr>
        <w:t>原</w:t>
      </w:r>
      <w:r w:rsidRPr="00953E18">
        <w:rPr>
          <w:rFonts w:hAnsi="標楷體" w:hint="eastAsia"/>
        </w:rPr>
        <w:t>公教人員保險、勞工保險核准使用之指示用藥，經醫師處方暫</w:t>
      </w:r>
      <w:proofErr w:type="gramStart"/>
      <w:r w:rsidRPr="00953E18">
        <w:rPr>
          <w:rFonts w:hAnsi="標楷體" w:hint="eastAsia"/>
        </w:rPr>
        <w:t>予</w:t>
      </w:r>
      <w:proofErr w:type="gramEnd"/>
      <w:r w:rsidRPr="00953E18">
        <w:rPr>
          <w:rFonts w:hAnsi="標楷體" w:hint="eastAsia"/>
        </w:rPr>
        <w:t>支付，惟</w:t>
      </w:r>
      <w:r w:rsidR="002712DD" w:rsidRPr="00953E18">
        <w:rPr>
          <w:rFonts w:hAnsi="標楷體" w:hint="eastAsia"/>
        </w:rPr>
        <w:t>保險人應逐步檢討並縮小該類品項之給付範圍。全民健保開辦時，給付指示用藥計2</w:t>
      </w:r>
      <w:r w:rsidR="002712DD" w:rsidRPr="00953E18">
        <w:rPr>
          <w:rFonts w:hAnsi="標楷體"/>
        </w:rPr>
        <w:t>,</w:t>
      </w:r>
      <w:r w:rsidR="002712DD" w:rsidRPr="00953E18">
        <w:rPr>
          <w:rFonts w:hAnsi="標楷體" w:hint="eastAsia"/>
        </w:rPr>
        <w:t>518項，</w:t>
      </w:r>
      <w:r w:rsidR="00C14E74" w:rsidRPr="00953E18">
        <w:rPr>
          <w:rFonts w:hAnsi="標楷體" w:hint="eastAsia"/>
        </w:rPr>
        <w:t>歷經</w:t>
      </w:r>
      <w:r w:rsidR="002712DD" w:rsidRPr="00953E18">
        <w:rPr>
          <w:rFonts w:hAnsi="標楷體" w:hint="eastAsia"/>
        </w:rPr>
        <w:t>94年10月1日取消給付176項制酸劑指示用藥、</w:t>
      </w:r>
      <w:r w:rsidR="002712DD" w:rsidRPr="00953E18">
        <w:rPr>
          <w:rFonts w:hAnsi="標楷體"/>
        </w:rPr>
        <w:t>95</w:t>
      </w:r>
      <w:r w:rsidR="002712DD" w:rsidRPr="00953E18">
        <w:rPr>
          <w:rFonts w:hAnsi="標楷體" w:hint="eastAsia"/>
        </w:rPr>
        <w:t>年2月3日取消包含維生素類、電解質、酵素類等共240項指示用藥之給付、107年10月1日</w:t>
      </w:r>
      <w:r w:rsidR="002712DD" w:rsidRPr="00953E18">
        <w:rPr>
          <w:rFonts w:hAnsi="標楷體" w:hint="eastAsia"/>
          <w:spacing w:val="-2"/>
        </w:rPr>
        <w:t>取消</w:t>
      </w:r>
      <w:proofErr w:type="gramStart"/>
      <w:r w:rsidR="002712DD" w:rsidRPr="00953E18">
        <w:rPr>
          <w:rFonts w:hAnsi="標楷體" w:hint="eastAsia"/>
          <w:spacing w:val="-2"/>
        </w:rPr>
        <w:t>葡萄糖胺共31項</w:t>
      </w:r>
      <w:proofErr w:type="gramEnd"/>
      <w:r w:rsidR="002712DD" w:rsidRPr="00953E18">
        <w:rPr>
          <w:rFonts w:hAnsi="標楷體" w:hint="eastAsia"/>
          <w:spacing w:val="-2"/>
        </w:rPr>
        <w:t>指示用藥之給付</w:t>
      </w:r>
      <w:r w:rsidR="00C14E74" w:rsidRPr="00953E18">
        <w:rPr>
          <w:rFonts w:hAnsi="標楷體" w:hint="eastAsia"/>
          <w:spacing w:val="-2"/>
        </w:rPr>
        <w:t>等多次調整</w:t>
      </w:r>
      <w:r w:rsidR="002712DD" w:rsidRPr="00953E18">
        <w:rPr>
          <w:rFonts w:hAnsi="標楷體" w:hint="eastAsia"/>
          <w:spacing w:val="-2"/>
        </w:rPr>
        <w:t>，</w:t>
      </w:r>
      <w:r w:rsidR="00E50CAD" w:rsidRPr="00953E18">
        <w:rPr>
          <w:rFonts w:hAnsi="標楷體" w:hint="eastAsia"/>
          <w:spacing w:val="-2"/>
        </w:rPr>
        <w:t>迄今</w:t>
      </w:r>
      <w:r w:rsidR="002712DD" w:rsidRPr="00953E18">
        <w:rPr>
          <w:rFonts w:hAnsi="標楷體" w:hint="eastAsia"/>
          <w:spacing w:val="-2"/>
        </w:rPr>
        <w:t>給付</w:t>
      </w:r>
      <w:r w:rsidR="00E50CAD" w:rsidRPr="00953E18">
        <w:rPr>
          <w:rFonts w:hAnsi="標楷體" w:hint="eastAsia"/>
          <w:spacing w:val="-2"/>
        </w:rPr>
        <w:t>837</w:t>
      </w:r>
      <w:r w:rsidR="002712DD" w:rsidRPr="00953E18">
        <w:rPr>
          <w:rFonts w:hAnsi="標楷體" w:hint="eastAsia"/>
          <w:spacing w:val="-2"/>
        </w:rPr>
        <w:t>項指示用藥等語。要言之，健保署已逐步檢討指示用藥納入全民健保給付之品項，自全民健保開辦時的2</w:t>
      </w:r>
      <w:r w:rsidR="002712DD" w:rsidRPr="00953E18">
        <w:rPr>
          <w:rFonts w:hAnsi="標楷體"/>
          <w:spacing w:val="-2"/>
        </w:rPr>
        <w:t>,</w:t>
      </w:r>
      <w:r w:rsidR="002712DD" w:rsidRPr="00953E18">
        <w:rPr>
          <w:rFonts w:hAnsi="標楷體" w:hint="eastAsia"/>
          <w:spacing w:val="-2"/>
        </w:rPr>
        <w:t>518項，縮減至112年8月底止</w:t>
      </w:r>
      <w:r w:rsidR="007061BB" w:rsidRPr="00953E18">
        <w:rPr>
          <w:rFonts w:hAnsi="標楷體" w:hint="eastAsia"/>
          <w:spacing w:val="-2"/>
        </w:rPr>
        <w:t>的</w:t>
      </w:r>
      <w:r w:rsidR="00E50CAD" w:rsidRPr="00953E18">
        <w:rPr>
          <w:rFonts w:hAnsi="標楷體" w:hint="eastAsia"/>
          <w:spacing w:val="-2"/>
        </w:rPr>
        <w:t>837</w:t>
      </w:r>
      <w:r w:rsidR="002712DD" w:rsidRPr="00953E18">
        <w:rPr>
          <w:rFonts w:hAnsi="標楷體" w:hint="eastAsia"/>
          <w:spacing w:val="-2"/>
        </w:rPr>
        <w:t>項。</w:t>
      </w:r>
    </w:p>
    <w:p w:rsidR="00831293" w:rsidRPr="00953E18" w:rsidRDefault="00831293" w:rsidP="00082559">
      <w:pPr>
        <w:pStyle w:val="3"/>
        <w:rPr>
          <w:rFonts w:hAnsi="標楷體"/>
        </w:rPr>
      </w:pPr>
      <w:r w:rsidRPr="00953E18">
        <w:rPr>
          <w:rFonts w:hAnsi="標楷體" w:hint="eastAsia"/>
        </w:rPr>
        <w:t>查107至111年各年度指示用藥全民健保申報費用分別計1</w:t>
      </w:r>
      <w:r w:rsidRPr="00953E18">
        <w:rPr>
          <w:rFonts w:hAnsi="標楷體"/>
        </w:rPr>
        <w:t>,</w:t>
      </w:r>
      <w:r w:rsidRPr="00953E18">
        <w:rPr>
          <w:rFonts w:hAnsi="標楷體" w:hint="eastAsia"/>
        </w:rPr>
        <w:t>577、1</w:t>
      </w:r>
      <w:r w:rsidRPr="00953E18">
        <w:rPr>
          <w:rFonts w:hAnsi="標楷體"/>
        </w:rPr>
        <w:t>,</w:t>
      </w:r>
      <w:r w:rsidRPr="00953E18">
        <w:rPr>
          <w:rFonts w:hAnsi="標楷體" w:hint="eastAsia"/>
        </w:rPr>
        <w:t>585、1</w:t>
      </w:r>
      <w:r w:rsidRPr="00953E18">
        <w:rPr>
          <w:rFonts w:hAnsi="標楷體"/>
        </w:rPr>
        <w:t>,</w:t>
      </w:r>
      <w:r w:rsidRPr="00953E18">
        <w:rPr>
          <w:rFonts w:hAnsi="標楷體" w:hint="eastAsia"/>
        </w:rPr>
        <w:t>536、1</w:t>
      </w:r>
      <w:r w:rsidRPr="00953E18">
        <w:rPr>
          <w:rFonts w:hAnsi="標楷體"/>
        </w:rPr>
        <w:t>,</w:t>
      </w:r>
      <w:r w:rsidRPr="00953E18">
        <w:rPr>
          <w:rFonts w:hAnsi="標楷體" w:hint="eastAsia"/>
        </w:rPr>
        <w:t>474及1</w:t>
      </w:r>
      <w:r w:rsidRPr="00953E18">
        <w:rPr>
          <w:rFonts w:hAnsi="標楷體"/>
        </w:rPr>
        <w:t>,</w:t>
      </w:r>
      <w:r w:rsidRPr="00953E18">
        <w:rPr>
          <w:rFonts w:hAnsi="標楷體" w:hint="eastAsia"/>
        </w:rPr>
        <w:t>675百萬元</w:t>
      </w:r>
      <w:r w:rsidR="003913CD" w:rsidRPr="00953E18">
        <w:rPr>
          <w:rFonts w:hAnsi="標楷體" w:hint="eastAsia"/>
        </w:rPr>
        <w:t>，平均約1</w:t>
      </w:r>
      <w:r w:rsidR="003913CD" w:rsidRPr="00953E18">
        <w:rPr>
          <w:rFonts w:hAnsi="標楷體"/>
        </w:rPr>
        <w:t>,</w:t>
      </w:r>
      <w:r w:rsidR="003913CD" w:rsidRPr="00953E18">
        <w:rPr>
          <w:rFonts w:hAnsi="標楷體" w:hint="eastAsia"/>
        </w:rPr>
        <w:t>569百萬元，另各年度</w:t>
      </w:r>
      <w:r w:rsidR="007061BB" w:rsidRPr="00953E18">
        <w:rPr>
          <w:rFonts w:hAnsi="標楷體" w:hint="eastAsia"/>
        </w:rPr>
        <w:t>占藥品支出總費用比率為0.66</w:t>
      </w:r>
      <w:r w:rsidR="00452403" w:rsidRPr="00953E18">
        <w:rPr>
          <w:rFonts w:hAnsi="標楷體"/>
          <w:kern w:val="0"/>
          <w:sz w:val="28"/>
          <w:szCs w:val="28"/>
        </w:rPr>
        <w:t>%</w:t>
      </w:r>
      <w:r w:rsidR="007061BB" w:rsidRPr="00953E18">
        <w:rPr>
          <w:rFonts w:hAnsi="標楷體" w:hint="eastAsia"/>
        </w:rPr>
        <w:t>至</w:t>
      </w:r>
      <w:r w:rsidR="003913CD" w:rsidRPr="00953E18">
        <w:rPr>
          <w:rFonts w:hAnsi="標楷體" w:hint="eastAsia"/>
        </w:rPr>
        <w:t>0.8</w:t>
      </w:r>
      <w:r w:rsidR="002B07A1" w:rsidRPr="00953E18">
        <w:rPr>
          <w:rFonts w:hAnsi="標楷體" w:hint="eastAsia"/>
        </w:rPr>
        <w:t>1</w:t>
      </w:r>
      <w:r w:rsidR="00452403" w:rsidRPr="00953E18">
        <w:rPr>
          <w:rFonts w:hAnsi="標楷體"/>
          <w:kern w:val="0"/>
          <w:sz w:val="28"/>
          <w:szCs w:val="28"/>
        </w:rPr>
        <w:t>%</w:t>
      </w:r>
      <w:r w:rsidR="003913CD" w:rsidRPr="00953E18">
        <w:rPr>
          <w:rFonts w:hAnsi="標楷體" w:hint="eastAsia"/>
        </w:rPr>
        <w:t>間</w:t>
      </w:r>
      <w:r w:rsidR="00A24840" w:rsidRPr="00953E18">
        <w:rPr>
          <w:rFonts w:hAnsi="標楷體" w:hint="eastAsia"/>
        </w:rPr>
        <w:t>(詳下表)</w:t>
      </w:r>
      <w:r w:rsidR="007061BB" w:rsidRPr="00953E18">
        <w:rPr>
          <w:rFonts w:hAnsi="標楷體" w:hint="eastAsia"/>
        </w:rPr>
        <w:t>，</w:t>
      </w:r>
      <w:r w:rsidR="003913CD" w:rsidRPr="00953E18">
        <w:rPr>
          <w:rFonts w:hAnsi="標楷體" w:hint="eastAsia"/>
        </w:rPr>
        <w:t>可見近年指示用藥申報費用</w:t>
      </w:r>
      <w:r w:rsidR="0024747D" w:rsidRPr="00953E18">
        <w:rPr>
          <w:rFonts w:hAnsi="標楷體"/>
        </w:rPr>
        <w:tab/>
      </w:r>
      <w:r w:rsidR="0024747D" w:rsidRPr="00953E18">
        <w:rPr>
          <w:rFonts w:hAnsi="標楷體" w:hint="eastAsia"/>
        </w:rPr>
        <w:t>平均</w:t>
      </w:r>
      <w:r w:rsidR="003913CD" w:rsidRPr="00953E18">
        <w:rPr>
          <w:rFonts w:hAnsi="標楷體" w:hint="eastAsia"/>
        </w:rPr>
        <w:t>仍高達15億6</w:t>
      </w:r>
      <w:r w:rsidR="003913CD" w:rsidRPr="00953E18">
        <w:rPr>
          <w:rFonts w:hAnsi="標楷體"/>
        </w:rPr>
        <w:t>,</w:t>
      </w:r>
      <w:r w:rsidR="003913CD" w:rsidRPr="00953E18">
        <w:rPr>
          <w:rFonts w:hAnsi="標楷體" w:hint="eastAsia"/>
        </w:rPr>
        <w:t>000</w:t>
      </w:r>
      <w:r w:rsidR="00452403" w:rsidRPr="00953E18">
        <w:rPr>
          <w:rFonts w:hAnsi="標楷體" w:hint="eastAsia"/>
        </w:rPr>
        <w:t>萬</w:t>
      </w:r>
      <w:r w:rsidR="003913CD" w:rsidRPr="00953E18">
        <w:rPr>
          <w:rFonts w:hAnsi="標楷體" w:hint="eastAsia"/>
        </w:rPr>
        <w:t>餘元，111年甚高達16億7</w:t>
      </w:r>
      <w:r w:rsidR="003913CD" w:rsidRPr="00953E18">
        <w:rPr>
          <w:rFonts w:hAnsi="標楷體"/>
        </w:rPr>
        <w:t>,000</w:t>
      </w:r>
      <w:r w:rsidR="00452403" w:rsidRPr="00953E18">
        <w:rPr>
          <w:rFonts w:hAnsi="標楷體" w:hint="eastAsia"/>
        </w:rPr>
        <w:t>萬</w:t>
      </w:r>
      <w:r w:rsidR="003913CD" w:rsidRPr="00953E18">
        <w:rPr>
          <w:rFonts w:hAnsi="標楷體" w:hint="eastAsia"/>
        </w:rPr>
        <w:t>餘元，且占藥品支出總費用比率亦未明顯呈逐年下降趨勢。</w:t>
      </w:r>
      <w:proofErr w:type="gramStart"/>
      <w:r w:rsidR="003913CD" w:rsidRPr="00953E18">
        <w:rPr>
          <w:rFonts w:hAnsi="標楷體" w:hint="eastAsia"/>
        </w:rPr>
        <w:t>詢</w:t>
      </w:r>
      <w:proofErr w:type="gramEnd"/>
      <w:r w:rsidR="003913CD" w:rsidRPr="00953E18">
        <w:rPr>
          <w:rFonts w:hAnsi="標楷體" w:hint="eastAsia"/>
        </w:rPr>
        <w:t>據健保署表示略以，針對全民健保</w:t>
      </w:r>
      <w:r w:rsidR="00EC7974" w:rsidRPr="00953E18">
        <w:rPr>
          <w:rFonts w:hAnsi="標楷體" w:hint="eastAsia"/>
        </w:rPr>
        <w:t>給</w:t>
      </w:r>
      <w:r w:rsidR="003913CD" w:rsidRPr="00953E18">
        <w:rPr>
          <w:rFonts w:hAnsi="標楷體" w:hint="eastAsia"/>
        </w:rPr>
        <w:t>付指示用藥爭議一節，該署於112年6月6日召開「健保給付指示用藥臨床需求溝通會議」，邀請</w:t>
      </w:r>
      <w:r w:rsidR="00EC7974" w:rsidRPr="00953E18">
        <w:rPr>
          <w:rFonts w:hAnsi="標楷體" w:hint="eastAsia"/>
        </w:rPr>
        <w:t>中華民國</w:t>
      </w:r>
      <w:r w:rsidR="003913CD" w:rsidRPr="00953E18">
        <w:rPr>
          <w:rFonts w:hAnsi="標楷體" w:hint="eastAsia"/>
        </w:rPr>
        <w:t>醫師公會全國聯合會、</w:t>
      </w:r>
      <w:r w:rsidR="00EC7974" w:rsidRPr="00953E18">
        <w:rPr>
          <w:rFonts w:hAnsi="標楷體" w:hint="eastAsia"/>
        </w:rPr>
        <w:t>社團法人中華民國</w:t>
      </w:r>
      <w:r w:rsidR="003913CD" w:rsidRPr="00953E18">
        <w:rPr>
          <w:rFonts w:hAnsi="標楷體" w:hint="eastAsia"/>
        </w:rPr>
        <w:t>藥師公會全國聯合會、相關專科醫學會、醫藥專家學者，針對指示用藥之臨床需求</w:t>
      </w:r>
      <w:r w:rsidR="00EC7974" w:rsidRPr="00953E18">
        <w:rPr>
          <w:rFonts w:hAnsi="標楷體" w:hint="eastAsia"/>
        </w:rPr>
        <w:t>進行</w:t>
      </w:r>
      <w:r w:rsidR="003913CD" w:rsidRPr="00953E18">
        <w:rPr>
          <w:rFonts w:hAnsi="標楷體" w:hint="eastAsia"/>
        </w:rPr>
        <w:t>討論，惟各相關醫學會仍對會議結論有不同意見，將再</w:t>
      </w:r>
      <w:r w:rsidR="0024747D" w:rsidRPr="00953E18">
        <w:rPr>
          <w:rFonts w:hAnsi="標楷體" w:hint="eastAsia"/>
        </w:rPr>
        <w:t>蒐</w:t>
      </w:r>
      <w:r w:rsidR="003913CD" w:rsidRPr="00953E18">
        <w:rPr>
          <w:rFonts w:hAnsi="標楷體" w:hint="eastAsia"/>
        </w:rPr>
        <w:t>集意見後持續與各界溝通</w:t>
      </w:r>
      <w:r w:rsidR="00EA0812" w:rsidRPr="00953E18">
        <w:rPr>
          <w:rFonts w:hAnsi="標楷體" w:hint="eastAsia"/>
        </w:rPr>
        <w:t>……；多數</w:t>
      </w:r>
      <w:proofErr w:type="gramStart"/>
      <w:r w:rsidR="00EA0812" w:rsidRPr="00953E18">
        <w:rPr>
          <w:rFonts w:hAnsi="標楷體" w:hint="eastAsia"/>
        </w:rPr>
        <w:t>醫</w:t>
      </w:r>
      <w:proofErr w:type="gramEnd"/>
      <w:r w:rsidR="00EA0812" w:rsidRPr="00953E18">
        <w:rPr>
          <w:rFonts w:hAnsi="標楷體" w:hint="eastAsia"/>
        </w:rPr>
        <w:t>界認為</w:t>
      </w:r>
      <w:r w:rsidR="00EC7974" w:rsidRPr="00953E18">
        <w:rPr>
          <w:rFonts w:hAnsi="標楷體" w:hint="eastAsia"/>
        </w:rPr>
        <w:t>該</w:t>
      </w:r>
      <w:r w:rsidR="00EA0812" w:rsidRPr="00953E18">
        <w:rPr>
          <w:rFonts w:hAnsi="標楷體" w:hint="eastAsia"/>
        </w:rPr>
        <w:t>指示用藥有些是必要的，一方面因價格便宜，一方面又很有</w:t>
      </w:r>
      <w:r w:rsidR="00A24840" w:rsidRPr="00953E18">
        <w:rPr>
          <w:rFonts w:hAnsi="標楷體" w:hint="eastAsia"/>
        </w:rPr>
        <w:t>療</w:t>
      </w:r>
      <w:r w:rsidR="00EA0812" w:rsidRPr="00953E18">
        <w:rPr>
          <w:rFonts w:hAnsi="標楷體" w:hint="eastAsia"/>
        </w:rPr>
        <w:t>效，民眾也持續有在使用，因此基層診所希望可以保留，但保留的結果就是會被認為</w:t>
      </w:r>
      <w:r w:rsidR="00A24840" w:rsidRPr="00953E18">
        <w:rPr>
          <w:rFonts w:hAnsi="標楷體" w:hint="eastAsia"/>
        </w:rPr>
        <w:t>依然</w:t>
      </w:r>
      <w:r w:rsidR="00EA0812" w:rsidRPr="00953E18">
        <w:rPr>
          <w:rFonts w:hAnsi="標楷體" w:hint="eastAsia"/>
        </w:rPr>
        <w:t>違法，因此現在有將指示用藥不納入全民健保給</w:t>
      </w:r>
      <w:r w:rsidR="00EA0812" w:rsidRPr="00953E18">
        <w:rPr>
          <w:rFonts w:hAnsi="標楷體" w:hint="eastAsia"/>
        </w:rPr>
        <w:lastRenderedPageBreak/>
        <w:t>付規範的修法檢討，讓實務執行可以符合規定，其中每年申報不到5</w:t>
      </w:r>
      <w:r w:rsidR="00EA0812" w:rsidRPr="00953E18">
        <w:rPr>
          <w:rFonts w:hAnsi="標楷體"/>
        </w:rPr>
        <w:t>,</w:t>
      </w:r>
      <w:r w:rsidR="00EA0812" w:rsidRPr="00953E18">
        <w:rPr>
          <w:rFonts w:hAnsi="標楷體" w:hint="eastAsia"/>
        </w:rPr>
        <w:t>000顆的藥品是否先列入不給付的項目、將臨床必要指示用藥</w:t>
      </w:r>
      <w:r w:rsidR="00452403" w:rsidRPr="00953E18">
        <w:rPr>
          <w:rFonts w:hAnsi="標楷體" w:hint="eastAsia"/>
        </w:rPr>
        <w:t>排</w:t>
      </w:r>
      <w:r w:rsidR="00EA0812" w:rsidRPr="00953E18">
        <w:rPr>
          <w:rFonts w:hAnsi="標楷體" w:hint="eastAsia"/>
        </w:rPr>
        <w:t>除，或是以列表方式呈現，主要是針對兒童用藥、臨床用藥與公衛用藥……等，都有在討論，</w:t>
      </w:r>
      <w:r w:rsidR="00A24840" w:rsidRPr="00953E18">
        <w:rPr>
          <w:rFonts w:hAnsi="標楷體" w:hint="eastAsia"/>
        </w:rPr>
        <w:t>將</w:t>
      </w:r>
      <w:r w:rsidR="00EA0812" w:rsidRPr="00953E18">
        <w:rPr>
          <w:rFonts w:hAnsi="標楷體" w:hint="eastAsia"/>
        </w:rPr>
        <w:t>依</w:t>
      </w:r>
      <w:r w:rsidR="003913CD" w:rsidRPr="00953E18">
        <w:rPr>
          <w:rFonts w:hAnsi="標楷體" w:hint="eastAsia"/>
        </w:rPr>
        <w:t>共識</w:t>
      </w:r>
      <w:r w:rsidR="00A24840" w:rsidRPr="00953E18">
        <w:rPr>
          <w:rFonts w:hAnsi="標楷體" w:hint="eastAsia"/>
        </w:rPr>
        <w:t>研訂</w:t>
      </w:r>
      <w:r w:rsidR="003913CD" w:rsidRPr="00953E18">
        <w:rPr>
          <w:rFonts w:hAnsi="標楷體" w:hint="eastAsia"/>
        </w:rPr>
        <w:t>全民健康保險法</w:t>
      </w:r>
      <w:r w:rsidR="00EA0812" w:rsidRPr="00953E18">
        <w:rPr>
          <w:rFonts w:hAnsi="標楷體" w:hint="eastAsia"/>
        </w:rPr>
        <w:t>等語。</w:t>
      </w:r>
    </w:p>
    <w:p w:rsidR="007061BB" w:rsidRPr="00953E18" w:rsidRDefault="007061BB" w:rsidP="006E6A1B">
      <w:pPr>
        <w:pStyle w:val="a5"/>
        <w:numPr>
          <w:ilvl w:val="0"/>
          <w:numId w:val="49"/>
        </w:numPr>
        <w:ind w:left="0" w:rightChars="-192" w:right="-653" w:hanging="567"/>
        <w:rPr>
          <w:spacing w:val="-20"/>
        </w:rPr>
      </w:pPr>
      <w:r w:rsidRPr="00953E18">
        <w:rPr>
          <w:rFonts w:hint="eastAsia"/>
          <w:spacing w:val="-20"/>
        </w:rPr>
        <w:t>107至111年指示用藥申報全民健保費用、占藥品支出費用比率及給付數量統計表</w:t>
      </w:r>
    </w:p>
    <w:p w:rsidR="00E50CAD" w:rsidRPr="00953E18" w:rsidRDefault="00E50CAD" w:rsidP="0006764F">
      <w:pPr>
        <w:spacing w:line="300" w:lineRule="exact"/>
        <w:ind w:rightChars="-192" w:right="-653"/>
        <w:jc w:val="right"/>
        <w:rPr>
          <w:sz w:val="24"/>
          <w:szCs w:val="24"/>
        </w:rPr>
      </w:pPr>
      <w:r w:rsidRPr="00953E18">
        <w:rPr>
          <w:rFonts w:hint="eastAsia"/>
          <w:sz w:val="24"/>
          <w:szCs w:val="24"/>
        </w:rPr>
        <w:t>單位：百萬元；</w:t>
      </w:r>
      <w:r w:rsidR="00452403" w:rsidRPr="00953E18">
        <w:rPr>
          <w:rFonts w:hint="eastAsia"/>
          <w:sz w:val="24"/>
          <w:szCs w:val="24"/>
        </w:rPr>
        <w:t>%</w:t>
      </w:r>
      <w:r w:rsidRPr="00953E18">
        <w:rPr>
          <w:rFonts w:hint="eastAsia"/>
          <w:sz w:val="24"/>
          <w:szCs w:val="24"/>
        </w:rPr>
        <w:t>；項</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2127"/>
        <w:gridCol w:w="2409"/>
        <w:gridCol w:w="2410"/>
        <w:gridCol w:w="2126"/>
      </w:tblGrid>
      <w:tr w:rsidR="007061BB" w:rsidRPr="00953E18" w:rsidTr="00A24840">
        <w:trPr>
          <w:trHeight w:val="964"/>
          <w:tblHeader/>
        </w:trPr>
        <w:tc>
          <w:tcPr>
            <w:tcW w:w="851" w:type="dxa"/>
            <w:shd w:val="clear" w:color="auto" w:fill="DAEEF3" w:themeFill="accent5" w:themeFillTint="33"/>
            <w:noWrap/>
            <w:vAlign w:val="center"/>
            <w:hideMark/>
          </w:tcPr>
          <w:p w:rsidR="007061BB" w:rsidRPr="00953E18" w:rsidRDefault="007061BB" w:rsidP="00082559">
            <w:pPr>
              <w:widowControl/>
              <w:snapToGrid w:val="0"/>
              <w:spacing w:line="400" w:lineRule="exact"/>
              <w:jc w:val="center"/>
              <w:rPr>
                <w:rFonts w:hAnsi="標楷體"/>
                <w:bCs/>
                <w:kern w:val="0"/>
                <w:sz w:val="28"/>
                <w:szCs w:val="28"/>
              </w:rPr>
            </w:pPr>
            <w:r w:rsidRPr="00953E18">
              <w:rPr>
                <w:rFonts w:hAnsi="標楷體"/>
                <w:bCs/>
                <w:kern w:val="0"/>
                <w:sz w:val="28"/>
                <w:szCs w:val="28"/>
              </w:rPr>
              <w:t>年度</w:t>
            </w:r>
          </w:p>
        </w:tc>
        <w:tc>
          <w:tcPr>
            <w:tcW w:w="2127" w:type="dxa"/>
            <w:shd w:val="clear" w:color="auto" w:fill="DAEEF3" w:themeFill="accent5" w:themeFillTint="33"/>
            <w:vAlign w:val="center"/>
          </w:tcPr>
          <w:p w:rsidR="007061BB" w:rsidRPr="00953E18" w:rsidRDefault="007061BB" w:rsidP="00082559">
            <w:pPr>
              <w:widowControl/>
              <w:snapToGrid w:val="0"/>
              <w:spacing w:line="400" w:lineRule="exact"/>
              <w:jc w:val="center"/>
              <w:rPr>
                <w:rFonts w:hAnsi="標楷體"/>
                <w:bCs/>
                <w:kern w:val="0"/>
                <w:sz w:val="28"/>
                <w:szCs w:val="28"/>
              </w:rPr>
            </w:pPr>
            <w:r w:rsidRPr="00953E18">
              <w:rPr>
                <w:rFonts w:hAnsi="標楷體"/>
                <w:bCs/>
                <w:kern w:val="0"/>
                <w:sz w:val="28"/>
                <w:szCs w:val="28"/>
              </w:rPr>
              <w:t>指示</w:t>
            </w:r>
            <w:r w:rsidRPr="00953E18">
              <w:rPr>
                <w:rFonts w:hAnsi="標楷體" w:hint="eastAsia"/>
                <w:bCs/>
                <w:kern w:val="0"/>
                <w:sz w:val="28"/>
                <w:szCs w:val="28"/>
              </w:rPr>
              <w:t>用藥</w:t>
            </w:r>
            <w:r w:rsidRPr="00953E18">
              <w:rPr>
                <w:rFonts w:hAnsi="標楷體"/>
                <w:bCs/>
                <w:kern w:val="0"/>
                <w:sz w:val="28"/>
                <w:szCs w:val="28"/>
              </w:rPr>
              <w:t>申報</w:t>
            </w:r>
          </w:p>
        </w:tc>
        <w:tc>
          <w:tcPr>
            <w:tcW w:w="2409" w:type="dxa"/>
            <w:shd w:val="clear" w:color="auto" w:fill="DAEEF3" w:themeFill="accent5" w:themeFillTint="33"/>
            <w:noWrap/>
            <w:vAlign w:val="center"/>
            <w:hideMark/>
          </w:tcPr>
          <w:p w:rsidR="007061BB" w:rsidRPr="00953E18" w:rsidRDefault="007061BB" w:rsidP="00452403">
            <w:pPr>
              <w:widowControl/>
              <w:snapToGrid w:val="0"/>
              <w:spacing w:line="400" w:lineRule="exact"/>
              <w:jc w:val="center"/>
              <w:rPr>
                <w:rFonts w:hAnsi="標楷體"/>
                <w:sz w:val="28"/>
                <w:szCs w:val="28"/>
              </w:rPr>
            </w:pPr>
            <w:r w:rsidRPr="00953E18">
              <w:rPr>
                <w:rFonts w:hAnsi="標楷體"/>
                <w:sz w:val="28"/>
                <w:szCs w:val="28"/>
              </w:rPr>
              <w:t>藥品支出總費用</w:t>
            </w:r>
          </w:p>
        </w:tc>
        <w:tc>
          <w:tcPr>
            <w:tcW w:w="2410" w:type="dxa"/>
            <w:shd w:val="clear" w:color="auto" w:fill="DAEEF3" w:themeFill="accent5" w:themeFillTint="33"/>
            <w:noWrap/>
            <w:vAlign w:val="center"/>
            <w:hideMark/>
          </w:tcPr>
          <w:p w:rsidR="007061BB" w:rsidRPr="00953E18" w:rsidRDefault="007061BB" w:rsidP="00082559">
            <w:pPr>
              <w:widowControl/>
              <w:snapToGrid w:val="0"/>
              <w:spacing w:line="400" w:lineRule="exact"/>
              <w:jc w:val="center"/>
              <w:rPr>
                <w:rFonts w:hAnsi="標楷體"/>
                <w:spacing w:val="-4"/>
                <w:sz w:val="28"/>
                <w:szCs w:val="28"/>
              </w:rPr>
            </w:pPr>
            <w:r w:rsidRPr="00953E18">
              <w:rPr>
                <w:rFonts w:hAnsi="標楷體"/>
                <w:spacing w:val="-4"/>
                <w:sz w:val="28"/>
                <w:szCs w:val="28"/>
              </w:rPr>
              <w:t>指示</w:t>
            </w:r>
            <w:r w:rsidRPr="00953E18">
              <w:rPr>
                <w:rFonts w:hAnsi="標楷體" w:hint="eastAsia"/>
                <w:spacing w:val="-4"/>
                <w:sz w:val="28"/>
                <w:szCs w:val="28"/>
              </w:rPr>
              <w:t>用藥</w:t>
            </w:r>
            <w:r w:rsidRPr="00953E18">
              <w:rPr>
                <w:rFonts w:hAnsi="標楷體"/>
                <w:spacing w:val="-4"/>
                <w:sz w:val="28"/>
                <w:szCs w:val="28"/>
              </w:rPr>
              <w:t>占藥品</w:t>
            </w:r>
          </w:p>
          <w:p w:rsidR="007061BB" w:rsidRPr="00953E18" w:rsidRDefault="007061BB" w:rsidP="00082559">
            <w:pPr>
              <w:widowControl/>
              <w:snapToGrid w:val="0"/>
              <w:spacing w:line="400" w:lineRule="exact"/>
              <w:jc w:val="center"/>
              <w:rPr>
                <w:rFonts w:hAnsi="標楷體"/>
                <w:bCs/>
                <w:spacing w:val="-4"/>
                <w:kern w:val="0"/>
                <w:sz w:val="28"/>
                <w:szCs w:val="28"/>
              </w:rPr>
            </w:pPr>
            <w:r w:rsidRPr="00953E18">
              <w:rPr>
                <w:rFonts w:hAnsi="標楷體"/>
                <w:spacing w:val="-4"/>
                <w:sz w:val="28"/>
                <w:szCs w:val="28"/>
              </w:rPr>
              <w:t>支出總費用之比率</w:t>
            </w:r>
          </w:p>
        </w:tc>
        <w:tc>
          <w:tcPr>
            <w:tcW w:w="2126" w:type="dxa"/>
            <w:shd w:val="clear" w:color="auto" w:fill="DAEEF3" w:themeFill="accent5" w:themeFillTint="33"/>
          </w:tcPr>
          <w:p w:rsidR="007061BB" w:rsidRPr="00953E18" w:rsidRDefault="007061BB" w:rsidP="00082559">
            <w:pPr>
              <w:widowControl/>
              <w:snapToGrid w:val="0"/>
              <w:spacing w:line="400" w:lineRule="exact"/>
              <w:jc w:val="center"/>
              <w:rPr>
                <w:rFonts w:hAnsi="標楷體"/>
                <w:sz w:val="28"/>
                <w:szCs w:val="28"/>
              </w:rPr>
            </w:pPr>
            <w:r w:rsidRPr="00953E18">
              <w:rPr>
                <w:rFonts w:hAnsi="標楷體" w:hint="eastAsia"/>
                <w:sz w:val="28"/>
                <w:szCs w:val="28"/>
              </w:rPr>
              <w:t>全民健保給付指示用藥數量</w:t>
            </w:r>
          </w:p>
        </w:tc>
      </w:tr>
      <w:tr w:rsidR="007061BB" w:rsidRPr="00953E18" w:rsidTr="00A24840">
        <w:trPr>
          <w:trHeight w:val="396"/>
        </w:trPr>
        <w:tc>
          <w:tcPr>
            <w:tcW w:w="851" w:type="dxa"/>
            <w:shd w:val="clear" w:color="auto" w:fill="auto"/>
            <w:noWrap/>
            <w:vAlign w:val="center"/>
            <w:hideMark/>
          </w:tcPr>
          <w:p w:rsidR="007061BB" w:rsidRPr="00953E18" w:rsidRDefault="007061BB" w:rsidP="00082559">
            <w:pPr>
              <w:widowControl/>
              <w:snapToGrid w:val="0"/>
              <w:spacing w:line="400" w:lineRule="exact"/>
              <w:jc w:val="center"/>
              <w:rPr>
                <w:rFonts w:hAnsi="標楷體"/>
                <w:kern w:val="0"/>
                <w:sz w:val="28"/>
                <w:szCs w:val="28"/>
              </w:rPr>
            </w:pPr>
            <w:r w:rsidRPr="00953E18">
              <w:rPr>
                <w:rFonts w:hAnsi="標楷體"/>
                <w:kern w:val="0"/>
                <w:sz w:val="28"/>
                <w:szCs w:val="28"/>
              </w:rPr>
              <w:t>107</w:t>
            </w:r>
          </w:p>
        </w:tc>
        <w:tc>
          <w:tcPr>
            <w:tcW w:w="2127" w:type="dxa"/>
            <w:vAlign w:val="center"/>
          </w:tcPr>
          <w:p w:rsidR="007061BB" w:rsidRPr="00953E18" w:rsidRDefault="007061BB" w:rsidP="00E50CAD">
            <w:pPr>
              <w:widowControl/>
              <w:snapToGrid w:val="0"/>
              <w:spacing w:line="400" w:lineRule="exact"/>
              <w:jc w:val="right"/>
              <w:rPr>
                <w:rFonts w:hAnsi="標楷體"/>
                <w:kern w:val="0"/>
                <w:sz w:val="28"/>
                <w:szCs w:val="28"/>
              </w:rPr>
            </w:pPr>
            <w:r w:rsidRPr="00953E18">
              <w:rPr>
                <w:rFonts w:hAnsi="標楷體"/>
                <w:kern w:val="0"/>
                <w:sz w:val="28"/>
                <w:szCs w:val="28"/>
              </w:rPr>
              <w:t>1,577</w:t>
            </w:r>
          </w:p>
        </w:tc>
        <w:tc>
          <w:tcPr>
            <w:tcW w:w="2409" w:type="dxa"/>
            <w:shd w:val="clear" w:color="auto" w:fill="auto"/>
            <w:noWrap/>
          </w:tcPr>
          <w:p w:rsidR="007061BB" w:rsidRPr="00953E18" w:rsidRDefault="007061BB" w:rsidP="00E50CAD">
            <w:pPr>
              <w:spacing w:line="400" w:lineRule="exact"/>
              <w:jc w:val="right"/>
              <w:rPr>
                <w:rFonts w:hAnsi="標楷體"/>
                <w:kern w:val="0"/>
                <w:sz w:val="28"/>
                <w:szCs w:val="28"/>
              </w:rPr>
            </w:pPr>
            <w:r w:rsidRPr="00953E18">
              <w:rPr>
                <w:rFonts w:hAnsi="標楷體"/>
                <w:kern w:val="0"/>
                <w:sz w:val="28"/>
                <w:szCs w:val="28"/>
              </w:rPr>
              <w:t>195,705</w:t>
            </w:r>
          </w:p>
        </w:tc>
        <w:tc>
          <w:tcPr>
            <w:tcW w:w="2410" w:type="dxa"/>
            <w:shd w:val="clear" w:color="auto" w:fill="auto"/>
            <w:noWrap/>
          </w:tcPr>
          <w:p w:rsidR="007061BB" w:rsidRPr="00953E18" w:rsidRDefault="007061BB" w:rsidP="00E50CAD">
            <w:pPr>
              <w:spacing w:line="400" w:lineRule="exact"/>
              <w:jc w:val="right"/>
              <w:rPr>
                <w:rFonts w:hAnsi="標楷體"/>
                <w:kern w:val="0"/>
                <w:sz w:val="28"/>
                <w:szCs w:val="28"/>
              </w:rPr>
            </w:pPr>
            <w:r w:rsidRPr="00953E18">
              <w:rPr>
                <w:rFonts w:hAnsi="標楷體"/>
                <w:kern w:val="0"/>
                <w:sz w:val="28"/>
                <w:szCs w:val="28"/>
              </w:rPr>
              <w:t>0.81</w:t>
            </w:r>
            <w:r w:rsidR="00452403" w:rsidRPr="00953E18">
              <w:rPr>
                <w:rFonts w:hAnsi="標楷體"/>
                <w:kern w:val="0"/>
                <w:sz w:val="28"/>
                <w:szCs w:val="28"/>
              </w:rPr>
              <w:t>%</w:t>
            </w:r>
          </w:p>
        </w:tc>
        <w:tc>
          <w:tcPr>
            <w:tcW w:w="2126" w:type="dxa"/>
          </w:tcPr>
          <w:p w:rsidR="007061BB" w:rsidRPr="00953E18" w:rsidRDefault="007061BB" w:rsidP="00E50CAD">
            <w:pPr>
              <w:spacing w:line="400" w:lineRule="exact"/>
              <w:jc w:val="right"/>
              <w:rPr>
                <w:rFonts w:hAnsi="標楷體"/>
                <w:kern w:val="0"/>
                <w:sz w:val="28"/>
                <w:szCs w:val="28"/>
              </w:rPr>
            </w:pPr>
            <w:r w:rsidRPr="00953E18">
              <w:rPr>
                <w:rFonts w:hAnsi="標楷體" w:hint="eastAsia"/>
                <w:kern w:val="0"/>
                <w:sz w:val="28"/>
                <w:szCs w:val="28"/>
              </w:rPr>
              <w:t>906</w:t>
            </w:r>
          </w:p>
        </w:tc>
      </w:tr>
      <w:tr w:rsidR="007061BB" w:rsidRPr="00953E18" w:rsidTr="00A24840">
        <w:trPr>
          <w:trHeight w:val="396"/>
        </w:trPr>
        <w:tc>
          <w:tcPr>
            <w:tcW w:w="851" w:type="dxa"/>
            <w:shd w:val="clear" w:color="auto" w:fill="auto"/>
            <w:noWrap/>
            <w:vAlign w:val="center"/>
            <w:hideMark/>
          </w:tcPr>
          <w:p w:rsidR="007061BB" w:rsidRPr="00953E18" w:rsidRDefault="007061BB" w:rsidP="00082559">
            <w:pPr>
              <w:widowControl/>
              <w:snapToGrid w:val="0"/>
              <w:spacing w:line="400" w:lineRule="exact"/>
              <w:jc w:val="center"/>
              <w:rPr>
                <w:rFonts w:hAnsi="標楷體"/>
                <w:kern w:val="0"/>
                <w:sz w:val="28"/>
                <w:szCs w:val="28"/>
              </w:rPr>
            </w:pPr>
            <w:r w:rsidRPr="00953E18">
              <w:rPr>
                <w:rFonts w:hAnsi="標楷體"/>
                <w:kern w:val="0"/>
                <w:sz w:val="28"/>
                <w:szCs w:val="28"/>
              </w:rPr>
              <w:t>108</w:t>
            </w:r>
          </w:p>
        </w:tc>
        <w:tc>
          <w:tcPr>
            <w:tcW w:w="2127" w:type="dxa"/>
            <w:vAlign w:val="center"/>
          </w:tcPr>
          <w:p w:rsidR="007061BB" w:rsidRPr="00953E18" w:rsidRDefault="007061BB" w:rsidP="00E50CAD">
            <w:pPr>
              <w:widowControl/>
              <w:snapToGrid w:val="0"/>
              <w:spacing w:line="400" w:lineRule="exact"/>
              <w:jc w:val="right"/>
              <w:rPr>
                <w:rFonts w:hAnsi="標楷體"/>
                <w:kern w:val="0"/>
                <w:sz w:val="28"/>
                <w:szCs w:val="28"/>
              </w:rPr>
            </w:pPr>
            <w:r w:rsidRPr="00953E18">
              <w:rPr>
                <w:rFonts w:hAnsi="標楷體"/>
                <w:kern w:val="0"/>
                <w:sz w:val="28"/>
                <w:szCs w:val="28"/>
              </w:rPr>
              <w:t>1,585</w:t>
            </w:r>
          </w:p>
        </w:tc>
        <w:tc>
          <w:tcPr>
            <w:tcW w:w="2409" w:type="dxa"/>
            <w:shd w:val="clear" w:color="auto" w:fill="auto"/>
            <w:noWrap/>
          </w:tcPr>
          <w:p w:rsidR="007061BB" w:rsidRPr="00953E18" w:rsidRDefault="007061BB" w:rsidP="00E50CAD">
            <w:pPr>
              <w:spacing w:line="400" w:lineRule="exact"/>
              <w:jc w:val="right"/>
              <w:rPr>
                <w:rFonts w:hAnsi="標楷體"/>
                <w:kern w:val="0"/>
                <w:sz w:val="28"/>
                <w:szCs w:val="28"/>
              </w:rPr>
            </w:pPr>
            <w:r w:rsidRPr="00953E18">
              <w:rPr>
                <w:rFonts w:hAnsi="標楷體"/>
                <w:kern w:val="0"/>
                <w:sz w:val="28"/>
                <w:szCs w:val="28"/>
              </w:rPr>
              <w:t>208,270</w:t>
            </w:r>
          </w:p>
        </w:tc>
        <w:tc>
          <w:tcPr>
            <w:tcW w:w="2410" w:type="dxa"/>
            <w:shd w:val="clear" w:color="auto" w:fill="auto"/>
            <w:noWrap/>
          </w:tcPr>
          <w:p w:rsidR="007061BB" w:rsidRPr="00953E18" w:rsidRDefault="007061BB" w:rsidP="00E50CAD">
            <w:pPr>
              <w:spacing w:line="400" w:lineRule="exact"/>
              <w:jc w:val="right"/>
              <w:rPr>
                <w:rFonts w:hAnsi="標楷體"/>
                <w:kern w:val="0"/>
                <w:sz w:val="28"/>
                <w:szCs w:val="28"/>
              </w:rPr>
            </w:pPr>
            <w:r w:rsidRPr="00953E18">
              <w:rPr>
                <w:rFonts w:hAnsi="標楷體"/>
                <w:kern w:val="0"/>
                <w:sz w:val="28"/>
                <w:szCs w:val="28"/>
              </w:rPr>
              <w:t>0.76</w:t>
            </w:r>
            <w:r w:rsidR="00452403" w:rsidRPr="00953E18">
              <w:rPr>
                <w:rFonts w:hAnsi="標楷體"/>
                <w:kern w:val="0"/>
                <w:sz w:val="28"/>
                <w:szCs w:val="28"/>
              </w:rPr>
              <w:t>%</w:t>
            </w:r>
          </w:p>
        </w:tc>
        <w:tc>
          <w:tcPr>
            <w:tcW w:w="2126" w:type="dxa"/>
          </w:tcPr>
          <w:p w:rsidR="007061BB" w:rsidRPr="00953E18" w:rsidRDefault="007061BB" w:rsidP="00E50CAD">
            <w:pPr>
              <w:spacing w:line="400" w:lineRule="exact"/>
              <w:jc w:val="right"/>
              <w:rPr>
                <w:rFonts w:hAnsi="標楷體"/>
                <w:kern w:val="0"/>
                <w:sz w:val="28"/>
                <w:szCs w:val="28"/>
              </w:rPr>
            </w:pPr>
            <w:r w:rsidRPr="00953E18">
              <w:rPr>
                <w:rFonts w:hAnsi="標楷體" w:hint="eastAsia"/>
                <w:kern w:val="0"/>
                <w:sz w:val="28"/>
                <w:szCs w:val="28"/>
              </w:rPr>
              <w:t>876</w:t>
            </w:r>
          </w:p>
        </w:tc>
      </w:tr>
      <w:tr w:rsidR="007061BB" w:rsidRPr="00953E18" w:rsidTr="00A24840">
        <w:trPr>
          <w:trHeight w:val="396"/>
        </w:trPr>
        <w:tc>
          <w:tcPr>
            <w:tcW w:w="851" w:type="dxa"/>
            <w:shd w:val="clear" w:color="auto" w:fill="auto"/>
            <w:noWrap/>
            <w:vAlign w:val="center"/>
            <w:hideMark/>
          </w:tcPr>
          <w:p w:rsidR="007061BB" w:rsidRPr="00953E18" w:rsidRDefault="007061BB" w:rsidP="00082559">
            <w:pPr>
              <w:widowControl/>
              <w:snapToGrid w:val="0"/>
              <w:spacing w:line="400" w:lineRule="exact"/>
              <w:jc w:val="center"/>
              <w:rPr>
                <w:rFonts w:hAnsi="標楷體"/>
                <w:kern w:val="0"/>
                <w:sz w:val="28"/>
                <w:szCs w:val="28"/>
              </w:rPr>
            </w:pPr>
            <w:r w:rsidRPr="00953E18">
              <w:rPr>
                <w:rFonts w:hAnsi="標楷體"/>
                <w:kern w:val="0"/>
                <w:sz w:val="28"/>
                <w:szCs w:val="28"/>
              </w:rPr>
              <w:t>109</w:t>
            </w:r>
          </w:p>
        </w:tc>
        <w:tc>
          <w:tcPr>
            <w:tcW w:w="2127" w:type="dxa"/>
            <w:vAlign w:val="center"/>
          </w:tcPr>
          <w:p w:rsidR="007061BB" w:rsidRPr="00953E18" w:rsidRDefault="007061BB" w:rsidP="00E50CAD">
            <w:pPr>
              <w:widowControl/>
              <w:snapToGrid w:val="0"/>
              <w:spacing w:line="400" w:lineRule="exact"/>
              <w:jc w:val="right"/>
              <w:rPr>
                <w:rFonts w:hAnsi="標楷體"/>
                <w:kern w:val="0"/>
                <w:sz w:val="28"/>
                <w:szCs w:val="28"/>
              </w:rPr>
            </w:pPr>
            <w:r w:rsidRPr="00953E18">
              <w:rPr>
                <w:rFonts w:hAnsi="標楷體"/>
                <w:kern w:val="0"/>
                <w:sz w:val="28"/>
                <w:szCs w:val="28"/>
              </w:rPr>
              <w:t>1,536</w:t>
            </w:r>
          </w:p>
        </w:tc>
        <w:tc>
          <w:tcPr>
            <w:tcW w:w="2409" w:type="dxa"/>
            <w:shd w:val="clear" w:color="auto" w:fill="auto"/>
            <w:noWrap/>
          </w:tcPr>
          <w:p w:rsidR="007061BB" w:rsidRPr="00953E18" w:rsidRDefault="007061BB" w:rsidP="00E50CAD">
            <w:pPr>
              <w:spacing w:line="400" w:lineRule="exact"/>
              <w:jc w:val="right"/>
              <w:rPr>
                <w:rFonts w:hAnsi="標楷體"/>
                <w:kern w:val="0"/>
                <w:sz w:val="28"/>
                <w:szCs w:val="28"/>
              </w:rPr>
            </w:pPr>
            <w:r w:rsidRPr="00953E18">
              <w:rPr>
                <w:rFonts w:hAnsi="標楷體"/>
                <w:kern w:val="0"/>
                <w:sz w:val="28"/>
                <w:szCs w:val="28"/>
              </w:rPr>
              <w:t>217,524</w:t>
            </w:r>
          </w:p>
        </w:tc>
        <w:tc>
          <w:tcPr>
            <w:tcW w:w="2410" w:type="dxa"/>
            <w:shd w:val="clear" w:color="auto" w:fill="auto"/>
            <w:noWrap/>
          </w:tcPr>
          <w:p w:rsidR="007061BB" w:rsidRPr="00953E18" w:rsidRDefault="007061BB" w:rsidP="00E50CAD">
            <w:pPr>
              <w:spacing w:line="400" w:lineRule="exact"/>
              <w:jc w:val="right"/>
              <w:rPr>
                <w:rFonts w:hAnsi="標楷體"/>
                <w:kern w:val="0"/>
                <w:sz w:val="28"/>
                <w:szCs w:val="28"/>
              </w:rPr>
            </w:pPr>
            <w:r w:rsidRPr="00953E18">
              <w:rPr>
                <w:rFonts w:hAnsi="標楷體"/>
                <w:kern w:val="0"/>
                <w:sz w:val="28"/>
                <w:szCs w:val="28"/>
              </w:rPr>
              <w:t>0.71</w:t>
            </w:r>
            <w:r w:rsidR="00452403" w:rsidRPr="00953E18">
              <w:rPr>
                <w:rFonts w:hAnsi="標楷體"/>
                <w:kern w:val="0"/>
                <w:sz w:val="28"/>
                <w:szCs w:val="28"/>
              </w:rPr>
              <w:t>%</w:t>
            </w:r>
          </w:p>
        </w:tc>
        <w:tc>
          <w:tcPr>
            <w:tcW w:w="2126" w:type="dxa"/>
          </w:tcPr>
          <w:p w:rsidR="007061BB" w:rsidRPr="00953E18" w:rsidRDefault="007061BB" w:rsidP="00E50CAD">
            <w:pPr>
              <w:spacing w:line="400" w:lineRule="exact"/>
              <w:jc w:val="right"/>
              <w:rPr>
                <w:rFonts w:hAnsi="標楷體"/>
                <w:kern w:val="0"/>
                <w:sz w:val="28"/>
                <w:szCs w:val="28"/>
              </w:rPr>
            </w:pPr>
            <w:r w:rsidRPr="00953E18">
              <w:rPr>
                <w:rFonts w:hAnsi="標楷體" w:hint="eastAsia"/>
                <w:kern w:val="0"/>
                <w:sz w:val="28"/>
                <w:szCs w:val="28"/>
              </w:rPr>
              <w:t>885</w:t>
            </w:r>
          </w:p>
        </w:tc>
      </w:tr>
      <w:tr w:rsidR="007061BB" w:rsidRPr="00953E18" w:rsidTr="00A24840">
        <w:trPr>
          <w:trHeight w:val="396"/>
        </w:trPr>
        <w:tc>
          <w:tcPr>
            <w:tcW w:w="851" w:type="dxa"/>
            <w:shd w:val="clear" w:color="auto" w:fill="auto"/>
            <w:noWrap/>
            <w:vAlign w:val="center"/>
            <w:hideMark/>
          </w:tcPr>
          <w:p w:rsidR="007061BB" w:rsidRPr="00953E18" w:rsidRDefault="007061BB" w:rsidP="00082559">
            <w:pPr>
              <w:widowControl/>
              <w:snapToGrid w:val="0"/>
              <w:spacing w:line="400" w:lineRule="exact"/>
              <w:jc w:val="center"/>
              <w:rPr>
                <w:rFonts w:hAnsi="標楷體"/>
                <w:kern w:val="0"/>
                <w:sz w:val="28"/>
                <w:szCs w:val="28"/>
              </w:rPr>
            </w:pPr>
            <w:r w:rsidRPr="00953E18">
              <w:rPr>
                <w:rFonts w:hAnsi="標楷體"/>
                <w:kern w:val="0"/>
                <w:sz w:val="28"/>
                <w:szCs w:val="28"/>
              </w:rPr>
              <w:t>110</w:t>
            </w:r>
          </w:p>
        </w:tc>
        <w:tc>
          <w:tcPr>
            <w:tcW w:w="2127" w:type="dxa"/>
            <w:vAlign w:val="center"/>
          </w:tcPr>
          <w:p w:rsidR="007061BB" w:rsidRPr="00953E18" w:rsidRDefault="007061BB" w:rsidP="00E50CAD">
            <w:pPr>
              <w:widowControl/>
              <w:snapToGrid w:val="0"/>
              <w:spacing w:line="400" w:lineRule="exact"/>
              <w:jc w:val="right"/>
              <w:rPr>
                <w:rFonts w:hAnsi="標楷體"/>
                <w:kern w:val="0"/>
                <w:sz w:val="28"/>
                <w:szCs w:val="28"/>
              </w:rPr>
            </w:pPr>
            <w:r w:rsidRPr="00953E18">
              <w:rPr>
                <w:rFonts w:hAnsi="標楷體"/>
                <w:kern w:val="0"/>
                <w:sz w:val="28"/>
                <w:szCs w:val="28"/>
              </w:rPr>
              <w:t>1,474</w:t>
            </w:r>
          </w:p>
        </w:tc>
        <w:tc>
          <w:tcPr>
            <w:tcW w:w="2409" w:type="dxa"/>
            <w:shd w:val="clear" w:color="auto" w:fill="auto"/>
            <w:noWrap/>
          </w:tcPr>
          <w:p w:rsidR="007061BB" w:rsidRPr="00953E18" w:rsidRDefault="007061BB" w:rsidP="00E50CAD">
            <w:pPr>
              <w:spacing w:line="400" w:lineRule="exact"/>
              <w:jc w:val="right"/>
              <w:rPr>
                <w:rFonts w:hAnsi="標楷體"/>
                <w:kern w:val="0"/>
                <w:sz w:val="28"/>
                <w:szCs w:val="28"/>
              </w:rPr>
            </w:pPr>
            <w:r w:rsidRPr="00953E18">
              <w:rPr>
                <w:rFonts w:hAnsi="標楷體"/>
                <w:kern w:val="0"/>
                <w:sz w:val="28"/>
                <w:szCs w:val="28"/>
              </w:rPr>
              <w:t>224,681</w:t>
            </w:r>
          </w:p>
        </w:tc>
        <w:tc>
          <w:tcPr>
            <w:tcW w:w="2410" w:type="dxa"/>
            <w:shd w:val="clear" w:color="auto" w:fill="auto"/>
            <w:noWrap/>
          </w:tcPr>
          <w:p w:rsidR="007061BB" w:rsidRPr="00953E18" w:rsidRDefault="007061BB" w:rsidP="00E50CAD">
            <w:pPr>
              <w:spacing w:line="400" w:lineRule="exact"/>
              <w:jc w:val="right"/>
              <w:rPr>
                <w:rFonts w:hAnsi="標楷體"/>
                <w:kern w:val="0"/>
                <w:sz w:val="28"/>
                <w:szCs w:val="28"/>
              </w:rPr>
            </w:pPr>
            <w:r w:rsidRPr="00953E18">
              <w:rPr>
                <w:rFonts w:hAnsi="標楷體"/>
                <w:kern w:val="0"/>
                <w:sz w:val="28"/>
                <w:szCs w:val="28"/>
              </w:rPr>
              <w:t>0.66</w:t>
            </w:r>
            <w:r w:rsidR="00452403" w:rsidRPr="00953E18">
              <w:rPr>
                <w:rFonts w:hAnsi="標楷體"/>
                <w:kern w:val="0"/>
                <w:sz w:val="28"/>
                <w:szCs w:val="28"/>
              </w:rPr>
              <w:t>%</w:t>
            </w:r>
          </w:p>
        </w:tc>
        <w:tc>
          <w:tcPr>
            <w:tcW w:w="2126" w:type="dxa"/>
          </w:tcPr>
          <w:p w:rsidR="007061BB" w:rsidRPr="00953E18" w:rsidRDefault="007061BB" w:rsidP="00E50CAD">
            <w:pPr>
              <w:spacing w:line="400" w:lineRule="exact"/>
              <w:jc w:val="right"/>
              <w:rPr>
                <w:rFonts w:hAnsi="標楷體"/>
                <w:kern w:val="0"/>
                <w:sz w:val="28"/>
                <w:szCs w:val="28"/>
              </w:rPr>
            </w:pPr>
            <w:r w:rsidRPr="00953E18">
              <w:rPr>
                <w:rFonts w:hAnsi="標楷體" w:hint="eastAsia"/>
                <w:kern w:val="0"/>
                <w:sz w:val="28"/>
                <w:szCs w:val="28"/>
              </w:rPr>
              <w:t>851</w:t>
            </w:r>
          </w:p>
        </w:tc>
      </w:tr>
      <w:tr w:rsidR="007061BB" w:rsidRPr="00953E18" w:rsidTr="00A24840">
        <w:trPr>
          <w:trHeight w:val="396"/>
        </w:trPr>
        <w:tc>
          <w:tcPr>
            <w:tcW w:w="851" w:type="dxa"/>
            <w:shd w:val="clear" w:color="auto" w:fill="auto"/>
            <w:noWrap/>
            <w:vAlign w:val="center"/>
            <w:hideMark/>
          </w:tcPr>
          <w:p w:rsidR="007061BB" w:rsidRPr="00953E18" w:rsidRDefault="007061BB" w:rsidP="00082559">
            <w:pPr>
              <w:widowControl/>
              <w:snapToGrid w:val="0"/>
              <w:spacing w:line="400" w:lineRule="exact"/>
              <w:jc w:val="center"/>
              <w:rPr>
                <w:rFonts w:hAnsi="標楷體"/>
                <w:kern w:val="0"/>
                <w:sz w:val="28"/>
                <w:szCs w:val="28"/>
              </w:rPr>
            </w:pPr>
            <w:r w:rsidRPr="00953E18">
              <w:rPr>
                <w:rFonts w:hAnsi="標楷體"/>
                <w:kern w:val="0"/>
                <w:sz w:val="28"/>
                <w:szCs w:val="28"/>
              </w:rPr>
              <w:t>111</w:t>
            </w:r>
          </w:p>
        </w:tc>
        <w:tc>
          <w:tcPr>
            <w:tcW w:w="2127" w:type="dxa"/>
            <w:vAlign w:val="center"/>
          </w:tcPr>
          <w:p w:rsidR="007061BB" w:rsidRPr="00953E18" w:rsidRDefault="007061BB" w:rsidP="00E50CAD">
            <w:pPr>
              <w:widowControl/>
              <w:snapToGrid w:val="0"/>
              <w:spacing w:line="400" w:lineRule="exact"/>
              <w:jc w:val="right"/>
              <w:rPr>
                <w:rFonts w:hAnsi="標楷體"/>
                <w:kern w:val="0"/>
                <w:sz w:val="28"/>
                <w:szCs w:val="28"/>
              </w:rPr>
            </w:pPr>
            <w:r w:rsidRPr="00953E18">
              <w:rPr>
                <w:rFonts w:hAnsi="標楷體"/>
                <w:kern w:val="0"/>
                <w:sz w:val="28"/>
                <w:szCs w:val="28"/>
              </w:rPr>
              <w:t>1,675</w:t>
            </w:r>
          </w:p>
        </w:tc>
        <w:tc>
          <w:tcPr>
            <w:tcW w:w="2409" w:type="dxa"/>
            <w:shd w:val="clear" w:color="auto" w:fill="auto"/>
            <w:noWrap/>
          </w:tcPr>
          <w:p w:rsidR="007061BB" w:rsidRPr="00953E18" w:rsidRDefault="007061BB" w:rsidP="00E50CAD">
            <w:pPr>
              <w:spacing w:line="400" w:lineRule="exact"/>
              <w:jc w:val="right"/>
              <w:rPr>
                <w:rFonts w:hAnsi="標楷體"/>
                <w:kern w:val="0"/>
                <w:sz w:val="28"/>
                <w:szCs w:val="28"/>
              </w:rPr>
            </w:pPr>
            <w:r w:rsidRPr="00953E18">
              <w:rPr>
                <w:rFonts w:hAnsi="標楷體"/>
                <w:kern w:val="0"/>
                <w:sz w:val="28"/>
                <w:szCs w:val="28"/>
              </w:rPr>
              <w:t>230,830</w:t>
            </w:r>
          </w:p>
        </w:tc>
        <w:tc>
          <w:tcPr>
            <w:tcW w:w="2410" w:type="dxa"/>
            <w:shd w:val="clear" w:color="auto" w:fill="auto"/>
            <w:noWrap/>
          </w:tcPr>
          <w:p w:rsidR="007061BB" w:rsidRPr="00953E18" w:rsidRDefault="007061BB" w:rsidP="00E50CAD">
            <w:pPr>
              <w:spacing w:line="400" w:lineRule="exact"/>
              <w:jc w:val="right"/>
              <w:rPr>
                <w:rFonts w:hAnsi="標楷體"/>
                <w:kern w:val="0"/>
                <w:sz w:val="28"/>
                <w:szCs w:val="28"/>
              </w:rPr>
            </w:pPr>
            <w:r w:rsidRPr="00953E18">
              <w:rPr>
                <w:rFonts w:hAnsi="標楷體"/>
                <w:kern w:val="0"/>
                <w:sz w:val="28"/>
                <w:szCs w:val="28"/>
              </w:rPr>
              <w:t>0.73</w:t>
            </w:r>
            <w:r w:rsidR="00452403" w:rsidRPr="00953E18">
              <w:rPr>
                <w:rFonts w:hAnsi="標楷體"/>
                <w:kern w:val="0"/>
                <w:sz w:val="28"/>
                <w:szCs w:val="28"/>
              </w:rPr>
              <w:t>%</w:t>
            </w:r>
          </w:p>
        </w:tc>
        <w:tc>
          <w:tcPr>
            <w:tcW w:w="2126" w:type="dxa"/>
          </w:tcPr>
          <w:p w:rsidR="007061BB" w:rsidRPr="00953E18" w:rsidRDefault="007061BB" w:rsidP="00E50CAD">
            <w:pPr>
              <w:spacing w:line="400" w:lineRule="exact"/>
              <w:jc w:val="right"/>
              <w:rPr>
                <w:rFonts w:hAnsi="標楷體"/>
                <w:kern w:val="0"/>
                <w:sz w:val="28"/>
                <w:szCs w:val="28"/>
              </w:rPr>
            </w:pPr>
            <w:r w:rsidRPr="00953E18">
              <w:rPr>
                <w:rFonts w:hAnsi="標楷體" w:hint="eastAsia"/>
                <w:kern w:val="0"/>
                <w:sz w:val="28"/>
                <w:szCs w:val="28"/>
              </w:rPr>
              <w:t>841</w:t>
            </w:r>
          </w:p>
        </w:tc>
      </w:tr>
    </w:tbl>
    <w:p w:rsidR="007061BB" w:rsidRPr="00953E18" w:rsidRDefault="007061BB" w:rsidP="007061BB">
      <w:pPr>
        <w:pStyle w:val="5"/>
        <w:numPr>
          <w:ilvl w:val="0"/>
          <w:numId w:val="0"/>
        </w:numPr>
        <w:spacing w:line="360" w:lineRule="exact"/>
        <w:ind w:left="-420"/>
        <w:rPr>
          <w:sz w:val="24"/>
          <w:szCs w:val="24"/>
        </w:rPr>
      </w:pPr>
      <w:r w:rsidRPr="00953E18">
        <w:rPr>
          <w:rFonts w:hint="eastAsia"/>
          <w:sz w:val="24"/>
          <w:szCs w:val="24"/>
        </w:rPr>
        <w:t>資料來源：衛福部</w:t>
      </w:r>
    </w:p>
    <w:p w:rsidR="007061BB" w:rsidRPr="00953E18" w:rsidRDefault="007061BB" w:rsidP="0006764F">
      <w:pPr>
        <w:pStyle w:val="2"/>
        <w:numPr>
          <w:ilvl w:val="0"/>
          <w:numId w:val="0"/>
        </w:numPr>
        <w:spacing w:line="240" w:lineRule="exact"/>
        <w:ind w:left="1673"/>
      </w:pPr>
    </w:p>
    <w:p w:rsidR="0095759C" w:rsidRPr="00953E18" w:rsidRDefault="00BB0714" w:rsidP="0006764F">
      <w:pPr>
        <w:pStyle w:val="3"/>
      </w:pPr>
      <w:r w:rsidRPr="00953E18">
        <w:rPr>
          <w:rFonts w:hint="eastAsia"/>
        </w:rPr>
        <w:t>綜</w:t>
      </w:r>
      <w:r w:rsidR="00A24840" w:rsidRPr="00953E18">
        <w:rPr>
          <w:rFonts w:hint="eastAsia"/>
        </w:rPr>
        <w:t>上，</w:t>
      </w:r>
      <w:r w:rsidR="00452403" w:rsidRPr="00953E18">
        <w:rPr>
          <w:rFonts w:hint="eastAsia"/>
        </w:rPr>
        <w:t>全民健康保險法自83年立法時即規定醫師指示用藥不列入保險給付範圍，惟迄今全民健保仍給付部分指示用藥，健保署雖逐年檢討各指示用藥的必要性，且支</w:t>
      </w:r>
      <w:proofErr w:type="gramStart"/>
      <w:r w:rsidR="00452403" w:rsidRPr="00953E18">
        <w:rPr>
          <w:rFonts w:hint="eastAsia"/>
        </w:rPr>
        <w:t>付品</w:t>
      </w:r>
      <w:proofErr w:type="gramEnd"/>
      <w:r w:rsidR="00452403" w:rsidRPr="00953E18">
        <w:rPr>
          <w:rFonts w:hint="eastAsia"/>
        </w:rPr>
        <w:t>項自84年全民健保開辦時2,518項，降至112年的837項，</w:t>
      </w:r>
      <w:proofErr w:type="gramStart"/>
      <w:r w:rsidR="00452403" w:rsidRPr="00953E18">
        <w:rPr>
          <w:rFonts w:hint="eastAsia"/>
        </w:rPr>
        <w:t>然近5</w:t>
      </w:r>
      <w:proofErr w:type="gramEnd"/>
      <w:r w:rsidR="00452403" w:rsidRPr="00953E18">
        <w:rPr>
          <w:rFonts w:hint="eastAsia"/>
        </w:rPr>
        <w:t>年指示用藥支出費用仍有高達16億7,000萬餘元之情形，</w:t>
      </w:r>
      <w:r w:rsidR="00030E6B" w:rsidRPr="00953E18">
        <w:rPr>
          <w:rFonts w:hint="eastAsia"/>
        </w:rPr>
        <w:t>指示用藥</w:t>
      </w:r>
      <w:r w:rsidR="00452403" w:rsidRPr="00953E18">
        <w:rPr>
          <w:rFonts w:hint="eastAsia"/>
        </w:rPr>
        <w:t>占藥品支出總費用比率</w:t>
      </w:r>
      <w:r w:rsidR="0024747D" w:rsidRPr="00953E18">
        <w:rPr>
          <w:rFonts w:hint="eastAsia"/>
        </w:rPr>
        <w:t>亦</w:t>
      </w:r>
      <w:r w:rsidR="00452403" w:rsidRPr="00953E18">
        <w:rPr>
          <w:rFonts w:hint="eastAsia"/>
        </w:rPr>
        <w:t>未明顯呈逐年下降趨勢，健保署應正視並檢討改善，以符合依法行政原則</w:t>
      </w:r>
      <w:r w:rsidR="00A24840" w:rsidRPr="00953E18">
        <w:rPr>
          <w:rFonts w:hint="eastAsia"/>
        </w:rPr>
        <w:t>。</w:t>
      </w:r>
      <w:bookmarkEnd w:id="1"/>
    </w:p>
    <w:p w:rsidR="00860455" w:rsidRDefault="00860455" w:rsidP="0095759C">
      <w:pPr>
        <w:pStyle w:val="3"/>
        <w:numPr>
          <w:ilvl w:val="0"/>
          <w:numId w:val="0"/>
        </w:numPr>
      </w:pPr>
    </w:p>
    <w:p w:rsidR="00860455" w:rsidRPr="00953E18" w:rsidRDefault="00860455" w:rsidP="0095759C">
      <w:pPr>
        <w:pStyle w:val="3"/>
        <w:numPr>
          <w:ilvl w:val="0"/>
          <w:numId w:val="0"/>
        </w:numPr>
        <w:sectPr w:rsidR="00860455" w:rsidRPr="00953E18" w:rsidSect="00F4708C">
          <w:footerReference w:type="default" r:id="rId9"/>
          <w:pgSz w:w="11907" w:h="16840" w:code="9"/>
          <w:pgMar w:top="1701" w:right="1418" w:bottom="1418" w:left="1418" w:header="851" w:footer="851" w:gutter="227"/>
          <w:cols w:space="425"/>
          <w:docGrid w:type="linesAndChars" w:linePitch="457" w:charSpace="4127"/>
        </w:sectPr>
      </w:pPr>
    </w:p>
    <w:p w:rsidR="0095759C" w:rsidRPr="00953E18" w:rsidRDefault="0095759C" w:rsidP="009B3C59">
      <w:pPr>
        <w:pStyle w:val="1"/>
        <w:numPr>
          <w:ilvl w:val="0"/>
          <w:numId w:val="10"/>
        </w:numPr>
        <w:ind w:left="426"/>
        <w:rPr>
          <w:b/>
        </w:rPr>
      </w:pPr>
      <w:r w:rsidRPr="00953E18">
        <w:rPr>
          <w:rFonts w:hint="eastAsia"/>
          <w:b/>
        </w:rPr>
        <w:lastRenderedPageBreak/>
        <w:t>處理辦法：</w:t>
      </w:r>
    </w:p>
    <w:p w:rsidR="0095759C" w:rsidRPr="00953E18" w:rsidRDefault="0095759C" w:rsidP="00D3775A">
      <w:pPr>
        <w:pStyle w:val="2"/>
        <w:numPr>
          <w:ilvl w:val="1"/>
          <w:numId w:val="30"/>
        </w:numPr>
        <w:ind w:left="1022" w:hanging="700"/>
      </w:pPr>
      <w:r w:rsidRPr="00953E18">
        <w:rPr>
          <w:rFonts w:hint="eastAsia"/>
        </w:rPr>
        <w:t>調查意見，函請衛生福利部</w:t>
      </w:r>
      <w:r w:rsidR="009100B4" w:rsidRPr="00953E18">
        <w:rPr>
          <w:rFonts w:hint="eastAsia"/>
        </w:rPr>
        <w:t>督</w:t>
      </w:r>
      <w:r w:rsidR="00C14E74" w:rsidRPr="00953E18">
        <w:rPr>
          <w:rFonts w:hint="eastAsia"/>
        </w:rPr>
        <w:t>促</w:t>
      </w:r>
      <w:r w:rsidR="009100B4" w:rsidRPr="00953E18">
        <w:rPr>
          <w:rFonts w:hint="eastAsia"/>
        </w:rPr>
        <w:t>食品藥物管理署</w:t>
      </w:r>
      <w:r w:rsidR="00C14E74" w:rsidRPr="00953E18">
        <w:rPr>
          <w:rFonts w:hint="eastAsia"/>
        </w:rPr>
        <w:t>及中央健康</w:t>
      </w:r>
      <w:proofErr w:type="gramStart"/>
      <w:r w:rsidR="00C14E74" w:rsidRPr="00953E18">
        <w:rPr>
          <w:rFonts w:hint="eastAsia"/>
        </w:rPr>
        <w:t>保險署</w:t>
      </w:r>
      <w:proofErr w:type="gramEnd"/>
      <w:r w:rsidRPr="00953E18">
        <w:rPr>
          <w:rFonts w:hint="eastAsia"/>
        </w:rPr>
        <w:t>檢討改進</w:t>
      </w:r>
      <w:proofErr w:type="gramStart"/>
      <w:r w:rsidRPr="00953E18">
        <w:rPr>
          <w:rFonts w:hint="eastAsia"/>
        </w:rPr>
        <w:t>見復</w:t>
      </w:r>
      <w:proofErr w:type="gramEnd"/>
      <w:r w:rsidRPr="00953E18">
        <w:rPr>
          <w:rFonts w:hint="eastAsia"/>
        </w:rPr>
        <w:t>。</w:t>
      </w:r>
    </w:p>
    <w:p w:rsidR="0095759C" w:rsidRPr="00953E18" w:rsidRDefault="0095759C" w:rsidP="0095759C">
      <w:pPr>
        <w:pStyle w:val="2"/>
        <w:numPr>
          <w:ilvl w:val="1"/>
          <w:numId w:val="1"/>
        </w:numPr>
        <w:ind w:left="1050" w:hanging="686"/>
      </w:pPr>
      <w:r w:rsidRPr="00953E18">
        <w:rPr>
          <w:rFonts w:hint="eastAsia"/>
        </w:rPr>
        <w:t>調查意見</w:t>
      </w:r>
      <w:r w:rsidR="004D4424" w:rsidRPr="00953E18">
        <w:rPr>
          <w:rFonts w:hint="eastAsia"/>
        </w:rPr>
        <w:t>(不含附表)</w:t>
      </w:r>
      <w:r w:rsidRPr="00953E18">
        <w:rPr>
          <w:rFonts w:hint="eastAsia"/>
        </w:rPr>
        <w:t>，經委員會討論通過後上網公布。</w:t>
      </w:r>
    </w:p>
    <w:p w:rsidR="0095759C" w:rsidRPr="00953E18" w:rsidRDefault="0095759C" w:rsidP="0095759C"/>
    <w:p w:rsidR="0095759C" w:rsidRPr="00953E18" w:rsidRDefault="0095759C" w:rsidP="00525E13">
      <w:pPr>
        <w:pStyle w:val="aa"/>
        <w:spacing w:beforeLines="50" w:before="228" w:afterLines="100" w:after="457"/>
        <w:ind w:leftChars="584" w:left="5395" w:hanging="3409"/>
        <w:jc w:val="left"/>
        <w:rPr>
          <w:b w:val="0"/>
          <w:bCs/>
          <w:snapToGrid/>
          <w:spacing w:val="12"/>
          <w:kern w:val="0"/>
        </w:rPr>
      </w:pPr>
      <w:r w:rsidRPr="00860455">
        <w:rPr>
          <w:rFonts w:hint="eastAsia"/>
          <w:b w:val="0"/>
          <w:bCs/>
          <w:snapToGrid/>
          <w:spacing w:val="0"/>
          <w:kern w:val="0"/>
          <w:sz w:val="40"/>
        </w:rPr>
        <w:t>調查委員：</w:t>
      </w:r>
      <w:r w:rsidR="00860455" w:rsidRPr="00860455">
        <w:rPr>
          <w:rFonts w:hint="eastAsia"/>
          <w:b w:val="0"/>
          <w:bCs/>
          <w:snapToGrid/>
          <w:spacing w:val="0"/>
          <w:kern w:val="0"/>
          <w:sz w:val="40"/>
        </w:rPr>
        <w:t>林國明</w:t>
      </w:r>
      <w:r w:rsidR="00860455" w:rsidRPr="00860455">
        <w:rPr>
          <w:rFonts w:hAnsi="標楷體" w:hint="eastAsia"/>
          <w:b w:val="0"/>
          <w:bCs/>
          <w:snapToGrid/>
          <w:spacing w:val="0"/>
          <w:kern w:val="0"/>
          <w:sz w:val="40"/>
        </w:rPr>
        <w:t>、</w:t>
      </w:r>
      <w:r w:rsidR="00860455" w:rsidRPr="00860455">
        <w:rPr>
          <w:rFonts w:hint="eastAsia"/>
          <w:b w:val="0"/>
          <w:bCs/>
          <w:snapToGrid/>
          <w:spacing w:val="0"/>
          <w:kern w:val="0"/>
          <w:sz w:val="40"/>
        </w:rPr>
        <w:t>蕭自佑</w:t>
      </w:r>
      <w:r w:rsidR="00860455" w:rsidRPr="00860455">
        <w:rPr>
          <w:rFonts w:hAnsi="標楷體" w:hint="eastAsia"/>
          <w:b w:val="0"/>
          <w:bCs/>
          <w:snapToGrid/>
          <w:spacing w:val="0"/>
          <w:kern w:val="0"/>
          <w:sz w:val="40"/>
        </w:rPr>
        <w:t>、</w:t>
      </w:r>
      <w:r w:rsidR="00860455" w:rsidRPr="00860455">
        <w:rPr>
          <w:rFonts w:hint="eastAsia"/>
          <w:b w:val="0"/>
          <w:bCs/>
          <w:snapToGrid/>
          <w:spacing w:val="0"/>
          <w:kern w:val="0"/>
          <w:sz w:val="40"/>
        </w:rPr>
        <w:t>趙永清</w:t>
      </w:r>
      <w:bookmarkEnd w:id="0"/>
    </w:p>
    <w:sectPr w:rsidR="0095759C" w:rsidRPr="00953E18" w:rsidSect="0086045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36B" w:rsidRDefault="00E3236B">
      <w:r>
        <w:separator/>
      </w:r>
    </w:p>
  </w:endnote>
  <w:endnote w:type="continuationSeparator" w:id="0">
    <w:p w:rsidR="00E3236B" w:rsidRDefault="00E3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3B5" w:rsidRDefault="006A43B5">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42</w:t>
    </w:r>
    <w:r>
      <w:rPr>
        <w:rStyle w:val="ae"/>
        <w:sz w:val="24"/>
      </w:rPr>
      <w:fldChar w:fldCharType="end"/>
    </w:r>
  </w:p>
  <w:p w:rsidR="006A43B5" w:rsidRDefault="006A43B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36B" w:rsidRDefault="00E3236B">
      <w:r>
        <w:separator/>
      </w:r>
    </w:p>
  </w:footnote>
  <w:footnote w:type="continuationSeparator" w:id="0">
    <w:p w:rsidR="00E3236B" w:rsidRDefault="00E3236B">
      <w:r>
        <w:continuationSeparator/>
      </w:r>
    </w:p>
  </w:footnote>
  <w:footnote w:id="1">
    <w:p w:rsidR="006A43B5" w:rsidRPr="00953E18" w:rsidRDefault="006A43B5">
      <w:pPr>
        <w:pStyle w:val="aff1"/>
      </w:pPr>
      <w:r w:rsidRPr="00953E18">
        <w:rPr>
          <w:rStyle w:val="aff3"/>
        </w:rPr>
        <w:footnoteRef/>
      </w:r>
      <w:r w:rsidRPr="00953E18">
        <w:t xml:space="preserve"> </w:t>
      </w:r>
      <w:r w:rsidRPr="00953E18">
        <w:rPr>
          <w:rFonts w:hint="eastAsia"/>
        </w:rPr>
        <w:t>司法院108年11月29日院台大二字第1080032005號</w:t>
      </w:r>
      <w:r w:rsidR="00816558" w:rsidRPr="00953E18">
        <w:rPr>
          <w:rFonts w:hint="eastAsia"/>
        </w:rPr>
        <w:t>令</w:t>
      </w:r>
      <w:r w:rsidRPr="00953E18">
        <w:rPr>
          <w:rFonts w:hint="eastAsia"/>
        </w:rPr>
        <w:t>。</w:t>
      </w:r>
    </w:p>
  </w:footnote>
  <w:footnote w:id="2">
    <w:p w:rsidR="006A43B5" w:rsidRPr="00953E18" w:rsidRDefault="006A43B5">
      <w:pPr>
        <w:pStyle w:val="aff1"/>
      </w:pPr>
      <w:r w:rsidRPr="00953E18">
        <w:rPr>
          <w:rStyle w:val="aff3"/>
        </w:rPr>
        <w:footnoteRef/>
      </w:r>
      <w:r w:rsidRPr="00953E18">
        <w:t xml:space="preserve"> </w:t>
      </w:r>
      <w:r w:rsidRPr="00953E18">
        <w:rPr>
          <w:rFonts w:hint="eastAsia"/>
        </w:rPr>
        <w:t>司法院106年10月06日院台大二字第1060026835號</w:t>
      </w:r>
      <w:r w:rsidR="00816558" w:rsidRPr="00953E18">
        <w:rPr>
          <w:rFonts w:hint="eastAsia"/>
        </w:rPr>
        <w:t>令</w:t>
      </w:r>
      <w:r w:rsidRPr="00953E18">
        <w:rPr>
          <w:rFonts w:hint="eastAsia"/>
        </w:rPr>
        <w:t>；107年07月27日院台大二字第1070020895號令。</w:t>
      </w:r>
    </w:p>
  </w:footnote>
  <w:footnote w:id="3">
    <w:p w:rsidR="006A43B5" w:rsidRPr="00953E18" w:rsidRDefault="006A43B5">
      <w:pPr>
        <w:pStyle w:val="aff1"/>
      </w:pPr>
      <w:r w:rsidRPr="00953E18">
        <w:rPr>
          <w:rStyle w:val="aff3"/>
        </w:rPr>
        <w:footnoteRef/>
      </w:r>
      <w:r w:rsidRPr="00953E18">
        <w:t xml:space="preserve"> </w:t>
      </w:r>
      <w:r w:rsidRPr="00953E18">
        <w:rPr>
          <w:rFonts w:hint="eastAsia"/>
        </w:rPr>
        <w:t>衛福</w:t>
      </w:r>
      <w:proofErr w:type="gramStart"/>
      <w:r w:rsidRPr="00953E18">
        <w:rPr>
          <w:rFonts w:hint="eastAsia"/>
        </w:rPr>
        <w:t>部於112</w:t>
      </w:r>
      <w:r w:rsidRPr="00953E18">
        <w:rPr>
          <w:rFonts w:hint="eastAsia"/>
        </w:rPr>
        <w:t>年4月21日衛授食字</w:t>
      </w:r>
      <w:proofErr w:type="gramEnd"/>
      <w:r w:rsidRPr="00953E18">
        <w:rPr>
          <w:rFonts w:hint="eastAsia"/>
        </w:rPr>
        <w:t>第1121403442號</w:t>
      </w:r>
      <w:proofErr w:type="gramStart"/>
      <w:r w:rsidRPr="00953E18">
        <w:rPr>
          <w:rFonts w:hint="eastAsia"/>
        </w:rPr>
        <w:t>函復本院</w:t>
      </w:r>
      <w:proofErr w:type="gramEnd"/>
      <w:r w:rsidRPr="00953E18">
        <w:rPr>
          <w:rFonts w:hint="eastAsia"/>
        </w:rPr>
        <w:t>相關說明，下同。</w:t>
      </w:r>
    </w:p>
  </w:footnote>
  <w:footnote w:id="4">
    <w:p w:rsidR="006A43B5" w:rsidRPr="00953E18" w:rsidRDefault="006A43B5">
      <w:pPr>
        <w:pStyle w:val="aff1"/>
      </w:pPr>
      <w:r w:rsidRPr="00953E18">
        <w:rPr>
          <w:rStyle w:val="aff3"/>
        </w:rPr>
        <w:footnoteRef/>
      </w:r>
      <w:r w:rsidRPr="00953E18">
        <w:t xml:space="preserve"> </w:t>
      </w:r>
      <w:proofErr w:type="gramStart"/>
      <w:r w:rsidRPr="00953E18">
        <w:rPr>
          <w:rFonts w:hint="eastAsia"/>
        </w:rPr>
        <w:t>衛福部於112</w:t>
      </w:r>
      <w:r w:rsidRPr="00953E18">
        <w:rPr>
          <w:rFonts w:hint="eastAsia"/>
        </w:rPr>
        <w:t>年8月1日</w:t>
      </w:r>
      <w:proofErr w:type="gramEnd"/>
      <w:r w:rsidRPr="00953E18">
        <w:rPr>
          <w:rFonts w:hint="eastAsia"/>
        </w:rPr>
        <w:t>提供約</w:t>
      </w:r>
      <w:proofErr w:type="gramStart"/>
      <w:r w:rsidRPr="00953E18">
        <w:rPr>
          <w:rFonts w:hint="eastAsia"/>
        </w:rPr>
        <w:t>詢</w:t>
      </w:r>
      <w:proofErr w:type="gramEnd"/>
      <w:r w:rsidRPr="00953E18">
        <w:rPr>
          <w:rFonts w:hint="eastAsia"/>
        </w:rPr>
        <w:t>說明資料，下同。</w:t>
      </w:r>
    </w:p>
  </w:footnote>
  <w:footnote w:id="5">
    <w:p w:rsidR="006A43B5" w:rsidRPr="00953E18" w:rsidRDefault="006A43B5" w:rsidP="007269A7">
      <w:pPr>
        <w:pStyle w:val="aff1"/>
      </w:pPr>
      <w:r w:rsidRPr="00953E18">
        <w:rPr>
          <w:rStyle w:val="aff3"/>
        </w:rPr>
        <w:footnoteRef/>
      </w:r>
      <w:r w:rsidRPr="00953E18">
        <w:t xml:space="preserve"> </w:t>
      </w:r>
      <w:r w:rsidRPr="00953E18">
        <w:rPr>
          <w:rFonts w:hint="eastAsia"/>
        </w:rPr>
        <w:t>PIC/S</w:t>
      </w:r>
      <w:r w:rsidRPr="00953E18">
        <w:rPr>
          <w:rFonts w:hint="eastAsia"/>
        </w:rPr>
        <w:t>是</w:t>
      </w:r>
      <w:r w:rsidRPr="00953E18">
        <w:t>Pharmaceutical Inspection Convention and Co-operation Scheme</w:t>
      </w:r>
      <w:r w:rsidRPr="00953E18">
        <w:rPr>
          <w:rFonts w:hint="eastAsia"/>
        </w:rPr>
        <w:t>的簡稱，國際醫藥品稽查協約組織是由各藥品GMP官方稽查機構組成，其成立宗旨為促進法規制度與稽查標準一致。</w:t>
      </w:r>
    </w:p>
  </w:footnote>
  <w:footnote w:id="6">
    <w:p w:rsidR="006A43B5" w:rsidRPr="00953E18" w:rsidRDefault="006A43B5" w:rsidP="005A7FBC">
      <w:pPr>
        <w:pStyle w:val="aff1"/>
      </w:pPr>
      <w:r w:rsidRPr="00953E18">
        <w:rPr>
          <w:rStyle w:val="aff3"/>
        </w:rPr>
        <w:footnoteRef/>
      </w:r>
      <w:r w:rsidRPr="00953E18">
        <w:t xml:space="preserve"> </w:t>
      </w:r>
      <w:r w:rsidRPr="00953E18">
        <w:rPr>
          <w:rFonts w:hint="eastAsia"/>
        </w:rPr>
        <w:t>資料來源：衛福部新聞/</w:t>
      </w:r>
      <w:r w:rsidRPr="00953E18">
        <w:rPr>
          <w:rFonts w:hint="eastAsia"/>
        </w:rPr>
        <w:t>國產製藥品質暨學名藥推廣成果，查詢日期：112年10月3日，網址：</w:t>
      </w:r>
      <w:hyperlink r:id="rId1" w:history="1">
        <w:r w:rsidRPr="00953E18">
          <w:rPr>
            <w:rStyle w:val="af1"/>
            <w:color w:val="auto"/>
            <w:u w:val="none"/>
          </w:rPr>
          <w:t>https://www.mohw.gov.tw/cp-4625-56838-1.html</w:t>
        </w:r>
      </w:hyperlink>
      <w:r w:rsidRPr="00953E18">
        <w:rPr>
          <w:rFonts w:hint="eastAsia"/>
        </w:rPr>
        <w:t>，及經濟部統計處/產業經濟統計簡訊，查詢日期：112年10月3日，網址：</w:t>
      </w:r>
      <w:hyperlink r:id="rId2" w:history="1">
        <w:r w:rsidRPr="00953E18">
          <w:rPr>
            <w:rStyle w:val="af1"/>
            <w:color w:val="auto"/>
            <w:u w:val="none"/>
          </w:rPr>
          <w:t>https://www.moea.gov.tw/Mns/dos/bulletin/Bulletin.aspx?kind=9&amp;html=1&amp;menu_id=18808&amp;bull_id=9989</w:t>
        </w:r>
      </w:hyperlink>
      <w:r w:rsidRPr="00953E18">
        <w:rPr>
          <w:rFonts w:hint="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216A"/>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C80A05"/>
    <w:multiLevelType w:val="hybridMultilevel"/>
    <w:tmpl w:val="168A28A8"/>
    <w:lvl w:ilvl="0" w:tplc="8724EE64">
      <w:start w:val="1"/>
      <w:numFmt w:val="decimal"/>
      <w:lvlText w:val="表%1、"/>
      <w:lvlJc w:val="left"/>
      <w:pPr>
        <w:ind w:left="480" w:hanging="480"/>
      </w:pPr>
      <w:rPr>
        <w:rFonts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7E635B"/>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5C7D35"/>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44D612E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67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28"/>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5B2B3F"/>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9773A7"/>
    <w:multiLevelType w:val="hybridMultilevel"/>
    <w:tmpl w:val="FBE882F0"/>
    <w:lvl w:ilvl="0" w:tplc="BF3857AA">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1D2365"/>
    <w:multiLevelType w:val="hybridMultilevel"/>
    <w:tmpl w:val="66FA15A4"/>
    <w:lvl w:ilvl="0" w:tplc="F28448D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0" w15:restartNumberingAfterBreak="0">
    <w:nsid w:val="36A646F6"/>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2960A0"/>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2E026D"/>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497807"/>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62433C"/>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87678F"/>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19C04C4"/>
    <w:multiLevelType w:val="hybridMultilevel"/>
    <w:tmpl w:val="FBE882F0"/>
    <w:lvl w:ilvl="0" w:tplc="BF3857AA">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691E76"/>
    <w:multiLevelType w:val="hybridMultilevel"/>
    <w:tmpl w:val="A7BAF7D6"/>
    <w:lvl w:ilvl="0" w:tplc="E57A0CB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2" w15:restartNumberingAfterBreak="0">
    <w:nsid w:val="588E08A8"/>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30557C"/>
    <w:multiLevelType w:val="hybridMultilevel"/>
    <w:tmpl w:val="88B635A4"/>
    <w:lvl w:ilvl="0" w:tplc="28B8800A">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F859AB"/>
    <w:multiLevelType w:val="hybridMultilevel"/>
    <w:tmpl w:val="A7BAF7D6"/>
    <w:lvl w:ilvl="0" w:tplc="E57A0CB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5" w15:restartNumberingAfterBreak="0">
    <w:nsid w:val="6116523A"/>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FC3560"/>
    <w:multiLevelType w:val="hybridMultilevel"/>
    <w:tmpl w:val="A7BAF7D6"/>
    <w:lvl w:ilvl="0" w:tplc="E57A0CB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7" w15:restartNumberingAfterBreak="0">
    <w:nsid w:val="632B23C4"/>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135FAD"/>
    <w:multiLevelType w:val="hybridMultilevel"/>
    <w:tmpl w:val="A7BAF7D6"/>
    <w:lvl w:ilvl="0" w:tplc="E57A0CB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9" w15:restartNumberingAfterBreak="0">
    <w:nsid w:val="669817E5"/>
    <w:multiLevelType w:val="hybridMultilevel"/>
    <w:tmpl w:val="A7BAF7D6"/>
    <w:lvl w:ilvl="0" w:tplc="E57A0CB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DFB7C2C"/>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B23C78"/>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9457D4"/>
    <w:multiLevelType w:val="hybridMultilevel"/>
    <w:tmpl w:val="BD5603D6"/>
    <w:lvl w:ilvl="0" w:tplc="88406C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9370B7"/>
    <w:multiLevelType w:val="hybridMultilevel"/>
    <w:tmpl w:val="2470629E"/>
    <w:lvl w:ilvl="0" w:tplc="BC16233A">
      <w:start w:val="1"/>
      <w:numFmt w:val="decimal"/>
      <w:pStyle w:val="a5"/>
      <w:lvlText w:val="表%1  "/>
      <w:lvlJc w:val="left"/>
      <w:pPr>
        <w:ind w:left="303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
  </w:num>
  <w:num w:numId="4">
    <w:abstractNumId w:val="11"/>
  </w:num>
  <w:num w:numId="5">
    <w:abstractNumId w:val="19"/>
  </w:num>
  <w:num w:numId="6">
    <w:abstractNumId w:val="5"/>
  </w:num>
  <w:num w:numId="7">
    <w:abstractNumId w:val="20"/>
  </w:num>
  <w:num w:numId="8">
    <w:abstractNumId w:val="14"/>
  </w:num>
  <w:num w:numId="9">
    <w:abstractNumId w:val="33"/>
  </w:num>
  <w:num w:numId="10">
    <w:abstractNumId w:val="23"/>
  </w:num>
  <w:num w:numId="11">
    <w:abstractNumId w:val="1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num>
  <w:num w:numId="18">
    <w:abstractNumId w:val="18"/>
    <w:lvlOverride w:ilvl="0">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6"/>
  </w:num>
  <w:num w:numId="36">
    <w:abstractNumId w:val="30"/>
  </w:num>
  <w:num w:numId="37">
    <w:abstractNumId w:val="12"/>
  </w:num>
  <w:num w:numId="38">
    <w:abstractNumId w:val="32"/>
  </w:num>
  <w:num w:numId="39">
    <w:abstractNumId w:val="15"/>
  </w:num>
  <w:num w:numId="40">
    <w:abstractNumId w:val="27"/>
  </w:num>
  <w:num w:numId="41">
    <w:abstractNumId w:val="10"/>
  </w:num>
  <w:num w:numId="42">
    <w:abstractNumId w:val="17"/>
  </w:num>
  <w:num w:numId="43">
    <w:abstractNumId w:val="22"/>
  </w:num>
  <w:num w:numId="44">
    <w:abstractNumId w:val="4"/>
  </w:num>
  <w:num w:numId="45">
    <w:abstractNumId w:val="0"/>
  </w:num>
  <w:num w:numId="46">
    <w:abstractNumId w:val="13"/>
  </w:num>
  <w:num w:numId="47">
    <w:abstractNumId w:val="9"/>
  </w:num>
  <w:num w:numId="48">
    <w:abstractNumId w:val="31"/>
  </w:num>
  <w:num w:numId="49">
    <w:abstractNumId w:val="2"/>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24"/>
  </w:num>
  <w:num w:numId="62">
    <w:abstractNumId w:val="26"/>
  </w:num>
  <w:num w:numId="63">
    <w:abstractNumId w:val="29"/>
  </w:num>
  <w:num w:numId="64">
    <w:abstractNumId w:val="21"/>
  </w:num>
  <w:num w:numId="65">
    <w:abstractNumId w:val="3"/>
  </w:num>
  <w:num w:numId="66">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47"/>
    <w:rsid w:val="00002105"/>
    <w:rsid w:val="00002B90"/>
    <w:rsid w:val="00003613"/>
    <w:rsid w:val="00004B15"/>
    <w:rsid w:val="000053E2"/>
    <w:rsid w:val="00006961"/>
    <w:rsid w:val="00006BE4"/>
    <w:rsid w:val="000112BF"/>
    <w:rsid w:val="00012233"/>
    <w:rsid w:val="000146D0"/>
    <w:rsid w:val="0001568A"/>
    <w:rsid w:val="000165D1"/>
    <w:rsid w:val="00017318"/>
    <w:rsid w:val="00017582"/>
    <w:rsid w:val="00017664"/>
    <w:rsid w:val="00021042"/>
    <w:rsid w:val="00021850"/>
    <w:rsid w:val="00022755"/>
    <w:rsid w:val="000229AD"/>
    <w:rsid w:val="00023727"/>
    <w:rsid w:val="00023D19"/>
    <w:rsid w:val="000246F7"/>
    <w:rsid w:val="00025137"/>
    <w:rsid w:val="00026FDE"/>
    <w:rsid w:val="00030E6B"/>
    <w:rsid w:val="00030FBB"/>
    <w:rsid w:val="0003114D"/>
    <w:rsid w:val="000317EE"/>
    <w:rsid w:val="00036D76"/>
    <w:rsid w:val="00044DEB"/>
    <w:rsid w:val="00045571"/>
    <w:rsid w:val="0004625F"/>
    <w:rsid w:val="000475A8"/>
    <w:rsid w:val="00052FDA"/>
    <w:rsid w:val="000534AB"/>
    <w:rsid w:val="00054096"/>
    <w:rsid w:val="00054FF6"/>
    <w:rsid w:val="0005672B"/>
    <w:rsid w:val="00057433"/>
    <w:rsid w:val="0005790D"/>
    <w:rsid w:val="00057F32"/>
    <w:rsid w:val="0006013E"/>
    <w:rsid w:val="00062A25"/>
    <w:rsid w:val="00062DA4"/>
    <w:rsid w:val="000655EE"/>
    <w:rsid w:val="000659C5"/>
    <w:rsid w:val="00065AA4"/>
    <w:rsid w:val="0006764F"/>
    <w:rsid w:val="00070FD6"/>
    <w:rsid w:val="00072F15"/>
    <w:rsid w:val="000735E3"/>
    <w:rsid w:val="00073CB5"/>
    <w:rsid w:val="0007425C"/>
    <w:rsid w:val="00077553"/>
    <w:rsid w:val="00077E61"/>
    <w:rsid w:val="00080DEC"/>
    <w:rsid w:val="000815F8"/>
    <w:rsid w:val="00082117"/>
    <w:rsid w:val="00082559"/>
    <w:rsid w:val="00083240"/>
    <w:rsid w:val="000851A2"/>
    <w:rsid w:val="00090408"/>
    <w:rsid w:val="00090C5A"/>
    <w:rsid w:val="000915A7"/>
    <w:rsid w:val="00091E27"/>
    <w:rsid w:val="00091F90"/>
    <w:rsid w:val="0009352E"/>
    <w:rsid w:val="00096B96"/>
    <w:rsid w:val="00097EC4"/>
    <w:rsid w:val="000A0341"/>
    <w:rsid w:val="000A0A44"/>
    <w:rsid w:val="000A0C2F"/>
    <w:rsid w:val="000A113B"/>
    <w:rsid w:val="000A2F3F"/>
    <w:rsid w:val="000A53D5"/>
    <w:rsid w:val="000A7F36"/>
    <w:rsid w:val="000B0B4A"/>
    <w:rsid w:val="000B193D"/>
    <w:rsid w:val="000B279A"/>
    <w:rsid w:val="000B5B87"/>
    <w:rsid w:val="000B61D2"/>
    <w:rsid w:val="000B70A7"/>
    <w:rsid w:val="000B73DD"/>
    <w:rsid w:val="000C02FE"/>
    <w:rsid w:val="000C0C8C"/>
    <w:rsid w:val="000C195F"/>
    <w:rsid w:val="000C272F"/>
    <w:rsid w:val="000C495F"/>
    <w:rsid w:val="000C4B9C"/>
    <w:rsid w:val="000D0820"/>
    <w:rsid w:val="000D61DD"/>
    <w:rsid w:val="000D6517"/>
    <w:rsid w:val="000D66D9"/>
    <w:rsid w:val="000E07B0"/>
    <w:rsid w:val="000E2E40"/>
    <w:rsid w:val="000E2EDE"/>
    <w:rsid w:val="000E6384"/>
    <w:rsid w:val="000E6431"/>
    <w:rsid w:val="000E754D"/>
    <w:rsid w:val="000E7FFC"/>
    <w:rsid w:val="000F0B93"/>
    <w:rsid w:val="000F0BF1"/>
    <w:rsid w:val="000F21A5"/>
    <w:rsid w:val="000F2FD7"/>
    <w:rsid w:val="000F3BB1"/>
    <w:rsid w:val="00100AD4"/>
    <w:rsid w:val="00102B9F"/>
    <w:rsid w:val="00102D97"/>
    <w:rsid w:val="001051A3"/>
    <w:rsid w:val="00106D65"/>
    <w:rsid w:val="00111865"/>
    <w:rsid w:val="00111A44"/>
    <w:rsid w:val="00112637"/>
    <w:rsid w:val="00112ABC"/>
    <w:rsid w:val="00114052"/>
    <w:rsid w:val="0012001E"/>
    <w:rsid w:val="00120E71"/>
    <w:rsid w:val="0012101F"/>
    <w:rsid w:val="00123A33"/>
    <w:rsid w:val="00125094"/>
    <w:rsid w:val="001257A2"/>
    <w:rsid w:val="00126106"/>
    <w:rsid w:val="00126549"/>
    <w:rsid w:val="00126A55"/>
    <w:rsid w:val="0013065E"/>
    <w:rsid w:val="00131873"/>
    <w:rsid w:val="00133F08"/>
    <w:rsid w:val="001340FF"/>
    <w:rsid w:val="001345E6"/>
    <w:rsid w:val="001357C3"/>
    <w:rsid w:val="00135E39"/>
    <w:rsid w:val="00136753"/>
    <w:rsid w:val="001378B0"/>
    <w:rsid w:val="001417BA"/>
    <w:rsid w:val="00142E00"/>
    <w:rsid w:val="00146073"/>
    <w:rsid w:val="00146DF8"/>
    <w:rsid w:val="00147665"/>
    <w:rsid w:val="00147D30"/>
    <w:rsid w:val="00150369"/>
    <w:rsid w:val="00152793"/>
    <w:rsid w:val="00153B7E"/>
    <w:rsid w:val="001545A9"/>
    <w:rsid w:val="00157196"/>
    <w:rsid w:val="001637C7"/>
    <w:rsid w:val="00164134"/>
    <w:rsid w:val="0016480E"/>
    <w:rsid w:val="00166563"/>
    <w:rsid w:val="00171074"/>
    <w:rsid w:val="00171875"/>
    <w:rsid w:val="00171AB7"/>
    <w:rsid w:val="00171E24"/>
    <w:rsid w:val="00171E84"/>
    <w:rsid w:val="00172433"/>
    <w:rsid w:val="00173112"/>
    <w:rsid w:val="00173CD2"/>
    <w:rsid w:val="00173F36"/>
    <w:rsid w:val="00174297"/>
    <w:rsid w:val="00177072"/>
    <w:rsid w:val="00177F6E"/>
    <w:rsid w:val="00180E06"/>
    <w:rsid w:val="001817B3"/>
    <w:rsid w:val="00182EC6"/>
    <w:rsid w:val="00182F40"/>
    <w:rsid w:val="00183014"/>
    <w:rsid w:val="00183F0A"/>
    <w:rsid w:val="00184D19"/>
    <w:rsid w:val="00185989"/>
    <w:rsid w:val="00185C57"/>
    <w:rsid w:val="00186002"/>
    <w:rsid w:val="00191531"/>
    <w:rsid w:val="001941D4"/>
    <w:rsid w:val="001949F0"/>
    <w:rsid w:val="001959C2"/>
    <w:rsid w:val="00195F28"/>
    <w:rsid w:val="001A0AB0"/>
    <w:rsid w:val="001A1032"/>
    <w:rsid w:val="001A419B"/>
    <w:rsid w:val="001A451B"/>
    <w:rsid w:val="001A51E3"/>
    <w:rsid w:val="001A532C"/>
    <w:rsid w:val="001A573C"/>
    <w:rsid w:val="001A5C2E"/>
    <w:rsid w:val="001A7968"/>
    <w:rsid w:val="001A796F"/>
    <w:rsid w:val="001B02A1"/>
    <w:rsid w:val="001B27F3"/>
    <w:rsid w:val="001B2E98"/>
    <w:rsid w:val="001B30F4"/>
    <w:rsid w:val="001B3483"/>
    <w:rsid w:val="001B3C1E"/>
    <w:rsid w:val="001B4494"/>
    <w:rsid w:val="001B5547"/>
    <w:rsid w:val="001B6E91"/>
    <w:rsid w:val="001B7387"/>
    <w:rsid w:val="001C0D8B"/>
    <w:rsid w:val="001C0DA8"/>
    <w:rsid w:val="001C1CD4"/>
    <w:rsid w:val="001C3C02"/>
    <w:rsid w:val="001C41A9"/>
    <w:rsid w:val="001C4BB4"/>
    <w:rsid w:val="001C5097"/>
    <w:rsid w:val="001C5646"/>
    <w:rsid w:val="001C5D3A"/>
    <w:rsid w:val="001D0D23"/>
    <w:rsid w:val="001D1BB8"/>
    <w:rsid w:val="001D395A"/>
    <w:rsid w:val="001D4AD7"/>
    <w:rsid w:val="001D578E"/>
    <w:rsid w:val="001D6D9C"/>
    <w:rsid w:val="001D7599"/>
    <w:rsid w:val="001E0A22"/>
    <w:rsid w:val="001E0D8A"/>
    <w:rsid w:val="001E39E1"/>
    <w:rsid w:val="001E4070"/>
    <w:rsid w:val="001E4DD2"/>
    <w:rsid w:val="001E5418"/>
    <w:rsid w:val="001E5BEC"/>
    <w:rsid w:val="001E67BA"/>
    <w:rsid w:val="001E70C1"/>
    <w:rsid w:val="001E74C2"/>
    <w:rsid w:val="001E78FF"/>
    <w:rsid w:val="001F0795"/>
    <w:rsid w:val="001F09A3"/>
    <w:rsid w:val="001F0AD2"/>
    <w:rsid w:val="001F3023"/>
    <w:rsid w:val="001F4F82"/>
    <w:rsid w:val="001F548F"/>
    <w:rsid w:val="001F5A48"/>
    <w:rsid w:val="001F6260"/>
    <w:rsid w:val="001F6E5F"/>
    <w:rsid w:val="001F7A03"/>
    <w:rsid w:val="00200007"/>
    <w:rsid w:val="002008A5"/>
    <w:rsid w:val="00201860"/>
    <w:rsid w:val="002030A5"/>
    <w:rsid w:val="00203131"/>
    <w:rsid w:val="002035BB"/>
    <w:rsid w:val="0020398E"/>
    <w:rsid w:val="0020608B"/>
    <w:rsid w:val="00207E1E"/>
    <w:rsid w:val="00211777"/>
    <w:rsid w:val="002119D5"/>
    <w:rsid w:val="00211E39"/>
    <w:rsid w:val="00212E88"/>
    <w:rsid w:val="00213C9C"/>
    <w:rsid w:val="0022009E"/>
    <w:rsid w:val="002215BF"/>
    <w:rsid w:val="00223241"/>
    <w:rsid w:val="0022425C"/>
    <w:rsid w:val="002246DE"/>
    <w:rsid w:val="00224912"/>
    <w:rsid w:val="0022674C"/>
    <w:rsid w:val="0022680E"/>
    <w:rsid w:val="00231FC2"/>
    <w:rsid w:val="002324B9"/>
    <w:rsid w:val="00232B1C"/>
    <w:rsid w:val="00233E66"/>
    <w:rsid w:val="00234529"/>
    <w:rsid w:val="00234C83"/>
    <w:rsid w:val="002359FF"/>
    <w:rsid w:val="00235BF9"/>
    <w:rsid w:val="002367C7"/>
    <w:rsid w:val="00237AC9"/>
    <w:rsid w:val="00240B2B"/>
    <w:rsid w:val="00240CE8"/>
    <w:rsid w:val="002429E2"/>
    <w:rsid w:val="00243CF9"/>
    <w:rsid w:val="0024709B"/>
    <w:rsid w:val="0024747D"/>
    <w:rsid w:val="00247AF3"/>
    <w:rsid w:val="00250867"/>
    <w:rsid w:val="00251530"/>
    <w:rsid w:val="00252BC4"/>
    <w:rsid w:val="00254014"/>
    <w:rsid w:val="00254B39"/>
    <w:rsid w:val="00255717"/>
    <w:rsid w:val="002577C8"/>
    <w:rsid w:val="00257F58"/>
    <w:rsid w:val="0026504D"/>
    <w:rsid w:val="00265C68"/>
    <w:rsid w:val="00265D31"/>
    <w:rsid w:val="00265DA5"/>
    <w:rsid w:val="00270801"/>
    <w:rsid w:val="0027128B"/>
    <w:rsid w:val="002712DD"/>
    <w:rsid w:val="00271DA6"/>
    <w:rsid w:val="0027222F"/>
    <w:rsid w:val="00273A2F"/>
    <w:rsid w:val="00276120"/>
    <w:rsid w:val="0027668F"/>
    <w:rsid w:val="00280986"/>
    <w:rsid w:val="00280E7E"/>
    <w:rsid w:val="00281ECE"/>
    <w:rsid w:val="002827FF"/>
    <w:rsid w:val="002831C7"/>
    <w:rsid w:val="002835D6"/>
    <w:rsid w:val="002840C6"/>
    <w:rsid w:val="002854D4"/>
    <w:rsid w:val="00286129"/>
    <w:rsid w:val="002864B6"/>
    <w:rsid w:val="00287993"/>
    <w:rsid w:val="00291BD4"/>
    <w:rsid w:val="00291DC1"/>
    <w:rsid w:val="0029205E"/>
    <w:rsid w:val="0029315A"/>
    <w:rsid w:val="00295174"/>
    <w:rsid w:val="00296172"/>
    <w:rsid w:val="002962AC"/>
    <w:rsid w:val="00296B92"/>
    <w:rsid w:val="002A029E"/>
    <w:rsid w:val="002A063F"/>
    <w:rsid w:val="002A0756"/>
    <w:rsid w:val="002A1CE5"/>
    <w:rsid w:val="002A2258"/>
    <w:rsid w:val="002A2C22"/>
    <w:rsid w:val="002A48B0"/>
    <w:rsid w:val="002B02EB"/>
    <w:rsid w:val="002B0411"/>
    <w:rsid w:val="002B07A1"/>
    <w:rsid w:val="002B2B42"/>
    <w:rsid w:val="002B60EC"/>
    <w:rsid w:val="002B7F55"/>
    <w:rsid w:val="002C0262"/>
    <w:rsid w:val="002C0602"/>
    <w:rsid w:val="002C3800"/>
    <w:rsid w:val="002C413B"/>
    <w:rsid w:val="002C4A05"/>
    <w:rsid w:val="002D1F72"/>
    <w:rsid w:val="002D20CA"/>
    <w:rsid w:val="002D3777"/>
    <w:rsid w:val="002D3B06"/>
    <w:rsid w:val="002D50B0"/>
    <w:rsid w:val="002D59B1"/>
    <w:rsid w:val="002D5C16"/>
    <w:rsid w:val="002D69E3"/>
    <w:rsid w:val="002D74BD"/>
    <w:rsid w:val="002E212F"/>
    <w:rsid w:val="002E2FA0"/>
    <w:rsid w:val="002E348D"/>
    <w:rsid w:val="002E3C7A"/>
    <w:rsid w:val="002E45A6"/>
    <w:rsid w:val="002E6A41"/>
    <w:rsid w:val="002F09F9"/>
    <w:rsid w:val="002F2387"/>
    <w:rsid w:val="002F2476"/>
    <w:rsid w:val="002F3CE8"/>
    <w:rsid w:val="002F3DFF"/>
    <w:rsid w:val="002F51B4"/>
    <w:rsid w:val="002F5E05"/>
    <w:rsid w:val="002F7F45"/>
    <w:rsid w:val="00300AEA"/>
    <w:rsid w:val="00301B5A"/>
    <w:rsid w:val="00302593"/>
    <w:rsid w:val="0030347B"/>
    <w:rsid w:val="0030513B"/>
    <w:rsid w:val="003059AF"/>
    <w:rsid w:val="00307A76"/>
    <w:rsid w:val="003102E6"/>
    <w:rsid w:val="00311A47"/>
    <w:rsid w:val="0031455E"/>
    <w:rsid w:val="003151D6"/>
    <w:rsid w:val="00315A16"/>
    <w:rsid w:val="00317053"/>
    <w:rsid w:val="0032109C"/>
    <w:rsid w:val="00321898"/>
    <w:rsid w:val="0032261D"/>
    <w:rsid w:val="00322B45"/>
    <w:rsid w:val="00323809"/>
    <w:rsid w:val="00323D41"/>
    <w:rsid w:val="00325414"/>
    <w:rsid w:val="00326257"/>
    <w:rsid w:val="003302F1"/>
    <w:rsid w:val="00331815"/>
    <w:rsid w:val="00331DEB"/>
    <w:rsid w:val="003320DD"/>
    <w:rsid w:val="00335BAB"/>
    <w:rsid w:val="00335F13"/>
    <w:rsid w:val="00336A76"/>
    <w:rsid w:val="003377A8"/>
    <w:rsid w:val="00341150"/>
    <w:rsid w:val="0034193F"/>
    <w:rsid w:val="00343505"/>
    <w:rsid w:val="003443A5"/>
    <w:rsid w:val="0034470E"/>
    <w:rsid w:val="00346E85"/>
    <w:rsid w:val="00346F55"/>
    <w:rsid w:val="00351347"/>
    <w:rsid w:val="00352DB0"/>
    <w:rsid w:val="00354CED"/>
    <w:rsid w:val="00354E89"/>
    <w:rsid w:val="00356D5E"/>
    <w:rsid w:val="00361063"/>
    <w:rsid w:val="00366081"/>
    <w:rsid w:val="003704BD"/>
    <w:rsid w:val="0037094A"/>
    <w:rsid w:val="00371ED3"/>
    <w:rsid w:val="00372659"/>
    <w:rsid w:val="00372BD3"/>
    <w:rsid w:val="00372FFC"/>
    <w:rsid w:val="00376AC3"/>
    <w:rsid w:val="0037728A"/>
    <w:rsid w:val="00380287"/>
    <w:rsid w:val="00380B7D"/>
    <w:rsid w:val="00381A99"/>
    <w:rsid w:val="003824C0"/>
    <w:rsid w:val="003829C2"/>
    <w:rsid w:val="003830B2"/>
    <w:rsid w:val="00383104"/>
    <w:rsid w:val="00384724"/>
    <w:rsid w:val="00387402"/>
    <w:rsid w:val="003913CD"/>
    <w:rsid w:val="003919B7"/>
    <w:rsid w:val="00391D57"/>
    <w:rsid w:val="00391ED6"/>
    <w:rsid w:val="00392292"/>
    <w:rsid w:val="00393736"/>
    <w:rsid w:val="00394108"/>
    <w:rsid w:val="00394F45"/>
    <w:rsid w:val="00395A33"/>
    <w:rsid w:val="00396353"/>
    <w:rsid w:val="003A02CF"/>
    <w:rsid w:val="003A15BC"/>
    <w:rsid w:val="003A1AB7"/>
    <w:rsid w:val="003A36FF"/>
    <w:rsid w:val="003A473E"/>
    <w:rsid w:val="003A5927"/>
    <w:rsid w:val="003A7BA2"/>
    <w:rsid w:val="003B07F0"/>
    <w:rsid w:val="003B0D68"/>
    <w:rsid w:val="003B1017"/>
    <w:rsid w:val="003B3C07"/>
    <w:rsid w:val="003B5737"/>
    <w:rsid w:val="003B5D0D"/>
    <w:rsid w:val="003B6081"/>
    <w:rsid w:val="003B6775"/>
    <w:rsid w:val="003C0D48"/>
    <w:rsid w:val="003C24A8"/>
    <w:rsid w:val="003C2510"/>
    <w:rsid w:val="003C254C"/>
    <w:rsid w:val="003C25A7"/>
    <w:rsid w:val="003C349E"/>
    <w:rsid w:val="003C3798"/>
    <w:rsid w:val="003C5FE2"/>
    <w:rsid w:val="003D05FB"/>
    <w:rsid w:val="003D179B"/>
    <w:rsid w:val="003D1B16"/>
    <w:rsid w:val="003D20DB"/>
    <w:rsid w:val="003D3681"/>
    <w:rsid w:val="003D45BF"/>
    <w:rsid w:val="003D508A"/>
    <w:rsid w:val="003D537F"/>
    <w:rsid w:val="003D6EAB"/>
    <w:rsid w:val="003D7B75"/>
    <w:rsid w:val="003E0208"/>
    <w:rsid w:val="003E26BB"/>
    <w:rsid w:val="003E4B57"/>
    <w:rsid w:val="003E7214"/>
    <w:rsid w:val="003E7EFE"/>
    <w:rsid w:val="003F27E1"/>
    <w:rsid w:val="003F37AF"/>
    <w:rsid w:val="003F3F7A"/>
    <w:rsid w:val="003F437A"/>
    <w:rsid w:val="003F5C2B"/>
    <w:rsid w:val="003F6115"/>
    <w:rsid w:val="003F61B3"/>
    <w:rsid w:val="0040196E"/>
    <w:rsid w:val="00402240"/>
    <w:rsid w:val="004023E9"/>
    <w:rsid w:val="0040399E"/>
    <w:rsid w:val="0040454A"/>
    <w:rsid w:val="00410895"/>
    <w:rsid w:val="00410968"/>
    <w:rsid w:val="00410CB2"/>
    <w:rsid w:val="00412696"/>
    <w:rsid w:val="004131B3"/>
    <w:rsid w:val="00413F83"/>
    <w:rsid w:val="004141E8"/>
    <w:rsid w:val="0041490C"/>
    <w:rsid w:val="00414B17"/>
    <w:rsid w:val="00416191"/>
    <w:rsid w:val="00416721"/>
    <w:rsid w:val="00416A55"/>
    <w:rsid w:val="00421EB9"/>
    <w:rsid w:val="00421EF0"/>
    <w:rsid w:val="004224FA"/>
    <w:rsid w:val="004238E3"/>
    <w:rsid w:val="00423D07"/>
    <w:rsid w:val="00424C6B"/>
    <w:rsid w:val="004252B1"/>
    <w:rsid w:val="00426FC5"/>
    <w:rsid w:val="00427936"/>
    <w:rsid w:val="00430644"/>
    <w:rsid w:val="00430CBB"/>
    <w:rsid w:val="0043626E"/>
    <w:rsid w:val="004366BB"/>
    <w:rsid w:val="0044346F"/>
    <w:rsid w:val="004443CD"/>
    <w:rsid w:val="004446D2"/>
    <w:rsid w:val="00445079"/>
    <w:rsid w:val="00452403"/>
    <w:rsid w:val="004531BD"/>
    <w:rsid w:val="00453624"/>
    <w:rsid w:val="00453C4A"/>
    <w:rsid w:val="00453FF6"/>
    <w:rsid w:val="00454124"/>
    <w:rsid w:val="00454C0D"/>
    <w:rsid w:val="004553E6"/>
    <w:rsid w:val="004558F1"/>
    <w:rsid w:val="00455B31"/>
    <w:rsid w:val="00461EE7"/>
    <w:rsid w:val="004621B0"/>
    <w:rsid w:val="00464411"/>
    <w:rsid w:val="0046520A"/>
    <w:rsid w:val="004672AB"/>
    <w:rsid w:val="00470861"/>
    <w:rsid w:val="004714FE"/>
    <w:rsid w:val="0047355F"/>
    <w:rsid w:val="00473D1F"/>
    <w:rsid w:val="004743CE"/>
    <w:rsid w:val="0047455B"/>
    <w:rsid w:val="00475A45"/>
    <w:rsid w:val="00477BAA"/>
    <w:rsid w:val="00481EE8"/>
    <w:rsid w:val="0048282F"/>
    <w:rsid w:val="0048366F"/>
    <w:rsid w:val="00485429"/>
    <w:rsid w:val="00491CFB"/>
    <w:rsid w:val="004923E8"/>
    <w:rsid w:val="00494375"/>
    <w:rsid w:val="00495053"/>
    <w:rsid w:val="004A1098"/>
    <w:rsid w:val="004A1F59"/>
    <w:rsid w:val="004A2311"/>
    <w:rsid w:val="004A29BE"/>
    <w:rsid w:val="004A3225"/>
    <w:rsid w:val="004A33EE"/>
    <w:rsid w:val="004A3AA8"/>
    <w:rsid w:val="004A3DE6"/>
    <w:rsid w:val="004A6D5E"/>
    <w:rsid w:val="004B13C7"/>
    <w:rsid w:val="004B15F9"/>
    <w:rsid w:val="004B2018"/>
    <w:rsid w:val="004B3B6C"/>
    <w:rsid w:val="004B3DEB"/>
    <w:rsid w:val="004B46E0"/>
    <w:rsid w:val="004B5FE9"/>
    <w:rsid w:val="004B6A29"/>
    <w:rsid w:val="004B778F"/>
    <w:rsid w:val="004B77FA"/>
    <w:rsid w:val="004C0609"/>
    <w:rsid w:val="004C1379"/>
    <w:rsid w:val="004C22EF"/>
    <w:rsid w:val="004C3C86"/>
    <w:rsid w:val="004C5D8D"/>
    <w:rsid w:val="004C639F"/>
    <w:rsid w:val="004C697E"/>
    <w:rsid w:val="004D0EA0"/>
    <w:rsid w:val="004D12F6"/>
    <w:rsid w:val="004D141F"/>
    <w:rsid w:val="004D213D"/>
    <w:rsid w:val="004D2198"/>
    <w:rsid w:val="004D2742"/>
    <w:rsid w:val="004D332C"/>
    <w:rsid w:val="004D369E"/>
    <w:rsid w:val="004D42DF"/>
    <w:rsid w:val="004D4424"/>
    <w:rsid w:val="004D4648"/>
    <w:rsid w:val="004D4E16"/>
    <w:rsid w:val="004D6310"/>
    <w:rsid w:val="004D6D1A"/>
    <w:rsid w:val="004D6DF9"/>
    <w:rsid w:val="004D7B54"/>
    <w:rsid w:val="004E0062"/>
    <w:rsid w:val="004E05A1"/>
    <w:rsid w:val="004E0E94"/>
    <w:rsid w:val="004E15EA"/>
    <w:rsid w:val="004E3FF3"/>
    <w:rsid w:val="004E71EC"/>
    <w:rsid w:val="004E7C71"/>
    <w:rsid w:val="004E7F21"/>
    <w:rsid w:val="004F02C4"/>
    <w:rsid w:val="004F1135"/>
    <w:rsid w:val="004F391C"/>
    <w:rsid w:val="004F472A"/>
    <w:rsid w:val="004F49FD"/>
    <w:rsid w:val="004F561A"/>
    <w:rsid w:val="004F5E57"/>
    <w:rsid w:val="004F61F9"/>
    <w:rsid w:val="004F6710"/>
    <w:rsid w:val="00500C3E"/>
    <w:rsid w:val="00502849"/>
    <w:rsid w:val="00504334"/>
    <w:rsid w:val="005046AD"/>
    <w:rsid w:val="0050498D"/>
    <w:rsid w:val="00504C2F"/>
    <w:rsid w:val="00505BDB"/>
    <w:rsid w:val="005104D7"/>
    <w:rsid w:val="00510B9E"/>
    <w:rsid w:val="00510E90"/>
    <w:rsid w:val="005119E4"/>
    <w:rsid w:val="00511F3F"/>
    <w:rsid w:val="00512656"/>
    <w:rsid w:val="00517172"/>
    <w:rsid w:val="00517C48"/>
    <w:rsid w:val="005212F7"/>
    <w:rsid w:val="00521E2E"/>
    <w:rsid w:val="00524A5A"/>
    <w:rsid w:val="00524FD4"/>
    <w:rsid w:val="00525E13"/>
    <w:rsid w:val="00526CD4"/>
    <w:rsid w:val="00534F4F"/>
    <w:rsid w:val="00534FEE"/>
    <w:rsid w:val="005357EA"/>
    <w:rsid w:val="0053657C"/>
    <w:rsid w:val="00536BC2"/>
    <w:rsid w:val="00537DD5"/>
    <w:rsid w:val="005425E1"/>
    <w:rsid w:val="0054266A"/>
    <w:rsid w:val="005427C5"/>
    <w:rsid w:val="00542CF6"/>
    <w:rsid w:val="0054423B"/>
    <w:rsid w:val="00545652"/>
    <w:rsid w:val="00545A71"/>
    <w:rsid w:val="00547C12"/>
    <w:rsid w:val="0055066C"/>
    <w:rsid w:val="00553C03"/>
    <w:rsid w:val="005547BA"/>
    <w:rsid w:val="00557DBD"/>
    <w:rsid w:val="00560DDA"/>
    <w:rsid w:val="005626C1"/>
    <w:rsid w:val="00562F71"/>
    <w:rsid w:val="00563692"/>
    <w:rsid w:val="00563D48"/>
    <w:rsid w:val="005678C6"/>
    <w:rsid w:val="00570680"/>
    <w:rsid w:val="00571679"/>
    <w:rsid w:val="00574505"/>
    <w:rsid w:val="005749E8"/>
    <w:rsid w:val="00575085"/>
    <w:rsid w:val="00575128"/>
    <w:rsid w:val="00576A60"/>
    <w:rsid w:val="00577938"/>
    <w:rsid w:val="005801A1"/>
    <w:rsid w:val="0058081A"/>
    <w:rsid w:val="0058404E"/>
    <w:rsid w:val="005841D8"/>
    <w:rsid w:val="00584235"/>
    <w:rsid w:val="005844E7"/>
    <w:rsid w:val="005861A3"/>
    <w:rsid w:val="00586BEF"/>
    <w:rsid w:val="00587BDC"/>
    <w:rsid w:val="005908B8"/>
    <w:rsid w:val="0059351E"/>
    <w:rsid w:val="0059512E"/>
    <w:rsid w:val="00595C41"/>
    <w:rsid w:val="00595CAE"/>
    <w:rsid w:val="005968E0"/>
    <w:rsid w:val="00596CA3"/>
    <w:rsid w:val="005977DF"/>
    <w:rsid w:val="005A13CA"/>
    <w:rsid w:val="005A5521"/>
    <w:rsid w:val="005A6DD2"/>
    <w:rsid w:val="005A7627"/>
    <w:rsid w:val="005A7FBC"/>
    <w:rsid w:val="005B0339"/>
    <w:rsid w:val="005B2BCA"/>
    <w:rsid w:val="005B2F93"/>
    <w:rsid w:val="005B3F82"/>
    <w:rsid w:val="005B5194"/>
    <w:rsid w:val="005B61F6"/>
    <w:rsid w:val="005B6891"/>
    <w:rsid w:val="005C0797"/>
    <w:rsid w:val="005C1796"/>
    <w:rsid w:val="005C385D"/>
    <w:rsid w:val="005C643C"/>
    <w:rsid w:val="005C649E"/>
    <w:rsid w:val="005C7802"/>
    <w:rsid w:val="005C78BF"/>
    <w:rsid w:val="005D0E63"/>
    <w:rsid w:val="005D0FEF"/>
    <w:rsid w:val="005D17A0"/>
    <w:rsid w:val="005D28EC"/>
    <w:rsid w:val="005D311A"/>
    <w:rsid w:val="005D3B20"/>
    <w:rsid w:val="005D71B7"/>
    <w:rsid w:val="005E26C7"/>
    <w:rsid w:val="005E2BC1"/>
    <w:rsid w:val="005E2E57"/>
    <w:rsid w:val="005E4759"/>
    <w:rsid w:val="005E5C68"/>
    <w:rsid w:val="005E65C0"/>
    <w:rsid w:val="005E71EE"/>
    <w:rsid w:val="005E7627"/>
    <w:rsid w:val="005E7906"/>
    <w:rsid w:val="005F0390"/>
    <w:rsid w:val="005F189F"/>
    <w:rsid w:val="005F1C5C"/>
    <w:rsid w:val="005F2D3B"/>
    <w:rsid w:val="005F5A11"/>
    <w:rsid w:val="00602A6C"/>
    <w:rsid w:val="006052C0"/>
    <w:rsid w:val="006072CD"/>
    <w:rsid w:val="00610119"/>
    <w:rsid w:val="006108BA"/>
    <w:rsid w:val="00610CD6"/>
    <w:rsid w:val="00610E33"/>
    <w:rsid w:val="006111F4"/>
    <w:rsid w:val="00612023"/>
    <w:rsid w:val="006120E9"/>
    <w:rsid w:val="00612EC5"/>
    <w:rsid w:val="00613646"/>
    <w:rsid w:val="00614190"/>
    <w:rsid w:val="00622A99"/>
    <w:rsid w:val="00622E67"/>
    <w:rsid w:val="00625714"/>
    <w:rsid w:val="00626B57"/>
    <w:rsid w:val="00626C18"/>
    <w:rsid w:val="00626EDC"/>
    <w:rsid w:val="0062742C"/>
    <w:rsid w:val="00630B1A"/>
    <w:rsid w:val="006311FE"/>
    <w:rsid w:val="006319C7"/>
    <w:rsid w:val="00633146"/>
    <w:rsid w:val="00633B24"/>
    <w:rsid w:val="00642160"/>
    <w:rsid w:val="00642625"/>
    <w:rsid w:val="00642CCD"/>
    <w:rsid w:val="006452D3"/>
    <w:rsid w:val="006470EC"/>
    <w:rsid w:val="00653321"/>
    <w:rsid w:val="006542D6"/>
    <w:rsid w:val="0065598E"/>
    <w:rsid w:val="00655AF2"/>
    <w:rsid w:val="00655BC5"/>
    <w:rsid w:val="006568BE"/>
    <w:rsid w:val="006573C0"/>
    <w:rsid w:val="0066025D"/>
    <w:rsid w:val="0066091A"/>
    <w:rsid w:val="00661F5C"/>
    <w:rsid w:val="00662105"/>
    <w:rsid w:val="00671562"/>
    <w:rsid w:val="0067284D"/>
    <w:rsid w:val="00672A50"/>
    <w:rsid w:val="00672C4D"/>
    <w:rsid w:val="00673C6C"/>
    <w:rsid w:val="00673DA6"/>
    <w:rsid w:val="00673E33"/>
    <w:rsid w:val="006751AA"/>
    <w:rsid w:val="00675EA1"/>
    <w:rsid w:val="006770A8"/>
    <w:rsid w:val="006773EC"/>
    <w:rsid w:val="00677FA5"/>
    <w:rsid w:val="006804B7"/>
    <w:rsid w:val="00680504"/>
    <w:rsid w:val="00680A07"/>
    <w:rsid w:val="006813A5"/>
    <w:rsid w:val="00681CD9"/>
    <w:rsid w:val="00683E30"/>
    <w:rsid w:val="00684852"/>
    <w:rsid w:val="00686E93"/>
    <w:rsid w:val="00687024"/>
    <w:rsid w:val="0069045D"/>
    <w:rsid w:val="0069225E"/>
    <w:rsid w:val="006943BA"/>
    <w:rsid w:val="00694603"/>
    <w:rsid w:val="006949B3"/>
    <w:rsid w:val="00694D8E"/>
    <w:rsid w:val="00695E22"/>
    <w:rsid w:val="006A055F"/>
    <w:rsid w:val="006A1678"/>
    <w:rsid w:val="006A2746"/>
    <w:rsid w:val="006A43B5"/>
    <w:rsid w:val="006A7455"/>
    <w:rsid w:val="006B0FAA"/>
    <w:rsid w:val="006B1FB4"/>
    <w:rsid w:val="006B2E3F"/>
    <w:rsid w:val="006B6453"/>
    <w:rsid w:val="006B7093"/>
    <w:rsid w:val="006B7417"/>
    <w:rsid w:val="006B7637"/>
    <w:rsid w:val="006B7869"/>
    <w:rsid w:val="006C1FF0"/>
    <w:rsid w:val="006C2852"/>
    <w:rsid w:val="006C39EA"/>
    <w:rsid w:val="006C7495"/>
    <w:rsid w:val="006D31F9"/>
    <w:rsid w:val="006D3691"/>
    <w:rsid w:val="006D3B50"/>
    <w:rsid w:val="006D646D"/>
    <w:rsid w:val="006E19F9"/>
    <w:rsid w:val="006E4259"/>
    <w:rsid w:val="006E5EF0"/>
    <w:rsid w:val="006E6031"/>
    <w:rsid w:val="006E6A1B"/>
    <w:rsid w:val="006E7283"/>
    <w:rsid w:val="006E728C"/>
    <w:rsid w:val="006F0127"/>
    <w:rsid w:val="006F1118"/>
    <w:rsid w:val="006F3563"/>
    <w:rsid w:val="006F42B9"/>
    <w:rsid w:val="006F4E7A"/>
    <w:rsid w:val="006F6103"/>
    <w:rsid w:val="00704E00"/>
    <w:rsid w:val="007061BB"/>
    <w:rsid w:val="007149E9"/>
    <w:rsid w:val="00717166"/>
    <w:rsid w:val="007209E7"/>
    <w:rsid w:val="00720EC3"/>
    <w:rsid w:val="007236F7"/>
    <w:rsid w:val="00723CE4"/>
    <w:rsid w:val="00725626"/>
    <w:rsid w:val="00726182"/>
    <w:rsid w:val="007262B5"/>
    <w:rsid w:val="007269A7"/>
    <w:rsid w:val="00727635"/>
    <w:rsid w:val="00727BF0"/>
    <w:rsid w:val="00730074"/>
    <w:rsid w:val="00730603"/>
    <w:rsid w:val="007314B2"/>
    <w:rsid w:val="00732329"/>
    <w:rsid w:val="007337CA"/>
    <w:rsid w:val="00734CE4"/>
    <w:rsid w:val="00735123"/>
    <w:rsid w:val="00735852"/>
    <w:rsid w:val="00736DB3"/>
    <w:rsid w:val="0074060F"/>
    <w:rsid w:val="00740A4F"/>
    <w:rsid w:val="00741837"/>
    <w:rsid w:val="00741904"/>
    <w:rsid w:val="007444B9"/>
    <w:rsid w:val="00744A08"/>
    <w:rsid w:val="007453E6"/>
    <w:rsid w:val="007457EE"/>
    <w:rsid w:val="00750CCD"/>
    <w:rsid w:val="00751A9F"/>
    <w:rsid w:val="007536FE"/>
    <w:rsid w:val="00753BA1"/>
    <w:rsid w:val="00754789"/>
    <w:rsid w:val="00760600"/>
    <w:rsid w:val="0076152C"/>
    <w:rsid w:val="0076249B"/>
    <w:rsid w:val="0076781E"/>
    <w:rsid w:val="00770453"/>
    <w:rsid w:val="0077162B"/>
    <w:rsid w:val="00772AC3"/>
    <w:rsid w:val="0077309D"/>
    <w:rsid w:val="007732A3"/>
    <w:rsid w:val="00775074"/>
    <w:rsid w:val="00776F1D"/>
    <w:rsid w:val="007774EE"/>
    <w:rsid w:val="007808B3"/>
    <w:rsid w:val="007809C6"/>
    <w:rsid w:val="00781822"/>
    <w:rsid w:val="00783254"/>
    <w:rsid w:val="00783438"/>
    <w:rsid w:val="00783F21"/>
    <w:rsid w:val="00784C97"/>
    <w:rsid w:val="00786AE0"/>
    <w:rsid w:val="00787159"/>
    <w:rsid w:val="0079043A"/>
    <w:rsid w:val="00790D11"/>
    <w:rsid w:val="00790F1C"/>
    <w:rsid w:val="00791668"/>
    <w:rsid w:val="00791AA1"/>
    <w:rsid w:val="00791F65"/>
    <w:rsid w:val="00796721"/>
    <w:rsid w:val="00797C38"/>
    <w:rsid w:val="007A18B4"/>
    <w:rsid w:val="007A22EA"/>
    <w:rsid w:val="007A24B5"/>
    <w:rsid w:val="007A3793"/>
    <w:rsid w:val="007A4701"/>
    <w:rsid w:val="007A4F31"/>
    <w:rsid w:val="007B004C"/>
    <w:rsid w:val="007B0D3D"/>
    <w:rsid w:val="007B307A"/>
    <w:rsid w:val="007B59AB"/>
    <w:rsid w:val="007B5C76"/>
    <w:rsid w:val="007C0D3E"/>
    <w:rsid w:val="007C1BA2"/>
    <w:rsid w:val="007C2B48"/>
    <w:rsid w:val="007C6A4C"/>
    <w:rsid w:val="007D12BB"/>
    <w:rsid w:val="007D20E9"/>
    <w:rsid w:val="007D2EF4"/>
    <w:rsid w:val="007D5BD3"/>
    <w:rsid w:val="007D7881"/>
    <w:rsid w:val="007D7E3A"/>
    <w:rsid w:val="007E0D89"/>
    <w:rsid w:val="007E0E10"/>
    <w:rsid w:val="007E1C67"/>
    <w:rsid w:val="007E20CE"/>
    <w:rsid w:val="007E262F"/>
    <w:rsid w:val="007E30A8"/>
    <w:rsid w:val="007E4768"/>
    <w:rsid w:val="007E4FB6"/>
    <w:rsid w:val="007E61DB"/>
    <w:rsid w:val="007E6ECF"/>
    <w:rsid w:val="007E777B"/>
    <w:rsid w:val="007E78C4"/>
    <w:rsid w:val="007F17D8"/>
    <w:rsid w:val="007F2070"/>
    <w:rsid w:val="007F2CCC"/>
    <w:rsid w:val="007F3F89"/>
    <w:rsid w:val="007F4651"/>
    <w:rsid w:val="007F46F1"/>
    <w:rsid w:val="007F4F7A"/>
    <w:rsid w:val="007F63C1"/>
    <w:rsid w:val="007F6D94"/>
    <w:rsid w:val="007F787D"/>
    <w:rsid w:val="008034DA"/>
    <w:rsid w:val="00803762"/>
    <w:rsid w:val="00803818"/>
    <w:rsid w:val="00804536"/>
    <w:rsid w:val="008053F5"/>
    <w:rsid w:val="0080542E"/>
    <w:rsid w:val="008054DD"/>
    <w:rsid w:val="0080563E"/>
    <w:rsid w:val="00805BF4"/>
    <w:rsid w:val="00807AF7"/>
    <w:rsid w:val="00810198"/>
    <w:rsid w:val="00810CDD"/>
    <w:rsid w:val="0081208B"/>
    <w:rsid w:val="008151C4"/>
    <w:rsid w:val="00815DA8"/>
    <w:rsid w:val="00816558"/>
    <w:rsid w:val="00817047"/>
    <w:rsid w:val="0081722A"/>
    <w:rsid w:val="0081745B"/>
    <w:rsid w:val="00821591"/>
    <w:rsid w:val="0082194D"/>
    <w:rsid w:val="00821DE9"/>
    <w:rsid w:val="008221F9"/>
    <w:rsid w:val="00822987"/>
    <w:rsid w:val="00823AF0"/>
    <w:rsid w:val="00824C89"/>
    <w:rsid w:val="008254B1"/>
    <w:rsid w:val="00825F7E"/>
    <w:rsid w:val="00826D0C"/>
    <w:rsid w:val="00826EF5"/>
    <w:rsid w:val="00831293"/>
    <w:rsid w:val="00831693"/>
    <w:rsid w:val="00832462"/>
    <w:rsid w:val="00840104"/>
    <w:rsid w:val="00840C1F"/>
    <w:rsid w:val="008411C9"/>
    <w:rsid w:val="00841AF7"/>
    <w:rsid w:val="00841FC5"/>
    <w:rsid w:val="0084293C"/>
    <w:rsid w:val="0084325D"/>
    <w:rsid w:val="00843D0F"/>
    <w:rsid w:val="008447F7"/>
    <w:rsid w:val="00844B30"/>
    <w:rsid w:val="00845010"/>
    <w:rsid w:val="00845709"/>
    <w:rsid w:val="00846524"/>
    <w:rsid w:val="00851A68"/>
    <w:rsid w:val="008522A7"/>
    <w:rsid w:val="00854A64"/>
    <w:rsid w:val="00854E89"/>
    <w:rsid w:val="008558F5"/>
    <w:rsid w:val="008576BD"/>
    <w:rsid w:val="00860455"/>
    <w:rsid w:val="00860463"/>
    <w:rsid w:val="00860820"/>
    <w:rsid w:val="0086189F"/>
    <w:rsid w:val="008622EE"/>
    <w:rsid w:val="00863399"/>
    <w:rsid w:val="00863806"/>
    <w:rsid w:val="00863AC8"/>
    <w:rsid w:val="00864BAE"/>
    <w:rsid w:val="0086509A"/>
    <w:rsid w:val="00865CC1"/>
    <w:rsid w:val="00865F11"/>
    <w:rsid w:val="008670C9"/>
    <w:rsid w:val="00872E93"/>
    <w:rsid w:val="008733DA"/>
    <w:rsid w:val="00873BC7"/>
    <w:rsid w:val="0087437F"/>
    <w:rsid w:val="00875944"/>
    <w:rsid w:val="00875E41"/>
    <w:rsid w:val="0087630D"/>
    <w:rsid w:val="008770F7"/>
    <w:rsid w:val="008771D1"/>
    <w:rsid w:val="00877B97"/>
    <w:rsid w:val="008809BF"/>
    <w:rsid w:val="0088159A"/>
    <w:rsid w:val="00881EE9"/>
    <w:rsid w:val="0088266F"/>
    <w:rsid w:val="00884BAC"/>
    <w:rsid w:val="008850E4"/>
    <w:rsid w:val="008876DD"/>
    <w:rsid w:val="00891047"/>
    <w:rsid w:val="00891453"/>
    <w:rsid w:val="008938C0"/>
    <w:rsid w:val="008939AB"/>
    <w:rsid w:val="00893C2F"/>
    <w:rsid w:val="00894018"/>
    <w:rsid w:val="00896160"/>
    <w:rsid w:val="008A12F5"/>
    <w:rsid w:val="008A1B79"/>
    <w:rsid w:val="008A2243"/>
    <w:rsid w:val="008A290D"/>
    <w:rsid w:val="008A2BF9"/>
    <w:rsid w:val="008A2DFC"/>
    <w:rsid w:val="008A3DD7"/>
    <w:rsid w:val="008A631C"/>
    <w:rsid w:val="008A6337"/>
    <w:rsid w:val="008A7227"/>
    <w:rsid w:val="008B04D6"/>
    <w:rsid w:val="008B0FBE"/>
    <w:rsid w:val="008B1587"/>
    <w:rsid w:val="008B1B01"/>
    <w:rsid w:val="008B2FFE"/>
    <w:rsid w:val="008B3440"/>
    <w:rsid w:val="008B3929"/>
    <w:rsid w:val="008B3BCD"/>
    <w:rsid w:val="008B6DF8"/>
    <w:rsid w:val="008C0242"/>
    <w:rsid w:val="008C0892"/>
    <w:rsid w:val="008C106C"/>
    <w:rsid w:val="008C10F1"/>
    <w:rsid w:val="008C1735"/>
    <w:rsid w:val="008C1926"/>
    <w:rsid w:val="008C1AC5"/>
    <w:rsid w:val="008C1E99"/>
    <w:rsid w:val="008C2EAD"/>
    <w:rsid w:val="008C3EA8"/>
    <w:rsid w:val="008C4FD1"/>
    <w:rsid w:val="008C7B58"/>
    <w:rsid w:val="008D07C6"/>
    <w:rsid w:val="008D0B97"/>
    <w:rsid w:val="008D0E2B"/>
    <w:rsid w:val="008D1696"/>
    <w:rsid w:val="008D6947"/>
    <w:rsid w:val="008D769E"/>
    <w:rsid w:val="008E0085"/>
    <w:rsid w:val="008E135E"/>
    <w:rsid w:val="008E1CBE"/>
    <w:rsid w:val="008E2AA6"/>
    <w:rsid w:val="008E2D20"/>
    <w:rsid w:val="008E307E"/>
    <w:rsid w:val="008E311B"/>
    <w:rsid w:val="008E5ABC"/>
    <w:rsid w:val="008E5E67"/>
    <w:rsid w:val="008F04F5"/>
    <w:rsid w:val="008F0A15"/>
    <w:rsid w:val="008F28A9"/>
    <w:rsid w:val="008F3784"/>
    <w:rsid w:val="008F3C88"/>
    <w:rsid w:val="008F3DB9"/>
    <w:rsid w:val="008F46E7"/>
    <w:rsid w:val="008F5241"/>
    <w:rsid w:val="008F525C"/>
    <w:rsid w:val="008F64CA"/>
    <w:rsid w:val="008F6F0B"/>
    <w:rsid w:val="008F7E4B"/>
    <w:rsid w:val="00902010"/>
    <w:rsid w:val="00904A6F"/>
    <w:rsid w:val="009057E3"/>
    <w:rsid w:val="00905B0B"/>
    <w:rsid w:val="00907BA7"/>
    <w:rsid w:val="00907C99"/>
    <w:rsid w:val="009100B4"/>
    <w:rsid w:val="0091064E"/>
    <w:rsid w:val="00911FC5"/>
    <w:rsid w:val="009131EB"/>
    <w:rsid w:val="00913F59"/>
    <w:rsid w:val="00914696"/>
    <w:rsid w:val="00915993"/>
    <w:rsid w:val="00915B3B"/>
    <w:rsid w:val="00915E1D"/>
    <w:rsid w:val="009169BF"/>
    <w:rsid w:val="00916B6B"/>
    <w:rsid w:val="00916D64"/>
    <w:rsid w:val="0091755C"/>
    <w:rsid w:val="009244FE"/>
    <w:rsid w:val="00924944"/>
    <w:rsid w:val="00925507"/>
    <w:rsid w:val="00926547"/>
    <w:rsid w:val="00927A12"/>
    <w:rsid w:val="00930BA4"/>
    <w:rsid w:val="009310FC"/>
    <w:rsid w:val="00931A10"/>
    <w:rsid w:val="00934FE0"/>
    <w:rsid w:val="00937860"/>
    <w:rsid w:val="00942782"/>
    <w:rsid w:val="009434A0"/>
    <w:rsid w:val="009434C2"/>
    <w:rsid w:val="0094726A"/>
    <w:rsid w:val="00947967"/>
    <w:rsid w:val="009538E8"/>
    <w:rsid w:val="00953E18"/>
    <w:rsid w:val="00954FB1"/>
    <w:rsid w:val="00955201"/>
    <w:rsid w:val="0095759C"/>
    <w:rsid w:val="009607E8"/>
    <w:rsid w:val="00965200"/>
    <w:rsid w:val="009668B3"/>
    <w:rsid w:val="00967957"/>
    <w:rsid w:val="00971471"/>
    <w:rsid w:val="009735AD"/>
    <w:rsid w:val="00973FB3"/>
    <w:rsid w:val="00976071"/>
    <w:rsid w:val="00976D78"/>
    <w:rsid w:val="00982D15"/>
    <w:rsid w:val="009844AF"/>
    <w:rsid w:val="009849C2"/>
    <w:rsid w:val="00984D24"/>
    <w:rsid w:val="009858EB"/>
    <w:rsid w:val="00986E9C"/>
    <w:rsid w:val="00990D6E"/>
    <w:rsid w:val="009917EC"/>
    <w:rsid w:val="00992C28"/>
    <w:rsid w:val="00993FBC"/>
    <w:rsid w:val="00995AA7"/>
    <w:rsid w:val="00997225"/>
    <w:rsid w:val="009973AC"/>
    <w:rsid w:val="00997C82"/>
    <w:rsid w:val="009A289F"/>
    <w:rsid w:val="009A2E08"/>
    <w:rsid w:val="009A3F47"/>
    <w:rsid w:val="009A4499"/>
    <w:rsid w:val="009A46A5"/>
    <w:rsid w:val="009B0046"/>
    <w:rsid w:val="009B1716"/>
    <w:rsid w:val="009B3C59"/>
    <w:rsid w:val="009B4EA9"/>
    <w:rsid w:val="009B5BA8"/>
    <w:rsid w:val="009C0993"/>
    <w:rsid w:val="009C1440"/>
    <w:rsid w:val="009C1751"/>
    <w:rsid w:val="009C2107"/>
    <w:rsid w:val="009C39D8"/>
    <w:rsid w:val="009C51D4"/>
    <w:rsid w:val="009C5D9E"/>
    <w:rsid w:val="009C73D0"/>
    <w:rsid w:val="009D060B"/>
    <w:rsid w:val="009D2C3E"/>
    <w:rsid w:val="009D392D"/>
    <w:rsid w:val="009D52A6"/>
    <w:rsid w:val="009D6A37"/>
    <w:rsid w:val="009D6F87"/>
    <w:rsid w:val="009E0625"/>
    <w:rsid w:val="009E0B37"/>
    <w:rsid w:val="009E23C0"/>
    <w:rsid w:val="009E3034"/>
    <w:rsid w:val="009E51F2"/>
    <w:rsid w:val="009E549F"/>
    <w:rsid w:val="009E5621"/>
    <w:rsid w:val="009E5FF3"/>
    <w:rsid w:val="009E61E4"/>
    <w:rsid w:val="009E6A90"/>
    <w:rsid w:val="009E7517"/>
    <w:rsid w:val="009F19F1"/>
    <w:rsid w:val="009F240A"/>
    <w:rsid w:val="009F28A8"/>
    <w:rsid w:val="009F3230"/>
    <w:rsid w:val="009F4195"/>
    <w:rsid w:val="009F473E"/>
    <w:rsid w:val="009F4891"/>
    <w:rsid w:val="009F5247"/>
    <w:rsid w:val="009F5327"/>
    <w:rsid w:val="009F53AC"/>
    <w:rsid w:val="009F682A"/>
    <w:rsid w:val="009F7428"/>
    <w:rsid w:val="00A00139"/>
    <w:rsid w:val="00A01983"/>
    <w:rsid w:val="00A022BE"/>
    <w:rsid w:val="00A038FF"/>
    <w:rsid w:val="00A041AB"/>
    <w:rsid w:val="00A05883"/>
    <w:rsid w:val="00A07B4B"/>
    <w:rsid w:val="00A12D5C"/>
    <w:rsid w:val="00A14E3A"/>
    <w:rsid w:val="00A22DD9"/>
    <w:rsid w:val="00A238EF"/>
    <w:rsid w:val="00A24840"/>
    <w:rsid w:val="00A24C95"/>
    <w:rsid w:val="00A2599A"/>
    <w:rsid w:val="00A26094"/>
    <w:rsid w:val="00A26876"/>
    <w:rsid w:val="00A27134"/>
    <w:rsid w:val="00A27DBD"/>
    <w:rsid w:val="00A301BF"/>
    <w:rsid w:val="00A302B2"/>
    <w:rsid w:val="00A331B4"/>
    <w:rsid w:val="00A3484E"/>
    <w:rsid w:val="00A356D3"/>
    <w:rsid w:val="00A36A48"/>
    <w:rsid w:val="00A36ADA"/>
    <w:rsid w:val="00A370F0"/>
    <w:rsid w:val="00A3713F"/>
    <w:rsid w:val="00A3792C"/>
    <w:rsid w:val="00A37C4D"/>
    <w:rsid w:val="00A428CD"/>
    <w:rsid w:val="00A4344A"/>
    <w:rsid w:val="00A438D8"/>
    <w:rsid w:val="00A473F5"/>
    <w:rsid w:val="00A50191"/>
    <w:rsid w:val="00A504A4"/>
    <w:rsid w:val="00A506B1"/>
    <w:rsid w:val="00A51F9D"/>
    <w:rsid w:val="00A5416A"/>
    <w:rsid w:val="00A57543"/>
    <w:rsid w:val="00A57967"/>
    <w:rsid w:val="00A62E56"/>
    <w:rsid w:val="00A639F4"/>
    <w:rsid w:val="00A65864"/>
    <w:rsid w:val="00A65A40"/>
    <w:rsid w:val="00A65FAE"/>
    <w:rsid w:val="00A70083"/>
    <w:rsid w:val="00A70FB8"/>
    <w:rsid w:val="00A71A63"/>
    <w:rsid w:val="00A77262"/>
    <w:rsid w:val="00A81A32"/>
    <w:rsid w:val="00A83420"/>
    <w:rsid w:val="00A835BD"/>
    <w:rsid w:val="00A85CF2"/>
    <w:rsid w:val="00A870EF"/>
    <w:rsid w:val="00A90081"/>
    <w:rsid w:val="00A92325"/>
    <w:rsid w:val="00A93733"/>
    <w:rsid w:val="00A95CEE"/>
    <w:rsid w:val="00A97B15"/>
    <w:rsid w:val="00AA2436"/>
    <w:rsid w:val="00AA25D9"/>
    <w:rsid w:val="00AA30D8"/>
    <w:rsid w:val="00AA42D5"/>
    <w:rsid w:val="00AA62C5"/>
    <w:rsid w:val="00AA6508"/>
    <w:rsid w:val="00AA791B"/>
    <w:rsid w:val="00AB013E"/>
    <w:rsid w:val="00AB2FAB"/>
    <w:rsid w:val="00AB3391"/>
    <w:rsid w:val="00AB4207"/>
    <w:rsid w:val="00AB4CAC"/>
    <w:rsid w:val="00AB5C14"/>
    <w:rsid w:val="00AB6909"/>
    <w:rsid w:val="00AC147F"/>
    <w:rsid w:val="00AC1EE7"/>
    <w:rsid w:val="00AC333F"/>
    <w:rsid w:val="00AC47CD"/>
    <w:rsid w:val="00AC585C"/>
    <w:rsid w:val="00AC6D11"/>
    <w:rsid w:val="00AC78DC"/>
    <w:rsid w:val="00AC7965"/>
    <w:rsid w:val="00AD1925"/>
    <w:rsid w:val="00AD1B2C"/>
    <w:rsid w:val="00AD1C05"/>
    <w:rsid w:val="00AD3143"/>
    <w:rsid w:val="00AD4996"/>
    <w:rsid w:val="00AD7AEB"/>
    <w:rsid w:val="00AD7EE9"/>
    <w:rsid w:val="00AE067D"/>
    <w:rsid w:val="00AE14B8"/>
    <w:rsid w:val="00AE2D21"/>
    <w:rsid w:val="00AE4622"/>
    <w:rsid w:val="00AE490C"/>
    <w:rsid w:val="00AF1181"/>
    <w:rsid w:val="00AF2F79"/>
    <w:rsid w:val="00AF3566"/>
    <w:rsid w:val="00AF4653"/>
    <w:rsid w:val="00AF6C47"/>
    <w:rsid w:val="00AF6D46"/>
    <w:rsid w:val="00AF7DB7"/>
    <w:rsid w:val="00AF7E0B"/>
    <w:rsid w:val="00B0128A"/>
    <w:rsid w:val="00B01A8B"/>
    <w:rsid w:val="00B03AEB"/>
    <w:rsid w:val="00B0628F"/>
    <w:rsid w:val="00B10D02"/>
    <w:rsid w:val="00B11F9F"/>
    <w:rsid w:val="00B125F5"/>
    <w:rsid w:val="00B1349C"/>
    <w:rsid w:val="00B13BBA"/>
    <w:rsid w:val="00B14D75"/>
    <w:rsid w:val="00B17979"/>
    <w:rsid w:val="00B201E2"/>
    <w:rsid w:val="00B21181"/>
    <w:rsid w:val="00B215D0"/>
    <w:rsid w:val="00B21C5E"/>
    <w:rsid w:val="00B22BFB"/>
    <w:rsid w:val="00B24B27"/>
    <w:rsid w:val="00B24D8C"/>
    <w:rsid w:val="00B303B1"/>
    <w:rsid w:val="00B329AA"/>
    <w:rsid w:val="00B33324"/>
    <w:rsid w:val="00B341AF"/>
    <w:rsid w:val="00B34A75"/>
    <w:rsid w:val="00B35C92"/>
    <w:rsid w:val="00B3660B"/>
    <w:rsid w:val="00B36767"/>
    <w:rsid w:val="00B36B45"/>
    <w:rsid w:val="00B40F05"/>
    <w:rsid w:val="00B41F20"/>
    <w:rsid w:val="00B42FCB"/>
    <w:rsid w:val="00B4357B"/>
    <w:rsid w:val="00B443E4"/>
    <w:rsid w:val="00B44450"/>
    <w:rsid w:val="00B44A73"/>
    <w:rsid w:val="00B459C5"/>
    <w:rsid w:val="00B507E1"/>
    <w:rsid w:val="00B51D4C"/>
    <w:rsid w:val="00B52852"/>
    <w:rsid w:val="00B53E56"/>
    <w:rsid w:val="00B5484D"/>
    <w:rsid w:val="00B562A2"/>
    <w:rsid w:val="00B563EA"/>
    <w:rsid w:val="00B56CDF"/>
    <w:rsid w:val="00B60E05"/>
    <w:rsid w:val="00B60E51"/>
    <w:rsid w:val="00B6345B"/>
    <w:rsid w:val="00B63A54"/>
    <w:rsid w:val="00B648C5"/>
    <w:rsid w:val="00B64E7B"/>
    <w:rsid w:val="00B654EE"/>
    <w:rsid w:val="00B65666"/>
    <w:rsid w:val="00B656A4"/>
    <w:rsid w:val="00B657A1"/>
    <w:rsid w:val="00B65903"/>
    <w:rsid w:val="00B666B0"/>
    <w:rsid w:val="00B70B1D"/>
    <w:rsid w:val="00B725C3"/>
    <w:rsid w:val="00B73EAD"/>
    <w:rsid w:val="00B767A1"/>
    <w:rsid w:val="00B77D18"/>
    <w:rsid w:val="00B80E54"/>
    <w:rsid w:val="00B81146"/>
    <w:rsid w:val="00B81659"/>
    <w:rsid w:val="00B82E19"/>
    <w:rsid w:val="00B8313A"/>
    <w:rsid w:val="00B864DE"/>
    <w:rsid w:val="00B8719F"/>
    <w:rsid w:val="00B90748"/>
    <w:rsid w:val="00B90F39"/>
    <w:rsid w:val="00B91107"/>
    <w:rsid w:val="00B91E91"/>
    <w:rsid w:val="00B93503"/>
    <w:rsid w:val="00B93E30"/>
    <w:rsid w:val="00B96012"/>
    <w:rsid w:val="00B96315"/>
    <w:rsid w:val="00B97BC3"/>
    <w:rsid w:val="00BA073C"/>
    <w:rsid w:val="00BA0DCE"/>
    <w:rsid w:val="00BA25A4"/>
    <w:rsid w:val="00BA2A99"/>
    <w:rsid w:val="00BA2D12"/>
    <w:rsid w:val="00BA31E8"/>
    <w:rsid w:val="00BA34F7"/>
    <w:rsid w:val="00BA4CA2"/>
    <w:rsid w:val="00BA546B"/>
    <w:rsid w:val="00BA55E0"/>
    <w:rsid w:val="00BA6BD4"/>
    <w:rsid w:val="00BA6C7A"/>
    <w:rsid w:val="00BA7DC9"/>
    <w:rsid w:val="00BB043B"/>
    <w:rsid w:val="00BB0714"/>
    <w:rsid w:val="00BB17A0"/>
    <w:rsid w:val="00BB17D1"/>
    <w:rsid w:val="00BB2668"/>
    <w:rsid w:val="00BB31F7"/>
    <w:rsid w:val="00BB3752"/>
    <w:rsid w:val="00BB3F0B"/>
    <w:rsid w:val="00BB6145"/>
    <w:rsid w:val="00BB6688"/>
    <w:rsid w:val="00BB6FB2"/>
    <w:rsid w:val="00BC0872"/>
    <w:rsid w:val="00BC26D4"/>
    <w:rsid w:val="00BC2CC0"/>
    <w:rsid w:val="00BC5636"/>
    <w:rsid w:val="00BC6754"/>
    <w:rsid w:val="00BD7AF8"/>
    <w:rsid w:val="00BE0C80"/>
    <w:rsid w:val="00BE297A"/>
    <w:rsid w:val="00BE2AAE"/>
    <w:rsid w:val="00BE2E12"/>
    <w:rsid w:val="00BE2FD9"/>
    <w:rsid w:val="00BE5F24"/>
    <w:rsid w:val="00BE6435"/>
    <w:rsid w:val="00BE6893"/>
    <w:rsid w:val="00BE76E9"/>
    <w:rsid w:val="00BE77E1"/>
    <w:rsid w:val="00BF1626"/>
    <w:rsid w:val="00BF1DB7"/>
    <w:rsid w:val="00BF2A42"/>
    <w:rsid w:val="00BF360C"/>
    <w:rsid w:val="00BF362B"/>
    <w:rsid w:val="00BF3AC0"/>
    <w:rsid w:val="00BF7500"/>
    <w:rsid w:val="00C01DBA"/>
    <w:rsid w:val="00C02514"/>
    <w:rsid w:val="00C02A0C"/>
    <w:rsid w:val="00C03D8C"/>
    <w:rsid w:val="00C0433F"/>
    <w:rsid w:val="00C055EC"/>
    <w:rsid w:val="00C06A9D"/>
    <w:rsid w:val="00C06B27"/>
    <w:rsid w:val="00C10DC9"/>
    <w:rsid w:val="00C110DC"/>
    <w:rsid w:val="00C12F3E"/>
    <w:rsid w:val="00C12FB3"/>
    <w:rsid w:val="00C14CBE"/>
    <w:rsid w:val="00C14E74"/>
    <w:rsid w:val="00C17341"/>
    <w:rsid w:val="00C21D32"/>
    <w:rsid w:val="00C22091"/>
    <w:rsid w:val="00C222D5"/>
    <w:rsid w:val="00C22500"/>
    <w:rsid w:val="00C2296C"/>
    <w:rsid w:val="00C22A15"/>
    <w:rsid w:val="00C23192"/>
    <w:rsid w:val="00C24EEF"/>
    <w:rsid w:val="00C25BA3"/>
    <w:rsid w:val="00C25CF6"/>
    <w:rsid w:val="00C26C36"/>
    <w:rsid w:val="00C26EE7"/>
    <w:rsid w:val="00C30C45"/>
    <w:rsid w:val="00C316AE"/>
    <w:rsid w:val="00C317BF"/>
    <w:rsid w:val="00C32768"/>
    <w:rsid w:val="00C42CB8"/>
    <w:rsid w:val="00C4314D"/>
    <w:rsid w:val="00C431DF"/>
    <w:rsid w:val="00C456BD"/>
    <w:rsid w:val="00C460B3"/>
    <w:rsid w:val="00C46DB1"/>
    <w:rsid w:val="00C47F36"/>
    <w:rsid w:val="00C522B3"/>
    <w:rsid w:val="00C52F25"/>
    <w:rsid w:val="00C530DC"/>
    <w:rsid w:val="00C5350D"/>
    <w:rsid w:val="00C544B0"/>
    <w:rsid w:val="00C60369"/>
    <w:rsid w:val="00C607A8"/>
    <w:rsid w:val="00C6123C"/>
    <w:rsid w:val="00C61648"/>
    <w:rsid w:val="00C6311A"/>
    <w:rsid w:val="00C634DB"/>
    <w:rsid w:val="00C638FE"/>
    <w:rsid w:val="00C65B41"/>
    <w:rsid w:val="00C6663B"/>
    <w:rsid w:val="00C66683"/>
    <w:rsid w:val="00C66BE2"/>
    <w:rsid w:val="00C70486"/>
    <w:rsid w:val="00C7084D"/>
    <w:rsid w:val="00C72C4D"/>
    <w:rsid w:val="00C7315E"/>
    <w:rsid w:val="00C74403"/>
    <w:rsid w:val="00C75895"/>
    <w:rsid w:val="00C75C3B"/>
    <w:rsid w:val="00C764BA"/>
    <w:rsid w:val="00C776CF"/>
    <w:rsid w:val="00C779D2"/>
    <w:rsid w:val="00C802AD"/>
    <w:rsid w:val="00C82E4B"/>
    <w:rsid w:val="00C838F8"/>
    <w:rsid w:val="00C83C9F"/>
    <w:rsid w:val="00C84A36"/>
    <w:rsid w:val="00C93E5F"/>
    <w:rsid w:val="00C94519"/>
    <w:rsid w:val="00C94840"/>
    <w:rsid w:val="00C974DA"/>
    <w:rsid w:val="00CA01D9"/>
    <w:rsid w:val="00CA133A"/>
    <w:rsid w:val="00CA1944"/>
    <w:rsid w:val="00CA1DC3"/>
    <w:rsid w:val="00CA3D97"/>
    <w:rsid w:val="00CA4EE3"/>
    <w:rsid w:val="00CA535C"/>
    <w:rsid w:val="00CB027F"/>
    <w:rsid w:val="00CB034B"/>
    <w:rsid w:val="00CB1FF8"/>
    <w:rsid w:val="00CB4A46"/>
    <w:rsid w:val="00CB4E6D"/>
    <w:rsid w:val="00CC0BA4"/>
    <w:rsid w:val="00CC0EBB"/>
    <w:rsid w:val="00CC2444"/>
    <w:rsid w:val="00CC38AC"/>
    <w:rsid w:val="00CC6297"/>
    <w:rsid w:val="00CC7433"/>
    <w:rsid w:val="00CC7690"/>
    <w:rsid w:val="00CC76BF"/>
    <w:rsid w:val="00CD1986"/>
    <w:rsid w:val="00CD22E0"/>
    <w:rsid w:val="00CD54BF"/>
    <w:rsid w:val="00CD59DE"/>
    <w:rsid w:val="00CD7580"/>
    <w:rsid w:val="00CE1814"/>
    <w:rsid w:val="00CE1D7B"/>
    <w:rsid w:val="00CE26EE"/>
    <w:rsid w:val="00CE3A1A"/>
    <w:rsid w:val="00CE4C08"/>
    <w:rsid w:val="00CE4D5C"/>
    <w:rsid w:val="00CE61AE"/>
    <w:rsid w:val="00CE62B8"/>
    <w:rsid w:val="00CE701F"/>
    <w:rsid w:val="00CE74A7"/>
    <w:rsid w:val="00CF05DA"/>
    <w:rsid w:val="00CF0E7A"/>
    <w:rsid w:val="00CF4970"/>
    <w:rsid w:val="00CF5116"/>
    <w:rsid w:val="00CF58EB"/>
    <w:rsid w:val="00CF602E"/>
    <w:rsid w:val="00CF6FEC"/>
    <w:rsid w:val="00D0106E"/>
    <w:rsid w:val="00D02BA4"/>
    <w:rsid w:val="00D04428"/>
    <w:rsid w:val="00D04BDC"/>
    <w:rsid w:val="00D06383"/>
    <w:rsid w:val="00D07400"/>
    <w:rsid w:val="00D11DEC"/>
    <w:rsid w:val="00D1246D"/>
    <w:rsid w:val="00D1275C"/>
    <w:rsid w:val="00D133F3"/>
    <w:rsid w:val="00D170E3"/>
    <w:rsid w:val="00D20082"/>
    <w:rsid w:val="00D20E85"/>
    <w:rsid w:val="00D2100B"/>
    <w:rsid w:val="00D21FD0"/>
    <w:rsid w:val="00D2222F"/>
    <w:rsid w:val="00D22EBC"/>
    <w:rsid w:val="00D24615"/>
    <w:rsid w:val="00D25B12"/>
    <w:rsid w:val="00D26D72"/>
    <w:rsid w:val="00D31E56"/>
    <w:rsid w:val="00D323D0"/>
    <w:rsid w:val="00D373C8"/>
    <w:rsid w:val="00D3775A"/>
    <w:rsid w:val="00D37842"/>
    <w:rsid w:val="00D37BE3"/>
    <w:rsid w:val="00D42CAC"/>
    <w:rsid w:val="00D42DC2"/>
    <w:rsid w:val="00D4302B"/>
    <w:rsid w:val="00D4390B"/>
    <w:rsid w:val="00D455E3"/>
    <w:rsid w:val="00D457C0"/>
    <w:rsid w:val="00D537E1"/>
    <w:rsid w:val="00D5409D"/>
    <w:rsid w:val="00D549E0"/>
    <w:rsid w:val="00D54B1B"/>
    <w:rsid w:val="00D54F0F"/>
    <w:rsid w:val="00D55BB2"/>
    <w:rsid w:val="00D5747E"/>
    <w:rsid w:val="00D605F4"/>
    <w:rsid w:val="00D6091A"/>
    <w:rsid w:val="00D61F8D"/>
    <w:rsid w:val="00D64B3F"/>
    <w:rsid w:val="00D652A5"/>
    <w:rsid w:val="00D6605A"/>
    <w:rsid w:val="00D6695F"/>
    <w:rsid w:val="00D7245C"/>
    <w:rsid w:val="00D72EB0"/>
    <w:rsid w:val="00D73DA1"/>
    <w:rsid w:val="00D74B80"/>
    <w:rsid w:val="00D750A5"/>
    <w:rsid w:val="00D75644"/>
    <w:rsid w:val="00D76AF2"/>
    <w:rsid w:val="00D81656"/>
    <w:rsid w:val="00D83372"/>
    <w:rsid w:val="00D83581"/>
    <w:rsid w:val="00D83D87"/>
    <w:rsid w:val="00D83F31"/>
    <w:rsid w:val="00D841F1"/>
    <w:rsid w:val="00D8453A"/>
    <w:rsid w:val="00D84A6D"/>
    <w:rsid w:val="00D85F46"/>
    <w:rsid w:val="00D86A30"/>
    <w:rsid w:val="00D90290"/>
    <w:rsid w:val="00D90298"/>
    <w:rsid w:val="00D908F1"/>
    <w:rsid w:val="00D91A96"/>
    <w:rsid w:val="00D92450"/>
    <w:rsid w:val="00D933F7"/>
    <w:rsid w:val="00D94677"/>
    <w:rsid w:val="00D9520E"/>
    <w:rsid w:val="00D952B6"/>
    <w:rsid w:val="00D95D37"/>
    <w:rsid w:val="00D97CB4"/>
    <w:rsid w:val="00D97DD4"/>
    <w:rsid w:val="00DA0225"/>
    <w:rsid w:val="00DA1A5B"/>
    <w:rsid w:val="00DA5A8A"/>
    <w:rsid w:val="00DA5F62"/>
    <w:rsid w:val="00DA7405"/>
    <w:rsid w:val="00DA7D4F"/>
    <w:rsid w:val="00DB1170"/>
    <w:rsid w:val="00DB2299"/>
    <w:rsid w:val="00DB22C6"/>
    <w:rsid w:val="00DB26CD"/>
    <w:rsid w:val="00DB2C40"/>
    <w:rsid w:val="00DB37C4"/>
    <w:rsid w:val="00DB3D3A"/>
    <w:rsid w:val="00DB3F8B"/>
    <w:rsid w:val="00DB441C"/>
    <w:rsid w:val="00DB44AF"/>
    <w:rsid w:val="00DB4720"/>
    <w:rsid w:val="00DB4AAF"/>
    <w:rsid w:val="00DB52DF"/>
    <w:rsid w:val="00DB5314"/>
    <w:rsid w:val="00DB58CC"/>
    <w:rsid w:val="00DB6109"/>
    <w:rsid w:val="00DB61CF"/>
    <w:rsid w:val="00DB70C6"/>
    <w:rsid w:val="00DB788B"/>
    <w:rsid w:val="00DB7AC4"/>
    <w:rsid w:val="00DC1169"/>
    <w:rsid w:val="00DC1F58"/>
    <w:rsid w:val="00DC2119"/>
    <w:rsid w:val="00DC339B"/>
    <w:rsid w:val="00DC5441"/>
    <w:rsid w:val="00DC5D40"/>
    <w:rsid w:val="00DC628A"/>
    <w:rsid w:val="00DC645C"/>
    <w:rsid w:val="00DC69A7"/>
    <w:rsid w:val="00DD0747"/>
    <w:rsid w:val="00DD0D75"/>
    <w:rsid w:val="00DD1097"/>
    <w:rsid w:val="00DD17D8"/>
    <w:rsid w:val="00DD30E9"/>
    <w:rsid w:val="00DD3C23"/>
    <w:rsid w:val="00DD4F47"/>
    <w:rsid w:val="00DD5CB3"/>
    <w:rsid w:val="00DD636E"/>
    <w:rsid w:val="00DD6D8C"/>
    <w:rsid w:val="00DD71D9"/>
    <w:rsid w:val="00DD7FBB"/>
    <w:rsid w:val="00DE0B9F"/>
    <w:rsid w:val="00DE2A9E"/>
    <w:rsid w:val="00DE2C9E"/>
    <w:rsid w:val="00DE3D1B"/>
    <w:rsid w:val="00DE4238"/>
    <w:rsid w:val="00DE630D"/>
    <w:rsid w:val="00DE657F"/>
    <w:rsid w:val="00DE659E"/>
    <w:rsid w:val="00DF0027"/>
    <w:rsid w:val="00DF1218"/>
    <w:rsid w:val="00DF28FF"/>
    <w:rsid w:val="00DF6462"/>
    <w:rsid w:val="00DF69B4"/>
    <w:rsid w:val="00E00FEB"/>
    <w:rsid w:val="00E02B6E"/>
    <w:rsid w:val="00E02E98"/>
    <w:rsid w:val="00E02FA0"/>
    <w:rsid w:val="00E033E1"/>
    <w:rsid w:val="00E036DC"/>
    <w:rsid w:val="00E05CAA"/>
    <w:rsid w:val="00E10454"/>
    <w:rsid w:val="00E10AAD"/>
    <w:rsid w:val="00E112E5"/>
    <w:rsid w:val="00E122D8"/>
    <w:rsid w:val="00E12CC8"/>
    <w:rsid w:val="00E14668"/>
    <w:rsid w:val="00E15352"/>
    <w:rsid w:val="00E153B3"/>
    <w:rsid w:val="00E153C9"/>
    <w:rsid w:val="00E17F4E"/>
    <w:rsid w:val="00E20679"/>
    <w:rsid w:val="00E21CC7"/>
    <w:rsid w:val="00E24D9E"/>
    <w:rsid w:val="00E25849"/>
    <w:rsid w:val="00E2698A"/>
    <w:rsid w:val="00E26DB7"/>
    <w:rsid w:val="00E312E9"/>
    <w:rsid w:val="00E3163F"/>
    <w:rsid w:val="00E3197E"/>
    <w:rsid w:val="00E3236B"/>
    <w:rsid w:val="00E326AE"/>
    <w:rsid w:val="00E32761"/>
    <w:rsid w:val="00E342F8"/>
    <w:rsid w:val="00E351ED"/>
    <w:rsid w:val="00E3524E"/>
    <w:rsid w:val="00E369D5"/>
    <w:rsid w:val="00E36AE1"/>
    <w:rsid w:val="00E36CA4"/>
    <w:rsid w:val="00E4145D"/>
    <w:rsid w:val="00E42821"/>
    <w:rsid w:val="00E42B19"/>
    <w:rsid w:val="00E42CA0"/>
    <w:rsid w:val="00E42D7B"/>
    <w:rsid w:val="00E4367F"/>
    <w:rsid w:val="00E44C54"/>
    <w:rsid w:val="00E459A1"/>
    <w:rsid w:val="00E50CAD"/>
    <w:rsid w:val="00E543C1"/>
    <w:rsid w:val="00E55752"/>
    <w:rsid w:val="00E55A5A"/>
    <w:rsid w:val="00E56367"/>
    <w:rsid w:val="00E6034B"/>
    <w:rsid w:val="00E60E58"/>
    <w:rsid w:val="00E61AC9"/>
    <w:rsid w:val="00E61F62"/>
    <w:rsid w:val="00E628FB"/>
    <w:rsid w:val="00E62E68"/>
    <w:rsid w:val="00E64417"/>
    <w:rsid w:val="00E6549E"/>
    <w:rsid w:val="00E65EDE"/>
    <w:rsid w:val="00E67610"/>
    <w:rsid w:val="00E677E1"/>
    <w:rsid w:val="00E70F81"/>
    <w:rsid w:val="00E7214E"/>
    <w:rsid w:val="00E74B9D"/>
    <w:rsid w:val="00E7547D"/>
    <w:rsid w:val="00E765E7"/>
    <w:rsid w:val="00E76CF3"/>
    <w:rsid w:val="00E77055"/>
    <w:rsid w:val="00E77460"/>
    <w:rsid w:val="00E80763"/>
    <w:rsid w:val="00E80B33"/>
    <w:rsid w:val="00E82911"/>
    <w:rsid w:val="00E8358E"/>
    <w:rsid w:val="00E83ABC"/>
    <w:rsid w:val="00E844F2"/>
    <w:rsid w:val="00E84B7F"/>
    <w:rsid w:val="00E85FC7"/>
    <w:rsid w:val="00E86173"/>
    <w:rsid w:val="00E90AD0"/>
    <w:rsid w:val="00E92FCB"/>
    <w:rsid w:val="00E938EF"/>
    <w:rsid w:val="00E93A9B"/>
    <w:rsid w:val="00E94FA6"/>
    <w:rsid w:val="00E9641C"/>
    <w:rsid w:val="00EA0812"/>
    <w:rsid w:val="00EA147F"/>
    <w:rsid w:val="00EA24BF"/>
    <w:rsid w:val="00EA46EF"/>
    <w:rsid w:val="00EA4821"/>
    <w:rsid w:val="00EA4A27"/>
    <w:rsid w:val="00EA4FA6"/>
    <w:rsid w:val="00EA533B"/>
    <w:rsid w:val="00EB0422"/>
    <w:rsid w:val="00EB110E"/>
    <w:rsid w:val="00EB1A25"/>
    <w:rsid w:val="00EB3F1C"/>
    <w:rsid w:val="00EB66FF"/>
    <w:rsid w:val="00EB6E95"/>
    <w:rsid w:val="00EB7E32"/>
    <w:rsid w:val="00EC101C"/>
    <w:rsid w:val="00EC140D"/>
    <w:rsid w:val="00EC169F"/>
    <w:rsid w:val="00EC1C09"/>
    <w:rsid w:val="00EC1E6F"/>
    <w:rsid w:val="00EC3521"/>
    <w:rsid w:val="00EC41E2"/>
    <w:rsid w:val="00EC666E"/>
    <w:rsid w:val="00EC7363"/>
    <w:rsid w:val="00EC7974"/>
    <w:rsid w:val="00ED01A3"/>
    <w:rsid w:val="00ED03AB"/>
    <w:rsid w:val="00ED0B2C"/>
    <w:rsid w:val="00ED1963"/>
    <w:rsid w:val="00ED1CD4"/>
    <w:rsid w:val="00ED1D2B"/>
    <w:rsid w:val="00ED367E"/>
    <w:rsid w:val="00ED38B0"/>
    <w:rsid w:val="00ED64B5"/>
    <w:rsid w:val="00EE2177"/>
    <w:rsid w:val="00EE2965"/>
    <w:rsid w:val="00EE3674"/>
    <w:rsid w:val="00EE537C"/>
    <w:rsid w:val="00EE67B6"/>
    <w:rsid w:val="00EE68F0"/>
    <w:rsid w:val="00EE6E04"/>
    <w:rsid w:val="00EE7232"/>
    <w:rsid w:val="00EE7CCA"/>
    <w:rsid w:val="00EF0C6D"/>
    <w:rsid w:val="00EF2DA5"/>
    <w:rsid w:val="00EF50E8"/>
    <w:rsid w:val="00EF65AA"/>
    <w:rsid w:val="00EF7FDF"/>
    <w:rsid w:val="00F00166"/>
    <w:rsid w:val="00F02048"/>
    <w:rsid w:val="00F0350F"/>
    <w:rsid w:val="00F064D1"/>
    <w:rsid w:val="00F06E53"/>
    <w:rsid w:val="00F14D5D"/>
    <w:rsid w:val="00F15088"/>
    <w:rsid w:val="00F16A14"/>
    <w:rsid w:val="00F230A3"/>
    <w:rsid w:val="00F230D9"/>
    <w:rsid w:val="00F25687"/>
    <w:rsid w:val="00F30E9F"/>
    <w:rsid w:val="00F34FD6"/>
    <w:rsid w:val="00F362D7"/>
    <w:rsid w:val="00F36FC3"/>
    <w:rsid w:val="00F37D7B"/>
    <w:rsid w:val="00F40183"/>
    <w:rsid w:val="00F40A14"/>
    <w:rsid w:val="00F43281"/>
    <w:rsid w:val="00F4455A"/>
    <w:rsid w:val="00F45881"/>
    <w:rsid w:val="00F464CC"/>
    <w:rsid w:val="00F467A3"/>
    <w:rsid w:val="00F46ECD"/>
    <w:rsid w:val="00F4708C"/>
    <w:rsid w:val="00F50323"/>
    <w:rsid w:val="00F52655"/>
    <w:rsid w:val="00F5314C"/>
    <w:rsid w:val="00F5347F"/>
    <w:rsid w:val="00F552AD"/>
    <w:rsid w:val="00F55752"/>
    <w:rsid w:val="00F5688C"/>
    <w:rsid w:val="00F57E54"/>
    <w:rsid w:val="00F57F45"/>
    <w:rsid w:val="00F60048"/>
    <w:rsid w:val="00F60267"/>
    <w:rsid w:val="00F635DD"/>
    <w:rsid w:val="00F638C3"/>
    <w:rsid w:val="00F63C36"/>
    <w:rsid w:val="00F6627B"/>
    <w:rsid w:val="00F706E1"/>
    <w:rsid w:val="00F7255B"/>
    <w:rsid w:val="00F72FCC"/>
    <w:rsid w:val="00F7336E"/>
    <w:rsid w:val="00F734F2"/>
    <w:rsid w:val="00F7364F"/>
    <w:rsid w:val="00F739E7"/>
    <w:rsid w:val="00F75052"/>
    <w:rsid w:val="00F754EC"/>
    <w:rsid w:val="00F8047E"/>
    <w:rsid w:val="00F804D3"/>
    <w:rsid w:val="00F80ED6"/>
    <w:rsid w:val="00F81646"/>
    <w:rsid w:val="00F816CB"/>
    <w:rsid w:val="00F81993"/>
    <w:rsid w:val="00F81CD2"/>
    <w:rsid w:val="00F82641"/>
    <w:rsid w:val="00F835EC"/>
    <w:rsid w:val="00F8485D"/>
    <w:rsid w:val="00F85517"/>
    <w:rsid w:val="00F862AB"/>
    <w:rsid w:val="00F876EA"/>
    <w:rsid w:val="00F87935"/>
    <w:rsid w:val="00F90F18"/>
    <w:rsid w:val="00F937E4"/>
    <w:rsid w:val="00F94812"/>
    <w:rsid w:val="00F94EE3"/>
    <w:rsid w:val="00F95EE7"/>
    <w:rsid w:val="00F96FF6"/>
    <w:rsid w:val="00FA0758"/>
    <w:rsid w:val="00FA17D8"/>
    <w:rsid w:val="00FA39E6"/>
    <w:rsid w:val="00FA56F7"/>
    <w:rsid w:val="00FA5DDB"/>
    <w:rsid w:val="00FA7BC9"/>
    <w:rsid w:val="00FA7D47"/>
    <w:rsid w:val="00FB1305"/>
    <w:rsid w:val="00FB1369"/>
    <w:rsid w:val="00FB378E"/>
    <w:rsid w:val="00FB37F1"/>
    <w:rsid w:val="00FB47C0"/>
    <w:rsid w:val="00FB501B"/>
    <w:rsid w:val="00FB668D"/>
    <w:rsid w:val="00FB713F"/>
    <w:rsid w:val="00FB719A"/>
    <w:rsid w:val="00FB7770"/>
    <w:rsid w:val="00FB7AA9"/>
    <w:rsid w:val="00FC0FDE"/>
    <w:rsid w:val="00FC154C"/>
    <w:rsid w:val="00FC3E17"/>
    <w:rsid w:val="00FC6946"/>
    <w:rsid w:val="00FC7F42"/>
    <w:rsid w:val="00FD3058"/>
    <w:rsid w:val="00FD3B91"/>
    <w:rsid w:val="00FD5628"/>
    <w:rsid w:val="00FD576B"/>
    <w:rsid w:val="00FD579E"/>
    <w:rsid w:val="00FD5F5F"/>
    <w:rsid w:val="00FD6845"/>
    <w:rsid w:val="00FE1932"/>
    <w:rsid w:val="00FE1C0D"/>
    <w:rsid w:val="00FE33EE"/>
    <w:rsid w:val="00FE389A"/>
    <w:rsid w:val="00FE3960"/>
    <w:rsid w:val="00FE4516"/>
    <w:rsid w:val="00FE64C8"/>
    <w:rsid w:val="00FE6807"/>
    <w:rsid w:val="00FE6B2F"/>
    <w:rsid w:val="00FE721B"/>
    <w:rsid w:val="00FF0226"/>
    <w:rsid w:val="00FF0566"/>
    <w:rsid w:val="00FF220C"/>
    <w:rsid w:val="00FF3872"/>
    <w:rsid w:val="00FF3BE7"/>
    <w:rsid w:val="00FF4B6D"/>
    <w:rsid w:val="00FF5057"/>
    <w:rsid w:val="00FF5249"/>
    <w:rsid w:val="00FF7C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ind w:left="1701"/>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link w:val="1"/>
    <w:rsid w:val="00B4357B"/>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character" w:customStyle="1" w:styleId="30">
    <w:name w:val="標題 3 字元"/>
    <w:link w:val="3"/>
    <w:rsid w:val="00B4357B"/>
    <w:rPr>
      <w:rFonts w:ascii="標楷體" w:eastAsia="標楷體" w:hAnsi="Arial"/>
      <w:bCs/>
      <w:kern w:val="32"/>
      <w:sz w:val="32"/>
      <w:szCs w:val="36"/>
    </w:rPr>
  </w:style>
  <w:style w:type="character" w:customStyle="1" w:styleId="40">
    <w:name w:val="標題 4 字元"/>
    <w:aliases w:val="表格 字元"/>
    <w:link w:val="4"/>
    <w:rsid w:val="00B4357B"/>
    <w:rPr>
      <w:rFonts w:ascii="標楷體" w:eastAsia="標楷體" w:hAnsi="Arial"/>
      <w:kern w:val="32"/>
      <w:sz w:val="32"/>
      <w:szCs w:val="36"/>
    </w:rPr>
  </w:style>
  <w:style w:type="character" w:customStyle="1" w:styleId="50">
    <w:name w:val="標題 5 字元"/>
    <w:link w:val="5"/>
    <w:rsid w:val="00B4357B"/>
    <w:rPr>
      <w:rFonts w:ascii="標楷體" w:eastAsia="標楷體" w:hAnsi="Arial"/>
      <w:bCs/>
      <w:kern w:val="32"/>
      <w:sz w:val="32"/>
      <w:szCs w:val="36"/>
    </w:rPr>
  </w:style>
  <w:style w:type="character" w:customStyle="1" w:styleId="60">
    <w:name w:val="標題 6 字元"/>
    <w:link w:val="6"/>
    <w:rsid w:val="00B4357B"/>
    <w:rPr>
      <w:rFonts w:ascii="標楷體" w:eastAsia="標楷體" w:hAnsi="Arial"/>
      <w:kern w:val="32"/>
      <w:sz w:val="32"/>
      <w:szCs w:val="36"/>
    </w:rPr>
  </w:style>
  <w:style w:type="character" w:customStyle="1" w:styleId="70">
    <w:name w:val="標題 7 字元"/>
    <w:link w:val="7"/>
    <w:rsid w:val="00B4357B"/>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link w:val="aa"/>
    <w:semiHidden/>
    <w:rsid w:val="00B4357B"/>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B4357B"/>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character" w:customStyle="1" w:styleId="af8">
    <w:name w:val="頁尾 字元"/>
    <w:link w:val="af7"/>
    <w:semiHidden/>
    <w:rsid w:val="00B4357B"/>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FF220C"/>
    <w:pPr>
      <w:keepNext/>
      <w:widowControl w:val="0"/>
      <w:numPr>
        <w:numId w:val="9"/>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customStyle="1" w:styleId="Default">
    <w:name w:val="Default"/>
    <w:rsid w:val="00B4357B"/>
    <w:pPr>
      <w:widowControl w:val="0"/>
      <w:autoSpaceDE w:val="0"/>
      <w:autoSpaceDN w:val="0"/>
      <w:adjustRightInd w:val="0"/>
    </w:pPr>
    <w:rPr>
      <w:rFonts w:ascii="標楷體" w:eastAsia="標楷體" w:cs="標楷體"/>
      <w:color w:val="000000"/>
      <w:sz w:val="24"/>
      <w:szCs w:val="24"/>
    </w:rPr>
  </w:style>
  <w:style w:type="paragraph" w:styleId="aff1">
    <w:name w:val="footnote text"/>
    <w:basedOn w:val="a6"/>
    <w:link w:val="aff2"/>
    <w:uiPriority w:val="99"/>
    <w:unhideWhenUsed/>
    <w:rsid w:val="00B4357B"/>
    <w:pPr>
      <w:snapToGrid w:val="0"/>
      <w:jc w:val="left"/>
    </w:pPr>
    <w:rPr>
      <w:sz w:val="20"/>
    </w:rPr>
  </w:style>
  <w:style w:type="character" w:customStyle="1" w:styleId="aff2">
    <w:name w:val="註腳文字 字元"/>
    <w:basedOn w:val="a7"/>
    <w:link w:val="aff1"/>
    <w:uiPriority w:val="99"/>
    <w:rsid w:val="00B4357B"/>
    <w:rPr>
      <w:rFonts w:ascii="標楷體" w:eastAsia="標楷體"/>
      <w:kern w:val="2"/>
    </w:rPr>
  </w:style>
  <w:style w:type="character" w:styleId="aff3">
    <w:name w:val="footnote reference"/>
    <w:uiPriority w:val="99"/>
    <w:unhideWhenUsed/>
    <w:rsid w:val="00B4357B"/>
    <w:rPr>
      <w:vertAlign w:val="superscript"/>
    </w:rPr>
  </w:style>
  <w:style w:type="paragraph" w:customStyle="1" w:styleId="aff4">
    <w:name w:val="分項段落"/>
    <w:basedOn w:val="a6"/>
    <w:rsid w:val="00B4357B"/>
    <w:pPr>
      <w:overflowPunct/>
      <w:autoSpaceDE/>
      <w:autoSpaceDN/>
      <w:jc w:val="left"/>
    </w:pPr>
    <w:rPr>
      <w:rFonts w:ascii="Times New Roman" w:eastAsia="新細明體"/>
      <w:sz w:val="24"/>
    </w:rPr>
  </w:style>
  <w:style w:type="character" w:styleId="aff5">
    <w:name w:val="Emphasis"/>
    <w:uiPriority w:val="20"/>
    <w:qFormat/>
    <w:rsid w:val="00B4357B"/>
    <w:rPr>
      <w:b w:val="0"/>
      <w:bCs w:val="0"/>
      <w:i w:val="0"/>
      <w:iCs w:val="0"/>
      <w:color w:val="DD4B39"/>
    </w:rPr>
  </w:style>
  <w:style w:type="character" w:customStyle="1" w:styleId="st1">
    <w:name w:val="st1"/>
    <w:basedOn w:val="a7"/>
    <w:rsid w:val="00B4357B"/>
  </w:style>
  <w:style w:type="character" w:customStyle="1" w:styleId="y2iqfc">
    <w:name w:val="y2iqfc"/>
    <w:basedOn w:val="a7"/>
    <w:rsid w:val="00B4357B"/>
  </w:style>
  <w:style w:type="character" w:styleId="aff6">
    <w:name w:val="annotation reference"/>
    <w:uiPriority w:val="99"/>
    <w:semiHidden/>
    <w:unhideWhenUsed/>
    <w:rsid w:val="00B4357B"/>
    <w:rPr>
      <w:sz w:val="18"/>
      <w:szCs w:val="18"/>
    </w:rPr>
  </w:style>
  <w:style w:type="paragraph" w:styleId="aff7">
    <w:name w:val="annotation text"/>
    <w:basedOn w:val="a6"/>
    <w:link w:val="aff8"/>
    <w:uiPriority w:val="99"/>
    <w:semiHidden/>
    <w:unhideWhenUsed/>
    <w:rsid w:val="00B4357B"/>
    <w:pPr>
      <w:jc w:val="left"/>
    </w:pPr>
  </w:style>
  <w:style w:type="character" w:customStyle="1" w:styleId="aff8">
    <w:name w:val="註解文字 字元"/>
    <w:basedOn w:val="a7"/>
    <w:link w:val="aff7"/>
    <w:uiPriority w:val="99"/>
    <w:semiHidden/>
    <w:rsid w:val="00B4357B"/>
    <w:rPr>
      <w:rFonts w:ascii="標楷體" w:eastAsia="標楷體"/>
      <w:kern w:val="2"/>
      <w:sz w:val="32"/>
    </w:rPr>
  </w:style>
  <w:style w:type="paragraph" w:styleId="aff9">
    <w:name w:val="annotation subject"/>
    <w:basedOn w:val="aff7"/>
    <w:next w:val="aff7"/>
    <w:link w:val="affa"/>
    <w:uiPriority w:val="99"/>
    <w:semiHidden/>
    <w:unhideWhenUsed/>
    <w:rsid w:val="00B4357B"/>
    <w:rPr>
      <w:b/>
      <w:bCs/>
    </w:rPr>
  </w:style>
  <w:style w:type="character" w:customStyle="1" w:styleId="affa">
    <w:name w:val="註解主旨 字元"/>
    <w:basedOn w:val="aff8"/>
    <w:link w:val="aff9"/>
    <w:uiPriority w:val="99"/>
    <w:semiHidden/>
    <w:rsid w:val="00B4357B"/>
    <w:rPr>
      <w:rFonts w:ascii="標楷體" w:eastAsia="標楷體"/>
      <w:b/>
      <w:bCs/>
      <w:kern w:val="2"/>
      <w:sz w:val="32"/>
    </w:rPr>
  </w:style>
  <w:style w:type="character" w:styleId="affb">
    <w:name w:val="endnote reference"/>
    <w:uiPriority w:val="99"/>
    <w:semiHidden/>
    <w:unhideWhenUsed/>
    <w:rsid w:val="00B4357B"/>
    <w:rPr>
      <w:vertAlign w:val="superscript"/>
    </w:rPr>
  </w:style>
  <w:style w:type="paragraph" w:styleId="affc">
    <w:name w:val="Revision"/>
    <w:hidden/>
    <w:uiPriority w:val="99"/>
    <w:semiHidden/>
    <w:rsid w:val="00B4357B"/>
    <w:rPr>
      <w:rFonts w:ascii="標楷體" w:eastAsia="標楷體"/>
      <w:kern w:val="2"/>
      <w:sz w:val="32"/>
    </w:rPr>
  </w:style>
  <w:style w:type="paragraph" w:styleId="23">
    <w:name w:val="List 2"/>
    <w:basedOn w:val="a6"/>
    <w:uiPriority w:val="99"/>
    <w:unhideWhenUsed/>
    <w:rsid w:val="00B4357B"/>
    <w:pPr>
      <w:ind w:leftChars="400" w:left="100" w:hangingChars="200" w:hanging="200"/>
      <w:contextualSpacing/>
    </w:pPr>
  </w:style>
  <w:style w:type="paragraph" w:styleId="43">
    <w:name w:val="List 4"/>
    <w:basedOn w:val="a6"/>
    <w:uiPriority w:val="99"/>
    <w:unhideWhenUsed/>
    <w:rsid w:val="00B4357B"/>
    <w:pPr>
      <w:ind w:leftChars="800" w:left="100" w:hangingChars="200" w:hanging="200"/>
      <w:contextualSpacing/>
    </w:pPr>
  </w:style>
  <w:style w:type="paragraph" w:styleId="24">
    <w:name w:val="Body Text First Indent 2"/>
    <w:basedOn w:val="af4"/>
    <w:link w:val="25"/>
    <w:uiPriority w:val="99"/>
    <w:unhideWhenUsed/>
    <w:rsid w:val="00B4357B"/>
    <w:pPr>
      <w:spacing w:after="120"/>
      <w:ind w:leftChars="200" w:left="480" w:firstLineChars="100" w:firstLine="210"/>
    </w:pPr>
  </w:style>
  <w:style w:type="character" w:customStyle="1" w:styleId="25">
    <w:name w:val="本文第一層縮排 2 字元"/>
    <w:basedOn w:val="af5"/>
    <w:link w:val="24"/>
    <w:uiPriority w:val="99"/>
    <w:rsid w:val="00B4357B"/>
    <w:rPr>
      <w:rFonts w:ascii="標楷體" w:eastAsia="標楷體"/>
      <w:kern w:val="2"/>
      <w:sz w:val="32"/>
    </w:rPr>
  </w:style>
  <w:style w:type="table" w:styleId="affd">
    <w:name w:val="Grid Table Light"/>
    <w:basedOn w:val="a8"/>
    <w:uiPriority w:val="40"/>
    <w:rsid w:val="00FB13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
    <w:name w:val="表格格線1"/>
    <w:basedOn w:val="a8"/>
    <w:next w:val="afb"/>
    <w:uiPriority w:val="39"/>
    <w:rsid w:val="005745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標題 8 字元"/>
    <w:basedOn w:val="a7"/>
    <w:link w:val="8"/>
    <w:rsid w:val="0095759C"/>
    <w:rPr>
      <w:rFonts w:ascii="標楷體" w:eastAsia="標楷體" w:hAnsi="Arial"/>
      <w:kern w:val="32"/>
      <w:sz w:val="32"/>
      <w:szCs w:val="36"/>
    </w:rPr>
  </w:style>
  <w:style w:type="character" w:customStyle="1" w:styleId="ad">
    <w:name w:val="章節附註文字 字元"/>
    <w:basedOn w:val="a7"/>
    <w:link w:val="ac"/>
    <w:semiHidden/>
    <w:rsid w:val="0095759C"/>
    <w:rPr>
      <w:rFonts w:ascii="標楷體" w:eastAsia="標楷體"/>
      <w:snapToGrid w:val="0"/>
      <w:spacing w:val="10"/>
      <w:kern w:val="2"/>
      <w:sz w:val="32"/>
    </w:rPr>
  </w:style>
  <w:style w:type="character" w:customStyle="1" w:styleId="af0">
    <w:name w:val="頁首 字元"/>
    <w:basedOn w:val="a7"/>
    <w:link w:val="af"/>
    <w:semiHidden/>
    <w:rsid w:val="0095759C"/>
    <w:rPr>
      <w:rFonts w:ascii="標楷體" w:eastAsia="標楷體"/>
      <w:kern w:val="2"/>
    </w:rPr>
  </w:style>
  <w:style w:type="table" w:customStyle="1" w:styleId="93">
    <w:name w:val="表格格線9"/>
    <w:basedOn w:val="a8"/>
    <w:next w:val="afb"/>
    <w:uiPriority w:val="59"/>
    <w:rsid w:val="0095759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監察院"/>
    <w:basedOn w:val="a6"/>
    <w:link w:val="afff"/>
    <w:qFormat/>
    <w:rsid w:val="0095759C"/>
    <w:pPr>
      <w:overflowPunct/>
      <w:autoSpaceDE/>
      <w:autoSpaceDN/>
      <w:spacing w:line="440" w:lineRule="exact"/>
      <w:jc w:val="left"/>
      <w:outlineLvl w:val="0"/>
    </w:pPr>
    <w:rPr>
      <w:rFonts w:ascii="Arial" w:hAnsi="Arial" w:cs="Arial"/>
      <w:sz w:val="28"/>
      <w:szCs w:val="22"/>
    </w:rPr>
  </w:style>
  <w:style w:type="character" w:customStyle="1" w:styleId="afff">
    <w:name w:val="監察院 字元"/>
    <w:basedOn w:val="a7"/>
    <w:link w:val="affe"/>
    <w:rsid w:val="0095759C"/>
    <w:rPr>
      <w:rFonts w:ascii="Arial" w:eastAsia="標楷體" w:hAnsi="Arial" w:cs="Arial"/>
      <w:kern w:val="2"/>
      <w:sz w:val="28"/>
      <w:szCs w:val="22"/>
    </w:rPr>
  </w:style>
  <w:style w:type="character" w:styleId="afff0">
    <w:name w:val="FollowedHyperlink"/>
    <w:basedOn w:val="a7"/>
    <w:uiPriority w:val="99"/>
    <w:semiHidden/>
    <w:unhideWhenUsed/>
    <w:rsid w:val="0095759C"/>
    <w:rPr>
      <w:color w:val="954F72"/>
      <w:u w:val="single"/>
    </w:rPr>
  </w:style>
  <w:style w:type="paragraph" w:customStyle="1" w:styleId="msonormal0">
    <w:name w:val="msonormal"/>
    <w:basedOn w:val="a6"/>
    <w:rsid w:val="0095759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95759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6"/>
    <w:rsid w:val="0095759C"/>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font7">
    <w:name w:val="font7"/>
    <w:basedOn w:val="a6"/>
    <w:rsid w:val="0095759C"/>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8">
    <w:name w:val="font8"/>
    <w:basedOn w:val="a6"/>
    <w:rsid w:val="0095759C"/>
    <w:pPr>
      <w:widowControl/>
      <w:overflowPunct/>
      <w:autoSpaceDE/>
      <w:autoSpaceDN/>
      <w:spacing w:before="100" w:beforeAutospacing="1" w:after="100" w:afterAutospacing="1"/>
      <w:jc w:val="left"/>
    </w:pPr>
    <w:rPr>
      <w:rFonts w:ascii="Times New Roman" w:eastAsia="新細明體"/>
      <w:b/>
      <w:bCs/>
      <w:color w:val="000000"/>
      <w:kern w:val="0"/>
      <w:sz w:val="24"/>
      <w:szCs w:val="24"/>
    </w:rPr>
  </w:style>
  <w:style w:type="paragraph" w:customStyle="1" w:styleId="font9">
    <w:name w:val="font9"/>
    <w:basedOn w:val="a6"/>
    <w:rsid w:val="0095759C"/>
    <w:pPr>
      <w:widowControl/>
      <w:overflowPunct/>
      <w:autoSpaceDE/>
      <w:autoSpaceDN/>
      <w:spacing w:before="100" w:beforeAutospacing="1" w:after="100" w:afterAutospacing="1"/>
      <w:jc w:val="left"/>
    </w:pPr>
    <w:rPr>
      <w:rFonts w:hAnsi="標楷體" w:cs="新細明體"/>
      <w:b/>
      <w:bCs/>
      <w:color w:val="000000"/>
      <w:kern w:val="0"/>
      <w:sz w:val="24"/>
      <w:szCs w:val="24"/>
    </w:rPr>
  </w:style>
  <w:style w:type="paragraph" w:customStyle="1" w:styleId="font10">
    <w:name w:val="font10"/>
    <w:basedOn w:val="a6"/>
    <w:rsid w:val="0095759C"/>
    <w:pPr>
      <w:widowControl/>
      <w:overflowPunct/>
      <w:autoSpaceDE/>
      <w:autoSpaceDN/>
      <w:spacing w:before="100" w:beforeAutospacing="1" w:after="100" w:afterAutospacing="1"/>
      <w:jc w:val="left"/>
    </w:pPr>
    <w:rPr>
      <w:rFonts w:ascii="細明體" w:eastAsia="細明體" w:hAnsi="細明體" w:cs="新細明體"/>
      <w:kern w:val="0"/>
      <w:sz w:val="18"/>
      <w:szCs w:val="18"/>
    </w:rPr>
  </w:style>
  <w:style w:type="paragraph" w:customStyle="1" w:styleId="font11">
    <w:name w:val="font11"/>
    <w:basedOn w:val="a6"/>
    <w:rsid w:val="0095759C"/>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12">
    <w:name w:val="font12"/>
    <w:basedOn w:val="a6"/>
    <w:rsid w:val="0095759C"/>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13">
    <w:name w:val="font13"/>
    <w:basedOn w:val="a6"/>
    <w:rsid w:val="0095759C"/>
    <w:pPr>
      <w:widowControl/>
      <w:overflowPunct/>
      <w:autoSpaceDE/>
      <w:autoSpaceDN/>
      <w:spacing w:before="100" w:beforeAutospacing="1" w:after="100" w:afterAutospacing="1"/>
      <w:jc w:val="left"/>
    </w:pPr>
    <w:rPr>
      <w:rFonts w:ascii="微軟正黑體" w:eastAsia="微軟正黑體" w:hAnsi="微軟正黑體" w:cs="新細明體"/>
      <w:color w:val="000000"/>
      <w:kern w:val="0"/>
      <w:sz w:val="24"/>
      <w:szCs w:val="24"/>
    </w:rPr>
  </w:style>
  <w:style w:type="paragraph" w:customStyle="1" w:styleId="font14">
    <w:name w:val="font14"/>
    <w:basedOn w:val="a6"/>
    <w:rsid w:val="0095759C"/>
    <w:pPr>
      <w:widowControl/>
      <w:overflowPunct/>
      <w:autoSpaceDE/>
      <w:autoSpaceDN/>
      <w:spacing w:before="100" w:beforeAutospacing="1" w:after="100" w:afterAutospacing="1"/>
      <w:jc w:val="left"/>
    </w:pPr>
    <w:rPr>
      <w:rFonts w:ascii="新細明體" w:eastAsia="新細明體" w:hAnsi="新細明體" w:cs="新細明體"/>
      <w:color w:val="000000"/>
      <w:kern w:val="0"/>
      <w:sz w:val="24"/>
      <w:szCs w:val="24"/>
    </w:rPr>
  </w:style>
  <w:style w:type="paragraph" w:customStyle="1" w:styleId="font15">
    <w:name w:val="font15"/>
    <w:basedOn w:val="a6"/>
    <w:rsid w:val="0095759C"/>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16">
    <w:name w:val="font16"/>
    <w:basedOn w:val="a6"/>
    <w:rsid w:val="0095759C"/>
    <w:pPr>
      <w:widowControl/>
      <w:overflowPunct/>
      <w:autoSpaceDE/>
      <w:autoSpaceDN/>
      <w:spacing w:before="100" w:beforeAutospacing="1" w:after="100" w:afterAutospacing="1"/>
      <w:jc w:val="left"/>
    </w:pPr>
    <w:rPr>
      <w:rFonts w:ascii="新細明體" w:eastAsia="新細明體" w:hAnsi="新細明體" w:cs="新細明體"/>
      <w:color w:val="000000"/>
      <w:kern w:val="0"/>
      <w:sz w:val="24"/>
      <w:szCs w:val="24"/>
    </w:rPr>
  </w:style>
  <w:style w:type="paragraph" w:customStyle="1" w:styleId="xl67">
    <w:name w:val="xl67"/>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68">
    <w:name w:val="xl68"/>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69">
    <w:name w:val="xl69"/>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70">
    <w:name w:val="xl70"/>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1">
    <w:name w:val="xl71"/>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2">
    <w:name w:val="xl72"/>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73">
    <w:name w:val="xl73"/>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74">
    <w:name w:val="xl74"/>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75">
    <w:name w:val="xl75"/>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b/>
      <w:bCs/>
      <w:kern w:val="0"/>
      <w:sz w:val="24"/>
      <w:szCs w:val="24"/>
    </w:rPr>
  </w:style>
  <w:style w:type="paragraph" w:customStyle="1" w:styleId="xl76">
    <w:name w:val="xl76"/>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b/>
      <w:bCs/>
      <w:kern w:val="0"/>
      <w:sz w:val="24"/>
      <w:szCs w:val="24"/>
    </w:rPr>
  </w:style>
  <w:style w:type="paragraph" w:customStyle="1" w:styleId="xl77">
    <w:name w:val="xl77"/>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b/>
      <w:bCs/>
      <w:kern w:val="0"/>
      <w:sz w:val="24"/>
      <w:szCs w:val="24"/>
    </w:rPr>
  </w:style>
  <w:style w:type="paragraph" w:customStyle="1" w:styleId="xl78">
    <w:name w:val="xl78"/>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9">
    <w:name w:val="xl79"/>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80">
    <w:name w:val="xl80"/>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1">
    <w:name w:val="xl81"/>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2">
    <w:name w:val="xl82"/>
    <w:basedOn w:val="a6"/>
    <w:rsid w:val="0095759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3">
    <w:name w:val="xl83"/>
    <w:basedOn w:val="a6"/>
    <w:rsid w:val="0095759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4">
    <w:name w:val="xl84"/>
    <w:basedOn w:val="a6"/>
    <w:rsid w:val="0095759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5">
    <w:name w:val="xl85"/>
    <w:basedOn w:val="a6"/>
    <w:rsid w:val="0095759C"/>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86">
    <w:name w:val="xl86"/>
    <w:basedOn w:val="a6"/>
    <w:rsid w:val="0095759C"/>
    <w:pPr>
      <w:widowControl/>
      <w:overflowPunct/>
      <w:autoSpaceDE/>
      <w:autoSpaceDN/>
      <w:spacing w:before="100" w:beforeAutospacing="1" w:after="100" w:afterAutospacing="1"/>
      <w:jc w:val="center"/>
    </w:pPr>
    <w:rPr>
      <w:rFonts w:ascii="Times New Roman" w:eastAsia="新細明體"/>
      <w:kern w:val="0"/>
      <w:sz w:val="24"/>
      <w:szCs w:val="24"/>
    </w:rPr>
  </w:style>
  <w:style w:type="paragraph" w:customStyle="1" w:styleId="xl87">
    <w:name w:val="xl87"/>
    <w:basedOn w:val="a6"/>
    <w:rsid w:val="0095759C"/>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15">
    <w:name w:val="標題1"/>
    <w:basedOn w:val="4"/>
    <w:link w:val="16"/>
    <w:qFormat/>
    <w:rsid w:val="0095759C"/>
    <w:pPr>
      <w:numPr>
        <w:ilvl w:val="0"/>
        <w:numId w:val="0"/>
      </w:numPr>
      <w:ind w:left="1701" w:hanging="510"/>
    </w:pPr>
  </w:style>
  <w:style w:type="character" w:customStyle="1" w:styleId="16">
    <w:name w:val="標題1 字元"/>
    <w:basedOn w:val="40"/>
    <w:link w:val="15"/>
    <w:rsid w:val="0095759C"/>
    <w:rPr>
      <w:rFonts w:ascii="標楷體" w:eastAsia="標楷體" w:hAnsi="Arial"/>
      <w:kern w:val="32"/>
      <w:sz w:val="32"/>
      <w:szCs w:val="36"/>
    </w:rPr>
  </w:style>
  <w:style w:type="character" w:styleId="afff1">
    <w:name w:val="Unresolved Mention"/>
    <w:basedOn w:val="a7"/>
    <w:uiPriority w:val="99"/>
    <w:semiHidden/>
    <w:unhideWhenUsed/>
    <w:rsid w:val="00303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18804">
      <w:bodyDiv w:val="1"/>
      <w:marLeft w:val="0"/>
      <w:marRight w:val="0"/>
      <w:marTop w:val="0"/>
      <w:marBottom w:val="0"/>
      <w:divBdr>
        <w:top w:val="none" w:sz="0" w:space="0" w:color="auto"/>
        <w:left w:val="none" w:sz="0" w:space="0" w:color="auto"/>
        <w:bottom w:val="none" w:sz="0" w:space="0" w:color="auto"/>
        <w:right w:val="none" w:sz="0" w:space="0" w:color="auto"/>
      </w:divBdr>
    </w:div>
    <w:div w:id="506016234">
      <w:bodyDiv w:val="1"/>
      <w:marLeft w:val="0"/>
      <w:marRight w:val="0"/>
      <w:marTop w:val="0"/>
      <w:marBottom w:val="0"/>
      <w:divBdr>
        <w:top w:val="none" w:sz="0" w:space="0" w:color="auto"/>
        <w:left w:val="none" w:sz="0" w:space="0" w:color="auto"/>
        <w:bottom w:val="none" w:sz="0" w:space="0" w:color="auto"/>
        <w:right w:val="none" w:sz="0" w:space="0" w:color="auto"/>
      </w:divBdr>
    </w:div>
    <w:div w:id="6211548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0723557">
      <w:bodyDiv w:val="1"/>
      <w:marLeft w:val="0"/>
      <w:marRight w:val="0"/>
      <w:marTop w:val="0"/>
      <w:marBottom w:val="0"/>
      <w:divBdr>
        <w:top w:val="none" w:sz="0" w:space="0" w:color="auto"/>
        <w:left w:val="none" w:sz="0" w:space="0" w:color="auto"/>
        <w:bottom w:val="none" w:sz="0" w:space="0" w:color="auto"/>
        <w:right w:val="none" w:sz="0" w:space="0" w:color="auto"/>
      </w:divBdr>
    </w:div>
    <w:div w:id="1152136569">
      <w:bodyDiv w:val="1"/>
      <w:marLeft w:val="0"/>
      <w:marRight w:val="0"/>
      <w:marTop w:val="0"/>
      <w:marBottom w:val="0"/>
      <w:divBdr>
        <w:top w:val="none" w:sz="0" w:space="0" w:color="auto"/>
        <w:left w:val="none" w:sz="0" w:space="0" w:color="auto"/>
        <w:bottom w:val="none" w:sz="0" w:space="0" w:color="auto"/>
        <w:right w:val="none" w:sz="0" w:space="0" w:color="auto"/>
      </w:divBdr>
    </w:div>
    <w:div w:id="1266577476">
      <w:bodyDiv w:val="1"/>
      <w:marLeft w:val="0"/>
      <w:marRight w:val="0"/>
      <w:marTop w:val="0"/>
      <w:marBottom w:val="0"/>
      <w:divBdr>
        <w:top w:val="none" w:sz="0" w:space="0" w:color="auto"/>
        <w:left w:val="none" w:sz="0" w:space="0" w:color="auto"/>
        <w:bottom w:val="none" w:sz="0" w:space="0" w:color="auto"/>
        <w:right w:val="none" w:sz="0" w:space="0" w:color="auto"/>
      </w:divBdr>
    </w:div>
    <w:div w:id="1290013852">
      <w:bodyDiv w:val="1"/>
      <w:marLeft w:val="0"/>
      <w:marRight w:val="0"/>
      <w:marTop w:val="0"/>
      <w:marBottom w:val="0"/>
      <w:divBdr>
        <w:top w:val="none" w:sz="0" w:space="0" w:color="auto"/>
        <w:left w:val="none" w:sz="0" w:space="0" w:color="auto"/>
        <w:bottom w:val="none" w:sz="0" w:space="0" w:color="auto"/>
        <w:right w:val="none" w:sz="0" w:space="0" w:color="auto"/>
      </w:divBdr>
    </w:div>
    <w:div w:id="1387341500">
      <w:bodyDiv w:val="1"/>
      <w:marLeft w:val="0"/>
      <w:marRight w:val="0"/>
      <w:marTop w:val="0"/>
      <w:marBottom w:val="0"/>
      <w:divBdr>
        <w:top w:val="none" w:sz="0" w:space="0" w:color="auto"/>
        <w:left w:val="none" w:sz="0" w:space="0" w:color="auto"/>
        <w:bottom w:val="none" w:sz="0" w:space="0" w:color="auto"/>
        <w:right w:val="none" w:sz="0" w:space="0" w:color="auto"/>
      </w:divBdr>
    </w:div>
    <w:div w:id="1590000868">
      <w:bodyDiv w:val="1"/>
      <w:marLeft w:val="0"/>
      <w:marRight w:val="0"/>
      <w:marTop w:val="0"/>
      <w:marBottom w:val="0"/>
      <w:divBdr>
        <w:top w:val="none" w:sz="0" w:space="0" w:color="auto"/>
        <w:left w:val="none" w:sz="0" w:space="0" w:color="auto"/>
        <w:bottom w:val="none" w:sz="0" w:space="0" w:color="auto"/>
        <w:right w:val="none" w:sz="0" w:space="0" w:color="auto"/>
      </w:divBdr>
      <w:divsChild>
        <w:div w:id="399139402">
          <w:marLeft w:val="0"/>
          <w:marRight w:val="0"/>
          <w:marTop w:val="0"/>
          <w:marBottom w:val="120"/>
          <w:divBdr>
            <w:top w:val="none" w:sz="0" w:space="0" w:color="auto"/>
            <w:left w:val="none" w:sz="0" w:space="0" w:color="auto"/>
            <w:bottom w:val="none" w:sz="0" w:space="0" w:color="auto"/>
            <w:right w:val="none" w:sz="0" w:space="0" w:color="auto"/>
          </w:divBdr>
        </w:div>
        <w:div w:id="539824830">
          <w:marLeft w:val="0"/>
          <w:marRight w:val="0"/>
          <w:marTop w:val="0"/>
          <w:marBottom w:val="120"/>
          <w:divBdr>
            <w:top w:val="none" w:sz="0" w:space="0" w:color="auto"/>
            <w:left w:val="none" w:sz="0" w:space="0" w:color="auto"/>
            <w:bottom w:val="none" w:sz="0" w:space="0" w:color="auto"/>
            <w:right w:val="none" w:sz="0" w:space="0" w:color="auto"/>
          </w:divBdr>
        </w:div>
        <w:div w:id="1653216897">
          <w:marLeft w:val="0"/>
          <w:marRight w:val="0"/>
          <w:marTop w:val="0"/>
          <w:marBottom w:val="120"/>
          <w:divBdr>
            <w:top w:val="none" w:sz="0" w:space="0" w:color="auto"/>
            <w:left w:val="none" w:sz="0" w:space="0" w:color="auto"/>
            <w:bottom w:val="none" w:sz="0" w:space="0" w:color="auto"/>
            <w:right w:val="none" w:sz="0" w:space="0" w:color="auto"/>
          </w:divBdr>
        </w:div>
        <w:div w:id="1911622361">
          <w:marLeft w:val="0"/>
          <w:marRight w:val="0"/>
          <w:marTop w:val="0"/>
          <w:marBottom w:val="120"/>
          <w:divBdr>
            <w:top w:val="none" w:sz="0" w:space="0" w:color="auto"/>
            <w:left w:val="none" w:sz="0" w:space="0" w:color="auto"/>
            <w:bottom w:val="none" w:sz="0" w:space="0" w:color="auto"/>
            <w:right w:val="none" w:sz="0" w:space="0" w:color="auto"/>
          </w:divBdr>
        </w:div>
      </w:divsChild>
    </w:div>
    <w:div w:id="1859002672">
      <w:bodyDiv w:val="1"/>
      <w:marLeft w:val="0"/>
      <w:marRight w:val="0"/>
      <w:marTop w:val="0"/>
      <w:marBottom w:val="0"/>
      <w:divBdr>
        <w:top w:val="none" w:sz="0" w:space="0" w:color="auto"/>
        <w:left w:val="none" w:sz="0" w:space="0" w:color="auto"/>
        <w:bottom w:val="none" w:sz="0" w:space="0" w:color="auto"/>
        <w:right w:val="none" w:sz="0" w:space="0" w:color="auto"/>
      </w:divBdr>
    </w:div>
    <w:div w:id="1892423435">
      <w:bodyDiv w:val="1"/>
      <w:marLeft w:val="0"/>
      <w:marRight w:val="0"/>
      <w:marTop w:val="0"/>
      <w:marBottom w:val="0"/>
      <w:divBdr>
        <w:top w:val="none" w:sz="0" w:space="0" w:color="auto"/>
        <w:left w:val="none" w:sz="0" w:space="0" w:color="auto"/>
        <w:bottom w:val="none" w:sz="0" w:space="0" w:color="auto"/>
        <w:right w:val="none" w:sz="0" w:space="0" w:color="auto"/>
      </w:divBdr>
    </w:div>
    <w:div w:id="20528786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90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oea.gov.tw/Mns/dos/bulletin/Bulletin.aspx?kind=9&amp;html=1&amp;menu_id=18808&amp;bull_id=9989" TargetMode="External"/><Relationship Id="rId1" Type="http://schemas.openxmlformats.org/officeDocument/2006/relationships/hyperlink" Target="https://www.mohw.gov.tw/cp-4625-56838-1.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18F9F-E8F3-4AAC-9130-03460185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1493</Words>
  <Characters>8514</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2023-10-19T03:03:00Z</dcterms:created>
  <dcterms:modified xsi:type="dcterms:W3CDTF">2023-10-19T05:30:00Z</dcterms:modified>
  <cp:contentStatus/>
</cp:coreProperties>
</file>